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png" ContentType="image/png"/>
  <Default Extension="jpeg" ContentType="image/jpeg"/>
  <Default Extension="xml" ContentType="application/xml"/>
  <Default Extension="gif" ContentType="image/gif"/>
  <Default Extension="jpg" ContentType="image/jpeg"/>
  <Default Extension="svg" ContentType="image/svg+xml"/>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321" name="cover.jpg" descr="Cover"/>
            <wp:cNvGraphicFramePr>
              <a:graphicFrameLocks noChangeAspect="1"/>
            </wp:cNvGraphicFramePr>
            <a:graphic>
              <a:graphicData uri="http://schemas.openxmlformats.org/drawingml/2006/picture">
                <pic:pic>
                  <pic:nvPicPr>
                    <pic:cNvPr id="0" name="cover.jpg" descr="Cover"/>
                    <pic:cNvPicPr/>
                  </pic:nvPicPr>
                  <pic:blipFill>
                    <a:blip r:embed="rId236"/>
                    <a:stretch>
                      <a:fillRect/>
                    </a:stretch>
                  </pic:blipFill>
                  <pic:spPr>
                    <a:xfrm>
                      <a:off x="0" y="0"/>
                      <a:ext cx="7772400" cy="10058400"/>
                    </a:xfrm>
                    <a:prstGeom prst="rect">
                      <a:avLst/>
                    </a:prstGeom>
                  </pic:spPr>
                </pic:pic>
              </a:graphicData>
            </a:graphic>
          </wp:anchor>
        </w:drawing>
      </w:r>
    </w:p>
    <w:p>
      <w:pPr>
        <w:pStyle w:val="Heading 1"/>
        <w:pageBreakBefore w:val="on"/>
      </w:pPr>
      <w:r>
        <w:t>Mục lục</w:t>
      </w:r>
    </w:p>
    <w:p>
      <w:pPr>
        <w:pStyle w:val="Normal"/>
        <w:ind w:left="0" w:firstLineChars="0" w:firstLine="0" w:leftChars="0"/>
        <w:pageBreakBefore w:val="off"/>
      </w:pPr>
      <w:r>
        <w:t>Mục lục</w:t>
      </w:r>
    </w:p>
    <w:p>
      <w:pPr>
        <w:pStyle w:val="Normal"/>
        <w:ind w:left="0" w:firstLineChars="0" w:firstLine="0" w:leftChars="0"/>
      </w:pPr>
      <w:r>
        <w:t>Trang tiêu đề</w:t>
      </w:r>
    </w:p>
    <w:p>
      <w:pPr>
        <w:pStyle w:val="Normal"/>
        <w:ind w:left="0" w:firstLineChars="0" w:firstLine="0" w:leftChars="0"/>
      </w:pPr>
      <w:r>
        <w:t>Bản quyền</w:t>
      </w:r>
    </w:p>
    <w:p>
      <w:pPr>
        <w:pStyle w:val="Normal"/>
        <w:ind w:left="0" w:firstLineChars="0" w:firstLine="0" w:leftChars="0"/>
      </w:pPr>
      <w:r>
        <w:t>Lời đề tặng</w:t>
      </w:r>
    </w:p>
    <w:p>
      <w:pPr>
        <w:pStyle w:val="Normal"/>
        <w:ind w:left="0" w:firstLineChars="0" w:firstLine="0" w:leftChars="0"/>
      </w:pPr>
      <w:r>
        <w:t>Lời nói đầu cho ấn bản thứ tư</w:t>
      </w:r>
    </w:p>
    <w:p>
      <w:pPr>
        <w:pStyle w:val="Normal"/>
        <w:ind w:left="0" w:firstLineChars="0" w:firstLine="0" w:leftChars="0"/>
      </w:pPr>
      <w:r>
        <w:t>Chương 1 Giới thiệu về định giá</w:t>
      </w:r>
    </w:p>
    <w:p>
      <w:pPr>
        <w:pStyle w:val="Normal"/>
        <w:ind w:left="0" w:firstLineChars="0" w:firstLine="0" w:leftChars="200"/>
      </w:pPr>
      <w:r>
        <w:t>Cơ sở triết học cho việc định giá</w:t>
      </w:r>
    </w:p>
    <w:p>
      <w:pPr>
        <w:pStyle w:val="Normal"/>
        <w:ind w:left="0" w:firstLineChars="0" w:firstLine="0" w:leftChars="200"/>
      </w:pPr>
      <w:r>
        <w:t>Định giá theo giá thị trường so với định giá theo giá trị</w:t>
      </w:r>
    </w:p>
    <w:p>
      <w:pPr>
        <w:pStyle w:val="Normal"/>
        <w:ind w:left="0" w:firstLineChars="0" w:firstLine="0" w:leftChars="200"/>
      </w:pPr>
      <w:r>
        <w:t>Tam giác Bermuda của việc định giá</w:t>
      </w:r>
    </w:p>
    <w:p>
      <w:pPr>
        <w:pStyle w:val="Normal"/>
        <w:ind w:left="0" w:firstLineChars="0" w:firstLine="0" w:leftChars="200"/>
      </w:pPr>
      <w:r>
        <w:t>Hiệu quả thị trường</w:t>
      </w:r>
    </w:p>
    <w:p>
      <w:pPr>
        <w:pStyle w:val="Normal"/>
        <w:ind w:left="0" w:firstLineChars="0" w:firstLine="0" w:leftChars="200"/>
      </w:pPr>
      <w:r>
        <w:t>Vai trò của việc định giá</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2 Các phương pháp định giá</w:t>
      </w:r>
    </w:p>
    <w:p>
      <w:pPr>
        <w:pStyle w:val="Normal"/>
        <w:ind w:left="0" w:firstLineChars="0" w:firstLine="0" w:leftChars="200"/>
      </w:pPr>
      <w:r>
        <w:t>Định giá theo giá trị nội tại</w:t>
      </w:r>
    </w:p>
    <w:p>
      <w:pPr>
        <w:pStyle w:val="Normal"/>
        <w:ind w:left="0" w:firstLineChars="0" w:firstLine="0" w:leftChars="200"/>
      </w:pPr>
      <w:r>
        <w:t>Định giá theo giá thị trường hay định giá tương đối</w:t>
      </w:r>
    </w:p>
    <w:p>
      <w:pPr>
        <w:pStyle w:val="Normal"/>
        <w:ind w:left="0" w:firstLineChars="0" w:firstLine="0" w:leftChars="200"/>
      </w:pPr>
      <w:r>
        <w:t>Định giá theo quyền chọn phụ thuộc</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3 Hiểu về báo cáo tài chính</w:t>
      </w:r>
    </w:p>
    <w:p>
      <w:pPr>
        <w:pStyle w:val="Normal"/>
        <w:ind w:left="0" w:firstLineChars="0" w:firstLine="0" w:leftChars="200"/>
      </w:pPr>
      <w:r>
        <w:t>Các báo cáo kế toán cơ bản</w:t>
      </w:r>
    </w:p>
    <w:p>
      <w:pPr>
        <w:pStyle w:val="Normal"/>
        <w:ind w:left="0" w:firstLineChars="0" w:firstLine="0" w:leftChars="200"/>
      </w:pPr>
      <w:r>
        <w:t>Đo lường và định giá tài sản</w:t>
      </w:r>
    </w:p>
    <w:p>
      <w:pPr>
        <w:pStyle w:val="Normal"/>
        <w:ind w:left="0" w:firstLineChars="0" w:firstLine="0" w:leftChars="200"/>
      </w:pPr>
      <w:r>
        <w:t>Đo lường Cơ cấu Tài trợ</w:t>
      </w:r>
    </w:p>
    <w:p>
      <w:pPr>
        <w:pStyle w:val="Normal"/>
        <w:ind w:left="0" w:firstLineChars="0" w:firstLine="0" w:leftChars="200"/>
      </w:pPr>
      <w:r>
        <w:t>Đo lường Thu nhập và Khả năng Sinh lời</w:t>
      </w:r>
    </w:p>
    <w:p>
      <w:pPr>
        <w:pStyle w:val="Normal"/>
        <w:ind w:left="0" w:firstLineChars="0" w:firstLine="0" w:leftChars="200"/>
      </w:pPr>
      <w:r>
        <w:t>Đo lường Rủi ro</w:t>
      </w:r>
    </w:p>
    <w:p>
      <w:pPr>
        <w:pStyle w:val="Normal"/>
        <w:ind w:left="0" w:firstLineChars="0" w:firstLine="0" w:leftChars="200"/>
      </w:pPr>
      <w:r>
        <w:t>Các Vấn đề Khác trong Phân tích Báo cáo Tài chính</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4 Những Điều Cơ bản về Rủi ro</w:t>
      </w:r>
    </w:p>
    <w:p>
      <w:pPr>
        <w:pStyle w:val="Normal"/>
        <w:ind w:left="0" w:firstLineChars="0" w:firstLine="0" w:leftChars="200"/>
      </w:pPr>
      <w:r>
        <w:t>Rủi ro là gì?</w:t>
      </w:r>
    </w:p>
    <w:p>
      <w:pPr>
        <w:pStyle w:val="Normal"/>
        <w:ind w:left="0" w:firstLineChars="0" w:firstLine="0" w:leftChars="200"/>
      </w:pPr>
      <w:r>
        <w:t>Rủi ro Vốn cổ phần và Lợi nhuận Kỳ vọng</w:t>
      </w:r>
    </w:p>
    <w:p>
      <w:pPr>
        <w:pStyle w:val="Normal"/>
        <w:ind w:left="0" w:firstLineChars="0" w:firstLine="0" w:leftChars="200"/>
      </w:pPr>
      <w:r>
        <w:t>Các Mô hình Thay thế cho Rủi ro Vốn cổ phần</w:t>
      </w:r>
    </w:p>
    <w:p>
      <w:pPr>
        <w:pStyle w:val="Normal"/>
        <w:ind w:left="0" w:firstLineChars="0" w:firstLine="0" w:leftChars="200"/>
      </w:pPr>
      <w:r>
        <w:t>Phân tích So sánh các Mô hình Rủi ro Vốn cổ phần</w:t>
      </w:r>
    </w:p>
    <w:p>
      <w:pPr>
        <w:pStyle w:val="Normal"/>
        <w:ind w:left="0" w:firstLineChars="0" w:firstLine="0" w:leftChars="200"/>
      </w:pPr>
      <w:r>
        <w:t>Các Mô hình Rủi ro Vỡ nợ</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5 Lý thuyết và Mô hình Định giá Quyền chọn</w:t>
      </w:r>
    </w:p>
    <w:p>
      <w:pPr>
        <w:pStyle w:val="Normal"/>
        <w:ind w:left="0" w:firstLineChars="0" w:firstLine="0" w:leftChars="200"/>
      </w:pPr>
      <w:r>
        <w:t>Những Điều Cơ bản về Định giá Quyền chọn</w:t>
      </w:r>
    </w:p>
    <w:p>
      <w:pPr>
        <w:pStyle w:val="Normal"/>
        <w:ind w:left="0" w:firstLineChars="0" w:firstLine="0" w:leftChars="200"/>
      </w:pPr>
      <w:r>
        <w:t>Các Mô hình Định giá Quyền chọn</w:t>
      </w:r>
    </w:p>
    <w:p>
      <w:pPr>
        <w:pStyle w:val="Normal"/>
        <w:ind w:left="0" w:firstLineChars="0" w:firstLine="0" w:leftChars="200"/>
      </w:pPr>
      <w:r>
        <w:t>Các Mở rộng của Định giá Quyền chọn</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6 Hiệu quả Thị trường—Định nghĩa, Kiểm định và Bằng chứng</w:t>
      </w:r>
    </w:p>
    <w:p>
      <w:pPr>
        <w:pStyle w:val="Normal"/>
        <w:ind w:left="0" w:firstLineChars="0" w:firstLine="0" w:leftChars="200"/>
      </w:pPr>
      <w:r>
        <w:t>Hiệu quả Thị trường và Định giá Đầu tư</w:t>
      </w:r>
    </w:p>
    <w:p>
      <w:pPr>
        <w:pStyle w:val="Normal"/>
        <w:ind w:left="0" w:firstLineChars="0" w:firstLine="0" w:leftChars="200"/>
      </w:pPr>
      <w:r>
        <w:t>Thị trường hiệu quả là gì?</w:t>
      </w:r>
    </w:p>
    <w:p>
      <w:pPr>
        <w:pStyle w:val="Normal"/>
        <w:ind w:left="0" w:firstLineChars="0" w:firstLine="0" w:leftChars="200"/>
      </w:pPr>
      <w:r>
        <w:t>Kiểm định tính hiệu quả của thị trường</w:t>
      </w:r>
    </w:p>
    <w:p>
      <w:pPr>
        <w:pStyle w:val="Normal"/>
        <w:ind w:left="0" w:firstLineChars="0" w:firstLine="0" w:leftChars="200"/>
      </w:pPr>
      <w:r>
        <w:t>Những sai lầm nghiêm trọng khi kiểm định tính hiệu quả của thị trường</w:t>
      </w:r>
    </w:p>
    <w:p>
      <w:pPr>
        <w:pStyle w:val="Normal"/>
        <w:ind w:left="0" w:firstLineChars="0" w:firstLine="0" w:leftChars="200"/>
      </w:pPr>
      <w:r>
        <w:t>Một số sai lầm nhỏ hơn có thể gây vấn đề</w:t>
      </w:r>
    </w:p>
    <w:p>
      <w:pPr>
        <w:pStyle w:val="Normal"/>
        <w:ind w:left="0" w:firstLineChars="0" w:firstLine="0" w:leftChars="200"/>
      </w:pPr>
      <w:r>
        <w:t>Bằng chứng về tính hiệu quả của thị trường</w:t>
      </w:r>
    </w:p>
    <w:p>
      <w:pPr>
        <w:pStyle w:val="Normal"/>
        <w:ind w:left="0" w:firstLineChars="0" w:firstLine="0" w:leftChars="200"/>
      </w:pPr>
      <w:r>
        <w:t>Đặc tính chuỗi thời gian của những thay đổi giá</w:t>
      </w:r>
    </w:p>
    <w:p>
      <w:pPr>
        <w:pStyle w:val="Normal"/>
        <w:ind w:left="0" w:firstLineChars="0" w:firstLine="0" w:leftChars="200"/>
      </w:pPr>
      <w:r>
        <w:t>Phản ứng của thị trường trước các sự kiện thông tin</w:t>
      </w:r>
    </w:p>
    <w:p>
      <w:pPr>
        <w:pStyle w:val="Normal"/>
        <w:ind w:left="0" w:firstLineChars="0" w:firstLine="0" w:leftChars="200"/>
      </w:pPr>
      <w:r>
        <w:t>Những bất thường của thị trường</w:t>
      </w:r>
    </w:p>
    <w:p>
      <w:pPr>
        <w:pStyle w:val="Normal"/>
        <w:ind w:left="0" w:firstLineChars="0" w:firstLine="0" w:leftChars="200"/>
      </w:pPr>
      <w:r>
        <w:t>Bằng chứng về người nội bộ và các chuyên gia đầu tư</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7 Lãi suất phi rủi ro và phần bù rủi ro</w:t>
      </w:r>
    </w:p>
    <w:p>
      <w:pPr>
        <w:pStyle w:val="Normal"/>
        <w:ind w:left="0" w:firstLineChars="0" w:firstLine="0" w:leftChars="200"/>
      </w:pPr>
      <w:r>
        <w:t>Lãi suất phi rủi ro</w:t>
      </w:r>
    </w:p>
    <w:p>
      <w:pPr>
        <w:pStyle w:val="Normal"/>
        <w:ind w:left="0" w:firstLineChars="0" w:firstLine="0" w:leftChars="200"/>
      </w:pPr>
      <w:r>
        <w:t>Phần bù rủi ro vốn cổ phần</w:t>
      </w:r>
    </w:p>
    <w:p>
      <w:pPr>
        <w:pStyle w:val="Normal"/>
        <w:ind w:left="0" w:firstLineChars="0" w:firstLine="0" w:leftChars="200"/>
      </w:pPr>
      <w:r>
        <w:t>Chênh lệch lợi suất vỡ nợ của trái phiếu</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8 Ước lượng các tham số rủi ro và chi phí tài trợ</w:t>
      </w:r>
    </w:p>
    <w:p>
      <w:pPr>
        <w:pStyle w:val="Normal"/>
        <w:ind w:left="0" w:firstLineChars="0" w:firstLine="0" w:leftChars="200"/>
      </w:pPr>
      <w:r>
        <w:t>Chi phí vốn cổ phần và chi phí vốn</w:t>
      </w:r>
    </w:p>
    <w:p>
      <w:pPr>
        <w:pStyle w:val="Normal"/>
        <w:ind w:left="0" w:firstLineChars="0" w:firstLine="0" w:leftChars="200"/>
      </w:pPr>
      <w:r>
        <w:t>Chi phí vốn cổ phần</w:t>
      </w:r>
    </w:p>
    <w:p>
      <w:pPr>
        <w:pStyle w:val="Normal"/>
        <w:ind w:left="0" w:firstLineChars="0" w:firstLine="0" w:leftChars="200"/>
      </w:pPr>
      <w:r>
        <w:t>Từ chi phí vốn cổ phần đến chi phí vốn</w:t>
      </w:r>
    </w:p>
    <w:p>
      <w:pPr>
        <w:pStyle w:val="Normal"/>
        <w:ind w:left="0" w:firstLineChars="0" w:firstLine="0" w:leftChars="200"/>
      </w:pPr>
      <w:r>
        <w:t>Những thông lệ tốt nhất tại các doanh nghiệp</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9 Đo lường Thu nhập</w:t>
      </w:r>
    </w:p>
    <w:p>
      <w:pPr>
        <w:pStyle w:val="Normal"/>
        <w:ind w:left="0" w:firstLineChars="0" w:firstLine="0" w:leftChars="200"/>
      </w:pPr>
      <w:r>
        <w:t>Phần dẫn nhập: Từ Dữ liệu Kế toán đến Thông tin Tài chính</w:t>
      </w:r>
    </w:p>
    <w:p>
      <w:pPr>
        <w:pStyle w:val="Normal"/>
        <w:ind w:left="0" w:firstLineChars="0" w:firstLine="0" w:leftChars="200"/>
      </w:pPr>
      <w:r>
        <w:t>Điều chỉnh Thu nhập</w:t>
      </w:r>
    </w:p>
    <w:p>
      <w:pPr>
        <w:pStyle w:val="Normal"/>
        <w:ind w:left="0" w:firstLineChars="0" w:firstLine="0" w:leftChars="200"/>
      </w:pPr>
      <w:r>
        <w:t>Đo lường Sức mạnh Thu nhập: Dọn dẹp và Chênh lệch Thời gian</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10 Từ Thu nhập đến Dòng tiền</w:t>
      </w:r>
    </w:p>
    <w:p>
      <w:pPr>
        <w:pStyle w:val="Normal"/>
        <w:ind w:left="0" w:firstLineChars="0" w:firstLine="0" w:leftChars="200"/>
      </w:pPr>
      <w:r>
        <w:t>Ảnh hưởng của Thuế</w:t>
      </w:r>
    </w:p>
    <w:p>
      <w:pPr>
        <w:pStyle w:val="Normal"/>
        <w:ind w:left="0" w:firstLineChars="0" w:firstLine="0" w:leftChars="200"/>
      </w:pPr>
      <w:r>
        <w:t>Nhu cầu Tái đầu tư</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11 Ước tính Tăng trưởng</w:t>
      </w:r>
    </w:p>
    <w:p>
      <w:pPr>
        <w:pStyle w:val="Normal"/>
        <w:ind w:left="0" w:firstLineChars="0" w:firstLine="0" w:leftChars="200"/>
      </w:pPr>
      <w:r>
        <w:t>Tầm quan trọng của Tăng trưởng</w:t>
      </w:r>
    </w:p>
    <w:p>
      <w:pPr>
        <w:pStyle w:val="Normal"/>
        <w:ind w:left="0" w:firstLineChars="0" w:firstLine="0" w:leftChars="200"/>
      </w:pPr>
      <w:r>
        <w:t>Tăng trưởng Lịch sử</w:t>
      </w:r>
    </w:p>
    <w:p>
      <w:pPr>
        <w:pStyle w:val="Normal"/>
        <w:ind w:left="0" w:firstLineChars="0" w:firstLine="0" w:leftChars="200"/>
      </w:pPr>
      <w:r>
        <w:t>Thuê ngoài Tăng trưởng</w:t>
      </w:r>
    </w:p>
    <w:p>
      <w:pPr>
        <w:pStyle w:val="Normal"/>
        <w:ind w:left="0" w:firstLineChars="0" w:firstLine="0" w:leftChars="200"/>
      </w:pPr>
      <w:r>
        <w:t>Các Yếu tố Quyết định Cơ bản của Tăng trưởng</w:t>
      </w:r>
    </w:p>
    <w:p>
      <w:pPr>
        <w:pStyle w:val="Normal"/>
        <w:ind w:left="0" w:firstLineChars="0" w:firstLine="0" w:leftChars="200"/>
      </w:pPr>
      <w:r>
        <w:t>Tăng trưởng Từ trên xuống: Từ Tăng trưởng Doanh thu đến Dòng tiền Tự do</w:t>
      </w:r>
    </w:p>
    <w:p>
      <w:pPr>
        <w:pStyle w:val="Normal"/>
        <w:ind w:left="0" w:firstLineChars="0" w:firstLine="0" w:leftChars="200"/>
      </w:pPr>
      <w:r>
        <w:t>Các Khía cạnh Định tính của Tăng trưởng</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12 Khép lại định giá: Ước tính giá trị cuối kỳ</w:t>
      </w:r>
    </w:p>
    <w:p>
      <w:pPr>
        <w:pStyle w:val="Normal"/>
        <w:ind w:left="0" w:firstLineChars="0" w:firstLine="0" w:leftChars="200"/>
      </w:pPr>
      <w:r>
        <w:t>Khép lại định giá</w:t>
      </w:r>
    </w:p>
    <w:p>
      <w:pPr>
        <w:pStyle w:val="Normal"/>
        <w:ind w:left="0" w:firstLineChars="0" w:firstLine="0" w:leftChars="200"/>
      </w:pPr>
      <w:r>
        <w:t>Vấn đề tồn tại</w:t>
      </w:r>
    </w:p>
    <w:p>
      <w:pPr>
        <w:pStyle w:val="Normal"/>
        <w:ind w:left="0" w:firstLineChars="0" w:firstLine="0" w:leftChars="200"/>
      </w:pPr>
      <w:r>
        <w:t>Suy nghĩ cuối cùng về giá trị cuối kỳ</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13 Câu chuyện và con số – Từ câu chuyện đến giá trị</w:t>
      </w:r>
    </w:p>
    <w:p>
      <w:pPr>
        <w:pStyle w:val="Normal"/>
        <w:ind w:left="0" w:firstLineChars="0" w:firstLine="0" w:leftChars="200"/>
      </w:pPr>
      <w:r>
        <w:t>Định giá như một cây cầu</w:t>
      </w:r>
    </w:p>
    <w:p>
      <w:pPr>
        <w:pStyle w:val="Normal"/>
        <w:ind w:left="0" w:firstLineChars="0" w:firstLine="0" w:leftChars="200"/>
      </w:pPr>
      <w:r>
        <w:t>Tầm quan trọng của việc kể chuyện</w:t>
      </w:r>
    </w:p>
    <w:p>
      <w:pPr>
        <w:pStyle w:val="Normal"/>
        <w:ind w:left="0" w:firstLineChars="0" w:firstLine="0" w:leftChars="200"/>
      </w:pPr>
      <w:r>
        <w:t>Những nguy hiểm trong việc kể chuyện</w:t>
      </w:r>
    </w:p>
    <w:p>
      <w:pPr>
        <w:pStyle w:val="Normal"/>
        <w:ind w:left="0" w:firstLineChars="0" w:firstLine="0" w:leftChars="200"/>
      </w:pPr>
      <w:r>
        <w:t>Từ câu chuyện đến con số: Quy trình</w:t>
      </w:r>
    </w:p>
    <w:p>
      <w:pPr>
        <w:pStyle w:val="Normal"/>
        <w:ind w:left="0" w:firstLineChars="0" w:firstLine="0" w:leftChars="200"/>
      </w:pPr>
      <w:r>
        <w:t>Câu chuyện và con số xuyên suốt vòng đời</w:t>
      </w:r>
    </w:p>
    <w:p>
      <w:pPr>
        <w:pStyle w:val="Normal"/>
        <w:ind w:left="0" w:firstLineChars="0" w:firstLine="0" w:leftChars="200"/>
      </w:pPr>
      <w:r>
        <w:t>Câu chuyện được thiết lập lại, thay đổi và phá vỡ</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14 Các mô hình giá trị nội tại của vốn cổ phần</w:t>
      </w:r>
    </w:p>
    <w:p>
      <w:pPr>
        <w:pStyle w:val="Normal"/>
        <w:ind w:left="0" w:firstLineChars="0" w:firstLine="0" w:leftChars="200"/>
      </w:pPr>
      <w:r>
        <w:t>Định giá vốn cổ phần</w:t>
      </w:r>
    </w:p>
    <w:p>
      <w:pPr>
        <w:pStyle w:val="Normal"/>
        <w:ind w:left="0" w:firstLineChars="0" w:firstLine="0" w:leftChars="200"/>
      </w:pPr>
      <w:r>
        <w:t>Mô hình chiết khấu cổ tức</w:t>
      </w:r>
    </w:p>
    <w:p>
      <w:pPr>
        <w:pStyle w:val="Normal"/>
        <w:ind w:left="0" w:firstLineChars="0" w:firstLine="0" w:leftChars="200"/>
      </w:pPr>
      <w:r>
        <w:t>Mô hình chiết khấu cổ tức mở rộng</w:t>
      </w:r>
    </w:p>
    <w:p>
      <w:pPr>
        <w:pStyle w:val="Normal"/>
        <w:ind w:left="0" w:firstLineChars="0" w:firstLine="0" w:leftChars="200"/>
      </w:pPr>
      <w:r>
        <w:t>Các mô hình cổ tức tiềm năng hoặc FCFE</w:t>
      </w:r>
    </w:p>
    <w:p>
      <w:pPr>
        <w:pStyle w:val="Normal"/>
        <w:ind w:left="0" w:firstLineChars="0" w:firstLine="0" w:leftChars="200"/>
      </w:pPr>
      <w:r>
        <w:t>Định giá theo FCFE so với định giá theo mô hình chiết khấu cổ tức</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15 Định giá doanh nghiệp: Các phương pháp Chi phí vốn và Giá trị hiện tại điều chỉnh</w:t>
      </w:r>
    </w:p>
    <w:p>
      <w:pPr>
        <w:pStyle w:val="Normal"/>
        <w:ind w:left="0" w:firstLineChars="0" w:firstLine="0" w:leftChars="200"/>
      </w:pPr>
      <w:r>
        <w:t>Dòng tiền tự do của doanh nghiệp</w:t>
      </w:r>
    </w:p>
    <w:p>
      <w:pPr>
        <w:pStyle w:val="Normal"/>
        <w:ind w:left="0" w:firstLineChars="0" w:firstLine="0" w:leftChars="200"/>
      </w:pPr>
      <w:r>
        <w:t>Định giá doanh nghiệp: Phương pháp chi phí vốn</w:t>
      </w:r>
    </w:p>
    <w:p>
      <w:pPr>
        <w:pStyle w:val="Normal"/>
        <w:ind w:left="0" w:firstLineChars="0" w:firstLine="0" w:leftChars="200"/>
      </w:pPr>
      <w:r>
        <w:t>Định giá doanh nghiệp: Phương pháp giá trị hiện tại điều chỉnh</w:t>
      </w:r>
    </w:p>
    <w:p>
      <w:pPr>
        <w:pStyle w:val="Normal"/>
        <w:ind w:left="0" w:firstLineChars="0" w:firstLine="0" w:leftChars="200"/>
      </w:pPr>
      <w:r>
        <w:t>Định giá doanh nghiệp: Tổng các phần</w:t>
      </w:r>
    </w:p>
    <w:p>
      <w:pPr>
        <w:pStyle w:val="Normal"/>
        <w:ind w:left="0" w:firstLineChars="0" w:firstLine="0" w:leftChars="200"/>
      </w:pPr>
      <w:r>
        <w:t>Ảnh hưởng của đòn bẩy lên giá trị doanh nghiệp</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16 Ước tính giá trị vốn chủ sở hữu trên mỗi cổ phần</w:t>
      </w:r>
    </w:p>
    <w:p>
      <w:pPr>
        <w:pStyle w:val="Normal"/>
        <w:ind w:left="0" w:firstLineChars="0" w:firstLine="0" w:leftChars="200"/>
      </w:pPr>
      <w:r>
        <w:t>Giá trị của tài sản phi hoạt động</w:t>
      </w:r>
    </w:p>
    <w:p>
      <w:pPr>
        <w:pStyle w:val="Normal"/>
        <w:ind w:left="0" w:firstLineChars="0" w:firstLine="0" w:leftChars="200"/>
      </w:pPr>
      <w:r>
        <w:t>Giá trị doanh nghiệp và giá trị vốn chủ sở hữu</w:t>
      </w:r>
    </w:p>
    <w:p>
      <w:pPr>
        <w:pStyle w:val="Normal"/>
        <w:ind w:left="0" w:firstLineChars="0" w:firstLine="0" w:leftChars="200"/>
      </w:pPr>
      <w:r>
        <w:t>Thù lao dựa trên cổ phiếu</w:t>
      </w:r>
    </w:p>
    <w:p>
      <w:pPr>
        <w:pStyle w:val="Normal"/>
        <w:ind w:left="0" w:firstLineChars="0" w:firstLine="0" w:leftChars="200"/>
      </w:pPr>
      <w:r>
        <w:t>Giá trị trên mỗi cổ phần khi quyền biểu quyết khác nhau</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17 Các nguyên tắc cơ bản của định giá tương đối</w:t>
      </w:r>
    </w:p>
    <w:p>
      <w:pPr>
        <w:pStyle w:val="Normal"/>
        <w:ind w:left="0" w:firstLineChars="0" w:firstLine="0" w:leftChars="200"/>
      </w:pPr>
      <w:r>
        <w:t>Sử dụng định giá tương đối</w:t>
      </w:r>
    </w:p>
    <w:p>
      <w:pPr>
        <w:pStyle w:val="Normal"/>
        <w:ind w:left="0" w:firstLineChars="0" w:firstLine="0" w:leftChars="200"/>
      </w:pPr>
      <w:r>
        <w:t>Giá trị chuẩn hóa và các bội số</w:t>
      </w:r>
    </w:p>
    <w:p>
      <w:pPr>
        <w:pStyle w:val="Normal"/>
        <w:ind w:left="0" w:firstLineChars="0" w:firstLine="0" w:leftChars="200"/>
      </w:pPr>
      <w:r>
        <w:t>Bốn bước cơ bản để sử dụng bội số</w:t>
      </w:r>
    </w:p>
    <w:p>
      <w:pPr>
        <w:pStyle w:val="Normal"/>
        <w:ind w:left="0" w:firstLineChars="0" w:firstLine="0" w:leftChars="200"/>
      </w:pPr>
      <w:r>
        <w:t>Hài hòa giữa định giá tương đối và định giá dòng tiền chiết khấu</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18 Bội số thu nhập</w:t>
      </w:r>
    </w:p>
    <w:p>
      <w:pPr>
        <w:pStyle w:val="Normal"/>
        <w:ind w:left="0" w:firstLineChars="0" w:firstLine="0" w:leftChars="200"/>
      </w:pPr>
      <w:r>
        <w:t>Tỷ số giá trên thu nhập</w:t>
      </w:r>
    </w:p>
    <w:p>
      <w:pPr>
        <w:pStyle w:val="Normal"/>
        <w:ind w:left="0" w:firstLineChars="0" w:firstLine="0" w:leftChars="200"/>
      </w:pPr>
      <w:r>
        <w:t>Tỷ số PEG</w:t>
      </w:r>
    </w:p>
    <w:p>
      <w:pPr>
        <w:pStyle w:val="Normal"/>
        <w:ind w:left="0" w:firstLineChars="0" w:firstLine="0" w:leftChars="200"/>
      </w:pPr>
      <w:r>
        <w:t>Các biến thể khác của tỷ số PE</w:t>
      </w:r>
    </w:p>
    <w:p>
      <w:pPr>
        <w:pStyle w:val="Normal"/>
        <w:ind w:left="0" w:firstLineChars="0" w:firstLine="0" w:leftChars="200"/>
      </w:pPr>
      <w:r>
        <w:t>Bội số giá trị doanh nghiệp trên EBITDA</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19 Bội số giá trị sổ sách</w:t>
      </w:r>
    </w:p>
    <w:p>
      <w:pPr>
        <w:pStyle w:val="Normal"/>
        <w:ind w:left="0" w:firstLineChars="0" w:firstLine="0" w:leftChars="200"/>
      </w:pPr>
      <w:r>
        <w:t>Giá trên giá trị sổ sách vốn chủ sở hữu</w:t>
      </w:r>
    </w:p>
    <w:p>
      <w:pPr>
        <w:pStyle w:val="Normal"/>
        <w:ind w:left="0" w:firstLineChars="0" w:firstLine="0" w:leftChars="200"/>
      </w:pPr>
      <w:r>
        <w:t>Tỷ số giá trị trên giá trị sổ sách</w:t>
      </w:r>
    </w:p>
    <w:p>
      <w:pPr>
        <w:pStyle w:val="Normal"/>
        <w:ind w:left="0" w:firstLineChars="0" w:firstLine="0" w:leftChars="200"/>
      </w:pPr>
      <w:r>
        <w:t>Tobin's Q: Giá trị thị trường/Chi phí thay thế</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20 Bội số doanh thu và bội số đặc thù theo ngành</w:t>
      </w:r>
    </w:p>
    <w:p>
      <w:pPr>
        <w:pStyle w:val="Normal"/>
        <w:ind w:left="0" w:firstLineChars="0" w:firstLine="0" w:leftChars="200"/>
      </w:pPr>
      <w:r>
        <w:t>Bội số doanh thu</w:t>
      </w:r>
    </w:p>
    <w:p>
      <w:pPr>
        <w:pStyle w:val="Normal"/>
        <w:ind w:left="0" w:firstLineChars="0" w:firstLine="0" w:leftChars="200"/>
      </w:pPr>
      <w:r>
        <w:t>Bội số đặc thù theo ngành</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21 Định giá các công ty dịch vụ tài chính</w:t>
      </w:r>
    </w:p>
    <w:p>
      <w:pPr>
        <w:pStyle w:val="Normal"/>
        <w:ind w:left="0" w:firstLineChars="0" w:firstLine="0" w:leftChars="200"/>
      </w:pPr>
      <w:r>
        <w:t>Các loại công ty dịch vụ tài chính</w:t>
      </w:r>
    </w:p>
    <w:p>
      <w:pPr>
        <w:pStyle w:val="Normal"/>
        <w:ind w:left="0" w:firstLineChars="0" w:firstLine="0" w:leftChars="200"/>
      </w:pPr>
      <w:r>
        <w:t>Điều gì làm cho các công ty dịch vụ tài chính trở nên đặc biệt?</w:t>
      </w:r>
    </w:p>
    <w:p>
      <w:pPr>
        <w:pStyle w:val="Normal"/>
        <w:ind w:left="0" w:firstLineChars="0" w:firstLine="0" w:leftChars="200"/>
      </w:pPr>
      <w:r>
        <w:t>Khung tổng quát để định giá</w:t>
      </w:r>
    </w:p>
    <w:p>
      <w:pPr>
        <w:pStyle w:val="Normal"/>
        <w:ind w:left="0" w:firstLineChars="0" w:firstLine="0" w:leftChars="200"/>
      </w:pPr>
      <w:r>
        <w:t>Định giá theo dòng tiền chiết khấu (Discounted Cash Flow Valuation)</w:t>
      </w:r>
    </w:p>
    <w:p>
      <w:pPr>
        <w:pStyle w:val="Normal"/>
        <w:ind w:left="0" w:firstLineChars="0" w:firstLine="0" w:leftChars="200"/>
      </w:pPr>
      <w:r>
        <w:t>Định giá tương đối (Relative Valuation)</w:t>
      </w:r>
    </w:p>
    <w:p>
      <w:pPr>
        <w:pStyle w:val="Normal"/>
        <w:ind w:left="0" w:firstLineChars="0" w:firstLine="0" w:leftChars="200"/>
      </w:pPr>
      <w:r>
        <w:t>Tác động của khủng hoảng</w:t>
      </w:r>
    </w:p>
    <w:p>
      <w:pPr>
        <w:pStyle w:val="Normal"/>
        <w:ind w:left="0" w:firstLineChars="0" w:firstLine="0" w:leftChars="200"/>
      </w:pPr>
      <w:r>
        <w:t>Các công ty dịch vụ tài chính phi ngân hàng</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22 Định giá các công ty thua lỗ</w:t>
      </w:r>
    </w:p>
    <w:p>
      <w:pPr>
        <w:pStyle w:val="Normal"/>
        <w:ind w:left="0" w:firstLineChars="0" w:firstLine="0" w:leftChars="200"/>
      </w:pPr>
      <w:r>
        <w:t>Lợi nhuận âm: Hậu quả và nguyên nhân</w:t>
      </w:r>
    </w:p>
    <w:p>
      <w:pPr>
        <w:pStyle w:val="Normal"/>
        <w:ind w:left="0" w:firstLineChars="0" w:firstLine="0" w:leftChars="200"/>
      </w:pPr>
      <w:r>
        <w:t>Định giá các công ty thua lỗ</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23 Định giá các công ty non trẻ hoặc mới khởi nghiệp</w:t>
      </w:r>
    </w:p>
    <w:p>
      <w:pPr>
        <w:pStyle w:val="Normal"/>
        <w:ind w:left="0" w:firstLineChars="0" w:firstLine="0" w:leftChars="200"/>
      </w:pPr>
      <w:r>
        <w:t>Những hạn chế về thông tin</w:t>
      </w:r>
    </w:p>
    <w:p>
      <w:pPr>
        <w:pStyle w:val="Normal"/>
        <w:ind w:left="0" w:firstLineChars="0" w:firstLine="0" w:leftChars="200"/>
      </w:pPr>
      <w:r>
        <w:t>Khung phân tích tổng quát</w:t>
      </w:r>
    </w:p>
    <w:p>
      <w:pPr>
        <w:pStyle w:val="Normal"/>
        <w:ind w:left="0" w:firstLineChars="0" w:firstLine="0" w:leftChars="200"/>
      </w:pPr>
      <w:r>
        <w:t>Các yếu tố tạo giá trị</w:t>
      </w:r>
    </w:p>
    <w:p>
      <w:pPr>
        <w:pStyle w:val="Normal"/>
        <w:ind w:left="0" w:firstLineChars="0" w:firstLine="0" w:leftChars="200"/>
      </w:pPr>
      <w:r>
        <w:t>Sai số trong ước lượng</w:t>
      </w:r>
    </w:p>
    <w:p>
      <w:pPr>
        <w:pStyle w:val="Normal"/>
        <w:ind w:left="0" w:firstLineChars="0" w:firstLine="0" w:leftChars="200"/>
      </w:pPr>
      <w:r>
        <w:t>Cuộc chơi kỳ vọng</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24 Định giá các công ty tư nhân</w:t>
      </w:r>
    </w:p>
    <w:p>
      <w:pPr>
        <w:pStyle w:val="Normal"/>
        <w:ind w:left="0" w:firstLineChars="0" w:firstLine="0" w:leftChars="200"/>
      </w:pPr>
      <w:r>
        <w:t>Điều gì khiến các công ty tư nhân khác biệt?</w:t>
      </w:r>
    </w:p>
    <w:p>
      <w:pPr>
        <w:pStyle w:val="Normal"/>
        <w:ind w:left="0" w:firstLineChars="0" w:firstLine="0" w:leftChars="200"/>
      </w:pPr>
      <w:r>
        <w:t>Ước lượng các yếu tố đầu vào định giá tại các công ty tư nhân</w:t>
      </w:r>
    </w:p>
    <w:p>
      <w:pPr>
        <w:pStyle w:val="Normal"/>
        <w:ind w:left="0" w:firstLineChars="0" w:firstLine="0" w:leftChars="200"/>
      </w:pPr>
      <w:r>
        <w:t>Động cơ định giá và ước tính giá trị</w:t>
      </w:r>
    </w:p>
    <w:p>
      <w:pPr>
        <w:pStyle w:val="Normal"/>
        <w:ind w:left="0" w:firstLineChars="0" w:firstLine="0" w:leftChars="200"/>
      </w:pPr>
      <w:r>
        <w:t>Định giá các khoản đầu tư vốn mạo hiểm và vốn cổ phần tư nhân</w:t>
      </w:r>
    </w:p>
    <w:p>
      <w:pPr>
        <w:pStyle w:val="Normal"/>
        <w:ind w:left="0" w:firstLineChars="0" w:firstLine="0" w:leftChars="200"/>
      </w:pPr>
      <w:r>
        <w:t>Định giá các doanh nghiệp tư nhân</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25 Mua lại và Thâu tóm</w:t>
      </w:r>
    </w:p>
    <w:p>
      <w:pPr>
        <w:pStyle w:val="Normal"/>
        <w:ind w:left="0" w:firstLineChars="0" w:firstLine="0" w:leftChars="200"/>
      </w:pPr>
      <w:r>
        <w:t>Bối cảnh về các thương vụ mua lại</w:t>
      </w:r>
    </w:p>
    <w:p>
      <w:pPr>
        <w:pStyle w:val="Normal"/>
        <w:ind w:left="0" w:firstLineChars="0" w:firstLine="0" w:leftChars="200"/>
      </w:pPr>
      <w:r>
        <w:t>Các bước trong một thương vụ mua lại</w:t>
      </w:r>
    </w:p>
    <w:p>
      <w:pPr>
        <w:pStyle w:val="Normal"/>
        <w:ind w:left="0" w:firstLineChars="0" w:firstLine="0" w:leftChars="200"/>
      </w:pPr>
      <w:r>
        <w:t>Định giá thâu tóm: Những thiên kiến và lỗi thường gặp</w:t>
      </w:r>
    </w:p>
    <w:p>
      <w:pPr>
        <w:pStyle w:val="Normal"/>
        <w:ind w:left="0" w:firstLineChars="0" w:firstLine="0" w:leftChars="200"/>
      </w:pPr>
      <w:r>
        <w:t>Cấu trúc thương vụ mua lại</w:t>
      </w:r>
    </w:p>
    <w:p>
      <w:pPr>
        <w:pStyle w:val="Normal"/>
        <w:ind w:left="0" w:firstLineChars="0" w:firstLine="0" w:leftChars="200"/>
      </w:pPr>
      <w:r>
        <w:t>Nâng cao khả năng thành công</w:t>
      </w:r>
    </w:p>
    <w:p>
      <w:pPr>
        <w:pStyle w:val="Normal"/>
        <w:ind w:left="0" w:firstLineChars="0" w:firstLine="0" w:leftChars="200"/>
      </w:pPr>
      <w:r>
        <w:t>Phân tích các thương vụ mua lại bởi ban điều hành và mua lại bằng đòn bẩy</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26 Định giá bất động sản</w:t>
      </w:r>
    </w:p>
    <w:p>
      <w:pPr>
        <w:pStyle w:val="Normal"/>
        <w:ind w:left="0" w:firstLineChars="0" w:firstLine="0" w:leftChars="200"/>
      </w:pPr>
      <w:r>
        <w:t>Tài sản thực so với tài sản tài chính</w:t>
      </w:r>
    </w:p>
    <w:p>
      <w:pPr>
        <w:pStyle w:val="Normal"/>
        <w:ind w:left="0" w:firstLineChars="0" w:firstLine="0" w:leftChars="200"/>
      </w:pPr>
      <w:r>
        <w:t>Bất động sản: Lớp tài sản đầu tư ít được quan tâm</w:t>
      </w:r>
    </w:p>
    <w:p>
      <w:pPr>
        <w:pStyle w:val="Normal"/>
        <w:ind w:left="0" w:firstLineChars="0" w:firstLine="0" w:leftChars="200"/>
      </w:pPr>
      <w:r>
        <w:t>Định giá nội tại bất động sản</w:t>
      </w:r>
    </w:p>
    <w:p>
      <w:pPr>
        <w:pStyle w:val="Normal"/>
        <w:ind w:left="0" w:firstLineChars="0" w:firstLine="0" w:leftChars="200"/>
      </w:pPr>
      <w:r>
        <w:t>Định giá so sánh/tương đối</w:t>
      </w:r>
    </w:p>
    <w:p>
      <w:pPr>
        <w:pStyle w:val="Normal"/>
        <w:ind w:left="0" w:firstLineChars="0" w:firstLine="0" w:leftChars="200"/>
      </w:pPr>
      <w:r>
        <w:t>Định giá các doanh nghiệp bất động sản</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27 Định giá các loại tài sản khác</w:t>
      </w:r>
    </w:p>
    <w:p>
      <w:pPr>
        <w:pStyle w:val="Normal"/>
        <w:ind w:left="0" w:firstLineChars="0" w:firstLine="0" w:leftChars="200"/>
      </w:pPr>
      <w:r>
        <w:t>Phân loại khoản đầu tư</w:t>
      </w:r>
    </w:p>
    <w:p>
      <w:pPr>
        <w:pStyle w:val="Normal"/>
        <w:ind w:left="0" w:firstLineChars="0" w:firstLine="0" w:leftChars="200"/>
      </w:pPr>
      <w:r>
        <w:t>Tài sản tạo ra dòng tiền</w:t>
      </w:r>
    </w:p>
    <w:p>
      <w:pPr>
        <w:pStyle w:val="Normal"/>
        <w:ind w:left="0" w:firstLineChars="0" w:firstLine="0" w:leftChars="200"/>
      </w:pPr>
      <w:r>
        <w:t>Đồ sưu tầm</w:t>
      </w:r>
    </w:p>
    <w:p>
      <w:pPr>
        <w:pStyle w:val="Normal"/>
        <w:ind w:left="0" w:firstLineChars="0" w:firstLine="0" w:leftChars="200"/>
      </w:pPr>
      <w:r>
        <w:t>Tài sản danh giá</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28 Quyền chọn trì hoãn và hàm ý định giá</w:t>
      </w:r>
    </w:p>
    <w:p>
      <w:pPr>
        <w:pStyle w:val="Normal"/>
        <w:ind w:left="0" w:firstLineChars="0" w:firstLine="0" w:leftChars="200"/>
      </w:pPr>
      <w:r>
        <w:t>Quyền chọn thực: Hứa hẹn và cạm bẫy</w:t>
      </w:r>
    </w:p>
    <w:p>
      <w:pPr>
        <w:pStyle w:val="Normal"/>
        <w:ind w:left="0" w:firstLineChars="0" w:firstLine="0" w:leftChars="200"/>
      </w:pPr>
      <w:r>
        <w:t>Quyền chọn trì hoãn một dự án</w:t>
      </w:r>
    </w:p>
    <w:p>
      <w:pPr>
        <w:pStyle w:val="Normal"/>
        <w:ind w:left="0" w:firstLineChars="0" w:firstLine="0" w:leftChars="200"/>
      </w:pPr>
      <w:r>
        <w:t>Định giá một bằng sáng chế</w:t>
      </w:r>
    </w:p>
    <w:p>
      <w:pPr>
        <w:pStyle w:val="Normal"/>
        <w:ind w:left="0" w:firstLineChars="0" w:firstLine="0" w:leftChars="200"/>
      </w:pPr>
      <w:r>
        <w:t>Quyền chọn tài nguyên thiên nhiên</w:t>
      </w:r>
    </w:p>
    <w:p>
      <w:pPr>
        <w:pStyle w:val="Normal"/>
        <w:ind w:left="0" w:firstLineChars="0" w:firstLine="0" w:leftChars="200"/>
      </w:pPr>
      <w:r>
        <w:t>Các ứng dụng khác</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29 Quyền chọn mở rộng và quyền chọn từ bỏ: Hàm ý định giá</w:t>
      </w:r>
    </w:p>
    <w:p>
      <w:pPr>
        <w:pStyle w:val="Normal"/>
        <w:ind w:left="0" w:firstLineChars="0" w:firstLine="0" w:leftChars="200"/>
      </w:pPr>
      <w:r>
        <w:t>Quyền chọn mở rộng</w:t>
      </w:r>
    </w:p>
    <w:p>
      <w:pPr>
        <w:pStyle w:val="Normal"/>
        <w:ind w:left="0" w:firstLineChars="0" w:firstLine="0" w:leftChars="200"/>
      </w:pPr>
      <w:r>
        <w:t>Khi nào quyền chọn mở rộng có giá trị?</w:t>
      </w:r>
    </w:p>
    <w:p>
      <w:pPr>
        <w:pStyle w:val="Normal"/>
        <w:ind w:left="0" w:firstLineChars="0" w:firstLine="0" w:leftChars="200"/>
      </w:pPr>
      <w:r>
        <w:t>Định giá một doanh nghiệp có quyền chọn mở rộng</w:t>
      </w:r>
    </w:p>
    <w:p>
      <w:pPr>
        <w:pStyle w:val="Normal"/>
        <w:ind w:left="0" w:firstLineChars="0" w:firstLine="0" w:leftChars="200"/>
      </w:pPr>
      <w:r>
        <w:t>Định giá tính quyền chọn trong người dùng và dữ liệu</w:t>
      </w:r>
    </w:p>
    <w:p>
      <w:pPr>
        <w:pStyle w:val="Normal"/>
        <w:ind w:left="0" w:firstLineChars="0" w:firstLine="0" w:leftChars="200"/>
      </w:pPr>
      <w:r>
        <w:t>Giá trị của sự linh hoạt tài chính</w:t>
      </w:r>
    </w:p>
    <w:p>
      <w:pPr>
        <w:pStyle w:val="Normal"/>
        <w:ind w:left="0" w:firstLineChars="0" w:firstLine="0" w:leftChars="200"/>
      </w:pPr>
      <w:r>
        <w:t>Quyền chọn từ bỏ</w:t>
      </w:r>
    </w:p>
    <w:p>
      <w:pPr>
        <w:pStyle w:val="Normal"/>
        <w:ind w:left="0" w:firstLineChars="0" w:firstLine="0" w:leftChars="200"/>
      </w:pPr>
      <w:r>
        <w:t>Hòa giải giữa Giá trị Hiện tại Ròng và Định giá Quyền chọn Thực</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30 Định giá Vốn chủ sở hữu trong các Công ty Gặp Khó khăn</w:t>
      </w:r>
    </w:p>
    <w:p>
      <w:pPr>
        <w:pStyle w:val="Normal"/>
        <w:ind w:left="0" w:firstLineChars="0" w:firstLine="0" w:leftChars="200"/>
      </w:pPr>
      <w:r>
        <w:t>Vốn chủ sở hữu trong các Công ty Gặp Khó khăn có Đòn bẩy Cao</w:t>
      </w:r>
    </w:p>
    <w:p>
      <w:pPr>
        <w:pStyle w:val="Normal"/>
        <w:ind w:left="0" w:firstLineChars="0" w:firstLine="0" w:leftChars="200"/>
      </w:pPr>
      <w:r>
        <w:t>Tính Quyền chọn trong Định giá: Góc nhìn theo Chu kỳ Sống của Doanh nghiệp</w:t>
      </w:r>
    </w:p>
    <w:p>
      <w:pPr>
        <w:pStyle w:val="Normal"/>
        <w:ind w:left="0" w:firstLineChars="0" w:firstLine="0" w:leftChars="200"/>
      </w:pPr>
      <w:r>
        <w:t>Hàm ý của việc Xem Vốn chủ sở hữu như một Quyền chọn</w:t>
      </w:r>
    </w:p>
    <w:p>
      <w:pPr>
        <w:pStyle w:val="Normal"/>
        <w:ind w:left="0" w:firstLineChars="0" w:firstLine="0" w:leftChars="200"/>
      </w:pPr>
      <w:r>
        <w:t>Ước lượng Giá trị Vốn chủ sở hữu như một Quyền chọn</w:t>
      </w:r>
    </w:p>
    <w:p>
      <w:pPr>
        <w:pStyle w:val="Normal"/>
        <w:ind w:left="0" w:firstLineChars="0" w:firstLine="0" w:leftChars="200"/>
      </w:pPr>
      <w:r>
        <w:t>Vốn chủ sở hữu Gặp Khó khăn như một Quyền chọn: Hệ quả đối với Việc Ra Quyết định</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31 Gia tăng Giá trị: Khung Định giá theo Dòng tiền Chiết khấu</w:t>
      </w:r>
    </w:p>
    <w:p>
      <w:pPr>
        <w:pStyle w:val="Normal"/>
        <w:ind w:left="0" w:firstLineChars="0" w:firstLine="0" w:leftChars="200"/>
      </w:pPr>
      <w:r>
        <w:t>Các Hành động Tạo giá trị và Trung hòa Giá trị</w:t>
      </w:r>
    </w:p>
    <w:p>
      <w:pPr>
        <w:pStyle w:val="Normal"/>
        <w:ind w:left="0" w:firstLineChars="0" w:firstLine="0" w:leftChars="200"/>
      </w:pPr>
      <w:r>
        <w:t>Các cách Gia tăng Giá trị</w:t>
      </w:r>
    </w:p>
    <w:p>
      <w:pPr>
        <w:pStyle w:val="Normal"/>
        <w:ind w:left="0" w:firstLineChars="0" w:firstLine="0" w:leftChars="200"/>
      </w:pPr>
      <w:r>
        <w:t>Chuỗi Gia tăng Giá trị</w:t>
      </w:r>
    </w:p>
    <w:p>
      <w:pPr>
        <w:pStyle w:val="Normal"/>
        <w:ind w:left="0" w:firstLineChars="0" w:firstLine="0" w:leftChars="200"/>
      </w:pPr>
      <w:r>
        <w:t>Suy nghĩ Khép lại về Gia tăng Giá trị</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32 Gia tăng Giá trị: Giá trị Kinh tế Gia tăng, Tỷ suất Sinh lời trên Dòng tiền Đầu tư, và các Công cụ Khác</w:t>
      </w:r>
    </w:p>
    <w:p>
      <w:pPr>
        <w:pStyle w:val="Normal"/>
        <w:ind w:left="0" w:firstLineChars="0" w:firstLine="0" w:leftChars="200"/>
      </w:pPr>
      <w:r>
        <w:t>Giá trị Kinh tế Gia tăng</w:t>
      </w:r>
    </w:p>
    <w:p>
      <w:pPr>
        <w:pStyle w:val="Normal"/>
        <w:ind w:left="0" w:firstLineChars="0" w:firstLine="0" w:leftChars="200"/>
      </w:pPr>
      <w:r>
        <w:t>Tỷ suất Sinh lời trên Dòng tiền Đầu tư</w:t>
      </w:r>
    </w:p>
    <w:p>
      <w:pPr>
        <w:pStyle w:val="Normal"/>
        <w:ind w:left="0" w:firstLineChars="0" w:firstLine="0" w:leftChars="200"/>
      </w:pPr>
      <w:r>
        <w:t>Lời bạt về Gia tăng Giá trị</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33 Các phương pháp tiếp cận xác suất trong định giá: Phân tích kịch bản, Cây quyết định và Mô phỏng</w:t>
      </w:r>
    </w:p>
    <w:p>
      <w:pPr>
        <w:pStyle w:val="Normal"/>
        <w:ind w:left="0" w:firstLineChars="0" w:firstLine="0" w:leftChars="200"/>
      </w:pPr>
      <w:r>
        <w:t>Phân tích kịch bản</w:t>
      </w:r>
    </w:p>
    <w:p>
      <w:pPr>
        <w:pStyle w:val="Normal"/>
        <w:ind w:left="0" w:firstLineChars="0" w:firstLine="0" w:leftChars="200"/>
      </w:pPr>
      <w:r>
        <w:t>Cây quyết định</w:t>
      </w:r>
    </w:p>
    <w:p>
      <w:pPr>
        <w:pStyle w:val="Normal"/>
        <w:ind w:left="0" w:firstLineChars="0" w:firstLine="0" w:leftChars="200"/>
      </w:pPr>
      <w:r>
        <w:t>Mô phỏng</w:t>
      </w:r>
    </w:p>
    <w:p>
      <w:pPr>
        <w:pStyle w:val="Normal"/>
        <w:ind w:left="0" w:firstLineChars="0" w:firstLine="0" w:leftChars="200"/>
      </w:pPr>
      <w:r>
        <w:t>Đánh giá tổng thể các phương pháp tiếp cận đánh giá rủi ro theo xác suất</w:t>
      </w:r>
    </w:p>
    <w:p>
      <w:pPr>
        <w:pStyle w:val="Normal"/>
        <w:ind w:left="0" w:firstLineChars="0" w:firstLine="0" w:leftChars="200"/>
      </w:pPr>
      <w:r>
        <w:t>Kết luận</w:t>
      </w:r>
    </w:p>
    <w:p>
      <w:pPr>
        <w:pStyle w:val="Normal"/>
        <w:ind w:left="0" w:firstLineChars="0" w:firstLine="0" w:leftChars="200"/>
      </w:pPr>
      <w:r>
        <w:t>Câu hỏi và bài tập ngắn</w:t>
      </w:r>
    </w:p>
    <w:p>
      <w:pPr>
        <w:pStyle w:val="Normal"/>
        <w:ind w:left="0" w:firstLineChars="0" w:firstLine="0" w:leftChars="200"/>
      </w:pPr>
      <w:r>
        <w:t>Ghi chú</w:t>
      </w:r>
    </w:p>
    <w:p>
      <w:pPr>
        <w:pStyle w:val="Normal"/>
        <w:ind w:left="0" w:firstLineChars="0" w:firstLine="0" w:leftChars="0"/>
      </w:pPr>
      <w:r>
        <w:t>Chương 34 Tổng quan và Kết luận</w:t>
      </w:r>
    </w:p>
    <w:p>
      <w:pPr>
        <w:pStyle w:val="Normal"/>
        <w:ind w:left="0" w:firstLineChars="0" w:firstLine="0" w:leftChars="200"/>
      </w:pPr>
      <w:r>
        <w:t>Các lựa chọn trong mô hình định giá</w:t>
      </w:r>
    </w:p>
    <w:p>
      <w:pPr>
        <w:pStyle w:val="Normal"/>
        <w:ind w:left="0" w:firstLineChars="0" w:firstLine="0" w:leftChars="200"/>
      </w:pPr>
      <w:r>
        <w:t>Bạn nên dùng phương pháp nào?</w:t>
      </w:r>
    </w:p>
    <w:p>
      <w:pPr>
        <w:pStyle w:val="Normal"/>
        <w:ind w:left="0" w:firstLineChars="0" w:firstLine="0" w:leftChars="200"/>
      </w:pPr>
      <w:r>
        <w:t>Chọn mô hình định giá nội tại phù hợp</w:t>
      </w:r>
    </w:p>
    <w:p>
      <w:pPr>
        <w:pStyle w:val="Normal"/>
        <w:ind w:left="0" w:firstLineChars="0" w:firstLine="0" w:leftChars="200"/>
      </w:pPr>
      <w:r>
        <w:t>Chọn mô hình định giá theo giá thị trường phù hợp</w:t>
      </w:r>
    </w:p>
    <w:p>
      <w:pPr>
        <w:pStyle w:val="Normal"/>
        <w:ind w:left="0" w:firstLineChars="0" w:firstLine="0" w:leftChars="200"/>
      </w:pPr>
      <w:r>
        <w:t>Khi nào bạn nên dùng các mô hình định giá quyền chọn?</w:t>
      </w:r>
    </w:p>
    <w:p>
      <w:pPr>
        <w:pStyle w:val="Normal"/>
        <w:ind w:left="0" w:firstLineChars="0" w:firstLine="0" w:leftChars="200"/>
      </w:pPr>
      <w:r>
        <w:t>Kết luận</w:t>
      </w:r>
    </w:p>
    <w:p>
      <w:pPr>
        <w:pStyle w:val="Normal"/>
        <w:ind w:left="0" w:firstLineChars="0" w:firstLine="0" w:leftChars="0"/>
      </w:pPr>
      <w:r>
        <w:t>Tài liệu tham khảo</w:t>
      </w:r>
    </w:p>
    <w:p>
      <w:pPr>
        <w:pStyle w:val="Normal"/>
        <w:ind w:left="0" w:firstLineChars="0" w:firstLine="0" w:leftChars="0"/>
      </w:pPr>
      <w:r>
        <w:t>Chỉ mục</w:t>
      </w:r>
    </w:p>
    <w:p>
      <w:pPr>
        <w:pStyle w:val="Normal"/>
        <w:ind w:left="0" w:firstLineChars="0" w:firstLine="0" w:leftChars="0"/>
      </w:pPr>
      <w:r>
        <w:t>Thỏa thuận cấp phép cho người dùng cuối</w:t>
      </w:r>
    </w:p>
    <w:p>
      <w:bookmarkStart w:id="1" w:name="Table_of_Contents"/>
      <w:bookmarkStart w:id="2" w:name="Table_of_Contents__Cover_Table_o"/>
      <w:pPr>
        <w:keepNext/>
        <w:pStyle w:val="Para 73"/>
        <w:pageBreakBefore w:val="on"/>
        <w:keepLines w:val="on"/>
      </w:pPr>
      <w:r>
        <w:t>Mục lục</w:t>
      </w:r>
      <w:bookmarkEnd w:id="1"/>
      <w:bookmarkEnd w:id="2"/>
    </w:p>
    <w:p>
      <w:pPr>
        <w:pStyle w:val="Para 14"/>
      </w:pPr>
      <w:r>
        <w:t>Bìa</w:t>
      </w:r>
    </w:p>
    <w:p>
      <w:pPr>
        <w:pStyle w:val="Para 14"/>
      </w:pPr>
      <w:r>
        <w:t>Mục lục</w:t>
      </w:r>
    </w:p>
    <w:p>
      <w:pPr>
        <w:pStyle w:val="Para 14"/>
      </w:pPr>
      <w:r>
        <w:t>Trang tiêu đề</w:t>
      </w:r>
    </w:p>
    <w:p>
      <w:pPr>
        <w:pStyle w:val="Para 14"/>
      </w:pPr>
      <w:r>
        <w:t>Bản quyền</w:t>
      </w:r>
    </w:p>
    <w:p>
      <w:pPr>
        <w:pStyle w:val="Para 14"/>
      </w:pPr>
      <w:r>
        <w:t>Lời đề tặng</w:t>
      </w:r>
    </w:p>
    <w:p>
      <w:pPr>
        <w:pStyle w:val="Para 14"/>
      </w:pPr>
      <w:r>
        <w:t>Lời nói đầu cho ấn bản thứ tư</w:t>
      </w:r>
    </w:p>
    <w:p>
      <w:pPr>
        <w:pStyle w:val="Para 14"/>
      </w:pPr>
      <w:r>
        <w:t>Chương 1 Giới thiệu về định giá</w:t>
      </w:r>
    </w:p>
    <w:p>
      <w:pPr>
        <w:pStyle w:val="Para 14"/>
      </w:pPr>
      <w:r>
        <w:t>Nền tảng triết lý cho việc định giá</w:t>
      </w:r>
    </w:p>
    <w:p>
      <w:pPr>
        <w:pStyle w:val="Para 14"/>
      </w:pPr>
      <w:r>
        <w:t>Định giá theo giá thị trường so với định giá theo giá trị nội tại</w:t>
      </w:r>
    </w:p>
    <w:p>
      <w:pPr>
        <w:pStyle w:val="Para 14"/>
      </w:pPr>
      <w:r>
        <w:t>Tam giác Bermuda của việc định giá</w:t>
      </w:r>
    </w:p>
    <w:p>
      <w:pPr>
        <w:pStyle w:val="Para 14"/>
      </w:pPr>
      <w:r>
        <w:t>Hiệu quả thị trường</w:t>
      </w:r>
    </w:p>
    <w:p>
      <w:pPr>
        <w:pStyle w:val="Para 14"/>
      </w:pPr>
      <w:r>
        <w:t>Vai trò của việc định giá</w:t>
      </w:r>
    </w:p>
    <w:p>
      <w:pPr>
        <w:pStyle w:val="Para 14"/>
      </w:pPr>
      <w:r>
        <w:t>Kết luận</w:t>
      </w:r>
    </w:p>
    <w:p>
      <w:pPr>
        <w:pStyle w:val="Para 14"/>
      </w:pPr>
      <w:r>
        <w:t>Câu hỏi và bài tập ngắn</w:t>
      </w:r>
    </w:p>
    <w:p>
      <w:pPr>
        <w:pStyle w:val="Para 14"/>
      </w:pPr>
      <w:r>
        <w:t>Ghi chú</w:t>
      </w:r>
    </w:p>
    <w:p>
      <w:pPr>
        <w:pStyle w:val="Para 14"/>
      </w:pPr>
      <w:r>
        <w:t>Chương 2 Các phương pháp định giá</w:t>
      </w:r>
    </w:p>
    <w:p>
      <w:pPr>
        <w:pStyle w:val="Para 14"/>
      </w:pPr>
      <w:r>
        <w:t>Định giá theo giá trị nội tại</w:t>
      </w:r>
    </w:p>
    <w:p>
      <w:pPr>
        <w:pStyle w:val="Para 14"/>
      </w:pPr>
      <w:r>
        <w:t>Định giá theo giá thị trường hay định giá tương đối</w:t>
      </w:r>
    </w:p>
    <w:p>
      <w:pPr>
        <w:pStyle w:val="Para 14"/>
      </w:pPr>
      <w:r>
        <w:t>Định giá theo quyền phát sinh (contingent claim)</w:t>
      </w:r>
    </w:p>
    <w:p>
      <w:pPr>
        <w:pStyle w:val="Para 14"/>
      </w:pPr>
      <w:r>
        <w:t>Kết luận</w:t>
      </w:r>
    </w:p>
    <w:p>
      <w:pPr>
        <w:pStyle w:val="Para 14"/>
      </w:pPr>
      <w:r>
        <w:t>Câu hỏi và bài tập ngắn</w:t>
      </w:r>
    </w:p>
    <w:p>
      <w:pPr>
        <w:pStyle w:val="Para 14"/>
      </w:pPr>
      <w:r>
        <w:t>Ghi chú</w:t>
      </w:r>
    </w:p>
    <w:p>
      <w:pPr>
        <w:pStyle w:val="Para 14"/>
      </w:pPr>
      <w:r>
        <w:t>Chương 3 Hiểu về báo cáo tài chính</w:t>
      </w:r>
    </w:p>
    <w:p>
      <w:pPr>
        <w:pStyle w:val="Para 14"/>
      </w:pPr>
      <w:r>
        <w:t>Các báo cáo kế toán cơ bản</w:t>
      </w:r>
    </w:p>
    <w:p>
      <w:pPr>
        <w:pStyle w:val="Para 14"/>
      </w:pPr>
      <w:r>
        <w:t>Đo lường và định giá tài sản</w:t>
      </w:r>
    </w:p>
    <w:p>
      <w:pPr>
        <w:pStyle w:val="Para 14"/>
      </w:pPr>
      <w:r>
        <w:t>Đo lường cơ cấu tài trợ</w:t>
      </w:r>
    </w:p>
    <w:p>
      <w:pPr>
        <w:pStyle w:val="Para 14"/>
      </w:pPr>
      <w:r>
        <w:t>Đo lường lợi nhuận và khả năng sinh lời</w:t>
      </w:r>
    </w:p>
    <w:p>
      <w:pPr>
        <w:pStyle w:val="Para 14"/>
      </w:pPr>
      <w:r>
        <w:t>Đo lường rủi ro</w:t>
      </w:r>
    </w:p>
    <w:p>
      <w:pPr>
        <w:pStyle w:val="Para 14"/>
      </w:pPr>
      <w:r>
        <w:t>Các vấn đề khác trong việc phân tích báo cáo tài chính</w:t>
      </w:r>
    </w:p>
    <w:p>
      <w:pPr>
        <w:pStyle w:val="Para 14"/>
      </w:pPr>
      <w:r>
        <w:t>Kết luận</w:t>
      </w:r>
    </w:p>
    <w:p>
      <w:pPr>
        <w:pStyle w:val="Para 14"/>
      </w:pPr>
      <w:r>
        <w:t>Câu hỏi và bài tập ngắn</w:t>
      </w:r>
    </w:p>
    <w:p>
      <w:pPr>
        <w:pStyle w:val="Para 14"/>
      </w:pPr>
      <w:r>
        <w:t>Ghi chú</w:t>
      </w:r>
    </w:p>
    <w:p>
      <w:pPr>
        <w:pStyle w:val="Para 14"/>
      </w:pPr>
      <w:r>
        <w:t>Chương 4 Những điều cơ bản về rủi ro</w:t>
      </w:r>
    </w:p>
    <w:p>
      <w:pPr>
        <w:pStyle w:val="Para 14"/>
      </w:pPr>
      <w:r>
        <w:t>Rủi ro là gì?</w:t>
      </w:r>
    </w:p>
    <w:p>
      <w:pPr>
        <w:pStyle w:val="Para 14"/>
      </w:pPr>
      <w:r>
        <w:t>Rủi ro vốn cổ phần và lợi nhuận kỳ vọng</w:t>
      </w:r>
    </w:p>
    <w:p>
      <w:pPr>
        <w:pStyle w:val="Para 14"/>
      </w:pPr>
      <w:r>
        <w:t>Các mô hình thay thế cho rủi ro vốn cổ phần</w:t>
      </w:r>
    </w:p>
    <w:p>
      <w:pPr>
        <w:pStyle w:val="Para 14"/>
      </w:pPr>
      <w:r>
        <w:t>Phân tích so sánh các mô hình rủi ro vốn cổ phần</w:t>
      </w:r>
    </w:p>
    <w:p>
      <w:pPr>
        <w:pStyle w:val="Para 14"/>
      </w:pPr>
      <w:r>
        <w:t>Các mô hình rủi ro vỡ nợ</w:t>
      </w:r>
    </w:p>
    <w:p>
      <w:pPr>
        <w:pStyle w:val="Para 14"/>
      </w:pPr>
      <w:r>
        <w:t>Kết luận</w:t>
      </w:r>
    </w:p>
    <w:p>
      <w:pPr>
        <w:pStyle w:val="Para 14"/>
      </w:pPr>
      <w:r>
        <w:t>Câu hỏi và bài tập ngắn</w:t>
      </w:r>
    </w:p>
    <w:p>
      <w:pPr>
        <w:pStyle w:val="Para 14"/>
      </w:pPr>
      <w:r>
        <w:t>Ghi chú</w:t>
      </w:r>
    </w:p>
    <w:p>
      <w:pPr>
        <w:pStyle w:val="Para 14"/>
      </w:pPr>
      <w:r>
        <w:t>Chương 5 Lý thuyết và các mô hình định giá quyền chọn</w:t>
      </w:r>
    </w:p>
    <w:p>
      <w:pPr>
        <w:pStyle w:val="Para 14"/>
      </w:pPr>
      <w:r>
        <w:t>Những điều cơ bản về định giá quyền chọn</w:t>
      </w:r>
    </w:p>
    <w:p>
      <w:pPr>
        <w:pStyle w:val="Para 14"/>
      </w:pPr>
      <w:r>
        <w:t>Các mô hình định giá quyền chọn</w:t>
      </w:r>
    </w:p>
    <w:p>
      <w:pPr>
        <w:pStyle w:val="Para 14"/>
      </w:pPr>
      <w:r>
        <w:t>Các mở rộng của định giá quyền chọn</w:t>
      </w:r>
    </w:p>
    <w:p>
      <w:pPr>
        <w:pStyle w:val="Para 14"/>
      </w:pPr>
      <w:r>
        <w:t>Kết luận</w:t>
      </w:r>
    </w:p>
    <w:p>
      <w:pPr>
        <w:pStyle w:val="Para 14"/>
      </w:pPr>
      <w:r>
        <w:t>Câu hỏi và bài tập ngắn</w:t>
      </w:r>
    </w:p>
    <w:p>
      <w:pPr>
        <w:pStyle w:val="Para 14"/>
      </w:pPr>
      <w:r>
        <w:t>Ghi chú</w:t>
      </w:r>
    </w:p>
    <w:p>
      <w:pPr>
        <w:pStyle w:val="Para 14"/>
      </w:pPr>
      <w:r>
        <w:t>Chương 6 Hiệu quả thị trường—Định nghĩa, các kiểm định và bằng chứng</w:t>
      </w:r>
    </w:p>
    <w:p>
      <w:pPr>
        <w:pStyle w:val="Para 14"/>
      </w:pPr>
      <w:r>
        <w:t>Hiệu quả thị trường và định giá đầu tư</w:t>
      </w:r>
    </w:p>
    <w:p>
      <w:pPr>
        <w:pStyle w:val="Para 14"/>
      </w:pPr>
      <w:r>
        <w:t>Thị trường hiệu quả là gì?</w:t>
      </w:r>
    </w:p>
    <w:p>
      <w:pPr>
        <w:pStyle w:val="Para 14"/>
      </w:pPr>
      <w:r>
        <w:t>Kiểm định hiệu quả thị trường</w:t>
      </w:r>
    </w:p>
    <w:p>
      <w:pPr>
        <w:pStyle w:val="Para 14"/>
      </w:pPr>
      <w:r>
        <w:t>Những sai lầm nghiêm trọng trong kiểm định hiệu quả thị trường</w:t>
      </w:r>
    </w:p>
    <w:p>
      <w:pPr>
        <w:pStyle w:val="Para 14"/>
      </w:pPr>
      <w:r>
        <w:t>Một vài tội lỗi nhỏ hơn có thể trở thành vấn đề</w:t>
      </w:r>
    </w:p>
    <w:p>
      <w:pPr>
        <w:pStyle w:val="Para 14"/>
      </w:pPr>
      <w:r>
        <w:t>Bằng chứng về tính hiệu quả của thị trường</w:t>
      </w:r>
    </w:p>
    <w:p>
      <w:pPr>
        <w:pStyle w:val="Para 14"/>
      </w:pPr>
      <w:r>
        <w:t>Các đặc tính chuỗi thời gian của những thay đổi giá</w:t>
      </w:r>
    </w:p>
    <w:p>
      <w:pPr>
        <w:pStyle w:val="Para 14"/>
      </w:pPr>
      <w:r>
        <w:t>Phản ứng của thị trường trước các sự kiện thông tin</w:t>
      </w:r>
    </w:p>
    <w:p>
      <w:pPr>
        <w:pStyle w:val="Para 14"/>
      </w:pPr>
      <w:r>
        <w:t>Các bất thường của thị trường</w:t>
      </w:r>
    </w:p>
    <w:p>
      <w:pPr>
        <w:pStyle w:val="Para 14"/>
      </w:pPr>
      <w:r>
        <w:t>Bằng chứng về người nội bộ và các chuyên gia đầu tư</w:t>
      </w:r>
    </w:p>
    <w:p>
      <w:pPr>
        <w:pStyle w:val="Para 14"/>
      </w:pPr>
      <w:r>
        <w:t>Kết luận</w:t>
      </w:r>
    </w:p>
    <w:p>
      <w:pPr>
        <w:pStyle w:val="Para 14"/>
      </w:pPr>
      <w:r>
        <w:t>Câu hỏi và bài tập ngắn</w:t>
      </w:r>
    </w:p>
    <w:p>
      <w:pPr>
        <w:pStyle w:val="Para 14"/>
      </w:pPr>
      <w:r>
        <w:t>Ghi chú</w:t>
      </w:r>
    </w:p>
    <w:p>
      <w:pPr>
        <w:pStyle w:val="Para 14"/>
      </w:pPr>
      <w:r>
        <w:t>Chương 7 Lãi suất phi rủi ro và phần bù rủi ro</w:t>
      </w:r>
    </w:p>
    <w:p>
      <w:pPr>
        <w:pStyle w:val="Para 14"/>
      </w:pPr>
      <w:r>
        <w:t>Lãi suất phi rủi ro</w:t>
      </w:r>
    </w:p>
    <w:p>
      <w:pPr>
        <w:pStyle w:val="Para 14"/>
      </w:pPr>
      <w:r>
        <w:t>Phần bù rủi ro vốn cổ phần</w:t>
      </w:r>
    </w:p>
    <w:p>
      <w:pPr>
        <w:pStyle w:val="Para 14"/>
      </w:pPr>
      <w:r>
        <w:t>Chênh lệch lãi suất vỡ nợ của trái phiếu</w:t>
      </w:r>
    </w:p>
    <w:p>
      <w:pPr>
        <w:pStyle w:val="Para 14"/>
      </w:pPr>
      <w:r>
        <w:t>Kết luận</w:t>
      </w:r>
    </w:p>
    <w:p>
      <w:pPr>
        <w:pStyle w:val="Para 14"/>
      </w:pPr>
      <w:r>
        <w:t>Câu hỏi và bài tập ngắn</w:t>
      </w:r>
    </w:p>
    <w:p>
      <w:pPr>
        <w:pStyle w:val="Para 14"/>
      </w:pPr>
      <w:r>
        <w:t>Ghi chú</w:t>
      </w:r>
    </w:p>
    <w:p>
      <w:pPr>
        <w:pStyle w:val="Para 14"/>
      </w:pPr>
      <w:r>
        <w:t>Chương 8 Ước lượng các tham số rủi ro và chi phí tài trợ</w:t>
      </w:r>
    </w:p>
    <w:p>
      <w:pPr>
        <w:pStyle w:val="Para 14"/>
      </w:pPr>
      <w:r>
        <w:t>Chi phí vốn cổ phần và chi phí vốn</w:t>
      </w:r>
    </w:p>
    <w:p>
      <w:pPr>
        <w:pStyle w:val="Para 14"/>
      </w:pPr>
      <w:r>
        <w:t>Chi phí vốn cổ phần</w:t>
      </w:r>
    </w:p>
    <w:p>
      <w:pPr>
        <w:pStyle w:val="Para 14"/>
      </w:pPr>
      <w:r>
        <w:t>Từ chi phí vốn cổ phần đến chi phí vốn</w:t>
      </w:r>
    </w:p>
    <w:p>
      <w:pPr>
        <w:pStyle w:val="Para 14"/>
      </w:pPr>
      <w:r>
        <w:t>Các thông lệ tốt nhất tại các doanh nghiệp</w:t>
      </w:r>
    </w:p>
    <w:p>
      <w:pPr>
        <w:pStyle w:val="Para 14"/>
      </w:pPr>
      <w:r>
        <w:t>Kết luận</w:t>
      </w:r>
    </w:p>
    <w:p>
      <w:pPr>
        <w:pStyle w:val="Para 14"/>
      </w:pPr>
      <w:r>
        <w:t>Câu hỏi và bài tập ngắn</w:t>
      </w:r>
    </w:p>
    <w:p>
      <w:pPr>
        <w:pStyle w:val="Para 14"/>
      </w:pPr>
      <w:r>
        <w:t>Ghi chú</w:t>
      </w:r>
    </w:p>
    <w:p>
      <w:pPr>
        <w:pStyle w:val="Para 14"/>
      </w:pPr>
      <w:r>
        <w:t>Chương 9 Đo lường lợi nhuận</w:t>
      </w:r>
    </w:p>
    <w:p>
      <w:pPr>
        <w:pStyle w:val="Para 14"/>
      </w:pPr>
      <w:r>
        <w:t>Dẫn nhập: Từ Dữ liệu Kế toán đến Thông tin Tài chính</w:t>
      </w:r>
    </w:p>
    <w:p>
      <w:pPr>
        <w:pStyle w:val="Para 14"/>
      </w:pPr>
      <w:r>
        <w:t>Điều chỉnh Thu nhập</w:t>
      </w:r>
    </w:p>
    <w:p>
      <w:pPr>
        <w:pStyle w:val="Para 14"/>
      </w:pPr>
      <w:r>
        <w:t>Đo lường Sức mạnh Thu nhập: Dọn dẹp và Chênh lệch Thời gian</w:t>
      </w:r>
    </w:p>
    <w:p>
      <w:pPr>
        <w:pStyle w:val="Para 14"/>
      </w:pPr>
      <w:r>
        <w:t>Kết luận</w:t>
      </w:r>
    </w:p>
    <w:p>
      <w:pPr>
        <w:pStyle w:val="Para 14"/>
      </w:pPr>
      <w:r>
        <w:t>Câu hỏi và Bài tập ngắn</w:t>
      </w:r>
    </w:p>
    <w:p>
      <w:pPr>
        <w:pStyle w:val="Para 14"/>
      </w:pPr>
      <w:r>
        <w:t>Ghi chú</w:t>
      </w:r>
    </w:p>
    <w:p>
      <w:pPr>
        <w:pStyle w:val="Para 14"/>
      </w:pPr>
      <w:r>
        <w:t>Chương 10 Từ Thu nhập đến Dòng tiền</w:t>
      </w:r>
    </w:p>
    <w:p>
      <w:pPr>
        <w:pStyle w:val="Para 14"/>
      </w:pPr>
      <w:r>
        <w:t>Ảnh hưởng của Thuế</w:t>
      </w:r>
    </w:p>
    <w:p>
      <w:pPr>
        <w:pStyle w:val="Para 14"/>
      </w:pPr>
      <w:r>
        <w:t>Nhu cầu Tái đầu tư</w:t>
      </w:r>
    </w:p>
    <w:p>
      <w:pPr>
        <w:pStyle w:val="Para 14"/>
      </w:pPr>
      <w:r>
        <w:t>Kết luận</w:t>
      </w:r>
    </w:p>
    <w:p>
      <w:pPr>
        <w:pStyle w:val="Para 14"/>
      </w:pPr>
      <w:r>
        <w:t>Câu hỏi và Bài tập ngắn</w:t>
      </w:r>
    </w:p>
    <w:p>
      <w:pPr>
        <w:pStyle w:val="Para 14"/>
      </w:pPr>
      <w:r>
        <w:t>Ghi chú</w:t>
      </w:r>
    </w:p>
    <w:p>
      <w:pPr>
        <w:pStyle w:val="Para 14"/>
      </w:pPr>
      <w:r>
        <w:t>Chương 11 Ước tính Tăng trưởng</w:t>
      </w:r>
    </w:p>
    <w:p>
      <w:pPr>
        <w:pStyle w:val="Para 14"/>
      </w:pPr>
      <w:r>
        <w:t>Tầm quan trọng của Tăng trưởng</w:t>
      </w:r>
    </w:p>
    <w:p>
      <w:pPr>
        <w:pStyle w:val="Para 14"/>
      </w:pPr>
      <w:r>
        <w:t>Tăng trưởng trong Quá khứ</w:t>
      </w:r>
    </w:p>
    <w:p>
      <w:pPr>
        <w:pStyle w:val="Para 14"/>
      </w:pPr>
      <w:r>
        <w:t>Thuê ngoài Tăng trưởng</w:t>
      </w:r>
    </w:p>
    <w:p>
      <w:pPr>
        <w:pStyle w:val="Para 14"/>
      </w:pPr>
      <w:r>
        <w:t>Các Yếu tố Quyết định Cơ bản của Tăng trưởng</w:t>
      </w:r>
    </w:p>
    <w:p>
      <w:pPr>
        <w:pStyle w:val="Para 14"/>
      </w:pPr>
      <w:r>
        <w:t>Tăng trưởng Từ trên xuống: Từ Tăng trưởng Doanh thu đến Dòng tiền Tự do</w:t>
      </w:r>
    </w:p>
    <w:p>
      <w:pPr>
        <w:pStyle w:val="Para 14"/>
      </w:pPr>
      <w:r>
        <w:t>Các Khía cạnh Định tính của Tăng trưởng</w:t>
      </w:r>
    </w:p>
    <w:p>
      <w:pPr>
        <w:pStyle w:val="Para 14"/>
      </w:pPr>
      <w:r>
        <w:t>Kết luận</w:t>
      </w:r>
    </w:p>
    <w:p>
      <w:pPr>
        <w:pStyle w:val="Para 14"/>
      </w:pPr>
      <w:r>
        <w:t>Câu hỏi và Bài tập ngắn</w:t>
      </w:r>
    </w:p>
    <w:p>
      <w:pPr>
        <w:pStyle w:val="Para 14"/>
      </w:pPr>
      <w:r>
        <w:t>Ghi chú</w:t>
      </w:r>
    </w:p>
    <w:p>
      <w:pPr>
        <w:pStyle w:val="Para 14"/>
      </w:pPr>
      <w:r>
        <w:t>Chương 12 Khép lại Định giá: Ước tính Giá trị Cuối kỳ</w:t>
      </w:r>
    </w:p>
    <w:p>
      <w:pPr>
        <w:pStyle w:val="Para 14"/>
      </w:pPr>
      <w:r>
        <w:t>Khép lại trong Định giá</w:t>
      </w:r>
    </w:p>
    <w:p>
      <w:pPr>
        <w:pStyle w:val="Para 14"/>
      </w:pPr>
      <w:r>
        <w:t>Vấn đề Tồn tại</w:t>
      </w:r>
    </w:p>
    <w:p>
      <w:pPr>
        <w:pStyle w:val="Para 14"/>
      </w:pPr>
      <w:r>
        <w:t>Những suy ngẫm cuối cùng về Giá trị cuối kỳ (Terminal Value)</w:t>
      </w:r>
    </w:p>
    <w:p>
      <w:pPr>
        <w:pStyle w:val="Para 14"/>
      </w:pPr>
      <w:r>
        <w:t>Kết luận</w:t>
      </w:r>
    </w:p>
    <w:p>
      <w:pPr>
        <w:pStyle w:val="Para 14"/>
      </w:pPr>
      <w:r>
        <w:t>Câu hỏi và Bài tập ngắn</w:t>
      </w:r>
    </w:p>
    <w:p>
      <w:pPr>
        <w:pStyle w:val="Para 14"/>
      </w:pPr>
      <w:r>
        <w:t>Ghi chú</w:t>
      </w:r>
    </w:p>
    <w:p>
      <w:pPr>
        <w:pStyle w:val="Para 14"/>
      </w:pPr>
      <w:r>
        <w:t>Chương 13 Tường thuật và Con số – Từ Câu chuyện đến Giá trị</w:t>
      </w:r>
    </w:p>
    <w:p>
      <w:pPr>
        <w:pStyle w:val="Para 14"/>
      </w:pPr>
      <w:r>
        <w:t>Định giá như một Cây cầu</w:t>
      </w:r>
    </w:p>
    <w:p>
      <w:pPr>
        <w:pStyle w:val="Para 14"/>
      </w:pPr>
      <w:r>
        <w:t>Tầm quan trọng của Kể chuyện</w:t>
      </w:r>
    </w:p>
    <w:p>
      <w:pPr>
        <w:pStyle w:val="Para 14"/>
      </w:pPr>
      <w:r>
        <w:t>Những nguy hiểm trong Kể chuyện</w:t>
      </w:r>
    </w:p>
    <w:p>
      <w:pPr>
        <w:pStyle w:val="Para 14"/>
      </w:pPr>
      <w:r>
        <w:t>Từ Câu chuyện đến Con số: Quy trình</w:t>
      </w:r>
    </w:p>
    <w:p>
      <w:pPr>
        <w:pStyle w:val="Para 14"/>
      </w:pPr>
      <w:r>
        <w:t>Tường thuật và Con số xuyên suốt Vòng đời</w:t>
      </w:r>
    </w:p>
    <w:p>
      <w:pPr>
        <w:pStyle w:val="Para 14"/>
      </w:pPr>
      <w:r>
        <w:t>Đặt lại, Thay đổi và Phá vỡ Câu chuyện</w:t>
      </w:r>
    </w:p>
    <w:p>
      <w:pPr>
        <w:pStyle w:val="Para 14"/>
      </w:pPr>
      <w:r>
        <w:t>Kết luận</w:t>
      </w:r>
    </w:p>
    <w:p>
      <w:pPr>
        <w:pStyle w:val="Para 14"/>
      </w:pPr>
      <w:r>
        <w:t>Câu hỏi và Bài tập ngắn</w:t>
      </w:r>
    </w:p>
    <w:p>
      <w:pPr>
        <w:pStyle w:val="Para 14"/>
      </w:pPr>
      <w:r>
        <w:t>Ghi chú</w:t>
      </w:r>
    </w:p>
    <w:p>
      <w:pPr>
        <w:pStyle w:val="Para 14"/>
      </w:pPr>
      <w:r>
        <w:t>Chương 14 Các Mô hình Giá trị Nội tại của Vốn chủ sở hữu</w:t>
      </w:r>
    </w:p>
    <w:p>
      <w:pPr>
        <w:pStyle w:val="Para 14"/>
      </w:pPr>
      <w:r>
        <w:t>Định giá Vốn chủ sở hữu</w:t>
      </w:r>
    </w:p>
    <w:p>
      <w:pPr>
        <w:pStyle w:val="Para 14"/>
      </w:pPr>
      <w:r>
        <w:t>Mô hình Chiết khấu Cổ tức (Dividend Discount Model)</w:t>
      </w:r>
    </w:p>
    <w:p>
      <w:pPr>
        <w:pStyle w:val="Para 14"/>
      </w:pPr>
      <w:r>
        <w:t>Mô hình Chiết khấu Cổ tức Mở rộng (Augmented Dividend Discount Model)</w:t>
      </w:r>
    </w:p>
    <w:p>
      <w:pPr>
        <w:pStyle w:val="Para 14"/>
      </w:pPr>
      <w:r>
        <w:t>Các Mô hình Cổ tức Tiềm năng hoặc FCFE</w:t>
      </w:r>
    </w:p>
    <w:p>
      <w:pPr>
        <w:pStyle w:val="Para 14"/>
      </w:pPr>
      <w:r>
        <w:t>Định giá theo FCFE so với Định giá theo Mô hình Chiết khấu Cổ tức</w:t>
      </w:r>
    </w:p>
    <w:p>
      <w:pPr>
        <w:pStyle w:val="Para 14"/>
      </w:pPr>
      <w:r>
        <w:t>Kết luận</w:t>
      </w:r>
    </w:p>
    <w:p>
      <w:pPr>
        <w:pStyle w:val="Para 14"/>
      </w:pPr>
      <w:r>
        <w:t>Câu hỏi và Bài tập ngắn</w:t>
      </w:r>
    </w:p>
    <w:p>
      <w:pPr>
        <w:pStyle w:val="Para 14"/>
      </w:pPr>
      <w:r>
        <w:t>Ghi chú</w:t>
      </w:r>
    </w:p>
    <w:p>
      <w:pPr>
        <w:pStyle w:val="Para 14"/>
      </w:pPr>
      <w:r>
        <w:t>Chương 15 Định giá Doanh nghiệp: Các Phương pháp Chi phí Vốn và Giá trị Hiện tại Điều chỉnh</w:t>
      </w:r>
    </w:p>
    <w:p>
      <w:pPr>
        <w:pStyle w:val="Para 14"/>
      </w:pPr>
      <w:r>
        <w:t>Dòng tiền tự do cho doanh nghiệp (Free Cash Flow to the Firm)</w:t>
      </w:r>
    </w:p>
    <w:p>
      <w:pPr>
        <w:pStyle w:val="Para 14"/>
      </w:pPr>
      <w:r>
        <w:t>Định giá doanh nghiệp: Phương pháp chi phí vốn</w:t>
      </w:r>
    </w:p>
    <w:p>
      <w:pPr>
        <w:pStyle w:val="Para 14"/>
      </w:pPr>
      <w:r>
        <w:t>Định giá doanh nghiệp: Phương pháp giá trị hiện tại điều chỉnh</w:t>
      </w:r>
    </w:p>
    <w:p>
      <w:pPr>
        <w:pStyle w:val="Para 14"/>
      </w:pPr>
      <w:r>
        <w:t>Định giá doanh nghiệp: Phương pháp tổng các phần</w:t>
      </w:r>
    </w:p>
    <w:p>
      <w:pPr>
        <w:pStyle w:val="Para 14"/>
      </w:pPr>
      <w:r>
        <w:t>Ảnh hưởng của đòn bẩy đến giá trị doanh nghiệp</w:t>
      </w:r>
    </w:p>
    <w:p>
      <w:pPr>
        <w:pStyle w:val="Para 14"/>
      </w:pPr>
      <w:r>
        <w:t>Kết luận</w:t>
      </w:r>
    </w:p>
    <w:p>
      <w:pPr>
        <w:pStyle w:val="Para 14"/>
      </w:pPr>
      <w:r>
        <w:t>Câu hỏi và bài tập ngắn</w:t>
      </w:r>
    </w:p>
    <w:p>
      <w:pPr>
        <w:pStyle w:val="Para 14"/>
      </w:pPr>
      <w:r>
        <w:t>Ghi chú</w:t>
      </w:r>
    </w:p>
    <w:p>
      <w:pPr>
        <w:pStyle w:val="Para 14"/>
      </w:pPr>
      <w:r>
        <w:t>Chương 16 Ước tính giá trị vốn chủ sở hữu trên mỗi cổ phần</w:t>
      </w:r>
    </w:p>
    <w:p>
      <w:pPr>
        <w:pStyle w:val="Para 14"/>
      </w:pPr>
      <w:r>
        <w:t>Giá trị của tài sản phi hoạt động</w:t>
      </w:r>
    </w:p>
    <w:p>
      <w:pPr>
        <w:pStyle w:val="Para 14"/>
      </w:pPr>
      <w:r>
        <w:t>Giá trị doanh nghiệp và giá trị vốn chủ sở hữu</w:t>
      </w:r>
    </w:p>
    <w:p>
      <w:pPr>
        <w:pStyle w:val="Para 14"/>
      </w:pPr>
      <w:r>
        <w:t>Thù lao dựa trên cổ phiếu</w:t>
      </w:r>
    </w:p>
    <w:p>
      <w:pPr>
        <w:pStyle w:val="Para 14"/>
      </w:pPr>
      <w:r>
        <w:t>Giá trị trên mỗi cổ phần khi quyền biểu quyết khác nhau</w:t>
      </w:r>
    </w:p>
    <w:p>
      <w:pPr>
        <w:pStyle w:val="Para 14"/>
      </w:pPr>
      <w:r>
        <w:t>Kết luận</w:t>
      </w:r>
    </w:p>
    <w:p>
      <w:pPr>
        <w:pStyle w:val="Para 14"/>
      </w:pPr>
      <w:r>
        <w:t>Câu hỏi và bài tập ngắn</w:t>
      </w:r>
    </w:p>
    <w:p>
      <w:pPr>
        <w:pStyle w:val="Para 14"/>
      </w:pPr>
      <w:r>
        <w:t>Ghi chú</w:t>
      </w:r>
    </w:p>
    <w:p>
      <w:pPr>
        <w:pStyle w:val="Para 14"/>
      </w:pPr>
      <w:r>
        <w:t>Chương 17 Các nguyên tắc cơ bản của định giá tương đối</w:t>
      </w:r>
    </w:p>
    <w:p>
      <w:pPr>
        <w:pStyle w:val="Para 14"/>
      </w:pPr>
      <w:r>
        <w:t>Việc sử dụng định giá tương đối</w:t>
      </w:r>
    </w:p>
    <w:p>
      <w:pPr>
        <w:pStyle w:val="Para 14"/>
      </w:pPr>
      <w:r>
        <w:t>Giá trị chuẩn hóa và các bội số</w:t>
      </w:r>
    </w:p>
    <w:p>
      <w:pPr>
        <w:pStyle w:val="Para 14"/>
      </w:pPr>
      <w:r>
        <w:t>Bốn bước cơ bản để sử dụng các bội số</w:t>
      </w:r>
    </w:p>
    <w:p>
      <w:pPr>
        <w:pStyle w:val="Para 14"/>
      </w:pPr>
      <w:r>
        <w:t>Hài hòa giữa định giá tương đối và định giá dòng tiền chiết khấu</w:t>
      </w:r>
    </w:p>
    <w:p>
      <w:pPr>
        <w:pStyle w:val="Para 14"/>
      </w:pPr>
      <w:r>
        <w:t>Kết luận</w:t>
      </w:r>
    </w:p>
    <w:p>
      <w:pPr>
        <w:pStyle w:val="Para 14"/>
      </w:pPr>
      <w:r>
        <w:t>Câu hỏi và bài tập ngắn</w:t>
      </w:r>
    </w:p>
    <w:p>
      <w:pPr>
        <w:pStyle w:val="Para 14"/>
      </w:pPr>
      <w:r>
        <w:t>Ghi chú</w:t>
      </w:r>
    </w:p>
    <w:p>
      <w:pPr>
        <w:pStyle w:val="Para 14"/>
      </w:pPr>
      <w:r>
        <w:t>Chương 18 Các bội số thu nhập</w:t>
      </w:r>
    </w:p>
    <w:p>
      <w:pPr>
        <w:pStyle w:val="Para 14"/>
      </w:pPr>
      <w:r>
        <w:t>Tỷ lệ giá trên thu nhập</w:t>
      </w:r>
    </w:p>
    <w:p>
      <w:pPr>
        <w:pStyle w:val="Para 14"/>
      </w:pPr>
      <w:r>
        <w:t>Tỷ lệ PEG</w:t>
      </w:r>
    </w:p>
    <w:p>
      <w:pPr>
        <w:pStyle w:val="Para 14"/>
      </w:pPr>
      <w:r>
        <w:t>Các biến thể khác của tỷ lệ PE</w:t>
      </w:r>
    </w:p>
    <w:p>
      <w:pPr>
        <w:pStyle w:val="Para 14"/>
      </w:pPr>
      <w:r>
        <w:t>Bội số Giá trị Doanh nghiệp trên EBITDA</w:t>
      </w:r>
    </w:p>
    <w:p>
      <w:pPr>
        <w:pStyle w:val="Para 14"/>
      </w:pPr>
      <w:r>
        <w:t>Kết luận</w:t>
      </w:r>
    </w:p>
    <w:p>
      <w:pPr>
        <w:pStyle w:val="Para 14"/>
      </w:pPr>
      <w:r>
        <w:t>Câu hỏi và Bài tập ngắn</w:t>
      </w:r>
    </w:p>
    <w:p>
      <w:pPr>
        <w:pStyle w:val="Para 14"/>
      </w:pPr>
      <w:r>
        <w:t>Ghi chú</w:t>
      </w:r>
    </w:p>
    <w:p>
      <w:pPr>
        <w:pStyle w:val="Para 14"/>
      </w:pPr>
      <w:r>
        <w:t>Chương 19 Các bội số Giá trị Sổ sách</w:t>
      </w:r>
    </w:p>
    <w:p>
      <w:pPr>
        <w:pStyle w:val="Para 14"/>
      </w:pPr>
      <w:r>
        <w:t>Giá trên Giá trị Sổ sách Vốn chủ sở hữu</w:t>
      </w:r>
    </w:p>
    <w:p>
      <w:pPr>
        <w:pStyle w:val="Para 14"/>
      </w:pPr>
      <w:r>
        <w:t>Tỷ lệ Giá trị trên Giá trị Sổ sách</w:t>
      </w:r>
    </w:p>
    <w:p>
      <w:pPr>
        <w:pStyle w:val="Para 14"/>
      </w:pPr>
      <w:r>
        <w:t>Tobin's Q: Giá trị Thị trường/Chi phí Thay thế</w:t>
      </w:r>
    </w:p>
    <w:p>
      <w:pPr>
        <w:pStyle w:val="Para 14"/>
      </w:pPr>
      <w:r>
        <w:t>Kết luận</w:t>
      </w:r>
    </w:p>
    <w:p>
      <w:pPr>
        <w:pStyle w:val="Para 14"/>
      </w:pPr>
      <w:r>
        <w:t>Câu hỏi và Bài tập ngắn</w:t>
      </w:r>
    </w:p>
    <w:p>
      <w:pPr>
        <w:pStyle w:val="Para 14"/>
      </w:pPr>
      <w:r>
        <w:t>Ghi chú</w:t>
      </w:r>
    </w:p>
    <w:p>
      <w:pPr>
        <w:pStyle w:val="Para 14"/>
      </w:pPr>
      <w:r>
        <w:t>Chương 20 Các bội số Doanh thu và Bội số Đặc thù theo Ngành</w:t>
      </w:r>
    </w:p>
    <w:p>
      <w:pPr>
        <w:pStyle w:val="Para 14"/>
      </w:pPr>
      <w:r>
        <w:t>Các bội số Doanh thu</w:t>
      </w:r>
    </w:p>
    <w:p>
      <w:pPr>
        <w:pStyle w:val="Para 14"/>
      </w:pPr>
      <w:r>
        <w:t>Các bội số Đặc thù theo Ngành</w:t>
      </w:r>
    </w:p>
    <w:p>
      <w:pPr>
        <w:pStyle w:val="Para 14"/>
      </w:pPr>
      <w:r>
        <w:t>Kết luận</w:t>
      </w:r>
    </w:p>
    <w:p>
      <w:pPr>
        <w:pStyle w:val="Para 14"/>
      </w:pPr>
      <w:r>
        <w:t>Câu hỏi và Bài tập ngắn</w:t>
      </w:r>
    </w:p>
    <w:p>
      <w:pPr>
        <w:pStyle w:val="Para 14"/>
      </w:pPr>
      <w:r>
        <w:t>Ghi chú</w:t>
      </w:r>
    </w:p>
    <w:p>
      <w:pPr>
        <w:pStyle w:val="Para 14"/>
      </w:pPr>
      <w:r>
        <w:t>Chương 21 Định giá các Công ty Dịch vụ Tài chính</w:t>
      </w:r>
    </w:p>
    <w:p>
      <w:pPr>
        <w:pStyle w:val="Para 14"/>
      </w:pPr>
      <w:r>
        <w:t>Các loại Công ty Dịch vụ Tài chính</w:t>
      </w:r>
    </w:p>
    <w:p>
      <w:pPr>
        <w:pStyle w:val="Para 14"/>
      </w:pPr>
      <w:r>
        <w:t>Điều gì làm cho các Công ty Dịch vụ Tài chính trở nên đặc biệt?</w:t>
      </w:r>
    </w:p>
    <w:p>
      <w:pPr>
        <w:pStyle w:val="Para 14"/>
      </w:pPr>
      <w:r>
        <w:t>Khung Định giá Tổng quát</w:t>
      </w:r>
    </w:p>
    <w:p>
      <w:pPr>
        <w:pStyle w:val="Para 14"/>
      </w:pPr>
      <w:r>
        <w:t>Định giá theo Dòng tiền Chiết khấu</w:t>
      </w:r>
    </w:p>
    <w:p>
      <w:pPr>
        <w:pStyle w:val="Para 14"/>
      </w:pPr>
      <w:r>
        <w:t>Định giá Tương đối</w:t>
      </w:r>
    </w:p>
    <w:p>
      <w:pPr>
        <w:pStyle w:val="Para 14"/>
      </w:pPr>
      <w:r>
        <w:t>Hiệu ứng khủng hoảng</w:t>
      </w:r>
    </w:p>
    <w:p>
      <w:pPr>
        <w:pStyle w:val="Para 14"/>
      </w:pPr>
      <w:r>
        <w:t>Các công ty dịch vụ tài chính phi ngân hàng</w:t>
      </w:r>
    </w:p>
    <w:p>
      <w:pPr>
        <w:pStyle w:val="Para 14"/>
      </w:pPr>
      <w:r>
        <w:t>Kết luận</w:t>
      </w:r>
    </w:p>
    <w:p>
      <w:pPr>
        <w:pStyle w:val="Para 14"/>
      </w:pPr>
      <w:r>
        <w:t>Câu hỏi và bài tập ngắn</w:t>
      </w:r>
    </w:p>
    <w:p>
      <w:pPr>
        <w:pStyle w:val="Para 14"/>
      </w:pPr>
      <w:r>
        <w:t>Ghi chú</w:t>
      </w:r>
    </w:p>
    <w:p>
      <w:pPr>
        <w:pStyle w:val="Para 14"/>
      </w:pPr>
      <w:r>
        <w:t>Chương 22 Định giá các công ty thua lỗ</w:t>
      </w:r>
    </w:p>
    <w:p>
      <w:pPr>
        <w:pStyle w:val="Para 14"/>
      </w:pPr>
      <w:r>
        <w:t>Lợi nhuận âm: Hậu quả và nguyên nhân</w:t>
      </w:r>
    </w:p>
    <w:p>
      <w:pPr>
        <w:pStyle w:val="Para 14"/>
      </w:pPr>
      <w:r>
        <w:t>Định giá các công ty thua lỗ</w:t>
      </w:r>
    </w:p>
    <w:p>
      <w:pPr>
        <w:pStyle w:val="Para 14"/>
      </w:pPr>
      <w:r>
        <w:t>Kết luận</w:t>
      </w:r>
    </w:p>
    <w:p>
      <w:pPr>
        <w:pStyle w:val="Para 14"/>
      </w:pPr>
      <w:r>
        <w:t>Câu hỏi và bài tập ngắn</w:t>
      </w:r>
    </w:p>
    <w:p>
      <w:pPr>
        <w:pStyle w:val="Para 14"/>
      </w:pPr>
      <w:r>
        <w:t>Ghi chú</w:t>
      </w:r>
    </w:p>
    <w:p>
      <w:pPr>
        <w:pStyle w:val="Para 14"/>
      </w:pPr>
      <w:r>
        <w:t>Chương 23 Định giá các công ty non trẻ hoặc mới khởi nghiệp</w:t>
      </w:r>
    </w:p>
    <w:p>
      <w:pPr>
        <w:pStyle w:val="Para 14"/>
      </w:pPr>
      <w:r>
        <w:t>Những hạn chế về thông tin</w:t>
      </w:r>
    </w:p>
    <w:p>
      <w:pPr>
        <w:pStyle w:val="Para 14"/>
      </w:pPr>
      <w:r>
        <w:t>Khung phân tích tổng quát</w:t>
      </w:r>
    </w:p>
    <w:p>
      <w:pPr>
        <w:pStyle w:val="Para 14"/>
      </w:pPr>
      <w:r>
        <w:t>Các yếu tố tạo giá trị</w:t>
      </w:r>
    </w:p>
    <w:p>
      <w:pPr>
        <w:pStyle w:val="Para 14"/>
      </w:pPr>
      <w:r>
        <w:t>Sai số trong ước lượng</w:t>
      </w:r>
    </w:p>
    <w:p>
      <w:pPr>
        <w:pStyle w:val="Para 14"/>
      </w:pPr>
      <w:r>
        <w:t>Trò chơi kỳ vọng</w:t>
      </w:r>
    </w:p>
    <w:p>
      <w:pPr>
        <w:pStyle w:val="Para 14"/>
      </w:pPr>
      <w:r>
        <w:t>Kết luận</w:t>
      </w:r>
    </w:p>
    <w:p>
      <w:pPr>
        <w:pStyle w:val="Para 14"/>
      </w:pPr>
      <w:r>
        <w:t>Câu hỏi và bài tập ngắn</w:t>
      </w:r>
    </w:p>
    <w:p>
      <w:pPr>
        <w:pStyle w:val="Para 14"/>
      </w:pPr>
      <w:r>
        <w:t>Ghi chú</w:t>
      </w:r>
    </w:p>
    <w:p>
      <w:pPr>
        <w:pStyle w:val="Para 14"/>
      </w:pPr>
      <w:r>
        <w:t>Chương 24 Định giá các công ty tư nhân</w:t>
      </w:r>
    </w:p>
    <w:p>
      <w:pPr>
        <w:pStyle w:val="Para 14"/>
      </w:pPr>
      <w:r>
        <w:t>Điều gì khiến các công ty tư nhân khác biệt?</w:t>
      </w:r>
    </w:p>
    <w:p>
      <w:pPr>
        <w:pStyle w:val="Para 14"/>
      </w:pPr>
      <w:r>
        <w:t>Ước lượng các thông số đầu vào định giá tại các công ty tư nhân</w:t>
      </w:r>
    </w:p>
    <w:p>
      <w:pPr>
        <w:pStyle w:val="Para 14"/>
      </w:pPr>
      <w:r>
        <w:t>Động cơ định giá và các ước tính giá trị</w:t>
      </w:r>
    </w:p>
    <w:p>
      <w:pPr>
        <w:pStyle w:val="Para 14"/>
      </w:pPr>
      <w:r>
        <w:t>Định giá các khoản đầu tư vốn mạo hiểm và vốn cổ phần tư nhân</w:t>
      </w:r>
    </w:p>
    <w:p>
      <w:pPr>
        <w:pStyle w:val="Para 14"/>
      </w:pPr>
      <w:r>
        <w:t>Định giá doanh nghiệp tư nhân</w:t>
      </w:r>
    </w:p>
    <w:p>
      <w:pPr>
        <w:pStyle w:val="Para 14"/>
      </w:pPr>
      <w:r>
        <w:t>Kết luận</w:t>
      </w:r>
    </w:p>
    <w:p>
      <w:pPr>
        <w:pStyle w:val="Para 14"/>
      </w:pPr>
      <w:r>
        <w:t>Câu hỏi và bài tập ngắn</w:t>
      </w:r>
    </w:p>
    <w:p>
      <w:pPr>
        <w:pStyle w:val="Para 14"/>
      </w:pPr>
      <w:r>
        <w:t>Ghi chú</w:t>
      </w:r>
    </w:p>
    <w:p>
      <w:pPr>
        <w:pStyle w:val="Para 14"/>
      </w:pPr>
      <w:r>
        <w:t>Chương 25 Mua lại và thâu tóm</w:t>
      </w:r>
    </w:p>
    <w:p>
      <w:pPr>
        <w:pStyle w:val="Para 14"/>
      </w:pPr>
      <w:r>
        <w:t>Bối cảnh về mua lại</w:t>
      </w:r>
    </w:p>
    <w:p>
      <w:pPr>
        <w:pStyle w:val="Para 14"/>
      </w:pPr>
      <w:r>
        <w:t>Các bước trong một thương vụ mua lại</w:t>
      </w:r>
    </w:p>
    <w:p>
      <w:pPr>
        <w:pStyle w:val="Para 14"/>
      </w:pPr>
      <w:r>
        <w:t>Định giá thâu tóm: Những thiên kiến và lỗi thường gặp</w:t>
      </w:r>
    </w:p>
    <w:p>
      <w:pPr>
        <w:pStyle w:val="Para 14"/>
      </w:pPr>
      <w:r>
        <w:t>Cấu trúc thương vụ mua lại</w:t>
      </w:r>
    </w:p>
    <w:p>
      <w:pPr>
        <w:pStyle w:val="Para 14"/>
      </w:pPr>
      <w:r>
        <w:t>Nâng cao khả năng thành công</w:t>
      </w:r>
    </w:p>
    <w:p>
      <w:pPr>
        <w:pStyle w:val="Para 14"/>
      </w:pPr>
      <w:r>
        <w:t>Phân tích ban lãnh đạo và thương vụ mua lại bằng đòn bẩy</w:t>
      </w:r>
    </w:p>
    <w:p>
      <w:pPr>
        <w:pStyle w:val="Para 14"/>
      </w:pPr>
      <w:r>
        <w:t>Kết luận</w:t>
      </w:r>
    </w:p>
    <w:p>
      <w:pPr>
        <w:pStyle w:val="Para 14"/>
      </w:pPr>
      <w:r>
        <w:t>Câu hỏi và bài tập ngắn</w:t>
      </w:r>
    </w:p>
    <w:p>
      <w:pPr>
        <w:pStyle w:val="Para 14"/>
      </w:pPr>
      <w:r>
        <w:t>Ghi chú</w:t>
      </w:r>
    </w:p>
    <w:p>
      <w:pPr>
        <w:pStyle w:val="Para 14"/>
      </w:pPr>
      <w:r>
        <w:t>Chương 26 Định giá bất động sản</w:t>
      </w:r>
    </w:p>
    <w:p>
      <w:pPr>
        <w:pStyle w:val="Para 14"/>
      </w:pPr>
      <w:r>
        <w:t>Tài sản thực so với tài sản tài chính</w:t>
      </w:r>
    </w:p>
    <w:p>
      <w:pPr>
        <w:pStyle w:val="Para 14"/>
      </w:pPr>
      <w:r>
        <w:t>Bất động sản: Lớp tài sản ít được theo dõi</w:t>
      </w:r>
    </w:p>
    <w:p>
      <w:pPr>
        <w:pStyle w:val="Para 14"/>
      </w:pPr>
      <w:r>
        <w:t>Định giá nội tại bất động sản</w:t>
      </w:r>
    </w:p>
    <w:p>
      <w:pPr>
        <w:pStyle w:val="Para 14"/>
      </w:pPr>
      <w:r>
        <w:t>Định giá so sánh/tương đối</w:t>
      </w:r>
    </w:p>
    <w:p>
      <w:pPr>
        <w:pStyle w:val="Para 14"/>
      </w:pPr>
      <w:r>
        <w:t>Định giá doanh nghiệp bất động sản</w:t>
      </w:r>
    </w:p>
    <w:p>
      <w:pPr>
        <w:pStyle w:val="Para 14"/>
      </w:pPr>
      <w:r>
        <w:t>Kết luận</w:t>
      </w:r>
    </w:p>
    <w:p>
      <w:pPr>
        <w:pStyle w:val="Para 14"/>
      </w:pPr>
      <w:r>
        <w:t>Câu hỏi và bài tập ngắn</w:t>
      </w:r>
    </w:p>
    <w:p>
      <w:pPr>
        <w:pStyle w:val="Para 14"/>
      </w:pPr>
      <w:r>
        <w:t>Ghi chú</w:t>
      </w:r>
    </w:p>
    <w:p>
      <w:pPr>
        <w:pStyle w:val="Para 14"/>
      </w:pPr>
      <w:r>
        <w:t>Chương 27 Định giá các tài sản khác</w:t>
      </w:r>
    </w:p>
    <w:p>
      <w:pPr>
        <w:pStyle w:val="Para 14"/>
      </w:pPr>
      <w:r>
        <w:t>Phân loại khoản đầu tư</w:t>
      </w:r>
    </w:p>
    <w:p>
      <w:pPr>
        <w:pStyle w:val="Para 14"/>
      </w:pPr>
      <w:r>
        <w:t>Tài sản tạo ra dòng tiền</w:t>
      </w:r>
    </w:p>
    <w:p>
      <w:pPr>
        <w:pStyle w:val="Para 14"/>
      </w:pPr>
      <w:r>
        <w:t>Đồ sưu tầm</w:t>
      </w:r>
    </w:p>
    <w:p>
      <w:pPr>
        <w:pStyle w:val="Para 14"/>
      </w:pPr>
      <w:r>
        <w:t>Tài sản danh giá</w:t>
      </w:r>
    </w:p>
    <w:p>
      <w:pPr>
        <w:pStyle w:val="Para 14"/>
      </w:pPr>
      <w:r>
        <w:t>Kết luận</w:t>
      </w:r>
    </w:p>
    <w:p>
      <w:pPr>
        <w:pStyle w:val="Para 14"/>
      </w:pPr>
      <w:r>
        <w:t>Câu hỏi và bài tập ngắn</w:t>
      </w:r>
    </w:p>
    <w:p>
      <w:pPr>
        <w:pStyle w:val="Para 14"/>
      </w:pPr>
      <w:r>
        <w:t>Ghi chú</w:t>
      </w:r>
    </w:p>
    <w:p>
      <w:pPr>
        <w:pStyle w:val="Para 14"/>
      </w:pPr>
      <w:r>
        <w:t>Chương 28 Quyền chọn trì hoãn và hàm ý định giá</w:t>
      </w:r>
    </w:p>
    <w:p>
      <w:pPr>
        <w:pStyle w:val="Para 14"/>
      </w:pPr>
      <w:r>
        <w:t>Quyền chọn thực: Hứa hẹn và cạm bẫy</w:t>
      </w:r>
    </w:p>
    <w:p>
      <w:pPr>
        <w:pStyle w:val="Para 14"/>
      </w:pPr>
      <w:r>
        <w:t>Quyền chọn trì hoãn một dự án</w:t>
      </w:r>
    </w:p>
    <w:p>
      <w:pPr>
        <w:pStyle w:val="Para 14"/>
      </w:pPr>
      <w:r>
        <w:t>Định giá một bằng sáng chế</w:t>
      </w:r>
    </w:p>
    <w:p>
      <w:pPr>
        <w:pStyle w:val="Para 14"/>
      </w:pPr>
      <w:r>
        <w:t>Quyền chọn tài nguyên thiên nhiên</w:t>
      </w:r>
    </w:p>
    <w:p>
      <w:pPr>
        <w:pStyle w:val="Para 14"/>
      </w:pPr>
      <w:r>
        <w:t>Các ứng dụng khác</w:t>
      </w:r>
    </w:p>
    <w:p>
      <w:pPr>
        <w:pStyle w:val="Para 14"/>
      </w:pPr>
      <w:r>
        <w:t>Kết luận</w:t>
      </w:r>
    </w:p>
    <w:p>
      <w:pPr>
        <w:pStyle w:val="Para 14"/>
      </w:pPr>
      <w:r>
        <w:t>Câu hỏi và bài tập ngắn</w:t>
      </w:r>
    </w:p>
    <w:p>
      <w:pPr>
        <w:pStyle w:val="Para 14"/>
      </w:pPr>
      <w:r>
        <w:t>Ghi chú</w:t>
      </w:r>
    </w:p>
    <w:p>
      <w:pPr>
        <w:pStyle w:val="Para 14"/>
      </w:pPr>
      <w:r>
        <w:t>Chương 29 Quyền chọn mở rộng và quyền chọn từ bỏ: Hàm ý định giá</w:t>
      </w:r>
    </w:p>
    <w:p>
      <w:pPr>
        <w:pStyle w:val="Para 14"/>
      </w:pPr>
      <w:r>
        <w:t>Quyền chọn mở rộng</w:t>
      </w:r>
    </w:p>
    <w:p>
      <w:pPr>
        <w:pStyle w:val="Para 14"/>
      </w:pPr>
      <w:r>
        <w:t>Khi nào quyền chọn mở rộng có giá trị?</w:t>
      </w:r>
    </w:p>
    <w:p>
      <w:pPr>
        <w:pStyle w:val="Para 14"/>
      </w:pPr>
      <w:r>
        <w:t>Định giá một công ty có quyền chọn mở rộng</w:t>
      </w:r>
    </w:p>
    <w:p>
      <w:pPr>
        <w:pStyle w:val="Para 14"/>
      </w:pPr>
      <w:r>
        <w:t>Định giá tính quyền chọn trong người dùng và dữ liệu</w:t>
      </w:r>
    </w:p>
    <w:p>
      <w:pPr>
        <w:pStyle w:val="Para 14"/>
      </w:pPr>
      <w:r>
        <w:t>Giá trị của sự linh hoạt tài chính</w:t>
      </w:r>
    </w:p>
    <w:p>
      <w:pPr>
        <w:pStyle w:val="Para 14"/>
      </w:pPr>
      <w:r>
        <w:t>Quyền chọn từ bỏ</w:t>
      </w:r>
    </w:p>
    <w:p>
      <w:pPr>
        <w:pStyle w:val="Para 14"/>
      </w:pPr>
      <w:r>
        <w:t>Dung hòa giữa giá trị hiện tại ròng và định giá quyền chọn thực</w:t>
      </w:r>
    </w:p>
    <w:p>
      <w:pPr>
        <w:pStyle w:val="Para 14"/>
      </w:pPr>
      <w:r>
        <w:t>Kết luận</w:t>
      </w:r>
    </w:p>
    <w:p>
      <w:pPr>
        <w:pStyle w:val="Para 14"/>
      </w:pPr>
      <w:r>
        <w:t>Câu hỏi và bài tập ngắn</w:t>
      </w:r>
    </w:p>
    <w:p>
      <w:pPr>
        <w:pStyle w:val="Para 14"/>
      </w:pPr>
      <w:r>
        <w:t>Ghi chú</w:t>
      </w:r>
    </w:p>
    <w:p>
      <w:pPr>
        <w:pStyle w:val="Para 14"/>
      </w:pPr>
      <w:r>
        <w:t>Chương 30 Định giá vốn cổ phần trong các công ty gặp khó khăn</w:t>
      </w:r>
    </w:p>
    <w:p>
      <w:pPr>
        <w:pStyle w:val="Para 14"/>
      </w:pPr>
      <w:r>
        <w:t>Vốn cổ phần trong các công ty gặp khó khăn có đòn bẩy cao</w:t>
      </w:r>
    </w:p>
    <w:p>
      <w:pPr>
        <w:pStyle w:val="Para 14"/>
      </w:pPr>
      <w:r>
        <w:t>Tính quyền chọn trong định giá: Góc nhìn theo vòng đời doanh nghiệp</w:t>
      </w:r>
    </w:p>
    <w:p>
      <w:pPr>
        <w:pStyle w:val="Para 14"/>
      </w:pPr>
      <w:r>
        <w:t>Hàm ý của việc xem vốn cổ phần như một quyền chọn</w:t>
      </w:r>
    </w:p>
    <w:p>
      <w:pPr>
        <w:pStyle w:val="Para 14"/>
      </w:pPr>
      <w:r>
        <w:t>Ước lượng giá trị vốn cổ phần như một quyền chọn</w:t>
      </w:r>
    </w:p>
    <w:p>
      <w:pPr>
        <w:pStyle w:val="Para 14"/>
      </w:pPr>
      <w:r>
        <w:t>Vốn cổ phần gặp khó khăn như một quyền chọn: Hệ quả đối với việc ra quyết định</w:t>
      </w:r>
    </w:p>
    <w:p>
      <w:pPr>
        <w:pStyle w:val="Para 14"/>
      </w:pPr>
      <w:r>
        <w:t>Kết luận</w:t>
      </w:r>
    </w:p>
    <w:p>
      <w:pPr>
        <w:pStyle w:val="Para 14"/>
      </w:pPr>
      <w:r>
        <w:t>Câu hỏi và bài tập ngắn</w:t>
      </w:r>
    </w:p>
    <w:p>
      <w:pPr>
        <w:pStyle w:val="Para 14"/>
      </w:pPr>
      <w:r>
        <w:t>Ghi chú</w:t>
      </w:r>
    </w:p>
    <w:p>
      <w:pPr>
        <w:pStyle w:val="Para 14"/>
      </w:pPr>
      <w:r>
        <w:t>Chương 31 Gia tăng giá trị: Khung định giá dòng tiền chiết khấu</w:t>
      </w:r>
    </w:p>
    <w:p>
      <w:pPr>
        <w:pStyle w:val="Para 14"/>
      </w:pPr>
      <w:r>
        <w:t>Các hành động tạo giá trị và trung hòa giá trị</w:t>
      </w:r>
    </w:p>
    <w:p>
      <w:pPr>
        <w:pStyle w:val="Para 14"/>
      </w:pPr>
      <w:r>
        <w:t>Các cách gia tăng giá trị</w:t>
      </w:r>
    </w:p>
    <w:p>
      <w:pPr>
        <w:pStyle w:val="Para 14"/>
      </w:pPr>
      <w:r>
        <w:t>Chuỗi gia tăng giá trị</w:t>
      </w:r>
    </w:p>
    <w:p>
      <w:pPr>
        <w:pStyle w:val="Para 14"/>
      </w:pPr>
      <w:r>
        <w:t>Suy nghĩ cuối cùng về gia tăng giá trị</w:t>
      </w:r>
    </w:p>
    <w:p>
      <w:pPr>
        <w:pStyle w:val="Para 14"/>
      </w:pPr>
      <w:r>
        <w:t>Kết luận</w:t>
      </w:r>
    </w:p>
    <w:p>
      <w:pPr>
        <w:pStyle w:val="Para 14"/>
      </w:pPr>
      <w:r>
        <w:t>Câu hỏi và bài tập ngắn</w:t>
      </w:r>
    </w:p>
    <w:p>
      <w:pPr>
        <w:pStyle w:val="Para 14"/>
      </w:pPr>
      <w:r>
        <w:t>Ghi chú</w:t>
      </w:r>
    </w:p>
    <w:p>
      <w:pPr>
        <w:pStyle w:val="Para 14"/>
      </w:pPr>
      <w:r>
        <w:t>Chương 32 Gia tăng giá trị: Giá trị kinh tế gia tăng, Tỷ suất sinh lời trên dòng tiền đầu tư và các công cụ khác</w:t>
      </w:r>
    </w:p>
    <w:p>
      <w:pPr>
        <w:pStyle w:val="Para 14"/>
      </w:pPr>
      <w:r>
        <w:t>Giá trị kinh tế gia tăng</w:t>
      </w:r>
    </w:p>
    <w:p>
      <w:pPr>
        <w:pStyle w:val="Para 14"/>
      </w:pPr>
      <w:r>
        <w:t>Tỷ suất sinh lời trên dòng tiền đầu tư</w:t>
      </w:r>
    </w:p>
    <w:p>
      <w:pPr>
        <w:pStyle w:val="Para 14"/>
      </w:pPr>
      <w:r>
        <w:t>Lời bạt về gia tăng giá trị</w:t>
      </w:r>
    </w:p>
    <w:p>
      <w:pPr>
        <w:pStyle w:val="Para 14"/>
      </w:pPr>
      <w:r>
        <w:t>Kết luận</w:t>
      </w:r>
    </w:p>
    <w:p>
      <w:pPr>
        <w:pStyle w:val="Para 14"/>
      </w:pPr>
      <w:r>
        <w:t>Câu hỏi và bài tập ngắn</w:t>
      </w:r>
    </w:p>
    <w:p>
      <w:pPr>
        <w:pStyle w:val="Para 14"/>
      </w:pPr>
      <w:r>
        <w:t>Ghi chú</w:t>
      </w:r>
    </w:p>
    <w:p>
      <w:pPr>
        <w:pStyle w:val="Para 14"/>
      </w:pPr>
      <w:r>
        <w:t>CHƯƠNG 33 Các phương pháp tiếp cận xác suất trong định giá: Phân tích tình huống, Cây quyết định và Mô phỏng</w:t>
      </w:r>
    </w:p>
    <w:p>
      <w:pPr>
        <w:pStyle w:val="Para 14"/>
      </w:pPr>
      <w:r>
        <w:t>Phân tích tình huống</w:t>
      </w:r>
    </w:p>
    <w:p>
      <w:pPr>
        <w:pStyle w:val="Para 14"/>
      </w:pPr>
      <w:r>
        <w:t>Cây quyết định</w:t>
      </w:r>
    </w:p>
    <w:p>
      <w:pPr>
        <w:pStyle w:val="Para 14"/>
      </w:pPr>
      <w:r>
        <w:t>Mô phỏng</w:t>
      </w:r>
    </w:p>
    <w:p>
      <w:pPr>
        <w:pStyle w:val="Para 14"/>
      </w:pPr>
      <w:r>
        <w:t>Đánh giá tổng thể về các phương pháp tiếp cận xác suất để đánh giá rủi ro</w:t>
      </w:r>
    </w:p>
    <w:p>
      <w:pPr>
        <w:pStyle w:val="Para 14"/>
      </w:pPr>
      <w:r>
        <w:t>Kết luận</w:t>
      </w:r>
    </w:p>
    <w:p>
      <w:pPr>
        <w:pStyle w:val="Para 14"/>
      </w:pPr>
      <w:r>
        <w:t>Câu hỏi và bài tập ngắn</w:t>
      </w:r>
    </w:p>
    <w:p>
      <w:pPr>
        <w:pStyle w:val="Para 14"/>
      </w:pPr>
      <w:r>
        <w:t>Ghi chú</w:t>
      </w:r>
    </w:p>
    <w:p>
      <w:pPr>
        <w:pStyle w:val="Para 14"/>
      </w:pPr>
      <w:r>
        <w:t>CHƯƠNG 34 Tổng quan và Kết luận</w:t>
      </w:r>
    </w:p>
    <w:p>
      <w:pPr>
        <w:pStyle w:val="Para 14"/>
      </w:pPr>
      <w:r>
        <w:t>Các lựa chọn trong mô hình định giá</w:t>
      </w:r>
    </w:p>
    <w:p>
      <w:pPr>
        <w:pStyle w:val="Para 14"/>
      </w:pPr>
      <w:r>
        <w:t>Bạn nên dùng phương pháp nào?</w:t>
      </w:r>
    </w:p>
    <w:p>
      <w:pPr>
        <w:pStyle w:val="Para 14"/>
      </w:pPr>
      <w:r>
        <w:t>Chọn đúng mô hình định giá nội tại</w:t>
      </w:r>
    </w:p>
    <w:p>
      <w:pPr>
        <w:pStyle w:val="Para 14"/>
      </w:pPr>
      <w:r>
        <w:t>Chọn đúng mô hình định giá theo giá thị trường</w:t>
      </w:r>
    </w:p>
    <w:p>
      <w:pPr>
        <w:pStyle w:val="Para 14"/>
      </w:pPr>
      <w:r>
        <w:t>Khi nào bạn nên dùng các mô hình định giá quyền chọn?</w:t>
      </w:r>
    </w:p>
    <w:p>
      <w:pPr>
        <w:pStyle w:val="Para 14"/>
      </w:pPr>
      <w:r>
        <w:t>Kết luận</w:t>
      </w:r>
    </w:p>
    <w:p>
      <w:pPr>
        <w:pStyle w:val="Para 14"/>
      </w:pPr>
      <w:r>
        <w:t>Tài liệu tham khảo</w:t>
      </w:r>
    </w:p>
    <w:p>
      <w:pPr>
        <w:pStyle w:val="Para 14"/>
      </w:pPr>
      <w:r>
        <w:t>Mục lục</w:t>
      </w:r>
    </w:p>
    <w:p>
      <w:pPr>
        <w:pStyle w:val="Para 14"/>
      </w:pPr>
      <w:r>
        <w:t>Thỏa thuận cấp phép cho người dùng cuối</w:t>
      </w:r>
    </w:p>
    <w:p>
      <w:bookmarkStart w:id="3" w:name="List_of_Illustrations"/>
      <w:pPr>
        <w:keepNext/>
        <w:pStyle w:val="Para 69"/>
        <w:keepLines w:val="on"/>
      </w:pPr>
      <w:r>
        <w:t>Danh sách hình minh họa</w:t>
      </w:r>
      <w:bookmarkEnd w:id="3"/>
    </w:p>
    <w:p>
      <w:pPr>
        <w:pStyle w:val="Para 01"/>
      </w:pPr>
      <w:r>
        <w:t>CHƯƠNG 1</w:t>
      </w:r>
    </w:p>
    <w:p>
      <w:pPr>
        <w:pStyle w:val="Para 10"/>
      </w:pPr>
      <w:r>
        <w:t>Hình 1.1 Giá trị so với Giá cả — Sự khác biệt</w:t>
      </w:r>
    </w:p>
    <w:p>
      <w:pPr>
        <w:pStyle w:val="Para 10"/>
      </w:pPr>
      <w:r>
        <w:t>Hình 1.2 Tam giác Bermuda của việc định giá</w:t>
      </w:r>
    </w:p>
    <w:p>
      <w:pPr>
        <w:pStyle w:val="Para 01"/>
      </w:pPr>
      <w:r>
        <w:t>CHƯƠNG 2</w:t>
      </w:r>
    </w:p>
    <w:p>
      <w:pPr>
        <w:pStyle w:val="Para 10"/>
      </w:pPr>
      <w:r>
        <w:t>Hình 2.1 Định giá vốn chủ sở hữu so với định giá doanh nghiệp</w:t>
      </w:r>
    </w:p>
    <w:p>
      <w:pPr>
        <w:pStyle w:val="Para 10"/>
      </w:pPr>
      <w:r>
        <w:t>Hình 2.2 Biểu đồ lợi nhuận của quyền chọn mua và quyền chọn bán</w:t>
      </w:r>
    </w:p>
    <w:p>
      <w:pPr>
        <w:pStyle w:val="Para 01"/>
      </w:pPr>
      <w:r>
        <w:t>CHƯƠNG 3</w:t>
      </w:r>
    </w:p>
    <w:p>
      <w:pPr>
        <w:pStyle w:val="Para 10"/>
      </w:pPr>
      <w:r>
        <w:t>Hình 3.1 Bảng cân đối kế toán</w:t>
      </w:r>
    </w:p>
    <w:p>
      <w:pPr>
        <w:pStyle w:val="Para 01"/>
      </w:pPr>
      <w:r>
        <w:t>CHƯƠNG 4</w:t>
      </w:r>
    </w:p>
    <w:p>
      <w:pPr>
        <w:pStyle w:val="Para 10"/>
      </w:pPr>
      <w:r>
        <w:t>Hình 4.1 Phân phối xác suất lợi nhuận của một khoản đầu tư phi rủi ro</w:t>
      </w:r>
    </w:p>
    <w:p>
      <w:pPr>
        <w:pStyle w:val="Para 10"/>
      </w:pPr>
      <w:r>
        <w:t>Hình 4.2 Phân phối lợi nhuận của khoản đầu tư rủi ro</w:t>
      </w:r>
    </w:p>
    <w:p>
      <w:pPr>
        <w:pStyle w:val="Para 10"/>
      </w:pPr>
      <w:r>
        <w:t>Hình 4.3 So sánh các phân phối lợi nhuận</w:t>
      </w:r>
    </w:p>
    <w:p>
      <w:pPr>
        <w:pStyle w:val="Para 10"/>
      </w:pPr>
      <w:r>
        <w:t>Hình 4.4 Phân tích rủi ro</w:t>
      </w:r>
    </w:p>
    <w:p>
      <w:pPr>
        <w:pStyle w:val="Para 10"/>
      </w:pPr>
      <w:r>
        <w:t>Hình 4.5 Quy trình xếp hạng tín nhiệm</w:t>
      </w:r>
    </w:p>
    <w:p>
      <w:pPr>
        <w:pStyle w:val="Para 01"/>
      </w:pPr>
      <w:r>
        <w:t>CHƯƠNG 5</w:t>
      </w:r>
    </w:p>
    <w:p>
      <w:pPr>
        <w:pStyle w:val="Para 10"/>
      </w:pPr>
      <w:r>
        <w:t>Hình 5.1 Khoản thanh toán của quyền chọn mua (call option)</w:t>
      </w:r>
    </w:p>
    <w:p>
      <w:pPr>
        <w:pStyle w:val="Para 10"/>
      </w:pPr>
      <w:r>
        <w:t>Hình 5.2 Khoản thanh toán của quyền chọn bán (put option)</w:t>
      </w:r>
    </w:p>
    <w:p>
      <w:pPr>
        <w:pStyle w:val="Para 10"/>
      </w:pPr>
      <w:r>
        <w:t>Hình 5.3 Công thức tổng quát cho đường giá theo mô hình nhị thức (binomial)</w:t>
      </w:r>
    </w:p>
    <w:p>
      <w:pPr>
        <w:pStyle w:val="Para 10"/>
      </w:pPr>
      <w:r>
        <w:t>Hình 5.4 Cây nhị thức để định giá quyền chọn</w:t>
      </w:r>
    </w:p>
    <w:p>
      <w:pPr>
        <w:pStyle w:val="Para 10"/>
      </w:pPr>
      <w:r>
        <w:t>Hình 5.5 Phân phối chuẩn tích lũy</w:t>
      </w:r>
    </w:p>
    <w:p>
      <w:pPr>
        <w:pStyle w:val="Para 10"/>
      </w:pPr>
      <w:r>
        <w:t>Hình 5.6 Cây nhị thức từ các thông số đầu vào của Black-Scholes</w:t>
      </w:r>
    </w:p>
    <w:p>
      <w:pPr>
        <w:pStyle w:val="Para 10"/>
      </w:pPr>
      <w:r>
        <w:t>Hình 5.7 Khoản thanh toán của quyền chọn mua có giới hạn trần (capped call)</w:t>
      </w:r>
    </w:p>
    <w:p>
      <w:pPr>
        <w:pStyle w:val="Para 01"/>
      </w:pPr>
      <w:r>
        <w:t>CHƯƠNG 6</w:t>
      </w:r>
    </w:p>
    <w:p>
      <w:pPr>
        <w:pStyle w:val="Para 10"/>
      </w:pPr>
      <w:r>
        <w:t>Hình 6.1 Quy tắc lọc (filter rule)</w:t>
      </w:r>
    </w:p>
    <w:p>
      <w:pPr>
        <w:pStyle w:val="Para 10"/>
      </w:pPr>
      <w:r>
        <w:t>Hình 6.2 Tương quan một năm và năm năm: Nhóm giá trị thị trường, 1941–1985</w:t>
      </w:r>
    </w:p>
    <w:p>
      <w:pPr>
        <w:pStyle w:val="Para 10"/>
      </w:pPr>
      <w:r>
        <w:t>Hình 6.3 Lợi nhuận vượt trội của danh mục cổ phiếu thắng và thua</w:t>
      </w:r>
    </w:p>
    <w:p>
      <w:pPr>
        <w:pStyle w:val="Para 10"/>
      </w:pPr>
      <w:r>
        <w:t>Hình 6.4 Giá giao dịch theo ngày giao dịch</w:t>
      </w:r>
    </w:p>
    <w:p>
      <w:pPr>
        <w:pStyle w:val="Para 10"/>
      </w:pPr>
      <w:r>
        <w:t>Hình 6.5 Thông tin và sự điều chỉnh giá</w:t>
      </w:r>
    </w:p>
    <w:p>
      <w:pPr>
        <w:pStyle w:val="Para 10"/>
      </w:pPr>
      <w:r>
        <w:t>Hình 6.6 Sự trôi dạt trước và sau công bố sau những bất ngờ về thu nhập quý...</w:t>
      </w:r>
    </w:p>
    <w:p>
      <w:pPr>
        <w:pStyle w:val="Para 10"/>
      </w:pPr>
      <w:r>
        <w:t>Hình 6.7 Báo cáo thu nhập và cổ tức theo ngày trong tuần</w:t>
      </w:r>
    </w:p>
    <w:p>
      <w:pPr>
        <w:pStyle w:val="Para 10"/>
      </w:pPr>
      <w:r>
        <w:t>Hình 6.8 Lợi nhuận bất thường tích lũy và độ trễ công bố thu nhập</w:t>
      </w:r>
    </w:p>
    <w:p>
      <w:pPr>
        <w:pStyle w:val="Para 10"/>
      </w:pPr>
      <w:r>
        <w:t>HÌNH 6.9 Lợi nhuận hằng năm theo nhóm quy mô, 1927–2023</w:t>
      </w:r>
    </w:p>
    <w:p>
      <w:pPr>
        <w:pStyle w:val="Para 10"/>
      </w:pPr>
      <w:r>
        <w:t>HÌNH 6.10 Mức bù vốn hóa nhỏ (Small Cap Premium) theo từng năm—1927–2023</w:t>
      </w:r>
    </w:p>
    <w:p>
      <w:pPr>
        <w:pStyle w:val="Para 10"/>
      </w:pPr>
      <w:r>
        <w:t>HÌNH 6.11 Tỷ lệ P/E và lợi nhuận cổ phiếu, 1952–2023</w:t>
      </w:r>
    </w:p>
    <w:p>
      <w:pPr>
        <w:pStyle w:val="Para 10"/>
      </w:pPr>
      <w:r>
        <w:t>HÌNH 6.12 Lợi nhuận theo tháng trong năm: Cổ phiếu Mỹ từ 1927 đến 2023</w:t>
      </w:r>
    </w:p>
    <w:p>
      <w:pPr>
        <w:pStyle w:val="Para 10"/>
      </w:pPr>
      <w:r>
        <w:t>HÌNH 6.13 Lợi nhuận tháng Một theo quy mô và nhóm rủi ro, 1935–1986</w:t>
      </w:r>
    </w:p>
    <w:p>
      <w:pPr>
        <w:pStyle w:val="Para 10"/>
      </w:pPr>
      <w:r>
        <w:t>HÌNH 6.14 Hoạt động mua/bán của tổ chức quanh thời điểm cuối năm</w:t>
      </w:r>
    </w:p>
    <w:p>
      <w:pPr>
        <w:pStyle w:val="Para 10"/>
      </w:pPr>
      <w:r>
        <w:t>HÌNH 6.15 Lợi nhuận tháng Một so với các tháng khác—Các thị trường tài chính lớn</w:t>
      </w:r>
    </w:p>
    <w:p>
      <w:pPr>
        <w:pStyle w:val="Para 10"/>
      </w:pPr>
      <w:r>
        <w:t>HÌNH 6.16 Lợi nhuận trung bình hằng ngày theo ngày trong tuần, 1962–1978</w:t>
      </w:r>
    </w:p>
    <w:p>
      <w:pPr>
        <w:pStyle w:val="Para 10"/>
      </w:pPr>
      <w:r>
        <w:t>HÌNH 6.17 Hiệu ứng cuối tuần (Weekend Effect) trên các thị trường quốc tế</w:t>
      </w:r>
    </w:p>
    <w:p>
      <w:pPr>
        <w:pStyle w:val="Para 10"/>
      </w:pPr>
      <w:r>
        <w:t>HÌNH 6.18 Hiệu ứng ngày lễ? Lợi nhuận thị trường trung bình vào các ngày giao dịch sau ngày lễ</w:t>
      </w:r>
    </w:p>
    <w:p>
      <w:pPr>
        <w:pStyle w:val="Para 10"/>
      </w:pPr>
      <w:r>
        <w:t>HÌNH 6.19 Lợi nhuận tích lũy sau giao dịch nội gián (Insider Trading): Nhóm mua so với nhóm bán</w:t>
      </w:r>
    </w:p>
    <w:p>
      <w:pPr>
        <w:pStyle w:val="Para 10"/>
      </w:pPr>
      <w:r>
        <w:t>HÌNH 6.20 Lợi nhuận bất thường quanh ngày báo cáo so với ngày có Bản tóm tắt chính thức...</w:t>
      </w:r>
    </w:p>
    <w:p>
      <w:pPr>
        <w:pStyle w:val="Para 10"/>
      </w:pPr>
      <w:r>
        <w:t>HÌNH 6.21 Phản ứng thị trường với các khuyến nghị, 1989–1990</w:t>
      </w:r>
    </w:p>
    <w:p>
      <w:pPr>
        <w:pStyle w:val="Para 10"/>
      </w:pPr>
      <w:r>
        <w:t>HÌNH 6.22 Hiệu suất quỹ tương hỗ (Mutual Fund), 1955–1964—nghiên cứu của Jensen</w:t>
      </w:r>
    </w:p>
    <w:p>
      <w:pPr>
        <w:pStyle w:val="Para 10"/>
      </w:pPr>
      <w:r>
        <w:t>HÌNH 6.23 Hiệu suất của các quỹ cổ phiếu Mỹ, 2013–2022</w:t>
      </w:r>
    </w:p>
    <w:p>
      <w:pPr>
        <w:pStyle w:val="Para 10"/>
      </w:pPr>
      <w:r>
        <w:t>HÌNH 6.24 Phần thưởng từ quản lý tiền chủ động (Active Money Management): Các quỹ cổ phiếu</w:t>
      </w:r>
    </w:p>
    <w:p>
      <w:pPr>
        <w:pStyle w:val="Para 01"/>
      </w:pPr>
      <w:r>
        <w:t>CHƯƠNG 7</w:t>
      </w:r>
    </w:p>
    <w:p>
      <w:pPr>
        <w:pStyle w:val="Para 10"/>
      </w:pPr>
      <w:r>
        <w:t>HÌNH 7.1 Các yếu tố quyết định mức bù rủi ro vốn cổ phần (Equity Risk Premium)</w:t>
      </w:r>
    </w:p>
    <w:p>
      <w:pPr>
        <w:pStyle w:val="Para 10"/>
      </w:pPr>
      <w:r>
        <w:t>HÌNH 7.2 Mô hình tổng quát cho mức bù rủi ro vốn cổ phần ngụ ý (Implied Equity Risk Premium)</w:t>
      </w:r>
    </w:p>
    <w:p>
      <w:pPr>
        <w:pStyle w:val="Para 10"/>
      </w:pPr>
      <w:r>
        <w:t>HÌNH 7.3 Mức bù rủi ro vốn cổ phần ngụ ý cho S&amp;P 500 vào ngày 1 tháng 1 năm 2024</w:t>
      </w:r>
    </w:p>
    <w:p>
      <w:pPr>
        <w:pStyle w:val="Para 10"/>
      </w:pPr>
      <w:r>
        <w:t>HÌNH 7.4 Mức bù ngụ ý cho thị trường cổ phiếu Mỹ (1960–2023)</w:t>
      </w:r>
    </w:p>
    <w:p>
      <w:pPr>
        <w:pStyle w:val="Para 10"/>
      </w:pPr>
      <w:r>
        <w:t>HÌNH 7.5 Chênh lệch lợi suất vỡ nợ (Default Spread) theo kỳ hạn—tháng 1 năm 2024</w:t>
      </w:r>
    </w:p>
    <w:p>
      <w:pPr>
        <w:pStyle w:val="Para 10"/>
      </w:pPr>
      <w:r>
        <w:t>HÌNH 7.6 Chênh lệch lợi suất vỡ nợ trái phiếu Baa và mức bù rủi ro vốn cổ phần ngụ ý: 1960–2023</w:t>
      </w:r>
    </w:p>
    <w:p>
      <w:pPr>
        <w:pStyle w:val="Para 01"/>
      </w:pPr>
      <w:r>
        <w:t>CHƯƠNG 8</w:t>
      </w:r>
    </w:p>
    <w:p>
      <w:pPr>
        <w:pStyle w:val="Para 10"/>
      </w:pPr>
      <w:r>
        <w:t>HÌNH 8.1 Microsoft so với S&amp;P 500 từ 2019 đến 2023</w:t>
      </w:r>
    </w:p>
    <w:p>
      <w:pPr>
        <w:pStyle w:val="Para 10"/>
      </w:pPr>
      <w:r>
        <w:t>HÌNH 8.2 Ước tính Beta cho Microsoft—2019–2023</w:t>
      </w:r>
    </w:p>
    <w:p>
      <w:pPr>
        <w:pStyle w:val="Para 10"/>
      </w:pPr>
      <w:r>
        <w:t>HÌNH 8.3 Ước tính Beta cho Nokia</w:t>
      </w:r>
    </w:p>
    <w:p>
      <w:pPr>
        <w:pStyle w:val="Para 10"/>
      </w:pPr>
      <w:r>
        <w:t>HÌNH 8.4 Ước tính Beta cho Enka: BIST 100 (Chỉ số Thổ Nhĩ Kỳ)</w:t>
      </w:r>
    </w:p>
    <w:p>
      <w:pPr>
        <w:pStyle w:val="Para 10"/>
      </w:pPr>
      <w:r>
        <w:t>HÌNH 8.5 Ước tính Beta cho Enka: Chỉ số STXE Euro 600</w:t>
      </w:r>
    </w:p>
    <w:p>
      <w:pPr>
        <w:pStyle w:val="Para 10"/>
      </w:pPr>
      <w:r>
        <w:t>HÌNH 8.6 Ước tính Beta cho Enka: Chỉ số MSCI Global</w:t>
      </w:r>
    </w:p>
    <w:p>
      <w:pPr>
        <w:pStyle w:val="Para 10"/>
      </w:pPr>
      <w:r>
        <w:t>HÌNH 8.7 Phân phối sai số chuẩn của Beta 2 năm—Các công ty Mỹ từ 2008 đến ...</w:t>
      </w:r>
    </w:p>
    <w:p>
      <w:pPr>
        <w:pStyle w:val="Para 01"/>
      </w:pPr>
      <w:r>
        <w:t>CHƯƠNG 9</w:t>
      </w:r>
    </w:p>
    <w:p>
      <w:pPr>
        <w:pStyle w:val="Para 10"/>
      </w:pPr>
      <w:r>
        <w:t>HÌNH 9.1 Bảng cân đối tài chính</w:t>
      </w:r>
    </w:p>
    <w:p>
      <w:pPr>
        <w:pStyle w:val="Para 10"/>
      </w:pPr>
      <w:r>
        <w:t>HÌNH 9.2 Các câu hỏi về bảng cân đối tài chính</w:t>
      </w:r>
    </w:p>
    <w:p>
      <w:pPr>
        <w:pStyle w:val="Para 10"/>
      </w:pPr>
      <w:r>
        <w:t>HÌNH 9.3 Chuyển đổi chi phí hoạt động thành chi phí vốn</w:t>
      </w:r>
    </w:p>
    <w:p>
      <w:pPr>
        <w:pStyle w:val="Para 10"/>
      </w:pPr>
      <w:r>
        <w:t>HÌNH 9.4 Ảnh hưởng của việc vốn hóa chi phí tài chính</w:t>
      </w:r>
    </w:p>
    <w:p>
      <w:pPr>
        <w:pStyle w:val="Para 01"/>
      </w:pPr>
      <w:r>
        <w:t>CHƯƠNG 10</w:t>
      </w:r>
    </w:p>
    <w:p>
      <w:pPr>
        <w:pStyle w:val="Para 10"/>
      </w:pPr>
      <w:r>
        <w:t>HÌNH 10.1 Thuế suất thực tế cho các công ty Mỹ và toàn cầu—Tháng 1 năm 2024</w:t>
      </w:r>
    </w:p>
    <w:p>
      <w:pPr>
        <w:pStyle w:val="Para 10"/>
      </w:pPr>
      <w:r>
        <w:t>HÌNH 10.2 Vốn lưu động phi tiền mặt tính theo phần trăm doanh thu: Các công ty Mỹ và toàn cầu năm 2023</w:t>
      </w:r>
    </w:p>
    <w:p>
      <w:pPr>
        <w:pStyle w:val="Para 10"/>
      </w:pPr>
      <w:r>
        <w:t>HÌNH 10.3 Tái đầu tư hợp nhất và dòng tiền tự do cho doanh nghiệp (FCFF)</w:t>
      </w:r>
    </w:p>
    <w:p>
      <w:pPr>
        <w:pStyle w:val="Para 01"/>
      </w:pPr>
      <w:r>
        <w:t>CHƯƠNG 11</w:t>
      </w:r>
    </w:p>
    <w:p>
      <w:pPr>
        <w:pStyle w:val="Para 10"/>
      </w:pPr>
      <w:r>
        <w:t>HÌNH 11.1 Tăng trưởng và giá trị trong bảng cân đối tài chính</w:t>
      </w:r>
    </w:p>
    <w:p>
      <w:pPr>
        <w:pStyle w:val="Para 10"/>
      </w:pPr>
      <w:r>
        <w:t>HÌNH 11.2 Tính bền vững của tăng trưởng trong các chỉ số hoạt động</w:t>
      </w:r>
    </w:p>
    <w:p>
      <w:pPr>
        <w:pStyle w:val="Para 10"/>
      </w:pPr>
      <w:r>
        <w:t>HÌNH 11.3 Lợi nhuận trên vốn đầu tư</w:t>
      </w:r>
    </w:p>
    <w:p>
      <w:pPr>
        <w:pStyle w:val="Para 10"/>
      </w:pPr>
      <w:r>
        <w:t>HÌNH 11.4 Ước tính tăng trưởng doanh thu</w:t>
      </w:r>
    </w:p>
    <w:p>
      <w:pPr>
        <w:pStyle w:val="Para 10"/>
      </w:pPr>
      <w:r>
        <w:t>HÌNH 11.5 Ước tính biên lợi nhuận hoạt động</w:t>
      </w:r>
    </w:p>
    <w:p>
      <w:pPr>
        <w:pStyle w:val="Para 10"/>
      </w:pPr>
      <w:r>
        <w:t>HÌNH 11.6 Tái đầu tư (Doanh thu trên Vốn) qua vòng đời doanh nghiệp</w:t>
      </w:r>
    </w:p>
    <w:p>
      <w:pPr>
        <w:pStyle w:val="Para 10"/>
      </w:pPr>
      <w:r>
        <w:t>HÌNH 11.7 Ước tính tái đầu tư (Doanh thu trên Vốn đầu tư)</w:t>
      </w:r>
    </w:p>
    <w:p>
      <w:pPr>
        <w:pStyle w:val="Para 01"/>
      </w:pPr>
      <w:r>
        <w:t>CHƯƠNG 12</w:t>
      </w:r>
    </w:p>
    <w:p>
      <w:pPr>
        <w:pStyle w:val="Para 10"/>
      </w:pPr>
      <w:r>
        <w:t>HÌNH 12.1 Lãi suất trái phiếu kho bạc Mỹ kỳ hạn 10 năm và tăng trưởng danh nghĩa</w:t>
      </w:r>
    </w:p>
    <w:p>
      <w:pPr>
        <w:pStyle w:val="Para 10"/>
      </w:pPr>
      <w:r>
        <w:t>HÌNH 12.2 Tỷ lệ thất bại (tồn tại) theo nhóm ngành kinh doanh</w:t>
      </w:r>
    </w:p>
    <w:p>
      <w:pPr>
        <w:pStyle w:val="Para 10"/>
      </w:pPr>
      <w:r>
        <w:t>HÌNH 12.3 Huyền thoại và sự thật về giá trị cuối kỳ</w:t>
      </w:r>
    </w:p>
    <w:p>
      <w:pPr>
        <w:pStyle w:val="Para 01"/>
      </w:pPr>
      <w:r>
        <w:t>CHƯƠNG 13</w:t>
      </w:r>
    </w:p>
    <w:p>
      <w:pPr>
        <w:pStyle w:val="Para 10"/>
      </w:pPr>
      <w:r>
        <w:t>HÌNH 13.1 Định giá = Câu chuyện cộng với con số</w:t>
      </w:r>
    </w:p>
    <w:p>
      <w:pPr>
        <w:pStyle w:val="Para 10"/>
      </w:pPr>
      <w:r>
        <w:t>HÌNH 13.2 Từ câu chuyện đến con số — Trình tự</w:t>
      </w:r>
    </w:p>
    <w:p>
      <w:pPr>
        <w:pStyle w:val="Para 10"/>
      </w:pPr>
      <w:r>
        <w:t>HÌNH 13.3 Câu chuyện định giá — Bài kiểm tra 3P</w:t>
      </w:r>
    </w:p>
    <w:p>
      <w:pPr>
        <w:pStyle w:val="Para 10"/>
      </w:pPr>
      <w:r>
        <w:t>HÌNH 13.4 Các yếu tố thúc đẩy giá trị</w:t>
      </w:r>
    </w:p>
    <w:p>
      <w:pPr>
        <w:pStyle w:val="Para 10"/>
      </w:pPr>
      <w:r>
        <w:t>HÌNH 13.5 Câu chuyện và các đầu vào định giá</w:t>
      </w:r>
    </w:p>
    <w:p>
      <w:pPr>
        <w:pStyle w:val="Para 10"/>
      </w:pPr>
      <w:r>
        <w:t>HÌNH 13.6 Câu chuyện và các đầu vào định giá — Zomato vào tháng 6 năm 2021</w:t>
      </w:r>
    </w:p>
    <w:p>
      <w:pPr>
        <w:pStyle w:val="Para 10"/>
      </w:pPr>
      <w:r>
        <w:t>HÌNH 13.7 Câu chuyện so với con số xuyên suốt vòng đời doanh nghiệp</w:t>
      </w:r>
    </w:p>
    <w:p>
      <w:pPr>
        <w:pStyle w:val="Para 01"/>
      </w:pPr>
      <w:r>
        <w:t>CHƯƠNG 14</w:t>
      </w:r>
    </w:p>
    <w:p>
      <w:pPr>
        <w:pStyle w:val="Para 10"/>
      </w:pPr>
      <w:r>
        <w:t>HÌNH 14.1 Định giá vốn chủ sở hữu trong một doanh nghiệp</w:t>
      </w:r>
    </w:p>
    <w:p>
      <w:pPr>
        <w:pStyle w:val="Para 10"/>
      </w:pPr>
      <w:r>
        <w:t>HÌNH 14.2 Giá trị vốn chủ sở hữu trên mỗi cổ phần và tốc độ tăng trưởng ổn định kỳ vọng</w:t>
      </w:r>
    </w:p>
    <w:p>
      <w:pPr>
        <w:pStyle w:val="Para 10"/>
      </w:pPr>
      <w:r>
        <w:t>HÌNH 14.3 Con Ed: Giá trị so với tốc độ tăng trưởng</w:t>
      </w:r>
    </w:p>
    <w:p>
      <w:pPr>
        <w:pStyle w:val="Para 10"/>
      </w:pPr>
      <w:r>
        <w:t>HÌNH 14.4 Tăng trưởng kỳ vọng trong mô hình H</w:t>
      </w:r>
    </w:p>
    <w:p>
      <w:pPr>
        <w:pStyle w:val="Para 10"/>
      </w:pPr>
      <w:r>
        <w:t>HÌNH 14.5 Tăng trưởng kỳ vọng trong mô hình chiết khấu cổ tức ba giai đoạn</w:t>
      </w:r>
    </w:p>
    <w:p>
      <w:pPr>
        <w:pStyle w:val="Para 10"/>
      </w:pPr>
      <w:r>
        <w:t>HÌNH 14.6 Mua lại cổ phiếu và cổ tức: Tổng hợp cho các doanh nghiệp Hoa Kỳ — 1988–2023...</w:t>
      </w:r>
    </w:p>
    <w:p>
      <w:pPr>
        <w:pStyle w:val="Para 10"/>
      </w:pPr>
      <w:r>
        <w:t>HÌNH 14.7 Thay đổi cổ tức theo năm: Các công ty Hoa Kỳ</w:t>
      </w:r>
    </w:p>
    <w:p>
      <w:pPr>
        <w:pStyle w:val="Para 10"/>
      </w:pPr>
      <w:r>
        <w:t>HÌNH 14.8 Mô hình FCFE ba giai đoạn: Nhu cầu tái đầu tư</w:t>
      </w:r>
    </w:p>
    <w:p>
      <w:pPr>
        <w:pStyle w:val="Para 01"/>
      </w:pPr>
      <w:r>
        <w:t>CHƯƠNG 15</w:t>
      </w:r>
    </w:p>
    <w:p>
      <w:pPr>
        <w:pStyle w:val="Para 10"/>
      </w:pPr>
      <w:r>
        <w:t>HÌNH 15.1 Định giá Amgen — tháng 5 năm 2024</w:t>
      </w:r>
    </w:p>
    <w:p>
      <w:pPr>
        <w:pStyle w:val="Para 10"/>
      </w:pPr>
      <w:r>
        <w:t>HÌNH 15.2 Chi phí vốn và giá trị doanh nghiệp</w:t>
      </w:r>
    </w:p>
    <w:p>
      <w:pPr>
        <w:pStyle w:val="Para 10"/>
      </w:pPr>
      <w:r>
        <w:t>HÌNH 15.3 Tối ưu hóa cơ cấu vốn</w:t>
      </w:r>
    </w:p>
    <w:p>
      <w:pPr>
        <w:pStyle w:val="Para 01"/>
      </w:pPr>
      <w:r>
        <w:t>CHƯƠNG 16</w:t>
      </w:r>
    </w:p>
    <w:p>
      <w:pPr>
        <w:pStyle w:val="Para 10"/>
      </w:pPr>
      <w:r>
        <w:t>HÌNH 16.1 Lợi nhuận theo các lớp tài sản đầu tư: 1991–2020</w:t>
      </w:r>
    </w:p>
    <w:p>
      <w:pPr>
        <w:pStyle w:val="Para 01"/>
      </w:pPr>
      <w:r>
        <w:t>CHƯƠNG 17</w:t>
      </w:r>
    </w:p>
    <w:p>
      <w:pPr>
        <w:pStyle w:val="Para 10"/>
      </w:pPr>
      <w:r>
        <w:t>Hình 17.1 Tỷ lệ PE—Nvidia vào tháng 5 năm 2024</w:t>
      </w:r>
    </w:p>
    <w:p>
      <w:pPr>
        <w:pStyle w:val="Para 10"/>
      </w:pPr>
      <w:r>
        <w:t>Hình 17.2 Tỷ lệ PE năm 2024: Trung bình, Trung vị và Tổng hợp vào tháng 5 năm 2024</w:t>
      </w:r>
    </w:p>
    <w:p>
      <w:pPr>
        <w:pStyle w:val="Para 10"/>
      </w:pPr>
      <w:r>
        <w:t>Hình 17.3 Phân tích các bội số—Giá trị vốn chủ sở hữu và giá trị doanh nghiệp (sử dụng tỷ lệ Giá trên Giá trị sổ sách...</w:t>
      </w:r>
    </w:p>
    <w:p>
      <w:pPr>
        <w:pStyle w:val="Para 10"/>
      </w:pPr>
      <w:r>
        <w:t>Hình 17.4 Lựa chọn nhóm so sánh</w:t>
      </w:r>
    </w:p>
    <w:p>
      <w:pPr>
        <w:pStyle w:val="Para 01"/>
      </w:pPr>
      <w:r>
        <w:t>CHƯƠNG 18</w:t>
      </w:r>
    </w:p>
    <w:p>
      <w:pPr>
        <w:pStyle w:val="Para 10"/>
      </w:pPr>
      <w:r>
        <w:t>Hình 18.1 Tỷ lệ PE của các công ty Hoa Kỳ—tháng 1 năm 2024</w:t>
      </w:r>
    </w:p>
    <w:p>
      <w:pPr>
        <w:pStyle w:val="Para 10"/>
      </w:pPr>
      <w:r>
        <w:t>Hình 18.2 Tỷ lệ PE của các công ty toàn cầu—tháng 1 năm 2024</w:t>
      </w:r>
    </w:p>
    <w:p>
      <w:pPr>
        <w:pStyle w:val="Para 10"/>
      </w:pPr>
      <w:r>
        <w:t>Hình 18.3 Tỷ lệ PE và tăng trưởng kỳ vọng</w:t>
      </w:r>
    </w:p>
    <w:p>
      <w:pPr>
        <w:pStyle w:val="Para 10"/>
      </w:pPr>
      <w:r>
        <w:t>Hình 18.4 Tỷ lệ PE và tăng trưởng kỳ vọng: Các kịch bản lãi suất</w:t>
      </w:r>
    </w:p>
    <w:p>
      <w:pPr>
        <w:pStyle w:val="Para 10"/>
      </w:pPr>
      <w:r>
        <w:t>Hình 18.5 Tỷ lệ PE và Beta: Các kịch bản tốc độ tăng trưởng</w:t>
      </w:r>
    </w:p>
    <w:p>
      <w:pPr>
        <w:pStyle w:val="Para 10"/>
      </w:pPr>
      <w:r>
        <w:t>Hình 18.6 Tỷ lệ EP và lãi suất: 1960–2023</w:t>
      </w:r>
    </w:p>
    <w:p>
      <w:pPr>
        <w:pStyle w:val="Para 10"/>
      </w:pPr>
      <w:r>
        <w:t>Hình 18.7 Tỷ lệ PEG của các công ty Hoa Kỳ và toàn cầu—tháng 1 năm 2024</w:t>
      </w:r>
    </w:p>
    <w:p>
      <w:pPr>
        <w:pStyle w:val="Para 10"/>
      </w:pPr>
      <w:r>
        <w:t>Hình 18.8 Tỷ lệ PEG, tăng trưởng kỳ vọng và lãi suất</w:t>
      </w:r>
    </w:p>
    <w:p>
      <w:pPr>
        <w:pStyle w:val="Para 10"/>
      </w:pPr>
      <w:r>
        <w:t>Hình 18.9 Tỷ lệ PEG và Beta: Các tốc độ tăng trưởng khác nhau</w:t>
      </w:r>
    </w:p>
    <w:p>
      <w:pPr>
        <w:pStyle w:val="Para 10"/>
      </w:pPr>
      <w:r>
        <w:t>Hình 18.10 Tỷ lệ PEG và tỷ lệ chi trả cổ tức</w:t>
      </w:r>
    </w:p>
    <w:p>
      <w:pPr>
        <w:pStyle w:val="Para 10"/>
      </w:pPr>
      <w:r>
        <w:t>Hình 18.11 Tỷ lệ PEG so với tốc độ tăng trưởng kỳ vọng—tháng 1 năm 2024</w:t>
      </w:r>
    </w:p>
    <w:p>
      <w:pPr>
        <w:pStyle w:val="Para 10"/>
      </w:pPr>
      <w:r>
        <w:t>Hình 18.12 Tỷ lệ PEG so với ln(tăng trưởng kỳ vọng)—tháng 1 năm 2024</w:t>
      </w:r>
    </w:p>
    <w:p>
      <w:pPr>
        <w:pStyle w:val="Para 10"/>
      </w:pPr>
      <w:r>
        <w:t>Hình 18.13 Bội số EV/EBITDA: Các công ty Hoa Kỳ vào tháng 1 năm 2024</w:t>
      </w:r>
    </w:p>
    <w:p>
      <w:pPr>
        <w:pStyle w:val="Para 10"/>
      </w:pPr>
      <w:r>
        <w:t>Hình 18.14 Bội số EV/EBITDA và thuế suất</w:t>
      </w:r>
    </w:p>
    <w:p>
      <w:pPr>
        <w:pStyle w:val="Para 10"/>
      </w:pPr>
      <w:r>
        <w:t>Hình 18.15 EV/EBITDA và tỷ lệ chi tiêu vốn ròng</w:t>
      </w:r>
    </w:p>
    <w:p>
      <w:pPr>
        <w:pStyle w:val="Para 10"/>
      </w:pPr>
      <w:r>
        <w:t>Hình 18.16 EV/EBITDA và lợi nhuận vượt trội</w:t>
      </w:r>
    </w:p>
    <w:p>
      <w:pPr>
        <w:pStyle w:val="Para 01"/>
      </w:pPr>
      <w:r>
        <w:t>CHƯƠNG 19</w:t>
      </w:r>
    </w:p>
    <w:p>
      <w:pPr>
        <w:pStyle w:val="Para 10"/>
      </w:pPr>
      <w:r>
        <w:t>Hình 19.1 Giá trên Giá trị sổ sách—Các công ty Hoa Kỳ vào tháng 1 năm 2024.</w:t>
      </w:r>
    </w:p>
    <w:p>
      <w:pPr>
        <w:pStyle w:val="Para 10"/>
      </w:pPr>
      <w:r>
        <w:t>Hình 19.2 Giá–Giá trị sổ sách như một hàm số của chênh lệch lợi nhuận</w:t>
      </w:r>
    </w:p>
    <w:p>
      <w:pPr>
        <w:pStyle w:val="Para 10"/>
      </w:pPr>
      <w:r>
        <w:t>HÌNH 19.3 Năm Thế Lực Cạnh Tranh và Tỷ Suất Sinh Lời Trên Vốn Chủ Sở Hữu</w:t>
      </w:r>
    </w:p>
    <w:p>
      <w:pPr>
        <w:pStyle w:val="Para 10"/>
      </w:pPr>
      <w:r>
        <w:t>HÌNH 19.4 Tỷ Lệ Giá Trên Giá Trị Sổ Sách và ROE—S&amp;P 500</w:t>
      </w:r>
    </w:p>
    <w:p>
      <w:pPr>
        <w:pStyle w:val="Para 10"/>
      </w:pPr>
      <w:r>
        <w:t>HÌNH 19.5 Tỷ Lệ Giá Trên Giá Trị Sổ Sách và Tỷ Suất Sinh Lời Trên Vốn Chủ Sở Hữu</w:t>
      </w:r>
    </w:p>
    <w:p>
      <w:pPr>
        <w:pStyle w:val="Para 10"/>
      </w:pPr>
      <w:r>
        <w:t>HÌNH 19.6 Giá Trên Giá Trị Sổ Sách so với Tỷ Suất Sinh Lời Trên Vốn Chủ Sở Hữu: Ngành May Mặc Châu Âu</w:t>
      </w:r>
    </w:p>
    <w:p>
      <w:pPr>
        <w:pStyle w:val="Para 10"/>
      </w:pPr>
      <w:r>
        <w:t>HÌNH 19.7 Thay Đổi Trong ROE và Thay Đổi Trong Tỷ Lệ PBV</w:t>
      </w:r>
    </w:p>
    <w:p>
      <w:pPr>
        <w:pStyle w:val="Para 10"/>
      </w:pPr>
      <w:r>
        <w:t>HÌNH 19.8 IBM: Sự Sụp Đổ và Trỗi Dậy Trở Lại</w:t>
      </w:r>
    </w:p>
    <w:p>
      <w:pPr>
        <w:pStyle w:val="Para 10"/>
      </w:pPr>
      <w:r>
        <w:t>HÌNH 19.9 EV/Vốn Đầu Tư: Các Công Ty Mỹ và Toàn Cầu vào Tháng 1 Năm 2024</w:t>
      </w:r>
    </w:p>
    <w:p>
      <w:pPr>
        <w:pStyle w:val="Para 10"/>
      </w:pPr>
      <w:r>
        <w:t>HÌNH 19.10 Ma Trận Định Giá: Giá Trị Trên Giá Trị Sổ Sách và Lợi Nhuận Vượt Trội</w:t>
      </w:r>
    </w:p>
    <w:p>
      <w:pPr>
        <w:pStyle w:val="Para 01"/>
      </w:pPr>
      <w:r>
        <w:t>CHƯƠNG 20</w:t>
      </w:r>
    </w:p>
    <w:p>
      <w:pPr>
        <w:pStyle w:val="Para 10"/>
      </w:pPr>
      <w:r>
        <w:t>HÌNH 20.1 Bội Số Doanh Thu—Các Công Ty Mỹ vào Tháng 1 Năm 2024</w:t>
      </w:r>
    </w:p>
    <w:p>
      <w:pPr>
        <w:pStyle w:val="Para 10"/>
      </w:pPr>
      <w:r>
        <w:t>HÌNH 20.2 Tỷ Lệ Giá Trên Doanh Thu và Biên Lợi Nhuận</w:t>
      </w:r>
    </w:p>
    <w:p>
      <w:pPr>
        <w:pStyle w:val="Para 10"/>
      </w:pPr>
      <w:r>
        <w:t>HÌNH 20.3 Giá Trị Trên Doanh Thu và Biên Lợi Nhuận</w:t>
      </w:r>
    </w:p>
    <w:p>
      <w:pPr>
        <w:pStyle w:val="Para 10"/>
      </w:pPr>
      <w:r>
        <w:t>HÌNH 20.4 Tỷ Lệ Giá Trị Doanh Nghiệp Trên Doanh Thu và Biên Lợi Nhuận Hoạt Động</w:t>
      </w:r>
    </w:p>
    <w:p>
      <w:pPr>
        <w:pStyle w:val="Para 10"/>
      </w:pPr>
      <w:r>
        <w:t>HÌNH 20.5 Tỷ Lệ EV Trên Doanh Thu so với Biên Lợi Nhuận Hoạt Động: Cổ Phiếu Internet</w:t>
      </w:r>
    </w:p>
    <w:p>
      <w:pPr>
        <w:pStyle w:val="Para 10"/>
      </w:pPr>
      <w:r>
        <w:t>HÌNH 20.6 Tỷ Lệ Giá Trên Doanh Thu và Biên Lợi Nhuận Ròng: Ngành Tạp Hóa vào Tháng 1 Năm 2007</w:t>
      </w:r>
    </w:p>
    <w:p>
      <w:pPr>
        <w:pStyle w:val="Para 10"/>
      </w:pPr>
      <w:r>
        <w:t>HÌNH 20.7 Tỷ Lệ Giá Trên Doanh Thu và Biên Lợi Nhuận Ròng: Ngành Tạp Hóa vào Tháng 1 Năm 2009</w:t>
      </w:r>
    </w:p>
    <w:p>
      <w:pPr>
        <w:pStyle w:val="Para 10"/>
      </w:pPr>
      <w:r>
        <w:t>HÌNH 20.8 Tỷ Lệ Giá Trên Doanh Thu và Biên Lợi Nhuận Ròng: Ngành Tạp Hóa vào Tháng 1 Năm 2010</w:t>
      </w:r>
    </w:p>
    <w:p>
      <w:pPr>
        <w:pStyle w:val="Para 10"/>
      </w:pPr>
      <w:r>
        <w:t>HÌNH 20.9 Tỷ Lệ Giá Trên Doanh Thu và Biên Lợi Nhuận Ròng: Ngành Tạp Hóa vào Tháng 5 Năm 2011</w:t>
      </w:r>
    </w:p>
    <w:p>
      <w:pPr>
        <w:pStyle w:val="Para 10"/>
      </w:pPr>
      <w:r>
        <w:t>HÌNH 20.10 Giá Trị Của Một Người Dùng/Người Đăng Ký Hiện Hữu</w:t>
      </w:r>
    </w:p>
    <w:p>
      <w:pPr>
        <w:pStyle w:val="Para 10"/>
      </w:pPr>
      <w:r>
        <w:t>HÌNH 20.11 Mô Hình Kinh Doanh Của Netflix</w:t>
      </w:r>
    </w:p>
    <w:p>
      <w:pPr>
        <w:pStyle w:val="Para 10"/>
      </w:pPr>
      <w:r>
        <w:t>HÌNH 20.12 Tài Chính Của Netflix Được Phân Tích Chi Tiết</w:t>
      </w:r>
    </w:p>
    <w:p>
      <w:pPr>
        <w:pStyle w:val="Para 10"/>
      </w:pPr>
      <w:r>
        <w:t>HÌNH 20.13 Giá Trị Của Những Người Đăng Ký Hiện Hữu Của Netflix</w:t>
      </w:r>
    </w:p>
    <w:p>
      <w:pPr>
        <w:pStyle w:val="Para 10"/>
      </w:pPr>
      <w:r>
        <w:t>HÌNH 20.14 Định Giá Người Đăng Ký Mới Tại Netflix</w:t>
      </w:r>
    </w:p>
    <w:p>
      <w:pPr>
        <w:pStyle w:val="Para 10"/>
      </w:pPr>
      <w:r>
        <w:t>HÌNH 20.15 Gánh Nặng Doanh Nghiệp Tại Netflix</w:t>
      </w:r>
    </w:p>
    <w:p>
      <w:pPr>
        <w:pStyle w:val="Para 01"/>
      </w:pPr>
      <w:r>
        <w:t>CHƯƠNG 21</w:t>
      </w:r>
    </w:p>
    <w:p>
      <w:pPr>
        <w:pStyle w:val="Para 10"/>
      </w:pPr>
      <w:r>
        <w:t>Hình 21.1 Tỷ lệ PBV và ROE—Các ngân hàng Mỹ vào tháng 5 năm 2024</w:t>
      </w:r>
    </w:p>
    <w:p>
      <w:pPr>
        <w:pStyle w:val="Para 10"/>
      </w:pPr>
      <w:r>
        <w:t>Hình 21.2 Mô hình kinh doanh ngân hàng</w:t>
      </w:r>
    </w:p>
    <w:p>
      <w:pPr>
        <w:pStyle w:val="Para 10"/>
      </w:pPr>
      <w:r>
        <w:t>Hình 21.3 Ngân hàng tốt và ngân hàng xấu</w:t>
      </w:r>
    </w:p>
    <w:p>
      <w:pPr>
        <w:pStyle w:val="Para 01"/>
      </w:pPr>
      <w:r>
        <w:t>CHƯƠNG 22</w:t>
      </w:r>
    </w:p>
    <w:p>
      <w:pPr>
        <w:pStyle w:val="Para 10"/>
      </w:pPr>
      <w:r>
        <w:t>Hình 22.1 Đầu tư cơ sở hạ tầng—Hồ sơ dòng tiền</w:t>
      </w:r>
    </w:p>
    <w:p>
      <w:pPr>
        <w:pStyle w:val="Para 10"/>
      </w:pPr>
      <w:r>
        <w:t>Hình 22.2 Exxon Mobil – Thu nhập hoạt động so với giá dầu—1985 đến 2008</w:t>
      </w:r>
    </w:p>
    <w:p>
      <w:pPr>
        <w:pStyle w:val="Para 10"/>
      </w:pPr>
      <w:r>
        <w:t>Hình 22.3 Giá dầu và giá trị trên mỗi cổ phần của Exxon Mobil</w:t>
      </w:r>
    </w:p>
    <w:p>
      <w:pPr>
        <w:pStyle w:val="Para 01"/>
      </w:pPr>
      <w:r>
        <w:t>CHƯƠNG 23</w:t>
      </w:r>
    </w:p>
    <w:p>
      <w:pPr>
        <w:pStyle w:val="Para 10"/>
      </w:pPr>
      <w:r>
        <w:t>Hình 23.1 Những thách thức định giá xuyên suốt vòng đời</w:t>
      </w:r>
    </w:p>
    <w:p>
      <w:pPr>
        <w:pStyle w:val="Para 10"/>
      </w:pPr>
      <w:r>
        <w:t>Hình 23.2 Sự tồn tại của các cơ sở mới thành lập năm 2007</w:t>
      </w:r>
    </w:p>
    <w:p>
      <w:pPr>
        <w:pStyle w:val="Para 01"/>
      </w:pPr>
      <w:r>
        <w:t>CHƯƠNG 24</w:t>
      </w:r>
    </w:p>
    <w:p>
      <w:pPr>
        <w:pStyle w:val="Para 10"/>
      </w:pPr>
      <w:r>
        <w:t>Hình 24.1 Hiệu ứng giá trị của người chủ chốt</w:t>
      </w:r>
    </w:p>
    <w:p>
      <w:pPr>
        <w:pStyle w:val="Para 10"/>
      </w:pPr>
      <w:r>
        <w:t>Hình 24.2 Chiết khấu kém thanh khoản: Mức chiết khấu cơ bản 25 phần trăm cho doanh nghiệp có lợi nhuận với ...</w:t>
      </w:r>
    </w:p>
    <w:p>
      <w:pPr>
        <w:pStyle w:val="Para 01"/>
      </w:pPr>
      <w:r>
        <w:t>CHƯƠNG 25</w:t>
      </w:r>
    </w:p>
    <w:p>
      <w:pPr>
        <w:pStyle w:val="Para 10"/>
      </w:pPr>
      <w:r>
        <w:t>Hình 25.1 Phân loại các thương vụ mua bán và sáp nhập</w:t>
      </w:r>
    </w:p>
    <w:p>
      <w:pPr>
        <w:pStyle w:val="Para 10"/>
      </w:pPr>
      <w:r>
        <w:t>Hình 25.2 Phân tích chi tiết giá mua lại</w:t>
      </w:r>
    </w:p>
    <w:p>
      <w:pPr>
        <w:pStyle w:val="Para 10"/>
      </w:pPr>
      <w:r>
        <w:t>Hình 25.3 Lợi nhuận cổ phiếu của công ty mua lại và công ty mục tiêu xung quanh các sự kiện mua lại</w:t>
      </w:r>
    </w:p>
    <w:p>
      <w:pPr>
        <w:pStyle w:val="Para 10"/>
      </w:pPr>
      <w:r>
        <w:t>Hình 25.4 Đặc điểm công ty mục tiêu—Thâu tóm thù địch so với thân thiện</w:t>
      </w:r>
    </w:p>
    <w:p>
      <w:pPr>
        <w:pStyle w:val="Para 10"/>
      </w:pPr>
      <w:r>
        <w:t>Hình 25.5 Thương vụ mua lại Inbev-SAB Miller</w:t>
      </w:r>
    </w:p>
    <w:p>
      <w:pPr>
        <w:pStyle w:val="Para 10"/>
      </w:pPr>
      <w:r>
        <w:t>Hình 25.6 Người thắng và người thua trong các thương vụ mua lại</w:t>
      </w:r>
    </w:p>
    <w:p>
      <w:pPr>
        <w:pStyle w:val="Para 10"/>
      </w:pPr>
      <w:r>
        <w:t>Hình 25.7 Mục tiêu tư nhân so với mục tiêu công khai trong các thương vụ mua lại</w:t>
      </w:r>
    </w:p>
    <w:p>
      <w:pPr>
        <w:pStyle w:val="Para 10"/>
      </w:pPr>
      <w:r>
        <w:t>Hình 25.8 Hiệp lực về chi phí so với tăng trưởng</w:t>
      </w:r>
    </w:p>
    <w:p>
      <w:pPr>
        <w:pStyle w:val="Para 01"/>
      </w:pPr>
      <w:r>
        <w:t>CHƯƠNG 26</w:t>
      </w:r>
    </w:p>
    <w:p>
      <w:pPr>
        <w:pStyle w:val="Para 10"/>
      </w:pPr>
      <w:r>
        <w:t>Hình 26.1 Phần bù rủi ro vốn cổ phần, tỷ lệ vốn hóa và chênh lệch trái phiếu</w:t>
      </w:r>
    </w:p>
    <w:p>
      <w:pPr>
        <w:pStyle w:val="Para 10"/>
      </w:pPr>
      <w:r>
        <w:t>Hình 26.2 Tỷ lệ vốn hóa theo nhóm đầu tư bất động sản</w:t>
      </w:r>
    </w:p>
    <w:p>
      <w:pPr>
        <w:pStyle w:val="Para 01"/>
      </w:pPr>
      <w:r>
        <w:t>CHƯƠNG 27</w:t>
      </w:r>
    </w:p>
    <w:p>
      <w:pPr>
        <w:pStyle w:val="Para 10"/>
      </w:pPr>
      <w:r>
        <w:t>Hình 27.1 Giá trị huy hiệu taxi (Cab Medallion) từ 2004 đến 2014</w:t>
      </w:r>
    </w:p>
    <w:p>
      <w:pPr>
        <w:pStyle w:val="Para 10"/>
      </w:pPr>
      <w:r>
        <w:t>Hình 27.2 Sự suy tàn và sụp đổ của taxi NYC</w:t>
      </w:r>
    </w:p>
    <w:p>
      <w:pPr>
        <w:pStyle w:val="Para 10"/>
      </w:pPr>
      <w:r>
        <w:t>Hình 27.3 Định giá thương hiệu Star Wars vào tháng 12 năm 2015</w:t>
      </w:r>
    </w:p>
    <w:p>
      <w:pPr>
        <w:pStyle w:val="Para 10"/>
      </w:pPr>
      <w:r>
        <w:t>Hình 27.4 Giá vàng—Dữ liệu lịch sử từ 1964 đến 2023</w:t>
      </w:r>
    </w:p>
    <w:p>
      <w:pPr>
        <w:pStyle w:val="Para 10"/>
      </w:pPr>
      <w:r>
        <w:t>Hình 27.5 Lợi nhuận của vàng so với tỷ lệ lạm phát: 1963—2023</w:t>
      </w:r>
    </w:p>
    <w:p>
      <w:pPr>
        <w:pStyle w:val="Para 10"/>
      </w:pPr>
      <w:r>
        <w:t>Hình 27.6 Phần bù rủi ro thị trường và lợi nhuận của vàng</w:t>
      </w:r>
    </w:p>
    <w:p>
      <w:pPr>
        <w:pStyle w:val="Para 10"/>
      </w:pPr>
      <w:r>
        <w:t>Hình 27.7 Phần bù rủi ro thị trường và lợi nhuận của vàng</w:t>
      </w:r>
    </w:p>
    <w:p>
      <w:pPr>
        <w:pStyle w:val="Para 10"/>
      </w:pPr>
      <w:r>
        <w:t>Hình 27.8 Giá vàng và chỉ số CPI: 1963–2023</w:t>
      </w:r>
    </w:p>
    <w:p>
      <w:pPr>
        <w:pStyle w:val="Para 10"/>
      </w:pPr>
      <w:r>
        <w:t>Hình 27.9 Giá vàng và bạc: 1963–2023</w:t>
      </w:r>
    </w:p>
    <w:p>
      <w:pPr>
        <w:pStyle w:val="Para 10"/>
      </w:pPr>
      <w:r>
        <w:t>Hình 27.10 Các giao dịch kinh doanh bằng Bitcoin</w:t>
      </w:r>
    </w:p>
    <w:p>
      <w:pPr>
        <w:pStyle w:val="Para 10"/>
      </w:pPr>
      <w:r>
        <w:t>Hình 27.11 Giá Bitcoin theo thời gian</w:t>
      </w:r>
    </w:p>
    <w:p>
      <w:pPr>
        <w:pStyle w:val="Para 10"/>
      </w:pPr>
      <w:r>
        <w:t>Hình 27.12 Bitcoin, vàng và cổ phiếu—Cuộc khủng hoảng thị trường COVID năm 2020</w:t>
      </w:r>
    </w:p>
    <w:p>
      <w:pPr>
        <w:pStyle w:val="Para 10"/>
      </w:pPr>
      <w:r>
        <w:t>Hình 27.13 Doanh thu của các đội thể thao chuyên nghiệp Mỹ—2006–2022</w:t>
      </w:r>
    </w:p>
    <w:p>
      <w:pPr>
        <w:pStyle w:val="Para 10"/>
      </w:pPr>
      <w:r>
        <w:t>Hình 27.14 Định giá các đội NFL theo thời gian</w:t>
      </w:r>
    </w:p>
    <w:p>
      <w:pPr>
        <w:pStyle w:val="Para 01"/>
      </w:pPr>
      <w:r>
        <w:t>CHƯƠNG 28</w:t>
      </w:r>
    </w:p>
    <w:p>
      <w:pPr>
        <w:pStyle w:val="Para 10"/>
      </w:pPr>
      <w:r>
        <w:t>Hình 28.1 Một cây quyết định đơn giản</w:t>
      </w:r>
    </w:p>
    <w:p>
      <w:pPr>
        <w:pStyle w:val="Para 10"/>
      </w:pPr>
      <w:r>
        <w:t>Hình 28.2 Cây quyết định hai bước</w:t>
      </w:r>
    </w:p>
    <w:p>
      <w:pPr>
        <w:pStyle w:val="Para 10"/>
      </w:pPr>
      <w:r>
        <w:t>Hình 28.3 Biểu đồ lợi nhuận quyền chọn</w:t>
      </w:r>
    </w:p>
    <w:p>
      <w:pPr>
        <w:pStyle w:val="Para 10"/>
      </w:pPr>
      <w:r>
        <w:t>Hình 28.4 Quyền chọn trì hoãn một dự án</w:t>
      </w:r>
    </w:p>
    <w:p>
      <w:pPr>
        <w:pStyle w:val="Para 10"/>
      </w:pPr>
      <w:r>
        <w:t>Hình 28.5 Cây nhị phân cho quyền chọn trì hoãn</w:t>
      </w:r>
    </w:p>
    <w:p>
      <w:pPr>
        <w:pStyle w:val="Para 10"/>
      </w:pPr>
      <w:r>
        <w:t>Hình 28.6 Lợi nhuận từ việc giới thiệu sản phẩm</w:t>
      </w:r>
    </w:p>
    <w:p>
      <w:pPr>
        <w:pStyle w:val="Para 10"/>
      </w:pPr>
      <w:r>
        <w:t>Hình 28.7 Giá trị bằng sáng chế so với giá trị hiện tại ròng</w:t>
      </w:r>
    </w:p>
    <w:p>
      <w:pPr>
        <w:pStyle w:val="Para 10"/>
      </w:pPr>
      <w:r>
        <w:t>Hình 28.8 Lợi nhuận từ việc khai thác trữ lượng tài nguyên thiên nhiên.</w:t>
      </w:r>
    </w:p>
    <w:p>
      <w:pPr>
        <w:pStyle w:val="Para 01"/>
      </w:pPr>
      <w:r>
        <w:t>CHƯƠNG 29</w:t>
      </w:r>
    </w:p>
    <w:p>
      <w:pPr>
        <w:pStyle w:val="Para 10"/>
      </w:pPr>
      <w:r>
        <w:t>HÌNH 29.1 Quyền chọn mở rộng một dự án</w:t>
      </w:r>
    </w:p>
    <w:p>
      <w:pPr>
        <w:pStyle w:val="Para 10"/>
      </w:pPr>
      <w:r>
        <w:t>HÌNH 29.2 Cây nhị phân—Quyền chọn mở rộng của Ambev</w:t>
      </w:r>
    </w:p>
    <w:p>
      <w:pPr>
        <w:pStyle w:val="Para 10"/>
      </w:pPr>
      <w:r>
        <w:t>HÌNH 29.3 Tính quyền chọn trong các nền tảng – Các yếu tố tạo giá trị</w:t>
      </w:r>
    </w:p>
    <w:p>
      <w:pPr>
        <w:pStyle w:val="Para 10"/>
      </w:pPr>
      <w:r>
        <w:t>HÌNH 29.4 Quyền chọn từ bỏ một dự án</w:t>
      </w:r>
    </w:p>
    <w:p>
      <w:pPr>
        <w:pStyle w:val="Para 01"/>
      </w:pPr>
      <w:r>
        <w:t>CHƯƠNG 30</w:t>
      </w:r>
    </w:p>
    <w:p>
      <w:pPr>
        <w:pStyle w:val="Para 10"/>
      </w:pPr>
      <w:r>
        <w:t>HÌNH 30.1 Khoản chi trả trên vốn chủ sở hữu như một quyền chọn trên doanh nghiệp</w:t>
      </w:r>
    </w:p>
    <w:p>
      <w:pPr>
        <w:pStyle w:val="Para 10"/>
      </w:pPr>
      <w:r>
        <w:t>HÌNH 30.2 Tính quyền chọn xuyên suốt vòng đời doanh nghiệp</w:t>
      </w:r>
    </w:p>
    <w:p>
      <w:pPr>
        <w:pStyle w:val="Para 10"/>
      </w:pPr>
      <w:r>
        <w:t>HÌNH 30.3 Giá trị vốn chủ sở hữu khi giá trị doanh nghiệp thay đổi</w:t>
      </w:r>
    </w:p>
    <w:p>
      <w:pPr>
        <w:pStyle w:val="Para 10"/>
      </w:pPr>
      <w:r>
        <w:t>HÌNH 30.4 Giá trị vốn chủ sở hữu và độ lệch chuẩn trong giá trị doanh nghiệp</w:t>
      </w:r>
    </w:p>
    <w:p>
      <w:pPr>
        <w:pStyle w:val="Para 10"/>
      </w:pPr>
      <w:r>
        <w:t>HÌNH 30.5 Xác suất vỡ nợ trung tính với rủi ro và mức chênh lệch vỡ nợ</w:t>
      </w:r>
    </w:p>
    <w:p>
      <w:pPr>
        <w:pStyle w:val="Para 01"/>
      </w:pPr>
      <w:r>
        <w:t>CHƯƠNG 31</w:t>
      </w:r>
    </w:p>
    <w:p>
      <w:pPr>
        <w:pStyle w:val="Para 10"/>
      </w:pPr>
      <w:r>
        <w:t>HÌNH 31.1 Marks and Spencer: So sánh biên lợi nhuận</w:t>
      </w:r>
    </w:p>
    <w:p>
      <w:pPr>
        <w:pStyle w:val="Para 10"/>
      </w:pPr>
      <w:r>
        <w:t>HÌNH 31.2 Biên lợi nhuận hoạt động và giá trị trên mỗi cổ phần: Marks and Spencer</w:t>
      </w:r>
    </w:p>
    <w:p>
      <w:pPr>
        <w:pStyle w:val="Para 10"/>
      </w:pPr>
      <w:r>
        <w:t>HÌNH 31.3 Thuế suất và giá trị tài sản hoạt động—Telesp</w:t>
      </w:r>
    </w:p>
    <w:p>
      <w:pPr>
        <w:pStyle w:val="Para 10"/>
      </w:pPr>
      <w:r>
        <w:t>HÌNH 31.4 Vốn lưu động phi tiền mặt và giá trị</w:t>
      </w:r>
    </w:p>
    <w:p>
      <w:pPr>
        <w:pStyle w:val="Para 10"/>
      </w:pPr>
      <w:r>
        <w:t>HÌNH 31.5 Ảnh hưởng của những thay đổi trong tỷ lệ tái đầu tư lên giá trị vốn chủ sở hữu</w:t>
      </w:r>
    </w:p>
    <w:p>
      <w:pPr>
        <w:pStyle w:val="Para 10"/>
      </w:pPr>
      <w:r>
        <w:t>HÌNH 31.6 Các yếu tố quyết định tăng trưởng</w:t>
      </w:r>
    </w:p>
    <w:p>
      <w:pPr>
        <w:pStyle w:val="Para 10"/>
      </w:pPr>
      <w:r>
        <w:t>HÌNH 31.7 Bánh đà Amazon (Lợi ích từ mạng lưới)</w:t>
      </w:r>
    </w:p>
    <w:p>
      <w:pPr>
        <w:pStyle w:val="Para 10"/>
      </w:pPr>
      <w:r>
        <w:t>HÌNH 31.8 SAP: Giá trị với hiện trạng</w:t>
      </w:r>
    </w:p>
    <w:p>
      <w:pPr>
        <w:pStyle w:val="Para 10"/>
      </w:pPr>
      <w:r>
        <w:t>HÌNH 31.9 SAP: Giá trị với cấu trúc tài chính thay đổi</w:t>
      </w:r>
    </w:p>
    <w:p>
      <w:pPr>
        <w:pStyle w:val="Para 10"/>
      </w:pPr>
      <w:r>
        <w:t>HÌNH 31.10 Blockbuster: Hiện trạng</w:t>
      </w:r>
    </w:p>
    <w:p>
      <w:pPr>
        <w:pStyle w:val="Para 10"/>
      </w:pPr>
      <w:r>
        <w:t>HÌNH 31.11 Blockbuster: Tái cấu trúc</w:t>
      </w:r>
    </w:p>
    <w:p>
      <w:pPr>
        <w:pStyle w:val="Para 01"/>
      </w:pPr>
      <w:r>
        <w:t>CHƯƠNG 32</w:t>
      </w:r>
    </w:p>
    <w:p>
      <w:pPr>
        <w:pStyle w:val="Para 10"/>
      </w:pPr>
      <w:r>
        <w:t>HÌNH 32.1 EVA hằng năm: Có và không có đánh đổi tăng trưởng</w:t>
      </w:r>
    </w:p>
    <w:p>
      <w:pPr>
        <w:pStyle w:val="Para 10"/>
      </w:pPr>
      <w:r>
        <w:t>HÌNH 32.2 EVA: Rủi ro và lợi nhuận cao hơn</w:t>
      </w:r>
    </w:p>
    <w:p>
      <w:pPr>
        <w:pStyle w:val="Para 01"/>
      </w:pPr>
      <w:r>
        <w:t>CHƯƠNG 33</w:t>
      </w:r>
    </w:p>
    <w:p>
      <w:pPr>
        <w:pStyle w:val="Para 10"/>
      </w:pPr>
      <w:r>
        <w:t>Hình 33.1 Cây quyết định đơn giản</w:t>
      </w:r>
    </w:p>
    <w:p>
      <w:pPr>
        <w:pStyle w:val="Para 10"/>
      </w:pPr>
      <w:r>
        <w:t>Hình 33.2 Cây quyết định cho phát triển thuốc</w:t>
      </w:r>
    </w:p>
    <w:p>
      <w:pPr>
        <w:pStyle w:val="Para 10"/>
      </w:pPr>
      <w:r>
        <w:t>Hình 33.3 Giá trị hiện tại của dòng tiền tại các nút cuối: Cây phát triển thuốc</w:t>
      </w:r>
    </w:p>
    <w:p>
      <w:pPr>
        <w:pStyle w:val="Para 10"/>
      </w:pPr>
      <w:r>
        <w:t>Hình 33.4 Cây quyết định phát triển thuốc sau khi gộp ngược</w:t>
      </w:r>
    </w:p>
    <w:p>
      <w:pPr>
        <w:pStyle w:val="Para 10"/>
      </w:pPr>
      <w:r>
        <w:t>Hình 33.5 Cây quyết định cho công ty khởi nghiệp</w:t>
      </w:r>
    </w:p>
    <w:p>
      <w:pPr>
        <w:pStyle w:val="Para 10"/>
      </w:pPr>
      <w:r>
        <w:t>Hình 33.6 Thay đổi một năm của lãi suất trái phiếu kho bạc kỳ hạn 10 năm của Mỹ</w:t>
      </w:r>
    </w:p>
    <w:p>
      <w:pPr>
        <w:pStyle w:val="Para 10"/>
      </w:pPr>
      <w:r>
        <w:t>Hình 33.7 Biên lợi nhuận hoạt động trước thuế: Các công ty may mặc/giày dép toàn cầu vào tháng 1 năm 2024</w:t>
      </w:r>
    </w:p>
    <w:p>
      <w:pPr>
        <w:pStyle w:val="Para 10"/>
      </w:pPr>
      <w:r>
        <w:t>Hình 33.8 Thu nhập hoạt động so với giá dầu của Exxon Mobil: 1985–2008</w:t>
      </w:r>
    </w:p>
    <w:p>
      <w:pPr>
        <w:pStyle w:val="Para 10"/>
      </w:pPr>
      <w:r>
        <w:t>Hình 33.9 Phân phối giá dầu—Dữ liệu lịch sử</w:t>
      </w:r>
    </w:p>
    <w:p>
      <w:pPr>
        <w:pStyle w:val="Para 10"/>
      </w:pPr>
      <w:r>
        <w:t>Hình 33.10 Exxon Mobil—Mô phỏng giá dầu</w:t>
      </w:r>
    </w:p>
    <w:p>
      <w:pPr>
        <w:pStyle w:val="Para 01"/>
      </w:pPr>
      <w:r>
        <w:t>CHƯƠNG 34</w:t>
      </w:r>
    </w:p>
    <w:p>
      <w:pPr>
        <w:pStyle w:val="Para 10"/>
      </w:pPr>
      <w:r>
        <w:t>Hình 34.1 Các lựa chọn trong mô hình định giá</w:t>
      </w:r>
    </w:p>
    <w:p>
      <w:pPr>
        <w:pStyle w:val="Para 10"/>
      </w:pPr>
      <w:r>
        <w:t>Hình 34.2 Tính thanh khoản của tài sản và các phương pháp định giá</w:t>
      </w:r>
    </w:p>
    <w:p>
      <w:pPr>
        <w:pStyle w:val="Para 10"/>
      </w:pPr>
      <w:r>
        <w:t>Hình 34.3 Dòng tiền và các phương pháp định giá</w:t>
      </w:r>
    </w:p>
    <w:p>
      <w:pPr>
        <w:pStyle w:val="Para 10"/>
      </w:pPr>
      <w:r>
        <w:t>Hình 34.4 Tính độc nhất của tài sản và các phương pháp định giá</w:t>
      </w:r>
    </w:p>
    <w:p>
      <w:pPr>
        <w:pStyle w:val="Para 10"/>
      </w:pPr>
      <w:r>
        <w:t>Hình 34.5 Khung thời gian của nhà đầu tư và các phương pháp định giá</w:t>
      </w:r>
    </w:p>
    <w:p>
      <w:pPr>
        <w:pStyle w:val="Para 10"/>
      </w:pPr>
      <w:r>
        <w:t>Hình 34.6 Tính trung lập của thị trường và các phương pháp định giá</w:t>
      </w:r>
    </w:p>
    <w:p>
      <w:pPr>
        <w:pStyle w:val="Para 10"/>
      </w:pPr>
      <w:r>
        <w:t>Hình 34.7 Quan điểm về thị trường và các phương pháp định giá</w:t>
      </w:r>
    </w:p>
    <w:p>
      <w:pPr>
        <w:pStyle w:val="Para 10"/>
      </w:pPr>
      <w:r>
        <w:t>Hình 34.8 Các mô hình chiết khấu dòng tiền</w:t>
      </w:r>
    </w:p>
    <w:p>
      <w:bookmarkStart w:id="4" w:name="List_of_Tables"/>
      <w:pPr>
        <w:keepNext/>
        <w:pStyle w:val="Para 69"/>
        <w:keepLines w:val="on"/>
      </w:pPr>
      <w:r>
        <w:t>Danh mục các bảng</w:t>
      </w:r>
      <w:bookmarkEnd w:id="4"/>
    </w:p>
    <w:p>
      <w:pPr>
        <w:pStyle w:val="Para 01"/>
      </w:pPr>
      <w:r>
        <w:t>CHƯƠNG 2</w:t>
      </w:r>
    </w:p>
    <w:p>
      <w:pPr>
        <w:pStyle w:val="Para 10"/>
      </w:pPr>
      <w:r>
        <w:t>Bảng 2.1 Dòng tiền cho vốn chủ sở hữu và cho doanh nghiệp</w:t>
      </w:r>
    </w:p>
    <w:p>
      <w:pPr>
        <w:pStyle w:val="Para 10"/>
      </w:pPr>
      <w:r>
        <w:t>Bảng 2.2 Tỷ lệ PE của các công ty phần mềm</w:t>
      </w:r>
    </w:p>
    <w:p>
      <w:pPr>
        <w:pStyle w:val="Para 01"/>
      </w:pPr>
      <w:r>
        <w:t>CHƯƠNG 3</w:t>
      </w:r>
    </w:p>
    <w:p>
      <w:pPr>
        <w:pStyle w:val="Para 10"/>
      </w:pPr>
      <w:r>
        <w:t>Bảng 3.1 Giá trị tài sản của RTX và Home Depot</w:t>
      </w:r>
    </w:p>
    <w:p>
      <w:pPr>
        <w:pStyle w:val="Para 10"/>
      </w:pPr>
      <w:r>
        <w:t>Bảng 3.2 Nợ phải trả và vốn chủ sở hữu—Raytheon và Home Depot</w:t>
      </w:r>
    </w:p>
    <w:p>
      <w:pPr>
        <w:pStyle w:val="Para 10"/>
      </w:pPr>
      <w:r>
        <w:t>Bảng 3.3 Đo lường lợi nhuận tại Raytheon và Home Depot</w:t>
      </w:r>
    </w:p>
    <w:p>
      <w:pPr>
        <w:pStyle w:val="Para 10"/>
      </w:pPr>
      <w:r>
        <w:t>Bảng 3.4 Tỷ suất sinh lời trên vốn đầu tư của Raytheon và Home Depot</w:t>
      </w:r>
    </w:p>
    <w:p>
      <w:pPr>
        <w:pStyle w:val="Para 10"/>
      </w:pPr>
      <w:r>
        <w:t>Bảng 3.5 Tỷ suất sinh lời trên vốn chủ sở hữu của Raytheon và Home Depot</w:t>
      </w:r>
    </w:p>
    <w:p>
      <w:pPr>
        <w:pStyle w:val="Para 10"/>
      </w:pPr>
      <w:r>
        <w:t>Bảng 3.6 Khả năng chi trả lãi vay và chi phí cố định: Raytheon và Home Depot</w:t>
      </w:r>
    </w:p>
    <w:p>
      <w:pPr>
        <w:pStyle w:val="Para 10"/>
      </w:pPr>
      <w:r>
        <w:t>Bảng 3.7 Các tỷ số nợ của Raytheon và Home Depot</w:t>
      </w:r>
    </w:p>
    <w:p>
      <w:pPr>
        <w:pStyle w:val="Para 10"/>
      </w:pPr>
      <w:r>
        <w:t>Bảng 3.8 Những khác biệt giữa IFRS và GAAP (năm 2023)</w:t>
      </w:r>
    </w:p>
    <w:p>
      <w:pPr>
        <w:pStyle w:val="Para 01"/>
      </w:pPr>
      <w:r>
        <w:t>CHƯƠNG 4</w:t>
      </w:r>
    </w:p>
    <w:p>
      <w:pPr>
        <w:pStyle w:val="Para 10"/>
      </w:pPr>
      <w:r>
        <w:t>Bảng 4.1 Các mô hình thay thế để tính chi phí vốn chủ sở hữu</w:t>
      </w:r>
    </w:p>
    <w:p>
      <w:pPr>
        <w:pStyle w:val="Para 10"/>
      </w:pPr>
      <w:r>
        <w:t>Bảng 4.2 Định nghĩa các tỷ số tài chính: S&amp;P</w:t>
      </w:r>
    </w:p>
    <w:p>
      <w:pPr>
        <w:pStyle w:val="Para 10"/>
      </w:pPr>
      <w:r>
        <w:t>Bảng 4.3 Các tỷ số tài chính và xếp hạng của S&amp;P năm 2022</w:t>
      </w:r>
    </w:p>
    <w:p>
      <w:pPr>
        <w:pStyle w:val="Para 01"/>
      </w:pPr>
      <w:r>
        <w:t>CHƯƠNG 5</w:t>
      </w:r>
    </w:p>
    <w:p>
      <w:pPr>
        <w:pStyle w:val="Para 10"/>
      </w:pPr>
      <w:r>
        <w:t>Bảng 5.1 Tóm tắt các biến số ảnh hưởng đến giá quyền chọn mua và quyền chọn bán</w:t>
      </w:r>
    </w:p>
    <w:p>
      <w:pPr>
        <w:pStyle w:val="Para 01"/>
      </w:pPr>
      <w:r>
        <w:t>CHƯƠNG 6</w:t>
      </w:r>
    </w:p>
    <w:p>
      <w:pPr>
        <w:pStyle w:val="Para 10"/>
      </w:pPr>
      <w:r>
        <w:t>Bảng 6.1 Lợi nhuận vượt trội quanh thời điểm công bố niêm yết quyền chọn</w:t>
      </w:r>
    </w:p>
    <w:p>
      <w:pPr>
        <w:pStyle w:val="Para 10"/>
      </w:pPr>
      <w:r>
        <w:t>Bảng 6.2 Lợi nhuận vượt trội bình quân, theo nhóm ngũ phân vị PE</w:t>
      </w:r>
    </w:p>
    <w:p>
      <w:pPr>
        <w:pStyle w:val="Para 10"/>
      </w:pPr>
      <w:r>
        <w:t>Bảng 6.3 Lợi nhuận của các chiến lược theo quy tắc lọc</w:t>
      </w:r>
    </w:p>
    <w:p>
      <w:pPr>
        <w:pStyle w:val="Para 10"/>
      </w:pPr>
      <w:r>
        <w:t>Bảng 6.4 Phản ứng của thị trường trước các công bố đầu tư</w:t>
      </w:r>
    </w:p>
    <w:p>
      <w:pPr>
        <w:pStyle w:val="Para 10"/>
      </w:pPr>
      <w:r>
        <w:t>Bảng 6.5 Lợi nhuận vượt trội của các cổ phiếu có tỷ số PE thấp theo từng quốc gia, 1989–1994</w:t>
      </w:r>
    </w:p>
    <w:p>
      <w:pPr>
        <w:pStyle w:val="Para 10"/>
      </w:pPr>
      <w:r>
        <w:t>Bảng 6.6 Lợi nhuận hằng năm của cổ phiếu có giá trên giá trị sổ sách thấp—Toàn cầu</w:t>
      </w:r>
    </w:p>
    <w:p>
      <w:pPr>
        <w:pStyle w:val="Para 10"/>
      </w:pPr>
      <w:r>
        <w:t>Bảng 6.7 Xác suất chuyển dịch từ nhóm tứ phân vị này sang nhóm khác—2016–20...</w:t>
      </w:r>
    </w:p>
    <w:p>
      <w:pPr>
        <w:pStyle w:val="Para 01"/>
      </w:pPr>
      <w:r>
        <w:t>CHƯƠNG 7</w:t>
      </w:r>
    </w:p>
    <w:p>
      <w:pPr>
        <w:pStyle w:val="Para 10"/>
      </w:pPr>
      <w:r>
        <w:t>Bảng 7.1 So sánh các mô hình rủi ro và lợi nhuận</w:t>
      </w:r>
    </w:p>
    <w:p>
      <w:pPr>
        <w:pStyle w:val="Para 10"/>
      </w:pPr>
      <w:r>
        <w:t>Bảng 7.2 Sai số chuẩn trong các ước lượng phần bù rủi ro</w:t>
      </w:r>
    </w:p>
    <w:p>
      <w:pPr>
        <w:pStyle w:val="Para 10"/>
      </w:pPr>
      <w:r>
        <w:t>Bảng 7.3 Phần bù rủi ro lịch sử cho Hoa Kỳ (với sai số chuẩn in nghiêng...</w:t>
      </w:r>
    </w:p>
    <w:p>
      <w:pPr>
        <w:pStyle w:val="Para 10"/>
      </w:pPr>
      <w:r>
        <w:t>Bảng 7.4 Phần bù rủi ro vốn cổ phần lịch sử: Các thị trường ngoài Hoa Kỳ</w:t>
      </w:r>
    </w:p>
    <w:p>
      <w:pPr>
        <w:pStyle w:val="Para 10"/>
      </w:pPr>
      <w:r>
        <w:t>Bảng 7.5 Chênh lệch lợi suất vỡ nợ theo hạng xếp hạng vào tháng 1 năm 2024</w:t>
      </w:r>
    </w:p>
    <w:p>
      <w:pPr>
        <w:pStyle w:val="Para 10"/>
      </w:pPr>
      <w:r>
        <w:t>Bảng 7.6 Chênh lệch lợi suất vỡ nợ và lãi suất—Tháng 1 năm 2024</w:t>
      </w:r>
    </w:p>
    <w:p>
      <w:pPr>
        <w:pStyle w:val="Para 01"/>
      </w:pPr>
      <w:r>
        <w:t>CHƯƠNG 8</w:t>
      </w:r>
    </w:p>
    <w:p>
      <w:pPr>
        <w:pStyle w:val="Para 10"/>
      </w:pPr>
      <w:r>
        <w:t>Bảng 8.1 Beta có đòn bẩy và tỷ lệ nợ trên vốn cổ phần</w:t>
      </w:r>
    </w:p>
    <w:p>
      <w:pPr>
        <w:pStyle w:val="Para 10"/>
      </w:pPr>
      <w:r>
        <w:t>Bảng 8.2 Beta và đòn bẩy hoạt động—Các công ty giày dép</w:t>
      </w:r>
    </w:p>
    <w:p>
      <w:pPr>
        <w:pStyle w:val="Para 10"/>
      </w:pPr>
      <w:r>
        <w:t>Bảng 8.3 Beta từ dưới lên cho Enka</w:t>
      </w:r>
    </w:p>
    <w:p>
      <w:pPr>
        <w:pStyle w:val="Para 10"/>
      </w:pPr>
      <w:r>
        <w:t>Bảng 8.4 Thu nhập của Bộ phận Quốc phòng Boeing so với thu nhập của S&amp;P 500</w:t>
      </w:r>
    </w:p>
    <w:p>
      <w:pPr>
        <w:pStyle w:val="Para 10"/>
      </w:pPr>
      <w:r>
        <w:t>Bảng 8.5 Tỷ lệ bao phủ lãi vay và xếp hạng: Các công ty vốn hóa thị trường thấp</w:t>
      </w:r>
    </w:p>
    <w:p>
      <w:pPr>
        <w:pStyle w:val="Para 10"/>
      </w:pPr>
      <w:r>
        <w:t>Bảng 8.6 Tỷ lệ bao phủ lãi vay, xếp hạng và chênh lệch lợi suất vỡ nợ: Các công ty vốn hóa thị trường lớn</w:t>
      </w:r>
    </w:p>
    <w:p>
      <w:pPr>
        <w:pStyle w:val="Para 10"/>
      </w:pPr>
      <w:r>
        <w:t>Bảng 8.7 Vốn hóa thuê tài sản tại Microsoft năm 2000</w:t>
      </w:r>
    </w:p>
    <w:p>
      <w:pPr>
        <w:pStyle w:val="Para 10"/>
      </w:pPr>
      <w:r>
        <w:t>Bảng 8.8 Thực tiễn hiện hành để ước tính chi phí vốn</w:t>
      </w:r>
    </w:p>
    <w:p>
      <w:pPr>
        <w:pStyle w:val="Para 01"/>
      </w:pPr>
      <w:r>
        <w:t>CHƯƠNG 13</w:t>
      </w:r>
    </w:p>
    <w:p>
      <w:pPr>
        <w:pStyle w:val="Para 10"/>
      </w:pPr>
      <w:r>
        <w:t>Bảng 13.1 Thị trường giao đồ ăn nhà hàng Ấn Độ năm 2021</w:t>
      </w:r>
    </w:p>
    <w:p>
      <w:pPr>
        <w:pStyle w:val="Para 10"/>
      </w:pPr>
      <w:r>
        <w:t>Bảng 13.2 Chi phí vốn cho các công ty Hoa Kỳ và toàn cầu tính bằng USD—Ngày 2 tháng 1...</w:t>
      </w:r>
    </w:p>
    <w:p>
      <w:pPr>
        <w:pStyle w:val="Para 10"/>
      </w:pPr>
      <w:r>
        <w:t>Bảng 13.3 Dòng tiền tự do cho doanh nghiệp và giá trị hiện tại tại Zomato năm 2021</w:t>
      </w:r>
    </w:p>
    <w:p>
      <w:pPr>
        <w:pStyle w:val="Para 10"/>
      </w:pPr>
      <w:r>
        <w:t>Bảng 13.4 Zomato – Các câu chuyện thay thế và giá trị trên mỗi cổ phần</w:t>
      </w:r>
    </w:p>
    <w:p>
      <w:pPr>
        <w:pStyle w:val="Para 01"/>
      </w:pPr>
      <w:r>
        <w:t>CHƯƠNG 14</w:t>
      </w:r>
    </w:p>
    <w:p>
      <w:pPr>
        <w:pStyle w:val="Para 10"/>
      </w:pPr>
      <w:r>
        <w:t>Bảng 14.1 Cổ tức dự kiến trên mỗi cổ phần cho P&amp;G</w:t>
      </w:r>
    </w:p>
    <w:p>
      <w:pPr>
        <w:pStyle w:val="Para 10"/>
      </w:pPr>
      <w:r>
        <w:t>Bảng 14.2 Cổ tức dự kiến và giá trị hiện tại trong giai đoạn tăng trưởng cao—JP Morgan Chase</w:t>
      </w:r>
    </w:p>
    <w:p>
      <w:pPr>
        <w:pStyle w:val="Para 10"/>
      </w:pPr>
      <w:r>
        <w:t>Bảng 14.3 Cổ tức dự kiến và giá trị hiện tại trong giai đoạn chuyển tiếp—JP Morgan Chase</w:t>
      </w:r>
    </w:p>
    <w:p>
      <w:pPr>
        <w:pStyle w:val="Para 10"/>
      </w:pPr>
      <w:r>
        <w:t>Bảng 14.4 Cổ tức so với mua lại cổ phần—Coca Cola</w:t>
      </w:r>
    </w:p>
    <w:p>
      <w:pPr>
        <w:pStyle w:val="Para 10"/>
      </w:pPr>
      <w:r>
        <w:t>Bảng 14.5 Cổ tức và mua lại cổ phần cho S&amp;P 500</w:t>
      </w:r>
    </w:p>
    <w:p>
      <w:pPr>
        <w:pStyle w:val="Para 10"/>
      </w:pPr>
      <w:r>
        <w:t>Bảng 14.6 Dòng tiền tự do dự kiến cho vốn cổ phần—Levi Strauss</w:t>
      </w:r>
    </w:p>
    <w:p>
      <w:pPr>
        <w:pStyle w:val="Para 10"/>
      </w:pPr>
      <w:r>
        <w:t>Bảng 14.7 FCFE (Ước tính) cho Levi Strauss</w:t>
      </w:r>
    </w:p>
    <w:p>
      <w:pPr>
        <w:pStyle w:val="Para 10"/>
      </w:pPr>
      <w:r>
        <w:t>Bảng 14.8 Nestle—Phân tích Doanh thu theo Khu vực Địa lý</w:t>
      </w:r>
    </w:p>
    <w:p>
      <w:pPr>
        <w:pStyle w:val="Para 10"/>
      </w:pPr>
      <w:r>
        <w:t>Bảng 14.9 FCFE và Giá trị Hiện tại cho Nestle</w:t>
      </w:r>
    </w:p>
    <w:p>
      <w:pPr>
        <w:pStyle w:val="Para 10"/>
      </w:pPr>
      <w:r>
        <w:t>Bảng 14.10 FCFE Kỳ vọng cho Tsingtao Breweries</w:t>
      </w:r>
    </w:p>
    <w:p>
      <w:pPr>
        <w:pStyle w:val="Para 10"/>
      </w:pPr>
      <w:r>
        <w:t>Bảng 14.11 Những Khác biệt giữa Mô hình DDM và FCFE</w:t>
      </w:r>
    </w:p>
    <w:p>
      <w:pPr>
        <w:pStyle w:val="Para 01"/>
      </w:pPr>
      <w:r>
        <w:t>CHƯƠNG 15</w:t>
      </w:r>
    </w:p>
    <w:p>
      <w:pPr>
        <w:pStyle w:val="Para 10"/>
      </w:pPr>
      <w:r>
        <w:t>Bảng 15.1 Dòng tiền Tự do cho Doanh nghiệp: So sánh với các Thước đo Khác</w:t>
      </w:r>
    </w:p>
    <w:p>
      <w:pPr>
        <w:pStyle w:val="Para 10"/>
      </w:pPr>
      <w:r>
        <w:t>Bảng 15.2 Giá trị Hiện tại của các Cam kết Thuê—Target</w:t>
      </w:r>
    </w:p>
    <w:p>
      <w:pPr>
        <w:pStyle w:val="Para 10"/>
      </w:pPr>
      <w:r>
        <w:t>Bảng 15.3 FCFF Kỳ vọng và Giá trị Hiện tại—Target</w:t>
      </w:r>
    </w:p>
    <w:p>
      <w:pPr>
        <w:pStyle w:val="Para 10"/>
      </w:pPr>
      <w:r>
        <w:t>Bảng 15.4 Định giá Target—Ảnh hưởng của Việc Vốn hóa Thuê</w:t>
      </w:r>
    </w:p>
    <w:p>
      <w:pPr>
        <w:pStyle w:val="Para 10"/>
      </w:pPr>
      <w:r>
        <w:t>Bảng 15.5 Vốn hóa R&amp;D—Amgen</w:t>
      </w:r>
    </w:p>
    <w:p>
      <w:pPr>
        <w:pStyle w:val="Para 10"/>
      </w:pPr>
      <w:r>
        <w:t>Bảng 15.6 FCFF Kỳ vọng cho Amgen</w:t>
      </w:r>
    </w:p>
    <w:p>
      <w:pPr>
        <w:pStyle w:val="Para 10"/>
      </w:pPr>
      <w:r>
        <w:t>Bảng 15.7 Xếp hạng Tín nhiệm và Xác suất Vỡ nợ</w:t>
      </w:r>
    </w:p>
    <w:p>
      <w:pPr>
        <w:pStyle w:val="Para 10"/>
      </w:pPr>
      <w:r>
        <w:t>Bảng 15.8 Giá trị Hiện tại của các Lợi ích Thuế</w:t>
      </w:r>
    </w:p>
    <w:p>
      <w:pPr>
        <w:pStyle w:val="Para 10"/>
      </w:pPr>
      <w:r>
        <w:t>Bảng 15.9 Cơ cấu Kinh doanh của GE năm 2018</w:t>
      </w:r>
    </w:p>
    <w:p>
      <w:pPr>
        <w:pStyle w:val="Para 10"/>
      </w:pPr>
      <w:r>
        <w:t>Bảng 15.10 Giá trị của GE—Tổng các Phần</w:t>
      </w:r>
    </w:p>
    <w:p>
      <w:pPr>
        <w:pStyle w:val="Para 10"/>
      </w:pPr>
      <w:r>
        <w:t>Bảng 15.11 Chi phí Vốn và Giá trị Doanh nghiệp, theo Tỷ lệ Nợ</w:t>
      </w:r>
    </w:p>
    <w:p>
      <w:pPr>
        <w:pStyle w:val="Para 10"/>
      </w:pPr>
      <w:r>
        <w:t>Bảng 15.12 Chi phí Vốn cổ phần cho Disney, theo Tỷ lệ Nợ</w:t>
      </w:r>
    </w:p>
    <w:p>
      <w:pPr>
        <w:pStyle w:val="Para 10"/>
      </w:pPr>
      <w:r>
        <w:t>Bảng 15.13 Xếp hạng Tín nhiệm và Chênh lệch Vỡ nợ</w:t>
      </w:r>
    </w:p>
    <w:p>
      <w:pPr>
        <w:pStyle w:val="Para 10"/>
      </w:pPr>
      <w:r>
        <w:t>Bảng 15.14 Các Chỉ số Hoạt động Năm Cơ sở cho Disney</w:t>
      </w:r>
    </w:p>
    <w:p>
      <w:pPr>
        <w:pStyle w:val="Para 10"/>
      </w:pPr>
      <w:r>
        <w:t>Bảng 15.15 Chi phí Nợ cho Disney, theo Tỷ lệ Nợ</w:t>
      </w:r>
    </w:p>
    <w:p>
      <w:pPr>
        <w:pStyle w:val="Para 10"/>
      </w:pPr>
      <w:r>
        <w:t>Bảng 15.16 Chi phí Vốn cho Disney, theo Tỷ lệ Nợ</w:t>
      </w:r>
    </w:p>
    <w:p>
      <w:pPr>
        <w:pStyle w:val="Para 01"/>
      </w:pPr>
      <w:r>
        <w:t>CHƯƠNG 16</w:t>
      </w:r>
    </w:p>
    <w:p>
      <w:pPr>
        <w:pStyle w:val="Para 10"/>
      </w:pPr>
      <w:r>
        <w:t>Bảng 16.1 Lượng Tiền mặt Nắm giữ của Microsoft—1999 và 2000</w:t>
      </w:r>
    </w:p>
    <w:p>
      <w:pPr>
        <w:pStyle w:val="Para 10"/>
      </w:pPr>
      <w:r>
        <w:t>Bảng 16.2 Các khoản đầu tư của Microsoft vào Chứng khoán Rủi ro cao hơn</w:t>
      </w:r>
    </w:p>
    <w:p>
      <w:pPr>
        <w:pStyle w:val="Para 10"/>
      </w:pPr>
      <w:r>
        <w:t>Bảng 16.3 Sở hữu chéo của Hyundai Heavy</w:t>
      </w:r>
    </w:p>
    <w:p>
      <w:pPr>
        <w:pStyle w:val="Para 10"/>
      </w:pPr>
      <w:r>
        <w:t>Bảng 16.4 Định giá các khoản sở hữu chéo của Hyundai Heavy</w:t>
      </w:r>
    </w:p>
    <w:p>
      <w:pPr>
        <w:pStyle w:val="Para 10"/>
      </w:pPr>
      <w:r>
        <w:t>Bảng 16.5 Cisco—Quyền chọn đang lưu hành</w:t>
      </w:r>
    </w:p>
    <w:p>
      <w:pPr>
        <w:pStyle w:val="Para 01"/>
      </w:pPr>
      <w:r>
        <w:t>CHƯƠNG 18</w:t>
      </w:r>
    </w:p>
    <w:p>
      <w:pPr>
        <w:pStyle w:val="Para 10"/>
      </w:pPr>
      <w:r>
        <w:t>Bảng 18.1 Phân phối tỷ số PE—Các công ty Hoa Kỳ tháng 1 năm 2024</w:t>
      </w:r>
    </w:p>
    <w:p>
      <w:pPr>
        <w:pStyle w:val="Para 10"/>
      </w:pPr>
      <w:r>
        <w:t>Bảng 18.2 Công ty tăng trưởng cao—Các chỉ số cơ bản</w:t>
      </w:r>
    </w:p>
    <w:p>
      <w:pPr>
        <w:pStyle w:val="Para 10"/>
      </w:pPr>
      <w:r>
        <w:t>Bảng 18.3 Các đầu vào tỷ số PE nội tại cho P&amp;G</w:t>
      </w:r>
    </w:p>
    <w:p>
      <w:pPr>
        <w:pStyle w:val="Para 10"/>
      </w:pPr>
      <w:r>
        <w:t>Bảng 18.4 Tỷ số PE và các yếu tố kinh tế vĩ mô</w:t>
      </w:r>
    </w:p>
    <w:p>
      <w:pPr>
        <w:pStyle w:val="Para 10"/>
      </w:pPr>
      <w:r>
        <w:t>Bảng 18.5 Tóm tắt thống kê kinh tế vĩ mô</w:t>
      </w:r>
    </w:p>
    <w:p>
      <w:pPr>
        <w:pStyle w:val="Para 10"/>
      </w:pPr>
      <w:r>
        <w:t>Bảng 18.6 Đặc điểm thị trường—So sánh quốc gia</w:t>
      </w:r>
    </w:p>
    <w:p>
      <w:pPr>
        <w:pStyle w:val="Para 10"/>
      </w:pPr>
      <w:r>
        <w:t>Bảng 18.7 Tỷ số PE thực tế so với dự đoán</w:t>
      </w:r>
    </w:p>
    <w:p>
      <w:pPr>
        <w:pStyle w:val="Para 10"/>
      </w:pPr>
      <w:r>
        <w:t>Bảng 18.8 Tóm tắt thống kê kinh tế vĩ mô—Các thị trường mới nổi</w:t>
      </w:r>
    </w:p>
    <w:p>
      <w:pPr>
        <w:pStyle w:val="Para 10"/>
      </w:pPr>
      <w:r>
        <w:t>Bảng 18.9 Định giá công ty viễn thông toàn cầu năm 2000</w:t>
      </w:r>
    </w:p>
    <w:p>
      <w:pPr>
        <w:pStyle w:val="Para 10"/>
      </w:pPr>
      <w:r>
        <w:t>Bảng 18.10 Tỷ số PE thực tế so với dự đoán</w:t>
      </w:r>
    </w:p>
    <w:p>
      <w:pPr>
        <w:pStyle w:val="Para 10"/>
      </w:pPr>
      <w:r>
        <w:t>Bảng 18.11 Hồi quy thị trường từ 1961 đến 1965</w:t>
      </w:r>
    </w:p>
    <w:p>
      <w:pPr>
        <w:pStyle w:val="Para 10"/>
      </w:pPr>
      <w:r>
        <w:t>Bảng 18.12 Hồi quy thị trường từ 1987 đến 1991</w:t>
      </w:r>
    </w:p>
    <w:p>
      <w:pPr>
        <w:pStyle w:val="Para 10"/>
      </w:pPr>
      <w:r>
        <w:t>Bảng 18.13 Hệ số ERP và tăng trưởng—2000–2024</w:t>
      </w:r>
    </w:p>
    <w:p>
      <w:pPr>
        <w:pStyle w:val="Para 10"/>
      </w:pPr>
      <w:r>
        <w:t>Bảng 18.14 Hồi quy thị trường PE—Đầu năm 2024</w:t>
      </w:r>
    </w:p>
    <w:p>
      <w:pPr>
        <w:pStyle w:val="Para 10"/>
      </w:pPr>
      <w:r>
        <w:t>Bảng 18.15 Tương quan Pearson giữa các biến độc lập</w:t>
      </w:r>
    </w:p>
    <w:p>
      <w:pPr>
        <w:pStyle w:val="Para 10"/>
      </w:pPr>
      <w:r>
        <w:t>Bảng 18.16 So sánh tỷ số PEG—Phần mềm so với Thị trường</w:t>
      </w:r>
    </w:p>
    <w:p>
      <w:pPr>
        <w:pStyle w:val="Para 10"/>
      </w:pPr>
      <w:r>
        <w:t>Bảng 18.17 Hồi quy thị trường PEG—Đầu năm 2024</w:t>
      </w:r>
    </w:p>
    <w:p>
      <w:pPr>
        <w:pStyle w:val="Para 10"/>
      </w:pPr>
      <w:r>
        <w:t>Bảng 18.18 Tỷ số PEG cho các công ty đồ uống</w:t>
      </w:r>
    </w:p>
    <w:p>
      <w:pPr>
        <w:pStyle w:val="Para 10"/>
      </w:pPr>
      <w:r>
        <w:t>Bảng 18.19 Tỷ số PE tương đối cho các công ty ô tô năm 2011</w:t>
      </w:r>
    </w:p>
    <w:p>
      <w:pPr>
        <w:pStyle w:val="Para 10"/>
      </w:pPr>
      <w:r>
        <w:t>Bảng 18.20 Bội số EV/EBITDA cho các công ty thép năm 2001</w:t>
      </w:r>
    </w:p>
    <w:p>
      <w:pPr>
        <w:pStyle w:val="Para 01"/>
      </w:pPr>
      <w:r>
        <w:t>CHƯƠNG 19</w:t>
      </w:r>
    </w:p>
    <w:p>
      <w:pPr>
        <w:pStyle w:val="Para 10"/>
      </w:pPr>
      <w:r>
        <w:t>Bảng 19.1 Đặc điểm doanh nghiệp—Tăng trưởng cao và Tăng trưởng ổn định</w:t>
      </w:r>
    </w:p>
    <w:p>
      <w:pPr>
        <w:pStyle w:val="Para 10"/>
      </w:pPr>
      <w:r>
        <w:t>Bảng 19.2 Đặc điểm doanh nghiệp—Nestle</w:t>
      </w:r>
    </w:p>
    <w:p>
      <w:pPr>
        <w:pStyle w:val="Para 10"/>
      </w:pPr>
      <w:r>
        <w:t>Bảng 19.3 PBV và ROE của các doanh nghiệp may mặc châu Âu</w:t>
      </w:r>
    </w:p>
    <w:p>
      <w:pPr>
        <w:pStyle w:val="Para 10"/>
      </w:pPr>
      <w:r>
        <w:t>Bảng 19.4 PBV dự đoán của các doanh nghiệp may mặc châu Âu</w:t>
      </w:r>
    </w:p>
    <w:p>
      <w:pPr>
        <w:pStyle w:val="Para 10"/>
      </w:pPr>
      <w:r>
        <w:t>Bảng 19.5 Hồi quy thị trường PBV—1987 đến 1991</w:t>
      </w:r>
    </w:p>
    <w:p>
      <w:pPr>
        <w:pStyle w:val="Para 10"/>
      </w:pPr>
      <w:r>
        <w:t>Bảng 19.6 Hồi quy thị trường PBV—Đầu năm 2024</w:t>
      </w:r>
    </w:p>
    <w:p>
      <w:pPr>
        <w:pStyle w:val="Para 10"/>
      </w:pPr>
      <w:r>
        <w:t>Bảng 19.7 Lợi nhuận vượt trội PBV theo quốc gia</w:t>
      </w:r>
    </w:p>
    <w:p>
      <w:pPr>
        <w:pStyle w:val="Para 10"/>
      </w:pPr>
      <w:r>
        <w:t>Bảng 19.8 Hồi quy thị trường EV-to-IC—Đầu năm 2024</w:t>
      </w:r>
    </w:p>
    <w:p>
      <w:pPr>
        <w:pStyle w:val="Para 01"/>
      </w:pPr>
      <w:r>
        <w:t>CHƯƠNG 20</w:t>
      </w:r>
    </w:p>
    <w:p>
      <w:pPr>
        <w:pStyle w:val="Para 10"/>
      </w:pPr>
      <w:r>
        <w:t>Bảng 20.1 Bội số Giá-trên-Doanh thu và EV/Doanh thu: Thống kê phân phối cho doanh nghiệp Hoa Kỳ...</w:t>
      </w:r>
    </w:p>
    <w:p>
      <w:pPr>
        <w:pStyle w:val="Para 10"/>
      </w:pPr>
      <w:r>
        <w:t>Bảng 20.2 Đặc điểm của một doanh nghiệp tăng trưởng cao</w:t>
      </w:r>
    </w:p>
    <w:p>
      <w:pPr>
        <w:pStyle w:val="Para 10"/>
      </w:pPr>
      <w:r>
        <w:t>Bảng 20.3 Dữ liệu đầu vào định giá—Doanh nghiệp tăng trưởng cao</w:t>
      </w:r>
    </w:p>
    <w:p>
      <w:pPr>
        <w:pStyle w:val="Para 10"/>
      </w:pPr>
      <w:r>
        <w:t>Bảng 20.4 Dữ liệu đầu vào định giá—Coca Cola</w:t>
      </w:r>
    </w:p>
    <w:p>
      <w:pPr>
        <w:pStyle w:val="Para 10"/>
      </w:pPr>
      <w:r>
        <w:t>Bảng 20.5 Bội số định giá và các biến số đi kèm</w:t>
      </w:r>
    </w:p>
    <w:p>
      <w:pPr>
        <w:pStyle w:val="Para 10"/>
      </w:pPr>
      <w:r>
        <w:t>Bảng 20.6 Dữ liệu đầu vào định giá cho các chiến lược định giá</w:t>
      </w:r>
    </w:p>
    <w:p>
      <w:pPr>
        <w:pStyle w:val="Para 10"/>
      </w:pPr>
      <w:r>
        <w:t>Bảng 20.7 Dữ liệu đầu vào định giá—Coca Cola và Cott</w:t>
      </w:r>
    </w:p>
    <w:p>
      <w:pPr>
        <w:pStyle w:val="Para 10"/>
      </w:pPr>
      <w:r>
        <w:t>Bảng 20.8 Giá trị thương hiệu Coca Cola—Sức mạnh định giá</w:t>
      </w:r>
    </w:p>
    <w:p>
      <w:pPr>
        <w:pStyle w:val="Para 10"/>
      </w:pPr>
      <w:r>
        <w:t>Bảng 20.9 Giá trị thương hiệu Coca Cola—Sức mạnh định giá &amp; Vòng quay</w:t>
      </w:r>
    </w:p>
    <w:p>
      <w:pPr>
        <w:pStyle w:val="Para 10"/>
      </w:pPr>
      <w:r>
        <w:t>Bảng 20.10 Giá trị thương hiệu Coca Cola—Tất cả lợi nhuận vượt trội</w:t>
      </w:r>
    </w:p>
    <w:p>
      <w:pPr>
        <w:pStyle w:val="Para 10"/>
      </w:pPr>
      <w:r>
        <w:t>Bảng 20.11 Hồi quy thị trường cho Giá trên Doanh thu—1987–1991</w:t>
      </w:r>
    </w:p>
    <w:p>
      <w:pPr>
        <w:pStyle w:val="Para 10"/>
      </w:pPr>
      <w:r>
        <w:t>Bảng 20.12 Hồi quy thị trường cho EV trên Doanh thu—Đầu năm 2024</w:t>
      </w:r>
    </w:p>
    <w:p>
      <w:pPr>
        <w:pStyle w:val="Para 10"/>
      </w:pPr>
      <w:r>
        <w:t>Bảng 20.13 Giá trị của Netflix vào ngày 16 tháng 4 năm 2018</w:t>
      </w:r>
    </w:p>
    <w:p>
      <w:pPr>
        <w:pStyle w:val="Para 10"/>
      </w:pPr>
      <w:r>
        <w:t>Bảng 20.14 Dữ liệu người dùng cho các công ty truyền thông xã hội</w:t>
      </w:r>
    </w:p>
    <w:p>
      <w:pPr>
        <w:pStyle w:val="Para 01"/>
      </w:pPr>
      <w:r>
        <w:t>CHƯƠNG 21</w:t>
      </w:r>
    </w:p>
    <w:p>
      <w:pPr>
        <w:pStyle w:val="Para 10"/>
      </w:pPr>
      <w:r>
        <w:t>Bảng 21.1 Cổ tức dự kiến trong các năm 1 đến 4</w:t>
      </w:r>
    </w:p>
    <w:p>
      <w:pPr>
        <w:pStyle w:val="Para 10"/>
      </w:pPr>
      <w:r>
        <w:t>Bảng 21.2 Cổ tức kỳ vọng trong các năm 1 đến 4</w:t>
      </w:r>
    </w:p>
    <w:p>
      <w:pPr>
        <w:pStyle w:val="Para 10"/>
      </w:pPr>
      <w:r>
        <w:t>Bảng 21.3 Cổ tức tiềm năng kỳ vọng (tính bằng triệu euro) trong 5 năm tới...</w:t>
      </w:r>
    </w:p>
    <w:p>
      <w:pPr>
        <w:pStyle w:val="Para 10"/>
      </w:pPr>
      <w:r>
        <w:t>Bảng 21.4 Lợi nhuận vượt trội kỳ vọng—Goldman Sachs</w:t>
      </w:r>
    </w:p>
    <w:p>
      <w:pPr>
        <w:pStyle w:val="Para 10"/>
      </w:pPr>
      <w:r>
        <w:t>Bảng 21.5 Tỷ lệ PE và các yếu tố cơ bản—Các công ty bảo hiểm Hoa Kỳ</w:t>
      </w:r>
    </w:p>
    <w:p>
      <w:pPr>
        <w:pStyle w:val="Para 10"/>
      </w:pPr>
      <w:r>
        <w:t>Bảng 21.6 Định giá JP Morgan Chase, theo từng phân khúc</w:t>
      </w:r>
    </w:p>
    <w:p>
      <w:pPr>
        <w:pStyle w:val="Para 10"/>
      </w:pPr>
      <w:r>
        <w:t>Bảng 21.7 Tỷ lệ Giá trên Giá trị sổ sách và các yếu tố cơ bản—Các ngân hàng châu Âu</w:t>
      </w:r>
    </w:p>
    <w:p>
      <w:pPr>
        <w:pStyle w:val="Para 10"/>
      </w:pPr>
      <w:r>
        <w:t>Bảng 21.8 Các chỉ số đánh giá mức độ rẻ của ngân hàng</w:t>
      </w:r>
    </w:p>
    <w:p>
      <w:pPr>
        <w:pStyle w:val="Para 10"/>
      </w:pPr>
      <w:r>
        <w:t>Bảng 21.9 Sàng lọc mức độ rẻ cho các ngân hàng lớn của Hoa Kỳ</w:t>
      </w:r>
    </w:p>
    <w:p>
      <w:pPr>
        <w:pStyle w:val="Para 01"/>
      </w:pPr>
      <w:r>
        <w:t>CHƯƠNG 22</w:t>
      </w:r>
    </w:p>
    <w:p>
      <w:pPr>
        <w:pStyle w:val="Para 10"/>
      </w:pPr>
      <w:r>
        <w:t>Bảng 22.1 Thu nhập và dòng tiền kỳ vọng—Dana Corp</w:t>
      </w:r>
    </w:p>
    <w:p>
      <w:pPr>
        <w:pStyle w:val="Para 10"/>
      </w:pPr>
      <w:r>
        <w:t>Bảng 22.2 Thu nhập và dòng tiền kỳ vọng—Toyota</w:t>
      </w:r>
    </w:p>
    <w:p>
      <w:pPr>
        <w:pStyle w:val="Para 10"/>
      </w:pPr>
      <w:r>
        <w:t>Bảng 22.3 Chi phí xây dựng và giá trị hiện tại</w:t>
      </w:r>
    </w:p>
    <w:p>
      <w:pPr>
        <w:pStyle w:val="Para 10"/>
      </w:pPr>
      <w:r>
        <w:t>Bảng 22.4 Thu nhập kỳ vọng từ khoản đầu tư</w:t>
      </w:r>
    </w:p>
    <w:p>
      <w:pPr>
        <w:pStyle w:val="Para 10"/>
      </w:pPr>
      <w:r>
        <w:t>Bảng 22.5 Dòng tiền và giá trị hiện tại</w:t>
      </w:r>
    </w:p>
    <w:p>
      <w:pPr>
        <w:pStyle w:val="Para 10"/>
      </w:pPr>
      <w:r>
        <w:t>Bảng 22.6 Dòng tiền tự do kỳ vọng cho các năm 1 đến 6</w:t>
      </w:r>
    </w:p>
    <w:p>
      <w:pPr>
        <w:pStyle w:val="Para 10"/>
      </w:pPr>
      <w:r>
        <w:t>Bảng 22.7 Tỷ lệ nợ và chi phí vốn</w:t>
      </w:r>
    </w:p>
    <w:p>
      <w:pPr>
        <w:pStyle w:val="Para 10"/>
      </w:pPr>
      <w:r>
        <w:t>Bảng 22.8 Xác suất vỡ nợ theo nhóm xếp hạng trái phiếu</w:t>
      </w:r>
    </w:p>
    <w:p>
      <w:pPr>
        <w:pStyle w:val="Para 10"/>
      </w:pPr>
      <w:r>
        <w:t>Bảng 22.9 Dòng tiền tự do kỳ vọng</w:t>
      </w:r>
    </w:p>
    <w:p>
      <w:pPr>
        <w:pStyle w:val="Para 10"/>
      </w:pPr>
      <w:r>
        <w:t>Bảng 22.10 Chi phí vốn và hệ số chiết khấu</w:t>
      </w:r>
    </w:p>
    <w:p>
      <w:pPr>
        <w:pStyle w:val="Para 10"/>
      </w:pPr>
      <w:r>
        <w:t>Bảng 22.11 FCFF và giá trị hiện tại</w:t>
      </w:r>
    </w:p>
    <w:p>
      <w:pPr>
        <w:pStyle w:val="Para 01"/>
      </w:pPr>
      <w:r>
        <w:t>CHƯƠNG 23</w:t>
      </w:r>
    </w:p>
    <w:p>
      <w:pPr>
        <w:pStyle w:val="Para 10"/>
      </w:pPr>
      <w:r>
        <w:t>Bảng 23.1 Doanh thu kỳ vọng của Airbnb (tính bằng triệu $)</w:t>
      </w:r>
    </w:p>
    <w:p>
      <w:pPr>
        <w:pStyle w:val="Para 10"/>
      </w:pPr>
      <w:r>
        <w:t>Bảng 23.2 Thu nhập hoạt động kỳ vọng của Airbnb (tính bằng triệu $)</w:t>
      </w:r>
    </w:p>
    <w:p>
      <w:pPr>
        <w:pStyle w:val="Para 10"/>
      </w:pPr>
      <w:r>
        <w:t>Bảng 23.3 FCFF kỳ vọng của Airbnb (tính bằng triệu $)</w:t>
      </w:r>
    </w:p>
    <w:p>
      <w:pPr>
        <w:pStyle w:val="Para 10"/>
      </w:pPr>
      <w:r>
        <w:t>Bảng 23.4 Tái đầu tư và ROIC ước tính cho Airbnb (tính bằng triệu $)</w:t>
      </w:r>
    </w:p>
    <w:p>
      <w:pPr>
        <w:pStyle w:val="Para 10"/>
      </w:pPr>
      <w:r>
        <w:t>Bảng 23.5 Giá trị hiện tại của FCFF đối với Airbnb (tính bằng triệu $)</w:t>
      </w:r>
    </w:p>
    <w:p>
      <w:pPr>
        <w:pStyle w:val="Para 10"/>
      </w:pPr>
      <w:r>
        <w:t>Bảng 23.6 Giá trị trên mỗi cổ phần, Tăng trưởng và Biên lợi nhuận—Airbnb</w:t>
      </w:r>
    </w:p>
    <w:p>
      <w:pPr>
        <w:pStyle w:val="Para 01"/>
      </w:pPr>
      <w:r>
        <w:t>CHƯƠNG 24</w:t>
      </w:r>
    </w:p>
    <w:p>
      <w:pPr>
        <w:pStyle w:val="Para 10"/>
      </w:pPr>
      <w:r>
        <w:t>Bảng 24.1 Lợi nhuận kế toán—Infosoft so với S&amp;P 500</w:t>
      </w:r>
    </w:p>
    <w:p>
      <w:pPr>
        <w:pStyle w:val="Para 10"/>
      </w:pPr>
      <w:r>
        <w:t>Bảng 24.2 Tỷ lệ bao phủ lãi vay và Xếp hạng trái phiếu</w:t>
      </w:r>
    </w:p>
    <w:p>
      <w:pPr>
        <w:pStyle w:val="Para 10"/>
      </w:pPr>
      <w:r>
        <w:t>Bảng 24.3 Báo cáo thu nhập—Chez Pierre</w:t>
      </w:r>
    </w:p>
    <w:p>
      <w:pPr>
        <w:pStyle w:val="Para 10"/>
      </w:pPr>
      <w:r>
        <w:t>Bảng 24.4 Ước tính các thông số đầu vào cho định giá: Động cơ định giá</w:t>
      </w:r>
    </w:p>
    <w:p>
      <w:pPr>
        <w:pStyle w:val="Para 10"/>
      </w:pPr>
      <w:r>
        <w:t>Bảng 24.5 Lợi nhuận kỳ vọng, Dòng tiền và Giá trị hiện tại</w:t>
      </w:r>
    </w:p>
    <w:p>
      <w:pPr>
        <w:pStyle w:val="Para 10"/>
      </w:pPr>
      <w:r>
        <w:t>Bảng 24.6 Dòng tiền kỳ vọng và Giá trị hiện tại</w:t>
      </w:r>
    </w:p>
    <w:p>
      <w:pPr>
        <w:pStyle w:val="Para 01"/>
      </w:pPr>
      <w:r>
        <w:t>CHƯƠNG 25</w:t>
      </w:r>
    </w:p>
    <w:p>
      <w:pPr>
        <w:pStyle w:val="Para 10"/>
      </w:pPr>
      <w:r>
        <w:t>Bảng 25.1 Đặc điểm công ty mục tiêu theo Động cơ thâu tóm</w:t>
      </w:r>
    </w:p>
    <w:p>
      <w:pPr>
        <w:pStyle w:val="Para 10"/>
      </w:pPr>
      <w:r>
        <w:t>Bảng 25.2 Định giá nguyên trạng của SAB Miller (tính bằng triệu $)</w:t>
      </w:r>
    </w:p>
    <w:p>
      <w:pPr>
        <w:pStyle w:val="Para 10"/>
      </w:pPr>
      <w:r>
        <w:t>Bảng 25.3 Giá trị quyền kiểm soát tại SAB Miller</w:t>
      </w:r>
    </w:p>
    <w:p>
      <w:pPr>
        <w:pStyle w:val="Para 10"/>
      </w:pPr>
      <w:r>
        <w:t>Bảng 25.4 Định giá một thương vụ thâu tóm</w:t>
      </w:r>
    </w:p>
    <w:p>
      <w:pPr>
        <w:pStyle w:val="Para 10"/>
      </w:pPr>
      <w:r>
        <w:t>Bảng 25.5 Inbev và SAB Miller hợp nhất—Không có hiệu ứng cộng hưởng</w:t>
      </w:r>
    </w:p>
    <w:p>
      <w:pPr>
        <w:pStyle w:val="Para 10"/>
      </w:pPr>
      <w:r>
        <w:t>Bảng 25.6 Giá trị của hiệu ứng cộng hưởng</w:t>
      </w:r>
    </w:p>
    <w:p>
      <w:pPr>
        <w:pStyle w:val="Para 10"/>
      </w:pPr>
      <w:r>
        <w:t>Bảng 25.7 Đặc điểm công ty (Dalton và Lube &amp; Auto)</w:t>
      </w:r>
    </w:p>
    <w:p>
      <w:pPr>
        <w:pStyle w:val="Para 10"/>
      </w:pPr>
      <w:r>
        <w:t>Bảng 25.8 Giá trị của Lube &amp; Auto, Dalton Motors và Công ty hợp nhất</w:t>
      </w:r>
    </w:p>
    <w:p>
      <w:pPr>
        <w:pStyle w:val="Para 10"/>
      </w:pPr>
      <w:r>
        <w:t>Bảng 25.9 Lợi ích thuế từ khấu hao—Congoleum</w:t>
      </w:r>
    </w:p>
    <w:p>
      <w:pPr>
        <w:pStyle w:val="Para 10"/>
      </w:pPr>
      <w:r>
        <w:t>Bảng 25.10 Giá trị năng lực vay nợ—Lube &amp; Auto và Dalton Motors</w:t>
      </w:r>
    </w:p>
    <w:p>
      <w:pPr>
        <w:pStyle w:val="Para 10"/>
      </w:pPr>
      <w:r>
        <w:t>Bảng 25.11 Định giá SAB Miller cho Inbev</w:t>
      </w:r>
    </w:p>
    <w:p>
      <w:pPr>
        <w:pStyle w:val="Para 10"/>
      </w:pPr>
      <w:r>
        <w:t>Bảng 25.12 Lợi nhuận và Tái đầu tư dự báo</w:t>
      </w:r>
    </w:p>
    <w:p>
      <w:pPr>
        <w:pStyle w:val="Para 10"/>
      </w:pPr>
      <w:r>
        <w:t>Bảng 25.13 Dòng tiền tự do kỳ vọng cho doanh nghiệp</w:t>
      </w:r>
    </w:p>
    <w:p>
      <w:pPr>
        <w:pStyle w:val="Para 01"/>
      </w:pPr>
      <w:r>
        <w:t>CHƯƠNG 26</w:t>
      </w:r>
    </w:p>
    <w:p>
      <w:pPr>
        <w:pStyle w:val="Para 10"/>
      </w:pPr>
      <w:r>
        <w:t>Bảng 26.1 Các công ty bất động sản và REIT trên thị trường năm 2023</w:t>
      </w:r>
    </w:p>
    <w:p>
      <w:pPr>
        <w:pStyle w:val="Para 10"/>
      </w:pPr>
      <w:r>
        <w:t>BẢNG 26.2 Lợi nhuận theo loại tài sản</w:t>
      </w:r>
    </w:p>
    <w:p>
      <w:pPr>
        <w:pStyle w:val="Para 10"/>
      </w:pPr>
      <w:r>
        <w:t>BẢNG 26.3 Tương quan giữa các loại tài sản: 1947–1982</w:t>
      </w:r>
    </w:p>
    <w:p>
      <w:pPr>
        <w:pStyle w:val="Para 10"/>
      </w:pPr>
      <w:r>
        <w:t>BẢNG 26.4 Lợi nhuận, theo thập kỷ, theo loại tài sản</w:t>
      </w:r>
    </w:p>
    <w:p>
      <w:pPr>
        <w:pStyle w:val="Para 10"/>
      </w:pPr>
      <w:r>
        <w:t>BẢNG 26.5 Dòng tiền cho doanh nghiệp (trước nợ) từ tòa nhà</w:t>
      </w:r>
    </w:p>
    <w:p>
      <w:pPr>
        <w:pStyle w:val="Para 10"/>
      </w:pPr>
      <w:r>
        <w:t>BẢNG 26.6 Dòng tiền cho vốn chủ sở hữu (sau nợ) từ tòa nhà</w:t>
      </w:r>
    </w:p>
    <w:p>
      <w:pPr>
        <w:pStyle w:val="Para 10"/>
      </w:pPr>
      <w:r>
        <w:t>BẢNG 26.7 Định giá bất động sản—Nhóm so sánh</w:t>
      </w:r>
    </w:p>
    <w:p>
      <w:pPr>
        <w:pStyle w:val="Para 01"/>
      </w:pPr>
      <w:r>
        <w:t>CHƯƠNG 27</w:t>
      </w:r>
    </w:p>
    <w:p>
      <w:pPr>
        <w:pStyle w:val="Para 10"/>
      </w:pPr>
      <w:r>
        <w:t>BẢNG 27.1 Các loại hình đầu tư—Giá trị so với Giá cả</w:t>
      </w:r>
    </w:p>
    <w:p>
      <w:pPr>
        <w:pStyle w:val="Para 10"/>
      </w:pPr>
      <w:r>
        <w:t>BẢNG 27.2 Thu nhập kỳ vọng của người vận hành taxi</w:t>
      </w:r>
    </w:p>
    <w:p>
      <w:pPr>
        <w:pStyle w:val="Para 10"/>
      </w:pPr>
      <w:r>
        <w:t>BẢNG 27.3 Thu nhập kỳ vọng của tài xế/chủ xe taxi</w:t>
      </w:r>
    </w:p>
    <w:p>
      <w:pPr>
        <w:pStyle w:val="Para 10"/>
      </w:pPr>
      <w:r>
        <w:t>BẢNG 27.4 Giá trị thương hiệu Star Wars và các phần mở rộng</w:t>
      </w:r>
    </w:p>
    <w:p>
      <w:pPr>
        <w:pStyle w:val="Para 10"/>
      </w:pPr>
      <w:r>
        <w:t>BẢNG 27.5 Thu nhập trong năm gần nhất—Lutèce</w:t>
      </w:r>
    </w:p>
    <w:p>
      <w:pPr>
        <w:pStyle w:val="Para 10"/>
      </w:pPr>
      <w:r>
        <w:t>BẢNG 27.6 Thu nhập sau thuế kỳ vọng—Lutèce</w:t>
      </w:r>
    </w:p>
    <w:p>
      <w:pPr>
        <w:pStyle w:val="Para 10"/>
      </w:pPr>
      <w:r>
        <w:t>BẢNG 27.7 Dòng tiền kỳ vọng từ nhãn hiệu</w:t>
      </w:r>
    </w:p>
    <w:p>
      <w:pPr>
        <w:pStyle w:val="Para 10"/>
      </w:pPr>
      <w:r>
        <w:t>BẢNG 27.8 Lợi nhuận của mỹ thuật so với các khoản đầu tư tài chính 1961–2010</w:t>
      </w:r>
    </w:p>
    <w:p>
      <w:pPr>
        <w:pStyle w:val="Para 10"/>
      </w:pPr>
      <w:r>
        <w:t>BẢNG 27.9 Tương quan giữa các khoản đầu tư: 1961–2010</w:t>
      </w:r>
    </w:p>
    <w:p>
      <w:pPr>
        <w:pStyle w:val="Para 10"/>
      </w:pPr>
      <w:r>
        <w:t>BẢNG 27.10 Các NFT có giá cao nhất (tính đến năm 2023)</w:t>
      </w:r>
    </w:p>
    <w:p>
      <w:pPr>
        <w:pStyle w:val="Para 10"/>
      </w:pPr>
      <w:r>
        <w:t>BẢNG 27.11 Chia sẻ doanh thu, theo thương hiệu thể thao</w:t>
      </w:r>
    </w:p>
    <w:p>
      <w:pPr>
        <w:pStyle w:val="Para 10"/>
      </w:pPr>
      <w:r>
        <w:t>BẢNG 27.12 Các chỉ số hoạt động, theo thương hiệu thể thao</w:t>
      </w:r>
    </w:p>
    <w:p>
      <w:pPr>
        <w:pStyle w:val="Para 10"/>
      </w:pPr>
      <w:r>
        <w:t>BẢNG 27.13 Các chủ sở hữu đội NBA năm 2023</w:t>
      </w:r>
    </w:p>
    <w:p>
      <w:pPr>
        <w:pStyle w:val="Para 10"/>
      </w:pPr>
      <w:r>
        <w:t>BẢNG 27.14 Clippers—Giá trị nội tại</w:t>
      </w:r>
    </w:p>
    <w:p>
      <w:pPr>
        <w:pStyle w:val="Para 10"/>
      </w:pPr>
      <w:r>
        <w:t>BẢNG 27.15 Clippers—Giá cả</w:t>
      </w:r>
    </w:p>
    <w:p>
      <w:pPr>
        <w:pStyle w:val="Para 01"/>
      </w:pPr>
      <w:r>
        <w:t>CHƯƠNG 28</w:t>
      </w:r>
    </w:p>
    <w:p>
      <w:pPr>
        <w:pStyle w:val="Para 10"/>
      </w:pPr>
      <w:r>
        <w:t>BẢNG 28.1 Định giá hoạt động R&amp;D đang tiếp diễn tại Biogen</w:t>
      </w:r>
    </w:p>
    <w:p>
      <w:pPr>
        <w:pStyle w:val="Para 10"/>
      </w:pPr>
      <w:r>
        <w:t>BẢNG 28.2 Các thông số đầu vào để định giá các quyền chọn trì hoãn khác</w:t>
      </w:r>
    </w:p>
    <w:p>
      <w:pPr>
        <w:pStyle w:val="Para 01"/>
      </w:pPr>
      <w:r>
        <w:t>CHƯƠNG 29</w:t>
      </w:r>
    </w:p>
    <w:p>
      <w:pPr>
        <w:pStyle w:val="Para 10"/>
      </w:pPr>
      <w:r>
        <w:t>Bảng 29.1 Các yếu tố đầu vào để định giá quyền chọn: Tính linh hoạt trong tài trợ vốn</w:t>
      </w:r>
    </w:p>
    <w:p>
      <w:pPr>
        <w:pStyle w:val="Para 10"/>
      </w:pPr>
      <w:r>
        <w:t>Bảng 29.2 Nhu cầu tái đầu tư tại Home Depot</w:t>
      </w:r>
    </w:p>
    <w:p>
      <w:pPr>
        <w:pStyle w:val="Para 10"/>
      </w:pPr>
      <w:r>
        <w:t>Bảng 29.3 Lợi nhuận, giá trị và nguồn vốn nội bộ</w:t>
      </w:r>
    </w:p>
    <w:p>
      <w:pPr>
        <w:pStyle w:val="Para 01"/>
      </w:pPr>
      <w:r>
        <w:t>CHƯƠNG 30</w:t>
      </w:r>
    </w:p>
    <w:p>
      <w:pPr>
        <w:pStyle w:val="Para 10"/>
      </w:pPr>
      <w:r>
        <w:t>Bảng 30.1 Phân tích nợ theo kỳ hạn</w:t>
      </w:r>
    </w:p>
    <w:p>
      <w:pPr>
        <w:pStyle w:val="Para 10"/>
      </w:pPr>
      <w:r>
        <w:t>Bảng 30.2 Dòng tiền kỳ vọng của doanh nghiệp</w:t>
      </w:r>
    </w:p>
    <w:p>
      <w:pPr>
        <w:pStyle w:val="Para 01"/>
      </w:pPr>
      <w:r>
        <w:t>CHƯƠNG 31</w:t>
      </w:r>
    </w:p>
    <w:p>
      <w:pPr>
        <w:pStyle w:val="Para 10"/>
      </w:pPr>
      <w:r>
        <w:t>Bảng 31.1 Đánh đổi về tỷ lệ tái đầu tư</w:t>
      </w:r>
    </w:p>
    <w:p>
      <w:pPr>
        <w:pStyle w:val="Para 10"/>
      </w:pPr>
      <w:r>
        <w:t>Bảng 31.2 Lợi thế cạnh tranh (hào bảo vệ) tại các công ty</w:t>
      </w:r>
    </w:p>
    <w:p>
      <w:pPr>
        <w:pStyle w:val="Para 10"/>
      </w:pPr>
      <w:r>
        <w:t>Bảng 31.3 Chuỗi gia tăng giá trị</w:t>
      </w:r>
    </w:p>
    <w:p>
      <w:pPr>
        <w:pStyle w:val="Para 10"/>
      </w:pPr>
      <w:r>
        <w:t>Bảng 31.4 Chi phí vốn và tỷ lệ nợ: SAP</w:t>
      </w:r>
    </w:p>
    <w:p>
      <w:pPr>
        <w:pStyle w:val="Para 10"/>
      </w:pPr>
      <w:r>
        <w:t>Bảng 31.5 Các hành động gia tăng giá trị: Ai chịu trách nhiệm?</w:t>
      </w:r>
    </w:p>
    <w:p>
      <w:pPr>
        <w:pStyle w:val="Para 01"/>
      </w:pPr>
      <w:r>
        <w:t>CHƯƠNG 32</w:t>
      </w:r>
    </w:p>
    <w:p>
      <w:pPr>
        <w:pStyle w:val="Para 10"/>
      </w:pPr>
      <w:r>
        <w:t>Bảng 32.1 FCFF kỳ vọng và giá trị</w:t>
      </w:r>
    </w:p>
    <w:p>
      <w:pPr>
        <w:pStyle w:val="Para 10"/>
      </w:pPr>
      <w:r>
        <w:t>Bảng 32.2 Các yếu tố đầu vào định giá—Lululemon</w:t>
      </w:r>
    </w:p>
    <w:p>
      <w:pPr>
        <w:pStyle w:val="Para 10"/>
      </w:pPr>
      <w:r>
        <w:t>Bảng 32.3 Chi phí vốn—Lululemon</w:t>
      </w:r>
    </w:p>
    <w:p>
      <w:pPr>
        <w:pStyle w:val="Para 10"/>
      </w:pPr>
      <w:r>
        <w:t>Bảng 32.4 EVA và giá trị hiện tại—Lululemon</w:t>
      </w:r>
    </w:p>
    <w:p>
      <w:pPr>
        <w:pStyle w:val="Para 10"/>
      </w:pPr>
      <w:r>
        <w:t>Bảng 32.5 Định giá doanh nghiệp theo EVA: EVA và tài sản hiện hữu</w:t>
      </w:r>
    </w:p>
    <w:p>
      <w:pPr>
        <w:pStyle w:val="Para 10"/>
      </w:pPr>
      <w:r>
        <w:t>Bảng 32.6 Giảm giá trị khi EVA cao hơn</w:t>
      </w:r>
    </w:p>
    <w:p>
      <w:pPr>
        <w:pStyle w:val="Para 10"/>
      </w:pPr>
      <w:r>
        <w:t>Bảng 32.7 Đánh đổi tăng trưởng tương lai để có EVA cao hơn</w:t>
      </w:r>
    </w:p>
    <w:p>
      <w:pPr>
        <w:pStyle w:val="Para 10"/>
      </w:pPr>
      <w:r>
        <w:t>Bảng 32.8 EVA với chiến lược rủi ro cao</w:t>
      </w:r>
    </w:p>
    <w:p>
      <w:pPr>
        <w:pStyle w:val="Para 01"/>
      </w:pPr>
      <w:r>
        <w:t>CHƯƠNG 33</w:t>
      </w:r>
    </w:p>
    <w:p>
      <w:pPr>
        <w:pStyle w:val="Para 10"/>
      </w:pPr>
      <w:r>
        <w:t>Bảng 33.1 Các biến số tài chính chính—2001–2008</w:t>
      </w:r>
    </w:p>
    <w:p>
      <w:pPr>
        <w:pStyle w:val="Para 10"/>
      </w:pPr>
      <w:r>
        <w:t>Bảng 33.2 Loại rủi ro và các phương pháp xác suất</w:t>
      </w:r>
    </w:p>
    <w:p>
      <w:pPr>
        <w:pStyle w:val="Para 01"/>
      </w:pPr>
      <w:r>
        <w:t>CHƯƠNG 34</w:t>
      </w:r>
    </w:p>
    <w:p>
      <w:pPr>
        <w:pStyle w:val="Para 10"/>
      </w:pPr>
      <w:r>
        <w:t>Bảng 34.1 Các bội số được sử dụng phổ biến nhất theo từng ngành</w:t>
      </w:r>
    </w:p>
    <w:p>
      <w:bookmarkStart w:id="5" w:name="Top_of_f01_xhtml"/>
      <w:bookmarkStart w:id="6" w:name="Founded_in_1807__John_Wiley___So"/>
      <w:pPr>
        <w:pStyle w:val="Para 03"/>
        <w:pageBreakBefore w:val="on"/>
      </w:pPr>
      <w:r>
        <w:t>Được thành lập vào năm 1807, John Wiley &amp; Sons là công ty xuất bản độc lập lâu đời nhất tại Hoa Kỳ. Với các văn phòng ở Bắc Mỹ, Châu Âu, Úc và Châu Á, Wiley cam kết trên toàn cầu trong việc phát triển và tiếp thị các sản phẩm và dịch vụ in ấn lẫn điện tử nhằm phục vụ kiến thức và hiểu biết chuyên môn cũng như cá nhân của khách hàng.</w:t>
      </w:r>
      <w:bookmarkEnd w:id="5"/>
      <w:bookmarkEnd w:id="6"/>
    </w:p>
    <w:p>
      <w:pPr>
        <w:pStyle w:val="Para 03"/>
      </w:pPr>
      <w:r>
        <w:t>Bộ sách Wiley Finance bao gồm những cuốn sách được viết riêng cho các chuyên gia tài chính và đầu tư cũng như những nhà đầu tư cá nhân sành sỏi và các cố vấn tài chính của họ. Các chủ đề sách trải rộng từ quản lý danh mục đầu tư đến thương mại điện tử, quản trị rủi ro, kỹ thuật tài chính, định giá và phân tích công cụ tài chính, cùng rất nhiều nội dung khác.</w:t>
      </w:r>
    </w:p>
    <w:p>
      <w:pPr>
        <w:pStyle w:val="Para 03"/>
      </w:pPr>
      <w:r>
        <w:t>Để xem danh sách các tựa sách hiện có, vui lòng truy cập trang web của chúng tôi tại www.WileyFinance.com.</w:t>
      </w:r>
    </w:p>
    <w:p>
      <w:bookmarkStart w:id="8" w:name="Top_of_f02_xhtml"/>
      <w:bookmarkStart w:id="9" w:name="Investment_Valuation___Tools_and"/>
      <w:pPr>
        <w:keepNext/>
        <w:pStyle w:val="Para 74"/>
        <w:pageBreakBefore w:val="on"/>
        <w:keepLines w:val="on"/>
      </w:pPr>
      <w:r>
        <w:t>Định giá đầu tư</w:t>
      </w:r>
      <w:bookmarkEnd w:id="8"/>
      <w:bookmarkEnd w:id="9"/>
    </w:p>
    <w:p>
      <w:pPr>
        <w:keepNext/>
        <w:pStyle w:val="Para 75"/>
        <w:keepLines w:val="on"/>
      </w:pPr>
      <w:r>
        <w:t>Các công cụ và kỹ thuật để xác định giá trị của bất kỳ tài sản nào</w:t>
      </w:r>
    </w:p>
    <w:p>
      <w:pPr>
        <w:pStyle w:val="Para 76"/>
      </w:pPr>
      <w:r>
        <w:t>Ấn bản thứ tư</w:t>
      </w:r>
    </w:p>
    <w:p>
      <w:pPr>
        <w:pStyle w:val="Para 11"/>
      </w:pPr>
      <w:r>
        <w:t>ASWATH DAMODARAN</w:t>
      </w:r>
    </w:p>
    <w:p>
      <w:pPr>
        <w:pStyle w:val="Para 77"/>
      </w:pPr>
      <w:r>
        <w:t>www.damodaran.com</w:t>
      </w:r>
      <w:r>
        <w:br/>
      </w:r>
      <w:r>
        <w:br/>
      </w:r>
      <w:r>
        <w:br/>
      </w:r>
      <w:r>
        <w:br/>
      </w:r>
    </w:p>
    <w:p>
      <w:pPr>
        <w:pStyle w:val="Para 20"/>
      </w:pPr>
      <w:r>
        <w:t xml:space="preserve"> </w:t>
        <w:bookmarkStart w:id="11" w:name="f02_secc_0003"/>
        <w:t xml:space="preserve"> </w:t>
        <w:bookmarkEnd w:id="11"/>
      </w:r>
    </w:p>
    <w:p>
      <w:pPr>
        <w:framePr w:dropCap="drop" w:lines="3" w:wrap="around" w:vAnchor="text" w:hAnchor="text"/>
        <w:ind w:left="0" w:leftChars="0" w:right="0" w:rightChars="0"/>
        <w:spacing w:before="0" w:beforeLines="0" w:after="0" w:afterLines="0"/>
        <w:pBdr>
          <w:left w:space="0" w:val="none" w:sz="2" w:color="auto"/>
          <w:top w:space="0" w:val="none" w:sz="2" w:color="auto"/>
          <w:right w:space="0" w:val="none" w:sz="2" w:color="auto"/>
          <w:bottom w:space="0" w:val="none" w:sz="2" w:color="auto"/>
        </w:pBdr>
        <w:pStyle w:val="Para 78"/>
        <w:keepLines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33400" cy="101600"/>
            <wp:effectExtent l="0" r="0" t="0" b="0"/>
            <wp:wrapTopAndBottom/>
            <wp:docPr id="1" name="Wiley_Wordmark_black.png" descr="Logo:Wiley"/>
            <wp:cNvGraphicFramePr>
              <a:graphicFrameLocks noChangeAspect="1"/>
            </wp:cNvGraphicFramePr>
            <a:graphic>
              <a:graphicData uri="http://schemas.openxmlformats.org/drawingml/2006/picture">
                <pic:pic>
                  <pic:nvPicPr>
                    <pic:cNvPr id="0" name="Wiley_Wordmark_black.png" descr="Logo:Wiley"/>
                    <pic:cNvPicPr/>
                  </pic:nvPicPr>
                  <pic:blipFill>
                    <a:blip r:embed="rId5"/>
                    <a:stretch>
                      <a:fillRect/>
                    </a:stretch>
                  </pic:blipFill>
                  <pic:spPr>
                    <a:xfrm>
                      <a:off x="0" y="0"/>
                      <a:ext cx="533400" cy="101600"/>
                    </a:xfrm>
                    <a:prstGeom prst="rect">
                      <a:avLst/>
                    </a:prstGeom>
                  </pic:spPr>
                </pic:pic>
              </a:graphicData>
            </a:graphic>
          </wp:anchor>
        </w:drawing>
      </w:r>
    </w:p>
    <w:p>
      <w:bookmarkStart w:id="12" w:name="Top_of_f03_xhtml"/>
      <w:bookmarkStart w:id="13" w:name="Copyright__c__2025_by_Aswath_Dam"/>
      <w:pPr>
        <w:pStyle w:val="Para 54"/>
        <w:pageBreakBefore w:val="on"/>
      </w:pPr>
      <w:r>
        <w:t>Bản quyền © 2025 thuộc về Aswath Damodaran. Mọi quyền được bảo lưu.</w:t>
      </w:r>
      <w:bookmarkEnd w:id="12"/>
      <w:bookmarkEnd w:id="13"/>
    </w:p>
    <w:p>
      <w:pPr>
        <w:pStyle w:val="Para 54"/>
      </w:pPr>
      <w:r>
        <w:t>Được xuất bản bởi John Wiley &amp; Sons, Inc., Hoboken, New Jersey.</w:t>
      </w:r>
    </w:p>
    <w:p>
      <w:pPr>
        <w:pStyle w:val="Para 54"/>
      </w:pPr>
      <w:r>
        <w:t>Được xuất bản đồng thời tại Canada.</w:t>
      </w:r>
    </w:p>
    <w:p>
      <w:pPr>
        <w:pStyle w:val="Para 54"/>
      </w:pPr>
      <w:r>
        <w:t>Không phần nào của ấn phẩm này được phép sao chép, lưu trữ trong hệ thống truy xuất, hoặc truyền tải dưới bất kỳ hình thức hay phương tiện nào, dù là điện tử, cơ học, photocopy, ghi âm, quét, hay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khoản phí sao chép thích hợp cho Copyright Clearance Center, Inc., 222 Rosewood Drive, Danvers, MA 01923, (978) 750-8400, fax (978) 750-4470, hoặc trên web tại www.copyright.com. Các yêu cầu xin phép Nhà xuất bản nên được gửi đến Phòng Cấp phép, John Wiley &amp; Sons, Inc., 111 River Street, Hoboken, NJ 07030, (201) 748-6011, fax (201) 748-6008, hoặc trực tuyến tại http://www.wiley.com/go/permission.</w:t>
      </w:r>
    </w:p>
    <w:p>
      <w:pPr>
        <w:pStyle w:val="Para 54"/>
      </w:pPr>
      <w:r>
        <w:t>Nhãn hiệu: Wiley và logo Wiley là các nhãn hiệu hoặc nhãn hiệu đã đăng ký của John Wiley &amp; Sons, Inc. và/hoặc các chi nhánh của công ty tại Hoa Kỳ và các quốc gia khác và không được sử dụng nếu không có sự cho phép bằng văn bản. Tất cả các nhãn hiệu khác là tài sản của chủ sở hữu tương ứng. John Wiley &amp; Sons, Inc. không liên kết với bất kỳ sản phẩm hay nhà cung cấp nào được đề cập trong cuốn sách này.</w:t>
      </w:r>
    </w:p>
    <w:p>
      <w:pPr>
        <w:pStyle w:val="Para 54"/>
      </w:pPr>
      <w:r>
        <w:t>Giới hạn trách nhiệm/Tuyên bố miễn trừ bảo hành: Mặc dù nhà xuất bản và tác giả đã nỗ lực hết sức trong việc chuẩn bị cuốn sách này, họ không đưa ra bất kỳ tuyên bố hay bảo đảm nào về tính chính xác hoặc đầy đủ của nội dung cuốn sách và đặc biệt từ chối mọi bảo đảm ngụ ý về khả năng thương mại hoặc sự phù hợp cho một mục đích cụ thể. Không có bảo hành nào có thể được tạo ra hoặc mở rộng bởi các đại diện bán hàng hoặc tài liệu bán hàng bằng văn bản. Những lời khuyên và chiến lược trong đây có thể không phù hợp với tình huống của bạn. Bạn nên tham khảo ý kiến chuyên gia khi thích hợp. Hơn nữa, độc giả nên lưu ý rằng các trang web được liệt kê trong tác phẩm này có thể đã thay đổi hoặc biến mất giữa thời điểm tác phẩm được viết và thời điểm nó được đọc. Cả nhà xuất bản lẫn tác giả đều không chịu trách nhiệm cho bất kỳ tổn thất lợi nhuận hay bất kỳ thiệt hại thương mại nào khác, bao gồm nhưng không giới hạn ở các thiệt hại đặc biệt, ngẫu nhiên, do hậu quả, hoặc các thiệt hại khác.</w:t>
      </w:r>
    </w:p>
    <w:p>
      <w:pPr>
        <w:pStyle w:val="Para 54"/>
      </w:pPr>
      <w:r>
        <w:t>Để biết thông tin chung về các sản phẩm và dịch vụ khác của chúng tôi hoặc để được hỗ trợ kỹ thuật, vui lòng liên hệ Phòng Chăm sóc Khách hàng của chúng tôi trong lãnh thổ Hoa Kỳ theo số (800) 762-2974, ngoài Hoa Kỳ theo số (317) 572-3993 hoặc fax (317) 572-4002.</w:t>
      </w:r>
    </w:p>
    <w:p>
      <w:pPr>
        <w:pStyle w:val="Para 54"/>
      </w:pPr>
      <w:r>
        <w:t>Wiley cũng xuất bản sách của mình dưới nhiều định dạng điện tử khác nhau. Một số nội dung xuất hiện trong bản in có thể không có sẵn ở các định dạng điện tử. Để biết thêm thông tin về các sản phẩm của Wiley, hãy truy cập trang web của chúng tôi tại www.wiley.com.</w:t>
      </w:r>
    </w:p>
    <w:p>
      <w:pPr>
        <w:pStyle w:val="Para 79"/>
      </w:pPr>
      <w:r>
        <w:t>Dữ liệu Biên mục Xuất bản của Thư viện Quốc hội:</w:t>
      </w:r>
    </w:p>
    <w:p>
      <w:pPr>
        <w:pStyle w:val="Para 54"/>
      </w:pPr>
      <w:r>
        <w:t>Damodaran, Aswath.</w:t>
      </w:r>
    </w:p>
    <w:p>
      <w:pPr>
        <w:pStyle w:val="Para 54"/>
      </w:pPr>
      <w:r>
        <w:t>Định giá đầu tư : các công cụ và kỹ thuật để xác định giá trị của bất kỳ tài sản nào / Aswath Damodaran.—ấn bản thứ 4.</w:t>
      </w:r>
    </w:p>
    <w:p>
      <w:pPr>
        <w:pStyle w:val="Para 54"/>
      </w:pPr>
      <w:r>
        <w:t>p. cm.—(Bộ sách Wiley Finance)</w:t>
      </w:r>
    </w:p>
    <w:p>
      <w:pPr>
        <w:pStyle w:val="Para 54"/>
      </w:pPr>
      <w:r>
        <w:t>Bao gồm tài liệu tham khảo và chỉ mục.</w:t>
      </w:r>
    </w:p>
    <w:p>
      <w:pPr>
        <w:pStyle w:val="Para 54"/>
      </w:pPr>
      <w:r>
        <w:t>ISBN 978-1-394-25460-6 (bìa cứng); ISBN 978-1-394-25461-3 (ebk);</w:t>
      </w:r>
      <w:r>
        <w:br/>
      </w:r>
      <w:r>
        <w:t>ISBN 978-1-394-25462-0 (ebk); ISBN 978-1-394-26273-1 (bìa mềm);</w:t>
      </w:r>
      <w:r>
        <w:br/>
      </w:r>
      <w:r>
        <w:t>ISBN 978-1-394-26274-8 (ebk); ISBN 978-1-394-26275-5 (ebk)</w:t>
      </w:r>
    </w:p>
    <w:p>
      <w:pPr>
        <w:pStyle w:val="Para 54"/>
      </w:pPr>
      <w:r>
        <w:t>1. Các tập đoàn—Định giá—Mô hình toán học. I. Tựa đề.</w:t>
      </w:r>
    </w:p>
    <w:p>
      <w:pPr>
        <w:pStyle w:val="Para 54"/>
      </w:pPr>
      <w:r>
        <w:t>HG4028.V3 D353 2025</w:t>
      </w:r>
    </w:p>
    <w:p>
      <w:pPr>
        <w:pStyle w:val="Para 54"/>
      </w:pPr>
      <w:r>
        <w:t>658.15—dc23 2024034300</w:t>
      </w:r>
    </w:p>
    <w:p>
      <w:bookmarkStart w:id="15" w:name="I_would_like_to_dedicate_this_bo"/>
      <w:bookmarkStart w:id="16" w:name="Top_of_f04_xhtml"/>
      <w:pPr>
        <w:pStyle w:val="Para 23"/>
        <w:pageBreakBefore w:val="on"/>
      </w:pPr>
      <w:r>
        <w:t>Tôi xin dành tặng cuốn sách này cho Michele, người mà sự kiên nhẫn và ủng hộ của cô ấy đã giúp cuốn sách thành hiện thực, cho bốn đứa con của tôi — Ryan, Brendan, Kendra và Kiran — những người đã truyền cảm hứng, và cho hai đứa cháu của tôi — Noah và Lily — những người đã mang đến niềm vui.</w:t>
      </w:r>
      <w:bookmarkEnd w:id="15"/>
      <w:bookmarkEnd w:id="16"/>
    </w:p>
    <w:p>
      <w:bookmarkStart w:id="18" w:name="Top_of_f05_xhtml"/>
      <w:bookmarkStart w:id="19" w:name="Preface_to_the_Fourth_Edition__T"/>
      <w:bookmarkStart w:id="20" w:name="Preface_to_the_Fourth_Edition"/>
      <w:pPr>
        <w:keepNext/>
        <w:pStyle w:val="Heading 1"/>
        <w:pageBreakBefore w:val="on"/>
        <w:keepLines w:val="on"/>
      </w:pPr>
      <w:r>
        <w:t>Lời nói đầu cho ấn bản thứ tư</w:t>
      </w:r>
      <w:bookmarkEnd w:id="18"/>
      <w:bookmarkEnd w:id="19"/>
      <w:bookmarkEnd w:id="20"/>
    </w:p>
    <w:p>
      <w:pPr>
        <w:pStyle w:val="Para 03"/>
      </w:pPr>
      <w:r>
        <w:t>Đây là cuốn sách về định giá — định giá cổ phiếu, trái phiếu, quyền chọn, hợp đồng tương lai và tài sản thực. Một nguyên lý nền tảng của cuốn sách này là bất kỳ tài sản nào cũng có thể được định giá, dù trong một số trường hợp có thể không chính xác lắm. Tôi đã cố gắng truyền đạt không chỉ sự khác biệt giữa các mô hình dùng để định giá các loại tài sản khác nhau, mà còn cả những yếu tố chung trong các mô hình này.</w:t>
      </w:r>
    </w:p>
    <w:p>
      <w:pPr>
        <w:pStyle w:val="Para 03"/>
      </w:pPr>
      <w:r>
        <w:t>Hai thập kỷ qua là khoảng thời gian đầy biến động đối với những ai quan tâm đến định giá vì nhiều lý do. Thứ nhất, sự phát triển của các thị trường châu Á và Mỹ Latinh đã đưa các công ty thị trường mới nổi lên vị trí hàng đầu, và bạn sẽ thấy sự tập trung nhiều hơn vào các công ty này trong ấn bản này. Thứ hai, chúng ta đã chứng kiến sự tàn phá của các yếu tố kinh tế vĩ mô đối với định giá công ty trong cuộc khủng hoảng ngân hàng năm 2008 và đại dịch năm 2020, cả hai đều làm lung lay niềm tin vào thị trường và tạo ra những câu hỏi mới trong định giá. Những bài học tôi rút ra về các nguyên tắc tài chính cơ bản trong những cuộc khủng hoảng này — về lãi suất phi rủi ro, phần bù rủi ro và ước tính dòng tiền — đều được đưa vào nội dung sách. Thứ ba, thập kỷ qua đã chứng kiến sự bùng nổ của các công ty nền tảng (platform companies), nơi những con số ấn tượng nhất về các công ty này không nằm ở các chỉ số hoạt động mà ở số người dùng và người đăng ký trên nền tảng của họ. Trong ấn bản này, chúng ta trực tiếp đối mặt với câu hỏi làm thế nào để định giá một người đăng ký, người dùng hoặc khách hàng, và sử dụng câu trả lời đó để định giá các công ty này. Thứ tư, tôi đã dành nhiều thời gian hơn trong thập kỷ qua để nói về cách định giá là cầu nối giữa câu chuyện và con số, và trong ấn bản này, tôi đã thêm một chương giải thích cách xây dựng những cây cầu đó. Cuối cùng, khi cổ phiếu meme và đầu tư tiền mã hóa (crypto) thu hút trí tưởng tượng của một số người trên thị trường, chúng ta sẽ xem xét việc định giá và xác định giá của chúng.</w:t>
      </w:r>
    </w:p>
    <w:p>
      <w:pPr>
        <w:pStyle w:val="Para 03"/>
      </w:pPr>
      <w:r>
        <w:t>Với mỗi thay đổi, câu hỏi muôn thuở lại nảy sinh: "Liệu định giá có còn phù hợp trong thị trường này không?" và câu trả lời của tôi vẫn không đổi: "Hoàn toàn có, và hơn bao giờ hết." Khi công nghệ ngày càng khiến trang giấy in trở nên lỗi thời, tôi đã cố gắng thích nghi theo nhiều cách. Thứ nhất, cuốn sách này sẽ có sẵn ở định dạng sách điện tử (e-book), và hy vọng sẽ hữu ích không kém gì bản in (nếu không muốn nói là hơn). Thứ hai, mọi phần định giá trong cuốn sách này sẽ được đưa lên trang web đi kèm với sách (www.damodaran.com), cùng với một lượng đáng kể các bộ dữ liệu và bảng tính. Trên thực tế, các phần định giá trong sách sẽ được cập nhật trực tuyến, cho phép cuốn sách có liên kết chặt chẽ hơn nhiều với các định giá theo thời gian thực.</w:t>
      </w:r>
    </w:p>
    <w:p>
      <w:pPr>
        <w:pStyle w:val="Para 03"/>
      </w:pPr>
      <w:r>
        <w:t>Trong quá trình trình bày và thảo luận các khía cạnh khác nhau của định giá, tôi đã cố gắng tuân thủ bốn nguyên tắc cơ bản. Thứ nhất, tôi đã cố gắng bao quát càng toàn diện càng tốt phạm vi các mô hình định giá sẵn có cho một nhà phân tích đang thực hiện định giá, đồng thời trình bày những yếu tố chung trong các mô hình này và cung cấp một khuôn khổ có thể dùng để chọn đúng mô hình cho bất kỳ tình huống định giá nào. Thứ hai, các mô hình được trình bày với các ví dụ thực tế, cả ưu lẫn nhược điểm, để nắm bắt một số vấn đề cố hữu khi áp dụng các mô hình này. Có một nguy cơ rõ ràng rằng một số định giá này sẽ trông sai lầm đến vô vọng khi nhìn lại, nhưng cái giá đó hoàn toàn xứng đáng với lợi ích mang lại. Thứ ba, đúng với niềm tin của tôi rằng các mô hình định giá là phổ quát chứ không đặc thù cho từng thị trường, các ví dụ minh họa từ các thị trường ngoài Hoa Kỳ được xen kẽ khắp cuốn sách. Cuối cùng, tôi đã cố gắng làm cho cuốn sách có tính mô-đun (modular) cao nhất có thể, cho phép người đọc chọn và đọc từng phần của sách mà không mất đi tính liền mạch đáng kể.</w:t>
      </w:r>
    </w:p>
    <w:p>
      <w:bookmarkStart w:id="23" w:name="Top_of_c01_xhtml"/>
      <w:bookmarkStart w:id="24" w:name="Chapter_1Introduction_to_Valuati_1"/>
      <w:bookmarkStart w:id="25" w:name="Chapter_1Introduction_to_Valuati"/>
      <w:pPr>
        <w:keepNext/>
        <w:pStyle w:val="Heading 1"/>
        <w:pageBreakBefore w:val="on"/>
        <w:keepLines w:val="on"/>
      </w:pPr>
      <w:r>
        <w:t>CHƯƠNG 1</w:t>
      </w:r>
      <w:r>
        <w:br/>
      </w:r>
      <w:r>
        <w:t>Giới thiệu về Định giá</w:t>
      </w:r>
      <w:bookmarkEnd w:id="23"/>
      <w:bookmarkEnd w:id="24"/>
      <w:bookmarkEnd w:id="25"/>
    </w:p>
    <w:p>
      <w:pPr>
        <w:pStyle w:val="Para 03"/>
      </w:pPr>
      <w:r>
        <w:t>Mọi tài sản, dù là tài chính hay thực, được kỳ vọng sẽ tạo ra dòng tiền trong tương lai, đều có giá trị. Chìa khóa để đầu tư và quản lý thành công những tài sản này nằm ở việc hiểu không chỉ giá trị là bao nhiêu, mà còn cả nguồn gốc của giá trị đó. Không thể phủ nhận rằng một số tài sản dễ định giá hơn những tài sản khác, và chi tiết của việc định giá sẽ khác nhau tùy từng trường hợp. Vì vậy, định giá một bất động sản sẽ cần thông tin khác và theo một định dạng khác so với định giá một cổ phiếu niêm yết công khai. Tuy nhiên, điều đáng ngạc nhiên không phải là sự khác biệt trong kỹ thuật giữa các tài sản, mà là mức độ tương đồng trong các nguyên tắc cơ bản của việc định giá.</w:t>
      </w:r>
    </w:p>
    <w:p>
      <w:pPr>
        <w:pStyle w:val="Para 03"/>
      </w:pPr>
      <w:r>
        <w:t>Chương này trình bày nền tảng triết lý cho việc định giá, cùng với thảo luận về cách định giá được sử dụng hoặc có thể được sử dụng trong nhiều khuôn khổ khác nhau, từ quản lý danh mục đầu tư đến tài chính doanh nghiệp.</w:t>
      </w:r>
    </w:p>
    <w:p>
      <w:bookmarkStart w:id="27" w:name="A_Philosophical_Basis_for_Valuat_1"/>
      <w:bookmarkStart w:id="28" w:name="A_Philosophical_Basis_for_Valuat"/>
      <w:pPr>
        <w:keepNext/>
        <w:pStyle w:val="Heading 2"/>
        <w:keepLines w:val="on"/>
      </w:pPr>
      <w:r>
        <w:t>Nền tảng triết lý cho việc định giá</w:t>
      </w:r>
      <w:bookmarkEnd w:id="27"/>
      <w:bookmarkEnd w:id="28"/>
    </w:p>
    <w:p>
      <w:pPr>
        <w:pStyle w:val="Para 03"/>
      </w:pPr>
      <w:r>
        <w:t>Chính Oscar Wilde đã mô tả một kẻ hoài nghi là người "biết giá của mọi thứ, nhưng chẳng biết giá trị của gì cả". Ông ấy hoàn toàn có thể đang mô tả một số nhà phân tích và nhiều nhà đầu tư, một số lượng đáng ngạc nhiên trong đó tán thành lý thuyết đầu tư "kẻ ngốc lớn hơn" (bigger fool theory), cho rằng giá trị của một tài sản là không quan trọng miễn là có một "kẻ ngốc lớn hơn" sẵn sàng mua tài sản đó từ họ. Dù điều này có thể tạo cơ sở cho một số khoản lợi nhuận, đó là một trò chơi nguy hiểm, vì không có gì đảm bảo rằng một nhà đầu tư như vậy vẫn còn ở đó khi đến lúc phải bán.</w:t>
      </w:r>
    </w:p>
    <w:p>
      <w:pPr>
        <w:pStyle w:val="Para 03"/>
      </w:pPr>
      <w:r>
        <w:t>Một định đề của đầu tư lành mạnh là nhà đầu tư không trả nhiều hơn giá trị của một tài sản. Phát biểu này nghe có vẻ hợp lý và hiển nhiên, nhưng nó bị lãng quên rồi lại được khám phá lại vào một thời điểm nào đó trong mỗi thế hệ và ở mỗi thị trường. Có nhiều người lập luận rằng giá trị nằm trong mắt của người nhìn, và bất kỳ mức giá nào cũng có thể được biện minh nếu có những nhà đầu tư khác sẵn sàng trả mức giá đó. Điều đó thật nguy hiểm, ít nhất là với tư cách một điểm khởi đầu cho đầu tư. Nhận thức có thể là tất cả những gì quan trọng khi khoản đầu tư là một bức tranh hay tác phẩm điêu khắc, nhưng nhà đầu tư không (và không nên) mua hầu hết tài sản vì lý do thẩm mỹ hay cảm xúc; tài sản tài chính được mua vì dòng tiền kỳ vọng từ chúng. Do đó, nhận thức về giá trị phải được hậu thuẫn bởi thực tế, điều này ngụ ý rằng giá trả cho bất kỳ tài sản nào cũng phải phản ánh dòng tiền mà nó được kỳ vọng sẽ tạo ra. Các mô hình định giá được mô tả trong cuốn sách này cố gắng liên hệ giá trị với mức độ và tăng trưởng kỳ vọng của những dòng tiền này.</w:t>
      </w:r>
    </w:p>
    <w:p>
      <w:pPr>
        <w:pStyle w:val="Para 20"/>
      </w:pPr>
      <w:r>
        <w:rPr>
          <w:rStyle w:val="Text26"/>
        </w:rPr>
        <w:bookmarkStart w:id="29" w:name="Page_2"/>
        <w:t/>
        <w:bookmarkEnd w:id="29"/>
      </w:r>
      <w:r>
        <w:t xml:space="preserve"> </w:t>
      </w:r>
    </w:p>
    <w:p>
      <w:bookmarkStart w:id="30" w:name="Pricing_Versus_Valuation"/>
      <w:bookmarkStart w:id="31" w:name="Pricing_Versus_Valuation__Financ"/>
      <w:pPr>
        <w:keepNext/>
        <w:pStyle w:val="Heading 2"/>
        <w:keepLines w:val="on"/>
      </w:pPr>
      <w:r>
        <w:t>Xác định giá so với Định giá
&lt;&lt;&lt;|||&gt;
Các học giả và người hành nghề tài chính sử dụng các từ "giá" (price) và "giá trị" (value) thay thế cho nhau, trong đó nhóm trước có lẽ bị ảnh hưởng bởi niềm tin ban đầu của họ vào thị trường hiệu quả, nơi hai khái niệm này được kỳ vọng sẽ hội tụ, còn nhóm sau thì giả định rằng những từ này đo lường cùng một thứ. Trong Hình 1.1, chúng ta phân biệt giữa định giá và xác định giá, và lập luận rằng giá trị và giá cả không chỉ được quyết định bởi các yếu tố khác nhau mà còn đòi hỏi những công cụ khác nhau. Như tiêu đề của cuốn sách đã chỉ ra, chúng ta sẽ xem xét chi tiết cách định giá tài sản, và chúng ta cũng sẽ xem xét cách xác định giá tốt nhất cho những tài sản đó trong các chương sau.</w:t>
      </w:r>
      <w:bookmarkEnd w:id="30"/>
      <w:bookmarkEnd w:id="31"/>
    </w:p>
    <w:p>
      <w:pPr>
        <w:pStyle w:val="Para 03"/>
      </w:pPr>
      <w:r>
        <w:t>Hình 1.1 Giá trị so với Giá cả — Sự khác biệt</w:t>
      </w:r>
    </w:p>
    <w:p>
      <w:bookmarkStart w:id="33" w:name="Figure_1_1_Value_versus_Price__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066800"/>
            <wp:effectExtent l="0" r="0" t="0" b="0"/>
            <wp:wrapTopAndBottom/>
            <wp:docPr id="2" name="c01f001.png" descr="Illustration depicts the difference between valuation and pricing, and argues on their determination by different factors and tools."/>
            <wp:cNvGraphicFramePr>
              <a:graphicFrameLocks noChangeAspect="1"/>
            </wp:cNvGraphicFramePr>
            <a:graphic>
              <a:graphicData uri="http://schemas.openxmlformats.org/drawingml/2006/picture">
                <pic:pic>
                  <pic:nvPicPr>
                    <pic:cNvPr id="0" name="c01f001.png" descr="Illustration depicts the difference between valuation and pricing, and argues on their determination by different factors and tools."/>
                    <pic:cNvPicPr/>
                  </pic:nvPicPr>
                  <pic:blipFill>
                    <a:blip r:embed="rId6"/>
                    <a:stretch>
                      <a:fillRect/>
                    </a:stretch>
                  </pic:blipFill>
                  <pic:spPr>
                    <a:xfrm>
                      <a:off x="0" y="0"/>
                      <a:ext cx="2438400" cy="1066800"/>
                    </a:xfrm>
                    <a:prstGeom prst="rect">
                      <a:avLst/>
                    </a:prstGeom>
                  </pic:spPr>
                </pic:pic>
              </a:graphicData>
            </a:graphic>
          </wp:anchor>
        </w:drawing>
      </w:r>
      <w:bookmarkEnd w:id="33"/>
    </w:p>
    <w:p>
      <w:pPr>
        <w:keepNext/>
        <w:pStyle w:val="Para 22"/>
        <w:keepLines w:val="on"/>
      </w:pPr>
      <w:r>
        <w:t>Đúng là một số lượng lớn người tham gia thị trường, có lẽ thậm chí là hầu hết, không phải là nhà đầu tư, mà thay vào đó chọn chơi trò chơi "xác định giá". Trong trò chơi đó, chiến thắng được định nghĩa là mua ở giá thấp và bán ở giá cao hơn, tận dụng những thay đổi trong tâm lý và đà của thị trường, với giá trị đóng vai trò rất nhỏ hoặc không có. Xuyên suốt cuốn sách này, chúng ta sẽ phân loại những người tham gia này là nhà giao dịch (traders), và chúng ta hy vọng rằng họ cũng sẽ tìm thấy công dụng cho các phần về xác định giá trong cuốn sách này.</w:t>
      </w:r>
    </w:p>
    <w:p>
      <w:pPr>
        <w:pStyle w:val="Para 03"/>
      </w:pPr>
      <w:r>
        <w:t>Như một lưu ý cuối cùng, chúng ta sẽ lập luận rằng dù bạn đứng về phía nào của sự phân chia đầu tư/xác định giá, bạn sẽ được lợi khi hiểu cách phía bên kia vận hành. Vì vậy, nếu bạn là người tin tưởng thực sự vào giá trị nội tại (intrinsic value), bạn sẽ thấy mình định giá giỏi hơn nếu bạn hiểu cách các nhà giao dịch xác định giá tài sản. Ngược lại, nếu bạn là một nhà giao dịch, tập trung vào quá trình xác định giá, bạn sẽ trở thành một nhà giao dịch giỏi hơn nếu bạn học hỏi thêm về cách các nhà đầu tư suy nghĩ và định giá công ty.</w:t>
      </w:r>
    </w:p>
    <w:p>
      <w:pPr>
        <w:pStyle w:val="Para 03"/>
      </w:pPr>
      <w:r>
        <w:t>Tam giác Bermuda của việc Định giá</w:t>
      </w:r>
    </w:p>
    <w:p>
      <w:bookmarkStart w:id="34" w:name="The_Bermuda_Triangle_of_Valuatio"/>
      <w:bookmarkStart w:id="35" w:name="The_Bermuda_Triangle_of_Valuatio_1"/>
      <w:pPr>
        <w:keepNext/>
        <w:pStyle w:val="Heading 2"/>
        <w:keepLines w:val="on"/>
      </w:pPr>
      <w:r>
        <w:t>Giống như mọi ngành phân tích khác, định giá đã phát triển bộ huyền thoại của riêng mình theo thời gian. Phần này xem xét và bác bỏ một số huyền thoại đó, đồng thời lập luận rằng những thách thức lớn nhất đối với việc định giá không phải là kỹ thuật hay máy móc, mà đến từ cách chúng ta, với tư cách con người, mang thành kiến vào phân tích của mình, cách chúng ta đối mặt với sự không chắc chắn về tương lai, và từ sự phức tạp — một sản phẩm phụ của việc tiếp cận dữ liệu và các công cụ mạnh mẽ.</w:t>
      </w:r>
      <w:bookmarkEnd w:id="34"/>
      <w:bookmarkEnd w:id="35"/>
    </w:p>
    <w:p>
      <w:pPr>
        <w:pStyle w:val="Para 03"/>
      </w:pPr>
      <w:r>
        <w:t>Thành kiến: Sức mạnh của những định kiến sẵn có</w:t>
      </w:r>
    </w:p>
    <w:p>
      <w:pPr>
        <w:pStyle w:val="Para 20"/>
      </w:pPr>
      <w:r>
        <w:rPr>
          <w:rStyle w:val="Text26"/>
        </w:rPr>
        <w:bookmarkStart w:id="36" w:name="Page_3"/>
        <w:t/>
        <w:bookmarkEnd w:id="36"/>
      </w:r>
      <w:r>
        <w:t xml:space="preserve"> </w:t>
      </w:r>
    </w:p>
    <w:p>
      <w:bookmarkStart w:id="37" w:name="Bias__The_Power_of_Your_Priors_1"/>
      <w:bookmarkStart w:id="38" w:name="Bias__The_Power_of_Your_Priors"/>
      <w:pPr>
        <w:keepNext/>
        <w:pStyle w:val="Heading 3"/>
        <w:keepLines w:val="on"/>
      </w:pPr>
      <w:r>
        <w:t>Định giá không phải là môn khoa học mà một số người ủng hộ nó tô vẽ, cũng không phải là cuộc tìm kiếm khách quan về giá trị đích thực mà những người duy tâm mong muốn nó trở thành. Các mô hình chúng ta sử dụng trong định giá có thể mang tính định lượng, nhưng các đầu vào để lại rất nhiều chỗ cho những đánh giá chủ quan. Vì vậy, giá trị cuối cùng mà chúng ta thu được từ các mô hình này bị nhuốm màu bởi thành kiến mà chúng ta mang vào quá trình. Trên thực tế, trong nhiều trường hợp định giá, giá cả được đặt trước rồi việc định giá mới theo sau.</w:t>
      </w:r>
      <w:bookmarkEnd w:id="37"/>
      <w:bookmarkEnd w:id="38"/>
    </w:p>
    <w:p>
      <w:pPr>
        <w:pStyle w:val="Para 03"/>
      </w:pPr>
      <w:r>
        <w:t>Giải pháp rõ ràng là loại bỏ mọi thành kiến trước khi bắt đầu định giá, nhưng điều này nói thì dễ hơn làm. Với mức độ tiếp xúc của chúng ta với thông tin, phân tích và ý kiến bên ngoài về một công ty, khó có khả năng chúng ta bắt tay vào hầu hết các cuộc định giá mà không có chút thành kiến nào. Trên thực tế, phần lớn thành kiến là vô thức. Một nhà đầu tư chọn một công ty để định giá hầu như không bao giờ làm vậy với một tấm bảng trắng, vì sự lựa chọn đó có lẽ được kích hoạt bởi điều gì đó họ nghe hoặc đọc về công ty. Trong một số trường hợp, thành kiến có thể đến từ những gì bạn nghĩ về sản phẩm của một công ty hoặc về các nhà quản lý của nó. Nếu, giống như tôi, bạn đã là người dùng sản phẩm Apple trong bốn thập kỷ, bạn sẽ có xu hướng cho rằng Apple bị định giá thấp và Microsoft bị định giá cao ngay cả trước khi bạn nhìn vào con số của bất kỳ công ty nào. Tương tự, nếu bạn là một nhà đầu tư định giá Tesla vào đầu năm 2024, bạn không thể tách rời quan điểm của mình về Tesla khỏi quan điểm về Elon Musk — một người gợi lên những phản ứng tích cực và tiêu cực mạnh mẽ.</w:t>
      </w:r>
    </w:p>
    <w:p>
      <w:pPr>
        <w:pStyle w:val="Para 03"/>
      </w:pPr>
      <w:r>
        <w:t>Bạn có thể tránh bị thành kiến không? Chúng tôi không nghĩ vậy, nhưng bạn có thể cởi mở về những thành kiến này, ít nhất là với chính mình, vì điều đó có thể cho phép bạn chống lại chúng khi ước tính các con số cho tương lai. Bạn cũng có thể tránh đưa ra quan điểm công khai mạnh mẽ về giá trị của một công ty trước khi hoàn tất việc định giá. Trong quá nhiều trường hợp, quyết định về việc một công ty bị định giá thấp hay cao được đưa ra trước khi thực hiện định giá thực tế,1 dẫn đến những phân tích bị thành kiến nghiêm trọng. Điều thứ hai là giảm thiểu, trước khi định giá, mức độ liên quan của chúng ta đến việc công ty bị định giá thấp hay cao.</w:t>
      </w:r>
    </w:p>
    <w:p>
      <w:pPr>
        <w:pStyle w:val="Para 03"/>
      </w:pPr>
    </w:p>
    <w:p>
      <w:pPr>
        <w:pStyle w:val="Para 03"/>
      </w:pPr>
      <w:r>
        <w:t>Những lo ngại mang tính thể chế đóng một vai trò trong việc xác định mức độ thiên lệch trong định giá. Chẳng hạn, một thực tế được thừa nhận là các chuyên viên phân tích nghiên cứu cổ phiếu có xu hướng đưa ra khuyến nghị mua nhiều hơn là bán2, tức là họ có xu hướng cho rằng các công ty bị định giá thấp hơn là bị định giá cao. Điều này một phần bắt nguồn từ những khó khăn mà chuyên viên phân tích gặp phải khi tiếp cận và thu thập thông tin về những công ty mà họ đã đưa ra khuyến nghị bán, và một phần từ áp lực mà họ phải chịu từ các nhà quản lý danh mục đầu tư, một số người trong đó có thể nắm giữ lượng lớn cổ phiếu. Trong một số trường hợp, xu hướng này còn trầm trọng hơn do áp lực buộc các chuyên viên phân tích nghiên cứu cổ phiếu phải mang lại việc kinh doanh ngân hàng đầu tư. Tương tự, khi các chuyên gia ngân hàng được yêu cầu định giá các công ty mục tiêu cho hoạt động mua bán và sáp nhập (M&amp;A), việc thù lao ngân hàng gắn với việc thương vụ có được thực hiện hay không chứ không phải với việc thương vụ có được định giá thuận lợi hay không sẽ khiến định giá công ty mục tiêu bị thiên lệch theo hướng tăng lên. Một lần nữa, nếu bạn làm việc cho những thể chế này, có thể sẽ rất khó, nếu không muốn nói là bất khả thi, để chống lại những thiên lệch đó, nhưng nhận thức được rằng chúng tồn tại chính là bước đầu tiên để đối phó với chúng.</w:t>
      </w:r>
    </w:p>
    <w:p>
      <w:pPr>
        <w:pStyle w:val="Para 03"/>
      </w:pPr>
      <w:r>
        <w:t>Với tư cách là người tiêu thụ các bản định giá của người khác, bài học của phần này là khi sử dụng một bản định giá do bên thứ ba thực hiện, cần xem xét những thiên lệch của (các) chuyên viên phân tích trước khi đưa ra quyết định dựa trên đó. Chẳng hạn, một bản tự định giá do công ty mục tiêu thực hiện trong một thương vụ thâu tóm thường có xu hướng thiên lệch tích cực. Dù điều này không làm cho bản định giá trở nên vô giá trị, nó gợi ý rằng phân tích đó nên được nhìn nhận với sự hoài nghi.</w:t>
      </w:r>
    </w:p>
    <w:p>
      <w:pPr>
        <w:pStyle w:val="Para 11"/>
      </w:pPr>
      <w:r>
        <w:t xml:space="preserve"> </w:t>
      </w:r>
    </w:p>
    <w:p>
      <w:bookmarkStart w:id="42" w:name="BIAS_IN_EQUITY_RESEARCH_The_line"/>
      <w:bookmarkStart w:id="43" w:name="BIAS_IN_EQUITY_RESEARCH"/>
      <w:pPr>
        <w:keepNext/>
        <w:pStyle w:val="Para 27"/>
        <w:keepLines w:val="on"/>
      </w:pPr>
      <w:r>
        <w:t>THIÊN LỆCH TRONG NGHIÊN CỨU CỔ PHIẾU</w:t>
      </w:r>
      <w:bookmarkEnd w:id="42"/>
      <w:bookmarkEnd w:id="43"/>
    </w:p>
    <w:p>
      <w:pPr>
        <w:pStyle w:val="Para 16"/>
        <w:keepLines w:val="on"/>
      </w:pPr>
      <w:r>
        <w:t>Ranh giới giữa nghiên cứu cổ phiếu và việc chào bán trở nên mờ nhạt nhất trong những giai đoạn được đặc trưng bởi "sự hưng phấn phi lý". Vào cuối thập niên 1990, sự tăng vọt phi thường của giá trị thị trường ở các công ty thuộc nền kinh tế mới đã khiến nhiều chuyên viên phân tích nghiên cứu cổ phiếu, đặc biệt ở phía bán, bước ra khỏi vai trò chuyên viên phân tích và trở thành những người cổ vũ cho các cổ phiếu này. Dù những chuyên viên phân tích này có thể có ý tốt trong các khuyến nghị của mình, việc các ngân hàng đầu tư mà họ làm việc đang dẫn đầu trong các đợt phát hành cổ phiếu lần đầu (IPO) của những công ty này đã khiến họ bị cáo buộc thiên lệch và thậm chí tệ hơn thế.</w:t>
      </w:r>
    </w:p>
    <w:p>
      <w:pPr>
        <w:pStyle w:val="Para 16"/>
        <w:keepLines w:val="on"/>
      </w:pPr>
      <w:r>
        <w:t>Năm 2001, sự sụp đổ giá trị thị trường của các cổ phiếu dot-com cùng những tiếng kêu than đau đớn của các nhà đầu tư đã mất tài sản trong cơn sụp đổ đã tạo nên một cơn bão tranh cãi. Đã có các phiên điều trần trước Quốc hội, nơi các nhà lập pháp yêu cầu được biết các chuyên viên phân tích biết gì về những công ty mà họ khuyến nghị và biết điều đó từ khi nào, các tuyên bố từ Ủy ban Chứng khoán và Giao dịch (SEC) về nhu cầu khách quan trong nghiên cứu cổ phiếu, và các quyết định được một số ngân hàng đầu tư đưa ra nhằm ít nhất tạo ra vẻ ngoài khách quan. Các ngân hàng đầu tư đã củng cố và tạo ra những "bức tường lửa" (Chinese walls) để tách biệt các chuyên gia ngân hàng đầu tư khỏi các chuyên viên phân tích nghiên cứu cổ phiếu của họ. Dù sự tách biệt về mặt kỹ thuật đó có ích, nguồn gốc thực sự của thiên lệch—sự đan xen giữa hoạt động ngân hàng, giao dịch và tư vấn đầu tư—vẫn chưa được động đến.</w:t>
      </w:r>
    </w:p>
    <w:p>
      <w:pPr>
        <w:pStyle w:val="Para 16"/>
        <w:keepLines w:val="on"/>
      </w:pPr>
      <w:r>
        <w:t>Liệu có nên có quy định của chính phủ đối với nghiên cứu cổ phiếu không? Sẽ không khôn ngoan, vì quy định có xu hướng cứng nhắc và tạo ra những chi phí phụ dường như nhanh chóng vượt quá lợi ích. Một phản ứng hiệu quả hơn nhiều có thể được đưa ra bởi các nhà quản lý danh mục đầu tư và nhà đầu tư. Nghiên cứu cổ phiếu mang tính thiên lệch nên được chiết khấu, hoặc trong những trường hợp nghiêm trọng, thậm chí nên bị bỏ qua. Hoặc, các công ty nghiên cứu cổ phiếu mới chỉ cung cấp tư vấn đầu tư có thể đáp ứng nhu cầu về những bản định giá khách quan.</w:t>
      </w:r>
    </w:p>
    <w:p>
      <w:bookmarkStart w:id="44" w:name="Uncertainty__Feature__Not_Bug_1"/>
      <w:bookmarkStart w:id="45" w:name="Uncertainty__Feature__Not_Bug"/>
      <w:pPr>
        <w:keepNext/>
        <w:pStyle w:val="Heading 3"/>
        <w:keepLines w:val="on"/>
      </w:pPr>
      <w:r>
        <w:t>Sự bất định: Đặc điểm, không phải lỗi!</w:t>
      </w:r>
      <w:bookmarkEnd w:id="44"/>
      <w:bookmarkEnd w:id="45"/>
    </w:p>
    <w:p>
      <w:pPr>
        <w:pStyle w:val="Para 03"/>
      </w:pPr>
      <w:r>
        <w:t>Có một quan điểm được nhiều người tán đồng trong định giá rằng cách giải quyết cảm giác bất định về các thông số đầu vào là thu thập thêm thông tin và nghiên cứu nhiều hơn. Điều đó không đúng. Ngay cả khi kết thúc bản định giá cẩn thận và chi tiết nhất, vẫn sẽ có sự bất định về các con số cuối cùng, bởi chúng bị ảnh hưởng bởi những giả định mà chúng ta đưa ra về tương lai của công ty và nền kinh tế. Thật không thực tế khi kỳ vọng hay đòi hỏi sự chắc chắn trong định giá, vì dòng tiền và tỷ lệ chiết khấu đều được ước tính, và những ước tính đó sẽ sai, khi nhìn lại, bởi thế giới thực mang đến những bất ngờ không thể lường trước.</w:t>
      </w:r>
    </w:p>
    <w:p>
      <w:pPr>
        <w:pStyle w:val="Para 03"/>
      </w:pPr>
      <w:r>
        <w:t>Mức độ chính xác trong định giá có khả năng thay đổi rất nhiều giữa các khoản đầu tư. Việc định giá một công ty lớn và trưởng thành với lịch sử tài chính dài thường sẽ chính xác hơn nhiều so với việc định giá một công ty non trẻ trong một lĩnh vực đang biến động. Nếu công ty non trẻ này lại hoạt động trong một thị trường mới nổi, với thêm những bất đồng về tương lai của thị trường đó, thì sự bất định càng được khuếch đại. Trong Chương 23, chúng tôi lập luận rằng những khó khăn gắn với định giá có thể liên quan đến việc một công ty đang ở đâu trong vòng đời của nó. Các công ty trưởng thành thường dễ định giá hơn các công ty tăng trưởng, và các công ty khởi nghiệp non trẻ khó định giá hơn các công ty đã có sản phẩm và thị trường ổn định. Tuy nhiên, vấn đề không nằm ở các mô hình định giá mà chúng ta sử dụng, mà ở những khó khăn chúng ta gặp phải khi đưa ra các ước tính cho tương lai. Nhiều nhà đầu tư và chuyên viên phân tích dùng sự bất định về tương lai hoặc việc thiếu thông tin để biện minh cho việc không thực hiện các bản định giá đầy đủ. Tuy nhiên, trên thực tế, lợi ích của việc định giá là lớn nhất ở những công ty này.</w:t>
      </w:r>
    </w:p>
    <w:p>
      <w:pPr>
        <w:pStyle w:val="Para 03"/>
      </w:pPr>
      <w:r>
        <w:t>Có một khía cạnh khác của định giá mà sự bất định cũng đóng vai trò. Sau khi bạn hoàn thành việc định giá một công ty, bạn có thể bị cám dỗ nghĩ rằng mình đã xong, nhưng đó là một công việc đang tiếp diễn. Giá trị thu được từ bất kỳ mô hình định giá nào đều chịu ảnh hưởng của thông tin đặc thù theo công ty cũng như thông tin toàn thị trường, và giá trị đó sẽ thay đổi khi thông tin mới được tiết lộ. Thông tin này có thể đặc thù với công ty, ảnh hưởng đến cả một lĩnh vực, hoặc thay đổi kỳ vọng đối với tất cả các công ty trên thị trường. Như ví dụ về thông tin đặc thù theo công ty, hãy xem xét các báo cáo thu nhập mà công ty công bố theo quý, có thể gây ra những biến động lớn về giá cổ phiếu và giá trị. Ở tầm vĩ mô, lạm phát tăng bất ngờ, như năm 2022, và lãi suất tăng có thể thay đổi định giá của tất cả các công ty trên thị trường. Năm 2020, một đại dịch khiến nền kinh tế toàn cầu đóng băng đã thay đổi định giá doanh nghiệp một cách mạnh mẽ, và chiến tranh cùng thiên tai cũng vậy. Nói đơn giản, quan niệm rằng một bản định giá nội tại được thực hiện tốt là vĩnh cửu và không bao giờ phải xem lại là một ảo tưởng. Ngay cả bản định giá được thực hiện tốt nhất cũng nhanh chóng lỗi thời và phải được cập nhật để phản ánh thông tin hiện tại, và với toàn cầu hóa cùng sự gián đoạn kinh doanh, chúng tôi cho rằng giá trị đã trở nên bất ổn hơn theo thời gian. Khi các chuyên viên phân tích thay đổi bản định giá của mình, chắc chắn họ sẽ được yêu cầu biện minh cho điều đó, và trong một số trường hợp, việc định giá thay đổi theo thời gian bị coi là một vấn đề. Câu trả lời hay nhất chính là câu mà John Maynard Keynes đã đưa ra khi ông bị chỉ trích vì thay đổi quan điểm về một vấn đề kinh tế lớn: "Khi sự thật thay đổi, tôi thay đổi suy nghĩ. Còn ngài thì sao?"</w:t>
      </w:r>
    </w:p>
    <w:p>
      <w:pPr>
        <w:pStyle w:val="Para 03"/>
      </w:pPr>
      <w:r>
        <w:t>Thiệt hại lớn nhất đối với định giá đến từ cách các chuyên viên phân tích và nhà đầu tư phản ứng với sự bất định, chứ không phải từ chính sự hiện diện của nó. Thay vì đối mặt với sự bất định và sử dụng các công cụ thống kê, tài chính và xác suất mà chúng ta có thể dùng để xử lý nó một cách lành mạnh, những phản ứng phổ biến hơn dường như là phủ nhận, tức là hành xử như thể sự bất định không tồn tại, hoặc tê liệt, khi bạn ngừng định giá các công ty trong khủng hoảng, hoặc nếu là các công ty khởi nghiệp non trẻ, thì viện cớ rằng định giá là vô nghĩa khi đối mặt với sự bất định. Chúng tôi tin rằng lợi ích của việc định giá là lớn nhất khi thời thế đen tối nhất, và khi sự bất định loom lên, bởi ngay cả một bản định giá không chính xác vẫn tốt hơn là không định giá chút nào!</w:t>
      </w:r>
    </w:p>
    <w:p>
      <w:bookmarkStart w:id="47" w:name="Complexity__Bigger__Not_Always_B"/>
      <w:bookmarkStart w:id="48" w:name="Complexity__Bigger__Not_Always_B_1"/>
      <w:pPr>
        <w:keepNext/>
        <w:pStyle w:val="Heading 3"/>
        <w:keepLines w:val="on"/>
      </w:pPr>
      <w:r>
        <w:t>Sự phức tạp: Lớn hơn, không phải lúc nào cũng tốt hơn!</w:t>
      </w:r>
      <w:bookmarkEnd w:id="47"/>
      <w:bookmarkEnd w:id="48"/>
    </w:p>
    <w:p>
      <w:pPr>
        <w:pStyle w:val="Para 03"/>
      </w:pPr>
      <w:r>
        <w:t>Vài thập kỷ trước, việc định giá đơn giản hơn vì các chuyên viên phân tích và nhà đầu tư không có lựa chọn nào khác. Dữ liệu bị hạn chế, và các công cụ chúng ta có để sử dụng dữ liệu đó còn thô sơ, và các phân tích phải phản ánh những hạn chế đó. Khi việc tiếp cận dữ liệu đã mở rộng và trở nên dễ dàng hơn, và các công cụ chúng ta có trở nên mạnh mẽ hơn, việc xây dựng các mô hình lớn ngày càng trở nên dễ dàng hơn, và việc cưỡng lại sự cám dỗ thêm nhiều chi tiết cũng vậy. Sự phức tạp trong định giá giờ đây là quy luật hơn là ngoại lệ, với hàng trăm mục hàng và nhiều lớp chi tiết.</w:t>
      </w:r>
    </w:p>
    <w:p>
      <w:pPr>
        <w:pStyle w:val="Para 03"/>
      </w:pPr>
      <w:r>
        <w:t>Có vẻ hiển nhiên rằng việc làm cho một mô hình hoàn chỉnh và phức tạp hơn sẽ mang lại những bản định giá tốt hơn; nhưng điều đó không nhất thiết đúng. Khi các mô hình trở nên phức tạp hơn, số lượng thông số đầu vào cần thiết để định giá một công ty có xu hướng tăng lên, kéo theo khả năng xảy ra lỗi đầu vào. Những vấn đề này càng trầm trọng hơn khi các mô hình trở nên phức tạp đến mức chúng biến thành những "hộp đen" (black boxes), nơi các chuyên viên phân tích nạp số liệu vào một đầu và các bản định giá xuất ra ở đầu kia. Rất thường khi một bản định giá thất bại, lỗi bị quy cho mô hình thay vì cho chuyên viên phân tích. Câu cửa miệng trở thành "Đó không phải lỗi của tôi. Là do mô hình."</w:t>
      </w:r>
    </w:p>
    <w:p>
      <w:pPr>
        <w:pStyle w:val="Para 03"/>
      </w:pPr>
      <w:r>
        <w:t>Có ba điểm quan trọng cần được nêu về mọi việc định giá. Thứ nhất là tuân thủ nguyên tắc tiết kiệm (principle of parsimony), về cơ bản nói rằng bạn không sử dụng nhiều thông số đầu vào hơn mức bạn thực sự cần để định giá một tài sản. Thứ hai là nhận ra rằng có sự đánh đổi giữa những lợi ích bổ sung của việc đưa vào nhiều chi tiết hơn và chi phí ước tính (cùng sai số) khi cung cấp chi tiết đó. Thứ ba là hiểu rằng các mô hình không định giá công ty—chính bạn mới làm điều đó. Trong một thế giới mà vấn đề bạn thường gặp trong định giá không phải là quá ít thông tin mà là quá nhiều, và việc tách thông tin quan trọng khỏi thông tin không quan trọng gần như cũng quan trọng như các mô hình và kỹ thuật định giá mà bạn sử dụng để định giá một công ty.</w:t>
      </w:r>
    </w:p>
    <w:p>
      <w:bookmarkStart w:id="50" w:name="In_Sum__This_section_was_titled"/>
      <w:bookmarkStart w:id="51" w:name="In_Sum"/>
      <w:pPr>
        <w:keepNext/>
        <w:pStyle w:val="Heading 3"/>
        <w:keepLines w:val="on"/>
      </w:pPr>
      <w:r>
        <w:t>Tóm lại</w:t>
      </w:r>
      <w:bookmarkEnd w:id="50"/>
      <w:bookmarkEnd w:id="51"/>
    </w:p>
    <w:p>
      <w:pPr>
        <w:pStyle w:val="Para 03"/>
      </w:pPr>
      <w:r>
        <w:t>Phần này được đặt tiêu đề là Tam giác quỷ Bermuda của Định giá vì một lý do đơn giản. Cũng như tàu thuyền và máy bay được đồn đại là đã biến mất trong vùng biển huyền thoại của Đại Tây Dương được gọi là Tam giác quỷ Bermuda, các chuyên viên phân tích và nhà đầu tư định giá công ty dường như đánh mất lẽ phải của mình khi đối mặt với thiên lệch, sự bất định và sự phức tạp, như có thể thấy trong Hình 1.2.</w:t>
      </w:r>
    </w:p>
    <w:p>
      <w:bookmarkStart w:id="53" w:name="Figure_1_2_The_Bermuda_Triangl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574800" cy="850900"/>
            <wp:effectExtent l="0" r="0" t="0" b="0"/>
            <wp:wrapTopAndBottom/>
            <wp:docPr id="3" name="c01f002.png" descr="Illustration of Bermuda Triangle of valuation depicts companies lose their good sense when confronted with bias, uncertainty, complexity."/>
            <wp:cNvGraphicFramePr>
              <a:graphicFrameLocks noChangeAspect="1"/>
            </wp:cNvGraphicFramePr>
            <a:graphic>
              <a:graphicData uri="http://schemas.openxmlformats.org/drawingml/2006/picture">
                <pic:pic>
                  <pic:nvPicPr>
                    <pic:cNvPr id="0" name="c01f002.png" descr="Illustration of Bermuda Triangle of valuation depicts companies lose their good sense when confronted with bias, uncertainty, complexity."/>
                    <pic:cNvPicPr/>
                  </pic:nvPicPr>
                  <pic:blipFill>
                    <a:blip r:embed="rId7"/>
                    <a:stretch>
                      <a:fillRect/>
                    </a:stretch>
                  </pic:blipFill>
                  <pic:spPr>
                    <a:xfrm>
                      <a:off x="0" y="0"/>
                      <a:ext cx="1574800" cy="850900"/>
                    </a:xfrm>
                    <a:prstGeom prst="rect">
                      <a:avLst/>
                    </a:prstGeom>
                  </pic:spPr>
                </pic:pic>
              </a:graphicData>
            </a:graphic>
          </wp:anchor>
        </w:drawing>
      </w:r>
      <w:bookmarkEnd w:id="53"/>
    </w:p>
    <w:p>
      <w:pPr>
        <w:keepNext/>
        <w:pStyle w:val="Para 22"/>
        <w:keepLines w:val="on"/>
      </w:pPr>
      <w:r>
        <w:t>Hình 1.2 Tam giác quỷ Bermuda của Định giá</w:t>
      </w:r>
    </w:p>
    <w:p>
      <w:pPr>
        <w:pStyle w:val="Para 03"/>
      </w:pPr>
      <w:r>
        <w:t>Hiện tượng này cũng có thể giải thích tại sao, theo quan điểm của chúng tôi, việc có nhiều dữ liệu hơn và các công cụ mạnh mẽ hơn đã khiến các bản định giá trở nên "tệ hơn" về mặt chất lượng thay vì "tốt hơn" trong bốn thập kỷ qua.</w:t>
      </w:r>
    </w:p>
    <w:p>
      <w:bookmarkStart w:id="54" w:name="Market_Efficiency"/>
      <w:bookmarkStart w:id="55" w:name="Market_Efficiency__There_is_no_i"/>
      <w:pPr>
        <w:keepNext/>
        <w:pStyle w:val="Heading 2"/>
        <w:keepLines w:val="on"/>
      </w:pPr>
      <w:r>
        <w:t>Hiệu quả thị trường</w:t>
      </w:r>
      <w:bookmarkEnd w:id="54"/>
      <w:bookmarkEnd w:id="55"/>
    </w:p>
    <w:p>
      <w:pPr>
        <w:pStyle w:val="Para 03"/>
      </w:pPr>
      <w:r>
        <w:t>Không có ý tưởng nào trong tài chính dễ gây ra phản ứng tiêu cực mạnh mẽ từ các nhà đầu tư hơn quan niệm về hiệu quả thị trường. Trong những năm đầu của tài chính với tư cách là một ngành học, đúng là quan điểm thịnh hành cho rằng thị trường là hiệu quả, điều này vô hiệu hóa lý do của việc đầu tư chủ động và khiến việc định giá gần như vô nghĩa.</w:t>
      </w:r>
    </w:p>
    <w:p>
      <w:pPr>
        <w:pStyle w:val="Para 03"/>
      </w:pPr>
      <w:r>
        <w:t>Ẩn chứa trong hành vi định giá là giả định rằng thị trường mắc sai lầm và rằng chúng ta có thể tìm ra những sai lầm này, thường bằng cách sử dụng thông tin mà hàng chục nghìn nhà đầu tư khác cũng có thể tiếp cận. Do đó, có vẻ hợp lý khi nói rằng những ai tin rằng thị trường là phi hiệu quả nên dành thời gian và nguồn lực của mình cho việc định giá, trong khi những ai tin rằng thị trường là hiệu quả nên lấy giá thị trường làm ước tính tốt nhất về giá trị.</w:t>
      </w:r>
    </w:p>
    <w:p>
      <w:pPr>
        <w:pStyle w:val="Para 03"/>
      </w:pPr>
      <w:r>
        <w:t>Tuy nhiên, phát biểu này không phản ánh những mâu thuẫn nội tại trong cả hai lập trường. Những người tin rằng thị trường là hiệu quả vẫn có thể cảm thấy rằng việc định giá có điều gì đó để đóng góp, đặc biệt khi họ được yêu cầu định giá tác động của một thay đổi trong cách một công ty được điều hành hoặc để hiểu tại sao giá thị trường thay đổi theo thời gian. Hơn nữa, không rõ bằng cách nào thị trường có thể trở nên hiệu quả ngay từ đầu, nếu các nhà đầu tư không cố gắng tìm ra các cổ phiếu bị định giá thấp và định giá cao và giao dịch dựa trên những bản định giá đó. Nói cách khác, một điều kiện tiên quyết cho hiệu quả thị trường dường như là sự tồn tại của hàng triệu nhà đầu tư tin rằng thị trường không hiệu quả.</w:t>
      </w:r>
    </w:p>
    <w:p>
      <w:pPr>
        <w:pStyle w:val="Para 03"/>
      </w:pPr>
      <w:r>
        <w:t>Mặt khác, những người tin rằng thị trường mắc sai lầm và mua hoặc bán cổ phiếu trên cơ sở đó phải tin rằng cuối cùng thị trường sẽ sửa chữa những sai lầm này (tức là trở nên hiệu quả), bởi đó là cách họ kiếm tiền. Do đó, đây là một định nghĩa khá vị kỷ về sự phi hiệu quả—thị trường là phi hiệu quả cho đến khi bạn nắm giữ một vị thế lớn trong cổ phiếu mà bạn tin là bị định giá sai, nhưng chúng trở nên hiệu quả sau khi bạn đã nắm giữ vị thế đó.</w:t>
      </w:r>
    </w:p>
    <w:p>
      <w:pPr>
        <w:pStyle w:val="Para 03"/>
      </w:pPr>
      <w:r>
        <w:t>Tốt nhất là tiếp cận vấn đề hiệu quả thị trường với tư cách một người hoài nghi. Hãy nhận ra rằng một mặt thị trường mắc sai lầm nhưng mặt khác, việc tìm ra những sai lầm này đòi hỏi sự kết hợp giữa kỹ năng và may mắn. Quan điểm này về thị trường dẫn đến những kết luận sau: Thứ nhất, nếu điều gì đó có vẻ quá tốt để có thể là thật—một cổ phiếu trông rõ ràng bị định giá thấp hoặc định giá cao—thì có lẽ nó không phải là thật. Thứ hai, khi giá trị từ một phân tích khác biệt đáng kể so với giá thị trường, hãy bắt đầu với giả định rằng thị trường đúng; sau đó bạn phải tự thuyết phục mình rằng không phải vậy trước khi kết luận rằng điều gì đó bị định giá cao hoặc định giá thấp. Tiêu chuẩn cao hơn này có thể khiến bạn thận trọng hơn khi theo đuổi các bản định giá, nhưng với khó khăn của việc đánh bại thị trường, đây không phải là một kết quả không mong muốn.</w:t>
      </w:r>
    </w:p>
    <w:p>
      <w:bookmarkStart w:id="57" w:name="The_Role_of_Valuation__Valuation"/>
      <w:bookmarkStart w:id="58" w:name="The_Role_of_Valuation"/>
      <w:pPr>
        <w:keepNext/>
        <w:pStyle w:val="Heading 2"/>
        <w:keepLines w:val="on"/>
      </w:pPr>
      <w:r>
        <w:t>Vai trò của Định giá</w:t>
      </w:r>
      <w:bookmarkEnd w:id="57"/>
      <w:bookmarkEnd w:id="58"/>
    </w:p>
    <w:p>
      <w:pPr>
        <w:pStyle w:val="Para 03"/>
      </w:pPr>
      <w:r>
        <w:t>Định giá hữu ích trong rất nhiều công việc khác nhau. Tuy nhiên, vai trò của nó lại khác nhau ở từng lĩnh vực. Phần tiếp theo sẽ trình bày mức độ liên quan của định giá trong quản lý danh mục đầu tư, trong phân tích thâu tóm và trong tài chính doanh nghiệp.</w:t>
      </w:r>
    </w:p>
    <w:p>
      <w:bookmarkStart w:id="59" w:name="Valuation_in_Portfolio_Managemen"/>
      <w:bookmarkStart w:id="60" w:name="Valuation_in_Portfolio_Managemen_1"/>
      <w:pPr>
        <w:keepNext/>
        <w:pStyle w:val="Heading 3"/>
        <w:keepLines w:val="on"/>
      </w:pPr>
      <w:r>
        <w:t>Định giá trong Quản lý Danh mục Đầu tư</w:t>
      </w:r>
      <w:bookmarkEnd w:id="59"/>
      <w:bookmarkEnd w:id="60"/>
    </w:p>
    <w:p>
      <w:pPr>
        <w:pStyle w:val="Para 03"/>
      </w:pPr>
      <w:r>
        <w:t>Vai trò của định giá trong quản lý danh mục đầu tư phần lớn được quyết định bởi triết lý đầu tư của nhà đầu tư. Định giá đóng vai trò tối thiểu đối với nhà đầu tư thụ động, trong khi nó đóng vai trò lớn hơn đối với nhà đầu tư chủ động. Ngay cả trong số các nhà đầu tư chủ động, bản chất và vai trò của định giá cũng khác nhau tùy theo từng kiểu đầu tư chủ động. Những người căn thời điểm thị trường (market timer) nên sử dụng định giá ít hơn nhiều so với những nhà đầu tư chọn cổ phiếu để nắm giữ dài hạn, và trọng tâm của họ là định giá toàn thị trường chứ không phải định giá từng doanh nghiệp cụ thể. Trong số những người chọn cổ phiếu, định giá đóng vai trò trung tâm trong quản lý danh mục đầu tư đối với các nhà phân tích cơ bản và chỉ đóng vai trò ngoại vi đối với các nhà phân tích kỹ thuật.</w:t>
      </w:r>
    </w:p>
    <w:p>
      <w:bookmarkStart w:id="61" w:name="Fundamental_Analysts"/>
      <w:bookmarkStart w:id="62" w:name="Fundamental_Analysts__The_underl"/>
      <w:pPr>
        <w:keepNext/>
        <w:pStyle w:val="Heading 4"/>
        <w:keepLines w:val="on"/>
      </w:pPr>
      <w:r>
        <w:t>Nhà Phân tích Cơ bản</w:t>
      </w:r>
      <w:bookmarkEnd w:id="61"/>
      <w:bookmarkEnd w:id="62"/>
    </w:p>
    <w:p>
      <w:pPr>
        <w:pStyle w:val="Para 03"/>
      </w:pPr>
      <w:r>
        <w:t>Chủ đề xuyên suốt trong phân tích cơ bản là giá trị thực của doanh nghiệp có thể gắn liền với các đặc điểm tài chính của nó—triển vọng tăng trưởng, hồ sơ rủi ro và dòng tiền. Bất kỳ sự lệch lạc nào so với giá trị thực này đều là dấu hiệu cho thấy một cổ phiếu đang bị định giá thấp hoặc định giá cao. Đây là một chiến lược đầu tư dài hạn, và những giả định đằng sau nó là:</w:t>
      </w:r>
    </w:p>
    <w:p>
      <w:pPr>
        <w:numPr>
          <w:ilvl w:val="0"/>
          <w:numId w:val="1"/>
        </w:numPr>
        <w:pStyle w:val="Para 01"/>
      </w:pPr>
      <w:r>
        <w:t>Mối quan hệ giữa giá trị và các yếu tố tài chính cơ bản có thể đo lường được.</w:t>
      </w:r>
    </w:p>
    <w:p>
      <w:pPr>
        <w:numPr>
          <w:ilvl w:val="0"/>
          <w:numId w:val="1"/>
        </w:numPr>
        <w:pStyle w:val="Para 01"/>
      </w:pPr>
      <w:r>
        <w:t>Mối quan hệ này ổn định theo thời gian.</w:t>
      </w:r>
    </w:p>
    <w:p>
      <w:pPr>
        <w:numPr>
          <w:ilvl w:val="0"/>
          <w:numId w:val="1"/>
        </w:numPr>
        <w:pStyle w:val="Para 01"/>
      </w:pPr>
      <w:r>
        <w:t>Những sai lệch so với mối quan hệ này sẽ được điều chỉnh trong một khoảng thời gian hợp lý.</w:t>
      </w:r>
    </w:p>
    <w:p>
      <w:pPr>
        <w:pStyle w:val="Para 03"/>
      </w:pPr>
      <w:r>
        <w:t>Định giá nên là trọng tâm chính trong phân tích cơ bản. Một số nhà phân tích sử dụng mô hình chiết khấu dòng tiền (discounted cash flow) để định giá doanh nghiệp, nhưng cũng có những người khác dùng các bội số (multiple) như tỷ lệ giá trên thu nhập (price-earnings) và tỷ lệ giá trên giá trị sổ sách (price–book value). Vì các nhà đầu tư theo cách tiếp cận này nắm giữ một số lượng lớn cổ phiếu bị định giá thấp trong danh mục của mình, họ hy vọng rằng, tính trung bình, những danh mục này sẽ hoạt động tốt hơn thị trường.</w:t>
      </w:r>
    </w:p>
    <w:p>
      <w:bookmarkStart w:id="64" w:name="Franchise_Buyers__The_philosophy"/>
      <w:bookmarkStart w:id="65" w:name="Franchise_Buyers"/>
      <w:pPr>
        <w:keepNext/>
        <w:pStyle w:val="Heading 4"/>
        <w:keepLines w:val="on"/>
      </w:pPr>
      <w:r>
        <w:t>Người Mua Đặc quyền Kinh doanh (Franchise Buyers)
&lt;&lt;&lt;|||&gt;
Triết lý của một người mua đặc quyền kinh doanh được thể hiện rõ nhất qua một nhà đầu tư đã thành công vang dội với nó—Warren Buffett. “Chúng tôi cố gắng bám vào những doanh nghiệp mà chúng tôi tin là mình hiểu rõ,” ông Buffett viết.3 “Điều đó có nghĩa là chúng phải tương đối đơn giản và ổn định về bản chất. Nếu một doanh nghiệp phức tạp và chịu sự thay đổi liên tục, chúng tôi không đủ thông minh để dự đoán dòng tiền tương lai.” Những người mua đặc quyền kinh doanh tập trung vào một vài doanh nghiệp mà họ hiểu rõ và cố gắng thâu tóm những doanh nghiệp bị định giá thấp. Thường thì, như trường hợp của ông Buffett, những người mua đặc quyền kinh doanh gây ảnh hưởng lên ban lãnh đạo của các doanh nghiệp này và có thể thay đổi chính sách tài chính và đầu tư. Là một chiến lược dài hạn, những giả định đằng sau nó là:</w:t>
      </w:r>
      <w:bookmarkEnd w:id="64"/>
      <w:bookmarkEnd w:id="65"/>
    </w:p>
    <w:p>
      <w:pPr>
        <w:pStyle w:val="Para 03"/>
      </w:pPr>
      <w:r>
        <w:t>Những nhà đầu tư hiểu rõ một doanh nghiệp sẽ ở vị thế tốt hơn để định giá nó một cách chính xác.</w:t>
      </w:r>
    </w:p>
    <w:p>
      <w:pPr>
        <w:numPr>
          <w:ilvl w:val="0"/>
          <w:numId w:val="2"/>
        </w:numPr>
        <w:pStyle w:val="Para 01"/>
      </w:pPr>
      <w:r>
        <w:t>Những doanh nghiệp bị định giá thấp này có thể được thâu tóm mà không đẩy giá lên cao hơn giá trị thực, và đôi khi còn mua được với giá hời.</w:t>
      </w:r>
    </w:p>
    <w:p>
      <w:pPr>
        <w:numPr>
          <w:ilvl w:val="0"/>
          <w:numId w:val="2"/>
        </w:numPr>
        <w:pStyle w:val="Para 01"/>
      </w:pPr>
      <w:r>
        <w:t>Định giá đóng vai trò then chốt trong triết lý này, vì những người mua đặc quyền kinh doanh bị hấp dẫn bởi một doanh nghiệp cụ thể là vì họ tin rằng nó đang bị định giá thấp. Họ cũng quan tâm đến việc mình có thể tạo thêm bao nhiêu giá trị bằng cách tái cấu trúc doanh nghiệp và điều hành nó cho đúng.</w:t>
      </w:r>
    </w:p>
    <w:p>
      <w:pPr>
        <w:pStyle w:val="Para 03"/>
      </w:pPr>
      <w:r>
        <w:t>Nhà Phân tích Biểu đồ (Chartists)</w:t>
      </w:r>
    </w:p>
    <w:p>
      <w:bookmarkStart w:id="67" w:name="Chartists"/>
      <w:bookmarkStart w:id="68" w:name="Chartists__Chartists_believe_tha"/>
      <w:pPr>
        <w:keepNext/>
        <w:pStyle w:val="Heading 4"/>
        <w:keepLines w:val="on"/>
      </w:pPr>
      <w:r>
        <w:t>Các nhà phân tích biểu đồ tin rằng giá cả được dẫn dắt bởi tâm lý nhà đầu tư cũng nhiều như bởi bất kỳ yếu tố tài chính cơ bản nào. Thông tin có được từ giao dịch—biến động giá, khối lượng giao dịch, bán khống, v.v.—cho thấy dấu hiệu về tâm lý nhà đầu tư và các biến động giá trong tương lai. Những giả định ở đây là giá di chuyển theo những mô hình có thể dự đoán được, rằng không có đủ nhà đầu tư biên (marginal investor) tận dụng những mô hình này để triệt tiêu chúng, và rằng nhà đầu tư trung bình trên thị trường bị chi phối bởi cảm xúc nhiều hơn là bởi phân tích lý trí.</w:t>
      </w:r>
      <w:bookmarkEnd w:id="67"/>
      <w:bookmarkEnd w:id="68"/>
    </w:p>
    <w:p>
      <w:pPr>
        <w:pStyle w:val="Para 03"/>
      </w:pPr>
      <w:r>
        <w:t>Mặc dù định giá không đóng vai trò lớn trong phân tích biểu đồ, vẫn có những cách để một nhà phân tích biểu đồ tháo vát có thể đưa nó vào phân tích. Chẳng hạn, định giá có thể được dùng để xác định các đường hỗ trợ và kháng cự4 trên biểu đồ giá.</w:t>
      </w:r>
    </w:p>
    <w:p>
      <w:pPr>
        <w:pStyle w:val="Para 03"/>
      </w:pPr>
      <w:r>
        <w:t>Nhà Giao dịch Theo Thông tin (Information Traders)</w:t>
      </w:r>
    </w:p>
    <w:p>
      <w:pPr>
        <w:pStyle w:val="Para 20"/>
      </w:pPr>
      <w:r>
        <w:rPr>
          <w:rStyle w:val="Text26"/>
        </w:rPr>
        <w:bookmarkStart w:id="70" w:name="Page_9"/>
        <w:t/>
        <w:bookmarkEnd w:id="70"/>
      </w:r>
      <w:r>
        <w:t xml:space="preserve"> </w:t>
      </w:r>
    </w:p>
    <w:p>
      <w:bookmarkStart w:id="71" w:name="Information_Traders__Prices_move"/>
      <w:bookmarkStart w:id="72" w:name="Information_Traders"/>
      <w:pPr>
        <w:keepNext/>
        <w:pStyle w:val="Heading 4"/>
        <w:keepLines w:val="on"/>
      </w:pPr>
      <w:r>
        <w:t>Giá cả biến động dựa trên thông tin về doanh nghiệp. Những nhà giao dịch theo thông tin cố gắng giao dịch trước khi có thông tin mới hoặc ngay sau khi thông tin đó được tiết lộ ra thị trường tài chính, mua trước tin tốt và bán khi có tin xấu. Giả định đằng sau là những nhà giao dịch này có thể dự đoán trước các thông báo thông tin và đánh giá phản ứng của thị trường đối với chúng tốt hơn nhà đầu tư trung bình trên thị trường.</w:t>
      </w:r>
      <w:bookmarkEnd w:id="71"/>
      <w:bookmarkEnd w:id="72"/>
    </w:p>
    <w:p>
      <w:pPr>
        <w:pStyle w:val="Para 03"/>
      </w:pPr>
      <w:r>
        <w:t>Đối với một nhà giao dịch theo thông tin, trọng tâm là mối quan hệ giữa thông tin và những thay đổi về giá trị, chứ không phải bản thân giá trị. Vì vậy, một nhà giao dịch theo thông tin có thể mua cổ phiếu của ngay cả một doanh nghiệp bị định giá cao nếu người đó tin rằng thông báo thông tin tiếp theo sẽ khiến giá tăng lên vì nó chứa tin tức tốt hơn mong đợi. Nếu tồn tại mối quan hệ giữa mức độ bị định giá thấp hay định giá cao của một công ty và cách giá cổ phiếu của nó phản ứng với thông tin mới, thì định giá có thể đóng một vai trò trong việc đầu tư của một nhà giao dịch theo thông tin.</w:t>
      </w:r>
    </w:p>
    <w:p>
      <w:pPr>
        <w:pStyle w:val="Para 03"/>
      </w:pPr>
      <w:r>
        <w:t>Nhà Căn thời điểm Thị trường (Market Timers)</w:t>
      </w:r>
    </w:p>
    <w:p>
      <w:bookmarkStart w:id="73" w:name="Market_Timers__Market_timers_not"/>
      <w:bookmarkStart w:id="74" w:name="Market_Timers"/>
      <w:pPr>
        <w:keepNext/>
        <w:pStyle w:val="Heading 4"/>
        <w:keepLines w:val="on"/>
      </w:pPr>
      <w:r>
        <w:t>Những nhà căn thời điểm thị trường lưu ý, với phần nào đó sự hợp lý, rằng lợi ích từ việc gọi đúng các bước ngoặt của thị trường lớn hơn nhiều so với lợi nhuận từ việc chọn cổ phiếu. Họ lập luận rằng dự đoán các biến động thị trường thì dễ hơn chọn cổ phiếu, và những dự đoán này có thể dựa trên các yếu tố có thể quan sát được.</w:t>
      </w:r>
      <w:bookmarkEnd w:id="73"/>
      <w:bookmarkEnd w:id="74"/>
    </w:p>
    <w:p>
      <w:pPr>
        <w:pStyle w:val="Para 03"/>
      </w:pPr>
      <w:r>
        <w:t>Mặc dù việc định giá từng cổ phiếu riêng lẻ có thể không hữu ích gì cho một nhà căn thời điểm thị trường, các chiến lược căn thời điểm thị trường có thể sử dụng định giá theo ít nhất hai cách:</w:t>
      </w:r>
    </w:p>
    <w:p>
      <w:pPr>
        <w:pStyle w:val="Para 03"/>
      </w:pPr>
      <w:r>
        <w:t>Bản thân toàn bộ thị trường có thể được định giá và so sánh với mức hiện tại.</w:t>
      </w:r>
    </w:p>
    <w:p>
      <w:pPr>
        <w:numPr>
          <w:ilvl w:val="0"/>
          <w:numId w:val="3"/>
        </w:numPr>
        <w:pStyle w:val="Para 01"/>
      </w:pPr>
    </w:p>
    <w:p>
      <w:pPr>
        <w:numPr>
          <w:ilvl w:val="0"/>
          <w:numId w:val="3"/>
        </w:numPr>
        <w:pStyle w:val="Para 01"/>
      </w:pPr>
      <w:r>
        <w:t>Một mô hình định giá có thể được dùng để định giá từng cổ phiếu riêng lẻ, và kết quả trên toàn bộ các cổ phiếu được dùng để xác định xem thị trường đang bị định giá quá cao hay quá thấp. Ví dụ, khi số lượng cổ phiếu bị định giá quá cao—theo mô hình dòng tiền chiết khấu (discounted cash flow)—tăng lên so với số lượng cổ phiếu bị định giá quá thấp, thì có lý do để tin rằng thị trường đang bị định giá quá cao.</w:t>
      </w:r>
    </w:p>
    <w:p>
      <w:bookmarkStart w:id="75" w:name="Efficient_Marketers"/>
      <w:bookmarkStart w:id="76" w:name="Efficient_Marketers__Efficient_m"/>
      <w:pPr>
        <w:keepNext/>
        <w:pStyle w:val="Heading 4"/>
        <w:keepLines w:val="on"/>
      </w:pPr>
      <w:r>
        <w:t>Những người theo trường phái thị trường hiệu quả</w:t>
      </w:r>
      <w:bookmarkEnd w:id="75"/>
      <w:bookmarkEnd w:id="76"/>
    </w:p>
    <w:p>
      <w:pPr>
        <w:pStyle w:val="Para 03"/>
      </w:pPr>
      <w:r>
        <w:t>Những người theo trường phái thị trường hiệu quả tin rằng giá thị trường tại bất kỳ thời điểm nào cũng đại diện cho ước lượng tốt nhất về giá trị thực của doanh nghiệp, và rằng mọi nỗ lực khai thác những điểm phi hiệu quả được cho là của thị trường sẽ tốn kém hơn khoản lợi nhuận vượt trội mà nó mang lại. Họ giả định rằng thị trường tổng hợp thông tin một cách nhanh chóng và chính xác, rằng các nhà đầu tư biên (marginal investors) sẽ nhanh chóng khai thác mọi điểm phi hiệu quả, và rằng mọi điểm phi hiệu quả trên thị trường đều do ma sát (friction) như chi phí giao dịch gây ra, và không thể khai thác được.</w:t>
      </w:r>
    </w:p>
    <w:p>
      <w:pPr>
        <w:pStyle w:val="Para 03"/>
      </w:pPr>
      <w:r>
        <w:t>Với những người theo trường phái thị trường hiệu quả, định giá là một bài tập hữu ích để xác định vì sao một cổ phiếu lại bán với mức giá như vậy. Vì giả định nền tảng là giá thị trường chính là ước lượng tốt nhất về giá trị thực của công ty, nên mục tiêu trở thành việc xác định những giả định nào về tăng trưởng và rủi ro đang được hàm ý trong mức giá thị trường này, thay vì đi tìm những doanh nghiệp bị định giá quá thấp hay quá cao.</w:t>
      </w:r>
    </w:p>
    <w:p>
      <w:bookmarkStart w:id="77" w:name="Valuation_in_Acquisition_Analysi"/>
      <w:bookmarkStart w:id="78" w:name="Valuation_in_Acquisition_Analysi_1"/>
      <w:pPr>
        <w:keepNext/>
        <w:pStyle w:val="Heading 3"/>
        <w:keepLines w:val="on"/>
      </w:pPr>
      <w:r>
        <w:t>Định giá trong phân tích thâu tóm</w:t>
      </w:r>
      <w:bookmarkEnd w:id="77"/>
      <w:bookmarkEnd w:id="78"/>
    </w:p>
    <w:p>
      <w:pPr>
        <w:pStyle w:val="Para 03"/>
      </w:pPr>
      <w:r>
        <w:t>Định giá nên—dù thường không—đóng vai trò trung tâm trong phân tích thâu tóm. Bên mua hoặc cá nhân đặt giá phải quyết định một giá trị hợp lý cho công ty mục tiêu trước khi đưa ra lời đề nghị, và công ty mục tiêu phải xác định một giá trị hợp lý cho chính mình trước khi quyết định chấp nhận hay từ chối lời đề nghị đó.</w:t>
      </w:r>
    </w:p>
    <w:p>
      <w:pPr>
        <w:pStyle w:val="Para 03"/>
      </w:pPr>
      <w:r>
        <w:t>Cũng có những yếu tố đặc biệt cần cân nhắc trong định giá thâu tóm. Thứ nhất, tác động của hiệu ứng cộng hưởng (synergy) lên giá trị kết hợp của hai công ty (công ty mục tiêu cộng với công ty đặt giá) phải được xem xét trước khi đưa ra quyết định về giá đề nghị. Những ai cho rằng không thể định giá được hiệu ứng cộng hưởng và không nên xem xét nó bằng các con số định lượng là sai. Thứ hai, tác động lên giá trị của việc thay đổi ban quản lý và tái cấu trúc công ty mục tiêu, tức là giá trị của quyền kiểm soát (value of control), sẽ phải được cân nhắc khi quyết định một mức giá hợp lý. Điều này đặc biệt đáng lưu tâm trong các thương vụ thâu tóm thù địch (hostile takeovers).</w:t>
      </w:r>
    </w:p>
    <w:p>
      <w:pPr>
        <w:pStyle w:val="Para 03"/>
      </w:pPr>
      <w:r>
        <w:t>Cuối cùng, có một vấn đề đáng kể về thiên kiến (bias) trong định giá thâu tóm. Các công ty mục tiêu có thể quá lạc quan khi ước tính giá trị, đặc biệt khi các thương vụ thâu tóm mang tính thù địch và họ đang cố thuyết phục cổ đông rằng mức giá đề nghị là quá thấp. Tương tự, nếu công ty đặt giá đã quyết định thực hiện thương vụ thâu tóm vì lý do chiến lược, thì có thể có áp lực mạnh buộc chuyên viên phân tích phải đưa ra một ước tính giá trị nhằm biện hộ cho thương vụ đó.</w:t>
      </w:r>
    </w:p>
    <w:p>
      <w:bookmarkStart w:id="80" w:name="Valuation_in_Corporate_Finance_1"/>
      <w:bookmarkStart w:id="81" w:name="Valuation_in_Corporate_Finance"/>
      <w:pPr>
        <w:keepNext/>
        <w:pStyle w:val="Heading 3"/>
        <w:keepLines w:val="on"/>
      </w:pPr>
      <w:r>
        <w:t>Định giá trong tài chính doanh nghiệp</w:t>
      </w:r>
      <w:bookmarkEnd w:id="80"/>
      <w:bookmarkEnd w:id="81"/>
    </w:p>
    <w:p>
      <w:pPr>
        <w:pStyle w:val="Para 03"/>
      </w:pPr>
      <w:r>
        <w:t>Nếu mục tiêu trong tài chính doanh nghiệp là tối đa hóa giá trị doanh nghiệp,5 thì mối quan hệ giữa các quyết định tài chính, chiến lược doanh nghiệp và giá trị doanh nghiệp phải được làm rõ. Trong những năm gần đây, các công ty tư vấn quản lý đã bắt đầu đưa ra lời khuyên cho các doanh nghiệp về cách gia tăng giá trị. Những gợi ý của họ thường trở thành cơ sở cho việc tái cấu trúc các doanh nghiệp này.</w:t>
      </w:r>
    </w:p>
    <w:p>
      <w:pPr>
        <w:pStyle w:val="Para 03"/>
      </w:pPr>
      <w:r>
        <w:t>Giá trị của một doanh nghiệp có thể được liên hệ trực tiếp với những quyết định mà nó đưa ra—về việc chọn dự án nào, về cách tài trợ cho chúng, và về chính sách cổ tức của nó. Hiểu được mối quan hệ này là chìa khóa để đưa ra những quyết định gia tăng giá trị và để tái cấu trúc tài chính một cách hợp lý. Nói ngắn gọn, thật khó hình dung làm sao bạn có thể đưa ra những quyết định tài chính doanh nghiệp tốt mà không hiểu về định giá.</w:t>
      </w:r>
    </w:p>
    <w:p>
      <w:bookmarkStart w:id="83" w:name="Conclusion__Valuation_plays_a_ke"/>
      <w:bookmarkStart w:id="84" w:name="Conclusion"/>
      <w:pPr>
        <w:keepNext/>
        <w:pStyle w:val="Heading 2"/>
        <w:keepLines w:val="on"/>
      </w:pPr>
      <w:r>
        <w:t>Kết luận</w:t>
      </w:r>
      <w:bookmarkEnd w:id="83"/>
      <w:bookmarkEnd w:id="84"/>
    </w:p>
    <w:p>
      <w:pPr>
        <w:pStyle w:val="Para 03"/>
      </w:pPr>
      <w:r>
        <w:t>Định giá đóng vai trò then chốt trong nhiều lĩnh vực tài chính—trong tài chính doanh nghiệp, trong mua bán và sáp nhập, và trong quản lý danh mục đầu tư. Các mô hình được trình bày trong cuốn sách này sẽ cung cấp một loạt công cụ mà các chuyên viên phân tích trong mỗi lĩnh vực trên sẽ thấy hữu ích, nhưng lời cảnh báo được nêu trong chương này vẫn đáng được nhắc lại. Định giá không phải là một bài tập khách quan, và mọi định kiến cùng thiên kiến mà chuyên viên phân tích mang vào quá trình này đều sẽ len lỏi vào con số giá trị. Và ngay cả một bài định giá tốt nhất cũng chỉ đưa ra một ước lượng về giá trị, với khả năng đáng kể là bạn sẽ sai trong đánh giá của mình.</w:t>
      </w:r>
    </w:p>
    <w:p>
      <w:bookmarkStart w:id="85" w:name="Questions_and_Short_Problems_1"/>
      <w:bookmarkStart w:id="86" w:name="Questions_and_Short_Problems"/>
      <w:pPr>
        <w:keepNext/>
        <w:pStyle w:val="Heading 2"/>
        <w:keepLines w:val="on"/>
      </w:pPr>
      <w:r>
        <w:t>Câu hỏi và bài tập ngắn</w:t>
      </w:r>
      <w:bookmarkEnd w:id="85"/>
      <w:bookmarkEnd w:id="86"/>
    </w:p>
    <w:p>
      <w:pPr>
        <w:pStyle w:val="Para 44"/>
      </w:pPr>
      <w:r>
        <w:t>Trong các bài tập sau đây, hãy sử dụng mức bù rủi ro vốn cổ phần (equity risk premium) là 5,5 phần trăm nếu không có quy định nào khác.</w:t>
      </w:r>
    </w:p>
    <w:p>
      <w:pPr>
        <w:numPr>
          <w:ilvl w:val="0"/>
          <w:numId w:val="4"/>
        </w:numPr>
        <w:pStyle w:val="Para 01"/>
      </w:pPr>
      <w:r>
        <w:t>Giá trị của một khoản đầu tư là:</w:t>
      </w:r>
    </w:p>
    <w:p>
      <w:pPr>
        <w:numPr>
          <w:ilvl w:val="1"/>
          <w:numId w:val="4"/>
        </w:numPr>
        <w:pStyle w:val="Para 01"/>
      </w:pPr>
      <w:r>
        <w:t>Giá trị hiện tại của các dòng tiền từ khoản đầu tư đó.</w:t>
      </w:r>
    </w:p>
    <w:p>
      <w:pPr>
        <w:numPr>
          <w:ilvl w:val="1"/>
          <w:numId w:val="4"/>
        </w:numPr>
        <w:pStyle w:val="Para 01"/>
      </w:pPr>
      <w:r>
        <w:t>Được quyết định bởi nhận thức của nhà đầu tư về nó.</w:t>
      </w:r>
    </w:p>
    <w:p>
      <w:pPr>
        <w:numPr>
          <w:ilvl w:val="1"/>
          <w:numId w:val="4"/>
        </w:numPr>
        <w:pStyle w:val="Para 01"/>
      </w:pPr>
      <w:r>
        <w:t>Được quyết định bởi cung và cầu.</w:t>
      </w:r>
    </w:p>
    <w:p>
      <w:pPr>
        <w:numPr>
          <w:ilvl w:val="1"/>
          <w:numId w:val="4"/>
        </w:numPr>
        <w:pStyle w:val="Para 01"/>
      </w:pPr>
      <w:r>
        <w:t>Thường là một ước lượng chủ quan, bị pha màu bởi thiên kiến của chuyên viên phân tích.</w:t>
      </w:r>
    </w:p>
    <w:p>
      <w:pPr>
        <w:numPr>
          <w:ilvl w:val="1"/>
          <w:numId w:val="4"/>
        </w:numPr>
        <w:pStyle w:val="Para 01"/>
      </w:pPr>
      <w:r>
        <w:t>Tất cả những điều trên.</w:t>
      </w:r>
    </w:p>
    <w:p>
      <w:pPr>
        <w:numPr>
          <w:ilvl w:val="0"/>
          <w:numId w:val="4"/>
        </w:numPr>
        <w:pStyle w:val="Para 01"/>
      </w:pPr>
      <w:r>
        <w:t>Có nhiều người cho rằng giá trị chỉ dựa trên nhận thức của nhà đầu tư và chỉ nhận thức mà thôi, còn dòng tiền và lợi nhuận thì không quan trọng. Lập luận này có sai sót vì:</w:t>
      </w:r>
    </w:p>
    <w:p>
      <w:pPr>
        <w:numPr>
          <w:ilvl w:val="1"/>
          <w:numId w:val="4"/>
        </w:numPr>
        <w:pStyle w:val="Para 01"/>
      </w:pPr>
      <w:r>
        <w:t>Giá trị được quyết định bởi lợi nhuận và dòng tiền, còn nhận thức của nhà đầu tư thì không quan trọng.</w:t>
      </w:r>
    </w:p>
    <w:p>
      <w:pPr>
        <w:numPr>
          <w:ilvl w:val="1"/>
          <w:numId w:val="4"/>
        </w:numPr>
        <w:pStyle w:val="Para 01"/>
      </w:pPr>
      <w:r>
        <w:t>Nhận thức có quan trọng, nhưng chúng có thể thay đổi. Giá trị phải dựa trên một điều gì đó vững chắc hơn.</w:t>
      </w:r>
    </w:p>
    <w:p>
      <w:pPr>
        <w:numPr>
          <w:ilvl w:val="1"/>
          <w:numId w:val="4"/>
        </w:numPr>
        <w:pStyle w:val="Para 01"/>
      </w:pPr>
      <w:r>
        <w:t>Nhà đầu tư là phi lý trí. Do đó, nhận thức của họ không nên quyết định giá trị.</w:t>
      </w:r>
    </w:p>
    <w:p>
      <w:pPr>
        <w:numPr>
          <w:ilvl w:val="1"/>
          <w:numId w:val="4"/>
        </w:numPr>
        <w:pStyle w:val="Para 01"/>
      </w:pPr>
      <w:r>
        <w:t>Giá trị được quyết định bởi nhận thức của nhà đầu tư, nhưng nó cũng được quyết định bởi lợi nhuận và dòng tiền cơ bản. Nhận thức phải dựa trên thực tế.</w:t>
      </w:r>
    </w:p>
    <w:p>
      <w:pPr>
        <w:numPr>
          <w:ilvl w:val="0"/>
          <w:numId w:val="4"/>
        </w:numPr>
        <w:pStyle w:val="Para 01"/>
      </w:pPr>
      <w:r>
        <w:t>Bạn dùng một mô hình định giá để tính ra giá trị của một cổ phiếu là 15 đô la. Giá thị trường của cổ phiếu đó là 25 đô la. Sự chênh lệch này có thể được giải thích bởi:</w:t>
      </w:r>
    </w:p>
    <w:p>
      <w:pPr>
        <w:numPr>
          <w:ilvl w:val="1"/>
          <w:numId w:val="4"/>
        </w:numPr>
        <w:pStyle w:val="Para 01"/>
      </w:pPr>
      <w:r>
        <w:t>Sự kém hiệu quả của thị trường: Thị trường đang định giá cổ phiếu quá cao.</w:t>
      </w:r>
    </w:p>
    <w:p>
      <w:pPr>
        <w:numPr>
          <w:ilvl w:val="1"/>
          <w:numId w:val="4"/>
        </w:numPr>
        <w:pStyle w:val="Para 01"/>
      </w:pPr>
      <w:r>
        <w:t>Việc sử dụng sai mô hình định giá để định giá cổ phiếu.</w:t>
      </w:r>
    </w:p>
    <w:p>
      <w:pPr>
        <w:numPr>
          <w:ilvl w:val="1"/>
          <w:numId w:val="4"/>
        </w:numPr>
        <w:pStyle w:val="Para 01"/>
      </w:pPr>
      <w:r>
        <w:t>Sai sót trong các dữ liệu đầu vào của mô hình định giá.</w:t>
      </w:r>
    </w:p>
    <w:p>
      <w:pPr>
        <w:numPr>
          <w:ilvl w:val="1"/>
          <w:numId w:val="4"/>
        </w:numPr>
        <w:pStyle w:val="Para 01"/>
      </w:pPr>
      <w:r>
        <w:t>Tất cả các lý do trên.</w:t>
      </w:r>
    </w:p>
    <w:p>
      <w:bookmarkStart w:id="89" w:name="Notes____1_This_is_most_visible"/>
      <w:bookmarkStart w:id="90" w:name="Notes"/>
      <w:pPr>
        <w:keepNext/>
        <w:pStyle w:val="Heading 2"/>
        <w:keepLines w:val="on"/>
      </w:pPr>
      <w:r>
        <w:t>Ghi chú</w:t>
      </w:r>
      <w:bookmarkEnd w:id="89"/>
      <w:bookmarkEnd w:id="90"/>
    </w:p>
    <w:p>
      <w:pPr>
        <w:pStyle w:val="Para 08"/>
      </w:pPr>
      <w:r>
        <w:t>1 Điều này thể hiện rõ nhất trong các thương vụ thâu tóm (takeover), khi quyết định mua lại một công ty thường có vẻ như được đưa ra trước khi định giá công ty đó. Vì vậy, không có gì ngạc nhiên khi bản phân tích hầu như luôn ủng hộ quyết định đó.</w:t>
      </w:r>
    </w:p>
    <w:p>
      <w:pPr>
        <w:pStyle w:val="Para 08"/>
      </w:pPr>
      <w:r>
        <w:t>2 Trong hầu hết các năm, số khuyến nghị mua nhiều hơn số khuyến nghị bán với tỷ lệ 10 trên 1. Trong những năm gần đây, xu hướng này còn mạnh hơn nữa.</w:t>
      </w:r>
    </w:p>
    <w:p>
      <w:pPr>
        <w:pStyle w:val="Para 08"/>
      </w:pPr>
      <w:r>
        <w:t>3 Đoạn này được trích từ lá thư ông Buffett gửi cổ đông của Berkshire Hathaway năm 1993.</w:t>
      </w:r>
    </w:p>
    <w:p>
      <w:pPr>
        <w:pStyle w:val="Para 08"/>
      </w:pPr>
      <w:r>
        <w:t>4 Trên biểu đồ, đường hỗ trợ (support line) thường ám chỉ mức sàn mà dưới đó giá khó có thể giảm xuống, còn đường kháng cự (resistance line) ám chỉ mức trần mà trên đó giá khó có thể vượt qua. Mặc dù các mức này thường được ước lượng dựa trên giá trong quá khứ, nhưng khoảng giá trị thu được từ một mô hình định giá cũng có thể được dùng để xác định các mức này (tức là giá trị cao nhất sẽ trở thành đường kháng cự và giá trị thấp nhất sẽ trở thành đường hỗ trợ).</w:t>
      </w:r>
    </w:p>
    <w:p>
      <w:pPr>
        <w:pStyle w:val="Para 08"/>
      </w:pPr>
      <w:r>
        <w:t>5 Mục tiêu trong tài chính doanh nghiệp là tối đa hóa giá trị của doanh nghiệp, và rất khó, nếu không muốn nói là không thể, để xây dựng một chính sách tài chính doanh nghiệp hợp lý mà không hiểu rõ các yếu tố dẫn dắt giá trị.</w:t>
      </w:r>
    </w:p>
    <w:p>
      <w:bookmarkStart w:id="96" w:name="Chapter_2Approaches_to_Valuation"/>
      <w:bookmarkStart w:id="97" w:name="Top_of_c02_xhtml"/>
      <w:bookmarkStart w:id="98" w:name="Chapter_2Approaches_to_Valuation_1"/>
      <w:pPr>
        <w:keepNext/>
        <w:pStyle w:val="Heading 1"/>
        <w:pageBreakBefore w:val="on"/>
        <w:keepLines w:val="on"/>
      </w:pPr>
      <w:r>
        <w:t>CHƯƠNG 2</w:t>
      </w:r>
      <w:r>
        <w:br/>
      </w:r>
      <w:r>
        <w:t>Các phương pháp định giá</w:t>
      </w:r>
      <w:bookmarkEnd w:id="96"/>
      <w:bookmarkEnd w:id="97"/>
      <w:bookmarkEnd w:id="98"/>
    </w:p>
    <w:p>
      <w:pPr>
        <w:pStyle w:val="Para 03"/>
      </w:pPr>
      <w:r>
        <w:t>Trên thực tế, các nhà phân tích sử dụng rất nhiều mô hình khác nhau, từ đơn giản đến tinh vi. Những mô hình này thường đưa ra những giả định rất khác nhau, nhưng chúng vẫn có chung một số đặc điểm và có thể được phân loại theo những nhóm rộng hơn. Việc phân loại như vậy có nhiều lợi ích: nó giúp ta dễ hiểu hơn từng mô hình nằm ở đâu trong bức tranh tổng thể, vì sao chúng cho ra kết quả khác nhau, và khi nào chúng mắc lỗi logic cơ bản.</w:t>
      </w:r>
    </w:p>
    <w:p>
      <w:pPr>
        <w:pStyle w:val="Para 03"/>
      </w:pPr>
      <w:r>
        <w:t>Nói một cách tổng quát, có ba phương pháp định giá. Thứ nhất, định giá nội tại (intrinsic valuation), liên hệ giá trị của một tài sản với giá trị hiện tại (present value – PV) của dòng tiền kỳ vọng trong tương lai từ tài sản đó. Thứ hai, định giá theo thị trường (pricing), ước tính xem nên trả bao nhiêu cho một tài sản bằng cách nhìn vào cách định giá của các tài sản tương đương so với một biến số chung, chẳng hạn như lợi nhuận, dòng tiền, giá trị sổ sách hay doanh thu. Thứ ba, định giá quyền phát sinh (contingent claim valuation), sử dụng các mô hình định giá quyền chọn (option pricing) để đo lường giá trị của những tài sản mang đặc điểm quyền chọn. Một số tài sản này là tài sản tài chính được giao dịch như chứng quyền (warrant), còn một số quyền chọn khác không được giao dịch và dựa trên tài sản thực (ví dụ: dự án, bằng sáng chế, trữ lượng dầu). Những quyền chọn sau thường được gọi là quyền chọn thực (real options). Kết quả có thể khác biệt đáng kể tùy theo phương pháp được dùng. Một trong những mục tiêu của cuốn sách này là giải thích lý do vì sao giá trị lại khác nhau giữa các mô hình, và giúp bạn chọn đúng mô hình để dùng cho một công việc cụ thể.</w:t>
      </w:r>
    </w:p>
    <w:p>
      <w:bookmarkStart w:id="100" w:name="Intrinsic_Valuation__In_intrinsi"/>
      <w:bookmarkStart w:id="101" w:name="Intrinsic_Valuation"/>
      <w:pPr>
        <w:keepNext/>
        <w:pStyle w:val="Heading 2"/>
        <w:keepLines w:val="on"/>
      </w:pPr>
      <w:r>
        <w:t>Định giá nội tại</w:t>
      </w:r>
      <w:bookmarkEnd w:id="100"/>
      <w:bookmarkEnd w:id="101"/>
    </w:p>
    <w:p>
      <w:pPr>
        <w:pStyle w:val="Para 03"/>
      </w:pPr>
      <w:r>
        <w:t>Trong định giá nội tại, bạn định giá một tài sản hay doanh nghiệp bằng cách nhìn vào khả năng tạo ra dòng tiền của nó, cùng với mức tăng trưởng và rủi ro của những dòng tiền đó. Trong thế kỷ trước, mô hình chiết khấu dòng tiền (discounted cash flow – DCF) đã trở thành công cụ được dùng rộng rãi nhất để ước tính giá trị nội tại. Mặc dù định giá nội tại chỉ là một trong ba cách ước tính giá trị của một tài sản, và hầu hết người hành nghề trên thực tế định giá theo thị trường hơn là định giá nội tại, nó vẫn là nền tảng mà mọi phương pháp khác được xây dựng trên đó. Để định giá tài sản theo thị trường một cách chính xác, chúng ta cần hiểu những nguyên lý cơ bản của chiết khấu dòng tiền. Để áp dụng các mô hình định giá quyền chọn vào việc định giá tài sản, chúng ta thường phải bắt đầu từ chiết khấu dòng tiền. Đó là lý do vì sao cuốn sách này dành phần lớn nội dung cho chiết khấu dòng tiền. Bất kỳ ai hiểu được những nguyên lý cơ bản của nó đều có thể phân tích và sử dụng các phương pháp khác. Phần này xem xét cơ sở của phương pháp này, lý lẽ triết học đằng sau chiết khấu dòng tiền, và xem xét các phương pháp phụ khác nhau của chiết khấu dòng tiền.</w:t>
      </w:r>
    </w:p>
    <w:p>
      <w:pPr>
        <w:pStyle w:val="Para 20"/>
      </w:pPr>
      <w:r>
        <w:rPr>
          <w:rStyle w:val="Text26"/>
        </w:rPr>
        <w:bookmarkStart w:id="102" w:name="Page_14"/>
        <w:t/>
        <w:bookmarkEnd w:id="102"/>
      </w:r>
      <w:r>
        <w:t xml:space="preserve"> </w:t>
      </w:r>
    </w:p>
    <w:p>
      <w:bookmarkStart w:id="103" w:name="Basis_for_Discounted_Cash_Flow_V"/>
      <w:bookmarkStart w:id="104" w:name="Basis_for_Discounted_Cash_Flow_V_1"/>
      <w:pPr>
        <w:keepNext/>
        <w:pStyle w:val="Heading 3"/>
        <w:keepLines w:val="on"/>
      </w:pPr>
      <w:r>
        <w:t>Cơ sở của chiết khấu dòng tiền</w:t>
      </w:r>
      <w:bookmarkEnd w:id="103"/>
      <w:bookmarkEnd w:id="104"/>
    </w:p>
    <w:p>
      <w:pPr>
        <w:pStyle w:val="Para 03"/>
      </w:pPr>
      <w:r>
        <w:t>Phương pháp này có nền tảng ở quy tắc giá trị hiện tại, theo đó giá trị của bất kỳ tài sản nào chính là giá trị hiện tại của dòng tiền kỳ vọng trong tương lai từ tài sản đó.</w:t>
      </w:r>
    </w:p>
    <w:p>
      <w:bookmarkStart w:id="105" w:name="Value_of_Asset_E_Cash_Flow1__1_r"/>
      <w:pPr>
        <w:keepNext/>
        <w:pStyle w:val="Para 09"/>
        <w:keepLines w:val="on"/>
      </w:pPr>
      <w:r>
        <w:t>Giá trị của tài sản=E(Dòng tiền1)(1+r)1+E(Dòng tiền2)(1+r)2+⋯+E(Dòng tiềnn)(1+r)n</w:t>
      </w:r>
      <w:bookmarkEnd w:id="105"/>
    </w:p>
    <w:p>
      <w:bookmarkStart w:id="106" w:name="wheren_Life_of_the_assetE_Cash_f"/>
      <w:pPr>
        <w:pStyle w:val="Para 39"/>
      </w:pPr>
      <w:r>
        <w:t>trong đón=Thời gian tồn tại của tài sảnE(Dòng tiềnt)=Dòng tiền kỳ vọng trong kỳ trc=Tỷ lệ chiết khấu phản ánh mức rủi ro của các dòng tiền ước tính</w:t>
      </w:r>
      <w:bookmarkEnd w:id="106"/>
    </w:p>
    <w:p>
      <w:pPr>
        <w:pStyle w:val="Para 03"/>
      </w:pPr>
      <w:r>
        <w:t>Dòng tiền sẽ khác nhau tùy theo từng tài sản—cổ tức đối với cổ phiếu, lãi coupon (lãi suất) và mệnh giá đối với trái phiếu, và dòng tiền sau thuế đối với một dự án. Tỷ lệ chiết khấu sẽ phụ thuộc vào mức rủi ro của các dòng tiền ước tính, với tỷ lệ cao hơn cho tài sản rủi ro hơn và tỷ lệ thấp hơn cho dự án an toàn hơn.</w:t>
      </w:r>
    </w:p>
    <w:p>
      <w:pPr>
        <w:pStyle w:val="Para 03"/>
      </w:pPr>
      <w:r>
        <w:t>Bạn có thể hình dung chiết khấu dòng tiền như một dải liên tục. Ở một đầu của dải này là trái phiếu không coupon không có rủi ro vỡ nợ (default-free zero coupon bond), với dòng tiền được đảm bảo trong tương lai. Chiết khấu dòng tiền này theo lãi suất phi rủi ro sẽ cho ra giá trị của trái phiếu. Nhích lên một chút trên dải rủi ro là trái phiếu doanh nghiệp, nơi dòng tiền có dạng lãi coupon và có rủi ro vỡ nợ. Những trái phiếu này có thể được định giá bằng cách chiết khấu dòng tiền theo một lãi suất phản ánh rủi ro vỡ nợ. Tiến lên cao hơn trên nấc thang rủi ro, ta đến với cổ phần của các công ty niêm yết hoặc doanh nghiệp tư nhân, nơi có những dòng tiền kỳ vọng với mức độ bất định đáng kể xung quanh các kỳ vọng đó. Giá trị ở đây sẽ là giá trị hiện tại của dòng tiền kỳ vọng, chiết khấu theo một tỷ lệ phản ánh mức bất định của các dòng tiền kỳ vọng.</w:t>
      </w:r>
    </w:p>
    <w:p>
      <w:bookmarkStart w:id="107" w:name="Underpinnings_of_Discounted_Cash"/>
      <w:bookmarkStart w:id="108" w:name="Underpinnings_of_Discounted_Cash_1"/>
      <w:pPr>
        <w:keepNext/>
        <w:pStyle w:val="Heading 3"/>
        <w:keepLines w:val="on"/>
      </w:pPr>
      <w:r>
        <w:t>Nền tảng của chiết khấu dòng tiền</w:t>
      </w:r>
      <w:bookmarkEnd w:id="107"/>
      <w:bookmarkEnd w:id="108"/>
    </w:p>
    <w:p>
      <w:pPr>
        <w:pStyle w:val="Para 03"/>
      </w:pPr>
      <w:r>
        <w:t>Trong chiết khấu dòng tiền, chúng ta cố gắng ước tính giá trị nội tại của một tài sản dựa trên những yếu tố cơ bản của nó. Vậy giá trị nội tại là gì? Vì không có định nghĩa nào hay hơn, hãy coi đó là giá trị mà một nhà phân tích khách quan sẽ gán cho doanh nghiệp, người không chỉ ước tính đúng dòng tiền kỳ vọng của doanh nghiệp dựa trên thông tin có sẵn tại thời điểm đó, mà còn gán đúng tỷ lệ chiết khấu để định giá những dòng tiền này. Dù việc ước tính giá trị nội tại có vẻ là một nhiệm vụ vô vọng, đặc biệt khi định giá những công ty non trẻ với mức bất định lớn về tương lai, thì việc đưa ra những ước tính tốt nhất có thể và kiên trì ước tính giá trị vẫn có thể mang lại kết quả, bởi vì thị trường vẫn mắc sai lầm. Mặc dù giá thị trường có thể lệch khỏi giá trị nội tại (được ước tính dựa trên các yếu tố cơ bản), bạn vẫn hy vọng rằng hai giá trị này sẽ hội tụ với nhau sớm hơn là muộn.</w:t>
      </w:r>
    </w:p>
    <w:p>
      <w:bookmarkStart w:id="109" w:name="Categorizing_Discounted_Cash_Flo"/>
      <w:bookmarkStart w:id="110" w:name="Categorizing_Discounted_Cash_Flo_1"/>
      <w:pPr>
        <w:keepNext/>
        <w:pStyle w:val="Heading 3"/>
        <w:keepLines w:val="on"/>
      </w:pPr>
      <w:r>
        <w:t>Phân loại các Mô hình Dòng tiền Chiết khấu</w:t>
      </w:r>
      <w:bookmarkEnd w:id="109"/>
      <w:bookmarkEnd w:id="110"/>
    </w:p>
    <w:p>
      <w:pPr>
        <w:pStyle w:val="Para 03"/>
      </w:pPr>
      <w:r>
        <w:t>Thực tế có hàng ngàn mô hình dòng tiền chiết khấu (discounted cash flow) đang tồn tại. Các ngân hàng đầu tư hay công ty tư vấn thường tuyên bố rằng mô hình định giá của họ tốt hơn hoặc tinh vi hơn so với các mô hình mà đối thủ cùng thời sử dụng. Tuy nhiên, suy cho cùng, các mô hình dòng tiền chiết khấu chỉ có thể khác nhau ở một vài khía cạnh mà thôi.</w:t>
      </w:r>
    </w:p>
    <w:p>
      <w:bookmarkStart w:id="111" w:name="Equity_Valuation_and_Firm_Valuat_1"/>
      <w:bookmarkStart w:id="112" w:name="Equity_Valuation_and_Firm_Valuat"/>
      <w:pPr>
        <w:keepNext/>
        <w:pStyle w:val="Heading 4"/>
        <w:keepLines w:val="on"/>
      </w:pPr>
      <w:r>
        <w:t>Định giá Vốn chủ sở hữu và Định giá Doanh nghiệp</w:t>
      </w:r>
      <w:bookmarkEnd w:id="111"/>
      <w:bookmarkEnd w:id="112"/>
    </w:p>
    <w:p>
      <w:pPr>
        <w:pStyle w:val="Para 03"/>
      </w:pPr>
      <w:r>
        <w:t>Có hai con đường để định giá một doanh nghiệp: Cách thứ nhất là chỉ định giá phần vốn chủ sở hữu (equity stake) trong doanh nghiệp, còn cách thứ hai là định giá toàn bộ doanh nghiệp, bao gồm — ngoài vốn chủ sở hữu — cả những chủ thể nắm quyền đòi khác trong công ty (trái chủ, cổ đông ưu đãi). Dù cả hai cách tiếp cận đều chiết khấu dòng tiền kỳ vọng, nhưng dòng tiền liên quan và tỷ lệ chiết khấu lại khác nhau ở mỗi cách. Hình 2.1 nắm bắt được bản chất của hai cách tiếp cận này.</w:t>
      </w:r>
    </w:p>
    <w:p>
      <w:bookmarkStart w:id="115" w:name="Figure_2_1_Equity_versus_Firm_V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81200" cy="1866900"/>
            <wp:effectExtent l="0" r="0" t="0" b="0"/>
            <wp:wrapTopAndBottom/>
            <wp:docPr id="4" name="c02f001.png" descr="Illustration depicts that the relevant cash flows and discount rates are different under equity versus firm valuation."/>
            <wp:cNvGraphicFramePr>
              <a:graphicFrameLocks noChangeAspect="1"/>
            </wp:cNvGraphicFramePr>
            <a:graphic>
              <a:graphicData uri="http://schemas.openxmlformats.org/drawingml/2006/picture">
                <pic:pic>
                  <pic:nvPicPr>
                    <pic:cNvPr id="0" name="c02f001.png" descr="Illustration depicts that the relevant cash flows and discount rates are different under equity versus firm valuation."/>
                    <pic:cNvPicPr/>
                  </pic:nvPicPr>
                  <pic:blipFill>
                    <a:blip r:embed="rId8"/>
                    <a:stretch>
                      <a:fillRect/>
                    </a:stretch>
                  </pic:blipFill>
                  <pic:spPr>
                    <a:xfrm>
                      <a:off x="0" y="0"/>
                      <a:ext cx="1981200" cy="1866900"/>
                    </a:xfrm>
                    <a:prstGeom prst="rect">
                      <a:avLst/>
                    </a:prstGeom>
                  </pic:spPr>
                </pic:pic>
              </a:graphicData>
            </a:graphic>
          </wp:anchor>
        </w:drawing>
      </w:r>
      <w:bookmarkEnd w:id="115"/>
    </w:p>
    <w:p>
      <w:pPr>
        <w:keepNext/>
        <w:pStyle w:val="Para 22"/>
        <w:keepLines w:val="on"/>
      </w:pPr>
      <w:r>
        <w:t>Hình 2.1 Vốn chủ sở hữu so với Định giá Doanh nghiệp</w:t>
      </w:r>
    </w:p>
    <w:p>
      <w:pPr>
        <w:pStyle w:val="Para 03"/>
      </w:pPr>
      <w:r>
        <w:t>Giá trị vốn chủ sở hữu có được bằng cách chiết khấu dòng tiền kỳ vọng thuộc về vốn chủ sở hữu (tức là dòng tiền còn lại sau khi đã trừ đi mọi chi phí, nhu cầu tái đầu tư, nghĩa vụ thuế và dòng tiền liên quan đến nợ) theo chi phí vốn chủ sở hữu (cost of equity) (tức là tỷ suất sinh lợi mà các nhà đầu tư vốn chủ sở hữu trong công ty yêu cầu).</w:t>
      </w:r>
    </w:p>
    <w:p>
      <w:bookmarkStart w:id="116" w:name="Value_of_Equity____t_1t____E_CF"/>
      <w:pPr>
        <w:keepNext/>
        <w:pStyle w:val="Para 09"/>
        <w:keepLines w:val="on"/>
      </w:pPr>
      <w:r>
        <w:t>Giá trị Vốn chủ sở hữu=∑t=1t=∞E(CF to Equityt)(1+ke)t</w:t>
      </w:r>
      <w:bookmarkEnd w:id="116"/>
    </w:p>
    <w:p>
      <w:bookmarkStart w:id="117" w:name="wheren_Life_of_the_assetCF_to_Eq"/>
      <w:pPr>
        <w:pStyle w:val="Para 39"/>
      </w:pPr>
      <w:r>
        <w:t>trong đón=Thời gian tồn tại của tài sảnCF to Equityt=Dòng tiền kỳ vọng thuộc về vốn chủ sở hữu trong kỳ tke=Chi phí vốn chủ sở hữu</w:t>
      </w:r>
      <w:bookmarkEnd w:id="117"/>
    </w:p>
    <w:p>
      <w:pPr>
        <w:pStyle w:val="Para 03"/>
      </w:pPr>
      <w:r>
        <w:t>Mô hình chiết khấu cổ tức (dividend discount model) là một trường hợp đặc biệt của định giá vốn chủ sở hữu, trong đó giá trị vốn chủ sở hữu chính là giá trị hiện tại của cổ tức kỳ vọng trong tương lai.</w:t>
      </w:r>
    </w:p>
    <w:p>
      <w:pPr>
        <w:pStyle w:val="Para 03"/>
      </w:pPr>
      <w:r>
        <w:t>Giá trị doanh nghiệp có được bằng cách chiết khấu dòng tiền kỳ vọng thuộc về doanh nghiệp (tức là dòng tiền còn lại sau khi đã trừ đi mọi chi phí hoạt động, nhu cầu tái đầu tư và thuế, nhưng trước khi thực hiện bất kỳ khoản thanh toán nào cho chủ nợ hay cổ đông) theo chi phí vốn bình quân gia quyền (weighted average cost of capital – kc), tức là chi phí của các thành phần tài trợ khác nhau mà doanh nghiệp sử dụng, được gia quyền theo tỷ trọng giá trị thị trường của chúng.</w:t>
      </w:r>
    </w:p>
    <w:p>
      <w:bookmarkStart w:id="119" w:name="Value_of_Firm__Business_____t_1t"/>
      <w:pPr>
        <w:keepNext/>
        <w:pStyle w:val="Para 09"/>
        <w:keepLines w:val="on"/>
      </w:pPr>
      <w:r>
        <w:t>Giá trị Doanh nghiệp (Kinh doanh)=∑t=1t=∞E(CF to Firmt)(1+kc)t</w:t>
      </w:r>
      <w:bookmarkEnd w:id="119"/>
    </w:p>
    <w:p>
      <w:bookmarkStart w:id="120" w:name="wheren_Life_of_the_assetCF_to_fi"/>
      <w:pPr>
        <w:pStyle w:val="Para 39"/>
      </w:pPr>
      <w:r>
        <w:t>trong đón=Thời gian tồn tại của tài sảnCF to firmt=Dòng tiền kỳ vọng thuộc về doanh nghiệp trong kỳ tkc=Chi phí vốn bình quân gia quyền</w:t>
      </w:r>
      <w:bookmarkEnd w:id="120"/>
    </w:p>
    <w:p>
      <w:pPr>
        <w:pStyle w:val="Para 03"/>
      </w:pPr>
      <w:r>
        <w:t>Dù hai cách tiếp cận này dùng những định nghĩa khác nhau về dòng tiền và tỷ lệ chiết khấu, chúng vẫn sẽ cho ra cùng một ước tính giá trị vốn chủ sở hữu miễn là bạn nhất quán trong các giả định khi định giá. Lỗi then chốt cần tránh là ghép cặp sai giữa dòng tiền và tỷ lệ chiết khấu, bởi vì chiết khấu dòng tiền thuộc về vốn chủ sở hữu theo chi phí vốn sẽ dẫn đến ước tính giá trị vốn chủ sở hữu bị thiên lệch lên cao, trong khi chiết khấu dòng tiền thuộc về doanh nghiệp theo chi phí vốn chủ sở hữu sẽ cho ra ước tính giá trị doanh nghiệp bị thiên lệch xuống thấp. Minh họa 2.1 cho thấy sự tương đương giữa định giá vốn chủ sở hữu và định giá doanh nghiệp.</w:t>
      </w:r>
    </w:p>
    <w:p>
      <w:pPr>
        <w:pStyle w:val="Para 11"/>
      </w:pPr>
      <w:r>
        <w:t xml:space="preserve"> </w:t>
      </w:r>
    </w:p>
    <w:p>
      <w:bookmarkStart w:id="121" w:name="ILLUSTRATION_2_1__Effects_of_Mis_1"/>
      <w:bookmarkStart w:id="122" w:name="ILLUSTRATION_2_1__Effects_of_Mis"/>
      <w:pPr>
        <w:keepNext/>
        <w:pStyle w:val="Para 19"/>
        <w:keepLines w:val="on"/>
      </w:pPr>
      <w:r>
        <w:t>MINH HỌA 2.1: Ảnh hưởng của việc Ghép cặp Sai giữa Dòng tiền và Tỷ lệ Chiết khấu</w:t>
      </w:r>
      <w:bookmarkEnd w:id="121"/>
      <w:bookmarkEnd w:id="122"/>
    </w:p>
    <w:p>
      <w:pPr>
        <w:pStyle w:val="Para 04"/>
        <w:keepLines w:val="on"/>
      </w:pPr>
      <w:r>
        <w:t>Giả sử bạn đang phân tích một công ty với các dòng tiền sau đây trong năm năm tới. Cũng giả sử rằng chi phí vốn chủ sở hữu là 13,625%, và doanh nghiệp có thể vay dài hạn với lãi suất 10%. (Thuế suất của doanh nghiệp là 50%.) Giá trị thị trường hiện tại của vốn chủ sở hữu là $1.073, và giá trị nợ chưa thanh toán là $800. Bảng 2.1 tóm tắt dòng tiền thuộc về vốn chủ sở hữu và doanh nghiệp trong năm năm tới, kèm theo giá trị cuối kỳ (terminal value) cho cả hai.1</w:t>
      </w:r>
    </w:p>
    <w:p>
      <w:pPr>
        <w:pStyle w:val="Para 25"/>
        <w:keepLines w:val="on"/>
      </w:pPr>
      <w:r>
        <w:t>Bảng 2.1</w:t>
      </w:r>
    </w:p>
    <w:p>
      <w:pPr>
        <w:keepNext/>
        <w:pStyle w:val="Para 24"/>
        <w:keepLines w:val="on"/>
      </w:pPr>
      <w:r>
        <w:t>Dòng tiền thuộc về Vốn chủ sở hữu và Doanh nghiệp</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Dòng tiền thuộc về Vốn chủ sở hữu</w:t>
                  </w:r>
                </w:p>
              </w:tc>
              <w:tc>
                <w:tcPr>
                  <w:tcW w:type="auto" w:w="0"/>
                  <w:shd w:val="clear" w:color="auto" w:fill="F0F0F0"/>
                </w:tcPr>
                <w:p>
                  <w:pPr>
                    <w:pStyle w:val="Para 05"/>
                    <w:keepLines w:val="on"/>
                  </w:pPr>
                  <w:r>
                    <w:t>Lãi vay (1−t)</w:t>
                  </w:r>
                </w:p>
              </w:tc>
              <w:tc>
                <w:tcPr>
                  <w:tcW w:type="auto" w:w="0"/>
                  <w:shd w:val="clear" w:color="auto" w:fill="F0F0F0"/>
                </w:tcPr>
                <w:p>
                  <w:pPr>
                    <w:pStyle w:val="Para 05"/>
                    <w:keepLines w:val="on"/>
                  </w:pPr>
                  <w:r>
                    <w:t>Dòng tiền thuộc về Doanh nghiệp</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$90,00</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$60,00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$100,00</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$68,00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$108,00</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$76,20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$116,20</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$83,49</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$123,49</w:t>
                  </w:r>
                </w:p>
              </w:tc>
            </w:tr>
            <w:tr>
              <w:tc>
                <w:tcPr>
                  <w:tcW w:type="auto" w:w="0"/>
                  <w:shd w:val="clear" w:color="auto" w:fill="F0F0F0"/>
                </w:tcPr>
                <w:p>
                  <w:pPr>
                    <w:pStyle w:val="Normal"/>
                    <w:keepLines w:val="on"/>
                  </w:pPr>
                  <w:r>
                    <w:t>Giá trị cuối kỳ (Terminal Value)</w:t>
                  </w:r>
                </w:p>
              </w:tc>
              <w:tc>
                <w:tcPr>
                  <w:tcW w:type="auto" w:w="0"/>
                  <w:shd w:val="clear" w:color="auto" w:fill="F0F0F0"/>
                </w:tcPr>
                <w:p>
                  <w:pPr>
                    <w:pStyle w:val="Normal"/>
                    <w:keepLines w:val="on"/>
                  </w:pPr>
                  <w:r>
                    <w:t>$1603,008</w:t>
                  </w:r>
                </w:p>
              </w:tc>
              <w:tc>
                <w:tcPr>
                  <w:tcW w:type="auto" w:w="0"/>
                  <w:shd w:val="clear" w:color="auto" w:fill="F0F0F0"/>
                </w:tcPr>
                <w:p>
                  <w:pPr>
                    <w:pStyle w:val="Normal"/>
                    <w:keepLines w:val="on"/>
                  </w:pPr>
                  <w:r>
                    <w:t/>
                  </w:r>
                </w:p>
              </w:tc>
              <w:tc>
                <w:tcPr>
                  <w:tcW w:type="auto" w:w="0"/>
                  <w:shd w:val="clear" w:color="auto" w:fill="F0F0F0"/>
                </w:tcPr>
                <w:p>
                  <w:pPr>
                    <w:pStyle w:val="Normal"/>
                    <w:keepLines w:val="on"/>
                  </w:pPr>
                  <w:r>
                    <w:t>$2363,008</w:t>
                  </w:r>
                </w:p>
              </w:tc>
            </w:tr>
          </w:tbl>
          <w:p/>
        </w:tc>
      </w:tr>
    </w:tbl>
    <w:p>
      <w:pPr>
        <w:pStyle w:val="Para 04"/>
        <w:keepLines w:val="on"/>
      </w:pPr>
      <w:r>
        <w:t>Chi phí vốn chủ sở hữu (cost of equity) được cho sẵn là 13,625%, và chi phí nợ sau thuế (after-tax cost of debt) là 5%:</w:t>
      </w:r>
    </w:p>
    <w:p>
      <w:bookmarkStart w:id="126" w:name="Cost_of_Debt_Pre_tax_cost_of_deb"/>
      <w:pPr>
        <w:keepNext/>
        <w:pStyle w:val="Para 07"/>
        <w:keepLines w:val="on"/>
      </w:pPr>
      <w:r>
        <w:t>Chi phí nợ (Cost of Debt) = Chi phí nợ trước thuế × (1 - thuế suất) = 10% × (1 - 0,5) = 5%</w:t>
      </w:r>
      <w:bookmarkEnd w:id="126"/>
    </w:p>
    <w:p>
      <w:pPr>
        <w:pStyle w:val="Para 04"/>
        <w:keepLines w:val="on"/>
      </w:pPr>
      <w:r>
        <w:t>Dựa trên giá trị thị trường của vốn chủ sở hữu và nợ, chúng ta có thể ước tính chi phí vốn (cost of capital):</w:t>
      </w:r>
    </w:p>
    <w:p>
      <w:bookmarkStart w:id="127" w:name="WACC_CostofEquity_Equity__Debt_E"/>
      <w:pPr>
        <w:keepNext/>
        <w:pStyle w:val="Para 07"/>
        <w:keepLines w:val="on"/>
      </w:pPr>
      <w:r>
        <w:t>WACC = Chi phí vốn chủ sở hữu × [Vốn chủ sở hữu / (Nợ + Vốn chủ sở hữu)] + Chi phí nợ × [Nợ / (Nợ + Vốn chủ sở hữu)] = 13,625% × (1073/1873) + 5% × (800/1873) = 9,94%</w:t>
      </w:r>
      <w:bookmarkEnd w:id="127"/>
    </w:p>
    <w:p>
      <w:pPr>
        <w:pStyle w:val="Para 40"/>
        <w:keepLines w:val="on"/>
      </w:pPr>
      <w:r>
        <w:rPr>
          <w:rStyle w:val="Text26"/>
        </w:rPr>
        <w:bookmarkStart w:id="128" w:name="Page_17"/>
        <w:t/>
        <w:bookmarkEnd w:id="128"/>
      </w:r>
      <w:r>
        <w:t xml:space="preserve"> </w:t>
      </w:r>
    </w:p>
    <w:p>
      <w:bookmarkStart w:id="129" w:name="Method_1__Discount_Cash_Flows_to_1"/>
      <w:bookmarkStart w:id="130" w:name="Method_1__Discount_Cash_Flows_to"/>
      <w:pPr>
        <w:keepNext/>
        <w:pStyle w:val="Para 36"/>
        <w:keepLines w:val="on"/>
      </w:pPr>
      <w:r>
        <w:t>Phương pháp 1: Chiết khấu dòng tiền cho vốn chủ sở hữu theo chi phí vốn chủ sở hữu để tính giá trị vốn chủ sở hữu</w:t>
      </w:r>
      <w:bookmarkEnd w:id="129"/>
      <w:bookmarkEnd w:id="130"/>
    </w:p>
    <w:p>
      <w:pPr>
        <w:pStyle w:val="Para 04"/>
        <w:keepLines w:val="on"/>
      </w:pPr>
      <w:r>
        <w:t>Chúng ta chiết khấu dòng tiền cho vốn chủ sở hữu theo chi phí vốn chủ sở hữu:</w:t>
      </w:r>
    </w:p>
    <w:p>
      <w:bookmarkStart w:id="131" w:name="PVofEquity_50_1_13625_60_1_13625"/>
      <w:pPr>
        <w:keepNext/>
        <w:pStyle w:val="Para 07"/>
        <w:keepLines w:val="on"/>
      </w:pPr>
      <w:r>
        <w:t>PV của Vốn chủ sở hữu = 50/1.13625 + 60/1.136252 + 68/1.136253 + 76.2/1.136254 + (83.49+1603)/1.136255 = $1073</w:t>
      </w:r>
      <w:bookmarkEnd w:id="131"/>
    </w:p>
    <w:p>
      <w:bookmarkStart w:id="132" w:name="Method_2__Discount_Cash_Flows_to_1"/>
      <w:bookmarkStart w:id="133" w:name="Method_2__Discount_Cash_Flows_to"/>
      <w:pPr>
        <w:keepNext/>
        <w:pStyle w:val="Para 36"/>
        <w:keepLines w:val="on"/>
      </w:pPr>
      <w:r>
        <w:t>Phương pháp 2: Chiết khấu Dòng tiền về Doanh nghiệp theo Chi phí Vốn để Tính Giá trị Doanh nghiệp</w:t>
      </w:r>
      <w:bookmarkEnd w:id="132"/>
      <w:bookmarkEnd w:id="133"/>
    </w:p>
    <w:p>
      <w:bookmarkStart w:id="134" w:name="PVofFirm_90_1_0994_100_1_09942_1"/>
      <w:pPr>
        <w:keepNext/>
        <w:pStyle w:val="Para 07"/>
        <w:keepLines w:val="on"/>
      </w:pPr>
      <w:r>
        <w:t>PV của Doanh nghiệp = 90/1.0994 + 100/1.09942 + 108/1.09943 + 116.2/1.09944 + (123.49+2363)/1.09945 = $1873</w:t>
      </w:r>
      <w:bookmarkEnd w:id="134"/>
    </w:p>
    <w:p>
      <w:bookmarkStart w:id="135" w:name="PV_of_Equity_PV_of_Firm___Market"/>
      <w:pPr>
        <w:keepNext/>
        <w:pStyle w:val="Para 07"/>
        <w:keepLines w:val="on"/>
      </w:pPr>
      <w:r>
        <w:t>PV của Vốn chủ sở hữu = PV của Doanh nghiệp − Giá trị Thị trường của Nợ = $1873 − $800 = $1,073</w:t>
      </w:r>
      <w:bookmarkEnd w:id="135"/>
    </w:p>
    <w:p>
      <w:pPr>
        <w:pStyle w:val="Para 04"/>
        <w:keepLines w:val="on"/>
      </w:pPr>
      <w:r>
        <w:t>Lưu ý rằng giá trị vốn chủ sở hữu là $1,073 theo cả hai cách tiếp cận. Rất dễ mắc sai lầm khi chiết khấu dòng tiền về vốn chủ sở hữu theo chi phí vốn, hoặc chiết khấu dòng tiền về doanh nghiệp theo chi phí vốn chủ sở hữu.</w:t>
      </w:r>
    </w:p>
    <w:p>
      <w:bookmarkStart w:id="136" w:name="Error_1__Discount_Cash_Flows_to"/>
      <w:bookmarkStart w:id="137" w:name="Error_1__Discount_Cash_Flows_to_1"/>
      <w:pPr>
        <w:keepNext/>
        <w:pStyle w:val="Para 36"/>
        <w:keepLines w:val="on"/>
      </w:pPr>
      <w:r>
        <w:t>Lỗi 1: Chiết khấu Dòng tiền về Vốn chủ sở hữu theo Chi phí Vốn dẫn đến Giá trị Vốn chủ sở hữu Quá cao</w:t>
      </w:r>
      <w:bookmarkEnd w:id="136"/>
      <w:bookmarkEnd w:id="137"/>
    </w:p>
    <w:p>
      <w:bookmarkStart w:id="138" w:name="PVofEquity_50_1_0994_60_1_09942"/>
      <w:pPr>
        <w:keepNext/>
        <w:pStyle w:val="Para 07"/>
        <w:keepLines w:val="on"/>
      </w:pPr>
      <w:r>
        <w:t>PV của Vốn chủ sở hữu = 50/1.0994 + 60/1.09942 + 68/1.09943 + 76.2/1.09944 + (83.49+1603)/1.09945 = $1248</w:t>
      </w:r>
      <w:bookmarkEnd w:id="138"/>
    </w:p>
    <w:p>
      <w:bookmarkStart w:id="139" w:name="Error_2__Discount_Cash_Flows_to"/>
      <w:bookmarkStart w:id="140" w:name="Error_2__Discount_Cash_Flows_to_1"/>
      <w:pPr>
        <w:keepNext/>
        <w:pStyle w:val="Para 36"/>
        <w:keepLines w:val="on"/>
      </w:pPr>
      <w:r>
        <w:t>Lỗi 2: Chiết khấu Dòng tiền về Doanh nghiệp theo Chi phí Vốn chủ sở hữu dẫn đến Giá trị Doanh nghiệp Quá thấp</w:t>
      </w:r>
      <w:bookmarkEnd w:id="139"/>
      <w:bookmarkEnd w:id="140"/>
    </w:p>
    <w:p>
      <w:bookmarkStart w:id="141" w:name="PVofFirm_90_1_13625_100_1_136252"/>
      <w:pPr>
        <w:keepNext/>
        <w:pStyle w:val="Para 07"/>
        <w:keepLines w:val="on"/>
      </w:pPr>
      <w:r>
        <w:t>PV của Doanh nghiệp = 90/1.13625 + 100/1.136252 + 108/1.136253 + 116.2/1.136254 + (123.49+2363)/1.136255 = $1613</w:t>
      </w:r>
      <w:bookmarkEnd w:id="141"/>
    </w:p>
    <w:p>
      <w:bookmarkStart w:id="142" w:name="PV_of_Equity_PV_of_Firm_Market_V"/>
      <w:pPr>
        <w:keepNext/>
        <w:pStyle w:val="Para 07"/>
        <w:keepLines w:val="on"/>
      </w:pPr>
      <w:r>
        <w:t>PV của Vốn chủ sở hữu = PV của Doanh nghiệp - Giá trị Thị trường của Nợ = $1613 - $800 = $813</w:t>
      </w:r>
      <w:bookmarkEnd w:id="142"/>
    </w:p>
    <w:p>
      <w:pPr>
        <w:pStyle w:val="Para 04"/>
        <w:keepLines w:val="on"/>
      </w:pPr>
      <w:r>
        <w:t>Tác động của việc sử dụng sai tỷ lệ chiết khấu được thể hiện rõ ràng trong hai phép tính cuối cùng (Lỗi 1 và Lỗi 2). Khi chi phí vốn bị sử dụng nhầm để chiết khấu dòng tiền về vốn chủ sở hữu, giá trị vốn chủ sở hữu tăng thêm $175 so với giá trị thực của nó ($1,073). Khi dòng tiền về doanh nghiệp bị chiết khấu sai theo chi phí vốn chủ sở hữu, giá trị doanh nghiệp bị đánh giá thấp đi $260. Tuy nhiên, cần phải chỉ ra rằng, việc làm cho giá trị vốn chủ sở hữu khớp nhau giữa cách tiếp cận định giá doanh nghiệp và định giá vốn chủ sở hữu có thể khó khăn hơn nhiều trong thực tế so với ví dụ này. Chúng ta sẽ quay lại chủ đề này trong Chương 14 và 15 và xem xét những giả định mà chúng ta cần đưa ra để đạt được kết quả này.</w:t>
      </w:r>
    </w:p>
    <w:p>
      <w:bookmarkStart w:id="143" w:name="Cost_of_Capital_Versus_APV_Appro"/>
      <w:bookmarkStart w:id="144" w:name="Cost_of_Capital_Versus_APV_Appro_1"/>
      <w:pPr>
        <w:keepNext/>
        <w:pStyle w:val="Heading 4"/>
        <w:keepLines w:val="on"/>
      </w:pPr>
      <w:r>
        <w:t>Cách tiếp cận Chi phí Vốn so với APV</w:t>
      </w:r>
      <w:bookmarkEnd w:id="143"/>
      <w:bookmarkEnd w:id="144"/>
    </w:p>
    <w:p>
      <w:pPr>
        <w:pStyle w:val="Para 03"/>
      </w:pPr>
      <w:r>
        <w:t>Trong Hình 2.1, chúng ta đã lưu ý rằng một doanh nghiệp có thể tài trợ cho hoạt động kinh doanh của mình bằng vốn chủ sở hữu hoặc nợ. Vậy tác động của việc sử dụng nợ lên giá trị là gì? Về mặt tích cực, việc khấu trừ thuế cho chi phí lãi vay mang lại một khoản trợ cấp thuế hay lợi ích cho doanh nghiệp, và lợi ích này tăng lên theo thuế suất mà doanh nghiệp phải chịu trên thu nhập của mình. Về mặt tiêu cực, nợ làm tăng khả năng doanh nghiệp sẽ vỡ nợ các cam kết của mình và buộc phải phá sản. Tác động ròng có thể là tích cực, trung tính hoặc tiêu cực. Trong cách tiếp cận chi phí vốn, chúng ta nắm bắt các tác động của nợ thông qua tỷ lệ chiết khấu:</w:t>
      </w:r>
    </w:p>
    <w:p>
      <w:bookmarkStart w:id="145" w:name="Cost_of_capital_Cost_of_equity"/>
      <w:pPr>
        <w:keepNext/>
        <w:pStyle w:val="Para 09"/>
        <w:keepLines w:val="on"/>
      </w:pPr>
      <w:r>
        <w:t>Chi phí vốn = Chi phí vốn chủ sở hữu (Tỷ lệ vốn chủ sở hữu được dùng để tài trợ hoạt động kinh doanh) + Chi phí nợ trước thuế (1−thuế suất)(Tỷ lệ nợ được dùng để tài trợ hoạt động kinh doanh)</w:t>
      </w:r>
      <w:bookmarkEnd w:id="145"/>
    </w:p>
    <w:p>
      <w:pPr>
        <w:pStyle w:val="Para 20"/>
      </w:pPr>
      <w:r>
        <w:rPr>
          <w:rStyle w:val="Text26"/>
        </w:rPr>
        <w:bookmarkStart w:id="146" w:name="Page_18"/>
        <w:t/>
        <w:bookmarkEnd w:id="146"/>
      </w:r>
      <w:r>
        <w:t xml:space="preserve"> </w:t>
      </w:r>
    </w:p>
    <w:p>
      <w:pPr>
        <w:pStyle w:val="Para 03"/>
      </w:pPr>
      <w:r>
        <w:t>Do đó, nếu lợi ích thuế của nợ vượt quá tác động của nó lên chi phí phá sản, việc sử dụng nhiều nợ hơn sẽ làm giảm chi phí vốn. Các dòng tiền được chiết khấu là dòng tiền trước nợ và không bao gồm bất kỳ lợi ích thuế nào của nợ (vì điều đó sẽ là tính trùng).</w:t>
      </w:r>
    </w:p>
    <w:p>
      <w:pPr>
        <w:pStyle w:val="Para 03"/>
      </w:pPr>
      <w:r>
        <w:t>Trong một biến thể, được gọi là cách tiếp cận giá trị hiện tại điều chỉnh (adjusted present value – APV), chúng ta tách biệt các tác động lên giá trị của việc tài trợ bằng nợ khỏi giá trị tài sản của doanh nghiệp. Theo đó, chúng ta bắt đầu bằng việc định giá doanh nghiệp như thể nó được tài trợ hoàn toàn bằng vốn chủ sở hữu và đánh giá tác động của nợ một cách riêng biệt, bằng cách trước tiên định giá lợi ích thuế từ nợ và sau đó trừ đi chi phí phá sản kỳ vọng.</w:t>
      </w:r>
    </w:p>
    <w:p>
      <w:bookmarkStart w:id="147" w:name="Value_of_business_Value_of_busin"/>
      <w:pPr>
        <w:keepNext/>
        <w:pStyle w:val="Para 09"/>
        <w:keepLines w:val="on"/>
      </w:pPr>
      <w:r>
        <w:t>Giá trị doanh nghiệp = Giá trị doanh nghiệp với 100% tài trợ bằng vốn chủ sở hữu + Giá trị hiện tại của lợi ích thuế kỳ vọng từ nợ − Chi phí phá sản kỳ vọng</w:t>
      </w:r>
      <w:bookmarkEnd w:id="147"/>
    </w:p>
    <w:p>
      <w:pPr>
        <w:pStyle w:val="Para 03"/>
      </w:pPr>
      <w:r>
        <w:t>Trong khi hai cách tiếp cận này có hướng đi khác nhau để đánh giá giá trị được tạo thêm hoặc bị phá hủy bởi nợ, chúng sẽ đưa ra cùng một ước tính giá trị, nếu chúng ta nhất quán trong các giả định về dòng tiền và rủi ro. Trong Chương 15, chúng ta sẽ quay lại xem xét các cách tiếp cận này một cách chi tiết hơn.</w:t>
      </w:r>
    </w:p>
    <w:p>
      <w:bookmarkStart w:id="148" w:name="Total_Cash_Flow_versus_Excess_Ca_1"/>
      <w:bookmarkStart w:id="149" w:name="Total_Cash_Flow_versus_Excess_Ca"/>
      <w:pPr>
        <w:keepNext/>
        <w:pStyle w:val="Heading 4"/>
        <w:keepLines w:val="on"/>
      </w:pPr>
      <w:r>
        <w:t>Mô hình Tổng Dòng tiền so với Mô hình Dòng tiền Vượt trội</w:t>
      </w:r>
      <w:bookmarkEnd w:id="148"/>
      <w:bookmarkEnd w:id="149"/>
    </w:p>
    <w:p>
      <w:pPr>
        <w:pStyle w:val="Para 03"/>
      </w:pPr>
      <w:r>
        <w:t>Mô hình chiết khấu dòng tiền thông thường định giá một tài sản bằng cách ước tính giá trị hiện tại của tất cả các dòng tiền mà tài sản đó tạo ra theo tỷ lệ chiết khấu phù hợp. Trong các mô hình lợi nhuận vượt trội (và dòng tiền vượt trội), chỉ những dòng tiền kiếm được vượt quá mức lợi nhuận yêu cầu mới được coi là tạo ra giá trị, và giá trị hiện tại của những dòng tiền vượt trội này có thể được cộng vào số tiền đã đầu tư vào tài sản để ước tính giá trị của nó. Để minh họa, giả sử bạn có một tài sản mà bạn đã đầu tư $100 triệu và bạn kỳ vọng tạo ra $12 triệu dòng tiền sau thuế vĩnh viễn. Giả sử thêm rằng chi phí vốn cho khoản đầu tư này là 10 phần trăm. Với mô hình tổng dòng tiền, giá trị của tài sản này có thể được ước tính như sau:</w:t>
      </w:r>
    </w:p>
    <w:p>
      <w:bookmarkStart w:id="150" w:name="Value_of_asset_Expected_cash_flo"/>
      <w:pPr>
        <w:keepNext/>
        <w:pStyle w:val="Para 09"/>
        <w:keepLines w:val="on"/>
      </w:pPr>
      <w:r>
        <w:t>Giá trị tài sản = Dòng tiền kỳ vọng / Chi phí vốn = $12 triệu / .10 = $120 triệu</w:t>
      </w:r>
      <w:bookmarkEnd w:id="150"/>
    </w:p>
    <w:p>
      <w:pPr>
        <w:pStyle w:val="Para 03"/>
      </w:pPr>
      <w:r>
        <w:t>Với mô hình lợi nhuận vượt trội, trước tiên chúng ta sẽ tính lợi nhuận vượt trội kiếm được trên tài sản này:</w:t>
      </w:r>
    </w:p>
    <w:p>
      <w:bookmarkStart w:id="151" w:name="Excess_return_Cash_flow_earned"/>
      <w:pPr>
        <w:keepNext/>
        <w:pStyle w:val="Para 09"/>
        <w:keepLines w:val="on"/>
      </w:pPr>
      <w:r>
        <w:t>Lợi nhuận vượt trội = Dòng tiền kiếm được − Chi phí vốn × Vốn đầu tư vào tài sản = $12 triệu − .10 × $100 triệu = $2 triệu</w:t>
      </w:r>
      <w:bookmarkEnd w:id="151"/>
    </w:p>
    <w:p>
      <w:pPr>
        <w:pStyle w:val="Para 03"/>
      </w:pPr>
      <w:r>
        <w:t>Sau đó chúng ta cộng giá trị hiện tại của những lợi nhuận vượt trội này vào khoản đầu tư vào tài sản:</w:t>
      </w:r>
    </w:p>
    <w:p>
      <w:bookmarkStart w:id="152" w:name="Value_of_asset_Present_value_of"/>
      <w:pPr>
        <w:keepNext/>
        <w:pStyle w:val="Para 09"/>
        <w:keepLines w:val="on"/>
      </w:pPr>
      <w:r>
        <w:t>Giá trị tài sản = Giá trị hiện tại của lợi nhuận vượt trội + Đầu tư vào tài sản = $2 triệu / .10 + $100 triệu = $120 triệu</w:t>
      </w:r>
      <w:bookmarkEnd w:id="152"/>
    </w:p>
    <w:p>
      <w:pPr>
        <w:pStyle w:val="Para 03"/>
      </w:pPr>
      <w:r>
        <w:t>Lưu ý rằng kết quả của hai cách tiếp cận là tương đương nhau. Vậy thì tại sao chúng ta lại muốn dùng mô hình lợi nhuận vượt trội (excess return model)? Bằng cách tập trung vào lợi nhuận vượt trội, mô hình này làm nổi bật một điều: không phải lợi nhuận tự thân tạo ra giá trị, mà chính là phần lợi nhuận vượt trên mức sinh lời yêu cầu mới tạo ra giá trị. Chương 32 sẽ xem xét các phiên bản đặc biệt của những mô hình lợi nhuận vượt trội này. Như trong ví dụ đơn giản này, với các giả định nhất quán, mô hình dòng tiền tổng thể và mô hình lợi nhuận vượt trội là tương đương nhau.</w:t>
      </w:r>
    </w:p>
    <w:p>
      <w:pPr>
        <w:pStyle w:val="Para 20"/>
      </w:pPr>
      <w:r>
        <w:rPr>
          <w:rStyle w:val="Text26"/>
        </w:rPr>
        <w:bookmarkStart w:id="153" w:name="Page_19"/>
        <w:t/>
        <w:bookmarkEnd w:id="153"/>
      </w:r>
      <w:r>
        <w:t xml:space="preserve"> </w:t>
      </w:r>
    </w:p>
    <w:p>
      <w:pPr>
        <w:pStyle w:val="Para 11"/>
      </w:pPr>
      <w:r>
        <w:t xml:space="preserve"> </w:t>
      </w:r>
    </w:p>
    <w:p>
      <w:bookmarkStart w:id="154" w:name="A_SIMPLE_TEST_OF_CASH_FLOWS_Ther"/>
      <w:bookmarkStart w:id="155" w:name="A_SIMPLE_TEST_OF_CASH_FLOWS"/>
      <w:pPr>
        <w:keepNext/>
        <w:pStyle w:val="Para 27"/>
        <w:keepLines w:val="on"/>
      </w:pPr>
      <w:r>
        <w:t>MỘT PHÉP THỬ ĐƠN GIẢN ĐỐI VỚI DÒNG TIỀN</w:t>
      </w:r>
      <w:bookmarkEnd w:id="154"/>
      <w:bookmarkEnd w:id="155"/>
    </w:p>
    <w:p>
      <w:pPr>
        <w:pStyle w:val="Para 16"/>
        <w:keepLines w:val="on"/>
      </w:pPr>
      <w:r>
        <w:t>Có một phép thử đơn giản có thể được sử dụng để xác định xem dòng tiền được dùng trong một phép định giá là dòng tiền thuộc về vốn chủ sở hữu (cash flows to equity) hay dòng tiền thuộc về doanh nghiệp (cash flows to the firm).</w:t>
      </w:r>
    </w:p>
    <w:p>
      <w:pPr>
        <w:numPr>
          <w:ilvl w:val="0"/>
          <w:numId w:val="5"/>
        </w:numPr>
        <w:pStyle w:val="Para 33"/>
        <w:keepLines w:val="on"/>
      </w:pPr>
      <w:r>
        <w:t>Nếu dòng tiền được chiết khấu là dòng tiền sau khi trừ chi phí lãi vay (và các khoản thanh toán gốc), thì đó là dòng tiền thuộc về vốn chủ sở hữu, và tỷ lệ chiết khấu được sử dụng phải là chi phí vốn chủ sở hữu (cost of equity).</w:t>
      </w:r>
    </w:p>
    <w:p>
      <w:pPr>
        <w:numPr>
          <w:ilvl w:val="0"/>
          <w:numId w:val="5"/>
        </w:numPr>
        <w:pStyle w:val="Para 33"/>
        <w:keepLines w:val="on"/>
      </w:pPr>
      <w:r>
        <w:t>Nếu dòng tiền được chiết khấu là dòng tiền trước khi trừ chi phí lãi vay và các khoản thanh toán gốc, thì thông thường đó là dòng tiền thuộc về doanh nghiệp.</w:t>
      </w:r>
    </w:p>
    <w:p>
      <w:pPr>
        <w:pStyle w:val="Para 16"/>
        <w:keepLines w:val="on"/>
      </w:pPr>
      <w:r>
        <w:t>Còn có những khoản mục khác cần được xem xét khi ước tính các dòng tiền này, và chúng sẽ được bàn đến một cách chi tiết, kỹ lưỡng trong các chương sắp tới.</w:t>
      </w:r>
    </w:p>
    <w:p>
      <w:pPr>
        <w:pStyle w:val="Para 16"/>
        <w:keepLines w:val="on"/>
      </w:pPr>
      <w:r>
        <w:t>Nói chung, dòng tiền thuộc về vốn chủ sở hữu bắt đầu từ thu nhập ròng (net income), tức là sau khi đã trừ chi phí lãi vay và các khoản thanh toán gốc; trong khi dòng tiền thuộc về doanh nghiệp bắt đầu từ thu nhập hoạt động (operating income) hay lợi nhuận trước lãi vay và thuế (earnings before interest and taxes).</w:t>
      </w:r>
    </w:p>
    <w:p>
      <w:bookmarkStart w:id="156" w:name="Applicability_and_Limitations_of"/>
      <w:bookmarkStart w:id="157" w:name="Applicability_and_Limitations_of_1"/>
      <w:pPr>
        <w:keepNext/>
        <w:pStyle w:val="Heading 3"/>
        <w:keepLines w:val="on"/>
      </w:pPr>
      <w:r>
        <w:t>Khả năng áp dụng và những hạn chế của phương pháp định giá theo dòng tiền chiết khấu</w:t>
      </w:r>
      <w:bookmarkEnd w:id="156"/>
      <w:bookmarkEnd w:id="157"/>
    </w:p>
    <w:p>
      <w:pPr>
        <w:pStyle w:val="Para 03"/>
      </w:pPr>
      <w:r>
        <w:t>Phương pháp định giá theo dòng tiền chiết khấu (discounted cash flow valuation) dựa trên dòng tiền kỳ vọng trong tương lai và các tỷ lệ chiết khấu. Với những yêu cầu ước tính như vậy, cách tiếp cận này dễ áp dụng nhất đối với những tài sản (doanh nghiệp) có dòng tiền hiện tại đang dương và có thể ước tính được với mức độ tin cậy nào đó cho các giai đoạn tương lai, đồng thời có sẵn một đại diện cho rủi ro có thể dùng để xác định tỷ lệ chiết khấu. Càng đi xa khỏi bối cảnh lý tưởng này, việc định giá theo dòng tiền chiết khấu càng trở nên khó khăn hơn (và cũng hữu ích hơn). Dưới đây là một số tình huống mà phương pháp định giá theo dòng tiền chiết khấu có thể gặp trục trặc và cần được điều chỉnh cho phù hợp.</w:t>
      </w:r>
    </w:p>
    <w:p>
      <w:bookmarkStart w:id="158" w:name="Money_Losing_Firms"/>
      <w:bookmarkStart w:id="159" w:name="Money_Losing_Firms__A_distressed"/>
      <w:pPr>
        <w:keepNext/>
        <w:pStyle w:val="Heading 4"/>
        <w:keepLines w:val="on"/>
      </w:pPr>
      <w:r>
        <w:t>Những doanh nghiệp đang thua lỗ</w:t>
      </w:r>
      <w:bookmarkEnd w:id="158"/>
      <w:bookmarkEnd w:id="159"/>
    </w:p>
    <w:p>
      <w:pPr>
        <w:pStyle w:val="Para 03"/>
      </w:pPr>
      <w:r>
        <w:t>Một doanh nghiệp đang gặp khó khăn thường có lợi nhuận và dòng tiền âm, và dự kiến sẽ còn lỗ trong một thời gian nữa trong tương lai. Với những doanh nghiệp này, việc ước tính dòng tiền tương lai rất khó thực hiện, vì xác suất phá sản là rất cao. Đối với những doanh nghiệp được dự báo sẽ thất bại, phương pháp định giá theo dòng tiền chiết khấu có thể đưa ra một ước tính giá trị bị đẩy lên cao hơn thực tế, bởi vì phương pháp này định giá doanh nghiệp như một thực thể đang hoạt động bình thường (going concern) và mang lại dòng tiền dương cho các nhà đầu tư. Ngay cả với những doanh nghiệp được dự báo sẽ tồn tại được, dòng tiền cũng phải được ước tính cho đến khi chuyển sang dương, vì việc lấy giá trị hiện tại của dòng tiền âm sẽ cho ra giá trị âm đối với vốn chủ sở hữu2 hoặc đối với doanh nghiệp. Chúng ta sẽ xem xét những doanh nghiệp này kỹ hơn trong Chương 22 và Chương 30.</w:t>
      </w:r>
    </w:p>
    <w:p>
      <w:bookmarkStart w:id="161" w:name="Cyclical_Firms__The_earnings_and"/>
      <w:bookmarkStart w:id="162" w:name="Cyclical_Firms"/>
      <w:pPr>
        <w:keepNext/>
        <w:pStyle w:val="Heading 4"/>
        <w:keepLines w:val="on"/>
      </w:pPr>
      <w:r>
        <w:t>Những doanh nghiệp có tính chu kỳ</w:t>
      </w:r>
      <w:bookmarkEnd w:id="161"/>
      <w:bookmarkEnd w:id="162"/>
    </w:p>
    <w:p>
      <w:pPr>
        <w:pStyle w:val="Para 03"/>
      </w:pPr>
      <w:r>
        <w:t>Lợi nhuận và dòng tiền của những doanh nghiệp có tính chu kỳ (cyclical firms) thường đi theo nền kinh tế — tăng lên trong thời kỳ kinh tế bùng nổ và giảm xuống trong thời kỳ suy thoái. Nếu áp dụng phương pháp định giá theo dòng tiền chiết khấu cho những doanh nghiệp này, dòng tiền kỳ vọng trong tương lai thường được làm phẳng đi, trừ khi nhà phân tích muốn đảm nhận nhiệm vụ nặng nề là dự đoán thời điểm và thời gian diễn ra các cuộc suy thoái và phục hồi kinh tế. Vào lúc suy thoái sâu nhất, nhiều doanh nghiệp có tính chu kỳ trông giống như những doanh nghiệp đang gặp khó khăn, với lợi nhuận và dòng tiền âm. Khi đó, việc ước tính dòng tiền tương lai trở nên gắn chặt với những dự đoán của nhà phân tích về thời điểm nền kinh tế sẽ chuyển biến và mức độ mạnh mẽ của đà phục hồi, khiến những nhà phân tích lạc quan hơn đưa ra những ước tính giá trị cao hơn. Điều này là không thể tránh khỏi, nhưng phải tính đến những thiên kiến kinh tế của các nhà phân tích trước khi sử dụng những kết quả định giá này.</w:t>
      </w:r>
    </w:p>
    <w:p>
      <w:bookmarkStart w:id="164" w:name="Firms_with_Unutilized_Assets__Di"/>
      <w:bookmarkStart w:id="165" w:name="Firms_with_Unutilized_Assets"/>
      <w:pPr>
        <w:keepNext/>
        <w:pStyle w:val="Heading 4"/>
        <w:keepLines w:val="on"/>
      </w:pPr>
      <w:r>
        <w:t>Những doanh nghiệp có tài sản chưa được sử dụng</w:t>
      </w:r>
      <w:bookmarkEnd w:id="164"/>
      <w:bookmarkEnd w:id="165"/>
    </w:p>
    <w:p>
      <w:pPr>
        <w:pStyle w:val="Para 03"/>
      </w:pPr>
      <w:r>
        <w:t>Phương pháp định giá theo dòng tiền chiết khấu phản ánh giá trị của tất cả các tài sản tạo ra dòng tiền. Nếu một doanh nghiệp có những tài sản chưa được sử dụng (và do đó không tạo ra dòng tiền nào), thì giá trị của những tài sản này sẽ không được phản ánh trong giá trị thu được từ việc chiết khấu dòng tiền kỳ vọng trong tương lai. Lưu ý tương tự cũng áp dụng, ở mức độ nhẹ hơn, đối với những tài sản được sử dụng chưa hết công suất, vì giá trị của chúng sẽ bị đánh giá thấp trong phương pháp định giá theo dòng tiền chiết khấu. Dù đây là một vấn đề, nó không phải là không thể vượt qua. Giá trị của những tài sản này luôn có thể được xác định từ bên ngoài3 và cộng thêm vào giá trị thu được từ phương pháp định giá theo dòng tiền chiết khấu. Hoặc cách khác, có thể định giá những tài sản này như thể chúng được sử dụng một cách tối ưu.</w:t>
      </w:r>
    </w:p>
    <w:p>
      <w:bookmarkStart w:id="167" w:name="Firms_with_Patents_or_Product_Op_1"/>
      <w:bookmarkStart w:id="168" w:name="Firms_with_Patents_or_Product_Op"/>
      <w:pPr>
        <w:keepNext/>
        <w:pStyle w:val="Heading 4"/>
        <w:keepLines w:val="on"/>
      </w:pPr>
      <w:r>
        <w:t>Những doanh nghiệp có bằng sáng chế hoặc quyền chọn sản phẩm</w:t>
      </w:r>
      <w:bookmarkEnd w:id="167"/>
      <w:bookmarkEnd w:id="168"/>
    </w:p>
    <w:p>
      <w:pPr>
        <w:pStyle w:val="Para 03"/>
      </w:pPr>
      <w:r>
        <w:t>Đôi khi doanh nghiệp có những bằng sáng chế hoặc giấy phép chưa được sử dụng, không tạo ra dòng tiền hiện tại nào và cũng không được kỳ vọng sẽ tạo ra dòng tiền trong tương lai gần, nhưng dù vậy chúng vẫn có giá trị. Nếu đúng như vậy, giá trị thu được từ việc chiết khấu dòng tiền kỳ vọng thuộc về doanh nghiệp sẽ đánh giá thấp giá trị thực sự của doanh nghiệp. Một lần nữa, vấn đề này có thể được khắc phục bằng cách định giá những tài sản này trên thị trường mở hoặc bằng cách sử dụng các mô hình định giá quyền chọn (option pricing models), rồi sau đó cộng thêm giá trị thu được từ phương pháp định giá theo dòng tiền chiết khấu. Chương 28 sẽ xem xét việc sử dụng các mô hình định giá quyền chọn để định giá bằng sáng chế.</w:t>
      </w:r>
    </w:p>
    <w:p>
      <w:bookmarkStart w:id="169" w:name="Firms_in_the_Process_of_Restruct_1"/>
      <w:bookmarkStart w:id="170" w:name="Firms_in_the_Process_of_Restruct"/>
      <w:pPr>
        <w:keepNext/>
        <w:pStyle w:val="Heading 4"/>
        <w:keepLines w:val="on"/>
      </w:pPr>
      <w:r>
        <w:t>Những doanh nghiệp đang trong quá trình tái cấu trúc</w:t>
      </w:r>
      <w:bookmarkEnd w:id="169"/>
      <w:bookmarkEnd w:id="170"/>
    </w:p>
    <w:p>
      <w:pPr>
        <w:pStyle w:val="Para 03"/>
      </w:pPr>
      <w:r>
        <w:t>Những doanh nghiệp đang trong quá trình tái cấu trúc thường bán đi một số tài sản, mua thêm những tài sản khác, và thay đổi cấu trúc vốn cũng như chính sách cổ tức của mình. Một số doanh nghiệp còn thay đổi cả cơ cấu sở hữu (chuyển từ niêm yết công khai sang tư nhân và ngược lại) và các chương trình thù lao cho ban quản lý. Mỗi thay đổi này đều ảnh hưởng đến dòng tiền tương lai và mức độ rủi ro của doanh nghiệp. Việc sử dụng dữ liệu lịch sử cho những doanh nghiệp như vậy có thể đưa ra một bức tranh sai lệch về giá trị của doanh nghiệp. Tuy nhiên, vẫn có thể định giá những doanh nghiệp này, ngay cả khi đối mặt với những thay đổi lớn trong chính sách đầu tư và tài trợ, miễn là dòng tiền tương lai phản ánh được những tác động kỳ vọng của các thay đổi đó và tỷ lệ chiết khấu được điều chỉnh để phản ánh rủi ro kinh doanh và rủi ro tài chính mới của doanh nghiệp. Chương 31 sẽ xem xét kỹ hơn cách giá trị có thể bị thay đổi bằng việc thay đổi cách điều hành một doanh nghiệp.</w:t>
      </w:r>
    </w:p>
    <w:p>
      <w:bookmarkStart w:id="171" w:name="Firms_Involved_in_Acquisitions"/>
      <w:bookmarkStart w:id="172" w:name="Firms_Involved_in_Acquisitions_1"/>
      <w:pPr>
        <w:keepNext/>
        <w:pStyle w:val="Heading 4"/>
        <w:keepLines w:val="on"/>
      </w:pPr>
      <w:r>
        <w:t>Những doanh nghiệp tham gia vào các thương vụ mua bán sáp nhập</w:t>
      </w:r>
      <w:bookmarkEnd w:id="171"/>
      <w:bookmarkEnd w:id="172"/>
    </w:p>
    <w:p>
      <w:pPr>
        <w:pStyle w:val="Para 03"/>
      </w:pPr>
      <w:r>
        <w:t>Có ít nhất hai vấn đề cụ thể liên quan đến các thương vụ mua bán sáp nhập (acquisitions) cần được xem xét khi sử dụng các mô hình định giá theo dòng tiền chiết khấu để định giá những doanh nghiệp mục tiêu. Thứ nhất là vấn đề hóc búa về việc liệu có sự cộng hưởng (synergy) trong thương vụ sáp nhập hay không và giá trị của nó có thể được ước tính như thế nào. Để làm được điều đó sẽ cần đến những giả định về hình thức mà sự cộng hưởng sẽ diễn ra và tác động của nó lên dòng tiền. Thứ hai, đặc biệt trong các thương vụ thâu tóm thù địch (hostile takeovers), là tác động của việc thay đổi ban quản lý lên dòng tiền và rủi ro. Một lần nữa, tác động của sự thay đổi này có thể và nên được đưa vào các ước tính về dòng tiền tương lai và tỷ lệ chiết khấu, và do đó đưa vào giá trị. Chương 25 sẽ xem xét giá trị của sự cộng hưởng và quyền kiểm soát trong các thương vụ mua bán sáp nhập.</w:t>
      </w:r>
    </w:p>
    <w:p>
      <w:bookmarkStart w:id="173" w:name="Private_Firms__The_biggest_probl"/>
      <w:bookmarkStart w:id="174" w:name="Private_Firms"/>
      <w:pPr>
        <w:keepNext/>
        <w:pStyle w:val="Heading 4"/>
        <w:keepLines w:val="on"/>
      </w:pPr>
      <w:r>
        <w:t>Những doanh nghiệp tư nhân</w:t>
      </w:r>
      <w:bookmarkEnd w:id="173"/>
      <w:bookmarkEnd w:id="174"/>
    </w:p>
    <w:p>
      <w:pPr>
        <w:pStyle w:val="Para 03"/>
      </w:pPr>
      <w:r>
        <w:t>Vấn đề lớn nhất khi sử dụng các mô hình định giá theo dòng tiền chiết khấu để định giá những doanh nghiệp tư nhân là việc đo lường rủi ro (để dùng trong ước tính tỷ lệ chiết khấu), vì hầu hết các mô hình rủi ro/lợi nhuận đều yêu cầu các tham số rủi ro phải được ước tính từ giá lịch sử của tài sản đang được phân tích, đồng thời đưa ra những giả định về chân dung các nhà đầu tư trong doanh nghiệp mà có thể không phù hợp với các doanh nghiệp tư nhân. Một giải pháp là xem xét mức độ rủi ro của những doanh nghiệp tương đồng đang được niêm yết công khai. Một giải pháp khác là gắn thước đo rủi ro với các biến số kế toán, vốn có sẵn đối với doanh nghiệp tư nhân. Chương 24 sẽ xem xét những điều chỉnh cần thiết đối với các mô hình định giá để định giá các doanh nghiệp tư nhân.</w:t>
      </w:r>
    </w:p>
    <w:p>
      <w:pPr>
        <w:pStyle w:val="Para 03"/>
      </w:pPr>
      <w:r>
        <w:t>Vấn đề không phải là không thể thực hiện phương pháp định giá theo dòng tiền chiết khấu trong những trường hợp này, mà là chúng ta phải đủ linh hoạt để điều chỉnh các mô hình của mình cho phù hợp. Thực tế là việc định giá trở nên đơn giản đối với những doanh nghiệp có tài sản được xác định rõ ràng, tạo ra dòng tiền có thể dễ dàng dự báo được. Thách thức thực sự trong định giá nằm ở việc mở rộng khuôn khổ định giá để bao quát được những doanh nghiệp ít nhiều khác biệt so với khuôn khổ lý tưởng này. Phần lớn cuốn sách này dành để xem xét cách định giá những doanh nghiệp như vậy.</w:t>
      </w:r>
    </w:p>
    <w:p>
      <w:bookmarkStart w:id="176" w:name="Pricing_or_Relative_Valuation__W"/>
      <w:bookmarkStart w:id="177" w:name="Pricing_or_Relative_Valuation"/>
      <w:pPr>
        <w:keepNext/>
        <w:pStyle w:val="Heading 2"/>
        <w:keepLines w:val="on"/>
      </w:pPr>
      <w:r>
        <w:t>Định giá theo giá thị trường hay định giá tương đối</w:t>
      </w:r>
      <w:bookmarkEnd w:id="176"/>
      <w:bookmarkEnd w:id="177"/>
    </w:p>
    <w:p>
      <w:pPr>
        <w:pStyle w:val="Para 03"/>
      </w:pPr>
      <w:r>
        <w:t>Trong khi chúng ta thường tập trung nhiều nhất vào định giá nội tại (intrinsic valuation) khi bàn về định giá, thực tế là phần lớn những gì được coi là định giá trong thực tiễn lại chính là định giá theo thị trường (pricing). Quyết định trả bao nhiêu cho hầu hết các tài sản, từ căn nhà bạn mua đến cổ phiếu bạn đầu tư, đều dựa trên cách những tài sản tương tự được thị trường định giá. Phần này bắt đầu với cơ sở của việc định giá theo thị trường, rồi xem xét những nền tảng của nó, và sau đó bàn đến các biến thể phổ biến trong định giá tương đối (relative valuation).</w:t>
      </w:r>
    </w:p>
    <w:p>
      <w:bookmarkStart w:id="178" w:name="Basis_for_Pricing_Relative_Valua"/>
      <w:bookmarkStart w:id="179" w:name="Basis_for_Pricing_Relative_Valua_1"/>
      <w:pPr>
        <w:keepNext/>
        <w:pStyle w:val="Heading 3"/>
        <w:keepLines w:val="on"/>
      </w:pPr>
      <w:r>
        <w:t>Cơ sở của Định giá theo Thị trường/Định giá Tương đối</w:t>
      </w:r>
      <w:bookmarkEnd w:id="178"/>
      <w:bookmarkEnd w:id="179"/>
    </w:p>
    <w:p>
      <w:pPr>
        <w:pStyle w:val="Para 03"/>
      </w:pPr>
      <w:r>
        <w:t>Trong định giá theo thị trường, con số gắn với một tài sản được suy ra từ cách định giá các tài sản so sánh được, chuẩn hóa bằng một biến chung, chẳng hạn như lợi nhuận, dòng tiền, giá trị sổ sách, hoặc doanh thu. Một minh họa cho cách tiếp cận này là việc dùng tỷ số giá trên lợi nhuận (price-earnings ratio) trung bình ngành để định giá vốn cổ phần của một công ty, với giả định rằng các công ty khác trong ngành là tương đương với công ty đang được định giá và rằng thị trường, tính trung bình, định giá các công ty này một cách đúng đắn. Một biến thể khác là bội số EV trên EBITDA (EV to EBITDA multiple), trong đó những công ty bán với bội số EBITDA thấp so với các công ty tương đương được coi là bị định giá thấp. Bội số doanh thu (revenue multiples) cũng được dùng để định giá công ty, với tỷ số giá hoặc giá trị doanh nghiệp trên doanh thu trung bình của các công ty có đặc điểm tương tự được dùng để so sánh. Trong khi những bội số này nằm trong số những bội số được dùng rộng rãi nhất, vẫn có những bội số khác cũng đóng vai trò trong phân tích — giá trên giá trị sổ sách (Price to book), EV trên vốn đầu tư (EV to invested capital), và giá trị thị trường trên giá trị thay thế (market value to replacement value, tức Tobin's Q), chỉ kể vài cái tên.</w:t>
      </w:r>
    </w:p>
    <w:p>
      <w:bookmarkStart w:id="180" w:name="Underpinnings_of_Pricing"/>
      <w:bookmarkStart w:id="181" w:name="Underpinnings_of_Pricing__Unlike"/>
      <w:pPr>
        <w:keepNext/>
        <w:pStyle w:val="Heading 3"/>
        <w:keepLines w:val="on"/>
      </w:pPr>
      <w:r>
        <w:t>Nền tảng của Định giá theo Thị trường</w:t>
      </w:r>
      <w:bookmarkEnd w:id="180"/>
      <w:bookmarkEnd w:id="181"/>
    </w:p>
    <w:p>
      <w:pPr>
        <w:pStyle w:val="Para 03"/>
      </w:pPr>
      <w:r>
        <w:t>Khác với định giá dòng tiền chiết khấu (discounted cash flow valuation), vốn là việc tìm kiếm giá trị nội tại, định giá tương đối dựa nhiều hơn vào việc thị trường đúng, ít nhất là tính trung bình. Nói cách khác, chúng ta giả định rằng thị trường đúng trong cách nó định giá cổ phiếu tính trung bình, nhưng lại mắc sai lầm trong việc định giá từng cổ phiếu riêng lẻ. Chúng ta cũng giả định rằng việc so sánh các bội số sẽ cho phép chúng ta nhận diện những sai lầm này, và rằng những sai lầm này sẽ được điều chỉnh theo thời gian.</w:t>
      </w:r>
    </w:p>
    <w:p>
      <w:pPr>
        <w:pStyle w:val="Para 03"/>
      </w:pPr>
      <w:r>
        <w:t>Giả định rằng thị trường sẽ sửa chữa sai lầm của mình theo thời gian là điểm chung của cả định giá dòng tiền chiết khấu lẫn định giá tương đối, nhưng những người dùng bội số và công ty so sánh để chọn cổ phiếu lập luận, có phần có cơ sở, rằng những sai lầm trong việc định giá từng cổ phiếu riêng lẻ trong một ngành thì dễ nhận thấy hơn và có nhiều khả năng được điều chỉnh nhanh chóng hơn. Chẳng hạn, họ sẽ lập luận rằng một công ty phần mềm giao dịch ở tỷ số giá trên lợi nhuận là 10 trong khi phần còn lại của ngành giao dịch ở mức 25 lần lợi nhuận thì rõ ràng là bị định giá thấp, và việc điều chỉnh về mức trung bình của ngành nên xảy ra sớm hơn là muộn. Những người ủng hộ định giá dòng tiền chiết khấu sẽ phản bác rằng đó chỉ là niềm an ủi nhỏ nhoi nếu toàn bộ ngành đang bị định giá cao hơn 50 phần trăm.</w:t>
      </w:r>
    </w:p>
    <w:p>
      <w:bookmarkStart w:id="183" w:name="Categorizing_Pricing_Models__Ana"/>
      <w:bookmarkStart w:id="184" w:name="Categorizing_Pricing_Models"/>
      <w:pPr>
        <w:keepNext/>
        <w:pStyle w:val="Heading 3"/>
        <w:keepLines w:val="on"/>
      </w:pPr>
      <w:r>
        <w:t>Phân loại các Mô hình Định giá theo Thị trường</w:t>
      </w:r>
      <w:bookmarkEnd w:id="183"/>
      <w:bookmarkEnd w:id="184"/>
    </w:p>
    <w:p>
      <w:pPr>
        <w:pStyle w:val="Para 03"/>
      </w:pPr>
      <w:r>
        <w:t>Các nhà phân tích và nhà đầu tư có sức sáng tạo vô tận khi dùng đến định giá theo thị trường. Một số so sánh các bội số giữa các công ty, trong khi những người khác so sánh bội số của một công ty với những bội số mà nó từng giao dịch trong quá khứ.</w:t>
      </w:r>
    </w:p>
    <w:p>
      <w:bookmarkStart w:id="185" w:name="Fundamentals_versus_Comparables"/>
      <w:bookmarkStart w:id="186" w:name="Fundamentals_versus_Comparables_1"/>
      <w:pPr>
        <w:keepNext/>
        <w:pStyle w:val="Heading 4"/>
        <w:keepLines w:val="on"/>
      </w:pPr>
      <w:r>
        <w:t>Các yếu tố cơ bản so với Công ty So sánh</w:t>
      </w:r>
      <w:bookmarkEnd w:id="185"/>
      <w:bookmarkEnd w:id="186"/>
    </w:p>
    <w:p>
      <w:pPr>
        <w:pStyle w:val="Para 03"/>
      </w:pPr>
      <w:r>
        <w:t>Trong định giá dòng tiền chiết khấu, giá trị của một công ty được quyết định bởi dòng tiền kỳ vọng của nó. Các yếu tố khác không đổi, dòng tiền cao hơn, rủi ro thấp hơn, và tăng trưởng cao hơn sẽ mang lại giá trị cao hơn. Một số nhà phân tích dùng bội số quay trở lại những mô hình dòng tiền chiết khấu này để rút ra các bội số. Những nhà phân tích khác so sánh các bội số giữa các công ty hoặc theo thời gian và đưa ra những giả định rõ ràng hoặc ngầm hiểu về việc các công ty tương tự nhau hay khác nhau như thế nào trên các yếu tố cơ bản.</w:t>
      </w:r>
    </w:p>
    <w:p>
      <w:bookmarkStart w:id="187" w:name="Using_Fundamentals__The_first_ap"/>
      <w:pPr>
        <w:pStyle w:val="Para 21"/>
      </w:pPr>
      <w:r>
        <w:t>Sử dụng các Yếu tố Cơ bản</w:t>
      </w:r>
      <w:bookmarkEnd w:id="187"/>
    </w:p>
    <w:p>
      <w:pPr>
        <w:pStyle w:val="Para 03"/>
      </w:pPr>
      <w:r>
        <w:t>Cách tiếp cận đầu tiên liên hệ các bội số định giá với những yếu tố cơ bản về công ty đang được định giá — tốc độ tăng trưởng lợi nhuận và dòng tiền, tái đầu tư và rủi ro. Cách tiếp cận này để ước tính bội số tương đương với việc dùng định giá nội tại, đòi hỏi cùng thông tin và cho ra cùng kết quả. Ưu điểm chính của nó là cho thấy mối quan hệ giữa các bội số và các đặc điểm của công ty, đồng thời cho phép chúng ta khám phá cách các bội số thay đổi khi những đặc điểm này thay đổi. Chẳng hạn, tác động của biên lợi nhuận biến đổi lên tỷ số Giá trị Doanh nghiệp trên doanh thu (Enterprise Value-sales ratio) sẽ là gì? Điều gì sẽ xảy ra với tỷ số giá trên lợi nhuận khi tốc độ tăng trưởng giảm đi? Mối quan hệ giữa tỷ số giá trên giá trị sổ sách và lợi nhuận trên vốn cổ phần (return on equity) là gì?</w:t>
      </w:r>
    </w:p>
    <w:p>
      <w:bookmarkStart w:id="189" w:name="Using_Comparable_Firms_and_Peer"/>
      <w:pPr>
        <w:pStyle w:val="Para 21"/>
      </w:pPr>
      <w:r>
        <w:t>Sử dụng các Công ty So sánh và Nhóm Đồng đẳng</w:t>
      </w:r>
      <w:bookmarkEnd w:id="189"/>
    </w:p>
    <w:p>
      <w:pPr>
        <w:pStyle w:val="Para 03"/>
      </w:pPr>
      <w:r>
        <w:t>Cách tiếp cận phổ biến hơn khi dùng bội số là so sánh cách một công ty được định giá với cách các công ty tương tự được thị trường định giá, hoặc trong một số trường hợp, với cách công ty đó từng được định giá trong các giai đoạn trước. Như chúng ta sẽ thấy trong các chương sau, việc tìm ra những công ty tương tự và so sánh được thường là một thách thức, và thường thì chúng ta phải chấp nhận những công ty khác với công ty đang được định giá ở khía cạnh này hay khía cạnh khác. Khi rơi vào trường hợp này, chúng ta phải kiểm soát một cách rõ ràng hoặc ngầm hiểu những khác biệt giữa các công ty về tăng trưởng, rủi ro, và các thước đo dòng tiền. Trong thực tiễn, việc kiểm soát những biến số này có thể dao động từ ngây thơ (dùng trung bình ngành) đến tinh vi (các mô hình hồi quy đa biến, nơi các biến liên quan được nhận diện và kiểm soát).</w:t>
      </w:r>
    </w:p>
    <w:p>
      <w:bookmarkStart w:id="191" w:name="Cross_Sectional_versus_Time_Seri"/>
      <w:bookmarkStart w:id="192" w:name="Cross_Sectional_versus_Time_Seri_1"/>
      <w:pPr>
        <w:keepNext/>
        <w:pStyle w:val="Heading 4"/>
        <w:keepLines w:val="on"/>
      </w:pPr>
      <w:r>
        <w:t>So sánh theo Mặt cắt so với So sánh theo Chuỗi Thời gian</w:t>
      </w:r>
      <w:bookmarkEnd w:id="191"/>
      <w:bookmarkEnd w:id="192"/>
    </w:p>
    <w:p>
      <w:pPr>
        <w:pStyle w:val="Para 03"/>
      </w:pPr>
      <w:r>
        <w:t>Trong hầu hết các trường hợp, nhà phân tích định giá cổ phiếu trên cơ sở tương đối, bằng cách so sánh các bội số mà chúng đang giao dịch với các bội số mà những công ty khác trong cùng ngành đang giao dịch, tại cùng thời điểm. Tuy nhiên, trong một số trường hợp, đặc biệt là với những công ty trưởng thành có lịch sử lâu dài, việc so sánh được thực hiện theo thời gian.</w:t>
      </w:r>
    </w:p>
    <w:p>
      <w:pPr>
        <w:pStyle w:val="Para 20"/>
      </w:pPr>
      <w:r>
        <w:rPr>
          <w:rStyle w:val="Text26"/>
        </w:rPr>
        <w:bookmarkStart w:id="193" w:name="Page_23"/>
        <w:t/>
        <w:bookmarkEnd w:id="193"/>
      </w:r>
      <w:r>
        <w:t xml:space="preserve"> </w:t>
      </w:r>
    </w:p>
    <w:p>
      <w:bookmarkStart w:id="194" w:name="Cross_Sectional_Comparisons__Whe"/>
      <w:pPr>
        <w:pStyle w:val="Para 21"/>
      </w:pPr>
      <w:r>
        <w:t>So sánh theo Mặt cắt</w:t>
      </w:r>
      <w:bookmarkEnd w:id="194"/>
    </w:p>
    <w:p>
      <w:pPr>
        <w:pStyle w:val="Para 03"/>
      </w:pPr>
      <w:r>
        <w:t>Khi chúng ta so sánh tỷ số giá trên lợi nhuận của một công ty phần mềm với tỷ số giá trên lợi nhuận trung bình của các công ty phần mềm khác, chúng ta đang định giá công ty đó, và dựa việc định giá đó trên những so sánh theo mặt cắt. Các kết luận có thể khác nhau, tùy thuộc vào những giả định của chúng ta về công ty đang được định giá và các công ty so sánh. Chẳng hạn, nếu chúng ta giả định rằng công ty đang được định giá tương tự với công ty trung bình trong ngành, chúng ta sẽ kết luận rằng nó rẻ nếu nó giao dịch ở bội số thấp hơn bội số trung bình. Tuy nhiên, nếu chúng ta giả định rằng công ty đang được định giá có rủi ro cao hơn công ty trung bình trong ngành, chúng ta có thể kết luận rằng công ty nên giao dịch ở bội số thấp hơn các công ty khác trong ngành. Tóm lại, bạn không thể so sánh các công ty mà không đưa ra những giả định về các yếu tố cơ bản của chúng.</w:t>
      </w:r>
    </w:p>
    <w:p>
      <w:bookmarkStart w:id="196" w:name="Comparisons_Across_Time__If_you"/>
      <w:pPr>
        <w:pStyle w:val="Para 21"/>
      </w:pPr>
      <w:r>
        <w:t>So sánh theo Thời gian</w:t>
      </w:r>
      <w:bookmarkEnd w:id="196"/>
    </w:p>
    <w:p>
      <w:pPr>
        <w:pStyle w:val="Para 03"/>
      </w:pPr>
      <w:r>
        <w:t>Nếu bạn có một công ty trưởng thành với lịch sử lâu dài, bạn có thể so sánh bội số mà nó giao dịch hôm nay với bội số mà nó từng giao dịch trong quá khứ. Do đó, Ford Motor Company có thể được xem là rẻ vì nó giao dịch ở sáu lần lợi nhuận, nếu nó từng giao dịch ở 10 lần lợi nhuận trong lịch sử. Tuy nhiên, để thực hiện so sánh này, bạn phải giả định rằng các yếu tố cơ bản của công ty bạn không thay đổi theo thời gian. Chẳng hạn, bạn sẽ kỳ vọng tỷ số giá trên lợi nhuận của một công ty tăng trưởng cao sẽ giảm dần theo thời gian và tốc độ tăng trưởng kỳ vọng của nó sẽ giảm đi khi nó trở nên lớn hơn. Việc so sánh các bội số theo thời gian cũng có thể trở nên phức tạp bởi những thay đổi trong lãi suất, hành vi của toàn bộ thị trường, và sự xáo trộn của thị trường. Chẳng hạn, khi lãi suất giảm xuống dưới mức chuẩn trong lịch sử và toàn bộ thị trường đi lên, bạn sẽ kỳ vọng hầu hết các công ty giao dịch ở bội số lợi nhuận và giá trị sổ sách cao hơn nhiều so với trong lịch sử. Trong trường hợp của Ford, việc so sánh theo thời gian có thể gây hiểu nhầm vì ngành kinh doanh ô tô đã bị xáo trộn bởi các nhà sản xuất xe điện.</w:t>
      </w:r>
    </w:p>
    <w:p>
      <w:bookmarkStart w:id="198" w:name="Applicability_and_Limitations_of_3"/>
      <w:bookmarkStart w:id="199" w:name="Applicability_and_Limitations_of_2"/>
      <w:pPr>
        <w:keepNext/>
        <w:pStyle w:val="Heading 3"/>
        <w:keepLines w:val="on"/>
      </w:pPr>
      <w:r>
        <w:t>Khả năng Áp dụng và Hạn chế của các Bội số</w:t>
      </w:r>
      <w:bookmarkEnd w:id="198"/>
      <w:bookmarkEnd w:id="199"/>
    </w:p>
    <w:p>
      <w:pPr>
        <w:pStyle w:val="Para 03"/>
      </w:pPr>
      <w:r>
        <w:t>Sức hấp dẫn của các bội số là chúng đơn giản và dễ liên hệ. Chúng có thể được dùng để có được những ước tính định giá nhanh chóng cho các công ty và tài sản, và đặc biệt hữu ích khi có một số lượng lớn các công ty so sánh được giao dịch trên các thị trường tài chính, và thị trường, tính trung bình, định giá những công ty này một cách đúng đắn. Chúng có xu hướng khó dùng hơn để định giá những công ty độc nhất không có công ty so sánh rõ ràng, có ít hoặc không có doanh thu, và có lợi nhuận âm.</w:t>
      </w:r>
    </w:p>
    <w:p>
      <w:pPr>
        <w:pStyle w:val="Para 03"/>
      </w:pPr>
      <w:r>
        <w:t>Cũng như vậy, các bội số cũng dễ bị lạm dụng và thao túng, đặc biệt là khi dùng các công ty so sánh. Vì không có hai công ty nào hoàn toàn giống nhau về rủi ro và tăng trưởng, nên định nghĩa về các công ty so sánh mang tính chủ quan. Do đó, một nhà phân tích thiên vị có thể chọn một nhóm các công ty so sánh để xác nhận những thiên kiến của mình về việc định giá một công ty. Minh họa 2.2 cho thấy một ví dụ. Trong khi tiềm năng thiên vị này cũng tồn tại với định giá dòng tiền chiết khấu, nhà phân tích trong định giá DCF buộc phải rõ ràng hơn nhiều về những giả định quyết định giá trị cuối cùng. Với các bội số, những giả định này thường bị bỏ ngỏ không nêu ra.</w:t>
      </w:r>
    </w:p>
    <w:p>
      <w:pPr>
        <w:pStyle w:val="Para 03"/>
      </w:pPr>
      <w:r>
        <w:t>Vấn đề khác khi dùng các bội số dựa trên các công ty so sánh là nó tích hợp sẵn những sai lầm (định giá cao hoặc định giá thấp) mà thị trường có thể đang mắc phải khi định giá những công ty này. Trong Minh họa 2.2, chẳng hạn, nếu thị trường đã định giá cao tất cả các công ty phần mềm máy tính, thì việc dùng tỷ số PE trung bình của những công ty này để định giá một đợt phát hành cổ phiếu lần đầu ra công chúng (IPO) sẽ dẫn đến việc định giá cao IPO đó. Ngược lại, định giá dòng tiền chiết khấu dựa trên tốc độ tăng trưởng và dòng tiền đặc thù của từng công ty, nên ít có khả năng bị ảnh hưởng bởi những sai lầm của thị trường trong việc định giá.</w:t>
      </w:r>
    </w:p>
    <w:p>
      <w:pPr>
        <w:pStyle w:val="Para 20"/>
      </w:pPr>
      <w:r>
        <w:rPr>
          <w:rStyle w:val="Text26"/>
        </w:rPr>
        <w:bookmarkStart w:id="200" w:name="Page_24"/>
        <w:t/>
        <w:bookmarkEnd w:id="200"/>
      </w:r>
      <w:r>
        <w:t xml:space="preserve"> </w:t>
      </w:r>
    </w:p>
    <w:p>
      <w:pPr>
        <w:pStyle w:val="Para 11"/>
      </w:pPr>
      <w:r>
        <w:t xml:space="preserve"> </w:t>
      </w:r>
    </w:p>
    <w:p>
      <w:bookmarkStart w:id="201" w:name="ILLUSTRATION_2_2__The_Potential"/>
      <w:bookmarkStart w:id="202" w:name="ILLUSTRATION_2_2__The_Potential_1"/>
      <w:pPr>
        <w:keepNext/>
        <w:pStyle w:val="Para 19"/>
        <w:keepLines w:val="on"/>
      </w:pPr>
      <w:r>
        <w:t>MINH HỌA 2.2: Tiềm năng Lạm dụng với các Công ty So sánh</w:t>
      </w:r>
      <w:bookmarkEnd w:id="201"/>
      <w:bookmarkEnd w:id="202"/>
    </w:p>
    <w:p>
      <w:pPr>
        <w:pStyle w:val="Para 04"/>
        <w:keepLines w:val="on"/>
      </w:pPr>
      <w:r>
        <w:t>Giả sử một nhà phân tích đang định giá đợt phát hành cổ phiếu lần đầu ra công chúng (IPO) của một công ty sản xuất phần mềm máy tính. Đồng thời,4 bội số giá trên thu nhập (price-earnings multiples) của các công ty niêm yết khác cũng sản xuất phần mềm được thể hiện trong Bảng 2.2:</w:t>
      </w:r>
    </w:p>
    <w:p>
      <w:pPr>
        <w:pStyle w:val="Para 25"/>
        <w:keepLines w:val="on"/>
      </w:pPr>
      <w:r>
        <w:t>Bảng 2.2</w:t>
      </w:r>
    </w:p>
    <w:p>
      <w:pPr>
        <w:keepNext/>
        <w:pStyle w:val="Para 24"/>
        <w:keepLines w:val="on"/>
      </w:pPr>
      <w:r>
        <w:t>Tỷ lệ PE của các công ty phần mềm</w:t>
      </w:r>
    </w:p>
    <w:tbl>
      <w:tblPr>
        <w:tblW w:type="auto" w:w="0"/>
      </w:tblPr>
      <w:tr>
        <w:tc>
          <w:tcPr>
            <w:tcW w:type="auto" w:w="0"/>
          </w:tcPr>
          <w:tbl>
            <w:tblPr>
              <w:tblW w:type="pct" w:w="5000"/>
            </w:tblPr>
            <w:tr>
              <w:tc>
                <w:tcPr>
                  <w:tcW w:type="auto" w:w="0"/>
                  <w:shd w:val="clear" w:color="auto" w:fill="F0F0F0"/>
                </w:tcPr>
                <w:p>
                  <w:pPr>
                    <w:pStyle w:val="Para 32"/>
                    <w:keepLines w:val="on"/>
                  </w:pPr>
                  <w:r>
                    <w:t>Công ty</w:t>
                  </w:r>
                </w:p>
              </w:tc>
              <w:tc>
                <w:tcPr>
                  <w:tcW w:type="auto" w:w="0"/>
                  <w:shd w:val="clear" w:color="auto" w:fill="F0F0F0"/>
                </w:tcPr>
                <w:p>
                  <w:pPr>
                    <w:pStyle w:val="Para 05"/>
                    <w:keepLines w:val="on"/>
                  </w:pPr>
                  <w:r>
                    <w:t>Bội số</w:t>
                  </w:r>
                </w:p>
              </w:tc>
            </w:tr>
            <w:tr>
              <w:tc>
                <w:tcPr>
                  <w:tcW w:type="auto" w:w="0"/>
                  <w:shd w:val="clear" w:color="auto" w:fill="F0F0F0"/>
                </w:tcPr>
                <w:p>
                  <w:pPr>
                    <w:pStyle w:val="Para 02"/>
                    <w:keepLines w:val="on"/>
                  </w:pPr>
                  <w:r>
                    <w:t>Adobe Systems</w:t>
                  </w:r>
                </w:p>
              </w:tc>
              <w:tc>
                <w:tcPr>
                  <w:tcW w:type="auto" w:w="0"/>
                  <w:shd w:val="clear" w:color="auto" w:fill="F0F0F0"/>
                </w:tcPr>
                <w:p>
                  <w:pPr>
                    <w:pStyle w:val="Normal"/>
                    <w:keepLines w:val="on"/>
                  </w:pPr>
                  <w:r>
                    <w:t>23,2</w:t>
                  </w:r>
                </w:p>
              </w:tc>
            </w:tr>
            <w:tr>
              <w:tc>
                <w:tcPr>
                  <w:tcW w:type="auto" w:w="0"/>
                  <w:shd w:val="clear" w:color="auto" w:fill="F0F0F0"/>
                </w:tcPr>
                <w:p>
                  <w:pPr>
                    <w:pStyle w:val="Para 02"/>
                    <w:keepLines w:val="on"/>
                  </w:pPr>
                  <w:r>
                    <w:t>Autodesk</w:t>
                  </w:r>
                </w:p>
              </w:tc>
              <w:tc>
                <w:tcPr>
                  <w:tcW w:type="auto" w:w="0"/>
                  <w:shd w:val="clear" w:color="auto" w:fill="F0F0F0"/>
                </w:tcPr>
                <w:p>
                  <w:pPr>
                    <w:pStyle w:val="Normal"/>
                    <w:keepLines w:val="on"/>
                  </w:pPr>
                  <w:r>
                    <w:t>20,4</w:t>
                  </w:r>
                </w:p>
              </w:tc>
            </w:tr>
            <w:tr>
              <w:tc>
                <w:tcPr>
                  <w:tcW w:type="auto" w:w="0"/>
                  <w:shd w:val="clear" w:color="auto" w:fill="F0F0F0"/>
                </w:tcPr>
                <w:p>
                  <w:pPr>
                    <w:pStyle w:val="Para 02"/>
                    <w:keepLines w:val="on"/>
                  </w:pPr>
                  <w:r>
                    <w:t>Broderbund</w:t>
                  </w:r>
                </w:p>
              </w:tc>
              <w:tc>
                <w:tcPr>
                  <w:tcW w:type="auto" w:w="0"/>
                  <w:shd w:val="clear" w:color="auto" w:fill="F0F0F0"/>
                </w:tcPr>
                <w:p>
                  <w:pPr>
                    <w:pStyle w:val="Normal"/>
                    <w:keepLines w:val="on"/>
                  </w:pPr>
                  <w:r>
                    <w:t>32,8</w:t>
                  </w:r>
                </w:p>
              </w:tc>
            </w:tr>
            <w:tr>
              <w:tc>
                <w:tcPr>
                  <w:tcW w:type="auto" w:w="0"/>
                  <w:shd w:val="clear" w:color="auto" w:fill="F0F0F0"/>
                </w:tcPr>
                <w:p>
                  <w:pPr>
                    <w:pStyle w:val="Para 02"/>
                    <w:keepLines w:val="on"/>
                  </w:pPr>
                  <w:r>
                    <w:t>Computer Associates</w:t>
                  </w:r>
                </w:p>
              </w:tc>
              <w:tc>
                <w:tcPr>
                  <w:tcW w:type="auto" w:w="0"/>
                  <w:shd w:val="clear" w:color="auto" w:fill="F0F0F0"/>
                </w:tcPr>
                <w:p>
                  <w:pPr>
                    <w:pStyle w:val="Normal"/>
                    <w:keepLines w:val="on"/>
                  </w:pPr>
                  <w:r>
                    <w:t>18,0</w:t>
                  </w:r>
                </w:p>
              </w:tc>
            </w:tr>
            <w:tr>
              <w:tc>
                <w:tcPr>
                  <w:tcW w:type="auto" w:w="0"/>
                  <w:shd w:val="clear" w:color="auto" w:fill="F0F0F0"/>
                </w:tcPr>
                <w:p>
                  <w:pPr>
                    <w:pStyle w:val="Para 02"/>
                    <w:keepLines w:val="on"/>
                  </w:pPr>
                  <w:r>
                    <w:t>Lotus Development</w:t>
                  </w:r>
                </w:p>
              </w:tc>
              <w:tc>
                <w:tcPr>
                  <w:tcW w:type="auto" w:w="0"/>
                  <w:shd w:val="clear" w:color="auto" w:fill="F0F0F0"/>
                </w:tcPr>
                <w:p>
                  <w:pPr>
                    <w:pStyle w:val="Normal"/>
                    <w:keepLines w:val="on"/>
                  </w:pPr>
                  <w:r>
                    <w:t>24,1</w:t>
                  </w:r>
                </w:p>
              </w:tc>
            </w:tr>
            <w:tr>
              <w:tc>
                <w:tcPr>
                  <w:tcW w:type="auto" w:w="0"/>
                  <w:shd w:val="clear" w:color="auto" w:fill="F0F0F0"/>
                </w:tcPr>
                <w:p>
                  <w:pPr>
                    <w:pStyle w:val="Para 02"/>
                    <w:keepLines w:val="on"/>
                  </w:pPr>
                  <w:r>
                    <w:t>Microsoft</w:t>
                  </w:r>
                </w:p>
              </w:tc>
              <w:tc>
                <w:tcPr>
                  <w:tcW w:type="auto" w:w="0"/>
                  <w:shd w:val="clear" w:color="auto" w:fill="F0F0F0"/>
                </w:tcPr>
                <w:p>
                  <w:pPr>
                    <w:pStyle w:val="Normal"/>
                    <w:keepLines w:val="on"/>
                  </w:pPr>
                  <w:r>
                    <w:t>27,4</w:t>
                  </w:r>
                </w:p>
              </w:tc>
            </w:tr>
            <w:tr>
              <w:tc>
                <w:tcPr>
                  <w:tcW w:type="auto" w:w="0"/>
                  <w:shd w:val="clear" w:color="auto" w:fill="F0F0F0"/>
                </w:tcPr>
                <w:p>
                  <w:pPr>
                    <w:pStyle w:val="Para 02"/>
                    <w:keepLines w:val="on"/>
                  </w:pPr>
                  <w:r>
                    <w:t>Novell</w:t>
                  </w:r>
                </w:p>
              </w:tc>
              <w:tc>
                <w:tcPr>
                  <w:tcW w:type="auto" w:w="0"/>
                  <w:shd w:val="clear" w:color="auto" w:fill="F0F0F0"/>
                </w:tcPr>
                <w:p>
                  <w:pPr>
                    <w:pStyle w:val="Normal"/>
                    <w:keepLines w:val="on"/>
                  </w:pPr>
                  <w:r>
                    <w:t>30,0</w:t>
                  </w:r>
                </w:p>
              </w:tc>
            </w:tr>
            <w:tr>
              <w:tc>
                <w:tcPr>
                  <w:tcW w:type="auto" w:w="0"/>
                  <w:shd w:val="clear" w:color="auto" w:fill="F0F0F0"/>
                </w:tcPr>
                <w:p>
                  <w:pPr>
                    <w:pStyle w:val="Para 02"/>
                    <w:keepLines w:val="on"/>
                  </w:pPr>
                  <w:r>
                    <w:t>Oracle</w:t>
                  </w:r>
                </w:p>
              </w:tc>
              <w:tc>
                <w:tcPr>
                  <w:tcW w:type="auto" w:w="0"/>
                  <w:shd w:val="clear" w:color="auto" w:fill="F0F0F0"/>
                </w:tcPr>
                <w:p>
                  <w:pPr>
                    <w:pStyle w:val="Normal"/>
                    <w:keepLines w:val="on"/>
                  </w:pPr>
                  <w:r>
                    <w:t>37,8</w:t>
                  </w:r>
                </w:p>
              </w:tc>
            </w:tr>
            <w:tr>
              <w:tc>
                <w:tcPr>
                  <w:tcW w:type="auto" w:w="0"/>
                  <w:shd w:val="clear" w:color="auto" w:fill="F0F0F0"/>
                </w:tcPr>
                <w:p>
                  <w:pPr>
                    <w:pStyle w:val="Para 02"/>
                    <w:keepLines w:val="on"/>
                  </w:pPr>
                  <w:r>
                    <w:t>Software Publishing</w:t>
                  </w:r>
                </w:p>
              </w:tc>
              <w:tc>
                <w:tcPr>
                  <w:tcW w:type="auto" w:w="0"/>
                  <w:shd w:val="clear" w:color="auto" w:fill="F0F0F0"/>
                </w:tcPr>
                <w:p>
                  <w:pPr>
                    <w:pStyle w:val="Normal"/>
                    <w:keepLines w:val="on"/>
                  </w:pPr>
                  <w:r>
                    <w:t>10,6</w:t>
                  </w:r>
                </w:p>
              </w:tc>
            </w:tr>
            <w:tr>
              <w:tc>
                <w:tcPr>
                  <w:tcW w:type="auto" w:w="0"/>
                  <w:shd w:val="clear" w:color="auto" w:fill="F0F0F0"/>
                </w:tcPr>
                <w:p>
                  <w:pPr>
                    <w:pStyle w:val="Para 02"/>
                    <w:keepLines w:val="on"/>
                  </w:pPr>
                  <w:r>
                    <w:t>System Software</w:t>
                  </w:r>
                </w:p>
              </w:tc>
              <w:tc>
                <w:tcPr>
                  <w:tcW w:type="auto" w:w="0"/>
                  <w:shd w:val="clear" w:color="auto" w:fill="F0F0F0"/>
                </w:tcPr>
                <w:p>
                  <w:pPr>
                    <w:pStyle w:val="Normal"/>
                    <w:keepLines w:val="on"/>
                  </w:pPr>
                  <w:r>
                    <w:t>15,7</w:t>
                  </w:r>
                </w:p>
              </w:tc>
            </w:tr>
            <w:tr>
              <w:tc>
                <w:tcPr>
                  <w:tcW w:type="auto" w:w="0"/>
                  <w:shd w:val="clear" w:color="auto" w:fill="F0F0F0"/>
                </w:tcPr>
                <w:p>
                  <w:pPr>
                    <w:pStyle w:val="Para 46"/>
                    <w:keepLines w:val="on"/>
                  </w:pPr>
                  <w:r>
                    <w:t>Tỷ số PE trung bình</w:t>
                  </w:r>
                </w:p>
              </w:tc>
              <w:tc>
                <w:tcPr>
                  <w:tcW w:type="auto" w:w="0"/>
                  <w:shd w:val="clear" w:color="auto" w:fill="F0F0F0"/>
                </w:tcPr>
                <w:p>
                  <w:pPr>
                    <w:pStyle w:val="Para 41"/>
                    <w:keepLines w:val="on"/>
                  </w:pPr>
                  <w:r>
                    <w:t>24,0</w:t>
                  </w:r>
                </w:p>
              </w:tc>
            </w:tr>
          </w:tbl>
          <w:p/>
        </w:tc>
      </w:tr>
    </w:tbl>
    <w:p>
      <w:pPr>
        <w:pStyle w:val="Para 04"/>
        <w:keepLines w:val="on"/>
      </w:pPr>
      <w:r>
        <w:t>Trong khi tỷ số PE trung bình tính trên toàn bộ mẫu là 24, con số này có thể thay đổi rõ rệt chỉ bằng cách loại bỏ một vài công ty khỏi nhóm. Ví dụ, nếu hai công ty có tỷ số PE thấp nhất trong nhóm (Software Publishing và System Software) bị loại khỏi mẫu, tỷ số PE trung bình sẽ tăng lên 26,7. Nếu hai công ty có tỷ số PE cao nhất trong nhóm (Broderbund và Oracle) bị loại khỏi nhóm, tỷ số PE trung bình sẽ giảm xuống còn 21,2.</w:t>
      </w:r>
    </w:p>
    <w:p>
      <w:pPr>
        <w:pStyle w:val="Para 11"/>
      </w:pPr>
      <w:r>
        <w:t xml:space="preserve"> </w:t>
      </w:r>
    </w:p>
    <w:p>
      <w:bookmarkStart w:id="206" w:name="ASSET_BASED_VALUATION_MODELS"/>
      <w:bookmarkStart w:id="207" w:name="ASSET_BASED_VALUATION_MODELS_The"/>
      <w:pPr>
        <w:keepNext/>
        <w:pStyle w:val="Para 27"/>
        <w:keepLines w:val="on"/>
      </w:pPr>
      <w:r>
        <w:t>CÁC MÔ HÌNH ĐỊNH GIÁ DỰA TRÊN TÀI SẢN</w:t>
      </w:r>
      <w:bookmarkEnd w:id="206"/>
      <w:bookmarkEnd w:id="207"/>
    </w:p>
    <w:p>
      <w:pPr>
        <w:pStyle w:val="Para 16"/>
        <w:keepLines w:val="on"/>
      </w:pPr>
      <w:r>
        <w:t>Có một số nhà phân tích bổ sung thêm cách tiếp cận thứ tư vào ba cách đã trình bày trong chương này. Họ lập luận rằng bạn có thể định giá từng tài sản riêng lẻ mà một công ty sở hữu rồi cộng gộp chúng lại để ra giá trị của công ty — đó là các mô hình định giá dựa trên tài sản (asset-based valuation models). Thực tế, có nhiều biến thể khác nhau của mô hình định giá dựa trên tài sản. Đầu tiên là giá trị thanh lý (liquidation value), có được bằng cách cộng gộp số tiền bán ước tính của các tài sản mà công ty sở hữu. Thứ hai là chi phí thay thế (replacement cost), tức là bạn ước tính xem sẽ tốn bao nhiêu để thay thế toàn bộ tài sản mà công ty đang có hiện nay. Thứ ba là cách đơn giản nhất: dùng giá trị sổ sách kế toán (accounting book value) làm thước đo giá trị tài sản, với những điều chỉnh đối với giá trị sổ sách khi cần thiết.</w:t>
      </w:r>
    </w:p>
    <w:p>
      <w:pPr>
        <w:pStyle w:val="Para 16"/>
        <w:keepLines w:val="on"/>
      </w:pPr>
      <w:r>
        <w:t>Mặc dù các nhà phân tích có thể dùng cách tiếp cận định giá dựa trên tài sản để ước tính giá trị, chúng không phải là phương án thay thế cho định giá nội tại (intrinsic valuation) và định giá theo thị trường (pricing), vì cả giá trị thay thế lẫn giá trị thanh lý đều phải có được bằng cách này hay cách khác trong số các cách tiếp cận đó. Suy cho cùng, mọi mô hình đều cố gắng định giá tài sản; sự khác biệt nằm ở cách chúng ta xác định tài sản và cách chúng ta gán giá trị cho từng tài sản. Trong định giá thanh lý, chúng ta chỉ nhìn vào các tài sản hiện hữu và ước tính chúng đáng giá bao nhiêu dựa trên mức giá mà các tài sản tương tự đang được định giá trên thị trường. Trong định giá dòng tiền chiết khấu (discounted cash flow valuation), chúng ta xem xét tất cả tài sản và bao gồm cả tiềm năng tăng trưởng kỳ vọng để đi đến giá trị. Trên thực tế, hai cách tiếp cận này có thể cho ra cùng một giá trị nếu bạn có một công ty không có tiềm năng tăng trưởng và các đánh giá của thị trường về giá trị phản ánh đúng dòng tiền kỳ vọng.</w:t>
      </w:r>
    </w:p>
    <w:p>
      <w:bookmarkStart w:id="209" w:name="Contingent_Claim_Valuation__Perh"/>
      <w:bookmarkStart w:id="210" w:name="Contingent_Claim_Valuation"/>
      <w:pPr>
        <w:keepNext/>
        <w:pStyle w:val="Heading 2"/>
        <w:keepLines w:val="on"/>
      </w:pPr>
      <w:r>
        <w:t>Định giá theo quyền phát sinh (Contingent Claim Valuation)</w:t>
      </w:r>
      <w:bookmarkEnd w:id="209"/>
      <w:bookmarkEnd w:id="210"/>
    </w:p>
    <w:p>
      <w:pPr>
        <w:pStyle w:val="Para 03"/>
      </w:pPr>
      <w:r>
        <w:t>Có lẽ bước phát triển mang tính cách mạng nhất trong lĩnh vực định giá là việc chấp nhận — ít nhất trong một số trường hợp — rằng giá trị của một tài sản có thể lớn hơn giá trị hiện tại của dòng tiền kỳ vọng nếu dòng tiền đó phụ thuộc vào việc một sự kiện có xảy ra hay không. Sự chấp nhận này phần lớn đến từ sự phát triển của các mô hình định giá quyền chọn (option pricing models). Trong khi ban đầu những mô hình này được dùng để định giá các quyền chọn được giao dịch, những năm gần đây đã có nỗ lực mở rộng phạm vi ứng dụng của chúng sang lĩnh vực định giá truyền thống hơn. Nhiều người lập luận rằng những tài sản như bằng sáng chế hay trữ lượng chưa khai thác thực chất là các quyền chọn và nên được định giá như vậy, thay vì dùng các mô hình dòng tiền chiết khấu truyền thống.</w:t>
      </w:r>
    </w:p>
    <w:p>
      <w:bookmarkStart w:id="211" w:name="Basis_for_Approach__A_contingent"/>
      <w:bookmarkStart w:id="212" w:name="Basis_for_Approach"/>
      <w:pPr>
        <w:keepNext/>
        <w:pStyle w:val="Heading 3"/>
        <w:keepLines w:val="on"/>
      </w:pPr>
      <w:r>
        <w:t>Cơ sở của cách tiếp cận</w:t>
      </w:r>
      <w:bookmarkEnd w:id="211"/>
      <w:bookmarkEnd w:id="212"/>
    </w:p>
    <w:p>
      <w:pPr>
        <w:pStyle w:val="Para 03"/>
      </w:pPr>
      <w:r>
        <w:t>Một quyền phát sinh (contingent claim) hay quyền chọn (option) là một quyền chỉ mang lại lợi ích trong những tình huống nhất định — nếu giá trị của tài sản cơ sở vượt qua một mức giá xác định trước đối với quyền chọn mua (call option), hoặc thấp hơn một mức giá xác định trước đối với quyền chọn bán (put option). Rất nhiều công trình đã được thực hiện trong 50 năm qua để phát triển các mô hình định giá quyền chọn, và những mô hình định giá quyền chọn này có thể được dùng để định giá bất kỳ tài sản nào có đặc điểm giống quyền chọn.</w:t>
      </w:r>
    </w:p>
    <w:p>
      <w:pPr>
        <w:pStyle w:val="Para 03"/>
      </w:pPr>
      <w:r>
        <w:t>Hình 2.2 minh họa khoản chi trả của quyền chọn mua và quyền chọn bán như một hàm số của giá trị tài sản cơ sở. Một quyền chọn có thể được định giá dựa trên các biến số sau: giá trị hiện tại và phương sai của giá trị tài sản cơ sở, giá thực hiện (strike price) và thời gian đến ngày đáo hạn của quyền chọn, cùng lãi suất phi rủi ro. Điều này lần đầu được Fischer Black và Myron Scholes thiết lập vào năm 1972 và sau đó được mở rộng, tinh chỉnh qua vô số biến thể. Trong khi mô hình định giá quyền chọn Black-Scholes bỏ qua cổ tức và giả định rằng quyền chọn sẽ không được thực hiện sớm, nó có thể được điều chỉnh để cho phép cả hai điều này. Một biến thể theo thời gian rời rạc, mô hình định giá quyền chọn nhị thức (binomial option pricing model), cũng đã được phát triển để định giá quyền chọn.</w:t>
      </w:r>
    </w:p>
    <w:p>
      <w:bookmarkStart w:id="214" w:name="Figure_2_2_Payoff_Diagram_on_Cal"/>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33600" cy="1104900"/>
            <wp:effectExtent l="0" r="0" t="0" b="0"/>
            <wp:wrapTopAndBottom/>
            <wp:docPr id="5" name="c02f002.png" descr="Diagram depicts the payoffs on call and put options as a function of the value of the underlying asset."/>
            <wp:cNvGraphicFramePr>
              <a:graphicFrameLocks noChangeAspect="1"/>
            </wp:cNvGraphicFramePr>
            <a:graphic>
              <a:graphicData uri="http://schemas.openxmlformats.org/drawingml/2006/picture">
                <pic:pic>
                  <pic:nvPicPr>
                    <pic:cNvPr id="0" name="c02f002.png" descr="Diagram depicts the payoffs on call and put options as a function of the value of the underlying asset."/>
                    <pic:cNvPicPr/>
                  </pic:nvPicPr>
                  <pic:blipFill>
                    <a:blip r:embed="rId9"/>
                    <a:stretch>
                      <a:fillRect/>
                    </a:stretch>
                  </pic:blipFill>
                  <pic:spPr>
                    <a:xfrm>
                      <a:off x="0" y="0"/>
                      <a:ext cx="2133600" cy="1104900"/>
                    </a:xfrm>
                    <a:prstGeom prst="rect">
                      <a:avLst/>
                    </a:prstGeom>
                  </pic:spPr>
                </pic:pic>
              </a:graphicData>
            </a:graphic>
          </wp:anchor>
        </w:drawing>
      </w:r>
      <w:bookmarkEnd w:id="214"/>
    </w:p>
    <w:p>
      <w:pPr>
        <w:keepNext/>
        <w:pStyle w:val="Para 22"/>
        <w:keepLines w:val="on"/>
      </w:pPr>
      <w:r>
        <w:t>Hình 2.2 Sơ đồ chi trả của quyền chọn mua và quyền chọn bán</w:t>
      </w:r>
    </w:p>
    <w:p>
      <w:pPr>
        <w:pStyle w:val="Para 03"/>
      </w:pPr>
      <w:r>
        <w:t>Một tài sản có thể được định giá như một quyền chọn nếu khoản chi trả của nó là một hàm số của giá trị tài sản cơ sở. Nó có thể được định giá như quyền chọn mua nếu, khi giá trị đó vượt qua một mức xác định trước, tài sản đáng giá bằng phần chênh lệch. Nó có thể được định giá như quyền chọn bán nếu nó tăng giá trị khi giá trị tài sản cơ sở giảm xuống dưới một mức xác định trước, và nếu nó không đáng giá gì khi giá trị tài sản cơ sở vượt qua mức đã định đó.</w:t>
      </w:r>
    </w:p>
    <w:p>
      <w:bookmarkStart w:id="215" w:name="Underpinnings_of_Contingent_Clai"/>
      <w:bookmarkStart w:id="216" w:name="Underpinnings_of_Contingent_Clai_1"/>
      <w:pPr>
        <w:keepNext/>
        <w:pStyle w:val="Heading 3"/>
        <w:keepLines w:val="on"/>
      </w:pPr>
      <w:r>
        <w:t>Nền tảng của định giá theo quyền phát sinh</w:t>
      </w:r>
      <w:bookmarkEnd w:id="215"/>
      <w:bookmarkEnd w:id="216"/>
    </w:p>
    <w:p>
      <w:pPr>
        <w:pStyle w:val="Para 03"/>
      </w:pPr>
      <w:r>
        <w:t>Tiền đề cơ bản đằng sau việc sử dụng các mô hình định giá quyền chọn là các mô hình dòng tiền chiết khấu có xu hướng đánh giá thấp giá trị của những tài sản mang lại khoản chi trả phụ thuộc vào việc một sự kiện có xảy ra hay không. Lấy một ví dụ đơn giản, hãy xem xét một trữ lượng dầu chưa khai thác thuộc sở hữu của Petrobras. Bạn có thể định giá trữ lượng này dựa trên kỳ vọng về giá dầu trong tương lai, nhưng ước tính này sẽ bỏ sót một thực tế rằng công ty dầu sẽ chỉ khai thác trữ lượng này nếu giá dầu tăng, và sẽ không khai thác nếu giá dầu giảm. Một mô hình định giá quyền chọn sẽ cho ra một giá trị có tính đến quyền này.</w:t>
      </w:r>
    </w:p>
    <w:p>
      <w:pPr>
        <w:pStyle w:val="Para 03"/>
      </w:pPr>
      <w:r>
        <w:t>Khi chúng ta dùng các mô hình định giá quyền chọn để định giá những tài sản như bằng sáng chế và trữ lượng tài nguyên thiên nhiên chưa khai thác, chúng ta đang giả định rằng thị trường đủ tinh vi để nhận ra những quyền chọn như vậy và đưa chúng vào giá thị trường. Nếu thị trường hiện tại chưa làm được điều đó, chúng ta giả định rằng cuối cùng họ sẽ làm; lợi ích của việc dùng những mô hình này đến khi sự điều chỉnh đó xảy ra.</w:t>
      </w:r>
    </w:p>
    <w:p>
      <w:bookmarkStart w:id="218" w:name="Categorizing_Option_Pricing_Mode_1"/>
      <w:bookmarkStart w:id="219" w:name="Categorizing_Option_Pricing_Mode"/>
      <w:pPr>
        <w:keepNext/>
        <w:pStyle w:val="Heading 3"/>
        <w:keepLines w:val="on"/>
      </w:pPr>
      <w:r>
        <w:t>Phân loại các mô hình định giá quyền chọn</w:t>
      </w:r>
      <w:bookmarkEnd w:id="218"/>
      <w:bookmarkEnd w:id="219"/>
    </w:p>
    <w:p>
      <w:pPr>
        <w:pStyle w:val="Para 03"/>
      </w:pPr>
      <w:r>
        <w:t>Cách phân loại đầu tiên của quyền chọn dựa trên việc tài sản cơ sở là tài sản tài chính hay tài sản thực. Hầu hết các quyền chọn được niêm yết, dù là quyền chọn niêm yết trên Chicago Board Options Exchange hay các chứng khoán thu nhập cố định có thể mua lại, đều dựa trên tài sản tài chính như cổ phiếu và trái phiếu. Ngược lại, quyền chọn có thể dựa trên tài sản thực, như hàng hóa, bất động sản, hay thậm chí là các dự án đầu tư; những quyền chọn như vậy thường được gọi là quyền chọn thực (real options).</w:t>
      </w:r>
    </w:p>
    <w:p>
      <w:pPr>
        <w:pStyle w:val="Para 03"/>
      </w:pPr>
      <w:r>
        <w:t>Cách phân loại thứ hai, có phần chồng lấn, dựa trên việc tài sản cơ sở có được giao dịch hay không. Sự chồng lấn xảy ra vì hầu hết tài sản tài chính đều được giao dịch, trong khi tương đối ít tài sản thực được giao dịch. Quyền chọn trên tài sản được giao dịch thường dễ định giá hơn, và các thông số đầu vào cho mô hình định giá quyền chọn có thể lấy được từ thị trường tài chính. Quyền chọn trên tài sản không được giao dịch khó định giá hơn nhiều, vì không có thông số đầu vào nào từ thị trường cho tài sản cơ sở.</w:t>
      </w:r>
    </w:p>
    <w:p>
      <w:bookmarkStart w:id="220" w:name="Applicability_and_Limitations_of_4"/>
      <w:bookmarkStart w:id="221" w:name="Applicability_and_Limitations_of_5"/>
      <w:pPr>
        <w:keepNext/>
        <w:pStyle w:val="Heading 3"/>
        <w:keepLines w:val="on"/>
      </w:pPr>
      <w:r>
        <w:t>Khả năng áp dụng và hạn chế của các mô hình định giá quyền chọn</w:t>
      </w:r>
      <w:bookmarkEnd w:id="220"/>
      <w:bookmarkEnd w:id="221"/>
    </w:p>
    <w:p>
      <w:pPr>
        <w:pStyle w:val="Para 03"/>
      </w:pPr>
      <w:r>
        <w:t>Có một số ví dụ trực tiếp về các chứng khoán chính là quyền chọn — LEAPS, tức các quyền chọn cổ phiếu dài hạn trên cổ phiếu được giao dịch; quyền giá trị phát sinh (contingent value rights), cung cấp sự bảo vệ cho cổ đông trong các công ty trước sự sụt giảm giá cổ phiếu; và chứng quyền (warrants), tức các quyền chọn mua dài hạn do công ty phát hành.</w:t>
      </w:r>
    </w:p>
    <w:p>
      <w:pPr>
        <w:pStyle w:val="Para 20"/>
      </w:pPr>
      <w:r>
        <w:rPr>
          <w:rStyle w:val="Text26"/>
        </w:rPr>
        <w:bookmarkStart w:id="222" w:name="Page_27"/>
        <w:t/>
        <w:bookmarkEnd w:id="222"/>
      </w:r>
      <w:r>
        <w:t xml:space="preserve"> </w:t>
      </w:r>
    </w:p>
    <w:p>
      <w:pPr>
        <w:pStyle w:val="Para 03"/>
      </w:pPr>
      <w:r>
        <w:t>Có những tài sản khác thường không được xem là quyền chọn nhưng vẫn chia sẻ một số đặc điểm của quyền chọn. Chẳng hạn, vốn cổ phần (equity) có thể được xem như một quyền chọn mua trên giá trị của công ty cơ sở, với mệnh giá của khoản nợ đại diện cho giá thực hiện và kỳ hạn của khoản nợ đo lường vòng đời của quyền chọn. Một bằng sáng chế có thể được phân tích như một quyền chọn mua trên một sản phẩm, với khoản đầu tư cần thiết để khởi động dự án được coi là giá thực hiện và thời hạn của bằng sáng chế trở thành thời gian đến ngày đáo hạn của quyền chọn.</w:t>
      </w:r>
    </w:p>
    <w:p>
      <w:pPr>
        <w:pStyle w:val="Para 03"/>
      </w:pPr>
      <w:r>
        <w:t>Có những hạn chế khi dùng các mô hình định giá quyền chọn để định giá các quyền chọn dài hạn trên tài sản không được giao dịch. Những giả định về phương sai không đổi và tỷ suất cổ tức, vốn ít bị phản đối đối với các quyền chọn ngắn hạn, trở nên khó bảo vệ hơn nhiều khi quyền chọn có vòng đời dài. Khi tài sản cơ sở không được giao dịch, các thông số đầu vào cho giá trị tài sản cơ sở và phương sai của giá trị đó không thể lấy từ thị trường tài chính mà phải được ước tính. Do đó, giá trị cuối cùng thu được từ những ứng dụng này của mô hình định giá quyền chọn có sai số ước tính đi kèm lớn hơn nhiều so với giá trị thu được trong các ứng dụng tiêu chuẩn hơn của chúng (để định giá quyền chọn ngắn hạn được giao dịch).</w:t>
      </w:r>
    </w:p>
    <w:p>
      <w:bookmarkStart w:id="223" w:name="Conclusion_1"/>
      <w:bookmarkStart w:id="224" w:name="Conclusion__There_are_three_basi"/>
      <w:pPr>
        <w:keepNext/>
        <w:pStyle w:val="Heading 2"/>
        <w:keepLines w:val="on"/>
      </w:pPr>
      <w:r>
        <w:t>Kết luận</w:t>
      </w:r>
      <w:bookmarkEnd w:id="223"/>
      <w:bookmarkEnd w:id="224"/>
    </w:p>
    <w:p>
      <w:pPr>
        <w:pStyle w:val="Para 03"/>
      </w:pPr>
      <w:r>
        <w:t>Có ba cách tiếp cận cơ bản, tuy không loại trừ lẫn nhau, đối với việc định giá. Thứ nhất là định giá nội tại (intrinsic valuation), thường dưới hình thức định giá dòng tiền chiết khấu, trong đó dòng tiền được chiết khấu theo một tỷ suất chiết khấu đã điều chỉnh theo rủi ro để đi đến một ước tính giá trị. Phân tích có thể được thực hiện hoàn toàn từ góc độ của nhà đầu tư cổ phần bằng cách chiết khấu dòng tiền kỳ vọng thuộc về cổ đông theo chi phí vốn cổ phần (cost of equity), hoặc có thể được thực hiện từ góc độ của tất cả các bên có quyền đòi đối với công ty, bằng cách chiết khấu dòng tiền kỳ vọng thuộc về công ty theo chi phí vốn bình quân gia quyền (weighted average cost of capital). Thứ hai là định giá theo thị trường hay định giá tương đối (relative valuation), trong đó giá của một tài sản được dựa trên giá của những tài sản tương tự. Thứ ba là định giá theo quyền phát sinh (contingent claim valuation), trong đó một tài sản có dòng tiền phụ thuộc vào sự kiện được định giá bằng một mô hình định giá quyền chọn. Mỗi cách đều nên có một vị trí trong bộ công cụ dành cho bất kỳ nhà phân tích nào quan tâm đến định giá.</w:t>
      </w:r>
    </w:p>
    <w:p>
      <w:bookmarkStart w:id="225" w:name="Questions_and_Short_Problems__In"/>
      <w:bookmarkStart w:id="226" w:name="Questions_and_Short_Problems_2"/>
      <w:pPr>
        <w:keepNext/>
        <w:pStyle w:val="Heading 2"/>
        <w:keepLines w:val="on"/>
      </w:pPr>
      <w:r>
        <w:t>Câu hỏi và Bài tập ngắn</w:t>
      </w:r>
      <w:bookmarkEnd w:id="225"/>
      <w:bookmarkEnd w:id="226"/>
    </w:p>
    <w:p>
      <w:pPr>
        <w:pStyle w:val="Para 44"/>
      </w:pPr>
      <w:r>
        <w:t>Trong các bài tập sau đây, hãy sử dụng mức bù rủi ro vốn cổ phần (equity risk premium) là 5,5 phần trăm nếu không có quy định nào khác.</w:t>
      </w:r>
    </w:p>
    <w:p>
      <w:pPr>
        <w:numPr>
          <w:ilvl w:val="0"/>
          <w:numId w:val="6"/>
        </w:numPr>
        <w:pStyle w:val="Para 01"/>
      </w:pPr>
      <w:r>
        <w:t>Định giá dòng tiền chiết khấu (discounted cash flow valuation) dựa trên quan niệm rằng giá trị của một tài sản chính là giá trị hiện tại của các dòng tiền kỳ vọng từ tài sản đó, được chiết khấu theo một tỷ lệ phản ánh mức độ rủi ro của những dòng tiền ấy. Hãy xác định xem những phát biểu sau đây về định giá dòng tiền chiết khấu là đúng hay sai, giả sử rằng tất cả các biến số đều không đổi ngoại trừ biến được đề cập:</w:t>
      </w:r>
    </w:p>
    <w:p>
      <w:pPr>
        <w:numPr>
          <w:ilvl w:val="1"/>
          <w:numId w:val="6"/>
        </w:numPr>
        <w:pStyle w:val="Para 01"/>
      </w:pPr>
      <w:r>
        <w:t>Khi tỷ lệ chiết khấu (discount rate) tăng lên, giá trị của một tài sản sẽ tăng lên.</w:t>
      </w:r>
    </w:p>
    <w:p>
      <w:pPr>
        <w:pStyle w:val="Para 03"/>
      </w:pPr>
      <w:r>
        <w:t>Đúng____ Sai ____</w:t>
      </w:r>
    </w:p>
    <w:p>
      <w:pPr>
        <w:numPr>
          <w:ilvl w:val="1"/>
          <w:numId w:val="6"/>
        </w:numPr>
        <w:pStyle w:val="Para 01"/>
      </w:pPr>
      <w:r>
        <w:t>Khi tốc độ tăng trưởng kỳ vọng của dòng tiền tăng lên, giá trị của một tài sản sẽ tăng lên.</w:t>
      </w:r>
    </w:p>
    <w:p>
      <w:pPr>
        <w:pStyle w:val="Para 03"/>
      </w:pPr>
      <w:r>
        <w:t>Đúng ____ Sai ____</w:t>
      </w:r>
    </w:p>
    <w:p>
      <w:pPr>
        <w:numPr>
          <w:ilvl w:val="1"/>
          <w:numId w:val="6"/>
        </w:numPr>
        <w:pStyle w:val="Para 01"/>
      </w:pPr>
      <w:r>
        <w:t>Khi vòng đời của một tài sản được kéo dài ra, giá trị của tài sản đó sẽ tăng lên.</w:t>
      </w:r>
    </w:p>
    <w:p>
      <w:pPr>
        <w:pStyle w:val="Para 03"/>
      </w:pPr>
      <w:r>
        <w:t>Đúng ____ Sai ____</w:t>
      </w:r>
    </w:p>
    <w:p>
      <w:pPr>
        <w:numPr>
          <w:ilvl w:val="1"/>
          <w:numId w:val="6"/>
        </w:numPr>
        <w:pStyle w:val="Para 01"/>
      </w:pPr>
      <w:r>
        <w:t>Khi mức độ bất định về dòng tiền kỳ vọng tăng lên, giá trị của một tài sản sẽ tăng lên.</w:t>
      </w:r>
    </w:p>
    <w:p>
      <w:pPr>
        <w:pStyle w:val="Para 03"/>
      </w:pPr>
      <w:r>
        <w:t>Đúng ____ Sai ____</w:t>
      </w:r>
    </w:p>
    <w:p>
      <w:pPr>
        <w:numPr>
          <w:ilvl w:val="1"/>
          <w:numId w:val="6"/>
        </w:numPr>
        <w:pStyle w:val="Para 01"/>
      </w:pPr>
      <w:r>
        <w:t>Một tài sản có vòng đời vô hạn (tức là được kỳ vọng tồn tại mãi mãi) sẽ có giá trị vô hạn.</w:t>
      </w:r>
    </w:p>
    <w:p>
      <w:pPr>
        <w:pStyle w:val="Para 03"/>
      </w:pPr>
      <w:r>
        <w:t>Đúng ____ Sai ____</w:t>
      </w:r>
    </w:p>
    <w:p>
      <w:pPr>
        <w:numPr>
          <w:ilvl w:val="0"/>
          <w:numId w:val="6"/>
        </w:numPr>
        <w:pStyle w:val="Para 01"/>
      </w:pPr>
      <w:r>
        <w:t>Vì sao việc định giá dòng tiền chiết khấu có thể gặp khó khăn đối với những loại doanh nghiệp sau đây?</w:t>
      </w:r>
    </w:p>
    <w:p>
      <w:pPr>
        <w:numPr>
          <w:ilvl w:val="1"/>
          <w:numId w:val="6"/>
        </w:numPr>
        <w:pStyle w:val="Para 01"/>
      </w:pPr>
      <w:r>
        <w:t>Một doanh nghiệp tư nhân (private firm), nơi chủ sở hữu đang có kế hoạch bán doanh nghiệp.</w:t>
      </w:r>
    </w:p>
    <w:p>
      <w:pPr>
        <w:numPr>
          <w:ilvl w:val="1"/>
          <w:numId w:val="6"/>
        </w:numPr>
        <w:pStyle w:val="Para 01"/>
      </w:pPr>
      <w:r>
        <w:t>Một doanh nghiệp công nghệ sinh học (biotechnology firm) chưa có sản phẩm hay doanh thu hiện tại, nhưng có một số bằng sáng chế sản phẩm đầy hứa hẹn đang trong giai đoạn phát triển.</w:t>
      </w:r>
    </w:p>
    <w:p>
      <w:pPr>
        <w:numPr>
          <w:ilvl w:val="1"/>
          <w:numId w:val="6"/>
        </w:numPr>
        <w:pStyle w:val="Para 01"/>
      </w:pPr>
      <w:r>
        <w:t>Một doanh nghiệp có tính chu kỳ (cyclical firm) đang trong thời kỳ suy thoái.</w:t>
      </w:r>
    </w:p>
    <w:p>
      <w:pPr>
        <w:numPr>
          <w:ilvl w:val="1"/>
          <w:numId w:val="6"/>
        </w:numPr>
        <w:pStyle w:val="Para 01"/>
      </w:pPr>
      <w:r>
        <w:t>Một doanh nghiệp đang gặp khó khăn, đã thua lỗ đáng kể và được dự báo sẽ chưa thể thoát khỏi tình trạng khó khăn trong vài năm tới.</w:t>
      </w:r>
    </w:p>
    <w:p>
      <w:pPr>
        <w:numPr>
          <w:ilvl w:val="1"/>
          <w:numId w:val="6"/>
        </w:numPr>
        <w:pStyle w:val="Para 01"/>
      </w:pPr>
      <w:r>
        <w:t>Một doanh nghiệp đang trong quá trình tái cấu trúc, bán đi một số tài sản và thay đổi cơ cấu tài chính của mình.</w:t>
      </w:r>
    </w:p>
    <w:p>
      <w:pPr>
        <w:numPr>
          <w:ilvl w:val="1"/>
          <w:numId w:val="6"/>
        </w:numPr>
        <w:pStyle w:val="Para 01"/>
      </w:pPr>
      <w:r>
        <w:t>Một doanh nghiệp sở hữu nhiều đất đai có giá trị lớn nhưng hiện đang chưa được sử dụng.</w:t>
      </w:r>
    </w:p>
    <w:p>
      <w:pPr>
        <w:numPr>
          <w:ilvl w:val="0"/>
          <w:numId w:val="6"/>
        </w:numPr>
        <w:pStyle w:val="Para 01"/>
      </w:pPr>
      <w:r>
        <w:t>Dưới đây là các dòng tiền dự phóng thuộc về vốn cổ phần (cash flows to equity) và thuộc về doanh nghiệp (cash flows to the firm) trong năm năm tới:</w:t>
      </w:r>
    </w:p>
    <w:tbl>
      <w:tblPr>
        <w:tblW w:type="auto" w:w="0"/>
      </w:tblPr>
      <w:tr>
        <w:tc>
          <w:tcPr>
            <w:tcW w:type="auto" w:w="0"/>
          </w:tcPr>
          <w:tbl>
            <w:tblPr>
              <w:tblW w:type="auto" w:w="0"/>
            </w:tblPr>
            <w:tr>
              <w:tc>
                <w:tcPr>
                  <w:tcW w:type="auto" w:w="0"/>
                  <w:shd w:val="clear" w:color="auto" w:fill="F0F0F0"/>
                </w:tcPr>
                <w:p>
                  <w:pPr>
                    <w:pStyle w:val="Para 17"/>
                    <w:keepLines w:val="on"/>
                  </w:pPr>
                  <w:r>
                    <w:t>Năm</w:t>
                  </w:r>
                </w:p>
              </w:tc>
              <w:tc>
                <w:tcPr>
                  <w:tcW w:type="auto" w:w="0"/>
                  <w:shd w:val="clear" w:color="auto" w:fill="F0F0F0"/>
                </w:tcPr>
                <w:p>
                  <w:pPr>
                    <w:pStyle w:val="Para 17"/>
                    <w:keepLines w:val="on"/>
                  </w:pPr>
                  <w:r>
                    <w:t>Dòng tiền thuộc về vốn cổ phần</w:t>
                  </w:r>
                </w:p>
              </w:tc>
              <w:tc>
                <w:tcPr>
                  <w:tcW w:type="auto" w:w="0"/>
                  <w:shd w:val="clear" w:color="auto" w:fill="F0F0F0"/>
                </w:tcPr>
                <w:p>
                  <w:pPr>
                    <w:pStyle w:val="Para 17"/>
                    <w:keepLines w:val="on"/>
                  </w:pPr>
                  <w:r>
                    <w:t>Lãi vay (1 ‒ t)</w:t>
                  </w:r>
                </w:p>
              </w:tc>
              <w:tc>
                <w:tcPr>
                  <w:tcW w:type="auto" w:w="0"/>
                  <w:shd w:val="clear" w:color="auto" w:fill="F0F0F0"/>
                </w:tcPr>
                <w:p>
                  <w:pPr>
                    <w:pStyle w:val="Para 17"/>
                    <w:keepLines w:val="on"/>
                  </w:pPr>
                  <w:r>
                    <w:t>Dòng tiền thuộc về doanh nghiệp</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$250,00</w:t>
                  </w:r>
                </w:p>
              </w:tc>
              <w:tc>
                <w:tcPr>
                  <w:tcW w:type="auto" w:w="0"/>
                  <w:shd w:val="clear" w:color="auto" w:fill="F0F0F0"/>
                </w:tcPr>
                <w:p>
                  <w:pPr>
                    <w:pStyle w:val="Normal"/>
                    <w:keepLines w:val="on"/>
                  </w:pPr>
                  <w:r>
                    <w:t>$90,00</w:t>
                  </w:r>
                </w:p>
              </w:tc>
              <w:tc>
                <w:tcPr>
                  <w:tcW w:type="auto" w:w="0"/>
                  <w:shd w:val="clear" w:color="auto" w:fill="F0F0F0"/>
                </w:tcPr>
                <w:p>
                  <w:pPr>
                    <w:pStyle w:val="Normal"/>
                    <w:keepLines w:val="on"/>
                  </w:pPr>
                  <w:r>
                    <w:t>$340,00</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$262,50</w:t>
                  </w:r>
                </w:p>
              </w:tc>
              <w:tc>
                <w:tcPr>
                  <w:tcW w:type="auto" w:w="0"/>
                  <w:shd w:val="clear" w:color="auto" w:fill="F0F0F0"/>
                </w:tcPr>
                <w:p>
                  <w:pPr>
                    <w:pStyle w:val="Normal"/>
                    <w:keepLines w:val="on"/>
                  </w:pPr>
                  <w:r>
                    <w:t>$94,50</w:t>
                  </w:r>
                </w:p>
              </w:tc>
              <w:tc>
                <w:tcPr>
                  <w:tcW w:type="auto" w:w="0"/>
                  <w:shd w:val="clear" w:color="auto" w:fill="F0F0F0"/>
                </w:tcPr>
                <w:p>
                  <w:pPr>
                    <w:pStyle w:val="Normal"/>
                    <w:keepLines w:val="on"/>
                  </w:pPr>
                  <w:r>
                    <w:t>$357,00</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$275,63</w:t>
                  </w:r>
                </w:p>
              </w:tc>
              <w:tc>
                <w:tcPr>
                  <w:tcW w:type="auto" w:w="0"/>
                  <w:shd w:val="clear" w:color="auto" w:fill="F0F0F0"/>
                </w:tcPr>
                <w:p>
                  <w:pPr>
                    <w:pStyle w:val="Normal"/>
                    <w:keepLines w:val="on"/>
                  </w:pPr>
                  <w:r>
                    <w:t>$99,23</w:t>
                  </w:r>
                </w:p>
              </w:tc>
              <w:tc>
                <w:tcPr>
                  <w:tcW w:type="auto" w:w="0"/>
                  <w:shd w:val="clear" w:color="auto" w:fill="F0F0F0"/>
                </w:tcPr>
                <w:p>
                  <w:pPr>
                    <w:pStyle w:val="Normal"/>
                    <w:keepLines w:val="on"/>
                  </w:pPr>
                  <w:r>
                    <w:t>$374,85</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$289,41</w:t>
                  </w:r>
                </w:p>
              </w:tc>
              <w:tc>
                <w:tcPr>
                  <w:tcW w:type="auto" w:w="0"/>
                  <w:shd w:val="clear" w:color="auto" w:fill="F0F0F0"/>
                </w:tcPr>
                <w:p>
                  <w:pPr>
                    <w:pStyle w:val="Normal"/>
                    <w:keepLines w:val="on"/>
                  </w:pPr>
                  <w:r>
                    <w:t>$104,19</w:t>
                  </w:r>
                </w:p>
              </w:tc>
              <w:tc>
                <w:tcPr>
                  <w:tcW w:type="auto" w:w="0"/>
                  <w:shd w:val="clear" w:color="auto" w:fill="F0F0F0"/>
                </w:tcPr>
                <w:p>
                  <w:pPr>
                    <w:pStyle w:val="Normal"/>
                    <w:keepLines w:val="on"/>
                  </w:pPr>
                  <w:r>
                    <w:t>$393,59</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$303,88</w:t>
                  </w:r>
                </w:p>
              </w:tc>
              <w:tc>
                <w:tcPr>
                  <w:tcW w:type="auto" w:w="0"/>
                  <w:shd w:val="clear" w:color="auto" w:fill="F0F0F0"/>
                </w:tcPr>
                <w:p>
                  <w:pPr>
                    <w:pStyle w:val="Normal"/>
                    <w:keepLines w:val="on"/>
                  </w:pPr>
                  <w:r>
                    <w:t>$109,40</w:t>
                  </w:r>
                </w:p>
              </w:tc>
              <w:tc>
                <w:tcPr>
                  <w:tcW w:type="auto" w:w="0"/>
                  <w:shd w:val="clear" w:color="auto" w:fill="F0F0F0"/>
                </w:tcPr>
                <w:p>
                  <w:pPr>
                    <w:pStyle w:val="Normal"/>
                    <w:keepLines w:val="on"/>
                  </w:pPr>
                  <w:r>
                    <w:t>$413,27</w:t>
                  </w:r>
                </w:p>
              </w:tc>
            </w:tr>
            <w:tr>
              <w:tc>
                <w:tcPr>
                  <w:tcW w:type="auto" w:w="0"/>
                  <w:shd w:val="clear" w:color="auto" w:fill="F0F0F0"/>
                </w:tcPr>
                <w:p>
                  <w:pPr>
                    <w:pStyle w:val="Normal"/>
                    <w:keepLines w:val="on"/>
                  </w:pPr>
                  <w:r>
                    <w:t>Giá trị cuối kỳ</w:t>
                  </w:r>
                </w:p>
              </w:tc>
              <w:tc>
                <w:tcPr>
                  <w:tcW w:type="auto" w:w="0"/>
                  <w:shd w:val="clear" w:color="auto" w:fill="F0F0F0"/>
                </w:tcPr>
                <w:p>
                  <w:pPr>
                    <w:pStyle w:val="Normal"/>
                    <w:keepLines w:val="on"/>
                  </w:pPr>
                  <w:r>
                    <w:t>$3.946,50</w:t>
                  </w:r>
                </w:p>
              </w:tc>
              <w:tc>
                <w:tcPr>
                  <w:tcW w:type="auto" w:w="0"/>
                  <w:shd w:val="clear" w:color="auto" w:fill="F0F0F0"/>
                </w:tcPr>
                <w:p>
                  <w:pPr>
                    <w:pStyle w:val="Normal"/>
                    <w:keepLines w:val="on"/>
                  </w:pPr>
                  <w:r>
                    <w:t/>
                  </w:r>
                </w:p>
              </w:tc>
              <w:tc>
                <w:tcPr>
                  <w:tcW w:type="auto" w:w="0"/>
                  <w:shd w:val="clear" w:color="auto" w:fill="F0F0F0"/>
                </w:tcPr>
                <w:p>
                  <w:pPr>
                    <w:pStyle w:val="Normal"/>
                    <w:keepLines w:val="on"/>
                  </w:pPr>
                  <w:r>
                    <w:t>$6.000,00</w:t>
                  </w:r>
                </w:p>
              </w:tc>
            </w:tr>
          </w:tbl>
          <w:p/>
        </w:tc>
      </w:tr>
    </w:tbl>
    <w:p>
      <w:pPr>
        <w:pStyle w:val="Para 03"/>
      </w:pPr>
      <w:r>
        <w:t>Công ty có chi phí vốn chủ sở hữu là 12% và chi phí vốn là 9,94%. Hãy trả lời các câu hỏi sau:</w:t>
      </w:r>
    </w:p>
    <w:p>
      <w:pPr>
        <w:numPr>
          <w:ilvl w:val="1"/>
          <w:numId w:val="6"/>
        </w:numPr>
        <w:pStyle w:val="Para 01"/>
      </w:pPr>
      <w:r>
        <w:t>Giá trị vốn chủ sở hữu của công ty này là bao nhiêu?</w:t>
      </w:r>
    </w:p>
    <w:p>
      <w:pPr>
        <w:numPr>
          <w:ilvl w:val="1"/>
          <w:numId w:val="6"/>
        </w:numPr>
        <w:pStyle w:val="Para 01"/>
      </w:pPr>
      <w:r>
        <w:t>Giá trị của công ty là bao nhiêu?</w:t>
      </w:r>
    </w:p>
    <w:p>
      <w:pPr>
        <w:numPr>
          <w:ilvl w:val="0"/>
          <w:numId w:val="6"/>
        </w:numPr>
        <w:pStyle w:val="Para 01"/>
      </w:pPr>
      <w:r>
        <w:t>Bạn đang ước tính chỉ số giá trên thu nhập (price-earnings multiple) để định giá Paramount Corporation bằng cách xem xét chỉ số giá trên thu nhập bình quân của các công ty tương đương. Dưới đây là các tỷ lệ giá trên thu nhập của các công ty trong ngành giải trí.</w:t>
      </w:r>
    </w:p>
    <w:p>
      <w:pPr>
        <w:keepNext/>
        <w:pStyle w:val="Para 88"/>
        <w:keepLines w:val="on"/>
      </w:pPr>
      <w:r>
        <w:t/>
      </w:r>
    </w:p>
    <w:tbl>
      <w:tblPr>
        <w:tblW w:type="auto" w:w="0"/>
      </w:tblPr>
      <w:tr>
        <w:tc>
          <w:tcPr>
            <w:tcW w:type="auto" w:w="0"/>
          </w:tcPr>
          <w:tbl>
            <w:tblPr>
              <w:tblW w:type="auto" w:w="0"/>
            </w:tblPr>
            <w:tr>
              <w:tc>
                <w:tcPr>
                  <w:tcW w:type="auto" w:w="0"/>
                  <w:shd w:val="clear" w:color="auto" w:fill="F0F0F0"/>
                </w:tcPr>
                <w:p>
                  <w:pPr>
                    <w:pStyle w:val="Para 29"/>
                    <w:keepLines w:val="on"/>
                  </w:pPr>
                  <w:r>
                    <w:t>Công ty</w:t>
                  </w:r>
                </w:p>
              </w:tc>
              <w:tc>
                <w:tcPr>
                  <w:tcW w:type="auto" w:w="0"/>
                  <w:shd w:val="clear" w:color="auto" w:fill="F0F0F0"/>
                </w:tcPr>
                <w:p>
                  <w:pPr>
                    <w:pStyle w:val="Para 17"/>
                    <w:keepLines w:val="on"/>
                  </w:pPr>
                  <w:r>
                    <w:t>Tỷ lệ PE</w:t>
                  </w:r>
                </w:p>
              </w:tc>
            </w:tr>
            <w:tr>
              <w:tc>
                <w:tcPr>
                  <w:tcW w:type="auto" w:w="0"/>
                  <w:shd w:val="clear" w:color="auto" w:fill="F0F0F0"/>
                </w:tcPr>
                <w:p>
                  <w:pPr>
                    <w:pStyle w:val="Para 02"/>
                    <w:keepLines w:val="on"/>
                  </w:pPr>
                  <w:r>
                    <w:t>Disney (Walt)</w:t>
                  </w:r>
                </w:p>
              </w:tc>
              <w:tc>
                <w:tcPr>
                  <w:tcW w:type="auto" w:w="0"/>
                  <w:shd w:val="clear" w:color="auto" w:fill="F0F0F0"/>
                </w:tcPr>
                <w:p>
                  <w:pPr>
                    <w:pStyle w:val="Normal"/>
                    <w:keepLines w:val="on"/>
                  </w:pPr>
                  <w:r>
                    <w:t>22,09</w:t>
                  </w:r>
                </w:p>
              </w:tc>
            </w:tr>
            <w:tr>
              <w:tc>
                <w:tcPr>
                  <w:tcW w:type="auto" w:w="0"/>
                  <w:shd w:val="clear" w:color="auto" w:fill="F0F0F0"/>
                </w:tcPr>
                <w:p>
                  <w:pPr>
                    <w:pStyle w:val="Para 02"/>
                    <w:keepLines w:val="on"/>
                  </w:pPr>
                  <w:r>
                    <w:t>Time Warner</w:t>
                  </w:r>
                </w:p>
              </w:tc>
              <w:tc>
                <w:tcPr>
                  <w:tcW w:type="auto" w:w="0"/>
                  <w:shd w:val="clear" w:color="auto" w:fill="F0F0F0"/>
                </w:tcPr>
                <w:p>
                  <w:pPr>
                    <w:pStyle w:val="Normal"/>
                    <w:keepLines w:val="on"/>
                  </w:pPr>
                  <w:r>
                    <w:t>36,00</w:t>
                  </w:r>
                </w:p>
              </w:tc>
            </w:tr>
            <w:tr>
              <w:tc>
                <w:tcPr>
                  <w:tcW w:type="auto" w:w="0"/>
                  <w:shd w:val="clear" w:color="auto" w:fill="F0F0F0"/>
                </w:tcPr>
                <w:p>
                  <w:pPr>
                    <w:pStyle w:val="Para 02"/>
                    <w:keepLines w:val="on"/>
                  </w:pPr>
                  <w:r>
                    <w:t>King World Productions</w:t>
                  </w:r>
                </w:p>
              </w:tc>
              <w:tc>
                <w:tcPr>
                  <w:tcW w:type="auto" w:w="0"/>
                  <w:shd w:val="clear" w:color="auto" w:fill="F0F0F0"/>
                </w:tcPr>
                <w:p>
                  <w:pPr>
                    <w:pStyle w:val="Normal"/>
                    <w:keepLines w:val="on"/>
                  </w:pPr>
                  <w:r>
                    <w:t>14,10</w:t>
                  </w:r>
                </w:p>
              </w:tc>
            </w:tr>
            <w:tr>
              <w:tc>
                <w:tcPr>
                  <w:tcW w:type="auto" w:w="0"/>
                  <w:shd w:val="clear" w:color="auto" w:fill="F0F0F0"/>
                </w:tcPr>
                <w:p>
                  <w:pPr>
                    <w:pStyle w:val="Para 02"/>
                    <w:keepLines w:val="on"/>
                  </w:pPr>
                  <w:r>
                    <w:t>New Line Cinema</w:t>
                  </w:r>
                </w:p>
              </w:tc>
              <w:tc>
                <w:tcPr>
                  <w:tcW w:type="auto" w:w="0"/>
                  <w:shd w:val="clear" w:color="auto" w:fill="F0F0F0"/>
                </w:tcPr>
                <w:p>
                  <w:pPr>
                    <w:pStyle w:val="Normal"/>
                    <w:keepLines w:val="on"/>
                  </w:pPr>
                  <w:r>
                    <w:t>26,70</w:t>
                  </w:r>
                </w:p>
              </w:tc>
            </w:tr>
          </w:tbl>
          <w:p/>
        </w:tc>
      </w:tr>
    </w:tbl>
    <w:p>
      <w:pPr>
        <w:numPr>
          <w:ilvl w:val="1"/>
          <w:numId w:val="6"/>
        </w:numPr>
        <w:pStyle w:val="Para 01"/>
      </w:pPr>
      <w:r>
        <w:t>Tỷ lệ PE bình quân là bao nhiêu?</w:t>
      </w:r>
    </w:p>
    <w:p>
      <w:pPr>
        <w:numPr>
          <w:ilvl w:val="1"/>
          <w:numId w:val="6"/>
        </w:numPr>
        <w:pStyle w:val="Para 01"/>
      </w:pPr>
      <w:r>
        <w:t>Bạn có sử dụng tất cả các công ty tương đương để tính bình quân không? Tại sao có hoặc tại sao không?</w:t>
      </w:r>
    </w:p>
    <w:p>
      <w:pPr>
        <w:numPr>
          <w:ilvl w:val="1"/>
          <w:numId w:val="6"/>
        </w:numPr>
        <w:pStyle w:val="Para 01"/>
      </w:pPr>
      <w:r>
        <w:t>Bạn đang đưa ra những giả định gì khi sử dụng tỷ lệ PE bình quân ngành để định giá Paramount Corporation?</w:t>
      </w:r>
    </w:p>
    <w:p>
      <w:bookmarkStart w:id="228" w:name="Notes___1_For_purposes_of_this_e"/>
      <w:bookmarkStart w:id="229" w:name="Notes_1"/>
      <w:pPr>
        <w:keepNext/>
        <w:pStyle w:val="Heading 2"/>
        <w:keepLines w:val="on"/>
      </w:pPr>
      <w:r>
        <w:t>Ghi chú</w:t>
      </w:r>
      <w:bookmarkEnd w:id="228"/>
      <w:bookmarkEnd w:id="229"/>
    </w:p>
    <w:p>
      <w:pPr>
        <w:pStyle w:val="Para 08"/>
      </w:pPr>
      <w:r>
        <w:t>1 Trong ví dụ này, hãy coi các giá trị cuối kỳ (terminal values) là đã cho, thay vì được tính toán. Chúng ta sẽ quay lại câu hỏi ước tính giá trị cuối kỳ ở phần sau của cuốn sách này.</w:t>
      </w:r>
    </w:p>
    <w:p>
      <w:pPr>
        <w:pStyle w:val="Para 08"/>
      </w:pPr>
      <w:r>
        <w:t>2 Sự bảo vệ của trách nhiệm hữu hạn (limited liability) phải đảm bảo rằng không có cổ phiếu nào bán với giá dưới 0. Giá của một cổ phiếu như vậy không bao giờ có thể âm.</w:t>
      </w:r>
    </w:p>
    <w:p>
      <w:pPr>
        <w:pStyle w:val="Para 08"/>
      </w:pPr>
      <w:r>
        <w:t>3 Nếu những tài sản này được giao dịch trên các thị trường bên ngoài, giá thị trường của những tài sản này có thể được dùng trong việc định giá. Nếu không, các dòng tiền có thể được dự phóng, giả định việc sử dụng tài sản ở mức tối đa, và giá trị có thể được ước tính.</w:t>
      </w:r>
    </w:p>
    <w:p>
      <w:pPr>
        <w:pStyle w:val="Para 08"/>
      </w:pPr>
      <w:r>
        <w:t>4 Đây là các tỷ lệ PE của những công ty này vào cuối năm 1992.</w:t>
      </w:r>
    </w:p>
    <w:p>
      <w:bookmarkStart w:id="234" w:name="Chapter_3Understanding_Financial"/>
      <w:bookmarkStart w:id="235" w:name="Top_of_c03_xhtml"/>
      <w:bookmarkStart w:id="236" w:name="Chapter_3Understanding_Financial_1"/>
      <w:pPr>
        <w:keepNext/>
        <w:pStyle w:val="Heading 1"/>
        <w:pageBreakBefore w:val="on"/>
        <w:keepLines w:val="on"/>
      </w:pPr>
      <w:r>
        <w:t>CHƯƠNG 3</w:t>
      </w:r>
      <w:r>
        <w:br/>
      </w:r>
      <w:r>
        <w:t>Hiểu về báo cáo tài chính</w:t>
      </w:r>
      <w:bookmarkEnd w:id="234"/>
      <w:bookmarkEnd w:id="235"/>
      <w:bookmarkEnd w:id="236"/>
    </w:p>
    <w:p>
      <w:pPr>
        <w:pStyle w:val="Para 03"/>
      </w:pPr>
      <w:r>
        <w:t>Các báo cáo tài chính cung cấp thông tin nền tảng mà chúng ta dùng để phân tích và trả lời các câu hỏi định giá. Do đó, điều quan trọng là chúng ta phải hiểu các nguyên tắc chi phối những báo cáo này bằng cách xem xét bốn câu hỏi:</w:t>
      </w:r>
    </w:p>
    <w:p>
      <w:pPr>
        <w:numPr>
          <w:ilvl w:val="0"/>
          <w:numId w:val="7"/>
        </w:numPr>
        <w:pStyle w:val="Para 01"/>
      </w:pPr>
      <w:r>
        <w:t>Tài sản của một công ty có giá trị bao nhiêu? Tài sản của một công ty có thể tồn tại dưới nhiều hình thức—tài sản có vòng đời dài như đất đai và nhà cửa, tài sản có vòng đời ngắn hơn như hàng tồn kho, và tài sản vô hình nhưng vẫn tạo ra doanh thu cho công ty như bằng sáng chế và nhãn hiệu.</w:t>
      </w:r>
    </w:p>
    <w:p>
      <w:pPr>
        <w:numPr>
          <w:ilvl w:val="0"/>
          <w:numId w:val="7"/>
        </w:numPr>
        <w:pStyle w:val="Para 01"/>
      </w:pPr>
      <w:r>
        <w:t>Công ty đã huy động vốn để tài trợ cho những tài sản này như thế nào? Khi mua sắm tài sản, các công ty có thể dùng tiền của chủ sở hữu (vốn chủ sở hữu - equity) hoặc tiền đi vay (nợ - debt), và sự kết hợp này có khả năng thay đổi khi tài sản già đi.</w:t>
      </w:r>
    </w:p>
    <w:p>
      <w:pPr>
        <w:numPr>
          <w:ilvl w:val="0"/>
          <w:numId w:val="7"/>
        </w:numPr>
        <w:pStyle w:val="Para 01"/>
      </w:pPr>
      <w:r>
        <w:t>Những tài sản này sinh lợi đến mức nào? Một khoản đầu tư tốt là khoản đầu tư mang lại lợi nhuận lớn hơn chi phí tài trợ cho nó. Để đánh giá liệu những khoản đầu tư mà một công ty đã thực hiện có phải là đầu tư tốt hay không, chúng ta cần ước tính xem những khoản đầu tư này đang tạo ra lợi nhuận bao nhiêu.</w:t>
      </w:r>
    </w:p>
    <w:p>
      <w:pPr>
        <w:numPr>
          <w:ilvl w:val="0"/>
          <w:numId w:val="7"/>
        </w:numPr>
        <w:pStyle w:val="Para 01"/>
      </w:pPr>
      <w:r>
        <w:t>Có bao nhiêu sự không chắc chắn (hay rủi ro) đang ẩn chứa trong những tài sản này? Dù chúng ta chưa trực tiếp đối mặt với vấn đề rủi ro, nhưng việc ước lượng mức độ không chắc chắn trong các khoản đầu tư hiện có, cùng những hàm ý của nó đối với một doanh nghiệp, rõ ràng là bước đầu tiên.</w:t>
      </w:r>
    </w:p>
    <w:p>
      <w:pPr>
        <w:pStyle w:val="Para 03"/>
      </w:pPr>
      <w:r>
        <w:t>Chương này sẽ xem xét cách các kế toán viên trả lời những câu hỏi này, và lý do tại sao câu trả lời có thể khác đi khi ta thực hiện định giá. Một số khác biệt này bắt nguồn từ sự khác nhau về mục tiêu: Kế toán viên cố gắng đo lường tình trạng hiện tại và kết quả hoạt động trong quá khứ gần đây của một doanh nghiệp, trong khi định giá lại hướng về tương lai nhiều hơn.</w:t>
      </w:r>
    </w:p>
    <w:p>
      <w:bookmarkStart w:id="238" w:name="The_Basic_Accounting_Statements"/>
      <w:bookmarkStart w:id="239" w:name="The_Basic_Accounting_Statements_1"/>
      <w:pPr>
        <w:keepNext/>
        <w:pStyle w:val="Heading 2"/>
        <w:keepLines w:val="on"/>
      </w:pPr>
      <w:r>
        <w:t>Các báo cáo kế toán cơ bản</w:t>
      </w:r>
      <w:bookmarkEnd w:id="238"/>
      <w:bookmarkEnd w:id="239"/>
    </w:p>
    <w:p>
      <w:pPr>
        <w:pStyle w:val="Para 03"/>
      </w:pPr>
      <w:r>
        <w:t>Có ba báo cáo kế toán cơ bản tóm tắt thông tin về một doanh nghiệp. Đầu tiên là bảng cân đối kế toán (balance sheet), được trình bày trong Hình 3.1, tóm tắt các tài sản mà doanh nghiệp sở hữu, giá trị của những tài sản này, và cơ cấu nguồn vốn (nợ và vốn chủ sở hữu) được dùng để tài trợ cho các tài sản đó tại một thời điểm nhất định.</w:t>
      </w:r>
    </w:p>
    <w:p>
      <w:pPr>
        <w:pStyle w:val="Para 20"/>
      </w:pPr>
      <w:r>
        <w:rPr>
          <w:rStyle w:val="Text26"/>
        </w:rPr>
        <w:bookmarkStart w:id="241" w:name="Page_30"/>
        <w:t/>
        <w:bookmarkEnd w:id="241"/>
      </w:r>
      <w:r>
        <w:t xml:space="preserve"> </w:t>
      </w:r>
    </w:p>
    <w:p>
      <w:bookmarkStart w:id="242" w:name="Figure_3_1_The_Balance_Shee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041400"/>
            <wp:effectExtent l="0" r="0" t="0" b="0"/>
            <wp:wrapTopAndBottom/>
            <wp:docPr id="6" name="c03f001.png" descr="Balance sheet summarizes assets owned by a firm, value of assets, and mix of financing used to finance the assets at a point in time."/>
            <wp:cNvGraphicFramePr>
              <a:graphicFrameLocks noChangeAspect="1"/>
            </wp:cNvGraphicFramePr>
            <a:graphic>
              <a:graphicData uri="http://schemas.openxmlformats.org/drawingml/2006/picture">
                <pic:pic>
                  <pic:nvPicPr>
                    <pic:cNvPr id="0" name="c03f001.png" descr="Balance sheet summarizes assets owned by a firm, value of assets, and mix of financing used to finance the assets at a point in time."/>
                    <pic:cNvPicPr/>
                  </pic:nvPicPr>
                  <pic:blipFill>
                    <a:blip r:embed="rId10"/>
                    <a:stretch>
                      <a:fillRect/>
                    </a:stretch>
                  </pic:blipFill>
                  <pic:spPr>
                    <a:xfrm>
                      <a:off x="0" y="0"/>
                      <a:ext cx="2438400" cy="1041400"/>
                    </a:xfrm>
                    <a:prstGeom prst="rect">
                      <a:avLst/>
                    </a:prstGeom>
                  </pic:spPr>
                </pic:pic>
              </a:graphicData>
            </a:graphic>
          </wp:anchor>
        </w:drawing>
      </w:r>
      <w:bookmarkEnd w:id="242"/>
    </w:p>
    <w:p>
      <w:pPr>
        <w:keepNext/>
        <w:pStyle w:val="Para 22"/>
        <w:keepLines w:val="on"/>
      </w:pPr>
      <w:r>
        <w:t>Hình 3.1 Bảng cân đối kế toán</w:t>
      </w:r>
    </w:p>
    <w:p>
      <w:pPr>
        <w:pStyle w:val="Para 03"/>
      </w:pPr>
      <w:r>
        <w:t>Tiếp theo là báo cáo kết quả hoạt động kinh doanh (income statement), được trình bày trong Hình 3.2, cung cấp thông tin về doanh thu và chi phí của doanh nghiệp, cùng khoản thu nhập mà doanh nghiệp tạo ra trong một kỳ. Kỳ này có thể là một quý (nếu là báo cáo kết quả kinh doanh theo quý) hoặc một năm (nếu là báo cáo thường niên).</w:t>
      </w:r>
    </w:p>
    <w:p>
      <w:bookmarkStart w:id="244" w:name="ItemExplanationStart_withRevenue"/>
      <w:pPr>
        <w:pStyle w:val="Para 78"/>
        <w:keepLines w:val="on"/>
      </w:pPr>
      <w:r>
        <w:t/>
      </w:r>
      <w:bookmarkEnd w:id="244"/>
    </w:p>
    <w:tbl>
      <w:tblPr>
        <w:tblW w:type="auto" w:w="0"/>
        <w:jc w:val="center"/>
      </w:tblPr>
      <w:tr>
        <w:tc>
          <w:tcPr>
            <w:tcW w:type="auto" w:w="0"/>
            <w:shd w:val="clear" w:color="auto" w:fill="F0F0F0"/>
          </w:tcPr>
          <w:p>
            <w:pPr>
              <w:pStyle w:val="Para 29"/>
              <w:keepLines w:val="on"/>
            </w:pPr>
            <w:r>
              <w:t/>
            </w:r>
          </w:p>
        </w:tc>
        <w:tc>
          <w:tcPr>
            <w:tcW w:type="auto" w:w="0"/>
            <w:shd w:val="clear" w:color="auto" w:fill="F0F0F0"/>
          </w:tcPr>
          <w:p>
            <w:pPr>
              <w:pStyle w:val="Para 29"/>
              <w:keepLines w:val="on"/>
            </w:pPr>
            <w:r>
              <w:t>Mục</w:t>
            </w:r>
          </w:p>
        </w:tc>
        <w:tc>
          <w:tcPr>
            <w:tcW w:type="auto" w:w="0"/>
            <w:shd w:val="clear" w:color="auto" w:fill="F0F0F0"/>
          </w:tcPr>
          <w:p>
            <w:pPr>
              <w:pStyle w:val="Para 29"/>
              <w:keepLines w:val="on"/>
            </w:pPr>
            <w:r>
              <w:t>Giải thích</w:t>
            </w:r>
          </w:p>
        </w:tc>
      </w:tr>
      <w:tr>
        <w:tc>
          <w:tcPr>
            <w:tcW w:type="auto" w:w="0"/>
            <w:shd w:val="clear" w:color="auto" w:fill="F0F0F0"/>
          </w:tcPr>
          <w:p>
            <w:pPr>
              <w:pStyle w:val="Para 02"/>
              <w:keepLines w:val="on"/>
            </w:pPr>
            <w:r>
              <w:t>Bắt đầu với</w:t>
            </w:r>
          </w:p>
        </w:tc>
        <w:tc>
          <w:tcPr>
            <w:tcW w:type="auto" w:w="0"/>
            <w:shd w:val="clear" w:color="auto" w:fill="F0F0F0"/>
          </w:tcPr>
          <w:p>
            <w:pPr>
              <w:pStyle w:val="Para 02"/>
              <w:keepLines w:val="on"/>
            </w:pPr>
            <w:r>
              <w:t>Doanh thu</w:t>
            </w:r>
          </w:p>
        </w:tc>
        <w:tc>
          <w:tcPr>
            <w:tcW w:type="auto" w:w="0"/>
            <w:shd w:val="clear" w:color="auto" w:fill="F0F0F0"/>
          </w:tcPr>
          <w:p>
            <w:pPr>
              <w:pStyle w:val="Para 02"/>
              <w:keepLines w:val="on"/>
            </w:pPr>
            <w:r>
              <w:t>Ước tính của kế toán viên về doanh thu/bán hàng phát sinh từ mọi giao dịch mà doanh nghiệp thực hiện trong kỳ</w:t>
            </w:r>
          </w:p>
        </w:tc>
      </w:tr>
      <w:tr>
        <w:tc>
          <w:tcPr>
            <w:tcW w:type="auto" w:w="0"/>
            <w:shd w:val="clear" w:color="auto" w:fill="F0F0F0"/>
          </w:tcPr>
          <w:p>
            <w:pPr>
              <w:pStyle w:val="Para 02"/>
              <w:keepLines w:val="on"/>
            </w:pPr>
            <w:r>
              <w:t>Trừ đi</w:t>
            </w:r>
          </w:p>
        </w:tc>
        <w:tc>
          <w:tcPr>
            <w:tcW w:type="auto" w:w="0"/>
            <w:shd w:val="clear" w:color="auto" w:fill="F0F0F0"/>
          </w:tcPr>
          <w:p>
            <w:pPr>
              <w:pStyle w:val="Para 02"/>
              <w:keepLines w:val="on"/>
            </w:pPr>
            <w:r>
              <w:t>Giá vốn hàng bán</w:t>
            </w:r>
          </w:p>
        </w:tc>
        <w:tc>
          <w:tcPr>
            <w:tcW w:type="auto" w:w="0"/>
            <w:shd w:val="clear" w:color="auto" w:fill="F0F0F0"/>
          </w:tcPr>
          <w:p>
            <w:pPr>
              <w:pStyle w:val="Para 02"/>
              <w:keepLines w:val="on"/>
            </w:pPr>
            <w:r>
              <w:t>Chi phí ước tính gắn trực tiếp với việc sản xuất sản phẩm/dịch vụ mà công ty bán ra</w:t>
            </w:r>
          </w:p>
        </w:tc>
      </w:tr>
      <w:tr>
        <w:tc>
          <w:tcPr>
            <w:tcW w:type="auto" w:w="0"/>
            <w:shd w:val="clear" w:color="auto" w:fill="F0F0F0"/>
          </w:tcPr>
          <w:p>
            <w:pPr>
              <w:pStyle w:val="Para 02"/>
              <w:keepLines w:val="on"/>
            </w:pPr>
            <w:r>
              <w:t>Để có</w:t>
            </w:r>
          </w:p>
        </w:tc>
        <w:tc>
          <w:tcPr>
            <w:tcW w:type="auto" w:w="0"/>
            <w:shd w:val="clear" w:color="auto" w:fill="F0F0F0"/>
          </w:tcPr>
          <w:p>
            <w:pPr>
              <w:pStyle w:val="Para 51"/>
              <w:keepLines w:val="on"/>
            </w:pPr>
            <w:r>
              <w:t>Lợi nhuận gộp</w:t>
            </w:r>
          </w:p>
        </w:tc>
        <w:tc>
          <w:tcPr>
            <w:tcW w:type="auto" w:w="0"/>
            <w:shd w:val="clear" w:color="auto" w:fill="F0F0F0"/>
          </w:tcPr>
          <w:p>
            <w:pPr>
              <w:pStyle w:val="Para 02"/>
              <w:keepLines w:val="on"/>
            </w:pPr>
            <w:r>
              <w:t>Khả năng sinh lời trên mỗi đơn vị, trước khi bù đắp các chi phí gián tiếp khác và chi phí tài chính</w:t>
            </w:r>
          </w:p>
        </w:tc>
      </w:tr>
      <w:tr>
        <w:tc>
          <w:tcPr>
            <w:tcW w:type="auto" w:w="0"/>
            <w:shd w:val="clear" w:color="auto" w:fill="F0F0F0"/>
          </w:tcPr>
          <w:p>
            <w:pPr>
              <w:pStyle w:val="Para 02"/>
              <w:keepLines w:val="on"/>
            </w:pPr>
            <w:r>
              <w:t>Trừ đi</w:t>
            </w:r>
          </w:p>
        </w:tc>
        <w:tc>
          <w:tcPr>
            <w:tcW w:type="auto" w:w="0"/>
            <w:shd w:val="clear" w:color="auto" w:fill="F0F0F0"/>
          </w:tcPr>
          <w:p>
            <w:pPr>
              <w:pStyle w:val="Para 02"/>
              <w:keepLines w:val="on"/>
            </w:pPr>
            <w:r>
              <w:t>Chi phí hoạt động</w:t>
            </w:r>
          </w:p>
        </w:tc>
        <w:tc>
          <w:tcPr>
            <w:tcW w:type="auto" w:w="0"/>
            <w:shd w:val="clear" w:color="auto" w:fill="F0F0F0"/>
          </w:tcPr>
          <w:p>
            <w:pPr>
              <w:pStyle w:val="Para 02"/>
              <w:keepLines w:val="on"/>
            </w:pPr>
            <w:r>
              <w:t>Bao gồm mọi chi phí gắn với hoạt động trong năm nay, không có lợi ích nào kéo dài sang các năm sau</w:t>
            </w:r>
          </w:p>
        </w:tc>
      </w:tr>
      <w:tr>
        <w:tc>
          <w:tcPr>
            <w:tcW w:type="auto" w:w="0"/>
            <w:shd w:val="clear" w:color="auto" w:fill="F0F0F0"/>
          </w:tcPr>
          <w:p>
            <w:pPr>
              <w:pStyle w:val="Para 02"/>
              <w:keepLines w:val="on"/>
            </w:pPr>
            <w:r>
              <w:t>Để có</w:t>
            </w:r>
          </w:p>
        </w:tc>
        <w:tc>
          <w:tcPr>
            <w:tcW w:type="auto" w:w="0"/>
            <w:shd w:val="clear" w:color="auto" w:fill="F0F0F0"/>
          </w:tcPr>
          <w:p>
            <w:pPr>
              <w:pStyle w:val="Para 51"/>
              <w:keepLines w:val="on"/>
            </w:pPr>
            <w:r>
              <w:t>Lợi nhuận hoạt động</w:t>
            </w:r>
          </w:p>
        </w:tc>
        <w:tc>
          <w:tcPr>
            <w:tcW w:type="auto" w:w="0"/>
            <w:shd w:val="clear" w:color="auto" w:fill="F0F0F0"/>
          </w:tcPr>
          <w:p>
            <w:pPr>
              <w:pStyle w:val="Para 02"/>
              <w:keepLines w:val="on"/>
            </w:pPr>
            <w:r>
              <w:t>Khả năng sinh lời của hoạt động kinh doanh</w:t>
            </w:r>
          </w:p>
        </w:tc>
      </w:tr>
      <w:tr>
        <w:tc>
          <w:tcPr>
            <w:tcW w:type="auto" w:w="0"/>
            <w:shd w:val="clear" w:color="auto" w:fill="F0F0F0"/>
          </w:tcPr>
          <w:p>
            <w:pPr>
              <w:pStyle w:val="Para 02"/>
              <w:keepLines w:val="on"/>
            </w:pPr>
            <w:r>
              <w:t>Trừ đi</w:t>
            </w:r>
          </w:p>
        </w:tc>
        <w:tc>
          <w:tcPr>
            <w:tcW w:type="auto" w:w="0"/>
            <w:shd w:val="clear" w:color="auto" w:fill="F0F0F0"/>
          </w:tcPr>
          <w:p>
            <w:pPr>
              <w:pStyle w:val="Para 02"/>
              <w:keepLines w:val="on"/>
            </w:pPr>
            <w:r>
              <w:t>Chi phí tài chính</w:t>
            </w:r>
          </w:p>
        </w:tc>
        <w:tc>
          <w:tcPr>
            <w:tcW w:type="auto" w:w="0"/>
            <w:shd w:val="clear" w:color="auto" w:fill="F0F0F0"/>
          </w:tcPr>
          <w:p>
            <w:pPr>
              <w:pStyle w:val="Para 02"/>
              <w:keepLines w:val="on"/>
            </w:pPr>
            <w:r>
              <w:t>Các chi phí gắn với việc huy động vốn không phải từ cổ phần (chẳng hạn như nợ vay)</w:t>
            </w:r>
          </w:p>
        </w:tc>
      </w:tr>
      <w:tr>
        <w:tc>
          <w:tcPr>
            <w:tcW w:type="auto" w:w="0"/>
            <w:shd w:val="clear" w:color="auto" w:fill="F0F0F0"/>
          </w:tcPr>
          <w:p>
            <w:pPr>
              <w:pStyle w:val="Para 02"/>
              <w:keepLines w:val="on"/>
            </w:pPr>
            <w:r>
              <w:t>Cộng thêm</w:t>
            </w:r>
          </w:p>
        </w:tc>
        <w:tc>
          <w:tcPr>
            <w:tcW w:type="auto" w:w="0"/>
            <w:shd w:val="clear" w:color="auto" w:fill="F0F0F0"/>
          </w:tcPr>
          <w:p>
            <w:pPr>
              <w:pStyle w:val="Para 02"/>
              <w:keepLines w:val="on"/>
            </w:pPr>
            <w:r>
              <w:t>Thu nhập tài chính</w:t>
            </w:r>
          </w:p>
        </w:tc>
        <w:tc>
          <w:tcPr>
            <w:tcW w:type="auto" w:w="0"/>
            <w:shd w:val="clear" w:color="auto" w:fill="F0F0F0"/>
          </w:tcPr>
          <w:p>
            <w:pPr>
              <w:pStyle w:val="Para 02"/>
              <w:keepLines w:val="on"/>
            </w:pPr>
            <w:r>
              <w:t>Thu nhập kiếm được từ số dư tiền mặt và từ các khoản đầu tư tài chính (vào các công ty và chứng khoán)</w:t>
            </w:r>
          </w:p>
        </w:tc>
      </w:tr>
      <w:tr>
        <w:tc>
          <w:tcPr>
            <w:tcW w:type="auto" w:w="0"/>
            <w:shd w:val="clear" w:color="auto" w:fill="F0F0F0"/>
          </w:tcPr>
          <w:p>
            <w:pPr>
              <w:pStyle w:val="Para 02"/>
              <w:keepLines w:val="on"/>
            </w:pPr>
            <w:r>
              <w:t>Để có được</w:t>
            </w:r>
          </w:p>
        </w:tc>
        <w:tc>
          <w:tcPr>
            <w:tcW w:type="auto" w:w="0"/>
            <w:shd w:val="clear" w:color="auto" w:fill="F0F0F0"/>
          </w:tcPr>
          <w:p>
            <w:pPr>
              <w:pStyle w:val="Para 51"/>
              <w:keepLines w:val="on"/>
            </w:pPr>
            <w:r>
              <w:t>Lợi nhuận trước thuế</w:t>
            </w:r>
          </w:p>
        </w:tc>
        <w:tc>
          <w:tcPr>
            <w:tcW w:type="auto" w:w="0"/>
            <w:shd w:val="clear" w:color="auto" w:fill="F0F0F0"/>
          </w:tcPr>
          <w:p>
            <w:pPr>
              <w:pStyle w:val="Para 02"/>
              <w:keepLines w:val="on"/>
            </w:pPr>
            <w:r>
              <w:t>Thu nhập thuộc về các nhà đầu tư cổ phần, trước thuế</w:t>
            </w:r>
          </w:p>
        </w:tc>
      </w:tr>
      <w:tr>
        <w:tc>
          <w:tcPr>
            <w:tcW w:type="auto" w:w="0"/>
            <w:shd w:val="clear" w:color="auto" w:fill="F0F0F0"/>
          </w:tcPr>
          <w:p>
            <w:pPr>
              <w:pStyle w:val="Para 02"/>
              <w:keepLines w:val="on"/>
            </w:pPr>
            <w:r>
              <w:t>Trừ đi</w:t>
            </w:r>
          </w:p>
        </w:tc>
        <w:tc>
          <w:tcPr>
            <w:tcW w:type="auto" w:w="0"/>
            <w:shd w:val="clear" w:color="auto" w:fill="F0F0F0"/>
          </w:tcPr>
          <w:p>
            <w:pPr>
              <w:pStyle w:val="Para 02"/>
              <w:keepLines w:val="on"/>
            </w:pPr>
            <w:r>
              <w:t>Thuế</w:t>
            </w:r>
          </w:p>
        </w:tc>
        <w:tc>
          <w:tcPr>
            <w:tcW w:type="auto" w:w="0"/>
            <w:shd w:val="clear" w:color="auto" w:fill="F0F0F0"/>
          </w:tcPr>
          <w:p>
            <w:pPr>
              <w:pStyle w:val="Para 02"/>
              <w:keepLines w:val="on"/>
            </w:pPr>
            <w:r>
              <w:t>Thuế, dựa trên thu nhập chịu thuế (có thể không bằng với tiền thuế thực nộp)</w:t>
            </w:r>
          </w:p>
        </w:tc>
      </w:tr>
      <w:tr>
        <w:tc>
          <w:tcPr>
            <w:tcW w:type="auto" w:w="0"/>
            <w:shd w:val="clear" w:color="auto" w:fill="F0F0F0"/>
          </w:tcPr>
          <w:p>
            <w:pPr>
              <w:pStyle w:val="Para 02"/>
              <w:keepLines w:val="on"/>
            </w:pPr>
            <w:r>
              <w:t>Để có được</w:t>
            </w:r>
          </w:p>
        </w:tc>
        <w:tc>
          <w:tcPr>
            <w:tcW w:type="auto" w:w="0"/>
            <w:shd w:val="clear" w:color="auto" w:fill="F0F0F0"/>
          </w:tcPr>
          <w:p>
            <w:pPr>
              <w:pStyle w:val="Para 51"/>
              <w:keepLines w:val="on"/>
            </w:pPr>
            <w:r>
              <w:t>Lợi nhuận ròng</w:t>
            </w:r>
          </w:p>
        </w:tc>
        <w:tc>
          <w:tcPr>
            <w:tcW w:type="auto" w:w="0"/>
            <w:shd w:val="clear" w:color="auto" w:fill="F0F0F0"/>
          </w:tcPr>
          <w:p>
            <w:pPr>
              <w:pStyle w:val="Para 02"/>
              <w:keepLines w:val="on"/>
            </w:pPr>
            <w:r>
              <w:t>Thu nhập thuộc về các nhà đầu tư cổ phần, sau thuế</w:t>
            </w:r>
          </w:p>
        </w:tc>
      </w:tr>
    </w:tbl>
    <w:p>
      <w:pPr>
        <w:keepNext/>
        <w:pStyle w:val="Para 22"/>
        <w:keepLines w:val="on"/>
      </w:pPr>
      <w:r>
        <w:t>Hình 3.2 Báo cáo thu nhập</w:t>
      </w:r>
    </w:p>
    <w:p>
      <w:pPr>
        <w:pStyle w:val="Para 03"/>
      </w:pPr>
      <w:r>
        <w:t>Cuối cùng, có báo cáo lưu chuyển tiền tệ, được thể hiện trong Hình 3.3, trong đó nêu rõ các nguồn và việc sử dụng tiền mặt của doanh nghiệp từ hoạt động kinh doanh, hoạt động đầu tư và hoạt động tài chính trong một kỳ. Báo cáo lưu chuyển tiền tệ có thể được xem như một nỗ lực nhằm giải thích dòng tiền trong một kỳ là bao nhiêu, và vì sao số dư tiền mặt lại thay đổi trong kỳ đó.</w:t>
      </w:r>
    </w:p>
    <w:p>
      <w:pPr>
        <w:pStyle w:val="Para 20"/>
      </w:pPr>
      <w:r>
        <w:rPr>
          <w:rStyle w:val="Text26"/>
        </w:rPr>
        <w:bookmarkStart w:id="246" w:name="Page_31"/>
        <w:t/>
        <w:bookmarkEnd w:id="246"/>
      </w:r>
      <w:r>
        <w:t xml:space="preserve"> </w:t>
      </w:r>
    </w:p>
    <w:p>
      <w:bookmarkStart w:id="247" w:name="Cash_Flow_EffectItemWhy_Start_wi"/>
      <w:pPr>
        <w:pStyle w:val="Para 78"/>
        <w:keepLines w:val="on"/>
      </w:pPr>
      <w:r>
        <w:t/>
      </w:r>
      <w:bookmarkEnd w:id="247"/>
    </w:p>
    <w:tbl>
      <w:tblPr>
        <w:tblW w:type="auto" w:w="0"/>
        <w:jc w:val="center"/>
      </w:tblPr>
      <w:tr>
        <w:tc>
          <w:tcPr>
            <w:tcW w:type="auto" w:w="0"/>
            <w:shd w:val="clear" w:color="auto" w:fill="F0F0F0"/>
          </w:tcPr>
          <w:p>
            <w:pPr>
              <w:pStyle w:val="Para 29"/>
              <w:keepLines w:val="on"/>
            </w:pPr>
            <w:r>
              <w:t>Ảnh hưởng đến dòng tiền</w:t>
            </w:r>
          </w:p>
        </w:tc>
        <w:tc>
          <w:tcPr>
            <w:tcW w:type="auto" w:w="0"/>
            <w:shd w:val="clear" w:color="auto" w:fill="F0F0F0"/>
          </w:tcPr>
          <w:p>
            <w:pPr>
              <w:pStyle w:val="Para 29"/>
              <w:keepLines w:val="on"/>
            </w:pPr>
            <w:r>
              <w:t>Khoản mục</w:t>
            </w:r>
          </w:p>
        </w:tc>
        <w:tc>
          <w:tcPr>
            <w:tcW w:type="auto" w:w="0"/>
            <w:shd w:val="clear" w:color="auto" w:fill="F0F0F0"/>
          </w:tcPr>
          <w:p>
            <w:pPr>
              <w:pStyle w:val="Para 29"/>
              <w:keepLines w:val="on"/>
            </w:pPr>
            <w:r>
              <w:t>Vì sao?</w:t>
            </w:r>
          </w:p>
        </w:tc>
      </w:tr>
      <w:tr>
        <w:tc>
          <w:tcPr>
            <w:tcW w:type="auto" w:w="0"/>
            <w:shd w:val="clear" w:color="auto" w:fill="F0F0F0"/>
          </w:tcPr>
          <w:p>
            <w:pPr>
              <w:pStyle w:val="Para 02"/>
              <w:keepLines w:val="on"/>
            </w:pPr>
            <w:r>
              <w:t>Bắt đầu với</w:t>
            </w:r>
          </w:p>
        </w:tc>
        <w:tc>
          <w:tcPr>
            <w:tcW w:type="auto" w:w="0"/>
            <w:shd w:val="clear" w:color="auto" w:fill="F0F0F0"/>
          </w:tcPr>
          <w:p>
            <w:pPr>
              <w:pStyle w:val="Para 02"/>
              <w:keepLines w:val="on"/>
            </w:pPr>
            <w:r>
              <w:t>Thu nhập ròng</w:t>
            </w:r>
          </w:p>
        </w:tc>
        <w:tc>
          <w:tcPr>
            <w:tcW w:type="auto" w:w="0"/>
            <w:shd w:val="clear" w:color="auto" w:fill="F0F0F0"/>
          </w:tcPr>
          <w:p>
            <w:pPr>
              <w:pStyle w:val="Para 02"/>
              <w:keepLines w:val="on"/>
            </w:pPr>
            <w:r>
              <w:t>Thu nhập từ cổ phần</w:t>
            </w:r>
          </w:p>
        </w:tc>
      </w:tr>
      <w:tr>
        <w:tc>
          <w:tcPr>
            <w:tcW w:type="auto" w:w="0"/>
            <w:shd w:val="clear" w:color="auto" w:fill="F0F0F0"/>
          </w:tcPr>
          <w:p>
            <w:pPr>
              <w:pStyle w:val="Para 02"/>
              <w:keepLines w:val="on"/>
            </w:pPr>
            <w:r>
              <w:t>Cộng</w:t>
            </w:r>
          </w:p>
        </w:tc>
        <w:tc>
          <w:tcPr>
            <w:tcW w:type="auto" w:w="0"/>
            <w:shd w:val="clear" w:color="auto" w:fill="F0F0F0"/>
          </w:tcPr>
          <w:p>
            <w:pPr>
              <w:pStyle w:val="Para 02"/>
              <w:keepLines w:val="on"/>
            </w:pPr>
            <w:r>
              <w:t>Khấu hao và phân bổ</w:t>
            </w:r>
          </w:p>
        </w:tc>
        <w:tc>
          <w:tcPr>
            <w:tcW w:type="auto" w:w="0"/>
            <w:shd w:val="clear" w:color="auto" w:fill="F0F0F0"/>
            <w:vMerge w:val="restart"/>
          </w:tcPr>
          <w:p>
            <w:pPr>
              <w:pStyle w:val="Para 02"/>
              <w:keepLines w:val="on"/>
            </w:pPr>
            <w:r>
              <w:t>Cộng lại các khoản mục phi tiền mặt</w:t>
            </w:r>
          </w:p>
        </w:tc>
      </w:tr>
      <w:tr>
        <w:tc>
          <w:tcPr>
            <w:tcW w:type="auto" w:w="0"/>
            <w:shd w:val="clear" w:color="auto" w:fill="F0F0F0"/>
          </w:tcPr>
          <w:p>
            <w:pPr>
              <w:pStyle w:val="Para 02"/>
              <w:keepLines w:val="on"/>
            </w:pPr>
            <w:r>
              <w:t>Cộng</w:t>
            </w:r>
          </w:p>
        </w:tc>
        <w:tc>
          <w:tcPr>
            <w:tcW w:type="auto" w:w="0"/>
            <w:shd w:val="clear" w:color="auto" w:fill="F0F0F0"/>
          </w:tcPr>
          <w:p>
            <w:pPr>
              <w:pStyle w:val="Para 02"/>
              <w:keepLines w:val="on"/>
            </w:pPr>
            <w:r>
              <w:t>Các chi phí phi tiền mặt khác</w:t>
            </w:r>
          </w:p>
        </w:tc>
        <w:tc>
          <w:tcPr>
            <w:vMerge w:val="continue"/>
          </w:tcPr>
          <w:p/>
        </w:tc>
      </w:tr>
      <w:tr>
        <w:tc>
          <w:tcPr>
            <w:tcW w:type="auto" w:w="0"/>
            <w:shd w:val="clear" w:color="auto" w:fill="F0F0F0"/>
            <w:vMerge w:val="restart"/>
          </w:tcPr>
          <w:p>
            <w:pPr>
              <w:pStyle w:val="Para 02"/>
              <w:keepLines w:val="on"/>
            </w:pPr>
            <w:r>
              <w:t>Cộng hoặc Trừ</w:t>
            </w:r>
          </w:p>
        </w:tc>
        <w:tc>
          <w:tcPr>
            <w:tcW w:type="auto" w:w="0"/>
            <w:shd w:val="clear" w:color="auto" w:fill="F0F0F0"/>
          </w:tcPr>
          <w:p>
            <w:pPr>
              <w:pStyle w:val="Para 02"/>
              <w:keepLines w:val="on"/>
            </w:pPr>
            <w:r>
              <w:t>Thay đổi trong các khoản phải thu</w:t>
            </w:r>
          </w:p>
        </w:tc>
        <w:tc>
          <w:tcPr>
            <w:vMerge w:val="continue"/>
          </w:tcPr>
          <w:p/>
        </w:tc>
        <w:tc>
          <w:tcPr>
            <w:tcW w:type="auto" w:w="0"/>
            <w:shd w:val="clear" w:color="auto" w:fill="F0F0F0"/>
            <w:vMerge w:val="restart"/>
          </w:tcPr>
          <w:p>
            <w:pPr>
              <w:pStyle w:val="Para 02"/>
              <w:keepLines w:val="on"/>
            </w:pPr>
            <w:r>
              <w:t>Đi đến dòng tiền từ vốn chủ sở hữu từ hoạt động kinh doanh</w:t>
            </w:r>
          </w:p>
        </w:tc>
      </w:tr>
      <w:tr>
        <w:tc>
          <w:tcPr>
            <w:vMerge w:val="continue"/>
          </w:tcPr>
          <w:p/>
        </w:tc>
        <w:tc>
          <w:tcPr>
            <w:tcW w:type="auto" w:w="0"/>
            <w:shd w:val="clear" w:color="auto" w:fill="F0F0F0"/>
          </w:tcPr>
          <w:p>
            <w:pPr>
              <w:pStyle w:val="Para 02"/>
              <w:keepLines w:val="on"/>
            </w:pPr>
            <w:r>
              <w:t>Thay đổi hàng tồn kho</w:t>
            </w:r>
          </w:p>
        </w:tc>
        <w:tc>
          <w:tcPr>
            <w:hMerge w:val="continue"/>
          </w:tcPr>
          <w:p/>
        </w:tc>
        <w:tc>
          <w:tcPr>
            <w:vMerge w:val="continue"/>
          </w:tcPr>
          <w:p/>
        </w:tc>
      </w:tr>
      <w:tr>
        <w:tc>
          <w:tcPr>
            <w:vMerge w:val="continue"/>
          </w:tcPr>
          <w:p/>
        </w:tc>
        <w:tc>
          <w:tcPr>
            <w:tcW w:type="auto" w:w="0"/>
            <w:shd w:val="clear" w:color="auto" w:fill="F0F0F0"/>
          </w:tcPr>
          <w:p>
            <w:pPr>
              <w:pStyle w:val="Para 02"/>
              <w:keepLines w:val="on"/>
            </w:pPr>
            <w:r>
              <w:t>Thay đổi tài sản ngắn hạn khác</w:t>
            </w:r>
          </w:p>
        </w:tc>
        <w:tc>
          <w:tcPr>
            <w:hMerge w:val="continue"/>
          </w:tcPr>
          <w:p/>
        </w:tc>
        <w:tc>
          <w:tcPr>
            <w:vMerge w:val="continue"/>
          </w:tcPr>
          <w:p/>
        </w:tc>
      </w:tr>
      <w:tr>
        <w:tc>
          <w:tcPr>
            <w:vMerge w:val="continue"/>
          </w:tcPr>
          <w:p/>
        </w:tc>
        <w:tc>
          <w:tcPr>
            <w:tcW w:type="auto" w:w="0"/>
            <w:shd w:val="clear" w:color="auto" w:fill="F0F0F0"/>
          </w:tcPr>
          <w:p>
            <w:pPr>
              <w:pStyle w:val="Para 02"/>
              <w:keepLines w:val="on"/>
            </w:pPr>
            <w:r>
              <w:t>Thay đổi các khoản phải trả</w:t>
            </w:r>
          </w:p>
        </w:tc>
        <w:tc>
          <w:tcPr>
            <w:hMerge w:val="continue"/>
          </w:tcPr>
          <w:p/>
        </w:tc>
        <w:tc>
          <w:tcPr>
            <w:vMerge w:val="continue"/>
          </w:tcPr>
          <w:p/>
        </w:tc>
      </w:tr>
      <w:tr>
        <w:tc>
          <w:tcPr>
            <w:vMerge w:val="continue"/>
          </w:tcPr>
          <w:p/>
        </w:tc>
        <w:tc>
          <w:tcPr>
            <w:tcW w:type="auto" w:w="0"/>
            <w:shd w:val="clear" w:color="auto" w:fill="F0F0F0"/>
          </w:tcPr>
          <w:p>
            <w:pPr>
              <w:pStyle w:val="Para 02"/>
              <w:keepLines w:val="on"/>
            </w:pPr>
            <w:r>
              <w:t>Thay đổi thuế phải nộp</w:t>
            </w:r>
          </w:p>
        </w:tc>
        <w:tc>
          <w:tcPr>
            <w:hMerge w:val="continue"/>
          </w:tcPr>
          <w:p/>
        </w:tc>
        <w:tc>
          <w:tcPr>
            <w:vMerge w:val="continue"/>
          </w:tcPr>
          <w:p/>
        </w:tc>
      </w:tr>
      <w:tr>
        <w:tc>
          <w:tcPr>
            <w:vMerge w:val="continue"/>
          </w:tcPr>
          <w:p/>
        </w:tc>
        <w:tc>
          <w:tcPr>
            <w:tcW w:type="auto" w:w="0"/>
            <w:shd w:val="clear" w:color="auto" w:fill="F0F0F0"/>
          </w:tcPr>
          <w:p>
            <w:pPr>
              <w:pStyle w:val="Para 57"/>
              <w:keepLines w:val="on"/>
            </w:pPr>
            <w:r>
              <w:t>Bằng</w:t>
            </w:r>
          </w:p>
        </w:tc>
        <w:tc>
          <w:tcPr>
            <w:tcW w:type="auto" w:w="0"/>
            <w:shd w:val="clear" w:color="auto" w:fill="F0F0F0"/>
          </w:tcPr>
          <w:p>
            <w:pPr>
              <w:pStyle w:val="Para 57"/>
              <w:keepLines w:val="on"/>
            </w:pPr>
            <w:r>
              <w:t>Dòng tiền từ hoạt động kinh doanh</w:t>
            </w:r>
          </w:p>
        </w:tc>
        <w:tc>
          <w:tcPr>
            <w:vMerge w:val="continue"/>
          </w:tcPr>
          <w:p/>
        </w:tc>
        <w:tc>
          <w:tcPr>
            <w:tcW w:type="auto" w:w="0"/>
            <w:shd w:val="clear" w:color="auto" w:fill="F0F0F0"/>
          </w:tcPr>
          <w:p>
            <w:pPr>
              <w:pStyle w:val="Para 02"/>
              <w:keepLines w:val="on"/>
            </w:pPr>
            <w:r>
              <w:t/>
            </w:r>
          </w:p>
        </w:tc>
      </w:tr>
      <w:tr>
        <w:tc>
          <w:tcPr>
            <w:vMerge w:val="continue"/>
          </w:tcPr>
          <w:p/>
        </w:tc>
        <w:tc>
          <w:tcPr>
            <w:tcW w:type="auto" w:w="0"/>
            <w:shd w:val="clear" w:color="auto" w:fill="F0F0F0"/>
          </w:tcPr>
          <w:p>
            <w:pPr>
              <w:pStyle w:val="Para 02"/>
              <w:keepLines w:val="on"/>
            </w:pPr>
            <w:r>
              <w:t/>
            </w:r>
          </w:p>
        </w:tc>
        <w:tc>
          <w:tcPr>
            <w:tcW w:type="auto" w:w="0"/>
            <w:shd w:val="clear" w:color="auto" w:fill="F0F0F0"/>
          </w:tcPr>
          <w:p>
            <w:pPr>
              <w:pStyle w:val="Normal"/>
              <w:keepLines w:val="on"/>
            </w:pPr>
            <w:r>
              <w:t/>
            </w:r>
          </w:p>
        </w:tc>
        <w:tc>
          <w:tcPr>
            <w:vMerge w:val="continue"/>
          </w:tcPr>
          <w:p/>
        </w:tc>
        <w:tc>
          <w:tcPr>
            <w:tcW w:type="auto" w:w="0"/>
            <w:shd w:val="clear" w:color="auto" w:fill="F0F0F0"/>
          </w:tcPr>
          <w:p>
            <w:pPr>
              <w:pStyle w:val="Normal"/>
              <w:keepLines w:val="on"/>
            </w:pPr>
            <w:r>
              <w:t/>
            </w:r>
          </w:p>
        </w:tc>
      </w:tr>
      <w:tr>
        <w:tc>
          <w:tcPr>
            <w:vMerge w:val="continue"/>
          </w:tcPr>
          <w:p/>
        </w:tc>
        <w:tc>
          <w:tcPr>
            <w:tcW w:type="auto" w:w="0"/>
            <w:shd w:val="clear" w:color="auto" w:fill="F0F0F0"/>
          </w:tcPr>
          <w:p>
            <w:pPr>
              <w:pStyle w:val="Para 29"/>
              <w:keepLines w:val="on"/>
            </w:pPr>
            <w:r>
              <w:t>Ảnh hưởng đến dòng tiền</w:t>
            </w:r>
          </w:p>
        </w:tc>
        <w:tc>
          <w:tcPr>
            <w:tcW w:type="auto" w:w="0"/>
            <w:shd w:val="clear" w:color="auto" w:fill="F0F0F0"/>
          </w:tcPr>
          <w:p>
            <w:pPr>
              <w:pStyle w:val="Para 29"/>
              <w:keepLines w:val="on"/>
            </w:pPr>
            <w:r>
              <w:t>Khoản mục</w:t>
            </w:r>
          </w:p>
        </w:tc>
        <w:tc>
          <w:tcPr>
            <w:vMerge w:val="continue"/>
          </w:tcPr>
          <w:p/>
        </w:tc>
        <w:tc>
          <w:tcPr>
            <w:tcW w:type="auto" w:w="0"/>
            <w:shd w:val="clear" w:color="auto" w:fill="F0F0F0"/>
          </w:tcPr>
          <w:p>
            <w:pPr>
              <w:pStyle w:val="Para 29"/>
              <w:keepLines w:val="on"/>
            </w:pPr>
            <w:r>
              <w:t>Tại sao?</w:t>
            </w:r>
          </w:p>
        </w:tc>
      </w:tr>
      <w:tr>
        <w:tc>
          <w:tcPr>
            <w:vMerge w:val="continue"/>
          </w:tcPr>
          <w:p/>
        </w:tc>
        <w:tc>
          <w:tcPr>
            <w:tcW w:type="auto" w:w="0"/>
            <w:shd w:val="clear" w:color="auto" w:fill="F0F0F0"/>
          </w:tcPr>
          <w:p>
            <w:pPr>
              <w:pStyle w:val="Para 02"/>
              <w:keepLines w:val="on"/>
            </w:pPr>
            <w:r>
              <w:t>Trừ</w:t>
            </w:r>
          </w:p>
        </w:tc>
        <w:tc>
          <w:tcPr>
            <w:tcW w:type="auto" w:w="0"/>
            <w:shd w:val="clear" w:color="auto" w:fill="F0F0F0"/>
          </w:tcPr>
          <w:p>
            <w:pPr>
              <w:pStyle w:val="Para 02"/>
              <w:keepLines w:val="on"/>
            </w:pPr>
            <w:r>
              <w:t>Chi tiêu vốn</w:t>
            </w:r>
          </w:p>
        </w:tc>
        <w:tc>
          <w:tcPr>
            <w:vMerge w:val="continue"/>
          </w:tcPr>
          <w:p/>
        </w:tc>
        <w:tc>
          <w:tcPr>
            <w:tcW w:type="auto" w:w="0"/>
            <w:shd w:val="clear" w:color="auto" w:fill="F0F0F0"/>
            <w:vMerge w:val="restart"/>
          </w:tcPr>
          <w:p>
            <w:pPr>
              <w:pStyle w:val="Para 02"/>
              <w:keepLines w:val="on"/>
            </w:pPr>
            <w:r>
              <w:t>Đầu tư vào tài sản hoạt động</w:t>
            </w:r>
          </w:p>
        </w:tc>
      </w:tr>
      <w:tr>
        <w:tc>
          <w:tcPr>
            <w:vMerge w:val="continue"/>
          </w:tcPr>
          <w:p/>
        </w:tc>
        <w:tc>
          <w:tcPr>
            <w:tcW w:type="auto" w:w="0"/>
            <w:shd w:val="clear" w:color="auto" w:fill="F0F0F0"/>
          </w:tcPr>
          <w:p>
            <w:pPr>
              <w:pStyle w:val="Para 02"/>
              <w:keepLines w:val="on"/>
            </w:pPr>
            <w:r>
              <w:t>Cộng</w:t>
            </w:r>
          </w:p>
        </w:tc>
        <w:tc>
          <w:tcPr>
            <w:tcW w:type="auto" w:w="0"/>
            <w:shd w:val="clear" w:color="auto" w:fill="F0F0F0"/>
          </w:tcPr>
          <w:p>
            <w:pPr>
              <w:pStyle w:val="Para 02"/>
              <w:keepLines w:val="on"/>
            </w:pPr>
            <w:r>
              <w:t>Thoái vốn tài sản</w:t>
            </w:r>
          </w:p>
        </w:tc>
        <w:tc>
          <w:tcPr>
            <w:vMerge w:val="continue"/>
          </w:tcPr>
          <w:p/>
        </w:tc>
        <w:tc>
          <w:tcPr>
            <w:vMerge w:val="continue"/>
          </w:tcPr>
          <w:p/>
        </w:tc>
      </w:tr>
      <w:tr>
        <w:tc>
          <w:tcPr>
            <w:vMerge w:val="continue"/>
          </w:tcPr>
          <w:p/>
        </w:tc>
        <w:tc>
          <w:tcPr>
            <w:tcW w:type="auto" w:w="0"/>
            <w:shd w:val="clear" w:color="auto" w:fill="F0F0F0"/>
          </w:tcPr>
          <w:p>
            <w:pPr>
              <w:pStyle w:val="Para 02"/>
              <w:keepLines w:val="on"/>
            </w:pPr>
            <w:r>
              <w:t>Trừ</w:t>
            </w:r>
          </w:p>
        </w:tc>
        <w:tc>
          <w:tcPr>
            <w:tcW w:type="auto" w:w="0"/>
            <w:shd w:val="clear" w:color="auto" w:fill="F0F0F0"/>
          </w:tcPr>
          <w:p>
            <w:pPr>
              <w:pStyle w:val="Para 02"/>
              <w:keepLines w:val="on"/>
            </w:pPr>
            <w:r>
              <w:t>Mua lại bằng tiền mặt</w:t>
            </w:r>
          </w:p>
        </w:tc>
        <w:tc>
          <w:tcPr>
            <w:vMerge w:val="continue"/>
          </w:tcPr>
          <w:p/>
        </w:tc>
        <w:tc>
          <w:tcPr>
            <w:vMerge w:val="continue"/>
          </w:tcPr>
          <w:p/>
        </w:tc>
      </w:tr>
      <w:tr>
        <w:tc>
          <w:tcPr>
            <w:vMerge w:val="continue"/>
          </w:tcPr>
          <w:p/>
        </w:tc>
        <w:tc>
          <w:tcPr>
            <w:tcW w:type="auto" w:w="0"/>
            <w:shd w:val="clear" w:color="auto" w:fill="F0F0F0"/>
          </w:tcPr>
          <w:p>
            <w:pPr>
              <w:pStyle w:val="Para 02"/>
              <w:keepLines w:val="on"/>
            </w:pPr>
            <w:r>
              <w:t>Trừ</w:t>
            </w:r>
          </w:p>
        </w:tc>
        <w:tc>
          <w:tcPr>
            <w:tcW w:type="auto" w:w="0"/>
            <w:shd w:val="clear" w:color="auto" w:fill="F0F0F0"/>
          </w:tcPr>
          <w:p>
            <w:pPr>
              <w:pStyle w:val="Para 02"/>
              <w:keepLines w:val="on"/>
            </w:pPr>
            <w:r>
              <w:t>Đầu tư vào tài sản tài chính</w:t>
            </w:r>
          </w:p>
        </w:tc>
        <w:tc>
          <w:tcPr>
            <w:vMerge w:val="continue"/>
          </w:tcPr>
          <w:p/>
        </w:tc>
        <w:tc>
          <w:tcPr>
            <w:vMerge w:val="continue"/>
          </w:tcPr>
          <w:p/>
        </w:tc>
        <w:tc>
          <w:tcPr>
            <w:tcW w:type="auto" w:w="0"/>
            <w:shd w:val="clear" w:color="auto" w:fill="F0F0F0"/>
            <w:vMerge w:val="restart"/>
          </w:tcPr>
          <w:p>
            <w:pPr>
              <w:pStyle w:val="Para 02"/>
              <w:keepLines w:val="on"/>
            </w:pPr>
            <w:r>
              <w:t>Đầu tư vào tài sản phi hoạt động</w:t>
            </w:r>
          </w:p>
        </w:tc>
      </w:tr>
      <w:tr>
        <w:tc>
          <w:tcPr>
            <w:vMerge w:val="continue"/>
          </w:tcPr>
          <w:p/>
        </w:tc>
        <w:tc>
          <w:tcPr>
            <w:tcW w:type="auto" w:w="0"/>
            <w:shd w:val="clear" w:color="auto" w:fill="F0F0F0"/>
          </w:tcPr>
          <w:p>
            <w:pPr>
              <w:pStyle w:val="Para 02"/>
              <w:keepLines w:val="on"/>
            </w:pPr>
            <w:r>
              <w:t>Trừ</w:t>
            </w:r>
          </w:p>
        </w:tc>
        <w:tc>
          <w:tcPr>
            <w:tcW w:type="auto" w:w="0"/>
            <w:shd w:val="clear" w:color="auto" w:fill="F0F0F0"/>
          </w:tcPr>
          <w:p>
            <w:pPr>
              <w:pStyle w:val="Para 02"/>
              <w:keepLines w:val="on"/>
            </w:pPr>
            <w:r>
              <w:t>Đầu tư vào tài sản phi hoạt động</w:t>
            </w:r>
          </w:p>
        </w:tc>
        <w:tc>
          <w:tcPr>
            <w:vMerge w:val="continue"/>
          </w:tcPr>
          <w:p/>
        </w:tc>
        <w:tc>
          <w:tcPr>
            <w:vMerge w:val="continue"/>
          </w:tcPr>
          <w:p/>
        </w:tc>
        <w:tc>
          <w:tcPr>
            <w:vMerge w:val="continue"/>
          </w:tcPr>
          <w:p/>
        </w:tc>
      </w:tr>
      <w:tr>
        <w:tc>
          <w:tcPr>
            <w:vMerge w:val="continue"/>
          </w:tcPr>
          <w:p/>
        </w:tc>
        <w:tc>
          <w:tcPr>
            <w:tcW w:type="auto" w:w="0"/>
            <w:shd w:val="clear" w:color="auto" w:fill="F0F0F0"/>
          </w:tcPr>
          <w:p>
            <w:pPr>
              <w:pStyle w:val="Para 02"/>
              <w:keepLines w:val="on"/>
            </w:pPr>
            <w:r>
              <w:t>Cộng</w:t>
            </w:r>
          </w:p>
        </w:tc>
        <w:tc>
          <w:tcPr>
            <w:tcW w:type="auto" w:w="0"/>
            <w:shd w:val="clear" w:color="auto" w:fill="F0F0F0"/>
          </w:tcPr>
          <w:p>
            <w:pPr>
              <w:pStyle w:val="Para 02"/>
              <w:keepLines w:val="on"/>
            </w:pPr>
            <w:r>
              <w:t>Thoái vốn khỏi chứng khoán &amp; tài sản phi hoạt động</w:t>
            </w:r>
          </w:p>
        </w:tc>
        <w:tc>
          <w:tcPr>
            <w:vMerge w:val="continue"/>
          </w:tcPr>
          <w:p/>
        </w:tc>
        <w:tc>
          <w:tcPr>
            <w:vMerge w:val="continue"/>
          </w:tcPr>
          <w:p/>
        </w:tc>
        <w:tc>
          <w:tcPr>
            <w:vMerge w:val="continue"/>
          </w:tcPr>
          <w:p/>
        </w:tc>
      </w:tr>
      <w:tr>
        <w:tc>
          <w:tcPr>
            <w:vMerge w:val="continue"/>
          </w:tcPr>
          <w:p/>
        </w:tc>
        <w:tc>
          <w:tcPr>
            <w:tcW w:type="auto" w:w="0"/>
            <w:shd w:val="clear" w:color="auto" w:fill="F0F0F0"/>
          </w:tcPr>
          <w:p>
            <w:pPr>
              <w:pStyle w:val="Para 57"/>
              <w:keepLines w:val="on"/>
            </w:pPr>
            <w:r>
              <w:t>Bằng</w:t>
            </w:r>
          </w:p>
        </w:tc>
        <w:tc>
          <w:tcPr>
            <w:tcW w:type="auto" w:w="0"/>
            <w:shd w:val="clear" w:color="auto" w:fill="F0F0F0"/>
          </w:tcPr>
          <w:p>
            <w:pPr>
              <w:pStyle w:val="Para 57"/>
              <w:keepLines w:val="on"/>
            </w:pPr>
            <w:r>
              <w:t>Dòng tiền từ hoạt động đầu tư</w:t>
            </w:r>
          </w:p>
        </w:tc>
        <w:tc>
          <w:tcPr>
            <w:vMerge w:val="continue"/>
          </w:tcPr>
          <w:p/>
        </w:tc>
        <w:tc>
          <w:tcPr>
            <w:vMerge w:val="continue"/>
          </w:tcPr>
          <w:p/>
        </w:tc>
        <w:tc>
          <w:tcPr>
            <w:vMerge w:val="continue"/>
          </w:tcPr>
          <w:p/>
        </w:tc>
        <w:tc>
          <w:tcPr>
            <w:tcW w:type="auto" w:w="0"/>
            <w:shd w:val="clear" w:color="auto" w:fill="F0F0F0"/>
          </w:tcPr>
          <w:p>
            <w:pPr>
              <w:pStyle w:val="Para 02"/>
              <w:keepLines w:val="on"/>
            </w:pPr>
            <w:r>
              <w:t/>
            </w:r>
          </w:p>
        </w:tc>
      </w:tr>
      <w:tr>
        <w:tc>
          <w:tcPr>
            <w:vMerge w:val="continue"/>
          </w:tcPr>
          <w:p/>
        </w:tc>
        <w:tc>
          <w:tcPr>
            <w:tcW w:type="auto" w:w="0"/>
            <w:shd w:val="clear" w:color="auto" w:fill="F0F0F0"/>
          </w:tcPr>
          <w:p>
            <w:pPr>
              <w:pStyle w:val="Para 02"/>
              <w:keepLines w:val="on"/>
            </w:pPr>
            <w:r>
              <w:t/>
            </w:r>
          </w:p>
        </w:tc>
        <w:tc>
          <w:tcPr>
            <w:tcW w:type="auto" w:w="0"/>
            <w:shd w:val="clear" w:color="auto" w:fill="F0F0F0"/>
          </w:tcPr>
          <w:p>
            <w:pPr>
              <w:pStyle w:val="Normal"/>
              <w:keepLines w:val="on"/>
            </w:pPr>
            <w:r>
              <w:t/>
            </w:r>
          </w:p>
        </w:tc>
        <w:tc>
          <w:tcPr>
            <w:vMerge w:val="continue"/>
          </w:tcPr>
          <w:p/>
        </w:tc>
        <w:tc>
          <w:tcPr>
            <w:vMerge w:val="continue"/>
          </w:tcPr>
          <w:p/>
        </w:tc>
        <w:tc>
          <w:tcPr>
            <w:vMerge w:val="continue"/>
          </w:tcPr>
          <w:p/>
        </w:tc>
        <w:tc>
          <w:tcPr>
            <w:tcW w:type="auto" w:w="0"/>
            <w:shd w:val="clear" w:color="auto" w:fill="F0F0F0"/>
          </w:tcPr>
          <w:p>
            <w:pPr>
              <w:pStyle w:val="Normal"/>
              <w:keepLines w:val="on"/>
            </w:pPr>
            <w:r>
              <w:t/>
            </w:r>
          </w:p>
        </w:tc>
      </w:tr>
      <w:tr>
        <w:tc>
          <w:tcPr>
            <w:vMerge w:val="continue"/>
          </w:tcPr>
          <w:p/>
        </w:tc>
        <w:tc>
          <w:tcPr>
            <w:tcW w:type="auto" w:w="0"/>
            <w:shd w:val="clear" w:color="auto" w:fill="F0F0F0"/>
          </w:tcPr>
          <w:p>
            <w:pPr>
              <w:pStyle w:val="Para 29"/>
              <w:keepLines w:val="on"/>
            </w:pPr>
            <w:r>
              <w:t>Hành động</w:t>
            </w:r>
          </w:p>
        </w:tc>
        <w:tc>
          <w:tcPr>
            <w:tcW w:type="auto" w:w="0"/>
            <w:shd w:val="clear" w:color="auto" w:fill="F0F0F0"/>
          </w:tcPr>
          <w:p>
            <w:pPr>
              <w:pStyle w:val="Para 29"/>
              <w:keepLines w:val="on"/>
            </w:pPr>
            <w:r>
              <w:t>Mục</w:t>
            </w:r>
          </w:p>
        </w:tc>
        <w:tc>
          <w:tcPr>
            <w:vMerge w:val="continue"/>
          </w:tcPr>
          <w:p/>
        </w:tc>
        <w:tc>
          <w:tcPr>
            <w:vMerge w:val="continue"/>
          </w:tcPr>
          <w:p/>
        </w:tc>
        <w:tc>
          <w:tcPr>
            <w:vMerge w:val="continue"/>
          </w:tcPr>
          <w:p/>
        </w:tc>
        <w:tc>
          <w:tcPr>
            <w:tcW w:type="auto" w:w="0"/>
            <w:shd w:val="clear" w:color="auto" w:fill="F0F0F0"/>
          </w:tcPr>
          <w:p>
            <w:pPr>
              <w:pStyle w:val="Para 29"/>
              <w:keepLines w:val="on"/>
            </w:pPr>
            <w:r>
              <w:t>Tại sao?</w:t>
            </w:r>
          </w:p>
        </w:tc>
      </w:tr>
      <w:tr>
        <w:tc>
          <w:tcPr>
            <w:vMerge w:val="continue"/>
          </w:tcPr>
          <w:p/>
        </w:tc>
        <w:tc>
          <w:tcPr>
            <w:tcW w:type="auto" w:w="0"/>
            <w:shd w:val="clear" w:color="auto" w:fill="F0F0F0"/>
          </w:tcPr>
          <w:p>
            <w:pPr>
              <w:pStyle w:val="Para 02"/>
              <w:keepLines w:val="on"/>
            </w:pPr>
            <w:r>
              <w:t>Cộng</w:t>
            </w:r>
          </w:p>
        </w:tc>
        <w:tc>
          <w:tcPr>
            <w:tcW w:type="auto" w:w="0"/>
            <w:shd w:val="clear" w:color="auto" w:fill="F0F0F0"/>
          </w:tcPr>
          <w:p>
            <w:pPr>
              <w:pStyle w:val="Para 02"/>
              <w:keepLines w:val="on"/>
            </w:pPr>
            <w:r>
              <w:t>Nợ huy động được</w:t>
            </w:r>
          </w:p>
        </w:tc>
        <w:tc>
          <w:tcPr>
            <w:vMerge w:val="continue"/>
          </w:tcPr>
          <w:p/>
        </w:tc>
        <w:tc>
          <w:tcPr>
            <w:vMerge w:val="continue"/>
          </w:tcPr>
          <w:p/>
        </w:tc>
        <w:tc>
          <w:tcPr>
            <w:vMerge w:val="continue"/>
          </w:tcPr>
          <w:p/>
        </w:tc>
        <w:tc>
          <w:tcPr>
            <w:tcW w:type="auto" w:w="0"/>
            <w:shd w:val="clear" w:color="auto" w:fill="F0F0F0"/>
            <w:vMerge w:val="restart"/>
          </w:tcPr>
          <w:p>
            <w:pPr>
              <w:pStyle w:val="Para 02"/>
              <w:keepLines w:val="on"/>
            </w:pPr>
            <w:r>
              <w:t>Dòng tiền ròng từ/đến nợ</w:t>
            </w:r>
          </w:p>
        </w:tc>
      </w:tr>
      <w:tr>
        <w:tc>
          <w:tcPr>
            <w:vMerge w:val="continue"/>
          </w:tcPr>
          <w:p/>
        </w:tc>
        <w:tc>
          <w:tcPr>
            <w:tcW w:type="auto" w:w="0"/>
            <w:shd w:val="clear" w:color="auto" w:fill="F0F0F0"/>
          </w:tcPr>
          <w:p>
            <w:pPr>
              <w:pStyle w:val="Para 02"/>
              <w:keepLines w:val="on"/>
            </w:pPr>
            <w:r>
              <w:t>Trừ</w:t>
            </w:r>
          </w:p>
        </w:tc>
        <w:tc>
          <w:tcPr>
            <w:tcW w:type="auto" w:w="0"/>
            <w:shd w:val="clear" w:color="auto" w:fill="F0F0F0"/>
          </w:tcPr>
          <w:p>
            <w:pPr>
              <w:pStyle w:val="Para 02"/>
              <w:keepLines w:val="on"/>
            </w:pPr>
            <w:r>
              <w:t>Nợ đã trả</w:t>
            </w:r>
          </w:p>
        </w:tc>
        <w:tc>
          <w:tcPr>
            <w:vMerge w:val="continue"/>
          </w:tcPr>
          <w:p/>
        </w:tc>
        <w:tc>
          <w:tcPr>
            <w:vMerge w:val="continue"/>
          </w:tcPr>
          <w:p/>
        </w:tc>
        <w:tc>
          <w:tcPr>
            <w:vMerge w:val="continue"/>
          </w:tcPr>
          <w:p/>
        </w:tc>
        <w:tc>
          <w:tcPr>
            <w:vMerge w:val="continue"/>
          </w:tcPr>
          <w:p/>
        </w:tc>
      </w:tr>
      <w:tr>
        <w:tc>
          <w:tcPr>
            <w:vMerge w:val="continue"/>
          </w:tcPr>
          <w:p/>
        </w:tc>
        <w:tc>
          <w:tcPr>
            <w:tcW w:type="auto" w:w="0"/>
            <w:shd w:val="clear" w:color="auto" w:fill="F0F0F0"/>
          </w:tcPr>
          <w:p>
            <w:pPr>
              <w:pStyle w:val="Para 02"/>
              <w:keepLines w:val="on"/>
            </w:pPr>
            <w:r>
              <w:t>Cộng</w:t>
            </w:r>
          </w:p>
        </w:tc>
        <w:tc>
          <w:tcPr>
            <w:tcW w:type="auto" w:w="0"/>
            <w:shd w:val="clear" w:color="auto" w:fill="F0F0F0"/>
          </w:tcPr>
          <w:p>
            <w:pPr>
              <w:pStyle w:val="Para 02"/>
              <w:keepLines w:val="on"/>
            </w:pPr>
            <w:r>
              <w:t>Phát hành cổ phần mới</w:t>
            </w:r>
          </w:p>
        </w:tc>
        <w:tc>
          <w:tcPr>
            <w:vMerge w:val="continue"/>
          </w:tcPr>
          <w:p/>
        </w:tc>
        <w:tc>
          <w:tcPr>
            <w:vMerge w:val="continue"/>
          </w:tcPr>
          <w:p/>
        </w:tc>
        <w:tc>
          <w:tcPr>
            <w:vMerge w:val="continue"/>
          </w:tcPr>
          <w:p/>
        </w:tc>
        <w:tc>
          <w:tcPr>
            <w:vMerge w:val="continue"/>
          </w:tcPr>
          <w:p/>
        </w:tc>
        <w:tc>
          <w:tcPr>
            <w:tcW w:type="auto" w:w="0"/>
            <w:shd w:val="clear" w:color="auto" w:fill="F0F0F0"/>
            <w:vMerge w:val="restart"/>
          </w:tcPr>
          <w:p>
            <w:pPr>
              <w:pStyle w:val="Para 02"/>
              <w:keepLines w:val="on"/>
            </w:pPr>
            <w:r>
              <w:t>Dòng tiền ròng từ/đến nhà đầu tư vốn cổ phần</w:t>
            </w:r>
          </w:p>
        </w:tc>
      </w:tr>
      <w:tr>
        <w:tc>
          <w:tcPr>
            <w:vMerge w:val="continue"/>
          </w:tcPr>
          <w:p/>
        </w:tc>
        <w:tc>
          <w:tcPr>
            <w:tcW w:type="auto" w:w="0"/>
            <w:shd w:val="clear" w:color="auto" w:fill="F0F0F0"/>
          </w:tcPr>
          <w:p>
            <w:pPr>
              <w:pStyle w:val="Para 02"/>
              <w:keepLines w:val="on"/>
            </w:pPr>
            <w:r>
              <w:t>Trừ</w:t>
            </w:r>
          </w:p>
        </w:tc>
        <w:tc>
          <w:tcPr>
            <w:tcW w:type="auto" w:w="0"/>
            <w:shd w:val="clear" w:color="auto" w:fill="F0F0F0"/>
          </w:tcPr>
          <w:p>
            <w:pPr>
              <w:pStyle w:val="Para 02"/>
              <w:keepLines w:val="on"/>
            </w:pPr>
            <w:r>
              <w:t>Cổ tức đã trả</w:t>
            </w: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tcW w:type="auto" w:w="0"/>
            <w:shd w:val="clear" w:color="auto" w:fill="F0F0F0"/>
          </w:tcPr>
          <w:p>
            <w:pPr>
              <w:pStyle w:val="Para 02"/>
              <w:keepLines w:val="on"/>
            </w:pPr>
            <w:r>
              <w:t>Trừ</w:t>
            </w:r>
          </w:p>
        </w:tc>
        <w:tc>
          <w:tcPr>
            <w:tcW w:type="auto" w:w="0"/>
            <w:shd w:val="clear" w:color="auto" w:fill="F0F0F0"/>
          </w:tcPr>
          <w:p>
            <w:pPr>
              <w:pStyle w:val="Para 02"/>
              <w:keepLines w:val="on"/>
            </w:pPr>
            <w:r>
              <w:t>Mua lại cổ phiếu</w:t>
            </w: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tcW w:type="auto" w:w="0"/>
            <w:shd w:val="clear" w:color="auto" w:fill="F0F0F0"/>
          </w:tcPr>
          <w:p>
            <w:pPr>
              <w:pStyle w:val="Para 57"/>
              <w:keepLines w:val="on"/>
            </w:pPr>
            <w:r>
              <w:t>Bằng</w:t>
            </w:r>
          </w:p>
        </w:tc>
        <w:tc>
          <w:tcPr>
            <w:tcW w:type="auto" w:w="0"/>
            <w:shd w:val="clear" w:color="auto" w:fill="F0F0F0"/>
          </w:tcPr>
          <w:p>
            <w:pPr>
              <w:pStyle w:val="Para 57"/>
              <w:keepLines w:val="on"/>
            </w:pPr>
            <w:r>
              <w:t>Dòng tiền từ hoạt động tài chính</w:t>
            </w:r>
          </w:p>
        </w:tc>
        <w:tc>
          <w:tcPr>
            <w:vMerge w:val="continue"/>
          </w:tcPr>
          <w:p/>
        </w:tc>
        <w:tc>
          <w:tcPr>
            <w:vMerge w:val="continue"/>
          </w:tcPr>
          <w:p/>
        </w:tc>
        <w:tc>
          <w:tcPr>
            <w:vMerge w:val="continue"/>
          </w:tcPr>
          <w:p/>
        </w:tc>
        <w:tc>
          <w:tcPr>
            <w:vMerge w:val="continue"/>
          </w:tcPr>
          <w:p/>
        </w:tc>
        <w:tc>
          <w:tcPr>
            <w:vMerge w:val="continue"/>
          </w:tcPr>
          <w:p/>
        </w:tc>
        <w:tc>
          <w:tcPr>
            <w:tcW w:type="auto" w:w="0"/>
            <w:shd w:val="clear" w:color="auto" w:fill="F0F0F0"/>
          </w:tcPr>
          <w:p>
            <w:pPr>
              <w:pStyle w:val="Para 02"/>
              <w:keepLines w:val="on"/>
            </w:pPr>
            <w:r>
              <w:t/>
            </w:r>
          </w:p>
        </w:tc>
      </w:tr>
    </w:tbl>
    <w:p>
      <w:pPr>
        <w:keepNext/>
        <w:pStyle w:val="Para 22"/>
        <w:keepLines w:val="on"/>
      </w:pPr>
      <w:r>
        <w:t>Hình 3.3 Báo cáo Lưu chuyển Tiền tệ</w:t>
      </w:r>
    </w:p>
    <w:p>
      <w:bookmarkStart w:id="248" w:name="Asset_Measurement_and_Valuation_1"/>
      <w:bookmarkStart w:id="249" w:name="Asset_Measurement_and_Valuation"/>
      <w:pPr>
        <w:keepNext/>
        <w:pStyle w:val="Heading 2"/>
        <w:keepLines w:val="on"/>
      </w:pPr>
      <w:r>
        <w:t>Đo lường và Định giá Tài sản</w:t>
      </w:r>
      <w:bookmarkEnd w:id="248"/>
      <w:bookmarkEnd w:id="249"/>
    </w:p>
    <w:p>
      <w:pPr>
        <w:pStyle w:val="Para 03"/>
      </w:pPr>
      <w:r>
        <w:t>Khi phân tích bất kỳ công ty nào, chúng ta muốn biết các loại tài sản mà công ty sở hữu, giá trị của những tài sản này, và mức độ không chắc chắn về giá trị đó. Các báo cáo kế toán làm khá tốt việc phân loại tài sản mà một công ty sở hữu, làm một phần việc đánh giá giá trị của những tài sản này, và làm kém việc báo cáo về sự không chắc chắn của giá trị tài sản. Phần này bắt đầu bằng việc xem xét các nguyên tắc kế toán làm nền tảng cho việc phân loại và đo lường tài sản, cùng những hạn chế của báo cáo tài chính trong việc cung cấp thông tin phù hợp về tài sản.</w:t>
      </w:r>
    </w:p>
    <w:p>
      <w:bookmarkStart w:id="250" w:name="Accounting_Principles_Underlying"/>
      <w:bookmarkStart w:id="251" w:name="Accounting_Principles_Underlying_1"/>
      <w:pPr>
        <w:keepNext/>
        <w:pStyle w:val="Heading 3"/>
        <w:keepLines w:val="on"/>
      </w:pPr>
      <w:r>
        <w:t>Các Nguyên tắc Kế toán làm Nền tảng cho Đo lường Tài sản</w:t>
      </w:r>
      <w:bookmarkEnd w:id="250"/>
      <w:bookmarkEnd w:id="251"/>
    </w:p>
    <w:p>
      <w:pPr>
        <w:pStyle w:val="Para 03"/>
      </w:pPr>
      <w:r>
        <w:t>Một tài sản là bất kỳ nguồn lực nào có tiềm năng tạo ra dòng tiền vào trong tương lai hoặc giảm dòng tiền ra trong tương lai. Đó là định nghĩa chung đủ rộng để bao quát gần như mọi loại tài sản, nhưng các kế toán viên thêm một lưu ý rằng để một nguồn lực được coi là tài sản, doanh nghiệp phải đã có được nó thông qua một giao dịch trước đó và có thể định lượng lợi ích tương lai với độ chính xác hợp lý. Quan điểm kế toán về giá trị tài sản phần lớn dựa trên khái niệm giá gốc (historical cost), tức là chi phí ban đầu của tài sản, được điều chỉnh tăng lên cho các cải tiến được thực hiện đối với tài sản kể từ khi mua và giảm xuống cho sự mất giá trị gắn với việc tài sản lão hóa. Giá gốc này được gọi là giá trị sổ sách (book value). Mặc dù các nguyên tắc kế toán được chấp nhận chung (GAAP) để định giá một tài sản khác nhau tùy theo từng loại tài sản, có ba nguyên tắc làm nền tảng cho cách tài sản được định giá trong các báo cáo kế toán:</w:t>
      </w:r>
    </w:p>
    <w:p>
      <w:pPr>
        <w:numPr>
          <w:ilvl w:val="0"/>
          <w:numId w:val="8"/>
        </w:numPr>
        <w:pStyle w:val="Para 01"/>
      </w:pPr>
      <w:r>
        <w:t>Một niềm tin bền vững vào giá trị sổ sách như là ước tính tốt nhất về giá trị. Các ước tính kế toán về giá trị tài sản bắt đầu từ giá trị sổ sách, và trừ khi có lý do thực sự đáng kể để làm khác, các kế toán viên xem giá gốc là ước tính tốt nhất về giá trị của một tài sản.</w:t>
      </w:r>
    </w:p>
    <w:p>
      <w:pPr>
        <w:numPr>
          <w:ilvl w:val="0"/>
          <w:numId w:val="8"/>
        </w:numPr>
        <w:pStyle w:val="Para 01"/>
      </w:pPr>
      <w:r>
        <w:t>Sự không tin tưởng vào giá trị thị trường hoặc giá trị ước tính. Khi tồn tại một giá trị thị trường hiện tại cho một tài sản khác với giá trị sổ sách, quy ước kế toán dường như nhìn giá trị thị trường này với sự nghi ngờ. Giá thị trường của một tài sản thường bị xem là vừa quá biến động vừa quá dễ bị thao túng để có thể dùng làm ước tính giá trị cho một tài sản. Sự nghi ngờ này còn sâu sắc hơn khi một giá trị được ước tính cho một tài sản dựa trên dòng tiền kỳ vọng trong tương lai.</w:t>
      </w:r>
    </w:p>
    <w:p>
      <w:pPr>
        <w:numPr>
          <w:ilvl w:val="0"/>
          <w:numId w:val="8"/>
        </w:numPr>
        <w:pStyle w:val="Para 01"/>
      </w:pPr>
      <w:r>
        <w:t>Sự ưu tiên đánh giá thấp giá trị hơn là đánh giá cao nó. Khi có nhiều hơn một cách tiếp cận để định giá một tài sản, quy ước kế toán cho rằng nên dùng ước tính giá trị thận trọng hơn (thấp hơn) thay vì ước tính giá trị kém thận trọng hơn (cao hơn). Do đó, khi cả giá trị thị trường lẫn giá trị sổ sách đều có sẵn cho một tài sản, các quy tắc kế toán thường yêu cầu bạn dùng số nhỏ hơn trong hai số.</w:t>
      </w:r>
    </w:p>
    <w:p>
      <w:bookmarkStart w:id="253" w:name="Measuring_Asset_Value"/>
      <w:bookmarkStart w:id="254" w:name="Measuring_Asset_Value__The_finan"/>
      <w:pPr>
        <w:keepNext/>
        <w:pStyle w:val="Heading 3"/>
        <w:keepLines w:val="on"/>
      </w:pPr>
      <w:r>
        <w:t>Đo lường giá trị tài sản</w:t>
      </w:r>
      <w:bookmarkEnd w:id="253"/>
      <w:bookmarkEnd w:id="254"/>
    </w:p>
    <w:p>
      <w:pPr>
        <w:pStyle w:val="Para 03"/>
      </w:pPr>
      <w:r>
        <w:t>Báo cáo tài chính mà trong đó các kế toán viên tóm tắt và báo cáo giá trị tài sản là bảng cân đối kế toán (balance sheet). Để xem xét cách giá trị tài sản được đo lường, hãy bắt đầu với cách tài sản được phân loại trong bảng cân đối kế toán. Đầu tiên là tài sản cố định (fixed assets), bao gồm các tài sản dài hạn của doanh nghiệp như nhà máy, thiết bị, đất đai và tòa nhà. Tiếp theo, ta có tài sản ngắn hạn của doanh nghiệp, bao gồm hàng tồn kho (nguyên vật liệu, sản phẩm dở dang và thành phẩm), các khoản phải thu (tổng hợp số tiền mà doanh nghiệp được nợ) và tiền mặt; những thứ này được phân loại là tài sản ngắn hạn (current assets). Sau đó ta có các khoản đầu tư vào tài sản và chứng khoán của các doanh nghiệp khác, thường được phân loại là các khoản đầu tư tài chính hoặc phi hoạt động. Cuối cùng, ta có thứ được phân loại một cách lỏng lẻo là tài sản vô hình (intangible assets). Những thứ này không chỉ bao gồm các tài sản như bằng sáng chế và nhãn hiệu mà có lẽ sẽ tạo ra thu nhập và dòng tiền trong tương lai, mà còn cả những tài sản mang tính kế toán đặc thù như lợi thế thương mại (goodwill) phát sinh do các thương vụ mua lại mà doanh nghiệp thực hiện.</w:t>
      </w:r>
    </w:p>
    <w:p>
      <w:bookmarkStart w:id="255" w:name="Fixed_Assets"/>
      <w:bookmarkStart w:id="256" w:name="Fixed_Assets__Generally_accepted"/>
      <w:pPr>
        <w:keepNext/>
        <w:pStyle w:val="Heading 4"/>
        <w:keepLines w:val="on"/>
      </w:pPr>
      <w:r>
        <w:t>Tài sản cố định</w:t>
      </w:r>
      <w:bookmarkEnd w:id="255"/>
      <w:bookmarkEnd w:id="256"/>
    </w:p>
    <w:p>
      <w:pPr>
        <w:pStyle w:val="Para 03"/>
      </w:pPr>
      <w:r>
        <w:t>Các nguyên tắc kế toán được chấp nhận chung (GAAP) ở Hoa Kỳ yêu cầu định giá tài sản cố định theo giá gốc, được điều chỉnh cho bất kỳ mất giá ước tính nào do sự lão hóa của những tài sản này. Mặc dù về lý thuyết, các điều chỉnh cho sự lão hóa nên phản ánh sự mất đi khả năng sinh lợi của tài sản khi nó già đi, trên thực tế chúng phần nhiều là sản phẩm của các quy tắc và quy ước kế toán, và những điều chỉnh này được gọi là khấu hao (depreciation). Các phương pháp khấu hao có thể được phân loại rất rộng thành đường thẳng (straight line) (trong đó mất giá trị tài sản được giả định là một hằng số mỗi năm trong suốt vòng đời của nó) và nhanh (accelerated) (trong đó tài sản mất giá trị nhiều hơn trong những năm đầu và ít hơn trong những năm sau). Mặc dù các quy tắc thuế, ít nhất là ở Hoa Kỳ, đã hạn chế sự tự do mà doanh nghiệp có trong việc lựa chọn thời gian hữu dụng của tài sản và phương pháp khấu hao, doanh nghiệp vẫn có một mức độ linh hoạt đáng kể trong các quyết định này cho mục đích báo cáo. Do đó, khấu hao được báo cáo trong các báo cáo thường niên có thể không phải, và thường là không, giống với khấu hao được dùng trong các báo cáo thuế.</w:t>
      </w:r>
    </w:p>
    <w:p>
      <w:pPr>
        <w:pStyle w:val="Para 03"/>
      </w:pPr>
      <w:r>
        <w:t>Vì tài sản cố định được định giá theo giá trị sổ sách và được điều chỉnh cho các khoản trích khấu hao, giá trị của một tài sản cố định bị ảnh hưởng mạnh bởi tuổi của nó, với những tài sản cũ hơn có giá trị thấp hơn, và hơn nữa bởi thời gian khấu hao và phương pháp khấu hao được sử dụng. Nhiều doanh nghiệp ở Hoa Kỳ dùng khấu hao đường thẳng cho báo cáo tài chính trong khi dùng khấu hao nhanh cho mục đích thuế, vì doanh nghiệp có thể báo cáo thu nhập tốt hơn với cách thứ nhất, ít nhất là trong những năm ngay sau khi tài sản được mua.1 Ngược lại, các doanh nghiệp ở những quốc gia khác thường dùng khấu hao nhanh cho cả mục đích thuế lẫn báo cáo tài chính, dẫn đến thu nhập được báo cáo bị nói giảm so với các đối tác Hoa Kỳ của họ.</w:t>
      </w:r>
    </w:p>
    <w:p>
      <w:bookmarkStart w:id="259" w:name="Current_Assets__Current_assets_i"/>
      <w:bookmarkStart w:id="260" w:name="Current_Assets"/>
      <w:pPr>
        <w:keepNext/>
        <w:pStyle w:val="Heading 4"/>
        <w:keepLines w:val="on"/>
      </w:pPr>
      <w:r>
        <w:t>Tài sản ngắn hạn</w:t>
      </w:r>
      <w:bookmarkEnd w:id="259"/>
      <w:bookmarkEnd w:id="260"/>
    </w:p>
    <w:p>
      <w:pPr>
        <w:pStyle w:val="Para 03"/>
      </w:pPr>
      <w:r>
        <w:t>Tài sản ngắn hạn bao gồm hàng tồn kho, tiền mặt và các khoản phải thu. Chính trong hạng mục này mà các kế toán viên dễ chấp nhận việc dùng giá trị thị trường nhất, đặc biệt là khi định giá các chứng khoán có thể bán được trên thị trường (marketable securities).</w:t>
      </w:r>
    </w:p>
    <w:p>
      <w:bookmarkStart w:id="261" w:name="Accounts_Receivable__Accounts_re"/>
      <w:pPr>
        <w:pStyle w:val="Para 21"/>
      </w:pPr>
      <w:r>
        <w:t>Các khoản phải thu</w:t>
      </w:r>
      <w:bookmarkEnd w:id="261"/>
    </w:p>
    <w:p>
      <w:pPr>
        <w:pStyle w:val="Para 03"/>
      </w:pPr>
      <w:r>
        <w:t>Các khoản phải thu biểu thị số tiền mà các thực thể nợ doanh nghiệp từ việc bán sản phẩm theo hình thức tín dụng. Khi Home Depot bán sản phẩm cho các nhà thầu xây dựng và cho họ vài tuần để thanh toán, nó đang tạo ra các khoản phải thu. Quy ước kế toán là ghi nhận các khoản phải thu bằng số tiền mà doanh nghiệp được nợ dựa trên hóa đơn tại thời điểm bán chịu. Vấn đề định giá và kế toán lớn duy nhất là khi doanh nghiệp phải ghi nhận các khoản phải thu không thể thu hồi được. Doanh nghiệp có thể trích ra một phần thu nhập của mình để trang trải các khoản nợ khó đòi dự kiến từ việc bán chịu, và các khoản phải thu sẽ được giảm đi bởi khoản dự phòng này. Hoặc, các khoản nợ khó đòi có thể được ghi nhận khi chúng xảy ra, và doanh nghiệp có thể giảm các khoản phải thu cho tương ứng. Tuy nhiên, có nguy cơ rằng nếu không có một tuyên bố dứt khoát về một khoản nợ khó đòi, doanh nghiệp có thể tiếp tục thể hiện là các khoản phải thu những khoản mà họ biết là khó có thể bao giờ thu được.</w:t>
      </w:r>
    </w:p>
    <w:p>
      <w:bookmarkStart w:id="263" w:name="Cash__Cash_is_one_of_the_few_ass"/>
      <w:pPr>
        <w:pStyle w:val="Para 21"/>
      </w:pPr>
      <w:r>
        <w:t>Tiền mặt</w:t>
      </w:r>
      <w:bookmarkEnd w:id="263"/>
    </w:p>
    <w:p>
      <w:pPr>
        <w:pStyle w:val="Para 03"/>
      </w:pPr>
      <w:r>
        <w:t>Tiền mặt là một trong số ít tài sản mà các kế toán viên và nhà phân tích tài chính nên đồng ý về giá trị. Giá trị của một khoản tiền mặt không nên có chỗ cho sai số ước tính. Đã nói vậy, chúng ta lưu ý rằng ngày càng ít doanh nghiệp nắm giữ tiền mặt theo nghĩa thông thường (như tiền giấy hay tiền gửi không kỳ hạn ở ngân hàng). Doanh nghiệp thường đầu tư tiền mặt vào các tài khoản sinh lãi, thương phiếu (commercial paper) hoặc trái phiếu kho bạc (Treasuries) để kiếm lợi tức trên các khoản đầu tư của mình. Dù trong trường hợp nào, giá trị thị trường đôi khi có thể lệch khỏi giá trị sổ sách. Mặc dù có rủi ro vỡ nợ tối thiểu trong cả hai loại đầu tư này, các biến động lãi suất có thể ảnh hưởng đến giá trị của chúng. Việc định giá các chứng khoán có thể bán được trên thị trường sẽ được xem xét ở phần sau của mục này.</w:t>
      </w:r>
    </w:p>
    <w:p>
      <w:bookmarkStart w:id="265" w:name="Inventory__Three_basic_approache"/>
      <w:pPr>
        <w:pStyle w:val="Para 21"/>
      </w:pPr>
      <w:r>
        <w:t>Hàng tồn kho</w:t>
      </w:r>
      <w:bookmarkEnd w:id="265"/>
    </w:p>
    <w:p>
      <w:pPr>
        <w:pStyle w:val="Para 03"/>
      </w:pPr>
      <w:r>
        <w:t>Ba cách tiếp cận cơ bản để định giá hàng tồn kho được GAAP cho phép: nhập trước, xuất trước (FIFO); nhập sau, xuất trước (LIFO); và bình quân gia quyền (weighted average).</w:t>
      </w:r>
    </w:p>
    <w:p>
      <w:pPr>
        <w:numPr>
          <w:ilvl w:val="0"/>
          <w:numId w:val="9"/>
        </w:numPr>
        <w:pStyle w:val="Para 01"/>
      </w:pPr>
      <w:r>
        <w:t>Nhập trước, xuất trước (FIFO). Theo FIFO, giá vốn hàng bán dựa trên chi phí nguyên vật liệu được mua sớm nhất trong kỳ, trong khi chi phí hàng tồn kho dựa trên chi phí nguyên vật liệu được mua muộn hơn trong năm. Điều này dẫn đến hàng tồn kho được định giá gần với chi phí thay thế hiện tại. Trong các giai đoạn lạm phát, việc dùng FIFO sẽ dẫn đến ước tính giá vốn hàng bán thấp nhất trong ba cách định giá, và thu nhập ròng cao nhất.</w:t>
      </w:r>
    </w:p>
    <w:p>
      <w:pPr>
        <w:numPr>
          <w:ilvl w:val="0"/>
          <w:numId w:val="9"/>
        </w:numPr>
        <w:pStyle w:val="Para 01"/>
      </w:pPr>
      <w:r>
        <w:t>Nhập sau, xuất trước (LIFO). Theo LIFO, giá vốn hàng bán dựa trên chi phí nguyên vật liệu được mua vào cuối kỳ, dẫn đến các chi phí gần xấp xỉ với chi phí hiện tại. Tuy nhiên, hàng tồn kho lại được định giá dựa trên chi phí nguyên vật liệu được mua sớm hơn trong năm. Trong các giai đoạn lạm phát, việc dùng LIFO sẽ dẫn đến ước tính giá vốn hàng bán cao nhất trong ba cách tiếp cận, và thu nhập ròng thấp nhất.</w:t>
      </w:r>
    </w:p>
    <w:p>
      <w:pPr>
        <w:numPr>
          <w:ilvl w:val="0"/>
          <w:numId w:val="9"/>
        </w:numPr>
        <w:pStyle w:val="Para 01"/>
      </w:pPr>
      <w:r>
        <w:t>Bình quân gia quyền. Theo cách tiếp cận bình quân gia quyền, cả hàng tồn kho lẫn giá vốn hàng bán đều dựa trên chi phí bình quân của tất cả nguyên vật liệu được mua trong kỳ. Khi hàng tồn kho quay vòng nhanh, cách tiếp cận này sẽ giống FIFO hơn là LIFO.</w:t>
      </w:r>
    </w:p>
    <w:p>
      <w:pPr>
        <w:pStyle w:val="Para 03"/>
      </w:pPr>
      <w:r>
        <w:t>Các doanh nghiệp thường áp dụng cách tiếp cận LIFO vì lợi ích thuế của nó trong các giai đoạn lạm phát cao. Giá vốn hàng bán khi đó sẽ cao hơn vì nó dựa trên giá được trả vào cuối kỳ kế toán. Điều này, đến lượt nó, sẽ làm giảm thu nhập chịu thuế và thu nhập ròng được báo cáo trong khi tăng dòng tiền. Các nghiên cứu chỉ ra rằng những doanh nghiệp lớn hơn với giá nguyên vật liệu và nhân công đang tăng, mức tăng hàng tồn kho biến động hơn, và không có các khoản lỗ thuế chuyển tiếp khác thì có nhiều khả năng áp dụng cách tiếp cận LIFO hơn nhiều.</w:t>
      </w:r>
    </w:p>
    <w:p>
      <w:pPr>
        <w:pStyle w:val="Para 03"/>
      </w:pPr>
      <w:r>
        <w:t>Với những ảnh hưởng đến thu nhập và dòng tiền của các phương pháp định giá hàng tồn kho, thường khó so sánh khả năng sinh lợi của các doanh nghiệp dùng các phương pháp khác nhau. Tuy nhiên, có một cách để điều chỉnh cho những khác biệt này. Các doanh nghiệp chọn cách tiếp cận LIFO để định giá hàng tồn kho phải nêu rõ trong một chú thích phần chênh lệch trong định giá hàng tồn kho giữa FIFO và LIFO, và phần chênh lệch này được gọi là dự trữ LIFO (LIFO reserve). Nó có thể được dùng để điều chỉnh hàng tồn kho đầu kỳ và cuối kỳ, và do đó điều chỉnh giá vốn hàng bán, và để trình bày lại thu nhập dựa trên định giá FIFO.</w:t>
      </w:r>
    </w:p>
    <w:p>
      <w:bookmarkStart w:id="268" w:name="Investments__Financial__and_Mark"/>
      <w:bookmarkStart w:id="269" w:name="Investments__Financial__and_Mark_1"/>
      <w:pPr>
        <w:keepNext/>
        <w:pStyle w:val="Heading 4"/>
        <w:keepLines w:val="on"/>
      </w:pPr>
      <w:r>
        <w:t>Các khoản đầu tư (tài chính) và chứng khoán có thể bán được trên thị trường</w:t>
      </w:r>
      <w:bookmarkEnd w:id="268"/>
      <w:bookmarkEnd w:id="269"/>
    </w:p>
    <w:p>
      <w:pPr>
        <w:pStyle w:val="Para 03"/>
      </w:pPr>
      <w:r>
        <w:t>Trong hạng mục đầu tư và chứng khoán có thể bán được trên thị trường, các kế toán viên xem xét các khoản đầu tư mà doanh nghiệp thực hiện vào chứng khoán hoặc tài sản của các doanh nghiệp khác, cũng như các chứng khoán có thể bán được trên thị trường khác, bao gồm tín phiếu kho bạc hoặc trái phiếu kho bạc. Cách mà những tài sản này được định giá phụ thuộc vào cách khoản đầu tư được phân loại và động cơ đằng sau khoản đầu tư. Nói chung, một khoản đầu tư vào chứng khoán của một doanh nghiệp khác có thể được phân loại là khoản đầu tư thiểu số thụ động, khoản đầu tư thiểu số chủ động, hoặc khoản đầu tư đa số chủ động, và các quy tắc kế toán thay đổi tùy theo cách phân loại.</w:t>
      </w:r>
    </w:p>
    <w:p>
      <w:bookmarkStart w:id="270" w:name="Minority_Passive_Investments__If"/>
      <w:pPr>
        <w:pStyle w:val="Para 21"/>
      </w:pPr>
      <w:r>
        <w:t>Các khoản đầu tư thiểu số thụ động</w:t>
      </w:r>
      <w:bookmarkEnd w:id="270"/>
    </w:p>
    <w:p>
      <w:pPr>
        <w:pStyle w:val="Para 03"/>
      </w:pPr>
      <w:r>
        <w:t>Nếu chứng khoán hoặc tài sản sở hữu trong một công ty khác chiếm dưới 20 phần trăm quyền sở hữu tổng thể của công ty đó, khoản đầu tư được coi là khoản đầu tư thụ động thiểu số (minority passive investment). Những khoản đầu tư này có giá trị mua vào (acquisition value), tức là số tiền mà công ty đã trả ban đầu cho chứng khoán, và thường có cả giá trị thị trường. Các nguyên tắc kế toán yêu cầu những tài sản này phải được phân loại thành một trong ba nhóm — khoản đầu tư sẽ được nắm giữ đến ngày đáo hạn (held to maturity), khoản đầu tư sẵn sàng để bán (available for sale), và khoản đầu tư kinh doanh (trading investments). Nguyên tắc định giá khác nhau cho từng nhóm.</w:t>
      </w:r>
    </w:p>
    <w:p>
      <w:pPr>
        <w:numPr>
          <w:ilvl w:val="0"/>
          <w:numId w:val="10"/>
        </w:numPr>
        <w:pStyle w:val="Para 01"/>
      </w:pPr>
      <w:r>
        <w:t>Đối với khoản đầu tư sẽ được nắm giữ đến ngày đáo hạn, giá trị được định theo giá gốc lịch sử (historical cost) hay giá trị sổ sách (book value), và lãi hoặc cổ tức từ khoản đầu tư này được thể hiện trên báo cáo thu nhập (income statement).</w:t>
      </w:r>
    </w:p>
    <w:p>
      <w:pPr>
        <w:numPr>
          <w:ilvl w:val="0"/>
          <w:numId w:val="10"/>
        </w:numPr>
        <w:pStyle w:val="Para 01"/>
      </w:pPr>
      <w:r>
        <w:t>Đối với khoản đầu tư sẵn sàng để bán, giá trị được định theo giá thị trường, nhưng lãi hoặc lỗ chưa thực hiện (unrealized gains or losses) được thể hiện như một phần của vốn chủ sở hữu (equity) trên bảng cân đối kế toán (balance sheet) chứ không phải trên báo cáo thu nhập. Do đó, lỗ chưa thực hiện làm giảm giá trị sổ sách của vốn chủ sở hữu trong công ty, còn lãi chưa thực hiện làm tăng giá trị sổ sách của vốn chủ sở hữu.</w:t>
      </w:r>
    </w:p>
    <w:p>
      <w:pPr>
        <w:numPr>
          <w:ilvl w:val="0"/>
          <w:numId w:val="10"/>
        </w:numPr>
        <w:pStyle w:val="Para 01"/>
      </w:pPr>
      <w:r>
        <w:t>Đối với khoản đầu tư kinh doanh, giá trị được định theo giá thị trường, và lãi hoặc lỗ chưa thực hiện được thể hiện trên báo cáo thu nhập.</w:t>
      </w:r>
    </w:p>
    <w:p>
      <w:pPr>
        <w:pStyle w:val="Para 03"/>
      </w:pPr>
      <w:r>
        <w:t>Các công ty được phép có một mức độ tùy ý trong cách họ phân loại các khoản đầu tư và sau đó là trong cách họ định giá những tài sản này. Cách phân loại này đảm bảo rằng những công ty như ngân hàng đầu tư và một số công ty holding, với tài sản chủ yếu là chứng khoán nắm giữ ở các công ty khác nhằm mục đích kinh doanh, sẽ định giá lại phần lớn những tài sản này theo mức giá thị trường mỗi kỳ. Điều này được gọi là đánh giá theo giá thị trường (marking to market) và là một trong số ít trường hợp mà giá trị thị trường lấn át giá trị sổ sách trong các báo cáo kế toán. Tuy nhiên, hãy lưu ý rằng tinh thần đánh giá theo giá thị trường này đã không đưa ra bất kỳ cảnh báo sớm nào vào năm 2008 cho các nhà đầu tư vào những công ty dịch vụ tài chính về việc định giá quá cao các chứng khoán dưới chuẩn (subprime) và chứng khoán được đảm bảo bằng thế chấp (mortgage-backed securities).</w:t>
      </w:r>
    </w:p>
    <w:p>
      <w:bookmarkStart w:id="273" w:name="Minority_Active_Investments__If"/>
      <w:pPr>
        <w:pStyle w:val="Para 21"/>
      </w:pPr>
      <w:r>
        <w:t>Các khoản đầu tư chủ động thiểu số (Minority Active Investments)</w:t>
      </w:r>
      <w:bookmarkEnd w:id="273"/>
    </w:p>
    <w:p>
      <w:pPr>
        <w:pStyle w:val="Para 03"/>
      </w:pPr>
      <w:r>
        <w:t>Nếu chứng khoán hoặc tài sản sở hữu trong một công ty khác chiếm từ 20 phần trăm đến 50 phần trăm quyền sở hữu tổng thể của công ty đó, khoản đầu tư được coi là khoản đầu tư chủ động thiểu số (minority active investment). Mặc dù những khoản đầu tư này có giá trị mua vào ban đầu, một phần tương ứng (dựa trên tỷ lệ sở hữu) của thu nhập ròng và lỗ do công ty mà khoản đầu tư được thực hiện tạo ra sẽ được dùng để điều chỉnh chi phí mua vào. Ngoài ra, cổ tức nhận được từ khoản đầu tư sẽ làm giảm chi phí mua vào. Cách tiếp cận định giá các khoản đầu tư này được gọi là phương pháp vốn chủ sở hữu (equity approach).</w:t>
      </w:r>
    </w:p>
    <w:p>
      <w:pPr>
        <w:pStyle w:val="Para 03"/>
      </w:pPr>
      <w:r>
        <w:t>Giá trị thị trường của những khoản đầu tư này không được xem xét cho đến khi khoản đầu tư được thanh lý, tại thời điểm đó khoản lãi hoặc lỗ từ việc bán so với chi phí mua vào đã điều chỉnh sẽ được thể hiện như một phần của thu nhập trong kỳ đó.</w:t>
      </w:r>
    </w:p>
    <w:p>
      <w:bookmarkStart w:id="275" w:name="Majority_Active_Investments__If"/>
      <w:pPr>
        <w:pStyle w:val="Para 21"/>
      </w:pPr>
      <w:r>
        <w:t>Các khoản đầu tư chủ động đa số (Majority Active Investments)</w:t>
      </w:r>
      <w:bookmarkEnd w:id="275"/>
    </w:p>
    <w:p>
      <w:pPr>
        <w:pStyle w:val="Para 03"/>
      </w:pPr>
      <w:r>
        <w:t>Nếu chứng khoán hoặc tài sản sở hữu trong một công ty khác chiếm hơn 50 phần trăm quyền sở hữu tổng thể của công ty đó, khoản đầu tư được coi là khoản đầu tư chủ động đa số (majority active investment). Trong trường hợp này, khoản đầu tư không còn được thể hiện như một khoản đầu tư tài chính nữa mà thay vào đó được thay thế bằng tài sản và nợ phải trả của công ty mà khoản đầu tư được thực hiện. Cách tiếp cận này dẫn đến việc hợp nhất (consolidation) bảng cân đối kế toán của hai công ty, trong đó tài sản và nợ phải trả của hai công ty được hợp nhất và trình bày như một bảng cân đối kế toán duy nhất.2 Phần vốn chủ sở hữu trong công ty con thuộc sở hữu của các nhà đầu tư khác được thể hiện như lợi ích thiểu số (minority interest) ở phía nợ phải trả của bảng cân đối kế toán. Để minh họa, giả sử Công ty A sở hữu 60% Công ty B. Công ty A sẽ được yêu cầu hợp nhất 100% doanh thu, thu nhập và tài sản của Công ty B vào báo cáo tài chính của chính mình và sau đó thể hiện một khoản nợ phải trả (lợi ích thiểu số) phản ánh ước tính kế toán về giá trị của 40% vốn chủ sở hữu của Công ty B không thuộc về mình. Việc hợp nhất tương tự cũng diễn ra trong các báo cáo tài chính khác của công ty, với báo cáo lưu chuyển tiền tệ (statement of cash flows) phản ánh dòng tiền vào và ra lũy kế của công ty hợp nhất. Điều này trái ngược với phương pháp vốn chủ sở hữu được dùng cho các khoản đầu tư chủ động thiểu số, trong đó chỉ cổ tức nhận được từ khoản đầu tư mới được thể hiện như dòng tiền vào trong báo cáo lưu chuyển tiền tệ.</w:t>
      </w:r>
    </w:p>
    <w:p>
      <w:pPr>
        <w:pStyle w:val="Para 03"/>
      </w:pPr>
      <w:r>
        <w:t>Ở đây cũng vậy, giá trị thị trường của khoản đầu tư này không được xem xét cho đến khi phần sở hữu được thanh lý. Tại thời điểm đó, chênh lệch giữa giá thị trường và giá trị ròng của phần vốn chủ sở hữu trong công ty được coi là khoản lãi hoặc lỗ cho kỳ đó.</w:t>
      </w:r>
    </w:p>
    <w:p>
      <w:bookmarkStart w:id="279" w:name="Intangible_Assets__Intangible_as"/>
      <w:bookmarkStart w:id="280" w:name="Intangible_Assets"/>
      <w:pPr>
        <w:keepNext/>
        <w:pStyle w:val="Heading 4"/>
        <w:keepLines w:val="on"/>
      </w:pPr>
      <w:r>
        <w:t>Tài sản vô hình (Intangible Assets)</w:t>
      </w:r>
      <w:bookmarkEnd w:id="279"/>
      <w:bookmarkEnd w:id="280"/>
    </w:p>
    <w:p>
      <w:pPr>
        <w:pStyle w:val="Para 03"/>
      </w:pPr>
      <w:r>
        <w:t>Tài sản vô hình bao gồm một loạt tài sản đa dạng, từ bằng sáng chế và nhãn hiệu đến tên thương hiệu và ban lãnh đạo xuất sắc. Kế toán không chỉ loay hoay với câu hỏi có nên và định giá những tài sản vô hình này như thế nào, mà các quy tắc còn rất khác nhau giữa các loại tài sản vô hình khác nhau.</w:t>
      </w:r>
    </w:p>
    <w:p>
      <w:bookmarkStart w:id="281" w:name="Patents_and_Trademarks__Patents"/>
      <w:pPr>
        <w:pStyle w:val="Para 21"/>
      </w:pPr>
      <w:r>
        <w:t>Bằng sáng chế và nhãn hiệu (Patents and Trademarks)</w:t>
      </w:r>
      <w:bookmarkEnd w:id="281"/>
    </w:p>
    <w:p>
      <w:pPr>
        <w:pStyle w:val="Para 03"/>
      </w:pPr>
      <w:r>
        <w:t>Bằng sáng chế và nhãn hiệu được định giá khác nhau tùy thuộc vào việc chúng được tạo ra nội bộ hay được mua lại. Khi bằng sáng chế và nhãn hiệu được tạo ra từ hoạt động nghiên cứu nội bộ, các chi phí phát sinh để phát triển tài sản đó được ghi nhận là chi phí trong kỳ đó, dù tài sản có thể có vòng đời kéo dài nhiều kỳ kế toán. Do đó, tài sản vô hình thường không được định giá trên bảng cân đối kế toán của công ty. Ngược lại, khi một tài sản vô hình được mua lại từ một bên bên ngoài, nó được coi là một tài sản.</w:t>
      </w:r>
    </w:p>
    <w:p>
      <w:pPr>
        <w:pStyle w:val="Para 03"/>
      </w:pPr>
      <w:r>
        <w:t>Tài sản vô hình phải được khấu hao (amortized) trong suốt vòng đời dự kiến của chúng, với thời gian khấu hao tối đa là 40 năm. Thông lệ tiêu chuẩn là sử dụng phương pháp khấu hao đường thẳng (straight-line amortization). Tuy nhiên, vì mục đích thuế, các công ty thường không được phép khấu hao lợi thế thương mại (goodwill) hoặc các tài sản vô hình khác không có vòng đời cụ thể, mặc dù những thay đổi gần đây trong luật thuế cho phép một chút linh hoạt về vấn đề này.</w:t>
      </w:r>
    </w:p>
    <w:p>
      <w:bookmarkStart w:id="283" w:name="Brand_Name__Great_Management__an"/>
      <w:pPr>
        <w:pStyle w:val="Para 21"/>
      </w:pPr>
      <w:r>
        <w:t>Tên thương hiệu, ban lãnh đạo xuất sắc và những tài sản vô hình thực sự khác</w:t>
      </w:r>
      <w:bookmarkEnd w:id="283"/>
    </w:p>
    <w:p>
      <w:pPr>
        <w:pStyle w:val="Para 03"/>
      </w:pPr>
      <w:r>
        <w:t>Các công ty luôn có được một phần hoặc rất nhiều giá trị của mình từ những tài sản không có hình dạng cụ thể. General Motors trong những năm đầu thành lập đã hưởng lợi từ việc có vị tổng giám đốc điều hành (CEO) huyền thoại Alfred Sloan, và IBM đã xây dựng danh tiếng như một công ty công nghệ từ khả năng cải thiện sức mạnh và dung lượng tính toán của mình. Nhiều cổ phiếu trong nhóm Nifty Fifty, những cổ phiếu tăng vọt vào cuối thập niên 1960, là các công ty như Polaroid và Eastman Kodak, những công ty có được phần lớn giá trị từ tài sản vô hình của họ.</w:t>
      </w:r>
    </w:p>
    <w:p>
      <w:pPr>
        <w:pStyle w:val="Para 03"/>
      </w:pPr>
      <w:r>
        <w:t>Với sự trỗi dậy của máy tính cá nhân vào thập niên 1980 và sự xuất hiện của internet vào thập niên 1990, tài sản vô hình đã ngày càng đóng vai trò quan trọng trong việc quyết định giá trị công ty. Do đó, chỉ cần liếc qua những công ty có vốn hóa thị trường lớn nhất thế giới cũng sẽ thấy những cái tên như Microsoft, Apple và Alphabet, tất cả đều là những công ty nhẹ về tài sản hữu hình. Xu hướng đó đã tạo ra một cuộc khủng hoảng trong kế toán, khi hầu như không có tài sản vô hình nào xuất hiện trên bảng cân đối kế toán. Những người viết quy tắc kế toán đã nói về nhu cầu viết ra các quy tắc mới để đưa tài sản vô hình lên bảng cân đối kế toán, nhưng tiến độ còn chậm và không đồng đều, bị cản trở bởi sự không sẵn lòng thay đổi các quy tắc ghi nhận chi phí. Suy cho cùng, chừng nào số tiền chi ra để tạo ra tài sản vô hình — bao gồm nghiên cứu và phát triển (R&amp;D) (các công ty công nghệ và dược phẩm), quảng cáo tên thương hiệu (các công ty hàng tiêu dùng), chi phí thăm dò (các công ty tài nguyên thiên nhiên) và thậm chí cả chi phí tuyển dụng và đào tạo (các công ty tư vấn) — vẫn còn được coi là chi phí hoạt động, thì con đường tạo ra những giá trị có ý nghĩa trên bảng cân đối kế toán vẫn sẽ bị chặn lại.</w:t>
      </w:r>
    </w:p>
    <w:p>
      <w:pPr>
        <w:pStyle w:val="Para 03"/>
      </w:pPr>
      <w:r>
        <w:t>Như một lời khuyên chung, bạn không nên kỳ vọng sẽ thấy các ước tính kế toán về giá trị của hầu hết tài sản vô hình, ngay cả khi chúng có giá trị khổng lồ, và khi bạn có thấy những ước tính như vậy trên bảng cân đối kế toán, bạn nên nhìn chúng với con mắt hoài nghi.</w:t>
      </w:r>
    </w:p>
    <w:p>
      <w:bookmarkStart w:id="285" w:name="Goodwill__To_examine_how_account"/>
      <w:pPr>
        <w:pStyle w:val="Para 21"/>
      </w:pPr>
      <w:r>
        <w:t>Lợi thế thương mại (Goodwill)</w:t>
      </w:r>
      <w:bookmarkEnd w:id="285"/>
    </w:p>
    <w:p>
      <w:pPr>
        <w:pStyle w:val="Para 03"/>
      </w:pPr>
      <w:r>
        <w:t>Để xem xét cách kế toán nói về việc lợi thế thương mại được chuyển hóa thành giá trị tài sản vô hình trên bảng cân đối kế toán như thế nào, chúng tôi đã xem xét tài sản vô hình trên bảng cân đối kế toán của các công ty. Tin tốt là tài sản vô hình đã tăng lên như một phần trăm của tổng tài sản trên bảng cân đối kế toán trong vài thập kỷ qua. Tin xấu là gần như toàn bộ mức tăng đó đến từ một tài sản vô hình duy nhất, lợi thế thương mại, thứ giống một biến số bù trừ (plug variable) hơn là một tài sản. Suy cho cùng, lợi thế thương mại là sản phẩm phụ của các thương vụ mua lại. Khi một công ty mua lại một công ty khác, giá mua trước tiên được phân bổ cho tài sản hữu hình, và phần giá vượt trội sau đó được phân bổ cho bất kỳ tài sản vô hình nào, như bằng sáng chế hoặc tên thương mại. Phần còn lại trở thành lợi thế thương mại. Mặc dù các nguyên tắc kế toán cho rằng lợi thế thương mại nắm bắt giá trị của bất kỳ tài sản vô hình nào không thể nhận diện cụ thể, nó thực chất là sự phản ánh chênh lệch giữa giá trị sổ sách tài sản của công ty được mua và giá trị thị trường được trả trong thương vụ mua lại. Cách tiếp cận này được gọi là kế toán mua lại (purchase accounting), và lợi thế thương mại được khấu hao dần theo thời gian. Cho đến năm 2000, những công ty không muốn thấy khoản chi phí này đánh vào thu nhập của mình thường dùng một cách tiếp cận thay thế gọi là kế toán hợp nhất quyền sở hữu (pooling accounting), trong đó giá mua không bao giờ xuất hiện trên bảng cân đối kế toán. Thay vào đó, giá trị sổ sách của hai công ty tham gia sáp nhập được cộng gộp lại để tạo ra bảng cân đối hợp nhất của công ty kết hợp. Các quy tắc về kế toán mua lại đã thay đổi đáng kể trong thập kỷ qua cả ở Hoa Kỳ và trên toàn thế giới. Không chỉ kế toán mua lại được yêu cầu cho tất cả các thương vụ mua lại, mà các công ty còn không còn được phép tự động khấu hao lợi thế thương mại trong thời gian dài (như họ từng làm). Thay vào đó, các công ty đi mua lại được yêu cầu đánh giá lại giá trị của các thực thể được mua mỗi năm; nếu giá trị đã giảm kể từ khi mua lại, giá trị của lợi thế thương mại phải được giảm xuống (ghi giảm giá trị - impaired) để phản ánh sự sụt giảm giá trị. Tuy nhiên, nếu giá trị của công ty được mua đã tăng lên, thì lợi thế thương mại không thể được tăng lên để phản ánh sự thay đổi này.3</w:t>
      </w:r>
    </w:p>
    <w:p>
      <w:pPr>
        <w:pStyle w:val="Para 11"/>
      </w:pPr>
      <w:r>
        <w:t xml:space="preserve"> </w:t>
      </w:r>
    </w:p>
    <w:p>
      <w:bookmarkStart w:id="289" w:name="ILLUSTRATION_3_1___Asset_Values"/>
      <w:bookmarkStart w:id="290" w:name="ILLUSTRATION_3_1___Asset_Values_1"/>
      <w:pPr>
        <w:keepNext/>
        <w:pStyle w:val="Para 19"/>
        <w:keepLines w:val="on"/>
      </w:pPr>
      <w:r>
        <w:t>MINH HỌA 3.1: Giá trị tài sản của Raytheon và Home Depot trong năm tài chính 2022 (Năm tài chính 2023)</w:t>
      </w:r>
      <w:bookmarkEnd w:id="289"/>
      <w:bookmarkEnd w:id="290"/>
    </w:p>
    <w:p>
      <w:pPr>
        <w:pStyle w:val="Para 04"/>
        <w:keepLines w:val="on"/>
      </w:pPr>
      <w:r>
        <w:t>Bảng 3.1 tóm tắt giá trị tài sản, được đo lường trên bảng cân đối kế toán của RTX, một tập đoàn được tạo ra từ việc kết hợp Raytheon và các phần của United Technologies, và Home Depot, một nhà bán lẻ vật liệu xây dựng, vào cuối năm tài chính 2023 (tính bằng triệu đô la):</w:t>
      </w:r>
    </w:p>
    <w:p>
      <w:pPr>
        <w:pStyle w:val="Para 25"/>
        <w:keepLines w:val="on"/>
      </w:pPr>
      <w:r>
        <w:t>Bảng 3.1</w:t>
      </w:r>
    </w:p>
    <w:p>
      <w:pPr>
        <w:keepNext/>
        <w:pStyle w:val="Para 24"/>
        <w:keepLines w:val="on"/>
      </w:pPr>
      <w:r>
        <w:t>Giá trị tài sản của RTX và Home Depot</w:t>
      </w:r>
    </w:p>
    <w:tbl>
      <w:tblPr>
        <w:tblW w:type="auto" w:w="0"/>
      </w:tblPr>
      <w:tr>
        <w:tc>
          <w:tcPr>
            <w:tcW w:type="auto" w:w="0"/>
          </w:tcPr>
          <w:tbl>
            <w:tblPr>
              <w:tblW w:type="auto" w:w="0"/>
            </w:tblPr>
            <w:tr>
              <w:tc>
                <w:tcPr>
                  <w:tcW w:type="auto" w:w="0"/>
                  <w:shd w:val="clear" w:color="auto" w:fill="F0F0F0"/>
                </w:tcPr>
                <w:p>
                  <w:pPr>
                    <w:pStyle w:val="Para 17"/>
                    <w:keepLines w:val="on"/>
                  </w:pPr>
                  <w:r>
                    <w:t/>
                  </w:r>
                </w:p>
              </w:tc>
              <w:tc>
                <w:tcPr>
                  <w:tcW w:type="auto" w:w="0"/>
                  <w:shd w:val="clear" w:color="auto" w:fill="F0F0F0"/>
                </w:tcPr>
                <w:p>
                  <w:pPr>
                    <w:pStyle w:val="Para 05"/>
                    <w:keepLines w:val="on"/>
                  </w:pPr>
                  <w:r>
                    <w:t>RTX</w:t>
                  </w:r>
                </w:p>
              </w:tc>
              <w:tc>
                <w:tcPr>
                  <w:tcW w:type="auto" w:w="0"/>
                  <w:shd w:val="clear" w:color="auto" w:fill="F0F0F0"/>
                </w:tcPr>
                <w:p>
                  <w:pPr>
                    <w:pStyle w:val="Para 05"/>
                    <w:keepLines w:val="on"/>
                  </w:pPr>
                  <w:r>
                    <w:t>Home Depot</w:t>
                  </w:r>
                </w:p>
              </w:tc>
            </w:tr>
            <w:tr>
              <w:tc>
                <w:tcPr>
                  <w:tcW w:type="auto" w:w="0"/>
                  <w:shd w:val="clear" w:color="auto" w:fill="F0F0F0"/>
                </w:tcPr>
                <w:p>
                  <w:pPr>
                    <w:pStyle w:val="Para 02"/>
                    <w:keepLines w:val="on"/>
                  </w:pPr>
                  <w:r>
                    <w:t>Tài sản cố định ròng</w:t>
                  </w:r>
                </w:p>
              </w:tc>
              <w:tc>
                <w:tcPr>
                  <w:tcW w:type="auto" w:w="0"/>
                  <w:shd w:val="clear" w:color="auto" w:fill="F0F0F0"/>
                </w:tcPr>
                <w:p>
                  <w:pPr>
                    <w:pStyle w:val="Normal"/>
                    <w:keepLines w:val="on"/>
                  </w:pPr>
                  <w:r>
                    <w:t>$15,748</w:t>
                  </w:r>
                </w:p>
              </w:tc>
              <w:tc>
                <w:tcPr>
                  <w:tcW w:type="auto" w:w="0"/>
                  <w:shd w:val="clear" w:color="auto" w:fill="F0F0F0"/>
                </w:tcPr>
                <w:p>
                  <w:pPr>
                    <w:pStyle w:val="Normal"/>
                    <w:keepLines w:val="on"/>
                  </w:pPr>
                  <w:r>
                    <w:t>$ 25,631</w:t>
                  </w:r>
                </w:p>
              </w:tc>
            </w:tr>
            <w:tr>
              <w:tc>
                <w:tcPr>
                  <w:tcW w:type="auto" w:w="0"/>
                  <w:shd w:val="clear" w:color="auto" w:fill="F0F0F0"/>
                </w:tcPr>
                <w:p>
                  <w:pPr>
                    <w:pStyle w:val="Para 02"/>
                    <w:keepLines w:val="on"/>
                  </w:pPr>
                  <w:r>
                    <w:t>Tài sản thuê hoạt động</w:t>
                  </w:r>
                </w:p>
              </w:tc>
              <w:tc>
                <w:tcPr>
                  <w:tcW w:type="auto" w:w="0"/>
                  <w:shd w:val="clear" w:color="auto" w:fill="F0F0F0"/>
                </w:tcPr>
                <w:p>
                  <w:pPr>
                    <w:pStyle w:val="Normal"/>
                    <w:keepLines w:val="on"/>
                  </w:pPr>
                  <w:r>
                    <w:t>$1,638</w:t>
                  </w:r>
                </w:p>
              </w:tc>
              <w:tc>
                <w:tcPr>
                  <w:tcW w:type="auto" w:w="0"/>
                  <w:shd w:val="clear" w:color="auto" w:fill="F0F0F0"/>
                </w:tcPr>
                <w:p>
                  <w:pPr>
                    <w:pStyle w:val="Normal"/>
                    <w:keepLines w:val="on"/>
                  </w:pPr>
                  <w:r>
                    <w:t>$ 6,941</w:t>
                  </w:r>
                </w:p>
              </w:tc>
            </w:tr>
            <w:tr>
              <w:tc>
                <w:tcPr>
                  <w:tcW w:type="auto" w:w="0"/>
                  <w:shd w:val="clear" w:color="auto" w:fill="F0F0F0"/>
                </w:tcPr>
                <w:p>
                  <w:pPr>
                    <w:pStyle w:val="Para 02"/>
                    <w:keepLines w:val="on"/>
                  </w:pPr>
                  <w:r>
                    <w:t>Lợi thế thương mại</w:t>
                  </w:r>
                </w:p>
              </w:tc>
              <w:tc>
                <w:tcPr>
                  <w:tcW w:type="auto" w:w="0"/>
                  <w:shd w:val="clear" w:color="auto" w:fill="F0F0F0"/>
                </w:tcPr>
                <w:p>
                  <w:pPr>
                    <w:pStyle w:val="Normal"/>
                    <w:keepLines w:val="on"/>
                  </w:pPr>
                  <w:r>
                    <w:t>$53,699</w:t>
                  </w:r>
                </w:p>
              </w:tc>
              <w:tc>
                <w:tcPr>
                  <w:tcW w:type="auto" w:w="0"/>
                  <w:shd w:val="clear" w:color="auto" w:fill="F0F0F0"/>
                </w:tcPr>
                <w:p>
                  <w:pPr>
                    <w:pStyle w:val="Normal"/>
                    <w:keepLines w:val="on"/>
                  </w:pPr>
                  <w:r>
                    <w:t>$ 7,444</w:t>
                  </w:r>
                </w:p>
              </w:tc>
            </w:tr>
            <w:tr>
              <w:tc>
                <w:tcPr>
                  <w:tcW w:type="auto" w:w="0"/>
                  <w:shd w:val="clear" w:color="auto" w:fill="F0F0F0"/>
                </w:tcPr>
                <w:p>
                  <w:pPr>
                    <w:pStyle w:val="Para 02"/>
                    <w:keepLines w:val="on"/>
                  </w:pPr>
                  <w:r>
                    <w:t>Tài sản vô hình ròng</w:t>
                  </w:r>
                </w:p>
              </w:tc>
              <w:tc>
                <w:tcPr>
                  <w:tcW w:type="auto" w:w="0"/>
                  <w:shd w:val="clear" w:color="auto" w:fill="F0F0F0"/>
                </w:tcPr>
                <w:p>
                  <w:pPr>
                    <w:pStyle w:val="Normal"/>
                    <w:keepLines w:val="on"/>
                  </w:pPr>
                  <w:r>
                    <w:t>$35,399</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Tài trợ khách hàng</w:t>
                  </w:r>
                </w:p>
              </w:tc>
              <w:tc>
                <w:tcPr>
                  <w:tcW w:type="auto" w:w="0"/>
                  <w:shd w:val="clear" w:color="auto" w:fill="F0F0F0"/>
                </w:tcPr>
                <w:p>
                  <w:pPr>
                    <w:pStyle w:val="Normal"/>
                    <w:keepLines w:val="on"/>
                  </w:pPr>
                  <w:r>
                    <w:t>$2,392</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Tài sản khác</w:t>
                  </w:r>
                </w:p>
              </w:tc>
              <w:tc>
                <w:tcPr>
                  <w:tcW w:type="auto" w:w="0"/>
                  <w:shd w:val="clear" w:color="auto" w:fill="F0F0F0"/>
                </w:tcPr>
                <w:p>
                  <w:pPr>
                    <w:pStyle w:val="Normal"/>
                    <w:keepLines w:val="on"/>
                  </w:pPr>
                  <w:r>
                    <w:t>$4,576</w:t>
                  </w:r>
                </w:p>
              </w:tc>
              <w:tc>
                <w:tcPr>
                  <w:tcW w:type="auto" w:w="0"/>
                  <w:shd w:val="clear" w:color="auto" w:fill="F0F0F0"/>
                </w:tcPr>
                <w:p>
                  <w:pPr>
                    <w:pStyle w:val="Normal"/>
                    <w:keepLines w:val="on"/>
                  </w:pPr>
                  <w:r>
                    <w:t>$ 3,958</w:t>
                  </w:r>
                </w:p>
              </w:tc>
            </w:tr>
            <w:tr>
              <w:tc>
                <w:tcPr>
                  <w:tcW w:type="auto" w:w="0"/>
                  <w:shd w:val="clear" w:color="auto" w:fill="F0F0F0"/>
                </w:tcPr>
                <w:p>
                  <w:pPr>
                    <w:pStyle w:val="Para 46"/>
                    <w:keepLines w:val="on"/>
                  </w:pPr>
                  <w:r>
                    <w:t>Tổng tài sản dài hạn</w:t>
                  </w:r>
                </w:p>
              </w:tc>
              <w:tc>
                <w:tcPr>
                  <w:tcW w:type="auto" w:w="0"/>
                  <w:shd w:val="clear" w:color="auto" w:fill="F0F0F0"/>
                </w:tcPr>
                <w:p>
                  <w:pPr>
                    <w:pStyle w:val="Normal"/>
                    <w:keepLines w:val="on"/>
                  </w:pPr>
                  <w:r>
                    <w:t>$113,452</w:t>
                  </w:r>
                </w:p>
              </w:tc>
              <w:tc>
                <w:tcPr>
                  <w:tcW w:type="auto" w:w="0"/>
                  <w:shd w:val="clear" w:color="auto" w:fill="F0F0F0"/>
                </w:tcPr>
                <w:p>
                  <w:pPr>
                    <w:pStyle w:val="Normal"/>
                    <w:keepLines w:val="on"/>
                  </w:pPr>
                  <w:r>
                    <w:t>$ 43,974</w:t>
                  </w:r>
                </w:p>
              </w:tc>
            </w:tr>
            <w:tr>
              <w:tc>
                <w:tcPr>
                  <w:tcW w:type="auto" w:w="0"/>
                  <w:shd w:val="clear" w:color="auto" w:fill="F0F0F0"/>
                </w:tcPr>
                <w:p>
                  <w:pPr>
                    <w:pStyle w:val="Para 02"/>
                    <w:keepLines w:val="on"/>
                  </w:pPr>
                  <w:r>
                    <w:t>Tiền mặt &amp; Tương đương tiền</w:t>
                  </w:r>
                </w:p>
              </w:tc>
              <w:tc>
                <w:tcPr>
                  <w:tcW w:type="auto" w:w="0"/>
                  <w:shd w:val="clear" w:color="auto" w:fill="F0F0F0"/>
                </w:tcPr>
                <w:p>
                  <w:pPr>
                    <w:pStyle w:val="Normal"/>
                    <w:keepLines w:val="on"/>
                  </w:pPr>
                  <w:r>
                    <w:t>$6,587</w:t>
                  </w:r>
                </w:p>
              </w:tc>
              <w:tc>
                <w:tcPr>
                  <w:tcW w:type="auto" w:w="0"/>
                  <w:shd w:val="clear" w:color="auto" w:fill="F0F0F0"/>
                </w:tcPr>
                <w:p>
                  <w:pPr>
                    <w:pStyle w:val="Normal"/>
                    <w:keepLines w:val="on"/>
                  </w:pPr>
                  <w:r>
                    <w:t>$ 2,757</w:t>
                  </w:r>
                </w:p>
              </w:tc>
            </w:tr>
            <w:tr>
              <w:tc>
                <w:tcPr>
                  <w:tcW w:type="auto" w:w="0"/>
                  <w:shd w:val="clear" w:color="auto" w:fill="F0F0F0"/>
                </w:tcPr>
                <w:p>
                  <w:pPr>
                    <w:pStyle w:val="Para 02"/>
                    <w:keepLines w:val="on"/>
                  </w:pPr>
                  <w:r>
                    <w:t>Các khoản phải thu</w:t>
                  </w:r>
                </w:p>
              </w:tc>
              <w:tc>
                <w:tcPr>
                  <w:tcW w:type="auto" w:w="0"/>
                  <w:shd w:val="clear" w:color="auto" w:fill="F0F0F0"/>
                </w:tcPr>
                <w:p>
                  <w:pPr>
                    <w:pStyle w:val="Normal"/>
                    <w:keepLines w:val="on"/>
                  </w:pPr>
                  <w:r>
                    <w:t>$10,838</w:t>
                  </w:r>
                </w:p>
              </w:tc>
              <w:tc>
                <w:tcPr>
                  <w:tcW w:type="auto" w:w="0"/>
                  <w:shd w:val="clear" w:color="auto" w:fill="F0F0F0"/>
                </w:tcPr>
                <w:p>
                  <w:pPr>
                    <w:pStyle w:val="Normal"/>
                    <w:keepLines w:val="on"/>
                  </w:pPr>
                  <w:r>
                    <w:t>$ 3,317</w:t>
                  </w:r>
                </w:p>
              </w:tc>
            </w:tr>
            <w:tr>
              <w:tc>
                <w:tcPr>
                  <w:tcW w:type="auto" w:w="0"/>
                  <w:shd w:val="clear" w:color="auto" w:fill="F0F0F0"/>
                </w:tcPr>
                <w:p>
                  <w:pPr>
                    <w:pStyle w:val="Para 02"/>
                    <w:keepLines w:val="on"/>
                  </w:pPr>
                  <w:r>
                    <w:t>Tài sản theo hợp đồng</w:t>
                  </w:r>
                </w:p>
              </w:tc>
              <w:tc>
                <w:tcPr>
                  <w:tcW w:type="auto" w:w="0"/>
                  <w:shd w:val="clear" w:color="auto" w:fill="F0F0F0"/>
                </w:tcPr>
                <w:p>
                  <w:pPr>
                    <w:pStyle w:val="Normal"/>
                    <w:keepLines w:val="on"/>
                  </w:pPr>
                  <w:r>
                    <w:t>$12,139</w:t>
                  </w:r>
                </w:p>
              </w:tc>
              <w:tc>
                <w:tcPr>
                  <w:tcW w:type="auto" w:w="0"/>
                  <w:shd w:val="clear" w:color="auto" w:fill="F0F0F0"/>
                </w:tcPr>
                <w:p>
                  <w:pPr>
                    <w:pStyle w:val="Normal"/>
                    <w:keepLines w:val="on"/>
                  </w:pPr>
                  <w:r>
                    <w:t>$ 0</w:t>
                  </w:r>
                </w:p>
              </w:tc>
            </w:tr>
            <w:tr>
              <w:tc>
                <w:tcPr>
                  <w:tcW w:type="auto" w:w="0"/>
                  <w:shd w:val="clear" w:color="auto" w:fill="F0F0F0"/>
                </w:tcPr>
                <w:p>
                  <w:pPr>
                    <w:pStyle w:val="Para 02"/>
                    <w:keepLines w:val="on"/>
                  </w:pPr>
                  <w:r>
                    <w:t>Hàng tồn kho</w:t>
                  </w:r>
                </w:p>
              </w:tc>
              <w:tc>
                <w:tcPr>
                  <w:tcW w:type="auto" w:w="0"/>
                  <w:shd w:val="clear" w:color="auto" w:fill="F0F0F0"/>
                </w:tcPr>
                <w:p>
                  <w:pPr>
                    <w:pStyle w:val="Normal"/>
                    <w:keepLines w:val="on"/>
                  </w:pPr>
                  <w:r>
                    <w:t>$11,777</w:t>
                  </w:r>
                </w:p>
              </w:tc>
              <w:tc>
                <w:tcPr>
                  <w:tcW w:type="auto" w:w="0"/>
                  <w:shd w:val="clear" w:color="auto" w:fill="F0F0F0"/>
                </w:tcPr>
                <w:p>
                  <w:pPr>
                    <w:pStyle w:val="Normal"/>
                    <w:keepLines w:val="on"/>
                  </w:pPr>
                  <w:r>
                    <w:t>$ 24,886</w:t>
                  </w:r>
                </w:p>
              </w:tc>
            </w:tr>
            <w:tr>
              <w:tc>
                <w:tcPr>
                  <w:tcW w:type="auto" w:w="0"/>
                  <w:shd w:val="clear" w:color="auto" w:fill="F0F0F0"/>
                </w:tcPr>
                <w:p>
                  <w:pPr>
                    <w:pStyle w:val="Para 02"/>
                    <w:keepLines w:val="on"/>
                  </w:pPr>
                  <w:r>
                    <w:t>Tài sản ngắn hạn khác</w:t>
                  </w:r>
                </w:p>
              </w:tc>
              <w:tc>
                <w:tcPr>
                  <w:tcW w:type="auto" w:w="0"/>
                  <w:shd w:val="clear" w:color="auto" w:fill="F0F0F0"/>
                </w:tcPr>
                <w:p>
                  <w:pPr>
                    <w:pStyle w:val="Normal"/>
                    <w:keepLines w:val="on"/>
                  </w:pPr>
                  <w:r>
                    <w:t>$7,076</w:t>
                  </w:r>
                </w:p>
              </w:tc>
              <w:tc>
                <w:tcPr>
                  <w:tcW w:type="auto" w:w="0"/>
                  <w:shd w:val="clear" w:color="auto" w:fill="F0F0F0"/>
                </w:tcPr>
                <w:p>
                  <w:pPr>
                    <w:pStyle w:val="Normal"/>
                    <w:keepLines w:val="on"/>
                  </w:pPr>
                  <w:r>
                    <w:t>$ 1,511</w:t>
                  </w:r>
                </w:p>
              </w:tc>
            </w:tr>
            <w:tr>
              <w:tc>
                <w:tcPr>
                  <w:tcW w:type="auto" w:w="0"/>
                  <w:shd w:val="clear" w:color="auto" w:fill="F0F0F0"/>
                </w:tcPr>
                <w:p>
                  <w:pPr>
                    <w:pStyle w:val="Para 46"/>
                    <w:keepLines w:val="on"/>
                  </w:pPr>
                  <w:r>
                    <w:t>Tổng tài sản ngắn hạn</w:t>
                  </w:r>
                </w:p>
              </w:tc>
              <w:tc>
                <w:tcPr>
                  <w:tcW w:type="auto" w:w="0"/>
                  <w:shd w:val="clear" w:color="auto" w:fill="F0F0F0"/>
                </w:tcPr>
                <w:p>
                  <w:pPr>
                    <w:pStyle w:val="Para 41"/>
                    <w:keepLines w:val="on"/>
                  </w:pPr>
                  <w:r>
                    <w:t>$48,417</w:t>
                  </w:r>
                </w:p>
              </w:tc>
              <w:tc>
                <w:tcPr>
                  <w:tcW w:type="auto" w:w="0"/>
                  <w:shd w:val="clear" w:color="auto" w:fill="F0F0F0"/>
                </w:tcPr>
                <w:p>
                  <w:pPr>
                    <w:pStyle w:val="Para 41"/>
                    <w:keepLines w:val="on"/>
                  </w:pPr>
                  <w:r>
                    <w:t>$ 32,471</w:t>
                  </w:r>
                </w:p>
              </w:tc>
            </w:tr>
            <w:tr>
              <w:tc>
                <w:tcPr>
                  <w:tcW w:type="auto" w:w="0"/>
                  <w:shd w:val="clear" w:color="auto" w:fill="F0F0F0"/>
                </w:tcPr>
                <w:p>
                  <w:pPr>
                    <w:pStyle w:val="Para 02"/>
                    <w:keepLines w:val="on"/>
                  </w:pPr>
                  <w:r>
                    <w:t>Tổng tài sản</w:t>
                  </w:r>
                </w:p>
              </w:tc>
              <w:tc>
                <w:tcPr>
                  <w:tcW w:type="auto" w:w="0"/>
                  <w:shd w:val="clear" w:color="auto" w:fill="F0F0F0"/>
                </w:tcPr>
                <w:p>
                  <w:pPr>
                    <w:pStyle w:val="Normal"/>
                    <w:keepLines w:val="on"/>
                  </w:pPr>
                  <w:r>
                    <w:t>$161,869</w:t>
                  </w:r>
                </w:p>
              </w:tc>
              <w:tc>
                <w:tcPr>
                  <w:tcW w:type="auto" w:w="0"/>
                  <w:shd w:val="clear" w:color="auto" w:fill="F0F0F0"/>
                </w:tcPr>
                <w:p>
                  <w:pPr>
                    <w:pStyle w:val="Normal"/>
                    <w:keepLines w:val="on"/>
                  </w:pPr>
                  <w:r>
                    <w:t>$ 76,445</w:t>
                  </w:r>
                </w:p>
              </w:tc>
            </w:tr>
          </w:tbl>
          <w:p/>
        </w:tc>
      </w:tr>
    </w:tbl>
    <w:p>
      <w:pPr>
        <w:pStyle w:val="Para 04"/>
        <w:keepLines w:val="on"/>
      </w:pPr>
      <w:r>
        <w:t>Trước khi xem xét các con số, cần lưu ý rằng năm tài chính 2022 của RTX kết thúc vào ngày 31 tháng 12 năm 2022, tức là trùng với năm dương lịch, trong khi năm tài chính 2023 của Home Depot kết thúc vào ngày 31 tháng 1 năm 2023, khiến nó tương đương hơn với một báo cáo cho năm dương lịch 2022. Nhìn vào các con số, có một vài điểm đáng lưu ý về các giá trị tài sản này:</w:t>
      </w:r>
    </w:p>
    <w:p>
      <w:pPr>
        <w:numPr>
          <w:ilvl w:val="0"/>
          <w:numId w:val="11"/>
        </w:numPr>
        <w:pStyle w:val="Para 18"/>
        <w:keepLines w:val="on"/>
      </w:pPr>
      <w:r>
        <w:t>Lợi thế thương mại (Goodwill). Cả RTX và Home Depot đều có lượng lớn lợi thế thương mại trên bảng cân đối kế toán của mình, phản ánh các thương vụ mua lại mà mỗi công ty đã thực hiện trong quá khứ. Lợi thế thương mại đo lường phần chênh lệch giữa giá mà các công ty này trả để mua lại các mục tiêu của mình và giá trị sổ sách của tài sản, được đánh giá lại để phản ánh giá trị hợp lý của chúng. Phản ánh những thay đổi trong các quy tắc kế toán về lợi thế thương mại cách đây 20 năm, lợi thế thương mại được đánh giá lại hàng năm và bị ghi giảm (impairment) nếu có đánh giá rằng đã trả quá nhiều cho mục tiêu đó.</w:t>
      </w:r>
    </w:p>
    <w:p>
      <w:pPr>
        <w:numPr>
          <w:ilvl w:val="0"/>
          <w:numId w:val="11"/>
        </w:numPr>
        <w:pStyle w:val="Para 18"/>
        <w:keepLines w:val="on"/>
      </w:pPr>
      <w:r>
        <w:t>Tài sản thuê hoạt động (Operating Lease Asset). Home Depot báo cáo một tài sản thuê hoạt động, phản ánh sự thay đổi quy tắc kế toán vào năm 2019 yêu cầu các công ty vốn hóa các cam kết thuê hoạt động của mình. Home Depot thuê phần lớn các cửa hàng của mình, và giá trị hiện tại của các cam kết thuê được thể hiện cả dưới dạng nợ phải trả lẫn tài sản đối ứng. RTX cũng có các nghĩa vụ thuê đã được vốn hóa, nhưng số tiền nhỏ hơn nhiều.</w:t>
      </w:r>
    </w:p>
    <w:p>
      <w:pPr>
        <w:numPr>
          <w:ilvl w:val="0"/>
          <w:numId w:val="11"/>
        </w:numPr>
        <w:pStyle w:val="Para 18"/>
        <w:keepLines w:val="on"/>
      </w:pPr>
      <w:r>
        <w:t>Tài trợ khách hàng và các khoản phải thu. RTX thường cung cấp tài chính cho khách hàng của mình để mua các sản phẩm của công ty. Vì các hợp đồng này thường kéo dài qua nhiều năm, giá trị hiện tại của các khoản thanh toán đến hạn trong những năm tới được thể hiện dưới dạng tài sản dưới hình thức tài trợ khách hàng. Phần đến hạn hiện tại của các khoản thanh toán này được thể hiện dưới dạng các khoản phải thu. Home Depot cũng cung cấp tín dụng cho khách hàng của mình, nhưng tất cả các khoản thanh toán đến hạn này đều được thể hiện dưới dạng các khoản phải thu vì chúng đều là ngắn hạn.</w:t>
      </w:r>
    </w:p>
    <w:p>
      <w:pPr>
        <w:numPr>
          <w:ilvl w:val="0"/>
          <w:numId w:val="11"/>
        </w:numPr>
        <w:pStyle w:val="Para 18"/>
        <w:keepLines w:val="on"/>
      </w:pPr>
      <w:r>
        <w:t>Hàng tồn kho. RTX không đưa ra chi tiết cụ thể về cách định giá hàng tồn kho của mình, trong khi Home Depot sử dụng giá trị thấp hơn giữa giá gốc (theo phương pháp nhập trước xuất trước) hoặc giá trị thị trường, được xác định theo phương pháp kiểm kê hàng tồn kho bán lẻ.</w:t>
      </w:r>
    </w:p>
    <w:p>
      <w:pPr>
        <w:numPr>
          <w:ilvl w:val="0"/>
          <w:numId w:val="11"/>
        </w:numPr>
        <w:pStyle w:val="Para 18"/>
        <w:keepLines w:val="on"/>
      </w:pPr>
      <w:r>
        <w:t>Tài sản vô hình thuần. RTX có một con số lớn cho tài sản vô hình thuần, phản ánh việc mua lại các tài sản hợp tác, tài sản độc quyền, công nghệ đã phát triển và thương hiệu, đồng thời định giá những tài sản này dựa trên số tiền họ đã bỏ ra để mua chúng, trừ đi khấu hao.</w:t>
      </w:r>
    </w:p>
    <w:p>
      <w:pPr>
        <w:numPr>
          <w:ilvl w:val="0"/>
          <w:numId w:val="11"/>
        </w:numPr>
        <w:pStyle w:val="Para 18"/>
        <w:keepLines w:val="on"/>
      </w:pPr>
      <w:r>
        <w:t>Các khoản đầu tư và tài sản vô hình mua lại. RTX và Home Depot có các khoản đầu tư vào những doanh nghiệp khác, nơi họ nắm giữ ảnh hưởng đáng kể và sử dụng phương pháp vốn chủ sở hữu (equity method) để ghi nhận các khoản đầu tư này. RTX cũng có các quyền phân phối và công nghệ đã mua lại mà họ ghi nhận theo giá gốc.</w:t>
      </w:r>
    </w:p>
    <w:p>
      <w:pPr>
        <w:pStyle w:val="Para 04"/>
        <w:keepLines w:val="on"/>
      </w:pPr>
      <w:r>
        <w:t>Cuối cùng, bảng cân đối kế toán của RTX không báo cáo giá trị của một tài sản rất quan trọng, đó là ảnh hưởng của các chi phí nghiên cứu và phát triển (R&amp;D) trong quá khứ. Vì quy ước kế toán yêu cầu rằng những khoản này phải được ghi nhận là chi phí trong năm chúng phát sinh và không được vốn hóa (capitalize), nên tài sản nghiên cứu không xuất hiện trên bảng cân đối kế toán. Chương 9 sẽ xem xét cách vốn hóa chi phí nghiên cứu và phát triển cũng như những ảnh hưởng lên bảng cân đối kế toán.</w:t>
      </w:r>
    </w:p>
    <w:p>
      <w:bookmarkStart w:id="293" w:name="Measuring_Financing_Mix"/>
      <w:bookmarkStart w:id="294" w:name="Measuring_Financing_Mix__The_sec"/>
      <w:pPr>
        <w:keepNext/>
        <w:pStyle w:val="Heading 2"/>
        <w:keepLines w:val="on"/>
      </w:pPr>
      <w:r>
        <w:t>Đo lường cơ cấu tài trợ</w:t>
      </w:r>
      <w:bookmarkEnd w:id="293"/>
      <w:bookmarkEnd w:id="294"/>
    </w:p>
    <w:p>
      <w:pPr>
        <w:pStyle w:val="Para 03"/>
      </w:pPr>
      <w:r>
        <w:t>Bộ câu hỏi thứ hai mà chúng ta muốn trả lời và muốn các báo cáo kế toán làm sáng tỏ phần nào, liên quan đến cơ cấu nợ và vốn chủ sở hữu mà doanh nghiệp sử dụng cùng giá trị hiện tại của từng loại. Phần lớn thông tin về những câu hỏi này được cung cấp ở phía nợ phải trả của bảng cân đối kế toán và các phần thuyết minh kèm theo.</w:t>
      </w:r>
    </w:p>
    <w:p>
      <w:bookmarkStart w:id="295" w:name="Accounting_Principles_Underlying_2"/>
      <w:bookmarkStart w:id="296" w:name="Accounting_Principles_Underlying_3"/>
      <w:pPr>
        <w:keepNext/>
        <w:pStyle w:val="Heading 3"/>
        <w:keepLines w:val="on"/>
      </w:pPr>
      <w:r>
        <w:t>Các nguyên tắc kế toán chi phối việc đo lường nợ phải trả và vốn chủ sở hữu</w:t>
      </w:r>
      <w:bookmarkEnd w:id="295"/>
      <w:bookmarkEnd w:id="296"/>
    </w:p>
    <w:p>
      <w:pPr>
        <w:pStyle w:val="Para 03"/>
      </w:pPr>
      <w:r>
        <w:t>Cũng giống như việc đo lường giá trị tài sản, việc phân loại kế toán đối với nợ phải trả và vốn chủ sở hữu được chi phối bởi một tập hợp các nguyên tắc khá cứng nhắc. Nguyên tắc đầu tiên là phân loại chặt chẽ nguồn tài trợ thành hoặc là nợ phải trả, hoặc là vốn chủ sở hữu, dựa trên bản chất của nghĩa vụ. Để một nghĩa vụ được ghi nhận là nợ phải trả, nó phải đáp ứng ba yêu cầu:</w:t>
      </w:r>
    </w:p>
    <w:p>
      <w:pPr>
        <w:numPr>
          <w:ilvl w:val="0"/>
          <w:numId w:val="12"/>
        </w:numPr>
        <w:pStyle w:val="Para 01"/>
      </w:pPr>
      <w:r>
        <w:t>Nghĩa vụ đó phải được kỳ vọng sẽ dẫn đến một dòng tiền ra trong tương lai hoặc mất đi một dòng tiền vào trong tương lai vào một ngày cụ thể hoặc có thể xác định được.</w:t>
      </w:r>
    </w:p>
    <w:p>
      <w:pPr>
        <w:numPr>
          <w:ilvl w:val="0"/>
          <w:numId w:val="12"/>
        </w:numPr>
        <w:pStyle w:val="Para 01"/>
      </w:pPr>
      <w:r>
        <w:t>Doanh nghiệp không thể tránh khỏi nghĩa vụ đó.</w:t>
      </w:r>
    </w:p>
    <w:p>
      <w:pPr>
        <w:numPr>
          <w:ilvl w:val="0"/>
          <w:numId w:val="12"/>
        </w:numPr>
        <w:pStyle w:val="Para 01"/>
      </w:pPr>
      <w:r>
        <w:t>Giao dịch làm phát sinh nghĩa vụ đó phải đã xảy ra rồi.</w:t>
      </w:r>
    </w:p>
    <w:p>
      <w:pPr>
        <w:pStyle w:val="Para 03"/>
      </w:pPr>
      <w:r>
        <w:t>Phù hợp với nguyên tắc thận trọng (conservatism) đã đề cập trước đó trong việc ước tính giá trị tài sản, các kế toán viên chỉ ghi nhận là nợ phải trả những nghĩa vụ dòng tiền không thể tránh khỏi.</w:t>
      </w:r>
    </w:p>
    <w:p>
      <w:pPr>
        <w:pStyle w:val="Para 03"/>
      </w:pPr>
      <w:r>
        <w:t>Nguyên tắc thứ hai là giá trị của cả nợ phải trả lẫn vốn chủ sở hữu trong một doanh nghiệp được ước tính tốt hơn bằng cách sử dụng giá gốc lịch sử (historical cost) với các điều chỉnh kế toán, thay vì dùng các dòng tiền tương lai kỳ vọng hay giá trị thị trường. Quá trình mà các kế toán viên đo lường giá trị của nợ phải trả và vốn chủ sở hữu gắn bó chặt chẽ với cách họ định giá tài sản. Vì tài sản chủ yếu được định giá theo giá gốc lịch sử hoặc theo giá trị sổ sách, nên cả nợ lẫn vốn chủ sở hữu cũng chủ yếu được đo lường theo giá trị sổ sách. Phần tiếp theo sẽ xem xét việc đo lường kế toán đối với cả nợ phải trả và vốn chủ sở hữu.</w:t>
      </w:r>
    </w:p>
    <w:p>
      <w:bookmarkStart w:id="298" w:name="Measuring_the_Value_of_Liabiliti_1"/>
      <w:bookmarkStart w:id="299" w:name="Measuring_the_Value_of_Liabiliti"/>
      <w:pPr>
        <w:keepNext/>
        <w:pStyle w:val="Heading 3"/>
        <w:keepLines w:val="on"/>
      </w:pPr>
      <w:r>
        <w:t>Đo lường giá trị của nợ phải trả và vốn chủ sở hữu</w:t>
      </w:r>
      <w:bookmarkEnd w:id="298"/>
      <w:bookmarkEnd w:id="299"/>
    </w:p>
    <w:p>
      <w:pPr>
        <w:pStyle w:val="Para 03"/>
      </w:pPr>
      <w:r>
        <w:t>Các kế toán viên phân loại nợ phải trả thành nợ ngắn hạn, nợ dài hạn, và các khoản nợ dài hạn không phải là nợ vay cũng không phải là vốn chủ sở hữu. Tiếp theo, chúng ta sẽ xem xét cách họ đo lường từng loại trong số này.</w:t>
      </w:r>
    </w:p>
    <w:p>
      <w:bookmarkStart w:id="300" w:name="Current_Liabilities__Under_curre"/>
      <w:bookmarkStart w:id="301" w:name="Current_Liabilities"/>
      <w:pPr>
        <w:keepNext/>
        <w:pStyle w:val="Heading 4"/>
        <w:keepLines w:val="on"/>
      </w:pPr>
      <w:r>
        <w:t>Nợ ngắn hạn</w:t>
      </w:r>
      <w:bookmarkEnd w:id="300"/>
      <w:bookmarkEnd w:id="301"/>
    </w:p>
    <w:p>
      <w:pPr>
        <w:pStyle w:val="Para 03"/>
      </w:pPr>
      <w:r>
        <w:t>Dưới mục nợ ngắn hạn được phân loại tất cả các nghĩa vụ mà doanh nghiệp phải đến hạn thanh toán trong năm tới. Những khoản này thường bao gồm:</w:t>
      </w:r>
    </w:p>
    <w:p>
      <w:pPr>
        <w:numPr>
          <w:ilvl w:val="0"/>
          <w:numId w:val="13"/>
        </w:numPr>
        <w:pStyle w:val="Para 01"/>
      </w:pPr>
      <w:r>
        <w:t>Các khoản phải trả người bán (accounts payable), đại diện cho khoản tín dụng nhận được từ nhà cung cấp và các nhà bán hàng khác cho doanh nghiệp. Giá trị của các khoản phải trả người bán thể hiện số tiền còn nợ những chủ nợ này. Đối với khoản mục này, giá trị sổ sách và giá trị thị trường thường tương tự nhau.</w:t>
      </w:r>
    </w:p>
    <w:p>
      <w:pPr>
        <w:numPr>
          <w:ilvl w:val="0"/>
          <w:numId w:val="13"/>
        </w:numPr>
        <w:pStyle w:val="Para 01"/>
      </w:pPr>
      <w:r>
        <w:t>Vay ngắn hạn, đại diện cho các khoản vay ngắn hạn (đến hạn trong vòng chưa đầy một năm) được thực hiện để tài trợ cho hoạt động hoặc nhu cầu tài sản ngắn hạn của doanh nghiệp. Ở đây cũng vậy, giá trị được thể hiện là số tiền còn nợ trên các khoản vay đó, và giá trị sổ sách với giá trị thị trường thường tương tự nhau, trừ khi rủi ro vỡ nợ của doanh nghiệp đã thay đổi đáng kể kể từ khi họ vay tiền.</w:t>
      </w:r>
    </w:p>
    <w:p>
      <w:pPr>
        <w:numPr>
          <w:ilvl w:val="0"/>
          <w:numId w:val="13"/>
        </w:numPr>
        <w:pStyle w:val="Para 01"/>
      </w:pPr>
      <w:r>
        <w:t>Phần ngắn hạn của nợ vay dài hạn, đại diện cho phần nợ dài hạn hoặc trái phiếu sẽ đến hạn trong năm tới. Ở đây cũng vậy, giá trị được thể hiện là số tiền thực tế còn nợ trên các khoản vay này, và giá trị thị trường với giá trị sổ sách sẽ hội tụ lại khi ngày đến hạn tới gần.</w:t>
      </w:r>
    </w:p>
    <w:p>
      <w:pPr>
        <w:numPr>
          <w:ilvl w:val="0"/>
          <w:numId w:val="13"/>
        </w:numPr>
        <w:pStyle w:val="Para 01"/>
      </w:pPr>
      <w:r>
        <w:t>Các khoản nợ ngắn hạn khác, là một mục gom chung cho bất kỳ khoản nợ ngắn hạn nào khác mà doanh nghiệp có thể có, bao gồm tiền lương còn nợ nhân viên và thuế còn nợ chính phủ.</w:t>
      </w:r>
    </w:p>
    <w:p>
      <w:pPr>
        <w:pStyle w:val="Para 03"/>
      </w:pPr>
      <w:r>
        <w:t>Trong tất cả các khoản mục trên bảng cân đối kế toán, nếu không có gian lận rõ ràng, nợ ngắn hạn nên là khoản mục mà ước tính kế toán về giá trị sổ sách và ước tính tài chính về giá trị thị trường gần nhau nhất.</w:t>
      </w:r>
    </w:p>
    <w:p>
      <w:bookmarkStart w:id="302" w:name="Long_Term_Debt__Long_term_debt_f"/>
      <w:bookmarkStart w:id="303" w:name="Long_Term_Debt"/>
      <w:pPr>
        <w:keepNext/>
        <w:pStyle w:val="Heading 4"/>
        <w:keepLines w:val="on"/>
      </w:pPr>
      <w:r>
        <w:t>Nợ dài hạn</w:t>
      </w:r>
      <w:bookmarkEnd w:id="302"/>
      <w:bookmarkEnd w:id="303"/>
    </w:p>
    <w:p>
      <w:pPr>
        <w:pStyle w:val="Para 03"/>
      </w:pPr>
      <w:r>
        <w:t>Nợ dài hạn của doanh nghiệp có thể mang một trong hai hình thức. Nó có thể là một khoản vay dài hạn từ ngân hàng hoặc tổ chức tài chính khác, hoặc có thể là một trái phiếu dài hạn phát hành ra thị trường tài chính, trong trường hợp đó các chủ nợ chính là những nhà đầu tư vào trái phiếu. Các kế toán viên đo lường giá trị của nợ dài hạn bằng cách xem xét giá trị hiện tại của các khoản thanh toán đến hạn trên khoản vay hoặc trái phiếu tại thời điểm đi vay. Đối với các khoản vay ngân hàng, giá trị này sẽ bằng với giá trị danh nghĩa của khoản vay. Tuy nhiên, với trái phiếu, có ba khả năng: Khi trái phiếu được phát hành theo mệnh giá, chẳng hạn, giá trị của nợ dài hạn thường được đo lường theo nghĩa vụ danh nghĩa được tạo ra (tức là số vốn gốc đến hạn phải trả trên khoản vay). Khi trái phiếu được phát hành với giá cao hơn hoặc thấp hơn mệnh giá, trái phiếu được ghi nhận theo giá phát hành, nhưng phần chênh lệch cao hơn hoặc thấp hơn đó được phân bổ dần (amortize) trong suốt vòng đời của trái phiếu. Như một ví dụ cực đoan, các công ty phát hành nợ không trả lãi (zero coupon debt) phải ghi nhận khoản nợ theo giá phát hành, vốn sẽ thấp hơn đáng kể so với số vốn gốc (mệnh giá) đến hạn khi đáo hạn. Phần chênh lệch giữa giá phát hành và mệnh giá được phân bổ dần mỗi kỳ và được xử lý như một khoản chi phí lãi phi tiền mặt được khấu trừ thuế.</w:t>
      </w:r>
    </w:p>
    <w:p>
      <w:pPr>
        <w:pStyle w:val="Para 03"/>
      </w:pPr>
      <w:r>
        <w:t>Trong tất cả những trường hợp này, giá trị của khoản nợ không bị ảnh hưởng bởi những thay đổi của lãi suất trong suốt vòng đời của khoản vay hoặc trái phiếu. Lưu ý rằng khi lãi suất thị trường tăng hoặc giảm, giá trị hiện tại của các nghĩa vụ vay nợ sẽ giảm hoặc tăng tương ứng. Giá trị thị trường được cập nhật này của khoản nợ không được thể hiện trên bảng cân đối kế toán. Nếu khoản nợ được thanh toán trước khi đáo hạn, phần chênh lệch giữa giá trị sổ sách và số tiền trả khi thanh toán trước hạn được xử lý như một khoản lãi hoặc lỗ bất thường (extraordinary gain or loss) trên báo cáo thu nhập.</w:t>
      </w:r>
    </w:p>
    <w:p>
      <w:pPr>
        <w:pStyle w:val="Para 03"/>
      </w:pPr>
      <w:r>
        <w:t>Cuối cùng, các công ty có nợ dài hạn được định giá bằng các loại ngoại tệ không phải nội tệ phải điều chỉnh giá trị sổ sách của khoản nợ cho những thay đổi của tỷ giá hối đoái. Vì những thay đổi tỷ giá phản ánh những thay đổi cơ bản của lãi suất, điều này hàm ý rằng khoản nợ này có khả năng được định giá gần với giá trị thị trường hơn nhiều so với khoản nợ bằng nội tệ.</w:t>
      </w:r>
    </w:p>
    <w:p>
      <w:bookmarkStart w:id="305" w:name="Other_Long_Term_Liabilities__Fir"/>
      <w:bookmarkStart w:id="306" w:name="Other_Long_Term_Liabilities"/>
      <w:pPr>
        <w:keepNext/>
        <w:pStyle w:val="Heading 4"/>
        <w:keepLines w:val="on"/>
      </w:pPr>
      <w:r>
        <w:t>Các Khoản Nợ Dài Hạn Khác</w:t>
      </w:r>
      <w:bookmarkEnd w:id="305"/>
      <w:bookmarkEnd w:id="306"/>
    </w:p>
    <w:p>
      <w:pPr>
        <w:pStyle w:val="Para 03"/>
      </w:pPr>
      <w:r>
        <w:t>Các doanh nghiệp thường có những nghĩa vụ dài hạn không được phản ánh trong mục nợ dài hạn. Những nghĩa vụ này bao gồm nghĩa vụ với bên cho thuê tài sản mà doanh nghiệp đã thuê, với nhân viên dưới hình thức quỹ hưu trí và phúc lợi chăm sóc sức khỏe chưa thanh toán, và với chính phủ dưới hình thức thuế hoãn lại. Trong hai thập kỷ qua, các kế toán viên ngày càng hướng tới việc định lượng những khoản nợ này và thể hiện chúng như các khoản nợ dài hạn.</w:t>
      </w:r>
    </w:p>
    <w:p>
      <w:bookmarkStart w:id="307" w:name="Leases__Firms_often_choose_to_le"/>
      <w:pPr>
        <w:pStyle w:val="Para 21"/>
      </w:pPr>
      <w:r>
        <w:t>Thuê Tài Sản</w:t>
      </w:r>
      <w:bookmarkEnd w:id="307"/>
    </w:p>
    <w:p>
      <w:pPr>
        <w:pStyle w:val="Para 03"/>
      </w:pPr>
      <w:r>
        <w:t>Các doanh nghiệp thường chọn thuê tài sản dài hạn thay vì mua chúng. Các khoản thanh toán tiền thuê tạo ra cùng loại nghĩa vụ như các khoản thanh toán lãi trên nợ, và chúng phải được nhìn nhận theo cùng một cách. Nếu một doanh nghiệp được phép thuê một phần đáng kể tài sản của mình và giữ nó ngoài báo cáo tài chính, thì việc xem xét các báo cáo sẽ đưa ra một cái nhìn rất sai lệch về sức mạnh tài chính của công ty. Do đó, các quy tắc kế toán đã được đặt ra để buộc các doanh nghiệp phải tiết lộ mức độ nghĩa vụ thuê của mình trên sổ sách.</w:t>
      </w:r>
    </w:p>
    <w:p>
      <w:pPr>
        <w:pStyle w:val="Para 03"/>
      </w:pPr>
      <w:r>
        <w:t>Cho đến năm 2019, có hai cách hạch toán thuê tài sản. Trong thuê hoạt động (operating lease), bên cho thuê (hay chủ sở hữu) chỉ chuyển giao quyền sử dụng tài sản cho bên thuê. Vào cuối kỳ thuê, bên thuê trả lại tài sản cho bên cho thuê. Vì bên thuê không gánh chịu rủi ro sở hữu, chi phí thuê được coi là chi phí hoạt động trên báo cáo kết quả kinh doanh và khoản thuê không ảnh hưởng đến bảng cân đối kế toán. Trong thuê tài chính (capital lease), bên thuê gánh chịu một phần rủi ro sở hữu và hưởng một phần lợi ích. Do đó, khi hợp đồng thuê được ký kết, nó được ghi nhận cả là tài sản lẫn nợ phải trả (cho các khoản thanh toán tiền thuê) trên bảng cân đối kế toán. Doanh nghiệp được phép khấu hao tài sản mỗi năm và cũng được khấu trừ phần chi phí lãi trong khoản thanh toán tiền thuê mỗi năm. Nói chung, thuê tài chính ghi nhận chi phí sớm hơn so với thuê hoạt động tương đương.</w:t>
      </w:r>
    </w:p>
    <w:p>
      <w:pPr>
        <w:pStyle w:val="Para 03"/>
      </w:pPr>
      <w:r>
        <w:t>Năm 2019, cả IFRS và GAAP đã thay đổi các quy tắc hạch toán thuê tài sản, yêu cầu gần như tất cả các hợp đồng thuê đều được xử lý như thuê tài chính, theo cùng một quy trình chuyển đổi cam kết thuê thành nợ và tài sản đối ứng. Chúng ta sẽ đề cập đến quy trình chuyển đổi thuê thành nợ này trong một chương sau, và nó vẫn là một quy trình hữu ích để hiểu, vì vẫn còn những nơi trên thế giới áp dụng các quy tắc thuê cũ. Đối với các doanh nghiệp phải tuân theo GAAP và IFRS, giờ đây bạn sẽ thấy nợ thuê xuất hiện trên bảng cân đối kế toán và tài sản thuê xuất hiện như tài sản dài hạn.</w:t>
      </w:r>
    </w:p>
    <w:p>
      <w:bookmarkStart w:id="310" w:name="Employee_Benefits__Employers_can"/>
      <w:pPr>
        <w:pStyle w:val="Para 21"/>
      </w:pPr>
      <w:r>
        <w:t>Phúc Lợi Nhân Viên</w:t>
      </w:r>
      <w:bookmarkEnd w:id="310"/>
    </w:p>
    <w:p>
      <w:pPr>
        <w:pStyle w:val="Para 03"/>
      </w:pPr>
      <w:r>
        <w:t>Người sử dụng lao động có thể cung cấp phúc lợi hưu trí và chăm sóc sức khỏe cho nhân viên của mình. Trong nhiều trường hợp, các nghĩa vụ phát sinh từ những phúc lợi này rất lớn, và việc doanh nghiệp không tài trợ đầy đủ cho những nghĩa vụ này cần phải được tiết lộ trong báo cáo tài chính.</w:t>
      </w:r>
    </w:p>
    <w:p>
      <w:bookmarkStart w:id="312" w:name="Pension_Plans__In_a_pension_plan"/>
      <w:pPr>
        <w:pStyle w:val="Para 21"/>
      </w:pPr>
      <w:r>
        <w:t>Các Kế Hoạch Hưu Trí</w:t>
      </w:r>
      <w:bookmarkEnd w:id="312"/>
    </w:p>
    <w:p>
      <w:pPr>
        <w:pStyle w:val="Para 03"/>
      </w:pPr>
      <w:r>
        <w:t>Trong một kế hoạch hưu trí, doanh nghiệp đồng ý cung cấp một số phúc lợi nhất định cho nhân viên, hoặc bằng cách chỉ định mức đóng góp xác định (defined contribution) (trong đó người sử dụng lao động đóng một khoản cố định vào kế hoạch mỗi năm, không có bất kỳ cam kết nào về phúc lợi sẽ được chi trả trong kế hoạch) hoặc phúc lợi xác định (defined benefit) (trong đó người sử dụng lao động cam kết trả một khoản phúc lợi nhất định cho nhân viên). Trong trường hợp sau, người sử dụng lao động phải đưa đủ tiền vào kế hoạch mỗi kỳ để đáp ứng các phúc lợi đã xác định.</w:t>
      </w:r>
    </w:p>
    <w:p>
      <w:pPr>
        <w:pStyle w:val="Para 03"/>
      </w:pPr>
      <w:r>
        <w:t>Theo kế hoạch đóng góp xác định, doanh nghiệp hoàn thành nghĩa vụ của mình một khi đã thực hiện khoản đóng góp đã định trước vào kế hoạch. Theo kế hoạch phúc lợi xác định, nghĩa vụ của doanh nghiệp khó ước tính hơn nhiều, vì chúng sẽ được xác định bởi một số biến số, bao gồm phúc lợi mà nhân viên được hưởng, các khoản đóng góp trước đó của người sử dụng lao động và lợi nhuận mà chúng đã tạo ra, và tỷ suất sinh lợi mà người sử dụng lao động kỳ vọng đạt được trên các khoản đóng góp hiện tại. Khi các biến số này thay đổi, giá trị tài sản của quỹ hưu trí có thể lớn hơn, nhỏ hơn hoặc bằng nghĩa vụ của quỹ hưu trí (bao gồm giá trị hiện tại của các phúc lợi đã cam kết). Một quỹ hưu trí có tài sản vượt nghĩa vụ là kế hoạch thặng dư (overfunded plan), trong khi quỹ có tài sản ít hơn nghĩa vụ là kế hoạch thiếu hụt (underfunded plan), và những tiết lộ về điều đó phải được đưa vào báo cáo tài chính, thường là trong phần thuyết minh.</w:t>
      </w:r>
    </w:p>
    <w:p>
      <w:pPr>
        <w:pStyle w:val="Para 03"/>
      </w:pPr>
      <w:r>
        <w:t>Khi một quỹ hưu trí thặng dư, doanh nghiệp có một số lựa chọn. Doanh nghiệp có thể rút tài sản thừa ra khỏi quỹ, có thể ngừng đóng góp vào kế hoạch, hoặc có thể tiếp tục đóng góp với giả định rằng khoản thặng dư chỉ là hiện tượng tạm thời và có thể biến mất vào kỳ tiếp theo. Khi một quỹ thiếu hụt, doanh nghiệp có một khoản nợ phải trả, mặc dù các chuẩn mực kế toán yêu cầu doanh nghiệp chỉ tiết lộ phần vượt trội của nghĩa vụ quỹ hưu trí lũy kế4 so với tài sản quỹ hưu trí trên bảng cân đối kế toán.</w:t>
      </w:r>
    </w:p>
    <w:p>
      <w:bookmarkStart w:id="315" w:name="Health_Care_Benefits__A_firm_can"/>
      <w:pPr>
        <w:pStyle w:val="Para 21"/>
      </w:pPr>
      <w:r>
        <w:t>Phúc Lợi Chăm Sóc Sức Khỏe</w:t>
      </w:r>
      <w:bookmarkEnd w:id="315"/>
    </w:p>
    <w:p>
      <w:pPr>
        <w:pStyle w:val="Para 03"/>
      </w:pPr>
      <w:r>
        <w:t>Một doanh nghiệp có thể cung cấp phúc lợi chăm sóc sức khỏe theo một trong hai cách—bằng cách đóng góp cố định vào một kế hoạch chăm sóc sức khỏe mà không cam kết phúc lợi cụ thể (tương tự kế hoạch đóng góp xác định) hoặc bằng cách cam kết phúc lợi sức khỏe cụ thể và trích lập quỹ để cung cấp những phúc lợi này (tương tự kế hoạch phúc lợi xác định). Việc hạch toán phúc lợi chăm sóc sức khỏe rất giống với việc hạch toán nghĩa vụ hưu trí.</w:t>
      </w:r>
    </w:p>
    <w:p>
      <w:bookmarkStart w:id="317" w:name="Deferred_Taxes__Firms_often_use"/>
      <w:pPr>
        <w:pStyle w:val="Para 21"/>
      </w:pPr>
      <w:r>
        <w:t>Thuế Hoãn Lại</w:t>
      </w:r>
      <w:bookmarkEnd w:id="317"/>
    </w:p>
    <w:p>
      <w:pPr>
        <w:pStyle w:val="Para 03"/>
      </w:pPr>
      <w:r>
        <w:t>Các doanh nghiệp thường sử dụng các phương pháp hạch toán khác nhau cho mục đích thuế và mục đích báo cáo tài chính, dẫn đến câu hỏi về cách báo cáo nghĩa vụ thuế. Vì khấu hao nhanh và các phương pháp định giá hàng tồn kho có lợi cho mục đích hạch toán thuế dẫn đến việc hoãn thuế, nên thuế trên thu nhập được báo cáo trong báo cáo tài chính nói chung sẽ lớn hơn nhiều so với thuế thực tế đã nộp. Cùng những nguyên tắc khớp chi phí với thu nhập làm nền tảng cho kế toán dồn tích gợi ý rằng thuế thu nhập hoãn lại nên được ghi nhận trong báo cáo tài chính. Do đó, một công ty nộp thuế 55.000 đô la trên thu nhập chịu thuế dựa trên hạch toán thuế của mình, và lẽ ra phải nộp thuế 75.000 đô la trên thu nhập được báo cáo trong báo cáo tài chính, sẽ buộc phải ghi nhận phần chênh lệch (20.000 đô la) là thuế hoãn lại. Vì thuế hoãn lại sẽ được nộp trong những năm sau, chúng sẽ được ghi nhận khi được nộp.</w:t>
      </w:r>
    </w:p>
    <w:p>
      <w:pPr>
        <w:pStyle w:val="Para 03"/>
      </w:pPr>
      <w:r>
        <w:t>Đáng lưu ý rằng những công ty thực tế nộp thuế nhiều hơn số thuế họ báo cáo trong báo cáo tài chính sẽ tạo ra một tài sản gọi là tài sản thuế thu nhập hoãn lại (deferred tax asset). Điều này phản ánh thực tế rằng thu nhập của doanh nghiệp trong các kỳ tương lai sẽ lớn hơn, vì doanh nghiệp được ghi có cho phần thuế hoãn lại.</w:t>
      </w:r>
    </w:p>
    <w:p>
      <w:pPr>
        <w:pStyle w:val="Para 03"/>
      </w:pPr>
      <w:r>
        <w:t>Câu hỏi liệu nghĩa vụ thuế hoãn lại có thực sự là một khoản nợ phải trả hay không là một câu hỏi thú vị. Một mặt, doanh nghiệp không nợ số tiền được phân loại là thuế hoãn lại cho bất kỳ thực thể nào và việc coi nó là nợ phải trả khiến doanh nghiệp trông rủi ro hơn so với thực tế. Mặt khác, doanh nghiệp cuối cùng sẽ phải nộp thuế hoãn lại của mình và việc coi số tiền đó là nợ phải trả có vẻ là điều thận trọng nên làm.</w:t>
      </w:r>
    </w:p>
    <w:p>
      <w:bookmarkStart w:id="320" w:name="Preferred_Stock__When_a_company"/>
      <w:pPr>
        <w:pStyle w:val="Para 21"/>
      </w:pPr>
      <w:r>
        <w:t>Cổ Phiếu Ưu Đãi</w:t>
      </w:r>
      <w:bookmarkEnd w:id="320"/>
    </w:p>
    <w:p>
      <w:pPr>
        <w:pStyle w:val="Para 03"/>
      </w:pPr>
      <w:r>
        <w:t>Khi một công ty phát hành cổ phiếu ưu đãi, nó thường tạo ra nghĩa vụ trả một khoản cổ tức cố định trên cổ phiếu đó. Các quy tắc kế toán theo thông lệ không coi cổ phiếu ưu đãi là nợ vì việc không đáp ứng cổ tức ưu đãi không dẫn đến phá sản. Đồng thời, việc cổ tức ưu đãi được tích lũy khiến chúng nặng nề hơn so với vốn cổ phần phổ thông. Do đó, cổ phiếu ưu đãi là một chứng khoán lai, chia sẻ một số đặc điểm với vốn cổ phần và một số với nợ.</w:t>
      </w:r>
    </w:p>
    <w:p>
      <w:pPr>
        <w:pStyle w:val="Para 03"/>
      </w:pPr>
      <w:r>
        <w:t>Cổ phiếu ưu đãi được định giá trên bảng cân đối kế toán theo giá phát hành ban đầu, cộng thêm bất kỳ cổ tức chưa thanh toán nào được tích lũy. Cổ phiếu ưu đãi chuyển đổi được xử lý tương tự, nhưng nó được coi là vốn cổ phần khi chuyển đổi.</w:t>
      </w:r>
    </w:p>
    <w:p>
      <w:bookmarkStart w:id="322" w:name="Equity__The_accounting_measure_o"/>
      <w:bookmarkStart w:id="323" w:name="Equity"/>
      <w:pPr>
        <w:keepNext/>
        <w:pStyle w:val="Heading 4"/>
        <w:keepLines w:val="on"/>
      </w:pPr>
      <w:r>
        <w:t>Vốn Cổ Phần</w:t>
      </w:r>
      <w:bookmarkEnd w:id="322"/>
      <w:bookmarkEnd w:id="323"/>
    </w:p>
    <w:p>
      <w:pPr>
        <w:pStyle w:val="Para 03"/>
      </w:pPr>
      <w:r>
        <w:t>Thước đo kế toán của vốn cổ phần là thước đo theo giá gốc. Giá trị vốn cổ phần được thể hiện trên bảng cân đối kế toán phản ánh số tiền thu được ban đầu mà doanh nghiệp nhận được khi phát hành vốn cổ phần, được gia tăng bởi bất kỳ khoản thu nhập nào kiếm được kể từ đó (hoặc giảm bởi các khoản lỗ, nếu có) và giảm bởi bất kỳ cổ tức nào đã chi trả và việc mua lại cổ phiếu trong kỳ. Trong khi ba mục này tạo nên cái mà chúng ta có thể gọi là giá trị sổ sách của vốn cổ phần, còn ba điểm khác cần được nêu về ước tính này:</w:t>
      </w:r>
    </w:p>
    <w:p>
      <w:pPr>
        <w:numPr>
          <w:ilvl w:val="0"/>
          <w:numId w:val="14"/>
        </w:numPr>
        <w:pStyle w:val="Para 01"/>
      </w:pPr>
      <w:r>
        <w:t>Khi các công ty mua lại cổ phiếu trong thời gian ngắn, với ý định phát hành lại cổ phiếu hoặc dùng nó để đáp ứng việc thực hiện quyền chọn, họ được phép thể hiện cổ phiếu đã mua lại như cổ phiếu quỹ (treasury stock), điều này làm giảm giá trị sổ sách của vốn cổ phần. Các doanh nghiệp không được phép giữ cổ phiếu quỹ trên sổ sách trong thời gian dài và phải giảm giá trị sổ sách của vốn cổ phần bằng giá trị cổ phiếu đã mua lại trong trường hợp mua lại cổ phiếu. Vì những lần mua lại này diễn ra ở mức giá thị trường hiện tại, chúng có thể dẫn đến việc giảm đáng kể giá trị sổ sách của vốn cổ phần.</w:t>
      </w:r>
    </w:p>
    <w:p>
      <w:pPr>
        <w:numPr>
          <w:ilvl w:val="0"/>
          <w:numId w:val="14"/>
        </w:numPr>
        <w:pStyle w:val="Para 01"/>
      </w:pPr>
      <w:r>
        <w:t>Các doanh nghiệp có thua lỗ đáng kể trong thời gian dài hoặc thực hiện việc mua lại cổ phiếu ồ ạt có thể rốt cuộc có giá trị sổ sách vốn cổ phần âm.</w:t>
      </w:r>
    </w:p>
    <w:p>
      <w:pPr>
        <w:numPr>
          <w:ilvl w:val="0"/>
          <w:numId w:val="14"/>
        </w:numPr>
        <w:pStyle w:val="Para 01"/>
      </w:pPr>
      <w:r>
        <w:t>Liên hệ lại với phần thảo luận về chứng khoán có thể bán được (marketable securities), bất kỳ khoản lãi hay lỗ chưa thực hiện nào từ chứng khoán có thể bán được mà được phân loại là sẵn sàng để bán (available for sale) đều được thể hiện như một khoản tăng hoặc giảm trong giá trị sổ sách của vốn chủ sở hữu (book value of equity) trên bảng cân đối kế toán.</w:t>
      </w:r>
    </w:p>
    <w:p>
      <w:pPr>
        <w:pStyle w:val="Para 03"/>
      </w:pPr>
      <w:r>
        <w:t>Là một phần trong báo cáo tài chính của mình, các doanh nghiệp cung cấp bản tóm tắt những thay đổi trong vốn chủ sở hữu của cổ đông (shareholders' equity) trong kỳ, trong đó tất cả những thay đổi xảy ra đối với thước đo kế toán của giá trị vốn chủ sở hữu đều được tổng hợp lại.</w:t>
      </w:r>
    </w:p>
    <w:p>
      <w:pPr>
        <w:pStyle w:val="Para 03"/>
      </w:pPr>
      <w:r>
        <w:t>Điểm cuối cùng về vốn chủ sở hữu, các quy tắc kế toán dường như vẫn coi cổ phiếu ưu đãi (preferred stock), với cổ tức cố định của nó, là vốn chủ sở hữu hoặc gần như vốn chủ sở hữu, phần lớn là vì cổ tức ưu đãi có thể bị hoãn lại hoặc tích lũy mà không có rủi ro vỡ nợ. Trong phạm vi vẫn có thể xảy ra việc mất quyền kiểm soát công ty (khác với phá sản), chúng ta đã lập luận rằng cổ phiếu ưu đãi chia sẻ gần như nhiều đặc điểm với nợ không được bảo đảm (unsecured debt) cũng như với vốn chủ sở hữu.</w:t>
      </w:r>
    </w:p>
    <w:p>
      <w:pPr>
        <w:pStyle w:val="Para 11"/>
      </w:pPr>
      <w:r>
        <w:t xml:space="preserve"> </w:t>
      </w:r>
    </w:p>
    <w:p>
      <w:bookmarkStart w:id="325" w:name="ILLUSTRATION_3_2__Measuring_Liab"/>
      <w:bookmarkStart w:id="326" w:name="ILLUSTRATION_3_2__Measuring_Liab_1"/>
      <w:pPr>
        <w:keepNext/>
        <w:pStyle w:val="Para 19"/>
        <w:keepLines w:val="on"/>
      </w:pPr>
      <w:r>
        <w:t>MINH HỌA 3.2: Đo lường Nợ phải trả và Vốn chủ sở hữu tại RTX và Home Depot năm 2022 (Năm tài chính 2023)</w:t>
      </w:r>
      <w:bookmarkEnd w:id="325"/>
      <w:bookmarkEnd w:id="326"/>
    </w:p>
    <w:p>
      <w:pPr>
        <w:pStyle w:val="Para 04"/>
        <w:keepLines w:val="on"/>
      </w:pPr>
      <w:r>
        <w:t>Bảng 3.2 tóm tắt các ước tính kế toán về nợ phải trả và vốn chủ sở hữu tại RTX và Home Depot cho năm tài chính gần nhất 2023, tính bằng triệu đô la:</w:t>
      </w:r>
    </w:p>
    <w:p>
      <w:pPr>
        <w:pStyle w:val="Para 25"/>
        <w:keepLines w:val="on"/>
      </w:pPr>
      <w:r>
        <w:t>Bảng 3.2</w:t>
      </w:r>
    </w:p>
    <w:p>
      <w:pPr>
        <w:keepNext/>
        <w:pStyle w:val="Para 24"/>
        <w:keepLines w:val="on"/>
      </w:pPr>
      <w:r>
        <w:t>Nợ phải trả và Vốn chủ sở hữu—Raytheon và Home Depot</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05"/>
                    <w:keepLines w:val="on"/>
                  </w:pPr>
                  <w:r>
                    <w:t>RTX</w:t>
                  </w:r>
                </w:p>
              </w:tc>
              <w:tc>
                <w:tcPr>
                  <w:tcW w:type="auto" w:w="0"/>
                  <w:shd w:val="clear" w:color="auto" w:fill="F0F0F0"/>
                </w:tcPr>
                <w:p>
                  <w:pPr>
                    <w:pStyle w:val="Para 05"/>
                    <w:keepLines w:val="on"/>
                  </w:pPr>
                  <w:r>
                    <w:t>Home Depot</w:t>
                  </w:r>
                </w:p>
              </w:tc>
            </w:tr>
            <w:tr>
              <w:tc>
                <w:tcPr>
                  <w:tcW w:type="auto" w:w="0"/>
                  <w:shd w:val="clear" w:color="auto" w:fill="F0F0F0"/>
                </w:tcPr>
                <w:p>
                  <w:pPr>
                    <w:pStyle w:val="Para 02"/>
                    <w:keepLines w:val="on"/>
                  </w:pPr>
                  <w:r>
                    <w:t>Các khoản phải trả và nợ phải trả khác</w:t>
                  </w:r>
                </w:p>
              </w:tc>
              <w:tc>
                <w:tcPr>
                  <w:tcW w:type="auto" w:w="0"/>
                  <w:shd w:val="clear" w:color="auto" w:fill="F0F0F0"/>
                </w:tcPr>
                <w:p>
                  <w:pPr>
                    <w:pStyle w:val="Normal"/>
                    <w:keepLines w:val="on"/>
                  </w:pPr>
                  <w:r>
                    <w:t>$ 10,698.00</w:t>
                  </w:r>
                </w:p>
              </w:tc>
              <w:tc>
                <w:tcPr>
                  <w:tcW w:type="auto" w:w="0"/>
                  <w:shd w:val="clear" w:color="auto" w:fill="F0F0F0"/>
                </w:tcPr>
                <w:p>
                  <w:pPr>
                    <w:pStyle w:val="Normal"/>
                    <w:keepLines w:val="on"/>
                  </w:pPr>
                  <w:r>
                    <w:t>$  11,443.00</w:t>
                  </w:r>
                </w:p>
              </w:tc>
            </w:tr>
            <w:tr>
              <w:tc>
                <w:tcPr>
                  <w:tcW w:type="auto" w:w="0"/>
                  <w:shd w:val="clear" w:color="auto" w:fill="F0F0F0"/>
                </w:tcPr>
                <w:p>
                  <w:pPr>
                    <w:pStyle w:val="Para 02"/>
                    <w:keepLines w:val="on"/>
                  </w:pPr>
                  <w:r>
                    <w:t>Lương/thù lao nhân viên phải trả</w:t>
                  </w:r>
                </w:p>
              </w:tc>
              <w:tc>
                <w:tcPr>
                  <w:tcW w:type="auto" w:w="0"/>
                  <w:shd w:val="clear" w:color="auto" w:fill="F0F0F0"/>
                </w:tcPr>
                <w:p>
                  <w:pPr>
                    <w:pStyle w:val="Normal"/>
                    <w:keepLines w:val="on"/>
                  </w:pPr>
                  <w:r>
                    <w:t>$ 2,491.00</w:t>
                  </w:r>
                </w:p>
              </w:tc>
              <w:tc>
                <w:tcPr>
                  <w:tcW w:type="auto" w:w="0"/>
                  <w:shd w:val="clear" w:color="auto" w:fill="F0F0F0"/>
                </w:tcPr>
                <w:p>
                  <w:pPr>
                    <w:pStyle w:val="Normal"/>
                    <w:keepLines w:val="on"/>
                  </w:pPr>
                  <w:r>
                    <w:t>$  1,991.00</w:t>
                  </w:r>
                </w:p>
              </w:tc>
            </w:tr>
            <w:tr>
              <w:tc>
                <w:tcPr>
                  <w:tcW w:type="auto" w:w="0"/>
                  <w:shd w:val="clear" w:color="auto" w:fill="F0F0F0"/>
                </w:tcPr>
                <w:p>
                  <w:pPr>
                    <w:pStyle w:val="Para 02"/>
                    <w:keepLines w:val="on"/>
                  </w:pPr>
                  <w:r>
                    <w:t>Doanh thu chưa thực hiện</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  3,064.00</w:t>
                  </w:r>
                </w:p>
              </w:tc>
            </w:tr>
            <w:tr>
              <w:tc>
                <w:tcPr>
                  <w:tcW w:type="auto" w:w="0"/>
                  <w:shd w:val="clear" w:color="auto" w:fill="F0F0F0"/>
                </w:tcPr>
                <w:p>
                  <w:pPr>
                    <w:pStyle w:val="Para 02"/>
                    <w:keepLines w:val="on"/>
                  </w:pPr>
                  <w:r>
                    <w:t>Thuế phải nộp</w:t>
                  </w:r>
                </w:p>
              </w:tc>
              <w:tc>
                <w:tcPr>
                  <w:tcW w:type="auto" w:w="0"/>
                  <w:shd w:val="clear" w:color="auto" w:fill="F0F0F0"/>
                </w:tcPr>
                <w:p>
                  <w:pPr>
                    <w:pStyle w:val="Normal"/>
                    <w:keepLines w:val="on"/>
                  </w:pPr>
                  <w:r>
                    <w:t>$ 0.00</w:t>
                  </w:r>
                </w:p>
              </w:tc>
              <w:tc>
                <w:tcPr>
                  <w:tcW w:type="auto" w:w="0"/>
                  <w:shd w:val="clear" w:color="auto" w:fill="F0F0F0"/>
                </w:tcPr>
                <w:p>
                  <w:pPr>
                    <w:pStyle w:val="Normal"/>
                    <w:keepLines w:val="on"/>
                  </w:pPr>
                  <w:r>
                    <w:t>$  578.00</w:t>
                  </w:r>
                </w:p>
              </w:tc>
            </w:tr>
            <w:tr>
              <w:tc>
                <w:tcPr>
                  <w:tcW w:type="auto" w:w="0"/>
                  <w:shd w:val="clear" w:color="auto" w:fill="F0F0F0"/>
                </w:tcPr>
                <w:p>
                  <w:pPr>
                    <w:pStyle w:val="Para 02"/>
                    <w:keepLines w:val="on"/>
                  </w:pPr>
                  <w:r>
                    <w:t>Nợ ngắn hạn</w:t>
                  </w:r>
                </w:p>
              </w:tc>
              <w:tc>
                <w:tcPr>
                  <w:tcW w:type="auto" w:w="0"/>
                  <w:shd w:val="clear" w:color="auto" w:fill="F0F0F0"/>
                </w:tcPr>
                <w:p>
                  <w:pPr>
                    <w:pStyle w:val="Normal"/>
                    <w:keepLines w:val="on"/>
                  </w:pPr>
                  <w:r>
                    <w:t>$ 189.00</w:t>
                  </w:r>
                </w:p>
              </w:tc>
              <w:tc>
                <w:tcPr>
                  <w:tcW w:type="auto" w:w="0"/>
                  <w:shd w:val="clear" w:color="auto" w:fill="F0F0F0"/>
                </w:tcPr>
                <w:p>
                  <w:pPr>
                    <w:pStyle w:val="Normal"/>
                    <w:keepLines w:val="on"/>
                  </w:pPr>
                  <w:r>
                    <w:t>$  1,231.00</w:t>
                  </w:r>
                </w:p>
              </w:tc>
            </w:tr>
            <w:tr>
              <w:tc>
                <w:tcPr>
                  <w:tcW w:type="auto" w:w="0"/>
                  <w:shd w:val="clear" w:color="auto" w:fill="F0F0F0"/>
                </w:tcPr>
                <w:p>
                  <w:pPr>
                    <w:pStyle w:val="Para 02"/>
                    <w:keepLines w:val="on"/>
                  </w:pPr>
                  <w:r>
                    <w:t>Phần nợ dài hạn đến hạn trả trong ngắn hạn</w:t>
                  </w:r>
                </w:p>
              </w:tc>
              <w:tc>
                <w:tcPr>
                  <w:tcW w:type="auto" w:w="0"/>
                  <w:shd w:val="clear" w:color="auto" w:fill="F0F0F0"/>
                </w:tcPr>
                <w:p>
                  <w:pPr>
                    <w:pStyle w:val="Normal"/>
                    <w:keepLines w:val="on"/>
                  </w:pPr>
                  <w:r>
                    <w:t>$ 1.283,00</w:t>
                  </w:r>
                </w:p>
              </w:tc>
              <w:tc>
                <w:tcPr>
                  <w:tcW w:type="auto" w:w="0"/>
                  <w:shd w:val="clear" w:color="auto" w:fill="F0F0F0"/>
                </w:tcPr>
                <w:p>
                  <w:pPr>
                    <w:pStyle w:val="Normal"/>
                    <w:keepLines w:val="on"/>
                  </w:pPr>
                  <w:r>
                    <w:t>$ 0,00</w:t>
                  </w:r>
                </w:p>
              </w:tc>
            </w:tr>
            <w:tr>
              <w:tc>
                <w:tcPr>
                  <w:tcW w:type="auto" w:w="0"/>
                  <w:shd w:val="clear" w:color="auto" w:fill="F0F0F0"/>
                </w:tcPr>
                <w:p>
                  <w:pPr>
                    <w:pStyle w:val="Para 02"/>
                    <w:keepLines w:val="on"/>
                  </w:pPr>
                  <w:r>
                    <w:t>Nợ phải trả theo hợp đồng</w:t>
                  </w:r>
                </w:p>
              </w:tc>
              <w:tc>
                <w:tcPr>
                  <w:tcW w:type="auto" w:w="0"/>
                  <w:shd w:val="clear" w:color="auto" w:fill="F0F0F0"/>
                </w:tcPr>
                <w:p>
                  <w:pPr>
                    <w:pStyle w:val="Normal"/>
                    <w:keepLines w:val="on"/>
                  </w:pPr>
                  <w:r>
                    <w:t>$ 17.183,00</w:t>
                  </w:r>
                </w:p>
              </w:tc>
              <w:tc>
                <w:tcPr>
                  <w:tcW w:type="auto" w:w="0"/>
                  <w:shd w:val="clear" w:color="auto" w:fill="F0F0F0"/>
                </w:tcPr>
                <w:p>
                  <w:pPr>
                    <w:pStyle w:val="Normal"/>
                    <w:keepLines w:val="on"/>
                  </w:pPr>
                  <w:r>
                    <w:t>$ 0,00</w:t>
                  </w:r>
                </w:p>
              </w:tc>
            </w:tr>
            <w:tr>
              <w:tc>
                <w:tcPr>
                  <w:tcW w:type="auto" w:w="0"/>
                  <w:shd w:val="clear" w:color="auto" w:fill="F0F0F0"/>
                </w:tcPr>
                <w:p>
                  <w:pPr>
                    <w:pStyle w:val="Para 02"/>
                    <w:keepLines w:val="on"/>
                  </w:pPr>
                  <w:r>
                    <w:t>Nợ thuê ngắn hạn</w:t>
                  </w:r>
                </w:p>
              </w:tc>
              <w:tc>
                <w:tcPr>
                  <w:tcW w:type="auto" w:w="0"/>
                  <w:shd w:val="clear" w:color="auto" w:fill="F0F0F0"/>
                </w:tcPr>
                <w:p>
                  <w:pPr>
                    <w:pStyle w:val="Normal"/>
                    <w:keepLines w:val="on"/>
                  </w:pPr>
                  <w:r>
                    <w:t>$ 0,00</w:t>
                  </w:r>
                </w:p>
              </w:tc>
              <w:tc>
                <w:tcPr>
                  <w:tcW w:type="auto" w:w="0"/>
                  <w:shd w:val="clear" w:color="auto" w:fill="F0F0F0"/>
                </w:tcPr>
                <w:p>
                  <w:pPr>
                    <w:pStyle w:val="Normal"/>
                    <w:keepLines w:val="on"/>
                  </w:pPr>
                  <w:r>
                    <w:t>$ 945,00</w:t>
                  </w:r>
                </w:p>
              </w:tc>
            </w:tr>
            <w:tr>
              <w:tc>
                <w:tcPr>
                  <w:tcW w:type="auto" w:w="0"/>
                  <w:shd w:val="clear" w:color="auto" w:fill="F0F0F0"/>
                </w:tcPr>
                <w:p>
                  <w:pPr>
                    <w:pStyle w:val="Para 02"/>
                    <w:keepLines w:val="on"/>
                  </w:pPr>
                  <w:r>
                    <w:t>Nợ phải trả ngắn hạn khác</w:t>
                  </w:r>
                </w:p>
              </w:tc>
              <w:tc>
                <w:tcPr>
                  <w:tcW w:type="auto" w:w="0"/>
                  <w:shd w:val="clear" w:color="auto" w:fill="F0F0F0"/>
                </w:tcPr>
                <w:p>
                  <w:pPr>
                    <w:pStyle w:val="Normal"/>
                    <w:keepLines w:val="on"/>
                  </w:pPr>
                  <w:r>
                    <w:t>$ 14.917,00</w:t>
                  </w:r>
                </w:p>
              </w:tc>
              <w:tc>
                <w:tcPr>
                  <w:tcW w:type="auto" w:w="0"/>
                  <w:shd w:val="clear" w:color="auto" w:fill="F0F0F0"/>
                </w:tcPr>
                <w:p>
                  <w:pPr>
                    <w:pStyle w:val="Normal"/>
                    <w:keepLines w:val="on"/>
                  </w:pPr>
                  <w:r>
                    <w:t>$ 3.858,00</w:t>
                  </w:r>
                </w:p>
              </w:tc>
            </w:tr>
            <w:tr>
              <w:tc>
                <w:tcPr>
                  <w:tcW w:type="auto" w:w="0"/>
                  <w:shd w:val="clear" w:color="auto" w:fill="F0F0F0"/>
                </w:tcPr>
                <w:p>
                  <w:pPr>
                    <w:pStyle w:val="Para 02"/>
                    <w:keepLines w:val="on"/>
                  </w:pPr>
                  <w:r>
                    <w:t>Tổng nợ phải trả ngắn hạn</w:t>
                  </w:r>
                </w:p>
              </w:tc>
              <w:tc>
                <w:tcPr>
                  <w:tcW w:type="auto" w:w="0"/>
                  <w:shd w:val="clear" w:color="auto" w:fill="F0F0F0"/>
                </w:tcPr>
                <w:p>
                  <w:pPr>
                    <w:pStyle w:val="Normal"/>
                    <w:keepLines w:val="on"/>
                  </w:pPr>
                  <w:r>
                    <w:t>$ 46.761,00</w:t>
                  </w:r>
                </w:p>
              </w:tc>
              <w:tc>
                <w:tcPr>
                  <w:tcW w:type="auto" w:w="0"/>
                  <w:shd w:val="clear" w:color="auto" w:fill="F0F0F0"/>
                </w:tcPr>
                <w:p>
                  <w:pPr>
                    <w:pStyle w:val="Normal"/>
                    <w:keepLines w:val="on"/>
                  </w:pPr>
                  <w:r>
                    <w:t>$ 23.110,00</w:t>
                  </w:r>
                </w:p>
              </w:tc>
            </w:tr>
            <w:tr>
              <w:tc>
                <w:tcPr>
                  <w:tcW w:type="auto" w:w="0"/>
                  <w:shd w:val="clear" w:color="auto" w:fill="F0F0F0"/>
                </w:tcPr>
                <w:p>
                  <w:pPr>
                    <w:pStyle w:val="Para 02"/>
                    <w:keepLines w:val="on"/>
                  </w:pPr>
                  <w:r>
                    <w:t>Nợ phải trả trích trước về lương hưu</w:t>
                  </w:r>
                </w:p>
              </w:tc>
              <w:tc>
                <w:tcPr>
                  <w:tcW w:type="auto" w:w="0"/>
                  <w:shd w:val="clear" w:color="auto" w:fill="F0F0F0"/>
                </w:tcPr>
                <w:p>
                  <w:pPr>
                    <w:pStyle w:val="Normal"/>
                    <w:keepLines w:val="on"/>
                  </w:pPr>
                  <w:r>
                    <w:t>$ 2.385,00</w:t>
                  </w:r>
                </w:p>
              </w:tc>
              <w:tc>
                <w:tcPr>
                  <w:tcW w:type="auto" w:w="0"/>
                  <w:shd w:val="clear" w:color="auto" w:fill="F0F0F0"/>
                </w:tcPr>
                <w:p>
                  <w:pPr>
                    <w:pStyle w:val="Normal"/>
                    <w:keepLines w:val="on"/>
                  </w:pPr>
                  <w:r>
                    <w:t>$ 0,00</w:t>
                  </w:r>
                </w:p>
              </w:tc>
            </w:tr>
            <w:tr>
              <w:tc>
                <w:tcPr>
                  <w:tcW w:type="auto" w:w="0"/>
                  <w:shd w:val="clear" w:color="auto" w:fill="F0F0F0"/>
                </w:tcPr>
                <w:p>
                  <w:pPr>
                    <w:pStyle w:val="Para 02"/>
                    <w:keepLines w:val="on"/>
                  </w:pPr>
                  <w:r>
                    <w:t>Nợ phải trả dài hạn khác</w:t>
                  </w:r>
                </w:p>
              </w:tc>
              <w:tc>
                <w:tcPr>
                  <w:tcW w:type="auto" w:w="0"/>
                  <w:shd w:val="clear" w:color="auto" w:fill="F0F0F0"/>
                </w:tcPr>
                <w:p>
                  <w:pPr>
                    <w:pStyle w:val="Normal"/>
                    <w:keepLines w:val="on"/>
                  </w:pPr>
                  <w:r>
                    <w:t>$ 7.511,00</w:t>
                  </w:r>
                </w:p>
              </w:tc>
              <w:tc>
                <w:tcPr>
                  <w:tcW w:type="auto" w:w="0"/>
                  <w:shd w:val="clear" w:color="auto" w:fill="F0F0F0"/>
                </w:tcPr>
                <w:p>
                  <w:pPr>
                    <w:pStyle w:val="Normal"/>
                    <w:keepLines w:val="on"/>
                  </w:pPr>
                  <w:r>
                    <w:t>$ 2.566,00</w:t>
                  </w:r>
                </w:p>
              </w:tc>
            </w:tr>
            <w:tr>
              <w:tc>
                <w:tcPr>
                  <w:tcW w:type="auto" w:w="0"/>
                  <w:shd w:val="clear" w:color="auto" w:fill="F0F0F0"/>
                </w:tcPr>
                <w:p>
                  <w:pPr>
                    <w:pStyle w:val="Para 02"/>
                    <w:keepLines w:val="on"/>
                  </w:pPr>
                  <w:r>
                    <w:t>Thuế thu nhập hoãn lại</w:t>
                  </w:r>
                </w:p>
              </w:tc>
              <w:tc>
                <w:tcPr>
                  <w:tcW w:type="auto" w:w="0"/>
                  <w:shd w:val="clear" w:color="auto" w:fill="F0F0F0"/>
                </w:tcPr>
                <w:p>
                  <w:pPr>
                    <w:pStyle w:val="Normal"/>
                    <w:keepLines w:val="on"/>
                  </w:pPr>
                  <w:r>
                    <w:t>$ 0,00</w:t>
                  </w:r>
                </w:p>
              </w:tc>
              <w:tc>
                <w:tcPr>
                  <w:tcW w:type="auto" w:w="0"/>
                  <w:shd w:val="clear" w:color="auto" w:fill="F0F0F0"/>
                </w:tcPr>
                <w:p>
                  <w:pPr>
                    <w:pStyle w:val="Normal"/>
                    <w:keepLines w:val="on"/>
                  </w:pPr>
                  <w:r>
                    <w:t>$ 1.019,00</w:t>
                  </w:r>
                </w:p>
              </w:tc>
            </w:tr>
            <w:tr>
              <w:tc>
                <w:tcPr>
                  <w:tcW w:type="auto" w:w="0"/>
                  <w:shd w:val="clear" w:color="auto" w:fill="F0F0F0"/>
                </w:tcPr>
                <w:p>
                  <w:pPr>
                    <w:pStyle w:val="Para 02"/>
                    <w:keepLines w:val="on"/>
                  </w:pPr>
                  <w:r>
                    <w:t>Nợ dài hạn</w:t>
                  </w:r>
                </w:p>
              </w:tc>
              <w:tc>
                <w:tcPr>
                  <w:tcW w:type="auto" w:w="0"/>
                  <w:shd w:val="clear" w:color="auto" w:fill="F0F0F0"/>
                </w:tcPr>
                <w:p>
                  <w:pPr>
                    <w:pStyle w:val="Normal"/>
                    <w:keepLines w:val="on"/>
                  </w:pPr>
                  <w:r>
                    <w:t>$ 42.355,00</w:t>
                  </w:r>
                </w:p>
              </w:tc>
              <w:tc>
                <w:tcPr>
                  <w:tcW w:type="auto" w:w="0"/>
                  <w:shd w:val="clear" w:color="auto" w:fill="F0F0F0"/>
                </w:tcPr>
                <w:p>
                  <w:pPr>
                    <w:pStyle w:val="Normal"/>
                    <w:keepLines w:val="on"/>
                  </w:pPr>
                  <w:r>
                    <w:t>$ 41,962.00</w:t>
                  </w:r>
                </w:p>
              </w:tc>
            </w:tr>
            <w:tr>
              <w:tc>
                <w:tcPr>
                  <w:tcW w:type="auto" w:w="0"/>
                  <w:shd w:val="clear" w:color="auto" w:fill="F0F0F0"/>
                </w:tcPr>
                <w:p>
                  <w:pPr>
                    <w:pStyle w:val="Para 02"/>
                    <w:keepLines w:val="on"/>
                  </w:pPr>
                  <w:r>
                    <w:t>Nợ thuê</w:t>
                  </w:r>
                </w:p>
              </w:tc>
              <w:tc>
                <w:tcPr>
                  <w:tcW w:type="auto" w:w="0"/>
                  <w:shd w:val="clear" w:color="auto" w:fill="F0F0F0"/>
                </w:tcPr>
                <w:p>
                  <w:pPr>
                    <w:pStyle w:val="Normal"/>
                    <w:keepLines w:val="on"/>
                  </w:pPr>
                  <w:r>
                    <w:t>$ 1,412.00</w:t>
                  </w:r>
                </w:p>
              </w:tc>
              <w:tc>
                <w:tcPr>
                  <w:tcW w:type="auto" w:w="0"/>
                  <w:shd w:val="clear" w:color="auto" w:fill="F0F0F0"/>
                </w:tcPr>
                <w:p>
                  <w:pPr>
                    <w:pStyle w:val="Normal"/>
                    <w:keepLines w:val="on"/>
                  </w:pPr>
                  <w:r>
                    <w:t>$ 6,226.00</w:t>
                  </w:r>
                </w:p>
              </w:tc>
            </w:tr>
            <w:tr>
              <w:tc>
                <w:tcPr>
                  <w:tcW w:type="auto" w:w="0"/>
                  <w:shd w:val="clear" w:color="auto" w:fill="F0F0F0"/>
                </w:tcPr>
                <w:p>
                  <w:pPr>
                    <w:pStyle w:val="Para 02"/>
                    <w:keepLines w:val="on"/>
                  </w:pPr>
                  <w:r>
                    <w:t>Tổng nợ dài hạn</w:t>
                  </w:r>
                </w:p>
              </w:tc>
              <w:tc>
                <w:tcPr>
                  <w:tcW w:type="auto" w:w="0"/>
                  <w:shd w:val="clear" w:color="auto" w:fill="F0F0F0"/>
                </w:tcPr>
                <w:p>
                  <w:pPr>
                    <w:pStyle w:val="Normal"/>
                    <w:keepLines w:val="on"/>
                  </w:pPr>
                  <w:r>
                    <w:t>$ 53,663.00</w:t>
                  </w:r>
                </w:p>
              </w:tc>
              <w:tc>
                <w:tcPr>
                  <w:tcW w:type="auto" w:w="0"/>
                  <w:shd w:val="clear" w:color="auto" w:fill="F0F0F0"/>
                </w:tcPr>
                <w:p>
                  <w:pPr>
                    <w:pStyle w:val="Normal"/>
                    <w:keepLines w:val="on"/>
                  </w:pPr>
                  <w:r>
                    <w:t>$ 51,773.00</w:t>
                  </w:r>
                </w:p>
              </w:tc>
            </w:tr>
            <w:tr>
              <w:tc>
                <w:tcPr>
                  <w:tcW w:type="auto" w:w="0"/>
                  <w:shd w:val="clear" w:color="auto" w:fill="F0F0F0"/>
                </w:tcPr>
                <w:p>
                  <w:pPr>
                    <w:pStyle w:val="Para 02"/>
                    <w:keepLines w:val="on"/>
                  </w:pPr>
                  <w:r>
                    <w:t>Vốn chủ sở hữu - mệnh giá</w:t>
                  </w:r>
                </w:p>
              </w:tc>
              <w:tc>
                <w:tcPr>
                  <w:tcW w:type="auto" w:w="0"/>
                  <w:shd w:val="clear" w:color="auto" w:fill="F0F0F0"/>
                </w:tcPr>
                <w:p>
                  <w:pPr>
                    <w:pStyle w:val="Normal"/>
                    <w:keepLines w:val="on"/>
                  </w:pPr>
                  <w:r>
                    <w:t>$ 0.00</w:t>
                  </w:r>
                </w:p>
              </w:tc>
              <w:tc>
                <w:tcPr>
                  <w:tcW w:type="auto" w:w="0"/>
                  <w:shd w:val="clear" w:color="auto" w:fill="F0F0F0"/>
                </w:tcPr>
                <w:p>
                  <w:pPr>
                    <w:pStyle w:val="Normal"/>
                    <w:keepLines w:val="on"/>
                  </w:pPr>
                  <w:r>
                    <w:t>$ 90.00</w:t>
                  </w:r>
                </w:p>
              </w:tc>
            </w:tr>
            <w:tr>
              <w:tc>
                <w:tcPr>
                  <w:tcW w:type="auto" w:w="0"/>
                  <w:shd w:val="clear" w:color="auto" w:fill="F0F0F0"/>
                </w:tcPr>
                <w:p>
                  <w:pPr>
                    <w:pStyle w:val="Para 02"/>
                    <w:keepLines w:val="on"/>
                  </w:pPr>
                  <w:r>
                    <w:t>Vốn góp thêm</w:t>
                  </w:r>
                </w:p>
              </w:tc>
              <w:tc>
                <w:tcPr>
                  <w:tcW w:type="auto" w:w="0"/>
                  <w:shd w:val="clear" w:color="auto" w:fill="F0F0F0"/>
                </w:tcPr>
                <w:p>
                  <w:pPr>
                    <w:pStyle w:val="Normal"/>
                    <w:keepLines w:val="on"/>
                  </w:pPr>
                  <w:r>
                    <w:t>$  37,055.00</w:t>
                  </w:r>
                </w:p>
              </w:tc>
              <w:tc>
                <w:tcPr>
                  <w:tcW w:type="auto" w:w="0"/>
                  <w:shd w:val="clear" w:color="auto" w:fill="F0F0F0"/>
                </w:tcPr>
                <w:p>
                  <w:pPr>
                    <w:pStyle w:val="Normal"/>
                    <w:keepLines w:val="on"/>
                  </w:pPr>
                  <w:r>
                    <w:t>$ 12,592.00</w:t>
                  </w:r>
                </w:p>
              </w:tc>
            </w:tr>
            <w:tr>
              <w:tc>
                <w:tcPr>
                  <w:tcW w:type="auto" w:w="0"/>
                  <w:shd w:val="clear" w:color="auto" w:fill="F0F0F0"/>
                </w:tcPr>
                <w:p>
                  <w:pPr>
                    <w:pStyle w:val="Para 02"/>
                    <w:keepLines w:val="on"/>
                  </w:pPr>
                  <w:r>
                    <w:t>Lợi nhuận giữ lại</w:t>
                  </w:r>
                </w:p>
              </w:tc>
              <w:tc>
                <w:tcPr>
                  <w:tcW w:type="auto" w:w="0"/>
                  <w:shd w:val="clear" w:color="auto" w:fill="F0F0F0"/>
                </w:tcPr>
                <w:p>
                  <w:pPr>
                    <w:pStyle w:val="Normal"/>
                    <w:keepLines w:val="on"/>
                  </w:pPr>
                  <w:r>
                    <w:t>$ 52,154.00</w:t>
                  </w:r>
                </w:p>
              </w:tc>
              <w:tc>
                <w:tcPr>
                  <w:tcW w:type="auto" w:w="0"/>
                  <w:shd w:val="clear" w:color="auto" w:fill="F0F0F0"/>
                </w:tcPr>
                <w:p>
                  <w:pPr>
                    <w:pStyle w:val="Normal"/>
                    <w:keepLines w:val="on"/>
                  </w:pPr>
                  <w:r>
                    <w:t>$ 76,896.00</w:t>
                  </w:r>
                </w:p>
              </w:tc>
            </w:tr>
            <w:tr>
              <w:tc>
                <w:tcPr>
                  <w:tcW w:type="auto" w:w="0"/>
                  <w:shd w:val="clear" w:color="auto" w:fill="F0F0F0"/>
                </w:tcPr>
                <w:p>
                  <w:pPr>
                    <w:pStyle w:val="Para 02"/>
                    <w:keepLines w:val="on"/>
                  </w:pPr>
                  <w:r>
                    <w:t>Lỗ tích lũy</w:t>
                  </w:r>
                </w:p>
              </w:tc>
              <w:tc>
                <w:tcPr>
                  <w:tcW w:type="auto" w:w="0"/>
                  <w:shd w:val="clear" w:color="auto" w:fill="F0F0F0"/>
                </w:tcPr>
                <w:p>
                  <w:pPr>
                    <w:pStyle w:val="Normal"/>
                    <w:keepLines w:val="on"/>
                  </w:pPr>
                  <w:r>
                    <w:t>−$ 2,419.00</w:t>
                  </w:r>
                </w:p>
              </w:tc>
              <w:tc>
                <w:tcPr>
                  <w:tcW w:type="auto" w:w="0"/>
                  <w:shd w:val="clear" w:color="auto" w:fill="F0F0F0"/>
                </w:tcPr>
                <w:p>
                  <w:pPr>
                    <w:pStyle w:val="Normal"/>
                    <w:keepLines w:val="on"/>
                  </w:pPr>
                  <w:r>
                    <w:t>−$ 718.00</w:t>
                  </w:r>
                </w:p>
              </w:tc>
            </w:tr>
            <w:tr>
              <w:tc>
                <w:tcPr>
                  <w:tcW w:type="auto" w:w="0"/>
                  <w:shd w:val="clear" w:color="auto" w:fill="F0F0F0"/>
                </w:tcPr>
                <w:p>
                  <w:pPr>
                    <w:pStyle w:val="Para 02"/>
                    <w:keepLines w:val="on"/>
                  </w:pPr>
                  <w:r>
                    <w:t>ESOP chưa yêu cầu</w:t>
                  </w:r>
                </w:p>
              </w:tc>
              <w:tc>
                <w:tcPr>
                  <w:tcW w:type="auto" w:w="0"/>
                  <w:shd w:val="clear" w:color="auto" w:fill="F0F0F0"/>
                </w:tcPr>
                <w:p>
                  <w:pPr>
                    <w:pStyle w:val="Normal"/>
                    <w:keepLines w:val="on"/>
                  </w:pPr>
                  <w:r>
                    <w:t>−$ 15.00</w:t>
                  </w:r>
                </w:p>
              </w:tc>
              <w:tc>
                <w:tcPr>
                  <w:tcW w:type="auto" w:w="0"/>
                  <w:shd w:val="clear" w:color="auto" w:fill="F0F0F0"/>
                </w:tcPr>
                <w:p>
                  <w:pPr>
                    <w:pStyle w:val="Normal"/>
                    <w:keepLines w:val="on"/>
                  </w:pPr>
                  <w:r>
                    <w:t>$ 0.00</w:t>
                  </w:r>
                </w:p>
              </w:tc>
            </w:tr>
            <w:tr>
              <w:tc>
                <w:tcPr>
                  <w:tcW w:type="auto" w:w="0"/>
                  <w:shd w:val="clear" w:color="auto" w:fill="F0F0F0"/>
                </w:tcPr>
                <w:p>
                  <w:pPr>
                    <w:pStyle w:val="Para 02"/>
                    <w:keepLines w:val="on"/>
                  </w:pPr>
                  <w:r>
                    <w:t>Cổ phiếu quỹ</w:t>
                  </w:r>
                </w:p>
              </w:tc>
              <w:tc>
                <w:tcPr>
                  <w:tcW w:type="auto" w:w="0"/>
                  <w:shd w:val="clear" w:color="auto" w:fill="F0F0F0"/>
                </w:tcPr>
                <w:p>
                  <w:pPr>
                    <w:pStyle w:val="Normal"/>
                    <w:keepLines w:val="on"/>
                  </w:pPr>
                  <w:r>
                    <w:t>−$ 26,977.00</w:t>
                  </w:r>
                </w:p>
              </w:tc>
              <w:tc>
                <w:tcPr>
                  <w:tcW w:type="auto" w:w="0"/>
                  <w:shd w:val="clear" w:color="auto" w:fill="F0F0F0"/>
                </w:tcPr>
                <w:p>
                  <w:pPr>
                    <w:pStyle w:val="Normal"/>
                    <w:keepLines w:val="on"/>
                  </w:pPr>
                  <w:r>
                    <w:t>−$ 87,298.00</w:t>
                  </w:r>
                </w:p>
              </w:tc>
            </w:tr>
            <w:tr>
              <w:tc>
                <w:tcPr>
                  <w:tcW w:type="auto" w:w="0"/>
                  <w:shd w:val="clear" w:color="auto" w:fill="F0F0F0"/>
                </w:tcPr>
                <w:p>
                  <w:pPr>
                    <w:pStyle w:val="Para 02"/>
                    <w:keepLines w:val="on"/>
                  </w:pPr>
                  <w:r>
                    <w:t>Vốn chủ sở hữu</w:t>
                  </w:r>
                </w:p>
              </w:tc>
              <w:tc>
                <w:tcPr>
                  <w:tcW w:type="auto" w:w="0"/>
                  <w:shd w:val="clear" w:color="auto" w:fill="F0F0F0"/>
                </w:tcPr>
                <w:p>
                  <w:pPr>
                    <w:pStyle w:val="Normal"/>
                    <w:keepLines w:val="on"/>
                  </w:pPr>
                  <w:r>
                    <w:t>$ 59,798.00</w:t>
                  </w:r>
                </w:p>
              </w:tc>
              <w:tc>
                <w:tcPr>
                  <w:tcW w:type="auto" w:w="0"/>
                  <w:shd w:val="clear" w:color="auto" w:fill="F0F0F0"/>
                </w:tcPr>
                <w:p>
                  <w:pPr>
                    <w:pStyle w:val="Normal"/>
                    <w:keepLines w:val="on"/>
                  </w:pPr>
                  <w:r>
                    <w:t>$ 1,562.00</w:t>
                  </w:r>
                </w:p>
              </w:tc>
            </w:tr>
            <w:tr>
              <w:tc>
                <w:tcPr>
                  <w:tcW w:type="auto" w:w="0"/>
                  <w:shd w:val="clear" w:color="auto" w:fill="F0F0F0"/>
                </w:tcPr>
                <w:p>
                  <w:pPr>
                    <w:pStyle w:val="Para 02"/>
                    <w:keepLines w:val="on"/>
                  </w:pPr>
                  <w:r>
                    <w:t>Lợi ích cổ đông thiểu số</w:t>
                  </w:r>
                </w:p>
              </w:tc>
              <w:tc>
                <w:tcPr>
                  <w:tcW w:type="auto" w:w="0"/>
                  <w:shd w:val="clear" w:color="auto" w:fill="F0F0F0"/>
                </w:tcPr>
                <w:p>
                  <w:pPr>
                    <w:pStyle w:val="Normal"/>
                    <w:keepLines w:val="on"/>
                  </w:pPr>
                  <w:r>
                    <w:t>$ 1,647.00</w:t>
                  </w:r>
                </w:p>
              </w:tc>
              <w:tc>
                <w:tcPr>
                  <w:tcW w:type="auto" w:w="0"/>
                  <w:shd w:val="clear" w:color="auto" w:fill="F0F0F0"/>
                </w:tcPr>
                <w:p>
                  <w:pPr>
                    <w:pStyle w:val="Normal"/>
                    <w:keepLines w:val="on"/>
                  </w:pPr>
                  <w:r>
                    <w:t>$0.00</w:t>
                  </w:r>
                </w:p>
              </w:tc>
            </w:tr>
            <w:tr>
              <w:tc>
                <w:tcPr>
                  <w:tcW w:type="auto" w:w="0"/>
                  <w:shd w:val="clear" w:color="auto" w:fill="F0F0F0"/>
                </w:tcPr>
                <w:p>
                  <w:pPr>
                    <w:pStyle w:val="Para 02"/>
                    <w:keepLines w:val="on"/>
                  </w:pPr>
                  <w:r>
                    <w:t>Tổng vốn chủ sở hữu</w:t>
                  </w:r>
                </w:p>
              </w:tc>
              <w:tc>
                <w:tcPr>
                  <w:tcW w:type="auto" w:w="0"/>
                  <w:shd w:val="clear" w:color="auto" w:fill="F0F0F0"/>
                </w:tcPr>
                <w:p>
                  <w:pPr>
                    <w:pStyle w:val="Normal"/>
                    <w:keepLines w:val="on"/>
                  </w:pPr>
                  <w:r>
                    <w:t>$ 61,445.00</w:t>
                  </w:r>
                </w:p>
              </w:tc>
              <w:tc>
                <w:tcPr>
                  <w:tcW w:type="auto" w:w="0"/>
                  <w:shd w:val="clear" w:color="auto" w:fill="F0F0F0"/>
                </w:tcPr>
                <w:p>
                  <w:pPr>
                    <w:pStyle w:val="Normal"/>
                    <w:keepLines w:val="on"/>
                  </w:pPr>
                  <w:r>
                    <w:t>$ 1,562.00</w:t>
                  </w:r>
                </w:p>
              </w:tc>
            </w:tr>
            <w:tr>
              <w:tc>
                <w:tcPr>
                  <w:tcW w:type="auto" w:w="0"/>
                  <w:shd w:val="clear" w:color="auto" w:fill="F0F0F0"/>
                </w:tcPr>
                <w:p>
                  <w:pPr>
                    <w:pStyle w:val="Para 51"/>
                    <w:keepLines w:val="on"/>
                  </w:pPr>
                  <w:r>
                    <w:t>Tổng nợ phải trả</w:t>
                  </w:r>
                </w:p>
              </w:tc>
              <w:tc>
                <w:tcPr>
                  <w:tcW w:type="auto" w:w="0"/>
                  <w:shd w:val="clear" w:color="auto" w:fill="F0F0F0"/>
                </w:tcPr>
                <w:p>
                  <w:pPr>
                    <w:pStyle w:val="Para 47"/>
                    <w:keepLines w:val="on"/>
                  </w:pPr>
                  <w:r>
                    <w:t>$ 161,869.00</w:t>
                  </w:r>
                </w:p>
              </w:tc>
              <w:tc>
                <w:tcPr>
                  <w:tcW w:type="auto" w:w="0"/>
                  <w:shd w:val="clear" w:color="auto" w:fill="F0F0F0"/>
                </w:tcPr>
                <w:p>
                  <w:pPr>
                    <w:pStyle w:val="Para 47"/>
                    <w:keepLines w:val="on"/>
                  </w:pPr>
                  <w:r>
                    <w:t>$ 76,445.00</w:t>
                  </w:r>
                </w:p>
              </w:tc>
            </w:tr>
          </w:tbl>
          <w:p/>
        </w:tc>
      </w:tr>
    </w:tbl>
    <w:p>
      <w:pPr>
        <w:pStyle w:val="Para 04"/>
        <w:keepLines w:val="on"/>
      </w:pPr>
      <w:r>
        <w:t>Home Depot cũng thu tiền doanh thu trước khi giao sản phẩm và dịch vụ, nhưng giá trị này nhỏ hơn nhiều. Các cam kết lâu dài của RTX về việc trả lương hưu cho nhân viên dẫn đến các khoản nợ phải trả lương hưu được trích trước (accrued pension liabilities). Những thay đổi trong cách hạch toán thuê hoạt động (operating leases), vốn tạo ra một tài sản thuê, cũng xuất hiện dưới dạng nợ phải trả thuê (lease liabilities) ở cả hai công ty, trong đó Home Depot có nhiều cam kết hơn.</w:t>
      </w:r>
    </w:p>
    <w:p>
      <w:pPr>
        <w:pStyle w:val="Para 04"/>
        <w:keepLines w:val="on"/>
      </w:pPr>
      <w:r>
        <w:t>Điểm nổi bật nhất trên cả hai bảng cân đối kế toán là giá trị vốn chủ sở hữu. Do việc mua lại cổ phiếu của chính mình với khối lượng lớn (cổ phiếu quỹ - treasury stock), vốn chủ sở hữu trên sổ sách của cả hai công ty đã cạn kiệt, với vốn chủ sở hữu trên sổ sách của Home Depot chỉ còn là một phần nhỏ so với giá trị thị trường của nó.</w:t>
      </w:r>
    </w:p>
    <w:p>
      <w:bookmarkStart w:id="329" w:name="Measuring_Earnings_and_Profi_tab_1"/>
      <w:bookmarkStart w:id="330" w:name="Measuring_Earnings_and_Profi_tab"/>
      <w:pPr>
        <w:keepNext/>
        <w:pStyle w:val="Heading 2"/>
        <w:keepLines w:val="on"/>
      </w:pPr>
      <w:r>
        <w:t>Đo lường Thu nhập và Khả năng sinh lời</w:t>
      </w:r>
      <w:bookmarkEnd w:id="329"/>
      <w:bookmarkEnd w:id="330"/>
    </w:p>
    <w:p>
      <w:pPr>
        <w:pStyle w:val="Para 03"/>
      </w:pPr>
      <w:r>
        <w:t>Một công ty sinh lời đến mức nào? Nó kiếm được gì từ những tài sản mà nó đã đầu tư vào? Đây là những câu hỏi cơ bản mà chúng ta mong muốn báo cáo tài chính trả lời. Các kế toán viên sử dụng báo cáo kết quả hoạt động kinh doanh (income statement) để cung cấp thông tin về các hoạt động kinh doanh của một công ty trong một khoảng thời gian cụ thể. Báo cáo kết quả hoạt động kinh doanh được thiết kế để đo lường thu nhập từ những tài sản hiện có. Phần này xem xét các nguyên tắc nền tảng cho việc đo lường thu nhập và lợi nhuận trong kế toán, cùng cách chúng được áp dụng vào thực tế.</w:t>
      </w:r>
    </w:p>
    <w:p>
      <w:bookmarkStart w:id="331" w:name="Accounting_Principles_Underlying_4"/>
      <w:bookmarkStart w:id="332" w:name="Accounting_Principles_Underlying_5"/>
      <w:pPr>
        <w:keepNext/>
        <w:pStyle w:val="Heading 3"/>
        <w:keepLines w:val="on"/>
      </w:pPr>
      <w:r>
        <w:t>Các Nguyên tắc Kế toán Nền tảng cho Việc Đo lường Thu nhập và Khả năng sinh lời</w:t>
      </w:r>
      <w:bookmarkEnd w:id="331"/>
      <w:bookmarkEnd w:id="332"/>
    </w:p>
    <w:p>
      <w:pPr>
        <w:pStyle w:val="Para 03"/>
      </w:pPr>
      <w:r>
        <w:t>Hai nguyên tắc chính là nền tảng cho việc đo lường thu nhập kế toán và khả năng sinh lời. Nguyên tắc thứ nhất là nguyên tắc kế toán dồn tích (accrual accounting). Trong kế toán dồn tích, doanh thu từ việc bán một hàng hóa hay dịch vụ được ghi nhận trong kỳ mà hàng hóa đó được bán hoặc dịch vụ đó được thực hiện (toàn bộ hoặc phần lớn). Một nỗ lực tương ứng được thực hiện ở phía chi phí để khớp chi phí với doanh thu.5 Điều này trái ngược với hệ thống kế toán dựa trên tiền mặt (cash-based accounting), nơi doanh thu được ghi nhận khi nhận được thanh toán và chi phí được ghi nhận khi được trả.</w:t>
      </w:r>
    </w:p>
    <w:p>
      <w:pPr>
        <w:pStyle w:val="Para 03"/>
      </w:pPr>
      <w:r>
        <w:t>Nguyên tắc thứ hai là việc phân loại chi phí thành chi phí hoạt động, chi phí tài chính và chi phí vốn. Chi phí hoạt động (operating expenses) là những chi phí mà, ít nhất về mặt lý thuyết, chỉ mang lại lợi ích cho kỳ hiện tại; chi phí nhân công và nguyên vật liệu bỏ ra để tạo ra sản phẩm được bán trong kỳ hiện tại là một ví dụ điển hình. Chi phí tài chính (financing expenses) là những chi phí phát sinh từ việc huy động vốn phi cổ phần (nonequity financing) dùng để gây dựng vốn cho doanh nghiệp; ví dụ phổ biến nhất là chi phí lãi vay. Chi phí vốn (capital expenses) là những chi phí được kỳ vọng sẽ tạo ra lợi ích qua nhiều kỳ; chẳng hạn, chi phí mua đất đai và nhà cửa được coi là chi phí vốn.</w:t>
      </w:r>
    </w:p>
    <w:p>
      <w:pPr>
        <w:pStyle w:val="Para 03"/>
      </w:pPr>
      <w:r>
        <w:t>Chi phí hoạt động được trừ khỏi doanh thu trong kỳ hiện tại để đi đến một thước đo về thu nhập hoạt động của công ty. Chi phí tài chính được trừ khỏi thu nhập hoạt động để ước tính thu nhập dành cho nhà đầu tư vốn cổ phần, hay thu nhập ròng (net income). Chi phí vốn được phân bổ dần (written off) qua vòng đời hữu ích của chúng (xét về khả năng tạo ra lợi ích) dưới dạng khấu hao (depreciation) hoặc phân bổ (amortization).</w:t>
      </w:r>
    </w:p>
    <w:p>
      <w:bookmarkStart w:id="334" w:name="Measuring_Accounting_Earnings_an"/>
      <w:bookmarkStart w:id="335" w:name="Measuring_Accounting_Earnings_an_1"/>
      <w:pPr>
        <w:keepNext/>
        <w:pStyle w:val="Heading 3"/>
        <w:keepLines w:val="on"/>
      </w:pPr>
      <w:r>
        <w:t>Đo lường Thu nhập Kế toán và Khả năng sinh lời</w:t>
      </w:r>
      <w:bookmarkEnd w:id="334"/>
      <w:bookmarkEnd w:id="335"/>
    </w:p>
    <w:p>
      <w:pPr>
        <w:pStyle w:val="Para 03"/>
      </w:pPr>
      <w:r>
        <w:t>Vì thu nhập có thể được tạo ra từ nhiều nguồn khác nhau, các nguyên tắc kế toán được chấp nhận chung (GAAP) yêu cầu báo cáo kết quả hoạt động kinh doanh phải được phân thành bốn phần—thu nhập từ hoạt động kinh doanh tiếp tục, thu nhập từ hoạt động kinh doanh đã chấm dứt, các khoản lãi hoặc lỗ bất thường, và các điều chỉnh do thay đổi nguyên tắc kế toán.</w:t>
      </w:r>
    </w:p>
    <w:p>
      <w:pPr>
        <w:pStyle w:val="Para 03"/>
      </w:pPr>
      <w:r>
        <w:t>Các nguyên tắc kế toán được chấp nhận chung yêu cầu ghi nhận doanh thu khi dịch vụ mà công ty được trả tiền đã được thực hiện toàn bộ hoặc phần lớn, và công ty đã nhận lại được hoặc là tiền mặt hoặc là một khoản phải thu vừa có thể quan sát vừa có thể đo lường được. Các chi phí gắn trực tiếp với việc tạo ra doanh thu (như nhân công và nguyên vật liệu) được ghi nhận trong cùng kỳ mà doanh thu được ghi nhận. Bất kỳ chi phí nào không gắn trực tiếp với việc tạo ra doanh thu đều được ghi nhận trong kỳ mà công ty tiêu thụ các dịch vụ đó. Kế toán đã giải quyết được một sự bất nhất đã đeo bám nó suốt nhiều năm, bằng một thay đổi trong cách xử lý quyền chọn nhân viên (employee options). Khác với các quy tắc cũ, nơi các khoản cấp quyền chọn này không được coi là chi phí khi được cấp mà chỉ khi được thực hiện; các quy tắc mới yêu cầu quyền chọn nhân viên phải được định giá và ghi nhận là chi phí khi được cấp (có cho phép phân bổ dần qua các kỳ). Vì quyền chọn nhân viên là một phần của thù lao, vốn là một chi phí hoạt động, các quy tắc mới hợp lý hơn.</w:t>
      </w:r>
    </w:p>
    <w:p>
      <w:pPr>
        <w:pStyle w:val="Para 03"/>
      </w:pPr>
      <w:r>
        <w:t>Trong khi kế toán dồn tích khá đơn giản ở những công ty sản xuất hàng hóa và bán chúng, có những trường hợp đặc biệt mà kế toán dồn tích có thể trở nên phức tạp do bản chất của sản phẩm hoặc dịch vụ được cung cấp. Chẳng hạn, những công ty ký kết các hợp đồng dài hạn với khách hàng được phép ghi nhận doanh thu dựa trên tỷ lệ phần trăm hợp đồng đã hoàn thành. Khi doanh thu được ghi nhận theo cơ sở tỷ lệ hoàn thành (percentage-of-completion), một tỷ lệ chi phí tương ứng cũng được ghi nhận. Khi có sự không chắc chắn đáng kể về khả năng thanh toán của người mua hàng hóa hay dịch vụ, công ty cung cấp hàng hóa hay dịch vụ đó có thể chỉ ghi nhận thu nhập khi thu được từng phần của giá bán theo phương pháp trả góp (installment method).</w:t>
      </w:r>
    </w:p>
    <w:p>
      <w:pPr>
        <w:pStyle w:val="Para 03"/>
      </w:pPr>
      <w:r>
        <w:t>Quay lại phần thảo luận về sự khác biệt giữa chi phí vốn và chi phí hoạt động, chi phí hoạt động chỉ nên phản ánh những chi phí tạo ra doanh thu trong kỳ hiện tại. Tuy nhiên, trên thực tế, một số chi phí được phân loại là chi phí hoạt động mà dường như không đáp ứng được tiêu chí này. Đầu tiên là khấu hao và phân bổ. Trong khi quan điểm cho rằng chi tiêu vốn nên được phân bổ dần qua nhiều kỳ là hợp lý, thì khấu hao kế toán được tính trên nguyên giá lịch sử ban đầu thường ít có điểm tương đồng với khấu hao kinh tế thực tế. Chi phí thứ hai là chi phí nghiên cứu và phát triển, mà các chuẩn mực kế toán phân loại là chi phí hoạt động, nhưng rõ ràng lại mang lại lợi ích qua nhiều kỳ. Lý do được dùng cho cách phân loại này là những lợi ích đó không thể được tin cậy chắc chắn hoặc dễ dàng định lượng và mang tính không chắc chắn.</w:t>
      </w:r>
    </w:p>
    <w:p>
      <w:pPr>
        <w:pStyle w:val="Para 03"/>
      </w:pPr>
      <w:r>
        <w:t>Phần lớn phân tích tài chính được xây dựng xoay quanh lợi nhuận kỳ vọng trong tương lai của một công ty, và nhiều dự báo trong số đó bắt đầu từ lợi nhuận hiện tại. Vì vậy, điều quan trọng là phải biết bao nhiêu phần trong số lợi nhuận này đến từ hoạt động kinh doanh đang diễn ra của công ty, và bao nhiêu phần có thể quy cho những sự kiện bất thường hoặc đặc biệt khó có khả năng lặp lại một cách đều đặn. Từ góc độ đó, việc các công ty phân loại chi phí thành chi phí hoạt động và chi phí không thường xuyên là rất hữu ích, vì chính lợi nhuận trước các khoản mục đặc biệt mới là con số nên được dùng để dự báo. Các khoản mục không thường xuyên bao gồm:</w:t>
      </w:r>
    </w:p>
    <w:p>
      <w:pPr>
        <w:numPr>
          <w:ilvl w:val="0"/>
          <w:numId w:val="15"/>
        </w:numPr>
        <w:pStyle w:val="Para 01"/>
      </w:pPr>
      <w:r>
        <w:t>Các khoản mục bất thường hoặc ít khi xảy ra, chẳng hạn như lãi hoặc lỗ từ việc thoái vốn một tài sản hay một bộ phận, và các khoản xóa sổ hoặc chi phí tái cấu trúc. Đôi khi các công ty đưa những khoản mục như vậy vào phần chi phí hoạt động. Ví dụ, Boeing vào năm 1997 đã xóa sổ 1.400 triệu đô la để điều chỉnh giá trị tài sản mà họ mua được trong thương vụ thâu tóm McDonnell Douglas, và họ thể hiện khoản này như một phần của chi phí hoạt động.</w:t>
      </w:r>
    </w:p>
    <w:p>
      <w:pPr>
        <w:numPr>
          <w:ilvl w:val="0"/>
          <w:numId w:val="15"/>
        </w:numPr>
        <w:pStyle w:val="Para 01"/>
      </w:pPr>
      <w:r>
        <w:t>Các khoản mục đặc biệt, được định nghĩa là những sự kiện có bản chất bất thường, ít khi xảy ra và có tác động trọng yếu. Ví dụ bao gồm khoản lãi kế toán gắn với việc tái cấp vốn cho khoản nợ lãi suất cao bằng khoản nợ lãi suất thấp hơn, và lãi hoặc lỗ từ các chứng khoán khả mại mà công ty nắm giữ.</w:t>
      </w:r>
    </w:p>
    <w:p>
      <w:pPr>
        <w:numPr>
          <w:ilvl w:val="0"/>
          <w:numId w:val="15"/>
        </w:numPr>
        <w:pStyle w:val="Para 01"/>
      </w:pPr>
      <w:r>
        <w:t>Các khoản lỗ gắn với hoạt động đã ngừng, đo lường cả khoản lỗ từ giai đoạn loại bỏ dần lẫn bất kỳ khoản lỗ ước tính nào khi bán hoạt động đó. Tuy nhiên, để được xếp vào loại này, hoạt động đó phải có thể tách rời khỏi công ty.</w:t>
      </w:r>
    </w:p>
    <w:p>
      <w:pPr>
        <w:numPr>
          <w:ilvl w:val="0"/>
          <w:numId w:val="15"/>
        </w:numPr>
        <w:pStyle w:val="Para 01"/>
      </w:pPr>
      <w:r>
        <w:t>Lãi hoặc lỗ gắn với các thay đổi kế toán, đo lường những thay đổi về lợi nhuận do cả các thay đổi kế toán mà công ty tự nguyện thực hiện (chẳng hạn như thay đổi cách định giá hàng tồn kho) lẫn các thay đổi kế toán bắt buộc theo những chuẩn mực kế toán mới.</w:t>
      </w:r>
    </w:p>
    <w:p>
      <w:pPr>
        <w:pStyle w:val="Para 11"/>
      </w:pPr>
      <w:r>
        <w:t xml:space="preserve"> </w:t>
      </w:r>
    </w:p>
    <w:p>
      <w:bookmarkStart w:id="338" w:name="ILLUSTRATION_3_3__Measures_of_Ea_1"/>
      <w:bookmarkStart w:id="339" w:name="ILLUSTRATION_3_3__Measures_of_Ea"/>
      <w:pPr>
        <w:keepNext/>
        <w:pStyle w:val="Para 19"/>
        <w:keepLines w:val="on"/>
      </w:pPr>
      <w:r>
        <w:t>VÍ DỤ MINH HỌA 3.3: Các thước đo lợi nhuận—RTX và the Home Depot năm 2022 (Năm tài chính 2023)</w:t>
      </w:r>
      <w:bookmarkEnd w:id="338"/>
      <w:bookmarkEnd w:id="339"/>
    </w:p>
    <w:p>
      <w:pPr>
        <w:pStyle w:val="Para 04"/>
        <w:keepLines w:val="on"/>
      </w:pPr>
      <w:r>
        <w:t>Bảng 3.3 tóm tắt báo cáo thu nhập của RTX và the Home Depot cho năm tài chính 2023, kết thúc vào tháng 12 năm 2023 đối với công ty đầu và tháng 1 năm 2023 đối với công ty sau, tính bằng triệu đô la:</w:t>
      </w:r>
    </w:p>
    <w:p>
      <w:pPr>
        <w:pStyle w:val="Para 25"/>
        <w:keepLines w:val="on"/>
      </w:pPr>
      <w:r>
        <w:t>Bảng 3.3</w:t>
      </w:r>
    </w:p>
    <w:p>
      <w:pPr>
        <w:keepNext/>
        <w:pStyle w:val="Para 24"/>
        <w:keepLines w:val="on"/>
      </w:pPr>
      <w:r>
        <w:t>Đo lường lợi nhuận tại Raytheon và Home Depot</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05"/>
                    <w:keepLines w:val="on"/>
                  </w:pPr>
                  <w:r>
                    <w:t>RTX</w:t>
                  </w:r>
                </w:p>
              </w:tc>
              <w:tc>
                <w:tcPr>
                  <w:tcW w:type="auto" w:w="0"/>
                  <w:shd w:val="clear" w:color="auto" w:fill="F0F0F0"/>
                </w:tcPr>
                <w:p>
                  <w:pPr>
                    <w:pStyle w:val="Para 05"/>
                    <w:keepLines w:val="on"/>
                  </w:pPr>
                  <w:r>
                    <w:t>Home Depot</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$68.920,00</w:t>
                  </w:r>
                </w:p>
              </w:tc>
              <w:tc>
                <w:tcPr>
                  <w:tcW w:type="auto" w:w="0"/>
                  <w:shd w:val="clear" w:color="auto" w:fill="F0F0F0"/>
                </w:tcPr>
                <w:p>
                  <w:pPr>
                    <w:pStyle w:val="Normal"/>
                    <w:keepLines w:val="on"/>
                  </w:pPr>
                  <w:r>
                    <w:t>$157.403,00</w:t>
                  </w:r>
                </w:p>
              </w:tc>
            </w:tr>
            <w:tr>
              <w:tc>
                <w:tcPr>
                  <w:tcW w:type="auto" w:w="0"/>
                  <w:shd w:val="clear" w:color="auto" w:fill="F0F0F0"/>
                </w:tcPr>
                <w:p>
                  <w:pPr>
                    <w:pStyle w:val="Para 02"/>
                    <w:keepLines w:val="on"/>
                  </w:pPr>
                  <w:r>
                    <w:t>Giá vốn hàng bán</w:t>
                  </w:r>
                </w:p>
              </w:tc>
              <w:tc>
                <w:tcPr>
                  <w:tcW w:type="auto" w:w="0"/>
                  <w:shd w:val="clear" w:color="auto" w:fill="F0F0F0"/>
                </w:tcPr>
                <w:p>
                  <w:pPr>
                    <w:pStyle w:val="Normal"/>
                    <w:keepLines w:val="on"/>
                  </w:pPr>
                  <w:r>
                    <w:t>$56.831,00</w:t>
                  </w:r>
                </w:p>
              </w:tc>
              <w:tc>
                <w:tcPr>
                  <w:tcW w:type="auto" w:w="0"/>
                  <w:shd w:val="clear" w:color="auto" w:fill="F0F0F0"/>
                </w:tcPr>
                <w:p>
                  <w:pPr>
                    <w:pStyle w:val="Normal"/>
                    <w:keepLines w:val="on"/>
                  </w:pPr>
                  <w:r>
                    <w:t>$104.625,00</w:t>
                  </w:r>
                </w:p>
              </w:tc>
            </w:tr>
            <w:tr>
              <w:tc>
                <w:tcPr>
                  <w:tcW w:type="auto" w:w="0"/>
                  <w:shd w:val="clear" w:color="auto" w:fill="F0F0F0"/>
                </w:tcPr>
                <w:p>
                  <w:pPr>
                    <w:pStyle w:val="Para 02"/>
                    <w:keepLines w:val="on"/>
                  </w:pPr>
                  <w:r>
                    <w:t>Lợi nhuận gộp</w:t>
                  </w:r>
                </w:p>
              </w:tc>
              <w:tc>
                <w:tcPr>
                  <w:tcW w:type="auto" w:w="0"/>
                  <w:shd w:val="clear" w:color="auto" w:fill="F0F0F0"/>
                </w:tcPr>
                <w:p>
                  <w:pPr>
                    <w:pStyle w:val="Normal"/>
                    <w:keepLines w:val="on"/>
                  </w:pPr>
                  <w:r>
                    <w:t>$12.089,00</w:t>
                  </w:r>
                </w:p>
              </w:tc>
              <w:tc>
                <w:tcPr>
                  <w:tcW w:type="auto" w:w="0"/>
                  <w:shd w:val="clear" w:color="auto" w:fill="F0F0F0"/>
                </w:tcPr>
                <w:p>
                  <w:pPr>
                    <w:pStyle w:val="Normal"/>
                    <w:keepLines w:val="on"/>
                  </w:pPr>
                  <w:r>
                    <w:t>$52.778,00</w:t>
                  </w:r>
                </w:p>
              </w:tc>
            </w:tr>
            <w:tr>
              <w:tc>
                <w:tcPr>
                  <w:tcW w:type="auto" w:w="0"/>
                  <w:shd w:val="clear" w:color="auto" w:fill="F0F0F0"/>
                </w:tcPr>
                <w:p>
                  <w:pPr>
                    <w:pStyle w:val="Para 02"/>
                    <w:keepLines w:val="on"/>
                  </w:pPr>
                  <w:r>
                    <w:t>− Chi phí bán hàng, chi phí chung và chi phí quản lý (S, G &amp; A)</w:t>
                  </w:r>
                </w:p>
              </w:tc>
              <w:tc>
                <w:tcPr>
                  <w:tcW w:type="auto" w:w="0"/>
                  <w:shd w:val="clear" w:color="auto" w:fill="F0F0F0"/>
                </w:tcPr>
                <w:p>
                  <w:pPr>
                    <w:pStyle w:val="Normal"/>
                    <w:keepLines w:val="on"/>
                  </w:pPr>
                  <w:r>
                    <w:t>$5.809,00</w:t>
                  </w:r>
                </w:p>
              </w:tc>
              <w:tc>
                <w:tcPr>
                  <w:tcW w:type="auto" w:w="0"/>
                  <w:shd w:val="clear" w:color="auto" w:fill="F0F0F0"/>
                </w:tcPr>
                <w:p>
                  <w:pPr>
                    <w:pStyle w:val="Normal"/>
                    <w:keepLines w:val="on"/>
                  </w:pPr>
                  <w:r>
                    <w:t>$26.284,00</w:t>
                  </w:r>
                </w:p>
              </w:tc>
            </w:tr>
            <w:tr>
              <w:tc>
                <w:tcPr>
                  <w:tcW w:type="auto" w:w="0"/>
                  <w:shd w:val="clear" w:color="auto" w:fill="F0F0F0"/>
                </w:tcPr>
                <w:p>
                  <w:pPr>
                    <w:pStyle w:val="Para 02"/>
                    <w:keepLines w:val="on"/>
                  </w:pPr>
                  <w:r>
                    <w:t>− Khấu hao</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$2,455.00</w:t>
                  </w:r>
                </w:p>
              </w:tc>
            </w:tr>
            <w:tr>
              <w:tc>
                <w:tcPr>
                  <w:tcW w:type="auto" w:w="0"/>
                  <w:shd w:val="clear" w:color="auto" w:fill="F0F0F0"/>
                </w:tcPr>
                <w:p>
                  <w:pPr>
                    <w:pStyle w:val="Para 02"/>
                    <w:keepLines w:val="on"/>
                  </w:pPr>
                  <w:r>
                    <w:t>− Chi phí R&amp;D</w:t>
                  </w:r>
                </w:p>
              </w:tc>
              <w:tc>
                <w:tcPr>
                  <w:tcW w:type="auto" w:w="0"/>
                  <w:shd w:val="clear" w:color="auto" w:fill="F0F0F0"/>
                </w:tcPr>
                <w:p>
                  <w:pPr>
                    <w:pStyle w:val="Normal"/>
                    <w:keepLines w:val="on"/>
                  </w:pPr>
                  <w:r>
                    <w:t>$2,805.00</w:t>
                  </w:r>
                </w:p>
              </w:tc>
              <w:tc>
                <w:tcPr>
                  <w:tcW w:type="auto" w:w="0"/>
                  <w:shd w:val="clear" w:color="auto" w:fill="F0F0F0"/>
                </w:tcPr>
                <w:p>
                  <w:pPr>
                    <w:pStyle w:val="Normal"/>
                    <w:keepLines w:val="on"/>
                  </w:pPr>
                  <w:r>
                    <w:t>$0.00</w:t>
                  </w:r>
                </w:p>
              </w:tc>
            </w:tr>
            <w:tr>
              <w:tc>
                <w:tcPr>
                  <w:tcW w:type="auto" w:w="0"/>
                  <w:shd w:val="clear" w:color="auto" w:fill="F0F0F0"/>
                </w:tcPr>
                <w:p>
                  <w:pPr>
                    <w:pStyle w:val="Para 02"/>
                    <w:keepLines w:val="on"/>
                  </w:pPr>
                  <w:r>
                    <w:t>+ Thu nhập khác</w:t>
                  </w:r>
                </w:p>
              </w:tc>
              <w:tc>
                <w:tcPr>
                  <w:tcW w:type="auto" w:w="0"/>
                  <w:shd w:val="clear" w:color="auto" w:fill="F0F0F0"/>
                </w:tcPr>
                <w:p>
                  <w:pPr>
                    <w:pStyle w:val="Normal"/>
                    <w:keepLines w:val="on"/>
                  </w:pPr>
                  <w:r>
                    <w:t>$86.00</w:t>
                  </w:r>
                </w:p>
              </w:tc>
              <w:tc>
                <w:tcPr>
                  <w:tcW w:type="auto" w:w="0"/>
                  <w:shd w:val="clear" w:color="auto" w:fill="F0F0F0"/>
                </w:tcPr>
                <w:p>
                  <w:pPr>
                    <w:pStyle w:val="Normal"/>
                    <w:keepLines w:val="on"/>
                  </w:pPr>
                  <w:r>
                    <w:t>$0.00</w:t>
                  </w:r>
                </w:p>
              </w:tc>
            </w:tr>
            <w:tr>
              <w:tc>
                <w:tcPr>
                  <w:tcW w:type="auto" w:w="0"/>
                  <w:shd w:val="clear" w:color="auto" w:fill="F0F0F0"/>
                </w:tcPr>
                <w:p>
                  <w:pPr>
                    <w:pStyle w:val="Para 02"/>
                    <w:keepLines w:val="on"/>
                  </w:pPr>
                  <w:r>
                    <w:t>Thu nhập từ hoạt động kinh doanh</w:t>
                  </w:r>
                </w:p>
              </w:tc>
              <w:tc>
                <w:tcPr>
                  <w:tcW w:type="auto" w:w="0"/>
                  <w:shd w:val="clear" w:color="auto" w:fill="F0F0F0"/>
                </w:tcPr>
                <w:p>
                  <w:pPr>
                    <w:pStyle w:val="Normal"/>
                    <w:keepLines w:val="on"/>
                  </w:pPr>
                  <w:r>
                    <w:t>$3,561.00</w:t>
                  </w:r>
                </w:p>
              </w:tc>
              <w:tc>
                <w:tcPr>
                  <w:tcW w:type="auto" w:w="0"/>
                  <w:shd w:val="clear" w:color="auto" w:fill="F0F0F0"/>
                </w:tcPr>
                <w:p>
                  <w:pPr>
                    <w:pStyle w:val="Normal"/>
                    <w:keepLines w:val="on"/>
                  </w:pPr>
                  <w:r>
                    <w:t>$24,039.00</w:t>
                  </w:r>
                </w:p>
              </w:tc>
            </w:tr>
            <w:tr>
              <w:tc>
                <w:tcPr>
                  <w:tcW w:type="auto" w:w="0"/>
                  <w:shd w:val="clear" w:color="auto" w:fill="F0F0F0"/>
                </w:tcPr>
                <w:p>
                  <w:pPr>
                    <w:pStyle w:val="Para 02"/>
                    <w:keepLines w:val="on"/>
                  </w:pPr>
                  <w:r>
                    <w:t>+ Thu nhập ngoài hoạt động kinh doanh</w:t>
                  </w:r>
                </w:p>
              </w:tc>
              <w:tc>
                <w:tcPr>
                  <w:tcW w:type="auto" w:w="0"/>
                  <w:shd w:val="clear" w:color="auto" w:fill="F0F0F0"/>
                </w:tcPr>
                <w:p>
                  <w:pPr>
                    <w:pStyle w:val="Normal"/>
                    <w:keepLines w:val="on"/>
                  </w:pPr>
                  <w:r>
                    <w:t>$1,780.00</w:t>
                  </w:r>
                </w:p>
              </w:tc>
              <w:tc>
                <w:tcPr>
                  <w:tcW w:type="auto" w:w="0"/>
                  <w:shd w:val="clear" w:color="auto" w:fill="F0F0F0"/>
                </w:tcPr>
                <w:p>
                  <w:pPr>
                    <w:pStyle w:val="Normal"/>
                    <w:keepLines w:val="on"/>
                  </w:pPr>
                  <w:r>
                    <w:t>$0.00</w:t>
                  </w:r>
                </w:p>
              </w:tc>
            </w:tr>
            <w:tr>
              <w:tc>
                <w:tcPr>
                  <w:tcW w:type="auto" w:w="0"/>
                  <w:shd w:val="clear" w:color="auto" w:fill="F0F0F0"/>
                </w:tcPr>
                <w:p>
                  <w:pPr>
                    <w:pStyle w:val="Para 02"/>
                    <w:keepLines w:val="on"/>
                  </w:pPr>
                  <w:r>
                    <w:t>+ Thu nhập khác</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$55.00</w:t>
                  </w:r>
                </w:p>
              </w:tc>
            </w:tr>
            <w:tr>
              <w:tc>
                <w:tcPr>
                  <w:tcW w:type="auto" w:w="0"/>
                  <w:shd w:val="clear" w:color="auto" w:fill="F0F0F0"/>
                </w:tcPr>
                <w:p>
                  <w:pPr>
                    <w:pStyle w:val="Para 02"/>
                    <w:keepLines w:val="on"/>
                  </w:pPr>
                  <w:r>
                    <w:t>− Chi phí lãi vay</w:t>
                  </w:r>
                </w:p>
              </w:tc>
              <w:tc>
                <w:tcPr>
                  <w:tcW w:type="auto" w:w="0"/>
                  <w:shd w:val="clear" w:color="auto" w:fill="F0F0F0"/>
                </w:tcPr>
                <w:p>
                  <w:pPr>
                    <w:pStyle w:val="Normal"/>
                    <w:keepLines w:val="on"/>
                  </w:pPr>
                  <w:r>
                    <w:t>$1,505.00</w:t>
                  </w:r>
                </w:p>
              </w:tc>
              <w:tc>
                <w:tcPr>
                  <w:tcW w:type="auto" w:w="0"/>
                  <w:shd w:val="clear" w:color="auto" w:fill="F0F0F0"/>
                </w:tcPr>
                <w:p>
                  <w:pPr>
                    <w:pStyle w:val="Normal"/>
                    <w:keepLines w:val="on"/>
                  </w:pPr>
                  <w:r>
                    <w:t>$1,617.00</w:t>
                  </w:r>
                </w:p>
              </w:tc>
            </w:tr>
            <w:tr>
              <w:tc>
                <w:tcPr>
                  <w:tcW w:type="auto" w:w="0"/>
                  <w:shd w:val="clear" w:color="auto" w:fill="F0F0F0"/>
                </w:tcPr>
                <w:p>
                  <w:pPr>
                    <w:pStyle w:val="Para 02"/>
                    <w:keepLines w:val="on"/>
                  </w:pPr>
                  <w:r>
                    <w:t>Lợi nhuận trước thuế</w:t>
                  </w:r>
                </w:p>
              </w:tc>
              <w:tc>
                <w:tcPr>
                  <w:tcW w:type="auto" w:w="0"/>
                  <w:shd w:val="clear" w:color="auto" w:fill="F0F0F0"/>
                </w:tcPr>
                <w:p>
                  <w:pPr>
                    <w:pStyle w:val="Normal"/>
                    <w:keepLines w:val="on"/>
                  </w:pPr>
                  <w:r>
                    <w:t>$3,836.00</w:t>
                  </w:r>
                </w:p>
              </w:tc>
              <w:tc>
                <w:tcPr>
                  <w:tcW w:type="auto" w:w="0"/>
                  <w:shd w:val="clear" w:color="auto" w:fill="F0F0F0"/>
                </w:tcPr>
                <w:p>
                  <w:pPr>
                    <w:pStyle w:val="Normal"/>
                    <w:keepLines w:val="on"/>
                  </w:pPr>
                  <w:r>
                    <w:t>$22,477.00</w:t>
                  </w:r>
                </w:p>
              </w:tc>
            </w:tr>
            <w:tr>
              <w:tc>
                <w:tcPr>
                  <w:tcW w:type="auto" w:w="0"/>
                  <w:shd w:val="clear" w:color="auto" w:fill="F0F0F0"/>
                </w:tcPr>
                <w:p>
                  <w:pPr>
                    <w:pStyle w:val="Para 02"/>
                    <w:keepLines w:val="on"/>
                  </w:pPr>
                  <w:r>
                    <w:t>− Thuế thu nhập</w:t>
                  </w:r>
                </w:p>
              </w:tc>
              <w:tc>
                <w:tcPr>
                  <w:tcW w:type="auto" w:w="0"/>
                  <w:shd w:val="clear" w:color="auto" w:fill="F0F0F0"/>
                </w:tcPr>
                <w:p>
                  <w:pPr>
                    <w:pStyle w:val="Normal"/>
                    <w:keepLines w:val="on"/>
                  </w:pPr>
                  <w:r>
                    <w:t>$456.00</w:t>
                  </w:r>
                </w:p>
              </w:tc>
              <w:tc>
                <w:tcPr>
                  <w:tcW w:type="auto" w:w="0"/>
                  <w:shd w:val="clear" w:color="auto" w:fill="F0F0F0"/>
                </w:tcPr>
                <w:p>
                  <w:pPr>
                    <w:pStyle w:val="Normal"/>
                    <w:keepLines w:val="on"/>
                  </w:pPr>
                  <w:r>
                    <w:t>$5,372.00</w:t>
                  </w:r>
                </w:p>
              </w:tc>
            </w:tr>
            <w:tr>
              <w:tc>
                <w:tcPr>
                  <w:tcW w:type="auto" w:w="0"/>
                  <w:shd w:val="clear" w:color="auto" w:fill="F0F0F0"/>
                </w:tcPr>
                <w:p>
                  <w:pPr>
                    <w:pStyle w:val="Para 02"/>
                    <w:keepLines w:val="on"/>
                  </w:pPr>
                  <w:r>
                    <w:t>Lợi nhuận ròng (Lỗ)</w:t>
                  </w:r>
                </w:p>
              </w:tc>
              <w:tc>
                <w:tcPr>
                  <w:tcW w:type="auto" w:w="0"/>
                  <w:shd w:val="clear" w:color="auto" w:fill="F0F0F0"/>
                </w:tcPr>
                <w:p>
                  <w:pPr>
                    <w:pStyle w:val="Normal"/>
                    <w:keepLines w:val="on"/>
                  </w:pPr>
                  <w:r>
                    <w:t>$3,380.00</w:t>
                  </w:r>
                </w:p>
              </w:tc>
              <w:tc>
                <w:tcPr>
                  <w:tcW w:type="auto" w:w="0"/>
                  <w:shd w:val="clear" w:color="auto" w:fill="F0F0F0"/>
                </w:tcPr>
                <w:p>
                  <w:pPr>
                    <w:pStyle w:val="Normal"/>
                    <w:keepLines w:val="on"/>
                  </w:pPr>
                  <w:r>
                    <w:t>$17,105.00</w:t>
                  </w:r>
                </w:p>
              </w:tc>
            </w:tr>
            <w:tr>
              <w:tc>
                <w:tcPr>
                  <w:tcW w:type="auto" w:w="0"/>
                  <w:shd w:val="clear" w:color="auto" w:fill="F0F0F0"/>
                </w:tcPr>
                <w:p>
                  <w:pPr>
                    <w:pStyle w:val="Para 02"/>
                    <w:keepLines w:val="on"/>
                  </w:pPr>
                  <w:r>
                    <w:t>− Lợi nhuận thuộc về cổ đông thiểu số</w:t>
                  </w:r>
                </w:p>
              </w:tc>
              <w:tc>
                <w:tcPr>
                  <w:tcW w:type="auto" w:w="0"/>
                  <w:shd w:val="clear" w:color="auto" w:fill="F0F0F0"/>
                </w:tcPr>
                <w:p>
                  <w:pPr>
                    <w:pStyle w:val="Normal"/>
                    <w:keepLines w:val="on"/>
                  </w:pPr>
                  <w:r>
                    <w:t>$185.00</w:t>
                  </w:r>
                </w:p>
              </w:tc>
              <w:tc>
                <w:tcPr>
                  <w:tcW w:type="auto" w:w="0"/>
                  <w:shd w:val="clear" w:color="auto" w:fill="F0F0F0"/>
                </w:tcPr>
                <w:p>
                  <w:pPr>
                    <w:pStyle w:val="Normal"/>
                    <w:keepLines w:val="on"/>
                  </w:pPr>
                  <w:r>
                    <w:t/>
                  </w:r>
                </w:p>
              </w:tc>
            </w:tr>
            <w:tr>
              <w:tc>
                <w:tcPr>
                  <w:tcW w:type="auto" w:w="0"/>
                  <w:shd w:val="clear" w:color="auto" w:fill="F0F0F0"/>
                </w:tcPr>
                <w:p>
                  <w:pPr>
                    <w:pStyle w:val="Para 02"/>
                    <w:keepLines w:val="on"/>
                  </w:pPr>
                  <w:r>
                    <w:t>Thu nhập/ Lỗ ròng</w:t>
                  </w:r>
                </w:p>
              </w:tc>
              <w:tc>
                <w:tcPr>
                  <w:tcW w:type="auto" w:w="0"/>
                  <w:shd w:val="clear" w:color="auto" w:fill="F0F0F0"/>
                </w:tcPr>
                <w:p>
                  <w:pPr>
                    <w:pStyle w:val="Normal"/>
                    <w:keepLines w:val="on"/>
                  </w:pPr>
                  <w:r>
                    <w:t>$3,195.00</w:t>
                  </w:r>
                </w:p>
              </w:tc>
              <w:tc>
                <w:tcPr>
                  <w:tcW w:type="auto" w:w="0"/>
                  <w:shd w:val="clear" w:color="auto" w:fill="F0F0F0"/>
                </w:tcPr>
                <w:p>
                  <w:pPr>
                    <w:pStyle w:val="Normal"/>
                    <w:keepLines w:val="on"/>
                  </w:pPr>
                  <w:r>
                    <w:t/>
                  </w:r>
                </w:p>
              </w:tc>
            </w:tr>
          </w:tbl>
          <w:p/>
        </w:tc>
      </w:tr>
    </w:tbl>
    <w:p>
      <w:pPr>
        <w:pStyle w:val="Para 04"/>
        <w:keepLines w:val="on"/>
      </w:pPr>
      <w:r>
        <w:t>Lưu ý rằng RTX bao gồm 4.211 triệu đô la khấu hao trong giá vốn hàng bán, trong khi Home Depot báo cáo khấu hao riêng. Thu nhập hoạt động của RTX bị giảm bởi chi phí nghiên cứu và phát triển, khoản này được các kế toán viên coi là chi phí hoạt động, và chúng ta sẽ bàn vấn đề này trong chương 9. Cuối cùng, RTX thực sự có phần vốn góp chi phối trong một liên doanh khác, và họ trừ đi phần lỗ thuộc về phần vốn không thuộc sở hữu của họ (lợi ích cổ đông thiểu số) để ra được thu nhập ròng.</w:t>
      </w:r>
    </w:p>
    <w:p>
      <w:bookmarkStart w:id="341" w:name="Measures_of_Profitability"/>
      <w:bookmarkStart w:id="342" w:name="Measures_of_Profitability__While"/>
      <w:pPr>
        <w:keepNext/>
        <w:pStyle w:val="Heading 4"/>
        <w:keepLines w:val="on"/>
      </w:pPr>
      <w:r>
        <w:t>Các thước đo khả năng sinh lời</w:t>
      </w:r>
      <w:bookmarkEnd w:id="341"/>
      <w:bookmarkEnd w:id="342"/>
    </w:p>
    <w:p>
      <w:pPr>
        <w:pStyle w:val="Para 03"/>
      </w:pPr>
      <w:r>
        <w:t>Trong khi báo cáo thu nhập cho phép chúng ta ước tính mức độ sinh lời của một công ty theo giá trị tuyệt đối, thì việc đánh giá khả năng sinh lời của công ty theo tỷ lệ phần trăm cũng quan trọng không kém. Hai tỷ số cơ bản đo lường khả năng sinh lời. Một tỷ số xem xét khả năng sinh lời so với vốn được sử dụng để tạo ra tỷ suất lợi nhuận trên vốn đầu tư. Điều này có thể được thực hiện từ góc nhìn của riêng các nhà đầu tư cổ phần, hoặc nhìn vào toàn bộ công ty. Một tỷ số khác xem xét khả năng sinh lời so với doanh thu, bằng cách ước tính biên lợi nhuận.</w:t>
      </w:r>
    </w:p>
    <w:p>
      <w:bookmarkStart w:id="344" w:name="Return_on_Assets_and_Return_on_C"/>
      <w:pPr>
        <w:pStyle w:val="Para 21"/>
      </w:pPr>
      <w:r>
        <w:t>Lợi nhuận trên tài sản và Lợi nhuận trên vốn</w:t>
      </w:r>
      <w:bookmarkEnd w:id="344"/>
    </w:p>
    <w:p>
      <w:pPr>
        <w:pStyle w:val="Para 03"/>
      </w:pPr>
      <w:r>
        <w:t>Lợi nhuận trên tài sản (Return on Assets – ROA) của một công ty đo lường hiệu quả hoạt động của công ty trong việc tạo ra lợi nhuận từ tài sản của mình, trước khi tính đến các tác động của việc tài trợ vốn.</w:t>
      </w:r>
    </w:p>
    <w:p>
      <w:bookmarkStart w:id="346" w:name="Return_on_assets__after_tax__Ear"/>
      <w:pPr>
        <w:keepNext/>
        <w:pStyle w:val="Para 09"/>
        <w:keepLines w:val="on"/>
      </w:pPr>
      <w:r>
        <w:t>Lợi nhuận trên tài sản (sau thuế)=Thu nhập trước lãi vay &amp; thuế (1−thuế suất)Tổng tài sản</w:t>
      </w:r>
      <w:bookmarkEnd w:id="346"/>
    </w:p>
    <w:p>
      <w:pPr>
        <w:pStyle w:val="Para 03"/>
      </w:pPr>
      <w:r>
        <w:t>Thu nhập trước lãi vay và thuế (Earnings Before Interest and Taxes – EBIT) là thước đo kế toán của thu nhập hoạt động từ báo cáo thu nhập, và tổng tài sản đề cập đến tài sản được đo lường theo các quy tắc kế toán—nghĩa là sử dụng giá trị sổ sách (Book Value – BV) cho hầu hết các tài sản. Ngoài ra, lợi nhuận trên tài sản có thể được viết như sau:</w:t>
      </w:r>
    </w:p>
    <w:p>
      <w:bookmarkStart w:id="347" w:name="Return_on_assets__after_tax__Net"/>
      <w:pPr>
        <w:keepNext/>
        <w:pStyle w:val="Para 09"/>
        <w:keepLines w:val="on"/>
      </w:pPr>
      <w:r>
        <w:t>Lợi nhuận trên tài sản (sau thuế)=Thu nhập ròng+Chi phí lãi vay (1−thuế suất)Tổng tài sản</w:t>
      </w:r>
      <w:bookmarkEnd w:id="347"/>
    </w:p>
    <w:p>
      <w:pPr>
        <w:pStyle w:val="Para 03"/>
      </w:pPr>
      <w:r>
        <w:t>Bằng cách tách biệt các tác động tài trợ vốn khỏi các tác động hoạt động, lợi nhuận trên tài sản cung cấp một thước đo rõ ràng hơn về lợi nhuận thực sự trên những tài sản này. Khi chia cho tổng tài sản, lợi nhuận trên tài sản thực sự đánh giá thấp khả năng sinh lời của những công ty có lượng tài sản ngắn hạn đáng kể.</w:t>
      </w:r>
    </w:p>
    <w:p>
      <w:pPr>
        <w:pStyle w:val="Para 03"/>
      </w:pPr>
      <w:r>
        <w:t>ROA cũng có thể được tính trên cơ sở trước thuế mà không mất tính tổng quát, bằng cách sử dụng thu nhập trước lãi vay và thuế và không điều chỉnh theo thuế:</w:t>
      </w:r>
    </w:p>
    <w:p>
      <w:bookmarkStart w:id="348" w:name="Pre_tax_Return_on_assets_Earning"/>
      <w:pPr>
        <w:keepNext/>
        <w:pStyle w:val="Para 09"/>
        <w:keepLines w:val="on"/>
      </w:pPr>
      <w:r>
        <w:t>Lợi nhuận trên tài sản trước thuế=Thu nhập trước lãi vay &amp; thuếTổng tài sản</w:t>
      </w:r>
      <w:bookmarkEnd w:id="348"/>
    </w:p>
    <w:p>
      <w:pPr>
        <w:pStyle w:val="Para 03"/>
      </w:pPr>
      <w:r>
        <w:t>Thước đo này hữu ích nếu công ty hoặc bộ phận đang được đánh giá để một bên mua lại có thuế suất khác mua.</w:t>
      </w:r>
    </w:p>
    <w:p>
      <w:pPr>
        <w:pStyle w:val="Para 03"/>
      </w:pPr>
      <w:r>
        <w:t>Vấn đề với tổng tài sản là nó bao gồm tiền mặt và tài sản phi hoạt động, tạo ra nhiễu trong ước tính như một thước đo khả năng sinh lời hoạt động. Một thước đo lợi nhuận hữu ích hơn liên hệ thu nhập hoạt động với vốn đầu tư vào công ty, trong đó vốn được định nghĩa là tổng giá trị sổ sách của nợ và vốn cổ phần, trừ đi tiền mặt. Đây là lợi nhuận trên vốn đầu tư (Return on Invested Capital – ROC hoặc ROIC) và không chỉ cung cấp một thước đo lợi nhuận chân thực hơn, mà còn là thước đo có thể so sánh với chi phí vốn để đánh giá chất lượng các khoản đầu tư của công ty.</w:t>
      </w:r>
    </w:p>
    <w:p>
      <w:bookmarkStart w:id="349" w:name="Pre_tax_ROIC_Earnings_before_int"/>
      <w:pPr>
        <w:keepNext/>
        <w:pStyle w:val="Para 09"/>
        <w:keepLines w:val="on"/>
      </w:pPr>
      <w:r>
        <w:t>ROIC trước thuế=Thu nhập trước lãi vay và thuế(Giá trị sổ sách của Vốn cổ phần+Giá trị sổ sách của Nợ−Tiền mặt)</w:t>
      </w:r>
      <w:bookmarkEnd w:id="349"/>
    </w:p>
    <w:p>
      <w:bookmarkStart w:id="350" w:name="After_tax_ROIC_Earnings_before_i"/>
      <w:pPr>
        <w:keepNext/>
        <w:pStyle w:val="Para 09"/>
        <w:keepLines w:val="on"/>
      </w:pPr>
      <w:r>
        <w:t>ROIC sau thuế=Thu nhập trước lãi vay và thuế (1−thuế suất)(Giá trị sổ sách của Vốn cổ phần+Giá trị sổ sách của Nợ−Tiền mặt)</w:t>
      </w:r>
      <w:bookmarkEnd w:id="350"/>
    </w:p>
    <w:p>
      <w:pPr>
        <w:pStyle w:val="Para 03"/>
      </w:pPr>
      <w:r>
        <w:t>Mẫu số thường được gọi là vốn đầu tư và đo lường giá trị sổ sách của tài sản hoạt động. Đối với cả hai thước đo, giá trị sổ sách có thể được đo tại thời điểm đầu kỳ, hoặc lấy bình quân của giá trị đầu kỳ và cuối kỳ.</w:t>
      </w:r>
    </w:p>
    <w:p>
      <w:pPr>
        <w:pStyle w:val="Para 11"/>
      </w:pPr>
      <w:r>
        <w:t xml:space="preserve"> </w:t>
      </w:r>
      <w:r>
        <w:rPr>
          <w:rStyle w:val="Text26"/>
        </w:rPr>
        <w:bookmarkStart w:id="351" w:name="Page_48"/>
        <w:t/>
        <w:bookmarkEnd w:id="351"/>
      </w:r>
      <w:r>
        <w:t xml:space="preserve"> </w:t>
      </w:r>
    </w:p>
    <w:p>
      <w:bookmarkStart w:id="352" w:name="ILLUSTRATION_3_4__Estimating_Ret"/>
      <w:bookmarkStart w:id="353" w:name="ILLUSTRATION_3_4__Estimating_Ret_1"/>
      <w:pPr>
        <w:keepNext/>
        <w:pStyle w:val="Para 19"/>
        <w:keepLines w:val="on"/>
      </w:pPr>
      <w:r>
        <w:t>MINH HỌA 3.4: Ước tính Lợi nhuận trên Vốn—RTX và Home Depot trong Năm tài chính 2023</w:t>
      </w:r>
      <w:bookmarkEnd w:id="352"/>
      <w:bookmarkEnd w:id="353"/>
    </w:p>
    <w:p>
      <w:pPr>
        <w:pStyle w:val="Para 04"/>
        <w:keepLines w:val="on"/>
      </w:pPr>
      <w:r>
        <w:t>Bảng 3.4 tóm tắt các ước tính lợi nhuận trên tài sản sau thuế và lợi nhuận trên vốn (ROC) cho Raytheon và Home Depot, sử dụng cả thước đo vốn bình quân và vốn đầu kỳ trong các năm tài chính gần nhất (2023):</w:t>
      </w:r>
    </w:p>
    <w:p>
      <w:pPr>
        <w:pStyle w:val="Para 25"/>
        <w:keepLines w:val="on"/>
      </w:pPr>
      <w:r>
        <w:t>BẢNG 3.4</w:t>
      </w:r>
    </w:p>
    <w:p>
      <w:pPr>
        <w:keepNext/>
        <w:pStyle w:val="Para 24"/>
        <w:keepLines w:val="on"/>
      </w:pPr>
      <w:r>
        <w:t>Tỷ suất sinh lời trên vốn (Return on Capital) của Raytheon và Home Depot</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05"/>
                    <w:keepLines w:val="on"/>
                  </w:pPr>
                  <w:r>
                    <w:t>RTX</w:t>
                  </w:r>
                </w:p>
              </w:tc>
              <w:tc>
                <w:tcPr>
                  <w:tcW w:type="auto" w:w="0"/>
                  <w:shd w:val="clear" w:color="auto" w:fill="F0F0F0"/>
                </w:tcPr>
                <w:p>
                  <w:pPr>
                    <w:pStyle w:val="Para 05"/>
                    <w:keepLines w:val="on"/>
                  </w:pPr>
                  <w:r>
                    <w:t>Home Depot</w:t>
                  </w:r>
                </w:p>
              </w:tc>
            </w:tr>
            <w:tr>
              <w:tc>
                <w:tcPr>
                  <w:tcW w:type="auto" w:w="0"/>
                  <w:shd w:val="clear" w:color="auto" w:fill="F0F0F0"/>
                </w:tcPr>
                <w:p>
                  <w:pPr>
                    <w:pStyle w:val="Para 02"/>
                    <w:keepLines w:val="on"/>
                  </w:pPr>
                  <w:r>
                    <w:t>Thu nhập hoạt động sau thuế</w:t>
                  </w:r>
                </w:p>
              </w:tc>
              <w:tc>
                <w:tcPr>
                  <w:tcW w:type="auto" w:w="0"/>
                  <w:shd w:val="clear" w:color="auto" w:fill="F0F0F0"/>
                </w:tcPr>
                <w:p>
                  <w:pPr>
                    <w:pStyle w:val="Normal"/>
                    <w:keepLines w:val="on"/>
                  </w:pPr>
                  <w:r>
                    <w:t>$3,561</w:t>
                  </w:r>
                </w:p>
              </w:tc>
              <w:tc>
                <w:tcPr>
                  <w:tcW w:type="auto" w:w="0"/>
                  <w:shd w:val="clear" w:color="auto" w:fill="F0F0F0"/>
                </w:tcPr>
                <w:p>
                  <w:pPr>
                    <w:pStyle w:val="Normal"/>
                    <w:keepLines w:val="on"/>
                  </w:pPr>
                  <w:r>
                    <w:t>$24,039.22</w:t>
                  </w:r>
                </w:p>
              </w:tc>
            </w:tr>
            <w:tr>
              <w:tc>
                <w:tcPr>
                  <w:tcW w:type="auto" w:w="0"/>
                  <w:shd w:val="clear" w:color="auto" w:fill="F0F0F0"/>
                </w:tcPr>
                <w:p>
                  <w:pPr>
                    <w:pStyle w:val="Para 02"/>
                    <w:keepLines w:val="on"/>
                  </w:pPr>
                  <w:r>
                    <w:t>Giá trị sổ sách của vốn — đầu kỳ</w:t>
                  </w:r>
                </w:p>
              </w:tc>
              <w:tc>
                <w:tcPr>
                  <w:tcW w:type="auto" w:w="0"/>
                  <w:shd w:val="clear" w:color="auto" w:fill="F0F0F0"/>
                </w:tcPr>
                <w:p>
                  <w:pPr>
                    <w:pStyle w:val="Normal"/>
                    <w:keepLines w:val="on"/>
                  </w:pPr>
                  <w:r>
                    <w:t>$47,618</w:t>
                  </w:r>
                </w:p>
              </w:tc>
              <w:tc>
                <w:tcPr>
                  <w:tcW w:type="auto" w:w="0"/>
                  <w:shd w:val="clear" w:color="auto" w:fill="F0F0F0"/>
                </w:tcPr>
                <w:p>
                  <w:pPr>
                    <w:pStyle w:val="Normal"/>
                    <w:keepLines w:val="on"/>
                  </w:pPr>
                  <w:r>
                    <w:t>$34,783</w:t>
                  </w:r>
                </w:p>
              </w:tc>
            </w:tr>
            <w:tr>
              <w:tc>
                <w:tcPr>
                  <w:tcW w:type="auto" w:w="0"/>
                  <w:shd w:val="clear" w:color="auto" w:fill="F0F0F0"/>
                </w:tcPr>
                <w:p>
                  <w:pPr>
                    <w:pStyle w:val="Para 02"/>
                    <w:keepLines w:val="on"/>
                  </w:pPr>
                  <w:r>
                    <w:t>Giá trị sổ sách của vốn — cuối kỳ</w:t>
                  </w:r>
                </w:p>
              </w:tc>
              <w:tc>
                <w:tcPr>
                  <w:tcW w:type="auto" w:w="0"/>
                  <w:shd w:val="clear" w:color="auto" w:fill="F0F0F0"/>
                </w:tcPr>
                <w:p>
                  <w:pPr>
                    <w:pStyle w:val="Normal"/>
                    <w:keepLines w:val="on"/>
                  </w:pPr>
                  <w:r>
                    <w:t>$46,398</w:t>
                  </w:r>
                </w:p>
              </w:tc>
              <w:tc>
                <w:tcPr>
                  <w:tcW w:type="auto" w:w="0"/>
                  <w:shd w:val="clear" w:color="auto" w:fill="F0F0F0"/>
                </w:tcPr>
                <w:p>
                  <w:pPr>
                    <w:pStyle w:val="Normal"/>
                    <w:keepLines w:val="on"/>
                  </w:pPr>
                  <w:r>
                    <w:t>$41,725</w:t>
                  </w:r>
                </w:p>
              </w:tc>
            </w:tr>
            <w:tr>
              <w:tc>
                <w:tcPr>
                  <w:tcW w:type="auto" w:w="0"/>
                  <w:shd w:val="clear" w:color="auto" w:fill="F0F0F0"/>
                </w:tcPr>
                <w:p>
                  <w:pPr>
                    <w:pStyle w:val="Para 02"/>
                    <w:keepLines w:val="on"/>
                  </w:pPr>
                  <w:r>
                    <w:t>Giá trị sổ sách của vốn — bình quân</w:t>
                  </w:r>
                </w:p>
              </w:tc>
              <w:tc>
                <w:tcPr>
                  <w:tcW w:type="auto" w:w="0"/>
                  <w:shd w:val="clear" w:color="auto" w:fill="F0F0F0"/>
                </w:tcPr>
                <w:p>
                  <w:pPr>
                    <w:pStyle w:val="Normal"/>
                    <w:keepLines w:val="on"/>
                  </w:pPr>
                  <w:r>
                    <w:t>$47,008</w:t>
                  </w:r>
                </w:p>
              </w:tc>
              <w:tc>
                <w:tcPr>
                  <w:tcW w:type="auto" w:w="0"/>
                  <w:shd w:val="clear" w:color="auto" w:fill="F0F0F0"/>
                </w:tcPr>
                <w:p>
                  <w:pPr>
                    <w:pStyle w:val="Normal"/>
                    <w:keepLines w:val="on"/>
                  </w:pPr>
                  <w:r>
                    <w:t>$38,254</w:t>
                  </w:r>
                </w:p>
              </w:tc>
            </w:tr>
            <w:tr>
              <w:tc>
                <w:tcPr>
                  <w:tcW w:type="auto" w:w="0"/>
                  <w:shd w:val="clear" w:color="auto" w:fill="F0F0F0"/>
                </w:tcPr>
                <w:p>
                  <w:pPr>
                    <w:pStyle w:val="Para 02"/>
                    <w:keepLines w:val="on"/>
                  </w:pPr>
                  <w:r>
                    <w:t>Tỷ suất sinh lời trên vốn (dựa trên bình quân)</w:t>
                  </w:r>
                </w:p>
              </w:tc>
              <w:tc>
                <w:tcPr>
                  <w:tcW w:type="auto" w:w="0"/>
                  <w:shd w:val="clear" w:color="auto" w:fill="F0F0F0"/>
                </w:tcPr>
                <w:p>
                  <w:pPr>
                    <w:pStyle w:val="Normal"/>
                    <w:keepLines w:val="on"/>
                  </w:pPr>
                  <w:r>
                    <w:t>7.58%</w:t>
                  </w:r>
                </w:p>
              </w:tc>
              <w:tc>
                <w:tcPr>
                  <w:tcW w:type="auto" w:w="0"/>
                  <w:shd w:val="clear" w:color="auto" w:fill="F0F0F0"/>
                </w:tcPr>
                <w:p>
                  <w:pPr>
                    <w:pStyle w:val="Normal"/>
                    <w:keepLines w:val="on"/>
                  </w:pPr>
                  <w:r>
                    <w:t>62.84%</w:t>
                  </w:r>
                </w:p>
              </w:tc>
            </w:tr>
            <w:tr>
              <w:tc>
                <w:tcPr>
                  <w:tcW w:type="auto" w:w="0"/>
                  <w:shd w:val="clear" w:color="auto" w:fill="F0F0F0"/>
                </w:tcPr>
                <w:p>
                  <w:pPr>
                    <w:pStyle w:val="Para 02"/>
                    <w:keepLines w:val="on"/>
                  </w:pPr>
                  <w:r>
                    <w:t>Tỷ suất sinh lời trên vốn (dựa trên đầu kỳ)</w:t>
                  </w:r>
                </w:p>
              </w:tc>
              <w:tc>
                <w:tcPr>
                  <w:tcW w:type="auto" w:w="0"/>
                  <w:shd w:val="clear" w:color="auto" w:fill="F0F0F0"/>
                </w:tcPr>
                <w:p>
                  <w:pPr>
                    <w:pStyle w:val="Normal"/>
                    <w:keepLines w:val="on"/>
                  </w:pPr>
                  <w:r>
                    <w:t>7.48%</w:t>
                  </w:r>
                </w:p>
              </w:tc>
              <w:tc>
                <w:tcPr>
                  <w:tcW w:type="auto" w:w="0"/>
                  <w:shd w:val="clear" w:color="auto" w:fill="F0F0F0"/>
                </w:tcPr>
                <w:p>
                  <w:pPr>
                    <w:pStyle w:val="Normal"/>
                    <w:keepLines w:val="on"/>
                  </w:pPr>
                  <w:r>
                    <w:t>69.11%</w:t>
                  </w:r>
                </w:p>
              </w:tc>
            </w:tr>
            <w:tr>
              <w:tc>
                <w:tcPr>
                  <w:tcW w:type="auto" w:w="0"/>
                  <w:shd w:val="clear" w:color="auto" w:fill="F0F0F0"/>
                  <w:hMerge w:val="restart"/>
                </w:tcPr>
                <w:p>
                  <w:pPr>
                    <w:pStyle w:val="Para 41"/>
                    <w:keepLines w:val="on"/>
                  </w:pPr>
                  <w:r>
                    <w:t>Vốn đầu tư (Invested Capital) vào cuối năm tài chính 2023</w:t>
                  </w:r>
                </w:p>
              </w:tc>
              <w:tc>
                <w:tcPr>
                  <w:hMerge w:val="continue"/>
                </w:tcPr>
                <w:p/>
              </w:tc>
              <w:tc>
                <w:tcPr>
                  <w:hMerge w:val="continue"/>
                </w:tcPr>
                <w:p/>
              </w:tc>
            </w:tr>
            <w:tr>
              <w:tc>
                <w:tcPr>
                  <w:tcW w:type="auto" w:w="0"/>
                  <w:shd w:val="clear" w:color="auto" w:fill="F0F0F0"/>
                </w:tcPr>
                <w:p>
                  <w:pPr>
                    <w:pStyle w:val="Para 02"/>
                    <w:keepLines w:val="on"/>
                  </w:pPr>
                  <w:r>
                    <w:t>Vốn chủ sở hữu</w:t>
                  </w:r>
                </w:p>
              </w:tc>
              <w:tc>
                <w:tcPr>
                  <w:tcW w:type="auto" w:w="0"/>
                  <w:shd w:val="clear" w:color="auto" w:fill="F0F0F0"/>
                </w:tcPr>
                <w:p>
                  <w:pPr>
                    <w:pStyle w:val="Normal"/>
                    <w:keepLines w:val="on"/>
                  </w:pPr>
                  <w:r>
                    <w:t>$61,445.00</w:t>
                  </w:r>
                </w:p>
              </w:tc>
              <w:tc>
                <w:tcPr>
                  <w:tcW w:type="auto" w:w="0"/>
                  <w:shd w:val="clear" w:color="auto" w:fill="F0F0F0"/>
                </w:tcPr>
                <w:p>
                  <w:pPr>
                    <w:pStyle w:val="Normal"/>
                    <w:keepLines w:val="on"/>
                  </w:pPr>
                  <w:r>
                    <w:t>$1,562.00</w:t>
                  </w:r>
                </w:p>
              </w:tc>
            </w:tr>
            <w:tr>
              <w:tc>
                <w:tcPr>
                  <w:tcW w:type="auto" w:w="0"/>
                  <w:shd w:val="clear" w:color="auto" w:fill="F0F0F0"/>
                </w:tcPr>
                <w:p>
                  <w:pPr>
                    <w:pStyle w:val="Para 02"/>
                    <w:keepLines w:val="on"/>
                  </w:pPr>
                  <w:r>
                    <w:t>+ Tổng nợ</w:t>
                  </w:r>
                </w:p>
              </w:tc>
              <w:tc>
                <w:tcPr>
                  <w:tcW w:type="auto" w:w="0"/>
                  <w:shd w:val="clear" w:color="auto" w:fill="F0F0F0"/>
                </w:tcPr>
                <w:p>
                  <w:pPr>
                    <w:pStyle w:val="Normal"/>
                    <w:keepLines w:val="on"/>
                  </w:pPr>
                  <w:r>
                    <w:t>$43,827.00</w:t>
                  </w:r>
                </w:p>
              </w:tc>
              <w:tc>
                <w:tcPr>
                  <w:tcW w:type="auto" w:w="0"/>
                  <w:shd w:val="clear" w:color="auto" w:fill="F0F0F0"/>
                </w:tcPr>
                <w:p>
                  <w:pPr>
                    <w:pStyle w:val="Normal"/>
                    <w:keepLines w:val="on"/>
                  </w:pPr>
                  <w:r>
                    <w:t>$43,193.00</w:t>
                  </w:r>
                </w:p>
              </w:tc>
            </w:tr>
            <w:tr>
              <w:tc>
                <w:tcPr>
                  <w:tcW w:type="auto" w:w="0"/>
                  <w:shd w:val="clear" w:color="auto" w:fill="F0F0F0"/>
                </w:tcPr>
                <w:p>
                  <w:pPr>
                    <w:pStyle w:val="Para 02"/>
                    <w:keepLines w:val="on"/>
                  </w:pPr>
                  <w:r>
                    <w:t>+ Giá trị hiện tại của các nghĩa vụ thuê</w:t>
                  </w:r>
                </w:p>
              </w:tc>
              <w:tc>
                <w:tcPr>
                  <w:tcW w:type="auto" w:w="0"/>
                  <w:shd w:val="clear" w:color="auto" w:fill="F0F0F0"/>
                </w:tcPr>
                <w:p>
                  <w:pPr>
                    <w:pStyle w:val="Normal"/>
                    <w:keepLines w:val="on"/>
                  </w:pPr>
                  <w:r>
                    <w:t>$1,412.00</w:t>
                  </w:r>
                </w:p>
              </w:tc>
              <w:tc>
                <w:tcPr>
                  <w:tcW w:type="auto" w:w="0"/>
                  <w:shd w:val="clear" w:color="auto" w:fill="F0F0F0"/>
                </w:tcPr>
                <w:p>
                  <w:pPr>
                    <w:pStyle w:val="Normal"/>
                    <w:keepLines w:val="on"/>
                  </w:pPr>
                  <w:r>
                    <w:t>$7,171.00</w:t>
                  </w:r>
                </w:p>
              </w:tc>
            </w:tr>
            <w:tr>
              <w:tc>
                <w:tcPr>
                  <w:tcW w:type="auto" w:w="0"/>
                  <w:shd w:val="clear" w:color="auto" w:fill="F0F0F0"/>
                </w:tcPr>
                <w:p>
                  <w:pPr>
                    <w:pStyle w:val="Para 02"/>
                    <w:keepLines w:val="on"/>
                  </w:pPr>
                  <w:r>
                    <w:t>− Tiền mặt</w:t>
                  </w:r>
                </w:p>
              </w:tc>
              <w:tc>
                <w:tcPr>
                  <w:tcW w:type="auto" w:w="0"/>
                  <w:shd w:val="clear" w:color="auto" w:fill="F0F0F0"/>
                </w:tcPr>
                <w:p>
                  <w:pPr>
                    <w:pStyle w:val="Normal"/>
                    <w:keepLines w:val="on"/>
                  </w:pPr>
                  <w:r>
                    <w:t>$6,587.00</w:t>
                  </w:r>
                </w:p>
              </w:tc>
              <w:tc>
                <w:tcPr>
                  <w:tcW w:type="auto" w:w="0"/>
                  <w:shd w:val="clear" w:color="auto" w:fill="F0F0F0"/>
                </w:tcPr>
                <w:p>
                  <w:pPr>
                    <w:pStyle w:val="Normal"/>
                    <w:keepLines w:val="on"/>
                  </w:pPr>
                  <w:r>
                    <w:t>$2,757.00</w:t>
                  </w:r>
                </w:p>
              </w:tc>
            </w:tr>
            <w:tr>
              <w:tc>
                <w:tcPr>
                  <w:tcW w:type="auto" w:w="0"/>
                  <w:shd w:val="clear" w:color="auto" w:fill="F0F0F0"/>
                </w:tcPr>
                <w:p>
                  <w:pPr>
                    <w:pStyle w:val="Para 02"/>
                    <w:keepLines w:val="on"/>
                  </w:pPr>
                  <w:r>
                    <w:t>− Lợi thế thương mại</w:t>
                  </w:r>
                </w:p>
              </w:tc>
              <w:tc>
                <w:tcPr>
                  <w:tcW w:type="auto" w:w="0"/>
                  <w:shd w:val="clear" w:color="auto" w:fill="F0F0F0"/>
                </w:tcPr>
                <w:p>
                  <w:pPr>
                    <w:pStyle w:val="Normal"/>
                    <w:keepLines w:val="on"/>
                  </w:pPr>
                  <w:r>
                    <w:t>$53,699.00</w:t>
                  </w:r>
                </w:p>
              </w:tc>
              <w:tc>
                <w:tcPr>
                  <w:tcW w:type="auto" w:w="0"/>
                  <w:shd w:val="clear" w:color="auto" w:fill="F0F0F0"/>
                </w:tcPr>
                <w:p>
                  <w:pPr>
                    <w:pStyle w:val="Normal"/>
                    <w:keepLines w:val="on"/>
                  </w:pPr>
                  <w:r>
                    <w:t>$7,444.00</w:t>
                  </w:r>
                </w:p>
              </w:tc>
            </w:tr>
            <w:tr>
              <w:tc>
                <w:tcPr>
                  <w:tcW w:type="auto" w:w="0"/>
                  <w:shd w:val="clear" w:color="auto" w:fill="F0F0F0"/>
                </w:tcPr>
                <w:p>
                  <w:pPr>
                    <w:pStyle w:val="Para 02"/>
                    <w:keepLines w:val="on"/>
                  </w:pPr>
                  <w:r>
                    <w:t>Vốn đầu tư</w:t>
                  </w:r>
                </w:p>
              </w:tc>
              <w:tc>
                <w:tcPr>
                  <w:tcW w:type="auto" w:w="0"/>
                  <w:shd w:val="clear" w:color="auto" w:fill="F0F0F0"/>
                </w:tcPr>
                <w:p>
                  <w:pPr>
                    <w:pStyle w:val="Normal"/>
                    <w:keepLines w:val="on"/>
                  </w:pPr>
                  <w:r>
                    <w:t>$46,398.00</w:t>
                  </w:r>
                </w:p>
              </w:tc>
              <w:tc>
                <w:tcPr>
                  <w:tcW w:type="auto" w:w="0"/>
                  <w:shd w:val="clear" w:color="auto" w:fill="F0F0F0"/>
                </w:tcPr>
                <w:p>
                  <w:pPr>
                    <w:pStyle w:val="Normal"/>
                    <w:keepLines w:val="on"/>
                  </w:pPr>
                  <w:r>
                    <w:t>$41,725.00</w:t>
                  </w:r>
                </w:p>
              </w:tc>
            </w:tr>
          </w:tbl>
          <w:p/>
        </w:tc>
      </w:tr>
    </w:tbl>
    <w:p>
      <w:pPr>
        <w:pStyle w:val="Para 04"/>
        <w:keepLines w:val="on"/>
      </w:pPr>
      <w:r>
        <w:t>Công thức dưới đây trình bày cách tính vốn đầu tư, và nó là tổng của giá trị sổ sách của vốn chủ sở hữu, toàn bộ nợ có lãi và nợ thuê, trừ đi tiền mặt và lợi thế thương mại. Khi tính lợi nhuận trên vốn, chúng ta sử dụng cả con số vốn đầu tư bình quân và con số vốn đầu tư đầu năm. Các con số của RTX phản ánh những khó khăn của công ty trong việc tạo ra lợi nhuận trên vốn ở mức chấp nhận được, nhưng các con số của Home Depot lại bị thổi phồng, vì vốn chủ sở hữu trên sổ sách của công ty bị giảm do các đợt mua lại cổ phiếu.</w:t>
      </w:r>
    </w:p>
    <w:p>
      <w:bookmarkStart w:id="355" w:name="Decomposing_Return_on__Invested"/>
      <w:pPr>
        <w:pStyle w:val="Para 21"/>
      </w:pPr>
      <w:r>
        <w:t>Phân tách lợi nhuận trên vốn (đầu tư)</w:t>
      </w:r>
      <w:bookmarkEnd w:id="355"/>
    </w:p>
    <w:p>
      <w:pPr>
        <w:pStyle w:val="Para 03"/>
      </w:pPr>
      <w:r>
        <w:t>Lợi nhuận trên vốn của một công ty có thể được viết dưới dạng hàm số của biên lợi nhuận hoạt động trên doanh thu và tỷ lệ vòng quay vốn.</w:t>
      </w:r>
    </w:p>
    <w:p>
      <w:bookmarkStart w:id="357" w:name="ROIC_Earnings_before_interest_an"/>
      <w:pPr>
        <w:keepNext/>
        <w:pStyle w:val="Para 09"/>
        <w:keepLines w:val="on"/>
      </w:pPr>
      <w:r>
        <w:t>ROIC=Lợi nhuận trước lãi vay và thuế (1−t)Doanh thu×Doanh thuVốn đầu tư=Biên lợi nhuận hoạt động sau thuế×Doanh thu trên vốn</w:t>
      </w:r>
      <w:bookmarkEnd w:id="357"/>
    </w:p>
    <w:p>
      <w:pPr>
        <w:pStyle w:val="Para 03"/>
      </w:pPr>
      <w:r>
        <w:t>Như vậy, một công ty có thể đạt được ROC cao bằng cách tăng biên lợi nhuận hoặc sử dụng vốn hiệu quả hơn để tăng doanh thu. Nhiều khả năng sẽ có những ràng buộc cạnh tranh và ràng buộc công nghệ đối với cả hai biến số này, nhưng trong khuôn khổ những ràng buộc đó, công ty vẫn có chút tự do để chọn lựa kết hợp giữa biên lợi nhuận và vòng quay vốn sao cho tối đa hóa ROC của mình. Lợi nhuận trên vốn biến động rất rộng giữa các công ty trong những ngành nghề khác nhau, phần lớn là do sự khác biệt về biên lợi nhuận và tỷ lệ vòng quay vốn.</w:t>
      </w:r>
    </w:p>
    <w:p>
      <w:pPr>
        <w:pStyle w:val="Para 20"/>
      </w:pPr>
      <w:r>
        <w:rPr>
          <w:rStyle w:val="Text26"/>
        </w:rPr>
        <w:bookmarkStart w:id="358" w:name="Page_49"/>
        <w:t/>
        <w:bookmarkEnd w:id="358"/>
      </w:r>
      <w:r>
        <w:t xml:space="preserve"> </w:t>
      </w:r>
    </w:p>
    <w:p>
      <w:pPr>
        <w:pStyle w:val="Para 11"/>
      </w:pPr>
      <w:r>
        <w:t xml:space="preserve"> </w:t>
      </w:r>
    </w:p>
    <w:p>
      <w:bookmarkStart w:id="359" w:name="mgnroc_xls__This_is_a_dataset_on"/>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7"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359"/>
    </w:p>
    <w:p>
      <w:pPr>
        <w:pStyle w:val="Para 31"/>
        <w:keepLines w:val="on"/>
      </w:pPr>
      <w:r>
        <w:t>mgnroc.xls: Đây là một tập dữ liệu trên web tóm tắt biên lợi nhuận hoạt động, tỷ lệ vòng quay và lợi nhuận trên vốn của các công ty tại Hoa Kỳ, được phân loại theo ngành.</w:t>
      </w:r>
    </w:p>
    <w:p>
      <w:bookmarkStart w:id="360" w:name="Return_on_Equity__While_the_retu"/>
      <w:pPr>
        <w:pStyle w:val="Para 21"/>
      </w:pPr>
      <w:r>
        <w:t>Lợi nhuận trên vốn chủ sở hữu</w:t>
      </w:r>
      <w:bookmarkEnd w:id="360"/>
    </w:p>
    <w:p>
      <w:pPr>
        <w:pStyle w:val="Para 03"/>
      </w:pPr>
      <w:r>
        <w:t>Trong khi lợi nhuận trên vốn đo lường khả năng sinh lời của toàn bộ công ty, thì lợi nhuận trên vốn chủ sở hữu (ROE) xem xét khả năng sinh lời từ góc nhìn của nhà đầu tư cổ phần, bằng cách liên hệ lợi nhuận của nhà đầu tư cổ phần (lợi nhuận ròng sau thuế và chi phí lãi vay) với giá trị sổ sách của khoản đầu tư vốn chủ sở hữu.</w:t>
      </w:r>
    </w:p>
    <w:p>
      <w:bookmarkStart w:id="362" w:name="ROE_Net_IncomeBook_Value_of_Equi"/>
      <w:pPr>
        <w:keepNext/>
        <w:pStyle w:val="Para 09"/>
        <w:keepLines w:val="on"/>
      </w:pPr>
      <w:r>
        <w:t>ROE=Thu nhập ròngGiá trị sổ sách của vốn chủ sở hữu</w:t>
      </w:r>
      <w:bookmarkEnd w:id="362"/>
    </w:p>
    <w:p>
      <w:pPr>
        <w:pStyle w:val="Para 03"/>
      </w:pPr>
      <w:r>
        <w:t>Vì cổ đông ưu đãi có quyền đòi hỏi khác với cổ đông phổ thông đối với công ty, nên thu nhập ròng cần được ước tính sau khi trừ cổ tức ưu đãi, và giá trị sổ sách chỉ nên tính phần vốn chủ sở hữu phổ thông mà thôi.</w:t>
      </w:r>
    </w:p>
    <w:p>
      <w:bookmarkStart w:id="363" w:name="Determinants_of_Noncash_ROE__Sin"/>
      <w:pPr>
        <w:pStyle w:val="Para 21"/>
      </w:pPr>
      <w:r>
        <w:t>Các yếu tố quyết định ROE không bao gồm tiền mặt</w:t>
      </w:r>
      <w:bookmarkEnd w:id="363"/>
    </w:p>
    <w:p>
      <w:pPr>
        <w:pStyle w:val="Para 03"/>
      </w:pPr>
      <w:r>
        <w:t>Vì ROE dựa trên lợi nhuận sau khi trả lãi, nó chịu ảnh hưởng bởi cơ cấu tài trợ mà công ty dùng để tài trợ cho các dự án của mình. Nói chung, một công ty đi vay tiền để tài trợ dự án và đạt được ROC trên những dự án đó cao hơn lãi suất sau thuế mà nó trả cho khoản nợ, sẽ có thể tăng ROE bằng cách đi vay. Tỷ suất sinh lời trên vốn chủ sở hữu, không bao gồm tiền mặt, có thể được viết như sau:6</w:t>
      </w:r>
    </w:p>
    <w:p>
      <w:bookmarkStart w:id="366" w:name="ROE_ROIC_DE_ROIC___i_1___t"/>
      <w:pPr>
        <w:keepNext/>
        <w:pStyle w:val="Para 09"/>
        <w:keepLines w:val="on"/>
      </w:pPr>
      <w:r>
        <w:t>ROE=ROIC+DE[ROIC−i(1−t)]</w:t>
      </w:r>
      <w:bookmarkEnd w:id="366"/>
    </w:p>
    <w:p>
      <w:bookmarkStart w:id="367" w:name="where__ROIC_EBIT_1___t___BV_of_d"/>
      <w:pPr>
        <w:pStyle w:val="Para 39"/>
      </w:pPr>
      <w:r>
        <w:t>trong đó ROIC=EBIT(1−t)/(giá trị sổ sách của nợ+giá trị sổ sách của vốn chủ sở hữu−Tiền mặt)D/E=giá trị sổ sách của nợ/giá trị sổ sách của vốn chủ sở hữui=chi phí lãi vay trên nợ/giá trị sổ sách của nợt=thuế suất trên thu nhập thông thường</w:t>
      </w:r>
      <w:bookmarkEnd w:id="367"/>
    </w:p>
    <w:p>
      <w:pPr>
        <w:pStyle w:val="Para 03"/>
      </w:pPr>
      <w:r>
        <w:t>Số hạng thứ hai thể hiện lợi ích của đòn bẩy tài chính.</w:t>
      </w:r>
    </w:p>
    <w:p>
      <w:pPr>
        <w:pStyle w:val="Para 20"/>
      </w:pPr>
      <w:r>
        <w:rPr>
          <w:rStyle w:val="Text26"/>
        </w:rPr>
        <w:bookmarkStart w:id="368" w:name="Page_50"/>
        <w:t/>
        <w:bookmarkEnd w:id="368"/>
      </w:r>
      <w:r>
        <w:t xml:space="preserve"> </w:t>
      </w:r>
    </w:p>
    <w:p>
      <w:pPr>
        <w:pStyle w:val="Para 11"/>
      </w:pPr>
      <w:r>
        <w:t xml:space="preserve"> </w:t>
      </w:r>
    </w:p>
    <w:p>
      <w:bookmarkStart w:id="369" w:name="ILLUSTRATION_3_5__Return_on_Equi_1"/>
      <w:bookmarkStart w:id="370" w:name="ILLUSTRATION_3_5__Return_on_Equi"/>
      <w:pPr>
        <w:keepNext/>
        <w:pStyle w:val="Para 19"/>
        <w:keepLines w:val="on"/>
      </w:pPr>
      <w:r>
        <w:t>MINH HỌA 3.5: Tính toán tỷ suất sinh lời trên vốn chủ sở hữu: RTX và Home Depot trong năm tài chính 2023</w:t>
      </w:r>
      <w:bookmarkEnd w:id="369"/>
      <w:bookmarkEnd w:id="370"/>
    </w:p>
    <w:p>
      <w:pPr>
        <w:pStyle w:val="Para 04"/>
        <w:keepLines w:val="on"/>
      </w:pPr>
      <w:r>
        <w:t>Bảng 3.5 tóm tắt tỷ suất sinh lời trên vốn chủ sở hữu của RTX và Home Depot trong năm 2023:</w:t>
      </w:r>
    </w:p>
    <w:p>
      <w:pPr>
        <w:pStyle w:val="Para 25"/>
        <w:keepLines w:val="on"/>
      </w:pPr>
      <w:r>
        <w:t>Bảng 3.5</w:t>
      </w:r>
    </w:p>
    <w:p>
      <w:pPr>
        <w:keepNext/>
        <w:pStyle w:val="Para 24"/>
        <w:keepLines w:val="on"/>
      </w:pPr>
      <w:r>
        <w:t>Tỷ suất sinh lời trên vốn chủ sở hữu của Raytheon và Home Depot</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05"/>
                    <w:keepLines w:val="on"/>
                  </w:pPr>
                  <w:r>
                    <w:t>RTX</w:t>
                  </w:r>
                </w:p>
              </w:tc>
              <w:tc>
                <w:tcPr>
                  <w:tcW w:type="auto" w:w="0"/>
                  <w:shd w:val="clear" w:color="auto" w:fill="F0F0F0"/>
                </w:tcPr>
                <w:p>
                  <w:pPr>
                    <w:pStyle w:val="Para 05"/>
                    <w:keepLines w:val="on"/>
                  </w:pPr>
                  <w:r>
                    <w:t>Home Depot</w:t>
                  </w:r>
                </w:p>
              </w:tc>
            </w:tr>
            <w:tr>
              <w:tc>
                <w:tcPr>
                  <w:tcW w:type="auto" w:w="0"/>
                  <w:shd w:val="clear" w:color="auto" w:fill="F0F0F0"/>
                </w:tcPr>
                <w:p>
                  <w:pPr>
                    <w:pStyle w:val="Para 02"/>
                    <w:keepLines w:val="on"/>
                  </w:pPr>
                  <w:r>
                    <w:t>Thu nhập ròng</w:t>
                  </w:r>
                </w:p>
              </w:tc>
              <w:tc>
                <w:tcPr>
                  <w:tcW w:type="auto" w:w="0"/>
                  <w:shd w:val="clear" w:color="auto" w:fill="F0F0F0"/>
                </w:tcPr>
                <w:p>
                  <w:pPr>
                    <w:pStyle w:val="Normal"/>
                    <w:keepLines w:val="on"/>
                  </w:pPr>
                  <w:r>
                    <w:t>$3,195</w:t>
                  </w:r>
                </w:p>
              </w:tc>
              <w:tc>
                <w:tcPr>
                  <w:tcW w:type="auto" w:w="0"/>
                  <w:shd w:val="clear" w:color="auto" w:fill="F0F0F0"/>
                </w:tcPr>
                <w:p>
                  <w:pPr>
                    <w:pStyle w:val="Normal"/>
                    <w:keepLines w:val="on"/>
                  </w:pPr>
                  <w:r>
                    <w:t>$17,105</w:t>
                  </w:r>
                </w:p>
              </w:tc>
            </w:tr>
            <w:tr>
              <w:tc>
                <w:tcPr>
                  <w:tcW w:type="auto" w:w="0"/>
                  <w:shd w:val="clear" w:color="auto" w:fill="F0F0F0"/>
                </w:tcPr>
                <w:p>
                  <w:pPr>
                    <w:pStyle w:val="Para 02"/>
                    <w:keepLines w:val="on"/>
                  </w:pPr>
                  <w:r>
                    <w:t>Giá trị sổ sách của vốn chủ sở hữu—đầu kỳ</w:t>
                  </w:r>
                </w:p>
              </w:tc>
              <w:tc>
                <w:tcPr>
                  <w:tcW w:type="auto" w:w="0"/>
                  <w:shd w:val="clear" w:color="auto" w:fill="F0F0F0"/>
                </w:tcPr>
                <w:p>
                  <w:pPr>
                    <w:pStyle w:val="Normal"/>
                    <w:keepLines w:val="on"/>
                  </w:pPr>
                  <w:r>
                    <w:t>$72,632</w:t>
                  </w:r>
                </w:p>
              </w:tc>
              <w:tc>
                <w:tcPr>
                  <w:tcW w:type="auto" w:w="0"/>
                  <w:shd w:val="clear" w:color="auto" w:fill="F0F0F0"/>
                </w:tcPr>
                <w:p>
                  <w:pPr>
                    <w:pStyle w:val="Normal"/>
                    <w:keepLines w:val="on"/>
                  </w:pPr>
                  <w:r>
                    <w:t>($1,696)</w:t>
                  </w:r>
                </w:p>
              </w:tc>
            </w:tr>
            <w:tr>
              <w:tc>
                <w:tcPr>
                  <w:tcW w:type="auto" w:w="0"/>
                  <w:shd w:val="clear" w:color="auto" w:fill="F0F0F0"/>
                </w:tcPr>
                <w:p>
                  <w:pPr>
                    <w:pStyle w:val="Para 02"/>
                    <w:keepLines w:val="on"/>
                  </w:pPr>
                  <w:r>
                    <w:t>Giá trị sổ sách của vốn chủ sở hữu—cuối kỳ</w:t>
                  </w:r>
                </w:p>
              </w:tc>
              <w:tc>
                <w:tcPr>
                  <w:tcW w:type="auto" w:w="0"/>
                  <w:shd w:val="clear" w:color="auto" w:fill="F0F0F0"/>
                </w:tcPr>
                <w:p>
                  <w:pPr>
                    <w:pStyle w:val="Normal"/>
                    <w:keepLines w:val="on"/>
                  </w:pPr>
                  <w:r>
                    <w:t>$59,798</w:t>
                  </w:r>
                </w:p>
              </w:tc>
              <w:tc>
                <w:tcPr>
                  <w:tcW w:type="auto" w:w="0"/>
                  <w:shd w:val="clear" w:color="auto" w:fill="F0F0F0"/>
                </w:tcPr>
                <w:p>
                  <w:pPr>
                    <w:pStyle w:val="Normal"/>
                    <w:keepLines w:val="on"/>
                  </w:pPr>
                  <w:r>
                    <w:t>$1,562</w:t>
                  </w:r>
                </w:p>
              </w:tc>
            </w:tr>
            <w:tr>
              <w:tc>
                <w:tcPr>
                  <w:tcW w:type="auto" w:w="0"/>
                  <w:shd w:val="clear" w:color="auto" w:fill="F0F0F0"/>
                </w:tcPr>
                <w:p>
                  <w:pPr>
                    <w:pStyle w:val="Para 02"/>
                    <w:keepLines w:val="on"/>
                  </w:pPr>
                  <w:r>
                    <w:t>Giá trị sổ sách của vốn chủ sở hữu—bình quân</w:t>
                  </w:r>
                </w:p>
              </w:tc>
              <w:tc>
                <w:tcPr>
                  <w:tcW w:type="auto" w:w="0"/>
                  <w:shd w:val="clear" w:color="auto" w:fill="F0F0F0"/>
                </w:tcPr>
                <w:p>
                  <w:pPr>
                    <w:pStyle w:val="Normal"/>
                    <w:keepLines w:val="on"/>
                  </w:pPr>
                  <w:r>
                    <w:t>$66,215</w:t>
                  </w:r>
                </w:p>
              </w:tc>
              <w:tc>
                <w:tcPr>
                  <w:tcW w:type="auto" w:w="0"/>
                  <w:shd w:val="clear" w:color="auto" w:fill="F0F0F0"/>
                </w:tcPr>
                <w:p>
                  <w:pPr>
                    <w:pStyle w:val="Normal"/>
                    <w:keepLines w:val="on"/>
                  </w:pPr>
                  <w:r>
                    <w:t>($67)</w:t>
                  </w:r>
                </w:p>
              </w:tc>
            </w:tr>
            <w:tr>
              <w:tc>
                <w:tcPr>
                  <w:tcW w:type="auto" w:w="0"/>
                  <w:shd w:val="clear" w:color="auto" w:fill="F0F0F0"/>
                </w:tcPr>
                <w:p>
                  <w:pPr>
                    <w:pStyle w:val="Para 02"/>
                    <w:keepLines w:val="on"/>
                  </w:pPr>
                  <w:r>
                    <w:t>Tỷ suất sinh lời trên vốn chủ sở hữu (dựa trên bình quân)</w:t>
                  </w:r>
                </w:p>
              </w:tc>
              <w:tc>
                <w:tcPr>
                  <w:tcW w:type="auto" w:w="0"/>
                  <w:shd w:val="clear" w:color="auto" w:fill="F0F0F0"/>
                </w:tcPr>
                <w:p>
                  <w:pPr>
                    <w:pStyle w:val="Normal"/>
                    <w:keepLines w:val="on"/>
                  </w:pPr>
                  <w:r>
                    <w:t>4,83%</w:t>
                  </w:r>
                </w:p>
              </w:tc>
              <w:tc>
                <w:tcPr>
                  <w:tcW w:type="auto" w:w="0"/>
                  <w:shd w:val="clear" w:color="auto" w:fill="F0F0F0"/>
                </w:tcPr>
                <w:p>
                  <w:pPr>
                    <w:pStyle w:val="Normal"/>
                    <w:keepLines w:val="on"/>
                  </w:pPr>
                  <w:r>
                    <w:t>Không áp dụng</w:t>
                  </w:r>
                </w:p>
              </w:tc>
            </w:tr>
            <w:tr>
              <w:tc>
                <w:tcPr>
                  <w:tcW w:type="auto" w:w="0"/>
                  <w:shd w:val="clear" w:color="auto" w:fill="F0F0F0"/>
                </w:tcPr>
                <w:p>
                  <w:pPr>
                    <w:pStyle w:val="Para 02"/>
                    <w:keepLines w:val="on"/>
                  </w:pPr>
                  <w:r>
                    <w:t>Lợi nhuận trên vốn chủ sở hữu (dựa trên số đầu kỳ)</w:t>
                  </w:r>
                </w:p>
              </w:tc>
              <w:tc>
                <w:tcPr>
                  <w:tcW w:type="auto" w:w="0"/>
                  <w:shd w:val="clear" w:color="auto" w:fill="F0F0F0"/>
                </w:tcPr>
                <w:p>
                  <w:pPr>
                    <w:pStyle w:val="Normal"/>
                    <w:keepLines w:val="on"/>
                  </w:pPr>
                  <w:r>
                    <w:t>4,40%</w:t>
                  </w:r>
                </w:p>
              </w:tc>
              <w:tc>
                <w:tcPr>
                  <w:tcW w:type="auto" w:w="0"/>
                  <w:shd w:val="clear" w:color="auto" w:fill="F0F0F0"/>
                </w:tcPr>
                <w:p>
                  <w:pPr>
                    <w:pStyle w:val="Normal"/>
                    <w:keepLines w:val="on"/>
                  </w:pPr>
                  <w:r>
                    <w:t>Không áp dụng</w:t>
                  </w:r>
                </w:p>
              </w:tc>
            </w:tr>
          </w:tbl>
          <w:p/>
        </w:tc>
      </w:tr>
    </w:tbl>
    <w:p>
      <w:pPr>
        <w:pStyle w:val="Para 04"/>
        <w:keepLines w:val="on"/>
      </w:pPr>
      <w:r>
        <w:t>Kết quả một lần nữa cho thấy RTX đã có một năm kém cỏi vào năm 2023, nhưng vấn đề về vốn chủ sở hữu trên sổ sách của Home Depot lại nổi lên như một vấn đề. Thực tế, công ty đã báo cáo giá trị vốn chủ sở hữu của cổ đông âm vào cuối năm 2022, khiến cho lợi nhuận trên vốn chủ sở hữu trở thành một con số vô nghĩa.</w:t>
      </w:r>
    </w:p>
    <w:p>
      <w:pPr>
        <w:pStyle w:val="Para 11"/>
      </w:pPr>
      <w:r>
        <w:t xml:space="preserve"> </w:t>
      </w:r>
    </w:p>
    <w:p>
      <w:bookmarkStart w:id="372" w:name="roe_xls__This_is_a_dataset_on_th"/>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8"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372"/>
    </w:p>
    <w:p>
      <w:pPr>
        <w:pStyle w:val="Para 31"/>
        <w:keepLines w:val="on"/>
      </w:pPr>
      <w:r>
        <w:t>roe.xls: Đây là một tập dữ liệu trên web tóm tắt lợi nhuận trên vốn chủ sở hữu của các công ty tại Hoa Kỳ, được phân loại theo ngành.</w:t>
      </w:r>
    </w:p>
    <w:p>
      <w:bookmarkStart w:id="373" w:name="Measuring_Risk__How_risky_are_th"/>
      <w:bookmarkStart w:id="374" w:name="Measuring_Risk"/>
      <w:pPr>
        <w:keepNext/>
        <w:pStyle w:val="Heading 2"/>
        <w:keepLines w:val="on"/>
      </w:pPr>
      <w:r>
        <w:t>Đo lường rủi ro</w:t>
      </w:r>
      <w:bookmarkEnd w:id="373"/>
      <w:bookmarkEnd w:id="374"/>
    </w:p>
    <w:p>
      <w:pPr>
        <w:pStyle w:val="Para 03"/>
      </w:pPr>
      <w:r>
        <w:t>Các khoản đầu tư mà công ty đã thực hiện theo thời gian rủi ro đến mức nào? Các nhà đầu tư vốn cổ phần trong một công ty phải đối mặt với bao nhiêu rủi ro? Đây là hai câu hỏi nữa mà chúng ta muốn tìm câu trả lời trong quá trình phân tích đầu tư. Các báo cáo kế toán thực sự không tuyên bố đo lường hay định lượng rủi ro một cách có hệ thống, ngoài việc cung cấp các chú thích và công bố thông tin về những nơi có thể ẩn chứa rủi ro trong công ty. Phần này xem xét một số cách mà các kế toán viên cố gắng đánh giá rủi ro.</w:t>
      </w:r>
    </w:p>
    <w:p>
      <w:bookmarkStart w:id="375" w:name="Accounting_Principles_Underlying_6"/>
      <w:bookmarkStart w:id="376" w:name="Accounting_Principles_Underlying_7"/>
      <w:pPr>
        <w:keepNext/>
        <w:pStyle w:val="Heading 3"/>
        <w:keepLines w:val="on"/>
      </w:pPr>
      <w:r>
        <w:t>Các nguyên tắc kế toán làm nền tảng cho việc đo lường rủi ro</w:t>
      </w:r>
      <w:bookmarkEnd w:id="375"/>
      <w:bookmarkEnd w:id="376"/>
    </w:p>
    <w:p>
      <w:pPr>
        <w:pStyle w:val="Para 03"/>
      </w:pPr>
      <w:r>
        <w:t>Trong phạm vi mà các báo cáo kế toán và các tỷ số cố gắng đo lường rủi ro, dường như có hai chủ đề chung.</w:t>
      </w:r>
    </w:p>
    <w:p>
      <w:pPr>
        <w:pStyle w:val="Para 03"/>
      </w:pPr>
      <w:r>
        <w:t>Thứ nhất là rủi ro được đo lường chính là rủi ro vỡ nợ — tức là rủi ro rằng một nghĩa vụ cố định, chẳng hạn như tiền lãi hoặc tiền gốc đến hạn phải trả trên khoản nợ chưa thanh toán, sẽ không được đáp ứng. Khái niệm rủi ro rộng hơn về vốn cổ phần, vốn đo lường phương sai của lợi nhuận thực tế so với lợi nhuận kỳ vọng, dường như không nhận được nhiều sự chú ý. Do đó, một công ty được tài trợ hoàn toàn bằng vốn cổ phần với lợi nhuận dương và ít hoặc không có nghĩa vụ cố định thường sẽ nổi lên như một công ty ít rủi ro theo quan điểm kế toán, bất chấp thực tế rằng lợi nhuận của nó không thể dự đoán được.</w:t>
      </w:r>
    </w:p>
    <w:p>
      <w:pPr>
        <w:pStyle w:val="Para 03"/>
      </w:pPr>
      <w:r>
        <w:t>Chủ đề thứ hai là các thước đo rủi ro kế toán thường có cái nhìn tĩnh về rủi ro, bằng cách xem xét khả năng của một công ty tại một thời điểm nhất định để đáp ứng các nghĩa vụ của mình. Ví dụ, khi các tỷ số được sử dụng để đánh giá rủi ro của một công ty, các tỷ số này hầu như luôn dựa trên báo cáo thu nhập và bảng cân đối kế toán của một kỳ.</w:t>
      </w:r>
    </w:p>
    <w:p>
      <w:bookmarkStart w:id="378" w:name="Accounting_Measures_of_Risk__Acc"/>
      <w:bookmarkStart w:id="379" w:name="Accounting_Measures_of_Risk"/>
      <w:pPr>
        <w:keepNext/>
        <w:pStyle w:val="Heading 3"/>
        <w:keepLines w:val="on"/>
      </w:pPr>
      <w:r>
        <w:t>Các thước đo rủi ro trong kế toán</w:t>
      </w:r>
      <w:bookmarkEnd w:id="378"/>
      <w:bookmarkEnd w:id="379"/>
    </w:p>
    <w:p>
      <w:pPr>
        <w:pStyle w:val="Para 03"/>
      </w:pPr>
      <w:r>
        <w:t>Các thước đo rủi ro trong kế toán có thể được phân loại rộng rãi thành hai nhóm. Nhóm thứ nhất là các công bố thông tin về những nghĩa vụ tiềm ẩn hoặc tổn thất về giá trị xuất hiện dưới dạng chú thích trên bảng cân đối kế toán, được thiết kế để cảnh báo các nhà đầu tư tiềm năng hoặc hiện tại về khả năng xảy ra tổn thất đáng kể. Thước đo thứ hai là các tỷ số được thiết kế để đo lường cả tính thanh khoản lẫn rủi ro vỡ nợ.</w:t>
      </w:r>
    </w:p>
    <w:p>
      <w:bookmarkStart w:id="380" w:name="Disclosures_in_Financial_Stateme"/>
      <w:bookmarkStart w:id="381" w:name="Disclosures_in_Financial_Stateme_1"/>
      <w:pPr>
        <w:keepNext/>
        <w:pStyle w:val="Heading 4"/>
        <w:keepLines w:val="on"/>
      </w:pPr>
      <w:r>
        <w:t>Công bố thông tin trong báo cáo tài chính</w:t>
      </w:r>
      <w:bookmarkEnd w:id="380"/>
      <w:bookmarkEnd w:id="381"/>
    </w:p>
    <w:p>
      <w:pPr>
        <w:pStyle w:val="Para 03"/>
      </w:pPr>
      <w:r>
        <w:t>Trong những năm gần đây, các công bố thông tin mà các công ty phải thực hiện về những nghĩa vụ trong tương lai đã gia tăng mạnh mẽ. Hãy xem xét, ví dụ, trường hợp của các khoản nợ tiềm tàng. Những khoản này đề cập đến các nghĩa vụ tiềm ẩn sẽ phát sinh trong những tình huống nhất định, chẳng hạn như khi một công ty là bị đơn trong một vụ kiện. Nguyên tắc chung được tuân theo là bỏ qua các khoản nợ tiềm tàng nhằm phòng ngừa rủi ro, vì các nghĩa vụ trên khoản yêu cầu tiềm tàng sẽ được bù đắp bằng lợi ích ở nơi khác.7 Tuy nhiên, trong những giai đoạn gần đây, những tổn thất đáng kể mà các công ty phải gánh chịu từ các vị thế phái sinh được cho là đã phòng ngừa rủi ro (như quyền chọn và hợp đồng tương lai) đã dẫn đến các yêu cầu của FASB rằng những công cụ phái sinh này phải được công bố như một phần của báo cáo tài chính. Thực tế, các nghĩa vụ về quỹ hưu trí và chăm sóc sức khỏe đã chuyển từ chỗ chỉ là chú thích sang thành các khoản nợ thực sự của công ty.</w:t>
      </w:r>
    </w:p>
    <w:p>
      <w:bookmarkStart w:id="383" w:name="Financial_Ratios__Financial_stat"/>
      <w:bookmarkStart w:id="384" w:name="Financial_Ratios"/>
      <w:pPr>
        <w:keepNext/>
        <w:pStyle w:val="Heading 4"/>
        <w:keepLines w:val="on"/>
      </w:pPr>
      <w:r>
        <w:t>Các tỷ số tài chính</w:t>
      </w:r>
      <w:bookmarkEnd w:id="383"/>
      <w:bookmarkEnd w:id="384"/>
    </w:p>
    <w:p>
      <w:pPr>
        <w:pStyle w:val="Para 03"/>
      </w:pPr>
      <w:r>
        <w:t>Báo cáo tài chính từ lâu đã được sử dụng làm cơ sở để ước tính các tỷ số tài chính đo lường khả năng sinh lời, rủi ro và đòn bẩy. Trước đó, phần về lợi nhuận đã xem xét hai trong số các tỷ số sinh lời — lợi nhuận trên vốn chủ sở hữu và lợi nhuận trên vốn. Phần này xem xét một số tỷ số tài chính thường được sử dụng để đo lường rủi ro tài chính trong một công ty.</w:t>
      </w:r>
    </w:p>
    <w:p>
      <w:bookmarkStart w:id="385" w:name="Short_Term_Liquidity_Risk__Short"/>
      <w:pPr>
        <w:pStyle w:val="Para 21"/>
      </w:pPr>
      <w:r>
        <w:t>Rủi ro thanh khoản ngắn hạn</w:t>
      </w:r>
      <w:bookmarkEnd w:id="385"/>
    </w:p>
    <w:p>
      <w:pPr>
        <w:pStyle w:val="Para 03"/>
      </w:pPr>
      <w:r>
        <w:t>Rủi ro thanh khoản ngắn hạn phát sinh chủ yếu từ nhu cầu tài trợ cho các hoạt động hiện tại. Trong phạm vi mà công ty phải thanh toán cho các nhà cung cấp trước khi được trả tiền cho hàng hóa và dịch vụ mà mình cung cấp, sẽ có một khoản thiếu hụt tiền mặt cần được đáp ứng, thường là thông qua vay ngắn hạn. Mặc dù việc tài trợ cho nhu cầu vốn lưu động này được thực hiện thường xuyên ở hầu hết các công ty, các tỷ số tài chính đã được tạo ra để theo dõi mức độ phơi nhiễm của công ty trước rủi ro rằng nó sẽ không thể đáp ứng các nghĩa vụ ngắn hạn của mình. Hai tỷ số được sử dụng thường xuyên nhất để đo lường rủi ro thanh khoản ngắn hạn là tỷ số thanh toán hiện hành và tỷ số thanh toán nhanh.</w:t>
      </w:r>
    </w:p>
    <w:p>
      <w:bookmarkStart w:id="387" w:name="Current_Ratios__The_current_rati"/>
      <w:pPr>
        <w:pStyle w:val="Para 21"/>
      </w:pPr>
      <w:r>
        <w:t>Tỷ số thanh toán hiện hành</w:t>
      </w:r>
      <w:bookmarkEnd w:id="387"/>
    </w:p>
    <w:p>
      <w:pPr>
        <w:pStyle w:val="Para 03"/>
      </w:pPr>
      <w:r>
        <w:t>Tỷ số thanh toán hiện hành là tỷ số giữa tài sản ngắn hạn của công ty (tiền mặt, hàng tồn kho, các khoản phải thu) và nợ ngắn hạn của nó (các nghĩa vụ đến hạn trong kỳ tiếp theo).</w:t>
      </w:r>
    </w:p>
    <w:p>
      <w:bookmarkStart w:id="389" w:name="Current_Ratio_Current_AssetsCurr"/>
      <w:pPr>
        <w:keepNext/>
        <w:pStyle w:val="Para 09"/>
        <w:keepLines w:val="on"/>
      </w:pPr>
      <w:r>
        <w:t>Tỷ số thanh toán hiện hành = Tài sản ngắn hạn / Nợ ngắn hạn</w:t>
      </w:r>
      <w:bookmarkEnd w:id="389"/>
    </w:p>
    <w:p>
      <w:pPr>
        <w:pStyle w:val="Para 03"/>
      </w:pPr>
      <w:r>
        <w:t>Ví dụ, một tỷ số thanh toán hiện hành dưới 1 sẽ cho thấy rằng công ty có nhiều nghĩa vụ đến hạn trong năm tới hơn là tài sản mà nó có thể kỳ vọng chuyển thành tiền mặt. Đó sẽ là một dấu hiệu của rủi ro thanh khoản.</w:t>
      </w:r>
    </w:p>
    <w:p>
      <w:pPr>
        <w:pStyle w:val="Para 03"/>
      </w:pPr>
      <w:r>
        <w:t>Trong khi phân tích truyền thống cho rằng các doanh nghiệp nên duy trì tỷ số thanh toán hiện hành (current ratio) từ 2 trở lên, thì ở đây có sự đánh đổi giữa việc giảm thiểu rủi ro thanh khoản và việc ngày càng chôn vốn nhiều tiền mặt hơn vào vốn lưu động ròng (Net working capital = Tài sản ngắn hạn − Nợ ngắn hạn). Thực tế, có thể lập luận một cách hợp lý rằng một tỷ số thanh toán hiện hành quá cao là dấu hiệu của một doanh nghiệp không khỏe mạnh, đang gặp khó khăn trong việc giảm bớt hàng tồn kho. Trong những năm gần đây, các doanh nghiệp đã nỗ lực giảm tỷ số thanh toán hiện hành và quản lý vốn lưu động ròng của mình tốt hơn.</w:t>
      </w:r>
    </w:p>
    <w:p>
      <w:pPr>
        <w:pStyle w:val="Para 03"/>
      </w:pPr>
      <w:r>
        <w:t>Việc dựa dẫm vào tỷ số thanh toán hiện hành cần phải được tiết chế bởi một vài lo ngại. Thứ nhất, tỷ số này có thể dễ dàng bị các doanh nghiệp thao túng vào thời điểm gần các ngày báo cáo tài chính để tạo ra ảo giác an toàn; thứ hai, tài sản ngắn hạn và nợ ngắn hạn có thể thay đổi với cùng một mức độ, nhưng ảnh hưởng lên tỷ số thanh toán hiện hành sẽ phụ thuộc vào mức của nó trước khi thay đổi.8</w:t>
      </w:r>
    </w:p>
    <w:p>
      <w:bookmarkStart w:id="392" w:name="Quick_or_Acid_Test_Ratios__The_q"/>
      <w:pPr>
        <w:pStyle w:val="Para 21"/>
      </w:pPr>
      <w:r>
        <w:t>Tỷ số thanh toán nhanh (Quick) hay Tỷ số thanh toán bằng tiền mặt (Acid Test)</w:t>
      </w:r>
      <w:bookmarkEnd w:id="392"/>
    </w:p>
    <w:p>
      <w:pPr>
        <w:pStyle w:val="Para 03"/>
      </w:pPr>
      <w:r>
        <w:t>Tỷ số thanh toán nhanh (quick ratio) hay tỷ số thanh toán bằng tiền mặt (acid test ratio) là một biến thể của tỷ số thanh toán hiện hành. Nó phân biệt các tài sản ngắn hạn có thể chuyển đổi nhanh thành tiền mặt (ví dụ: tiền mặt và chứng khoán khả mại) với những tài sản không thể làm được điều đó (ví dụ: hàng tồn kho và các khoản phải thu).</w:t>
      </w:r>
    </w:p>
    <w:p>
      <w:bookmarkStart w:id="394" w:name="Quick_Ratio_Cash_Marketable_Secu"/>
      <w:pPr>
        <w:keepNext/>
        <w:pStyle w:val="Para 09"/>
        <w:keepLines w:val="on"/>
      </w:pPr>
      <w:r>
        <w:t>Tỷ số thanh toán nhanh = (Tiền mặt + Chứng khoán khả mại) / Nợ ngắn hạn</w:t>
      </w:r>
      <w:bookmarkEnd w:id="394"/>
    </w:p>
    <w:p>
      <w:pPr>
        <w:pStyle w:val="Para 03"/>
      </w:pPr>
      <w:r>
        <w:t>Việc loại trừ các khoản phải thu và hàng tồn kho không phải là một quy tắc cứng nhắc. Nếu có bằng chứng cho thấy một trong hai khoản này có thể được chuyển đổi thành tiền mặt nhanh chóng, thì thực tế chúng có thể được tính vào tỷ số thanh toán nhanh.</w:t>
      </w:r>
    </w:p>
    <w:p>
      <w:bookmarkStart w:id="395" w:name="Turnover_Ratios__Turnover_ratios"/>
      <w:pPr>
        <w:pStyle w:val="Para 21"/>
      </w:pPr>
      <w:r>
        <w:t>Các tỷ số vòng quay (Turnover Ratios)</w:t>
      </w:r>
      <w:bookmarkEnd w:id="395"/>
    </w:p>
    <w:p>
      <w:pPr>
        <w:pStyle w:val="Para 03"/>
      </w:pPr>
      <w:r>
        <w:t>Các tỷ số vòng quay đo lường hiệu quả của việc quản lý vốn lưu động bằng cách xem xét mối quan hệ giữa các khoản phải thu và hàng tồn kho với doanh thu và giá vốn hàng bán:</w:t>
      </w:r>
    </w:p>
    <w:p>
      <w:bookmarkStart w:id="397" w:name="Accounts_receivable_turnover_Sal"/>
      <w:pPr>
        <w:keepNext/>
        <w:pStyle w:val="Para 09"/>
        <w:keepLines w:val="on"/>
      </w:pPr>
      <w:r>
        <w:t>Vòng quay các khoản phải thu = Doanh thu / Các khoản phải thu bình quân
Vòng quay hàng tồn kho = Giá vốn hàng bán / Hàng tồn kho bình quân</w:t>
      </w:r>
      <w:bookmarkEnd w:id="397"/>
    </w:p>
    <w:p>
      <w:pPr>
        <w:pStyle w:val="Para 03"/>
      </w:pPr>
      <w:r>
        <w:t>Những chỉ số thống kê này có thể được hiểu là đo lường tốc độ mà doanh nghiệp chuyển các khoản phải thu thành tiền mặt hoặc hàng tồn kho thành doanh thu. Các tỷ số này thường được biểu diễn dưới dạng số ngày tồn đọng:</w:t>
      </w:r>
    </w:p>
    <w:p>
      <w:bookmarkStart w:id="398" w:name="Days_of_receivables_365_Accounts"/>
      <w:pPr>
        <w:keepNext/>
        <w:pStyle w:val="Para 09"/>
        <w:keepLines w:val="on"/>
      </w:pPr>
      <w:r>
        <w:t>Số ngày phải thu = 365 / Vòng quay các khoản phải thu
Số ngày tồn kho = 365 / Vòng quay hàng tồn kho</w:t>
      </w:r>
      <w:bookmarkEnd w:id="398"/>
    </w:p>
    <w:p>
      <w:pPr>
        <w:pStyle w:val="Para 03"/>
      </w:pPr>
      <w:r>
        <w:t>Một cặp chỉ số thống kê tương tự có thể được tính cho các khoản phải trả, so với hàng mua vào:</w:t>
      </w:r>
    </w:p>
    <w:p>
      <w:bookmarkStart w:id="399" w:name="Accounts_payable_turnover_Purcha"/>
      <w:pPr>
        <w:keepNext/>
        <w:pStyle w:val="Para 09"/>
        <w:keepLines w:val="on"/>
      </w:pPr>
      <w:r>
        <w:t>Vòng quay các khoản phải trả = Hàng mua vào / Các khoản phải trả bình quân
Số ngày phải trả = 365 / Vòng quay các khoản phải trả</w:t>
      </w:r>
      <w:bookmarkEnd w:id="399"/>
    </w:p>
    <w:p>
      <w:pPr>
        <w:pStyle w:val="Para 03"/>
      </w:pPr>
      <w:r>
        <w:t>Vì các khoản phải thu và hàng tồn kho là tài sản, còn các khoản phải trả là nợ phải trả, nên ba chỉ số thống kê này (được chuẩn hóa theo số ngày tồn đọng) có thể được kết hợp để ước tính xem doanh nghiệp cần huy động bao nhiêu nguồn tài trợ để đáp ứng nhu cầu vốn lưu động.</w:t>
      </w:r>
    </w:p>
    <w:p>
      <w:bookmarkStart w:id="401" w:name="RequiredFinancingPeriod_Daysofre"/>
      <w:pPr>
        <w:keepNext/>
        <w:pStyle w:val="Para 09"/>
        <w:keepLines w:val="on"/>
      </w:pPr>
      <w:r>
        <w:t>Thời gian tài trợ cần thiết = Số ngày phải thu + Số ngày tồn kho − Số ngày phải trả</w:t>
      </w:r>
      <w:bookmarkEnd w:id="401"/>
    </w:p>
    <w:p>
      <w:pPr>
        <w:pStyle w:val="Para 03"/>
      </w:pPr>
      <w:r>
        <w:t>Thời gian tài trợ của một doanh nghiệp càng dài thì doanh nghiệp đó càng cần nhiều nguồn tài trợ ngắn hạn để bù đắp khoản thâm hụt.</w:t>
      </w:r>
    </w:p>
    <w:p>
      <w:pPr>
        <w:pStyle w:val="Para 11"/>
      </w:pPr>
      <w:r>
        <w:t xml:space="preserve"> </w:t>
      </w:r>
    </w:p>
    <w:p>
      <w:bookmarkStart w:id="402" w:name="wcdata_xls__This_is_a_dataset_on"/>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9"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402"/>
    </w:p>
    <w:p>
      <w:pPr>
        <w:pStyle w:val="Para 31"/>
        <w:keepLines w:val="on"/>
      </w:pPr>
      <w:r>
        <w:t>wcdata.xls: Đây là một tập dữ liệu trên web tóm tắt các tỷ số vốn lưu động của các doanh nghiệp tại Hoa Kỳ, được phân loại theo ngành.</w:t>
      </w:r>
    </w:p>
    <w:p>
      <w:bookmarkStart w:id="403" w:name="Long_Term_Solvency_and_Default_R"/>
      <w:pPr>
        <w:pStyle w:val="Para 21"/>
      </w:pPr>
      <w:r>
        <w:t>Khả năng thanh toán dài hạn và Rủi ro vỡ nợ (Long-Term Solvency and Default Risk)</w:t>
      </w:r>
      <w:bookmarkEnd w:id="403"/>
    </w:p>
    <w:p>
      <w:pPr>
        <w:pStyle w:val="Para 03"/>
      </w:pPr>
      <w:r>
        <w:t>Các thước đo khả năng thanh toán dài hạn cố gắng xem xét khả năng của một doanh nghiệp trong việc đáp ứng các khoản thanh toán lãi và gốc trong dài hạn. Rõ ràng, các tỷ số sinh lợi đã thảo luận ở phần trước là một thành phần then chốt của phân tích này. Các tỷ số được thiết kế riêng để đo lường khả năng thanh toán dài hạn cố gắng liên hệ khả năng sinh lợi với mức độ thanh toán nợ nhằm xác định mức độ thoải mái mà doanh nghiệp có thể đáp ứng các khoản thanh toán này.</w:t>
      </w:r>
    </w:p>
    <w:p>
      <w:bookmarkStart w:id="405" w:name="Interest_Coverage_Ratios__The_in"/>
      <w:pPr>
        <w:pStyle w:val="Para 42"/>
      </w:pPr>
      <w:r>
        <w:t>Các tỷ số khả năng thanh toán lãi (Interest Coverage Ratios)</w:t>
      </w:r>
      <w:bookmarkEnd w:id="405"/>
    </w:p>
    <w:p>
      <w:pPr>
        <w:pStyle w:val="Para 03"/>
      </w:pPr>
      <w:r>
        <w:t>Tỷ số khả năng thanh toán lãi đo lường khả năng của doanh nghiệp trong việc đáp ứng các khoản thanh toán lãi từ thu nhập trước nợ và trước thuế.</w:t>
      </w:r>
    </w:p>
    <w:p>
      <w:bookmarkStart w:id="407" w:name="Interest_Coverage_Ratio___Earnin"/>
      <w:pPr>
        <w:keepNext/>
        <w:pStyle w:val="Para 09"/>
        <w:keepLines w:val="on"/>
      </w:pPr>
      <w:r>
        <w:t>Tỷ số khả năng thanh toán lãi = Thu nhập trước lãi và thuế / Chi phí lãi vay</w:t>
      </w:r>
      <w:bookmarkEnd w:id="407"/>
    </w:p>
    <w:p>
      <w:pPr>
        <w:pStyle w:val="Para 03"/>
      </w:pPr>
      <w:r>
        <w:t>Tỷ số khả năng thanh toán lãi càng cao thì khả năng của doanh nghiệp trong việc thực hiện các khoản thanh toán lãi từ thu nhập càng được đảm bảo. Tuy nhiên, lập luận này cần phải được tiết chế bởi sự thừa nhận rằng lượng thu nhập trước lãi và thuế là biến động và có thể giảm đáng kể nếu nền kinh tế rơi vào suy thoái. Do đó, hai doanh nghiệp có thể có cùng tỷ số khả năng thanh toán lãi nhưng được nhìn nhận rất khác nhau về mặt rủi ro.</w:t>
      </w:r>
    </w:p>
    <w:p>
      <w:pPr>
        <w:pStyle w:val="Para 03"/>
      </w:pPr>
      <w:r>
        <w:t>Mẫu số trong tỷ số khả năng thanh toán lãi có thể dễ dàng được mở rộng để bao gồm các nghĩa vụ cố định khác như các khoản thanh toán thuê. Nếu làm như vậy, tỷ số này được gọi là tỷ số khả năng thanh toán chi phí cố định (fixed charges coverage ratio):</w:t>
      </w:r>
    </w:p>
    <w:p>
      <w:bookmarkStart w:id="408" w:name="Fixed_Charges_Coverage_Ratio___E"/>
      <w:pPr>
        <w:keepNext/>
        <w:pStyle w:val="Para 09"/>
        <w:keepLines w:val="on"/>
      </w:pPr>
      <w:r>
        <w:t>Tỷ số khả năng thanh toán chi phí cố định = (EBIT − Chi phí cố định) / Chi phí cố định</w:t>
      </w:r>
      <w:bookmarkEnd w:id="408"/>
    </w:p>
    <w:p>
      <w:pPr>
        <w:pStyle w:val="Para 03"/>
      </w:pPr>
      <w:r>
        <w:t>Cuối cùng, tỷ số này, dù được trình bày dựa trên thu nhập, có thể được diễn đạt lại theo dòng tiền bằng cách sử dụng lợi nhuận trước lãi vay, thuế, khấu hao và phân bổ (EBITDA) ở tử số và chi phí cố định bằng tiền ở mẫu số.</w:t>
      </w:r>
    </w:p>
    <w:p>
      <w:bookmarkStart w:id="409" w:name="Cash_Fixed_Charge_Ratio___EBITDA"/>
      <w:pPr>
        <w:keepNext/>
        <w:pStyle w:val="Para 09"/>
        <w:keepLines w:val="on"/>
      </w:pPr>
      <w:r>
        <w:t>Tỷ số Chi phí Cố định bằng Tiền = EBITDACác Chi phí Cố định bằng Tiền</w:t>
      </w:r>
      <w:bookmarkEnd w:id="409"/>
    </w:p>
    <w:p>
      <w:pPr>
        <w:pStyle w:val="Para 03"/>
      </w:pPr>
      <w:r>
        <w:t>Cả tỷ số khả năng chi trả lãi vay lẫn tỷ số khả năng chi trả chi phí cố định đều bị phê phán rằng chúng không xét đến chi tiêu vốn (capital expenditures)—một dòng tiền có thể là tùy ý trong ngắn hạn nhưng không thể tùy ý trong dài hạn nếu doanh nghiệp muốn duy trì tăng trưởng. Một cách để nắm bắt mức độ của dòng tiền này so với dòng tiền hoạt động là tính tỷ số giữa hai dòng tiền đó:</w:t>
      </w:r>
    </w:p>
    <w:p>
      <w:bookmarkStart w:id="411" w:name="Operating_cash_flow_to_capital_e"/>
      <w:pPr>
        <w:keepNext/>
        <w:pStyle w:val="Para 09"/>
        <w:keepLines w:val="on"/>
      </w:pPr>
      <w:r>
        <w:t>Dòng tiền hoạt động trên chi tiêu vốn = Dòng tiền từ Hoạt độngChi tiêu Vốn</w:t>
      </w:r>
      <w:bookmarkEnd w:id="411"/>
    </w:p>
    <w:p>
      <w:pPr>
        <w:pStyle w:val="Para 03"/>
      </w:pPr>
      <w:r>
        <w:t>Mặc dù có nhiều định nghĩa khác nhau về dòng tiền từ hoạt động, cách tiếp cận mang tính kế toán nhất xuất phát từ báo cáo lưu chuyển tiền tệ, đo lường dòng tiền từ hoạt động liên tục dành cho các nhà đầu tư vốn cổ phần, trước lãi vay, nhưng sau thuế và sau khi đáp ứng nhu cầu vốn lưu động.</w:t>
      </w:r>
    </w:p>
    <w:p>
      <w:bookmarkStart w:id="412" w:name="Equity_Cash_flows_from_Operation"/>
      <w:pPr>
        <w:keepNext/>
        <w:pStyle w:val="Para 09"/>
        <w:keepLines w:val="on"/>
      </w:pPr>
      <w:r>
        <w:t>Dòng tiền Vốn cổ phần từ Hoạt động = Lợi nhuận ròng + Khấu hao − Thay đổi vốn lưu động phi tiền mặt</w:t>
      </w:r>
      <w:bookmarkEnd w:id="412"/>
    </w:p>
    <w:p>
      <w:pPr>
        <w:pStyle w:val="Para 11"/>
      </w:pPr>
      <w:r>
        <w:t xml:space="preserve"> </w:t>
      </w:r>
    </w:p>
    <w:p>
      <w:bookmarkStart w:id="413" w:name="dbtfund_xls__This_is_a_dataset_o"/>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0"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413"/>
    </w:p>
    <w:p>
      <w:pPr>
        <w:pStyle w:val="Para 31"/>
        <w:keepLines w:val="on"/>
      </w:pPr>
      <w:r>
        <w:t>dbtfund.xls: Đây là một tập dữ liệu trực tuyến tóm tắt các tỷ số khả năng chi trả lãi vay của các doanh nghiệp tại Hoa Kỳ, được phân loại theo ngành.</w:t>
      </w:r>
    </w:p>
    <w:p>
      <w:pPr>
        <w:pStyle w:val="Para 11"/>
      </w:pPr>
      <w:r>
        <w:t xml:space="preserve"> </w:t>
      </w:r>
    </w:p>
    <w:p>
      <w:bookmarkStart w:id="414" w:name="ILLUSTRATION_3_6__Interest_and_F_1"/>
      <w:bookmarkStart w:id="415" w:name="ILLUSTRATION_3_6__Interest_and_F"/>
      <w:pPr>
        <w:keepNext/>
        <w:pStyle w:val="Para 19"/>
        <w:keepLines w:val="on"/>
      </w:pPr>
      <w:r>
        <w:t>MINH HỌA 3.6: Tỷ số Khả năng Chi trả Lãi vay và Chi phí Cố định: RTX và the Home Depot trong Năm tài chính 2023</w:t>
      </w:r>
      <w:bookmarkEnd w:id="414"/>
      <w:bookmarkEnd w:id="415"/>
    </w:p>
    <w:p>
      <w:pPr>
        <w:pStyle w:val="Para 04"/>
        <w:keepLines w:val="on"/>
      </w:pPr>
      <w:r>
        <w:t>Bảng 3.6 tóm tắt các tỷ số khả năng chi trả lãi vay và chi phí cố định của RTX và the Home Depot trong năm 2023:</w:t>
      </w:r>
    </w:p>
    <w:p>
      <w:pPr>
        <w:pStyle w:val="Para 25"/>
        <w:keepLines w:val="on"/>
      </w:pPr>
      <w:r>
        <w:t>Bảng 3.6</w:t>
      </w:r>
    </w:p>
    <w:p>
      <w:pPr>
        <w:keepNext/>
        <w:pStyle w:val="Para 24"/>
        <w:keepLines w:val="on"/>
      </w:pPr>
      <w:r>
        <w:t>Khả năng Chi trả Lãi vay và Chi phí Cố định: Raytheon và Home Depot</w:t>
      </w:r>
    </w:p>
    <w:tbl>
      <w:tblPr>
        <w:tblW w:type="auto" w:w="0"/>
      </w:tblPr>
      <w:tr>
        <w:tc>
          <w:tcPr>
            <w:tcW w:type="auto" w:w="0"/>
          </w:tcPr>
          <w:tbl>
            <w:tblPr>
              <w:tblW w:type="pct" w:w="5000"/>
            </w:tblPr>
            <w:tr>
              <w:tc>
                <w:tcPr>
                  <w:tcW w:type="auto" w:w="0"/>
                  <w:shd w:val="clear" w:color="auto" w:fill="F0F0F0"/>
                </w:tcPr>
                <w:p>
                  <w:pPr>
                    <w:pStyle w:val="Para 29"/>
                    <w:keepLines w:val="on"/>
                  </w:pPr>
                  <w:r>
                    <w:t/>
                  </w:r>
                </w:p>
              </w:tc>
              <w:tc>
                <w:tcPr>
                  <w:tcW w:type="auto" w:w="0"/>
                  <w:shd w:val="clear" w:color="auto" w:fill="F0F0F0"/>
                </w:tcPr>
                <w:p>
                  <w:pPr>
                    <w:pStyle w:val="Para 05"/>
                    <w:keepLines w:val="on"/>
                  </w:pPr>
                  <w:r>
                    <w:t>RTX</w:t>
                  </w:r>
                </w:p>
              </w:tc>
              <w:tc>
                <w:tcPr>
                  <w:tcW w:type="auto" w:w="0"/>
                  <w:shd w:val="clear" w:color="auto" w:fill="F0F0F0"/>
                </w:tcPr>
                <w:p>
                  <w:pPr>
                    <w:pStyle w:val="Para 05"/>
                    <w:keepLines w:val="on"/>
                  </w:pPr>
                  <w:r>
                    <w:t>Home Depot</w:t>
                  </w:r>
                </w:p>
              </w:tc>
            </w:tr>
            <w:tr>
              <w:tc>
                <w:tcPr>
                  <w:tcW w:type="auto" w:w="0"/>
                  <w:shd w:val="clear" w:color="auto" w:fill="F0F0F0"/>
                </w:tcPr>
                <w:p>
                  <w:pPr>
                    <w:pStyle w:val="Para 02"/>
                    <w:keepLines w:val="on"/>
                  </w:pPr>
                  <w:r>
                    <w:t>EBIT</w:t>
                  </w:r>
                </w:p>
              </w:tc>
              <w:tc>
                <w:tcPr>
                  <w:tcW w:type="auto" w:w="0"/>
                  <w:shd w:val="clear" w:color="auto" w:fill="F0F0F0"/>
                </w:tcPr>
                <w:p>
                  <w:pPr>
                    <w:pStyle w:val="Normal"/>
                    <w:keepLines w:val="on"/>
                  </w:pPr>
                  <w:r>
                    <w:t>$3,561</w:t>
                  </w:r>
                </w:p>
              </w:tc>
              <w:tc>
                <w:tcPr>
                  <w:tcW w:type="auto" w:w="0"/>
                  <w:shd w:val="clear" w:color="auto" w:fill="F0F0F0"/>
                </w:tcPr>
                <w:p>
                  <w:pPr>
                    <w:pStyle w:val="Normal"/>
                    <w:keepLines w:val="on"/>
                  </w:pPr>
                  <w:r>
                    <w:t>$24,039</w:t>
                  </w:r>
                </w:p>
              </w:tc>
            </w:tr>
            <w:tr>
              <w:tc>
                <w:tcPr>
                  <w:tcW w:type="auto" w:w="0"/>
                  <w:shd w:val="clear" w:color="auto" w:fill="F0F0F0"/>
                </w:tcPr>
                <w:p>
                  <w:pPr>
                    <w:pStyle w:val="Para 02"/>
                    <w:keepLines w:val="on"/>
                  </w:pPr>
                  <w:r>
                    <w:t>Chi phí lãi vay</w:t>
                  </w:r>
                </w:p>
              </w:tc>
              <w:tc>
                <w:tcPr>
                  <w:tcW w:type="auto" w:w="0"/>
                  <w:shd w:val="clear" w:color="auto" w:fill="F0F0F0"/>
                </w:tcPr>
                <w:p>
                  <w:pPr>
                    <w:pStyle w:val="Normal"/>
                    <w:keepLines w:val="on"/>
                  </w:pPr>
                  <w:r>
                    <w:t>$1,505</w:t>
                  </w:r>
                </w:p>
              </w:tc>
              <w:tc>
                <w:tcPr>
                  <w:tcW w:type="auto" w:w="0"/>
                  <w:shd w:val="clear" w:color="auto" w:fill="F0F0F0"/>
                </w:tcPr>
                <w:p>
                  <w:pPr>
                    <w:pStyle w:val="Normal"/>
                    <w:keepLines w:val="on"/>
                  </w:pPr>
                  <w:r>
                    <w:t>$1,617</w:t>
                  </w:r>
                </w:p>
              </w:tc>
            </w:tr>
            <w:tr>
              <w:tc>
                <w:tcPr>
                  <w:tcW w:type="auto" w:w="0"/>
                  <w:shd w:val="clear" w:color="auto" w:fill="F0F0F0"/>
                </w:tcPr>
                <w:p>
                  <w:pPr>
                    <w:pStyle w:val="Para 02"/>
                    <w:keepLines w:val="on"/>
                  </w:pPr>
                  <w:r>
                    <w:t>Tỷ số khả năng chi trả lãi vay</w:t>
                  </w:r>
                </w:p>
              </w:tc>
              <w:tc>
                <w:tcPr>
                  <w:tcW w:type="auto" w:w="0"/>
                  <w:shd w:val="clear" w:color="auto" w:fill="F0F0F0"/>
                </w:tcPr>
                <w:p>
                  <w:pPr>
                    <w:pStyle w:val="Normal"/>
                    <w:keepLines w:val="on"/>
                  </w:pPr>
                  <w:r>
                    <w:t>2.37</w:t>
                  </w:r>
                </w:p>
              </w:tc>
              <w:tc>
                <w:tcPr>
                  <w:tcW w:type="auto" w:w="0"/>
                  <w:shd w:val="clear" w:color="auto" w:fill="F0F0F0"/>
                </w:tcPr>
                <w:p>
                  <w:pPr>
                    <w:pStyle w:val="Normal"/>
                    <w:keepLines w:val="on"/>
                  </w:pPr>
                  <w:r>
                    <w:t>14.87</w:t>
                  </w:r>
                </w:p>
              </w:tc>
            </w:tr>
            <w:tr>
              <w:tc>
                <w:tcPr>
                  <w:tcW w:type="auto" w:w="0"/>
                  <w:shd w:val="clear" w:color="auto" w:fill="F0F0F0"/>
                </w:tcPr>
                <w:p>
                  <w:pPr>
                    <w:pStyle w:val="Para 02"/>
                    <w:keepLines w:val="on"/>
                  </w:pPr>
                  <w:r>
                    <w:t/>
                  </w:r>
                </w:p>
              </w:tc>
              <w:tc>
                <w:tcPr>
                  <w:tcW w:type="auto" w:w="0"/>
                  <w:shd w:val="clear" w:color="auto" w:fill="F0F0F0"/>
                </w:tcPr>
                <w:p>
                  <w:pPr>
                    <w:pStyle w:val="Normal"/>
                    <w:keepLines w:val="on"/>
                  </w:pPr>
                  <w:r>
                    <w:t/>
                  </w:r>
                </w:p>
              </w:tc>
              <w:tc>
                <w:tcPr>
                  <w:tcW w:type="auto" w:w="0"/>
                  <w:shd w:val="clear" w:color="auto" w:fill="F0F0F0"/>
                </w:tcPr>
                <w:p>
                  <w:pPr>
                    <w:pStyle w:val="Normal"/>
                    <w:keepLines w:val="on"/>
                  </w:pPr>
                  <w:r>
                    <w:t/>
                  </w:r>
                </w:p>
              </w:tc>
            </w:tr>
            <w:tr>
              <w:tc>
                <w:tcPr>
                  <w:tcW w:type="auto" w:w="0"/>
                  <w:shd w:val="clear" w:color="auto" w:fill="F0F0F0"/>
                </w:tcPr>
                <w:p>
                  <w:pPr>
                    <w:pStyle w:val="Para 02"/>
                    <w:keepLines w:val="on"/>
                  </w:pPr>
                  <w:r>
                    <w:t>EBIT</w:t>
                  </w:r>
                </w:p>
              </w:tc>
              <w:tc>
                <w:tcPr>
                  <w:tcW w:type="auto" w:w="0"/>
                  <w:shd w:val="clear" w:color="auto" w:fill="F0F0F0"/>
                </w:tcPr>
                <w:p>
                  <w:pPr>
                    <w:pStyle w:val="Normal"/>
                    <w:keepLines w:val="on"/>
                  </w:pPr>
                  <w:r>
                    <w:t>$3,561</w:t>
                  </w:r>
                </w:p>
              </w:tc>
              <w:tc>
                <w:tcPr>
                  <w:tcW w:type="auto" w:w="0"/>
                  <w:shd w:val="clear" w:color="auto" w:fill="F0F0F0"/>
                </w:tcPr>
                <w:p>
                  <w:pPr>
                    <w:pStyle w:val="Normal"/>
                    <w:keepLines w:val="on"/>
                  </w:pPr>
                  <w:r>
                    <w:t>$24,039</w:t>
                  </w:r>
                </w:p>
              </w:tc>
            </w:tr>
            <w:tr>
              <w:tc>
                <w:tcPr>
                  <w:tcW w:type="auto" w:w="0"/>
                  <w:shd w:val="clear" w:color="auto" w:fill="F0F0F0"/>
                </w:tcPr>
                <w:p>
                  <w:pPr>
                    <w:pStyle w:val="Para 02"/>
                    <w:keepLines w:val="on"/>
                  </w:pPr>
                  <w:r>
                    <w:t>Chi phí thuê hoạt động (Cố định)</w:t>
                  </w:r>
                </w:p>
              </w:tc>
              <w:tc>
                <w:tcPr>
                  <w:tcW w:type="auto" w:w="0"/>
                  <w:shd w:val="clear" w:color="auto" w:fill="F0F0F0"/>
                </w:tcPr>
                <w:p>
                  <w:pPr>
                    <w:pStyle w:val="Normal"/>
                    <w:keepLines w:val="on"/>
                  </w:pPr>
                  <w:r>
                    <w:t>$463</w:t>
                  </w:r>
                </w:p>
              </w:tc>
              <w:tc>
                <w:tcPr>
                  <w:tcW w:type="auto" w:w="0"/>
                  <w:shd w:val="clear" w:color="auto" w:fill="F0F0F0"/>
                </w:tcPr>
                <w:p>
                  <w:pPr>
                    <w:pStyle w:val="Normal"/>
                    <w:keepLines w:val="on"/>
                  </w:pPr>
                  <w:r>
                    <w:t>$1,169</w:t>
                  </w:r>
                </w:p>
              </w:tc>
            </w:tr>
            <w:tr>
              <w:tc>
                <w:tcPr>
                  <w:tcW w:type="auto" w:w="0"/>
                  <w:shd w:val="clear" w:color="auto" w:fill="F0F0F0"/>
                </w:tcPr>
                <w:p>
                  <w:pPr>
                    <w:pStyle w:val="Para 02"/>
                    <w:keepLines w:val="on"/>
                  </w:pPr>
                  <w:r>
                    <w:t>Chi phí lãi vay</w:t>
                  </w:r>
                </w:p>
              </w:tc>
              <w:tc>
                <w:tcPr>
                  <w:tcW w:type="auto" w:w="0"/>
                  <w:shd w:val="clear" w:color="auto" w:fill="F0F0F0"/>
                </w:tcPr>
                <w:p>
                  <w:pPr>
                    <w:pStyle w:val="Normal"/>
                    <w:keepLines w:val="on"/>
                  </w:pPr>
                  <w:r>
                    <w:t>$1,505</w:t>
                  </w:r>
                </w:p>
              </w:tc>
              <w:tc>
                <w:tcPr>
                  <w:tcW w:type="auto" w:w="0"/>
                  <w:shd w:val="clear" w:color="auto" w:fill="F0F0F0"/>
                </w:tcPr>
                <w:p>
                  <w:pPr>
                    <w:pStyle w:val="Normal"/>
                    <w:keepLines w:val="on"/>
                  </w:pPr>
                  <w:r>
                    <w:t>$1,617</w:t>
                  </w:r>
                </w:p>
              </w:tc>
            </w:tr>
            <w:tr>
              <w:tc>
                <w:tcPr>
                  <w:tcW w:type="auto" w:w="0"/>
                  <w:shd w:val="clear" w:color="auto" w:fill="F0F0F0"/>
                </w:tcPr>
                <w:p>
                  <w:pPr>
                    <w:pStyle w:val="Para 02"/>
                    <w:keepLines w:val="on"/>
                  </w:pPr>
                  <w:r>
                    <w:t>Tỷ lệ bao phủ chi phí cố định</w:t>
                  </w:r>
                </w:p>
              </w:tc>
              <w:tc>
                <w:tcPr>
                  <w:tcW w:type="auto" w:w="0"/>
                  <w:shd w:val="clear" w:color="auto" w:fill="F0F0F0"/>
                </w:tcPr>
                <w:p>
                  <w:pPr>
                    <w:pStyle w:val="Normal"/>
                    <w:keepLines w:val="on"/>
                  </w:pPr>
                  <w:r>
                    <w:t>1,81</w:t>
                  </w:r>
                </w:p>
              </w:tc>
              <w:tc>
                <w:tcPr>
                  <w:tcW w:type="auto" w:w="0"/>
                  <w:shd w:val="clear" w:color="auto" w:fill="F0F0F0"/>
                </w:tcPr>
                <w:p>
                  <w:pPr>
                    <w:pStyle w:val="Normal"/>
                    <w:keepLines w:val="on"/>
                  </w:pPr>
                  <w:r>
                    <w:t>8,63</w:t>
                  </w:r>
                </w:p>
              </w:tc>
            </w:tr>
            <w:tr>
              <w:tc>
                <w:tcPr>
                  <w:tcW w:type="auto" w:w="0"/>
                  <w:shd w:val="clear" w:color="auto" w:fill="F0F0F0"/>
                </w:tcPr>
                <w:p>
                  <w:pPr>
                    <w:pStyle w:val="Para 02"/>
                    <w:keepLines w:val="on"/>
                  </w:pPr>
                  <w:r>
                    <w:t/>
                  </w:r>
                </w:p>
              </w:tc>
              <w:tc>
                <w:tcPr>
                  <w:tcW w:type="auto" w:w="0"/>
                  <w:shd w:val="clear" w:color="auto" w:fill="F0F0F0"/>
                </w:tcPr>
                <w:p>
                  <w:pPr>
                    <w:pStyle w:val="Normal"/>
                    <w:keepLines w:val="on"/>
                  </w:pPr>
                  <w:r>
                    <w:t/>
                  </w:r>
                </w:p>
              </w:tc>
              <w:tc>
                <w:tcPr>
                  <w:tcW w:type="auto" w:w="0"/>
                  <w:shd w:val="clear" w:color="auto" w:fill="F0F0F0"/>
                </w:tcPr>
                <w:p>
                  <w:pPr>
                    <w:pStyle w:val="Normal"/>
                    <w:keepLines w:val="on"/>
                  </w:pPr>
                  <w:r>
                    <w:t/>
                  </w:r>
                </w:p>
              </w:tc>
            </w:tr>
            <w:tr>
              <w:tc>
                <w:tcPr>
                  <w:tcW w:type="auto" w:w="0"/>
                  <w:shd w:val="clear" w:color="auto" w:fill="F0F0F0"/>
                </w:tcPr>
                <w:p>
                  <w:pPr>
                    <w:pStyle w:val="Para 02"/>
                    <w:keepLines w:val="on"/>
                  </w:pPr>
                  <w:r>
                    <w:t>EBITDA</w:t>
                  </w:r>
                </w:p>
              </w:tc>
              <w:tc>
                <w:tcPr>
                  <w:tcW w:type="auto" w:w="0"/>
                  <w:shd w:val="clear" w:color="auto" w:fill="F0F0F0"/>
                </w:tcPr>
                <w:p>
                  <w:pPr>
                    <w:pStyle w:val="Normal"/>
                    <w:keepLines w:val="on"/>
                  </w:pPr>
                  <w:r>
                    <w:t>$7,772</w:t>
                  </w:r>
                </w:p>
              </w:tc>
              <w:tc>
                <w:tcPr>
                  <w:tcW w:type="auto" w:w="0"/>
                  <w:shd w:val="clear" w:color="auto" w:fill="F0F0F0"/>
                </w:tcPr>
                <w:p>
                  <w:pPr>
                    <w:pStyle w:val="Normal"/>
                    <w:keepLines w:val="on"/>
                  </w:pPr>
                  <w:r>
                    <w:t>$26,494</w:t>
                  </w:r>
                </w:p>
              </w:tc>
            </w:tr>
            <w:tr>
              <w:tc>
                <w:tcPr>
                  <w:tcW w:type="auto" w:w="0"/>
                  <w:shd w:val="clear" w:color="auto" w:fill="F0F0F0"/>
                </w:tcPr>
                <w:p>
                  <w:pPr>
                    <w:pStyle w:val="Para 02"/>
                    <w:keepLines w:val="on"/>
                  </w:pPr>
                  <w:r>
                    <w:t>Chi phí cố định bằng tiền mặt</w:t>
                  </w:r>
                </w:p>
              </w:tc>
              <w:tc>
                <w:tcPr>
                  <w:tcW w:type="auto" w:w="0"/>
                  <w:shd w:val="clear" w:color="auto" w:fill="F0F0F0"/>
                </w:tcPr>
                <w:p>
                  <w:pPr>
                    <w:pStyle w:val="Normal"/>
                    <w:keepLines w:val="on"/>
                  </w:pPr>
                  <w:r>
                    <w:t>$1,968</w:t>
                  </w:r>
                </w:p>
              </w:tc>
              <w:tc>
                <w:tcPr>
                  <w:tcW w:type="auto" w:w="0"/>
                  <w:shd w:val="clear" w:color="auto" w:fill="F0F0F0"/>
                </w:tcPr>
                <w:p>
                  <w:pPr>
                    <w:pStyle w:val="Normal"/>
                    <w:keepLines w:val="on"/>
                  </w:pPr>
                  <w:r>
                    <w:t>$2,786</w:t>
                  </w:r>
                </w:p>
              </w:tc>
            </w:tr>
            <w:tr>
              <w:tc>
                <w:tcPr>
                  <w:tcW w:type="auto" w:w="0"/>
                  <w:shd w:val="clear" w:color="auto" w:fill="F0F0F0"/>
                </w:tcPr>
                <w:p>
                  <w:pPr>
                    <w:pStyle w:val="Para 02"/>
                    <w:keepLines w:val="on"/>
                  </w:pPr>
                  <w:r>
                    <w:t>Tỷ lệ bao phủ chi phí cố định bằng tiền mặt</w:t>
                  </w:r>
                </w:p>
              </w:tc>
              <w:tc>
                <w:tcPr>
                  <w:tcW w:type="auto" w:w="0"/>
                  <w:shd w:val="clear" w:color="auto" w:fill="F0F0F0"/>
                </w:tcPr>
                <w:p>
                  <w:pPr>
                    <w:pStyle w:val="Normal"/>
                    <w:keepLines w:val="on"/>
                  </w:pPr>
                  <w:r>
                    <w:t>3,95</w:t>
                  </w:r>
                </w:p>
              </w:tc>
              <w:tc>
                <w:tcPr>
                  <w:tcW w:type="auto" w:w="0"/>
                  <w:shd w:val="clear" w:color="auto" w:fill="F0F0F0"/>
                </w:tcPr>
                <w:p>
                  <w:pPr>
                    <w:pStyle w:val="Normal"/>
                    <w:keepLines w:val="on"/>
                  </w:pPr>
                  <w:r>
                    <w:t>9,51</w:t>
                  </w:r>
                </w:p>
              </w:tc>
            </w:tr>
            <w:tr>
              <w:tc>
                <w:tcPr>
                  <w:tcW w:type="auto" w:w="0"/>
                  <w:shd w:val="clear" w:color="auto" w:fill="F0F0F0"/>
                </w:tcPr>
                <w:p>
                  <w:pPr>
                    <w:pStyle w:val="Para 02"/>
                    <w:keepLines w:val="on"/>
                  </w:pPr>
                  <w:r>
                    <w:t/>
                  </w:r>
                </w:p>
              </w:tc>
              <w:tc>
                <w:tcPr>
                  <w:tcW w:type="auto" w:w="0"/>
                  <w:shd w:val="clear" w:color="auto" w:fill="F0F0F0"/>
                </w:tcPr>
                <w:p>
                  <w:pPr>
                    <w:pStyle w:val="Normal"/>
                    <w:keepLines w:val="on"/>
                  </w:pPr>
                  <w:r>
                    <w:t/>
                  </w:r>
                </w:p>
              </w:tc>
              <w:tc>
                <w:tcPr>
                  <w:tcW w:type="auto" w:w="0"/>
                  <w:shd w:val="clear" w:color="auto" w:fill="F0F0F0"/>
                </w:tcPr>
                <w:p>
                  <w:pPr>
                    <w:pStyle w:val="Normal"/>
                    <w:keepLines w:val="on"/>
                  </w:pPr>
                  <w:r>
                    <w:t/>
                  </w:r>
                </w:p>
              </w:tc>
            </w:tr>
            <w:tr>
              <w:tc>
                <w:tcPr>
                  <w:tcW w:type="auto" w:w="0"/>
                  <w:shd w:val="clear" w:color="auto" w:fill="F0F0F0"/>
                </w:tcPr>
                <w:p>
                  <w:pPr>
                    <w:pStyle w:val="Para 02"/>
                    <w:keepLines w:val="on"/>
                  </w:pPr>
                  <w:r>
                    <w:t>Dòng tiền từ hoạt động kinh doanh</w:t>
                  </w:r>
                </w:p>
              </w:tc>
              <w:tc>
                <w:tcPr>
                  <w:tcW w:type="auto" w:w="0"/>
                  <w:shd w:val="clear" w:color="auto" w:fill="F0F0F0"/>
                </w:tcPr>
                <w:p>
                  <w:pPr>
                    <w:pStyle w:val="Normal"/>
                    <w:keepLines w:val="on"/>
                  </w:pPr>
                  <w:r>
                    <w:t>$7,883</w:t>
                  </w:r>
                </w:p>
              </w:tc>
              <w:tc>
                <w:tcPr>
                  <w:tcW w:type="auto" w:w="0"/>
                  <w:shd w:val="clear" w:color="auto" w:fill="F0F0F0"/>
                </w:tcPr>
                <w:p>
                  <w:pPr>
                    <w:pStyle w:val="Normal"/>
                    <w:keepLines w:val="on"/>
                  </w:pPr>
                  <w:r>
                    <w:t>$14,615</w:t>
                  </w:r>
                </w:p>
              </w:tc>
            </w:tr>
            <w:tr>
              <w:tc>
                <w:tcPr>
                  <w:tcW w:type="auto" w:w="0"/>
                  <w:shd w:val="clear" w:color="auto" w:fill="F0F0F0"/>
                </w:tcPr>
                <w:p>
                  <w:pPr>
                    <w:pStyle w:val="Para 02"/>
                    <w:keepLines w:val="on"/>
                  </w:pPr>
                  <w:r>
                    <w:t>Chi tiêu vốn</w:t>
                  </w:r>
                </w:p>
              </w:tc>
              <w:tc>
                <w:tcPr>
                  <w:tcW w:type="auto" w:w="0"/>
                  <w:shd w:val="clear" w:color="auto" w:fill="F0F0F0"/>
                </w:tcPr>
                <w:p>
                  <w:pPr>
                    <w:pStyle w:val="Normal"/>
                    <w:keepLines w:val="on"/>
                  </w:pPr>
                  <w:r>
                    <w:t>$2,415</w:t>
                  </w:r>
                </w:p>
              </w:tc>
              <w:tc>
                <w:tcPr>
                  <w:tcW w:type="auto" w:w="0"/>
                  <w:shd w:val="clear" w:color="auto" w:fill="F0F0F0"/>
                </w:tcPr>
                <w:p>
                  <w:pPr>
                    <w:pStyle w:val="Normal"/>
                    <w:keepLines w:val="on"/>
                  </w:pPr>
                  <w:r>
                    <w:t>$3,119</w:t>
                  </w:r>
                </w:p>
              </w:tc>
            </w:tr>
            <w:tr>
              <w:tc>
                <w:tcPr>
                  <w:tcW w:type="auto" w:w="0"/>
                  <w:shd w:val="clear" w:color="auto" w:fill="F0F0F0"/>
                </w:tcPr>
                <w:p>
                  <w:pPr>
                    <w:pStyle w:val="Para 02"/>
                    <w:keepLines w:val="on"/>
                  </w:pPr>
                  <w:r>
                    <w:t>Dòng tiền/Chi tiêu vốn</w:t>
                  </w:r>
                </w:p>
              </w:tc>
              <w:tc>
                <w:tcPr>
                  <w:tcW w:type="auto" w:w="0"/>
                  <w:shd w:val="clear" w:color="auto" w:fill="F0F0F0"/>
                </w:tcPr>
                <w:p>
                  <w:pPr>
                    <w:pStyle w:val="Normal"/>
                    <w:keepLines w:val="on"/>
                  </w:pPr>
                  <w:r>
                    <w:t>3,26</w:t>
                  </w:r>
                </w:p>
              </w:tc>
              <w:tc>
                <w:tcPr>
                  <w:tcW w:type="auto" w:w="0"/>
                  <w:shd w:val="clear" w:color="auto" w:fill="F0F0F0"/>
                </w:tcPr>
                <w:p>
                  <w:pPr>
                    <w:pStyle w:val="Normal"/>
                    <w:keepLines w:val="on"/>
                  </w:pPr>
                  <w:r>
                    <w:t>4,69</w:t>
                  </w:r>
                </w:p>
              </w:tc>
            </w:tr>
          </w:tbl>
          <w:p/>
        </w:tc>
      </w:tr>
    </w:tbl>
    <w:p>
      <w:pPr>
        <w:pStyle w:val="Para 04"/>
        <w:keepLines w:val="on"/>
      </w:pPr>
      <w:r>
        <w:t>RTX, dựa trên thu nhập hoạt động năm 2023, trông có vẻ rủi ro hơn Home Depot trên mọi thước đo về gánh nặng nợ, với thu nhập và dòng tiền tạo ra ít hơn so với các khoản thanh toán nợ và chi phí cố định. Với cả hai công ty, thu nhập hoạt động đã lên xuống thất thường qua các năm, và có lẽ sẽ hợp lý hơn khi tính các tỷ số này nếu nhìn vào thu nhập hoạt động bình quân theo thời gian.</w:t>
      </w:r>
    </w:p>
    <w:p>
      <w:pPr>
        <w:pStyle w:val="Para 20"/>
      </w:pPr>
      <w:r>
        <w:rPr>
          <w:rStyle w:val="Text26"/>
        </w:rPr>
        <w:bookmarkStart w:id="417" w:name="Page_55"/>
        <w:t/>
        <w:bookmarkEnd w:id="417"/>
      </w:r>
      <w:r>
        <w:t xml:space="preserve"> </w:t>
      </w:r>
    </w:p>
    <w:p>
      <w:pPr>
        <w:pStyle w:val="Para 11"/>
      </w:pPr>
      <w:r>
        <w:t xml:space="preserve"> </w:t>
      </w:r>
    </w:p>
    <w:p>
      <w:bookmarkStart w:id="418" w:name="finratio_xls__This_spreadsheet_a"/>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1"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418"/>
    </w:p>
    <w:p>
      <w:pPr>
        <w:pStyle w:val="Para 31"/>
        <w:keepLines w:val="on"/>
      </w:pPr>
      <w:r>
        <w:t>finratio.xls: Bảng tính này cho phép bạn tính các tỷ số khả năng chi trả lãi vay (interest coverage) và khả năng chi trả chi phí cố định (fixed charges coverage) của một công ty dựa trên dữ liệu báo cáo tài chính.</w:t>
      </w:r>
    </w:p>
    <w:p>
      <w:bookmarkStart w:id="419" w:name="Debt_Ratios__Interest_coverage_r"/>
      <w:pPr>
        <w:pStyle w:val="Para 42"/>
      </w:pPr>
      <w:r>
        <w:t>Các tỷ số nợ</w:t>
      </w:r>
      <w:bookmarkEnd w:id="419"/>
    </w:p>
    <w:p>
      <w:pPr>
        <w:pStyle w:val="Para 03"/>
      </w:pPr>
      <w:r>
        <w:t>Các tỷ số khả năng chi trả lãi vay đo lường khả năng của công ty trong việc đáp ứng các khoản thanh toán lãi, nhưng không xem xét liệu công ty có thể trả lại phần gốc của khoản nợ đang lưu hành hay không. Các tỷ số nợ cố gắng làm điều này bằng cách liên hệ nợ với tổng vốn hoặc với vốn chủ sở hữu:</w:t>
      </w:r>
    </w:p>
    <w:p>
      <w:bookmarkStart w:id="421" w:name="DebttoCapital_Debt__Debt_Equity"/>
      <w:pPr>
        <w:keepNext/>
        <w:pStyle w:val="Para 09"/>
        <w:keepLines w:val="on"/>
      </w:pPr>
      <w:r>
        <w:t>Nợ trên Vốn = Nợ/(Nợ + Vốn chủ sở hữu)Nợ trên Vốn chủ sở hữu = Nợ/Vốn chủ sở hữu</w:t>
      </w:r>
      <w:bookmarkEnd w:id="421"/>
    </w:p>
    <w:p>
      <w:pPr>
        <w:pStyle w:val="Para 03"/>
      </w:pPr>
      <w:r>
        <w:t>Tỷ số thứ nhất đo lường nợ như một tỷ lệ trong tổng vốn của công ty và không thể vượt quá 100 phần trăm. Tỷ số thứ hai đo lường nợ như một tỷ lệ so với giá trị sổ sách của vốn chủ sở hữu trong công ty và có thể dễ dàng suy ra từ tỷ số thứ nhất, vì:</w:t>
      </w:r>
    </w:p>
    <w:p>
      <w:bookmarkStart w:id="422" w:name="DebttoEquity_DebttoCapital__1"/>
      <w:pPr>
        <w:keepNext/>
        <w:pStyle w:val="Para 09"/>
        <w:keepLines w:val="on"/>
      </w:pPr>
      <w:r>
        <w:t>Nợ trên Vốn chủ sở hữu = Nợ trên Vốn/(1−Nợ trên Vốn)</w:t>
      </w:r>
      <w:bookmarkEnd w:id="422"/>
    </w:p>
    <w:p>
      <w:pPr>
        <w:pStyle w:val="Para 03"/>
      </w:pPr>
      <w:r>
        <w:t>Trong khi các tỷ số này giả định rằng vốn được huy động chỉ từ nợ và vốn chủ sở hữu, chúng có thể dễ dàng được điều chỉnh để bao gồm các nguồn tài trợ khác như cổ phiếu ưu đãi. Mặc dù cổ phiếu ưu đãi đôi khi được gộp chung với cổ phiếu phổ thông dưới nhãn vốn chủ sở hữu, tốt hơn là nên giữ hai nguồn tài trợ này tách biệt, và tính tỷ số của cổ phiếu ưu đãi trên vốn (bao gồm nợ, vốn chủ sở hữu và cổ phiếu ưu đãi).</w:t>
      </w:r>
    </w:p>
    <w:p>
      <w:pPr>
        <w:pStyle w:val="Para 03"/>
      </w:pPr>
      <w:r>
        <w:t>Có hai biến thể gần giống của các tỷ số nợ. Trong biến thể thứ nhất, chỉ nợ dài hạn được sử dụng thay vì tổng nợ, với lý do rằng nợ ngắn hạn chỉ là tạm thời và sẽ không ảnh hưởng đến khả năng thanh toán dài hạn của công ty.</w:t>
      </w:r>
    </w:p>
    <w:p>
      <w:bookmarkStart w:id="423" w:name="Long_term_Debt_to_Capital_Long_t"/>
      <w:pPr>
        <w:keepNext/>
        <w:pStyle w:val="Para 09"/>
        <w:keepLines w:val="on"/>
      </w:pPr>
      <w:r>
        <w:t>Nợ dài hạn trên Vốn = Nợ dài hạn/(Nợ dài hạn + Vốn chủ sở hữu)Nợ dài hạn trên Vốn chủ sở hữu = Nợ dài hạn/Vốn chủ sở hữu</w:t>
      </w:r>
      <w:bookmarkEnd w:id="423"/>
    </w:p>
    <w:p>
      <w:pPr>
        <w:pStyle w:val="Para 03"/>
      </w:pPr>
      <w:r>
        <w:t>Do một số công ty có thể dễ dàng đảo nợ ngắn hạn và nhiều công ty sẵn sàng sử dụng tài trợ ngắn hạn để tài trợ cho các dự án dài hạn, những biến thể này có thể đưa ra một bức tranh gây nhầm lẫn về rủi ro đòn bẩy tài chính của công ty.</w:t>
      </w:r>
    </w:p>
    <w:p>
      <w:pPr>
        <w:pStyle w:val="Para 03"/>
      </w:pPr>
      <w:r>
        <w:t>Biến thể thứ hai của các tỷ số nợ sử dụng giá trị thị trường (market value – MV) thay vì giá trị sổ sách (book value – BV), chủ yếu để phản ánh thực tế rằng một số công ty có khả năng vay nợ lớn hơn đáng kể so với giá trị sổ sách của họ.</w:t>
      </w:r>
    </w:p>
    <w:p>
      <w:bookmarkStart w:id="424" w:name="Market_Value_Debt_to_Capital_MV"/>
      <w:pPr>
        <w:keepNext/>
        <w:pStyle w:val="Para 09"/>
        <w:keepLines w:val="on"/>
      </w:pPr>
      <w:r>
        <w:t>Nợ trên Vốn theo Giá trị Thị trường = Giá trị thị trường của Nợ/(Giá trị thị trường của Nợ + Giá trị thị trường của Vốn chủ sở hữu)Nợ trên Vốn chủ sở hữu theo Giá trị Thị trường = Giá trị thị trường của Nợ/Giá trị thị trường của Vốn chủ sở hữu</w:t>
      </w:r>
      <w:bookmarkEnd w:id="424"/>
    </w:p>
    <w:p>
      <w:pPr>
        <w:pStyle w:val="Para 03"/>
      </w:pPr>
      <w:r>
        <w:t>Nhiều nhà phân tích phủ nhận việc sử dụng giá trị thị trường trong tính toán của họ, cho rằng giá trị thị trường, ngoài việc khó có được đối với nợ, còn biến động và do đó không đáng tin cậy. Những lập luận này vẫn còn gây tranh cãi. Đúng là giá trị thị trường của nợ khó có được đối với các công ty không có trái phiếu được giao dịch công khai, nhưng giá trị thị trường của vốn chủ sở hữu không chỉ dễ lấy mà còn liên tục được cập nhật để phản ánh những thay đổi trên toàn thị trường và riêng từng công ty. Hơn nữa, việc sử dụng giá trị sổ sách của nợ làm đại diện cho giá trị thị trường trong những trường hợp trái phiếu không được giao dịch không làm thay đổi đáng kể hầu hết các tỷ số nợ dựa trên giá trị thị trường.9</w:t>
      </w:r>
    </w:p>
    <w:p>
      <w:pPr>
        <w:pStyle w:val="Para 11"/>
      </w:pPr>
      <w:r>
        <w:t xml:space="preserve"> </w:t>
      </w:r>
    </w:p>
    <w:p>
      <w:bookmarkStart w:id="427" w:name="ILLUSTRATION_3_7__Book_Value_Deb_1"/>
      <w:bookmarkStart w:id="428" w:name="ILLUSTRATION_3_7__Book_Value_Deb"/>
      <w:pPr>
        <w:keepNext/>
        <w:pStyle w:val="Para 19"/>
        <w:keepLines w:val="on"/>
      </w:pPr>
      <w:r>
        <w:t>MINH HỌA 3.7: Các tỷ số nợ theo giá trị sổ sách và các biến thể—RTX và Home Depot</w:t>
      </w:r>
      <w:bookmarkEnd w:id="427"/>
      <w:bookmarkEnd w:id="428"/>
    </w:p>
    <w:p>
      <w:pPr>
        <w:pStyle w:val="Para 04"/>
        <w:keepLines w:val="on"/>
      </w:pPr>
      <w:r>
        <w:t>Bảng 3.7 tóm tắt các ước tính khác nhau về tỷ số nợ của Boeing và Home Depot vào năm 2023, sử dụng giá trị sổ sách của nợ và vốn chủ sở hữu cho cả hai công ty:</w:t>
      </w:r>
    </w:p>
    <w:p>
      <w:pPr>
        <w:pStyle w:val="Para 25"/>
        <w:keepLines w:val="on"/>
      </w:pPr>
      <w:r>
        <w:t>Bảng 3.7</w:t>
      </w:r>
    </w:p>
    <w:p>
      <w:pPr>
        <w:keepNext/>
        <w:pStyle w:val="Para 24"/>
        <w:keepLines w:val="on"/>
      </w:pPr>
      <w:r>
        <w:t>Các tỷ số nợ của Raytheon và Home Depot</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05"/>
                    <w:keepLines w:val="on"/>
                  </w:pPr>
                  <w:r>
                    <w:t>RTX</w:t>
                  </w:r>
                </w:p>
              </w:tc>
              <w:tc>
                <w:tcPr>
                  <w:tcW w:type="auto" w:w="0"/>
                  <w:shd w:val="clear" w:color="auto" w:fill="F0F0F0"/>
                </w:tcPr>
                <w:p>
                  <w:pPr>
                    <w:pStyle w:val="Para 32"/>
                    <w:keepLines w:val="on"/>
                  </w:pPr>
                  <w:r>
                    <w:t>Home Depot</w:t>
                  </w:r>
                </w:p>
              </w:tc>
            </w:tr>
            <w:tr>
              <w:tc>
                <w:tcPr>
                  <w:tcW w:type="auto" w:w="0"/>
                  <w:shd w:val="clear" w:color="auto" w:fill="F0F0F0"/>
                </w:tcPr>
                <w:p>
                  <w:pPr>
                    <w:pStyle w:val="Para 02"/>
                    <w:keepLines w:val="on"/>
                  </w:pPr>
                  <w:r>
                    <w:t>Nợ dài hạn</w:t>
                  </w:r>
                </w:p>
              </w:tc>
              <w:tc>
                <w:tcPr>
                  <w:tcW w:type="auto" w:w="0"/>
                  <w:shd w:val="clear" w:color="auto" w:fill="F0F0F0"/>
                </w:tcPr>
                <w:p>
                  <w:pPr>
                    <w:pStyle w:val="Normal"/>
                    <w:keepLines w:val="on"/>
                  </w:pPr>
                  <w:r>
                    <w:t>$42.355</w:t>
                  </w:r>
                </w:p>
              </w:tc>
              <w:tc>
                <w:tcPr>
                  <w:tcW w:type="auto" w:w="0"/>
                  <w:shd w:val="clear" w:color="auto" w:fill="F0F0F0"/>
                </w:tcPr>
                <w:p>
                  <w:pPr>
                    <w:pStyle w:val="Normal"/>
                    <w:keepLines w:val="on"/>
                  </w:pPr>
                  <w:r>
                    <w:t>$ 41.962</w:t>
                  </w:r>
                </w:p>
              </w:tc>
            </w:tr>
            <w:tr>
              <w:tc>
                <w:tcPr>
                  <w:tcW w:type="auto" w:w="0"/>
                  <w:shd w:val="clear" w:color="auto" w:fill="F0F0F0"/>
                </w:tcPr>
                <w:p>
                  <w:pPr>
                    <w:pStyle w:val="Para 02"/>
                    <w:keepLines w:val="on"/>
                  </w:pPr>
                  <w:r>
                    <w:t>Nợ ngắn hạn</w:t>
                  </w:r>
                </w:p>
              </w:tc>
              <w:tc>
                <w:tcPr>
                  <w:tcW w:type="auto" w:w="0"/>
                  <w:shd w:val="clear" w:color="auto" w:fill="F0F0F0"/>
                </w:tcPr>
                <w:p>
                  <w:pPr>
                    <w:pStyle w:val="Normal"/>
                    <w:keepLines w:val="on"/>
                  </w:pPr>
                  <w:r>
                    <w:t>$1,472</w:t>
                  </w:r>
                </w:p>
              </w:tc>
              <w:tc>
                <w:tcPr>
                  <w:tcW w:type="auto" w:w="0"/>
                  <w:shd w:val="clear" w:color="auto" w:fill="F0F0F0"/>
                </w:tcPr>
                <w:p>
                  <w:pPr>
                    <w:pStyle w:val="Normal"/>
                    <w:keepLines w:val="on"/>
                  </w:pPr>
                  <w:r>
                    <w:t>$1,231</w:t>
                  </w:r>
                </w:p>
              </w:tc>
            </w:tr>
            <w:tr>
              <w:tc>
                <w:tcPr>
                  <w:tcW w:type="auto" w:w="0"/>
                  <w:shd w:val="clear" w:color="auto" w:fill="F0F0F0"/>
                </w:tcPr>
                <w:p>
                  <w:pPr>
                    <w:pStyle w:val="Para 02"/>
                    <w:keepLines w:val="on"/>
                  </w:pPr>
                  <w:r>
                    <w:t>Nợ thuê dài hạn</w:t>
                  </w:r>
                </w:p>
              </w:tc>
              <w:tc>
                <w:tcPr>
                  <w:tcW w:type="auto" w:w="0"/>
                  <w:shd w:val="clear" w:color="auto" w:fill="F0F0F0"/>
                </w:tcPr>
                <w:p>
                  <w:pPr>
                    <w:pStyle w:val="Normal"/>
                    <w:keepLines w:val="on"/>
                  </w:pPr>
                  <w:r>
                    <w:t>$1,412</w:t>
                  </w:r>
                </w:p>
              </w:tc>
              <w:tc>
                <w:tcPr>
                  <w:tcW w:type="auto" w:w="0"/>
                  <w:shd w:val="clear" w:color="auto" w:fill="F0F0F0"/>
                </w:tcPr>
                <w:p>
                  <w:pPr>
                    <w:pStyle w:val="Normal"/>
                    <w:keepLines w:val="on"/>
                  </w:pPr>
                  <w:r>
                    <w:t>$ 6,226</w:t>
                  </w:r>
                </w:p>
              </w:tc>
            </w:tr>
            <w:tr>
              <w:tc>
                <w:tcPr>
                  <w:tcW w:type="auto" w:w="0"/>
                  <w:shd w:val="clear" w:color="auto" w:fill="F0F0F0"/>
                </w:tcPr>
                <w:p>
                  <w:pPr>
                    <w:pStyle w:val="Para 02"/>
                    <w:keepLines w:val="on"/>
                  </w:pPr>
                  <w:r>
                    <w:t>Nợ thuê ngắn hạn</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$945</w:t>
                  </w:r>
                </w:p>
              </w:tc>
            </w:tr>
            <w:tr>
              <w:tc>
                <w:tcPr>
                  <w:tcW w:type="auto" w:w="0"/>
                  <w:shd w:val="clear" w:color="auto" w:fill="F0F0F0"/>
                </w:tcPr>
                <w:p>
                  <w:pPr>
                    <w:pStyle w:val="Para 02"/>
                    <w:keepLines w:val="on"/>
                  </w:pPr>
                  <w:r>
                    <w:t>Giá trị sổ sách của vốn chủ sở hữu</w:t>
                  </w:r>
                </w:p>
              </w:tc>
              <w:tc>
                <w:tcPr>
                  <w:tcW w:type="auto" w:w="0"/>
                  <w:shd w:val="clear" w:color="auto" w:fill="F0F0F0"/>
                </w:tcPr>
                <w:p>
                  <w:pPr>
                    <w:pStyle w:val="Normal"/>
                    <w:keepLines w:val="on"/>
                  </w:pPr>
                  <w:r>
                    <w:t>$61,445</w:t>
                  </w:r>
                </w:p>
              </w:tc>
              <w:tc>
                <w:tcPr>
                  <w:tcW w:type="auto" w:w="0"/>
                  <w:shd w:val="clear" w:color="auto" w:fill="F0F0F0"/>
                </w:tcPr>
                <w:p>
                  <w:pPr>
                    <w:pStyle w:val="Normal"/>
                    <w:keepLines w:val="on"/>
                  </w:pPr>
                  <w:r>
                    <w:t>$ 1,562</w:t>
                  </w:r>
                </w:p>
              </w:tc>
            </w:tr>
            <w:tr>
              <w:tc>
                <w:tcPr>
                  <w:tcW w:type="auto" w:w="0"/>
                  <w:shd w:val="clear" w:color="auto" w:fill="F0F0F0"/>
                </w:tcPr>
                <w:p>
                  <w:pPr>
                    <w:pStyle w:val="Para 02"/>
                    <w:keepLines w:val="on"/>
                  </w:pPr>
                  <w:r>
                    <w:t>Nợ dài hạn/Vốn chủ sở hữu</w:t>
                  </w:r>
                </w:p>
              </w:tc>
              <w:tc>
                <w:tcPr>
                  <w:tcW w:type="auto" w:w="0"/>
                  <w:shd w:val="clear" w:color="auto" w:fill="F0F0F0"/>
                </w:tcPr>
                <w:p>
                  <w:pPr>
                    <w:pStyle w:val="Normal"/>
                    <w:keepLines w:val="on"/>
                  </w:pPr>
                  <w:r>
                    <w:t>71.23%</w:t>
                  </w:r>
                </w:p>
              </w:tc>
              <w:tc>
                <w:tcPr>
                  <w:tcW w:type="auto" w:w="0"/>
                  <w:shd w:val="clear" w:color="auto" w:fill="F0F0F0"/>
                </w:tcPr>
                <w:p>
                  <w:pPr>
                    <w:pStyle w:val="Normal"/>
                    <w:keepLines w:val="on"/>
                  </w:pPr>
                  <w:r>
                    <w:t>3085.02%</w:t>
                  </w:r>
                </w:p>
              </w:tc>
            </w:tr>
            <w:tr>
              <w:tc>
                <w:tcPr>
                  <w:tcW w:type="auto" w:w="0"/>
                  <w:shd w:val="clear" w:color="auto" w:fill="F0F0F0"/>
                </w:tcPr>
                <w:p>
                  <w:pPr>
                    <w:pStyle w:val="Para 02"/>
                    <w:keepLines w:val="on"/>
                  </w:pPr>
                  <w:r>
                    <w:t>Nợ dài hạn/(Nợ dài hạn + Vốn chủ sở hữu)</w:t>
                  </w:r>
                </w:p>
              </w:tc>
              <w:tc>
                <w:tcPr>
                  <w:tcW w:type="auto" w:w="0"/>
                  <w:shd w:val="clear" w:color="auto" w:fill="F0F0F0"/>
                </w:tcPr>
                <w:p>
                  <w:pPr>
                    <w:pStyle w:val="Normal"/>
                    <w:keepLines w:val="on"/>
                  </w:pPr>
                  <w:r>
                    <w:t>41.60%</w:t>
                  </w:r>
                </w:p>
              </w:tc>
              <w:tc>
                <w:tcPr>
                  <w:tcW w:type="auto" w:w="0"/>
                  <w:shd w:val="clear" w:color="auto" w:fill="F0F0F0"/>
                </w:tcPr>
                <w:p>
                  <w:pPr>
                    <w:pStyle w:val="Normal"/>
                    <w:keepLines w:val="on"/>
                  </w:pPr>
                  <w:r>
                    <w:t>96.86%</w:t>
                  </w:r>
                </w:p>
              </w:tc>
            </w:tr>
            <w:tr>
              <w:tc>
                <w:tcPr>
                  <w:tcW w:type="auto" w:w="0"/>
                  <w:shd w:val="clear" w:color="auto" w:fill="F0F0F0"/>
                </w:tcPr>
                <w:p>
                  <w:pPr>
                    <w:pStyle w:val="Para 02"/>
                    <w:keepLines w:val="on"/>
                  </w:pPr>
                  <w:r>
                    <w:t>Tổng nợ/Vốn chủ sở hữu</w:t>
                  </w:r>
                </w:p>
              </w:tc>
              <w:tc>
                <w:tcPr>
                  <w:tcW w:type="auto" w:w="0"/>
                  <w:shd w:val="clear" w:color="auto" w:fill="F0F0F0"/>
                </w:tcPr>
                <w:p>
                  <w:pPr>
                    <w:pStyle w:val="Normal"/>
                    <w:keepLines w:val="on"/>
                  </w:pPr>
                  <w:r>
                    <w:t>73.63%</w:t>
                  </w:r>
                </w:p>
              </w:tc>
              <w:tc>
                <w:tcPr>
                  <w:tcW w:type="auto" w:w="0"/>
                  <w:shd w:val="clear" w:color="auto" w:fill="F0F0F0"/>
                </w:tcPr>
                <w:p>
                  <w:pPr>
                    <w:pStyle w:val="Normal"/>
                    <w:keepLines w:val="on"/>
                  </w:pPr>
                  <w:r>
                    <w:t>3224.33%</w:t>
                  </w:r>
                </w:p>
              </w:tc>
            </w:tr>
            <w:tr>
              <w:tc>
                <w:tcPr>
                  <w:tcW w:type="auto" w:w="0"/>
                  <w:shd w:val="clear" w:color="auto" w:fill="F0F0F0"/>
                </w:tcPr>
                <w:p>
                  <w:pPr>
                    <w:pStyle w:val="Para 02"/>
                    <w:keepLines w:val="on"/>
                  </w:pPr>
                  <w:r>
                    <w:t>Tổng nợ/(Tổng nợ + Vốn chủ sở hữu)</w:t>
                  </w:r>
                </w:p>
              </w:tc>
              <w:tc>
                <w:tcPr>
                  <w:tcW w:type="auto" w:w="0"/>
                  <w:shd w:val="clear" w:color="auto" w:fill="F0F0F0"/>
                </w:tcPr>
                <w:p>
                  <w:pPr>
                    <w:pStyle w:val="Normal"/>
                    <w:keepLines w:val="on"/>
                  </w:pPr>
                  <w:r>
                    <w:t>42.40%</w:t>
                  </w:r>
                </w:p>
              </w:tc>
              <w:tc>
                <w:tcPr>
                  <w:tcW w:type="auto" w:w="0"/>
                  <w:shd w:val="clear" w:color="auto" w:fill="F0F0F0"/>
                </w:tcPr>
                <w:p>
                  <w:pPr>
                    <w:pStyle w:val="Normal"/>
                    <w:keepLines w:val="on"/>
                  </w:pPr>
                  <w:r>
                    <w:t>96.99%</w:t>
                  </w:r>
                </w:p>
              </w:tc>
            </w:tr>
            <w:tr>
              <w:tc>
                <w:tcPr>
                  <w:tcW w:type="auto" w:w="0"/>
                  <w:shd w:val="clear" w:color="auto" w:fill="F0F0F0"/>
                </w:tcPr>
                <w:p>
                  <w:pPr>
                    <w:pStyle w:val="Para 02"/>
                    <w:keepLines w:val="on"/>
                  </w:pPr>
                  <w:r>
                    <w:t/>
                  </w:r>
                </w:p>
              </w:tc>
              <w:tc>
                <w:tcPr>
                  <w:tcW w:type="auto" w:w="0"/>
                  <w:shd w:val="clear" w:color="auto" w:fill="F0F0F0"/>
                </w:tcPr>
                <w:p>
                  <w:pPr>
                    <w:pStyle w:val="Normal"/>
                    <w:keepLines w:val="on"/>
                  </w:pPr>
                  <w:r>
                    <w:t/>
                  </w:r>
                </w:p>
              </w:tc>
              <w:tc>
                <w:tcPr>
                  <w:tcW w:type="auto" w:w="0"/>
                  <w:shd w:val="clear" w:color="auto" w:fill="F0F0F0"/>
                </w:tcPr>
                <w:p>
                  <w:pPr>
                    <w:pStyle w:val="Normal"/>
                    <w:keepLines w:val="on"/>
                  </w:pPr>
                  <w:r>
                    <w:t/>
                  </w:r>
                </w:p>
              </w:tc>
            </w:tr>
            <w:tr>
              <w:tc>
                <w:tcPr>
                  <w:tcW w:type="auto" w:w="0"/>
                  <w:shd w:val="clear" w:color="auto" w:fill="F0F0F0"/>
                </w:tcPr>
                <w:p>
                  <w:pPr>
                    <w:pStyle w:val="Para 02"/>
                    <w:keepLines w:val="on"/>
                  </w:pPr>
                  <w:r>
                    <w:t>Giá trị thị trường của vốn chủ sở hữu</w:t>
                  </w:r>
                </w:p>
              </w:tc>
              <w:tc>
                <w:tcPr>
                  <w:tcW w:type="auto" w:w="0"/>
                  <w:shd w:val="clear" w:color="auto" w:fill="F0F0F0"/>
                </w:tcPr>
                <w:p>
                  <w:pPr>
                    <w:pStyle w:val="Normal"/>
                    <w:keepLines w:val="on"/>
                  </w:pPr>
                  <w:r>
                    <w:t>120.930 đô la</w:t>
                  </w:r>
                </w:p>
              </w:tc>
              <w:tc>
                <w:tcPr>
                  <w:tcW w:type="auto" w:w="0"/>
                  <w:shd w:val="clear" w:color="auto" w:fill="F0F0F0"/>
                </w:tcPr>
                <w:p>
                  <w:pPr>
                    <w:pStyle w:val="Normal"/>
                    <w:keepLines w:val="on"/>
                  </w:pPr>
                  <w:r>
                    <w:t>363.720 đô la</w:t>
                  </w:r>
                </w:p>
              </w:tc>
            </w:tr>
            <w:tr>
              <w:tc>
                <w:tcPr>
                  <w:tcW w:type="auto" w:w="0"/>
                  <w:shd w:val="clear" w:color="auto" w:fill="F0F0F0"/>
                </w:tcPr>
                <w:p>
                  <w:pPr>
                    <w:pStyle w:val="Para 02"/>
                    <w:keepLines w:val="on"/>
                  </w:pPr>
                  <w:r>
                    <w:t>Tổng Nợ/Vốn chủ sở hữu (theo thị trường)</w:t>
                  </w:r>
                </w:p>
              </w:tc>
              <w:tc>
                <w:tcPr>
                  <w:tcW w:type="auto" w:w="0"/>
                  <w:shd w:val="clear" w:color="auto" w:fill="F0F0F0"/>
                </w:tcPr>
                <w:p>
                  <w:pPr>
                    <w:pStyle w:val="Normal"/>
                    <w:keepLines w:val="on"/>
                  </w:pPr>
                  <w:r>
                    <w:t>37,41%</w:t>
                  </w:r>
                </w:p>
              </w:tc>
              <w:tc>
                <w:tcPr>
                  <w:tcW w:type="auto" w:w="0"/>
                  <w:shd w:val="clear" w:color="auto" w:fill="F0F0F0"/>
                </w:tcPr>
                <w:p>
                  <w:pPr>
                    <w:pStyle w:val="Normal"/>
                    <w:keepLines w:val="on"/>
                  </w:pPr>
                  <w:r>
                    <w:t>13,85%</w:t>
                  </w:r>
                </w:p>
              </w:tc>
            </w:tr>
            <w:tr>
              <w:tc>
                <w:tcPr>
                  <w:tcW w:type="auto" w:w="0"/>
                  <w:shd w:val="clear" w:color="auto" w:fill="F0F0F0"/>
                </w:tcPr>
                <w:p>
                  <w:pPr>
                    <w:pStyle w:val="Para 02"/>
                    <w:keepLines w:val="on"/>
                  </w:pPr>
                  <w:r>
                    <w:t>Tổng Nợ trên Vốn (theo thị trường)</w:t>
                  </w:r>
                </w:p>
              </w:tc>
              <w:tc>
                <w:tcPr>
                  <w:tcW w:type="auto" w:w="0"/>
                  <w:shd w:val="clear" w:color="auto" w:fill="F0F0F0"/>
                </w:tcPr>
                <w:p>
                  <w:pPr>
                    <w:pStyle w:val="Normal"/>
                    <w:keepLines w:val="on"/>
                  </w:pPr>
                  <w:r>
                    <w:t>27,22%</w:t>
                  </w:r>
                </w:p>
              </w:tc>
              <w:tc>
                <w:tcPr>
                  <w:tcW w:type="auto" w:w="0"/>
                  <w:shd w:val="clear" w:color="auto" w:fill="F0F0F0"/>
                </w:tcPr>
                <w:p>
                  <w:pPr>
                    <w:pStyle w:val="Normal"/>
                    <w:keepLines w:val="on"/>
                  </w:pPr>
                  <w:r>
                    <w:t>12,16%</w:t>
                  </w:r>
                </w:p>
              </w:tc>
            </w:tr>
          </w:tbl>
          <w:p/>
        </w:tc>
      </w:tr>
    </w:tbl>
    <w:p>
      <w:pPr>
        <w:pStyle w:val="Para 04"/>
        <w:keepLines w:val="on"/>
      </w:pPr>
      <w:r>
        <w:t>Năm 2023, các tỷ lệ nợ trên sổ sách của Home Depot trông cao một cách kỳ quặc, nhưng đó là vì vốn chủ sở hữu trên sổ sách của họ vào cuối năm tài chính 2023 quá thấp (điều này cũng ảnh hưởng đến lợi nhuận kế toán trên vốn và vốn chủ sở hữu). Sự tương phản thật đáng kinh ngạc khi bạn dùng giá trị thị trường, và Home Depot có gánh nặng nợ thấp hơn RTX.</w:t>
      </w:r>
    </w:p>
    <w:p>
      <w:pPr>
        <w:pStyle w:val="Para 11"/>
      </w:pPr>
      <w:r>
        <w:t xml:space="preserve"> </w:t>
      </w:r>
    </w:p>
    <w:p>
      <w:bookmarkStart w:id="430" w:name="dbtfund_xls__This_is_a_dataset_o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2"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430"/>
    </w:p>
    <w:p>
      <w:pPr>
        <w:pStyle w:val="Para 31"/>
        <w:keepLines w:val="on"/>
      </w:pPr>
      <w:r>
        <w:t>dbtfund.xls: Đây là một bộ dữ liệu trên web tóm tắt các tỷ lệ nợ theo giá trị sổ sách và tỷ lệ nợ theo giá trị thị trường của các công ty ở Hoa Kỳ, được phân loại theo ngành.</w:t>
      </w:r>
    </w:p>
    <w:p>
      <w:bookmarkStart w:id="431" w:name="Other_Issues_in_Analyzing_Financ"/>
      <w:bookmarkStart w:id="432" w:name="Other_Issues_in_Analyzing_Financ_1"/>
      <w:pPr>
        <w:keepNext/>
        <w:pStyle w:val="Heading 2"/>
        <w:keepLines w:val="on"/>
      </w:pPr>
      <w:r>
        <w:t>Các vấn đề khác khi phân tích báo cáo tài chính</w:t>
      </w:r>
      <w:bookmarkEnd w:id="431"/>
      <w:bookmarkEnd w:id="432"/>
    </w:p>
    <w:p>
      <w:pPr>
        <w:pStyle w:val="Para 03"/>
      </w:pPr>
      <w:r>
        <w:t>Có những khác biệt đáng kể về chuẩn mực và thông lệ kế toán giữa các quốc gia, và những khác biệt này có thể làm sai lệch việc so sánh giữa các công ty.</w:t>
      </w:r>
    </w:p>
    <w:p>
      <w:bookmarkStart w:id="433" w:name="Differences_in_Accounting_Standa"/>
      <w:bookmarkStart w:id="434" w:name="Differences_in_Accounting_Standa_1"/>
      <w:pPr>
        <w:keepNext/>
        <w:pStyle w:val="Heading 3"/>
        <w:keepLines w:val="on"/>
      </w:pPr>
      <w:r>
        <w:t>Khác biệt về chuẩn mực và thông lệ kế toán</w:t>
      </w:r>
      <w:bookmarkEnd w:id="433"/>
      <w:bookmarkEnd w:id="434"/>
    </w:p>
    <w:p>
      <w:pPr>
        <w:pStyle w:val="Para 03"/>
      </w:pPr>
      <w:r>
        <w:t>Những khác biệt về chuẩn mực kế toán giữa các quốc gia ảnh hưởng đến cách đo lường lợi nhuận. Tuy nhiên, những khác biệt này không lớn như một số nhà phân tích vẫn tưởng, và chúng không thể biện minh cho những sai lệch cực đoan so với các nguyên tắc cơ bản của định giá. Choi và Levich, trong một khảo sát năm 1990 về các chuẩn mực kế toán trên các thị trường phát triển, lưu ý rằng hầu hết các quốc gia đều tuân theo những quan niệm kế toán cơ bản như nhất quán, thực hiện và nguyên tắc giá gốc khi lập báo cáo tài chính. Khi các quốc gia ngày càng hướng tới chuẩn mực báo cáo tài chính quốc tế (IFRS), đáng lưu ý rằng IFRS và GAAP của Hoa Kỳ giống nhau nhiều hơn khác ở nhiều vấn đề, như có thể thấy trong Bảng 3.8. Đúng là vẫn còn những lĩnh vực khác biệt, và hầu hết những khác biệt này đều có thể được tính đến và điều chỉnh khi so sánh giữa các công ty ở Hoa Kỳ với các công ty ở những thị trường tài chính khác. Những chỉ số như tỷ lệ giá trên thu nhập (price-earnings ratio), vốn dùng lợi nhuận được công bố và chưa điều chỉnh, có thể gây hiểu nhầm khi chuẩn mực kế toán khác nhau nhiều giữa các công ty được so sánh.</w:t>
      </w:r>
    </w:p>
    <w:p>
      <w:pPr>
        <w:pStyle w:val="Para 34"/>
        <w:keepLines w:val="on"/>
      </w:pPr>
      <w:r>
        <w:t>Bảng 3.8</w:t>
      </w:r>
    </w:p>
    <w:p>
      <w:pPr>
        <w:keepNext/>
        <w:pStyle w:val="Para 35"/>
        <w:keepLines w:val="on"/>
      </w:pPr>
      <w:r>
        <w:t>Những khác biệt giữa IFRS và GAAP (năm 2023)</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17"/>
                    <w:keepLines w:val="on"/>
                  </w:pPr>
                  <w:r>
                    <w:t>IFRS</w:t>
                  </w:r>
                </w:p>
              </w:tc>
              <w:tc>
                <w:tcPr>
                  <w:tcW w:type="auto" w:w="0"/>
                  <w:shd w:val="clear" w:color="auto" w:fill="F0F0F0"/>
                </w:tcPr>
                <w:p>
                  <w:pPr>
                    <w:pStyle w:val="Para 17"/>
                    <w:keepLines w:val="on"/>
                  </w:pPr>
                  <w:r>
                    <w:t>GAAP</w:t>
                  </w:r>
                </w:p>
              </w:tc>
            </w:tr>
            <w:tr>
              <w:tc>
                <w:tcPr>
                  <w:tcW w:type="auto" w:w="0"/>
                  <w:shd w:val="clear" w:color="auto" w:fill="F0F0F0"/>
                </w:tcPr>
                <w:p>
                  <w:pPr>
                    <w:pStyle w:val="Para 02"/>
                    <w:keepLines w:val="on"/>
                  </w:pPr>
                  <w:r>
                    <w:t>Quy tắc so với Nguyên tắc</w:t>
                  </w:r>
                </w:p>
              </w:tc>
              <w:tc>
                <w:tcPr>
                  <w:tcW w:type="auto" w:w="0"/>
                  <w:shd w:val="clear" w:color="auto" w:fill="F0F0F0"/>
                </w:tcPr>
                <w:p>
                  <w:pPr>
                    <w:pStyle w:val="Para 02"/>
                    <w:keepLines w:val="on"/>
                  </w:pPr>
                  <w:r>
                    <w:t>Thiên về nguyên tắc hơn</w:t>
                  </w:r>
                </w:p>
              </w:tc>
              <w:tc>
                <w:tcPr>
                  <w:tcW w:type="auto" w:w="0"/>
                  <w:shd w:val="clear" w:color="auto" w:fill="F0F0F0"/>
                </w:tcPr>
                <w:p>
                  <w:pPr>
                    <w:pStyle w:val="Para 02"/>
                    <w:keepLines w:val="on"/>
                  </w:pPr>
                  <w:r>
                    <w:t>Thiên về quy tắc hơn</w:t>
                  </w:r>
                </w:p>
              </w:tc>
            </w:tr>
            <w:tr>
              <w:tc>
                <w:tcPr>
                  <w:tcW w:type="auto" w:w="0"/>
                  <w:shd w:val="clear" w:color="auto" w:fill="F0F0F0"/>
                </w:tcPr>
                <w:p>
                  <w:pPr>
                    <w:pStyle w:val="Para 02"/>
                    <w:keepLines w:val="on"/>
                  </w:pPr>
                  <w:r>
                    <w:t>Hàng tồn kho</w:t>
                  </w:r>
                </w:p>
              </w:tc>
              <w:tc>
                <w:tcPr>
                  <w:tcW w:type="auto" w:w="0"/>
                  <w:shd w:val="clear" w:color="auto" w:fill="F0F0F0"/>
                </w:tcPr>
                <w:p>
                  <w:pPr>
                    <w:pStyle w:val="Para 02"/>
                    <w:keepLines w:val="on"/>
                  </w:pPr>
                  <w:r>
                    <w:t>FIFO hoặc bình quân gia quyền theo chi phí. Có thể ghi giảm nếu giá trị thị trường giảm nhưng có thể ghi tăng lại nếu giá trị tăng trở lại</w:t>
                  </w:r>
                </w:p>
              </w:tc>
              <w:tc>
                <w:tcPr>
                  <w:tcW w:type="auto" w:w="0"/>
                  <w:shd w:val="clear" w:color="auto" w:fill="F0F0F0"/>
                </w:tcPr>
                <w:p>
                  <w:pPr>
                    <w:pStyle w:val="Para 02"/>
                    <w:keepLines w:val="on"/>
                  </w:pPr>
                  <w:r>
                    <w:t>FIFO, LIFO hoặc bình quân gia quyền theo chi phí. Có thể ghi giảm nếu giá trị thị trường giảm nhưng không thể ghi tăng lại nếu tình hình thay đổi</w:t>
                  </w:r>
                </w:p>
              </w:tc>
            </w:tr>
            <w:tr>
              <w:tc>
                <w:tcPr>
                  <w:tcW w:type="auto" w:w="0"/>
                  <w:shd w:val="clear" w:color="auto" w:fill="F0F0F0"/>
                </w:tcPr>
                <w:p>
                  <w:pPr>
                    <w:pStyle w:val="Para 02"/>
                    <w:keepLines w:val="on"/>
                  </w:pPr>
                  <w:r>
                    <w:t>Giá trị hợp lý</w:t>
                  </w:r>
                </w:p>
              </w:tc>
              <w:tc>
                <w:tcPr>
                  <w:tcW w:type="auto" w:w="0"/>
                  <w:shd w:val="clear" w:color="auto" w:fill="F0F0F0"/>
                </w:tcPr>
                <w:p>
                  <w:pPr>
                    <w:pStyle w:val="Para 02"/>
                    <w:keepLines w:val="on"/>
                  </w:pPr>
                  <w:r>
                    <w:t>Được phép áp dụng cho bất kỳ tài sản nào có thể định giá hợp lý, bao gồm tài sản, nhà xưởng &amp; thiết bị và tài sản vô hình</w:t>
                  </w:r>
                </w:p>
              </w:tc>
              <w:tc>
                <w:tcPr>
                  <w:tcW w:type="auto" w:w="0"/>
                  <w:shd w:val="clear" w:color="auto" w:fill="F0F0F0"/>
                </w:tcPr>
                <w:p>
                  <w:pPr>
                    <w:pStyle w:val="Para 02"/>
                    <w:keepLines w:val="on"/>
                  </w:pPr>
                  <w:r>
                    <w:t>Chỉ được phép áp dụng cho chứng khoán có thể mua bán trên thị trường</w:t>
                  </w:r>
                </w:p>
              </w:tc>
            </w:tr>
            <w:tr>
              <w:tc>
                <w:tcPr>
                  <w:tcW w:type="auto" w:w="0"/>
                  <w:shd w:val="clear" w:color="auto" w:fill="F0F0F0"/>
                </w:tcPr>
                <w:p>
                  <w:pPr>
                    <w:pStyle w:val="Para 02"/>
                    <w:keepLines w:val="on"/>
                  </w:pPr>
                  <w:r>
                    <w:t>Lỗ do suy giảm giá trị</w:t>
                  </w:r>
                </w:p>
              </w:tc>
              <w:tc>
                <w:tcPr>
                  <w:tcW w:type="auto" w:w="0"/>
                  <w:shd w:val="clear" w:color="auto" w:fill="F0F0F0"/>
                </w:tcPr>
                <w:p>
                  <w:pPr>
                    <w:pStyle w:val="Para 02"/>
                    <w:keepLines w:val="on"/>
                  </w:pPr>
                  <w:r>
                    <w:t>Lỗ do suy giảm giá trị khi giá trị tài sản giảm, nhưng được phép hoàn nhập nếu giá trị thị trường tăng trở lại</w:t>
                  </w:r>
                </w:p>
              </w:tc>
              <w:tc>
                <w:tcPr>
                  <w:tcW w:type="auto" w:w="0"/>
                  <w:shd w:val="clear" w:color="auto" w:fill="F0F0F0"/>
                </w:tcPr>
                <w:p>
                  <w:pPr>
                    <w:pStyle w:val="Para 02"/>
                    <w:keepLines w:val="on"/>
                  </w:pPr>
                  <w:r>
                    <w:t>Lỗ do suy giảm giá trị khi giá trị tài sản giảm nhưng không được hoàn nhập</w:t>
                  </w:r>
                </w:p>
              </w:tc>
            </w:tr>
            <w:tr>
              <w:tc>
                <w:tcPr>
                  <w:tcW w:type="auto" w:w="0"/>
                  <w:shd w:val="clear" w:color="auto" w:fill="F0F0F0"/>
                </w:tcPr>
                <w:p>
                  <w:pPr>
                    <w:pStyle w:val="Para 02"/>
                    <w:keepLines w:val="on"/>
                  </w:pPr>
                  <w:r>
                    <w:t>Tài sản vô hình</w:t>
                  </w:r>
                </w:p>
              </w:tc>
              <w:tc>
                <w:tcPr>
                  <w:tcW w:type="auto" w:w="0"/>
                  <w:shd w:val="clear" w:color="auto" w:fill="F0F0F0"/>
                </w:tcPr>
                <w:p>
                  <w:pPr>
                    <w:pStyle w:val="Para 02"/>
                    <w:keepLines w:val="on"/>
                  </w:pPr>
                  <w:r>
                    <w:t>Chi phí phát triển có thể được vốn hóa khi lợi ích kinh tế trong tương lai trở nên hữu hình hơn</w:t>
                  </w:r>
                </w:p>
              </w:tc>
              <w:tc>
                <w:tcPr>
                  <w:tcW w:type="auto" w:w="0"/>
                  <w:shd w:val="clear" w:color="auto" w:fill="F0F0F0"/>
                </w:tcPr>
                <w:p>
                  <w:pPr>
                    <w:pStyle w:val="Para 02"/>
                    <w:keepLines w:val="on"/>
                  </w:pPr>
                  <w:r>
                    <w:t>Được ghi nhận là chi phí. Riêng với phần mềm, chi phí được vốn hóa một khi có thể chứng minh được tính khả thi về mặt công nghệ.</w:t>
                  </w:r>
                </w:p>
              </w:tc>
            </w:tr>
            <w:tr>
              <w:tc>
                <w:tcPr>
                  <w:tcW w:type="auto" w:w="0"/>
                  <w:shd w:val="clear" w:color="auto" w:fill="F0F0F0"/>
                </w:tcPr>
                <w:p>
                  <w:pPr>
                    <w:pStyle w:val="Para 02"/>
                    <w:keepLines w:val="on"/>
                  </w:pPr>
                  <w:r>
                    <w:t>Tài sản cố định</w:t>
                  </w:r>
                </w:p>
              </w:tc>
              <w:tc>
                <w:tcPr>
                  <w:tcW w:type="auto" w:w="0"/>
                  <w:shd w:val="clear" w:color="auto" w:fill="F0F0F0"/>
                </w:tcPr>
                <w:p>
                  <w:pPr>
                    <w:pStyle w:val="Para 02"/>
                    <w:keepLines w:val="on"/>
                  </w:pPr>
                  <w:r>
                    <w:t>Ban đầu được ghi nhận theo giá gốc nhưng sau đó có thể được đánh giá tăng hoặc giảm theo giá trị thị trường</w:t>
                  </w:r>
                </w:p>
              </w:tc>
              <w:tc>
                <w:tcPr>
                  <w:tcW w:type="auto" w:w="0"/>
                  <w:shd w:val="clear" w:color="auto" w:fill="F0F0F0"/>
                </w:tcPr>
                <w:p>
                  <w:pPr>
                    <w:pStyle w:val="Para 02"/>
                    <w:keepLines w:val="on"/>
                  </w:pPr>
                  <w:r>
                    <w:t>Được ghi nhận theo giá gốc và khấu hao dần</w:t>
                  </w:r>
                </w:p>
              </w:tc>
            </w:tr>
            <w:tr>
              <w:tc>
                <w:tcPr>
                  <w:tcW w:type="auto" w:w="0"/>
                  <w:shd w:val="clear" w:color="auto" w:fill="F0F0F0"/>
                </w:tcPr>
                <w:p>
                  <w:pPr>
                    <w:pStyle w:val="Para 02"/>
                    <w:keepLines w:val="on"/>
                  </w:pPr>
                  <w:r>
                    <w:t>Thuê tài sản</w:t>
                  </w:r>
                </w:p>
              </w:tc>
              <w:tc>
                <w:tcPr>
                  <w:tcW w:type="auto" w:w="0"/>
                  <w:shd w:val="clear" w:color="auto" w:fill="F0F0F0"/>
                </w:tcPr>
                <w:p>
                  <w:pPr>
                    <w:pStyle w:val="Para 02"/>
                    <w:keepLines w:val="on"/>
                  </w:pPr>
                  <w:r>
                    <w:t>Thuê tài sản, bao gồm cả thuê một số tài sản vô hình, đều được vốn hóa.</w:t>
                  </w:r>
                </w:p>
              </w:tc>
              <w:tc>
                <w:tcPr>
                  <w:tcW w:type="auto" w:w="0"/>
                  <w:shd w:val="clear" w:color="auto" w:fill="F0F0F0"/>
                </w:tcPr>
                <w:p>
                  <w:pPr>
                    <w:pStyle w:val="Para 02"/>
                    <w:keepLines w:val="on"/>
                  </w:pPr>
                  <w:r>
                    <w:t>Thuê tài sản được vốn hóa nhưng chỉ đối với tài sản hữu hình</w:t>
                  </w:r>
                </w:p>
              </w:tc>
            </w:tr>
            <w:tr>
              <w:tc>
                <w:tcPr>
                  <w:tcW w:type="auto" w:w="0"/>
                  <w:shd w:val="clear" w:color="auto" w:fill="F0F0F0"/>
                </w:tcPr>
                <w:p>
                  <w:pPr>
                    <w:pStyle w:val="Para 02"/>
                    <w:keepLines w:val="on"/>
                  </w:pPr>
                  <w:r>
                    <w:t>Lợi thế thương mại</w:t>
                  </w:r>
                </w:p>
              </w:tc>
              <w:tc>
                <w:tcPr>
                  <w:tcW w:type="auto" w:w="0"/>
                  <w:shd w:val="clear" w:color="auto" w:fill="F0F0F0"/>
                </w:tcPr>
                <w:p>
                  <w:pPr>
                    <w:pStyle w:val="Para 02"/>
                    <w:keepLines w:val="on"/>
                  </w:pPr>
                  <w:r>
                    <w:t>Bị suy giảm giá trị ở cấp đơn vị tạo tiền, không cho phép các ngoại lệ mang tính định tính và có thể vượt quá giá trị của lợi thế thương mại</w:t>
                  </w:r>
                </w:p>
              </w:tc>
              <w:tc>
                <w:tcPr>
                  <w:tcW w:type="auto" w:w="0"/>
                  <w:shd w:val="clear" w:color="auto" w:fill="F0F0F0"/>
                </w:tcPr>
                <w:p>
                  <w:pPr>
                    <w:pStyle w:val="Para 02"/>
                    <w:keepLines w:val="on"/>
                  </w:pPr>
                  <w:r>
                    <w:t>Bị suy giảm giá trị ở cấp đơn vị báo cáo, cho phép các ngoại lệ mang tính định tính và không thể vượt quá lợi thế thương mại</w:t>
                  </w:r>
                </w:p>
              </w:tc>
            </w:tr>
          </w:tbl>
          <w:p/>
        </w:tc>
      </w:tr>
    </w:tbl>
    <w:p>
      <w:bookmarkStart w:id="437" w:name="Conclusion__Financial_statements"/>
      <w:bookmarkStart w:id="438" w:name="Conclusion_2"/>
      <w:pPr>
        <w:keepNext/>
        <w:pStyle w:val="Heading 2"/>
        <w:keepLines w:val="on"/>
      </w:pPr>
      <w:r>
        <w:t>Kết luận</w:t>
      </w:r>
      <w:bookmarkEnd w:id="437"/>
      <w:bookmarkEnd w:id="438"/>
    </w:p>
    <w:p>
      <w:pPr>
        <w:pStyle w:val="Para 03"/>
      </w:pPr>
      <w:r>
        <w:t>Báo cáo tài chính vẫn là nguồn thông tin chính yếu đối với hầu hết nhà đầu tư và nhà phân tích. Tuy nhiên, có sự khác biệt giữa cách kế toán và nhà phân tích tài chính tiếp cận để trả lời một số câu hỏi then chốt về doanh nghiệp.</w:t>
      </w:r>
    </w:p>
    <w:p>
      <w:pPr>
        <w:pStyle w:val="Para 03"/>
      </w:pPr>
      <w:r>
        <w:t>Câu hỏi đầu tiên liên quan đến bản chất và giá trị của các tài sản mà doanh nghiệp sở hữu. Tài sản có thể được phân loại thành các khoản đầu tư đã thực hiện (tài sản hiện có) và các khoản đầu tư chưa thực hiện (tài sản tăng trưởng); báo cáo kế toán cung cấp một lượng lớn thông tin lịch sử về nhóm trước và rất ít thông tin về nhóm sau. Việc tập trung vào giá gốc ban đầu của tài sản hiện có (giá trị sổ sách) trong báo cáo kế toán có thể dẫn đến sự khác biệt đáng kể giữa giá trị được ghi nhận của những tài sản này và giá trị thị trường của chúng. Với tài sản tăng trưởng, các quy tắc kế toán dẫn đến giá trị thấp hoặc bằng không đối với tài sản được tạo ra từ hoạt động nghiên cứu nội bộ.</w:t>
      </w:r>
    </w:p>
    <w:p>
      <w:pPr>
        <w:pStyle w:val="Para 03"/>
      </w:pPr>
      <w:r>
        <w:t>Vấn đề thứ hai là việc đo lường lợi nhuận. Hai nguyên tắc chi phối cách đo lường lợi nhuận là kế toán dồn tích — trong đó doanh thu và chi phí được thể hiện trong kỳ phát sinh giao dịch, thay vì khi tiền được nhận hoặc thanh toán — và việc phân loại chi phí thành chi phí hoạt động, chi phí tài chính và chi phí vốn. Trong khi chi phí hoạt động và chi phí tài chính được thể hiện trên báo cáo thu nhập, chi phí vốn lại được phân bổ qua nhiều kỳ và tồn tại dưới dạng khấu hao và phân bổ. Các chuẩn mực kế toán cuối cùng đã sửa chữa việc phân loại sai thuê hoạt động thành chi phí hoạt động (thực ra chúng là chi phí tài chính), nhưng họ vẫn phân loại sai chi phí nghiên cứu và phát triển thành chi phí hoạt động (trong khi chúng là chi phí vốn).</w:t>
      </w:r>
    </w:p>
    <w:p>
      <w:pPr>
        <w:pStyle w:val="Para 03"/>
      </w:pPr>
      <w:r>
        <w:t>Báo cáo tài chính cũng đề cập đến rủi ro thanh khoản ngắn hạn và rủi ro vỡ nợ dài hạn, dù còn thiếu chính xác. Trong khi trọng tâm của báo cáo kế toán là xem xét rủi ro doanh nghiệp có thể không thực hiện được các khoản thanh toán mà mình đã cam kết, thì lại rất ít chú trọng đến rủi ro đối với nhà đầu tư vốn cổ phần.</w:t>
      </w:r>
    </w:p>
    <w:p>
      <w:bookmarkStart w:id="440" w:name="Questions_and_Short_Problems_3"/>
      <w:bookmarkStart w:id="441" w:name="Questions_and_Short_Problems_4"/>
      <w:pPr>
        <w:keepNext/>
        <w:pStyle w:val="Heading 2"/>
        <w:keepLines w:val="on"/>
      </w:pPr>
      <w:r>
        <w:t>Câu hỏi và Bài tập ngắn</w:t>
      </w:r>
      <w:bookmarkEnd w:id="440"/>
      <w:bookmarkEnd w:id="441"/>
    </w:p>
    <w:p>
      <w:pPr>
        <w:pStyle w:val="Para 44"/>
      </w:pPr>
      <w:r>
        <w:t>Trong các bài tập sau đây, hãy sử dụng mức bù rủi ro vốn cổ phần là 5,5 phần trăm nếu không có quy định nào khác.</w:t>
      </w:r>
    </w:p>
    <w:p>
      <w:pPr>
        <w:pStyle w:val="Para 03"/>
      </w:pPr>
      <w:r>
        <w:t>Bảng cân đối kế toán của Coca-Cola cho tháng 12 năm 1998 được tóm tắt (tính bằng triệu đô la) cho các bài tập từ 1 đến 9:</w:t>
      </w:r>
    </w:p>
    <w:tbl>
      <w:tblPr>
        <w:tblW w:type="auto" w:w="0"/>
      </w:tblPr>
      <w:tr>
        <w:tc>
          <w:tcPr>
            <w:tcW w:type="auto" w:w="0"/>
          </w:tcPr>
          <w:tbl>
            <w:tblPr>
              <w:tblW w:type="auto" w:w="0"/>
            </w:tblPr>
            <w:tr>
              <w:tc>
                <w:tcPr>
                  <w:tcW w:type="auto" w:w="0"/>
                  <w:shd w:val="clear" w:color="auto" w:fill="F0F0F0"/>
                </w:tcPr>
                <w:p>
                  <w:pPr>
                    <w:pStyle w:val="Para 02"/>
                    <w:keepLines w:val="on"/>
                  </w:pPr>
                  <w:r>
                    <w:t>Tiền mặt &amp; Tương đương tiền</w:t>
                  </w:r>
                </w:p>
              </w:tc>
              <w:tc>
                <w:tcPr>
                  <w:tcW w:type="auto" w:w="0"/>
                  <w:shd w:val="clear" w:color="auto" w:fill="F0F0F0"/>
                </w:tcPr>
                <w:p>
                  <w:pPr>
                    <w:pStyle w:val="Normal"/>
                    <w:keepLines w:val="on"/>
                  </w:pPr>
                  <w:r>
                    <w:t>1648</w:t>
                  </w:r>
                </w:p>
              </w:tc>
              <w:tc>
                <w:tcPr>
                  <w:tcW w:type="auto" w:w="0"/>
                  <w:shd w:val="clear" w:color="auto" w:fill="F0F0F0"/>
                </w:tcPr>
                <w:p>
                  <w:pPr>
                    <w:pStyle w:val="Para 02"/>
                    <w:keepLines w:val="on"/>
                  </w:pPr>
                  <w:r>
                    <w:t/>
                  </w:r>
                </w:p>
              </w:tc>
              <w:tc>
                <w:tcPr>
                  <w:tcW w:type="auto" w:w="0"/>
                  <w:shd w:val="clear" w:color="auto" w:fill="F0F0F0"/>
                </w:tcPr>
                <w:p>
                  <w:pPr>
                    <w:pStyle w:val="Para 02"/>
                    <w:keepLines w:val="on"/>
                  </w:pPr>
                  <w:r>
                    <w:t>Khoản phải trả</w:t>
                  </w:r>
                </w:p>
              </w:tc>
              <w:tc>
                <w:tcPr>
                  <w:tcW w:type="auto" w:w="0"/>
                  <w:shd w:val="clear" w:color="auto" w:fill="F0F0F0"/>
                </w:tcPr>
                <w:p>
                  <w:pPr>
                    <w:pStyle w:val="Normal"/>
                    <w:keepLines w:val="on"/>
                  </w:pPr>
                  <w:r>
                    <w:t>3141</w:t>
                  </w:r>
                </w:p>
              </w:tc>
            </w:tr>
            <w:tr>
              <w:tc>
                <w:tcPr>
                  <w:tcW w:type="auto" w:w="0"/>
                  <w:shd w:val="clear" w:color="auto" w:fill="F0F0F0"/>
                </w:tcPr>
                <w:p>
                  <w:pPr>
                    <w:pStyle w:val="Para 02"/>
                    <w:keepLines w:val="on"/>
                  </w:pPr>
                  <w:r>
                    <w:t>Chứng khoán thị trường</w:t>
                  </w:r>
                </w:p>
              </w:tc>
              <w:tc>
                <w:tcPr>
                  <w:tcW w:type="auto" w:w="0"/>
                  <w:shd w:val="clear" w:color="auto" w:fill="F0F0F0"/>
                </w:tcPr>
                <w:p>
                  <w:pPr>
                    <w:pStyle w:val="Normal"/>
                    <w:keepLines w:val="on"/>
                  </w:pPr>
                  <w:r>
                    <w:t>159</w:t>
                  </w:r>
                </w:p>
              </w:tc>
              <w:tc>
                <w:tcPr>
                  <w:tcW w:type="auto" w:w="0"/>
                  <w:shd w:val="clear" w:color="auto" w:fill="F0F0F0"/>
                </w:tcPr>
                <w:p>
                  <w:pPr>
                    <w:pStyle w:val="Para 02"/>
                    <w:keepLines w:val="on"/>
                  </w:pPr>
                  <w:r>
                    <w:t/>
                  </w:r>
                </w:p>
              </w:tc>
              <w:tc>
                <w:tcPr>
                  <w:tcW w:type="auto" w:w="0"/>
                  <w:shd w:val="clear" w:color="auto" w:fill="F0F0F0"/>
                </w:tcPr>
                <w:p>
                  <w:pPr>
                    <w:pStyle w:val="Para 02"/>
                    <w:keepLines w:val="on"/>
                  </w:pPr>
                  <w:r>
                    <w:t>Vay ngắn hạn</w:t>
                  </w:r>
                </w:p>
              </w:tc>
              <w:tc>
                <w:tcPr>
                  <w:tcW w:type="auto" w:w="0"/>
                  <w:shd w:val="clear" w:color="auto" w:fill="F0F0F0"/>
                </w:tcPr>
                <w:p>
                  <w:pPr>
                    <w:pStyle w:val="Normal"/>
                    <w:keepLines w:val="on"/>
                  </w:pPr>
                  <w:r>
                    <w:t>4462</w:t>
                  </w:r>
                </w:p>
              </w:tc>
            </w:tr>
            <w:tr>
              <w:tc>
                <w:tcPr>
                  <w:tcW w:type="auto" w:w="0"/>
                  <w:shd w:val="clear" w:color="auto" w:fill="F0F0F0"/>
                </w:tcPr>
                <w:p>
                  <w:pPr>
                    <w:pStyle w:val="Para 02"/>
                    <w:keepLines w:val="on"/>
                  </w:pPr>
                  <w:r>
                    <w:t>Khoản phải thu</w:t>
                  </w:r>
                </w:p>
              </w:tc>
              <w:tc>
                <w:tcPr>
                  <w:tcW w:type="auto" w:w="0"/>
                  <w:shd w:val="clear" w:color="auto" w:fill="F0F0F0"/>
                </w:tcPr>
                <w:p>
                  <w:pPr>
                    <w:pStyle w:val="Normal"/>
                    <w:keepLines w:val="on"/>
                  </w:pPr>
                  <w:r>
                    <w:t>1666</w:t>
                  </w:r>
                </w:p>
              </w:tc>
              <w:tc>
                <w:tcPr>
                  <w:tcW w:type="auto" w:w="0"/>
                  <w:shd w:val="clear" w:color="auto" w:fill="F0F0F0"/>
                </w:tcPr>
                <w:p>
                  <w:pPr>
                    <w:pStyle w:val="Para 02"/>
                    <w:keepLines w:val="on"/>
                  </w:pPr>
                  <w:r>
                    <w:t/>
                  </w:r>
                </w:p>
              </w:tc>
              <w:tc>
                <w:tcPr>
                  <w:tcW w:type="auto" w:w="0"/>
                  <w:shd w:val="clear" w:color="auto" w:fill="F0F0F0"/>
                </w:tcPr>
                <w:p>
                  <w:pPr>
                    <w:pStyle w:val="Para 02"/>
                    <w:keepLines w:val="on"/>
                  </w:pPr>
                  <w:r>
                    <w:t>Nợ ngắn hạn khác</w:t>
                  </w:r>
                </w:p>
              </w:tc>
              <w:tc>
                <w:tcPr>
                  <w:tcW w:type="auto" w:w="0"/>
                  <w:shd w:val="clear" w:color="auto" w:fill="F0F0F0"/>
                </w:tcPr>
                <w:p>
                  <w:pPr>
                    <w:pStyle w:val="Normal"/>
                    <w:keepLines w:val="on"/>
                  </w:pPr>
                  <w:r>
                    <w:t>1037</w:t>
                  </w:r>
                </w:p>
              </w:tc>
            </w:tr>
            <w:tr>
              <w:tc>
                <w:tcPr>
                  <w:tcW w:type="auto" w:w="0"/>
                  <w:shd w:val="clear" w:color="auto" w:fill="F0F0F0"/>
                </w:tcPr>
                <w:p>
                  <w:pPr>
                    <w:pStyle w:val="Para 02"/>
                    <w:keepLines w:val="on"/>
                  </w:pPr>
                  <w:r>
                    <w:t>Tài sản ngắn hạn khác</w:t>
                  </w:r>
                </w:p>
              </w:tc>
              <w:tc>
                <w:tcPr>
                  <w:tcW w:type="auto" w:w="0"/>
                  <w:shd w:val="clear" w:color="auto" w:fill="F0F0F0"/>
                </w:tcPr>
                <w:p>
                  <w:pPr>
                    <w:pStyle w:val="Normal"/>
                    <w:keepLines w:val="on"/>
                  </w:pPr>
                  <w:r>
                    <w:t>2017</w:t>
                  </w:r>
                </w:p>
              </w:tc>
              <w:tc>
                <w:tcPr>
                  <w:tcW w:type="auto" w:w="0"/>
                  <w:shd w:val="clear" w:color="auto" w:fill="F0F0F0"/>
                </w:tcPr>
                <w:p>
                  <w:pPr>
                    <w:pStyle w:val="Para 02"/>
                    <w:keepLines w:val="on"/>
                  </w:pPr>
                  <w:r>
                    <w:t/>
                  </w:r>
                </w:p>
              </w:tc>
              <w:tc>
                <w:tcPr>
                  <w:tcW w:type="auto" w:w="0"/>
                  <w:shd w:val="clear" w:color="auto" w:fill="F0F0F0"/>
                </w:tcPr>
                <w:p>
                  <w:pPr>
                    <w:pStyle w:val="Para 46"/>
                    <w:keepLines w:val="on"/>
                  </w:pPr>
                  <w:r>
                    <w:t>Nợ ngắn hạn</w:t>
                  </w:r>
                </w:p>
              </w:tc>
              <w:tc>
                <w:tcPr>
                  <w:tcW w:type="auto" w:w="0"/>
                  <w:shd w:val="clear" w:color="auto" w:fill="F0F0F0"/>
                </w:tcPr>
                <w:p>
                  <w:pPr>
                    <w:pStyle w:val="Para 46"/>
                    <w:keepLines w:val="on"/>
                  </w:pPr>
                  <w:r>
                    <w:t>8640</w:t>
                  </w:r>
                </w:p>
              </w:tc>
            </w:tr>
            <w:tr>
              <w:tc>
                <w:tcPr>
                  <w:tcW w:type="auto" w:w="0"/>
                  <w:shd w:val="clear" w:color="auto" w:fill="F0F0F0"/>
                </w:tcPr>
                <w:p>
                  <w:pPr>
                    <w:pStyle w:val="Para 41"/>
                    <w:keepLines w:val="on"/>
                  </w:pPr>
                  <w:r>
                    <w:t>Tài sản ngắn hạn</w:t>
                  </w:r>
                </w:p>
              </w:tc>
              <w:tc>
                <w:tcPr>
                  <w:tcW w:type="auto" w:w="0"/>
                  <w:shd w:val="clear" w:color="auto" w:fill="F0F0F0"/>
                </w:tcPr>
                <w:p>
                  <w:pPr>
                    <w:pStyle w:val="Para 46"/>
                    <w:keepLines w:val="on"/>
                  </w:pPr>
                  <w:r>
                    <w:t>6380</w:t>
                  </w:r>
                </w:p>
              </w:tc>
              <w:tc>
                <w:tcPr>
                  <w:tcW w:type="auto" w:w="0"/>
                  <w:shd w:val="clear" w:color="auto" w:fill="F0F0F0"/>
                </w:tcPr>
                <w:p>
                  <w:pPr>
                    <w:pStyle w:val="Para 02"/>
                    <w:keepLines w:val="on"/>
                  </w:pPr>
                  <w:r>
                    <w:t/>
                  </w:r>
                </w:p>
              </w:tc>
              <w:tc>
                <w:tcPr>
                  <w:tcW w:type="auto" w:w="0"/>
                  <w:shd w:val="clear" w:color="auto" w:fill="F0F0F0"/>
                </w:tcPr>
                <w:p>
                  <w:pPr>
                    <w:pStyle w:val="Para 02"/>
                    <w:keepLines w:val="on"/>
                  </w:pPr>
                  <w:r>
                    <w:t>Vay dài hạn</w:t>
                  </w:r>
                </w:p>
              </w:tc>
              <w:tc>
                <w:tcPr>
                  <w:tcW w:type="auto" w:w="0"/>
                  <w:shd w:val="clear" w:color="auto" w:fill="F0F0F0"/>
                </w:tcPr>
                <w:p>
                  <w:pPr>
                    <w:pStyle w:val="Normal"/>
                    <w:keepLines w:val="on"/>
                  </w:pPr>
                  <w:r>
                    <w:t>687</w:t>
                  </w:r>
                </w:p>
              </w:tc>
            </w:tr>
            <w:tr>
              <w:tc>
                <w:tcPr>
                  <w:tcW w:type="auto" w:w="0"/>
                  <w:shd w:val="clear" w:color="auto" w:fill="F0F0F0"/>
                </w:tcPr>
                <w:p>
                  <w:pPr>
                    <w:pStyle w:val="Para 02"/>
                    <w:keepLines w:val="on"/>
                  </w:pPr>
                  <w:r>
                    <w:t>Đầu tư dài hạn</w:t>
                  </w:r>
                </w:p>
              </w:tc>
              <w:tc>
                <w:tcPr>
                  <w:tcW w:type="auto" w:w="0"/>
                  <w:shd w:val="clear" w:color="auto" w:fill="F0F0F0"/>
                </w:tcPr>
                <w:p>
                  <w:pPr>
                    <w:pStyle w:val="Normal"/>
                    <w:keepLines w:val="on"/>
                  </w:pPr>
                  <w:r>
                    <w:t>1863</w:t>
                  </w:r>
                </w:p>
              </w:tc>
              <w:tc>
                <w:tcPr>
                  <w:tcW w:type="auto" w:w="0"/>
                  <w:shd w:val="clear" w:color="auto" w:fill="F0F0F0"/>
                </w:tcPr>
                <w:p>
                  <w:pPr>
                    <w:pStyle w:val="Para 02"/>
                    <w:keepLines w:val="on"/>
                  </w:pPr>
                  <w:r>
                    <w:t/>
                  </w:r>
                </w:p>
              </w:tc>
              <w:tc>
                <w:tcPr>
                  <w:tcW w:type="auto" w:w="0"/>
                  <w:shd w:val="clear" w:color="auto" w:fill="F0F0F0"/>
                </w:tcPr>
                <w:p>
                  <w:pPr>
                    <w:pStyle w:val="Para 02"/>
                    <w:keepLines w:val="on"/>
                  </w:pPr>
                  <w:r>
                    <w:t>Nợ dài hạn khác</w:t>
                  </w:r>
                </w:p>
              </w:tc>
              <w:tc>
                <w:tcPr>
                  <w:tcW w:type="auto" w:w="0"/>
                  <w:shd w:val="clear" w:color="auto" w:fill="F0F0F0"/>
                </w:tcPr>
                <w:p>
                  <w:pPr>
                    <w:pStyle w:val="Normal"/>
                    <w:keepLines w:val="on"/>
                  </w:pPr>
                  <w:r>
                    <w:t>1415</w:t>
                  </w:r>
                </w:p>
              </w:tc>
            </w:tr>
            <w:tr>
              <w:tc>
                <w:tcPr>
                  <w:tcW w:type="auto" w:w="0"/>
                  <w:shd w:val="clear" w:color="auto" w:fill="F0F0F0"/>
                </w:tcPr>
                <w:p>
                  <w:pPr>
                    <w:pStyle w:val="Para 02"/>
                    <w:keepLines w:val="on"/>
                  </w:pPr>
                  <w:r>
                    <w:t>Tài sản cố định hữu hình</w:t>
                  </w:r>
                </w:p>
              </w:tc>
              <w:tc>
                <w:tcPr>
                  <w:tcW w:type="auto" w:w="0"/>
                  <w:shd w:val="clear" w:color="auto" w:fill="F0F0F0"/>
                </w:tcPr>
                <w:p>
                  <w:pPr>
                    <w:pStyle w:val="Normal"/>
                    <w:keepLines w:val="on"/>
                  </w:pPr>
                  <w:r>
                    <w:t>5486</w:t>
                  </w:r>
                </w:p>
              </w:tc>
              <w:tc>
                <w:tcPr>
                  <w:tcW w:type="auto" w:w="0"/>
                  <w:shd w:val="clear" w:color="auto" w:fill="F0F0F0"/>
                </w:tcPr>
                <w:p>
                  <w:pPr>
                    <w:pStyle w:val="Para 02"/>
                    <w:keepLines w:val="on"/>
                  </w:pPr>
                  <w:r>
                    <w:t/>
                  </w:r>
                </w:p>
              </w:tc>
              <w:tc>
                <w:tcPr>
                  <w:tcW w:type="auto" w:w="0"/>
                  <w:shd w:val="clear" w:color="auto" w:fill="F0F0F0"/>
                </w:tcPr>
                <w:p>
                  <w:pPr>
                    <w:pStyle w:val="Para 02"/>
                    <w:keepLines w:val="on"/>
                  </w:pPr>
                  <w:r>
                    <w:t>Nợ dài hạn</w:t>
                  </w:r>
                </w:p>
              </w:tc>
              <w:tc>
                <w:tcPr>
                  <w:tcW w:type="auto" w:w="0"/>
                  <w:shd w:val="clear" w:color="auto" w:fill="F0F0F0"/>
                </w:tcPr>
                <w:p>
                  <w:pPr>
                    <w:pStyle w:val="Normal"/>
                    <w:keepLines w:val="on"/>
                  </w:pPr>
                  <w:r>
                    <w:t>2102</w:t>
                  </w:r>
                </w:p>
              </w:tc>
            </w:tr>
            <w:tr>
              <w:tc>
                <w:tcPr>
                  <w:tcW w:type="auto" w:w="0"/>
                  <w:shd w:val="clear" w:color="auto" w:fill="F0F0F0"/>
                </w:tcPr>
                <w:p>
                  <w:pPr>
                    <w:pStyle w:val="Para 02"/>
                    <w:keepLines w:val="on"/>
                  </w:pPr>
                  <w:r>
                    <w:t>Tài sản cố định không khấu hao</w:t>
                  </w:r>
                </w:p>
              </w:tc>
              <w:tc>
                <w:tcPr>
                  <w:tcW w:type="auto" w:w="0"/>
                  <w:shd w:val="clear" w:color="auto" w:fill="F0F0F0"/>
                </w:tcPr>
                <w:p>
                  <w:pPr>
                    <w:pStyle w:val="Normal"/>
                    <w:keepLines w:val="on"/>
                  </w:pPr>
                  <w:r>
                    <w:t>199</w:t>
                  </w:r>
                </w:p>
              </w:tc>
              <w:tc>
                <w:tcPr>
                  <w:tcW w:type="auto" w:w="0"/>
                  <w:shd w:val="clear" w:color="auto" w:fill="F0F0F0"/>
                </w:tcPr>
                <w:p>
                  <w:pPr>
                    <w:pStyle w:val="Para 02"/>
                    <w:keepLines w:val="on"/>
                  </w:pPr>
                  <w:r>
                    <w:t/>
                  </w:r>
                </w:p>
              </w:tc>
              <w:tc>
                <w:tcPr>
                  <w:tcW w:type="auto" w:w="0"/>
                  <w:shd w:val="clear" w:color="auto" w:fill="F0F0F0"/>
                </w:tcPr>
                <w:p>
                  <w:pPr>
                    <w:pStyle w:val="Para 02"/>
                    <w:keepLines w:val="on"/>
                  </w:pPr>
                  <w:r>
                    <w:t/>
                  </w:r>
                </w:p>
              </w:tc>
              <w:tc>
                <w:tcPr>
                  <w:tcW w:type="auto" w:w="0"/>
                  <w:shd w:val="clear" w:color="auto" w:fill="F0F0F0"/>
                </w:tcPr>
                <w:p>
                  <w:pPr>
                    <w:pStyle w:val="Para 02"/>
                    <w:keepLines w:val="on"/>
                  </w:pPr>
                  <w:r>
                    <w:t/>
                  </w:r>
                </w:p>
              </w:tc>
            </w:tr>
            <w:tr>
              <w:tc>
                <w:tcPr>
                  <w:tcW w:type="auto" w:w="0"/>
                  <w:shd w:val="clear" w:color="auto" w:fill="F0F0F0"/>
                </w:tcPr>
                <w:p>
                  <w:pPr>
                    <w:pStyle w:val="Para 02"/>
                    <w:keepLines w:val="on"/>
                  </w:pPr>
                  <w:r>
                    <w:t>Khấu hao lũy kế</w:t>
                  </w:r>
                </w:p>
              </w:tc>
              <w:tc>
                <w:tcPr>
                  <w:tcW w:type="auto" w:w="0"/>
                  <w:shd w:val="clear" w:color="auto" w:fill="F0F0F0"/>
                </w:tcPr>
                <w:p>
                  <w:pPr>
                    <w:pStyle w:val="Normal"/>
                    <w:keepLines w:val="on"/>
                  </w:pPr>
                  <w:r>
                    <w:t>2016</w:t>
                  </w:r>
                </w:p>
              </w:tc>
              <w:tc>
                <w:tcPr>
                  <w:tcW w:type="auto" w:w="0"/>
                  <w:shd w:val="clear" w:color="auto" w:fill="F0F0F0"/>
                </w:tcPr>
                <w:p>
                  <w:pPr>
                    <w:pStyle w:val="Para 02"/>
                    <w:keepLines w:val="on"/>
                  </w:pPr>
                  <w:r>
                    <w:t/>
                  </w:r>
                </w:p>
              </w:tc>
              <w:tc>
                <w:tcPr>
                  <w:tcW w:type="auto" w:w="0"/>
                  <w:shd w:val="clear" w:color="auto" w:fill="F0F0F0"/>
                </w:tcPr>
                <w:p>
                  <w:pPr>
                    <w:pStyle w:val="Para 02"/>
                    <w:keepLines w:val="on"/>
                  </w:pPr>
                  <w:r>
                    <w:t>Vốn cổ phần (đã góp)</w:t>
                  </w:r>
                </w:p>
              </w:tc>
              <w:tc>
                <w:tcPr>
                  <w:tcW w:type="auto" w:w="0"/>
                  <w:shd w:val="clear" w:color="auto" w:fill="F0F0F0"/>
                </w:tcPr>
                <w:p>
                  <w:pPr>
                    <w:pStyle w:val="Normal"/>
                    <w:keepLines w:val="on"/>
                  </w:pPr>
                  <w:r>
                    <w:t>3060</w:t>
                  </w:r>
                </w:p>
              </w:tc>
            </w:tr>
            <w:tr>
              <w:tc>
                <w:tcPr>
                  <w:tcW w:type="auto" w:w="0"/>
                  <w:shd w:val="clear" w:color="auto" w:fill="F0F0F0"/>
                </w:tcPr>
                <w:p>
                  <w:pPr>
                    <w:pStyle w:val="Para 41"/>
                    <w:keepLines w:val="on"/>
                  </w:pPr>
                  <w:r>
                    <w:t>Tài sản cố định ròng</w:t>
                  </w:r>
                </w:p>
              </w:tc>
              <w:tc>
                <w:tcPr>
                  <w:tcW w:type="auto" w:w="0"/>
                  <w:shd w:val="clear" w:color="auto" w:fill="F0F0F0"/>
                </w:tcPr>
                <w:p>
                  <w:pPr>
                    <w:pStyle w:val="Para 46"/>
                    <w:keepLines w:val="on"/>
                  </w:pPr>
                  <w:r>
                    <w:t>3669</w:t>
                  </w:r>
                </w:p>
              </w:tc>
              <w:tc>
                <w:tcPr>
                  <w:tcW w:type="auto" w:w="0"/>
                  <w:shd w:val="clear" w:color="auto" w:fill="F0F0F0"/>
                </w:tcPr>
                <w:p>
                  <w:pPr>
                    <w:pStyle w:val="Para 02"/>
                    <w:keepLines w:val="on"/>
                  </w:pPr>
                  <w:r>
                    <w:t/>
                  </w:r>
                </w:p>
              </w:tc>
              <w:tc>
                <w:tcPr>
                  <w:tcW w:type="auto" w:w="0"/>
                  <w:shd w:val="clear" w:color="auto" w:fill="F0F0F0"/>
                </w:tcPr>
                <w:p>
                  <w:pPr>
                    <w:pStyle w:val="Para 02"/>
                    <w:keepLines w:val="on"/>
                  </w:pPr>
                  <w:r>
                    <w:t>Lợi nhuận giữ lại</w:t>
                  </w:r>
                </w:p>
              </w:tc>
              <w:tc>
                <w:tcPr>
                  <w:tcW w:type="auto" w:w="0"/>
                  <w:shd w:val="clear" w:color="auto" w:fill="F0F0F0"/>
                </w:tcPr>
                <w:p>
                  <w:pPr>
                    <w:pStyle w:val="Normal"/>
                    <w:keepLines w:val="on"/>
                  </w:pPr>
                  <w:r>
                    <w:t>5343</w:t>
                  </w:r>
                </w:p>
              </w:tc>
            </w:tr>
            <w:tr>
              <w:tc>
                <w:tcPr>
                  <w:tcW w:type="auto" w:w="0"/>
                  <w:shd w:val="clear" w:color="auto" w:fill="F0F0F0"/>
                </w:tcPr>
                <w:p>
                  <w:pPr>
                    <w:pStyle w:val="Para 02"/>
                    <w:keepLines w:val="on"/>
                  </w:pPr>
                  <w:r>
                    <w:t>Tài sản khác</w:t>
                  </w:r>
                </w:p>
              </w:tc>
              <w:tc>
                <w:tcPr>
                  <w:tcW w:type="auto" w:w="0"/>
                  <w:shd w:val="clear" w:color="auto" w:fill="F0F0F0"/>
                </w:tcPr>
                <w:p>
                  <w:pPr>
                    <w:pStyle w:val="Normal"/>
                    <w:keepLines w:val="on"/>
                  </w:pPr>
                  <w:r>
                    <w:t>7233</w:t>
                  </w:r>
                </w:p>
              </w:tc>
              <w:tc>
                <w:tcPr>
                  <w:tcW w:type="auto" w:w="0"/>
                  <w:shd w:val="clear" w:color="auto" w:fill="F0F0F0"/>
                </w:tcPr>
                <w:p>
                  <w:pPr>
                    <w:pStyle w:val="Para 02"/>
                    <w:keepLines w:val="on"/>
                  </w:pPr>
                  <w:r>
                    <w:t/>
                  </w:r>
                </w:p>
              </w:tc>
              <w:tc>
                <w:tcPr>
                  <w:tcW w:type="auto" w:w="0"/>
                  <w:shd w:val="clear" w:color="auto" w:fill="F0F0F0"/>
                </w:tcPr>
                <w:p>
                  <w:pPr>
                    <w:pStyle w:val="Para 02"/>
                    <w:keepLines w:val="on"/>
                  </w:pPr>
                  <w:r>
                    <w:t>Vốn chủ sở hữu</w:t>
                  </w:r>
                </w:p>
              </w:tc>
              <w:tc>
                <w:tcPr>
                  <w:tcW w:type="auto" w:w="0"/>
                  <w:shd w:val="clear" w:color="auto" w:fill="F0F0F0"/>
                </w:tcPr>
                <w:p>
                  <w:pPr>
                    <w:pStyle w:val="Normal"/>
                    <w:keepLines w:val="on"/>
                  </w:pPr>
                  <w:r>
                    <w:t>8403</w:t>
                  </w:r>
                </w:p>
              </w:tc>
            </w:tr>
            <w:tr>
              <w:tc>
                <w:tcPr>
                  <w:tcW w:type="auto" w:w="0"/>
                  <w:shd w:val="clear" w:color="auto" w:fill="F0F0F0"/>
                </w:tcPr>
                <w:p>
                  <w:pPr>
                    <w:pStyle w:val="Para 51"/>
                    <w:keepLines w:val="on"/>
                  </w:pPr>
                  <w:r>
                    <w:t>Tổng tài sản</w:t>
                  </w:r>
                </w:p>
              </w:tc>
              <w:tc>
                <w:tcPr>
                  <w:tcW w:type="auto" w:w="0"/>
                  <w:shd w:val="clear" w:color="auto" w:fill="F0F0F0"/>
                </w:tcPr>
                <w:p>
                  <w:pPr>
                    <w:pStyle w:val="Para 47"/>
                    <w:keepLines w:val="on"/>
                  </w:pPr>
                  <w:r>
                    <w:t>19145</w:t>
                  </w:r>
                </w:p>
              </w:tc>
              <w:tc>
                <w:tcPr>
                  <w:tcW w:type="auto" w:w="0"/>
                  <w:shd w:val="clear" w:color="auto" w:fill="F0F0F0"/>
                </w:tcPr>
                <w:p>
                  <w:pPr>
                    <w:pStyle w:val="Para 02"/>
                    <w:keepLines w:val="on"/>
                  </w:pPr>
                  <w:r>
                    <w:t/>
                  </w:r>
                </w:p>
              </w:tc>
              <w:tc>
                <w:tcPr>
                  <w:tcW w:type="auto" w:w="0"/>
                  <w:shd w:val="clear" w:color="auto" w:fill="F0F0F0"/>
                </w:tcPr>
                <w:p>
                  <w:pPr>
                    <w:pStyle w:val="Para 51"/>
                    <w:keepLines w:val="on"/>
                  </w:pPr>
                  <w:r>
                    <w:t>Tổng nợ phải trả &amp; vốn chủ sở hữu</w:t>
                  </w:r>
                </w:p>
              </w:tc>
              <w:tc>
                <w:tcPr>
                  <w:tcW w:type="auto" w:w="0"/>
                  <w:shd w:val="clear" w:color="auto" w:fill="F0F0F0"/>
                </w:tcPr>
                <w:p>
                  <w:pPr>
                    <w:pStyle w:val="Para 47"/>
                    <w:keepLines w:val="on"/>
                  </w:pPr>
                  <w:r>
                    <w:t>19145</w:t>
                  </w:r>
                </w:p>
              </w:tc>
            </w:tr>
          </w:tbl>
          <w:p/>
        </w:tc>
      </w:tr>
    </w:tbl>
    <w:p>
      <w:pPr>
        <w:numPr>
          <w:ilvl w:val="0"/>
          <w:numId w:val="16"/>
        </w:numPr>
        <w:pStyle w:val="Para 01"/>
      </w:pPr>
      <w:r>
        <w:t>Hãy xem xét phần tài sản trên bảng cân đối kế toán của Coca-Cola và trả lời các câu hỏi sau:</w:t>
      </w:r>
    </w:p>
    <w:p>
      <w:pPr>
        <w:numPr>
          <w:ilvl w:val="1"/>
          <w:numId w:val="16"/>
        </w:numPr>
        <w:pStyle w:val="Para 01"/>
      </w:pPr>
      <w:r>
        <w:t>Những tài sản nào có khả năng được đánh giá sát với giá trị thị trường nhất? Hãy giải thích.</w:t>
      </w:r>
    </w:p>
    <w:p>
      <w:pPr>
        <w:numPr>
          <w:ilvl w:val="1"/>
          <w:numId w:val="16"/>
        </w:numPr>
        <w:pStyle w:val="Para 01"/>
      </w:pPr>
      <w:r>
        <w:t>Coca-Cola có tài sản cố định ròng là 3.669 triệu đô la. Bạn có thể ước tính Coca-Cola đã trả bao nhiêu cho những tài sản này không? Có cách nào để biết tuổi của những tài sản này không?</w:t>
      </w:r>
    </w:p>
    <w:p>
      <w:pPr>
        <w:numPr>
          <w:ilvl w:val="1"/>
          <w:numId w:val="16"/>
        </w:numPr>
        <w:pStyle w:val="Para 01"/>
      </w:pPr>
      <w:r>
        <w:t>Coca-Cola dường như đầu tư vào tài sản ngắn hạn nhiều hơn hẳn so với tài sản cố định. Điều này có ý nghĩa gì không? Hãy giải thích.</w:t>
      </w:r>
    </w:p>
    <w:p>
      <w:pPr>
        <w:numPr>
          <w:ilvl w:val="1"/>
          <w:numId w:val="16"/>
        </w:numPr>
        <w:pStyle w:val="Para 01"/>
      </w:pPr>
      <w:r>
        <w:t>Vào đầu những năm 1980, Coca-Cola đã bán đi các hoạt động đóng chai của mình, và các nhà đóng chai trở thành những công ty độc lập. Hành động này sẽ tác động như thế nào đến tài sản trên bảng cân đối kế toán của Coca-Cola? (Các nhà máy sản xuất rất có thể là một phần của hoạt động đóng chai.)</w:t>
      </w:r>
    </w:p>
    <w:p>
      <w:pPr>
        <w:numPr>
          <w:ilvl w:val="0"/>
          <w:numId w:val="16"/>
        </w:numPr>
        <w:pStyle w:val="Para 01"/>
      </w:pPr>
      <w:r>
        <w:t>Hãy xem xét các khoản nợ phải trả trên bảng cân đối kế toán của Coca-Cola.</w:t>
      </w:r>
    </w:p>
    <w:p>
      <w:pPr>
        <w:numPr>
          <w:ilvl w:val="1"/>
          <w:numId w:val="16"/>
        </w:numPr>
        <w:pStyle w:val="Para 01"/>
      </w:pPr>
      <w:r>
        <w:t>Coca-Cola có bao nhiêu nợ chịu lãi chưa thanh toán? (Bạn có thể giả định rằng các khoản nợ ngắn hạn khác đại diện cho các khoản phải trả lặt vặt, và các khoản nợ dài hạn khác đại diện cho các nghĩa vụ chăm sóc sức khỏe và lương hưu.)</w:t>
      </w:r>
    </w:p>
    <w:p>
      <w:pPr>
        <w:numPr>
          <w:ilvl w:val="1"/>
          <w:numId w:val="16"/>
        </w:numPr>
        <w:pStyle w:val="Para 01"/>
      </w:pPr>
      <w:r>
        <w:t>Coca-Cola đã thu được bao nhiêu vốn cổ phần khi lần đầu phát hành cổ phiếu ra thị trường tài chính?</w:t>
      </w:r>
    </w:p>
    <w:p>
      <w:pPr>
        <w:numPr>
          <w:ilvl w:val="1"/>
          <w:numId w:val="16"/>
        </w:numPr>
        <w:pStyle w:val="Para 01"/>
      </w:pPr>
      <w:r>
        <w:t>Việc lợi nhuận giữ lại lớn hơn nhiều so với vốn góp ban đầu có ý nghĩa gì không?</w:t>
      </w:r>
    </w:p>
    <w:p>
      <w:pPr>
        <w:numPr>
          <w:ilvl w:val="1"/>
          <w:numId w:val="16"/>
        </w:numPr>
        <w:pStyle w:val="Para 01"/>
      </w:pPr>
      <w:r>
        <w:t>Giá trị thị trường vốn cổ phần của Coca-Cola là 140 tỷ đô la. Giá trị sổ sách của vốn cổ phần tại Coca-Cola là bao nhiêu? Tại sao lại có sự chênh lệch lớn như vậy giữa giá trị thị trường của vốn cổ phần và giá trị sổ sách của vốn cổ phần?</w:t>
      </w:r>
    </w:p>
    <w:p>
      <w:pPr>
        <w:numPr>
          <w:ilvl w:val="0"/>
          <w:numId w:val="16"/>
        </w:numPr>
        <w:pStyle w:val="Para 01"/>
      </w:pPr>
      <w:r>
        <w:t>Tài sản có giá trị nhất của Coca-Cola là tên thương hiệu của nó. Bạn thấy giá trị của nó ở đâu trên bảng cân đối kế toán? Có cách nào để điều chỉnh bảng cân đối kế toán nhằm phản ánh giá trị của tài sản này không?</w:t>
      </w:r>
    </w:p>
    <w:p>
      <w:pPr>
        <w:numPr>
          <w:ilvl w:val="0"/>
          <w:numId w:val="16"/>
        </w:numPr>
        <w:pStyle w:val="Para 01"/>
      </w:pPr>
      <w:r>
        <w:t>Giả sử bạn được yêu cầu phân tích việc quản lý vốn lưu động của Coca-Cola.</w:t>
      </w:r>
    </w:p>
    <w:p>
      <w:pPr>
        <w:numPr>
          <w:ilvl w:val="1"/>
          <w:numId w:val="16"/>
        </w:numPr>
        <w:pStyle w:val="Para 01"/>
      </w:pPr>
      <w:r>
        <w:t>Hãy ước tính vốn lưu động ròng và vốn lưu động phi tiền mặt của Coca-Cola.</w:t>
      </w:r>
    </w:p>
    <w:p>
      <w:pPr>
        <w:numPr>
          <w:ilvl w:val="1"/>
          <w:numId w:val="16"/>
        </w:numPr>
        <w:pStyle w:val="Para 01"/>
      </w:pPr>
      <w:r>
        <w:t>Hãy ước tính tỷ số thanh toán hiện hành của công ty.</w:t>
      </w:r>
    </w:p>
    <w:p>
      <w:pPr>
        <w:numPr>
          <w:ilvl w:val="1"/>
          <w:numId w:val="16"/>
        </w:numPr>
        <w:pStyle w:val="Para 01"/>
      </w:pPr>
      <w:r>
        <w:t>Hãy ước tính tỷ số thanh toán nhanh của công ty.</w:t>
      </w:r>
    </w:p>
    <w:p>
      <w:pPr>
        <w:numPr>
          <w:ilvl w:val="1"/>
          <w:numId w:val="16"/>
        </w:numPr>
        <w:pStyle w:val="Para 01"/>
      </w:pPr>
      <w:r>
        <w:t>Bạn có rút ra kết luận nào về mức độ rủi ro của Coca-Cola với tư cách là một công ty khi nhìn vào những con số này không? Tại sao có hoặc tại sao không?</w:t>
      </w:r>
    </w:p>
    <w:p>
      <w:pPr>
        <w:pStyle w:val="Para 03"/>
      </w:pPr>
      <w:r>
        <w:t>Báo cáo thu nhập của Coca-Cola cho năm 1997 và 1998 được tóm tắt (tính bằng triệu đô la) cho các bài tập từ 5 đến 9:</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17"/>
                    <w:keepLines w:val="on"/>
                  </w:pPr>
                  <w:r>
                    <w:t>1997</w:t>
                  </w:r>
                </w:p>
              </w:tc>
              <w:tc>
                <w:tcPr>
                  <w:tcW w:type="auto" w:w="0"/>
                  <w:shd w:val="clear" w:color="auto" w:fill="F0F0F0"/>
                </w:tcPr>
                <w:p>
                  <w:pPr>
                    <w:pStyle w:val="Para 17"/>
                    <w:keepLines w:val="on"/>
                  </w:pPr>
                  <w:r>
                    <w:t>1998</w:t>
                  </w:r>
                </w:p>
              </w:tc>
            </w:tr>
            <w:tr>
              <w:tc>
                <w:tcPr>
                  <w:tcW w:type="auto" w:w="0"/>
                  <w:shd w:val="clear" w:color="auto" w:fill="F0F0F0"/>
                </w:tcPr>
                <w:p>
                  <w:pPr>
                    <w:pStyle w:val="Para 02"/>
                    <w:keepLines w:val="on"/>
                  </w:pPr>
                  <w:r>
                    <w:t>Doanh thu thuần</w:t>
                  </w:r>
                </w:p>
              </w:tc>
              <w:tc>
                <w:tcPr>
                  <w:tcW w:type="auto" w:w="0"/>
                  <w:shd w:val="clear" w:color="auto" w:fill="F0F0F0"/>
                </w:tcPr>
                <w:p>
                  <w:pPr>
                    <w:pStyle w:val="Normal"/>
                    <w:keepLines w:val="on"/>
                  </w:pPr>
                  <w:r>
                    <w:t>$18,868</w:t>
                  </w:r>
                </w:p>
              </w:tc>
              <w:tc>
                <w:tcPr>
                  <w:tcW w:type="auto" w:w="0"/>
                  <w:shd w:val="clear" w:color="auto" w:fill="F0F0F0"/>
                </w:tcPr>
                <w:p>
                  <w:pPr>
                    <w:pStyle w:val="Normal"/>
                    <w:keepLines w:val="on"/>
                  </w:pPr>
                  <w:r>
                    <w:t>$18,813</w:t>
                  </w:r>
                </w:p>
              </w:tc>
            </w:tr>
            <w:tr>
              <w:tc>
                <w:tcPr>
                  <w:tcW w:type="auto" w:w="0"/>
                  <w:shd w:val="clear" w:color="auto" w:fill="F0F0F0"/>
                </w:tcPr>
                <w:p>
                  <w:pPr>
                    <w:pStyle w:val="Para 02"/>
                    <w:keepLines w:val="on"/>
                  </w:pPr>
                  <w:r>
                    <w:t>Giá vốn hàng bán</w:t>
                  </w:r>
                </w:p>
              </w:tc>
              <w:tc>
                <w:tcPr>
                  <w:tcW w:type="auto" w:w="0"/>
                  <w:shd w:val="clear" w:color="auto" w:fill="F0F0F0"/>
                </w:tcPr>
                <w:p>
                  <w:pPr>
                    <w:pStyle w:val="Normal"/>
                    <w:keepLines w:val="on"/>
                  </w:pPr>
                  <w:r>
                    <w:t>6,015</w:t>
                  </w:r>
                </w:p>
              </w:tc>
              <w:tc>
                <w:tcPr>
                  <w:tcW w:type="auto" w:w="0"/>
                  <w:shd w:val="clear" w:color="auto" w:fill="F0F0F0"/>
                </w:tcPr>
                <w:p>
                  <w:pPr>
                    <w:pStyle w:val="Normal"/>
                    <w:keepLines w:val="on"/>
                  </w:pPr>
                  <w:r>
                    <w:t>5,562</w:t>
                  </w:r>
                </w:p>
              </w:tc>
            </w:tr>
            <w:tr>
              <w:tc>
                <w:tcPr>
                  <w:tcW w:type="auto" w:w="0"/>
                  <w:shd w:val="clear" w:color="auto" w:fill="F0F0F0"/>
                </w:tcPr>
                <w:p>
                  <w:pPr>
                    <w:pStyle w:val="Para 02"/>
                    <w:keepLines w:val="on"/>
                  </w:pPr>
                  <w:r>
                    <w:t>Chi phí bán hàng, chi phí chung và chi phí quản lý</w:t>
                  </w:r>
                </w:p>
              </w:tc>
              <w:tc>
                <w:tcPr>
                  <w:tcW w:type="auto" w:w="0"/>
                  <w:shd w:val="clear" w:color="auto" w:fill="F0F0F0"/>
                </w:tcPr>
                <w:p>
                  <w:pPr>
                    <w:pStyle w:val="Normal"/>
                    <w:keepLines w:val="on"/>
                  </w:pPr>
                  <w:r>
                    <w:t>7,852</w:t>
                  </w:r>
                </w:p>
              </w:tc>
              <w:tc>
                <w:tcPr>
                  <w:tcW w:type="auto" w:w="0"/>
                  <w:shd w:val="clear" w:color="auto" w:fill="F0F0F0"/>
                </w:tcPr>
                <w:p>
                  <w:pPr>
                    <w:pStyle w:val="Normal"/>
                    <w:keepLines w:val="on"/>
                  </w:pPr>
                  <w:r>
                    <w:t>8,284</w:t>
                  </w:r>
                </w:p>
              </w:tc>
            </w:tr>
            <w:tr>
              <w:tc>
                <w:tcPr>
                  <w:tcW w:type="auto" w:w="0"/>
                  <w:shd w:val="clear" w:color="auto" w:fill="F0F0F0"/>
                </w:tcPr>
                <w:p>
                  <w:pPr>
                    <w:pStyle w:val="Para 02"/>
                    <w:keepLines w:val="on"/>
                  </w:pPr>
                  <w:r>
                    <w:t>Thu nhập trước lãi vay và thuế</w:t>
                  </w:r>
                </w:p>
              </w:tc>
              <w:tc>
                <w:tcPr>
                  <w:tcW w:type="auto" w:w="0"/>
                  <w:shd w:val="clear" w:color="auto" w:fill="F0F0F0"/>
                </w:tcPr>
                <w:p>
                  <w:pPr>
                    <w:pStyle w:val="Normal"/>
                    <w:keepLines w:val="on"/>
                  </w:pPr>
                  <w:r>
                    <w:t>5.001</w:t>
                  </w:r>
                </w:p>
              </w:tc>
              <w:tc>
                <w:tcPr>
                  <w:tcW w:type="auto" w:w="0"/>
                  <w:shd w:val="clear" w:color="auto" w:fill="F0F0F0"/>
                </w:tcPr>
                <w:p>
                  <w:pPr>
                    <w:pStyle w:val="Normal"/>
                    <w:keepLines w:val="on"/>
                  </w:pPr>
                  <w:r>
                    <w:t>4.967</w:t>
                  </w:r>
                </w:p>
              </w:tc>
            </w:tr>
            <w:tr>
              <w:tc>
                <w:tcPr>
                  <w:tcW w:type="auto" w:w="0"/>
                  <w:shd w:val="clear" w:color="auto" w:fill="F0F0F0"/>
                </w:tcPr>
                <w:p>
                  <w:pPr>
                    <w:pStyle w:val="Para 02"/>
                    <w:keepLines w:val="on"/>
                  </w:pPr>
                  <w:r>
                    <w:t>Chi phí lãi vay</w:t>
                  </w:r>
                </w:p>
              </w:tc>
              <w:tc>
                <w:tcPr>
                  <w:tcW w:type="auto" w:w="0"/>
                  <w:shd w:val="clear" w:color="auto" w:fill="F0F0F0"/>
                </w:tcPr>
                <w:p>
                  <w:pPr>
                    <w:pStyle w:val="Normal"/>
                    <w:keepLines w:val="on"/>
                  </w:pPr>
                  <w:r>
                    <w:t>258</w:t>
                  </w:r>
                </w:p>
              </w:tc>
              <w:tc>
                <w:tcPr>
                  <w:tcW w:type="auto" w:w="0"/>
                  <w:shd w:val="clear" w:color="auto" w:fill="F0F0F0"/>
                </w:tcPr>
                <w:p>
                  <w:pPr>
                    <w:pStyle w:val="Normal"/>
                    <w:keepLines w:val="on"/>
                  </w:pPr>
                  <w:r>
                    <w:t>277</w:t>
                  </w:r>
                </w:p>
              </w:tc>
            </w:tr>
            <w:tr>
              <w:tc>
                <w:tcPr>
                  <w:tcW w:type="auto" w:w="0"/>
                  <w:shd w:val="clear" w:color="auto" w:fill="F0F0F0"/>
                </w:tcPr>
                <w:p>
                  <w:pPr>
                    <w:pStyle w:val="Para 02"/>
                    <w:keepLines w:val="on"/>
                  </w:pPr>
                  <w:r>
                    <w:t>Lợi nhuận ngoài hoạt động kinh doanh</w:t>
                  </w:r>
                </w:p>
              </w:tc>
              <w:tc>
                <w:tcPr>
                  <w:tcW w:type="auto" w:w="0"/>
                  <w:shd w:val="clear" w:color="auto" w:fill="F0F0F0"/>
                </w:tcPr>
                <w:p>
                  <w:pPr>
                    <w:pStyle w:val="Normal"/>
                    <w:keepLines w:val="on"/>
                  </w:pPr>
                  <w:r>
                    <w:t>1.312</w:t>
                  </w:r>
                </w:p>
              </w:tc>
              <w:tc>
                <w:tcPr>
                  <w:tcW w:type="auto" w:w="0"/>
                  <w:shd w:val="clear" w:color="auto" w:fill="F0F0F0"/>
                </w:tcPr>
                <w:p>
                  <w:pPr>
                    <w:pStyle w:val="Normal"/>
                    <w:keepLines w:val="on"/>
                  </w:pPr>
                  <w:r>
                    <w:t>508</w:t>
                  </w:r>
                </w:p>
              </w:tc>
            </w:tr>
            <w:tr>
              <w:tc>
                <w:tcPr>
                  <w:tcW w:type="auto" w:w="0"/>
                  <w:shd w:val="clear" w:color="auto" w:fill="F0F0F0"/>
                </w:tcPr>
                <w:p>
                  <w:pPr>
                    <w:pStyle w:val="Para 02"/>
                    <w:keepLines w:val="on"/>
                  </w:pPr>
                  <w:r>
                    <w:t>Chi phí thuế thu nhập</w:t>
                  </w:r>
                </w:p>
              </w:tc>
              <w:tc>
                <w:tcPr>
                  <w:tcW w:type="auto" w:w="0"/>
                  <w:shd w:val="clear" w:color="auto" w:fill="F0F0F0"/>
                </w:tcPr>
                <w:p>
                  <w:pPr>
                    <w:pStyle w:val="Normal"/>
                    <w:keepLines w:val="on"/>
                  </w:pPr>
                  <w:r>
                    <w:t>1.926</w:t>
                  </w:r>
                </w:p>
              </w:tc>
              <w:tc>
                <w:tcPr>
                  <w:tcW w:type="auto" w:w="0"/>
                  <w:shd w:val="clear" w:color="auto" w:fill="F0F0F0"/>
                </w:tcPr>
                <w:p>
                  <w:pPr>
                    <w:pStyle w:val="Normal"/>
                    <w:keepLines w:val="on"/>
                  </w:pPr>
                  <w:r>
                    <w:t>1.665</w:t>
                  </w:r>
                </w:p>
              </w:tc>
            </w:tr>
            <w:tr>
              <w:tc>
                <w:tcPr>
                  <w:tcW w:type="auto" w:w="0"/>
                  <w:shd w:val="clear" w:color="auto" w:fill="F0F0F0"/>
                </w:tcPr>
                <w:p>
                  <w:pPr>
                    <w:pStyle w:val="Para 02"/>
                    <w:keepLines w:val="on"/>
                  </w:pPr>
                  <w:r>
                    <w:t>Thu nhập ròng</w:t>
                  </w:r>
                </w:p>
              </w:tc>
              <w:tc>
                <w:tcPr>
                  <w:tcW w:type="auto" w:w="0"/>
                  <w:shd w:val="clear" w:color="auto" w:fill="F0F0F0"/>
                </w:tcPr>
                <w:p>
                  <w:pPr>
                    <w:pStyle w:val="Normal"/>
                    <w:keepLines w:val="on"/>
                  </w:pPr>
                  <w:r>
                    <w:t>4.129</w:t>
                  </w:r>
                </w:p>
              </w:tc>
              <w:tc>
                <w:tcPr>
                  <w:tcW w:type="auto" w:w="0"/>
                  <w:shd w:val="clear" w:color="auto" w:fill="F0F0F0"/>
                </w:tcPr>
                <w:p>
                  <w:pPr>
                    <w:pStyle w:val="Normal"/>
                    <w:keepLines w:val="on"/>
                  </w:pPr>
                  <w:r>
                    <w:t>3.533</w:t>
                  </w:r>
                </w:p>
              </w:tc>
            </w:tr>
            <w:tr>
              <w:tc>
                <w:tcPr>
                  <w:tcW w:type="auto" w:w="0"/>
                  <w:shd w:val="clear" w:color="auto" w:fill="F0F0F0"/>
                </w:tcPr>
                <w:p>
                  <w:pPr>
                    <w:pStyle w:val="Para 02"/>
                    <w:keepLines w:val="on"/>
                  </w:pPr>
                  <w:r>
                    <w:t>Cổ tức</w:t>
                  </w:r>
                </w:p>
              </w:tc>
              <w:tc>
                <w:tcPr>
                  <w:tcW w:type="auto" w:w="0"/>
                  <w:shd w:val="clear" w:color="auto" w:fill="F0F0F0"/>
                </w:tcPr>
                <w:p>
                  <w:pPr>
                    <w:pStyle w:val="Normal"/>
                    <w:keepLines w:val="on"/>
                  </w:pPr>
                  <w:r>
                    <w:t>1.387</w:t>
                  </w:r>
                </w:p>
              </w:tc>
              <w:tc>
                <w:tcPr>
                  <w:tcW w:type="auto" w:w="0"/>
                  <w:shd w:val="clear" w:color="auto" w:fill="F0F0F0"/>
                </w:tcPr>
                <w:p>
                  <w:pPr>
                    <w:pStyle w:val="Normal"/>
                    <w:keepLines w:val="on"/>
                  </w:pPr>
                  <w:r>
                    <w:t>1.480</w:t>
                  </w:r>
                </w:p>
              </w:tc>
            </w:tr>
          </w:tbl>
          <w:p/>
        </w:tc>
      </w:tr>
    </w:tbl>
    <w:p>
      <w:pPr>
        <w:pStyle w:val="Para 03"/>
      </w:pPr>
      <w:r>
        <w:t>Các câu hỏi sau đây liên quan đến báo cáo thu nhập của Coca-Cola.</w:t>
      </w:r>
    </w:p>
    <w:p>
      <w:pPr>
        <w:numPr>
          <w:ilvl w:val="0"/>
          <w:numId w:val="16"/>
        </w:numPr>
        <w:pStyle w:val="Para 01"/>
      </w:pPr>
      <w:r>
        <w:t>Coca-Cola kiếm được bao nhiêu thu nhập hoạt động, trước thuế, trong năm 1998? Con số này so với mức Coca-Cola kiếm được trong năm 1997 như thế nào? Nguyên nhân của sự khác biệt là gì?</w:t>
      </w:r>
    </w:p>
    <w:p>
      <w:pPr>
        <w:numPr>
          <w:ilvl w:val="0"/>
          <w:numId w:val="16"/>
        </w:numPr>
        <w:pStyle w:val="Para 01"/>
      </w:pPr>
      <w:r>
        <w:t>Khoản chi phí lớn nhất của Coca-Cola là quảng cáo, đây là một phần của chi phí bán hàng, chi phí chung và chi phí quản lý (selling, general, and administrative - G&amp;A). Một phần lớn các chi phí này nhằm mục đích xây dựng tên tuổi thương hiệu của Coca-Cola. Vậy chi phí quảng cáo nên được coi là chi phí hoạt động, hay thực chất chúng là chi phí vốn? Nếu chúng được coi là chi phí vốn, bạn sẽ vốn hóa chúng như thế nào? (Hãy dùng cách vốn hóa chi phí R&amp;D làm hướng dẫn.)</w:t>
      </w:r>
    </w:p>
    <w:p>
      <w:pPr>
        <w:numPr>
          <w:ilvl w:val="0"/>
          <w:numId w:val="16"/>
        </w:numPr>
        <w:pStyle w:val="Para 01"/>
      </w:pPr>
      <w:r>
        <w:t>Coca-Cola có thuế suất thực tế là bao nhiêu trong năm 1998? Con số này so với thuế suất thực tế mà công ty đã nộp trong năm 1997 như thế nào? Điều gì có thể giải thích cho sự khác biệt đó?</w:t>
      </w:r>
    </w:p>
    <w:p>
      <w:pPr>
        <w:numPr>
          <w:ilvl w:val="0"/>
          <w:numId w:val="16"/>
        </w:numPr>
        <w:pStyle w:val="Para 01"/>
      </w:pPr>
      <w:r>
        <w:t>Bạn được yêu cầu đánh giá khả năng sinh lời của Coca-Cola với tư cách là một doanh nghiệp. Để làm điều đó, hãy ước tính biên lợi nhuận hoạt động trước thuế và biên lợi nhuận ròng trong năm 1997 và 1998 của công ty. Bạn có rút ra kết luận nào từ việc so sánh giữa hai năm không?</w:t>
      </w:r>
    </w:p>
    <w:p>
      <w:pPr>
        <w:numPr>
          <w:ilvl w:val="0"/>
          <w:numId w:val="16"/>
        </w:numPr>
        <w:pStyle w:val="Para 01"/>
      </w:pPr>
      <w:r>
        <w:t>Giá trị sổ sách của vốn chủ sở hữu tại Coca-Cola năm 1997 là 7.274 triệu đô la. Giá trị sổ sách của nợ có lãi là 3.875 triệu đô la. Hãy ước tính:</w:t>
      </w:r>
    </w:p>
    <w:p>
      <w:pPr>
        <w:numPr>
          <w:ilvl w:val="1"/>
          <w:numId w:val="16"/>
        </w:numPr>
        <w:pStyle w:val="Para 01"/>
      </w:pPr>
      <w:r>
        <w:t>Tỷ suất sinh lời trên vốn chủ sở hữu (đầu năm) trong năm 1998.</w:t>
      </w:r>
    </w:p>
    <w:p>
      <w:pPr>
        <w:numPr>
          <w:ilvl w:val="1"/>
          <w:numId w:val="16"/>
        </w:numPr>
        <w:pStyle w:val="Para 01"/>
      </w:pPr>
      <w:r>
        <w:t>Tỷ suất sinh lời trên vốn trước thuế (đầu năm) trong năm 1998.</w:t>
      </w:r>
    </w:p>
    <w:p>
      <w:pPr>
        <w:numPr>
          <w:ilvl w:val="1"/>
          <w:numId w:val="16"/>
        </w:numPr>
        <w:pStyle w:val="Para 01"/>
      </w:pPr>
      <w:r>
        <w:t>Lợi nhuận sau thuế trên vốn đầu tư (đầu năm) năm 1998, sử dụng thuế suất thực tế năm 1998.</w:t>
      </w:r>
    </w:p>
    <w:p>
      <w:pPr>
        <w:numPr>
          <w:ilvl w:val="0"/>
          <w:numId w:val="16"/>
        </w:numPr>
        <w:pStyle w:val="Para 01"/>
      </w:pPr>
      <w:r>
        <w:t>SeeSaw Toys báo cáo giá trị sổ sách của vốn chủ sở hữu là 1,5 tỷ đô la vào cuối năm 1998 và 100 triệu cổ phiếu đang lưu hành. Trong năm 1999, công ty đã mua lại 10 triệu cổ phiếu với giá thị trường là 40 đô la mỗi cổ phiếu. Công ty cũng báo cáo thu nhập ròng là 150 triệu đô la cho năm 1999, và trả cổ tức là 50 triệu đô la. Hãy ước tính:</w:t>
      </w:r>
    </w:p>
    <w:p>
      <w:pPr>
        <w:numPr>
          <w:ilvl w:val="1"/>
          <w:numId w:val="16"/>
        </w:numPr>
        <w:pStyle w:val="Para 01"/>
      </w:pPr>
      <w:r>
        <w:t>Giá trị sổ sách của vốn chủ sở hữu vào cuối năm 1999.</w:t>
      </w:r>
    </w:p>
    <w:p>
      <w:pPr>
        <w:numPr>
          <w:ilvl w:val="1"/>
          <w:numId w:val="16"/>
        </w:numPr>
        <w:pStyle w:val="Para 01"/>
      </w:pPr>
      <w:r>
        <w:t>Lợi nhuận trên vốn chủ sở hữu, sử dụng giá trị sổ sách đầu năm của vốn chủ sở hữu.</w:t>
      </w:r>
    </w:p>
    <w:p>
      <w:pPr>
        <w:numPr>
          <w:ilvl w:val="1"/>
          <w:numId w:val="16"/>
        </w:numPr>
        <w:pStyle w:val="Para 01"/>
      </w:pPr>
      <w:r>
        <w:t>Lợi nhuận trên vốn chủ sở hữu, sử dụng giá trị sổ sách trung bình của vốn chủ sở hữu.</w:t>
      </w:r>
    </w:p>
    <w:p>
      <w:bookmarkStart w:id="444" w:name="Notes____1_Depreciation_is_treat"/>
      <w:bookmarkStart w:id="445" w:name="Notes_2"/>
      <w:pPr>
        <w:keepNext/>
        <w:pStyle w:val="Heading 2"/>
        <w:keepLines w:val="on"/>
      </w:pPr>
      <w:r>
        <w:t>Ghi chú</w:t>
      </w:r>
      <w:bookmarkEnd w:id="444"/>
      <w:bookmarkEnd w:id="445"/>
    </w:p>
    <w:p>
      <w:pPr>
        <w:pStyle w:val="Para 08"/>
      </w:pPr>
      <w:r>
        <w:t>1 Khấu hao được coi là một chi phí kế toán. Do đó, việc sử dụng khấu hao theo đường thẳng (thấp hơn khấu hao nhanh trong vài năm đầu sau khi tài sản được mua) sẽ dẫn đến chi phí thấp hơn và thu nhập cao hơn.</w:t>
      </w:r>
    </w:p>
    <w:p>
      <w:pPr>
        <w:pStyle w:val="Para 08"/>
      </w:pPr>
      <w:r>
        <w:t>2 Các công ty đã lách các yêu cầu hợp nhất bằng cách giữ tỷ lệ sở hữu của họ trong các công ty khác dưới 50 phần trăm.</w:t>
      </w:r>
    </w:p>
    <w:p>
      <w:pPr>
        <w:pStyle w:val="Para 08"/>
      </w:pPr>
      <w:r>
        <w:t>3 Khi một thương vụ mua lại hoàn tất, sự khác biệt giữa giá trị thị trường và giá trị sổ sách của công ty mục tiêu không tự động trở thành lợi thế thương mại. Các tài sản hiện có trước tiên có thể được đánh giá lại theo giá trị hợp lý và phần chênh lệch trở thành lợi thế thương mại.</w:t>
      </w:r>
    </w:p>
    <w:p>
      <w:pPr>
        <w:pStyle w:val="Para 08"/>
      </w:pPr>
      <w:r>
        <w:t>4 Nghĩa vụ nợ quỹ hưu trí tích lũy không tính đến nghĩa vụ phúc lợi dự kiến, nơi các ước tính chuyên môn về phúc lợi trong tương lai được thực hiện. Do đó, nó nhỏ hơn nhiều so với tổng nghĩa vụ nợ hưu trí.</w:t>
      </w:r>
    </w:p>
    <w:p>
      <w:pPr>
        <w:pStyle w:val="Para 08"/>
      </w:pPr>
      <w:r>
        <w:t>5 Nếu một chi phí (chẳng hạn như chi phí hành chính) không thể dễ dàng liên kết với các khoản doanh thu cụ thể, nó thường được ghi nhận là một chi phí trong kỳ mà nó được tiêu thụ.</w:t>
      </w:r>
    </w:p>
    <w:p>
      <w:pPr>
        <w:pStyle w:val="Para 08"/>
      </w:pPr>
      <w:r>
        <w:t>6 Để rút ra công thức này, giả sử tiền mặt bằng không, và thay thế EBIT (1 − t) bằng (Thu nhập ròng + Chi phí lãi vay (1 − t))/(D + E) và lãi suất bằng Chi phí lãi vay/Nợ trong phương trình và giải đến kết quả.</w:t>
      </w:r>
    </w:p>
    <w:p>
      <w:bookmarkStart w:id="452" w:name="ROC_D_E_ROC_i_1_t____NI_Int____1"/>
      <w:pPr>
        <w:keepNext/>
        <w:pStyle w:val="Para 53"/>
        <w:keepLines w:val="on"/>
      </w:pPr>
      <w:r>
        <w:t>ROC+D/E[ROC-i(1-t)]=[NI+Int⁡(1-t)]/(D+E)+D/E{[NI+Int⁡(1-t)]/(D+E)-Int⁡(1-t)/D}={[NI+Int⁡(1-t)]/(D+E)}(1+D/E)-Int⁡(1-t)/E=NI/E+Int⁡(1-t)/E-Int⁡(1-t)/E=NI/E=ROE</w:t>
      </w:r>
      <w:bookmarkEnd w:id="452"/>
    </w:p>
    <w:p>
      <w:pPr>
        <w:pStyle w:val="Para 08"/>
      </w:pPr>
      <w:r>
        <w:t>7 Điều này giả định rằng việc phòng ngừa rủi ro được thiết lập một cách thành thạo. Hoàn toàn có thể xảy ra rằng một biện pháp phòng ngừa rủi ro, nếu được thiết lập cẩu thả, có thể khiến công ty tốn kém tiền bạc.</w:t>
      </w:r>
    </w:p>
    <w:p>
      <w:pPr>
        <w:pStyle w:val="Para 08"/>
      </w:pPr>
      <w:r>
        <w:t>8 Nếu tài sản ngắn hạn và nợ ngắn hạn tăng một lượng bằng nhau, tỷ số thanh toán ngắn hạn sẽ giảm nếu nó lớn hơn 1 trước khi tăng, và sẽ tăng nếu nó nhỏ hơn 1.</w:t>
      </w:r>
    </w:p>
    <w:p>
      <w:pPr>
        <w:pStyle w:val="Para 08"/>
      </w:pPr>
      <w:r>
        <w:t>9 Sự chênh lệch của giá trị thị trường của vốn chủ sở hữu so với giá trị sổ sách có khả năng lớn hơn nhiều so với sự chênh lệch của nợ, và có khả năng chiếm ưu thế trong hầu hết các tính toán tỷ số nợ.</w:t>
      </w:r>
    </w:p>
    <w:p>
      <w:bookmarkStart w:id="456" w:name="Top_of_c04_xhtml"/>
      <w:bookmarkStart w:id="457" w:name="Chapter_4The_Basics_of_Risk"/>
      <w:bookmarkStart w:id="458" w:name="Chapter_4The_Basics_of_Risk__Whe"/>
      <w:pPr>
        <w:keepNext/>
        <w:pStyle w:val="Heading 1"/>
        <w:pageBreakBefore w:val="on"/>
        <w:keepLines w:val="on"/>
      </w:pPr>
      <w:r>
        <w:t>CHƯƠNG 4</w:t>
      </w:r>
      <w:r>
        <w:br/>
      </w:r>
      <w:r>
        <w:t>Những điều cơ bản về rủi ro</w:t>
      </w:r>
      <w:bookmarkEnd w:id="456"/>
      <w:bookmarkEnd w:id="457"/>
      <w:bookmarkEnd w:id="458"/>
    </w:p>
    <w:p>
      <w:pPr>
        <w:pStyle w:val="Para 03"/>
      </w:pPr>
      <w:r>
        <w:t>Khi định giá tài sản và công ty, chúng ta cần sử dụng các tỷ lệ chiết khấu phản ánh mức độ rủi ro của các dòng tiền. Cụ thể, chi phí nợ phải bao gồm một mức bù rủi ro vỡ nợ cho rủi ro vỡ nợ trong khoản nợ, và chi phí vốn chủ sở hữu phải bao gồm một mức bù rủi ro cho rủi ro vốn chủ sở hữu. Nhưng làm thế nào để chúng ta đo lường rủi ro vỡ nợ và rủi ro vốn chủ sở hữu? Quan trọng hơn, làm thế nào để chúng ta đưa ra các mức bù rủi ro vỡ nợ và rủi ro vốn chủ sở hữu?</w:t>
      </w:r>
    </w:p>
    <w:p>
      <w:pPr>
        <w:pStyle w:val="Para 03"/>
      </w:pPr>
      <w:r>
        <w:t>Chương này đặt nền tảng cho việc phân tích rủi ro trong định giá. Nó trình bày các mô hình thay thế để đo lường rủi ro và chuyển đổi các thước đo rủi ro này thành các tỷ lệ rào cản có thể chấp nhận được. Nó bắt đầu với một cuộc thảo luận về rủi ro vốn chủ sở hữu và trình bày phân tích theo ba bước. Trong bước đầu tiên, rủi ro được định nghĩa theo thuật ngữ thống kê là phương sai trong lợi nhuận thực tế xung quanh một lợi nhuận kỳ vọng. Phương sai này càng lớn, một khoản đầu tư được coi là càng rủi ro. Bước tiếp theo, bước trung tâm, là phân tách rủi ro này thành rủi ro có thể được đa dạng hóa bởi các nhà đầu tư và rủi ro không thể. Bước thứ ba xem xét cách các mô hình rủi ro và lợi nhuận khác nhau trong tài chính cố gắng đo lường rủi ro không thể đa dạng hóa này. Nó so sánh mô hình được sử dụng rộng rãi nhất, mô hình định giá tài sản vốn (CAPM), với các mô hình khác, giải thích cách thức và lý do chúng khác nhau trong các thước đo rủi ro của chúng, và những hàm ý đối với mức bù rủi ro vốn chủ sở hữu.</w:t>
      </w:r>
    </w:p>
    <w:p>
      <w:pPr>
        <w:pStyle w:val="Para 03"/>
      </w:pPr>
      <w:r>
        <w:t>Phần cuối của chương này xem xét rủi ro vỡ nợ và cách nó được đo lường bởi các cơ quan xếp hạng. Đến cuối chương, chúng ta sẽ có một cách để ước tính rủi ro vốn chủ sở hữu và rủi ro vỡ nợ cho bất kỳ công ty nào.</w:t>
      </w:r>
    </w:p>
    <w:p>
      <w:bookmarkStart w:id="460" w:name="What_Is_Risk"/>
      <w:bookmarkStart w:id="461" w:name="What_Is_Risk___Risk__for_most_of"/>
      <w:pPr>
        <w:keepNext/>
        <w:pStyle w:val="Heading 2"/>
        <w:keepLines w:val="on"/>
      </w:pPr>
      <w:r>
        <w:t>Rủi ro là gì?</w:t>
      </w:r>
      <w:bookmarkEnd w:id="460"/>
      <w:bookmarkEnd w:id="461"/>
    </w:p>
    <w:p>
      <w:pPr>
        <w:pStyle w:val="Para 03"/>
      </w:pPr>
      <w:r>
        <w:t>Rủi ro, đối với hầu hết chúng ta, đề cập đến khả năng rằng trong các trò chơi may rủi của cuộc sống, chúng ta sẽ nhận được một kết quả mà chúng ta sẽ không thích. Ví dụ, rủi ro khi lái xe quá nhanh là bị phạt vì chạy quá tốc độ hoặc, tệ hơn nữa, gặp tai nạn. Từ điển Merriam-Webster's Collegiate, trên thực tế, định nghĩa động từ "to risk" là "đặt vào tình thế nguy hiểm hoặc rủi ro". Do đó, rủi ro hầu như được nhìn nhận hoàn toàn theo nghĩa tiêu cực.</w:t>
      </w:r>
    </w:p>
    <w:p>
      <w:pPr>
        <w:pStyle w:val="Para 03"/>
      </w:pPr>
      <w:r>
        <w:t>Trong tài chính, định nghĩa của chúng ta về rủi ro vừa khác biệt vừa rộng hơn. Rủi ro, như chúng ta thấy, đề cập đến khả năng rằng chúng ta sẽ nhận được một lợi nhuận trên một khoản đầu tư khác với lợi nhuận mà chúng ta kỳ vọng đạt được. Do đó, rủi ro không chỉ bao gồm các kết quả xấu (lợi nhuận thấp hơn kỳ vọng), mà còn cả các kết quả tốt (lợi nhuận cao hơn kỳ vọng). Trên thực tế, chúng ta có thể gọi cái trước là rủi ro giảm giá và cái sau là rủi ro tăng giá, nhưng chúng ta xem xét cả hai khi đo lường rủi ro. Tinh thần của định nghĩa rủi ro của chúng ta trong tài chính được thể hiện rõ nhất qua các ký tự Trung Quốc cho rủi ro:</w:t>
      </w:r>
    </w:p>
    <w:p>
      <w:bookmarkStart w:id="462" w:name="Wei_Ji____Loosely_defined__the_f"/>
      <w:bookmarkStart w:id="463" w:name="Wei_Ji"/>
      <w:pPr>
        <w:keepNext/>
        <w:pStyle w:val="Para 80"/>
        <w:keepLines w:val="on"/>
      </w:pPr>
      <w:r>
        <w:t>危機</w:t>
      </w:r>
      <w:bookmarkEnd w:id="462"/>
      <w:bookmarkEnd w:id="463"/>
    </w:p>
    <w:p>
      <w:pPr>
        <w:pStyle w:val="Para 20"/>
      </w:pPr>
      <w:r>
        <w:rPr>
          <w:rStyle w:val="Text26"/>
        </w:rPr>
        <w:bookmarkStart w:id="464" w:name="Page_62"/>
        <w:t/>
        <w:bookmarkEnd w:id="464"/>
      </w:r>
      <w:r>
        <w:t xml:space="preserve"> </w:t>
      </w:r>
    </w:p>
    <w:p>
      <w:pPr>
        <w:pStyle w:val="Para 03"/>
      </w:pPr>
      <w:r>
        <w:t>Được định nghĩa một cách lỏng lẻo, ký tự đầu tiên là ký tự cho "nguy hiểm", trong khi ký tự thứ hai là ký tự cho "cơ hội", làm cho rủi ro là sự kết hợp giữa nguy hiểm và cơ hội. Nó minh họa rất rõ ràng sự đánh đổi mà mỗi nhà đầu tư và doanh nghiệp phải thực hiện—giữa phần thưởng cao hơn đi kèm với cơ hội và rủi ro cao hơn phải gánh chịu như một hệ quả của nguy hiểm.</w:t>
      </w:r>
    </w:p>
    <w:p>
      <w:pPr>
        <w:pStyle w:val="Para 03"/>
      </w:pPr>
      <w:r>
        <w:t>Phần lớn nội dung của chương này có thể được xem như một nỗ lực nhằm tìm ra một mô hình đo lường tốt nhất mức độ nguy hiểm trong bất kỳ khoản đầu tư nào, rồi sau đó chuyển hóa nó thành cơ hội mà chúng ta cần để bù đắp cho sự nguy hiểm đó. Trong thuật ngữ tài chính, chúng ta gọi sự nguy hiểm là "rủi ro" (risk) và cơ hội là "lợi nhuận kỳ vọng" (expected return).</w:t>
      </w:r>
    </w:p>
    <w:p>
      <w:pPr>
        <w:pStyle w:val="Para 03"/>
      </w:pPr>
      <w:r>
        <w:t>Điều khiến việc đo lường rủi ro và lợi nhuận kỳ vọng trở nên khó khăn đến vậy là vì nó có thể thay đổi tùy theo góc nhìn mà chúng ta chọn. Chẳng hạn, khi phân tích rủi ro của một công ty, ta có thể đo lường nó từ góc nhìn của các nhà quản lý công ty. Hoặc ngược lại, ta có thể lập luận rằng vốn cổ phần của công ty thuộc sở hữu của các cổ đông, và chính góc nhìn của họ về rủi ro mới là điều đáng quan tâm. Các cổ đông của một công ty — nhiều người trong số họ nắm giữ cổ phiếu này chỉ như một khoản đầu tư trong một danh mục lớn hơn — có thể nhìn nhận rủi ro của công ty rất khác so với các nhà quản lý, những người có thể đã dồn phần lớn vốn liếng, cả về con người lẫn tài chính, vào công ty đó.</w:t>
      </w:r>
    </w:p>
    <w:p>
      <w:pPr>
        <w:pStyle w:val="Para 03"/>
      </w:pPr>
      <w:r>
        <w:t>Chúng tôi cho rằng rủi ro trong một khoản đầu tư phải được nhìn nhận qua con mắt của các nhà đầu tư vào công ty. Vì các công ty thường có hàng nghìn nhà đầu tư với những góc nhìn rất khác nhau, nên có thể khẳng định rằng rủi ro phải được đo lường không phải từ góc nhìn của bất kỳ nhà đầu tư nào, mà từ góc nhìn của nhà đầu tư cận biên (marginal investor) — được định nghĩa là nhà đầu tư có khả năng giao dịch cổ phiếu và tác động đến giá của nó cao nhất. Mục tiêu của việc định giá là đo lường giá trị của một tài sản đối với những người sẽ định giá nó. Nếu muốn trung thành với mục tiêu này, chúng ta phải xem xét quan điểm của những người đặt ra giá cổ phiếu, và họ chính là các nhà đầu tư cận biên.</w:t>
      </w:r>
    </w:p>
    <w:p>
      <w:bookmarkStart w:id="465" w:name="Equity_Risk_and_Expected_Return_1"/>
      <w:bookmarkStart w:id="466" w:name="Equity_Risk_and_Expected_Return"/>
      <w:pPr>
        <w:keepNext/>
        <w:pStyle w:val="Heading 2"/>
        <w:keepLines w:val="on"/>
      </w:pPr>
      <w:r>
        <w:t>Rủi ro vốn cổ phần và lợi nhuận kỳ vọng</w:t>
      </w:r>
      <w:bookmarkEnd w:id="465"/>
      <w:bookmarkEnd w:id="466"/>
    </w:p>
    <w:p>
      <w:pPr>
        <w:pStyle w:val="Para 03"/>
      </w:pPr>
      <w:r>
        <w:t>Để minh họa cách nhìn nhận rủi ro trong tài chính, phần phân tích rủi ro ở đây được trình bày theo ba bước: thứ nhất, định nghĩa rủi ro dựa trên phân phối của lợi nhuận thực tế xoay quanh một lợi nhuận kỳ vọng; thứ hai, phân biệt giữa rủi ro đặc thù của một hoặc một vài khoản đầu tư với rủi ro ảnh hưởng đến một tập hợp rộng lớn hơn nhiều các khoản đầu tư (trong một thị trường mà nhà đầu tư cận biên đã đa dạng hóa tốt, chỉ có loại rủi ro sau, gọi là rủi ro thị trường, mới được đền bù); và thứ ba, các mô hình thay thế để đo lường rủi ro thị trường này cùng mức lợi nhuận kỳ vọng đi kèm.</w:t>
      </w:r>
    </w:p>
    <w:p>
      <w:bookmarkStart w:id="467" w:name="Defining_Risk"/>
      <w:bookmarkStart w:id="468" w:name="Defining_Risk__Investors_who_buy"/>
      <w:pPr>
        <w:keepNext/>
        <w:pStyle w:val="Heading 3"/>
        <w:keepLines w:val="on"/>
      </w:pPr>
      <w:r>
        <w:t>Định nghĩa rủi ro</w:t>
      </w:r>
      <w:bookmarkEnd w:id="467"/>
      <w:bookmarkEnd w:id="468"/>
    </w:p>
    <w:p>
      <w:pPr>
        <w:pStyle w:val="Para 03"/>
      </w:pPr>
      <w:r>
        <w:t>Các nhà đầu tư mua một tài sản kỳ vọng sẽ kiếm được lợi nhuận trong khoảng thời gian họ nắm giữ tài sản đó. Lợi nhuận thực tế trong suốt thời gian nắm giữ này có thể rất khác so với lợi nhuận kỳ vọng, và chính sự chênh lệch giữa thực tế và kỳ vọng này là nguồn gốc của rủi ro. Ví dụ, giả sử bạn là một nhà đầu tư có thời gian nắm giữ một năm, mua một tín phiếu kho bạc kỳ hạn một năm (hoặc bất kỳ trái phiếu một năm nào không có rủi ro vỡ nợ) với lợi nhuận kỳ vọng 5 phần trăm. Vào cuối kỳ nắm giữ một năm, lợi nhuận thực tế của khoản đầu tư này sẽ là 5 phần trăm, đúng bằng lợi nhuận kỳ vọng. Phân phối lợi nhuận của khoản đầu tư này được thể hiện trong Hình 4.1. Đây là một khoản đầu tư phi rủi ro.</w:t>
      </w:r>
    </w:p>
    <w:p>
      <w:bookmarkStart w:id="470" w:name="Figure_4_1_Probability_Distribu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05000" cy="1219200"/>
            <wp:effectExtent l="0" r="0" t="0" b="0"/>
            <wp:wrapTopAndBottom/>
            <wp:docPr id="13" name="c04f001.png" descr="Probability distribution graph depicts that return of a riskless investment is equal to the expected return."/>
            <wp:cNvGraphicFramePr>
              <a:graphicFrameLocks noChangeAspect="1"/>
            </wp:cNvGraphicFramePr>
            <a:graphic>
              <a:graphicData uri="http://schemas.openxmlformats.org/drawingml/2006/picture">
                <pic:pic>
                  <pic:nvPicPr>
                    <pic:cNvPr id="0" name="c04f001.png" descr="Probability distribution graph depicts that return of a riskless investment is equal to the expected return."/>
                    <pic:cNvPicPr/>
                  </pic:nvPicPr>
                  <pic:blipFill>
                    <a:blip r:embed="rId13"/>
                    <a:stretch>
                      <a:fillRect/>
                    </a:stretch>
                  </pic:blipFill>
                  <pic:spPr>
                    <a:xfrm>
                      <a:off x="0" y="0"/>
                      <a:ext cx="1905000" cy="1219200"/>
                    </a:xfrm>
                    <a:prstGeom prst="rect">
                      <a:avLst/>
                    </a:prstGeom>
                  </pic:spPr>
                </pic:pic>
              </a:graphicData>
            </a:graphic>
          </wp:anchor>
        </w:drawing>
      </w:r>
      <w:bookmarkEnd w:id="470"/>
    </w:p>
    <w:p>
      <w:pPr>
        <w:keepNext/>
        <w:pStyle w:val="Para 22"/>
        <w:keepLines w:val="on"/>
      </w:pPr>
      <w:r>
        <w:t>Hình 4.1 Phân phối xác suất lợi nhuận của một khoản đầu tư phi rủi ro</w:t>
      </w:r>
    </w:p>
    <w:p>
      <w:pPr>
        <w:pStyle w:val="Para 20"/>
      </w:pPr>
      <w:r>
        <w:rPr>
          <w:rStyle w:val="Text26"/>
        </w:rPr>
        <w:bookmarkStart w:id="471" w:name="Page_63"/>
        <w:t/>
        <w:bookmarkEnd w:id="471"/>
      </w:r>
      <w:r>
        <w:t xml:space="preserve"> </w:t>
      </w:r>
    </w:p>
    <w:p>
      <w:pPr>
        <w:pStyle w:val="Para 03"/>
      </w:pPr>
      <w:r>
        <w:t>Để tạo sự tương phản với khoản đầu tư phi rủi ro, hãy xét một nhà đầu tư mua cổ phiếu của một công ty, chẳng hạn Boeing. Sau khi nghiên cứu kỹ lưỡng, nhà đầu tư này có thể kết luận rằng cô ấy có thể đạt lợi nhuận kỳ vọng 30 phần trăm từ Boeing trong kỳ nắm giữ một năm. Lợi nhuận thực tế trong giai đoạn này gần như chắc chắn sẽ không bằng 30 phần trăm; nó có thể cao hơn nhiều hoặc thấp hơn nhiều. Phân phối lợi nhuận của khoản đầu tư này được minh họa trong Hình 4.2.</w:t>
      </w:r>
    </w:p>
    <w:p>
      <w:bookmarkStart w:id="473" w:name="Figure_4_2_Return_Distribution_f"/>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28800" cy="1016000"/>
            <wp:effectExtent l="0" r="0" t="0" b="0"/>
            <wp:wrapTopAndBottom/>
            <wp:docPr id="14" name="c04f002.png" descr="Probability distribution graph depicts return of a risky investment may be much greater or much lower."/>
            <wp:cNvGraphicFramePr>
              <a:graphicFrameLocks noChangeAspect="1"/>
            </wp:cNvGraphicFramePr>
            <a:graphic>
              <a:graphicData uri="http://schemas.openxmlformats.org/drawingml/2006/picture">
                <pic:pic>
                  <pic:nvPicPr>
                    <pic:cNvPr id="0" name="c04f002.png" descr="Probability distribution graph depicts return of a risky investment may be much greater or much lower."/>
                    <pic:cNvPicPr/>
                  </pic:nvPicPr>
                  <pic:blipFill>
                    <a:blip r:embed="rId14"/>
                    <a:stretch>
                      <a:fillRect/>
                    </a:stretch>
                  </pic:blipFill>
                  <pic:spPr>
                    <a:xfrm>
                      <a:off x="0" y="0"/>
                      <a:ext cx="1828800" cy="1016000"/>
                    </a:xfrm>
                    <a:prstGeom prst="rect">
                      <a:avLst/>
                    </a:prstGeom>
                  </pic:spPr>
                </pic:pic>
              </a:graphicData>
            </a:graphic>
          </wp:anchor>
        </w:drawing>
      </w:r>
      <w:bookmarkEnd w:id="473"/>
    </w:p>
    <w:p>
      <w:pPr>
        <w:keepNext/>
        <w:pStyle w:val="Para 22"/>
        <w:keepLines w:val="on"/>
      </w:pPr>
      <w:r>
        <w:t>Hình 4.2 Phân phối lợi nhuận của một khoản đầu tư rủi ro</w:t>
      </w:r>
    </w:p>
    <w:p>
      <w:pPr>
        <w:pStyle w:val="Para 03"/>
      </w:pPr>
      <w:r>
        <w:t>Ngoài lợi nhuận kỳ vọng, giờ đây nhà đầu tư còn phải cân nhắc những điều sau. Thứ nhất, lưu ý rằng trong trường hợp này, lợi nhuận thực tế khác với lợi nhuận kỳ vọng. Độ phân tán của lợi nhuận thực tế xoay quanh lợi nhuận kỳ vọng được đo bằng phương sai (variance) hoặc độ lệch chuẩn (standard deviation) của phân phối; lợi nhuận thực tế càng lệch xa lợi nhuận kỳ vọng thì phương sai càng lớn. Thứ hai, xu hướng nghiêng về lợi nhuận dương hay âm được thể hiện qua độ xiên (skewness) của phân phối. Phân phối trong Hình 4.2 có độ xiên dương, vì xác suất đạt lợi nhuận dương lớn cao hơn xác suất chịu lợi nhuận âm lớn. Thứ ba, hình dạng của hai đuôi phân phối được đo bằng độ nhọn (kurtosis) của phân phối; đuôi càng dày thì độ nhọn càng cao. Trong thuật ngữ đầu tư, điều này thể hiện xu hướng giá của khoản đầu tư này nhảy vọt (tăng hoặc giảm so với mức hiện tại) theo cả hai hướng.</w:t>
      </w:r>
    </w:p>
    <w:p>
      <w:pPr>
        <w:pStyle w:val="Para 03"/>
      </w:pPr>
      <w:r>
        <w:t>Trong trường hợp đặc biệt khi phân phối lợi nhuận là phân phối chuẩn, nhà đầu tư không cần bận tâm đến độ xiên và độ nhọn, vì phân phối chuẩn không có độ xiên (phân phối chuẩn đối xứng) và được định nghĩa là có độ nhọn bằng không. Hình 4.3 minh họa phân phối lợi nhuận của hai khoản đầu tư có lợi nhuận đối xứng.</w:t>
      </w:r>
    </w:p>
    <w:p>
      <w:bookmarkStart w:id="476" w:name="Figure_4_3_Return_Distribution_C"/>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33600" cy="1384300"/>
            <wp:effectExtent l="0" r="0" t="0" b="0"/>
            <wp:wrapTopAndBottom/>
            <wp:docPr id="15" name="c04f003.png" descr="Graph depicts the return distribution on low-and high-variance investments with symmetric returns."/>
            <wp:cNvGraphicFramePr>
              <a:graphicFrameLocks noChangeAspect="1"/>
            </wp:cNvGraphicFramePr>
            <a:graphic>
              <a:graphicData uri="http://schemas.openxmlformats.org/drawingml/2006/picture">
                <pic:pic>
                  <pic:nvPicPr>
                    <pic:cNvPr id="0" name="c04f003.png" descr="Graph depicts the return distribution on low-and high-variance investments with symmetric returns."/>
                    <pic:cNvPicPr/>
                  </pic:nvPicPr>
                  <pic:blipFill>
                    <a:blip r:embed="rId15"/>
                    <a:stretch>
                      <a:fillRect/>
                    </a:stretch>
                  </pic:blipFill>
                  <pic:spPr>
                    <a:xfrm>
                      <a:off x="0" y="0"/>
                      <a:ext cx="2133600" cy="1384300"/>
                    </a:xfrm>
                    <a:prstGeom prst="rect">
                      <a:avLst/>
                    </a:prstGeom>
                  </pic:spPr>
                </pic:pic>
              </a:graphicData>
            </a:graphic>
          </wp:anchor>
        </w:drawing>
      </w:r>
      <w:bookmarkEnd w:id="476"/>
    </w:p>
    <w:p>
      <w:pPr>
        <w:keepNext/>
        <w:pStyle w:val="Para 22"/>
        <w:keepLines w:val="on"/>
      </w:pPr>
      <w:r>
        <w:t>Hình 4.3 So sánh phân phối lợi nhuận</w:t>
      </w:r>
    </w:p>
    <w:p>
      <w:pPr>
        <w:pStyle w:val="Para 03"/>
      </w:pPr>
      <w:r>
        <w:t>Khi phân phối lợi nhuận là phân phối chuẩn, đặc điểm của bất kỳ khoản đầu tư nào cũng có thể được đo lường bằng hai biến số — lợi nhuận kỳ vọng, đại diện cho cơ hội của khoản đầu tư, và độ lệch chuẩn hay phương sai, đại diện cho sự nguy hiểm. Trong tình huống này, một nhà đầu tư lý trí, khi đứng trước lựa chọn giữa hai khoản đầu tư có cùng độ lệch chuẩn nhưng lợi nhuận kỳ vọng khác nhau, sẽ luôn chọn khoản có lợi nhuận kỳ vọng cao hơn.</w:t>
      </w:r>
    </w:p>
    <w:p>
      <w:pPr>
        <w:pStyle w:val="Para 03"/>
      </w:pPr>
      <w:r>
        <w:t>Trong trường hợp tổng quát hơn, khi các phân phối không đối xứng cũng không chuẩn, vẫn có thể hình dung rằng nhà đầu tư sẽ lựa chọn giữa các khoản đầu tư chỉ dựa trên lợi nhuận kỳ vọng và phương sai, miễn là họ sở hữu các hàm thỏa dụng (utility function) cho phép làm điều đó.1 Tuy nhiên, nhiều khả năng hơn là họ thích những phân phối có độ xiên dương hơn là độ xiên âm, và thích những phân phối ít có khả năng nhảy vọt (độ nhọn thấp) hơn những phân phối có khả năng nhảy vọt cao (độ nhọn cao). Trong thế giới này, nhà đầu tư sẽ đánh đổi cái tốt (lợi nhuận kỳ vọng cao hơn và độ xiên dương hơn) lấy cái xấu (phương sai và độ nhọn cao hơn) khi đưa ra quyết định đầu tư.</w:t>
      </w:r>
    </w:p>
    <w:p>
      <w:pPr>
        <w:pStyle w:val="Para 03"/>
      </w:pPr>
      <w:r>
        <w:t>Để kết lại, cần lưu ý rằng lợi nhuận kỳ vọng và phương sai mà chúng ta gặp trong thực tế hầu như luôn được ước lượng bằng lợi nhuận trong quá khứ thay vì lợi nhuận trong tương lai. Giả định đằng sau việc sử dụng phương sai lịch sử là phân phối lợi nhuận trong quá khứ phản ánh tốt phân phối lợi nhuận trong tương lai. Khi giả định này bị vi phạm — chẳng hạn khi đặc điểm của tài sản đã thay đổi đáng kể theo thời gian — thì các ước lượng lịch sử có thể không còn là thước đo rủi ro tốt nữa.</w:t>
      </w:r>
    </w:p>
    <w:p>
      <w:pPr>
        <w:pStyle w:val="Para 11"/>
      </w:pPr>
      <w:r>
        <w:t/>
        <w:t xml:space="preserve"> </w:t>
      </w:r>
    </w:p>
    <w:p>
      <w:bookmarkStart w:id="479" w:name="optvar_xls__This_is_a_dataset_on"/>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6"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479"/>
    </w:p>
    <w:p>
      <w:pPr>
        <w:pStyle w:val="Para 31"/>
        <w:keepLines w:val="on"/>
      </w:pPr>
      <w:r>
        <w:t>optvar.xls: Đây là một tập dữ liệu trên web tóm tắt độ lệch chuẩn của giá cổ phiếu trong nhiều lĩnh vực khác nhau tại Hoa Kỳ.</w:t>
      </w:r>
    </w:p>
    <w:p>
      <w:bookmarkStart w:id="480" w:name="Diversifiable_and_Nondiversifiab"/>
      <w:bookmarkStart w:id="481" w:name="Diversifiable_and_Nondiversifiab_1"/>
      <w:pPr>
        <w:keepNext/>
        <w:pStyle w:val="Heading 3"/>
        <w:keepLines w:val="on"/>
      </w:pPr>
      <w:r>
        <w:t>Rủi ro có thể đa dạng hóa và rủi ro không thể đa dạng hóa</w:t>
      </w:r>
      <w:bookmarkEnd w:id="480"/>
      <w:bookmarkEnd w:id="481"/>
    </w:p>
    <w:p>
      <w:pPr>
        <w:pStyle w:val="Para 03"/>
      </w:pPr>
      <w:r>
        <w:t>Mặc dù có nhiều lý do khiến lợi nhuận thực tế khác với lợi nhuận kỳ vọng, chúng ta có thể nhóm các lý do này thành hai loại: đặc thù của công ty và toàn thị trường. Những rủi ro phát sinh từ các hành động đặc thù của công ty chỉ ảnh hưởng đến một hoặc một vài khoản đầu tư, trong khi những rủi ro phát sinh từ lý do toàn thị trường ảnh hưởng đến nhiều hoặc tất cả các khoản đầu tư. Sự phân biệt này có ý nghĩa then chốt đối với cách chúng ta đánh giá rủi ro trong tài chính.</w:t>
      </w:r>
    </w:p>
    <w:p>
      <w:bookmarkStart w:id="482" w:name="Components_of_Risk"/>
      <w:bookmarkStart w:id="483" w:name="Components_of_Risk__When_an_inve"/>
      <w:pPr>
        <w:keepNext/>
        <w:pStyle w:val="Heading 4"/>
        <w:keepLines w:val="on"/>
      </w:pPr>
      <w:r>
        <w:t>Các thành phần của rủi ro</w:t>
      </w:r>
      <w:bookmarkEnd w:id="482"/>
      <w:bookmarkEnd w:id="483"/>
    </w:p>
    <w:p>
      <w:pPr>
        <w:pStyle w:val="Para 03"/>
      </w:pPr>
      <w:r>
        <w:t>Khi một nhà đầu tư mua cổ phiếu hoặc nắm giữ một vị thế vốn cổ phần trong một công ty, người đó phải đối mặt với nhiều rủi ro. Một số rủi ro có thể chỉ ảnh hưởng đến một hoặc một vài công ty, và rủi ro này được xếp vào loại rủi ro đặc thù của công ty (firm-specific risk). Trong loại này, chúng ta xét đến một loạt rủi ro, bắt đầu từ rủi ro công ty đánh giá sai nhu cầu của khách hàng đối với một sản phẩm; chúng ta gọi đây là rủi ro dự án (project risk). Chẳng hạn, hãy xét khoản đầu tư của Boeing vào một chiếc máy bay Super Jumbo. Khoản đầu tư này dựa trên giả định rằng các hãng hàng không muốn một chiếc máy bay lớn hơn và sẵn sàng trả giá cao cho nó. Nếu Boeing đánh giá sai nhu cầu này, nó rõ ràng sẽ ảnh hưởng đến lợi nhuận và giá trị của Boeing, nhưng không nên gây ảnh hưởng đáng kể đến các công ty khác trên thị trường. Rủi ro cũng có thể phát sinh từ việc đối thủ cạnh tranh tỏ ra mạnh hơn hoặc yếu hơn dự kiến, gọi là rủi ro cạnh tranh (competitive risk). Ví dụ, giả sử Boeing và Airbus đang cạnh tranh để giành đơn hàng từ Qantas, hãng hàng không của Úc. Khả năng Airbus thắng thầu là một nguồn rủi ro tiềm tàng đối với Boeing và có thể cả một số nhà cung cấp của nó, nhưng một lần nữa, ít công ty khác bị ảnh hưởng. Tương tự, Disney gần đây đã ra mắt các chương trình mới trên nền tảng streaming của mình, nhằm thu hút thêm người đăng ký. Việc nó thành công hay không rõ ràng rất quan trọng đối với Disney và các đối thủ, nhưng khó có thể tác động đến phần còn lại của thị trường. Trên thực tế, các thước đo rủi ro có thể được mở rộng để bao gồm những rủi ro có thể ảnh hưởng đến cả một lĩnh vực nhưng chỉ giới hạn trong lĩnh vực đó; chúng ta gọi đây là rủi ro ngành (sector risk). Chẳng hạn, việc cắt giảm ngân sách quốc phòng ở Hoa Kỳ sẽ ảnh hưởng tiêu cực đến tất cả các công ty trong ngành quốc phòng, bao gồm Boeing, nhưng không nên gây ảnh hưởng đáng kể đến các ngành khác. Điểm chung của ba loại rủi ro vừa nêu — rủi ro dự án, rủi ro cạnh tranh và rủi ro ngành — là chúng chỉ ảnh hưởng đến một tập hợp con các công ty.</w:t>
      </w:r>
    </w:p>
    <w:p>
      <w:pPr>
        <w:pStyle w:val="Para 03"/>
      </w:pPr>
      <w:r>
        <w:t>Có một nhóm rủi ro khác lan tỏa mạnh mẽ hơn nhiều và ảnh hưởng đến nhiều, nếu không muốn nói là tất cả, các khoản đầu tư. Chẳng hạn, khi lãi suất tăng, mọi khoản đầu tư đều bị ảnh hưởng, dù ở mức độ khác nhau. Tương tự, khi nền kinh tế suy yếu, mọi công ty đều cảm nhận được tác động, dù các công ty có tính chu kỳ (như ô tô, thép và bất động sản nhà ở) có thể cảm nhận mạnh hơn. Chúng ta gọi rủi ro này là rủi ro thị trường (market risk).</w:t>
      </w:r>
    </w:p>
    <w:p>
      <w:pPr>
        <w:pStyle w:val="Para 03"/>
      </w:pPr>
      <w:r>
        <w:t>Cuối cùng, có những rủi ro nằm trong vùng xám, tùy thuộc vào số lượng tài sản mà chúng ảnh hưởng. Chẳng hạn, khi đồng đô la mạnh lên so với các đồng tiền khác, nó tác động đáng kể đến lợi nhuận và giá trị của các công ty có hoạt động quốc tế. Nếu hầu hết các công ty trên thị trường đều có hoạt động quốc tế đáng kể, và mức độ phơi nhiễm tỷ giá cùng chiều, thì nó hoàn toàn có thể được xếp vào loại rủi ro thị trường. Nếu chỉ một vài công ty như vậy, nó sẽ gần với rủi ro đặc thù của công ty hơn. Hình 4.4 tóm tắt phổ rủi ro đặc thù của công ty và rủi ro thị trường.</w:t>
      </w:r>
    </w:p>
    <w:p>
      <w:bookmarkStart w:id="486" w:name="Figure_4_4_Breakdown_of_Risk"/>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73300" cy="1104900"/>
            <wp:effectExtent l="0" r="0" t="0" b="0"/>
            <wp:wrapTopAndBottom/>
            <wp:docPr id="17" name="c04f004.png" descr="Illustration of a timeline depicts that diversification of investments reduces or eliminates firm-specific and market risks."/>
            <wp:cNvGraphicFramePr>
              <a:graphicFrameLocks noChangeAspect="1"/>
            </wp:cNvGraphicFramePr>
            <a:graphic>
              <a:graphicData uri="http://schemas.openxmlformats.org/drawingml/2006/picture">
                <pic:pic>
                  <pic:nvPicPr>
                    <pic:cNvPr id="0" name="c04f004.png" descr="Illustration of a timeline depicts that diversification of investments reduces or eliminates firm-specific and market risks."/>
                    <pic:cNvPicPr/>
                  </pic:nvPicPr>
                  <pic:blipFill>
                    <a:blip r:embed="rId16"/>
                    <a:stretch>
                      <a:fillRect/>
                    </a:stretch>
                  </pic:blipFill>
                  <pic:spPr>
                    <a:xfrm>
                      <a:off x="0" y="0"/>
                      <a:ext cx="2273300" cy="1104900"/>
                    </a:xfrm>
                    <a:prstGeom prst="rect">
                      <a:avLst/>
                    </a:prstGeom>
                  </pic:spPr>
                </pic:pic>
              </a:graphicData>
            </a:graphic>
          </wp:anchor>
        </w:drawing>
      </w:r>
      <w:bookmarkEnd w:id="486"/>
    </w:p>
    <w:p>
      <w:pPr>
        <w:keepNext/>
        <w:pStyle w:val="Para 22"/>
        <w:keepLines w:val="on"/>
      </w:pPr>
      <w:r>
        <w:t>Hình 4.4 Phân loại rủi ro</w:t>
      </w:r>
    </w:p>
    <w:p>
      <w:bookmarkStart w:id="487" w:name="Why_Diversification_Reduces_or_E_1"/>
      <w:bookmarkStart w:id="488" w:name="Why_Diversification_Reduces_or_E"/>
      <w:pPr>
        <w:keepNext/>
        <w:pStyle w:val="Heading 4"/>
        <w:keepLines w:val="on"/>
      </w:pPr>
      <w:r>
        <w:t>Vì sao đa dạng hóa làm giảm hoặc loại bỏ rủi ro đặc thù của công ty: Một lời giải thích trực quan</w:t>
      </w:r>
      <w:bookmarkEnd w:id="487"/>
      <w:bookmarkEnd w:id="488"/>
    </w:p>
    <w:p>
      <w:pPr>
        <w:pStyle w:val="Para 03"/>
      </w:pPr>
      <w:r>
        <w:t>Là một nhà đầu tư, bạn có thể dồn toàn bộ danh mục của mình vào một tài sản duy nhất. Nếu làm vậy, bạn sẽ phải đối mặt với cả rủi ro riêng của doanh nghiệp lẫn rủi ro thị trường. Tuy nhiên, nếu bạn mở rộng danh mục để bao gồm các tài sản hay cổ phiếu khác, bạn đang đa dạng hóa, và nhờ đó có thể giảm bớt mức độ phơi nhiễm với rủi ro riêng của doanh nghiệp. Có hai lý do vì sao đa dạng hóa giúp giảm – hoặc trong trường hợp cực đoan là loại bỏ – rủi ro riêng của doanh nghiệp. Thứ nhất, mỗi khoản đầu tư trong một danh mục đã đa dạng hóa chỉ chiếm một tỷ trọng nhỏ hơn nhiều so với khi bạn không đa dạng hóa. Bất kỳ hành động nào chỉ làm tăng hoặc giảm giá trị của riêng khoản đầu tư đó hay một nhóm nhỏ các khoản đầu tư sẽ chỉ tác động chút ít đến toàn bộ danh mục của bạn, trong khi những nhà đầu tư không đa dạng hóa lại phơi nhiễm nhiều hơn hẳn với những thay đổi giá trị của các khoản đầu tư trong danh mục. Lý do thứ hai là tác động của các hành động riêng lẻ của doanh nghiệp lên giá của từng tài sản trong danh mục có thể là tích cực hoặc tiêu cực đối với mỗi tài sản trong bất kỳ giai đoạn nào. Vì vậy, trong những danh mục rất lớn, rủi ro này sẽ bình quân hóa về không và không ảnh hưởng đến giá trị tổng thể của danh mục.</w:t>
      </w:r>
    </w:p>
    <w:p>
      <w:pPr>
        <w:pStyle w:val="Para 03"/>
      </w:pPr>
      <w:r>
        <w:t>Ngược lại, tác động của những biến động trên toàn thị trường thường có xu hướng cùng chiều đối với hầu hết hoặc tất cả các khoản đầu tư trong danh mục, dù một số tài sản có thể bị ảnh hưởng nhiều hơn những tài sản khác. Chẳng hạn, trong điều kiện các yếu tố khác không đổi, việc lãi suất tăng sẽ làm giảm giá trị của hầu hết tài sản trong danh mục. Đa dạng hóa nhiều hơn cũng không loại bỏ được rủi ro này.</w:t>
      </w:r>
    </w:p>
    <w:p>
      <w:bookmarkStart w:id="490" w:name="A_Statistical_Analysis_of_Divers_1"/>
      <w:bookmarkStart w:id="491" w:name="A_Statistical_Analysis_of_Divers"/>
      <w:pPr>
        <w:keepNext/>
        <w:pStyle w:val="Heading 4"/>
        <w:keepLines w:val="on"/>
      </w:pPr>
      <w:r>
        <w:t>Phân tích thống kê về việc đa dạng hóa giúp giảm rủi ro</w:t>
      </w:r>
      <w:bookmarkEnd w:id="490"/>
      <w:bookmarkEnd w:id="491"/>
    </w:p>
    <w:p>
      <w:pPr>
        <w:pStyle w:val="Para 03"/>
      </w:pPr>
      <w:r>
        <w:t>Tác động của đa dạng hóa lên rủi ro có thể được minh họa một cách ấn tượng bằng việc xem xét ảnh hưởng của việc tăng số lượng tài sản lên phương sai của danh mục. Phương sai của một danh mục được quyết định một phần bởi phương sai của từng tài sản riêng lẻ trong danh mục và một phần bởi cách chúng biến động cùng nhau; yếu tố sau được đo lường thống kê bằng hệ số tương quan (correlation coefficient) hoặc hiệp phương sai (covariance) giữa các khoản đầu tư trong danh mục. Chính số hạng hiệp phương sai là thứ giúp ta hiểu vì sao đa dạng hóa sẽ giảm rủi ro và giảm được bao nhiêu.</w:t>
      </w:r>
    </w:p>
    <w:p>
      <w:pPr>
        <w:pStyle w:val="Para 03"/>
      </w:pPr>
      <w:r>
        <w:t>Hãy xét một danh mục gồm hai tài sản. Tài sản A có lợi nhuận kỳ vọng là µA và phương sai lợi nhuận là σ2A, còn tài sản B có lợi nhuận kỳ vọng là µB và phương sai lợi nhuận là σ2B. Tương quan lợi nhuận giữa hai tài sản, đo lường cách hai tài sản biến động cùng nhau, là ρAB. Lợi nhuận kỳ vọng (μ) và phương sai (σ2) của danh mục hai tài sản có thể được viết dưới dạng hàm của những dữ liệu đầu vào này và tỷ trọng của danh mục dành cho mỗi tài sản.</w:t>
      </w:r>
    </w:p>
    <w:p>
      <w:bookmarkStart w:id="492" w:name="mPortfolio_wAmA__1___wB_mBsPortf"/>
      <w:pPr>
        <w:keepNext/>
        <w:pStyle w:val="Para 09"/>
        <w:keepLines w:val="on"/>
      </w:pPr>
      <w:r>
        <w:t>μPortfolio=wAμA+(1−wB)μBσPortfolio2=wA2σA2+(1−wA)2σB2+2wA(1−wA)ρABσAσB</w:t>
      </w:r>
      <w:bookmarkEnd w:id="492"/>
    </w:p>
    <w:p>
      <w:pPr>
        <w:pStyle w:val="Para 03"/>
      </w:pPr>
      <w:r>
        <w:t>trong đó wA = Tỷ trọng của danh mục đầu tư vào tài sản A</w:t>
      </w:r>
    </w:p>
    <w:p>
      <w:pPr>
        <w:pStyle w:val="Para 03"/>
      </w:pPr>
      <w:r>
        <w:t>Số hạng cuối cùng trong công thức phương sai đôi khi được viết dưới dạng hiệp phương sai lợi nhuận giữa hai tài sản, cụ thể là:</w:t>
      </w:r>
    </w:p>
    <w:p>
      <w:bookmarkStart w:id="493" w:name="sAB_rABsAsB"/>
      <w:pPr>
        <w:keepNext/>
        <w:pStyle w:val="Para 09"/>
        <w:keepLines w:val="on"/>
      </w:pPr>
      <w:r>
        <w:t>σAB=ρABσAσB</w:t>
      </w:r>
      <w:bookmarkEnd w:id="493"/>
    </w:p>
    <w:p>
      <w:pPr>
        <w:pStyle w:val="Para 03"/>
      </w:pPr>
      <w:r>
        <w:t>Khoản tiết kiệm có được từ đa dạng hóa là một hàm của hệ số tương quan. Trong điều kiện các yếu tố khác không đổi, tương quan lợi nhuận giữa hai tài sản càng cao thì lợi ích tiềm năng từ đa dạng hóa càng nhỏ. Tuy nhiên, cũng đáng nói thêm rằng lợi ích của tương quan vẫn tồn tại ngay cả với những tài sản có tương quan dương, và chỉ không còn khi tương quan bằng một.</w:t>
      </w:r>
    </w:p>
    <w:p>
      <w:bookmarkStart w:id="494" w:name="Mean_Variance_Models_Measuring_M_1"/>
      <w:bookmarkStart w:id="495" w:name="Mean_Variance_Models_Measuring_M"/>
      <w:pPr>
        <w:keepNext/>
        <w:pStyle w:val="Heading 3"/>
        <w:keepLines w:val="on"/>
      </w:pPr>
      <w:r>
        <w:t>Các mô hình trung bình – phương sai đo lường rủi ro thị trường</w:t>
      </w:r>
      <w:bookmarkEnd w:id="494"/>
      <w:bookmarkEnd w:id="495"/>
    </w:p>
    <w:p>
      <w:pPr>
        <w:pStyle w:val="Para 03"/>
      </w:pPr>
      <w:r>
        <w:t>Trong khi hầu hết các mô hình rủi ro và lợi nhuận được dùng trong tài chính đều đồng thuận ở hai bước đầu của quá trình phân tích rủi ro (tức là rủi ro đến từ phân phối lợi nhuận thực tế quanh lợi nhuận kỳ vọng, và rủi ro nên được đo lường từ góc nhìn của một nhà đầu tư biên (marginal investor) đã đa dạng hóa tốt), thì chúng lại chia rẽ khi nói đến việc đo lường rủi ro không thể đa dạng hóa hay rủi ro thị trường. Phần này sẽ bàn về các mô hình khác nhau hiện có trong tài chính để đo lường rủi ro thị trường và lý do chúng khác nhau. Nó bắt đầu với mô hình vẫn còn được dùng rộng rãi nhất để đo lường rủi ro thị trường trong tài chính – mô hình định giá tài sản vốn (capital asset pricing model – CAPM) – rồi sau đó thảo luận về những mô hình thay thế đã phát triển trong hai thập kỷ qua. Dù phần thảo luận sẽ nhấn mạnh những điểm khác biệt, nó cũng sẽ xem xét những điểm chung giữa các mô hình.</w:t>
      </w:r>
    </w:p>
    <w:p>
      <w:bookmarkStart w:id="496" w:name="Capital_Asset_Pricing_Model__The"/>
      <w:bookmarkStart w:id="497" w:name="Capital_Asset_Pricing_Model"/>
      <w:pPr>
        <w:keepNext/>
        <w:pStyle w:val="Heading 4"/>
        <w:keepLines w:val="on"/>
      </w:pPr>
      <w:r>
        <w:t>Mô hình định giá tài sản vốn</w:t>
      </w:r>
      <w:bookmarkEnd w:id="496"/>
      <w:bookmarkEnd w:id="497"/>
    </w:p>
    <w:p>
      <w:pPr>
        <w:pStyle w:val="Para 03"/>
      </w:pPr>
      <w:r>
        <w:t>Mô hình rủi ro và lợi nhuận được sử dụng lâu đời nhất và vẫn là chuẩn mực cho hầu hết những người hành nghề là mô hình định giá tài sản vốn (CAPM). Phần này sẽ xem xét những giả định mà mô hình dựa trên đó, và các thước đo rủi ro thị trường nảy sinh từ những giả định ấy.</w:t>
      </w:r>
    </w:p>
    <w:p>
      <w:pPr>
        <w:pStyle w:val="Para 20"/>
      </w:pPr>
      <w:r>
        <w:rPr>
          <w:rStyle w:val="Text26"/>
        </w:rPr>
        <w:bookmarkStart w:id="498" w:name="Page_68"/>
        <w:t/>
        <w:bookmarkEnd w:id="498"/>
      </w:r>
      <w:r>
        <w:t xml:space="preserve"> </w:t>
      </w:r>
    </w:p>
    <w:p>
      <w:pPr>
        <w:pStyle w:val="Para 11"/>
      </w:pPr>
      <w:r>
        <w:t/>
        <w:t xml:space="preserve"> </w:t>
      </w:r>
    </w:p>
    <w:p>
      <w:bookmarkStart w:id="499" w:name="Why_Is_the_Marginal_Investor_Ass_1"/>
      <w:bookmarkStart w:id="500" w:name="Why_Is_the_Marginal_Investor_Ass"/>
      <w:pPr>
        <w:keepNext/>
        <w:pStyle w:val="Para 27"/>
        <w:keepLines w:val="on"/>
      </w:pPr>
      <w:r>
        <w:t>Vì sao nhà đầu tư biên được giả định là đã đa dạng hóa?</w:t>
      </w:r>
      <w:bookmarkEnd w:id="499"/>
      <w:bookmarkEnd w:id="500"/>
    </w:p>
    <w:p>
      <w:pPr>
        <w:pStyle w:val="Para 16"/>
        <w:keepLines w:val="on"/>
      </w:pPr>
      <w:r>
        <w:t>Lập luận rằng đa dạng hóa giúp giảm mức độ phơi nhiễm rủi ro của nhà đầu tư là rõ ràng cả về mặt trực giác lẫn thống kê, nhưng các mô hình rủi ro và lợi nhuận trong tài chính còn đi xa hơn. Những mô hình này nhìn rủi ro qua con mắt của nhà đầu tư có khả năng giao dịch khoản đầu tư đó cao nhất tại bất kỳ thời điểm nào – nhà đầu tư biên. Chúng lập luận rằng nhà đầu tư này, người định giá cho các khoản đầu tư, đã đa dạng hóa tốt; do đó, rủi ro duy nhất mà người ấy quan tâm là rủi ro được thêm vào một danh mục đã đa dạng hóa, tức rủi ro thị trường. Lập luận này có thể được biện minh một cách đơn giản. Rủi ro trong một khoản đầu tư sẽ luôn được nhìn nhận là cao hơn đối với một nhà đầu tư không đa dạng hóa so với một nhà đầu tư đã đa dạng hóa, vì người sau không phải gánh chịu rủi ro riêng của doanh nghiệp còn người trước thì có. Nếu cả hai nhà đầu tư đều có cùng kỳ vọng về lợi nhuận và dòng tiền tương lai của một tài sản, thì nhà đầu tư đã đa dạng hóa sẽ sẵn lòng trả giá cao hơn cho tài sản đó vì nhận thức của người ấy về rủi ro thấp hơn. Kết quả là, theo thời gian, tài sản đó sẽ rốt cuộc nằm trong tay những nhà đầu tư đã đa dạng hóa.</w:t>
      </w:r>
    </w:p>
    <w:p>
      <w:pPr>
        <w:pStyle w:val="Para 16"/>
        <w:keepLines w:val="on"/>
      </w:pPr>
      <w:r>
        <w:t>Lập luận này rất mạnh mẽ, đặc biệt là ở những thị trường nơi tài sản có thể được giao dịch dễ dàng và với chi phí thấp. Vì vậy, nó phát huy tốt đối với một cổ phiếu được giao dịch ở các thị trường phát triển, bởi nhà đầu tư có thể đa dạng hóa với chi phí khá thấp. Ngoài ra, một tỷ lệ đáng kể giao dịch cổ phiếu trên thị trường phát triển được thực hiện bởi các nhà đầu tư tổ chức, những người thường đa dạng hóa tốt. Lập luận này trở nên khó duy trì hơn khi tài sản không thể giao dịch dễ dàng, hoặc chi phí giao dịch cao. Ở những thị trường này, nhà đầu tư biên hoàn toàn có thể là người chưa đa dạng hóa, và do đó rủi ro riêng của doanh nghiệp có thể vẫn còn quan trọng khi xem xét từng khoản đầu tư riêng lẻ. Chẳng hạn, bất động sản ở hầu hết các quốc gia vẫn được nắm giữ bởi những nhà đầu tư chưa đa dạng hóa và có phần lớn tài sản của họ gắn chặt vào những khoản đầu tư này.</w:t>
      </w:r>
    </w:p>
    <w:p>
      <w:bookmarkStart w:id="501" w:name="Assumptions__While_diversificati"/>
      <w:pPr>
        <w:pStyle w:val="Para 21"/>
      </w:pPr>
      <w:r>
        <w:t>Các giả định</w:t>
      </w:r>
      <w:bookmarkEnd w:id="501"/>
    </w:p>
    <w:p>
      <w:pPr>
        <w:pStyle w:val="Para 03"/>
      </w:pPr>
      <w:r>
        <w:t>Trong khi đa dạng hóa giúp giảm mức độ phơi nhiễm của nhà đầu tư với rủi ro riêng của doanh nghiệp, hầu hết nhà đầu tư lại giới hạn việc đa dạng hóa của mình ở chỗ chỉ nắm giữ một vài tài sản. Ngay cả những quỹ tương hỗ lớn cũng hiếm khi nắm giữ hơn vài trăm cổ phiếu, và nhiều quỹ chỉ nắm giữ vỏn vẹn 10–20 cổ phiếu. Có hai lý do vì sao nhà đầu tư dừng việc đa dạng hóa. Một là nhà đầu tư hay người quản lý quỹ tương hỗ có thể thu được phần lớn lợi ích của đa dạng hóa từ một danh mục tương đối nhỏ, bởi lợi ích biên của đa dạng hóa trở nên nhỏ hơn khi danh mục được đa dạng hóa nhiều hơn. Do đó, những lợi ích này có thể không đủ bù đắp chi phí biên của việc đa dạng hóa, bao gồm chi phí giao dịch và chi phí giám sát. Một lý do khác khiến việc đa dạng hóa bị giới hạn là nhiều nhà đầu tư (và quỹ) tin rằng họ có thể tìm ra những tài sản bị định giá thấp, và vì thế chọn không nắm giữ những tài sản mà họ cho là được định giá hợp lý hoặc bị định giá quá cao.</w:t>
      </w:r>
    </w:p>
    <w:p>
      <w:pPr>
        <w:pStyle w:val="Para 03"/>
      </w:pPr>
      <w:r>
        <w:t>Mô hình định giá tài sản vốn giả định rằng không có chi phí giao dịch, mọi tài sản đều được giao dịch, và các khoản đầu tư có thể chia nhỏ vô hạn (tức là bạn có thể mua bất kỳ phần nhỏ nào của một đơn vị tài sản). Nó cũng giả định rằng mọi người đều có quyền truy cập vào cùng một nguồn thông tin và do đó nhà đầu tư không thể tìm thấy tài sản bị định giá thấp hay quá cao trên thị trường. Bằng cách đưa ra những giả định này, nó cho phép nhà đầu tư tiếp tục đa dạng hóa mà không tốn thêm chi phí. Ở giới hạn, danh mục của họ sẽ không chỉ bao gồm mọi tài sản được giao dịch trên thị trường, mà những tài sản này còn được nắm giữ theo tỷ lệ với giá trị thị trường (market value – MV) của chúng.</w:t>
      </w:r>
    </w:p>
    <w:p>
      <w:pPr>
        <w:pStyle w:val="Para 03"/>
      </w:pPr>
      <w:r>
        <w:t>Việc danh mục này bao gồm mọi tài sản được giao dịch trên thị trường chính là lý do nó được gọi là danh mục thị trường (market portfolio), và đây không phải là một kết quả đáng ngạc nhiên, xét đến những lợi ích của đa dạng hóa và sự vắng mặt của chi phí giao dịch trong mô hình định giá tài sản vốn. Nếu đa dạng hóa giúp giảm mức độ phơi nhiễm với rủi ro riêng của doanh nghiệp và không có chi phí nào gắn với việc thêm nhiều tài sản hơn vào danh mục, thì giới hạn hợp lý của đa dạng hóa là nắm giữ một tỷ trọng nhỏ của mọi tài sản được giao dịch trong nền kinh tế. Nếu điều này nghe có vẻ trừu tượng, hãy coi danh mục thị trường như một quỹ tương hỗ được đa dạng hóa cực kỳ tốt, nắm giữ cả cổ phiếu lẫn tài sản thực. Trong CAPM, mọi nhà đầu tư sẽ nắm giữ các kết hợp giữa tài sản rủi ro hơn và quỹ tương hỗ được đa dạng hóa tối thượng đó.2</w:t>
      </w:r>
    </w:p>
    <w:p>
      <w:bookmarkStart w:id="505" w:name="Investor_Portfolios_in_the_CAPM"/>
      <w:pPr>
        <w:pStyle w:val="Para 21"/>
      </w:pPr>
      <w:r>
        <w:t>Danh mục của nhà đầu tư trong CAPM</w:t>
      </w:r>
      <w:bookmarkEnd w:id="505"/>
    </w:p>
    <w:p>
      <w:pPr>
        <w:pStyle w:val="Para 03"/>
      </w:pPr>
      <w:r>
        <w:t>Nếu mọi nhà đầu tư trên thị trường đều nắm giữ cùng một danh mục thị trường giống hệt nhau, thì chính xác thì nhà đầu tư thể hiện mức độ e ngại rủi ro của mình trong các khoản đầu tư như thế nào? Trong mô hình định giá tài sản vốn, nhà đầu tư điều chỉnh theo sở thích rủi ro của mình thông qua quyết định phân bổ, nơi họ quyết định đầu tư bao nhiêu vào tài sản phi rủi ro và bao nhiêu vào danh mục thị trường. Những nhà đầu tư e ngại rủi ro có thể chọn dồn phần lớn hoặc thậm chí toàn bộ tài sản của mình vào tài sản phi rủi ro. Những nhà đầu tư muốn chấp nhận nhiều rủi ro hơn sẽ đầu tư phần lớn hoặc thậm chí toàn bộ tài sản của mình vào danh mục thị trường. Những nhà đầu tư dồn toàn bộ tài sản vào danh mục thị trường, và vẫn muốn chấp nhận rủi ro nhiều hơn nữa, sẽ làm điều đó bằng cách vay ở lãi suất phi rủi ro và đầu tư vào chính danh mục thị trường giống như mọi người khác.</w:t>
      </w:r>
    </w:p>
    <w:p>
      <w:pPr>
        <w:pStyle w:val="Para 03"/>
      </w:pPr>
      <w:r>
        <w:t>Những kết quả này dựa trên hai giả định bổ sung. Thứ nhất, tồn tại một tài sản phi rủi ro, nơi lợi nhuận kỳ vọng được biết chắc chắn. Thứ hai, nhà đầu tư có thể cho vay và đi vay ở lãi suất phi rủi ro để đạt được phân bổ tối ưu của mình. Trong khi việc cho vay ở lãi suất phi rủi ro có thể được thực hiện khá đơn giản bằng cách mua tín phiếu hay trái phiếu kho bạc, thì việc đi vay ở lãi suất phi rủi ro có thể khó khăn hơn đối với các cá nhân. Có những biến thể của CAPM cho phép nới lỏng những giả định này mà vẫn đi đến những kết luận nhất quán với mô hình.</w:t>
      </w:r>
    </w:p>
    <w:p>
      <w:bookmarkStart w:id="507" w:name="Measuring_the_Market_Risk_of_an"/>
      <w:pPr>
        <w:pStyle w:val="Para 21"/>
      </w:pPr>
      <w:r>
        <w:t>Đo lường rủi ro thị trường của một tài sản riêng lẻ</w:t>
      </w:r>
      <w:bookmarkEnd w:id="507"/>
    </w:p>
    <w:p>
      <w:pPr>
        <w:pStyle w:val="Para 03"/>
      </w:pPr>
      <w:r>
        <w:t>Rủi ro của bất kỳ tài sản nào đối với nhà đầu tư chính là rủi ro mà tài sản đó cộng thêm vào toàn bộ danh mục đầu tư của nhà đầu tư. Trong thế giới CAPM, nơi mọi nhà đầu tư đều nắm giữ danh mục thị trường (market portfolio), rủi ro của một tài sản riêng lẻ đối với nhà đầu tư sẽ là rủi ro mà tài sản này cộng thêm vào danh mục thị trường. Hiểu một cách trực quan, nếu một tài sản biến động độc lập với danh mục thị trường, nó sẽ không cộng thêm nhiều rủi ro vào danh mục thị trường. Nói cách khác, phần lớn rủi ro của tài sản này là rủi ro đặc thù của doanh nghiệp (firm-specific) và có thể được đa dạng hóa để loại bỏ. Ngược lại, nếu một tài sản có xu hướng tăng khi danh mục thị trường tăng và giảm khi danh mục thị trường giảm, nó sẽ cộng thêm rủi ro vào danh mục thị trường. Tài sản này có nhiều rủi ro thị trường hơn và ít rủi ro đặc thù hơn. Về mặt thống kê, rủi ro cộng thêm này được đo bằng hiệp phương sai (covariance) giữa tài sản và danh mục thị trường.</w:t>
      </w:r>
    </w:p>
    <w:p>
      <w:bookmarkStart w:id="509" w:name="Measuring_the_Non_diversifiable"/>
      <w:pPr>
        <w:pStyle w:val="Para 21"/>
      </w:pPr>
      <w:r>
        <w:t>Đo lường rủi ro không thể đa dạng hóa</w:t>
      </w:r>
      <w:bookmarkEnd w:id="509"/>
    </w:p>
    <w:p>
      <w:pPr>
        <w:pStyle w:val="Para 03"/>
      </w:pPr>
      <w:r>
        <w:t>Trong một thế giới mà nhà đầu tư chỉ nắm giữ sự kết hợp của hai tài sản — tài sản phi rủi ro (riskless asset) và danh mục thị trường — rủi ro của bất kỳ tài sản riêng lẻ nào sẽ được đo lường tương đối so với danh mục thị trường. Cụ thể, rủi ro của bất kỳ tài sản nào sẽ là rủi ro mà nó cộng thêm vào danh mục thị trường. Để đi đến thước đo phù hợp cho rủi ro cộng thêm này, giả sử σ2m là phương sai (variance) của danh mục thị trường trước khi thêm tài sản mới vào, và phương sai của tài sản riêng lẻ được thêm vào danh mục này là σ2i. Trọng số theo giá trị thị trường của tài sản này trong danh mục là wi, và hiệp phương sai lợi nhuận giữa tài sản riêng lẻ với danh mục thị trường là σim. Khi đó, phương sai của danh mục thị trường trước và sau khi thêm tài sản riêng lẻ có thể được viết như sau:</w:t>
      </w:r>
    </w:p>
    <w:p>
      <w:bookmarkStart w:id="512" w:name="Variance_prior_to_asset_i_added"/>
      <w:pPr>
        <w:keepNext/>
        <w:pStyle w:val="Para 09"/>
        <w:keepLines w:val="on"/>
      </w:pPr>
      <w:r>
        <w:t>Phương sai trước khi thêm tài sản i=σm2Phương sai sau khi thêm tài sản i=σm2=wi2σi2+1-wi2σm2+2 wi 1-wiσim</w:t>
      </w:r>
      <w:bookmarkEnd w:id="512"/>
    </w:p>
    <w:p>
      <w:pPr>
        <w:pStyle w:val="Para 03"/>
      </w:pPr>
      <w:r>
        <w:t>Trọng số theo giá trị thị trường của bất kỳ tài sản riêng lẻ nào trong danh mục thị trường đều phải nhỏ, vì danh mục thị trường bao gồm tất cả các tài sản được giao dịch trong nền kinh tế. Do đó, số hạng đầu tiên trong phương trình sẽ tiến về không, và số hạng thứ hai sẽ tiến về σ2m, để lại số hạng thứ ba (σim, tức hiệp phương sai) làm thước đo cho rủi ro mà tài sản i cộng thêm.</w:t>
      </w:r>
    </w:p>
    <w:p>
      <w:bookmarkStart w:id="513" w:name="Standardizing_Covariances__The_c"/>
      <w:pPr>
        <w:pStyle w:val="Para 21"/>
      </w:pPr>
      <w:r>
        <w:t>Chuẩn hóa hiệp phương sai</w:t>
      </w:r>
      <w:bookmarkEnd w:id="513"/>
    </w:p>
    <w:p>
      <w:pPr>
        <w:pStyle w:val="Para 03"/>
      </w:pPr>
      <w:r>
        <w:t>Hiệp phương sai là một giá trị phần trăm, và rất khó để đánh giá rủi ro tương đối của một khoản đầu tư chỉ bằng cách nhìn vào giá trị này. Nói cách khác, việc biết rằng hiệp phương sai của Boeing với danh mục thị trường là 55 phần trăm không cho chúng ta manh mối nào về việc Boeing rủi ro hơn hay an toàn hơn so với tài sản trung bình. Vì vậy, chúng ta chuẩn hóa thước đo rủi ro bằng cách chia hiệp phương sai của mỗi tài sản với danh mục thị trường cho phương sai của danh mục thị trường. Điều này tạo ra một thước đo rủi ro gọi là beta của tài sản:</w:t>
      </w:r>
    </w:p>
    <w:p>
      <w:bookmarkStart w:id="515" w:name="Beta_of_asset_i_simsm2"/>
      <w:pPr>
        <w:keepNext/>
        <w:pStyle w:val="Para 09"/>
        <w:keepLines w:val="on"/>
      </w:pPr>
      <w:r>
        <w:t>Beta của tài sản i=σimσm2</w:t>
      </w:r>
      <w:bookmarkEnd w:id="515"/>
    </w:p>
    <w:p>
      <w:pPr>
        <w:pStyle w:val="Para 03"/>
      </w:pPr>
      <w:r>
        <w:t>Vì hiệp phương sai của danh mục thị trường với chính nó chính là phương sai của nó, nên beta của danh mục thị trường (và do đó, của tài sản trung bình trong đó) bằng 1. Những tài sản rủi ro hơn mức trung bình (theo thước đo rủi ro này) sẽ có beta lớn hơn 1, và những tài sản an toàn hơn mức trung bình sẽ có beta nhỏ hơn 1. Tài sản phi rủi ro sẽ có beta bằng không.</w:t>
      </w:r>
    </w:p>
    <w:p>
      <w:bookmarkStart w:id="516" w:name="Getting_Expected_Returns__The_fa"/>
      <w:pPr>
        <w:pStyle w:val="Para 21"/>
      </w:pPr>
      <w:r>
        <w:t>Tính toán lợi nhuận kỳ vọng</w:t>
      </w:r>
      <w:bookmarkEnd w:id="516"/>
    </w:p>
    <w:p>
      <w:pPr>
        <w:pStyle w:val="Para 03"/>
      </w:pPr>
      <w:r>
        <w:t>Việc mọi nhà đầu tư đều nắm giữ một sự kết hợp nào đó giữa tài sản phi rủi ro và danh mục thị trường dẫn đến kết luận tiếp theo, đó là lợi nhuận kỳ vọng (expected return) của một tài sản có quan hệ tuyến tính với beta của tài sản đó. Cụ thể, lợi nhuận kỳ vọng của một tài sản có thể được viết dưới dạng hàm số của lãi suất phi rủi ro (risk-free rate) và beta của tài sản đó:</w:t>
      </w:r>
    </w:p>
    <w:p>
      <w:bookmarkStart w:id="518" w:name="E_Ri__Rf_bi_E_Rm____Rf"/>
      <w:pPr>
        <w:keepNext/>
        <w:pStyle w:val="Para 09"/>
        <w:keepLines w:val="on"/>
      </w:pPr>
      <w:r>
        <w:t>E(Ri)=Rf+βi[E(Rm)−Rf]</w:t>
      </w:r>
      <w:bookmarkEnd w:id="518"/>
    </w:p>
    <w:p>
      <w:bookmarkStart w:id="519" w:name="where_E_Ri__Expected_return_on_a"/>
      <w:pPr>
        <w:pStyle w:val="Para 39"/>
      </w:pPr>
      <w:r>
        <w:t>trong đó E(Ri)=Lợi nhuận kỳ vọng của tài sản iRf=Lãi suất phi rủi roE(Rm)=Lợi nhuận kỳ vọng của danh mục thị trườngβi=Beta của tài sản i</w:t>
      </w:r>
      <w:bookmarkEnd w:id="519"/>
    </w:p>
    <w:p>
      <w:pPr>
        <w:pStyle w:val="Para 03"/>
      </w:pPr>
      <w:r>
        <w:t>Để sử dụng mô hình định giá tài sản vốn (capital asset pricing model), chúng ta cần ba thông số đầu vào. Mặc dù chương tiếp theo sẽ xem xét quá trình ước lượng chi tiết hơn nhiều, mỗi thông số đầu vào này được ước lượng như sau:</w:t>
      </w:r>
    </w:p>
    <w:p>
      <w:pPr>
        <w:numPr>
          <w:ilvl w:val="0"/>
          <w:numId w:val="17"/>
        </w:numPr>
        <w:pStyle w:val="Para 01"/>
      </w:pPr>
      <w:r>
        <w:t>Tài sản phi rủi ro (Rf) được định nghĩa là tài sản mà nhà đầu tư biết chắc chắn lợi nhuận kỳ vọng của nó trong khoảng thời gian phân tích.</w:t>
      </w:r>
    </w:p>
    <w:p>
      <w:pPr>
        <w:numPr>
          <w:ilvl w:val="0"/>
          <w:numId w:val="17"/>
        </w:numPr>
        <w:pStyle w:val="Para 01"/>
      </w:pPr>
      <w:r>
        <w:t>Phần bù rủi ro vốn cổ phần (equity risk premium) (E(Rm) – Rf) là phần bù mà nhà đầu tư yêu cầu để đầu tư vào danh mục thị trường, bao gồm tất cả các tài sản rủi ro trên thị trường, thay vì đầu tư vào tài sản phi rủi ro.</w:t>
      </w:r>
    </w:p>
    <w:p>
      <w:pPr>
        <w:numPr>
          <w:ilvl w:val="0"/>
          <w:numId w:val="17"/>
        </w:numPr>
        <w:pStyle w:val="Para 01"/>
      </w:pPr>
      <w:r>
        <w:t>Beta (βi), được định nghĩa là hiệp phương sai của tài sản chia cho danh mục thị trường, đo lường rủi ro mà một khoản đầu tư cộng thêm vào danh mục thị trường.</w:t>
      </w:r>
    </w:p>
    <w:p>
      <w:pPr>
        <w:pStyle w:val="Para 03"/>
      </w:pPr>
      <w:r>
        <w:t>Tóm lại, trong mô hình định giá tài sản vốn, toàn bộ rủi ro thị trường được gói gọn trong một beta duy nhất, được đo lường tương đối so với một danh mục thị trường mà — ít nhất về mặt lý thuyết — phải bao gồm tất cả các tài sản được giao dịch trên thị trường, được nắm giữ theo tỷ lệ với giá trị thị trường của chúng.</w:t>
      </w:r>
    </w:p>
    <w:p>
      <w:bookmarkStart w:id="521" w:name="Arbitrage_Pricing_Model"/>
      <w:bookmarkStart w:id="522" w:name="Arbitrage_Pricing_Model__The_res"/>
      <w:pPr>
        <w:keepNext/>
        <w:pStyle w:val="Heading 4"/>
        <w:keepLines w:val="on"/>
      </w:pPr>
      <w:r>
        <w:t>Mô hình định giá chênh lệch giá</w:t>
      </w:r>
      <w:bookmarkEnd w:id="521"/>
      <w:bookmarkEnd w:id="522"/>
    </w:p>
    <w:p>
      <w:pPr>
        <w:pStyle w:val="Para 03"/>
      </w:pPr>
      <w:r>
        <w:t>Những giả định hạn chế về chi phí giao dịch và thông tin riêng tư trong mô hình định giá tài sản vốn, cùng với sự phụ thuộc của mô hình vào danh mục thị trường, từ lâu đã bị cả giới học thuật lẫn giới thực hành nhìn nhận với sự hoài nghi. Ross (1976) đã đề xuất một mô hình thay thế để đo lường rủi ro, gọi là mô hình định giá chênh lệch giá (arbitrage pricing model – APM).</w:t>
      </w:r>
    </w:p>
    <w:p>
      <w:bookmarkStart w:id="523" w:name="Assumptions__If_investors_can_in"/>
      <w:pPr>
        <w:pStyle w:val="Para 21"/>
      </w:pPr>
      <w:r>
        <w:t>Các giả định</w:t>
      </w:r>
      <w:bookmarkEnd w:id="523"/>
    </w:p>
    <w:p>
      <w:pPr>
        <w:pStyle w:val="Para 03"/>
      </w:pPr>
      <w:r>
        <w:t>Nếu nhà đầu tư có thể đầu tư phi rủi ro và kiếm được nhiều hơn lãi suất phi rủi ro, thì họ đã tìm ra một cơ hội chênh lệch giá (arbitrage opportunity). Tiền đề của mô hình định giá chênh lệch giá là nhà đầu tư sẽ tận dụng những cơ hội chênh lệch giá như vậy, và trong quá trình đó sẽ xóa bỏ chúng. Nếu hai danh mục có cùng mức độ phơi nhiễm rủi ro nhưng mang lại lợi nhuận kỳ vọng khác nhau, nhà đầu tư sẽ mua danh mục có lợi nhuận kỳ vọng cao hơn và bán danh mục có lợi nhuận kỳ vọng thấp hơn, và kiếm được phần chênh lệch như một khoản lợi nhuận phi rủi ro. Để ngăn chặn sự chênh lệch giá này xảy ra, hai danh mục phải mang lại cùng một lợi nhuận kỳ vọng.</w:t>
      </w:r>
    </w:p>
    <w:p>
      <w:pPr>
        <w:pStyle w:val="Para 03"/>
      </w:pPr>
      <w:r>
        <w:t>Giống như mô hình định giá tài sản vốn, mô hình định giá chênh lệch giá bắt đầu bằng việc chia rủi ro thành hai thành phần: rủi ro đặc thù của doanh nghiệp và rủi ro thị trường. Cũng như trong mô hình định giá tài sản vốn, rủi ro đặc thù của doanh nghiệp bao gồm những thông tin chủ yếu ảnh hưởng đến một hoặc một vài doanh nghiệp. Rủi ro thị trường ảnh hưởng đến nhiều hoặc tất cả các doanh nghiệp và bao gồm những thay đổi bất ngờ trong một số biến số kinh tế, như tổng sản phẩm quốc dân (gross national product – GNP), lạm phát và lãi suất. Kết hợp cả hai loại rủi ro này vào một mô hình lợi nhuận, chúng ta có:</w:t>
      </w:r>
    </w:p>
    <w:p>
      <w:bookmarkStart w:id="525" w:name="R_ER_m_e"/>
      <w:pPr>
        <w:keepNext/>
        <w:pStyle w:val="Para 09"/>
        <w:keepLines w:val="on"/>
      </w:pPr>
      <w:r>
        <w:t>R=ER+m+ε</w:t>
      </w:r>
      <w:bookmarkEnd w:id="525"/>
    </w:p>
    <w:p>
      <w:pPr>
        <w:pStyle w:val="Para 03"/>
      </w:pPr>
      <w:r>
        <w:t>trong đó R là lợi nhuận thực tế, E(R) là lợi nhuận kỳ vọng, m là thành phần rủi ro bất ngờ trên toàn thị trường, và ε là thành phần đặc thù của doanh nghiệp. Như vậy, lợi nhuận thực tế có thể khác với lợi nhuận kỳ vọng, do rủi ro thị trường hoặc do các yếu tố đặc thù của doanh nghiệp.</w:t>
      </w:r>
    </w:p>
    <w:p>
      <w:bookmarkStart w:id="526" w:name="Sources_of_Market_wide_Risk__Whi"/>
      <w:pPr>
        <w:pStyle w:val="Para 21"/>
      </w:pPr>
      <w:r>
        <w:t>Các Nguồn Rủi ro Toàn Thị trường</w:t>
      </w:r>
      <w:bookmarkEnd w:id="526"/>
    </w:p>
    <w:p>
      <w:pPr>
        <w:pStyle w:val="Para 03"/>
      </w:pPr>
      <w:r>
        <w:t>Trong khi cả mô hình định giá tài sản vốn (capital asset pricing model – CAPM) và mô hình định giá chênh lệch giá (arbitrage pricing model – APM) đều phân biệt giữa rủi ro đặc thù của từng doanh nghiệp và rủi ro toàn thị trường, chúng đo lường rủi ro thị trường theo những cách khác nhau. CAPM giả định rằng rủi ro thị trường được phản ánh trong danh mục thị trường (market portfolio), trong khi mô hình định giá chênh lệch giá cho phép tồn tại nhiều nguồn rủi ro toàn thị trường và đo lường mức độ nhạy cảm của các khoản đầu tư trước những thay đổi ở từng nguồn. Nói chung, thành phần thị trường của lợi nhuận bất ngờ có thể được phân tách thành các yếu tố kinh tế:</w:t>
      </w:r>
    </w:p>
    <w:p>
      <w:bookmarkStart w:id="528" w:name="R_E_R__m_e_R__b1F1_b2F2"/>
      <w:pPr>
        <w:keepNext/>
        <w:pStyle w:val="Para 09"/>
        <w:keepLines w:val="on"/>
      </w:pPr>
      <w:r>
        <w:t>R=E(R)+m+ε=R+(β1F1+β2F2+⋅⋅⋅+βnFn)+ε</w:t>
      </w:r>
      <w:bookmarkEnd w:id="528"/>
    </w:p>
    <w:p>
      <w:bookmarkStart w:id="529" w:name="where_bj_Sensitivity_of_investme"/>
      <w:pPr>
        <w:pStyle w:val="Para 39"/>
      </w:pPr>
      <w:r>
        <w:t>trong đó βj=Độ nhạy cảm của khoản đầu tư trước những thay đổi bất ngờ ở yếu tố rủi ro thị trường jFj=Những thay đổi bất ngờ ở yếu tố rủi ro thị trường j</w:t>
      </w:r>
      <w:bookmarkEnd w:id="529"/>
    </w:p>
    <w:p>
      <w:pPr>
        <w:pStyle w:val="Para 03"/>
      </w:pPr>
      <w:r>
        <w:t>Lưu ý rằng thước đo mức độ nhạy cảm của một khoản đầu tư trước bất kỳ yếu tố kinh tế vĩ mô (hay thị trường) nào đều mang dạng của một beta, được gọi là beta yếu tố (factor beta). Thực tế, beta này có nhiều đặc tính giống với beta thị trường trong CAPM.</w:t>
      </w:r>
    </w:p>
    <w:p>
      <w:pPr>
        <w:pStyle w:val="Para 20"/>
      </w:pPr>
      <w:r>
        <w:rPr>
          <w:rStyle w:val="Text26"/>
        </w:rPr>
        <w:bookmarkStart w:id="530" w:name="Page_72"/>
        <w:t/>
        <w:bookmarkEnd w:id="530"/>
      </w:r>
      <w:r>
        <w:t xml:space="preserve"> </w:t>
      </w:r>
    </w:p>
    <w:p>
      <w:bookmarkStart w:id="531" w:name="Effects_of_Diversification__The"/>
      <w:pPr>
        <w:pStyle w:val="Para 21"/>
      </w:pPr>
      <w:r>
        <w:t>Tác động của Đa dạng hóa</w:t>
      </w:r>
      <w:bookmarkEnd w:id="531"/>
    </w:p>
    <w:p>
      <w:pPr>
        <w:pStyle w:val="Para 03"/>
      </w:pPr>
      <w:r>
        <w:t>Lợi ích của việc đa dạng hóa đã được thảo luận trước đó trong bối cảnh phân tách rủi ro thành rủi ro thị trường và rủi ro đặc thù của doanh nghiệp. Điểm chính của cuộc thảo luận đó là việc đa dạng hóa giúp loại bỏ rủi ro đặc thù của doanh nghiệp. Mô hình định giá chênh lệch giá sử dụng cùng lập luận đó và kết luận rằng lợi nhuận của một danh mục sẽ không có thành phần lợi nhuận bất ngờ mang tính đặc thù của doanh nghiệp. Lợi nhuận của một danh mục (Rp) có thể được viết dưới dạng tổng của hai bình quân gia quyền—bình quân gia quyền của các lợi nhuận kỳ vọng trong danh mục và bình quân gia quyền của các yếu tố thị trường:</w:t>
      </w:r>
    </w:p>
    <w:p>
      <w:bookmarkStart w:id="533" w:name="Rp__w1R1_w2R2_____wnRn___w1b11_w"/>
      <w:pPr>
        <w:keepNext/>
        <w:pStyle w:val="Para 09"/>
        <w:keepLines w:val="on"/>
      </w:pPr>
      <w:r>
        <w:t>Rp=(w1R1+w2R2+⋯+wnRn)+(w1β11+w2Rβ12+⋯+wnβ1n)F1+(w1β21+w2Rβ22+⋯+wnβ2n)F2 …</w:t>
      </w:r>
      <w:bookmarkEnd w:id="533"/>
    </w:p>
    <w:p>
      <w:bookmarkStart w:id="534" w:name="where_wj_Portfolio_weight_on_ass"/>
      <w:pPr>
        <w:pStyle w:val="Para 39"/>
      </w:pPr>
      <w:r>
        <w:t>trong đó wj=Trọng số của tài sản j trong danh mục (với n tài sản)Rj=Lợi nhuận kỳ vọng của tài sản jβij=Beta theo yếu tố i của tài sản j</w:t>
      </w:r>
      <w:bookmarkEnd w:id="534"/>
    </w:p>
    <w:p>
      <w:bookmarkStart w:id="535" w:name="Expected_Returns_and_Betas__The"/>
      <w:pPr>
        <w:pStyle w:val="Para 21"/>
      </w:pPr>
      <w:r>
        <w:t>Lợi nhuận Kỳ vọng và Beta</w:t>
      </w:r>
      <w:bookmarkEnd w:id="535"/>
    </w:p>
    <w:p>
      <w:pPr>
        <w:pStyle w:val="Para 03"/>
      </w:pPr>
      <w:r>
        <w:t>Bước cuối cùng trong quy trình này là ước lượng lợi nhuận kỳ vọng như một hàm số của các beta vừa được xác định. Để làm điều này, trước tiên chúng ta nên lưu ý rằng beta của một danh mục là bình quân gia quyền của các beta của các tài sản trong danh mục đó. Đặc tính này, kết hợp với sự vắng mặt của cơ hội chênh lệch giá, dẫn đến kết luận rằng lợi nhuận kỳ vọng phải có quan hệ tuyến tính với các beta. Để thấy rõ tại sao, hãy giả sử chỉ có một yếu tố và ba danh mục. Danh mục A có beta là 2,0 và lợi nhuận kỳ vọng là 20 phần trăm; danh mục B có beta là 1,0 và lợi nhuận kỳ vọng là 12 phần trăm; và danh mục C có beta là 1,5 và lợi nhuận kỳ vọng là 14 phần trăm. Lưu ý rằng nhà đầu tư có thể đặt một nửa tài sản của mình vào danh mục A và một nửa vào danh mục B, và cuối cùng có được một danh mục với beta là 1,5 và lợi nhuận kỳ vọng là 16 phần trăm. Do đó, không nhà đầu tư nào sẽ chọn nắm giữ danh mục C cho đến khi giá của các tài sản trong danh mục đó giảm xuống và lợi nhuận kỳ vọng tăng lên 16 phần trăm. Với lý lẽ tương tự, lợi nhuận kỳ vọng của mọi danh mục đều phải là một hàm tuyến tính của beta. Nếu không phải như vậy, chúng ta có thể kết hợp hai danh mục khác, một có beta cao hơn và một có beta thấp hơn, để thu được lợi nhuận cao hơn danh mục đang xét, tạo ra một cơ hội chênh lệch giá. Lập luận này có thể được mở rộng cho nhiều yếu tố với cùng kết quả. Vì vậy, lợi nhuận kỳ vọng của một tài sản có thể được viết dưới dạng:</w:t>
      </w:r>
    </w:p>
    <w:p>
      <w:bookmarkStart w:id="537" w:name="ER_Rf_b1ER1_Rf_b2ER2_Rf____bnERn"/>
      <w:pPr>
        <w:keepNext/>
        <w:pStyle w:val="Para 09"/>
        <w:keepLines w:val="on"/>
      </w:pPr>
      <w:r>
        <w:t>ER=Rf+β1ER1-Rf+β2ER2-Rf…+βnERn-Rf</w:t>
      </w:r>
      <w:bookmarkEnd w:id="537"/>
    </w:p>
    <w:p>
      <w:bookmarkStart w:id="538" w:name="where_Rf_Expected_return_on_a_ze"/>
      <w:pPr>
        <w:pStyle w:val="Para 39"/>
      </w:pPr>
      <w:r>
        <w:t>trong đó Rf=Lợi nhuận kỳ vọng của một danh mục có beta bằng khôngβj=Độ nhạy cảm của khoản đầu tư trước những thay đổi bất ngờ ở yếu tố rủi ro thị trường jE(Rj)=Lợi nhuận kỳ vọng của một danh mục có beta yếu tố bằng 1 đối với yếu tố j, và bằng không đối với tất cả các yếu tố khác (với j=1, 2, ..., K yếu tố)</w:t>
      </w:r>
      <w:bookmarkEnd w:id="538"/>
    </w:p>
    <w:p>
      <w:pPr>
        <w:pStyle w:val="Para 03"/>
      </w:pPr>
      <w:r>
        <w:t>Các số hạng trong ngoặc có thể được coi là phần bù rủi ro (risk premium) cho từng yếu tố trong mô hình.</w:t>
      </w:r>
    </w:p>
    <w:p>
      <w:pPr>
        <w:pStyle w:val="Para 03"/>
      </w:pPr>
      <w:r>
        <w:t>Mô hình định giá tài sản vốn có thể được coi là một trường hợp đặc biệt của mô hình định giá chênh lệch giá, trong đó chỉ có một yếu tố kinh tế duy nhất dẫn dắt lợi nhuận toàn thị trường, và danh mục thị trường là đại diện cho yếu tố đó.</w:t>
      </w:r>
    </w:p>
    <w:p>
      <w:bookmarkStart w:id="540" w:name="ERi_Rf_biERm_Rf"/>
      <w:pPr>
        <w:keepNext/>
        <w:pStyle w:val="Para 09"/>
        <w:keepLines w:val="on"/>
      </w:pPr>
      <w:r>
        <w:t>ERi=Rf+βiERm-Rf</w:t>
      </w:r>
      <w:bookmarkEnd w:id="540"/>
    </w:p>
    <w:p>
      <w:bookmarkStart w:id="541" w:name="The_APM_in_Practice__The_arbitra"/>
      <w:pPr>
        <w:pStyle w:val="Para 21"/>
      </w:pPr>
      <w:r>
        <w:t>APM trong Thực tế</w:t>
      </w:r>
      <w:bookmarkEnd w:id="541"/>
    </w:p>
    <w:p>
      <w:pPr>
        <w:pStyle w:val="Para 03"/>
      </w:pPr>
      <w:r>
        <w:t>Mô hình định giá chênh lệch giá đòi hỏi phải ước lượng từng beta yếu tố và từng phần bù rủi ro yếu tố, ngoài lãi suất phi rủi ro. Trên thực tế, những giá trị này thường được ước lượng bằng cách sử dụng dữ liệu lịch sử về lợi nhuận của tài sản và phương pháp phân tích nhân tố (factor analysis). Về mặt trực giác, trong phân tích nhân tố, chúng ta xem xét dữ liệu lịch sử để tìm kiếm những mẫu hình chung tác động đến nhiều nhóm tài sản rộng lớn (chứ không chỉ một ngành hay một vài tài sản). Phân tích nhân tố cung cấp hai kết quả đầu ra:</w:t>
      </w:r>
    </w:p>
    <w:p>
      <w:pPr>
        <w:numPr>
          <w:ilvl w:val="0"/>
          <w:numId w:val="18"/>
        </w:numPr>
        <w:pStyle w:val="Para 01"/>
      </w:pPr>
      <w:r>
        <w:t>Nó xác định số lượng các nhân tố chung đã tác động đến dữ liệu lợi nhuận lịch sử.</w:t>
      </w:r>
    </w:p>
    <w:p>
      <w:pPr>
        <w:numPr>
          <w:ilvl w:val="0"/>
          <w:numId w:val="18"/>
        </w:numPr>
        <w:pStyle w:val="Para 01"/>
      </w:pPr>
      <w:r>
        <w:t>Nó đo lường beta của từng khoản đầu tư so với từng nhân tố chung và đưa ra ước lượng về phần bù rủi ro thực tế mà mỗi nhân tố mang lại.</w:t>
      </w:r>
    </w:p>
    <w:p>
      <w:pPr>
        <w:pStyle w:val="Para 03"/>
      </w:pPr>
      <w:r>
        <w:t>Tuy nhiên, phân tích nhân tố không nhận diện các nhân tố đó dưới góc độ kinh tế. Tóm lại, trong mô hình định giá chênh lệch giá, rủi ro thị trường được đo lường so với nhiều biến số kinh tế vĩ mô không xác định, với mức độ nhạy cảm của khoản đầu tư so với từng yếu tố được đo bằng một beta. Số lượng yếu tố, các beta yếu tố, và các phần bù rủi ro yếu tố đều có thể được ước lượng bằng phân tích nhân tố.</w:t>
      </w:r>
    </w:p>
    <w:p>
      <w:bookmarkStart w:id="543" w:name="Multifactor_Models_for_Risk_and_1"/>
      <w:bookmarkStart w:id="544" w:name="Multifactor_Models_for_Risk_and"/>
      <w:pPr>
        <w:keepNext/>
        <w:pStyle w:val="Heading 4"/>
        <w:keepLines w:val="on"/>
      </w:pPr>
      <w:r>
        <w:t>Các Mô hình Đa nhân tố cho Rủi ro và Lợi nhuận</w:t>
      </w:r>
      <w:bookmarkEnd w:id="543"/>
      <w:bookmarkEnd w:id="544"/>
    </w:p>
    <w:p>
      <w:pPr>
        <w:pStyle w:val="Para 03"/>
      </w:pPr>
      <w:r>
        <w:t>Việc mô hình định giá chênh lệch giá không nhận diện được cụ thể các yếu tố trong mô hình có thể là một điểm mạnh về mặt thống kê, nhưng lại là một điểm yếu về mặt trực giác. Giải pháp có vẻ đơn giản: Thay thế các nhân tố thống kê chưa được nhận diện bằng những yếu tố kinh tế cụ thể, và mô hình thu được sẽ có nền tảng kinh tế trong khi vẫn giữ được phần lớn điểm mạnh của mô hình định giá chênh lệch giá. Đó chính xác là điều mà các mô hình đa nhân tố (multifactor model) cố gắng thực hiện.</w:t>
      </w:r>
    </w:p>
    <w:p>
      <w:bookmarkStart w:id="545" w:name="Deriving_a_Multifactor_Model__Mu"/>
      <w:pPr>
        <w:pStyle w:val="Para 21"/>
      </w:pPr>
      <w:r>
        <w:t>Xây dựng một Mô hình Đa nhân tố</w:t>
      </w:r>
      <w:bookmarkEnd w:id="545"/>
    </w:p>
    <w:p>
      <w:pPr>
        <w:pStyle w:val="Para 03"/>
      </w:pPr>
      <w:r>
        <w:t>Các mô hình đa nhân tố nói chung được xác định dựa trên dữ liệu lịch sử chứ không phải bằng mô hình hóa kinh tế. Sau khi số lượng yếu tố đã được xác định trong mô hình định giá chênh lệch giá, hành vi của chúng theo thời gian có thể được trích xuất từ dữ liệu. Hành vi của các yếu tố chưa được đặt tên theo thời gian sau đó có thể được so sánh với hành vi của các biến số kinh tế vĩ mô trong cùng khoảng thời gian đó, để xem liệu có biến số nào tương quan, theo thời gian, với các yếu tố đã được nhận diện hay không.</w:t>
      </w:r>
    </w:p>
    <w:p>
      <w:pPr>
        <w:pStyle w:val="Para 03"/>
      </w:pPr>
      <w:r>
        <w:t>Ví dụ, Chen, Roll và Ross (1986) cho rằng các biến số kinh tế vĩ mô sau đây có tương quan cao với các nhân tố rút ra từ phân tích nhân tố: sản lượng công nghiệp, thay đổi trong phần bù rủi ro vỡ nợ (default premium), dịch chuyển trong cấu trúc kỳ hạn (term structure), lạm phát ngoài dự kiến, và thay đổi trong tỷ suất sinh lợi thực. Những biến số này sau đó có thể được tương quan với lợi nhuận để xây dựng một mô hình lợi nhuận kỳ vọng, với các beta đặc thù của từng doanh nghiệp được tính toán tương ứng với từng biến số.</w:t>
      </w:r>
    </w:p>
    <w:p>
      <w:pPr>
        <w:pStyle w:val="Para 20"/>
      </w:pPr>
      <w:r>
        <w:rPr>
          <w:rStyle w:val="Text26"/>
        </w:rPr>
        <w:bookmarkStart w:id="547" w:name="Page_74"/>
        <w:t/>
        <w:bookmarkEnd w:id="547"/>
      </w:r>
      <w:r>
        <w:t xml:space="preserve"> </w:t>
      </w:r>
    </w:p>
    <w:p>
      <w:bookmarkStart w:id="548" w:name="ER_Rf_bGNPERGNP_Rf_BInfERInf_Rf"/>
      <w:pPr>
        <w:keepNext/>
        <w:pStyle w:val="Para 09"/>
        <w:keepLines w:val="on"/>
      </w:pPr>
      <w:r>
        <w:t>ER=Rf+βGNPERGNP-Rf+ΒInfERInf-Rf+⋯+βδ[E(Rδ)-Rf]</w:t>
      </w:r>
      <w:bookmarkEnd w:id="548"/>
    </w:p>
    <w:p>
      <w:bookmarkStart w:id="549" w:name="where_bGNP_Beta_relative_to_chan"/>
      <w:pPr>
        <w:pStyle w:val="Para 39"/>
      </w:pPr>
      <w:r>
        <w:t>trong đó βGNP=Beta tương ứng với những thay đổi trong sản lượng công nghiệpE(RGNP)=Lợi nhuận kỳ vọng của một danh mục có beta bằng một  đối với nhân tố sản lượng công nghiệp và bằng không đối với tất cả các nhân tố khácΒInf=Beta tương ứng với những thay đổi trong lạm phátE(RInf)=Lợi nhuận kỳ vọng của một danh mục có beta bằng một  đối với nhân tố lạm phát và bằng không đối với tất cả các nhân tố khác</w:t>
      </w:r>
      <w:bookmarkEnd w:id="549"/>
    </w:p>
    <w:p>
      <w:pPr>
        <w:pStyle w:val="Para 03"/>
      </w:pPr>
      <w:r>
        <w:t>Chi phí khi chuyển từ mô hình định giá chênh lệch (arbitrage pricing model) sang một mô hình đa nhân tố kinh tế vĩ mô có thể được truy nguyên trực tiếp từ những sai sót có thể mắc phải khi xác định các nhân tố. Các nhân tố kinh tế trong mô hình có thể thay đổi theo thời gian, cũng như phần bù rủi ro gắn với mỗi nhân tố. Chẳng hạn, những thay đổi giá dầu là một nhân tố kinh tế quan trọng dẫn dắt lợi nhuận kỳ vọng trong thập niên 1970 nhưng lại không quan trọng bằng ở những giai đoạn khác. Việc sử dụng sai nhân tố hoặc bỏ sót một nhân tố quan trọng trong một mô hình đa nhân tố có thể dẫn đến những ước lượng lợi nhuận kỳ vọng kém chính xác.</w:t>
      </w:r>
    </w:p>
    <w:p>
      <w:bookmarkStart w:id="550" w:name="Alternative_Models_for_Equity_Ri"/>
      <w:bookmarkStart w:id="551" w:name="Alternative_Models_for_Equity_Ri_1"/>
      <w:pPr>
        <w:keepNext/>
        <w:pStyle w:val="Heading 2"/>
        <w:keepLines w:val="on"/>
      </w:pPr>
      <w:r>
        <w:t>Các mô hình thay thế cho rủi ro cổ phần</w:t>
      </w:r>
      <w:bookmarkEnd w:id="550"/>
      <w:bookmarkEnd w:id="551"/>
    </w:p>
    <w:p>
      <w:pPr>
        <w:pStyle w:val="Para 03"/>
      </w:pPr>
      <w:r>
        <w:t>CAPM, mô hình định giá chênh lệch, và mô hình đa nhân tố đại diện cho những nỗ lực của các nhà kinh tế tài chính nhằm xây dựng các mô hình rủi ro và lợi nhuận dựa trên nền tảng trung bình–phương sai (mean-variance) do Harry Markowitz (1991) thiết lập. Tuy nhiên, có nhiều người tin rằng cơ sở của mô hình này là khiếm khuyết và chúng ta nên xem xét các phương án thay thế, và trong phần này, chúng ta sẽ điểm qua một số phương án đó.</w:t>
      </w:r>
    </w:p>
    <w:p>
      <w:bookmarkStart w:id="552" w:name="Different_Return_Distributions"/>
      <w:bookmarkStart w:id="553" w:name="Different_Return_Distributions_1"/>
      <w:pPr>
        <w:keepNext/>
        <w:pStyle w:val="Heading 3"/>
        <w:keepLines w:val="on"/>
      </w:pPr>
      <w:r>
        <w:t>Các phân phối lợi nhuận khác nhau</w:t>
      </w:r>
      <w:bookmarkEnd w:id="552"/>
      <w:bookmarkEnd w:id="553"/>
    </w:p>
    <w:p>
      <w:pPr>
        <w:pStyle w:val="Para 03"/>
      </w:pPr>
      <w:r>
        <w:t>Ngay từ thuở ban đầu, khuôn khổ trung bình–phương sai đã gây nhiều tranh cãi. Trong khi có nhiều người đã đặt câu hỏi về tính khả dụng của nó, chúng ta sẽ xem xét những thách thức này theo ba nhóm. Nhóm thứ nhất lập luận rằng giá cổ phiếu nói riêng, và lợi nhuận đầu tư nói chung, có quá nhiều giá trị lớn để có thể được rút ra từ một phân phối chuẩn. Họ cho rằng những đuôi dày (fat tails) trên phân phối giá cổ phiếu phù hợp hơn với một lớp phân phối gọi là phân phối luật lũy thừa (power law distributions), vốn có phương sai vô hạn và những giai đoạn phụ thuộc giá kéo dài. Nhóm thứ hai phản đối tính đối xứng của phân phối chuẩn và ủng hộ những thước đo kết hợp sự bất đối xứng quan sát được trong các phân phối lợi nhuận thực tế vào các thước đo rủi ro. Nhóm thứ ba cho rằng những phân phối cho phép giá nhảy vọt (price jumps) là thực tế hơn, và rằng các thước đo rủi ro nên xem xét khả năng xảy ra cũng như độ lớn của những cú nhảy giá.</w:t>
      </w:r>
    </w:p>
    <w:p>
      <w:bookmarkStart w:id="554" w:name="Fat_Tails_and_Power_Law_Distribu_1"/>
      <w:bookmarkStart w:id="555" w:name="Fat_Tails_and_Power_Law_Distribu"/>
      <w:pPr>
        <w:keepNext/>
        <w:pStyle w:val="Heading 4"/>
        <w:keepLines w:val="on"/>
      </w:pPr>
      <w:r>
        <w:t>Đuôi dày và phân phối luật lũy thừa</w:t>
      </w:r>
      <w:bookmarkEnd w:id="554"/>
      <w:bookmarkEnd w:id="555"/>
    </w:p>
    <w:p>
      <w:pPr>
        <w:pStyle w:val="Para 03"/>
      </w:pPr>
      <w:r>
        <w:t>Benoit Mandelbrot, một nhà toán học đồng thời có những công trình tiên phong về hành vi của giá cổ phiếu, là một trong những người phản đối việc sử dụng phân phối chuẩn và phân phối loga chuẩn. Dựa trên quan sát của mình về giá cổ phiếu và giá tài sản thực, ông lập luận rằng một phân phối luật lũy thừa mô tả chúng tốt hơn. Trong một phân phối luật lũy thừa, mối quan hệ giữa hai biến số, Y và X, có thể được viết như sau:</w:t>
      </w:r>
    </w:p>
    <w:p>
      <w:pPr>
        <w:pStyle w:val="Para 20"/>
      </w:pPr>
      <w:r>
        <w:rPr>
          <w:rStyle w:val="Text26"/>
        </w:rPr>
        <w:bookmarkStart w:id="556" w:name="Page_75"/>
        <w:t/>
        <w:bookmarkEnd w:id="556"/>
      </w:r>
      <w:r>
        <w:t xml:space="preserve"> </w:t>
      </w:r>
    </w:p>
    <w:p>
      <w:bookmarkStart w:id="557" w:name="Y_aX"/>
      <w:pPr>
        <w:keepNext/>
        <w:pStyle w:val="Para 09"/>
        <w:keepLines w:val="on"/>
      </w:pPr>
      <w:r>
        <w:t>Y=αX</w:t>
      </w:r>
      <w:bookmarkEnd w:id="557"/>
    </w:p>
    <w:p>
      <w:pPr>
        <w:pStyle w:val="Para 03"/>
      </w:pPr>
      <w:r>
        <w:t>Trong phương trình này, α là một hằng số (hằng số tỷ lệ), và k là số mũ luật lũy thừa. Điểm mấu chốt của Mandelbrot là phân phối chuẩn và loga chuẩn phù hợp nhất với những chuỗi thể hiện tính ngẫu nhiên nhẹ nhàng và thuần hóa, trong khi phân phối luật lũy thừa phù hợp hơn với những chuỗi thể hiện những biến động lớn và cái mà ông gọi là tính ngẫu nhiên hoang dã (wild randomness). Tính ngẫu nhiên hoang dã xảy ra khi một quan sát đơn lẻ có thể ảnh hưởng đến tổng thể theo một cách không cân xứng; giá cổ phiếu và giá hàng hóa thể hiện tính ngẫu nhiên hoang dã. Giá cổ phiếu và giá hàng hóa, với những giai đoạn dài biến động tương đối nhỏ, xen kẽ bởi những cú xoay chiều dữ dội theo cả hai hướng, dường như khớp hơn với nhóm ngẫu nhiên hoang dã.</w:t>
      </w:r>
    </w:p>
    <w:p>
      <w:pPr>
        <w:pStyle w:val="Para 03"/>
      </w:pPr>
      <w:r>
        <w:t>Vậy hậu quả đối với các thước đo rủi ro là gì? Nếu giá tài sản tuân theo phân phối luật lũy thừa, độ lệch chuẩn hay độ biến động (volatility) không còn là một thước đo rủi ro tốt và cũng không còn là cơ sở tốt để tính xác suất. Chẳng hạn, giả sử độ lệch chuẩn của lợi nhuận cổ phiếu hàng năm là 15 phần trăm và lợi nhuận trung bình là 10 phần trăm. Dùng phân phối chuẩn làm cơ sở để dự đoán xác suất, điều này ngụ ý rằng lợi nhuận cổ phiếu sẽ vượt 40 phần trăm (trung bình cộng hai độ lệch chuẩn) chỉ một lần trong mỗi 44 năm, và vượt 55 phần trăm (trung bình cộng ba độ lệch chuẩn) chỉ một lần trong mỗi 740 năm. Trên thực tế, lợi nhuận cổ phiếu sẽ lớn hơn 85 phần trăm (trung bình cộng năm độ lệch chuẩn) chỉ một lần trong mỗi 3,5 triệu năm. Trên thực tế, lợi nhuận cổ phiếu vượt những giá trị này thường xuyên hơn nhiều, một phát hiện nhất quán với phân phối luật lũy thừa, nơi xác suất của những giá trị lớn hơn giảm tuyến tính như một hàm của số mũ luật lũy thừa. Khi giá trị tăng gấp đôi, xác suất xảy ra của nó giảm theo bình phương của số mũ. Do đó, nếu số mũ trong phân phối là 2, khả năng xảy ra lợi nhuận 25 phần trăm, 50 phần trăm, và 100 phần trăm có thể được tính như sau:</w:t>
      </w:r>
    </w:p>
    <w:p>
      <w:pPr>
        <w:pStyle w:val="Para 01"/>
      </w:pPr>
      <w:r>
        <w:t>Lợi nhuận sẽ vượt 25 phần trăm: một lần trong mỗi 6 năm.</w:t>
      </w:r>
    </w:p>
    <w:p>
      <w:pPr>
        <w:pStyle w:val="Para 01"/>
      </w:pPr>
      <w:r>
        <w:t>Lợi nhuận sẽ vượt 50 phần trăm: một lần trong mỗi 24 năm.</w:t>
      </w:r>
    </w:p>
    <w:p>
      <w:pPr>
        <w:pStyle w:val="Para 01"/>
      </w:pPr>
      <w:r>
        <w:t>Lợi nhuận sẽ vượt 100 phần trăm: một lần trong mỗi 96 năm.</w:t>
      </w:r>
    </w:p>
    <w:p>
      <w:pPr>
        <w:pStyle w:val="Para 03"/>
      </w:pPr>
      <w:r>
        <w:t>Lưu ý rằng khi lợi nhuận tăng gấp đôi, khả năng xảy ra tăng gấp bốn lần (bình phương của số mũ). Khi số mũ giảm, khả năng xảy ra những giá trị lớn hơn tăng lên; một số mũ nằm giữa 0 và 2 sẽ tạo ra những giá trị cực đoan thường xuyên hơn so với phân phối chuẩn. Một số mũ nằm giữa 1 và 2 tạo ra những phân phối luật lũy thừa được gọi là phân phối Paretian ổn định (stable Paretian distributions), vốn có phương sai vô hạn. Trong một nghiên cứu ban đầu, Fama (1965) ước lượng số mũ cho cổ phiếu nằm trong khoảng 1,7 đến 1,9, nhưng những nghiên cứu tiếp theo đã phát hiện rằng số mũ cao hơn ở cả thị trường cổ phần lẫn thị trường tiền tệ.3</w:t>
      </w:r>
    </w:p>
    <w:p>
      <w:pPr>
        <w:pStyle w:val="Para 03"/>
      </w:pPr>
      <w:r>
        <w:t>Trên thực tế, những người ủng hộ luật lũy thừa lập luận rằng việc sử dụng những thước đo như độ biến động (và các đạo hàm của nó như beta) đánh giá thấp rủi ro của những biến động lớn. Theo quan điểm của họ, số mũ luật lũy thừa của các tài sản cung cấp cho nhà đầu tư những thước đo rủi ro thực tế hơn cho những tài sản này. Những tài sản có số mũ cao hơn thì ít rủi ro hơn (vì những giá trị cực đoan trở nên ít phổ biến hơn) so với những tài sản có số mũ thấp hơn.</w:t>
      </w:r>
    </w:p>
    <w:p>
      <w:pPr>
        <w:pStyle w:val="Para 03"/>
      </w:pPr>
      <w:r>
        <w:t>Thách thức của Mandelbrot đối với phân phối chuẩn không chỉ là một vấn đề mang tính thủ tục. Thế giới của Mandelbrot, trái ngược với thế giới trung bình–phương sai kiểu Gauss, là một thế giới nơi giá di chuyển gồ ghề theo thời gian và trông như thể không có quy luật nào khi nhìn từ xa, nhưng lại là nơi các quy luật tự lặp lại khi được quan sát kỹ. Vào thập niên 1970, Mandelbrot đã tạo ra một nhánh toán học gọi là hình học fractal (fractal geometry), nơi các quá trình không được mô tả bằng những thước đo thống kê hay toán học thông thường mà bằng các fractal; một fractal là một hình dạng hình học mà khi được chia nhỏ thành những phần nhỏ hơn sẽ tái tạo lại chính hình dạng đó. Để minh họa khái niệm này, ông dùng ví dụ về đường bờ biển, từ xa trông không đều đặn và khi nhìn gần cũng trông đại khái như vậy—các mẫu fractal tự lặp lại. Trong hình học fractal, chiều fractal cao hơn chuyển thành những hình dạng gồ ghề hơn; đường bờ biển Cornish gồ ghề có chiều fractal là 1,25, trong khi đường bờ biển Nam Phi mịn màng hơn nhiều có chiều fractal là 1,02. Dùng cùng lý lẽ đó, giá cổ phiếu trông có vẻ ngẫu nhiên khi được quan sát ở những khoảng thời gian dài hơn, bắt đầu bộc lộ những mẫu tự lặp lại khi được quan sát trong những khoảng thời gian ngắn hơn. Những cổ phiếu biến động mạnh hơn đạt điểm cao hơn trên các thước đo chiều fractal, do đó biến nó thành một thước đo rủi ro. Với hình học fractal, Mandelbrot có thể giải thích không chỉ tần suất cao hơn của những cú nhảy giá (so với phân phối chuẩn) mà còn cả những giai đoạn dài nơi giá di chuyển cùng một hướng và những bong bóng giá (price bubbles) hình thành từ đó.</w:t>
      </w:r>
    </w:p>
    <w:p>
      <w:bookmarkStart w:id="560" w:name="Asymmetric_Distributions__Intuit"/>
      <w:pPr>
        <w:pStyle w:val="Para 21"/>
      </w:pPr>
      <w:r>
        <w:t>Các phân phối bất đối xứng</w:t>
      </w:r>
      <w:bookmarkEnd w:id="560"/>
    </w:p>
    <w:p>
      <w:pPr>
        <w:pStyle w:val="Para 03"/>
      </w:pPr>
      <w:r>
        <w:t>Theo trực giác, điều khiến chúng ta lo lắng phải là rủi ro giảm giá chứ không phải rủi ro tăng giá. Nói cách khác, không phải những khoản đầu tư tăng giá đáng kể khiến ta đau đầu và bất an, mà là những khoản đầu tư giảm giá đáng kể. Khuôn khổ trung bình–phương sai, bằng cách đánh trọng số như nhau cho cả biến động tăng giá lẫn biến động giảm giá, không phân biệt giữa hai loại này. Với một phân phối chuẩn hay bất kỳ phân phối đối xứng nào khác, sự phân biệt giữa rủi ro tăng giá và rủi ro giảm giá là không quan trọng vì các rủi ro là tương đương nhau. Tuy nhiên, với những phân phối bất đối xứng, có thể có sự khác biệt giữa rủi ro tăng giá và rủi ro giảm giá. Các nghiên cứu về mức độ e ngại rủi ro ở con người kết luận rằng (1) họ e ngại thua lỗ (loss averse), nghĩa là họ cân nhắc nỗi đau của một khoản lỗ nhiều hơn niềm vui của một khoản lãi tương đương; và (2) họ đánh giá những khoản thưởng dương rất lớn—những canh bạc may rủi—cao hơn nhiều so với mức đáng có, xét theo khả năng xảy ra của những khoản thưởng này.</w:t>
      </w:r>
    </w:p>
    <w:p>
      <w:pPr>
        <w:pStyle w:val="Para 03"/>
      </w:pPr>
      <w:r>
        <w:t>Trên thực tế, phân phối lợi nhuận của cổ phiếu và hầu hết các tài sản khác không đối xứng. Thay vào đó, lợi nhuận tài sản thể hiện những đuôi dày (tức là nhiều cú nhảy hơn) và có nhiều khả năng có những giá trị dương cực đoan hơn là những giá trị âm cực đoan (đơn giản vì lợi nhuận bị giới hạn không thấp hơn −100 phần trăm). Kết quả là, phân phối lợi nhuận cổ phiếu có tần suất lợi nhuận cực đoan cao hơn (đuôi dày hay độ nhọn – kurtosis) và nghiêng về phía những lợi nhuận dương rất lớn (độ lệch dương – positive skewness). Những người chỉ trích cách tiếp cận trung bình–phương sai lập luận rằng nó có cái nhìn quá hẹp về cả phần thưởng lẫn rủi ro. Theo quan điểm của họ, một thước đo lợi nhuận đầy đủ hơn nên xem xét không chỉ độ lớn của lợi nhuận kỳ vọng mà còn cả khả năng xảy ra những lợi nhuận dương rất lớn hay độ lệch (skewness), và một thước đo rủi ro hoàn chỉnh hơn nên kết hợp cả phương sai lẫn khả năng xảy ra những cú nhảy lớn (đồng độ nhọn – co-kurtosis). Lưu ý rằng ngay cả khi những cách tiếp cận này khác biệt với cách tiếp cận trung bình–phương sai về cách định nghĩa rủi ro, chúng vẫn trung thành với thước đo rủi ro theo danh mục. Nói cách khác, không phải khả năng xảy ra những khoản thưởng dương lớn (độ lệch) hay những cú nhảy lớn (độ nhọn) mà họ lập luận nên được xem xét, mà chỉ là phần độ lệch (đồng độ lệch – co-skewness) và độ nhọn (đồng độ nhọn – co-kurtosis) có liên quan đến thị trường và không thể đa dạng hóa được.</w:t>
      </w:r>
    </w:p>
    <w:p>
      <w:bookmarkStart w:id="562" w:name="Jump_Process_Models__The_normal"/>
      <w:pPr>
        <w:pStyle w:val="Para 21"/>
      </w:pPr>
      <w:r>
        <w:t>Các mô hình quá trình nhảy vọt</w:t>
      </w:r>
      <w:bookmarkEnd w:id="562"/>
    </w:p>
    <w:p>
      <w:pPr>
        <w:pStyle w:val="Para 03"/>
      </w:pPr>
      <w:r>
        <w:t>Phân phối chuẩn, luật lũy thừa, và bất đối xứng tạo thành cơ sở cho những mô hình chúng ta đã thảo luận trong phần này đều là những phân phối liên tục. Quan sát thực tế rằng giá cổ phiếu có nhảy vọt, có một số người đã lập luận ủng hộ việc sử dụng những phân phối quá trình nhảy vọt (jump process distributions) để rút ra các thước đo rủi ro.</w:t>
      </w:r>
    </w:p>
    <w:p>
      <w:pPr>
        <w:pStyle w:val="Para 03"/>
      </w:pPr>
      <w:r>
        <w:t>Press (1967), trong một trong những bài báo sớm nhất cố gắng mô hình hóa những cú nhảy giá cổ phiếu, lập luận rằng giá cổ phiếu tuân theo sự kết hợp của một phân phối giá liên tục và một phân phối Poisson, nơi giá nhảy vọt ở những khoảng thời gian không đều đặn. Những tham số then chốt của phân phối Poisson là độ lớn kỳ vọng của cú nhảy giá (µ), phương sai của giá trị này (δ2), và khả năng xảy ra một cú nhảy giá trong bất kỳ khoảng thời gian cụ thể nào (λ), và Press đã ước lượng những giá trị này cho 10 cổ phiếu. Trong những bài báo tiếp theo, Beckers (1981) và Ball và Torous (1983) đề xuất những cách tinh chỉnh những ước lượng này. Trong một nỗ lực thu hẹp khoảng cách giữa CAPM và các mô hình quá trình nhảy vọt, Jarrow và Rosenfeld (1984) đã rút ra một phiên bản của mô hình định giá tài sản vốn bao gồm một thành phần nhảy vọt nắm bắt khả năng xảy ra những cú nhảy của thị trường và mối tương quan của một tài sản riêng lẻ với những cú nhảy này.</w:t>
      </w:r>
    </w:p>
    <w:p>
      <w:pPr>
        <w:pStyle w:val="Para 03"/>
      </w:pPr>
      <w:r>
        <w:t>Trong khi các mô hình quá trình nhảy (jump process) đã có chút tiến triển trong định giá quyền chọn, chúng lại ít thành công trên thị trường cổ phiếu, phần lớn là vì các tham số của mô hình quá trình nhảy rất khó ước lượng một cách chính xác. Vì vậy, dù ai cũng đồng ý rằng giá cổ phiếu có nhảy, nhưng hầu như không có sự đồng thuận về cách tốt nhất để đo tần suất điều này xảy ra, liệu những cú nhảy này có thể đa dạng hóa được hay không, và cách tốt nhất để đưa tác động của chúng vào các thước đo rủi ro.</w:t>
      </w:r>
    </w:p>
    <w:p>
      <w:bookmarkStart w:id="565" w:name="Regression_or_Proxy_Models"/>
      <w:bookmarkStart w:id="566" w:name="Regression_or_Proxy_Models__The"/>
      <w:pPr>
        <w:keepNext/>
        <w:pStyle w:val="Heading 4"/>
        <w:keepLines w:val="on"/>
      </w:pPr>
      <w:r>
        <w:t>Mô hình hồi quy hoặc mô hình đại diện</w:t>
      </w:r>
      <w:bookmarkEnd w:id="565"/>
      <w:bookmarkEnd w:id="566"/>
    </w:p>
    <w:p>
      <w:pPr>
        <w:pStyle w:val="Para 03"/>
      </w:pPr>
      <w:r>
        <w:t>Các mô hình truyền thống về rủi ro và lợi nhuận trong tài chính (CAPM, mô hình định giá chênh lệch giá, và thậm chí cả các mô hình đa nhân tố) đều bắt đầu bằng việc đưa ra các giả định về cách nhà đầu tư hành xử và cách thị trường vận hành để từ đó xây dựng các mô hình đo lường rủi ro và liên kết những thước đo đó với lợi nhuận kỳ vọng. Trong khi các mô hình này có lợi thế là nền tảng lý thuyết kinh tế, chúng dường như tỏ ra yếu kém trong việc giải thích sự khác biệt về lợi nhuận giữa các khoản đầu tư. Lý do khiến các mô hình này thất bại thì đủ cả: những giả định đưa ra về thị trường là không thực tế (không có chi phí giao dịch, thông tin hoàn hảo) và nhà đầu tư không hành xử lý trí (và nghiên cứu tài chính hành vi cung cấp vô số bằng chứng cho điều này).</w:t>
      </w:r>
    </w:p>
    <w:p>
      <w:pPr>
        <w:pStyle w:val="Para 03"/>
      </w:pPr>
      <w:r>
        <w:t>Với các mô hình đại diện (proxy model), về cơ bản chúng ta từ bỏ việc xây dựng mô hình rủi ro và lợi nhuận từ lý thuyết kinh tế. Thay vào đó, chúng ta bắt đầu từ cách thị trường định giá các khoản đầu tư và liên hệ lợi nhuận thu được với các biến số có thể quan sát được. Thay vì nói chuyện trừu tượng, hãy xem công trình của Fama và French vào đầu những năm 1990. Khi xem xét lợi nhuận thu được từ các cổ phiếu riêng lẻ giai đoạn 1962 đến 1990, họ kết luận rằng beta của CAPM không giải thích được nhiều sự biến động của những lợi nhuận này. Sau đó họ chuyển sang một hướng khác và tìm kiếm các biến số đặc thù của công ty có khả năng giải thích tốt hơn sự khác biệt về lợi nhuận, và họ đã xác định được hai biến số—vốn hóa thị trường của một công ty và tỷ lệ giá trên giá trị sổ sách (tỷ lệ giữa vốn hóa thị trường và giá trị sổ sách kế toán của vốn chủ sở hữu). Cụ thể, họ kết luận rằng các cổ phiếu có vốn hóa thị trường nhỏ kiếm được lợi nhuận hàng năm cao hơn nhiều so với các cổ phiếu có vốn hóa thị trường lớn, và các cổ phiếu có tỷ lệ giá trên giá trị sổ sách thấp kiếm được lợi nhuận hàng năm cao hơn nhiều so với các cổ phiếu giao dịch ở tỷ lệ giá trên giá trị sổ sách cao. Thay vì coi đây là bằng chứng về sự kém hiệu quả của thị trường (điều mà các nghiên cứu trước đó đã phát hiện ra cùng hiện tượng này đã làm), họ lập luận rằng nếu những cổ phiếu này kiếm được lợi nhuận cao hơn trong thời gian dài, thì chúng phải rủi ro hơn các cổ phiếu kiếm được lợi nhuận thấp hơn. Theo lý luận của họ, vốn hóa thị trường và tỷ lệ giá trên giá trị sổ sách thực chất là những đại diện tốt hơn cho rủi ro so với beta. Trên thực tế, họ đã hồi quy lợi nhuận của cổ phiếu theo vốn hóa thị trường của một công ty và tỷ lệ giá trên giá trị sổ sách của nó để đi đến hồi quy sau đây cho cổ phiếu Mỹ:</w:t>
      </w:r>
    </w:p>
    <w:p>
      <w:bookmarkStart w:id="567" w:name="Expected_Monthly_Return_1_77__0"/>
      <w:pPr>
        <w:keepNext/>
        <w:pStyle w:val="Para 09"/>
        <w:keepLines w:val="on"/>
      </w:pPr>
      <w:r>
        <w:t>Lợi nhuận hàng tháng kỳ vọng=1,77%+0,11 ln⁡(Vốn hóa thị trường tính bằng triệu $)+0,35 ln⁡(Giá trị sổ sách của vốn chủ sở hữuVốn hóa thị trường)</w:t>
      </w:r>
      <w:bookmarkEnd w:id="567"/>
    </w:p>
    <w:p>
      <w:pPr>
        <w:pStyle w:val="Para 03"/>
      </w:pPr>
      <w:r>
        <w:t>Trong một mô hình đại diện thuần túy, bạn có thể thay vốn hóa thị trường và tỷ lệ giá trị sổ sách trên giá trị thị trường của bất kỳ công ty nào vào hồi quy này để có được lợi nhuận hàng tháng kỳ vọng.</w:t>
      </w:r>
    </w:p>
    <w:p>
      <w:pPr>
        <w:pStyle w:val="Para 03"/>
      </w:pPr>
      <w:r>
        <w:t>Trong hai thập kỷ kể từ khi bài báo của Fama-French đưa các mô hình đại diện lên hàng đầu, các nhà nghiên cứu đã khảo sát dữ liệu (vốn ngày càng chi tiết và đồ sộ hơn theo thời gian) để tìm ra những đại diện tốt hơn và bổ sung cho rủi ro. Một số đại diện được nêu bật ở đây:</w:t>
      </w:r>
    </w:p>
    <w:p>
      <w:pPr>
        <w:numPr>
          <w:ilvl w:val="0"/>
          <w:numId w:val="19"/>
        </w:numPr>
        <w:pStyle w:val="Para 01"/>
      </w:pPr>
      <w:r>
        <w:t>Đà lợi nhuận. Các nhà phân tích nghiên cứu cổ phiếu sẽ thấy mình được minh oan qua nghiên cứu dường như chỉ ra rằng các công ty đã báo cáo mức tăng trưởng lợi nhuận mạnh hơn kỳ vọng trong quá khứ kiếm được lợi nhuận cao hơn phần còn lại của thị trường.</w:t>
      </w:r>
    </w:p>
    <w:p>
      <w:pPr>
        <w:numPr>
          <w:ilvl w:val="0"/>
          <w:numId w:val="19"/>
        </w:numPr>
        <w:pStyle w:val="Para 01"/>
      </w:pPr>
      <w:r>
        <w:t>Đà giá. Những người theo trường phái phân tích biểu đồ sẽ mỉm cười khi đọc điều này, nhưng các nhà nghiên cứu đã kết luận rằng đà giá tiếp diễn sang các giai đoạn tương lai. Do đó, lợi nhuận kỳ vọng sẽ cao hơn đối với các cổ phiếu đã vượt trội so với thị trường trong các giai đoạn gần đây và thấp hơn đối với các cổ phiếu đã tụt lại phía sau.</w:t>
      </w:r>
    </w:p>
    <w:p>
      <w:pPr>
        <w:numPr>
          <w:ilvl w:val="0"/>
          <w:numId w:val="19"/>
        </w:numPr>
        <w:pStyle w:val="Para 01"/>
      </w:pPr>
      <w:r>
        <w:t>Tính thanh khoản. Như một sự thừa nhận đối với chi phí trong thực tế, dường như có bằng chứng rõ ràng rằng các cổ phiếu kém thanh khoản hơn (khối lượng giao dịch thấp hơn, chênh lệch giá mua-bán cao hơn) kiếm được lợi nhuận cao hơn các cổ phiếu thanh khoản hơn.</w:t>
      </w:r>
    </w:p>
    <w:p>
      <w:pPr>
        <w:pStyle w:val="Para 03"/>
      </w:pPr>
      <w:r>
        <w:t>Trong khi việc sử dụng các mô hình đại diện thuần túy bởi những người hành nghề là hiếm, họ đã chuyển thể các phát hiện của những mô hình này vào công việc hàng ngày của mình. Nhiều nhà phân tích đã kết hợp CAPM với các mô hình đại diện để tạo ra các mô hình tổng hợp hoặc pha trộn. Chẳng hạn, nhiều nhà phân tích định giá các công ty nhỏ tính lợi nhuận kỳ vọng cho những công ty này bằng cách cộng thêm phần bù vốn hóa nhỏ vào lợi nhuận kỳ vọng của CAPM:</w:t>
      </w:r>
    </w:p>
    <w:p>
      <w:bookmarkStart w:id="569" w:name="Expected_Return_Riskfree_Rate_Be"/>
      <w:pPr>
        <w:keepNext/>
        <w:pStyle w:val="Para 09"/>
        <w:keepLines w:val="on"/>
      </w:pPr>
      <w:r>
        <w:t>Lợi nhuận kỳ vọng=Lãi suất phi rủi ro+Beta×Phần bù rủi ro vốn chủ sở hữu+Phần bù vốn hóa nhỏ</w:t>
      </w:r>
      <w:bookmarkEnd w:id="569"/>
    </w:p>
    <w:p>
      <w:pPr>
        <w:pStyle w:val="Para 03"/>
      </w:pPr>
      <w:r>
        <w:t>Ngưỡng cho vốn hóa nhỏ thay đổi theo thời gian nhưng thường được đặt ở nhóm thập phân thấp nhất của các công ty niêm yết đại chúng, và bản thân phần bù vốn hóa nhỏ được ước lượng bằng cách xem xét phần bù lịch sử mà các cổ phiếu vốn hóa nhỏ kiếm được so với thị trường. Sử dụng các phát hiện của Fama-French, CAPM đã được mở rộng để bao gồm vốn hóa thị trường và tỷ lệ giá trên giá trị sổ sách như những biến số bổ sung, với lợi nhuận kỳ vọng được phát biểu như sau:</w:t>
      </w:r>
    </w:p>
    <w:p>
      <w:bookmarkStart w:id="570" w:name="Expected_Return_Riskfree_Rate_Be_1"/>
      <w:pPr>
        <w:keepNext/>
        <w:pStyle w:val="Para 09"/>
        <w:keepLines w:val="on"/>
      </w:pPr>
      <w:r>
        <w:t>Lợi nhuận kỳ vọng=Lãi suất phi rủi ro+Beta×Phần bù rủi ro vốn chủ sở hữu+ Beta quy mô×Phần bù vốn hóa nhỏ+ beta giá trị sổ sách trên giá trị thị trường×Phần bù giá trị sổ sách trên giá trị thị trường</w:t>
      </w:r>
      <w:bookmarkEnd w:id="570"/>
    </w:p>
    <w:p>
      <w:pPr>
        <w:pStyle w:val="Para 03"/>
      </w:pPr>
      <w:r>
        <w:t>Beta quy mô và beta giá trị sổ sách trên giá trị thị trường được ước lượng bằng cách hồi quy lợi nhuận của một cổ phiếu theo phần bù quy mô và phần bù giá trị sổ sách trên giá trị thị trường theo thời gian; điều này tương tự với cách chúng ta có được beta thị trường, bằng cách hồi quy lợi nhuận cổ phiếu theo lợi nhuận của toàn thị trường.</w:t>
      </w:r>
    </w:p>
    <w:p>
      <w:pPr>
        <w:pStyle w:val="Para 03"/>
      </w:pPr>
      <w:r>
        <w:t>Trong khi việc sử dụng các mô hình đại diện và pha trộn mang lại một cách để điều chỉnh lợi nhuận kỳ vọng nhằm phản ánh thực tế thị trường, có ba mối nguy khi sử dụng những mô hình này.</w:t>
      </w:r>
    </w:p>
    <w:p>
      <w:pPr>
        <w:numPr>
          <w:ilvl w:val="0"/>
          <w:numId w:val="20"/>
        </w:numPr>
        <w:pStyle w:val="Para 01"/>
      </w:pPr>
      <w:r>
        <w:t>Khai thác dữ liệu. Khi lượng dữ liệu chúng ta có về các công ty tăng lên và trở nên dễ tiếp cận hơn, chắc chắn chúng ta sẽ tìm thấy nhiều biến số hơn có liên quan đến lợi nhuận. Cũng có khả năng rằng hầu hết những biến số này không phải là đại diện cho rủi ro, và rằng mối tương quan chỉ là một hàm của khoảng thời gian mà chúng ta xem xét. Thực chất, các mô hình đại diện là mô hình thống kê chứ không phải mô hình kinh tế. Vì vậy, không có cách dễ dàng nào để tách biệt những biến số quan trọng khỏi những biến số không quan trọng.</w:t>
      </w:r>
    </w:p>
    <w:p>
      <w:pPr>
        <w:numPr>
          <w:ilvl w:val="0"/>
          <w:numId w:val="20"/>
        </w:numPr>
        <w:pStyle w:val="Para 01"/>
      </w:pPr>
      <w:r>
        <w:t>Sai số chuẩn. Vì các mô hình đại diện xuất phát từ việc xem xét dữ liệu lịch sử, chúng mang theo toàn bộ gánh nặng của nhiễu trong dữ liệu. Lợi nhuận cổ phiếu cực kỳ biến động theo thời gian, và bất kỳ phần bù lịch sử nào mà chúng ta tính toán (cho vốn hóa thị trường hoặc bất kỳ biến số nào khác) đều sẽ có sai số chuẩn đáng kể. Sai số chuẩn của beta quy mô và beta giá trị sổ sách trên giá trị thị trường trong mô hình ba nhân tố Fama-French có thể lớn đến mức việc sử dụng chúng trong thực tế tạo ra gần như lượng nhiễu tương đương với độ chính xác mà chúng mang lại.</w:t>
      </w:r>
    </w:p>
    <w:p>
      <w:pPr>
        <w:numPr>
          <w:ilvl w:val="0"/>
          <w:numId w:val="20"/>
        </w:numPr>
        <w:pStyle w:val="Para 01"/>
      </w:pPr>
      <w:r>
        <w:t>Lỗi định giá hay đại diện rủi ro. Trong nhiều thập kỷ, các nhà đầu tư giá trị đã lập luận rằng bạn nên đầu tư vào các cổ phiếu có tỷ lệ PE thấp, giao dịch ở bội số giá trị sổ sách thấp và có tỷ suất cổ tức cao, chỉ ra rằng bạn sẽ kiếm được lợi nhuận cao hơn khi làm như vậy. (Trên thực tế, việc rà soát các bộ lọc của Benjamin Graham từ phân tích chứng khoán4 để tìm các công ty rẻ sẽ khai quật ra hầu hết các đại diện mà bạn thấy được sử dụng ngày nay.) Các mô hình đại diện kết hợp tất cả những biến số này vào lợi nhuận kỳ vọng, và do đó khiến những tài sản này được định giá hợp lý. Sử dụng logic vòng tròn của những mô hình này, thị trường luôn hiệu quả vì bất kỳ sự kém hiệu quả nào tồn tại chỉ là một đại diện rủi ro khác cần được đưa vào mô hình.</w:t>
      </w:r>
    </w:p>
    <w:p>
      <w:bookmarkStart w:id="573" w:name="Non_price___Based_Models"/>
      <w:bookmarkStart w:id="574" w:name="Non_price___Based_Models__All_of"/>
      <w:pPr>
        <w:keepNext/>
        <w:pStyle w:val="Heading 4"/>
        <w:keepLines w:val="on"/>
      </w:pPr>
      <w:r>
        <w:t>Các mô hình không dựa trên giá</w:t>
      </w:r>
      <w:bookmarkEnd w:id="573"/>
      <w:bookmarkEnd w:id="574"/>
    </w:p>
    <w:p>
      <w:pPr>
        <w:pStyle w:val="Para 03"/>
      </w:pPr>
      <w:r>
        <w:t>Tất cả các mô hình mà chúng ta đã mô tả trong chương này, ít nhất là cho đến nay, đều có một đặc điểm chung. Chúng sử dụng biến động giá cổ phiếu làm cơ sở để đo lường rủi ro, với sự khác biệt nằm ở cách phân tách rủi ro đó thành các thành phần hoặc nhân tố. Có nhiều người phản đối cách tiếp cận này để đo lường rủi ro, lập luận rằng cách tiếp cận này không tương thích với định giá nội tại, nơi chúng ta bắt đầu với giả định rằng thị trường mắc sai lầm.</w:t>
      </w:r>
    </w:p>
    <w:p>
      <w:pPr>
        <w:pStyle w:val="Para 03"/>
      </w:pPr>
      <w:r>
        <w:t>Đối với những người vốn dĩ nghi ngờ bất kỳ thước đo nào dựa trên giá thị trường, luôn có thông tin kế toán có thể được sử dụng để đưa ra một thước đo rủi ro. Cụ thể, các công ty có tỷ lệ nợ thấp, cổ tức cao, lợi nhuận kế toán ổn định và tăng trưởng, và lượng tiền mặt nắm giữ lớn nên ít rủi ro hơn đối với nhà đầu tư vốn chủ sở hữu so với các công ty không có những đặc điểm này. Trong khi trực giác là hoàn hảo, việc chuyển nó thành lợi nhuận kỳ vọng có thể có vấn đề, nhưng đây là một số lựa chọn:</w:t>
      </w:r>
    </w:p>
    <w:p>
      <w:pPr>
        <w:numPr>
          <w:ilvl w:val="0"/>
          <w:numId w:val="21"/>
        </w:numPr>
        <w:pStyle w:val="Para 01"/>
      </w:pPr>
      <w:r>
        <w:t>Chọn một tỷ lệ kế toán và tạo các thước đo rủi ro được điều chỉnh theo tỷ lệ đó. Tỷ lệ nợ trên vốn theo giá trị sổ sách trung vị của các công ty Mỹ vào đầu năm 2024 là 25%. Nếu nợ theo giá trị sổ sách của công ty bạn đang phân tích chỉ là 20%, điều đó sẽ mang lại một thước đo rủi ro tương đối là 0,8 cho công ty. Mối nguy của cách tiếp cận này nằm ở tỷ lệ kế toán được sử dụng, vì có những công ty rủi ro có thể trông an toàn trên cơ sở tỷ lệ đó. Do đó, các công ty công nghệ, vốn có xu hướng có tỷ lệ nợ thấp, sẽ trông an toàn theo thước đo nợ trên vốn. Một lựa chọn thay thế có thể có phạm vi tiếp cận rộng hơn là tính toán độ biến động trong lợi nhuận kế toán tại các công ty, rồi điều chỉnh độ lệch chuẩn trong lợi nhuận của một công ty theo độ lệch chuẩn trung bình trên toàn thị trường.</w:t>
      </w:r>
    </w:p>
    <w:p>
      <w:pPr>
        <w:numPr>
          <w:ilvl w:val="0"/>
          <w:numId w:val="21"/>
        </w:numPr>
        <w:pStyle w:val="Para 01"/>
      </w:pPr>
      <w:r>
        <w:t>Tính toán beta kế toán: Nếu bạn muốn giữ quan điểm của nhà đầu tư đã đa dạng hóa và đo lường rủi ro mà công ty thêm vào danh mục, bạn có thể ước lượng beta kế toán, bằng cách liên hệ những thay đổi trong lợi nhuận kế toán tại một công ty với lợi nhuận kế toán của toàn thị trường. Các công ty có lợi nhuận ổn định hơn phần còn lại của thị trường hoặc có biến động lợi nhuận không liên quan gì đến phần còn lại của thị trường sẽ có beta kế toán thấp. Một phiên bản mở rộng của cách tiếp cận này là ước lượng beta kế toán như một hàm của nhiều biến số kế toán bao gồm tỷ lệ chi trả cổ tức, tỷ lệ nợ, số dư tiền mặt và độ ổn định lợi nhuận cho toàn thị trường. Thay các giá trị của một công ty riêng lẻ vào hồi quy này sẽ mang lại beta kế toán cho công ty. Trong khi cách tiếp cận này có vẻ hứa hẹn, đây là một số lưu ý cảnh báo: các con số kế toán được làm mịn và có thể che giấu rủi ro, và được ước lượng nhiều nhất bốn lần một năm (so với các con số thị trường được cập nhật từng phút).</w:t>
      </w:r>
    </w:p>
    <w:p>
      <w:pPr>
        <w:pStyle w:val="Para 03"/>
      </w:pPr>
      <w:r>
        <w:t>Đúng theo câu châm ngôn của Milton Friedman rằng cần một mô hình để đánh bại một mô hình, thật dễ để chỉ trích bất kỳ mô hình rủi ro và lợi nhuận nào, nhưng cần nhớ rằng dù bạn chọn mô hình nào, nó đều đi kèm với những hạn chế. Cuối cùng, những bất đồng về cách đo lường rủi ro và đưa nó vào lợi nhuận kỳ vọng không nên được dùng làm cái cớ để không đo lường rủi ro chút nào, và sử dụng cùng một lợi nhuận kỳ vọng (hay chi phí vốn chủ sở hữu) cho tất cả các công ty hoặc bịa ra các tỷ suất lợi nhuận dựa trên cảm giác và trực giác.</w:t>
      </w:r>
    </w:p>
    <w:p>
      <w:bookmarkStart w:id="576" w:name="A_Comparative_Analysis_of_Equity_1"/>
      <w:bookmarkStart w:id="577" w:name="A_Comparative_Analysis_of_Equity"/>
      <w:pPr>
        <w:keepNext/>
        <w:pStyle w:val="Heading 2"/>
        <w:keepLines w:val="on"/>
      </w:pPr>
      <w:r>
        <w:t>Phân tích so sánh các mô hình rủi ro vốn cổ phần</w:t>
      </w:r>
      <w:bookmarkEnd w:id="576"/>
      <w:bookmarkEnd w:id="577"/>
    </w:p>
    <w:p>
      <w:pPr>
        <w:pStyle w:val="Para 03"/>
      </w:pPr>
      <w:r>
        <w:t>Khi đứng trước lựa chọn ước tính lợi nhuận kỳ vọng trên vốn cổ phần hoặc chi phí vốn cổ phần, chúng ta phải đối mặt với nhiều lựa chọn khác nhau, từ CAPM đến các mô hình đại diện. Bảng 4.1 tóm tắt các mô hình khác nhau và trình bày ưu điểm lẫn nhược điểm của chúng.</w:t>
      </w:r>
    </w:p>
    <w:p>
      <w:pPr>
        <w:pStyle w:val="Para 34"/>
        <w:keepLines w:val="on"/>
      </w:pPr>
      <w:r>
        <w:t>Bảng 4.1</w:t>
      </w:r>
    </w:p>
    <w:p>
      <w:pPr>
        <w:keepNext/>
        <w:pStyle w:val="Para 35"/>
        <w:keepLines w:val="on"/>
      </w:pPr>
      <w:r>
        <w:t>Các mô hình thay thế cho chi phí vốn cổ phần</w:t>
      </w:r>
    </w:p>
    <w:tbl>
      <w:tblPr>
        <w:tblW w:type="auto" w:w="0"/>
      </w:tblPr>
      <w:tr>
        <w:tc>
          <w:tcPr>
            <w:tcW w:type="auto" w:w="0"/>
          </w:tcPr>
          <w:tbl>
            <w:tblPr>
              <w:tblW w:type="auto" w:w="0"/>
            </w:tblPr>
            <w:tr>
              <w:tc>
                <w:tcPr>
                  <w:tcW w:type="auto" w:w="0"/>
                  <w:shd w:val="clear" w:color="auto" w:fill="F0F0F0"/>
                </w:tcPr>
                <w:p>
                  <w:pPr>
                    <w:pStyle w:val="Para 29"/>
                    <w:keepLines w:val="on"/>
                  </w:pPr>
                  <w:r>
                    <w:t>Mô hình</w:t>
                  </w:r>
                </w:p>
              </w:tc>
              <w:tc>
                <w:tcPr>
                  <w:tcW w:type="auto" w:w="0"/>
                  <w:shd w:val="clear" w:color="auto" w:fill="F0F0F0"/>
                </w:tcPr>
                <w:p>
                  <w:pPr>
                    <w:pStyle w:val="Para 29"/>
                    <w:keepLines w:val="on"/>
                  </w:pPr>
                  <w:r>
                    <w:t>Lợi nhuận kỳ vọng</w:t>
                  </w:r>
                </w:p>
              </w:tc>
              <w:tc>
                <w:tcPr>
                  <w:tcW w:type="auto" w:w="0"/>
                  <w:shd w:val="clear" w:color="auto" w:fill="F0F0F0"/>
                </w:tcPr>
                <w:p>
                  <w:pPr>
                    <w:pStyle w:val="Para 29"/>
                    <w:keepLines w:val="on"/>
                  </w:pPr>
                  <w:r>
                    <w:t>Ưu điểm</w:t>
                  </w:r>
                </w:p>
              </w:tc>
              <w:tc>
                <w:tcPr>
                  <w:tcW w:type="auto" w:w="0"/>
                  <w:shd w:val="clear" w:color="auto" w:fill="F0F0F0"/>
                </w:tcPr>
                <w:p>
                  <w:pPr>
                    <w:pStyle w:val="Para 29"/>
                    <w:keepLines w:val="on"/>
                  </w:pPr>
                  <w:r>
                    <w:t>Nhược điểm</w:t>
                  </w:r>
                </w:p>
              </w:tc>
            </w:tr>
            <w:tr>
              <w:tc>
                <w:tcPr>
                  <w:tcW w:type="auto" w:w="0"/>
                  <w:shd w:val="clear" w:color="auto" w:fill="F0F0F0"/>
                </w:tcPr>
                <w:p>
                  <w:pPr>
                    <w:pStyle w:val="Para 02"/>
                    <w:keepLines w:val="on"/>
                  </w:pPr>
                  <w:r>
                    <w:t>CAPM</w:t>
                  </w:r>
                </w:p>
              </w:tc>
              <w:tc>
                <w:tcPr>
                  <w:tcW w:type="auto" w:w="0"/>
                  <w:shd w:val="clear" w:color="auto" w:fill="F0F0F0"/>
                </w:tcPr>
                <w:p>
                  <w:pPr>
                    <w:pStyle w:val="Para 57"/>
                    <w:keepLines w:val="on"/>
                  </w:pPr>
                  <w:r>
                    <w:t>ER=Rf+βERm-Rf</w:t>
                  </w:r>
                </w:p>
              </w:tc>
              <w:tc>
                <w:tcPr>
                  <w:tcW w:type="auto" w:w="0"/>
                  <w:shd w:val="clear" w:color="auto" w:fill="F0F0F0"/>
                </w:tcPr>
                <w:p>
                  <w:pPr>
                    <w:pStyle w:val="Para 02"/>
                    <w:keepLines w:val="on"/>
                  </w:pPr>
                  <w:r>
                    <w:t>Dễ tính toán</w:t>
                  </w:r>
                </w:p>
              </w:tc>
              <w:tc>
                <w:tcPr>
                  <w:tcW w:type="auto" w:w="0"/>
                  <w:shd w:val="clear" w:color="auto" w:fill="F0F0F0"/>
                </w:tcPr>
                <w:p>
                  <w:pPr>
                    <w:pStyle w:val="Para 02"/>
                    <w:keepLines w:val="on"/>
                  </w:pPr>
                  <w:r>
                    <w:t>Không giải thích được lợi nhuận trên các phân khúc rộng của thị trường</w:t>
                  </w:r>
                </w:p>
              </w:tc>
            </w:tr>
            <w:tr>
              <w:tc>
                <w:tcPr>
                  <w:tcW w:type="auto" w:w="0"/>
                  <w:shd w:val="clear" w:color="auto" w:fill="F0F0F0"/>
                </w:tcPr>
                <w:p>
                  <w:pPr>
                    <w:pStyle w:val="Para 02"/>
                    <w:keepLines w:val="on"/>
                  </w:pPr>
                  <w:r>
                    <w:t>APM (n nhân tố thống kê)</w:t>
                  </w:r>
                </w:p>
              </w:tc>
              <w:tc>
                <w:tcPr>
                  <w:tcW w:type="auto" w:w="0"/>
                  <w:shd w:val="clear" w:color="auto" w:fill="F0F0F0"/>
                </w:tcPr>
                <w:p>
                  <w:pPr>
                    <w:pStyle w:val="Para 57"/>
                    <w:keepLines w:val="on"/>
                  </w:pPr>
                  <w:r>
                    <w:t>ER=Rf+∑j=1j=nβjERj−Rf</w:t>
                  </w:r>
                </w:p>
              </w:tc>
              <w:tc>
                <w:tcPr>
                  <w:tcW w:type="auto" w:w="0"/>
                  <w:shd w:val="clear" w:color="auto" w:fill="F0F0F0"/>
                </w:tcPr>
                <w:p>
                  <w:pPr>
                    <w:pStyle w:val="Para 02"/>
                    <w:keepLines w:val="on"/>
                  </w:pPr>
                  <w:r>
                    <w:t>Phân tách rủi ro thị trường thành các thành phần</w:t>
                  </w:r>
                </w:p>
              </w:tc>
              <w:tc>
                <w:tcPr>
                  <w:tcW w:type="auto" w:w="0"/>
                  <w:shd w:val="clear" w:color="auto" w:fill="F0F0F0"/>
                </w:tcPr>
                <w:p>
                  <w:pPr>
                    <w:pStyle w:val="Para 02"/>
                    <w:keepLines w:val="on"/>
                  </w:pPr>
                  <w:r>
                    <w:t>Các nhân tố mang tính thống kê, không mang tính kinh tế</w:t>
                  </w:r>
                </w:p>
              </w:tc>
            </w:tr>
            <w:tr>
              <w:tc>
                <w:tcPr>
                  <w:tcW w:type="auto" w:w="0"/>
                  <w:shd w:val="clear" w:color="auto" w:fill="F0F0F0"/>
                </w:tcPr>
                <w:p>
                  <w:pPr>
                    <w:pStyle w:val="Para 02"/>
                    <w:keepLines w:val="on"/>
                  </w:pPr>
                  <w:r>
                    <w:t>Mô hình đa nhân tố (n nhân tố kinh tế vĩ mô)</w:t>
                  </w:r>
                </w:p>
              </w:tc>
              <w:tc>
                <w:tcPr>
                  <w:tcW w:type="auto" w:w="0"/>
                  <w:shd w:val="clear" w:color="auto" w:fill="F0F0F0"/>
                </w:tcPr>
                <w:p>
                  <w:pPr>
                    <w:pStyle w:val="Para 57"/>
                    <w:keepLines w:val="on"/>
                  </w:pPr>
                  <w:r>
                    <w:t>ER=Rf+∑k=1k=nβkERk−Rf</w:t>
                  </w:r>
                </w:p>
              </w:tc>
              <w:tc>
                <w:tcPr>
                  <w:tcW w:type="auto" w:w="0"/>
                  <w:shd w:val="clear" w:color="auto" w:fill="F0F0F0"/>
                </w:tcPr>
                <w:p>
                  <w:pPr>
                    <w:pStyle w:val="Para 02"/>
                    <w:keepLines w:val="on"/>
                  </w:pPr>
                  <w:r>
                    <w:t>Phân tách rủi ro thị trường thành các thành phần rủi ro vĩ mô</w:t>
                  </w:r>
                </w:p>
              </w:tc>
              <w:tc>
                <w:tcPr>
                  <w:tcW w:type="auto" w:w="0"/>
                  <w:shd w:val="clear" w:color="auto" w:fill="F0F0F0"/>
                </w:tcPr>
                <w:p>
                  <w:pPr>
                    <w:pStyle w:val="Para 02"/>
                    <w:keepLines w:val="on"/>
                  </w:pPr>
                  <w:r>
                    <w:t>Các nhân tố vĩ mô thay đổi theo thời gian.</w:t>
                  </w:r>
                </w:p>
              </w:tc>
            </w:tr>
            <w:tr>
              <w:tc>
                <w:tcPr>
                  <w:tcW w:type="auto" w:w="0"/>
                  <w:shd w:val="clear" w:color="auto" w:fill="F0F0F0"/>
                </w:tcPr>
                <w:p>
                  <w:pPr>
                    <w:pStyle w:val="Para 02"/>
                    <w:keepLines w:val="on"/>
                  </w:pPr>
                  <w:r>
                    <w:t>Mô hình đại diện</w:t>
                  </w:r>
                </w:p>
              </w:tc>
              <w:tc>
                <w:tcPr>
                  <w:tcW w:type="auto" w:w="0"/>
                  <w:shd w:val="clear" w:color="auto" w:fill="F0F0F0"/>
                </w:tcPr>
                <w:p>
                  <w:pPr>
                    <w:pStyle w:val="Para 57"/>
                    <w:keepLines w:val="on"/>
                  </w:pPr>
                  <w:r>
                    <w:t>E(R)=a+bX1+cX2</w:t>
                  </w:r>
                </w:p>
              </w:tc>
              <w:tc>
                <w:tcPr>
                  <w:tcW w:type="auto" w:w="0"/>
                  <w:shd w:val="clear" w:color="auto" w:fill="F0F0F0"/>
                </w:tcPr>
                <w:p>
                  <w:pPr>
                    <w:pStyle w:val="Para 02"/>
                    <w:keepLines w:val="on"/>
                  </w:pPr>
                  <w:r>
                    <w:t>Giải thích tốt nhất sự khác biệt trong lợi nhuận quá khứ</w:t>
                  </w:r>
                </w:p>
              </w:tc>
              <w:tc>
                <w:tcPr>
                  <w:tcW w:type="auto" w:w="0"/>
                  <w:shd w:val="clear" w:color="auto" w:fill="F0F0F0"/>
                </w:tcPr>
                <w:p>
                  <w:pPr>
                    <w:pStyle w:val="Para 02"/>
                    <w:keepLines w:val="on"/>
                  </w:pPr>
                  <w:r>
                    <w:t>Không có cơ sở kinh tế, nhìn về quá khứ và dễ bị khai thác dữ liệu</w:t>
                  </w:r>
                </w:p>
              </w:tc>
            </w:tr>
            <w:tr>
              <w:tc>
                <w:tcPr>
                  <w:tcW w:type="auto" w:w="0"/>
                  <w:shd w:val="clear" w:color="auto" w:fill="F0F0F0"/>
                </w:tcPr>
                <w:p>
                  <w:pPr>
                    <w:pStyle w:val="Para 02"/>
                    <w:keepLines w:val="on"/>
                  </w:pPr>
                  <w:r>
                    <w:t>Kế toán</w:t>
                  </w:r>
                </w:p>
              </w:tc>
              <w:tc>
                <w:tcPr>
                  <w:tcW w:type="auto" w:w="0"/>
                  <w:shd w:val="clear" w:color="auto" w:fill="F0F0F0"/>
                </w:tcPr>
                <w:p>
                  <w:pPr>
                    <w:pStyle w:val="Para 57"/>
                    <w:keepLines w:val="on"/>
                  </w:pPr>
                  <w:r>
                    <w:t>E(R)=Rf+Thước đo rủi ro tương đối*Phần bù rủi ro</w:t>
                  </w:r>
                </w:p>
              </w:tc>
              <w:tc>
                <w:tcPr>
                  <w:tcW w:type="auto" w:w="0"/>
                  <w:shd w:val="clear" w:color="auto" w:fill="F0F0F0"/>
                </w:tcPr>
                <w:p>
                  <w:pPr>
                    <w:pStyle w:val="Para 02"/>
                    <w:keepLines w:val="on"/>
                  </w:pPr>
                  <w:r>
                    <w:t>Gần hơn với quan điểm rủi ro dựa trên giá trị nội tại</w:t>
                  </w:r>
                </w:p>
              </w:tc>
              <w:tc>
                <w:tcPr>
                  <w:tcW w:type="auto" w:w="0"/>
                  <w:shd w:val="clear" w:color="auto" w:fill="F0F0F0"/>
                </w:tcPr>
                <w:p>
                  <w:pPr>
                    <w:pStyle w:val="Para 02"/>
                    <w:keepLines w:val="on"/>
                  </w:pPr>
                  <w:r>
                    <w:t>Các chỉ số kế toán được đo lường không thường xuyên và bị làm mượt.</w:t>
                  </w:r>
                </w:p>
              </w:tc>
            </w:tr>
          </w:tbl>
          <w:p/>
        </w:tc>
      </w:tr>
    </w:tbl>
    <w:p>
      <w:pPr>
        <w:pStyle w:val="Para 03"/>
      </w:pPr>
      <w:r>
        <w:t>Quyết định này phải dựa trên cả những cân nhắc lý thuyết lẫn những cân nhắc thực tiễn. CAPM là mô hình đơn giản nhất, vì nó chỉ cần một yếu tố đầu vào đặc thù cho từng doanh nghiệp (hệ số beta), và yếu tố đầu vào đó có thể được ước tính dễ dàng từ thông tin công khai. Để thay thế CAPM bằng một mô hình khác — dù thuộc nhóm trung bình–phương sai (mô hình định giá chênh lệch giá hay các mô hình đa nhân tố), nhóm quy trình lợi nhuận thay thế (mô hình phân phối lũy thừa, bất đối xứng và phân phối bước nhảy), hay các mô hình đại diện — chúng ta cần bằng chứng về sự cải thiện đáng kể về độ chính xác trong các dự báo tương lai (chứ không chỉ trong việc giải thích lợi nhuận quá khứ).</w:t>
      </w:r>
    </w:p>
    <w:p>
      <w:pPr>
        <w:pStyle w:val="Para 03"/>
      </w:pPr>
      <w:r>
        <w:t>Suy cho cùng, việc mô hình định giá tài sản vốn (capital asset pricing model – CAPM) tồn tại như mô hình mặc định cho rủi ro trong các ứng dụng thực tế là minh chứng cho cả sức hấp dẫn trực quan của nó lẫn sự thất bại của những mô hình phức tạp hơn trong việc mang lại cải thiện đáng kể về mặt ước tính lợi nhuận kỳ vọng. Chúng tôi cho rằng việc sử dụng CAPM một cách sáng suốt, không phụ thuộc quá mức vào dữ liệu lịch sử, vẫn là cách hiệu quả nhất để xử lý rủi ro trong định giá trong hầu hết các trường hợp. Ở một số lĩnh vực (hàng hóa) và phân khúc (công ty sở hữu khép kín, cổ phiếu kém thanh khoản), việc dùng các mô hình khác hoàn chỉnh hơn sẽ là hợp lý. Chúng ta sẽ quay lại câu hỏi làm thế nào những cải thiện trong việc ước tính các yếu tố đầu vào của CAPM có thể mang lại lợi ích lớn hơn nhiều so với việc chuyển sang những mô hình phức tạp hơn cho chi phí vốn cổ phần.</w:t>
      </w:r>
    </w:p>
    <w:p>
      <w:bookmarkStart w:id="580" w:name="Models_of_Default_Risk"/>
      <w:bookmarkStart w:id="581" w:name="Models_of_Default_Risk__The_risk"/>
      <w:pPr>
        <w:keepNext/>
        <w:pStyle w:val="Heading 2"/>
        <w:keepLines w:val="on"/>
      </w:pPr>
      <w:r>
        <w:t>Các mô hình rủi ro vỡ nợ</w:t>
      </w:r>
      <w:bookmarkEnd w:id="580"/>
      <w:bookmarkEnd w:id="581"/>
    </w:p>
    <w:p>
      <w:pPr>
        <w:pStyle w:val="Para 03"/>
      </w:pPr>
      <w:r>
        <w:t>Rủi ro được thảo luận đến giờ trong chương này liên quan đến việc dòng tiền từ các khoản đầu tư khác với dòng tiền kỳ vọng. Tuy nhiên, có một số khoản đầu tư mà dòng tiền được cam kết ngay khi thực hiện đầu tư. Điều này đúng, chẳng hạn, khi bạn cho một doanh nghiệp vay hoặc mua trái phiếu doanh nghiệp; người đi vay có thể vỡ nợ đối với các khoản thanh toán lãi và gốc của khoản vay. Nói chung, những người đi vay có rủi ro vỡ nợ cao hơn nên trả lãi suất cao hơn cho khoản vay của mình so với những người có rủi ro vỡ nợ thấp hơn. Phần này xem xét việc đo lường rủi ro vỡ nợ và mối quan hệ giữa rủi ro vỡ nợ với lãi suất đi vay.</w:t>
      </w:r>
    </w:p>
    <w:p>
      <w:pPr>
        <w:pStyle w:val="Para 03"/>
      </w:pPr>
      <w:r>
        <w:t>Trái ngược với các mô hình rủi ro và lợi nhuận chung cho vốn cổ phần, vốn đánh giá tác động của rủi ro thị trường lên lợi nhuận kỳ vọng, các mô hình rủi ro vỡ nợ đo lường hậu quả của rủi ro vỡ nợ đặc thù của doanh nghiệp lên lợi nhuận được cam kết. Trong khi đa dạng hóa có thể được dùng để giải thích tại sao rủi ro đặc thù của doanh nghiệp sẽ không được định giá vào lợi nhuận kỳ vọng của cổ phiếu, lý lẽ tương tự không thể áp dụng cho các chứng khoán có tiềm năng tăng hạn chế và tiềm năng giảm lớn hơn nhiều từ các sự kiện đặc thù của doanh nghiệp. Để hiểu ý nghĩa của tiềm năng tăng hạn chế, hãy xem xét việc đầu tư vào trái phiếu do một công ty phát hành. Các khoản coupon được cố định tại thời điểm phát hành, và những coupon này đại diện cho dòng tiền được cam kết trên trái phiếu. Kịch bản tốt nhất đối với bạn với tư cách nhà đầu tư là bạn nhận được dòng tiền được cam kết; bạn không được hưởng nhiều hơn những dòng tiền này ngay cả khi công ty thành công vang dội. Mọi kịch bản khác đều chỉ chứa tin xấu, dù ở mức độ khác nhau, với dòng tiền thực nhận ít hơn dòng tiền được cam kết. Do đó, lợi nhuận kỳ vọng trên trái phiếu doanh nghiệp có khả năng phản ánh rủi ro vỡ nợ đặc thù của doanh nghiệp phát hành trái phiếu.</w:t>
      </w:r>
    </w:p>
    <w:p>
      <w:bookmarkStart w:id="582" w:name="Determinants_of_Default_Risk"/>
      <w:bookmarkStart w:id="583" w:name="Determinants_of_Default_Risk__Th"/>
      <w:pPr>
        <w:keepNext/>
        <w:pStyle w:val="Heading 3"/>
        <w:keepLines w:val="on"/>
      </w:pPr>
      <w:r>
        <w:t>Các yếu tố quyết định rủi ro vỡ nợ</w:t>
      </w:r>
      <w:bookmarkEnd w:id="582"/>
      <w:bookmarkEnd w:id="583"/>
    </w:p>
    <w:p>
      <w:pPr>
        <w:pStyle w:val="Para 03"/>
      </w:pPr>
      <w:r>
        <w:t>Rủi ro vỡ nợ của một doanh nghiệp là hàm số của hai biến số. Thứ nhất là khả năng tạo ra dòng tiền từ hoạt động kinh doanh của doanh nghiệp, và thứ hai là các nghĩa vụ tài chính của nó — bao gồm thanh toán lãi và gốc.5 Những doanh nghiệp tạo ra dòng tiền cao so với nghĩa vụ tài chính của mình nên có rủi ro vỡ nợ thấp hơn những doanh nghiệp tạo ra dòng tiền thấp so với nghĩa vụ. Vì vậy, những doanh nghiệp có các khoản đầu tư hiện hữu đáng kể tạo ra dòng tiền cao sẽ có rủi ro vỡ nợ thấp hơn những doanh nghiệp không có những khoản đầu tư như vậy.</w:t>
      </w:r>
    </w:p>
    <w:p>
      <w:pPr>
        <w:pStyle w:val="Para 03"/>
      </w:pPr>
      <w:r>
        <w:t>Ngoài độ lớn dòng tiền của doanh nghiệp, rủi ro vỡ nợ còn bị ảnh hưởng bởi mức độ biến động của những dòng tiền này. Dòng tiền càng ổn định thì rủi ro vỡ nợ của doanh nghiệp càng thấp. Những doanh nghiệp hoạt động trong các ngành có thể dự đoán được và ổn định sẽ có rủi ro vỡ nợ thấp hơn những doanh nghiệp tương tự khác hoạt động trong các ngành mang tính chu kỳ hoặc biến động.</w:t>
      </w:r>
    </w:p>
    <w:p>
      <w:pPr>
        <w:pStyle w:val="Para 03"/>
      </w:pPr>
      <w:r>
        <w:t>Hầu hết các mô hình rủi ro vỡ nợ sử dụng các tỷ số tài chính để đo lường mức độ bao phủ dòng tiền (tức là độ lớn của dòng tiền so với nghĩa vụ) và kiểm soát các yếu tố ngành để đánh giá mức độ biến động của dòng tiền.</w:t>
      </w:r>
    </w:p>
    <w:p>
      <w:bookmarkStart w:id="586" w:name="Bond_Ratings_and_Interest_Rates_1"/>
      <w:bookmarkStart w:id="587" w:name="Bond_Ratings_and_Interest_Rates"/>
      <w:pPr>
        <w:keepNext/>
        <w:pStyle w:val="Heading 4"/>
        <w:keepLines w:val="on"/>
      </w:pPr>
      <w:r>
        <w:t>Xếp hạng trái phiếu và lãi suất</w:t>
      </w:r>
      <w:bookmarkEnd w:id="586"/>
      <w:bookmarkEnd w:id="587"/>
    </w:p>
    <w:p>
      <w:pPr>
        <w:pStyle w:val="Para 03"/>
      </w:pPr>
      <w:r>
        <w:t>Thước đo được sử dụng rộng rãi nhất cho rủi ro vỡ nợ của một doanh nghiệp là xếp hạng trái phiếu của nó, thường được gán bởi một tổ chức xếp hạng độc lập. Hai tổ chức nổi tiếng nhất là Standard &amp; Poor's (S&amp;P) và Moody's. Hàng nghìn công ty được hai tổ chức này xếp hạng, và quan điểm của họ có trọng lượng đáng kể trên các thị trường tài chính.</w:t>
      </w:r>
    </w:p>
    <w:p>
      <w:bookmarkStart w:id="588" w:name="The_Ratings_Process__The_process"/>
      <w:pPr>
        <w:pStyle w:val="Para 21"/>
      </w:pPr>
      <w:r>
        <w:t>Quy trình xếp hạng</w:t>
      </w:r>
      <w:bookmarkEnd w:id="588"/>
    </w:p>
    <w:p>
      <w:pPr>
        <w:pStyle w:val="Para 03"/>
      </w:pPr>
      <w:r>
        <w:t>Quy trình xếp hạng một trái phiếu bắt đầu khi công ty phát hành yêu cầu một tổ chức xếp hạng trái phiếu đánh giá. Tổ chức xếp hạng sau đó thu thập thông tin từ cả các nguồn công khai, như báo cáo tài chính, lẫn từ chính công ty và đưa ra quyết định về xếp hạng. Nếu công ty không đồng ý với xếp hạng, nó được trao cơ hội trình bày thông tin bổ sung. Quy trình này được trình bày dưới dạng sơ đồ cho một tổ chức xếp hạng, Standard &amp; Poor's, trong Hình 4.5.</w:t>
      </w:r>
    </w:p>
    <w:p>
      <w:bookmarkStart w:id="591" w:name="Figure_4_5_The_Ratings_Proces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73300" cy="2451100"/>
            <wp:effectExtent l="0" r="0" t="0" b="0"/>
            <wp:wrapTopAndBottom/>
            <wp:docPr id="18" name="c04f005.png" descr="Illustration of a flowchart depicts the rating process for Standard and Poor’s ratings agency."/>
            <wp:cNvGraphicFramePr>
              <a:graphicFrameLocks noChangeAspect="1"/>
            </wp:cNvGraphicFramePr>
            <a:graphic>
              <a:graphicData uri="http://schemas.openxmlformats.org/drawingml/2006/picture">
                <pic:pic>
                  <pic:nvPicPr>
                    <pic:cNvPr id="0" name="c04f005.png" descr="Illustration of a flowchart depicts the rating process for Standard and Poor’s ratings agency."/>
                    <pic:cNvPicPr/>
                  </pic:nvPicPr>
                  <pic:blipFill>
                    <a:blip r:embed="rId17"/>
                    <a:stretch>
                      <a:fillRect/>
                    </a:stretch>
                  </pic:blipFill>
                  <pic:spPr>
                    <a:xfrm>
                      <a:off x="0" y="0"/>
                      <a:ext cx="2273300" cy="2451100"/>
                    </a:xfrm>
                    <a:prstGeom prst="rect">
                      <a:avLst/>
                    </a:prstGeom>
                  </pic:spPr>
                </pic:pic>
              </a:graphicData>
            </a:graphic>
          </wp:anchor>
        </w:drawing>
      </w:r>
      <w:bookmarkEnd w:id="591"/>
    </w:p>
    <w:p>
      <w:pPr>
        <w:keepNext/>
        <w:pStyle w:val="Para 22"/>
        <w:keepLines w:val="on"/>
      </w:pPr>
      <w:r>
        <w:t>Hình 4.5 Quy trình xếp hạng</w:t>
      </w:r>
    </w:p>
    <w:p>
      <w:pPr>
        <w:pStyle w:val="Para 03"/>
      </w:pPr>
      <w:r>
        <w:t>Các xếp hạng được những tổ chức này gán là xếp hạng bằng chữ cái. Xếp hạng AAA của Standard &amp; Poor's và Aaa của Moody's đại diện cho xếp hạng cao nhất, được trao cho những doanh nghiệp được xem là có rủi ro vỡ nợ thấp nhất. Khi rủi ro vỡ nợ tăng lên, các xếp hạng giảm dần về phía D đối với những doanh nghiệp vỡ nợ (Standard &amp; Poor's). Xếp hạng ở mức BBB trở lên theo Standard &amp; Poor's (hoặc Baa theo Moody's) được phân loại là hạng đầu tư (investment grade), phản ánh quan điểm của tổ chức xếp hạng rằng có tương đối ít rủi ro vỡ nợ khi đầu tư vào trái phiếu do những doanh nghiệp này phát hành.</w:t>
      </w:r>
    </w:p>
    <w:p>
      <w:bookmarkStart w:id="592" w:name="Determinants_of_Bond_Ratings__Th"/>
      <w:pPr>
        <w:pStyle w:val="Para 21"/>
      </w:pPr>
      <w:r>
        <w:t>Các yếu tố quyết định xếp hạng trái phiếu</w:t>
      </w:r>
      <w:bookmarkEnd w:id="592"/>
    </w:p>
    <w:p>
      <w:pPr>
        <w:pStyle w:val="Para 03"/>
      </w:pPr>
      <w:r>
        <w:t>Xếp hạng trái phiếu do các tổ chức xếp hạng gán chủ yếu dựa trên thông tin công khai, dù thông tin riêng tư mà doanh nghiệp cung cấp cho tổ chức xếp hạng cũng đóng một vai trò. Xếp hạng được gán cho trái phiếu của một công ty sẽ phụ thuộc phần lớn vào các tỷ số tài chính đo lường khả năng của công ty trong việc đáp ứng các khoản thanh toán nợ và tạo ra dòng tiền ổn định, có thể dự đoán được. Trong khi có vô số tỷ số tài chính tồn tại, Bảng 4.2 tóm tắt một số tỷ số chính được dùng để đo lường rủi ro vỡ nợ.</w:t>
      </w:r>
    </w:p>
    <w:p>
      <w:pPr>
        <w:pStyle w:val="Para 34"/>
        <w:keepLines w:val="on"/>
      </w:pPr>
      <w:r>
        <w:t>Bảng 4.2</w:t>
      </w:r>
    </w:p>
    <w:p>
      <w:pPr>
        <w:keepNext/>
        <w:pStyle w:val="Para 35"/>
        <w:keepLines w:val="on"/>
      </w:pPr>
      <w:r>
        <w:t>Định nghĩa các tỷ số tài chính: S&amp;P</w:t>
      </w:r>
    </w:p>
    <w:tbl>
      <w:tblPr>
        <w:tblW w:type="auto" w:w="0"/>
      </w:tblPr>
      <w:tr>
        <w:tc>
          <w:tcPr>
            <w:tcW w:type="auto" w:w="0"/>
          </w:tcPr>
          <w:tbl>
            <w:tblPr>
              <w:tblW w:type="auto" w:w="0"/>
            </w:tblPr>
            <w:tr>
              <w:tc>
                <w:tcPr>
                  <w:tcW w:type="auto" w:w="0"/>
                  <w:shd w:val="clear" w:color="auto" w:fill="F0F0F0"/>
                </w:tcPr>
                <w:p>
                  <w:pPr>
                    <w:pStyle w:val="Para 29"/>
                    <w:keepLines w:val="on"/>
                  </w:pPr>
                  <w:r>
                    <w:t>Tỷ số tài chính</w:t>
                  </w:r>
                </w:p>
              </w:tc>
              <w:tc>
                <w:tcPr>
                  <w:tcW w:type="auto" w:w="0"/>
                  <w:shd w:val="clear" w:color="auto" w:fill="F0F0F0"/>
                </w:tcPr>
                <w:p>
                  <w:pPr>
                    <w:pStyle w:val="Para 29"/>
                    <w:keepLines w:val="on"/>
                  </w:pPr>
                  <w:r>
                    <w:t>Định nghĩa</w:t>
                  </w:r>
                </w:p>
              </w:tc>
            </w:tr>
            <w:tr>
              <w:tc>
                <w:tcPr>
                  <w:tcW w:type="auto" w:w="0"/>
                  <w:shd w:val="clear" w:color="auto" w:fill="F0F0F0"/>
                </w:tcPr>
                <w:p>
                  <w:pPr>
                    <w:pStyle w:val="Para 02"/>
                    <w:keepLines w:val="on"/>
                  </w:pPr>
                  <w:r>
                    <w:t>EBITDA/Doanh thu</w:t>
                  </w:r>
                </w:p>
              </w:tc>
              <w:tc>
                <w:tcPr>
                  <w:tcW w:type="auto" w:w="0"/>
                  <w:shd w:val="clear" w:color="auto" w:fill="F0F0F0"/>
                </w:tcPr>
                <w:p>
                  <w:pPr>
                    <w:pStyle w:val="Para 02"/>
                    <w:keepLines w:val="on"/>
                  </w:pPr>
                  <w:r>
                    <w:t>EBITDA/Doanh thu</w:t>
                  </w:r>
                </w:p>
              </w:tc>
            </w:tr>
            <w:tr>
              <w:tc>
                <w:tcPr>
                  <w:tcW w:type="auto" w:w="0"/>
                  <w:shd w:val="clear" w:color="auto" w:fill="F0F0F0"/>
                </w:tcPr>
                <w:p>
                  <w:pPr>
                    <w:pStyle w:val="Para 02"/>
                    <w:keepLines w:val="on"/>
                  </w:pPr>
                  <w:r>
                    <w:t>ROIC</w:t>
                  </w:r>
                </w:p>
              </w:tc>
              <w:tc>
                <w:tcPr>
                  <w:tcW w:type="auto" w:w="0"/>
                  <w:shd w:val="clear" w:color="auto" w:fill="F0F0F0"/>
                </w:tcPr>
                <w:p>
                  <w:pPr>
                    <w:pStyle w:val="Para 02"/>
                    <w:keepLines w:val="on"/>
                  </w:pPr>
                  <w:r>
                    <w:t>ROIC = EBIT/(Giá trị sổ sách của nợ + Giá trị sổ sách của vốn chủ sở hữu − Tiền mặt)</w:t>
                  </w:r>
                </w:p>
              </w:tc>
            </w:tr>
            <w:tr>
              <w:tc>
                <w:tcPr>
                  <w:tcW w:type="auto" w:w="0"/>
                  <w:shd w:val="clear" w:color="auto" w:fill="F0F0F0"/>
                </w:tcPr>
                <w:p>
                  <w:pPr>
                    <w:pStyle w:val="Para 02"/>
                    <w:keepLines w:val="on"/>
                  </w:pPr>
                  <w:r>
                    <w:t>EBIT/Chi phí lãi vay</w:t>
                  </w:r>
                </w:p>
              </w:tc>
              <w:tc>
                <w:tcPr>
                  <w:tcW w:type="auto" w:w="0"/>
                  <w:shd w:val="clear" w:color="auto" w:fill="F0F0F0"/>
                </w:tcPr>
                <w:p>
                  <w:pPr>
                    <w:pStyle w:val="Para 02"/>
                    <w:keepLines w:val="on"/>
                  </w:pPr>
                  <w:r>
                    <w:t>Hệ số khả năng thanh toán lãi vay</w:t>
                  </w:r>
                </w:p>
              </w:tc>
            </w:tr>
            <w:tr>
              <w:tc>
                <w:tcPr>
                  <w:tcW w:type="auto" w:w="0"/>
                  <w:shd w:val="clear" w:color="auto" w:fill="F0F0F0"/>
                </w:tcPr>
                <w:p>
                  <w:pPr>
                    <w:pStyle w:val="Para 02"/>
                    <w:keepLines w:val="on"/>
                  </w:pPr>
                  <w:r>
                    <w:t>EBITDA/Lãi vay</w:t>
                  </w:r>
                </w:p>
              </w:tc>
              <w:tc>
                <w:tcPr>
                  <w:tcW w:type="auto" w:w="0"/>
                  <w:shd w:val="clear" w:color="auto" w:fill="F0F0F0"/>
                </w:tcPr>
                <w:p>
                  <w:pPr>
                    <w:pStyle w:val="Para 02"/>
                    <w:keepLines w:val="on"/>
                  </w:pPr>
                  <w:r>
                    <w:t>EBITDA/Chi phí lãi vay</w:t>
                  </w:r>
                </w:p>
              </w:tc>
            </w:tr>
            <w:tr>
              <w:tc>
                <w:tcPr>
                  <w:tcW w:type="auto" w:w="0"/>
                  <w:shd w:val="clear" w:color="auto" w:fill="F0F0F0"/>
                </w:tcPr>
                <w:p>
                  <w:pPr>
                    <w:pStyle w:val="Para 02"/>
                    <w:keepLines w:val="on"/>
                  </w:pPr>
                  <w:r>
                    <w:t>FFO/nợ</w:t>
                  </w:r>
                </w:p>
              </w:tc>
              <w:tc>
                <w:tcPr>
                  <w:tcW w:type="auto" w:w="0"/>
                  <w:shd w:val="clear" w:color="auto" w:fill="F0F0F0"/>
                </w:tcPr>
                <w:p>
                  <w:pPr>
                    <w:pStyle w:val="Para 02"/>
                    <w:keepLines w:val="on"/>
                  </w:pPr>
                  <w:r>
                    <w:t>(Lợi nhuận ròng + Khấu hao)/Nợ</w:t>
                  </w:r>
                </w:p>
              </w:tc>
            </w:tr>
            <w:tr>
              <w:tc>
                <w:tcPr>
                  <w:tcW w:type="auto" w:w="0"/>
                  <w:shd w:val="clear" w:color="auto" w:fill="F0F0F0"/>
                </w:tcPr>
                <w:p>
                  <w:pPr>
                    <w:pStyle w:val="Para 02"/>
                    <w:keepLines w:val="on"/>
                  </w:pPr>
                  <w:r>
                    <w:t>Dòng tiền hoạt động tự do/Nợ</w:t>
                  </w:r>
                </w:p>
              </w:tc>
              <w:tc>
                <w:tcPr>
                  <w:tcW w:type="auto" w:w="0"/>
                  <w:shd w:val="clear" w:color="auto" w:fill="F0F0F0"/>
                </w:tcPr>
                <w:p>
                  <w:pPr>
                    <w:pStyle w:val="Para 02"/>
                    <w:keepLines w:val="on"/>
                  </w:pPr>
                  <w:r>
                    <w:t>Nguồn vốn từ hoạt động kinh doanh/Nợ</w:t>
                  </w:r>
                </w:p>
              </w:tc>
            </w:tr>
            <w:tr>
              <w:tc>
                <w:tcPr>
                  <w:tcW w:type="auto" w:w="0"/>
                  <w:shd w:val="clear" w:color="auto" w:fill="F0F0F0"/>
                </w:tcPr>
                <w:p>
                  <w:pPr>
                    <w:pStyle w:val="Para 02"/>
                    <w:keepLines w:val="on"/>
                  </w:pPr>
                  <w:r>
                    <w:t>Dòng tiền chiết khấu/Nợ</w:t>
                  </w:r>
                </w:p>
              </w:tc>
              <w:tc>
                <w:tcPr>
                  <w:tcW w:type="auto" w:w="0"/>
                  <w:shd w:val="clear" w:color="auto" w:fill="F0F0F0"/>
                </w:tcPr>
                <w:p>
                  <w:pPr>
                    <w:pStyle w:val="Para 02"/>
                    <w:keepLines w:val="on"/>
                  </w:pPr>
                  <w:r>
                    <w:t>Dòng tiền chiết khấu/Nợ</w:t>
                  </w:r>
                </w:p>
              </w:tc>
            </w:tr>
            <w:tr>
              <w:tc>
                <w:tcPr>
                  <w:tcW w:type="auto" w:w="0"/>
                  <w:shd w:val="clear" w:color="auto" w:fill="F0F0F0"/>
                </w:tcPr>
                <w:p>
                  <w:pPr>
                    <w:pStyle w:val="Para 02"/>
                    <w:keepLines w:val="on"/>
                  </w:pPr>
                  <w:r>
                    <w:t>Nợ/EBITDA</w:t>
                  </w:r>
                </w:p>
              </w:tc>
              <w:tc>
                <w:tcPr>
                  <w:tcW w:type="auto" w:w="0"/>
                  <w:shd w:val="clear" w:color="auto" w:fill="F0F0F0"/>
                </w:tcPr>
                <w:p>
                  <w:pPr>
                    <w:pStyle w:val="Para 02"/>
                    <w:keepLines w:val="on"/>
                  </w:pPr>
                  <w:r>
                    <w:t>Giá trị sổ sách của nợ/EBITDA</w:t>
                  </w:r>
                </w:p>
              </w:tc>
            </w:tr>
            <w:tr>
              <w:tc>
                <w:tcPr>
                  <w:tcW w:type="auto" w:w="0"/>
                  <w:shd w:val="clear" w:color="auto" w:fill="F0F0F0"/>
                </w:tcPr>
                <w:p>
                  <w:pPr>
                    <w:pStyle w:val="Para 02"/>
                    <w:keepLines w:val="on"/>
                  </w:pPr>
                  <w:r>
                    <w:t>D/(D + E)</w:t>
                  </w:r>
                </w:p>
              </w:tc>
              <w:tc>
                <w:tcPr>
                  <w:tcW w:type="auto" w:w="0"/>
                  <w:shd w:val="clear" w:color="auto" w:fill="F0F0F0"/>
                </w:tcPr>
                <w:p>
                  <w:pPr>
                    <w:pStyle w:val="Para 02"/>
                    <w:keepLines w:val="on"/>
                  </w:pPr>
                  <w:r>
                    <w:t>Giá trị sổ sách của nợ/(Giá trị sổ sách của nợ + Giá trị sổ sách của vốn chủ sở hữu)</w:t>
                  </w:r>
                </w:p>
              </w:tc>
            </w:tr>
          </w:tbl>
          <w:p/>
        </w:tc>
      </w:tr>
    </w:tbl>
    <w:p>
      <w:pPr>
        <w:pStyle w:val="Para 03"/>
      </w:pPr>
      <w:r>
        <w:t>Có một mối quan hệ chặt chẽ giữa xếp hạng trái phiếu mà một công ty nhận được và kết quả của công ty đó trên các chỉ số tài chính này. Bảng 4.3 cung cấp tóm tắt các giá trị trung vị của một số chỉ số này6 từ năm 2022 cho các nhóm xếp hạng S&amp;P khác nhau đối với các công ty sản xuất.</w:t>
      </w:r>
    </w:p>
    <w:p>
      <w:pPr>
        <w:pStyle w:val="Para 20"/>
      </w:pPr>
      <w:r>
        <w:rPr>
          <w:rStyle w:val="Text26"/>
        </w:rPr>
        <w:bookmarkStart w:id="598" w:name="Page_84"/>
        <w:t/>
        <w:bookmarkEnd w:id="598"/>
      </w:r>
      <w:r>
        <w:t xml:space="preserve"> </w:t>
      </w:r>
    </w:p>
    <w:p>
      <w:pPr>
        <w:pStyle w:val="Para 34"/>
        <w:keepLines w:val="on"/>
      </w:pPr>
      <w:r>
        <w:t>Bảng 4.3</w:t>
      </w:r>
    </w:p>
    <w:p>
      <w:pPr>
        <w:keepNext/>
        <w:pStyle w:val="Para 35"/>
        <w:keepLines w:val="on"/>
      </w:pPr>
      <w:r>
        <w:t>Các chỉ số tài chính và xếp hạng S&amp;P năm 2022</w:t>
      </w:r>
    </w:p>
    <w:tbl>
      <w:tblPr>
        <w:tblW w:type="auto" w:w="0"/>
      </w:tblPr>
      <w:tr>
        <w:tc>
          <w:tcPr>
            <w:tcW w:type="auto" w:w="0"/>
          </w:tcPr>
          <w:tbl>
            <w:tblPr>
              <w:tblW w:type="auto" w:w="0"/>
            </w:tblPr>
            <w:tr>
              <w:tc>
                <w:tcPr>
                  <w:tcW w:type="auto" w:w="0"/>
                  <w:shd w:val="clear" w:color="auto" w:fill="F0F0F0"/>
                </w:tcPr>
                <w:p>
                  <w:pPr>
                    <w:pStyle w:val="Para 29"/>
                    <w:keepLines w:val="on"/>
                  </w:pPr>
                  <w:r>
                    <w:t>Xếp hạng S&amp;P</w:t>
                  </w:r>
                </w:p>
              </w:tc>
              <w:tc>
                <w:tcPr>
                  <w:tcW w:type="auto" w:w="0"/>
                  <w:shd w:val="clear" w:color="auto" w:fill="F0F0F0"/>
                </w:tcPr>
                <w:p>
                  <w:pPr>
                    <w:pStyle w:val="Para 17"/>
                    <w:keepLines w:val="on"/>
                  </w:pPr>
                  <w:r>
                    <w:t>Nợ trên Vốn (Giá trị sổ sách)</w:t>
                  </w:r>
                </w:p>
              </w:tc>
              <w:tc>
                <w:tcPr>
                  <w:tcW w:type="auto" w:w="0"/>
                  <w:shd w:val="clear" w:color="auto" w:fill="F0F0F0"/>
                </w:tcPr>
                <w:p>
                  <w:pPr>
                    <w:pStyle w:val="Para 17"/>
                    <w:keepLines w:val="on"/>
                  </w:pPr>
                  <w:r>
                    <w:t>Nợ trên Vốn (Giá trị thị trường)</w:t>
                  </w:r>
                </w:p>
              </w:tc>
              <w:tc>
                <w:tcPr>
                  <w:tcW w:type="auto" w:w="0"/>
                  <w:shd w:val="clear" w:color="auto" w:fill="F0F0F0"/>
                </w:tcPr>
                <w:p>
                  <w:pPr>
                    <w:pStyle w:val="Para 17"/>
                    <w:keepLines w:val="on"/>
                  </w:pPr>
                  <w:r>
                    <w:t>Khả năng thanh toán lãi vay</w:t>
                  </w:r>
                </w:p>
              </w:tc>
              <w:tc>
                <w:tcPr>
                  <w:tcW w:type="auto" w:w="0"/>
                  <w:shd w:val="clear" w:color="auto" w:fill="F0F0F0"/>
                </w:tcPr>
                <w:p>
                  <w:pPr>
                    <w:pStyle w:val="Para 17"/>
                    <w:keepLines w:val="on"/>
                  </w:pPr>
                  <w:r>
                    <w:t>Nợ trên EBITDA</w:t>
                  </w:r>
                </w:p>
              </w:tc>
              <w:tc>
                <w:tcPr>
                  <w:tcW w:type="auto" w:w="0"/>
                  <w:shd w:val="clear" w:color="auto" w:fill="F0F0F0"/>
                </w:tcPr>
                <w:p>
                  <w:pPr>
                    <w:pStyle w:val="Para 17"/>
                    <w:keepLines w:val="on"/>
                  </w:pPr>
                  <w:r>
                    <w:t>EBITDA/Chi phí cố định</w:t>
                  </w:r>
                </w:p>
              </w:tc>
            </w:tr>
            <w:tr>
              <w:tc>
                <w:tcPr>
                  <w:tcW w:type="auto" w:w="0"/>
                  <w:shd w:val="clear" w:color="auto" w:fill="F0F0F0"/>
                </w:tcPr>
                <w:p>
                  <w:pPr>
                    <w:pStyle w:val="Para 02"/>
                    <w:keepLines w:val="on"/>
                  </w:pPr>
                  <w:r>
                    <w:t>AAA</w:t>
                  </w:r>
                </w:p>
              </w:tc>
              <w:tc>
                <w:tcPr>
                  <w:tcW w:type="auto" w:w="0"/>
                  <w:shd w:val="clear" w:color="auto" w:fill="F0F0F0"/>
                </w:tcPr>
                <w:p>
                  <w:pPr>
                    <w:pStyle w:val="Normal"/>
                    <w:keepLines w:val="on"/>
                  </w:pPr>
                  <w:r>
                    <w:t>35,02%</w:t>
                  </w:r>
                </w:p>
              </w:tc>
              <w:tc>
                <w:tcPr>
                  <w:tcW w:type="auto" w:w="0"/>
                  <w:shd w:val="clear" w:color="auto" w:fill="F0F0F0"/>
                </w:tcPr>
                <w:p>
                  <w:pPr>
                    <w:pStyle w:val="Normal"/>
                    <w:keepLines w:val="on"/>
                  </w:pPr>
                  <w:r>
                    <w:t>4,04%</w:t>
                  </w:r>
                </w:p>
              </w:tc>
              <w:tc>
                <w:tcPr>
                  <w:tcW w:type="auto" w:w="0"/>
                  <w:shd w:val="clear" w:color="auto" w:fill="F0F0F0"/>
                </w:tcPr>
                <w:p>
                  <w:pPr>
                    <w:pStyle w:val="Normal"/>
                    <w:keepLines w:val="on"/>
                  </w:pPr>
                  <w:r>
                    <w:t>42,90</w:t>
                  </w:r>
                </w:p>
              </w:tc>
              <w:tc>
                <w:tcPr>
                  <w:tcW w:type="auto" w:w="0"/>
                  <w:shd w:val="clear" w:color="auto" w:fill="F0F0F0"/>
                </w:tcPr>
                <w:p>
                  <w:pPr>
                    <w:pStyle w:val="Normal"/>
                    <w:keepLines w:val="on"/>
                  </w:pPr>
                  <w:r>
                    <w:t>0,91</w:t>
                  </w:r>
                </w:p>
              </w:tc>
              <w:tc>
                <w:tcPr>
                  <w:tcW w:type="auto" w:w="0"/>
                  <w:shd w:val="clear" w:color="auto" w:fill="F0F0F0"/>
                </w:tcPr>
                <w:p>
                  <w:pPr>
                    <w:pStyle w:val="Normal"/>
                    <w:keepLines w:val="on"/>
                  </w:pPr>
                  <w:r>
                    <w:t>4,88</w:t>
                  </w:r>
                </w:p>
              </w:tc>
            </w:tr>
            <w:tr>
              <w:tc>
                <w:tcPr>
                  <w:tcW w:type="auto" w:w="0"/>
                  <w:shd w:val="clear" w:color="auto" w:fill="F0F0F0"/>
                </w:tcPr>
                <w:p>
                  <w:pPr>
                    <w:pStyle w:val="Para 02"/>
                    <w:keepLines w:val="on"/>
                  </w:pPr>
                  <w:r>
                    <w:t>AA+</w:t>
                  </w:r>
                </w:p>
              </w:tc>
              <w:tc>
                <w:tcPr>
                  <w:tcW w:type="auto" w:w="0"/>
                  <w:shd w:val="clear" w:color="auto" w:fill="F0F0F0"/>
                </w:tcPr>
                <w:p>
                  <w:pPr>
                    <w:pStyle w:val="Normal"/>
                    <w:keepLines w:val="on"/>
                  </w:pPr>
                  <w:r>
                    <w:t>35,10%</w:t>
                  </w:r>
                </w:p>
              </w:tc>
              <w:tc>
                <w:tcPr>
                  <w:tcW w:type="auto" w:w="0"/>
                  <w:shd w:val="clear" w:color="auto" w:fill="F0F0F0"/>
                </w:tcPr>
                <w:p>
                  <w:pPr>
                    <w:pStyle w:val="Normal"/>
                    <w:keepLines w:val="on"/>
                  </w:pPr>
                  <w:r>
                    <w:t>3,62%</w:t>
                  </w:r>
                </w:p>
              </w:tc>
              <w:tc>
                <w:tcPr>
                  <w:tcW w:type="auto" w:w="0"/>
                  <w:shd w:val="clear" w:color="auto" w:fill="F0F0F0"/>
                </w:tcPr>
                <w:p>
                  <w:pPr>
                    <w:pStyle w:val="Normal"/>
                    <w:keepLines w:val="on"/>
                  </w:pPr>
                  <w:r>
                    <w:t>42,47</w:t>
                  </w:r>
                </w:p>
              </w:tc>
              <w:tc>
                <w:tcPr>
                  <w:tcW w:type="auto" w:w="0"/>
                  <w:shd w:val="clear" w:color="auto" w:fill="F0F0F0"/>
                </w:tcPr>
                <w:p>
                  <w:pPr>
                    <w:pStyle w:val="Normal"/>
                    <w:keepLines w:val="on"/>
                  </w:pPr>
                  <w:r>
                    <w:t>0,79</w:t>
                  </w:r>
                </w:p>
              </w:tc>
              <w:tc>
                <w:tcPr>
                  <w:tcW w:type="auto" w:w="0"/>
                  <w:shd w:val="clear" w:color="auto" w:fill="F0F0F0"/>
                </w:tcPr>
                <w:p>
                  <w:pPr>
                    <w:pStyle w:val="Normal"/>
                    <w:keepLines w:val="on"/>
                  </w:pPr>
                  <w:r>
                    <w:t>4,58</w:t>
                  </w:r>
                </w:p>
              </w:tc>
            </w:tr>
            <w:tr>
              <w:tc>
                <w:tcPr>
                  <w:tcW w:type="auto" w:w="0"/>
                  <w:shd w:val="clear" w:color="auto" w:fill="F0F0F0"/>
                </w:tcPr>
                <w:p>
                  <w:pPr>
                    <w:pStyle w:val="Para 02"/>
                    <w:keepLines w:val="on"/>
                  </w:pPr>
                  <w:r>
                    <w:t>AA</w:t>
                  </w:r>
                </w:p>
              </w:tc>
              <w:tc>
                <w:tcPr>
                  <w:tcW w:type="auto" w:w="0"/>
                  <w:shd w:val="clear" w:color="auto" w:fill="F0F0F0"/>
                </w:tcPr>
                <w:p>
                  <w:pPr>
                    <w:pStyle w:val="Normal"/>
                    <w:keepLines w:val="on"/>
                  </w:pPr>
                  <w:r>
                    <w:t>40,76%</w:t>
                  </w:r>
                </w:p>
              </w:tc>
              <w:tc>
                <w:tcPr>
                  <w:tcW w:type="auto" w:w="0"/>
                  <w:shd w:val="clear" w:color="auto" w:fill="F0F0F0"/>
                </w:tcPr>
                <w:p>
                  <w:pPr>
                    <w:pStyle w:val="Normal"/>
                    <w:keepLines w:val="on"/>
                  </w:pPr>
                  <w:r>
                    <w:t>14,78%</w:t>
                  </w:r>
                </w:p>
              </w:tc>
              <w:tc>
                <w:tcPr>
                  <w:tcW w:type="auto" w:w="0"/>
                  <w:shd w:val="clear" w:color="auto" w:fill="F0F0F0"/>
                </w:tcPr>
                <w:p>
                  <w:pPr>
                    <w:pStyle w:val="Normal"/>
                    <w:keepLines w:val="on"/>
                  </w:pPr>
                  <w:r>
                    <w:t>10,44</w:t>
                  </w:r>
                </w:p>
              </w:tc>
              <w:tc>
                <w:tcPr>
                  <w:tcW w:type="auto" w:w="0"/>
                  <w:shd w:val="clear" w:color="auto" w:fill="F0F0F0"/>
                </w:tcPr>
                <w:p>
                  <w:pPr>
                    <w:pStyle w:val="Normal"/>
                    <w:keepLines w:val="on"/>
                  </w:pPr>
                  <w:r>
                    <w:t>2,07</w:t>
                  </w:r>
                </w:p>
              </w:tc>
              <w:tc>
                <w:tcPr>
                  <w:tcW w:type="auto" w:w="0"/>
                  <w:shd w:val="clear" w:color="auto" w:fill="F0F0F0"/>
                </w:tcPr>
                <w:p>
                  <w:pPr>
                    <w:pStyle w:val="Normal"/>
                    <w:keepLines w:val="on"/>
                  </w:pPr>
                  <w:r>
                    <w:t>1,73</w:t>
                  </w:r>
                </w:p>
              </w:tc>
            </w:tr>
            <w:tr>
              <w:tc>
                <w:tcPr>
                  <w:tcW w:type="auto" w:w="0"/>
                  <w:shd w:val="clear" w:color="auto" w:fill="F0F0F0"/>
                </w:tcPr>
                <w:p>
                  <w:pPr>
                    <w:pStyle w:val="Para 02"/>
                    <w:keepLines w:val="on"/>
                  </w:pPr>
                  <w:r>
                    <w:t>AA−</w:t>
                  </w:r>
                </w:p>
              </w:tc>
              <w:tc>
                <w:tcPr>
                  <w:tcW w:type="auto" w:w="0"/>
                  <w:shd w:val="clear" w:color="auto" w:fill="F0F0F0"/>
                </w:tcPr>
                <w:p>
                  <w:pPr>
                    <w:pStyle w:val="Normal"/>
                    <w:keepLines w:val="on"/>
                  </w:pPr>
                  <w:r>
                    <w:t>57,75%</w:t>
                  </w:r>
                </w:p>
              </w:tc>
              <w:tc>
                <w:tcPr>
                  <w:tcW w:type="auto" w:w="0"/>
                  <w:shd w:val="clear" w:color="auto" w:fill="F0F0F0"/>
                </w:tcPr>
                <w:p>
                  <w:pPr>
                    <w:pStyle w:val="Normal"/>
                    <w:keepLines w:val="on"/>
                  </w:pPr>
                  <w:r>
                    <w:t>26,74%</w:t>
                  </w:r>
                </w:p>
              </w:tc>
              <w:tc>
                <w:tcPr>
                  <w:tcW w:type="auto" w:w="0"/>
                  <w:shd w:val="clear" w:color="auto" w:fill="F0F0F0"/>
                </w:tcPr>
                <w:p>
                  <w:pPr>
                    <w:pStyle w:val="Normal"/>
                    <w:keepLines w:val="on"/>
                  </w:pPr>
                  <w:r>
                    <w:t>32,04</w:t>
                  </w:r>
                </w:p>
              </w:tc>
              <w:tc>
                <w:tcPr>
                  <w:tcW w:type="auto" w:w="0"/>
                  <w:shd w:val="clear" w:color="auto" w:fill="F0F0F0"/>
                </w:tcPr>
                <w:p>
                  <w:pPr>
                    <w:pStyle w:val="Normal"/>
                    <w:keepLines w:val="on"/>
                  </w:pPr>
                  <w:r>
                    <w:t>4,75</w:t>
                  </w:r>
                </w:p>
              </w:tc>
              <w:tc>
                <w:tcPr>
                  <w:tcW w:type="auto" w:w="0"/>
                  <w:shd w:val="clear" w:color="auto" w:fill="F0F0F0"/>
                </w:tcPr>
                <w:p>
                  <w:pPr>
                    <w:pStyle w:val="Normal"/>
                    <w:keepLines w:val="on"/>
                  </w:pPr>
                  <w:r>
                    <w:t>1,05</w:t>
                  </w:r>
                </w:p>
              </w:tc>
            </w:tr>
            <w:tr>
              <w:tc>
                <w:tcPr>
                  <w:tcW w:type="auto" w:w="0"/>
                  <w:shd w:val="clear" w:color="auto" w:fill="F0F0F0"/>
                </w:tcPr>
                <w:p>
                  <w:pPr>
                    <w:pStyle w:val="Para 02"/>
                    <w:keepLines w:val="on"/>
                  </w:pPr>
                  <w:r>
                    <w:t>A+</w:t>
                  </w:r>
                </w:p>
              </w:tc>
              <w:tc>
                <w:tcPr>
                  <w:tcW w:type="auto" w:w="0"/>
                  <w:shd w:val="clear" w:color="auto" w:fill="F0F0F0"/>
                </w:tcPr>
                <w:p>
                  <w:pPr>
                    <w:pStyle w:val="Normal"/>
                    <w:keepLines w:val="on"/>
                  </w:pPr>
                  <w:r>
                    <w:t>61,78%</w:t>
                  </w:r>
                </w:p>
              </w:tc>
              <w:tc>
                <w:tcPr>
                  <w:tcW w:type="auto" w:w="0"/>
                  <w:shd w:val="clear" w:color="auto" w:fill="F0F0F0"/>
                </w:tcPr>
                <w:p>
                  <w:pPr>
                    <w:pStyle w:val="Normal"/>
                    <w:keepLines w:val="on"/>
                  </w:pPr>
                  <w:r>
                    <w:t>34,83%</w:t>
                  </w:r>
                </w:p>
              </w:tc>
              <w:tc>
                <w:tcPr>
                  <w:tcW w:type="auto" w:w="0"/>
                  <w:shd w:val="clear" w:color="auto" w:fill="F0F0F0"/>
                </w:tcPr>
                <w:p>
                  <w:pPr>
                    <w:pStyle w:val="Normal"/>
                    <w:keepLines w:val="on"/>
                  </w:pPr>
                  <w:r>
                    <w:t>12,74</w:t>
                  </w:r>
                </w:p>
              </w:tc>
              <w:tc>
                <w:tcPr>
                  <w:tcW w:type="auto" w:w="0"/>
                  <w:shd w:val="clear" w:color="auto" w:fill="F0F0F0"/>
                </w:tcPr>
                <w:p>
                  <w:pPr>
                    <w:pStyle w:val="Normal"/>
                    <w:keepLines w:val="on"/>
                  </w:pPr>
                  <w:r>
                    <w:t>6,81</w:t>
                  </w:r>
                </w:p>
              </w:tc>
              <w:tc>
                <w:tcPr>
                  <w:tcW w:type="auto" w:w="0"/>
                  <w:shd w:val="clear" w:color="auto" w:fill="F0F0F0"/>
                </w:tcPr>
                <w:p>
                  <w:pPr>
                    <w:pStyle w:val="Normal"/>
                    <w:keepLines w:val="on"/>
                  </w:pPr>
                  <w:r>
                    <w:t>1,83</w:t>
                  </w:r>
                </w:p>
              </w:tc>
            </w:tr>
            <w:tr>
              <w:tc>
                <w:tcPr>
                  <w:tcW w:type="auto" w:w="0"/>
                  <w:shd w:val="clear" w:color="auto" w:fill="F0F0F0"/>
                </w:tcPr>
                <w:p>
                  <w:pPr>
                    <w:pStyle w:val="Para 02"/>
                    <w:keepLines w:val="on"/>
                  </w:pPr>
                  <w:r>
                    <w:t>A</w:t>
                  </w:r>
                </w:p>
              </w:tc>
              <w:tc>
                <w:tcPr>
                  <w:tcW w:type="auto" w:w="0"/>
                  <w:shd w:val="clear" w:color="auto" w:fill="F0F0F0"/>
                </w:tcPr>
                <w:p>
                  <w:pPr>
                    <w:pStyle w:val="Normal"/>
                    <w:keepLines w:val="on"/>
                  </w:pPr>
                  <w:r>
                    <w:t>58,34%</w:t>
                  </w:r>
                </w:p>
              </w:tc>
              <w:tc>
                <w:tcPr>
                  <w:tcW w:type="auto" w:w="0"/>
                  <w:shd w:val="clear" w:color="auto" w:fill="F0F0F0"/>
                </w:tcPr>
                <w:p>
                  <w:pPr>
                    <w:pStyle w:val="Normal"/>
                    <w:keepLines w:val="on"/>
                  </w:pPr>
                  <w:r>
                    <w:t>46,74%</w:t>
                  </w:r>
                </w:p>
              </w:tc>
              <w:tc>
                <w:tcPr>
                  <w:tcW w:type="auto" w:w="0"/>
                  <w:shd w:val="clear" w:color="auto" w:fill="F0F0F0"/>
                </w:tcPr>
                <w:p>
                  <w:pPr>
                    <w:pStyle w:val="Normal"/>
                    <w:keepLines w:val="on"/>
                  </w:pPr>
                  <w:r>
                    <w:t>10,07</w:t>
                  </w:r>
                </w:p>
              </w:tc>
              <w:tc>
                <w:tcPr>
                  <w:tcW w:type="auto" w:w="0"/>
                  <w:shd w:val="clear" w:color="auto" w:fill="F0F0F0"/>
                </w:tcPr>
                <w:p>
                  <w:pPr>
                    <w:pStyle w:val="Normal"/>
                    <w:keepLines w:val="on"/>
                  </w:pPr>
                  <w:r>
                    <w:t>10,05</w:t>
                  </w:r>
                </w:p>
              </w:tc>
              <w:tc>
                <w:tcPr>
                  <w:tcW w:type="auto" w:w="0"/>
                  <w:shd w:val="clear" w:color="auto" w:fill="F0F0F0"/>
                </w:tcPr>
                <w:p>
                  <w:pPr>
                    <w:pStyle w:val="Normal"/>
                    <w:keepLines w:val="on"/>
                  </w:pPr>
                  <w:r>
                    <w:t>0,49</w:t>
                  </w:r>
                </w:p>
              </w:tc>
            </w:tr>
            <w:tr>
              <w:tc>
                <w:tcPr>
                  <w:tcW w:type="auto" w:w="0"/>
                  <w:shd w:val="clear" w:color="auto" w:fill="F0F0F0"/>
                </w:tcPr>
                <w:p>
                  <w:pPr>
                    <w:pStyle w:val="Para 02"/>
                    <w:keepLines w:val="on"/>
                  </w:pPr>
                  <w:r>
                    <w:t>A−</w:t>
                  </w:r>
                </w:p>
              </w:tc>
              <w:tc>
                <w:tcPr>
                  <w:tcW w:type="auto" w:w="0"/>
                  <w:shd w:val="clear" w:color="auto" w:fill="F0F0F0"/>
                </w:tcPr>
                <w:p>
                  <w:pPr>
                    <w:pStyle w:val="Normal"/>
                    <w:keepLines w:val="on"/>
                  </w:pPr>
                  <w:r>
                    <w:t>68,10%</w:t>
                  </w:r>
                </w:p>
              </w:tc>
              <w:tc>
                <w:tcPr>
                  <w:tcW w:type="auto" w:w="0"/>
                  <w:shd w:val="clear" w:color="auto" w:fill="F0F0F0"/>
                </w:tcPr>
                <w:p>
                  <w:pPr>
                    <w:pStyle w:val="Normal"/>
                    <w:keepLines w:val="on"/>
                  </w:pPr>
                  <w:r>
                    <w:t>48,04%</w:t>
                  </w:r>
                </w:p>
              </w:tc>
              <w:tc>
                <w:tcPr>
                  <w:tcW w:type="auto" w:w="0"/>
                  <w:shd w:val="clear" w:color="auto" w:fill="F0F0F0"/>
                </w:tcPr>
                <w:p>
                  <w:pPr>
                    <w:pStyle w:val="Normal"/>
                    <w:keepLines w:val="on"/>
                  </w:pPr>
                  <w:r>
                    <w:t>6,14</w:t>
                  </w:r>
                </w:p>
              </w:tc>
              <w:tc>
                <w:tcPr>
                  <w:tcW w:type="auto" w:w="0"/>
                  <w:shd w:val="clear" w:color="auto" w:fill="F0F0F0"/>
                </w:tcPr>
                <w:p>
                  <w:pPr>
                    <w:pStyle w:val="Normal"/>
                    <w:keepLines w:val="on"/>
                  </w:pPr>
                  <w:r>
                    <w:t>10,43</w:t>
                  </w:r>
                </w:p>
              </w:tc>
              <w:tc>
                <w:tcPr>
                  <w:tcW w:type="auto" w:w="0"/>
                  <w:shd w:val="clear" w:color="auto" w:fill="F0F0F0"/>
                </w:tcPr>
                <w:p>
                  <w:pPr>
                    <w:pStyle w:val="Normal"/>
                    <w:keepLines w:val="on"/>
                  </w:pPr>
                  <w:r>
                    <w:t>0,61</w:t>
                  </w:r>
                </w:p>
              </w:tc>
            </w:tr>
            <w:tr>
              <w:tc>
                <w:tcPr>
                  <w:tcW w:type="auto" w:w="0"/>
                  <w:shd w:val="clear" w:color="auto" w:fill="F0F0F0"/>
                </w:tcPr>
                <w:p>
                  <w:pPr>
                    <w:pStyle w:val="Para 02"/>
                    <w:keepLines w:val="on"/>
                  </w:pPr>
                  <w:r>
                    <w:t>BBB+</w:t>
                  </w:r>
                </w:p>
              </w:tc>
              <w:tc>
                <w:tcPr>
                  <w:tcW w:type="auto" w:w="0"/>
                  <w:shd w:val="clear" w:color="auto" w:fill="F0F0F0"/>
                </w:tcPr>
                <w:p>
                  <w:pPr>
                    <w:pStyle w:val="Normal"/>
                    <w:keepLines w:val="on"/>
                  </w:pPr>
                  <w:r>
                    <w:t>63,95%</w:t>
                  </w:r>
                </w:p>
              </w:tc>
              <w:tc>
                <w:tcPr>
                  <w:tcW w:type="auto" w:w="0"/>
                  <w:shd w:val="clear" w:color="auto" w:fill="F0F0F0"/>
                </w:tcPr>
                <w:p>
                  <w:pPr>
                    <w:pStyle w:val="Normal"/>
                    <w:keepLines w:val="on"/>
                  </w:pPr>
                  <w:r>
                    <w:t>48,00%</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8,05</w:t>
                  </w:r>
                </w:p>
              </w:tc>
              <w:tc>
                <w:tcPr>
                  <w:tcW w:type="auto" w:w="0"/>
                  <w:shd w:val="clear" w:color="auto" w:fill="F0F0F0"/>
                </w:tcPr>
                <w:p>
                  <w:pPr>
                    <w:pStyle w:val="Normal"/>
                    <w:keepLines w:val="on"/>
                  </w:pPr>
                  <w:r>
                    <w:t>0,52</w:t>
                  </w:r>
                </w:p>
              </w:tc>
            </w:tr>
            <w:tr>
              <w:tc>
                <w:tcPr>
                  <w:tcW w:type="auto" w:w="0"/>
                  <w:shd w:val="clear" w:color="auto" w:fill="F0F0F0"/>
                </w:tcPr>
                <w:p>
                  <w:pPr>
                    <w:pStyle w:val="Para 02"/>
                    <w:keepLines w:val="on"/>
                  </w:pPr>
                  <w:r>
                    <w:t>BBB</w:t>
                  </w:r>
                </w:p>
              </w:tc>
              <w:tc>
                <w:tcPr>
                  <w:tcW w:type="auto" w:w="0"/>
                  <w:shd w:val="clear" w:color="auto" w:fill="F0F0F0"/>
                </w:tcPr>
                <w:p>
                  <w:pPr>
                    <w:pStyle w:val="Normal"/>
                    <w:keepLines w:val="on"/>
                  </w:pPr>
                  <w:r>
                    <w:t>59,74%</w:t>
                  </w:r>
                </w:p>
              </w:tc>
              <w:tc>
                <w:tcPr>
                  <w:tcW w:type="auto" w:w="0"/>
                  <w:shd w:val="clear" w:color="auto" w:fill="F0F0F0"/>
                </w:tcPr>
                <w:p>
                  <w:pPr>
                    <w:pStyle w:val="Normal"/>
                    <w:keepLines w:val="on"/>
                  </w:pPr>
                  <w:r>
                    <w:t>36,07%</w:t>
                  </w:r>
                </w:p>
              </w:tc>
              <w:tc>
                <w:tcPr>
                  <w:tcW w:type="auto" w:w="0"/>
                  <w:shd w:val="clear" w:color="auto" w:fill="F0F0F0"/>
                </w:tcPr>
                <w:p>
                  <w:pPr>
                    <w:pStyle w:val="Normal"/>
                    <w:keepLines w:val="on"/>
                  </w:pPr>
                  <w:r>
                    <w:t>6,03</w:t>
                  </w:r>
                </w:p>
              </w:tc>
              <w:tc>
                <w:tcPr>
                  <w:tcW w:type="auto" w:w="0"/>
                  <w:shd w:val="clear" w:color="auto" w:fill="F0F0F0"/>
                </w:tcPr>
                <w:p>
                  <w:pPr>
                    <w:pStyle w:val="Normal"/>
                    <w:keepLines w:val="on"/>
                  </w:pPr>
                  <w:r>
                    <w:t>4,77</w:t>
                  </w:r>
                </w:p>
              </w:tc>
              <w:tc>
                <w:tcPr>
                  <w:tcW w:type="auto" w:w="0"/>
                  <w:shd w:val="clear" w:color="auto" w:fill="F0F0F0"/>
                </w:tcPr>
                <w:p>
                  <w:pPr>
                    <w:pStyle w:val="Normal"/>
                    <w:keepLines w:val="on"/>
                  </w:pPr>
                  <w:r>
                    <w:t>0,83</w:t>
                  </w:r>
                </w:p>
              </w:tc>
            </w:tr>
            <w:tr>
              <w:tc>
                <w:tcPr>
                  <w:tcW w:type="auto" w:w="0"/>
                  <w:shd w:val="clear" w:color="auto" w:fill="F0F0F0"/>
                </w:tcPr>
                <w:p>
                  <w:pPr>
                    <w:pStyle w:val="Para 02"/>
                    <w:keepLines w:val="on"/>
                  </w:pPr>
                  <w:r>
                    <w:t>BBB−</w:t>
                  </w:r>
                </w:p>
              </w:tc>
              <w:tc>
                <w:tcPr>
                  <w:tcW w:type="auto" w:w="0"/>
                  <w:shd w:val="clear" w:color="auto" w:fill="F0F0F0"/>
                </w:tcPr>
                <w:p>
                  <w:pPr>
                    <w:pStyle w:val="Normal"/>
                    <w:keepLines w:val="on"/>
                  </w:pPr>
                  <w:r>
                    <w:t>59,74%</w:t>
                  </w:r>
                </w:p>
              </w:tc>
              <w:tc>
                <w:tcPr>
                  <w:tcW w:type="auto" w:w="0"/>
                  <w:shd w:val="clear" w:color="auto" w:fill="F0F0F0"/>
                </w:tcPr>
                <w:p>
                  <w:pPr>
                    <w:pStyle w:val="Normal"/>
                    <w:keepLines w:val="on"/>
                  </w:pPr>
                  <w:r>
                    <w:t>42,28%</w:t>
                  </w:r>
                </w:p>
              </w:tc>
              <w:tc>
                <w:tcPr>
                  <w:tcW w:type="auto" w:w="0"/>
                  <w:shd w:val="clear" w:color="auto" w:fill="F0F0F0"/>
                </w:tcPr>
                <w:p>
                  <w:pPr>
                    <w:pStyle w:val="Normal"/>
                    <w:keepLines w:val="on"/>
                  </w:pPr>
                  <w:r>
                    <w:t>4,59</w:t>
                  </w:r>
                </w:p>
              </w:tc>
              <w:tc>
                <w:tcPr>
                  <w:tcW w:type="auto" w:w="0"/>
                  <w:shd w:val="clear" w:color="auto" w:fill="F0F0F0"/>
                </w:tcPr>
                <w:p>
                  <w:pPr>
                    <w:pStyle w:val="Normal"/>
                    <w:keepLines w:val="on"/>
                  </w:pPr>
                  <w:r>
                    <w:t>5,86</w:t>
                  </w:r>
                </w:p>
              </w:tc>
              <w:tc>
                <w:tcPr>
                  <w:tcW w:type="auto" w:w="0"/>
                  <w:shd w:val="clear" w:color="auto" w:fill="F0F0F0"/>
                </w:tcPr>
                <w:p>
                  <w:pPr>
                    <w:pStyle w:val="Normal"/>
                    <w:keepLines w:val="on"/>
                  </w:pPr>
                  <w:r>
                    <w:t>0,48</w:t>
                  </w:r>
                </w:p>
              </w:tc>
            </w:tr>
            <w:tr>
              <w:tc>
                <w:tcPr>
                  <w:tcW w:type="auto" w:w="0"/>
                  <w:shd w:val="clear" w:color="auto" w:fill="F0F0F0"/>
                </w:tcPr>
                <w:p>
                  <w:pPr>
                    <w:pStyle w:val="Para 02"/>
                    <w:keepLines w:val="on"/>
                  </w:pPr>
                  <w:r>
                    <w:t>BB+</w:t>
                  </w:r>
                </w:p>
              </w:tc>
              <w:tc>
                <w:tcPr>
                  <w:tcW w:type="auto" w:w="0"/>
                  <w:shd w:val="clear" w:color="auto" w:fill="F0F0F0"/>
                </w:tcPr>
                <w:p>
                  <w:pPr>
                    <w:pStyle w:val="Normal"/>
                    <w:keepLines w:val="on"/>
                  </w:pPr>
                  <w:r>
                    <w:t>59,89%</w:t>
                  </w:r>
                </w:p>
              </w:tc>
              <w:tc>
                <w:tcPr>
                  <w:tcW w:type="auto" w:w="0"/>
                  <w:shd w:val="clear" w:color="auto" w:fill="F0F0F0"/>
                </w:tcPr>
                <w:p>
                  <w:pPr>
                    <w:pStyle w:val="Normal"/>
                    <w:keepLines w:val="on"/>
                  </w:pPr>
                  <w:r>
                    <w:t>35,10%</w:t>
                  </w:r>
                </w:p>
              </w:tc>
              <w:tc>
                <w:tcPr>
                  <w:tcW w:type="auto" w:w="0"/>
                  <w:shd w:val="clear" w:color="auto" w:fill="F0F0F0"/>
                </w:tcPr>
                <w:p>
                  <w:pPr>
                    <w:pStyle w:val="Normal"/>
                    <w:keepLines w:val="on"/>
                  </w:pPr>
                  <w:r>
                    <w:t>4,54</w:t>
                  </w:r>
                </w:p>
              </w:tc>
              <w:tc>
                <w:tcPr>
                  <w:tcW w:type="auto" w:w="0"/>
                  <w:shd w:val="clear" w:color="auto" w:fill="F0F0F0"/>
                </w:tcPr>
                <w:p>
                  <w:pPr>
                    <w:pStyle w:val="Normal"/>
                    <w:keepLines w:val="on"/>
                  </w:pPr>
                  <w:r>
                    <w:t>3,61</w:t>
                  </w:r>
                </w:p>
              </w:tc>
              <w:tc>
                <w:tcPr>
                  <w:tcW w:type="auto" w:w="0"/>
                  <w:shd w:val="clear" w:color="auto" w:fill="F0F0F0"/>
                </w:tcPr>
                <w:p>
                  <w:pPr>
                    <w:pStyle w:val="Normal"/>
                    <w:keepLines w:val="on"/>
                  </w:pPr>
                  <w:r>
                    <w:t>0,74</w:t>
                  </w:r>
                </w:p>
              </w:tc>
            </w:tr>
            <w:tr>
              <w:tc>
                <w:tcPr>
                  <w:tcW w:type="auto" w:w="0"/>
                  <w:shd w:val="clear" w:color="auto" w:fill="F0F0F0"/>
                </w:tcPr>
                <w:p>
                  <w:pPr>
                    <w:pStyle w:val="Para 02"/>
                    <w:keepLines w:val="on"/>
                  </w:pPr>
                  <w:r>
                    <w:t>BB</w:t>
                  </w:r>
                </w:p>
              </w:tc>
              <w:tc>
                <w:tcPr>
                  <w:tcW w:type="auto" w:w="0"/>
                  <w:shd w:val="clear" w:color="auto" w:fill="F0F0F0"/>
                </w:tcPr>
                <w:p>
                  <w:pPr>
                    <w:pStyle w:val="Normal"/>
                    <w:keepLines w:val="on"/>
                  </w:pPr>
                  <w:r>
                    <w:t>66,84%</w:t>
                  </w:r>
                </w:p>
              </w:tc>
              <w:tc>
                <w:tcPr>
                  <w:tcW w:type="auto" w:w="0"/>
                  <w:shd w:val="clear" w:color="auto" w:fill="F0F0F0"/>
                </w:tcPr>
                <w:p>
                  <w:pPr>
                    <w:pStyle w:val="Normal"/>
                    <w:keepLines w:val="on"/>
                  </w:pPr>
                  <w:r>
                    <w:t>48,29%</w:t>
                  </w:r>
                </w:p>
              </w:tc>
              <w:tc>
                <w:tcPr>
                  <w:tcW w:type="auto" w:w="0"/>
                  <w:shd w:val="clear" w:color="auto" w:fill="F0F0F0"/>
                </w:tcPr>
                <w:p>
                  <w:pPr>
                    <w:pStyle w:val="Normal"/>
                    <w:keepLines w:val="on"/>
                  </w:pPr>
                  <w:r>
                    <w:t>2,68</w:t>
                  </w:r>
                </w:p>
              </w:tc>
              <w:tc>
                <w:tcPr>
                  <w:tcW w:type="auto" w:w="0"/>
                  <w:shd w:val="clear" w:color="auto" w:fill="F0F0F0"/>
                </w:tcPr>
                <w:p>
                  <w:pPr>
                    <w:pStyle w:val="Normal"/>
                    <w:keepLines w:val="on"/>
                  </w:pPr>
                  <w:r>
                    <w:t>6,83</w:t>
                  </w:r>
                </w:p>
              </w:tc>
              <w:tc>
                <w:tcPr>
                  <w:tcW w:type="auto" w:w="0"/>
                  <w:shd w:val="clear" w:color="auto" w:fill="F0F0F0"/>
                </w:tcPr>
                <w:p>
                  <w:pPr>
                    <w:pStyle w:val="Normal"/>
                    <w:keepLines w:val="on"/>
                  </w:pPr>
                  <w:r>
                    <w:t>0,53</w:t>
                  </w:r>
                </w:p>
              </w:tc>
            </w:tr>
            <w:tr>
              <w:tc>
                <w:tcPr>
                  <w:tcW w:type="auto" w:w="0"/>
                  <w:shd w:val="clear" w:color="auto" w:fill="F0F0F0"/>
                </w:tcPr>
                <w:p>
                  <w:pPr>
                    <w:pStyle w:val="Para 02"/>
                    <w:keepLines w:val="on"/>
                  </w:pPr>
                  <w:r>
                    <w:t>BB−</w:t>
                  </w:r>
                </w:p>
              </w:tc>
              <w:tc>
                <w:tcPr>
                  <w:tcW w:type="auto" w:w="0"/>
                  <w:shd w:val="clear" w:color="auto" w:fill="F0F0F0"/>
                </w:tcPr>
                <w:p>
                  <w:pPr>
                    <w:pStyle w:val="Normal"/>
                    <w:keepLines w:val="on"/>
                  </w:pPr>
                  <w:r>
                    <w:t>66,97%</w:t>
                  </w:r>
                </w:p>
              </w:tc>
              <w:tc>
                <w:tcPr>
                  <w:tcW w:type="auto" w:w="0"/>
                  <w:shd w:val="clear" w:color="auto" w:fill="F0F0F0"/>
                </w:tcPr>
                <w:p>
                  <w:pPr>
                    <w:pStyle w:val="Normal"/>
                    <w:keepLines w:val="on"/>
                  </w:pPr>
                  <w:r>
                    <w:t>43,04%</w:t>
                  </w:r>
                </w:p>
              </w:tc>
              <w:tc>
                <w:tcPr>
                  <w:tcW w:type="auto" w:w="0"/>
                  <w:shd w:val="clear" w:color="auto" w:fill="F0F0F0"/>
                </w:tcPr>
                <w:p>
                  <w:pPr>
                    <w:pStyle w:val="Normal"/>
                    <w:keepLines w:val="on"/>
                  </w:pPr>
                  <w:r>
                    <w:t>2,56</w:t>
                  </w:r>
                </w:p>
              </w:tc>
              <w:tc>
                <w:tcPr>
                  <w:tcW w:type="auto" w:w="0"/>
                  <w:shd w:val="clear" w:color="auto" w:fill="F0F0F0"/>
                </w:tcPr>
                <w:p>
                  <w:pPr>
                    <w:pStyle w:val="Normal"/>
                    <w:keepLines w:val="on"/>
                  </w:pPr>
                  <w:r>
                    <w:t>5,26</w:t>
                  </w:r>
                </w:p>
              </w:tc>
              <w:tc>
                <w:tcPr>
                  <w:tcW w:type="auto" w:w="0"/>
                  <w:shd w:val="clear" w:color="auto" w:fill="F0F0F0"/>
                </w:tcPr>
                <w:p>
                  <w:pPr>
                    <w:pStyle w:val="Normal"/>
                    <w:keepLines w:val="on"/>
                  </w:pPr>
                  <w:r>
                    <w:t>0,52</w:t>
                  </w:r>
                </w:p>
              </w:tc>
            </w:tr>
            <w:tr>
              <w:tc>
                <w:tcPr>
                  <w:tcW w:type="auto" w:w="0"/>
                  <w:shd w:val="clear" w:color="auto" w:fill="F0F0F0"/>
                </w:tcPr>
                <w:p>
                  <w:pPr>
                    <w:pStyle w:val="Para 02"/>
                    <w:keepLines w:val="on"/>
                  </w:pPr>
                  <w:r>
                    <w:t>B+</w:t>
                  </w:r>
                </w:p>
              </w:tc>
              <w:tc>
                <w:tcPr>
                  <w:tcW w:type="auto" w:w="0"/>
                  <w:shd w:val="clear" w:color="auto" w:fill="F0F0F0"/>
                </w:tcPr>
                <w:p>
                  <w:pPr>
                    <w:pStyle w:val="Normal"/>
                    <w:keepLines w:val="on"/>
                  </w:pPr>
                  <w:r>
                    <w:t>70,63%</w:t>
                  </w:r>
                </w:p>
              </w:tc>
              <w:tc>
                <w:tcPr>
                  <w:tcW w:type="auto" w:w="0"/>
                  <w:shd w:val="clear" w:color="auto" w:fill="F0F0F0"/>
                </w:tcPr>
                <w:p>
                  <w:pPr>
                    <w:pStyle w:val="Normal"/>
                    <w:keepLines w:val="on"/>
                  </w:pPr>
                  <w:r>
                    <w:t>54,92%</w:t>
                  </w:r>
                </w:p>
              </w:tc>
              <w:tc>
                <w:tcPr>
                  <w:tcW w:type="auto" w:w="0"/>
                  <w:shd w:val="clear" w:color="auto" w:fill="F0F0F0"/>
                </w:tcPr>
                <w:p>
                  <w:pPr>
                    <w:pStyle w:val="Normal"/>
                    <w:keepLines w:val="on"/>
                  </w:pPr>
                  <w:r>
                    <w:t>1,83</w:t>
                  </w:r>
                </w:p>
              </w:tc>
              <w:tc>
                <w:tcPr>
                  <w:tcW w:type="auto" w:w="0"/>
                  <w:shd w:val="clear" w:color="auto" w:fill="F0F0F0"/>
                </w:tcPr>
                <w:p>
                  <w:pPr>
                    <w:pStyle w:val="Normal"/>
                    <w:keepLines w:val="on"/>
                  </w:pPr>
                  <w:r>
                    <w:t>5,57</w:t>
                  </w:r>
                </w:p>
              </w:tc>
              <w:tc>
                <w:tcPr>
                  <w:tcW w:type="auto" w:w="0"/>
                  <w:shd w:val="clear" w:color="auto" w:fill="F0F0F0"/>
                </w:tcPr>
                <w:p>
                  <w:pPr>
                    <w:pStyle w:val="Normal"/>
                    <w:keepLines w:val="on"/>
                  </w:pPr>
                  <w:r>
                    <w:t>0,40</w:t>
                  </w:r>
                </w:p>
              </w:tc>
            </w:tr>
            <w:tr>
              <w:tc>
                <w:tcPr>
                  <w:tcW w:type="auto" w:w="0"/>
                  <w:shd w:val="clear" w:color="auto" w:fill="F0F0F0"/>
                </w:tcPr>
                <w:p>
                  <w:pPr>
                    <w:pStyle w:val="Para 02"/>
                    <w:keepLines w:val="on"/>
                  </w:pPr>
                  <w:r>
                    <w:t>B</w:t>
                  </w:r>
                </w:p>
              </w:tc>
              <w:tc>
                <w:tcPr>
                  <w:tcW w:type="auto" w:w="0"/>
                  <w:shd w:val="clear" w:color="auto" w:fill="F0F0F0"/>
                </w:tcPr>
                <w:p>
                  <w:pPr>
                    <w:pStyle w:val="Normal"/>
                    <w:keepLines w:val="on"/>
                  </w:pPr>
                  <w:r>
                    <w:t>68,12%</w:t>
                  </w:r>
                </w:p>
              </w:tc>
              <w:tc>
                <w:tcPr>
                  <w:tcW w:type="auto" w:w="0"/>
                  <w:shd w:val="clear" w:color="auto" w:fill="F0F0F0"/>
                </w:tcPr>
                <w:p>
                  <w:pPr>
                    <w:pStyle w:val="Normal"/>
                    <w:keepLines w:val="on"/>
                  </w:pPr>
                  <w:r>
                    <w:t>57,92%</w:t>
                  </w:r>
                </w:p>
              </w:tc>
              <w:tc>
                <w:tcPr>
                  <w:tcW w:type="auto" w:w="0"/>
                  <w:shd w:val="clear" w:color="auto" w:fill="F0F0F0"/>
                </w:tcPr>
                <w:p>
                  <w:pPr>
                    <w:pStyle w:val="Normal"/>
                    <w:keepLines w:val="on"/>
                  </w:pPr>
                  <w:r>
                    <w:t>1,68</w:t>
                  </w:r>
                </w:p>
              </w:tc>
              <w:tc>
                <w:tcPr>
                  <w:tcW w:type="auto" w:w="0"/>
                  <w:shd w:val="clear" w:color="auto" w:fill="F0F0F0"/>
                </w:tcPr>
                <w:p>
                  <w:pPr>
                    <w:pStyle w:val="Normal"/>
                    <w:keepLines w:val="on"/>
                  </w:pPr>
                  <w:r>
                    <w:t>6,85</w:t>
                  </w:r>
                </w:p>
              </w:tc>
              <w:tc>
                <w:tcPr>
                  <w:tcW w:type="auto" w:w="0"/>
                  <w:shd w:val="clear" w:color="auto" w:fill="F0F0F0"/>
                </w:tcPr>
                <w:p>
                  <w:pPr>
                    <w:pStyle w:val="Normal"/>
                    <w:keepLines w:val="on"/>
                  </w:pPr>
                  <w:r>
                    <w:t>0,23</w:t>
                  </w:r>
                </w:p>
              </w:tc>
            </w:tr>
            <w:tr>
              <w:tc>
                <w:tcPr>
                  <w:tcW w:type="auto" w:w="0"/>
                  <w:shd w:val="clear" w:color="auto" w:fill="F0F0F0"/>
                </w:tcPr>
                <w:p>
                  <w:pPr>
                    <w:pStyle w:val="Para 02"/>
                    <w:keepLines w:val="on"/>
                  </w:pPr>
                  <w:r>
                    <w:t>B−</w:t>
                  </w:r>
                </w:p>
              </w:tc>
              <w:tc>
                <w:tcPr>
                  <w:tcW w:type="auto" w:w="0"/>
                  <w:shd w:val="clear" w:color="auto" w:fill="F0F0F0"/>
                </w:tcPr>
                <w:p>
                  <w:pPr>
                    <w:pStyle w:val="Normal"/>
                    <w:keepLines w:val="on"/>
                  </w:pPr>
                  <w:r>
                    <w:t>63,82%</w:t>
                  </w:r>
                </w:p>
              </w:tc>
              <w:tc>
                <w:tcPr>
                  <w:tcW w:type="auto" w:w="0"/>
                  <w:shd w:val="clear" w:color="auto" w:fill="F0F0F0"/>
                </w:tcPr>
                <w:p>
                  <w:pPr>
                    <w:pStyle w:val="Normal"/>
                    <w:keepLines w:val="on"/>
                  </w:pPr>
                  <w:r>
                    <w:t>57,73%</w:t>
                  </w:r>
                </w:p>
              </w:tc>
              <w:tc>
                <w:tcPr>
                  <w:tcW w:type="auto" w:w="0"/>
                  <w:shd w:val="clear" w:color="auto" w:fill="F0F0F0"/>
                </w:tcPr>
                <w:p>
                  <w:pPr>
                    <w:pStyle w:val="Normal"/>
                    <w:keepLines w:val="on"/>
                  </w:pPr>
                  <w:r>
                    <w:t>0,47</w:t>
                  </w:r>
                </w:p>
              </w:tc>
              <w:tc>
                <w:tcPr>
                  <w:tcW w:type="auto" w:w="0"/>
                  <w:shd w:val="clear" w:color="auto" w:fill="F0F0F0"/>
                </w:tcPr>
                <w:p>
                  <w:pPr>
                    <w:pStyle w:val="Normal"/>
                    <w:keepLines w:val="on"/>
                  </w:pPr>
                  <w:r>
                    <w:t>10,23</w:t>
                  </w:r>
                </w:p>
              </w:tc>
              <w:tc>
                <w:tcPr>
                  <w:tcW w:type="auto" w:w="0"/>
                  <w:shd w:val="clear" w:color="auto" w:fill="F0F0F0"/>
                </w:tcPr>
                <w:p>
                  <w:pPr>
                    <w:pStyle w:val="Normal"/>
                    <w:keepLines w:val="on"/>
                  </w:pPr>
                  <w:r>
                    <w:t>0,31</w:t>
                  </w:r>
                </w:p>
              </w:tc>
            </w:tr>
            <w:tr>
              <w:tc>
                <w:tcPr>
                  <w:tcW w:type="auto" w:w="0"/>
                  <w:shd w:val="clear" w:color="auto" w:fill="F0F0F0"/>
                </w:tcPr>
                <w:p>
                  <w:pPr>
                    <w:pStyle w:val="Para 02"/>
                    <w:keepLines w:val="on"/>
                  </w:pPr>
                  <w:r>
                    <w:t>CCC+</w:t>
                  </w:r>
                </w:p>
              </w:tc>
              <w:tc>
                <w:tcPr>
                  <w:tcW w:type="auto" w:w="0"/>
                  <w:shd w:val="clear" w:color="auto" w:fill="F0F0F0"/>
                </w:tcPr>
                <w:p>
                  <w:pPr>
                    <w:pStyle w:val="Normal"/>
                    <w:keepLines w:val="on"/>
                  </w:pPr>
                  <w:r>
                    <w:t>70,77%</w:t>
                  </w:r>
                </w:p>
              </w:tc>
              <w:tc>
                <w:tcPr>
                  <w:tcW w:type="auto" w:w="0"/>
                  <w:shd w:val="clear" w:color="auto" w:fill="F0F0F0"/>
                </w:tcPr>
                <w:p>
                  <w:pPr>
                    <w:pStyle w:val="Normal"/>
                    <w:keepLines w:val="on"/>
                  </w:pPr>
                  <w:r>
                    <w:t>76,26%</w:t>
                  </w:r>
                </w:p>
              </w:tc>
              <w:tc>
                <w:tcPr>
                  <w:tcW w:type="auto" w:w="0"/>
                  <w:shd w:val="clear" w:color="auto" w:fill="F0F0F0"/>
                </w:tcPr>
                <w:p>
                  <w:pPr>
                    <w:pStyle w:val="Normal"/>
                    <w:keepLines w:val="on"/>
                  </w:pPr>
                  <w:r>
                    <w:t>0,61</w:t>
                  </w:r>
                </w:p>
              </w:tc>
              <w:tc>
                <w:tcPr>
                  <w:tcW w:type="auto" w:w="0"/>
                  <w:shd w:val="clear" w:color="auto" w:fill="F0F0F0"/>
                </w:tcPr>
                <w:p>
                  <w:pPr>
                    <w:pStyle w:val="Normal"/>
                    <w:keepLines w:val="on"/>
                  </w:pPr>
                  <w:r>
                    <w:t>8,88</w:t>
                  </w:r>
                </w:p>
              </w:tc>
              <w:tc>
                <w:tcPr>
                  <w:tcW w:type="auto" w:w="0"/>
                  <w:shd w:val="clear" w:color="auto" w:fill="F0F0F0"/>
                </w:tcPr>
                <w:p>
                  <w:pPr>
                    <w:pStyle w:val="Normal"/>
                    <w:keepLines w:val="on"/>
                  </w:pPr>
                  <w:r>
                    <w:t>0,34</w:t>
                  </w:r>
                </w:p>
              </w:tc>
            </w:tr>
            <w:tr>
              <w:tc>
                <w:tcPr>
                  <w:tcW w:type="auto" w:w="0"/>
                  <w:shd w:val="clear" w:color="auto" w:fill="F0F0F0"/>
                </w:tcPr>
                <w:p>
                  <w:pPr>
                    <w:pStyle w:val="Para 02"/>
                    <w:keepLines w:val="on"/>
                  </w:pPr>
                  <w:r>
                    <w:t>CCC</w:t>
                  </w:r>
                </w:p>
              </w:tc>
              <w:tc>
                <w:tcPr>
                  <w:tcW w:type="auto" w:w="0"/>
                  <w:shd w:val="clear" w:color="auto" w:fill="F0F0F0"/>
                </w:tcPr>
                <w:p>
                  <w:pPr>
                    <w:pStyle w:val="Normal"/>
                    <w:keepLines w:val="on"/>
                  </w:pPr>
                  <w:r>
                    <w:t>99,02%</w:t>
                  </w:r>
                </w:p>
              </w:tc>
              <w:tc>
                <w:tcPr>
                  <w:tcW w:type="auto" w:w="0"/>
                  <w:shd w:val="clear" w:color="auto" w:fill="F0F0F0"/>
                </w:tcPr>
                <w:p>
                  <w:pPr>
                    <w:pStyle w:val="Normal"/>
                    <w:keepLines w:val="on"/>
                  </w:pPr>
                  <w:r>
                    <w:t>88,71%</w:t>
                  </w:r>
                </w:p>
              </w:tc>
              <w:tc>
                <w:tcPr>
                  <w:tcW w:type="auto" w:w="0"/>
                  <w:shd w:val="clear" w:color="auto" w:fill="F0F0F0"/>
                </w:tcPr>
                <w:p>
                  <w:pPr>
                    <w:pStyle w:val="Normal"/>
                    <w:keepLines w:val="on"/>
                  </w:pPr>
                  <w:r>
                    <w:t>0,85</w:t>
                  </w:r>
                </w:p>
              </w:tc>
              <w:tc>
                <w:tcPr>
                  <w:tcW w:type="auto" w:w="0"/>
                  <w:shd w:val="clear" w:color="auto" w:fill="F0F0F0"/>
                </w:tcPr>
                <w:p>
                  <w:pPr>
                    <w:pStyle w:val="Normal"/>
                    <w:keepLines w:val="on"/>
                  </w:pPr>
                  <w:r>
                    <w:t>8,09</w:t>
                  </w:r>
                </w:p>
              </w:tc>
              <w:tc>
                <w:tcPr>
                  <w:tcW w:type="auto" w:w="0"/>
                  <w:shd w:val="clear" w:color="auto" w:fill="F0F0F0"/>
                </w:tcPr>
                <w:p>
                  <w:pPr>
                    <w:pStyle w:val="Normal"/>
                    <w:keepLines w:val="on"/>
                  </w:pPr>
                  <w:r>
                    <w:t>0,76</w:t>
                  </w:r>
                </w:p>
              </w:tc>
            </w:tr>
            <w:tr>
              <w:tc>
                <w:tcPr>
                  <w:tcW w:type="auto" w:w="0"/>
                  <w:shd w:val="clear" w:color="auto" w:fill="F0F0F0"/>
                </w:tcPr>
                <w:p>
                  <w:pPr>
                    <w:pStyle w:val="Para 02"/>
                    <w:keepLines w:val="on"/>
                  </w:pPr>
                  <w:r>
                    <w:t>CCC−</w:t>
                  </w:r>
                </w:p>
              </w:tc>
              <w:tc>
                <w:tcPr>
                  <w:tcW w:type="auto" w:w="0"/>
                  <w:shd w:val="clear" w:color="auto" w:fill="F0F0F0"/>
                </w:tcPr>
                <w:p>
                  <w:pPr>
                    <w:pStyle w:val="Normal"/>
                    <w:keepLines w:val="on"/>
                  </w:pPr>
                  <w:r>
                    <w:t>46,08%</w:t>
                  </w:r>
                </w:p>
              </w:tc>
              <w:tc>
                <w:tcPr>
                  <w:tcW w:type="auto" w:w="0"/>
                  <w:shd w:val="clear" w:color="auto" w:fill="F0F0F0"/>
                </w:tcPr>
                <w:p>
                  <w:pPr>
                    <w:pStyle w:val="Normal"/>
                    <w:keepLines w:val="on"/>
                  </w:pPr>
                  <w:r>
                    <w:t>49,02%</w:t>
                  </w:r>
                </w:p>
              </w:tc>
              <w:tc>
                <w:tcPr>
                  <w:tcW w:type="auto" w:w="0"/>
                  <w:shd w:val="clear" w:color="auto" w:fill="F0F0F0"/>
                </w:tcPr>
                <w:p>
                  <w:pPr>
                    <w:pStyle w:val="Normal"/>
                    <w:keepLines w:val="on"/>
                  </w:pPr>
                  <w:r>
                    <w:t>0,11</w:t>
                  </w:r>
                </w:p>
              </w:tc>
              <w:tc>
                <w:tcPr>
                  <w:tcW w:type="auto" w:w="0"/>
                  <w:shd w:val="clear" w:color="auto" w:fill="F0F0F0"/>
                </w:tcPr>
                <w:p>
                  <w:pPr>
                    <w:pStyle w:val="Normal"/>
                    <w:keepLines w:val="on"/>
                  </w:pPr>
                  <w:r>
                    <w:t>5,42</w:t>
                  </w:r>
                </w:p>
              </w:tc>
              <w:tc>
                <w:tcPr>
                  <w:tcW w:type="auto" w:w="0"/>
                  <w:shd w:val="clear" w:color="auto" w:fill="F0F0F0"/>
                </w:tcPr>
                <w:p>
                  <w:pPr>
                    <w:pStyle w:val="Normal"/>
                    <w:keepLines w:val="on"/>
                  </w:pPr>
                  <w:r>
                    <w:t>0,76</w:t>
                  </w:r>
                </w:p>
              </w:tc>
            </w:tr>
            <w:tr>
              <w:tc>
                <w:tcPr>
                  <w:tcW w:type="auto" w:w="0"/>
                  <w:shd w:val="clear" w:color="auto" w:fill="F0F0F0"/>
                </w:tcPr>
                <w:p>
                  <w:pPr>
                    <w:pStyle w:val="Para 02"/>
                    <w:keepLines w:val="on"/>
                  </w:pPr>
                  <w:r>
                    <w:t>CC</w:t>
                  </w:r>
                </w:p>
              </w:tc>
              <w:tc>
                <w:tcPr>
                  <w:tcW w:type="auto" w:w="0"/>
                  <w:shd w:val="clear" w:color="auto" w:fill="F0F0F0"/>
                </w:tcPr>
                <w:p>
                  <w:pPr>
                    <w:pStyle w:val="Normal"/>
                    <w:keepLines w:val="on"/>
                  </w:pPr>
                  <w:r>
                    <w:t>52,07%</w:t>
                  </w:r>
                </w:p>
              </w:tc>
              <w:tc>
                <w:tcPr>
                  <w:tcW w:type="auto" w:w="0"/>
                  <w:shd w:val="clear" w:color="auto" w:fill="F0F0F0"/>
                </w:tcPr>
                <w:p>
                  <w:pPr>
                    <w:pStyle w:val="Normal"/>
                    <w:keepLines w:val="on"/>
                  </w:pPr>
                  <w:r>
                    <w:t>80,06%</w:t>
                  </w:r>
                </w:p>
              </w:tc>
              <w:tc>
                <w:tcPr>
                  <w:tcW w:type="auto" w:w="0"/>
                  <w:shd w:val="clear" w:color="auto" w:fill="F0F0F0"/>
                </w:tcPr>
                <w:p>
                  <w:pPr>
                    <w:pStyle w:val="Normal"/>
                    <w:keepLines w:val="on"/>
                  </w:pPr>
                  <w:r>
                    <w:t>−1,98</w:t>
                  </w:r>
                </w:p>
              </w:tc>
              <w:tc>
                <w:tcPr>
                  <w:tcW w:type="auto" w:w="0"/>
                  <w:shd w:val="clear" w:color="auto" w:fill="F0F0F0"/>
                </w:tcPr>
                <w:p>
                  <w:pPr>
                    <w:pStyle w:val="Normal"/>
                    <w:keepLines w:val="on"/>
                  </w:pPr>
                  <w:r>
                    <w:t>−12,09</w:t>
                  </w:r>
                </w:p>
              </w:tc>
              <w:tc>
                <w:tcPr>
                  <w:tcW w:type="auto" w:w="0"/>
                  <w:shd w:val="clear" w:color="auto" w:fill="F0F0F0"/>
                </w:tcPr>
                <w:p>
                  <w:pPr>
                    <w:pStyle w:val="Normal"/>
                    <w:keepLines w:val="on"/>
                  </w:pPr>
                  <w:r>
                    <w:t>−0,47</w:t>
                  </w:r>
                </w:p>
              </w:tc>
            </w:tr>
            <w:tr>
              <w:tc>
                <w:tcPr>
                  <w:tcW w:type="auto" w:w="0"/>
                  <w:shd w:val="clear" w:color="auto" w:fill="F0F0F0"/>
                </w:tcPr>
                <w:p>
                  <w:pPr>
                    <w:pStyle w:val="Para 02"/>
                    <w:keepLines w:val="on"/>
                  </w:pPr>
                  <w:r>
                    <w:t>D</w:t>
                  </w:r>
                </w:p>
              </w:tc>
              <w:tc>
                <w:tcPr>
                  <w:tcW w:type="auto" w:w="0"/>
                  <w:shd w:val="clear" w:color="auto" w:fill="F0F0F0"/>
                </w:tcPr>
                <w:p>
                  <w:pPr>
                    <w:pStyle w:val="Normal"/>
                    <w:keepLines w:val="on"/>
                  </w:pPr>
                  <w:r>
                    <w:t>118,58%</w:t>
                  </w:r>
                </w:p>
              </w:tc>
              <w:tc>
                <w:tcPr>
                  <w:tcW w:type="auto" w:w="0"/>
                  <w:shd w:val="clear" w:color="auto" w:fill="F0F0F0"/>
                </w:tcPr>
                <w:p>
                  <w:pPr>
                    <w:pStyle w:val="Normal"/>
                    <w:keepLines w:val="on"/>
                  </w:pPr>
                  <w:r>
                    <w:t>94,19%</w:t>
                  </w:r>
                </w:p>
              </w:tc>
              <w:tc>
                <w:tcPr>
                  <w:tcW w:type="auto" w:w="0"/>
                  <w:shd w:val="clear" w:color="auto" w:fill="F0F0F0"/>
                </w:tcPr>
                <w:p>
                  <w:pPr>
                    <w:pStyle w:val="Normal"/>
                    <w:keepLines w:val="on"/>
                  </w:pPr>
                  <w:r>
                    <w:t>−0,98</w:t>
                  </w:r>
                </w:p>
              </w:tc>
              <w:tc>
                <w:tcPr>
                  <w:tcW w:type="auto" w:w="0"/>
                  <w:shd w:val="clear" w:color="auto" w:fill="F0F0F0"/>
                </w:tcPr>
                <w:p>
                  <w:pPr>
                    <w:pStyle w:val="Normal"/>
                    <w:keepLines w:val="on"/>
                  </w:pPr>
                  <w:r>
                    <w:t>15,49</w:t>
                  </w:r>
                </w:p>
              </w:tc>
              <w:tc>
                <w:tcPr>
                  <w:tcW w:type="auto" w:w="0"/>
                  <w:shd w:val="clear" w:color="auto" w:fill="F0F0F0"/>
                </w:tcPr>
                <w:p>
                  <w:pPr>
                    <w:pStyle w:val="Normal"/>
                    <w:keepLines w:val="on"/>
                  </w:pPr>
                  <w:r>
                    <w:t>0,66</w:t>
                  </w:r>
                </w:p>
              </w:tc>
            </w:tr>
          </w:tbl>
          <w:p/>
        </w:tc>
      </w:tr>
    </w:tbl>
    <w:p>
      <w:pPr>
        <w:pStyle w:val="Para 03"/>
      </w:pPr>
      <w:r>
        <w:t>Khi xếp hạng tín nhiệm giảm, bạn sẽ thấy tỷ lệ nợ cao hơn và hệ số khả năng thanh toán lãi vay thấp hơn, mặc dù có sự khác biệt lớn giữa các công ty trong cùng một nhóm xếp hạng.</w:t>
      </w:r>
    </w:p>
    <w:p>
      <w:pPr>
        <w:pStyle w:val="Para 03"/>
      </w:pPr>
      <w:r>
        <w:t>Không có gì ngạc nhiên khi những công ty tạo ra thu nhập và dòng tiền cao hơn đáng kể so với các khoản thanh toán nợ, có lợi nhuận và có tỷ lệ nợ thấp thường dễ được xếp hạng cao hơn so với những công ty không có các đặc điểm này. Tuy nhiên, sẽ có những công ty riêng lẻ có xếp hạng không nhất quán với các tỷ số tài chính của họ, bởi vì cơ quan xếp hạng tín nhiệm có thêm các đánh giá chủ quan vào kết quả cuối cùng. Vì vậy, một công ty có kết quả tài chính kém nhưng được kỳ vọng sẽ cải thiện hiệu suất một cách mạnh mẽ trong kỳ tiếp theo có thể nhận được xếp hạng cao hơn mức mà tình hình tài chính hiện tại của họ biện minh. Tuy nhiên, đối với hầu hết các công ty, các tỷ số tài chính sẽ cung cấp một cơ sở hợp lý để ước tính xếp hạng trái phiếu.</w:t>
      </w:r>
    </w:p>
    <w:p>
      <w:bookmarkStart w:id="599" w:name="Bond_Ratings_and_Interest_Rates_2"/>
      <w:pPr>
        <w:pStyle w:val="Para 21"/>
      </w:pPr>
      <w:r>
        <w:t>Xếp hạng trái phiếu và lãi suất</w:t>
      </w:r>
      <w:bookmarkEnd w:id="599"/>
    </w:p>
    <w:p>
      <w:pPr>
        <w:pStyle w:val="Para 03"/>
      </w:pPr>
      <w:r>
        <w:t>Lãi suất của một trái phiếu doanh nghiệp phải là một hàm số của rủi ro vỡ nợ, được đo lường bằng xếp hạng của nó. Nếu xếp hạng là một thước đo tốt cho rủi ro vỡ nợ, thì những trái phiếu được xếp hạng cao hơn nên được định giá để mang lại lãi suất thấp hơn so với những trái phiếu được xếp hạng thấp hơn. Trên thực tế, sự chênh lệch giữa lãi suất của một trái phiếu có rủi ro vỡ nợ và một trái phiếu chính phủ không có rủi ro vỡ nợ chính là mức bù rủi ro vỡ nợ (default spread). Mức bù rủi ro vỡ nợ này sẽ thay đổi tùy theo kỳ hạn của trái phiếu và cũng có thể thay đổi theo từng thời kỳ, tùy thuộc vào điều kiện kinh tế. Chương 7 sẽ xem xét cách ước tính tốt nhất các mức bù rủi ro vỡ nợ này và cách chúng có thể thay đổi theo thời gian.</w:t>
      </w:r>
    </w:p>
    <w:p>
      <w:pPr>
        <w:pStyle w:val="Para 20"/>
      </w:pPr>
      <w:r>
        <w:rPr>
          <w:rStyle w:val="Text26"/>
        </w:rPr>
        <w:bookmarkStart w:id="601" w:name="Page_85"/>
        <w:t/>
        <w:bookmarkEnd w:id="601"/>
      </w:r>
      <w:r>
        <w:t xml:space="preserve"> </w:t>
      </w:r>
    </w:p>
    <w:p>
      <w:bookmarkStart w:id="602" w:name="Conclusion_3"/>
      <w:bookmarkStart w:id="603" w:name="Conclusion__Risk__as_defined_in"/>
      <w:pPr>
        <w:keepNext/>
        <w:pStyle w:val="Heading 2"/>
        <w:keepLines w:val="on"/>
      </w:pPr>
      <w:r>
        <w:t>Kết luận</w:t>
      </w:r>
      <w:bookmarkEnd w:id="602"/>
      <w:bookmarkEnd w:id="603"/>
    </w:p>
    <w:p>
      <w:pPr>
        <w:pStyle w:val="Para 03"/>
      </w:pPr>
      <w:r>
        <w:t>Rủi ro, theo định nghĩa trong tài chính, được đo lường dựa trên sự sai lệch của lợi nhuận thực tế của một khoản đầu tư so với lợi nhuận kỳ vọng của nó. Có hai loại rủi ro. Loại thứ nhất, được gọi là rủi ro vốn cổ phần (equity risk), phát sinh trong các khoản đầu tư không có dòng tiền được cam kết, nhưng có dòng tiền kỳ vọng. Loại thứ hai, rủi ro vỡ nợ (default risk), phát sinh trong các khoản đầu tư có dòng tiền được cam kết.</w:t>
      </w:r>
    </w:p>
    <w:p>
      <w:pPr>
        <w:pStyle w:val="Para 03"/>
      </w:pPr>
      <w:r>
        <w:t>Đối với các khoản đầu tư có rủi ro vốn cổ phần, rủi ro được đo lường tốt nhất bằng cách xem xét phương sai của lợi nhuận thực tế xung quanh lợi nhuận kỳ vọng, với phương sai lớn hơn biểu thị rủi ro lớn hơn. Rủi ro này có thể được chia thành rủi ro ảnh hưởng đến một hoặc một vài khoản đầu tư, được gọi là rủi ro đặc thù của công ty (firm-specific risk), và rủi ro ảnh hưởng đến nhiều khoản đầu tư, được gọi là rủi ro thị trường (market risk). Khi nhà đầu tư đa dạng hóa, họ có thể giảm mức độ phơi nhiễm với rủi ro đặc thù của công ty. Nếu chúng ta giả định rằng những nhà đầu tư giao dịch ở biên đều được đa dạng hóa tốt, thì rủi ro mà chúng ta nên xem xét đối với các khoản đầu tư vốn cổ phần chính là rủi ro không thể đa dạng hóa hay rủi ro thị trường. Các mô hình rủi ro vốn cổ phần khác nhau được giới thiệu trong chương này đều chia sẻ mục tiêu đo lường rủi ro thị trường, nhưng chúng khác nhau ở cách thực hiện. Trong mô hình định giá tài sản vốn (capital asset pricing model), mức độ phơi nhiễm với rủi ro thị trường được đo bằng beta thị trường, ước tính mức rủi ro mà một khoản đầu tư riêng lẻ sẽ thêm vào một danh mục bao gồm tất cả các tài sản được giao dịch. Mô hình định giá chênh lệch (arbitrage pricing model) và mô hình đa nhân tố (multifactor model) cho phép có nhiều nguồn rủi ro thị trường và ước tính beta cho một khoản đầu tư so với từng nguồn. Các mô hình hồi quy hoặc mô hình đại diện (proxy models) cho rủi ro tìm kiếm các đặc điểm của công ty, chẳng hạn như quy mô, có tương quan với lợi nhuận cao trong quá khứ và sử dụng chúng để đo lường rủi ro thị trường. Trong tất cả các mô hình này, các thước đo rủi ro được sử dụng để ước tính lợi nhuận kỳ vọng của một khoản đầu tư vốn cổ phần. Lợi nhuận kỳ vọng này có thể được coi là chi phí vốn cổ phần của một công ty.</w:t>
      </w:r>
    </w:p>
    <w:p>
      <w:pPr>
        <w:pStyle w:val="Para 03"/>
      </w:pPr>
      <w:r>
        <w:t>Đối với các khoản đầu tư có rủi ro vỡ nợ, rủi ro được đo lường bằng khả năng các dòng tiền được cam kết có thể không được thực hiện. Các khoản đầu tư có rủi ro vỡ nợ cao hơn nên phải chịu lãi suất cao hơn, và mức bù mà chúng ta yêu cầu so với lãi suất phi rủi ro chính là mức bù rủi ro vỡ nợ. Đối với nhiều công ty Hoa Kỳ, rủi ro vỡ nợ được đo lường bởi các cơ quan xếp hạng tín nhiệm dưới hình thức xếp hạng trái phiếu; những xếp hạng này quyết định phần lớn lãi suất mà các công ty này có thể vay. Ngay cả khi không có xếp hạng, lãi suất vẫn sẽ bao gồm một mức bù rủi ro vỡ nợ phản ánh đánh giá của người cho vay về rủi ro vỡ nợ. Những lãi suất được điều chỉnh theo rủi ro vỡ nợ này đại diện cho chi phí đi vay hay chi phí nợ của một doanh nghiệp.</w:t>
      </w:r>
    </w:p>
    <w:p>
      <w:bookmarkStart w:id="604" w:name="Questions_and_Short_Problems__In_1"/>
      <w:bookmarkStart w:id="605" w:name="Questions_and_Short_Problems_5"/>
      <w:pPr>
        <w:keepNext/>
        <w:pStyle w:val="Heading 2"/>
        <w:keepLines w:val="on"/>
      </w:pPr>
      <w:r>
        <w:t>Câu hỏi và bài tập ngắn</w:t>
      </w:r>
      <w:bookmarkEnd w:id="604"/>
      <w:bookmarkEnd w:id="605"/>
    </w:p>
    <w:p>
      <w:pPr>
        <w:pStyle w:val="Para 44"/>
      </w:pPr>
      <w:r>
        <w:t>Trong các bài tập sau đây, hãy sử dụng mức bù rủi ro vốn cổ phần là 5,5 phần trăm nếu không có quy định nào khác.</w:t>
      </w:r>
    </w:p>
    <w:p>
      <w:pPr>
        <w:numPr>
          <w:ilvl w:val="0"/>
          <w:numId w:val="22"/>
        </w:numPr>
        <w:pStyle w:val="Para 01"/>
      </w:pPr>
      <w:r>
        <w:t>Bảng sau đây liệt kê giá cổ phiếu của Microsoft từ năm 1989 đến năm 1998. Công ty không trả cổ tức nào trong giai đoạn này.</w:t>
      </w:r>
    </w:p>
    <w:tbl>
      <w:tblPr>
        <w:tblW w:type="auto" w:w="0"/>
      </w:tblPr>
      <w:tr>
        <w:tc>
          <w:tcPr>
            <w:tcW w:type="auto" w:w="0"/>
          </w:tcPr>
          <w:tbl>
            <w:tblPr>
              <w:tblW w:type="auto" w:w="0"/>
            </w:tblPr>
            <w:tr>
              <w:tc>
                <w:tcPr>
                  <w:tcW w:type="auto" w:w="0"/>
                  <w:shd w:val="clear" w:color="auto" w:fill="F0F0F0"/>
                </w:tcPr>
                <w:p>
                  <w:pPr>
                    <w:pStyle w:val="Para 17"/>
                    <w:keepLines w:val="on"/>
                  </w:pPr>
                  <w:r>
                    <w:t>Năm</w:t>
                  </w:r>
                </w:p>
              </w:tc>
              <w:tc>
                <w:tcPr>
                  <w:tcW w:type="auto" w:w="0"/>
                  <w:shd w:val="clear" w:color="auto" w:fill="F0F0F0"/>
                </w:tcPr>
                <w:p>
                  <w:pPr>
                    <w:pStyle w:val="Para 17"/>
                    <w:keepLines w:val="on"/>
                  </w:pPr>
                  <w:r>
                    <w:t>Giá</w:t>
                  </w:r>
                </w:p>
              </w:tc>
            </w:tr>
            <w:tr>
              <w:tc>
                <w:tcPr>
                  <w:tcW w:type="auto" w:w="0"/>
                  <w:shd w:val="clear" w:color="auto" w:fill="F0F0F0"/>
                </w:tcPr>
                <w:p>
                  <w:pPr>
                    <w:pStyle w:val="Normal"/>
                    <w:keepLines w:val="on"/>
                  </w:pPr>
                  <w:r>
                    <w:t>1989</w:t>
                  </w:r>
                </w:p>
              </w:tc>
              <w:tc>
                <w:tcPr>
                  <w:tcW w:type="auto" w:w="0"/>
                  <w:shd w:val="clear" w:color="auto" w:fill="F0F0F0"/>
                </w:tcPr>
                <w:p>
                  <w:pPr>
                    <w:pStyle w:val="Normal"/>
                    <w:keepLines w:val="on"/>
                  </w:pPr>
                  <w:r>
                    <w:t>$1,20</w:t>
                  </w:r>
                </w:p>
              </w:tc>
            </w:tr>
            <w:tr>
              <w:tc>
                <w:tcPr>
                  <w:tcW w:type="auto" w:w="0"/>
                  <w:shd w:val="clear" w:color="auto" w:fill="F0F0F0"/>
                </w:tcPr>
                <w:p>
                  <w:pPr>
                    <w:pStyle w:val="Normal"/>
                    <w:keepLines w:val="on"/>
                  </w:pPr>
                  <w:r>
                    <w:t>1990</w:t>
                  </w:r>
                </w:p>
              </w:tc>
              <w:tc>
                <w:tcPr>
                  <w:tcW w:type="auto" w:w="0"/>
                  <w:shd w:val="clear" w:color="auto" w:fill="F0F0F0"/>
                </w:tcPr>
                <w:p>
                  <w:pPr>
                    <w:pStyle w:val="Normal"/>
                    <w:keepLines w:val="on"/>
                  </w:pPr>
                  <w:r>
                    <w:t>$2,09</w:t>
                  </w:r>
                </w:p>
              </w:tc>
            </w:tr>
            <w:tr>
              <w:tc>
                <w:tcPr>
                  <w:tcW w:type="auto" w:w="0"/>
                  <w:shd w:val="clear" w:color="auto" w:fill="F0F0F0"/>
                </w:tcPr>
                <w:p>
                  <w:pPr>
                    <w:pStyle w:val="Normal"/>
                    <w:keepLines w:val="on"/>
                  </w:pPr>
                  <w:r>
                    <w:t>1991</w:t>
                  </w:r>
                </w:p>
              </w:tc>
              <w:tc>
                <w:tcPr>
                  <w:tcW w:type="auto" w:w="0"/>
                  <w:shd w:val="clear" w:color="auto" w:fill="F0F0F0"/>
                </w:tcPr>
                <w:p>
                  <w:pPr>
                    <w:pStyle w:val="Normal"/>
                    <w:keepLines w:val="on"/>
                  </w:pPr>
                  <w:r>
                    <w:t>$4,64</w:t>
                  </w:r>
                </w:p>
              </w:tc>
            </w:tr>
            <w:tr>
              <w:tc>
                <w:tcPr>
                  <w:tcW w:type="auto" w:w="0"/>
                  <w:shd w:val="clear" w:color="auto" w:fill="F0F0F0"/>
                </w:tcPr>
                <w:p>
                  <w:pPr>
                    <w:pStyle w:val="Normal"/>
                    <w:keepLines w:val="on"/>
                  </w:pPr>
                  <w:r>
                    <w:t>1992</w:t>
                  </w:r>
                </w:p>
              </w:tc>
              <w:tc>
                <w:tcPr>
                  <w:tcW w:type="auto" w:w="0"/>
                  <w:shd w:val="clear" w:color="auto" w:fill="F0F0F0"/>
                </w:tcPr>
                <w:p>
                  <w:pPr>
                    <w:pStyle w:val="Normal"/>
                    <w:keepLines w:val="on"/>
                  </w:pPr>
                  <w:r>
                    <w:t>$5,34</w:t>
                  </w:r>
                </w:p>
              </w:tc>
            </w:tr>
            <w:tr>
              <w:tc>
                <w:tcPr>
                  <w:tcW w:type="auto" w:w="0"/>
                  <w:shd w:val="clear" w:color="auto" w:fill="F0F0F0"/>
                </w:tcPr>
                <w:p>
                  <w:pPr>
                    <w:pStyle w:val="Normal"/>
                    <w:keepLines w:val="on"/>
                  </w:pPr>
                  <w:r>
                    <w:t>1993</w:t>
                  </w:r>
                </w:p>
              </w:tc>
              <w:tc>
                <w:tcPr>
                  <w:tcW w:type="auto" w:w="0"/>
                  <w:shd w:val="clear" w:color="auto" w:fill="F0F0F0"/>
                </w:tcPr>
                <w:p>
                  <w:pPr>
                    <w:pStyle w:val="Normal"/>
                    <w:keepLines w:val="on"/>
                  </w:pPr>
                  <w:r>
                    <w:t>$5,05</w:t>
                  </w:r>
                </w:p>
              </w:tc>
            </w:tr>
            <w:tr>
              <w:tc>
                <w:tcPr>
                  <w:tcW w:type="auto" w:w="0"/>
                  <w:shd w:val="clear" w:color="auto" w:fill="F0F0F0"/>
                </w:tcPr>
                <w:p>
                  <w:pPr>
                    <w:pStyle w:val="Normal"/>
                    <w:keepLines w:val="on"/>
                  </w:pPr>
                  <w:r>
                    <w:t>1994</w:t>
                  </w:r>
                </w:p>
              </w:tc>
              <w:tc>
                <w:tcPr>
                  <w:tcW w:type="auto" w:w="0"/>
                  <w:shd w:val="clear" w:color="auto" w:fill="F0F0F0"/>
                </w:tcPr>
                <w:p>
                  <w:pPr>
                    <w:pStyle w:val="Normal"/>
                    <w:keepLines w:val="on"/>
                  </w:pPr>
                  <w:r>
                    <w:t>$7,64</w:t>
                  </w:r>
                </w:p>
              </w:tc>
            </w:tr>
            <w:tr>
              <w:tc>
                <w:tcPr>
                  <w:tcW w:type="auto" w:w="0"/>
                  <w:shd w:val="clear" w:color="auto" w:fill="F0F0F0"/>
                </w:tcPr>
                <w:p>
                  <w:pPr>
                    <w:pStyle w:val="Normal"/>
                    <w:keepLines w:val="on"/>
                  </w:pPr>
                  <w:r>
                    <w:t>1995</w:t>
                  </w:r>
                </w:p>
              </w:tc>
              <w:tc>
                <w:tcPr>
                  <w:tcW w:type="auto" w:w="0"/>
                  <w:shd w:val="clear" w:color="auto" w:fill="F0F0F0"/>
                </w:tcPr>
                <w:p>
                  <w:pPr>
                    <w:pStyle w:val="Normal"/>
                    <w:keepLines w:val="on"/>
                  </w:pPr>
                  <w:r>
                    <w:t>$10,97</w:t>
                  </w:r>
                </w:p>
              </w:tc>
            </w:tr>
            <w:tr>
              <w:tc>
                <w:tcPr>
                  <w:tcW w:type="auto" w:w="0"/>
                  <w:shd w:val="clear" w:color="auto" w:fill="F0F0F0"/>
                </w:tcPr>
                <w:p>
                  <w:pPr>
                    <w:pStyle w:val="Normal"/>
                    <w:keepLines w:val="on"/>
                  </w:pPr>
                  <w:r>
                    <w:t>1996</w:t>
                  </w:r>
                </w:p>
              </w:tc>
              <w:tc>
                <w:tcPr>
                  <w:tcW w:type="auto" w:w="0"/>
                  <w:shd w:val="clear" w:color="auto" w:fill="F0F0F0"/>
                </w:tcPr>
                <w:p>
                  <w:pPr>
                    <w:pStyle w:val="Normal"/>
                    <w:keepLines w:val="on"/>
                  </w:pPr>
                  <w:r>
                    <w:t>$20,66</w:t>
                  </w:r>
                </w:p>
              </w:tc>
            </w:tr>
            <w:tr>
              <w:tc>
                <w:tcPr>
                  <w:tcW w:type="auto" w:w="0"/>
                  <w:shd w:val="clear" w:color="auto" w:fill="F0F0F0"/>
                </w:tcPr>
                <w:p>
                  <w:pPr>
                    <w:pStyle w:val="Normal"/>
                    <w:keepLines w:val="on"/>
                  </w:pPr>
                  <w:r>
                    <w:t>1997</w:t>
                  </w:r>
                </w:p>
              </w:tc>
              <w:tc>
                <w:tcPr>
                  <w:tcW w:type="auto" w:w="0"/>
                  <w:shd w:val="clear" w:color="auto" w:fill="F0F0F0"/>
                </w:tcPr>
                <w:p>
                  <w:pPr>
                    <w:pStyle w:val="Normal"/>
                    <w:keepLines w:val="on"/>
                  </w:pPr>
                  <w:r>
                    <w:t>$32,31</w:t>
                  </w:r>
                </w:p>
              </w:tc>
            </w:tr>
            <w:tr>
              <w:tc>
                <w:tcPr>
                  <w:tcW w:type="auto" w:w="0"/>
                  <w:shd w:val="clear" w:color="auto" w:fill="F0F0F0"/>
                </w:tcPr>
                <w:p>
                  <w:pPr>
                    <w:pStyle w:val="Normal"/>
                    <w:keepLines w:val="on"/>
                  </w:pPr>
                  <w:r>
                    <w:t>1998</w:t>
                  </w:r>
                </w:p>
              </w:tc>
              <w:tc>
                <w:tcPr>
                  <w:tcW w:type="auto" w:w="0"/>
                  <w:shd w:val="clear" w:color="auto" w:fill="F0F0F0"/>
                </w:tcPr>
                <w:p>
                  <w:pPr>
                    <w:pStyle w:val="Normal"/>
                    <w:keepLines w:val="on"/>
                  </w:pPr>
                  <w:r>
                    <w:t>$69,34</w:t>
                  </w:r>
                </w:p>
              </w:tc>
            </w:tr>
          </w:tbl>
          <w:p/>
        </w:tc>
      </w:tr>
    </w:tbl>
    <w:p>
      <w:pPr>
        <w:numPr>
          <w:ilvl w:val="1"/>
          <w:numId w:val="22"/>
        </w:numPr>
        <w:pStyle w:val="Para 01"/>
      </w:pPr>
      <w:r>
        <w:t>Hãy ước tính lợi nhuận trung bình hàng năm mà bạn sẽ kiếm được từ khoản đầu tư của mình.</w:t>
      </w:r>
    </w:p>
    <w:p>
      <w:pPr>
        <w:numPr>
          <w:ilvl w:val="1"/>
          <w:numId w:val="22"/>
        </w:numPr>
        <w:pStyle w:val="Para 01"/>
      </w:pPr>
      <w:r>
        <w:t>Hãy ước tính độ lệch chuẩn và phương sai của lợi nhuận hàng năm.</w:t>
      </w:r>
    </w:p>
    <w:p>
      <w:pPr>
        <w:numPr>
          <w:ilvl w:val="1"/>
          <w:numId w:val="22"/>
        </w:numPr>
        <w:pStyle w:val="Para 01"/>
      </w:pPr>
      <w:r>
        <w:t>Nếu hôm nay bạn đầu tư vào Microsoft, liệu bạn có kỳ vọng độ lệch chuẩn và phương sai trong quá khứ sẽ tiếp tục giữ nguyên không? Tại sao có, tại sao không?</w:t>
      </w:r>
    </w:p>
    <w:p>
      <w:pPr>
        <w:numPr>
          <w:ilvl w:val="0"/>
          <w:numId w:val="22"/>
        </w:numPr>
        <w:pStyle w:val="Para 01"/>
      </w:pPr>
      <w:r>
        <w:t>Unicom là một công ty tiện ích được quản lý, phục vụ khu vực phía bắc Illinois. Bảng sau liệt kê giá cổ phiếu và cổ tức của Unicom từ năm 1989 đến năm 1998.</w:t>
      </w:r>
    </w:p>
    <w:tbl>
      <w:tblPr>
        <w:tblW w:type="auto" w:w="0"/>
      </w:tblPr>
      <w:tr>
        <w:tc>
          <w:tcPr>
            <w:tcW w:type="auto" w:w="0"/>
          </w:tcPr>
          <w:tbl>
            <w:tblPr>
              <w:tblW w:type="auto" w:w="0"/>
            </w:tblPr>
            <w:tr>
              <w:tc>
                <w:tcPr>
                  <w:tcW w:type="auto" w:w="0"/>
                  <w:shd w:val="clear" w:color="auto" w:fill="F0F0F0"/>
                </w:tcPr>
                <w:p>
                  <w:pPr>
                    <w:pStyle w:val="Para 17"/>
                    <w:keepLines w:val="on"/>
                  </w:pPr>
                  <w:r>
                    <w:t>Năm</w:t>
                  </w:r>
                </w:p>
              </w:tc>
              <w:tc>
                <w:tcPr>
                  <w:tcW w:type="auto" w:w="0"/>
                  <w:shd w:val="clear" w:color="auto" w:fill="F0F0F0"/>
                </w:tcPr>
                <w:p>
                  <w:pPr>
                    <w:pStyle w:val="Para 17"/>
                    <w:keepLines w:val="on"/>
                  </w:pPr>
                  <w:r>
                    <w:t>Giá</w:t>
                  </w:r>
                </w:p>
              </w:tc>
              <w:tc>
                <w:tcPr>
                  <w:tcW w:type="auto" w:w="0"/>
                  <w:shd w:val="clear" w:color="auto" w:fill="F0F0F0"/>
                </w:tcPr>
                <w:p>
                  <w:pPr>
                    <w:pStyle w:val="Para 17"/>
                    <w:keepLines w:val="on"/>
                  </w:pPr>
                  <w:r>
                    <w:t>Cổ tức</w:t>
                  </w:r>
                </w:p>
              </w:tc>
            </w:tr>
            <w:tr>
              <w:tc>
                <w:tcPr>
                  <w:tcW w:type="auto" w:w="0"/>
                  <w:shd w:val="clear" w:color="auto" w:fill="F0F0F0"/>
                </w:tcPr>
                <w:p>
                  <w:pPr>
                    <w:pStyle w:val="Normal"/>
                    <w:keepLines w:val="on"/>
                  </w:pPr>
                  <w:r>
                    <w:t>1989</w:t>
                  </w:r>
                </w:p>
              </w:tc>
              <w:tc>
                <w:tcPr>
                  <w:tcW w:type="auto" w:w="0"/>
                  <w:shd w:val="clear" w:color="auto" w:fill="F0F0F0"/>
                </w:tcPr>
                <w:p>
                  <w:pPr>
                    <w:pStyle w:val="Normal"/>
                    <w:keepLines w:val="on"/>
                  </w:pPr>
                  <w:r>
                    <w:t>$36,10</w:t>
                  </w:r>
                </w:p>
              </w:tc>
              <w:tc>
                <w:tcPr>
                  <w:tcW w:type="auto" w:w="0"/>
                  <w:shd w:val="clear" w:color="auto" w:fill="F0F0F0"/>
                </w:tcPr>
                <w:p>
                  <w:pPr>
                    <w:pStyle w:val="Normal"/>
                    <w:keepLines w:val="on"/>
                  </w:pPr>
                  <w:r>
                    <w:t>$3,00</w:t>
                  </w:r>
                </w:p>
              </w:tc>
            </w:tr>
            <w:tr>
              <w:tc>
                <w:tcPr>
                  <w:tcW w:type="auto" w:w="0"/>
                  <w:shd w:val="clear" w:color="auto" w:fill="F0F0F0"/>
                </w:tcPr>
                <w:p>
                  <w:pPr>
                    <w:pStyle w:val="Normal"/>
                    <w:keepLines w:val="on"/>
                  </w:pPr>
                  <w:r>
                    <w:t>1990</w:t>
                  </w:r>
                </w:p>
              </w:tc>
              <w:tc>
                <w:tcPr>
                  <w:tcW w:type="auto" w:w="0"/>
                  <w:shd w:val="clear" w:color="auto" w:fill="F0F0F0"/>
                </w:tcPr>
                <w:p>
                  <w:pPr>
                    <w:pStyle w:val="Normal"/>
                    <w:keepLines w:val="on"/>
                  </w:pPr>
                  <w:r>
                    <w:t>$33,60</w:t>
                  </w:r>
                </w:p>
              </w:tc>
              <w:tc>
                <w:tcPr>
                  <w:tcW w:type="auto" w:w="0"/>
                  <w:shd w:val="clear" w:color="auto" w:fill="F0F0F0"/>
                </w:tcPr>
                <w:p>
                  <w:pPr>
                    <w:pStyle w:val="Normal"/>
                    <w:keepLines w:val="on"/>
                  </w:pPr>
                  <w:r>
                    <w:t>$3,00</w:t>
                  </w:r>
                </w:p>
              </w:tc>
            </w:tr>
            <w:tr>
              <w:tc>
                <w:tcPr>
                  <w:tcW w:type="auto" w:w="0"/>
                  <w:shd w:val="clear" w:color="auto" w:fill="F0F0F0"/>
                </w:tcPr>
                <w:p>
                  <w:pPr>
                    <w:pStyle w:val="Normal"/>
                    <w:keepLines w:val="on"/>
                  </w:pPr>
                  <w:r>
                    <w:t>1991</w:t>
                  </w:r>
                </w:p>
              </w:tc>
              <w:tc>
                <w:tcPr>
                  <w:tcW w:type="auto" w:w="0"/>
                  <w:shd w:val="clear" w:color="auto" w:fill="F0F0F0"/>
                </w:tcPr>
                <w:p>
                  <w:pPr>
                    <w:pStyle w:val="Normal"/>
                    <w:keepLines w:val="on"/>
                  </w:pPr>
                  <w:r>
                    <w:t>$37,80</w:t>
                  </w:r>
                </w:p>
              </w:tc>
              <w:tc>
                <w:tcPr>
                  <w:tcW w:type="auto" w:w="0"/>
                  <w:shd w:val="clear" w:color="auto" w:fill="F0F0F0"/>
                </w:tcPr>
                <w:p>
                  <w:pPr>
                    <w:pStyle w:val="Normal"/>
                    <w:keepLines w:val="on"/>
                  </w:pPr>
                  <w:r>
                    <w:t>$3,00</w:t>
                  </w:r>
                </w:p>
              </w:tc>
            </w:tr>
            <w:tr>
              <w:tc>
                <w:tcPr>
                  <w:tcW w:type="auto" w:w="0"/>
                  <w:shd w:val="clear" w:color="auto" w:fill="F0F0F0"/>
                </w:tcPr>
                <w:p>
                  <w:pPr>
                    <w:pStyle w:val="Normal"/>
                    <w:keepLines w:val="on"/>
                  </w:pPr>
                  <w:r>
                    <w:t>1992</w:t>
                  </w:r>
                </w:p>
              </w:tc>
              <w:tc>
                <w:tcPr>
                  <w:tcW w:type="auto" w:w="0"/>
                  <w:shd w:val="clear" w:color="auto" w:fill="F0F0F0"/>
                </w:tcPr>
                <w:p>
                  <w:pPr>
                    <w:pStyle w:val="Normal"/>
                    <w:keepLines w:val="on"/>
                  </w:pPr>
                  <w:r>
                    <w:t>$30,90</w:t>
                  </w:r>
                </w:p>
              </w:tc>
              <w:tc>
                <w:tcPr>
                  <w:tcW w:type="auto" w:w="0"/>
                  <w:shd w:val="clear" w:color="auto" w:fill="F0F0F0"/>
                </w:tcPr>
                <w:p>
                  <w:pPr>
                    <w:pStyle w:val="Normal"/>
                    <w:keepLines w:val="on"/>
                  </w:pPr>
                  <w:r>
                    <w:t>$2,30</w:t>
                  </w:r>
                </w:p>
              </w:tc>
            </w:tr>
            <w:tr>
              <w:tc>
                <w:tcPr>
                  <w:tcW w:type="auto" w:w="0"/>
                  <w:shd w:val="clear" w:color="auto" w:fill="F0F0F0"/>
                </w:tcPr>
                <w:p>
                  <w:pPr>
                    <w:pStyle w:val="Normal"/>
                    <w:keepLines w:val="on"/>
                  </w:pPr>
                  <w:r>
                    <w:t>1993</w:t>
                  </w:r>
                </w:p>
              </w:tc>
              <w:tc>
                <w:tcPr>
                  <w:tcW w:type="auto" w:w="0"/>
                  <w:shd w:val="clear" w:color="auto" w:fill="F0F0F0"/>
                </w:tcPr>
                <w:p>
                  <w:pPr>
                    <w:pStyle w:val="Normal"/>
                    <w:keepLines w:val="on"/>
                  </w:pPr>
                  <w:r>
                    <w:t>$26,80</w:t>
                  </w:r>
                </w:p>
              </w:tc>
              <w:tc>
                <w:tcPr>
                  <w:tcW w:type="auto" w:w="0"/>
                  <w:shd w:val="clear" w:color="auto" w:fill="F0F0F0"/>
                </w:tcPr>
                <w:p>
                  <w:pPr>
                    <w:pStyle w:val="Normal"/>
                    <w:keepLines w:val="on"/>
                  </w:pPr>
                  <w:r>
                    <w:t>$1,60</w:t>
                  </w:r>
                </w:p>
              </w:tc>
            </w:tr>
            <w:tr>
              <w:tc>
                <w:tcPr>
                  <w:tcW w:type="auto" w:w="0"/>
                  <w:shd w:val="clear" w:color="auto" w:fill="F0F0F0"/>
                </w:tcPr>
                <w:p>
                  <w:pPr>
                    <w:pStyle w:val="Normal"/>
                    <w:keepLines w:val="on"/>
                  </w:pPr>
                  <w:r>
                    <w:t>1994</w:t>
                  </w:r>
                </w:p>
              </w:tc>
              <w:tc>
                <w:tcPr>
                  <w:tcW w:type="auto" w:w="0"/>
                  <w:shd w:val="clear" w:color="auto" w:fill="F0F0F0"/>
                </w:tcPr>
                <w:p>
                  <w:pPr>
                    <w:pStyle w:val="Normal"/>
                    <w:keepLines w:val="on"/>
                  </w:pPr>
                  <w:r>
                    <w:t>$24,80</w:t>
                  </w:r>
                </w:p>
              </w:tc>
              <w:tc>
                <w:tcPr>
                  <w:tcW w:type="auto" w:w="0"/>
                  <w:shd w:val="clear" w:color="auto" w:fill="F0F0F0"/>
                </w:tcPr>
                <w:p>
                  <w:pPr>
                    <w:pStyle w:val="Normal"/>
                    <w:keepLines w:val="on"/>
                  </w:pPr>
                  <w:r>
                    <w:t>$1,60</w:t>
                  </w:r>
                </w:p>
              </w:tc>
            </w:tr>
            <w:tr>
              <w:tc>
                <w:tcPr>
                  <w:tcW w:type="auto" w:w="0"/>
                  <w:shd w:val="clear" w:color="auto" w:fill="F0F0F0"/>
                </w:tcPr>
                <w:p>
                  <w:pPr>
                    <w:pStyle w:val="Normal"/>
                    <w:keepLines w:val="on"/>
                  </w:pPr>
                  <w:r>
                    <w:t>1995</w:t>
                  </w:r>
                </w:p>
              </w:tc>
              <w:tc>
                <w:tcPr>
                  <w:tcW w:type="auto" w:w="0"/>
                  <w:shd w:val="clear" w:color="auto" w:fill="F0F0F0"/>
                </w:tcPr>
                <w:p>
                  <w:pPr>
                    <w:pStyle w:val="Normal"/>
                    <w:keepLines w:val="on"/>
                  </w:pPr>
                  <w:r>
                    <w:t>$31,60</w:t>
                  </w:r>
                </w:p>
              </w:tc>
              <w:tc>
                <w:tcPr>
                  <w:tcW w:type="auto" w:w="0"/>
                  <w:shd w:val="clear" w:color="auto" w:fill="F0F0F0"/>
                </w:tcPr>
                <w:p>
                  <w:pPr>
                    <w:pStyle w:val="Normal"/>
                    <w:keepLines w:val="on"/>
                  </w:pPr>
                  <w:r>
                    <w:t>$1,60</w:t>
                  </w:r>
                </w:p>
              </w:tc>
            </w:tr>
            <w:tr>
              <w:tc>
                <w:tcPr>
                  <w:tcW w:type="auto" w:w="0"/>
                  <w:shd w:val="clear" w:color="auto" w:fill="F0F0F0"/>
                </w:tcPr>
                <w:p>
                  <w:pPr>
                    <w:pStyle w:val="Normal"/>
                    <w:keepLines w:val="on"/>
                  </w:pPr>
                  <w:r>
                    <w:t>1996</w:t>
                  </w:r>
                </w:p>
              </w:tc>
              <w:tc>
                <w:tcPr>
                  <w:tcW w:type="auto" w:w="0"/>
                  <w:shd w:val="clear" w:color="auto" w:fill="F0F0F0"/>
                </w:tcPr>
                <w:p>
                  <w:pPr>
                    <w:pStyle w:val="Normal"/>
                    <w:keepLines w:val="on"/>
                  </w:pPr>
                  <w:r>
                    <w:t>$28,50</w:t>
                  </w:r>
                </w:p>
              </w:tc>
              <w:tc>
                <w:tcPr>
                  <w:tcW w:type="auto" w:w="0"/>
                  <w:shd w:val="clear" w:color="auto" w:fill="F0F0F0"/>
                </w:tcPr>
                <w:p>
                  <w:pPr>
                    <w:pStyle w:val="Normal"/>
                    <w:keepLines w:val="on"/>
                  </w:pPr>
                  <w:r>
                    <w:t>$1,60</w:t>
                  </w:r>
                </w:p>
              </w:tc>
            </w:tr>
            <w:tr>
              <w:tc>
                <w:tcPr>
                  <w:tcW w:type="auto" w:w="0"/>
                  <w:shd w:val="clear" w:color="auto" w:fill="F0F0F0"/>
                </w:tcPr>
                <w:p>
                  <w:pPr>
                    <w:pStyle w:val="Normal"/>
                    <w:keepLines w:val="on"/>
                  </w:pPr>
                  <w:r>
                    <w:t>1997</w:t>
                  </w:r>
                </w:p>
              </w:tc>
              <w:tc>
                <w:tcPr>
                  <w:tcW w:type="auto" w:w="0"/>
                  <w:shd w:val="clear" w:color="auto" w:fill="F0F0F0"/>
                </w:tcPr>
                <w:p>
                  <w:pPr>
                    <w:pStyle w:val="Normal"/>
                    <w:keepLines w:val="on"/>
                  </w:pPr>
                  <w:r>
                    <w:t>$24,25</w:t>
                  </w:r>
                </w:p>
              </w:tc>
              <w:tc>
                <w:tcPr>
                  <w:tcW w:type="auto" w:w="0"/>
                  <w:shd w:val="clear" w:color="auto" w:fill="F0F0F0"/>
                </w:tcPr>
                <w:p>
                  <w:pPr>
                    <w:pStyle w:val="Normal"/>
                    <w:keepLines w:val="on"/>
                  </w:pPr>
                  <w:r>
                    <w:t>$1,60</w:t>
                  </w:r>
                </w:p>
              </w:tc>
            </w:tr>
            <w:tr>
              <w:tc>
                <w:tcPr>
                  <w:tcW w:type="auto" w:w="0"/>
                  <w:shd w:val="clear" w:color="auto" w:fill="F0F0F0"/>
                </w:tcPr>
                <w:p>
                  <w:pPr>
                    <w:pStyle w:val="Normal"/>
                    <w:keepLines w:val="on"/>
                  </w:pPr>
                  <w:r>
                    <w:t>1998</w:t>
                  </w:r>
                </w:p>
              </w:tc>
              <w:tc>
                <w:tcPr>
                  <w:tcW w:type="auto" w:w="0"/>
                  <w:shd w:val="clear" w:color="auto" w:fill="F0F0F0"/>
                </w:tcPr>
                <w:p>
                  <w:pPr>
                    <w:pStyle w:val="Normal"/>
                    <w:keepLines w:val="on"/>
                  </w:pPr>
                  <w:r>
                    <w:t>$35,60</w:t>
                  </w:r>
                </w:p>
              </w:tc>
              <w:tc>
                <w:tcPr>
                  <w:tcW w:type="auto" w:w="0"/>
                  <w:shd w:val="clear" w:color="auto" w:fill="F0F0F0"/>
                </w:tcPr>
                <w:p>
                  <w:pPr>
                    <w:pStyle w:val="Normal"/>
                    <w:keepLines w:val="on"/>
                  </w:pPr>
                  <w:r>
                    <w:t>$1,60</w:t>
                  </w:r>
                </w:p>
              </w:tc>
            </w:tr>
          </w:tbl>
          <w:p/>
        </w:tc>
      </w:tr>
    </w:tbl>
    <w:p>
      <w:pPr>
        <w:numPr>
          <w:ilvl w:val="1"/>
          <w:numId w:val="22"/>
        </w:numPr>
        <w:pStyle w:val="Para 01"/>
      </w:pPr>
      <w:r>
        <w:t>Hãy ước tính lợi nhuận trung bình hàng năm mà bạn sẽ kiếm được từ khoản đầu tư của mình.</w:t>
      </w:r>
    </w:p>
    <w:p>
      <w:pPr>
        <w:numPr>
          <w:ilvl w:val="1"/>
          <w:numId w:val="22"/>
        </w:numPr>
        <w:pStyle w:val="Para 01"/>
      </w:pPr>
      <w:r>
        <w:t>Hãy ước tính độ lệch chuẩn và phương sai của lợi nhuận hàng năm.</w:t>
      </w:r>
    </w:p>
    <w:p>
      <w:pPr>
        <w:numPr>
          <w:ilvl w:val="1"/>
          <w:numId w:val="22"/>
        </w:numPr>
        <w:pStyle w:val="Para 01"/>
      </w:pPr>
      <w:r>
        <w:t>Nếu bạn đầu tư vào Unicom ngay hôm nay, liệu bạn có kỳ vọng rằng độ lệch chuẩn và phương sai trong quá khứ sẽ tiếp tục giữ nguyên không? Tại sao có, tại sao không?</w:t>
      </w:r>
    </w:p>
    <w:p>
      <w:pPr>
        <w:numPr>
          <w:ilvl w:val="0"/>
          <w:numId w:val="22"/>
        </w:numPr>
        <w:pStyle w:val="Para 01"/>
      </w:pPr>
      <w:r>
        <w:t>Bảng dưới đây tóm tắt lợi nhuận hằng năm mà bạn sẽ kiếm được từ hai công ty—Scientific Atlanta, một nhà sản xuất thiết bị vệ tinh và dữ liệu, và AT&amp;T, gã khổng lồ viễn thông—từ năm 1989 đến 1998.</w:t>
      </w:r>
    </w:p>
    <w:tbl>
      <w:tblPr>
        <w:tblW w:type="auto" w:w="0"/>
      </w:tblPr>
      <w:tr>
        <w:tc>
          <w:tcPr>
            <w:tcW w:type="auto" w:w="0"/>
          </w:tcPr>
          <w:tbl>
            <w:tblPr>
              <w:tblW w:type="auto" w:w="0"/>
            </w:tblPr>
            <w:tr>
              <w:tc>
                <w:tcPr>
                  <w:tcW w:type="auto" w:w="0"/>
                  <w:shd w:val="clear" w:color="auto" w:fill="F0F0F0"/>
                </w:tcPr>
                <w:p>
                  <w:pPr>
                    <w:pStyle w:val="Para 17"/>
                    <w:keepLines w:val="on"/>
                  </w:pPr>
                  <w:r>
                    <w:t>Năm</w:t>
                  </w:r>
                </w:p>
              </w:tc>
              <w:tc>
                <w:tcPr>
                  <w:tcW w:type="auto" w:w="0"/>
                  <w:shd w:val="clear" w:color="auto" w:fill="F0F0F0"/>
                </w:tcPr>
                <w:p>
                  <w:pPr>
                    <w:pStyle w:val="Para 17"/>
                    <w:keepLines w:val="on"/>
                  </w:pPr>
                  <w:r>
                    <w:t>Scientific Atlanta</w:t>
                  </w:r>
                </w:p>
              </w:tc>
              <w:tc>
                <w:tcPr>
                  <w:tcW w:type="auto" w:w="0"/>
                  <w:shd w:val="clear" w:color="auto" w:fill="F0F0F0"/>
                </w:tcPr>
                <w:p>
                  <w:pPr>
                    <w:pStyle w:val="Para 17"/>
                    <w:keepLines w:val="on"/>
                  </w:pPr>
                  <w:r>
                    <w:t>AT&amp;T</w:t>
                  </w:r>
                </w:p>
              </w:tc>
            </w:tr>
            <w:tr>
              <w:tc>
                <w:tcPr>
                  <w:tcW w:type="auto" w:w="0"/>
                  <w:shd w:val="clear" w:color="auto" w:fill="F0F0F0"/>
                </w:tcPr>
                <w:p>
                  <w:pPr>
                    <w:pStyle w:val="Normal"/>
                    <w:keepLines w:val="on"/>
                  </w:pPr>
                  <w:r>
                    <w:t>1989</w:t>
                  </w:r>
                </w:p>
              </w:tc>
              <w:tc>
                <w:tcPr>
                  <w:tcW w:type="auto" w:w="0"/>
                  <w:shd w:val="clear" w:color="auto" w:fill="F0F0F0"/>
                </w:tcPr>
                <w:p>
                  <w:pPr>
                    <w:pStyle w:val="Normal"/>
                    <w:keepLines w:val="on"/>
                  </w:pPr>
                  <w:r>
                    <w:t>80,95%</w:t>
                  </w:r>
                </w:p>
              </w:tc>
              <w:tc>
                <w:tcPr>
                  <w:tcW w:type="auto" w:w="0"/>
                  <w:shd w:val="clear" w:color="auto" w:fill="F0F0F0"/>
                </w:tcPr>
                <w:p>
                  <w:pPr>
                    <w:pStyle w:val="Normal"/>
                    <w:keepLines w:val="on"/>
                  </w:pPr>
                  <w:r>
                    <w:t>58,26%</w:t>
                  </w:r>
                </w:p>
              </w:tc>
            </w:tr>
            <w:tr>
              <w:tc>
                <w:tcPr>
                  <w:tcW w:type="auto" w:w="0"/>
                  <w:shd w:val="clear" w:color="auto" w:fill="F0F0F0"/>
                </w:tcPr>
                <w:p>
                  <w:pPr>
                    <w:pStyle w:val="Normal"/>
                    <w:keepLines w:val="on"/>
                  </w:pPr>
                  <w:r>
                    <w:t>1990</w:t>
                  </w:r>
                </w:p>
              </w:tc>
              <w:tc>
                <w:tcPr>
                  <w:tcW w:type="auto" w:w="0"/>
                  <w:shd w:val="clear" w:color="auto" w:fill="F0F0F0"/>
                </w:tcPr>
                <w:p>
                  <w:pPr>
                    <w:pStyle w:val="Normal"/>
                    <w:keepLines w:val="on"/>
                  </w:pPr>
                  <w:r>
                    <w:t>−47,37%</w:t>
                  </w:r>
                </w:p>
              </w:tc>
              <w:tc>
                <w:tcPr>
                  <w:tcW w:type="auto" w:w="0"/>
                  <w:shd w:val="clear" w:color="auto" w:fill="F0F0F0"/>
                </w:tcPr>
                <w:p>
                  <w:pPr>
                    <w:pStyle w:val="Normal"/>
                    <w:keepLines w:val="on"/>
                  </w:pPr>
                  <w:r>
                    <w:t>−33,79%</w:t>
                  </w:r>
                </w:p>
              </w:tc>
            </w:tr>
            <w:tr>
              <w:tc>
                <w:tcPr>
                  <w:tcW w:type="auto" w:w="0"/>
                  <w:shd w:val="clear" w:color="auto" w:fill="F0F0F0"/>
                </w:tcPr>
                <w:p>
                  <w:pPr>
                    <w:pStyle w:val="Normal"/>
                    <w:keepLines w:val="on"/>
                  </w:pPr>
                  <w:r>
                    <w:t>1991</w:t>
                  </w:r>
                </w:p>
              </w:tc>
              <w:tc>
                <w:tcPr>
                  <w:tcW w:type="auto" w:w="0"/>
                  <w:shd w:val="clear" w:color="auto" w:fill="F0F0F0"/>
                </w:tcPr>
                <w:p>
                  <w:pPr>
                    <w:pStyle w:val="Normal"/>
                    <w:keepLines w:val="on"/>
                  </w:pPr>
                  <w:r>
                    <w:t>31,00%</w:t>
                  </w:r>
                </w:p>
              </w:tc>
              <w:tc>
                <w:tcPr>
                  <w:tcW w:type="auto" w:w="0"/>
                  <w:shd w:val="clear" w:color="auto" w:fill="F0F0F0"/>
                </w:tcPr>
                <w:p>
                  <w:pPr>
                    <w:pStyle w:val="Normal"/>
                    <w:keepLines w:val="on"/>
                  </w:pPr>
                  <w:r>
                    <w:t>29,88%</w:t>
                  </w:r>
                </w:p>
              </w:tc>
            </w:tr>
            <w:tr>
              <w:tc>
                <w:tcPr>
                  <w:tcW w:type="auto" w:w="0"/>
                  <w:shd w:val="clear" w:color="auto" w:fill="F0F0F0"/>
                </w:tcPr>
                <w:p>
                  <w:pPr>
                    <w:pStyle w:val="Normal"/>
                    <w:keepLines w:val="on"/>
                  </w:pPr>
                  <w:r>
                    <w:t>1992</w:t>
                  </w:r>
                </w:p>
              </w:tc>
              <w:tc>
                <w:tcPr>
                  <w:tcW w:type="auto" w:w="0"/>
                  <w:shd w:val="clear" w:color="auto" w:fill="F0F0F0"/>
                </w:tcPr>
                <w:p>
                  <w:pPr>
                    <w:pStyle w:val="Normal"/>
                    <w:keepLines w:val="on"/>
                  </w:pPr>
                  <w:r>
                    <w:t>132,44%</w:t>
                  </w:r>
                </w:p>
              </w:tc>
              <w:tc>
                <w:tcPr>
                  <w:tcW w:type="auto" w:w="0"/>
                  <w:shd w:val="clear" w:color="auto" w:fill="F0F0F0"/>
                </w:tcPr>
                <w:p>
                  <w:pPr>
                    <w:pStyle w:val="Normal"/>
                    <w:keepLines w:val="on"/>
                  </w:pPr>
                  <w:r>
                    <w:t>30,35%</w:t>
                  </w:r>
                </w:p>
              </w:tc>
            </w:tr>
            <w:tr>
              <w:tc>
                <w:tcPr>
                  <w:tcW w:type="auto" w:w="0"/>
                  <w:shd w:val="clear" w:color="auto" w:fill="F0F0F0"/>
                </w:tcPr>
                <w:p>
                  <w:pPr>
                    <w:pStyle w:val="Normal"/>
                    <w:keepLines w:val="on"/>
                  </w:pPr>
                  <w:r>
                    <w:t>1993</w:t>
                  </w:r>
                </w:p>
              </w:tc>
              <w:tc>
                <w:tcPr>
                  <w:tcW w:type="auto" w:w="0"/>
                  <w:shd w:val="clear" w:color="auto" w:fill="F0F0F0"/>
                </w:tcPr>
                <w:p>
                  <w:pPr>
                    <w:pStyle w:val="Normal"/>
                    <w:keepLines w:val="on"/>
                  </w:pPr>
                  <w:r>
                    <w:t>32,02%</w:t>
                  </w:r>
                </w:p>
              </w:tc>
              <w:tc>
                <w:tcPr>
                  <w:tcW w:type="auto" w:w="0"/>
                  <w:shd w:val="clear" w:color="auto" w:fill="F0F0F0"/>
                </w:tcPr>
                <w:p>
                  <w:pPr>
                    <w:pStyle w:val="Normal"/>
                    <w:keepLines w:val="on"/>
                  </w:pPr>
                  <w:r>
                    <w:t>2,94%</w:t>
                  </w:r>
                </w:p>
              </w:tc>
            </w:tr>
            <w:tr>
              <w:tc>
                <w:tcPr>
                  <w:tcW w:type="auto" w:w="0"/>
                  <w:shd w:val="clear" w:color="auto" w:fill="F0F0F0"/>
                </w:tcPr>
                <w:p>
                  <w:pPr>
                    <w:pStyle w:val="Normal"/>
                    <w:keepLines w:val="on"/>
                  </w:pPr>
                  <w:r>
                    <w:t>1994</w:t>
                  </w:r>
                </w:p>
              </w:tc>
              <w:tc>
                <w:tcPr>
                  <w:tcW w:type="auto" w:w="0"/>
                  <w:shd w:val="clear" w:color="auto" w:fill="F0F0F0"/>
                </w:tcPr>
                <w:p>
                  <w:pPr>
                    <w:pStyle w:val="Normal"/>
                    <w:keepLines w:val="on"/>
                  </w:pPr>
                  <w:r>
                    <w:t>25,37%</w:t>
                  </w:r>
                </w:p>
              </w:tc>
              <w:tc>
                <w:tcPr>
                  <w:tcW w:type="auto" w:w="0"/>
                  <w:shd w:val="clear" w:color="auto" w:fill="F0F0F0"/>
                </w:tcPr>
                <w:p>
                  <w:pPr>
                    <w:pStyle w:val="Normal"/>
                    <w:keepLines w:val="on"/>
                  </w:pPr>
                  <w:r>
                    <w:t>−4,29%</w:t>
                  </w:r>
                </w:p>
              </w:tc>
            </w:tr>
            <w:tr>
              <w:tc>
                <w:tcPr>
                  <w:tcW w:type="auto" w:w="0"/>
                  <w:shd w:val="clear" w:color="auto" w:fill="F0F0F0"/>
                </w:tcPr>
                <w:p>
                  <w:pPr>
                    <w:pStyle w:val="Normal"/>
                    <w:keepLines w:val="on"/>
                  </w:pPr>
                  <w:r>
                    <w:t>1995</w:t>
                  </w:r>
                </w:p>
              </w:tc>
              <w:tc>
                <w:tcPr>
                  <w:tcW w:type="auto" w:w="0"/>
                  <w:shd w:val="clear" w:color="auto" w:fill="F0F0F0"/>
                </w:tcPr>
                <w:p>
                  <w:pPr>
                    <w:pStyle w:val="Normal"/>
                    <w:keepLines w:val="on"/>
                  </w:pPr>
                  <w:r>
                    <w:t>−28,57%</w:t>
                  </w:r>
                </w:p>
              </w:tc>
              <w:tc>
                <w:tcPr>
                  <w:tcW w:type="auto" w:w="0"/>
                  <w:shd w:val="clear" w:color="auto" w:fill="F0F0F0"/>
                </w:tcPr>
                <w:p>
                  <w:pPr>
                    <w:pStyle w:val="Normal"/>
                    <w:keepLines w:val="on"/>
                  </w:pPr>
                  <w:r>
                    <w:t>28,86%</w:t>
                  </w:r>
                </w:p>
              </w:tc>
            </w:tr>
            <w:tr>
              <w:tc>
                <w:tcPr>
                  <w:tcW w:type="auto" w:w="0"/>
                  <w:shd w:val="clear" w:color="auto" w:fill="F0F0F0"/>
                </w:tcPr>
                <w:p>
                  <w:pPr>
                    <w:pStyle w:val="Normal"/>
                    <w:keepLines w:val="on"/>
                  </w:pPr>
                  <w:r>
                    <w:t>1996</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−6,36%</w:t>
                  </w:r>
                </w:p>
              </w:tc>
            </w:tr>
            <w:tr>
              <w:tc>
                <w:tcPr>
                  <w:tcW w:type="auto" w:w="0"/>
                  <w:shd w:val="clear" w:color="auto" w:fill="F0F0F0"/>
                </w:tcPr>
                <w:p>
                  <w:pPr>
                    <w:pStyle w:val="Normal"/>
                    <w:keepLines w:val="on"/>
                  </w:pPr>
                  <w:r>
                    <w:t>1997</w:t>
                  </w:r>
                </w:p>
              </w:tc>
              <w:tc>
                <w:tcPr>
                  <w:tcW w:type="auto" w:w="0"/>
                  <w:shd w:val="clear" w:color="auto" w:fill="F0F0F0"/>
                </w:tcPr>
                <w:p>
                  <w:pPr>
                    <w:pStyle w:val="Normal"/>
                    <w:keepLines w:val="on"/>
                  </w:pPr>
                  <w:r>
                    <w:t>11,67%</w:t>
                  </w:r>
                </w:p>
              </w:tc>
              <w:tc>
                <w:tcPr>
                  <w:tcW w:type="auto" w:w="0"/>
                  <w:shd w:val="clear" w:color="auto" w:fill="F0F0F0"/>
                </w:tcPr>
                <w:p>
                  <w:pPr>
                    <w:pStyle w:val="Normal"/>
                    <w:keepLines w:val="on"/>
                  </w:pPr>
                  <w:r>
                    <w:t>48,64%</w:t>
                  </w:r>
                </w:p>
              </w:tc>
            </w:tr>
            <w:tr>
              <w:tc>
                <w:tcPr>
                  <w:tcW w:type="auto" w:w="0"/>
                  <w:shd w:val="clear" w:color="auto" w:fill="F0F0F0"/>
                </w:tcPr>
                <w:p>
                  <w:pPr>
                    <w:pStyle w:val="Normal"/>
                    <w:keepLines w:val="on"/>
                  </w:pPr>
                  <w:r>
                    <w:t>1998</w:t>
                  </w:r>
                </w:p>
              </w:tc>
              <w:tc>
                <w:tcPr>
                  <w:tcW w:type="auto" w:w="0"/>
                  <w:shd w:val="clear" w:color="auto" w:fill="F0F0F0"/>
                </w:tcPr>
                <w:p>
                  <w:pPr>
                    <w:pStyle w:val="Normal"/>
                    <w:keepLines w:val="on"/>
                  </w:pPr>
                  <w:r>
                    <w:t>36,19%</w:t>
                  </w:r>
                </w:p>
              </w:tc>
              <w:tc>
                <w:tcPr>
                  <w:tcW w:type="auto" w:w="0"/>
                  <w:shd w:val="clear" w:color="auto" w:fill="F0F0F0"/>
                </w:tcPr>
                <w:p>
                  <w:pPr>
                    <w:pStyle w:val="Normal"/>
                    <w:keepLines w:val="on"/>
                  </w:pPr>
                  <w:r>
                    <w:t>23,55%</w:t>
                  </w:r>
                </w:p>
              </w:tc>
            </w:tr>
          </w:tbl>
          <w:p/>
        </w:tc>
      </w:tr>
    </w:tbl>
    <w:p>
      <w:pPr>
        <w:numPr>
          <w:ilvl w:val="1"/>
          <w:numId w:val="22"/>
        </w:numPr>
        <w:pStyle w:val="Para 01"/>
      </w:pPr>
      <w:r>
        <w:t>Hãy ước tính lợi nhuận trung bình hằng năm và độ lệch chuẩn của lợi nhuận hằng năm ở mỗi công ty.</w:t>
      </w:r>
    </w:p>
    <w:p>
      <w:pPr>
        <w:numPr>
          <w:ilvl w:val="1"/>
          <w:numId w:val="22"/>
        </w:numPr>
        <w:pStyle w:val="Para 01"/>
      </w:pPr>
      <w:r>
        <w:t>Hãy ước tính hiệp phương sai (covariance) và hệ số tương quan (correlation) của lợi nhuận giữa hai công ty.</w:t>
      </w:r>
    </w:p>
    <w:p>
      <w:pPr>
        <w:numPr>
          <w:ilvl w:val="1"/>
          <w:numId w:val="22"/>
        </w:numPr>
        <w:pStyle w:val="Para 01"/>
      </w:pPr>
      <w:r>
        <w:t>Hãy ước tính phương sai (variance) của một danh mục đầu tư được tạo thành từ hai khoản đầu tư với tỷ trọng bằng nhau.</w:t>
      </w:r>
    </w:p>
    <w:p>
      <w:pPr>
        <w:numPr>
          <w:ilvl w:val="0"/>
          <w:numId w:val="22"/>
        </w:numPr>
        <w:pStyle w:val="Para 01"/>
      </w:pPr>
      <w:r>
        <w:t>Bạn đang ở trong một thế giới chỉ có hai loại tài sản là vàng và cổ phiếu. Bạn muốn đầu tư tiền của mình vào một trong hai, hoặc cả hai loại tài sản này. Do đó, bạn thu thập dữ liệu sau đây về lợi nhuận của hai loại tài sản trong sáu năm qua.</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17"/>
                    <w:keepLines w:val="on"/>
                  </w:pPr>
                  <w:r>
                    <w:t>Vàng</w:t>
                  </w:r>
                </w:p>
              </w:tc>
              <w:tc>
                <w:tcPr>
                  <w:tcW w:type="auto" w:w="0"/>
                  <w:shd w:val="clear" w:color="auto" w:fill="F0F0F0"/>
                </w:tcPr>
                <w:p>
                  <w:pPr>
                    <w:pStyle w:val="Para 17"/>
                    <w:keepLines w:val="on"/>
                  </w:pPr>
                  <w:r>
                    <w:t>Thị trường chứng khoán</w:t>
                  </w:r>
                </w:p>
              </w:tc>
            </w:tr>
            <w:tr>
              <w:tc>
                <w:tcPr>
                  <w:tcW w:type="auto" w:w="0"/>
                  <w:shd w:val="clear" w:color="auto" w:fill="F0F0F0"/>
                </w:tcPr>
                <w:p>
                  <w:pPr>
                    <w:pStyle w:val="Para 02"/>
                    <w:keepLines w:val="on"/>
                  </w:pPr>
                  <w:r>
                    <w:t>Lợi nhuận trung bình</w:t>
                  </w:r>
                </w:p>
              </w:tc>
              <w:tc>
                <w:tcPr>
                  <w:tcW w:type="auto" w:w="0"/>
                  <w:shd w:val="clear" w:color="auto" w:fill="F0F0F0"/>
                </w:tcPr>
                <w:p>
                  <w:pPr>
                    <w:pStyle w:val="Normal"/>
                    <w:keepLines w:val="on"/>
                  </w:pPr>
                  <w:r>
                    <w:t>8%</w:t>
                  </w:r>
                </w:p>
              </w:tc>
              <w:tc>
                <w:tcPr>
                  <w:tcW w:type="auto" w:w="0"/>
                  <w:shd w:val="clear" w:color="auto" w:fill="F0F0F0"/>
                </w:tcPr>
                <w:p>
                  <w:pPr>
                    <w:pStyle w:val="Normal"/>
                    <w:keepLines w:val="on"/>
                  </w:pPr>
                  <w:r>
                    <w:t>20%</w:t>
                  </w:r>
                </w:p>
              </w:tc>
            </w:tr>
            <w:tr>
              <w:tc>
                <w:tcPr>
                  <w:tcW w:type="auto" w:w="0"/>
                  <w:shd w:val="clear" w:color="auto" w:fill="F0F0F0"/>
                </w:tcPr>
                <w:p>
                  <w:pPr>
                    <w:pStyle w:val="Para 02"/>
                    <w:keepLines w:val="on"/>
                  </w:pPr>
                  <w:r>
                    <w:t>Độ lệch chuẩn</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22%</w:t>
                  </w:r>
                </w:p>
              </w:tc>
            </w:tr>
            <w:tr>
              <w:tc>
                <w:tcPr>
                  <w:tcW w:type="auto" w:w="0"/>
                  <w:shd w:val="clear" w:color="auto" w:fill="F0F0F0"/>
                </w:tcPr>
                <w:p>
                  <w:pPr>
                    <w:pStyle w:val="Para 02"/>
                    <w:keepLines w:val="on"/>
                  </w:pPr>
                  <w:r>
                    <w:t>Hệ số tương quan</w:t>
                  </w:r>
                </w:p>
              </w:tc>
              <w:tc>
                <w:tcPr>
                  <w:tcW w:type="auto" w:w="0"/>
                  <w:shd w:val="clear" w:color="auto" w:fill="F0F0F0"/>
                </w:tcPr>
                <w:p>
                  <w:pPr>
                    <w:pStyle w:val="Normal"/>
                    <w:keepLines w:val="on"/>
                  </w:pPr>
                  <w:r>
                    <w:t>0,4</w:t>
                  </w:r>
                </w:p>
              </w:tc>
              <w:tc>
                <w:tcPr>
                  <w:tcW w:type="auto" w:w="0"/>
                  <w:shd w:val="clear" w:color="auto" w:fill="F0F0F0"/>
                </w:tcPr>
                <w:p>
                  <w:pPr>
                    <w:pStyle w:val="7 Block"/>
                    <w:keepLines w:val="on"/>
                  </w:pPr>
                </w:p>
              </w:tc>
            </w:tr>
          </w:tbl>
          <w:p/>
        </w:tc>
      </w:tr>
    </w:tbl>
    <w:p>
      <w:pPr>
        <w:numPr>
          <w:ilvl w:val="1"/>
          <w:numId w:val="22"/>
        </w:numPr>
        <w:pStyle w:val="Para 01"/>
      </w:pPr>
      <w:r>
        <w:t>Nếu bị buộc phải chọn chỉ một loại, bạn sẽ chọn loại nào?</w:t>
      </w:r>
    </w:p>
    <w:p>
      <w:pPr>
        <w:numPr>
          <w:ilvl w:val="1"/>
          <w:numId w:val="22"/>
        </w:numPr>
        <w:pStyle w:val="Para 01"/>
      </w:pPr>
      <w:r>
        <w:t>Một người bạn lập luận rằng điều này là sai. Anh ấy nói rằng bạn đang bỏ qua những khoản lợi nhuận lớn mà bạn có thể nhận được từ loại tài sản kia. Bạn sẽ làm thế nào để giải tỏa mối lo ngại của anh ấy?</w:t>
      </w:r>
    </w:p>
    <w:p>
      <w:pPr>
        <w:numPr>
          <w:ilvl w:val="1"/>
          <w:numId w:val="22"/>
        </w:numPr>
        <w:pStyle w:val="Para 01"/>
      </w:pPr>
      <w:r>
        <w:t>Một danh mục đầu tư gồm tỷ trọng bằng nhau giữa vàng và cổ phiếu sẽ có giá trị trung bình và phương sai như thế nào?</w:t>
      </w:r>
    </w:p>
    <w:p>
      <w:pPr>
        <w:numPr>
          <w:ilvl w:val="1"/>
          <w:numId w:val="22"/>
        </w:numPr>
        <w:pStyle w:val="Para 01"/>
      </w:pPr>
      <w:r>
        <w:t>Bây giờ bạn biết rằng GPEC (một cartel gồm các nước sản xuất vàng) sẽ thay đổi lượng vàng sản xuất tùy theo giá cổ phiếu ở Hoa Kỳ. (GPEC sẽ sản xuất ít vàng hơn khi thị trường chứng khoán tăng và nhiều hơn khi thị trường giảm.) Điều này sẽ ảnh hưởng gì đến danh mục đầu tư của bạn? Hãy giải thích.</w:t>
      </w:r>
    </w:p>
    <w:p>
      <w:pPr>
        <w:numPr>
          <w:ilvl w:val="0"/>
          <w:numId w:val="22"/>
        </w:numPr>
        <w:pStyle w:val="Para 01"/>
      </w:pPr>
      <w:r>
        <w:t>Bạn muốn tạo một danh mục đầu tư gồm hai cổ phiếu—Coca-Cola và Texas Utilities. Trong thập kỷ qua, khoản đầu tư vào cổ phiếu Coca-Cola sẽ mang lại lợi nhuận trung bình hàng năm là 25%, với độ lệch chuẩn của lợi nhuận là 36%. Khoản đầu tư vào cổ phiếu Texas Utilities sẽ mang lại lợi nhuận trung bình hàng năm là 12%, với độ lệch chuẩn là 22%. Hệ số tương quan về lợi nhuận giữa hai cổ phiếu là 0,28.</w:t>
      </w:r>
    </w:p>
    <w:p>
      <w:pPr>
        <w:numPr>
          <w:ilvl w:val="1"/>
          <w:numId w:val="22"/>
        </w:numPr>
        <w:pStyle w:val="Para 01"/>
      </w:pPr>
      <w:r>
        <w:t>Giả sử rằng lợi nhuận trung bình và độ lệch chuẩn, được ước tính bằng lợi nhuận trong quá khứ, sẽ tiếp tục giữ nguyên trong tương lai, hãy ước tính lợi nhuận trung bình và độ lệch chuẩn trong tương lai của một danh mục đầu tư gồm 60% Coca-Cola và 40% cổ phiếu Texas Utilities.</w:t>
      </w:r>
    </w:p>
    <w:p>
      <w:pPr>
        <w:numPr>
          <w:ilvl w:val="1"/>
          <w:numId w:val="22"/>
        </w:numPr>
        <w:pStyle w:val="Para 01"/>
      </w:pPr>
      <w:r>
        <w:t>Bây giờ giả sử rằng việc đa dạng hóa quốc tế của Coca-Cola sẽ làm giảm hệ số tương quan xuống 0,20, đồng thời làm tăng độ lệch chuẩn của lợi nhuận Coca-Cola lên 45%. Giả sử tất cả các số liệu khác không đổi, hãy ước tính một độ lệch chuẩn của danh mục đầu tư trong câu (a).</w:t>
      </w:r>
    </w:p>
    <w:p>
      <w:pPr>
        <w:numPr>
          <w:ilvl w:val="0"/>
          <w:numId w:val="22"/>
        </w:numPr>
        <w:pStyle w:val="Para 01"/>
      </w:pPr>
      <w:r>
        <w:t>Giả sử bạn đầu tư một nửa số tiền của mình vào Times Mirror, công ty truyền thông, và một nửa còn lại vào Unilever, công ty sản phẩm tiêu dùng. Lợi nhuận kỳ vọng và độ lệch chuẩn của hai khoản đầu tư là:</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17"/>
                    <w:keepLines w:val="on"/>
                  </w:pPr>
                  <w:r>
                    <w:t>Times Mirror</w:t>
                  </w:r>
                </w:p>
              </w:tc>
              <w:tc>
                <w:tcPr>
                  <w:tcW w:type="auto" w:w="0"/>
                  <w:shd w:val="clear" w:color="auto" w:fill="F0F0F0"/>
                </w:tcPr>
                <w:p>
                  <w:pPr>
                    <w:pStyle w:val="Para 17"/>
                    <w:keepLines w:val="on"/>
                  </w:pPr>
                  <w:r>
                    <w:t>Unilever</w:t>
                  </w:r>
                </w:p>
              </w:tc>
            </w:tr>
            <w:tr>
              <w:tc>
                <w:tcPr>
                  <w:tcW w:type="auto" w:w="0"/>
                  <w:shd w:val="clear" w:color="auto" w:fill="F0F0F0"/>
                </w:tcPr>
                <w:p>
                  <w:pPr>
                    <w:pStyle w:val="Para 02"/>
                    <w:keepLines w:val="on"/>
                  </w:pPr>
                  <w:r>
                    <w:t>Lợi nhuận kỳ vọng</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18%</w:t>
                  </w:r>
                </w:p>
              </w:tc>
            </w:tr>
            <w:tr>
              <w:tc>
                <w:tcPr>
                  <w:tcW w:type="auto" w:w="0"/>
                  <w:shd w:val="clear" w:color="auto" w:fill="F0F0F0"/>
                </w:tcPr>
                <w:p>
                  <w:pPr>
                    <w:pStyle w:val="Para 02"/>
                    <w:keepLines w:val="on"/>
                  </w:pPr>
                  <w:r>
                    <w:t>Độ lệch chuẩn</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40%</w:t>
                  </w:r>
                </w:p>
              </w:tc>
            </w:tr>
          </w:tbl>
          <w:p/>
        </w:tc>
      </w:tr>
    </w:tbl>
    <w:p>
      <w:pPr>
        <w:pStyle w:val="Para 03"/>
      </w:pPr>
      <w:r>
        <w:t>Hãy ước tính phương sai của danh mục đầu tư như một hàm của hệ số tương quan (bắt đầu với −1 và tăng hệ số tương quan lên +1 theo từng bước 0,2).</w:t>
      </w:r>
    </w:p>
    <w:p>
      <w:pPr>
        <w:numPr>
          <w:ilvl w:val="0"/>
          <w:numId w:val="22"/>
        </w:numPr>
        <w:pStyle w:val="Para 01"/>
      </w:pPr>
      <w:r>
        <w:t>Bạn được yêu cầu phân tích độ lệch chuẩn của một danh mục đầu tư gồm ba tài sản sau:</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17"/>
                    <w:keepLines w:val="on"/>
                  </w:pPr>
                  <w:r>
                    <w:t>Lợi nhuận kỳ vọng</w:t>
                  </w:r>
                </w:p>
              </w:tc>
              <w:tc>
                <w:tcPr>
                  <w:tcW w:type="auto" w:w="0"/>
                  <w:shd w:val="clear" w:color="auto" w:fill="F0F0F0"/>
                </w:tcPr>
                <w:p>
                  <w:pPr>
                    <w:pStyle w:val="Para 17"/>
                    <w:keepLines w:val="on"/>
                  </w:pPr>
                  <w:r>
                    <w:t>Độ lệch chuẩn</w:t>
                  </w:r>
                </w:p>
              </w:tc>
            </w:tr>
            <w:tr>
              <w:tc>
                <w:tcPr>
                  <w:tcW w:type="auto" w:w="0"/>
                  <w:shd w:val="clear" w:color="auto" w:fill="F0F0F0"/>
                </w:tcPr>
                <w:p>
                  <w:pPr>
                    <w:pStyle w:val="Para 02"/>
                    <w:keepLines w:val="on"/>
                  </w:pPr>
                  <w:r>
                    <w:t>Sony Corporation</w:t>
                  </w:r>
                </w:p>
              </w:tc>
              <w:tc>
                <w:tcPr>
                  <w:tcW w:type="auto" w:w="0"/>
                  <w:shd w:val="clear" w:color="auto" w:fill="F0F0F0"/>
                </w:tcPr>
                <w:p>
                  <w:pPr>
                    <w:pStyle w:val="Normal"/>
                    <w:keepLines w:val="on"/>
                  </w:pPr>
                  <w:r>
                    <w:t>11%</w:t>
                  </w:r>
                </w:p>
              </w:tc>
              <w:tc>
                <w:tcPr>
                  <w:tcW w:type="auto" w:w="0"/>
                  <w:shd w:val="clear" w:color="auto" w:fill="F0F0F0"/>
                </w:tcPr>
                <w:p>
                  <w:pPr>
                    <w:pStyle w:val="Normal"/>
                    <w:keepLines w:val="on"/>
                  </w:pPr>
                  <w:r>
                    <w:t>23%</w:t>
                  </w:r>
                </w:p>
              </w:tc>
            </w:tr>
            <w:tr>
              <w:tc>
                <w:tcPr>
                  <w:tcW w:type="auto" w:w="0"/>
                  <w:shd w:val="clear" w:color="auto" w:fill="F0F0F0"/>
                </w:tcPr>
                <w:p>
                  <w:pPr>
                    <w:pStyle w:val="Para 02"/>
                    <w:keepLines w:val="on"/>
                  </w:pPr>
                  <w:r>
                    <w:t>Tesoro Petroleum</w:t>
                  </w:r>
                </w:p>
              </w:tc>
              <w:tc>
                <w:tcPr>
                  <w:tcW w:type="auto" w:w="0"/>
                  <w:shd w:val="clear" w:color="auto" w:fill="F0F0F0"/>
                </w:tcPr>
                <w:p>
                  <w:pPr>
                    <w:pStyle w:val="Normal"/>
                    <w:keepLines w:val="on"/>
                  </w:pPr>
                  <w:r>
                    <w:t>9%</w:t>
                  </w:r>
                </w:p>
              </w:tc>
              <w:tc>
                <w:tcPr>
                  <w:tcW w:type="auto" w:w="0"/>
                  <w:shd w:val="clear" w:color="auto" w:fill="F0F0F0"/>
                </w:tcPr>
                <w:p>
                  <w:pPr>
                    <w:pStyle w:val="Normal"/>
                    <w:keepLines w:val="on"/>
                  </w:pPr>
                  <w:r>
                    <w:t>27%</w:t>
                  </w:r>
                </w:p>
              </w:tc>
            </w:tr>
            <w:tr>
              <w:tc>
                <w:tcPr>
                  <w:tcW w:type="auto" w:w="0"/>
                  <w:shd w:val="clear" w:color="auto" w:fill="F0F0F0"/>
                </w:tcPr>
                <w:p>
                  <w:pPr>
                    <w:pStyle w:val="Para 02"/>
                    <w:keepLines w:val="on"/>
                  </w:pPr>
                  <w:r>
                    <w:t>Storage Technology</w:t>
                  </w:r>
                </w:p>
              </w:tc>
              <w:tc>
                <w:tcPr>
                  <w:tcW w:type="auto" w:w="0"/>
                  <w:shd w:val="clear" w:color="auto" w:fill="F0F0F0"/>
                </w:tcPr>
                <w:p>
                  <w:pPr>
                    <w:pStyle w:val="Normal"/>
                    <w:keepLines w:val="on"/>
                  </w:pPr>
                  <w:r>
                    <w:t>16%</w:t>
                  </w:r>
                </w:p>
              </w:tc>
              <w:tc>
                <w:tcPr>
                  <w:tcW w:type="auto" w:w="0"/>
                  <w:shd w:val="clear" w:color="auto" w:fill="F0F0F0"/>
                </w:tcPr>
                <w:p>
                  <w:pPr>
                    <w:pStyle w:val="Normal"/>
                    <w:keepLines w:val="on"/>
                  </w:pPr>
                  <w:r>
                    <w:t>50%</w:t>
                  </w:r>
                </w:p>
              </w:tc>
            </w:tr>
          </w:tbl>
          <w:p/>
        </w:tc>
      </w:tr>
    </w:tbl>
    <w:p>
      <w:pPr>
        <w:pStyle w:val="Para 03"/>
      </w:pPr>
      <w:r>
        <w:t>Bạn cũng đã được cung cấp các mối tương quan (correlation) giữa ba khoản đầu tư này:</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29"/>
                    <w:keepLines w:val="on"/>
                  </w:pPr>
                  <w:r>
                    <w:t>Sony Corporation</w:t>
                  </w:r>
                </w:p>
              </w:tc>
              <w:tc>
                <w:tcPr>
                  <w:tcW w:type="auto" w:w="0"/>
                  <w:shd w:val="clear" w:color="auto" w:fill="F0F0F0"/>
                </w:tcPr>
                <w:p>
                  <w:pPr>
                    <w:pStyle w:val="Para 29"/>
                    <w:keepLines w:val="on"/>
                  </w:pPr>
                  <w:r>
                    <w:t>Tesoro Petroleum</w:t>
                  </w:r>
                </w:p>
              </w:tc>
              <w:tc>
                <w:tcPr>
                  <w:tcW w:type="auto" w:w="0"/>
                  <w:shd w:val="clear" w:color="auto" w:fill="F0F0F0"/>
                </w:tcPr>
                <w:p>
                  <w:pPr>
                    <w:pStyle w:val="Para 17"/>
                    <w:keepLines w:val="on"/>
                  </w:pPr>
                  <w:r>
                    <w:t>Storage Technology</w:t>
                  </w:r>
                </w:p>
              </w:tc>
            </w:tr>
            <w:tr>
              <w:tc>
                <w:tcPr>
                  <w:tcW w:type="auto" w:w="0"/>
                  <w:shd w:val="clear" w:color="auto" w:fill="F0F0F0"/>
                </w:tcPr>
                <w:p>
                  <w:pPr>
                    <w:pStyle w:val="Para 02"/>
                    <w:keepLines w:val="on"/>
                  </w:pPr>
                  <w:r>
                    <w:t>Sony Corporation</w:t>
                  </w:r>
                </w:p>
              </w:tc>
              <w:tc>
                <w:tcPr>
                  <w:tcW w:type="auto" w:w="0"/>
                  <w:shd w:val="clear" w:color="auto" w:fill="F0F0F0"/>
                </w:tcPr>
                <w:p>
                  <w:pPr>
                    <w:pStyle w:val="Normal"/>
                    <w:keepLines w:val="on"/>
                  </w:pPr>
                  <w:r>
                    <w:t>1</w:t>
                  </w:r>
                </w:p>
              </w:tc>
              <w:tc>
                <w:tcPr>
                  <w:tcW w:type="auto" w:w="0"/>
                  <w:shd w:val="clear" w:color="auto" w:fill="F0F0F0"/>
                </w:tcPr>
                <w:p>
                  <w:pPr>
                    <w:pStyle w:val="Normal"/>
                    <w:keepLines w:val="on"/>
                  </w:pPr>
                  <w:r>
                    <w:t>−0,15</w:t>
                  </w:r>
                </w:p>
              </w:tc>
              <w:tc>
                <w:tcPr>
                  <w:tcW w:type="auto" w:w="0"/>
                  <w:shd w:val="clear" w:color="auto" w:fill="F0F0F0"/>
                </w:tcPr>
                <w:p>
                  <w:pPr>
                    <w:pStyle w:val="Normal"/>
                    <w:keepLines w:val="on"/>
                  </w:pPr>
                  <w:r>
                    <w:t>0,2</w:t>
                  </w:r>
                </w:p>
              </w:tc>
            </w:tr>
            <w:tr>
              <w:tc>
                <w:tcPr>
                  <w:tcW w:type="auto" w:w="0"/>
                  <w:shd w:val="clear" w:color="auto" w:fill="F0F0F0"/>
                </w:tcPr>
                <w:p>
                  <w:pPr>
                    <w:pStyle w:val="Para 02"/>
                    <w:keepLines w:val="on"/>
                  </w:pPr>
                  <w:r>
                    <w:t>Tesoro Petroleum</w:t>
                  </w:r>
                </w:p>
              </w:tc>
              <w:tc>
                <w:tcPr>
                  <w:tcW w:type="auto" w:w="0"/>
                  <w:shd w:val="clear" w:color="auto" w:fill="F0F0F0"/>
                </w:tcPr>
                <w:p>
                  <w:pPr>
                    <w:pStyle w:val="Normal"/>
                    <w:keepLines w:val="on"/>
                  </w:pPr>
                  <w:r>
                    <w:t>−0,15</w:t>
                  </w:r>
                </w:p>
              </w:tc>
              <w:tc>
                <w:tcPr>
                  <w:tcW w:type="auto" w:w="0"/>
                  <w:shd w:val="clear" w:color="auto" w:fill="F0F0F0"/>
                </w:tcPr>
                <w:p>
                  <w:pPr>
                    <w:pStyle w:val="Normal"/>
                    <w:keepLines w:val="on"/>
                  </w:pPr>
                  <w:r>
                    <w:t>1</w:t>
                  </w:r>
                </w:p>
              </w:tc>
              <w:tc>
                <w:tcPr>
                  <w:tcW w:type="auto" w:w="0"/>
                  <w:shd w:val="clear" w:color="auto" w:fill="F0F0F0"/>
                </w:tcPr>
                <w:p>
                  <w:pPr>
                    <w:pStyle w:val="Normal"/>
                    <w:keepLines w:val="on"/>
                  </w:pPr>
                  <w:r>
                    <w:t>−0,25</w:t>
                  </w:r>
                </w:p>
              </w:tc>
            </w:tr>
            <w:tr>
              <w:tc>
                <w:tcPr>
                  <w:tcW w:type="auto" w:w="0"/>
                  <w:shd w:val="clear" w:color="auto" w:fill="F0F0F0"/>
                </w:tcPr>
                <w:p>
                  <w:pPr>
                    <w:pStyle w:val="Para 02"/>
                    <w:keepLines w:val="on"/>
                  </w:pPr>
                  <w:r>
                    <w:t>Storage Technology</w:t>
                  </w:r>
                </w:p>
              </w:tc>
              <w:tc>
                <w:tcPr>
                  <w:tcW w:type="auto" w:w="0"/>
                  <w:shd w:val="clear" w:color="auto" w:fill="F0F0F0"/>
                </w:tcPr>
                <w:p>
                  <w:pPr>
                    <w:pStyle w:val="Normal"/>
                    <w:keepLines w:val="on"/>
                  </w:pPr>
                  <w:r>
                    <w:t>0,2</w:t>
                  </w:r>
                </w:p>
              </w:tc>
              <w:tc>
                <w:tcPr>
                  <w:tcW w:type="auto" w:w="0"/>
                  <w:shd w:val="clear" w:color="auto" w:fill="F0F0F0"/>
                </w:tcPr>
                <w:p>
                  <w:pPr>
                    <w:pStyle w:val="Normal"/>
                    <w:keepLines w:val="on"/>
                  </w:pPr>
                  <w:r>
                    <w:t>−0,25</w:t>
                  </w:r>
                </w:p>
              </w:tc>
              <w:tc>
                <w:tcPr>
                  <w:tcW w:type="auto" w:w="0"/>
                  <w:shd w:val="clear" w:color="auto" w:fill="F0F0F0"/>
                </w:tcPr>
                <w:p>
                  <w:pPr>
                    <w:pStyle w:val="Normal"/>
                    <w:keepLines w:val="on"/>
                  </w:pPr>
                  <w:r>
                    <w:t>1</w:t>
                  </w:r>
                </w:p>
              </w:tc>
            </w:tr>
          </w:tbl>
          <w:p/>
        </w:tc>
      </w:tr>
    </w:tbl>
    <w:p>
      <w:pPr>
        <w:pStyle w:val="Para 03"/>
      </w:pPr>
      <w:r>
        <w:t>Hãy ước tính phương sai (variance) của một danh mục đầu tư (portfolio) được phân bổ trọng số bằng nhau giữa cả ba tài sản.</w:t>
      </w:r>
    </w:p>
    <w:p>
      <w:pPr>
        <w:numPr>
          <w:ilvl w:val="0"/>
          <w:numId w:val="22"/>
        </w:numPr>
        <w:pStyle w:val="Para 01"/>
      </w:pPr>
      <w:r>
        <w:t>Giả sử rằng phương sai trung bình của lợi nhuận (return) đối với một chứng khoán riêng lẻ là 50 và hiệp phương sai trung bình (average covariance) là 10. Phương sai kỳ vọng của một danh mục đầu tư gồm 5, 10, 20, 50 và 100 chứng khoán là bao nhiêu? Cần nắm giữ bao nhiêu chứng khoán để rủi ro của danh mục đầu tư chỉ cao hơn mức tối thiểu 10%?</w:t>
      </w:r>
    </w:p>
    <w:p>
      <w:pPr>
        <w:numPr>
          <w:ilvl w:val="0"/>
          <w:numId w:val="22"/>
        </w:numPr>
        <w:pStyle w:val="Para 01"/>
      </w:pPr>
      <w:r>
        <w:t>Giả sử bạn có toàn bộ tài sản của mình (một triệu đô la) đầu tư vào quỹ chỉ số Vanguard 500, và bạn kỳ vọng sẽ kiếm được lợi nhuận hàng năm là 12%, với độ lệch chuẩn (standard deviation) của lợi nhuận là 25%. Vì bạn đã trở nên ngại rủi ro hơn, bạn quyết định chuyển 200.000 đô la từ quỹ chỉ số Vanguard 500 sang tín phiếu kho bạc (Treasury bills). Lãi suất tín phiếu kho bạc là 5%. Hãy ước tính lợi nhuận kỳ vọng và độ lệch chuẩn của danh mục đầu tư mới của bạn.</w:t>
      </w:r>
    </w:p>
    <w:p>
      <w:pPr>
        <w:numPr>
          <w:ilvl w:val="0"/>
          <w:numId w:val="22"/>
        </w:numPr>
        <w:pStyle w:val="Para 01"/>
      </w:pPr>
      <w:r>
        <w:t>Mọi nhà đầu tư trong mô hình định giá tài sản vốn (capital asset pricing model) đều sở hữu một sự kết hợp giữa danh mục thị trường (market portfolio) và một tài sản phi rủi ro (riskless asset). Giả sử rằng độ lệch chuẩn của danh mục thị trường là 30% và lợi nhuận kỳ vọng của danh mục này là 15%. Bạn sẽ đề xuất các nhà đầu tư sau đây đầu tư bao nhiêu phần tài sản của họ vào danh mục thị trường và bao nhiêu phần vào tài sản phi rủi ro? (Tài sản phi rủi ro có lợi nhuận kỳ vọng là 5%.)</w:t>
      </w:r>
    </w:p>
    <w:p>
      <w:pPr>
        <w:numPr>
          <w:ilvl w:val="1"/>
          <w:numId w:val="22"/>
        </w:numPr>
        <w:pStyle w:val="Para 01"/>
      </w:pPr>
      <w:r>
        <w:t>Một nhà đầu tư mong muốn một danh mục đầu tư không có độ lệch chuẩn.</w:t>
      </w:r>
    </w:p>
    <w:p>
      <w:pPr>
        <w:numPr>
          <w:ilvl w:val="1"/>
          <w:numId w:val="22"/>
        </w:numPr>
        <w:pStyle w:val="Para 01"/>
      </w:pPr>
      <w:r>
        <w:t>Một nhà đầu tư mong muốn một danh mục đầu tư có độ lệch chuẩn là 15%.</w:t>
      </w:r>
    </w:p>
    <w:p>
      <w:pPr>
        <w:numPr>
          <w:ilvl w:val="1"/>
          <w:numId w:val="22"/>
        </w:numPr>
        <w:pStyle w:val="Para 01"/>
      </w:pPr>
      <w:r>
        <w:t>Một nhà đầu tư mong muốn một danh mục đầu tư có độ lệch chuẩn là 30%.</w:t>
      </w:r>
    </w:p>
    <w:p>
      <w:pPr>
        <w:numPr>
          <w:ilvl w:val="1"/>
          <w:numId w:val="22"/>
        </w:numPr>
        <w:pStyle w:val="Para 01"/>
      </w:pPr>
      <w:r>
        <w:t>Một nhà đầu tư muốn có một danh mục với độ lệch chuẩn là 45%.</w:t>
      </w:r>
    </w:p>
    <w:p>
      <w:pPr>
        <w:numPr>
          <w:ilvl w:val="1"/>
          <w:numId w:val="22"/>
        </w:numPr>
        <w:pStyle w:val="Para 01"/>
      </w:pPr>
      <w:r>
        <w:t>Một nhà đầu tư muốn có một danh mục với lợi nhuận kỳ vọng là 12%.</w:t>
      </w:r>
    </w:p>
    <w:p>
      <w:pPr>
        <w:numPr>
          <w:ilvl w:val="0"/>
          <w:numId w:val="22"/>
        </w:numPr>
        <w:pStyle w:val="Para 01"/>
      </w:pPr>
      <w:r>
        <w:t>Bảng sau đây liệt kê lợi nhuận của danh mục thị trường và của Scientific Atlanta, mỗi năm từ 1989 đến 1998.</w:t>
      </w:r>
    </w:p>
    <w:tbl>
      <w:tblPr>
        <w:tblW w:type="auto" w:w="0"/>
      </w:tblPr>
      <w:tr>
        <w:tc>
          <w:tcPr>
            <w:tcW w:type="auto" w:w="0"/>
          </w:tcPr>
          <w:tbl>
            <w:tblPr>
              <w:tblW w:type="auto" w:w="0"/>
            </w:tblPr>
            <w:tr>
              <w:tc>
                <w:tcPr>
                  <w:tcW w:type="auto" w:w="0"/>
                  <w:shd w:val="clear" w:color="auto" w:fill="F0F0F0"/>
                </w:tcPr>
                <w:p>
                  <w:pPr>
                    <w:pStyle w:val="Para 17"/>
                    <w:keepLines w:val="on"/>
                  </w:pPr>
                  <w:r>
                    <w:t>Năm</w:t>
                  </w:r>
                </w:p>
              </w:tc>
              <w:tc>
                <w:tcPr>
                  <w:tcW w:type="auto" w:w="0"/>
                  <w:shd w:val="clear" w:color="auto" w:fill="F0F0F0"/>
                </w:tcPr>
                <w:p>
                  <w:pPr>
                    <w:pStyle w:val="Para 17"/>
                    <w:keepLines w:val="on"/>
                  </w:pPr>
                  <w:r>
                    <w:t>Scientific Atlanta</w:t>
                  </w:r>
                </w:p>
              </w:tc>
              <w:tc>
                <w:tcPr>
                  <w:tcW w:type="auto" w:w="0"/>
                  <w:shd w:val="clear" w:color="auto" w:fill="F0F0F0"/>
                </w:tcPr>
                <w:p>
                  <w:pPr>
                    <w:pStyle w:val="Para 17"/>
                    <w:keepLines w:val="on"/>
                  </w:pPr>
                  <w:r>
                    <w:t>Danh mục thị trường</w:t>
                  </w:r>
                </w:p>
              </w:tc>
            </w:tr>
            <w:tr>
              <w:tc>
                <w:tcPr>
                  <w:tcW w:type="auto" w:w="0"/>
                  <w:shd w:val="clear" w:color="auto" w:fill="F0F0F0"/>
                </w:tcPr>
                <w:p>
                  <w:pPr>
                    <w:pStyle w:val="Normal"/>
                    <w:keepLines w:val="on"/>
                  </w:pPr>
                  <w:r>
                    <w:t>1989</w:t>
                  </w:r>
                </w:p>
              </w:tc>
              <w:tc>
                <w:tcPr>
                  <w:tcW w:type="auto" w:w="0"/>
                  <w:shd w:val="clear" w:color="auto" w:fill="F0F0F0"/>
                </w:tcPr>
                <w:p>
                  <w:pPr>
                    <w:pStyle w:val="Normal"/>
                    <w:keepLines w:val="on"/>
                  </w:pPr>
                  <w:r>
                    <w:t>80,95%</w:t>
                  </w:r>
                </w:p>
              </w:tc>
              <w:tc>
                <w:tcPr>
                  <w:tcW w:type="auto" w:w="0"/>
                  <w:shd w:val="clear" w:color="auto" w:fill="F0F0F0"/>
                </w:tcPr>
                <w:p>
                  <w:pPr>
                    <w:pStyle w:val="Normal"/>
                    <w:keepLines w:val="on"/>
                  </w:pPr>
                  <w:r>
                    <w:t>31,49%</w:t>
                  </w:r>
                </w:p>
              </w:tc>
            </w:tr>
            <w:tr>
              <w:tc>
                <w:tcPr>
                  <w:tcW w:type="auto" w:w="0"/>
                  <w:shd w:val="clear" w:color="auto" w:fill="F0F0F0"/>
                </w:tcPr>
                <w:p>
                  <w:pPr>
                    <w:pStyle w:val="Normal"/>
                    <w:keepLines w:val="on"/>
                  </w:pPr>
                  <w:r>
                    <w:t>1990</w:t>
                  </w:r>
                </w:p>
              </w:tc>
              <w:tc>
                <w:tcPr>
                  <w:tcW w:type="auto" w:w="0"/>
                  <w:shd w:val="clear" w:color="auto" w:fill="F0F0F0"/>
                </w:tcPr>
                <w:p>
                  <w:pPr>
                    <w:pStyle w:val="Normal"/>
                    <w:keepLines w:val="on"/>
                  </w:pPr>
                  <w:r>
                    <w:t>−47,37%</w:t>
                  </w:r>
                </w:p>
              </w:tc>
              <w:tc>
                <w:tcPr>
                  <w:tcW w:type="auto" w:w="0"/>
                  <w:shd w:val="clear" w:color="auto" w:fill="F0F0F0"/>
                </w:tcPr>
                <w:p>
                  <w:pPr>
                    <w:pStyle w:val="Normal"/>
                    <w:keepLines w:val="on"/>
                  </w:pPr>
                  <w:r>
                    <w:t>−3,17%</w:t>
                  </w:r>
                </w:p>
              </w:tc>
            </w:tr>
            <w:tr>
              <w:tc>
                <w:tcPr>
                  <w:tcW w:type="auto" w:w="0"/>
                  <w:shd w:val="clear" w:color="auto" w:fill="F0F0F0"/>
                </w:tcPr>
                <w:p>
                  <w:pPr>
                    <w:pStyle w:val="Normal"/>
                    <w:keepLines w:val="on"/>
                  </w:pPr>
                  <w:r>
                    <w:t>1991</w:t>
                  </w:r>
                </w:p>
              </w:tc>
              <w:tc>
                <w:tcPr>
                  <w:tcW w:type="auto" w:w="0"/>
                  <w:shd w:val="clear" w:color="auto" w:fill="F0F0F0"/>
                </w:tcPr>
                <w:p>
                  <w:pPr>
                    <w:pStyle w:val="Normal"/>
                    <w:keepLines w:val="on"/>
                  </w:pPr>
                  <w:r>
                    <w:t>31,00%</w:t>
                  </w:r>
                </w:p>
              </w:tc>
              <w:tc>
                <w:tcPr>
                  <w:tcW w:type="auto" w:w="0"/>
                  <w:shd w:val="clear" w:color="auto" w:fill="F0F0F0"/>
                </w:tcPr>
                <w:p>
                  <w:pPr>
                    <w:pStyle w:val="Normal"/>
                    <w:keepLines w:val="on"/>
                  </w:pPr>
                  <w:r>
                    <w:t>30,57%</w:t>
                  </w:r>
                </w:p>
              </w:tc>
            </w:tr>
            <w:tr>
              <w:tc>
                <w:tcPr>
                  <w:tcW w:type="auto" w:w="0"/>
                  <w:shd w:val="clear" w:color="auto" w:fill="F0F0F0"/>
                </w:tcPr>
                <w:p>
                  <w:pPr>
                    <w:pStyle w:val="Normal"/>
                    <w:keepLines w:val="on"/>
                  </w:pPr>
                  <w:r>
                    <w:t>1992</w:t>
                  </w:r>
                </w:p>
              </w:tc>
              <w:tc>
                <w:tcPr>
                  <w:tcW w:type="auto" w:w="0"/>
                  <w:shd w:val="clear" w:color="auto" w:fill="F0F0F0"/>
                </w:tcPr>
                <w:p>
                  <w:pPr>
                    <w:pStyle w:val="Normal"/>
                    <w:keepLines w:val="on"/>
                  </w:pPr>
                  <w:r>
                    <w:t>132,44%</w:t>
                  </w:r>
                </w:p>
              </w:tc>
              <w:tc>
                <w:tcPr>
                  <w:tcW w:type="auto" w:w="0"/>
                  <w:shd w:val="clear" w:color="auto" w:fill="F0F0F0"/>
                </w:tcPr>
                <w:p>
                  <w:pPr>
                    <w:pStyle w:val="Normal"/>
                    <w:keepLines w:val="on"/>
                  </w:pPr>
                  <w:r>
                    <w:t>7,58%</w:t>
                  </w:r>
                </w:p>
              </w:tc>
            </w:tr>
            <w:tr>
              <w:tc>
                <w:tcPr>
                  <w:tcW w:type="auto" w:w="0"/>
                  <w:shd w:val="clear" w:color="auto" w:fill="F0F0F0"/>
                </w:tcPr>
                <w:p>
                  <w:pPr>
                    <w:pStyle w:val="Normal"/>
                    <w:keepLines w:val="on"/>
                  </w:pPr>
                  <w:r>
                    <w:t>1993</w:t>
                  </w:r>
                </w:p>
              </w:tc>
              <w:tc>
                <w:tcPr>
                  <w:tcW w:type="auto" w:w="0"/>
                  <w:shd w:val="clear" w:color="auto" w:fill="F0F0F0"/>
                </w:tcPr>
                <w:p>
                  <w:pPr>
                    <w:pStyle w:val="Normal"/>
                    <w:keepLines w:val="on"/>
                  </w:pPr>
                  <w:r>
                    <w:t>32,02%</w:t>
                  </w:r>
                </w:p>
              </w:tc>
              <w:tc>
                <w:tcPr>
                  <w:tcW w:type="auto" w:w="0"/>
                  <w:shd w:val="clear" w:color="auto" w:fill="F0F0F0"/>
                </w:tcPr>
                <w:p>
                  <w:pPr>
                    <w:pStyle w:val="Normal"/>
                    <w:keepLines w:val="on"/>
                  </w:pPr>
                  <w:r>
                    <w:t>10,36%</w:t>
                  </w:r>
                </w:p>
              </w:tc>
            </w:tr>
            <w:tr>
              <w:tc>
                <w:tcPr>
                  <w:tcW w:type="auto" w:w="0"/>
                  <w:shd w:val="clear" w:color="auto" w:fill="F0F0F0"/>
                </w:tcPr>
                <w:p>
                  <w:pPr>
                    <w:pStyle w:val="Normal"/>
                    <w:keepLines w:val="on"/>
                  </w:pPr>
                  <w:r>
                    <w:t>1994</w:t>
                  </w:r>
                </w:p>
              </w:tc>
              <w:tc>
                <w:tcPr>
                  <w:tcW w:type="auto" w:w="0"/>
                  <w:shd w:val="clear" w:color="auto" w:fill="F0F0F0"/>
                </w:tcPr>
                <w:p>
                  <w:pPr>
                    <w:pStyle w:val="Normal"/>
                    <w:keepLines w:val="on"/>
                  </w:pPr>
                  <w:r>
                    <w:t>25,37%</w:t>
                  </w:r>
                </w:p>
              </w:tc>
              <w:tc>
                <w:tcPr>
                  <w:tcW w:type="auto" w:w="0"/>
                  <w:shd w:val="clear" w:color="auto" w:fill="F0F0F0"/>
                </w:tcPr>
                <w:p>
                  <w:pPr>
                    <w:pStyle w:val="Normal"/>
                    <w:keepLines w:val="on"/>
                  </w:pPr>
                  <w:r>
                    <w:t>2,55%</w:t>
                  </w:r>
                </w:p>
              </w:tc>
            </w:tr>
            <w:tr>
              <w:tc>
                <w:tcPr>
                  <w:tcW w:type="auto" w:w="0"/>
                  <w:shd w:val="clear" w:color="auto" w:fill="F0F0F0"/>
                </w:tcPr>
                <w:p>
                  <w:pPr>
                    <w:pStyle w:val="Normal"/>
                    <w:keepLines w:val="on"/>
                  </w:pPr>
                  <w:r>
                    <w:t>1995</w:t>
                  </w:r>
                </w:p>
              </w:tc>
              <w:tc>
                <w:tcPr>
                  <w:tcW w:type="auto" w:w="0"/>
                  <w:shd w:val="clear" w:color="auto" w:fill="F0F0F0"/>
                </w:tcPr>
                <w:p>
                  <w:pPr>
                    <w:pStyle w:val="Normal"/>
                    <w:keepLines w:val="on"/>
                  </w:pPr>
                  <w:r>
                    <w:t>−28,57%</w:t>
                  </w:r>
                </w:p>
              </w:tc>
              <w:tc>
                <w:tcPr>
                  <w:tcW w:type="auto" w:w="0"/>
                  <w:shd w:val="clear" w:color="auto" w:fill="F0F0F0"/>
                </w:tcPr>
                <w:p>
                  <w:pPr>
                    <w:pStyle w:val="Normal"/>
                    <w:keepLines w:val="on"/>
                  </w:pPr>
                  <w:r>
                    <w:t>37,57%</w:t>
                  </w:r>
                </w:p>
              </w:tc>
            </w:tr>
            <w:tr>
              <w:tc>
                <w:tcPr>
                  <w:tcW w:type="auto" w:w="0"/>
                  <w:shd w:val="clear" w:color="auto" w:fill="F0F0F0"/>
                </w:tcPr>
                <w:p>
                  <w:pPr>
                    <w:pStyle w:val="Normal"/>
                    <w:keepLines w:val="on"/>
                  </w:pPr>
                  <w:r>
                    <w:t>1996</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22,68%</w:t>
                  </w:r>
                </w:p>
              </w:tc>
            </w:tr>
            <w:tr>
              <w:tc>
                <w:tcPr>
                  <w:tcW w:type="auto" w:w="0"/>
                  <w:shd w:val="clear" w:color="auto" w:fill="F0F0F0"/>
                </w:tcPr>
                <w:p>
                  <w:pPr>
                    <w:pStyle w:val="Normal"/>
                    <w:keepLines w:val="on"/>
                  </w:pPr>
                  <w:r>
                    <w:t>1997</w:t>
                  </w:r>
                </w:p>
              </w:tc>
              <w:tc>
                <w:tcPr>
                  <w:tcW w:type="auto" w:w="0"/>
                  <w:shd w:val="clear" w:color="auto" w:fill="F0F0F0"/>
                </w:tcPr>
                <w:p>
                  <w:pPr>
                    <w:pStyle w:val="Normal"/>
                    <w:keepLines w:val="on"/>
                  </w:pPr>
                  <w:r>
                    <w:t>11,67%</w:t>
                  </w:r>
                </w:p>
              </w:tc>
              <w:tc>
                <w:tcPr>
                  <w:tcW w:type="auto" w:w="0"/>
                  <w:shd w:val="clear" w:color="auto" w:fill="F0F0F0"/>
                </w:tcPr>
                <w:p>
                  <w:pPr>
                    <w:pStyle w:val="Normal"/>
                    <w:keepLines w:val="on"/>
                  </w:pPr>
                  <w:r>
                    <w:t>33,10%</w:t>
                  </w:r>
                </w:p>
              </w:tc>
            </w:tr>
            <w:tr>
              <w:tc>
                <w:tcPr>
                  <w:tcW w:type="auto" w:w="0"/>
                  <w:shd w:val="clear" w:color="auto" w:fill="F0F0F0"/>
                </w:tcPr>
                <w:p>
                  <w:pPr>
                    <w:pStyle w:val="Normal"/>
                    <w:keepLines w:val="on"/>
                  </w:pPr>
                  <w:r>
                    <w:t>1998</w:t>
                  </w:r>
                </w:p>
              </w:tc>
              <w:tc>
                <w:tcPr>
                  <w:tcW w:type="auto" w:w="0"/>
                  <w:shd w:val="clear" w:color="auto" w:fill="F0F0F0"/>
                </w:tcPr>
                <w:p>
                  <w:pPr>
                    <w:pStyle w:val="Normal"/>
                    <w:keepLines w:val="on"/>
                  </w:pPr>
                  <w:r>
                    <w:t>36,19%</w:t>
                  </w:r>
                </w:p>
              </w:tc>
              <w:tc>
                <w:tcPr>
                  <w:tcW w:type="auto" w:w="0"/>
                  <w:shd w:val="clear" w:color="auto" w:fill="F0F0F0"/>
                </w:tcPr>
                <w:p>
                  <w:pPr>
                    <w:pStyle w:val="Normal"/>
                    <w:keepLines w:val="on"/>
                  </w:pPr>
                  <w:r>
                    <w:t>28,32%</w:t>
                  </w:r>
                </w:p>
              </w:tc>
            </w:tr>
          </w:tbl>
          <w:p/>
        </w:tc>
      </w:tr>
    </w:tbl>
    <w:p>
      <w:pPr>
        <w:numPr>
          <w:ilvl w:val="1"/>
          <w:numId w:val="22"/>
        </w:numPr>
        <w:pStyle w:val="Para 01"/>
      </w:pPr>
      <w:r>
        <w:t>Ước tính hiệp phương sai (covariance) của lợi nhuận giữa Scientific Atlanta và danh mục thị trường (market portfolio).</w:t>
      </w:r>
    </w:p>
    <w:p>
      <w:pPr>
        <w:numPr>
          <w:ilvl w:val="1"/>
          <w:numId w:val="22"/>
        </w:numPr>
        <w:pStyle w:val="Para 01"/>
      </w:pPr>
      <w:r>
        <w:t>Ước tính phương sai (variance) của lợi nhuận trên cả hai khoản đầu tư.</w:t>
      </w:r>
    </w:p>
    <w:p>
      <w:pPr>
        <w:numPr>
          <w:ilvl w:val="1"/>
          <w:numId w:val="22"/>
        </w:numPr>
        <w:pStyle w:val="Para 01"/>
      </w:pPr>
      <w:r>
        <w:t>Ước tính beta cho Scientific Atlanta.</w:t>
      </w:r>
    </w:p>
    <w:p>
      <w:pPr>
        <w:numPr>
          <w:ilvl w:val="0"/>
          <w:numId w:val="22"/>
        </w:numPr>
        <w:pStyle w:val="Para 01"/>
      </w:pPr>
      <w:r>
        <w:t>United Airlines có beta là 1,5. Độ lệch chuẩn (standard deviation) của danh mục thị trường là 22%, và United Airlines có độ lệch chuẩn là 66%.</w:t>
      </w:r>
    </w:p>
    <w:p>
      <w:pPr>
        <w:numPr>
          <w:ilvl w:val="1"/>
          <w:numId w:val="22"/>
        </w:numPr>
        <w:pStyle w:val="Para 01"/>
      </w:pPr>
      <w:r>
        <w:t>Ước tính mối tương quan (correlation) giữa United Airlines và danh mục thị trường.</w:t>
      </w:r>
    </w:p>
    <w:p>
      <w:pPr>
        <w:numPr>
          <w:ilvl w:val="1"/>
          <w:numId w:val="22"/>
        </w:numPr>
        <w:pStyle w:val="Para 01"/>
      </w:pPr>
      <w:r>
        <w:t>Tỷ lệ rủi ro của United Airlines là rủi ro thị trường (market risk) chiếm bao nhiêu?</w:t>
      </w:r>
    </w:p>
    <w:p>
      <w:pPr>
        <w:numPr>
          <w:ilvl w:val="0"/>
          <w:numId w:val="22"/>
        </w:numPr>
        <w:pStyle w:val="Para 01"/>
      </w:pPr>
      <w:r>
        <w:t>Bạn đang sử dụng mô hình định giá chênh lệch (arbitrage pricing model) để ước tính lợi nhuận kỳ vọng (expected return) của Bethlehem Steel, và đã đưa ra các ước tính sau cho beta của các nhân tố (factor betas) và phần bù rủi ro (risk premium):</w:t>
      </w:r>
    </w:p>
    <w:tbl>
      <w:tblPr>
        <w:tblW w:type="auto" w:w="0"/>
      </w:tblPr>
      <w:tr>
        <w:tc>
          <w:tcPr>
            <w:tcW w:type="auto" w:w="0"/>
          </w:tcPr>
          <w:tbl>
            <w:tblPr>
              <w:tblW w:type="auto" w:w="0"/>
            </w:tblPr>
            <w:tr>
              <w:tc>
                <w:tcPr>
                  <w:tcW w:type="auto" w:w="0"/>
                  <w:shd w:val="clear" w:color="auto" w:fill="F0F0F0"/>
                </w:tcPr>
                <w:p>
                  <w:pPr>
                    <w:pStyle w:val="Para 17"/>
                    <w:keepLines w:val="on"/>
                  </w:pPr>
                  <w:r>
                    <w:t>Nhân tố</w:t>
                  </w:r>
                </w:p>
              </w:tc>
              <w:tc>
                <w:tcPr>
                  <w:tcW w:type="auto" w:w="0"/>
                  <w:shd w:val="clear" w:color="auto" w:fill="F0F0F0"/>
                </w:tcPr>
                <w:p>
                  <w:pPr>
                    <w:pStyle w:val="Para 17"/>
                    <w:keepLines w:val="on"/>
                  </w:pPr>
                  <w:r>
                    <w:t>Beta</w:t>
                  </w:r>
                </w:p>
              </w:tc>
              <w:tc>
                <w:tcPr>
                  <w:tcW w:type="auto" w:w="0"/>
                  <w:shd w:val="clear" w:color="auto" w:fill="F0F0F0"/>
                </w:tcPr>
                <w:p>
                  <w:pPr>
                    <w:pStyle w:val="Para 17"/>
                    <w:keepLines w:val="on"/>
                  </w:pPr>
                  <w:r>
                    <w:t>Phần bù rủi ro</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1,2</w:t>
                  </w:r>
                </w:p>
              </w:tc>
              <w:tc>
                <w:tcPr>
                  <w:tcW w:type="auto" w:w="0"/>
                  <w:shd w:val="clear" w:color="auto" w:fill="F0F0F0"/>
                </w:tcPr>
                <w:p>
                  <w:pPr>
                    <w:pStyle w:val="Normal"/>
                    <w:keepLines w:val="on"/>
                  </w:pPr>
                  <w:r>
                    <w:t>2,5%</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0,6</w:t>
                  </w:r>
                </w:p>
              </w:tc>
              <w:tc>
                <w:tcPr>
                  <w:tcW w:type="auto" w:w="0"/>
                  <w:shd w:val="clear" w:color="auto" w:fill="F0F0F0"/>
                </w:tcPr>
                <w:p>
                  <w:pPr>
                    <w:pStyle w:val="Normal"/>
                    <w:keepLines w:val="on"/>
                  </w:pPr>
                  <w:r>
                    <w:t>1,5%</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1,0%</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2,2</w:t>
                  </w:r>
                </w:p>
              </w:tc>
              <w:tc>
                <w:tcPr>
                  <w:tcW w:type="auto" w:w="0"/>
                  <w:shd w:val="clear" w:color="auto" w:fill="F0F0F0"/>
                </w:tcPr>
                <w:p>
                  <w:pPr>
                    <w:pStyle w:val="Normal"/>
                    <w:keepLines w:val="on"/>
                  </w:pPr>
                  <w:r>
                    <w:t>0,8%</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0,5</w:t>
                  </w:r>
                </w:p>
              </w:tc>
              <w:tc>
                <w:tcPr>
                  <w:tcW w:type="auto" w:w="0"/>
                  <w:shd w:val="clear" w:color="auto" w:fill="F0F0F0"/>
                </w:tcPr>
                <w:p>
                  <w:pPr>
                    <w:pStyle w:val="Normal"/>
                    <w:keepLines w:val="on"/>
                  </w:pPr>
                  <w:r>
                    <w:t>1,2%</w:t>
                  </w:r>
                </w:p>
              </w:tc>
            </w:tr>
          </w:tbl>
          <w:p/>
        </w:tc>
      </w:tr>
    </w:tbl>
    <w:p>
      <w:pPr>
        <w:numPr>
          <w:ilvl w:val="1"/>
          <w:numId w:val="22"/>
        </w:numPr>
        <w:pStyle w:val="Para 01"/>
      </w:pPr>
      <w:r>
        <w:t>Bethlehem Steel phơi nhiễm với yếu tố rủi ro nào nhiều nhất? Liệu trong mô hình định giá chênh lệch (arbitrage pricing model), có cách nào để xác định yếu tố rủi ro đó không?</w:t>
      </w:r>
    </w:p>
    <w:p>
      <w:pPr>
        <w:numPr>
          <w:ilvl w:val="1"/>
          <w:numId w:val="22"/>
        </w:numPr>
        <w:pStyle w:val="Para 01"/>
      </w:pPr>
      <w:r>
        <w:t>Nếu lãi suất phi rủi ro là 5%, hãy ước tính lợi nhuận kỳ vọng của Bethlehem Steel.</w:t>
      </w:r>
    </w:p>
    <w:p>
      <w:pPr>
        <w:numPr>
          <w:ilvl w:val="1"/>
          <w:numId w:val="22"/>
        </w:numPr>
        <w:pStyle w:val="Para 01"/>
      </w:pPr>
      <w:r>
        <w:t>Bây giờ giả sử beta trong mô hình định giá tài sản vốn (capital asset pricing model) của Bethlehem Steel là 1,1, và phần bù rủi ro của danh mục thị trường là 5%. Hãy ước tính lợi nhuận kỳ vọng bằng CAPM.</w:t>
      </w:r>
    </w:p>
    <w:p>
      <w:pPr>
        <w:numPr>
          <w:ilvl w:val="1"/>
          <w:numId w:val="22"/>
        </w:numPr>
        <w:pStyle w:val="Para 01"/>
      </w:pPr>
      <w:r>
        <w:t>Tại sao lợi nhuận kỳ vọng lại khác nhau khi dùng hai mô hình?</w:t>
      </w:r>
    </w:p>
    <w:p>
      <w:pPr>
        <w:numPr>
          <w:ilvl w:val="0"/>
          <w:numId w:val="22"/>
        </w:numPr>
        <w:pStyle w:val="Para 01"/>
      </w:pPr>
      <w:r>
        <w:t>Bạn đang dùng mô hình đa nhân tố (multifactor model) để ước tính lợi nhuận kỳ vọng của Emerson Electric, và đã đưa ra các ước tính sau cho beta nhân tố và phần bù rủi ro:</w:t>
      </w:r>
    </w:p>
    <w:tbl>
      <w:tblPr>
        <w:tblW w:type="auto" w:w="0"/>
      </w:tblPr>
      <w:tr>
        <w:tc>
          <w:tcPr>
            <w:tcW w:type="auto" w:w="0"/>
          </w:tcPr>
          <w:tbl>
            <w:tblPr>
              <w:tblW w:type="auto" w:w="0"/>
            </w:tblPr>
            <w:tr>
              <w:tc>
                <w:tcPr>
                  <w:tcW w:type="auto" w:w="0"/>
                  <w:shd w:val="clear" w:color="auto" w:fill="F0F0F0"/>
                </w:tcPr>
                <w:p>
                  <w:pPr>
                    <w:pStyle w:val="Para 29"/>
                    <w:keepLines w:val="on"/>
                  </w:pPr>
                  <w:r>
                    <w:t>Yếu tố kinh tế vĩ mô</w:t>
                  </w:r>
                </w:p>
              </w:tc>
              <w:tc>
                <w:tcPr>
                  <w:tcW w:type="auto" w:w="0"/>
                  <w:shd w:val="clear" w:color="auto" w:fill="F0F0F0"/>
                </w:tcPr>
                <w:p>
                  <w:pPr>
                    <w:pStyle w:val="Para 29"/>
                    <w:keepLines w:val="on"/>
                  </w:pPr>
                  <w:r>
                    <w:t>Thước đo</w:t>
                  </w:r>
                </w:p>
              </w:tc>
              <w:tc>
                <w:tcPr>
                  <w:tcW w:type="auto" w:w="0"/>
                  <w:shd w:val="clear" w:color="auto" w:fill="F0F0F0"/>
                </w:tcPr>
                <w:p>
                  <w:pPr>
                    <w:pStyle w:val="Para 17"/>
                    <w:keepLines w:val="on"/>
                  </w:pPr>
                  <w:r>
                    <w:t>Beta</w:t>
                  </w:r>
                </w:p>
              </w:tc>
              <w:tc>
                <w:tcPr>
                  <w:tcW w:type="auto" w:w="0"/>
                  <w:shd w:val="clear" w:color="auto" w:fill="F0F0F0"/>
                </w:tcPr>
                <w:p>
                  <w:pPr>
                    <w:pStyle w:val="Para 17"/>
                    <w:keepLines w:val="on"/>
                  </w:pPr>
                  <w:r>
                    <w:t>Phần bù rủi ro (Rfactor−Rf)</w:t>
                  </w:r>
                </w:p>
              </w:tc>
            </w:tr>
            <w:tr>
              <w:tc>
                <w:tcPr>
                  <w:tcW w:type="auto" w:w="0"/>
                  <w:shd w:val="clear" w:color="auto" w:fill="F0F0F0"/>
                </w:tcPr>
                <w:p>
                  <w:pPr>
                    <w:pStyle w:val="Para 02"/>
                    <w:keepLines w:val="on"/>
                  </w:pPr>
                  <w:r>
                    <w:t>Mức lãi suất</w:t>
                  </w:r>
                </w:p>
              </w:tc>
              <w:tc>
                <w:tcPr>
                  <w:tcW w:type="auto" w:w="0"/>
                  <w:shd w:val="clear" w:color="auto" w:fill="F0F0F0"/>
                </w:tcPr>
                <w:p>
                  <w:pPr>
                    <w:pStyle w:val="Para 02"/>
                    <w:keepLines w:val="on"/>
                  </w:pPr>
                  <w:r>
                    <w:t>Lãi suất trái phiếu kho bạc</w:t>
                  </w:r>
                </w:p>
              </w:tc>
              <w:tc>
                <w:tcPr>
                  <w:tcW w:type="auto" w:w="0"/>
                  <w:shd w:val="clear" w:color="auto" w:fill="F0F0F0"/>
                </w:tcPr>
                <w:p>
                  <w:pPr>
                    <w:pStyle w:val="Normal"/>
                    <w:keepLines w:val="on"/>
                  </w:pPr>
                  <w:r>
                    <w:t>0,5</w:t>
                  </w:r>
                </w:p>
              </w:tc>
              <w:tc>
                <w:tcPr>
                  <w:tcW w:type="auto" w:w="0"/>
                  <w:shd w:val="clear" w:color="auto" w:fill="F0F0F0"/>
                </w:tcPr>
                <w:p>
                  <w:pPr>
                    <w:pStyle w:val="Normal"/>
                    <w:keepLines w:val="on"/>
                  </w:pPr>
                  <w:r>
                    <w:t>1,8%</w:t>
                  </w:r>
                </w:p>
              </w:tc>
            </w:tr>
            <w:tr>
              <w:tc>
                <w:tcPr>
                  <w:tcW w:type="auto" w:w="0"/>
                  <w:shd w:val="clear" w:color="auto" w:fill="F0F0F0"/>
                </w:tcPr>
                <w:p>
                  <w:pPr>
                    <w:pStyle w:val="Para 02"/>
                    <w:keepLines w:val="on"/>
                  </w:pPr>
                  <w:r>
                    <w:t>Cấu trúc kỳ hạn</w:t>
                  </w:r>
                </w:p>
              </w:tc>
              <w:tc>
                <w:tcPr>
                  <w:tcW w:type="auto" w:w="0"/>
                  <w:shd w:val="clear" w:color="auto" w:fill="F0F0F0"/>
                </w:tcPr>
                <w:p>
                  <w:pPr>
                    <w:pStyle w:val="Para 02"/>
                    <w:keepLines w:val="on"/>
                  </w:pPr>
                  <w:r>
                    <w:t>Tỷ lệ trái phiếu kho bạc − Tỷ lệ tín phiếu kho bạc</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0,6%</w:t>
                  </w:r>
                </w:p>
              </w:tc>
            </w:tr>
            <w:tr>
              <w:tc>
                <w:tcPr>
                  <w:tcW w:type="auto" w:w="0"/>
                  <w:shd w:val="clear" w:color="auto" w:fill="F0F0F0"/>
                </w:tcPr>
                <w:p>
                  <w:pPr>
                    <w:pStyle w:val="Para 02"/>
                    <w:keepLines w:val="on"/>
                  </w:pPr>
                  <w:r>
                    <w:t>Tỷ lệ lạm phát</w:t>
                  </w:r>
                </w:p>
              </w:tc>
              <w:tc>
                <w:tcPr>
                  <w:tcW w:type="auto" w:w="0"/>
                  <w:shd w:val="clear" w:color="auto" w:fill="F0F0F0"/>
                </w:tcPr>
                <w:p>
                  <w:pPr>
                    <w:pStyle w:val="Para 02"/>
                    <w:keepLines w:val="on"/>
                  </w:pPr>
                  <w:r>
                    <w:t>CPI</w:t>
                  </w:r>
                </w:p>
              </w:tc>
              <w:tc>
                <w:tcPr>
                  <w:tcW w:type="auto" w:w="0"/>
                  <w:shd w:val="clear" w:color="auto" w:fill="F0F0F0"/>
                </w:tcPr>
                <w:p>
                  <w:pPr>
                    <w:pStyle w:val="Normal"/>
                    <w:keepLines w:val="on"/>
                  </w:pPr>
                  <w:r>
                    <w:t>1,2</w:t>
                  </w:r>
                </w:p>
              </w:tc>
              <w:tc>
                <w:tcPr>
                  <w:tcW w:type="auto" w:w="0"/>
                  <w:shd w:val="clear" w:color="auto" w:fill="F0F0F0"/>
                </w:tcPr>
                <w:p>
                  <w:pPr>
                    <w:pStyle w:val="Normal"/>
                    <w:keepLines w:val="on"/>
                  </w:pPr>
                  <w:r>
                    <w:t>1,5%</w:t>
                  </w:r>
                </w:p>
              </w:tc>
            </w:tr>
            <w:tr>
              <w:tc>
                <w:tcPr>
                  <w:tcW w:type="auto" w:w="0"/>
                  <w:shd w:val="clear" w:color="auto" w:fill="F0F0F0"/>
                </w:tcPr>
                <w:p>
                  <w:pPr>
                    <w:pStyle w:val="Para 02"/>
                    <w:keepLines w:val="on"/>
                  </w:pPr>
                  <w:r>
                    <w:t>Tăng trưởng kinh tế</w:t>
                  </w:r>
                </w:p>
              </w:tc>
              <w:tc>
                <w:tcPr>
                  <w:tcW w:type="auto" w:w="0"/>
                  <w:shd w:val="clear" w:color="auto" w:fill="F0F0F0"/>
                </w:tcPr>
                <w:p>
                  <w:pPr>
                    <w:pStyle w:val="Para 02"/>
                    <w:keepLines w:val="on"/>
                  </w:pPr>
                  <w:r>
                    <w:t>Tỷ lệ tăng trưởng GNP</w:t>
                  </w:r>
                </w:p>
              </w:tc>
              <w:tc>
                <w:tcPr>
                  <w:tcW w:type="auto" w:w="0"/>
                  <w:shd w:val="clear" w:color="auto" w:fill="F0F0F0"/>
                </w:tcPr>
                <w:p>
                  <w:pPr>
                    <w:pStyle w:val="Normal"/>
                    <w:keepLines w:val="on"/>
                  </w:pPr>
                  <w:r>
                    <w:t>1,8</w:t>
                  </w:r>
                </w:p>
              </w:tc>
              <w:tc>
                <w:tcPr>
                  <w:tcW w:type="auto" w:w="0"/>
                  <w:shd w:val="clear" w:color="auto" w:fill="F0F0F0"/>
                </w:tcPr>
                <w:p>
                  <w:pPr>
                    <w:pStyle w:val="Normal"/>
                    <w:keepLines w:val="on"/>
                  </w:pPr>
                  <w:r>
                    <w:t>4,2%</w:t>
                  </w:r>
                </w:p>
              </w:tc>
            </w:tr>
          </w:tbl>
          <w:p/>
        </w:tc>
      </w:tr>
    </w:tbl>
    <w:p>
      <w:pPr>
        <w:pStyle w:val="Para 03"/>
      </w:pPr>
      <w:r>
        <w:t>Với lãi suất phi rủi ro là 6%, hãy ước tính lợi nhuận kỳ vọng của Emerson Electric.</w:t>
      </w:r>
    </w:p>
    <w:p>
      <w:pPr>
        <w:numPr>
          <w:ilvl w:val="0"/>
          <w:numId w:val="22"/>
        </w:numPr>
        <w:pStyle w:val="Para 01"/>
      </w:pPr>
      <w:r>
        <w:t>Phương trình sau đây được trích lại từ nghiên cứu của Fama và French về lợi nhuận trong giai đoạn từ 1963 đến 1990.</w:t>
      </w:r>
    </w:p>
    <w:p>
      <w:bookmarkStart w:id="610" w:name="Rt_1_77_0_11ln___MV_0_35ln___BVM"/>
      <w:pPr>
        <w:keepNext/>
        <w:pStyle w:val="Para 09"/>
        <w:keepLines w:val="on"/>
      </w:pPr>
      <w:r>
        <w:t>Rt=1,77-0,11ln⁡MV+0,35ln⁡BVMV</w:t>
      </w:r>
      <w:bookmarkEnd w:id="610"/>
    </w:p>
    <w:p>
      <w:pPr>
        <w:pStyle w:val="Para 03"/>
      </w:pPr>
      <w:r>
        <w:t>trong đó MV là giá trị thị trường của vốn chủ sở hữu tính bằng hàng trăm triệu đô la và BV là giá trị sổ sách của vốn chủ sở hữu tính bằng hàng trăm triệu đô la. Lợi nhuận ở đây là lợi nhuận hàng tháng.</w:t>
      </w:r>
    </w:p>
    <w:p>
      <w:pPr>
        <w:numPr>
          <w:ilvl w:val="1"/>
          <w:numId w:val="22"/>
        </w:numPr>
        <w:pStyle w:val="Para 01"/>
      </w:pPr>
      <w:r>
        <w:t>Hãy ước tính lợi nhuận kỳ vọng hàng năm của Lucent Technologies nếu giá trị thị trường vốn chủ sở hữu của công ty là 180 tỷ đô la và giá trị sổ sách vốn chủ sở hữu là 73,5 tỷ đô la.</w:t>
      </w:r>
    </w:p>
    <w:p>
      <w:pPr>
        <w:numPr>
          <w:ilvl w:val="1"/>
          <w:numId w:val="22"/>
        </w:numPr>
        <w:pStyle w:val="Para 01"/>
      </w:pPr>
      <w:r>
        <w:t>Lucent Technologies có hệ số beta là 1,55. Nếu lãi suất phi rủi ro là 6% và phần bù rủi ro cho danh mục thị trường là 5,5%, hãy ước tính lợi nhuận kỳ vọng.</w:t>
      </w:r>
    </w:p>
    <w:p>
      <w:pPr>
        <w:numPr>
          <w:ilvl w:val="1"/>
          <w:numId w:val="22"/>
        </w:numPr>
        <w:pStyle w:val="Para 01"/>
      </w:pPr>
      <w:r>
        <w:t>Tại sao lợi nhuận kỳ vọng lại khác nhau giữa hai cách tiếp cận này?</w:t>
      </w:r>
    </w:p>
    <w:p>
      <w:bookmarkStart w:id="612" w:name="Notes__1_A_utility_function_is_a"/>
      <w:bookmarkStart w:id="613" w:name="Notes_3"/>
      <w:pPr>
        <w:keepNext/>
        <w:pStyle w:val="Heading 2"/>
        <w:keepLines w:val="on"/>
      </w:pPr>
      <w:r>
        <w:t>Ghi chú</w:t>
      </w:r>
      <w:bookmarkEnd w:id="612"/>
      <w:bookmarkEnd w:id="613"/>
    </w:p>
    <w:p>
      <w:pPr>
        <w:pStyle w:val="Para 08"/>
      </w:pPr>
      <w:r>
        <w:t>1 Hàm thỏa dụng (utility function) là một cách tóm tắt sở thích của nhà đầu tư thành một thuật ngữ chung gọi là "thỏa dụng" dựa trên một số biến lựa chọn. Trong trường hợp này, chẳng hạn, thỏa dụng hay mức độ hài lòng của nhà đầu tư được biểu diễn như một hàm của của cải. Bằng cách đó, chúng ta có thể trả lời hiệu quả những câu hỏi như: "Liệu nhà đầu tư có hạnh phúc gấp đôi nếu họ có gấp đôi của cải? Liệu mỗi lần gia tăng của cải ở mức biên có dẫn đến mức thỏa dụng tăng thêm ít hơn so với lần gia tăng biên trước đó không?" Trong một dạng cụ thể của hàm này, hàm thỏa dụng bậc hai (quadratic utility function), toàn bộ thỏa dụng của nhà đầu tư có thể được nén lại thành thước đo của cải kỳ vọng và độ lệch chuẩn của của cải đó.</w:t>
      </w:r>
    </w:p>
    <w:p>
      <w:pPr>
        <w:pStyle w:val="Para 08"/>
      </w:pPr>
      <w:r>
        <w:t>2 Ý nghĩa của việc đưa tài sản phi rủi ro vào tập hợp lựa chọn và những hàm ý đối với việc lựa chọn danh mục đầu tư lần đầu tiên được đề cập trong Sharpe (1964) và Lintner (1965). Do đó, mô hình này đôi khi được gọi là mô hình Sharpe-Lintner.</w:t>
      </w:r>
    </w:p>
    <w:p>
      <w:pPr>
        <w:pStyle w:val="Para 08"/>
      </w:pPr>
      <w:r>
        <w:t>3 Trong một bài báo trên tạp chí Nature (Gabaix, X., Gopikrishnan, P., Plerou, V., và Stanley, H.E., 2003, A theory of power law distributions in financial market fluctuations, Nature 423, 267–70), các nhà nghiên cứu đã xem xét giá của 500 cổ phiếu trong giai đoạn từ 1929 đến 1987 và kết luận rằng số mũ đối với lợi nhuận cổ phiếu vào khoảng ba.</w:t>
      </w:r>
    </w:p>
    <w:p>
      <w:pPr>
        <w:pStyle w:val="Para 08"/>
      </w:pPr>
      <w:r>
        <w:t>4 Graham, B., 1949, The Intelligent Investor (New York: HarperBusiness, tái bản năm 2005).</w:t>
      </w:r>
    </w:p>
    <w:p>
      <w:pPr>
        <w:pStyle w:val="Para 08"/>
      </w:pPr>
      <w:r>
        <w:t>5 Nghĩa vụ tài chính (financial obligation) đề cập đến bất kỳ khoản thanh toán nào mà công ty có nghĩa vụ pháp lý phải thực hiện, chẳng hạn như thanh toán lãi và gốc. Nó không bao gồm các dòng tiền tùy ý, như thanh toán cổ tức hoặc chi tiêu vốn mới, vốn có thể được hoãn lại hoặc trì hoãn mà không có hậu quả pháp lý, mặc dù có thể có hậu quả về mặt kinh tế.</w:t>
      </w:r>
    </w:p>
    <w:p>
      <w:pPr>
        <w:pStyle w:val="Para 58"/>
      </w:pPr>
      <w:r>
        <w:t>6 Xem trang web trực tuyến của Standard &amp; Poor's (www.standardandpoors.com/ratings/criteria/index.htm).</w:t>
      </w:r>
    </w:p>
    <w:p>
      <w:bookmarkStart w:id="620" w:name="Top_of_c05_xhtml"/>
      <w:bookmarkStart w:id="621" w:name="Chapter_5Option_Pricing_Theory_a_1"/>
      <w:bookmarkStart w:id="622" w:name="Chapter_5Option_Pricing_Theory_a"/>
      <w:pPr>
        <w:keepNext/>
        <w:pStyle w:val="Heading 1"/>
        <w:pageBreakBefore w:val="on"/>
        <w:keepLines w:val="on"/>
      </w:pPr>
      <w:r>
        <w:t>CHƯƠNG 5</w:t>
      </w:r>
      <w:r>
        <w:br/>
      </w:r>
      <w:r>
        <w:t>Lý thuyết và mô hình định giá quyền chọn</w:t>
      </w:r>
      <w:bookmarkEnd w:id="620"/>
      <w:bookmarkEnd w:id="621"/>
      <w:bookmarkEnd w:id="622"/>
    </w:p>
    <w:p>
      <w:pPr>
        <w:pStyle w:val="Para 03"/>
      </w:pPr>
      <w:r>
        <w:t>Nói chung, giá trị của bất kỳ tài sản nào cũng là giá trị hiện tại của các dòng tiền kỳ vọng từ tài sản đó. Chương này xem xét một ngoại lệ của quy tắc đó khi nhìn vào những tài sản có hai đặc điểm cụ thể. Thứ nhất, những tài sản này rút ra giá trị của chúng từ giá trị của các tài sản khác, khiến chúng trở thành tài sản phái sinh (derivative assets). Thứ hai, các dòng tiền từ những tài sản này phụ thuộc vào việc có xảy ra những sự kiện cụ thể hay không. Những tài sản này được gọi là quyền chọn (options), và giá trị hiện tại của các dòng tiền kỳ vọng từ chúng sẽ đánh giá thấp giá trị thực của chúng. Chương này mô tả các đặc điểm dòng tiền của quyền chọn, xem xét những yếu tố quyết định giá trị của chúng, và tìm hiểu cách định giá chúng tốt nhất.</w:t>
      </w:r>
    </w:p>
    <w:p>
      <w:bookmarkStart w:id="624" w:name="Basics_of_Option_Pricing__An_opt"/>
      <w:bookmarkStart w:id="625" w:name="Basics_of_Option_Pricing"/>
      <w:pPr>
        <w:keepNext/>
        <w:pStyle w:val="Heading 2"/>
        <w:keepLines w:val="on"/>
      </w:pPr>
      <w:r>
        <w:t>Những điều cơ bản về định giá quyền chọn</w:t>
      </w:r>
      <w:bookmarkEnd w:id="624"/>
      <w:bookmarkEnd w:id="625"/>
    </w:p>
    <w:p>
      <w:pPr>
        <w:pStyle w:val="Para 03"/>
      </w:pPr>
      <w:r>
        <w:t>Một quyền chọn (option) cho người nắm giữ quyền mua hoặc bán một lượng nhất định của một tài sản cơ sở (underlying asset) tại một mức giá cố định (gọi là giá thực hiện hay giá giao ước – strike price hoặc exercise price) vào hoặc trước ngày đáo hạn của quyền chọn. Vì đây là một quyền chứ không phải nghĩa vụ, người nắm giữ có thể chọn không thực hiện quyền và để quyền chọn hết hạn. Có hai loại quyền chọn—quyền chọn mua (call options) và quyền chọn bán (put options).</w:t>
      </w:r>
    </w:p>
    <w:p>
      <w:bookmarkStart w:id="626" w:name="Call_and_Put_Options__Descriptio_1"/>
      <w:bookmarkStart w:id="627" w:name="Call_and_Put_Options__Descriptio"/>
      <w:pPr>
        <w:keepNext/>
        <w:pStyle w:val="Heading 3"/>
        <w:keepLines w:val="on"/>
      </w:pPr>
      <w:r>
        <w:t>Quyền chọn mua và quyền chọn bán: Mô tả và biểu đồ lợi nhuận</w:t>
      </w:r>
      <w:bookmarkEnd w:id="626"/>
      <w:bookmarkEnd w:id="627"/>
    </w:p>
    <w:p>
      <w:pPr>
        <w:pStyle w:val="Para 03"/>
      </w:pPr>
      <w:r>
        <w:t>Quyền chọn mua (call option) cho người mua quyền chọn quyền mua tài sản cơ sở tại giá thực hiện vào bất kỳ thời điểm nào trước ngày đáo hạn của quyền chọn. Người mua phải trả một mức giá cho quyền này. Nếu vào lúc đáo hạn, giá trị của tài sản thấp hơn giá thực hiện, quyền chọn sẽ không được thực hiện và hết hạn vô giá trị. Tuy nhiên, nếu giá trị của tài sản lớn hơn giá thực hiện, quyền chọn sẽ được thực hiện—người mua quyền chọn mua cổ phiếu tại giá thực hiện, và phần chênh lệch giữa giá trị tài sản và giá thực hiện chính là lợi nhuận gộp của khoản đầu tư. Lợi nhuận ròng của khoản đầu tư là phần chênh lệch giữa lợi nhuận gộp và mức giá đã trả ban đầu cho quyền chọn mua.</w:t>
      </w:r>
    </w:p>
    <w:p>
      <w:pPr>
        <w:pStyle w:val="Para 03"/>
      </w:pPr>
      <w:r>
        <w:t>Biểu đồ lợi nhuận (payoff diagram) minh họa khoản tiền lợi nhuận bằng tiền mặt của một quyền chọn vào lúc đáo hạn. Đối với quyền chọn mua, lợi nhuận ròng là âm (và bằng với mức giá đã trả cho quyền chọn mua) nếu giá trị của tài sản cơ sở thấp hơn giá thực hiện. Nếu giá của tài sản cơ sở vượt quá giá thực hiện, lợi nhuận gộp là phần chênh lệch giữa giá trị của tài sản cơ sở và giá thực hiện, và lợi nhuận ròng là phần chênh lệch giữa lợi nhuận gộp và giá của quyền chọn mua. Điều này được minh họa trong Hình 5.1.</w:t>
      </w:r>
    </w:p>
    <w:p>
      <w:pPr>
        <w:pStyle w:val="Para 20"/>
      </w:pPr>
      <w:r>
        <w:rPr>
          <w:rStyle w:val="Text26"/>
        </w:rPr>
        <w:bookmarkStart w:id="629" w:name="Page_92"/>
        <w:t/>
        <w:bookmarkEnd w:id="629"/>
      </w:r>
      <w:r>
        <w:t xml:space="preserve"> </w:t>
      </w:r>
    </w:p>
    <w:p>
      <w:bookmarkStart w:id="630" w:name="Figure_5_1_Payoff_on_Call_Optio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65300" cy="838200"/>
            <wp:effectExtent l="0" r="0" t="0" b="0"/>
            <wp:wrapTopAndBottom/>
            <wp:docPr id="19" name="c05f001.png" descr="Diagram depicts the net cash payoff of a call option at expiration."/>
            <wp:cNvGraphicFramePr>
              <a:graphicFrameLocks noChangeAspect="1"/>
            </wp:cNvGraphicFramePr>
            <a:graphic>
              <a:graphicData uri="http://schemas.openxmlformats.org/drawingml/2006/picture">
                <pic:pic>
                  <pic:nvPicPr>
                    <pic:cNvPr id="0" name="c05f001.png" descr="Diagram depicts the net cash payoff of a call option at expiration."/>
                    <pic:cNvPicPr/>
                  </pic:nvPicPr>
                  <pic:blipFill>
                    <a:blip r:embed="rId18"/>
                    <a:stretch>
                      <a:fillRect/>
                    </a:stretch>
                  </pic:blipFill>
                  <pic:spPr>
                    <a:xfrm>
                      <a:off x="0" y="0"/>
                      <a:ext cx="1765300" cy="838200"/>
                    </a:xfrm>
                    <a:prstGeom prst="rect">
                      <a:avLst/>
                    </a:prstGeom>
                  </pic:spPr>
                </pic:pic>
              </a:graphicData>
            </a:graphic>
          </wp:anchor>
        </w:drawing>
      </w:r>
      <w:bookmarkEnd w:id="630"/>
    </w:p>
    <w:p>
      <w:pPr>
        <w:keepNext/>
        <w:pStyle w:val="Para 22"/>
        <w:keepLines w:val="on"/>
      </w:pPr>
      <w:r>
        <w:t>Hình 5.1 Lợi nhuận của quyền chọn mua</w:t>
      </w:r>
    </w:p>
    <w:p>
      <w:pPr>
        <w:pStyle w:val="Para 03"/>
      </w:pPr>
      <w:r>
        <w:t>Quyền chọn bán (put option) cho người mua quyền chọn quyền bán tài sản cơ sở tại một mức giá cố định, cũng gọi là giá thực hiện, vào bất kỳ thời điểm nào trước ngày đáo hạn của quyền chọn. Người mua phải trả một mức giá cho quyền này. Nếu giá của tài sản cơ sở lớn hơn giá thực hiện, quyền chọn sẽ không được thực hiện và hết hạn vô giá trị. Nhưng nếu giá của tài sản cơ sở thấp hơn giá thực hiện, người sở hữu quyền chọn bán sẽ thực hiện quyền và bán cổ phiếu tại giá thực hiện, lấy phần chênh lệch giữa giá thực hiện và giá trị thị trường của tài sản làm lợi nhuận gộp. Một lần nữa, sau khi trừ đi chi phí ban đầu đã trả cho quyền chọn bán, ta có lợi nhuận ròng từ giao dịch.</w:t>
      </w:r>
    </w:p>
    <w:p>
      <w:pPr>
        <w:pStyle w:val="Para 03"/>
      </w:pPr>
      <w:r>
        <w:t>Quyền chọn bán có lợi nhuận gộp âm nếu giá trị của tài sản cơ sở vượt quá giá thực hiện, và có lợi nhuận gộp bằng phần chênh lệch giữa giá thực hiện và giá trị của tài sản cơ sở nếu giá trị tài sản thấp hơn giá thực hiện. Điều này được tóm tắt trong Hình 5.2.</w:t>
      </w:r>
    </w:p>
    <w:p>
      <w:bookmarkStart w:id="632" w:name="Figure_5_2_Payoff_on_Put_Optio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52600" cy="749300"/>
            <wp:effectExtent l="0" r="0" t="0" b="0"/>
            <wp:wrapTopAndBottom/>
            <wp:docPr id="20" name="c05f002.png" descr="Diagram depicts the negative net cash payoff of a put option at expiration."/>
            <wp:cNvGraphicFramePr>
              <a:graphicFrameLocks noChangeAspect="1"/>
            </wp:cNvGraphicFramePr>
            <a:graphic>
              <a:graphicData uri="http://schemas.openxmlformats.org/drawingml/2006/picture">
                <pic:pic>
                  <pic:nvPicPr>
                    <pic:cNvPr id="0" name="c05f002.png" descr="Diagram depicts the negative net cash payoff of a put option at expiration."/>
                    <pic:cNvPicPr/>
                  </pic:nvPicPr>
                  <pic:blipFill>
                    <a:blip r:embed="rId19"/>
                    <a:stretch>
                      <a:fillRect/>
                    </a:stretch>
                  </pic:blipFill>
                  <pic:spPr>
                    <a:xfrm>
                      <a:off x="0" y="0"/>
                      <a:ext cx="1752600" cy="749300"/>
                    </a:xfrm>
                    <a:prstGeom prst="rect">
                      <a:avLst/>
                    </a:prstGeom>
                  </pic:spPr>
                </pic:pic>
              </a:graphicData>
            </a:graphic>
          </wp:anchor>
        </w:drawing>
      </w:r>
      <w:bookmarkEnd w:id="632"/>
    </w:p>
    <w:p>
      <w:pPr>
        <w:keepNext/>
        <w:pStyle w:val="Para 22"/>
        <w:keepLines w:val="on"/>
      </w:pPr>
      <w:r>
        <w:t>Hình 5.2 Lợi nhuận của quyền chọn bán</w:t>
      </w:r>
    </w:p>
    <w:p>
      <w:bookmarkStart w:id="633" w:name="Determinants_of_Option_Value"/>
      <w:bookmarkStart w:id="634" w:name="Determinants_of_Option_Value__Th"/>
      <w:pPr>
        <w:keepNext/>
        <w:pStyle w:val="Heading 4"/>
        <w:keepLines w:val="on"/>
      </w:pPr>
      <w:r>
        <w:t>Các yếu tố quyết định giá trị quyền chọn</w:t>
      </w:r>
      <w:bookmarkEnd w:id="633"/>
      <w:bookmarkEnd w:id="634"/>
    </w:p>
    <w:p>
      <w:pPr>
        <w:pStyle w:val="Para 03"/>
      </w:pPr>
      <w:r>
        <w:t>Giá trị của một quyền chọn được quyết định bởi sáu biến số liên quan đến tài sản cơ sở và thị trường tài chính.</w:t>
      </w:r>
    </w:p>
    <w:p>
      <w:pPr>
        <w:numPr>
          <w:ilvl w:val="0"/>
          <w:numId w:val="23"/>
        </w:numPr>
        <w:pStyle w:val="Para 01"/>
      </w:pPr>
      <w:r>
        <w:t>Giá trị hiện tại của tài sản cơ sở. Quyền chọn là những tài sản rút ra giá trị từ một tài sản cơ sở. Do đó, những thay đổi trong giá trị của tài sản cơ sở ảnh hưởng đến giá trị của các quyền chọn trên tài sản đó. Vì quyền chọn mua cho quyền mua tài sản cơ sở tại một mức giá cố định, sự gia tăng giá trị của tài sản sẽ làm tăng giá trị của quyền chọn mua. Ngược lại, quyền chọn bán trở nên ít giá trị hơn khi giá trị của tài sản tăng lên.</w:t>
      </w:r>
    </w:p>
    <w:p>
      <w:pPr>
        <w:numPr>
          <w:ilvl w:val="0"/>
          <w:numId w:val="23"/>
        </w:numPr>
        <w:pStyle w:val="Para 01"/>
      </w:pPr>
      <w:r>
        <w:t>Phương sai trong giá trị của tài sản cơ sở. Người mua quyền chọn có được quyền mua hoặc bán tài sản cơ sở tại một mức giá cố định. Phương sai trong giá trị của tài sản cơ sở càng cao thì giá trị của quyền chọn càng lớn.1 Điều này đúng cho cả quyền chọn mua lẫn quyền chọn bán. Mặc dù có vẻ trái với trực giác rằng sự gia tăng của một thước đo rủi ro (phương sai) lại làm tăng giá trị, nhưng quyền chọn khác với các chứng khoán khác ở chỗ người mua quyền chọn không bao giờ mất nhiều hơn mức giá họ đã trả cho chúng; thực tế, họ có tiềm năng kiếm được lợi nhuận đáng kể từ những biến động giá lớn.</w:t>
      </w:r>
    </w:p>
    <w:p>
      <w:pPr>
        <w:numPr>
          <w:ilvl w:val="0"/>
          <w:numId w:val="23"/>
        </w:numPr>
        <w:pStyle w:val="Para 01"/>
      </w:pPr>
      <w:r>
        <w:t>Cổ tức trả trên tài sản cơ sở. Giá trị của tài sản cơ sở được kỳ vọng sẽ giảm nếu có các khoản thanh toán cổ tức trên tài sản trong suốt thời gian tồn tại của quyền chọn. Do đó, giá trị của quyền chọn mua trên tài sản là một hàm giảm theo quy mô của các khoản cổ tức kỳ vọng, và giá trị của quyền chọn bán là một hàm tăng theo các khoản cổ tức kỳ vọng. Một cách nghĩ trực quan hơn về các khoản thanh toán cổ tức, đối với quyền chọn mua, là coi chúng như một chi phí của việc trì hoãn thực hiện đối với các quyền chọn đang có lãi (in-the-money). Để thấy tại sao, hãy xem xét một quyền chọn trên một cổ phiếu đang được giao dịch. Khi một quyền chọn mua đang có lãi (tức là người nắm giữ quyền chọn sẽ có lợi nhuận gộp bằng cách thực hiện quyền), việc thực hiện quyền chọn mua sẽ mang lại cho người nắm giữ cổ phiếu và cho họ quyền hưởng cổ tức trên cổ phiếu trong các kỳ tiếp theo. Trì hoãn thực hiện quyền chọn sẽ có nghĩa là những khoản cổ tức này bị mất đi.</w:t>
      </w:r>
    </w:p>
    <w:p>
      <w:pPr>
        <w:numPr>
          <w:ilvl w:val="0"/>
          <w:numId w:val="23"/>
        </w:numPr>
        <w:pStyle w:val="Para 01"/>
      </w:pPr>
      <w:r>
        <w:t>Giá thực hiện của quyền chọn. Một đặc điểm then chốt dùng để mô tả một quyền chọn là giá thực hiện. Trong trường hợp quyền chọn mua, khi người nắm giữ có được quyền mua tại một mức giá cố định, giá trị của quyền chọn mua sẽ giảm khi giá thực hiện tăng. Trong trường hợp quyền chọn bán, khi người nắm giữ có quyền bán tại một mức giá cố định, giá trị sẽ tăng khi giá thực hiện tăng.</w:t>
      </w:r>
    </w:p>
    <w:p>
      <w:pPr>
        <w:numPr>
          <w:ilvl w:val="0"/>
          <w:numId w:val="23"/>
        </w:numPr>
        <w:pStyle w:val="Para 01"/>
      </w:pPr>
      <w:r>
        <w:t>Thời gian đến ngày đáo hạn của quyền chọn. Cả quyền chọn mua lẫn quyền chọn bán đều có giá trị hơn khi thời gian đến đáo hạn càng dài. Điều này là vì thời gian đến đáo hạn dài hơn mang lại nhiều thời gian hơn cho giá trị của tài sản cơ sở biến động, làm tăng giá trị của cả hai loại quyền chọn. Ngoài ra, trong trường hợp quyền chọn mua, khi người mua có quyền trả một mức giá cố định vào lúc đáo hạn, giá trị hiện tại của mức giá cố định này giảm khi thời gian tồn tại của quyền chọn tăng, làm tăng giá trị của quyền chọn mua.</w:t>
      </w:r>
    </w:p>
    <w:p>
      <w:pPr>
        <w:numPr>
          <w:ilvl w:val="0"/>
          <w:numId w:val="23"/>
        </w:numPr>
        <w:pStyle w:val="Para 01"/>
      </w:pPr>
      <w:r>
        <w:t>Lãi suất phi rủi ro tương ứng với thời gian tồn tại của quyền chọn. Vì người mua quyền chọn trả giá của quyền chọn ngay từ đầu, nên có một chi phí cơ hội liên quan. Chi phí này sẽ phụ thuộc vào mức lãi suất và thời gian đến đáo hạn của quyền chọn. Lãi suất phi rủi ro cũng tham gia vào việc định giá quyền chọn khi tính giá trị hiện tại của giá thực hiện, vì giá thực hiện không phải được trả (nhận) cho đến lúc đáo hạn đối với quyền chọn mua (quyền chọn bán). Sự gia tăng lãi suất sẽ làm tăng giá trị của quyền chọn mua và làm giảm giá trị của quyền chọn bán.</w:t>
      </w:r>
    </w:p>
    <w:p>
      <w:pPr>
        <w:pStyle w:val="Para 03"/>
      </w:pPr>
      <w:r>
        <w:t>Bảng 5.1 tóm tắt các biến số và những ảnh hưởng được dự đoán của chúng lên giá quyền chọn mua và quyền chọn bán.</w:t>
      </w:r>
    </w:p>
    <w:p>
      <w:pPr>
        <w:pStyle w:val="Para 34"/>
        <w:keepLines w:val="on"/>
      </w:pPr>
      <w:r>
        <w:t>Bảng 5.1</w:t>
      </w:r>
    </w:p>
    <w:p>
      <w:pPr>
        <w:keepNext/>
        <w:pStyle w:val="Para 35"/>
        <w:keepLines w:val="on"/>
      </w:pPr>
      <w:r>
        <w:t>Tóm tắt các biến số ảnh hưởng đến giá quyền chọn mua và quyền chọn bán</w:t>
      </w:r>
    </w:p>
    <w:tbl>
      <w:tblPr>
        <w:tblW w:type="auto" w:w="0"/>
      </w:tblPr>
      <w:tr>
        <w:tc>
          <w:tcPr>
            <w:tcW w:type="auto" w:w="0"/>
          </w:tcPr>
          <w:tbl>
            <w:tblPr>
              <w:tblW w:type="auto" w:w="0"/>
            </w:tblPr>
            <w:tr>
              <w:tc>
                <w:tcPr>
                  <w:tcW w:type="auto" w:w="0"/>
                  <w:shd w:val="clear" w:color="auto" w:fill="F0F0F0"/>
                </w:tcPr>
                <w:p>
                  <w:pPr>
                    <w:pStyle w:val="Para 17"/>
                    <w:keepLines w:val="on"/>
                  </w:pPr>
                  <w:r>
                    <w:t/>
                  </w:r>
                </w:p>
              </w:tc>
              <w:tc>
                <w:tcPr>
                  <w:tcW w:type="auto" w:w="0"/>
                  <w:shd w:val="clear" w:color="auto" w:fill="F0F0F0"/>
                  <w:hMerge w:val="restart"/>
                </w:tcPr>
                <w:p>
                  <w:pPr>
                    <w:pStyle w:val="Para 17"/>
                    <w:keepLines w:val="on"/>
                  </w:pPr>
                  <w:r>
                    <w:t>Ảnh hưởng lên</w:t>
                  </w:r>
                </w:p>
              </w:tc>
              <w:tc>
                <w:tcPr>
                  <w:hMerge w:val="continue"/>
                </w:tcPr>
                <w:p/>
              </w:tc>
            </w:tr>
            <w:tr>
              <w:tc>
                <w:tcPr>
                  <w:tcW w:type="auto" w:w="0"/>
                  <w:shd w:val="clear" w:color="auto" w:fill="F0F0F0"/>
                </w:tcPr>
                <w:p>
                  <w:pPr>
                    <w:pStyle w:val="Para 29"/>
                    <w:keepLines w:val="on"/>
                  </w:pPr>
                  <w:r>
                    <w:t>Yếu tố</w:t>
                  </w:r>
                </w:p>
              </w:tc>
              <w:tc>
                <w:tcPr>
                  <w:tcW w:type="auto" w:w="0"/>
                  <w:shd w:val="clear" w:color="auto" w:fill="F0F0F0"/>
                </w:tcPr>
                <w:p>
                  <w:pPr>
                    <w:pStyle w:val="Para 29"/>
                    <w:keepLines w:val="on"/>
                  </w:pPr>
                  <w:r>
                    <w:t>Giá trị quyền chọn mua</w:t>
                  </w:r>
                </w:p>
              </w:tc>
              <w:tc>
                <w:tcPr>
                  <w:tcW w:type="auto" w:w="0"/>
                  <w:shd w:val="clear" w:color="auto" w:fill="F0F0F0"/>
                </w:tcPr>
                <w:p>
                  <w:pPr>
                    <w:pStyle w:val="Para 29"/>
                    <w:keepLines w:val="on"/>
                  </w:pPr>
                  <w:r>
                    <w:t>Giá quyền chọn mua (Put Value)</w:t>
                  </w:r>
                </w:p>
              </w:tc>
            </w:tr>
            <w:tr>
              <w:tc>
                <w:tcPr>
                  <w:tcW w:type="auto" w:w="0"/>
                  <w:shd w:val="clear" w:color="auto" w:fill="F0F0F0"/>
                </w:tcPr>
                <w:p>
                  <w:pPr>
                    <w:pStyle w:val="Para 02"/>
                    <w:keepLines w:val="on"/>
                  </w:pPr>
                  <w:r>
                    <w:t>Giá trị tài sản cơ sở tăng</w:t>
                  </w:r>
                </w:p>
              </w:tc>
              <w:tc>
                <w:tcPr>
                  <w:tcW w:type="auto" w:w="0"/>
                  <w:shd w:val="clear" w:color="auto" w:fill="F0F0F0"/>
                </w:tcPr>
                <w:p>
                  <w:pPr>
                    <w:pStyle w:val="Para 02"/>
                    <w:keepLines w:val="on"/>
                  </w:pPr>
                  <w:r>
                    <w:t>Tăng</w:t>
                  </w:r>
                </w:p>
              </w:tc>
              <w:tc>
                <w:tcPr>
                  <w:tcW w:type="auto" w:w="0"/>
                  <w:shd w:val="clear" w:color="auto" w:fill="F0F0F0"/>
                </w:tcPr>
                <w:p>
                  <w:pPr>
                    <w:pStyle w:val="Para 02"/>
                    <w:keepLines w:val="on"/>
                  </w:pPr>
                  <w:r>
                    <w:t>Giảm</w:t>
                  </w:r>
                </w:p>
              </w:tc>
            </w:tr>
            <w:tr>
              <w:tc>
                <w:tcPr>
                  <w:tcW w:type="auto" w:w="0"/>
                  <w:shd w:val="clear" w:color="auto" w:fill="F0F0F0"/>
                </w:tcPr>
                <w:p>
                  <w:pPr>
                    <w:pStyle w:val="Para 02"/>
                    <w:keepLines w:val="on"/>
                  </w:pPr>
                  <w:r>
                    <w:t>Phương sai của tài sản cơ sở tăng</w:t>
                  </w:r>
                </w:p>
              </w:tc>
              <w:tc>
                <w:tcPr>
                  <w:tcW w:type="auto" w:w="0"/>
                  <w:shd w:val="clear" w:color="auto" w:fill="F0F0F0"/>
                </w:tcPr>
                <w:p>
                  <w:pPr>
                    <w:pStyle w:val="Para 02"/>
                    <w:keepLines w:val="on"/>
                  </w:pPr>
                  <w:r>
                    <w:t>Tăng</w:t>
                  </w:r>
                </w:p>
              </w:tc>
              <w:tc>
                <w:tcPr>
                  <w:tcW w:type="auto" w:w="0"/>
                  <w:shd w:val="clear" w:color="auto" w:fill="F0F0F0"/>
                </w:tcPr>
                <w:p>
                  <w:pPr>
                    <w:pStyle w:val="Para 02"/>
                    <w:keepLines w:val="on"/>
                  </w:pPr>
                  <w:r>
                    <w:t>Tăng</w:t>
                  </w:r>
                </w:p>
              </w:tc>
            </w:tr>
            <w:tr>
              <w:tc>
                <w:tcPr>
                  <w:tcW w:type="auto" w:w="0"/>
                  <w:shd w:val="clear" w:color="auto" w:fill="F0F0F0"/>
                </w:tcPr>
                <w:p>
                  <w:pPr>
                    <w:pStyle w:val="Para 02"/>
                    <w:keepLines w:val="on"/>
                  </w:pPr>
                  <w:r>
                    <w:t>Giá thực hiện (strike price) tăng</w:t>
                  </w:r>
                </w:p>
              </w:tc>
              <w:tc>
                <w:tcPr>
                  <w:tcW w:type="auto" w:w="0"/>
                  <w:shd w:val="clear" w:color="auto" w:fill="F0F0F0"/>
                </w:tcPr>
                <w:p>
                  <w:pPr>
                    <w:pStyle w:val="Para 02"/>
                    <w:keepLines w:val="on"/>
                  </w:pPr>
                  <w:r>
                    <w:t>Giảm</w:t>
                  </w:r>
                </w:p>
              </w:tc>
              <w:tc>
                <w:tcPr>
                  <w:tcW w:type="auto" w:w="0"/>
                  <w:shd w:val="clear" w:color="auto" w:fill="F0F0F0"/>
                </w:tcPr>
                <w:p>
                  <w:pPr>
                    <w:pStyle w:val="Para 02"/>
                    <w:keepLines w:val="on"/>
                  </w:pPr>
                  <w:r>
                    <w:t>Tăng</w:t>
                  </w:r>
                </w:p>
              </w:tc>
            </w:tr>
            <w:tr>
              <w:tc>
                <w:tcPr>
                  <w:tcW w:type="auto" w:w="0"/>
                  <w:shd w:val="clear" w:color="auto" w:fill="F0F0F0"/>
                </w:tcPr>
                <w:p>
                  <w:pPr>
                    <w:pStyle w:val="Para 02"/>
                    <w:keepLines w:val="on"/>
                  </w:pPr>
                  <w:r>
                    <w:t>Cổ tức chi trả tăng</w:t>
                  </w:r>
                </w:p>
              </w:tc>
              <w:tc>
                <w:tcPr>
                  <w:tcW w:type="auto" w:w="0"/>
                  <w:shd w:val="clear" w:color="auto" w:fill="F0F0F0"/>
                </w:tcPr>
                <w:p>
                  <w:pPr>
                    <w:pStyle w:val="Para 02"/>
                    <w:keepLines w:val="on"/>
                  </w:pPr>
                  <w:r>
                    <w:t>Giảm</w:t>
                  </w:r>
                </w:p>
              </w:tc>
              <w:tc>
                <w:tcPr>
                  <w:tcW w:type="auto" w:w="0"/>
                  <w:shd w:val="clear" w:color="auto" w:fill="F0F0F0"/>
                </w:tcPr>
                <w:p>
                  <w:pPr>
                    <w:pStyle w:val="Para 02"/>
                    <w:keepLines w:val="on"/>
                  </w:pPr>
                  <w:r>
                    <w:t>Tăng</w:t>
                  </w:r>
                </w:p>
              </w:tc>
            </w:tr>
            <w:tr>
              <w:tc>
                <w:tcPr>
                  <w:tcW w:type="auto" w:w="0"/>
                  <w:shd w:val="clear" w:color="auto" w:fill="F0F0F0"/>
                </w:tcPr>
                <w:p>
                  <w:pPr>
                    <w:pStyle w:val="Para 02"/>
                    <w:keepLines w:val="on"/>
                  </w:pPr>
                  <w:r>
                    <w:t>Thời gian đến ngày đáo hạn tăng</w:t>
                  </w:r>
                </w:p>
              </w:tc>
              <w:tc>
                <w:tcPr>
                  <w:tcW w:type="auto" w:w="0"/>
                  <w:shd w:val="clear" w:color="auto" w:fill="F0F0F0"/>
                </w:tcPr>
                <w:p>
                  <w:pPr>
                    <w:pStyle w:val="Para 02"/>
                    <w:keepLines w:val="on"/>
                  </w:pPr>
                  <w:r>
                    <w:t>Tăng</w:t>
                  </w:r>
                </w:p>
              </w:tc>
              <w:tc>
                <w:tcPr>
                  <w:tcW w:type="auto" w:w="0"/>
                  <w:shd w:val="clear" w:color="auto" w:fill="F0F0F0"/>
                </w:tcPr>
                <w:p>
                  <w:pPr>
                    <w:pStyle w:val="Para 02"/>
                    <w:keepLines w:val="on"/>
                  </w:pPr>
                  <w:r>
                    <w:t>Tăng</w:t>
                  </w:r>
                </w:p>
              </w:tc>
            </w:tr>
            <w:tr>
              <w:tc>
                <w:tcPr>
                  <w:tcW w:type="auto" w:w="0"/>
                  <w:shd w:val="clear" w:color="auto" w:fill="F0F0F0"/>
                </w:tcPr>
                <w:p>
                  <w:pPr>
                    <w:pStyle w:val="Para 02"/>
                    <w:keepLines w:val="on"/>
                  </w:pPr>
                  <w:r>
                    <w:t>Lãi suất tăng</w:t>
                  </w:r>
                </w:p>
              </w:tc>
              <w:tc>
                <w:tcPr>
                  <w:tcW w:type="auto" w:w="0"/>
                  <w:shd w:val="clear" w:color="auto" w:fill="F0F0F0"/>
                </w:tcPr>
                <w:p>
                  <w:pPr>
                    <w:pStyle w:val="Para 02"/>
                    <w:keepLines w:val="on"/>
                  </w:pPr>
                  <w:r>
                    <w:t>Tăng</w:t>
                  </w:r>
                </w:p>
              </w:tc>
              <w:tc>
                <w:tcPr>
                  <w:tcW w:type="auto" w:w="0"/>
                  <w:shd w:val="clear" w:color="auto" w:fill="F0F0F0"/>
                </w:tcPr>
                <w:p>
                  <w:pPr>
                    <w:pStyle w:val="Para 02"/>
                    <w:keepLines w:val="on"/>
                  </w:pPr>
                  <w:r>
                    <w:t>Giảm</w:t>
                  </w:r>
                </w:p>
              </w:tc>
            </w:tr>
          </w:tbl>
          <w:p/>
        </w:tc>
      </w:tr>
    </w:tbl>
    <w:p>
      <w:bookmarkStart w:id="638" w:name="American_versus_European_Options"/>
      <w:bookmarkStart w:id="639" w:name="American_versus_European_Options_1"/>
      <w:pPr>
        <w:keepNext/>
        <w:pStyle w:val="Heading 3"/>
        <w:keepLines w:val="on"/>
      </w:pPr>
      <w:r>
        <w:t>Quyền chọn kiểu Mỹ so với kiểu châu Âu: Các biến số liên quan đến việc thực hiện sớm</w:t>
      </w:r>
      <w:bookmarkEnd w:id="638"/>
      <w:bookmarkEnd w:id="639"/>
    </w:p>
    <w:p>
      <w:pPr>
        <w:pStyle w:val="Para 03"/>
      </w:pPr>
      <w:r>
        <w:t>Điểm khác biệt cơ bản giữa quyền chọn kiểu Mỹ và kiểu châu Âu là quyền chọn kiểu Mỹ có thể được thực hiện bất cứ lúc nào trước ngày đáo hạn, trong khi quyền chọn kiểu châu Âu chỉ có thể được thực hiện vào ngày đáo hạn. Khả năng thực hiện sớm khiến quyền chọn kiểu Mỹ có giá trị cao hơn so với quyền chọn kiểu châu Âu tương tự; đồng thời cũng khiến chúng khó định giá hơn. Có một yếu tố bù trừ giúp có thể định giá quyền chọn kiểu Mỹ bằng các mô hình được thiết kế cho quyền chọn kiểu châu Âu. Trong hầu hết các trường hợp, phần bù thời gian (time premium) gắn với thời gian sống còn lại của quyền chọn cùng với chi phí giao dịch khiến việc thực hiện sớm trở nên không tối ưu. Nói cách khác, người nắm giữ quyền chọn đang có lãi (in-the-money) thường thu được nhiều lợi ích hơn khi bán quyền chọn đó cho người khác thay vì thực hiện quyền chọn.</w:t>
      </w:r>
    </w:p>
    <w:p>
      <w:bookmarkStart w:id="641" w:name="Option_Pricing_Models__Option_pr"/>
      <w:bookmarkStart w:id="642" w:name="Option_Pricing_Models"/>
      <w:pPr>
        <w:keepNext/>
        <w:pStyle w:val="Heading 2"/>
        <w:keepLines w:val="on"/>
      </w:pPr>
      <w:r>
        <w:t>Các mô hình định giá quyền chọn</w:t>
      </w:r>
      <w:bookmarkEnd w:id="641"/>
      <w:bookmarkEnd w:id="642"/>
    </w:p>
    <w:p>
      <w:pPr>
        <w:pStyle w:val="Para 03"/>
      </w:pPr>
      <w:r>
        <w:t>Lý thuyết định giá quyền chọn đã có những bước tiến vượt bậc kể từ năm 1972, khi Fischer Black và Myron Scholes công bố bài báo mang tính đột phá của họ, cung cấp một mô hình định giá quyền chọn kiểu châu Âu được bảo vệ khỏi cổ tức. Black và Scholes đã sử dụng một "danh mục mô phỏng" (replicating portfolio) — một danh mục bao gồm tài sản cơ sở và tài sản phi rủi ro có cùng dòng tiền với quyền chọn đang được định giá — cùng với khái niệm kinh doanh chênh lệch giá (arbitrage) để đưa ra công thức cuối cùng của họ. Mặc dù cách chứng minh của họ phức tạp về mặt toán học, vẫn có một mô hình nhị thức (binomial model) đơn giản hơn để định giá quyền chọn dựa trên cùng logic đó.</w:t>
      </w:r>
    </w:p>
    <w:p>
      <w:bookmarkStart w:id="643" w:name="Binomial_Model"/>
      <w:bookmarkStart w:id="644" w:name="Binomial_Model__The_binomial_opt"/>
      <w:pPr>
        <w:keepNext/>
        <w:pStyle w:val="Heading 3"/>
        <w:keepLines w:val="on"/>
      </w:pPr>
      <w:r>
        <w:t>Mô hình nhị thức</w:t>
      </w:r>
      <w:bookmarkEnd w:id="643"/>
      <w:bookmarkEnd w:id="644"/>
    </w:p>
    <w:p>
      <w:pPr>
        <w:pStyle w:val="Para 03"/>
      </w:pPr>
      <w:r>
        <w:t>Mô hình định giá quyền chọn nhị thức dựa trên một công thức đơn giản cho quá trình biến động giá tài sản, trong đó tài sản, tại bất kỳ khoảng thời gian nào, có thể chuyển sang một trong hai mức giá khả thi. Công thức tổng quát của quá trình biến động giá cổ phiếu theo mô hình nhị thức được thể hiện trong Hình 5.3. Trong hình này, S là giá cổ phiếu hiện tại; giá có thể tăng lên Su với xác suất p và giảm xuống Sd với xác suất 1 − p trong bất kỳ khoảng thời gian nào.</w:t>
      </w:r>
    </w:p>
    <w:p>
      <w:bookmarkStart w:id="646" w:name="Figure_5_3_General_Formulation_f"/>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914400" cy="698500"/>
            <wp:effectExtent l="0" r="0" t="0" b="0"/>
            <wp:wrapTopAndBottom/>
            <wp:docPr id="21" name="c05f003.png" descr="Diagram of the formulation of stock price process that follows the binomial path."/>
            <wp:cNvGraphicFramePr>
              <a:graphicFrameLocks noChangeAspect="1"/>
            </wp:cNvGraphicFramePr>
            <a:graphic>
              <a:graphicData uri="http://schemas.openxmlformats.org/drawingml/2006/picture">
                <pic:pic>
                  <pic:nvPicPr>
                    <pic:cNvPr id="0" name="c05f003.png" descr="Diagram of the formulation of stock price process that follows the binomial path."/>
                    <pic:cNvPicPr/>
                  </pic:nvPicPr>
                  <pic:blipFill>
                    <a:blip r:embed="rId20"/>
                    <a:stretch>
                      <a:fillRect/>
                    </a:stretch>
                  </pic:blipFill>
                  <pic:spPr>
                    <a:xfrm>
                      <a:off x="0" y="0"/>
                      <a:ext cx="914400" cy="698500"/>
                    </a:xfrm>
                    <a:prstGeom prst="rect">
                      <a:avLst/>
                    </a:prstGeom>
                  </pic:spPr>
                </pic:pic>
              </a:graphicData>
            </a:graphic>
          </wp:anchor>
        </w:drawing>
      </w:r>
      <w:bookmarkEnd w:id="646"/>
    </w:p>
    <w:p>
      <w:pPr>
        <w:keepNext/>
        <w:pStyle w:val="Para 22"/>
        <w:keepLines w:val="on"/>
      </w:pPr>
      <w:r>
        <w:t>HÌNH 5.3 Công thức tổng quát cho đường giá nhị thức</w:t>
      </w:r>
    </w:p>
    <w:p>
      <w:pPr>
        <w:pStyle w:val="Para 20"/>
      </w:pPr>
      <w:r>
        <w:rPr>
          <w:rStyle w:val="Text26"/>
        </w:rPr>
        <w:bookmarkStart w:id="647" w:name="Page_95"/>
        <w:t/>
        <w:bookmarkEnd w:id="647"/>
      </w:r>
      <w:r>
        <w:t xml:space="preserve"> </w:t>
      </w:r>
    </w:p>
    <w:p>
      <w:bookmarkStart w:id="648" w:name="Creating_a_Replicating_Portfolio"/>
      <w:pPr>
        <w:pStyle w:val="Para 21"/>
      </w:pPr>
      <w:r>
        <w:t>Xây dựng danh mục mô phỏng</w:t>
      </w:r>
      <w:bookmarkEnd w:id="648"/>
    </w:p>
    <w:p>
      <w:pPr>
        <w:pStyle w:val="Para 03"/>
      </w:pPr>
      <w:r>
        <w:t>Mục tiêu khi xây dựng một danh mục mô phỏng (replicating portfolio) là kết hợp việc vay/cho vay phi rủi ro với tài sản cơ sở để tạo ra dòng tiền giống hệt dòng tiền của quyền chọn đang được định giá. Nguyên tắc kinh doanh chênh lệch giá (arbitrage) sẽ được áp dụng, và giá trị của quyền chọn phải bằng giá trị của danh mục mô phỏng. Trong trường hợp công thức tổng quát ở Hình 5.3, khi giá cổ phiếu có thể tăng lên Su hoặc giảm xuống Sd trong bất kỳ khoảng thời gian nào, danh mục mô phỏng cho một quyền chọn mua (call) với giá thực hiện K sẽ bao gồm việc vay $B và nắm giữ Δ tài sản cơ sở, trong đó:</w:t>
      </w:r>
    </w:p>
    <w:p>
      <w:bookmarkStart w:id="650" w:name="D_Cu___CdSu___Sd"/>
      <w:pPr>
        <w:keepNext/>
        <w:pStyle w:val="Para 09"/>
        <w:keepLines w:val="on"/>
      </w:pPr>
      <w:r>
        <w:t>Δ=Cu−CdSu−Sd</w:t>
      </w:r>
      <w:bookmarkEnd w:id="650"/>
    </w:p>
    <w:p>
      <w:bookmarkStart w:id="651" w:name="where_Cu_Value_of_the_call_if_th"/>
      <w:pPr>
        <w:pStyle w:val="Para 39"/>
      </w:pPr>
      <w:r>
        <w:t>trong đó Cu=Giá trị của quyền chọn mua nếu giá cổ phiếu là SuCd=Giá trị của quyền chọn mua nếu giá cổ phiếu là Sd</w:t>
      </w:r>
      <w:bookmarkEnd w:id="651"/>
    </w:p>
    <w:p>
      <w:pPr>
        <w:pStyle w:val="Para 03"/>
      </w:pPr>
      <w:r>
        <w:t>Trong một quá trình nhị thức nhiều giai đoạn, việc định giá phải được thực hiện lặp đi lặp lại (nghĩa là bắt đầu từ giai đoạn cuối cùng rồi lùi dần về thời điểm hiện tại). Các danh mục mô phỏng quyền chọn được tạo ra ở mỗi bước và được định giá, từ đó cung cấp giá trị của quyền chọn trong giai đoạn đó. Kết quả cuối cùng của mô hình định giá quyền chọn nhị thức là một phát biểu về giá trị của quyền chọn dưới dạng danh mục mô phỏng, bao gồm Δ cổ phần (delta của quyền chọn) của tài sản cơ sở và khoản vay/cho vay phi rủi ro.</w:t>
      </w:r>
    </w:p>
    <w:p>
      <w:bookmarkStart w:id="652" w:name="Value_of_call_Current_Value_of_U"/>
      <w:pPr>
        <w:keepNext/>
        <w:pStyle w:val="Para 09"/>
        <w:keepLines w:val="on"/>
      </w:pPr>
      <w:r>
        <w:t>Giá trị quyền chọn mua=Giá trị hiện tại của tài sản cơ sở×Delta của quyền chọn×Khoản vay cần thiết để mô phỏng quyền chọn</w:t>
      </w:r>
      <w:bookmarkEnd w:id="652"/>
    </w:p>
    <w:p>
      <w:pPr>
        <w:pStyle w:val="Para 11"/>
      </w:pPr>
      <w:r>
        <w:t xml:space="preserve"> </w:t>
      </w:r>
    </w:p>
    <w:p>
      <w:bookmarkStart w:id="653" w:name="ILLUSTRATION_5_1___Binomial_Opti_1"/>
      <w:bookmarkStart w:id="654" w:name="ILLUSTRATION_5_1___Binomial_Opti"/>
      <w:pPr>
        <w:keepNext/>
        <w:pStyle w:val="Para 19"/>
        <w:keepLines w:val="on"/>
      </w:pPr>
      <w:r>
        <w:t>MINH HỌA 5.1: Định giá quyền chọn theo mô hình nhị thức</w:t>
      </w:r>
      <w:bookmarkEnd w:id="653"/>
      <w:bookmarkEnd w:id="654"/>
    </w:p>
    <w:p>
      <w:pPr>
        <w:pStyle w:val="Para 04"/>
        <w:keepLines w:val="on"/>
      </w:pPr>
      <w:r>
        <w:t>Giả sử mục tiêu là định giá một quyền chọn mua với giá thực hiện $50, dự kiến hết hạn sau hai giai đoạn, trên một tài sản cơ sở hiện có giá $50 và được kỳ vọng sẽ diễn biến theo quá trình nhị thức được trình bày trong Hình 5.4.</w:t>
      </w:r>
    </w:p>
    <w:p>
      <w:bookmarkStart w:id="656" w:name="Figure_5_4_Binomial_Tree_for_Opt"/>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612900" cy="1358900"/>
            <wp:effectExtent l="0" r="0" t="0" b="0"/>
            <wp:wrapTopAndBottom/>
            <wp:docPr id="22" name="c05f004.png" descr="Diagram of a binomial tree for option pricing depicts the value of a call with price of $50 expiring in two time periods."/>
            <wp:cNvGraphicFramePr>
              <a:graphicFrameLocks noChangeAspect="1"/>
            </wp:cNvGraphicFramePr>
            <a:graphic>
              <a:graphicData uri="http://schemas.openxmlformats.org/drawingml/2006/picture">
                <pic:pic>
                  <pic:nvPicPr>
                    <pic:cNvPr id="0" name="c05f004.png" descr="Diagram of a binomial tree for option pricing depicts the value of a call with price of $50 expiring in two time periods."/>
                    <pic:cNvPicPr/>
                  </pic:nvPicPr>
                  <pic:blipFill>
                    <a:blip r:embed="rId21"/>
                    <a:stretch>
                      <a:fillRect/>
                    </a:stretch>
                  </pic:blipFill>
                  <pic:spPr>
                    <a:xfrm>
                      <a:off x="0" y="0"/>
                      <a:ext cx="1612900" cy="1358900"/>
                    </a:xfrm>
                    <a:prstGeom prst="rect">
                      <a:avLst/>
                    </a:prstGeom>
                  </pic:spPr>
                </pic:pic>
              </a:graphicData>
            </a:graphic>
          </wp:anchor>
        </w:drawing>
      </w:r>
      <w:bookmarkEnd w:id="656"/>
    </w:p>
    <w:p>
      <w:pPr>
        <w:keepNext/>
        <w:pStyle w:val="Para 38"/>
        <w:keepLines w:val="on"/>
      </w:pPr>
      <w:r>
        <w:t>HÌNH 5.4 Cây nhị thức để định giá quyền chọn</w:t>
      </w:r>
    </w:p>
    <w:p>
      <w:pPr>
        <w:pStyle w:val="Para 04"/>
        <w:keepLines w:val="on"/>
      </w:pPr>
      <w:r>
        <w:t>Bây giờ giả sử lãi suất là 11%. Ngoài ra, định nghĩa:</w:t>
      </w:r>
    </w:p>
    <w:p>
      <w:bookmarkStart w:id="658" w:name="____Number_of_shares_in_the_repl"/>
      <w:pPr>
        <w:keepNext/>
        <w:pStyle w:val="Para 07"/>
        <w:keepLines w:val="on"/>
      </w:pPr>
      <w:r>
        <w:t>∆=Số cổ phần trong danh mục mô phỏngB=Khoản vay bằng đô la trong danh mục mô phỏng</w:t>
      </w:r>
      <w:bookmarkEnd w:id="658"/>
    </w:p>
    <w:p>
      <w:pPr>
        <w:pStyle w:val="Para 04"/>
        <w:keepLines w:val="on"/>
      </w:pPr>
      <w:r>
        <w:t>Mục tiêu là kết hợp Δ cổ phần và B đô la vay để mô phỏng dòng tiền từ quyền chọn mua với giá thực hiện $40. Việc này có thể được thực hiện lặp đi lặp lại, bắt đầu từ giai đoạn cuối cùng rồi lùi ngược qua cây nhị thức.</w:t>
      </w:r>
    </w:p>
    <w:p>
      <w:pPr>
        <w:pStyle w:val="Para 04"/>
        <w:keepLines w:val="on"/>
      </w:pPr>
      <w:r>
        <w:t>Bước 1: Bắt đầu từ các nút cuối và lùi ngược lại:</w:t>
      </w:r>
    </w:p>
    <w:p>
      <w:bookmarkStart w:id="659" w:name="UF1"/>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08200" cy="901700"/>
            <wp:effectExtent l="0" r="0" t="0" b="0"/>
            <wp:wrapTopAndBottom/>
            <wp:docPr id="23" name="c05un001.png" descr="Diagram of binomial tree with stock price of 70 at t equals 1 to 100 and 50 at t equals 2 along with its call payoff, replicating portfolio."/>
            <wp:cNvGraphicFramePr>
              <a:graphicFrameLocks noChangeAspect="1"/>
            </wp:cNvGraphicFramePr>
            <a:graphic>
              <a:graphicData uri="http://schemas.openxmlformats.org/drawingml/2006/picture">
                <pic:pic>
                  <pic:nvPicPr>
                    <pic:cNvPr id="0" name="c05un001.png" descr="Diagram of binomial tree with stock price of 70 at t equals 1 to 100 and 50 at t equals 2 along with its call payoff, replicating portfolio."/>
                    <pic:cNvPicPr/>
                  </pic:nvPicPr>
                  <pic:blipFill>
                    <a:blip r:embed="rId22"/>
                    <a:stretch>
                      <a:fillRect/>
                    </a:stretch>
                  </pic:blipFill>
                  <pic:spPr>
                    <a:xfrm>
                      <a:off x="0" y="0"/>
                      <a:ext cx="2108200" cy="901700"/>
                    </a:xfrm>
                    <a:prstGeom prst="rect">
                      <a:avLst/>
                    </a:prstGeom>
                  </pic:spPr>
                </pic:pic>
              </a:graphicData>
            </a:graphic>
          </wp:anchor>
        </w:drawing>
      </w:r>
      <w:bookmarkEnd w:id="659"/>
    </w:p>
    <w:p>
      <w:pPr>
        <w:pStyle w:val="Para 04"/>
        <w:keepLines w:val="on"/>
      </w:pPr>
      <w:r>
        <w:t>Như vậy, nếu giá cổ phiếu là $70 tại t = 1, việc vay $45 và mua một cổ phần sẽ cho dòng tiền giống hệt như mua quyền chọn mua. Do đó, giá trị của quyền chọn mua tại t = 1, nếu giá cổ phiếu là $70, là:</w:t>
      </w:r>
    </w:p>
    <w:p>
      <w:bookmarkStart w:id="660" w:name="Valueofcall_70_1____36_04_33_96"/>
      <w:pPr>
        <w:keepNext/>
        <w:pStyle w:val="Para 07"/>
        <w:keepLines w:val="on"/>
      </w:pPr>
      <w:r>
        <w:t>Giátrịquyềnchọnmua=70(1)−36.04=33.96</w:t>
      </w:r>
      <w:bookmarkEnd w:id="660"/>
    </w:p>
    <w:p>
      <w:pPr>
        <w:pStyle w:val="Para 04"/>
        <w:keepLines w:val="on"/>
      </w:pPr>
      <w:r>
        <w:t>Xét nhánh còn lại của cây nhị thức tại t = 1,</w:t>
      </w:r>
    </w:p>
    <w:p>
      <w:bookmarkStart w:id="661" w:name="UF2"/>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08200" cy="901700"/>
            <wp:effectExtent l="0" r="0" t="0" b="0"/>
            <wp:wrapTopAndBottom/>
            <wp:docPr id="24" name="c05un002.png" descr="Diagram of binomial tree with stock price of 35 at t equals 1 to 50 and 25 at t equals 2 along with its call payoff, replicating portfolio."/>
            <wp:cNvGraphicFramePr>
              <a:graphicFrameLocks noChangeAspect="1"/>
            </wp:cNvGraphicFramePr>
            <a:graphic>
              <a:graphicData uri="http://schemas.openxmlformats.org/drawingml/2006/picture">
                <pic:pic>
                  <pic:nvPicPr>
                    <pic:cNvPr id="0" name="c05un002.png" descr="Diagram of binomial tree with stock price of 35 at t equals 1 to 50 and 25 at t equals 2 along with its call payoff, replicating portfolio."/>
                    <pic:cNvPicPr/>
                  </pic:nvPicPr>
                  <pic:blipFill>
                    <a:blip r:embed="rId23"/>
                    <a:stretch>
                      <a:fillRect/>
                    </a:stretch>
                  </pic:blipFill>
                  <pic:spPr>
                    <a:xfrm>
                      <a:off x="0" y="0"/>
                      <a:ext cx="2108200" cy="901700"/>
                    </a:xfrm>
                    <a:prstGeom prst="rect">
                      <a:avLst/>
                    </a:prstGeom>
                  </pic:spPr>
                </pic:pic>
              </a:graphicData>
            </a:graphic>
          </wp:anchor>
        </w:drawing>
      </w:r>
      <w:bookmarkEnd w:id="661"/>
    </w:p>
    <w:p>
      <w:pPr>
        <w:pStyle w:val="Para 04"/>
        <w:keepLines w:val="on"/>
      </w:pPr>
      <w:r>
        <w:t>Nếu giá cổ phiếu là $35 tại t = 1, thì quyền chọn mua có giá trị là $4.99:</w:t>
      </w:r>
    </w:p>
    <w:p>
      <w:bookmarkStart w:id="662" w:name="Value_of_call_35_0_4____9_01__4"/>
      <w:pPr>
        <w:keepNext/>
        <w:pStyle w:val="Para 07"/>
        <w:keepLines w:val="on"/>
      </w:pPr>
      <w:r>
        <w:t>Giá trị quyền chọn mua=35(0.4)−9.01=$4.99</w:t>
      </w:r>
      <w:bookmarkEnd w:id="662"/>
    </w:p>
    <w:p>
      <w:pPr>
        <w:pStyle w:val="Para 40"/>
        <w:keepLines w:val="on"/>
      </w:pPr>
      <w:r>
        <w:rPr>
          <w:rStyle w:val="Text26"/>
        </w:rPr>
        <w:bookmarkStart w:id="663" w:name="Page_97"/>
        <w:t/>
        <w:bookmarkEnd w:id="663"/>
      </w:r>
      <w:r>
        <w:t xml:space="preserve"> </w:t>
      </w:r>
    </w:p>
    <w:p>
      <w:pPr>
        <w:pStyle w:val="Para 04"/>
        <w:keepLines w:val="on"/>
      </w:pPr>
      <w:r>
        <w:t>Bước 2: Lùi về giai đoạn trước đó và tạo một danh mục mô phỏng sẽ cung cấp dòng tiền mà quyền chọn sẽ mang lại.</w:t>
      </w:r>
    </w:p>
    <w:p>
      <w:bookmarkStart w:id="664" w:name="UF3"/>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33600" cy="901700"/>
            <wp:effectExtent l="0" r="0" t="0" b="0"/>
            <wp:wrapTopAndBottom/>
            <wp:docPr id="25" name="c05un003.png" descr="Diagram of binomial tree with stock price of 50 at t equals 0 to 70 and 35 at t equals 1 along with its call payoff, replicating portfolio."/>
            <wp:cNvGraphicFramePr>
              <a:graphicFrameLocks noChangeAspect="1"/>
            </wp:cNvGraphicFramePr>
            <a:graphic>
              <a:graphicData uri="http://schemas.openxmlformats.org/drawingml/2006/picture">
                <pic:pic>
                  <pic:nvPicPr>
                    <pic:cNvPr id="0" name="c05un003.png" descr="Diagram of binomial tree with stock price of 50 at t equals 0 to 70 and 35 at t equals 1 along with its call payoff, replicating portfolio."/>
                    <pic:cNvPicPr/>
                  </pic:nvPicPr>
                  <pic:blipFill>
                    <a:blip r:embed="rId24"/>
                    <a:stretch>
                      <a:fillRect/>
                    </a:stretch>
                  </pic:blipFill>
                  <pic:spPr>
                    <a:xfrm>
                      <a:off x="0" y="0"/>
                      <a:ext cx="2133600" cy="901700"/>
                    </a:xfrm>
                    <a:prstGeom prst="rect">
                      <a:avLst/>
                    </a:prstGeom>
                  </pic:spPr>
                </pic:pic>
              </a:graphicData>
            </a:graphic>
          </wp:anchor>
        </w:drawing>
      </w:r>
      <w:bookmarkEnd w:id="664"/>
    </w:p>
    <w:p>
      <w:pPr>
        <w:pStyle w:val="Para 04"/>
        <w:keepLines w:val="on"/>
      </w:pPr>
      <w:r>
        <w:t>Nói cách khác, việc vay $21.61 và mua 0.8278 cổ phần sẽ mang lại dòng tiền giống hệt như một quyền chọn mua với giá thực hiện $40 trong suốt vòng đời của quyền chọn. Do đó, giá trị của quyền chọn mua phải bằng chi phí để tạo ra vị thế này.</w:t>
      </w:r>
    </w:p>
    <w:p>
      <w:bookmarkStart w:id="665" w:name="Value_of_call_Current_Stock_Pric"/>
      <w:pPr>
        <w:keepNext/>
        <w:pStyle w:val="Para 07"/>
        <w:keepLines w:val="on"/>
      </w:pPr>
      <w:r>
        <w:t>Giá trị quyền chọn mua=Giá cổ phiếu hiện tại(57)−Khoản vay=50(57)−21.61=$19.42</w:t>
      </w:r>
      <w:bookmarkEnd w:id="665"/>
    </w:p>
    <w:p>
      <w:bookmarkStart w:id="666" w:name="The_Determinants_of_Value__The_b"/>
      <w:pPr>
        <w:pStyle w:val="Para 21"/>
      </w:pPr>
      <w:r>
        <w:t>Các yếu tố quyết định giá trị</w:t>
      </w:r>
      <w:bookmarkEnd w:id="666"/>
    </w:p>
    <w:p>
      <w:pPr>
        <w:pStyle w:val="Para 03"/>
      </w:pPr>
      <w:r>
        <w:t>Mô hình nhị thức mang lại cái nhìn sâu sắc về các yếu tố quyết định giá trị quyền chọn. Giá trị của một quyền chọn không được quyết định bởi giá kỳ vọng của tài sản mà bởi giá hiện tại của nó — tất nhiên, giá hiện tại phản ánh những kỳ vọng về tương lai. Đây là hệ quả trực tiếp của kinh doanh chênh lệch giá. Nếu giá trị quyền chọn lệch khỏi giá trị của danh mục mô phỏng, nhà đầu tư có thể tạo ra một vị thế chênh lệch giá (nghĩa là một vị thế không cần đầu tư, không có rủi ro và mang lại lợi nhuận dương). Để minh họa, nếu danh mục mô phỏng quyền chọn mua tốn kém hơn quyền chọn mua trên thị trường, nhà đầu tư có thể mua quyền chọn mua, bán danh mục mô phỏng và chắc chắn thu được phần chênh lệch làm lợi nhuận. Dòng tiền của hai vị thế sẽ bù trừ lẫn nhau, dẫn đến không có dòng tiền nào trong các giai đoạn tiếp theo. Giá trị quyền chọn mua cũng tăng khi thời gian đến hạn được kéo dài, khi các biến động giá (u và d) tăng lên, và khi lãi suất tăng.</w:t>
      </w:r>
    </w:p>
    <w:p>
      <w:pPr>
        <w:pStyle w:val="Para 03"/>
      </w:pPr>
      <w:r>
        <w:t>Trong khi mô hình nhị thức mang lại cảm giác trực quan về các yếu tố quyết định giá trị quyền chọn, nó đòi hỏi một lượng lớn dữ liệu đầu vào, dưới dạng giá kỳ vọng trong tương lai tại mỗi nút. Khi các khoảng thời gian được rút ngắn lại trong mô hình nhị thức, bạn có thể đưa ra một trong hai giả định về giá tài sản. Bạn có thể giả định rằng các thay đổi giá trở nên nhỏ hơn khi các giai đoạn ngắn lại; điều này dẫn đến các thay đổi giá trở nên vô cùng nhỏ khi các khoảng thời gian tiến về không, tạo ra một quá trình giá liên tục. Hoặc, bạn có thể giả định rằng các thay đổi giá vẫn lớn ngay cả khi giai đoạn ngắn lại; điều này dẫn đến một quá trình giá nhảy bước (jump price process), nơi giá có thể nhảy bất kỳ giai đoạn nào. Phần này xem xét các mô hình định giá quyền chọn xuất hiện với mỗi giả định này.</w:t>
      </w:r>
    </w:p>
    <w:p>
      <w:pPr>
        <w:pStyle w:val="Para 20"/>
      </w:pPr>
      <w:r>
        <w:rPr>
          <w:rStyle w:val="Text26"/>
        </w:rPr>
        <w:bookmarkStart w:id="668" w:name="Page_98"/>
        <w:t/>
        <w:bookmarkEnd w:id="668"/>
      </w:r>
      <w:r>
        <w:t xml:space="preserve"> </w:t>
      </w:r>
    </w:p>
    <w:p>
      <w:bookmarkStart w:id="669" w:name="Black_Scholes_Model"/>
      <w:bookmarkStart w:id="670" w:name="Black_Scholes_Model__When_the_pr"/>
      <w:pPr>
        <w:keepNext/>
        <w:pStyle w:val="Heading 3"/>
        <w:keepLines w:val="on"/>
      </w:pPr>
      <w:r>
        <w:t>Mô hình Black-Scholes</w:t>
      </w:r>
      <w:bookmarkEnd w:id="669"/>
      <w:bookmarkEnd w:id="670"/>
    </w:p>
    <w:p>
      <w:pPr>
        <w:pStyle w:val="Para 03"/>
      </w:pPr>
      <w:r>
        <w:t>Khi quá trình giá diễn ra liên tục (nghĩa là mức thay đổi giá trở nên nhỏ hơn khi các khoảng thời gian ngắn lại), mô hình nhị thức để định giá quyền chọn sẽ hội tụ về mô hình Black-Scholes. Mô hình này, được đặt tên theo hai người đồng sáng tạo Fischer Black và Myron Scholes, cho phép chúng ta ước tính giá trị của bất kỳ quyền chọn nào chỉ với một số ít thông số đầu vào, và đã được chứng minh là đáng tin cậy trong việc định giá nhiều loại quyền chọn niêm yết.</w:t>
      </w:r>
    </w:p>
    <w:p>
      <w:bookmarkStart w:id="671" w:name="The_Model__While_the_derivation"/>
      <w:pPr>
        <w:pStyle w:val="Para 21"/>
      </w:pPr>
      <w:r>
        <w:t>Mô hình</w:t>
      </w:r>
      <w:bookmarkEnd w:id="671"/>
    </w:p>
    <w:p>
      <w:pPr>
        <w:pStyle w:val="Para 03"/>
      </w:pPr>
      <w:r>
        <w:t>Mặc dù việc chứng minh mô hình Black-Scholes quá phức tạp để trình bày ở đây, nhưng nó dựa trên ý tưởng tạo ra một danh mục gồm tài sản cơ sở và tài sản phi rủi ro có cùng dòng tiền, và do đó có cùng chi phí, như quyền chọn đang được định giá. Giá trị của một quyền chọn mua (call option) trong mô hình Black-Scholes có thể được viết dưới dạng hàm của năm biến số:</w:t>
      </w:r>
    </w:p>
    <w:p>
      <w:bookmarkStart w:id="673" w:name="S_Currentvalueoftheunderlying_as"/>
      <w:pPr>
        <w:keepNext/>
        <w:pStyle w:val="Para 09"/>
        <w:keepLines w:val="on"/>
      </w:pPr>
      <w:r>
        <w:t>S=GiátrịhiệntạicủatàisảncơsởK=Giáthựchiện(giágiao)kếthợpcủaquyềnchọnt=Thờigiancònlạichotớikhihếthạncủaquyềnchọnr=Lãisuấtrủirotươngứngvớithờihạncủaquyềnchọnσ2=Phươngsaicủaln⁡(giátrị)củatàisảncơsở</w:t>
      </w:r>
      <w:bookmarkEnd w:id="673"/>
    </w:p>
    <w:p>
      <w:pPr>
        <w:pStyle w:val="Para 03"/>
      </w:pPr>
      <w:r>
        <w:t>Giá trị của một quyền chọn mua khi đó là:</w:t>
      </w:r>
    </w:p>
    <w:p>
      <w:bookmarkStart w:id="674" w:name="Value_of_call_S_N_d1____Ke___rtN"/>
      <w:pPr>
        <w:keepNext/>
        <w:pStyle w:val="Para 09"/>
        <w:keepLines w:val="on"/>
      </w:pPr>
      <w:r>
        <w:t>Giá trị quyền chọn mua=S N(d1)−Ke−rtN(d2) d1=ln⁡(SK)+(r+σ22)tσtd2=d1−σt</w:t>
      </w:r>
      <w:bookmarkEnd w:id="674"/>
    </w:p>
    <w:p>
      <w:pPr>
        <w:pStyle w:val="Para 03"/>
      </w:pPr>
      <w:r>
        <w:t>Lưu ý rằng e−rt là hệ số giá trị hiện tại và phản ánh thực tế rằng giá thực hiện của quyền chọn mua không phải trả cho đến khi hết hạn, vì mô hình định giá các quyền chọn kiểu châu Âu. N(d1) và N(d2) là các xác suất, được ước tính bằng cách sử dụng phân phối chuẩn chuẩn hóa tích lũy, cùng với các giá trị d1 và d2 thu được cho một quyền chọn. Phân phối tích lũy được thể hiện trong Hình 5.5.</w:t>
      </w:r>
    </w:p>
    <w:p>
      <w:bookmarkStart w:id="676" w:name="Figure_5_5_Cumulative_Normal_Di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524000" cy="812800"/>
            <wp:effectExtent l="0" r="0" t="0" b="0"/>
            <wp:wrapTopAndBottom/>
            <wp:docPr id="26" name="c05f005.png" descr="Graph of a cumulative normal distribution with option delta N (d subscript 1) and value d subscript 1."/>
            <wp:cNvGraphicFramePr>
              <a:graphicFrameLocks noChangeAspect="1"/>
            </wp:cNvGraphicFramePr>
            <a:graphic>
              <a:graphicData uri="http://schemas.openxmlformats.org/drawingml/2006/picture">
                <pic:pic>
                  <pic:nvPicPr>
                    <pic:cNvPr id="0" name="c05f005.png" descr="Graph of a cumulative normal distribution with option delta N (d subscript 1) and value d subscript 1."/>
                    <pic:cNvPicPr/>
                  </pic:nvPicPr>
                  <pic:blipFill>
                    <a:blip r:embed="rId25"/>
                    <a:stretch>
                      <a:fillRect/>
                    </a:stretch>
                  </pic:blipFill>
                  <pic:spPr>
                    <a:xfrm>
                      <a:off x="0" y="0"/>
                      <a:ext cx="1524000" cy="812800"/>
                    </a:xfrm>
                    <a:prstGeom prst="rect">
                      <a:avLst/>
                    </a:prstGeom>
                  </pic:spPr>
                </pic:pic>
              </a:graphicData>
            </a:graphic>
          </wp:anchor>
        </w:drawing>
      </w:r>
      <w:bookmarkEnd w:id="676"/>
    </w:p>
    <w:p>
      <w:pPr>
        <w:keepNext/>
        <w:pStyle w:val="Para 22"/>
        <w:keepLines w:val="on"/>
      </w:pPr>
      <w:r>
        <w:t>Hình 5.5 Phân phối chuẩn tích lũy</w:t>
      </w:r>
    </w:p>
    <w:p>
      <w:pPr>
        <w:pStyle w:val="Para 03"/>
      </w:pPr>
      <w:r>
        <w:t>Nói một cách gần đúng, N(d2) cho biết khả năng một quyền chọn sẽ tạo ra dòng tiền dương cho người sở hữu nó khi thực hiện (nghĩa là S &gt; K trong trường hợp quyền chọn mua và K &gt; S trong trường hợp quyền chọn bán). Danh mục mô phỏng lại quyền chọn mua được tạo ra bằng cách mua N(d1) đơn vị tài sản cơ sở và vay Ke−rt N(d2). Danh mục này sẽ có cùng dòng tiền như quyền chọn mua, và do đó có cùng giá trị như quyền chọn. N(d1), tức số đơn vị tài sản cơ sở cần thiết để tạo ra danh mục mô phỏng, được gọi là delta của quyền chọn.</w:t>
      </w:r>
    </w:p>
    <w:p>
      <w:pPr>
        <w:pStyle w:val="Para 11"/>
      </w:pPr>
      <w:r>
        <w:t xml:space="preserve"> </w:t>
      </w:r>
    </w:p>
    <w:p>
      <w:bookmarkStart w:id="678" w:name="A_Note_on_Estimating_the_Inputs"/>
      <w:bookmarkStart w:id="679" w:name="A_Note_on_Estimating_the_Inputs_1"/>
      <w:pPr>
        <w:keepNext/>
        <w:pStyle w:val="Para 27"/>
        <w:keepLines w:val="on"/>
      </w:pPr>
      <w:r>
        <w:t>Một lưu ý về việc ước tính các thông số đầu vào của mô hình Black-Scholes</w:t>
      </w:r>
      <w:bookmarkEnd w:id="678"/>
      <w:bookmarkEnd w:id="679"/>
    </w:p>
    <w:p>
      <w:pPr>
        <w:pStyle w:val="Para 16"/>
        <w:keepLines w:val="on"/>
      </w:pPr>
      <w:r>
        <w:t>Mô hình Black-Scholes đòi hỏi các thông số đầu vào phải nhất quán về đơn vị đo thời gian. Có hai điểm mà điều này ảnh hưởng đến việc ước tính. Điểm thứ nhất liên quan đến việc mô hình hoạt động trong thời gian liên tục, chứ không phải thời gian rời rạc. Đó là lý do chúng ta sử dụng phiên bản giá trị hiện tại theo thời gian liên tục (exp−rt) thay vì phiên bản rời rạc, (1 + r)−t. Điều này cũng có nghĩa là các thông số đầu vào như lãi suất phi rủi ro phải được điều chỉnh để trở thành thông số đầu vào theo thời gian liên tục. Ví dụ, nếu lãi suất trái phiếu kho bạc một năm là 6,2 phần trăm, thì lãi suất phi rủi ro được sử dụng trong mô hình Black-Scholes phải là 6,15%</w:t>
      </w:r>
    </w:p>
    <w:p>
      <w:bookmarkStart w:id="680" w:name="Continuous_Risk_free_Rate_ln"/>
      <w:pPr>
        <w:keepNext/>
        <w:pStyle w:val="Para 48"/>
        <w:keepLines w:val="on"/>
      </w:pPr>
      <w:r>
        <w:t>Lãi suất phi rủi ro liên tục=ln⁡(1+Lãi suất hàng năm)=ln⁡(1.062)=0.0615 hay 6.15%</w:t>
      </w:r>
      <w:bookmarkEnd w:id="680"/>
    </w:p>
    <w:p>
      <w:pPr>
        <w:pStyle w:val="Para 16"/>
        <w:keepLines w:val="on"/>
      </w:pPr>
      <w:r>
        <w:t>Điểm thứ hai liên quan đến khoảng thời gian mà các thông số đầu vào được ước tính. Ví dụ, lãi suất ở trên là lãi suất hàng năm. Phương sai được đưa vào mô hình cũng phải là phương sai đã được chuẩn hóa theo năm. Phương sai, được ước tính từ ln (giá tài sản), có thể dễ dàng chuẩn hóa theo năm vì phương sai là tuyến tính theo thời gian nếu tương quan chuỗi bằng không. Do đó, nếu giá hàng tháng hoặc hàng tuần được sử dụng để ước tính phương sai, thì phương sai được chuẩn hóa theo năm bằng cách nhân với 12 hoặc 52, tương ứng.</w:t>
      </w:r>
    </w:p>
    <w:p>
      <w:pPr>
        <w:pStyle w:val="Para 11"/>
      </w:pPr>
      <w:r>
        <w:t xml:space="preserve"> </w:t>
      </w:r>
    </w:p>
    <w:p>
      <w:bookmarkStart w:id="681" w:name="ILLUSTRATION_5_2___Valuing_an_Op"/>
      <w:bookmarkStart w:id="682" w:name="ILLUSTRATION_5_2___Valuing_an_Op_1"/>
      <w:pPr>
        <w:keepNext/>
        <w:pStyle w:val="Para 19"/>
        <w:keepLines w:val="on"/>
      </w:pPr>
      <w:r>
        <w:t>MINH HỌA 5.2: Định giá một quyền chọn bằng mô hình Black-Scholes</w:t>
      </w:r>
      <w:bookmarkEnd w:id="681"/>
      <w:bookmarkEnd w:id="682"/>
    </w:p>
    <w:p>
      <w:pPr>
        <w:pStyle w:val="Para 04"/>
        <w:keepLines w:val="on"/>
      </w:pPr>
      <w:r>
        <w:t>Vào ngày 6 tháng 3 năm 2001, Cisco Systems đang giao dịch ở mức 13,62 đô la. Chúng ta sẽ thử định giá một quyền chọn mua tháng 7 năm 2001 với giá thực hiện là 15 đô la, giao dịch trên CBOE cùng ngày với giá 2 đô la. Sau đây là các thông số khác của quyền chọn:</w:t>
      </w:r>
    </w:p>
    <w:p>
      <w:pPr>
        <w:numPr>
          <w:ilvl w:val="0"/>
          <w:numId w:val="24"/>
        </w:numPr>
        <w:pStyle w:val="Para 18"/>
        <w:keepLines w:val="on"/>
      </w:pPr>
      <w:r>
        <w:t>Độ lệch chuẩn đã chuẩn hóa theo năm của giá cổ phiếu Cisco Systems trong năm trước là 81%. Độ lệch chuẩn này được ước tính bằng cách sử dụng giá cổ phiếu hàng tuần trong năm, và con số thu được đã được chuẩn hóa theo năm như sau:</w:t>
      </w:r>
    </w:p>
    <w:p>
      <w:bookmarkStart w:id="684" w:name="Weekly_standard_deviation_in_sto"/>
      <w:pPr>
        <w:keepNext/>
        <w:pStyle w:val="Para 07"/>
        <w:keepLines w:val="on"/>
      </w:pPr>
      <w:r>
        <w:t>Độ lệch chuẩn hàng tuần của giá cổ phiếu=11.23%Độ lệch chuẩn đã chuẩn hóa theo năm của giá cổ phiếu=11.23%×52=81%</w:t>
      </w:r>
      <w:bookmarkEnd w:id="684"/>
    </w:p>
    <w:p>
      <w:pPr>
        <w:numPr>
          <w:ilvl w:val="0"/>
          <w:numId w:val="25"/>
        </w:numPr>
        <w:pStyle w:val="Para 18"/>
        <w:keepLines w:val="on"/>
      </w:pPr>
      <w:r>
        <w:t>Ngày hết hạn của quyền chọn là thứ Sáu, ngày 20 tháng 7 năm 2001. Còn 103 ngày cho đến khi hết hạn, và lãi suất tín phiếu kho bạc đã chuẩn hóa theo năm tương ứng với thời hạn của quyền chọn này là 4,63%.</w:t>
      </w:r>
    </w:p>
    <w:p>
      <w:pPr>
        <w:pStyle w:val="Para 04"/>
        <w:keepLines w:val="on"/>
      </w:pPr>
      <w:r>
        <w:t>Các thông số đầu vào cho mô hình Black-Scholes như sau:</w:t>
      </w:r>
    </w:p>
    <w:p>
      <w:pPr>
        <w:pStyle w:val="1 Block"/>
        <w:keepLines w:val="on"/>
      </w:pPr>
    </w:p>
    <w:p>
      <w:pPr>
        <w:pStyle w:val="Para 18"/>
        <w:keepLines w:val="on"/>
      </w:pPr>
      <w:r>
        <w:t>Giá cổ phiếu hiện tại (S) = 13,62 đô la</w:t>
      </w:r>
    </w:p>
    <w:p>
      <w:pPr>
        <w:pStyle w:val="Para 18"/>
        <w:keepLines w:val="on"/>
      </w:pPr>
      <w:r>
        <w:t>Giá thực hiện của quyền chọn = 15 đô la</w:t>
      </w:r>
    </w:p>
    <w:p>
      <w:pPr>
        <w:pStyle w:val="Para 18"/>
        <w:keepLines w:val="on"/>
      </w:pPr>
      <w:r>
        <w:t>Thời hạn của quyền chọn = 103/365 = 0.2822</w:t>
      </w:r>
    </w:p>
    <w:p>
      <w:pPr>
        <w:pStyle w:val="Para 18"/>
        <w:keepLines w:val="on"/>
      </w:pPr>
      <w:r>
        <w:t>Độ lệch chuẩn của ln (giá cổ phiếu) = 81%</w:t>
      </w:r>
    </w:p>
    <w:p>
      <w:pPr>
        <w:pStyle w:val="Para 18"/>
        <w:keepLines w:val="on"/>
      </w:pPr>
      <w:r>
        <w:t>Lãi suất phi rủi ro = 4,63%</w:t>
      </w:r>
    </w:p>
    <w:p>
      <w:pPr>
        <w:pStyle w:val="Para 04"/>
        <w:keepLines w:val="on"/>
      </w:pPr>
      <w:r>
        <w:t>Nhập những con số này vào mô hình, ta được:</w:t>
      </w:r>
    </w:p>
    <w:p>
      <w:bookmarkStart w:id="686" w:name="d1_ln____13_6215_00____0463__812"/>
      <w:pPr>
        <w:keepNext/>
        <w:pStyle w:val="Para 07"/>
        <w:keepLines w:val="on"/>
      </w:pPr>
      <w:r>
        <w:t>d1=ln⁡(13.6215.00)+(.0463+.8122)t.81.2822=0.0212d2=.0212 − .81.2822</w:t>
      </w:r>
      <w:bookmarkEnd w:id="686"/>
    </w:p>
    <w:p>
      <w:pPr>
        <w:pStyle w:val="Para 04"/>
        <w:keepLines w:val="on"/>
      </w:pPr>
      <w:r>
        <w:t>Dùng phân phối chuẩn (normal distribution), ta có thể ước tính N(d1) và N(d2):</w:t>
      </w:r>
    </w:p>
    <w:p>
      <w:bookmarkStart w:id="687" w:name="N_d1___5085N_d2___3412"/>
      <w:pPr>
        <w:keepNext/>
        <w:pStyle w:val="Para 07"/>
        <w:keepLines w:val="on"/>
      </w:pPr>
      <w:r>
        <w:t>N(d1)=.5085N(d2)=.3412</w:t>
      </w:r>
      <w:bookmarkEnd w:id="687"/>
    </w:p>
    <w:p>
      <w:pPr>
        <w:pStyle w:val="Para 04"/>
        <w:keepLines w:val="on"/>
      </w:pPr>
      <w:r>
        <w:t>Giờ ta có thể ước tính giá trị của quyền chọn mua (call):</w:t>
      </w:r>
    </w:p>
    <w:p>
      <w:bookmarkStart w:id="688" w:name="Value_of_Call_13_62__5085____15"/>
      <w:pPr>
        <w:keepNext/>
        <w:pStyle w:val="Para 07"/>
        <w:keepLines w:val="on"/>
      </w:pPr>
      <w:r>
        <w:t>Giá trị quyền chọn mua=13.62(.5085)−15 exp(−.0463)(.2822)⁡(.3412)=$1.87</w:t>
      </w:r>
      <w:bookmarkEnd w:id="688"/>
    </w:p>
    <w:p>
      <w:pPr>
        <w:pStyle w:val="Para 04"/>
        <w:keepLines w:val="on"/>
      </w:pPr>
      <w:r>
        <w:t>Vì quyền chọn mua đang được giao dịch ở mức $2, nó hơi bị định giá cao, giả sử rằng ước tính độ lệch chuẩn được dùng là đúng.</w:t>
      </w:r>
    </w:p>
    <w:p>
      <w:pPr>
        <w:pStyle w:val="Para 11"/>
      </w:pPr>
      <w:r>
        <w:t xml:space="preserve"> </w:t>
      </w:r>
    </w:p>
    <w:p>
      <w:bookmarkStart w:id="689" w:name="Implied_Volatility_The_only_inpu"/>
      <w:bookmarkStart w:id="690" w:name="Implied_Volatility"/>
      <w:pPr>
        <w:keepNext/>
        <w:pStyle w:val="Para 27"/>
        <w:keepLines w:val="on"/>
      </w:pPr>
      <w:r>
        <w:t>Độ biến động ngụ ý (Implied Volatility)</w:t>
      </w:r>
      <w:bookmarkEnd w:id="689"/>
      <w:bookmarkEnd w:id="690"/>
    </w:p>
    <w:p>
      <w:pPr>
        <w:pStyle w:val="Para 16"/>
        <w:keepLines w:val="on"/>
      </w:pPr>
      <w:r>
        <w:t>Đầu vào duy nhất trong mô hình Black Scholes mà các nhà đầu tư có thể bất đồng đáng kể với nhau chính là phương sai (variance). Trong khi phương sai thường được ước tính bằng cách nhìn vào dữ liệu lịch sử, giá trị của các quyền chọn thu được từ việc dùng phương sai lịch sử có thể khác với giá thị trường. Với bất kỳ quyền chọn nào, luôn tồn tại một mức phương sai mà tại đó giá trị ước tính sẽ bằng với giá thị trường. Phương sai đó được gọi là phương sai ngụ ý (implied variance).</w:t>
      </w:r>
    </w:p>
    <w:p>
      <w:pPr>
        <w:pStyle w:val="Para 16"/>
        <w:keepLines w:val="on"/>
      </w:pPr>
      <w:r>
        <w:t>Hãy xem xét quyền chọn Cisco được định giá trong Minh họa 5.2. Với độ lệch chuẩn 81 phần trăm, giá trị của quyền chọn mua với giá thực hiện (strike price) $15 được ước tính là $1.87. Vì giá thị trường cao hơn giá trị tính toán được, chúng ta thử với các độ lệch chuẩn cao hơn, và ở độ lệch chuẩn 85.40 phần trăm thì giá trị của quyền chọn là $2 (đúng bằng giá thị trường). Đây chính là độ lệch chuẩn ngụ ý (implied standard deviation) hay độ biến động ngụ ý (implied volatility).</w:t>
      </w:r>
    </w:p>
    <w:p>
      <w:bookmarkStart w:id="691" w:name="Model_Limitations_and_Fixes__The"/>
      <w:pPr>
        <w:pStyle w:val="Para 21"/>
      </w:pPr>
      <w:r>
        <w:t>Hạn chế của mô hình và cách khắc phục</w:t>
      </w:r>
      <w:bookmarkEnd w:id="691"/>
    </w:p>
    <w:p>
      <w:pPr>
        <w:pStyle w:val="Para 03"/>
      </w:pPr>
      <w:r>
        <w:t>Mô hình Black-Scholes được thiết kế để định giá các quyền chọn kiểu châu Âu (European options) — loại chỉ có thể được thực hiện khi đáo hạn và có tài sản cơ sở không trả cổ tức. Ngoài ra, quyền chọn được định giá dựa trên giả định rằng việc thực hiện quyền chọn không ảnh hưởng đến giá trị của tài sản cơ sở. Trên thực tế, tài sản có trả cổ tức, quyền chọn đôi khi được thực hiện sớm, và việc thực hiện một quyền chọn có thể ảnh hưởng đến giá trị của tài sản cơ sở. Có những điều chỉnh tuy không hoàn hảo nhưng cung cấp sự hiệu chỉnh một phần cho mô hình Black-Scholes.</w:t>
      </w:r>
    </w:p>
    <w:p>
      <w:bookmarkStart w:id="693" w:name="Dividends__The_payment_of_a_divi"/>
      <w:pPr>
        <w:pStyle w:val="Para 42"/>
      </w:pPr>
      <w:r>
        <w:t>Cổ tức (Dividends)</w:t>
      </w:r>
      <w:bookmarkEnd w:id="693"/>
    </w:p>
    <w:p>
      <w:pPr>
        <w:pStyle w:val="Para 03"/>
      </w:pPr>
      <w:r>
        <w:t>Việc chi trả cổ tức làm giảm giá cổ phiếu; lưu ý rằng vào ngày giao dịch không hưởng cổ tức (ex-dividend day), giá cổ phiếu thường giảm. Do đó, quyền chọn mua trở nên ít giá trị hơn và quyền chọn bán (put options) trở nên giá trị hơn khi các khoản cổ tức dự kiến chi trả tăng lên. Có hai cách xử lý cổ tức trong mô hình Black-Scholes:</w:t>
      </w:r>
    </w:p>
    <w:p>
      <w:pPr>
        <w:numPr>
          <w:ilvl w:val="0"/>
          <w:numId w:val="26"/>
        </w:numPr>
        <w:pStyle w:val="Para 01"/>
      </w:pPr>
      <w:r>
        <w:t>Quyền chọn ngắn hạn. Một cách tiếp cận để xử lý cổ tức là ước tính giá trị hiện tại (present value) của các khoản cổ tức dự kiến mà tài sản cơ sở sẽ chi trả trong suốt vòng đời của quyền chọn và trừ nó khỏi giá trị hiện tại của tài sản để dùng làm S trong mô hình.</w:t>
      </w:r>
    </w:p>
    <w:p>
      <w:bookmarkStart w:id="696" w:name="ModifiedStockPrice_CurrentStockP"/>
      <w:pPr>
        <w:keepNext/>
        <w:pStyle w:val="Para 09"/>
        <w:keepLines w:val="on"/>
      </w:pPr>
      <w:r>
        <w:t>Giá cổ phiếu điều chỉnh=Giá cổ phiếu hiện tại−Giá trị hiện tại của cổ tức dự kiến trong vòng đời quyền chọn</w:t>
      </w:r>
      <w:bookmarkEnd w:id="696"/>
    </w:p>
    <w:p>
      <w:pPr>
        <w:numPr>
          <w:ilvl w:val="0"/>
          <w:numId w:val="27"/>
        </w:numPr>
        <w:pStyle w:val="Para 01"/>
      </w:pPr>
      <w:r>
        <w:t>Quyền chọn dài hạn. Vì việc ước tính giá trị hiện tại của cổ tức trở nên kém thực tế hơn khi vòng đời quyền chọn càng dài, ta có thể dùng một cách tiếp cận thay thế. Nếu tỷ suất cổ tức (dividend yield) (y = Cổ tức/Giá trị hiện tại của tài sản) trên tài sản cơ sở được kỳ vọng sẽ không đổi trong suốt vòng đời của quyền chọn, thì mô hình Black-Scholes có thể được điều chỉnh để tính đến cổ tức.</w:t>
      </w:r>
    </w:p>
    <w:p>
      <w:bookmarkStart w:id="697" w:name="Value_of_call_Se_ytN_d1__Ke_rtN"/>
      <w:pPr>
        <w:keepNext/>
        <w:pStyle w:val="Para 09"/>
        <w:keepLines w:val="on"/>
      </w:pPr>
      <w:r>
        <w:t>Giá trị quyền chọn mua=Se-ytN(d1)-Ke-rtN(d2)d1=ln⁡(SK)+(r−y+σ22)tσ td2=d1−σt</w:t>
      </w:r>
      <w:bookmarkEnd w:id="697"/>
    </w:p>
    <w:p>
      <w:pPr>
        <w:pStyle w:val="Para 03"/>
      </w:pPr>
      <w:r>
        <w:t>Theo trực giác, những điều chỉnh này có hai tác dụng. Thứ nhất, giá trị của tài sản được chiết khấu về hiện tại theo tỷ suất cổ tức để tính đến sự sụt giảm dự kiến trong giá trị tài sản do việc chi trả cổ tức gây ra. Thứ hai, lãi suất được bù trừ bởi tỷ suất cổ tức để phản ánh chi phí nắm giữ tài sản thấp hơn (trong danh mục mô phỏng). Tác động ròng sẽ là sự giảm giá trị của các quyền chọn mua được ước tính bằng mô hình này.</w:t>
      </w:r>
    </w:p>
    <w:p>
      <w:pPr>
        <w:pStyle w:val="Para 11"/>
      </w:pPr>
      <w:r>
        <w:t xml:space="preserve"> </w:t>
      </w:r>
    </w:p>
    <w:p>
      <w:bookmarkStart w:id="698" w:name="ILLUSTRATION_5_3___Valuing_a_Sho_1"/>
      <w:bookmarkStart w:id="699" w:name="ILLUSTRATION_5_3___Valuing_a_Sho"/>
      <w:pPr>
        <w:keepNext/>
        <w:pStyle w:val="Para 19"/>
        <w:keepLines w:val="on"/>
      </w:pPr>
      <w:r>
        <w:t>MINH HỌA 5.3: Định giá một quyền chọn ngắn hạn có điều chỉnh cổ tức—Sự hiệu chỉnh của Black-Scholes</w:t>
      </w:r>
      <w:bookmarkEnd w:id="698"/>
      <w:bookmarkEnd w:id="699"/>
    </w:p>
    <w:p>
      <w:pPr>
        <w:pStyle w:val="Para 04"/>
        <w:keepLines w:val="on"/>
      </w:pPr>
      <w:r>
        <w:t>Giả sử hôm nay là ngày 6 tháng 3 năm 2001, và AT&amp;T đang giao dịch ở mức $20.50 một cổ phiếu. Hãy xem xét một quyền chọn mua trên cổ phiếu này với giá thực hiện là $20, đáo hạn vào ngày 20 tháng 7 năm 2001. Dùng giá cổ phiếu trong quá khứ, độ lệch chuẩn theo năm của log giá cổ phiếu của AT&amp;T được ước tính là 60%. Có một khoản cổ tức, trị giá $0.15, và nó sẽ được chi trả trong 23 ngày. Lãi suất phi rủi ro là 4.63%.</w:t>
      </w:r>
    </w:p>
    <w:p>
      <w:pPr>
        <w:pStyle w:val="1 Block"/>
        <w:keepLines w:val="on"/>
      </w:pPr>
    </w:p>
    <w:p>
      <w:pPr>
        <w:pStyle w:val="Para 18"/>
        <w:keepLines w:val="on"/>
      </w:pPr>
      <w:r>
        <w:t>Giá trị hiện tại của cổ tức dự kiến = $0.15/1.046323/365 = $0.15</w:t>
      </w:r>
    </w:p>
    <w:p>
      <w:pPr>
        <w:pStyle w:val="Para 18"/>
        <w:keepLines w:val="on"/>
      </w:pPr>
      <w:r>
        <w:t>Giá cổ phiếu điều chỉnh theo cổ tức = $20.50 − $0.15 = $20.35</w:t>
      </w:r>
    </w:p>
    <w:p>
      <w:pPr>
        <w:pStyle w:val="Para 18"/>
        <w:keepLines w:val="on"/>
      </w:pPr>
      <w:r>
        <w:t>Thời gian đến đáo hạn = 103/365 = 0.2822</w:t>
      </w:r>
    </w:p>
    <w:p>
      <w:pPr>
        <w:pStyle w:val="Para 18"/>
        <w:keepLines w:val="on"/>
      </w:pPr>
      <w:r>
        <w:t>Phương sai của ln (giá cổ phiếu) = 0.62 = 0.36</w:t>
      </w:r>
    </w:p>
    <w:p>
      <w:pPr>
        <w:pStyle w:val="Para 18"/>
        <w:keepLines w:val="on"/>
      </w:pPr>
      <w:r>
        <w:t>Tỷ lệ phi rủi ro = 4,63%</w:t>
      </w:r>
    </w:p>
    <w:p>
      <w:pPr>
        <w:pStyle w:val="Para 04"/>
        <w:keepLines w:val="on"/>
      </w:pPr>
      <w:r>
        <w:t>Giá trị từ mô hình Black-Scholes là:</w:t>
      </w:r>
    </w:p>
    <w:p>
      <w:bookmarkStart w:id="700" w:name="d1_0_2551d2__0_0636_N_d1__0_6007"/>
      <w:pPr>
        <w:keepNext/>
        <w:pStyle w:val="Para 07"/>
        <w:keepLines w:val="on"/>
      </w:pPr>
      <w:r>
        <w:t>d1=0,2551 d2=-0,0636 N(d1)=0,6007 N(d2)=0,4745 Giá trị quyền chọn mua=20,35(0,6007)− 20 exp(−0,0463)(0,2822)(0,4746)=$2,86</w:t>
      </w:r>
      <w:bookmarkEnd w:id="700"/>
    </w:p>
    <w:p>
      <w:pPr>
        <w:pStyle w:val="Para 04"/>
        <w:keepLines w:val="on"/>
      </w:pPr>
      <w:r>
        <w:t>Quyền chọn mua đang được giao dịch ở mức $2,60 vào ngày hôm đó.</w:t>
      </w:r>
    </w:p>
    <w:p>
      <w:pPr>
        <w:pStyle w:val="Para 20"/>
      </w:pPr>
      <w:r>
        <w:rPr>
          <w:rStyle w:val="Text26"/>
        </w:rPr>
        <w:bookmarkStart w:id="701" w:name="Page_102"/>
        <w:t/>
        <w:bookmarkEnd w:id="701"/>
      </w:r>
      <w:r>
        <w:t xml:space="preserve"> </w:t>
      </w:r>
    </w:p>
    <w:p>
      <w:pPr>
        <w:pStyle w:val="Para 11"/>
      </w:pPr>
      <w:r>
        <w:t xml:space="preserve"> </w:t>
      </w:r>
    </w:p>
    <w:p>
      <w:bookmarkStart w:id="702" w:name="ILLUSTRATION_5_4___Valuing_a_Lon"/>
      <w:bookmarkStart w:id="703" w:name="ILLUSTRATION_5_4___Valuing_a_Lon_1"/>
      <w:pPr>
        <w:keepNext/>
        <w:pStyle w:val="Para 19"/>
        <w:keepLines w:val="on"/>
      </w:pPr>
      <w:r>
        <w:t>MINH HỌA 5.4: Định giá một quyền chọn dài hạn có điều chỉnh cổ tức—Primes và Scores</w:t>
      </w:r>
      <w:bookmarkEnd w:id="702"/>
      <w:bookmarkEnd w:id="703"/>
    </w:p>
    <w:p>
      <w:pPr>
        <w:pStyle w:val="Para 04"/>
        <w:keepLines w:val="on"/>
      </w:pPr>
      <w:r>
        <w:t>CBOE cung cấp các quyền chọn mua và quyền chọn bán dài hạn cho một số cổ phiếu. Ví dụ, vào ngày 6 tháng 3 năm 2001, bạn có thể đã mua một quyền chọn mua AT&amp;T đáo hạn vào ngày 17 tháng 1 năm 2003. Giá cổ phiếu AT&amp;T là $20,50 (như trong ví dụ trước). Sau đây là định giá của một quyền chọn mua với giá thực hiện là $20. Thay vì ước tính giá trị hiện tại của cổ tức trong hai năm tới, giả sử rằng tỷ suất cổ tức của AT&amp;T sẽ duy trì ở mức 2,51% trong giai đoạn này và lãi suất phi rủi ro cho trái phiếu kho bạc hai năm là 4,85%. Các thông số đầu vào cho mô hình Black-Scholes là:</w:t>
      </w:r>
    </w:p>
    <w:p>
      <w:bookmarkStart w:id="705" w:name="d1_ln____20_5020_00____0485____0"/>
      <w:pPr>
        <w:keepNext/>
        <w:pStyle w:val="Para 07"/>
        <w:keepLines w:val="on"/>
      </w:pPr>
      <w:r>
        <w:t>d1=ln⁡(20,5020,00)+(.0485−.0251+0,622)1,83330,61,8333=0,4894 N(d1)=0,6877 d2=0,4894−0,61,8333=0,3230 N(d2)=0,3733</w:t>
      </w:r>
      <w:bookmarkEnd w:id="705"/>
    </w:p>
    <w:p>
      <w:pPr>
        <w:pStyle w:val="Para 04"/>
        <w:keepLines w:val="on"/>
      </w:pPr>
      <w:r>
        <w:t>Giá trị từ mô hình Black-Scholes là:</w:t>
      </w:r>
    </w:p>
    <w:p>
      <w:bookmarkStart w:id="706" w:name="Value_of_call_20_50_exp____0_025"/>
      <w:pPr>
        <w:keepNext/>
        <w:pStyle w:val="Para 07"/>
        <w:keepLines w:val="on"/>
      </w:pPr>
      <w:r>
        <w:t>Giá trị quyền chọn mua=20,50 exp(−0,0251)(1,8333)⁡ (0,6877)−20 exp(−0,0485)(1,8333)⁡ (0,3733)=$6,63</w:t>
      </w:r>
      <w:bookmarkEnd w:id="706"/>
    </w:p>
    <w:p>
      <w:pPr>
        <w:pStyle w:val="Para 04"/>
        <w:keepLines w:val="on"/>
      </w:pPr>
      <w:r>
        <w:t>Quyền chọn mua đang được giao dịch ở mức $5,80 vào ngày 8 tháng 3 năm 2001.</w:t>
      </w:r>
    </w:p>
    <w:p>
      <w:pPr>
        <w:pStyle w:val="Para 11"/>
      </w:pPr>
      <w:r>
        <w:t xml:space="preserve"> </w:t>
      </w:r>
    </w:p>
    <w:p>
      <w:bookmarkStart w:id="707" w:name="optst_xls__This_spreadsheet_allo"/>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7"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707"/>
    </w:p>
    <w:p>
      <w:pPr>
        <w:pStyle w:val="Para 31"/>
        <w:keepLines w:val="on"/>
      </w:pPr>
      <w:r>
        <w:t>optst.xls: Bảng tính này cho phép bạn ước tính giá trị của một quyền chọn ngắn hạn khi cổ tức dự kiến trong thời gian sống của quyền chọn có thể được ước tính.</w:t>
      </w:r>
    </w:p>
    <w:p>
      <w:pPr>
        <w:pStyle w:val="Para 11"/>
      </w:pPr>
      <w:r>
        <w:t xml:space="preserve"> </w:t>
      </w:r>
    </w:p>
    <w:p>
      <w:bookmarkStart w:id="708" w:name="optlt_xls__This_spreadsheet_allo"/>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8"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708"/>
    </w:p>
    <w:p>
      <w:pPr>
        <w:pStyle w:val="Para 31"/>
        <w:keepLines w:val="on"/>
      </w:pPr>
      <w:r>
        <w:t>optlt.xls: Bảng tính này cho phép bạn ước tính giá trị của một quyền chọn khi tài sản cơ sở có tỷ suất cổ tức không đổi.</w:t>
      </w:r>
    </w:p>
    <w:p>
      <w:bookmarkStart w:id="709" w:name="Early_Exercise__The_Black_Schole"/>
      <w:pPr>
        <w:pStyle w:val="Para 42"/>
      </w:pPr>
      <w:r>
        <w:t>Thực hiện sớm</w:t>
      </w:r>
      <w:bookmarkEnd w:id="709"/>
    </w:p>
    <w:p>
      <w:pPr>
        <w:pStyle w:val="Para 03"/>
      </w:pPr>
      <w:r>
        <w:t>Mô hình Black-Scholes được thiết kế để định giá các quyền chọn kiểu châu Âu chỉ có thể được thực hiện tại thời điểm đáo hạn. Ngược lại, hầu hết các quyền chọn mà chúng ta gặp trong thực tế là quyền chọn kiểu Mỹ và có thể được thực hiện bất cứ lúc nào cho đến khi đáo hạn. Như đã đề cập trước đó, khả năng thực hiện sớm làm cho quyền chọn kiểu Mỹ có giá trị cao hơn các quyền chọn kiểu châu Âu tương tự; nó cũng khiến chúng khó định giá hơn. Tuy nhiên, nói chung, với các quyền chọn được giao dịch, hầu như luôn tốt hơn là bán quyền chọn cho người khác thay vì thực hiện sớm, vì quyền chọn có phần bù thời gian (tức là chúng được bán với giá cao hơn giá trị thực hiện của chúng). Có hai ngoại lệ. Một là khi tài sản cơ sở trả cổ tức lớn, do đó làm giảm giá trị kỳ vọng của tài sản. Trong trường hợp này, quyền chọn mua có thể được thực hiện ngay trước ngày giao dịch không hưởng cổ tức, nếu phần bù thời gian của quyền chọn nhỏ hơn mức giảm dự kiến của giá trị tài sản do việc chi trả cổ tức. Ngoại lệ còn lại phát sinh khi một nhà đầu tư nắm giữ cả tài sản cơ sở và các quyền chọn bán sâu trong vùng có lãi (tức là quyền chọn bán có giá thực hiện cao hơn nhiều so với giá hiện tại của tài sản cơ sở) đối với tài sản đó vào thời điểm lãi suất cao. Trong trường hợp này, phần bù thời gian của quyền chọn bán có thể nhỏ hơn khoản lợi nhuận tiềm năng từ việc thực hiện quyền chọn bán sớm và kiếm lãi trên giá thực hiện.</w:t>
      </w:r>
    </w:p>
    <w:p>
      <w:pPr>
        <w:pStyle w:val="Para 03"/>
      </w:pPr>
      <w:r>
        <w:t>Có hai cách cơ bản để xử lý khả năng thực hiện sớm. Một là tiếp tục sử dụng mô hình Black-Scholes chưa điều chỉnh và coi giá trị thu được như một mức sàn hoặc ước tính thận trọng về giá trị thực. Cách còn lại là cố gắng điều chỉnh giá trị của quyền chọn cho khả năng thực hiện sớm. Có hai phương pháp để làm điều này. Một là sử dụng mô hình Black-Scholes để định giá quyền chọn cho từng ngày thực hiện tiềm năng. Với quyền chọn trên cổ phiếu, điều này về cơ bản đòi hỏi nhà đầu tư phải định giá quyền chọn cho từng ngày giao dịch không hưởng cổ tức và chọn giá trị lớn nhất trong các giá trị quyền chọn mua được ước tính. Phương pháp thứ hai là sử dụng một phiên bản sửa đổi của mô hình nhị thức để xem xét khả năng thực hiện sớm. Trong phiên bản này, các chuyển động tăng và giảm của giá tài sản trong mỗi giai đoạn có thể được ước tính từ phương sai.2</w:t>
      </w:r>
    </w:p>
    <w:p>
      <w:bookmarkStart w:id="713" w:name="Approach_1__Pseudo_American_Valu"/>
      <w:pPr>
        <w:pStyle w:val="Para 42"/>
      </w:pPr>
      <w:r>
        <w:t>Phương pháp 1: Định giá giả kiểu Mỹ</w:t>
      </w:r>
      <w:bookmarkEnd w:id="713"/>
    </w:p>
    <w:p>
      <w:pPr>
        <w:pStyle w:val="Para 01"/>
      </w:pPr>
      <w:r>
        <w:t>Bước 1: Xác định khi nào cổ tức sẽ được chi trả và cổ tức sẽ là bao nhiêu.</w:t>
      </w:r>
    </w:p>
    <w:p>
      <w:pPr>
        <w:pStyle w:val="Para 01"/>
      </w:pPr>
      <w:r>
        <w:t>Bước 2: Định giá quyền chọn mua cho từng ngày giao dịch không hưởng cổ tức bằng cách sử dụng phương pháp điều chỉnh cổ tức được mô tả trước đó, trong đó giá cổ phiếu được giảm bớt bởi giá trị hiện tại của cổ tức dự kiến.</w:t>
      </w:r>
    </w:p>
    <w:p>
      <w:pPr>
        <w:pStyle w:val="Para 01"/>
      </w:pPr>
      <w:r>
        <w:t>Bước 3: Chọn giá trị lớn nhất trong các giá trị quyền chọn mua được ước tính cho từng ngày giao dịch không hưởng cổ tức.</w:t>
      </w:r>
    </w:p>
    <w:p>
      <w:pPr>
        <w:pStyle w:val="Para 11"/>
      </w:pPr>
      <w:r>
        <w:t xml:space="preserve"> </w:t>
      </w:r>
    </w:p>
    <w:p>
      <w:bookmarkStart w:id="715" w:name="ILLUSTRATION_5_5___Using_Pseudo"/>
      <w:bookmarkStart w:id="716" w:name="ILLUSTRATION_5_5___Using_Pseudo_1"/>
      <w:pPr>
        <w:keepNext/>
        <w:pStyle w:val="Para 19"/>
        <w:keepLines w:val="on"/>
      </w:pPr>
      <w:r>
        <w:t>MINH HỌA 5.5: Sử dụng định giá quyền chọn giả kiểu Mỹ để điều chỉnh cho việc thực hiện sớm</w:t>
      </w:r>
      <w:bookmarkEnd w:id="715"/>
      <w:bookmarkEnd w:id="716"/>
    </w:p>
    <w:p>
      <w:pPr>
        <w:pStyle w:val="Para 04"/>
        <w:keepLines w:val="on"/>
      </w:pPr>
      <w:r>
        <w:t>Xét một quyền chọn với giá thực hiện là $35 trên một cổ phiếu đang giao dịch ở mức $40. Phương sai của ln (giá cổ phiếu) là 0,05, và lãi suất phi rủi ro là 4%. Quyền chọn còn thời gian sống là tám tháng, và có ba khoản cổ tức dự kiến trong giai đoạn này:</w:t>
      </w:r>
    </w:p>
    <w:tbl>
      <w:tblPr>
        <w:tblW w:type="auto" w:w="0"/>
      </w:tblPr>
      <w:tr>
        <w:tc>
          <w:tcPr>
            <w:tcW w:type="auto" w:w="0"/>
          </w:tcPr>
          <w:tbl>
            <w:tblPr>
              <w:tblW w:type="auto" w:w="0"/>
            </w:tblPr>
            <w:tr>
              <w:tc>
                <w:tcPr>
                  <w:tcW w:type="auto" w:w="0"/>
                  <w:shd w:val="clear" w:color="auto" w:fill="F0F0F0"/>
                </w:tcPr>
                <w:p>
                  <w:pPr>
                    <w:pStyle w:val="Para 05"/>
                    <w:keepLines w:val="on"/>
                  </w:pPr>
                  <w:r>
                    <w:t>Cổ tức dự kiến</w:t>
                  </w:r>
                </w:p>
              </w:tc>
              <w:tc>
                <w:tcPr>
                  <w:tcW w:type="auto" w:w="0"/>
                  <w:shd w:val="clear" w:color="auto" w:fill="F0F0F0"/>
                </w:tcPr>
                <w:p>
                  <w:pPr>
                    <w:pStyle w:val="Para 05"/>
                    <w:keepLines w:val="on"/>
                  </w:pPr>
                  <w:r>
                    <w:t>Ngày giao dịch không hưởng cổ tức</w:t>
                  </w:r>
                </w:p>
              </w:tc>
            </w:tr>
            <w:tr>
              <w:tc>
                <w:tcPr>
                  <w:tcW w:type="auto" w:w="0"/>
                  <w:shd w:val="clear" w:color="auto" w:fill="F0F0F0"/>
                </w:tcPr>
                <w:p>
                  <w:pPr>
                    <w:pStyle w:val="Normal"/>
                    <w:keepLines w:val="on"/>
                  </w:pPr>
                  <w:r>
                    <w:t>$0,80</w:t>
                  </w:r>
                </w:p>
              </w:tc>
              <w:tc>
                <w:tcPr>
                  <w:tcW w:type="auto" w:w="0"/>
                  <w:shd w:val="clear" w:color="auto" w:fill="F0F0F0"/>
                </w:tcPr>
                <w:p>
                  <w:pPr>
                    <w:pStyle w:val="Normal"/>
                    <w:keepLines w:val="on"/>
                  </w:pPr>
                  <w:r>
                    <w:t>Trong 1 tháng</w:t>
                  </w:r>
                </w:p>
              </w:tc>
            </w:tr>
            <w:tr>
              <w:tc>
                <w:tcPr>
                  <w:tcW w:type="auto" w:w="0"/>
                  <w:shd w:val="clear" w:color="auto" w:fill="F0F0F0"/>
                </w:tcPr>
                <w:p>
                  <w:pPr>
                    <w:pStyle w:val="Normal"/>
                    <w:keepLines w:val="on"/>
                  </w:pPr>
                  <w:r>
                    <w:t>$0.80</w:t>
                  </w:r>
                </w:p>
              </w:tc>
              <w:tc>
                <w:tcPr>
                  <w:tcW w:type="auto" w:w="0"/>
                  <w:shd w:val="clear" w:color="auto" w:fill="F0F0F0"/>
                </w:tcPr>
                <w:p>
                  <w:pPr>
                    <w:pStyle w:val="Normal"/>
                    <w:keepLines w:val="on"/>
                  </w:pPr>
                  <w:r>
                    <w:t>Trong 4 tháng</w:t>
                  </w:r>
                </w:p>
              </w:tc>
            </w:tr>
            <w:tr>
              <w:tc>
                <w:tcPr>
                  <w:tcW w:type="auto" w:w="0"/>
                  <w:shd w:val="clear" w:color="auto" w:fill="F0F0F0"/>
                </w:tcPr>
                <w:p>
                  <w:pPr>
                    <w:pStyle w:val="Normal"/>
                    <w:keepLines w:val="on"/>
                  </w:pPr>
                  <w:r>
                    <w:t>$0.80</w:t>
                  </w:r>
                </w:p>
              </w:tc>
              <w:tc>
                <w:tcPr>
                  <w:tcW w:type="auto" w:w="0"/>
                  <w:shd w:val="clear" w:color="auto" w:fill="F0F0F0"/>
                </w:tcPr>
                <w:p>
                  <w:pPr>
                    <w:pStyle w:val="Normal"/>
                    <w:keepLines w:val="on"/>
                  </w:pPr>
                  <w:r>
                    <w:t>Trong 7 tháng</w:t>
                  </w:r>
                </w:p>
              </w:tc>
            </w:tr>
          </w:tbl>
          <w:p/>
        </w:tc>
      </w:tr>
    </w:tbl>
    <w:p>
      <w:pPr>
        <w:pStyle w:val="Para 04"/>
        <w:keepLines w:val="on"/>
      </w:pPr>
      <w:r>
        <w:t>Quyền chọn mua trước tiên được định giá ngay trước ngày giao dịch không hưởng cổ tức lần thứ nhất:</w:t>
      </w:r>
    </w:p>
    <w:p>
      <w:bookmarkStart w:id="717" w:name="S__40__K__35__t_1_12__s2_0_05__r"/>
      <w:pPr>
        <w:keepNext/>
        <w:pStyle w:val="Para 07"/>
        <w:keepLines w:val="on"/>
      </w:pPr>
      <w:r>
        <w:t>S=$40, K=$35, t=1/12, σ2=0.05, r=0.04</w:t>
      </w:r>
      <w:bookmarkEnd w:id="717"/>
    </w:p>
    <w:p>
      <w:pPr>
        <w:pStyle w:val="Para 04"/>
        <w:keepLines w:val="on"/>
      </w:pPr>
      <w:r>
        <w:t>Giá trị từ mô hình Black-Scholes là:</w:t>
      </w:r>
    </w:p>
    <w:p>
      <w:bookmarkStart w:id="718" w:name="Value_of_call__5_131"/>
      <w:pPr>
        <w:keepNext/>
        <w:pStyle w:val="Para 07"/>
        <w:keepLines w:val="on"/>
      </w:pPr>
      <w:r>
        <w:t>Giá trị quyền chọn mua=$5.131</w:t>
      </w:r>
      <w:bookmarkEnd w:id="718"/>
    </w:p>
    <w:p>
      <w:pPr>
        <w:pStyle w:val="Para 04"/>
        <w:keepLines w:val="on"/>
      </w:pPr>
      <w:r>
        <w:t>Quyền chọn mua sau đó được định giá trước ngày giao dịch không hưởng cổ tức lần thứ hai:</w:t>
      </w:r>
    </w:p>
    <w:p>
      <w:bookmarkStart w:id="720" w:name="Adjusted_Stock_Price__40____0_80"/>
      <w:pPr>
        <w:keepNext/>
        <w:pStyle w:val="Para 07"/>
        <w:keepLines w:val="on"/>
      </w:pPr>
      <w:r>
        <w:t>Giá cổ phiếu điều chỉnh=$40−$0.80/1.041/12=$39.20K=$35,t=4/12,σ2=0.05,r=0.04</w:t>
      </w:r>
      <w:bookmarkEnd w:id="720"/>
    </w:p>
    <w:p>
      <w:pPr>
        <w:pStyle w:val="Para 04"/>
        <w:keepLines w:val="on"/>
      </w:pPr>
      <w:r>
        <w:t>Giá trị quyền chọn mua dựa trên các tham số này là:</w:t>
      </w:r>
    </w:p>
    <w:p>
      <w:bookmarkStart w:id="721" w:name="Value_of_call__5_073"/>
      <w:pPr>
        <w:keepNext/>
        <w:pStyle w:val="Para 07"/>
        <w:keepLines w:val="on"/>
      </w:pPr>
      <w:r>
        <w:t>Giá trị quyền chọn mua=$5.073</w:t>
      </w:r>
      <w:bookmarkEnd w:id="721"/>
    </w:p>
    <w:p>
      <w:pPr>
        <w:pStyle w:val="Para 04"/>
        <w:keepLines w:val="on"/>
      </w:pPr>
      <w:r>
        <w:t>Quyền chọn mua sau đó được định giá trước ngày giao dịch không hưởng cổ tức lần thứ ba:</w:t>
      </w:r>
    </w:p>
    <w:p>
      <w:bookmarkStart w:id="722" w:name="AdjustedStockPrice__40____0_80_1"/>
      <w:pPr>
        <w:keepNext/>
        <w:pStyle w:val="Para 07"/>
        <w:keepLines w:val="on"/>
      </w:pPr>
      <w:r>
        <w:t>Giá cổ phiếu điều chỉnh=$40−$0.80/1.041/12−$0.80/1.044/12=$38.41K=$35,t=7/12,σ2=0.05,r=0.04</w:t>
      </w:r>
      <w:bookmarkEnd w:id="722"/>
    </w:p>
    <w:p>
      <w:pPr>
        <w:pStyle w:val="Para 04"/>
        <w:keepLines w:val="on"/>
      </w:pPr>
      <w:r>
        <w:t>Giá trị quyền chọn mua dựa trên các tham số này là:</w:t>
      </w:r>
    </w:p>
    <w:p>
      <w:bookmarkStart w:id="723" w:name="Value_of_call__5_128"/>
      <w:pPr>
        <w:keepNext/>
        <w:pStyle w:val="Para 07"/>
        <w:keepLines w:val="on"/>
      </w:pPr>
      <w:r>
        <w:t>Giá trị quyền chọn mua=$5.128</w:t>
      </w:r>
      <w:bookmarkEnd w:id="723"/>
    </w:p>
    <w:p>
      <w:pPr>
        <w:pStyle w:val="Para 04"/>
        <w:keepLines w:val="on"/>
      </w:pPr>
      <w:r>
        <w:t>Quyền chọn mua sau đó được định giá đến ngày đáo hạn:</w:t>
      </w:r>
    </w:p>
    <w:p>
      <w:bookmarkStart w:id="724" w:name="Adjusted_Stock_Price__40____0_80_1"/>
      <w:pPr>
        <w:keepNext/>
        <w:pStyle w:val="Para 07"/>
        <w:keepLines w:val="on"/>
      </w:pPr>
      <w:r>
        <w:t>Giá cổ phiếu điều chỉnh=$40−$0.80/1.041/12− $0.80/1.044/12−$0.80/1.047/12=$37.63</w:t>
      </w:r>
      <w:bookmarkEnd w:id="724"/>
    </w:p>
    <w:p>
      <w:bookmarkStart w:id="725" w:name="K__35__t_8_12__s2_0_05__r_0_04"/>
      <w:pPr>
        <w:keepNext/>
        <w:pStyle w:val="Para 07"/>
        <w:keepLines w:val="on"/>
      </w:pPr>
      <w:r>
        <w:t>K=$35, t=8/12, σ2=0.05, r=0.04</w:t>
      </w:r>
      <w:bookmarkEnd w:id="725"/>
    </w:p>
    <w:p>
      <w:pPr>
        <w:pStyle w:val="Para 04"/>
        <w:keepLines w:val="on"/>
      </w:pPr>
      <w:r>
        <w:t>Giá trị quyền chọn mua dựa trên các tham số này là:</w:t>
      </w:r>
    </w:p>
    <w:p>
      <w:bookmarkStart w:id="726" w:name="Value_of_call__4_757"/>
      <w:pPr>
        <w:keepNext/>
        <w:pStyle w:val="Para 07"/>
        <w:keepLines w:val="on"/>
      </w:pPr>
      <w:r>
        <w:t>Giá trị quyền chọn mua=$4.757</w:t>
      </w:r>
      <w:bookmarkEnd w:id="726"/>
    </w:p>
    <w:p>
      <w:bookmarkStart w:id="727" w:name="Approach_2__Using_the_Binomial_M"/>
      <w:pPr>
        <w:pStyle w:val="Para 42"/>
      </w:pPr>
      <w:r>
        <w:t>Cách tiếp cận 2: Sử dụng mô hình nhị thức (Binomial Model)</w:t>
      </w:r>
      <w:bookmarkEnd w:id="727"/>
    </w:p>
    <w:p>
      <w:pPr>
        <w:pStyle w:val="Para 03"/>
      </w:pPr>
      <w:r>
        <w:t>Mô hình nhị thức có khả năng xử lý việc thực hiện sớm tốt hơn nhiều vì nó xem xét các dòng tiền tại mỗi thời kỳ, thay vì chỉ tại ngày đáo hạn. Hạn chế lớn nhất của mô hình nhị thức là việc xác định giá cổ phiếu sẽ là bao nhiêu vào cuối mỗi thời kỳ, nhưng điều này có thể được khắc phục bằng cách sử dụng một biến thể cho phép chúng ta ước tính các chuyển động tăng và giảm của giá cổ phiếu từ phương sai ước tính. Có bốn bước liên quan:</w:t>
      </w:r>
    </w:p>
    <w:p>
      <w:pPr>
        <w:pStyle w:val="Para 03"/>
      </w:pPr>
      <w:r>
        <w:t>Bước 1: Nếu phương sai của ln (giá cổ phiếu) đã được ước tính cho định giá Black-Scholes, hãy chuyển đổi chúng thành các đầu vào cho mô hình nhị thức:</w:t>
      </w:r>
    </w:p>
    <w:p>
      <w:bookmarkStart w:id="729" w:name="u_expsdt_____r___s22_dt"/>
      <w:pPr>
        <w:keepNext/>
        <w:pStyle w:val="Para 09"/>
        <w:keepLines w:val="on"/>
      </w:pPr>
      <w:r>
        <w:t>u=expσdt⁡ (r−σ22)dt</w:t>
      </w:r>
      <w:bookmarkEnd w:id="729"/>
    </w:p>
    <w:p>
      <w:bookmarkStart w:id="730" w:name="d_exp___sdt_____r___s22_dt"/>
      <w:pPr>
        <w:keepNext/>
        <w:pStyle w:val="Para 09"/>
        <w:keepLines w:val="on"/>
      </w:pPr>
      <w:r>
        <w:t>d=exp−σdt⁡ (r−σ22)dt</w:t>
      </w:r>
      <w:bookmarkEnd w:id="730"/>
    </w:p>
    <w:p>
      <w:pPr>
        <w:pStyle w:val="Para 03"/>
      </w:pPr>
      <w:r>
        <w:t>trong đó u và d là mức tăng và giảm trên mỗi đơn vị thời gian của mô hình nhị thức (binomial), và dt là số kỳ trong mỗi năm (hoặc đơn vị thời gian).</w:t>
      </w:r>
    </w:p>
    <w:p>
      <w:pPr>
        <w:pStyle w:val="Para 03"/>
      </w:pPr>
      <w:r>
        <w:t>Bước 2: Xác định kỳ mà cổ tức sẽ được trả và giả định rằng giá sẽ giảm đúng bằng số cổ tức trong kỳ đó.</w:t>
      </w:r>
    </w:p>
    <w:p>
      <w:pPr>
        <w:pStyle w:val="Para 03"/>
      </w:pPr>
      <w:r>
        <w:t>Bước 3: Định giá quyền chọn mua (call) tại từng nút của cây, có tính đến khả năng thực hiện sớm ngay trước ngày giao dịch không hưởng cổ tức (ex-dividend). Sẽ có thực hiện sớm nếu phần giá trị thời gian còn lại của quyền chọn nhỏ hơn mức giảm dự kiến của giá trị quyền chọn do việc trả cổ tức gây ra.</w:t>
      </w:r>
    </w:p>
    <w:p>
      <w:pPr>
        <w:pStyle w:val="Para 03"/>
      </w:pPr>
      <w:r>
        <w:t>Bước 4: Định giá quyền chọn mua tại thời điểm 0, sử dụng phương pháp nhị thức tiêu chuẩn.</w:t>
      </w:r>
    </w:p>
    <w:p>
      <w:pPr>
        <w:pStyle w:val="Para 20"/>
      </w:pPr>
      <w:r>
        <w:rPr>
          <w:rStyle w:val="Text26"/>
        </w:rPr>
        <w:bookmarkStart w:id="731" w:name="Page_105"/>
        <w:t/>
        <w:bookmarkEnd w:id="731"/>
      </w:r>
      <w:r>
        <w:t xml:space="preserve"> </w:t>
      </w:r>
    </w:p>
    <w:p>
      <w:pPr>
        <w:pStyle w:val="Para 11"/>
      </w:pPr>
      <w:r>
        <w:t xml:space="preserve"> </w:t>
      </w:r>
    </w:p>
    <w:p>
      <w:bookmarkStart w:id="732" w:name="bstobin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9"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732"/>
    </w:p>
    <w:p>
      <w:pPr>
        <w:pStyle w:val="Para 31"/>
        <w:keepLines w:val="on"/>
      </w:pPr>
      <w:r>
        <w:t>bstobin.xls: Bảng tính này cho phép bạn ước lượng các tham số cho mô hình nhị thức từ các đầu vào của mô hình Black-Scholes.</w:t>
      </w:r>
    </w:p>
    <w:p>
      <w:bookmarkStart w:id="733" w:name="Impact_of_Exercise_on_Underlying"/>
      <w:pPr>
        <w:pStyle w:val="Para 42"/>
      </w:pPr>
      <w:r>
        <w:t>Ảnh hưởng của việc thực hiện quyền lên giá trị tài sản cơ sở</w:t>
      </w:r>
      <w:bookmarkEnd w:id="733"/>
    </w:p>
    <w:p>
      <w:pPr>
        <w:pStyle w:val="Para 03"/>
      </w:pPr>
      <w:r>
        <w:t>Mô hình Black-Scholes dựa trên giả định rằng việc thực hiện một quyền chọn không ảnh hưởng đến giá trị của tài sản cơ sở. Điều này có thể đúng với các quyền chọn niêm yết trên cổ phiếu, nhưng không đúng với một số loại quyền chọn khác. Ví dụ, việc thực hiện chứng quyền (warrant) làm tăng số lượng cổ phiếu đang lưu hành và mang thêm tiền mặt mới vào công ty, cả hai điều này đều ảnh hưởng đến giá cổ phiếu.3 Tác động tiêu cực dự kiến (pha loãng) của việc thực hiện sẽ làm giảm giá trị của chứng quyền so với các quyền chọn mua tương tự khác. Việc điều chỉnh pha loãng đối với giá cổ phiếu khá đơn giản trong định giá Black-Scholes. Giá cổ phiếu được điều chỉnh theo mức pha loãng dự kiến từ việc thực hiện quyền chọn. Ví dụ, trong trường hợp chứng quyền:</w:t>
      </w:r>
    </w:p>
    <w:p>
      <w:bookmarkStart w:id="736" w:name="Dilution_Adjusted_S__SnS_Wnw___n"/>
      <w:pPr>
        <w:keepNext/>
        <w:pStyle w:val="Para 09"/>
        <w:keepLines w:val="on"/>
      </w:pPr>
      <w:r>
        <w:t>S đã điều chỉnh pha loãng=(SnS+Wnw)/(nS+nw)</w:t>
      </w:r>
      <w:bookmarkEnd w:id="736"/>
    </w:p>
    <w:p>
      <w:bookmarkStart w:id="737" w:name="whereS_Currentvalueofthestocknw"/>
      <w:pPr>
        <w:pStyle w:val="Para 39"/>
      </w:pPr>
      <w:r>
        <w:t>trong đó S = Giá trị hiện tại của cổ phiếu; nw = Số lượng chứng quyền đang lưu hành; W = Giá trị của chứng quyền đang lưu hành; nS = Số lượng cổ phiếu đang lưu hành</w:t>
      </w:r>
      <w:bookmarkEnd w:id="737"/>
    </w:p>
    <w:p>
      <w:pPr>
        <w:pStyle w:val="Para 03"/>
      </w:pPr>
      <w:r>
        <w:t>Khi chứng quyền được thực hiện, số lượng cổ phiếu đang lưu hành sẽ tăng lên, làm giảm giá cổ phiếu. Tử số phản ánh giá trị thị trường của vốn chủ sở hữu, bao gồm cả cổ phiếu và chứng quyền đang lưu hành. Việc giảm S sẽ làm giảm giá trị của quyền chọn mua.</w:t>
      </w:r>
    </w:p>
    <w:p>
      <w:pPr>
        <w:pStyle w:val="Para 03"/>
      </w:pPr>
      <w:r>
        <w:t>Có một yếu tố vòng lặp trong phân tích này vì giá trị của chứng quyền là cần thiết để ước lượng S đã điều chỉnh pha loãng, và S đã điều chỉnh pha loãng lại cần thiết để ước lượng giá trị của chứng quyền. Vấn đề này có thể được giải quyết bằng cách bắt đầu quá trình với một giá trị giả định cho chứng quyền (ví dụ: giá trị thực hiện hoặc giá thị trường hiện tại của chứng quyền). Điều này sẽ cho ra một giá trị cho chứng quyền, và giá trị ước lượng này sau đó có thể được dùng làm đầu vào để ước lượng lại giá trị của chứng quyền cho đến khi hội tụ.</w:t>
      </w:r>
    </w:p>
    <w:p>
      <w:pPr>
        <w:pStyle w:val="Para 11"/>
      </w:pPr>
      <w:r>
        <w:t xml:space="preserve"> </w:t>
      </w:r>
    </w:p>
    <w:p>
      <w:bookmarkStart w:id="738" w:name="From_Black_Scholes_to_Binomial_T"/>
      <w:bookmarkStart w:id="739" w:name="From_Black_Scholes_to_Binomial"/>
      <w:pPr>
        <w:keepNext/>
        <w:pStyle w:val="Para 27"/>
        <w:keepLines w:val="on"/>
      </w:pPr>
      <w:r>
        <w:t>Từ Black-Scholes đến Nhị thức</w:t>
      </w:r>
      <w:bookmarkEnd w:id="738"/>
      <w:bookmarkEnd w:id="739"/>
    </w:p>
    <w:p>
      <w:pPr>
        <w:pStyle w:val="Para 16"/>
        <w:keepLines w:val="on"/>
      </w:pPr>
      <w:r>
        <w:t>Quá trình chuyển đổi phương sai liên tục trong mô hình Black-Scholes sang cây nhị thức khá đơn giản. Ví dụ, giả sử bạn có một tài sản đang giao dịch ở mức 30 đô la hiện tại và bạn ước lượng độ lệch chuẩn hàng năm của giá trị tài sản là 40 phần trăm; lãi suất phi rủi ro hàng năm là 5 phần trăm. Để đơn giản, hãy giả định rằng quyền chọn bạn đang định giá có thời hạn bốn năm và mỗi kỳ là một năm. Để ước lượng giá tại cuối mỗi năm trong bốn năm, chúng ta bắt đầu bằng việc ước lượng mức tăng và giảm trong mô hình nhị thức:</w:t>
      </w:r>
    </w:p>
    <w:p>
      <w:pPr>
        <w:pStyle w:val="Para 65"/>
        <w:keepLines w:val="on"/>
      </w:pPr>
      <w:r>
        <w:rPr>
          <w:rStyle w:val="Text26"/>
        </w:rPr>
        <w:bookmarkStart w:id="740" w:name="Page_106"/>
        <w:t/>
        <w:bookmarkEnd w:id="740"/>
      </w:r>
      <w:r>
        <w:t xml:space="preserve"> </w:t>
      </w:r>
    </w:p>
    <w:p>
      <w:bookmarkStart w:id="741" w:name="u_exp_401__05____422__1_4477"/>
      <w:pPr>
        <w:keepNext/>
        <w:pStyle w:val="Para 48"/>
        <w:keepLines w:val="on"/>
      </w:pPr>
      <w:r>
        <w:t>u=exp.401(.05−.422)=1.4477</w:t>
      </w:r>
      <w:bookmarkEnd w:id="741"/>
    </w:p>
    <w:p>
      <w:bookmarkStart w:id="742" w:name="d_exp____401_____05____422__0_65"/>
      <w:pPr>
        <w:keepNext/>
        <w:pStyle w:val="Para 48"/>
        <w:keepLines w:val="on"/>
      </w:pPr>
      <w:r>
        <w:t>d=exp−.401⁡(.05−.422)=0.6505</w:t>
      </w:r>
      <w:bookmarkEnd w:id="742"/>
    </w:p>
    <w:p>
      <w:pPr>
        <w:pStyle w:val="Para 16"/>
        <w:keepLines w:val="on"/>
      </w:pPr>
      <w:r>
        <w:t>Dựa trên các ước lượng này, chúng ta có thể tính được giá tại cuối nút đầu tiên của cây (cuối năm thứ nhất):</w:t>
      </w:r>
    </w:p>
    <w:p>
      <w:bookmarkStart w:id="743" w:name="Up_Price__30_1_4477___43_43Down"/>
      <w:pPr>
        <w:keepNext/>
        <w:pStyle w:val="Para 48"/>
        <w:keepLines w:val="on"/>
      </w:pPr>
      <w:r>
        <w:t>Giá tăng=$30(1.4477)=$43.43Giá giảm=$30(0.6505)=$19.52</w:t>
      </w:r>
      <w:bookmarkEnd w:id="743"/>
    </w:p>
    <w:p>
      <w:pPr>
        <w:pStyle w:val="Para 16"/>
        <w:keepLines w:val="on"/>
      </w:pPr>
      <w:r>
        <w:t>Tiếp tục qua phần còn lại của cây, chúng ta thu được các con số sau (trong Hình 5.6):</w:t>
      </w:r>
    </w:p>
    <w:p>
      <w:bookmarkStart w:id="745" w:name="Figure_5_6_Binomial_Tree_from_Bl"/>
      <w:pPr>
        <w:pStyle w:val="Para 66"/>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03400" cy="1524000"/>
            <wp:effectExtent l="0" r="0" t="0" b="0"/>
            <wp:wrapTopAndBottom/>
            <wp:docPr id="30" name="c05f006.png" descr="Diagram of a binomial tree from Black-Scholes inputs depicts the progression of price 30 at t equals 0 to t equals 3."/>
            <wp:cNvGraphicFramePr>
              <a:graphicFrameLocks noChangeAspect="1"/>
            </wp:cNvGraphicFramePr>
            <a:graphic>
              <a:graphicData uri="http://schemas.openxmlformats.org/drawingml/2006/picture">
                <pic:pic>
                  <pic:nvPicPr>
                    <pic:cNvPr id="0" name="c05f006.png" descr="Diagram of a binomial tree from Black-Scholes inputs depicts the progression of price 30 at t equals 0 to t equals 3."/>
                    <pic:cNvPicPr/>
                  </pic:nvPicPr>
                  <pic:blipFill>
                    <a:blip r:embed="rId26"/>
                    <a:stretch>
                      <a:fillRect/>
                    </a:stretch>
                  </pic:blipFill>
                  <pic:spPr>
                    <a:xfrm>
                      <a:off x="0" y="0"/>
                      <a:ext cx="1803400" cy="1524000"/>
                    </a:xfrm>
                    <a:prstGeom prst="rect">
                      <a:avLst/>
                    </a:prstGeom>
                  </pic:spPr>
                </pic:pic>
              </a:graphicData>
            </a:graphic>
          </wp:anchor>
        </w:drawing>
      </w:r>
      <w:bookmarkEnd w:id="745"/>
    </w:p>
    <w:p>
      <w:pPr>
        <w:keepNext/>
        <w:pStyle w:val="Para 62"/>
        <w:keepLines w:val="on"/>
      </w:pPr>
      <w:r>
        <w:t>Hình 5.6 Cây nhị thức từ các đầu vào Black-Scholes</w:t>
      </w:r>
    </w:p>
    <w:p>
      <w:pPr>
        <w:pStyle w:val="Para 11"/>
      </w:pPr>
      <w:r>
        <w:t xml:space="preserve"> </w:t>
      </w:r>
    </w:p>
    <w:p>
      <w:bookmarkStart w:id="746" w:name="ILLUSTRATION_5_6___Valuing_a_War_1"/>
      <w:bookmarkStart w:id="747" w:name="ILLUSTRATION_5_6___Valuing_a_War"/>
      <w:pPr>
        <w:keepNext/>
        <w:pStyle w:val="Para 19"/>
        <w:keepLines w:val="on"/>
      </w:pPr>
      <w:r>
        <w:t>MINH HỌA 5.6: Định giá chứng quyền của Avatek Corporation</w:t>
      </w:r>
      <w:bookmarkEnd w:id="746"/>
      <w:bookmarkEnd w:id="747"/>
    </w:p>
    <w:p>
      <w:pPr>
        <w:pStyle w:val="Para 04"/>
        <w:keepLines w:val="on"/>
      </w:pPr>
      <w:r>
        <w:t>Avatek Corporation là một công ty bất động sản với 19,637 triệu cổ phiếu đang lưu hành, giao dịch ở mức 0,38 đô la một cổ phiếu. Vào tháng 3 năm 2001, công ty có 1,8 triệu quyền chọn đang lưu hành, với bốn năm đến ngày đáo hạn và giá thực hiện là 2,25 đô la. Cổ phiếu không trả cổ tức, và độ lệch chuẩn của ln(giá cổ phiếu) là 93%. Lãi suất trái phiếu kho bạc bốn năm là 4,9%. (Các quyền chọn đang giao dịch ở mức 0,12 đô la một quyền tại thời điểm phân tích này.)</w:t>
      </w:r>
    </w:p>
    <w:p>
      <w:pPr>
        <w:pStyle w:val="Para 40"/>
        <w:keepLines w:val="on"/>
      </w:pPr>
      <w:r>
        <w:rPr>
          <w:rStyle w:val="Text26"/>
        </w:rPr>
        <w:bookmarkStart w:id="748" w:name="Page_107"/>
        <w:t/>
        <w:bookmarkEnd w:id="748"/>
      </w:r>
      <w:r>
        <w:t xml:space="preserve"> </w:t>
      </w:r>
    </w:p>
    <w:p>
      <w:pPr>
        <w:pStyle w:val="Para 04"/>
        <w:keepLines w:val="on"/>
      </w:pPr>
      <w:r>
        <w:t>Các đầu vào cho mô hình định giá chứng quyền như sau:</w:t>
      </w:r>
    </w:p>
    <w:p>
      <w:bookmarkStart w:id="749" w:name="Adjusted_S__0_38x19_637_0_12x1_8"/>
      <w:pPr>
        <w:keepNext/>
        <w:pStyle w:val="Para 07"/>
        <w:keepLines w:val="on"/>
      </w:pPr>
      <w:r>
        <w:t>S đã điều chỉnh=(0.38×19.637+0.12×1.8)/(19.637+1.8)=$0.3544</w:t>
      </w:r>
      <w:bookmarkEnd w:id="749"/>
    </w:p>
    <w:p>
      <w:bookmarkStart w:id="750" w:name="K_Exercise_price_on_warrant__2_2"/>
      <w:pPr>
        <w:keepNext/>
        <w:pStyle w:val="Para 07"/>
        <w:keepLines w:val="on"/>
      </w:pPr>
      <w:r>
        <w:t>K=Giá thực hiện của chứng quyền=$2.25 t=Thời gian đến đáo hạn=4 năm r=Lãi suất phi rủi ro tương ứng với thời hạn của quyền chọn=4.9%σ2=Phương sai của giá cổ phiếu=0.93 y=Tỷ suất cổ tức của cổ phiếu=0.0%</w:t>
      </w:r>
      <w:bookmarkEnd w:id="750"/>
    </w:p>
    <w:p>
      <w:pPr>
        <w:pStyle w:val="Para 04"/>
        <w:keepLines w:val="on"/>
      </w:pPr>
      <w:r>
        <w:t>Kết quả định giá Black-Scholes cho quyền chọn này là:</w:t>
      </w:r>
    </w:p>
    <w:p>
      <w:bookmarkStart w:id="751" w:name="d1_0_0418d2____1_8182N_d1__0_516"/>
      <w:pPr>
        <w:keepNext/>
        <w:pStyle w:val="Para 07"/>
        <w:keepLines w:val="on"/>
      </w:pPr>
      <w:r>
        <w:t>d1=0.0418 d2=−1.8182 N(d1)=0.5167 N(d1)=0.0345</w:t>
      </w:r>
      <w:bookmarkEnd w:id="751"/>
    </w:p>
    <w:p>
      <w:bookmarkStart w:id="752" w:name="Value_of_call_0_3544_0_5167____2"/>
      <w:pPr>
        <w:keepNext/>
        <w:pStyle w:val="Para 07"/>
        <w:keepLines w:val="on"/>
      </w:pPr>
      <w:r>
        <w:t>Giá trị quyền chọn mua = 0.3544(0.5167) − 2.25 exp(−0.049)(4.00) (0.0345) = $0.12</w:t>
      </w:r>
      <w:bookmarkEnd w:id="752"/>
    </w:p>
    <w:p>
      <w:pPr>
        <w:pStyle w:val="Para 04"/>
        <w:keepLines w:val="on"/>
      </w:pPr>
      <w:r>
        <w:t>Các quyền chọn này đang được giao dịch ở mức $0.12 vào tháng 3 năm 2001. Vì giá trị bằng với giá, không cần phải lặp lại thêm. Nếu có sự chênh lệch, chúng ta sẽ ước tính lại giá cổ phiếu điều chỉnh và giá trị quyền chọn. Nếu các quyền chọn không được giao dịch (như trường hợp quyền chọn dành cho ban quản lý), phép tính này sẽ cần một quy trình lặp, trong đó giá trị quyền chọn được dùng để tính giá trị điều chỉnh trên mỗi cổ phần, và giá trị trên mỗi cổ phần được dùng để tính giá trị quyền chọn.</w:t>
      </w:r>
    </w:p>
    <w:p>
      <w:pPr>
        <w:pStyle w:val="Para 11"/>
      </w:pPr>
      <w:r>
        <w:t xml:space="preserve"> </w:t>
      </w:r>
    </w:p>
    <w:p>
      <w:bookmarkStart w:id="753" w:name="warrant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31"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753"/>
    </w:p>
    <w:p>
      <w:pPr>
        <w:pStyle w:val="Para 31"/>
        <w:keepLines w:val="on"/>
      </w:pPr>
      <w:r>
        <w:t>warrant.xls: Bảng tính này cho phép bạn ước tính giá trị của một quyền chọn khi có khả năng bị pha loãng do thực hiện quyền.</w:t>
      </w:r>
    </w:p>
    <w:p>
      <w:bookmarkStart w:id="754" w:name="The_Black_Scholes_Model_for_Valu"/>
      <w:pPr>
        <w:pStyle w:val="Para 21"/>
      </w:pPr>
      <w:r>
        <w:t>Mô hình Black-Scholes để định giá quyền chọn bán</w:t>
      </w:r>
      <w:bookmarkEnd w:id="754"/>
    </w:p>
    <w:p>
      <w:pPr>
        <w:pStyle w:val="Para 03"/>
      </w:pPr>
      <w:r>
        <w:t>Giá trị của một quyền chọn bán có thể được suy ra từ giá trị của một quyền chọn mua có cùng giá thực hiện và cùng ngày đáo hạn:</w:t>
      </w:r>
    </w:p>
    <w:p>
      <w:bookmarkStart w:id="756" w:name="Call_Put_S_K_e_rt"/>
      <w:pPr>
        <w:keepNext/>
        <w:pStyle w:val="Para 09"/>
        <w:keepLines w:val="on"/>
      </w:pPr>
      <w:r>
        <w:t>Call-Put=S-K e-rt</w:t>
      </w:r>
      <w:bookmarkEnd w:id="756"/>
    </w:p>
    <w:p>
      <w:pPr>
        <w:pStyle w:val="Para 03"/>
      </w:pPr>
      <w:r>
        <w:t>trong đó C là giá trị của quyền chọn mua và P là giá trị của quyền chọn bán. Mối quan hệ giữa giá trị quyền chọn mua và quyền chọn bán này được gọi là ngang giá quyền chọn mua - quyền chọn bán (put-call parity), và bất kỳ sai lệch nào so với ngang giá đều có thể được nhà đầu tư tận dụng để kiếm lợi nhuận phi rủi ro. Để thấy vì sao ngang giá quyền chọn mua - quyền chọn bán đúng, hãy xem xét việc bán một quyền chọn mua và mua một quyền chọn bán với giá thực hiện K và ngày đáo hạn t, đồng thời mua tài sản cơ sở ở mức giá hiện tại S. Khoản thanh toán từ vị thế này là phi rủi ro và luôn mang lại K khi đáo hạn (t). Để thấy điều này, giả sử giá cổ phiếu khi đáo hạn là S*. Khoản thanh toán cho từng vị thế trong danh mục có thể được viết như sau:</w:t>
      </w:r>
    </w:p>
    <w:tbl>
      <w:tblPr>
        <w:tblW w:type="auto" w:w="0"/>
      </w:tblPr>
      <w:tr>
        <w:tc>
          <w:tcPr>
            <w:tcW w:type="auto" w:w="0"/>
          </w:tcPr>
          <w:tbl>
            <w:tblPr>
              <w:tblW w:type="auto" w:w="0"/>
            </w:tblPr>
            <w:tr>
              <w:tc>
                <w:tcPr>
                  <w:tcW w:type="auto" w:w="0"/>
                  <w:shd w:val="clear" w:color="auto" w:fill="F0F0F0"/>
                </w:tcPr>
                <w:p>
                  <w:pPr>
                    <w:pStyle w:val="Para 29"/>
                    <w:keepLines w:val="on"/>
                  </w:pPr>
                  <w:r>
                    <w:t>Vị thế</w:t>
                  </w:r>
                </w:p>
              </w:tc>
              <w:tc>
                <w:tcPr>
                  <w:tcW w:type="auto" w:w="0"/>
                  <w:shd w:val="clear" w:color="auto" w:fill="F0F0F0"/>
                </w:tcPr>
                <w:p>
                  <w:pPr>
                    <w:pStyle w:val="Para 17"/>
                    <w:keepLines w:val="on"/>
                  </w:pPr>
                  <w:r>
                    <w:t>Khoản thanh toán tại t nếu S* &gt; K</w:t>
                  </w:r>
                </w:p>
              </w:tc>
              <w:tc>
                <w:tcPr>
                  <w:tcW w:type="auto" w:w="0"/>
                  <w:shd w:val="clear" w:color="auto" w:fill="F0F0F0"/>
                </w:tcPr>
                <w:p>
                  <w:pPr>
                    <w:pStyle w:val="Para 17"/>
                    <w:keepLines w:val="on"/>
                  </w:pPr>
                  <w:r>
                    <w:t>Khoản thanh toán tại t nếu S* &lt; K</w:t>
                  </w:r>
                </w:p>
              </w:tc>
            </w:tr>
            <w:tr>
              <w:tc>
                <w:tcPr>
                  <w:tcW w:type="auto" w:w="0"/>
                  <w:shd w:val="clear" w:color="auto" w:fill="F0F0F0"/>
                </w:tcPr>
                <w:p>
                  <w:pPr>
                    <w:pStyle w:val="Para 02"/>
                    <w:keepLines w:val="on"/>
                  </w:pPr>
                  <w:r>
                    <w:t>Bán quyền chọn mua</w:t>
                  </w:r>
                </w:p>
              </w:tc>
              <w:tc>
                <w:tcPr>
                  <w:tcW w:type="auto" w:w="0"/>
                  <w:shd w:val="clear" w:color="auto" w:fill="F0F0F0"/>
                </w:tcPr>
                <w:p>
                  <w:pPr>
                    <w:pStyle w:val="Normal"/>
                    <w:keepLines w:val="on"/>
                  </w:pPr>
                  <w:r>
                    <w:t>−(S∗ − K)</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Mua quyền chọn bán</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K − S∗</w:t>
                  </w:r>
                </w:p>
              </w:tc>
            </w:tr>
            <w:tr>
              <w:tc>
                <w:tcPr>
                  <w:tcW w:type="auto" w:w="0"/>
                  <w:shd w:val="clear" w:color="auto" w:fill="F0F0F0"/>
                </w:tcPr>
                <w:p>
                  <w:pPr>
                    <w:pStyle w:val="Para 02"/>
                    <w:keepLines w:val="on"/>
                  </w:pPr>
                  <w:r>
                    <w:t>Mua cổ phiếu</w:t>
                  </w:r>
                </w:p>
              </w:tc>
              <w:tc>
                <w:tcPr>
                  <w:tcW w:type="auto" w:w="0"/>
                  <w:shd w:val="clear" w:color="auto" w:fill="F0F0F0"/>
                </w:tcPr>
                <w:p>
                  <w:pPr>
                    <w:pStyle w:val="Normal"/>
                    <w:keepLines w:val="on"/>
                  </w:pPr>
                  <w:r>
                    <w:t>S*</w:t>
                  </w:r>
                </w:p>
              </w:tc>
              <w:tc>
                <w:tcPr>
                  <w:tcW w:type="auto" w:w="0"/>
                  <w:shd w:val="clear" w:color="auto" w:fill="F0F0F0"/>
                </w:tcPr>
                <w:p>
                  <w:pPr>
                    <w:pStyle w:val="Normal"/>
                    <w:keepLines w:val="on"/>
                  </w:pPr>
                  <w:r>
                    <w:t>S*</w:t>
                  </w:r>
                </w:p>
              </w:tc>
            </w:tr>
            <w:tr>
              <w:tc>
                <w:tcPr>
                  <w:tcW w:type="auto" w:w="0"/>
                  <w:shd w:val="clear" w:color="auto" w:fill="F0F0F0"/>
                </w:tcPr>
                <w:p>
                  <w:pPr>
                    <w:pStyle w:val="Para 02"/>
                    <w:keepLines w:val="on"/>
                  </w:pPr>
                  <w:r>
                    <w:t>Tổng</w:t>
                  </w:r>
                </w:p>
              </w:tc>
              <w:tc>
                <w:tcPr>
                  <w:tcW w:type="auto" w:w="0"/>
                  <w:shd w:val="clear" w:color="auto" w:fill="F0F0F0"/>
                </w:tcPr>
                <w:p>
                  <w:pPr>
                    <w:pStyle w:val="Normal"/>
                    <w:keepLines w:val="on"/>
                  </w:pPr>
                  <w:r>
                    <w:t>K</w:t>
                  </w:r>
                </w:p>
              </w:tc>
              <w:tc>
                <w:tcPr>
                  <w:tcW w:type="auto" w:w="0"/>
                  <w:shd w:val="clear" w:color="auto" w:fill="F0F0F0"/>
                </w:tcPr>
                <w:p>
                  <w:pPr>
                    <w:pStyle w:val="Normal"/>
                    <w:keepLines w:val="on"/>
                  </w:pPr>
                  <w:r>
                    <w:t>K</w:t>
                  </w:r>
                </w:p>
              </w:tc>
            </w:tr>
          </w:tbl>
          <w:p/>
        </w:tc>
      </w:tr>
    </w:tbl>
    <w:p>
      <w:pPr>
        <w:pStyle w:val="Para 03"/>
      </w:pPr>
      <w:r>
        <w:t>Vì vị thế này mang lại K một cách chắc chắn, chi phí để tạo ra vị thế này phải bằng giá trị hiện tại của K theo lãi suất phi rủi ro (Ke−rt).</w:t>
      </w:r>
    </w:p>
    <w:p>
      <w:bookmarkStart w:id="758" w:name="S_P___C_Ke___rtC___P_S___Ke___rt"/>
      <w:pPr>
        <w:keepNext/>
        <w:pStyle w:val="Para 09"/>
        <w:keepLines w:val="on"/>
      </w:pPr>
      <w:r>
        <w:t>S+P−C=Ke−rtC−P=S−Ke−rt</w:t>
      </w:r>
      <w:bookmarkEnd w:id="758"/>
    </w:p>
    <w:p>
      <w:pPr>
        <w:pStyle w:val="Para 03"/>
      </w:pPr>
      <w:r>
        <w:t>Thay phương trình Black-Scholes cho giá trị của một quyền chọn mua tương đương vào phương trình này, ta được:</w:t>
      </w:r>
    </w:p>
    <w:p>
      <w:bookmarkStart w:id="759" w:name="Value_of_put_Ke___rt_1___N_d2"/>
      <w:pPr>
        <w:keepNext/>
        <w:pStyle w:val="Para 09"/>
        <w:keepLines w:val="on"/>
      </w:pPr>
      <w:r>
        <w:t>Giá trị quyền chọn bán=Ke−rt[1−N(d2)]−S e−rt[1−N(d1)]d1=ln⁡(SK)+(r−y+σ22)tσ td2=d1−σt</w:t>
      </w:r>
      <w:bookmarkEnd w:id="759"/>
    </w:p>
    <w:p>
      <w:pPr>
        <w:pStyle w:val="Para 03"/>
      </w:pPr>
      <w:r>
        <w:t>Như vậy, danh mục mô phỏng (replicating portfolio) cho một quyền chọn bán được tạo ra bằng cách bán khống [1 − N(d1)] cổ phiếu và đầu tư Ke−rt[1 − N(d2)] vào tài sản phi rủi ro.</w:t>
      </w:r>
    </w:p>
    <w:p>
      <w:pPr>
        <w:pStyle w:val="Para 11"/>
      </w:pPr>
      <w:r>
        <w:t xml:space="preserve"> </w:t>
      </w:r>
    </w:p>
    <w:p>
      <w:bookmarkStart w:id="760" w:name="ILLUSTRATION_5_7___Valuing_a_Put"/>
      <w:bookmarkStart w:id="761" w:name="ILLUSTRATION_5_7___Valuing_a_Put_1"/>
      <w:pPr>
        <w:keepNext/>
        <w:pStyle w:val="Para 19"/>
        <w:keepLines w:val="on"/>
      </w:pPr>
      <w:r>
        <w:t>MINH HỌA 5.7: Định giá quyền chọn bán bằng quan hệ ngang giá quyền chọn mua - quyền chọn bán (put-call parity): Cisco Systems và AT&amp;T</w:t>
      </w:r>
      <w:bookmarkEnd w:id="760"/>
      <w:bookmarkEnd w:id="761"/>
    </w:p>
    <w:p>
      <w:pPr>
        <w:pStyle w:val="Para 04"/>
        <w:keepLines w:val="on"/>
      </w:pPr>
      <w:r>
        <w:t>Hãy xem xét quyền chọn mua đối với Cisco Systems mà chúng ta đã định giá trong Minh họa 5.2. Quyền chọn mua này có giá thực hiện (strike price) là 15 đô la trên cổ phiếu, còn 103 ngày nữa là hết hạn, và được định giá ở mức 1,87 đô la. Cổ phiếu đang giao dịch ở mức 13,62 đô la, và lãi suất phi rủi ro là 4,63%. Quyền chọn bán có thể được định giá như sau:</w:t>
      </w:r>
    </w:p>
    <w:p>
      <w:bookmarkStart w:id="762" w:name="Put_Value__C___S_Ke___rt_1_87"/>
      <w:pPr>
        <w:keepNext/>
        <w:pStyle w:val="Para 07"/>
        <w:keepLines w:val="on"/>
      </w:pPr>
      <w:r>
        <w:t>Giá trị quyền chọn bán =C−S+Ke−rt=1.87−13.62+15 e(−0.0463) (.2822)=$3.06</w:t>
      </w:r>
      <w:bookmarkEnd w:id="762"/>
    </w:p>
    <w:p>
      <w:pPr>
        <w:pStyle w:val="Para 04"/>
        <w:keepLines w:val="on"/>
      </w:pPr>
      <w:r>
        <w:t>Quyền chọn bán đang được giao dịch ở mức 3,38 đô la.</w:t>
      </w:r>
    </w:p>
    <w:p>
      <w:pPr>
        <w:pStyle w:val="Para 04"/>
        <w:keepLines w:val="on"/>
      </w:pPr>
      <w:r>
        <w:t>Ngoài ra, một quyền chọn mua dài hạn đối với AT&amp;T đã được định giá trong Minh họa 5.4. Quyền chọn mua này có giá thực hiện là 20 đô la, còn 1,8333 năm nữa là hết hạn, và có giá trị là 6,63 đô la. Cổ phiếu đang giao dịch ở mức 20,50 đô la và được kỳ vọng duy trì tỷ suất cổ tức (dividend yield) 2,51% trong suốt giai đoạn này. Lãi suất phi rủi ro là 4,85%. Giá trị quyền chọn bán có thể được ước tính như sau:</w:t>
      </w:r>
    </w:p>
    <w:p>
      <w:bookmarkStart w:id="763" w:name="Put_Value_C___Se___yt_Ke___rt_6"/>
      <w:pPr>
        <w:keepNext/>
        <w:pStyle w:val="Para 07"/>
        <w:keepLines w:val="on"/>
      </w:pPr>
      <w:r>
        <w:t>Giá trị quyền chọn bán =C−Se−yt+Ke−rt=6.63−20.5 e−(.0251)(1.8333)+15 e(−0.0485) (1.8333)=$5.35</w:t>
      </w:r>
      <w:bookmarkEnd w:id="763"/>
    </w:p>
    <w:p>
      <w:pPr>
        <w:pStyle w:val="Para 04"/>
        <w:keepLines w:val="on"/>
      </w:pPr>
      <w:r>
        <w:t>Quyền chọn bán đang được giao dịch ở mức 3,80 đô la. Cả quyền chọn mua lẫn quyền chọn bán đều đang được giao dịch ở mức giá khác với ước tính của chúng ta, điều này có thể cho thấy rằng chúng ta đã không ước tính đúng độ biến động (volatility) của cổ phiếu.</w:t>
      </w:r>
    </w:p>
    <w:p>
      <w:bookmarkStart w:id="764" w:name="Jump_Process_Option_Pricing_Mode"/>
      <w:bookmarkStart w:id="765" w:name="Jump_Process_Option_Pricing_Mode_1"/>
      <w:pPr>
        <w:keepNext/>
        <w:pStyle w:val="Heading 3"/>
        <w:keepLines w:val="on"/>
      </w:pPr>
      <w:r>
        <w:t>Các mô hình định giá quyền chọn theo quá trình nhảy (Jump Process Option Pricing Models)</w:t>
      </w:r>
      <w:bookmarkEnd w:id="764"/>
      <w:bookmarkEnd w:id="765"/>
    </w:p>
    <w:p>
      <w:pPr>
        <w:pStyle w:val="Para 03"/>
      </w:pPr>
      <w:r>
        <w:t>Nếu những thay đổi về giá vẫn còn lớn khi các khoảng thời gian trong mô hình nhị thức (binomial model) bị rút ngắn lại, thì không thể tiếp tục giả định rằng giá thay đổi một cách liên tục được nữa. Khi những thay đổi về giá vẫn còn lớn, một quá trình giá cho phép có những bước nhảy về giá sẽ thực tế hơn nhiều. Cox và Ross (1976) đã định giá quyền chọn khi giá tuân theo một quá trình nhảy thuần túy (pure jump process), trong đó các bước nhảy chỉ có thể là dương. Như vậy, trong khoảng thời gian tiếp theo, giá cổ phiếu sẽ hoặc có một bước nhảy dương lớn với một xác suất xác định, hoặc trôi xuống dưới (drift downward) theo một tốc độ nhất định.</w:t>
      </w:r>
    </w:p>
    <w:p>
      <w:pPr>
        <w:pStyle w:val="Para 03"/>
      </w:pPr>
      <w:r>
        <w:t>Merton (1976) đã xem xét một phân phối trong đó có những bước nhảy về giá chồng lên một quá trình giá liên tục. Ông đã xác định tốc độ xảy ra các bước nhảy (λ) và kích thước bước nhảy trung bình (k), được đo bằng tỷ lệ phần trăm của giá cổ phiếu. Mô hình được xây dựng để định giá quyền chọn với quá trình này được gọi là mô hình khuếch tán có bước nhảy (jump diffusion model). Trong mô hình này, giá trị của một quyền chọn được xác định bởi năm biến số được nêu trong mô hình Black-Scholes, cùng với các tham số của quá trình nhảy (λ, k). Đáng tiếc là, việc ước tính các tham số của quá trình nhảy lại quá khó khăn đối với hầu hết các công ty, đến mức chúng lấn át mọi lợi ích có được từ việc sử dụng một mô hình thực tế hơn. Do đó, những mô hình này ít được sử dụng trong thực tế.</w:t>
      </w:r>
    </w:p>
    <w:p>
      <w:bookmarkStart w:id="767" w:name="Extensions_of_Option_Pricing"/>
      <w:bookmarkStart w:id="768" w:name="Extensions_of_Option_Pricing__Al"/>
      <w:pPr>
        <w:keepNext/>
        <w:pStyle w:val="Heading 2"/>
        <w:keepLines w:val="on"/>
      </w:pPr>
      <w:r>
        <w:t>Các mở rộng của định giá quyền chọn (Extensions of Option Pricing)</w:t>
      </w:r>
      <w:bookmarkEnd w:id="767"/>
      <w:bookmarkEnd w:id="768"/>
    </w:p>
    <w:p>
      <w:pPr>
        <w:pStyle w:val="Para 03"/>
      </w:pPr>
      <w:r>
        <w:t>Tất cả các mô hình định giá quyền chọn được mô tả cho đến nay—mô hình nhị thức, mô hình Black-Scholes, và các mô hình quá trình nhảy—đều được thiết kế để định giá các quyền chọn có giá thực hiện và ngày đáo hạn được xác định rõ ràng trên những tài sản cơ sở được giao dịch. Tuy nhiên, những quyền chọn mà chúng ta gặp trong phân tích đầu tư hay định giá thường là quyền chọn trên các tài sản thực (real assets) chứ không phải tài sản tài chính. Được phân loại là quyền chọn thực (real options), chúng có thể mang những hình thức phức tạp hơn nhiều. Phần này sẽ xem xét một số biến thể đó.</w:t>
      </w:r>
    </w:p>
    <w:p>
      <w:bookmarkStart w:id="769" w:name="Capped_and_Barrier_Options"/>
      <w:bookmarkStart w:id="770" w:name="Capped_and_Barrier_Options__With"/>
      <w:pPr>
        <w:keepNext/>
        <w:pStyle w:val="Heading 3"/>
        <w:keepLines w:val="on"/>
      </w:pPr>
      <w:r>
        <w:t>Quyền chọn có giới hạn trần và quyền chọn rào cản (Capped and Barrier Options)
&lt;&lt;&lt;|||&gt;
Với một quyền chọn mua đơn giản, không có giới hạn trên nào được xác định cho lợi nhuận mà người mua quyền chọn mua có thể kiếm được. Giá tài sản, ít nhất là về mặt lý thuyết, có thể tiếp tục tăng, và các khoản chi trả (payoff) sẽ tăng tương ứng. Tuy nhiên, trong một số quyền chọn mua, người mua chỉ được hưởng lợi nhuận tối đa đến một mức giá xác định chứ không được vượt quá mức đó. Ví dụ, hãy xem xét một quyền chọn mua với giá thực hiện là K1 trên một tài sản. Trong một quyền chọn mua không bị giới hạn, khoản chi trả của quyền chọn này sẽ tăng khi giá của tài sản cơ sở tăng vượt trên K1. Tuy nhiên, giả sử rằng nếu giá đạt đến K2, khoản chi trả sẽ bị giới hạn trần ở mức (K2 − K1). Biểu đồ chi trả của quyền chọn này được thể hiện trong Hình 5.7.</w:t>
      </w:r>
      <w:bookmarkEnd w:id="769"/>
      <w:bookmarkEnd w:id="770"/>
    </w:p>
    <w:p>
      <w:pPr>
        <w:pStyle w:val="Para 03"/>
      </w:pPr>
      <w:r>
        <w:t>Hình 5.7 Khoản chi trả của quyền chọn mua có giới hạn trần (Capped Call)</w:t>
      </w:r>
    </w:p>
    <w:p>
      <w:bookmarkStart w:id="772" w:name="Figure_5_7_Payoff_on_Capped_Call"/>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22500" cy="723900"/>
            <wp:effectExtent l="0" r="0" t="0" b="0"/>
            <wp:wrapTopAndBottom/>
            <wp:docPr id="32" name="c05f007.png" descr="Diagram of payoff on capped call depicts that if the price reaches K subscript 2, the payoff is capped at K subscript 2 minus K subscript 1."/>
            <wp:cNvGraphicFramePr>
              <a:graphicFrameLocks noChangeAspect="1"/>
            </wp:cNvGraphicFramePr>
            <a:graphic>
              <a:graphicData uri="http://schemas.openxmlformats.org/drawingml/2006/picture">
                <pic:pic>
                  <pic:nvPicPr>
                    <pic:cNvPr id="0" name="c05f007.png" descr="Diagram of payoff on capped call depicts that if the price reaches K subscript 2, the payoff is capped at K subscript 2 minus K subscript 1."/>
                    <pic:cNvPicPr/>
                  </pic:nvPicPr>
                  <pic:blipFill>
                    <a:blip r:embed="rId27"/>
                    <a:stretch>
                      <a:fillRect/>
                    </a:stretch>
                  </pic:blipFill>
                  <pic:spPr>
                    <a:xfrm>
                      <a:off x="0" y="0"/>
                      <a:ext cx="2222500" cy="723900"/>
                    </a:xfrm>
                    <a:prstGeom prst="rect">
                      <a:avLst/>
                    </a:prstGeom>
                  </pic:spPr>
                </pic:pic>
              </a:graphicData>
            </a:graphic>
          </wp:anchor>
        </w:drawing>
      </w:r>
      <w:bookmarkEnd w:id="772"/>
    </w:p>
    <w:p>
      <w:pPr>
        <w:keepNext/>
        <w:pStyle w:val="Para 22"/>
        <w:keepLines w:val="on"/>
      </w:pPr>
      <w:r>
        <w:t>Quyền chọn này được gọi là quyền chọn mua có giới hạn trần (capped call). Cũng cần lưu ý rằng, một khi giá đạt đến K2, sẽ không còn bất kỳ phần bù thời gian (time premium) nào gắn với quyền chọn nữa, và do đó quyền chọn sẽ được thực hiện. Quyền chọn mua có giới hạn trần là một phần của nhóm quyền chọn được gọi là quyền chọn rào cản (barrier options), trong đó khoản chi trả và vòng đời của quyền chọn là hàm số phụ thuộc vào việc liệu giá tài sản cơ sở có đạt đến một mức nhất định trong một khoảng thời gian xác định hay không.</w:t>
      </w:r>
    </w:p>
    <w:p>
      <w:pPr>
        <w:pStyle w:val="Para 03"/>
      </w:pPr>
      <w:r>
        <w:t>Giá trị của một quyền chọn mua có giới hạn trần luôn thấp hơn giá trị của cùng quyền chọn đó nhưng không có giới hạn chi trả. Một cách xấp xỉ đơn giản cho giá trị này có thể đạt được bằng cách định giá quyền chọn hai lần, một lần với giá thực hiện đã cho và một lần với mức giới hạn trần, rồi lấy hiệu của hai giá trị đó. Trong ví dụ trước, giá trị của quyền chọn mua với giá thực hiện là K1 và giới hạn trần ở K2 có thể được viết như sau:</w:t>
      </w:r>
    </w:p>
    <w:p>
      <w:pPr>
        <w:pStyle w:val="Para 03"/>
      </w:pPr>
      <w:r>
        <w:t>Giá trị quyền chọn mua có giới hạn trần=Giá trị quyền chọn mua (K=K1)−Giá trị quyền chọn mua (K=K2)</w:t>
      </w:r>
    </w:p>
    <w:p>
      <w:bookmarkStart w:id="773" w:name="Value_of_capped_call_Value_of_ca"/>
      <w:pPr>
        <w:keepNext/>
        <w:pStyle w:val="Para 09"/>
        <w:keepLines w:val="on"/>
      </w:pPr>
      <w:r>
        <w:t>Quyền chọn rào cản có thể mang nhiều hình thức. Trong một quyền chọn loại trừ (knockout option), quyền chọn sẽ không còn tồn tại nếu tài sản cơ sở đạt đến một mức giá nhất định. Trong trường hợp của một quyền chọn mua, mức giá loại trừ này thường được đặt thấp hơn giá thực hiện, và quyền chọn này được gọi là quyền chọn down-and-out. Trong trường hợp của một quyền chọn bán, mức giá loại trừ sẽ được đặt cao hơn giá thực hiện, và quyền chọn này được gọi là quyền chọn up-and-out. Giống như quyền chọn mua có giới hạn trần, những quyền chọn này có giá trị thấp hơn so với các phiên bản không bị giới hạn của chúng. Nhiều quyền chọn thực có những giới hạn về tiềm năng tăng giá, hoặc có những điều khoản loại trừ, và việc bỏ qua những giới hạn này có thể dẫn đến việc phóng đại giá trị của những quyền chọn đó.</w:t>
      </w:r>
      <w:bookmarkEnd w:id="773"/>
    </w:p>
    <w:p>
      <w:pPr>
        <w:pStyle w:val="Para 03"/>
      </w:pPr>
      <w:r>
        <w:t>Quyền chọn phức hợp (Compound Options)</w:t>
      </w:r>
    </w:p>
    <w:p>
      <w:bookmarkStart w:id="775" w:name="Compound_Options__Some_options_d"/>
      <w:bookmarkStart w:id="776" w:name="Compound_Options"/>
      <w:pPr>
        <w:keepNext/>
        <w:pStyle w:val="Heading 3"/>
        <w:keepLines w:val="on"/>
      </w:pPr>
      <w:r>
        <w:t>Một số quyền chọn lấy giá trị của chúng không phải từ một tài sản cơ sở mà từ những quyền chọn khác. Những quyền chọn này được gọi là quyền chọn phức hợp. Quyền chọn phức hợp có thể mang bất kỳ hình thức nào trong bốn dạng—quyền chọn mua trên quyền chọn mua, quyền chọn bán trên quyền chọn bán, quyền chọn mua trên quyền chọn bán, hoặc quyền chọn bán trên quyền chọn mua. Geske (1979) đã phát triển công thức phân tích để định giá quyền chọn phức hợp bằng cách thay thế phân phối chuẩn tắc (standard normal distribution) được sử dụng trong một mô hình quyền chọn đơn giản bằng phân phối chuẩn hai biến (bivariate normal distribution) trong tính toán.</w:t>
      </w:r>
      <w:bookmarkEnd w:id="775"/>
      <w:bookmarkEnd w:id="776"/>
    </w:p>
    <w:p>
      <w:pPr>
        <w:pStyle w:val="Para 03"/>
      </w:pPr>
    </w:p>
    <w:p>
      <w:pPr>
        <w:pStyle w:val="Para 03"/>
      </w:pPr>
      <w:r>
        <w:t>Trong chương 30, chúng ta sẽ định giá quyền mở rộng một dự án như một quyền chọn thực (real option). Dù chúng ta sẽ định giá quyền chọn này bằng một mô hình định giá quyền chọn đơn giản, nhưng trên thực tế quá trình mở rộng có thể gồm nhiều giai đoạn, mỗi giai đoạn lại là một quyền chọn cho giai đoạn tiếp theo. Trong trường hợp đó, chúng ta sẽ định giá thấp quyền chọn này vì đã coi nó là quyền chọn đơn giản thay vì quyền chọn phức hợp (compound option).</w:t>
      </w:r>
    </w:p>
    <w:p>
      <w:pPr>
        <w:pStyle w:val="Para 03"/>
      </w:pPr>
      <w:r>
        <w:t>Dù đã bàn đến đây, việc định giá các quyền chọn phức hợp sẽ ngày càng khó khăn khi có thêm nhiều quyền chọn được thêm vào chuỗi. Trong trường hợp đó, thay vì để việc định giá đâm vào bãi cạn của sai số ước lượng, có lẽ tốt hơn là chấp nhận mức ước tính thận trọng mà một mô hình định giá đơn giản đưa ra như một mức sàn cho giá trị.</w:t>
      </w:r>
    </w:p>
    <w:p>
      <w:bookmarkStart w:id="777" w:name="Rainbow_Options__In_a_simple_opt"/>
      <w:bookmarkStart w:id="778" w:name="Rainbow_Options"/>
      <w:pPr>
        <w:keepNext/>
        <w:pStyle w:val="Heading 3"/>
        <w:keepLines w:val="on"/>
      </w:pPr>
      <w:r>
        <w:t>Quyền chọn cầu vồng (Rainbow Options)</w:t>
      </w:r>
      <w:bookmarkEnd w:id="777"/>
      <w:bookmarkEnd w:id="778"/>
    </w:p>
    <w:p>
      <w:pPr>
        <w:pStyle w:val="Para 03"/>
      </w:pPr>
      <w:r>
        <w:t>Trong một quyền chọn đơn giản, sự bất định nằm ở giá của tài sản cơ sở. Một số quyền chọn lại chịu ảnh hưởng từ hai hay nhiều nguồn bất định, và những quyền chọn này được gọi là quyền chọn cầu vồng (rainbow options). Dùng mô hình định giá quyền chọn đơn giản để định giá những quyền chọn như vậy có thể dẫn đến những ước tính giá trị bị lệch. Lấy ví dụ, hãy coi một mỏ dầu chưa khai thác như một quyền chọn, trong đó công ty sở hữu mỏ dầu có quyền khai thác mỏ này. Ở đây có hai nguồn bất định. Thứ nhất dĩ nhiên là giá dầu, và thứ hai là trữ lượng dầu có trong mỏ. Để định giá mỏ chưa khai thác này, chúng ta có thể đưa ra giả định đơn giản hóa rằng ta biết chắc chắn trữ lượng dầu trong mỏ. Tuy nhiên trên thực tế, sự bất định về trữ lượng sẽ ảnh hưởng đến giá trị của quyền chọn này và khiến quyết định thực hiện quyền trở nên khó khăn hơn.4</w:t>
      </w:r>
    </w:p>
    <w:p>
      <w:bookmarkStart w:id="780" w:name="Conclusion_4"/>
      <w:bookmarkStart w:id="781" w:name="Conclusion__An_option_is_an_asse"/>
      <w:pPr>
        <w:keepNext/>
        <w:pStyle w:val="Heading 2"/>
        <w:keepLines w:val="on"/>
      </w:pPr>
      <w:r>
        <w:t>Kết luận</w:t>
      </w:r>
      <w:bookmarkEnd w:id="780"/>
      <w:bookmarkEnd w:id="781"/>
    </w:p>
    <w:p>
      <w:pPr>
        <w:pStyle w:val="Para 03"/>
      </w:pPr>
      <w:r>
        <w:t>Quyền chọn là một tài sản có các khoản chi trả phụ thuộc vào giá trị của một tài sản cơ sở. Quyền chọn mua (call option) cho người nắm giữ quyền mua tài sản cơ sở ở một mức giá cố định, còn quyền chọn bán (put option) cho người nắm giữ quyền bán ở một mức giá cố định, vào bất kỳ thời điểm nào trước khi quyền chọn hết hạn. Giá trị của một quyền chọn được quyết định bởi sáu biến số—giá trị hiện tại của tài sản cơ sở, phương sai của giá trị này, cổ tức kỳ vọng trên tài sản, giá thực hiện (strike price) và thời hạn của quyền chọn, cùng lãi suất phi rủi ro. Điều này được minh họa trong cả mô hình nhị phân (binomial) lẫn mô hình Black-Scholes, vốn định giá quyền chọn bằng cách tạo ra các danh mục mô phỏng (replicating portfolios) gồm tài sản cơ sở và việc cho vay hoặc đi vay phi rủi ro. Những mô hình này có thể được dùng để định giá các tài sản có đặc tính giống quyền chọn.</w:t>
      </w:r>
    </w:p>
    <w:p>
      <w:bookmarkStart w:id="783" w:name="Questions_and_Short_Problems_6"/>
      <w:bookmarkStart w:id="784" w:name="Questions_and_Short_Problems__In_2"/>
      <w:pPr>
        <w:keepNext/>
        <w:pStyle w:val="Heading 2"/>
        <w:keepLines w:val="on"/>
      </w:pPr>
      <w:r>
        <w:t>Câu hỏi và bài tập ngắn</w:t>
      </w:r>
      <w:bookmarkEnd w:id="783"/>
      <w:bookmarkEnd w:id="784"/>
    </w:p>
    <w:p>
      <w:pPr>
        <w:pStyle w:val="Para 44"/>
      </w:pPr>
      <w:r>
        <w:t>Trong các bài tập sau, hãy dùng mức bù rủi ro vốn cổ phần (equity risk premium) là 5,5 phần trăm nếu không có quy định nào khác.</w:t>
      </w:r>
    </w:p>
    <w:p>
      <w:pPr>
        <w:numPr>
          <w:ilvl w:val="0"/>
          <w:numId w:val="28"/>
        </w:numPr>
        <w:pStyle w:val="Para 01"/>
      </w:pPr>
      <w:r>
        <w:t>Sau đây là giá của các quyền chọn được giao dịch trên Microsoft Corporation, công ty không trả cổ tức.</w:t>
      </w:r>
    </w:p>
    <w:tbl>
      <w:tblPr>
        <w:tblW w:type="auto" w:w="0"/>
      </w:tblPr>
      <w:tr>
        <w:tc>
          <w:tcPr>
            <w:tcW w:type="auto" w:w="0"/>
          </w:tcPr>
          <w:tbl>
            <w:tblPr>
              <w:tblW w:type="auto" w:w="0"/>
            </w:tblPr>
            <w:tr>
              <w:tc>
                <w:tcPr>
                  <w:tcW w:type="auto" w:w="0"/>
                  <w:shd w:val="clear" w:color="auto" w:fill="F0F0F0"/>
                </w:tcPr>
                <w:p>
                  <w:pPr>
                    <w:pStyle w:val="Para 17"/>
                    <w:keepLines w:val="on"/>
                  </w:pPr>
                  <w:r>
                    <w:t/>
                  </w:r>
                </w:p>
              </w:tc>
              <w:tc>
                <w:tcPr>
                  <w:tcW w:type="auto" w:w="0"/>
                  <w:shd w:val="clear" w:color="auto" w:fill="F0F0F0"/>
                  <w:hMerge w:val="restart"/>
                </w:tcPr>
                <w:p>
                  <w:pPr>
                    <w:pStyle w:val="Para 17"/>
                    <w:keepLines w:val="on"/>
                  </w:pPr>
                  <w:r>
                    <w:t>Quyền chọn mua (Call)</w:t>
                  </w:r>
                </w:p>
              </w:tc>
              <w:tc>
                <w:tcPr>
                  <w:hMerge w:val="continue"/>
                </w:tcPr>
                <w:p/>
              </w:tc>
              <w:tc>
                <w:tcPr>
                  <w:tcW w:type="auto" w:w="0"/>
                  <w:shd w:val="clear" w:color="auto" w:fill="F0F0F0"/>
                </w:tcPr>
                <w:p>
                  <w:pPr>
                    <w:pStyle w:val="Para 17"/>
                    <w:keepLines w:val="on"/>
                  </w:pPr>
                  <w:r>
                    <w:t/>
                  </w:r>
                </w:p>
              </w:tc>
              <w:tc>
                <w:tcPr>
                  <w:tcW w:type="auto" w:w="0"/>
                  <w:shd w:val="clear" w:color="auto" w:fill="F0F0F0"/>
                  <w:hMerge w:val="restart"/>
                </w:tcPr>
                <w:p>
                  <w:pPr>
                    <w:pStyle w:val="Para 17"/>
                    <w:keepLines w:val="on"/>
                  </w:pPr>
                  <w:r>
                    <w:t>Quyền chọn bán (Put)</w:t>
                  </w:r>
                </w:p>
              </w:tc>
              <w:tc>
                <w:tcPr>
                  <w:hMerge w:val="continue"/>
                </w:tcPr>
                <w:p/>
              </w:tc>
            </w:tr>
            <w:tr>
              <w:tc>
                <w:tcPr>
                  <w:tcW w:type="auto" w:w="0"/>
                  <w:shd w:val="clear" w:color="auto" w:fill="F0F0F0"/>
                </w:tcPr>
                <w:p>
                  <w:pPr>
                    <w:pStyle w:val="Para 17"/>
                    <w:keepLines w:val="on"/>
                  </w:pPr>
                  <w:r>
                    <w:t/>
                  </w:r>
                </w:p>
              </w:tc>
              <w:tc>
                <w:tcPr>
                  <w:tcW w:type="auto" w:w="0"/>
                  <w:shd w:val="clear" w:color="auto" w:fill="F0F0F0"/>
                </w:tcPr>
                <w:p>
                  <w:pPr>
                    <w:pStyle w:val="Para 17"/>
                    <w:keepLines w:val="on"/>
                  </w:pPr>
                  <w:r>
                    <w:t>K = 85</w:t>
                  </w:r>
                </w:p>
              </w:tc>
              <w:tc>
                <w:tcPr>
                  <w:tcW w:type="auto" w:w="0"/>
                  <w:shd w:val="clear" w:color="auto" w:fill="F0F0F0"/>
                </w:tcPr>
                <w:p>
                  <w:pPr>
                    <w:pStyle w:val="Para 17"/>
                    <w:keepLines w:val="on"/>
                  </w:pPr>
                  <w:r>
                    <w:t>K = 90</w:t>
                  </w:r>
                </w:p>
              </w:tc>
              <w:tc>
                <w:tcPr>
                  <w:tcW w:type="auto" w:w="0"/>
                  <w:shd w:val="clear" w:color="auto" w:fill="F0F0F0"/>
                </w:tcPr>
                <w:p>
                  <w:pPr>
                    <w:pStyle w:val="Para 17"/>
                    <w:keepLines w:val="on"/>
                  </w:pPr>
                  <w:r>
                    <w:t/>
                  </w:r>
                </w:p>
              </w:tc>
              <w:tc>
                <w:tcPr>
                  <w:tcW w:type="auto" w:w="0"/>
                  <w:shd w:val="clear" w:color="auto" w:fill="F0F0F0"/>
                </w:tcPr>
                <w:p>
                  <w:pPr>
                    <w:pStyle w:val="Para 17"/>
                    <w:keepLines w:val="on"/>
                  </w:pPr>
                  <w:r>
                    <w:t>K = 85</w:t>
                  </w:r>
                </w:p>
              </w:tc>
              <w:tc>
                <w:tcPr>
                  <w:tcW w:type="auto" w:w="0"/>
                  <w:shd w:val="clear" w:color="auto" w:fill="F0F0F0"/>
                </w:tcPr>
                <w:p>
                  <w:pPr>
                    <w:pStyle w:val="Para 17"/>
                    <w:keepLines w:val="on"/>
                  </w:pPr>
                  <w:r>
                    <w:t>K = 90</w:t>
                  </w:r>
                </w:p>
              </w:tc>
            </w:tr>
            <w:tr>
              <w:tc>
                <w:tcPr>
                  <w:tcW w:type="auto" w:w="0"/>
                  <w:shd w:val="clear" w:color="auto" w:fill="F0F0F0"/>
                </w:tcPr>
                <w:p>
                  <w:pPr>
                    <w:pStyle w:val="Para 02"/>
                    <w:keepLines w:val="on"/>
                  </w:pPr>
                  <w:r>
                    <w:t>Một tháng</w:t>
                  </w:r>
                </w:p>
              </w:tc>
              <w:tc>
                <w:tcPr>
                  <w:tcW w:type="auto" w:w="0"/>
                  <w:shd w:val="clear" w:color="auto" w:fill="F0F0F0"/>
                </w:tcPr>
                <w:p>
                  <w:pPr>
                    <w:pStyle w:val="Normal"/>
                    <w:keepLines w:val="on"/>
                  </w:pPr>
                  <w:r>
                    <w:t>$2,75</w:t>
                  </w:r>
                </w:p>
              </w:tc>
              <w:tc>
                <w:tcPr>
                  <w:tcW w:type="auto" w:w="0"/>
                  <w:shd w:val="clear" w:color="auto" w:fill="F0F0F0"/>
                </w:tcPr>
                <w:p>
                  <w:pPr>
                    <w:pStyle w:val="Normal"/>
                    <w:keepLines w:val="on"/>
                  </w:pPr>
                  <w:r>
                    <w:t>$1,00</w:t>
                  </w:r>
                </w:p>
              </w:tc>
              <w:tc>
                <w:tcPr>
                  <w:tcW w:type="auto" w:w="0"/>
                  <w:shd w:val="clear" w:color="auto" w:fill="F0F0F0"/>
                </w:tcPr>
                <w:p>
                  <w:pPr>
                    <w:pStyle w:val="7 Block"/>
                    <w:keepLines w:val="on"/>
                  </w:pPr>
                </w:p>
              </w:tc>
              <w:tc>
                <w:tcPr>
                  <w:tcW w:type="auto" w:w="0"/>
                  <w:shd w:val="clear" w:color="auto" w:fill="F0F0F0"/>
                </w:tcPr>
                <w:p>
                  <w:pPr>
                    <w:pStyle w:val="Normal"/>
                    <w:keepLines w:val="on"/>
                  </w:pPr>
                  <w:r>
                    <w:t>$4,50</w:t>
                  </w:r>
                </w:p>
              </w:tc>
              <w:tc>
                <w:tcPr>
                  <w:tcW w:type="auto" w:w="0"/>
                  <w:shd w:val="clear" w:color="auto" w:fill="F0F0F0"/>
                </w:tcPr>
                <w:p>
                  <w:pPr>
                    <w:pStyle w:val="Para 02"/>
                    <w:keepLines w:val="on"/>
                  </w:pPr>
                  <w:r>
                    <w:t>$7,50</w:t>
                  </w:r>
                </w:p>
              </w:tc>
            </w:tr>
            <w:tr>
              <w:tc>
                <w:tcPr>
                  <w:tcW w:type="auto" w:w="0"/>
                  <w:shd w:val="clear" w:color="auto" w:fill="F0F0F0"/>
                </w:tcPr>
                <w:p>
                  <w:pPr>
                    <w:pStyle w:val="Para 02"/>
                    <w:keepLines w:val="on"/>
                  </w:pPr>
                  <w:r>
                    <w:t>Ba tháng</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$2,75</w:t>
                  </w:r>
                </w:p>
              </w:tc>
              <w:tc>
                <w:tcPr>
                  <w:tcW w:type="auto" w:w="0"/>
                  <w:shd w:val="clear" w:color="auto" w:fill="F0F0F0"/>
                </w:tcPr>
                <w:p>
                  <w:pPr>
                    <w:pStyle w:val="7 Block"/>
                    <w:keepLines w:val="on"/>
                  </w:pPr>
                </w:p>
              </w:tc>
              <w:tc>
                <w:tcPr>
                  <w:tcW w:type="auto" w:w="0"/>
                  <w:shd w:val="clear" w:color="auto" w:fill="F0F0F0"/>
                </w:tcPr>
                <w:p>
                  <w:pPr>
                    <w:pStyle w:val="Normal"/>
                    <w:keepLines w:val="on"/>
                  </w:pPr>
                  <w:r>
                    <w:t>$5,75</w:t>
                  </w:r>
                </w:p>
              </w:tc>
              <w:tc>
                <w:tcPr>
                  <w:tcW w:type="auto" w:w="0"/>
                  <w:shd w:val="clear" w:color="auto" w:fill="F0F0F0"/>
                </w:tcPr>
                <w:p>
                  <w:pPr>
                    <w:pStyle w:val="Para 02"/>
                    <w:keepLines w:val="on"/>
                  </w:pPr>
                  <w:r>
                    <w:t>$9,00</w:t>
                  </w:r>
                </w:p>
              </w:tc>
            </w:tr>
            <w:tr>
              <w:tc>
                <w:tcPr>
                  <w:tcW w:type="auto" w:w="0"/>
                  <w:shd w:val="clear" w:color="auto" w:fill="F0F0F0"/>
                </w:tcPr>
                <w:p>
                  <w:pPr>
                    <w:pStyle w:val="Para 02"/>
                    <w:keepLines w:val="on"/>
                  </w:pPr>
                  <w:r>
                    <w:t>Sáu tháng</w:t>
                  </w:r>
                </w:p>
              </w:tc>
              <w:tc>
                <w:tcPr>
                  <w:tcW w:type="auto" w:w="0"/>
                  <w:shd w:val="clear" w:color="auto" w:fill="F0F0F0"/>
                </w:tcPr>
                <w:p>
                  <w:pPr>
                    <w:pStyle w:val="Normal"/>
                    <w:keepLines w:val="on"/>
                  </w:pPr>
                  <w:r>
                    <w:t>7,75 đô la</w:t>
                  </w:r>
                </w:p>
              </w:tc>
              <w:tc>
                <w:tcPr>
                  <w:tcW w:type="auto" w:w="0"/>
                  <w:shd w:val="clear" w:color="auto" w:fill="F0F0F0"/>
                </w:tcPr>
                <w:p>
                  <w:pPr>
                    <w:pStyle w:val="Normal"/>
                    <w:keepLines w:val="on"/>
                  </w:pPr>
                  <w:r>
                    <w:t>6,00 đô la</w:t>
                  </w:r>
                </w:p>
              </w:tc>
              <w:tc>
                <w:tcPr>
                  <w:tcW w:type="auto" w:w="0"/>
                  <w:shd w:val="clear" w:color="auto" w:fill="F0F0F0"/>
                </w:tcPr>
                <w:p>
                  <w:pPr>
                    <w:pStyle w:val="7 Block"/>
                    <w:keepLines w:val="on"/>
                  </w:pPr>
                </w:p>
              </w:tc>
              <w:tc>
                <w:tcPr>
                  <w:tcW w:type="auto" w:w="0"/>
                  <w:shd w:val="clear" w:color="auto" w:fill="F0F0F0"/>
                </w:tcPr>
                <w:p>
                  <w:pPr>
                    <w:pStyle w:val="Normal"/>
                    <w:keepLines w:val="on"/>
                  </w:pPr>
                  <w:r>
                    <w:t>8,00 đô la</w:t>
                  </w:r>
                </w:p>
              </w:tc>
              <w:tc>
                <w:tcPr>
                  <w:tcW w:type="auto" w:w="0"/>
                  <w:shd w:val="clear" w:color="auto" w:fill="F0F0F0"/>
                </w:tcPr>
                <w:p>
                  <w:pPr>
                    <w:pStyle w:val="Para 02"/>
                    <w:keepLines w:val="on"/>
                  </w:pPr>
                  <w:r>
                    <w:t>12,00 đô la</w:t>
                  </w:r>
                </w:p>
              </w:tc>
            </w:tr>
          </w:tbl>
          <w:p/>
        </w:tc>
      </w:tr>
    </w:tbl>
    <w:p>
      <w:pPr>
        <w:pStyle w:val="Para 03"/>
      </w:pPr>
      <w:r>
        <w:t>Cổ phiếu đang giao dịch ở mức 83 đô la, và lãi suất phi rủi ro theo năm là 3,8%. Độ lệch chuẩn của ln (giá cổ phiếu, dựa trên dữ liệu lịch sử) là 30%.</w:t>
      </w:r>
    </w:p>
    <w:p>
      <w:pPr>
        <w:numPr>
          <w:ilvl w:val="1"/>
          <w:numId w:val="28"/>
        </w:numPr>
        <w:pStyle w:val="Para 01"/>
      </w:pPr>
      <w:r>
        <w:t>Ước tính giá trị của một quyền chọn mua (call) kỳ hạn ba tháng với giá thực hiện (strike price) là 85 đô la.</w:t>
      </w:r>
    </w:p>
    <w:p>
      <w:pPr>
        <w:numPr>
          <w:ilvl w:val="1"/>
          <w:numId w:val="28"/>
        </w:numPr>
        <w:pStyle w:val="Para 01"/>
      </w:pPr>
      <w:r>
        <w:t>Sử dụng các thông số đầu vào từ mô hình Black-Scholes, hãy trình bày cách bạn sẽ tái tạo (replicate) quyền chọn mua này.</w:t>
      </w:r>
    </w:p>
    <w:p>
      <w:pPr>
        <w:numPr>
          <w:ilvl w:val="1"/>
          <w:numId w:val="28"/>
        </w:numPr>
        <w:pStyle w:val="Para 01"/>
      </w:pPr>
      <w:r>
        <w:t>Độ lệch chuẩn hàm ý (implied standard deviation) của quyền chọn mua này là bao nhiêu?</w:t>
      </w:r>
    </w:p>
    <w:p>
      <w:pPr>
        <w:numPr>
          <w:ilvl w:val="1"/>
          <w:numId w:val="28"/>
        </w:numPr>
        <w:pStyle w:val="Para 01"/>
      </w:pPr>
      <w:r>
        <w:t>Bây giờ giả sử bạn mua một quyền chọn mua với giá thực hiện là 85 đô la và bán một quyền chọn mua với giá thực hiện là 90 đô la. Hãy vẽ biểu đồ lợi nhuận (payoff diagram) của vị thế này.</w:t>
      </w:r>
    </w:p>
    <w:p>
      <w:pPr>
        <w:numPr>
          <w:ilvl w:val="1"/>
          <w:numId w:val="28"/>
        </w:numPr>
        <w:pStyle w:val="Para 01"/>
      </w:pPr>
      <w:r>
        <w:t>Sử dụng quan hệ ngang giá quyền chọn mua - quyền chọn bán (put-call parity), hãy ước tính giá trị của một quyền chọn bán (put) kỳ hạn ba tháng với giá thực hiện là 85 đô la.</w:t>
      </w:r>
    </w:p>
    <w:p>
      <w:pPr>
        <w:numPr>
          <w:ilvl w:val="0"/>
          <w:numId w:val="28"/>
        </w:numPr>
        <w:pStyle w:val="Para 01"/>
      </w:pPr>
      <w:r>
        <w:t>Bạn đang cố gắng định giá các quyền chọn mua và quyền chọn bán kỳ hạn ba tháng trên cổ phiếu Merck với giá thực hiện là 30 đô la. Cổ phiếu đang giao dịch ở mức 28,75 đô la, và công ty dự kiến trả cổ tức hàng quý trên mỗi cổ phần là 0,28 đô la trong hai tháng nữa. Lãi suất phi rủi ro theo năm là 3,6%, và độ lệch chuẩn của log giá cổ phiếu là 20%.</w:t>
      </w:r>
    </w:p>
    <w:p>
      <w:pPr>
        <w:numPr>
          <w:ilvl w:val="1"/>
          <w:numId w:val="28"/>
        </w:numPr>
        <w:pStyle w:val="Para 01"/>
      </w:pPr>
      <w:r>
        <w:t>Hãy ước tính giá trị của quyền chọn mua và quyền chọn bán, sử dụng mô hình Black-Scholes.</w:t>
      </w:r>
    </w:p>
    <w:p>
      <w:pPr>
        <w:numPr>
          <w:ilvl w:val="1"/>
          <w:numId w:val="28"/>
        </w:numPr>
        <w:pStyle w:val="Para 01"/>
      </w:pPr>
      <w:r>
        <w:t>Khoản cổ tức dự kiến chi trả có ảnh hưởng gì đến giá trị quyền chọn mua? Đến giá trị quyền chọn bán? Tại sao?</w:t>
      </w:r>
    </w:p>
    <w:p>
      <w:pPr>
        <w:numPr>
          <w:ilvl w:val="0"/>
          <w:numId w:val="28"/>
        </w:numPr>
        <w:pStyle w:val="Para 01"/>
      </w:pPr>
      <w:r>
        <w:t>Có khả năng các quyền chọn trên cổ phiếu Merck được mô tả trong bài toán trước đó có thể bị thực hiện sớm (exercised early).</w:t>
      </w:r>
    </w:p>
    <w:p>
      <w:pPr>
        <w:numPr>
          <w:ilvl w:val="1"/>
          <w:numId w:val="28"/>
        </w:numPr>
        <w:pStyle w:val="Para 01"/>
      </w:pPr>
      <w:r>
        <w:t>Hãy sử dụng kỹ thuật quyền chọn mua kiểu Mỹ giả định (pseudo-American call option technique) để xác định liệu điều này có ảnh hưởng đến giá trị của quyền chọn mua hay không.</w:t>
      </w:r>
    </w:p>
    <w:p>
      <w:pPr>
        <w:numPr>
          <w:ilvl w:val="1"/>
          <w:numId w:val="28"/>
        </w:numPr>
        <w:pStyle w:val="Para 01"/>
      </w:pPr>
      <w:r>
        <w:t>Tại sao lại tồn tại khả năng thực hiện sớm? Những loại quyền chọn nào có nhiều khả năng bị thực hiện sớm nhất?</w:t>
      </w:r>
    </w:p>
    <w:p>
      <w:pPr>
        <w:numPr>
          <w:ilvl w:val="0"/>
          <w:numId w:val="28"/>
        </w:numPr>
        <w:pStyle w:val="Para 01"/>
      </w:pPr>
      <w:r>
        <w:t>Bạn được cung cấp thông tin sau đây về một quyền chọn mua kỳ hạn ba tháng:</w:t>
      </w:r>
    </w:p>
    <w:p>
      <w:bookmarkStart w:id="786" w:name="S_95_K_90t_0_25_r_0_04N_d1__0_57"/>
      <w:pPr>
        <w:keepNext/>
        <w:pStyle w:val="Para 09"/>
        <w:keepLines w:val="on"/>
      </w:pPr>
      <w:r>
        <w:t>S=95 K=90t=0,25 r=0,04N(d1)=0,5750N(d2)=0,4500</w:t>
      </w:r>
      <w:bookmarkEnd w:id="786"/>
    </w:p>
    <w:p>
      <w:pPr>
        <w:numPr>
          <w:ilvl w:val="1"/>
          <w:numId w:val="28"/>
        </w:numPr>
        <w:pStyle w:val="Para 01"/>
      </w:pPr>
      <w:r>
        <w:t>Nếu bạn muốn tái tạo việc mua quyền chọn mua này, bạn sẽ cần vay bao nhiêu tiền?</w:t>
      </w:r>
    </w:p>
    <w:p>
      <w:pPr>
        <w:numPr>
          <w:ilvl w:val="1"/>
          <w:numId w:val="28"/>
        </w:numPr>
        <w:pStyle w:val="Para 01"/>
      </w:pPr>
      <w:r>
        <w:t>Nếu bạn muốn tái tạo việc mua quyền chọn mua này, bạn sẽ cần mua bao nhiêu cổ phiếu?</w:t>
      </w:r>
    </w:p>
    <w:p>
      <w:pPr>
        <w:numPr>
          <w:ilvl w:val="0"/>
          <w:numId w:val="28"/>
        </w:numPr>
        <w:pStyle w:val="Para 01"/>
      </w:pPr>
      <w:r>
        <w:t>Go Video, một nhà sản xuất máy ghi hình, đang giao dịch ở mức 4 đô la mỗi cổ phần vào tháng 5 năm 1994. Có 11 triệu cổ phiếu đang lưu hành. Cùng lúc đó, công ty có 550.000 chứng quyền (warrant) kỳ hạn một năm đang lưu hành, với giá thực hiện là 4,25 đô la. Cổ phiếu có độ lệch chuẩn là 60%. Cổ phiếu không trả cổ tức. Lãi suất phi rủi ro là 5%.</w:t>
      </w:r>
    </w:p>
    <w:p>
      <w:pPr>
        <w:numPr>
          <w:ilvl w:val="1"/>
          <w:numId w:val="28"/>
        </w:numPr>
        <w:pStyle w:val="Para 01"/>
      </w:pPr>
      <w:r>
        <w:t>Hãy ước tính giá trị của các chứng quyền, bỏ qua yếu tố pha loãng (dilution).</w:t>
      </w:r>
    </w:p>
    <w:p>
      <w:pPr>
        <w:numPr>
          <w:ilvl w:val="1"/>
          <w:numId w:val="28"/>
        </w:numPr>
        <w:pStyle w:val="Para 01"/>
      </w:pPr>
      <w:r>
        <w:t>Hãy ước tính giá trị của các chứng quyền, có tính đến yếu tố pha loãng.</w:t>
      </w:r>
    </w:p>
    <w:p>
      <w:pPr>
        <w:numPr>
          <w:ilvl w:val="1"/>
          <w:numId w:val="28"/>
        </w:numPr>
        <w:pStyle w:val="Para 01"/>
      </w:pPr>
      <w:r>
        <w:t>Tại sao pha loãng lại làm giảm giá trị của các chứng quyền?</w:t>
      </w:r>
    </w:p>
    <w:p>
      <w:pPr>
        <w:numPr>
          <w:ilvl w:val="0"/>
          <w:numId w:val="28"/>
        </w:numPr>
        <w:pStyle w:val="Para 01"/>
      </w:pPr>
      <w:r>
        <w:t>Bạn đang cố gắng định giá một quyền chọn mua (call option) dài hạn trên chỉ số NYSE Composite, đáo hạn sau năm năm, với giá thực hiện (strike price) là 275. Chỉ số hiện đang ở mức 250, và độ lệch chuẩn hằng năm của giá cổ phiếu là 15%. Tỷ suất cổ tức trung bình trên chỉ số là 3% và dự kiến sẽ không thay đổi trong năm năm tới. Lãi suất trái phiếu kho bạc kỳ hạn năm năm là 5%.</w:t>
      </w:r>
    </w:p>
    <w:p>
      <w:pPr>
        <w:numPr>
          <w:ilvl w:val="1"/>
          <w:numId w:val="28"/>
        </w:numPr>
        <w:pStyle w:val="Para 01"/>
      </w:pPr>
      <w:r>
        <w:t>Ước tính giá trị của quyền chọn mua dài hạn.</w:t>
      </w:r>
    </w:p>
    <w:p>
      <w:pPr>
        <w:numPr>
          <w:ilvl w:val="1"/>
          <w:numId w:val="28"/>
        </w:numPr>
        <w:pStyle w:val="Para 01"/>
      </w:pPr>
      <w:r>
        <w:t>Ước tính giá trị của quyền chọn bán (put option) với cùng các thông số.</w:t>
      </w:r>
    </w:p>
    <w:p>
      <w:pPr>
        <w:numPr>
          <w:ilvl w:val="1"/>
          <w:numId w:val="28"/>
        </w:numPr>
        <w:pStyle w:val="Para 01"/>
      </w:pPr>
      <w:r>
        <w:t>Những giả định ngầm mà bạn đang đưa ra khi sử dụng mô hình Black-Scholes để định giá quyền chọn này là gì? Những giả định nào trong số đó có khả năng bị vi phạm? Hậu quả đối với việc định giá của bạn là gì?</w:t>
      </w:r>
    </w:p>
    <w:p>
      <w:pPr>
        <w:numPr>
          <w:ilvl w:val="0"/>
          <w:numId w:val="28"/>
        </w:numPr>
        <w:pStyle w:val="Para 01"/>
      </w:pPr>
      <w:r>
        <w:t>Một chứng khoán mới trên AT&amp;T sẽ cho phép nhà đầu tư nhận được toàn bộ cổ tức của AT&amp;T trong ba năm tới, giới hạn tiềm năng tăng giá ở mức 20% nhưng cũng bảo vệ khỏi rủi ro giảm giá dưới 10%. Cổ phiếu AT&amp;T đang giao dịch ở mức 50 đô la, và các quyền chọn mua và quyền chọn bán kỳ hạn ba năm được giao dịch trên sàn với các mức giá sau:</w:t>
      </w:r>
    </w:p>
    <w:tbl>
      <w:tblPr>
        <w:tblW w:type="auto" w:w="0"/>
      </w:tblPr>
      <w:tr>
        <w:tc>
          <w:tcPr>
            <w:tcW w:type="auto" w:w="0"/>
          </w:tcPr>
          <w:tbl>
            <w:tblPr>
              <w:tblW w:type="auto" w:w="0"/>
            </w:tblPr>
            <w:tr>
              <w:tc>
                <w:tcPr>
                  <w:tcW w:type="auto" w:w="0"/>
                  <w:shd w:val="clear" w:color="auto" w:fill="F0F0F0"/>
                </w:tcPr>
                <w:p>
                  <w:pPr>
                    <w:pStyle w:val="Para 17"/>
                    <w:keepLines w:val="on"/>
                  </w:pPr>
                  <w:r>
                    <w:t/>
                  </w:r>
                </w:p>
              </w:tc>
              <w:tc>
                <w:tcPr>
                  <w:tcW w:type="auto" w:w="0"/>
                  <w:shd w:val="clear" w:color="auto" w:fill="F0F0F0"/>
                  <w:hMerge w:val="restart"/>
                </w:tcPr>
                <w:p>
                  <w:pPr>
                    <w:pStyle w:val="Para 17"/>
                    <w:keepLines w:val="on"/>
                  </w:pPr>
                  <w:r>
                    <w:t>Quyền chọn mua</w:t>
                  </w:r>
                </w:p>
              </w:tc>
              <w:tc>
                <w:tcPr>
                  <w:hMerge w:val="continue"/>
                </w:tcPr>
                <w:p/>
              </w:tc>
              <w:tc>
                <w:tcPr>
                  <w:tcW w:type="auto" w:w="0"/>
                  <w:shd w:val="clear" w:color="auto" w:fill="F0F0F0"/>
                </w:tcPr>
                <w:p>
                  <w:pPr>
                    <w:pStyle w:val="Para 17"/>
                    <w:keepLines w:val="on"/>
                  </w:pPr>
                  <w:r>
                    <w:t/>
                  </w:r>
                </w:p>
              </w:tc>
              <w:tc>
                <w:tcPr>
                  <w:tcW w:type="auto" w:w="0"/>
                  <w:shd w:val="clear" w:color="auto" w:fill="F0F0F0"/>
                  <w:hMerge w:val="restart"/>
                </w:tcPr>
                <w:p>
                  <w:pPr>
                    <w:pStyle w:val="Para 17"/>
                    <w:keepLines w:val="on"/>
                  </w:pPr>
                  <w:r>
                    <w:t>Quyền chọn bán</w:t>
                  </w:r>
                </w:p>
              </w:tc>
              <w:tc>
                <w:tcPr>
                  <w:hMerge w:val="continue"/>
                </w:tcPr>
                <w:p/>
              </w:tc>
            </w:tr>
            <w:tr>
              <w:tc>
                <w:tcPr>
                  <w:tcW w:type="auto" w:w="0"/>
                  <w:shd w:val="clear" w:color="auto" w:fill="F0F0F0"/>
                </w:tcPr>
                <w:p>
                  <w:pPr>
                    <w:pStyle w:val="Para 29"/>
                    <w:keepLines w:val="on"/>
                  </w:pPr>
                  <w:r>
                    <w:t>Giá thực hiện</w:t>
                  </w:r>
                </w:p>
              </w:tc>
              <w:tc>
                <w:tcPr>
                  <w:tcW w:type="auto" w:w="0"/>
                  <w:shd w:val="clear" w:color="auto" w:fill="F0F0F0"/>
                </w:tcPr>
                <w:p>
                  <w:pPr>
                    <w:pStyle w:val="Para 17"/>
                    <w:keepLines w:val="on"/>
                  </w:pPr>
                  <w:r>
                    <w:t>1 năm</w:t>
                  </w:r>
                </w:p>
              </w:tc>
              <w:tc>
                <w:tcPr>
                  <w:tcW w:type="auto" w:w="0"/>
                  <w:shd w:val="clear" w:color="auto" w:fill="F0F0F0"/>
                </w:tcPr>
                <w:p>
                  <w:pPr>
                    <w:pStyle w:val="Para 17"/>
                    <w:keepLines w:val="on"/>
                  </w:pPr>
                  <w:r>
                    <w:t>3 năm</w:t>
                  </w:r>
                </w:p>
              </w:tc>
              <w:tc>
                <w:tcPr>
                  <w:tcW w:type="auto" w:w="0"/>
                  <w:shd w:val="clear" w:color="auto" w:fill="F0F0F0"/>
                </w:tcPr>
                <w:p>
                  <w:pPr>
                    <w:pStyle w:val="Para 17"/>
                    <w:keepLines w:val="on"/>
                  </w:pPr>
                  <w:r>
                    <w:t/>
                  </w:r>
                </w:p>
              </w:tc>
              <w:tc>
                <w:tcPr>
                  <w:tcW w:type="auto" w:w="0"/>
                  <w:shd w:val="clear" w:color="auto" w:fill="F0F0F0"/>
                </w:tcPr>
                <w:p>
                  <w:pPr>
                    <w:pStyle w:val="Para 17"/>
                    <w:keepLines w:val="on"/>
                  </w:pPr>
                  <w:r>
                    <w:t>1 năm</w:t>
                  </w:r>
                </w:p>
              </w:tc>
              <w:tc>
                <w:tcPr>
                  <w:tcW w:type="auto" w:w="0"/>
                  <w:shd w:val="clear" w:color="auto" w:fill="F0F0F0"/>
                </w:tcPr>
                <w:p>
                  <w:pPr>
                    <w:pStyle w:val="Para 17"/>
                    <w:keepLines w:val="on"/>
                  </w:pPr>
                  <w:r>
                    <w:t>3 năm</w:t>
                  </w:r>
                </w:p>
              </w:tc>
            </w:tr>
            <w:tr>
              <w:tc>
                <w:tcPr>
                  <w:tcW w:type="auto" w:w="0"/>
                  <w:shd w:val="clear" w:color="auto" w:fill="F0F0F0"/>
                </w:tcPr>
                <w:p>
                  <w:pPr>
                    <w:pStyle w:val="Para 02"/>
                    <w:keepLines w:val="on"/>
                  </w:pPr>
                  <w:r>
                    <w:t>45</w:t>
                  </w:r>
                </w:p>
              </w:tc>
              <w:tc>
                <w:tcPr>
                  <w:tcW w:type="auto" w:w="0"/>
                  <w:shd w:val="clear" w:color="auto" w:fill="F0F0F0"/>
                </w:tcPr>
                <w:p>
                  <w:pPr>
                    <w:pStyle w:val="Normal"/>
                    <w:keepLines w:val="on"/>
                  </w:pPr>
                  <w:r>
                    <w:t>$8.69</w:t>
                  </w:r>
                </w:p>
              </w:tc>
              <w:tc>
                <w:tcPr>
                  <w:tcW w:type="auto" w:w="0"/>
                  <w:shd w:val="clear" w:color="auto" w:fill="F0F0F0"/>
                </w:tcPr>
                <w:p>
                  <w:pPr>
                    <w:pStyle w:val="Normal"/>
                    <w:keepLines w:val="on"/>
                  </w:pPr>
                  <w:r>
                    <w:t>$13.34</w:t>
                  </w:r>
                </w:p>
              </w:tc>
              <w:tc>
                <w:tcPr>
                  <w:tcW w:type="auto" w:w="0"/>
                  <w:shd w:val="clear" w:color="auto" w:fill="F0F0F0"/>
                </w:tcPr>
                <w:p>
                  <w:pPr>
                    <w:pStyle w:val="7 Block"/>
                    <w:keepLines w:val="on"/>
                  </w:pPr>
                </w:p>
              </w:tc>
              <w:tc>
                <w:tcPr>
                  <w:tcW w:type="auto" w:w="0"/>
                  <w:shd w:val="clear" w:color="auto" w:fill="F0F0F0"/>
                </w:tcPr>
                <w:p>
                  <w:pPr>
                    <w:pStyle w:val="Normal"/>
                    <w:keepLines w:val="on"/>
                  </w:pPr>
                  <w:r>
                    <w:t>$1.99</w:t>
                  </w:r>
                </w:p>
              </w:tc>
              <w:tc>
                <w:tcPr>
                  <w:tcW w:type="auto" w:w="0"/>
                  <w:shd w:val="clear" w:color="auto" w:fill="F0F0F0"/>
                </w:tcPr>
                <w:p>
                  <w:pPr>
                    <w:pStyle w:val="Normal"/>
                    <w:keepLines w:val="on"/>
                  </w:pPr>
                  <w:r>
                    <w:t>$3.55</w:t>
                  </w:r>
                </w:p>
              </w:tc>
            </w:tr>
            <w:tr>
              <w:tc>
                <w:tcPr>
                  <w:tcW w:type="auto" w:w="0"/>
                  <w:shd w:val="clear" w:color="auto" w:fill="F0F0F0"/>
                </w:tcPr>
                <w:p>
                  <w:pPr>
                    <w:pStyle w:val="Para 02"/>
                    <w:keepLines w:val="on"/>
                  </w:pPr>
                  <w:r>
                    <w:t>50</w:t>
                  </w:r>
                </w:p>
              </w:tc>
              <w:tc>
                <w:tcPr>
                  <w:tcW w:type="auto" w:w="0"/>
                  <w:shd w:val="clear" w:color="auto" w:fill="F0F0F0"/>
                </w:tcPr>
                <w:p>
                  <w:pPr>
                    <w:pStyle w:val="Normal"/>
                    <w:keepLines w:val="on"/>
                  </w:pPr>
                  <w:r>
                    <w:t>$5.86</w:t>
                  </w:r>
                </w:p>
              </w:tc>
              <w:tc>
                <w:tcPr>
                  <w:tcW w:type="auto" w:w="0"/>
                  <w:shd w:val="clear" w:color="auto" w:fill="F0F0F0"/>
                </w:tcPr>
                <w:p>
                  <w:pPr>
                    <w:pStyle w:val="Normal"/>
                    <w:keepLines w:val="on"/>
                  </w:pPr>
                  <w:r>
                    <w:t>$10.09</w:t>
                  </w:r>
                </w:p>
              </w:tc>
              <w:tc>
                <w:tcPr>
                  <w:tcW w:type="auto" w:w="0"/>
                  <w:shd w:val="clear" w:color="auto" w:fill="F0F0F0"/>
                </w:tcPr>
                <w:p>
                  <w:pPr>
                    <w:pStyle w:val="7 Block"/>
                    <w:keepLines w:val="on"/>
                  </w:pPr>
                </w:p>
              </w:tc>
              <w:tc>
                <w:tcPr>
                  <w:tcW w:type="auto" w:w="0"/>
                  <w:shd w:val="clear" w:color="auto" w:fill="F0F0F0"/>
                </w:tcPr>
                <w:p>
                  <w:pPr>
                    <w:pStyle w:val="Normal"/>
                    <w:keepLines w:val="on"/>
                  </w:pPr>
                  <w:r>
                    <w:t>$3.92</w:t>
                  </w:r>
                </w:p>
              </w:tc>
              <w:tc>
                <w:tcPr>
                  <w:tcW w:type="auto" w:w="0"/>
                  <w:shd w:val="clear" w:color="auto" w:fill="F0F0F0"/>
                </w:tcPr>
                <w:p>
                  <w:pPr>
                    <w:pStyle w:val="Normal"/>
                    <w:keepLines w:val="on"/>
                  </w:pPr>
                  <w:r>
                    <w:t>$5.40</w:t>
                  </w:r>
                </w:p>
              </w:tc>
            </w:tr>
            <w:tr>
              <w:tc>
                <w:tcPr>
                  <w:tcW w:type="auto" w:w="0"/>
                  <w:shd w:val="clear" w:color="auto" w:fill="F0F0F0"/>
                </w:tcPr>
                <w:p>
                  <w:pPr>
                    <w:pStyle w:val="Para 02"/>
                    <w:keepLines w:val="on"/>
                  </w:pPr>
                  <w:r>
                    <w:t>55</w:t>
                  </w:r>
                </w:p>
              </w:tc>
              <w:tc>
                <w:tcPr>
                  <w:tcW w:type="auto" w:w="0"/>
                  <w:shd w:val="clear" w:color="auto" w:fill="F0F0F0"/>
                </w:tcPr>
                <w:p>
                  <w:pPr>
                    <w:pStyle w:val="Normal"/>
                    <w:keepLines w:val="on"/>
                  </w:pPr>
                  <w:r>
                    <w:t>$3.78</w:t>
                  </w:r>
                </w:p>
              </w:tc>
              <w:tc>
                <w:tcPr>
                  <w:tcW w:type="auto" w:w="0"/>
                  <w:shd w:val="clear" w:color="auto" w:fill="F0F0F0"/>
                </w:tcPr>
                <w:p>
                  <w:pPr>
                    <w:pStyle w:val="Normal"/>
                    <w:keepLines w:val="on"/>
                  </w:pPr>
                  <w:r>
                    <w:t>$8.81</w:t>
                  </w:r>
                </w:p>
              </w:tc>
              <w:tc>
                <w:tcPr>
                  <w:tcW w:type="auto" w:w="0"/>
                  <w:shd w:val="clear" w:color="auto" w:fill="F0F0F0"/>
                </w:tcPr>
                <w:p>
                  <w:pPr>
                    <w:pStyle w:val="7 Block"/>
                    <w:keepLines w:val="on"/>
                  </w:pPr>
                </w:p>
              </w:tc>
              <w:tc>
                <w:tcPr>
                  <w:tcW w:type="auto" w:w="0"/>
                  <w:shd w:val="clear" w:color="auto" w:fill="F0F0F0"/>
                </w:tcPr>
                <w:p>
                  <w:pPr>
                    <w:pStyle w:val="Normal"/>
                    <w:keepLines w:val="on"/>
                  </w:pPr>
                  <w:r>
                    <w:t>$6,39</w:t>
                  </w:r>
                </w:p>
              </w:tc>
              <w:tc>
                <w:tcPr>
                  <w:tcW w:type="auto" w:w="0"/>
                  <w:shd w:val="clear" w:color="auto" w:fill="F0F0F0"/>
                </w:tcPr>
                <w:p>
                  <w:pPr>
                    <w:pStyle w:val="Normal"/>
                    <w:keepLines w:val="on"/>
                  </w:pPr>
                  <w:r>
                    <w:t>$7,63</w:t>
                  </w:r>
                </w:p>
              </w:tc>
            </w:tr>
            <w:tr>
              <w:tc>
                <w:tcPr>
                  <w:tcW w:type="auto" w:w="0"/>
                  <w:shd w:val="clear" w:color="auto" w:fill="F0F0F0"/>
                </w:tcPr>
                <w:p>
                  <w:pPr>
                    <w:pStyle w:val="Para 02"/>
                    <w:keepLines w:val="on"/>
                  </w:pPr>
                  <w:r>
                    <w:t>60</w:t>
                  </w:r>
                </w:p>
              </w:tc>
              <w:tc>
                <w:tcPr>
                  <w:tcW w:type="auto" w:w="0"/>
                  <w:shd w:val="clear" w:color="auto" w:fill="F0F0F0"/>
                </w:tcPr>
                <w:p>
                  <w:pPr>
                    <w:pStyle w:val="Normal"/>
                    <w:keepLines w:val="on"/>
                  </w:pPr>
                  <w:r>
                    <w:t>$2,35</w:t>
                  </w:r>
                </w:p>
              </w:tc>
              <w:tc>
                <w:tcPr>
                  <w:tcW w:type="auto" w:w="0"/>
                  <w:shd w:val="clear" w:color="auto" w:fill="F0F0F0"/>
                </w:tcPr>
                <w:p>
                  <w:pPr>
                    <w:pStyle w:val="Normal"/>
                    <w:keepLines w:val="on"/>
                  </w:pPr>
                  <w:r>
                    <w:t>$7,11</w:t>
                  </w:r>
                </w:p>
              </w:tc>
              <w:tc>
                <w:tcPr>
                  <w:tcW w:type="auto" w:w="0"/>
                  <w:shd w:val="clear" w:color="auto" w:fill="F0F0F0"/>
                </w:tcPr>
                <w:p>
                  <w:pPr>
                    <w:pStyle w:val="7 Block"/>
                    <w:keepLines w:val="on"/>
                  </w:pPr>
                </w:p>
              </w:tc>
              <w:tc>
                <w:tcPr>
                  <w:tcW w:type="auto" w:w="0"/>
                  <w:shd w:val="clear" w:color="auto" w:fill="F0F0F0"/>
                </w:tcPr>
                <w:p>
                  <w:pPr>
                    <w:pStyle w:val="Normal"/>
                    <w:keepLines w:val="on"/>
                  </w:pPr>
                  <w:r>
                    <w:t>$9,92</w:t>
                  </w:r>
                </w:p>
              </w:tc>
              <w:tc>
                <w:tcPr>
                  <w:tcW w:type="auto" w:w="0"/>
                  <w:shd w:val="clear" w:color="auto" w:fill="F0F0F0"/>
                </w:tcPr>
                <w:p>
                  <w:pPr>
                    <w:pStyle w:val="Normal"/>
                    <w:keepLines w:val="on"/>
                  </w:pPr>
                  <w:r>
                    <w:t>$10,23</w:t>
                  </w:r>
                </w:p>
              </w:tc>
            </w:tr>
          </w:tbl>
          <w:p/>
        </w:tc>
      </w:tr>
    </w:tbl>
    <w:p>
      <w:pPr>
        <w:pStyle w:val="Para 03"/>
      </w:pPr>
      <w:r>
        <w:t>Bạn sẵn sàng trả bao nhiêu cho chứng khoán này?</w:t>
      </w:r>
    </w:p>
    <w:p>
      <w:bookmarkStart w:id="787" w:name="Notes__1_Note__though__that_high"/>
      <w:bookmarkStart w:id="788" w:name="Notes_4"/>
      <w:pPr>
        <w:keepNext/>
        <w:pStyle w:val="Heading 2"/>
        <w:keepLines w:val="on"/>
      </w:pPr>
      <w:r>
        <w:t>Ghi chú</w:t>
      </w:r>
      <w:bookmarkEnd w:id="787"/>
      <w:bookmarkEnd w:id="788"/>
    </w:p>
    <w:p>
      <w:pPr>
        <w:pStyle w:val="Para 08"/>
      </w:pPr>
      <w:r>
        <w:t>1 Tuy nhiên, cần lưu ý rằng phương sai cao hơn có thể làm giảm giá trị của tài sản cơ sở. Khi một quyền chọn mua trở nên có lãi hơn (in-the-money), nó càng giống với tài sản cơ sở. Đối với những quyền chọn mua có lãi rất sâu (deep in-the-money), phương sai cao hơn có thể làm giảm giá trị của quyền chọn.</w:t>
      </w:r>
    </w:p>
    <w:p>
      <w:pPr>
        <w:pStyle w:val="Para 08"/>
      </w:pPr>
      <w:r>
        <w:t>2 Để minh họa, nếu σ2 là phương sai của ln(giá cổ phiếu), thì biến động tăng và giảm trong mô hình nhị thức (binomial) có thể được ước tính như sau:</w:t>
      </w:r>
    </w:p>
    <w:p>
      <w:bookmarkStart w:id="791" w:name="u_exp_r_____s2__Tm____s2_T_m"/>
      <w:pPr>
        <w:keepNext/>
        <w:pStyle w:val="Para 53"/>
        <w:keepLines w:val="on"/>
      </w:pPr>
      <w:r>
        <w:t>u=exp(r − σ2)(Tm) + σ2 T/m</w:t>
      </w:r>
      <w:bookmarkEnd w:id="791"/>
    </w:p>
    <w:p>
      <w:bookmarkStart w:id="792" w:name="d_exp_r_____s2__Tm______s2_T_m"/>
      <w:pPr>
        <w:keepNext/>
        <w:pStyle w:val="Para 53"/>
        <w:keepLines w:val="on"/>
      </w:pPr>
      <w:r>
        <w:t>d=exp(r − σ2)(Tm) − σ2 T/m</w:t>
      </w:r>
      <w:bookmarkEnd w:id="792"/>
    </w:p>
    <w:p>
      <w:pPr>
        <w:pStyle w:val="Para 03"/>
      </w:pPr>
      <w:r>
        <w:t>trong đó u và d là biến động tăng và giảm trên mỗi đơn vị thời gian của mô hình nhị thức, T là thời gian sống của quyền chọn, và m là số kỳ trong khoảng thời gian đó.</w:t>
      </w:r>
    </w:p>
    <w:p>
      <w:pPr>
        <w:pStyle w:val="Para 08"/>
      </w:pPr>
      <w:r>
        <w:t>3 Chứng quyền (warrants) là quyền chọn mua do các công ty phát hành, hoặc như một phần của hợp đồng thù lao quản lý, hoặc để huy động vốn cổ phần.</w:t>
      </w:r>
    </w:p>
    <w:p>
      <w:pPr>
        <w:pStyle w:val="Para 08"/>
      </w:pPr>
      <w:r>
        <w:t>4 Sự tương tự với một quyền chọn niêm yết trên cổ phiếu là trường hợp bạn không biết chắc chắn giá cổ phiếu là bao nhiêu khi bạn thực hiện quyền chọn. Bạn càng không chắc chắn về giá cổ phiếu, thì bạn càng phải cho mình nhiều biên độ sai số hơn khi thực hiện quyền chọn, để đảm bảo rằng bạn thực sự kiếm được lợi nhuận.</w:t>
      </w:r>
    </w:p>
    <w:p>
      <w:bookmarkStart w:id="795" w:name="Top_of_c06_xhtml"/>
      <w:bookmarkStart w:id="796" w:name="Chapter_6Market_Efficiency__Defi_1"/>
      <w:bookmarkStart w:id="797" w:name="Chapter_6Market_Efficiency__Defi"/>
      <w:pPr>
        <w:keepNext/>
        <w:pStyle w:val="Heading 1"/>
        <w:pageBreakBefore w:val="on"/>
        <w:keepLines w:val="on"/>
      </w:pPr>
      <w:r>
        <w:t>CHƯƠNG 6</w:t>
      </w:r>
      <w:r>
        <w:br/>
      </w:r>
      <w:r>
        <w:t>Hiệu quả thị trường—Định nghĩa, Kiểm định và Bằng chứng</w:t>
      </w:r>
      <w:bookmarkEnd w:id="795"/>
      <w:bookmarkEnd w:id="796"/>
      <w:bookmarkEnd w:id="797"/>
    </w:p>
    <w:p>
      <w:pPr>
        <w:pStyle w:val="Para 03"/>
      </w:pPr>
      <w:r>
        <w:t>Thị trường hiệu quả là gì? Nó hàm ý điều gì đối với các mô hình đầu tư và định giá? Rõ ràng, hiệu quả thị trường là một khái niệm gây tranh cãi và thu hút những quan điểm mạnh mẽ, cả ủng hộ lẫn phản đối, một phần vì sự khác biệt giữa các cá nhân về ý nghĩa thực sự của nó, và một phần vì việc thị trường có hiệu quả hay không là một niềm tin cốt lõi mà phần lớn quyết định cách một nhà đầu tư tiếp cận việc đầu tư. Chương này đưa ra định nghĩa về hiệu quả thị trường, xem xét những hàm ý của một thị trường hiệu quả đối với nhà đầu tư, và tóm tắt một số phương pháp cơ bản được sử dụng để kiểm định các kế hoạch đầu tư, qua đó chứng minh hoặc bác bỏ hiệu quả thị trường. Chương này cũng cung cấp bản tóm tắt về khối lượng nghiên cứu đồ sộ liên quan đến việc liệu thị trường có hiệu quả hay không.</w:t>
      </w:r>
    </w:p>
    <w:p>
      <w:bookmarkStart w:id="799" w:name="Market_Efficiency_and_Investment_1"/>
      <w:bookmarkStart w:id="800" w:name="Market_Efficiency_and_Investment"/>
      <w:pPr>
        <w:keepNext/>
        <w:pStyle w:val="Heading 2"/>
        <w:keepLines w:val="on"/>
      </w:pPr>
      <w:r>
        <w:t>Hiệu quả thị trường và Định giá đầu tư</w:t>
      </w:r>
      <w:bookmarkEnd w:id="799"/>
      <w:bookmarkEnd w:id="800"/>
    </w:p>
    <w:p>
      <w:pPr>
        <w:pStyle w:val="Para 03"/>
      </w:pPr>
      <w:r>
        <w:t>Câu hỏi liệu thị trường có hiệu quả hay không, và nếu không, thì những điểm kém hiệu quả nằm ở đâu, là vấn đề trọng tâm của định giá đầu tư. Nếu thị trường thực sự hiệu quả, giá thị trường cung cấp ước tính tốt nhất về giá trị, và quá trình định giá trở thành việc biện minh cho giá thị trường. Nếu thị trường không hiệu quả, giá thị trường có thể lệch khỏi giá trị thực, và quá trình định giá hướng đến việc đưa ra một ước tính hợp lý về giá trị này. Những người định giá giỏi, khi đó, sẽ có thể tạo ra lợi nhuận cao hơn các nhà đầu tư khác nhờ khả năng phát hiện các công ty bị định giá thấp và định giá cao. Tuy nhiên, để tạo ra những lợi nhuận cao hơn này, thị trường phải sửa chữa những sai lầm của mình (tức là trở nên hiệu quả) theo thời gian. Việc những sự điều chỉnh này xảy ra trong sáu tháng hay năm năm có thể có tác động sâu sắc đến việc nhà đầu tư chọn phương pháp định giá nào và khung thời gian cần thiết để nó thành công.</w:t>
      </w:r>
    </w:p>
    <w:p>
      <w:pPr>
        <w:pStyle w:val="Para 03"/>
      </w:pPr>
      <w:r>
        <w:t>Cũng có rất nhiều điều có thể học được từ các nghiên cứu về hiệu quả thị trường, những nghiên cứu này làm nổi bật các phân khúc mà thị trường dường như kém hiệu quả. Những điểm kém hiệu quả này có thể cung cấp cơ sở để sàng lọc tất cả cổ phiếu nhằm tạo ra một mẫu phụ (subsample) có nhiều khả năng chứa các cổ phiếu bị định giá thấp hơn. Với quy mô của vũ trụ cổ phiếu, điều này không chỉ tiết kiệm thời gian cho nhà phân tích, mà còn làm tăng đáng kể khả năng tìm thấy các cổ phiếu bị định giá thấp và định giá cao. Ví dụ, một số nghiên cứu về hiệu quả cho thấy rằng những cổ phiếu bị các nhà đầu tư tổ chức bỏ qua có nhiều khả năng bị định giá thấp hơn và mang lại lợi nhuận vượt trội. Một chiến lược sàng lọc các công ty có mức đầu tư tổ chức thấp (tính theo tỷ lệ phần trăm cổ phiếu đang lưu hành) có thể tạo ra một mẫu phụ gồm các công ty bị bỏ qua, sau đó có thể được định giá để tạo ra một danh mục gồm các công ty bị định giá thấp. Nếu nghiên cứu là đúng, khả năng tìm thấy các công ty bị định giá thấp sẽ tăng lên trong mẫu phụ này.</w:t>
      </w:r>
    </w:p>
    <w:p>
      <w:pPr>
        <w:pStyle w:val="Para 20"/>
      </w:pPr>
      <w:r>
        <w:rPr>
          <w:rStyle w:val="Text26"/>
        </w:rPr>
        <w:bookmarkStart w:id="801" w:name="Page_114"/>
        <w:t/>
        <w:bookmarkEnd w:id="801"/>
      </w:r>
      <w:r>
        <w:t xml:space="preserve"> </w:t>
      </w:r>
    </w:p>
    <w:p>
      <w:bookmarkStart w:id="802" w:name="What_Is_an_Efficient_Market"/>
      <w:bookmarkStart w:id="803" w:name="What_Is_an_Efficient_Market___An"/>
      <w:pPr>
        <w:keepNext/>
        <w:pStyle w:val="Heading 2"/>
        <w:keepLines w:val="on"/>
      </w:pPr>
      <w:r>
        <w:t>Thị trường hiệu quả là gì?</w:t>
      </w:r>
      <w:bookmarkEnd w:id="802"/>
      <w:bookmarkEnd w:id="803"/>
    </w:p>
    <w:p>
      <w:pPr>
        <w:pStyle w:val="Para 03"/>
      </w:pPr>
      <w:r>
        <w:t>Một thị trường hiệu quả là thị trường mà giá thị trường là một ước tính không thiên lệch (unbiased) về giá trị thực của khoản đầu tư. Hàm ý trong định nghĩa này là một số khái niệm then chốt:</w:t>
      </w:r>
    </w:p>
    <w:p>
      <w:pPr>
        <w:numPr>
          <w:ilvl w:val="0"/>
          <w:numId w:val="29"/>
        </w:numPr>
        <w:pStyle w:val="Para 01"/>
      </w:pPr>
      <w:r>
        <w:t>Trái với quan điểm phổ biến, hiệu quả thị trường không đòi hỏi rằng giá thị trường phải bằng giá trị thực tại mọi thời điểm. Tất cả những gì nó đòi hỏi là các sai số trong giá thị trường phải không thiên lệch; giá có thể cao hơn hoặc thấp hơn giá trị thực, miễn là những sai lệch này là ngẫu nhiên.</w:t>
      </w:r>
    </w:p>
    <w:p>
      <w:pPr>
        <w:numPr>
          <w:ilvl w:val="0"/>
          <w:numId w:val="29"/>
        </w:numPr>
        <w:pStyle w:val="Para 01"/>
      </w:pPr>
      <w:r>
        <w:t>Việc các sai lệch so với giá trị thực là ngẫu nhiên hàm ý, theo một nghĩa đại khái, rằng có cơ hội ngang nhau để bất kỳ cổ phiếu nào bị định giá thấp hoặc định giá cao tại bất kỳ thời điểm nào, và rằng những sai lệch này không tương quan với bất kỳ biến quan sát được nào. Ví dụ, trong một thị trường hiệu quả, các cổ phiếu có tỷ lệ PE thấp hơn không nên có nhiều hơn hay ít hơn khả năng bị định giá thấp so với các cổ phiếu có tỷ lệ PE cao.</w:t>
      </w:r>
    </w:p>
    <w:p>
      <w:pPr>
        <w:numPr>
          <w:ilvl w:val="0"/>
          <w:numId w:val="29"/>
        </w:numPr>
        <w:pStyle w:val="Para 01"/>
      </w:pPr>
      <w:r>
        <w:t>Nếu những sai lệch giữa giá thị trường và giá trị thực là ngẫu nhiên, thì suy ra rằng không một nhóm nhà đầu tư nào có thể liên tục tìm ra được những cổ phiếu bị định giá thấp hay định giá cao bằng bất kỳ chiến lược đầu tư nào.</w:t>
      </w:r>
    </w:p>
    <w:p>
      <w:pPr>
        <w:pStyle w:val="Para 03"/>
      </w:pPr>
      <w:r>
        <w:t>Các định nghĩa về hiệu quả thị trường phải cụ thể không chỉ về thị trường đang được xem xét mà còn về nhóm nhà đầu tư được đề cập. Rất khó có khả năng tất cả các thị trường đều hiệu quả đối với mọi nhà đầu tư ở mọi thời điểm, nhưng hoàn toàn có thể rằng một thị trường cụ thể nào đó (ví dụ như Sở Giao dịch Chứng khoán New York) là hiệu quả đối với nhà đầu tư trung bình. Cũng có thể một số thị trường hiệu quả trong khi những thị trường khác thì không, và một thị trường hiệu quả đối với một số nhà đầu tư nhưng không hiệu quả đối với những người khác. Đây là hệ quả trực tiếp của việc thuế suất và chi phí giao dịch khác nhau, tạo ra lợi thế cho một số nhà đầu tư so với những người khác.</w:t>
      </w:r>
    </w:p>
    <w:p>
      <w:pPr>
        <w:pStyle w:val="Para 03"/>
      </w:pPr>
      <w:r>
        <w:t>Các định nghĩa về hiệu quả thị trường cũng gắn liền với những giả định về việc thông tin nào có sẵn cho nhà đầu tư và được phản ánh vào giá. Ví dụ, một định nghĩa chặt chẽ về hiệu quả thị trường giả định rằng mọi thông tin, cả công khai lẫn riêng tư, đều được phản ánh vào giá thị trường sẽ ngụ ý rằng ngay cả những nhà đầu tư có thông tin nội bộ chính xác cũng sẽ không thể đánh bại thị trường. Fama (1970) đã đưa ra một trong những phân loại sớm nhất về hiệu quả thị trường, khi ông lập luận rằng thị trường có thể hiệu quả ở ba cấp độ, dựa trên thông tin nào được phản ánh vào giá. Theo dạng hiệu quả yếu (weak form efficiency), giá hiện tại phản ánh thông tin chứa trong tất cả các mức giá trong quá khứ, hàm ý rằng các biểu đồ và phân tích kỹ thuật chỉ dùng giá trong quá khứ sẽ không hữu ích trong việc tìm ra cổ phiếu bị định giá thấp. Theo dạng hiệu quả trung bình (semi-strong form efficiency), giá hiện tại phản ánh thông tin chứa không chỉ trong giá quá khứ mà cả mọi thông tin công khai (bao gồm báo cáo tài chính và bản tin), và không có cách tiếp cận nào dựa trên việc sử dụng và xử lý thông tin này lại hữu ích trong việc tìm ra cổ phiếu bị định giá thấp. Theo dạng hiệu quả mạnh (strong form efficiency), giá hiện tại phản ánh mọi thông tin, cả công khai lẫn riêng tư, và không nhà đầu tư nào có thể tìm ra cổ phiếu bị định giá thấp một cách liên tục.</w:t>
      </w:r>
    </w:p>
    <w:p>
      <w:bookmarkStart w:id="804" w:name="Implications_of_Market_Efficienc_1"/>
      <w:bookmarkStart w:id="805" w:name="Implications_of_Market_Efficienc"/>
      <w:pPr>
        <w:keepNext/>
        <w:pStyle w:val="Heading 3"/>
        <w:keepLines w:val="on"/>
      </w:pPr>
      <w:r>
        <w:t>Hàm ý của Hiệu quả Thị trường</w:t>
      </w:r>
      <w:bookmarkEnd w:id="804"/>
      <w:bookmarkEnd w:id="805"/>
    </w:p>
    <w:p>
      <w:pPr>
        <w:pStyle w:val="Para 03"/>
      </w:pPr>
      <w:r>
        <w:t>Một hàm ý tức thời và trực tiếp của một thị trường hiệu quả là không một nhóm nhà đầu tư nào có thể liên tục đánh bại thị trường bằng một chiến lược đầu tư thông thường. Một thị trường hiệu quả cũng mang lại những hàm ý tiêu cực cho nhiều chiến lược đầu tư:</w:t>
      </w:r>
    </w:p>
    <w:p>
      <w:pPr>
        <w:pStyle w:val="Para 20"/>
      </w:pPr>
      <w:r>
        <w:rPr>
          <w:rStyle w:val="Text26"/>
        </w:rPr>
        <w:bookmarkStart w:id="806" w:name="Page_115"/>
        <w:t/>
        <w:bookmarkEnd w:id="806"/>
      </w:r>
      <w:r>
        <w:t xml:space="preserve"> </w:t>
      </w:r>
    </w:p>
    <w:p>
      <w:pPr>
        <w:numPr>
          <w:ilvl w:val="0"/>
          <w:numId w:val="30"/>
        </w:numPr>
        <w:pStyle w:val="Para 01"/>
      </w:pPr>
      <w:r>
        <w:t>Trong một thị trường hiệu quả, việc nghiên cứu và định giá cổ phiếu sẽ là một công việc tốn kém mà không mang lại lợi ích gì. Khả năng tìm ra một cổ phiếu bị định giá thấp sẽ luôn là 50–50, phản ánh tính ngẫu nhiên của những sai lệch trong định giá. Trong trường hợp tốt nhất, lợi ích từ việc thu thập thông tin và nghiên cứu cổ phiếu sẽ chỉ vừa đủ bù đắp chi phí nghiên cứu. Trong trường hợp xấu nhất, chi phí sẽ là gánh nặng vô ích, và lợi nhuận từ đầu tư chủ động sẽ thấp hơn thị trường đúng bằng khoản chi phí đó.</w:t>
      </w:r>
    </w:p>
    <w:p>
      <w:pPr>
        <w:numPr>
          <w:ilvl w:val="0"/>
          <w:numId w:val="30"/>
        </w:numPr>
        <w:pStyle w:val="Para 01"/>
      </w:pPr>
      <w:r>
        <w:t>Trong một thị trường hiệu quả, một chiến lược đa dạng hóa ngẫu nhiên qua các cổ phiếu hoặc đầu tư theo chỉ số thị trường, với chi phí thông tin ít hoặc không có và chi phí thực hiện tối thiểu, sẽ vượt trội hơn bất kỳ chiến lược nào khác tạo ra chi phí thông tin và chi phí thực hiện lớn hơn. Sẽ không có giá trị gia tăng nào từ các nhà quản lý danh mục chủ động và các chiến lược gia đầu tư.</w:t>
      </w:r>
    </w:p>
    <w:p>
      <w:pPr>
        <w:numPr>
          <w:ilvl w:val="0"/>
          <w:numId w:val="30"/>
        </w:numPr>
        <w:pStyle w:val="Para 01"/>
      </w:pPr>
      <w:r>
        <w:t>Trong một thị trường hiệu quả, một chiến lược giảm thiểu giao dịch (tức là tạo một danh mục và không giao dịch trừ khi cần tiền mặt) sẽ vượt trội hơn một chiến lược đòi hỏi giao dịch thường xuyên.</w:t>
      </w:r>
    </w:p>
    <w:p>
      <w:pPr>
        <w:pStyle w:val="Para 03"/>
      </w:pPr>
      <w:r>
        <w:t>Vì vậy không có gì lạ khi khái niệm hiệu quả thị trường gợi lên những phản ứng mạnh mẽ từ phía các nhà quản lý danh mục và nhà phân tích, những người nhìn nhận nó, một cách hoàn toàn đúng đắn, như một thách thức đối với sự tồn tại của chính họ.</w:t>
      </w:r>
    </w:p>
    <w:p>
      <w:pPr>
        <w:pStyle w:val="Para 03"/>
      </w:pPr>
      <w:r>
        <w:t>Cũng quan trọng là phải rõ ràng về những gì hiệu quả thị trường không hàm ý. Một thị trường hiệu quả không hàm ý rằng:</w:t>
      </w:r>
    </w:p>
    <w:p>
      <w:pPr>
        <w:numPr>
          <w:ilvl w:val="0"/>
          <w:numId w:val="31"/>
        </w:numPr>
        <w:pStyle w:val="Para 01"/>
      </w:pPr>
      <w:r>
        <w:t>Giá cổ phiếu không thể sai lệch khỏi giá trị thực; trên thực tế, có thể có những sai lệch lớn so với giá trị thực. Yêu cầu duy nhất là những sai lệch đó phải ngẫu nhiên.</w:t>
      </w:r>
    </w:p>
    <w:p>
      <w:pPr>
        <w:numPr>
          <w:ilvl w:val="0"/>
          <w:numId w:val="31"/>
        </w:numPr>
        <w:pStyle w:val="Para 01"/>
      </w:pPr>
      <w:r>
        <w:t>Không nhà đầu tư nào sẽ đánh bại thị trường trong bất kỳ giai đoạn nào. Ngược lại, khoảng một nửa số nhà đầu tư, trước khi trừ chi phí giao dịch, lẽ ra phải đánh bại thị trường trong bất kỳ giai đoạn nào.1</w:t>
      </w:r>
    </w:p>
    <w:p>
      <w:pPr>
        <w:numPr>
          <w:ilvl w:val="0"/>
          <w:numId w:val="31"/>
        </w:numPr>
        <w:pStyle w:val="Para 01"/>
      </w:pPr>
      <w:r>
        <w:t>Không một nhóm nhà đầu tư nào, có những điểm chung, sẽ đánh bại thị trường trong dài hạn. Với số lượng nhà đầu tư trên các thị trường tài chính, các quy luật xác suất sẽ gợi ý rằng một số lượng khá lớn sẽ liên tục đánh bại thị trường trong những giai đoạn dài, không phải vì chiến lược đầu tư của họ mà vì họ may mắn. Tuy nhiên, sẽ không nhất quán nếu một số lượng lớn bất thường trong số những nhà đầu tư này lại sử dụng cùng một chiến lược đầu tư.2</w:t>
      </w:r>
    </w:p>
    <w:p>
      <w:pPr>
        <w:pStyle w:val="Para 03"/>
      </w:pPr>
      <w:r>
        <w:t>Trong một thị trường hiệu quả, lợi nhuận kỳ vọng từ bất kỳ khoản đầu tư nào sẽ nhất quán với rủi ro của khoản đầu tư đó trong dài hạn, mặc dù có thể có những sai lệch so với lợi nhuận kỳ vọng này trong ngắn hạn.</w:t>
      </w:r>
    </w:p>
    <w:p>
      <w:pPr>
        <w:pStyle w:val="Para 20"/>
      </w:pPr>
      <w:r>
        <w:rPr>
          <w:rStyle w:val="Text26"/>
        </w:rPr>
        <w:bookmarkStart w:id="809" w:name="Page_116"/>
        <w:t/>
        <w:bookmarkEnd w:id="809"/>
      </w:r>
      <w:r>
        <w:t xml:space="preserve"> </w:t>
      </w:r>
    </w:p>
    <w:p>
      <w:bookmarkStart w:id="810" w:name="Necessary_Conditions_for_Market"/>
      <w:bookmarkStart w:id="811" w:name="Necessary_Conditions_for_Market_1"/>
      <w:pPr>
        <w:keepNext/>
        <w:pStyle w:val="Heading 3"/>
        <w:keepLines w:val="on"/>
      </w:pPr>
      <w:r>
        <w:t>Các Điều kiện Cần thiết cho Hiệu quả Thị trường</w:t>
      </w:r>
      <w:bookmarkEnd w:id="810"/>
      <w:bookmarkEnd w:id="811"/>
    </w:p>
    <w:p>
      <w:pPr>
        <w:pStyle w:val="Para 03"/>
      </w:pPr>
      <w:r>
        <w:t>Thị trường không tự động trở nên hiệu quả. Chính hành động của các nhà đầu tư, cảm nhận được những món hời và triển khai các kế hoạch để đánh bại thị trường, mới khiến thị trường trở nên hiệu quả. Các điều kiện cần thiết để một sự kém hiệu quả của thị trường bị loại bỏ là:</w:t>
      </w:r>
    </w:p>
    <w:p>
      <w:pPr>
        <w:numPr>
          <w:ilvl w:val="0"/>
          <w:numId w:val="32"/>
        </w:numPr>
        <w:pStyle w:val="Para 01"/>
      </w:pPr>
      <w:r>
        <w:t>Sự kém hiệu quả của thị trường phải tạo cơ sở cho một kế hoạch đánh bại thị trường và kiếm được lợi nhuận vượt trội. Để điều này đúng thì:</w:t>
      </w:r>
    </w:p>
    <w:p>
      <w:pPr>
        <w:numPr>
          <w:ilvl w:val="1"/>
          <w:numId w:val="32"/>
        </w:numPr>
        <w:pStyle w:val="Para 01"/>
      </w:pPr>
      <w:r>
        <w:t>Tài sản hoặc các tài sản là nguồn gốc của sự kém hiệu quả phải được giao dịch.</w:t>
      </w:r>
    </w:p>
    <w:p>
      <w:pPr>
        <w:numPr>
          <w:ilvl w:val="1"/>
          <w:numId w:val="32"/>
        </w:numPr>
        <w:pStyle w:val="Para 01"/>
      </w:pPr>
      <w:r>
        <w:t>Chi phí giao dịch để thực hiện kế hoạch phải nhỏ hơn lợi nhuận kỳ vọng từ kế hoạch đó.</w:t>
      </w:r>
    </w:p>
    <w:p>
      <w:pPr>
        <w:numPr>
          <w:ilvl w:val="0"/>
          <w:numId w:val="32"/>
        </w:numPr>
        <w:pStyle w:val="Para 01"/>
      </w:pPr>
      <w:r>
        <w:t>Phải có những nhà đầu tư tối đa hóa lợi nhuận, những người:</w:t>
      </w:r>
    </w:p>
    <w:p>
      <w:pPr>
        <w:numPr>
          <w:ilvl w:val="1"/>
          <w:numId w:val="32"/>
        </w:numPr>
        <w:pStyle w:val="Para 01"/>
      </w:pPr>
      <w:r>
        <w:t>Nhận ra tiềm năng lợi nhuận vượt trội.</w:t>
      </w:r>
    </w:p>
    <w:p>
      <w:pPr>
        <w:numPr>
          <w:ilvl w:val="1"/>
          <w:numId w:val="32"/>
        </w:numPr>
        <w:pStyle w:val="Para 01"/>
      </w:pPr>
      <w:r>
        <w:t>Có thể tái tạo kế hoạch đánh bại thị trường để kiếm được lợi nhuận vượt trội.</w:t>
      </w:r>
    </w:p>
    <w:p>
      <w:pPr>
        <w:numPr>
          <w:ilvl w:val="1"/>
          <w:numId w:val="32"/>
        </w:numPr>
        <w:pStyle w:val="Para 01"/>
      </w:pPr>
      <w:r>
        <w:t>Có nguồn lực để giao dịch cổ phiếu cho đến khi sự kém hiệu quả biến mất.</w:t>
      </w:r>
    </w:p>
    <w:p>
      <w:pPr>
        <w:pStyle w:val="Para 03"/>
      </w:pPr>
      <w:r>
        <w:t>Mâu thuẫn nội tại của việc khẳng định rằng không có khả năng đánh bại thị trường trong một thị trường hiệu quả, đồng thời lại đòi hỏi những nhà đầu tư tối đa hóa lợi nhuận phải không ngừng tìm cách đánh bại thị trường, và do đó khiến nó trở nên hiệu quả, đã được nhiều người khám phá. Nếu thị trường thực sự hiệu quả, các nhà đầu tư sẽ ngừng tìm kiếm những sự kém hiệu quả, điều này sẽ khiến thị trường trở nên kém hiệu quả trở lại. Thật hợp lý khi nghĩ về một thị trường hiệu quả như một cơ chế tự điều chỉnh, nơi những sự kém hiệu quả xuất hiện đều đặn nhưng biến mất gần như tức thời khi các nhà đầu tư phát hiện ra chúng và giao dịch dựa trên chúng. Nói cách khác, một thị trường hiệu quả không phải là một trạng thái ổn định mà là một trạng thái tạm thời.</w:t>
      </w:r>
    </w:p>
    <w:p>
      <w:bookmarkStart w:id="812" w:name="Propositions_About_Market_Effici"/>
      <w:bookmarkStart w:id="813" w:name="Propositions_About_Market_Effici_1"/>
      <w:pPr>
        <w:keepNext/>
        <w:pStyle w:val="Heading 3"/>
        <w:keepLines w:val="on"/>
      </w:pPr>
      <w:r>
        <w:t>Các Mệnh đề về Hiệu quả Thị trường</w:t>
      </w:r>
      <w:bookmarkEnd w:id="812"/>
      <w:bookmarkEnd w:id="813"/>
    </w:p>
    <w:p>
      <w:pPr>
        <w:pStyle w:val="Para 03"/>
      </w:pPr>
      <w:r>
        <w:t>Đọc các điều kiện khiến thị trường trở nên hiệu quả sẽ dẫn đến những nhận định tổng quát về nơi mà nhà đầu tư dễ tìm thấy sự kém hiệu quả nhất trên thị trường tài chính.</w:t>
      </w:r>
    </w:p>
    <w:p>
      <w:pPr>
        <w:pStyle w:val="Para 03"/>
      </w:pPr>
      <w:r>
        <w:t>Nhận định 1: Xác suất tìm thấy sự kém hiệu quả trên một thị trường tài sản sẽ giảm khi việc giao dịch tài sản đó trở nên dễ dàng hơn. Khi nhà đầu tư gặp khó khăn trong việc giao dịch một tài sản — dù vì không có thị trường mở hoặc vì có những rào cản đáng kể đối với giao dịch — thì sự kém hiệu quả trong định giá có thể tiếp diễn trong thời gian dài.</w:t>
      </w:r>
    </w:p>
    <w:p>
      <w:pPr>
        <w:pStyle w:val="Para 03"/>
      </w:pPr>
      <w:r>
        <w:t>Nhận định này có thể được dùng để làm sáng tỏ sự khác biệt giữa các thị trường tài sản khác nhau. Chẳng hạn, giao dịch cổ phiếu dễ dàng hơn nhiều so với giao dịch bất động sản, vì thị trường cổ phiếu mở hơn nhiều, giá được chia thành đơn vị nhỏ hơn (giảm rào cản gia nhập đối với nhà giao dịch mới), và bản thân tài sản không thay đổi qua từng giao dịch (ví dụ, một cổ phiếu IBM giống hệt một cổ phiếu IBM khác, trong khi một mảnh bất động sản có thể rất khác so với một mảnh khác chỉ cách đó một quãng ngắn). Dựa trên những khác biệt này, khả năng tìm thấy sự kém hiệu quả (cả định giá thấp lẫn định giá cao) trên thị trường bất động sản sẽ cao hơn.</w:t>
      </w:r>
    </w:p>
    <w:p>
      <w:pPr>
        <w:pStyle w:val="Para 03"/>
      </w:pPr>
      <w:r>
        <w:t>Nhận định 2: Xác suất tìm thấy sự kém hiệu quả trên một thị trường tài sản sẽ tăng khi chi phí giao dịch và chi phí thông tin để khai thác sự kém hiệu quả đó tăng lên. Chi phí thu thập thông tin và giao dịch biến động rất rộng giữa các thị trường, và thậm chí giữa các khoản đầu tư trong cùng một thị trường. Khi những chi phí này tăng lên, việc cố gắng khai thác sự kém hiệu quả ngày càng ít mang lại lợi ích.</w:t>
      </w:r>
    </w:p>
    <w:p>
      <w:pPr>
        <w:pStyle w:val="Para 20"/>
      </w:pPr>
      <w:r>
        <w:rPr>
          <w:rStyle w:val="Text26"/>
        </w:rPr>
        <w:bookmarkStart w:id="814" w:name="Page_117"/>
        <w:t/>
        <w:bookmarkEnd w:id="814"/>
      </w:r>
      <w:r>
        <w:t xml:space="preserve"> </w:t>
      </w:r>
    </w:p>
    <w:p>
      <w:pPr>
        <w:pStyle w:val="Para 03"/>
      </w:pPr>
      <w:r>
        <w:t>Lấy ví dụ, hãy xem xét quan điểm được nhiều người cho là đúng rằng đầu tư vào cổ phiếu "kẻ thua cuộc" (tức là những cổ phiếu đã hoạt động rất tệ trong một giai đoạn trước đó) sẽ mang lại lợi nhuận vượt trội. Điều này có thể đúng nếu xét theo lợi nhuận thô, nhưng chi phí giao dịch đối với những cổ phiếu này có khả năng cao hơn nhiều vì:</w:t>
      </w:r>
    </w:p>
    <w:p>
      <w:pPr>
        <w:numPr>
          <w:ilvl w:val="0"/>
          <w:numId w:val="33"/>
        </w:numPr>
        <w:pStyle w:val="Para 01"/>
      </w:pPr>
      <w:r>
        <w:t>Chúng thường là cổ phiếu giá thấp, dẫn đến phí và chi phí môi giới cao hơn.</w:t>
      </w:r>
    </w:p>
    <w:p>
      <w:pPr>
        <w:numPr>
          <w:ilvl w:val="0"/>
          <w:numId w:val="33"/>
        </w:numPr>
        <w:pStyle w:val="Para 01"/>
      </w:pPr>
      <w:r>
        <w:t>Chênh lệch giá mua–giá bán (bid-ask spread), một loại chi phí giao dịch phải trả tại thời điểm mua, chiếm tỷ lệ phần trăm cao hơn nhiều trong tổng giá phải trả.</w:t>
      </w:r>
    </w:p>
    <w:p>
      <w:pPr>
        <w:numPr>
          <w:ilvl w:val="0"/>
          <w:numId w:val="33"/>
        </w:numPr>
        <w:pStyle w:val="Para 01"/>
      </w:pPr>
      <w:r>
        <w:t>Giao dịch trên những cổ phiếu này thường thưa thớt, và những lệnh nhỏ cũng có thể khiến giá thay đổi, dẫn đến giá mua cao hơn hoặc giá bán thấp hơn.</w:t>
      </w:r>
    </w:p>
    <w:p>
      <w:pPr>
        <w:pStyle w:val="Para 03"/>
      </w:pPr>
      <w:r>
        <w:t>Hệ quả 1: Những nhà đầu tư có thể tạo ra lợi thế về chi phí (dù trong việc thu thập thông tin hay trong chi phí giao dịch) sẽ có khả năng khai thác những sự kém hiệu quả nhỏ tốt hơn những nhà đầu tư khác không có lợi thế này.</w:t>
      </w:r>
    </w:p>
    <w:p>
      <w:pPr>
        <w:pStyle w:val="Para 03"/>
      </w:pPr>
      <w:r>
        <w:t>Có một số nghiên cứu xem xét tác động của các giao dịch khối lớn (block trades) lên giá và kết luận rằng mặc dù giao dịch khối lớn có ảnh hưởng đến giá, nhà đầu tư sẽ không khai thác những sự kém hiệu quả này vì số lần họ phải giao dịch và chi phí giao dịch đi kèm. Những lo ngại này khó có thể đúng đối với một chuyên gia giao dịch (specialist) trên sàn giao dịch, người có thể giao dịch nhanh chóng, thường xuyên và với chi phí bằng không hoặc rất thấp. Tuy nhiên, cần lưu ý rằng nếu thị trường dành cho các chuyên gia giao dịch là hiệu quả, thì giá trị của một ghế trên sàn giao dịch phải phản ánh giá trị hiện tại của những lợi ích tiềm năng từ việc trở thành chuyên gia giao dịch.</w:t>
      </w:r>
    </w:p>
    <w:p>
      <w:pPr>
        <w:pStyle w:val="Para 03"/>
      </w:pPr>
      <w:r>
        <w:t>Hệ quả này cũng gợi ý rằng những nhà đầu tư chịu khó xây dựng lợi thế về chi phí, đặc biệt là liên quan đến thông tin, có thể tạo ra lợi nhuận vượt trội dựa trên những lợi thế đó. Vì vậy, John Templeton, người bắt đầu đầu tư vào thị trường Nhật Bản và các thị trường châu Á khác sớm hơn nhiều so với các nhà quản lý danh mục khác, có thể đã khai thác được lợi thế thông tin mà mình có so với đồng nghiệp để tạo ra lợi nhuận vượt trội cho danh mục của mình, ít nhất là trong vài năm.</w:t>
      </w:r>
    </w:p>
    <w:p>
      <w:pPr>
        <w:pStyle w:val="Para 03"/>
      </w:pPr>
      <w:r>
        <w:t>Nhận định 3: Tốc độ mà một sự kém hiệu quả được giải quyết sẽ liên quan trực tiếp đến mức độ dễ dàng mà chiến lược khai thác sự kém hiệu quả đó có thể được các nhà đầu tư khác sao chép lại. Mức độ dễ dàng để sao chép một chiến lược liên quan đến thời gian, nguồn lực và thông tin cần thiết để thực hiện nó. Vì rất ít nhà đầu tư đơn thương độc mã sở hữu đủ nguồn lực để loại bỏ một sự kém hiệu quả thông qua giao dịch, nên khả năng cao hơn nhiều là một sự kém hiệu quả sẽ biến mất nhanh chóng nếu chiến lược dùng để khai thác nó minh bạch và có thể được các nhà đầu tư khác sao chép.</w:t>
      </w:r>
    </w:p>
    <w:p>
      <w:pPr>
        <w:pStyle w:val="Para 03"/>
      </w:pPr>
      <w:r>
        <w:t>Để minh họa điểm này, giả sử rằng cổ phiếu liên tục được phát hiện là mang lại lợi nhuận vượt trội trong tháng sau khi chia tách cổ phiếu (stock split). Vì các công ty công bố việc chia tách cổ phiếu một cách công khai và bất kỳ nhà đầu tư nào cũng có thể mua cổ phiếu ngay sau khi chia tách, sẽ thật đáng ngạc nhiên nếu sự kém hiệu quả này vẫn tồn tại theo thời gian. Điều này có thể được đối chiếu với lợi nhuận vượt trội mà một số quỹ kinh doanh chênh lệch giá (arbitrage funds) thu được trong hoạt động kinh doanh chênh lệch chỉ số (index arbitrage), khi hợp đồng tương lai chỉ số được mua (hoặc bán), và các cổ phiếu trong chỉ số được bán khống (hoặc mua). Chiến lược này đòi hỏi nhà đầu tư phải có khả năng nắm bắt thông tin về chỉ số và giá giao ngay tức thời, có năng lực (về yêu cầu ký quỹ và nguồn lực) để giao dịch hợp đồng tương lai chỉ số và bán khống cổ phiếu, và có nguồn lực để nắm giữ những vị thế rất lớn cho đến khi hoạt động chênh lệch giá kết thúc. Do đó, sự kém hiệu quả trong định giá hợp đồng tương lai chỉ số có khả năng vẫn tồn tại, ít nhất là đối với những nhà kinh doanh chênh lệch giá hiệu quả nhất, với chi phí thực hiện thấp nhất và thời gian thực hiện nhanh nhất.</w:t>
      </w:r>
    </w:p>
    <w:p>
      <w:pPr>
        <w:pStyle w:val="Para 20"/>
      </w:pPr>
      <w:r>
        <w:rPr>
          <w:rStyle w:val="Text26"/>
        </w:rPr>
        <w:bookmarkStart w:id="815" w:name="Page_118"/>
        <w:t/>
        <w:bookmarkEnd w:id="815"/>
      </w:r>
      <w:r>
        <w:t xml:space="preserve"> </w:t>
      </w:r>
    </w:p>
    <w:p>
      <w:bookmarkStart w:id="816" w:name="Testing_Market_Efficiency__Tests"/>
      <w:bookmarkStart w:id="817" w:name="Testing_Market_Efficiency"/>
      <w:pPr>
        <w:keepNext/>
        <w:pStyle w:val="Heading 2"/>
        <w:keepLines w:val="on"/>
      </w:pPr>
      <w:r>
        <w:t>Kiểm định tính hiệu quả của thị trường</w:t>
      </w:r>
      <w:bookmarkEnd w:id="816"/>
      <w:bookmarkEnd w:id="817"/>
    </w:p>
    <w:p>
      <w:pPr>
        <w:pStyle w:val="Para 03"/>
      </w:pPr>
      <w:r>
        <w:t>Các kiểm định tính hiệu quả của thị trường xem xét liệu những chiến lược đầu tư cụ thể có mang lại lợi nhuận vượt trội hay không. Một số kiểm định cũng tính đến chi phí giao dịch và tính khả thi khi thực hiện. Vì lợi nhuận vượt trội của một khoản đầu tư là chênh lệch giữa lợi nhuận thực tế và lợi nhuận kỳ vọng của khoản đầu tư đó, nên trong mọi kiểm định tính hiệu quả của thị trường đều hàm chứa một mô hình cho lợi nhuận kỳ vọng này. Trong một số trường hợp, lợi nhuận kỳ vọng này được điều chỉnh theo rủi ro bằng mô hình định giá tài sản vốn (CAPM) hoặc mô hình định giá chênh lệch giá (APM), và trong những trường hợp khác, lợi nhuận kỳ vọng được dựa trên lợi nhuận của những khoản đầu tư tương tự hoặc tương đương. Trong mọi trường hợp, một kiểm định tính hiệu quả của thị trường là một kiểm định kết hợp (joint test) giữa tính hiệu quả của thị trường và hiệu lực của mô hình dùng để tính lợi nhuận kỳ vọng. Khi có bằng chứng về lợi nhuận vượt trội trong một kiểm định tính hiệu quả của thị trường, điều đó có thể cho thấy thị trường kém hiệu quả hoặc mô hình dùng để tính lợi nhuận kỳ vọng là sai (hoặc cả hai). Mặc dù điều này có vẻ đặt ra một tình thế tiến thoái lưỡng nan không thể giải quyết, nhưng nếu các kết luận của nghiên cứu không nhạy cảm với những đặc tả mô hình khác nhau, thì khả năng cao hơn nhiều là kết quả đó được dẫn dắt bởi sự kém hiệu quả thực sự của thị trường chứ không chỉ bởi những sai lệch trong đặc tả mô hình.</w:t>
      </w:r>
    </w:p>
    <w:p>
      <w:pPr>
        <w:pStyle w:val="Para 03"/>
      </w:pPr>
      <w:r>
        <w:t>Có nhiều cách khác nhau để kiểm định tính hiệu quả của thị trường, và cách tiếp cận được sử dụng sẽ phụ thuộc phần lớn vào chiến lược đầu tư đang được kiểm định. Một chiến lược dựa trên việc giao dịch theo các sự kiện thông tin (chia tách cổ phiếu, công bố thu nhập, hoặc công bố mua bán sáp nhập) có khả năng được kiểm định bằng một "nghiên cứu sự kiện" (event study), trong đó lợi nhuận quanh thời điểm sự kiện được xem xét kỹ lưỡng để tìm bằng chứng về lợi nhuận vượt trội. Một chiến lược dựa trên việc giao dịch theo một đặc điểm quan sát được của một công ty (tỷ lệ giá trên thu nhập, tỷ lệ giá trên giá trị sổ sách (BV), hoặc tỷ suất cổ tức) có khả năng được kiểm định bằng phương pháp danh mục đầu tư (portfolio approach), trong đó các danh mục cổ phiếu có những đặc điểm này được tạo ra và theo dõi theo thời gian để xem liệu chúng có thực sự mang lại lợi nhuận vượt trội hay không. Những trang tiếp theo sẽ tóm tắt các bước chính trong mỗi cách tiếp cận này, cùng một số cạm bẫy tiềm ẩn cần lưu ý khi thực hiện hoặc sử dụng những kiểm định này.</w:t>
      </w:r>
    </w:p>
    <w:p>
      <w:bookmarkStart w:id="818" w:name="Event_Study"/>
      <w:bookmarkStart w:id="819" w:name="Event_Study__An_event_study_is_d"/>
      <w:pPr>
        <w:keepNext/>
        <w:pStyle w:val="Heading 3"/>
        <w:keepLines w:val="on"/>
      </w:pPr>
      <w:r>
        <w:t>Nghiên cứu sự kiện</w:t>
      </w:r>
      <w:bookmarkEnd w:id="818"/>
      <w:bookmarkEnd w:id="819"/>
    </w:p>
    <w:p>
      <w:pPr>
        <w:pStyle w:val="Para 03"/>
      </w:pPr>
      <w:r>
        <w:t>Nghiên cứu sự kiện được thiết kế để xem xét phản ứng của thị trường và lợi nhuận vượt trội quanh những sự kiện thông tin cụ thể. Những sự kiện thông tin này có thể mang tính toàn thị trường, như các công bố kinh tế vĩ mô, hoặc mang tính đặc thù của từng công ty, như công bố thu nhập hoặc cổ tức. Năm bước trong một nghiên cứu sự kiện là:</w:t>
      </w:r>
    </w:p>
    <w:p>
      <w:pPr>
        <w:numPr>
          <w:ilvl w:val="0"/>
          <w:numId w:val="34"/>
        </w:numPr>
        <w:pStyle w:val="Para 01"/>
      </w:pPr>
      <w:r>
        <w:t>Sự kiện cần nghiên cứu được xác định rõ ràng, và ngày mà sự kiện được công bố được xác định chính xác. Giả định trong các nghiên cứu sự kiện là thời điểm của sự kiện được biết với độ chắc chắn khá cao. Vì thị trường tài chính phản ứng với thông tin về một sự kiện chứ không phải bản thân sự kiện, nên hầu hết các nghiên cứu sự kiện đều tập trung quanh ngày công bố sự kiện3.</w:t>
      </w:r>
    </w:p>
    <w:p>
      <w:bookmarkStart w:id="821" w:name="UF1_1"/>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01800" cy="114300"/>
            <wp:effectExtent l="0" r="0" t="0" b="0"/>
            <wp:wrapTopAndBottom/>
            <wp:docPr id="33" name="c06un001.png" descr="Illustration presents two blank spaces to fill the announcement date."/>
            <wp:cNvGraphicFramePr>
              <a:graphicFrameLocks noChangeAspect="1"/>
            </wp:cNvGraphicFramePr>
            <a:graphic>
              <a:graphicData uri="http://schemas.openxmlformats.org/drawingml/2006/picture">
                <pic:pic>
                  <pic:nvPicPr>
                    <pic:cNvPr id="0" name="c06un001.png" descr="Illustration presents two blank spaces to fill the announcement date."/>
                    <pic:cNvPicPr/>
                  </pic:nvPicPr>
                  <pic:blipFill>
                    <a:blip r:embed="rId28"/>
                    <a:stretch>
                      <a:fillRect/>
                    </a:stretch>
                  </pic:blipFill>
                  <pic:spPr>
                    <a:xfrm>
                      <a:off x="0" y="0"/>
                      <a:ext cx="1701800" cy="114300"/>
                    </a:xfrm>
                    <a:prstGeom prst="rect">
                      <a:avLst/>
                    </a:prstGeom>
                  </pic:spPr>
                </pic:pic>
              </a:graphicData>
            </a:graphic>
          </wp:anchor>
        </w:drawing>
      </w:r>
      <w:bookmarkEnd w:id="821"/>
    </w:p>
    <w:p>
      <w:pPr>
        <w:numPr>
          <w:ilvl w:val="0"/>
          <w:numId w:val="34"/>
        </w:numPr>
        <w:pStyle w:val="Para 01"/>
      </w:pPr>
      <w:r>
        <w:t>Khi đã biết ngày sự kiện, lợi nhuận được thu thập quanh những ngày này cho từng công ty trong mẫu. Khi làm vậy, phải đưa ra hai quyết định. Thứ nhất, nhà nghiên cứu phải quyết định xem sẽ thu thập lợi nhuận theo tuần, theo ngày, hay theo khoảng thời gian ngắn hơn quanh sự kiện. Điều này một phần được quyết định bởi mức độ chính xác của ngày sự kiện được biết (càng chính xác thì càng có khả năng dùng được khoảng thời gian lợi nhuận ngắn hơn) và bởi tốc độ mà thông tin được phản ánh vào giá (điều chỉnh càng nhanh thì càng nên dùng khoảng thời gian lợi nhuận ngắn hơn). Thứ hai, nhà phân tích phải xác định sẽ xem xét bao nhiêu giai đoạn lợi nhuận trước và sau ngày công bố như một phần của cửa sổ sự kiện (event window). Quyết định đó cũng sẽ được xác định bởi độ chính xác của ngày sự kiện, vì những ngày kém chính xác hơn sẽ đòi hỏi cửa sổ dài hơn.</w:t>
      </w:r>
    </w:p>
    <w:p>
      <w:bookmarkStart w:id="823" w:name="UF2_1"/>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181100" cy="190500"/>
            <wp:effectExtent l="0" r="0" t="0" b="0"/>
            <wp:wrapTopAndBottom/>
            <wp:docPr id="34" name="c06un002.png" descr="Illustration depicting the return window on firm j for periods t equals negative n, 0, and positive n."/>
            <wp:cNvGraphicFramePr>
              <a:graphicFrameLocks noChangeAspect="1"/>
            </wp:cNvGraphicFramePr>
            <a:graphic>
              <a:graphicData uri="http://schemas.openxmlformats.org/drawingml/2006/picture">
                <pic:pic>
                  <pic:nvPicPr>
                    <pic:cNvPr id="0" name="c06un002.png" descr="Illustration depicting the return window on firm j for periods t equals negative n, 0, and positive n."/>
                    <pic:cNvPicPr/>
                  </pic:nvPicPr>
                  <pic:blipFill>
                    <a:blip r:embed="rId29"/>
                    <a:stretch>
                      <a:fillRect/>
                    </a:stretch>
                  </pic:blipFill>
                  <pic:spPr>
                    <a:xfrm>
                      <a:off x="0" y="0"/>
                      <a:ext cx="1181100" cy="190500"/>
                    </a:xfrm>
                    <a:prstGeom prst="rect">
                      <a:avLst/>
                    </a:prstGeom>
                  </pic:spPr>
                </pic:pic>
              </a:graphicData>
            </a:graphic>
          </wp:anchor>
        </w:drawing>
      </w:r>
      <w:bookmarkEnd w:id="823"/>
    </w:p>
    <w:p>
      <w:pPr>
        <w:pStyle w:val="Para 03"/>
      </w:pPr>
      <w:r>
        <w:t>trong đó Rjt = Lợi nhuận của công ty j trong giai đoạn t (t = –n, . . . , 0, . . . , +n)</w:t>
      </w:r>
    </w:p>
    <w:p>
      <w:pPr>
        <w:numPr>
          <w:ilvl w:val="0"/>
          <w:numId w:val="34"/>
        </w:numPr>
        <w:pStyle w:val="Para 01"/>
      </w:pPr>
      <w:r>
        <w:t>Lợi nhuận theo từng giai đoạn quanh ngày công bố được điều chỉnh theo diễn biến thị trường và rủi ro để tính ra lợi nhuận vượt trội cho từng công ty trong mẫu. Chẳng hạn, nếu mô hình định giá tài sản vốn được dùng để kiểm soát rủi ro:</w:t>
      </w:r>
    </w:p>
    <w:p>
      <w:bookmarkStart w:id="824" w:name="Excess_return_in_period_t_Return"/>
      <w:pPr>
        <w:keepNext/>
        <w:pStyle w:val="Para 09"/>
        <w:keepLines w:val="on"/>
      </w:pPr>
      <w:r>
        <w:t>Lợi nhuận vượt trội trong giai đoạn t = Lợi nhuận trong giai đoạn t − (Lãi suất phi rủi ro + Beta × Lợi nhuận của thị trường trong ngày t)</w:t>
      </w:r>
      <w:bookmarkEnd w:id="824"/>
    </w:p>
    <w:p>
      <w:bookmarkStart w:id="825" w:name="UF3_1"/>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257300" cy="190500"/>
            <wp:effectExtent l="0" r="0" t="0" b="0"/>
            <wp:wrapTopAndBottom/>
            <wp:docPr id="35" name="c06un003.png" descr="Illustration depicting the excess return window on firm j for periods t equals negative n, 0, and positive n."/>
            <wp:cNvGraphicFramePr>
              <a:graphicFrameLocks noChangeAspect="1"/>
            </wp:cNvGraphicFramePr>
            <a:graphic>
              <a:graphicData uri="http://schemas.openxmlformats.org/drawingml/2006/picture">
                <pic:pic>
                  <pic:nvPicPr>
                    <pic:cNvPr id="0" name="c06un003.png" descr="Illustration depicting the excess return window on firm j for periods t equals negative n, 0, and positive n."/>
                    <pic:cNvPicPr/>
                  </pic:nvPicPr>
                  <pic:blipFill>
                    <a:blip r:embed="rId30"/>
                    <a:stretch>
                      <a:fillRect/>
                    </a:stretch>
                  </pic:blipFill>
                  <pic:spPr>
                    <a:xfrm>
                      <a:off x="0" y="0"/>
                      <a:ext cx="1257300" cy="190500"/>
                    </a:xfrm>
                    <a:prstGeom prst="rect">
                      <a:avLst/>
                    </a:prstGeom>
                  </pic:spPr>
                </pic:pic>
              </a:graphicData>
            </a:graphic>
          </wp:anchor>
        </w:drawing>
      </w:r>
      <w:bookmarkEnd w:id="825"/>
    </w:p>
    <w:p>
      <w:pPr>
        <w:pStyle w:val="Para 03"/>
      </w:pPr>
      <w:r>
        <w:t>trong đó ERjt = Lợi nhuận vượt trội của công ty j trong giai đoạn t (t = n, . . . , 0, . . . , +n) = Rjt − E(Rjt)</w:t>
      </w:r>
    </w:p>
    <w:p>
      <w:pPr>
        <w:numPr>
          <w:ilvl w:val="0"/>
          <w:numId w:val="34"/>
        </w:numPr>
        <w:pStyle w:val="Para 01"/>
      </w:pPr>
      <w:r>
        <w:t>Lợi nhuận vượt trội theo từng giai đoạn được lấy trung bình trên tất cả các quan sát trong mẫu, và một sai số chuẩn được tính toán.</w:t>
      </w:r>
    </w:p>
    <w:p>
      <w:bookmarkStart w:id="826" w:name="Average_Excess_Returnt____j_1j_N"/>
      <w:pPr>
        <w:keepNext/>
        <w:pStyle w:val="Para 09"/>
        <w:keepLines w:val="on"/>
      </w:pPr>
      <w:r>
        <w:t>Lợi nhuận vượt trội trung bình t=∑j=1j=NERjtN</w:t>
      </w:r>
      <w:bookmarkEnd w:id="826"/>
    </w:p>
    <w:p>
      <w:bookmarkStart w:id="827" w:name="Std_error_in_Excess_Returnt____j"/>
      <w:pPr>
        <w:keepNext/>
        <w:pStyle w:val="Para 09"/>
        <w:keepLines w:val="on"/>
      </w:pPr>
      <w:r>
        <w:t>Sai số chuẩn của Lợi nhuận vượt trội t=∑j=1j=N(ERjt-Lợi nhuận vượt trội trung bình)(N-1)</w:t>
      </w:r>
      <w:bookmarkEnd w:id="827"/>
    </w:p>
    <w:p>
      <w:pPr>
        <w:pStyle w:val="Para 03"/>
      </w:pPr>
      <w:r>
        <w:t>trong đó N = Số lượng quan sát (các công ty) trong nghiên cứu sự kiện</w:t>
      </w:r>
    </w:p>
    <w:p>
      <w:pPr>
        <w:numPr>
          <w:ilvl w:val="0"/>
          <w:numId w:val="34"/>
        </w:numPr>
        <w:pStyle w:val="Para 01"/>
      </w:pPr>
      <w:r>
        <w:t>Câu hỏi liệu lợi nhuận vượt trội xung quanh thời điểm công bố có khác biệt so với 0 hay không được trả lời bằng cách ước tính thống kê t cho từng giai đoạn, bằng cách lấy lợi nhuận vượt trội trung bình chia cho sai số chuẩn:</w:t>
      </w:r>
    </w:p>
    <w:p>
      <w:bookmarkStart w:id="828" w:name="T_statistics_for_Excess_Returnt"/>
      <w:pPr>
        <w:keepNext/>
        <w:pStyle w:val="Para 09"/>
        <w:keepLines w:val="on"/>
      </w:pPr>
      <w:r>
        <w:t>Thống kê T cho Lợi nhuận vượt trội t=Lợi nhuận vượt trội trung bình tSai số chuẩn của Lợi nhuận vượt trội t</w:t>
      </w:r>
      <w:bookmarkEnd w:id="828"/>
    </w:p>
    <w:p>
      <w:pPr>
        <w:pStyle w:val="Para 03"/>
      </w:pPr>
      <w:r>
        <w:t>Nếu thống kê t có ý nghĩa thống kê,4 sự kiện sẽ ảnh hưởng đến lợi nhuận; dấu của lợi nhuận vượt trội quyết định liệu tác động là tích cực hay tiêu cực.</w:t>
      </w:r>
    </w:p>
    <w:p>
      <w:pPr>
        <w:pStyle w:val="Para 03"/>
      </w:pPr>
      <w:r>
        <w:t>Nghiên cứu sự kiện rất hữu ích trong việc xem xét cách thị trường phản ứng với các thông báo tin tức hoặc những thay đổi có ảnh hưởng đến giá trị. Dù vậy, vẫn có thể có những thách thức, bao gồm việc xác định thời điểm thị trường nhận biết thông tin (thời điểm), sai lệch chọn mẫu (cả trong việc chọn công ty đưa vào mẫu và các sự kiện bạn đang kiểm định) và những thách thức về mặt thống kê.</w:t>
      </w:r>
    </w:p>
    <w:p>
      <w:pPr>
        <w:pStyle w:val="Para 11"/>
      </w:pPr>
      <w:r>
        <w:t/>
        <w:t xml:space="preserve"> </w:t>
      </w:r>
    </w:p>
    <w:p>
      <w:bookmarkStart w:id="831" w:name="ILLUSTRATION_6_1___Example_of_an"/>
      <w:bookmarkStart w:id="832" w:name="ILLUSTRATION_6_1___Example_of_an_1"/>
      <w:pPr>
        <w:keepNext/>
        <w:pStyle w:val="Para 19"/>
        <w:keepLines w:val="on"/>
      </w:pPr>
      <w:r>
        <w:t>MINH HỌA 6.1: Ví dụ về Nghiên cứu Sự kiện—Ảnh hưởng của việc Niêm yết Quyền chọn lên Giá Cổ phiếu</w:t>
      </w:r>
      <w:bookmarkEnd w:id="831"/>
      <w:bookmarkEnd w:id="832"/>
    </w:p>
    <w:p>
      <w:pPr>
        <w:pStyle w:val="Para 04"/>
        <w:keepLines w:val="on"/>
      </w:pPr>
      <w:r>
        <w:t>Các học giả và những người hành nghề từ lâu đã tranh luận về hậu quả của việc niêm yết quyền chọn đối với biến động giá cổ phiếu. Một mặt, có những người cho rằng quyền chọn thu hút các nhà đầu cơ, và do đó làm tăng biến động giá cổ phiếu. Mặt khác, có những người khác cho rằng quyền chọn làm tăng các lựa chọn sẵn có cho nhà đầu tư và làm tăng dòng thông tin đến thị trường tài chính, từ đó dẫn đến biến động giá cổ phiếu thấp hơn và giá cổ phiếu cao hơn.</w:t>
      </w:r>
    </w:p>
    <w:p>
      <w:pPr>
        <w:pStyle w:val="Para 04"/>
        <w:keepLines w:val="on"/>
      </w:pPr>
      <w:r>
        <w:t>Một cách để kiểm định những giả thuyết thay thế này là thực hiện một nghiên cứu sự kiện, xem xét ảnh hưởng của việc niêm yết quyền chọn lên giá của cổ phiếu cơ sở. Conrad (1989) đã thực hiện một nghiên cứu như vậy, theo các bước sau:</w:t>
      </w:r>
    </w:p>
    <w:p>
      <w:pPr>
        <w:pStyle w:val="Para 04"/>
        <w:keepLines w:val="on"/>
      </w:pPr>
      <w:r>
        <w:t>Bước 1: Ngày công bố rằng quyền chọn đối với một cổ phiếu cụ thể sẽ được niêm yết trên Chicago Board Options Exchange đã được thu thập.</w:t>
      </w:r>
    </w:p>
    <w:p>
      <w:pPr>
        <w:pStyle w:val="Para 04"/>
        <w:keepLines w:val="on"/>
      </w:pPr>
      <w:r>
        <w:t>Bước 2: Giá của cổ phiếu cơ sở (j) được thu thập cho từng ngày trong 10 ngày trước ngày công bố niêm yết quyền chọn, cho ngày công bố, và cho từng ngày trong 10 ngày sau đó.</w:t>
      </w:r>
    </w:p>
    <w:p>
      <w:pPr>
        <w:pStyle w:val="Para 04"/>
        <w:keepLines w:val="on"/>
      </w:pPr>
      <w:r>
        <w:t>Bước 3: Lợi nhuận của cổ phiếu (Rjt) được tính cho từng ngày giao dịch này.</w:t>
      </w:r>
    </w:p>
    <w:p>
      <w:pPr>
        <w:pStyle w:val="Para 04"/>
        <w:keepLines w:val="on"/>
      </w:pPr>
      <w:r>
        <w:t>Bước 4: Beta của cổ phiếu (βj) được ước tính bằng cách sử dụng lợi nhuận từ một khoảng thời gian nằm ngoài cửa sổ sự kiện (sử dụng 100 ngày giao dịch trước sự kiện và 100 ngày giao dịch sau sự kiện).</w:t>
      </w:r>
    </w:p>
    <w:p>
      <w:pPr>
        <w:pStyle w:val="Para 04"/>
        <w:keepLines w:val="on"/>
      </w:pPr>
      <w:r>
        <w:t>Bước 5: Lợi nhuận của chỉ số thị trường (Rmt) được tính cho từng ngày trong 21 ngày giao dịch.</w:t>
      </w:r>
    </w:p>
    <w:p>
      <w:pPr>
        <w:pStyle w:val="Para 04"/>
        <w:keepLines w:val="on"/>
      </w:pPr>
      <w:r>
        <w:t>Bước 6: Lợi nhuận vượt trội được tính cho từng ngày trong 21 ngày giao dịch (t) đối với mỗi cổ phiếu (j):</w:t>
      </w:r>
    </w:p>
    <w:p>
      <w:bookmarkStart w:id="833" w:name="ERjt_Rjt___bjRm_______________t"/>
      <w:pPr>
        <w:keepNext/>
        <w:pStyle w:val="Para 07"/>
        <w:keepLines w:val="on"/>
      </w:pPr>
      <w:r>
        <w:t>ERjt=Rjt−βjRm               t=−10,−9,−8,.. .,+8,+9,+10</w:t>
      </w:r>
      <w:bookmarkEnd w:id="833"/>
    </w:p>
    <w:p>
      <w:pPr>
        <w:pStyle w:val="Para 04"/>
        <w:keepLines w:val="on"/>
      </w:pPr>
      <w:r>
        <w:t>Lợi nhuận vượt trội được tích lũy cho từng ngày giao dịch.</w:t>
      </w:r>
    </w:p>
    <w:p>
      <w:pPr>
        <w:pStyle w:val="Para 04"/>
        <w:keepLines w:val="on"/>
      </w:pPr>
      <w:r>
        <w:t>Bước 7: Giá trị trung bình và sai số chuẩn của lợi nhuận vượt trội trên tất cả các cổ phiếu có niêm yết quyền chọn được tính cho từng ngày trong 21 ngày giao dịch. Thống kê t được tính bằng cách sử dụng giá trị trung bình và sai số chuẩn cho từng ngày giao dịch. Bảng 6.1 tóm tắt lợi nhuận vượt trội trung bình và thống kê t xung quanh các ngày công bố niêm yết quyền chọn:</w:t>
      </w:r>
    </w:p>
    <w:p>
      <w:pPr>
        <w:pStyle w:val="Para 25"/>
        <w:keepLines w:val="on"/>
      </w:pPr>
      <w:r>
        <w:t>Bảng 6.1</w:t>
      </w:r>
    </w:p>
    <w:p>
      <w:pPr>
        <w:keepNext/>
        <w:pStyle w:val="Para 24"/>
        <w:keepLines w:val="on"/>
      </w:pPr>
      <w:r>
        <w:t>Lợi nhuận Vượt trội xung quanh các Công bố Niêm yết Quyền chọn</w:t>
      </w:r>
    </w:p>
    <w:tbl>
      <w:tblPr>
        <w:tblW w:type="auto" w:w="0"/>
      </w:tblPr>
      <w:tr>
        <w:tc>
          <w:tcPr>
            <w:tcW w:type="auto" w:w="0"/>
          </w:tcPr>
          <w:tbl>
            <w:tblPr>
              <w:tblW w:type="auto" w:w="0"/>
            </w:tblPr>
            <w:tr>
              <w:tc>
                <w:tcPr>
                  <w:tcW w:type="auto" w:w="0"/>
                  <w:shd w:val="clear" w:color="auto" w:fill="F0F0F0"/>
                </w:tcPr>
                <w:p>
                  <w:pPr>
                    <w:pStyle w:val="Para 05"/>
                    <w:keepLines w:val="on"/>
                  </w:pPr>
                  <w:r>
                    <w:t>Ngày Giao dịch</w:t>
                  </w:r>
                </w:p>
              </w:tc>
              <w:tc>
                <w:tcPr>
                  <w:tcW w:type="auto" w:w="0"/>
                  <w:shd w:val="clear" w:color="auto" w:fill="F0F0F0"/>
                </w:tcPr>
                <w:p>
                  <w:pPr>
                    <w:pStyle w:val="Para 05"/>
                    <w:keepLines w:val="on"/>
                  </w:pPr>
                  <w:r>
                    <w:t>Lợi nhuận Vượt trội Trung bình</w:t>
                  </w:r>
                </w:p>
              </w:tc>
              <w:tc>
                <w:tcPr>
                  <w:tcW w:type="auto" w:w="0"/>
                  <w:shd w:val="clear" w:color="auto" w:fill="F0F0F0"/>
                </w:tcPr>
                <w:p>
                  <w:pPr>
                    <w:pStyle w:val="Para 05"/>
                    <w:keepLines w:val="on"/>
                  </w:pPr>
                  <w:r>
                    <w:t>Lợi nhuận Vượt trội Tích lũy</w:t>
                  </w:r>
                </w:p>
              </w:tc>
              <w:tc>
                <w:tcPr>
                  <w:tcW w:type="auto" w:w="0"/>
                  <w:shd w:val="clear" w:color="auto" w:fill="F0F0F0"/>
                </w:tcPr>
                <w:p>
                  <w:pPr>
                    <w:pStyle w:val="Para 05"/>
                    <w:keepLines w:val="on"/>
                  </w:pPr>
                  <w:r>
                    <w:t>Thống kê T</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0,17%</w:t>
                  </w:r>
                </w:p>
              </w:tc>
              <w:tc>
                <w:tcPr>
                  <w:tcW w:type="auto" w:w="0"/>
                  <w:shd w:val="clear" w:color="auto" w:fill="F0F0F0"/>
                </w:tcPr>
                <w:p>
                  <w:pPr>
                    <w:pStyle w:val="Normal"/>
                    <w:keepLines w:val="on"/>
                  </w:pPr>
                  <w:r>
                    <w:t>0,17%</w:t>
                  </w:r>
                </w:p>
              </w:tc>
              <w:tc>
                <w:tcPr>
                  <w:tcW w:type="auto" w:w="0"/>
                  <w:shd w:val="clear" w:color="auto" w:fill="F0F0F0"/>
                </w:tcPr>
                <w:p>
                  <w:pPr>
                    <w:pStyle w:val="Normal"/>
                    <w:keepLines w:val="on"/>
                  </w:pPr>
                  <w:r>
                    <w:t>1,30</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0,48%</w:t>
                  </w:r>
                </w:p>
              </w:tc>
              <w:tc>
                <w:tcPr>
                  <w:tcW w:type="auto" w:w="0"/>
                  <w:shd w:val="clear" w:color="auto" w:fill="F0F0F0"/>
                </w:tcPr>
                <w:p>
                  <w:pPr>
                    <w:pStyle w:val="Normal"/>
                    <w:keepLines w:val="on"/>
                  </w:pPr>
                  <w:r>
                    <w:t>0,65%</w:t>
                  </w:r>
                </w:p>
              </w:tc>
              <w:tc>
                <w:tcPr>
                  <w:tcW w:type="auto" w:w="0"/>
                  <w:shd w:val="clear" w:color="auto" w:fill="F0F0F0"/>
                </w:tcPr>
                <w:p>
                  <w:pPr>
                    <w:pStyle w:val="Normal"/>
                    <w:keepLines w:val="on"/>
                  </w:pPr>
                  <w:r>
                    <w:t>1,66</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−0,24%</w:t>
                  </w:r>
                </w:p>
              </w:tc>
              <w:tc>
                <w:tcPr>
                  <w:tcW w:type="auto" w:w="0"/>
                  <w:shd w:val="clear" w:color="auto" w:fill="F0F0F0"/>
                </w:tcPr>
                <w:p>
                  <w:pPr>
                    <w:pStyle w:val="Normal"/>
                    <w:keepLines w:val="on"/>
                  </w:pPr>
                  <w:r>
                    <w:t>0,41%</w:t>
                  </w:r>
                </w:p>
              </w:tc>
              <w:tc>
                <w:tcPr>
                  <w:tcW w:type="auto" w:w="0"/>
                  <w:shd w:val="clear" w:color="auto" w:fill="F0F0F0"/>
                </w:tcPr>
                <w:p>
                  <w:pPr>
                    <w:pStyle w:val="Normal"/>
                    <w:keepLines w:val="on"/>
                  </w:pPr>
                  <w:r>
                    <w:t>1,43</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0,28%</w:t>
                  </w:r>
                </w:p>
              </w:tc>
              <w:tc>
                <w:tcPr>
                  <w:tcW w:type="auto" w:w="0"/>
                  <w:shd w:val="clear" w:color="auto" w:fill="F0F0F0"/>
                </w:tcPr>
                <w:p>
                  <w:pPr>
                    <w:pStyle w:val="Normal"/>
                    <w:keepLines w:val="on"/>
                  </w:pPr>
                  <w:r>
                    <w:t>0,69%</w:t>
                  </w:r>
                </w:p>
              </w:tc>
              <w:tc>
                <w:tcPr>
                  <w:tcW w:type="auto" w:w="0"/>
                  <w:shd w:val="clear" w:color="auto" w:fill="F0F0F0"/>
                </w:tcPr>
                <w:p>
                  <w:pPr>
                    <w:pStyle w:val="Normal"/>
                    <w:keepLines w:val="on"/>
                  </w:pPr>
                  <w:r>
                    <w:t>1,62</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0,04%</w:t>
                  </w:r>
                </w:p>
              </w:tc>
              <w:tc>
                <w:tcPr>
                  <w:tcW w:type="auto" w:w="0"/>
                  <w:shd w:val="clear" w:color="auto" w:fill="F0F0F0"/>
                </w:tcPr>
                <w:p>
                  <w:pPr>
                    <w:pStyle w:val="Normal"/>
                    <w:keepLines w:val="on"/>
                  </w:pPr>
                  <w:r>
                    <w:t>0,73%</w:t>
                  </w:r>
                </w:p>
              </w:tc>
              <w:tc>
                <w:tcPr>
                  <w:tcW w:type="auto" w:w="0"/>
                  <w:shd w:val="clear" w:color="auto" w:fill="F0F0F0"/>
                </w:tcPr>
                <w:p>
                  <w:pPr>
                    <w:pStyle w:val="Normal"/>
                    <w:keepLines w:val="on"/>
                  </w:pPr>
                  <w:r>
                    <w:t>1,62</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−0,46%</w:t>
                  </w:r>
                </w:p>
              </w:tc>
              <w:tc>
                <w:tcPr>
                  <w:tcW w:type="auto" w:w="0"/>
                  <w:shd w:val="clear" w:color="auto" w:fill="F0F0F0"/>
                </w:tcPr>
                <w:p>
                  <w:pPr>
                    <w:pStyle w:val="Normal"/>
                    <w:keepLines w:val="on"/>
                  </w:pPr>
                  <w:r>
                    <w:t>0,27%</w:t>
                  </w:r>
                </w:p>
              </w:tc>
              <w:tc>
                <w:tcPr>
                  <w:tcW w:type="auto" w:w="0"/>
                  <w:shd w:val="clear" w:color="auto" w:fill="F0F0F0"/>
                </w:tcPr>
                <w:p>
                  <w:pPr>
                    <w:pStyle w:val="Normal"/>
                    <w:keepLines w:val="on"/>
                  </w:pPr>
                  <w:r>
                    <w:t>1,24</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−0,26%</w:t>
                  </w:r>
                </w:p>
              </w:tc>
              <w:tc>
                <w:tcPr>
                  <w:tcW w:type="auto" w:w="0"/>
                  <w:shd w:val="clear" w:color="auto" w:fill="F0F0F0"/>
                </w:tcPr>
                <w:p>
                  <w:pPr>
                    <w:pStyle w:val="Normal"/>
                    <w:keepLines w:val="on"/>
                  </w:pPr>
                  <w:r>
                    <w:t>0,01%</w:t>
                  </w:r>
                </w:p>
              </w:tc>
              <w:tc>
                <w:tcPr>
                  <w:tcW w:type="auto" w:w="0"/>
                  <w:shd w:val="clear" w:color="auto" w:fill="F0F0F0"/>
                </w:tcPr>
                <w:p>
                  <w:pPr>
                    <w:pStyle w:val="Normal"/>
                    <w:keepLines w:val="on"/>
                  </w:pPr>
                  <w:r>
                    <w:t>1,02</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−0,11%</w:t>
                  </w:r>
                </w:p>
              </w:tc>
              <w:tc>
                <w:tcPr>
                  <w:tcW w:type="auto" w:w="0"/>
                  <w:shd w:val="clear" w:color="auto" w:fill="F0F0F0"/>
                </w:tcPr>
                <w:p>
                  <w:pPr>
                    <w:pStyle w:val="Normal"/>
                    <w:keepLines w:val="on"/>
                  </w:pPr>
                  <w:r>
                    <w:t>−0,10%</w:t>
                  </w:r>
                </w:p>
              </w:tc>
              <w:tc>
                <w:tcPr>
                  <w:tcW w:type="auto" w:w="0"/>
                  <w:shd w:val="clear" w:color="auto" w:fill="F0F0F0"/>
                </w:tcPr>
                <w:p>
                  <w:pPr>
                    <w:pStyle w:val="Normal"/>
                    <w:keepLines w:val="on"/>
                  </w:pPr>
                  <w:r>
                    <w:t>0,93</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0,26%</w:t>
                  </w:r>
                </w:p>
              </w:tc>
              <w:tc>
                <w:tcPr>
                  <w:tcW w:type="auto" w:w="0"/>
                  <w:shd w:val="clear" w:color="auto" w:fill="F0F0F0"/>
                </w:tcPr>
                <w:p>
                  <w:pPr>
                    <w:pStyle w:val="Normal"/>
                    <w:keepLines w:val="on"/>
                  </w:pPr>
                  <w:r>
                    <w:t>0,16%</w:t>
                  </w:r>
                </w:p>
              </w:tc>
              <w:tc>
                <w:tcPr>
                  <w:tcW w:type="auto" w:w="0"/>
                  <w:shd w:val="clear" w:color="auto" w:fill="F0F0F0"/>
                </w:tcPr>
                <w:p>
                  <w:pPr>
                    <w:pStyle w:val="Normal"/>
                    <w:keepLines w:val="on"/>
                  </w:pPr>
                  <w:r>
                    <w:t>1,09</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0,29%</w:t>
                  </w:r>
                </w:p>
              </w:tc>
              <w:tc>
                <w:tcPr>
                  <w:tcW w:type="auto" w:w="0"/>
                  <w:shd w:val="clear" w:color="auto" w:fill="F0F0F0"/>
                </w:tcPr>
                <w:p>
                  <w:pPr>
                    <w:pStyle w:val="Normal"/>
                    <w:keepLines w:val="on"/>
                  </w:pPr>
                  <w:r>
                    <w:t>0,45%</w:t>
                  </w:r>
                </w:p>
              </w:tc>
              <w:tc>
                <w:tcPr>
                  <w:tcW w:type="auto" w:w="0"/>
                  <w:shd w:val="clear" w:color="auto" w:fill="F0F0F0"/>
                </w:tcPr>
                <w:p>
                  <w:pPr>
                    <w:pStyle w:val="Normal"/>
                    <w:keepLines w:val="on"/>
                  </w:pPr>
                  <w:r>
                    <w:t>1,28</w:t>
                  </w:r>
                </w:p>
              </w:tc>
            </w:tr>
            <w:tr>
              <w:tc>
                <w:tcPr>
                  <w:tcW w:type="auto" w:w="0"/>
                  <w:shd w:val="clear" w:color="auto" w:fill="F0F0F0"/>
                </w:tcPr>
                <w:p>
                  <w:pPr>
                    <w:pStyle w:val="Normal"/>
                    <w:keepLines w:val="on"/>
                  </w:pPr>
                  <w:r>
                    <w:t>0</w:t>
                  </w:r>
                </w:p>
              </w:tc>
              <w:tc>
                <w:tcPr>
                  <w:tcW w:type="auto" w:w="0"/>
                  <w:shd w:val="clear" w:color="auto" w:fill="F0F0F0"/>
                </w:tcPr>
                <w:p>
                  <w:pPr>
                    <w:pStyle w:val="Normal"/>
                    <w:keepLines w:val="on"/>
                  </w:pPr>
                  <w:r>
                    <w:t>0,01%</w:t>
                  </w:r>
                </w:p>
              </w:tc>
              <w:tc>
                <w:tcPr>
                  <w:tcW w:type="auto" w:w="0"/>
                  <w:shd w:val="clear" w:color="auto" w:fill="F0F0F0"/>
                </w:tcPr>
                <w:p>
                  <w:pPr>
                    <w:pStyle w:val="Normal"/>
                    <w:keepLines w:val="on"/>
                  </w:pPr>
                  <w:r>
                    <w:t>0,46%</w:t>
                  </w:r>
                </w:p>
              </w:tc>
              <w:tc>
                <w:tcPr>
                  <w:tcW w:type="auto" w:w="0"/>
                  <w:shd w:val="clear" w:color="auto" w:fill="F0F0F0"/>
                </w:tcPr>
                <w:p>
                  <w:pPr>
                    <w:pStyle w:val="Normal"/>
                    <w:keepLines w:val="on"/>
                  </w:pPr>
                  <w:r>
                    <w:t>1,27</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0,17%</w:t>
                  </w:r>
                </w:p>
              </w:tc>
              <w:tc>
                <w:tcPr>
                  <w:tcW w:type="auto" w:w="0"/>
                  <w:shd w:val="clear" w:color="auto" w:fill="F0F0F0"/>
                </w:tcPr>
                <w:p>
                  <w:pPr>
                    <w:pStyle w:val="Normal"/>
                    <w:keepLines w:val="on"/>
                  </w:pPr>
                  <w:r>
                    <w:t>0,63%</w:t>
                  </w:r>
                </w:p>
              </w:tc>
              <w:tc>
                <w:tcPr>
                  <w:tcW w:type="auto" w:w="0"/>
                  <w:shd w:val="clear" w:color="auto" w:fill="F0F0F0"/>
                </w:tcPr>
                <w:p>
                  <w:pPr>
                    <w:pStyle w:val="Normal"/>
                    <w:keepLines w:val="on"/>
                  </w:pPr>
                  <w:r>
                    <w:t>1,37</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0,14%</w:t>
                  </w:r>
                </w:p>
              </w:tc>
              <w:tc>
                <w:tcPr>
                  <w:tcW w:type="auto" w:w="0"/>
                  <w:shd w:val="clear" w:color="auto" w:fill="F0F0F0"/>
                </w:tcPr>
                <w:p>
                  <w:pPr>
                    <w:pStyle w:val="Normal"/>
                    <w:keepLines w:val="on"/>
                  </w:pPr>
                  <w:r>
                    <w:t>0,77%</w:t>
                  </w:r>
                </w:p>
              </w:tc>
              <w:tc>
                <w:tcPr>
                  <w:tcW w:type="auto" w:w="0"/>
                  <w:shd w:val="clear" w:color="auto" w:fill="F0F0F0"/>
                </w:tcPr>
                <w:p>
                  <w:pPr>
                    <w:pStyle w:val="Normal"/>
                    <w:keepLines w:val="on"/>
                  </w:pPr>
                  <w:r>
                    <w:t>1,44</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0,04%</w:t>
                  </w:r>
                </w:p>
              </w:tc>
              <w:tc>
                <w:tcPr>
                  <w:tcW w:type="auto" w:w="0"/>
                  <w:shd w:val="clear" w:color="auto" w:fill="F0F0F0"/>
                </w:tcPr>
                <w:p>
                  <w:pPr>
                    <w:pStyle w:val="Normal"/>
                    <w:keepLines w:val="on"/>
                  </w:pPr>
                  <w:r>
                    <w:t>0,81%</w:t>
                  </w:r>
                </w:p>
              </w:tc>
              <w:tc>
                <w:tcPr>
                  <w:tcW w:type="auto" w:w="0"/>
                  <w:shd w:val="clear" w:color="auto" w:fill="F0F0F0"/>
                </w:tcPr>
                <w:p>
                  <w:pPr>
                    <w:pStyle w:val="Normal"/>
                    <w:keepLines w:val="on"/>
                  </w:pPr>
                  <w:r>
                    <w:t>1,44</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0,18%</w:t>
                  </w:r>
                </w:p>
              </w:tc>
              <w:tc>
                <w:tcPr>
                  <w:tcW w:type="auto" w:w="0"/>
                  <w:shd w:val="clear" w:color="auto" w:fill="F0F0F0"/>
                </w:tcPr>
                <w:p>
                  <w:pPr>
                    <w:pStyle w:val="Normal"/>
                    <w:keepLines w:val="on"/>
                  </w:pPr>
                  <w:r>
                    <w:t>0,99%</w:t>
                  </w:r>
                </w:p>
              </w:tc>
              <w:tc>
                <w:tcPr>
                  <w:tcW w:type="auto" w:w="0"/>
                  <w:shd w:val="clear" w:color="auto" w:fill="F0F0F0"/>
                </w:tcPr>
                <w:p>
                  <w:pPr>
                    <w:pStyle w:val="Normal"/>
                    <w:keepLines w:val="on"/>
                  </w:pPr>
                  <w:r>
                    <w:t>1,54</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0,56%</w:t>
                  </w:r>
                </w:p>
              </w:tc>
              <w:tc>
                <w:tcPr>
                  <w:tcW w:type="auto" w:w="0"/>
                  <w:shd w:val="clear" w:color="auto" w:fill="F0F0F0"/>
                </w:tcPr>
                <w:p>
                  <w:pPr>
                    <w:pStyle w:val="Normal"/>
                    <w:keepLines w:val="on"/>
                  </w:pPr>
                  <w:r>
                    <w:t>1,55%</w:t>
                  </w:r>
                </w:p>
              </w:tc>
              <w:tc>
                <w:tcPr>
                  <w:tcW w:type="auto" w:w="0"/>
                  <w:shd w:val="clear" w:color="auto" w:fill="F0F0F0"/>
                </w:tcPr>
                <w:p>
                  <w:pPr>
                    <w:pStyle w:val="Normal"/>
                    <w:keepLines w:val="on"/>
                  </w:pPr>
                  <w:r>
                    <w:t>1,88</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0,22%</w:t>
                  </w:r>
                </w:p>
              </w:tc>
              <w:tc>
                <w:tcPr>
                  <w:tcW w:type="auto" w:w="0"/>
                  <w:shd w:val="clear" w:color="auto" w:fill="F0F0F0"/>
                </w:tcPr>
                <w:p>
                  <w:pPr>
                    <w:pStyle w:val="Normal"/>
                    <w:keepLines w:val="on"/>
                  </w:pPr>
                  <w:r>
                    <w:t>1,77%</w:t>
                  </w:r>
                </w:p>
              </w:tc>
              <w:tc>
                <w:tcPr>
                  <w:tcW w:type="auto" w:w="0"/>
                  <w:shd w:val="clear" w:color="auto" w:fill="F0F0F0"/>
                </w:tcPr>
                <w:p>
                  <w:pPr>
                    <w:pStyle w:val="Normal"/>
                    <w:keepLines w:val="on"/>
                  </w:pPr>
                  <w:r>
                    <w:t>1,99</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0,05%</w:t>
                  </w:r>
                </w:p>
              </w:tc>
              <w:tc>
                <w:tcPr>
                  <w:tcW w:type="auto" w:w="0"/>
                  <w:shd w:val="clear" w:color="auto" w:fill="F0F0F0"/>
                </w:tcPr>
                <w:p>
                  <w:pPr>
                    <w:pStyle w:val="Normal"/>
                    <w:keepLines w:val="on"/>
                  </w:pPr>
                  <w:r>
                    <w:t>1,82%</w:t>
                  </w:r>
                </w:p>
              </w:tc>
              <w:tc>
                <w:tcPr>
                  <w:tcW w:type="auto" w:w="0"/>
                  <w:shd w:val="clear" w:color="auto" w:fill="F0F0F0"/>
                </w:tcPr>
                <w:p>
                  <w:pPr>
                    <w:pStyle w:val="Normal"/>
                    <w:keepLines w:val="on"/>
                  </w:pPr>
                  <w:r>
                    <w:t>2,00</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−0,13%</w:t>
                  </w:r>
                </w:p>
              </w:tc>
              <w:tc>
                <w:tcPr>
                  <w:tcW w:type="auto" w:w="0"/>
                  <w:shd w:val="clear" w:color="auto" w:fill="F0F0F0"/>
                </w:tcPr>
                <w:p>
                  <w:pPr>
                    <w:pStyle w:val="Normal"/>
                    <w:keepLines w:val="on"/>
                  </w:pPr>
                  <w:r>
                    <w:t>1,69%</w:t>
                  </w:r>
                </w:p>
              </w:tc>
              <w:tc>
                <w:tcPr>
                  <w:tcW w:type="auto" w:w="0"/>
                  <w:shd w:val="clear" w:color="auto" w:fill="F0F0F0"/>
                </w:tcPr>
                <w:p>
                  <w:pPr>
                    <w:pStyle w:val="Normal"/>
                    <w:keepLines w:val="on"/>
                  </w:pPr>
                  <w:r>
                    <w:t>1,89</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0,09%</w:t>
                  </w:r>
                </w:p>
              </w:tc>
              <w:tc>
                <w:tcPr>
                  <w:tcW w:type="auto" w:w="0"/>
                  <w:shd w:val="clear" w:color="auto" w:fill="F0F0F0"/>
                </w:tcPr>
                <w:p>
                  <w:pPr>
                    <w:pStyle w:val="Normal"/>
                    <w:keepLines w:val="on"/>
                  </w:pPr>
                  <w:r>
                    <w:t>1,78%</w:t>
                  </w:r>
                </w:p>
              </w:tc>
              <w:tc>
                <w:tcPr>
                  <w:tcW w:type="auto" w:w="0"/>
                  <w:shd w:val="clear" w:color="auto" w:fill="F0F0F0"/>
                </w:tcPr>
                <w:p>
                  <w:pPr>
                    <w:pStyle w:val="Normal"/>
                    <w:keepLines w:val="on"/>
                  </w:pPr>
                  <w:r>
                    <w:t>1,92</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0,02%</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1,91</w:t>
                  </w:r>
                </w:p>
              </w:tc>
            </w:tr>
          </w:tbl>
          <w:p/>
        </w:tc>
      </w:tr>
    </w:tbl>
    <w:p>
      <w:pPr>
        <w:pStyle w:val="Para 04"/>
        <w:keepLines w:val="on"/>
      </w:pPr>
      <w:r>
        <w:t>Dựa trên những mức lợi nhuận vượt trội (excess returns) này, không có bằng chứng nào cho thấy có hiệu ứng công bố chỉ trong ngày công bố, nhưng có một chút bằng chứng về hiệu ứng tích cực trong toàn bộ giai đoạn công bố.5</w:t>
      </w:r>
    </w:p>
    <w:p>
      <w:bookmarkStart w:id="837" w:name="Portfolio_Study"/>
      <w:bookmarkStart w:id="838" w:name="Portfolio_Study__In_some_investm"/>
      <w:pPr>
        <w:keepNext/>
        <w:pStyle w:val="Heading 3"/>
        <w:keepLines w:val="on"/>
      </w:pPr>
      <w:r>
        <w:t>Nghiên cứu theo danh mục đầu tư</w:t>
      </w:r>
      <w:bookmarkEnd w:id="837"/>
      <w:bookmarkEnd w:id="838"/>
    </w:p>
    <w:p>
      <w:pPr>
        <w:pStyle w:val="Para 03"/>
      </w:pPr>
      <w:r>
        <w:t>Trong một số chiến lược đầu tư, những công ty có đặc điểm cụ thể được xem là có khả năng bị định giá thấp hơn giá trị thực, và do đó có lợi nhuận vượt trội so với những công ty không có những đặc điểm này. Trong những trường hợp như vậy, các chiến lược có thể được kiểm nghiệm bằng cách tạo ra các danh mục đầu tư (portfolio) gồm những công ty sở hữu những đặc điểm này vào đầu một khoảng thời gian, rồi sau đó xem xét lợi nhuận trong suốt khoảng thời gian đó. Để đảm bảo rằng kết quả không bị ảnh hưởng bởi những nét riêng biệt của một khoảng thời gian duy nhất, phân tích này được lặp lại cho nhiều khoảng thời gian khác nhau. Bảy bước để thực hiện một nghiên cứu theo danh mục đầu tư là:</w:t>
      </w:r>
    </w:p>
    <w:p>
      <w:pPr>
        <w:numPr>
          <w:ilvl w:val="0"/>
          <w:numId w:val="35"/>
        </w:numPr>
        <w:pStyle w:val="Para 01"/>
      </w:pPr>
      <w:r>
        <w:t>Biến số dùng để phân loại các công ty được xác định, lấy chiến lược đầu tư làm kim chỉ nam. Biến số này phải có thể quan sát được, và dù sẽ dễ dàng hơn nếu nó có thể định lượng được, nó vẫn có thể là biến định tính. Ví dụ về biến định lượng bao gồm giá trị thị trường (market value – MV) của vốn chủ sở hữu, giá cổ phiếu, tỷ số giá trên thu nhập (price-earnings ratio), và tỷ số giá trên giá trị sổ sách (price–book value ratio). Biến định tính có thể bao gồm chất lượng ban quản lý, rủi ro vỡ nợ, hoặc uy tín công ty, tuy nhiên bạn sẽ cần các thước đo cho từng yếu tố để có thể tiến hành tiếp.</w:t>
      </w:r>
    </w:p>
    <w:p>
      <w:pPr>
        <w:numPr>
          <w:ilvl w:val="0"/>
          <w:numId w:val="35"/>
        </w:numPr>
        <w:pStyle w:val="Para 01"/>
      </w:pPr>
      <w:r>
        <w:t>Dữ liệu về biến số này được thu thập cho mọi công ty trong tập hợp được xác định6 vào thời điểm bắt đầu giai đoạn kiểm nghiệm, và các công ty được phân loại vào các danh mục đầu tư dựa trên độ lớn của biến số. Như vậy, nếu tỷ số giá trên thu nhập là biến sàng lọc, các công ty được phân loại dựa trên tỷ số PE thành các danh mục từ nhóm PE thấp nhất đến nhóm PE cao nhất. Số lượng nhóm sẽ phụ thuộc vào quy mô của tập hợp, vì phải có đủ số công ty trong mỗi danh mục để có được một mức độ đa dạng hóa nhất định.</w:t>
      </w:r>
    </w:p>
    <w:p>
      <w:pPr>
        <w:numPr>
          <w:ilvl w:val="0"/>
          <w:numId w:val="35"/>
        </w:numPr>
        <w:pStyle w:val="Para 01"/>
      </w:pPr>
      <w:r>
        <w:t>Lợi nhuận được thu thập cho từng công ty trong mỗi danh mục đầu tư trong giai đoạn kiểm nghiệm, và lợi nhuận của từng danh mục được tính toán, với quyết định là sẽ tính trọng số theo phương pháp cân bằng (equally weighted) hay dựa trên giá trị (value-weighted).</w:t>
      </w:r>
    </w:p>
    <w:p>
      <w:pPr>
        <w:numPr>
          <w:ilvl w:val="0"/>
          <w:numId w:val="35"/>
        </w:numPr>
        <w:pStyle w:val="Para 01"/>
      </w:pPr>
      <w:r>
        <w:t>Lợi nhuận cần được điều chỉnh theo rủi ro. Nếu bạn đang sử dụng các mô hình rủi ro và lợi nhuận thông thường trong tài chính, hệ số beta (nếu dùng mô hình một nhân tố) hoặc các hệ số beta (nếu dùng mô hình đa nhân tố) của từng danh mục sẽ được ước lượng, hoặc bằng cách lấy trung bình các hệ số beta của từng cổ phiếu riêng lẻ trong danh mục, hoặc bằng cách hồi quy lợi nhuận của danh mục theo lợi nhuận thị trường trong một giai đoạn trước đó (ví dụ, năm trước giai đoạn kiểm nghiệm). Nếu bạn muốn trung lập với mô hình, bạn có thể so sánh lợi nhuận với lợi nhuận chung của toàn thị trường hoặc của ngành.</w:t>
      </w:r>
    </w:p>
    <w:p>
      <w:pPr>
        <w:numPr>
          <w:ilvl w:val="0"/>
          <w:numId w:val="35"/>
        </w:numPr>
        <w:pStyle w:val="Para 01"/>
      </w:pPr>
      <w:r>
        <w:t>Lợi nhuận vượt trội mà mỗi danh mục đầu tư kiếm được sẽ được tính toán, cùng với sai số chuẩn (standard error) của lợi nhuận vượt trội đó.</w:t>
      </w:r>
    </w:p>
    <w:p>
      <w:pPr>
        <w:numPr>
          <w:ilvl w:val="0"/>
          <w:numId w:val="35"/>
        </w:numPr>
        <w:pStyle w:val="Para 01"/>
      </w:pPr>
      <w:r>
        <w:t>Có một số kiểm định thống kê sẵn có để kiểm tra xem liệu lợi nhuận vượt trội trung bình có thực sự khác nhau giữa các danh mục đầu tư hay không. Một số kiểm định trong đó là kiểm định tham số7 (chúng đưa ra những giả định nhất định về phân phối của lợi nhuận vượt trội), và một số là kiểm định phi tham số.8</w:t>
      </w:r>
    </w:p>
    <w:p>
      <w:pPr>
        <w:numPr>
          <w:ilvl w:val="0"/>
          <w:numId w:val="35"/>
        </w:numPr>
        <w:pStyle w:val="Para 01"/>
      </w:pPr>
      <w:r>
        <w:t>Như một kiểm định cuối cùng, các danh mục đầu tư ở hai thái cực có thể được đối chiếu với nhau để xem liệu có sự khác biệt có ý nghĩa thống kê giữa các danh mục này hay không.</w:t>
      </w:r>
    </w:p>
    <w:p>
      <w:pPr>
        <w:pStyle w:val="Para 11"/>
      </w:pPr>
      <w:r>
        <w:t/>
        <w:t xml:space="preserve"> </w:t>
      </w:r>
    </w:p>
    <w:p>
      <w:bookmarkStart w:id="843" w:name="ILLUSTRATION_6_2___Example_of_a"/>
      <w:bookmarkStart w:id="844" w:name="ILLUSTRATION_6_2___Example_of_a_1"/>
      <w:pPr>
        <w:keepNext/>
        <w:pStyle w:val="Para 19"/>
        <w:keepLines w:val="on"/>
      </w:pPr>
      <w:r>
        <w:t>MINH HỌA 6.2: Ví dụ về một nghiên cứu theo danh mục đầu tư — Tỷ số giá trên thu nhập</w:t>
      </w:r>
      <w:bookmarkEnd w:id="843"/>
      <w:bookmarkEnd w:id="844"/>
    </w:p>
    <w:p>
      <w:pPr>
        <w:pStyle w:val="Para 04"/>
        <w:keepLines w:val="on"/>
      </w:pPr>
      <w:r>
        <w:t>Những người hành nghề đã khẳng định rằng các cổ phiếu có tỷ số giá trên thu nhập thấp nói chung là những món hời và hoạt động tốt hơn nhiều so với thị trường hoặc so với các cổ phiếu có tỷ số giá trên thu nhập cao. Giả thuyết này có thể được kiểm nghiệm bằng cách sử dụng phương pháp tiếp cận theo danh mục đầu tư:</w:t>
      </w:r>
    </w:p>
    <w:p>
      <w:pPr>
        <w:pStyle w:val="Para 04"/>
        <w:keepLines w:val="on"/>
      </w:pPr>
      <w:r>
        <w:t>Bước 1: Sử dụng dữ liệu về tỷ số giá trên thu nhập từ cuối năm 1987, các công ty trên Sở Giao dịch Chứng khoán New York được phân thành năm nhóm, nhóm thứ nhất gồm những cổ phiếu có tỷ số PE thấp nhất và nhóm thứ năm gồm những cổ phiếu có tỷ số PE cao nhất. Những công ty có tỷ số giá trên thu nhập âm đã bị bỏ qua (điều này có thể làm kết quả bị lệch).</w:t>
      </w:r>
    </w:p>
    <w:p>
      <w:pPr>
        <w:pStyle w:val="Para 04"/>
        <w:keepLines w:val="on"/>
      </w:pPr>
      <w:r>
        <w:t>Bước 2: Lợi nhuận của từng danh mục đầu tư được tính toán bằng dữ liệu từ năm 1988 đến năm 1992. Những cổ phiếu bị phá sản hoặc bị hủy niêm yết được gán mức lợi nhuận là −100%.</w:t>
      </w:r>
    </w:p>
    <w:p>
      <w:pPr>
        <w:pStyle w:val="Para 04"/>
        <w:keepLines w:val="on"/>
      </w:pPr>
      <w:r>
        <w:t>Bước 3: Hệ số beta của từng cổ phiếu trong mỗi danh mục được tính bằng lợi nhuận hàng tháng từ năm 1983 đến năm 1987, và hệ số beta trung bình của từng danh mục được ước lượng. Các danh mục được giả định là có trọng số cân bằng.</w:t>
      </w:r>
    </w:p>
    <w:p>
      <w:pPr>
        <w:pStyle w:val="Para 04"/>
        <w:keepLines w:val="on"/>
      </w:pPr>
      <w:r>
        <w:t>Bước 4: Lợi nhuận của chỉ số thị trường được tính từ năm 1988 đến năm 1992.</w:t>
      </w:r>
    </w:p>
    <w:p>
      <w:pPr>
        <w:pStyle w:val="Para 04"/>
        <w:keepLines w:val="on"/>
      </w:pPr>
      <w:r>
        <w:t>Bước 5: Lợi nhuận vượt trội (excess returns) của từng danh mục được tính từ năm 1988 đến 1992. Bảng 6.2 tóm tắt lợi nhuận vượt trội mỗi năm từ 1988 đến 1992 cho từng danh mục.</w:t>
      </w:r>
    </w:p>
    <w:p>
      <w:pPr>
        <w:pStyle w:val="Para 25"/>
        <w:keepLines w:val="on"/>
      </w:pPr>
      <w:r>
        <w:t>Bảng 6.2</w:t>
      </w:r>
    </w:p>
    <w:p>
      <w:pPr>
        <w:keepNext/>
        <w:pStyle w:val="Para 24"/>
        <w:keepLines w:val="on"/>
      </w:pPr>
      <w:r>
        <w:t>Lợi nhuận vượt trội trung bình, theo nhóm ngũ phân vị PE</w:t>
      </w:r>
    </w:p>
    <w:tbl>
      <w:tblPr>
        <w:tblW w:type="auto" w:w="0"/>
      </w:tblPr>
      <w:tr>
        <w:tc>
          <w:tcPr>
            <w:tcW w:type="auto" w:w="0"/>
          </w:tcPr>
          <w:tbl>
            <w:tblPr>
              <w:tblW w:type="auto" w:w="0"/>
            </w:tblPr>
            <w:tr>
              <w:tc>
                <w:tcPr>
                  <w:tcW w:type="auto" w:w="0"/>
                  <w:shd w:val="clear" w:color="auto" w:fill="F0F0F0"/>
                </w:tcPr>
                <w:p>
                  <w:pPr>
                    <w:pStyle w:val="Para 32"/>
                    <w:keepLines w:val="on"/>
                  </w:pPr>
                  <w:r>
                    <w:t>Nhóm PE</w:t>
                  </w:r>
                </w:p>
              </w:tc>
              <w:tc>
                <w:tcPr>
                  <w:tcW w:type="auto" w:w="0"/>
                  <w:shd w:val="clear" w:color="auto" w:fill="F0F0F0"/>
                </w:tcPr>
                <w:p>
                  <w:pPr>
                    <w:pStyle w:val="Para 05"/>
                    <w:keepLines w:val="on"/>
                  </w:pPr>
                  <w:r>
                    <w:t>1988</w:t>
                  </w:r>
                </w:p>
              </w:tc>
              <w:tc>
                <w:tcPr>
                  <w:tcW w:type="auto" w:w="0"/>
                  <w:shd w:val="clear" w:color="auto" w:fill="F0F0F0"/>
                </w:tcPr>
                <w:p>
                  <w:pPr>
                    <w:pStyle w:val="Para 05"/>
                    <w:keepLines w:val="on"/>
                  </w:pPr>
                  <w:r>
                    <w:t>1989</w:t>
                  </w:r>
                </w:p>
              </w:tc>
              <w:tc>
                <w:tcPr>
                  <w:tcW w:type="auto" w:w="0"/>
                  <w:shd w:val="clear" w:color="auto" w:fill="F0F0F0"/>
                </w:tcPr>
                <w:p>
                  <w:pPr>
                    <w:pStyle w:val="Para 05"/>
                    <w:keepLines w:val="on"/>
                  </w:pPr>
                  <w:r>
                    <w:t>1990</w:t>
                  </w:r>
                </w:p>
              </w:tc>
              <w:tc>
                <w:tcPr>
                  <w:tcW w:type="auto" w:w="0"/>
                  <w:shd w:val="clear" w:color="auto" w:fill="F0F0F0"/>
                </w:tcPr>
                <w:p>
                  <w:pPr>
                    <w:pStyle w:val="Para 05"/>
                    <w:keepLines w:val="on"/>
                  </w:pPr>
                  <w:r>
                    <w:t>1991</w:t>
                  </w:r>
                </w:p>
              </w:tc>
              <w:tc>
                <w:tcPr>
                  <w:tcW w:type="auto" w:w="0"/>
                  <w:shd w:val="clear" w:color="auto" w:fill="F0F0F0"/>
                </w:tcPr>
                <w:p>
                  <w:pPr>
                    <w:pStyle w:val="Para 05"/>
                    <w:keepLines w:val="on"/>
                  </w:pPr>
                  <w:r>
                    <w:t>1992</w:t>
                  </w:r>
                </w:p>
              </w:tc>
              <w:tc>
                <w:tcPr>
                  <w:tcW w:type="auto" w:w="0"/>
                  <w:shd w:val="clear" w:color="auto" w:fill="F0F0F0"/>
                </w:tcPr>
                <w:p>
                  <w:pPr>
                    <w:pStyle w:val="Para 05"/>
                    <w:keepLines w:val="on"/>
                  </w:pPr>
                  <w:r>
                    <w:t>1988–1992</w:t>
                  </w:r>
                </w:p>
              </w:tc>
            </w:tr>
            <w:tr>
              <w:tc>
                <w:tcPr>
                  <w:tcW w:type="auto" w:w="0"/>
                  <w:shd w:val="clear" w:color="auto" w:fill="F0F0F0"/>
                </w:tcPr>
                <w:p>
                  <w:pPr>
                    <w:pStyle w:val="Para 02"/>
                    <w:keepLines w:val="on"/>
                  </w:pPr>
                  <w:r>
                    <w:t>Thấp nhất</w:t>
                  </w:r>
                </w:p>
              </w:tc>
              <w:tc>
                <w:tcPr>
                  <w:tcW w:type="auto" w:w="0"/>
                  <w:shd w:val="clear" w:color="auto" w:fill="F0F0F0"/>
                </w:tcPr>
                <w:p>
                  <w:pPr>
                    <w:pStyle w:val="Normal"/>
                    <w:keepLines w:val="on"/>
                  </w:pPr>
                  <w:r>
                    <w:t>3,84%</w:t>
                  </w:r>
                </w:p>
              </w:tc>
              <w:tc>
                <w:tcPr>
                  <w:tcW w:type="auto" w:w="0"/>
                  <w:shd w:val="clear" w:color="auto" w:fill="F0F0F0"/>
                </w:tcPr>
                <w:p>
                  <w:pPr>
                    <w:pStyle w:val="Normal"/>
                    <w:keepLines w:val="on"/>
                  </w:pPr>
                  <w:r>
                    <w:t>−0,83%</w:t>
                  </w:r>
                </w:p>
              </w:tc>
              <w:tc>
                <w:tcPr>
                  <w:tcW w:type="auto" w:w="0"/>
                  <w:shd w:val="clear" w:color="auto" w:fill="F0F0F0"/>
                </w:tcPr>
                <w:p>
                  <w:pPr>
                    <w:pStyle w:val="Normal"/>
                    <w:keepLines w:val="on"/>
                  </w:pPr>
                  <w:r>
                    <w:t>2,10%</w:t>
                  </w:r>
                </w:p>
              </w:tc>
              <w:tc>
                <w:tcPr>
                  <w:tcW w:type="auto" w:w="0"/>
                  <w:shd w:val="clear" w:color="auto" w:fill="F0F0F0"/>
                </w:tcPr>
                <w:p>
                  <w:pPr>
                    <w:pStyle w:val="Normal"/>
                    <w:keepLines w:val="on"/>
                  </w:pPr>
                  <w:r>
                    <w:t>6,68%</w:t>
                  </w:r>
                </w:p>
              </w:tc>
              <w:tc>
                <w:tcPr>
                  <w:tcW w:type="auto" w:w="0"/>
                  <w:shd w:val="clear" w:color="auto" w:fill="F0F0F0"/>
                </w:tcPr>
                <w:p>
                  <w:pPr>
                    <w:pStyle w:val="Normal"/>
                    <w:keepLines w:val="on"/>
                  </w:pPr>
                  <w:r>
                    <w:t>0,64%</w:t>
                  </w:r>
                </w:p>
              </w:tc>
              <w:tc>
                <w:tcPr>
                  <w:tcW w:type="auto" w:w="0"/>
                  <w:shd w:val="clear" w:color="auto" w:fill="F0F0F0"/>
                </w:tcPr>
                <w:p>
                  <w:pPr>
                    <w:pStyle w:val="Normal"/>
                    <w:keepLines w:val="on"/>
                  </w:pPr>
                  <w:r>
                    <w:t>2,61%</w:t>
                  </w:r>
                </w:p>
              </w:tc>
            </w:tr>
            <w:tr>
              <w:tc>
                <w:tcPr>
                  <w:tcW w:type="auto" w:w="0"/>
                  <w:shd w:val="clear" w:color="auto" w:fill="F0F0F0"/>
                </w:tcPr>
                <w:p>
                  <w:pPr>
                    <w:pStyle w:val="Para 02"/>
                    <w:keepLines w:val="on"/>
                  </w:pPr>
                  <w:r>
                    <w:t>2</w:t>
                  </w:r>
                </w:p>
              </w:tc>
              <w:tc>
                <w:tcPr>
                  <w:tcW w:type="auto" w:w="0"/>
                  <w:shd w:val="clear" w:color="auto" w:fill="F0F0F0"/>
                </w:tcPr>
                <w:p>
                  <w:pPr>
                    <w:pStyle w:val="Normal"/>
                    <w:keepLines w:val="on"/>
                  </w:pPr>
                  <w:r>
                    <w:t>1,75%</w:t>
                  </w:r>
                </w:p>
              </w:tc>
              <w:tc>
                <w:tcPr>
                  <w:tcW w:type="auto" w:w="0"/>
                  <w:shd w:val="clear" w:color="auto" w:fill="F0F0F0"/>
                </w:tcPr>
                <w:p>
                  <w:pPr>
                    <w:pStyle w:val="Normal"/>
                    <w:keepLines w:val="on"/>
                  </w:pPr>
                  <w:r>
                    <w:t>2,26%</w:t>
                  </w:r>
                </w:p>
              </w:tc>
              <w:tc>
                <w:tcPr>
                  <w:tcW w:type="auto" w:w="0"/>
                  <w:shd w:val="clear" w:color="auto" w:fill="F0F0F0"/>
                </w:tcPr>
                <w:p>
                  <w:pPr>
                    <w:pStyle w:val="Normal"/>
                    <w:keepLines w:val="on"/>
                  </w:pPr>
                  <w:r>
                    <w:t>0,19%</w:t>
                  </w:r>
                </w:p>
              </w:tc>
              <w:tc>
                <w:tcPr>
                  <w:tcW w:type="auto" w:w="0"/>
                  <w:shd w:val="clear" w:color="auto" w:fill="F0F0F0"/>
                </w:tcPr>
                <w:p>
                  <w:pPr>
                    <w:pStyle w:val="Normal"/>
                    <w:keepLines w:val="on"/>
                  </w:pPr>
                  <w:r>
                    <w:t>1,09%</w:t>
                  </w:r>
                </w:p>
              </w:tc>
              <w:tc>
                <w:tcPr>
                  <w:tcW w:type="auto" w:w="0"/>
                  <w:shd w:val="clear" w:color="auto" w:fill="F0F0F0"/>
                </w:tcPr>
                <w:p>
                  <w:pPr>
                    <w:pStyle w:val="Normal"/>
                    <w:keepLines w:val="on"/>
                  </w:pPr>
                  <w:r>
                    <w:t>1,13%</w:t>
                  </w:r>
                </w:p>
              </w:tc>
              <w:tc>
                <w:tcPr>
                  <w:tcW w:type="auto" w:w="0"/>
                  <w:shd w:val="clear" w:color="auto" w:fill="F0F0F0"/>
                </w:tcPr>
                <w:p>
                  <w:pPr>
                    <w:pStyle w:val="Normal"/>
                    <w:keepLines w:val="on"/>
                  </w:pPr>
                  <w:r>
                    <w:t>1,56%</w:t>
                  </w:r>
                </w:p>
              </w:tc>
            </w:tr>
            <w:tr>
              <w:tc>
                <w:tcPr>
                  <w:tcW w:type="auto" w:w="0"/>
                  <w:shd w:val="clear" w:color="auto" w:fill="F0F0F0"/>
                </w:tcPr>
                <w:p>
                  <w:pPr>
                    <w:pStyle w:val="Para 02"/>
                    <w:keepLines w:val="on"/>
                  </w:pPr>
                  <w:r>
                    <w:t>3</w:t>
                  </w:r>
                </w:p>
              </w:tc>
              <w:tc>
                <w:tcPr>
                  <w:tcW w:type="auto" w:w="0"/>
                  <w:shd w:val="clear" w:color="auto" w:fill="F0F0F0"/>
                </w:tcPr>
                <w:p>
                  <w:pPr>
                    <w:pStyle w:val="Normal"/>
                    <w:keepLines w:val="on"/>
                  </w:pPr>
                  <w:r>
                    <w:t>0,20%</w:t>
                  </w:r>
                </w:p>
              </w:tc>
              <w:tc>
                <w:tcPr>
                  <w:tcW w:type="auto" w:w="0"/>
                  <w:shd w:val="clear" w:color="auto" w:fill="F0F0F0"/>
                </w:tcPr>
                <w:p>
                  <w:pPr>
                    <w:pStyle w:val="Normal"/>
                    <w:keepLines w:val="on"/>
                  </w:pPr>
                  <w:r>
                    <w:t>−3,15%</w:t>
                  </w:r>
                </w:p>
              </w:tc>
              <w:tc>
                <w:tcPr>
                  <w:tcW w:type="auto" w:w="0"/>
                  <w:shd w:val="clear" w:color="auto" w:fill="F0F0F0"/>
                </w:tcPr>
                <w:p>
                  <w:pPr>
                    <w:pStyle w:val="Normal"/>
                    <w:keepLines w:val="on"/>
                  </w:pPr>
                  <w:r>
                    <w:t>−0,20%</w:t>
                  </w:r>
                </w:p>
              </w:tc>
              <w:tc>
                <w:tcPr>
                  <w:tcW w:type="auto" w:w="0"/>
                  <w:shd w:val="clear" w:color="auto" w:fill="F0F0F0"/>
                </w:tcPr>
                <w:p>
                  <w:pPr>
                    <w:pStyle w:val="Normal"/>
                    <w:keepLines w:val="on"/>
                  </w:pPr>
                  <w:r>
                    <w:t>0,17%</w:t>
                  </w:r>
                </w:p>
              </w:tc>
              <w:tc>
                <w:tcPr>
                  <w:tcW w:type="auto" w:w="0"/>
                  <w:shd w:val="clear" w:color="auto" w:fill="F0F0F0"/>
                </w:tcPr>
                <w:p>
                  <w:pPr>
                    <w:pStyle w:val="Normal"/>
                    <w:keepLines w:val="on"/>
                  </w:pPr>
                  <w:r>
                    <w:t>0,12%</w:t>
                  </w:r>
                </w:p>
              </w:tc>
              <w:tc>
                <w:tcPr>
                  <w:tcW w:type="auto" w:w="0"/>
                  <w:shd w:val="clear" w:color="auto" w:fill="F0F0F0"/>
                </w:tcPr>
                <w:p>
                  <w:pPr>
                    <w:pStyle w:val="Normal"/>
                    <w:keepLines w:val="on"/>
                  </w:pPr>
                  <w:r>
                    <w:t>−0,59%</w:t>
                  </w:r>
                </w:p>
              </w:tc>
            </w:tr>
            <w:tr>
              <w:tc>
                <w:tcPr>
                  <w:tcW w:type="auto" w:w="0"/>
                  <w:shd w:val="clear" w:color="auto" w:fill="F0F0F0"/>
                </w:tcPr>
                <w:p>
                  <w:pPr>
                    <w:pStyle w:val="Para 02"/>
                    <w:keepLines w:val="on"/>
                  </w:pPr>
                  <w:r>
                    <w:t>4</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−0,94%</w:t>
                  </w:r>
                </w:p>
              </w:tc>
              <w:tc>
                <w:tcPr>
                  <w:tcW w:type="auto" w:w="0"/>
                  <w:shd w:val="clear" w:color="auto" w:fill="F0F0F0"/>
                </w:tcPr>
                <w:p>
                  <w:pPr>
                    <w:pStyle w:val="Normal"/>
                    <w:keepLines w:val="on"/>
                  </w:pPr>
                  <w:r>
                    <w:t>−0,65%</w:t>
                  </w:r>
                </w:p>
              </w:tc>
              <w:tc>
                <w:tcPr>
                  <w:tcW w:type="auto" w:w="0"/>
                  <w:shd w:val="clear" w:color="auto" w:fill="F0F0F0"/>
                </w:tcPr>
                <w:p>
                  <w:pPr>
                    <w:pStyle w:val="Normal"/>
                    <w:keepLines w:val="on"/>
                  </w:pPr>
                  <w:r>
                    <w:t>−1,99%</w:t>
                  </w:r>
                </w:p>
              </w:tc>
              <w:tc>
                <w:tcPr>
                  <w:tcW w:type="auto" w:w="0"/>
                  <w:shd w:val="clear" w:color="auto" w:fill="F0F0F0"/>
                </w:tcPr>
                <w:p>
                  <w:pPr>
                    <w:pStyle w:val="Normal"/>
                    <w:keepLines w:val="on"/>
                  </w:pPr>
                  <w:r>
                    <w:t>−0,48%</w:t>
                  </w:r>
                </w:p>
              </w:tc>
              <w:tc>
                <w:tcPr>
                  <w:tcW w:type="auto" w:w="0"/>
                  <w:shd w:val="clear" w:color="auto" w:fill="F0F0F0"/>
                </w:tcPr>
                <w:p>
                  <w:pPr>
                    <w:pStyle w:val="Normal"/>
                    <w:keepLines w:val="on"/>
                  </w:pPr>
                  <w:r>
                    <w:t>−1,15%</w:t>
                  </w:r>
                </w:p>
              </w:tc>
            </w:tr>
            <w:tr>
              <w:tc>
                <w:tcPr>
                  <w:tcW w:type="auto" w:w="0"/>
                  <w:shd w:val="clear" w:color="auto" w:fill="F0F0F0"/>
                </w:tcPr>
                <w:p>
                  <w:pPr>
                    <w:pStyle w:val="Para 02"/>
                    <w:keepLines w:val="on"/>
                  </w:pPr>
                  <w:r>
                    <w:t>Cao nhất</w:t>
                  </w:r>
                </w:p>
              </w:tc>
              <w:tc>
                <w:tcPr>
                  <w:tcW w:type="auto" w:w="0"/>
                  <w:shd w:val="clear" w:color="auto" w:fill="F0F0F0"/>
                </w:tcPr>
                <w:p>
                  <w:pPr>
                    <w:pStyle w:val="Normal"/>
                    <w:keepLines w:val="on"/>
                  </w:pPr>
                  <w:r>
                    <w:t>−1,74%</w:t>
                  </w:r>
                </w:p>
              </w:tc>
              <w:tc>
                <w:tcPr>
                  <w:tcW w:type="auto" w:w="0"/>
                  <w:shd w:val="clear" w:color="auto" w:fill="F0F0F0"/>
                </w:tcPr>
                <w:p>
                  <w:pPr>
                    <w:pStyle w:val="Normal"/>
                    <w:keepLines w:val="on"/>
                  </w:pPr>
                  <w:r>
                    <w:t>−0,63%</w:t>
                  </w:r>
                </w:p>
              </w:tc>
              <w:tc>
                <w:tcPr>
                  <w:tcW w:type="auto" w:w="0"/>
                  <w:shd w:val="clear" w:color="auto" w:fill="F0F0F0"/>
                </w:tcPr>
                <w:p>
                  <w:pPr>
                    <w:pStyle w:val="Normal"/>
                    <w:keepLines w:val="on"/>
                  </w:pPr>
                  <w:r>
                    <w:t>−1,44%</w:t>
                  </w:r>
                </w:p>
              </w:tc>
              <w:tc>
                <w:tcPr>
                  <w:tcW w:type="auto" w:w="0"/>
                  <w:shd w:val="clear" w:color="auto" w:fill="F0F0F0"/>
                </w:tcPr>
                <w:p>
                  <w:pPr>
                    <w:pStyle w:val="Normal"/>
                    <w:keepLines w:val="on"/>
                  </w:pPr>
                  <w:r>
                    <w:t>−4,06%</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−1,95%</w:t>
                  </w:r>
                </w:p>
              </w:tc>
            </w:tr>
          </w:tbl>
          <w:p/>
        </w:tc>
      </w:tr>
    </w:tbl>
    <w:p>
      <w:pPr>
        <w:pStyle w:val="Para 04"/>
        <w:keepLines w:val="on"/>
      </w:pPr>
      <w:r>
        <w:t>Bước 6: Dù thứ hạng lợi suất giữa các nhóm danh mục đầu tư dường như xác nhận giả thuyết của chúng ta rằng cổ phiếu có tỷ lệ P/E thấp mang lại lợi suất cao hơn, chúng ta vẫn phải xem xét liệu sự khác biệt giữa các danh mục đầu tư có ý nghĩa thống kê (statistically significant) hay không. Có một số kiểm định có thể sử dụng, nhưng đây là một vài kiểm định tiêu biểu:</w:t>
      </w:r>
    </w:p>
    <w:p>
      <w:pPr>
        <w:numPr>
          <w:ilvl w:val="0"/>
          <w:numId w:val="36"/>
        </w:numPr>
        <w:pStyle w:val="Para 18"/>
        <w:keepLines w:val="on"/>
      </w:pPr>
      <w:r>
        <w:t>Kiểm định F (F test) có thể được dùng để chấp nhận hoặc bác bỏ giả thuyết rằng lợi suất trung bình là như nhau giữa tất cả các danh mục đầu tư. Điểm F cao sẽ khiến chúng ta kết luận rằng sự khác biệt là quá lớn để có thể là ngẫu nhiên.</w:t>
      </w:r>
    </w:p>
    <w:p>
      <w:pPr>
        <w:numPr>
          <w:ilvl w:val="0"/>
          <w:numId w:val="36"/>
        </w:numPr>
        <w:pStyle w:val="Para 18"/>
        <w:keepLines w:val="on"/>
      </w:pPr>
      <w:r>
        <w:t>Kiểm định chi bình phương (chi-squared test) là một kiểm định phi tham số (nonparametric test) có thể được dùng để kiểm định giả thuyết rằng các giá trị trung bình là như nhau giữa năm nhóm danh mục đầu tư.</w:t>
      </w:r>
    </w:p>
    <w:p>
      <w:pPr>
        <w:numPr>
          <w:ilvl w:val="0"/>
          <w:numId w:val="36"/>
        </w:numPr>
        <w:pStyle w:val="Para 18"/>
        <w:keepLines w:val="on"/>
      </w:pPr>
      <w:r>
        <w:t>Chúng ta có thể tách riêng nhóm cổ phiếu có P/E thấp nhất và nhóm có P/E cao nhất rồi ước lượng một thống kê t (t statistic) cho rằng giá trị trung bình khác nhau giữa hai danh mục đầu tư này.</w:t>
      </w:r>
    </w:p>
    <w:p>
      <w:bookmarkStart w:id="847" w:name="Cardinal_Sins_in_Testing_Market"/>
      <w:bookmarkStart w:id="848" w:name="Cardinal_Sins_in_Testing_Market_1"/>
      <w:pPr>
        <w:keepNext/>
        <w:pStyle w:val="Heading 2"/>
        <w:keepLines w:val="on"/>
      </w:pPr>
      <w:r>
        <w:t>Những Sai Lầm Nghiêm Trọng Khi Kiểm Định Tính Hiệu Quả Của Thị Trường</w:t>
      </w:r>
      <w:bookmarkEnd w:id="847"/>
      <w:bookmarkEnd w:id="848"/>
    </w:p>
    <w:p>
      <w:pPr>
        <w:pStyle w:val="Para 03"/>
      </w:pPr>
      <w:r>
        <w:t>Trong quá trình kiểm nghiệm các chiến lược đầu tư, có một số cạm bẫy cần phải tránh. Sáu cạm bẫy trong số đó là:</w:t>
      </w:r>
    </w:p>
    <w:p>
      <w:pPr>
        <w:numPr>
          <w:ilvl w:val="0"/>
          <w:numId w:val="37"/>
        </w:numPr>
        <w:pStyle w:val="Para 01"/>
      </w:pPr>
      <w:r>
        <w:t>Dùng bằng chứng giai thoại để ủng hộ/bác bỏ một chiến lược đầu tư. Bằng chứng giai thoại là con dao hai lưỡi. Nó có thể được dùng để ủng hộ hoặc bác bỏ cùng một giả thuyết. Vì giá cổ phiếu đầy nhiễu loạn và mọi kế hoạch đầu tư (dù vô lý đến đâu) đều sẽ có lúc thành công và có lúc thất bại, nên luôn tồn tại những trường hợp kế hoạch đó hiệu quả hoặc không hiệu quả.</w:t>
      </w:r>
    </w:p>
    <w:p>
      <w:pPr>
        <w:numPr>
          <w:ilvl w:val="0"/>
          <w:numId w:val="37"/>
        </w:numPr>
        <w:pStyle w:val="Para 01"/>
      </w:pPr>
      <w:r>
        <w:t>Kiểm nghiệm một chiến lược đầu tư trên chính bộ dữ liệu và giai đoạn mà nó được rút ra. Đây là thủ thuật ưa thích của những nhà chiến lược đầu tư thiếu đạo đức. Một kế hoạch đầu tư được chọn ra từ hàng trăm kế hoạch thông qua việc xem xét dữ liệu của một giai đoạn cụ thể. Sau đó, kế hoạch đầu tư này được kiểm nghiệm trên chính giai đoạn đó, với kết quả có thể đoán trước. (Kế hoạch đó đạt kết quả thần kỳ và mang lại lợi nhuận khổng lồ.) Một kế hoạch đầu tư luôn phải được kiểm nghiệm trên một giai đoạn khác với giai đoạn mà nó được rút ra, hoặc trên một tập hợp cổ phiếu khác với tập hợp dùng để xây dựng kế hoạch đó.</w:t>
      </w:r>
    </w:p>
    <w:p>
      <w:pPr>
        <w:numPr>
          <w:ilvl w:val="0"/>
          <w:numId w:val="37"/>
        </w:numPr>
        <w:pStyle w:val="Para 01"/>
      </w:pPr>
      <w:r>
        <w:t>Chọn mẫu bị thiên lệch. Mẫu dùng để chạy kiểm nghiệm có thể bị thiên lệch. Vì có hàng nghìn cổ phiếu có thể được coi là thuộc tập hợp này, các nhà nghiên cứu thường chọn dùng một mẫu nhỏ hơn. Khi sự lựa chọn này là ngẫu nhiên, nó chỉ gây tổn hại hạn chế đến kết quả nghiên cứu. Nếu sự lựa chọn bị thiên lệch, nó có thể đưa ra những kết quả không đúng trong tập hợp lớn hơn.</w:t>
      </w:r>
    </w:p>
    <w:p>
      <w:pPr>
        <w:numPr>
          <w:ilvl w:val="0"/>
          <w:numId w:val="37"/>
        </w:numPr>
        <w:pStyle w:val="Para 01"/>
      </w:pPr>
      <w:r>
        <w:t>Không kiểm soát được diễn biến chung của thị trường. Việc không kiểm soát diễn biến chung của thị trường có thể khiến bạn kết luận rằng kế hoạch đầu tư của mình hiệu quả chỉ vì nó mang lại lợi nhuận tốt (hầu hết các kế hoạch đều sẽ mang lại lợi nhuận tốt nếu thị trường chung tăng; câu hỏi là liệu chúng có mang lại lợi nhuận tốt hơn kỳ vọng hay không), hoặc không hiệu quả chỉ vì nó mang lại lợi nhuận kém (hầu hết các kế hoạch đều sẽ kém nếu thị trường chung diễn biến tồi tệ). Do đó, điều tối quan trọng là các kế hoạch đầu tư phải kiểm soát được diễn biến thị trường trong suốt giai đoạn kiểm nghiệm.</w:t>
      </w:r>
    </w:p>
    <w:p>
      <w:pPr>
        <w:numPr>
          <w:ilvl w:val="0"/>
          <w:numId w:val="37"/>
        </w:numPr>
        <w:pStyle w:val="Para 01"/>
      </w:pPr>
      <w:r>
        <w:t>Không kiểm soát được rủi ro. Việc không kiểm soát rủi ro dẫn đến xu hướng chấp nhận các kế hoạch đầu tư rủi ro cao và bác bỏ các kế hoạch đầu tư rủi ro thấp, vì nhóm trước đáng lẽ phải mang lại lợi nhuận cao hơn thị trường còn nhóm sau thấp hơn, mà không hàm ý bất kỳ lợi nhuận vượt trội nào.</w:t>
      </w:r>
    </w:p>
    <w:p>
      <w:pPr>
        <w:numPr>
          <w:ilvl w:val="0"/>
          <w:numId w:val="37"/>
        </w:numPr>
        <w:pStyle w:val="Para 01"/>
      </w:pPr>
      <w:r>
        <w:t>Nhầm lẫn giữa tương quan và nhân quả. Hãy xem xét nghiên cứu về các cổ phiếu PE được trích dẫn ở phần trước. Chúng ta kết luận rằng cổ phiếu PE thấp có lợi nhuận vượt trội cao hơn cổ phiếu PE cao. Sẽ là sai lầm nếu kết luận rằng tỷ lệ giá trên thu nhập thấp gây ra lợi nhuận vượt trội, vì chính lợi nhuận cao và tỷ lệ PE thấp có thể đều do rủi ro cao gắn với việc đầu tư vào cổ phiếu đó gây ra. Nói cách khác, rủi ro cao chính là yếu tố nhân quả dẫn đến cả hai hiện tượng quan sát được — một mặt là tỷ lệ PE thấp, mặt khác là lợi nhuận cao. Nhận định này sẽ khiến chúng ta thận trọng hơn khi áp dụng chiến lược mua cổ phiếu PE thấp ngay từ đầu.</w:t>
      </w:r>
    </w:p>
    <w:p>
      <w:bookmarkStart w:id="850" w:name="Some_Lesser_Sins_That_Can_Be_a_P"/>
      <w:bookmarkStart w:id="851" w:name="Some_Lesser_Sins_That_Can_Be_a_P_1"/>
      <w:pPr>
        <w:keepNext/>
        <w:pStyle w:val="Heading 2"/>
        <w:keepLines w:val="on"/>
      </w:pPr>
      <w:r>
        <w:t>Một số tội lỗi nhỏ hơn cũng có thể là vấn đề</w:t>
      </w:r>
      <w:bookmarkEnd w:id="850"/>
      <w:bookmarkEnd w:id="851"/>
    </w:p>
    <w:p>
      <w:pPr>
        <w:numPr>
          <w:ilvl w:val="0"/>
          <w:numId w:val="38"/>
        </w:numPr>
        <w:pStyle w:val="Para 01"/>
      </w:pPr>
      <w:r>
        <w:t>Thiên lệch sống sót (survival bias). Hầu hết các nhà nghiên cứu bắt đầu với một tập hợp các công ty niêm yết hiện có rồi truy ngược thời gian để kiểm nghiệm các chiến lược đầu tư. Điều này có thể tạo ra một thiên lệch tinh vi vì nó tự động loại bỏ những công ty đã thất bại trong giai đoạn đó, với hậu quả tiêu cực rõ ràng đối với lợi nhuận. Nếu kế hoạch đầu tư đặc biệt dễ chọn phải những công ty có rủi ro phá sản cao, điều này có thể dẫn đến việc phóng đại lợi nhuận của kế hoạch. Ví dụ, giả sử kế hoạch đầu tư khuyến nghị đầu tư vào những cổ phiếu có thu nhập rất âm, với lập luận rằng những cổ phiếu này có khả năng hưởng lợi nhất từ một cuộc phục hồi. Một số công ty trong danh mục này sẽ phá sản, và việc không tính đến những công ty đó sẽ phóng đại lợi nhuận của chiến lược này.</w:t>
      </w:r>
    </w:p>
    <w:p>
      <w:pPr>
        <w:numPr>
          <w:ilvl w:val="0"/>
          <w:numId w:val="38"/>
        </w:numPr>
        <w:pStyle w:val="Para 01"/>
      </w:pPr>
      <w:r>
        <w:t>Không tính đến chi phí giao dịch. Một số kế hoạch đầu tư tốn kém hơn những kế hoạch khác vì chi phí giao dịch — phí thực hiện, chênh lệch giá mua-giá bán (bid-ask spread), và tác động giá (price impact). Một cuộc kiểm nghiệm đầy đủ sẽ tính đến những yếu tố này trước khi đưa ra phán quyết về chiến lược. Nói thì dễ hơn làm, vì mỗi nhà đầu tư có chi phí giao dịch khác nhau, và không rõ nên dùng mức chi phí giao dịch của nhà đầu tư nào trong cuộc kiểm nghiệm. Hầu hết các nhà nghiên cứu bỏ qua chi phí giao dịch lập luận rằng nhà đầu tư cá nhân có thể tự quyết định, dựa trên chi phí giao dịch của mình, liệu lợi nhuận vượt trội có biện minh cho chiến lược đầu tư đó hay không.</w:t>
      </w:r>
    </w:p>
    <w:p>
      <w:pPr>
        <w:numPr>
          <w:ilvl w:val="0"/>
          <w:numId w:val="38"/>
        </w:numPr>
        <w:pStyle w:val="Para 01"/>
      </w:pPr>
      <w:r>
        <w:t>Không tính đến những khó khăn khi thực hiện. Một số chiến lược trông có vẻ hay trên giấy tờ nhưng lại khó thực hiện trên thực tế, hoặc vì những trở ngại trong giao dịch, hoặc vì giao dịch tạo ra tác động giá. Một chiến lược đầu tư vào những công ty rất nhỏ có thể trông như tạo ra lợi nhuận vượt trội trên giấy tờ, nhưng lợi nhuận vượt trội này có thể không tồn tại trên thực tế vì tác động giá khi bạn giao dịch — đẩy giá lên khi bạn mua và đẩy giá xuống khi bạn bán — là đáng kể.</w:t>
      </w:r>
    </w:p>
    <w:p>
      <w:pPr>
        <w:numPr>
          <w:ilvl w:val="0"/>
          <w:numId w:val="38"/>
        </w:numPr>
        <w:pStyle w:val="Para 01"/>
      </w:pPr>
      <w:r>
        <w:t>Thời điểm thông tin. Khi kiểm nghiệm các chiến lược, đặc biệt là những chiến lược xây dựng quanh các thông báo thông tin, một câu hỏi then chốt cần được trả lời là khi nào thông tin đó sẽ đến được với nhà đầu tư, và liệu bạn có đủ thời gian để giao dịch dựa trên thông tin đó hay không. Ví dụ, ở phần sau của chương này, chúng ta sẽ xem xét lợi nhuận có thể kiếm được quanh các giao dịch mua hoặc bán của người nội bộ, với thông tin đó đến từ các hồ sơ mà người nội bộ nộp cho Ủy ban Chứng khoán và Giao dịch (SEC). Tuy nhiên, trong giai đoạn diễn ra các nghiên cứu này, những hồ sơ đó sẽ không phải là thông tin công khai cho đến vài tuần sau khi nộp, làm thay đổi thời điểm đầu tư.</w:t>
      </w:r>
    </w:p>
    <w:p>
      <w:bookmarkStart w:id="853" w:name="Evidence_on_Market_Efficiency"/>
      <w:bookmarkStart w:id="854" w:name="Evidence_on_Market_Efficiency__T"/>
      <w:pPr>
        <w:keepNext/>
        <w:pStyle w:val="Heading 2"/>
        <w:keepLines w:val="on"/>
      </w:pPr>
      <w:r>
        <w:t>Bằng chứng về hiệu quả thị trường</w:t>
      </w:r>
      <w:bookmarkEnd w:id="853"/>
      <w:bookmarkEnd w:id="854"/>
    </w:p>
    <w:p>
      <w:pPr>
        <w:pStyle w:val="Para 03"/>
      </w:pPr>
      <w:r>
        <w:t>Phần này của chương cố gắng tóm tắt các bằng chứng từ những nghiên cứu về hiệu quả thị trường. Không dám tự nhận là toàn diện, các bằng chứng được phân thành bốn nhóm — nghiên cứu về những thay đổi giá và các đặc tính chuỗi thời gian của chúng, nghiên cứu về hiệu quả phản ứng của thị trường trước các thông báo thông tin, sự tồn tại của các bất thường lợi nhuận giữa các công ty và theo thời gian, và phân tích hiệu suất của người nội bộ, chuyên gia phân tích và người quản lý tiền.</w:t>
      </w:r>
    </w:p>
    <w:p>
      <w:bookmarkStart w:id="855" w:name="Time_Series_Properties_of_Price"/>
      <w:bookmarkStart w:id="856" w:name="Time_Series_Properties_of_Price_1"/>
      <w:pPr>
        <w:keepNext/>
        <w:pStyle w:val="Heading 2"/>
        <w:keepLines w:val="on"/>
      </w:pPr>
      <w:r>
        <w:t>Đặc tính chuỗi thời gian của những thay đổi giá</w:t>
      </w:r>
      <w:bookmarkEnd w:id="855"/>
      <w:bookmarkEnd w:id="856"/>
    </w:p>
    <w:p>
      <w:pPr>
        <w:pStyle w:val="Para 03"/>
      </w:pPr>
      <w:r>
        <w:t>Các nhà đầu tư đã dùng biểu đồ giá và mô hình giá làm công cụ để dự đoán biến động giá trong tương lai kể từ khi thị trường tài chính ra đời. Do đó, không có gì đáng ngạc nhiên khi những nghiên cứu đầu tiên về hiệu quả thị trường tập trung vào mối quan hệ giữa các thay đổi giá theo thời gian, để xem liệu những dự đoán như vậy có thực sự khả thi hay không. Một phần của việc kiểm nghiệm này được thúc đẩy bởi lý thuyết bước đi ngẫu nhiên (random walk) về biến động giá, cho rằng những thay đổi giá theo thời gian tuân theo một bước đi ngẫu nhiên. Khi các nghiên cứu về đặc tính chuỗi thời gian của giá ngày càng nở rộ, các bằng chứng có thể được phân thành hai nhóm — những nghiên cứu tập trung vào hành vi giá ngắn hạn (biến động giá trong ngày, theo ngày và theo tuần) và những nghiên cứu xem xét dài hạn hơn (theo tháng, theo năm và nhiều năm).</w:t>
      </w:r>
    </w:p>
    <w:p>
      <w:bookmarkStart w:id="857" w:name="Short_Term_Price_Movements__The"/>
      <w:bookmarkStart w:id="858" w:name="Short_Term_Price_Movements"/>
      <w:pPr>
        <w:keepNext/>
        <w:pStyle w:val="Heading 4"/>
        <w:keepLines w:val="on"/>
      </w:pPr>
      <w:r>
        <w:t>Biến động giá ngắn hạn</w:t>
      </w:r>
      <w:bookmarkEnd w:id="857"/>
      <w:bookmarkEnd w:id="858"/>
    </w:p>
    <w:p>
      <w:pPr>
        <w:pStyle w:val="Para 03"/>
      </w:pPr>
      <w:r>
        <w:t>Quan niệm rằng thay đổi giá hôm nay truyền tải thông tin về thay đổi giá ngày mai ăn sâu vào tâm lý của hầu hết nhà đầu tư. Có một số cách để kiểm nghiệm giả thuyết này trên các thị trường tài chính.</w:t>
      </w:r>
    </w:p>
    <w:p>
      <w:bookmarkStart w:id="859" w:name="Serial_Correlation__The_serial_c"/>
      <w:pPr>
        <w:pStyle w:val="Para 21"/>
      </w:pPr>
      <w:r>
        <w:t>Tương quan chuỗi</w:t>
      </w:r>
      <w:bookmarkEnd w:id="859"/>
    </w:p>
    <w:p>
      <w:pPr>
        <w:pStyle w:val="Para 03"/>
      </w:pPr>
      <w:r>
        <w:t>Tương quan chuỗi (serial correlation) đo lường mối tương quan giữa những thay đổi giá trong các giai đoạn liên tiếp, dù là theo giờ, theo ngày hay theo tuần, và là thước đo mức độ mà thay đổi giá trong bất kỳ giai đoạn nào phụ thuộc vào thay đổi giá của giai đoạn trước đó. Do đó, tương quan chuỗi bằng không sẽ hàm ý rằng những thay đổi giá trong các giai đoạn liên tiếp không tương quan với nhau, và vì thế có thể được xem là sự bác bỏ giả thuyết rằng nhà đầu tư có thể học được về những thay đổi giá tương lai từ những thay đổi giá trong quá khứ. Tương quan chuỗi dương và có ý nghĩa thống kê có thể được xem là bằng chứng về đà giá (price momentum) trên thị trường, và sẽ gợi ý rằng lợi nhuận trong một giai đoạn có nhiều khả năng dương hơn nếu lợi nhuận giai đoạn trước dương, và âm nếu lợi nhuận trước đó âm. Tương quan chuỗi âm và có ý nghĩa thống kê có thể là bằng chứng về sự đảo chiều giá (price reversals), và sẽ nhất quán với một thị trường mà ở đó lợi nhuận dương có nhiều khả năng theo sau lợi nhuận âm và ngược lại.</w:t>
      </w:r>
    </w:p>
    <w:p>
      <w:pPr>
        <w:pStyle w:val="Para 03"/>
      </w:pPr>
      <w:r>
        <w:t>Từ góc độ chiến lược đầu tư, tương quan chuỗi có thể được khai thác để kiếm lợi nhuận vượt trội. Tương quan chuỗi dương sẽ được khai thác bằng một chiến lược mua sau những giai đoạn có lợi nhuận dương và bán sau những giai đoạn có lợi nhuận âm. Tương quan chuỗi âm sẽ gợi ý một chiến lược mua sau những giai đoạn có lợi nhuận âm và bán sau những giai đoạn có lợi nhuận dương. Vì những chiến lược này phát sinh chi phí giao dịch, các tương quan phải đủ lớn để cho phép nhà đầu tư tạo ra lợi nhuận đủ bù đắp những chi phí này. Do đó, hoàn toàn có thể xảy ra trường hợp tồn tại tương quan chuỗi trong lợi nhuận mà không có bất kỳ cơ hội nào để hầu hết nhà đầu tư kiếm được lợi nhuận vượt trội.</w:t>
      </w:r>
    </w:p>
    <w:p>
      <w:pPr>
        <w:pStyle w:val="Para 03"/>
      </w:pPr>
      <w:r>
        <w:t>Những nghiên cứu sớm nhất về tương quan chuỗi — Alexander (1964), Cootner (1962), và Fama (1965) — đều xem xét các cổ phiếu lớn của Mỹ và kết luận rằng tương quan chuỗi trong giá cổ phiếu là nhỏ. Chẳng hạn, Fama phát hiện rằng 8 trong số 30 cổ phiếu niêm yết trong chỉ số Dow có tương quan chuỗi âm và hầu hết các tương quan chuỗi đều nhỏ hơn 0,05. Những nghiên cứu khác xác nhận những phát hiện này không chỉ đối với các cổ phiếu nhỏ hơn ở Mỹ, mà còn đối với các thị trường khác. Ví dụ, Jennergren và Korsvold (1974) báo cáo tương quan chuỗi thấp đối với thị trường cổ phiếu Thụy Điển, và Cootner (1961) kết luận rằng tương quan chuỗi cũng thấp trên các thị trường hàng hóa. Mặc dù một số tương quan này có thể có ý nghĩa thống kê, khó có khả năng có đủ tương quan để tạo ra lợi nhuận vượt trội.</w:t>
      </w:r>
    </w:p>
    <w:p>
      <w:pPr>
        <w:pStyle w:val="Para 03"/>
      </w:pPr>
      <w:r>
        <w:t>Tương quan chuỗi trong lợi nhuận giai đoạn ngắn chịu ảnh hưởng của thanh khoản thị trường và sự tồn tại của chênh lệch giá mua-giá bán. Không phải tất cả cổ phiếu trong một chỉ số đều có thanh khoản, và trong một số trường hợp, cổ phiếu có thể không giao dịch trong một giai đoạn. Khi cổ phiếu giao dịch trong giai đoạn tiếp theo, những thay đổi giá phát sinh có thể tạo ra tương quan chuỗi dương. Để thấy tại sao, giả sử thị trường tăng mạnh vào ngày 1, nhưng ba cổ phiếu trong chỉ số không giao dịch vào ngày đó. Vào ngày 2, nếu những cổ phiếu này được giao dịch, chúng có khả năng tăng giá để phản ánh mức tăng của thị trường ngày hôm trước. Kết quả ròng là bạn nên kỳ vọng thấy tương quan chuỗi dương trong lợi nhuận theo ngày hoặc theo giờ ở những chỉ số thị trường kém thanh khoản.</w:t>
      </w:r>
    </w:p>
    <w:p>
      <w:pPr>
        <w:pStyle w:val="Para 03"/>
      </w:pPr>
      <w:r>
        <w:t>Chênh lệch giá mua-giá bán tạo ra một thiên lệch theo hướng ngược lại, nếu giá giao dịch được dùng để tính lợi nhuận, vì giá có cơ hội ngang nhau để kết thúc ở mức giá mua hoặc giá bán. Sự nhảy lên nhảy xuống mà điều này gây ra trong giá — từ giá mua sang giá bán rồi lại về giá mua — sẽ dẫn đến tương quan chuỗi âm trong lợi nhuận. Roll (1984) đưa ra một thước đo đơn giản cho mối quan hệ này:</w:t>
      </w:r>
    </w:p>
    <w:p>
      <w:bookmarkStart w:id="862" w:name="Bid_Ask_Spread_Effect_2__Serial"/>
      <w:pPr>
        <w:keepNext/>
        <w:pStyle w:val="Para 09"/>
        <w:keepLines w:val="on"/>
      </w:pPr>
      <w:r>
        <w:t>Ảnh hưởng của chênh lệch giá mua-giá bán = 2 (Đồng phương sai chuỗi trong lợi nhuận)</w:t>
      </w:r>
      <w:bookmarkEnd w:id="862"/>
    </w:p>
    <w:p>
      <w:pPr>
        <w:pStyle w:val="Para 03"/>
      </w:pPr>
      <w:r>
        <w:t>trong đó hiệp phương sai chuỗi trong lợi nhuận đo lường hiệp phương sai giữa các thay đổi lợi nhuận trong các khoảng thời gian liên tiếp. Với những khoảng thời gian lợi nhuận cực ngắn, sai lệch này gây ra trong tương quan chuỗi có thể chiếm ưu thế và tạo ra quan điểm sai lầm rằng thay đổi giá trong các khoảng thời gian liên tiếp có tương quan âm.</w:t>
      </w:r>
    </w:p>
    <w:p>
      <w:bookmarkStart w:id="863" w:name="Filter_Rules__In_a_filter_rule"/>
      <w:pPr>
        <w:pStyle w:val="Para 21"/>
      </w:pPr>
      <w:r>
        <w:t>Quy tắc lọc</w:t>
      </w:r>
      <w:bookmarkEnd w:id="863"/>
    </w:p>
    <w:p>
      <w:pPr>
        <w:pStyle w:val="Para 03"/>
      </w:pPr>
      <w:r>
        <w:t>Trong một quy tắc lọc (filter rule), nhà đầu tư mua một khoản đầu tư nếu giá tăng X phần trăm so với mức thấp trước đó và giữ khoản đầu tư đó cho đến khi giá giảm X phần trăm so với mức cao trước đó. Độ lớn của thay đổi (X phần trăm) kích hoạt các giao dịch có thể khác nhau tùy theo từng quy tắc lọc, với những thay đổi nhỏ hơn dẫn đến nhiều giao dịch hơn mỗi kỳ và chi phí giao dịch cao hơn. Hình 6.1 vẽ ra một quy tắc lọc điển hình.</w:t>
      </w:r>
    </w:p>
    <w:p>
      <w:bookmarkStart w:id="867" w:name="Figure_6_1_Filter_Rul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524000" cy="952500"/>
            <wp:effectExtent l="0" r="0" t="0" b="0"/>
            <wp:wrapTopAndBottom/>
            <wp:docPr id="36" name="c06f001.png" descr="Line graph for price over time depicts the buying and selling of an investment using the filter rule."/>
            <wp:cNvGraphicFramePr>
              <a:graphicFrameLocks noChangeAspect="1"/>
            </wp:cNvGraphicFramePr>
            <a:graphic>
              <a:graphicData uri="http://schemas.openxmlformats.org/drawingml/2006/picture">
                <pic:pic>
                  <pic:nvPicPr>
                    <pic:cNvPr id="0" name="c06f001.png" descr="Line graph for price over time depicts the buying and selling of an investment using the filter rule."/>
                    <pic:cNvPicPr/>
                  </pic:nvPicPr>
                  <pic:blipFill>
                    <a:blip r:embed="rId31"/>
                    <a:stretch>
                      <a:fillRect/>
                    </a:stretch>
                  </pic:blipFill>
                  <pic:spPr>
                    <a:xfrm>
                      <a:off x="0" y="0"/>
                      <a:ext cx="1524000" cy="952500"/>
                    </a:xfrm>
                    <a:prstGeom prst="rect">
                      <a:avLst/>
                    </a:prstGeom>
                  </pic:spPr>
                </pic:pic>
              </a:graphicData>
            </a:graphic>
          </wp:anchor>
        </w:drawing>
      </w:r>
      <w:bookmarkEnd w:id="867"/>
    </w:p>
    <w:p>
      <w:pPr>
        <w:keepNext/>
        <w:pStyle w:val="Para 22"/>
        <w:keepLines w:val="on"/>
      </w:pPr>
      <w:r>
        <w:t>Hình 6.1 Quy tắc lọc</w:t>
      </w:r>
    </w:p>
    <w:p>
      <w:pPr>
        <w:pStyle w:val="Para 03"/>
      </w:pPr>
      <w:r>
        <w:t>Chiến lược này giả định rằng thay đổi giá có tương quan chuỗi và có đà giá (price momentum) (tức là những cổ phiếu đã tăng mạnh trong quá khứ có nhiều khả năng tiếp tục tăng hơn là giảm). Bảng 6.3 tóm tắt kết quả—Fama và Blume (1966) và Jensen và Bennington (1970)—từ một nghiên cứu về lợi nhuận, trước và sau chi phí giao dịch, của một chiến lược giao dịch dựa trên các quy tắc lọc từ 0,5 phần trăm đến 20 phần trăm. (Quy tắc 0,5 phần trăm ngụ ý rằng một cổ phiếu được mua khi nó tăng 0,5 phần trăm so với mức thấp trước đó, và được bán khi nó giảm 0,5 phần trăm so với mức cao trước đó.)</w:t>
      </w:r>
    </w:p>
    <w:p>
      <w:pPr>
        <w:pStyle w:val="Para 34"/>
        <w:keepLines w:val="on"/>
      </w:pPr>
      <w:r>
        <w:t>Bảng 6.3</w:t>
      </w:r>
    </w:p>
    <w:p>
      <w:pPr>
        <w:keepNext/>
        <w:pStyle w:val="Para 35"/>
        <w:keepLines w:val="on"/>
      </w:pPr>
      <w:r>
        <w:t>Lợi nhuận của các chiến lược quy tắc lọc</w:t>
      </w:r>
    </w:p>
    <w:tbl>
      <w:tblPr>
        <w:tblW w:type="auto" w:w="0"/>
      </w:tblPr>
      <w:tr>
        <w:tc>
          <w:tcPr>
            <w:tcW w:type="auto" w:w="0"/>
          </w:tcPr>
          <w:tbl>
            <w:tblPr>
              <w:tblW w:type="auto" w:w="0"/>
            </w:tblPr>
            <w:tr>
              <w:tc>
                <w:tcPr>
                  <w:tcW w:type="auto" w:w="0"/>
                  <w:shd w:val="clear" w:color="auto" w:fill="F0F0F0"/>
                </w:tcPr>
                <w:p>
                  <w:pPr>
                    <w:pStyle w:val="Para 29"/>
                    <w:keepLines w:val="on"/>
                  </w:pPr>
                  <w:r>
                    <w:t>Ngưỡng kích hoạt quy tắc lọc</w:t>
                  </w:r>
                </w:p>
              </w:tc>
              <w:tc>
                <w:tcPr>
                  <w:tcW w:type="auto" w:w="0"/>
                  <w:shd w:val="clear" w:color="auto" w:fill="F0F0F0"/>
                </w:tcPr>
                <w:p>
                  <w:pPr>
                    <w:pStyle w:val="Para 17"/>
                    <w:keepLines w:val="on"/>
                  </w:pPr>
                  <w:r>
                    <w:t>Lợi nhuận với chiến lược</w:t>
                  </w:r>
                </w:p>
              </w:tc>
              <w:tc>
                <w:tcPr>
                  <w:tcW w:type="auto" w:w="0"/>
                  <w:shd w:val="clear" w:color="auto" w:fill="F0F0F0"/>
                </w:tcPr>
                <w:p>
                  <w:pPr>
                    <w:pStyle w:val="Para 17"/>
                    <w:keepLines w:val="on"/>
                  </w:pPr>
                  <w:r>
                    <w:t>Lợi nhuận với mua &amp; giữ</w:t>
                  </w:r>
                </w:p>
              </w:tc>
              <w:tc>
                <w:tcPr>
                  <w:tcW w:type="auto" w:w="0"/>
                  <w:shd w:val="clear" w:color="auto" w:fill="F0F0F0"/>
                </w:tcPr>
                <w:p>
                  <w:pPr>
                    <w:pStyle w:val="Para 17"/>
                    <w:keepLines w:val="on"/>
                  </w:pPr>
                  <w:r>
                    <w:t>Số lượng giao dịch</w:t>
                  </w:r>
                </w:p>
              </w:tc>
              <w:tc>
                <w:tcPr>
                  <w:tcW w:type="auto" w:w="0"/>
                  <w:shd w:val="clear" w:color="auto" w:fill="F0F0F0"/>
                </w:tcPr>
                <w:p>
                  <w:pPr>
                    <w:pStyle w:val="Para 17"/>
                    <w:keepLines w:val="on"/>
                  </w:pPr>
                  <w:r>
                    <w:t>Lợi nhuận sau chi phí giao dịch</w:t>
                  </w:r>
                </w:p>
              </w:tc>
            </w:tr>
            <w:tr>
              <w:tc>
                <w:tcPr>
                  <w:tcW w:type="auto" w:w="0"/>
                  <w:shd w:val="clear" w:color="auto" w:fill="F0F0F0"/>
                </w:tcPr>
                <w:p>
                  <w:pPr>
                    <w:pStyle w:val="Para 02"/>
                    <w:keepLines w:val="on"/>
                  </w:pPr>
                  <w:r>
                    <w:t>0,50%</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10,40%</w:t>
                  </w:r>
                </w:p>
              </w:tc>
              <w:tc>
                <w:tcPr>
                  <w:tcW w:type="auto" w:w="0"/>
                  <w:shd w:val="clear" w:color="auto" w:fill="F0F0F0"/>
                </w:tcPr>
                <w:p>
                  <w:pPr>
                    <w:pStyle w:val="Normal"/>
                    <w:keepLines w:val="on"/>
                  </w:pPr>
                  <w:r>
                    <w:t>12.514</w:t>
                  </w:r>
                </w:p>
              </w:tc>
              <w:tc>
                <w:tcPr>
                  <w:tcW w:type="auto" w:w="0"/>
                  <w:shd w:val="clear" w:color="auto" w:fill="F0F0F0"/>
                </w:tcPr>
                <w:p>
                  <w:pPr>
                    <w:pStyle w:val="Normal"/>
                    <w:keepLines w:val="on"/>
                  </w:pPr>
                  <w:r>
                    <w:t>−103,6%</w:t>
                  </w:r>
                </w:p>
              </w:tc>
            </w:tr>
            <w:tr>
              <w:tc>
                <w:tcPr>
                  <w:tcW w:type="auto" w:w="0"/>
                  <w:shd w:val="clear" w:color="auto" w:fill="F0F0F0"/>
                </w:tcPr>
                <w:p>
                  <w:pPr>
                    <w:pStyle w:val="Para 02"/>
                    <w:keepLines w:val="on"/>
                  </w:pPr>
                  <w:r>
                    <w:t>1,00%</w:t>
                  </w:r>
                </w:p>
              </w:tc>
              <w:tc>
                <w:tcPr>
                  <w:tcW w:type="auto" w:w="0"/>
                  <w:shd w:val="clear" w:color="auto" w:fill="F0F0F0"/>
                </w:tcPr>
                <w:p>
                  <w:pPr>
                    <w:pStyle w:val="Normal"/>
                    <w:keepLines w:val="on"/>
                  </w:pPr>
                  <w:r>
                    <w:t>5,50%</w:t>
                  </w:r>
                </w:p>
              </w:tc>
              <w:tc>
                <w:tcPr>
                  <w:tcW w:type="auto" w:w="0"/>
                  <w:shd w:val="clear" w:color="auto" w:fill="F0F0F0"/>
                </w:tcPr>
                <w:p>
                  <w:pPr>
                    <w:pStyle w:val="Normal"/>
                    <w:keepLines w:val="on"/>
                  </w:pPr>
                  <w:r>
                    <w:t>10,30%</w:t>
                  </w:r>
                </w:p>
              </w:tc>
              <w:tc>
                <w:tcPr>
                  <w:tcW w:type="auto" w:w="0"/>
                  <w:shd w:val="clear" w:color="auto" w:fill="F0F0F0"/>
                </w:tcPr>
                <w:p>
                  <w:pPr>
                    <w:pStyle w:val="Normal"/>
                    <w:keepLines w:val="on"/>
                  </w:pPr>
                  <w:r>
                    <w:t>8.660</w:t>
                  </w:r>
                </w:p>
              </w:tc>
              <w:tc>
                <w:tcPr>
                  <w:tcW w:type="auto" w:w="0"/>
                  <w:shd w:val="clear" w:color="auto" w:fill="F0F0F0"/>
                </w:tcPr>
                <w:p>
                  <w:pPr>
                    <w:pStyle w:val="Normal"/>
                    <w:keepLines w:val="on"/>
                  </w:pPr>
                  <w:r>
                    <w:t>−74,9%</w:t>
                  </w:r>
                </w:p>
              </w:tc>
            </w:tr>
            <w:tr>
              <w:tc>
                <w:tcPr>
                  <w:tcW w:type="auto" w:w="0"/>
                  <w:shd w:val="clear" w:color="auto" w:fill="F0F0F0"/>
                </w:tcPr>
                <w:p>
                  <w:pPr>
                    <w:pStyle w:val="Para 02"/>
                    <w:keepLines w:val="on"/>
                  </w:pPr>
                  <w:r>
                    <w:t>2,00%</w:t>
                  </w:r>
                </w:p>
              </w:tc>
              <w:tc>
                <w:tcPr>
                  <w:tcW w:type="auto" w:w="0"/>
                  <w:shd w:val="clear" w:color="auto" w:fill="F0F0F0"/>
                </w:tcPr>
                <w:p>
                  <w:pPr>
                    <w:pStyle w:val="Normal"/>
                    <w:keepLines w:val="on"/>
                  </w:pPr>
                  <w:r>
                    <w:t>0,20%</w:t>
                  </w:r>
                </w:p>
              </w:tc>
              <w:tc>
                <w:tcPr>
                  <w:tcW w:type="auto" w:w="0"/>
                  <w:shd w:val="clear" w:color="auto" w:fill="F0F0F0"/>
                </w:tcPr>
                <w:p>
                  <w:pPr>
                    <w:pStyle w:val="Normal"/>
                    <w:keepLines w:val="on"/>
                  </w:pPr>
                  <w:r>
                    <w:t>10,30%</w:t>
                  </w:r>
                </w:p>
              </w:tc>
              <w:tc>
                <w:tcPr>
                  <w:tcW w:type="auto" w:w="0"/>
                  <w:shd w:val="clear" w:color="auto" w:fill="F0F0F0"/>
                </w:tcPr>
                <w:p>
                  <w:pPr>
                    <w:pStyle w:val="Normal"/>
                    <w:keepLines w:val="on"/>
                  </w:pPr>
                  <w:r>
                    <w:t>4.764</w:t>
                  </w:r>
                </w:p>
              </w:tc>
              <w:tc>
                <w:tcPr>
                  <w:tcW w:type="auto" w:w="0"/>
                  <w:shd w:val="clear" w:color="auto" w:fill="F0F0F0"/>
                </w:tcPr>
                <w:p>
                  <w:pPr>
                    <w:pStyle w:val="Normal"/>
                    <w:keepLines w:val="on"/>
                  </w:pPr>
                  <w:r>
                    <w:t>−45,2%</w:t>
                  </w:r>
                </w:p>
              </w:tc>
            </w:tr>
            <w:tr>
              <w:tc>
                <w:tcPr>
                  <w:tcW w:type="auto" w:w="0"/>
                  <w:shd w:val="clear" w:color="auto" w:fill="F0F0F0"/>
                </w:tcPr>
                <w:p>
                  <w:pPr>
                    <w:pStyle w:val="Para 02"/>
                    <w:keepLines w:val="on"/>
                  </w:pPr>
                  <w:r>
                    <w:t>3,00%</w:t>
                  </w:r>
                </w:p>
              </w:tc>
              <w:tc>
                <w:tcPr>
                  <w:tcW w:type="auto" w:w="0"/>
                  <w:shd w:val="clear" w:color="auto" w:fill="F0F0F0"/>
                </w:tcPr>
                <w:p>
                  <w:pPr>
                    <w:pStyle w:val="Normal"/>
                    <w:keepLines w:val="on"/>
                  </w:pPr>
                  <w:r>
                    <w:t>−1,7%</w:t>
                  </w:r>
                </w:p>
              </w:tc>
              <w:tc>
                <w:tcPr>
                  <w:tcW w:type="auto" w:w="0"/>
                  <w:shd w:val="clear" w:color="auto" w:fill="F0F0F0"/>
                </w:tcPr>
                <w:p>
                  <w:pPr>
                    <w:pStyle w:val="Normal"/>
                    <w:keepLines w:val="on"/>
                  </w:pPr>
                  <w:r>
                    <w:t>10,10%</w:t>
                  </w:r>
                </w:p>
              </w:tc>
              <w:tc>
                <w:tcPr>
                  <w:tcW w:type="auto" w:w="0"/>
                  <w:shd w:val="clear" w:color="auto" w:fill="F0F0F0"/>
                </w:tcPr>
                <w:p>
                  <w:pPr>
                    <w:pStyle w:val="Normal"/>
                    <w:keepLines w:val="on"/>
                  </w:pPr>
                  <w:r>
                    <w:t>2.994</w:t>
                  </w:r>
                </w:p>
              </w:tc>
              <w:tc>
                <w:tcPr>
                  <w:tcW w:type="auto" w:w="0"/>
                  <w:shd w:val="clear" w:color="auto" w:fill="F0F0F0"/>
                </w:tcPr>
                <w:p>
                  <w:pPr>
                    <w:pStyle w:val="Normal"/>
                    <w:keepLines w:val="on"/>
                  </w:pPr>
                  <w:r>
                    <w:t>−30,5%</w:t>
                  </w:r>
                </w:p>
              </w:tc>
            </w:tr>
            <w:tr>
              <w:tc>
                <w:tcPr>
                  <w:tcW w:type="auto" w:w="0"/>
                  <w:shd w:val="clear" w:color="auto" w:fill="F0F0F0"/>
                </w:tcPr>
                <w:p>
                  <w:pPr>
                    <w:pStyle w:val="Para 02"/>
                    <w:keepLines w:val="on"/>
                  </w:pPr>
                  <w:r>
                    <w:t>4,00%</w:t>
                  </w:r>
                </w:p>
              </w:tc>
              <w:tc>
                <w:tcPr>
                  <w:tcW w:type="auto" w:w="0"/>
                  <w:shd w:val="clear" w:color="auto" w:fill="F0F0F0"/>
                </w:tcPr>
                <w:p>
                  <w:pPr>
                    <w:pStyle w:val="Normal"/>
                    <w:keepLines w:val="on"/>
                  </w:pPr>
                  <w:r>
                    <w:t>0,10%</w:t>
                  </w:r>
                </w:p>
              </w:tc>
              <w:tc>
                <w:tcPr>
                  <w:tcW w:type="auto" w:w="0"/>
                  <w:shd w:val="clear" w:color="auto" w:fill="F0F0F0"/>
                </w:tcPr>
                <w:p>
                  <w:pPr>
                    <w:pStyle w:val="Normal"/>
                    <w:keepLines w:val="on"/>
                  </w:pPr>
                  <w:r>
                    <w:t>10,10%</w:t>
                  </w:r>
                </w:p>
              </w:tc>
              <w:tc>
                <w:tcPr>
                  <w:tcW w:type="auto" w:w="0"/>
                  <w:shd w:val="clear" w:color="auto" w:fill="F0F0F0"/>
                </w:tcPr>
                <w:p>
                  <w:pPr>
                    <w:pStyle w:val="Normal"/>
                    <w:keepLines w:val="on"/>
                  </w:pPr>
                  <w:r>
                    <w:t>2.013</w:t>
                  </w:r>
                </w:p>
              </w:tc>
              <w:tc>
                <w:tcPr>
                  <w:tcW w:type="auto" w:w="0"/>
                  <w:shd w:val="clear" w:color="auto" w:fill="F0F0F0"/>
                </w:tcPr>
                <w:p>
                  <w:pPr>
                    <w:pStyle w:val="Normal"/>
                    <w:keepLines w:val="on"/>
                  </w:pPr>
                  <w:r>
                    <w:t>−19,5%</w:t>
                  </w:r>
                </w:p>
              </w:tc>
            </w:tr>
            <w:tr>
              <w:tc>
                <w:tcPr>
                  <w:tcW w:type="auto" w:w="0"/>
                  <w:shd w:val="clear" w:color="auto" w:fill="F0F0F0"/>
                </w:tcPr>
                <w:p>
                  <w:pPr>
                    <w:pStyle w:val="Para 02"/>
                    <w:keepLines w:val="on"/>
                  </w:pPr>
                  <w:r>
                    <w:t>5,00%</w:t>
                  </w:r>
                </w:p>
              </w:tc>
              <w:tc>
                <w:tcPr>
                  <w:tcW w:type="auto" w:w="0"/>
                  <w:shd w:val="clear" w:color="auto" w:fill="F0F0F0"/>
                </w:tcPr>
                <w:p>
                  <w:pPr>
                    <w:pStyle w:val="Normal"/>
                    <w:keepLines w:val="on"/>
                  </w:pPr>
                  <w:r>
                    <w:t>−1,9%</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1.484</w:t>
                  </w:r>
                </w:p>
              </w:tc>
              <w:tc>
                <w:tcPr>
                  <w:tcW w:type="auto" w:w="0"/>
                  <w:shd w:val="clear" w:color="auto" w:fill="F0F0F0"/>
                </w:tcPr>
                <w:p>
                  <w:pPr>
                    <w:pStyle w:val="Normal"/>
                    <w:keepLines w:val="on"/>
                  </w:pPr>
                  <w:r>
                    <w:t>−16,6%</w:t>
                  </w:r>
                </w:p>
              </w:tc>
            </w:tr>
            <w:tr>
              <w:tc>
                <w:tcPr>
                  <w:tcW w:type="auto" w:w="0"/>
                  <w:shd w:val="clear" w:color="auto" w:fill="F0F0F0"/>
                </w:tcPr>
                <w:p>
                  <w:pPr>
                    <w:pStyle w:val="Para 02"/>
                    <w:keepLines w:val="on"/>
                  </w:pPr>
                  <w:r>
                    <w:t>6,00%</w:t>
                  </w:r>
                </w:p>
              </w:tc>
              <w:tc>
                <w:tcPr>
                  <w:tcW w:type="auto" w:w="0"/>
                  <w:shd w:val="clear" w:color="auto" w:fill="F0F0F0"/>
                </w:tcPr>
                <w:p>
                  <w:pPr>
                    <w:pStyle w:val="Normal"/>
                    <w:keepLines w:val="on"/>
                  </w:pPr>
                  <w:r>
                    <w:t>1,30%</w:t>
                  </w:r>
                </w:p>
              </w:tc>
              <w:tc>
                <w:tcPr>
                  <w:tcW w:type="auto" w:w="0"/>
                  <w:shd w:val="clear" w:color="auto" w:fill="F0F0F0"/>
                </w:tcPr>
                <w:p>
                  <w:pPr>
                    <w:pStyle w:val="Normal"/>
                    <w:keepLines w:val="on"/>
                  </w:pPr>
                  <w:r>
                    <w:t>9,70%</w:t>
                  </w:r>
                </w:p>
              </w:tc>
              <w:tc>
                <w:tcPr>
                  <w:tcW w:type="auto" w:w="0"/>
                  <w:shd w:val="clear" w:color="auto" w:fill="F0F0F0"/>
                </w:tcPr>
                <w:p>
                  <w:pPr>
                    <w:pStyle w:val="Normal"/>
                    <w:keepLines w:val="on"/>
                  </w:pPr>
                  <w:r>
                    <w:t>1.071</w:t>
                  </w:r>
                </w:p>
              </w:tc>
              <w:tc>
                <w:tcPr>
                  <w:tcW w:type="auto" w:w="0"/>
                  <w:shd w:val="clear" w:color="auto" w:fill="F0F0F0"/>
                </w:tcPr>
                <w:p>
                  <w:pPr>
                    <w:pStyle w:val="Normal"/>
                    <w:keepLines w:val="on"/>
                  </w:pPr>
                  <w:r>
                    <w:t>−9,4%</w:t>
                  </w:r>
                </w:p>
              </w:tc>
            </w:tr>
            <w:tr>
              <w:tc>
                <w:tcPr>
                  <w:tcW w:type="auto" w:w="0"/>
                  <w:shd w:val="clear" w:color="auto" w:fill="F0F0F0"/>
                </w:tcPr>
                <w:p>
                  <w:pPr>
                    <w:pStyle w:val="Para 02"/>
                    <w:keepLines w:val="on"/>
                  </w:pPr>
                  <w:r>
                    <w:t>7,00%</w:t>
                  </w:r>
                </w:p>
              </w:tc>
              <w:tc>
                <w:tcPr>
                  <w:tcW w:type="auto" w:w="0"/>
                  <w:shd w:val="clear" w:color="auto" w:fill="F0F0F0"/>
                </w:tcPr>
                <w:p>
                  <w:pPr>
                    <w:pStyle w:val="Normal"/>
                    <w:keepLines w:val="on"/>
                  </w:pPr>
                  <w:r>
                    <w:t>0,80%</w:t>
                  </w:r>
                </w:p>
              </w:tc>
              <w:tc>
                <w:tcPr>
                  <w:tcW w:type="auto" w:w="0"/>
                  <w:shd w:val="clear" w:color="auto" w:fill="F0F0F0"/>
                </w:tcPr>
                <w:p>
                  <w:pPr>
                    <w:pStyle w:val="Normal"/>
                    <w:keepLines w:val="on"/>
                  </w:pPr>
                  <w:r>
                    <w:t>9,60%</w:t>
                  </w:r>
                </w:p>
              </w:tc>
              <w:tc>
                <w:tcPr>
                  <w:tcW w:type="auto" w:w="0"/>
                  <w:shd w:val="clear" w:color="auto" w:fill="F0F0F0"/>
                </w:tcPr>
                <w:p>
                  <w:pPr>
                    <w:pStyle w:val="Normal"/>
                    <w:keepLines w:val="on"/>
                  </w:pPr>
                  <w:r>
                    <w:t>828</w:t>
                  </w:r>
                </w:p>
              </w:tc>
              <w:tc>
                <w:tcPr>
                  <w:tcW w:type="auto" w:w="0"/>
                  <w:shd w:val="clear" w:color="auto" w:fill="F0F0F0"/>
                </w:tcPr>
                <w:p>
                  <w:pPr>
                    <w:pStyle w:val="Normal"/>
                    <w:keepLines w:val="on"/>
                  </w:pPr>
                  <w:r>
                    <w:t>−7,4%</w:t>
                  </w:r>
                </w:p>
              </w:tc>
            </w:tr>
            <w:tr>
              <w:tc>
                <w:tcPr>
                  <w:tcW w:type="auto" w:w="0"/>
                  <w:shd w:val="clear" w:color="auto" w:fill="F0F0F0"/>
                </w:tcPr>
                <w:p>
                  <w:pPr>
                    <w:pStyle w:val="Para 02"/>
                    <w:keepLines w:val="on"/>
                  </w:pPr>
                  <w:r>
                    <w:t>8,00%</w:t>
                  </w:r>
                </w:p>
              </w:tc>
              <w:tc>
                <w:tcPr>
                  <w:tcW w:type="auto" w:w="0"/>
                  <w:shd w:val="clear" w:color="auto" w:fill="F0F0F0"/>
                </w:tcPr>
                <w:p>
                  <w:pPr>
                    <w:pStyle w:val="Normal"/>
                    <w:keepLines w:val="on"/>
                  </w:pPr>
                  <w:r>
                    <w:t>1,70%</w:t>
                  </w:r>
                </w:p>
              </w:tc>
              <w:tc>
                <w:tcPr>
                  <w:tcW w:type="auto" w:w="0"/>
                  <w:shd w:val="clear" w:color="auto" w:fill="F0F0F0"/>
                </w:tcPr>
                <w:p>
                  <w:pPr>
                    <w:pStyle w:val="Normal"/>
                    <w:keepLines w:val="on"/>
                  </w:pPr>
                  <w:r>
                    <w:t>9,60%</w:t>
                  </w:r>
                </w:p>
              </w:tc>
              <w:tc>
                <w:tcPr>
                  <w:tcW w:type="auto" w:w="0"/>
                  <w:shd w:val="clear" w:color="auto" w:fill="F0F0F0"/>
                </w:tcPr>
                <w:p>
                  <w:pPr>
                    <w:pStyle w:val="Normal"/>
                    <w:keepLines w:val="on"/>
                  </w:pPr>
                  <w:r>
                    <w:t>653</w:t>
                  </w:r>
                </w:p>
              </w:tc>
              <w:tc>
                <w:tcPr>
                  <w:tcW w:type="auto" w:w="0"/>
                  <w:shd w:val="clear" w:color="auto" w:fill="F0F0F0"/>
                </w:tcPr>
                <w:p>
                  <w:pPr>
                    <w:pStyle w:val="Normal"/>
                    <w:keepLines w:val="on"/>
                  </w:pPr>
                  <w:r>
                    <w:t>−5,0%</w:t>
                  </w:r>
                </w:p>
              </w:tc>
            </w:tr>
            <w:tr>
              <w:tc>
                <w:tcPr>
                  <w:tcW w:type="auto" w:w="0"/>
                  <w:shd w:val="clear" w:color="auto" w:fill="F0F0F0"/>
                </w:tcPr>
                <w:p>
                  <w:pPr>
                    <w:pStyle w:val="Para 02"/>
                    <w:keepLines w:val="on"/>
                  </w:pPr>
                  <w:r>
                    <w:t>9,00%</w:t>
                  </w:r>
                </w:p>
              </w:tc>
              <w:tc>
                <w:tcPr>
                  <w:tcW w:type="auto" w:w="0"/>
                  <w:shd w:val="clear" w:color="auto" w:fill="F0F0F0"/>
                </w:tcPr>
                <w:p>
                  <w:pPr>
                    <w:pStyle w:val="Normal"/>
                    <w:keepLines w:val="on"/>
                  </w:pPr>
                  <w:r>
                    <w:t>1,90%</w:t>
                  </w:r>
                </w:p>
              </w:tc>
              <w:tc>
                <w:tcPr>
                  <w:tcW w:type="auto" w:w="0"/>
                  <w:shd w:val="clear" w:color="auto" w:fill="F0F0F0"/>
                </w:tcPr>
                <w:p>
                  <w:pPr>
                    <w:pStyle w:val="Normal"/>
                    <w:keepLines w:val="on"/>
                  </w:pPr>
                  <w:r>
                    <w:t>9,60%</w:t>
                  </w:r>
                </w:p>
              </w:tc>
              <w:tc>
                <w:tcPr>
                  <w:tcW w:type="auto" w:w="0"/>
                  <w:shd w:val="clear" w:color="auto" w:fill="F0F0F0"/>
                </w:tcPr>
                <w:p>
                  <w:pPr>
                    <w:pStyle w:val="Normal"/>
                    <w:keepLines w:val="on"/>
                  </w:pPr>
                  <w:r>
                    <w:t>539</w:t>
                  </w:r>
                </w:p>
              </w:tc>
              <w:tc>
                <w:tcPr>
                  <w:tcW w:type="auto" w:w="0"/>
                  <w:shd w:val="clear" w:color="auto" w:fill="F0F0F0"/>
                </w:tcPr>
                <w:p>
                  <w:pPr>
                    <w:pStyle w:val="Normal"/>
                    <w:keepLines w:val="on"/>
                  </w:pPr>
                  <w:r>
                    <w:t>−3,6%</w:t>
                  </w:r>
                </w:p>
              </w:tc>
            </w:tr>
            <w:tr>
              <w:tc>
                <w:tcPr>
                  <w:tcW w:type="auto" w:w="0"/>
                  <w:shd w:val="clear" w:color="auto" w:fill="F0F0F0"/>
                </w:tcPr>
                <w:p>
                  <w:pPr>
                    <w:pStyle w:val="Para 02"/>
                    <w:keepLines w:val="on"/>
                  </w:pPr>
                  <w:r>
                    <w:t>10,00%</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9,60%</w:t>
                  </w:r>
                </w:p>
              </w:tc>
              <w:tc>
                <w:tcPr>
                  <w:tcW w:type="auto" w:w="0"/>
                  <w:shd w:val="clear" w:color="auto" w:fill="F0F0F0"/>
                </w:tcPr>
                <w:p>
                  <w:pPr>
                    <w:pStyle w:val="Normal"/>
                    <w:keepLines w:val="on"/>
                  </w:pPr>
                  <w:r>
                    <w:t>435</w:t>
                  </w:r>
                </w:p>
              </w:tc>
              <w:tc>
                <w:tcPr>
                  <w:tcW w:type="auto" w:w="0"/>
                  <w:shd w:val="clear" w:color="auto" w:fill="F0F0F0"/>
                </w:tcPr>
                <w:p>
                  <w:pPr>
                    <w:pStyle w:val="Normal"/>
                    <w:keepLines w:val="on"/>
                  </w:pPr>
                  <w:r>
                    <w:t>−1,4%</w:t>
                  </w:r>
                </w:p>
              </w:tc>
            </w:tr>
            <w:tr>
              <w:tc>
                <w:tcPr>
                  <w:tcW w:type="auto" w:w="0"/>
                  <w:shd w:val="clear" w:color="auto" w:fill="F0F0F0"/>
                </w:tcPr>
                <w:p>
                  <w:pPr>
                    <w:pStyle w:val="Para 02"/>
                    <w:keepLines w:val="on"/>
                  </w:pPr>
                  <w:r>
                    <w:t>12,00%</w:t>
                  </w:r>
                </w:p>
              </w:tc>
              <w:tc>
                <w:tcPr>
                  <w:tcW w:type="auto" w:w="0"/>
                  <w:shd w:val="clear" w:color="auto" w:fill="F0F0F0"/>
                </w:tcPr>
                <w:p>
                  <w:pPr>
                    <w:pStyle w:val="Normal"/>
                    <w:keepLines w:val="on"/>
                  </w:pPr>
                  <w:r>
                    <w:t>5,30%</w:t>
                  </w:r>
                </w:p>
              </w:tc>
              <w:tc>
                <w:tcPr>
                  <w:tcW w:type="auto" w:w="0"/>
                  <w:shd w:val="clear" w:color="auto" w:fill="F0F0F0"/>
                </w:tcPr>
                <w:p>
                  <w:pPr>
                    <w:pStyle w:val="Normal"/>
                    <w:keepLines w:val="on"/>
                  </w:pPr>
                  <w:r>
                    <w:t>9,40%</w:t>
                  </w:r>
                </w:p>
              </w:tc>
              <w:tc>
                <w:tcPr>
                  <w:tcW w:type="auto" w:w="0"/>
                  <w:shd w:val="clear" w:color="auto" w:fill="F0F0F0"/>
                </w:tcPr>
                <w:p>
                  <w:pPr>
                    <w:pStyle w:val="Normal"/>
                    <w:keepLines w:val="on"/>
                  </w:pPr>
                  <w:r>
                    <w:t>289</w:t>
                  </w:r>
                </w:p>
              </w:tc>
              <w:tc>
                <w:tcPr>
                  <w:tcW w:type="auto" w:w="0"/>
                  <w:shd w:val="clear" w:color="auto" w:fill="F0F0F0"/>
                </w:tcPr>
                <w:p>
                  <w:pPr>
                    <w:pStyle w:val="Normal"/>
                    <w:keepLines w:val="on"/>
                  </w:pPr>
                  <w:r>
                    <w:t>2,30%</w:t>
                  </w:r>
                </w:p>
              </w:tc>
            </w:tr>
            <w:tr>
              <w:tc>
                <w:tcPr>
                  <w:tcW w:type="auto" w:w="0"/>
                  <w:shd w:val="clear" w:color="auto" w:fill="F0F0F0"/>
                </w:tcPr>
                <w:p>
                  <w:pPr>
                    <w:pStyle w:val="Para 02"/>
                    <w:keepLines w:val="on"/>
                  </w:pPr>
                  <w:r>
                    <w:t>14,00%</w:t>
                  </w:r>
                </w:p>
              </w:tc>
              <w:tc>
                <w:tcPr>
                  <w:tcW w:type="auto" w:w="0"/>
                  <w:shd w:val="clear" w:color="auto" w:fill="F0F0F0"/>
                </w:tcPr>
                <w:p>
                  <w:pPr>
                    <w:pStyle w:val="Normal"/>
                    <w:keepLines w:val="on"/>
                  </w:pPr>
                  <w:r>
                    <w:t>3,90%</w:t>
                  </w:r>
                </w:p>
              </w:tc>
              <w:tc>
                <w:tcPr>
                  <w:tcW w:type="auto" w:w="0"/>
                  <w:shd w:val="clear" w:color="auto" w:fill="F0F0F0"/>
                </w:tcPr>
                <w:p>
                  <w:pPr>
                    <w:pStyle w:val="Normal"/>
                    <w:keepLines w:val="on"/>
                  </w:pPr>
                  <w:r>
                    <w:t>10,30%</w:t>
                  </w:r>
                </w:p>
              </w:tc>
              <w:tc>
                <w:tcPr>
                  <w:tcW w:type="auto" w:w="0"/>
                  <w:shd w:val="clear" w:color="auto" w:fill="F0F0F0"/>
                </w:tcPr>
                <w:p>
                  <w:pPr>
                    <w:pStyle w:val="Normal"/>
                    <w:keepLines w:val="on"/>
                  </w:pPr>
                  <w:r>
                    <w:t>224</w:t>
                  </w:r>
                </w:p>
              </w:tc>
              <w:tc>
                <w:tcPr>
                  <w:tcW w:type="auto" w:w="0"/>
                  <w:shd w:val="clear" w:color="auto" w:fill="F0F0F0"/>
                </w:tcPr>
                <w:p>
                  <w:pPr>
                    <w:pStyle w:val="Normal"/>
                    <w:keepLines w:val="on"/>
                  </w:pPr>
                  <w:r>
                    <w:t>1,40%</w:t>
                  </w:r>
                </w:p>
              </w:tc>
            </w:tr>
            <w:tr>
              <w:tc>
                <w:tcPr>
                  <w:tcW w:type="auto" w:w="0"/>
                  <w:shd w:val="clear" w:color="auto" w:fill="F0F0F0"/>
                </w:tcPr>
                <w:p>
                  <w:pPr>
                    <w:pStyle w:val="Para 02"/>
                    <w:keepLines w:val="on"/>
                  </w:pPr>
                  <w:r>
                    <w:t>16,00%</w:t>
                  </w:r>
                </w:p>
              </w:tc>
              <w:tc>
                <w:tcPr>
                  <w:tcW w:type="auto" w:w="0"/>
                  <w:shd w:val="clear" w:color="auto" w:fill="F0F0F0"/>
                </w:tcPr>
                <w:p>
                  <w:pPr>
                    <w:pStyle w:val="Normal"/>
                    <w:keepLines w:val="on"/>
                  </w:pPr>
                  <w:r>
                    <w:t>4,20%</w:t>
                  </w:r>
                </w:p>
              </w:tc>
              <w:tc>
                <w:tcPr>
                  <w:tcW w:type="auto" w:w="0"/>
                  <w:shd w:val="clear" w:color="auto" w:fill="F0F0F0"/>
                </w:tcPr>
                <w:p>
                  <w:pPr>
                    <w:pStyle w:val="Normal"/>
                    <w:keepLines w:val="on"/>
                  </w:pPr>
                  <w:r>
                    <w:t>10,30%</w:t>
                  </w:r>
                </w:p>
              </w:tc>
              <w:tc>
                <w:tcPr>
                  <w:tcW w:type="auto" w:w="0"/>
                  <w:shd w:val="clear" w:color="auto" w:fill="F0F0F0"/>
                </w:tcPr>
                <w:p>
                  <w:pPr>
                    <w:pStyle w:val="Normal"/>
                    <w:keepLines w:val="on"/>
                  </w:pPr>
                  <w:r>
                    <w:t>172</w:t>
                  </w:r>
                </w:p>
              </w:tc>
              <w:tc>
                <w:tcPr>
                  <w:tcW w:type="auto" w:w="0"/>
                  <w:shd w:val="clear" w:color="auto" w:fill="F0F0F0"/>
                </w:tcPr>
                <w:p>
                  <w:pPr>
                    <w:pStyle w:val="Normal"/>
                    <w:keepLines w:val="on"/>
                  </w:pPr>
                  <w:r>
                    <w:t>2,30%</w:t>
                  </w:r>
                </w:p>
              </w:tc>
            </w:tr>
            <w:tr>
              <w:tc>
                <w:tcPr>
                  <w:tcW w:type="auto" w:w="0"/>
                  <w:shd w:val="clear" w:color="auto" w:fill="F0F0F0"/>
                </w:tcPr>
                <w:p>
                  <w:pPr>
                    <w:pStyle w:val="Para 02"/>
                    <w:keepLines w:val="on"/>
                  </w:pPr>
                  <w:r>
                    <w:t>18,00%</w:t>
                  </w:r>
                </w:p>
              </w:tc>
              <w:tc>
                <w:tcPr>
                  <w:tcW w:type="auto" w:w="0"/>
                  <w:shd w:val="clear" w:color="auto" w:fill="F0F0F0"/>
                </w:tcPr>
                <w:p>
                  <w:pPr>
                    <w:pStyle w:val="Normal"/>
                    <w:keepLines w:val="on"/>
                  </w:pPr>
                  <w:r>
                    <w:t>3,60%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139</w:t>
                  </w:r>
                </w:p>
              </w:tc>
              <w:tc>
                <w:tcPr>
                  <w:tcW w:type="auto" w:w="0"/>
                  <w:shd w:val="clear" w:color="auto" w:fill="F0F0F0"/>
                </w:tcPr>
                <w:p>
                  <w:pPr>
                    <w:pStyle w:val="Normal"/>
                    <w:keepLines w:val="on"/>
                  </w:pPr>
                  <w:r>
                    <w:t>2,00%</w:t>
                  </w:r>
                </w:p>
              </w:tc>
            </w:tr>
            <w:tr>
              <w:tc>
                <w:tcPr>
                  <w:tcW w:type="auto" w:w="0"/>
                  <w:shd w:val="clear" w:color="auto" w:fill="F0F0F0"/>
                </w:tcPr>
                <w:p>
                  <w:pPr>
                    <w:pStyle w:val="Para 02"/>
                    <w:keepLines w:val="on"/>
                  </w:pPr>
                  <w:r>
                    <w:t>20,00%</w:t>
                  </w:r>
                </w:p>
              </w:tc>
              <w:tc>
                <w:tcPr>
                  <w:tcW w:type="auto" w:w="0"/>
                  <w:shd w:val="clear" w:color="auto" w:fill="F0F0F0"/>
                </w:tcPr>
                <w:p>
                  <w:pPr>
                    <w:pStyle w:val="Normal"/>
                    <w:keepLines w:val="on"/>
                  </w:pPr>
                  <w:r>
                    <w:t>4,30%</w:t>
                  </w:r>
                </w:p>
              </w:tc>
              <w:tc>
                <w:tcPr>
                  <w:tcW w:type="auto" w:w="0"/>
                  <w:shd w:val="clear" w:color="auto" w:fill="F0F0F0"/>
                </w:tcPr>
                <w:p>
                  <w:pPr>
                    <w:pStyle w:val="Normal"/>
                    <w:keepLines w:val="on"/>
                  </w:pPr>
                  <w:r>
                    <w:t>9,80%</w:t>
                  </w:r>
                </w:p>
              </w:tc>
              <w:tc>
                <w:tcPr>
                  <w:tcW w:type="auto" w:w="0"/>
                  <w:shd w:val="clear" w:color="auto" w:fill="F0F0F0"/>
                </w:tcPr>
                <w:p>
                  <w:pPr>
                    <w:pStyle w:val="Normal"/>
                    <w:keepLines w:val="on"/>
                  </w:pPr>
                  <w:r>
                    <w:t>110</w:t>
                  </w:r>
                </w:p>
              </w:tc>
              <w:tc>
                <w:tcPr>
                  <w:tcW w:type="auto" w:w="0"/>
                  <w:shd w:val="clear" w:color="auto" w:fill="F0F0F0"/>
                </w:tcPr>
                <w:p>
                  <w:pPr>
                    <w:pStyle w:val="Normal"/>
                    <w:keepLines w:val="on"/>
                  </w:pPr>
                  <w:r>
                    <w:t>3,00%</w:t>
                  </w:r>
                </w:p>
              </w:tc>
            </w:tr>
          </w:tbl>
          <w:p/>
        </w:tc>
      </w:tr>
    </w:tbl>
    <w:p>
      <w:pPr>
        <w:pStyle w:val="Para 03"/>
      </w:pPr>
      <w:r>
        <w:t>Quy tắc lọc duy nhất đánh bại được lợi nhuận của chiến lược mua-và-giữ chính là quy tắc 0,5 phần trăm, nhưng nó chỉ làm được điều đó trước khi trừ chi phí giao dịch. Chiến lược này tạo ra 12.514 giao dịch trong suốt giai đoạn, đủ để sinh ra lượng chi phí giao dịch xóa sạch số vốn gốc mà nhà đầu tư đã bỏ vào. Dù bài kiểm tra này đã cũ, nó vẫn minh họa những vấn đề cơ bản của các chiến lược đòi hỏi giao dịch ngắn hạn thường xuyên. Cho dù những chiến lược này có thể kiếm được lợi nhuận vượt trội trước khi trừ chi phí giao dịch, thì sau khi điều chỉnh cho các chi phí này, phần lợi nhuận vượt trội đó có thể bị xóa sạch.</w:t>
      </w:r>
    </w:p>
    <w:p>
      <w:pPr>
        <w:pStyle w:val="Para 03"/>
      </w:pPr>
      <w:r>
        <w:t>Một chỉ báo phổ biến trong giới đầu tư, một biến thể của quy tắc lọc, là thước đo sức mạnh tương đối (relative strength), so sánh giá gần đây của cổ phiếu hoặc các khoản đầu tư khác với giá trung bình trong một khoảng thời gian xác định, chẳng hạn sáu tháng, hoặc với giá tại thời điểm đầu kỳ. Những cổ phiếu đạt điểm cao trên thước đo sức mạnh tương đối được xem là khoản đầu tư tốt. Chiến lược đầu tư này cũng dựa trên giả định về đà giá (price momentum).</w:t>
      </w:r>
    </w:p>
    <w:p>
      <w:bookmarkStart w:id="870" w:name="Runs_Tests__A_runs_test_is_a_non"/>
      <w:pPr>
        <w:pStyle w:val="Para 21"/>
      </w:pPr>
      <w:r>
        <w:t>Kiểm định chuỗi (Runs Tests)</w:t>
      </w:r>
      <w:bookmarkEnd w:id="870"/>
    </w:p>
    <w:p>
      <w:pPr>
        <w:pStyle w:val="Para 03"/>
      </w:pPr>
      <w:r>
        <w:t>Kiểm định chuỗi là một biến thể phi tham số của tương quan chuỗi (serial correlation), dựa trên việc đếm số chuỗi (tức là các chuỗi liên tiếp giá tăng hoặc giảm) trong các thay đổi giá. Như vậy, chuỗi thời gian thay đổi giá sau đây, trong đó U là tăng và D là giảm, sẽ tạo ra các chuỗi như sau:</w:t>
      </w:r>
    </w:p>
    <w:p>
      <w:pPr>
        <w:pStyle w:val="Para 81"/>
      </w:pPr>
      <w:r>
        <w:t>UUU DD U DDD UU DD U D UU DD U DD UUU DD UU D UU D</w:t>
      </w:r>
    </w:p>
    <w:p>
      <w:pPr>
        <w:pStyle w:val="Para 03"/>
      </w:pPr>
      <w:r>
        <w:t>Có 18 chuỗi trong chuỗi giá gồm 33 kỳ này. Số chuỗi thực tế trong chuỗi giá được so sánh với số chuỗi có thể kỳ vọng trong một chuỗi có độ dài như vậy, giả định rằng các thay đổi giá là ngẫu nhiên.9 Nếu số chuỗi thực tế lớn hơn số kỳ vọng, có bằng chứng về tương quan âm trong các thay đổi giá. Nếu thấp hơn, có bằng chứng về tương quan dương. Một nghiên cứu năm 1966 của Niederhoffer và Osborne về các thay đổi giá của 30 cổ phiếu Dow, giả định các khoảng lợi nhuận theo ngày, bốn ngày, chín ngày và 16 ngày, đã đưa ra kết quả như sau:</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hMerge w:val="restart"/>
                </w:tcPr>
                <w:p>
                  <w:pPr>
                    <w:pStyle w:val="Para 17"/>
                    <w:keepLines w:val="on"/>
                  </w:pPr>
                  <w:r>
                    <w:t>Khoảng sai phân</w:t>
                  </w:r>
                </w:p>
              </w:tc>
              <w:tc>
                <w:tcPr>
                  <w:hMerge w:val="continue"/>
                </w:tcPr>
                <w:p/>
              </w:tc>
              <w:tc>
                <w:tcPr>
                  <w:hMerge w:val="continue"/>
                </w:tcPr>
                <w:p/>
              </w:tc>
              <w:tc>
                <w:tcPr>
                  <w:hMerge w:val="continue"/>
                </w:tcPr>
                <w:p/>
              </w:tc>
            </w:tr>
            <w:tr>
              <w:tc>
                <w:tcPr>
                  <w:tcW w:type="auto" w:w="0"/>
                  <w:shd w:val="clear" w:color="auto" w:fill="F0F0F0"/>
                </w:tcPr>
                <w:p>
                  <w:pPr>
                    <w:pStyle w:val="5 Block"/>
                    <w:keepLines w:val="on"/>
                  </w:pPr>
                </w:p>
              </w:tc>
              <w:tc>
                <w:tcPr>
                  <w:tcW w:type="auto" w:w="0"/>
                  <w:shd w:val="clear" w:color="auto" w:fill="F0F0F0"/>
                </w:tcPr>
                <w:p>
                  <w:pPr>
                    <w:pStyle w:val="Para 17"/>
                    <w:keepLines w:val="on"/>
                  </w:pPr>
                  <w:r>
                    <w:t>Hàng ngày</w:t>
                  </w:r>
                </w:p>
              </w:tc>
              <w:tc>
                <w:tcPr>
                  <w:tcW w:type="auto" w:w="0"/>
                  <w:shd w:val="clear" w:color="auto" w:fill="F0F0F0"/>
                </w:tcPr>
                <w:p>
                  <w:pPr>
                    <w:pStyle w:val="Para 17"/>
                    <w:keepLines w:val="on"/>
                  </w:pPr>
                  <w:r>
                    <w:t>Bốn ngày</w:t>
                  </w:r>
                </w:p>
              </w:tc>
              <w:tc>
                <w:tcPr>
                  <w:tcW w:type="auto" w:w="0"/>
                  <w:shd w:val="clear" w:color="auto" w:fill="F0F0F0"/>
                </w:tcPr>
                <w:p>
                  <w:pPr>
                    <w:pStyle w:val="Para 17"/>
                    <w:keepLines w:val="on"/>
                  </w:pPr>
                  <w:r>
                    <w:t>Chín ngày</w:t>
                  </w:r>
                </w:p>
              </w:tc>
              <w:tc>
                <w:tcPr>
                  <w:tcW w:type="auto" w:w="0"/>
                  <w:shd w:val="clear" w:color="auto" w:fill="F0F0F0"/>
                </w:tcPr>
                <w:p>
                  <w:pPr>
                    <w:pStyle w:val="Para 17"/>
                    <w:keepLines w:val="on"/>
                  </w:pPr>
                  <w:r>
                    <w:t>Mười sáu ngày</w:t>
                  </w:r>
                </w:p>
              </w:tc>
            </w:tr>
            <w:tr>
              <w:tc>
                <w:tcPr>
                  <w:tcW w:type="auto" w:w="0"/>
                  <w:shd w:val="clear" w:color="auto" w:fill="F0F0F0"/>
                </w:tcPr>
                <w:p>
                  <w:pPr>
                    <w:pStyle w:val="Para 02"/>
                    <w:keepLines w:val="on"/>
                  </w:pPr>
                  <w:r>
                    <w:t>Số lần thực tế</w:t>
                  </w:r>
                </w:p>
              </w:tc>
              <w:tc>
                <w:tcPr>
                  <w:tcW w:type="auto" w:w="0"/>
                  <w:shd w:val="clear" w:color="auto" w:fill="F0F0F0"/>
                </w:tcPr>
                <w:p>
                  <w:pPr>
                    <w:pStyle w:val="Normal"/>
                    <w:keepLines w:val="on"/>
                  </w:pPr>
                  <w:r>
                    <w:t>735,1*</w:t>
                  </w:r>
                </w:p>
              </w:tc>
              <w:tc>
                <w:tcPr>
                  <w:tcW w:type="auto" w:w="0"/>
                  <w:shd w:val="clear" w:color="auto" w:fill="F0F0F0"/>
                </w:tcPr>
                <w:p>
                  <w:pPr>
                    <w:pStyle w:val="Normal"/>
                    <w:keepLines w:val="on"/>
                  </w:pPr>
                  <w:r>
                    <w:t>175,7</w:t>
                  </w:r>
                </w:p>
              </w:tc>
              <w:tc>
                <w:tcPr>
                  <w:tcW w:type="auto" w:w="0"/>
                  <w:shd w:val="clear" w:color="auto" w:fill="F0F0F0"/>
                </w:tcPr>
                <w:p>
                  <w:pPr>
                    <w:pStyle w:val="Normal"/>
                    <w:keepLines w:val="on"/>
                  </w:pPr>
                  <w:r>
                    <w:t>74,6</w:t>
                  </w:r>
                </w:p>
              </w:tc>
              <w:tc>
                <w:tcPr>
                  <w:tcW w:type="auto" w:w="0"/>
                  <w:shd w:val="clear" w:color="auto" w:fill="F0F0F0"/>
                </w:tcPr>
                <w:p>
                  <w:pPr>
                    <w:pStyle w:val="Normal"/>
                    <w:keepLines w:val="on"/>
                  </w:pPr>
                  <w:r>
                    <w:t>41,6</w:t>
                  </w:r>
                </w:p>
              </w:tc>
            </w:tr>
            <w:tr>
              <w:tc>
                <w:tcPr>
                  <w:tcW w:type="auto" w:w="0"/>
                  <w:shd w:val="clear" w:color="auto" w:fill="F0F0F0"/>
                </w:tcPr>
                <w:p>
                  <w:pPr>
                    <w:pStyle w:val="Para 02"/>
                    <w:keepLines w:val="on"/>
                  </w:pPr>
                  <w:r>
                    <w:t>Số lần kỳ vọng</w:t>
                  </w:r>
                </w:p>
              </w:tc>
              <w:tc>
                <w:tcPr>
                  <w:tcW w:type="auto" w:w="0"/>
                  <w:shd w:val="clear" w:color="auto" w:fill="F0F0F0"/>
                </w:tcPr>
                <w:p>
                  <w:pPr>
                    <w:pStyle w:val="Normal"/>
                    <w:keepLines w:val="on"/>
                  </w:pPr>
                  <w:r>
                    <w:t>759,8</w:t>
                  </w:r>
                </w:p>
              </w:tc>
              <w:tc>
                <w:tcPr>
                  <w:tcW w:type="auto" w:w="0"/>
                  <w:shd w:val="clear" w:color="auto" w:fill="F0F0F0"/>
                </w:tcPr>
                <w:p>
                  <w:pPr>
                    <w:pStyle w:val="Normal"/>
                    <w:keepLines w:val="on"/>
                  </w:pPr>
                  <w:r>
                    <w:t>175,8</w:t>
                  </w:r>
                </w:p>
              </w:tc>
              <w:tc>
                <w:tcPr>
                  <w:tcW w:type="auto" w:w="0"/>
                  <w:shd w:val="clear" w:color="auto" w:fill="F0F0F0"/>
                </w:tcPr>
                <w:p>
                  <w:pPr>
                    <w:pStyle w:val="Normal"/>
                    <w:keepLines w:val="on"/>
                  </w:pPr>
                  <w:r>
                    <w:t>75,3</w:t>
                  </w:r>
                </w:p>
              </w:tc>
              <w:tc>
                <w:tcPr>
                  <w:tcW w:type="auto" w:w="0"/>
                  <w:shd w:val="clear" w:color="auto" w:fill="F0F0F0"/>
                </w:tcPr>
                <w:p>
                  <w:pPr>
                    <w:pStyle w:val="Normal"/>
                    <w:keepLines w:val="on"/>
                  </w:pPr>
                  <w:r>
                    <w:t>41,7</w:t>
                  </w:r>
                </w:p>
              </w:tc>
            </w:tr>
          </w:tbl>
          <w:p/>
        </w:tc>
      </w:tr>
    </w:tbl>
    <w:p>
      <w:pPr>
        <w:pStyle w:val="Para 03"/>
      </w:pPr>
      <w:r>
        <w:t>Dựa trên những kết quả này, có bằng chứng về tương quan dương trong lợi nhuận hàng ngày nhưng không có bằng chứng về sự lệch khỏi phân phối chuẩn đối với các khoảng thời gian lợi nhuận dài hơn.</w:t>
      </w:r>
    </w:p>
    <w:p>
      <w:pPr>
        <w:pStyle w:val="Para 03"/>
      </w:pPr>
      <w:r>
        <w:t>Một lần nữa, dù bằng chứng này đã cũ, nó vẫn minh họa cho quan điểm rằng những chuỗi dài các thay đổi tăng và giảm, tự thân chúng, không đủ để chứng minh rằng thị trường không ngẫu nhiên, vì hành vi như vậy hoàn toàn nhất quán với việc giá thay đổi theo bước ngẫu nhiên (random walk). Chính sự lặp lại của những chuỗi này mới có thể được xem là bằng chứng chống lại tính ngẫu nhiên trong hành vi giá.</w:t>
      </w:r>
    </w:p>
    <w:p>
      <w:bookmarkStart w:id="873" w:name="Longer_Term_Price_Movements"/>
      <w:bookmarkStart w:id="874" w:name="Longer_Term_Price_Movements__Whi"/>
      <w:pPr>
        <w:keepNext/>
        <w:pStyle w:val="Heading 4"/>
        <w:keepLines w:val="on"/>
      </w:pPr>
      <w:r>
        <w:t>Biến động giá dài hạn hơn</w:t>
      </w:r>
      <w:bookmarkEnd w:id="873"/>
      <w:bookmarkEnd w:id="874"/>
    </w:p>
    <w:p>
      <w:pPr>
        <w:pStyle w:val="Para 03"/>
      </w:pPr>
      <w:r>
        <w:t>Trong khi hầu hết các nghiên cứu trước đây về hành vi giá tập trung vào các khoảng thời gian lợi nhuận ngắn hơn, những năm gần đây người ta chú ý nhiều hơn đến biến động giá trong các giai đoạn dài hơn (từ một năm đến năm năm). Ở đây, có một sự phân đôi thú vị trong kết quả. Khi dài hạn được định nghĩa là vài tháng thay vì vài năm, dường như có xu hướng tương quan chuỗi dương (positive serial correlation) hay đà giá (price momentum). Tuy nhiên, khi dài hạn được định nghĩa theo năm, lại có tương quan âm đáng kể trong lợi nhuận, cho thấy thị trường tự đảo chiều trong các giai đoạn dài.</w:t>
      </w:r>
    </w:p>
    <w:p>
      <w:bookmarkStart w:id="876" w:name="Weekly_and_Monthly_Price_Momentu"/>
      <w:pPr>
        <w:pStyle w:val="Para 21"/>
      </w:pPr>
      <w:r>
        <w:t>Đà giá theo tuần và theo tháng</w:t>
      </w:r>
      <w:bookmarkEnd w:id="876"/>
    </w:p>
    <w:p>
      <w:pPr>
        <w:pStyle w:val="Para 03"/>
      </w:pPr>
      <w:r>
        <w:t>Trong phần trước, chúng ta đã lưu ý rằng bằng chứng về các mô hình giá ngắn hạn là yếu, và bất kỳ sự phụ thuộc giá nào trong những khoảng thời gian rất ngắn (vài phút hoặc vài giờ) có thể được quy cho cấu trúc thị trường (thanh khoản, chênh lệch giá mua–giá bán) nhiều hơn là do sự kém hiệu quả. Chúng ta cũng đã lập luận rằng dù những người theo trường phái đồ thị (chartists) theo dõi các biến động giá ngắn hạn này rất đông, nhưng ít người nổi lên như những người thắng cuộc nhất quán. Khi chúng ta mở rộng khoảng thời gian từ vài phút sang vài ngày và từ vài ngày sang vài tuần, có một số bằng chứng về đà giá. Nói cách khác, những cổ phiếu đã tăng trong vài tuần hoặc vài tháng qua dường như có xu hướng tiếp tục vượt trội thị trường trong vài tuần hoặc vài tháng tới, và những cổ phiếu đã giảm trong vài tuần hoặc vài tháng gần đây tiếp tục èo uột trong vài tuần hoặc vài tháng tới.</w:t>
      </w:r>
    </w:p>
    <w:p>
      <w:pPr>
        <w:pStyle w:val="Para 03"/>
      </w:pPr>
      <w:r>
        <w:t>Jegadeesh và Titman (1993, 2001) trình bày bằng chứng về cái mà họ gọi là đà giá trong giá cổ phiếu trong các khoảng thời gian lên đến tám tháng — những cổ phiếu đã tăng trong sáu tháng qua có xu hướng tiếp tục tăng, trong khi những cổ phiếu đã giảm trong sáu tháng qua có xu hướng tiếp tục giảm. Hiệu ứng đà giá cũng mạnh tương tự ở các thị trường châu Âu, dù dường như yếu hơn ở các thị trường mới nổi. Điều gì có thể gây ra đà giá này? Một lời giải thích tiềm năng là các quỹ tương hỗ (mutual funds) có xu hướng mua những cổ phiếu thắng trong quá khứ và bán tháo những cổ phiếu thua trong quá khứ, từ đó tạo ra sự liên tục về giá.</w:t>
      </w:r>
    </w:p>
    <w:p>
      <w:bookmarkStart w:id="878" w:name="Annual_or_Multi_year_Price_Rever"/>
      <w:pPr>
        <w:pStyle w:val="Para 21"/>
      </w:pPr>
      <w:r>
        <w:t>Đảo chiều giá theo năm hoặc nhiều năm</w:t>
      </w:r>
      <w:bookmarkEnd w:id="878"/>
    </w:p>
    <w:p>
      <w:pPr>
        <w:pStyle w:val="Para 03"/>
      </w:pPr>
      <w:r>
        <w:t>Khi dài hạn được định nghĩa theo năm, có tương quan âm trong lợi nhuận, cho thấy thị trường tự đảo chiều trong những giai đoạn rất dài. Fama và French (1988) đã xem xét lợi nhuận năm năm của cổ phiếu từ 1941 đến 1985 và trình bày bằng chứng về hiện tượng này. Họ phát hiện rằng tương quan chuỗi âm hơn ở lợi nhuận năm năm so với lợi nhuận một năm, và âm hơn nhiều đối với các cổ phiếu nhỏ hơn so với các cổ phiếu lớn hơn. Hình 6.2 tóm tắt tương quan chuỗi một năm và năm năm theo nhóm quy mô đối với cổ phiếu trên Sở Giao dịch Chứng khoán New York.</w:t>
      </w:r>
    </w:p>
    <w:p>
      <w:bookmarkStart w:id="881" w:name="Figure_6_2_One_Year_and_Five_Ye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60600" cy="1397000"/>
            <wp:effectExtent l="0" r="0" t="0" b="0"/>
            <wp:wrapTopAndBottom/>
            <wp:docPr id="37" name="c06f002.png" descr="Bar graph for 1 and 5 years serial correlation by size class for stocks depicts that serial correlation is negative in 5-year returns."/>
            <wp:cNvGraphicFramePr>
              <a:graphicFrameLocks noChangeAspect="1"/>
            </wp:cNvGraphicFramePr>
            <a:graphic>
              <a:graphicData uri="http://schemas.openxmlformats.org/drawingml/2006/picture">
                <pic:pic>
                  <pic:nvPicPr>
                    <pic:cNvPr id="0" name="c06f002.png" descr="Bar graph for 1 and 5 years serial correlation by size class for stocks depicts that serial correlation is negative in 5-year returns."/>
                    <pic:cNvPicPr/>
                  </pic:nvPicPr>
                  <pic:blipFill>
                    <a:blip r:embed="rId32"/>
                    <a:stretch>
                      <a:fillRect/>
                    </a:stretch>
                  </pic:blipFill>
                  <pic:spPr>
                    <a:xfrm>
                      <a:off x="0" y="0"/>
                      <a:ext cx="2260600" cy="1397000"/>
                    </a:xfrm>
                    <a:prstGeom prst="rect">
                      <a:avLst/>
                    </a:prstGeom>
                  </pic:spPr>
                </pic:pic>
              </a:graphicData>
            </a:graphic>
          </wp:anchor>
        </w:drawing>
      </w:r>
      <w:bookmarkEnd w:id="881"/>
    </w:p>
    <w:p>
      <w:pPr>
        <w:pStyle w:val="Para 22"/>
        <w:keepLines w:val="on"/>
      </w:pPr>
      <w:r>
        <w:t>Hình 6.2 Tương quan một năm và năm năm: Theo nhóm giá trị thị trường, 1941–1985</w:t>
      </w:r>
    </w:p>
    <w:p>
      <w:pPr>
        <w:keepNext/>
        <w:pStyle w:val="Para 22"/>
        <w:keepLines w:val="on"/>
      </w:pPr>
      <w:r>
        <w:t>Nguồn: Phỏng theo Fama và cộng sự, 1988.</w:t>
      </w:r>
    </w:p>
    <w:p>
      <w:pPr>
        <w:pStyle w:val="Para 03"/>
      </w:pPr>
      <w:r>
        <w:t>Vì có bằng chứng rằng giá tự đảo chiều trong dài hạn, có thể đáng để xem xét liệu nhà đầu tư có thể lợi dụng những lần đảo chiều giá như vậy để kiếm lời hay không. Để tách riêng tác động của những lần đảo chiều giá này lên các danh mục cực đoan, DeBondt và Thaler đã xây dựng một danh mục người thắng gồm 35 cổ phiếu tăng nhiều nhất trong năm trước đó, và một danh mục người thua gồm 35 cổ phiếu giảm nhiều nhất trong năm trước đó, mỗi năm từ 1933 đến 1978, rồi xem xét lợi nhuận của các danh mục này trong sáu mươi tháng sau khi danh mục được lập. Hình 6.3 tóm tắt lợi nhuận vượt trội của danh mục người thắng và người thua. Phân tích này cho thấy danh mục người thua rõ ràng vượt trội so với danh mục người thắng trong 60 tháng sau khi được lập. Bằng chứng này nhất quán với sự phản ứng thái quá của thị trường và sự điều chỉnh trong các khoảng thời gian lợi nhuận dài.</w:t>
      </w:r>
    </w:p>
    <w:p>
      <w:bookmarkStart w:id="883" w:name="Figure_6_3_Excess_Returns_for_Wi"/>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73300" cy="1333500"/>
            <wp:effectExtent l="0" r="0" t="0" b="0"/>
            <wp:wrapTopAndBottom/>
            <wp:docPr id="38" name="c06f003.png" descr="Line graph on examined returns on winner, loser portfolios depicts that loser portfolios clearly outperform winner portfolios in 60 months."/>
            <wp:cNvGraphicFramePr>
              <a:graphicFrameLocks noChangeAspect="1"/>
            </wp:cNvGraphicFramePr>
            <a:graphic>
              <a:graphicData uri="http://schemas.openxmlformats.org/drawingml/2006/picture">
                <pic:pic>
                  <pic:nvPicPr>
                    <pic:cNvPr id="0" name="c06f003.png" descr="Line graph on examined returns on winner, loser portfolios depicts that loser portfolios clearly outperform winner portfolios in 60 months."/>
                    <pic:cNvPicPr/>
                  </pic:nvPicPr>
                  <pic:blipFill>
                    <a:blip r:embed="rId33"/>
                    <a:stretch>
                      <a:fillRect/>
                    </a:stretch>
                  </pic:blipFill>
                  <pic:spPr>
                    <a:xfrm>
                      <a:off x="0" y="0"/>
                      <a:ext cx="2273300" cy="1333500"/>
                    </a:xfrm>
                    <a:prstGeom prst="rect">
                      <a:avLst/>
                    </a:prstGeom>
                  </pic:spPr>
                </pic:pic>
              </a:graphicData>
            </a:graphic>
          </wp:anchor>
        </w:drawing>
      </w:r>
      <w:bookmarkEnd w:id="883"/>
    </w:p>
    <w:p>
      <w:pPr>
        <w:pStyle w:val="Para 22"/>
        <w:keepLines w:val="on"/>
      </w:pPr>
      <w:r>
        <w:t>HÌNH 6.3 Lợi nhuận vượt trội của danh mục cổ phiếu thắng và thua</w:t>
      </w:r>
    </w:p>
    <w:p>
      <w:pPr>
        <w:keepNext/>
        <w:pStyle w:val="Para 22"/>
        <w:keepLines w:val="on"/>
      </w:pPr>
      <w:r>
        <w:t>Nguồn: DeBondt và cộng sự, 1985, John Wiley &amp; Sons.</w:t>
      </w:r>
    </w:p>
    <w:p>
      <w:pPr>
        <w:pStyle w:val="Para 03"/>
      </w:pPr>
      <w:r>
        <w:t>Có nhiều học giả cũng như những người hành nghề cho rằng những phát hiện này có thể thú vị, nhưng chúng đã phóng đại lợi nhuận tiềm năng của danh mục cổ phiếu thua. Chẳng hạn, có bằng chứng cho thấy danh mục cổ phiếu thua có nhiều khả năng chứa các cổ phiếu giá thấp (bán với giá dưới 5 đô-la), vốn tạo ra chi phí giao dịch cao hơn và cũng có nhiều khả năng mang lại lợi nhuận bị lệch mạnh; nghĩa là, lợi nhuận vượt trội đến từ một vài cổ phiếu đạt mức sinh lời phi thường thay vì từ hiệu suất ổn định. Một nghiên cứu về danh mục cổ phiếu thắng và thua quy phần lớn lợi nhuận vượt trội của danh mục cổ phiếu thua cho các cổ phiếu giá thấp và nhận thấy rằng kết quả rất nhạy cảm với thời điểm danh mục được lập. Danh mục cổ phiếu thua được lập vào mỗi tháng Mười Hai mang lại lợi nhuận cao hơn đáng kể so với danh mục được lập vào mỗi tháng Sáu.</w:t>
      </w:r>
    </w:p>
    <w:p>
      <w:pPr>
        <w:pStyle w:val="Para 20"/>
      </w:pPr>
      <w:r>
        <w:rPr>
          <w:rStyle w:val="Text26"/>
        </w:rPr>
        <w:bookmarkStart w:id="885" w:name="Page_131"/>
        <w:t/>
        <w:bookmarkEnd w:id="885"/>
      </w:r>
      <w:r>
        <w:t xml:space="preserve"> </w:t>
      </w:r>
    </w:p>
    <w:p>
      <w:bookmarkStart w:id="886" w:name="Speculative_Bubbles__Crashes__an_1"/>
      <w:bookmarkStart w:id="887" w:name="Speculative_Bubbles__Crashes__an"/>
      <w:pPr>
        <w:keepNext/>
        <w:pStyle w:val="Heading 4"/>
        <w:keepLines w:val="on"/>
      </w:pPr>
      <w:r>
        <w:t>Bong bóng đầu cơ, sự sụp đổ và hoảng loạn</w:t>
      </w:r>
      <w:bookmarkEnd w:id="886"/>
      <w:bookmarkEnd w:id="887"/>
    </w:p>
    <w:p>
      <w:pPr>
        <w:pStyle w:val="Para 03"/>
      </w:pPr>
      <w:r>
        <w:t>Các nhà sử học đã nghiên cứu hành vi của thị trường tài chính qua thời gian đã thách thức giả định về tính hợp lý vốn là nền tảng của phần lớn lý thuyết thị trường hiệu quả. Họ chỉ ra tần suất mà các bong bóng đầu cơ hình thành trên thị trường tài chính khi nhà đầu tư mua theo mốt nhất thời hoặc các kế hoạch làm giàu nhanh chóng, và những đợt sụp đổ khi các bong bóng này kết thúc, đồng thời cho rằng không có gì ngăn cản hiện tượng này tái diễn trên thị trường tài chính ngày nay. Có một số bằng chứng trong tài liệu về sự bất hợp lý của những người tham gia thị trường.</w:t>
      </w:r>
    </w:p>
    <w:p>
      <w:bookmarkStart w:id="888" w:name="Experimental_Studies_of_Rational"/>
      <w:pPr>
        <w:pStyle w:val="Para 21"/>
      </w:pPr>
      <w:r>
        <w:t>Các nghiên cứu thực nghiệm về tính hợp lý</w:t>
      </w:r>
      <w:bookmarkEnd w:id="888"/>
    </w:p>
    <w:p>
      <w:pPr>
        <w:pStyle w:val="Para 03"/>
      </w:pPr>
      <w:r>
        <w:t>Một số bằng chứng thú vị nhất về hiệu quả thị trường và tính hợp lý trong những năm gần đây đến từ các nghiên cứu thực nghiệm. Trong khi hầu hết các nghiên cứu thực nghiệm cho thấy các nhà giao dịch là hợp lý, có một số ví dụ về hành vi bất hợp lý trong một vài nghiên cứu này.</w:t>
      </w:r>
    </w:p>
    <w:p>
      <w:pPr>
        <w:pStyle w:val="Para 03"/>
      </w:pPr>
      <w:r>
        <w:t>Một nghiên cứu như vậy được thực hiện tại Đại học Arizona. Trong một nghiên cứu thực nghiệm, các nhà giao dịch được thông báo rằng một khoản chi trả sẽ được công bố sau mỗi ngày giao dịch, được xác định ngẫu nhiên từ bốn khả năng—0, 8, 28, hoặc 60 xu. Khoản chi trả trung bình là 24 xu. Do đó, giá trị kỳ vọng của cổ phiếu vào ngày giao dịch đầu tiên của một thí nghiệm kéo dài 15 ngày là 3,60 đô-la (24 xu nhân với 15), ngày thứ hai là 3,36 đô-la, và cứ tiếp tục như vậy. Các nhà giao dịch được phép giao dịch mỗi ngày. Kết quả của 60 thí nghiệm như vậy được tóm tắt trong Hình 6.4.</w:t>
      </w:r>
    </w:p>
    <w:p>
      <w:bookmarkStart w:id="891" w:name="Figure_6_4_Trading_Price_by_Trad"/>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689100" cy="939800"/>
            <wp:effectExtent l="0" r="0" t="0" b="0"/>
            <wp:wrapTopAndBottom/>
            <wp:docPr id="39" name="c06f004.png" descr="Line graph plots a trend line with several crests and troughs depicting the results of 60 traders on trading price by trading day axes."/>
            <wp:cNvGraphicFramePr>
              <a:graphicFrameLocks noChangeAspect="1"/>
            </wp:cNvGraphicFramePr>
            <a:graphic>
              <a:graphicData uri="http://schemas.openxmlformats.org/drawingml/2006/picture">
                <pic:pic>
                  <pic:nvPicPr>
                    <pic:cNvPr id="0" name="c06f004.png" descr="Line graph plots a trend line with several crests and troughs depicting the results of 60 traders on trading price by trading day axes."/>
                    <pic:cNvPicPr/>
                  </pic:nvPicPr>
                  <pic:blipFill>
                    <a:blip r:embed="rId34"/>
                    <a:stretch>
                      <a:fillRect/>
                    </a:stretch>
                  </pic:blipFill>
                  <pic:spPr>
                    <a:xfrm>
                      <a:off x="0" y="0"/>
                      <a:ext cx="1689100" cy="939800"/>
                    </a:xfrm>
                    <a:prstGeom prst="rect">
                      <a:avLst/>
                    </a:prstGeom>
                  </pic:spPr>
                </pic:pic>
              </a:graphicData>
            </a:graphic>
          </wp:anchor>
        </w:drawing>
      </w:r>
      <w:bookmarkEnd w:id="891"/>
    </w:p>
    <w:p>
      <w:pPr>
        <w:keepNext/>
        <w:pStyle w:val="Para 22"/>
        <w:keepLines w:val="on"/>
      </w:pPr>
      <w:r>
        <w:t>HÌNH 6.4 Giá giao dịch theo ngày giao dịch</w:t>
      </w:r>
    </w:p>
    <w:p>
      <w:pPr>
        <w:pStyle w:val="Para 03"/>
      </w:pPr>
      <w:r>
        <w:t>Ở đây có bằng chứng rõ ràng về một bong bóng đầu cơ hình thành trong giai đoạn 3–5, khi giá vượt quá giá trị kỳ vọng một khoảng đáng kể. Bong bóng cuối cùng vỡ, và giá tiến gần đến giá trị kỳ vọng vào cuối giai đoạn. Nếu việc định giá sai này khả thi trong một thị trường đơn giản, nơi mọi nhà đầu tư đều có được cùng một thông tin, thì rõ ràng nó cũng khả thi trên thị trường tài chính thực tế, nơi có nhiều thông tin khác biệt hơn và độ bất định về giá trị kỳ vọng lớn hơn nhiều.</w:t>
      </w:r>
    </w:p>
    <w:p>
      <w:pPr>
        <w:pStyle w:val="Para 03"/>
      </w:pPr>
      <w:r>
        <w:t>Cần chỉ ra rằng một số thí nghiệm được thực hiện với sinh viên, và một số với các doanh nhân ở Tucson có kinh nghiệm thực tế. Kết quả tương tự đối với cả hai nhóm. Hơn nữa, khi các giới hạn giá 15 xu được áp dụng, các đợt bùng nổ kéo dài thậm chí lâu hơn vì các nhà giao dịch biết rằng giá sẽ không giảm quá 15 xu trong một giai đoạn. Do đó, quan điểm cho rằng giới hạn giá có thể kiểm soát bong bóng đầu cơ có vẻ là sai lầm.</w:t>
      </w:r>
    </w:p>
    <w:p>
      <w:bookmarkStart w:id="892" w:name="Behavioral_Finance__The_irration"/>
      <w:pPr>
        <w:pStyle w:val="Para 21"/>
      </w:pPr>
      <w:r>
        <w:t>Tài chính hành vi</w:t>
      </w:r>
      <w:bookmarkEnd w:id="892"/>
    </w:p>
    <w:p>
      <w:pPr>
        <w:pStyle w:val="Para 03"/>
      </w:pPr>
      <w:r>
        <w:t>Sự bất hợp lý đôi khi được thể hiện bởi các nhà đầu tư đã làm nảy sinh một lĩnh vực tài chính hoàn toàn mới gọi là tài chính hành vi (behavioral finance). Sử dụng bằng chứng thu thập từ tâm lý học thực nghiệm, các nhà nghiên cứu đã thử cả hai mô hình để xem các nhà đầu tư phản ứng với thông tin như thế nào và dự đoán giá sẽ thay đổi ra sao như một hệ quả. Họ đã thành công hơn nhiều ở nỗ lực thứ nhất so với nỗ lực thứ hai. Chẳng hạn, bằng chứng dường như cho thấy rằng:</w:t>
      </w:r>
    </w:p>
    <w:p>
      <w:pPr>
        <w:numPr>
          <w:ilvl w:val="0"/>
          <w:numId w:val="39"/>
        </w:numPr>
        <w:pStyle w:val="Para 01"/>
      </w:pPr>
      <w:r>
        <w:t>Các nhà đầu tư không thích thừa nhận sai lầm của mình. Do đó, họ có xu hướng giữ các cổ phiếu thua quá lâu, hoặc trong một số trường hợp tăng gấp đôi cược (đầu tư) của mình khi cổ phiếu giảm giá trị.</w:t>
      </w:r>
    </w:p>
    <w:p>
      <w:pPr>
        <w:numPr>
          <w:ilvl w:val="0"/>
          <w:numId w:val="39"/>
        </w:numPr>
        <w:pStyle w:val="Para 01"/>
      </w:pPr>
      <w:r>
        <w:t>Nhiều thông tin hơn không phải lúc nào cũng dẫn đến quyết định đầu tư tốt hơn. Các nhà đầu tư dường như vừa bị quá tải thông tin vừa có xu hướng phản ứng với mẩu thông tin mới nhất. Cả hai đều dẫn đến các quyết định đầu tư làm giảm lợi nhuận trong dài hạn.</w:t>
      </w:r>
    </w:p>
    <w:p>
      <w:pPr>
        <w:pStyle w:val="Para 03"/>
      </w:pPr>
      <w:r>
        <w:t>Nếu bằng chứng về cách các nhà đầu tư hành xử rõ ràng đến vậy, bạn có thể hỏi, tại sao các dự đoán nảy sinh từ những mô hình này lại nhiễu đến thế? Câu trả lời, có lẽ, là bất kỳ mô hình nào cố gắng dự báo những điểm yếu và sự bất hợp lý của con người, về bản chất tự nhiên của nó, đều khó có thể là một mô hình ổn định. Tài chính hành vi cuối cùng có thể nổi lên như một quân bài chủ chốt trong việc giải thích tại sao và bằng cách nào giá cổ phiếu lệch khỏi giá trị thực, nhưng vai trò của nó trong việc hoạch định chiến lược đầu tư vẫn còn đáng ngờ.</w:t>
      </w:r>
    </w:p>
    <w:p>
      <w:pPr>
        <w:pStyle w:val="Para 11"/>
      </w:pPr>
      <w:r>
        <w:t/>
        <w:t xml:space="preserve"> </w:t>
      </w:r>
    </w:p>
    <w:p>
      <w:bookmarkStart w:id="895" w:name="Behavioral_Finance_and_Valuation_1"/>
      <w:bookmarkStart w:id="896" w:name="Behavioral_Finance_and_Valuation"/>
      <w:pPr>
        <w:keepNext/>
        <w:pStyle w:val="Para 27"/>
        <w:keepLines w:val="on"/>
      </w:pPr>
      <w:r>
        <w:t>Tài chính hành vi và định giá</w:t>
      </w:r>
      <w:bookmarkEnd w:id="895"/>
      <w:bookmarkEnd w:id="896"/>
    </w:p>
    <w:p>
      <w:pPr>
        <w:pStyle w:val="Para 16"/>
        <w:keepLines w:val="on"/>
      </w:pPr>
      <w:r>
        <w:t>Năm 1999, Robert Shiller gây chấn động cả giới học thuật lẫn các công ty đầu tư với cuốn sách của ông mang tựa đề Irrational Exuberance (Sự hưng phấn phi lý). Luận điểm của ông là các nhà đầu tư thường không chỉ bất hợp lý mà còn bất hợp lý theo những cách có thể dự đoán được—phản ứng thái quá với một số thông tin và mua bán theo đám đông. Công trình của ông tạo thành một phần của khối lý thuyết và bằng chứng ngày càng lớn về tài chính hành vi, có thể được xem như sự hòa hợp giữa tâm lý học, thống kê học và tài chính học.</w:t>
      </w:r>
    </w:p>
    <w:p>
      <w:pPr>
        <w:pStyle w:val="Para 16"/>
        <w:keepLines w:val="on"/>
      </w:pPr>
      <w:r>
        <w:t>Trong khi bằng chứng được đưa ra cho sự bất hợp lý của nhà đầu tư là mạnh mẽ, những hàm ý đối với định giá lại ít mạnh mẽ hơn. Bạn có thể coi định giá dòng tiền chiết khấu (discounted cash flow valuation) là phản đề của tài chính hành vi, bởi vì nó đứng trên quan điểm rằng giá trị của một tài sản là giá trị hiện tại của các dòng tiền kỳ vọng mà tài sản đó tạo ra. Với bối cảnh này, có hai cách để bạn nhìn nhận các phát hiện trong tài chính hành vi:</w:t>
      </w:r>
    </w:p>
    <w:p>
      <w:pPr>
        <w:numPr>
          <w:ilvl w:val="0"/>
          <w:numId w:val="40"/>
        </w:numPr>
        <w:pStyle w:val="Para 33"/>
        <w:keepLines w:val="on"/>
      </w:pPr>
      <w:r>
        <w:t>Hành vi bất hợp lý có thể giải thích tại sao giá có thể lệch khỏi giá trị (như được ước tính trong một mô hình dòng tiền chiết khấu). Do đó, nó cung cấp nền tảng cho lợi nhuận vượt trội mà các nhà đầu tư hợp lý kiếm được khi đưa ra quyết định dựa trên giá trị ước tính. Ẩn chứa ở đây là giả định rằng thị trường cuối cùng sẽ nhận ra sự bất hợp lý của mình và tự điều chỉnh.</w:t>
      </w:r>
    </w:p>
    <w:p>
      <w:pPr>
        <w:numPr>
          <w:ilvl w:val="0"/>
          <w:numId w:val="40"/>
        </w:numPr>
        <w:pStyle w:val="Para 33"/>
        <w:keepLines w:val="on"/>
      </w:pPr>
      <w:r>
        <w:t>Nó cũng có thể giải thích tại sao các giá trị dòng tiền chiết khấu có thể lệch khỏi giá (được ước tính bằng các bội số). Vì giá được ước tính bằng cách nhìn vào cách thị trường định giá các tài sản tương tự, những bất hợp lý tồn tại sẽ được định giá vào tài sản.</w:t>
      </w:r>
    </w:p>
    <w:p>
      <w:pPr>
        <w:pStyle w:val="Para 11"/>
      </w:pPr>
      <w:r>
        <w:rPr>
          <w:rStyle w:val="Text26"/>
        </w:rPr>
        <w:bookmarkStart w:id="897" w:name="Page_133"/>
        <w:t/>
        <w:bookmarkEnd w:id="897"/>
      </w:r>
      <w:r>
        <w:t xml:space="preserve"> </w:t>
      </w:r>
    </w:p>
    <w:p>
      <w:bookmarkStart w:id="898" w:name="Market_Reaction_to_Information_E"/>
      <w:bookmarkStart w:id="899" w:name="Market_Reaction_to_Information_E_1"/>
      <w:pPr>
        <w:keepNext/>
        <w:pStyle w:val="Heading 2"/>
        <w:keepLines w:val="on"/>
      </w:pPr>
      <w:r>
        <w:t>Phản ứng của thị trường đối với các sự kiện thông tin</w:t>
      </w:r>
      <w:bookmarkEnd w:id="898"/>
      <w:bookmarkEnd w:id="899"/>
    </w:p>
    <w:p>
      <w:pPr>
        <w:pStyle w:val="Para 03"/>
      </w:pPr>
      <w:r>
        <w:t>Một trong những phép thử mạnh mẽ nhất về hiệu quả thị trường là các nghiên cứu sự kiện (event studies), nơi phản ứng của thị trường đối với các sự kiện thông tin (chẳng hạn như công bố lợi nhuận và công bố thâu tóm) được xem xét kỹ lưỡng để tìm bằng chứng về sự kém hiệu quả. Trong khi việc thị trường phản ứng với thông tin mới là phù hợp với hiệu quả thị trường, phản ứng phải tức thời và không thiên lệch. Điểm này được thể hiện trong Hình 6.5 bằng cách đối chiếu ba phản ứng thị trường khác nhau đối với các công bố thông tin chứa tin tốt.</w:t>
      </w:r>
    </w:p>
    <w:p>
      <w:bookmarkStart w:id="901" w:name="Figure_6_5_Information_and_Pric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533400"/>
            <wp:effectExtent l="0" r="0" t="0" b="0"/>
            <wp:wrapTopAndBottom/>
            <wp:docPr id="40" name="c06f005.png" descr="Illustration depicts 3 different price adjustments on market reactions to information announcements containing good news."/>
            <wp:cNvGraphicFramePr>
              <a:graphicFrameLocks noChangeAspect="1"/>
            </wp:cNvGraphicFramePr>
            <a:graphic>
              <a:graphicData uri="http://schemas.openxmlformats.org/drawingml/2006/picture">
                <pic:pic>
                  <pic:nvPicPr>
                    <pic:cNvPr id="0" name="c06f005.png" descr="Illustration depicts 3 different price adjustments on market reactions to information announcements containing good news."/>
                    <pic:cNvPicPr/>
                  </pic:nvPicPr>
                  <pic:blipFill>
                    <a:blip r:embed="rId35"/>
                    <a:stretch>
                      <a:fillRect/>
                    </a:stretch>
                  </pic:blipFill>
                  <pic:spPr>
                    <a:xfrm>
                      <a:off x="0" y="0"/>
                      <a:ext cx="2425700" cy="533400"/>
                    </a:xfrm>
                    <a:prstGeom prst="rect">
                      <a:avLst/>
                    </a:prstGeom>
                  </pic:spPr>
                </pic:pic>
              </a:graphicData>
            </a:graphic>
          </wp:anchor>
        </w:drawing>
      </w:r>
      <w:bookmarkEnd w:id="901"/>
    </w:p>
    <w:p>
      <w:pPr>
        <w:keepNext/>
        <w:pStyle w:val="Para 22"/>
        <w:keepLines w:val="on"/>
      </w:pPr>
      <w:r>
        <w:t>HÌNH 6.5 Thông tin và sự điều chỉnh giá</w:t>
      </w:r>
    </w:p>
    <w:p>
      <w:pPr>
        <w:pStyle w:val="Para 03"/>
      </w:pPr>
      <w:r>
        <w:t>Trong ba phản ứng thị trường được minh họa ở đây, chỉ phản ứng đầu tiên là phù hợp với một thị trường hiệu quả. Ở thị trường thứ hai, công bố thông tin được theo sau bởi sự gia tăng dần dần của giá, cho phép các nhà đầu tư kiếm được lợi nhuận vượt trội sau công bố. Đây là một thị trường học hỏi chậm, nơi một số nhà đầu tư sẽ kiếm được lợi nhuận vượt trội nhờ sự trôi dạt giá. Ở thị trường thứ ba, giá phản ứng tức thời với công bố nhưng tự điều chỉnh trong những ngày tiếp theo, cho thấy rằng thay đổi giá ban đầu là một phản ứng thái quá với thông tin. Ở đây một lần nữa, một nhà đầu tư nhanh nhạy có thể đã bán khống sau công bố và kỳ vọng kiếm được lợi nhuận vượt trội như một hệ quả của sự điều chỉnh giá.</w:t>
      </w:r>
    </w:p>
    <w:p>
      <w:bookmarkStart w:id="902" w:name="Earnings_Announcements__When_fir"/>
      <w:bookmarkStart w:id="903" w:name="Earnings_Announcements"/>
      <w:pPr>
        <w:keepNext/>
        <w:pStyle w:val="Heading 3"/>
        <w:keepLines w:val="on"/>
      </w:pPr>
      <w:r>
        <w:t>Công bố thu nhập</w:t>
      </w:r>
      <w:bookmarkEnd w:id="902"/>
      <w:bookmarkEnd w:id="903"/>
    </w:p>
    <w:p>
      <w:pPr>
        <w:pStyle w:val="Para 03"/>
      </w:pPr>
      <w:r>
        <w:t>Khi các công ty công bố thu nhập, họ truyền tải thông tin đến thị trường tài chính về triển vọng hiện tại và tương lai của mình. Mức độ của thông tin, và quy mô phản ứng của thị trường, sẽ phụ thuộc vào việc báo cáo thu nhập vượt qua hay thấp hơn kỳ vọng của nhà đầu tư bao nhiêu. Trong một thị trường hiệu quả, sẽ có phản ứng tức thời đối với báo cáo thu nhập, nếu nó chứa thông tin gây bất ngờ, và giá sẽ tăng sau những bất ngờ tích cực và giảm sau những bất ngờ tiêu cực.</w:t>
      </w:r>
    </w:p>
    <w:p>
      <w:pPr>
        <w:pStyle w:val="Para 03"/>
      </w:pPr>
      <w:r>
        <w:t>Vì thu nhập thực tế được so sánh với kỳ vọng của nhà đầu tư, một trong những phần quan trọng của nghiên cứu sự kiện thu nhập là đo lường những kỳ vọng này. Một số nghiên cứu trước đây sử dụng thu nhập từ cùng quý của năm trước làm thước đo thu nhập kỳ vọng (tức là, các công ty báo cáo thu nhập tăng so với quý trước tạo ra bất ngờ tích cực, và những công ty báo cáo thu nhập giảm so với quý trước tạo ra bất ngờ tiêu cực). Trong các nghiên cứu gần đây hơn, ước tính thu nhập của chuyên gia phân tích được sử dụng làm đại diện cho thu nhập kỳ vọng và được so sánh với thu nhập thực tế.</w:t>
      </w:r>
    </w:p>
    <w:p>
      <w:pPr>
        <w:pStyle w:val="Para 03"/>
      </w:pPr>
      <w:r>
        <w:t>Hình 6.6 cung cấp một đồ thị về phản ứng giá đối với các bất ngờ thu nhập, được phân loại dựa trên mức độ thành các nhóm khác nhau từ báo cáo thu nhập "tiêu cực nhất" (nhóm 1) đến báo cáo thu nhập tích cực nhất (nhóm 10). Bằng chứng trong đồ thị này nhất quán với bằng chứng trong hầu hết các nghiên cứu về công bố thu nhập.</w:t>
      </w:r>
    </w:p>
    <w:p>
      <w:pPr>
        <w:pStyle w:val="Para 20"/>
      </w:pPr>
      <w:r>
        <w:rPr>
          <w:rStyle w:val="Text26"/>
        </w:rPr>
        <w:bookmarkStart w:id="905" w:name="Page_134"/>
        <w:t/>
        <w:bookmarkEnd w:id="905"/>
      </w:r>
      <w:r>
        <w:t xml:space="preserve"> </w:t>
      </w:r>
    </w:p>
    <w:p>
      <w:bookmarkStart w:id="906" w:name="Figure_6_6_Pre__and_Post_Announc"/>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82800" cy="3619500"/>
            <wp:effectExtent l="0" r="0" t="0" b="0"/>
            <wp:wrapTopAndBottom/>
            <wp:docPr id="41" name="c06f006.png" descr="Two line graphs plot 10 groups classified from most negative to most positive depicting pre- and post-announcement drift."/>
            <wp:cNvGraphicFramePr>
              <a:graphicFrameLocks noChangeAspect="1"/>
            </wp:cNvGraphicFramePr>
            <a:graphic>
              <a:graphicData uri="http://schemas.openxmlformats.org/drawingml/2006/picture">
                <pic:pic>
                  <pic:nvPicPr>
                    <pic:cNvPr id="0" name="c06f006.png" descr="Two line graphs plot 10 groups classified from most negative to most positive depicting pre- and post-announcement drift."/>
                    <pic:cNvPicPr/>
                  </pic:nvPicPr>
                  <pic:blipFill>
                    <a:blip r:embed="rId36"/>
                    <a:stretch>
                      <a:fillRect/>
                    </a:stretch>
                  </pic:blipFill>
                  <pic:spPr>
                    <a:xfrm>
                      <a:off x="0" y="0"/>
                      <a:ext cx="2082800" cy="3619500"/>
                    </a:xfrm>
                    <a:prstGeom prst="rect">
                      <a:avLst/>
                    </a:prstGeom>
                  </pic:spPr>
                </pic:pic>
              </a:graphicData>
            </a:graphic>
          </wp:anchor>
        </w:drawing>
      </w:r>
      <w:bookmarkEnd w:id="906"/>
    </w:p>
    <w:p>
      <w:pPr>
        <w:pStyle w:val="Para 22"/>
        <w:keepLines w:val="on"/>
      </w:pPr>
      <w:r>
        <w:t>Hình 6.6 Sự trôi dạt trước và sau công bố sau những bất ngờ thu nhập hàng quý: Các công ty Hoa Kỳ từ 1988 đến 2002</w:t>
      </w:r>
    </w:p>
    <w:p>
      <w:pPr>
        <w:keepNext/>
        <w:pStyle w:val="Para 22"/>
        <w:keepLines w:val="on"/>
      </w:pPr>
      <w:r>
        <w:t>Nguồn: Phỏng theo Nichols và cộng sự, 2004.</w:t>
      </w:r>
    </w:p>
    <w:p>
      <w:pPr>
        <w:numPr>
          <w:ilvl w:val="0"/>
          <w:numId w:val="41"/>
        </w:numPr>
        <w:pStyle w:val="Para 01"/>
      </w:pPr>
      <w:r>
        <w:t>Việc công bố thu nhập rõ ràng truyền tải thông tin có giá trị đến thị trường tài chính; có lợi nhuận vượt trội dương (lợi nhuận bất thường tích lũy) xung quanh các công bố tích cực và lợi nhuận vượt trội âm xung quanh các công bố tiêu cực.</w:t>
      </w:r>
    </w:p>
    <w:p>
      <w:pPr>
        <w:numPr>
          <w:ilvl w:val="0"/>
          <w:numId w:val="41"/>
        </w:numPr>
        <w:pStyle w:val="Para 01"/>
      </w:pPr>
      <w:r>
        <w:t>Có một số bằng chứng về phản ứng của thị trường trong những ngày ngay trước khi công bố thu nhập, nhất quán với bản chất của công bố (tức là, giá có xu hướng tăng vào ngày trước các công bố tích cực và giảm vào ngày trước các công bố tiêu cực). Điều này có thể được xem như bằng chứng về giao dịch nội gián, rò rỉ thông tin, hoặc xác định sai ngày công bố.10</w:t>
      </w:r>
    </w:p>
    <w:p>
      <w:pPr>
        <w:numPr>
          <w:ilvl w:val="0"/>
          <w:numId w:val="41"/>
        </w:numPr>
        <w:pStyle w:val="Para 01"/>
      </w:pPr>
      <w:r>
        <w:t>Có một số bằng chứng, dù yếu, về sự trôi dạt giá trong những ngày sau khi công bố thu nhập. Do đó, một báo cáo tích cực gợi lên phản ứng tích cực của thị trường vào ngày công bố, và có lợi nhuận vượt trội dương nhẹ trong những ngày sau khi công bố thu nhập. Kết luận tương tự cũng xuất hiện đối với các báo cáo thu nhập tiêu cực.</w:t>
      </w:r>
    </w:p>
    <w:p>
      <w:pPr>
        <w:pStyle w:val="Para 03"/>
      </w:pPr>
      <w:r>
        <w:t>Ban quản lý của một công ty có một số quyền quyết định về thời điểm công bố thu nhập, và có một số bằng chứng rằng thời điểm này ảnh hưởng đến lợi nhuận kỳ vọng. Một nghiên cứu năm 1989 về các báo cáo thu nhập, được phân loại theo ngày trong tuần mà thu nhập được báo cáo, cho thấy rằng các báo cáo thu nhập và cổ tức vào thứ Sáu có nhiều khả năng chứa thông tin tiêu cực hơn so với các công bố vào bất kỳ ngày nào khác trong tuần. Điều này được thể hiện trong Hình 6.7.</w:t>
      </w:r>
    </w:p>
    <w:p>
      <w:bookmarkStart w:id="910" w:name="Figure_6_7_Earnings_and_Dividend"/>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22500" cy="1346200"/>
            <wp:effectExtent l="0" r="0" t="0" b="0"/>
            <wp:wrapTopAndBottom/>
            <wp:docPr id="42" name="c06f007.png" descr="Double bar graph plots percent change of E P S, D P S depicting that announcements on Friday’s have negative information than other days."/>
            <wp:cNvGraphicFramePr>
              <a:graphicFrameLocks noChangeAspect="1"/>
            </wp:cNvGraphicFramePr>
            <a:graphic>
              <a:graphicData uri="http://schemas.openxmlformats.org/drawingml/2006/picture">
                <pic:pic>
                  <pic:nvPicPr>
                    <pic:cNvPr id="0" name="c06f007.png" descr="Double bar graph plots percent change of E P S, D P S depicting that announcements on Friday’s have negative information than other days."/>
                    <pic:cNvPicPr/>
                  </pic:nvPicPr>
                  <pic:blipFill>
                    <a:blip r:embed="rId37"/>
                    <a:stretch>
                      <a:fillRect/>
                    </a:stretch>
                  </pic:blipFill>
                  <pic:spPr>
                    <a:xfrm>
                      <a:off x="0" y="0"/>
                      <a:ext cx="2222500" cy="1346200"/>
                    </a:xfrm>
                    <a:prstGeom prst="rect">
                      <a:avLst/>
                    </a:prstGeom>
                  </pic:spPr>
                </pic:pic>
              </a:graphicData>
            </a:graphic>
          </wp:anchor>
        </w:drawing>
      </w:r>
      <w:bookmarkEnd w:id="910"/>
    </w:p>
    <w:p>
      <w:pPr>
        <w:pStyle w:val="Para 22"/>
        <w:keepLines w:val="on"/>
      </w:pPr>
      <w:r>
        <w:t>Hình 6.7 Báo cáo thu nhập và cổ tức theo ngày trong tuần</w:t>
      </w:r>
    </w:p>
    <w:p>
      <w:pPr>
        <w:keepNext/>
        <w:pStyle w:val="Para 22"/>
        <w:keepLines w:val="on"/>
      </w:pPr>
      <w:r>
        <w:t>Nguồn: Phỏng theo Damodaran (1989).</w:t>
      </w:r>
    </w:p>
    <w:p>
      <w:pPr>
        <w:pStyle w:val="Para 03"/>
      </w:pPr>
      <w:r>
        <w:t>Cũng có một số bằng chứng được thảo luận bởi Chambers và Penman (1984) rằng các công bố thu nhập bị trì hoãn, so với ngày công bố dự kiến, có nhiều khả năng chứa tin xấu hơn so với các công bố thu nhập sớm hoặc đúng hạn. Điều này được vẽ đồ thị trong Hình 6.8. Các công bố thu nhập trễ hơn sáu ngày so với ngày công bố dự kiến có nhiều khả năng chứa tin xấu và gợi lên phản ứng tiêu cực của thị trường hơn so với các công bố thu nhập đúng hạn hoặc sớm.</w:t>
      </w:r>
    </w:p>
    <w:p>
      <w:bookmarkStart w:id="913" w:name="Figure_6_8_Cumulated_Abnormal_R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81200" cy="876300"/>
            <wp:effectExtent l="0" r="0" t="0" b="0"/>
            <wp:wrapTopAndBottom/>
            <wp:docPr id="43" name="c06f008.png" descr="Line graph depicts that delayed earnings announcements are more likely to contain bad news than earnings announcements that are on time."/>
            <wp:cNvGraphicFramePr>
              <a:graphicFrameLocks noChangeAspect="1"/>
            </wp:cNvGraphicFramePr>
            <a:graphic>
              <a:graphicData uri="http://schemas.openxmlformats.org/drawingml/2006/picture">
                <pic:pic>
                  <pic:nvPicPr>
                    <pic:cNvPr id="0" name="c06f008.png" descr="Line graph depicts that delayed earnings announcements are more likely to contain bad news than earnings announcements that are on time."/>
                    <pic:cNvPicPr/>
                  </pic:nvPicPr>
                  <pic:blipFill>
                    <a:blip r:embed="rId38"/>
                    <a:stretch>
                      <a:fillRect/>
                    </a:stretch>
                  </pic:blipFill>
                  <pic:spPr>
                    <a:xfrm>
                      <a:off x="0" y="0"/>
                      <a:ext cx="1981200" cy="876300"/>
                    </a:xfrm>
                    <a:prstGeom prst="rect">
                      <a:avLst/>
                    </a:prstGeom>
                  </pic:spPr>
                </pic:pic>
              </a:graphicData>
            </a:graphic>
          </wp:anchor>
        </w:drawing>
      </w:r>
      <w:bookmarkEnd w:id="913"/>
    </w:p>
    <w:p>
      <w:pPr>
        <w:pStyle w:val="Para 22"/>
        <w:keepLines w:val="on"/>
      </w:pPr>
      <w:r>
        <w:t>Hình 6.8 Lợi nhuận bất thường tích lũy và sự trì hoãn công bố thu nhập</w:t>
      </w:r>
    </w:p>
    <w:p>
      <w:pPr>
        <w:keepNext/>
        <w:pStyle w:val="Para 22"/>
        <w:keepLines w:val="on"/>
      </w:pPr>
      <w:r>
        <w:t>Nguồn: Phỏng theo Chambers và cộng sự, 1984.</w:t>
      </w:r>
    </w:p>
    <w:p>
      <w:bookmarkStart w:id="914" w:name="Investment_and_Project_Announcem_1"/>
      <w:bookmarkStart w:id="915" w:name="Investment_and_Project_Announcem"/>
      <w:pPr>
        <w:keepNext/>
        <w:pStyle w:val="Heading 3"/>
        <w:keepLines w:val="on"/>
      </w:pPr>
      <w:r>
        <w:t>Công bố về đầu tư và dự án</w:t>
      </w:r>
      <w:bookmarkEnd w:id="914"/>
      <w:bookmarkEnd w:id="915"/>
    </w:p>
    <w:p>
      <w:pPr>
        <w:pStyle w:val="Para 03"/>
      </w:pPr>
      <w:r>
        <w:t>Các công ty thường xuyên đưa ra công bố về ý định đầu tư nguồn lực vào các dự án và nghiên cứu phát triển. Có bằng chứng rằng thị trường tài chính phản ứng với những công bố này. Câu hỏi liệu thị trường có tầm nhìn dài hạn hay ngắn hạn có thể được trả lời một phần bằng cách xem xét những phản ứng thị trường này. Nếu thị trường tài chính ngắn hạn như một số nhà phê bình tuyên bố, chúng nên phản ứng tiêu cực với các công bố của công ty rằng họ dự định đầu tư vào nghiên cứu và phát triển. Như Bảng 6.4, xem xét phản ứng thị trường đối với các công bố đầu tư khác nhau, cho thấy rõ, bằng chứng cho thấy phản ứng thị trường đối với các công bố đầu tư nói chung là tích cực, dù có phân biệt.</w:t>
      </w:r>
    </w:p>
    <w:p>
      <w:pPr>
        <w:pStyle w:val="Para 34"/>
        <w:keepLines w:val="on"/>
      </w:pPr>
      <w:r>
        <w:t>Bảng 6.4</w:t>
      </w:r>
    </w:p>
    <w:p>
      <w:pPr>
        <w:keepNext/>
        <w:pStyle w:val="Para 35"/>
        <w:keepLines w:val="on"/>
      </w:pPr>
      <w:r>
        <w:t>Phản ứng thị trường đối với các công bố đầu tư</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hMerge w:val="restart"/>
                </w:tcPr>
                <w:p>
                  <w:pPr>
                    <w:pStyle w:val="Para 17"/>
                    <w:keepLines w:val="on"/>
                  </w:pPr>
                  <w:r>
                    <w:t>Lợi nhuận bất thường</w:t>
                  </w:r>
                </w:p>
              </w:tc>
              <w:tc>
                <w:tcPr>
                  <w:hMerge w:val="continue"/>
                </w:tcPr>
                <w:p/>
              </w:tc>
            </w:tr>
            <w:tr>
              <w:tc>
                <w:tcPr>
                  <w:tcW w:type="auto" w:w="0"/>
                  <w:shd w:val="clear" w:color="auto" w:fill="F0F0F0"/>
                </w:tcPr>
                <w:p>
                  <w:pPr>
                    <w:pStyle w:val="Para 29"/>
                    <w:keepLines w:val="on"/>
                  </w:pPr>
                  <w:r>
                    <w:t>Loại công bố</w:t>
                  </w:r>
                </w:p>
              </w:tc>
              <w:tc>
                <w:tcPr>
                  <w:tcW w:type="auto" w:w="0"/>
                  <w:shd w:val="clear" w:color="auto" w:fill="F0F0F0"/>
                </w:tcPr>
                <w:p>
                  <w:pPr>
                    <w:pStyle w:val="Para 17"/>
                    <w:keepLines w:val="on"/>
                  </w:pPr>
                  <w:r>
                    <w:t>Vào ngày công bố</w:t>
                  </w:r>
                </w:p>
              </w:tc>
              <w:tc>
                <w:tcPr>
                  <w:tcW w:type="auto" w:w="0"/>
                  <w:shd w:val="clear" w:color="auto" w:fill="F0F0F0"/>
                </w:tcPr>
                <w:p>
                  <w:pPr>
                    <w:pStyle w:val="Para 17"/>
                    <w:keepLines w:val="on"/>
                  </w:pPr>
                  <w:r>
                    <w:t>Trong tháng công bố</w:t>
                  </w:r>
                </w:p>
              </w:tc>
            </w:tr>
            <w:tr>
              <w:tc>
                <w:tcPr>
                  <w:tcW w:type="auto" w:w="0"/>
                  <w:shd w:val="clear" w:color="auto" w:fill="F0F0F0"/>
                </w:tcPr>
                <w:p>
                  <w:pPr>
                    <w:pStyle w:val="Para 02"/>
                    <w:keepLines w:val="on"/>
                  </w:pPr>
                  <w:r>
                    <w:t>Thành lập liên doanh</w:t>
                  </w:r>
                </w:p>
              </w:tc>
              <w:tc>
                <w:tcPr>
                  <w:tcW w:type="auto" w:w="0"/>
                  <w:shd w:val="clear" w:color="auto" w:fill="F0F0F0"/>
                </w:tcPr>
                <w:p>
                  <w:pPr>
                    <w:pStyle w:val="Normal"/>
                    <w:keepLines w:val="on"/>
                  </w:pPr>
                  <w:r>
                    <w:t>0,399%</w:t>
                  </w:r>
                </w:p>
              </w:tc>
              <w:tc>
                <w:tcPr>
                  <w:tcW w:type="auto" w:w="0"/>
                  <w:shd w:val="clear" w:color="auto" w:fill="F0F0F0"/>
                </w:tcPr>
                <w:p>
                  <w:pPr>
                    <w:pStyle w:val="Normal"/>
                    <w:keepLines w:val="on"/>
                  </w:pPr>
                  <w:r>
                    <w:t>1,412%</w:t>
                  </w:r>
                </w:p>
              </w:tc>
            </w:tr>
            <w:tr>
              <w:tc>
                <w:tcPr>
                  <w:tcW w:type="auto" w:w="0"/>
                  <w:shd w:val="clear" w:color="auto" w:fill="F0F0F0"/>
                </w:tcPr>
                <w:p>
                  <w:pPr>
                    <w:pStyle w:val="Para 02"/>
                    <w:keepLines w:val="on"/>
                  </w:pPr>
                  <w:r>
                    <w:t>Chi phí R&amp;D</w:t>
                  </w:r>
                </w:p>
              </w:tc>
              <w:tc>
                <w:tcPr>
                  <w:tcW w:type="auto" w:w="0"/>
                  <w:shd w:val="clear" w:color="auto" w:fill="F0F0F0"/>
                </w:tcPr>
                <w:p>
                  <w:pPr>
                    <w:pStyle w:val="Normal"/>
                    <w:keepLines w:val="on"/>
                  </w:pPr>
                  <w:r>
                    <w:t>0,251%</w:t>
                  </w:r>
                </w:p>
              </w:tc>
              <w:tc>
                <w:tcPr>
                  <w:tcW w:type="auto" w:w="0"/>
                  <w:shd w:val="clear" w:color="auto" w:fill="F0F0F0"/>
                </w:tcPr>
                <w:p>
                  <w:pPr>
                    <w:pStyle w:val="Normal"/>
                    <w:keepLines w:val="on"/>
                  </w:pPr>
                  <w:r>
                    <w:t>1,456%</w:t>
                  </w:r>
                </w:p>
              </w:tc>
            </w:tr>
            <w:tr>
              <w:tc>
                <w:tcPr>
                  <w:tcW w:type="auto" w:w="0"/>
                  <w:shd w:val="clear" w:color="auto" w:fill="F0F0F0"/>
                </w:tcPr>
                <w:p>
                  <w:pPr>
                    <w:pStyle w:val="Para 02"/>
                    <w:keepLines w:val="on"/>
                  </w:pPr>
                  <w:r>
                    <w:t>Chiến lược sản phẩm</w:t>
                  </w:r>
                </w:p>
              </w:tc>
              <w:tc>
                <w:tcPr>
                  <w:tcW w:type="auto" w:w="0"/>
                  <w:shd w:val="clear" w:color="auto" w:fill="F0F0F0"/>
                </w:tcPr>
                <w:p>
                  <w:pPr>
                    <w:pStyle w:val="Normal"/>
                    <w:keepLines w:val="on"/>
                  </w:pPr>
                  <w:r>
                    <w:t>0,440%</w:t>
                  </w:r>
                </w:p>
              </w:tc>
              <w:tc>
                <w:tcPr>
                  <w:tcW w:type="auto" w:w="0"/>
                  <w:shd w:val="clear" w:color="auto" w:fill="F0F0F0"/>
                </w:tcPr>
                <w:p>
                  <w:pPr>
                    <w:pStyle w:val="Normal"/>
                    <w:keepLines w:val="on"/>
                  </w:pPr>
                  <w:r>
                    <w:t>−0,35%</w:t>
                  </w:r>
                </w:p>
              </w:tc>
            </w:tr>
            <w:tr>
              <w:tc>
                <w:tcPr>
                  <w:tcW w:type="auto" w:w="0"/>
                  <w:shd w:val="clear" w:color="auto" w:fill="F0F0F0"/>
                </w:tcPr>
                <w:p>
                  <w:pPr>
                    <w:pStyle w:val="Para 02"/>
                    <w:keepLines w:val="on"/>
                  </w:pPr>
                  <w:r>
                    <w:t>Chi phí vốn</w:t>
                  </w:r>
                </w:p>
              </w:tc>
              <w:tc>
                <w:tcPr>
                  <w:tcW w:type="auto" w:w="0"/>
                  <w:shd w:val="clear" w:color="auto" w:fill="F0F0F0"/>
                </w:tcPr>
                <w:p>
                  <w:pPr>
                    <w:pStyle w:val="Normal"/>
                    <w:keepLines w:val="on"/>
                  </w:pPr>
                  <w:r>
                    <w:t>0,290%</w:t>
                  </w:r>
                </w:p>
              </w:tc>
              <w:tc>
                <w:tcPr>
                  <w:tcW w:type="auto" w:w="0"/>
                  <w:shd w:val="clear" w:color="auto" w:fill="F0F0F0"/>
                </w:tcPr>
                <w:p>
                  <w:pPr>
                    <w:pStyle w:val="Normal"/>
                    <w:keepLines w:val="on"/>
                  </w:pPr>
                  <w:r>
                    <w:t>1,499%</w:t>
                  </w:r>
                </w:p>
              </w:tc>
            </w:tr>
            <w:tr>
              <w:tc>
                <w:tcPr>
                  <w:tcW w:type="auto" w:w="0"/>
                  <w:shd w:val="clear" w:color="auto" w:fill="F0F0F0"/>
                </w:tcPr>
                <w:p>
                  <w:pPr>
                    <w:pStyle w:val="Para 02"/>
                    <w:keepLines w:val="on"/>
                  </w:pPr>
                  <w:r>
                    <w:t>Tất cả các thông báo</w:t>
                  </w:r>
                </w:p>
              </w:tc>
              <w:tc>
                <w:tcPr>
                  <w:tcW w:type="auto" w:w="0"/>
                  <w:shd w:val="clear" w:color="auto" w:fill="F0F0F0"/>
                </w:tcPr>
                <w:p>
                  <w:pPr>
                    <w:pStyle w:val="Normal"/>
                    <w:keepLines w:val="on"/>
                  </w:pPr>
                  <w:r>
                    <w:t>0,355%</w:t>
                  </w:r>
                </w:p>
              </w:tc>
              <w:tc>
                <w:tcPr>
                  <w:tcW w:type="auto" w:w="0"/>
                  <w:shd w:val="clear" w:color="auto" w:fill="F0F0F0"/>
                </w:tcPr>
                <w:p>
                  <w:pPr>
                    <w:pStyle w:val="Normal"/>
                    <w:keepLines w:val="on"/>
                  </w:pPr>
                  <w:r>
                    <w:t>0,984%</w:t>
                  </w:r>
                </w:p>
              </w:tc>
            </w:tr>
          </w:tbl>
          <w:p>
            <w:pPr>
              <w:pStyle w:val="Para 55"/>
              <w:keepLines w:val="on"/>
            </w:pPr>
            <w:r>
              <w:t>Nguồn: Chan, Martin, và Kensinger (1990); McConnell và Muscarella (1985).</w:t>
            </w:r>
          </w:p>
        </w:tc>
      </w:tr>
    </w:tbl>
    <w:p>
      <w:pPr>
        <w:pStyle w:val="Para 03"/>
      </w:pPr>
      <w:r>
        <w:t>Bảng này loại trừ những khoản đầu tư lớn nhất mà hầu hết các công ty thực hiện, đó là việc mua lại các công ty khác. Ở đây, bằng chứng không mấy thuận lợi. Trong khoảng 55 phần trăm tất cả các thương vụ mua lại, giá cổ phiếu của công ty đi mua giảm ngay khi thông báo về thương vụ mua lại, phản ánh niềm tin của thị trường rằng các công ty có xu hướng trả giá quá cao cho các thương vụ mua lại.</w:t>
      </w:r>
    </w:p>
    <w:p>
      <w:bookmarkStart w:id="918" w:name="Market_Anomalies"/>
      <w:bookmarkStart w:id="919" w:name="Market_Anomalies__Merriam_Webste"/>
      <w:pPr>
        <w:keepNext/>
        <w:pStyle w:val="Heading 2"/>
        <w:keepLines w:val="on"/>
      </w:pPr>
      <w:r>
        <w:t>Các bất thường thị trường</w:t>
      </w:r>
      <w:bookmarkEnd w:id="918"/>
      <w:bookmarkEnd w:id="919"/>
    </w:p>
    <w:p>
      <w:pPr>
        <w:pStyle w:val="Para 03"/>
      </w:pPr>
      <w:r>
        <w:t>Merriam-Webster's Collegiate Dictionary định nghĩa bất thường (anomaly) là "sự lệch khỏi quy tắc chung". Các nghiên cứu về hiệu quả thị trường đã phát hiện ra nhiều ví dụ về hành vi thị trường không nhất quán với các mô hình rủi ro và lợi nhuận hiện có, và thường không thể giải thích một cách hợp lý. Sự tồn tại dai dẳng của một số mô hình hành vi này cho thấy rằng vấn đề, ít nhất là ở một số bất thường này, nằm ở các mô hình đang được sử dụng cho rủi ro và lợi nhuận chứ không phải ở hành vi của thị trường tài chính. Phần sau đây tóm tắt một số bất thường được chú ý rộng rãi hơn trên thị trường tài chính ở Hoa Kỳ và các nơi khác.</w:t>
      </w:r>
    </w:p>
    <w:p>
      <w:bookmarkStart w:id="920" w:name="Anomalies_Based_on_Firm_Characte"/>
      <w:bookmarkStart w:id="921" w:name="Anomalies_Based_on_Firm_Characte_1"/>
      <w:pPr>
        <w:keepNext/>
        <w:pStyle w:val="Heading 3"/>
        <w:keepLines w:val="on"/>
      </w:pPr>
      <w:r>
        <w:t>Các bất thường dựa trên đặc điểm công ty</w:t>
      </w:r>
      <w:bookmarkEnd w:id="920"/>
      <w:bookmarkEnd w:id="921"/>
    </w:p>
    <w:p>
      <w:pPr>
        <w:pStyle w:val="Para 03"/>
      </w:pPr>
      <w:r>
        <w:t>Có một số bất thường liên quan đến các đặc điểm quan sát được của công ty, bao gồm giá trị thị trường của vốn chủ sở hữu, tỷ lệ giá trên thu nhập (price-earnings ratios), và tỷ lệ giá trên giá trị sổ sách (price–book value ratios).</w:t>
      </w:r>
    </w:p>
    <w:p>
      <w:bookmarkStart w:id="922" w:name="The_Small_Firm_Effect__Studies_s"/>
      <w:bookmarkStart w:id="923" w:name="The_Small_Firm_Effect"/>
      <w:pPr>
        <w:keepNext/>
        <w:pStyle w:val="Heading 4"/>
        <w:keepLines w:val="on"/>
      </w:pPr>
      <w:r>
        <w:t>Hiệu ứng công ty nhỏ</w:t>
      </w:r>
      <w:bookmarkEnd w:id="922"/>
      <w:bookmarkEnd w:id="923"/>
    </w:p>
    <w:p>
      <w:pPr>
        <w:pStyle w:val="Para 03"/>
      </w:pPr>
      <w:r>
        <w:t>Các nghiên cứu như Banz (1981) và Keim (1983) đã liên tục phát hiện rằng các công ty nhỏ hơn (xét theo giá trị thị trường của vốn chủ sở hữu) kiếm được lợi nhuận cao hơn các công ty lớn hơn có cùng mức rủi ro, trong đó rủi ro được định nghĩa theo beta thị trường. Hình 6.9 tóm tắt lợi nhuận của các cổ phiếu trong 10 nhóm giá trị thị trường, trên cả cơ sở trọng số bằng nhau và trọng số theo giá trị, cho giai đoạn từ năm 1927 đến năm 2023.</w:t>
      </w:r>
    </w:p>
    <w:p>
      <w:bookmarkStart w:id="925" w:name="Figure_6_9_Annual_Returns_by_Siz"/>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1701800"/>
            <wp:effectExtent l="0" r="0" t="0" b="0"/>
            <wp:wrapTopAndBottom/>
            <wp:docPr id="44" name="c06f009.png" descr="Double bar graph summarizes returns for stocks in 10 market value classes, on both an equally and value weighted basis, from 1927 to 2023."/>
            <wp:cNvGraphicFramePr>
              <a:graphicFrameLocks noChangeAspect="1"/>
            </wp:cNvGraphicFramePr>
            <a:graphic>
              <a:graphicData uri="http://schemas.openxmlformats.org/drawingml/2006/picture">
                <pic:pic>
                  <pic:nvPicPr>
                    <pic:cNvPr id="0" name="c06f009.png" descr="Double bar graph summarizes returns for stocks in 10 market value classes, on both an equally and value weighted basis, from 1927 to 2023."/>
                    <pic:cNvPicPr/>
                  </pic:nvPicPr>
                  <pic:blipFill>
                    <a:blip r:embed="rId39"/>
                    <a:stretch>
                      <a:fillRect/>
                    </a:stretch>
                  </pic:blipFill>
                  <pic:spPr>
                    <a:xfrm>
                      <a:off x="0" y="0"/>
                      <a:ext cx="2425700" cy="1701800"/>
                    </a:xfrm>
                    <a:prstGeom prst="rect">
                      <a:avLst/>
                    </a:prstGeom>
                  </pic:spPr>
                </pic:pic>
              </a:graphicData>
            </a:graphic>
          </wp:anchor>
        </w:drawing>
      </w:r>
      <w:bookmarkEnd w:id="925"/>
    </w:p>
    <w:p>
      <w:pPr>
        <w:pStyle w:val="Para 22"/>
        <w:keepLines w:val="on"/>
      </w:pPr>
      <w:r>
        <w:t>Hình 6.9 Lợi nhuận hàng năm theo nhóm quy mô, 1927–2023</w:t>
      </w:r>
    </w:p>
    <w:p>
      <w:pPr>
        <w:keepNext/>
        <w:pStyle w:val="Para 22"/>
        <w:keepLines w:val="on"/>
      </w:pPr>
      <w:r>
        <w:t>Nguồn: Phỏng theo dữ liệu của Ken French.</w:t>
      </w:r>
    </w:p>
    <w:p>
      <w:pPr>
        <w:pStyle w:val="Para 03"/>
      </w:pPr>
      <w:r>
        <w:t>Mức phần bù của công ty nhỏ, dù đã thay đổi qua thời gian, nhìn chung vẫn dương. Nó cao nhất trong thập niên 1970 và đầu thập niên 1980, và thấp nhất trong thập niên 1990 trước khi quay trở lại trong nửa đầu thập kỷ trước. Sự tồn tại dai dẳng của phần bù này đã dẫn đến một số cách giải thích khả thi.</w:t>
      </w:r>
    </w:p>
    <w:p>
      <w:pPr>
        <w:numPr>
          <w:ilvl w:val="0"/>
          <w:numId w:val="42"/>
        </w:numPr>
        <w:pStyle w:val="Para 01"/>
      </w:pPr>
      <w:r>
        <w:t>Chi phí giao dịch khi đầu tư vào cổ phiếu nhỏ cao hơn đáng kể so với chi phí giao dịch khi đầu tư vào cổ phiếu lớn hơn, và các phần bù được ước tính trước khi trừ những chi phí này. Mặc dù điều này nhìn chung là đúng, nhưng sự khác biệt về chi phí giao dịch khó có thể giải thích được độ lớn của phần bù qua thời gian, và có khả năng sẽ càng trở nên ít quan trọng hơn đối với các khoảng thời gian đầu tư dài hơn.</w:t>
      </w:r>
    </w:p>
    <w:p>
      <w:pPr>
        <w:numPr>
          <w:ilvl w:val="0"/>
          <w:numId w:val="42"/>
        </w:numPr>
        <w:pStyle w:val="Para 01"/>
      </w:pPr>
      <w:r>
        <w:t>Mô hình định giá tài sản vốn (capital asset pricing model) có thể không phải là mô hình đúng để đo lường rủi ro, và hệ số beta đánh giá thấp rủi ro thực sự của các cổ phiếu nhỏ. Vì vậy, phần bù công ty nhỏ (small firm premium) thực chất là thước đo cho việc beta không nắm bắt được rủi ro. Rủi ro gia tăng gắn với cổ phiếu nhỏ có thể đến từ nhiều nguồn. Thứ nhất, rủi ro ước lượng (estimation risk) gắn với việc ước tính beta cho các công ty nhỏ lớn hơn nhiều so với rủi ro ước lượng gắn với ước tính beta cho các công ty lớn hơn. Phần bù công ty nhỏ có thể là phần thưởng cho rủi ro ước lượng gia tăng này. Thứ hai, có thể có thêm rủi ro khi đầu tư vào cổ phiếu nhỏ vì lượng thông tin sẵn có về những cổ phiếu này ít hơn nhiều. Trên thực tế, các nghiên cứu chỉ ra rằng những cổ phiếu bị các nhà phân tích và nhà đầu tư tổ chức bỏ qua sẽ kiếm được lợi nhuận vượt trội (excess return) song hành với phần bù công ty nhỏ.</w:t>
      </w:r>
    </w:p>
    <w:p>
      <w:pPr>
        <w:pStyle w:val="Para 03"/>
      </w:pPr>
      <w:r>
        <w:t>Cũng có bằng chứng về phần bù công ty nhỏ ở các thị trường ngoài Hoa Kỳ. Dimson và Marsh (1986) đã nghiên cứu cổ phiếu ở Vương quốc Anh từ năm 1955 đến 1984 và phát hiện rằng lợi nhuận hằng năm của cổ phiếu nhỏ vượt lợi nhuận của cổ phiếu lớn 6% mỗi năm trong giai đoạn đó. Chan, Hamao và Lakonishok (1991) báo cáo phần bù công ty nhỏ khoảng 5% đối với cổ phiếu Nhật Bản trong giai đoạn 1971–1988.</w:t>
      </w:r>
    </w:p>
    <w:p>
      <w:pPr>
        <w:pStyle w:val="Para 03"/>
      </w:pPr>
      <w:r>
        <w:t>Quan trọng nhất, phần bù vốn hóa nhỏ (small cap premium) không chỉ biến động mạnh mà còn thu hẹp dần theo thời gian. Trong Hình 6.10, chúng tôi đã vẽ đồ thị chênh lệch giữa lợi nhuận hằng năm của nhóm thập phân vị vốn hóa nhỏ nhất và nhóm thập phân vị vốn hóa lớn nhất, đối với cổ phiếu Hoa Kỳ, theo từng năm từ 1927 đến 2023.</w:t>
      </w:r>
    </w:p>
    <w:p>
      <w:bookmarkStart w:id="928" w:name="Figure_6_10_Small_Cap_Premium__b"/>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74900" cy="1447800"/>
            <wp:effectExtent l="0" r="0" t="0" b="0"/>
            <wp:wrapTopAndBottom/>
            <wp:docPr id="45" name="c06f010.png" descr="Line graph plots difference between the annual return on the smallest and largest cap decile, for U S stocks, from 1927 to 2023."/>
            <wp:cNvGraphicFramePr>
              <a:graphicFrameLocks noChangeAspect="1"/>
            </wp:cNvGraphicFramePr>
            <a:graphic>
              <a:graphicData uri="http://schemas.openxmlformats.org/drawingml/2006/picture">
                <pic:pic>
                  <pic:nvPicPr>
                    <pic:cNvPr id="0" name="c06f010.png" descr="Line graph plots difference between the annual return on the smallest and largest cap decile, for U S stocks, from 1927 to 2023."/>
                    <pic:cNvPicPr/>
                  </pic:nvPicPr>
                  <pic:blipFill>
                    <a:blip r:embed="rId40"/>
                    <a:stretch>
                      <a:fillRect/>
                    </a:stretch>
                  </pic:blipFill>
                  <pic:spPr>
                    <a:xfrm>
                      <a:off x="0" y="0"/>
                      <a:ext cx="2374900" cy="1447800"/>
                    </a:xfrm>
                    <a:prstGeom prst="rect">
                      <a:avLst/>
                    </a:prstGeom>
                  </pic:spPr>
                </pic:pic>
              </a:graphicData>
            </a:graphic>
          </wp:anchor>
        </w:drawing>
      </w:r>
      <w:bookmarkEnd w:id="928"/>
    </w:p>
    <w:p>
      <w:pPr>
        <w:pStyle w:val="Para 22"/>
        <w:keepLines w:val="on"/>
      </w:pPr>
      <w:r>
        <w:t>Hình 6.10 Phần bù vốn hóa nhỏ, theo năm—1927–2023</w:t>
      </w:r>
    </w:p>
    <w:p>
      <w:pPr>
        <w:keepNext/>
        <w:pStyle w:val="Para 22"/>
        <w:keepLines w:val="on"/>
      </w:pPr>
      <w:r>
        <w:t>Nguồn: Phỏng theo dữ liệu của Ken French.</w:t>
      </w:r>
    </w:p>
    <w:p>
      <w:pPr>
        <w:pStyle w:val="Para 03"/>
      </w:pPr>
      <w:r>
        <w:t>Kể từ năm 1981, không còn phần bù vốn hóa nhỏ nữa, và các cổ phiếu trong nhóm thập phân vị thấp nhất (những công ty nhỏ nhất) trung bình kiếm được lợi nhuận thấp hơn 0,84% so với các công ty trong nhóm thập phân vị cao nhất.</w:t>
      </w:r>
    </w:p>
    <w:p>
      <w:bookmarkStart w:id="929" w:name="Price_Earnings_Ratios__Investors"/>
      <w:bookmarkStart w:id="930" w:name="Price_Earnings_Ratios"/>
      <w:pPr>
        <w:keepNext/>
        <w:pStyle w:val="Heading 4"/>
        <w:keepLines w:val="on"/>
      </w:pPr>
      <w:r>
        <w:t>Tỷ lệ giá trên thu nhập</w:t>
      </w:r>
      <w:bookmarkEnd w:id="929"/>
      <w:bookmarkEnd w:id="930"/>
    </w:p>
    <w:p>
      <w:pPr>
        <w:pStyle w:val="Para 03"/>
      </w:pPr>
      <w:r>
        <w:t>Từ lâu, các nhà đầu tư đã lập luận rằng những cổ phiếu có tỷ lệ giá trên thu nhập (price-earnings ratio) thấp thường dễ bị định giá thấp hơn giá trị thực và kiếm được lợi nhuận vượt trội. Chẳng hạn, Benjamin Graham, trong cuốn sách kinh điển về đầu tư The Intelligent Investor của mình,11 đã dùng tỷ lệ giá trên thu nhập thấp như một tiêu chí sàng lọc để tìm ra những cổ phiếu bị định giá thấp. Các nghiên cứu (Basu 1977, 1983) xem xét mối quan hệ giữa tỷ lệ PE và lợi nhuận vượt trội đã xác nhận những dự đoán này. Hình 6.11 tóm tắt lợi nhuận hằng năm theo các nhóm tỷ lệ PE đối với cổ phiếu từ năm 1952 đến 2023. Các công ty trong nhóm tỷ lệ PE thấp nhất kiếm được lợi nhuận trung bình 15,6% trong giai đoạn đó, trong khi các công ty trong nhóm tỷ lệ PE cao nhất chỉ kiếm được lợi nhuận trung bình 9,3%.</w:t>
      </w:r>
    </w:p>
    <w:p>
      <w:bookmarkStart w:id="934" w:name="Figure_6_11_PE_Ratios_and_Stock"/>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1727200"/>
            <wp:effectExtent l="0" r="0" t="0" b="0"/>
            <wp:wrapTopAndBottom/>
            <wp:docPr id="46" name="c06f011.png" descr="Multiple bar graph summarizes annual returns by P E ratio classes for stocks from 1952 to 2023."/>
            <wp:cNvGraphicFramePr>
              <a:graphicFrameLocks noChangeAspect="1"/>
            </wp:cNvGraphicFramePr>
            <a:graphic>
              <a:graphicData uri="http://schemas.openxmlformats.org/drawingml/2006/picture">
                <pic:pic>
                  <pic:nvPicPr>
                    <pic:cNvPr id="0" name="c06f011.png" descr="Multiple bar graph summarizes annual returns by P E ratio classes for stocks from 1952 to 2023."/>
                    <pic:cNvPicPr/>
                  </pic:nvPicPr>
                  <pic:blipFill>
                    <a:blip r:embed="rId41"/>
                    <a:stretch>
                      <a:fillRect/>
                    </a:stretch>
                  </pic:blipFill>
                  <pic:spPr>
                    <a:xfrm>
                      <a:off x="0" y="0"/>
                      <a:ext cx="2425700" cy="1727200"/>
                    </a:xfrm>
                    <a:prstGeom prst="rect">
                      <a:avLst/>
                    </a:prstGeom>
                  </pic:spPr>
                </pic:pic>
              </a:graphicData>
            </a:graphic>
          </wp:anchor>
        </w:drawing>
      </w:r>
      <w:bookmarkEnd w:id="934"/>
    </w:p>
    <w:p>
      <w:pPr>
        <w:keepNext/>
        <w:pStyle w:val="Para 22"/>
        <w:keepLines w:val="on"/>
      </w:pPr>
      <w:r>
        <w:t>Hình 6.11 Tỷ lệ PE và lợi nhuận cổ phiếu, 1952–2023</w:t>
      </w:r>
    </w:p>
    <w:p>
      <w:pPr>
        <w:pStyle w:val="Para 03"/>
      </w:pPr>
      <w:r>
        <w:t>Lợi nhuận vượt trội mà các cổ phiếu có tỷ lệ PE thấp kiếm được cũng tồn tại ở các thị trường quốc tế khác. Bảng 6.5 tóm tắt kết quả của các nghiên cứu xem xét hiện tượng này ở các thị trường ngoài Hoa Kỳ.</w:t>
      </w:r>
    </w:p>
    <w:p>
      <w:pPr>
        <w:pStyle w:val="Para 34"/>
        <w:keepLines w:val="on"/>
      </w:pPr>
      <w:r>
        <w:t>Bảng 6.5</w:t>
      </w:r>
    </w:p>
    <w:p>
      <w:pPr>
        <w:keepNext/>
        <w:pStyle w:val="Para 35"/>
        <w:keepLines w:val="on"/>
      </w:pPr>
      <w:r>
        <w:t>Lợi nhuận vượt trội của cổ phiếu có tỷ lệ PE thấp theo quốc gia, 1989–1994</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17"/>
                    <w:keepLines w:val="on"/>
                  </w:pPr>
                  <w:r>
                    <w:t>Phần bù hằng năm mà</w:t>
                  </w:r>
                </w:p>
              </w:tc>
            </w:tr>
            <w:tr>
              <w:tc>
                <w:tcPr>
                  <w:tcW w:type="auto" w:w="0"/>
                  <w:shd w:val="clear" w:color="auto" w:fill="F0F0F0"/>
                </w:tcPr>
                <w:p>
                  <w:pPr>
                    <w:pStyle w:val="Para 29"/>
                    <w:keepLines w:val="on"/>
                  </w:pPr>
                  <w:r>
                    <w:t>Quốc gia</w:t>
                  </w:r>
                </w:p>
              </w:tc>
              <w:tc>
                <w:tcPr>
                  <w:tcW w:type="auto" w:w="0"/>
                  <w:shd w:val="clear" w:color="auto" w:fill="F0F0F0"/>
                </w:tcPr>
                <w:p>
                  <w:pPr>
                    <w:pStyle w:val="Para 17"/>
                    <w:keepLines w:val="on"/>
                  </w:pPr>
                  <w:r>
                    <w:t>Cổ phiếu có PE thấp nhất kiếm được (nhóm ngũ phân vị thấp nhất)</w:t>
                  </w:r>
                </w:p>
              </w:tc>
            </w:tr>
            <w:tr>
              <w:tc>
                <w:tcPr>
                  <w:tcW w:type="auto" w:w="0"/>
                  <w:shd w:val="clear" w:color="auto" w:fill="F0F0F0"/>
                </w:tcPr>
                <w:p>
                  <w:pPr>
                    <w:pStyle w:val="Para 02"/>
                    <w:keepLines w:val="on"/>
                  </w:pPr>
                  <w:r>
                    <w:t>Úc</w:t>
                  </w:r>
                </w:p>
              </w:tc>
              <w:tc>
                <w:tcPr>
                  <w:tcW w:type="auto" w:w="0"/>
                  <w:shd w:val="clear" w:color="auto" w:fill="F0F0F0"/>
                </w:tcPr>
                <w:p>
                  <w:pPr>
                    <w:pStyle w:val="Normal"/>
                    <w:keepLines w:val="on"/>
                  </w:pPr>
                  <w:r>
                    <w:t>3,03%</w:t>
                  </w:r>
                </w:p>
              </w:tc>
            </w:tr>
            <w:tr>
              <w:tc>
                <w:tcPr>
                  <w:tcW w:type="auto" w:w="0"/>
                  <w:shd w:val="clear" w:color="auto" w:fill="F0F0F0"/>
                </w:tcPr>
                <w:p>
                  <w:pPr>
                    <w:pStyle w:val="Para 02"/>
                    <w:keepLines w:val="on"/>
                  </w:pPr>
                  <w:r>
                    <w:t>Pháp</w:t>
                  </w:r>
                </w:p>
              </w:tc>
              <w:tc>
                <w:tcPr>
                  <w:tcW w:type="auto" w:w="0"/>
                  <w:shd w:val="clear" w:color="auto" w:fill="F0F0F0"/>
                </w:tcPr>
                <w:p>
                  <w:pPr>
                    <w:pStyle w:val="Normal"/>
                    <w:keepLines w:val="on"/>
                  </w:pPr>
                  <w:r>
                    <w:t>6,40%</w:t>
                  </w:r>
                </w:p>
              </w:tc>
            </w:tr>
            <w:tr>
              <w:tc>
                <w:tcPr>
                  <w:tcW w:type="auto" w:w="0"/>
                  <w:shd w:val="clear" w:color="auto" w:fill="F0F0F0"/>
                </w:tcPr>
                <w:p>
                  <w:pPr>
                    <w:pStyle w:val="Para 02"/>
                    <w:keepLines w:val="on"/>
                  </w:pPr>
                  <w:r>
                    <w:t>Đức</w:t>
                  </w:r>
                </w:p>
              </w:tc>
              <w:tc>
                <w:tcPr>
                  <w:tcW w:type="auto" w:w="0"/>
                  <w:shd w:val="clear" w:color="auto" w:fill="F0F0F0"/>
                </w:tcPr>
                <w:p>
                  <w:pPr>
                    <w:pStyle w:val="Normal"/>
                    <w:keepLines w:val="on"/>
                  </w:pPr>
                  <w:r>
                    <w:t>1,06%</w:t>
                  </w:r>
                </w:p>
              </w:tc>
            </w:tr>
            <w:tr>
              <w:tc>
                <w:tcPr>
                  <w:tcW w:type="auto" w:w="0"/>
                  <w:shd w:val="clear" w:color="auto" w:fill="F0F0F0"/>
                </w:tcPr>
                <w:p>
                  <w:pPr>
                    <w:pStyle w:val="Para 02"/>
                    <w:keepLines w:val="on"/>
                  </w:pPr>
                  <w:r>
                    <w:t>Hồng Kông</w:t>
                  </w:r>
                </w:p>
              </w:tc>
              <w:tc>
                <w:tcPr>
                  <w:tcW w:type="auto" w:w="0"/>
                  <w:shd w:val="clear" w:color="auto" w:fill="F0F0F0"/>
                </w:tcPr>
                <w:p>
                  <w:pPr>
                    <w:pStyle w:val="Normal"/>
                    <w:keepLines w:val="on"/>
                  </w:pPr>
                  <w:r>
                    <w:t>6,60%</w:t>
                  </w:r>
                </w:p>
              </w:tc>
            </w:tr>
            <w:tr>
              <w:tc>
                <w:tcPr>
                  <w:tcW w:type="auto" w:w="0"/>
                  <w:shd w:val="clear" w:color="auto" w:fill="F0F0F0"/>
                </w:tcPr>
                <w:p>
                  <w:pPr>
                    <w:pStyle w:val="Para 02"/>
                    <w:keepLines w:val="on"/>
                  </w:pPr>
                  <w:r>
                    <w:t>Ý</w:t>
                  </w:r>
                </w:p>
              </w:tc>
              <w:tc>
                <w:tcPr>
                  <w:tcW w:type="auto" w:w="0"/>
                  <w:shd w:val="clear" w:color="auto" w:fill="F0F0F0"/>
                </w:tcPr>
                <w:p>
                  <w:pPr>
                    <w:pStyle w:val="Normal"/>
                    <w:keepLines w:val="on"/>
                  </w:pPr>
                  <w:r>
                    <w:t>14,16%</w:t>
                  </w:r>
                </w:p>
              </w:tc>
            </w:tr>
            <w:tr>
              <w:tc>
                <w:tcPr>
                  <w:tcW w:type="auto" w:w="0"/>
                  <w:shd w:val="clear" w:color="auto" w:fill="F0F0F0"/>
                </w:tcPr>
                <w:p>
                  <w:pPr>
                    <w:pStyle w:val="Para 02"/>
                    <w:keepLines w:val="on"/>
                  </w:pPr>
                  <w:r>
                    <w:t>Nhật Bản</w:t>
                  </w:r>
                </w:p>
              </w:tc>
              <w:tc>
                <w:tcPr>
                  <w:tcW w:type="auto" w:w="0"/>
                  <w:shd w:val="clear" w:color="auto" w:fill="F0F0F0"/>
                </w:tcPr>
                <w:p>
                  <w:pPr>
                    <w:pStyle w:val="Normal"/>
                    <w:keepLines w:val="on"/>
                  </w:pPr>
                  <w:r>
                    <w:t>7,30%</w:t>
                  </w:r>
                </w:p>
              </w:tc>
            </w:tr>
            <w:tr>
              <w:tc>
                <w:tcPr>
                  <w:tcW w:type="auto" w:w="0"/>
                  <w:shd w:val="clear" w:color="auto" w:fill="F0F0F0"/>
                </w:tcPr>
                <w:p>
                  <w:pPr>
                    <w:pStyle w:val="Para 02"/>
                    <w:keepLines w:val="on"/>
                  </w:pPr>
                  <w:r>
                    <w:t>Thụy Sĩ</w:t>
                  </w:r>
                </w:p>
              </w:tc>
              <w:tc>
                <w:tcPr>
                  <w:tcW w:type="auto" w:w="0"/>
                  <w:shd w:val="clear" w:color="auto" w:fill="F0F0F0"/>
                </w:tcPr>
                <w:p>
                  <w:pPr>
                    <w:pStyle w:val="Normal"/>
                    <w:keepLines w:val="on"/>
                  </w:pPr>
                  <w:r>
                    <w:t>9,02%</w:t>
                  </w:r>
                </w:p>
              </w:tc>
            </w:tr>
            <w:tr>
              <w:tc>
                <w:tcPr>
                  <w:tcW w:type="auto" w:w="0"/>
                  <w:shd w:val="clear" w:color="auto" w:fill="F0F0F0"/>
                </w:tcPr>
                <w:p>
                  <w:pPr>
                    <w:pStyle w:val="Para 02"/>
                    <w:keepLines w:val="on"/>
                  </w:pPr>
                  <w:r>
                    <w:t>Vương quốc Anh</w:t>
                  </w:r>
                </w:p>
              </w:tc>
              <w:tc>
                <w:tcPr>
                  <w:tcW w:type="auto" w:w="0"/>
                  <w:shd w:val="clear" w:color="auto" w:fill="F0F0F0"/>
                </w:tcPr>
                <w:p>
                  <w:pPr>
                    <w:pStyle w:val="Normal"/>
                    <w:keepLines w:val="on"/>
                  </w:pPr>
                  <w:r>
                    <w:t>2,40%</w:t>
                  </w:r>
                </w:p>
              </w:tc>
            </w:tr>
          </w:tbl>
          <w:p>
            <w:pPr>
              <w:pStyle w:val="Para 55"/>
              <w:keepLines w:val="on"/>
            </w:pPr>
            <w:r>
              <w:t>Phần bù thường niên: Phần bù thu được trên một chỉ số gồm các cổ phiếu có trọng số bằng nhau trong thị trường đó, từ ngày 1 tháng 1 năm 1989 đến ngày 31 tháng 12 năm 1994. Những con số này được lấy từ một cuộc khảo sát của Merrill Lynch về các chỉ số độc quyền.</w:t>
            </w:r>
          </w:p>
        </w:tc>
      </w:tr>
    </w:tbl>
    <w:p>
      <w:pPr>
        <w:pStyle w:val="Para 03"/>
      </w:pPr>
      <w:r>
        <w:t>Lợi nhuận vượt trội mà các cổ phiếu có tỷ lệ giá trên thu nhập (price-earnings ratio) thấp mang lại rất khó để biện minh bằng cách vận dụng biến thể của lập luận dùng cho các cổ phiếu nhỏ (tức là rủi ro của cổ phiếu có tỷ lệ PE thấp bị đánh giá thấp trong mô hình CAPM). Các cổ phiếu có tỷ lệ PE thấp thường được đặc trưng bởi mức tăng trưởng thấp, quy mô lớn và hoạt động kinh doanh ổn định — tất cả những yếu tố này đều có xu hướng làm giảm rủi ro của chúng chứ không phải làm tăng lên. Lời giải thích duy nhất có thể đưa ra cho hiện tượng này, mà vẫn nhất quán với thị trường hiệu quả, là các cổ phiếu có tỷ lệ PE thấp tạo ra cổ tức (dividend) cao, điều này sẽ tạo ra gánh nặng thuế lớn hơn vì cổ tức bị đánh thuế ở mức cao hơn. Và cũng giống như phần bù của cổ phiếu vốn hóa nhỏ, phần bù mà các cổ phiếu PE thấp mang lại cũng đã giảm đi, dù không giảm nhiều bằng, trong giai đoạn từ 1980 đến 2023 so với giai đoạn 1952–1980.</w:t>
      </w:r>
    </w:p>
    <w:p>
      <w:bookmarkStart w:id="937" w:name="Price_to_Book_Ratios"/>
      <w:bookmarkStart w:id="938" w:name="Price_to_Book_Ratios__Another_st"/>
      <w:pPr>
        <w:keepNext/>
        <w:pStyle w:val="Heading 4"/>
        <w:keepLines w:val="on"/>
      </w:pPr>
      <w:r>
        <w:t>Tỷ lệ giá trên giá trị sổ sách</w:t>
      </w:r>
      <w:bookmarkEnd w:id="937"/>
      <w:bookmarkEnd w:id="938"/>
    </w:p>
    <w:p>
      <w:pPr>
        <w:pStyle w:val="Para 03"/>
      </w:pPr>
      <w:r>
        <w:t>Một chỉ số khác được các nhà đầu tư sử dụng rộng rãi trong chiến lược đầu tư là tỷ lệ giá trên giá trị sổ sách (price–book value ratio). Tỷ lệ giá trên giá trị sổ sách thấp từ lâu đã được coi là một chỉ báo đáng tin cậy cho thấy doanh nghiệp đang bị định giá thấp. Trong các nghiên cứu song song với những nghiên cứu về tỷ lệ giá trên thu nhập, mối quan hệ giữa lợi nhuận và tỷ lệ giá trên giá trị sổ sách đã được xem xét. Phát hiện nhất quán từ các nghiên cứu này là có một mối quan hệ nghịch giữa lợi nhuận và tỷ lệ giá trên giá trị sổ sách — các cổ phiếu có tỷ lệ giá trên giá trị sổ sách thấp mang lại lợi nhuận cao hơn các cổ phiếu có tỷ lệ giá trên giá trị sổ sách cao.</w:t>
      </w:r>
    </w:p>
    <w:p>
      <w:pPr>
        <w:pStyle w:val="Para 03"/>
      </w:pPr>
      <w:r>
        <w:t>Rosenberg, Reid và Lanstein (1985) phát hiện rằng lợi nhuận trung bình của cổ phiếu Mỹ có tương quan thuận với tỷ lệ giá trị sổ sách trên giá trị thị trường của một doanh nghiệp. Trong giai đoạn từ 1973 đến 1984, chiến lược chọn các cổ phiếu có tỷ lệ giá trị sổ sách trên giá cao (tức là giá trên giá trị sổ sách thấp) mang lại lợi nhuận vượt trội 36 điểm cơ bản (basis points) mỗi tháng. Fama và French (1992), khi xem xét mặt cắt ngang của lợi nhuận cổ phiếu kỳ vọng trong giai đoạn từ 1963 đến 1990, đã xác lập rằng mối quan hệ thuận giữa tỷ lệ giá trị sổ sách trên giá và lợi nhuận trung bình vẫn tồn tại trong cả các kiểm định đơn biến lẫn đa biến, và thậm chí còn mạnh hơn hiệu ứng quy mô trong việc giải thích lợi nhuận. Khi họ phân loại các doanh nghiệp dựa trên tỷ lệ giá trị sổ sách trên giá thành 12 danh mục, các doanh nghiệp thuộc nhóm có tỷ lệ giá trị sổ sách trên giá thấp nhất (tức là giá trên giá trị sổ sách cao nhất) mang lại lợi nhuận trung bình hàng tháng là 0,30 phần trăm, trong khi các doanh nghiệp thuộc nhóm có tỷ lệ giá trị sổ sách trên giá cao nhất (tức là giá trên giá trị sổ sách thấp nhất) mang lại lợi nhuận trung bình hàng tháng là 1,83 phần trăm trong giai đoạn 1963–1990.</w:t>
      </w:r>
    </w:p>
    <w:p>
      <w:pPr>
        <w:pStyle w:val="Para 03"/>
      </w:pPr>
      <w:r>
        <w:t>Chan, Hamao và Lakonishok (1991) phát hiện rằng tỷ lệ giá trị sổ sách trên giá thị trường đóng vai trò mạnh mẽ trong việc giải thích mặt cắt ngang của lợi nhuận trung bình trên cổ phiếu Nhật Bản. Capaul, Rowley và Sharpe (1993) mở rộng phân tích về tỷ lệ giá trên giá trị sổ sách sang các thị trường quốc tế khác, và kết luận rằng các cổ phiếu giá trị (value stocks, tức là cổ phiếu có tỷ lệ giá trên giá trị sổ sách thấp) mang lại lợi nhuận vượt trội ở mọi thị trường mà họ phân tích trong giai đoạn từ 1981 đến 1992. Ước tính hàng năm của họ về chênh lệch lợi nhuận mà các cổ phiếu có tỷ lệ giá trên giá trị sổ sách thấp mang lại so với chỉ số thị trường được báo cáo trong Bảng 6.6.</w:t>
      </w:r>
    </w:p>
    <w:p>
      <w:pPr>
        <w:pStyle w:val="Para 34"/>
        <w:keepLines w:val="on"/>
      </w:pPr>
      <w:r>
        <w:t>Bảng 6.6</w:t>
      </w:r>
    </w:p>
    <w:p>
      <w:pPr>
        <w:keepNext/>
        <w:pStyle w:val="Para 35"/>
        <w:keepLines w:val="on"/>
      </w:pPr>
      <w:r>
        <w:t>Lợi nhuận thường niên của cổ phiếu giá trên giá trị sổ sách thấp — Toàn cầu</w:t>
      </w:r>
    </w:p>
    <w:tbl>
      <w:tblPr>
        <w:tblW w:type="auto" w:w="0"/>
      </w:tblPr>
      <w:tr>
        <w:tc>
          <w:tcPr>
            <w:tcW w:type="auto" w:w="0"/>
          </w:tcPr>
          <w:tbl>
            <w:tblPr>
              <w:tblW w:type="auto" w:w="0"/>
            </w:tblPr>
            <w:tr>
              <w:tc>
                <w:tcPr>
                  <w:tcW w:type="auto" w:w="0"/>
                  <w:shd w:val="clear" w:color="auto" w:fill="F0F0F0"/>
                </w:tcPr>
                <w:p>
                  <w:pPr>
                    <w:pStyle w:val="Para 29"/>
                    <w:keepLines w:val="on"/>
                  </w:pPr>
                  <w:r>
                    <w:t>Quốc gia</w:t>
                  </w:r>
                </w:p>
              </w:tc>
              <w:tc>
                <w:tcPr>
                  <w:tcW w:type="auto" w:w="0"/>
                  <w:shd w:val="clear" w:color="auto" w:fill="F0F0F0"/>
                </w:tcPr>
                <w:p>
                  <w:pPr>
                    <w:pStyle w:val="Para 17"/>
                    <w:keepLines w:val="on"/>
                  </w:pPr>
                  <w:r>
                    <w:t>Lợi nhuận gia tăng của danh mục giá trên giá trị sổ sách thấp</w:t>
                  </w:r>
                </w:p>
              </w:tc>
            </w:tr>
            <w:tr>
              <w:tc>
                <w:tcPr>
                  <w:tcW w:type="auto" w:w="0"/>
                  <w:shd w:val="clear" w:color="auto" w:fill="F0F0F0"/>
                </w:tcPr>
                <w:p>
                  <w:pPr>
                    <w:pStyle w:val="Para 02"/>
                    <w:keepLines w:val="on"/>
                  </w:pPr>
                  <w:r>
                    <w:t>Pháp</w:t>
                  </w:r>
                </w:p>
              </w:tc>
              <w:tc>
                <w:tcPr>
                  <w:tcW w:type="auto" w:w="0"/>
                  <w:shd w:val="clear" w:color="auto" w:fill="F0F0F0"/>
                </w:tcPr>
                <w:p>
                  <w:pPr>
                    <w:pStyle w:val="Normal"/>
                    <w:keepLines w:val="on"/>
                  </w:pPr>
                  <w:r>
                    <w:t>3,26%</w:t>
                  </w:r>
                </w:p>
              </w:tc>
            </w:tr>
            <w:tr>
              <w:tc>
                <w:tcPr>
                  <w:tcW w:type="auto" w:w="0"/>
                  <w:shd w:val="clear" w:color="auto" w:fill="F0F0F0"/>
                </w:tcPr>
                <w:p>
                  <w:pPr>
                    <w:pStyle w:val="Para 02"/>
                    <w:keepLines w:val="on"/>
                  </w:pPr>
                  <w:r>
                    <w:t>Đức</w:t>
                  </w:r>
                </w:p>
              </w:tc>
              <w:tc>
                <w:tcPr>
                  <w:tcW w:type="auto" w:w="0"/>
                  <w:shd w:val="clear" w:color="auto" w:fill="F0F0F0"/>
                </w:tcPr>
                <w:p>
                  <w:pPr>
                    <w:pStyle w:val="Normal"/>
                    <w:keepLines w:val="on"/>
                  </w:pPr>
                  <w:r>
                    <w:t>1,39%</w:t>
                  </w:r>
                </w:p>
              </w:tc>
            </w:tr>
            <w:tr>
              <w:tc>
                <w:tcPr>
                  <w:tcW w:type="auto" w:w="0"/>
                  <w:shd w:val="clear" w:color="auto" w:fill="F0F0F0"/>
                </w:tcPr>
                <w:p>
                  <w:pPr>
                    <w:pStyle w:val="Para 02"/>
                    <w:keepLines w:val="on"/>
                  </w:pPr>
                  <w:r>
                    <w:t>Thụy Sĩ</w:t>
                  </w:r>
                </w:p>
              </w:tc>
              <w:tc>
                <w:tcPr>
                  <w:tcW w:type="auto" w:w="0"/>
                  <w:shd w:val="clear" w:color="auto" w:fill="F0F0F0"/>
                </w:tcPr>
                <w:p>
                  <w:pPr>
                    <w:pStyle w:val="Normal"/>
                    <w:keepLines w:val="on"/>
                  </w:pPr>
                  <w:r>
                    <w:t>1,17%</w:t>
                  </w:r>
                </w:p>
              </w:tc>
            </w:tr>
            <w:tr>
              <w:tc>
                <w:tcPr>
                  <w:tcW w:type="auto" w:w="0"/>
                  <w:shd w:val="clear" w:color="auto" w:fill="F0F0F0"/>
                </w:tcPr>
                <w:p>
                  <w:pPr>
                    <w:pStyle w:val="Para 02"/>
                    <w:keepLines w:val="on"/>
                  </w:pPr>
                  <w:r>
                    <w:t>Vương quốc Anh</w:t>
                  </w:r>
                </w:p>
              </w:tc>
              <w:tc>
                <w:tcPr>
                  <w:tcW w:type="auto" w:w="0"/>
                  <w:shd w:val="clear" w:color="auto" w:fill="F0F0F0"/>
                </w:tcPr>
                <w:p>
                  <w:pPr>
                    <w:pStyle w:val="Normal"/>
                    <w:keepLines w:val="on"/>
                  </w:pPr>
                  <w:r>
                    <w:t>1,09%</w:t>
                  </w:r>
                </w:p>
              </w:tc>
            </w:tr>
            <w:tr>
              <w:tc>
                <w:tcPr>
                  <w:tcW w:type="auto" w:w="0"/>
                  <w:shd w:val="clear" w:color="auto" w:fill="F0F0F0"/>
                </w:tcPr>
                <w:p>
                  <w:pPr>
                    <w:pStyle w:val="Para 02"/>
                    <w:keepLines w:val="on"/>
                  </w:pPr>
                  <w:r>
                    <w:t>Nhật Bản</w:t>
                  </w:r>
                </w:p>
              </w:tc>
              <w:tc>
                <w:tcPr>
                  <w:tcW w:type="auto" w:w="0"/>
                  <w:shd w:val="clear" w:color="auto" w:fill="F0F0F0"/>
                </w:tcPr>
                <w:p>
                  <w:pPr>
                    <w:pStyle w:val="Normal"/>
                    <w:keepLines w:val="on"/>
                  </w:pPr>
                  <w:r>
                    <w:t>3,43%</w:t>
                  </w:r>
                </w:p>
              </w:tc>
            </w:tr>
            <w:tr>
              <w:tc>
                <w:tcPr>
                  <w:tcW w:type="auto" w:w="0"/>
                  <w:shd w:val="clear" w:color="auto" w:fill="F0F0F0"/>
                </w:tcPr>
                <w:p>
                  <w:pPr>
                    <w:pStyle w:val="Para 02"/>
                    <w:keepLines w:val="on"/>
                  </w:pPr>
                  <w:r>
                    <w:t>Hoa Kỳ</w:t>
                  </w:r>
                </w:p>
              </w:tc>
              <w:tc>
                <w:tcPr>
                  <w:tcW w:type="auto" w:w="0"/>
                  <w:shd w:val="clear" w:color="auto" w:fill="F0F0F0"/>
                </w:tcPr>
                <w:p>
                  <w:pPr>
                    <w:pStyle w:val="Normal"/>
                    <w:keepLines w:val="on"/>
                  </w:pPr>
                  <w:r>
                    <w:t>1,06%</w:t>
                  </w:r>
                </w:p>
              </w:tc>
            </w:tr>
            <w:tr>
              <w:tc>
                <w:tcPr>
                  <w:tcW w:type="auto" w:w="0"/>
                  <w:shd w:val="clear" w:color="auto" w:fill="F0F0F0"/>
                </w:tcPr>
                <w:p>
                  <w:pPr>
                    <w:pStyle w:val="Para 02"/>
                    <w:keepLines w:val="on"/>
                  </w:pPr>
                  <w:r>
                    <w:t>Châu Âu</w:t>
                  </w:r>
                </w:p>
              </w:tc>
              <w:tc>
                <w:tcPr>
                  <w:tcW w:type="auto" w:w="0"/>
                  <w:shd w:val="clear" w:color="auto" w:fill="F0F0F0"/>
                </w:tcPr>
                <w:p>
                  <w:pPr>
                    <w:pStyle w:val="Normal"/>
                    <w:keepLines w:val="on"/>
                  </w:pPr>
                  <w:r>
                    <w:t>1,30%</w:t>
                  </w:r>
                </w:p>
              </w:tc>
            </w:tr>
            <w:tr>
              <w:tc>
                <w:tcPr>
                  <w:tcW w:type="auto" w:w="0"/>
                  <w:shd w:val="clear" w:color="auto" w:fill="F0F0F0"/>
                </w:tcPr>
                <w:p>
                  <w:pPr>
                    <w:pStyle w:val="Para 02"/>
                    <w:keepLines w:val="on"/>
                  </w:pPr>
                  <w:r>
                    <w:t>Toàn cầu</w:t>
                  </w:r>
                </w:p>
              </w:tc>
              <w:tc>
                <w:tcPr>
                  <w:tcW w:type="auto" w:w="0"/>
                  <w:shd w:val="clear" w:color="auto" w:fill="F0F0F0"/>
                </w:tcPr>
                <w:p>
                  <w:pPr>
                    <w:pStyle w:val="Normal"/>
                    <w:keepLines w:val="on"/>
                  </w:pPr>
                  <w:r>
                    <w:t>1,88%</w:t>
                  </w:r>
                </w:p>
              </w:tc>
            </w:tr>
          </w:tbl>
          <w:p/>
        </w:tc>
      </w:tr>
    </w:tbl>
    <w:p>
      <w:pPr>
        <w:pStyle w:val="Para 03"/>
      </w:pPr>
      <w:r>
        <w:t>Cần phải có một lưu ý ở đây. Fama và French chỉ ra rằng tỷ lệ giá trên giá trị sổ sách (price–book value ratio) thấp có thể hoạt động như một thước đo rủi ro, vì những công ty có giá thấp hơn nhiều so với giá trị sổ sách có nhiều khả năng gặp khó khăn và phá sản hơn. Do đó, nhà đầu tư phải tự đánh giá xem liệu lợi nhuận tăng thêm từ những công ty như vậy có xứng đáng với rủi ro tăng thêm khi đầu tư vào chúng hay không.</w:t>
      </w:r>
    </w:p>
    <w:p>
      <w:bookmarkStart w:id="941" w:name="Temporal_Anomalies__There_are_se"/>
      <w:bookmarkStart w:id="942" w:name="Temporal_Anomalies"/>
      <w:pPr>
        <w:keepNext/>
        <w:pStyle w:val="Heading 3"/>
        <w:keepLines w:val="on"/>
      </w:pPr>
      <w:r>
        <w:t>Các dị thường theo thời gian (Temporal Anomalies)</w:t>
      </w:r>
      <w:bookmarkEnd w:id="941"/>
      <w:bookmarkEnd w:id="942"/>
    </w:p>
    <w:p>
      <w:pPr>
        <w:pStyle w:val="Para 03"/>
      </w:pPr>
      <w:r>
        <w:t>Có một số điểm đặc biệt trong chênh lệch lợi nhuận theo thời gian trong năm không chỉ khó giải thích hợp lý mà còn gợi ý về sự kém hiệu quả. Hơn nữa, một số dị thường theo thời gian này có liên quan đến hiệu ứng công ty nhỏ (small firm effect) được mô tả trong phần trước.</w:t>
      </w:r>
    </w:p>
    <w:p>
      <w:bookmarkStart w:id="943" w:name="January_Effect__Studies_of_retur"/>
      <w:bookmarkStart w:id="944" w:name="January_Effect"/>
      <w:pPr>
        <w:keepNext/>
        <w:pStyle w:val="Heading 4"/>
        <w:keepLines w:val="on"/>
      </w:pPr>
      <w:r>
        <w:t>Hiệu ứng tháng Một (January Effect)</w:t>
      </w:r>
      <w:bookmarkEnd w:id="943"/>
      <w:bookmarkEnd w:id="944"/>
    </w:p>
    <w:p>
      <w:pPr>
        <w:pStyle w:val="Para 03"/>
      </w:pPr>
      <w:r>
        <w:t>Các nghiên cứu về lợi nhuận ở Hoa Kỳ và các thị trường tài chính lớn khác (Roll, 1983; Haugen và Lakonishok, 1988) liên tục cho thấy sự khác biệt mạnh mẽ trong hành vi lợi nhuận giữa các tháng trong năm. Hình 6.12 báo cáo lợi nhuận trung bình theo các tháng trong năm từ 1926 đến 2023. Lợi nhuận trong tháng Một cao hơn đáng kể so với lợi nhuận trong bất kỳ tháng nào khác trong năm. Hiện tượng này được gọi là hiệu ứng cuối năm (year-end effect) hay hiệu ứng tháng Một (January effect), và nó có thể được truy nguyên về hai tuần đầu tiên của tháng Một.</w:t>
      </w:r>
    </w:p>
    <w:p>
      <w:bookmarkStart w:id="946" w:name="Figure_6_12_Returns_by_Month_of"/>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1612900"/>
            <wp:effectExtent l="0" r="0" t="0" b="0"/>
            <wp:wrapTopAndBottom/>
            <wp:docPr id="47" name="c06f012.png" descr="Bar graph for average returns by months of year from 1926 to 2023 depict that returns in January are significantly higher than other months."/>
            <wp:cNvGraphicFramePr>
              <a:graphicFrameLocks noChangeAspect="1"/>
            </wp:cNvGraphicFramePr>
            <a:graphic>
              <a:graphicData uri="http://schemas.openxmlformats.org/drawingml/2006/picture">
                <pic:pic>
                  <pic:nvPicPr>
                    <pic:cNvPr id="0" name="c06f012.png" descr="Bar graph for average returns by months of year from 1926 to 2023 depict that returns in January are significantly higher than other months."/>
                    <pic:cNvPicPr/>
                  </pic:nvPicPr>
                  <pic:blipFill>
                    <a:blip r:embed="rId42"/>
                    <a:stretch>
                      <a:fillRect/>
                    </a:stretch>
                  </pic:blipFill>
                  <pic:spPr>
                    <a:xfrm>
                      <a:off x="0" y="0"/>
                      <a:ext cx="2451100" cy="1612900"/>
                    </a:xfrm>
                    <a:prstGeom prst="rect">
                      <a:avLst/>
                    </a:prstGeom>
                  </pic:spPr>
                </pic:pic>
              </a:graphicData>
            </a:graphic>
          </wp:anchor>
        </w:drawing>
      </w:r>
      <w:bookmarkEnd w:id="946"/>
    </w:p>
    <w:p>
      <w:pPr>
        <w:pStyle w:val="Para 22"/>
        <w:keepLines w:val="on"/>
      </w:pPr>
      <w:r>
        <w:t>Hình 6.12 Lợi nhuận theo Tháng trong Năm: Cổ phiếu Hoa Kỳ từ 1927 đến 2023</w:t>
      </w:r>
    </w:p>
    <w:p>
      <w:pPr>
        <w:keepNext/>
        <w:pStyle w:val="Para 22"/>
        <w:keepLines w:val="on"/>
      </w:pPr>
      <w:r>
        <w:t>Nguồn: Phỏng theo dữ liệu của Ken French.</w:t>
      </w:r>
    </w:p>
    <w:p>
      <w:pPr>
        <w:pStyle w:val="Para 03"/>
      </w:pPr>
      <w:r>
        <w:t>Mối quan hệ giữa hiệu ứng tháng Một và hiệu ứng công ty nhỏ (Keim, 1983; Reinganum, 1983) làm tăng thêm sự phức tạp của hiện tượng này. Hiệu ứng tháng Một được thể hiện rõ hơn nhiều đối với các công ty nhỏ so với các công ty lớn hơn, và khoảng một nửa phần bù công ty nhỏ (small firm premium) được mô tả trong phần trước được kiếm được trong hai tuần đầu tiên của tháng Một. Hình 6.13 vẽ đồ thị lợi nhuận trong tháng Một theo nhóm quy mô cho dữ liệu từ 1935 đến 1986.</w:t>
      </w:r>
    </w:p>
    <w:p>
      <w:pPr>
        <w:pStyle w:val="Para 20"/>
      </w:pPr>
      <w:r>
        <w:rPr>
          <w:rStyle w:val="Text26"/>
        </w:rPr>
        <w:bookmarkStart w:id="948" w:name="Page_142"/>
        <w:t/>
        <w:bookmarkEnd w:id="948"/>
      </w:r>
      <w:r>
        <w:t xml:space="preserve"> </w:t>
      </w:r>
    </w:p>
    <w:p>
      <w:bookmarkStart w:id="949" w:name="Figure_6_13_Returns_in_January_b"/>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52600" cy="1828800"/>
            <wp:effectExtent l="0" r="0" t="0" b="0"/>
            <wp:wrapTopAndBottom/>
            <wp:docPr id="48" name="c06f013.png" descr="Bar graph depicts the returns in January month by size class for data from 1935 to 2086."/>
            <wp:cNvGraphicFramePr>
              <a:graphicFrameLocks noChangeAspect="1"/>
            </wp:cNvGraphicFramePr>
            <a:graphic>
              <a:graphicData uri="http://schemas.openxmlformats.org/drawingml/2006/picture">
                <pic:pic>
                  <pic:nvPicPr>
                    <pic:cNvPr id="0" name="c06f013.png" descr="Bar graph depicts the returns in January month by size class for data from 1935 to 2086."/>
                    <pic:cNvPicPr/>
                  </pic:nvPicPr>
                  <pic:blipFill>
                    <a:blip r:embed="rId43"/>
                    <a:stretch>
                      <a:fillRect/>
                    </a:stretch>
                  </pic:blipFill>
                  <pic:spPr>
                    <a:xfrm>
                      <a:off x="0" y="0"/>
                      <a:ext cx="1752600" cy="1828800"/>
                    </a:xfrm>
                    <a:prstGeom prst="rect">
                      <a:avLst/>
                    </a:prstGeom>
                  </pic:spPr>
                </pic:pic>
              </a:graphicData>
            </a:graphic>
          </wp:anchor>
        </w:drawing>
      </w:r>
      <w:bookmarkEnd w:id="949"/>
    </w:p>
    <w:p>
      <w:pPr>
        <w:pStyle w:val="Para 22"/>
        <w:keepLines w:val="on"/>
      </w:pPr>
      <w:r>
        <w:t>Hình 6.13 Lợi nhuận trong tháng Một theo Quy mô và Nhóm Rủi ro, 1935–1986</w:t>
      </w:r>
    </w:p>
    <w:p>
      <w:pPr>
        <w:keepNext/>
        <w:pStyle w:val="Para 22"/>
        <w:keepLines w:val="on"/>
      </w:pPr>
      <w:r>
        <w:t>Nguồn: Phỏng theo Ritter và cộng sự, 1989.</w:t>
      </w:r>
    </w:p>
    <w:p>
      <w:pPr>
        <w:pStyle w:val="Para 03"/>
      </w:pPr>
      <w:r>
        <w:t>Vì phần bù vốn hóa nhỏ (small cap premium) đã giảm kể từ năm 1981, hiệu ứng tháng Một cũng yếu đi, mặc dù nó chưa biến mất hoàn toàn.</w:t>
      </w:r>
    </w:p>
    <w:p>
      <w:pPr>
        <w:pStyle w:val="Para 03"/>
      </w:pPr>
      <w:r>
        <w:t>Một số giải thích đã được đưa ra cho hiệu ứng tháng Một, nhưng ít giải thích nào đứng vững trước sự xem xét nghiêm túc. Reinganum cho rằng có việc bán để chốt lỗ thuế (tax loss selling) của nhà đầu tư vào cuối năm đối với các cổ phiếu đã mất tiền để thu được lợi vốn, đẩy giá xuống, có lẽ thấp hơn giá trị thực, vào tháng Mười Hai, và mua lại chính những cổ phiếu đó vào tháng Một,12 dẫn đến lợi nhuận cao. Việc hiệu ứng tháng Một được thể hiện rõ hơn đối với các cổ phiếu đã hoạt động kém hơn trong năm trước được đưa ra làm bằng chứng cho lời giải thích này. Tuy nhiên, có một số bằng chứng mâu thuẫn với nó. Thứ nhất, có những quốc gia như Úc, có năm tài chính khác nhưng vẫn tiếp tục có hiệu ứng tháng Một. Thứ hai, hiệu ứng tháng Một trung bình không lớn hơn trong những năm sau những năm tồi tệ của thị trường chứng khoán so với những năm khác.</w:t>
      </w:r>
    </w:p>
    <w:p>
      <w:pPr>
        <w:pStyle w:val="Para 03"/>
      </w:pPr>
      <w:r>
        <w:t>Lý do thứ hai là hiệu ứng tháng Một có liên quan đến hành vi giao dịch của tổ chức quanh thời điểm chuyển giao năm. Chẳng hạn, người ta đã lưu ý rằng tỷ lệ mua trên bán của các tổ chức giảm đáng kể xuống dưới mức trung bình trong những ngày trước khi chuyển giao năm, và tăng lên trên mức trung bình trong những tháng sau đó. Điều này được minh họa trong Hình 6.14. Người ta lập luận rằng sự vắng mặt của việc mua vào của tổ chức đẩy giá xuống trong những ngày trước khi chuyển giao năm và đẩy giá lên trong những ngày sau đó.</w:t>
      </w:r>
    </w:p>
    <w:p>
      <w:bookmarkStart w:id="953" w:name="Figure_6_14_Institutional_Buying"/>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73300" cy="1727200"/>
            <wp:effectExtent l="0" r="0" t="0" b="0"/>
            <wp:wrapTopAndBottom/>
            <wp:docPr id="49" name="c06f014.png" descr="Two histograms depict that the January effect is related to institutional trading behavior around the turn of the year."/>
            <wp:cNvGraphicFramePr>
              <a:graphicFrameLocks noChangeAspect="1"/>
            </wp:cNvGraphicFramePr>
            <a:graphic>
              <a:graphicData uri="http://schemas.openxmlformats.org/drawingml/2006/picture">
                <pic:pic>
                  <pic:nvPicPr>
                    <pic:cNvPr id="0" name="c06f014.png" descr="Two histograms depict that the January effect is related to institutional trading behavior around the turn of the year."/>
                    <pic:cNvPicPr/>
                  </pic:nvPicPr>
                  <pic:blipFill>
                    <a:blip r:embed="rId44"/>
                    <a:stretch>
                      <a:fillRect/>
                    </a:stretch>
                  </pic:blipFill>
                  <pic:spPr>
                    <a:xfrm>
                      <a:off x="0" y="0"/>
                      <a:ext cx="2273300" cy="1727200"/>
                    </a:xfrm>
                    <a:prstGeom prst="rect">
                      <a:avLst/>
                    </a:prstGeom>
                  </pic:spPr>
                </pic:pic>
              </a:graphicData>
            </a:graphic>
          </wp:anchor>
        </w:drawing>
      </w:r>
      <w:bookmarkEnd w:id="953"/>
    </w:p>
    <w:p>
      <w:pPr>
        <w:keepNext/>
        <w:pStyle w:val="Para 22"/>
        <w:keepLines w:val="on"/>
      </w:pPr>
      <w:r>
        <w:t>Hình 6.14 Mua/Bán của Tổ chức quanh Thời điểm Cuối năm</w:t>
      </w:r>
    </w:p>
    <w:p>
      <w:pPr>
        <w:pStyle w:val="Para 03"/>
      </w:pPr>
      <w:r>
        <w:t>Tính phổ biến của hiệu ứng tháng Một được minh họa trong Hình 6.15, xem xét lợi nhuận trong tháng Một so với các tháng khác trong năm ở một số thị trường tài chính lớn và tìm thấy bằng chứng mạnh mẽ về hiệu ứng tháng Một ở mọi thị trường (Haugen và Lakonishok, 1988; Gultekin và Gultekin 1983).</w:t>
      </w:r>
    </w:p>
    <w:p>
      <w:bookmarkStart w:id="956" w:name="Figure_6_15_Returns_in_January_v"/>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03400" cy="1981200"/>
            <wp:effectExtent l="0" r="0" t="0" b="0"/>
            <wp:wrapTopAndBottom/>
            <wp:docPr id="50" name="c06f015.png" descr="Bar graph plots bars for January and other months depicting the universality of the January effect."/>
            <wp:cNvGraphicFramePr>
              <a:graphicFrameLocks noChangeAspect="1"/>
            </wp:cNvGraphicFramePr>
            <a:graphic>
              <a:graphicData uri="http://schemas.openxmlformats.org/drawingml/2006/picture">
                <pic:pic>
                  <pic:nvPicPr>
                    <pic:cNvPr id="0" name="c06f015.png" descr="Bar graph plots bars for January and other months depicting the universality of the January effect."/>
                    <pic:cNvPicPr/>
                  </pic:nvPicPr>
                  <pic:blipFill>
                    <a:blip r:embed="rId45"/>
                    <a:stretch>
                      <a:fillRect/>
                    </a:stretch>
                  </pic:blipFill>
                  <pic:spPr>
                    <a:xfrm>
                      <a:off x="0" y="0"/>
                      <a:ext cx="1803400" cy="1981200"/>
                    </a:xfrm>
                    <a:prstGeom prst="rect">
                      <a:avLst/>
                    </a:prstGeom>
                  </pic:spPr>
                </pic:pic>
              </a:graphicData>
            </a:graphic>
          </wp:anchor>
        </w:drawing>
      </w:r>
      <w:bookmarkEnd w:id="956"/>
    </w:p>
    <w:p>
      <w:pPr>
        <w:pStyle w:val="Para 22"/>
        <w:keepLines w:val="on"/>
      </w:pPr>
      <w:r>
        <w:t>Hình 6.15 Lợi nhuận trong tháng Một so với Các tháng Khác—Các Thị trường Tài chính Lớn</w:t>
      </w:r>
    </w:p>
    <w:p>
      <w:pPr>
        <w:keepNext/>
        <w:pStyle w:val="Para 22"/>
        <w:keepLines w:val="on"/>
      </w:pPr>
      <w:r>
        <w:t>Nguồn: Phỏng theo Gultekin và cộng sự, 1983.</w:t>
      </w:r>
    </w:p>
    <w:p>
      <w:bookmarkStart w:id="957" w:name="Weekend_Effect__The_weekend_effe"/>
      <w:bookmarkStart w:id="958" w:name="Weekend_Effect"/>
      <w:pPr>
        <w:keepNext/>
        <w:pStyle w:val="Heading 4"/>
        <w:keepLines w:val="on"/>
      </w:pPr>
      <w:r>
        <w:t>Hiệu ứng cuối tuần (Weekend Effect)</w:t>
      </w:r>
      <w:bookmarkEnd w:id="957"/>
      <w:bookmarkEnd w:id="958"/>
    </w:p>
    <w:p>
      <w:pPr>
        <w:pStyle w:val="Para 03"/>
      </w:pPr>
      <w:r>
        <w:t>Hiệu ứng cuối tuần (weekend effect) là một hiện tượng lợi nhuận khác đã tồn tại qua những giai đoạn cực kỳ dài và trên nhiều thị trường quốc tế. Nó đề cập đến sự khác biệt về lợi nhuận giữa ngày thứ Hai và các ngày khác trong tuần. Ý nghĩa của sự khác biệt lợi nhuận này được thể hiện rõ trong Hình 6.16, biểu đồ lợi nhuận theo các ngày trong tuần từ năm 1962 đến 1978 (Gibbons và Hess, 1981).</w:t>
      </w:r>
    </w:p>
    <w:p>
      <w:bookmarkStart w:id="960" w:name="Figure_6_16_Average_Daily_Retur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55800" cy="990600"/>
            <wp:effectExtent l="0" r="0" t="0" b="0"/>
            <wp:wrapTopAndBottom/>
            <wp:docPr id="51" name="c06f016.png" descr="Bar graph depicts that the returns on Mondays are significantly negative compared to other days of the trading week (1962 to 1978)."/>
            <wp:cNvGraphicFramePr>
              <a:graphicFrameLocks noChangeAspect="1"/>
            </wp:cNvGraphicFramePr>
            <a:graphic>
              <a:graphicData uri="http://schemas.openxmlformats.org/drawingml/2006/picture">
                <pic:pic>
                  <pic:nvPicPr>
                    <pic:cNvPr id="0" name="c06f016.png" descr="Bar graph depicts that the returns on Mondays are significantly negative compared to other days of the trading week (1962 to 1978)."/>
                    <pic:cNvPicPr/>
                  </pic:nvPicPr>
                  <pic:blipFill>
                    <a:blip r:embed="rId46"/>
                    <a:stretch>
                      <a:fillRect/>
                    </a:stretch>
                  </pic:blipFill>
                  <pic:spPr>
                    <a:xfrm>
                      <a:off x="0" y="0"/>
                      <a:ext cx="1955800" cy="990600"/>
                    </a:xfrm>
                    <a:prstGeom prst="rect">
                      <a:avLst/>
                    </a:prstGeom>
                  </pic:spPr>
                </pic:pic>
              </a:graphicData>
            </a:graphic>
          </wp:anchor>
        </w:drawing>
      </w:r>
      <w:bookmarkEnd w:id="960"/>
    </w:p>
    <w:p>
      <w:pPr>
        <w:pStyle w:val="Para 22"/>
        <w:keepLines w:val="on"/>
      </w:pPr>
      <w:r>
        <w:t>Hình 6.16 Lợi nhuận trung bình hàng ngày theo ngày trong tuần, 1962–1978</w:t>
      </w:r>
    </w:p>
    <w:p>
      <w:pPr>
        <w:keepNext/>
        <w:pStyle w:val="Para 22"/>
        <w:keepLines w:val="on"/>
      </w:pPr>
      <w:r>
        <w:t>Nguồn: Gibbons và cộng sự, 1981. Được sử dụng với sự cho phép của University of Chicago Press.</w:t>
      </w:r>
    </w:p>
    <w:p>
      <w:pPr>
        <w:pStyle w:val="Para 03"/>
      </w:pPr>
      <w:r>
        <w:t>Lợi nhuận vào ngày thứ Hai âm một cách đáng kể, trong khi lợi nhuận vào mọi ngày khác trong tuần giao dịch thì không. Có một số phát hiện khác về hiệu ứng thứ Hai đã làm rõ điều này. Thứ nhất, hiệu ứng thứ Hai thực chất là hiệu ứng cuối tuần vì phần lớn lợi nhuận âm được thể hiện trong lợi nhuận từ giá đóng cửa thứ Sáu đến giá mở cửa thứ Hai. Lợi nhuận trong ngày (intraday) vào thứ Hai không phải là thủ phạm tạo ra lợi nhuận âm. Thứ hai, hiệu ứng thứ Hai tồi tệ hơn đối với các cổ phiếu nhỏ so với các cổ phiếu lớn hơn. Thứ ba, hiệu ứng thứ Hai không tồi tệ hơn sau những kỳ nghỉ cuối tuần ba ngày so với sau những kỳ nghỉ cuối tuần hai ngày.</w:t>
      </w:r>
    </w:p>
    <w:p>
      <w:pPr>
        <w:pStyle w:val="Para 03"/>
      </w:pPr>
      <w:r>
        <w:t>Có một số người lập luận rằng hiệu ứng cuối tuần là kết quả của việc tin xấu được tiết lộ sau khi kết thúc giao dịch vào thứ Sáu và trong suốt cuối tuần. Họ chỉ ra Hình 6.7, cho thấy rằng nhiều báo cáo thu nhập tiêu cực hơn được tiết lộ sau khi kết thúc giao dịch vào thứ Sáu. Ngay cả khi đây là một hiện tượng phổ biến, hành vi lợi nhuận sẽ không nhất quán với một thị trường hợp lý, vì các nhà đầu tư hợp lý sẽ đưa kỳ vọng về tin xấu trong cuối tuần vào giá trước cuối tuần, dẫn đến việc loại bỏ hiệu ứng cuối tuần.</w:t>
      </w:r>
    </w:p>
    <w:p>
      <w:pPr>
        <w:pStyle w:val="Para 03"/>
      </w:pPr>
      <w:r>
        <w:t>Hiệu ứng cuối tuần khá mạnh ở hầu hết các thị trường quốc tế lớn, như được thể hiện trong Hình 6.17. Sự hiện diện của một hiệu ứng cuối tuần mạnh ở Nhật Bản, nơi cho phép giao dịch vào thứ Bảy trong một phần của giai đoạn được nghiên cứu ở đây, cho thấy rằng có thể có một lý do trực tiếp hơn cho lợi nhuận âm vào thứ Hai ngoài thông tin xấu trong cuối tuần.</w:t>
      </w:r>
    </w:p>
    <w:p>
      <w:bookmarkStart w:id="963" w:name="Figure_6_17_Weekend_Effect_in_I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06600" cy="1219200"/>
            <wp:effectExtent l="0" r="0" t="0" b="0"/>
            <wp:wrapTopAndBottom/>
            <wp:docPr id="52" name="c06f017.png" descr="Double bar graph depicts that the weekend effect is fairly strong in most major international markets."/>
            <wp:cNvGraphicFramePr>
              <a:graphicFrameLocks noChangeAspect="1"/>
            </wp:cNvGraphicFramePr>
            <a:graphic>
              <a:graphicData uri="http://schemas.openxmlformats.org/drawingml/2006/picture">
                <pic:pic>
                  <pic:nvPicPr>
                    <pic:cNvPr id="0" name="c06f017.png" descr="Double bar graph depicts that the weekend effect is fairly strong in most major international markets."/>
                    <pic:cNvPicPr/>
                  </pic:nvPicPr>
                  <pic:blipFill>
                    <a:blip r:embed="rId47"/>
                    <a:stretch>
                      <a:fillRect/>
                    </a:stretch>
                  </pic:blipFill>
                  <pic:spPr>
                    <a:xfrm>
                      <a:off x="0" y="0"/>
                      <a:ext cx="2006600" cy="1219200"/>
                    </a:xfrm>
                    <a:prstGeom prst="rect">
                      <a:avLst/>
                    </a:prstGeom>
                  </pic:spPr>
                </pic:pic>
              </a:graphicData>
            </a:graphic>
          </wp:anchor>
        </w:drawing>
      </w:r>
      <w:bookmarkEnd w:id="963"/>
    </w:p>
    <w:p>
      <w:pPr>
        <w:keepNext/>
        <w:pStyle w:val="Para 22"/>
        <w:keepLines w:val="on"/>
      </w:pPr>
      <w:r>
        <w:t>Hình 6.17 Hiệu ứng cuối tuần trên các thị trường quốc tế</w:t>
      </w:r>
    </w:p>
    <w:p>
      <w:pPr>
        <w:pStyle w:val="Para 03"/>
      </w:pPr>
      <w:r>
        <w:t>Như một lưu ý cuối cùng, lợi nhuận âm vào thứ Hai không thể chỉ được quy cho việc không có giao dịch trong cuối tuần. Lợi nhuận vào những ngày sau các kỳ nghỉ giao dịch nói chung được đặc trưng bởi lợi nhuận dương, chứ không phải âm. Hình 6.18 tóm tắt lợi nhuận vào các ngày giao dịch sau các kỳ nghỉ lớn và xác nhận mô hình này.</w:t>
      </w:r>
    </w:p>
    <w:p>
      <w:bookmarkStart w:id="966" w:name="Figure_6_18_A_Holiday_Effect__Av"/>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35200" cy="1016000"/>
            <wp:effectExtent l="0" r="0" t="0" b="0"/>
            <wp:wrapTopAndBottom/>
            <wp:docPr id="53" name="c06f018.png" descr="Horizontal bar graph depicts the positive returns on trading days following major holidays."/>
            <wp:cNvGraphicFramePr>
              <a:graphicFrameLocks noChangeAspect="1"/>
            </wp:cNvGraphicFramePr>
            <a:graphic>
              <a:graphicData uri="http://schemas.openxmlformats.org/drawingml/2006/picture">
                <pic:pic>
                  <pic:nvPicPr>
                    <pic:cNvPr id="0" name="c06f018.png" descr="Horizontal bar graph depicts the positive returns on trading days following major holidays."/>
                    <pic:cNvPicPr/>
                  </pic:nvPicPr>
                  <pic:blipFill>
                    <a:blip r:embed="rId48"/>
                    <a:stretch>
                      <a:fillRect/>
                    </a:stretch>
                  </pic:blipFill>
                  <pic:spPr>
                    <a:xfrm>
                      <a:off x="0" y="0"/>
                      <a:ext cx="2235200" cy="1016000"/>
                    </a:xfrm>
                    <a:prstGeom prst="rect">
                      <a:avLst/>
                    </a:prstGeom>
                  </pic:spPr>
                </pic:pic>
              </a:graphicData>
            </a:graphic>
          </wp:anchor>
        </w:drawing>
      </w:r>
      <w:bookmarkEnd w:id="966"/>
    </w:p>
    <w:p>
      <w:pPr>
        <w:keepNext/>
        <w:pStyle w:val="Para 22"/>
        <w:keepLines w:val="on"/>
      </w:pPr>
      <w:r>
        <w:t>Hình 6.18 Một hiệu ứng ngày lễ? Lợi nhuận thị trường trung bình vào các ngày giao dịch sau kỳ nghỉ</w:t>
      </w:r>
    </w:p>
    <w:p>
      <w:bookmarkStart w:id="967" w:name="Evidence_on_Insiders_and_Investm_1"/>
      <w:bookmarkStart w:id="968" w:name="Evidence_on_Insiders_and_Investm"/>
      <w:pPr>
        <w:keepNext/>
        <w:pStyle w:val="Heading 2"/>
        <w:keepLines w:val="on"/>
      </w:pPr>
      <w:r>
        <w:t>Bằng chứng về Người nội bộ và Chuyên gia Đầu tư</w:t>
      </w:r>
      <w:bookmarkEnd w:id="967"/>
      <w:bookmarkEnd w:id="968"/>
    </w:p>
    <w:p>
      <w:pPr>
        <w:pStyle w:val="Para 03"/>
      </w:pPr>
      <w:r>
        <w:t>Có một cảm giác rằng những người nội bộ (insiders), các nhà phân tích và các nhà quản lý danh mục đầu tư phải sở hữu một lợi thế so với các nhà đầu tư trung bình trên thị trường, và có thể chuyển đổi lợi thế này thành lợi nhuận vượt trội. Bằng chứng về hiệu suất của những nhà đầu tư này lại gây ngạc nhiên vì khá trái chiều.</w:t>
      </w:r>
    </w:p>
    <w:p>
      <w:bookmarkStart w:id="969" w:name="Insider_Trading"/>
      <w:bookmarkStart w:id="970" w:name="Insider_Trading__The_Securities"/>
      <w:pPr>
        <w:keepNext/>
        <w:pStyle w:val="Heading 4"/>
        <w:keepLines w:val="on"/>
      </w:pPr>
      <w:r>
        <w:t>Giao dịch của Người nội bộ</w:t>
      </w:r>
      <w:bookmarkEnd w:id="969"/>
      <w:bookmarkEnd w:id="970"/>
    </w:p>
    <w:p>
      <w:pPr>
        <w:pStyle w:val="Para 03"/>
      </w:pPr>
      <w:r>
        <w:t>Ủy ban Chứng khoán và Giao dịch (Securities and Exchange Commission – SEC) định nghĩa người nội bộ là một cán bộ hoặc giám đốc của công ty hoặc một cổ đông lớn (nắm giữ hơn 5 phần trăm cổ phiếu đang lưu hành của công ty). Người nội bộ bị cấm giao dịch trước thông tin cụ thể về công ty và được yêu cầu nộp hồ sơ với SEC khi họ mua hoặc bán cổ phiếu của công ty. Nếu giả định rằng, như có vẻ hợp lý, người nội bộ có thông tin tốt hơn về công ty và do đó có ước tính giá trị tốt hơn so với các nhà đầu tư khác, thì các quyết định mua và bán cổ phiếu của người nội bộ sẽ ảnh hưởng đến giá cổ phiếu. Hình 6.19, được rút ra từ một nghiên cứu ban đầu về giao dịch của người nội bộ của Jaffe (1974), xem xét lợi nhuận vượt trội trên hai nhóm cổ phiếu, được phân loại dựa trên các giao dịch của người nội bộ. "Nhóm mua" bao gồm các cổ phiếu mà số lượng mua vượt quá số lượng bán với biên độ lớn nhất, và "nhóm bán" bao gồm các cổ phiếu mà số lượng bán vượt quá số lượng mua với biên độ lớn nhất.</w:t>
      </w:r>
    </w:p>
    <w:p>
      <w:bookmarkStart w:id="972" w:name="Figure_6_19_Cumulative_Returns_F"/>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86000" cy="1130300"/>
            <wp:effectExtent l="0" r="0" t="0" b="0"/>
            <wp:wrapTopAndBottom/>
            <wp:docPr id="54" name="c06f019.png" descr="Line graph examines excess returns on buy versus sell groups of stock, classified on the basis of insider trades."/>
            <wp:cNvGraphicFramePr>
              <a:graphicFrameLocks noChangeAspect="1"/>
            </wp:cNvGraphicFramePr>
            <a:graphic>
              <a:graphicData uri="http://schemas.openxmlformats.org/drawingml/2006/picture">
                <pic:pic>
                  <pic:nvPicPr>
                    <pic:cNvPr id="0" name="c06f019.png" descr="Line graph examines excess returns on buy versus sell groups of stock, classified on the basis of insider trades."/>
                    <pic:cNvPicPr/>
                  </pic:nvPicPr>
                  <pic:blipFill>
                    <a:blip r:embed="rId49"/>
                    <a:stretch>
                      <a:fillRect/>
                    </a:stretch>
                  </pic:blipFill>
                  <pic:spPr>
                    <a:xfrm>
                      <a:off x="0" y="0"/>
                      <a:ext cx="2286000" cy="1130300"/>
                    </a:xfrm>
                    <a:prstGeom prst="rect">
                      <a:avLst/>
                    </a:prstGeom>
                  </pic:spPr>
                </pic:pic>
              </a:graphicData>
            </a:graphic>
          </wp:anchor>
        </w:drawing>
      </w:r>
      <w:bookmarkEnd w:id="972"/>
    </w:p>
    <w:p>
      <w:pPr>
        <w:pStyle w:val="Para 22"/>
        <w:keepLines w:val="on"/>
      </w:pPr>
      <w:r>
        <w:t>Hình 6.19 Lợi nhuận tích lũy sau giao dịch của người nội bộ: Nhóm mua so với Nhóm bán</w:t>
      </w:r>
    </w:p>
    <w:p>
      <w:pPr>
        <w:keepNext/>
        <w:pStyle w:val="Para 22"/>
        <w:keepLines w:val="on"/>
      </w:pPr>
      <w:r>
        <w:t>Nguồn: Jaffe, 1974. Được sử dụng với sự cho phép của University of Chicago Press.</w:t>
      </w:r>
    </w:p>
    <w:p>
      <w:pPr>
        <w:pStyle w:val="Para 03"/>
      </w:pPr>
      <w:r>
        <w:t>Mặc dù có vẻ như nhóm mua làm tốt hơn đáng kể so với nhóm bán trong nghiên cứu này, những tiến bộ trong công nghệ thông tin (IT) đã làm cho thông tin về giao dịch của người nội bộ này ngày càng có sẵn cho nhiều nhà đầu tư hơn. Một nghiên cứu gần đây hơn (Seyhun, 1998) về giao dịch của người nội bộ xem xét lợi nhuận vượt trội xung quanh cả ngày người nội bộ báo cáo với SEC và ngày thông tin đó trở nên có sẵn cho các nhà đầu tư trong bản tóm tắt chính thức. Hình 6.20 trình bày sự tương phản giữa hai ngày sự kiện này.</w:t>
      </w:r>
    </w:p>
    <w:p>
      <w:bookmarkStart w:id="974" w:name="Figure_6_20_Abnormal_Returns_aro"/>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98700" cy="901700"/>
            <wp:effectExtent l="0" r="0" t="0" b="0"/>
            <wp:wrapTopAndBottom/>
            <wp:docPr id="55" name="c06f020.png" descr="Two line graphs presents the contrast between the two event dates relative to: insider reporting day, and official summary availability."/>
            <wp:cNvGraphicFramePr>
              <a:graphicFrameLocks noChangeAspect="1"/>
            </wp:cNvGraphicFramePr>
            <a:graphic>
              <a:graphicData uri="http://schemas.openxmlformats.org/drawingml/2006/picture">
                <pic:pic>
                  <pic:nvPicPr>
                    <pic:cNvPr id="0" name="c06f020.png" descr="Two line graphs presents the contrast between the two event dates relative to: insider reporting day, and official summary availability."/>
                    <pic:cNvPicPr/>
                  </pic:nvPicPr>
                  <pic:blipFill>
                    <a:blip r:embed="rId50"/>
                    <a:stretch>
                      <a:fillRect/>
                    </a:stretch>
                  </pic:blipFill>
                  <pic:spPr>
                    <a:xfrm>
                      <a:off x="0" y="0"/>
                      <a:ext cx="2298700" cy="901700"/>
                    </a:xfrm>
                    <a:prstGeom prst="rect">
                      <a:avLst/>
                    </a:prstGeom>
                  </pic:spPr>
                </pic:pic>
              </a:graphicData>
            </a:graphic>
          </wp:anchor>
        </w:drawing>
      </w:r>
      <w:bookmarkEnd w:id="974"/>
    </w:p>
    <w:p>
      <w:pPr>
        <w:pStyle w:val="Para 22"/>
        <w:keepLines w:val="on"/>
      </w:pPr>
      <w:r>
        <w:t>Hình 6.20 Lợi nhuận bất thường xung quanh Ngày báo cáo so với Ngày có Bản tóm tắt Chính thức</w:t>
      </w:r>
    </w:p>
    <w:p>
      <w:pPr>
        <w:keepNext/>
        <w:pStyle w:val="Para 22"/>
        <w:keepLines w:val="on"/>
      </w:pPr>
      <w:r>
        <w:t>Nguồn: Seyhun, 1998. Được sử dụng với sự cho phép của MIT Press.</w:t>
      </w:r>
    </w:p>
    <w:p>
      <w:pPr>
        <w:pStyle w:val="Para 03"/>
      </w:pPr>
      <w:r>
        <w:t>Nếu có cơ hội mua vào ngày người nội bộ báo cáo với SEC, các nhà đầu tư có thể có lợi nhuận vượt trội ở mức cận biên, nhưng những lợi nhuận này giảm dần và trở nên không có ý nghĩa thống kê nếu các nhà đầu tư buộc phải chờ đến ngày có bản tóm tắt chính thức.</w:t>
      </w:r>
    </w:p>
    <w:p>
      <w:pPr>
        <w:pStyle w:val="Para 03"/>
      </w:pPr>
      <w:r>
        <w:t>Không có nghiên cứu nào trong số này xem xét câu hỏi liệu bản thân những người nội bộ có tạo ra lợi nhuận vượt trội hay không. Quy trình báo cáo, như được SEC thiết lập hiện nay, thiên vị đối với các giao dịch hợp pháp và ít sinh lợi hơn và tránh xa các giao dịch bất hợp pháp và sinh lợi hơn. Mặc dù không thể đưa ra bằng chứng trực tiếp cho đề xuất này, những người nội bộ giao dịch bất hợp pháp dựa trên thông tin riêng tư chắc chắn phải tạo ra lợi nhuận vượt trội.</w:t>
      </w:r>
    </w:p>
    <w:p>
      <w:bookmarkStart w:id="976" w:name="Analyst_Recommendations__Analyst"/>
      <w:bookmarkStart w:id="977" w:name="Analyst_Recommendations"/>
      <w:pPr>
        <w:keepNext/>
        <w:pStyle w:val="Heading 4"/>
        <w:keepLines w:val="on"/>
      </w:pPr>
      <w:r>
        <w:t>Khuyến nghị của Nhà phân tích</w:t>
      </w:r>
      <w:bookmarkEnd w:id="976"/>
      <w:bookmarkEnd w:id="977"/>
    </w:p>
    <w:p>
      <w:pPr>
        <w:pStyle w:val="Para 03"/>
      </w:pPr>
      <w:r>
        <w:t>Các nhà phân tích rõ ràng giữ một vị trí đặc quyền trên thị trường thông tin, hoạt động tại điểm giao thoa giữa thông tin riêng tư và công khai. Sử dụng cả hai loại thông tin, các nhà phân tích đưa ra khuyến nghị mua và bán cho khách hàng của họ, những người giao dịch dựa trên cơ sở đó.</w:t>
      </w:r>
    </w:p>
    <w:p>
      <w:pPr>
        <w:pStyle w:val="Para 03"/>
      </w:pPr>
      <w:r>
        <w:t>Mặc dù cả khuyến nghị mua và bán đều ảnh hưởng đến giá cổ phiếu, các khuyến nghị bán ảnh hưởng đến giá tiêu cực hơn nhiều so với mức độ các khuyến nghị mua ảnh hưởng tích cực đến giá. Điều thú vị là, Womack (1996) ghi nhận rằng tác động giá của các khuyến nghị mua có xu hướng tức thời và không có bằng chứng về sự trôi dạt giá sau khi công bố, trong khi giá tiếp tục xu hướng giảm sau các khuyến nghị bán. Hình 6.21 biểu đồ hóa các phát hiện của ông. Giá cổ phiếu tăng khoảng 3 phần trăm khi có khuyến nghị mua, trong khi chúng giảm khoảng 4 phần trăm khi có khuyến nghị bán tại thời điểm đưa ra khuyến nghị (ba ngày xung quanh báo cáo). Trong sáu tháng tiếp theo, giá giảm thêm 5 phần trăm đối với các khuyến nghị bán, trong khi chững lại đối với các khuyến nghị mua.</w:t>
      </w:r>
    </w:p>
    <w:p>
      <w:bookmarkStart w:id="980" w:name="Figure_6_21_Market_Reaction_to_R"/>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74900" cy="1460500"/>
            <wp:effectExtent l="0" r="0" t="0" b="0"/>
            <wp:wrapTopAndBottom/>
            <wp:docPr id="56" name="c06f021.png" descr="Multiple bar graph depicts the market reaction of 4 recommendations when added and removed from buy and sell."/>
            <wp:cNvGraphicFramePr>
              <a:graphicFrameLocks noChangeAspect="1"/>
            </wp:cNvGraphicFramePr>
            <a:graphic>
              <a:graphicData uri="http://schemas.openxmlformats.org/drawingml/2006/picture">
                <pic:pic>
                  <pic:nvPicPr>
                    <pic:cNvPr id="0" name="c06f021.png" descr="Multiple bar graph depicts the market reaction of 4 recommendations when added and removed from buy and sell."/>
                    <pic:cNvPicPr/>
                  </pic:nvPicPr>
                  <pic:blipFill>
                    <a:blip r:embed="rId51"/>
                    <a:stretch>
                      <a:fillRect/>
                    </a:stretch>
                  </pic:blipFill>
                  <pic:spPr>
                    <a:xfrm>
                      <a:off x="0" y="0"/>
                      <a:ext cx="2374900" cy="1460500"/>
                    </a:xfrm>
                    <a:prstGeom prst="rect">
                      <a:avLst/>
                    </a:prstGeom>
                  </pic:spPr>
                </pic:pic>
              </a:graphicData>
            </a:graphic>
          </wp:anchor>
        </w:drawing>
      </w:r>
      <w:bookmarkEnd w:id="980"/>
    </w:p>
    <w:p>
      <w:pPr>
        <w:pStyle w:val="Para 22"/>
        <w:keepLines w:val="on"/>
      </w:pPr>
      <w:r>
        <w:t>Hình 6.21 Phản ứng của thị trường đối với các khuyến nghị, 1989–1990</w:t>
      </w:r>
    </w:p>
    <w:p>
      <w:pPr>
        <w:keepNext/>
        <w:pStyle w:val="Para 22"/>
        <w:keepLines w:val="on"/>
      </w:pPr>
      <w:r>
        <w:t>Nguồn: Phỏng theo Womack, 1996.</w:t>
      </w:r>
    </w:p>
    <w:p>
      <w:pPr>
        <w:pStyle w:val="Para 03"/>
      </w:pPr>
      <w:r>
        <w:t>Mặc dù các nhà phân tích cung cấp một dịch vụ quý giá khi thu thập thông tin riêng tư, hoặc có thể chính vì vậy, tồn tại một mối quan hệ nghịch trong tương quan chéo giữa lợi nhuận mà cổ phiếu mang lại và số lượng nhà phân tích theo dõi cổ phiếu đó. Mối quan hệ tương tự cũng tồn tại giữa một chỉ báo khác cho sự quan tâm — tỷ lệ sở hữu của tổ chức (institutional ownership) — và lợi nhuận. Bằng chứng này (Arbel và Strebel, 1983) cho thấy rằng những cổ phiếu bị bỏ quên — những cổ phiếu được ít nhà phân tích theo dõi và không được các tổ chức nắm giữ rộng rãi — mang lại lợi nhuận cao hơn những cổ phiếu được theo dõi và nắm giữ rộng rãi.</w:t>
      </w:r>
    </w:p>
    <w:p>
      <w:bookmarkStart w:id="981" w:name="Money_Managers__Professional_mon"/>
      <w:bookmarkStart w:id="982" w:name="Money_Managers"/>
      <w:pPr>
        <w:keepNext/>
        <w:pStyle w:val="Heading 4"/>
        <w:keepLines w:val="on"/>
      </w:pPr>
      <w:r>
        <w:t>Các nhà quản lý quỹ</w:t>
      </w:r>
      <w:bookmarkEnd w:id="981"/>
      <w:bookmarkEnd w:id="982"/>
    </w:p>
    <w:p>
      <w:pPr>
        <w:pStyle w:val="Para 03"/>
      </w:pPr>
      <w:r>
        <w:t>Các nhà quản lý quỹ chuyên nghiệp hoạt động như những chuyên gia trong lĩnh vực đầu tư. Họ được cho là có thông tin tốt hơn, có chi phí giao dịch thấp hơn, và nói chung là những nhà đầu tư giỏi hơn so với các nhà đầu tư nhỏ lẻ. Nghiên cứu sớm nhất về các quỹ tương hỗ (mutual funds) của Jensen (1968) gợi ý rằng giả định này có thể không đúng trong thực tế. Những phát hiện của ông, được tóm tắt trong Hình 6.22 dưới dạng lợi nhuận vượt trội (excess returns) của các quỹ tương hỗ, cho thấy rằng nhà quản lý danh mục đầu tư trung bình đã kém hiệu quả hơn thị trường trong giai đoạn từ 1955 đến 1964.</w:t>
      </w:r>
    </w:p>
    <w:p>
      <w:bookmarkStart w:id="984" w:name="Figure_6_22_Mutual_Fund_Perform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86000" cy="1016000"/>
            <wp:effectExtent l="0" r="0" t="0" b="0"/>
            <wp:wrapTopAndBottom/>
            <wp:docPr id="57" name="c06f022.png" descr="Bar graph depicts that excess returns on mutual funds, were that average portfolio manager underperformed market between 1955 and 1964."/>
            <wp:cNvGraphicFramePr>
              <a:graphicFrameLocks noChangeAspect="1"/>
            </wp:cNvGraphicFramePr>
            <a:graphic>
              <a:graphicData uri="http://schemas.openxmlformats.org/drawingml/2006/picture">
                <pic:pic>
                  <pic:nvPicPr>
                    <pic:cNvPr id="0" name="c06f022.png" descr="Bar graph depicts that excess returns on mutual funds, were that average portfolio manager underperformed market between 1955 and 1964."/>
                    <pic:cNvPicPr/>
                  </pic:nvPicPr>
                  <pic:blipFill>
                    <a:blip r:embed="rId52"/>
                    <a:stretch>
                      <a:fillRect/>
                    </a:stretch>
                  </pic:blipFill>
                  <pic:spPr>
                    <a:xfrm>
                      <a:off x="0" y="0"/>
                      <a:ext cx="2286000" cy="1016000"/>
                    </a:xfrm>
                    <a:prstGeom prst="rect">
                      <a:avLst/>
                    </a:prstGeom>
                  </pic:spPr>
                </pic:pic>
              </a:graphicData>
            </a:graphic>
          </wp:anchor>
        </w:drawing>
      </w:r>
      <w:bookmarkEnd w:id="984"/>
    </w:p>
    <w:p>
      <w:pPr>
        <w:pStyle w:val="Para 22"/>
        <w:keepLines w:val="on"/>
      </w:pPr>
      <w:r>
        <w:t>Hình 6.22 Hiệu suất của quỹ tương hỗ, 1955–1964 — Nghiên cứu của Jensen</w:t>
      </w:r>
    </w:p>
    <w:p>
      <w:pPr>
        <w:keepNext/>
        <w:pStyle w:val="Para 22"/>
        <w:keepLines w:val="on"/>
      </w:pPr>
      <w:r>
        <w:t>Nguồn: Phỏng theo Jensen, 1968.</w:t>
      </w:r>
    </w:p>
    <w:p>
      <w:pPr>
        <w:pStyle w:val="Para 03"/>
      </w:pPr>
      <w:r>
        <w:t>Những kết quả này đã được tái lập với những biến thể nhẹ trong kết luận của chúng. Trong những nghiên cứu có lợi nhất cho các nhà quản lý quỹ chuyên nghiệp, họ hòa vốn so với thị trường sau khi điều chỉnh chi phí giao dịch, và trong những nghiên cứu bất lợi nhất, họ kém hiệu quả hơn thị trường ngay cả trước khi điều chỉnh chi phí giao dịch.</w:t>
      </w:r>
    </w:p>
    <w:p>
      <w:pPr>
        <w:pStyle w:val="Para 03"/>
      </w:pPr>
      <w:r>
        <w:t>Các kết quả, khi được phân loại theo nhiều cơ sở khác nhau, không mang lại nhiều an ủi. Ví dụ, Hình 6.23 cho thấy tỷ lệ phần trăm các nhà quản lý quỹ, được phân loại theo phong cách đầu tư, đánh bại các chỉ số tương ứng trong giai đoạn từ 2013 đến 2022. Các nhà quản lý quỹ ở mọi phong cách đầu tư đều kém hiệu quả hơn chỉ số thị trường.</w:t>
      </w:r>
    </w:p>
    <w:p>
      <w:bookmarkStart w:id="987" w:name="Figure_6_23_Performance_of_U_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549400" cy="1485900"/>
            <wp:effectExtent l="0" r="0" t="0" b="0"/>
            <wp:wrapTopAndBottom/>
            <wp:docPr id="58" name="c06f023.png" descr="Double bar graph depicts percent of money managers, categorized by investment style, beating the respective indices between 2013 and 2022."/>
            <wp:cNvGraphicFramePr>
              <a:graphicFrameLocks noChangeAspect="1"/>
            </wp:cNvGraphicFramePr>
            <a:graphic>
              <a:graphicData uri="http://schemas.openxmlformats.org/drawingml/2006/picture">
                <pic:pic>
                  <pic:nvPicPr>
                    <pic:cNvPr id="0" name="c06f023.png" descr="Double bar graph depicts percent of money managers, categorized by investment style, beating the respective indices between 2013 and 2022."/>
                    <pic:cNvPicPr/>
                  </pic:nvPicPr>
                  <pic:blipFill>
                    <a:blip r:embed="rId53"/>
                    <a:stretch>
                      <a:fillRect/>
                    </a:stretch>
                  </pic:blipFill>
                  <pic:spPr>
                    <a:xfrm>
                      <a:off x="0" y="0"/>
                      <a:ext cx="1549400" cy="1485900"/>
                    </a:xfrm>
                    <a:prstGeom prst="rect">
                      <a:avLst/>
                    </a:prstGeom>
                  </pic:spPr>
                </pic:pic>
              </a:graphicData>
            </a:graphic>
          </wp:anchor>
        </w:drawing>
      </w:r>
      <w:bookmarkEnd w:id="987"/>
    </w:p>
    <w:p>
      <w:pPr>
        <w:pStyle w:val="Para 22"/>
        <w:keepLines w:val="on"/>
      </w:pPr>
      <w:r>
        <w:t>Hình 6.23 Hiệu suất của các quỹ cổ phiếu Mỹ, 2013–2022</w:t>
      </w:r>
    </w:p>
    <w:p>
      <w:pPr>
        <w:keepNext/>
        <w:pStyle w:val="Para 22"/>
        <w:keepLines w:val="on"/>
      </w:pPr>
      <w:r>
        <w:t>Nguồn: SPIVA. Được sử dụng với sự cho phép của S&amp;P Dow Jones Indices.</w:t>
      </w:r>
    </w:p>
    <w:p>
      <w:pPr>
        <w:pStyle w:val="Para 03"/>
      </w:pPr>
      <w:r>
        <w:t>Bằng chứng là quá rõ ràng, khi các nhà quản lý quỹ ở mọi nhóm đều kém hiệu quả hơn các chỉ số tương ứng. Nguồn dữ liệu này, SPIVA, một dịch vụ của S&amp;P, hiện tính toán chỉ số này (tỷ lệ phần trăm các nhà quản lý quỹ chủ động đánh bại các chỉ số tương ứng của họ) trên khắp thế giới, và mặc dù có những nơi trên thế giới mà tỷ lệ nhà quản lý thua kém so với chỉ số thấp hơn, nhưng không có nơi nào trên thế giới mà các nhà quản lý quỹ chủ động đánh bại được các chỉ số của họ.</w:t>
      </w:r>
    </w:p>
    <w:p>
      <w:pPr>
        <w:pStyle w:val="Para 03"/>
      </w:pPr>
      <w:r>
        <w:t>Hình 6.24 xem xét phần thưởng cho việc quản lý danh mục đầu tư chủ động bằng cách đo lường giá trị gia tăng từ việc giao dịch chủ động trong suốt cả năm và nhận thấy rằng lợi nhuận giảm từ 0,5 phần trăm đến 1,5 phần trăm mỗi năm do hệ quả đó.</w:t>
      </w:r>
    </w:p>
    <w:p>
      <w:bookmarkStart w:id="990" w:name="Figure_6_24_The_Payoff_to_Activ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651000" cy="1206500"/>
            <wp:effectExtent l="0" r="0" t="0" b="0"/>
            <wp:wrapTopAndBottom/>
            <wp:docPr id="59" name="c06f024.png" descr="Bar graph depicts the payoff to active portfolio management by measuring the added value from trading actively during course of the year."/>
            <wp:cNvGraphicFramePr>
              <a:graphicFrameLocks noChangeAspect="1"/>
            </wp:cNvGraphicFramePr>
            <a:graphic>
              <a:graphicData uri="http://schemas.openxmlformats.org/drawingml/2006/picture">
                <pic:pic>
                  <pic:nvPicPr>
                    <pic:cNvPr id="0" name="c06f024.png" descr="Bar graph depicts the payoff to active portfolio management by measuring the added value from trading actively during course of the year."/>
                    <pic:cNvPicPr/>
                  </pic:nvPicPr>
                  <pic:blipFill>
                    <a:blip r:embed="rId54"/>
                    <a:stretch>
                      <a:fillRect/>
                    </a:stretch>
                  </pic:blipFill>
                  <pic:spPr>
                    <a:xfrm>
                      <a:off x="0" y="0"/>
                      <a:ext cx="1651000" cy="1206500"/>
                    </a:xfrm>
                    <a:prstGeom prst="rect">
                      <a:avLst/>
                    </a:prstGeom>
                  </pic:spPr>
                </pic:pic>
              </a:graphicData>
            </a:graphic>
          </wp:anchor>
        </w:drawing>
      </w:r>
      <w:bookmarkEnd w:id="990"/>
    </w:p>
    <w:p>
      <w:pPr>
        <w:pStyle w:val="Para 22"/>
        <w:keepLines w:val="on"/>
      </w:pPr>
      <w:r>
        <w:t>Hình 6.24 Phần thưởng cho việc quản lý quỹ chủ động: Các quỹ cổ phiếu</w:t>
      </w:r>
    </w:p>
    <w:p>
      <w:pPr>
        <w:keepNext/>
        <w:pStyle w:val="Para 22"/>
        <w:keepLines w:val="on"/>
      </w:pPr>
      <w:r>
        <w:t>Lưu ý: Biểu đồ này đo lường sự khác biệt giữa lợi nhuận thực tế của các quỹ cổ phiếu và lợi nhuận của một danh mục đầu tư giả định được đóng băng vào đầu kỳ.</w:t>
      </w:r>
    </w:p>
    <w:p>
      <w:pPr>
        <w:pStyle w:val="Para 03"/>
      </w:pPr>
      <w:r>
        <w:t>Cuối cùng, chúng ta thấy bằng chứng hỗn hợp về tính liên tục trong hiệu suất. Nó phân loại các nhà quản lý quỹ thành các tứ phân vị (quartiles) và xem xét xác suất di chuyển từ tứ phân vị này sang tứ phân vị khác trong giai đoạn ba năm từ 2016 đến 2019. Kết quả được tóm tắt trong Bảng 6.7.</w:t>
      </w:r>
    </w:p>
    <w:p>
      <w:pPr>
        <w:pStyle w:val="Para 34"/>
        <w:keepLines w:val="on"/>
      </w:pPr>
      <w:r>
        <w:t>Bảng 6.7</w:t>
      </w:r>
    </w:p>
    <w:p>
      <w:pPr>
        <w:keepNext/>
        <w:pStyle w:val="Para 35"/>
        <w:keepLines w:val="on"/>
      </w:pPr>
      <w:r>
        <w:t>Xác suất chuyển đổi từ tứ phân vị này sang tứ phân vị khác — 2016–2019</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17"/>
                    <w:keepLines w:val="on"/>
                  </w:pPr>
                  <w:r>
                    <w:t>Tứ phân vị 1</w:t>
                  </w:r>
                </w:p>
              </w:tc>
              <w:tc>
                <w:tcPr>
                  <w:tcW w:type="auto" w:w="0"/>
                  <w:shd w:val="clear" w:color="auto" w:fill="F0F0F0"/>
                </w:tcPr>
                <w:p>
                  <w:pPr>
                    <w:pStyle w:val="Para 17"/>
                    <w:keepLines w:val="on"/>
                  </w:pPr>
                  <w:r>
                    <w:t>Tứ phân vị 2</w:t>
                  </w:r>
                </w:p>
              </w:tc>
              <w:tc>
                <w:tcPr>
                  <w:tcW w:type="auto" w:w="0"/>
                  <w:shd w:val="clear" w:color="auto" w:fill="F0F0F0"/>
                </w:tcPr>
                <w:p>
                  <w:pPr>
                    <w:pStyle w:val="Para 17"/>
                    <w:keepLines w:val="on"/>
                  </w:pPr>
                  <w:r>
                    <w:t>Tứ phân vị 3</w:t>
                  </w:r>
                </w:p>
              </w:tc>
              <w:tc>
                <w:tcPr>
                  <w:tcW w:type="auto" w:w="0"/>
                  <w:shd w:val="clear" w:color="auto" w:fill="F0F0F0"/>
                </w:tcPr>
                <w:p>
                  <w:pPr>
                    <w:pStyle w:val="Para 17"/>
                    <w:keepLines w:val="on"/>
                  </w:pPr>
                  <w:r>
                    <w:t>Tứ phân vị 4</w:t>
                  </w:r>
                </w:p>
              </w:tc>
              <w:tc>
                <w:tcPr>
                  <w:tcW w:type="auto" w:w="0"/>
                  <w:shd w:val="clear" w:color="auto" w:fill="F0F0F0"/>
                </w:tcPr>
                <w:p>
                  <w:pPr>
                    <w:pStyle w:val="Para 17"/>
                    <w:keepLines w:val="on"/>
                  </w:pPr>
                  <w:r>
                    <w:t>Đã thanh lý</w:t>
                  </w:r>
                </w:p>
              </w:tc>
            </w:tr>
            <w:tr>
              <w:tc>
                <w:tcPr>
                  <w:tcW w:type="auto" w:w="0"/>
                  <w:shd w:val="clear" w:color="auto" w:fill="F0F0F0"/>
                </w:tcPr>
                <w:p>
                  <w:pPr>
                    <w:pStyle w:val="Para 02"/>
                    <w:keepLines w:val="on"/>
                  </w:pPr>
                  <w:r>
                    <w:t>Tứ phân vị 1</w:t>
                  </w:r>
                </w:p>
              </w:tc>
              <w:tc>
                <w:tcPr>
                  <w:tcW w:type="auto" w:w="0"/>
                  <w:shd w:val="clear" w:color="auto" w:fill="F0F0F0"/>
                </w:tcPr>
                <w:p>
                  <w:pPr>
                    <w:pStyle w:val="Normal"/>
                    <w:keepLines w:val="on"/>
                  </w:pPr>
                  <w:r>
                    <w:t>8,21%</w:t>
                  </w:r>
                </w:p>
              </w:tc>
              <w:tc>
                <w:tcPr>
                  <w:tcW w:type="auto" w:w="0"/>
                  <w:shd w:val="clear" w:color="auto" w:fill="F0F0F0"/>
                </w:tcPr>
                <w:p>
                  <w:pPr>
                    <w:pStyle w:val="Normal"/>
                    <w:keepLines w:val="on"/>
                  </w:pPr>
                  <w:r>
                    <w:t>12,32%</w:t>
                  </w:r>
                </w:p>
              </w:tc>
              <w:tc>
                <w:tcPr>
                  <w:tcW w:type="auto" w:w="0"/>
                  <w:shd w:val="clear" w:color="auto" w:fill="F0F0F0"/>
                </w:tcPr>
                <w:p>
                  <w:pPr>
                    <w:pStyle w:val="Normal"/>
                    <w:keepLines w:val="on"/>
                  </w:pPr>
                  <w:r>
                    <w:t>24,02%</w:t>
                  </w:r>
                </w:p>
              </w:tc>
              <w:tc>
                <w:tcPr>
                  <w:tcW w:type="auto" w:w="0"/>
                  <w:shd w:val="clear" w:color="auto" w:fill="F0F0F0"/>
                </w:tcPr>
                <w:p>
                  <w:pPr>
                    <w:pStyle w:val="Normal"/>
                    <w:keepLines w:val="on"/>
                  </w:pPr>
                  <w:r>
                    <w:t>31,42%</w:t>
                  </w:r>
                </w:p>
              </w:tc>
              <w:tc>
                <w:tcPr>
                  <w:tcW w:type="auto" w:w="0"/>
                  <w:shd w:val="clear" w:color="auto" w:fill="F0F0F0"/>
                </w:tcPr>
                <w:p>
                  <w:pPr>
                    <w:pStyle w:val="Normal"/>
                    <w:keepLines w:val="on"/>
                  </w:pPr>
                  <w:r>
                    <w:t>4,52%</w:t>
                  </w:r>
                </w:p>
              </w:tc>
            </w:tr>
            <w:tr>
              <w:tc>
                <w:tcPr>
                  <w:tcW w:type="auto" w:w="0"/>
                  <w:shd w:val="clear" w:color="auto" w:fill="F0F0F0"/>
                </w:tcPr>
                <w:p>
                  <w:pPr>
                    <w:pStyle w:val="Para 02"/>
                    <w:keepLines w:val="on"/>
                  </w:pPr>
                  <w:r>
                    <w:t>Nhóm tứ phân vị thứ 2</w:t>
                  </w:r>
                </w:p>
              </w:tc>
              <w:tc>
                <w:tcPr>
                  <w:tcW w:type="auto" w:w="0"/>
                  <w:shd w:val="clear" w:color="auto" w:fill="F0F0F0"/>
                </w:tcPr>
                <w:p>
                  <w:pPr>
                    <w:pStyle w:val="Normal"/>
                    <w:keepLines w:val="on"/>
                  </w:pPr>
                  <w:r>
                    <w:t>19,96%</w:t>
                  </w:r>
                </w:p>
              </w:tc>
              <w:tc>
                <w:tcPr>
                  <w:tcW w:type="auto" w:w="0"/>
                  <w:shd w:val="clear" w:color="auto" w:fill="F0F0F0"/>
                </w:tcPr>
                <w:p>
                  <w:pPr>
                    <w:pStyle w:val="Normal"/>
                    <w:keepLines w:val="on"/>
                  </w:pPr>
                  <w:r>
                    <w:t>19,14%</w:t>
                  </w:r>
                </w:p>
              </w:tc>
              <w:tc>
                <w:tcPr>
                  <w:tcW w:type="auto" w:w="0"/>
                  <w:shd w:val="clear" w:color="auto" w:fill="F0F0F0"/>
                </w:tcPr>
                <w:p>
                  <w:pPr>
                    <w:pStyle w:val="Normal"/>
                    <w:keepLines w:val="on"/>
                  </w:pPr>
                  <w:r>
                    <w:t>16,05%</w:t>
                  </w:r>
                </w:p>
              </w:tc>
              <w:tc>
                <w:tcPr>
                  <w:tcW w:type="auto" w:w="0"/>
                  <w:shd w:val="clear" w:color="auto" w:fill="F0F0F0"/>
                </w:tcPr>
                <w:p>
                  <w:pPr>
                    <w:pStyle w:val="Normal"/>
                    <w:keepLines w:val="on"/>
                  </w:pPr>
                  <w:r>
                    <w:t>13,17%</w:t>
                  </w:r>
                </w:p>
              </w:tc>
              <w:tc>
                <w:tcPr>
                  <w:tcW w:type="auto" w:w="0"/>
                  <w:shd w:val="clear" w:color="auto" w:fill="F0F0F0"/>
                </w:tcPr>
                <w:p>
                  <w:pPr>
                    <w:pStyle w:val="Normal"/>
                    <w:keepLines w:val="on"/>
                  </w:pPr>
                  <w:r>
                    <w:t>9,88%</w:t>
                  </w:r>
                </w:p>
              </w:tc>
            </w:tr>
            <w:tr>
              <w:tc>
                <w:tcPr>
                  <w:tcW w:type="auto" w:w="0"/>
                  <w:shd w:val="clear" w:color="auto" w:fill="F0F0F0"/>
                </w:tcPr>
                <w:p>
                  <w:pPr>
                    <w:pStyle w:val="Para 02"/>
                    <w:keepLines w:val="on"/>
                  </w:pPr>
                  <w:r>
                    <w:t>Nhóm tứ phân vị thứ 3</w:t>
                  </w:r>
                </w:p>
              </w:tc>
              <w:tc>
                <w:tcPr>
                  <w:tcW w:type="auto" w:w="0"/>
                  <w:shd w:val="clear" w:color="auto" w:fill="F0F0F0"/>
                </w:tcPr>
                <w:p>
                  <w:pPr>
                    <w:pStyle w:val="Normal"/>
                    <w:keepLines w:val="on"/>
                  </w:pPr>
                  <w:r>
                    <w:t>18,52%</w:t>
                  </w:r>
                </w:p>
              </w:tc>
              <w:tc>
                <w:tcPr>
                  <w:tcW w:type="auto" w:w="0"/>
                  <w:shd w:val="clear" w:color="auto" w:fill="F0F0F0"/>
                </w:tcPr>
                <w:p>
                  <w:pPr>
                    <w:pStyle w:val="Normal"/>
                    <w:keepLines w:val="on"/>
                  </w:pPr>
                  <w:r>
                    <w:t>17,08%</w:t>
                  </w:r>
                </w:p>
              </w:tc>
              <w:tc>
                <w:tcPr>
                  <w:tcW w:type="auto" w:w="0"/>
                  <w:shd w:val="clear" w:color="auto" w:fill="F0F0F0"/>
                </w:tcPr>
                <w:p>
                  <w:pPr>
                    <w:pStyle w:val="Normal"/>
                    <w:keepLines w:val="on"/>
                  </w:pPr>
                  <w:r>
                    <w:t>12,96%</w:t>
                  </w:r>
                </w:p>
              </w:tc>
              <w:tc>
                <w:tcPr>
                  <w:tcW w:type="auto" w:w="0"/>
                  <w:shd w:val="clear" w:color="auto" w:fill="F0F0F0"/>
                </w:tcPr>
                <w:p>
                  <w:pPr>
                    <w:pStyle w:val="Normal"/>
                    <w:keepLines w:val="on"/>
                  </w:pPr>
                  <w:r>
                    <w:t>11,32%</w:t>
                  </w:r>
                </w:p>
              </w:tc>
              <w:tc>
                <w:tcPr>
                  <w:tcW w:type="auto" w:w="0"/>
                  <w:shd w:val="clear" w:color="auto" w:fill="F0F0F0"/>
                </w:tcPr>
                <w:p>
                  <w:pPr>
                    <w:pStyle w:val="Normal"/>
                    <w:keepLines w:val="on"/>
                  </w:pPr>
                  <w:r>
                    <w:t>13,37%</w:t>
                  </w:r>
                </w:p>
              </w:tc>
            </w:tr>
            <w:tr>
              <w:tc>
                <w:tcPr>
                  <w:tcW w:type="auto" w:w="0"/>
                  <w:shd w:val="clear" w:color="auto" w:fill="F0F0F0"/>
                </w:tcPr>
                <w:p>
                  <w:pPr>
                    <w:pStyle w:val="Para 02"/>
                    <w:keepLines w:val="on"/>
                  </w:pPr>
                  <w:r>
                    <w:t>Nhóm tứ phân vị thứ 4</w:t>
                  </w:r>
                </w:p>
              </w:tc>
              <w:tc>
                <w:tcPr>
                  <w:tcW w:type="auto" w:w="0"/>
                  <w:shd w:val="clear" w:color="auto" w:fill="F0F0F0"/>
                </w:tcPr>
                <w:p>
                  <w:pPr>
                    <w:pStyle w:val="Normal"/>
                    <w:keepLines w:val="on"/>
                  </w:pPr>
                  <w:r>
                    <w:t>13,76%</w:t>
                  </w:r>
                </w:p>
              </w:tc>
              <w:tc>
                <w:tcPr>
                  <w:tcW w:type="auto" w:w="0"/>
                  <w:shd w:val="clear" w:color="auto" w:fill="F0F0F0"/>
                </w:tcPr>
                <w:p>
                  <w:pPr>
                    <w:pStyle w:val="Normal"/>
                    <w:keepLines w:val="on"/>
                  </w:pPr>
                  <w:r>
                    <w:t>14,37%</w:t>
                  </w:r>
                </w:p>
              </w:tc>
              <w:tc>
                <w:tcPr>
                  <w:tcW w:type="auto" w:w="0"/>
                  <w:shd w:val="clear" w:color="auto" w:fill="F0F0F0"/>
                </w:tcPr>
                <w:p>
                  <w:pPr>
                    <w:pStyle w:val="Normal"/>
                    <w:keepLines w:val="on"/>
                  </w:pPr>
                  <w:r>
                    <w:t>18,28%</w:t>
                  </w:r>
                </w:p>
              </w:tc>
              <w:tc>
                <w:tcPr>
                  <w:tcW w:type="auto" w:w="0"/>
                  <w:shd w:val="clear" w:color="auto" w:fill="F0F0F0"/>
                </w:tcPr>
                <w:p>
                  <w:pPr>
                    <w:pStyle w:val="Normal"/>
                    <w:keepLines w:val="on"/>
                  </w:pPr>
                  <w:r>
                    <w:t>12,53%</w:t>
                  </w:r>
                </w:p>
              </w:tc>
              <w:tc>
                <w:tcPr>
                  <w:tcW w:type="auto" w:w="0"/>
                  <w:shd w:val="clear" w:color="auto" w:fill="F0F0F0"/>
                </w:tcPr>
                <w:p>
                  <w:pPr>
                    <w:pStyle w:val="Normal"/>
                    <w:keepLines w:val="on"/>
                  </w:pPr>
                  <w:r>
                    <w:t>18,69%</w:t>
                  </w:r>
                </w:p>
              </w:tc>
            </w:tr>
          </w:tbl>
          <w:p>
            <w:pPr>
              <w:pStyle w:val="Para 55"/>
              <w:keepLines w:val="on"/>
            </w:pPr>
            <w:r>
              <w:t>Nguồn: Phỏng theo S&amp;P Persistence Scorecard, 2023.</w:t>
            </w:r>
          </w:p>
        </w:tc>
      </w:tr>
    </w:tbl>
    <w:p>
      <w:pPr>
        <w:pStyle w:val="Para 03"/>
      </w:pPr>
      <w:r>
        <w:t>Bảng 6.7 cho thấy một nhà quản lý quỹ được xếp hạng ở nhóm tứ phân vị thứ nhất vào năm 2016 chỉ có 8% cơ hội được xếp hạng ở nhóm tứ phân vị thứ nhất vào năm 2019 và có 31% cơ hội bị xếp vào nhóm tứ phân vị thấp nhất, điều này gợi ý sự đảo chiều từ việc phơi nhiễm rủi ro. Trong số các quỹ thuộc nhóm tứ phân vị thấp nhất, tỷ lệ quỹ chuyển lên nhóm tứ phân vị thứ nhất cao hơn một chút, ở mức 13,76%, so với việc tiếp tục ở lại nhóm tứ phân vị thứ tư. Trong một thước đo về tỷ lệ "tử vong" của đầu tư chủ động, tỷ lệ quỹ thuộc nhóm tứ phân vị thấp nhất vào năm 2016 đã thất bại hoặc bị đóng cửa tính đến năm 2019 cao hơn hẳn.</w:t>
      </w:r>
    </w:p>
    <w:p>
      <w:pPr>
        <w:pStyle w:val="Para 03"/>
      </w:pPr>
      <w:r>
        <w:t>Vì vậy, bằng chứng tổng thể cho thấy các nhà quản lý quỹ nói chung tạo ra rất ít giá trị cho nhà đầu tư bằng các chiến lược đầu tư chủ động của họ. Vậy, có tin tốt nào cho các nhà quản lý quỹ trong những nghiên cứu này không? Có một vài tia hy vọng:</w:t>
      </w:r>
    </w:p>
    <w:p>
      <w:pPr>
        <w:numPr>
          <w:ilvl w:val="0"/>
          <w:numId w:val="43"/>
        </w:numPr>
        <w:pStyle w:val="Para 01"/>
      </w:pPr>
      <w:r>
        <w:t>Hiện tượng "bàn tay nóng" (hot hands phenomenon): Mặc dù có rất ít bằng chứng về sự liên tục trong hiệu suất tổng thể của các quỹ tương hỗ, nhưng có một số bằng chứng cho thấy những nhà quản lý quỹ đã đạt hiệu suất tốt trong quá khứ gần đây có khả năng vượt trội thị trường trong tương lai gần. Tuy nhiên, vẫn chưa rõ đà tăng này kéo dài được bao lâu trước khi đảo chiều. Bằng chứng này phản ánh phân tích trước đó của chúng ta về giá cổ phiếu, cho thấy đà tăng diễn ra trong vài tuần và vài tháng rồi đảo chiều trong dài hạn. Ngay cả tin tốt này cũng phải được nhìn nhận một cách thận trọng, vì có khả năng sự may mắn thuần túy và thiên lệch chọn mẫu (selection bias) vẫn có thể giải thích cho những chuỗi hiệu suất vượt trội này.</w:t>
      </w:r>
    </w:p>
    <w:p>
      <w:pPr>
        <w:numPr>
          <w:ilvl w:val="0"/>
          <w:numId w:val="43"/>
        </w:numPr>
        <w:pStyle w:val="Para 01"/>
      </w:pPr>
      <w:r>
        <w:t>Kỹ năng so với may mắn: Có một số tranh luận về việc liệu sự khác biệt trong lợi nhuận mà các nhà quản lý quỹ kiếm được trong thời gian dài có thể hoàn toàn được quy cho may mắn hay không. Fama và French (2010) lập luận rằng khi lợi nhuận được đo sau khi trừ chi phí, có rất ít bằng chứng cho thấy các quỹ tương hỗ đánh bại thị trường. Tuy nhiên, khi họ xem xét lợi nhuận gộp, có một số bằng chứng về sự khác biệt trong kỹ năng; họ ước tính rằng các nhà quản lý vượt trội tạo ra lợi nhuận cao hơn mức trung bình khoảng 1,25%.</w:t>
      </w:r>
    </w:p>
    <w:p>
      <w:pPr>
        <w:numPr>
          <w:ilvl w:val="0"/>
          <w:numId w:val="43"/>
        </w:numPr>
        <w:pStyle w:val="Para 01"/>
      </w:pPr>
      <w:r>
        <w:t>Chênh lệch về thuế, thanh khoản và tầm nhìn thời gian: Một nhà quản lý quỹ có mức thuế thấp hơn nhiều so với các nhà quản lý quỹ khác, nhu cầu thanh khoản thấp hơn hoặc chi phí giao dịch thấp hơn các nhà đầu tư khác, và/hoặc có tầm nhìn thời gian dài hơn có thể khai thác những khác biệt này để mua được các khoản đầu tư với giá hời và kiếm được lợi nhuận vượt trội. Mặc dù có bằng chứng giai thoại rằng những nhà đầu tư như vậy tồn tại, nhiều người trong số họ lại bị chính thành công của mình đánh bại; khi thu hút được nhiều tiền hơn, họ mất đi sự tập trung và lợi thế cạnh tranh của mình.</w:t>
      </w:r>
    </w:p>
    <w:p>
      <w:pPr>
        <w:pStyle w:val="Para 03"/>
      </w:pPr>
      <w:r>
        <w:t>Điểm mấu chốt: Có thể đánh bại thị trường, nhưng đó là công việc khó khăn và may mắn đóng một vai trò không thể phủ nhận. Không có viên đạn thần kỳ hay công thức đơn giản nào để thành công trong đầu tư. Những nhà quản lý quỹ đánh bại thị trường một cách nhất quán theo thời gian thường rất ít và xa cách nhau. Mặc dù họ có thể áp dụng các chiến lược khác nhau và có quan điểm khác nhau về thị trường, họ chia sẻ một số đặc điểm chung. Họ có những triết lý đầu tư được suy nghĩ kỹ lưỡng, phát huy thế mạnh của mình và giữ vững kỷ luật.</w:t>
      </w:r>
    </w:p>
    <w:p>
      <w:pPr>
        <w:pStyle w:val="Para 11"/>
      </w:pPr>
      <w:r>
        <w:t/>
        <w:t xml:space="preserve"> </w:t>
      </w:r>
    </w:p>
    <w:p>
      <w:bookmarkStart w:id="993" w:name="Market_Inefficiencies_and_Money"/>
      <w:bookmarkStart w:id="994" w:name="Market_Inefficiencies_and_Money_1"/>
      <w:pPr>
        <w:keepNext/>
        <w:pStyle w:val="Para 27"/>
        <w:keepLines w:val="on"/>
      </w:pPr>
      <w:r>
        <w:t>Sự kém hiệu quả của thị trường và hiệu suất của nhà quản lý quỹ</w:t>
      </w:r>
      <w:bookmarkEnd w:id="993"/>
      <w:bookmarkEnd w:id="994"/>
    </w:p>
    <w:p>
      <w:pPr>
        <w:pStyle w:val="Para 16"/>
        <w:keepLines w:val="on"/>
      </w:pPr>
      <w:r>
        <w:t>Các bằng chứng về thị trường là mâu thuẫn. Một mặt, dường như có vô số quy luật trong giá cổ phiếu—giá cổ phiếu đảo chiều trong dài hạn và lợi nhuận cao hơn vào tháng Giêng—và bằng chứng về các bất thường của thị trường—các công ty có vốn hóa thị trường nhỏ với tỷ lệ giá trên giá trị sổ sách (price-to-book) và tỷ lệ giá trên thu nhập (price-to-earnings) thấp dường như dễ dàng đánh bại thị trường. Mặt khác, dường như có rất ít bằng chứng cho thấy các nhà quản lý quỹ có thể khai thác những phát hiện này để đánh bại thị trường.</w:t>
      </w:r>
    </w:p>
    <w:p>
      <w:pPr>
        <w:pStyle w:val="Para 16"/>
        <w:keepLines w:val="on"/>
      </w:pPr>
      <w:r>
        <w:t>Có một số cách giải thích khả dĩ. Cách giải thích lành tính nhất là những sự kém hiệu quả này chủ yếu xuất hiện trong các nghiên cứu giả định, và rằng chi phí giao dịch cùng các vấn đề thực thi liên quan đến việc chuyển những sự kém hiệu quả này thành danh mục đầu tư lấn át lợi nhuận vượt trội. Cách giải thích thứ hai có thể là các nghiên cứu thường nhìn vào dài hạn; nhiều nghiên cứu kéo dài hơn 20–50 năm. Trong các giai đoạn ngắn hơn, có sự không chắc chắn lớn hơn đáng kể về việc liệu cổ phiếu nhỏ có vượt trội so với cổ phiếu lớn hay không và liệu mua cổ phiếu thua lỗ có tạo ra lợi nhuận vượt trội hay không. Không có chiến lược đầu tư nào là chắc chắn thắng trong các giai đoạn ngắn. Pradhuman (2000) minh họa hiện tượng này bằng cách lưu ý rằng cổ phiếu vốn hóa nhỏ đã kém hiệu quả hơn cổ phiếu vốn hóa lớn trong khoảng một trong mỗi bốn năm trong 50 năm qua. Bernstein (1995) lưu ý rằng trong khi đầu tư giá trị (mua cổ phiếu có PE thấp và giá trị sổ sách thấp) có thể kiếm được lợi nhuận vượt trội trong các giai đoạn dài, đầu tư tăng trưởng đã vượt trội so với đầu tư giá trị trong nhiều giai đoạn năm năm trong ba thập kỷ qua. Cách giải thích thứ ba là các nhà quản lý danh mục đầu tư không nhất quán tuân theo bất kỳ một chiến lược nào mà nhảy từ chiến lược này sang chiến lược khác, vừa làm tăng chi phí vừa làm giảm khả năng chiến lược đó có thể tạo ra lợi nhuận vượt trội trong dài hạn.</w:t>
      </w:r>
    </w:p>
    <w:p>
      <w:bookmarkStart w:id="996" w:name="Conclusion_5"/>
      <w:bookmarkStart w:id="997" w:name="Conclusion__The_question_of_whet"/>
      <w:pPr>
        <w:keepNext/>
        <w:pStyle w:val="Heading 2"/>
        <w:keepLines w:val="on"/>
      </w:pPr>
      <w:r>
        <w:t>Kết luận</w:t>
      </w:r>
      <w:bookmarkEnd w:id="996"/>
      <w:bookmarkEnd w:id="997"/>
    </w:p>
    <w:p>
      <w:pPr>
        <w:pStyle w:val="Para 03"/>
      </w:pPr>
      <w:r>
        <w:t>Câu hỏi liệu thị trường có hiệu quả hay không sẽ luôn là một câu hỏi gây tranh cãi, với những hàm ý mà thị trường hiệu quả có đối với quản lý đầu tư và nghiên cứu. Nếu một thị trường hiệu quả được định nghĩa là thị trường mà giá thị trường là một ước lượng không thiên lệch của giá trị thực, thì khá rõ ràng rằng một số thị trường sẽ luôn hiệu quả hơn những thị trường khác, và rằng thị trường sẽ luôn hiệu quả hơn đối với một số nhà đầu tư so với những nhà đầu tư khác. Khả năng của một thị trường trong việc điều chỉnh những sự kém hiệu quả một cách nhanh chóng sẽ phụ thuộc một phần vào mức độ dễ dàng giao dịch, chi phí giao dịch và sự cảnh giác của các nhà đầu tư tìm kiếm lợi nhuận trên thị trường đó.</w:t>
      </w:r>
    </w:p>
    <w:p>
      <w:pPr>
        <w:pStyle w:val="Para 03"/>
      </w:pPr>
      <w:r>
        <w:t>Mặc dù tính hiệu quả của thị trường có thể được kiểm định theo nhiều cách khác nhau, hai kiểm định được sử dụng rộng rãi nhất để kiểm tra tính hiệu quả là nghiên cứu sự kiện (event studies), xem xét phản ứng của thị trường đối với các sự kiện thông tin, và nghiên cứu danh mục đầu tư (portfolio studies), đánh giá lợi nhuận của các danh mục đầu tư được tạo ra trên cơ sở các đặc điểm có thể quan sát được. Việc cảnh giác là hợp lý, bởi vì thiên lệch có thể xâm nhập vào những nghiên cứu này, dù cố ý hay vô tình, theo nhiều cách khác nhau và có thể dẫn đến những kết luận không có căn cứ và, tệ hơn nữa, những chiến lược đầu tư lãng phí.</w:t>
      </w:r>
    </w:p>
    <w:p>
      <w:pPr>
        <w:pStyle w:val="Para 03"/>
      </w:pPr>
      <w:r>
        <w:t>Có bằng chứng đáng kể về những bất thường trong hành vi thị trường liên quan đến các yếu tố có hệ thống, như quy mô, tỷ lệ giá trên thu nhập và tỷ lệ giá trên giá trị sổ sách, cũng như liên quan đến thời gian—hiệu ứng tháng Giêng và hiệu ứng cuối tuần. Trong khi những bất thường này có thể là sự kém hiệu quả, cũng có bằng chứng tỉnh táo rằng các nhà quản lý quỹ chuyên nghiệp, những người có khả năng khai thác những sự kém hiệu quả này, lại gặp rất nhiều khó khăn để đánh bại thị trường tài chính một cách nhất quán. Đọc cùng nhau, sự dai dẳng của những bất thường và việc các nhà quản lý quỹ không thể đánh bại thị trường là bằng chứng cho khoảng cách giữa các kiểm định thực nghiệm trên giấy và việc quản lý tiền thực tế trong một số trường hợp, và sự thất bại của các mô hình rủi ro và lợi nhuận trong những trường hợp khác.</w:t>
      </w:r>
    </w:p>
    <w:p>
      <w:pPr>
        <w:pStyle w:val="Para 20"/>
      </w:pPr>
      <w:r>
        <w:rPr>
          <w:rStyle w:val="Text26"/>
        </w:rPr>
        <w:bookmarkStart w:id="998" w:name="Page_153"/>
        <w:t/>
        <w:bookmarkEnd w:id="998"/>
      </w:r>
      <w:r>
        <w:t xml:space="preserve"> </w:t>
      </w:r>
    </w:p>
    <w:p>
      <w:bookmarkStart w:id="999" w:name="Questions_and_Short_Problems__In_3"/>
      <w:bookmarkStart w:id="1000" w:name="Questions_and_Short_Problems_7"/>
      <w:pPr>
        <w:keepNext/>
        <w:pStyle w:val="Heading 2"/>
        <w:keepLines w:val="on"/>
      </w:pPr>
      <w:r>
        <w:t>Câu hỏi và bài tập ngắn</w:t>
      </w:r>
      <w:bookmarkEnd w:id="999"/>
      <w:bookmarkEnd w:id="1000"/>
    </w:p>
    <w:p>
      <w:pPr>
        <w:pStyle w:val="Para 44"/>
      </w:pPr>
      <w:r>
        <w:t>Trong các bài tập sau đây, hãy sử dụng mức bù rủi ro vốn cổ phần (equity risk premium) là 5,5 phần trăm nếu không có quy định nào khác.</w:t>
      </w:r>
    </w:p>
    <w:p>
      <w:pPr>
        <w:numPr>
          <w:ilvl w:val="0"/>
          <w:numId w:val="44"/>
        </w:numPr>
        <w:pStyle w:val="Para 01"/>
      </w:pPr>
      <w:r>
        <w:t>Điều nào sau đây là một hàm ý của tính hiệu quả của thị trường? (Có thể có nhiều hơn một câu trả lời đúng.)</w:t>
      </w:r>
    </w:p>
    <w:p>
      <w:pPr>
        <w:numPr>
          <w:ilvl w:val="1"/>
          <w:numId w:val="44"/>
        </w:numPr>
        <w:pStyle w:val="Para 01"/>
      </w:pPr>
      <w:r>
        <w:t>Các nguồn lực được phân bổ giữa các công ty một cách hiệu quả (tức là được sử dụng tốt nhất).</w:t>
      </w:r>
    </w:p>
    <w:p>
      <w:pPr>
        <w:numPr>
          <w:ilvl w:val="1"/>
          <w:numId w:val="44"/>
        </w:numPr>
        <w:pStyle w:val="Para 01"/>
      </w:pPr>
      <w:r>
        <w:t>Không nhà đầu tư nào sẽ làm tốt hơn thị trường trong bất kỳ giai đoạn thời gian nào.</w:t>
      </w:r>
    </w:p>
    <w:p>
      <w:pPr>
        <w:numPr>
          <w:ilvl w:val="1"/>
          <w:numId w:val="44"/>
        </w:numPr>
        <w:pStyle w:val="Para 01"/>
      </w:pPr>
      <w:r>
        <w:t>Không nhà đầu tư nào sẽ làm tốt hơn thị trường một cách nhất quán.</w:t>
      </w:r>
    </w:p>
    <w:p>
      <w:pPr>
        <w:numPr>
          <w:ilvl w:val="1"/>
          <w:numId w:val="44"/>
        </w:numPr>
        <w:pStyle w:val="Para 01"/>
      </w:pPr>
      <w:r>
        <w:t>Không nhà đầu tư nào sẽ làm tốt hơn thị trường một cách nhất quán sau khi điều chỉnh theo rủi ro.</w:t>
      </w:r>
    </w:p>
    <w:p>
      <w:pPr>
        <w:numPr>
          <w:ilvl w:val="1"/>
          <w:numId w:val="44"/>
        </w:numPr>
        <w:pStyle w:val="Para 01"/>
      </w:pPr>
      <w:r>
        <w:t>Không nhà đầu tư nào sẽ làm tốt hơn thị trường một cách nhất quán sau khi điều chỉnh theo rủi ro và chi phí giao dịch.</w:t>
      </w:r>
    </w:p>
    <w:p>
      <w:pPr>
        <w:numPr>
          <w:ilvl w:val="1"/>
          <w:numId w:val="44"/>
        </w:numPr>
        <w:pStyle w:val="Para 01"/>
      </w:pPr>
      <w:r>
        <w:t>Không nhóm nhà đầu tư nào sẽ làm tốt hơn thị trường một cách nhất quán sau khi điều chỉnh theo rủi ro và chi phí giao dịch.</w:t>
      </w:r>
    </w:p>
    <w:p>
      <w:pPr>
        <w:numPr>
          <w:ilvl w:val="0"/>
          <w:numId w:val="44"/>
        </w:numPr>
        <w:pStyle w:val="Para 01"/>
      </w:pPr>
      <w:r>
        <w:t>Giả sử bạn đang theo dõi một cổ phiếu bán lẻ có mô hình doanh số mang tính thời vụ mạnh. Bạn có kỳ vọng thấy một mô hình thời vụ trong giá cổ phiếu không?</w:t>
      </w:r>
    </w:p>
    <w:p>
      <w:pPr>
        <w:numPr>
          <w:ilvl w:val="0"/>
          <w:numId w:val="44"/>
        </w:numPr>
        <w:pStyle w:val="Para 01"/>
      </w:pPr>
      <w:r>
        <w:t>Các kiểm định tính hiệu quả của thị trường thường được gọi là các kiểm định kết hợp (joint tests) của hai giả thuyết—giả thuyết rằng thị trường là hiệu quả và một mô hình lợi nhuận kỳ vọng. Hãy giải thích. Liệu có bao giờ có thể kiểm định tính hiệu quả của thị trường một mình (tức là không kiểm định kết hợp với một mô hình định giá tài sản)?</w:t>
      </w:r>
    </w:p>
    <w:p>
      <w:pPr>
        <w:numPr>
          <w:ilvl w:val="0"/>
          <w:numId w:val="44"/>
        </w:numPr>
        <w:pStyle w:val="Para 01"/>
      </w:pPr>
      <w:r>
        <w:t>Bạn đang tranh cãi gay gắt với một nhà phân tích biểu đồ (chartist). Anh ta cho rằng bạn đang vi phạm các quy luật cơ bản của kinh tế học khi cố gắng tìm giá trị nội tại. "Giá được quyết định bởi cung và cầu, không phải bởi một giá trị nội tại nào đó." Liệu việc tìm giá trị nội tại có mâu thuẫn với cung và cầu không?</w:t>
      </w:r>
    </w:p>
    <w:p>
      <w:pPr>
        <w:numPr>
          <w:ilvl w:val="0"/>
          <w:numId w:val="44"/>
        </w:numPr>
        <w:pStyle w:val="Para 01"/>
      </w:pPr>
      <w:r>
        <w:t>Bạn đang kiểm định tác động của các thông báo sáp nhập lên giá cổ phiếu. (Đây là một nghiên cứu sự kiện.) Quy trình của bạn trải qua các bước sau:</w:t>
      </w:r>
    </w:p>
    <w:p>
      <w:pPr>
        <w:pStyle w:val="Para 03"/>
      </w:pPr>
      <w:r>
        <w:t>Bước 1: Bạn chọn 20 vụ sáp nhập lớn nhất trong năm.</w:t>
      </w:r>
    </w:p>
    <w:p>
      <w:pPr>
        <w:pStyle w:val="Para 03"/>
      </w:pPr>
      <w:r>
        <w:t>Bước 2: Bạn xác định ngày sáp nhập có hiệu lực là ngày then chốt mà xung quanh đó bạn sẽ xem xét dữ liệu.</w:t>
      </w:r>
    </w:p>
    <w:p>
      <w:pPr>
        <w:pStyle w:val="Para 03"/>
      </w:pPr>
      <w:r>
        <w:t>Bước 3: Bạn xem xét lợi nhuận trong năm ngày sau ngày sáp nhập có hiệu lực.</w:t>
      </w:r>
    </w:p>
    <w:p>
      <w:pPr>
        <w:pStyle w:val="Para 03"/>
      </w:pPr>
      <w:r>
        <w:t>Khi nhìn vào những mức lợi nhuận này (0,13%), bạn kết luận rằng bạn lẽ ra không thể kiếm được tiền từ các thông báo sáp nhập. Liệu bạn có phát hiện ra sai sót nào trong bài kiểm tra này không? Bạn sẽ sửa chúng như thế nào? Bạn có thể nghĩ ra một bài kiểm tra mạnh mẽ hơn không?</w:t>
      </w:r>
    </w:p>
    <w:p>
      <w:pPr>
        <w:numPr>
          <w:ilvl w:val="0"/>
          <w:numId w:val="44"/>
        </w:numPr>
        <w:pStyle w:val="Para 01"/>
      </w:pPr>
      <w:r>
        <w:t>Trong một thị trường hiệu quả, giá thị trường được định nghĩa là một "ước lượng không thiên lệch" (unbiased estimate) về giá trị thực. Điều này ngụ ý rằng (chọn một):</w:t>
      </w:r>
    </w:p>
    <w:p>
      <w:pPr>
        <w:numPr>
          <w:ilvl w:val="1"/>
          <w:numId w:val="44"/>
        </w:numPr>
        <w:pStyle w:val="Para 01"/>
      </w:pPr>
      <w:r>
        <w:t>Giá thị trường luôn bằng giá trị thực.</w:t>
      </w:r>
    </w:p>
    <w:p>
      <w:pPr>
        <w:numPr>
          <w:ilvl w:val="1"/>
          <w:numId w:val="44"/>
        </w:numPr>
        <w:pStyle w:val="Para 01"/>
      </w:pPr>
      <w:r>
        <w:t>Giá thị trường không liên quan gì đến giá trị thực.</w:t>
      </w:r>
    </w:p>
    <w:p>
      <w:pPr>
        <w:numPr>
          <w:ilvl w:val="1"/>
          <w:numId w:val="44"/>
        </w:numPr>
        <w:pStyle w:val="Para 01"/>
      </w:pPr>
      <w:r>
        <w:t>Thị trường mắc sai lầm về giá trị thực, và nhà đầu tư có thể khai thác những sai lầm này để kiếm tiền.</w:t>
      </w:r>
    </w:p>
    <w:p>
      <w:pPr>
        <w:numPr>
          <w:ilvl w:val="1"/>
          <w:numId w:val="44"/>
        </w:numPr>
        <w:pStyle w:val="Para 01"/>
      </w:pPr>
      <w:r>
        <w:t>Giá thị trường có chứa sai số, nhưng các sai số này là ngẫu nhiên và do đó nhà đầu tư không thể khai thác được.</w:t>
      </w:r>
    </w:p>
    <w:p>
      <w:pPr>
        <w:numPr>
          <w:ilvl w:val="1"/>
          <w:numId w:val="44"/>
        </w:numPr>
        <w:pStyle w:val="Para 01"/>
      </w:pPr>
      <w:r>
        <w:t>Không ai có thể đánh bại thị trường.</w:t>
      </w:r>
    </w:p>
    <w:p>
      <w:pPr>
        <w:numPr>
          <w:ilvl w:val="0"/>
          <w:numId w:val="44"/>
        </w:numPr>
        <w:pStyle w:val="Para 01"/>
      </w:pPr>
      <w:r>
        <w:t>Đánh giá xem liệu những hành động sau đây có khả năng làm tăng tính hiệu quả của thị trường chứng khoán, làm giảm nó, hay giữ nguyên không đổi, và giải thích lý do.</w:t>
      </w:r>
    </w:p>
    <w:p>
      <w:pPr>
        <w:numPr>
          <w:ilvl w:val="1"/>
          <w:numId w:val="44"/>
        </w:numPr>
        <w:pStyle w:val="Para 01"/>
      </w:pPr>
      <w:r>
        <w:t>Chính phủ áp đặt thuế giao dịch 1% lên tất cả các giao dịch cổ phiếu.</w:t>
      </w:r>
    </w:p>
    <w:p>
      <w:pPr>
        <w:pStyle w:val="Para 03"/>
      </w:pPr>
      <w:r>
        <w:t>Tăng tính hiệu quả _______ Giảm tính hiệu quả _______ Giữ nguyên không đổi _____</w:t>
      </w:r>
    </w:p>
    <w:p>
      <w:pPr>
        <w:numPr>
          <w:ilvl w:val="1"/>
          <w:numId w:val="44"/>
        </w:numPr>
        <w:pStyle w:val="Para 01"/>
      </w:pPr>
      <w:r>
        <w:t>Cơ quan quản lý sở giao dịch chứng khoán áp đặt hạn chế lên tất cả các giao dịch bán khống (short sales) để ngăn chặn đầu cơ tràn lan.</w:t>
      </w:r>
    </w:p>
    <w:p>
      <w:pPr>
        <w:pStyle w:val="Para 03"/>
      </w:pPr>
      <w:r>
        <w:t>Tăng tính hiệu quả _______ Giảm tính hiệu quả _______ Giữ nguyên không đổi _____</w:t>
      </w:r>
    </w:p>
    <w:p>
      <w:pPr>
        <w:numPr>
          <w:ilvl w:val="1"/>
          <w:numId w:val="44"/>
        </w:numPr>
        <w:pStyle w:val="Para 01"/>
      </w:pPr>
      <w:r>
        <w:t>Một thị trường quyền chọn (options market), giao dịch quyền chọn mua (call options) và quyền chọn bán (put options), được mở ra, với các quyền chọn được giao dịch trên nhiều cổ phiếu niêm yết trên sàn.</w:t>
      </w:r>
    </w:p>
    <w:p>
      <w:pPr>
        <w:pStyle w:val="Para 03"/>
      </w:pPr>
      <w:r>
        <w:t>Tăng tính hiệu quả _______ Giảm tính hiệu quả _______ Giữ nguyên không đổi _____</w:t>
      </w:r>
    </w:p>
    <w:p>
      <w:pPr>
        <w:numPr>
          <w:ilvl w:val="1"/>
          <w:numId w:val="44"/>
        </w:numPr>
        <w:pStyle w:val="Para 01"/>
      </w:pPr>
      <w:r>
        <w:t>Thị trường chứng khoán gỡ bỏ mọi hạn chế đối với nhà đầu tư nước ngoài trong việc mua và nắm giữ cổ phiếu của các công ty.</w:t>
      </w:r>
    </w:p>
    <w:p>
      <w:pPr>
        <w:pStyle w:val="Para 03"/>
      </w:pPr>
      <w:r>
        <w:t>Tăng tính hiệu quả _______ Giảm tính hiệu quả _______ Giữ nguyên không đổi _____</w:t>
      </w:r>
    </w:p>
    <w:p>
      <w:pPr>
        <w:numPr>
          <w:ilvl w:val="0"/>
          <w:numId w:val="44"/>
        </w:numPr>
        <w:pStyle w:val="Para 01"/>
      </w:pPr>
      <w:r>
        <w:t>Sau đây là một đồ thị về lợi nhuận bất thường tích lũy (cumulative abnormal returns) xung quanh thời điểm công bố việc thoái vốn tài sản (asset divestitures) của các tập đoàn lớn.</w:t>
      </w:r>
    </w:p>
    <w:p>
      <w:bookmarkStart w:id="1002" w:name="UF4"/>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333500" cy="977900"/>
            <wp:effectExtent l="0" r="0" t="0" b="0"/>
            <wp:wrapTopAndBottom/>
            <wp:docPr id="60" name="c06un004.png" descr="Line graph plots the cumulative abnormal returns around the announcement of asset divestitures over time."/>
            <wp:cNvGraphicFramePr>
              <a:graphicFrameLocks noChangeAspect="1"/>
            </wp:cNvGraphicFramePr>
            <a:graphic>
              <a:graphicData uri="http://schemas.openxmlformats.org/drawingml/2006/picture">
                <pic:pic>
                  <pic:nvPicPr>
                    <pic:cNvPr id="0" name="c06un004.png" descr="Line graph plots the cumulative abnormal returns around the announcement of asset divestitures over time."/>
                    <pic:cNvPicPr/>
                  </pic:nvPicPr>
                  <pic:blipFill>
                    <a:blip r:embed="rId55"/>
                    <a:stretch>
                      <a:fillRect/>
                    </a:stretch>
                  </pic:blipFill>
                  <pic:spPr>
                    <a:xfrm>
                      <a:off x="0" y="0"/>
                      <a:ext cx="1333500" cy="977900"/>
                    </a:xfrm>
                    <a:prstGeom prst="rect">
                      <a:avLst/>
                    </a:prstGeom>
                  </pic:spPr>
                </pic:pic>
              </a:graphicData>
            </a:graphic>
          </wp:anchor>
        </w:drawing>
      </w:r>
      <w:bookmarkEnd w:id="1002"/>
    </w:p>
    <w:p>
      <w:pPr>
        <w:pStyle w:val="Para 03"/>
      </w:pPr>
      <w:r>
        <w:t>Bạn sẽ giải thích điều sau đây một cách thuyết phục nhất như thế nào:</w:t>
      </w:r>
    </w:p>
    <w:p>
      <w:pPr>
        <w:numPr>
          <w:ilvl w:val="1"/>
          <w:numId w:val="44"/>
        </w:numPr>
        <w:pStyle w:val="Para 01"/>
      </w:pPr>
      <w:r>
        <w:t>Hành vi thị trường trước khi công bố?</w:t>
      </w:r>
    </w:p>
    <w:p>
      <w:pPr>
        <w:numPr>
          <w:ilvl w:val="1"/>
          <w:numId w:val="44"/>
        </w:numPr>
        <w:pStyle w:val="Para 01"/>
      </w:pPr>
      <w:r>
        <w:t>Phản ứng thị trường đối với việc công bố?</w:t>
      </w:r>
    </w:p>
    <w:p>
      <w:pPr>
        <w:numPr>
          <w:ilvl w:val="1"/>
          <w:numId w:val="44"/>
        </w:numPr>
        <w:pStyle w:val="Para 01"/>
      </w:pPr>
      <w:r>
        <w:t>Phản ứng thị trường sau khi công bố?</w:t>
      </w:r>
    </w:p>
    <w:p>
      <w:pPr>
        <w:numPr>
          <w:ilvl w:val="0"/>
          <w:numId w:val="44"/>
        </w:numPr>
        <w:pStyle w:val="Para 01"/>
      </w:pPr>
      <w:r>
        <w:t>Hiện tượng hiệu ứng quy mô (size effect) trong hiệu suất cổ phiếu là gì? Nó liên quan như thế nào đến hiệu ứng chuyển giao năm mới (turn-of-the-year effect)? Bạn có thể đề xuất lý do chính đáng nào giải thích tại sao các cổ phiếu nhỏ, sau khi điều chỉnh theo beta, vẫn hoạt động tốt hơn các cổ phiếu lớn không? Bạn sẽ theo đuổi chiến lược nào để khai thác sự bất thường (anomaly) này? Bạn phải ghi nhớ những yếu tố nào?</w:t>
      </w:r>
    </w:p>
    <w:p>
      <w:pPr>
        <w:numPr>
          <w:ilvl w:val="0"/>
          <w:numId w:val="44"/>
        </w:numPr>
        <w:pStyle w:val="Para 01"/>
      </w:pPr>
      <w:r>
        <w:t>Một nghiên cứu xem xét phản ứng thị trường đối với các bất ngờ về thu nhập (earnings surprises) phát hiện rằng giá có xu hướng trôi dạt (drift) sau các bất ngờ về thu nhập. Điều này cho bạn biết gì về khả năng học hỏi từ các sự kiện và thông tin mới của thị trường? Bạn sẽ kỳ vọng tìm thấy những khác biệt cắt ngang (cross-sectional differences) nào trong hành vi học hỏi này? (Bạn có kỳ vọng thấy mức trôi dạt giá lớn hơn ở một số loại công ty so với những công ty khác không? Tại sao?) Bạn sẽ cố gắng khai thác sự bất thường này như thế nào? Bạn phải ghi nhớ những chi phí tiềm ẩn nào?</w:t>
      </w:r>
    </w:p>
    <w:p>
      <w:pPr>
        <w:numPr>
          <w:ilvl w:val="0"/>
          <w:numId w:val="44"/>
        </w:numPr>
        <w:pStyle w:val="Para 01"/>
      </w:pPr>
      <w:r>
        <w:t>Một cách giải thích cho hiệu ứng chuyển giao năm mới hay hiệu ứng tháng Giêng (January effect) liên quan đến việc mua bán gắn với năm tính thuế.</w:t>
      </w:r>
    </w:p>
    <w:p>
      <w:pPr>
        <w:numPr>
          <w:ilvl w:val="1"/>
          <w:numId w:val="44"/>
        </w:numPr>
        <w:pStyle w:val="Para 01"/>
      </w:pPr>
      <w:r>
        <w:t>Hãy trình bày giả thuyết hiệu ứng thuế (tax effect hypothesis).</w:t>
      </w:r>
    </w:p>
    <w:p>
      <w:pPr>
        <w:numPr>
          <w:ilvl w:val="1"/>
          <w:numId w:val="44"/>
        </w:numPr>
        <w:pStyle w:val="Para 01"/>
      </w:pPr>
      <w:r>
        <w:t>Các nghiên cứu đã chỉ ra rằng hiệu ứng tháng Giêng xuất hiện trên toàn thế giới, ngay cả ở những quốc gia mà năm tài chính không bắt đầu vào tháng Giêng. Hãy suy đoán một lý do hợp lý cho điều này.</w:t>
      </w:r>
    </w:p>
    <w:p>
      <w:pPr>
        <w:numPr>
          <w:ilvl w:val="0"/>
          <w:numId w:val="44"/>
        </w:numPr>
        <w:pStyle w:val="Para 01"/>
      </w:pPr>
      <w:r>
        <w:t>Dưới đây là các thành phần lợi nhuận kỳ vọng gồm mức tăng giá và lợi suất cổ tức của hai danh mục đầu tư—một danh mục có lợi suất cổ tức cao và một danh mục có lợi suất cổ tức thấp.</w:t>
      </w:r>
    </w:p>
    <w:tbl>
      <w:tblPr>
        <w:tblW w:type="auto" w:w="0"/>
      </w:tblPr>
      <w:tr>
        <w:tc>
          <w:tcPr>
            <w:tcW w:type="auto" w:w="0"/>
          </w:tcPr>
          <w:tbl>
            <w:tblPr>
              <w:tblW w:type="auto" w:w="0"/>
            </w:tblPr>
            <w:tr>
              <w:tc>
                <w:tcPr>
                  <w:tcW w:type="auto" w:w="0"/>
                  <w:shd w:val="clear" w:color="auto" w:fill="F0F0F0"/>
                </w:tcPr>
                <w:p>
                  <w:pPr>
                    <w:pStyle w:val="Para 29"/>
                    <w:keepLines w:val="on"/>
                  </w:pPr>
                  <w:r>
                    <w:t>Danh mục</w:t>
                  </w:r>
                </w:p>
              </w:tc>
              <w:tc>
                <w:tcPr>
                  <w:tcW w:type="auto" w:w="0"/>
                  <w:shd w:val="clear" w:color="auto" w:fill="F0F0F0"/>
                </w:tcPr>
                <w:p>
                  <w:pPr>
                    <w:pStyle w:val="Para 17"/>
                    <w:keepLines w:val="on"/>
                  </w:pPr>
                  <w:r>
                    <w:t>Mức tăng giá kỳ vọng</w:t>
                  </w:r>
                </w:p>
              </w:tc>
              <w:tc>
                <w:tcPr>
                  <w:tcW w:type="auto" w:w="0"/>
                  <w:shd w:val="clear" w:color="auto" w:fill="F0F0F0"/>
                </w:tcPr>
                <w:p>
                  <w:pPr>
                    <w:pStyle w:val="Para 17"/>
                    <w:keepLines w:val="on"/>
                  </w:pPr>
                  <w:r>
                    <w:t>Lợi suất cổ tức kỳ vọng</w:t>
                  </w:r>
                </w:p>
              </w:tc>
            </w:tr>
            <w:tr>
              <w:tc>
                <w:tcPr>
                  <w:tcW w:type="auto" w:w="0"/>
                  <w:shd w:val="clear" w:color="auto" w:fill="F0F0F0"/>
                </w:tcPr>
                <w:p>
                  <w:pPr>
                    <w:pStyle w:val="Para 02"/>
                    <w:keepLines w:val="on"/>
                  </w:pPr>
                  <w:r>
                    <w:t>Lợi suất cao</w:t>
                  </w:r>
                </w:p>
              </w:tc>
              <w:tc>
                <w:tcPr>
                  <w:tcW w:type="auto" w:w="0"/>
                  <w:shd w:val="clear" w:color="auto" w:fill="F0F0F0"/>
                </w:tcPr>
                <w:p>
                  <w:pPr>
                    <w:pStyle w:val="Normal"/>
                    <w:keepLines w:val="on"/>
                  </w:pPr>
                  <w:r>
                    <w:t>9%</w:t>
                  </w:r>
                </w:p>
              </w:tc>
              <w:tc>
                <w:tcPr>
                  <w:tcW w:type="auto" w:w="0"/>
                  <w:shd w:val="clear" w:color="auto" w:fill="F0F0F0"/>
                </w:tcPr>
                <w:p>
                  <w:pPr>
                    <w:pStyle w:val="Normal"/>
                    <w:keepLines w:val="on"/>
                  </w:pPr>
                  <w:r>
                    <w:t>5%</w:t>
                  </w:r>
                </w:p>
              </w:tc>
            </w:tr>
            <w:tr>
              <w:tc>
                <w:tcPr>
                  <w:tcW w:type="auto" w:w="0"/>
                  <w:shd w:val="clear" w:color="auto" w:fill="F0F0F0"/>
                </w:tcPr>
                <w:p>
                  <w:pPr>
                    <w:pStyle w:val="Para 02"/>
                    <w:keepLines w:val="on"/>
                  </w:pPr>
                  <w:r>
                    <w:t>Lợi suất thấp</w:t>
                  </w:r>
                </w:p>
              </w:tc>
              <w:tc>
                <w:tcPr>
                  <w:tcW w:type="auto" w:w="0"/>
                  <w:shd w:val="clear" w:color="auto" w:fill="F0F0F0"/>
                </w:tcPr>
                <w:p>
                  <w:pPr>
                    <w:pStyle w:val="Normal"/>
                    <w:keepLines w:val="on"/>
                  </w:pPr>
                  <w:r>
                    <w:t>12%</w:t>
                  </w:r>
                </w:p>
              </w:tc>
              <w:tc>
                <w:tcPr>
                  <w:tcW w:type="auto" w:w="0"/>
                  <w:shd w:val="clear" w:color="auto" w:fill="F0F0F0"/>
                </w:tcPr>
                <w:p>
                  <w:pPr>
                    <w:pStyle w:val="Normal"/>
                    <w:keepLines w:val="on"/>
                  </w:pPr>
                  <w:r>
                    <w:t>1%</w:t>
                  </w:r>
                </w:p>
              </w:tc>
            </w:tr>
          </w:tbl>
          <w:p/>
        </w:tc>
      </w:tr>
    </w:tbl>
    <w:p>
      <w:pPr>
        <w:pStyle w:val="Para 03"/>
      </w:pPr>
      <w:r>
        <w:t>Bạn là một nhà đầu tư phải chịu thuế với mức thuế suất 40% trên cổ tức. Mức thuế suất của bạn đối với lãi vốn cần phải là bao nhiêu để bạn thấy bàng quan giữa hai danh mục đầu tư này?</w:t>
      </w:r>
    </w:p>
    <w:p>
      <w:pPr>
        <w:numPr>
          <w:ilvl w:val="0"/>
          <w:numId w:val="44"/>
        </w:numPr>
        <w:pStyle w:val="Para 01"/>
      </w:pPr>
      <w:r>
        <w:t>Hãy trả lời đúng hay sai cho các câu hỏi sau:</w:t>
      </w:r>
    </w:p>
    <w:p>
      <w:pPr>
        <w:numPr>
          <w:ilvl w:val="1"/>
          <w:numId w:val="44"/>
        </w:numPr>
        <w:pStyle w:val="Para 01"/>
      </w:pPr>
      <w:r>
        <w:t>Cổ phiếu có tỷ lệ giá trên thu nhập (price-earnings) thấp, trung bình, mang lại lợi nhuận vượt kỳ vọng, trong khi cổ phiếu có tỷ lệ giá trên thu nhập cao mang lại lợi nhuận thấp hơn kỳ vọng. Điều này chủ yếu là do cổ phiếu có tỷ lệ PE thấp hơn có rủi ro thấp hơn.</w:t>
      </w:r>
    </w:p>
    <w:p>
      <w:pPr>
        <w:pStyle w:val="Para 03"/>
      </w:pPr>
      <w:r>
        <w:t>Đúng _______ Sai _______</w:t>
      </w:r>
    </w:p>
    <w:p>
      <w:pPr>
        <w:numPr>
          <w:ilvl w:val="1"/>
          <w:numId w:val="44"/>
        </w:numPr>
        <w:pStyle w:val="Para 01"/>
      </w:pPr>
      <w:r>
        <w:t>Hiệu ứng công ty nhỏ, tức là việc các công ty nhỏ trung bình đạt được lợi nhuận vượt trội dương, chủ yếu là do một vài công ty nhỏ đạt được lợi nhuận dương rất cao.</w:t>
      </w:r>
    </w:p>
    <w:p>
      <w:pPr>
        <w:pStyle w:val="Para 03"/>
      </w:pPr>
      <w:r>
        <w:t>Đúng _______ Sai _______</w:t>
      </w:r>
    </w:p>
    <w:p>
      <w:pPr>
        <w:numPr>
          <w:ilvl w:val="1"/>
          <w:numId w:val="44"/>
        </w:numPr>
        <w:pStyle w:val="Para 01"/>
      </w:pPr>
      <w:r>
        <w:t>Nhà đầu tư nói chung không thể kiếm tiền từ các khuyến nghị của chuyên gia phân tích, vì giá cổ phiếu không bị ảnh hưởng bởi những khuyến nghị này.</w:t>
      </w:r>
    </w:p>
    <w:p>
      <w:pPr>
        <w:pStyle w:val="Para 03"/>
      </w:pPr>
      <w:r>
        <w:t>Đúng _______ Sai _______</w:t>
      </w:r>
    </w:p>
    <w:p>
      <w:pPr>
        <w:numPr>
          <w:ilvl w:val="0"/>
          <w:numId w:val="44"/>
        </w:numPr>
        <w:pStyle w:val="Para 01"/>
      </w:pPr>
      <w:r>
        <w:t>Bạn đang xem xét hiệu quả hoạt động của hai quỹ tương hỗ. Quỹ AD Value Fund đã tồn tại từ ngày 1 tháng 1 năm 1988, và chủ yếu đầu tư vào các cổ phiếu có tỷ lệ giá trên thu nhập thấp và lợi suất cổ tức cao. Quỹ AD Growth Fund cũng đã tồn tại từ ngày 1 tháng 1 năm 1988, nhưng chủ yếu đầu tư vào các cổ phiếu tăng trưởng cao, với tỷ lệ PE cao và cổ tức thấp hoặc không có. Hiệu quả hoạt động của các quỹ này trong năm năm qua được tóm tắt như sau:</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hMerge w:val="restart"/>
                </w:tcPr>
                <w:p>
                  <w:pPr>
                    <w:pStyle w:val="Para 05"/>
                    <w:keepLines w:val="on"/>
                  </w:pPr>
                  <w:r>
                    <w:t>Trung bình từ 1988−1992</w:t>
                  </w:r>
                </w:p>
              </w:tc>
              <w:tc>
                <w:tcPr>
                  <w:hMerge w:val="continue"/>
                </w:tcPr>
                <w:p/>
              </w:tc>
              <w:tc>
                <w:tcPr>
                  <w:hMerge w:val="continue"/>
                </w:tcPr>
                <w:p/>
              </w:tc>
            </w:tr>
            <w:tr>
              <w:tc>
                <w:tcPr>
                  <w:tcW w:type="auto" w:w="0"/>
                  <w:shd w:val="clear" w:color="auto" w:fill="F0F0F0"/>
                </w:tcPr>
                <w:p>
                  <w:pPr>
                    <w:pStyle w:val="5 Block"/>
                    <w:keepLines w:val="on"/>
                  </w:pPr>
                </w:p>
              </w:tc>
              <w:tc>
                <w:tcPr>
                  <w:tcW w:type="auto" w:w="0"/>
                  <w:shd w:val="clear" w:color="auto" w:fill="F0F0F0"/>
                </w:tcPr>
                <w:p>
                  <w:pPr>
                    <w:pStyle w:val="Para 05"/>
                    <w:keepLines w:val="on"/>
                  </w:pPr>
                  <w:r>
                    <w:t>Mức tăng giá</w:t>
                  </w:r>
                </w:p>
              </w:tc>
              <w:tc>
                <w:tcPr>
                  <w:tcW w:type="auto" w:w="0"/>
                  <w:shd w:val="clear" w:color="auto" w:fill="F0F0F0"/>
                </w:tcPr>
                <w:p>
                  <w:pPr>
                    <w:pStyle w:val="Para 05"/>
                    <w:keepLines w:val="on"/>
                  </w:pPr>
                  <w:r>
                    <w:t>Lợi suất cổ tức</w:t>
                  </w:r>
                </w:p>
              </w:tc>
              <w:tc>
                <w:tcPr>
                  <w:tcW w:type="auto" w:w="0"/>
                  <w:shd w:val="clear" w:color="auto" w:fill="F0F0F0"/>
                </w:tcPr>
                <w:p>
                  <w:pPr>
                    <w:pStyle w:val="Para 05"/>
                    <w:keepLines w:val="on"/>
                  </w:pPr>
                  <w:r>
                    <w:t>Beta</w:t>
                  </w:r>
                </w:p>
              </w:tc>
            </w:tr>
            <w:tr>
              <w:tc>
                <w:tcPr>
                  <w:tcW w:type="auto" w:w="0"/>
                  <w:shd w:val="clear" w:color="auto" w:fill="F0F0F0"/>
                </w:tcPr>
                <w:p>
                  <w:pPr>
                    <w:pStyle w:val="Para 02"/>
                    <w:keepLines w:val="on"/>
                  </w:pPr>
                  <w:r>
                    <w:t>NYSE Composite</w:t>
                  </w:r>
                </w:p>
              </w:tc>
              <w:tc>
                <w:tcPr>
                  <w:tcW w:type="auto" w:w="0"/>
                  <w:shd w:val="clear" w:color="auto" w:fill="F0F0F0"/>
                </w:tcPr>
                <w:p>
                  <w:pPr>
                    <w:pStyle w:val="Normal"/>
                    <w:keepLines w:val="on"/>
                  </w:pPr>
                  <w:r>
                    <w:t>13%</w:t>
                  </w:r>
                </w:p>
              </w:tc>
              <w:tc>
                <w:tcPr>
                  <w:tcW w:type="auto" w:w="0"/>
                  <w:shd w:val="clear" w:color="auto" w:fill="F0F0F0"/>
                </w:tcPr>
                <w:p>
                  <w:pPr>
                    <w:pStyle w:val="Normal"/>
                    <w:keepLines w:val="on"/>
                  </w:pPr>
                  <w:r>
                    <w:t>3%</w:t>
                  </w:r>
                </w:p>
              </w:tc>
              <w:tc>
                <w:tcPr>
                  <w:tcW w:type="auto" w:w="0"/>
                  <w:shd w:val="clear" w:color="auto" w:fill="F0F0F0"/>
                </w:tcPr>
                <w:p>
                  <w:pPr>
                    <w:pStyle w:val="Normal"/>
                    <w:keepLines w:val="on"/>
                  </w:pPr>
                  <w:r>
                    <w:t>1.0</w:t>
                  </w:r>
                </w:p>
              </w:tc>
            </w:tr>
            <w:tr>
              <w:tc>
                <w:tcPr>
                  <w:tcW w:type="auto" w:w="0"/>
                  <w:shd w:val="clear" w:color="auto" w:fill="F0F0F0"/>
                </w:tcPr>
                <w:p>
                  <w:pPr>
                    <w:pStyle w:val="Para 02"/>
                    <w:keepLines w:val="on"/>
                  </w:pPr>
                  <w:r>
                    <w:t>Giá trị AD</w:t>
                  </w:r>
                </w:p>
              </w:tc>
              <w:tc>
                <w:tcPr>
                  <w:tcW w:type="auto" w:w="0"/>
                  <w:shd w:val="clear" w:color="auto" w:fill="F0F0F0"/>
                </w:tcPr>
                <w:p>
                  <w:pPr>
                    <w:pStyle w:val="Normal"/>
                    <w:keepLines w:val="on"/>
                  </w:pPr>
                  <w:r>
                    <w:t>11%</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0.8</w:t>
                  </w:r>
                </w:p>
              </w:tc>
            </w:tr>
            <w:tr>
              <w:tc>
                <w:tcPr>
                  <w:tcW w:type="auto" w:w="0"/>
                  <w:shd w:val="clear" w:color="auto" w:fill="F0F0F0"/>
                </w:tcPr>
                <w:p>
                  <w:pPr>
                    <w:pStyle w:val="Para 02"/>
                    <w:keepLines w:val="on"/>
                  </w:pPr>
                  <w:r>
                    <w:t>Tăng trưởng AD</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w:t>
                  </w:r>
                </w:p>
              </w:tc>
              <w:tc>
                <w:tcPr>
                  <w:tcW w:type="auto" w:w="0"/>
                  <w:shd w:val="clear" w:color="auto" w:fill="F0F0F0"/>
                </w:tcPr>
                <w:p>
                  <w:pPr>
                    <w:pStyle w:val="Normal"/>
                    <w:keepLines w:val="on"/>
                  </w:pPr>
                  <w:r>
                    <w:t>1.2</w:t>
                  </w:r>
                </w:p>
              </w:tc>
            </w:tr>
          </w:tbl>
          <w:p/>
        </w:tc>
      </w:tr>
    </w:tbl>
    <w:p>
      <w:pPr>
        <w:pStyle w:val="Para 03"/>
      </w:pPr>
      <w:r>
        <w:t>Lãi suất phi rủi ro trung bình trong giai đoạn này là 6%. Lãi suất phi rủi ro hiện tại là 3%.</w:t>
      </w:r>
    </w:p>
    <w:p>
      <w:pPr>
        <w:numPr>
          <w:ilvl w:val="1"/>
          <w:numId w:val="44"/>
        </w:numPr>
        <w:pStyle w:val="Para 01"/>
      </w:pPr>
      <w:r>
        <w:t>Các quỹ này đã hoạt động tốt hay kém như thế nào sau khi điều chỉnh theo rủi ro?</w:t>
      </w:r>
    </w:p>
    <w:p>
      <w:pPr>
        <w:numPr>
          <w:ilvl w:val="1"/>
          <w:numId w:val="44"/>
        </w:numPr>
        <w:pStyle w:val="Para 01"/>
      </w:pPr>
      <w:r>
        <w:t>Giả sử phí trả trước (front-end load) của mỗi quỹ này là 5% (tức là, nếu bạn đặt 1.000 đô la vào mỗi quỹ trong số này ngày hôm nay, bạn sẽ chỉ thực sự đầu tư 950 đô la sau khoản hoa hồng ban đầu). Cũng giả sử rằng phần lợi nhuận vượt trội (excess returns) mà bạn đã tính ở phần (a) sẽ tiếp tục trong tương lai, và bạn chọn đầu tư vào quỹ đã vượt trội so với thị trường. Bạn sẽ phải nắm giữ quỹ này bao nhiêu năm để hòa vốn?</w:t>
      </w:r>
    </w:p>
    <w:p>
      <w:pPr>
        <w:pStyle w:val="Para 20"/>
      </w:pPr>
      <w:r>
        <w:rPr>
          <w:rStyle w:val="Text26"/>
        </w:rPr>
        <w:bookmarkStart w:id="1004" w:name="Page_156"/>
        <w:t/>
        <w:bookmarkEnd w:id="1004"/>
      </w:r>
      <w:r>
        <w:t xml:space="preserve"> </w:t>
      </w:r>
    </w:p>
    <w:p>
      <w:bookmarkStart w:id="1005" w:name="Notes_5"/>
      <w:bookmarkStart w:id="1006" w:name="Notes__1_Since_returns_are_posit"/>
      <w:pPr>
        <w:keepNext/>
        <w:pStyle w:val="Heading 2"/>
        <w:keepLines w:val="on"/>
      </w:pPr>
      <w:r>
        <w:t>Ghi chú</w:t>
      </w:r>
      <w:bookmarkEnd w:id="1005"/>
      <w:bookmarkEnd w:id="1006"/>
    </w:p>
    <w:p>
      <w:pPr>
        <w:pStyle w:val="Para 08"/>
      </w:pPr>
      <w:r>
        <w:t>1 Vì lợi nhuận có xu hướng lệch dương (positively skewed) — nghĩa là lợi nhuận dương lớn có khả năng xảy ra cao hơn lợi nhuận âm lớn (bạn không thể mất hơn 100% trên một cổ phiếu) — nên có lẽ chưa đến một nửa số nhà đầu tư sẽ đánh bại được thị trường.</w:t>
      </w:r>
    </w:p>
    <w:p>
      <w:pPr>
        <w:pStyle w:val="Para 08"/>
      </w:pPr>
      <w:r>
        <w:t>2 Một trong những bằng chứng lâu bền chống lại tính hiệu quả của thị trường nằm ở thành tích mà nhiều nhà đầu tư học được bài học từ Benjamin Graham vào những năm 1950 đã đạt được. Không có thống kê xác suất nào có thể giải thích được sự nhất quán và ưu việt trong thành tích của họ.</w:t>
      </w:r>
    </w:p>
    <w:p>
      <w:pPr>
        <w:pStyle w:val="Para 08"/>
      </w:pPr>
      <w:r>
        <w:t>3 Trong hầu hết các giao dịch tài chính, ngày công bố thường diễn ra trước ngày sự kiện vài ngày, và đôi khi là vài tuần.</w:t>
      </w:r>
    </w:p>
    <w:p>
      <w:pPr>
        <w:pStyle w:val="Para 08"/>
      </w:pPr>
      <w:r>
        <w:t>4 Các mức ý nghĩa chuẩn cho thống kê t là:</w:t>
      </w:r>
    </w:p>
    <w:tbl>
      <w:tblPr>
        <w:tblW w:type="auto" w:w="0"/>
      </w:tblPr>
      <w:tr>
        <w:tc>
          <w:tcPr>
            <w:tcW w:type="auto" w:w="0"/>
          </w:tcPr>
          <w:tbl>
            <w:tblPr>
              <w:tblW w:type="auto" w:w="0"/>
            </w:tblPr>
            <w:tr>
              <w:tc>
                <w:tcPr>
                  <w:tcW w:type="auto" w:w="0"/>
                  <w:shd w:val="clear" w:color="auto" w:fill="F0F0F0"/>
                </w:tcPr>
                <w:p>
                  <w:pPr>
                    <w:pStyle w:val="Para 32"/>
                    <w:keepLines w:val="on"/>
                  </w:pPr>
                  <w:r>
                    <w:t>Mức</w:t>
                  </w:r>
                </w:p>
              </w:tc>
              <w:tc>
                <w:tcPr>
                  <w:tcW w:type="auto" w:w="0"/>
                  <w:shd w:val="clear" w:color="auto" w:fill="F0F0F0"/>
                </w:tcPr>
                <w:p>
                  <w:pPr>
                    <w:pStyle w:val="Para 05"/>
                    <w:keepLines w:val="on"/>
                  </w:pPr>
                  <w:r>
                    <w:t>Một đuôi</w:t>
                  </w:r>
                </w:p>
              </w:tc>
              <w:tc>
                <w:tcPr>
                  <w:tcW w:type="auto" w:w="0"/>
                  <w:shd w:val="clear" w:color="auto" w:fill="F0F0F0"/>
                </w:tcPr>
                <w:p>
                  <w:pPr>
                    <w:pStyle w:val="Para 05"/>
                    <w:keepLines w:val="on"/>
                  </w:pPr>
                  <w:r>
                    <w:t>Hai đuôi</w:t>
                  </w:r>
                </w:p>
              </w:tc>
            </w:tr>
            <w:tr>
              <w:tc>
                <w:tcPr>
                  <w:tcW w:type="auto" w:w="0"/>
                  <w:shd w:val="clear" w:color="auto" w:fill="F0F0F0"/>
                </w:tcPr>
                <w:p>
                  <w:pPr>
                    <w:pStyle w:val="Para 02"/>
                    <w:keepLines w:val="on"/>
                  </w:pPr>
                  <w:r>
                    <w:t>1%</w:t>
                  </w:r>
                </w:p>
              </w:tc>
              <w:tc>
                <w:tcPr>
                  <w:tcW w:type="auto" w:w="0"/>
                  <w:shd w:val="clear" w:color="auto" w:fill="F0F0F0"/>
                </w:tcPr>
                <w:p>
                  <w:pPr>
                    <w:pStyle w:val="Normal"/>
                    <w:keepLines w:val="on"/>
                  </w:pPr>
                  <w:r>
                    <w:t>2.33</w:t>
                  </w:r>
                </w:p>
              </w:tc>
              <w:tc>
                <w:tcPr>
                  <w:tcW w:type="auto" w:w="0"/>
                  <w:shd w:val="clear" w:color="auto" w:fill="F0F0F0"/>
                </w:tcPr>
                <w:p>
                  <w:pPr>
                    <w:pStyle w:val="Normal"/>
                    <w:keepLines w:val="on"/>
                  </w:pPr>
                  <w:r>
                    <w:t>2.55</w:t>
                  </w:r>
                </w:p>
              </w:tc>
            </w:tr>
            <w:tr>
              <w:tc>
                <w:tcPr>
                  <w:tcW w:type="auto" w:w="0"/>
                  <w:shd w:val="clear" w:color="auto" w:fill="F0F0F0"/>
                </w:tcPr>
                <w:p>
                  <w:pPr>
                    <w:pStyle w:val="Para 02"/>
                    <w:keepLines w:val="on"/>
                  </w:pPr>
                  <w:r>
                    <w:t>5%</w:t>
                  </w:r>
                </w:p>
              </w:tc>
              <w:tc>
                <w:tcPr>
                  <w:tcW w:type="auto" w:w="0"/>
                  <w:shd w:val="clear" w:color="auto" w:fill="F0F0F0"/>
                </w:tcPr>
                <w:p>
                  <w:pPr>
                    <w:pStyle w:val="Normal"/>
                    <w:keepLines w:val="on"/>
                  </w:pPr>
                  <w:r>
                    <w:t>1,66</w:t>
                  </w:r>
                </w:p>
              </w:tc>
              <w:tc>
                <w:tcPr>
                  <w:tcW w:type="auto" w:w="0"/>
                  <w:shd w:val="clear" w:color="auto" w:fill="F0F0F0"/>
                </w:tcPr>
                <w:p>
                  <w:pPr>
                    <w:pStyle w:val="Normal"/>
                    <w:keepLines w:val="on"/>
                  </w:pPr>
                  <w:r>
                    <w:t>1,96</w:t>
                  </w:r>
                </w:p>
              </w:tc>
            </w:tr>
          </w:tbl>
          <w:p/>
        </w:tc>
      </w:tr>
    </w:tbl>
    <w:p>
      <w:pPr>
        <w:pStyle w:val="Para 08"/>
      </w:pPr>
      <w:r>
        <w:t>5 Thống kê t có ý nghĩa biên ở mức 5%.</w:t>
      </w:r>
    </w:p>
    <w:p>
      <w:pPr>
        <w:pStyle w:val="Para 08"/>
      </w:pPr>
      <w:r>
        <w:t>6 Mặc dù có những giới hạn thực tế về mức độ lớn của tập hợp (universe), cần phải cẩn thận để đảm bảo rằng không có sự thiên lệch nào xuất hiện ở giai đoạn này của quy trình. Một thiên lệch rõ ràng sẽ là chỉ chọn những cổ phiếu đã hoạt động tốt trong khoảng thời gian đó cho tập hợp.</w:t>
      </w:r>
    </w:p>
    <w:p>
      <w:pPr>
        <w:pStyle w:val="Para 08"/>
      </w:pPr>
      <w:r>
        <w:t>7 Một kiểm định tham số (parametric test) là kiểm định F, dùng để kiểm tra sự bằng nhau của các trung bình giữa các nhóm. Kiểm định này có thể được thực hiện với giả định rằng các nhóm có cùng phương sai hoặc chúng có phương sai khác nhau.</w:t>
      </w:r>
    </w:p>
    <w:p>
      <w:pPr>
        <w:pStyle w:val="Para 08"/>
      </w:pPr>
      <w:r>
        <w:t>8 Một ví dụ về kiểm định phi tham số (nonparametric test) là kiểm định tổng hạng (rank sum test), xếp hạng lợi suất trên toàn bộ mẫu, rồi cộng các hạng trong mỗi nhóm để kiểm tra xem thứ hạng là ngẫu nhiên hay có hệ thống.</w:t>
      </w:r>
    </w:p>
    <w:p>
      <w:pPr>
        <w:pStyle w:val="Para 08"/>
      </w:pPr>
      <w:r>
        <w:t>9 Có những bảng thống kê tóm tắt số lần chạy (runs) kỳ vọng, giả định tính ngẫu nhiên, trong một chuỗi có độ dài bất kỳ.</w:t>
      </w:r>
    </w:p>
    <w:p>
      <w:pPr>
        <w:pStyle w:val="Para 08"/>
      </w:pPr>
      <w:r>
        <w:t>10 Truyền thông tin tức tài chính thường được dùng như một nguồn thông tin để trích xuất ngày công bố thu nhập. Với một số công ty, tin về công bố có thể xuất hiện trên hãng tin trước ngày công bố trên tin tức tài chính một ngày, dẫn đến việc xác định sai ngày báo cáo và sự trôi dạt (drift) trong lợi suất vào ngày trước công bố.</w:t>
      </w:r>
    </w:p>
    <w:p>
      <w:pPr>
        <w:pStyle w:val="Para 08"/>
      </w:pPr>
      <w:r>
        <w:t>11 Graham, B., 1949, The Intelligent Investor (New York: Harper Business, tái bản năm 2005).</w:t>
      </w:r>
    </w:p>
    <w:p>
      <w:pPr>
        <w:pStyle w:val="Para 08"/>
      </w:pPr>
      <w:r>
        <w:t>12 Vì các quy tắc về giao dịch rửa (wash sales) sẽ ngăn nhà đầu tư bán rồi mua lại cùng một cổ phiếu trong vòng 30 ngày, nên phải có sự thay thế giữa các cổ phiếu. Do đó, nhà đầu tư 1 bán cổ phiếu A và nhà đầu tư 2 bán cổ phiếu B, nhưng khi đến lúc mua lại cổ phiếu, nhà đầu tư 1 mua cổ phiếu B và nhà đầu tư 2 mua cổ phiếu A.</w:t>
      </w:r>
    </w:p>
    <w:p>
      <w:bookmarkStart w:id="1019" w:name="Top_of_c07_xhtml"/>
      <w:bookmarkStart w:id="1020" w:name="Chapter_7Riskless_Rates_and_Risk_1"/>
      <w:bookmarkStart w:id="1021" w:name="Chapter_7Riskless_Rates_and_Risk"/>
      <w:pPr>
        <w:keepNext/>
        <w:pStyle w:val="Heading 1"/>
        <w:pageBreakBefore w:val="on"/>
        <w:keepLines w:val="on"/>
      </w:pPr>
      <w:r>
        <w:t>CHƯƠNG 7</w:t>
      </w:r>
      <w:r>
        <w:br/>
      </w:r>
      <w:r>
        <w:t>Lãi suất phi rủi ro và phần bù rủi ro</w:t>
      </w:r>
      <w:bookmarkEnd w:id="1019"/>
      <w:bookmarkEnd w:id="1020"/>
      <w:bookmarkEnd w:id="1021"/>
    </w:p>
    <w:p>
      <w:pPr>
        <w:pStyle w:val="Para 03"/>
      </w:pPr>
      <w:r>
        <w:t>Mọi mô hình về rủi ro và lợi suất trong tài chính đều được xây dựng xoay quanh một mức lãi suất mà nhà đầu tư có thể kiếm được từ các khoản đầu tư phi rủi ro và phần bù rủi ro (risk premium) hay các phần bù rủi ro mà nhà đầu tư nên yêu cầu khi đầu tư vào khoản đầu tư có rủi ro trung bình. Trong mô hình định giá tài sản vốn (capital asset pricing model – CAPM), nơi chỉ có một nguồn rủi ro thị trường được phản ánh trong danh mục thị trường, phần bù rủi ro này trở thành phần bù mà nhà đầu tư sẽ đòi hỏi khi đầu tư vào danh mục đó. Trong các mô hình đa nhân tố (multifactor models), có nhiều phần bù rủi ro, mỗi phần bù đo lường mức bù mà nhà đầu tư đòi hỏi cho việc chịu phơi nhiễm với một nhân tố rủi ro thị trường cụ thể. Chương này xem xét cách đo lường tốt nhất một lãi suất phi rủi ro và cách ước tính một phần bù rủi ro hay các phần bù rủi ro để dùng trong những mô hình này.</w:t>
      </w:r>
    </w:p>
    <w:p>
      <w:pPr>
        <w:pStyle w:val="Para 03"/>
      </w:pPr>
      <w:r>
        <w:t>Như đã đề cập ở Chương 4, rủi ro được đo lường theo rủi ro vỡ nợ (default risk) đối với trái phiếu, và rủi ro vỡ nợ này được phản ánh trong mức chênh lệch vỡ nợ (default spread) mà các công ty phải trả thêm trên mức lãi suất phi rủi ro. Chương này khép lại bằng việc xem xét cách ước tính tốt nhất những mức chênh lệch vỡ nợ này và những nhân tố có thể khiến các mức chênh lệch này thay đổi theo thời gian.</w:t>
      </w:r>
    </w:p>
    <w:p>
      <w:bookmarkStart w:id="1023" w:name="The_Risk_Free_Rate__Most_risk_an"/>
      <w:bookmarkStart w:id="1024" w:name="The_Risk_Free_Rate"/>
      <w:pPr>
        <w:keepNext/>
        <w:pStyle w:val="Heading 2"/>
        <w:keepLines w:val="on"/>
      </w:pPr>
      <w:r>
        <w:t>Lãi suất phi rủi ro</w:t>
      </w:r>
      <w:bookmarkEnd w:id="1023"/>
      <w:bookmarkEnd w:id="1024"/>
    </w:p>
    <w:p>
      <w:pPr>
        <w:pStyle w:val="Para 03"/>
      </w:pPr>
      <w:r>
        <w:t>Hầu hết các mô hình rủi ro và lợi suất trong tài chính đều bắt đầu với một tài sản được định nghĩa là phi rủi ro, và dùng lợi suất kỳ vọng trên tài sản đó làm lãi suất phi rủi ro. Lợi suất kỳ vọng trên các khoản đầu tư rủi ro sau đó được đo lường tương đối so với lãi suất phi rủi ro, với rủi ro tạo ra một phần bù rủi ro kỳ vọng được cộng thêm vào lãi suất phi rủi ro. Nhưng điều gì khiến một tài sản trở thành phi rủi ro? Và chúng ta làm gì khi không thể tìm được một tài sản như vậy? Đó là những câu hỏi sẽ được giải quyết trong phần này.</w:t>
      </w:r>
    </w:p>
    <w:p>
      <w:bookmarkStart w:id="1025" w:name="Requirements_for_an_Asset_to_Be"/>
      <w:bookmarkStart w:id="1026" w:name="Requirements_for_an_Asset_to_Be_1"/>
      <w:pPr>
        <w:keepNext/>
        <w:pStyle w:val="Heading 3"/>
        <w:keepLines w:val="on"/>
      </w:pPr>
      <w:r>
        <w:t>Các yêu cầu để một tài sản trở thành phi rủi ro</w:t>
      </w:r>
      <w:bookmarkEnd w:id="1025"/>
      <w:bookmarkEnd w:id="1026"/>
    </w:p>
    <w:p>
      <w:pPr>
        <w:pStyle w:val="Para 03"/>
      </w:pPr>
      <w:r>
        <w:t>Chương 4 xem xét một số yêu cầu để một tài sản trở thành phi rủi ro. Cụ thể, một tài sản là phi rủi ro nếu chúng ta biết chắc chắn lợi suất kỳ vọng trên nó (tức là lợi suất thực tế luôn bằng lợi suất kỳ vọng). Trong những điều kiện nào thì lợi suất thực tế trên một khoản đầu tư sẽ bằng lợi suất kỳ vọng? Có hai điều kiện cơ bản phải được thỏa mãn. Điều kiện thứ nhất là không thể có rủi ro vỡ nợ. Về cơ bản, điều này loại trừ bất kỳ chứng khoán nào do một thực thể tư nhân phát hành, vì ngay cả những thực thể lớn nhất và an toàn nhất cũng có một mức độ rủi ro vỡ nợ nào đó. Những chứng khoán duy nhất có cơ hội trở thành phi rủi ro là chứng khoán chính phủ, không phải vì chính phủ được điều hành tốt hơn các tập đoàn, mà vì họ thường kiểm soát việc in tiền. Ít nhất là về mặt danh nghĩa, họ phải có khả năng thực hiện các cam kết của mình. Ngay cả giả định này, dù có vẻ đơn giản, cũng không phải lúc nào cũng đứng vững, đặc biệt là khi các chính phủ từ chối tôn trọng các yêu sách do các chế độ trước đưa ra và khi họ vay bằng các loại tiền tệ không phải của mình.</w:t>
      </w:r>
    </w:p>
    <w:p>
      <w:pPr>
        <w:pStyle w:val="Para 03"/>
      </w:pPr>
      <w:r>
        <w:t>Có một điều kiện thứ hai mà các chứng khoán phi rủi ro cần thỏa mãn mà thường bị lãng quên. Để một khoản đầu tư có lợi suất thực tế bằng lợi suất kỳ vọng của nó, không thể có rủi ro tái đầu tư (reinvestment risk). Để minh họa điểm này, giả sử bạn đang cố ước tính lợi suất kỳ vọng trong một khoảng thời gian năm năm và bạn muốn một lãi suất phi rủi ro. Lãi suất tín phiếu kho bạc (Treasury bill) kỳ hạn sáu tháng, ngay cả khi bạn giả định rằng kho bạc Hoa Kỳ không có rủi ro vỡ nợ, sẽ không phải là phi rủi ro, vì có rủi ro tái đầu tư là không biết lãi suất tín phiếu kho bạc sẽ là bao nhiêu sau sáu tháng. Ngay cả một trái phiếu kho bạc kỳ hạn năm năm cũng không phải là phi rủi ro, vì các phiếu lãi (coupon) trên trái phiếu sẽ được tái đầu tư ở những mức lãi suất không thể dự đoán hôm nay. Lãi suất phi rủi ro cho khung thời gian năm năm phải là lợi suất kỳ vọng trên một trái phiếu không trả lãi (zero-coupon bond) kỳ hạn năm năm không có rủi ro vỡ nợ (của chính phủ). Điều này rõ ràng có những hàm ý đau đớn cho bất kỳ ai làm tài chính doanh nghiệp hay định giá, nơi lợi suất kỳ vọng thường phải được ước tính cho các giai đoạn từ 1 đến 10 năm. Quan điểm thuần túy về lãi suất phi rủi ro khi đó sẽ đòi hỏi các lãi suất phi rủi ro khác nhau cho mỗi giai đoạn, và các lợi suất kỳ vọng khác nhau.</w:t>
      </w:r>
    </w:p>
    <w:p>
      <w:pPr>
        <w:pStyle w:val="Para 03"/>
      </w:pPr>
      <w:r>
        <w:t>Tuy nhiên, như một thỏa hiệp thực tế, đáng lưu ý rằng tác động giá trị hiện tại của việc dùng các lãi suất phi rủi ro theo từng năm có xu hướng nhỏ đối với hầu hết các cấu trúc kỳ hạn (term structures) diễn biến bình thường.1 Trong những trường hợp này, chúng ta có thể dùng một chiến lược khớp thời lượng (duration-matching strategy), trong đó thời lượng của chứng khoán không có rủi ro vỡ nợ được dùng làm tài sản phi rủi ro được khớp với thời lượng2 của các dòng tiền trong phân tích. Tuy nhiên, nếu có sự khác biệt rất lớn, theo cả hai hướng, giữa lãi suất ngắn hạn và dài hạn, thì việc kiên trì với các lãi suất phi rủi ro theo từng năm trong việc tính toán lợi suất kỳ vọng là đáng làm.</w:t>
      </w:r>
    </w:p>
    <w:p>
      <w:bookmarkStart w:id="1030" w:name="Practical_Implications_When_a_De"/>
      <w:bookmarkStart w:id="1031" w:name="Practical_Implications_When_a_De_1"/>
      <w:pPr>
        <w:keepNext/>
        <w:pStyle w:val="Heading 4"/>
        <w:keepLines w:val="on"/>
      </w:pPr>
      <w:r>
        <w:t>Hàm ý thực tiễn khi tồn tại một thực thể không có rủi ro vỡ nợ</w:t>
      </w:r>
      <w:bookmarkEnd w:id="1030"/>
      <w:bookmarkEnd w:id="1031"/>
    </w:p>
    <w:p>
      <w:pPr>
        <w:pStyle w:val="Para 03"/>
      </w:pPr>
      <w:r>
        <w:t>Ở một số thị trường phát triển, nơi chính phủ được xem là một thực thể không có rủi ro vỡ nợ, ít nhất là khi vay bằng đồng nội tệ, các hàm ý rất đơn giản. Khi phân tích đầu tư cho các dự án dài hạn hơn hoặc định giá, lãi suất phi rủi ro nên là lãi suất trái phiếu chính phủ dài hạn. Việc chọn một lãi suất phi rủi ro cũng có hàm ý cho cách ước tính các phần bù rủi ro. Nếu, như thường lệ, các phần bù rủi ro lịch sử được dùng, trong đó lợi suất vượt trội mà cổ phiếu kiếm được trên mức lãi suất chứng khoán chính phủ trong một giai đoạn quá khứ được dùng làm phần bù rủi ro, thì chứng khoán chính phủ được chọn phải là cùng loại được dùng cho lãi suất phi rủi ro. Do đó, phần bù rủi ro lịch sử được dùng ở Hoa Kỳ nên là lợi suất vượt trội mà cổ phiếu kiếm được trên trái phiếu kho bạc (Treasury bonds), chứ không phải tín phiếu kho bạc (Treasury bills), cho mục đích phân tích dài hạn. Ẩn chứa trong phát biểu này là giả định rằng kho bạc Hoa Kỳ không có rủi ro vỡ nợ, và giả định đó có thể không còn tự động đúng nữa.</w:t>
      </w:r>
    </w:p>
    <w:p>
      <w:bookmarkStart w:id="1032" w:name="Cash_Flows_and_Risk_Free_Rates"/>
      <w:bookmarkStart w:id="1033" w:name="Cash_Flows_and_Risk_Free_Rates_1"/>
      <w:pPr>
        <w:keepNext/>
        <w:pStyle w:val="Heading 4"/>
        <w:keepLines w:val="on"/>
      </w:pPr>
      <w:r>
        <w:t>Dòng tiền và lãi suất phi rủi ro: Nguyên tắc nhất quán</w:t>
      </w:r>
      <w:bookmarkEnd w:id="1032"/>
      <w:bookmarkEnd w:id="1033"/>
    </w:p>
    <w:p>
      <w:pPr>
        <w:pStyle w:val="Para 03"/>
      </w:pPr>
      <w:r>
        <w:t>Lãi suất phi rủi ro được dùng để tính ra lợi suất kỳ vọng nên được đo lường nhất quán với cách đo lường dòng tiền. Do đó, nếu dòng tiền được ước tính theo đô la Mỹ danh nghĩa, lãi suất phi rủi ro sẽ là lãi suất trái phiếu kho bạc Hoa Kỳ (nếu bạn cũng sẵn lòng giả định rằng có rủi ro vỡ nợ trong trái phiếu kho bạc Hoa Kỳ). Điều này cũng hàm ý rằng không phải nơi một công ty đặt trụ sở quyết định việc chọn lãi suất phi rủi ro, mà là loại tiền tệ mà dòng tiền của công ty được ước tính. Do đó, Nestlé có thể được định giá bằng dòng tiền ước tính bằng franc Thụy Sĩ, chiết khấu về hiện tại ở một lợi suất kỳ vọng được ước tính dùng lãi suất trái phiếu chính phủ dài hạn Thụy Sĩ làm lãi suất phi rủi ro, hoặc có thể được định giá bằng bảng Anh, với cả dòng tiền và lãi suất phi rủi ro đều bằng bảng Anh. Cho rằng cùng một công ty có thể được định giá bằng các loại tiền tệ khác nhau, liệu kết quả có luôn nhất quán không? Nếu chúng ta giả định ngang giá sức mua (purchasing power parity – PPP), thì sự khác biệt về lãi suất phản ánh sự khác biệt về lạm phát kỳ vọng. Cả dòng tiền và tỷ lệ chiết khấu đều bị ảnh hưởng bởi lạm phát kỳ vọng; do đó, một tỷ lệ chiết khấu thấp phát sinh từ một lãi suất phi rủi ro thấp sẽ được bù đắp chính xác bởi sự sụt giảm trong tốc độ tăng trưởng danh nghĩa kỳ vọng của dòng tiền, và giá trị sẽ không đổi.</w:t>
      </w:r>
    </w:p>
    <w:p>
      <w:pPr>
        <w:pStyle w:val="Para 03"/>
      </w:pPr>
      <w:r>
        <w:t>Nếu sự khác biệt về lãi suất giữa hai loại tiền tệ không phản ánh đầy đủ sự khác biệt về lạm phát kỳ vọng trong các loại tiền tệ này, thì các giá trị thu được khi dùng các loại tiền tệ khác nhau có thể khác nhau. Cụ thể, các công ty sẽ được định giá cao hơn khi loại tiền tệ được dùng là loại có lãi suất thấp so với lạm phát. Tuy nhiên, rủi ro là lãi suất sẽ phải tăng vào một thời điểm nào đó để điều chỉnh sự chênh lệch này, và đến lúc đó các giá trị cũng sẽ hội tụ.</w:t>
      </w:r>
    </w:p>
    <w:p>
      <w:bookmarkStart w:id="1035" w:name="Real_versus_Nominal_Risk_Free_Ra"/>
      <w:bookmarkStart w:id="1036" w:name="Real_versus_Nominal_Risk_Free_Ra_1"/>
      <w:pPr>
        <w:keepNext/>
        <w:pStyle w:val="Heading 4"/>
        <w:keepLines w:val="on"/>
      </w:pPr>
      <w:r>
        <w:t>Lãi suất phi rủi ro thực so với danh nghĩa</w:t>
      </w:r>
      <w:bookmarkEnd w:id="1035"/>
      <w:bookmarkEnd w:id="1036"/>
    </w:p>
    <w:p>
      <w:pPr>
        <w:pStyle w:val="Para 03"/>
      </w:pPr>
      <w:r>
        <w:t>Trong điều kiện lạm phát cao và bất ổn, việc định giá có thể được thực hiện theo giá trị thực. Thực chất, điều này có nghĩa là dòng tiền được ước tính bằng cách sử dụng tốc độ tăng trưởng thực và không tính đến phần tăng trưởng đến từ lạm phát giá cả. Để nhất quán, tỷ lệ chiết khấu (discount rate) dùng trong những trường hợp này phải là tỷ lệ chiết khấu thực. Để có được tỷ suất sinh lợi kỳ vọng thực, chúng ta cần bắt đầu từ lãi suất phi rủi ro thực. Mặc dù tín phiếu và trái phiếu chính phủ mang lại lợi suất phi rủi ro theo danh nghĩa, nhưng chúng không phi rủi ro theo giá trị thực, vì lạm phát kỳ vọng có thể biến động. Cách tiếp cận tiêu chuẩn là lấy lãi suất danh nghĩa trừ đi tỷ lệ lạm phát kỳ vọng để ra lãi suất phi rủi ro thực — cách này cùng lắm cũng chỉ cho ra một con số ước lượng về lãi suất phi rủi ro thực mà thôi.</w:t>
      </w:r>
    </w:p>
    <w:p>
      <w:pPr>
        <w:pStyle w:val="Para 03"/>
      </w:pPr>
      <w:r>
        <w:t>Cho đến gần đây, có rất ít chứng khoán không có rủi ro vỡ nợ (default-free) được giao dịch để có thể dùng để ước tính lãi suất phi rủi ro thực, nhưng sự ra đời của trái phiếu kho bạc gắn với lạm phát (inflation-indexed Treasuries, viết tắt là TIPs) đã lấp đầy khoảng trống này. Trái phiếu kho bạc gắn với lạm phát không mang lại lợi suất danh nghĩa được đảm bảo cho người mua, mà thay vào đó cung cấp lợi suất thực được đảm bảo. Vì vậy, một trái phiếu kho bạc gắn với lạm phát mang lại lợi suất thực 3 phần trăm sẽ có lợi suất danh nghĩa khoảng 7 phần trăm nếu lạm phát là 4 phần trăm, và chỉ 5 phần trăm theo danh nghĩa nếu lạm phát chỉ 2 phần trăm.</w:t>
      </w:r>
    </w:p>
    <w:p>
      <w:pPr>
        <w:pStyle w:val="Para 03"/>
      </w:pPr>
      <w:r>
        <w:t>Vấn đề duy nhất là việc định giá theo giá trị thực hiếm khi được yêu cầu hoặc được thực hiện ở Hoa Kỳ, nơi có lịch sử lạm phát kỳ vọng ổn định và thấp. Đáng tiếc thay, những thị trường mà chúng ta cần định giá theo giá trị thực nhất lại là những thị trường không có chứng khoán phi rủi ro vỡ nợ gắn với lạm phát. Lãi suất phi rủi ro thực ở những thị trường này có thể được ước tính bằng một trong hai lập luận sau:</w:t>
      </w:r>
    </w:p>
    <w:p>
      <w:pPr>
        <w:numPr>
          <w:ilvl w:val="0"/>
          <w:numId w:val="45"/>
        </w:numPr>
        <w:pStyle w:val="Para 01"/>
      </w:pPr>
      <w:r>
        <w:t>Lập luận thứ nhất cho rằng nếu vốn có thể chảy tự do đến những nền kinh tế có lợi suất thực cao nhất, thì không thể có sự khác biệt về lãi suất phi rủi ro thực giữa các thị trường. Theo lập luận này, lãi suất phi rủi ro thực của Hoa Kỳ, được ước tính từ trái phiếu kho bạc gắn với lạm phát, có thể được dùng làm lãi suất phi rủi ro thực cho bất kỳ thị trường nào.</w:t>
      </w:r>
    </w:p>
    <w:p>
      <w:pPr>
        <w:numPr>
          <w:ilvl w:val="0"/>
          <w:numId w:val="45"/>
        </w:numPr>
        <w:pStyle w:val="Para 01"/>
      </w:pPr>
      <w:r>
        <w:t>Lập luận thứ hai được áp dụng nếu có những ma sát và ràng buộc trong việc dịch chuyển vốn giữa các thị trường. Trong trường hợp đó, để đạt trạng thái cân bằng, lợi suất thực kỳ vọng của một nền kinh tế, về dài hạn, phải bằng tốc độ tăng trưởng thực kỳ vọng, cũng về dài hạn, của nền kinh tế đó. Do đó, lãi suất phi rủi ro thực của một nền kinh tế trưởng thành như Đức phải thấp hơn nhiều so với lãi suất phi rủi ro thực của một nền kinh tế có tiềm năng tăng trưởng lớn hơn, chẳng hạn như Ấn Độ.</w:t>
      </w:r>
    </w:p>
    <w:p>
      <w:bookmarkStart w:id="1038" w:name="Risk_Free_Rates_When_There_Is_No_1"/>
      <w:bookmarkStart w:id="1039" w:name="Risk_Free_Rates_When_There_Is_No"/>
      <w:pPr>
        <w:keepNext/>
        <w:pStyle w:val="Heading 3"/>
        <w:keepLines w:val="on"/>
      </w:pPr>
      <w:r>
        <w:t>Lãi suất phi rủi ro khi không có thực thể nào không có rủi ro vỡ nợ</w:t>
      </w:r>
      <w:bookmarkEnd w:id="1038"/>
      <w:bookmarkEnd w:id="1039"/>
    </w:p>
    <w:p>
      <w:pPr>
        <w:pStyle w:val="Para 03"/>
      </w:pPr>
      <w:r>
        <w:t>Phần thảo luận của chúng ta từ trước đến nay đều dựa trên giả định rằng các chính phủ không vỡ nợ, ít nhất là đối với các khoản vay bằng nội tệ. Có nhiều nền kinh tế thị trường mới nổi và khá nhiều thị trường phát triển mà ở đó giả định này có thể không được xem là hợp lý. Chính phủ ở những thị trường này được cho là có khả năng vỡ nợ ngay cả với các khoản vay bằng nội tệ. Khi điều này đi kèm với việc một số chính phủ không vay dài hạn bằng đồng nội tệ, sẽ có những tình huống mà việc có được lãi suất phi rủi ro nội địa, đặc biệt là cho dài hạn, trở nên khó khăn. Chúng ta sẽ xem xét bốn lựa chọn thay thế trong phần tiếp theo.</w:t>
      </w:r>
    </w:p>
    <w:p>
      <w:bookmarkStart w:id="1040" w:name="Local_Currency_Government_Bond_1"/>
      <w:bookmarkStart w:id="1041" w:name="Local_Currency_Government_Bond"/>
      <w:pPr>
        <w:keepNext/>
        <w:pStyle w:val="Heading 4"/>
        <w:keepLines w:val="on"/>
      </w:pPr>
      <w:r>
        <w:t>Trái phiếu chính phủ bằng đồng nội tệ</w:t>
      </w:r>
      <w:bookmarkEnd w:id="1040"/>
      <w:bookmarkEnd w:id="1041"/>
    </w:p>
    <w:p>
      <w:pPr>
        <w:pStyle w:val="Para 03"/>
      </w:pPr>
      <w:r>
        <w:t>Nếu chính phủ phát hành trái phiếu dài hạn mệnh giá bằng đồng nội tệ và những trái phiếu này được giao dịch, bạn có thể dùng lãi suất của những trái phiếu này làm điểm khởi đầu để ước tính lãi suất phi rủi ro bằng đồng tiền đó. Ví dụ, vào đầu năm 2024, chính phủ Ấn Độ phát hành trái phiếu kỳ hạn 10 năm mệnh giá bằng đồng rupee đang được giao dịch với lợi suất 7,18 phần trăm. Tuy nhiên, tỷ lệ này không phải là lãi suất phi rủi ro, vì nhà đầu tư nhận thấy có rủi ro vỡ nợ từ phía chính phủ Ấn Độ. Để tách ra xem bao nhiêu phần của lợi suất có thể được quy cho rủi ro vỡ nợ, chúng tôi đã dùng xếp hạng tín nhiệm quốc gia bằng đồng nội tệ3 là Baa3 mà Moody's gán cho Ấn Độ và ước tính mức chênh lệch vỡ nợ (default spread) là 2,39 phần trăm cho xếp hạng đó.4</w:t>
      </w:r>
    </w:p>
    <w:p>
      <w:pPr>
        <w:pStyle w:val="Para 03"/>
      </w:pPr>
      <w:r>
        <w:t>Lãi suất phi rủi ro tính bằng đồng rupee thu được là:</w:t>
      </w:r>
    </w:p>
    <w:p>
      <w:bookmarkStart w:id="1044" w:name="Risk_free_Rate_in_rupees_Governm"/>
      <w:pPr>
        <w:keepNext/>
        <w:pStyle w:val="Para 09"/>
        <w:keepLines w:val="on"/>
      </w:pPr>
      <w:r>
        <w:t>Lãi suất phi rủi ro tính bằng đồng rupee = Lãi suất trái phiếu chính phủ - Chênh lệch vỡ nợ = 7,18% - 2,39% = 4,79%</w:t>
      </w:r>
      <w:bookmarkEnd w:id="1044"/>
    </w:p>
    <w:p>
      <w:pPr>
        <w:pStyle w:val="Para 03"/>
      </w:pPr>
      <w:r>
        <w:t>Đúng là con số này giả định rằng cơ quan xếp hạng đánh giá đúng về rủi ro quốc gia và rằng mức chênh lệch vỡ nợ dựa trên xếp hạng là chính xác. Một cách tiếp cận khác để ước tính mức chênh lệch vỡ nợ đã trở nên phổ biến trong những năm gần đây là thị trường hoán đổi rủi ro tín dụng (credit default swap, viết tắt là CDS), nơi nhà đầu tư có thể mua bảo hiểm chống lại rủi ro vỡ nợ. Mức chênh lệch CDS quốc gia khi đó trở thành một con số ước tính dựa trên thị trường về mức chênh lệch vỡ nợ của một quốc gia. Vào tháng 1 năm 2024, mức chênh lệch CDS quốc gia kỳ hạn 10 năm của Ấn Độ ở mức 0,99%, cho ra lãi suất phi rủi ro là 6,19%:</w:t>
      </w:r>
    </w:p>
    <w:p>
      <w:bookmarkStart w:id="1045" w:name="Risk_free_Rate_in_rupees_Governm_1"/>
      <w:pPr>
        <w:keepNext/>
        <w:pStyle w:val="Para 09"/>
        <w:keepLines w:val="on"/>
      </w:pPr>
      <w:r>
        <w:t>Lãi suất phi rủi ro tính bằng đồng rupee = Lãi suất trái phiếu chính phủ - Chênh lệch vỡ nợ = 7,18% - 0,99% = 6,19%</w:t>
      </w:r>
      <w:bookmarkEnd w:id="1045"/>
    </w:p>
    <w:p>
      <w:pPr>
        <w:pStyle w:val="Para 03"/>
      </w:pPr>
      <w:r>
        <w:t>Thị trường CDS thực sự cung cấp một thước đo năng động và cập nhật hơn về mức chênh lệch vỡ nợ, nhưng vì là một con số giao dịch trên thị trường, nó biến động mạnh hơn nhiều. Nó cũng cung cấp mức chênh lệch tính bằng đô la hoặc euro, vốn có thể không áp dụng cho trái phiếu bằng đồng nội tệ.</w:t>
      </w:r>
    </w:p>
    <w:p>
      <w:bookmarkStart w:id="1047" w:name="Build_Up_Approach__There_are_cou"/>
      <w:bookmarkStart w:id="1048" w:name="Build_Up_Approach"/>
      <w:pPr>
        <w:keepNext/>
        <w:pStyle w:val="Heading 4"/>
        <w:keepLines w:val="on"/>
      </w:pPr>
      <w:r>
        <w:t>Phương pháp cộng dồn</w:t>
      </w:r>
      <w:bookmarkEnd w:id="1047"/>
      <w:bookmarkEnd w:id="1048"/>
    </w:p>
    <w:p>
      <w:pPr>
        <w:pStyle w:val="Para 03"/>
      </w:pPr>
      <w:r>
        <w:t>Có những quốc gia mà chính phủ không phát hành trái phiếu mệnh giá bằng đồng nội tệ, hoặc những trái phiếu này không được giao dịch. Trong trường hợp này, một lựa chọn thay thế là cộng dồn để ra lãi suất phi rủi ro từ các yếu tố cơ bản:</w:t>
      </w:r>
    </w:p>
    <w:p>
      <w:bookmarkStart w:id="1049" w:name="Build_up_risk_free_rate_Expected"/>
      <w:pPr>
        <w:keepNext/>
        <w:pStyle w:val="Para 09"/>
        <w:keepLines w:val="on"/>
      </w:pPr>
      <w:r>
        <w:t>Lãi suất phi rủi ro cộng dồn = Lạm phát kỳ vọng + Tốc độ tăng trưởng thực kỳ vọng</w:t>
      </w:r>
      <w:bookmarkEnd w:id="1049"/>
    </w:p>
    <w:p>
      <w:pPr>
        <w:pStyle w:val="Para 03"/>
      </w:pPr>
      <w:r>
        <w:t>Vì lãi suất phi rủi ro tính bằng bất kỳ đồng tiền nào cũng có thể được viết dưới dạng tổng của lạm phát kỳ vọng tính bằng đồng tiền đó và lãi suất thực kỳ vọng, chúng ta có thể thử ước tính riêng hai thành phần này. Để ước tính lạm phát kỳ vọng, chúng ta có thể bắt đầu từ tỷ lệ lạm phát hiện tại rồi ngoại suy ra lạm phát kỳ vọng trong tương lai. Đối với lãi suất thực, chúng ta có thể dùng lãi suất của trái phiếu kho bạc Hoa Kỳ gắn với lạm phát, với lý do rằng lãi suất thực phải giống nhau trên toàn cầu. Ví dụ, vào tháng 1 năm 2024, cộng tỷ lệ lạm phát kỳ vọng 5 phần trăm ở Ấn Độ với lãi suất 1,5 phần trăm của trái phiếu kho bạc Hoa Kỳ gắn với lạm phát sẽ cho ra lãi suất phi rủi ro là 6,5 phần trăm tính bằng đồng rupee Ấn Độ.</w:t>
      </w:r>
    </w:p>
    <w:p>
      <w:bookmarkStart w:id="1050" w:name="Derivatives_Markets"/>
      <w:bookmarkStart w:id="1051" w:name="Derivatives_Markets__Forward_and"/>
      <w:pPr>
        <w:keepNext/>
        <w:pStyle w:val="Heading 4"/>
        <w:keepLines w:val="on"/>
      </w:pPr>
      <w:r>
        <w:t>Thị trường phái sinh</w:t>
      </w:r>
      <w:bookmarkEnd w:id="1050"/>
      <w:bookmarkEnd w:id="1051"/>
    </w:p>
    <w:p>
      <w:pPr>
        <w:pStyle w:val="Para 03"/>
      </w:pPr>
      <w:r>
        <w:t>Hợp đồng kỳ hạn và hợp đồng tương lai trên tỷ giá hối đoái cung cấp thông tin về lãi suất của các đồng tiền liên quan, vì ngang giá lãi suất (interest rate parity) chi phối mối quan hệ giữa tỷ giá giao ngay và tỷ giá kỳ hạn. Ví dụ, tỷ giá kỳ hạn giữa đồng baht Thái và đô la Mỹ có thể được viết như sau:</w:t>
      </w:r>
    </w:p>
    <w:p>
      <w:bookmarkStart w:id="1052" w:name="ForwardRateThaiBaht__t_SpotRateT"/>
      <w:pPr>
        <w:keepNext/>
        <w:pStyle w:val="Para 09"/>
        <w:keepLines w:val="on"/>
      </w:pPr>
      <w:r>
        <w:t>Tỷ giá kỳ hạn Baht Thái, $ t = Tỷ giá giao ngay Baht Thái, $ × (1 + Lãi suất Baht Thái)t(1 + Lãi suất US$)t</w:t>
      </w:r>
      <w:bookmarkEnd w:id="1052"/>
    </w:p>
    <w:p>
      <w:pPr>
        <w:pStyle w:val="Para 03"/>
      </w:pPr>
      <w:r>
        <w:t>Ví dụ, nếu tỷ giá giao ngay hiện tại là 35,38 baht Thái mỗi đô la Mỹ, tỷ giá kỳ hạn 10 năm là 44,87 baht mỗi đô la, và lãi suất trái phiếu kho bạc Hoa Kỳ kỳ hạn 10 năm hiện tại là 4 phần trăm, thì lãi suất phi rủi ro Thái Lan kỳ hạn 10 năm (tính bằng baht danh nghĩa) có thể được ước tính như sau:</w:t>
      </w:r>
    </w:p>
    <w:p>
      <w:bookmarkStart w:id="1053" w:name="44_87_35_38x_1_Interest_RateThai"/>
      <w:pPr>
        <w:keepNext/>
        <w:pStyle w:val="Para 09"/>
        <w:keepLines w:val="on"/>
      </w:pPr>
      <w:r>
        <w:t>44,87 = 35,38 × (1 + Lãi suất Baht Thái)10(1 + 0,04)10</w:t>
      </w:r>
      <w:bookmarkEnd w:id="1053"/>
    </w:p>
    <w:p>
      <w:pPr>
        <w:pStyle w:val="Para 03"/>
      </w:pPr>
      <w:r>
        <w:t>Giải ra lãi suất Thái Lan ta được lãi suất phi rủi ro kỳ hạn 10 năm là 6,50 phần trăm. Tuy nhiên, hạn chế lớn nhất của cách tiếp cận này là tỷ giá kỳ hạn rất khó tìm đối với các kỳ hạn dài hơn một năm5 ở nhiều thị trường mới nổi, những nơi mà chúng ta quan tâm nhất đến việc sử dụng chúng.</w:t>
      </w:r>
    </w:p>
    <w:p>
      <w:bookmarkStart w:id="1055" w:name="Risk_Free_Rate_Conversion__If_th"/>
      <w:bookmarkStart w:id="1056" w:name="Risk_Free_Rate_Conversion"/>
      <w:pPr>
        <w:keepNext/>
        <w:pStyle w:val="Heading 4"/>
        <w:keepLines w:val="on"/>
      </w:pPr>
      <w:r>
        <w:t>Chuyển đổi lãi suất phi rủi ro</w:t>
      </w:r>
      <w:bookmarkEnd w:id="1055"/>
      <w:bookmarkEnd w:id="1056"/>
    </w:p>
    <w:p>
      <w:pPr>
        <w:pStyle w:val="Para 03"/>
      </w:pPr>
      <w:r>
        <w:t>Nếu lý do duy nhất khiến lãi suất phi rủi ro khác nhau giữa các loại tiền tệ là do lạm phát kỳ vọng, thì bạn có thể chuyển đổi lãi suất phi rủi ro của một loại tiền tệ thuộc thị trường phát triển (đô la Mỹ, euro) thành lãi suất phi rủi ro của một loại tiền tệ thuộc thị trường mới nổi, bằng cách dùng chênh lệch lạm phát giữa các loại tiền tệ.</w:t>
      </w:r>
    </w:p>
    <w:p>
      <w:bookmarkStart w:id="1058" w:name="rLocal_currency__1_rForeign_curr"/>
      <w:pPr>
        <w:keepNext/>
        <w:pStyle w:val="Para 09"/>
        <w:keepLines w:val="on"/>
      </w:pPr>
      <w:r>
        <w:t>rTiền tệ địa phương=(1+rTiền tệ nước ngoài)(1+Lạm phát kỳ vọngTiền tệ địa phương)(1+Lạm phát kỳ vọngTiền tệ nước ngoài)−1</w:t>
      </w:r>
      <w:bookmarkEnd w:id="1058"/>
    </w:p>
    <w:p>
      <w:pPr>
        <w:pStyle w:val="Para 03"/>
      </w:pPr>
      <w:r>
        <w:t>Ví dụ, giả sử lãi suất phi rủi ro của đô la Mỹ là 4 phần trăm và tỷ lệ lạm phát kỳ vọng của đồng bảng Ai Cập là 11 phần trăm (so với tỷ lệ lạm phát 2 phần trăm của đô la Mỹ). Lãi suất phi rủi ro của đồng bảng Ai Cập có thể được viết như sau:</w:t>
      </w:r>
    </w:p>
    <w:p>
      <w:bookmarkStart w:id="1059" w:name="Risk_free_RateEgyptian_pounds__1"/>
      <w:pPr>
        <w:keepNext/>
        <w:pStyle w:val="Para 09"/>
        <w:keepLines w:val="on"/>
      </w:pPr>
      <w:r>
        <w:t>Lãi suất phi rủi roBảng Ai Cập=(1.04)1.111.02−1=.1318 hay 13.18%</w:t>
      </w:r>
      <w:bookmarkEnd w:id="1059"/>
    </w:p>
    <w:p>
      <w:pPr>
        <w:pStyle w:val="Para 03"/>
      </w:pPr>
      <w:r>
        <w:t>Để thực hiện phép chuyển đổi này, chúng ta vẫn phải ước tính lạm phát kỳ vọng của đồng tiền địa phương và đồng tiền của thị trường phát triển.</w:t>
      </w:r>
    </w:p>
    <w:p>
      <w:pPr>
        <w:pStyle w:val="Para 03"/>
      </w:pPr>
      <w:r>
        <w:t>Vậy nếu không có lựa chọn nào trong số những lựa chọn vừa liệt kê hoạt động được thì sao? Nói cách khác, nếu chính phủ không có trái phiếu bằng đồng nội tệ nào đang lưu hành, không có hợp đồng kỳ hạn hay tương lai nào trên đồng tiền đó, và/hoặc lạm phát kỳ vọng của đồng nội tệ rất khó ước tính thì sao? Khi đối mặt với những vấn đề này, cách tốt nhất là chuyển sang định giá bằng một loại tiền tệ khác. Vậy nên, thay vì định giá một công ty Nigeria hay Việt Nam bằng đồng nội tệ, bạn sẽ định giá nó bằng euro hoặc đô la. Bạn vẫn sẽ phải ước tính tỷ giá hối đoái kỳ vọng trong tương lai để chuyển dòng tiền bằng đồng nội tệ thành dòng tiền bằng ngoại tệ, nhưng đó có thể là một bài tập dễ xử lý hơn.</w:t>
      </w:r>
    </w:p>
    <w:p>
      <w:bookmarkStart w:id="1060" w:name="Equity_Risk_Premium__The_notion"/>
      <w:bookmarkStart w:id="1061" w:name="Equity_Risk_Premium"/>
      <w:pPr>
        <w:keepNext/>
        <w:pStyle w:val="Heading 2"/>
        <w:keepLines w:val="on"/>
      </w:pPr>
      <w:r>
        <w:t>Phần bù rủi ro vốn cổ phần</w:t>
      </w:r>
      <w:bookmarkEnd w:id="1060"/>
      <w:bookmarkEnd w:id="1061"/>
    </w:p>
    <w:p>
      <w:pPr>
        <w:pStyle w:val="Para 03"/>
      </w:pPr>
      <w:r>
        <w:t>Quan điểm cho rằng rủi ro là quan trọng, và những khoản đầu tư rủi ro hơn nên có lợi nhuận kỳ vọng cao hơn những khoản đầu tư an toàn hơn thì mới được coi là khoản đầu tư tốt, là điều rất trực quan. Vì vậy, lợi nhuận kỳ vọng của bất kỳ khoản đầu tư nào có thể được viết dưới dạng tổng của lãi suất phi rủi ro và một khoản lợi nhuận thêm để bù đắp cho rủi ro. Sự bất đồng, cả về mặt lý thuyết lẫn thực tiễn, vẫn nằm ở chỗ làm thế nào để đo lường rủi ro này, và làm thế nào để chuyển thước đo rủi ro đó thành lợi nhuận kỳ vọng bù đắp cho rủi ro. Phần này sẽ xem xét việc ước tính một phần bù rủi ro vốn cổ phần (equity risk premium – ERP) phù hợp để sử dụng trong các mô hình rủi ro và lợi nhuận nói chung, và trong mô hình định giá tài sản vốn nói riêng.</w:t>
      </w:r>
    </w:p>
    <w:p>
      <w:bookmarkStart w:id="1062" w:name="Competing_Models__In_Chapter_4"/>
      <w:bookmarkStart w:id="1063" w:name="Competing_Models"/>
      <w:pPr>
        <w:keepNext/>
        <w:pStyle w:val="Heading 3"/>
        <w:keepLines w:val="on"/>
      </w:pPr>
      <w:r>
        <w:t>Các mô hình cạnh tranh</w:t>
      </w:r>
      <w:bookmarkEnd w:id="1062"/>
      <w:bookmarkEnd w:id="1063"/>
    </w:p>
    <w:p>
      <w:pPr>
        <w:pStyle w:val="Para 03"/>
      </w:pPr>
      <w:r>
        <w:t>Trong Chương 4, chúng ta đã xem xét một số mô hình rủi ro cạnh tranh nhau, từ mô hình định giá tài sản vốn cho đến các mô hình đa nhân tố. Dù có những kết luận khác nhau, tất cả chúng đều chia sẻ một số quan điểm chung về rủi ro. Thứ nhất, tất cả đều định nghĩa rủi ro dựa trên phương sai của lợi nhuận thực tế quanh một lợi nhuận kỳ vọng; do đó, một khoản đầu tư là phi rủi ro khi lợi nhuận thực tế luôn bằng lợi nhuận kỳ vọng. Thứ hai, tất cả đều cho rằng rủi ro phải được đo lường từ góc nhìn của nhà đầu tư cận biên đối với một tài sản, và nhà đầu tư cận biên này đã đa dạng hóa tốt. Vì thế, lập luận là chỉ có phần rủi ro mà một khoản đầu tư cộng thêm vào một danh mục đã đa dạng hóa mới nên được đo lường và bù đắp. Thực tế, chính quan điểm về rủi ro này đã dẫn các mô hình rủi ro đến việc tách rủi ro của bất kỳ khoản đầu tư nào thành hai thành phần. Có một thành phần đặc thù theo công ty, đo lường rủi ro chỉ liên quan đến khoản đầu tư đó hoặc một vài khoản đầu tư tương tự; và một thành phần thị trường, chứa rủi ro ảnh hưởng đến một tập hợp con lớn hoặc tất cả các khoản đầu tư. Chính loại rủi ro thứ hai này là loại không thể đa dạng hóa được và cần được đền bù.</w:t>
      </w:r>
    </w:p>
    <w:p>
      <w:pPr>
        <w:pStyle w:val="Para 03"/>
      </w:pPr>
      <w:r>
        <w:t>Trong khi tất cả các mô hình rủi ro và lợi nhuận đều đồng ý về sự phân biệt quan trọng này, chúng lại chia rẽ khi nói đến cách đo lường rủi ro thị trường đó. Bảng 7.1 tóm tắt bốn mô hình và cách mỗi mô hình cố gắng đo lường rủi ro.</w:t>
      </w:r>
    </w:p>
    <w:p>
      <w:pPr>
        <w:pStyle w:val="Para 34"/>
        <w:keepLines w:val="on"/>
      </w:pPr>
      <w:r>
        <w:t>Bảng 7.1</w:t>
      </w:r>
    </w:p>
    <w:p>
      <w:pPr>
        <w:keepNext/>
        <w:pStyle w:val="Para 35"/>
        <w:keepLines w:val="on"/>
      </w:pPr>
      <w:r>
        <w:t>So sánh các mô hình rủi ro và lợi nhuận</w:t>
      </w:r>
    </w:p>
    <w:tbl>
      <w:tblPr>
        <w:tblW w:type="auto" w:w="0"/>
      </w:tblPr>
      <w:tr>
        <w:tc>
          <w:tcPr>
            <w:tcW w:type="auto" w:w="0"/>
          </w:tcPr>
          <w:tbl>
            <w:tblPr>
              <w:tblW w:type="auto" w:w="0"/>
            </w:tblPr>
            <w:tr>
              <w:tc>
                <w:tcPr>
                  <w:tcW w:type="auto" w:w="0"/>
                  <w:shd w:val="clear" w:color="auto" w:fill="F0F0F0"/>
                </w:tcPr>
                <w:p>
                  <w:pPr>
                    <w:pStyle w:val="Para 29"/>
                    <w:keepLines w:val="on"/>
                  </w:pPr>
                  <w:r>
                    <w:t>Mô hình</w:t>
                  </w:r>
                </w:p>
              </w:tc>
              <w:tc>
                <w:tcPr>
                  <w:tcW w:type="auto" w:w="0"/>
                  <w:shd w:val="clear" w:color="auto" w:fill="F0F0F0"/>
                </w:tcPr>
                <w:p>
                  <w:pPr>
                    <w:pStyle w:val="Para 17"/>
                    <w:keepLines w:val="on"/>
                  </w:pPr>
                  <w:r>
                    <w:t>Các giả định</w:t>
                  </w:r>
                </w:p>
              </w:tc>
              <w:tc>
                <w:tcPr>
                  <w:tcW w:type="auto" w:w="0"/>
                  <w:shd w:val="clear" w:color="auto" w:fill="F0F0F0"/>
                </w:tcPr>
                <w:p>
                  <w:pPr>
                    <w:pStyle w:val="Para 17"/>
                    <w:keepLines w:val="on"/>
                  </w:pPr>
                  <w:r>
                    <w:t>Thước đo rủi ro thị trường</w:t>
                  </w:r>
                </w:p>
              </w:tc>
            </w:tr>
            <w:tr>
              <w:tc>
                <w:tcPr>
                  <w:tcW w:type="auto" w:w="0"/>
                  <w:shd w:val="clear" w:color="auto" w:fill="F0F0F0"/>
                </w:tcPr>
                <w:p>
                  <w:pPr>
                    <w:pStyle w:val="Para 02"/>
                    <w:keepLines w:val="on"/>
                  </w:pPr>
                  <w:r>
                    <w:t>Mô hình định giá tài sản vốn (CAPM)</w:t>
                  </w:r>
                </w:p>
              </w:tc>
              <w:tc>
                <w:tcPr>
                  <w:tcW w:type="auto" w:w="0"/>
                  <w:shd w:val="clear" w:color="auto" w:fill="F0F0F0"/>
                </w:tcPr>
                <w:p>
                  <w:pPr>
                    <w:pStyle w:val="Para 02"/>
                    <w:keepLines w:val="on"/>
                  </w:pPr>
                  <w:r>
                    <w:t>Không có chi phí giao dịch hay thông tin riêng tư. Do đó, danh mục đã đa dạng hóa bao gồm tất cả các khoản đầu tư được giao dịch, được nắm giữ theo tỷ lệ với giá trị thị trường của chúng.</w:t>
                  </w:r>
                </w:p>
              </w:tc>
              <w:tc>
                <w:tcPr>
                  <w:tcW w:type="auto" w:w="0"/>
                  <w:shd w:val="clear" w:color="auto" w:fill="F0F0F0"/>
                </w:tcPr>
                <w:p>
                  <w:pPr>
                    <w:pStyle w:val="Para 02"/>
                    <w:keepLines w:val="on"/>
                  </w:pPr>
                  <w:r>
                    <w:t>Beta được đo lường so với danh mục thị trường này</w:t>
                  </w:r>
                </w:p>
              </w:tc>
            </w:tr>
            <w:tr>
              <w:tc>
                <w:tcPr>
                  <w:tcW w:type="auto" w:w="0"/>
                  <w:shd w:val="clear" w:color="auto" w:fill="F0F0F0"/>
                </w:tcPr>
                <w:p>
                  <w:pPr>
                    <w:pStyle w:val="Para 02"/>
                    <w:keepLines w:val="on"/>
                  </w:pPr>
                  <w:r>
                    <w:t>Mô hình định giá chênh lệch (APM)</w:t>
                  </w:r>
                </w:p>
              </w:tc>
              <w:tc>
                <w:tcPr>
                  <w:tcW w:type="auto" w:w="0"/>
                  <w:shd w:val="clear" w:color="auto" w:fill="F0F0F0"/>
                </w:tcPr>
                <w:p>
                  <w:pPr>
                    <w:pStyle w:val="Para 02"/>
                    <w:keepLines w:val="on"/>
                  </w:pPr>
                  <w:r>
                    <w:t>Các khoản đầu tư có cùng mức độ phơi nhiễm với rủi ro thị trường phải được giao dịch ở cùng một mức giá (không có chênh lệch giá).</w:t>
                  </w:r>
                </w:p>
              </w:tc>
              <w:tc>
                <w:tcPr>
                  <w:tcW w:type="auto" w:w="0"/>
                  <w:shd w:val="clear" w:color="auto" w:fill="F0F0F0"/>
                </w:tcPr>
                <w:p>
                  <w:pPr>
                    <w:pStyle w:val="Para 02"/>
                    <w:keepLines w:val="on"/>
                  </w:pPr>
                  <w:r>
                    <w:t>Beta được đo lường so với nhiều nhân tố rủi ro thị trường (không xác định cụ thể)</w:t>
                  </w:r>
                </w:p>
              </w:tc>
            </w:tr>
            <w:tr>
              <w:tc>
                <w:tcPr>
                  <w:tcW w:type="auto" w:w="0"/>
                  <w:shd w:val="clear" w:color="auto" w:fill="F0F0F0"/>
                </w:tcPr>
                <w:p>
                  <w:pPr>
                    <w:pStyle w:val="Para 02"/>
                    <w:keepLines w:val="on"/>
                  </w:pPr>
                  <w:r>
                    <w:t>Mô hình đa nhân tố</w:t>
                  </w:r>
                </w:p>
              </w:tc>
              <w:tc>
                <w:tcPr>
                  <w:tcW w:type="auto" w:w="0"/>
                  <w:shd w:val="clear" w:color="auto" w:fill="F0F0F0"/>
                </w:tcPr>
                <w:p>
                  <w:pPr>
                    <w:pStyle w:val="Para 02"/>
                    <w:keepLines w:val="on"/>
                  </w:pPr>
                  <w:r>
                    <w:t>Có cùng giả định không chênh lệch giá như với APM.</w:t>
                  </w:r>
                </w:p>
              </w:tc>
              <w:tc>
                <w:tcPr>
                  <w:tcW w:type="auto" w:w="0"/>
                  <w:shd w:val="clear" w:color="auto" w:fill="F0F0F0"/>
                </w:tcPr>
                <w:p>
                  <w:pPr>
                    <w:pStyle w:val="Para 02"/>
                    <w:keepLines w:val="on"/>
                  </w:pPr>
                  <w:r>
                    <w:t>Beta được đo lường dựa trên nhiều yếu tố kinh tế vĩ mô được chỉ định</w:t>
                  </w:r>
                </w:p>
              </w:tc>
            </w:tr>
            <w:tr>
              <w:tc>
                <w:tcPr>
                  <w:tcW w:type="auto" w:w="0"/>
                  <w:shd w:val="clear" w:color="auto" w:fill="F0F0F0"/>
                </w:tcPr>
                <w:p>
                  <w:pPr>
                    <w:pStyle w:val="Para 02"/>
                    <w:keepLines w:val="on"/>
                  </w:pPr>
                  <w:r>
                    <w:t>Mô hình đại diện</w:t>
                  </w:r>
                </w:p>
              </w:tc>
              <w:tc>
                <w:tcPr>
                  <w:tcW w:type="auto" w:w="0"/>
                  <w:shd w:val="clear" w:color="auto" w:fill="F0F0F0"/>
                </w:tcPr>
                <w:p>
                  <w:pPr>
                    <w:pStyle w:val="Para 02"/>
                    <w:keepLines w:val="on"/>
                  </w:pPr>
                  <w:r>
                    <w:t>Trong những khoảng thời gian rất dài, lợi nhuận cao hơn từ các khoản đầu tư phải là phần bù cho rủi ro thị trường cao hơn.</w:t>
                  </w:r>
                </w:p>
              </w:tc>
              <w:tc>
                <w:tcPr>
                  <w:tcW w:type="auto" w:w="0"/>
                  <w:shd w:val="clear" w:color="auto" w:fill="F0F0F0"/>
                </w:tcPr>
                <w:p>
                  <w:pPr>
                    <w:pStyle w:val="Para 02"/>
                    <w:keepLines w:val="on"/>
                  </w:pPr>
                  <w:r>
                    <w:t>Các đại diện cho rủi ro thị trường, ví dụ, bao gồm vốn hóa thị trường và tỷ lệ giá trên giá trị sổ sách.</w:t>
                  </w:r>
                </w:p>
              </w:tc>
            </w:tr>
          </w:tbl>
          <w:p/>
        </w:tc>
      </w:tr>
    </w:tbl>
    <w:p>
      <w:pPr>
        <w:pStyle w:val="Para 03"/>
      </w:pPr>
      <w:r>
        <w:t>Trong ba mô hình đầu tiên, lợi nhuận kỳ vọng của bất kỳ khoản đầu tư nào có thể được viết như sau:</w:t>
      </w:r>
    </w:p>
    <w:p>
      <w:bookmarkStart w:id="1066" w:name="EReturn_Risk_free_Rate____j_1j_k"/>
      <w:pPr>
        <w:keepNext/>
        <w:pStyle w:val="Para 09"/>
        <w:keepLines w:val="on"/>
      </w:pPr>
      <w:r>
        <w:t>EReturn=Lãi suất phi rủi ro+∑j=1j=kβjPhần bù rủi roj</w:t>
      </w:r>
      <w:bookmarkEnd w:id="1066"/>
    </w:p>
    <w:p>
      <w:bookmarkStart w:id="1067" w:name="where__________________________b"/>
      <w:pPr>
        <w:pStyle w:val="Para 39"/>
      </w:pPr>
      <w:r>
        <w:t>trong đó                          βj=Beta của khoản đầu tư so với yếu tố jPhần bù rủi roj=Phần bù rủi ro cho yếu tố j</w:t>
      </w:r>
      <w:bookmarkEnd w:id="1067"/>
    </w:p>
    <w:p>
      <w:pPr>
        <w:pStyle w:val="Para 03"/>
      </w:pPr>
      <w:r>
        <w:t>Lưu ý rằng trong trường hợp đặc biệt của mô hình một yếu tố, như CAPM, lợi nhuận kỳ vọng của mỗi khoản đầu tư sẽ được xác định bởi beta của nó so với thị trường.</w:t>
      </w:r>
    </w:p>
    <w:p>
      <w:pPr>
        <w:pStyle w:val="Para 03"/>
      </w:pPr>
      <w:r>
        <w:t>Giả sử rằng lãi suất phi rủi ro đã biết, tất cả các mô hình này đều yêu cầu hai đầu vào. Đầu tiên là beta hoặc các beta của khoản đầu tư đang được phân tích, và thứ hai là (các) phần bù rủi ro thích hợp cho (các) yếu tố trong mô hình. Vấn đề ước lượng beta sẽ được xem xét trong chương tiếp theo; phần này tập trung vào việc đo lường phần bù rủi ro. Về phần bù rủi ro, chúng ta muốn biết đối với mỗi yếu tố, trung bình các nhà đầu tư yêu cầu mức phần bù nào so với lãi suất phi rủi ro cho một khoản đầu tư có rủi ro trung bình. Không làm mất đi tính tổng quát, hãy xem xét việc ước lượng beta và phần bù rủi ro vốn cổ phần trong mô hình định giá tài sản vốn. Ở đây, phần bù rủi ro nên đo lường mức lợi nhuận tăng thêm mà trung bình các nhà đầu tư đòi hỏi khi đầu tư vào danh mục thị trường so với tài sản phi rủi ro.</w:t>
      </w:r>
    </w:p>
    <w:p>
      <w:pPr>
        <w:pStyle w:val="Para 20"/>
      </w:pPr>
      <w:r>
        <w:rPr>
          <w:rStyle w:val="Text26"/>
        </w:rPr>
        <w:bookmarkStart w:id="1068" w:name="Page_164"/>
        <w:t/>
        <w:bookmarkEnd w:id="1068"/>
      </w:r>
      <w:r>
        <w:t xml:space="preserve"> </w:t>
      </w:r>
    </w:p>
    <w:p>
      <w:bookmarkStart w:id="1069" w:name="Determinants_of_Equity_Risk_Prem_1"/>
      <w:bookmarkStart w:id="1070" w:name="Determinants_of_Equity_Risk_Prem"/>
      <w:pPr>
        <w:keepNext/>
        <w:pStyle w:val="Heading 3"/>
        <w:keepLines w:val="on"/>
      </w:pPr>
      <w:r>
        <w:t>Các yếu tố quyết định phần bù rủi ro vốn cổ phần</w:t>
      </w:r>
      <w:bookmarkEnd w:id="1069"/>
      <w:bookmarkEnd w:id="1070"/>
    </w:p>
    <w:p>
      <w:pPr>
        <w:pStyle w:val="Para 03"/>
      </w:pPr>
      <w:r>
        <w:t>Phần bù rủi ro vốn cổ phần là một phong vũ biểu cho thị trường, phản ánh cuộc chiến giữa nỗi sợ hãi và lòng tham đang thúc đẩy thị trường đang diễn ra như thế nào trong giá của rủi ro. Không có gì đáng ngạc nhiên, phần bù rủi ro vốn cổ phần được quyết định bởi gần như mọi thứ đang diễn ra trên thị trường, từ kinh tế vĩ mô (lạm phát, lãi suất, nền kinh tế thực) đến chính trị (loại hình chính phủ và chính sách). Trong Hình 7.1, tôi liệt kê chỉ một danh sách một phần các yếu tố quyết định phần bù rủi ro vốn cổ phần.</w:t>
      </w:r>
    </w:p>
    <w:p>
      <w:bookmarkStart w:id="1072" w:name="Figure_7_1_Determinants_of_Equi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00300" cy="1943100"/>
            <wp:effectExtent l="0" r="0" t="0" b="0"/>
            <wp:wrapTopAndBottom/>
            <wp:docPr id="61" name="c07f001.png" descr="Illustration presents a partial list of the determinants of equity risk premiums."/>
            <wp:cNvGraphicFramePr>
              <a:graphicFrameLocks noChangeAspect="1"/>
            </wp:cNvGraphicFramePr>
            <a:graphic>
              <a:graphicData uri="http://schemas.openxmlformats.org/drawingml/2006/picture">
                <pic:pic>
                  <pic:nvPicPr>
                    <pic:cNvPr id="0" name="c07f001.png" descr="Illustration presents a partial list of the determinants of equity risk premiums."/>
                    <pic:cNvPicPr/>
                  </pic:nvPicPr>
                  <pic:blipFill>
                    <a:blip r:embed="rId56"/>
                    <a:stretch>
                      <a:fillRect/>
                    </a:stretch>
                  </pic:blipFill>
                  <pic:spPr>
                    <a:xfrm>
                      <a:off x="0" y="0"/>
                      <a:ext cx="2400300" cy="1943100"/>
                    </a:xfrm>
                    <a:prstGeom prst="rect">
                      <a:avLst/>
                    </a:prstGeom>
                  </pic:spPr>
                </pic:pic>
              </a:graphicData>
            </a:graphic>
          </wp:anchor>
        </w:drawing>
      </w:r>
      <w:bookmarkEnd w:id="1072"/>
    </w:p>
    <w:p>
      <w:pPr>
        <w:keepNext/>
        <w:pStyle w:val="Para 22"/>
        <w:keepLines w:val="on"/>
      </w:pPr>
      <w:r>
        <w:t>Hình 7.1 Các yếu tố quyết định phần bù rủi ro vốn cổ phần</w:t>
      </w:r>
    </w:p>
    <w:p>
      <w:pPr>
        <w:pStyle w:val="Para 03"/>
      </w:pPr>
      <w:r>
        <w:t>Khi bạn xem qua các yếu tố quyết định, có hai hàm ý. Thứ nhất là phần bù rủi ro vốn cổ phần sẽ thay đổi theo thời gian, tăng lên trong các cuộc khủng hoảng kinh tế và giai đoạn bất định cực độ, và giảm xuống trong thời kỳ bùng nổ kinh tế và ổn định. Thứ hai là phần bù rủi ro vốn cổ phần sẽ khác nhau giữa các khu vực địa lý, cao hơn ở các quốc gia có chính phủ và chính sách kinh tế bất ổn hơn, và thấp hơn ở các quốc gia có chính phủ ổn định và hệ thống pháp lý hoạt động hiệu quả.</w:t>
      </w:r>
    </w:p>
    <w:p>
      <w:bookmarkStart w:id="1073" w:name="Historical_Risk_Premiums__In_pra"/>
      <w:bookmarkStart w:id="1074" w:name="Historical_Risk_Premiums"/>
      <w:pPr>
        <w:keepNext/>
        <w:pStyle w:val="Heading 3"/>
        <w:keepLines w:val="on"/>
      </w:pPr>
      <w:r>
        <w:t>Phần bù rủi ro lịch sử</w:t>
      </w:r>
      <w:bookmarkEnd w:id="1073"/>
      <w:bookmarkEnd w:id="1074"/>
    </w:p>
    <w:p>
      <w:pPr>
        <w:pStyle w:val="Para 03"/>
      </w:pPr>
      <w:r>
        <w:t>Trong thực tế, các nhà phân tích và thẩm định viên thường ước lượng phần bù rủi ro bằng cách xem xét phần bù lịch sử mà cổ phiếu kiếm được so với chứng khoán không có rủi ro vỡ nợ trong những khoảng thời gian dài. Phương pháp phần bù lịch sử rất đơn giản. Lợi nhuận thực tế kiếm được từ cổ phiếu trong một khoảng thời gian dài được ước lượng, sau đó so sánh với lợi nhuận thực tế kiếm được từ một chứng khoán không có rủi ro vỡ nợ (thường là chính phủ). Chênh lệch, trên cơ sở hàng năm, giữa hai lợi nhuận được tính toán và đại diện cho phần bù rủi ro lịch sử. Phương pháp này có thể đưa ra các ước lượng hợp lý ở những thị trường như Hoa Kỳ, với một thị trường chứng khoán lớn và đa dạng cùng lịch sử lợi nhuận dài của cả cổ phiếu và chứng khoán chính phủ. Tuy nhiên, chúng đưa ra những ước lượng vô nghĩa cho phần bù rủi ro ở các quốc gia khác, nơi thị trường vốn cổ phần chỉ chiếm một tỷ lệ nhỏ trong toàn bộ nền kinh tế và lợi nhuận lịch sử chỉ có sẵn trong những khoảng thời gian ngắn.</w:t>
      </w:r>
    </w:p>
    <w:p>
      <w:pPr>
        <w:pStyle w:val="Para 03"/>
      </w:pPr>
      <w:r>
        <w:t>Trong khi những người sử dụng các mô hình rủi ro và lợi nhuận có thể đã đạt được sự đồng thuận rằng phần bù lịch sử thực sự là ước lượng tốt nhất cho phần bù rủi ro trong tương lai, thì có sự khác biệt đáng ngạc nhiên lớn trong các phần bù thực tế mà chúng ta quan sát thấy được sử dụng trong thực tế. Ví dụ, phần bù rủi ro được ước lượng trên thị trường Hoa Kỳ bởi các ngân hàng đầu tư, công ty tư vấn và tập đoàn khác nhau dao động từ 3 phần trăm ở mức thấp nhất đến 12 phần trăm ở mức cao nhất. Cho rằng gần như tất cả họ đều sử dụng cùng một cơ sở dữ liệu về lợi nhuận lịch sử,6 tóm tắt dữ liệu từ năm 1926, những khác biệt này có vẻ đáng ngạc nhiên. Tuy nhiên, có ba lý do cho sự khác biệt trong phần bù rủi ro:</w:t>
      </w:r>
    </w:p>
    <w:p>
      <w:pPr>
        <w:numPr>
          <w:ilvl w:val="0"/>
          <w:numId w:val="46"/>
        </w:numPr>
        <w:pStyle w:val="Para 01"/>
      </w:pPr>
      <w:r>
        <w:t>Khoảng thời gian được sử dụng. Trong khi có nhiều người sử dụng tất cả dữ liệu từ năm 1926 (hoặc sớm hơn), thì cũng có gần như tương đương số người sử dụng dữ liệu trong những khoảng thời gian ngắn hơn, như 50, 20, hoặc thậm chí 10 năm, để đưa ra phần bù rủi ro lịch sử. Lý do được những người sử dụng khoảng thời gian ngắn hơn đưa ra là mức độ ngại rủi ro của nhà đầu tư trung bình có khả năng thay đổi theo thời gian, và việc sử dụng khoảng thời gian ngắn hơn cung cấp một ước lượng cập nhật hơn. Điều này phải được cân đối với một chi phí liên quan đến việc sử dụng khoảng thời gian ngắn hơn, đó là độ nhiễu lớn hơn trong ước lượng phần bù rủi ro. Trên thực tế, với độ lệch chuẩn hàng năm của giá cổ phiếu7 trong khoảng từ năm 1929 đến năm 2023 là khoảng 20 phần trăm, sai số chuẩn8 liên quan đến ước lượng phần bù rủi ro có thể được ước lượng cho các khoảng thời gian ước lượng khác nhau trong Bảng 7.2.</w:t>
      </w:r>
    </w:p>
    <w:p>
      <w:pPr>
        <w:pStyle w:val="Para 34"/>
        <w:keepLines w:val="on"/>
      </w:pPr>
      <w:r>
        <w:t>Bảng 7.2</w:t>
      </w:r>
    </w:p>
    <w:p>
      <w:pPr>
        <w:keepNext/>
        <w:pStyle w:val="Para 35"/>
        <w:keepLines w:val="on"/>
      </w:pPr>
      <w:r>
        <w:t>Sai số chuẩn trong các ước lượng phần bù rủi ro</w:t>
      </w:r>
    </w:p>
    <w:tbl>
      <w:tblPr>
        <w:tblW w:type="auto" w:w="0"/>
      </w:tblPr>
      <w:tr>
        <w:tc>
          <w:tcPr>
            <w:tcW w:type="auto" w:w="0"/>
          </w:tcPr>
          <w:tbl>
            <w:tblPr>
              <w:tblW w:type="auto" w:w="0"/>
            </w:tblPr>
            <w:tr>
              <w:tc>
                <w:tcPr>
                  <w:tcW w:type="auto" w:w="0"/>
                  <w:shd w:val="clear" w:color="auto" w:fill="F0F0F0"/>
                </w:tcPr>
                <w:p>
                  <w:pPr>
                    <w:pStyle w:val="Para 29"/>
                    <w:keepLines w:val="on"/>
                  </w:pPr>
                  <w:r>
                    <w:t>Khoảng thời gian</w:t>
                  </w:r>
                </w:p>
              </w:tc>
              <w:tc>
                <w:tcPr>
                  <w:tcW w:type="auto" w:w="0"/>
                  <w:shd w:val="clear" w:color="auto" w:fill="F0F0F0"/>
                </w:tcPr>
                <w:p>
                  <w:pPr>
                    <w:pStyle w:val="Para 17"/>
                    <w:keepLines w:val="on"/>
                  </w:pPr>
                  <w:r>
                    <w:t>Sai số chuẩn trong ước lượng phần bù rủi ro vốn cổ phần</w:t>
                  </w:r>
                </w:p>
              </w:tc>
            </w:tr>
            <w:tr>
              <w:tc>
                <w:tcPr>
                  <w:tcW w:type="auto" w:w="0"/>
                  <w:shd w:val="clear" w:color="auto" w:fill="F0F0F0"/>
                </w:tcPr>
                <w:p>
                  <w:pPr>
                    <w:pStyle w:val="Para 02"/>
                    <w:keepLines w:val="on"/>
                  </w:pPr>
                  <w:r>
                    <w:t>5 năm</w:t>
                  </w:r>
                </w:p>
              </w:tc>
              <w:tc>
                <w:tcPr>
                  <w:tcW w:type="auto" w:w="0"/>
                  <w:shd w:val="clear" w:color="auto" w:fill="F0F0F0"/>
                </w:tcPr>
                <w:p>
                  <w:pPr>
                    <w:pStyle w:val="Para 63"/>
                    <w:keepLines w:val="on"/>
                  </w:pPr>
                  <w:r>
                    <w:t>20%/5=8.94%</w:t>
                  </w:r>
                </w:p>
              </w:tc>
            </w:tr>
            <w:tr>
              <w:tc>
                <w:tcPr>
                  <w:tcW w:type="auto" w:w="0"/>
                  <w:shd w:val="clear" w:color="auto" w:fill="F0F0F0"/>
                </w:tcPr>
                <w:p>
                  <w:pPr>
                    <w:pStyle w:val="Para 02"/>
                    <w:keepLines w:val="on"/>
                  </w:pPr>
                  <w:r>
                    <w:t>10 năm</w:t>
                  </w:r>
                </w:p>
              </w:tc>
              <w:tc>
                <w:tcPr>
                  <w:tcW w:type="auto" w:w="0"/>
                  <w:shd w:val="clear" w:color="auto" w:fill="F0F0F0"/>
                </w:tcPr>
                <w:p>
                  <w:pPr>
                    <w:pStyle w:val="Para 63"/>
                    <w:keepLines w:val="on"/>
                  </w:pPr>
                  <w:r>
                    <w:t>20%/10=6.32%</w:t>
                  </w:r>
                </w:p>
              </w:tc>
            </w:tr>
            <w:tr>
              <w:tc>
                <w:tcPr>
                  <w:tcW w:type="auto" w:w="0"/>
                  <w:shd w:val="clear" w:color="auto" w:fill="F0F0F0"/>
                </w:tcPr>
                <w:p>
                  <w:pPr>
                    <w:pStyle w:val="Para 02"/>
                    <w:keepLines w:val="on"/>
                  </w:pPr>
                  <w:r>
                    <w:t>25 năm</w:t>
                  </w:r>
                </w:p>
              </w:tc>
              <w:tc>
                <w:tcPr>
                  <w:tcW w:type="auto" w:w="0"/>
                  <w:shd w:val="clear" w:color="auto" w:fill="F0F0F0"/>
                </w:tcPr>
                <w:p>
                  <w:pPr>
                    <w:pStyle w:val="Para 63"/>
                    <w:keepLines w:val="on"/>
                  </w:pPr>
                  <w:r>
                    <w:t>20%/25=4,00%</w:t>
                  </w:r>
                </w:p>
              </w:tc>
            </w:tr>
            <w:tr>
              <w:tc>
                <w:tcPr>
                  <w:tcW w:type="auto" w:w="0"/>
                  <w:shd w:val="clear" w:color="auto" w:fill="F0F0F0"/>
                </w:tcPr>
                <w:p>
                  <w:pPr>
                    <w:pStyle w:val="Para 02"/>
                    <w:keepLines w:val="on"/>
                  </w:pPr>
                  <w:r>
                    <w:t>50 năm</w:t>
                  </w:r>
                </w:p>
              </w:tc>
              <w:tc>
                <w:tcPr>
                  <w:tcW w:type="auto" w:w="0"/>
                  <w:shd w:val="clear" w:color="auto" w:fill="F0F0F0"/>
                </w:tcPr>
                <w:p>
                  <w:pPr>
                    <w:pStyle w:val="Para 63"/>
                    <w:keepLines w:val="on"/>
                  </w:pPr>
                  <w:r>
                    <w:t>20%/50=2,83%</w:t>
                  </w:r>
                </w:p>
              </w:tc>
            </w:tr>
          </w:tbl>
          <w:p/>
        </w:tc>
      </w:tr>
    </w:tbl>
    <w:p>
      <w:pPr>
        <w:pStyle w:val="Para 03"/>
      </w:pPr>
      <w:r>
        <w:t>Lưu ý rằng để có sai số chuẩn (standard error) hợp lý, chúng ta cần những khoảng thời gian lịch sử rất dài. Ngược lại, sai số chuẩn từ các ước tính 10 năm và 20 năm có khả năng gần bằng hoặc lớn hơn cả mức bù rủi ro (risk premium) thực tế được ước tính. Theo quan điểm của chúng tôi, cái giá phải trả khi dùng khoảng thời gian ngắn hơn dường như lấn át mọi lợi ích gắn với việc có được một mức bù rủi ro cập nhật hơn.</w:t>
      </w:r>
    </w:p>
    <w:p>
      <w:pPr>
        <w:numPr>
          <w:ilvl w:val="0"/>
          <w:numId w:val="47"/>
        </w:numPr>
        <w:pStyle w:val="Para 01"/>
      </w:pPr>
      <w:r>
        <w:t>Lựa chọn chứng khoán phi rủi ro (risk-free security). Với dữ liệu lịch sử, bạn có thể có được lợi suất của cả tín phiếu kho bạc (Treasury bills – T-bills) lẫn trái phiếu kho bạc (Treasury bonds – T-bonds), và mức bù rủi ro cho cổ phiếu có thể được ước tính tương ứng với từng loại. Vì đường cong lợi suất (yield curve) ở Hoa Kỳ đã dốc lên trong phần lớn bảy thập kỷ qua, mức bù rủi ro sẽ lớn hơn khi được ước tính tương ứng với các chứng khoán chính phủ ngắn hạn (như tín phiếu kho bạc). Lãi suất phi rủi ro được chọn khi tính mức bù phải nhất quán với lãi suất phi rủi ro dùng để tính lợi suất kỳ vọng. Do đó, nếu dùng lãi suất tín phiếu kho bạc làm lãi suất phi rủi ro, thì mức bù phải là mức bù mà cổ phiếu kiếm được so với lãi suất đó. Nếu dùng lãi suất trái phiếu kho bạc làm lãi suất phi rủi ro, thì mức bù phải được ước tính tương ứng với lãi suất đó. Phần lớn trong tài chính doanh nghiệp và định giá, lãi suất phi rủi ro sẽ là lãi suất trái phiếu kho bạc (chính phủ) dài hạn không có rủi ro vỡ nợ chứ không phải lãi suất tín phiếu kho bạc. Vì vậy, mức bù rủi ro được dùng nên là mức bù mà cổ phiếu kiếm được so với trái phiếu kho bạc.</w:t>
      </w:r>
    </w:p>
    <w:p>
      <w:pPr>
        <w:numPr>
          <w:ilvl w:val="0"/>
          <w:numId w:val="47"/>
        </w:numPr>
        <w:pStyle w:val="Para 01"/>
      </w:pPr>
      <w:r>
        <w:t>Trung bình số học và trung bình hình học (arithmetic and geometric averages). Điểm vướng mắc cuối cùng khi ước tính mức bù rủi ro lịch sử liên quan đến cách tính lợi suất trung bình của cổ phiếu, trái phiếu kho bạc và tín phiếu kho bạc. Lợi suất trung bình số học đo giá trị trung bình đơn giản của chuỗi lợi suất hàng năm, trong khi trung bình hình học xét đến lợi suất gộp (compounded return).9 Quan điểm thông thường ủng hộ việc dùng trung bình số học. Thực tế, nếu lợi suất hàng năm không tương quan với nhau theo thời gian, và mục tiêu của chúng ta là ước tính mức bù rủi ro cho năm tới, thì trung bình số học là ước tính không thiên lệch tốt nhất cho mức bù đó. Tuy nhiên, có những lập luận mạnh mẽ ủng hộ việc dùng trung bình hình học. Thứ nhất, các nghiên cứu thực nghiệm dường như cho thấy lợi suất cổ phiếu có tương quan âm theo thời gian.10 Do đó, lợi suất trung bình số học có khả năng phóng đại mức bù. Thứ hai, dù các mô hình định giá tài sản có thể là mô hình một kỳ, việc dùng những mô hình này để có lợi suất kỳ vọng trong thời gian dài (như 5 hay 10 năm) cho thấy chúng ta quan tâm đến lợi suất trong những khoảng thời gian dài hơn. Trong bối cảnh đó, lập luận ủng hộ mức bù rủi ro theo trung bình hình học càng trở nên mạnh mẽ hơn.</w:t>
      </w:r>
    </w:p>
    <w:p>
      <w:pPr>
        <w:pStyle w:val="Para 03"/>
      </w:pPr>
      <w:r>
        <w:t>Tóm lại, các ước tính mức bù rủi ro vốn cổ phần (equity risk premium) khác nhau giữa những người dùng vì sự khác biệt về khoảng thời gian được dùng, việc chọn tín phiếu hay trái phiếu kho bạc làm lãi suất phi rủi ro, và việc dùng trung bình số học thay vì trung bình hình học. Ảnh hưởng của những lựa chọn này được tóm tắt trong Bảng 7.3, sử dụng lợi suất từ năm 1928 đến 2023. Lưu ý rằng mức bù rủi ro có thể dao động từ 4,97 phần trăm đến 11,70 phần trăm, tùy thuộc vào các lựa chọn được đưa ra. Thực tế, những khác biệt này còn trầm trọng hơn bởi việc nhiều mức bù rủi ro đang được dùng ngày nay được ước tính bằng dữ liệu lịch sử từ ba, bốn, hoặc thậm chí 10 năm trước. Nếu buộc phải chọn một mức bù rủi ro vốn cổ phần trên bảng này, chúng tôi nghiêng về mức 5,23 phần trăm, tức mức bù rủi ro trung bình hình học của cổ phiếu so với trái phiếu kho bạc từ năm 1928 đến 2023. Dù bạn chọn mức bù nào, thì vẫn sẽ có độ nhiễu (sai số chuẩn) đáng kể trong ước tính của bạn.</w:t>
      </w:r>
    </w:p>
    <w:p>
      <w:pPr>
        <w:pStyle w:val="Para 34"/>
        <w:keepLines w:val="on"/>
      </w:pPr>
      <w:r>
        <w:t>Bảng 7.3</w:t>
      </w:r>
    </w:p>
    <w:p>
      <w:pPr>
        <w:keepNext/>
        <w:pStyle w:val="Para 35"/>
        <w:keepLines w:val="on"/>
      </w:pPr>
      <w:r>
        <w:t>Các mức bù rủi ro lịch sử cho Hoa Kỳ (với sai số chuẩn in nghiêng)</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hMerge w:val="restart"/>
                </w:tcPr>
                <w:p>
                  <w:pPr>
                    <w:pStyle w:val="Para 17"/>
                    <w:keepLines w:val="on"/>
                  </w:pPr>
                  <w:r>
                    <w:t>Trung bình số học</w:t>
                  </w:r>
                </w:p>
              </w:tc>
              <w:tc>
                <w:tcPr>
                  <w:hMerge w:val="continue"/>
                </w:tcPr>
                <w:p/>
              </w:tc>
              <w:tc>
                <w:tcPr>
                  <w:tcW w:type="auto" w:w="0"/>
                  <w:shd w:val="clear" w:color="auto" w:fill="F0F0F0"/>
                  <w:hMerge w:val="restart"/>
                </w:tcPr>
                <w:p>
                  <w:pPr>
                    <w:pStyle w:val="Para 17"/>
                    <w:keepLines w:val="on"/>
                  </w:pPr>
                  <w:r>
                    <w:t>Trung bình hình học</w:t>
                  </w:r>
                </w:p>
              </w:tc>
              <w:tc>
                <w:tcPr>
                  <w:hMerge w:val="continue"/>
                </w:tcPr>
                <w:p/>
              </w:tc>
            </w:tr>
            <w:tr>
              <w:tc>
                <w:tcPr>
                  <w:tcW w:type="auto" w:w="0"/>
                  <w:shd w:val="clear" w:color="auto" w:fill="F0F0F0"/>
                </w:tcPr>
                <w:p>
                  <w:pPr>
                    <w:pStyle w:val="5 Block"/>
                    <w:keepLines w:val="on"/>
                  </w:pPr>
                </w:p>
              </w:tc>
              <w:tc>
                <w:tcPr>
                  <w:tcW w:type="auto" w:w="0"/>
                  <w:shd w:val="clear" w:color="auto" w:fill="F0F0F0"/>
                </w:tcPr>
                <w:p>
                  <w:pPr>
                    <w:pStyle w:val="Para 17"/>
                    <w:keepLines w:val="on"/>
                  </w:pPr>
                  <w:r>
                    <w:t>Cổ phiếu–T. Bills</w:t>
                  </w:r>
                </w:p>
              </w:tc>
              <w:tc>
                <w:tcPr>
                  <w:tcW w:type="auto" w:w="0"/>
                  <w:shd w:val="clear" w:color="auto" w:fill="F0F0F0"/>
                </w:tcPr>
                <w:p>
                  <w:pPr>
                    <w:pStyle w:val="Para 17"/>
                    <w:keepLines w:val="on"/>
                  </w:pPr>
                  <w:r>
                    <w:t>Cổ phiếu–T. Bonds</w:t>
                  </w:r>
                </w:p>
              </w:tc>
              <w:tc>
                <w:tcPr>
                  <w:tcW w:type="auto" w:w="0"/>
                  <w:shd w:val="clear" w:color="auto" w:fill="F0F0F0"/>
                </w:tcPr>
                <w:p>
                  <w:pPr>
                    <w:pStyle w:val="Para 17"/>
                    <w:keepLines w:val="on"/>
                  </w:pPr>
                  <w:r>
                    <w:t>Cổ phiếu–T. Bills</w:t>
                  </w:r>
                </w:p>
              </w:tc>
              <w:tc>
                <w:tcPr>
                  <w:tcW w:type="auto" w:w="0"/>
                  <w:shd w:val="clear" w:color="auto" w:fill="F0F0F0"/>
                </w:tcPr>
                <w:p>
                  <w:pPr>
                    <w:pStyle w:val="Para 17"/>
                    <w:keepLines w:val="on"/>
                  </w:pPr>
                  <w:r>
                    <w:t>Cổ phiếu–T. Bonds</w:t>
                  </w:r>
                </w:p>
              </w:tc>
            </w:tr>
            <w:tr>
              <w:tc>
                <w:tcPr>
                  <w:tcW w:type="auto" w:w="0"/>
                  <w:shd w:val="clear" w:color="auto" w:fill="F0F0F0"/>
                </w:tcPr>
                <w:p>
                  <w:pPr>
                    <w:pStyle w:val="Para 02"/>
                    <w:keepLines w:val="on"/>
                  </w:pPr>
                  <w:r>
                    <w:t>1928–2023</w:t>
                  </w:r>
                </w:p>
              </w:tc>
              <w:tc>
                <w:tcPr>
                  <w:tcW w:type="auto" w:w="0"/>
                  <w:shd w:val="clear" w:color="auto" w:fill="F0F0F0"/>
                </w:tcPr>
                <w:p>
                  <w:pPr>
                    <w:pStyle w:val="Normal"/>
                    <w:keepLines w:val="on"/>
                  </w:pPr>
                  <w:r>
                    <w:t>8,32%</w:t>
                  </w:r>
                </w:p>
              </w:tc>
              <w:tc>
                <w:tcPr>
                  <w:tcW w:type="auto" w:w="0"/>
                  <w:shd w:val="clear" w:color="auto" w:fill="F0F0F0"/>
                </w:tcPr>
                <w:p>
                  <w:pPr>
                    <w:pStyle w:val="Normal"/>
                    <w:keepLines w:val="on"/>
                  </w:pPr>
                  <w:r>
                    <w:t>6,80%</w:t>
                  </w:r>
                </w:p>
              </w:tc>
              <w:tc>
                <w:tcPr>
                  <w:tcW w:type="auto" w:w="0"/>
                  <w:shd w:val="clear" w:color="auto" w:fill="F0F0F0"/>
                </w:tcPr>
                <w:p>
                  <w:pPr>
                    <w:pStyle w:val="Normal"/>
                    <w:keepLines w:val="on"/>
                  </w:pPr>
                  <w:r>
                    <w:t>6,50%</w:t>
                  </w:r>
                </w:p>
              </w:tc>
              <w:tc>
                <w:tcPr>
                  <w:tcW w:type="auto" w:w="0"/>
                  <w:shd w:val="clear" w:color="auto" w:fill="F0F0F0"/>
                </w:tcPr>
                <w:p>
                  <w:pPr>
                    <w:pStyle w:val="Normal"/>
                    <w:keepLines w:val="on"/>
                  </w:pPr>
                  <w:r>
                    <w:t>5,23%</w:t>
                  </w:r>
                </w:p>
              </w:tc>
            </w:tr>
            <w:tr>
              <w:tc>
                <w:tcPr>
                  <w:tcW w:type="auto" w:w="0"/>
                  <w:shd w:val="clear" w:color="auto" w:fill="F0F0F0"/>
                </w:tcPr>
                <w:p>
                  <w:pPr>
                    <w:pStyle w:val="Para 02"/>
                    <w:keepLines w:val="on"/>
                  </w:pPr>
                  <w:r>
                    <w:t>Sai số chuẩn</w:t>
                  </w:r>
                </w:p>
              </w:tc>
              <w:tc>
                <w:tcPr>
                  <w:tcW w:type="auto" w:w="0"/>
                  <w:shd w:val="clear" w:color="auto" w:fill="F0F0F0"/>
                </w:tcPr>
                <w:p>
                  <w:pPr>
                    <w:pStyle w:val="Para 41"/>
                    <w:keepLines w:val="on"/>
                  </w:pPr>
                  <w:r>
                    <w:t>(2,03%)</w:t>
                  </w:r>
                </w:p>
              </w:tc>
              <w:tc>
                <w:tcPr>
                  <w:tcW w:type="auto" w:w="0"/>
                  <w:shd w:val="clear" w:color="auto" w:fill="F0F0F0"/>
                </w:tcPr>
                <w:p>
                  <w:pPr>
                    <w:pStyle w:val="Para 41"/>
                    <w:keepLines w:val="on"/>
                  </w:pPr>
                  <w:r>
                    <w:t>(2,14%)</w:t>
                  </w: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1974–2023</w:t>
                  </w:r>
                </w:p>
              </w:tc>
              <w:tc>
                <w:tcPr>
                  <w:tcW w:type="auto" w:w="0"/>
                  <w:shd w:val="clear" w:color="auto" w:fill="F0F0F0"/>
                </w:tcPr>
                <w:p>
                  <w:pPr>
                    <w:pStyle w:val="Normal"/>
                    <w:keepLines w:val="on"/>
                  </w:pPr>
                  <w:r>
                    <w:t>8,18%</w:t>
                  </w:r>
                </w:p>
              </w:tc>
              <w:tc>
                <w:tcPr>
                  <w:tcW w:type="auto" w:w="0"/>
                  <w:shd w:val="clear" w:color="auto" w:fill="F0F0F0"/>
                </w:tcPr>
                <w:p>
                  <w:pPr>
                    <w:pStyle w:val="Normal"/>
                    <w:keepLines w:val="on"/>
                  </w:pPr>
                  <w:r>
                    <w:t>5,95%</w:t>
                  </w:r>
                </w:p>
              </w:tc>
              <w:tc>
                <w:tcPr>
                  <w:tcW w:type="auto" w:w="0"/>
                  <w:shd w:val="clear" w:color="auto" w:fill="F0F0F0"/>
                </w:tcPr>
                <w:p>
                  <w:pPr>
                    <w:pStyle w:val="Normal"/>
                    <w:keepLines w:val="on"/>
                  </w:pPr>
                  <w:r>
                    <w:t>6,79%</w:t>
                  </w:r>
                </w:p>
              </w:tc>
              <w:tc>
                <w:tcPr>
                  <w:tcW w:type="auto" w:w="0"/>
                  <w:shd w:val="clear" w:color="auto" w:fill="F0F0F0"/>
                </w:tcPr>
                <w:p>
                  <w:pPr>
                    <w:pStyle w:val="Normal"/>
                    <w:keepLines w:val="on"/>
                  </w:pPr>
                  <w:r>
                    <w:t>4,97%</w:t>
                  </w:r>
                </w:p>
              </w:tc>
            </w:tr>
            <w:tr>
              <w:tc>
                <w:tcPr>
                  <w:tcW w:type="auto" w:w="0"/>
                  <w:shd w:val="clear" w:color="auto" w:fill="F0F0F0"/>
                </w:tcPr>
                <w:p>
                  <w:pPr>
                    <w:pStyle w:val="Para 02"/>
                    <w:keepLines w:val="on"/>
                  </w:pPr>
                  <w:r>
                    <w:t>Sai số chuẩn</w:t>
                  </w:r>
                </w:p>
              </w:tc>
              <w:tc>
                <w:tcPr>
                  <w:tcW w:type="auto" w:w="0"/>
                  <w:shd w:val="clear" w:color="auto" w:fill="F0F0F0"/>
                </w:tcPr>
                <w:p>
                  <w:pPr>
                    <w:pStyle w:val="Para 41"/>
                    <w:keepLines w:val="on"/>
                  </w:pPr>
                  <w:r>
                    <w:t>(2,45%)</w:t>
                  </w:r>
                </w:p>
              </w:tc>
              <w:tc>
                <w:tcPr>
                  <w:tcW w:type="auto" w:w="0"/>
                  <w:shd w:val="clear" w:color="auto" w:fill="F0F0F0"/>
                </w:tcPr>
                <w:p>
                  <w:pPr>
                    <w:pStyle w:val="Para 41"/>
                    <w:keepLines w:val="on"/>
                  </w:pPr>
                  <w:r>
                    <w:t>(2,73%)</w:t>
                  </w: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2014–2023</w:t>
                  </w:r>
                </w:p>
              </w:tc>
              <w:tc>
                <w:tcPr>
                  <w:tcW w:type="auto" w:w="0"/>
                  <w:shd w:val="clear" w:color="auto" w:fill="F0F0F0"/>
                </w:tcPr>
                <w:p>
                  <w:pPr>
                    <w:pStyle w:val="Normal"/>
                    <w:keepLines w:val="on"/>
                  </w:pPr>
                  <w:r>
                    <w:t>11,70%</w:t>
                  </w:r>
                </w:p>
              </w:tc>
              <w:tc>
                <w:tcPr>
                  <w:tcW w:type="auto" w:w="0"/>
                  <w:shd w:val="clear" w:color="auto" w:fill="F0F0F0"/>
                </w:tcPr>
                <w:p>
                  <w:pPr>
                    <w:pStyle w:val="Normal"/>
                    <w:keepLines w:val="on"/>
                  </w:pPr>
                  <w:r>
                    <w:t>11,17%</w:t>
                  </w:r>
                </w:p>
              </w:tc>
              <w:tc>
                <w:tcPr>
                  <w:tcW w:type="auto" w:w="0"/>
                  <w:shd w:val="clear" w:color="auto" w:fill="F0F0F0"/>
                </w:tcPr>
                <w:p>
                  <w:pPr>
                    <w:pStyle w:val="Normal"/>
                    <w:keepLines w:val="on"/>
                  </w:pPr>
                  <w:r>
                    <w:t>10,63%</w:t>
                  </w:r>
                </w:p>
              </w:tc>
              <w:tc>
                <w:tcPr>
                  <w:tcW w:type="auto" w:w="0"/>
                  <w:shd w:val="clear" w:color="auto" w:fill="F0F0F0"/>
                </w:tcPr>
                <w:p>
                  <w:pPr>
                    <w:pStyle w:val="Normal"/>
                    <w:keepLines w:val="on"/>
                  </w:pPr>
                  <w:r>
                    <w:t>10,44%</w:t>
                  </w:r>
                </w:p>
              </w:tc>
            </w:tr>
            <w:tr>
              <w:tc>
                <w:tcPr>
                  <w:tcW w:type="auto" w:w="0"/>
                  <w:shd w:val="clear" w:color="auto" w:fill="F0F0F0"/>
                </w:tcPr>
                <w:p>
                  <w:pPr>
                    <w:pStyle w:val="Para 02"/>
                    <w:keepLines w:val="on"/>
                  </w:pPr>
                  <w:r>
                    <w:t>Sai số chuẩn</w:t>
                  </w:r>
                </w:p>
              </w:tc>
              <w:tc>
                <w:tcPr>
                  <w:tcW w:type="auto" w:w="0"/>
                  <w:shd w:val="clear" w:color="auto" w:fill="F0F0F0"/>
                </w:tcPr>
                <w:p>
                  <w:pPr>
                    <w:pStyle w:val="Para 41"/>
                    <w:keepLines w:val="on"/>
                  </w:pPr>
                  <w:r>
                    <w:t>(4,97%)</w:t>
                  </w:r>
                </w:p>
              </w:tc>
              <w:tc>
                <w:tcPr>
                  <w:tcW w:type="auto" w:w="0"/>
                  <w:shd w:val="clear" w:color="auto" w:fill="F0F0F0"/>
                </w:tcPr>
                <w:p>
                  <w:pPr>
                    <w:pStyle w:val="Para 41"/>
                    <w:keepLines w:val="on"/>
                  </w:pPr>
                  <w:r>
                    <w:t>(3,78%)</w:t>
                  </w:r>
                </w:p>
              </w:tc>
              <w:tc>
                <w:tcPr>
                  <w:tcW w:type="auto" w:w="0"/>
                  <w:shd w:val="clear" w:color="auto" w:fill="F0F0F0"/>
                </w:tcPr>
                <w:p>
                  <w:pPr>
                    <w:pStyle w:val="7 Block"/>
                    <w:keepLines w:val="on"/>
                  </w:pPr>
                </w:p>
              </w:tc>
              <w:tc>
                <w:tcPr>
                  <w:tcW w:type="auto" w:w="0"/>
                  <w:shd w:val="clear" w:color="auto" w:fill="F0F0F0"/>
                </w:tcPr>
                <w:p>
                  <w:pPr>
                    <w:pStyle w:val="7 Block"/>
                    <w:keepLines w:val="on"/>
                  </w:pPr>
                </w:p>
              </w:tc>
            </w:tr>
          </w:tbl>
          <w:p/>
        </w:tc>
      </w:tr>
    </w:tbl>
    <w:p>
      <w:pPr>
        <w:pStyle w:val="Para 11"/>
      </w:pPr>
      <w:r>
        <w:t/>
        <w:t xml:space="preserve"> </w:t>
      </w:r>
    </w:p>
    <w:p>
      <w:bookmarkStart w:id="1089" w:name="histretSP_xls__There_is_a_datas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62"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1089"/>
    </w:p>
    <w:p>
      <w:pPr>
        <w:pStyle w:val="Para 31"/>
        <w:keepLines w:val="on"/>
      </w:pPr>
      <w:r>
        <w:t>histretSP.xls: Có một bộ dữ liệu trên web tóm tắt lợi nhuận lịch sử của cổ phiếu, trái phiếu chính phủ dài hạn và tín phiếu kho bạc ở Hoa Kỳ từ năm 1928</w:t>
      </w:r>
    </w:p>
    <w:p>
      <w:pPr>
        <w:pStyle w:val="Para 03"/>
        <w:keepLines w:val="on"/>
      </w:pPr>
      <w:r>
        <w:t>.</w:t>
      </w:r>
    </w:p>
    <w:p>
      <w:bookmarkStart w:id="1090" w:name="Historical_Risk_Premiums__Other"/>
      <w:bookmarkStart w:id="1091" w:name="Historical_Risk_Premiums__Other_1"/>
      <w:pPr>
        <w:keepNext/>
        <w:pStyle w:val="Heading 4"/>
        <w:keepLines w:val="on"/>
      </w:pPr>
      <w:r>
        <w:t>Phần bù rủi ro lịch sử: Các thị trường khác</w:t>
      </w:r>
      <w:bookmarkEnd w:id="1090"/>
      <w:bookmarkEnd w:id="1091"/>
    </w:p>
    <w:p>
      <w:pPr>
        <w:pStyle w:val="Para 03"/>
      </w:pPr>
      <w:r>
        <w:t>Nếu việc ước tính một phần bù lịch sử đáng tin cậy cho thị trường Hoa Kỳ đã khó, thì khi nhìn vào các thị trường có lịch sử ngắn và biến động mạnh, điều đó còn khó gấp đôi. Điều này rõ ràng đúng với các thị trường mới nổi, nhưng cũng đúng với các thị trường cổ phiếu châu Âu. Dù nền kinh tế của Đức, Ý và Pháp có thể đã trưởng thành, thị trường cổ phiếu của họ lại không có cùng đặc điểm đó. Cho đến hai thập kỷ trước, chúng thường bị chi phối bởi một vài công ty lớn; nhiều doanh nghiệp vẫn thuộc sở hữu tư nhân; và giao dịch chỉ diễn ra sôi động ở một vài cổ phiếu.</w:t>
      </w:r>
    </w:p>
    <w:p>
      <w:pPr>
        <w:pStyle w:val="Para 03"/>
      </w:pPr>
      <w:r>
        <w:t>Vẫn có một số người hành nghề sử dụng phần bù lịch sử cho những thị trường này. Để phần nào nắm bắt được mối nguy trong cách làm này, Bảng 7.4 tóm tắt phần bù rủi ro lịch sử11 của các thị trường lớn ngoài Hoa Kỳ trong giai đoạn 1970–2017.</w:t>
      </w:r>
    </w:p>
    <w:p>
      <w:pPr>
        <w:pStyle w:val="Para 34"/>
        <w:keepLines w:val="on"/>
      </w:pPr>
      <w:r>
        <w:t>Bảng 7.4</w:t>
      </w:r>
    </w:p>
    <w:p>
      <w:pPr>
        <w:keepNext/>
        <w:pStyle w:val="Para 35"/>
        <w:keepLines w:val="on"/>
      </w:pPr>
      <w:r>
        <w:t>Phần bù rủi ro cổ phiếu lịch sử: Các thị trường ngoài Hoa Kỳ</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hMerge w:val="restart"/>
                </w:tcPr>
                <w:p>
                  <w:pPr>
                    <w:pStyle w:val="Para 17"/>
                    <w:keepLines w:val="on"/>
                  </w:pPr>
                  <w:r>
                    <w:t>Cổ phiếu trừ trái phiếu chính phủ dài hạn</w:t>
                  </w:r>
                </w:p>
              </w:tc>
              <w:tc>
                <w:tcPr>
                  <w:hMerge w:val="continue"/>
                </w:tcPr>
                <w:p/>
              </w:tc>
              <w:tc>
                <w:tcPr>
                  <w:hMerge w:val="continue"/>
                </w:tcPr>
                <w:p/>
              </w:tc>
              <w:tc>
                <w:tcPr>
                  <w:hMerge w:val="continue"/>
                </w:tcPr>
                <w:p/>
              </w:tc>
            </w:tr>
            <w:tr>
              <w:tc>
                <w:tcPr>
                  <w:tcW w:type="auto" w:w="0"/>
                  <w:shd w:val="clear" w:color="auto" w:fill="F0F0F0"/>
                </w:tcPr>
                <w:p>
                  <w:pPr>
                    <w:pStyle w:val="Para 29"/>
                    <w:keepLines w:val="on"/>
                  </w:pPr>
                  <w:r>
                    <w:t>Quốc gia</w:t>
                  </w:r>
                </w:p>
              </w:tc>
              <w:tc>
                <w:tcPr>
                  <w:tcW w:type="auto" w:w="0"/>
                  <w:shd w:val="clear" w:color="auto" w:fill="F0F0F0"/>
                </w:tcPr>
                <w:p>
                  <w:pPr>
                    <w:pStyle w:val="Para 17"/>
                    <w:keepLines w:val="on"/>
                  </w:pPr>
                  <w:r>
                    <w:t>Trung bình hình học</w:t>
                  </w:r>
                </w:p>
              </w:tc>
              <w:tc>
                <w:tcPr>
                  <w:tcW w:type="auto" w:w="0"/>
                  <w:shd w:val="clear" w:color="auto" w:fill="F0F0F0"/>
                </w:tcPr>
                <w:p>
                  <w:pPr>
                    <w:pStyle w:val="Para 17"/>
                    <w:keepLines w:val="on"/>
                  </w:pPr>
                  <w:r>
                    <w:t>Trung bình cộng (Arithmetic Mean)</w:t>
                  </w:r>
                </w:p>
              </w:tc>
              <w:tc>
                <w:tcPr>
                  <w:tcW w:type="auto" w:w="0"/>
                  <w:shd w:val="clear" w:color="auto" w:fill="F0F0F0"/>
                </w:tcPr>
                <w:p>
                  <w:pPr>
                    <w:pStyle w:val="Para 17"/>
                    <w:keepLines w:val="on"/>
                  </w:pPr>
                  <w:r>
                    <w:t>Sai số chuẩn (Standard Error)</w:t>
                  </w:r>
                </w:p>
              </w:tc>
              <w:tc>
                <w:tcPr>
                  <w:tcW w:type="auto" w:w="0"/>
                  <w:shd w:val="clear" w:color="auto" w:fill="F0F0F0"/>
                </w:tcPr>
                <w:p>
                  <w:pPr>
                    <w:pStyle w:val="Para 17"/>
                    <w:keepLines w:val="on"/>
                  </w:pPr>
                  <w:r>
                    <w:t>Độ lệch chuẩn (Standard Deviation)</w:t>
                  </w:r>
                </w:p>
              </w:tc>
            </w:tr>
            <w:tr>
              <w:tc>
                <w:tcPr>
                  <w:tcW w:type="auto" w:w="0"/>
                  <w:shd w:val="clear" w:color="auto" w:fill="F0F0F0"/>
                </w:tcPr>
                <w:p>
                  <w:pPr>
                    <w:pStyle w:val="Para 02"/>
                    <w:keepLines w:val="on"/>
                  </w:pPr>
                  <w:r>
                    <w:t>Australia</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6,60%</w:t>
                  </w:r>
                </w:p>
              </w:tc>
              <w:tc>
                <w:tcPr>
                  <w:tcW w:type="auto" w:w="0"/>
                  <w:shd w:val="clear" w:color="auto" w:fill="F0F0F0"/>
                </w:tcPr>
                <w:p>
                  <w:pPr>
                    <w:pStyle w:val="Normal"/>
                    <w:keepLines w:val="on"/>
                  </w:pPr>
                  <w:r>
                    <w:t>1,70%</w:t>
                  </w:r>
                </w:p>
              </w:tc>
              <w:tc>
                <w:tcPr>
                  <w:tcW w:type="auto" w:w="0"/>
                  <w:shd w:val="clear" w:color="auto" w:fill="F0F0F0"/>
                </w:tcPr>
                <w:p>
                  <w:pPr>
                    <w:pStyle w:val="Normal"/>
                    <w:keepLines w:val="on"/>
                  </w:pPr>
                  <w:r>
                    <w:t>18,10%</w:t>
                  </w:r>
                </w:p>
              </w:tc>
            </w:tr>
            <w:tr>
              <w:tc>
                <w:tcPr>
                  <w:tcW w:type="auto" w:w="0"/>
                  <w:shd w:val="clear" w:color="auto" w:fill="F0F0F0"/>
                </w:tcPr>
                <w:p>
                  <w:pPr>
                    <w:pStyle w:val="Para 02"/>
                    <w:keepLines w:val="on"/>
                  </w:pPr>
                  <w:r>
                    <w:t>Austria</w:t>
                  </w:r>
                </w:p>
              </w:tc>
              <w:tc>
                <w:tcPr>
                  <w:tcW w:type="auto" w:w="0"/>
                  <w:shd w:val="clear" w:color="auto" w:fill="F0F0F0"/>
                </w:tcPr>
                <w:p>
                  <w:pPr>
                    <w:pStyle w:val="Normal"/>
                    <w:keepLines w:val="on"/>
                  </w:pPr>
                  <w:r>
                    <w:t>2,90%</w:t>
                  </w:r>
                </w:p>
              </w:tc>
              <w:tc>
                <w:tcPr>
                  <w:tcW w:type="auto" w:w="0"/>
                  <w:shd w:val="clear" w:color="auto" w:fill="F0F0F0"/>
                </w:tcPr>
                <w:p>
                  <w:pPr>
                    <w:pStyle w:val="Normal"/>
                    <w:keepLines w:val="on"/>
                  </w:pPr>
                  <w:r>
                    <w:t>21,50%</w:t>
                  </w:r>
                </w:p>
              </w:tc>
              <w:tc>
                <w:tcPr>
                  <w:tcW w:type="auto" w:w="0"/>
                  <w:shd w:val="clear" w:color="auto" w:fill="F0F0F0"/>
                </w:tcPr>
                <w:p>
                  <w:pPr>
                    <w:pStyle w:val="Normal"/>
                    <w:keepLines w:val="on"/>
                  </w:pPr>
                  <w:r>
                    <w:t>14,10%</w:t>
                  </w:r>
                </w:p>
              </w:tc>
              <w:tc>
                <w:tcPr>
                  <w:tcW w:type="auto" w:w="0"/>
                  <w:shd w:val="clear" w:color="auto" w:fill="F0F0F0"/>
                </w:tcPr>
                <w:p>
                  <w:pPr>
                    <w:pStyle w:val="Normal"/>
                    <w:keepLines w:val="on"/>
                  </w:pPr>
                  <w:r>
                    <w:t>151,50%</w:t>
                  </w:r>
                </w:p>
              </w:tc>
            </w:tr>
            <w:tr>
              <w:tc>
                <w:tcPr>
                  <w:tcW w:type="auto" w:w="0"/>
                  <w:shd w:val="clear" w:color="auto" w:fill="F0F0F0"/>
                </w:tcPr>
                <w:p>
                  <w:pPr>
                    <w:pStyle w:val="Para 02"/>
                    <w:keepLines w:val="on"/>
                  </w:pPr>
                  <w:r>
                    <w:t>Belgium</w:t>
                  </w:r>
                </w:p>
              </w:tc>
              <w:tc>
                <w:tcPr>
                  <w:tcW w:type="auto" w:w="0"/>
                  <w:shd w:val="clear" w:color="auto" w:fill="F0F0F0"/>
                </w:tcPr>
                <w:p>
                  <w:pPr>
                    <w:pStyle w:val="Normal"/>
                    <w:keepLines w:val="on"/>
                  </w:pPr>
                  <w:r>
                    <w:t>2,20%</w:t>
                  </w:r>
                </w:p>
              </w:tc>
              <w:tc>
                <w:tcPr>
                  <w:tcW w:type="auto" w:w="0"/>
                  <w:shd w:val="clear" w:color="auto" w:fill="F0F0F0"/>
                </w:tcPr>
                <w:p>
                  <w:pPr>
                    <w:pStyle w:val="Normal"/>
                    <w:keepLines w:val="on"/>
                  </w:pPr>
                  <w:r>
                    <w:t>4,30%</w:t>
                  </w:r>
                </w:p>
              </w:tc>
              <w:tc>
                <w:tcPr>
                  <w:tcW w:type="auto" w:w="0"/>
                  <w:shd w:val="clear" w:color="auto" w:fill="F0F0F0"/>
                </w:tcPr>
                <w:p>
                  <w:pPr>
                    <w:pStyle w:val="Normal"/>
                    <w:keepLines w:val="on"/>
                  </w:pPr>
                  <w:r>
                    <w:t>1,90%</w:t>
                  </w:r>
                </w:p>
              </w:tc>
              <w:tc>
                <w:tcPr>
                  <w:tcW w:type="auto" w:w="0"/>
                  <w:shd w:val="clear" w:color="auto" w:fill="F0F0F0"/>
                </w:tcPr>
                <w:p>
                  <w:pPr>
                    <w:pStyle w:val="Normal"/>
                    <w:keepLines w:val="on"/>
                  </w:pPr>
                  <w:r>
                    <w:t>20,80%</w:t>
                  </w:r>
                </w:p>
              </w:tc>
            </w:tr>
            <w:tr>
              <w:tc>
                <w:tcPr>
                  <w:tcW w:type="auto" w:w="0"/>
                  <w:shd w:val="clear" w:color="auto" w:fill="F0F0F0"/>
                </w:tcPr>
                <w:p>
                  <w:pPr>
                    <w:pStyle w:val="Para 02"/>
                    <w:keepLines w:val="on"/>
                  </w:pPr>
                  <w:r>
                    <w:t>Canada</w:t>
                  </w:r>
                </w:p>
              </w:tc>
              <w:tc>
                <w:tcPr>
                  <w:tcW w:type="auto" w:w="0"/>
                  <w:shd w:val="clear" w:color="auto" w:fill="F0F0F0"/>
                </w:tcPr>
                <w:p>
                  <w:pPr>
                    <w:pStyle w:val="Normal"/>
                    <w:keepLines w:val="on"/>
                  </w:pPr>
                  <w:r>
                    <w:t>3,50%</w:t>
                  </w:r>
                </w:p>
              </w:tc>
              <w:tc>
                <w:tcPr>
                  <w:tcW w:type="auto" w:w="0"/>
                  <w:shd w:val="clear" w:color="auto" w:fill="F0F0F0"/>
                </w:tcPr>
                <w:p>
                  <w:pPr>
                    <w:pStyle w:val="Normal"/>
                    <w:keepLines w:val="on"/>
                  </w:pPr>
                  <w:r>
                    <w:t>5,10%</w:t>
                  </w:r>
                </w:p>
              </w:tc>
              <w:tc>
                <w:tcPr>
                  <w:tcW w:type="auto" w:w="0"/>
                  <w:shd w:val="clear" w:color="auto" w:fill="F0F0F0"/>
                </w:tcPr>
                <w:p>
                  <w:pPr>
                    <w:pStyle w:val="Normal"/>
                    <w:keepLines w:val="on"/>
                  </w:pPr>
                  <w:r>
                    <w:t>1,70%</w:t>
                  </w:r>
                </w:p>
              </w:tc>
              <w:tc>
                <w:tcPr>
                  <w:tcW w:type="auto" w:w="0"/>
                  <w:shd w:val="clear" w:color="auto" w:fill="F0F0F0"/>
                </w:tcPr>
                <w:p>
                  <w:pPr>
                    <w:pStyle w:val="Normal"/>
                    <w:keepLines w:val="on"/>
                  </w:pPr>
                  <w:r>
                    <w:t>18,20%</w:t>
                  </w:r>
                </w:p>
              </w:tc>
            </w:tr>
            <w:tr>
              <w:tc>
                <w:tcPr>
                  <w:tcW w:type="auto" w:w="0"/>
                  <w:shd w:val="clear" w:color="auto" w:fill="F0F0F0"/>
                </w:tcPr>
                <w:p>
                  <w:pPr>
                    <w:pStyle w:val="Para 02"/>
                    <w:keepLines w:val="on"/>
                  </w:pPr>
                  <w:r>
                    <w:t>Denmark</w:t>
                  </w:r>
                </w:p>
              </w:tc>
              <w:tc>
                <w:tcPr>
                  <w:tcW w:type="auto" w:w="0"/>
                  <w:shd w:val="clear" w:color="auto" w:fill="F0F0F0"/>
                </w:tcPr>
                <w:p>
                  <w:pPr>
                    <w:pStyle w:val="Normal"/>
                    <w:keepLines w:val="on"/>
                  </w:pPr>
                  <w:r>
                    <w:t>2,20%</w:t>
                  </w:r>
                </w:p>
              </w:tc>
              <w:tc>
                <w:tcPr>
                  <w:tcW w:type="auto" w:w="0"/>
                  <w:shd w:val="clear" w:color="auto" w:fill="F0F0F0"/>
                </w:tcPr>
                <w:p>
                  <w:pPr>
                    <w:pStyle w:val="Normal"/>
                    <w:keepLines w:val="on"/>
                  </w:pPr>
                  <w:r>
                    <w:t>3,80%</w:t>
                  </w:r>
                </w:p>
              </w:tc>
              <w:tc>
                <w:tcPr>
                  <w:tcW w:type="auto" w:w="0"/>
                  <w:shd w:val="clear" w:color="auto" w:fill="F0F0F0"/>
                </w:tcPr>
                <w:p>
                  <w:pPr>
                    <w:pStyle w:val="Normal"/>
                    <w:keepLines w:val="on"/>
                  </w:pPr>
                  <w:r>
                    <w:t>1,70%</w:t>
                  </w:r>
                </w:p>
              </w:tc>
              <w:tc>
                <w:tcPr>
                  <w:tcW w:type="auto" w:w="0"/>
                  <w:shd w:val="clear" w:color="auto" w:fill="F0F0F0"/>
                </w:tcPr>
                <w:p>
                  <w:pPr>
                    <w:pStyle w:val="Normal"/>
                    <w:keepLines w:val="on"/>
                  </w:pPr>
                  <w:r>
                    <w:t>18,00%</w:t>
                  </w:r>
                </w:p>
              </w:tc>
            </w:tr>
            <w:tr>
              <w:tc>
                <w:tcPr>
                  <w:tcW w:type="auto" w:w="0"/>
                  <w:shd w:val="clear" w:color="auto" w:fill="F0F0F0"/>
                </w:tcPr>
                <w:p>
                  <w:pPr>
                    <w:pStyle w:val="Para 02"/>
                    <w:keepLines w:val="on"/>
                  </w:pPr>
                  <w:r>
                    <w:t>Phần Lan</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8,70%</w:t>
                  </w:r>
                </w:p>
              </w:tc>
              <w:tc>
                <w:tcPr>
                  <w:tcW w:type="auto" w:w="0"/>
                  <w:shd w:val="clear" w:color="auto" w:fill="F0F0F0"/>
                </w:tcPr>
                <w:p>
                  <w:pPr>
                    <w:pStyle w:val="Normal"/>
                    <w:keepLines w:val="on"/>
                  </w:pPr>
                  <w:r>
                    <w:t>2,70%</w:t>
                  </w:r>
                </w:p>
              </w:tc>
              <w:tc>
                <w:tcPr>
                  <w:tcW w:type="auto" w:w="0"/>
                  <w:shd w:val="clear" w:color="auto" w:fill="F0F0F0"/>
                </w:tcPr>
                <w:p>
                  <w:pPr>
                    <w:pStyle w:val="Normal"/>
                    <w:keepLines w:val="on"/>
                  </w:pPr>
                  <w:r>
                    <w:t>29,70%</w:t>
                  </w:r>
                </w:p>
              </w:tc>
            </w:tr>
            <w:tr>
              <w:tc>
                <w:tcPr>
                  <w:tcW w:type="auto" w:w="0"/>
                  <w:shd w:val="clear" w:color="auto" w:fill="F0F0F0"/>
                </w:tcPr>
                <w:p>
                  <w:pPr>
                    <w:pStyle w:val="Para 02"/>
                    <w:keepLines w:val="on"/>
                  </w:pPr>
                  <w:r>
                    <w:t>Pháp</w:t>
                  </w:r>
                </w:p>
              </w:tc>
              <w:tc>
                <w:tcPr>
                  <w:tcW w:type="auto" w:w="0"/>
                  <w:shd w:val="clear" w:color="auto" w:fill="F0F0F0"/>
                </w:tcPr>
                <w:p>
                  <w:pPr>
                    <w:pStyle w:val="Normal"/>
                    <w:keepLines w:val="on"/>
                  </w:pPr>
                  <w:r>
                    <w:t>3,10%</w:t>
                  </w:r>
                </w:p>
              </w:tc>
              <w:tc>
                <w:tcPr>
                  <w:tcW w:type="auto" w:w="0"/>
                  <w:shd w:val="clear" w:color="auto" w:fill="F0F0F0"/>
                </w:tcPr>
                <w:p>
                  <w:pPr>
                    <w:pStyle w:val="Normal"/>
                    <w:keepLines w:val="on"/>
                  </w:pPr>
                  <w:r>
                    <w:t>5,40%</w:t>
                  </w:r>
                </w:p>
              </w:tc>
              <w:tc>
                <w:tcPr>
                  <w:tcW w:type="auto" w:w="0"/>
                  <w:shd w:val="clear" w:color="auto" w:fill="F0F0F0"/>
                </w:tcPr>
                <w:p>
                  <w:pPr>
                    <w:pStyle w:val="Normal"/>
                    <w:keepLines w:val="on"/>
                  </w:pPr>
                  <w:r>
                    <w:t>2,10%</w:t>
                  </w:r>
                </w:p>
              </w:tc>
              <w:tc>
                <w:tcPr>
                  <w:tcW w:type="auto" w:w="0"/>
                  <w:shd w:val="clear" w:color="auto" w:fill="F0F0F0"/>
                </w:tcPr>
                <w:p>
                  <w:pPr>
                    <w:pStyle w:val="Normal"/>
                    <w:keepLines w:val="on"/>
                  </w:pPr>
                  <w:r>
                    <w:t>22,50%</w:t>
                  </w:r>
                </w:p>
              </w:tc>
            </w:tr>
            <w:tr>
              <w:tc>
                <w:tcPr>
                  <w:tcW w:type="auto" w:w="0"/>
                  <w:shd w:val="clear" w:color="auto" w:fill="F0F0F0"/>
                </w:tcPr>
                <w:p>
                  <w:pPr>
                    <w:pStyle w:val="Para 02"/>
                    <w:keepLines w:val="on"/>
                  </w:pPr>
                  <w:r>
                    <w:t>Đức</w:t>
                  </w:r>
                </w:p>
              </w:tc>
              <w:tc>
                <w:tcPr>
                  <w:tcW w:type="auto" w:w="0"/>
                  <w:shd w:val="clear" w:color="auto" w:fill="F0F0F0"/>
                </w:tcPr>
                <w:p>
                  <w:pPr>
                    <w:pStyle w:val="Normal"/>
                    <w:keepLines w:val="on"/>
                  </w:pPr>
                  <w:r>
                    <w:t>5,10%</w:t>
                  </w:r>
                </w:p>
              </w:tc>
              <w:tc>
                <w:tcPr>
                  <w:tcW w:type="auto" w:w="0"/>
                  <w:shd w:val="clear" w:color="auto" w:fill="F0F0F0"/>
                </w:tcPr>
                <w:p>
                  <w:pPr>
                    <w:pStyle w:val="Normal"/>
                    <w:keepLines w:val="on"/>
                  </w:pPr>
                  <w:r>
                    <w:t>8,40%</w:t>
                  </w:r>
                </w:p>
              </w:tc>
              <w:tc>
                <w:tcPr>
                  <w:tcW w:type="auto" w:w="0"/>
                  <w:shd w:val="clear" w:color="auto" w:fill="F0F0F0"/>
                </w:tcPr>
                <w:p>
                  <w:pPr>
                    <w:pStyle w:val="Normal"/>
                    <w:keepLines w:val="on"/>
                  </w:pPr>
                  <w:r>
                    <w:t>2,60%</w:t>
                  </w:r>
                </w:p>
              </w:tc>
              <w:tc>
                <w:tcPr>
                  <w:tcW w:type="auto" w:w="0"/>
                  <w:shd w:val="clear" w:color="auto" w:fill="F0F0F0"/>
                </w:tcPr>
                <w:p>
                  <w:pPr>
                    <w:pStyle w:val="Normal"/>
                    <w:keepLines w:val="on"/>
                  </w:pPr>
                  <w:r>
                    <w:t>28,20%</w:t>
                  </w:r>
                </w:p>
              </w:tc>
            </w:tr>
            <w:tr>
              <w:tc>
                <w:tcPr>
                  <w:tcW w:type="auto" w:w="0"/>
                  <w:shd w:val="clear" w:color="auto" w:fill="F0F0F0"/>
                </w:tcPr>
                <w:p>
                  <w:pPr>
                    <w:pStyle w:val="Para 02"/>
                    <w:keepLines w:val="on"/>
                  </w:pPr>
                  <w:r>
                    <w:t>Ireland</w:t>
                  </w:r>
                </w:p>
              </w:tc>
              <w:tc>
                <w:tcPr>
                  <w:tcW w:type="auto" w:w="0"/>
                  <w:shd w:val="clear" w:color="auto" w:fill="F0F0F0"/>
                </w:tcPr>
                <w:p>
                  <w:pPr>
                    <w:pStyle w:val="Normal"/>
                    <w:keepLines w:val="on"/>
                  </w:pPr>
                  <w:r>
                    <w:t>2,70%</w:t>
                  </w:r>
                </w:p>
              </w:tc>
              <w:tc>
                <w:tcPr>
                  <w:tcW w:type="auto" w:w="0"/>
                  <w:shd w:val="clear" w:color="auto" w:fill="F0F0F0"/>
                </w:tcPr>
                <w:p>
                  <w:pPr>
                    <w:pStyle w:val="Normal"/>
                    <w:keepLines w:val="on"/>
                  </w:pPr>
                  <w:r>
                    <w:t>4,70%</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19,70%</w:t>
                  </w:r>
                </w:p>
              </w:tc>
            </w:tr>
            <w:tr>
              <w:tc>
                <w:tcPr>
                  <w:tcW w:type="auto" w:w="0"/>
                  <w:shd w:val="clear" w:color="auto" w:fill="F0F0F0"/>
                </w:tcPr>
                <w:p>
                  <w:pPr>
                    <w:pStyle w:val="Para 02"/>
                    <w:keepLines w:val="on"/>
                  </w:pPr>
                  <w:r>
                    <w:t>Ý</w:t>
                  </w:r>
                </w:p>
              </w:tc>
              <w:tc>
                <w:tcPr>
                  <w:tcW w:type="auto" w:w="0"/>
                  <w:shd w:val="clear" w:color="auto" w:fill="F0F0F0"/>
                </w:tcPr>
                <w:p>
                  <w:pPr>
                    <w:pStyle w:val="Normal"/>
                    <w:keepLines w:val="on"/>
                  </w:pPr>
                  <w:r>
                    <w:t>3,20%</w:t>
                  </w:r>
                </w:p>
              </w:tc>
              <w:tc>
                <w:tcPr>
                  <w:tcW w:type="auto" w:w="0"/>
                  <w:shd w:val="clear" w:color="auto" w:fill="F0F0F0"/>
                </w:tcPr>
                <w:p>
                  <w:pPr>
                    <w:pStyle w:val="Normal"/>
                    <w:keepLines w:val="on"/>
                  </w:pPr>
                  <w:r>
                    <w:t>6,50%</w:t>
                  </w:r>
                </w:p>
              </w:tc>
              <w:tc>
                <w:tcPr>
                  <w:tcW w:type="auto" w:w="0"/>
                  <w:shd w:val="clear" w:color="auto" w:fill="F0F0F0"/>
                </w:tcPr>
                <w:p>
                  <w:pPr>
                    <w:pStyle w:val="Normal"/>
                    <w:keepLines w:val="on"/>
                  </w:pPr>
                  <w:r>
                    <w:t>2,70%</w:t>
                  </w:r>
                </w:p>
              </w:tc>
              <w:tc>
                <w:tcPr>
                  <w:tcW w:type="auto" w:w="0"/>
                  <w:shd w:val="clear" w:color="auto" w:fill="F0F0F0"/>
                </w:tcPr>
                <w:p>
                  <w:pPr>
                    <w:pStyle w:val="Normal"/>
                    <w:keepLines w:val="on"/>
                  </w:pPr>
                  <w:r>
                    <w:t>29,10%</w:t>
                  </w:r>
                </w:p>
              </w:tc>
            </w:tr>
            <w:tr>
              <w:tc>
                <w:tcPr>
                  <w:tcW w:type="auto" w:w="0"/>
                  <w:shd w:val="clear" w:color="auto" w:fill="F0F0F0"/>
                </w:tcPr>
                <w:p>
                  <w:pPr>
                    <w:pStyle w:val="Para 02"/>
                    <w:keepLines w:val="on"/>
                  </w:pPr>
                  <w:r>
                    <w:t>Nhật Bản</w:t>
                  </w:r>
                </w:p>
              </w:tc>
              <w:tc>
                <w:tcPr>
                  <w:tcW w:type="auto" w:w="0"/>
                  <w:shd w:val="clear" w:color="auto" w:fill="F0F0F0"/>
                </w:tcPr>
                <w:p>
                  <w:pPr>
                    <w:pStyle w:val="Normal"/>
                    <w:keepLines w:val="on"/>
                  </w:pPr>
                  <w:r>
                    <w:t>5,10%</w:t>
                  </w:r>
                </w:p>
              </w:tc>
              <w:tc>
                <w:tcPr>
                  <w:tcW w:type="auto" w:w="0"/>
                  <w:shd w:val="clear" w:color="auto" w:fill="F0F0F0"/>
                </w:tcPr>
                <w:p>
                  <w:pPr>
                    <w:pStyle w:val="Normal"/>
                    <w:keepLines w:val="on"/>
                  </w:pPr>
                  <w:r>
                    <w:t>9,10%</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32,20%</w:t>
                  </w:r>
                </w:p>
              </w:tc>
            </w:tr>
            <w:tr>
              <w:tc>
                <w:tcPr>
                  <w:tcW w:type="auto" w:w="0"/>
                  <w:shd w:val="clear" w:color="auto" w:fill="F0F0F0"/>
                </w:tcPr>
                <w:p>
                  <w:pPr>
                    <w:pStyle w:val="Para 02"/>
                    <w:keepLines w:val="on"/>
                  </w:pPr>
                  <w:r>
                    <w:t>Hà Lan</w:t>
                  </w:r>
                </w:p>
              </w:tc>
              <w:tc>
                <w:tcPr>
                  <w:tcW w:type="auto" w:w="0"/>
                  <w:shd w:val="clear" w:color="auto" w:fill="F0F0F0"/>
                </w:tcPr>
                <w:p>
                  <w:pPr>
                    <w:pStyle w:val="Normal"/>
                    <w:keepLines w:val="on"/>
                  </w:pPr>
                  <w:r>
                    <w:t>3,30%</w:t>
                  </w:r>
                </w:p>
              </w:tc>
              <w:tc>
                <w:tcPr>
                  <w:tcW w:type="auto" w:w="0"/>
                  <w:shd w:val="clear" w:color="auto" w:fill="F0F0F0"/>
                </w:tcPr>
                <w:p>
                  <w:pPr>
                    <w:pStyle w:val="Normal"/>
                    <w:keepLines w:val="on"/>
                  </w:pPr>
                  <w:r>
                    <w:t>5,60%</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22,10%</w:t>
                  </w:r>
                </w:p>
              </w:tc>
            </w:tr>
            <w:tr>
              <w:tc>
                <w:tcPr>
                  <w:tcW w:type="auto" w:w="0"/>
                  <w:shd w:val="clear" w:color="auto" w:fill="F0F0F0"/>
                </w:tcPr>
                <w:p>
                  <w:pPr>
                    <w:pStyle w:val="Para 02"/>
                    <w:keepLines w:val="on"/>
                  </w:pPr>
                  <w:r>
                    <w:t>New Zealand</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5,60%</w:t>
                  </w:r>
                </w:p>
              </w:tc>
              <w:tc>
                <w:tcPr>
                  <w:tcW w:type="auto" w:w="0"/>
                  <w:shd w:val="clear" w:color="auto" w:fill="F0F0F0"/>
                </w:tcPr>
                <w:p>
                  <w:pPr>
                    <w:pStyle w:val="Normal"/>
                    <w:keepLines w:val="on"/>
                  </w:pPr>
                  <w:r>
                    <w:t>1,60%</w:t>
                  </w:r>
                </w:p>
              </w:tc>
              <w:tc>
                <w:tcPr>
                  <w:tcW w:type="auto" w:w="0"/>
                  <w:shd w:val="clear" w:color="auto" w:fill="F0F0F0"/>
                </w:tcPr>
                <w:p>
                  <w:pPr>
                    <w:pStyle w:val="Normal"/>
                    <w:keepLines w:val="on"/>
                  </w:pPr>
                  <w:r>
                    <w:t>17,70%</w:t>
                  </w:r>
                </w:p>
              </w:tc>
            </w:tr>
            <w:tr>
              <w:tc>
                <w:tcPr>
                  <w:tcW w:type="auto" w:w="0"/>
                  <w:shd w:val="clear" w:color="auto" w:fill="F0F0F0"/>
                </w:tcPr>
                <w:p>
                  <w:pPr>
                    <w:pStyle w:val="Para 02"/>
                    <w:keepLines w:val="on"/>
                  </w:pPr>
                  <w:r>
                    <w:t>Na Uy</w:t>
                  </w:r>
                </w:p>
              </w:tc>
              <w:tc>
                <w:tcPr>
                  <w:tcW w:type="auto" w:w="0"/>
                  <w:shd w:val="clear" w:color="auto" w:fill="F0F0F0"/>
                </w:tcPr>
                <w:p>
                  <w:pPr>
                    <w:pStyle w:val="Normal"/>
                    <w:keepLines w:val="on"/>
                  </w:pPr>
                  <w:r>
                    <w:t>2,40%</w:t>
                  </w:r>
                </w:p>
              </w:tc>
              <w:tc>
                <w:tcPr>
                  <w:tcW w:type="auto" w:w="0"/>
                  <w:shd w:val="clear" w:color="auto" w:fill="F0F0F0"/>
                </w:tcPr>
                <w:p>
                  <w:pPr>
                    <w:pStyle w:val="Normal"/>
                    <w:keepLines w:val="on"/>
                  </w:pPr>
                  <w:r>
                    <w:t>5,40%</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27,40%</w:t>
                  </w:r>
                </w:p>
              </w:tc>
            </w:tr>
            <w:tr>
              <w:tc>
                <w:tcPr>
                  <w:tcW w:type="auto" w:w="0"/>
                  <w:shd w:val="clear" w:color="auto" w:fill="F0F0F0"/>
                </w:tcPr>
                <w:p>
                  <w:pPr>
                    <w:pStyle w:val="Para 02"/>
                    <w:keepLines w:val="on"/>
                  </w:pPr>
                  <w:r>
                    <w:t>Bồ Đào Nha</w:t>
                  </w:r>
                </w:p>
              </w:tc>
              <w:tc>
                <w:tcPr>
                  <w:tcW w:type="auto" w:w="0"/>
                  <w:shd w:val="clear" w:color="auto" w:fill="F0F0F0"/>
                </w:tcPr>
                <w:p>
                  <w:pPr>
                    <w:pStyle w:val="Normal"/>
                    <w:keepLines w:val="on"/>
                  </w:pPr>
                  <w:r>
                    <w:t>5,30%</w:t>
                  </w:r>
                </w:p>
              </w:tc>
              <w:tc>
                <w:tcPr>
                  <w:tcW w:type="auto" w:w="0"/>
                  <w:shd w:val="clear" w:color="auto" w:fill="F0F0F0"/>
                </w:tcPr>
                <w:p>
                  <w:pPr>
                    <w:pStyle w:val="Normal"/>
                    <w:keepLines w:val="on"/>
                  </w:pPr>
                  <w:r>
                    <w:t>9,40%</w:t>
                  </w:r>
                </w:p>
              </w:tc>
              <w:tc>
                <w:tcPr>
                  <w:tcW w:type="auto" w:w="0"/>
                  <w:shd w:val="clear" w:color="auto" w:fill="F0F0F0"/>
                </w:tcPr>
                <w:p>
                  <w:pPr>
                    <w:pStyle w:val="Normal"/>
                    <w:keepLines w:val="on"/>
                  </w:pPr>
                  <w:r>
                    <w:t>2,90%</w:t>
                  </w:r>
                </w:p>
              </w:tc>
              <w:tc>
                <w:tcPr>
                  <w:tcW w:type="auto" w:w="0"/>
                  <w:shd w:val="clear" w:color="auto" w:fill="F0F0F0"/>
                </w:tcPr>
                <w:p>
                  <w:pPr>
                    <w:pStyle w:val="Normal"/>
                    <w:keepLines w:val="on"/>
                  </w:pPr>
                  <w:r>
                    <w:t>31,40%</w:t>
                  </w:r>
                </w:p>
              </w:tc>
            </w:tr>
            <w:tr>
              <w:tc>
                <w:tcPr>
                  <w:tcW w:type="auto" w:w="0"/>
                  <w:shd w:val="clear" w:color="auto" w:fill="F0F0F0"/>
                </w:tcPr>
                <w:p>
                  <w:pPr>
                    <w:pStyle w:val="Para 02"/>
                    <w:keepLines w:val="on"/>
                  </w:pPr>
                  <w:r>
                    <w:t>Nam Phi</w:t>
                  </w:r>
                </w:p>
              </w:tc>
              <w:tc>
                <w:tcPr>
                  <w:tcW w:type="auto" w:w="0"/>
                  <w:shd w:val="clear" w:color="auto" w:fill="F0F0F0"/>
                </w:tcPr>
                <w:p>
                  <w:pPr>
                    <w:pStyle w:val="Normal"/>
                    <w:keepLines w:val="on"/>
                  </w:pPr>
                  <w:r>
                    <w:t>5,30%</w:t>
                  </w:r>
                </w:p>
              </w:tc>
              <w:tc>
                <w:tcPr>
                  <w:tcW w:type="auto" w:w="0"/>
                  <w:shd w:val="clear" w:color="auto" w:fill="F0F0F0"/>
                </w:tcPr>
                <w:p>
                  <w:pPr>
                    <w:pStyle w:val="Normal"/>
                    <w:keepLines w:val="on"/>
                  </w:pPr>
                  <w:r>
                    <w:t>7,10%</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19,40%</w:t>
                  </w:r>
                </w:p>
              </w:tc>
            </w:tr>
            <w:tr>
              <w:tc>
                <w:tcPr>
                  <w:tcW w:type="auto" w:w="0"/>
                  <w:shd w:val="clear" w:color="auto" w:fill="F0F0F0"/>
                </w:tcPr>
                <w:p>
                  <w:pPr>
                    <w:pStyle w:val="Para 02"/>
                    <w:keepLines w:val="on"/>
                  </w:pPr>
                  <w:r>
                    <w:t>Tây Ban Nha</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3,80%</w:t>
                  </w:r>
                </w:p>
              </w:tc>
              <w:tc>
                <w:tcPr>
                  <w:tcW w:type="auto" w:w="0"/>
                  <w:shd w:val="clear" w:color="auto" w:fill="F0F0F0"/>
                </w:tcPr>
                <w:p>
                  <w:pPr>
                    <w:pStyle w:val="Normal"/>
                    <w:keepLines w:val="on"/>
                  </w:pPr>
                  <w:r>
                    <w:t>1,90%</w:t>
                  </w:r>
                </w:p>
              </w:tc>
              <w:tc>
                <w:tcPr>
                  <w:tcW w:type="auto" w:w="0"/>
                  <w:shd w:val="clear" w:color="auto" w:fill="F0F0F0"/>
                </w:tcPr>
                <w:p>
                  <w:pPr>
                    <w:pStyle w:val="Normal"/>
                    <w:keepLines w:val="on"/>
                  </w:pPr>
                  <w:r>
                    <w:t>20,50%</w:t>
                  </w:r>
                </w:p>
              </w:tc>
            </w:tr>
            <w:tr>
              <w:tc>
                <w:tcPr>
                  <w:tcW w:type="auto" w:w="0"/>
                  <w:shd w:val="clear" w:color="auto" w:fill="F0F0F0"/>
                </w:tcPr>
                <w:p>
                  <w:pPr>
                    <w:pStyle w:val="Para 02"/>
                    <w:keepLines w:val="on"/>
                  </w:pPr>
                  <w:r>
                    <w:t>Thụy Điển</w:t>
                  </w:r>
                </w:p>
              </w:tc>
              <w:tc>
                <w:tcPr>
                  <w:tcW w:type="auto" w:w="0"/>
                  <w:shd w:val="clear" w:color="auto" w:fill="F0F0F0"/>
                </w:tcPr>
                <w:p>
                  <w:pPr>
                    <w:pStyle w:val="Normal"/>
                    <w:keepLines w:val="on"/>
                  </w:pPr>
                  <w:r>
                    <w:t>3,10%</w:t>
                  </w:r>
                </w:p>
              </w:tc>
              <w:tc>
                <w:tcPr>
                  <w:tcW w:type="auto" w:w="0"/>
                  <w:shd w:val="clear" w:color="auto" w:fill="F0F0F0"/>
                </w:tcPr>
                <w:p>
                  <w:pPr>
                    <w:pStyle w:val="Normal"/>
                    <w:keepLines w:val="on"/>
                  </w:pPr>
                  <w:r>
                    <w:t>5,30%</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21,20%</w:t>
                  </w:r>
                </w:p>
              </w:tc>
            </w:tr>
            <w:tr>
              <w:tc>
                <w:tcPr>
                  <w:tcW w:type="auto" w:w="0"/>
                  <w:shd w:val="clear" w:color="auto" w:fill="F0F0F0"/>
                </w:tcPr>
                <w:p>
                  <w:pPr>
                    <w:pStyle w:val="Para 02"/>
                    <w:keepLines w:val="on"/>
                  </w:pPr>
                  <w:r>
                    <w:t>Thụy Sĩ</w:t>
                  </w:r>
                </w:p>
              </w:tc>
              <w:tc>
                <w:tcPr>
                  <w:tcW w:type="auto" w:w="0"/>
                  <w:shd w:val="clear" w:color="auto" w:fill="F0F0F0"/>
                </w:tcPr>
                <w:p>
                  <w:pPr>
                    <w:pStyle w:val="Normal"/>
                    <w:keepLines w:val="on"/>
                  </w:pPr>
                  <w:r>
                    <w:t>2,20%</w:t>
                  </w:r>
                </w:p>
              </w:tc>
              <w:tc>
                <w:tcPr>
                  <w:tcW w:type="auto" w:w="0"/>
                  <w:shd w:val="clear" w:color="auto" w:fill="F0F0F0"/>
                </w:tcPr>
                <w:p>
                  <w:pPr>
                    <w:pStyle w:val="Normal"/>
                    <w:keepLines w:val="on"/>
                  </w:pPr>
                  <w:r>
                    <w:t>3,70%</w:t>
                  </w:r>
                </w:p>
              </w:tc>
              <w:tc>
                <w:tcPr>
                  <w:tcW w:type="auto" w:w="0"/>
                  <w:shd w:val="clear" w:color="auto" w:fill="F0F0F0"/>
                </w:tcPr>
                <w:p>
                  <w:pPr>
                    <w:pStyle w:val="Normal"/>
                    <w:keepLines w:val="on"/>
                  </w:pPr>
                  <w:r>
                    <w:t>1,60%</w:t>
                  </w:r>
                </w:p>
              </w:tc>
              <w:tc>
                <w:tcPr>
                  <w:tcW w:type="auto" w:w="0"/>
                  <w:shd w:val="clear" w:color="auto" w:fill="F0F0F0"/>
                </w:tcPr>
                <w:p>
                  <w:pPr>
                    <w:pStyle w:val="Normal"/>
                    <w:keepLines w:val="on"/>
                  </w:pPr>
                  <w:r>
                    <w:t>17,40%</w:t>
                  </w:r>
                </w:p>
              </w:tc>
            </w:tr>
            <w:tr>
              <w:tc>
                <w:tcPr>
                  <w:tcW w:type="auto" w:w="0"/>
                  <w:shd w:val="clear" w:color="auto" w:fill="F0F0F0"/>
                </w:tcPr>
                <w:p>
                  <w:pPr>
                    <w:pStyle w:val="Para 02"/>
                    <w:keepLines w:val="on"/>
                  </w:pPr>
                  <w:r>
                    <w:t>Vương quốc Anh</w:t>
                  </w:r>
                </w:p>
              </w:tc>
              <w:tc>
                <w:tcPr>
                  <w:tcW w:type="auto" w:w="0"/>
                  <w:shd w:val="clear" w:color="auto" w:fill="F0F0F0"/>
                </w:tcPr>
                <w:p>
                  <w:pPr>
                    <w:pStyle w:val="Normal"/>
                    <w:keepLines w:val="on"/>
                  </w:pPr>
                  <w:r>
                    <w:t>3,70%</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1,60%</w:t>
                  </w:r>
                </w:p>
              </w:tc>
              <w:tc>
                <w:tcPr>
                  <w:tcW w:type="auto" w:w="0"/>
                  <w:shd w:val="clear" w:color="auto" w:fill="F0F0F0"/>
                </w:tcPr>
                <w:p>
                  <w:pPr>
                    <w:pStyle w:val="Normal"/>
                    <w:keepLines w:val="on"/>
                  </w:pPr>
                  <w:r>
                    <w:t>17,00%</w:t>
                  </w:r>
                </w:p>
              </w:tc>
            </w:tr>
            <w:tr>
              <w:tc>
                <w:tcPr>
                  <w:tcW w:type="auto" w:w="0"/>
                  <w:shd w:val="clear" w:color="auto" w:fill="F0F0F0"/>
                </w:tcPr>
                <w:p>
                  <w:pPr>
                    <w:pStyle w:val="Para 02"/>
                    <w:keepLines w:val="on"/>
                  </w:pPr>
                  <w:r>
                    <w:t>Hoa Kỳ</w:t>
                  </w:r>
                </w:p>
              </w:tc>
              <w:tc>
                <w:tcPr>
                  <w:tcW w:type="auto" w:w="0"/>
                  <w:shd w:val="clear" w:color="auto" w:fill="F0F0F0"/>
                </w:tcPr>
                <w:p>
                  <w:pPr>
                    <w:pStyle w:val="Normal"/>
                    <w:keepLines w:val="on"/>
                  </w:pPr>
                  <w:r>
                    <w:t>4,40%</w:t>
                  </w:r>
                </w:p>
              </w:tc>
              <w:tc>
                <w:tcPr>
                  <w:tcW w:type="auto" w:w="0"/>
                  <w:shd w:val="clear" w:color="auto" w:fill="F0F0F0"/>
                </w:tcPr>
                <w:p>
                  <w:pPr>
                    <w:pStyle w:val="Normal"/>
                    <w:keepLines w:val="on"/>
                  </w:pPr>
                  <w:r>
                    <w:t>6,50%</w:t>
                  </w:r>
                </w:p>
              </w:tc>
              <w:tc>
                <w:tcPr>
                  <w:tcW w:type="auto" w:w="0"/>
                  <w:shd w:val="clear" w:color="auto" w:fill="F0F0F0"/>
                </w:tcPr>
                <w:p>
                  <w:pPr>
                    <w:pStyle w:val="Normal"/>
                    <w:keepLines w:val="on"/>
                  </w:pPr>
                  <w:r>
                    <w:t>1,90%</w:t>
                  </w:r>
                </w:p>
              </w:tc>
              <w:tc>
                <w:tcPr>
                  <w:tcW w:type="auto" w:w="0"/>
                  <w:shd w:val="clear" w:color="auto" w:fill="F0F0F0"/>
                </w:tcPr>
                <w:p>
                  <w:pPr>
                    <w:pStyle w:val="Normal"/>
                    <w:keepLines w:val="on"/>
                  </w:pPr>
                  <w:r>
                    <w:t>20,70%</w:t>
                  </w:r>
                </w:p>
              </w:tc>
            </w:tr>
            <w:tr>
              <w:tc>
                <w:tcPr>
                  <w:tcW w:type="auto" w:w="0"/>
                  <w:shd w:val="clear" w:color="auto" w:fill="F0F0F0"/>
                </w:tcPr>
                <w:p>
                  <w:pPr>
                    <w:pStyle w:val="Para 02"/>
                    <w:keepLines w:val="on"/>
                  </w:pPr>
                  <w:r>
                    <w:t>Châu Âu</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4,30%</w:t>
                  </w:r>
                </w:p>
              </w:tc>
              <w:tc>
                <w:tcPr>
                  <w:tcW w:type="auto" w:w="0"/>
                  <w:shd w:val="clear" w:color="auto" w:fill="F0F0F0"/>
                </w:tcPr>
                <w:p>
                  <w:pPr>
                    <w:pStyle w:val="Normal"/>
                    <w:keepLines w:val="on"/>
                  </w:pPr>
                  <w:r>
                    <w:t>1,40%</w:t>
                  </w:r>
                </w:p>
              </w:tc>
              <w:tc>
                <w:tcPr>
                  <w:tcW w:type="auto" w:w="0"/>
                  <w:shd w:val="clear" w:color="auto" w:fill="F0F0F0"/>
                </w:tcPr>
                <w:p>
                  <w:pPr>
                    <w:pStyle w:val="Normal"/>
                    <w:keepLines w:val="on"/>
                  </w:pPr>
                  <w:r>
                    <w:t>15,70%</w:t>
                  </w:r>
                </w:p>
              </w:tc>
            </w:tr>
            <w:tr>
              <w:tc>
                <w:tcPr>
                  <w:tcW w:type="auto" w:w="0"/>
                  <w:shd w:val="clear" w:color="auto" w:fill="F0F0F0"/>
                </w:tcPr>
                <w:p>
                  <w:pPr>
                    <w:pStyle w:val="Para 02"/>
                    <w:keepLines w:val="on"/>
                  </w:pPr>
                  <w:r>
                    <w:t>Toàn cầu trừ Hoa Kỳ</w:t>
                  </w:r>
                </w:p>
              </w:tc>
              <w:tc>
                <w:tcPr>
                  <w:tcW w:type="auto" w:w="0"/>
                  <w:shd w:val="clear" w:color="auto" w:fill="F0F0F0"/>
                </w:tcPr>
                <w:p>
                  <w:pPr>
                    <w:pStyle w:val="Normal"/>
                    <w:keepLines w:val="on"/>
                  </w:pPr>
                  <w:r>
                    <w:t>2,80%</w:t>
                  </w:r>
                </w:p>
              </w:tc>
              <w:tc>
                <w:tcPr>
                  <w:tcW w:type="auto" w:w="0"/>
                  <w:shd w:val="clear" w:color="auto" w:fill="F0F0F0"/>
                </w:tcPr>
                <w:p>
                  <w:pPr>
                    <w:pStyle w:val="Normal"/>
                    <w:keepLines w:val="on"/>
                  </w:pPr>
                  <w:r>
                    <w:t>3,80%</w:t>
                  </w:r>
                </w:p>
              </w:tc>
              <w:tc>
                <w:tcPr>
                  <w:tcW w:type="auto" w:w="0"/>
                  <w:shd w:val="clear" w:color="auto" w:fill="F0F0F0"/>
                </w:tcPr>
                <w:p>
                  <w:pPr>
                    <w:pStyle w:val="Normal"/>
                    <w:keepLines w:val="on"/>
                  </w:pPr>
                  <w:r>
                    <w:t>1,30%</w:t>
                  </w:r>
                </w:p>
              </w:tc>
              <w:tc>
                <w:tcPr>
                  <w:tcW w:type="auto" w:w="0"/>
                  <w:shd w:val="clear" w:color="auto" w:fill="F0F0F0"/>
                </w:tcPr>
                <w:p>
                  <w:pPr>
                    <w:pStyle w:val="Normal"/>
                    <w:keepLines w:val="on"/>
                  </w:pPr>
                  <w:r>
                    <w:t>14,40%</w:t>
                  </w:r>
                </w:p>
              </w:tc>
            </w:tr>
            <w:tr>
              <w:tc>
                <w:tcPr>
                  <w:tcW w:type="auto" w:w="0"/>
                  <w:shd w:val="clear" w:color="auto" w:fill="F0F0F0"/>
                </w:tcPr>
                <w:p>
                  <w:pPr>
                    <w:pStyle w:val="Para 02"/>
                    <w:keepLines w:val="on"/>
                  </w:pPr>
                  <w:r>
                    <w:t>Toàn cầu</w:t>
                  </w:r>
                </w:p>
              </w:tc>
              <w:tc>
                <w:tcPr>
                  <w:tcW w:type="auto" w:w="0"/>
                  <w:shd w:val="clear" w:color="auto" w:fill="F0F0F0"/>
                </w:tcPr>
                <w:p>
                  <w:pPr>
                    <w:pStyle w:val="Normal"/>
                    <w:keepLines w:val="on"/>
                  </w:pPr>
                  <w:r>
                    <w:t>3,20%</w:t>
                  </w:r>
                </w:p>
              </w:tc>
              <w:tc>
                <w:tcPr>
                  <w:tcW w:type="auto" w:w="0"/>
                  <w:shd w:val="clear" w:color="auto" w:fill="F0F0F0"/>
                </w:tcPr>
                <w:p>
                  <w:pPr>
                    <w:pStyle w:val="Normal"/>
                    <w:keepLines w:val="on"/>
                  </w:pPr>
                  <w:r>
                    <w:t>4,40%</w:t>
                  </w:r>
                </w:p>
              </w:tc>
              <w:tc>
                <w:tcPr>
                  <w:tcW w:type="auto" w:w="0"/>
                  <w:shd w:val="clear" w:color="auto" w:fill="F0F0F0"/>
                </w:tcPr>
                <w:p>
                  <w:pPr>
                    <w:pStyle w:val="Normal"/>
                    <w:keepLines w:val="on"/>
                  </w:pPr>
                  <w:r>
                    <w:t>1,40%</w:t>
                  </w:r>
                </w:p>
              </w:tc>
              <w:tc>
                <w:tcPr>
                  <w:tcW w:type="auto" w:w="0"/>
                  <w:shd w:val="clear" w:color="auto" w:fill="F0F0F0"/>
                </w:tcPr>
                <w:p>
                  <w:pPr>
                    <w:pStyle w:val="Normal"/>
                    <w:keepLines w:val="on"/>
                  </w:pPr>
                  <w:r>
                    <w:t>15,30%</w:t>
                  </w:r>
                </w:p>
              </w:tc>
            </w:tr>
          </w:tbl>
          <w:p>
            <w:pPr>
              <w:pStyle w:val="Para 55"/>
              <w:keepLines w:val="on"/>
            </w:pPr>
            <w:r>
              <w:t>Nguồn: Phỏng theo Credit Suisse Global Yearbook, 2018.</w:t>
            </w:r>
          </w:p>
        </w:tc>
      </w:tr>
    </w:tbl>
    <w:p>
      <w:pPr>
        <w:pStyle w:val="Para 03"/>
      </w:pPr>
      <w:r>
        <w:t>Lưu ý rằng một số quốc gia có mức bù rủi ro (risk premium) lịch sử rất thấp, và một vài quốc gia khác lại có mức bù rủi ro cao. Trước khi cố gắng đưa ra lý giải cho việc tại sao lại như vậy, cần lưu ý rằng sai số chuẩn (standard error) của mọi ước tính này đều cao, bất chấp thực tế là các mức bù rủi ro này được ước tính trong một khoảng thời gian rất dài.</w:t>
      </w:r>
    </w:p>
    <w:p>
      <w:pPr>
        <w:pStyle w:val="Para 03"/>
      </w:pPr>
      <w:r>
        <w:t>Nếu sai số chuẩn của các ước tính này cao, hãy thử nghĩ xem sẽ còn nhiễu đến mức nào trong các ước tính về phần bù rủi ro lịch sử cho các thị trường chứng khoán mới nổi — những thị trường thường chỉ có lịch sử đáng tin cậy từ 10 năm trở xuống và độ lệch chuẩn của lợi suất cổ phiếu hằng năm cực kỳ lớn. Phần bù rủi ro lịch sử cho các thị trường mới nổi có thể mang lại những giai thoại thú vị, nhưng rõ ràng không nên dùng chúng trong các mô hình rủi ro và lợi nhuận.</w:t>
      </w:r>
    </w:p>
    <w:p>
      <w:pPr>
        <w:pStyle w:val="Para 11"/>
      </w:pPr>
      <w:r>
        <w:t/>
        <w:t xml:space="preserve"> </w:t>
      </w:r>
    </w:p>
    <w:p>
      <w:bookmarkStart w:id="1095" w:name="Historical_Risk_Premium_Approach_1"/>
      <w:bookmarkStart w:id="1096" w:name="Historical_Risk_Premium_Approach"/>
      <w:pPr>
        <w:keepNext/>
        <w:pStyle w:val="Para 27"/>
        <w:keepLines w:val="on"/>
      </w:pPr>
      <w:r>
        <w:t>Cách tiếp cận phần bù rủi ro lịch sử: Một vài lưu ý</w:t>
      </w:r>
      <w:bookmarkEnd w:id="1095"/>
      <w:bookmarkEnd w:id="1096"/>
    </w:p>
    <w:p>
      <w:pPr>
        <w:pStyle w:val="Para 16"/>
        <w:keepLines w:val="on"/>
      </w:pPr>
      <w:r>
        <w:t>Xét việc cách tiếp cận phần bù rủi ro lịch sử được dùng rộng rãi đến vậy, thật đáng ngạc nhiên khi nó lại đầy khiếm khuyết đến thế và những khiếm khuyết này lại ít được chú ý đến vậy. Trước tiên, hãy xét giả định nền tảng rằng phần bù rủi ro của nhà đầu tư không thay đổi theo thời gian và rằng khoản đầu tư rủi ro trung bình (trong danh mục thị trường) vẫn ổn định trong suốt giai đoạn được khảo sát. Chúng ta sẽ rất khó tìm được ai đó sẵn sàng bảo vệ lập luận này một cách nhiệt thành.</w:t>
      </w:r>
    </w:p>
    <w:p>
      <w:pPr>
        <w:pStyle w:val="Para 16"/>
        <w:keepLines w:val="on"/>
      </w:pPr>
      <w:r>
        <w:t>Cách khắc phục hiển nhiên cho vấn đề này — đó là dùng một giai đoạn gần đây hơn — lại đâm thẳng vào vấn đề thứ hai, chính là sai số chuẩn lớn gắn với các ước tính phần bù rủi ro. Dù những sai số chuẩn này có thể chấp nhận được với những giai đoạn rất dài, chúng rõ ràng là quá cao đến mức không thể chấp nhận khi dùng những giai đoạn ngắn hơn.</w:t>
      </w:r>
    </w:p>
    <w:p>
      <w:pPr>
        <w:pStyle w:val="Para 16"/>
        <w:keepLines w:val="on"/>
      </w:pPr>
      <w:r>
        <w:t>Cuối cùng, kể cả khi có sẵn một giai đoạn lịch sử đủ dài và mức độ ngại rủi ro của nhà đầu tư không thay đổi một cách có hệ thống trong suốt giai đoạn đó, vẫn còn một vấn đề cuối cùng. Những thị trường mang đặc điểm này — và cứ cho là thị trường Mỹ là một ví dụ như vậy — đại diện cho cái gọi là các thị trường sống sót (survivor markets). Nói cách khác, giả sử vào năm 1928 có người đầu tư vào 10 thị trường chứng khoán lớn nhất thế giới, trong đó có Mỹ. Trong giai đoạn từ 1928 đến 2023, các khoản đầu tư vào rất ít trong số những thị trường chứng khoán khác sẽ kiếm được phần bù lớn như thị trường chứng khoán Mỹ, và một số thị trường (như Áo) sẽ khiến nhà đầu tư kiếm được rất ít, thậm chí lợi nhuận âm trong suốt giai đoạn đó. Vì vậy, thiên lệch sống sót (survivor bias) sẽ khiến phần bù lịch sử lớn hơn phần bù kỳ vọng đối với những thị trường như Mỹ, ngay cả khi giả định rằng nhà đầu tư là duy lý và đã tính rủi ro vào giá.</w:t>
      </w:r>
    </w:p>
    <w:p>
      <w:bookmarkStart w:id="1098" w:name="Modified_Historical_Risk_Premium"/>
      <w:bookmarkStart w:id="1099" w:name="Modified_Historical_Risk_Premium_1"/>
      <w:pPr>
        <w:keepNext/>
        <w:pStyle w:val="Heading 4"/>
        <w:keepLines w:val="on"/>
      </w:pPr>
      <w:r>
        <w:t>Phần bù rủi ro lịch sử điều chỉnh</w:t>
      </w:r>
      <w:bookmarkEnd w:id="1098"/>
      <w:bookmarkEnd w:id="1099"/>
    </w:p>
    <w:p>
      <w:pPr>
        <w:pStyle w:val="Para 03"/>
      </w:pPr>
      <w:r>
        <w:t>Dù phần bù rủi ro lịch sử của các thị trường ngoài Mỹ không thể dùng trong các mô hình rủi ro, chúng ta vẫn cần ước tính một phần bù rủi ro để dùng cho những thị trường này. Để tiếp cận câu hỏi ước tính này, hãy bắt đầu với mệnh đề cơ bản rằng phần bù rủi ro ở bất kỳ thị trường chứng khoán nào cũng có thể được viết như sau:</w:t>
      </w:r>
    </w:p>
    <w:p>
      <w:bookmarkStart w:id="1100" w:name="Equity_risk_premiumCountry_Equit"/>
      <w:pPr>
        <w:keepNext/>
        <w:pStyle w:val="Para 09"/>
        <w:keepLines w:val="on"/>
      </w:pPr>
      <w:r>
        <w:t>Phần bù rủi ro chứng khoánQuốc gia=Phần bù rủi ro chứng khoánThị trường phát triển+Phần bù rủi ro quốc gia</w:t>
      </w:r>
      <w:bookmarkEnd w:id="1100"/>
    </w:p>
    <w:p>
      <w:pPr>
        <w:pStyle w:val="Para 03"/>
      </w:pPr>
      <w:r>
        <w:t>Phần bù quốc gia có thể phản ánh rủi ro tăng thêm ở một thị trường cụ thể. Điều này quy gọn việc ước tính của chúng ta thành việc trả lời hai câu hỏi:</w:t>
      </w:r>
    </w:p>
    <w:p>
      <w:pPr>
        <w:numPr>
          <w:ilvl w:val="0"/>
          <w:numId w:val="48"/>
        </w:numPr>
        <w:pStyle w:val="Para 01"/>
      </w:pPr>
      <w:r>
        <w:t>Phần bù nền cho một thị trường chứng khoán phát triển nên là bao nhiêu?</w:t>
      </w:r>
    </w:p>
    <w:p>
      <w:pPr>
        <w:numPr>
          <w:ilvl w:val="0"/>
          <w:numId w:val="48"/>
        </w:numPr>
        <w:pStyle w:val="Para 01"/>
      </w:pPr>
      <w:r>
        <w:t>Có nên có phần bù quốc gia không, và nếu có thì chúng ta ước tính phần bù đó như thế nào?</w:t>
      </w:r>
    </w:p>
    <w:p>
      <w:pPr>
        <w:pStyle w:val="Para 03"/>
      </w:pPr>
      <w:r>
        <w:t>Để trả lời câu hỏi thứ nhất, có thể lập luận rằng thị trường chứng khoán Mỹ là một thị trường phát triển và ở Mỹ có đủ dữ liệu lịch sử để đưa ra một ước tính hợp lý về phần bù rủi ro. Thực tế, quay lại phần thảo luận về phần bù lịch sử của thị trường Mỹ, bạn có thể dùng phần bù trung bình hình học mà cổ phiếu kiếm được so với trái phiếu kho bạc là 5,23 phần trăm trong giai đoạn 1928–2023 làm ước tính cho phần bù thị trường phát triển. Chúng tôi chọn giai đoạn dài để giảm sai số chuẩn, chọn trái phiếu kho bạc để nhất quán với lựa chọn lãi suất phi rủi ro, và chọn trung bình hình học để phản ánh mong muốn có một phần bù rủi ro dùng được cho lợi nhuận kỳ vọng dài hạn.</w:t>
      </w:r>
    </w:p>
    <w:p>
      <w:pPr>
        <w:pStyle w:val="Para 03"/>
      </w:pPr>
      <w:r>
        <w:t>Về vấn đề phần bù quốc gia, có người lập luận rằng rủi ro quốc gia là rủi ro có thể đa dạng hóa được và không nên có phần bù rủi ro quốc gia. Sau khi xem xét cơ sở cho lập luận của họ, rồi xét đến quan điểm thay thế rằng nên có phần bù rủi ro quốc gia, chúng tôi trình bày các cách tiếp cận để ước tính phần bù rủi ro quốc gia — một cách dựa trên chênh lệch vỡ nợ (default spread) của trái phiếu quốc gia và một cách dựa trên biến động của thị trường chứng khoán.</w:t>
      </w:r>
    </w:p>
    <w:p>
      <w:bookmarkStart w:id="1101" w:name="Should_There_Be_a_Country_Risk_P"/>
      <w:pPr>
        <w:pStyle w:val="Para 21"/>
      </w:pPr>
      <w:r>
        <w:t>Có nên có phần bù rủi ro quốc gia không?</w:t>
      </w:r>
      <w:bookmarkEnd w:id="1101"/>
    </w:p>
    <w:p>
      <w:pPr>
        <w:pStyle w:val="Para 03"/>
      </w:pPr>
      <w:r>
        <w:t>Đầu tư vào một cổ phiếu Malaysia hay Brazil có nhiều rủi ro hơn đầu tư vào Mỹ không? Với hầu hết mọi người, câu trả lời dường như hiển nhiên là có. Tuy nhiên, điều đó không trả lời câu hỏi liệu có nên tính thêm một phần bù rủi ro khi đầu tư vào những thị trường đó hay không.</w:t>
      </w:r>
    </w:p>
    <w:p>
      <w:pPr>
        <w:pStyle w:val="Para 03"/>
      </w:pPr>
      <w:r>
        <w:t>Lưu ý rằng rủi ro duy nhất có liên quan cho mục đích ước tính chi phí vốn cổ phần là rủi ro thị trường, tức rủi ro không thể đa dạng hóa được. Khi đó, câu hỏi then chốt trở thành liệu rủi ro ở một thị trường mới nổi là rủi ro có thể đa dạng hóa được hay không thể đa dạng hóa được. Nếu thực tế rủi ro tăng thêm khi đầu tư vào Malaysia hay Brazil có thể được đa dạng hóa đi, thì không nên tính thêm phần bù rủi ro nào. Nếu không thể, thì việc nghĩ đến chuyện ước tính một phần bù rủi ro quốc gia là hợp lý.</w:t>
      </w:r>
    </w:p>
    <w:p>
      <w:pPr>
        <w:pStyle w:val="Para 03"/>
      </w:pPr>
      <w:r>
        <w:t>Nhưng đa dạng hóa đi bởi ai? Cổ phần của một công ty Brazil hay Malaysia có thể được nắm giữ bởi hàng trăm hay hàng nghìn nhà đầu tư, một số có thể chỉ nắm cổ phiếu trong nước trong danh mục của mình, trong khi số khác có thể có mức độ tiếp xúc toàn cầu nhiều hơn. Để phân tích rủi ro quốc gia, chúng ta nhìn vào nhà đầu tư biên (marginal investor) — nhà đầu tư có khả năng giao dịch cổ phiếu cao nhất. Nếu nhà đầu tư biên đó đa dạng hóa toàn cầu, thì ít nhất cũng có tiềm năng đa dạng hóa toàn cầu. Nếu nhà đầu tư biên không có danh mục toàn cầu, thì khả năng đa dạng hóa đi rủi ro quốc gia sẽ giảm đi đáng kể. Stulz (1999) đã đưa ra một luận điểm tương tự bằng thuật ngữ khác. Ông phân biệt giữa các thị trường phân khúc (segmented markets), nơi phần bù rủi ro có thể khác nhau ở mỗi thị trường vì nhà đầu tư không thể hoặc không muốn đầu tư ra ngoài thị trường trong nước của họ, và các thị trường mở (open markets), nơi nhà đầu tư có thể đầu tư xuyên thị trường. Trong một thị trường phân khúc, nhà đầu tư biên sẽ chỉ đa dạng hóa trong phạm vi các khoản đầu tư ở thị trường đó, trong khi ở một thị trường mở, nhà đầu tư biên có cơ hội (kể cả khi họ không nắm lấy) đầu tư xuyên thị trường.</w:t>
      </w:r>
    </w:p>
    <w:p>
      <w:pPr>
        <w:pStyle w:val="Para 03"/>
      </w:pPr>
      <w:r>
        <w:t>Ngay cả khi nhà đầu tư biên đa dạng hóa toàn cầu, vẫn còn một phép thử thứ hai phải được thỏa mãn để rủi ro quốc gia không còn quan trọng. Toàn bộ hoặc phần lớn rủi ro quốc gia phải là rủi ro đặc thù của từng quốc gia. Nói cách khác, tương quan giữa các thị trường phải thấp. Chỉ khi đó rủi ro mới có thể được đa dạng hóa trong một danh mục đa dạng hóa toàn cầu. Tuy nhiên, nếu lợi suất giữa các quốc gia có tương quan dương đáng kể, thì rủi ro quốc gia có một thành phần rủi ro thị trường, không thể đa dạng hóa được, và có thể đòi hỏi một phần bù. Việc lợi suất giữa các quốc gia có tương quan dương hay không là một câu hỏi thực nghiệm. Các nghiên cứu từ thập niên 1970 và 1980 cho thấy tương quan thấp, và đây là động lực cho việc đa dạng hóa toàn cầu. Một phần nhờ thành công của chiêu quảng cáo đó, và một phần vì các nền kinh tế trên thế giới ngày càng gắn kết với nhau trong vài thập kỷ qua, các nghiên cứu gần đây hơn chỉ ra rằng tương quan giữa các thị trường đã tăng lên. Điều này được chứng minh qua tốc độ mà những rắc rối ở một thị trường, chẳng hạn Nga, có thể lan sang một thị trường ít hoặc không có mối quan hệ rõ ràng nào với nó, chẳng hạn Brazil.</w:t>
      </w:r>
    </w:p>
    <w:p>
      <w:pPr>
        <w:pStyle w:val="Para 03"/>
      </w:pPr>
      <w:r>
        <w:t>Vậy chúng ta đang ở đâu? Chúng tôi tin rằng dù các rào cản giao dịch xuyên thị trường đã giảm, nhà đầu tư vẫn còn thiên kiến quê nhà (home bias) trong danh mục của mình và các thị trường vẫn còn phân khúc một phần. Trong khi các nhà đầu tư đa dạng hóa toàn cầu đang đóng vai trò ngày càng lớn trong việc định giá cổ phiếu trên khắp thế giới, sự gia tăng tương quan giữa các thị trường đi kèm với điều đó đã khiến một phần rủi ro quốc gia trở thành không thể đa dạng hóa được, tức rủi ro thị trường. Phần tiếp theo sẽ xem xét cách đo lường rủi ro quốc gia này tốt nhất và đưa nó vào lợi nhuận kỳ vọng.</w:t>
      </w:r>
    </w:p>
    <w:p>
      <w:bookmarkStart w:id="1104" w:name="Measuring_Country_Risk_Premiums"/>
      <w:pPr>
        <w:pStyle w:val="Para 21"/>
      </w:pPr>
      <w:r>
        <w:t>Đo lường phần bù rủi ro quốc gia</w:t>
      </w:r>
      <w:bookmarkEnd w:id="1104"/>
    </w:p>
    <w:p>
      <w:pPr>
        <w:pStyle w:val="Para 03"/>
      </w:pPr>
      <w:r>
        <w:t>Nếu rủi ro quốc gia là quan trọng và dẫn đến phần bù cao hơn cho những quốc gia rủi ro hơn, thì câu hỏi tiếp theo hiển nhiên là chúng ta đo lường phần bù tăng thêm này như thế nào. Phần này xem xét ba cách tiếp cận. Cách thứ nhất dựa trên chênh lệch vỡ nợ của trái phiếu quốc gia do mỗi nước phát hành, trong khi cách thứ hai dùng biến động của thị trường chứng khoán làm cơ sở. Cách thứ ba là một cách tiếp cận pha trộn, dùng cả chênh lệch vỡ nợ lẫn biến động của thị trường chứng khoán.</w:t>
      </w:r>
    </w:p>
    <w:p>
      <w:pPr>
        <w:pStyle w:val="Para 20"/>
      </w:pPr>
      <w:r>
        <w:rPr>
          <w:rStyle w:val="Text26"/>
        </w:rPr>
        <w:bookmarkStart w:id="1106" w:name="Page_171"/>
        <w:t/>
        <w:bookmarkEnd w:id="1106"/>
      </w:r>
      <w:r>
        <w:t xml:space="preserve"> </w:t>
      </w:r>
    </w:p>
    <w:p>
      <w:bookmarkStart w:id="1107" w:name="Default_Risk_Spreads__While_ther"/>
      <w:pPr>
        <w:pStyle w:val="Para 42"/>
      </w:pPr>
      <w:r>
        <w:t>Chênh lệch rủi ro vỡ nợ</w:t>
      </w:r>
      <w:bookmarkEnd w:id="1107"/>
    </w:p>
    <w:p>
      <w:pPr>
        <w:pStyle w:val="Para 03"/>
      </w:pPr>
      <w:r>
        <w:t>Dù có nhiều thước đo rủi ro quốc gia, một trong những thước đo đơn giản và dễ tiếp cận nhất là xếp hạng mà một tổ chức xếp hạng gán cho nợ của một quốc gia; Standard &amp; Poor’s (S&amp;P), Moody’s Investors Service và Fitch đều xếp hạng các quốc gia. Những xếp hạng này đo rủi ro vỡ nợ (chứ không phải rủi ro cổ phần), nhưng chúng chịu ảnh hưởng của nhiều yếu tố cũng chi phối rủi ro cổ phần — chẳng hạn sự ổn định của đồng tiền một quốc gia, cán cân ngân sách và thương mại, và sự ổn định chính trị của quốc gia đó.12 Một lợi thế khác của xếp hạng là chúng có thể được dùng để ước tính chênh lệch vỡ nợ so với lãi suất phi rủi ro. Các chênh lệch vỡ nợ được ước tính bằng cách so sánh các trái phiếu định giá bằng đô la và euro do các chính phủ có cùng xếp hạng quốc gia phát hành, hoặc bằng cách dùng chênh lệch CDS quốc gia. Ví dụ, một trái phiếu kỳ hạn 10 năm định giá bằng đô la do chính phủ Brazil phát hành, được Moody’s xếp hạng Ba2, giao dịch ở mức lãi suất 6,04% vào tháng 1 năm 2024 — tức chênh lệch 2,16% so với lãi suất trái phiếu kho bạc Mỹ là 3,88% vào thời điểm đó. Vì có thể có những yếu tố đặc thù của từng quốc gia khiến các mức lãi suất này khác nhau giữa các trái phiếu, chúng ta lấy trung bình các chênh lệch từ trái phiếu chính phủ và thị trường CDS quốc gia trong mỗi nhóm xếp hạng để đi đến chênh lệch trung bình cho mỗi xếp hạng quốc gia. Chẳng hạn, qua năm quốc gia được xếp hạng Baa3 vào tháng 1 năm 2024, chênh lệch vỡ nợ trung bình là 2,39%. Do đó, bất kỳ quốc gia nào có xếp hạng Baa3, như Ấn Độ, sẽ được gán chênh lệch 2,39% vào tháng 1 năm 2024.</w:t>
      </w:r>
    </w:p>
    <w:p>
      <w:pPr>
        <w:pStyle w:val="Para 03"/>
      </w:pPr>
      <w:r>
        <w:t>Những hiểm nguy của xếp hạng quốc gia đã được ghi nhận trong vài năm qua. Cụ thể, các tổ chức xếp hạng dường như phản ứng chậm hơn thị trường trước những thay đổi trong rủi ro quốc gia. Một cách tiếp cận thay thế để ước tính chênh lệch vỡ nợ là thị trường CDS, nơi nhà đầu tư có thể mua bảo hiểm chống rủi ro vỡ nợ bằng cách trả một khoản phí hằng năm. Như chúng tôi đã lưu ý trước đó trong phần về lãi suất phi rủi ro, vào đầu năm 2024 có các công cụ CDS được giao dịch trên khoảng 80 quốc gia, cung cấp một thước đo thị trường được cập nhật về rủi ro vỡ nợ. Chẳng hạn, vào tháng 1 năm 2024, chênh lệch CDS của Brazil là 239 điểm cơ bản (2,39 phần trăm), gần với chênh lệch vỡ nợ ước tính từ trái phiếu định giá bằng đô la. Nếu bạn chọn gắn bó với xếp hạng quốc gia, Bảng 7.5 tóm tắt các chênh lệch vỡ nợ được ước tính theo nhóm xếp hạng quốc gia vào tháng 1 năm 2024, dùng cả cách tiếp cận xếp hạng quốc gia lẫn CDS. Vậy nên, với Brazil, cùng xếp hạng Ba2 của nó, chênh lệch vỡ nợ mà bạn ước tính sẽ là 3,28%.</w:t>
      </w:r>
    </w:p>
    <w:p>
      <w:pPr>
        <w:pStyle w:val="Para 34"/>
        <w:keepLines w:val="on"/>
      </w:pPr>
      <w:r>
        <w:t>Bảng 7.5</w:t>
      </w:r>
    </w:p>
    <w:p>
      <w:pPr>
        <w:keepNext/>
        <w:pStyle w:val="Para 35"/>
        <w:keepLines w:val="on"/>
      </w:pPr>
      <w:r>
        <w:t>Mức chênh lệch vỡ nợ mặc định theo nhóm xếp hạng vào tháng 1 năm 2024</w:t>
      </w:r>
    </w:p>
    <w:tbl>
      <w:tblPr>
        <w:tblW w:type="auto" w:w="0"/>
      </w:tblPr>
      <w:tr>
        <w:tc>
          <w:tcPr>
            <w:tcW w:type="auto" w:w="0"/>
          </w:tcPr>
          <w:tbl>
            <w:tblPr>
              <w:tblW w:type="auto" w:w="0"/>
            </w:tblPr>
            <w:tr>
              <w:tc>
                <w:tcPr>
                  <w:tcW w:type="auto" w:w="0"/>
                  <w:shd w:val="clear" w:color="auto" w:fill="F0F0F0"/>
                  <w:hMerge w:val="restart"/>
                </w:tcPr>
                <w:p>
                  <w:pPr>
                    <w:pStyle w:val="Para 17"/>
                    <w:keepLines w:val="on"/>
                  </w:pPr>
                  <w:r>
                    <w:t>Xếp hạng trái phiếu P</w:t>
                  </w:r>
                </w:p>
              </w:tc>
              <w:tc>
                <w:tcPr>
                  <w:hMerge w:val="continue"/>
                </w:tcPr>
                <w:p/>
              </w:tc>
              <w:tc>
                <w:tcPr>
                  <w:hMerge w:val="continue"/>
                </w:tcPr>
                <w:p/>
              </w:tc>
            </w:tr>
            <w:tr>
              <w:tc>
                <w:tcPr>
                  <w:tcW w:type="auto" w:w="0"/>
                  <w:shd w:val="clear" w:color="auto" w:fill="F0F0F0"/>
                </w:tcPr>
                <w:p>
                  <w:pPr>
                    <w:pStyle w:val="Para 29"/>
                    <w:keepLines w:val="on"/>
                  </w:pPr>
                  <w:r>
                    <w:t>Xếp hạng trái phiếu S&amp;P</w:t>
                  </w:r>
                </w:p>
              </w:tc>
              <w:tc>
                <w:tcPr>
                  <w:tcW w:type="auto" w:w="0"/>
                  <w:shd w:val="clear" w:color="auto" w:fill="F0F0F0"/>
                </w:tcPr>
                <w:p>
                  <w:pPr>
                    <w:pStyle w:val="Para 17"/>
                    <w:keepLines w:val="on"/>
                  </w:pPr>
                  <w:r>
                    <w:t>Xếp hạng chủ quyền Moody's</w:t>
                  </w:r>
                </w:p>
              </w:tc>
              <w:tc>
                <w:tcPr>
                  <w:tcW w:type="auto" w:w="0"/>
                  <w:shd w:val="clear" w:color="auto" w:fill="F0F0F0"/>
                </w:tcPr>
                <w:p>
                  <w:pPr>
                    <w:pStyle w:val="Para 17"/>
                    <w:keepLines w:val="on"/>
                  </w:pPr>
                  <w:r>
                    <w:t>Mức chênh lệch vỡ nợ chủ quyền</w:t>
                  </w:r>
                </w:p>
              </w:tc>
            </w:tr>
            <w:tr>
              <w:tc>
                <w:tcPr>
                  <w:tcW w:type="auto" w:w="0"/>
                  <w:shd w:val="clear" w:color="auto" w:fill="F0F0F0"/>
                </w:tcPr>
                <w:p>
                  <w:pPr>
                    <w:pStyle w:val="Para 02"/>
                    <w:keepLines w:val="on"/>
                  </w:pPr>
                  <w:r>
                    <w:t>AAA</w:t>
                  </w:r>
                </w:p>
              </w:tc>
              <w:tc>
                <w:tcPr>
                  <w:tcW w:type="auto" w:w="0"/>
                  <w:shd w:val="clear" w:color="auto" w:fill="F0F0F0"/>
                </w:tcPr>
                <w:p>
                  <w:pPr>
                    <w:pStyle w:val="Normal"/>
                    <w:keepLines w:val="on"/>
                  </w:pPr>
                  <w:r>
                    <w:t>Aaa</w:t>
                  </w:r>
                </w:p>
              </w:tc>
              <w:tc>
                <w:tcPr>
                  <w:tcW w:type="auto" w:w="0"/>
                  <w:shd w:val="clear" w:color="auto" w:fill="F0F0F0"/>
                </w:tcPr>
                <w:p>
                  <w:pPr>
                    <w:pStyle w:val="Normal"/>
                    <w:keepLines w:val="on"/>
                  </w:pPr>
                  <w:r>
                    <w:t>0,00%</w:t>
                  </w:r>
                </w:p>
              </w:tc>
            </w:tr>
            <w:tr>
              <w:tc>
                <w:tcPr>
                  <w:tcW w:type="auto" w:w="0"/>
                  <w:shd w:val="clear" w:color="auto" w:fill="F0F0F0"/>
                </w:tcPr>
                <w:p>
                  <w:pPr>
                    <w:pStyle w:val="Para 02"/>
                    <w:keepLines w:val="on"/>
                  </w:pPr>
                  <w:r>
                    <w:t>AA+</w:t>
                  </w:r>
                </w:p>
              </w:tc>
              <w:tc>
                <w:tcPr>
                  <w:tcW w:type="auto" w:w="0"/>
                  <w:shd w:val="clear" w:color="auto" w:fill="F0F0F0"/>
                </w:tcPr>
                <w:p>
                  <w:pPr>
                    <w:pStyle w:val="Normal"/>
                    <w:keepLines w:val="on"/>
                  </w:pPr>
                  <w:r>
                    <w:t>Aa1</w:t>
                  </w:r>
                </w:p>
              </w:tc>
              <w:tc>
                <w:tcPr>
                  <w:tcW w:type="auto" w:w="0"/>
                  <w:shd w:val="clear" w:color="auto" w:fill="F0F0F0"/>
                </w:tcPr>
                <w:p>
                  <w:pPr>
                    <w:pStyle w:val="Normal"/>
                    <w:keepLines w:val="on"/>
                  </w:pPr>
                  <w:r>
                    <w:t>0,44%</w:t>
                  </w:r>
                </w:p>
              </w:tc>
            </w:tr>
            <w:tr>
              <w:tc>
                <w:tcPr>
                  <w:tcW w:type="auto" w:w="0"/>
                  <w:shd w:val="clear" w:color="auto" w:fill="F0F0F0"/>
                </w:tcPr>
                <w:p>
                  <w:pPr>
                    <w:pStyle w:val="Para 02"/>
                    <w:keepLines w:val="on"/>
                  </w:pPr>
                  <w:r>
                    <w:t>AA</w:t>
                  </w:r>
                </w:p>
              </w:tc>
              <w:tc>
                <w:tcPr>
                  <w:tcW w:type="auto" w:w="0"/>
                  <w:shd w:val="clear" w:color="auto" w:fill="F0F0F0"/>
                </w:tcPr>
                <w:p>
                  <w:pPr>
                    <w:pStyle w:val="Normal"/>
                    <w:keepLines w:val="on"/>
                  </w:pPr>
                  <w:r>
                    <w:t>Aa2</w:t>
                  </w:r>
                </w:p>
              </w:tc>
              <w:tc>
                <w:tcPr>
                  <w:tcW w:type="auto" w:w="0"/>
                  <w:shd w:val="clear" w:color="auto" w:fill="F0F0F0"/>
                </w:tcPr>
                <w:p>
                  <w:pPr>
                    <w:pStyle w:val="Normal"/>
                    <w:keepLines w:val="on"/>
                  </w:pPr>
                  <w:r>
                    <w:t>0,54%</w:t>
                  </w:r>
                </w:p>
              </w:tc>
            </w:tr>
            <w:tr>
              <w:tc>
                <w:tcPr>
                  <w:tcW w:type="auto" w:w="0"/>
                  <w:shd w:val="clear" w:color="auto" w:fill="F0F0F0"/>
                </w:tcPr>
                <w:p>
                  <w:pPr>
                    <w:pStyle w:val="Para 02"/>
                    <w:keepLines w:val="on"/>
                  </w:pPr>
                  <w:r>
                    <w:t>AA−</w:t>
                  </w:r>
                </w:p>
              </w:tc>
              <w:tc>
                <w:tcPr>
                  <w:tcW w:type="auto" w:w="0"/>
                  <w:shd w:val="clear" w:color="auto" w:fill="F0F0F0"/>
                </w:tcPr>
                <w:p>
                  <w:pPr>
                    <w:pStyle w:val="Normal"/>
                    <w:keepLines w:val="on"/>
                  </w:pPr>
                  <w:r>
                    <w:t>Aa3</w:t>
                  </w:r>
                </w:p>
              </w:tc>
              <w:tc>
                <w:tcPr>
                  <w:tcW w:type="auto" w:w="0"/>
                  <w:shd w:val="clear" w:color="auto" w:fill="F0F0F0"/>
                </w:tcPr>
                <w:p>
                  <w:pPr>
                    <w:pStyle w:val="Normal"/>
                    <w:keepLines w:val="on"/>
                  </w:pPr>
                  <w:r>
                    <w:t>0,65%</w:t>
                  </w:r>
                </w:p>
              </w:tc>
            </w:tr>
            <w:tr>
              <w:tc>
                <w:tcPr>
                  <w:tcW w:type="auto" w:w="0"/>
                  <w:shd w:val="clear" w:color="auto" w:fill="F0F0F0"/>
                </w:tcPr>
                <w:p>
                  <w:pPr>
                    <w:pStyle w:val="Para 02"/>
                    <w:keepLines w:val="on"/>
                  </w:pPr>
                  <w:r>
                    <w:t>A+</w:t>
                  </w:r>
                </w:p>
              </w:tc>
              <w:tc>
                <w:tcPr>
                  <w:tcW w:type="auto" w:w="0"/>
                  <w:shd w:val="clear" w:color="auto" w:fill="F0F0F0"/>
                </w:tcPr>
                <w:p>
                  <w:pPr>
                    <w:pStyle w:val="Normal"/>
                    <w:keepLines w:val="on"/>
                  </w:pPr>
                  <w:r>
                    <w:t>A1</w:t>
                  </w:r>
                </w:p>
              </w:tc>
              <w:tc>
                <w:tcPr>
                  <w:tcW w:type="auto" w:w="0"/>
                  <w:shd w:val="clear" w:color="auto" w:fill="F0F0F0"/>
                </w:tcPr>
                <w:p>
                  <w:pPr>
                    <w:pStyle w:val="Normal"/>
                    <w:keepLines w:val="on"/>
                  </w:pPr>
                  <w:r>
                    <w:t>0,77%</w:t>
                  </w:r>
                </w:p>
              </w:tc>
            </w:tr>
            <w:tr>
              <w:tc>
                <w:tcPr>
                  <w:tcW w:type="auto" w:w="0"/>
                  <w:shd w:val="clear" w:color="auto" w:fill="F0F0F0"/>
                </w:tcPr>
                <w:p>
                  <w:pPr>
                    <w:pStyle w:val="Para 02"/>
                    <w:keepLines w:val="on"/>
                  </w:pPr>
                  <w:r>
                    <w:t>A</w:t>
                  </w:r>
                </w:p>
              </w:tc>
              <w:tc>
                <w:tcPr>
                  <w:tcW w:type="auto" w:w="0"/>
                  <w:shd w:val="clear" w:color="auto" w:fill="F0F0F0"/>
                </w:tcPr>
                <w:p>
                  <w:pPr>
                    <w:pStyle w:val="Normal"/>
                    <w:keepLines w:val="on"/>
                  </w:pPr>
                  <w:r>
                    <w:t>A2</w:t>
                  </w:r>
                </w:p>
              </w:tc>
              <w:tc>
                <w:tcPr>
                  <w:tcW w:type="auto" w:w="0"/>
                  <w:shd w:val="clear" w:color="auto" w:fill="F0F0F0"/>
                </w:tcPr>
                <w:p>
                  <w:pPr>
                    <w:pStyle w:val="Normal"/>
                    <w:keepLines w:val="on"/>
                  </w:pPr>
                  <w:r>
                    <w:t>0,92%</w:t>
                  </w:r>
                </w:p>
              </w:tc>
            </w:tr>
            <w:tr>
              <w:tc>
                <w:tcPr>
                  <w:tcW w:type="auto" w:w="0"/>
                  <w:shd w:val="clear" w:color="auto" w:fill="F0F0F0"/>
                </w:tcPr>
                <w:p>
                  <w:pPr>
                    <w:pStyle w:val="Para 02"/>
                    <w:keepLines w:val="on"/>
                  </w:pPr>
                  <w:r>
                    <w:t>A−</w:t>
                  </w:r>
                </w:p>
              </w:tc>
              <w:tc>
                <w:tcPr>
                  <w:tcW w:type="auto" w:w="0"/>
                  <w:shd w:val="clear" w:color="auto" w:fill="F0F0F0"/>
                </w:tcPr>
                <w:p>
                  <w:pPr>
                    <w:pStyle w:val="Normal"/>
                    <w:keepLines w:val="on"/>
                  </w:pPr>
                  <w:r>
                    <w:t>A3</w:t>
                  </w:r>
                </w:p>
              </w:tc>
              <w:tc>
                <w:tcPr>
                  <w:tcW w:type="auto" w:w="0"/>
                  <w:shd w:val="clear" w:color="auto" w:fill="F0F0F0"/>
                </w:tcPr>
                <w:p>
                  <w:pPr>
                    <w:pStyle w:val="Normal"/>
                    <w:keepLines w:val="on"/>
                  </w:pPr>
                  <w:r>
                    <w:t>1,31%</w:t>
                  </w:r>
                </w:p>
              </w:tc>
            </w:tr>
            <w:tr>
              <w:tc>
                <w:tcPr>
                  <w:tcW w:type="auto" w:w="0"/>
                  <w:shd w:val="clear" w:color="auto" w:fill="F0F0F0"/>
                </w:tcPr>
                <w:p>
                  <w:pPr>
                    <w:pStyle w:val="Para 02"/>
                    <w:keepLines w:val="on"/>
                  </w:pPr>
                  <w:r>
                    <w:t>BBB+</w:t>
                  </w:r>
                </w:p>
              </w:tc>
              <w:tc>
                <w:tcPr>
                  <w:tcW w:type="auto" w:w="0"/>
                  <w:shd w:val="clear" w:color="auto" w:fill="F0F0F0"/>
                </w:tcPr>
                <w:p>
                  <w:pPr>
                    <w:pStyle w:val="Normal"/>
                    <w:keepLines w:val="on"/>
                  </w:pPr>
                  <w:r>
                    <w:t>Baa1</w:t>
                  </w:r>
                </w:p>
              </w:tc>
              <w:tc>
                <w:tcPr>
                  <w:tcW w:type="auto" w:w="0"/>
                  <w:shd w:val="clear" w:color="auto" w:fill="F0F0F0"/>
                </w:tcPr>
                <w:p>
                  <w:pPr>
                    <w:pStyle w:val="Normal"/>
                    <w:keepLines w:val="on"/>
                  </w:pPr>
                  <w:r>
                    <w:t>1,74%</w:t>
                  </w:r>
                </w:p>
              </w:tc>
            </w:tr>
            <w:tr>
              <w:tc>
                <w:tcPr>
                  <w:tcW w:type="auto" w:w="0"/>
                  <w:shd w:val="clear" w:color="auto" w:fill="F0F0F0"/>
                </w:tcPr>
                <w:p>
                  <w:pPr>
                    <w:pStyle w:val="Para 02"/>
                    <w:keepLines w:val="on"/>
                  </w:pPr>
                  <w:r>
                    <w:t>BBB</w:t>
                  </w:r>
                </w:p>
              </w:tc>
              <w:tc>
                <w:tcPr>
                  <w:tcW w:type="auto" w:w="0"/>
                  <w:shd w:val="clear" w:color="auto" w:fill="F0F0F0"/>
                </w:tcPr>
                <w:p>
                  <w:pPr>
                    <w:pStyle w:val="Normal"/>
                    <w:keepLines w:val="on"/>
                  </w:pPr>
                  <w:r>
                    <w:t>Baa2</w:t>
                  </w:r>
                </w:p>
              </w:tc>
              <w:tc>
                <w:tcPr>
                  <w:tcW w:type="auto" w:w="0"/>
                  <w:shd w:val="clear" w:color="auto" w:fill="F0F0F0"/>
                </w:tcPr>
                <w:p>
                  <w:pPr>
                    <w:pStyle w:val="Normal"/>
                    <w:keepLines w:val="on"/>
                  </w:pPr>
                  <w:r>
                    <w:t>2,07%</w:t>
                  </w:r>
                </w:p>
              </w:tc>
            </w:tr>
            <w:tr>
              <w:tc>
                <w:tcPr>
                  <w:tcW w:type="auto" w:w="0"/>
                  <w:shd w:val="clear" w:color="auto" w:fill="F0F0F0"/>
                </w:tcPr>
                <w:p>
                  <w:pPr>
                    <w:pStyle w:val="Para 02"/>
                    <w:keepLines w:val="on"/>
                  </w:pPr>
                  <w:r>
                    <w:t>BBB−</w:t>
                  </w:r>
                </w:p>
              </w:tc>
              <w:tc>
                <w:tcPr>
                  <w:tcW w:type="auto" w:w="0"/>
                  <w:shd w:val="clear" w:color="auto" w:fill="F0F0F0"/>
                </w:tcPr>
                <w:p>
                  <w:pPr>
                    <w:pStyle w:val="Normal"/>
                    <w:keepLines w:val="on"/>
                  </w:pPr>
                  <w:r>
                    <w:t>Baa3</w:t>
                  </w:r>
                </w:p>
              </w:tc>
              <w:tc>
                <w:tcPr>
                  <w:tcW w:type="auto" w:w="0"/>
                  <w:shd w:val="clear" w:color="auto" w:fill="F0F0F0"/>
                </w:tcPr>
                <w:p>
                  <w:pPr>
                    <w:pStyle w:val="Normal"/>
                    <w:keepLines w:val="on"/>
                  </w:pPr>
                  <w:r>
                    <w:t>2,39%</w:t>
                  </w:r>
                </w:p>
              </w:tc>
            </w:tr>
            <w:tr>
              <w:tc>
                <w:tcPr>
                  <w:tcW w:type="auto" w:w="0"/>
                  <w:shd w:val="clear" w:color="auto" w:fill="F0F0F0"/>
                </w:tcPr>
                <w:p>
                  <w:pPr>
                    <w:pStyle w:val="Para 02"/>
                    <w:keepLines w:val="on"/>
                  </w:pPr>
                  <w:r>
                    <w:t>BB+</w:t>
                  </w:r>
                </w:p>
              </w:tc>
              <w:tc>
                <w:tcPr>
                  <w:tcW w:type="auto" w:w="0"/>
                  <w:shd w:val="clear" w:color="auto" w:fill="F0F0F0"/>
                </w:tcPr>
                <w:p>
                  <w:pPr>
                    <w:pStyle w:val="Normal"/>
                    <w:keepLines w:val="on"/>
                  </w:pPr>
                  <w:r>
                    <w:t>Ba1</w:t>
                  </w:r>
                </w:p>
              </w:tc>
              <w:tc>
                <w:tcPr>
                  <w:tcW w:type="auto" w:w="0"/>
                  <w:shd w:val="clear" w:color="auto" w:fill="F0F0F0"/>
                </w:tcPr>
                <w:p>
                  <w:pPr>
                    <w:pStyle w:val="Normal"/>
                    <w:keepLines w:val="on"/>
                  </w:pPr>
                  <w:r>
                    <w:t>2,73%</w:t>
                  </w:r>
                </w:p>
              </w:tc>
            </w:tr>
            <w:tr>
              <w:tc>
                <w:tcPr>
                  <w:tcW w:type="auto" w:w="0"/>
                  <w:shd w:val="clear" w:color="auto" w:fill="F0F0F0"/>
                </w:tcPr>
                <w:p>
                  <w:pPr>
                    <w:pStyle w:val="Para 02"/>
                    <w:keepLines w:val="on"/>
                  </w:pPr>
                  <w:r>
                    <w:t>BB</w:t>
                  </w:r>
                </w:p>
              </w:tc>
              <w:tc>
                <w:tcPr>
                  <w:tcW w:type="auto" w:w="0"/>
                  <w:shd w:val="clear" w:color="auto" w:fill="F0F0F0"/>
                </w:tcPr>
                <w:p>
                  <w:pPr>
                    <w:pStyle w:val="Normal"/>
                    <w:keepLines w:val="on"/>
                  </w:pPr>
                  <w:r>
                    <w:t>Ba2</w:t>
                  </w:r>
                </w:p>
              </w:tc>
              <w:tc>
                <w:tcPr>
                  <w:tcW w:type="auto" w:w="0"/>
                  <w:shd w:val="clear" w:color="auto" w:fill="F0F0F0"/>
                </w:tcPr>
                <w:p>
                  <w:pPr>
                    <w:pStyle w:val="Normal"/>
                    <w:keepLines w:val="on"/>
                  </w:pPr>
                  <w:r>
                    <w:t>3,28%</w:t>
                  </w:r>
                </w:p>
              </w:tc>
            </w:tr>
            <w:tr>
              <w:tc>
                <w:tcPr>
                  <w:tcW w:type="auto" w:w="0"/>
                  <w:shd w:val="clear" w:color="auto" w:fill="F0F0F0"/>
                </w:tcPr>
                <w:p>
                  <w:pPr>
                    <w:pStyle w:val="Para 02"/>
                    <w:keepLines w:val="on"/>
                  </w:pPr>
                  <w:r>
                    <w:t>BB−</w:t>
                  </w:r>
                </w:p>
              </w:tc>
              <w:tc>
                <w:tcPr>
                  <w:tcW w:type="auto" w:w="0"/>
                  <w:shd w:val="clear" w:color="auto" w:fill="F0F0F0"/>
                </w:tcPr>
                <w:p>
                  <w:pPr>
                    <w:pStyle w:val="Normal"/>
                    <w:keepLines w:val="on"/>
                  </w:pPr>
                  <w:r>
                    <w:t>Ba3</w:t>
                  </w:r>
                </w:p>
              </w:tc>
              <w:tc>
                <w:tcPr>
                  <w:tcW w:type="auto" w:w="0"/>
                  <w:shd w:val="clear" w:color="auto" w:fill="F0F0F0"/>
                </w:tcPr>
                <w:p>
                  <w:pPr>
                    <w:pStyle w:val="Normal"/>
                    <w:keepLines w:val="on"/>
                  </w:pPr>
                  <w:r>
                    <w:t>3,92%</w:t>
                  </w:r>
                </w:p>
              </w:tc>
            </w:tr>
            <w:tr>
              <w:tc>
                <w:tcPr>
                  <w:tcW w:type="auto" w:w="0"/>
                  <w:shd w:val="clear" w:color="auto" w:fill="F0F0F0"/>
                </w:tcPr>
                <w:p>
                  <w:pPr>
                    <w:pStyle w:val="Para 02"/>
                    <w:keepLines w:val="on"/>
                  </w:pPr>
                  <w:r>
                    <w:t>B+</w:t>
                  </w:r>
                </w:p>
              </w:tc>
              <w:tc>
                <w:tcPr>
                  <w:tcW w:type="auto" w:w="0"/>
                  <w:shd w:val="clear" w:color="auto" w:fill="F0F0F0"/>
                </w:tcPr>
                <w:p>
                  <w:pPr>
                    <w:pStyle w:val="Normal"/>
                    <w:keepLines w:val="on"/>
                  </w:pPr>
                  <w:r>
                    <w:t>B1</w:t>
                  </w:r>
                </w:p>
              </w:tc>
              <w:tc>
                <w:tcPr>
                  <w:tcW w:type="auto" w:w="0"/>
                  <w:shd w:val="clear" w:color="auto" w:fill="F0F0F0"/>
                </w:tcPr>
                <w:p>
                  <w:pPr>
                    <w:pStyle w:val="Normal"/>
                    <w:keepLines w:val="on"/>
                  </w:pPr>
                  <w:r>
                    <w:t>4,90%</w:t>
                  </w:r>
                </w:p>
              </w:tc>
            </w:tr>
            <w:tr>
              <w:tc>
                <w:tcPr>
                  <w:tcW w:type="auto" w:w="0"/>
                  <w:shd w:val="clear" w:color="auto" w:fill="F0F0F0"/>
                </w:tcPr>
                <w:p>
                  <w:pPr>
                    <w:pStyle w:val="Para 02"/>
                    <w:keepLines w:val="on"/>
                  </w:pPr>
                  <w:r>
                    <w:t>B</w:t>
                  </w:r>
                </w:p>
              </w:tc>
              <w:tc>
                <w:tcPr>
                  <w:tcW w:type="auto" w:w="0"/>
                  <w:shd w:val="clear" w:color="auto" w:fill="F0F0F0"/>
                </w:tcPr>
                <w:p>
                  <w:pPr>
                    <w:pStyle w:val="Normal"/>
                    <w:keepLines w:val="on"/>
                  </w:pPr>
                  <w:r>
                    <w:t>B2</w:t>
                  </w:r>
                </w:p>
              </w:tc>
              <w:tc>
                <w:tcPr>
                  <w:tcW w:type="auto" w:w="0"/>
                  <w:shd w:val="clear" w:color="auto" w:fill="F0F0F0"/>
                </w:tcPr>
                <w:p>
                  <w:pPr>
                    <w:pStyle w:val="Normal"/>
                    <w:keepLines w:val="on"/>
                  </w:pPr>
                  <w:r>
                    <w:t>5,99%</w:t>
                  </w:r>
                </w:p>
              </w:tc>
            </w:tr>
            <w:tr>
              <w:tc>
                <w:tcPr>
                  <w:tcW w:type="auto" w:w="0"/>
                  <w:shd w:val="clear" w:color="auto" w:fill="F0F0F0"/>
                </w:tcPr>
                <w:p>
                  <w:pPr>
                    <w:pStyle w:val="Para 02"/>
                    <w:keepLines w:val="on"/>
                  </w:pPr>
                  <w:r>
                    <w:t>B−</w:t>
                  </w:r>
                </w:p>
              </w:tc>
              <w:tc>
                <w:tcPr>
                  <w:tcW w:type="auto" w:w="0"/>
                  <w:shd w:val="clear" w:color="auto" w:fill="F0F0F0"/>
                </w:tcPr>
                <w:p>
                  <w:pPr>
                    <w:pStyle w:val="Normal"/>
                    <w:keepLines w:val="on"/>
                  </w:pPr>
                  <w:r>
                    <w:t>B3</w:t>
                  </w:r>
                </w:p>
              </w:tc>
              <w:tc>
                <w:tcPr>
                  <w:tcW w:type="auto" w:w="0"/>
                  <w:shd w:val="clear" w:color="auto" w:fill="F0F0F0"/>
                </w:tcPr>
                <w:p>
                  <w:pPr>
                    <w:pStyle w:val="Normal"/>
                    <w:keepLines w:val="on"/>
                  </w:pPr>
                  <w:r>
                    <w:t>7,08%</w:t>
                  </w:r>
                </w:p>
              </w:tc>
            </w:tr>
            <w:tr>
              <w:tc>
                <w:tcPr>
                  <w:tcW w:type="auto" w:w="0"/>
                  <w:shd w:val="clear" w:color="auto" w:fill="F0F0F0"/>
                </w:tcPr>
                <w:p>
                  <w:pPr>
                    <w:pStyle w:val="Para 02"/>
                    <w:keepLines w:val="on"/>
                  </w:pPr>
                  <w:r>
                    <w:t>CCC+</w:t>
                  </w:r>
                </w:p>
              </w:tc>
              <w:tc>
                <w:tcPr>
                  <w:tcW w:type="auto" w:w="0"/>
                  <w:shd w:val="clear" w:color="auto" w:fill="F0F0F0"/>
                </w:tcPr>
                <w:p>
                  <w:pPr>
                    <w:pStyle w:val="Normal"/>
                    <w:keepLines w:val="on"/>
                  </w:pPr>
                  <w:r>
                    <w:t>Caa1</w:t>
                  </w:r>
                </w:p>
              </w:tc>
              <w:tc>
                <w:tcPr>
                  <w:tcW w:type="auto" w:w="0"/>
                  <w:shd w:val="clear" w:color="auto" w:fill="F0F0F0"/>
                </w:tcPr>
                <w:p>
                  <w:pPr>
                    <w:pStyle w:val="Normal"/>
                    <w:keepLines w:val="on"/>
                  </w:pPr>
                  <w:r>
                    <w:t>8,17%</w:t>
                  </w:r>
                </w:p>
              </w:tc>
            </w:tr>
            <w:tr>
              <w:tc>
                <w:tcPr>
                  <w:tcW w:type="auto" w:w="0"/>
                  <w:shd w:val="clear" w:color="auto" w:fill="F0F0F0"/>
                </w:tcPr>
                <w:p>
                  <w:pPr>
                    <w:pStyle w:val="Para 02"/>
                    <w:keepLines w:val="on"/>
                  </w:pPr>
                  <w:r>
                    <w:t>CCC</w:t>
                  </w:r>
                </w:p>
              </w:tc>
              <w:tc>
                <w:tcPr>
                  <w:tcW w:type="auto" w:w="0"/>
                  <w:shd w:val="clear" w:color="auto" w:fill="F0F0F0"/>
                </w:tcPr>
                <w:p>
                  <w:pPr>
                    <w:pStyle w:val="Normal"/>
                    <w:keepLines w:val="on"/>
                  </w:pPr>
                  <w:r>
                    <w:t>Caa2</w:t>
                  </w:r>
                </w:p>
              </w:tc>
              <w:tc>
                <w:tcPr>
                  <w:tcW w:type="auto" w:w="0"/>
                  <w:shd w:val="clear" w:color="auto" w:fill="F0F0F0"/>
                </w:tcPr>
                <w:p>
                  <w:pPr>
                    <w:pStyle w:val="Normal"/>
                    <w:keepLines w:val="on"/>
                  </w:pPr>
                  <w:r>
                    <w:t>9,81%</w:t>
                  </w:r>
                </w:p>
              </w:tc>
            </w:tr>
            <w:tr>
              <w:tc>
                <w:tcPr>
                  <w:tcW w:type="auto" w:w="0"/>
                  <w:shd w:val="clear" w:color="auto" w:fill="F0F0F0"/>
                </w:tcPr>
                <w:p>
                  <w:pPr>
                    <w:pStyle w:val="Para 02"/>
                    <w:keepLines w:val="on"/>
                  </w:pPr>
                  <w:r>
                    <w:t>CCC−</w:t>
                  </w:r>
                </w:p>
              </w:tc>
              <w:tc>
                <w:tcPr>
                  <w:tcW w:type="auto" w:w="0"/>
                  <w:shd w:val="clear" w:color="auto" w:fill="F0F0F0"/>
                </w:tcPr>
                <w:p>
                  <w:pPr>
                    <w:pStyle w:val="Normal"/>
                    <w:keepLines w:val="on"/>
                  </w:pPr>
                  <w:r>
                    <w:t>Caa3</w:t>
                  </w:r>
                </w:p>
              </w:tc>
              <w:tc>
                <w:tcPr>
                  <w:tcW w:type="auto" w:w="0"/>
                  <w:shd w:val="clear" w:color="auto" w:fill="F0F0F0"/>
                </w:tcPr>
                <w:p>
                  <w:pPr>
                    <w:pStyle w:val="Normal"/>
                    <w:keepLines w:val="on"/>
                  </w:pPr>
                  <w:r>
                    <w:t>10,90%</w:t>
                  </w:r>
                </w:p>
              </w:tc>
            </w:tr>
            <w:tr>
              <w:tc>
                <w:tcPr>
                  <w:tcW w:type="auto" w:w="0"/>
                  <w:shd w:val="clear" w:color="auto" w:fill="F0F0F0"/>
                </w:tcPr>
                <w:p>
                  <w:pPr>
                    <w:pStyle w:val="Para 02"/>
                    <w:keepLines w:val="on"/>
                  </w:pPr>
                  <w:r>
                    <w:t>CC+</w:t>
                  </w:r>
                </w:p>
              </w:tc>
              <w:tc>
                <w:tcPr>
                  <w:tcW w:type="auto" w:w="0"/>
                  <w:shd w:val="clear" w:color="auto" w:fill="F0F0F0"/>
                </w:tcPr>
                <w:p>
                  <w:pPr>
                    <w:pStyle w:val="Normal"/>
                    <w:keepLines w:val="on"/>
                  </w:pPr>
                  <w:r>
                    <w:t>Ca1</w:t>
                  </w:r>
                </w:p>
              </w:tc>
              <w:tc>
                <w:tcPr>
                  <w:tcW w:type="auto" w:w="0"/>
                  <w:shd w:val="clear" w:color="auto" w:fill="F0F0F0"/>
                </w:tcPr>
                <w:p>
                  <w:pPr>
                    <w:pStyle w:val="Normal"/>
                    <w:keepLines w:val="on"/>
                  </w:pPr>
                  <w:r>
                    <w:t>12,25%</w:t>
                  </w:r>
                </w:p>
              </w:tc>
            </w:tr>
            <w:tr>
              <w:tc>
                <w:tcPr>
                  <w:tcW w:type="auto" w:w="0"/>
                  <w:shd w:val="clear" w:color="auto" w:fill="F0F0F0"/>
                </w:tcPr>
                <w:p>
                  <w:pPr>
                    <w:pStyle w:val="Para 02"/>
                    <w:keepLines w:val="on"/>
                  </w:pPr>
                  <w:r>
                    <w:t>CC</w:t>
                  </w:r>
                </w:p>
              </w:tc>
              <w:tc>
                <w:tcPr>
                  <w:tcW w:type="auto" w:w="0"/>
                  <w:shd w:val="clear" w:color="auto" w:fill="F0F0F0"/>
                </w:tcPr>
                <w:p>
                  <w:pPr>
                    <w:pStyle w:val="Normal"/>
                    <w:keepLines w:val="on"/>
                  </w:pPr>
                  <w:r>
                    <w:t>Ca2</w:t>
                  </w:r>
                </w:p>
              </w:tc>
              <w:tc>
                <w:tcPr>
                  <w:tcW w:type="auto" w:w="0"/>
                  <w:shd w:val="clear" w:color="auto" w:fill="F0F0F0"/>
                </w:tcPr>
                <w:p>
                  <w:pPr>
                    <w:pStyle w:val="Normal"/>
                    <w:keepLines w:val="on"/>
                  </w:pPr>
                  <w:r>
                    <w:t>14,00%</w:t>
                  </w:r>
                </w:p>
              </w:tc>
            </w:tr>
            <w:tr>
              <w:tc>
                <w:tcPr>
                  <w:tcW w:type="auto" w:w="0"/>
                  <w:shd w:val="clear" w:color="auto" w:fill="F0F0F0"/>
                </w:tcPr>
                <w:p>
                  <w:pPr>
                    <w:pStyle w:val="Para 02"/>
                    <w:keepLines w:val="on"/>
                  </w:pPr>
                  <w:r>
                    <w:t>CC−</w:t>
                  </w:r>
                </w:p>
              </w:tc>
              <w:tc>
                <w:tcPr>
                  <w:tcW w:type="auto" w:w="0"/>
                  <w:shd w:val="clear" w:color="auto" w:fill="F0F0F0"/>
                </w:tcPr>
                <w:p>
                  <w:pPr>
                    <w:pStyle w:val="Normal"/>
                    <w:keepLines w:val="on"/>
                  </w:pPr>
                  <w:r>
                    <w:t>Ca3</w:t>
                  </w:r>
                </w:p>
              </w:tc>
              <w:tc>
                <w:tcPr>
                  <w:tcW w:type="auto" w:w="0"/>
                  <w:shd w:val="clear" w:color="auto" w:fill="F0F0F0"/>
                </w:tcPr>
                <w:p>
                  <w:pPr>
                    <w:pStyle w:val="Normal"/>
                    <w:keepLines w:val="on"/>
                  </w:pPr>
                  <w:r>
                    <w:t>15,00%</w:t>
                  </w:r>
                </w:p>
              </w:tc>
            </w:tr>
            <w:tr>
              <w:tc>
                <w:tcPr>
                  <w:tcW w:type="auto" w:w="0"/>
                  <w:shd w:val="clear" w:color="auto" w:fill="F0F0F0"/>
                </w:tcPr>
                <w:p>
                  <w:pPr>
                    <w:pStyle w:val="Para 02"/>
                    <w:keepLines w:val="on"/>
                  </w:pPr>
                  <w:r>
                    <w:t>C+</w:t>
                  </w:r>
                </w:p>
              </w:tc>
              <w:tc>
                <w:tcPr>
                  <w:tcW w:type="auto" w:w="0"/>
                  <w:shd w:val="clear" w:color="auto" w:fill="F0F0F0"/>
                </w:tcPr>
                <w:p>
                  <w:pPr>
                    <w:pStyle w:val="Normal"/>
                    <w:keepLines w:val="on"/>
                  </w:pPr>
                  <w:r>
                    <w:t>C1</w:t>
                  </w:r>
                </w:p>
              </w:tc>
              <w:tc>
                <w:tcPr>
                  <w:tcW w:type="auto" w:w="0"/>
                  <w:shd w:val="clear" w:color="auto" w:fill="F0F0F0"/>
                </w:tcPr>
                <w:p>
                  <w:pPr>
                    <w:pStyle w:val="Normal"/>
                    <w:keepLines w:val="on"/>
                  </w:pPr>
                  <w:r>
                    <w:t>15,75%</w:t>
                  </w:r>
                </w:p>
              </w:tc>
            </w:tr>
            <w:tr>
              <w:tc>
                <w:tcPr>
                  <w:tcW w:type="auto" w:w="0"/>
                  <w:shd w:val="clear" w:color="auto" w:fill="F0F0F0"/>
                </w:tcPr>
                <w:p>
                  <w:pPr>
                    <w:pStyle w:val="Para 02"/>
                    <w:keepLines w:val="on"/>
                  </w:pPr>
                  <w:r>
                    <w:t>C</w:t>
                  </w:r>
                </w:p>
              </w:tc>
              <w:tc>
                <w:tcPr>
                  <w:tcW w:type="auto" w:w="0"/>
                  <w:shd w:val="clear" w:color="auto" w:fill="F0F0F0"/>
                </w:tcPr>
                <w:p>
                  <w:pPr>
                    <w:pStyle w:val="Normal"/>
                    <w:keepLines w:val="on"/>
                  </w:pPr>
                  <w:r>
                    <w:t>C2</w:t>
                  </w:r>
                </w:p>
              </w:tc>
              <w:tc>
                <w:tcPr>
                  <w:tcW w:type="auto" w:w="0"/>
                  <w:shd w:val="clear" w:color="auto" w:fill="F0F0F0"/>
                </w:tcPr>
                <w:p>
                  <w:pPr>
                    <w:pStyle w:val="Normal"/>
                    <w:keepLines w:val="on"/>
                  </w:pPr>
                  <w:r>
                    <w:t>16,75%</w:t>
                  </w:r>
                </w:p>
              </w:tc>
            </w:tr>
            <w:tr>
              <w:tc>
                <w:tcPr>
                  <w:tcW w:type="auto" w:w="0"/>
                  <w:shd w:val="clear" w:color="auto" w:fill="F0F0F0"/>
                </w:tcPr>
                <w:p>
                  <w:pPr>
                    <w:pStyle w:val="Para 02"/>
                    <w:keepLines w:val="on"/>
                  </w:pPr>
                  <w:r>
                    <w:t>C−</w:t>
                  </w:r>
                </w:p>
              </w:tc>
              <w:tc>
                <w:tcPr>
                  <w:tcW w:type="auto" w:w="0"/>
                  <w:shd w:val="clear" w:color="auto" w:fill="F0F0F0"/>
                </w:tcPr>
                <w:p>
                  <w:pPr>
                    <w:pStyle w:val="Normal"/>
                    <w:keepLines w:val="on"/>
                  </w:pPr>
                  <w:r>
                    <w:t>C3</w:t>
                  </w:r>
                </w:p>
              </w:tc>
              <w:tc>
                <w:tcPr>
                  <w:tcW w:type="auto" w:w="0"/>
                  <w:shd w:val="clear" w:color="auto" w:fill="F0F0F0"/>
                </w:tcPr>
                <w:p>
                  <w:pPr>
                    <w:pStyle w:val="Normal"/>
                    <w:keepLines w:val="on"/>
                  </w:pPr>
                  <w:r>
                    <w:t>18,00%</w:t>
                  </w:r>
                </w:p>
              </w:tc>
            </w:tr>
          </w:tbl>
          <w:p/>
        </w:tc>
      </w:tr>
    </w:tbl>
    <w:p>
      <w:pPr>
        <w:pStyle w:val="Para 03"/>
      </w:pPr>
      <w:r>
        <w:t>Các nhà phân tích sử dụng mức chênh lệch lãi suất vỡ nợ (default spread) làm thước đo rủi ro quốc gia thường cộng chúng vào chi phí vốn cổ phần và chi phí nợ của mọi công ty được giao dịch tại quốc gia đó. Ví dụ, chi phí vốn cổ phần của một công ty Brazil, ước tính bằng đô la Mỹ, sẽ cao hơn 3,28% (dựa trên xếp hạng tín nhiệm quốc gia của Brazil là Ba2) so với chi phí vốn cổ phần của một công ty Mỹ tương đương về mọi mặt khác. Nếu chúng ta giả định rằng phần bù rủi ro (risk premium) cho Hoa Kỳ và các thị trường vốn cổ phần phát triển khác là 4,60% (và chúng ta sẽ cung cấp cơ sở cho con số này ở phần sau của chương này), thì chi phí vốn cổ phần của một công ty Brazil có beta là 1,2 có thể được ước tính như sau (với lãi suất trái phiếu kho bạc Mỹ là 4%):</w:t>
      </w:r>
    </w:p>
    <w:p>
      <w:bookmarkStart w:id="1112" w:name="Cost_of_equity__in_U_S__dollars"/>
      <w:pPr>
        <w:keepNext/>
        <w:pStyle w:val="Para 09"/>
        <w:keepLines w:val="on"/>
      </w:pPr>
      <w:r>
        <w:t>Chi phí vốn cổ phần (tính bằng đô la Mỹ) = Lãi suất phi rủi ro + Beta (Phần bù rủi ro vốn cổ phần cho thị trường phát triển) + Chênh lệch lãi suất vỡ nợ = 4,0% + 1,2(4,6%) + 3,28% = 12,80%</w:t>
      </w:r>
      <w:bookmarkEnd w:id="1112"/>
    </w:p>
    <w:p>
      <w:pPr>
        <w:pStyle w:val="Para 03"/>
      </w:pPr>
      <w:r>
        <w:t>Để ước tính chi phí vốn cổ phần cho cùng công ty đó bằng đồng real Brazil, bạn sẽ thay thế lãi suất phi rủi ro bằng $R vào vị trí lãi suất phi rủi ro bằng đô la Mỹ trong phép tính. Nếu bạn tin rằng mức độ phơi nhiễm của một công ty với rủi ro quốc gia tương tự như mức độ phơi nhiễm của nó với các yếu tố rủi ro kinh tế vĩ mô khác, thì các nhà phân tích sẽ cộng mức chênh lệch lãi suất vỡ nợ vào phần bù rủi ro của Mỹ và nhân tổng phần bù rủi ro với beta.</w:t>
      </w:r>
    </w:p>
    <w:p>
      <w:bookmarkStart w:id="1113" w:name="Cost_of_equity__in_U_S__dollars_1"/>
      <w:pPr>
        <w:keepNext/>
        <w:pStyle w:val="Para 09"/>
        <w:keepLines w:val="on"/>
      </w:pPr>
      <w:r>
        <w:t>Chi phí vốn cổ phần (tính bằng đô la Mỹ) = Lãi suất phi rủi ro + Beta + (Phần bù thị trường phát triển + Chênh lệch lãi suất vỡ nợ) = 4,0% + 1,2(4,6% + 3,28%) = 13,46%</w:t>
      </w:r>
      <w:bookmarkEnd w:id="1113"/>
    </w:p>
    <w:p>
      <w:pPr>
        <w:pStyle w:val="Para 03"/>
      </w:pPr>
      <w:r>
        <w:t>Cách này làm tăng chi phí vốn cổ phần đối với các công ty có beta cao và làm giảm nó đối với các công ty có beta thấp.</w:t>
      </w:r>
    </w:p>
    <w:p>
      <w:pPr>
        <w:pStyle w:val="Para 03"/>
      </w:pPr>
      <w:r>
        <w:t>Mặc dù xếp hạng tín nhiệm cung cấp một thước đo tiện lợi cho rủi ro quốc gia, nhưng vẫn có những hạn chế khi sử dụng chúng như thước đo duy nhất. Thứ nhất, các tổ chức xếp hạng thường chậm chân hơn thị trường trong việc phản ứng với những thay đổi về rủi ro vỡ nợ cơ bản. Thứ hai, việc tổ chức xếp hạng tập trung vào rủi ro vỡ nợ có thể che khuất những rủi ro khác vẫn có thể ảnh hưởng đến thị trường vốn cổ phần. Vậy đâu là các giải pháp thay thế? Có những điểm số rủi ro quốc gia dạng số được một số dịch vụ phát triển như những thước đo rủi ro toàn diện hơn nhiều. Chẳng hạn, The Economist có một điểm số chạy từ 0 đến 100 (trong đó 0 là không có rủi ro, và 100 là rủi ro nhất) mà họ dùng để xếp hạng các thị trường mới nổi. Hoặc, rủi ro quốc gia có thể được ước tính từ dưới lên bằng cách xem xét các yếu tố cơ bản của nền kinh tế ở mỗi quốc gia. Tất nhiên, cách này đòi hỏi thông tin nhiều hơn đáng kể so với các cách tiếp cận khác. Cuối cùng, mức chênh lệch lãi suất vỡ nợ đo lường rủi ro gắn với trái phiếu do các quốc gia phát hành chứ không phải rủi ro vốn cổ phần ở những quốc gia này. Vì vốn cổ phần ở bất kỳ thị trường nào cũng có khả năng rủi ro hơn trái phiếu, bạn có thể lập luận rằng mức chênh lệch lãi suất vỡ nợ đánh giá thấp phần bù rủi ro vốn cổ phần.</w:t>
      </w:r>
    </w:p>
    <w:p>
      <w:bookmarkStart w:id="1115" w:name="Relative_Standard_Deviations__Th"/>
      <w:pPr>
        <w:pStyle w:val="Para 42"/>
      </w:pPr>
      <w:r>
        <w:t>Độ lệch chuẩn tương đối</w:t>
      </w:r>
      <w:bookmarkEnd w:id="1115"/>
    </w:p>
    <w:p>
      <w:pPr>
        <w:pStyle w:val="Para 03"/>
      </w:pPr>
      <w:r>
        <w:t>Có một số nhà phân tích tin rằng các nhà đầu tư trên thị trường vốn cổ phần lựa chọn giữa các thị trường này dựa trên mức độ rủi ro mà họ đánh giá, và rằng phần bù rủi ro nên phản ánh sự khác biệt về rủi ro vốn cổ phần. Một thước đo rủi ro vốn cổ phần thông thường là độ lệch chuẩn (standard deviation) của giá cổ phiếu; độ lệch chuẩn cao hơn thường gắn với rủi ro cao hơn. Nếu bạn lấy độ lệch chuẩn của một thị trường chia cho một thị trường khác, bạn sẽ có được một thước đo rủi ro tương đối. Như vậy, để có độ lệch chuẩn tương đối cho quốc gia A so với Hoa Kỳ:</w:t>
      </w:r>
    </w:p>
    <w:p>
      <w:bookmarkStart w:id="1117" w:name="Relative_Standard_DeviationCount"/>
      <w:pPr>
        <w:keepNext/>
        <w:pStyle w:val="Para 09"/>
        <w:keepLines w:val="on"/>
      </w:pPr>
      <w:r>
        <w:t>Độ lệch chuẩn tương đối của quốc gia A = Độ lệch chuẩn của quốc gia A / Độ lệch chuẩn của Mỹ</w:t>
      </w:r>
      <w:bookmarkEnd w:id="1117"/>
    </w:p>
    <w:p>
      <w:pPr>
        <w:pStyle w:val="Para 03"/>
      </w:pPr>
      <w:r>
        <w:t>Độ lệch chuẩn tương đối này, khi được nhân với phần bù được dùng cho cổ phiếu Mỹ, sẽ cho ra một thước đo tổng phần bù rủi ro cho bất kỳ thị trường nào.</w:t>
      </w:r>
    </w:p>
    <w:p>
      <w:bookmarkStart w:id="1118" w:name="EquityRiskPremiumCountry_A_ERPUS"/>
      <w:pPr>
        <w:keepNext/>
        <w:pStyle w:val="Para 09"/>
        <w:keepLines w:val="on"/>
      </w:pPr>
      <w:r>
        <w:t>Phần bù rủi ro vốn cổ phần của quốc gia A = ERP của Mỹ × Độ lệch chuẩn tương đối của quốc gia A</w:t>
      </w:r>
      <w:bookmarkEnd w:id="1118"/>
    </w:p>
    <w:p>
      <w:pPr>
        <w:pStyle w:val="Para 03"/>
      </w:pPr>
      <w:r>
        <w:t>Giả sử, trong lúc này, rằng bạn đang sử dụng phần bù thị trường phát triển cho Hoa Kỳ là 4,60% và độ lệch chuẩn hằng năm của cổ phiếu Mỹ là 12,41% vào năm 2023. Nếu độ lệch chuẩn hằng năm của cổ phiếu Brazil là 16,21% vào năm 2023, thì ước tính tổng phần bù rủi ro cho Indonesia sẽ là:</w:t>
      </w:r>
    </w:p>
    <w:p>
      <w:bookmarkStart w:id="1119" w:name="EquityRiskPremiumIndonesia_4_60"/>
      <w:pPr>
        <w:keepNext/>
        <w:pStyle w:val="Para 09"/>
        <w:keepLines w:val="on"/>
      </w:pPr>
      <w:r>
        <w:t>Phần bù rủi ro vốn cổ phần của Indonesia = 4,60% × (16,21%/12,41%) = 6,01%</w:t>
      </w:r>
      <w:bookmarkEnd w:id="1119"/>
    </w:p>
    <w:p>
      <w:pPr>
        <w:pStyle w:val="Para 03"/>
      </w:pPr>
      <w:r>
        <w:t>Phần bù rủi ro quốc gia có thể được tách riêng ra như sau:</w:t>
      </w:r>
    </w:p>
    <w:p>
      <w:bookmarkStart w:id="1120" w:name="CountryRiskPremiumIndonesia_6_01"/>
      <w:pPr>
        <w:keepNext/>
        <w:pStyle w:val="Para 09"/>
        <w:keepLines w:val="on"/>
      </w:pPr>
      <w:r>
        <w:t>Phần bù rủi ro quốc gia của Indonesia = 6,01% − 4,60% = 1,41%</w:t>
      </w:r>
      <w:bookmarkEnd w:id="1120"/>
    </w:p>
    <w:p>
      <w:pPr>
        <w:pStyle w:val="Para 03"/>
      </w:pPr>
      <w:r>
        <w:t>Mặc dù cách tiếp cận này có sức hấp dẫn về mặt trực giác, nhưng vẫn có những vấn đề khi sử dụng độ lệch chuẩn được tính toán trên các thị trường có cấu trúc thị trường và tính thanh khoản rất khác nhau. Có những thị trường mới nổi rất rủi ro nhưng lại có độ lệch chuẩn thấp đối với thị trường vốn cổ phần của họ vì các thị trường này kém thanh khoản. Cách tiếp cận này sẽ đánh giá thấp phần bù rủi ro vốn cổ phần ở những thị trường đó. Vấn đề thứ hai liên quan đến tiền tệ, vì độ lệch chuẩn thường được đo bằng đơn vị tiền tệ địa phương; độ lệch chuẩn ở thị trường Mỹ là độ lệch chuẩn tính bằng đô la, trong khi độ lệch chuẩn ở thị trường Indonesia là độ lệch chuẩn tính bằng rupiah. Tuy nhiên, đây là một vấn đề tương đối dễ khắc phục, vì độ lệch chuẩn có thể được đo bằng cùng một loại tiền tệ—bạn có thể ước tính độ lệch chuẩn của lợi nhuận tính bằng đô la cho thị trường Indonesia.</w:t>
      </w:r>
    </w:p>
    <w:p>
      <w:pPr>
        <w:pStyle w:val="Para 20"/>
      </w:pPr>
      <w:r>
        <w:rPr>
          <w:rStyle w:val="Text26"/>
        </w:rPr>
        <w:bookmarkStart w:id="1121" w:name="Page_174"/>
        <w:t/>
        <w:bookmarkEnd w:id="1121"/>
      </w:r>
      <w:r>
        <w:t xml:space="preserve"> </w:t>
      </w:r>
    </w:p>
    <w:p>
      <w:pPr>
        <w:pStyle w:val="Para 11"/>
      </w:pPr>
      <w:r>
        <w:t/>
        <w:t xml:space="preserve"> </w:t>
      </w:r>
    </w:p>
    <w:p>
      <w:bookmarkStart w:id="1122" w:name="The_Danger_of_Double_Counting_Ri"/>
      <w:bookmarkStart w:id="1123" w:name="The_Danger_of_Double_Counting_Ri_1"/>
      <w:pPr>
        <w:keepNext/>
        <w:pStyle w:val="Para 27"/>
        <w:keepLines w:val="on"/>
      </w:pPr>
      <w:r>
        <w:t>Nguy cơ tính trùng rủi ro hai lần</w:t>
      </w:r>
      <w:bookmarkEnd w:id="1122"/>
      <w:bookmarkEnd w:id="1123"/>
    </w:p>
    <w:p>
      <w:pPr>
        <w:pStyle w:val="Para 16"/>
        <w:keepLines w:val="on"/>
      </w:pPr>
      <w:r>
        <w:t>Khi đánh giá rủi ro quốc gia, có một khả năng đáng kể rằng cùng một rủi ro có thể bị tính nhiều hơn một lần trong một phép định giá. Ví dụ, có những nhà phân tích sử dụng trái phiếu bằng đô la do một quốc gia phát hành—chẳng hạn trái phiếu đô la của Brazil—làm lãi suất phi rủi ro khi ước tính chi phí vốn cổ phần cho các công ty Brazil. Lãi suất trên trái phiếu này đã bao gồm mức chênh lệch lãi suất vỡ nợ được thảo luận ở phần trước. Nếu phần bù rủi ro cũng được điều chỉnh tăng lên để phản ánh rủi ro quốc gia, thì rủi ro đã bị tính trùng hai lần. Tác động này còn trầm trọng hơn khi beta được điều chỉnh tăng lên và dòng tiền được điều chỉnh giảm xuống (một quá trình gọi là "cắt tỉa" – haircutting) vì rủi ro quốc gia.</w:t>
      </w:r>
    </w:p>
    <w:p>
      <w:bookmarkStart w:id="1124" w:name="Default_Spreads___Relative_Stand"/>
      <w:pPr>
        <w:pStyle w:val="Para 42"/>
      </w:pPr>
      <w:r>
        <w:t>Chênh lệch lãi suất vỡ nợ + Độ lệch chuẩn tương đối</w:t>
      </w:r>
      <w:bookmarkEnd w:id="1124"/>
    </w:p>
    <w:p>
      <w:pPr>
        <w:pStyle w:val="Para 03"/>
      </w:pPr>
      <w:r>
        <w:t>Mức chênh lệch lãi suất vỡ nợ quốc gia đi kèm với xếp hạng quốc gia cung cấp một bước khởi đầu quan trọng nhưng vẫn chỉ đo lường phần bù cho rủi ro vỡ nợ. Theo trực giác, chúng ta sẽ kỳ vọng phần bù rủi ro vốn cổ phần quốc gia lớn hơn mức chênh lệch rủi ro vỡ nợ quốc gia. Để giải quyết vấn đề lớn hơn bao nhiêu, người ta có thể xem xét mức độ biến động của thị trường vốn cổ phần ở một quốc gia so với mức độ biến động của trái phiếu quốc gia được dùng để ước tính mức chênh lệch. Điều này cho ra ước tính sau đây cho phần bù rủi ro vốn cổ phần quốc gia:</w:t>
      </w:r>
    </w:p>
    <w:p>
      <w:bookmarkStart w:id="1126" w:name="Country_risk_premium_Country_Def"/>
      <w:pPr>
        <w:keepNext/>
        <w:pStyle w:val="Para 09"/>
        <w:keepLines w:val="on"/>
      </w:pPr>
      <w:r>
        <w:t>Phần bù rủi ro quốc gia = Chênh lệch vỡ nợ quốc gia × Độ lệch chuẩn của vốn cổ phần / Độ lệch chuẩn của trái phiếu chính phủ quốc gia</w:t>
      </w:r>
      <w:bookmarkEnd w:id="1126"/>
    </w:p>
    <w:p>
      <w:pPr>
        <w:pStyle w:val="Para 03"/>
      </w:pPr>
      <w:r>
        <w:t>Để minh họa, hãy xem trường hợp của Brazil. Vào tháng 1 năm 2024, Brazil được Moody's xếp hạng Baa2, dẫn đến chênh lệch vỡ nợ là 3,28 phần trăm. Độ lệch chuẩn hàng năm của chỉ số vốn cổ phần Brazil trong năm trước là 16,21 phần trăm, trong khi độ lệch chuẩn hàng năm của trái phiếu chính phủ Brazil định giá bằng đô la là 13,32 phần trăm. Phần bù rủi ro vốn cổ phần quốc gia của Brazil được tính như sau:</w:t>
      </w:r>
    </w:p>
    <w:p>
      <w:bookmarkStart w:id="1127" w:name="Brazil_Country_Risk_Premium_3_28"/>
      <w:pPr>
        <w:keepNext/>
        <w:pStyle w:val="Para 09"/>
        <w:keepLines w:val="on"/>
      </w:pPr>
      <w:r>
        <w:t>Phần bù rủi ro quốc gia của Brazil = 3,28% × 16,21% / 13,32% = 3,99%</w:t>
      </w:r>
      <w:bookmarkEnd w:id="1127"/>
    </w:p>
    <w:p>
      <w:pPr>
        <w:pStyle w:val="Para 03"/>
      </w:pPr>
      <w:r>
        <w:t>Lưu ý rằng phần bù rủi ro quốc gia này sẽ tăng lên nếu xếp hạng quốc gia giảm hoặc nếu mức biến động tương đối của thị trường vốn cổ phần tăng lên. Cộng phần bù này vào phần bù của thị trường trưởng thành (Mỹ) là 4,60 phần trăm sẽ cho ra tổng phần bù rủi ro vốn cổ phần cho Brazil là 8,59 phần trăm.</w:t>
      </w:r>
    </w:p>
    <w:p>
      <w:pPr>
        <w:pStyle w:val="Para 03"/>
      </w:pPr>
      <w:r>
        <w:t>Tại sao phần bù rủi ro vốn cổ phần lại có mối liên hệ với chênh lệch trái phiếu chính phủ quốc gia? Một lời giải thích đơn giản là nhà đầu tư có thể kiếm được 3,28 phần trăm từ trái phiếu chính phủ Brazil định giá bằng đô la sẽ không chấp nhận một phần bù thấp hơn cho vốn cổ phần Brazil. Tuy nhiên, đóng vai người phản biện, một nhà phê bình có thể lập luận rằng lãi suất trên trái phiếu chính phủ quốc gia — nơi mà chênh lệch vỡ nợ được rút ra — thực ra không phải là lợi nhuận kỳ vọng vì nó dựa trên dòng tiền cam kết (lãi coupon và vốn gốc) của trái phiếu chứ không phải dòng tiền kỳ vọng. Thực tế, nếu chúng ta muốn ước tính phần bù rủi ro cho trái phiếu, chúng ta sẽ cần ước tính lợi nhuận kỳ vọng dựa trên dòng tiền kỳ vọng, có tính đến rủi ro vỡ nợ. Điều này sẽ dẫn đến chênh lệch vỡ nợ và phần bù rủi ro vốn cổ phần thấp hơn nhiều.</w:t>
      </w:r>
    </w:p>
    <w:p>
      <w:pPr>
        <w:pStyle w:val="Para 20"/>
      </w:pPr>
      <w:r>
        <w:rPr>
          <w:rStyle w:val="Text26"/>
        </w:rPr>
        <w:bookmarkStart w:id="1128" w:name="Page_175"/>
        <w:t/>
        <w:bookmarkEnd w:id="1128"/>
      </w:r>
      <w:r>
        <w:t xml:space="preserve"> </w:t>
      </w:r>
    </w:p>
    <w:p>
      <w:pPr>
        <w:pStyle w:val="Para 03"/>
      </w:pPr>
      <w:r>
        <w:t>Cả cách tiếp cận này lẫn cách tiếp cận trước đó đều sử dụng độ lệch chuẩn của vốn cổ phần của một thị trường để đưa ra phán đoán về phần bù rủi ro quốc gia, nhưng chúng đo lường nó tương đối với các cơ sở khác nhau. Cách tiếp cận này sử dụng trái phiếu chính phủ quốc gia làm cơ sở, trong khi cách tiếp cận trước đó sử dụng độ lệch chuẩn của thị trường Mỹ. Cách tiếp cận này giả định rằng nhà đầu tư có nhiều khả năng lựa chọn giữa trái phiếu Brazil và vốn cổ phần Brazil hơn, trong khi cách tiếp cận trước đó giả định rằng sự lựa chọn là giữa các thị trường vốn cổ phần với nhau.</w:t>
      </w:r>
    </w:p>
    <w:p>
      <w:bookmarkStart w:id="1129" w:name="Choosing_among_the_Approaches__T"/>
      <w:pPr>
        <w:pStyle w:val="Para 42"/>
      </w:pPr>
      <w:r>
        <w:t>Lựa chọn giữa các cách tiếp cận</w:t>
      </w:r>
      <w:bookmarkEnd w:id="1129"/>
    </w:p>
    <w:p>
      <w:pPr>
        <w:pStyle w:val="Para 03"/>
      </w:pPr>
      <w:r>
        <w:t>Ba cách tiếp cận để ước tính phần bù rủi ro quốc gia nói chung sẽ cho bạn những con số ước tính khác nhau, với cách tiếp cận dùng chênh lệch vỡ nợ trái phiếu và cách tiếp cận dùng độ lệch chuẩn vốn cổ phần tương đối cho ra phần bù rủi ro quốc gia thấp hơn so với cách tiếp cận kết hợp sử dụng cả chênh lệch vỡ nợ trái phiếu chính phủ quốc gia lẫn độ lệch chuẩn vốn cổ phần. Chúng tôi tin rằng phần bù rủi ro quốc gia lớn hơn xuất phát từ cách tiếp cận cuối cùng là thực tế nhất cho tương lai trước mắt, nhưng phần bù rủi ro quốc gia sẽ thay đổi theo thời gian. Cũng giống như các công ty trưởng thành và trở nên ít rủi ro hơn theo thời gian, các quốc gia cũng có thể trưởng thành và trở nên ít rủi ro hơn.</w:t>
      </w:r>
    </w:p>
    <w:p>
      <w:pPr>
        <w:pStyle w:val="Para 03"/>
      </w:pPr>
      <w:r>
        <w:t>Một cách để điều chỉnh phần bù rủi ro quốc gia theo thời gian là bắt đầu với phần bù xuất phát từ cách tiếp cận kết hợp rồi điều chỉnh giảm dần về phía chênh lệch vỡ nợ trái phiếu chính phủ quốc gia hoặc phần bù quốc gia ước tính từ độ lệch chuẩn vốn cổ phần. Một cách khác để trình bày lập luận này là lưu ý rằng khoảng cách giữa độ lệch chuẩn của giá vốn cổ phần và giá trái phiếu thu hẹp lại trong các giai đoạn dài hơn, và mức biến động tương đối thu được nói chung sẽ nhỏ hơn.13 Do đó, phần bù rủi ro vốn cổ phần sẽ hội tụ về chênh lệch trái phiếu chính phủ quốc gia khi chúng ta nhìn vào lợi nhuận kỳ vọng dài hạn hơn. Ví dụ, phần bù rủi ro quốc gia của Brazil sẽ là 3,99 phần trăm cho năm tới nhưng sẽ giảm dần theo thời gian xuống còn 3,28 phần trăm (chênh lệch vỡ nợ quốc gia) hoặc thậm chí thấp hơn.</w:t>
      </w:r>
    </w:p>
    <w:p>
      <w:bookmarkStart w:id="1132" w:name="Estimating_Asset_Exposure_to_Cou"/>
      <w:pPr>
        <w:pStyle w:val="Para 21"/>
      </w:pPr>
      <w:r>
        <w:t>Ước tính mức độ phơi nhiễm của tài sản với phần bù rủi ro quốc gia</w:t>
      </w:r>
      <w:bookmarkEnd w:id="1132"/>
    </w:p>
    <w:p>
      <w:pPr>
        <w:pStyle w:val="Para 03"/>
      </w:pPr>
      <w:r>
        <w:t>Sau khi đã ước tính được phần bù rủi ro quốc gia, câu hỏi cuối cùng cần giải quyết liên quan đến mức độ phơi nhiễm của từng công ty trong quốc gia đó với rủi ro quốc gia. Có ba quan điểm khác nhau về rủi ro quốc gia:</w:t>
      </w:r>
    </w:p>
    <w:p>
      <w:pPr>
        <w:numPr>
          <w:ilvl w:val="0"/>
          <w:numId w:val="49"/>
        </w:numPr>
        <w:pStyle w:val="Para 01"/>
      </w:pPr>
      <w:r>
        <w:t>Giả định rằng tất cả các công ty trong một quốc gia đều phơi nhiễm như nhau với rủi ro quốc gia. Như vậy, với Brazil có phần bù rủi ro quốc gia ước tính là 3,99 phần trăm, mỗi công ty trên thị trường sẽ có thêm phần bù rủi ro quốc gia 3,99 phần trăm cộng vào lợi nhuận kỳ vọng của mình. Ví dụ, chi phí vốn cổ phần của Petrobras, một công ty dầu khí tích hợp niêm yết tại Brazil với beta là 0,80, tính theo đô la Mỹ sẽ là (giả sử lãi suất trái phiếu kho bạc Mỹ là 4,00 phần trăm và phần bù rủi ro của thị trường trưởng thành [Mỹ] là 4,60 phần trăm):</w:t>
      </w:r>
    </w:p>
    <w:p>
      <w:bookmarkStart w:id="1134" w:name="Expected_return_4_00__0_80_4_60"/>
      <w:pPr>
        <w:keepNext/>
        <w:pStyle w:val="Para 09"/>
        <w:keepLines w:val="on"/>
      </w:pPr>
      <w:r>
        <w:t>Lợi nhuận kỳ vọng = 4,00% + 0,80(4,60%) + 3,99% = 11,67%</w:t>
      </w:r>
      <w:bookmarkEnd w:id="1134"/>
    </w:p>
    <w:p>
      <w:pPr>
        <w:pStyle w:val="Para 03"/>
      </w:pPr>
      <w:r>
        <w:t>Lưu ý rằng lãi suất phi rủi ro được sử dụng là lãi suất trái phiếu kho bạc Mỹ và 4,60 phần trăm là phần bù rủi ro vốn cổ phần cho một thị trường vốn cổ phần trưởng thành (ước tính từ dữ liệu lịch sử của thị trường Mỹ). Hạn chế lớn nhất của cách tiếp cận này là nó giả định rằng tất cả các công ty trong một quốc gia, bất kể ngành nghề hay quy mô, đều phơi nhiễm như nhau với rủi ro quốc gia. Để chuyển chi phí vốn cổ phần bằng đô la này thành chi phí vốn cổ phần bằng đồng nội tệ, tất cả những gì chúng ta cần làm là điều chỉnh ước tính theo tỷ lệ lạm phát tương đối. Để minh họa, nếu tỷ lệ lạm phát của Brazil là 6 phần trăm và tỷ lệ lạm phát của Mỹ là 2 phần trăm, chi phí vốn cổ phần của Petrobras tính theo đồng real Brazil (BR) có thể được viết như sau:</w:t>
      </w:r>
    </w:p>
    <w:p>
      <w:bookmarkStart w:id="1136" w:name="Cost_of_equity_in__R__1_1167__1"/>
      <w:pPr>
        <w:keepNext/>
        <w:pStyle w:val="Para 09"/>
        <w:keepLines w:val="on"/>
      </w:pPr>
      <w:r>
        <w:t>Chi phí vốn cổ phần tính bằng $R = (1,1167)(1,06/1,02) - 1 = 16,05%</w:t>
      </w:r>
      <w:bookmarkEnd w:id="1136"/>
    </w:p>
    <w:p>
      <w:pPr>
        <w:pStyle w:val="Para 03"/>
      </w:pPr>
      <w:r>
        <w:t>Điều này sẽ đảm bảo tính nhất quán giữa các ước tính và định giá bằng các loại tiền tệ khác nhau.</w:t>
      </w:r>
    </w:p>
    <w:p>
      <w:pPr>
        <w:numPr>
          <w:ilvl w:val="0"/>
          <w:numId w:val="49"/>
        </w:numPr>
        <w:pStyle w:val="Para 01"/>
      </w:pPr>
      <w:r>
        <w:t>Giả định rằng mức độ phơi nhiễm của một công ty với rủi ro quốc gia tỷ lệ thuận với mức độ phơi nhiễm của nó với tất cả các rủi ro thị trường khác, được đo bằng beta. Với Petrobras, điều này sẽ dẫn đến ước tính chi phí vốn cổ phần tính bằng đô la Mỹ là:</w:t>
      </w:r>
    </w:p>
    <w:p>
      <w:bookmarkStart w:id="1137" w:name="Expected_return_4_00__0_80_4_60_1"/>
      <w:pPr>
        <w:keepNext/>
        <w:pStyle w:val="Para 09"/>
        <w:keepLines w:val="on"/>
      </w:pPr>
      <w:r>
        <w:t>Lợi nhuận kỳ vọng = 4,00% + 0,80(4,60% + 3,99%) = 10,87%</w:t>
      </w:r>
      <w:bookmarkEnd w:id="1137"/>
    </w:p>
    <w:p>
      <w:pPr>
        <w:pStyle w:val="Para 03"/>
      </w:pPr>
      <w:r>
        <w:t>Cách tiếp cận này có phân biệt giữa các công ty, nhưng nó giả định rằng các beta đo lường mức độ phơi nhiễm với tất cả các rủi ro thị trường khác cũng đo lường mức độ phơi nhiễm với rủi ro quốc gia. Do đó, các công ty có beta thấp ít phơi nhiễm với rủi ro quốc gia hơn các công ty có beta cao.</w:t>
      </w:r>
    </w:p>
    <w:p>
      <w:pPr>
        <w:numPr>
          <w:ilvl w:val="0"/>
          <w:numId w:val="50"/>
        </w:numPr>
        <w:pStyle w:val="Para 01"/>
      </w:pPr>
      <w:r>
        <w:t>Cách tiếp cận tổng quát nhất, và cũng đòi hỏi nhiều thông tin nhất, là cho phép mỗi công ty có mức độ phơi nhiễm với rủi ro quốc gia khác với mức độ phơi nhiễm của nó với tất cả các rủi ro thị trường khác. Đo lường mức độ phơi nhiễm này bằng λ, chi phí vốn cổ phần của bất kỳ công ty nào được ước tính như sau:</w:t>
      </w:r>
    </w:p>
    <w:p>
      <w:bookmarkStart w:id="1138" w:name="Expected_return_Rf_Beta__Mature"/>
      <w:pPr>
        <w:keepNext/>
        <w:pStyle w:val="Para 09"/>
        <w:keepLines w:val="on"/>
      </w:pPr>
      <w:r>
        <w:t>Lợi nhuận kỳ vọng = Rf + Beta (Phần bù rủi ro vốn cổ phần của thị trường trưởng thành) + λ(Phần bù rủi ro quốc gia)</w:t>
      </w:r>
      <w:bookmarkEnd w:id="1138"/>
    </w:p>
    <w:p>
      <w:pPr>
        <w:pStyle w:val="Para 03"/>
      </w:pPr>
      <w:r>
        <w:t>Làm thế nào chúng ta có thể ước tính λ tốt nhất? Câu hỏi này sẽ được xem xét chi tiết hơn nhiều trong chương tiếp theo, nhưng chúng tôi cho rằng các công ty hàng hóa kiếm phần lớn doanh thu bằng đô la Mỹ14 nhờ bán ra thị trường toàn cầu nên ít phơi nhiễm hơn so với các công ty sản xuất phục vụ thị trường nội địa. Dựa trên lý lẽ này, Petrobras, công ty kiếm phần lớn doanh thu trên thị trường dầu mỏ toàn cầu bằng đô la Mỹ, nên ít phơi nhiễm với rủi ro quốc gia hơn so với công ty Brazil điển hình.15 Sử dụng λ là 0,50, chẳng hạn, chúng ta có chi phí vốn cổ phần tính bằng đô la Mỹ cho Petrobras là:</w:t>
      </w:r>
    </w:p>
    <w:p>
      <w:bookmarkStart w:id="1141" w:name="Expected_return_4_00__0_80_4_60_2"/>
      <w:pPr>
        <w:keepNext/>
        <w:pStyle w:val="Para 09"/>
        <w:keepLines w:val="on"/>
      </w:pPr>
      <w:r>
        <w:t>Lợi nhuận kỳ vọng = 4,00% + 0,80(4,60%) + 0,50(3,99%) = 9,68%</w:t>
      </w:r>
      <w:bookmarkEnd w:id="1141"/>
    </w:p>
    <w:p>
      <w:pPr>
        <w:pStyle w:val="Para 03"/>
      </w:pPr>
      <w:r>
        <w:t>Lưu ý rằng cách tiếp cận thứ ba về cơ bản chuyển mô hình lợi nhuận kỳ vọng của chúng ta thành mô hình hai nhân tố, với nhân tố thứ hai là rủi ro quốc gia, và λ đo lường mức độ phơi nhiễm với rủi ro quốc gia. Cách tiếp cận này cũng có vẻ hứa hẹn nhất trong việc phân tích các công ty có hoạt động phơi nhiễm với một quốc gia rủi ro duy nhất. Đối với các công ty đa quốc gia có thể phơi nhiễm với hàng chục quốc gia, chúng tôi sẽ lập luận rằng lấy bình quân gia quyền của phần bù rủi ro vốn cổ phần của các quốc gia này là một con đường thực tế hơn.</w:t>
      </w:r>
    </w:p>
    <w:p>
      <w:pPr>
        <w:pStyle w:val="Para 11"/>
      </w:pPr>
      <w:r>
        <w:t/>
        <w:t xml:space="preserve"> </w:t>
      </w:r>
    </w:p>
    <w:p>
      <w:bookmarkStart w:id="1143" w:name="ctryprem_xlsx__There_is_a_datas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63"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1143"/>
    </w:p>
    <w:p>
      <w:pPr>
        <w:pStyle w:val="Para 31"/>
        <w:keepLines w:val="on"/>
      </w:pPr>
      <w:r>
        <w:t>ctryprem.xlsx: Có một bộ dữ liệu trên web chứa xếp hạng cập nhật cho các quốc gia và phần bù rủi ro tương ứng với từng quốc gia.</w:t>
      </w:r>
    </w:p>
    <w:p>
      <w:bookmarkStart w:id="1144" w:name="Alternative_Approach__Implied_Eq_1"/>
      <w:bookmarkStart w:id="1145" w:name="Alternative_Approach__Implied_Eq"/>
      <w:pPr>
        <w:keepNext/>
        <w:pStyle w:val="Heading 3"/>
        <w:keepLines w:val="on"/>
      </w:pPr>
      <w:r>
        <w:t>Cách tiếp cận thay thế: Phần bù rủi ro vốn cổ phần ngầm định (Implied Equity Premiums)</w:t>
      </w:r>
      <w:bookmarkEnd w:id="1144"/>
      <w:bookmarkEnd w:id="1145"/>
    </w:p>
    <w:p>
      <w:pPr>
        <w:pStyle w:val="Para 03"/>
      </w:pPr>
      <w:r>
        <w:t>Có một cách khác để ước tính phần bù rủi ro (risk premium) mà không cần dữ liệu lịch sử hay điều chỉnh theo rủi ro quốc gia, nhưng lại giả định rằng toàn bộ thị trường đang được định giá đúng. Hãy xem xét một mô hình định giá cổ phiếu cực kỳ đơn giản sau:</w:t>
      </w:r>
    </w:p>
    <w:p>
      <w:bookmarkStart w:id="1146" w:name="Value_of_equity_Expected_Dividen"/>
      <w:pPr>
        <w:keepNext/>
        <w:pStyle w:val="Para 09"/>
        <w:keepLines w:val="on"/>
      </w:pPr>
      <w:r>
        <w:t>Giá trị vốn cổ phần = Cổ tức kỳ vọng kỳ tới / (Tỷ suất sinh lời yêu cầu trên vốn cổ phần − Tốc độ tăng trưởng kỳ vọng)</w:t>
      </w:r>
      <w:bookmarkEnd w:id="1146"/>
    </w:p>
    <w:p>
      <w:pPr>
        <w:pStyle w:val="Para 03"/>
      </w:pPr>
      <w:r>
        <w:t>Đây thực chất là giá trị hiện tại của dòng cổ tức tăng trưởng với tốc độ không đổi. Ba trong bốn yếu tố đầu vào của mô hình này có thể thu thập từ bên ngoài — mức hiện tại của thị trường (giá trị), cổ tức kỳ vọng kỳ tới, và tốc độ tăng trưởng kỳ vọng của thu nhập và cổ tức trong dài hạn. Ẩn số duy nhất còn lại chính là tỷ suất sinh lời yêu cầu trên vốn cổ phần; khi giải phương trình để tìm nó, ta sẽ có được tỷ suất sinh lời kỳ vọng ngầm định của cổ phiếu. Trừ đi lãi suất phi rủi ro (risk-free rate) sẽ cho ra phần bù rủi ro vốn cổ phần ngầm định.</w:t>
      </w:r>
    </w:p>
    <w:p>
      <w:pPr>
        <w:pStyle w:val="Para 03"/>
      </w:pPr>
      <w:r>
        <w:t>Để minh họa, giả sử mức hiện tại của chỉ số S&amp;P 500 là 900, tỷ suất cổ tức kỳ vọng trên chỉ số là 2 phần trăm, và tốc độ tăng trưởng kỳ vọng của thu nhập và cổ tức trong dài hạn là 7 phần trăm. Giải phương trình tìm tỷ suất sinh lời yêu cầu trên vốn cổ phần (r) ta được kết quả như sau:</w:t>
      </w:r>
    </w:p>
    <w:p>
      <w:bookmarkStart w:id="1147" w:name="900___02x900__r__07"/>
      <w:pPr>
        <w:keepNext/>
        <w:pStyle w:val="Para 09"/>
        <w:keepLines w:val="on"/>
      </w:pPr>
      <w:r>
        <w:t>900 = (.02 × 900) / (r − .07)</w:t>
      </w:r>
      <w:bookmarkEnd w:id="1147"/>
    </w:p>
    <w:p>
      <w:pPr>
        <w:pStyle w:val="Para 03"/>
      </w:pPr>
      <w:r>
        <w:t>Giải phương trình tìm r,</w:t>
      </w:r>
    </w:p>
    <w:p>
      <w:bookmarkStart w:id="1148" w:name="Expected_return__r___18_63__900"/>
      <w:pPr>
        <w:keepNext/>
        <w:pStyle w:val="Para 09"/>
        <w:keepLines w:val="on"/>
      </w:pPr>
      <w:r>
        <w:t>Tỷ suất sinh lời kỳ vọng (r) = (18 + 63) / 900 = 9%</w:t>
      </w:r>
      <w:bookmarkEnd w:id="1148"/>
    </w:p>
    <w:p>
      <w:pPr>
        <w:pStyle w:val="Para 03"/>
      </w:pPr>
      <w:r>
        <w:t>Nếu lãi suất phi rủi ro hiện tại là 6 phần trăm, thì kết quả này cho ra "phần bù rủi ro vốn cổ phần ngầm định" là 3 phần trăm.</w:t>
      </w:r>
    </w:p>
    <w:p>
      <w:pPr>
        <w:pStyle w:val="Para 03"/>
      </w:pPr>
      <w:r>
        <w:t>Cách tiếp cận này có thể được tổng quát hóa để cho phép tăng trưởng cao trong một giai đoạn, và mở rộng để bao quát các mô hình dựa trên dòng tiền (cash flow) thay vì chỉ dựa trên cổ tức. Hình 7.2 trình bày một phiên bản mở rộng của mô hình, với cổ tức và việc mua lại cổ phiếu (buybacks) thay thế cho cổ tức, đồng thời cho phép một giai đoạn tăng trưởng trước khi chuyển sang tốc độ tăng trưởng ổn định.</w:t>
      </w:r>
    </w:p>
    <w:p>
      <w:bookmarkStart w:id="1150" w:name="Figure_7_2_A_Generalized_Model_f"/>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257300"/>
            <wp:effectExtent l="0" r="0" t="0" b="0"/>
            <wp:wrapTopAndBottom/>
            <wp:docPr id="64" name="c07f002.png" descr="Illustration of the expanded version of an implied equity risk premium model, with dividends and buybacks replacing dividends."/>
            <wp:cNvGraphicFramePr>
              <a:graphicFrameLocks noChangeAspect="1"/>
            </wp:cNvGraphicFramePr>
            <a:graphic>
              <a:graphicData uri="http://schemas.openxmlformats.org/drawingml/2006/picture">
                <pic:pic>
                  <pic:nvPicPr>
                    <pic:cNvPr id="0" name="c07f002.png" descr="Illustration of the expanded version of an implied equity risk premium model, with dividends and buybacks replacing dividends."/>
                    <pic:cNvPicPr/>
                  </pic:nvPicPr>
                  <pic:blipFill>
                    <a:blip r:embed="rId57"/>
                    <a:stretch>
                      <a:fillRect/>
                    </a:stretch>
                  </pic:blipFill>
                  <pic:spPr>
                    <a:xfrm>
                      <a:off x="0" y="0"/>
                      <a:ext cx="2438400" cy="1257300"/>
                    </a:xfrm>
                    <a:prstGeom prst="rect">
                      <a:avLst/>
                    </a:prstGeom>
                  </pic:spPr>
                </pic:pic>
              </a:graphicData>
            </a:graphic>
          </wp:anchor>
        </w:drawing>
      </w:r>
      <w:bookmarkEnd w:id="1150"/>
    </w:p>
    <w:p>
      <w:pPr>
        <w:keepNext/>
        <w:pStyle w:val="Para 22"/>
        <w:keepLines w:val="on"/>
      </w:pPr>
      <w:r>
        <w:t>Hình 7.2 Một mô hình tổng quát cho phần bù rủi ro vốn cổ phần ngầm định</w:t>
      </w:r>
    </w:p>
    <w:p>
      <w:pPr>
        <w:pStyle w:val="Para 03"/>
      </w:pPr>
      <w:r>
        <w:t>Để minh họa điều này, hãy xem xét chỉ số S&amp;P 500 tính đến ngày 1 tháng 1 năm 2024. Chỉ số này ở mức 4769,83, và dòng tiền từ cổ tức cùng việc mua lại cổ phiếu trong năm 2023 là 164,25. Ngoài ra, ước tính đồng thuận16 về tăng trưởng thu nhập của các công ty trong chỉ số là khoảng 8,74 phần trăm trong năm năm tới. Vì đây không phải là tốc độ tăng trưởng có thể duy trì mãi mãi, chúng ta sử dụng mô hình định giá hai giai đoạn, cho phép tăng trưởng tiếp tục ở mức 8,74 phần trăm trong năm năm, rồi sau đó hạ tốc độ tăng trưởng xuống bằng lãi suất trái phiếu kho bạc (Treasury bond rate) là 3,88 phần trăm.17 Hình 7.3 tóm tắt dòng tiền kỳ vọng trong năm năm tăng trưởng cao tiếp theo và năm đầu tiên của giai đoạn tăng trưởng ổn định sau đó.</w:t>
      </w:r>
    </w:p>
    <w:p>
      <w:bookmarkStart w:id="1155" w:name="Figure_7_3_Implied_Equity_Risk_P"/>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1447800"/>
            <wp:effectExtent l="0" r="0" t="0" b="0"/>
            <wp:wrapTopAndBottom/>
            <wp:docPr id="65" name="c07f003.png" descr="Illustration of implied equity risk premium for S and P 500 summarizes expected cash flows for next 5 years and first year of stable growth."/>
            <wp:cNvGraphicFramePr>
              <a:graphicFrameLocks noChangeAspect="1"/>
            </wp:cNvGraphicFramePr>
            <a:graphic>
              <a:graphicData uri="http://schemas.openxmlformats.org/drawingml/2006/picture">
                <pic:pic>
                  <pic:nvPicPr>
                    <pic:cNvPr id="0" name="c07f003.png" descr="Illustration of implied equity risk premium for S and P 500 summarizes expected cash flows for next 5 years and first year of stable growth."/>
                    <pic:cNvPicPr/>
                  </pic:nvPicPr>
                  <pic:blipFill>
                    <a:blip r:embed="rId58"/>
                    <a:stretch>
                      <a:fillRect/>
                    </a:stretch>
                  </pic:blipFill>
                  <pic:spPr>
                    <a:xfrm>
                      <a:off x="0" y="0"/>
                      <a:ext cx="2451100" cy="1447800"/>
                    </a:xfrm>
                    <a:prstGeom prst="rect">
                      <a:avLst/>
                    </a:prstGeom>
                  </pic:spPr>
                </pic:pic>
              </a:graphicData>
            </a:graphic>
          </wp:anchor>
        </w:drawing>
      </w:r>
      <w:bookmarkEnd w:id="1155"/>
    </w:p>
    <w:p>
      <w:pPr>
        <w:keepNext/>
        <w:pStyle w:val="Para 22"/>
        <w:keepLines w:val="on"/>
      </w:pPr>
      <w:r>
        <w:t>Hình 7.3 Phần bù rủi ro vốn cổ phần ngầm định cho S&amp;P 500 vào ngày 1 tháng 1 năm 2024</w:t>
      </w:r>
    </w:p>
    <w:p>
      <w:pPr>
        <w:pStyle w:val="Para 03"/>
      </w:pPr>
      <w:r>
        <w:t>Nếu chúng ta giả định rằng đây là những ước tính hợp lý về dòng tiền và rằng chỉ số đang được định giá đúng, thì:</w:t>
      </w:r>
    </w:p>
    <w:p>
      <w:bookmarkStart w:id="1156" w:name="4769_83_185_97_1_r__202_21_1_r_2"/>
      <w:pPr>
        <w:keepNext/>
        <w:pStyle w:val="Para 09"/>
        <w:keepLines w:val="on"/>
      </w:pPr>
      <w:r>
        <w:t>4769,83 = 185,97/(1+r) + 202,21/(1+r)2 + 219,88/(1+r)3 + 239,09/(1+r)4 + 259,97/(1+r)5 + 270,06/((r − .0388)(1+r)5)</w:t>
      </w:r>
      <w:bookmarkEnd w:id="1156"/>
    </w:p>
    <w:p>
      <w:pPr>
        <w:pStyle w:val="Para 03"/>
      </w:pPr>
      <w:r>
        <w:t>Lưu ý rằng số hạng cuối cùng trong phương trình là giá trị cuối kỳ (terminal value) của chỉ số, dựa trên tốc độ tăng trưởng ổn định 3,88 phần trăm, được chiết khấu về hiện tại. Giải phương trình tìm r ta được tỷ suất sinh lời yêu cầu trên vốn cổ phần là 8,48 phần trăm. Trừ đi lãi suất trái phiếu kho bạc 3,88 phần trăm ta được phần bù vốn cổ phần ngầm định là 4,60 phần trăm.</w:t>
      </w:r>
    </w:p>
    <w:p>
      <w:pPr>
        <w:pStyle w:val="Para 03"/>
      </w:pPr>
      <w:r>
        <w:t>Ưu điểm của cách tiếp cận này là nó vận hành theo thị trường, mang tính thời điểm hiện tại và không cần bất kỳ dữ liệu lịch sử nào. Nhờ đó, nó có thể được dùng để ước tính phần bù rủi ro vốn cổ phần ngầm định ở bất kỳ thị trường nào. Tuy nhiên, nó bị giới hạn bởi việc mô hình dùng để định giá có phải là mô hình đúng hay không, và bởi tính sẵn có cùng độ tin cậy của các yếu tố đầu vào cho mô hình đó. Chẳng hạn, phần bù rủi ro vốn cổ phần cho thị trường Brazil vào ngày 30 tháng 9 năm 2009 được ước tính từ các yếu tố đầu vào sau. Chỉ số (Bovespa) ở mức 61.172, và tỷ suất dòng tiền tổng hợp trên chỉ số là 4,95 phần trăm. Thu nhập của các công ty trong chỉ số được kỳ vọng tăng 6 phần trăm (tính theo đô la Mỹ) trong năm năm tới, và 3,45 phần trăm sau đó. Những yếu tố đầu vào này cho ra tỷ suất sinh lời yêu cầu trên vốn cổ phần là 9,17 phần trăm, khi so với lãi suất trái phiếu kho bạc Mỹ 3,45 phần trăm vào ngày hôm đó, sẽ cho ra phần bù vốn cổ phần ngầm định là 5,72 phần trăm. Để đơn giản, chúng ta đã dùng tốc độ tăng trưởng kỳ vọng tính theo đô la danh nghĩa18 và lãi suất trái phiếu kho bạc, nhưng phân tích này hoàn toàn có thể được thực hiện bằng đồng nội tệ.</w:t>
      </w:r>
    </w:p>
    <w:p>
      <w:pPr>
        <w:pStyle w:val="Para 03"/>
      </w:pPr>
      <w:r>
        <w:t>Phần bù rủi ro vốn cổ phần ngầm định thay đổi theo thời gian khi giá cổ phiếu, thu nhập và lãi suất thay đổi. Thực tế, sự tương phản giữa những phần bù này và phần bù lịch sử được minh họa rõ nhất bằng việc vẽ đồ thị phần bù ngầm định của S&amp;P 500 ngược về tận năm 1960 trong Hình 7.4. Về mặt kỹ thuật, tốc độ tăng trưởng lịch sử đã được làm mượt của thu nhập và cổ tức được dùng làm tốc độ tăng trưởng dự báo, và một mô hình chiết khấu cổ tức hai giai đoạn được sử dụng. Nhìn vào những con số này, có thể rút ra các kết luận sau:</w:t>
      </w:r>
    </w:p>
    <w:p>
      <w:pPr>
        <w:numPr>
          <w:ilvl w:val="0"/>
          <w:numId w:val="51"/>
        </w:numPr>
        <w:pStyle w:val="Para 01"/>
      </w:pPr>
      <w:r>
        <w:t>Phần bù rủi ro lịch sử bình quân số học (arithmetic average), vốn được nhiều người hành nghề sử dụng, đã cao hơn phần bù ngầm định trong gần như toàn bộ giai đoạn 50 năm (ngoại lệ duy nhất là năm 2009). Phần bù hình học (geometric premium) lại mang đến một kết quả thú vị hơn, khi phần bù ngầm định vượt phần bù lịch sử vào giữa thập niên 1970 và một lần nữa sau năm 2008.</w:t>
      </w:r>
    </w:p>
    <w:p>
      <w:pPr>
        <w:numPr>
          <w:ilvl w:val="0"/>
          <w:numId w:val="51"/>
        </w:numPr>
        <w:pStyle w:val="Para 01"/>
      </w:pPr>
      <w:r>
        <w:t>Phần bù rủi ro vốn cổ phần ngầm định đã tăng lên trong thập niên 1970 khi lạm phát tăng. Điều này có những hàm ý thú vị cho việc ước tính phần bù rủi ro. Thay vì giả định rằng phần bù rủi ro là một hằng số và không bị ảnh hưởng bởi mức lạm phát và lãi suất — điều mà chúng ta vẫn làm với phần bù rủi ro lịch sử — có thể sẽ thực tế hơn nếu tăng phần bù rủi ro khi lạm phát kỳ vọng và lãi suất đi lên.</w:t>
      </w:r>
    </w:p>
    <w:p>
      <w:pPr>
        <w:numPr>
          <w:ilvl w:val="0"/>
          <w:numId w:val="51"/>
        </w:numPr>
        <w:pStyle w:val="Para 01"/>
      </w:pPr>
      <w:r>
        <w:t>Trong khi phần bù rủi ro lịch sử nhìn chung có xu hướng trôi giảm trong vài thập kỷ qua, thì phần bù rủi ro vốn cổ phần ngầm định lại có xu hướng hồi quy về giá trị trung bình (mean reversion) rất mạnh. Vì vậy, phần bù đạt đỉnh 6,5 phần trăm vào năm 1978 đã giảm dần về mức trung bình trong thập niên 1980. Tương tự, phần bù 2 phần trăm mà chúng ta quan sát được vào cuối giai đoạn bùng nổ dot-com thập niên 1990 đã nhanh chóng quay trở lại mức trung bình trong đợt điều chỉnh thị trường từ năm 2000 đến 2003.</w:t>
      </w:r>
    </w:p>
    <w:p>
      <w:bookmarkStart w:id="1161" w:name="Figure_7_4_Implied_Premiums_for"/>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511300"/>
            <wp:effectExtent l="0" r="0" t="0" b="0"/>
            <wp:wrapTopAndBottom/>
            <wp:docPr id="66" name="c07f004.png" descr="Line graph plots a trend line with several crests and troughs depicting the implied premiums for U.S. equity market from 1960 to 2023."/>
            <wp:cNvGraphicFramePr>
              <a:graphicFrameLocks noChangeAspect="1"/>
            </wp:cNvGraphicFramePr>
            <a:graphic>
              <a:graphicData uri="http://schemas.openxmlformats.org/drawingml/2006/picture">
                <pic:pic>
                  <pic:nvPicPr>
                    <pic:cNvPr id="0" name="c07f004.png" descr="Line graph plots a trend line with several crests and troughs depicting the implied premiums for U.S. equity market from 1960 to 2023."/>
                    <pic:cNvPicPr/>
                  </pic:nvPicPr>
                  <pic:blipFill>
                    <a:blip r:embed="rId59"/>
                    <a:stretch>
                      <a:fillRect/>
                    </a:stretch>
                  </pic:blipFill>
                  <pic:spPr>
                    <a:xfrm>
                      <a:off x="0" y="0"/>
                      <a:ext cx="2438400" cy="1511300"/>
                    </a:xfrm>
                    <a:prstGeom prst="rect">
                      <a:avLst/>
                    </a:prstGeom>
                  </pic:spPr>
                </pic:pic>
              </a:graphicData>
            </a:graphic>
          </wp:anchor>
        </w:drawing>
      </w:r>
      <w:bookmarkEnd w:id="1161"/>
    </w:p>
    <w:p>
      <w:pPr>
        <w:keepNext/>
        <w:pStyle w:val="Para 22"/>
        <w:keepLines w:val="on"/>
      </w:pPr>
      <w:r>
        <w:t>Hình 7.4 Phần bù ngầm định cho thị trường vốn cổ phần Mỹ (1960–2023)</w:t>
      </w:r>
    </w:p>
    <w:p>
      <w:pPr>
        <w:pStyle w:val="Para 03"/>
      </w:pPr>
      <w:r>
        <w:t>Cuối cùng, cuộc khủng hoảng năm 2008 là chưa từng có về mức độ tác động lên phần bù rủi ro vốn cổ phần. Phần bù rủi ro vốn cổ phần ngầm định đã tăng trong năm 2008 nhiều hơn bất kỳ năm nào trong 50 năm trước đó. Phần lớn sự thay đổi đó diễn ra trong 15 tuần cuối năm, khi Mỹ và các thị trường phát triển khác trải qua những biến động dữ dội mang đặc trưng của các thị trường mới nổi. Một phần lớn mức tăng đó đã tan biến trong năm 2009 nhưng lại quay trở lại vào năm 2010 và 2011. Vào thời điểm khởi đầu đại dịch toàn cầu, trong quý đầu năm 2020, phần bù rủi ro vốn cổ phần lại tăng vọt, trước khi thoái lui trở lại trong phần còn lại của năm.</w:t>
      </w:r>
    </w:p>
    <w:p>
      <w:pPr>
        <w:pStyle w:val="Para 03"/>
      </w:pPr>
      <w:r>
        <w:t>Điểm cuối cùng, có một xu hướng hồi quy về giá trị trung bình rất mạnh trên các thị trường tài chính. Với xu hướng này, có thể chúng ta sẽ có được ước tính tốt hơn nhiều về phần bù rủi ro vốn cổ phần ngầm định bằng cách không chỉ nhìn vào phần bù hiện tại mà còn nhìn vào dữ liệu lịch sử. Có hai cách để làm điều này:</w:t>
      </w:r>
    </w:p>
    <w:p>
      <w:pPr>
        <w:numPr>
          <w:ilvl w:val="0"/>
          <w:numId w:val="52"/>
        </w:numPr>
        <w:pStyle w:val="Para 01"/>
      </w:pPr>
      <w:r>
        <w:t>Chúng ta có thể sử dụng phần bù rủi ro vốn cổ phần ngầm định bình quân trong những giai đoạn dài hơn, chẳng hạn 10–15 năm. Lưu ý rằng ở đây chúng ta không cần nhiều năm dữ liệu như khi ước tính phần bù lịch sử, vì sai số chuẩn (standard error) có xu hướng nhỏ hơn.</w:t>
      </w:r>
    </w:p>
    <w:p>
      <w:pPr>
        <w:numPr>
          <w:ilvl w:val="0"/>
          <w:numId w:val="52"/>
        </w:numPr>
        <w:pStyle w:val="Para 01"/>
      </w:pPr>
      <w:r>
        <w:t>Một cách tiếp cận chặt chẽ hơn sẽ đòi hỏi phải liên hệ mức bù rủi ro vốn cổ phần hàm ý (implied equity risk premium) với dữ liệu kinh tế vĩ mô cơ bản trong suốt giai đoạn đó. Ví dụ, vì mức bù rủi ro vốn cổ phần hàm ý có xu hướng cao hơn trong những giai đoạn có tỷ lệ lạm phát cao hơn (và lãi suất cao hơn), chúng tôi đã chạy một hồi quy của mức bù rủi ro vốn cổ phần hàm ý với tỷ lệ lạm phát và tăng trưởng GDP, sử dụng dữ liệu từ năm 1961 đến năm 2023:</w:t>
      </w:r>
    </w:p>
    <w:p>
      <w:bookmarkStart w:id="1163" w:name="ERP_0_0430_0_1061CPI___0_155"/>
      <w:pPr>
        <w:keepNext/>
        <w:pStyle w:val="Para 09"/>
        <w:keepLines w:val="on"/>
      </w:pPr>
      <w:r>
        <w:t>ERP=0.0430+0.1061CPI−0.155    Tăng trưởng GDP thực        R2=17.34%(14.94∗∗) (2.33∗∗)         (2.55∗∗)</w:t>
      </w:r>
      <w:bookmarkEnd w:id="1163"/>
    </w:p>
    <w:p>
      <w:pPr>
        <w:pStyle w:val="Para 03"/>
      </w:pPr>
      <w:r>
        <w:t>Hồi quy này có một chút khả năng giải thích, với R-squared là 18 phần trăm, và các thống kê t (nằm trong ngoặc dưới các hệ số) cho thấy ý nghĩa thống kê của biến độc lập được sử dụng. Thay thế lãi suất trái phiếu kho bạc hiện tại và tăng trưởng GDP thực vào phương trình này sẽ cho ra một ước tính về mức bù rủi ro vốn cổ phần. Ví dụ, vào ngày 8 tháng 3 năm 2024, tôi ước tính mức bù rủi ro vốn cổ phần là 4,20%, từ một hồi quy mà tôi liên hệ mức bù rủi ro vốn cổ phần với tỷ lệ lạm phát, và sử dụng tỷ lệ lạm phát 4,25% tại thời điểm đó.19</w:t>
      </w:r>
    </w:p>
    <w:p>
      <w:pPr>
        <w:pStyle w:val="Para 11"/>
      </w:pPr>
      <w:r>
        <w:t/>
        <w:t xml:space="preserve"> </w:t>
      </w:r>
    </w:p>
    <w:p>
      <w:bookmarkStart w:id="1165" w:name="histimpl_xls__There_is_a_dataset"/>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67"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1165"/>
    </w:p>
    <w:p>
      <w:pPr>
        <w:pStyle w:val="Para 31"/>
        <w:keepLines w:val="on"/>
      </w:pPr>
      <w:r>
        <w:t>histimpl.xls: Có một bộ dữ liệu trên web tóm tắt các ước tính của chúng tôi về mức bù rủi ro vốn cổ phần hàm ý cho S&amp;P 500 từ năm 1960 đến nay, cùng với các dữ liệu đầu vào được sử dụng.</w:t>
      </w:r>
    </w:p>
    <w:p>
      <w:pPr>
        <w:pStyle w:val="Para 11"/>
      </w:pPr>
      <w:r>
        <w:t/>
        <w:t xml:space="preserve"> </w:t>
      </w:r>
    </w:p>
    <w:p>
      <w:bookmarkStart w:id="1166" w:name="Historical_Versus_Implied_Equity_1"/>
      <w:bookmarkStart w:id="1167" w:name="Historical_Versus_Implied_Equity"/>
      <w:pPr>
        <w:keepNext/>
        <w:pStyle w:val="Para 27"/>
        <w:keepLines w:val="on"/>
      </w:pPr>
      <w:r>
        <w:t>Mức bù rủi ro vốn cổ phần lịch sử so với hàm ý: Ảnh hưởng của quan điểm thị trường</w:t>
      </w:r>
      <w:bookmarkEnd w:id="1166"/>
      <w:bookmarkEnd w:id="1167"/>
    </w:p>
    <w:p>
      <w:pPr>
        <w:pStyle w:val="Para 16"/>
        <w:keepLines w:val="on"/>
      </w:pPr>
      <w:r>
        <w:t>Như bạn có thể thấy từ phần thảo luận trước, mức bù rủi ro lịch sử có thể rất khác so với mức bù rủi ro vốn cổ phần hàm ý. Vào cuối năm 2000, mức bù rủi ro lịch sử của cổ phiếu so với trái phiếu ở Hoa Kỳ là 5,51 phần trăm, trong khi mức bù rủi ro vốn cổ phần hàm ý là 2,87 phần trăm. Ngược lại, vào cuối năm 2008, mức bù rủi ro lịch sử là 3,88%, trong khi mức bù rủi ro hàm ý là 6,43%. Khi thực hiện định giá dòng tiền chiết khấu (discounted cash flow valuation), bạn phải quyết định xem mình sẽ sử dụng mức bù rủi ro nào trong việc định giá, và lựa chọn của bạn sẽ được quyết định bởi cả quan điểm thị trường lẫn mục tiêu định giá của bạn.</w:t>
      </w:r>
    </w:p>
    <w:p>
      <w:pPr>
        <w:pStyle w:val="Para 16"/>
        <w:keepLines w:val="on"/>
      </w:pPr>
      <w:r>
        <w:t>Quan điểm thị trường: Nếu bạn tin rằng thị trường đúng về tổng thể, dù nó có thể mắc sai lầm với từng cổ phiếu riêng lẻ, thì mức bù rủi ro bạn nên sử dụng là mức bù rủi ro vốn cổ phần hàm ý hiện tại. Nếu bạn tin rằng thị trường thường mắc sai lầm về tổng thể và mức bù rủi ro trên thị trường có xu hướng quay trở lại các chuẩn mực lịch sử (mean reversion – hồi quy về giá trị trung bình), thì bạn nên dùng mức bù rủi ro lịch sử. Một cách để dung hòa giữa hai quan điểm là giả định rằng thị trường đúng xuyên suốt thời gian, dù nó có thể mắc sai lầm tại từng thời điểm cụ thể. Nếu bạn đưa ra giả định này, bạn nên sử dụng mức bù rủi ro vốn cổ phần hàm ý trung bình theo thời gian. Mức bù rủi ro vốn cổ phần hàm ý trung bình từ năm 1960 đến năm 2023 là 4,25 phần trăm. Mặc dù cuốn sách này sử dụng mức bù rủi ro lịch sử trong một vài lần định giá, nhưng nó vẫn giữ mức bù rủi ro hàm ý trong hầu hết các lần định giá.</w:t>
      </w:r>
    </w:p>
    <w:p>
      <w:pPr>
        <w:pStyle w:val="Para 16"/>
        <w:keepLines w:val="on"/>
      </w:pPr>
      <w:r>
        <w:t>Mục tiêu định giá: Nếu việc định giá của bạn đòi hỏi bạn phải trung lập với thị trường, tức là định giá một công ty dựa trên tình hình thị trường hiện tại, thì bạn nên sử dụng mức bù rủi ro vốn cổ phần hàm ý hiện tại.</w:t>
      </w:r>
    </w:p>
    <w:p>
      <w:bookmarkStart w:id="1169" w:name="Default_Spreads_on_Bonds__The_in"/>
      <w:bookmarkStart w:id="1170" w:name="Default_Spreads_on_Bonds"/>
      <w:pPr>
        <w:keepNext/>
        <w:pStyle w:val="Heading 2"/>
        <w:keepLines w:val="on"/>
      </w:pPr>
      <w:r>
        <w:t>Mức chênh lệch vỡ nợ trên trái phiếu</w:t>
      </w:r>
      <w:bookmarkEnd w:id="1169"/>
      <w:bookmarkEnd w:id="1170"/>
    </w:p>
    <w:p>
      <w:pPr>
        <w:pStyle w:val="Para 03"/>
      </w:pPr>
      <w:r>
        <w:t>Lãi suất trên trái phiếu được quyết định bởi rủi ro vỡ nợ mà nhà đầu tư nhận thấy ở tổ chức phát hành trái phiếu. Rủi ro vỡ nợ này thường được đo lường bằng xếp hạng trái phiếu, và lãi suất tương ứng với xếp hạng đó được ước tính bằng cách cộng thêm một mức chênh lệch vỡ nợ (default spread) vào lãi suất phi rủi ro. Trong Chương 4, chúng ta đã xem xét quy trình mà các tổ chức xếp hạng sử dụng để xếp hạng các công ty. Chương này xem xét cách ước tính mức chênh lệch vỡ nợ cho một nhóm xếp hạng nhất định và lý do tại sao những mức chênh lệch này có thể thay đổi theo thời gian.</w:t>
      </w:r>
    </w:p>
    <w:p>
      <w:bookmarkStart w:id="1171" w:name="Estimating_Default_Spreads"/>
      <w:bookmarkStart w:id="1172" w:name="Estimating_Default_Spreads__The"/>
      <w:pPr>
        <w:keepNext/>
        <w:pStyle w:val="Heading 3"/>
        <w:keepLines w:val="on"/>
      </w:pPr>
      <w:r>
        <w:t>Ước tính mức chênh lệch vỡ nợ</w:t>
      </w:r>
      <w:bookmarkEnd w:id="1171"/>
      <w:bookmarkEnd w:id="1172"/>
    </w:p>
    <w:p>
      <w:pPr>
        <w:pStyle w:val="Para 03"/>
      </w:pPr>
      <w:r>
        <w:t>Cách đơn giản nhất để ước tính mức chênh lệch vỡ nợ cho mỗi nhóm xếp hạng là tìm một mẫu các trái phiếu trong nhóm xếp hạng đó và lấy lãi suất thị trường hiện tại của những trái phiếu này. Tại sao chúng ta cần một mẫu thay vì chỉ một trái phiếu? Một trái phiếu có thể bị xếp hạng sai hoặc định giá sai. Sử dụng một mẫu sẽ giảm thiểu hoặc loại bỏ vấn đề này. Khi lấy mẫu, bạn nên cố gắng tập trung vào những trái phiếu có tính thanh khoản cao nhất với càng ít đặc điểm đặc biệt đi kèm càng tốt. Trái phiếu doanh nghiệp thường kém thanh khoản và lãi suất trên những trái phiếu như vậy có thể không phản ánh lãi suất thị trường hiện tại. Sự hiện diện của các đặc điểm đặc biệt trên trái phiếu như khả năng chuyển đổi có thể ảnh hưởng đến việc định giá những trái phiếu này và do đó ảnh hưởng đến lãi suất được ước tính trên chúng.</w:t>
      </w:r>
    </w:p>
    <w:p>
      <w:pPr>
        <w:pStyle w:val="Para 03"/>
      </w:pPr>
      <w:r>
        <w:t>Sau khi đã xác định được một mẫu trái phiếu trong mỗi nhóm xếp hạng, bạn cần ước tính lãi suất trên những trái phiếu này. Có hai thước đo được sử dụng rộng rãi. Thứ nhất là lợi suất của trái phiếu (yield), tức là lãi suất coupon chia cho giá thị trường. Thứ hai là lợi suất đến ngày đáo hạn (yield to maturity) của trái phiếu, tức là lãi suất làm cho giá trị hiện tại của các coupon và mệnh giá của trái phiếu bằng với giá thị trường. Nói chung, lợi suất đến ngày đáo hạn đo lường lãi suất thị trường trên trái phiếu chính xác hơn.</w:t>
      </w:r>
    </w:p>
    <w:p>
      <w:pPr>
        <w:pStyle w:val="Para 03"/>
      </w:pPr>
      <w:r>
        <w:t>Sau khi đã có được lãi suất trên các trái phiếu trong mẫu, bạn có hai quyết định phải đưa ra. Quyết định thứ nhất liên quan đến việc gán trọng số. Bạn có thể tính trung bình đơn giản của lãi suất các trái phiếu trong mẫu hoặc trung bình có trọng số, với trọng số dựa trên khối lượng giao dịch—những trái phiếu có tính thanh khoản cao hơn sẽ được gán trọng số lớn hơn những trái phiếu kém thanh khoản hơn. Quyết định thứ hai liên quan đến lãi suất trái phiếu kho bạc chỉ số, vì lãi suất trung bình cho một nhóm xếp hạng được so sánh với lãi suất này để đưa ra mức chênh lệch vỡ nợ. Nói chung, kỳ hạn của trái phiếu kho bạc nên khớp với kỳ hạn trung bình của các trái phiếu doanh nghiệp được chọn để ước tính lãi suất trung bình. Do đó, lãi suất trung bình cho trái phiếu doanh nghiệp xếp hạng BBB kỳ hạn năm năm nên được so sánh với lãi suất trung bình của trái phiếu kho bạc kỳ hạn năm năm để tính ra mức chênh lệch cho trái phiếu xếp hạng BBB.</w:t>
      </w:r>
    </w:p>
    <w:p>
      <w:pPr>
        <w:pStyle w:val="Para 03"/>
      </w:pPr>
      <w:r>
        <w:t>Các dịch vụ dữ liệu trước đây đã cung cấp lãi suất cho ít nhất là các trái phiếu có xếp hạng cao hơn (BBB trở lên), và ngày càng nhiều dịch vụ trực tuyến cung cấp thông tin tương tự ngày nay cho tất cả các trái phiếu được xếp hạng. Bảng 7.6 được trích từ một dịch vụ trực tuyến như vậy vào đầu năm 2024 cho trái phiếu kỳ hạn 10 năm, sử dụng lãi suất trái phiếu kho bạc kỳ hạn 10 năm là 3,88% làm lãi suất phi rủi ro.</w:t>
      </w:r>
    </w:p>
    <w:p>
      <w:pPr>
        <w:pStyle w:val="Para 34"/>
        <w:keepLines w:val="on"/>
      </w:pPr>
      <w:r>
        <w:t>Bảng 7.6</w:t>
      </w:r>
    </w:p>
    <w:p>
      <w:pPr>
        <w:keepNext/>
        <w:pStyle w:val="Para 35"/>
        <w:keepLines w:val="on"/>
      </w:pPr>
      <w:r>
        <w:t>Mức chênh lệch vỡ nợ và lãi suất—Tháng 1 năm 2024</w:t>
      </w:r>
    </w:p>
    <w:tbl>
      <w:tblPr>
        <w:tblW w:type="auto" w:w="0"/>
      </w:tblPr>
      <w:tr>
        <w:tc>
          <w:tcPr>
            <w:tcW w:type="auto" w:w="0"/>
          </w:tcPr>
          <w:tbl>
            <w:tblPr>
              <w:tblW w:type="pct" w:w="5000"/>
            </w:tblPr>
            <w:tr>
              <w:tc>
                <w:tcPr>
                  <w:tcW w:type="auto" w:w="0"/>
                  <w:shd w:val="clear" w:color="auto" w:fill="F0F0F0"/>
                </w:tcPr>
                <w:p>
                  <w:pPr>
                    <w:pStyle w:val="Para 29"/>
                    <w:keepLines w:val="on"/>
                  </w:pPr>
                  <w:r>
                    <w:t>Xếp hạng Moody’s/S&amp;P</w:t>
                  </w:r>
                </w:p>
              </w:tc>
              <w:tc>
                <w:tcPr>
                  <w:tcW w:type="auto" w:w="0"/>
                  <w:shd w:val="clear" w:color="auto" w:fill="F0F0F0"/>
                </w:tcPr>
                <w:p>
                  <w:pPr>
                    <w:pStyle w:val="Para 17"/>
                    <w:keepLines w:val="on"/>
                  </w:pPr>
                  <w:r>
                    <w:t>Mức chênh lệch vỡ nợ</w:t>
                  </w:r>
                </w:p>
              </w:tc>
              <w:tc>
                <w:tcPr>
                  <w:tcW w:type="auto" w:w="0"/>
                  <w:shd w:val="clear" w:color="auto" w:fill="F0F0F0"/>
                </w:tcPr>
                <w:p>
                  <w:pPr>
                    <w:pStyle w:val="Para 17"/>
                    <w:keepLines w:val="on"/>
                  </w:pPr>
                  <w:r>
                    <w:t>Lãi suất</w:t>
                  </w:r>
                </w:p>
              </w:tc>
            </w:tr>
            <w:tr>
              <w:tc>
                <w:tcPr>
                  <w:tcW w:type="auto" w:w="0"/>
                  <w:shd w:val="clear" w:color="auto" w:fill="F0F0F0"/>
                </w:tcPr>
                <w:p>
                  <w:pPr>
                    <w:pStyle w:val="Para 02"/>
                    <w:keepLines w:val="on"/>
                  </w:pPr>
                  <w:r>
                    <w:t>Aaa/AAA</w:t>
                  </w:r>
                </w:p>
              </w:tc>
              <w:tc>
                <w:tcPr>
                  <w:tcW w:type="auto" w:w="0"/>
                  <w:shd w:val="clear" w:color="auto" w:fill="F0F0F0"/>
                </w:tcPr>
                <w:p>
                  <w:pPr>
                    <w:pStyle w:val="Normal"/>
                    <w:keepLines w:val="on"/>
                  </w:pPr>
                  <w:r>
                    <w:t>0,59%</w:t>
                  </w:r>
                </w:p>
              </w:tc>
              <w:tc>
                <w:tcPr>
                  <w:tcW w:type="auto" w:w="0"/>
                  <w:shd w:val="clear" w:color="auto" w:fill="F0F0F0"/>
                </w:tcPr>
                <w:p>
                  <w:pPr>
                    <w:pStyle w:val="Normal"/>
                    <w:keepLines w:val="on"/>
                  </w:pPr>
                  <w:r>
                    <w:t>4,47%</w:t>
                  </w:r>
                </w:p>
              </w:tc>
            </w:tr>
            <w:tr>
              <w:tc>
                <w:tcPr>
                  <w:tcW w:type="auto" w:w="0"/>
                  <w:shd w:val="clear" w:color="auto" w:fill="F0F0F0"/>
                </w:tcPr>
                <w:p>
                  <w:pPr>
                    <w:pStyle w:val="Para 02"/>
                    <w:keepLines w:val="on"/>
                  </w:pPr>
                  <w:r>
                    <w:t>Aa2/AA</w:t>
                  </w:r>
                </w:p>
              </w:tc>
              <w:tc>
                <w:tcPr>
                  <w:tcW w:type="auto" w:w="0"/>
                  <w:shd w:val="clear" w:color="auto" w:fill="F0F0F0"/>
                </w:tcPr>
                <w:p>
                  <w:pPr>
                    <w:pStyle w:val="Normal"/>
                    <w:keepLines w:val="on"/>
                  </w:pPr>
                  <w:r>
                    <w:t>0,70%</w:t>
                  </w:r>
                </w:p>
              </w:tc>
              <w:tc>
                <w:tcPr>
                  <w:tcW w:type="auto" w:w="0"/>
                  <w:shd w:val="clear" w:color="auto" w:fill="F0F0F0"/>
                </w:tcPr>
                <w:p>
                  <w:pPr>
                    <w:pStyle w:val="Normal"/>
                    <w:keepLines w:val="on"/>
                  </w:pPr>
                  <w:r>
                    <w:t>4,58%</w:t>
                  </w:r>
                </w:p>
              </w:tc>
            </w:tr>
            <w:tr>
              <w:tc>
                <w:tcPr>
                  <w:tcW w:type="auto" w:w="0"/>
                  <w:shd w:val="clear" w:color="auto" w:fill="F0F0F0"/>
                </w:tcPr>
                <w:p>
                  <w:pPr>
                    <w:pStyle w:val="Para 02"/>
                    <w:keepLines w:val="on"/>
                  </w:pPr>
                  <w:r>
                    <w:t>A1/A+</w:t>
                  </w:r>
                </w:p>
              </w:tc>
              <w:tc>
                <w:tcPr>
                  <w:tcW w:type="auto" w:w="0"/>
                  <w:shd w:val="clear" w:color="auto" w:fill="F0F0F0"/>
                </w:tcPr>
                <w:p>
                  <w:pPr>
                    <w:pStyle w:val="Normal"/>
                    <w:keepLines w:val="on"/>
                  </w:pPr>
                  <w:r>
                    <w:t>0,92%</w:t>
                  </w:r>
                </w:p>
              </w:tc>
              <w:tc>
                <w:tcPr>
                  <w:tcW w:type="auto" w:w="0"/>
                  <w:shd w:val="clear" w:color="auto" w:fill="F0F0F0"/>
                </w:tcPr>
                <w:p>
                  <w:pPr>
                    <w:pStyle w:val="Normal"/>
                    <w:keepLines w:val="on"/>
                  </w:pPr>
                  <w:r>
                    <w:t>4,80%</w:t>
                  </w:r>
                </w:p>
              </w:tc>
            </w:tr>
            <w:tr>
              <w:tc>
                <w:tcPr>
                  <w:tcW w:type="auto" w:w="0"/>
                  <w:shd w:val="clear" w:color="auto" w:fill="F0F0F0"/>
                </w:tcPr>
                <w:p>
                  <w:pPr>
                    <w:pStyle w:val="Para 02"/>
                    <w:keepLines w:val="on"/>
                  </w:pPr>
                  <w:r>
                    <w:t>A2/A</w:t>
                  </w:r>
                </w:p>
              </w:tc>
              <w:tc>
                <w:tcPr>
                  <w:tcW w:type="auto" w:w="0"/>
                  <w:shd w:val="clear" w:color="auto" w:fill="F0F0F0"/>
                </w:tcPr>
                <w:p>
                  <w:pPr>
                    <w:pStyle w:val="Normal"/>
                    <w:keepLines w:val="on"/>
                  </w:pPr>
                  <w:r>
                    <w:t>1,07%</w:t>
                  </w:r>
                </w:p>
              </w:tc>
              <w:tc>
                <w:tcPr>
                  <w:tcW w:type="auto" w:w="0"/>
                  <w:shd w:val="clear" w:color="auto" w:fill="F0F0F0"/>
                </w:tcPr>
                <w:p>
                  <w:pPr>
                    <w:pStyle w:val="Normal"/>
                    <w:keepLines w:val="on"/>
                  </w:pPr>
                  <w:r>
                    <w:t>4,95%</w:t>
                  </w:r>
                </w:p>
              </w:tc>
            </w:tr>
            <w:tr>
              <w:tc>
                <w:tcPr>
                  <w:tcW w:type="auto" w:w="0"/>
                  <w:shd w:val="clear" w:color="auto" w:fill="F0F0F0"/>
                </w:tcPr>
                <w:p>
                  <w:pPr>
                    <w:pStyle w:val="Para 02"/>
                    <w:keepLines w:val="on"/>
                  </w:pPr>
                  <w:r>
                    <w:t>A3/A−</w:t>
                  </w:r>
                </w:p>
              </w:tc>
              <w:tc>
                <w:tcPr>
                  <w:tcW w:type="auto" w:w="0"/>
                  <w:shd w:val="clear" w:color="auto" w:fill="F0F0F0"/>
                </w:tcPr>
                <w:p>
                  <w:pPr>
                    <w:pStyle w:val="Normal"/>
                    <w:keepLines w:val="on"/>
                  </w:pPr>
                  <w:r>
                    <w:t>1,21%</w:t>
                  </w:r>
                </w:p>
              </w:tc>
              <w:tc>
                <w:tcPr>
                  <w:tcW w:type="auto" w:w="0"/>
                  <w:shd w:val="clear" w:color="auto" w:fill="F0F0F0"/>
                </w:tcPr>
                <w:p>
                  <w:pPr>
                    <w:pStyle w:val="Normal"/>
                    <w:keepLines w:val="on"/>
                  </w:pPr>
                  <w:r>
                    <w:t>5,09%</w:t>
                  </w:r>
                </w:p>
              </w:tc>
            </w:tr>
            <w:tr>
              <w:tc>
                <w:tcPr>
                  <w:tcW w:type="auto" w:w="0"/>
                  <w:shd w:val="clear" w:color="auto" w:fill="F0F0F0"/>
                </w:tcPr>
                <w:p>
                  <w:pPr>
                    <w:pStyle w:val="Para 02"/>
                    <w:keepLines w:val="on"/>
                  </w:pPr>
                  <w:r>
                    <w:t>Baa2/BBB</w:t>
                  </w:r>
                </w:p>
              </w:tc>
              <w:tc>
                <w:tcPr>
                  <w:tcW w:type="auto" w:w="0"/>
                  <w:shd w:val="clear" w:color="auto" w:fill="F0F0F0"/>
                </w:tcPr>
                <w:p>
                  <w:pPr>
                    <w:pStyle w:val="Normal"/>
                    <w:keepLines w:val="on"/>
                  </w:pPr>
                  <w:r>
                    <w:t>1,47%</w:t>
                  </w:r>
                </w:p>
              </w:tc>
              <w:tc>
                <w:tcPr>
                  <w:tcW w:type="auto" w:w="0"/>
                  <w:shd w:val="clear" w:color="auto" w:fill="F0F0F0"/>
                </w:tcPr>
                <w:p>
                  <w:pPr>
                    <w:pStyle w:val="Normal"/>
                    <w:keepLines w:val="on"/>
                  </w:pPr>
                  <w:r>
                    <w:t>5,35%</w:t>
                  </w:r>
                </w:p>
              </w:tc>
            </w:tr>
            <w:tr>
              <w:tc>
                <w:tcPr>
                  <w:tcW w:type="auto" w:w="0"/>
                  <w:shd w:val="clear" w:color="auto" w:fill="F0F0F0"/>
                </w:tcPr>
                <w:p>
                  <w:pPr>
                    <w:pStyle w:val="Para 02"/>
                    <w:keepLines w:val="on"/>
                  </w:pPr>
                  <w:r>
                    <w:t>Ba1/BB+</w:t>
                  </w:r>
                </w:p>
              </w:tc>
              <w:tc>
                <w:tcPr>
                  <w:tcW w:type="auto" w:w="0"/>
                  <w:shd w:val="clear" w:color="auto" w:fill="F0F0F0"/>
                </w:tcPr>
                <w:p>
                  <w:pPr>
                    <w:pStyle w:val="Normal"/>
                    <w:keepLines w:val="on"/>
                  </w:pPr>
                  <w:r>
                    <w:t>1,74%</w:t>
                  </w:r>
                </w:p>
              </w:tc>
              <w:tc>
                <w:tcPr>
                  <w:tcW w:type="auto" w:w="0"/>
                  <w:shd w:val="clear" w:color="auto" w:fill="F0F0F0"/>
                </w:tcPr>
                <w:p>
                  <w:pPr>
                    <w:pStyle w:val="Normal"/>
                    <w:keepLines w:val="on"/>
                  </w:pPr>
                  <w:r>
                    <w:t>5,62%</w:t>
                  </w:r>
                </w:p>
              </w:tc>
            </w:tr>
            <w:tr>
              <w:tc>
                <w:tcPr>
                  <w:tcW w:type="auto" w:w="0"/>
                  <w:shd w:val="clear" w:color="auto" w:fill="F0F0F0"/>
                </w:tcPr>
                <w:p>
                  <w:pPr>
                    <w:pStyle w:val="Para 02"/>
                    <w:keepLines w:val="on"/>
                  </w:pPr>
                  <w:r>
                    <w:t>Ba2/BB</w:t>
                  </w:r>
                </w:p>
              </w:tc>
              <w:tc>
                <w:tcPr>
                  <w:tcW w:type="auto" w:w="0"/>
                  <w:shd w:val="clear" w:color="auto" w:fill="F0F0F0"/>
                </w:tcPr>
                <w:p>
                  <w:pPr>
                    <w:pStyle w:val="Normal"/>
                    <w:keepLines w:val="on"/>
                  </w:pPr>
                  <w:r>
                    <w:t>2,21%</w:t>
                  </w:r>
                </w:p>
              </w:tc>
              <w:tc>
                <w:tcPr>
                  <w:tcW w:type="auto" w:w="0"/>
                  <w:shd w:val="clear" w:color="auto" w:fill="F0F0F0"/>
                </w:tcPr>
                <w:p>
                  <w:pPr>
                    <w:pStyle w:val="Normal"/>
                    <w:keepLines w:val="on"/>
                  </w:pPr>
                  <w:r>
                    <w:t>6,09%</w:t>
                  </w:r>
                </w:p>
              </w:tc>
            </w:tr>
            <w:tr>
              <w:tc>
                <w:tcPr>
                  <w:tcW w:type="auto" w:w="0"/>
                  <w:shd w:val="clear" w:color="auto" w:fill="F0F0F0"/>
                </w:tcPr>
                <w:p>
                  <w:pPr>
                    <w:pStyle w:val="Para 02"/>
                    <w:keepLines w:val="on"/>
                  </w:pPr>
                  <w:r>
                    <w:t>B1/B+</w:t>
                  </w:r>
                </w:p>
              </w:tc>
              <w:tc>
                <w:tcPr>
                  <w:tcW w:type="auto" w:w="0"/>
                  <w:shd w:val="clear" w:color="auto" w:fill="F0F0F0"/>
                </w:tcPr>
                <w:p>
                  <w:pPr>
                    <w:pStyle w:val="Normal"/>
                    <w:keepLines w:val="on"/>
                  </w:pPr>
                  <w:r>
                    <w:t>3,14%</w:t>
                  </w:r>
                </w:p>
              </w:tc>
              <w:tc>
                <w:tcPr>
                  <w:tcW w:type="auto" w:w="0"/>
                  <w:shd w:val="clear" w:color="auto" w:fill="F0F0F0"/>
                </w:tcPr>
                <w:p>
                  <w:pPr>
                    <w:pStyle w:val="Normal"/>
                    <w:keepLines w:val="on"/>
                  </w:pPr>
                  <w:r>
                    <w:t>7,02%</w:t>
                  </w:r>
                </w:p>
              </w:tc>
            </w:tr>
            <w:tr>
              <w:tc>
                <w:tcPr>
                  <w:tcW w:type="auto" w:w="0"/>
                  <w:shd w:val="clear" w:color="auto" w:fill="F0F0F0"/>
                </w:tcPr>
                <w:p>
                  <w:pPr>
                    <w:pStyle w:val="Para 02"/>
                    <w:keepLines w:val="on"/>
                  </w:pPr>
                  <w:r>
                    <w:t>B2/B</w:t>
                  </w:r>
                </w:p>
              </w:tc>
              <w:tc>
                <w:tcPr>
                  <w:tcW w:type="auto" w:w="0"/>
                  <w:shd w:val="clear" w:color="auto" w:fill="F0F0F0"/>
                </w:tcPr>
                <w:p>
                  <w:pPr>
                    <w:pStyle w:val="Normal"/>
                    <w:keepLines w:val="on"/>
                  </w:pPr>
                  <w:r>
                    <w:t>3,61%</w:t>
                  </w:r>
                </w:p>
              </w:tc>
              <w:tc>
                <w:tcPr>
                  <w:tcW w:type="auto" w:w="0"/>
                  <w:shd w:val="clear" w:color="auto" w:fill="F0F0F0"/>
                </w:tcPr>
                <w:p>
                  <w:pPr>
                    <w:pStyle w:val="Normal"/>
                    <w:keepLines w:val="on"/>
                  </w:pPr>
                  <w:r>
                    <w:t>7,49%</w:t>
                  </w:r>
                </w:p>
              </w:tc>
            </w:tr>
            <w:tr>
              <w:tc>
                <w:tcPr>
                  <w:tcW w:type="auto" w:w="0"/>
                  <w:shd w:val="clear" w:color="auto" w:fill="F0F0F0"/>
                </w:tcPr>
                <w:p>
                  <w:pPr>
                    <w:pStyle w:val="Para 02"/>
                    <w:keepLines w:val="on"/>
                  </w:pPr>
                  <w:r>
                    <w:t>B3/B−</w:t>
                  </w:r>
                </w:p>
              </w:tc>
              <w:tc>
                <w:tcPr>
                  <w:tcW w:type="auto" w:w="0"/>
                  <w:shd w:val="clear" w:color="auto" w:fill="F0F0F0"/>
                </w:tcPr>
                <w:p>
                  <w:pPr>
                    <w:pStyle w:val="Normal"/>
                    <w:keepLines w:val="on"/>
                  </w:pPr>
                  <w:r>
                    <w:t>5,24%</w:t>
                  </w:r>
                </w:p>
              </w:tc>
              <w:tc>
                <w:tcPr>
                  <w:tcW w:type="auto" w:w="0"/>
                  <w:shd w:val="clear" w:color="auto" w:fill="F0F0F0"/>
                </w:tcPr>
                <w:p>
                  <w:pPr>
                    <w:pStyle w:val="Normal"/>
                    <w:keepLines w:val="on"/>
                  </w:pPr>
                  <w:r>
                    <w:t>9,12%</w:t>
                  </w:r>
                </w:p>
              </w:tc>
            </w:tr>
            <w:tr>
              <w:tc>
                <w:tcPr>
                  <w:tcW w:type="auto" w:w="0"/>
                  <w:shd w:val="clear" w:color="auto" w:fill="F0F0F0"/>
                </w:tcPr>
                <w:p>
                  <w:pPr>
                    <w:pStyle w:val="Para 02"/>
                    <w:keepLines w:val="on"/>
                  </w:pPr>
                  <w:r>
                    <w:t>Caa/CCC</w:t>
                  </w:r>
                </w:p>
              </w:tc>
              <w:tc>
                <w:tcPr>
                  <w:tcW w:type="auto" w:w="0"/>
                  <w:shd w:val="clear" w:color="auto" w:fill="F0F0F0"/>
                </w:tcPr>
                <w:p>
                  <w:pPr>
                    <w:pStyle w:val="Normal"/>
                    <w:keepLines w:val="on"/>
                  </w:pPr>
                  <w:r>
                    <w:t>8,51%</w:t>
                  </w:r>
                </w:p>
              </w:tc>
              <w:tc>
                <w:tcPr>
                  <w:tcW w:type="auto" w:w="0"/>
                  <w:shd w:val="clear" w:color="auto" w:fill="F0F0F0"/>
                </w:tcPr>
                <w:p>
                  <w:pPr>
                    <w:pStyle w:val="Normal"/>
                    <w:keepLines w:val="on"/>
                  </w:pPr>
                  <w:r>
                    <w:t>12,39%</w:t>
                  </w:r>
                </w:p>
              </w:tc>
            </w:tr>
            <w:tr>
              <w:tc>
                <w:tcPr>
                  <w:tcW w:type="auto" w:w="0"/>
                  <w:shd w:val="clear" w:color="auto" w:fill="F0F0F0"/>
                </w:tcPr>
                <w:p>
                  <w:pPr>
                    <w:pStyle w:val="Para 02"/>
                    <w:keepLines w:val="on"/>
                  </w:pPr>
                  <w:r>
                    <w:t>Ca2/CC</w:t>
                  </w:r>
                </w:p>
              </w:tc>
              <w:tc>
                <w:tcPr>
                  <w:tcW w:type="auto" w:w="0"/>
                  <w:shd w:val="clear" w:color="auto" w:fill="F0F0F0"/>
                </w:tcPr>
                <w:p>
                  <w:pPr>
                    <w:pStyle w:val="Normal"/>
                    <w:keepLines w:val="on"/>
                  </w:pPr>
                  <w:r>
                    <w:t>11,78%</w:t>
                  </w:r>
                </w:p>
              </w:tc>
              <w:tc>
                <w:tcPr>
                  <w:tcW w:type="auto" w:w="0"/>
                  <w:shd w:val="clear" w:color="auto" w:fill="F0F0F0"/>
                </w:tcPr>
                <w:p>
                  <w:pPr>
                    <w:pStyle w:val="Normal"/>
                    <w:keepLines w:val="on"/>
                  </w:pPr>
                  <w:r>
                    <w:t>15,66%</w:t>
                  </w:r>
                </w:p>
              </w:tc>
            </w:tr>
            <w:tr>
              <w:tc>
                <w:tcPr>
                  <w:tcW w:type="auto" w:w="0"/>
                  <w:shd w:val="clear" w:color="auto" w:fill="F0F0F0"/>
                </w:tcPr>
                <w:p>
                  <w:pPr>
                    <w:pStyle w:val="Para 02"/>
                    <w:keepLines w:val="on"/>
                  </w:pPr>
                  <w:r>
                    <w:t>C2/C</w:t>
                  </w:r>
                </w:p>
              </w:tc>
              <w:tc>
                <w:tcPr>
                  <w:tcW w:type="auto" w:w="0"/>
                  <w:shd w:val="clear" w:color="auto" w:fill="F0F0F0"/>
                </w:tcPr>
                <w:p>
                  <w:pPr>
                    <w:pStyle w:val="Normal"/>
                    <w:keepLines w:val="on"/>
                  </w:pPr>
                  <w:r>
                    <w:t>17,00%</w:t>
                  </w:r>
                </w:p>
              </w:tc>
              <w:tc>
                <w:tcPr>
                  <w:tcW w:type="auto" w:w="0"/>
                  <w:shd w:val="clear" w:color="auto" w:fill="F0F0F0"/>
                </w:tcPr>
                <w:p>
                  <w:pPr>
                    <w:pStyle w:val="Normal"/>
                    <w:keepLines w:val="on"/>
                  </w:pPr>
                  <w:r>
                    <w:t>20,88%</w:t>
                  </w:r>
                </w:p>
              </w:tc>
            </w:tr>
            <w:tr>
              <w:tc>
                <w:tcPr>
                  <w:tcW w:type="auto" w:w="0"/>
                  <w:shd w:val="clear" w:color="auto" w:fill="F0F0F0"/>
                </w:tcPr>
                <w:p>
                  <w:pPr>
                    <w:pStyle w:val="Para 02"/>
                    <w:keepLines w:val="on"/>
                  </w:pPr>
                  <w:r>
                    <w:t>D2/D</w:t>
                  </w:r>
                </w:p>
              </w:tc>
              <w:tc>
                <w:tcPr>
                  <w:tcW w:type="auto" w:w="0"/>
                  <w:shd w:val="clear" w:color="auto" w:fill="F0F0F0"/>
                </w:tcPr>
                <w:p>
                  <w:pPr>
                    <w:pStyle w:val="Normal"/>
                    <w:keepLines w:val="on"/>
                  </w:pPr>
                  <w:r>
                    <w:t>20,00%</w:t>
                  </w:r>
                </w:p>
              </w:tc>
              <w:tc>
                <w:tcPr>
                  <w:tcW w:type="auto" w:w="0"/>
                  <w:shd w:val="clear" w:color="auto" w:fill="F0F0F0"/>
                </w:tcPr>
                <w:p>
                  <w:pPr>
                    <w:pStyle w:val="Normal"/>
                    <w:keepLines w:val="on"/>
                  </w:pPr>
                  <w:r>
                    <w:t>23,88%</w:t>
                  </w:r>
                </w:p>
              </w:tc>
            </w:tr>
          </w:tbl>
          <w:p>
            <w:pPr>
              <w:pStyle w:val="Para 55"/>
              <w:keepLines w:val="on"/>
            </w:pPr>
            <w:r>
              <w:t>Nguồn: Được sự cho phép của Hiệp hội Ủy viên Bảo hiểm Quốc gia (National Association of Insurance Commissioners).</w:t>
            </w:r>
          </w:p>
        </w:tc>
      </w:tr>
    </w:tbl>
    <w:p>
      <w:bookmarkStart w:id="1175" w:name="Determinants_of_Default_Spreads_1"/>
      <w:bookmarkStart w:id="1176" w:name="Determinants_of_Default_Spreads"/>
      <w:pPr>
        <w:keepNext/>
        <w:pStyle w:val="Heading 3"/>
        <w:keepLines w:val="on"/>
      </w:pPr>
      <w:r>
        <w:t>Các yếu tố quyết định mức chênh lệch vỡ nợ (Default Spreads)</w:t>
      </w:r>
      <w:bookmarkEnd w:id="1175"/>
      <w:bookmarkEnd w:id="1176"/>
    </w:p>
    <w:p>
      <w:pPr>
        <w:pStyle w:val="Para 03"/>
      </w:pPr>
      <w:r>
        <w:t>Bảng 7.6 cung cấp mức chênh lệch vỡ nợ tại một thời điểm, nhưng mức chênh lệch vỡ nợ không chỉ thay đổi theo thời gian, mà còn có thể khác nhau đối với các trái phiếu có cùng xếp hạng nhưng khác kỳ hạn. Phần này xem xét cách mức chênh lệch vỡ nợ thay đổi theo thời gian và đối với các trái phiếu có kỳ hạn khác nhau.</w:t>
      </w:r>
    </w:p>
    <w:p>
      <w:bookmarkStart w:id="1177" w:name="Default_Spreads_and_Bond_Maturit_1"/>
      <w:bookmarkStart w:id="1178" w:name="Default_Spreads_and_Bond_Maturit"/>
      <w:pPr>
        <w:keepNext/>
        <w:pStyle w:val="Heading 4"/>
        <w:keepLines w:val="on"/>
      </w:pPr>
      <w:r>
        <w:t>Mức chênh lệch vỡ nợ và kỳ hạn trái phiếu</w:t>
      </w:r>
      <w:bookmarkEnd w:id="1177"/>
      <w:bookmarkEnd w:id="1178"/>
    </w:p>
    <w:p>
      <w:pPr>
        <w:pStyle w:val="Para 03"/>
      </w:pPr>
      <w:r>
        <w:t>Trên thực tế, mức chênh lệch vỡ nợ đối với trái phiếu doanh nghiệp thuộc một nhóm xếp hạng nhất định dường như tăng nhẹ theo kỳ hạn của trái phiếu. Hình 7.5 trình bày mức chênh lệch vỡ nợ ước tính cho trái phiếu xếp hạng Aaa và Baa với kỳ hạn từ 1 đến 30 năm vào tháng 1 năm 2024.</w:t>
      </w:r>
    </w:p>
    <w:p>
      <w:bookmarkStart w:id="1180" w:name="Figure_7_5_Default_Spreads_by_M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76500" cy="1828800"/>
            <wp:effectExtent l="0" r="0" t="0" b="0"/>
            <wp:wrapTopAndBottom/>
            <wp:docPr id="68" name="c07f005.png" descr="Double bar graph depicts the default spread for the Aaa and Baa -rated bonds for maturities ranging from 1 to 30 years in January 2024."/>
            <wp:cNvGraphicFramePr>
              <a:graphicFrameLocks noChangeAspect="1"/>
            </wp:cNvGraphicFramePr>
            <a:graphic>
              <a:graphicData uri="http://schemas.openxmlformats.org/drawingml/2006/picture">
                <pic:pic>
                  <pic:nvPicPr>
                    <pic:cNvPr id="0" name="c07f005.png" descr="Double bar graph depicts the default spread for the Aaa and Baa -rated bonds for maturities ranging from 1 to 30 years in January 2024."/>
                    <pic:cNvPicPr/>
                  </pic:nvPicPr>
                  <pic:blipFill>
                    <a:blip r:embed="rId60"/>
                    <a:stretch>
                      <a:fillRect/>
                    </a:stretch>
                  </pic:blipFill>
                  <pic:spPr>
                    <a:xfrm>
                      <a:off x="0" y="0"/>
                      <a:ext cx="2476500" cy="1828800"/>
                    </a:xfrm>
                    <a:prstGeom prst="rect">
                      <a:avLst/>
                    </a:prstGeom>
                  </pic:spPr>
                </pic:pic>
              </a:graphicData>
            </a:graphic>
          </wp:anchor>
        </w:drawing>
      </w:r>
      <w:bookmarkEnd w:id="1180"/>
    </w:p>
    <w:p>
      <w:pPr>
        <w:pStyle w:val="Para 22"/>
        <w:keepLines w:val="on"/>
      </w:pPr>
      <w:r>
        <w:t>Hình 7.5 Mức chênh lệch vỡ nợ theo kỳ hạn—Tháng 1 năm 2024</w:t>
      </w:r>
    </w:p>
    <w:p>
      <w:pPr>
        <w:keepNext/>
        <w:pStyle w:val="Para 22"/>
        <w:keepLines w:val="on"/>
      </w:pPr>
      <w:r>
        <w:t>Nguồn: Được sự cho phép của Hiệp hội Ủy viên Bảo hiểm Quốc gia (National Association of Insurance Commissioners).</w:t>
      </w:r>
    </w:p>
    <w:p>
      <w:pPr>
        <w:pStyle w:val="Para 03"/>
      </w:pPr>
      <w:r>
        <w:t>Mức chênh lệch vỡ nợ đúng là tăng lên khi bạn tăng kỳ hạn cho đến khoảng mười năm, trước khi chững lại và giảm xuống. Đã có một số giai đoạn trong lịch sử mà mức chênh lệch vỡ nợ là một hàm tăng theo kỳ hạn và những giai đoạn khác mà chúng là một hàm giảm.</w:t>
      </w:r>
    </w:p>
    <w:p>
      <w:pPr>
        <w:pStyle w:val="Para 20"/>
      </w:pPr>
      <w:r>
        <w:rPr>
          <w:rStyle w:val="Text26"/>
        </w:rPr>
        <w:bookmarkStart w:id="1181" w:name="Page_184"/>
        <w:t/>
        <w:bookmarkEnd w:id="1181"/>
      </w:r>
      <w:r>
        <w:t xml:space="preserve"> </w:t>
      </w:r>
    </w:p>
    <w:p>
      <w:bookmarkStart w:id="1182" w:name="Default_Spreads_over_Time"/>
      <w:bookmarkStart w:id="1183" w:name="Default_Spreads_over_Time__The_d"/>
      <w:pPr>
        <w:keepNext/>
        <w:pStyle w:val="Heading 4"/>
        <w:keepLines w:val="on"/>
      </w:pPr>
      <w:r>
        <w:t>Mức chênh lệch vỡ nợ theo thời gian</w:t>
      </w:r>
      <w:bookmarkEnd w:id="1182"/>
      <w:bookmarkEnd w:id="1183"/>
    </w:p>
    <w:p>
      <w:pPr>
        <w:pStyle w:val="Para 03"/>
      </w:pPr>
      <w:r>
        <w:t>Mức chênh lệch vỡ nợ được trình bày trong Bảng 7.6, sau một năm thị trường suy giảm và nền kinh tế chậm lại, đã cao hơn đáng kể so với mức chênh lệch vỡ nợ một năm trước đó. Hiện tượng này không mới. Trong lịch sử, mức chênh lệch vỡ nợ cho mọi nhóm xếp hạng đều tăng trong các giai đoạn suy thoái và giảm trong các giai đoạn kinh tế bùng nổ. Hình 7.6 vẽ đồ thị mức chênh lệch giữa trái phiếu xếp hạng Baa của Moody's kỳ hạn 10 năm và lãi suất trái phiếu kho bạc kỳ hạn 10 năm mỗi năm từ 1960 đến 2023, rồi đối chiếu với phần bù rủi ro vốn cổ phần hàm ý (implied equity risk premium) mỗi năm. Mức chênh lệch vỡ nợ đúng là đã tăng trong các giai đoạn tăng trưởng kinh tế thấp; hãy chú ý đến mức tăng trong giai đoạn 1973–1974 và 1979–1981, đặc biệt là vậy. Mặc dù mức chênh lệch vỡ nợ và phần bù rủi ro vốn cổ phần trong hầu hết các giai đoạn thường di chuyển song hành, đã có những giai đoạn ngoại lệ khi chúng di chuyển theo các hướng khác nhau. Ví dụ, vào cuối những năm 1990, cơn bùng nổ dot-com trong giá cổ phiếu dẫn đến phần bù rủi ro vốn cổ phần giảm xuống, trong khi mức chênh lệch vỡ nợ vẫn tương đối ổn định. Ngược lại, cơn bùng nổ cho vay dưới chuẩn (subprime) giai đoạn 2004–2007 đã làm giảm mức chênh lệch vỡ nợ, trong khi phần bù rủi ro vốn cổ phần vẫn không đổi.</w:t>
      </w:r>
    </w:p>
    <w:p>
      <w:bookmarkStart w:id="1185" w:name="Figure_7_6_Baa_Bond_Default_Spr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63800" cy="1676400"/>
            <wp:effectExtent l="0" r="0" t="0" b="0"/>
            <wp:wrapTopAndBottom/>
            <wp:docPr id="69" name="c07f006.png" descr="Line and bar graph for the spread between Moody’s Baa-rated bonds, Treasury bond rate, and the implied equity risk premium each year."/>
            <wp:cNvGraphicFramePr>
              <a:graphicFrameLocks noChangeAspect="1"/>
            </wp:cNvGraphicFramePr>
            <a:graphic>
              <a:graphicData uri="http://schemas.openxmlformats.org/drawingml/2006/picture">
                <pic:pic>
                  <pic:nvPicPr>
                    <pic:cNvPr id="0" name="c07f006.png" descr="Line and bar graph for the spread between Moody’s Baa-rated bonds, Treasury bond rate, and the implied equity risk premium each year."/>
                    <pic:cNvPicPr/>
                  </pic:nvPicPr>
                  <pic:blipFill>
                    <a:blip r:embed="rId61"/>
                    <a:stretch>
                      <a:fillRect/>
                    </a:stretch>
                  </pic:blipFill>
                  <pic:spPr>
                    <a:xfrm>
                      <a:off x="0" y="0"/>
                      <a:ext cx="2463800" cy="1676400"/>
                    </a:xfrm>
                    <a:prstGeom prst="rect">
                      <a:avLst/>
                    </a:prstGeom>
                  </pic:spPr>
                </pic:pic>
              </a:graphicData>
            </a:graphic>
          </wp:anchor>
        </w:drawing>
      </w:r>
      <w:bookmarkEnd w:id="1185"/>
    </w:p>
    <w:p>
      <w:pPr>
        <w:keepNext/>
        <w:pStyle w:val="Para 22"/>
        <w:keepLines w:val="on"/>
      </w:pPr>
      <w:r>
        <w:t>HÌNH 7.6 Chênh lệch vỡ nợ của trái phiếu Baa và phần bù rủi ro vốn cổ phần hàm ý: 1960–2023</w:t>
      </w:r>
    </w:p>
    <w:p>
      <w:pPr>
        <w:pStyle w:val="Para 11"/>
      </w:pPr>
      <w:r>
        <w:t/>
        <w:t xml:space="preserve"> </w:t>
      </w:r>
    </w:p>
    <w:p>
      <w:bookmarkStart w:id="1186" w:name="ratings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70"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1186"/>
    </w:p>
    <w:p>
      <w:pPr>
        <w:pStyle w:val="Para 31"/>
        <w:keepLines w:val="on"/>
      </w:pPr>
      <w:r>
        <w:t>ratings.xls: Bộ dữ liệu này trên web tóm tắt chênh lệch vỡ nợ theo hạng xếp hạng trái phiếu cho giai đoạn gần nhất.</w:t>
      </w:r>
    </w:p>
    <w:p>
      <w:pPr>
        <w:pStyle w:val="Para 11"/>
      </w:pPr>
      <w:r>
        <w:rPr>
          <w:rStyle w:val="Text26"/>
        </w:rPr>
        <w:bookmarkStart w:id="1187" w:name="Page_185"/>
        <w:t/>
        <w:bookmarkEnd w:id="1187"/>
      </w:r>
      <w:r>
        <w:t xml:space="preserve"> </w:t>
      </w:r>
    </w:p>
    <w:p>
      <w:bookmarkStart w:id="1188" w:name="Conclusion_6"/>
      <w:bookmarkStart w:id="1189" w:name="Conclusion__The_risk_free_rate_i"/>
      <w:pPr>
        <w:keepNext/>
        <w:pStyle w:val="Heading 2"/>
        <w:keepLines w:val="on"/>
      </w:pPr>
      <w:r>
        <w:t>Kết luận</w:t>
      </w:r>
      <w:bookmarkEnd w:id="1188"/>
      <w:bookmarkEnd w:id="1189"/>
    </w:p>
    <w:p>
      <w:pPr>
        <w:pStyle w:val="Para 03"/>
      </w:pPr>
      <w:r>
        <w:t>Lãi suất phi rủi ro là điểm khởi đầu cho mọi mô hình lợi nhuận kỳ vọng. Để một tài sản được coi là phi rủi ro, nó phải không có cả rủi ro vỡ nợ lẫn rủi ro tái đầu tư. Dựa trên những tiêu chí này, lãi suất phi rủi ro phù hợp để tính lợi nhuận kỳ vọng nên là lãi suất trái phiếu không coupon không có rủi ro vỡ nợ (của chính phủ) được khớp với thời điểm dòng tiền đang được chiết khấu phát sinh. Tuy nhiên trên thực tế, thông thường ta nên khớp thời hạn (duration) của tài sản phi rủi ro với thời hạn của dòng tiền đang được phân tích. Trong định giá, điều này sẽ dẫn chúng ta đến việc dùng lãi suất trái phiếu chính phủ dài hạn làm lãi suất phi rủi ro. Cũng quan trọng không kém là lãi suất phi rủi ro phải nhất quán với dòng tiền đang được chiết khấu. Cụ thể, đơn vị tiền tệ mà lãi suất phi rủi ro được định danh, và việc nó là lãi suất phi rủi ro thực hay danh nghĩa, nên được xác định bởi đơn vị tiền tệ mà dòng tiền được ước tính và việc ước tính được thực hiện theo giá trị thực hay danh nghĩa.</w:t>
      </w:r>
    </w:p>
    <w:p>
      <w:pPr>
        <w:pStyle w:val="Para 03"/>
      </w:pPr>
      <w:r>
        <w:t>Phần bù rủi ro là một thành phần nền tảng và then chốt trong quản lý danh mục đầu tư, tài chính doanh nghiệp và định giá. Với tầm quan trọng như vậy, thật đáng ngạc nhiên khi trên thực tế người ta chưa dành nhiều sự chú ý cho các vấn đề ước tính. Chương này đã xem xét cách tiếp cận thông thường để ước tính phần bù rủi ro, đó là dùng lợi nhuận lịch sử của cổ phiếu và chứng khoán chính phủ, và đánh giá một số điểm yếu của nó. Chương cũng xem xét cách mở rộng cách tiếp cận này sang các thị trường mới nổi, nơi dữ liệu lịch sử thường vừa hạn chế vừa biến động mạnh. Giải pháp thay thế cho phần bù lịch sử là ước tính phần bù vốn cổ phần hàm ý từ giá cổ phiếu. Cách tiếp cận này đòi hỏi chúng ta phải bắt đầu bằng một mô hình định giá cổ phiếu, rồi ước tính tăng trưởng kỳ vọng và dòng tiền, gộp chung lại, trên các khoản đầu tư vốn cổ phần. Nó có ưu điểm là không cần dữ liệu lịch sử và phản ánh nhận thức hiện tại của thị trường.</w:t>
      </w:r>
    </w:p>
    <w:p>
      <w:bookmarkStart w:id="1191" w:name="Questions_and_Short_Problems_8"/>
      <w:bookmarkStart w:id="1192" w:name="Questions_and_Short_Problems___I"/>
      <w:pPr>
        <w:keepNext/>
        <w:pStyle w:val="Heading 2"/>
        <w:keepLines w:val="on"/>
      </w:pPr>
      <w:r>
        <w:t>Câu hỏi và bài tập ngắn</w:t>
      </w:r>
      <w:bookmarkEnd w:id="1191"/>
      <w:bookmarkEnd w:id="1192"/>
    </w:p>
    <w:p>
      <w:pPr>
        <w:pStyle w:val="Para 44"/>
      </w:pPr>
      <w:r>
        <w:t>Trong các bài tập sau đây, hãy dùng phần bù rủi ro vốn cổ phần là 5,5 phần trăm nếu không có quy định nào khác.</w:t>
      </w:r>
    </w:p>
    <w:p>
      <w:pPr>
        <w:numPr>
          <w:ilvl w:val="0"/>
          <w:numId w:val="53"/>
        </w:numPr>
        <w:pStyle w:val="Para 01"/>
      </w:pPr>
      <w:r>
        <w:t>Giả sử bạn đang định giá một công ty Indonesia bằng đô la Mỹ. Bạn sẽ dùng lãi suất phi rủi ro nào?</w:t>
      </w:r>
    </w:p>
    <w:p>
      <w:pPr>
        <w:numPr>
          <w:ilvl w:val="0"/>
          <w:numId w:val="53"/>
        </w:numPr>
        <w:pStyle w:val="Para 01"/>
      </w:pPr>
      <w:r>
        <w:t>Hãy giải thích tại sao lãi suất tín phiếu Kho bạc kỳ hạn sáu tháng không phải là lãi suất phi rủi ro phù hợp để chiết khấu một dòng tiền năm năm.</w:t>
      </w:r>
    </w:p>
    <w:p>
      <w:pPr>
        <w:numPr>
          <w:ilvl w:val="0"/>
          <w:numId w:val="53"/>
        </w:numPr>
        <w:pStyle w:val="Para 01"/>
      </w:pPr>
      <w:r>
        <w:t>Bạn được yêu cầu ước tính lãi suất phi rủi ro bằng đồng rupiah Indonesia. Chính phủ Indonesia có trái phiếu định danh bằng rupiah đang lưu hành, với lãi suất 17%. S&amp;P xếp hạng BB cho các trái phiếu này, và chênh lệch điển hình cho một quốc gia được xếp hạng BB là 5% so với lãi suất phi rủi ro. Hãy ước tính lãi suất phi rủi ro bằng rupiah.</w:t>
      </w:r>
    </w:p>
    <w:p>
      <w:pPr>
        <w:numPr>
          <w:ilvl w:val="0"/>
          <w:numId w:val="53"/>
        </w:numPr>
        <w:pStyle w:val="Para 01"/>
      </w:pPr>
      <w:r>
        <w:t>Bạn đang định giá một công ty Ấn Độ bằng đồng rupee. Tỷ giá hiện tại là 45 Rs. mỗi đô la, và bạn có được tỷ giá kỳ hạn 10 năm là 70 Rs. mỗi đô la. Nếu lãi suất trái phiếu Kho bạc Mỹ là 5%, hãy ước tính lãi suất phi rủi ro bằng đồng rupee Ấn Độ.</w:t>
      </w:r>
    </w:p>
    <w:p>
      <w:pPr>
        <w:numPr>
          <w:ilvl w:val="0"/>
          <w:numId w:val="53"/>
        </w:numPr>
        <w:pStyle w:val="Para 01"/>
      </w:pPr>
      <w:r>
        <w:t>Bạn đang cố định giá một công ty Chile theo giá trị thực. Dù bạn không thể có được lãi suất phi rủi ro thực ở Mỹ Latinh, bạn biết rằng trái phiếu Kho bạc Mỹ gắn với lạm phát đang có lợi suất 3%. Bạn có thể dùng con số này làm lãi suất phi rủi ro thực không? Tại sao có hoặc tại sao không? Các lựa chọn thay thế là gì?</w:t>
      </w:r>
    </w:p>
    <w:p>
      <w:pPr>
        <w:numPr>
          <w:ilvl w:val="0"/>
          <w:numId w:val="53"/>
        </w:numPr>
        <w:pStyle w:val="Para 01"/>
      </w:pPr>
      <w:r>
        <w:t>Giả sử bạn đã ước tính phần bù rủi ro lịch sử, dựa trên 50 năm dữ liệu, là 6%. Nếu độ lệch chuẩn hằng năm của giá cổ phiếu là 30%, hãy ước tính sai số chuẩn trong ước tính phần bù rủi ro.</w:t>
      </w:r>
    </w:p>
    <w:p>
      <w:pPr>
        <w:numPr>
          <w:ilvl w:val="0"/>
          <w:numId w:val="53"/>
        </w:numPr>
        <w:pStyle w:val="Para 01"/>
      </w:pPr>
      <w:r>
        <w:t>Khi bạn dùng phần bù rủi ro lịch sử làm phần bù rủi ro kỳ vọng trong tương lai, bạn đang đưa ra những giả định gì về nhà đầu tư và thị trường? Trong những điều kiện nào thì phần bù rủi ro lịch sử sẽ cho bạn một con số quá cao (để dùng làm phần bù kỳ vọng)?</w:t>
      </w:r>
    </w:p>
    <w:p>
      <w:pPr>
        <w:numPr>
          <w:ilvl w:val="0"/>
          <w:numId w:val="53"/>
        </w:numPr>
        <w:pStyle w:val="Para 01"/>
      </w:pPr>
      <w:r>
        <w:t>Bạn đang cố ước tính phần bù rủi ro vốn cổ phần quốc gia cho Ba Lan. Bạn thấy rằng S&amp;P đã xếp hạng A cho Ba Lan và Ba Lan đã phát hành trái phiếu định danh bằng euro hiện đang có lợi suất 7,6% trên thị trường. (Đức, một quốc gia được xếp hạng AAA, có trái phiếu định danh bằng euro đang lưu hành với lợi suất 5,1%.)</w:t>
      </w:r>
    </w:p>
    <w:p>
      <w:pPr>
        <w:numPr>
          <w:ilvl w:val="1"/>
          <w:numId w:val="53"/>
        </w:numPr>
        <w:pStyle w:val="Para 01"/>
      </w:pPr>
      <w:r>
        <w:t>Hãy ước tính phần bù rủi ro quốc gia, dùng chênh lệch vỡ nợ của trái phiếu quốc gia làm đại diện.</w:t>
      </w:r>
    </w:p>
    <w:p>
      <w:pPr>
        <w:numPr>
          <w:ilvl w:val="1"/>
          <w:numId w:val="53"/>
        </w:numPr>
        <w:pStyle w:val="Para 01"/>
      </w:pPr>
      <w:r>
        <w:t>Nếu bạn được cho biết rằng độ lệch chuẩn của thị trường vốn cổ phần Ba Lan là 25% và độ lệch chuẩn của trái phiếu euro Ba Lan là 15%, hãy ước tính phần bù rủi ro quốc gia.</w:t>
      </w:r>
    </w:p>
    <w:p>
      <w:pPr>
        <w:numPr>
          <w:ilvl w:val="0"/>
          <w:numId w:val="53"/>
        </w:numPr>
        <w:pStyle w:val="Para 01"/>
      </w:pPr>
      <w:r>
        <w:t>Độ lệch chuẩn của Chỉ số Vốn cổ phần Mexico là 48%, và độ lệch chuẩn của S&amp;P 500 là 20%. Bạn dùng phần bù rủi ro vốn cổ phần là 5,5% cho Hoa Kỳ.</w:t>
      </w:r>
    </w:p>
    <w:p>
      <w:pPr>
        <w:numPr>
          <w:ilvl w:val="1"/>
          <w:numId w:val="53"/>
        </w:numPr>
        <w:pStyle w:val="Para 01"/>
      </w:pPr>
      <w:r>
        <w:t>Hãy ước tính phần bù rủi ro vốn cổ phần quốc gia cho Mexico bằng cách dùng độ lệch chuẩn vốn cổ phần tương đối.</w:t>
      </w:r>
    </w:p>
    <w:p>
      <w:pPr>
        <w:numPr>
          <w:ilvl w:val="1"/>
          <w:numId w:val="53"/>
        </w:numPr>
        <w:pStyle w:val="Para 01"/>
      </w:pPr>
      <w:r>
        <w:t>Giờ giả sử bạn được cho biết rằng Mexico được Standard &amp; Poor's xếp hạng BBB và có trái phiếu định danh bằng đô la đang lưu hành với chênh lệch khoảng 3% so với lãi suất trái phiếu Kho bạc. Nếu độ lệch chuẩn của các trái phiếu này là 24%, hãy ước tính phần bù rủi ro quốc gia cho Mexico.</w:t>
      </w:r>
    </w:p>
    <w:p>
      <w:pPr>
        <w:numPr>
          <w:ilvl w:val="0"/>
          <w:numId w:val="53"/>
        </w:numPr>
        <w:pStyle w:val="Para 01"/>
      </w:pPr>
      <w:r>
        <w:t>S&amp;P 500 đang ở mức 1.400. Cổ tức và dòng tiền kỳ vọng trong năm tới của các cổ phiếu trong chỉ số được dự kiến bằng 5% giá trị chỉ số. Nếu tốc độ tăng trưởng kỳ vọng của cổ tức và dòng tiền trong dài hạn được dự kiến là 6% và lãi suất phi rủi ro là 5,5%, hãy ước tính phần bù rủi ro vốn cổ phần hàm ý.</w:t>
      </w:r>
    </w:p>
    <w:p>
      <w:pPr>
        <w:numPr>
          <w:ilvl w:val="0"/>
          <w:numId w:val="53"/>
        </w:numPr>
        <w:pStyle w:val="Para 01"/>
      </w:pPr>
      <w:r>
        <w:t>Bovespa (chỉ số vốn cổ phần Brazil) đang ở mức 15.000. Cổ tức của chỉ số năm ngoái bằng 5% giá trị chỉ số, và các nhà phân tích kỳ vọng chúng tăng 15% một năm theo giá trị thực trong năm năm tới. Sau năm thứ năm, tăng trưởng được dự kiến giảm xuống 5% theo giá trị thực vĩnh viễn. Nếu lãi suất phi rủi ro thực là 6%, hãy ước tính phần bù rủi ro vốn cổ phần hàm ý trong thị trường này.</w:t>
      </w:r>
    </w:p>
    <w:p>
      <w:pPr>
        <w:numPr>
          <w:ilvl w:val="0"/>
          <w:numId w:val="53"/>
        </w:numPr>
        <w:pStyle w:val="Para 01"/>
      </w:pPr>
      <w:r>
        <w:t>Khi giá cổ phiếu tăng lên, phần bù rủi ro vốn cổ phần hàm ý sẽ giảm xuống. Phát biểu này có luôn đúng không? Nếu không, khi nào nó không đúng?</w:t>
      </w:r>
    </w:p>
    <w:p>
      <w:pPr>
        <w:pStyle w:val="Para 20"/>
      </w:pPr>
      <w:r>
        <w:rPr>
          <w:rStyle w:val="Text26"/>
        </w:rPr>
        <w:bookmarkStart w:id="1194" w:name="Page_188"/>
        <w:t/>
        <w:bookmarkEnd w:id="1194"/>
      </w:r>
      <w:r>
        <w:t xml:space="preserve"> </w:t>
      </w:r>
    </w:p>
    <w:p>
      <w:bookmarkStart w:id="1195" w:name="Notes__1_Well_behaved_term_struc"/>
      <w:bookmarkStart w:id="1196" w:name="Notes_6"/>
      <w:pPr>
        <w:keepNext/>
        <w:pStyle w:val="Heading 2"/>
        <w:keepLines w:val="on"/>
      </w:pPr>
      <w:r>
        <w:t>Ghi chú</w:t>
      </w:r>
      <w:bookmarkEnd w:id="1195"/>
      <w:bookmarkEnd w:id="1196"/>
    </w:p>
    <w:p>
      <w:pPr>
        <w:pStyle w:val="Para 08"/>
      </w:pPr>
      <w:r>
        <w:t>1 Cấu trúc kỳ hạn "chuẩn mực" sẽ bao gồm một đường cong lợi suất dốc lên, trong đó lãi suất dài hạn cao hơn lãi suất ngắn hạn nhiều nhất là 2 đến 3 phần trăm.</w:t>
      </w:r>
    </w:p>
    <w:p>
      <w:pPr>
        <w:pStyle w:val="Para 08"/>
      </w:pPr>
      <w:r>
        <w:t>2 Trong phân tích đầu tư, khi chúng ta xem xét các dự án, thời gian này thường nằm trong khoảng từ 3 đến 10 năm. Trong định giá, thời gian có xu hướng dài hơn nhiều, vì các doanh nghiệp được giả định là tồn tại vô hạn. Thời gian trong những trường hợp này thường vượt xa 10 năm và tăng lên cùng với tiềm năng tăng trưởng kỳ vọng của doanh nghiệp.</w:t>
      </w:r>
    </w:p>
    <w:p>
      <w:pPr>
        <w:pStyle w:val="Para 08"/>
      </w:pPr>
      <w:r>
        <w:t>3 Các tổ chức xếp hạng tín nhiệm cung cấp xếp hạng cho một quốc gia đối với các khoản vay bằng nội tệ và ngoại tệ. Xếp hạng sau đôi khi thấp hơn (vì các quốc gia có khả năng vỡ nợ cao hơn khi vay bằng ngoại tệ), nhưng xếp hạng quan trọng cho phân tích này là xếp hạng bằng nội tệ. Nếu xếp hạng là Aaa (Moody's) hoặc AAA (S&amp;P), lãi suất trái phiếu chính phủ sẽ là lãi suất phi rủi ro.</w:t>
      </w:r>
    </w:p>
    <w:p>
      <w:pPr>
        <w:pStyle w:val="Para 08"/>
      </w:pPr>
      <w:r>
        <w:t>4 Mức chênh lệch vỡ nợ (default spread) cho một xếp hạng được tính bằng cách xem xét các trái phiếu định giá bằng đô la do các chính phủ khác phát hành với xếp hạng Baa3 và so sánh lãi suất của các trái phiếu này với lãi suất trái phiếu Kho bạc Hoa Kỳ.</w:t>
      </w:r>
    </w:p>
    <w:p>
      <w:pPr>
        <w:pStyle w:val="Para 08"/>
      </w:pPr>
      <w:r>
        <w:t>5 Trong trường hợp chỉ tồn tại lãi suất kỳ hạn một năm, có thể ước tính gần đúng lãi suất dài hạn bằng cách trước tiên suy ra lãi suất vay bằng nội tệ kỳ hạn một năm, lấy mức chênh lệch so với lãi suất tín phiếu Kho bạc kỳ hạn một năm, rồi cộng mức chênh lệch này vào lãi suất trái phiếu Kho bạc dài hạn.</w:t>
      </w:r>
    </w:p>
    <w:p>
      <w:pPr>
        <w:pStyle w:val="Para 08"/>
      </w:pPr>
      <w:r>
        <w:t>6 Xem Stocks, Bonds, Bills and Inflation, một ấn bản hàng năm báo cáo về lợi nhuận hàng năm của cổ phiếu, trái phiếu Kho bạc, tín phiếu Kho bạc, cũng như tỷ lệ lạm phát từ năm 1926 đến nay (www.ibbotson.com).</w:t>
      </w:r>
    </w:p>
    <w:p>
      <w:pPr>
        <w:pStyle w:val="Para 08"/>
      </w:pPr>
      <w:r>
        <w:t>7 Để có dữ liệu lịch sử về lợi nhuận cổ phiếu, lợi nhuận trái phiếu và lợi nhuận tín phiếu, hãy xem tại https://pages.stern.nyu.edu/~adamodar/pc/datasets/histretSP.xlsx.</w:t>
      </w:r>
    </w:p>
    <w:p>
      <w:pPr>
        <w:pStyle w:val="Para 08"/>
      </w:pPr>
      <w:r>
        <w:t>8 Những ước tính về sai số chuẩn (standard error) này có lẽ bị đánh giá thấp, vì chúng dựa trên giả định rằng lợi nhuận hàng năm không tương quan với nhau theo thời gian. Có bằng chứng thực nghiệm đáng kể cho thấy lợi nhuận có tương quan theo thời gian, điều này sẽ khiến ước tính sai số chuẩn này lớn hơn nhiều.</w:t>
      </w:r>
    </w:p>
    <w:p>
      <w:pPr>
        <w:pStyle w:val="Para 08"/>
      </w:pPr>
      <w:r>
        <w:t>9 Lợi nhuận ghép (compounded return) được tính bằng cách lấy giá trị khoản đầu tư vào đầu kỳ (Value0) và giá trị vào cuối kỳ (ValueN), rồi tính như sau:</w:t>
      </w:r>
    </w:p>
    <w:p>
      <w:bookmarkStart w:id="1206" w:name="Geometric_Average__ValueNValue0"/>
      <w:pPr>
        <w:keepNext/>
        <w:pStyle w:val="Para 53"/>
        <w:keepLines w:val="on"/>
      </w:pPr>
      <w:r>
        <w:t>Trung bình hình học=(ValueNValue0)1/N−1</w:t>
      </w:r>
      <w:bookmarkEnd w:id="1206"/>
    </w:p>
    <w:p>
      <w:pPr>
        <w:pStyle w:val="Para 08"/>
      </w:pPr>
      <w:r>
        <w:t>10 Nói cách khác, những năm tốt có nhiều khả năng được theo sau bởi những năm kém, và ngược lại. Bằng chứng về tương quan chuỗi âm (negative serial correlation) trong lợi nhuận cổ phiếu theo thời gian là rất phong phú và có thể tìm thấy trong Fama và French (1988). Trong khi họ nhận thấy rằng tương quan một năm là thấp, thì tương quan chuỗi năm năm lại âm mạnh đối với tất cả các nhóm quy mô.</w:t>
      </w:r>
    </w:p>
    <w:p>
      <w:pPr>
        <w:pStyle w:val="Para 08"/>
      </w:pPr>
      <w:r>
        <w:t>11 Dữ liệu này đến từ Credit Suisse Global Investment Returns Sourcebook, được cập nhật bởi Dimson, Marsh và Staunton tại London Business School.</w:t>
      </w:r>
    </w:p>
    <w:p>
      <w:pPr>
        <w:pStyle w:val="Para 08"/>
      </w:pPr>
      <w:r>
        <w:t>12 Quy trình xếp hạng quốc gia được giải thích trên trang web của S&amp;P tại www.standardandpoors.com.</w:t>
      </w:r>
    </w:p>
    <w:p>
      <w:pPr>
        <w:pStyle w:val="Para 08"/>
      </w:pPr>
      <w:r>
        <w:t>13 Jeremy Siegel báo cáo về độ lệch chuẩn (standard deviation) trên các thị trường chứng khoán trong cuốn sách của ông, Stocks for the Very Long Run: The Definitive Guide to Investment Strategies (New York, McGraw-Hill, 2007), và lưu ý rằng chúng có xu hướng giảm dần theo thời gian nắm giữ.</w:t>
      </w:r>
    </w:p>
    <w:p>
      <w:pPr>
        <w:pStyle w:val="Para 08"/>
      </w:pPr>
      <w:r>
        <w:t>14 Mặc dù tôi đã phân loại doanh thu bằng đô la, phân tích này có thể được khái quát hóa để xem xét doanh thu bằng các đồng tiền ổn định (ví dụ: đô la, euro, v.v.) và doanh thu bằng các đồng tiền rủi ro.</w:t>
      </w:r>
    </w:p>
    <w:p>
      <w:pPr>
        <w:pStyle w:val="Para 08"/>
      </w:pPr>
      <w:r>
        <w:t>15 Một cách tiếp cận để ước tính lambda là chia phần trăm doanh thu mà một công ty nhận được từ một quốc gia cho mức doanh thu mà công ty trung bình ở quốc gia đó nhận được từ quốc gia đó.</w:t>
      </w:r>
    </w:p>
    <w:p>
      <w:pPr>
        <w:pStyle w:val="Para 08"/>
      </w:pPr>
      <w:r>
        <w:t>16 Chúng tôi đã sử dụng mức trung bình của các ước tính của nhà phân tích cho từng doanh nghiệp riêng lẻ (phương pháp từ dưới lên). Hoặc, chúng tôi có thể đã sử dụng ước tính từ trên xuống cho thu nhập của S&amp;P 500 (từ các nhà kinh tế học).</w:t>
      </w:r>
    </w:p>
    <w:p>
      <w:pPr>
        <w:pStyle w:val="Para 08"/>
      </w:pPr>
      <w:r>
        <w:t>17 Lãi suất trái phiếu Kho bạc là tổng của lạm phát kỳ vọng và lãi suất thực kỳ vọng. Nếu chúng ta giả định rằng tăng trưởng thực bằng lãi suất thực, thì tốc độ tăng trưởng ổn định dài hạn sẽ bằng lãi suất trái phiếu Kho bạc.</w:t>
      </w:r>
    </w:p>
    <w:p>
      <w:pPr>
        <w:pStyle w:val="Para 08"/>
      </w:pPr>
      <w:r>
        <w:t>18 Yếu tố đầu vào khó ước tính nhất đối với các thị trường mới nổi là tốc độ tăng trưởng kỳ vọng dài hạn. Đối với cổ phiếu Brazil, tôi đã sử dụng ước tính đồng thuận trung bình về tăng trưởng thu nhập cho các công ty Brazil lớn nhất có chứng chỉ lưu ký Mỹ (ADRs) được niêm yết. Do đó, ước tính này có thể bị sai lệch.</w:t>
      </w:r>
    </w:p>
    <w:p>
      <w:pPr>
        <w:pStyle w:val="Para 08"/>
      </w:pPr>
      <w:r>
        <w:t>19 Vào ngày 8 tháng 3 năm 2024, chẳng hạn, tôi đã thay thế tỷ lệ lạm phát kỳ vọng và tốc độ tăng trưởng GDP thực vào phương trình hồi quy để ước tính phần bù rủi ro vốn cổ phần kỳ vọng.</w:t>
      </w:r>
    </w:p>
    <w:p>
      <w:bookmarkStart w:id="1217" w:name="ERP_2_97__0_2903_4_25___4_20"/>
      <w:pPr>
        <w:keepNext/>
        <w:pStyle w:val="Para 53"/>
        <w:keepLines w:val="on"/>
      </w:pPr>
      <w:r>
        <w:t>ERP=2.97%+0.2903(4.25%)=4.20%</w:t>
      </w:r>
      <w:bookmarkEnd w:id="1217"/>
    </w:p>
    <w:p>
      <w:bookmarkStart w:id="1218" w:name="Chapter_8Estimating_Risk_Paramet_1"/>
      <w:bookmarkStart w:id="1219" w:name="Chapter_8Estimating_Risk_Paramet"/>
      <w:bookmarkStart w:id="1220" w:name="Top_of_c08_xhtml"/>
      <w:pPr>
        <w:keepNext/>
        <w:pStyle w:val="Heading 1"/>
        <w:pageBreakBefore w:val="on"/>
        <w:keepLines w:val="on"/>
      </w:pPr>
      <w:r>
        <w:t>CHƯƠNG 8</w:t>
      </w:r>
      <w:r>
        <w:br/>
      </w:r>
      <w:r>
        <w:t>Ước lượng các tham số rủi ro và chi phí tài trợ</w:t>
      </w:r>
      <w:bookmarkEnd w:id="1218"/>
      <w:bookmarkEnd w:id="1219"/>
      <w:bookmarkEnd w:id="1220"/>
    </w:p>
    <w:p>
      <w:pPr>
        <w:pStyle w:val="Para 03"/>
      </w:pPr>
      <w:r>
        <w:t>Chương trước đã đặt nền móng cho việc ước tính chi phí vốn cổ phần và chi phí vốn của doanh nghiệp bằng cách xem xét cách ước tính tốt nhất một lãi suất phi rủi ro đóng vai trò nền tảng cho mọi chi phí, phần bù rủi ro vốn cổ phần để ước tính chi phí vốn cổ phần, và mức chênh lệch vỡ nợ để ước tính chi phí nợ. Tuy nhiên, chương đó chưa xem xét cách ước tính các tham số rủi ro cho từng doanh nghiệp riêng lẻ. Chương này sẽ xem xét quy trình ước tính các tham số rủi ro cho từng doanh nghiệp riêng lẻ, bao gồm cả chi phí vốn cổ phần và chi phí nợ.</w:t>
      </w:r>
    </w:p>
    <w:p>
      <w:pPr>
        <w:pStyle w:val="Para 03"/>
      </w:pPr>
      <w:r>
        <w:t>Đối với chi phí vốn cổ phần, chúng ta xem xét quy trình tiêu chuẩn để ước tính beta của một doanh nghiệp và cân nhắc các cách tiếp cận thay thế. Đối với chi phí nợ, chúng ta xem xét xếp hạng trái phiếu như thước đo rủi ro vỡ nợ và các yếu tố quyết định những xếp hạng này.</w:t>
      </w:r>
    </w:p>
    <w:p>
      <w:pPr>
        <w:pStyle w:val="Para 03"/>
      </w:pPr>
      <w:r>
        <w:t>Chương này khép lại bằng việc kết hợp các ước tính tham số rủi ro cho từng doanh nghiệp riêng lẻ với các ước tính toàn nền kinh tế về lãi suất phi rủi ro và phần bù rủi ro để ước tính chi phí vốn của doanh nghiệp. Để làm được điều này, các nguồn vốn phải được cân đối theo giá trị thị trường (market values - MVs) tương đối của chúng.</w:t>
      </w:r>
    </w:p>
    <w:p>
      <w:bookmarkStart w:id="1222" w:name="The_Cost_of_Equity_and_Capital_1"/>
      <w:bookmarkStart w:id="1223" w:name="The_Cost_of_Equity_and_Capital"/>
      <w:pPr>
        <w:keepNext/>
        <w:pStyle w:val="Heading 2"/>
        <w:keepLines w:val="on"/>
      </w:pPr>
      <w:r>
        <w:t>Chi phí vốn cổ phần và chi phí vốn</w:t>
      </w:r>
      <w:bookmarkEnd w:id="1222"/>
      <w:bookmarkEnd w:id="1223"/>
    </w:p>
    <w:p>
      <w:pPr>
        <w:pStyle w:val="Para 03"/>
      </w:pPr>
      <w:r>
        <w:t>Các doanh nghiệp huy động tiền từ cả nhà đầu tư vốn cổ phần lẫn bên cho vay để tài trợ cho các khoản đầu tư. Cả hai nhóm nhà đầu tư này đều bỏ tiền vào với kỳ vọng thu được lợi nhuận. Chương 4 đã lập luận rằng lợi nhuận kỳ vọng của nhà đầu tư vốn cổ phần sẽ bao gồm một phần bù cho rủi ro vốn cổ phần trong khoản đầu tư đó. Ta gọi lợi nhuận kỳ vọng này là chi phí vốn cổ phần (cost of equity). Tương tự, lợi nhuận kỳ vọng mà bên cho vay hy vọng kiếm được từ khoản đầu tư của mình cũng bao gồm một phần bù cho rủi ro vỡ nợ, và ta gọi lợi nhuận kỳ vọng đó là chi phí nợ (cost of debt). Nếu xét toàn bộ nguồn tài trợ mà doanh nghiệp huy động, chi phí tài trợ tổng hợp sẽ là bình quân gia quyền của chi phí vốn cổ phần và chi phí nợ, và chi phí bình quân gia quyền này chính là chi phí vốn (cost of capital).</w:t>
      </w:r>
    </w:p>
    <w:p>
      <w:pPr>
        <w:pStyle w:val="Para 03"/>
      </w:pPr>
      <w:r>
        <w:t>Chương này bắt đầu bằng việc ước lượng rủi ro vốn cổ phần của một doanh nghiệp và dùng rủi ro đó để ước lượng chi phí vốn cổ phần, sau đó đo lường rủi ro vỡ nợ để ước lượng chi phí nợ. Cuối cùng, chương xác định trọng số mà ta nên gán cho từng loại chi phí này để đi đến chi phí vốn.</w:t>
      </w:r>
    </w:p>
    <w:p>
      <w:pPr>
        <w:pStyle w:val="Para 20"/>
      </w:pPr>
      <w:r>
        <w:rPr>
          <w:rStyle w:val="Text26"/>
        </w:rPr>
        <w:bookmarkStart w:id="1224" w:name="Page_190"/>
        <w:t/>
        <w:bookmarkEnd w:id="1224"/>
      </w:r>
      <w:r>
        <w:t xml:space="preserve"> </w:t>
      </w:r>
    </w:p>
    <w:p>
      <w:bookmarkStart w:id="1225" w:name="Cost_of_Equity__The_cost_of_equi"/>
      <w:bookmarkStart w:id="1226" w:name="Cost_of_Equity"/>
      <w:pPr>
        <w:keepNext/>
        <w:pStyle w:val="Heading 2"/>
        <w:keepLines w:val="on"/>
      </w:pPr>
      <w:r>
        <w:t>Chi phí vốn cổ phần</w:t>
      </w:r>
      <w:bookmarkEnd w:id="1225"/>
      <w:bookmarkEnd w:id="1226"/>
    </w:p>
    <w:p>
      <w:pPr>
        <w:pStyle w:val="Para 03"/>
      </w:pPr>
      <w:r>
        <w:t>Chi phí vốn cổ phần là tỷ suất lợi nhuận mà nhà đầu tư đòi hỏi khi đầu tư vốn cổ phần vào một doanh nghiệp. Các mô hình rủi ro và lợi nhuận được trình bày ở Chương 4 cần một lãi suất phi rủi ro và một phần bù rủi ro (trong mô hình định giá tài sản vốn [CAPM]) hoặc nhiều phần bù (trong mô hình định giá chênh lệch lãi suất [APM] và các mô hình đa nhân tố), vốn đã được ước lượng ở chương trước. Chúng cũng cần các thước đo mức độ phơi nhiễm của doanh nghiệp trước rủi ro thị trường dưới dạng beta. Những đầu vào này được dùng để đi đến lợi nhuận kỳ vọng của một khoản đầu tư vốn cổ phần:</w:t>
      </w:r>
    </w:p>
    <w:p>
      <w:bookmarkStart w:id="1227" w:name="Expected_Return_Risk_free_Rate_B"/>
      <w:pPr>
        <w:keepNext/>
        <w:pStyle w:val="Para 09"/>
        <w:keepLines w:val="on"/>
      </w:pPr>
      <w:r>
        <w:t>Lợi nhuận kỳ vọng = Lãi suất phi rủi ro + Beta × Phần bù rủi ro vốn cổ phần</w:t>
      </w:r>
      <w:bookmarkEnd w:id="1227"/>
    </w:p>
    <w:p>
      <w:pPr>
        <w:pStyle w:val="Para 03"/>
      </w:pPr>
      <w:r>
        <w:t>Lợi nhuận kỳ vọng này dành cho nhà đầu tư vốn cổ phần bao gồm phần đền bù cho rủi ro thị trường trong khoản đầu tư và chính là chi phí vốn cổ phần. Phần này tập trung vào việc ước lượng beta của một doanh nghiệp. Dù phần lớn thảo luận hướng đến CAPM, nó vẫn có thể được mở rộng để áp dụng cho mô hình định giá chênh lệch lãi suất và mô hình đa nhân tố.</w:t>
      </w:r>
    </w:p>
    <w:p>
      <w:bookmarkStart w:id="1228" w:name="Betas__Estimation_Approaches__In"/>
      <w:bookmarkStart w:id="1229" w:name="Betas__Estimation_Approaches"/>
      <w:pPr>
        <w:keepNext/>
        <w:pStyle w:val="Heading 3"/>
        <w:keepLines w:val="on"/>
      </w:pPr>
      <w:r>
        <w:t>Beta — Các cách tiếp cận ước lượng</w:t>
      </w:r>
      <w:bookmarkEnd w:id="1228"/>
      <w:bookmarkEnd w:id="1229"/>
    </w:p>
    <w:p>
      <w:pPr>
        <w:pStyle w:val="Para 03"/>
      </w:pPr>
      <w:r>
        <w:t>Trong CAPM, beta của một khoản đầu tư là rủi ro mà khoản đầu tư đó bổ sung vào một danh mục thị trường. Trong APM và mô hình đa nhân tố, phải đo lường beta của khoản đầu tư so với từng nhân tố. Có ba cách tiếp cận để ước lượng các tham số này: một là dùng dữ liệu lịch sử về giá thị trường của từng khoản đầu tư; hai là ước lượng beta từ những đặc điểm cơ bản của khoản đầu tư; và ba là dùng dữ liệu kế toán. Cả ba cách tiếp cận đều được trình bày trong phần này.</w:t>
      </w:r>
    </w:p>
    <w:p>
      <w:bookmarkStart w:id="1230" w:name="Historical_Market_Betas__The_con"/>
      <w:bookmarkStart w:id="1231" w:name="Historical_Market_Betas"/>
      <w:pPr>
        <w:keepNext/>
        <w:pStyle w:val="Heading 4"/>
        <w:keepLines w:val="on"/>
      </w:pPr>
      <w:r>
        <w:t>Beta thị trường theo lịch sử</w:t>
      </w:r>
      <w:bookmarkEnd w:id="1230"/>
      <w:bookmarkEnd w:id="1231"/>
    </w:p>
    <w:p>
      <w:pPr>
        <w:pStyle w:val="Para 03"/>
      </w:pPr>
      <w:r>
        <w:t>Cách tiếp cận thông thường để ước lượng beta của một khoản đầu tư là hồi quy lợi nhuận của khoản đầu tư đó theo lợi nhuận của một chỉ số thị trường. Với những doanh nghiệp đã niêm yết công khai trong một khoảng thời gian, việc ước lượng lợi nhuận mà nhà đầu tư sẽ thu được khi đầu tư vào vốn cổ phần của doanh nghiệp theo các khoảng thời gian (như một tuần hoặc một tháng) trong giai đoạn đó tương đối đơn giản. Về lý thuyết, những lợi nhuận cổ phiếu này trên các tài sản nên có liên hệ với lợi nhuận của một danh mục thị trường (tức là một danh mục bao gồm tất cả tài sản được giao dịch) để ước lượng beta của các tài sản. Trên thực tế, ta thường dùng một chỉ số cổ phiếu như S&amp;P 500 làm đại diện cho danh mục thị trường, và ước lượng beta của cổ phiếu so với chỉ số đó.</w:t>
      </w:r>
    </w:p>
    <w:p>
      <w:bookmarkStart w:id="1232" w:name="Regression_Estimates_of_Betas__T"/>
      <w:pPr>
        <w:pStyle w:val="Para 21"/>
      </w:pPr>
      <w:r>
        <w:t>Ước lượng beta bằng hồi quy</w:t>
      </w:r>
      <w:bookmarkEnd w:id="1232"/>
    </w:p>
    <w:p>
      <w:pPr>
        <w:pStyle w:val="Para 03"/>
      </w:pPr>
      <w:r>
        <w:t>Thủ tục chuẩn để ước lượng beta là hồi quy lợi nhuận cổ phiếu (Rj) theo lợi nhuận thị trường (Rm):</w:t>
      </w:r>
    </w:p>
    <w:p>
      <w:bookmarkStart w:id="1234" w:name="Rj_a_b_Rm"/>
      <w:pPr>
        <w:keepNext/>
        <w:pStyle w:val="Para 09"/>
        <w:keepLines w:val="on"/>
      </w:pPr>
      <w:r>
        <w:t>Rj=a=b Rm</w:t>
      </w:r>
      <w:bookmarkEnd w:id="1234"/>
    </w:p>
    <w:p>
      <w:bookmarkStart w:id="1235" w:name="wherea_Intercept_from_the_regres"/>
      <w:pPr>
        <w:pStyle w:val="Para 39"/>
      </w:pPr>
      <w:r>
        <w:t>trong đó a = Hệ số chặn từ hồi quy; b = Độ dốc của hồi quy = Hiệp phương sai(Rj,Rm)/σm2</w:t>
      </w:r>
      <w:bookmarkEnd w:id="1235"/>
    </w:p>
    <w:p>
      <w:pPr>
        <w:pStyle w:val="Para 03"/>
      </w:pPr>
      <w:r>
        <w:t>Độ dốc của hồi quy tương ứng với beta của cổ phiếu và đo lường mức độ rủi ro của cổ phiếu.</w:t>
      </w:r>
    </w:p>
    <w:p>
      <w:pPr>
        <w:pStyle w:val="Para 03"/>
      </w:pPr>
      <w:r>
        <w:t>Hệ số chặn của hồi quy cung cấp một thước đo đơn giản về hiệu quả hoạt động của khoản đầu tư trong giai đoạn hồi quy, khi lợi nhuận được đo so với lợi nhuận kỳ vọng từ mô hình định giá tài sản vốn. Để thấy vì sao, hãy xem xét cách sắp xếp lại mô hình định giá tài sản vốn sau đây:</w:t>
      </w:r>
    </w:p>
    <w:p>
      <w:bookmarkStart w:id="1237" w:name="Rj_Rf_b_Rm_Rf__Rf1_bj_bjRm"/>
      <w:pPr>
        <w:keepNext/>
        <w:pStyle w:val="Para 09"/>
        <w:keepLines w:val="on"/>
      </w:pPr>
      <w:r>
        <w:t>Rj=Rf+β(Rm-Rf)=Rf1-βj+βjRm</w:t>
      </w:r>
      <w:bookmarkEnd w:id="1237"/>
    </w:p>
    <w:p>
      <w:pPr>
        <w:pStyle w:val="Para 03"/>
      </w:pPr>
      <w:r>
        <w:t>Hãy so sánh cách diễn đạt lợi nhuận của một khoản đầu tư này với phương trình lợi nhuận từ hồi quy:</w:t>
      </w:r>
    </w:p>
    <w:p>
      <w:bookmarkStart w:id="1238" w:name="Rj_a_b_Rm_1"/>
      <w:pPr>
        <w:keepNext/>
        <w:pStyle w:val="Para 09"/>
        <w:keepLines w:val="on"/>
      </w:pPr>
      <w:r>
        <w:t>Rj=a+b Rm</w:t>
      </w:r>
      <w:bookmarkEnd w:id="1238"/>
    </w:p>
    <w:p>
      <w:pPr>
        <w:pStyle w:val="Para 03"/>
      </w:pPr>
      <w:r>
        <w:t>Như vậy, việc so sánh hệ số chặn với Rf(1 − β) sẽ cung cấp một thước đo về hiệu quả hoạt động của cổ phiếu, ít nhất là so với mô hình định giá tài sản vốn.1 Tóm lại:</w:t>
      </w:r>
    </w:p>
    <w:p>
      <w:bookmarkStart w:id="1240" w:name="Ifa_Rf_1___bj___Stock_did_better"/>
      <w:pPr>
        <w:keepNext/>
        <w:pStyle w:val="Para 09"/>
        <w:keepLines w:val="on"/>
      </w:pPr>
      <w:r>
        <w:t>Nếu a&gt;Rf(1−βj): Cổ phiếu hoạt động tốt hơn kỳ vọng. a=Rf(1−βj): Cổ phiếu hoạt động đúng như kỳ vọng. a&gt;Rf(1−βj): Cổ phiếu hoạt động kém hơn kỳ vọng.</w:t>
      </w:r>
      <w:bookmarkEnd w:id="1240"/>
    </w:p>
    <w:p>
      <w:pPr>
        <w:pStyle w:val="Para 03"/>
      </w:pPr>
      <w:r>
        <w:t>Chênh lệch giữa a và Rf(1 − β) được gọi là alpha của Jensen và cung cấp một thước đo xem khoản đầu tư đang xét có thu được lợi nhuận cao hơn hay thấp hơn lợi nhuận yêu cầu, dựa trên cả hiệu quả thị trường lẫn rủi ro.2 Ví dụ, một doanh nghiệp thu được 15 phần trăm trong một giai đoạn mà các doanh nghiệp có beta tương tự thu được 12 phần trăm sẽ có lợi nhuận vượt trội 3 phần trăm; hệ số chặn của nó cũng sẽ vượt Rf(1 − β) 3 phần trăm. Nói ngắn gọn, alpha của Jensen là một thước đo hiệu quả hoạt động đã điều chỉnh theo rủi ro và theo thị trường.</w:t>
      </w:r>
    </w:p>
    <w:p>
      <w:pPr>
        <w:pStyle w:val="Para 03"/>
      </w:pPr>
      <w:r>
        <w:t>Thống kê thứ ba xuất hiện từ hồi quy là R bình phương (R2) của hồi quy. Trong khi cách giải thích thống kê của R bình phương là nó cung cấp thước đo mức độ phù hợp của hồi quy, thì lý do kinh tế là nó cung cấp ước lượng về tỷ lệ rủi ro của một doanh nghiệp có thể quy cho rủi ro thị trường; phần còn lại (1 − R2) có thể quy cho rủi ro riêng của doanh nghiệp.</w:t>
      </w:r>
    </w:p>
    <w:p>
      <w:pPr>
        <w:pStyle w:val="Para 03"/>
      </w:pPr>
      <w:r>
        <w:t>Thống kê cuối cùng đáng lưu ý là sai số chuẩn của ước lượng beta. Độ dốc của hồi quy, giống như bất kỳ ước lượng thống kê nào, có thể khác với giá trị thực, và sai số chuẩn cho biết ước lượng có thể sai lệch bao nhiêu. Sai số chuẩn cũng có thể được dùng để xác định khoảng tin cậy cho giá trị beta "thực" từ ước lượng độ dốc.</w:t>
      </w:r>
    </w:p>
    <w:p>
      <w:pPr>
        <w:pStyle w:val="Para 20"/>
      </w:pPr>
      <w:r>
        <w:rPr>
          <w:rStyle w:val="Text26"/>
        </w:rPr>
        <w:bookmarkStart w:id="1242" w:name="Page_192"/>
        <w:t/>
        <w:bookmarkEnd w:id="1242"/>
      </w:r>
      <w:r>
        <w:t xml:space="preserve"> </w:t>
      </w:r>
    </w:p>
    <w:p>
      <w:pPr>
        <w:pStyle w:val="Para 11"/>
      </w:pPr>
      <w:r>
        <w:t/>
        <w:t xml:space="preserve"> </w:t>
      </w:r>
    </w:p>
    <w:p>
      <w:bookmarkStart w:id="1243" w:name="ILLUSTRATION_8_1__Estimating_a_R"/>
      <w:bookmarkStart w:id="1244" w:name="ILLUSTRATION_8_1__Estimating_a_R_1"/>
      <w:pPr>
        <w:keepNext/>
        <w:pStyle w:val="Para 19"/>
        <w:keepLines w:val="on"/>
      </w:pPr>
      <w:r>
        <w:t>MINH HỌA 8.1: Ước lượng beta hồi quy cho Microsoft năm 2024</w:t>
      </w:r>
      <w:bookmarkEnd w:id="1243"/>
      <w:bookmarkEnd w:id="1244"/>
    </w:p>
    <w:p>
      <w:pPr>
        <w:pStyle w:val="Para 04"/>
        <w:keepLines w:val="on"/>
      </w:pPr>
      <w:r>
        <w:t>Microsoft là công ty phần mềm lớn nhất trong ngành, và theo thời gian đã mở rộng tầm ảnh hưởng sang mảng đám mây (cloud) và AI. Cổ phiếu của công ty được giao dịch trên NASDAQ từ năm 1986. Khi đánh giá các thông số rủi ro cho Microsoft, chúng ta tính lợi nhuận của cổ phiếu và chỉ số thị trường theo hai bước:</w:t>
      </w:r>
    </w:p>
    <w:p>
      <w:pPr>
        <w:numPr>
          <w:ilvl w:val="0"/>
          <w:numId w:val="54"/>
        </w:numPr>
        <w:pStyle w:val="Para 18"/>
        <w:keepLines w:val="on"/>
      </w:pPr>
      <w:r>
        <w:t>Lợi nhuận dành cho cổ đông của Microsoft được tính theo từng tháng từ tháng 1 năm 2019 đến tháng 12 năm 2023. Những lợi nhuận này bao gồm cả cổ tức lẫn phần tăng giá, và được định nghĩa như sau:</w:t>
      </w:r>
    </w:p>
    <w:p>
      <w:bookmarkStart w:id="1246" w:name="Stock_ReturnMicrosoft_j__Pricej"/>
      <w:pPr>
        <w:keepNext/>
        <w:pStyle w:val="Para 07"/>
        <w:keepLines w:val="on"/>
      </w:pPr>
      <w:r>
        <w:t>Lợi nhuận cổ phiếu Microsoft,j=(Giáj −Giáj−1+Cổ tứcMSFT,j)/Giáj−1</w:t>
      </w:r>
      <w:bookmarkEnd w:id="1246"/>
    </w:p>
    <w:p>
      <w:bookmarkStart w:id="1247" w:name="whereStock_ReturnMicrosoft_j_Ret"/>
      <w:pPr>
        <w:pStyle w:val="Para 52"/>
        <w:keepLines w:val="on"/>
      </w:pPr>
      <w:r>
        <w:t>trong đó Lợi nhuận cổ phiếu Microsoft,j = Lợi nhuận của cổ phiếu Microsoft trong tháng j; Giáj = Giá vào cuối tháng j; Cổ tứcMSFT,j = Cổ tức (nếu có) của Microsoft trong tháng j</w:t>
      </w:r>
      <w:bookmarkEnd w:id="1247"/>
    </w:p>
    <w:p>
      <w:pPr>
        <w:pStyle w:val="Para 04"/>
        <w:keepLines w:val="on"/>
      </w:pPr>
      <w:r>
        <w:t>Cổ tức được cộng vào lợi nhuận của tháng mà cổ đông được hưởng cổ tức.3</w:t>
      </w:r>
    </w:p>
    <w:p>
      <w:pPr>
        <w:numPr>
          <w:ilvl w:val="0"/>
          <w:numId w:val="54"/>
        </w:numPr>
        <w:pStyle w:val="Para 18"/>
        <w:keepLines w:val="on"/>
      </w:pPr>
      <w:r>
        <w:t>Lợi nhuận của chỉ số thị trường S&amp;P 500 được tính cho từng tháng trong giai đoạn, dựa trên mức chỉ số vào cuối mỗi tháng và cổ tức hàng tháng của các cổ phiếu trong chỉ số.</w:t>
      </w:r>
    </w:p>
    <w:p>
      <w:bookmarkStart w:id="1249" w:name="Market_returnj__Indexj__Indexj_1"/>
      <w:pPr>
        <w:keepNext/>
        <w:pStyle w:val="Para 07"/>
        <w:keepLines w:val="on"/>
      </w:pPr>
      <w:r>
        <w:t>Lợi nhuận thị trườngj=(Chỉ sốj- Chỉ sốj-1+ Cổ tứcj)/Chỉ sốj-1</w:t>
      </w:r>
      <w:bookmarkEnd w:id="1249"/>
    </w:p>
    <w:p>
      <w:pPr>
        <w:pStyle w:val="Para 04"/>
        <w:keepLines w:val="on"/>
      </w:pPr>
      <w:r>
        <w:t>trong đó Chỉ sốj là mức của chỉ số vào cuối tháng j, và Cổ tứcj là cổ tức được trả cho các cổ phiếu trong chỉ số trong tháng j. Mặc dù S&amp;P 500 và NYSE Composite là những chỉ số được dùng phổ biến nhất cho cổ phiếu Mỹ, nhưng suy cho cùng chúng vẫn chỉ là những đại diện chưa hoàn hảo cho danh mục thị trường (market portfolio) trong CAPM — vốn được cho là phải bao gồm tất cả các tài sản.</w:t>
      </w:r>
    </w:p>
    <w:p>
      <w:pPr>
        <w:pStyle w:val="Para 04"/>
        <w:keepLines w:val="on"/>
      </w:pPr>
      <w:r>
        <w:t>Hình 8.1 vẽ đồ thị lợi nhuận hàng tháng của Microsoft so với lợi nhuận của chỉ số S&amp;P 500 từ tháng 1 năm 2019 đến tháng 12 năm 2023. Các thông số hồi quy như sau:</w:t>
      </w:r>
    </w:p>
    <w:p>
      <w:bookmarkStart w:id="1251" w:name="Figure_8_1_Microsoft_Versus_S_P"/>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1778000"/>
            <wp:effectExtent l="0" r="0" t="0" b="0"/>
            <wp:wrapTopAndBottom/>
            <wp:docPr id="71" name="c08f001.png" descr="c08f001.png"/>
            <wp:cNvGraphicFramePr>
              <a:graphicFrameLocks noChangeAspect="1"/>
            </wp:cNvGraphicFramePr>
            <a:graphic>
              <a:graphicData uri="http://schemas.openxmlformats.org/drawingml/2006/picture">
                <pic:pic>
                  <pic:nvPicPr>
                    <pic:cNvPr id="0" name="c08f001.png" descr="c08f001.png"/>
                    <pic:cNvPicPr/>
                  </pic:nvPicPr>
                  <pic:blipFill>
                    <a:blip r:embed="rId62"/>
                    <a:stretch>
                      <a:fillRect/>
                    </a:stretch>
                  </pic:blipFill>
                  <pic:spPr>
                    <a:xfrm>
                      <a:off x="0" y="0"/>
                      <a:ext cx="2451100" cy="1778000"/>
                    </a:xfrm>
                    <a:prstGeom prst="rect">
                      <a:avLst/>
                    </a:prstGeom>
                  </pic:spPr>
                </pic:pic>
              </a:graphicData>
            </a:graphic>
          </wp:anchor>
        </w:drawing>
      </w:r>
      <w:bookmarkEnd w:id="1251"/>
    </w:p>
    <w:p>
      <w:pPr>
        <w:keepNext/>
        <w:pStyle w:val="Para 38"/>
        <w:keepLines w:val="on"/>
      </w:pPr>
      <w:r>
        <w:t>Hình 8.1 Microsoft so với S&amp;P 500 từ 2019 đến 2023</w:t>
      </w:r>
    </w:p>
    <w:p>
      <w:pPr>
        <w:numPr>
          <w:ilvl w:val="1"/>
          <w:numId w:val="54"/>
        </w:numPr>
        <w:pStyle w:val="Para 18"/>
        <w:keepLines w:val="on"/>
      </w:pPr>
      <w:r>
        <w:t>Độ dốc của hồi quy = 0,88. Đây là beta của Microsoft, dựa trên lợi nhuận hàng tháng từ 2019 đến 2023. Nếu dùng một khoảng thời gian khác để hồi quy hoặc khoảng thời gian lợi nhuận khác (hàng tuần hoặc hàng ngày) cho cùng giai đoạn, có thể sẽ cho ra một beta khác.</w:t>
      </w:r>
    </w:p>
    <w:p>
      <w:pPr>
        <w:numPr>
          <w:ilvl w:val="1"/>
          <w:numId w:val="54"/>
        </w:numPr>
        <w:pStyle w:val="Para 18"/>
        <w:keepLines w:val="on"/>
      </w:pPr>
      <w:r>
        <w:t>Hệ số chặn (intercept) của hồi quy = 1,30%. Đây là thước đo hiệu suất của Microsoft khi so với Rf (1 − β). Lãi suất phi rủi ro hàng tháng (vì lợi nhuận dùng trong hồi quy là lợi nhuận hàng tháng) trong giai đoạn 2019–2023 trung bình là 0,1%, dẫn đến ước tính hiệu suất như sau:</w:t>
      </w:r>
    </w:p>
    <w:p>
      <w:bookmarkStart w:id="1252" w:name="Rf_1___bj__0_1__1___0_88__0_012"/>
      <w:pPr>
        <w:keepNext/>
        <w:pStyle w:val="Para 07"/>
        <w:keepLines w:val="on"/>
      </w:pPr>
      <w:r>
        <w:t>Rf(1−βj)=0,1%(1−0,88)=0,012%Hệ số chặn−Rf(1−βj)=1,30%−0,015%=1,288%</w:t>
      </w:r>
      <w:bookmarkEnd w:id="1252"/>
    </w:p>
    <w:p>
      <w:pPr>
        <w:pStyle w:val="Para 04"/>
        <w:keepLines w:val="on"/>
      </w:pPr>
      <w:r>
        <w:t>Phân tích này cho thấy Microsoft đã hoạt động tốt hơn kỳ vọng 1,29%, khi kỳ vọng được dựa trên CAPM, tính theo tháng trong giai đoạn từ tháng 1 năm 2019 đến tháng 12 năm 2023. Điều này dẫn đến lợi nhuận vượt trội (excess return) hàng năm khoảng 16,56%.</w:t>
      </w:r>
    </w:p>
    <w:p>
      <w:pPr>
        <w:pStyle w:val="Para 18"/>
        <w:keepLines w:val="on"/>
      </w:pPr>
      <w:r>
        <w:rPr>
          <w:rStyle w:val="Text26"/>
        </w:rPr>
        <w:bookmarkStart w:id="1253" w:name="Page_193"/>
        <w:t/>
        <w:bookmarkEnd w:id="1253"/>
      </w:r>
      <w:r>
        <w:t xml:space="preserve"> </w:t>
      </w:r>
    </w:p>
    <w:p>
      <w:bookmarkStart w:id="1254" w:name="Annualized_excess_return__1_Mont"/>
      <w:pPr>
        <w:keepNext/>
        <w:pStyle w:val="Para 07"/>
        <w:keepLines w:val="on"/>
      </w:pPr>
      <w:r>
        <w:t>Lợi nhuận vượt trội hàng năm=(1+Lợi nhuận vượt trội hàng tháng)12−1=(1+.01288)12−1=16,60%</w:t>
      </w:r>
      <w:bookmarkEnd w:id="1254"/>
    </w:p>
    <w:p>
      <w:pPr>
        <w:pStyle w:val="Para 04"/>
        <w:keepLines w:val="on"/>
      </w:pPr>
      <w:r>
        <w:t>Tuy nhiên, cần lưu ý rằng đây hoàn toàn là phân tích nhìn lại quá khứ (post-mortem), và không có nghĩa là Microsoft sẽ là một khoản đầu tư tốt trong tương lai.</w:t>
      </w:r>
    </w:p>
    <w:p>
      <w:pPr>
        <w:pStyle w:val="Para 04"/>
        <w:keepLines w:val="on"/>
      </w:pPr>
      <w:r>
        <w:t>Thước đo hiệu suất này cũng không cho biết phần nào của lợi nhuận vượt trội đến từ hiệu suất của toàn bộ ngành (phần mềm) và phần nào là đặc thù của riêng công ty. Để phân tách được điều đó, chúng ta cần tính lợi nhuận vượt trội trong cùng giai đoạn cho các công ty khác trong ngành phần mềm rồi so sánh với lợi nhuận vượt trội của Microsoft. Phần chênh lệch sau đó sẽ được quy cho các hành động đặc thù của công ty. Ví dụ trong trường hợp này, lợi nhuận vượt trội hàng năm trung bình của các công ty phần mềm khác trong giai đoạn 2019–2023 là 1,15%, cho thấy thành phần đặc thù của công ty trong hiệu suất của Microsoft là 15,45% [alpha Jensen đặc thù công ty = 16,60% − 1,15% = 15,45%].</w:t>
      </w:r>
    </w:p>
    <w:p>
      <w:pPr>
        <w:numPr>
          <w:ilvl w:val="0"/>
          <w:numId w:val="54"/>
        </w:numPr>
        <w:pStyle w:val="Para 18"/>
        <w:keepLines w:val="on"/>
      </w:pPr>
      <w:r>
        <w:t>R-squared của hồi quy = 53,37%. Thống kê này cho thấy 53,4% rủi ro (phương sai) của Microsoft đến từ các nguồn thị trường, và phần còn lại 46,6% đến từ các thành phần đặc thù của công ty. Rủi ro sau này có thể đa dạng hóa được (diversifiable), và do đó sẽ không được đền đáp bằng lợi nhuận kỳ vọng cao hơn. R-squared của Microsoft cao hơn R-squared trung vị của các công ty niêm yết trên Sở Giao dịch Chứng khoán New York, vốn vào khoảng 25% vào năm 2023.</w:t>
      </w:r>
    </w:p>
    <w:p>
      <w:pPr>
        <w:numPr>
          <w:ilvl w:val="0"/>
          <w:numId w:val="54"/>
        </w:numPr>
        <w:pStyle w:val="Para 18"/>
        <w:keepLines w:val="on"/>
      </w:pPr>
      <w:r>
        <w:t>Sai số chuẩn (standard error) của ước lượng beta = 0,11. Thống kê này ngụ ý rằng beta thực của Microsoft có thể nằm trong khoảng từ 0,77 đến 0,99 (lấy ước lượng beta 0,56 trừ và cộng một sai số chuẩn) với độ tin cậy 67%, và từ 0,66 đến 1,10 (lấy ước lượng beta 0,56 trừ và cộng hai sai số chuẩn) với độ tin cậy 95%. Mặc dù những khoảng này có vẻ rộng, nhưng chúng còn rộng hơn nhiều đối với các công ty Mỹ khác (nhỏ hơn, rủi ro hơn). Điều này cho thấy chúng ta nên thận trọng khi xem xét các ước lượng beta từ hồi quy.</w:t>
      </w:r>
    </w:p>
    <w:p>
      <w:pPr>
        <w:pStyle w:val="Para 11"/>
      </w:pPr>
      <w:r>
        <w:rPr>
          <w:rStyle w:val="Text26"/>
        </w:rPr>
        <w:bookmarkStart w:id="1255" w:name="Page_194"/>
        <w:t/>
        <w:bookmarkEnd w:id="1255"/>
      </w:r>
      <w:r>
        <w:t xml:space="preserve"> </w:t>
      </w:r>
    </w:p>
    <w:p>
      <w:bookmarkStart w:id="1256" w:name="Using_a_Service_Beta__Most_of_us"/>
      <w:pPr>
        <w:pStyle w:val="Para 21"/>
      </w:pPr>
      <w:r>
        <w:t>Sử dụng Beta từ Dịch vụ</w:t>
      </w:r>
      <w:bookmarkEnd w:id="1256"/>
    </w:p>
    <w:p>
      <w:pPr>
        <w:pStyle w:val="Para 03"/>
      </w:pPr>
      <w:r>
        <w:t>Hầu hết những người dùng beta đều lấy chúng từ một dịch vụ ước lượng; Merrill Lynch, Barra, Value Line, Standard &amp; Poor's, Morningstar và Bloomberg là một số dịch vụ nổi tiếng. Tất cả các dịch vụ này đều bắt đầu từ beta hồi quy vừa mô tả rồi điều chỉnh chúng để phản ánh những gì họ cho là ước lượng tốt hơn về rủi ro tương lai. Mặc dù nhiều dịch vụ trong số này không tiết lộ quy trình ước lượng của mình, nhưng Bloomberg là một ngoại lệ. Hình 8.2 là trang tính beta của Bloomberg cho Microsoft, dùng cùng giai đoạn với hồi quy của chúng ta (tháng 1 năm 2019 đến tháng 12 năm 2023).</w:t>
      </w:r>
    </w:p>
    <w:p>
      <w:bookmarkStart w:id="1259" w:name="Figure_8_2_Beta_Estimate_for_Mic"/>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876800" cy="3263900"/>
            <wp:effectExtent l="0" r="0" t="0" b="0"/>
            <wp:wrapTopAndBottom/>
            <wp:docPr id="72" name="c08f002.jpg" descr="Screenshot depicting the beta calculation page for Microsoft, using the same period as regression from January 2019 to December 2023."/>
            <wp:cNvGraphicFramePr>
              <a:graphicFrameLocks noChangeAspect="1"/>
            </wp:cNvGraphicFramePr>
            <a:graphic>
              <a:graphicData uri="http://schemas.openxmlformats.org/drawingml/2006/picture">
                <pic:pic>
                  <pic:nvPicPr>
                    <pic:cNvPr id="0" name="c08f002.jpg" descr="Screenshot depicting the beta calculation page for Microsoft, using the same period as regression from January 2019 to December 2023."/>
                    <pic:cNvPicPr/>
                  </pic:nvPicPr>
                  <pic:blipFill>
                    <a:blip r:embed="rId63"/>
                    <a:stretch>
                      <a:fillRect/>
                    </a:stretch>
                  </pic:blipFill>
                  <pic:spPr>
                    <a:xfrm>
                      <a:off x="0" y="0"/>
                      <a:ext cx="4876800" cy="3263900"/>
                    </a:xfrm>
                    <a:prstGeom prst="rect">
                      <a:avLst/>
                    </a:prstGeom>
                  </pic:spPr>
                </pic:pic>
              </a:graphicData>
            </a:graphic>
          </wp:anchor>
        </w:drawing>
      </w:r>
      <w:bookmarkEnd w:id="1259"/>
    </w:p>
    <w:p>
      <w:pPr>
        <w:pStyle w:val="Para 22"/>
        <w:keepLines w:val="on"/>
      </w:pPr>
      <w:r>
        <w:t>Hình 8.2 Ước lượng Beta cho Microsoft—2019–2023</w:t>
      </w:r>
    </w:p>
    <w:p>
      <w:pPr>
        <w:keepNext/>
        <w:pStyle w:val="Para 22"/>
        <w:keepLines w:val="on"/>
      </w:pPr>
      <w:r>
        <w:t>Nguồn: Bản quyền 2001 Bloomberg LP. Được in lại với sự cho phép. Mọi quyền được bảo lưu.</w:t>
      </w:r>
    </w:p>
    <w:p>
      <w:pPr>
        <w:pStyle w:val="Para 03"/>
      </w:pPr>
      <w:r>
        <w:t>Mặc dù giai đoạn được dùng giống hệt với giai đoạn trong hồi quy trước đó của chúng ta, vẫn có những khác biệt tinh tế giữa hồi quy này và hồi quy trong Hình 8.1. Thứ nhất, Bloomberg sử dụng phần tăng giá của cổ phiếu và chỉ số thị trường khi ước lượng beta và bỏ qua cổ tức.4 Việc bỏ qua cổ tức không tạo ra nhiều khác biệt đối với một công ty như Microsoft, nhưng nó có thể tạo ra khác biệt đối với một công ty hoặc không trả cổ tức, hoặc trả cổ tức cao hơn đáng kể so với thị trường. Điều này giải thích những khác biệt nhẹ ở hệ số chặn (1,33% so với 1,30%), beta (0,876 trên Bloomberg so với 0,878 trong hồi quy của chúng ta) và R-squared (54,4% trên Bloomberg so với 53,4% trong hồi quy của chúng ta).</w:t>
      </w:r>
    </w:p>
    <w:p>
      <w:pPr>
        <w:pStyle w:val="Para 03"/>
      </w:pPr>
      <w:r>
        <w:t>Thứ hai, Bloomberg cũng tính cái mà họ gọi là beta điều chỉnh (adjusted beta), được ước lượng như sau:</w:t>
      </w:r>
    </w:p>
    <w:p>
      <w:bookmarkStart w:id="1261" w:name="Adjusted_beta_Raw_beta_0_67__1_0"/>
      <w:pPr>
        <w:keepNext/>
        <w:pStyle w:val="Para 09"/>
        <w:keepLines w:val="on"/>
      </w:pPr>
      <w:r>
        <w:t>Beta điều chỉnh = Beta thô (0,67) + 1,00 (0,33) = 0,876 (0,67) + 0,33 = 0,917</w:t>
      </w:r>
      <w:bookmarkEnd w:id="1261"/>
    </w:p>
    <w:p>
      <w:pPr>
        <w:pStyle w:val="Para 03"/>
      </w:pPr>
      <w:r>
        <w:t>Các trọng số này (0,67 và 0,33) không thay đổi giữa các cổ phiếu, và quá trình này đẩy tất cả beta ước tính về phía 1. Hầu hết các dịch vụ đều sử dụng quy trình tương tự để điều chỉnh beta về phía 1. Khi làm vậy, họ dựa trên bằng chứng thực nghiệm cho thấy beta của hầu hết các công ty, theo thời gian, có xu hướng dịch chuyển về phía beta trung bình, tức là 1. Điều này có thể được giải thích bởi thực tế rằng các công ty trở nên đa dạng hóa hơn trong danh mục sản phẩm và cơ sở khách hàng khi họ phát triển lớn hơn. Trong khi chúng tôi đồng ý với quan điểm rằng beta dịch chuyển về phía 1 theo thời gian, quy trình gán trọng số mà hầu hết các dịch vụ sử dụng có vẻ tùy tiện và không đặc biệt hữu ích đối với chúng tôi.</w:t>
      </w:r>
    </w:p>
    <w:p>
      <w:bookmarkStart w:id="1263" w:name="Estimation_Choices_for_Beta_Esti"/>
      <w:pPr>
        <w:pStyle w:val="Para 21"/>
      </w:pPr>
      <w:r>
        <w:t>Các Lựa Chọn Ước Lượng cho Việc Ước Lượng Beta</w:t>
      </w:r>
      <w:bookmarkEnd w:id="1263"/>
    </w:p>
    <w:p>
      <w:pPr>
        <w:pStyle w:val="Para 03"/>
      </w:pPr>
      <w:r>
        <w:t>Có ba quyết định phải được đưa ra khi thiết lập phép hồi quy được mô tả ở trên. Đầu tiên là độ dài của giai đoạn ước lượng. Hầu hết các ước lượng beta, bao gồm cả của Value Line và Standard &amp; Poor's, sử dụng dữ liệu năm năm, trong khi Bloomberg sử dụng dữ liệu hai năm. Sự đánh đổi rất đơn giản: Giai đoạn ước lượng dài hơn cung cấp nhiều dữ liệu hơn, nhưng bản thân công ty có thể đã thay đổi về đặc điểm rủi ro trong khoảng thời gian đó. Microsoft, trong giai đoạn phân tích của chúng tôi, đã mua lại cả Rockwell và McDonnell Douglas, thay đổi danh mục kinh doanh và các đặc điểm rủi ro cơ bản của mình.</w:t>
      </w:r>
    </w:p>
    <w:p>
      <w:pPr>
        <w:pStyle w:val="Para 03"/>
      </w:pPr>
      <w:r>
        <w:t>Vấn đề ước lượng thứ hai liên quan đến khoảng thời gian tính lợi nhuận. Lợi nhuận trên cổ phiếu có sẵn theo cơ sở hàng năm, hàng tháng, hàng tuần, hàng ngày và thậm chí trong ngày. Sử dụng lợi nhuận hàng ngày hoặc trong ngày làm tăng số lượng quan sát trong phép hồi quy, nhưng nó khiến quá trình ước lượng bị sai lệch đáng kể trong các ước lượng beta liên quan đến việc không giao dịch5. Ví dụ, beta được ước lượng cho các công ty nhỏ, những công ty dễ bị ảnh hưởng bởi việc không giao dịch hơn, bị sai lệch xuống khi sử dụng lợi nhuận hàng ngày. Sử dụng lợi nhuận hàng tuần hoặc hàng tháng có thể giảm đáng kể sai lệch do không giao dịch.6 Trong trường hợp này, sử dụng lợi nhuận hàng tuần trong hai năm mang lại ước lượng beta cho Microsoft chỉ là 0,82, trong khi ước lượng beta hàng tháng trong cùng giai đoạn là 0,88.</w:t>
      </w:r>
    </w:p>
    <w:p>
      <w:pPr>
        <w:pStyle w:val="Para 03"/>
      </w:pPr>
      <w:r>
        <w:t>Vấn đề ước lượng thứ ba liên quan đến việc lựa chọn chỉ số thị trường được sử dụng trong phép hồi quy. Thực tiễn tiêu chuẩn được hầu hết các dịch vụ ước lượng beta sử dụng là ước lượng beta của một công ty so với một chỉ số của thị trường mà cổ phiếu của nó được giao dịch. Do đó, beta của cổ phiếu Đức được ước lượng so với chỉ số Frankfurt DAX, cổ phiếu Anh so với FTSE, cổ phiếu Nhật so với Nikkei, và cổ phiếu Mỹ so với NYSE Composite hoặc S&amp;P 500. Trong khi thực tiễn này có thể mang lại một ước lượng là thước đo rủi ro hợp lý cho nhà đầu tư trong nước, nó có thể không phải là cách tiếp cận tốt nhất cho nhà đầu tư quốc tế hoặc xuyên biên giới, những người sẽ được phục vụ tốt hơn với beta được ước lượng so với một chỉ số quốc tế. Ví dụ, beta của Microsoft trong giai đoạn 2019 đến 2023 được ước lượng so với chỉ số Morgan Stanley Capital International (MSCI) bao gồm cổ phiếu từ các thị trường toàn cầu khác nhau, mang lại giá trị là 0,846.</w:t>
      </w:r>
    </w:p>
    <w:p>
      <w:pPr>
        <w:pStyle w:val="Para 03"/>
      </w:pPr>
      <w:r>
        <w:t>Trong phạm vi mà các dịch vụ khác nhau sử dụng các giai đoạn ước lượng khác nhau, sử dụng các chỉ số thị trường khác nhau, và điều chỉnh beta hồi quy theo cách khác nhau, họ thường sẽ cung cấp các ước lượng beta khác nhau cho cùng một công ty tại cùng một thời điểm. Trong khi những khác biệt beta này gây lo ngại, hãy lưu ý rằng ước lượng beta được cung cấp bởi mỗi dịch vụ này đi kèm với một sai số chuẩn, và rất có thể tất cả các beta được báo cáo cho một công ty đều nằm trong phạm vi sai số chuẩn từ các phép hồi quy.</w:t>
      </w:r>
    </w:p>
    <w:p>
      <w:bookmarkStart w:id="1268" w:name="Historical_Beta_Estimation_for_C"/>
      <w:pPr>
        <w:pStyle w:val="Para 21"/>
      </w:pPr>
      <w:r>
        <w:t>Ước Lượng Beta Lịch Sử cho Các Công Ty tại Các Thị Trường Nhỏ Hơn (hoặc Mới Nổi)</w:t>
      </w:r>
      <w:bookmarkEnd w:id="1268"/>
    </w:p>
    <w:p>
      <w:pPr>
        <w:pStyle w:val="Para 03"/>
      </w:pPr>
      <w:r>
        <w:t>Quy trình ước lượng beta tại các thị trường có ít cổ phiếu niêm yết hơn không khác gì quy trình được mô tả ở trên, nhưng các lựa chọn ước lượng về khoảng thời gian tính lợi nhuận, chỉ số thị trường, và giai đoạn tính lợi nhuận có thể tạo ra sự khác biệt lớn hơn nhiều trong ước lượng.</w:t>
      </w:r>
    </w:p>
    <w:p>
      <w:pPr>
        <w:numPr>
          <w:ilvl w:val="0"/>
          <w:numId w:val="55"/>
        </w:numPr>
        <w:pStyle w:val="Para 01"/>
      </w:pPr>
      <w:r>
        <w:t>Khi tính thanh khoản bị hạn chế, như thường xảy ra với nhiều cổ phiếu tại các thị trường mới nổi, beta được ước lượng bằng cách sử dụng các khoảng thời gian tính lợi nhuận ngắn có xu hướng bị sai lệch do việc không có giao dịch. Trên thực tế, sử dụng lợi nhuận hàng ngày hoặc thậm chí hàng tuần tại các thị trường này sẽ có xu hướng mang lại beta không phải là thước đo tốt cho rủi ro thị trường thực sự của công ty.</w:t>
      </w:r>
    </w:p>
    <w:p>
      <w:pPr>
        <w:numPr>
          <w:ilvl w:val="0"/>
          <w:numId w:val="55"/>
        </w:numPr>
        <w:pStyle w:val="Para 01"/>
      </w:pPr>
      <w:r>
        <w:t>Tại nhiều thị trường mới nổi, cả các công ty được phân tích và bản thân thị trường đều thay đổi đáng kể trong khoảng thời gian ngắn. Sử dụng năm năm lợi nhuận, như chúng tôi đã làm cho Microsoft, cho một phép hồi quy có thể mang lại beta cho một công ty (và thị trường) ít giống với công ty (và thị trường) như hiện tại.</w:t>
      </w:r>
    </w:p>
    <w:p>
      <w:pPr>
        <w:numPr>
          <w:ilvl w:val="0"/>
          <w:numId w:val="55"/>
        </w:numPr>
        <w:pStyle w:val="Para 01"/>
      </w:pPr>
      <w:r>
        <w:t>Cuối cùng, các chỉ số đo lường lợi nhuận thị trường tại nhiều thị trường nhỏ hơn có xu hướng bị chi phối bởi một vài công ty lớn. Ví dụ, Bovespa (chỉ số của Brazil) bị chi phối trong nhiều năm bởi Telebras, công ty chiếm gần một nửa chỉ số. Đây cũng không chỉ là vấn đề của các thị trường mới nổi. DAX, chỉ số cổ phiếu cho cổ phiếu Đức, bị chi phối bởi Allianz, Deutsche Bank, Siemens, và Daimler. Khi một chỉ số bị chi phối bởi một hoặc một vài công ty, beta được ước lượng so với chỉ số đó khó có thể là thước đo thực sự cho rủi ro thị trường. Trên thực tế, beta có khả năng gần bằng 1 đối với các công ty lớn chi phối chỉ số và biến động mạnh đối với tất cả các công ty khác.</w:t>
      </w:r>
    </w:p>
    <w:p>
      <w:pPr>
        <w:pStyle w:val="Para 11"/>
      </w:pPr>
      <w:r>
        <w:t/>
        <w:t xml:space="preserve"> </w:t>
      </w:r>
    </w:p>
    <w:p>
      <w:bookmarkStart w:id="1270" w:name="Index_Domination_and_Beta_Estima"/>
      <w:bookmarkStart w:id="1271" w:name="Index_Domination_and_Beta_Estima_1"/>
      <w:pPr>
        <w:keepNext/>
        <w:pStyle w:val="Para 27"/>
        <w:keepLines w:val="on"/>
      </w:pPr>
      <w:r>
        <w:t>Sự Chi Phối của Chỉ Số và Các Ước Lượng Beta</w:t>
      </w:r>
      <w:bookmarkEnd w:id="1270"/>
      <w:bookmarkEnd w:id="1271"/>
    </w:p>
    <w:p>
      <w:pPr>
        <w:pStyle w:val="Para 16"/>
        <w:keepLines w:val="on"/>
      </w:pPr>
      <w:r>
        <w:t>Có một số chỉ số bị chi phối bởi một hoặc một vài cổ phiếu. Một trong những trường hợp nổi bật nhất là Sở Giao dịch Chứng khoán Helsinki (HEX) vào cuối những năm 1990. Nokia, gã khổng lồ viễn thông, chiếm 75 phần trăm chỉ số Helsinki về giá trị thị trường. Không ngạc nhiên, một phép hồi quy của Nokia so với HEX mang lại kết quả được hiển thị trong Hình 8.3.</w:t>
      </w:r>
    </w:p>
    <w:p>
      <w:bookmarkStart w:id="1273" w:name="Figure_8_3_Beta_Estimate_for_Nok"/>
      <w:pPr>
        <w:pStyle w:val="Para 66"/>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876800" cy="3225800"/>
            <wp:effectExtent l="0" r="0" t="0" b="0"/>
            <wp:wrapTopAndBottom/>
            <wp:docPr id="73" name="c08f003.jpg" descr="Screenshot depicting the beta calculation page for Nokia against the H E X, using the same period as regression."/>
            <wp:cNvGraphicFramePr>
              <a:graphicFrameLocks noChangeAspect="1"/>
            </wp:cNvGraphicFramePr>
            <a:graphic>
              <a:graphicData uri="http://schemas.openxmlformats.org/drawingml/2006/picture">
                <pic:pic>
                  <pic:nvPicPr>
                    <pic:cNvPr id="0" name="c08f003.jpg" descr="Screenshot depicting the beta calculation page for Nokia against the H E X, using the same period as regression."/>
                    <pic:cNvPicPr/>
                  </pic:nvPicPr>
                  <pic:blipFill>
                    <a:blip r:embed="rId64"/>
                    <a:stretch>
                      <a:fillRect/>
                    </a:stretch>
                  </pic:blipFill>
                  <pic:spPr>
                    <a:xfrm>
                      <a:off x="0" y="0"/>
                      <a:ext cx="4876800" cy="3225800"/>
                    </a:xfrm>
                    <a:prstGeom prst="rect">
                      <a:avLst/>
                    </a:prstGeom>
                  </pic:spPr>
                </pic:pic>
              </a:graphicData>
            </a:graphic>
          </wp:anchor>
        </w:drawing>
      </w:r>
      <w:bookmarkEnd w:id="1273"/>
    </w:p>
    <w:p>
      <w:pPr>
        <w:pStyle w:val="Para 62"/>
        <w:keepLines w:val="on"/>
      </w:pPr>
      <w:r>
        <w:t>Hình 8.3 Ước Lượng Beta cho Nokia</w:t>
      </w:r>
    </w:p>
    <w:p>
      <w:pPr>
        <w:keepNext/>
        <w:pStyle w:val="Para 62"/>
        <w:keepLines w:val="on"/>
      </w:pPr>
      <w:r>
        <w:t>Nguồn: Bản quyền 2001 Bloomberg LP. Được tái bản với sự cho phép. Mọi quyền được bảo lưu.</w:t>
      </w:r>
    </w:p>
    <w:p>
      <w:pPr>
        <w:pStyle w:val="Para 16"/>
        <w:keepLines w:val="on"/>
      </w:pPr>
      <w:r>
        <w:t>Phép hồi quy trông có vẻ hoàn hảo. Trên thực tế, vấn đề nhiễu mà chúng tôi đã lưu ý với Microsoft, phát sinh từ các sai số chuẩn cao, biến mất. Ước lượng beta có sai số chuẩn là 0,03, nhưng kết quả là đánh lừa. Sai số chuẩn thấp là kết quả của việc hồi quy Nokia với chính nó, vì nó chi phối chỉ số. Beta là vô nghĩa đối với một nhà đầu tư điển hình vào Nokia, người có khả năng đa dạng hóa, nếu không phải toàn cầu, thì ít nhất là trên các cổ phiếu châu Âu. Tệ hơn nữa, beta của tất cả các cổ phiếu Phần Lan khác so với HEX trở thành beta được ước lượng so với Nokia. Trên thực tế, beta của mọi cổ phiếu Phần Lan khác tại thời điểm hồi quy này đều nhỏ hơn 1. Bạn có thể hỏi, làm sao điều này có thể xảy ra nếu beta trung bình là 1? Chính beta trung bình có trọng số là 1, và nếu Nokia (chiếm ba phần tư chỉ số) có beta lớn hơn 1 (đúng là như vậy), thì mọi cổ phiếu khác trong chỉ số đều có thể có beta nhỏ hơn 1.</w:t>
      </w:r>
    </w:p>
    <w:p>
      <w:pPr>
        <w:pStyle w:val="Para 11"/>
      </w:pPr>
      <w:r>
        <w:rPr>
          <w:rStyle w:val="Text26"/>
        </w:rPr>
        <w:bookmarkStart w:id="1274" w:name="Page_197"/>
        <w:t/>
        <w:bookmarkEnd w:id="1274"/>
      </w:r>
      <w:r>
        <w:t xml:space="preserve"> </w:t>
      </w:r>
    </w:p>
    <w:p>
      <w:pPr>
        <w:pStyle w:val="Para 11"/>
      </w:pPr>
      <w:r>
        <w:t/>
        <w:t xml:space="preserve"> </w:t>
      </w:r>
    </w:p>
    <w:p>
      <w:bookmarkStart w:id="1275" w:name="ILLUSTRATION_8_2__Estimating_a_B"/>
      <w:bookmarkStart w:id="1276" w:name="ILLUSTRATION_8_2__Estimating_a_B_1"/>
      <w:pPr>
        <w:keepNext/>
        <w:pStyle w:val="Para 19"/>
        <w:keepLines w:val="on"/>
      </w:pPr>
      <w:r>
        <w:t>MINH HỌA 8.2: Ước Lượng Beta cho Enka Insaat (Thổ Nhĩ Kỳ)</w:t>
      </w:r>
      <w:bookmarkEnd w:id="1275"/>
      <w:bookmarkEnd w:id="1276"/>
    </w:p>
    <w:p>
      <w:pPr>
        <w:pStyle w:val="Para 04"/>
        <w:keepLines w:val="on"/>
      </w:pPr>
      <w:r>
        <w:t>Enka là một công ty xây dựng tại Thổ Nhĩ Kỳ. Được tái bản trong Hình 8.4 là ước lượng beta cho Enka từ tháng 3 năm 2022 đến tháng 3 năm 2024 (sử dụng lợi nhuận hàng tuần) thu được từ một dịch vụ beta (Bloomberg). Lưu ý rằng chỉ số được sử dụng là BIST 100, một chỉ số gồm 100 công ty lớn của Thổ Nhĩ Kỳ. Dựa trên phép hồi quy này, chúng tôi đi đến phương trình sau:</w:t>
      </w:r>
    </w:p>
    <w:p>
      <w:bookmarkStart w:id="1279" w:name="ReturnsTitan_Cement__0_06__0_69"/>
      <w:pPr>
        <w:keepNext/>
        <w:pStyle w:val="Para 07"/>
        <w:keepLines w:val="on"/>
      </w:pPr>
      <w:r>
        <w:t>ReturnsTitan Cement =0,06%+0,69 ReturnsBIST     R-squared=28%                   [0,11]</w:t>
      </w:r>
      <w:bookmarkEnd w:id="1279"/>
    </w:p>
    <w:p>
      <w:bookmarkStart w:id="1280" w:name="Figure_8_4_Beta_Estimate_for_Enk"/>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876800" cy="3276600"/>
            <wp:effectExtent l="0" r="0" t="0" b="0"/>
            <wp:wrapTopAndBottom/>
            <wp:docPr id="74" name="c08f004.jpg" descr="Screenshot depicting the beta estimate page for Enka, using weekly returns from March 2022 to March 2024."/>
            <wp:cNvGraphicFramePr>
              <a:graphicFrameLocks noChangeAspect="1"/>
            </wp:cNvGraphicFramePr>
            <a:graphic>
              <a:graphicData uri="http://schemas.openxmlformats.org/drawingml/2006/picture">
                <pic:pic>
                  <pic:nvPicPr>
                    <pic:cNvPr id="0" name="c08f004.jpg" descr="Screenshot depicting the beta estimate page for Enka, using weekly returns from March 2022 to March 2024."/>
                    <pic:cNvPicPr/>
                  </pic:nvPicPr>
                  <pic:blipFill>
                    <a:blip r:embed="rId65"/>
                    <a:stretch>
                      <a:fillRect/>
                    </a:stretch>
                  </pic:blipFill>
                  <pic:spPr>
                    <a:xfrm>
                      <a:off x="0" y="0"/>
                      <a:ext cx="4876800" cy="3276600"/>
                    </a:xfrm>
                    <a:prstGeom prst="rect">
                      <a:avLst/>
                    </a:prstGeom>
                  </pic:spPr>
                </pic:pic>
              </a:graphicData>
            </a:graphic>
          </wp:anchor>
        </w:drawing>
      </w:r>
      <w:bookmarkEnd w:id="1280"/>
    </w:p>
    <w:p>
      <w:pPr>
        <w:pStyle w:val="Para 38"/>
        <w:keepLines w:val="on"/>
      </w:pPr>
      <w:r>
        <w:t>Hình 8.4 Ước Lượng Beta cho Enka: BIST 100 (Chỉ Số Thổ Nhĩ Kỳ)</w:t>
      </w:r>
    </w:p>
    <w:p>
      <w:pPr>
        <w:keepNext/>
        <w:pStyle w:val="Para 38"/>
        <w:keepLines w:val="on"/>
      </w:pPr>
      <w:r>
        <w:t>Nguồn: Bản quyền 2001 Bloomberg LP. Được tái bản với sự cho phép. Mọi quyền được bảo lưu.</w:t>
      </w:r>
    </w:p>
    <w:p>
      <w:pPr>
        <w:pStyle w:val="Para 04"/>
        <w:keepLines w:val="on"/>
      </w:pPr>
      <w:r>
        <w:t>Beta cho Enka, dựa trên phép hồi quy này, là 0,69. Sai số chuẩn của ước lượng, được hiển thị trong ngoặc bên dưới, là 0,11, nhưng những lưu ý về các chỉ số hẹp cũng áp dụng cho BIST, chỉ số chỉ có 100 cổ phiếu Thổ Nhĩ Kỳ trong đó.</w:t>
      </w:r>
    </w:p>
    <w:p>
      <w:pPr>
        <w:pStyle w:val="Para 04"/>
        <w:keepLines w:val="on"/>
      </w:pPr>
      <w:r>
        <w:t>Dựa trên các lập luận trong phần trước, nếu nhà đầu tư biên của Enka thực sự là một nhà đầu tư đa dạng hóa trên các công ty châu Âu, thì chỉ số phù hợp sẽ là một chỉ số cổ phiếu châu Âu. Tính toán beta của Bloomberg với chỉ số STXE European được báo cáo trong Hình 8.5. Lưu ý sự giảm xuống của beta còn 0,29 và sự tăng lên của sai số chuẩn của ước lượng beta lên 0,30.</w:t>
      </w:r>
    </w:p>
    <w:p>
      <w:bookmarkStart w:id="1282" w:name="Figure_8_5_Beta_Estimate_for_Enk"/>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876800" cy="3327400"/>
            <wp:effectExtent l="0" r="0" t="0" b="0"/>
            <wp:wrapTopAndBottom/>
            <wp:docPr id="75" name="c08f005.jpg" descr="Screenshot depicting the beta calculation page for Enka with the S T X E European index."/>
            <wp:cNvGraphicFramePr>
              <a:graphicFrameLocks noChangeAspect="1"/>
            </wp:cNvGraphicFramePr>
            <a:graphic>
              <a:graphicData uri="http://schemas.openxmlformats.org/drawingml/2006/picture">
                <pic:pic>
                  <pic:nvPicPr>
                    <pic:cNvPr id="0" name="c08f005.jpg" descr="Screenshot depicting the beta calculation page for Enka with the S T X E European index."/>
                    <pic:cNvPicPr/>
                  </pic:nvPicPr>
                  <pic:blipFill>
                    <a:blip r:embed="rId66"/>
                    <a:stretch>
                      <a:fillRect/>
                    </a:stretch>
                  </pic:blipFill>
                  <pic:spPr>
                    <a:xfrm>
                      <a:off x="0" y="0"/>
                      <a:ext cx="4876800" cy="3327400"/>
                    </a:xfrm>
                    <a:prstGeom prst="rect">
                      <a:avLst/>
                    </a:prstGeom>
                  </pic:spPr>
                </pic:pic>
              </a:graphicData>
            </a:graphic>
          </wp:anchor>
        </w:drawing>
      </w:r>
      <w:bookmarkEnd w:id="1282"/>
    </w:p>
    <w:p>
      <w:pPr>
        <w:pStyle w:val="Para 38"/>
        <w:keepLines w:val="on"/>
      </w:pPr>
      <w:r>
        <w:t>Hình 8.5 Ước Lượng Beta cho Enka: Chỉ Số STXE Euro 600</w:t>
      </w:r>
    </w:p>
    <w:p>
      <w:pPr>
        <w:keepNext/>
        <w:pStyle w:val="Para 38"/>
        <w:keepLines w:val="on"/>
      </w:pPr>
      <w:r>
        <w:t>Nguồn: Bản quyền 2001 Bloomberg LP. In lại với sự cho phép. Mọi quyền được bảo lưu.</w:t>
      </w:r>
    </w:p>
    <w:p>
      <w:pPr>
        <w:pStyle w:val="Para 04"/>
        <w:keepLines w:val="on"/>
      </w:pPr>
      <w:r>
        <w:t>Thực tế, nếu nhà đầu tư biên (marginal investor) đa dạng hóa trên toàn cầu, thì beta của Enka (cũng như beta của Microsoft trong Minh họa 8.1) lẽ ra phải được ước tính dựa trên một chỉ số toàn cầu. Sử dụng chỉ số toàn cầu của Morgan Stanley Capital International (MSCI), ta thu được beta hồi quy là 0,30 trong Hình 8.6 và sai số chuẩn của beta là 0,24.</w:t>
      </w:r>
    </w:p>
    <w:p>
      <w:pPr>
        <w:pStyle w:val="Para 11"/>
      </w:pPr>
      <w:r>
        <w:rPr>
          <w:rStyle w:val="Text26"/>
        </w:rPr>
        <w:bookmarkStart w:id="1284" w:name="Page_198"/>
        <w:t/>
        <w:bookmarkEnd w:id="1284"/>
      </w:r>
      <w:r>
        <w:t xml:space="preserve"> </w:t>
      </w:r>
    </w:p>
    <w:p>
      <w:bookmarkStart w:id="1285" w:name="Figure_8_6_Beta_Estimate_for_Enk"/>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876800" cy="3314700"/>
            <wp:effectExtent l="0" r="0" t="0" b="0"/>
            <wp:wrapTopAndBottom/>
            <wp:docPr id="76" name="c08f006.jpg" descr="Screenshot depicting the beta calculation page for Enka, using the Morgan Stanley Capital International (M S C I) global index."/>
            <wp:cNvGraphicFramePr>
              <a:graphicFrameLocks noChangeAspect="1"/>
            </wp:cNvGraphicFramePr>
            <a:graphic>
              <a:graphicData uri="http://schemas.openxmlformats.org/drawingml/2006/picture">
                <pic:pic>
                  <pic:nvPicPr>
                    <pic:cNvPr id="0" name="c08f006.jpg" descr="Screenshot depicting the beta calculation page for Enka, using the Morgan Stanley Capital International (M S C I) global index."/>
                    <pic:cNvPicPr/>
                  </pic:nvPicPr>
                  <pic:blipFill>
                    <a:blip r:embed="rId67"/>
                    <a:stretch>
                      <a:fillRect/>
                    </a:stretch>
                  </pic:blipFill>
                  <pic:spPr>
                    <a:xfrm>
                      <a:off x="0" y="0"/>
                      <a:ext cx="4876800" cy="3314700"/>
                    </a:xfrm>
                    <a:prstGeom prst="rect">
                      <a:avLst/>
                    </a:prstGeom>
                  </pic:spPr>
                </pic:pic>
              </a:graphicData>
            </a:graphic>
          </wp:anchor>
        </w:drawing>
      </w:r>
      <w:bookmarkEnd w:id="1285"/>
    </w:p>
    <w:p>
      <w:pPr>
        <w:pStyle w:val="Para 22"/>
        <w:keepLines w:val="on"/>
      </w:pPr>
      <w:r>
        <w:t>Hình 8.6 Ước tính Beta cho Enka: Chỉ số toàn cầu MSCI</w:t>
      </w:r>
    </w:p>
    <w:p>
      <w:pPr>
        <w:keepNext/>
        <w:pStyle w:val="Para 22"/>
        <w:keepLines w:val="on"/>
      </w:pPr>
      <w:r>
        <w:t>Nguồn: Bản quyền 2001 Bloomberg LP. In lại với sự cho phép. Mọi quyền được bảo lưu.</w:t>
      </w:r>
    </w:p>
    <w:p>
      <w:pPr>
        <w:pStyle w:val="Para 20"/>
      </w:pPr>
      <w:r>
        <w:rPr>
          <w:rStyle w:val="Text26"/>
        </w:rPr>
        <w:bookmarkStart w:id="1286" w:name="Page_199"/>
        <w:t/>
        <w:bookmarkEnd w:id="1286"/>
      </w:r>
      <w:r>
        <w:t xml:space="preserve"> </w:t>
      </w:r>
    </w:p>
    <w:p>
      <w:bookmarkStart w:id="1287" w:name="Estimating_the_Historical_Beta_f"/>
      <w:pPr>
        <w:pStyle w:val="Para 21"/>
      </w:pPr>
      <w:r>
        <w:t>Ước tính Beta lịch sử cho các công ty tư nhân</w:t>
      </w:r>
      <w:bookmarkEnd w:id="1287"/>
    </w:p>
    <w:p>
      <w:pPr>
        <w:pStyle w:val="Para 03"/>
      </w:pPr>
      <w:r>
        <w:t>Cách tiếp cận lịch sử để ước tính beta chỉ hiệu quả với những tài sản đã được giao dịch và có giá thị trường. Các công ty tư nhân không có lịch sử giá thị trường. Do đó, ta không thể ước tính beta hồi quy cho những công ty này. Tuy vậy, ta vẫn cần ước tính chi phí vốn cổ phần (cost of equity) và chi phí vốn (cost of capital) cho những công ty này.</w:t>
      </w:r>
    </w:p>
    <w:p>
      <w:pPr>
        <w:pStyle w:val="Para 03"/>
      </w:pPr>
      <w:r>
        <w:t>Bạn có thể lập luận rằng đây không phải là vấn đề nếu bạn không định giá các công ty tư nhân; nhưng bạn vẫn sẽ đối mặt với vấn đề này ngay cả khi định giá các công ty niêm yết công khai. Ví dụ, hãy xem xét các tình huống sau:</w:t>
      </w:r>
    </w:p>
    <w:p>
      <w:pPr>
        <w:numPr>
          <w:ilvl w:val="0"/>
          <w:numId w:val="56"/>
        </w:numPr>
        <w:pStyle w:val="Para 01"/>
      </w:pPr>
      <w:r>
        <w:t>Nếu bạn phải định giá một công ty tư nhân cho một đợt phát hành cổ phiếu lần đầu ra công chúng (initial public offering – IPO), bạn sẽ cần ước tính tỷ lệ chiết khấu (discount rate) cho việc định giá.</w:t>
      </w:r>
    </w:p>
    <w:p>
      <w:pPr>
        <w:numPr>
          <w:ilvl w:val="0"/>
          <w:numId w:val="56"/>
        </w:numPr>
        <w:pStyle w:val="Para 01"/>
      </w:pPr>
      <w:r>
        <w:t>Ngay cả sau khi một công ty đã niêm yết công khai, vẫn sẽ có một khoảng thời gian kéo dài tới hai năm mà dữ liệu chưa đủ để chạy hồi quy.</w:t>
      </w:r>
    </w:p>
    <w:p>
      <w:pPr>
        <w:numPr>
          <w:ilvl w:val="0"/>
          <w:numId w:val="56"/>
        </w:numPr>
        <w:pStyle w:val="Para 01"/>
      </w:pPr>
      <w:r>
        <w:t>Nếu bạn được yêu cầu định giá một bộ phận của một công ty niêm yết đang được rao bán, bạn sẽ không có giá trong quá khứ để dựa vào mà chạy hồi quy.</w:t>
      </w:r>
    </w:p>
    <w:p>
      <w:pPr>
        <w:numPr>
          <w:ilvl w:val="0"/>
          <w:numId w:val="56"/>
        </w:numPr>
        <w:pStyle w:val="Para 01"/>
      </w:pPr>
      <w:r>
        <w:t>Cuối cùng, nếu công ty đã trải qua tái cấu trúc đáng kể — thoái vốn (divestitures) hoặc tái cấp vốn (recapitalization) — trong thời gian gần đây, thì beta hồi quy trở nên vô nghĩa vì bản thân công ty đã thay đổi đặc điểm rủi ro của mình.</w:t>
      </w:r>
    </w:p>
    <w:p>
      <w:pPr>
        <w:pStyle w:val="Para 03"/>
      </w:pPr>
      <w:r>
        <w:t>Như vậy, beta hồi quy hoặc là không có sẵn, hoặc là vô nghĩa trong một số lượng đáng kể các trường hợp định giá.</w:t>
      </w:r>
    </w:p>
    <w:p>
      <w:pPr>
        <w:pStyle w:val="Para 03"/>
      </w:pPr>
      <w:r>
        <w:t>Một số nhà phân tích cho rằng định giá theo dòng tiền chiết khấu (discounted cash flow valuation) là không khả thi trong những tình huống này; thay vào đó, họ dùng các bội số (multiples). Những người khác lại đưa ra giả định về tỷ lệ chiết khấu dựa trên các quy tắc kinh nghiệm (rules of thumb). Cả hai cách đều không hấp dẫn. Phần tiếp theo sẽ phát triển một cách tiếp cận để ước tính beta đủ tổng quát để áp dụng cho tất cả những công ty này.</w:t>
      </w:r>
    </w:p>
    <w:p>
      <w:pPr>
        <w:pStyle w:val="Para 11"/>
      </w:pPr>
      <w:r>
        <w:t/>
        <w:t xml:space="preserve"> </w:t>
      </w:r>
    </w:p>
    <w:p>
      <w:bookmarkStart w:id="1290" w:name="Risk_xls__This_spreadsheet_allow"/>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77"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1290"/>
    </w:p>
    <w:p>
      <w:pPr>
        <w:pStyle w:val="Para 31"/>
        <w:keepLines w:val="on"/>
      </w:pPr>
      <w:r>
        <w:t>Risk.xls: Bảng tính này cho phép bạn chạy hồi quy lợi suất cổ phiếu theo lợi suất thị trường và ước tính các tham số rủi ro.</w:t>
      </w:r>
    </w:p>
    <w:p>
      <w:bookmarkStart w:id="1291" w:name="The_Limitations_of_Regression_Be"/>
      <w:pPr>
        <w:pStyle w:val="Para 21"/>
      </w:pPr>
      <w:r>
        <w:t>Những hạn chế của Beta hồi quy</w:t>
      </w:r>
      <w:bookmarkEnd w:id="1291"/>
    </w:p>
    <w:p>
      <w:pPr>
        <w:pStyle w:val="Para 03"/>
      </w:pPr>
      <w:r>
        <w:t>Phần lớn những gì đã trình bày trong mục này là một bản cáo trạng đối với beta hồi quy. Trong trường hợp của Microsoft, vấn đề lớn nhất là beta có sai số chuẩn cao. Thực tế, đây không phải là vấn đề riêng của Microsoft. Hình 8.7 trình bày phân phối sai số chuẩn của các ước tính beta cho các công ty Mỹ và toàn cầu.</w:t>
      </w:r>
    </w:p>
    <w:p>
      <w:bookmarkStart w:id="1294" w:name="Figure_8_7_Distribution_of_Stand"/>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663700"/>
            <wp:effectExtent l="0" r="0" t="0" b="0"/>
            <wp:wrapTopAndBottom/>
            <wp:docPr id="78" name="c08f007.png" descr="Double bar graph presents the distribution of standard errors on beta estimates for U.S. and global companies from 2008 to 2010."/>
            <wp:cNvGraphicFramePr>
              <a:graphicFrameLocks noChangeAspect="1"/>
            </wp:cNvGraphicFramePr>
            <a:graphic>
              <a:graphicData uri="http://schemas.openxmlformats.org/drawingml/2006/picture">
                <pic:pic>
                  <pic:nvPicPr>
                    <pic:cNvPr id="0" name="c08f007.png" descr="Double bar graph presents the distribution of standard errors on beta estimates for U.S. and global companies from 2008 to 2010."/>
                    <pic:cNvPicPr/>
                  </pic:nvPicPr>
                  <pic:blipFill>
                    <a:blip r:embed="rId68"/>
                    <a:stretch>
                      <a:fillRect/>
                    </a:stretch>
                  </pic:blipFill>
                  <pic:spPr>
                    <a:xfrm>
                      <a:off x="0" y="0"/>
                      <a:ext cx="2438400" cy="1663700"/>
                    </a:xfrm>
                    <a:prstGeom prst="rect">
                      <a:avLst/>
                    </a:prstGeom>
                  </pic:spPr>
                </pic:pic>
              </a:graphicData>
            </a:graphic>
          </wp:anchor>
        </w:drawing>
      </w:r>
      <w:bookmarkEnd w:id="1294"/>
    </w:p>
    <w:p>
      <w:pPr>
        <w:pStyle w:val="Para 22"/>
        <w:keepLines w:val="on"/>
      </w:pPr>
      <w:r>
        <w:t>Hình 8.7 Phân phối sai số chuẩn của Beta 2 năm — Các công ty Mỹ từ 2008 đến 2010</w:t>
      </w:r>
    </w:p>
    <w:p>
      <w:pPr>
        <w:keepNext/>
        <w:pStyle w:val="Para 64"/>
        <w:keepLines w:val="on"/>
      </w:pPr>
      <w:r>
        <w:t>Nguồn dữ liệu thô: Bloomberg.</w:t>
      </w:r>
    </w:p>
    <w:p>
      <w:pPr>
        <w:pStyle w:val="Para 03"/>
      </w:pPr>
      <w:r>
        <w:t>Với hồi quy của Nokia, ta dường như khắc phục được vấn đề sai số chuẩn nhưng phải trả một cái giá rất lớn. Sai số chuẩn thấp phản ánh việc chỉ số bị một cổ phiếu chi phối, và dẫn đến những beta có thể chính xác nhưng chẳng giống chút nào với rủi ro thực sự.</w:t>
      </w:r>
    </w:p>
    <w:p>
      <w:pPr>
        <w:pStyle w:val="Para 03"/>
      </w:pPr>
      <w:r>
        <w:t>Thay đổi chỉ số thị trường, kỳ tính lợi suất (return period) và khoảng thời gian tính lợi suất (return interval) cũng không mang lại sự giải thoát nào. Nếu chỉ số trở nên đại diện hơn, sai số chuẩn của beta sẽ tăng lên, phản ánh việc nhiều rủi ro của cổ phiếu là rủi ro riêng của công ty (firm-specific). Nếu beta thay đổi khi kỳ tính hoặc khoảng thời gian tính lợi suất thay đổi, điều đó tạo ra thêm sự bất định về beta thực sự của công ty.</w:t>
      </w:r>
    </w:p>
    <w:p>
      <w:pPr>
        <w:pStyle w:val="Para 03"/>
      </w:pPr>
      <w:r>
        <w:t>Tóm lại, beta hồi quy gần như luôn hoặc quá nhiễu, hoặc bị bóp méo bởi các lựa chọn ước tính, đến mức khó có thể dùng làm thước đo hữu ích cho rủi ro vốn cổ phần của một công ty. Chi phí vốn cổ phần là một đầu vào quá quan trọng trong định giá theo dòng tiền chiết khấu để có thể phó mặc cho sự may rủi của thống kê.</w:t>
      </w:r>
    </w:p>
    <w:p>
      <w:pPr>
        <w:pStyle w:val="Para 20"/>
      </w:pPr>
      <w:r>
        <w:rPr>
          <w:rStyle w:val="Text26"/>
        </w:rPr>
        <w:bookmarkStart w:id="1295" w:name="Page_201"/>
        <w:t/>
        <w:bookmarkEnd w:id="1295"/>
      </w:r>
      <w:r>
        <w:t xml:space="preserve"> </w:t>
      </w:r>
    </w:p>
    <w:p>
      <w:bookmarkStart w:id="1296" w:name="Fundamental_Betas"/>
      <w:bookmarkStart w:id="1297" w:name="Fundamental_Betas__A_second_way"/>
      <w:pPr>
        <w:keepNext/>
        <w:pStyle w:val="Heading 4"/>
        <w:keepLines w:val="on"/>
      </w:pPr>
      <w:r>
        <w:t>Beta cơ bản (Fundamental Betas)</w:t>
      </w:r>
      <w:bookmarkEnd w:id="1296"/>
      <w:bookmarkEnd w:id="1297"/>
    </w:p>
    <w:p>
      <w:pPr>
        <w:pStyle w:val="Para 03"/>
      </w:pPr>
      <w:r>
        <w:t>Cách thứ hai để ước tính beta là nhìn vào các yếu tố cơ bản của hoạt động kinh doanh. Beta của một công ty có thể được ước tính từ hồi quy, nhưng nó được quyết định bởi những lựa chọn của công ty về việc kinh doanh trong ngành nào, sử dụng bao nhiêu đòn bẩy hoạt động (operating leverage) trong hoạt động kinh doanh, và mức độ sử dụng đòn bẩy tài chính (financial leverage) của công ty. Mục này xem xét một cách khác để ước tính beta, trong đó ta ít phụ thuộc hơn vào beta lịch sử và nhận thức rõ hơn về các yếu tố quyết định cơ bản của chúng.</w:t>
      </w:r>
    </w:p>
    <w:p>
      <w:bookmarkStart w:id="1298" w:name="Determinants_of_Betas__The_beta"/>
      <w:pPr>
        <w:pStyle w:val="Para 21"/>
      </w:pPr>
      <w:r>
        <w:t>Các yếu tố quyết định Beta</w:t>
      </w:r>
      <w:bookmarkEnd w:id="1298"/>
    </w:p>
    <w:p>
      <w:pPr>
        <w:pStyle w:val="Para 03"/>
      </w:pPr>
      <w:r>
        <w:t>Beta của một công ty được quyết định bởi ba biến số: (1) loại hình hoặc các loại hình kinh doanh mà công ty tham gia, (2) mức độ đòn bẩy hoạt động của công ty, và (3) đòn bẩy tài chính của công ty. Mặc dù ta sẽ dùng những yếu tố quyết định này để tìm beta trong mô hình định giá tài sản vốn (capital asset pricing model), phân tích tương tự cũng có thể được dùng để tính beta cho mô hình định giá chênh lệch (arbitrage pricing) và mô hình đa nhân tố (multifactor model).</w:t>
      </w:r>
    </w:p>
    <w:p>
      <w:bookmarkStart w:id="1300" w:name="Type_of_Business__Since_betas_me"/>
      <w:pPr>
        <w:pStyle w:val="Para 42"/>
      </w:pPr>
      <w:r>
        <w:t>Loại hình kinh doanh</w:t>
      </w:r>
      <w:bookmarkEnd w:id="1300"/>
    </w:p>
    <w:p>
      <w:pPr>
        <w:pStyle w:val="Para 03"/>
      </w:pPr>
      <w:r>
        <w:t>Vì beta đo lường rủi ro của một công ty so với chỉ số thị trường, nên doanh nghiệp càng nhạy cảm với điều kiện thị trường thì beta càng cao. Do đó, nếu mọi thứ khác không đổi, các công ty mang tính chu kỳ (cyclical) được kỳ vọng sẽ có beta cao hơn các công ty phi chu kỳ (noncyclical). Các công ty hoạt động trong lĩnh vực nhà ở và ô tô — hai ngành của nền kinh tế rất nhạy cảm với điều kiện kinh tế — sẽ có beta cao hơn các công ty trong ngành chế biến thực phẩm và thuốc lá, vốn tương đối ít nhạy cảm với chu kỳ kinh doanh.</w:t>
      </w:r>
    </w:p>
    <w:p>
      <w:pPr>
        <w:pStyle w:val="Para 03"/>
      </w:pPr>
      <w:r>
        <w:t>Quan điểm này có thể được mở rộng cho các sản phẩm của một công ty. Mức độ mà việc mua một sản phẩm là tự nguyện (discretionary) sẽ ảnh hưởng đến beta của công ty sản xuất sản phẩm đó. Những công ty có sản phẩm mang tính tự nguyện cao hơn đối với khách hàng — họ có thể trì hoãn hoặc chần chừ việc mua những sản phẩm này — sẽ có beta cao hơn những công ty có sản phẩm được xem là thiết yếu hoặc ít mang tính tự nguyện hơn. Vì vậy, beta của Procter &amp; Gamble, công ty bán tã giấy và các sản phẩm gia dụng hằng ngày, sẽ thấp hơn beta của Gucci, công ty sản xuất các sản phẩm xa xỉ.</w:t>
      </w:r>
    </w:p>
    <w:p>
      <w:bookmarkStart w:id="1302" w:name="Degree_of_Operating_Leverage__Th"/>
      <w:pPr>
        <w:pStyle w:val="Para 42"/>
      </w:pPr>
      <w:r>
        <w:t>Mức độ đòn bẩy hoạt động</w:t>
      </w:r>
      <w:bookmarkEnd w:id="1302"/>
    </w:p>
    <w:p>
      <w:pPr>
        <w:pStyle w:val="Para 03"/>
      </w:pPr>
      <w:r>
        <w:t>Mức độ đòn bẩy hoạt động (degree of operating leverage) là một hàm số của cơ cấu chi phí của một công ty và thường được định nghĩa dựa trên mối quan hệ giữa chi phí cố định và tổng chi phí. Một công ty có chi phí cố định cao so với tổng chi phí được cho là có đòn bẩy hoạt động cao. Một công ty có đòn bẩy hoạt động cao cũng sẽ có mức biến động thu nhập hoạt động lớn hơn so với một công ty sản xuất sản phẩm tương tự nhưng có đòn bẩy hoạt động thấp. Nếu mọi thứ khác không đổi, phương sai thu nhập hoạt động cao hơn sẽ dẫn đến beta cao hơn cho công ty có đòn bẩy hoạt động cao.</w:t>
      </w:r>
    </w:p>
    <w:p>
      <w:pPr>
        <w:pStyle w:val="Para 03"/>
      </w:pPr>
      <w:r>
        <w:t>Liệu các công ty có thể thay đổi đòn bẩy hoạt động của mình không? Trong khi một phần cơ cấu chi phí của công ty được quyết định bởi ngành nghề mà nó hoạt động (một công ty tiện ích năng lượng phải xây dựng các nhà máy điện đắt tiền, và các hãng hàng không phải mua hoặc thuê máy bay đắt tiền), các công ty ở Hoa Kỳ đã ngày càng sáng tạo trong việc giảm thành phần chi phí cố định trong tổng chi phí của mình. Chẳng hạn, các công ty đã làm cho cơ cấu chi phí linh hoạt hơn bằng cách:</w:t>
      </w:r>
    </w:p>
    <w:p>
      <w:pPr>
        <w:numPr>
          <w:ilvl w:val="0"/>
          <w:numId w:val="57"/>
        </w:numPr>
        <w:pStyle w:val="Para 01"/>
      </w:pPr>
      <w:r>
        <w:t>Đàm phán các hợp đồng lao động nhấn mạnh tính linh hoạt và cho phép công ty gắn chi phí lao động của mình chặt chẽ hơn với thành quả tài chính của công ty.</w:t>
      </w:r>
    </w:p>
    <w:p>
      <w:pPr>
        <w:numPr>
          <w:ilvl w:val="0"/>
          <w:numId w:val="57"/>
        </w:numPr>
        <w:pStyle w:val="Para 01"/>
      </w:pPr>
      <w:r>
        <w:t>Tham gia vào các thỏa thuận liên doanh (joint venture), trong đó chi phí cố định do người khác gánh chịu.</w:t>
      </w:r>
    </w:p>
    <w:p>
      <w:pPr>
        <w:numPr>
          <w:ilvl w:val="0"/>
          <w:numId w:val="57"/>
        </w:numPr>
        <w:pStyle w:val="Para 01"/>
      </w:pPr>
      <w:r>
        <w:t>Ký hợp đồng phụ sản xuất (subcontracting) và thuê ngoài (outsourcing), giúp giảm nhu cầu về nhà xưởng và thiết bị đắt tiền.</w:t>
      </w:r>
    </w:p>
    <w:p>
      <w:pPr>
        <w:pStyle w:val="Para 20"/>
      </w:pPr>
      <w:r>
        <w:rPr>
          <w:rStyle w:val="Text26"/>
        </w:rPr>
        <w:bookmarkStart w:id="1304" w:name="Page_202"/>
        <w:t/>
        <w:bookmarkEnd w:id="1304"/>
      </w:r>
      <w:r>
        <w:t xml:space="preserve"> </w:t>
      </w:r>
    </w:p>
    <w:p>
      <w:pPr>
        <w:pStyle w:val="Para 03"/>
      </w:pPr>
      <w:r>
        <w:t>Trong khi các lập luận cho những hành động này có thể được trình bày dưới góc độ lợi thế cạnh tranh và tính linh hoạt, chúng cũng thực sự làm giảm đòn bẩy hoạt động của công ty và mức độ phơi nhiễm của công ty trước rủi ro thị trường.</w:t>
      </w:r>
    </w:p>
    <w:p>
      <w:pPr>
        <w:pStyle w:val="Para 03"/>
      </w:pPr>
      <w:r>
        <w:t>Trong khi đòn bẩy hoạt động ảnh hưởng đến beta, rất khó đo lường đòn bẩy hoạt động của một công ty, ít nhất là từ bên ngoài, vì chi phí cố định và chi phí biến đổi thường được gộp chung trong báo cáo thu nhập. Có thể có được một thước đo gần đúng về đòn bẩy hoạt động của một công ty bằng cách xem xét những thay đổi trong thu nhập hoạt động như một hàm số của những thay đổi trong doanh số.</w:t>
      </w:r>
    </w:p>
    <w:p>
      <w:bookmarkStart w:id="1305" w:name="Degree_of_operating_leverage___c"/>
      <w:pPr>
        <w:keepNext/>
        <w:pStyle w:val="Para 09"/>
        <w:keepLines w:val="on"/>
      </w:pPr>
      <w:r>
        <w:t>Mức độ đòn bẩy hoạt động=% thay đổi trong lợi nhuận hoạt động% thay đổi trong doanh số</w:t>
      </w:r>
      <w:bookmarkEnd w:id="1305"/>
    </w:p>
    <w:p>
      <w:pPr>
        <w:pStyle w:val="Para 03"/>
      </w:pPr>
      <w:r>
        <w:t>Đối với các công ty có đòn bẩy hoạt động cao, thu nhập hoạt động sẽ thay đổi nhiều hơn mức tương ứng khi doanh số thay đổi.</w:t>
      </w:r>
    </w:p>
    <w:p>
      <w:pPr>
        <w:pStyle w:val="Para 11"/>
      </w:pPr>
      <w:r>
        <w:t/>
        <w:t xml:space="preserve"> </w:t>
      </w:r>
    </w:p>
    <w:p>
      <w:bookmarkStart w:id="1306" w:name="Size__Growth__and_Betas_Generall"/>
      <w:bookmarkStart w:id="1307" w:name="Size__Growth__and_Betas"/>
      <w:pPr>
        <w:keepNext/>
        <w:pStyle w:val="Para 27"/>
        <w:keepLines w:val="on"/>
      </w:pPr>
      <w:r>
        <w:t>Quy mô, Tăng trưởng và Beta</w:t>
      </w:r>
      <w:bookmarkEnd w:id="1306"/>
      <w:bookmarkEnd w:id="1307"/>
    </w:p>
    <w:p>
      <w:pPr>
        <w:pStyle w:val="Para 16"/>
        <w:keepLines w:val="on"/>
      </w:pPr>
      <w:r>
        <w:t>Nói chung, các công ty nhỏ hơn với tiềm năng tăng trưởng cao hơn được xem là rủi ro hơn các công ty lớn hơn, ổn định hơn. Trong khi lý lẽ cho lập luận này là rõ ràng khi nói về tổng rủi ro, thì lại khó thấy hơn khi xem xét rủi ro thị trường hay beta. Liệu một công ty phần mềm nhỏ hơn có nên có beta cao hơn một công ty phần mềm lớn hơn không? Một lý do để tin rằng đúng là như vậy chính là đòn bẩy hoạt động. Nếu có chi phí thiết lập (setup cost) gắn với việc đầu tư vào cơ sở hạ tầng hoặc lợi thế kinh tế theo quy mô (economies of scale), thì các công ty nhỏ hơn sẽ có chi phí cố định cao hơn các công ty lớn hơn, từ đó dẫn đến beta cao hơn cho những công ty này.</w:t>
      </w:r>
    </w:p>
    <w:p>
      <w:pPr>
        <w:pStyle w:val="Para 16"/>
        <w:keepLines w:val="on"/>
      </w:pPr>
      <w:r>
        <w:t>Đối với các công ty tăng trưởng, lập luận cho beta cao hơn dựa trên khái niệm mua hàng tự nguyện so với không tự nguyện. Để một công ty tăng trưởng cao đạt được mức tăng trưởng của mình, khách hàng mới phải chấp nhận sản phẩm, hoặc khách hàng hiện tại phải mua nhiều sản phẩm hơn. Việc họ có làm như vậy hay không sẽ phụ thuộc phần lớn vào cảm giác sung túc của họ. Điều này, đến lượt nó, sẽ khiến lợi nhuận của các công ty tăng trưởng cao phụ thuộc nhiều hơn vào tình hình nền kinh tế, từ đó làm tăng beta của chúng.</w:t>
      </w:r>
    </w:p>
    <w:p>
      <w:bookmarkStart w:id="1308" w:name="Degree_of_Financial_Leverage__Ot"/>
      <w:pPr>
        <w:pStyle w:val="Para 42"/>
      </w:pPr>
      <w:r>
        <w:t>Mức độ đòn bẩy tài chính</w:t>
      </w:r>
      <w:bookmarkEnd w:id="1308"/>
    </w:p>
    <w:p>
      <w:pPr>
        <w:pStyle w:val="Para 03"/>
      </w:pPr>
      <w:r>
        <w:t>Nếu mọi thứ khác không đổi, việc tăng đòn bẩy tài chính (financial leverage) sẽ làm tăng beta của vốn chủ sở hữu trong một công ty. Về mặt trực giác, chúng ta kỳ vọng rằng các khoản thanh toán lãi cố định trên nợ sẽ dẫn đến thu nhập tăng trong thời kỳ tốt và giảm trong thời kỳ xấu. Đòn bẩy cao hơn làm tăng phương sai của thu nhập ròng và khiến việc đầu tư vốn chủ sở hữu vào công ty trở nên rủi ro hơn. Nếu toàn bộ rủi ro của công ty do các cổ đông gánh chịu (tức là beta của nợ bằng không),7 và nợ mang lại lợi ích thuế cho công ty, thì,</w:t>
      </w:r>
    </w:p>
    <w:p>
      <w:pPr>
        <w:pStyle w:val="Para 20"/>
      </w:pPr>
      <w:r>
        <w:rPr>
          <w:rStyle w:val="Text26"/>
        </w:rPr>
        <w:bookmarkStart w:id="1311" w:name="Page_203"/>
        <w:t/>
        <w:bookmarkEnd w:id="1311"/>
      </w:r>
      <w:r>
        <w:t xml:space="preserve"> </w:t>
      </w:r>
    </w:p>
    <w:p>
      <w:bookmarkStart w:id="1312" w:name="bL_bu_1__1_t__D_E"/>
      <w:pPr>
        <w:keepNext/>
        <w:pStyle w:val="Para 09"/>
        <w:keepLines w:val="on"/>
      </w:pPr>
      <w:r>
        <w:t>βL=βu[1+(1-t)(D/E)]</w:t>
      </w:r>
      <w:bookmarkEnd w:id="1312"/>
    </w:p>
    <w:p>
      <w:bookmarkStart w:id="1313" w:name="wherebL_Leveredbetaforequityinth"/>
      <w:pPr>
        <w:pStyle w:val="Para 39"/>
      </w:pPr>
      <w:r>
        <w:t>trong đóβL=Betacóđònbẩycủavốnchủsởhữutrongcôngtyβu=Betakhôngcóđònbẩycủacôngty(tứclà,beta củacôngtykhôngcónợ)t=ThuếsuấtbiênD/E=Tỷlệnợtrênvốnchủsởhữu(theogiátrịthịtrường)</w:t>
      </w:r>
      <w:bookmarkEnd w:id="1313"/>
    </w:p>
    <w:p>
      <w:pPr>
        <w:pStyle w:val="Para 03"/>
      </w:pPr>
      <w:r>
        <w:t>Về mặt trực giác, chúng ta kỳ vọng rằng khi đòn bẩy tăng lên (đo bằng tỷ lệ nợ trên vốn chủ sở hữu), các nhà đầu tư vốn chủ sở hữu phải gánh chịu ngày càng nhiều rủi ro thị trường trong công ty, dẫn đến beta cao hơn. Yếu tố thuế trong phương trình phản ánh lợi ích thuế có được từ các khoản thanh toán lãi, và vì lãi giúp bạn tiết kiệm thuế ở mức biên, bạn sử dụng thuế suất mà bạn phải trả trên những đồng thu nhập cuối cùng. Một ước tính tốt sẽ là thuế suất theo luật định của quốc gia nơi công ty được thành lập.</w:t>
      </w:r>
    </w:p>
    <w:p>
      <w:pPr>
        <w:pStyle w:val="Para 03"/>
      </w:pPr>
      <w:r>
        <w:t>Beta không có đòn bẩy của một công ty được quyết định bởi bản chất các sản phẩm và dịch vụ của nó (tính chu kỳ, tính tự nguyện) và đòn bẩy hoạt động của nó. Nó cũng thường được gọi là beta tài sản (asset beta), vì nó được quyết định bởi các tài sản mà công ty sở hữu. Do đó, beta có đòn bẩy, cũng chính là beta cho một khoản đầu tư vốn chủ sở hữu vào một công ty, được quyết định bởi cả mức độ rủi ro của ngành nghề kinh doanh mà công ty hoạt động lẫn lượng rủi ro đòn bẩy tài chính mà công ty đã gánh chịu.</w:t>
      </w:r>
    </w:p>
    <w:p>
      <w:pPr>
        <w:pStyle w:val="Para 03"/>
      </w:pPr>
      <w:r>
        <w:t>Vì đòn bẩy tài chính nhân lên rủi ro kinh doanh cơ bản, nên hợp lý khi cho rằng các công ty có rủi ro kinh doanh cao nên miễn cưỡng trong việc sử dụng đòn bẩy tài chính. Cũng hợp lý khi cho rằng các công ty hoạt động trong những ngành ổn định nên sẵn sàng sử dụng đòn bẩy tài chính hơn nhiều. Chẳng hạn, các công ty tiện ích (utilities) trong lịch sử có tỷ lệ nợ cao nhưng không có beta cao, chủ yếu vì hoạt động kinh doanh cơ bản của chúng ổn định và có thể dự đoán được.</w:t>
      </w:r>
    </w:p>
    <w:p>
      <w:pPr>
        <w:pStyle w:val="Para 11"/>
      </w:pPr>
      <w:r>
        <w:t/>
        <w:t xml:space="preserve"> </w:t>
      </w:r>
    </w:p>
    <w:p>
      <w:bookmarkStart w:id="1314" w:name="ILLUSTRATION_8_3__Effects_of_Lev_1"/>
      <w:bookmarkStart w:id="1315" w:name="ILLUSTRATION_8_3__Effects_of_Lev"/>
      <w:pPr>
        <w:keepNext/>
        <w:pStyle w:val="Para 19"/>
        <w:keepLines w:val="on"/>
      </w:pPr>
      <w:r>
        <w:t>MINH HỌA 8.3: Ảnh hưởng của đòn bẩy lên beta: Microsoft</w:t>
      </w:r>
      <w:bookmarkEnd w:id="1314"/>
      <w:bookmarkEnd w:id="1315"/>
    </w:p>
    <w:p>
      <w:pPr>
        <w:pStyle w:val="Para 04"/>
        <w:keepLines w:val="on"/>
      </w:pPr>
      <w:r>
        <w:t>Từ hồi quy cho giai đoạn từ 2019 đến 2023, Microsoft có beta lịch sử là 0,88. Vì hồi quy này sử dụng giá cổ phiếu của Microsoft trong giai đoạn này, chúng tôi bắt đầu bằng việc ước tính tỷ lệ nợ trên vốn chủ sở hữu trung bình giữa năm 2019 và 2023, sử dụng giá trị thị trường cho nợ và vốn chủ sở hữu.</w:t>
      </w:r>
    </w:p>
    <w:p>
      <w:bookmarkStart w:id="1317" w:name="Average_debt_to_equity_ratio_bet"/>
      <w:pPr>
        <w:keepNext/>
        <w:pStyle w:val="Para 07"/>
        <w:keepLines w:val="on"/>
      </w:pPr>
      <w:r>
        <w:t>Tỷ lệ nợ trên vốn chủ sở hữu trung bình giai đoạn 2019–2023 = 6,01%</w:t>
      </w:r>
      <w:bookmarkEnd w:id="1317"/>
    </w:p>
    <w:p>
      <w:pPr>
        <w:pStyle w:val="Para 04"/>
        <w:keepLines w:val="on"/>
      </w:pPr>
      <w:r>
        <w:t>Hệ số beta trong giai đoạn 2019–2023 phản ánh mức đòn bẩy trung bình này. Để ước tính beta chưa vay nợ (unlevered beta) trong giai đoạn đó, người ta dùng thuế suất biên là 25%:</w:t>
      </w:r>
    </w:p>
    <w:p>
      <w:bookmarkStart w:id="1318" w:name="Unlevered_beta_Current_beta__1"/>
      <w:pPr>
        <w:keepNext/>
        <w:pStyle w:val="Para 07"/>
        <w:keepLines w:val="on"/>
      </w:pPr>
      <w:r>
        <w:t>Beta chưa vay nợ = Beta hiện tại / [1 + (1 − Thuế suất) (Nợ/Vốn chủ sở hữu trung bình)] = 0,88 / [1 + (1 − 0,25)(0,0601)] = 0,842</w:t>
      </w:r>
      <w:bookmarkEnd w:id="1318"/>
    </w:p>
    <w:p>
      <w:pPr>
        <w:pStyle w:val="Para 04"/>
        <w:keepLines w:val="on"/>
      </w:pPr>
      <w:r>
        <w:t>Beta chưa vay nợ của Microsoft trong giai đoạn 2019–2023 là 0,84. Từ đó có thể ước tính beta có vay nợ (levered beta) ở các mức nợ khác nhau:</w:t>
      </w:r>
    </w:p>
    <w:p>
      <w:bookmarkStart w:id="1319" w:name="Levered_beta_Unlevered_betax_1"/>
      <w:pPr>
        <w:keepNext/>
        <w:pStyle w:val="Para 07"/>
        <w:keepLines w:val="on"/>
      </w:pPr>
      <w:r>
        <w:t>Beta có vay nợ = Beta chưa vay nợ × [1 + (1 − Thuế suất) (Nợ/Vốn chủ sở hữu)]</w:t>
      </w:r>
      <w:bookmarkEnd w:id="1319"/>
    </w:p>
    <w:p>
      <w:pPr>
        <w:pStyle w:val="Para 04"/>
        <w:keepLines w:val="on"/>
      </w:pPr>
      <w:r>
        <w:t>Ví dụ, nếu Microsoft tăng tỷ lệ nợ trên vốn chủ sở hữu lên 10%, beta vốn chủ sở hữu sẽ là:</w:t>
      </w:r>
    </w:p>
    <w:p>
      <w:bookmarkStart w:id="1320" w:name="Levered_beta__10__D_E__0_842x_1"/>
      <w:pPr>
        <w:keepNext/>
        <w:pStyle w:val="Para 07"/>
        <w:keepLines w:val="on"/>
      </w:pPr>
      <w:r>
        <w:t>Beta có vay nợ (@10% Nợ/VCSH) = 0,842 × [1 + (1 − 0,25)(0,10)] = 0,91</w:t>
      </w:r>
      <w:bookmarkEnd w:id="1320"/>
    </w:p>
    <w:p>
      <w:pPr>
        <w:pStyle w:val="Para 04"/>
        <w:keepLines w:val="on"/>
      </w:pPr>
      <w:r>
        <w:t>Nếu tỷ lệ nợ trên vốn chủ sở hữu được nâng lên 25%, beta vốn chủ sở hữu sẽ là:</w:t>
      </w:r>
    </w:p>
    <w:p>
      <w:bookmarkStart w:id="1322" w:name="Levered_beta___25__D_E__0_84x_1"/>
      <w:pPr>
        <w:keepNext/>
        <w:pStyle w:val="Para 07"/>
        <w:keepLines w:val="on"/>
      </w:pPr>
      <w:r>
        <w:t>Beta có vay nợ (@25% Nợ/VCSH) = 0,84 × [1 + (1 − 0,25)(0,25)] = 1,00</w:t>
      </w:r>
      <w:bookmarkEnd w:id="1322"/>
    </w:p>
    <w:p>
      <w:pPr>
        <w:pStyle w:val="Para 04"/>
        <w:keepLines w:val="on"/>
      </w:pPr>
      <w:r>
        <w:t>Bảng 8.1 tóm tắt các ước tính beta ở những mức đòn bẩy tài chính khác nhau, từ 0% đến 90% nợ.</w:t>
      </w:r>
    </w:p>
    <w:p>
      <w:pPr>
        <w:pStyle w:val="Para 25"/>
        <w:keepLines w:val="on"/>
      </w:pPr>
      <w:r>
        <w:t>Bảng 8.1</w:t>
      </w:r>
    </w:p>
    <w:p>
      <w:pPr>
        <w:keepNext/>
        <w:pStyle w:val="Para 24"/>
        <w:keepLines w:val="on"/>
      </w:pPr>
      <w:r>
        <w:t>Beta có vay nợ và tỷ lệ nợ trên vốn chủ sở hữu</w:t>
      </w:r>
    </w:p>
    <w:tbl>
      <w:tblPr>
        <w:tblW w:type="auto" w:w="0"/>
      </w:tblPr>
      <w:tr>
        <w:tc>
          <w:tcPr>
            <w:tcW w:type="auto" w:w="0"/>
          </w:tcPr>
          <w:tbl>
            <w:tblPr>
              <w:tblW w:type="auto" w:w="0"/>
            </w:tblPr>
            <w:tr>
              <w:tc>
                <w:tcPr>
                  <w:tcW w:type="auto" w:w="0"/>
                  <w:shd w:val="clear" w:color="auto" w:fill="F0F0F0"/>
                </w:tcPr>
                <w:p>
                  <w:pPr>
                    <w:pStyle w:val="Para 05"/>
                    <w:keepLines w:val="on"/>
                  </w:pPr>
                  <w:r>
                    <w:t>Nợ trên vốn</w:t>
                  </w:r>
                </w:p>
              </w:tc>
              <w:tc>
                <w:tcPr>
                  <w:tcW w:type="auto" w:w="0"/>
                  <w:shd w:val="clear" w:color="auto" w:fill="F0F0F0"/>
                </w:tcPr>
                <w:p>
                  <w:pPr>
                    <w:pStyle w:val="Para 05"/>
                    <w:keepLines w:val="on"/>
                  </w:pPr>
                  <w:r>
                    <w:t>Nợ trên vốn chủ sở hữu</w:t>
                  </w:r>
                </w:p>
              </w:tc>
              <w:tc>
                <w:tcPr>
                  <w:tcW w:type="auto" w:w="0"/>
                  <w:shd w:val="clear" w:color="auto" w:fill="F0F0F0"/>
                </w:tcPr>
                <w:p>
                  <w:pPr>
                    <w:pStyle w:val="Para 05"/>
                    <w:keepLines w:val="on"/>
                  </w:pPr>
                  <w:r>
                    <w:t>Beta có vay nợ</w:t>
                  </w:r>
                </w:p>
              </w:tc>
              <w:tc>
                <w:tcPr>
                  <w:tcW w:type="auto" w:w="0"/>
                  <w:shd w:val="clear" w:color="auto" w:fill="F0F0F0"/>
                </w:tcPr>
                <w:p>
                  <w:pPr>
                    <w:pStyle w:val="Para 05"/>
                    <w:keepLines w:val="on"/>
                  </w:pPr>
                  <w:r>
                    <w:t>Tác động của nợ lên beta</w:t>
                  </w:r>
                </w:p>
              </w:tc>
            </w:tr>
            <w:tr>
              <w:tc>
                <w:tcPr>
                  <w:tcW w:type="auto" w:w="0"/>
                  <w:shd w:val="clear" w:color="auto" w:fill="F0F0F0"/>
                </w:tcPr>
                <w:p>
                  <w:pPr>
                    <w:pStyle w:val="Normal"/>
                    <w:keepLines w:val="on"/>
                  </w:pPr>
                  <w:r>
                    <w:t>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0,84</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11,11%</w:t>
                  </w:r>
                </w:p>
              </w:tc>
              <w:tc>
                <w:tcPr>
                  <w:tcW w:type="auto" w:w="0"/>
                  <w:shd w:val="clear" w:color="auto" w:fill="F0F0F0"/>
                </w:tcPr>
                <w:p>
                  <w:pPr>
                    <w:pStyle w:val="Normal"/>
                    <w:keepLines w:val="on"/>
                  </w:pPr>
                  <w:r>
                    <w:t>0,91</w:t>
                  </w:r>
                </w:p>
              </w:tc>
              <w:tc>
                <w:tcPr>
                  <w:tcW w:type="auto" w:w="0"/>
                  <w:shd w:val="clear" w:color="auto" w:fill="F0F0F0"/>
                </w:tcPr>
                <w:p>
                  <w:pPr>
                    <w:pStyle w:val="Normal"/>
                    <w:keepLines w:val="on"/>
                  </w:pPr>
                  <w:r>
                    <w:t>0,07</w:t>
                  </w:r>
                </w:p>
              </w:tc>
            </w:tr>
            <w:tr>
              <w:tc>
                <w:tcPr>
                  <w:tcW w:type="auto" w:w="0"/>
                  <w:shd w:val="clear" w:color="auto" w:fill="F0F0F0"/>
                </w:tcPr>
                <w:p>
                  <w:pPr>
                    <w:pStyle w:val="Normal"/>
                    <w:keepLines w:val="on"/>
                  </w:pPr>
                  <w:r>
                    <w:t>20%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0,16</w:t>
                  </w:r>
                </w:p>
              </w:tc>
            </w:tr>
            <w:tr>
              <w:tc>
                <w:tcPr>
                  <w:tcW w:type="auto" w:w="0"/>
                  <w:shd w:val="clear" w:color="auto" w:fill="F0F0F0"/>
                </w:tcPr>
                <w:p>
                  <w:pPr>
                    <w:pStyle w:val="Normal"/>
                    <w:keepLines w:val="on"/>
                  </w:pPr>
                  <w:r>
                    <w:t>30%</w:t>
                  </w:r>
                </w:p>
              </w:tc>
              <w:tc>
                <w:tcPr>
                  <w:tcW w:type="auto" w:w="0"/>
                  <w:shd w:val="clear" w:color="auto" w:fill="F0F0F0"/>
                </w:tcPr>
                <w:p>
                  <w:pPr>
                    <w:pStyle w:val="Normal"/>
                    <w:keepLines w:val="on"/>
                  </w:pPr>
                  <w:r>
                    <w:t>42,86%</w:t>
                  </w:r>
                </w:p>
              </w:tc>
              <w:tc>
                <w:tcPr>
                  <w:tcW w:type="auto" w:w="0"/>
                  <w:shd w:val="clear" w:color="auto" w:fill="F0F0F0"/>
                </w:tcPr>
                <w:p>
                  <w:pPr>
                    <w:pStyle w:val="Normal"/>
                    <w:keepLines w:val="on"/>
                  </w:pPr>
                  <w:r>
                    <w:t>1,11</w:t>
                  </w:r>
                </w:p>
              </w:tc>
              <w:tc>
                <w:tcPr>
                  <w:tcW w:type="auto" w:w="0"/>
                  <w:shd w:val="clear" w:color="auto" w:fill="F0F0F0"/>
                </w:tcPr>
                <w:p>
                  <w:pPr>
                    <w:pStyle w:val="Normal"/>
                    <w:keepLines w:val="on"/>
                  </w:pPr>
                  <w:r>
                    <w:t>0,27</w:t>
                  </w:r>
                </w:p>
              </w:tc>
            </w:tr>
            <w:tr>
              <w:tc>
                <w:tcPr>
                  <w:tcW w:type="auto" w:w="0"/>
                  <w:shd w:val="clear" w:color="auto" w:fill="F0F0F0"/>
                </w:tcPr>
                <w:p>
                  <w:pPr>
                    <w:pStyle w:val="Normal"/>
                    <w:keepLines w:val="on"/>
                  </w:pPr>
                  <w:r>
                    <w:t>40%</w:t>
                  </w:r>
                </w:p>
              </w:tc>
              <w:tc>
                <w:tcPr>
                  <w:tcW w:type="auto" w:w="0"/>
                  <w:shd w:val="clear" w:color="auto" w:fill="F0F0F0"/>
                </w:tcPr>
                <w:p>
                  <w:pPr>
                    <w:pStyle w:val="Normal"/>
                    <w:keepLines w:val="on"/>
                  </w:pPr>
                  <w:r>
                    <w:t>66,67%</w:t>
                  </w:r>
                </w:p>
              </w:tc>
              <w:tc>
                <w:tcPr>
                  <w:tcW w:type="auto" w:w="0"/>
                  <w:shd w:val="clear" w:color="auto" w:fill="F0F0F0"/>
                </w:tcPr>
                <w:p>
                  <w:pPr>
                    <w:pStyle w:val="Normal"/>
                    <w:keepLines w:val="on"/>
                  </w:pPr>
                  <w:r>
                    <w:t>1,26</w:t>
                  </w:r>
                </w:p>
              </w:tc>
              <w:tc>
                <w:tcPr>
                  <w:tcW w:type="auto" w:w="0"/>
                  <w:shd w:val="clear" w:color="auto" w:fill="F0F0F0"/>
                </w:tcPr>
                <w:p>
                  <w:pPr>
                    <w:pStyle w:val="Normal"/>
                    <w:keepLines w:val="on"/>
                  </w:pPr>
                  <w:r>
                    <w:t>0,42</w:t>
                  </w:r>
                </w:p>
              </w:tc>
            </w:tr>
            <w:tr>
              <w:tc>
                <w:tcPr>
                  <w:tcW w:type="auto" w:w="0"/>
                  <w:shd w:val="clear" w:color="auto" w:fill="F0F0F0"/>
                </w:tcPr>
                <w:p>
                  <w:pPr>
                    <w:pStyle w:val="Normal"/>
                    <w:keepLines w:val="on"/>
                  </w:pPr>
                  <w:r>
                    <w:t>50%</w:t>
                  </w:r>
                </w:p>
              </w:tc>
              <w:tc>
                <w:tcPr>
                  <w:tcW w:type="auto" w:w="0"/>
                  <w:shd w:val="clear" w:color="auto" w:fill="F0F0F0"/>
                </w:tcPr>
                <w:p>
                  <w:pPr>
                    <w:pStyle w:val="Normal"/>
                    <w:keepLines w:val="on"/>
                  </w:pPr>
                  <w:r>
                    <w:t>100,00%</w:t>
                  </w:r>
                </w:p>
              </w:tc>
              <w:tc>
                <w:tcPr>
                  <w:tcW w:type="auto" w:w="0"/>
                  <w:shd w:val="clear" w:color="auto" w:fill="F0F0F0"/>
                </w:tcPr>
                <w:p>
                  <w:pPr>
                    <w:pStyle w:val="Normal"/>
                    <w:keepLines w:val="on"/>
                  </w:pPr>
                  <w:r>
                    <w:t>1,47</w:t>
                  </w:r>
                </w:p>
              </w:tc>
              <w:tc>
                <w:tcPr>
                  <w:tcW w:type="auto" w:w="0"/>
                  <w:shd w:val="clear" w:color="auto" w:fill="F0F0F0"/>
                </w:tcPr>
                <w:p>
                  <w:pPr>
                    <w:pStyle w:val="Normal"/>
                    <w:keepLines w:val="on"/>
                  </w:pPr>
                  <w:r>
                    <w:t>0,63</w:t>
                  </w:r>
                </w:p>
              </w:tc>
            </w:tr>
            <w:tr>
              <w:tc>
                <w:tcPr>
                  <w:tcW w:type="auto" w:w="0"/>
                  <w:shd w:val="clear" w:color="auto" w:fill="F0F0F0"/>
                </w:tcPr>
                <w:p>
                  <w:pPr>
                    <w:pStyle w:val="Normal"/>
                    <w:keepLines w:val="on"/>
                  </w:pPr>
                  <w:r>
                    <w:t>60%</w:t>
                  </w:r>
                </w:p>
              </w:tc>
              <w:tc>
                <w:tcPr>
                  <w:tcW w:type="auto" w:w="0"/>
                  <w:shd w:val="clear" w:color="auto" w:fill="F0F0F0"/>
                </w:tcPr>
                <w:p>
                  <w:pPr>
                    <w:pStyle w:val="Normal"/>
                    <w:keepLines w:val="on"/>
                  </w:pPr>
                  <w:r>
                    <w:t>150,00%</w:t>
                  </w:r>
                </w:p>
              </w:tc>
              <w:tc>
                <w:tcPr>
                  <w:tcW w:type="auto" w:w="0"/>
                  <w:shd w:val="clear" w:color="auto" w:fill="F0F0F0"/>
                </w:tcPr>
                <w:p>
                  <w:pPr>
                    <w:pStyle w:val="Normal"/>
                    <w:keepLines w:val="on"/>
                  </w:pPr>
                  <w:r>
                    <w:t>1,79</w:t>
                  </w:r>
                </w:p>
              </w:tc>
              <w:tc>
                <w:tcPr>
                  <w:tcW w:type="auto" w:w="0"/>
                  <w:shd w:val="clear" w:color="auto" w:fill="F0F0F0"/>
                </w:tcPr>
                <w:p>
                  <w:pPr>
                    <w:pStyle w:val="Normal"/>
                    <w:keepLines w:val="on"/>
                  </w:pPr>
                  <w:r>
                    <w:t>0,95</w:t>
                  </w:r>
                </w:p>
              </w:tc>
            </w:tr>
            <w:tr>
              <w:tc>
                <w:tcPr>
                  <w:tcW w:type="auto" w:w="0"/>
                  <w:shd w:val="clear" w:color="auto" w:fill="F0F0F0"/>
                </w:tcPr>
                <w:p>
                  <w:pPr>
                    <w:pStyle w:val="Normal"/>
                    <w:keepLines w:val="on"/>
                  </w:pPr>
                  <w:r>
                    <w:t>70%</w:t>
                  </w:r>
                </w:p>
              </w:tc>
              <w:tc>
                <w:tcPr>
                  <w:tcW w:type="auto" w:w="0"/>
                  <w:shd w:val="clear" w:color="auto" w:fill="F0F0F0"/>
                </w:tcPr>
                <w:p>
                  <w:pPr>
                    <w:pStyle w:val="Normal"/>
                    <w:keepLines w:val="on"/>
                  </w:pPr>
                  <w:r>
                    <w:t>233,33%</w:t>
                  </w:r>
                </w:p>
              </w:tc>
              <w:tc>
                <w:tcPr>
                  <w:tcW w:type="auto" w:w="0"/>
                  <w:shd w:val="clear" w:color="auto" w:fill="F0F0F0"/>
                </w:tcPr>
                <w:p>
                  <w:pPr>
                    <w:pStyle w:val="Normal"/>
                    <w:keepLines w:val="on"/>
                  </w:pPr>
                  <w:r>
                    <w:t>2,32</w:t>
                  </w:r>
                </w:p>
              </w:tc>
              <w:tc>
                <w:tcPr>
                  <w:tcW w:type="auto" w:w="0"/>
                  <w:shd w:val="clear" w:color="auto" w:fill="F0F0F0"/>
                </w:tcPr>
                <w:p>
                  <w:pPr>
                    <w:pStyle w:val="Normal"/>
                    <w:keepLines w:val="on"/>
                  </w:pPr>
                  <w:r>
                    <w:t>1,48</w:t>
                  </w:r>
                </w:p>
              </w:tc>
            </w:tr>
            <w:tr>
              <w:tc>
                <w:tcPr>
                  <w:tcW w:type="auto" w:w="0"/>
                  <w:shd w:val="clear" w:color="auto" w:fill="F0F0F0"/>
                </w:tcPr>
                <w:p>
                  <w:pPr>
                    <w:pStyle w:val="Normal"/>
                    <w:keepLines w:val="on"/>
                  </w:pPr>
                  <w:r>
                    <w:t>80%</w:t>
                  </w:r>
                </w:p>
              </w:tc>
              <w:tc>
                <w:tcPr>
                  <w:tcW w:type="auto" w:w="0"/>
                  <w:shd w:val="clear" w:color="auto" w:fill="F0F0F0"/>
                </w:tcPr>
                <w:p>
                  <w:pPr>
                    <w:pStyle w:val="Normal"/>
                    <w:keepLines w:val="on"/>
                  </w:pPr>
                  <w:r>
                    <w:t>400,00%</w:t>
                  </w:r>
                </w:p>
              </w:tc>
              <w:tc>
                <w:tcPr>
                  <w:tcW w:type="auto" w:w="0"/>
                  <w:shd w:val="clear" w:color="auto" w:fill="F0F0F0"/>
                </w:tcPr>
                <w:p>
                  <w:pPr>
                    <w:pStyle w:val="Normal"/>
                    <w:keepLines w:val="on"/>
                  </w:pPr>
                  <w:r>
                    <w:t>3,37</w:t>
                  </w:r>
                </w:p>
              </w:tc>
              <w:tc>
                <w:tcPr>
                  <w:tcW w:type="auto" w:w="0"/>
                  <w:shd w:val="clear" w:color="auto" w:fill="F0F0F0"/>
                </w:tcPr>
                <w:p>
                  <w:pPr>
                    <w:pStyle w:val="Normal"/>
                    <w:keepLines w:val="on"/>
                  </w:pPr>
                  <w:r>
                    <w:t>2,51</w:t>
                  </w:r>
                </w:p>
              </w:tc>
            </w:tr>
            <w:tr>
              <w:tc>
                <w:tcPr>
                  <w:tcW w:type="auto" w:w="0"/>
                  <w:shd w:val="clear" w:color="auto" w:fill="F0F0F0"/>
                </w:tcPr>
                <w:p>
                  <w:pPr>
                    <w:pStyle w:val="Normal"/>
                    <w:keepLines w:val="on"/>
                  </w:pPr>
                  <w:r>
                    <w:t>90%</w:t>
                  </w:r>
                </w:p>
              </w:tc>
              <w:tc>
                <w:tcPr>
                  <w:tcW w:type="auto" w:w="0"/>
                  <w:shd w:val="clear" w:color="auto" w:fill="F0F0F0"/>
                </w:tcPr>
                <w:p>
                  <w:pPr>
                    <w:pStyle w:val="Normal"/>
                    <w:keepLines w:val="on"/>
                  </w:pPr>
                  <w:r>
                    <w:t>900,00%</w:t>
                  </w:r>
                </w:p>
              </w:tc>
              <w:tc>
                <w:tcPr>
                  <w:tcW w:type="auto" w:w="0"/>
                  <w:shd w:val="clear" w:color="auto" w:fill="F0F0F0"/>
                </w:tcPr>
                <w:p>
                  <w:pPr>
                    <w:pStyle w:val="Normal"/>
                    <w:keepLines w:val="on"/>
                  </w:pPr>
                  <w:r>
                    <w:t>6,53</w:t>
                  </w:r>
                </w:p>
              </w:tc>
              <w:tc>
                <w:tcPr>
                  <w:tcW w:type="auto" w:w="0"/>
                  <w:shd w:val="clear" w:color="auto" w:fill="F0F0F0"/>
                </w:tcPr>
                <w:p>
                  <w:pPr>
                    <w:pStyle w:val="Normal"/>
                    <w:keepLines w:val="on"/>
                  </w:pPr>
                  <w:r>
                    <w:t>5,69</w:t>
                  </w:r>
                </w:p>
              </w:tc>
            </w:tr>
          </w:tbl>
          <w:p/>
        </w:tc>
      </w:tr>
    </w:tbl>
    <w:p>
      <w:pPr>
        <w:pStyle w:val="Para 04"/>
        <w:keepLines w:val="on"/>
      </w:pPr>
      <w:r>
        <w:t>Khi đòn bẩy tài chính của Microsoft tăng lên, hệ số beta cũng tăng theo cùng lúc.</w:t>
      </w:r>
    </w:p>
    <w:p>
      <w:pPr>
        <w:pStyle w:val="Para 04"/>
        <w:keepLines w:val="on"/>
      </w:pPr>
      <w:r>
        <w:t>Khi thực hiện những phép tính này, tôi đã dùng tổng nợ (hay nợ gộp) của Microsoft, và các hệ số beta chưa vay nợ (unlevered) cùng beta có vay nợ (levered) được tính là cho chính công ty Microsoft, với lượng tiền mặt mà công ty nắm giữ được coi như một tài sản (đúng là như vậy). Tuy nhiên, tiền mặt là một tài sản phi rủi ro, nên beta chưa vay nợ cho các tài sản hoạt động (hay tài sản phi tiền mặt) của Microsoft có thể được tính bằng cách loại bỏ ảnh hưởng của tiền mặt:</w:t>
      </w:r>
    </w:p>
    <w:p>
      <w:bookmarkStart w:id="1324" w:name="Cash_as_a_percent_of_Microsoft_s"/>
      <w:pPr>
        <w:keepNext/>
        <w:pStyle w:val="Para 07"/>
        <w:keepLines w:val="on"/>
      </w:pPr>
      <w:r>
        <w:t>Tiền mặt tính theo phần trăm giá trị của Microsoft (2019–2023) = 8,41% Beta chưa vay nợ cho tài sản hoạt động của Microsoft = Beta chưa vay nợ của công ty / (1 − Tiền mặt tính theo phần trăm giá trị) = 0,84 / (1 − 0,0841) = 0,92</w:t>
      </w:r>
      <w:bookmarkEnd w:id="1324"/>
    </w:p>
    <w:p>
      <w:pPr>
        <w:pStyle w:val="Para 04"/>
        <w:keepLines w:val="on"/>
      </w:pPr>
      <w:r>
        <w:t>Thực ra, bạn cũng có thể ra được giá trị gần tương tự bằng cách dùng tỷ lệ nợ ròng (net debt ratio) (trong đó tiền mặt được trừ đi để bù trừ với nợ). Cách tiếp cận đó sẽ cho ra:</w:t>
      </w:r>
    </w:p>
    <w:p>
      <w:bookmarkStart w:id="1325" w:name="Net_Debt_ratio_between_2019_and"/>
      <w:pPr>
        <w:keepNext/>
        <w:pStyle w:val="Para 07"/>
        <w:keepLines w:val="on"/>
      </w:pPr>
      <w:r>
        <w:t>Tỷ lệ nợ ròng trong giai đoạn 2019–2023 = −2,99% Beta chưa vay nợ (dùng nợ ròng trên vốn chủ sở hữu) = Beta hiện tại / [1 + (1 − Thuế suất) (Nợ/Vốn chủ sở hữu bình quân)] = 0,88 / [1 + (1 − 0,25) (−0,0299)] = 0,90</w:t>
      </w:r>
      <w:bookmarkEnd w:id="1325"/>
    </w:p>
    <w:p>
      <w:pPr>
        <w:pStyle w:val="Para 04"/>
        <w:keepLines w:val="on"/>
      </w:pPr>
      <w:r>
        <w:t>Trong khi chúng tôi ưu tiên cách tiếp cận dùng nợ gộp, kèm theo điều chỉnh cho tiền mặt, thì tỷ lệ nợ ròng cũng sẽ hoạt động tốt, miễn là bạn giữ nhất quán trong việc sử dụng nó xuyên suốt quá trình tính chi phí vốn.</w:t>
      </w:r>
    </w:p>
    <w:p>
      <w:pPr>
        <w:pStyle w:val="Para 11"/>
      </w:pPr>
      <w:r>
        <w:t/>
        <w:t xml:space="preserve"> </w:t>
      </w:r>
    </w:p>
    <w:p>
      <w:bookmarkStart w:id="1326" w:name="levbeta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79"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1326"/>
    </w:p>
    <w:p>
      <w:pPr>
        <w:pStyle w:val="Para 31"/>
        <w:keepLines w:val="on"/>
      </w:pPr>
      <w:r>
        <w:t>levbeta.xls: Bảng tính này cho phép bạn ước tính beta chưa vay nợ cho một công ty và tính toán các hệ số beta như một hàm số của đòn bẩy của công ty</w:t>
      </w:r>
    </w:p>
    <w:p>
      <w:pPr>
        <w:pStyle w:val="Para 03"/>
        <w:keepLines w:val="on"/>
      </w:pPr>
      <w:r>
        <w:t>.</w:t>
      </w:r>
    </w:p>
    <w:p>
      <w:pPr>
        <w:pStyle w:val="Para 20"/>
      </w:pPr>
      <w:r>
        <w:rPr>
          <w:rStyle w:val="Text26"/>
        </w:rPr>
        <w:bookmarkStart w:id="1327" w:name="Page_205"/>
        <w:t/>
        <w:bookmarkEnd w:id="1327"/>
      </w:r>
      <w:r>
        <w:t xml:space="preserve"> </w:t>
      </w:r>
    </w:p>
    <w:p>
      <w:bookmarkStart w:id="1328" w:name="Bottom_Up_Betas__Breaking_down_b"/>
      <w:pPr>
        <w:pStyle w:val="Para 21"/>
      </w:pPr>
      <w:r>
        <w:t>Beta từ dưới lên (Bottom-Up Betas)</w:t>
      </w:r>
      <w:bookmarkEnd w:id="1328"/>
    </w:p>
    <w:p>
      <w:pPr>
        <w:pStyle w:val="Para 03"/>
      </w:pPr>
      <w:r>
        <w:t>Việc phân tách các hệ số beta thành hai thành phần: rủi ro kinh doanh và đòn bẩy tài chính mang đến cho chúng ta một cách khác để ước tính beta, trong đó chúng ta không cần giá trong quá khứ của một công ty hay tài sản riêng lẻ để ước tính beta của nó.</w:t>
      </w:r>
    </w:p>
    <w:p>
      <w:pPr>
        <w:pStyle w:val="Para 03"/>
      </w:pPr>
      <w:r>
        <w:t>Để phát triển cách tiếp cận thay thế này, chúng ta cần giới thiệu thêm một đặc tính vô cùng quý giá của beta. Beta của hai tài sản gộp lại là bình quân gia quyền của các beta riêng lẻ, với trọng số dựa trên giá trị thị trường. Do đó, beta của một công ty là bình quân gia quyền của beta của tất cả các mảng kinh doanh khác nhau mà nó tham gia. Chúng ta có thể ước tính beta cho một công ty qua năm bước:</w:t>
      </w:r>
    </w:p>
    <w:p>
      <w:pPr>
        <w:pStyle w:val="Para 01"/>
      </w:pPr>
      <w:r>
        <w:t>Bước 1: Xác định mảng kinh doanh hoặc các mảng kinh doanh mà công ty đang hoạt động.</w:t>
      </w:r>
    </w:p>
    <w:p>
      <w:pPr>
        <w:pStyle w:val="Para 01"/>
      </w:pPr>
      <w:r>
        <w:t>Bước 2: Tìm các công ty niêm yết khác trong từng mảng kinh doanh và lấy hệ số beta hồi quy của họ, rồi dùng chúng để tính beta bình quân cho các công ty trong mỗi mảng kinh doanh.</w:t>
      </w:r>
    </w:p>
    <w:p>
      <w:pPr>
        <w:pStyle w:val="Para 01"/>
      </w:pPr>
      <w:r>
        <w:t>Bước 3: Ước tính beta chưa vay nợ bình quân cho mảng kinh doanh bằng cách loại bỏ đòn bẩy khỏi beta bình quân (hoặc trung vị) của các công ty dựa trên tỷ lệ nợ trên vốn chủ sở hữu bình quân (hoặc trung vị) của họ (Nếu những công ty này có lượng tiền mặt đáng kể, bạn có thể điều chỉnh cho tiền mặt một cách tường minh bằng cách điều chỉnh theo phần trăm tiền mặt trên giá trị công ty, hoặc một cách ngầm định bằng cách dùng tỷ lệ nợ ròng. Hoặc, chúng ta có thể ước tính beta chưa vay nợ cho từng công ty, rồi tính bình quân của các beta chưa vay nợ đó. Cách tiếp cận thứ nhất được ưu tiên hơn vì việc loại bỏ đòn bẩy khỏi một beta hồi quy bị sai lệch có khả năng sẽ làm sai số chồng chất thêm.</w:t>
      </w:r>
    </w:p>
    <w:p>
      <w:bookmarkStart w:id="1330" w:name="Unlevered_betabusiness__Betacomp"/>
      <w:pPr>
        <w:keepNext/>
        <w:pStyle w:val="Para 09"/>
        <w:keepLines w:val="on"/>
      </w:pPr>
      <w:r>
        <w:t>Beta chưa vay nợ của mảng kinh doanh = Beta của các công ty so sánh / [1 + (1 − t)(D/E của các công ty so sánh)]</w:t>
      </w:r>
      <w:bookmarkEnd w:id="1330"/>
    </w:p>
    <w:p>
      <w:pPr>
        <w:pStyle w:val="Para 01"/>
      </w:pPr>
      <w:r>
        <w:t>Bước 4: Ước tính beta chưa vay nợ cho công ty đang được phân tích, bằng cách lấy bình quân gia quyền của các beta chưa vay nợ của các mảng kinh doanh mà nó hoạt động, dùng tỷ trọng giá trị công ty đến từ mỗi mảng kinh doanh làm trọng số. Nếu không có sẵn các giá trị, bạn có thể dùng thu nhập hoạt động hoặc doanh thu làm trọng số. Bình quân gia quyền này được gọi là beta chưa vay nợ từ dưới lên (bottom-up unlevered beta).</w:t>
      </w:r>
    </w:p>
    <w:p>
      <w:bookmarkStart w:id="1331" w:name="Unlevered_betafirm_____j_1j_k_Un"/>
      <w:pPr>
        <w:keepNext/>
        <w:pStyle w:val="Para 09"/>
        <w:keepLines w:val="on"/>
      </w:pPr>
      <w:r>
        <w:t>Beta chưa vay nợ của công ty = ∑j=1 đến j=k (Beta chưa vay nợ của mảng j × Trọng số giá trị của mảng j)</w:t>
      </w:r>
      <w:bookmarkEnd w:id="1331"/>
    </w:p>
    <w:p>
      <w:pPr>
        <w:pStyle w:val="Para 01"/>
      </w:pPr>
      <w:r>
        <w:t>trong đó công ty được giả định hoạt động trong k mảng kinh doanh khác nhau, Beta chưa vay nợ của mảng j là beta chưa vay nợ của từng mảng kinh doanh, và Trọng số giá trị của mảng j là tỷ trọng phần trăm của mảng kinh doanh đó.</w:t>
      </w:r>
    </w:p>
    <w:p>
      <w:pPr>
        <w:pStyle w:val="Para 01"/>
      </w:pPr>
      <w:r>
        <w:t>Bước 5: Cuối cùng, ước tính giá trị thị trường hiện tại của nợ và vốn chủ sở hữu tại công ty, rồi dùng tỷ lệ nợ trên vốn chủ sở hữu này để ước tính beta có vay nợ.</w:t>
      </w:r>
    </w:p>
    <w:p>
      <w:pPr>
        <w:pStyle w:val="Para 03"/>
      </w:pPr>
      <w:r>
        <w:t>Các beta được ước tính bằng quy trình này được gọi là beta từ dưới lên (bottom-up betas).</w:t>
      </w:r>
    </w:p>
    <w:p>
      <w:bookmarkStart w:id="1332" w:name="The_Case_for_Bottom_Up_Betas__At"/>
      <w:pPr>
        <w:pStyle w:val="Para 42"/>
      </w:pPr>
      <w:r>
        <w:t>Lý do ủng hộ beta từ dưới lên</w:t>
      </w:r>
      <w:bookmarkEnd w:id="1332"/>
    </w:p>
    <w:p>
      <w:pPr>
        <w:pStyle w:val="Para 03"/>
      </w:pPr>
      <w:r>
        <w:t>Thoạt nhìn, việc sử dụng beta từ dưới lên có vẻ như khiến chúng ta phải đối mặt với tất cả những vấn đề đã được ghi nhận với beta hồi quy (regression betas). Suy cho cùng, beta của các công ty niêm yết khác trong cùng ngành đều được lấy từ các phép hồi quy.</w:t>
      </w:r>
    </w:p>
    <w:p>
      <w:pPr>
        <w:pStyle w:val="Para 03"/>
      </w:pPr>
      <w:r>
        <w:t>Dù vậy, beta từ dưới lên vẫn là một bước cải thiện đáng kể so với beta hồi quy vì những lý do sau:</w:t>
      </w:r>
    </w:p>
    <w:p>
      <w:pPr>
        <w:numPr>
          <w:ilvl w:val="0"/>
          <w:numId w:val="58"/>
        </w:numPr>
        <w:pStyle w:val="Para 01"/>
      </w:pPr>
      <w:r>
        <w:t>Mặc dù mỗi beta hồi quy được ước tính với một sai số chuẩn (standard error), nhưng giá trị trung bình của nhiều beta hồi quy lại có sai số chuẩn thấp hơn nhiều. Trực giác rất đơn giản. Sai số chuẩn cao ở một ước tính beta cho thấy nó có thể cao hơn hoặc thấp hơn đáng kể so với beta thực. Lấy trung bình của các beta hồi quy riêng lẻ này sẽ cho ra một beta trung bình chính xác hơn nhiều so với từng beta riêng lẻ cấu thành nên nó. Thực tế, nếu sai số ước tính của từng công ty là không tương quan với nhau giữa các công ty, thì mức tiết kiệm sai số chuẩn có thể được biểu diễn như một hàm của sai số chuẩn trung bình của các ước tính beta và số lượng công ty trong mẫu.</w:t>
      </w:r>
    </w:p>
    <w:p>
      <w:bookmarkStart w:id="1335" w:name="Standard_errorBottom_up_beta_Ave"/>
      <w:pPr>
        <w:keepNext/>
        <w:pStyle w:val="Para 09"/>
        <w:keepLines w:val="on"/>
      </w:pPr>
      <w:r>
        <w:t>Sai số chuẩn của beta từ dưới lên = Sai số chuẩn trung bình của beta các công ty so sánh chia cho căn bậc hai của n</w:t>
      </w:r>
      <w:bookmarkEnd w:id="1335"/>
    </w:p>
    <w:p>
      <w:pPr>
        <w:pStyle w:val="Para 01"/>
      </w:pPr>
      <w:r>
        <w:t>trong đó n là số lượng công ty trong mẫu. Như vậy, nếu sai số chuẩn trung bình của các ước tính beta cho các công ty phần mềm là 0,50 và số lượng công ty phần mềm là 100, thì sai số chuẩn của beta trung bình chỉ là 0,05 (0,50/√100).</w:t>
      </w:r>
    </w:p>
    <w:p>
      <w:pPr>
        <w:numPr>
          <w:ilvl w:val="0"/>
          <w:numId w:val="59"/>
        </w:numPr>
        <w:pStyle w:val="Para 01"/>
      </w:pPr>
      <w:r>
        <w:t>Beta từ dưới lên có thể được điều chỉnh để phản ánh những thay đổi thực tế trong cơ cấu kinh doanh của một công ty cũng như những thay đổi dự kiến trong tương lai. Chẳng hạn, nếu tuần trước một công ty đã thoái vốn khỏi một phần lớn hoạt động của mình, thì trọng số của các mảng kinh doanh có thể được điều chỉnh để phản ánh việc thoái vốn đó. Điều tương tự cũng có thể làm với các thương vụ mua lại. Thực tế, các kế hoạch chiến lược của công ty nhằm tham gia vào những mảng kinh doanh mới trong tương lai cũng có thể được đưa vào các ước tính beta cho những giai đoạn tương lai.</w:t>
      </w:r>
    </w:p>
    <w:p>
      <w:pPr>
        <w:numPr>
          <w:ilvl w:val="0"/>
          <w:numId w:val="59"/>
        </w:numPr>
        <w:pStyle w:val="Para 01"/>
      </w:pPr>
      <w:r>
        <w:t>Các công ty thực sự thay đổi tỷ lệ nợ của mình theo thời gian. Trong khi beta hồi quy phản ánh tỷ lệ nợ trên vốn chủ sở hữu (debt-to-equity ratio) trung bình mà công ty duy trì trong giai đoạn hồi quy, thì beta từ dưới lên sử dụng tỷ lệ nợ trên vốn chủ sở hữu hiện tại. Nếu một công ty dự định thay đổi tỷ lệ nợ trên vốn chủ sở hữu trong tương lai, thì beta có thể được điều chỉnh để thể hiện những thay đổi này.</w:t>
      </w:r>
    </w:p>
    <w:p>
      <w:pPr>
        <w:numPr>
          <w:ilvl w:val="0"/>
          <w:numId w:val="59"/>
        </w:numPr>
        <w:pStyle w:val="Para 01"/>
      </w:pPr>
      <w:r>
        <w:t>Cuối cùng, beta từ dưới lên giúp chúng ta thoát khỏi sự phụ thuộc vào giá cổ phiếu trong quá khứ. Mặc dù chúng ta vẫn cần những mức giá này để tính beta cho các công ty so sánh, nhưng tất cả những gì chúng ta cần cho công ty đang được phân tích chỉ là bảng phân tách các mảng kinh doanh mà công ty đó tham gia. Nhờ vậy, beta từ dưới lên có thể được ước tính cho các công ty tư nhân, các bộ phận kinh doanh, và cả những cổ phiếu vừa mới bắt đầu giao dịch trên thị trường tài chính.</w:t>
      </w:r>
    </w:p>
    <w:p>
      <w:bookmarkStart w:id="1336" w:name="Computational_Details__Although"/>
      <w:pPr>
        <w:pStyle w:val="Para 42"/>
      </w:pPr>
      <w:r>
        <w:t>Các chi tiết tính toán</w:t>
      </w:r>
      <w:bookmarkEnd w:id="1336"/>
    </w:p>
    <w:p>
      <w:pPr>
        <w:pStyle w:val="Para 03"/>
      </w:pPr>
      <w:r>
        <w:t>Mặc dù ý tưởng đằng sau beta từ dưới lên khá đơn giản, nhưng có một số chi tiết tính toán đáng lưu tâm:</w:t>
      </w:r>
    </w:p>
    <w:p>
      <w:pPr>
        <w:numPr>
          <w:ilvl w:val="0"/>
          <w:numId w:val="60"/>
        </w:numPr>
        <w:pStyle w:val="Para 01"/>
      </w:pPr>
      <w:r>
        <w:t>Xác định các công ty so sánh. Đầu tiên, chúng ta phải quyết định xem sẽ định nghĩa một mảng kinh doanh hẹp đến mức nào. Chẳng hạn, hãy xét một công ty sản xuất phần mềm giải trí. Chúng ta có thể định nghĩa mảng kinh doanh này là phần mềm giải trí và chỉ coi những công ty chủ yếu sản xuất phần mềm giải trí là công ty so sánh. Chúng ta thậm chí có thể đi xa hơn và định nghĩa công ty so sánh là những công ty làm phần mềm giải trí có doanh thu tương tự như công ty đang được phân tích. Mặc dù việc thu hẹp định nghĩa công ty so sánh có những lợi ích, nhưng cũng có cái giá của nó. Mỗi tiêu chí bổ sung được thêm vào định nghĩa công ty so sánh sẽ khiến danh sách có ít công ty hơn, và mức tiết kiệm sai số chuẩn — vốn là lợi ích lớn nhất của beta từ dưới lên — sẽ trở nên nhỏ hơn. Do đó, cần áp dụng một nguyên tắc thông thường. Nếu có hàng trăm công ty trong một mảng kinh doanh, như trong lĩnh vực phần mềm, bạn có thể thoải mái chọn lọc kỹ hơn. Nếu có tương đối ít công ty, thì không những bạn phải bớt chọn lọc đi, mà còn có thể phải mở rộng định nghĩa công ty so sánh để đưa thêm các công ty khác vào.</w:t>
      </w:r>
    </w:p>
    <w:p>
      <w:pPr>
        <w:numPr>
          <w:ilvl w:val="0"/>
          <w:numId w:val="60"/>
        </w:numPr>
        <w:pStyle w:val="Para 01"/>
      </w:pPr>
      <w:r>
        <w:t>Ước tính beta. Sau khi đã xác định được các công ty so sánh trong một mảng kinh doanh, bạn phải ước tính beta cho những công ty này. Mặc dù tốt nhất là ước tính beta cho từng công ty này so với một chỉ số vốn cổ phần chung và được đa dạng hóa tốt, nhưng thường thì việc sử dụng các beta dịch vụ (service betas) có sẵn cho từng công ty sẽ dễ dàng hơn. Những beta dịch vụ này có thể được ước tính so với các chỉ số khác nhau. Chẳng hạn, nếu bạn định nghĩa mảng kinh doanh của mình là viễn thông toàn cầu và lấy beta cho các công ty viễn thông toàn cầu từ Bloomberg, thì những beta này sẽ được ước tính so với các chỉ số địa phương. Điều này thường không phải là vấn đề nghiêm trọng, đặc biệt là với các mẫu lớn, vì các sai số trong ước tính có xu hướng triệt tiêu lẫn nhau khi lấy trung bình.</w:t>
      </w:r>
    </w:p>
    <w:p>
      <w:pPr>
        <w:numPr>
          <w:ilvl w:val="0"/>
          <w:numId w:val="60"/>
        </w:numPr>
        <w:pStyle w:val="Para 01"/>
      </w:pPr>
      <w:r>
        <w:t>Phương pháp lấy trung bình. Beta trung bình cho các công ty trong ngành có thể được tính theo một trong ba cách. Chúng ta có thể dùng trung bình gia quyền theo giá trị thị trường, nhưng mức tiết kiệm sai số chuẩn được ca ngợi ở phần trước sẽ bị giảm đi, đặc biệt nếu trong mẫu có một hoặc hai công ty rất lớn. Chúng ta có thể ước tính trung bình đơn giản của beta các công ty, tức là gia quyền đều cho tất cả các beta. Cách này gia quyền không tương xứng cho những công ty nhỏ nhất trong mẫu (so với giá trị thị trường của chúng), nhưng mức tiết kiệm sai số chuẩn lại có khả năng đạt mức tối đa. Nếu dữ liệu được lấy trung bình (beta, tỷ lệ nợ trên vốn chủ sở hữu) có những giá trị ngoại lai (outliers) lớn, chúng ta có thể dùng giá trị trung vị (median).</w:t>
      </w:r>
    </w:p>
    <w:p>
      <w:pPr>
        <w:numPr>
          <w:ilvl w:val="0"/>
          <w:numId w:val="60"/>
        </w:numPr>
        <w:pStyle w:val="Para 01"/>
      </w:pPr>
      <w:r>
        <w:t>Kiểm soát sự khác biệt. Về bản chất, khi sử dụng beta từ các công ty so sánh, chúng ta đang giả định rằng tất cả các công ty trong mảng kinh doanh đều có cùng mức độ phơi nhiễm với rủi ro kinh doanh và có đòn bẩy hoạt động (operating leverage) tương tự nhau. Lưu ý rằng quy trình gắn đòn bẩy và tháo đòn bẩy (levering and unlevering) beta cho phép chúng ta kiểm soát sự khác biệt về đòn bẩy tài chính. Nếu có sự khác biệt đáng kể về đòn bẩy hoạt động — tức cấu trúc chi phí — giữa các công ty, thì sự khác biệt về đòn bẩy hoạt động cũng có thể được kiểm soát. Điều này đòi hỏi phải ước tính một beta kinh doanh (business beta), trong đó loại bỏ ảnh hưởng của đòn bẩy hoạt động khỏi beta đã tháo đòn bẩy:</w:t>
      </w:r>
    </w:p>
    <w:p>
      <w:bookmarkStart w:id="1339" w:name="Business_beta_Unlevered_Beta_1_F"/>
      <w:pPr>
        <w:keepNext/>
        <w:pStyle w:val="Para 09"/>
        <w:keepLines w:val="on"/>
      </w:pPr>
      <w:r>
        <w:t>Beta kinh doanh = Beta đã tháo đòn bẩy chia cho (1 + Chi phí cố định / Chi phí biến đổi)</w:t>
      </w:r>
      <w:bookmarkEnd w:id="1339"/>
    </w:p>
    <w:p>
      <w:pPr>
        <w:pStyle w:val="Para 03"/>
      </w:pPr>
      <w:r>
        <w:t>Hãy lưu ý sự tương đồng với việc điều chỉnh cho đòn bẩy tài chính; điểm khác biệt duy nhất là cả chi phí cố định lẫn chi phí biến đổi đều đủ điều kiện được khấu trừ thuế, và do đó thuế suất không còn là một nhân tố nữa. Sau đó, beta kinh doanh có thể được gắn đòn bẩy trở lại để phản ánh sự khác biệt về đòn bẩy hoạt động giữa các công ty.</w:t>
      </w:r>
    </w:p>
    <w:p>
      <w:pPr>
        <w:pStyle w:val="Para 11"/>
      </w:pPr>
      <w:r>
        <w:t/>
        <w:t xml:space="preserve"> </w:t>
      </w:r>
    </w:p>
    <w:p>
      <w:bookmarkStart w:id="1340" w:name="Cash_and_Betas"/>
      <w:bookmarkStart w:id="1341" w:name="Cash_and_Betas_In_the_process_fo"/>
      <w:pPr>
        <w:keepNext/>
        <w:pStyle w:val="Para 27"/>
        <w:keepLines w:val="on"/>
      </w:pPr>
      <w:r>
        <w:t>Tiền mặt và Beta</w:t>
      </w:r>
      <w:bookmarkEnd w:id="1340"/>
      <w:bookmarkEnd w:id="1341"/>
    </w:p>
    <w:p>
      <w:pPr>
        <w:pStyle w:val="Para 16"/>
        <w:keepLines w:val="on"/>
      </w:pPr>
      <w:r>
        <w:t>Trong quy trình ước tính beta từ dưới lên, chúng tôi đã đề xuất một quy trình gồm hai bước: lấy trung bình gia quyền beta của các mảng kinh doanh mà một công ty tham gia, sử dụng beta trung bình ngành của các công ty niêm yết khác trong từng mảng kinh doanh, rồi điều chỉnh theo tỷ lệ nợ trên vốn chủ sở hữu của chính công ty đang xét.</w:t>
      </w:r>
    </w:p>
    <w:p>
      <w:pPr>
        <w:pStyle w:val="Para 16"/>
        <w:keepLines w:val="on"/>
      </w:pPr>
      <w:r>
        <w:t>Tuy nhiên, khi thực hiện những điều chỉnh này, chúng ta lại phải đối mặt với thực tế rằng một công ty có thể có một phần đáng kể tài sản là tiền mặt. Vì tiền mặt thường được đầu tư vào những khoản gần như phi rủi ro và có tính thanh khoản cao, nên nó phải có beta bằng không. Vậy tiền mặt tham gia vào phép tính như thế nào? Nó xuất hiện ở hai chỗ. Khi tính beta trung bình ngành, chúng tôi đã đề xuất tháo đòn bẩy cho beta hồi quy trung bình của ngành, sử dụng tỷ lệ nợ trên vốn chủ sở hữu trung bình và thuế suất biên trung bình của ngành. Như vậy, với beta có đòn bẩy trung bình là 1,30, tỷ lệ nợ trên vốn chủ sở hữu trung bình là 50% và thuế suất trung bình là 40%, chúng ta ước tính beta đã tháo đòn bẩy trung bình ngành là 1,00 cho mảng kinh doanh giải trí:</w:t>
      </w:r>
    </w:p>
    <w:p>
      <w:bookmarkStart w:id="1343" w:name="Unlevered_Beta_1_30_1_1__4_50__1"/>
      <w:pPr>
        <w:keepNext/>
        <w:pStyle w:val="Para 48"/>
        <w:keepLines w:val="on"/>
      </w:pPr>
      <w:r>
        <w:t>Beta đã tháo đòn bẩy = 1,30 chia cho (1 + (1 - 0,4) × 0,50) = 1,00</w:t>
      </w:r>
      <w:bookmarkEnd w:id="1343"/>
    </w:p>
    <w:p>
      <w:pPr>
        <w:pStyle w:val="Para 16"/>
        <w:keepLines w:val="on"/>
      </w:pPr>
      <w:r>
        <w:t>Tuy nhiên, đây là beta đã tháo đòn bẩy cho các công ty trong mảng kinh doanh này, và những công ty này nói chung sẽ giữ một phần giá trị nào đó dưới dạng số dư tiền mặt. Chẳng hạn, giả sử số dư tiền mặt trung bình của các công ty giải trí trong ngành là 10%. Khi đó, beta đã tháo đòn bẩy chỉ cho riêng mảng kinh doanh giải trí có thể được tính như sau:</w:t>
      </w:r>
    </w:p>
    <w:p>
      <w:bookmarkStart w:id="1344" w:name="Unlevered_beta_for_entertainment"/>
      <w:pPr>
        <w:keepNext/>
        <w:pStyle w:val="Para 48"/>
        <w:keepLines w:val="on"/>
      </w:pPr>
      <w:r>
        <w:t>Beta đã tháo đòn bẩy cho mảng giải trí (0,90) + Beta cho tiền mặt (0,10) = 1,00</w:t>
      </w:r>
      <w:bookmarkEnd w:id="1344"/>
    </w:p>
    <w:p>
      <w:pPr>
        <w:pStyle w:val="Para 16"/>
        <w:keepLines w:val="on"/>
      </w:pPr>
      <w:r>
        <w:t>Thay beta bằng không cho tiền mặt vào, chúng ta có được beta chỉ cho riêng mảng kinh doanh giải trí:</w:t>
      </w:r>
    </w:p>
    <w:p>
      <w:bookmarkStart w:id="1345" w:name="Unlevered_beta_for_entertainment_1"/>
      <w:pPr>
        <w:keepNext/>
        <w:pStyle w:val="Para 48"/>
        <w:keepLines w:val="on"/>
      </w:pPr>
      <w:r>
        <w:t>Beta chưa vay nợ (unlevered beta) cho ngành giải trí = 1,00/0,90 = 1,11</w:t>
      </w:r>
      <w:bookmarkEnd w:id="1345"/>
    </w:p>
    <w:p>
      <w:pPr>
        <w:pStyle w:val="Para 16"/>
        <w:keepLines w:val="on"/>
      </w:pPr>
      <w:r>
        <w:t>Chúng ta gọi đây là beta của ngành, đã điều chỉnh cho tiền mặt, và dùng nó trong việc tính toán beta từ dưới lên (bottom-up beta).</w:t>
      </w:r>
    </w:p>
    <w:p>
      <w:pPr>
        <w:pStyle w:val="Para 16"/>
        <w:keepLines w:val="on"/>
      </w:pPr>
      <w:r>
        <w:t>Nơi thứ hai nó xuất hiện là khi chúng ta tính beta từ dưới lên cho một công ty. Để ước tính beta từ dưới lên chỉ cho phần tài sản hoạt động của một công ty như Microsoft, chúng ta sẽ lấy bình quân gia quyền của các beta chưa vay nợ đã điều chỉnh tiền mặt của mảng kinh doanh phần mềm và điện toán đám mây. Đây là beta chúng ta sẽ dùng để tính chi phí vốn cổ phần (cost of equity) và chi phí vốn (cost of capital). Để có beta từ dưới lên cho Microsoft với tư cách một công ty, sau đó chúng ta sẽ đưa lượng tiền mặt nắm giữ vào như một tài sản riêng biệt và gán cho nó beta bằng không. Beta này khi đó sẽ là beta cho toàn bộ tài sản của Microsoft và cho vốn cổ phần của Microsoft trong những tài sản đó. Mỗi loại beta đều có công dụng riêng trong định giá.</w:t>
      </w:r>
    </w:p>
    <w:p>
      <w:pPr>
        <w:pStyle w:val="Para 11"/>
      </w:pPr>
      <w:r>
        <w:t/>
        <w:t xml:space="preserve"> </w:t>
      </w:r>
    </w:p>
    <w:p>
      <w:bookmarkStart w:id="1346" w:name="betas_xls__This_dataset_on_the_w"/>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80"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1346"/>
    </w:p>
    <w:p>
      <w:pPr>
        <w:pStyle w:val="Para 31"/>
        <w:keepLines w:val="on"/>
      </w:pPr>
      <w:r>
        <w:t>betas.xls: Bộ dữ liệu này trên web có các beta và beta chưa vay nợ được cập nhật theo ngành kinh doanh tại Hoa Kỳ.</w:t>
      </w:r>
    </w:p>
    <w:p>
      <w:pPr>
        <w:pStyle w:val="Para 11"/>
      </w:pPr>
      <w:r>
        <w:t/>
        <w:t xml:space="preserve"> </w:t>
      </w:r>
    </w:p>
    <w:p>
      <w:bookmarkStart w:id="1347" w:name="ILLUSTRATION_8_4__Estimating_a_B_1"/>
      <w:bookmarkStart w:id="1348" w:name="ILLUSTRATION_8_4__Estimating_a_B"/>
      <w:pPr>
        <w:keepNext/>
        <w:pStyle w:val="Para 19"/>
        <w:keepLines w:val="on"/>
      </w:pPr>
      <w:r>
        <w:t>MINH HỌA 8.4: Ước tính beta từ dưới lên cho Vans Shoes—tháng 1 năm 2001</w:t>
      </w:r>
      <w:bookmarkEnd w:id="1347"/>
      <w:bookmarkEnd w:id="1348"/>
    </w:p>
    <w:p>
      <w:pPr>
        <w:pStyle w:val="Para 04"/>
        <w:keepLines w:val="on"/>
      </w:pPr>
      <w:r>
        <w:t>Vans Shoes là một hãng sản xuất giày với vốn hóa thị trường là 191 triệu đô la. Để ước tính beta từ dưới lên cho Vans Shoes, hãy xem xét beta của tất cả các công ty sản xuất giày niêm yết công khai trong Bảng 8.2:</w:t>
      </w:r>
    </w:p>
    <w:p>
      <w:pPr>
        <w:pStyle w:val="Para 40"/>
        <w:keepLines w:val="on"/>
      </w:pPr>
      <w:r>
        <w:rPr>
          <w:rStyle w:val="Text26"/>
        </w:rPr>
        <w:bookmarkStart w:id="1351" w:name="Page_209"/>
        <w:t/>
        <w:bookmarkEnd w:id="1351"/>
      </w:r>
      <w:r>
        <w:t xml:space="preserve"> </w:t>
      </w:r>
    </w:p>
    <w:p>
      <w:pPr>
        <w:pStyle w:val="Para 25"/>
        <w:keepLines w:val="on"/>
      </w:pPr>
      <w:r>
        <w:t>Bảng 8.2</w:t>
      </w:r>
    </w:p>
    <w:p>
      <w:pPr>
        <w:keepNext/>
        <w:pStyle w:val="Para 24"/>
        <w:keepLines w:val="on"/>
      </w:pPr>
      <w:r>
        <w:t>Beta và đòn bẩy hoạt động—Các công ty sản xuất giày</w:t>
      </w:r>
    </w:p>
    <w:tbl>
      <w:tblPr>
        <w:tblW w:type="auto" w:w="0"/>
      </w:tblPr>
      <w:tr>
        <w:tc>
          <w:tcPr>
            <w:tcW w:type="auto" w:w="0"/>
          </w:tcPr>
          <w:tbl>
            <w:tblPr>
              <w:tblW w:type="auto" w:w="0"/>
            </w:tblPr>
            <w:tr>
              <w:tc>
                <w:tcPr>
                  <w:tcW w:type="auto" w:w="0"/>
                  <w:shd w:val="clear" w:color="auto" w:fill="F0F0F0"/>
                </w:tcPr>
                <w:p>
                  <w:pPr>
                    <w:pStyle w:val="Para 32"/>
                    <w:keepLines w:val="on"/>
                  </w:pPr>
                  <w:r>
                    <w:t>Tên công ty</w:t>
                  </w:r>
                </w:p>
              </w:tc>
              <w:tc>
                <w:tcPr>
                  <w:tcW w:type="auto" w:w="0"/>
                  <w:shd w:val="clear" w:color="auto" w:fill="F0F0F0"/>
                </w:tcPr>
                <w:p>
                  <w:pPr>
                    <w:pStyle w:val="Para 05"/>
                    <w:keepLines w:val="on"/>
                  </w:pPr>
                  <w:r>
                    <w:t>Beta</w:t>
                  </w:r>
                </w:p>
              </w:tc>
              <w:tc>
                <w:tcPr>
                  <w:tcW w:type="auto" w:w="0"/>
                  <w:shd w:val="clear" w:color="auto" w:fill="F0F0F0"/>
                </w:tcPr>
                <w:p>
                  <w:pPr>
                    <w:pStyle w:val="Para 05"/>
                    <w:keepLines w:val="on"/>
                  </w:pPr>
                  <w:r>
                    <w:t>Nợ/Vốn cổ phần thị trường</w:t>
                  </w:r>
                </w:p>
              </w:tc>
              <w:tc>
                <w:tcPr>
                  <w:tcW w:type="auto" w:w="0"/>
                  <w:shd w:val="clear" w:color="auto" w:fill="F0F0F0"/>
                </w:tcPr>
                <w:p>
                  <w:pPr>
                    <w:pStyle w:val="Para 05"/>
                    <w:keepLines w:val="on"/>
                  </w:pPr>
                  <w:r>
                    <w:t>Cố định/Biến đổi</w:t>
                  </w:r>
                </w:p>
              </w:tc>
            </w:tr>
            <w:tr>
              <w:tc>
                <w:tcPr>
                  <w:tcW w:type="auto" w:w="0"/>
                  <w:shd w:val="clear" w:color="auto" w:fill="F0F0F0"/>
                </w:tcPr>
                <w:p>
                  <w:pPr>
                    <w:pStyle w:val="Para 02"/>
                    <w:keepLines w:val="on"/>
                  </w:pPr>
                  <w:r>
                    <w:t>Barry (R.G.)</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40,51%</w:t>
                  </w:r>
                </w:p>
              </w:tc>
              <w:tc>
                <w:tcPr>
                  <w:tcW w:type="auto" w:w="0"/>
                  <w:shd w:val="clear" w:color="auto" w:fill="F0F0F0"/>
                </w:tcPr>
                <w:p>
                  <w:pPr>
                    <w:pStyle w:val="Normal"/>
                    <w:keepLines w:val="on"/>
                  </w:pPr>
                  <w:r>
                    <w:t>75,66%</w:t>
                  </w:r>
                </w:p>
              </w:tc>
            </w:tr>
            <w:tr>
              <w:tc>
                <w:tcPr>
                  <w:tcW w:type="auto" w:w="0"/>
                  <w:shd w:val="clear" w:color="auto" w:fill="F0F0F0"/>
                </w:tcPr>
                <w:p>
                  <w:pPr>
                    <w:pStyle w:val="Para 02"/>
                    <w:keepLines w:val="on"/>
                  </w:pPr>
                  <w:r>
                    <w:t>Brown Shoe</w:t>
                  </w:r>
                </w:p>
              </w:tc>
              <w:tc>
                <w:tcPr>
                  <w:tcW w:type="auto" w:w="0"/>
                  <w:shd w:val="clear" w:color="auto" w:fill="F0F0F0"/>
                </w:tcPr>
                <w:p>
                  <w:pPr>
                    <w:pStyle w:val="Normal"/>
                    <w:keepLines w:val="on"/>
                  </w:pPr>
                  <w:r>
                    <w:t>0,80</w:t>
                  </w:r>
                </w:p>
              </w:tc>
              <w:tc>
                <w:tcPr>
                  <w:tcW w:type="auto" w:w="0"/>
                  <w:shd w:val="clear" w:color="auto" w:fill="F0F0F0"/>
                </w:tcPr>
                <w:p>
                  <w:pPr>
                    <w:pStyle w:val="Normal"/>
                    <w:keepLines w:val="on"/>
                  </w:pPr>
                  <w:r>
                    <w:t>106,64%</w:t>
                  </w:r>
                </w:p>
              </w:tc>
              <w:tc>
                <w:tcPr>
                  <w:tcW w:type="auto" w:w="0"/>
                  <w:shd w:val="clear" w:color="auto" w:fill="F0F0F0"/>
                </w:tcPr>
                <w:p>
                  <w:pPr>
                    <w:pStyle w:val="Normal"/>
                    <w:keepLines w:val="on"/>
                  </w:pPr>
                  <w:r>
                    <w:t>61,41%</w:t>
                  </w:r>
                </w:p>
              </w:tc>
            </w:tr>
            <w:tr>
              <w:tc>
                <w:tcPr>
                  <w:tcW w:type="auto" w:w="0"/>
                  <w:shd w:val="clear" w:color="auto" w:fill="F0F0F0"/>
                </w:tcPr>
                <w:p>
                  <w:pPr>
                    <w:pStyle w:val="Para 02"/>
                    <w:keepLines w:val="on"/>
                  </w:pPr>
                  <w:r>
                    <w:t>Candie's Inc.</w:t>
                  </w:r>
                </w:p>
              </w:tc>
              <w:tc>
                <w:tcPr>
                  <w:tcW w:type="auto" w:w="0"/>
                  <w:shd w:val="clear" w:color="auto" w:fill="F0F0F0"/>
                </w:tcPr>
                <w:p>
                  <w:pPr>
                    <w:pStyle w:val="Normal"/>
                    <w:keepLines w:val="on"/>
                  </w:pPr>
                  <w:r>
                    <w:t>1,20</w:t>
                  </w:r>
                </w:p>
              </w:tc>
              <w:tc>
                <w:tcPr>
                  <w:tcW w:type="auto" w:w="0"/>
                  <w:shd w:val="clear" w:color="auto" w:fill="F0F0F0"/>
                </w:tcPr>
                <w:p>
                  <w:pPr>
                    <w:pStyle w:val="Normal"/>
                    <w:keepLines w:val="on"/>
                  </w:pPr>
                  <w:r>
                    <w:t>75,86%</w:t>
                  </w:r>
                </w:p>
              </w:tc>
              <w:tc>
                <w:tcPr>
                  <w:tcW w:type="auto" w:w="0"/>
                  <w:shd w:val="clear" w:color="auto" w:fill="F0F0F0"/>
                </w:tcPr>
                <w:p>
                  <w:pPr>
                    <w:pStyle w:val="Normal"/>
                    <w:keepLines w:val="on"/>
                  </w:pPr>
                  <w:r>
                    <w:t>29,78%</w:t>
                  </w:r>
                </w:p>
              </w:tc>
            </w:tr>
            <w:tr>
              <w:tc>
                <w:tcPr>
                  <w:tcW w:type="auto" w:w="0"/>
                  <w:shd w:val="clear" w:color="auto" w:fill="F0F0F0"/>
                </w:tcPr>
                <w:p>
                  <w:pPr>
                    <w:pStyle w:val="Para 02"/>
                    <w:keepLines w:val="on"/>
                  </w:pPr>
                  <w:r>
                    <w:t>Converse Inc.</w:t>
                  </w:r>
                </w:p>
              </w:tc>
              <w:tc>
                <w:tcPr>
                  <w:tcW w:type="auto" w:w="0"/>
                  <w:shd w:val="clear" w:color="auto" w:fill="F0F0F0"/>
                </w:tcPr>
                <w:p>
                  <w:pPr>
                    <w:pStyle w:val="Normal"/>
                    <w:keepLines w:val="on"/>
                  </w:pPr>
                  <w:r>
                    <w:t>0,60</w:t>
                  </w:r>
                </w:p>
              </w:tc>
              <w:tc>
                <w:tcPr>
                  <w:tcW w:type="auto" w:w="0"/>
                  <w:shd w:val="clear" w:color="auto" w:fill="F0F0F0"/>
                </w:tcPr>
                <w:p>
                  <w:pPr>
                    <w:pStyle w:val="Normal"/>
                    <w:keepLines w:val="on"/>
                  </w:pPr>
                  <w:r>
                    <w:t>653,46%</w:t>
                  </w:r>
                </w:p>
              </w:tc>
              <w:tc>
                <w:tcPr>
                  <w:tcW w:type="auto" w:w="0"/>
                  <w:shd w:val="clear" w:color="auto" w:fill="F0F0F0"/>
                </w:tcPr>
                <w:p>
                  <w:pPr>
                    <w:pStyle w:val="Normal"/>
                    <w:keepLines w:val="on"/>
                  </w:pPr>
                  <w:r>
                    <w:t>39,64%</w:t>
                  </w:r>
                </w:p>
              </w:tc>
            </w:tr>
            <w:tr>
              <w:tc>
                <w:tcPr>
                  <w:tcW w:type="auto" w:w="0"/>
                  <w:shd w:val="clear" w:color="auto" w:fill="F0F0F0"/>
                </w:tcPr>
                <w:p>
                  <w:pPr>
                    <w:pStyle w:val="Para 02"/>
                    <w:keepLines w:val="on"/>
                  </w:pPr>
                  <w:r>
                    <w:t>Deckers Outdoor Corp.</w:t>
                  </w:r>
                </w:p>
              </w:tc>
              <w:tc>
                <w:tcPr>
                  <w:tcW w:type="auto" w:w="0"/>
                  <w:shd w:val="clear" w:color="auto" w:fill="F0F0F0"/>
                </w:tcPr>
                <w:p>
                  <w:pPr>
                    <w:pStyle w:val="Normal"/>
                    <w:keepLines w:val="on"/>
                  </w:pPr>
                  <w:r>
                    <w:t>0,80</w:t>
                  </w:r>
                </w:p>
              </w:tc>
              <w:tc>
                <w:tcPr>
                  <w:tcW w:type="auto" w:w="0"/>
                  <w:shd w:val="clear" w:color="auto" w:fill="F0F0F0"/>
                </w:tcPr>
                <w:p>
                  <w:pPr>
                    <w:pStyle w:val="Normal"/>
                    <w:keepLines w:val="on"/>
                  </w:pPr>
                  <w:r>
                    <w:t>82,43%</w:t>
                  </w:r>
                </w:p>
              </w:tc>
              <w:tc>
                <w:tcPr>
                  <w:tcW w:type="auto" w:w="0"/>
                  <w:shd w:val="clear" w:color="auto" w:fill="F0F0F0"/>
                </w:tcPr>
                <w:p>
                  <w:pPr>
                    <w:pStyle w:val="Normal"/>
                    <w:keepLines w:val="on"/>
                  </w:pPr>
                  <w:r>
                    <w:t>62,52%</w:t>
                  </w:r>
                </w:p>
              </w:tc>
            </w:tr>
            <w:tr>
              <w:tc>
                <w:tcPr>
                  <w:tcW w:type="auto" w:w="0"/>
                  <w:shd w:val="clear" w:color="auto" w:fill="F0F0F0"/>
                </w:tcPr>
                <w:p>
                  <w:pPr>
                    <w:pStyle w:val="Para 02"/>
                    <w:keepLines w:val="on"/>
                  </w:pPr>
                  <w:r>
                    <w:t>Florsheim Group Inc.</w:t>
                  </w:r>
                </w:p>
              </w:tc>
              <w:tc>
                <w:tcPr>
                  <w:tcW w:type="auto" w:w="0"/>
                  <w:shd w:val="clear" w:color="auto" w:fill="F0F0F0"/>
                </w:tcPr>
                <w:p>
                  <w:pPr>
                    <w:pStyle w:val="Normal"/>
                    <w:keepLines w:val="on"/>
                  </w:pPr>
                  <w:r>
                    <w:t>0,65</w:t>
                  </w:r>
                </w:p>
              </w:tc>
              <w:tc>
                <w:tcPr>
                  <w:tcW w:type="auto" w:w="0"/>
                  <w:shd w:val="clear" w:color="auto" w:fill="F0F0F0"/>
                </w:tcPr>
                <w:p>
                  <w:pPr>
                    <w:pStyle w:val="Normal"/>
                    <w:keepLines w:val="on"/>
                  </w:pPr>
                  <w:r>
                    <w:t>96,79%</w:t>
                  </w:r>
                </w:p>
              </w:tc>
              <w:tc>
                <w:tcPr>
                  <w:tcW w:type="auto" w:w="0"/>
                  <w:shd w:val="clear" w:color="auto" w:fill="F0F0F0"/>
                </w:tcPr>
                <w:p>
                  <w:pPr>
                    <w:pStyle w:val="Normal"/>
                    <w:keepLines w:val="on"/>
                  </w:pPr>
                  <w:r>
                    <w:t>79,03%</w:t>
                  </w:r>
                </w:p>
              </w:tc>
            </w:tr>
            <w:tr>
              <w:tc>
                <w:tcPr>
                  <w:tcW w:type="auto" w:w="0"/>
                  <w:shd w:val="clear" w:color="auto" w:fill="F0F0F0"/>
                </w:tcPr>
                <w:p>
                  <w:pPr>
                    <w:pStyle w:val="Para 02"/>
                    <w:keepLines w:val="on"/>
                  </w:pPr>
                  <w:r>
                    <w:t>K-Swiss Inc.</w:t>
                  </w:r>
                </w:p>
              </w:tc>
              <w:tc>
                <w:tcPr>
                  <w:tcW w:type="auto" w:w="0"/>
                  <w:shd w:val="clear" w:color="auto" w:fill="F0F0F0"/>
                </w:tcPr>
                <w:p>
                  <w:pPr>
                    <w:pStyle w:val="Normal"/>
                    <w:keepLines w:val="on"/>
                  </w:pPr>
                  <w:r>
                    <w:t>0,65</w:t>
                  </w:r>
                </w:p>
              </w:tc>
              <w:tc>
                <w:tcPr>
                  <w:tcW w:type="auto" w:w="0"/>
                  <w:shd w:val="clear" w:color="auto" w:fill="F0F0F0"/>
                </w:tcPr>
                <w:p>
                  <w:pPr>
                    <w:pStyle w:val="Normal"/>
                    <w:keepLines w:val="on"/>
                  </w:pPr>
                  <w:r>
                    <w:t>0,69%</w:t>
                  </w:r>
                </w:p>
              </w:tc>
              <w:tc>
                <w:tcPr>
                  <w:tcW w:type="auto" w:w="0"/>
                  <w:shd w:val="clear" w:color="auto" w:fill="F0F0F0"/>
                </w:tcPr>
                <w:p>
                  <w:pPr>
                    <w:pStyle w:val="Normal"/>
                    <w:keepLines w:val="on"/>
                  </w:pPr>
                  <w:r>
                    <w:t>56,92%</w:t>
                  </w:r>
                </w:p>
              </w:tc>
            </w:tr>
            <w:tr>
              <w:tc>
                <w:tcPr>
                  <w:tcW w:type="auto" w:w="0"/>
                  <w:shd w:val="clear" w:color="auto" w:fill="F0F0F0"/>
                </w:tcPr>
                <w:p>
                  <w:pPr>
                    <w:pStyle w:val="Para 02"/>
                    <w:keepLines w:val="on"/>
                  </w:pPr>
                  <w:r>
                    <w:t>Kenneth Cole ‘A’</w:t>
                  </w:r>
                </w:p>
              </w:tc>
              <w:tc>
                <w:tcPr>
                  <w:tcW w:type="auto" w:w="0"/>
                  <w:shd w:val="clear" w:color="auto" w:fill="F0F0F0"/>
                </w:tcPr>
                <w:p>
                  <w:pPr>
                    <w:pStyle w:val="Normal"/>
                    <w:keepLines w:val="on"/>
                  </w:pPr>
                  <w:r>
                    <w:t>1,05</w:t>
                  </w:r>
                </w:p>
              </w:tc>
              <w:tc>
                <w:tcPr>
                  <w:tcW w:type="auto" w:w="0"/>
                  <w:shd w:val="clear" w:color="auto" w:fill="F0F0F0"/>
                </w:tcPr>
                <w:p>
                  <w:pPr>
                    <w:pStyle w:val="Normal"/>
                    <w:keepLines w:val="on"/>
                  </w:pPr>
                  <w:r>
                    <w:t>0,29%</w:t>
                  </w:r>
                </w:p>
              </w:tc>
              <w:tc>
                <w:tcPr>
                  <w:tcW w:type="auto" w:w="0"/>
                  <w:shd w:val="clear" w:color="auto" w:fill="F0F0F0"/>
                </w:tcPr>
                <w:p>
                  <w:pPr>
                    <w:pStyle w:val="Normal"/>
                    <w:keepLines w:val="on"/>
                  </w:pPr>
                  <w:r>
                    <w:t>56,97%</w:t>
                  </w:r>
                </w:p>
              </w:tc>
            </w:tr>
            <w:tr>
              <w:tc>
                <w:tcPr>
                  <w:tcW w:type="auto" w:w="0"/>
                  <w:shd w:val="clear" w:color="auto" w:fill="F0F0F0"/>
                </w:tcPr>
                <w:p>
                  <w:pPr>
                    <w:pStyle w:val="Para 02"/>
                    <w:keepLines w:val="on"/>
                  </w:pPr>
                  <w:r>
                    <w:t>LaCrosse Footwear Inc.</w:t>
                  </w:r>
                </w:p>
              </w:tc>
              <w:tc>
                <w:tcPr>
                  <w:tcW w:type="auto" w:w="0"/>
                  <w:shd w:val="clear" w:color="auto" w:fill="F0F0F0"/>
                </w:tcPr>
                <w:p>
                  <w:pPr>
                    <w:pStyle w:val="Normal"/>
                    <w:keepLines w:val="on"/>
                  </w:pPr>
                  <w:r>
                    <w:t>0,55</w:t>
                  </w:r>
                </w:p>
              </w:tc>
              <w:tc>
                <w:tcPr>
                  <w:tcW w:type="auto" w:w="0"/>
                  <w:shd w:val="clear" w:color="auto" w:fill="F0F0F0"/>
                </w:tcPr>
                <w:p>
                  <w:pPr>
                    <w:pStyle w:val="Normal"/>
                    <w:keepLines w:val="on"/>
                  </w:pPr>
                  <w:r>
                    <w:t>81,15%</w:t>
                  </w:r>
                </w:p>
              </w:tc>
              <w:tc>
                <w:tcPr>
                  <w:tcW w:type="auto" w:w="0"/>
                  <w:shd w:val="clear" w:color="auto" w:fill="F0F0F0"/>
                </w:tcPr>
                <w:p>
                  <w:pPr>
                    <w:pStyle w:val="Normal"/>
                    <w:keepLines w:val="on"/>
                  </w:pPr>
                  <w:r>
                    <w:t>30,36%</w:t>
                  </w:r>
                </w:p>
              </w:tc>
            </w:tr>
            <w:tr>
              <w:tc>
                <w:tcPr>
                  <w:tcW w:type="auto" w:w="0"/>
                  <w:shd w:val="clear" w:color="auto" w:fill="F0F0F0"/>
                </w:tcPr>
                <w:p>
                  <w:pPr>
                    <w:pStyle w:val="Para 02"/>
                    <w:keepLines w:val="on"/>
                  </w:pPr>
                  <w:r>
                    <w:t>Maxwell Shoe Inc.</w:t>
                  </w:r>
                </w:p>
              </w:tc>
              <w:tc>
                <w:tcPr>
                  <w:tcW w:type="auto" w:w="0"/>
                  <w:shd w:val="clear" w:color="auto" w:fill="F0F0F0"/>
                </w:tcPr>
                <w:p>
                  <w:pPr>
                    <w:pStyle w:val="Normal"/>
                    <w:keepLines w:val="on"/>
                  </w:pPr>
                  <w:r>
                    <w:t>0,75</w:t>
                  </w:r>
                </w:p>
              </w:tc>
              <w:tc>
                <w:tcPr>
                  <w:tcW w:type="auto" w:w="0"/>
                  <w:shd w:val="clear" w:color="auto" w:fill="F0F0F0"/>
                </w:tcPr>
                <w:p>
                  <w:pPr>
                    <w:pStyle w:val="Normal"/>
                    <w:keepLines w:val="on"/>
                  </w:pPr>
                  <w:r>
                    <w:t>2,24%</w:t>
                  </w:r>
                </w:p>
              </w:tc>
              <w:tc>
                <w:tcPr>
                  <w:tcW w:type="auto" w:w="0"/>
                  <w:shd w:val="clear" w:color="auto" w:fill="F0F0F0"/>
                </w:tcPr>
                <w:p>
                  <w:pPr>
                    <w:pStyle w:val="Normal"/>
                    <w:keepLines w:val="on"/>
                  </w:pPr>
                  <w:r>
                    <w:t>20,97%</w:t>
                  </w:r>
                </w:p>
              </w:tc>
            </w:tr>
            <w:tr>
              <w:tc>
                <w:tcPr>
                  <w:tcW w:type="auto" w:w="0"/>
                  <w:shd w:val="clear" w:color="auto" w:fill="F0F0F0"/>
                </w:tcPr>
                <w:p>
                  <w:pPr>
                    <w:pStyle w:val="Para 02"/>
                    <w:keepLines w:val="on"/>
                  </w:pPr>
                  <w:r>
                    <w:t>Nike Inc. ‘B’</w:t>
                  </w:r>
                </w:p>
              </w:tc>
              <w:tc>
                <w:tcPr>
                  <w:tcW w:type="auto" w:w="0"/>
                  <w:shd w:val="clear" w:color="auto" w:fill="F0F0F0"/>
                </w:tcPr>
                <w:p>
                  <w:pPr>
                    <w:pStyle w:val="Normal"/>
                    <w:keepLines w:val="on"/>
                  </w:pPr>
                  <w:r>
                    <w:t>0,90</w:t>
                  </w:r>
                </w:p>
              </w:tc>
              <w:tc>
                <w:tcPr>
                  <w:tcW w:type="auto" w:w="0"/>
                  <w:shd w:val="clear" w:color="auto" w:fill="F0F0F0"/>
                </w:tcPr>
                <w:p>
                  <w:pPr>
                    <w:pStyle w:val="Normal"/>
                    <w:keepLines w:val="on"/>
                  </w:pPr>
                  <w:r>
                    <w:t>9,47%</w:t>
                  </w:r>
                </w:p>
              </w:tc>
              <w:tc>
                <w:tcPr>
                  <w:tcW w:type="auto" w:w="0"/>
                  <w:shd w:val="clear" w:color="auto" w:fill="F0F0F0"/>
                </w:tcPr>
                <w:p>
                  <w:pPr>
                    <w:pStyle w:val="Normal"/>
                    <w:keepLines w:val="on"/>
                  </w:pPr>
                  <w:r>
                    <w:t>46,07%</w:t>
                  </w:r>
                </w:p>
              </w:tc>
            </w:tr>
            <w:tr>
              <w:tc>
                <w:tcPr>
                  <w:tcW w:type="auto" w:w="0"/>
                  <w:shd w:val="clear" w:color="auto" w:fill="F0F0F0"/>
                </w:tcPr>
                <w:p>
                  <w:pPr>
                    <w:pStyle w:val="Para 02"/>
                    <w:keepLines w:val="on"/>
                  </w:pPr>
                  <w:r>
                    <w:t>Reebok Int’l.</w:t>
                  </w:r>
                </w:p>
              </w:tc>
              <w:tc>
                <w:tcPr>
                  <w:tcW w:type="auto" w:w="0"/>
                  <w:shd w:val="clear" w:color="auto" w:fill="F0F0F0"/>
                </w:tcPr>
                <w:p>
                  <w:pPr>
                    <w:pStyle w:val="Normal"/>
                    <w:keepLines w:val="on"/>
                  </w:pPr>
                  <w:r>
                    <w:t>1,05</w:t>
                  </w:r>
                </w:p>
              </w:tc>
              <w:tc>
                <w:tcPr>
                  <w:tcW w:type="auto" w:w="0"/>
                  <w:shd w:val="clear" w:color="auto" w:fill="F0F0F0"/>
                </w:tcPr>
                <w:p>
                  <w:pPr>
                    <w:pStyle w:val="Normal"/>
                    <w:keepLines w:val="on"/>
                  </w:pPr>
                  <w:r>
                    <w:t>171,90%</w:t>
                  </w:r>
                </w:p>
              </w:tc>
              <w:tc>
                <w:tcPr>
                  <w:tcW w:type="auto" w:w="0"/>
                  <w:shd w:val="clear" w:color="auto" w:fill="F0F0F0"/>
                </w:tcPr>
                <w:p>
                  <w:pPr>
                    <w:pStyle w:val="Normal"/>
                    <w:keepLines w:val="on"/>
                  </w:pPr>
                  <w:r>
                    <w:t>35,03%</w:t>
                  </w:r>
                </w:p>
              </w:tc>
            </w:tr>
            <w:tr>
              <w:tc>
                <w:tcPr>
                  <w:tcW w:type="auto" w:w="0"/>
                  <w:shd w:val="clear" w:color="auto" w:fill="F0F0F0"/>
                </w:tcPr>
                <w:p>
                  <w:pPr>
                    <w:pStyle w:val="Para 02"/>
                    <w:keepLines w:val="on"/>
                  </w:pPr>
                  <w:r>
                    <w:t>Rocky Shoes &amp; Boots Inc.</w:t>
                  </w:r>
                </w:p>
              </w:tc>
              <w:tc>
                <w:tcPr>
                  <w:tcW w:type="auto" w:w="0"/>
                  <w:shd w:val="clear" w:color="auto" w:fill="F0F0F0"/>
                </w:tcPr>
                <w:p>
                  <w:pPr>
                    <w:pStyle w:val="Normal"/>
                    <w:keepLines w:val="on"/>
                  </w:pPr>
                  <w:r>
                    <w:t>0,80</w:t>
                  </w:r>
                </w:p>
              </w:tc>
              <w:tc>
                <w:tcPr>
                  <w:tcW w:type="auto" w:w="0"/>
                  <w:shd w:val="clear" w:color="auto" w:fill="F0F0F0"/>
                </w:tcPr>
                <w:p>
                  <w:pPr>
                    <w:pStyle w:val="Normal"/>
                    <w:keepLines w:val="on"/>
                  </w:pPr>
                  <w:r>
                    <w:t>93,51%</w:t>
                  </w:r>
                </w:p>
              </w:tc>
              <w:tc>
                <w:tcPr>
                  <w:tcW w:type="auto" w:w="0"/>
                  <w:shd w:val="clear" w:color="auto" w:fill="F0F0F0"/>
                </w:tcPr>
                <w:p>
                  <w:pPr>
                    <w:pStyle w:val="Normal"/>
                    <w:keepLines w:val="on"/>
                  </w:pPr>
                  <w:r>
                    <w:t>26,89%</w:t>
                  </w:r>
                </w:p>
              </w:tc>
            </w:tr>
            <w:tr>
              <w:tc>
                <w:tcPr>
                  <w:tcW w:type="auto" w:w="0"/>
                  <w:shd w:val="clear" w:color="auto" w:fill="F0F0F0"/>
                </w:tcPr>
                <w:p>
                  <w:pPr>
                    <w:pStyle w:val="Para 02"/>
                    <w:keepLines w:val="on"/>
                  </w:pPr>
                  <w:r>
                    <w:t>Saucony Inc.</w:t>
                  </w:r>
                </w:p>
              </w:tc>
              <w:tc>
                <w:tcPr>
                  <w:tcW w:type="auto" w:w="0"/>
                  <w:shd w:val="clear" w:color="auto" w:fill="F0F0F0"/>
                </w:tcPr>
                <w:p>
                  <w:pPr>
                    <w:pStyle w:val="Normal"/>
                    <w:keepLines w:val="on"/>
                  </w:pPr>
                  <w:r>
                    <w:t>0,15</w:t>
                  </w:r>
                </w:p>
              </w:tc>
              <w:tc>
                <w:tcPr>
                  <w:tcW w:type="auto" w:w="0"/>
                  <w:shd w:val="clear" w:color="auto" w:fill="F0F0F0"/>
                </w:tcPr>
                <w:p>
                  <w:pPr>
                    <w:pStyle w:val="Normal"/>
                    <w:keepLines w:val="on"/>
                  </w:pPr>
                  <w:r>
                    <w:t>34,93%</w:t>
                  </w:r>
                </w:p>
              </w:tc>
              <w:tc>
                <w:tcPr>
                  <w:tcW w:type="auto" w:w="0"/>
                  <w:shd w:val="clear" w:color="auto" w:fill="F0F0F0"/>
                </w:tcPr>
                <w:p>
                  <w:pPr>
                    <w:pStyle w:val="Normal"/>
                    <w:keepLines w:val="on"/>
                  </w:pPr>
                  <w:r>
                    <w:t>49,33%</w:t>
                  </w:r>
                </w:p>
              </w:tc>
            </w:tr>
            <w:tr>
              <w:tc>
                <w:tcPr>
                  <w:tcW w:type="auto" w:w="0"/>
                  <w:shd w:val="clear" w:color="auto" w:fill="F0F0F0"/>
                </w:tcPr>
                <w:p>
                  <w:pPr>
                    <w:pStyle w:val="Para 02"/>
                    <w:keepLines w:val="on"/>
                  </w:pPr>
                  <w:r>
                    <w:t>Shoe Carnival</w:t>
                  </w:r>
                </w:p>
              </w:tc>
              <w:tc>
                <w:tcPr>
                  <w:tcW w:type="auto" w:w="0"/>
                  <w:shd w:val="clear" w:color="auto" w:fill="F0F0F0"/>
                </w:tcPr>
                <w:p>
                  <w:pPr>
                    <w:pStyle w:val="Normal"/>
                    <w:keepLines w:val="on"/>
                  </w:pPr>
                  <w:r>
                    <w:t>0,85</w:t>
                  </w:r>
                </w:p>
              </w:tc>
              <w:tc>
                <w:tcPr>
                  <w:tcW w:type="auto" w:w="0"/>
                  <w:shd w:val="clear" w:color="auto" w:fill="F0F0F0"/>
                </w:tcPr>
                <w:p>
                  <w:pPr>
                    <w:pStyle w:val="Normal"/>
                    <w:keepLines w:val="on"/>
                  </w:pPr>
                  <w:r>
                    <w:t>2,18%</w:t>
                  </w:r>
                </w:p>
              </w:tc>
              <w:tc>
                <w:tcPr>
                  <w:tcW w:type="auto" w:w="0"/>
                  <w:shd w:val="clear" w:color="auto" w:fill="F0F0F0"/>
                </w:tcPr>
                <w:p>
                  <w:pPr>
                    <w:pStyle w:val="Normal"/>
                    <w:keepLines w:val="on"/>
                  </w:pPr>
                  <w:r>
                    <w:t>35,03%</w:t>
                  </w:r>
                </w:p>
              </w:tc>
            </w:tr>
            <w:tr>
              <w:tc>
                <w:tcPr>
                  <w:tcW w:type="auto" w:w="0"/>
                  <w:shd w:val="clear" w:color="auto" w:fill="F0F0F0"/>
                </w:tcPr>
                <w:p>
                  <w:pPr>
                    <w:pStyle w:val="Para 02"/>
                    <w:keepLines w:val="on"/>
                  </w:pPr>
                  <w:r>
                    <w:t>Stride Rite Corp.</w:t>
                  </w:r>
                </w:p>
              </w:tc>
              <w:tc>
                <w:tcPr>
                  <w:tcW w:type="auto" w:w="0"/>
                  <w:shd w:val="clear" w:color="auto" w:fill="F0F0F0"/>
                </w:tcPr>
                <w:p>
                  <w:pPr>
                    <w:pStyle w:val="Normal"/>
                    <w:keepLines w:val="on"/>
                  </w:pPr>
                  <w:r>
                    <w:t>0,80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48,23%</w:t>
                  </w:r>
                </w:p>
              </w:tc>
            </w:tr>
            <w:tr>
              <w:tc>
                <w:tcPr>
                  <w:tcW w:type="auto" w:w="0"/>
                  <w:shd w:val="clear" w:color="auto" w:fill="F0F0F0"/>
                </w:tcPr>
                <w:p>
                  <w:pPr>
                    <w:pStyle w:val="Para 02"/>
                    <w:keepLines w:val="on"/>
                  </w:pPr>
                  <w:r>
                    <w:t>Timberland Co. ‘A’</w:t>
                  </w:r>
                </w:p>
              </w:tc>
              <w:tc>
                <w:tcPr>
                  <w:tcW w:type="auto" w:w="0"/>
                  <w:shd w:val="clear" w:color="auto" w:fill="F0F0F0"/>
                </w:tcPr>
                <w:p>
                  <w:pPr>
                    <w:pStyle w:val="Normal"/>
                    <w:keepLines w:val="on"/>
                  </w:pPr>
                  <w:r>
                    <w:t>1,10</w:t>
                  </w:r>
                </w:p>
              </w:tc>
              <w:tc>
                <w:tcPr>
                  <w:tcW w:type="auto" w:w="0"/>
                  <w:shd w:val="clear" w:color="auto" w:fill="F0F0F0"/>
                </w:tcPr>
                <w:p>
                  <w:pPr>
                    <w:pStyle w:val="Normal"/>
                    <w:keepLines w:val="on"/>
                  </w:pPr>
                  <w:r>
                    <w:t>15,23%</w:t>
                  </w:r>
                </w:p>
              </w:tc>
              <w:tc>
                <w:tcPr>
                  <w:tcW w:type="auto" w:w="0"/>
                  <w:shd w:val="clear" w:color="auto" w:fill="F0F0F0"/>
                </w:tcPr>
                <w:p>
                  <w:pPr>
                    <w:pStyle w:val="Normal"/>
                    <w:keepLines w:val="on"/>
                  </w:pPr>
                  <w:r>
                    <w:t>49,50%</w:t>
                  </w:r>
                </w:p>
              </w:tc>
            </w:tr>
            <w:tr>
              <w:tc>
                <w:tcPr>
                  <w:tcW w:type="auto" w:w="0"/>
                  <w:shd w:val="clear" w:color="auto" w:fill="F0F0F0"/>
                </w:tcPr>
                <w:p>
                  <w:pPr>
                    <w:pStyle w:val="Para 02"/>
                    <w:keepLines w:val="on"/>
                  </w:pPr>
                  <w:r>
                    <w:t>Vulcan Int’l.</w:t>
                  </w:r>
                </w:p>
              </w:tc>
              <w:tc>
                <w:tcPr>
                  <w:tcW w:type="auto" w:w="0"/>
                  <w:shd w:val="clear" w:color="auto" w:fill="F0F0F0"/>
                </w:tcPr>
                <w:p>
                  <w:pPr>
                    <w:pStyle w:val="Normal"/>
                    <w:keepLines w:val="on"/>
                  </w:pPr>
                  <w:r>
                    <w:t>0,65</w:t>
                  </w:r>
                </w:p>
              </w:tc>
              <w:tc>
                <w:tcPr>
                  <w:tcW w:type="auto" w:w="0"/>
                  <w:shd w:val="clear" w:color="auto" w:fill="F0F0F0"/>
                </w:tcPr>
                <w:p>
                  <w:pPr>
                    <w:pStyle w:val="Normal"/>
                    <w:keepLines w:val="on"/>
                  </w:pPr>
                  <w:r>
                    <w:t>3,38%</w:t>
                  </w:r>
                </w:p>
              </w:tc>
              <w:tc>
                <w:tcPr>
                  <w:tcW w:type="auto" w:w="0"/>
                  <w:shd w:val="clear" w:color="auto" w:fill="F0F0F0"/>
                </w:tcPr>
                <w:p>
                  <w:pPr>
                    <w:pStyle w:val="Normal"/>
                    <w:keepLines w:val="on"/>
                  </w:pPr>
                  <w:r>
                    <w:t>11,92%</w:t>
                  </w:r>
                </w:p>
              </w:tc>
            </w:tr>
            <w:tr>
              <w:tc>
                <w:tcPr>
                  <w:tcW w:type="auto" w:w="0"/>
                  <w:shd w:val="clear" w:color="auto" w:fill="F0F0F0"/>
                </w:tcPr>
                <w:p>
                  <w:pPr>
                    <w:pStyle w:val="Para 02"/>
                    <w:keepLines w:val="on"/>
                  </w:pPr>
                  <w:r>
                    <w:t>Wellco Enterprises Inc.</w:t>
                  </w:r>
                </w:p>
              </w:tc>
              <w:tc>
                <w:tcPr>
                  <w:tcW w:type="auto" w:w="0"/>
                  <w:shd w:val="clear" w:color="auto" w:fill="F0F0F0"/>
                </w:tcPr>
                <w:p>
                  <w:pPr>
                    <w:pStyle w:val="Normal"/>
                    <w:keepLines w:val="on"/>
                  </w:pPr>
                  <w:r>
                    <w:t>0,60</w:t>
                  </w:r>
                </w:p>
              </w:tc>
              <w:tc>
                <w:tcPr>
                  <w:tcW w:type="auto" w:w="0"/>
                  <w:shd w:val="clear" w:color="auto" w:fill="F0F0F0"/>
                </w:tcPr>
                <w:p>
                  <w:pPr>
                    <w:pStyle w:val="Normal"/>
                    <w:keepLines w:val="on"/>
                  </w:pPr>
                  <w:r>
                    <w:t>48,89%</w:t>
                  </w:r>
                </w:p>
              </w:tc>
              <w:tc>
                <w:tcPr>
                  <w:tcW w:type="auto" w:w="0"/>
                  <w:shd w:val="clear" w:color="auto" w:fill="F0F0F0"/>
                </w:tcPr>
                <w:p>
                  <w:pPr>
                    <w:pStyle w:val="Normal"/>
                    <w:keepLines w:val="on"/>
                  </w:pPr>
                  <w:r>
                    <w:t>11,52%</w:t>
                  </w:r>
                </w:p>
              </w:tc>
            </w:tr>
            <w:tr>
              <w:tc>
                <w:tcPr>
                  <w:tcW w:type="auto" w:w="0"/>
                  <w:shd w:val="clear" w:color="auto" w:fill="F0F0F0"/>
                </w:tcPr>
                <w:p>
                  <w:pPr>
                    <w:pStyle w:val="Para 02"/>
                    <w:keepLines w:val="on"/>
                  </w:pPr>
                  <w:r>
                    <w:t>Weyco Group</w:t>
                  </w:r>
                </w:p>
              </w:tc>
              <w:tc>
                <w:tcPr>
                  <w:tcW w:type="auto" w:w="0"/>
                  <w:shd w:val="clear" w:color="auto" w:fill="F0F0F0"/>
                </w:tcPr>
                <w:p>
                  <w:pPr>
                    <w:pStyle w:val="Normal"/>
                    <w:keepLines w:val="on"/>
                  </w:pPr>
                  <w:r>
                    <w:t>0,30</w:t>
                  </w:r>
                </w:p>
              </w:tc>
              <w:tc>
                <w:tcPr>
                  <w:tcW w:type="auto" w:w="0"/>
                  <w:shd w:val="clear" w:color="auto" w:fill="F0F0F0"/>
                </w:tcPr>
                <w:p>
                  <w:pPr>
                    <w:pStyle w:val="Normal"/>
                    <w:keepLines w:val="on"/>
                  </w:pPr>
                  <w:r>
                    <w:t>11,91%</w:t>
                  </w:r>
                </w:p>
              </w:tc>
              <w:tc>
                <w:tcPr>
                  <w:tcW w:type="auto" w:w="0"/>
                  <w:shd w:val="clear" w:color="auto" w:fill="F0F0F0"/>
                </w:tcPr>
                <w:p>
                  <w:pPr>
                    <w:pStyle w:val="Normal"/>
                    <w:keepLines w:val="on"/>
                  </w:pPr>
                  <w:r>
                    <w:t>24,69%</w:t>
                  </w:r>
                </w:p>
              </w:tc>
            </w:tr>
            <w:tr>
              <w:tc>
                <w:tcPr>
                  <w:tcW w:type="auto" w:w="0"/>
                  <w:shd w:val="clear" w:color="auto" w:fill="F0F0F0"/>
                </w:tcPr>
                <w:p>
                  <w:pPr>
                    <w:pStyle w:val="Para 02"/>
                    <w:keepLines w:val="on"/>
                  </w:pPr>
                  <w:r>
                    <w:t>Wolverine World Wide</w:t>
                  </w:r>
                </w:p>
              </w:tc>
              <w:tc>
                <w:tcPr>
                  <w:tcW w:type="auto" w:w="0"/>
                  <w:shd w:val="clear" w:color="auto" w:fill="F0F0F0"/>
                </w:tcPr>
                <w:p>
                  <w:pPr>
                    <w:pStyle w:val="Normal"/>
                    <w:keepLines w:val="on"/>
                  </w:pPr>
                  <w:r>
                    <w:t>1,35</w:t>
                  </w:r>
                </w:p>
              </w:tc>
              <w:tc>
                <w:tcPr>
                  <w:tcW w:type="auto" w:w="0"/>
                  <w:shd w:val="clear" w:color="auto" w:fill="F0F0F0"/>
                </w:tcPr>
                <w:p>
                  <w:pPr>
                    <w:pStyle w:val="Normal"/>
                    <w:keepLines w:val="on"/>
                  </w:pPr>
                  <w:r>
                    <w:t>44,37%</w:t>
                  </w:r>
                </w:p>
              </w:tc>
              <w:tc>
                <w:tcPr>
                  <w:tcW w:type="auto" w:w="0"/>
                  <w:shd w:val="clear" w:color="auto" w:fill="F0F0F0"/>
                </w:tcPr>
                <w:p>
                  <w:pPr>
                    <w:pStyle w:val="Normal"/>
                    <w:keepLines w:val="on"/>
                  </w:pPr>
                  <w:r>
                    <w:t>32,31%</w:t>
                  </w:r>
                </w:p>
              </w:tc>
            </w:tr>
            <w:tr>
              <w:tc>
                <w:tcPr>
                  <w:tcW w:type="auto" w:w="0"/>
                  <w:shd w:val="clear" w:color="auto" w:fill="F0F0F0"/>
                </w:tcPr>
                <w:p>
                  <w:pPr>
                    <w:pStyle w:val="Para 02"/>
                    <w:keepLines w:val="on"/>
                  </w:pPr>
                  <w:r>
                    <w:t>Trung bình</w:t>
                  </w:r>
                </w:p>
              </w:tc>
              <w:tc>
                <w:tcPr>
                  <w:tcW w:type="auto" w:w="0"/>
                  <w:shd w:val="clear" w:color="auto" w:fill="F0F0F0"/>
                </w:tcPr>
                <w:p>
                  <w:pPr>
                    <w:pStyle w:val="Normal"/>
                    <w:keepLines w:val="on"/>
                  </w:pPr>
                  <w:r>
                    <w:t>0,79</w:t>
                  </w:r>
                </w:p>
              </w:tc>
              <w:tc>
                <w:tcPr>
                  <w:tcW w:type="auto" w:w="0"/>
                  <w:shd w:val="clear" w:color="auto" w:fill="F0F0F0"/>
                </w:tcPr>
                <w:p>
                  <w:pPr>
                    <w:pStyle w:val="Normal"/>
                    <w:keepLines w:val="on"/>
                  </w:pPr>
                  <w:r>
                    <w:t>75,04%</w:t>
                  </w:r>
                </w:p>
              </w:tc>
              <w:tc>
                <w:tcPr>
                  <w:tcW w:type="auto" w:w="0"/>
                  <w:shd w:val="clear" w:color="auto" w:fill="F0F0F0"/>
                </w:tcPr>
                <w:p>
                  <w:pPr>
                    <w:pStyle w:val="Normal"/>
                    <w:keepLines w:val="on"/>
                  </w:pPr>
                  <w:r>
                    <w:t>42,08%</w:t>
                  </w:r>
                </w:p>
              </w:tc>
            </w:tr>
            <w:tr>
              <w:tc>
                <w:tcPr>
                  <w:tcW w:type="auto" w:w="0"/>
                  <w:shd w:val="clear" w:color="auto" w:fill="F0F0F0"/>
                </w:tcPr>
                <w:p>
                  <w:pPr>
                    <w:pStyle w:val="Para 02"/>
                    <w:keepLines w:val="on"/>
                  </w:pPr>
                  <w:r>
                    <w:t>Trung vị</w:t>
                  </w:r>
                </w:p>
              </w:tc>
              <w:tc>
                <w:tcPr>
                  <w:tcW w:type="auto" w:w="0"/>
                  <w:shd w:val="clear" w:color="auto" w:fill="F0F0F0"/>
                </w:tcPr>
                <w:p>
                  <w:pPr>
                    <w:pStyle w:val="Normal"/>
                    <w:keepLines w:val="on"/>
                  </w:pPr>
                  <w:r>
                    <w:t>0,80</w:t>
                  </w:r>
                </w:p>
              </w:tc>
              <w:tc>
                <w:tcPr>
                  <w:tcW w:type="auto" w:w="0"/>
                  <w:shd w:val="clear" w:color="auto" w:fill="F0F0F0"/>
                </w:tcPr>
                <w:p>
                  <w:pPr>
                    <w:pStyle w:val="Normal"/>
                    <w:keepLines w:val="on"/>
                  </w:pPr>
                  <w:r>
                    <w:t>40,51%</w:t>
                  </w:r>
                </w:p>
              </w:tc>
              <w:tc>
                <w:tcPr>
                  <w:tcW w:type="auto" w:w="0"/>
                  <w:shd w:val="clear" w:color="auto" w:fill="F0F0F0"/>
                </w:tcPr>
                <w:p>
                  <w:pPr>
                    <w:pStyle w:val="Normal"/>
                    <w:keepLines w:val="on"/>
                  </w:pPr>
                  <w:r>
                    <w:t>39,64%</w:t>
                  </w:r>
                </w:p>
              </w:tc>
            </w:tr>
            <w:tr>
              <w:tc>
                <w:tcPr>
                  <w:tcW w:type="auto" w:w="0"/>
                  <w:shd w:val="clear" w:color="auto" w:fill="F0F0F0"/>
                </w:tcPr>
                <w:p>
                  <w:pPr>
                    <w:pStyle w:val="Para 02"/>
                    <w:keepLines w:val="on"/>
                  </w:pPr>
                  <w:r>
                    <w:t>Vans Shoes</w:t>
                  </w:r>
                </w:p>
              </w:tc>
              <w:tc>
                <w:tcPr>
                  <w:tcW w:type="auto" w:w="0"/>
                  <w:shd w:val="clear" w:color="auto" w:fill="F0F0F0"/>
                </w:tcPr>
                <w:p>
                  <w:pPr>
                    <w:pStyle w:val="7 Block"/>
                    <w:keepLines w:val="on"/>
                  </w:pPr>
                </w:p>
              </w:tc>
              <w:tc>
                <w:tcPr>
                  <w:tcW w:type="auto" w:w="0"/>
                  <w:shd w:val="clear" w:color="auto" w:fill="F0F0F0"/>
                </w:tcPr>
                <w:p>
                  <w:pPr>
                    <w:pStyle w:val="Normal"/>
                    <w:keepLines w:val="on"/>
                  </w:pPr>
                  <w:r>
                    <w:t>9,41%</w:t>
                  </w:r>
                </w:p>
              </w:tc>
              <w:tc>
                <w:tcPr>
                  <w:tcW w:type="auto" w:w="0"/>
                  <w:shd w:val="clear" w:color="auto" w:fill="F0F0F0"/>
                </w:tcPr>
                <w:p>
                  <w:pPr>
                    <w:pStyle w:val="Normal"/>
                    <w:keepLines w:val="on"/>
                  </w:pPr>
                  <w:r>
                    <w:t>31,16%</w:t>
                  </w:r>
                </w:p>
              </w:tc>
            </w:tr>
          </w:tbl>
          <w:p/>
        </w:tc>
      </w:tr>
    </w:tbl>
    <w:p>
      <w:pPr>
        <w:pStyle w:val="Para 04"/>
        <w:keepLines w:val="on"/>
      </w:pPr>
      <w:r>
        <w:t>Ngoài hệ số beta của từng công ty, Bảng 8.2 còn báo cáo tỷ lệ nợ trên vốn chủ sở hữu theo giá thị trường, thuế suất thực tế và một thước đo đòn bẩy hoạt động thu được bằng cách chia chi phí bán hàng, chi phí chung và chi phí quản lý (SG&amp;A) (mà chúng ta coi là chi phí cố định) cho các chi phí hoạt động khác (mà chúng ta coi là chi phí biến đổi). Chúng ta có thể ước tính hệ số beta chưa vay nợ (unlevered beta) cho hoạt động kinh doanh bằng cách sử dụng các giá trị trung vị sau:</w:t>
      </w:r>
    </w:p>
    <w:p>
      <w:bookmarkStart w:id="1352" w:name="Median_Beta_0_80Median_debt_to_e"/>
      <w:pPr>
        <w:keepNext/>
        <w:pStyle w:val="Para 07"/>
        <w:keepLines w:val="on"/>
      </w:pPr>
      <w:r>
        <w:t>Beta trung vị = 0,80
Tỷ lệ nợ trên vốn chủ sở hữu trung vị = 40,51%</w:t>
      </w:r>
      <w:bookmarkEnd w:id="1352"/>
    </w:p>
    <w:p>
      <w:pPr>
        <w:pStyle w:val="Para 04"/>
        <w:keepLines w:val="on"/>
      </w:pPr>
      <w:r>
        <w:t>Sử dụng thuế suất biên là 40%, chúng ta có thể ước tính hệ số beta chưa vay nợ cho hoạt động kinh doanh:</w:t>
      </w:r>
    </w:p>
    <w:p>
      <w:bookmarkStart w:id="1353" w:name="Unlevered_beta_0_80__1__1__40_x"/>
      <w:pPr>
        <w:keepNext/>
        <w:pStyle w:val="Para 07"/>
        <w:keepLines w:val="on"/>
      </w:pPr>
      <w:r>
        <w:t>Beta chưa vay nợ = 0,80/[1+(1-0,40)×0,4051] = 0,6435</w:t>
      </w:r>
      <w:bookmarkEnd w:id="1353"/>
    </w:p>
    <w:p>
      <w:pPr>
        <w:pStyle w:val="Para 04"/>
        <w:keepLines w:val="on"/>
      </w:pPr>
      <w:r>
        <w:t>Sau đó, hệ số beta của Vans Shoes có thể được tính bằng cách sử dụng thuế suất biên 40% của công ty và tỷ lệ nợ trên vốn chủ sở hữu theo giá thị trường là 9,41%.</w:t>
      </w:r>
    </w:p>
    <w:p>
      <w:bookmarkStart w:id="1354" w:name="Levered_beta_0_6435_1__1__40_x_0"/>
      <w:pPr>
        <w:keepNext/>
        <w:pStyle w:val="Para 07"/>
        <w:keepLines w:val="on"/>
      </w:pPr>
      <w:r>
        <w:t>Beta đã vay nợ = 0,6435(1+(1-0,40)×0,0941) = 0,68</w:t>
      </w:r>
      <w:bookmarkEnd w:id="1354"/>
    </w:p>
    <w:p>
      <w:pPr>
        <w:pStyle w:val="Para 04"/>
        <w:keepLines w:val="on"/>
      </w:pPr>
      <w:r>
        <w:t>Hệ số beta đã vay nợ này dựa trên giả định ngầm rằng tất cả các nhà sản xuất giày đều có đòn bẩy hoạt động tương tự nhau. Trên thực tế, chúng ta có thể điều chỉnh hệ số beta chưa vay nợ theo tỷ lệ chi phí cố định/chi phí biến đổi trung vị của ngành, rồi tính lại đòn bẩy theo đòn bẩy hoạt động của Vans Shoes:</w:t>
      </w:r>
    </w:p>
    <w:p>
      <w:bookmarkStart w:id="1356" w:name="Median_fixed_costs_variable_cost"/>
      <w:pPr>
        <w:keepNext/>
        <w:pStyle w:val="Para 07"/>
        <w:keepLines w:val="on"/>
      </w:pPr>
      <w:r>
        <w:t>Chi phí cố định/chi phí biến đổi trung vị = 39,64%
Beta của hoạt động kinh doanh = 0,6435/(1+(1-0,4)×(0,3964)) = 0,5199</w:t>
      </w:r>
      <w:bookmarkEnd w:id="1356"/>
    </w:p>
    <w:p>
      <w:pPr>
        <w:pStyle w:val="Para 04"/>
        <w:keepLines w:val="on"/>
      </w:pPr>
      <w:r>
        <w:t>Sau đó, chúng ta có thể sử dụng tỷ lệ chi phí cố định/chi phí biến đổi của Vans là 31,16% và tỷ lệ nợ trên vốn chủ sở hữu của Vans là 9,41% để ước tính hệ số beta chưa vay nợ và đã vay nợ đã điều chỉnh.</w:t>
      </w:r>
    </w:p>
    <w:p>
      <w:bookmarkStart w:id="1357" w:name="Unlevered_betaVans_0_5199x_1__31"/>
      <w:pPr>
        <w:keepNext/>
        <w:pStyle w:val="Para 07"/>
        <w:keepLines w:val="on"/>
      </w:pPr>
      <w:r>
        <w:t>Beta chưa vay nợ của Vans = 0,5199×(1+0,3116) = 0,682
Beta đã vay nợ = 0,682×(1+(1-0,4)×0,0941) = 0,721</w:t>
      </w:r>
      <w:bookmarkEnd w:id="1357"/>
    </w:p>
    <w:p>
      <w:pPr>
        <w:pStyle w:val="Para 04"/>
        <w:keepLines w:val="on"/>
      </w:pPr>
      <w:r>
        <w:t>Nhờ có tỷ lệ nợ trên vốn chủ sở hữu thấp hơn và đòn bẩy hoạt động thấp hơn mức trung vị của ngành, Vans Shoes có hệ số beta thấp hơn nhiều so với mức của ngành.</w:t>
      </w:r>
    </w:p>
    <w:p>
      <w:pPr>
        <w:pStyle w:val="Para 11"/>
      </w:pPr>
      <w:r>
        <w:t/>
        <w:t xml:space="preserve"> </w:t>
      </w:r>
    </w:p>
    <w:p>
      <w:bookmarkStart w:id="1358" w:name="ILLUSTRATION_8_5__Estimating_a_B"/>
      <w:bookmarkStart w:id="1359" w:name="ILLUSTRATION_8_5__Estimating_a_B_1"/>
      <w:pPr>
        <w:keepNext/>
        <w:pStyle w:val="Para 19"/>
        <w:keepLines w:val="on"/>
      </w:pPr>
      <w:r>
        <w:t>MINH HỌA 8.5: Ước tính hệ số beta từ dưới lên cho Microsoft — Tháng 4 năm 2024</w:t>
      </w:r>
      <w:bookmarkEnd w:id="1358"/>
      <w:bookmarkEnd w:id="1359"/>
    </w:p>
    <w:p>
      <w:pPr>
        <w:pStyle w:val="Para 04"/>
        <w:keepLines w:val="on"/>
      </w:pPr>
      <w:r>
        <w:t>Microsoft khởi đầu là một công ty phần mềm, cung cấp phần mềm hệ thống cho máy tính cá nhân trong những năm đầu sơ khai của chúng. Theo thời gian, công ty phát triển không chỉ thống trị phần đó của thị trường phần mềm mà còn bổ sung thêm Office, bộ chương trình xử lý văn bản, bảng tính và trình bày, hiện diện khắp mọi nơi làm việc. Trong thập kỷ qua, Microsoft đã bước vào mảng kinh doanh đám đông (crowd business) với Azure, và mảng kinh doanh này đã tăng trưởng cả về quy mô lẫn lợi nhuận. Trên thực tế, tại thời điểm đánh giá này, Microsoft dường như đang ở vị thế tận dụng lợi thế của thị trường AI đang phát triển, nhờ mối quan hệ hợp tác với OpenAI. Để ước tính hệ số beta của Microsoft vào năm 2000, chúng tôi chia hoạt động kinh doanh của công ty thành hai mảng:</w:t>
      </w:r>
    </w:p>
    <w:p>
      <w:pPr>
        <w:numPr>
          <w:ilvl w:val="0"/>
          <w:numId w:val="61"/>
        </w:numPr>
        <w:pStyle w:val="Para 18"/>
        <w:keepLines w:val="on"/>
      </w:pPr>
      <w:r>
        <w:t>Phần mềm, đây là hoạt động kinh doanh cốt lõi của Microsoft, chủ yếu bao gồm doanh thu từ Windows và Office</w:t>
      </w:r>
    </w:p>
    <w:p>
      <w:pPr>
        <w:numPr>
          <w:ilvl w:val="0"/>
          <w:numId w:val="61"/>
        </w:numPr>
        <w:pStyle w:val="Para 18"/>
        <w:keepLines w:val="on"/>
      </w:pPr>
      <w:r>
        <w:t>Đám mây thông minh (Intelligent Cloud), tức mảng kinh doanh đám mây của họ, nơi doanh thu đến từ các công ty khác sử dụng dịch vụ đám mây của họ</w:t>
      </w:r>
    </w:p>
    <w:p>
      <w:pPr>
        <w:pStyle w:val="Para 04"/>
        <w:keepLines w:val="on"/>
      </w:pPr>
      <w:r>
        <w:t>Mỗi mảng kinh doanh này có những đặc điểm rủi ro rất khác nhau, và hệ số beta chưa vay nợ cho từng mảng kinh doanh được ước tính bằng cách xem xét các công ty tương đương trong mỗi mảng. Bảng sau đây tóm tắt các ước tính này.</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hMerge w:val="restart"/>
                </w:tcPr>
                <w:p>
                  <w:pPr>
                    <w:pStyle w:val="Para 05"/>
                    <w:keepLines w:val="on"/>
                  </w:pPr>
                  <w:r>
                    <w:t>Trung vị ngành</w:t>
                  </w:r>
                </w:p>
              </w:tc>
              <w:tc>
                <w:tcPr>
                  <w:hMerge w:val="continue"/>
                </w:tcPr>
                <w:p/>
              </w:tc>
              <w:tc>
                <w:tcPr>
                  <w:tcW w:type="auto" w:w="0"/>
                  <w:shd w:val="clear" w:color="auto" w:fill="F0F0F0"/>
                </w:tcPr>
                <w:p>
                  <w:pPr>
                    <w:pStyle w:val="5 Block"/>
                    <w:keepLines w:val="on"/>
                  </w:pPr>
                </w:p>
              </w:tc>
              <w:tc>
                <w:tcPr>
                  <w:tcW w:type="auto" w:w="0"/>
                  <w:shd w:val="clear" w:color="auto" w:fill="F0F0F0"/>
                </w:tcPr>
                <w:p>
                  <w:pPr>
                    <w:pStyle w:val="5 Block"/>
                    <w:keepLines w:val="on"/>
                  </w:pPr>
                </w:p>
              </w:tc>
            </w:tr>
            <w:tr>
              <w:tc>
                <w:tcPr>
                  <w:tcW w:type="auto" w:w="0"/>
                  <w:shd w:val="clear" w:color="auto" w:fill="F0F0F0"/>
                </w:tcPr>
                <w:p>
                  <w:pPr>
                    <w:pStyle w:val="5 Block"/>
                    <w:keepLines w:val="on"/>
                  </w:pPr>
                </w:p>
              </w:tc>
              <w:tc>
                <w:tcPr>
                  <w:tcW w:type="auto" w:w="0"/>
                  <w:shd w:val="clear" w:color="auto" w:fill="F0F0F0"/>
                </w:tcPr>
                <w:p>
                  <w:pPr>
                    <w:pStyle w:val="Para 05"/>
                    <w:keepLines w:val="on"/>
                  </w:pPr>
                  <w:r>
                    <w:t>Doanh thu năm 2023</w:t>
                  </w:r>
                </w:p>
              </w:tc>
              <w:tc>
                <w:tcPr>
                  <w:tcW w:type="auto" w:w="0"/>
                  <w:shd w:val="clear" w:color="auto" w:fill="F0F0F0"/>
                </w:tcPr>
                <w:p>
                  <w:pPr>
                    <w:pStyle w:val="Para 05"/>
                    <w:keepLines w:val="on"/>
                  </w:pPr>
                  <w:r>
                    <w:t>EV/Sales</w:t>
                  </w:r>
                </w:p>
              </w:tc>
              <w:tc>
                <w:tcPr>
                  <w:tcW w:type="auto" w:w="0"/>
                  <w:shd w:val="clear" w:color="auto" w:fill="F0F0F0"/>
                </w:tcPr>
                <w:p>
                  <w:pPr>
                    <w:pStyle w:val="Para 05"/>
                    <w:keepLines w:val="on"/>
                  </w:pPr>
                  <w:r>
                    <w:t>Beta chưa vay nợ</w:t>
                  </w:r>
                </w:p>
              </w:tc>
              <w:tc>
                <w:tcPr>
                  <w:tcW w:type="auto" w:w="0"/>
                  <w:shd w:val="clear" w:color="auto" w:fill="F0F0F0"/>
                </w:tcPr>
                <w:p>
                  <w:pPr>
                    <w:pStyle w:val="Para 05"/>
                    <w:keepLines w:val="on"/>
                  </w:pPr>
                  <w:r>
                    <w:t>Giá trị</w:t>
                  </w:r>
                </w:p>
              </w:tc>
              <w:tc>
                <w:tcPr>
                  <w:tcW w:type="auto" w:w="0"/>
                  <w:shd w:val="clear" w:color="auto" w:fill="F0F0F0"/>
                </w:tcPr>
                <w:p>
                  <w:pPr>
                    <w:pStyle w:val="Para 05"/>
                    <w:keepLines w:val="on"/>
                  </w:pPr>
                  <w:r>
                    <w:t>Tỷ trọng</w:t>
                  </w:r>
                </w:p>
              </w:tc>
            </w:tr>
            <w:tr>
              <w:tc>
                <w:tcPr>
                  <w:tcW w:type="auto" w:w="0"/>
                  <w:shd w:val="clear" w:color="auto" w:fill="F0F0F0"/>
                </w:tcPr>
                <w:p>
                  <w:pPr>
                    <w:pStyle w:val="Para 02"/>
                    <w:keepLines w:val="on"/>
                  </w:pPr>
                  <w:r>
                    <w:t>Phần mềm</w:t>
                  </w:r>
                </w:p>
              </w:tc>
              <w:tc>
                <w:tcPr>
                  <w:tcW w:type="auto" w:w="0"/>
                  <w:shd w:val="clear" w:color="auto" w:fill="F0F0F0"/>
                </w:tcPr>
                <w:p>
                  <w:pPr>
                    <w:pStyle w:val="Normal"/>
                    <w:keepLines w:val="on"/>
                  </w:pPr>
                  <w:r>
                    <w:t>$ 124,008</w:t>
                  </w:r>
                </w:p>
              </w:tc>
              <w:tc>
                <w:tcPr>
                  <w:tcW w:type="auto" w:w="0"/>
                  <w:shd w:val="clear" w:color="auto" w:fill="F0F0F0"/>
                </w:tcPr>
                <w:p>
                  <w:pPr>
                    <w:pStyle w:val="Normal"/>
                    <w:keepLines w:val="on"/>
                  </w:pPr>
                  <w:r>
                    <w:t>10.72</w:t>
                  </w:r>
                </w:p>
              </w:tc>
              <w:tc>
                <w:tcPr>
                  <w:tcW w:type="auto" w:w="0"/>
                  <w:shd w:val="clear" w:color="auto" w:fill="F0F0F0"/>
                </w:tcPr>
                <w:p>
                  <w:pPr>
                    <w:pStyle w:val="Normal"/>
                    <w:keepLines w:val="on"/>
                  </w:pPr>
                  <w:r>
                    <w:t>1.27</w:t>
                  </w:r>
                </w:p>
              </w:tc>
              <w:tc>
                <w:tcPr>
                  <w:tcW w:type="auto" w:w="0"/>
                  <w:shd w:val="clear" w:color="auto" w:fill="F0F0F0"/>
                </w:tcPr>
                <w:p>
                  <w:pPr>
                    <w:pStyle w:val="Normal"/>
                    <w:keepLines w:val="on"/>
                  </w:pPr>
                  <w:r>
                    <w:t>$ 1,329,366</w:t>
                  </w:r>
                </w:p>
              </w:tc>
              <w:tc>
                <w:tcPr>
                  <w:tcW w:type="auto" w:w="0"/>
                  <w:shd w:val="clear" w:color="auto" w:fill="F0F0F0"/>
                </w:tcPr>
                <w:p>
                  <w:pPr>
                    <w:pStyle w:val="Normal"/>
                    <w:keepLines w:val="on"/>
                  </w:pPr>
                  <w:r>
                    <w:t>66.85%</w:t>
                  </w:r>
                </w:p>
              </w:tc>
            </w:tr>
            <w:tr>
              <w:tc>
                <w:tcPr>
                  <w:tcW w:type="auto" w:w="0"/>
                  <w:shd w:val="clear" w:color="auto" w:fill="F0F0F0"/>
                </w:tcPr>
                <w:p>
                  <w:pPr>
                    <w:pStyle w:val="Para 02"/>
                    <w:keepLines w:val="on"/>
                  </w:pPr>
                  <w:r>
                    <w:t>Đám mây thông minh</w:t>
                  </w:r>
                </w:p>
              </w:tc>
              <w:tc>
                <w:tcPr>
                  <w:tcW w:type="auto" w:w="0"/>
                  <w:shd w:val="clear" w:color="auto" w:fill="F0F0F0"/>
                </w:tcPr>
                <w:p>
                  <w:pPr>
                    <w:pStyle w:val="Normal"/>
                    <w:keepLines w:val="on"/>
                  </w:pPr>
                  <w:r>
                    <w:t>$ 87,907</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0.85</w:t>
                  </w:r>
                </w:p>
              </w:tc>
              <w:tc>
                <w:tcPr>
                  <w:tcW w:type="auto" w:w="0"/>
                  <w:shd w:val="clear" w:color="auto" w:fill="F0F0F0"/>
                </w:tcPr>
                <w:p>
                  <w:pPr>
                    <w:pStyle w:val="Normal"/>
                    <w:keepLines w:val="on"/>
                  </w:pPr>
                  <w:r>
                    <w:t>$ 659,303</w:t>
                  </w:r>
                </w:p>
              </w:tc>
              <w:tc>
                <w:tcPr>
                  <w:tcW w:type="auto" w:w="0"/>
                  <w:shd w:val="clear" w:color="auto" w:fill="F0F0F0"/>
                </w:tcPr>
                <w:p>
                  <w:pPr>
                    <w:pStyle w:val="Normal"/>
                    <w:keepLines w:val="on"/>
                  </w:pPr>
                  <w:r>
                    <w:t>33.15%</w:t>
                  </w:r>
                </w:p>
              </w:tc>
            </w:tr>
            <w:tr>
              <w:tc>
                <w:tcPr>
                  <w:tcW w:type="auto" w:w="0"/>
                  <w:shd w:val="clear" w:color="auto" w:fill="F0F0F0"/>
                </w:tcPr>
                <w:p>
                  <w:pPr>
                    <w:pStyle w:val="Para 51"/>
                    <w:keepLines w:val="on"/>
                  </w:pPr>
                  <w:r>
                    <w:t>Microsoft</w:t>
                  </w:r>
                </w:p>
              </w:tc>
              <w:tc>
                <w:tcPr>
                  <w:tcW w:type="auto" w:w="0"/>
                  <w:shd w:val="clear" w:color="auto" w:fill="F0F0F0"/>
                </w:tcPr>
                <w:p>
                  <w:pPr>
                    <w:pStyle w:val="Para 47"/>
                    <w:keepLines w:val="on"/>
                  </w:pPr>
                  <w:r>
                    <w:t>$211,915</w:t>
                  </w:r>
                </w:p>
              </w:tc>
              <w:tc>
                <w:tcPr>
                  <w:tcW w:type="auto" w:w="0"/>
                  <w:shd w:val="clear" w:color="auto" w:fill="F0F0F0"/>
                </w:tcPr>
                <w:p>
                  <w:pPr>
                    <w:pStyle w:val="7 Block"/>
                    <w:keepLines w:val="on"/>
                  </w:pPr>
                </w:p>
              </w:tc>
              <w:tc>
                <w:tcPr>
                  <w:tcW w:type="auto" w:w="0"/>
                  <w:shd w:val="clear" w:color="auto" w:fill="F0F0F0"/>
                </w:tcPr>
                <w:p>
                  <w:pPr>
                    <w:pStyle w:val="Para 47"/>
                    <w:keepLines w:val="on"/>
                  </w:pPr>
                  <w:r>
                    <w:t>1.13</w:t>
                  </w:r>
                </w:p>
              </w:tc>
              <w:tc>
                <w:tcPr>
                  <w:tcW w:type="auto" w:w="0"/>
                  <w:shd w:val="clear" w:color="auto" w:fill="F0F0F0"/>
                </w:tcPr>
                <w:p>
                  <w:pPr>
                    <w:pStyle w:val="Para 47"/>
                    <w:keepLines w:val="on"/>
                  </w:pPr>
                  <w:r>
                    <w:t>$1,988,668</w:t>
                  </w:r>
                </w:p>
              </w:tc>
              <w:tc>
                <w:tcPr>
                  <w:tcW w:type="auto" w:w="0"/>
                  <w:shd w:val="clear" w:color="auto" w:fill="F0F0F0"/>
                </w:tcPr>
                <w:p>
                  <w:pPr>
                    <w:pStyle w:val="7 Block"/>
                    <w:keepLines w:val="on"/>
                  </w:pPr>
                </w:p>
              </w:tc>
            </w:tr>
          </w:tbl>
          <w:p/>
        </w:tc>
      </w:tr>
    </w:tbl>
    <w:p>
      <w:pPr>
        <w:pStyle w:val="Para 04"/>
        <w:keepLines w:val="on"/>
      </w:pPr>
      <w:r>
        <w:t>Với mảng phần mềm, chúng tôi dùng 351 công ty phần mềm ứng dụng và hệ thống đang niêm yết công khai tại Hoa Kỳ, rồi ước tính beta chưa vay nợ (unlevered beta) và tỷ lệ giá trị doanh nghiệp trên doanh thu (enterprise value to sales); tỷ lệ sau là thước đo mức giá mà thị trường đang định cho mỗi đô-la doanh thu trong ngành phần mềm. Với mảng đám mây, một mảng non trẻ hơn với ít người chơi hơn, chúng tôi dùng khoảng một tá công ty nhỏ hơn có phần lớn doanh thu đến từ mảng đám mây, thay vì những ông lớn như Google và Amazon (những công ty kiếm phần lớn giá trị từ các mảng kinh doanh khác), rồi cũng tính beta chưa vay nợ và tỷ lệ giá trị doanh nghiệp trên doanh thu. Giá trị của từng mảng trong hai mảng kinh doanh của Microsoft được ước tính bằng cách dùng doanh thu của mỗi phân khúc8 và một bội số doanh thu điển hình9 cho loại hình kinh doanh đó:</w:t>
      </w:r>
    </w:p>
    <w:p>
      <w:bookmarkStart w:id="1364" w:name="Value_of_Microsoft_s_software_bu"/>
      <w:pPr>
        <w:keepNext/>
        <w:pStyle w:val="Para 07"/>
        <w:keepLines w:val="on"/>
      </w:pPr>
      <w:r>
        <w:t>Giá trị mảng phần mềm của Microsoft = Doanh thu phần mềm × EV trên doanh thu của phần mềm = $124,008 × 10.72 = $1,329,366 triệu</w:t>
      </w:r>
      <w:bookmarkEnd w:id="1364"/>
    </w:p>
    <w:p>
      <w:bookmarkStart w:id="1365" w:name="Value_of_Microsoft_s_cloud_busin"/>
      <w:pPr>
        <w:keepNext/>
        <w:pStyle w:val="Para 07"/>
        <w:keepLines w:val="on"/>
      </w:pPr>
      <w:r>
        <w:t>Giá trị mảng đám mây của Microsoft = Doanh thu đám mây × EV trên doanh thu của đám mây = $87,907 × 7.50 = $659,303 triệu</w:t>
      </w:r>
      <w:bookmarkEnd w:id="1365"/>
    </w:p>
    <w:p>
      <w:pPr>
        <w:pStyle w:val="Para 04"/>
        <w:keepLines w:val="on"/>
      </w:pPr>
      <w:r>
        <w:t>Beta chưa vay nợ cho tài sản hoạt động của Microsoft năm 2024 có thể được ước tính bằng cách lấy bình quân gia quyền theo giá trị của beta từng mảng kinh doanh khác nhau:</w:t>
      </w:r>
    </w:p>
    <w:p>
      <w:bookmarkStart w:id="1366" w:name="Unlevered_Beta_for_Microsoft_Ope"/>
      <w:pPr>
        <w:keepNext/>
        <w:pStyle w:val="Para 07"/>
        <w:keepLines w:val="on"/>
      </w:pPr>
      <w:r>
        <w:t>Beta chưa vay nợ cho hoạt động của Microsoft = 1.27 (1,329,366/(1,329,366+659,303)) + 0.85 (659,303/(1,329,366+659,303)) = 1.13</w:t>
      </w:r>
      <w:bookmarkEnd w:id="1366"/>
    </w:p>
    <w:p>
      <w:pPr>
        <w:pStyle w:val="Para 04"/>
        <w:keepLines w:val="on"/>
      </w:pPr>
      <w:r>
        <w:t>Beta có đòn bẩy (levered beta) sau đó có thể được ước tính bằng cách sử dụng tỷ lệ nợ trên vốn chủ sở hữu (debt-to-equity ratio) của Microsoft vào năm 2023. Kết hợp giá trị thị trường của vốn chủ sở hữu là 3.023 tỷ USD và giá trị thị trường của nợ là 95,8 tỷ USD, cùng với thuế suất 25% cho công ty, chúng ta đi đến beta của Microsoft.</w:t>
      </w:r>
    </w:p>
    <w:p>
      <w:bookmarkStart w:id="1367" w:name="Levered_beta_for_Microsoft_1_13"/>
      <w:pPr>
        <w:keepNext/>
        <w:pStyle w:val="Para 07"/>
        <w:keepLines w:val="on"/>
      </w:pPr>
      <w:r>
        <w:t>Beta có đòn bẩy của Microsoft = 1,13(1+(1-0,25)(95,8/3023)) = 1,16</w:t>
      </w:r>
      <w:bookmarkEnd w:id="1367"/>
    </w:p>
    <w:p>
      <w:pPr>
        <w:pStyle w:val="Para 04"/>
        <w:keepLines w:val="on"/>
      </w:pPr>
      <w:r>
        <w:t>Con số này rất khác so với beta lịch sử là 0,88 mà chúng ta thu được từ hồi quy, nhưng theo quan điểm của chúng tôi, nó phản ánh trung thực hơn nhiều về rủi ro của Microsoft trong năm 2024. Nếu bạn tin rằng AI sẽ ngày càng chiếm phần lớn hơn trong giá trị của Microsoft trong tương lai, bạn có thể mở rộng đánh giá của mình để đưa nó vào như một mảng kinh doanh riêng biệt, với giá trị ước tính, và tính toán một beta hướng tới tương lai (forward-looking beta) cho Microsoft phản ánh AI.</w:t>
      </w:r>
    </w:p>
    <w:p>
      <w:pPr>
        <w:pStyle w:val="Para 11"/>
      </w:pPr>
      <w:r>
        <w:t/>
        <w:t xml:space="preserve"> </w:t>
      </w:r>
    </w:p>
    <w:p>
      <w:bookmarkStart w:id="1368" w:name="ILLUSTRATION_8_6__Estimating_a_B"/>
      <w:bookmarkStart w:id="1369" w:name="ILLUSTRATION_8_6__Estimating_a_B_1"/>
      <w:pPr>
        <w:keepNext/>
        <w:pStyle w:val="Para 19"/>
        <w:keepLines w:val="on"/>
      </w:pPr>
      <w:r>
        <w:t>MINH HỌA 8.6: Ước tính beta từ dưới lên (Bottom-Up Beta) cho Enka—Tháng 4 năm 2024</w:t>
      </w:r>
      <w:bookmarkEnd w:id="1368"/>
      <w:bookmarkEnd w:id="1369"/>
    </w:p>
    <w:p>
      <w:pPr>
        <w:pStyle w:val="Para 04"/>
        <w:keepLines w:val="on"/>
      </w:pPr>
      <w:r>
        <w:t>Để ước tính beta cho Enka, công ty xây dựng/cơ sở hạ tầng của Thổ Nhĩ Kỳ vào năm 2024, chúng tôi bắt đầu bằng việc định nghĩa các công ty so sánh là các công ty khác trong cùng ngành kinh doanh tại Thổ Nhĩ Kỳ nhưng chỉ tìm được một vài công ty. Khi chúng tôi mở rộng danh sách để bao gồm các công ty xây dựng và cơ sở hạ tầng trên khắp châu Âu, chúng tôi đã tăng mẫu lên khoảng 20 công ty. Vì chúng tôi không thấy lý do gì để giới hạn so sánh chỉ với các công ty châu Âu, chúng tôi quyết định xem xét beta trung vị (median beta) cho các công ty, trong từng mảng kinh doanh, trên toàn cầu, trong Bảng 8.3.</w:t>
      </w:r>
    </w:p>
    <w:p>
      <w:pPr>
        <w:pStyle w:val="Para 40"/>
        <w:keepLines w:val="on"/>
      </w:pPr>
      <w:r>
        <w:rPr>
          <w:rStyle w:val="Text26"/>
        </w:rPr>
        <w:bookmarkStart w:id="1372" w:name="Page_212"/>
        <w:t/>
        <w:bookmarkEnd w:id="1372"/>
      </w:r>
      <w:r>
        <w:t xml:space="preserve"> </w:t>
      </w:r>
    </w:p>
    <w:p>
      <w:pPr>
        <w:pStyle w:val="Para 25"/>
        <w:keepLines w:val="on"/>
      </w:pPr>
      <w:r>
        <w:t>Bảng 8.3</w:t>
      </w:r>
    </w:p>
    <w:p>
      <w:pPr>
        <w:keepNext/>
        <w:pStyle w:val="Para 24"/>
        <w:keepLines w:val="on"/>
      </w:pPr>
      <w:r>
        <w:t>Beta từ dưới lên cho Enka</w:t>
      </w:r>
    </w:p>
    <w:tbl>
      <w:tblPr>
        <w:tblW w:type="auto" w:w="0"/>
      </w:tblPr>
      <w:tr>
        <w:tc>
          <w:tcPr>
            <w:tcW w:type="auto" w:w="0"/>
          </w:tcPr>
          <w:tbl>
            <w:tblPr>
              <w:tblW w:type="auto" w:w="0"/>
            </w:tblPr>
            <w:tr>
              <w:tc>
                <w:tcPr>
                  <w:tcW w:type="auto" w:w="0"/>
                  <w:shd w:val="clear" w:color="auto" w:fill="F0F0F0"/>
                </w:tcPr>
                <w:p>
                  <w:pPr>
                    <w:pStyle w:val="Para 32"/>
                    <w:keepLines w:val="on"/>
                  </w:pPr>
                  <w:r>
                    <w:t>Mảng kinh doanh</w:t>
                  </w:r>
                </w:p>
              </w:tc>
              <w:tc>
                <w:tcPr>
                  <w:tcW w:type="auto" w:w="0"/>
                  <w:shd w:val="clear" w:color="auto" w:fill="F0F0F0"/>
                </w:tcPr>
                <w:p>
                  <w:pPr>
                    <w:pStyle w:val="Para 05"/>
                    <w:keepLines w:val="on"/>
                  </w:pPr>
                  <w:r>
                    <w:t>Doanh thu</w:t>
                  </w:r>
                </w:p>
              </w:tc>
              <w:tc>
                <w:tcPr>
                  <w:tcW w:type="auto" w:w="0"/>
                  <w:shd w:val="clear" w:color="auto" w:fill="F0F0F0"/>
                </w:tcPr>
                <w:p>
                  <w:pPr>
                    <w:pStyle w:val="Para 05"/>
                    <w:keepLines w:val="on"/>
                  </w:pPr>
                  <w:r>
                    <w:t>EV/Doanh thu</w:t>
                  </w:r>
                </w:p>
              </w:tc>
              <w:tc>
                <w:tcPr>
                  <w:tcW w:type="auto" w:w="0"/>
                  <w:shd w:val="clear" w:color="auto" w:fill="F0F0F0"/>
                </w:tcPr>
                <w:p>
                  <w:pPr>
                    <w:pStyle w:val="Para 05"/>
                    <w:keepLines w:val="on"/>
                  </w:pPr>
                  <w:r>
                    <w:t>Beta không đòn bẩy (Unlevered Beta)</w:t>
                  </w:r>
                </w:p>
              </w:tc>
              <w:tc>
                <w:tcPr>
                  <w:tcW w:type="auto" w:w="0"/>
                  <w:shd w:val="clear" w:color="auto" w:fill="F0F0F0"/>
                </w:tcPr>
                <w:p>
                  <w:pPr>
                    <w:pStyle w:val="Para 05"/>
                    <w:keepLines w:val="on"/>
                  </w:pPr>
                  <w:r>
                    <w:t>Giá trị</w:t>
                  </w:r>
                </w:p>
              </w:tc>
              <w:tc>
                <w:tcPr>
                  <w:tcW w:type="auto" w:w="0"/>
                  <w:shd w:val="clear" w:color="auto" w:fill="F0F0F0"/>
                </w:tcPr>
                <w:p>
                  <w:pPr>
                    <w:pStyle w:val="Para 05"/>
                    <w:keepLines w:val="on"/>
                  </w:pPr>
                  <w:r>
                    <w:t>Trọng số</w:t>
                  </w:r>
                </w:p>
              </w:tc>
            </w:tr>
            <w:tr>
              <w:tc>
                <w:tcPr>
                  <w:tcW w:type="auto" w:w="0"/>
                  <w:shd w:val="clear" w:color="auto" w:fill="F0F0F0"/>
                </w:tcPr>
                <w:p>
                  <w:pPr>
                    <w:pStyle w:val="Para 02"/>
                    <w:keepLines w:val="on"/>
                  </w:pPr>
                  <w:r>
                    <w:t>Kỹ thuật/Xây dựng</w:t>
                  </w:r>
                </w:p>
              </w:tc>
              <w:tc>
                <w:tcPr>
                  <w:tcW w:type="auto" w:w="0"/>
                  <w:shd w:val="clear" w:color="auto" w:fill="F0F0F0"/>
                </w:tcPr>
                <w:p>
                  <w:pPr>
                    <w:pStyle w:val="Normal"/>
                    <w:keepLines w:val="on"/>
                  </w:pPr>
                  <w:r>
                    <w:t>₺32.015</w:t>
                  </w:r>
                </w:p>
              </w:tc>
              <w:tc>
                <w:tcPr>
                  <w:tcW w:type="auto" w:w="0"/>
                  <w:shd w:val="clear" w:color="auto" w:fill="F0F0F0"/>
                </w:tcPr>
                <w:p>
                  <w:pPr>
                    <w:pStyle w:val="Normal"/>
                    <w:keepLines w:val="on"/>
                  </w:pPr>
                  <w:r>
                    <w:t>0,60</w:t>
                  </w:r>
                </w:p>
              </w:tc>
              <w:tc>
                <w:tcPr>
                  <w:tcW w:type="auto" w:w="0"/>
                  <w:shd w:val="clear" w:color="auto" w:fill="F0F0F0"/>
                </w:tcPr>
                <w:p>
                  <w:pPr>
                    <w:pStyle w:val="Normal"/>
                    <w:keepLines w:val="on"/>
                  </w:pPr>
                  <w:r>
                    <w:t>0,73</w:t>
                  </w:r>
                </w:p>
              </w:tc>
              <w:tc>
                <w:tcPr>
                  <w:tcW w:type="auto" w:w="0"/>
                  <w:shd w:val="clear" w:color="auto" w:fill="F0F0F0"/>
                </w:tcPr>
                <w:p>
                  <w:pPr>
                    <w:pStyle w:val="Normal"/>
                    <w:keepLines w:val="on"/>
                  </w:pPr>
                  <w:r>
                    <w:t>₺19.118</w:t>
                  </w:r>
                </w:p>
              </w:tc>
              <w:tc>
                <w:tcPr>
                  <w:tcW w:type="auto" w:w="0"/>
                  <w:shd w:val="clear" w:color="auto" w:fill="F0F0F0"/>
                </w:tcPr>
                <w:p>
                  <w:pPr>
                    <w:pStyle w:val="Normal"/>
                    <w:keepLines w:val="on"/>
                  </w:pPr>
                  <w:r>
                    <w:t>23,60%</w:t>
                  </w:r>
                </w:p>
              </w:tc>
            </w:tr>
            <w:tr>
              <w:tc>
                <w:tcPr>
                  <w:tcW w:type="auto" w:w="0"/>
                  <w:shd w:val="clear" w:color="auto" w:fill="F0F0F0"/>
                </w:tcPr>
                <w:p>
                  <w:pPr>
                    <w:pStyle w:val="Para 02"/>
                    <w:keepLines w:val="on"/>
                  </w:pPr>
                  <w:r>
                    <w:t>Bất động sản</w:t>
                  </w:r>
                </w:p>
              </w:tc>
              <w:tc>
                <w:tcPr>
                  <w:tcW w:type="auto" w:w="0"/>
                  <w:shd w:val="clear" w:color="auto" w:fill="F0F0F0"/>
                </w:tcPr>
                <w:p>
                  <w:pPr>
                    <w:pStyle w:val="Normal"/>
                    <w:keepLines w:val="on"/>
                  </w:pPr>
                  <w:r>
                    <w:t>₺5.703</w:t>
                  </w:r>
                </w:p>
              </w:tc>
              <w:tc>
                <w:tcPr>
                  <w:tcW w:type="auto" w:w="0"/>
                  <w:shd w:val="clear" w:color="auto" w:fill="F0F0F0"/>
                </w:tcPr>
                <w:p>
                  <w:pPr>
                    <w:pStyle w:val="Normal"/>
                    <w:keepLines w:val="on"/>
                  </w:pPr>
                  <w:r>
                    <w:t>3,42</w:t>
                  </w:r>
                </w:p>
              </w:tc>
              <w:tc>
                <w:tcPr>
                  <w:tcW w:type="auto" w:w="0"/>
                  <w:shd w:val="clear" w:color="auto" w:fill="F0F0F0"/>
                </w:tcPr>
                <w:p>
                  <w:pPr>
                    <w:pStyle w:val="Normal"/>
                    <w:keepLines w:val="on"/>
                  </w:pPr>
                  <w:r>
                    <w:t>0,53</w:t>
                  </w:r>
                </w:p>
              </w:tc>
              <w:tc>
                <w:tcPr>
                  <w:tcW w:type="auto" w:w="0"/>
                  <w:shd w:val="clear" w:color="auto" w:fill="F0F0F0"/>
                </w:tcPr>
                <w:p>
                  <w:pPr>
                    <w:pStyle w:val="Normal"/>
                    <w:keepLines w:val="on"/>
                  </w:pPr>
                  <w:r>
                    <w:t>₺19.481</w:t>
                  </w:r>
                </w:p>
              </w:tc>
              <w:tc>
                <w:tcPr>
                  <w:tcW w:type="auto" w:w="0"/>
                  <w:shd w:val="clear" w:color="auto" w:fill="F0F0F0"/>
                </w:tcPr>
                <w:p>
                  <w:pPr>
                    <w:pStyle w:val="Normal"/>
                    <w:keepLines w:val="on"/>
                  </w:pPr>
                  <w:r>
                    <w:t>24,05%</w:t>
                  </w:r>
                </w:p>
              </w:tc>
            </w:tr>
            <w:tr>
              <w:tc>
                <w:tcPr>
                  <w:tcW w:type="auto" w:w="0"/>
                  <w:shd w:val="clear" w:color="auto" w:fill="F0F0F0"/>
                </w:tcPr>
                <w:p>
                  <w:pPr>
                    <w:pStyle w:val="Para 02"/>
                    <w:keepLines w:val="on"/>
                  </w:pPr>
                  <w:r>
                    <w:t>Vận tải</w:t>
                  </w:r>
                </w:p>
              </w:tc>
              <w:tc>
                <w:tcPr>
                  <w:tcW w:type="auto" w:w="0"/>
                  <w:shd w:val="clear" w:color="auto" w:fill="F0F0F0"/>
                </w:tcPr>
                <w:p>
                  <w:pPr>
                    <w:pStyle w:val="Normal"/>
                    <w:keepLines w:val="on"/>
                  </w:pPr>
                  <w:r>
                    <w:t>₺4.085</w:t>
                  </w:r>
                </w:p>
              </w:tc>
              <w:tc>
                <w:tcPr>
                  <w:tcW w:type="auto" w:w="0"/>
                  <w:shd w:val="clear" w:color="auto" w:fill="F0F0F0"/>
                </w:tcPr>
                <w:p>
                  <w:pPr>
                    <w:pStyle w:val="Normal"/>
                    <w:keepLines w:val="on"/>
                  </w:pPr>
                  <w:r>
                    <w:t>0,99</w:t>
                  </w:r>
                </w:p>
              </w:tc>
              <w:tc>
                <w:tcPr>
                  <w:tcW w:type="auto" w:w="0"/>
                  <w:shd w:val="clear" w:color="auto" w:fill="F0F0F0"/>
                </w:tcPr>
                <w:p>
                  <w:pPr>
                    <w:pStyle w:val="Normal"/>
                    <w:keepLines w:val="on"/>
                  </w:pPr>
                  <w:r>
                    <w:t>0,83</w:t>
                  </w:r>
                </w:p>
              </w:tc>
              <w:tc>
                <w:tcPr>
                  <w:tcW w:type="auto" w:w="0"/>
                  <w:shd w:val="clear" w:color="auto" w:fill="F0F0F0"/>
                </w:tcPr>
                <w:p>
                  <w:pPr>
                    <w:pStyle w:val="Normal"/>
                    <w:keepLines w:val="on"/>
                  </w:pPr>
                  <w:r>
                    <w:t>₺4.040</w:t>
                  </w:r>
                </w:p>
              </w:tc>
              <w:tc>
                <w:tcPr>
                  <w:tcW w:type="auto" w:w="0"/>
                  <w:shd w:val="clear" w:color="auto" w:fill="F0F0F0"/>
                </w:tcPr>
                <w:p>
                  <w:pPr>
                    <w:pStyle w:val="Normal"/>
                    <w:keepLines w:val="on"/>
                  </w:pPr>
                  <w:r>
                    <w:t>4,99%</w:t>
                  </w:r>
                </w:p>
              </w:tc>
            </w:tr>
            <w:tr>
              <w:tc>
                <w:tcPr>
                  <w:tcW w:type="auto" w:w="0"/>
                  <w:shd w:val="clear" w:color="auto" w:fill="F0F0F0"/>
                </w:tcPr>
                <w:p>
                  <w:pPr>
                    <w:pStyle w:val="Para 02"/>
                    <w:keepLines w:val="on"/>
                  </w:pPr>
                  <w:r>
                    <w:t>Điện lực</w:t>
                  </w:r>
                </w:p>
              </w:tc>
              <w:tc>
                <w:tcPr>
                  <w:tcW w:type="auto" w:w="0"/>
                  <w:shd w:val="clear" w:color="auto" w:fill="F0F0F0"/>
                </w:tcPr>
                <w:p>
                  <w:pPr>
                    <w:pStyle w:val="Normal"/>
                    <w:keepLines w:val="on"/>
                  </w:pPr>
                  <w:r>
                    <w:t>₺21.494</w:t>
                  </w:r>
                </w:p>
              </w:tc>
              <w:tc>
                <w:tcPr>
                  <w:tcW w:type="auto" w:w="0"/>
                  <w:shd w:val="clear" w:color="auto" w:fill="F0F0F0"/>
                </w:tcPr>
                <w:p>
                  <w:pPr>
                    <w:pStyle w:val="Normal"/>
                    <w:keepLines w:val="on"/>
                  </w:pPr>
                  <w:r>
                    <w:t>1,79</w:t>
                  </w:r>
                </w:p>
              </w:tc>
              <w:tc>
                <w:tcPr>
                  <w:tcW w:type="auto" w:w="0"/>
                  <w:shd w:val="clear" w:color="auto" w:fill="F0F0F0"/>
                </w:tcPr>
                <w:p>
                  <w:pPr>
                    <w:pStyle w:val="Normal"/>
                    <w:keepLines w:val="on"/>
                  </w:pPr>
                  <w:r>
                    <w:t>0,44</w:t>
                  </w:r>
                </w:p>
              </w:tc>
              <w:tc>
                <w:tcPr>
                  <w:tcW w:type="auto" w:w="0"/>
                  <w:shd w:val="clear" w:color="auto" w:fill="F0F0F0"/>
                </w:tcPr>
                <w:p>
                  <w:pPr>
                    <w:pStyle w:val="Normal"/>
                    <w:keepLines w:val="on"/>
                  </w:pPr>
                  <w:r>
                    <w:t>₺38.372</w:t>
                  </w:r>
                </w:p>
              </w:tc>
              <w:tc>
                <w:tcPr>
                  <w:tcW w:type="auto" w:w="0"/>
                  <w:shd w:val="clear" w:color="auto" w:fill="F0F0F0"/>
                </w:tcPr>
                <w:p>
                  <w:pPr>
                    <w:pStyle w:val="Normal"/>
                    <w:keepLines w:val="on"/>
                  </w:pPr>
                  <w:r>
                    <w:t>47,37%</w:t>
                  </w:r>
                </w:p>
              </w:tc>
            </w:tr>
            <w:tr>
              <w:tc>
                <w:tcPr>
                  <w:tcW w:type="auto" w:w="0"/>
                  <w:shd w:val="clear" w:color="auto" w:fill="F0F0F0"/>
                </w:tcPr>
                <w:p>
                  <w:pPr>
                    <w:pStyle w:val="Para 02"/>
                    <w:keepLines w:val="on"/>
                  </w:pPr>
                  <w:r>
                    <w:t>Hoạt động Enka</w:t>
                  </w:r>
                </w:p>
              </w:tc>
              <w:tc>
                <w:tcPr>
                  <w:tcW w:type="auto" w:w="0"/>
                  <w:shd w:val="clear" w:color="auto" w:fill="F0F0F0"/>
                </w:tcPr>
                <w:p>
                  <w:pPr>
                    <w:pStyle w:val="Normal"/>
                    <w:keepLines w:val="on"/>
                  </w:pPr>
                  <w:r>
                    <w:t>₺63.297</w:t>
                  </w:r>
                </w:p>
              </w:tc>
              <w:tc>
                <w:tcPr>
                  <w:tcW w:type="auto" w:w="0"/>
                  <w:shd w:val="clear" w:color="auto" w:fill="F0F0F0"/>
                </w:tcPr>
                <w:p>
                  <w:pPr>
                    <w:pStyle w:val="7 Block"/>
                    <w:keepLines w:val="on"/>
                  </w:pPr>
                </w:p>
              </w:tc>
              <w:tc>
                <w:tcPr>
                  <w:tcW w:type="auto" w:w="0"/>
                  <w:shd w:val="clear" w:color="auto" w:fill="F0F0F0"/>
                </w:tcPr>
                <w:p>
                  <w:pPr>
                    <w:pStyle w:val="Normal"/>
                    <w:keepLines w:val="on"/>
                  </w:pPr>
                  <w:r>
                    <w:t>0,55</w:t>
                  </w:r>
                </w:p>
              </w:tc>
              <w:tc>
                <w:tcPr>
                  <w:tcW w:type="auto" w:w="0"/>
                  <w:shd w:val="clear" w:color="auto" w:fill="F0F0F0"/>
                </w:tcPr>
                <w:p>
                  <w:pPr>
                    <w:pStyle w:val="Normal"/>
                    <w:keepLines w:val="on"/>
                  </w:pPr>
                  <w:r>
                    <w:t>₺81.011</w:t>
                  </w:r>
                </w:p>
              </w:tc>
              <w:tc>
                <w:tcPr>
                  <w:tcW w:type="auto" w:w="0"/>
                  <w:shd w:val="clear" w:color="auto" w:fill="F0F0F0"/>
                </w:tcPr>
                <w:p>
                  <w:pPr>
                    <w:pStyle w:val="Normal"/>
                    <w:keepLines w:val="on"/>
                  </w:pPr>
                  <w:r>
                    <w:t>100,00%</w:t>
                  </w:r>
                </w:p>
              </w:tc>
            </w:tr>
          </w:tbl>
          <w:p/>
        </w:tc>
      </w:tr>
    </w:tbl>
    <w:p>
      <w:pPr>
        <w:pStyle w:val="Para 04"/>
        <w:keepLines w:val="on"/>
      </w:pPr>
      <w:r>
        <w:t>Sau đó, chúng tôi dùng giá trị thị trường của vốn chủ sở hữu (190.358 triệu Lira Thổ Nhĩ Kỳ) và nợ (2.665 triệu lira) của Enka, kết hợp với thuế suất biên 23% của Thổ Nhĩ Kỳ, để ước tính beta có đòn bẩy (levered beta) cho vốn chủ sở hữu của công ty:</w:t>
      </w:r>
    </w:p>
    <w:p>
      <w:bookmarkStart w:id="1373" w:name="Debt_to_Equity_2665_190_358_1_40"/>
      <w:pPr>
        <w:keepNext/>
        <w:pStyle w:val="Para 07"/>
        <w:keepLines w:val="on"/>
      </w:pPr>
      <w:r>
        <w:t>Nợ trên Vốn chủ sở hữu = 2665/190.358 = 1,40%</w:t>
      </w:r>
      <w:bookmarkEnd w:id="1373"/>
    </w:p>
    <w:p>
      <w:bookmarkStart w:id="1374" w:name="Levered_beta_0_55_1__1__23_x__01"/>
      <w:pPr>
        <w:keepNext/>
        <w:pStyle w:val="Para 07"/>
        <w:keepLines w:val="on"/>
      </w:pPr>
      <w:r>
        <w:t>Beta có đòn bẩy = 0,55[1+(1-0,23)×(0,014)] = 0,56</w:t>
      </w:r>
      <w:bookmarkEnd w:id="1374"/>
    </w:p>
    <w:p>
      <w:pPr>
        <w:pStyle w:val="Para 04"/>
        <w:keepLines w:val="on"/>
      </w:pPr>
      <w:r>
        <w:t>Enka có rất ít nợ, vì vậy beta có đòn bẩy của công ty rất giống với beta không đòn bẩy (unlevered beta).</w:t>
      </w:r>
    </w:p>
    <w:p>
      <w:pPr>
        <w:pStyle w:val="Para 11"/>
      </w:pPr>
      <w:r>
        <w:t/>
        <w:t xml:space="preserve"> </w:t>
      </w:r>
    </w:p>
    <w:p>
      <w:bookmarkStart w:id="1375" w:name="How_Well_Do_Betas_Travel"/>
      <w:bookmarkStart w:id="1376" w:name="How_Well_Do_Betas_Travel__Often"/>
      <w:pPr>
        <w:keepNext/>
        <w:pStyle w:val="Para 27"/>
        <w:keepLines w:val="on"/>
      </w:pPr>
      <w:r>
        <w:t>Beta "đi xa" đến mức nào?</w:t>
      </w:r>
      <w:bookmarkEnd w:id="1375"/>
      <w:bookmarkEnd w:id="1376"/>
    </w:p>
    <w:p>
      <w:pPr>
        <w:pStyle w:val="Para 16"/>
        <w:keepLines w:val="on"/>
      </w:pPr>
      <w:r>
        <w:t>Thường thì khi phân tích các công ty ở thị trường nhỏ hoặc mới nổi, chúng ta phải ước tính beta bằng cách nhìn vào các công ty cùng ngành nhưng được giao dịch trên các thị trường khác. Đây chính là cách chúng tôi làm khi ước tính beta cho Enka. Liệu điều này có hợp lý không? Beta của một công ty thép ở Mỹ có nên tương đương với beta của một công ty thép ở Indonesia không? Chúng tôi không thấy lý do gì để nó không tương đương. Nhưng công ty ở Indonesia có nhiều rủi ro hơn hẳn, bạn có thể phản biện như vậy. Chúng tôi không phản đối điều đó, nhưng việc chúng ta dùng beta tương tự nhau không có nghĩa là chúng ta cho rằng chi phí vốn chủ sở hữu (cost of equity) giống hệt nhau ở mọi công ty thép. Thực tế, với cách tiếp cận được trình bày ở chương trước, phần bù rủi ro (risk premium) dùng để ước tính chi phí vốn chủ sở hữu cho công ty Indonesia sẽ bao gồm một phần bù rủi ro quốc gia (country risk premium), còn chi phí vốn chủ sở hữu của công ty Mỹ thì không. Vì vậy, dù beta dùng cho hai công ty là giống nhau, chi phí vốn chủ sở hữu của công ty Indonesia vẫn sẽ cao hơn nhiều.</w:t>
      </w:r>
    </w:p>
    <w:p>
      <w:pPr>
        <w:pStyle w:val="Para 16"/>
        <w:keepLines w:val="on"/>
      </w:pPr>
      <w:r>
        <w:t>Có một vài ngoại lệ cho nhận định này. Hãy nhớ lại rằng một trong những yếu tố quyết định chính của beta là mức độ mà một sản phẩm hay dịch vụ mang tính tùy ý (discretionary). Hoàn toàn có thể xảy ra trường hợp những sản phẩm hay dịch vụ mang tính tùy ý ở thị trường này (và có beta cao) lại là không tùy ý ở thị trường khác (và có beta thấp). Ví dụ, dịch vụ điện thoại được xem là sản phẩm không tùy ý ở hầu hết các thị trường phát triển nhưng lại là sản phẩm tùy ý ở các thị trường mới nổi. Do đó, beta trung bình ước tính từ các công ty viễn thông ở thị trường phát triển sẽ đánh giá thấp beta thực sự của một công ty viễn thông ở thị trường mới nổi. Đối với beta của công ty sau, các công ty so sánh nên được giới hạn chỉ gồm các công ty viễn thông ở thị trường mới nổi.</w:t>
      </w:r>
    </w:p>
    <w:p>
      <w:pPr>
        <w:pStyle w:val="Para 11"/>
      </w:pPr>
      <w:r>
        <w:rPr>
          <w:rStyle w:val="Text26"/>
        </w:rPr>
        <w:bookmarkStart w:id="1377" w:name="Page_213"/>
        <w:t/>
        <w:bookmarkEnd w:id="1377"/>
      </w:r>
      <w:r>
        <w:t xml:space="preserve"> </w:t>
      </w:r>
    </w:p>
    <w:p>
      <w:bookmarkStart w:id="1378" w:name="Calculating_Betas_after_a_Major"/>
      <w:pPr>
        <w:pStyle w:val="Para 21"/>
      </w:pPr>
      <w:r>
        <w:t>Tính toán Beta sau một cuộc tái cấu trúc lớn</w:t>
      </w:r>
      <w:bookmarkEnd w:id="1378"/>
    </w:p>
    <w:p>
      <w:pPr>
        <w:pStyle w:val="Para 03"/>
      </w:pPr>
      <w:r>
        <w:t>Quá trình ước tính beta theo phương pháp từ dưới lên (bottom-up) mang lại giải pháp khi các công ty trải qua những đợt tái cấu trúc lớn làm thay đổi cả cơ cấu kinh doanh lẫn đòn bẩy tài chính. Trong những trường hợp này, beta từ hồi quy (regression beta) sẽ gây hiểu nhầm vì chúng không phản ánh đầy đủ tác động của những thay đổi đó. Beta của Microsoft ước tính bằng phương pháp từ dưới lên có khả năng cho ra con số chính xác hơn so với beta lịch sử từ hồi quy giá cổ phiếu Microsoft, xét đến việc Microsoft tham gia và mở rộng trong mảng kinh doanh đám mây. Vào thời điểm phân tích này, Microsoft đang chờ hoàn tất thương vụ thâu tóm lớn trị giá 70 tỷ USD đối với Activision Blizzard, một công ty game. Minh họa 8.7 ước tính beta của Microsoft ngay trước và sau khi thâu tóm Activision.</w:t>
      </w:r>
    </w:p>
    <w:p>
      <w:pPr>
        <w:pStyle w:val="Para 11"/>
      </w:pPr>
      <w:r>
        <w:t/>
        <w:t xml:space="preserve"> </w:t>
      </w:r>
    </w:p>
    <w:p>
      <w:bookmarkStart w:id="1380" w:name="ILLUSTRATION_8_7__Beta_of_a_Firm_1"/>
      <w:bookmarkStart w:id="1381" w:name="ILLUSTRATION_8_7__Beta_of_a_Firm"/>
      <w:pPr>
        <w:keepNext/>
        <w:pStyle w:val="Para 19"/>
        <w:keepLines w:val="on"/>
      </w:pPr>
      <w:r>
        <w:t>MINH HỌA 8.7: Beta của một công ty sau thương vụ thâu tóm: Microsoft và Activision Blizzard</w:t>
      </w:r>
      <w:bookmarkEnd w:id="1380"/>
      <w:bookmarkEnd w:id="1381"/>
    </w:p>
    <w:p>
      <w:pPr>
        <w:pStyle w:val="Para 04"/>
        <w:keepLines w:val="on"/>
      </w:pPr>
      <w:r>
        <w:t>Năm 2022, Microsoft công bố thâu tóm Activision Blizzard nhằm tạo đà tiến vào mảng kinh doanh game và Metaverse (game thực tế ảo). Sau những trì hoãn do sự phản đối từ cơ quan quản lý, có vẻ thương vụ sẽ hoàn tất vào năm 2024, và các số liệu của hai công ty (tức là beta cùng nợ và vốn chủ sở hữu) được cung cấp dưới đây:</w:t>
      </w:r>
    </w:p>
    <w:tbl>
      <w:tblPr>
        <w:tblW w:type="auto" w:w="0"/>
      </w:tblPr>
      <w:tr>
        <w:tc>
          <w:tcPr>
            <w:tcW w:type="auto" w:w="0"/>
          </w:tcPr>
          <w:tbl>
            <w:tblPr>
              <w:tblW w:type="auto" w:w="0"/>
            </w:tblPr>
            <w:tr>
              <w:tc>
                <w:tcPr>
                  <w:tcW w:type="auto" w:w="0"/>
                  <w:shd w:val="clear" w:color="auto" w:fill="F0F0F0"/>
                </w:tcPr>
                <w:p>
                  <w:pPr>
                    <w:pStyle w:val="Para 32"/>
                    <w:keepLines w:val="on"/>
                  </w:pPr>
                  <w:r>
                    <w:t>Công ty</w:t>
                  </w:r>
                </w:p>
              </w:tc>
              <w:tc>
                <w:tcPr>
                  <w:tcW w:type="auto" w:w="0"/>
                  <w:shd w:val="clear" w:color="auto" w:fill="F0F0F0"/>
                </w:tcPr>
                <w:p>
                  <w:pPr>
                    <w:pStyle w:val="Para 05"/>
                    <w:keepLines w:val="on"/>
                  </w:pPr>
                  <w:r>
                    <w:t>Beta có đòn bẩy</w:t>
                  </w:r>
                </w:p>
              </w:tc>
              <w:tc>
                <w:tcPr>
                  <w:tcW w:type="auto" w:w="0"/>
                  <w:shd w:val="clear" w:color="auto" w:fill="F0F0F0"/>
                </w:tcPr>
                <w:p>
                  <w:pPr>
                    <w:pStyle w:val="Para 05"/>
                    <w:keepLines w:val="on"/>
                  </w:pPr>
                  <w:r>
                    <w:t>Beta không đòn bẩy</w:t>
                  </w:r>
                </w:p>
              </w:tc>
              <w:tc>
                <w:tcPr>
                  <w:tcW w:type="auto" w:w="0"/>
                  <w:shd w:val="clear" w:color="auto" w:fill="F0F0F0"/>
                </w:tcPr>
                <w:p>
                  <w:pPr>
                    <w:pStyle w:val="Para 05"/>
                    <w:keepLines w:val="on"/>
                  </w:pPr>
                  <w:r>
                    <w:t>Nợ</w:t>
                  </w:r>
                </w:p>
              </w:tc>
              <w:tc>
                <w:tcPr>
                  <w:tcW w:type="auto" w:w="0"/>
                  <w:shd w:val="clear" w:color="auto" w:fill="F0F0F0"/>
                </w:tcPr>
                <w:p>
                  <w:pPr>
                    <w:pStyle w:val="Para 05"/>
                    <w:keepLines w:val="on"/>
                  </w:pPr>
                  <w:r>
                    <w:t>Vốn chủ sở hữu</w:t>
                  </w:r>
                </w:p>
              </w:tc>
              <w:tc>
                <w:tcPr>
                  <w:tcW w:type="auto" w:w="0"/>
                  <w:shd w:val="clear" w:color="auto" w:fill="F0F0F0"/>
                </w:tcPr>
                <w:p>
                  <w:pPr>
                    <w:pStyle w:val="Para 05"/>
                    <w:keepLines w:val="on"/>
                  </w:pPr>
                  <w:r>
                    <w:t>Tiền mặt</w:t>
                  </w:r>
                </w:p>
              </w:tc>
            </w:tr>
            <w:tr>
              <w:tc>
                <w:tcPr>
                  <w:tcW w:type="auto" w:w="0"/>
                  <w:shd w:val="clear" w:color="auto" w:fill="F0F0F0"/>
                </w:tcPr>
                <w:p>
                  <w:pPr>
                    <w:pStyle w:val="Para 02"/>
                    <w:keepLines w:val="on"/>
                  </w:pPr>
                  <w:r>
                    <w:t>Microsoft (trước)</w:t>
                  </w:r>
                </w:p>
              </w:tc>
              <w:tc>
                <w:tcPr>
                  <w:tcW w:type="auto" w:w="0"/>
                  <w:shd w:val="clear" w:color="auto" w:fill="F0F0F0"/>
                </w:tcPr>
                <w:p>
                  <w:pPr>
                    <w:pStyle w:val="Normal"/>
                    <w:keepLines w:val="on"/>
                  </w:pPr>
                  <w:r>
                    <w:t>1,16</w:t>
                  </w:r>
                </w:p>
              </w:tc>
              <w:tc>
                <w:tcPr>
                  <w:tcW w:type="auto" w:w="0"/>
                  <w:shd w:val="clear" w:color="auto" w:fill="F0F0F0"/>
                </w:tcPr>
                <w:p>
                  <w:pPr>
                    <w:pStyle w:val="Normal"/>
                    <w:keepLines w:val="on"/>
                  </w:pPr>
                  <w:r>
                    <w:t>1,13</w:t>
                  </w:r>
                </w:p>
              </w:tc>
              <w:tc>
                <w:tcPr>
                  <w:tcW w:type="auto" w:w="0"/>
                  <w:shd w:val="clear" w:color="auto" w:fill="F0F0F0"/>
                </w:tcPr>
                <w:p>
                  <w:pPr>
                    <w:pStyle w:val="Normal"/>
                    <w:keepLines w:val="on"/>
                  </w:pPr>
                  <w:r>
                    <w:t>$ 95.852</w:t>
                  </w:r>
                </w:p>
              </w:tc>
              <w:tc>
                <w:tcPr>
                  <w:tcW w:type="auto" w:w="0"/>
                  <w:shd w:val="clear" w:color="auto" w:fill="F0F0F0"/>
                </w:tcPr>
                <w:p>
                  <w:pPr>
                    <w:pStyle w:val="Normal"/>
                    <w:keepLines w:val="on"/>
                  </w:pPr>
                  <w:r>
                    <w:t>$3.023.000</w:t>
                  </w:r>
                </w:p>
              </w:tc>
              <w:tc>
                <w:tcPr>
                  <w:tcW w:type="auto" w:w="0"/>
                  <w:shd w:val="clear" w:color="auto" w:fill="F0F0F0"/>
                </w:tcPr>
                <w:p>
                  <w:pPr>
                    <w:pStyle w:val="Normal"/>
                    <w:keepLines w:val="on"/>
                  </w:pPr>
                  <w:r>
                    <w:t>$80.892</w:t>
                  </w:r>
                </w:p>
              </w:tc>
            </w:tr>
            <w:tr>
              <w:tc>
                <w:tcPr>
                  <w:tcW w:type="auto" w:w="0"/>
                  <w:shd w:val="clear" w:color="auto" w:fill="F0F0F0"/>
                </w:tcPr>
                <w:p>
                  <w:pPr>
                    <w:pStyle w:val="Para 02"/>
                    <w:keepLines w:val="on"/>
                  </w:pPr>
                  <w:r>
                    <w:t>Activision</w:t>
                  </w:r>
                </w:p>
              </w:tc>
              <w:tc>
                <w:tcPr>
                  <w:tcW w:type="auto" w:w="0"/>
                  <w:shd w:val="clear" w:color="auto" w:fill="F0F0F0"/>
                </w:tcPr>
                <w:p>
                  <w:pPr>
                    <w:pStyle w:val="Normal"/>
                    <w:keepLines w:val="on"/>
                  </w:pPr>
                  <w:r>
                    <w:t>0,91</w:t>
                  </w:r>
                </w:p>
              </w:tc>
              <w:tc>
                <w:tcPr>
                  <w:tcW w:type="auto" w:w="0"/>
                  <w:shd w:val="clear" w:color="auto" w:fill="F0F0F0"/>
                </w:tcPr>
                <w:p>
                  <w:pPr>
                    <w:pStyle w:val="Normal"/>
                    <w:keepLines w:val="on"/>
                  </w:pPr>
                  <w:r>
                    <w:t>0,87</w:t>
                  </w:r>
                </w:p>
              </w:tc>
              <w:tc>
                <w:tcPr>
                  <w:tcW w:type="auto" w:w="0"/>
                  <w:shd w:val="clear" w:color="auto" w:fill="F0F0F0"/>
                </w:tcPr>
                <w:p>
                  <w:pPr>
                    <w:pStyle w:val="Normal"/>
                    <w:keepLines w:val="on"/>
                  </w:pPr>
                  <w:r>
                    <w:t>$ 3.856</w:t>
                  </w:r>
                </w:p>
              </w:tc>
              <w:tc>
                <w:tcPr>
                  <w:tcW w:type="auto" w:w="0"/>
                  <w:shd w:val="clear" w:color="auto" w:fill="F0F0F0"/>
                </w:tcPr>
                <w:p>
                  <w:pPr>
                    <w:pStyle w:val="Normal"/>
                    <w:keepLines w:val="on"/>
                  </w:pPr>
                  <w:r>
                    <w:t>$60.444</w:t>
                  </w:r>
                </w:p>
              </w:tc>
              <w:tc>
                <w:tcPr>
                  <w:tcW w:type="auto" w:w="0"/>
                  <w:shd w:val="clear" w:color="auto" w:fill="F0F0F0"/>
                </w:tcPr>
                <w:p>
                  <w:pPr>
                    <w:pStyle w:val="Normal"/>
                    <w:keepLines w:val="on"/>
                  </w:pPr>
                  <w:r>
                    <w:t>$12.041</w:t>
                  </w:r>
                </w:p>
              </w:tc>
            </w:tr>
          </w:tbl>
          <w:p/>
        </w:tc>
      </w:tr>
    </w:tbl>
    <w:p>
      <w:pPr>
        <w:pStyle w:val="Para 04"/>
        <w:keepLines w:val="on"/>
      </w:pPr>
      <w:r>
        <w:t>Lưu ý rằng giá trị thị trường của vốn chủ sở hữu dùng cho hai công ty phản ánh giá trị thị trường sau khi công bố thương vụ thâu tóm, và các beta không đòn bẩy được báo cáo là beta từ dưới lên của hai công ty. Cách tính beta không đòn bẩy của Microsoft nằm ở minh họa 8.5, và chúng ta dùng beta của ngành giải trí cho Activision Blizzard.</w:t>
      </w:r>
    </w:p>
    <w:p>
      <w:pPr>
        <w:pStyle w:val="Para 04"/>
        <w:keepLines w:val="on"/>
      </w:pPr>
      <w:r>
        <w:t>Để đánh giá tác động của thương vụ thâu tóm lên beta của Microsoft, trước tiên ta xem xét ảnh hưởng của việc sáp nhập lên rủi ro kinh doanh của công ty hợp nhất. Beta không đòn bẩy của công ty hợp nhất có thể được tính bằng bình quân gia quyền của hai beta không đòn bẩy, với trọng số dựa trên giá trị doanh nghiệp (enterprise value) của hai công ty.</w:t>
      </w:r>
    </w:p>
    <w:tbl>
      <w:tblPr>
        <w:tblW w:type="auto" w:w="0"/>
      </w:tblPr>
      <w:tr>
        <w:tc>
          <w:tcPr>
            <w:tcW w:type="auto" w:w="0"/>
          </w:tcPr>
          <w:tbl>
            <w:tblPr>
              <w:tblW w:type="auto" w:w="0"/>
            </w:tblPr>
            <w:tr>
              <w:tc>
                <w:tcPr>
                  <w:tcW w:type="auto" w:w="0"/>
                  <w:shd w:val="clear" w:color="auto" w:fill="F0F0F0"/>
                </w:tcPr>
                <w:p>
                  <w:pPr>
                    <w:pStyle w:val="Para 32"/>
                    <w:keepLines w:val="on"/>
                  </w:pPr>
                  <w:r>
                    <w:t>Công ty</w:t>
                  </w:r>
                </w:p>
              </w:tc>
              <w:tc>
                <w:tcPr>
                  <w:tcW w:type="auto" w:w="0"/>
                  <w:shd w:val="clear" w:color="auto" w:fill="F0F0F0"/>
                </w:tcPr>
                <w:p>
                  <w:pPr>
                    <w:pStyle w:val="Para 05"/>
                    <w:keepLines w:val="on"/>
                  </w:pPr>
                  <w:r>
                    <w:t>Giá trị doanh nghiệp</w:t>
                  </w:r>
                </w:p>
              </w:tc>
              <w:tc>
                <w:tcPr>
                  <w:tcW w:type="auto" w:w="0"/>
                  <w:shd w:val="clear" w:color="auto" w:fill="F0F0F0"/>
                </w:tcPr>
                <w:p>
                  <w:pPr>
                    <w:pStyle w:val="Para 05"/>
                    <w:keepLines w:val="on"/>
                  </w:pPr>
                  <w:r>
                    <w:t>Trọng số</w:t>
                  </w:r>
                </w:p>
              </w:tc>
              <w:tc>
                <w:tcPr>
                  <w:tcW w:type="auto" w:w="0"/>
                  <w:shd w:val="clear" w:color="auto" w:fill="F0F0F0"/>
                </w:tcPr>
                <w:p>
                  <w:pPr>
                    <w:pStyle w:val="Para 05"/>
                    <w:keepLines w:val="on"/>
                  </w:pPr>
                  <w:r>
                    <w:t>Beta chưa vay nợ (Unlevered Beta)</w:t>
                  </w:r>
                </w:p>
              </w:tc>
            </w:tr>
            <w:tr>
              <w:tc>
                <w:tcPr>
                  <w:tcW w:type="auto" w:w="0"/>
                  <w:shd w:val="clear" w:color="auto" w:fill="F0F0F0"/>
                </w:tcPr>
                <w:p>
                  <w:pPr>
                    <w:pStyle w:val="Para 02"/>
                    <w:keepLines w:val="on"/>
                  </w:pPr>
                  <w:r>
                    <w:t>Microsoft (trước)</w:t>
                  </w:r>
                </w:p>
              </w:tc>
              <w:tc>
                <w:tcPr>
                  <w:tcW w:type="auto" w:w="0"/>
                  <w:shd w:val="clear" w:color="auto" w:fill="F0F0F0"/>
                </w:tcPr>
                <w:p>
                  <w:pPr>
                    <w:pStyle w:val="Normal"/>
                    <w:keepLines w:val="on"/>
                  </w:pPr>
                  <w:r>
                    <w:t>$ 3.037.960</w:t>
                  </w:r>
                </w:p>
              </w:tc>
              <w:tc>
                <w:tcPr>
                  <w:tcW w:type="auto" w:w="0"/>
                  <w:shd w:val="clear" w:color="auto" w:fill="F0F0F0"/>
                </w:tcPr>
                <w:p>
                  <w:pPr>
                    <w:pStyle w:val="Normal"/>
                    <w:keepLines w:val="on"/>
                  </w:pPr>
                  <w:r>
                    <w:t>98,31%</w:t>
                  </w:r>
                </w:p>
              </w:tc>
              <w:tc>
                <w:tcPr>
                  <w:tcW w:type="auto" w:w="0"/>
                  <w:shd w:val="clear" w:color="auto" w:fill="F0F0F0"/>
                </w:tcPr>
                <w:p>
                  <w:pPr>
                    <w:pStyle w:val="Normal"/>
                    <w:keepLines w:val="on"/>
                  </w:pPr>
                  <w:r>
                    <w:t>1,1300</w:t>
                  </w:r>
                </w:p>
              </w:tc>
            </w:tr>
            <w:tr>
              <w:tc>
                <w:tcPr>
                  <w:tcW w:type="auto" w:w="0"/>
                  <w:shd w:val="clear" w:color="auto" w:fill="F0F0F0"/>
                </w:tcPr>
                <w:p>
                  <w:pPr>
                    <w:pStyle w:val="Para 02"/>
                    <w:keepLines w:val="on"/>
                  </w:pPr>
                  <w:r>
                    <w:t>Activision</w:t>
                  </w:r>
                </w:p>
              </w:tc>
              <w:tc>
                <w:tcPr>
                  <w:tcW w:type="auto" w:w="0"/>
                  <w:shd w:val="clear" w:color="auto" w:fill="F0F0F0"/>
                </w:tcPr>
                <w:p>
                  <w:pPr>
                    <w:pStyle w:val="Normal"/>
                    <w:keepLines w:val="on"/>
                  </w:pPr>
                  <w:r>
                    <w:t>$ 52.259</w:t>
                  </w:r>
                </w:p>
              </w:tc>
              <w:tc>
                <w:tcPr>
                  <w:tcW w:type="auto" w:w="0"/>
                  <w:shd w:val="clear" w:color="auto" w:fill="F0F0F0"/>
                </w:tcPr>
                <w:p>
                  <w:pPr>
                    <w:pStyle w:val="Normal"/>
                    <w:keepLines w:val="on"/>
                  </w:pPr>
                  <w:r>
                    <w:t>1,69%</w:t>
                  </w:r>
                </w:p>
              </w:tc>
              <w:tc>
                <w:tcPr>
                  <w:tcW w:type="auto" w:w="0"/>
                  <w:shd w:val="clear" w:color="auto" w:fill="F0F0F0"/>
                </w:tcPr>
                <w:p>
                  <w:pPr>
                    <w:pStyle w:val="Normal"/>
                    <w:keepLines w:val="on"/>
                  </w:pPr>
                  <w:r>
                    <w:t>0,8700</w:t>
                  </w:r>
                </w:p>
              </w:tc>
            </w:tr>
            <w:tr>
              <w:tc>
                <w:tcPr>
                  <w:tcW w:type="auto" w:w="0"/>
                  <w:shd w:val="clear" w:color="auto" w:fill="F0F0F0"/>
                </w:tcPr>
                <w:p>
                  <w:pPr>
                    <w:pStyle w:val="Para 51"/>
                    <w:keepLines w:val="on"/>
                  </w:pPr>
                  <w:r>
                    <w:t>Microsoft (sau)</w:t>
                  </w:r>
                </w:p>
              </w:tc>
              <w:tc>
                <w:tcPr>
                  <w:tcW w:type="auto" w:w="0"/>
                  <w:shd w:val="clear" w:color="auto" w:fill="F0F0F0"/>
                </w:tcPr>
                <w:p>
                  <w:pPr>
                    <w:pStyle w:val="Para 47"/>
                    <w:keepLines w:val="on"/>
                  </w:pPr>
                  <w:r>
                    <w:t>$ 3.105.725</w:t>
                  </w:r>
                </w:p>
              </w:tc>
              <w:tc>
                <w:tcPr>
                  <w:tcW w:type="auto" w:w="0"/>
                  <w:shd w:val="clear" w:color="auto" w:fill="F0F0F0"/>
                </w:tcPr>
                <w:p>
                  <w:pPr>
                    <w:pStyle w:val="5 Block"/>
                    <w:keepLines w:val="on"/>
                  </w:pPr>
                </w:p>
              </w:tc>
              <w:tc>
                <w:tcPr>
                  <w:tcW w:type="auto" w:w="0"/>
                  <w:shd w:val="clear" w:color="auto" w:fill="F0F0F0"/>
                </w:tcPr>
                <w:p>
                  <w:pPr>
                    <w:pStyle w:val="Para 47"/>
                    <w:keepLines w:val="on"/>
                  </w:pPr>
                  <w:r>
                    <w:t>1,1256</w:t>
                  </w:r>
                </w:p>
              </w:tc>
            </w:tr>
          </w:tbl>
          <w:p/>
        </w:tc>
      </w:tr>
    </w:tbl>
    <w:p>
      <w:pPr>
        <w:pStyle w:val="Para 04"/>
        <w:keepLines w:val="on"/>
      </w:pPr>
      <w:r>
        <w:t>Vì beta chưa vay nợ của hai công ty phản ánh rủi ro thị trường trong tài sản hoạt động của chúng, chúng ta dùng giá trị doanh nghiệp (enterprise value) — tức giá trị thị trường của vốn chủ sở hữu cộng với nợ ròng — vốn phản ánh ước tính của thị trường về giá trị tài sản hoạt động, làm trọng số để tính beta bình quân gia quyền sau thương vụ mua lại. Vốn hóa khổng lồ của Microsoft, với giá trị doanh nghiệp vượt 3 nghìn tỷ đô la, lớn hơn rất nhiều so với giá trị doanh nghiệp 52 tỷ đô la của Activision, khiến beta bình quân gia quyền rất gần với beta trước thương vụ của Microsoft. Nếu Microsoft mua lại Nvidia, với giá trị doanh nghiệp 2 nghìn tỷ đô la, bạn sẽ thấy tác động lên beta sau thương vụ lớn hơn nhiều.</w:t>
      </w:r>
    </w:p>
    <w:p>
      <w:pPr>
        <w:pStyle w:val="Para 04"/>
        <w:keepLines w:val="on"/>
      </w:pPr>
      <w:r>
        <w:t>Giả sử thương vụ Microsoft mua lại Activision được thực hiện bằng cách phát hành cổ phiếu mới của Microsoft để bù đắp giá trị vốn chủ sở hữu 60,4 tỷ đô la của Activision. Vì không dùng nợ mới để tài trợ cho thương vụ này, nợ còn lại của công ty sau thương vụ chỉ là tổng nợ còn lại của hai công ty trước thương vụ.</w:t>
      </w:r>
    </w:p>
    <w:p>
      <w:pPr>
        <w:pStyle w:val="Para 40"/>
        <w:keepLines w:val="on"/>
      </w:pPr>
      <w:r>
        <w:rPr>
          <w:rStyle w:val="Text26"/>
        </w:rPr>
        <w:bookmarkStart w:id="1383" w:name="Page_214"/>
        <w:t/>
        <w:bookmarkEnd w:id="1383"/>
      </w:r>
      <w:r>
        <w:t xml:space="preserve"> </w:t>
      </w:r>
    </w:p>
    <w:p>
      <w:bookmarkStart w:id="1384" w:name="Debt_Activision_s_old_debt_Micro"/>
      <w:pPr>
        <w:keepNext/>
        <w:pStyle w:val="Para 07"/>
        <w:keepLines w:val="on"/>
      </w:pPr>
      <w:r>
        <w:t>Nợ = Nợ cũ của Activision + Nợ cũ của Microsoft = $3.856 + $95.852 = $99.708 triệuVốn chủ sở hữu = Vốn chủ sở hữu cũ của Microsoft + Vốn chủ sở hữu mới dùng cho thương vụ = $3.023.000 + $60.444 = $3.083.444 triệu</w:t>
      </w:r>
      <w:bookmarkEnd w:id="1384"/>
    </w:p>
    <w:p>
      <w:pPr>
        <w:pStyle w:val="Para 04"/>
        <w:keepLines w:val="on"/>
      </w:pPr>
      <w:r>
        <w:t>Tỷ lệ nợ/vốn chủ sở hữu sau đó có thể được tính như sau:</w:t>
      </w:r>
    </w:p>
    <w:p>
      <w:bookmarkStart w:id="1385" w:name="D_E_ratio_99_708_3_083_444_3_23"/>
      <w:pPr>
        <w:keepNext/>
        <w:pStyle w:val="Para 07"/>
        <w:keepLines w:val="on"/>
      </w:pPr>
      <w:r>
        <w:t>Tỷ lệ D/E = 99.708/3.083.444 = 3,23%</w:t>
      </w:r>
      <w:bookmarkEnd w:id="1385"/>
    </w:p>
    <w:p>
      <w:pPr>
        <w:pStyle w:val="Para 04"/>
        <w:keepLines w:val="on"/>
      </w:pPr>
      <w:r>
        <w:t>Tỷ lệ nợ/vốn chủ sở hữu này kết hợp với beta chưa vay nợ mới của công ty hợp nhất cho ra beta mới là 1,1571:</w:t>
      </w:r>
    </w:p>
    <w:p>
      <w:bookmarkStart w:id="1386" w:name="Beta_after_acquisition_1_1256_1"/>
      <w:pPr>
        <w:keepNext/>
        <w:pStyle w:val="Para 07"/>
        <w:keepLines w:val="on"/>
      </w:pPr>
      <w:r>
        <w:t>Beta sau thương vụ = 1,1256[1+(1-0,25)×(0,0323)] = 1,1529</w:t>
      </w:r>
      <w:bookmarkEnd w:id="1386"/>
    </w:p>
    <w:p>
      <w:pPr>
        <w:pStyle w:val="Para 04"/>
        <w:keepLines w:val="on"/>
      </w:pPr>
      <w:r>
        <w:t>Như bạn thấy, tỷ lệ nợ trên vốn chủ sở hữu sau một thương vụ mua lại sẽ phản ánh cách thương vụ được tài trợ, với việc dùng nhiều nợ hơn sẽ dẫn đến beta chưa vay nợ cao hơn. Do đó, nếu Microsoft tài trợ thương vụ bằng một đợt phát hành nợ mới, giá trị nợ và vốn chủ sở hữu sau thương vụ sẽ thay đổi.</w:t>
      </w:r>
    </w:p>
    <w:p>
      <w:bookmarkStart w:id="1387" w:name="Debt_Activision_s_old_debt_Micro_1"/>
      <w:pPr>
        <w:keepNext/>
        <w:pStyle w:val="Para 07"/>
        <w:keepLines w:val="on"/>
      </w:pPr>
      <w:r>
        <w:t>Nợ = Nợ cũ của Activision + Nợ cũ của Microsoft + Nợ mới = $3.856 + $95.852 + $60.444 = $160.152 triệuVốn chủ sở hữu = Vốn chủ sở hữu cũ của Microsoft = $3.023.000 triệu</w:t>
      </w:r>
      <w:bookmarkEnd w:id="1387"/>
    </w:p>
    <w:p>
      <w:pPr>
        <w:pStyle w:val="Para 04"/>
        <w:keepLines w:val="on"/>
      </w:pPr>
      <w:r>
        <w:t>Tỷ lệ nợ/vốn chủ sở hữu sau đó có thể được tính như sau:</w:t>
      </w:r>
    </w:p>
    <w:p>
      <w:bookmarkStart w:id="1388" w:name="D_E_ratio_160_152_3023000_5_30"/>
      <w:pPr>
        <w:keepNext/>
        <w:pStyle w:val="Para 07"/>
        <w:keepLines w:val="on"/>
      </w:pPr>
      <w:r>
        <w:t>Tỷ lệ D/E = 160.152/3.023.000 = 5,30%</w:t>
      </w:r>
      <w:bookmarkEnd w:id="1388"/>
    </w:p>
    <w:p>
      <w:pPr>
        <w:pStyle w:val="Para 04"/>
        <w:keepLines w:val="on"/>
      </w:pPr>
      <w:r>
        <w:t>Tỷ lệ nợ trên vốn chủ sở hữu cao hơn này sẽ dẫn đến beta sau thương vụ cao hơn là 1,1747</w:t>
      </w:r>
    </w:p>
    <w:p>
      <w:bookmarkStart w:id="1389" w:name="Beta_after_acquisition_1_1256_1_1"/>
      <w:pPr>
        <w:keepNext/>
        <w:pStyle w:val="Para 07"/>
        <w:keepLines w:val="on"/>
      </w:pPr>
      <w:r>
        <w:t>Beta sau khi mua lại=1.1256[1+(1-.25)×(.0530)]=1.1703</w:t>
      </w:r>
      <w:bookmarkEnd w:id="1389"/>
    </w:p>
    <w:p>
      <w:bookmarkStart w:id="1390" w:name="Accounting_Betas"/>
      <w:bookmarkStart w:id="1391" w:name="Accounting_Betas__A_third_approa"/>
      <w:pPr>
        <w:keepNext/>
        <w:pStyle w:val="Heading 4"/>
        <w:keepLines w:val="on"/>
      </w:pPr>
      <w:r>
        <w:t>Beta kế toán</w:t>
      </w:r>
      <w:bookmarkEnd w:id="1390"/>
      <w:bookmarkEnd w:id="1391"/>
    </w:p>
    <w:p>
      <w:pPr>
        <w:pStyle w:val="Para 03"/>
      </w:pPr>
      <w:r>
        <w:t>Cách tiếp cận thứ ba là ước tính các thông số rủi ro thị trường từ lợi nhuận kế toán thay vì từ giá giao dịch. Theo đó, những thay đổi trong lợi nhuận của một bộ phận hoặc một công ty, theo quý hoặc theo năm, có thể được liên hệ với những thay đổi trong lợi nhuận của toàn thị trường trong cùng kỳ, để đưa ra ước tính về beta kế toán (accounting beta) dùng trong CAPM. Dù cách tiếp cận này có phần hấp dẫn về mặt trực giác, nó vẫn vướng ba cạm bẫy tiềm ẩn. Thứ nhất, lợi nhuận kế toán thường bị làm mượt so với giá trị thực của công ty, vì kế toán viên phân bổ chi phí và thu nhập qua nhiều kỳ. Điều này dẫn đến các beta bị "lệch xuống", đặc biệt với những công ty rủi ro, hoặc "lệch lên" với những công ty an toàn hơn. Nói cách khác, beta có xu hướng tiến gần về 1 đối với mọi công ty khi dùng dữ liệu kế toán.</w:t>
      </w:r>
    </w:p>
    <w:p>
      <w:pPr>
        <w:pStyle w:val="Para 03"/>
      </w:pPr>
      <w:r>
        <w:t>Thứ hai, lợi nhuận kế toán có thể bị ảnh hưởng bởi các yếu tố phi hoạt động, như thay đổi phương pháp khấu hao hay phương pháp tính giá trị hàng tồn kho, và bởi việc phân bổ chi phí doanh nghiệp ở cấp bộ phận. Cuối cùng, lợi nhuận kế toán được đo lường nhiều nhất là mỗi quý một lần, và thường chỉ mỗi năm một lần, dẫn đến các hồi quy với ít quan sát và không có nhiều sức giải thích (R-squared thấp, sai số chuẩn cao).</w:t>
      </w:r>
    </w:p>
    <w:p>
      <w:pPr>
        <w:pStyle w:val="Para 20"/>
      </w:pPr>
      <w:r>
        <w:rPr>
          <w:rStyle w:val="Text26"/>
        </w:rPr>
        <w:bookmarkStart w:id="1392" w:name="Page_215"/>
        <w:t/>
        <w:bookmarkEnd w:id="1392"/>
      </w:r>
      <w:r>
        <w:t xml:space="preserve"> </w:t>
      </w:r>
    </w:p>
    <w:p>
      <w:pPr>
        <w:pStyle w:val="Para 11"/>
      </w:pPr>
      <w:r>
        <w:t/>
        <w:t xml:space="preserve"> </w:t>
      </w:r>
    </w:p>
    <w:p>
      <w:bookmarkStart w:id="1393" w:name="ILLUSTRATION_8_8__Estimating_Acc"/>
      <w:bookmarkStart w:id="1394" w:name="ILLUSTRATION_8_8__Estimating_Acc_1"/>
      <w:pPr>
        <w:keepNext/>
        <w:pStyle w:val="Para 19"/>
        <w:keepLines w:val="on"/>
      </w:pPr>
      <w:r>
        <w:t>MINH HỌA 8.8: Ước tính Beta kế toán: Bộ phận Quốc phòng của Boeing—1995</w:t>
      </w:r>
      <w:bookmarkEnd w:id="1393"/>
      <w:bookmarkEnd w:id="1394"/>
    </w:p>
    <w:p>
      <w:pPr>
        <w:pStyle w:val="Para 04"/>
        <w:keepLines w:val="on"/>
      </w:pPr>
      <w:r>
        <w:t>Boeing là một công ty hàng không vũ trụ với mảng kinh doanh quốc phòng đáng kể. Hoạt động trong ngành quốc phòng suốt nhiều thập kỷ, Boeing có hồ sơ về khả năng sinh lời của mình. Những khoản lợi nhuận này được báo cáo trong Bảng 8.4, cùng với những thay đổi lợi nhuận của các công ty trong S&amp;P 500 từ năm 1980 đến 1994.</w:t>
      </w:r>
    </w:p>
    <w:p>
      <w:pPr>
        <w:pStyle w:val="Para 25"/>
        <w:keepLines w:val="on"/>
      </w:pPr>
      <w:r>
        <w:t>Bảng 8.4</w:t>
      </w:r>
    </w:p>
    <w:p>
      <w:pPr>
        <w:keepNext/>
        <w:pStyle w:val="Para 24"/>
        <w:keepLines w:val="on"/>
      </w:pPr>
      <w:r>
        <w:t>Lợi nhuận Bộ phận Quốc phòng của Boeing so với Lợi nhuận S&amp;P 500</w:t>
      </w:r>
    </w:p>
    <w:tbl>
      <w:tblPr>
        <w:tblW w:type="auto" w:w="0"/>
      </w:tblPr>
      <w:tr>
        <w:tc>
          <w:tcPr>
            <w:tcW w:type="auto" w:w="0"/>
          </w:tcPr>
          <w:tbl>
            <w:tblPr>
              <w:tblW w:type="pct" w:w="5000"/>
            </w:tblPr>
            <w:tr>
              <w:tc>
                <w:tcPr>
                  <w:tcW w:type="auto" w:w="0"/>
                  <w:shd w:val="clear" w:color="auto" w:fill="F0F0F0"/>
                </w:tcPr>
                <w:p>
                  <w:pPr>
                    <w:pStyle w:val="Para 32"/>
                    <w:keepLines w:val="on"/>
                  </w:pPr>
                  <w:r>
                    <w:t>Năm</w:t>
                  </w:r>
                </w:p>
              </w:tc>
              <w:tc>
                <w:tcPr>
                  <w:tcW w:type="auto" w:w="0"/>
                  <w:shd w:val="clear" w:color="auto" w:fill="F0F0F0"/>
                </w:tcPr>
                <w:p>
                  <w:pPr>
                    <w:pStyle w:val="Para 05"/>
                    <w:keepLines w:val="on"/>
                  </w:pPr>
                  <w:r>
                    <w:t>S&amp;P 500</w:t>
                  </w:r>
                </w:p>
              </w:tc>
              <w:tc>
                <w:tcPr>
                  <w:tcW w:type="auto" w:w="0"/>
                  <w:shd w:val="clear" w:color="auto" w:fill="F0F0F0"/>
                </w:tcPr>
                <w:p>
                  <w:pPr>
                    <w:pStyle w:val="Para 05"/>
                    <w:keepLines w:val="on"/>
                  </w:pPr>
                  <w:r>
                    <w:t>Mảng kinh doanh Quốc phòng của Boeing</w:t>
                  </w:r>
                </w:p>
              </w:tc>
            </w:tr>
            <w:tr>
              <w:tc>
                <w:tcPr>
                  <w:tcW w:type="auto" w:w="0"/>
                  <w:shd w:val="clear" w:color="auto" w:fill="F0F0F0"/>
                </w:tcPr>
                <w:p>
                  <w:pPr>
                    <w:pStyle w:val="Para 02"/>
                    <w:keepLines w:val="on"/>
                  </w:pPr>
                  <w:r>
                    <w:t>1980</w:t>
                  </w:r>
                </w:p>
              </w:tc>
              <w:tc>
                <w:tcPr>
                  <w:tcW w:type="auto" w:w="0"/>
                  <w:shd w:val="clear" w:color="auto" w:fill="F0F0F0"/>
                </w:tcPr>
                <w:p>
                  <w:pPr>
                    <w:pStyle w:val="Normal"/>
                    <w:keepLines w:val="on"/>
                  </w:pPr>
                  <w:r>
                    <w:t>–2.10%</w:t>
                  </w:r>
                </w:p>
              </w:tc>
              <w:tc>
                <w:tcPr>
                  <w:tcW w:type="auto" w:w="0"/>
                  <w:shd w:val="clear" w:color="auto" w:fill="F0F0F0"/>
                </w:tcPr>
                <w:p>
                  <w:pPr>
                    <w:pStyle w:val="Normal"/>
                    <w:keepLines w:val="on"/>
                  </w:pPr>
                  <w:r>
                    <w:t>–12.70%</w:t>
                  </w:r>
                </w:p>
              </w:tc>
            </w:tr>
            <w:tr>
              <w:tc>
                <w:tcPr>
                  <w:tcW w:type="auto" w:w="0"/>
                  <w:shd w:val="clear" w:color="auto" w:fill="F0F0F0"/>
                </w:tcPr>
                <w:p>
                  <w:pPr>
                    <w:pStyle w:val="Para 02"/>
                    <w:keepLines w:val="on"/>
                  </w:pPr>
                  <w:r>
                    <w:t>1981</w:t>
                  </w:r>
                </w:p>
              </w:tc>
              <w:tc>
                <w:tcPr>
                  <w:tcW w:type="auto" w:w="0"/>
                  <w:shd w:val="clear" w:color="auto" w:fill="F0F0F0"/>
                </w:tcPr>
                <w:p>
                  <w:pPr>
                    <w:pStyle w:val="Normal"/>
                    <w:keepLines w:val="on"/>
                  </w:pPr>
                  <w:r>
                    <w:t>–6.70%</w:t>
                  </w:r>
                </w:p>
              </w:tc>
              <w:tc>
                <w:tcPr>
                  <w:tcW w:type="auto" w:w="0"/>
                  <w:shd w:val="clear" w:color="auto" w:fill="F0F0F0"/>
                </w:tcPr>
                <w:p>
                  <w:pPr>
                    <w:pStyle w:val="Normal"/>
                    <w:keepLines w:val="on"/>
                  </w:pPr>
                  <w:r>
                    <w:t>–35.56%</w:t>
                  </w:r>
                </w:p>
              </w:tc>
            </w:tr>
            <w:tr>
              <w:tc>
                <w:tcPr>
                  <w:tcW w:type="auto" w:w="0"/>
                  <w:shd w:val="clear" w:color="auto" w:fill="F0F0F0"/>
                </w:tcPr>
                <w:p>
                  <w:pPr>
                    <w:pStyle w:val="Para 02"/>
                    <w:keepLines w:val="on"/>
                  </w:pPr>
                  <w:r>
                    <w:t>1982</w:t>
                  </w:r>
                </w:p>
              </w:tc>
              <w:tc>
                <w:tcPr>
                  <w:tcW w:type="auto" w:w="0"/>
                  <w:shd w:val="clear" w:color="auto" w:fill="F0F0F0"/>
                </w:tcPr>
                <w:p>
                  <w:pPr>
                    <w:pStyle w:val="Normal"/>
                    <w:keepLines w:val="on"/>
                  </w:pPr>
                  <w:r>
                    <w:t>–45.50%</w:t>
                  </w:r>
                </w:p>
              </w:tc>
              <w:tc>
                <w:tcPr>
                  <w:tcW w:type="auto" w:w="0"/>
                  <w:shd w:val="clear" w:color="auto" w:fill="F0F0F0"/>
                </w:tcPr>
                <w:p>
                  <w:pPr>
                    <w:pStyle w:val="Normal"/>
                    <w:keepLines w:val="on"/>
                  </w:pPr>
                  <w:r>
                    <w:t>27.59%</w:t>
                  </w:r>
                </w:p>
              </w:tc>
            </w:tr>
            <w:tr>
              <w:tc>
                <w:tcPr>
                  <w:tcW w:type="auto" w:w="0"/>
                  <w:shd w:val="clear" w:color="auto" w:fill="F0F0F0"/>
                </w:tcPr>
                <w:p>
                  <w:pPr>
                    <w:pStyle w:val="Para 02"/>
                    <w:keepLines w:val="on"/>
                  </w:pPr>
                  <w:r>
                    <w:t>1983</w:t>
                  </w:r>
                </w:p>
              </w:tc>
              <w:tc>
                <w:tcPr>
                  <w:tcW w:type="auto" w:w="0"/>
                  <w:shd w:val="clear" w:color="auto" w:fill="F0F0F0"/>
                </w:tcPr>
                <w:p>
                  <w:pPr>
                    <w:pStyle w:val="Normal"/>
                    <w:keepLines w:val="on"/>
                  </w:pPr>
                  <w:r>
                    <w:t>37.00%</w:t>
                  </w:r>
                </w:p>
              </w:tc>
              <w:tc>
                <w:tcPr>
                  <w:tcW w:type="auto" w:w="0"/>
                  <w:shd w:val="clear" w:color="auto" w:fill="F0F0F0"/>
                </w:tcPr>
                <w:p>
                  <w:pPr>
                    <w:pStyle w:val="Normal"/>
                    <w:keepLines w:val="on"/>
                  </w:pPr>
                  <w:r>
                    <w:t>159.36%</w:t>
                  </w:r>
                </w:p>
              </w:tc>
            </w:tr>
            <w:tr>
              <w:tc>
                <w:tcPr>
                  <w:tcW w:type="auto" w:w="0"/>
                  <w:shd w:val="clear" w:color="auto" w:fill="F0F0F0"/>
                </w:tcPr>
                <w:p>
                  <w:pPr>
                    <w:pStyle w:val="Para 02"/>
                    <w:keepLines w:val="on"/>
                  </w:pPr>
                  <w:r>
                    <w:t>1984</w:t>
                  </w:r>
                </w:p>
              </w:tc>
              <w:tc>
                <w:tcPr>
                  <w:tcW w:type="auto" w:w="0"/>
                  <w:shd w:val="clear" w:color="auto" w:fill="F0F0F0"/>
                </w:tcPr>
                <w:p>
                  <w:pPr>
                    <w:pStyle w:val="Normal"/>
                    <w:keepLines w:val="on"/>
                  </w:pPr>
                  <w:r>
                    <w:t>41.80%</w:t>
                  </w:r>
                </w:p>
              </w:tc>
              <w:tc>
                <w:tcPr>
                  <w:tcW w:type="auto" w:w="0"/>
                  <w:shd w:val="clear" w:color="auto" w:fill="F0F0F0"/>
                </w:tcPr>
                <w:p>
                  <w:pPr>
                    <w:pStyle w:val="Normal"/>
                    <w:keepLines w:val="on"/>
                  </w:pPr>
                  <w:r>
                    <w:t>13,11%</w:t>
                  </w:r>
                </w:p>
              </w:tc>
            </w:tr>
            <w:tr>
              <w:tc>
                <w:tcPr>
                  <w:tcW w:type="auto" w:w="0"/>
                  <w:shd w:val="clear" w:color="auto" w:fill="F0F0F0"/>
                </w:tcPr>
                <w:p>
                  <w:pPr>
                    <w:pStyle w:val="Para 02"/>
                    <w:keepLines w:val="on"/>
                  </w:pPr>
                  <w:r>
                    <w:t>1985</w:t>
                  </w:r>
                </w:p>
              </w:tc>
              <w:tc>
                <w:tcPr>
                  <w:tcW w:type="auto" w:w="0"/>
                  <w:shd w:val="clear" w:color="auto" w:fill="F0F0F0"/>
                </w:tcPr>
                <w:p>
                  <w:pPr>
                    <w:pStyle w:val="Normal"/>
                    <w:keepLines w:val="on"/>
                  </w:pPr>
                  <w:r>
                    <w:t>–11,80%</w:t>
                  </w:r>
                </w:p>
              </w:tc>
              <w:tc>
                <w:tcPr>
                  <w:tcW w:type="auto" w:w="0"/>
                  <w:shd w:val="clear" w:color="auto" w:fill="F0F0F0"/>
                </w:tcPr>
                <w:p>
                  <w:pPr>
                    <w:pStyle w:val="Normal"/>
                    <w:keepLines w:val="on"/>
                  </w:pPr>
                  <w:r>
                    <w:t>–26,81%</w:t>
                  </w:r>
                </w:p>
              </w:tc>
            </w:tr>
            <w:tr>
              <w:tc>
                <w:tcPr>
                  <w:tcW w:type="auto" w:w="0"/>
                  <w:shd w:val="clear" w:color="auto" w:fill="F0F0F0"/>
                </w:tcPr>
                <w:p>
                  <w:pPr>
                    <w:pStyle w:val="Para 02"/>
                    <w:keepLines w:val="on"/>
                  </w:pPr>
                  <w:r>
                    <w:t>1986</w:t>
                  </w:r>
                </w:p>
              </w:tc>
              <w:tc>
                <w:tcPr>
                  <w:tcW w:type="auto" w:w="0"/>
                  <w:shd w:val="clear" w:color="auto" w:fill="F0F0F0"/>
                </w:tcPr>
                <w:p>
                  <w:pPr>
                    <w:pStyle w:val="Normal"/>
                    <w:keepLines w:val="on"/>
                  </w:pPr>
                  <w:r>
                    <w:t>7,00%</w:t>
                  </w:r>
                </w:p>
              </w:tc>
              <w:tc>
                <w:tcPr>
                  <w:tcW w:type="auto" w:w="0"/>
                  <w:shd w:val="clear" w:color="auto" w:fill="F0F0F0"/>
                </w:tcPr>
                <w:p>
                  <w:pPr>
                    <w:pStyle w:val="Normal"/>
                    <w:keepLines w:val="on"/>
                  </w:pPr>
                  <w:r>
                    <w:t>–16,83%</w:t>
                  </w:r>
                </w:p>
              </w:tc>
            </w:tr>
            <w:tr>
              <w:tc>
                <w:tcPr>
                  <w:tcW w:type="auto" w:w="0"/>
                  <w:shd w:val="clear" w:color="auto" w:fill="F0F0F0"/>
                </w:tcPr>
                <w:p>
                  <w:pPr>
                    <w:pStyle w:val="Para 02"/>
                    <w:keepLines w:val="on"/>
                  </w:pPr>
                  <w:r>
                    <w:t>1987</w:t>
                  </w:r>
                </w:p>
              </w:tc>
              <w:tc>
                <w:tcPr>
                  <w:tcW w:type="auto" w:w="0"/>
                  <w:shd w:val="clear" w:color="auto" w:fill="F0F0F0"/>
                </w:tcPr>
                <w:p>
                  <w:pPr>
                    <w:pStyle w:val="Normal"/>
                    <w:keepLines w:val="on"/>
                  </w:pPr>
                  <w:r>
                    <w:t>41,50%</w:t>
                  </w:r>
                </w:p>
              </w:tc>
              <w:tc>
                <w:tcPr>
                  <w:tcW w:type="auto" w:w="0"/>
                  <w:shd w:val="clear" w:color="auto" w:fill="F0F0F0"/>
                </w:tcPr>
                <w:p>
                  <w:pPr>
                    <w:pStyle w:val="Normal"/>
                    <w:keepLines w:val="on"/>
                  </w:pPr>
                  <w:r>
                    <w:t>20,24%</w:t>
                  </w:r>
                </w:p>
              </w:tc>
            </w:tr>
            <w:tr>
              <w:tc>
                <w:tcPr>
                  <w:tcW w:type="auto" w:w="0"/>
                  <w:shd w:val="clear" w:color="auto" w:fill="F0F0F0"/>
                </w:tcPr>
                <w:p>
                  <w:pPr>
                    <w:pStyle w:val="Para 02"/>
                    <w:keepLines w:val="on"/>
                  </w:pPr>
                  <w:r>
                    <w:t>1988</w:t>
                  </w:r>
                </w:p>
              </w:tc>
              <w:tc>
                <w:tcPr>
                  <w:tcW w:type="auto" w:w="0"/>
                  <w:shd w:val="clear" w:color="auto" w:fill="F0F0F0"/>
                </w:tcPr>
                <w:p>
                  <w:pPr>
                    <w:pStyle w:val="Normal"/>
                    <w:keepLines w:val="on"/>
                  </w:pPr>
                  <w:r>
                    <w:t>41,80%</w:t>
                  </w:r>
                </w:p>
              </w:tc>
              <w:tc>
                <w:tcPr>
                  <w:tcW w:type="auto" w:w="0"/>
                  <w:shd w:val="clear" w:color="auto" w:fill="F0F0F0"/>
                </w:tcPr>
                <w:p>
                  <w:pPr>
                    <w:pStyle w:val="Normal"/>
                    <w:keepLines w:val="on"/>
                  </w:pPr>
                  <w:r>
                    <w:t>18,81%</w:t>
                  </w:r>
                </w:p>
              </w:tc>
            </w:tr>
            <w:tr>
              <w:tc>
                <w:tcPr>
                  <w:tcW w:type="auto" w:w="0"/>
                  <w:shd w:val="clear" w:color="auto" w:fill="F0F0F0"/>
                </w:tcPr>
                <w:p>
                  <w:pPr>
                    <w:pStyle w:val="Para 02"/>
                    <w:keepLines w:val="on"/>
                  </w:pPr>
                  <w:r>
                    <w:t>1989</w:t>
                  </w:r>
                </w:p>
              </w:tc>
              <w:tc>
                <w:tcPr>
                  <w:tcW w:type="auto" w:w="0"/>
                  <w:shd w:val="clear" w:color="auto" w:fill="F0F0F0"/>
                </w:tcPr>
                <w:p>
                  <w:pPr>
                    <w:pStyle w:val="Normal"/>
                    <w:keepLines w:val="on"/>
                  </w:pPr>
                  <w:r>
                    <w:t>2,60%</w:t>
                  </w:r>
                </w:p>
              </w:tc>
              <w:tc>
                <w:tcPr>
                  <w:tcW w:type="auto" w:w="0"/>
                  <w:shd w:val="clear" w:color="auto" w:fill="F0F0F0"/>
                </w:tcPr>
                <w:p>
                  <w:pPr>
                    <w:pStyle w:val="Normal"/>
                    <w:keepLines w:val="on"/>
                  </w:pPr>
                  <w:r>
                    <w:t>–29,70%</w:t>
                  </w:r>
                </w:p>
              </w:tc>
            </w:tr>
            <w:tr>
              <w:tc>
                <w:tcPr>
                  <w:tcW w:type="auto" w:w="0"/>
                  <w:shd w:val="clear" w:color="auto" w:fill="F0F0F0"/>
                </w:tcPr>
                <w:p>
                  <w:pPr>
                    <w:pStyle w:val="Para 02"/>
                    <w:keepLines w:val="on"/>
                  </w:pPr>
                  <w:r>
                    <w:t>1990</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–40,00%</w:t>
                  </w:r>
                </w:p>
              </w:tc>
            </w:tr>
            <w:tr>
              <w:tc>
                <w:tcPr>
                  <w:tcW w:type="auto" w:w="0"/>
                  <w:shd w:val="clear" w:color="auto" w:fill="F0F0F0"/>
                </w:tcPr>
                <w:p>
                  <w:pPr>
                    <w:pStyle w:val="Para 02"/>
                    <w:keepLines w:val="on"/>
                  </w:pPr>
                  <w:r>
                    <w:t>1991</w:t>
                  </w:r>
                </w:p>
              </w:tc>
              <w:tc>
                <w:tcPr>
                  <w:tcW w:type="auto" w:w="0"/>
                  <w:shd w:val="clear" w:color="auto" w:fill="F0F0F0"/>
                </w:tcPr>
                <w:p>
                  <w:pPr>
                    <w:pStyle w:val="Normal"/>
                    <w:keepLines w:val="on"/>
                  </w:pPr>
                  <w:r>
                    <w:t>–47,40%</w:t>
                  </w:r>
                </w:p>
              </w:tc>
              <w:tc>
                <w:tcPr>
                  <w:tcW w:type="auto" w:w="0"/>
                  <w:shd w:val="clear" w:color="auto" w:fill="F0F0F0"/>
                </w:tcPr>
                <w:p>
                  <w:pPr>
                    <w:pStyle w:val="Normal"/>
                    <w:keepLines w:val="on"/>
                  </w:pPr>
                  <w:r>
                    <w:t>–35,00%</w:t>
                  </w:r>
                </w:p>
              </w:tc>
            </w:tr>
            <w:tr>
              <w:tc>
                <w:tcPr>
                  <w:tcW w:type="auto" w:w="0"/>
                  <w:shd w:val="clear" w:color="auto" w:fill="F0F0F0"/>
                </w:tcPr>
                <w:p>
                  <w:pPr>
                    <w:pStyle w:val="Para 02"/>
                    <w:keepLines w:val="on"/>
                  </w:pPr>
                  <w:r>
                    <w:t>1992</w:t>
                  </w:r>
                </w:p>
              </w:tc>
              <w:tc>
                <w:tcPr>
                  <w:tcW w:type="auto" w:w="0"/>
                  <w:shd w:val="clear" w:color="auto" w:fill="F0F0F0"/>
                </w:tcPr>
                <w:p>
                  <w:pPr>
                    <w:pStyle w:val="Normal"/>
                    <w:keepLines w:val="on"/>
                  </w:pPr>
                  <w:r>
                    <w:t>64,50%</w:t>
                  </w:r>
                </w:p>
              </w:tc>
              <w:tc>
                <w:tcPr>
                  <w:tcW w:type="auto" w:w="0"/>
                  <w:shd w:val="clear" w:color="auto" w:fill="F0F0F0"/>
                </w:tcPr>
                <w:p>
                  <w:pPr>
                    <w:pStyle w:val="Normal"/>
                    <w:keepLines w:val="on"/>
                  </w:pPr>
                  <w:r>
                    <w:t>10,00%</w:t>
                  </w:r>
                </w:p>
              </w:tc>
            </w:tr>
            <w:tr>
              <w:tc>
                <w:tcPr>
                  <w:tcW w:type="auto" w:w="0"/>
                  <w:shd w:val="clear" w:color="auto" w:fill="F0F0F0"/>
                </w:tcPr>
                <w:p>
                  <w:pPr>
                    <w:pStyle w:val="Para 02"/>
                    <w:keepLines w:val="on"/>
                  </w:pPr>
                  <w:r>
                    <w:t>1993</w:t>
                  </w:r>
                </w:p>
              </w:tc>
              <w:tc>
                <w:tcPr>
                  <w:tcW w:type="auto" w:w="0"/>
                  <w:shd w:val="clear" w:color="auto" w:fill="F0F0F0"/>
                </w:tcPr>
                <w:p>
                  <w:pPr>
                    <w:pStyle w:val="Normal"/>
                    <w:keepLines w:val="on"/>
                  </w:pPr>
                  <w:r>
                    <w:t>20,00%</w:t>
                  </w:r>
                </w:p>
              </w:tc>
              <w:tc>
                <w:tcPr>
                  <w:tcW w:type="auto" w:w="0"/>
                  <w:shd w:val="clear" w:color="auto" w:fill="F0F0F0"/>
                </w:tcPr>
                <w:p>
                  <w:pPr>
                    <w:pStyle w:val="Normal"/>
                    <w:keepLines w:val="on"/>
                  </w:pPr>
                  <w:r>
                    <w:t>–7,00%</w:t>
                  </w:r>
                </w:p>
              </w:tc>
            </w:tr>
            <w:tr>
              <w:tc>
                <w:tcPr>
                  <w:tcW w:type="auto" w:w="0"/>
                  <w:shd w:val="clear" w:color="auto" w:fill="F0F0F0"/>
                </w:tcPr>
                <w:p>
                  <w:pPr>
                    <w:pStyle w:val="Para 02"/>
                    <w:keepLines w:val="on"/>
                  </w:pPr>
                  <w:r>
                    <w:t>1994</w:t>
                  </w:r>
                </w:p>
              </w:tc>
              <w:tc>
                <w:tcPr>
                  <w:tcW w:type="auto" w:w="0"/>
                  <w:shd w:val="clear" w:color="auto" w:fill="F0F0F0"/>
                </w:tcPr>
                <w:p>
                  <w:pPr>
                    <w:pStyle w:val="Normal"/>
                    <w:keepLines w:val="on"/>
                  </w:pPr>
                  <w:r>
                    <w:t>25,30%</w:t>
                  </w:r>
                </w:p>
              </w:tc>
              <w:tc>
                <w:tcPr>
                  <w:tcW w:type="auto" w:w="0"/>
                  <w:shd w:val="clear" w:color="auto" w:fill="F0F0F0"/>
                </w:tcPr>
                <w:p>
                  <w:pPr>
                    <w:pStyle w:val="Normal"/>
                    <w:keepLines w:val="on"/>
                  </w:pPr>
                  <w:r>
                    <w:t>11,00%</w:t>
                  </w:r>
                </w:p>
              </w:tc>
            </w:tr>
          </w:tbl>
          <w:p/>
        </w:tc>
      </w:tr>
    </w:tbl>
    <w:p>
      <w:pPr>
        <w:pStyle w:val="Para 04"/>
        <w:keepLines w:val="on"/>
      </w:pPr>
      <w:r>
        <w:t>Hồi quy mức thay đổi lợi nhuận của bộ phận quốc phòng (Δ Earningsdefense) theo mức thay đổi lợi nhuận của S&amp;P 500 (Δ EarningsS&amp;P) cho ra kết quả như sau:</w:t>
      </w:r>
    </w:p>
    <w:p>
      <w:bookmarkStart w:id="1397" w:name="DEarningsdefense____0_03_0_65_DE"/>
      <w:pPr>
        <w:keepNext/>
        <w:pStyle w:val="Para 07"/>
        <w:keepLines w:val="on"/>
      </w:pPr>
      <w:r>
        <w:t>ΔEarningsdefense=−0,03+0,65 ΔEarningsS&amp;P R-squared=19,01%(0,12) (0,37)</w:t>
      </w:r>
      <w:bookmarkEnd w:id="1397"/>
    </w:p>
    <w:p>
      <w:pPr>
        <w:pStyle w:val="Para 04"/>
        <w:keepLines w:val="on"/>
      </w:pPr>
      <w:r>
        <w:t>Dựa trên hồi quy này, beta của bộ phận quốc phòng là 0,65. Tuy nhiên, ước lượng đó đi kèm với độ nhiễu đáng kể, với sai số chuẩn là 0,37; do đó khoảng biến thiên của beta sẽ khiến nó gần như vô dụng.</w:t>
      </w:r>
    </w:p>
    <w:p>
      <w:pPr>
        <w:pStyle w:val="Para 11"/>
      </w:pPr>
      <w:r>
        <w:t/>
        <w:t xml:space="preserve"> </w:t>
      </w:r>
    </w:p>
    <w:p>
      <w:bookmarkStart w:id="1398" w:name="spearn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81"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1398"/>
    </w:p>
    <w:p>
      <w:pPr>
        <w:pStyle w:val="Para 31"/>
        <w:keepLines w:val="on"/>
      </w:pPr>
      <w:r>
        <w:t>spearn.xls: Bộ dữ liệu này trên web chứa các thay đổi lợi nhuận, theo từng năm, của S&amp;P 500 kể từ năm 1960.</w:t>
      </w:r>
    </w:p>
    <w:p>
      <w:bookmarkStart w:id="1399" w:name="Market__Bottom_Up__and_Accountin_1"/>
      <w:bookmarkStart w:id="1400" w:name="Market__Bottom_Up__and_Accountin"/>
      <w:pPr>
        <w:keepNext/>
        <w:pStyle w:val="Heading 4"/>
        <w:keepLines w:val="on"/>
      </w:pPr>
      <w:r>
        <w:t>Beta thị trường, beta từ dưới lên và beta kế toán: Chúng ta dùng cái nào?</w:t>
      </w:r>
      <w:bookmarkEnd w:id="1399"/>
      <w:bookmarkEnd w:id="1400"/>
    </w:p>
    <w:p>
      <w:pPr>
        <w:pStyle w:val="Para 03"/>
      </w:pPr>
      <w:r>
        <w:t>Với hầu hết các công ty đại chúng, beta có thể được ước lượng bằng dữ liệu kế toán hoặc dữ liệu thị trường, hoặc theo cách tiếp cận từ dưới lên. Vì beta gần như sẽ không bao giờ giống nhau khi dùng các cách tiếp cận khác nhau này, nên câu hỏi đặt ra là: chúng ta dùng cái nào? Chúng ta gần như sẽ không bao giờ dùng beta kế toán, vì tất cả những lý do đã nêu ở trên. Chúng ta cũng gần như bấy nhiêu miễn cưỡng khi dùng beta thị trường lịch sử cho từng công ty riêng lẻ, bởi vì sai số chuẩn trong các ước lượng beta, sự thất bại của các chỉ số địa phương (như trường hợp của hầu hết các công ty ở thị trường mới nổi), và việc các hồi quy này không thể phản ánh tác động của những thay đổi lớn trong cơ cấu kinh doanh và rủi ro tài chính của công ty. Theo quan điểm của chúng tôi, beta từ dưới lên mang lại cho chúng ta những ước lượng beta tốt nhất vì ba lý do:</w:t>
      </w:r>
    </w:p>
    <w:p>
      <w:pPr>
        <w:numPr>
          <w:ilvl w:val="0"/>
          <w:numId w:val="62"/>
        </w:numPr>
        <w:pStyle w:val="Para 01"/>
      </w:pPr>
      <w:r>
        <w:t>Chúng cho phép chúng ta xem xét những thay đổi trong cơ cấu kinh doanh và tài chính, ngay cả trước khi chúng xảy ra.</w:t>
      </w:r>
    </w:p>
    <w:p>
      <w:pPr>
        <w:numPr>
          <w:ilvl w:val="0"/>
          <w:numId w:val="62"/>
        </w:numPr>
        <w:pStyle w:val="Para 01"/>
      </w:pPr>
      <w:r>
        <w:t>Chúng sử dụng beta bình quân của một số lượng lớn các công ty, vốn thường ít nhiễu hơn beta của từng công ty riêng lẻ.</w:t>
      </w:r>
    </w:p>
    <w:p>
      <w:pPr>
        <w:numPr>
          <w:ilvl w:val="0"/>
          <w:numId w:val="62"/>
        </w:numPr>
        <w:pStyle w:val="Para 01"/>
      </w:pPr>
      <w:r>
        <w:t>Chúng cho phép chúng ta tính beta theo từng lĩnh vực kinh doanh của một công ty, điều này hữu ích cả trong bối cảnh phân tích đầu tư lẫn định giá.</w:t>
      </w:r>
    </w:p>
    <w:p>
      <w:bookmarkStart w:id="1402" w:name="Measuring_Country_Risk_Exposure_1"/>
      <w:bookmarkStart w:id="1403" w:name="Measuring_Country_Risk_Exposure"/>
      <w:pPr>
        <w:keepNext/>
        <w:pStyle w:val="Heading 3"/>
        <w:keepLines w:val="on"/>
      </w:pPr>
      <w:r>
        <w:t>Đo lường mức độ phơi nhiễm rủi ro quốc gia (Lambda)</w:t>
      </w:r>
      <w:bookmarkEnd w:id="1402"/>
      <w:bookmarkEnd w:id="1403"/>
    </w:p>
    <w:p>
      <w:pPr>
        <w:pStyle w:val="Para 03"/>
      </w:pPr>
      <w:r>
        <w:t>Chương 7 đã giới thiệu khái niệm phơi nhiễm rủi ro quốc gia và khái niệm lambda—một thước đo mức độ phơi nhiễm của một công ty trước rủi ro quốc gia. Trong phần này, chúng ta muốn xem xét một cách trực giác những yếu tố nào quyết định mức phơi nhiễm này và cách ước lượng lambda tốt nhất. Mức phơi nhiễm của một công ty trước rủi ro quốc gia bị ảnh hưởng bởi gần như mọi khía cạnh trong hoạt động của nó, bắt đầu từ việc các nhà máy của nó nằm ở đâu và khách hàng của nó là ai, rồi tiếp đến là các hợp đồng của nó được định giá bằng loại tiền nào và nó quản lý mức phơi nhiễm trước rủi ro tỷ giá tốt đến đâu. Tuy nhiên, phần lớn thông tin này là thông tin nội bộ và không có sẵn cho người định giá công ty từ bên ngoài. Trên thực tế, chúng ta có thể ước lượng lambda bằng một trong các cách tiếp cận sau:</w:t>
      </w:r>
    </w:p>
    <w:p>
      <w:pPr>
        <w:numPr>
          <w:ilvl w:val="0"/>
          <w:numId w:val="63"/>
        </w:numPr>
        <w:pStyle w:val="Para 01"/>
      </w:pPr>
      <w:r>
        <w:t>Phân tách doanh thu. Cách đơn giản nhất để ước lượng lambda là dùng tỷ lệ doanh thu của một công ty được tạo ra ở một quốc gia và chia tỷ lệ đó theo tỷ lệ doanh thu được tạo ra bởi công ty trung bình ở quốc gia đó.</w:t>
      </w:r>
    </w:p>
    <w:p>
      <w:bookmarkStart w:id="1404" w:name="l_ProportionofrevenuesincountryF"/>
      <w:pPr>
        <w:keepNext/>
        <w:pStyle w:val="Para 09"/>
        <w:keepLines w:val="on"/>
      </w:pPr>
      <w:r>
        <w:t>λ=TỷlệdoanhthuởquốcgiacủaCôngtyTỷlệdoanhthuởquốcgiacủaCôngtytrungbìnhtrênthịtrường</w:t>
      </w:r>
      <w:bookmarkEnd w:id="1404"/>
    </w:p>
    <w:p>
      <w:pPr>
        <w:pStyle w:val="Para 03"/>
      </w:pPr>
      <w:r>
        <w:t>Hãy xét Embraer, một công ty hàng không vũ trụ của Brazil mà vào năm 2008 thu được khoảng 9 phần trăm doanh thu từ Brazil. Nếu công ty Brazil trung bình tạo ra 60 phần trăm doanh thu ở Brazil, thì điều này sẽ tương ứng với lambda là 0,15 (0,09/0,060). Tuy nhiên, lưu ý rằng nếu Embraer thu được bất kỳ phần doanh thu còn lại nào từ các thị trường mới nổi rủi ro khác, bạn cũng sẽ phải tính lambda đối với những thị trường đó.</w:t>
      </w:r>
    </w:p>
    <w:p>
      <w:pPr>
        <w:numPr>
          <w:ilvl w:val="0"/>
          <w:numId w:val="63"/>
        </w:numPr>
        <w:pStyle w:val="Para 01"/>
      </w:pPr>
      <w:r>
        <w:t>Hồi quy so với trái phiếu quốc gia. Cách tiếp cận thứ hai để ước lượng lambda là chạy hồi quy lợi suất cổ phiếu của từng công ty ở thị trường mới nổi theo lợi suất của trái phiếu quốc gia. Thực chất, chúng ta đang giả định rằng lợi suất của trái phiếu quốc gia là sự phản ánh những thay đổi trong rủi ro quốc gia: Giá trái phiếu quốc gia tăng khi rủi ro quốc gia giảm và giảm khi rủi ro quốc gia tăng. Khi chạy hồi quy này, chúng ta đang đo lường mức độ nhạy cảm của giá cổ phiếu một công ty trước những thay đổi trong nhận thức về rủi ro quốc gia. Để minh họa: Hồi quy giá cổ phiếu của Embraer theo trái phiếu chính phủ Brazil định giá bằng đô la từ năm 2006 đến 2008 cho ra độ dốc (lambda) là 0,27. Nói một cách trực giác, lợi suất của Embraer biến động 0,27 phần trăm cho mỗi 1 phần trăm thay đổi trong lợi suất của trái phiếu. Đó sẽ là ước lượng lambda của chúng ta cho công ty này.</w:t>
      </w:r>
    </w:p>
    <w:p>
      <w:pPr>
        <w:pStyle w:val="Para 11"/>
      </w:pPr>
      <w:r>
        <w:t/>
        <w:t xml:space="preserve"> </w:t>
      </w:r>
    </w:p>
    <w:p>
      <w:bookmarkStart w:id="1406" w:name="Lambdas__Worth_the_Trouble"/>
      <w:bookmarkStart w:id="1407" w:name="Lambdas__Worth_the_Trouble__The"/>
      <w:pPr>
        <w:keepNext/>
        <w:pStyle w:val="Para 27"/>
        <w:keepLines w:val="on"/>
      </w:pPr>
      <w:r>
        <w:t>Lambda: Có đáng để bỏ công không?</w:t>
      </w:r>
      <w:bookmarkEnd w:id="1406"/>
      <w:bookmarkEnd w:id="1407"/>
    </w:p>
    <w:p>
      <w:pPr>
        <w:pStyle w:val="Para 16"/>
        <w:keepLines w:val="on"/>
      </w:pPr>
      <w:r>
        <w:t>Trực giác đằng sau việc sử dụng lambda là mức phơi nhiễm rủi ro của một công ty nên dựa trên nơi nó làm ăn kinh doanh chứ không phải nơi nó được đăng ký thành lập. Do đó, một công ty ở thị trường mới nổi mà thu phần lớn doanh thu từ các thị trường phát triển thì nên ít phơi nhiễm hơn trước rủi ro quốc gia ở thị trường mới nổi đó. Tương tự như vậy, một công ty ở thị trường phát triển mà thu được phần lớn doanh thu từ các thị trường mới nổi thì nên thấy chi phí vốn cổ phần của mình tăng lên vì mức phơi nhiễm đó.</w:t>
      </w:r>
    </w:p>
    <w:p>
      <w:pPr>
        <w:pStyle w:val="Para 16"/>
        <w:keepLines w:val="on"/>
      </w:pPr>
      <w:r>
        <w:t>Đã nói vậy, việc thu thập thông tin cần thiết để ước lượng lambda thường rất khó khăn. Lambda của một công ty không chỉ nên phụ thuộc vào nơi nó thu doanh thu, mà còn vào nơi nó sản xuất hàng hóa và mức độ nó phòng ngừa rủi ro quốc gia bằng các công cụ phái sinh hoặc bảo hiểm thông thường. Với hầu hết các công ty, thông tin về những yếu tố đầu vào này hoặc là không có sẵn hoặc là không đầy đủ. Do đó, bất kỳ lợi ích nào từ việc ước lượng lambda đều có thể bị lấn át bởi sai số ước lượng trong chính những lambda đó. Với những công ty có mức phơi nhiễm doanh thu giống như các công ty khác trên thị trường, có thể hợp lý khi giữ nguyên cách tiếp cận tiêu chuẩn là dùng beta để nắm bắt rủi ro công ty. Có hai yếu tố đang tác động có thể khiến bạn phải ước lượng lambda cho mức phơi nhiễm rủi ro quốc gia:</w:t>
      </w:r>
    </w:p>
    <w:p>
      <w:pPr>
        <w:numPr>
          <w:ilvl w:val="0"/>
          <w:numId w:val="64"/>
        </w:numPr>
        <w:pStyle w:val="Para 33"/>
        <w:keepLines w:val="on"/>
      </w:pPr>
      <w:r>
        <w:t>Phơi nhiễm đáng kể ở một quốc gia (rủi ro): Với những công ty có hoạt động ở nhiều quốc gia, điều thường là chuẩn mực với hầu hết các công ty đa quốc gia, thì cách tiếp cận lambda trở nên cồng kềnh và bất ổn. Nó được thiết kế tốt hơn cho một công ty có mức phơi nhiễm đáng kể ở một thị trường mới nổi, và phần còn lại hoạt động ở các thị trường phát triển (với phần bù thị trường trưởng thành). Tata Consulting Services ở Ấn Độ và Embraer ở Brazil là những ví dụ điển hình, khi thu được chưa đến 10% doanh thu ở thị trường nội địa, trong khi phần doanh thu còn lại gần như hoàn toàn đến từ các thị trường phát triển. Điều tương tự cũng có thể nói với các công ty ở thị trường phát triển mà thu phần lớn doanh thu từ các thị trường phát triển, nhưng lại có hoạt động sản xuất hoặc doanh thu đáng kể ở một thị trường mới nổi.</w:t>
      </w:r>
    </w:p>
    <w:p>
      <w:pPr>
        <w:numPr>
          <w:ilvl w:val="0"/>
          <w:numId w:val="64"/>
        </w:numPr>
        <w:pStyle w:val="Para 33"/>
        <w:keepLines w:val="on"/>
      </w:pPr>
      <w:r>
        <w:t>Rủi ro quốc gia đặc biệt: Với nhiều công ty, những yếu tố khiến beta cao hay thấp — bao gồm việc sản phẩm hay dịch vụ họ cung cấp có phải là hàng tùy ý (discretionary) hay không, hoặc đòn bẩy hoạt động (operating leverage) — cũng quyết định mức độ phơi nhiễm với rủi ro quốc gia, khiến beta trở thành thước đo thay thế tốt cho rủi ro quốc gia. Tuy nhiên, có những trường hợp một công ty bị soi xét hay giám sát đặc biệt ở một quốc gia, hoặc vì trước đây thuộc sở hữu nhà nước, hoặc vì được xem là thuộc lợi ích quốc gia, và điều đó có thể khiến công ty phơi nhiễm với rủi ro quốc gia nhiều hơn hẳn (lambda cao hơn).</w:t>
      </w:r>
    </w:p>
    <w:p>
      <w:pPr>
        <w:pStyle w:val="Para 16"/>
        <w:keepLines w:val="on"/>
      </w:pPr>
      <w:r>
        <w:t>Vì vậy, phương pháp lambda dành cho một nhóm nhỏ các công ty phơi nhiễm với rủi ro ở một quốc gia duy nhất, và có những lý do cụ thể để phơi nhiễm với rủi ro quốc gia nhiều hơn hoặc ít hơn so với mức đo bằng beta.</w:t>
      </w:r>
    </w:p>
    <w:p>
      <w:pPr>
        <w:pStyle w:val="Para 11"/>
      </w:pPr>
      <w:r>
        <w:rPr>
          <w:rStyle w:val="Text26"/>
        </w:rPr>
        <w:bookmarkStart w:id="1408" w:name="Page_218"/>
        <w:t/>
        <w:bookmarkEnd w:id="1408"/>
      </w:r>
      <w:r>
        <w:t xml:space="preserve"> </w:t>
      </w:r>
    </w:p>
    <w:p>
      <w:bookmarkStart w:id="1409" w:name="From_Betas_to_Cost_of_Equity"/>
      <w:bookmarkStart w:id="1410" w:name="From_Betas_to_Cost_of_Equity__Ha"/>
      <w:pPr>
        <w:keepNext/>
        <w:pStyle w:val="Heading 3"/>
        <w:keepLines w:val="on"/>
      </w:pPr>
      <w:r>
        <w:t>Từ Beta đến Chi phí vốn chủ sở hữu (Cost of Equity)</w:t>
      </w:r>
      <w:bookmarkEnd w:id="1409"/>
      <w:bookmarkEnd w:id="1410"/>
    </w:p>
    <w:p>
      <w:pPr>
        <w:pStyle w:val="Para 03"/>
      </w:pPr>
      <w:r>
        <w:t>Sau khi đã ước tính lãi suất phi rủi ro và (các) phần bù rủi ro ở Chương 7 cùng (các) beta ở chương này, giờ chúng ta có thể ước tính lợi nhuận kỳ vọng từ việc đầu tư vào vốn chủ sở hữu tại bất kỳ công ty nào. Trong CAPM, lợi nhuận kỳ vọng này có thể được viết như sau:</w:t>
      </w:r>
    </w:p>
    <w:p>
      <w:bookmarkStart w:id="1411" w:name="Expected_return_Risk_free_rate_B"/>
      <w:pPr>
        <w:keepNext/>
        <w:pStyle w:val="Para 09"/>
        <w:keepLines w:val="on"/>
      </w:pPr>
      <w:r>
        <w:t>Lợi nhuận kỳ vọng = Lãi suất phi rủi ro + Beta × Phần bù rủi ro vốn chủ sở hữu</w:t>
      </w:r>
      <w:bookmarkEnd w:id="1411"/>
    </w:p>
    <w:p>
      <w:pPr>
        <w:pStyle w:val="Para 03"/>
      </w:pPr>
      <w:r>
        <w:t>trong đó lãi suất phi rủi ro sẽ là lãi suất trái phiếu chính phủ dài hạn; beta sẽ là beta lịch sử, beta cơ bản (fundamental) hoặc beta kế toán như đã trình bày ở trên; và phần bù rủi ro sẽ là phần bù lịch sử hoặc phần bù ngầm định (implied premium).</w:t>
      </w:r>
    </w:p>
    <w:p>
      <w:pPr>
        <w:pStyle w:val="Para 03"/>
      </w:pPr>
      <w:r>
        <w:t>Trong mô hình định giá chênh lệch (arbitrage pricing) và mô hình đa nhân tố (multifactor model), lợi nhuận kỳ vọng sẽ được viết như sau:</w:t>
      </w:r>
    </w:p>
    <w:p>
      <w:bookmarkStart w:id="1412" w:name="Expected_Return_Risk_free_rate"/>
      <w:pPr>
        <w:keepNext/>
        <w:pStyle w:val="Para 09"/>
        <w:keepLines w:val="on"/>
      </w:pPr>
      <w:r>
        <w:t>Lợi nhuận kỳ vọng = Lãi suất phi rủi ro + ∑j=1j=nβj(Phần bù rủi roj)</w:t>
      </w:r>
      <w:bookmarkEnd w:id="1412"/>
    </w:p>
    <w:p>
      <w:pPr>
        <w:pStyle w:val="Para 03"/>
      </w:pPr>
      <w:r>
        <w:t>trong đó lãi suất phi rủi ro là lãi suất trái phiếu chính phủ dài hạn; βj là beta tương quan với nhân tố j, được ước tính bằng dữ liệu lịch sử hoặc các yếu tố cơ bản; và phần bù rủi roj là phần bù rủi ro cho nhân tố j, được ước tính bằng dữ liệu lịch sử.</w:t>
      </w:r>
    </w:p>
    <w:p>
      <w:pPr>
        <w:pStyle w:val="Para 03"/>
      </w:pPr>
      <w:r>
        <w:t>Lợi nhuận kỳ vọng từ việc đầu tư vốn chủ sở hữu vào một công ty, với mức rủi ro của nó, có ý nghĩa với cả nhà đầu tư vốn chủ sở hữu lẫn ban quản lý công ty. Với nhà đầu tư vốn chủ sở hữu, đó là mức lợi nhuận họ cần kiếm được để được đền bù cho rủi ro họ đã gánh chịu khi đầu tư vào vốn chủ sở hữu của công ty. Nếu sau khi phân tích một khoản đầu tư, họ kết luận rằng không thể đạt được mức lợi nhuận này, họ sẽ không mua khoản đầu tư đó; ngược lại, nếu họ quyết định có thể đạt được lợi nhuận cao hơn, họ sẽ thực hiện khoản đầu tư. Với ban quản lý công ty, mức lợi nhuận mà nhà đầu tư cần để hòa vốn trên khoản đầu tư vốn chủ sở hữu của họ trở thành mức lợi nhuận mà họ phải cố gắng mang lại để giữ cho các nhà đầu tư này không trở nên bất mãn và nổi loạn. Vì vậy, nó trở thành mức lợi nhuận mà họ phải vượt qua về mặt lợi nhuận trên các khoản đầu tư vốn chủ sở hữu vào dự án. Nói cách khác, đây chính là chi phí vốn chủ sở hữu (cost of equity) của công ty.</w:t>
      </w:r>
    </w:p>
    <w:p>
      <w:pPr>
        <w:pStyle w:val="Para 11"/>
      </w:pPr>
      <w:r>
        <w:t/>
        <w:t xml:space="preserve"> </w:t>
      </w:r>
    </w:p>
    <w:p>
      <w:bookmarkStart w:id="1413" w:name="ILLUSTRATION_8_9__Estimating_the"/>
      <w:bookmarkStart w:id="1414" w:name="ILLUSTRATION_8_9__Estimating_the_1"/>
      <w:pPr>
        <w:keepNext/>
        <w:pStyle w:val="Para 19"/>
        <w:keepLines w:val="on"/>
      </w:pPr>
      <w:r>
        <w:t>MINH HỌA 8.9: Ước tính Chi phí vốn chủ sở hữu cho Microsoft — Năm 2024</w:t>
      </w:r>
      <w:bookmarkEnd w:id="1413"/>
      <w:bookmarkEnd w:id="1414"/>
    </w:p>
    <w:p>
      <w:pPr>
        <w:pStyle w:val="Para 04"/>
        <w:keepLines w:val="on"/>
      </w:pPr>
      <w:r>
        <w:t>Giờ chúng ta đã có ước tính beta là 1,16 (từ minh họa 8.5) cho Microsoft, dựa trên các ước tính từ dưới lên (bottom-up) và tỷ lệ nợ trên vốn chủ sở hữu hiện tại của công ty, chúng ta có thể ước tính chi phí vốn chủ sở hữu của nó. Để đưa ra ước tính, chúng ta dùng lãi suất trái phiếu kho bạc (Treasury bond) là 4,5% và để ước tính phần bù rủi ro vốn chủ sở hữu, chúng ta dùng bảng phân bổ doanh thu theo địa lý của Microsoft để ước tính phần bù rủi ro vốn chủ sở hữu là 5,5%:</w:t>
      </w:r>
    </w:p>
    <w:tbl>
      <w:tblPr>
        <w:tblW w:type="auto" w:w="0"/>
      </w:tblPr>
      <w:tr>
        <w:tc>
          <w:tcPr>
            <w:tcW w:type="auto" w:w="0"/>
          </w:tcPr>
          <w:tbl>
            <w:tblPr>
              <w:tblW w:type="auto" w:w="0"/>
            </w:tblPr>
            <w:tr>
              <w:tc>
                <w:tcPr>
                  <w:tcW w:type="auto" w:w="0"/>
                  <w:shd w:val="clear" w:color="auto" w:fill="F0F0F0"/>
                </w:tcPr>
                <w:p>
                  <w:pPr>
                    <w:pStyle w:val="Para 32"/>
                    <w:keepLines w:val="on"/>
                  </w:pPr>
                  <w:r>
                    <w:t>Khu vực địa lý</w:t>
                  </w:r>
                </w:p>
              </w:tc>
              <w:tc>
                <w:tcPr>
                  <w:tcW w:type="auto" w:w="0"/>
                  <w:shd w:val="clear" w:color="auto" w:fill="F0F0F0"/>
                </w:tcPr>
                <w:p>
                  <w:pPr>
                    <w:pStyle w:val="Para 70"/>
                    <w:keepLines w:val="on"/>
                  </w:pPr>
                  <w:r>
                    <w:t>Doanh thu năm 2023</w:t>
                  </w:r>
                </w:p>
              </w:tc>
              <w:tc>
                <w:tcPr>
                  <w:tcW w:type="auto" w:w="0"/>
                  <w:shd w:val="clear" w:color="auto" w:fill="F0F0F0"/>
                </w:tcPr>
                <w:p>
                  <w:pPr>
                    <w:pStyle w:val="Para 70"/>
                    <w:keepLines w:val="on"/>
                  </w:pPr>
                  <w:r>
                    <w:t>Trọng số</w:t>
                  </w:r>
                </w:p>
              </w:tc>
              <w:tc>
                <w:tcPr>
                  <w:tcW w:type="auto" w:w="0"/>
                  <w:shd w:val="clear" w:color="auto" w:fill="F0F0F0"/>
                </w:tcPr>
                <w:p>
                  <w:pPr>
                    <w:pStyle w:val="Para 05"/>
                    <w:keepLines w:val="on"/>
                  </w:pPr>
                  <w:r>
                    <w:t>ERP năm 2024</w:t>
                  </w:r>
                </w:p>
              </w:tc>
            </w:tr>
            <w:tr>
              <w:tc>
                <w:tcPr>
                  <w:tcW w:type="auto" w:w="0"/>
                  <w:shd w:val="clear" w:color="auto" w:fill="F0F0F0"/>
                </w:tcPr>
                <w:p>
                  <w:pPr>
                    <w:pStyle w:val="Para 02"/>
                    <w:keepLines w:val="on"/>
                  </w:pPr>
                  <w:r>
                    <w:t>Hoa Kỳ</w:t>
                  </w:r>
                </w:p>
              </w:tc>
              <w:tc>
                <w:tcPr>
                  <w:tcW w:type="auto" w:w="0"/>
                  <w:shd w:val="clear" w:color="auto" w:fill="F0F0F0"/>
                </w:tcPr>
                <w:p>
                  <w:pPr>
                    <w:pStyle w:val="Para 06"/>
                    <w:keepLines w:val="on"/>
                  </w:pPr>
                  <w:r>
                    <w:t>$ 106.744,00</w:t>
                  </w:r>
                </w:p>
              </w:tc>
              <w:tc>
                <w:tcPr>
                  <w:tcW w:type="auto" w:w="0"/>
                  <w:shd w:val="clear" w:color="auto" w:fill="F0F0F0"/>
                </w:tcPr>
                <w:p>
                  <w:pPr>
                    <w:pStyle w:val="Para 06"/>
                    <w:keepLines w:val="on"/>
                  </w:pPr>
                  <w:r>
                    <w:t>50,37%</w:t>
                  </w:r>
                </w:p>
              </w:tc>
              <w:tc>
                <w:tcPr>
                  <w:tcW w:type="auto" w:w="0"/>
                  <w:shd w:val="clear" w:color="auto" w:fill="F0F0F0"/>
                </w:tcPr>
                <w:p>
                  <w:pPr>
                    <w:pStyle w:val="Normal"/>
                    <w:keepLines w:val="on"/>
                  </w:pPr>
                  <w:r>
                    <w:t>4,25%</w:t>
                  </w:r>
                </w:p>
              </w:tc>
            </w:tr>
            <w:tr>
              <w:tc>
                <w:tcPr>
                  <w:tcW w:type="auto" w:w="0"/>
                  <w:shd w:val="clear" w:color="auto" w:fill="F0F0F0"/>
                </w:tcPr>
                <w:p>
                  <w:pPr>
                    <w:pStyle w:val="Para 02"/>
                    <w:keepLines w:val="on"/>
                  </w:pPr>
                  <w:r>
                    <w:t>Các quốc gia khác</w:t>
                  </w:r>
                </w:p>
              </w:tc>
              <w:tc>
                <w:tcPr>
                  <w:tcW w:type="auto" w:w="0"/>
                  <w:shd w:val="clear" w:color="auto" w:fill="F0F0F0"/>
                </w:tcPr>
                <w:p>
                  <w:pPr>
                    <w:pStyle w:val="Para 06"/>
                    <w:keepLines w:val="on"/>
                  </w:pPr>
                  <w:r>
                    <w:t>$ 105.171,00</w:t>
                  </w:r>
                </w:p>
              </w:tc>
              <w:tc>
                <w:tcPr>
                  <w:tcW w:type="auto" w:w="0"/>
                  <w:shd w:val="clear" w:color="auto" w:fill="F0F0F0"/>
                </w:tcPr>
                <w:p>
                  <w:pPr>
                    <w:pStyle w:val="Para 06"/>
                    <w:keepLines w:val="on"/>
                  </w:pPr>
                  <w:r>
                    <w:t>49,63%</w:t>
                  </w:r>
                </w:p>
              </w:tc>
              <w:tc>
                <w:tcPr>
                  <w:tcW w:type="auto" w:w="0"/>
                  <w:shd w:val="clear" w:color="auto" w:fill="F0F0F0"/>
                </w:tcPr>
                <w:p>
                  <w:pPr>
                    <w:pStyle w:val="Normal"/>
                    <w:keepLines w:val="on"/>
                  </w:pPr>
                  <w:r>
                    <w:t>6,76%</w:t>
                  </w:r>
                </w:p>
              </w:tc>
            </w:tr>
            <w:tr>
              <w:tc>
                <w:tcPr>
                  <w:tcW w:type="auto" w:w="0"/>
                  <w:shd w:val="clear" w:color="auto" w:fill="F0F0F0"/>
                </w:tcPr>
                <w:p>
                  <w:pPr>
                    <w:pStyle w:val="Para 51"/>
                    <w:keepLines w:val="on"/>
                  </w:pPr>
                  <w:r>
                    <w:t>Tổng doanh thu</w:t>
                  </w:r>
                </w:p>
              </w:tc>
              <w:tc>
                <w:tcPr>
                  <w:tcW w:type="auto" w:w="0"/>
                  <w:shd w:val="clear" w:color="auto" w:fill="F0F0F0"/>
                </w:tcPr>
                <w:p>
                  <w:pPr>
                    <w:pStyle w:val="Para 28"/>
                    <w:keepLines w:val="on"/>
                  </w:pPr>
                  <w:r>
                    <w:t>$ 211,915.00</w:t>
                  </w:r>
                </w:p>
              </w:tc>
              <w:tc>
                <w:tcPr>
                  <w:tcW w:type="auto" w:w="0"/>
                  <w:shd w:val="clear" w:color="auto" w:fill="F0F0F0"/>
                </w:tcPr>
                <w:p>
                  <w:pPr>
                    <w:pStyle w:val="3 Block"/>
                    <w:keepLines w:val="on"/>
                  </w:pPr>
                </w:p>
              </w:tc>
              <w:tc>
                <w:tcPr>
                  <w:tcW w:type="auto" w:w="0"/>
                  <w:shd w:val="clear" w:color="auto" w:fill="F0F0F0"/>
                </w:tcPr>
                <w:p>
                  <w:pPr>
                    <w:pStyle w:val="Normal"/>
                    <w:keepLines w:val="on"/>
                  </w:pPr>
                  <w:r>
                    <w:t>5,50%</w:t>
                  </w:r>
                </w:p>
              </w:tc>
            </w:tr>
          </w:tbl>
          <w:p/>
        </w:tc>
      </w:tr>
    </w:tbl>
    <w:p>
      <w:pPr>
        <w:pStyle w:val="Para 04"/>
        <w:keepLines w:val="on"/>
      </w:pPr>
      <w:r>
        <w:t>Lưu ý rằng Microsoft báo cáo doanh thu gộp cho phần còn lại của thế giới, thay vì chia nhỏ doanh thu đó theo quốc gia hay thậm chí theo khu vực. Do đó, chúng tôi sử dụng mức bù rủi ro vốn cổ phần (equity risk premium) phản ánh mức bình quân gia quyền của phần còn lại của thế giới đối với các khoản doanh thu này. Kết hợp các yếu tố đầu vào này lại, chúng tôi ước tính chi phí vốn cổ phần (cost of equity) của công ty là 10,89%.</w:t>
      </w:r>
    </w:p>
    <w:p>
      <w:pPr>
        <w:pStyle w:val="Para 40"/>
        <w:keepLines w:val="on"/>
      </w:pPr>
      <w:r>
        <w:rPr>
          <w:rStyle w:val="Text26"/>
        </w:rPr>
        <w:bookmarkStart w:id="1416" w:name="Page_219"/>
        <w:t/>
        <w:bookmarkEnd w:id="1416"/>
      </w:r>
      <w:r>
        <w:t xml:space="preserve"> </w:t>
      </w:r>
    </w:p>
    <w:p>
      <w:bookmarkStart w:id="1417" w:name="Cost_of_equity_4_50__1_16x_5_50"/>
      <w:pPr>
        <w:keepNext/>
        <w:pStyle w:val="Para 07"/>
        <w:keepLines w:val="on"/>
      </w:pPr>
      <w:r>
        <w:t>Chi phí vốn cổ phần = 4,50% + 1,16 × (5,50%) = 10,89%</w:t>
      </w:r>
      <w:bookmarkEnd w:id="1417"/>
    </w:p>
    <w:p>
      <w:pPr>
        <w:pStyle w:val="Para 04"/>
        <w:keepLines w:val="on"/>
      </w:pPr>
      <w:r>
        <w:t>Con số này chắc chắn sẽ thay đổi sau khi Microsoft thâu tóm Activision, và sẽ còn thay đổi hơn nữa khi Microsoft thay đổi cơ cấu kinh doanh cũng như tỷ lệ nợ trên vốn cổ phần của mình.</w:t>
      </w:r>
    </w:p>
    <w:p>
      <w:pPr>
        <w:pStyle w:val="Para 11"/>
      </w:pPr>
      <w:r>
        <w:t/>
        <w:t xml:space="preserve"> </w:t>
      </w:r>
    </w:p>
    <w:p>
      <w:bookmarkStart w:id="1418" w:name="ILLUSTRATION_8_10__Estimating_th_1"/>
      <w:bookmarkStart w:id="1419" w:name="ILLUSTRATION_8_10__Estimating_th"/>
      <w:pPr>
        <w:keepNext/>
        <w:pStyle w:val="Para 19"/>
        <w:keepLines w:val="on"/>
      </w:pPr>
      <w:r>
        <w:t>VÍ DỤ MINH HỌA 8.10: Ước tính chi phí vốn cổ phần cho Embraer—tháng 3 năm 2008</w:t>
      </w:r>
      <w:bookmarkEnd w:id="1418"/>
      <w:bookmarkEnd w:id="1419"/>
    </w:p>
    <w:p>
      <w:pPr>
        <w:pStyle w:val="Para 04"/>
        <w:keepLines w:val="on"/>
      </w:pPr>
      <w:r>
        <w:t>Embraer là một công ty hàng không vũ trụ của Brazil. Để ước tính chi phí vốn cổ phần của công ty, trước tiên chúng tôi ước tính beta chưa vay nợ (unlevered beta) bằng cách xem xét các công ty hàng không vũ trụ trên toàn cầu:</w:t>
      </w:r>
    </w:p>
    <w:p>
      <w:bookmarkStart w:id="1420" w:name="Unlevered_beta_for_aerospace_fir"/>
      <w:pPr>
        <w:keepNext/>
        <w:pStyle w:val="Para 07"/>
        <w:keepLines w:val="on"/>
      </w:pPr>
      <w:r>
        <w:t>Beta chưa vay nợ của các công ty hàng không vũ trụ = 0,75</w:t>
      </w:r>
      <w:bookmarkEnd w:id="1420"/>
    </w:p>
    <w:p>
      <w:pPr>
        <w:pStyle w:val="Para 04"/>
        <w:keepLines w:val="on"/>
      </w:pPr>
      <w:r>
        <w:t>Tỷ lệ nợ trên vốn cổ phần của Embraer tại thời điểm phân tích này là 26,84%,10 dẫn đến beta đã vay nợ (levered beta) của Embraer (với thuế suất biên là 34% cho Brazil):</w:t>
      </w:r>
    </w:p>
    <w:p>
      <w:bookmarkStart w:id="1422" w:name="Levered_beta_for_Embraer_0_75_1"/>
      <w:pPr>
        <w:keepNext/>
        <w:pStyle w:val="Para 07"/>
        <w:keepLines w:val="on"/>
      </w:pPr>
      <w:r>
        <w:t>Beta đã vay nợ của Embraer = 0,75[1 + (1 - 0,34) × 0,2684] = 0,88</w:t>
      </w:r>
      <w:bookmarkEnd w:id="1422"/>
    </w:p>
    <w:p>
      <w:pPr>
        <w:pStyle w:val="Para 04"/>
        <w:keepLines w:val="on"/>
      </w:pPr>
      <w:r>
        <w:t>Để ước tính chi phí vốn cổ phần của Embraer tính bằng đô la Mỹ, chúng tôi bắt đầu với lãi suất trái phiếu kho bạc (Treasury bond rate) là 3,8% tại thời điểm phân tích, nhưng đã đưa rủi ro quốc gia gắn với Brazil vào mức bù rủi ro. Sử dụng cách tiếp cận được mô tả trong Chương 7, chúng tôi ước tính mức bù rủi ro quốc gia (country risk premium) là 3,66% vào tháng 3 năm 2008; mức chênh lệch vỡ nợ (default spread) của Brazil lúc đó là 2,00% và chỉ số Bovespa biến động mạnh hơn trái phiếu chính phủ Brazil khoảng 1,83 lần. Kết hợp với mức bù rủi ro thị trường trưởng thành (mature market risk premium) là 4% được ước tính cho Hoa Kỳ vào thời điểm đó, điều này cho ra chi phí vốn cổ phần là 10,54%.</w:t>
      </w:r>
    </w:p>
    <w:p>
      <w:bookmarkStart w:id="1423" w:name="Cost_of_equity_for_Embraer_3_8"/>
      <w:pPr>
        <w:keepNext/>
        <w:pStyle w:val="Para 07"/>
        <w:keepLines w:val="on"/>
      </w:pPr>
      <w:r>
        <w:t>Chi phí vốn cổ phần của Embraer = 3,8% + 0,88 × (4,00% + 3,66%) = 10,54%</w:t>
      </w:r>
      <w:bookmarkEnd w:id="1423"/>
    </w:p>
    <w:p>
      <w:pPr>
        <w:pStyle w:val="Para 04"/>
        <w:keepLines w:val="on"/>
      </w:pPr>
      <w:r>
        <w:t>Một lần nữa, có vài điểm đáng lưu ý về ước tính này. Thứ nhất, chi phí vốn cổ phần này có thể sẽ thay đổi theo thời gian khi Brazil trưởng thành hơn như một thị trường và rủi ro quốc gia giảm xuống. Thứ hai, chúng tôi đã giả định rằng beta đo lường mức độ phơi nhiễm với rủi ro quốc gia. Một công ty như Embraer, vốn có phần lớn doanh thu đến từ bên ngoài Brazil, có thể lập luận rằng mình ít phơi nhiễm với rủi ro quốc gia hơn. Trong phần trước, chúng tôi đã giới thiệu khái niệm lambda và đưa ra hai ước tính cho Embraer: 0,15, dùng mức phơi nhiễm doanh thu, và 0,27, dùng hồi quy lợi suất cổ phiếu Embraer theo trái phiếu đô la Brazil. Chúng tôi sẽ dùng con số sau để tính chi phí vốn cổ phần:</w:t>
      </w:r>
    </w:p>
    <w:p>
      <w:bookmarkStart w:id="1424" w:name="Cost_of_equity_in_U_S__dollars_R"/>
      <w:pPr>
        <w:keepNext/>
        <w:pStyle w:val="Para 07"/>
        <w:keepLines w:val="on"/>
      </w:pPr>
      <w:r>
        <w:t>Chi phí vốn cổ phần tính bằng đô la Mỹ = Lãi suất phi rủi ro + Beta × Mức bù rủi ro thị trường trưởng thành + λ × Mức bù rủi ro quốc gia = 3,8% + 0,88 × 4,00% + 0,27 × 3,66% = 8,31%</w:t>
      </w:r>
      <w:bookmarkEnd w:id="1424"/>
    </w:p>
    <w:p>
      <w:pPr>
        <w:pStyle w:val="Para 04"/>
        <w:keepLines w:val="on"/>
      </w:pPr>
      <w:r>
        <w:t>Điểm cuối cùng là chi phí vốn cổ phần tính bằng đô la Mỹ có thể được chuyển đổi thành chi phí vốn cổ phần danh nghĩa bằng đồng real Brazil (BR) chỉ đơn giản bằng cách xem xét chênh lệch tỷ lệ lạm phát kỳ vọng giữa Brazil và Hoa Kỳ. Ví dụ, nếu tỷ lệ lạm phát kỳ vọng ở Brazil là 6% và tỷ lệ lạm phát kỳ vọng ở Hoa Kỳ là 2%, thì chi phí vốn cổ phần danh nghĩa tính bằng BR sẽ như sau:</w:t>
      </w:r>
    </w:p>
    <w:p>
      <w:bookmarkStart w:id="1425" w:name="Cost_of_equitynominal__R__1_Cost"/>
      <w:pPr>
        <w:keepNext/>
        <w:pStyle w:val="Para 07"/>
        <w:keepLines w:val="on"/>
      </w:pPr>
      <w:r>
        <w:t>Chi phí vốn cổ phần danh nghĩa tính bằng R$ = (1 + Chi phí vốn cổ phần tính bằng $) × (1 + Tỷ lệ lạm phát Brazil) / (1 + Tỷ lệ lạm phát Hoa Kỳ) − 1 = 1,083 × (1,06 / 1,02) − 1 = 12,56%</w:t>
      </w:r>
      <w:bookmarkEnd w:id="1425"/>
    </w:p>
    <w:p>
      <w:pPr>
        <w:pStyle w:val="Para 04"/>
        <w:keepLines w:val="on"/>
      </w:pPr>
      <w:r>
        <w:t>Một cách ngầm định, với cách tiếp cận này, chúng tôi giả định rằng lãi suất phi rủi ro tính bằng BR trên khắp thế giới là như nhau, và mức bù rủi ro cũng tăng lên theo lạm phát. Một cách khác là ước tính chi phí vốn cổ phần từ đầu, bắt đầu với lãi suất phi rủi ro danh nghĩa tính bằng BR (lúc đó là 8% tại thời điểm phân tích này) rồi cộng thêm các mức bù như trước:</w:t>
      </w:r>
    </w:p>
    <w:p>
      <w:bookmarkStart w:id="1427" w:name="Cost_of_equity_R_Risk_free_rate"/>
      <w:pPr>
        <w:keepNext/>
        <w:pStyle w:val="Para 07"/>
        <w:keepLines w:val="on"/>
      </w:pPr>
      <w:r>
        <w:t>Chi phí vốn cổ phần tính bằng R$ = Lãi suất phi rủi ro + Beta × (Mức bù rủi ro thị trường trưởng thành) + λ × (Mức bù rủi ro quốc gia) = 8% + 0,88 × (4,00%) + 0,27 × (3,66%) = 12,51%</w:t>
      </w:r>
      <w:bookmarkEnd w:id="1427"/>
    </w:p>
    <w:p>
      <w:pPr>
        <w:pStyle w:val="Para 04"/>
        <w:keepLines w:val="on"/>
      </w:pPr>
      <w:r>
        <w:t>Thay lãi suất phi rủi ro thực (real risk-free rate) vào phương trình sẽ cho ra chi phí vốn cổ phần thực. Vì vậy, nếu chúng ta giả định lãi suất phi rủi ro thực là 1,5% (lãi suất của trái phiếu TIPS đã điều chỉnh theo lạm phát), thì chi phí vốn cổ phần thực sẽ là:</w:t>
      </w:r>
    </w:p>
    <w:p>
      <w:bookmarkStart w:id="1428" w:name="Cost_of_equity_1_5__0_88_4___0_2"/>
      <w:pPr>
        <w:keepNext/>
        <w:pStyle w:val="Para 07"/>
        <w:keepLines w:val="on"/>
      </w:pPr>
      <w:r>
        <w:t>Chi phí vốn cổ phần = 1,5% + 0,88 × (4%) + 0,27 × (3,66%) = 6,01%</w:t>
      </w:r>
      <w:bookmarkEnd w:id="1428"/>
    </w:p>
    <w:p>
      <w:pPr>
        <w:pStyle w:val="Para 11"/>
      </w:pPr>
      <w:r>
        <w:t/>
        <w:t xml:space="preserve"> </w:t>
      </w:r>
    </w:p>
    <w:p>
      <w:bookmarkStart w:id="1429" w:name="Cost_of_Equity_and_a_Small_Firm_1"/>
      <w:bookmarkStart w:id="1430" w:name="Cost_of_Equity_and_a_Small_Firm"/>
      <w:pPr>
        <w:keepNext/>
        <w:pStyle w:val="Para 27"/>
        <w:keepLines w:val="on"/>
      </w:pPr>
      <w:r>
        <w:t>Chi phí vốn cổ phần và mức bù cho công ty nhỏ</w:t>
      </w:r>
      <w:bookmarkEnd w:id="1429"/>
      <w:bookmarkEnd w:id="1430"/>
    </w:p>
    <w:p>
      <w:pPr>
        <w:pStyle w:val="Para 16"/>
        <w:keepLines w:val="on"/>
      </w:pPr>
      <w:r>
        <w:t>Chương 6 đã trình bày bằng chứng về mức bù cho công ty nhỏ (small firm premium), và trong Hình 6.10, chúng tôi đã lưu ý rằng các cổ phiếu có vốn hóa thị trường nhỏ đã mang lại lợi suất cao hơn các cổ phiếu vốn hóa lớn có cùng mức beta, ít nhất là trong giai đoạn 1927–2023. Có người lập luận rằng độ lớn của mức bù cho công ty nhỏ có thể được xem là bằng chứng cho thấy mô hình định giá tài sản vốn (capital asset pricing model – CAPM) đánh giá thấp rủi ro của các công ty nhỏ hơn, và do đó chi phí vốn cổ phần chỉ dựa thuần vào beta CAPM sẽ cho ra con số quá thấp đối với những công ty này. Vì vậy, họ cộng thêm một mức bù vào chi phí vốn cổ phần ước tính cho các công ty nhỏ hơn. Vì cổ phiếu vốn hóa nhỏ đã mang lại lợi suất cao hơn cổ phiếu vốn hóa lớn khoảng 3,10% trong suốt thế kỷ qua, bạn có thể coi đây là một ước tính hợp lý cho mức bù công ty nhỏ. Ví dụ, để ước tính chi phí vốn cổ phần cho một cổ phiếu vốn hóa nhỏ có beta là 1,2 (giả định lãi suất phi rủi ro là 4,5% và mức bù rủi ro thị trường là 4,25%), bạn sẽ làm như sau:</w:t>
      </w:r>
    </w:p>
    <w:p>
      <w:bookmarkStart w:id="1431" w:name="Cost_of_equity_for_small_cap_sto"/>
      <w:pPr>
        <w:keepNext/>
        <w:pStyle w:val="Para 48"/>
        <w:keepLines w:val="on"/>
      </w:pPr>
      <w:r>
        <w:t>Chi phí vốn cổ phần cho cổ phiếu vốn hóa nhỏ = Lãi suất phi rủi ro + Beta × Mức bù rủi ro vốn cổ phần + Mức bù vốn hóa nhỏ = 4,5% + 1,2 × 4,25% + 3,1% = 12,7%</w:t>
      </w:r>
      <w:bookmarkEnd w:id="1431"/>
    </w:p>
    <w:p>
      <w:pPr>
        <w:pStyle w:val="Para 16"/>
        <w:keepLines w:val="on"/>
      </w:pPr>
      <w:r>
        <w:t>Chúng tôi không đồng tình, dù cách làm này đã ăn sâu rộng rãi vào thực tiễn định giá. Thứ nhất, nó mở ra cánh cửa cho một loạt điều chỉnh mà bạn có thể thực hiện đối với chi phí vốn cổ phần, phản ánh vô số sự kém hiệu quả được nêu trong Chương 6. Ví dụ, bạn có thể ước tính mức bù cho P/E thấp, mức bù cho giá trên giá trị sổ sách (price-to-book) thấp, và mức bù cho tỷ suất cổ tức cao, rồi cộng tất cả vào chi phí vốn cổ phần. Nếu mục tiêu của chúng ta trong định giá là phát hiện những sai lầm của thị trường, thì việc khởi đầu bằng giả định rằng thị trường đánh giá đúng ngay từ đầu sẽ là một sai lầm. Thứ hai, một cách tốt hơn để đưa mức bù công ty nhỏ vào là xác định các nguyên nhân dẫn đến mức bù đó, rồi phát triển những thước đo rủi ro trực tiếp hơn. Ví dụ, giả sử rủi ro cao hơn của cổ phiếu vốn hóa nhỏ đến từ đòn bẩy hoạt động (operating leverage) cao hơn mà các công ty này có so với những đối thủ lớn hơn. Bạn có thể điều chỉnh beta theo đòn bẩy hoạt động (như chúng tôi đã làm vài trang trước cho Vans Shoes) và dùng beta cao hơn cho các công ty nhỏ. Thứ ba, mức bù vốn hóa nhỏ 3,1% mà chúng tôi ước tính từ dữ liệu lịch sử đi kèm với sai số chuẩn (standard error) đáng kể (khoảng 2%). Do đó, mức bù vốn hóa nhỏ thực sự có thể là 8% hoặc 0%. Thứ tư, ngay cả khi công ty của bạn hiện nay là một công ty nhỏ và xứng đáng được hưởng mức bù vốn hóa nhỏ, thì việc giả định tốc độ tăng trưởng cao cho công ty bạn rồi cuối cùng cũng sẽ biến nó thành một công ty vốn hóa lớn. Theo đó, bạn sẽ kỳ vọng mức bù vốn hóa nhỏ sẽ phai nhạt dần theo thời gian. Cuối cùng, như chúng ta đã thấy trong phần về mức bù vốn hóa nhỏ, nó đã phai nhạt dần theo thời gian, và đã biến mất trong giai đoạn 1981–2023.</w:t>
      </w:r>
    </w:p>
    <w:p>
      <w:pPr>
        <w:pStyle w:val="Para 16"/>
        <w:keepLines w:val="on"/>
      </w:pPr>
      <w:r>
        <w:t>Tóm lại, chúng tôi cho rằng những mặt tiêu cực nhiều hơn mặt tích cực, và không còn cơ sở nào để sử dụng mức bù vốn hóa nhỏ trong việc tính chi phí vốn cổ phần. Đáng tiếc thay, cũng như nhiều thông lệ khác trong định giá, một khi chúng đã ăn sâu vào thực tiễn thì rất khó gỡ bỏ.</w:t>
      </w:r>
    </w:p>
    <w:p>
      <w:bookmarkStart w:id="1433" w:name="From_Cost_of_Equity_to_Cost_of_C"/>
      <w:bookmarkStart w:id="1434" w:name="From_Cost_of_Equity_to_Cost_of_C_1"/>
      <w:pPr>
        <w:keepNext/>
        <w:pStyle w:val="Heading 2"/>
        <w:keepLines w:val="on"/>
      </w:pPr>
      <w:r>
        <w:t>Từ Chi phí Vốn cổ phần đến Chi phí Vốn</w:t>
      </w:r>
      <w:bookmarkEnd w:id="1433"/>
      <w:bookmarkEnd w:id="1434"/>
    </w:p>
    <w:p>
      <w:pPr>
        <w:pStyle w:val="Para 03"/>
      </w:pPr>
      <w:r>
        <w:t>Mặc dù vốn cổ phần chắc chắn là một thành phần quan trọng và không thể thiếu trong cơ cấu tài trợ của mọi doanh nghiệp, nhưng nó chỉ là một thành phần mà thôi. Hầu hết các doanh nghiệp tài trợ một phần hoặc phần lớn hoạt động của mình bằng nợ hoặc một loại chứng khoán nào đó kết hợp giữa vốn cổ phần và nợ. Chi phí của các nguồn tài trợ này thường rất khác so với chi phí vốn cổ phần, và chi phí tài trợ của một công ty cũng nên phản ánh chi phí của chúng, tương ứng với tỷ trọng sử dụng trong cơ cấu tài trợ. Nói một cách trực quan, chi phí vốn là bình quân gia quyền của chi phí các thành phần tài trợ khác nhau — bao gồm nợ, vốn cổ phần và các chứng khoán lai — mà một công ty sử dụng để đáp ứng nhu cầu tài chính của mình. Phần này sẽ xem xét quá trình ước tính chi phí tài trợ ngoài vốn cổ phần, và các tỷ trọng để tính chi phí vốn.</w:t>
      </w:r>
    </w:p>
    <w:p>
      <w:bookmarkStart w:id="1435" w:name="Calculating_the_Cost_of_Debt"/>
      <w:bookmarkStart w:id="1436" w:name="Calculating_the_Cost_of_Debt__Th"/>
      <w:pPr>
        <w:keepNext/>
        <w:pStyle w:val="Heading 3"/>
        <w:keepLines w:val="on"/>
      </w:pPr>
      <w:r>
        <w:t>Tính Chi phí Nợ</w:t>
      </w:r>
      <w:bookmarkEnd w:id="1435"/>
      <w:bookmarkEnd w:id="1436"/>
    </w:p>
    <w:p>
      <w:pPr>
        <w:pStyle w:val="Para 03"/>
      </w:pPr>
      <w:r>
        <w:t>Chi phí nợ đo lường chi phí hiện tại mà công ty phải bỏ ra để vay vốn tài trợ cho các dự án. Nói một cách tổng quát, nó được quyết định bởi các biến số sau:</w:t>
      </w:r>
    </w:p>
    <w:p>
      <w:pPr>
        <w:numPr>
          <w:ilvl w:val="0"/>
          <w:numId w:val="65"/>
        </w:numPr>
        <w:pStyle w:val="Para 01"/>
      </w:pPr>
      <w:r>
        <w:t>Lãi suất phi rủi ro. Khi lãi suất phi rủi ro tăng, chi phí nợ của các công ty cũng sẽ tăng theo.</w:t>
      </w:r>
    </w:p>
    <w:p>
      <w:pPr>
        <w:numPr>
          <w:ilvl w:val="0"/>
          <w:numId w:val="65"/>
        </w:numPr>
        <w:pStyle w:val="Para 01"/>
      </w:pPr>
      <w:r>
        <w:t>Rủi ro vỡ nợ (và mức chênh lệch vỡ nợ đi kèm) của công ty. Khi rủi ro vỡ nợ của một công ty tăng, chi phí vay tiền cũng sẽ tăng. Chương 7 đã xem xét mức chênh lệch vỡ nợ đã thay đổi như thế nào theo thời gian và có thể khác nhau theo kỳ hạn.</w:t>
      </w:r>
    </w:p>
    <w:p>
      <w:pPr>
        <w:numPr>
          <w:ilvl w:val="0"/>
          <w:numId w:val="65"/>
        </w:numPr>
        <w:pStyle w:val="Para 01"/>
      </w:pPr>
      <w:r>
        <w:t>Lợi thế về thuế gắn với nợ. Vì lãi vay được khấu trừ thuế, chi phí nợ sau thuế là một hàm của thuế suất. Lợi ích thuế có được từ việc trả lãi khiến chi phí nợ sau thuế thấp hơn chi phí trước thuế. Hơn nữa, lợi ích này càng tăng khi thuế suất càng cao.</w:t>
      </w:r>
    </w:p>
    <w:p>
      <w:bookmarkStart w:id="1437" w:name="After_tax_cost_of_debt__Riskless"/>
      <w:pPr>
        <w:keepNext/>
        <w:pStyle w:val="Para 09"/>
        <w:keepLines w:val="on"/>
      </w:pPr>
      <w:r>
        <w:t>Chi phí nợ sau thuế=(Lãi suất phi rủi ro+Mức chênh lệch vỡ nợ)(1−Thuế suất)</w:t>
      </w:r>
      <w:bookmarkEnd w:id="1437"/>
    </w:p>
    <w:p>
      <w:pPr>
        <w:pStyle w:val="Para 03"/>
      </w:pPr>
      <w:r>
        <w:t>Phần này tập trung vào cách ước tính tốt nhất rủi ro vỡ nợ của một công ty và chuyển rủi ro vỡ nợ đó thành mức chênh lệch vỡ nợ có thể dùng để tính ra chi phí nợ.</w:t>
      </w:r>
    </w:p>
    <w:p>
      <w:bookmarkStart w:id="1439" w:name="Estimating_the_Default_Risk_and_1"/>
      <w:bookmarkStart w:id="1440" w:name="Estimating_the_Default_Risk_and"/>
      <w:pPr>
        <w:keepNext/>
        <w:pStyle w:val="Heading 4"/>
        <w:keepLines w:val="on"/>
      </w:pPr>
      <w:r>
        <w:t>Ước tính Rủi ro Vỡ nợ và Mức chênh lệch Vỡ nợ của một Công ty</w:t>
      </w:r>
      <w:bookmarkEnd w:id="1439"/>
      <w:bookmarkEnd w:id="1440"/>
    </w:p>
    <w:p>
      <w:pPr>
        <w:pStyle w:val="Para 03"/>
      </w:pPr>
      <w:r>
        <w:t>Tình huống đơn giản nhất để ước tính chi phí nợ xảy ra khi một công ty có trái phiếu dài hạn đang lưu hành được giao dịch rộng rãi. Giá thị trường của trái phiếu cùng với lãi suất coupon và kỳ hạn của nó có thể dùng để tính ra lợi suất được dùng làm chi phí nợ. Ví dụ, cách này hiệu quả với một công ty có hàng chục trái phiếu đang lưu hành có tính thanh khoản và được giao dịch thường xuyên.</w:t>
      </w:r>
    </w:p>
    <w:p>
      <w:pPr>
        <w:pStyle w:val="Para 03"/>
      </w:pPr>
      <w:r>
        <w:t>Một số công ty có trái phiếu đang lưu hành nhưng không được giao dịch thường xuyên. Vì những công ty này thường được xếp hạng, ta có thể ước tính chi phí nợ của họ bằng cách dùng xếp hạng và mức chênh lệch vỡ nợ đi kèm. Như vậy, một công ty có xếp hạng A có thể được kỳ vọng có chi phí nợ cao hơn lãi suất trái phiếu kho bạc khoảng 1,07 phần trăm, vì đây là mức chênh lệch mà các công ty xếp hạng AA thường phải trả, ít nhất là tại thời điểm phân tích này.</w:t>
      </w:r>
    </w:p>
    <w:p>
      <w:pPr>
        <w:pStyle w:val="Para 03"/>
      </w:pPr>
      <w:r>
        <w:t>Nhiều công ty chọn không xếp hạng, và các công ty nhỏ hơn cùng hầu hết doanh nghiệp tư nhân đều thuộc nhóm này. Mặc dù các tổ chức xếp hạng đã mọc lên ở nhiều thị trường mới nổi, vẫn còn một số thị trường mà các công ty không được xếp hạng dựa trên rủi ro vỡ nợ. Khi không có xếp hạng nào để ước tính chi phí nợ, có hai lựa chọn thay thế:</w:t>
      </w:r>
    </w:p>
    <w:p>
      <w:pPr>
        <w:numPr>
          <w:ilvl w:val="0"/>
          <w:numId w:val="66"/>
        </w:numPr>
        <w:pStyle w:val="Para 01"/>
      </w:pPr>
      <w:r>
        <w:t>Lịch sử vay nợ gần đây. Nhiều công ty không được xếp hạng vẫn vay tiền từ ngân hàng và các tổ chức tài chính khác. Bằng cách xem xét các khoản vay gần đây nhất của một công ty, ta có thể hình dung được các loại mức chênh lệch vỡ nợ đang được áp cho công ty đó, rồi dùng những mức chênh lệch này để tính ra chi phí nợ.</w:t>
      </w:r>
    </w:p>
    <w:p>
      <w:pPr>
        <w:numPr>
          <w:ilvl w:val="0"/>
          <w:numId w:val="66"/>
        </w:numPr>
        <w:pStyle w:val="Para 01"/>
      </w:pPr>
      <w:r>
        <w:t>Ước tính một xếp hạng tổng hợp. Một lựa chọn khác là đóng vai trò của một tổ chức xếp hạng và gán một xếp hạng cho công ty dựa trên các tỷ số tài chính của nó; xếp hạng này được gọi là xếp hạng tổng hợp. Để thực hiện đánh giá này, ta bắt đầu với các công ty đã được xếp hạng và xem xét các đặc điểm tài chính chung của các công ty trong mỗi nhóm xếp hạng. Để minh họa, Bảng 8.5 liệt kê khoảng tỷ số khả năng thanh toán lãi vay cho các công ty dịch vụ phi tài chính nhỏ (vốn hóa thị trường dưới 5 tỷ đô la) trong mỗi nhóm xếp hạng của S&amp;P, cùng với mức chênh lệch vỡ nợ vào tháng 1 năm 2024.11</w:t>
      </w:r>
    </w:p>
    <w:p>
      <w:pPr>
        <w:pStyle w:val="Para 34"/>
        <w:keepLines w:val="on"/>
      </w:pPr>
      <w:r>
        <w:t>Bảng 8.5</w:t>
      </w:r>
    </w:p>
    <w:p>
      <w:pPr>
        <w:keepNext/>
        <w:pStyle w:val="Para 35"/>
        <w:keepLines w:val="on"/>
      </w:pPr>
      <w:r>
        <w:t>Tỷ số Khả năng Thanh toán Lãi vay và Xếp hạng: Các Công ty Vốn hóa Thị trường Thấp</w:t>
      </w:r>
    </w:p>
    <w:tbl>
      <w:tblPr>
        <w:tblW w:type="auto" w:w="0"/>
      </w:tblPr>
      <w:tr>
        <w:tc>
          <w:tcPr>
            <w:tcW w:type="auto" w:w="0"/>
          </w:tcPr>
          <w:tbl>
            <w:tblPr>
              <w:tblW w:type="pct" w:w="5000"/>
            </w:tblPr>
            <w:tr>
              <w:tc>
                <w:tcPr>
                  <w:tcW w:type="auto" w:w="0"/>
                  <w:shd w:val="clear" w:color="auto" w:fill="F0F0F0"/>
                </w:tcPr>
                <w:p>
                  <w:pPr>
                    <w:pStyle w:val="Para 29"/>
                    <w:keepLines w:val="on"/>
                  </w:pPr>
                  <w:r>
                    <w:t>Tỷ số Khả năng Thanh toán Lãi vay</w:t>
                  </w:r>
                </w:p>
              </w:tc>
              <w:tc>
                <w:tcPr>
                  <w:tcW w:type="auto" w:w="0"/>
                  <w:shd w:val="clear" w:color="auto" w:fill="F0F0F0"/>
                </w:tcPr>
                <w:p>
                  <w:pPr>
                    <w:pStyle w:val="Para 17"/>
                    <w:keepLines w:val="on"/>
                  </w:pPr>
                  <w:r>
                    <w:t>Xếp hạng là</w:t>
                  </w:r>
                </w:p>
              </w:tc>
              <w:tc>
                <w:tcPr>
                  <w:tcW w:type="auto" w:w="0"/>
                  <w:shd w:val="clear" w:color="auto" w:fill="F0F0F0"/>
                </w:tcPr>
                <w:p>
                  <w:pPr>
                    <w:pStyle w:val="Para 17"/>
                    <w:keepLines w:val="on"/>
                  </w:pPr>
                  <w:r>
                    <w:t>Mức chênh lệch là</w:t>
                  </w:r>
                </w:p>
              </w:tc>
            </w:tr>
            <w:tr>
              <w:tc>
                <w:tcPr>
                  <w:tcW w:type="auto" w:w="0"/>
                  <w:shd w:val="clear" w:color="auto" w:fill="F0F0F0"/>
                </w:tcPr>
                <w:p>
                  <w:pPr>
                    <w:pStyle w:val="Para 02"/>
                    <w:keepLines w:val="on"/>
                  </w:pPr>
                  <w:r>
                    <w:t>&gt;12,5</w:t>
                  </w:r>
                </w:p>
              </w:tc>
              <w:tc>
                <w:tcPr>
                  <w:tcW w:type="auto" w:w="0"/>
                  <w:shd w:val="clear" w:color="auto" w:fill="F0F0F0"/>
                </w:tcPr>
                <w:p>
                  <w:pPr>
                    <w:pStyle w:val="Normal"/>
                    <w:keepLines w:val="on"/>
                  </w:pPr>
                  <w:r>
                    <w:t>Aaa/AAA</w:t>
                  </w:r>
                </w:p>
              </w:tc>
              <w:tc>
                <w:tcPr>
                  <w:tcW w:type="auto" w:w="0"/>
                  <w:shd w:val="clear" w:color="auto" w:fill="F0F0F0"/>
                </w:tcPr>
                <w:p>
                  <w:pPr>
                    <w:pStyle w:val="Normal"/>
                    <w:keepLines w:val="on"/>
                  </w:pPr>
                  <w:r>
                    <w:t>0,59%</w:t>
                  </w:r>
                </w:p>
              </w:tc>
            </w:tr>
            <w:tr>
              <w:tc>
                <w:tcPr>
                  <w:tcW w:type="auto" w:w="0"/>
                  <w:shd w:val="clear" w:color="auto" w:fill="F0F0F0"/>
                </w:tcPr>
                <w:p>
                  <w:pPr>
                    <w:pStyle w:val="Para 02"/>
                    <w:keepLines w:val="on"/>
                  </w:pPr>
                  <w:r>
                    <w:t>9,5–12,5</w:t>
                  </w:r>
                </w:p>
              </w:tc>
              <w:tc>
                <w:tcPr>
                  <w:tcW w:type="auto" w:w="0"/>
                  <w:shd w:val="clear" w:color="auto" w:fill="F0F0F0"/>
                </w:tcPr>
                <w:p>
                  <w:pPr>
                    <w:pStyle w:val="Normal"/>
                    <w:keepLines w:val="on"/>
                  </w:pPr>
                  <w:r>
                    <w:t>Aa2/AA</w:t>
                  </w:r>
                </w:p>
              </w:tc>
              <w:tc>
                <w:tcPr>
                  <w:tcW w:type="auto" w:w="0"/>
                  <w:shd w:val="clear" w:color="auto" w:fill="F0F0F0"/>
                </w:tcPr>
                <w:p>
                  <w:pPr>
                    <w:pStyle w:val="Normal"/>
                    <w:keepLines w:val="on"/>
                  </w:pPr>
                  <w:r>
                    <w:t>0,70%</w:t>
                  </w:r>
                </w:p>
              </w:tc>
            </w:tr>
            <w:tr>
              <w:tc>
                <w:tcPr>
                  <w:tcW w:type="auto" w:w="0"/>
                  <w:shd w:val="clear" w:color="auto" w:fill="F0F0F0"/>
                </w:tcPr>
                <w:p>
                  <w:pPr>
                    <w:pStyle w:val="Para 02"/>
                    <w:keepLines w:val="on"/>
                  </w:pPr>
                  <w:r>
                    <w:t>7,5–9,5</w:t>
                  </w:r>
                </w:p>
              </w:tc>
              <w:tc>
                <w:tcPr>
                  <w:tcW w:type="auto" w:w="0"/>
                  <w:shd w:val="clear" w:color="auto" w:fill="F0F0F0"/>
                </w:tcPr>
                <w:p>
                  <w:pPr>
                    <w:pStyle w:val="Normal"/>
                    <w:keepLines w:val="on"/>
                  </w:pPr>
                  <w:r>
                    <w:t>A1/A+</w:t>
                  </w:r>
                </w:p>
              </w:tc>
              <w:tc>
                <w:tcPr>
                  <w:tcW w:type="auto" w:w="0"/>
                  <w:shd w:val="clear" w:color="auto" w:fill="F0F0F0"/>
                </w:tcPr>
                <w:p>
                  <w:pPr>
                    <w:pStyle w:val="Normal"/>
                    <w:keepLines w:val="on"/>
                  </w:pPr>
                  <w:r>
                    <w:t>0,92%</w:t>
                  </w:r>
                </w:p>
              </w:tc>
            </w:tr>
            <w:tr>
              <w:tc>
                <w:tcPr>
                  <w:tcW w:type="auto" w:w="0"/>
                  <w:shd w:val="clear" w:color="auto" w:fill="F0F0F0"/>
                </w:tcPr>
                <w:p>
                  <w:pPr>
                    <w:pStyle w:val="Para 02"/>
                    <w:keepLines w:val="on"/>
                  </w:pPr>
                  <w:r>
                    <w:t>6,0–7,5</w:t>
                  </w:r>
                </w:p>
              </w:tc>
              <w:tc>
                <w:tcPr>
                  <w:tcW w:type="auto" w:w="0"/>
                  <w:shd w:val="clear" w:color="auto" w:fill="F0F0F0"/>
                </w:tcPr>
                <w:p>
                  <w:pPr>
                    <w:pStyle w:val="Normal"/>
                    <w:keepLines w:val="on"/>
                  </w:pPr>
                  <w:r>
                    <w:t>A2/A</w:t>
                  </w:r>
                </w:p>
              </w:tc>
              <w:tc>
                <w:tcPr>
                  <w:tcW w:type="auto" w:w="0"/>
                  <w:shd w:val="clear" w:color="auto" w:fill="F0F0F0"/>
                </w:tcPr>
                <w:p>
                  <w:pPr>
                    <w:pStyle w:val="Normal"/>
                    <w:keepLines w:val="on"/>
                  </w:pPr>
                  <w:r>
                    <w:t>1,07%</w:t>
                  </w:r>
                </w:p>
              </w:tc>
            </w:tr>
            <w:tr>
              <w:tc>
                <w:tcPr>
                  <w:tcW w:type="auto" w:w="0"/>
                  <w:shd w:val="clear" w:color="auto" w:fill="F0F0F0"/>
                </w:tcPr>
                <w:p>
                  <w:pPr>
                    <w:pStyle w:val="Para 02"/>
                    <w:keepLines w:val="on"/>
                  </w:pPr>
                  <w:r>
                    <w:t>4,5–6,0</w:t>
                  </w:r>
                </w:p>
              </w:tc>
              <w:tc>
                <w:tcPr>
                  <w:tcW w:type="auto" w:w="0"/>
                  <w:shd w:val="clear" w:color="auto" w:fill="F0F0F0"/>
                </w:tcPr>
                <w:p>
                  <w:pPr>
                    <w:pStyle w:val="Normal"/>
                    <w:keepLines w:val="on"/>
                  </w:pPr>
                  <w:r>
                    <w:t>A3/A-</w:t>
                  </w:r>
                </w:p>
              </w:tc>
              <w:tc>
                <w:tcPr>
                  <w:tcW w:type="auto" w:w="0"/>
                  <w:shd w:val="clear" w:color="auto" w:fill="F0F0F0"/>
                </w:tcPr>
                <w:p>
                  <w:pPr>
                    <w:pStyle w:val="Normal"/>
                    <w:keepLines w:val="on"/>
                  </w:pPr>
                  <w:r>
                    <w:t>1,21%</w:t>
                  </w:r>
                </w:p>
              </w:tc>
            </w:tr>
            <w:tr>
              <w:tc>
                <w:tcPr>
                  <w:tcW w:type="auto" w:w="0"/>
                  <w:shd w:val="clear" w:color="auto" w:fill="F0F0F0"/>
                </w:tcPr>
                <w:p>
                  <w:pPr>
                    <w:pStyle w:val="Para 02"/>
                    <w:keepLines w:val="on"/>
                  </w:pPr>
                  <w:r>
                    <w:t>4,0–4,5</w:t>
                  </w:r>
                </w:p>
              </w:tc>
              <w:tc>
                <w:tcPr>
                  <w:tcW w:type="auto" w:w="0"/>
                  <w:shd w:val="clear" w:color="auto" w:fill="F0F0F0"/>
                </w:tcPr>
                <w:p>
                  <w:pPr>
                    <w:pStyle w:val="Normal"/>
                    <w:keepLines w:val="on"/>
                  </w:pPr>
                  <w:r>
                    <w:t>Baa2/BBB</w:t>
                  </w:r>
                </w:p>
              </w:tc>
              <w:tc>
                <w:tcPr>
                  <w:tcW w:type="auto" w:w="0"/>
                  <w:shd w:val="clear" w:color="auto" w:fill="F0F0F0"/>
                </w:tcPr>
                <w:p>
                  <w:pPr>
                    <w:pStyle w:val="Normal"/>
                    <w:keepLines w:val="on"/>
                  </w:pPr>
                  <w:r>
                    <w:t>1,47%</w:t>
                  </w:r>
                </w:p>
              </w:tc>
            </w:tr>
            <w:tr>
              <w:tc>
                <w:tcPr>
                  <w:tcW w:type="auto" w:w="0"/>
                  <w:shd w:val="clear" w:color="auto" w:fill="F0F0F0"/>
                </w:tcPr>
                <w:p>
                  <w:pPr>
                    <w:pStyle w:val="Para 02"/>
                    <w:keepLines w:val="on"/>
                  </w:pPr>
                  <w:r>
                    <w:t>3,5–4,0</w:t>
                  </w:r>
                </w:p>
              </w:tc>
              <w:tc>
                <w:tcPr>
                  <w:tcW w:type="auto" w:w="0"/>
                  <w:shd w:val="clear" w:color="auto" w:fill="F0F0F0"/>
                </w:tcPr>
                <w:p>
                  <w:pPr>
                    <w:pStyle w:val="Normal"/>
                    <w:keepLines w:val="on"/>
                  </w:pPr>
                  <w:r>
                    <w:t>Ba1/BB+</w:t>
                  </w:r>
                </w:p>
              </w:tc>
              <w:tc>
                <w:tcPr>
                  <w:tcW w:type="auto" w:w="0"/>
                  <w:shd w:val="clear" w:color="auto" w:fill="F0F0F0"/>
                </w:tcPr>
                <w:p>
                  <w:pPr>
                    <w:pStyle w:val="Normal"/>
                    <w:keepLines w:val="on"/>
                  </w:pPr>
                  <w:r>
                    <w:t>1,74%</w:t>
                  </w:r>
                </w:p>
              </w:tc>
            </w:tr>
            <w:tr>
              <w:tc>
                <w:tcPr>
                  <w:tcW w:type="auto" w:w="0"/>
                  <w:shd w:val="clear" w:color="auto" w:fill="F0F0F0"/>
                </w:tcPr>
                <w:p>
                  <w:pPr>
                    <w:pStyle w:val="Para 02"/>
                    <w:keepLines w:val="on"/>
                  </w:pPr>
                  <w:r>
                    <w:t>3,0–3,5</w:t>
                  </w:r>
                </w:p>
              </w:tc>
              <w:tc>
                <w:tcPr>
                  <w:tcW w:type="auto" w:w="0"/>
                  <w:shd w:val="clear" w:color="auto" w:fill="F0F0F0"/>
                </w:tcPr>
                <w:p>
                  <w:pPr>
                    <w:pStyle w:val="Normal"/>
                    <w:keepLines w:val="on"/>
                  </w:pPr>
                  <w:r>
                    <w:t>Ba2/BB</w:t>
                  </w:r>
                </w:p>
              </w:tc>
              <w:tc>
                <w:tcPr>
                  <w:tcW w:type="auto" w:w="0"/>
                  <w:shd w:val="clear" w:color="auto" w:fill="F0F0F0"/>
                </w:tcPr>
                <w:p>
                  <w:pPr>
                    <w:pStyle w:val="Normal"/>
                    <w:keepLines w:val="on"/>
                  </w:pPr>
                  <w:r>
                    <w:t>2,21%</w:t>
                  </w:r>
                </w:p>
              </w:tc>
            </w:tr>
            <w:tr>
              <w:tc>
                <w:tcPr>
                  <w:tcW w:type="auto" w:w="0"/>
                  <w:shd w:val="clear" w:color="auto" w:fill="F0F0F0"/>
                </w:tcPr>
                <w:p>
                  <w:pPr>
                    <w:pStyle w:val="Para 02"/>
                    <w:keepLines w:val="on"/>
                  </w:pPr>
                  <w:r>
                    <w:t>2,5–3,0</w:t>
                  </w:r>
                </w:p>
              </w:tc>
              <w:tc>
                <w:tcPr>
                  <w:tcW w:type="auto" w:w="0"/>
                  <w:shd w:val="clear" w:color="auto" w:fill="F0F0F0"/>
                </w:tcPr>
                <w:p>
                  <w:pPr>
                    <w:pStyle w:val="Normal"/>
                    <w:keepLines w:val="on"/>
                  </w:pPr>
                  <w:r>
                    <w:t>B1/B+</w:t>
                  </w:r>
                </w:p>
              </w:tc>
              <w:tc>
                <w:tcPr>
                  <w:tcW w:type="auto" w:w="0"/>
                  <w:shd w:val="clear" w:color="auto" w:fill="F0F0F0"/>
                </w:tcPr>
                <w:p>
                  <w:pPr>
                    <w:pStyle w:val="Normal"/>
                    <w:keepLines w:val="on"/>
                  </w:pPr>
                  <w:r>
                    <w:t>3,14%</w:t>
                  </w:r>
                </w:p>
              </w:tc>
            </w:tr>
            <w:tr>
              <w:tc>
                <w:tcPr>
                  <w:tcW w:type="auto" w:w="0"/>
                  <w:shd w:val="clear" w:color="auto" w:fill="F0F0F0"/>
                </w:tcPr>
                <w:p>
                  <w:pPr>
                    <w:pStyle w:val="Para 02"/>
                    <w:keepLines w:val="on"/>
                  </w:pPr>
                  <w:r>
                    <w:t>2,0–2,5</w:t>
                  </w:r>
                </w:p>
              </w:tc>
              <w:tc>
                <w:tcPr>
                  <w:tcW w:type="auto" w:w="0"/>
                  <w:shd w:val="clear" w:color="auto" w:fill="F0F0F0"/>
                </w:tcPr>
                <w:p>
                  <w:pPr>
                    <w:pStyle w:val="Normal"/>
                    <w:keepLines w:val="on"/>
                  </w:pPr>
                  <w:r>
                    <w:t>B2/B</w:t>
                  </w:r>
                </w:p>
              </w:tc>
              <w:tc>
                <w:tcPr>
                  <w:tcW w:type="auto" w:w="0"/>
                  <w:shd w:val="clear" w:color="auto" w:fill="F0F0F0"/>
                </w:tcPr>
                <w:p>
                  <w:pPr>
                    <w:pStyle w:val="Normal"/>
                    <w:keepLines w:val="on"/>
                  </w:pPr>
                  <w:r>
                    <w:t>3,61%</w:t>
                  </w:r>
                </w:p>
              </w:tc>
            </w:tr>
            <w:tr>
              <w:tc>
                <w:tcPr>
                  <w:tcW w:type="auto" w:w="0"/>
                  <w:shd w:val="clear" w:color="auto" w:fill="F0F0F0"/>
                </w:tcPr>
                <w:p>
                  <w:pPr>
                    <w:pStyle w:val="Para 02"/>
                    <w:keepLines w:val="on"/>
                  </w:pPr>
                  <w:r>
                    <w:t>1,75–2,0</w:t>
                  </w:r>
                </w:p>
              </w:tc>
              <w:tc>
                <w:tcPr>
                  <w:tcW w:type="auto" w:w="0"/>
                  <w:shd w:val="clear" w:color="auto" w:fill="F0F0F0"/>
                </w:tcPr>
                <w:p>
                  <w:pPr>
                    <w:pStyle w:val="Normal"/>
                    <w:keepLines w:val="on"/>
                  </w:pPr>
                  <w:r>
                    <w:t>B3/B-</w:t>
                  </w:r>
                </w:p>
              </w:tc>
              <w:tc>
                <w:tcPr>
                  <w:tcW w:type="auto" w:w="0"/>
                  <w:shd w:val="clear" w:color="auto" w:fill="F0F0F0"/>
                </w:tcPr>
                <w:p>
                  <w:pPr>
                    <w:pStyle w:val="Normal"/>
                    <w:keepLines w:val="on"/>
                  </w:pPr>
                  <w:r>
                    <w:t>5,24%</w:t>
                  </w:r>
                </w:p>
              </w:tc>
            </w:tr>
            <w:tr>
              <w:tc>
                <w:tcPr>
                  <w:tcW w:type="auto" w:w="0"/>
                  <w:shd w:val="clear" w:color="auto" w:fill="F0F0F0"/>
                </w:tcPr>
                <w:p>
                  <w:pPr>
                    <w:pStyle w:val="Para 02"/>
                    <w:keepLines w:val="on"/>
                  </w:pPr>
                  <w:r>
                    <w:t>1,25–1,75</w:t>
                  </w:r>
                </w:p>
              </w:tc>
              <w:tc>
                <w:tcPr>
                  <w:tcW w:type="auto" w:w="0"/>
                  <w:shd w:val="clear" w:color="auto" w:fill="F0F0F0"/>
                </w:tcPr>
                <w:p>
                  <w:pPr>
                    <w:pStyle w:val="Normal"/>
                    <w:keepLines w:val="on"/>
                  </w:pPr>
                  <w:r>
                    <w:t>Caa/CCC</w:t>
                  </w:r>
                </w:p>
              </w:tc>
              <w:tc>
                <w:tcPr>
                  <w:tcW w:type="auto" w:w="0"/>
                  <w:shd w:val="clear" w:color="auto" w:fill="F0F0F0"/>
                </w:tcPr>
                <w:p>
                  <w:pPr>
                    <w:pStyle w:val="Normal"/>
                    <w:keepLines w:val="on"/>
                  </w:pPr>
                  <w:r>
                    <w:t>8,51%</w:t>
                  </w:r>
                </w:p>
              </w:tc>
            </w:tr>
            <w:tr>
              <w:tc>
                <w:tcPr>
                  <w:tcW w:type="auto" w:w="0"/>
                  <w:shd w:val="clear" w:color="auto" w:fill="F0F0F0"/>
                </w:tcPr>
                <w:p>
                  <w:pPr>
                    <w:pStyle w:val="Para 02"/>
                    <w:keepLines w:val="on"/>
                  </w:pPr>
                  <w:r>
                    <w:t>0,8–1,25</w:t>
                  </w:r>
                </w:p>
              </w:tc>
              <w:tc>
                <w:tcPr>
                  <w:tcW w:type="auto" w:w="0"/>
                  <w:shd w:val="clear" w:color="auto" w:fill="F0F0F0"/>
                </w:tcPr>
                <w:p>
                  <w:pPr>
                    <w:pStyle w:val="Normal"/>
                    <w:keepLines w:val="on"/>
                  </w:pPr>
                  <w:r>
                    <w:t>Ca2/CC</w:t>
                  </w:r>
                </w:p>
              </w:tc>
              <w:tc>
                <w:tcPr>
                  <w:tcW w:type="auto" w:w="0"/>
                  <w:shd w:val="clear" w:color="auto" w:fill="F0F0F0"/>
                </w:tcPr>
                <w:p>
                  <w:pPr>
                    <w:pStyle w:val="Normal"/>
                    <w:keepLines w:val="on"/>
                  </w:pPr>
                  <w:r>
                    <w:t>11,78%</w:t>
                  </w:r>
                </w:p>
              </w:tc>
            </w:tr>
            <w:tr>
              <w:tc>
                <w:tcPr>
                  <w:tcW w:type="auto" w:w="0"/>
                  <w:shd w:val="clear" w:color="auto" w:fill="F0F0F0"/>
                </w:tcPr>
                <w:p>
                  <w:pPr>
                    <w:pStyle w:val="Para 02"/>
                    <w:keepLines w:val="on"/>
                  </w:pPr>
                  <w:r>
                    <w:t>0,5–0,8</w:t>
                  </w:r>
                </w:p>
              </w:tc>
              <w:tc>
                <w:tcPr>
                  <w:tcW w:type="auto" w:w="0"/>
                  <w:shd w:val="clear" w:color="auto" w:fill="F0F0F0"/>
                </w:tcPr>
                <w:p>
                  <w:pPr>
                    <w:pStyle w:val="Normal"/>
                    <w:keepLines w:val="on"/>
                  </w:pPr>
                  <w:r>
                    <w:t>C2/C</w:t>
                  </w:r>
                </w:p>
              </w:tc>
              <w:tc>
                <w:tcPr>
                  <w:tcW w:type="auto" w:w="0"/>
                  <w:shd w:val="clear" w:color="auto" w:fill="F0F0F0"/>
                </w:tcPr>
                <w:p>
                  <w:pPr>
                    <w:pStyle w:val="Normal"/>
                    <w:keepLines w:val="on"/>
                  </w:pPr>
                  <w:r>
                    <w:t>17,00%</w:t>
                  </w:r>
                </w:p>
              </w:tc>
            </w:tr>
            <w:tr>
              <w:tc>
                <w:tcPr>
                  <w:tcW w:type="auto" w:w="0"/>
                  <w:shd w:val="clear" w:color="auto" w:fill="F0F0F0"/>
                </w:tcPr>
                <w:p>
                  <w:pPr>
                    <w:pStyle w:val="Para 02"/>
                    <w:keepLines w:val="on"/>
                  </w:pPr>
                  <w:r>
                    <w:t>&lt;0,2</w:t>
                  </w:r>
                </w:p>
              </w:tc>
              <w:tc>
                <w:tcPr>
                  <w:tcW w:type="auto" w:w="0"/>
                  <w:shd w:val="clear" w:color="auto" w:fill="F0F0F0"/>
                </w:tcPr>
                <w:p>
                  <w:pPr>
                    <w:pStyle w:val="Normal"/>
                    <w:keepLines w:val="on"/>
                  </w:pPr>
                  <w:r>
                    <w:t>D2/D</w:t>
                  </w:r>
                </w:p>
              </w:tc>
              <w:tc>
                <w:tcPr>
                  <w:tcW w:type="auto" w:w="0"/>
                  <w:shd w:val="clear" w:color="auto" w:fill="F0F0F0"/>
                </w:tcPr>
                <w:p>
                  <w:pPr>
                    <w:pStyle w:val="Normal"/>
                    <w:keepLines w:val="on"/>
                  </w:pPr>
                  <w:r>
                    <w:t>20,00%</w:t>
                  </w:r>
                </w:p>
              </w:tc>
            </w:tr>
          </w:tbl>
          <w:p>
            <w:pPr>
              <w:pStyle w:val="Para 71"/>
              <w:keepLines w:val="on"/>
            </w:pPr>
            <w:r>
              <w:t>Nguồn dữ liệu thô: NAIC.</w:t>
            </w:r>
          </w:p>
        </w:tc>
      </w:tr>
    </w:tbl>
    <w:p>
      <w:pPr>
        <w:pStyle w:val="Para 03"/>
      </w:pPr>
      <w:r>
        <w:t>Giờ hãy xét một công ty nhỏ không được xếp hạng nhưng có tỷ lệ khả năng chi trả lãi vay (interest coverage ratio) là 6,15. Dựa trên tỷ lệ này, một xếp hạng tổng hợp (synthetic rating) là A sẽ được gán cho công ty, và mức chênh lệch vỡ nợ (default spread) là 1,07% sẽ được cộng vào lãi suất phi rủi ro (risk-free rate) để ra được chi phí nợ trước thuế (pretax cost of debt).</w:t>
      </w:r>
    </w:p>
    <w:p>
      <w:pPr>
        <w:pStyle w:val="Para 03"/>
      </w:pPr>
      <w:r>
        <w:t>Các tỷ lệ khả năng chi trả lãi vay có xu hướng thấp hơn đối với các công ty lớn hơn (vốn hóa thị trường trên 5 tỷ đô la) ở bất kỳ mức xếp hạng nào. Bảng 8.6 tóm tắt các tỷ lệ, xếp hạng và mức chênh lệch vỡ nợ này, tính đến tháng 1 năm 2024.</w:t>
      </w:r>
    </w:p>
    <w:p>
      <w:pPr>
        <w:pStyle w:val="Para 34"/>
        <w:keepLines w:val="on"/>
      </w:pPr>
      <w:r>
        <w:t>Bảng 8.6</w:t>
      </w:r>
    </w:p>
    <w:p>
      <w:pPr>
        <w:keepNext/>
        <w:pStyle w:val="Para 35"/>
        <w:keepLines w:val="on"/>
      </w:pPr>
      <w:r>
        <w:t>Tỷ lệ khả năng chi trả lãi vay, xếp hạng và mức chênh lệch vỡ nợ: Các công ty có vốn hóa thị trường lớn</w:t>
      </w:r>
    </w:p>
    <w:tbl>
      <w:tblPr>
        <w:tblW w:type="auto" w:w="0"/>
      </w:tblPr>
      <w:tr>
        <w:tc>
          <w:tcPr>
            <w:tcW w:type="auto" w:w="0"/>
          </w:tcPr>
          <w:tbl>
            <w:tblPr>
              <w:tblW w:type="pct" w:w="5000"/>
            </w:tblPr>
            <w:tr>
              <w:tc>
                <w:tcPr>
                  <w:tcW w:type="auto" w:w="0"/>
                  <w:shd w:val="clear" w:color="auto" w:fill="F0F0F0"/>
                </w:tcPr>
                <w:p>
                  <w:pPr>
                    <w:pStyle w:val="Para 29"/>
                    <w:keepLines w:val="on"/>
                  </w:pPr>
                  <w:r>
                    <w:t>Tỷ lệ khả năng chi trả lãi vay</w:t>
                  </w:r>
                </w:p>
              </w:tc>
              <w:tc>
                <w:tcPr>
                  <w:tcW w:type="auto" w:w="0"/>
                  <w:shd w:val="clear" w:color="auto" w:fill="F0F0F0"/>
                </w:tcPr>
                <w:p>
                  <w:pPr>
                    <w:pStyle w:val="Para 17"/>
                    <w:keepLines w:val="on"/>
                  </w:pPr>
                  <w:r>
                    <w:t>Xếp hạng là</w:t>
                  </w:r>
                </w:p>
              </w:tc>
              <w:tc>
                <w:tcPr>
                  <w:tcW w:type="auto" w:w="0"/>
                  <w:shd w:val="clear" w:color="auto" w:fill="F0F0F0"/>
                </w:tcPr>
                <w:p>
                  <w:pPr>
                    <w:pStyle w:val="Para 17"/>
                    <w:keepLines w:val="on"/>
                  </w:pPr>
                  <w:r>
                    <w:t>Mức chênh lệch là</w:t>
                  </w:r>
                </w:p>
              </w:tc>
            </w:tr>
            <w:tr>
              <w:tc>
                <w:tcPr>
                  <w:tcW w:type="auto" w:w="0"/>
                  <w:shd w:val="clear" w:color="auto" w:fill="F0F0F0"/>
                </w:tcPr>
                <w:p>
                  <w:pPr>
                    <w:pStyle w:val="Para 02"/>
                    <w:keepLines w:val="on"/>
                  </w:pPr>
                  <w:r>
                    <w:t>&gt;8,50</w:t>
                  </w:r>
                </w:p>
              </w:tc>
              <w:tc>
                <w:tcPr>
                  <w:tcW w:type="auto" w:w="0"/>
                  <w:shd w:val="clear" w:color="auto" w:fill="F0F0F0"/>
                </w:tcPr>
                <w:p>
                  <w:pPr>
                    <w:pStyle w:val="Normal"/>
                    <w:keepLines w:val="on"/>
                  </w:pPr>
                  <w:r>
                    <w:t>Aaa/AAA</w:t>
                  </w:r>
                </w:p>
              </w:tc>
              <w:tc>
                <w:tcPr>
                  <w:tcW w:type="auto" w:w="0"/>
                  <w:shd w:val="clear" w:color="auto" w:fill="F0F0F0"/>
                </w:tcPr>
                <w:p>
                  <w:pPr>
                    <w:pStyle w:val="Normal"/>
                    <w:keepLines w:val="on"/>
                  </w:pPr>
                  <w:r>
                    <w:t>0,59%</w:t>
                  </w:r>
                </w:p>
              </w:tc>
            </w:tr>
            <w:tr>
              <w:tc>
                <w:tcPr>
                  <w:tcW w:type="auto" w:w="0"/>
                  <w:shd w:val="clear" w:color="auto" w:fill="F0F0F0"/>
                </w:tcPr>
                <w:p>
                  <w:pPr>
                    <w:pStyle w:val="Para 02"/>
                    <w:keepLines w:val="on"/>
                  </w:pPr>
                  <w:r>
                    <w:t>6,5–8,5</w:t>
                  </w:r>
                </w:p>
              </w:tc>
              <w:tc>
                <w:tcPr>
                  <w:tcW w:type="auto" w:w="0"/>
                  <w:shd w:val="clear" w:color="auto" w:fill="F0F0F0"/>
                </w:tcPr>
                <w:p>
                  <w:pPr>
                    <w:pStyle w:val="Normal"/>
                    <w:keepLines w:val="on"/>
                  </w:pPr>
                  <w:r>
                    <w:t>Aa2/AA</w:t>
                  </w:r>
                </w:p>
              </w:tc>
              <w:tc>
                <w:tcPr>
                  <w:tcW w:type="auto" w:w="0"/>
                  <w:shd w:val="clear" w:color="auto" w:fill="F0F0F0"/>
                </w:tcPr>
                <w:p>
                  <w:pPr>
                    <w:pStyle w:val="Normal"/>
                    <w:keepLines w:val="on"/>
                  </w:pPr>
                  <w:r>
                    <w:t>0,70%</w:t>
                  </w:r>
                </w:p>
              </w:tc>
            </w:tr>
            <w:tr>
              <w:tc>
                <w:tcPr>
                  <w:tcW w:type="auto" w:w="0"/>
                  <w:shd w:val="clear" w:color="auto" w:fill="F0F0F0"/>
                </w:tcPr>
                <w:p>
                  <w:pPr>
                    <w:pStyle w:val="Para 02"/>
                    <w:keepLines w:val="on"/>
                  </w:pPr>
                  <w:r>
                    <w:t>5,5–6,5</w:t>
                  </w:r>
                </w:p>
              </w:tc>
              <w:tc>
                <w:tcPr>
                  <w:tcW w:type="auto" w:w="0"/>
                  <w:shd w:val="clear" w:color="auto" w:fill="F0F0F0"/>
                </w:tcPr>
                <w:p>
                  <w:pPr>
                    <w:pStyle w:val="Normal"/>
                    <w:keepLines w:val="on"/>
                  </w:pPr>
                  <w:r>
                    <w:t>A1/A+</w:t>
                  </w:r>
                </w:p>
              </w:tc>
              <w:tc>
                <w:tcPr>
                  <w:tcW w:type="auto" w:w="0"/>
                  <w:shd w:val="clear" w:color="auto" w:fill="F0F0F0"/>
                </w:tcPr>
                <w:p>
                  <w:pPr>
                    <w:pStyle w:val="Normal"/>
                    <w:keepLines w:val="on"/>
                  </w:pPr>
                  <w:r>
                    <w:t>0,92%</w:t>
                  </w:r>
                </w:p>
              </w:tc>
            </w:tr>
            <w:tr>
              <w:tc>
                <w:tcPr>
                  <w:tcW w:type="auto" w:w="0"/>
                  <w:shd w:val="clear" w:color="auto" w:fill="F0F0F0"/>
                </w:tcPr>
                <w:p>
                  <w:pPr>
                    <w:pStyle w:val="Para 02"/>
                    <w:keepLines w:val="on"/>
                  </w:pPr>
                  <w:r>
                    <w:t>4,25–5,5</w:t>
                  </w:r>
                </w:p>
              </w:tc>
              <w:tc>
                <w:tcPr>
                  <w:tcW w:type="auto" w:w="0"/>
                  <w:shd w:val="clear" w:color="auto" w:fill="F0F0F0"/>
                </w:tcPr>
                <w:p>
                  <w:pPr>
                    <w:pStyle w:val="Normal"/>
                    <w:keepLines w:val="on"/>
                  </w:pPr>
                  <w:r>
                    <w:t>A2/A</w:t>
                  </w:r>
                </w:p>
              </w:tc>
              <w:tc>
                <w:tcPr>
                  <w:tcW w:type="auto" w:w="0"/>
                  <w:shd w:val="clear" w:color="auto" w:fill="F0F0F0"/>
                </w:tcPr>
                <w:p>
                  <w:pPr>
                    <w:pStyle w:val="Normal"/>
                    <w:keepLines w:val="on"/>
                  </w:pPr>
                  <w:r>
                    <w:t>1,07%</w:t>
                  </w:r>
                </w:p>
              </w:tc>
            </w:tr>
            <w:tr>
              <w:tc>
                <w:tcPr>
                  <w:tcW w:type="auto" w:w="0"/>
                  <w:shd w:val="clear" w:color="auto" w:fill="F0F0F0"/>
                </w:tcPr>
                <w:p>
                  <w:pPr>
                    <w:pStyle w:val="Para 02"/>
                    <w:keepLines w:val="on"/>
                  </w:pPr>
                  <w:r>
                    <w:t>3–4,35</w:t>
                  </w:r>
                </w:p>
              </w:tc>
              <w:tc>
                <w:tcPr>
                  <w:tcW w:type="auto" w:w="0"/>
                  <w:shd w:val="clear" w:color="auto" w:fill="F0F0F0"/>
                </w:tcPr>
                <w:p>
                  <w:pPr>
                    <w:pStyle w:val="Normal"/>
                    <w:keepLines w:val="on"/>
                  </w:pPr>
                  <w:r>
                    <w:t>A3/A-</w:t>
                  </w:r>
                </w:p>
              </w:tc>
              <w:tc>
                <w:tcPr>
                  <w:tcW w:type="auto" w:w="0"/>
                  <w:shd w:val="clear" w:color="auto" w:fill="F0F0F0"/>
                </w:tcPr>
                <w:p>
                  <w:pPr>
                    <w:pStyle w:val="Normal"/>
                    <w:keepLines w:val="on"/>
                  </w:pPr>
                  <w:r>
                    <w:t>1,21%</w:t>
                  </w:r>
                </w:p>
              </w:tc>
            </w:tr>
            <w:tr>
              <w:tc>
                <w:tcPr>
                  <w:tcW w:type="auto" w:w="0"/>
                  <w:shd w:val="clear" w:color="auto" w:fill="F0F0F0"/>
                </w:tcPr>
                <w:p>
                  <w:pPr>
                    <w:pStyle w:val="Para 02"/>
                    <w:keepLines w:val="on"/>
                  </w:pPr>
                  <w:r>
                    <w:t>2,5–3,0</w:t>
                  </w:r>
                </w:p>
              </w:tc>
              <w:tc>
                <w:tcPr>
                  <w:tcW w:type="auto" w:w="0"/>
                  <w:shd w:val="clear" w:color="auto" w:fill="F0F0F0"/>
                </w:tcPr>
                <w:p>
                  <w:pPr>
                    <w:pStyle w:val="Normal"/>
                    <w:keepLines w:val="on"/>
                  </w:pPr>
                  <w:r>
                    <w:t>Baa2/BBB</w:t>
                  </w:r>
                </w:p>
              </w:tc>
              <w:tc>
                <w:tcPr>
                  <w:tcW w:type="auto" w:w="0"/>
                  <w:shd w:val="clear" w:color="auto" w:fill="F0F0F0"/>
                </w:tcPr>
                <w:p>
                  <w:pPr>
                    <w:pStyle w:val="Normal"/>
                    <w:keepLines w:val="on"/>
                  </w:pPr>
                  <w:r>
                    <w:t>1,47%</w:t>
                  </w:r>
                </w:p>
              </w:tc>
            </w:tr>
            <w:tr>
              <w:tc>
                <w:tcPr>
                  <w:tcW w:type="auto" w:w="0"/>
                  <w:shd w:val="clear" w:color="auto" w:fill="F0F0F0"/>
                </w:tcPr>
                <w:p>
                  <w:pPr>
                    <w:pStyle w:val="Para 02"/>
                    <w:keepLines w:val="on"/>
                  </w:pPr>
                  <w:r>
                    <w:t>2,25–2,5</w:t>
                  </w:r>
                </w:p>
              </w:tc>
              <w:tc>
                <w:tcPr>
                  <w:tcW w:type="auto" w:w="0"/>
                  <w:shd w:val="clear" w:color="auto" w:fill="F0F0F0"/>
                </w:tcPr>
                <w:p>
                  <w:pPr>
                    <w:pStyle w:val="Normal"/>
                    <w:keepLines w:val="on"/>
                  </w:pPr>
                  <w:r>
                    <w:t>Ba1/BB+</w:t>
                  </w:r>
                </w:p>
              </w:tc>
              <w:tc>
                <w:tcPr>
                  <w:tcW w:type="auto" w:w="0"/>
                  <w:shd w:val="clear" w:color="auto" w:fill="F0F0F0"/>
                </w:tcPr>
                <w:p>
                  <w:pPr>
                    <w:pStyle w:val="Normal"/>
                    <w:keepLines w:val="on"/>
                  </w:pPr>
                  <w:r>
                    <w:t>1,74%</w:t>
                  </w:r>
                </w:p>
              </w:tc>
            </w:tr>
            <w:tr>
              <w:tc>
                <w:tcPr>
                  <w:tcW w:type="auto" w:w="0"/>
                  <w:shd w:val="clear" w:color="auto" w:fill="F0F0F0"/>
                </w:tcPr>
                <w:p>
                  <w:pPr>
                    <w:pStyle w:val="Para 02"/>
                    <w:keepLines w:val="on"/>
                  </w:pPr>
                  <w:r>
                    <w:t>2–2,5</w:t>
                  </w:r>
                </w:p>
              </w:tc>
              <w:tc>
                <w:tcPr>
                  <w:tcW w:type="auto" w:w="0"/>
                  <w:shd w:val="clear" w:color="auto" w:fill="F0F0F0"/>
                </w:tcPr>
                <w:p>
                  <w:pPr>
                    <w:pStyle w:val="Normal"/>
                    <w:keepLines w:val="on"/>
                  </w:pPr>
                  <w:r>
                    <w:t>Ba2/BB</w:t>
                  </w:r>
                </w:p>
              </w:tc>
              <w:tc>
                <w:tcPr>
                  <w:tcW w:type="auto" w:w="0"/>
                  <w:shd w:val="clear" w:color="auto" w:fill="F0F0F0"/>
                </w:tcPr>
                <w:p>
                  <w:pPr>
                    <w:pStyle w:val="Normal"/>
                    <w:keepLines w:val="on"/>
                  </w:pPr>
                  <w:r>
                    <w:t>2,21%</w:t>
                  </w:r>
                </w:p>
              </w:tc>
            </w:tr>
            <w:tr>
              <w:tc>
                <w:tcPr>
                  <w:tcW w:type="auto" w:w="0"/>
                  <w:shd w:val="clear" w:color="auto" w:fill="F0F0F0"/>
                </w:tcPr>
                <w:p>
                  <w:pPr>
                    <w:pStyle w:val="Para 02"/>
                    <w:keepLines w:val="on"/>
                  </w:pPr>
                  <w:r>
                    <w:t>1,75–2,0</w:t>
                  </w:r>
                </w:p>
              </w:tc>
              <w:tc>
                <w:tcPr>
                  <w:tcW w:type="auto" w:w="0"/>
                  <w:shd w:val="clear" w:color="auto" w:fill="F0F0F0"/>
                </w:tcPr>
                <w:p>
                  <w:pPr>
                    <w:pStyle w:val="Normal"/>
                    <w:keepLines w:val="on"/>
                  </w:pPr>
                  <w:r>
                    <w:t>B1/B+</w:t>
                  </w:r>
                </w:p>
              </w:tc>
              <w:tc>
                <w:tcPr>
                  <w:tcW w:type="auto" w:w="0"/>
                  <w:shd w:val="clear" w:color="auto" w:fill="F0F0F0"/>
                </w:tcPr>
                <w:p>
                  <w:pPr>
                    <w:pStyle w:val="Normal"/>
                    <w:keepLines w:val="on"/>
                  </w:pPr>
                  <w:r>
                    <w:t>3,14%</w:t>
                  </w:r>
                </w:p>
              </w:tc>
            </w:tr>
            <w:tr>
              <w:tc>
                <w:tcPr>
                  <w:tcW w:type="auto" w:w="0"/>
                  <w:shd w:val="clear" w:color="auto" w:fill="F0F0F0"/>
                </w:tcPr>
                <w:p>
                  <w:pPr>
                    <w:pStyle w:val="Para 02"/>
                    <w:keepLines w:val="on"/>
                  </w:pPr>
                  <w:r>
                    <w:t>1,5–1,75</w:t>
                  </w:r>
                </w:p>
              </w:tc>
              <w:tc>
                <w:tcPr>
                  <w:tcW w:type="auto" w:w="0"/>
                  <w:shd w:val="clear" w:color="auto" w:fill="F0F0F0"/>
                </w:tcPr>
                <w:p>
                  <w:pPr>
                    <w:pStyle w:val="Normal"/>
                    <w:keepLines w:val="on"/>
                  </w:pPr>
                  <w:r>
                    <w:t>B2/B</w:t>
                  </w:r>
                </w:p>
              </w:tc>
              <w:tc>
                <w:tcPr>
                  <w:tcW w:type="auto" w:w="0"/>
                  <w:shd w:val="clear" w:color="auto" w:fill="F0F0F0"/>
                </w:tcPr>
                <w:p>
                  <w:pPr>
                    <w:pStyle w:val="Normal"/>
                    <w:keepLines w:val="on"/>
                  </w:pPr>
                  <w:r>
                    <w:t>3,61%</w:t>
                  </w:r>
                </w:p>
              </w:tc>
            </w:tr>
            <w:tr>
              <w:tc>
                <w:tcPr>
                  <w:tcW w:type="auto" w:w="0"/>
                  <w:shd w:val="clear" w:color="auto" w:fill="F0F0F0"/>
                </w:tcPr>
                <w:p>
                  <w:pPr>
                    <w:pStyle w:val="Para 02"/>
                    <w:keepLines w:val="on"/>
                  </w:pPr>
                  <w:r>
                    <w:t>1,25–1,5</w:t>
                  </w:r>
                </w:p>
              </w:tc>
              <w:tc>
                <w:tcPr>
                  <w:tcW w:type="auto" w:w="0"/>
                  <w:shd w:val="clear" w:color="auto" w:fill="F0F0F0"/>
                </w:tcPr>
                <w:p>
                  <w:pPr>
                    <w:pStyle w:val="Normal"/>
                    <w:keepLines w:val="on"/>
                  </w:pPr>
                  <w:r>
                    <w:t>B3/B-</w:t>
                  </w:r>
                </w:p>
              </w:tc>
              <w:tc>
                <w:tcPr>
                  <w:tcW w:type="auto" w:w="0"/>
                  <w:shd w:val="clear" w:color="auto" w:fill="F0F0F0"/>
                </w:tcPr>
                <w:p>
                  <w:pPr>
                    <w:pStyle w:val="Normal"/>
                    <w:keepLines w:val="on"/>
                  </w:pPr>
                  <w:r>
                    <w:t>5,24%</w:t>
                  </w:r>
                </w:p>
              </w:tc>
            </w:tr>
            <w:tr>
              <w:tc>
                <w:tcPr>
                  <w:tcW w:type="auto" w:w="0"/>
                  <w:shd w:val="clear" w:color="auto" w:fill="F0F0F0"/>
                </w:tcPr>
                <w:p>
                  <w:pPr>
                    <w:pStyle w:val="Para 02"/>
                    <w:keepLines w:val="on"/>
                  </w:pPr>
                  <w:r>
                    <w:t>0,8–1,25</w:t>
                  </w:r>
                </w:p>
              </w:tc>
              <w:tc>
                <w:tcPr>
                  <w:tcW w:type="auto" w:w="0"/>
                  <w:shd w:val="clear" w:color="auto" w:fill="F0F0F0"/>
                </w:tcPr>
                <w:p>
                  <w:pPr>
                    <w:pStyle w:val="Normal"/>
                    <w:keepLines w:val="on"/>
                  </w:pPr>
                  <w:r>
                    <w:t>Caa/CCC</w:t>
                  </w:r>
                </w:p>
              </w:tc>
              <w:tc>
                <w:tcPr>
                  <w:tcW w:type="auto" w:w="0"/>
                  <w:shd w:val="clear" w:color="auto" w:fill="F0F0F0"/>
                </w:tcPr>
                <w:p>
                  <w:pPr>
                    <w:pStyle w:val="Normal"/>
                    <w:keepLines w:val="on"/>
                  </w:pPr>
                  <w:r>
                    <w:t>8,51%</w:t>
                  </w:r>
                </w:p>
              </w:tc>
            </w:tr>
            <w:tr>
              <w:tc>
                <w:tcPr>
                  <w:tcW w:type="auto" w:w="0"/>
                  <w:shd w:val="clear" w:color="auto" w:fill="F0F0F0"/>
                </w:tcPr>
                <w:p>
                  <w:pPr>
                    <w:pStyle w:val="Para 02"/>
                    <w:keepLines w:val="on"/>
                  </w:pPr>
                  <w:r>
                    <w:t>0,65–0,8</w:t>
                  </w:r>
                </w:p>
              </w:tc>
              <w:tc>
                <w:tcPr>
                  <w:tcW w:type="auto" w:w="0"/>
                  <w:shd w:val="clear" w:color="auto" w:fill="F0F0F0"/>
                </w:tcPr>
                <w:p>
                  <w:pPr>
                    <w:pStyle w:val="Normal"/>
                    <w:keepLines w:val="on"/>
                  </w:pPr>
                  <w:r>
                    <w:t>Ca2/CC</w:t>
                  </w:r>
                </w:p>
              </w:tc>
              <w:tc>
                <w:tcPr>
                  <w:tcW w:type="auto" w:w="0"/>
                  <w:shd w:val="clear" w:color="auto" w:fill="F0F0F0"/>
                </w:tcPr>
                <w:p>
                  <w:pPr>
                    <w:pStyle w:val="Normal"/>
                    <w:keepLines w:val="on"/>
                  </w:pPr>
                  <w:r>
                    <w:t>11,78%</w:t>
                  </w:r>
                </w:p>
              </w:tc>
            </w:tr>
            <w:tr>
              <w:tc>
                <w:tcPr>
                  <w:tcW w:type="auto" w:w="0"/>
                  <w:shd w:val="clear" w:color="auto" w:fill="F0F0F0"/>
                </w:tcPr>
                <w:p>
                  <w:pPr>
                    <w:pStyle w:val="Para 02"/>
                    <w:keepLines w:val="on"/>
                  </w:pPr>
                  <w:r>
                    <w:t>0,2–0,65</w:t>
                  </w:r>
                </w:p>
              </w:tc>
              <w:tc>
                <w:tcPr>
                  <w:tcW w:type="auto" w:w="0"/>
                  <w:shd w:val="clear" w:color="auto" w:fill="F0F0F0"/>
                </w:tcPr>
                <w:p>
                  <w:pPr>
                    <w:pStyle w:val="Normal"/>
                    <w:keepLines w:val="on"/>
                  </w:pPr>
                  <w:r>
                    <w:t>C2/C</w:t>
                  </w:r>
                </w:p>
              </w:tc>
              <w:tc>
                <w:tcPr>
                  <w:tcW w:type="auto" w:w="0"/>
                  <w:shd w:val="clear" w:color="auto" w:fill="F0F0F0"/>
                </w:tcPr>
                <w:p>
                  <w:pPr>
                    <w:pStyle w:val="Normal"/>
                    <w:keepLines w:val="on"/>
                  </w:pPr>
                  <w:r>
                    <w:t>17,00%</w:t>
                  </w:r>
                </w:p>
              </w:tc>
            </w:tr>
            <w:tr>
              <w:tc>
                <w:tcPr>
                  <w:tcW w:type="auto" w:w="0"/>
                  <w:shd w:val="clear" w:color="auto" w:fill="F0F0F0"/>
                </w:tcPr>
                <w:p>
                  <w:pPr>
                    <w:pStyle w:val="Para 02"/>
                    <w:keepLines w:val="on"/>
                  </w:pPr>
                  <w:r>
                    <w:t>&lt;0,2</w:t>
                  </w:r>
                </w:p>
              </w:tc>
              <w:tc>
                <w:tcPr>
                  <w:tcW w:type="auto" w:w="0"/>
                  <w:shd w:val="clear" w:color="auto" w:fill="F0F0F0"/>
                </w:tcPr>
                <w:p>
                  <w:pPr>
                    <w:pStyle w:val="Normal"/>
                    <w:keepLines w:val="on"/>
                  </w:pPr>
                  <w:r>
                    <w:t>D2/D</w:t>
                  </w:r>
                </w:p>
              </w:tc>
              <w:tc>
                <w:tcPr>
                  <w:tcW w:type="auto" w:w="0"/>
                  <w:shd w:val="clear" w:color="auto" w:fill="F0F0F0"/>
                </w:tcPr>
                <w:p>
                  <w:pPr>
                    <w:pStyle w:val="Normal"/>
                    <w:keepLines w:val="on"/>
                  </w:pPr>
                  <w:r>
                    <w:t>20,00%</w:t>
                  </w:r>
                </w:p>
              </w:tc>
            </w:tr>
          </w:tbl>
          <w:p>
            <w:pPr>
              <w:pStyle w:val="Para 71"/>
              <w:keepLines w:val="on"/>
            </w:pPr>
            <w:r>
              <w:t>Nguồn dữ liệu thô: NAIC.</w:t>
            </w:r>
          </w:p>
        </w:tc>
      </w:tr>
    </w:tbl>
    <w:p>
      <w:pPr>
        <w:pStyle w:val="Para 03"/>
      </w:pPr>
      <w:r>
        <w:t>Cách tiếp cận này cũng có thể được mở rộng để cho phép sử dụng nhiều tỷ số và các biến định tính khác. Sau khi một xếp hạng tổng hợp (synthetic rating) được đánh giá, nó có thể được dùng để ước tính mức chênh lệch vỡ nợ (default spread); khi cộng mức này vào lãi suất phi rủi ro, ta sẽ có chi phí nợ trước thuế (pretax cost of debt) của doanh nghiệp.</w:t>
      </w:r>
    </w:p>
    <w:p>
      <w:pPr>
        <w:pStyle w:val="Para 11"/>
      </w:pPr>
      <w:r>
        <w:t/>
        <w:t xml:space="preserve"> </w:t>
      </w:r>
    </w:p>
    <w:p>
      <w:bookmarkStart w:id="1445" w:name="Extending_the_Synthetic_Ratings_1"/>
      <w:bookmarkStart w:id="1446" w:name="Extending_the_Synthetic_Ratings"/>
      <w:pPr>
        <w:keepNext/>
        <w:pStyle w:val="Para 27"/>
        <w:keepLines w:val="on"/>
      </w:pPr>
      <w:r>
        <w:t>Mở rộng cách tiếp cận xếp hạng tổng hợp</w:t>
      </w:r>
      <w:bookmarkEnd w:id="1445"/>
      <w:bookmarkEnd w:id="1446"/>
    </w:p>
    <w:p>
      <w:pPr>
        <w:pStyle w:val="Para 16"/>
        <w:keepLines w:val="on"/>
      </w:pPr>
      <w:r>
        <w:t>Khi chỉ dựa vào tỷ số khả năng thanh toán lãi vay (interest coverage ratio) để xếp hạng, chúng ta có nguy cơ bỏ sót thông tin có sẵn trong các tỷ số tài chính khác mà các tổ chức xếp hạng sử dụng. Cách tiếp cận này có thể được mở rộng để tích hợp thêm các tỷ số khác. Bước đầu tiên là xây dựng một điểm số dựa trên nhiều tỷ số. Ví dụ, điểm số Altman Z (Altman Z score) — vốn được dùng như một đại diện cho rủi ro vỡ nợ — là một hàm của năm tỷ số tài chính được gán trọng số để tạo ra điểm Z. Các tỷ số được sử dụng và trọng số tương đối của chúng thường được ước tính bằng cách nhìn vào các vụ vỡ nợ trong quá khứ. Bước thứ hai là liên kết mức điểm số đó với một xếp hạng trái phiếu, giống như cách được thực hiện trong Bảng 8.1 và 8.2 với các tỷ số khả năng thanh toán lãi vay.</w:t>
      </w:r>
    </w:p>
    <w:p>
      <w:pPr>
        <w:pStyle w:val="Para 16"/>
        <w:keepLines w:val="on"/>
      </w:pPr>
      <w:r>
        <w:t>Tuy nhiên, khi thực hiện phần mở rộng này, hãy lưu ý rằng sự phức tạp luôn đi kèm cái giá của nó. Mặc dù điểm số tín dụng hay điểm Z thực tế có thể đưa ra ước tính xếp hạng tổng hợp tốt hơn so với cách dựa trên tỷ số khả năng thanh toán lãi vay, nhưng những thay đổi trong xếp hạng phát sinh từ các điểm số này lại khó giải thích hơn nhiều so với những thay đổi dựa trên tỷ số khả năng thanh toán lãi vay. Đó là lý do để ta ưu tiên cách xếp hạng tuy còn khiếm khuyết nhưng đơn giản hơn, được rút ra từ các tỷ số khả năng thanh toán lãi vay.</w:t>
      </w:r>
    </w:p>
    <w:p>
      <w:bookmarkStart w:id="1448" w:name="Estimating_a_Tax_Rate__To_estima"/>
      <w:bookmarkStart w:id="1449" w:name="Estimating_a_Tax_Rate"/>
      <w:pPr>
        <w:keepNext/>
        <w:pStyle w:val="Heading 4"/>
        <w:keepLines w:val="on"/>
      </w:pPr>
      <w:r>
        <w:t>Ước tính thuế suất</w:t>
      </w:r>
      <w:bookmarkEnd w:id="1448"/>
      <w:bookmarkEnd w:id="1449"/>
    </w:p>
    <w:p>
      <w:pPr>
        <w:pStyle w:val="Para 03"/>
      </w:pPr>
      <w:r>
        <w:t>Để ước tính chi phí nợ sau thuế (after-tax cost of debt), hãy xét thực tế rằng chi phí lãi vay được khấu trừ thuế cho doanh nghiệp. Mặc dù phép tính khá đơn giản và chỉ yêu cầu nhân chi phí trước thuế với (1 − thuế suất), nhưng câu hỏi nên dùng thuế suất nào lại có thể khó trả lời, vì có quá nhiều lựa chọn. Ví dụ, các doanh nghiệp thường báo cáo thuế suất thực tế (effective tax rate), được ước tính bằng cách lấy thuế phải nộp chia cho thu nhập chịu thuế. Tuy nhiên, thuế suất thực tế thường rất khác với thuế suất biên (marginal tax rate) hay thuế suất theo luật định (statutory tax rate) — tức mức thuế suất áp dụng cho đồng thu nhập cuối cùng. Vì chi phí lãi vay giúp bạn tiết kiệm thuế ở mức biên (chúng được khấu trừ khỏi đồng thu nhập cuối cùng của bạn), nên thuế suất đúng để sử dụng chính là thuế suất biên.</w:t>
      </w:r>
    </w:p>
    <w:p>
      <w:pPr>
        <w:pStyle w:val="Para 03"/>
      </w:pPr>
      <w:r>
        <w:t>Một lưu ý nữa cần ghi nhớ là lãi vay chỉ tạo ra lợi ích thuế khi công ty có đủ thu nhập để trang trải chi phí lãi vay. Những công ty bị lỗ hoạt động sẽ không nhận được lợi ích thuế từ chi phí lãi vay, ít nhất là trong năm bị lỗ. Chi phí nợ sau thuế sẽ bằng chi phí nợ trước thuế trong năm đó. Nếu bạn kỳ vọng công ty sẽ có lãi trong những năm tới, bạn cần điều chỉnh chi phí nợ sau thuế theo thuế trong những năm đó.</w:t>
      </w:r>
    </w:p>
    <w:p>
      <w:pPr>
        <w:pStyle w:val="Para 03"/>
      </w:pPr>
      <w:r>
        <w:t>Chúng ta sẽ quay lại vấn đề này và xem xét chi tiết hơn trong Chương 10, nơi chúng ta xem xét cùng vấn đề trong bối cảnh ước tính dòng tiền sau thuế.</w:t>
      </w:r>
    </w:p>
    <w:p>
      <w:pPr>
        <w:pStyle w:val="Para 11"/>
      </w:pPr>
      <w:r>
        <w:t/>
        <w:t xml:space="preserve"> </w:t>
      </w:r>
    </w:p>
    <w:p>
      <w:bookmarkStart w:id="1450" w:name="ILLUSTRATION_8_11__Estimating_th_1"/>
      <w:bookmarkStart w:id="1451" w:name="ILLUSTRATION_8_11__Estimating_th"/>
      <w:pPr>
        <w:keepNext/>
        <w:pStyle w:val="Para 19"/>
        <w:keepLines w:val="on"/>
      </w:pPr>
      <w:r>
        <w:t>MINH HỌA 8.11: Ước tính chi phí nợ: Microsoft vào tháng 4 năm 2024</w:t>
      </w:r>
      <w:bookmarkEnd w:id="1450"/>
      <w:bookmarkEnd w:id="1451"/>
    </w:p>
    <w:p>
      <w:pPr>
        <w:pStyle w:val="Para 04"/>
        <w:keepLines w:val="on"/>
      </w:pPr>
      <w:r>
        <w:t>Microsoft được S&amp;P xếp hạng AAA. Sử dụng mức chênh lệch vỡ nợ (default spread) điển hình cho các công ty được xếp hạng AAA vào tháng 4 năm 2024, chúng ta có thể ước tính chi phí trước thuế cho Microsoft bằng cách cộng mức chênh lệch vỡ nợ 0,59% vào lãi suất phi rủi ro 4,5%.</w:t>
      </w:r>
    </w:p>
    <w:p>
      <w:bookmarkStart w:id="1452" w:name="Pretax_cost_of_debtactual_rating"/>
      <w:pPr>
        <w:keepNext/>
        <w:pStyle w:val="Para 07"/>
        <w:keepLines w:val="on"/>
      </w:pPr>
      <w:r>
        <w:t>Chi phí nợ trước thuế theo xếp hạng thực tế = 4,5% + 0,59% = 5,09%</w:t>
      </w:r>
      <w:bookmarkEnd w:id="1452"/>
    </w:p>
    <w:p>
      <w:pPr>
        <w:pStyle w:val="Para 04"/>
        <w:keepLines w:val="on"/>
      </w:pPr>
      <w:r>
        <w:t>Microsoft có thuế suất biên 25% để ước tính chi phí nợ sau thuế cho Microsoft:</w:t>
      </w:r>
    </w:p>
    <w:p>
      <w:bookmarkStart w:id="1453" w:name="After_tax_cost_of_debt_5_09_x_1"/>
      <w:pPr>
        <w:keepNext/>
        <w:pStyle w:val="Para 07"/>
        <w:keepLines w:val="on"/>
      </w:pPr>
      <w:r>
        <w:t>Chi phí nợ sau thuế = 5,09% × (1 - 0,25) = 3,82%</w:t>
      </w:r>
      <w:bookmarkEnd w:id="1453"/>
    </w:p>
    <w:p>
      <w:pPr>
        <w:pStyle w:val="Para 04"/>
        <w:keepLines w:val="on"/>
      </w:pPr>
      <w:r>
        <w:t>Lưu ý rằng chúng ta sẽ gán chi phí nợ sau thuế này cho toàn bộ khoản nợ của Microsoft (ngắn hạn hay dài hạn). Dù điều đó có vẻ không công bằng, vì Microsoft có thể đã vay ngắn hạn với lãi suất thấp hơn, chúng ta đang giả định rằng chi phí đảo nợ (rollover cost) của nợ ngắn hạn sẽ xấp xỉ bằng chi phí nợ dài hạn. Hơn nữa, chúng ta không muốn thưởng một cách có hệ thống cho các công ty có nợ ngắn hạn bằng cách cho họ chi phí vốn thấp hơn.</w:t>
      </w:r>
    </w:p>
    <w:p>
      <w:pPr>
        <w:pStyle w:val="Para 04"/>
        <w:keepLines w:val="on"/>
      </w:pPr>
      <w:r>
        <w:t>Một điểm cuối cùng về xếp hạng. Các tổ chức xếp hạng đánh giá cả từng đợt phát hành trái phiếu riêng lẻ lẫn toàn bộ công ty. Xếp hạng được dùng cho chi phí nợ trước thuế nên là xếp hạng của công ty chứ không phải của một trái phiếu riêng lẻ. Ngay cả một công ty rủi ro cũng có thể cấu trúc và phát hành một trái phiếu an toàn, và việc ước tính chi phí nợ dựa trên xếp hạng của trái phiếu đó sẽ đánh giá thấp chi phí nợ tổng thể.</w:t>
      </w:r>
    </w:p>
    <w:p>
      <w:bookmarkStart w:id="1455" w:name="Estimating_the_Cost_of_Debt_for"/>
      <w:bookmarkStart w:id="1456" w:name="Estimating_the_Cost_of_Debt_for_1"/>
      <w:pPr>
        <w:keepNext/>
        <w:pStyle w:val="Heading 4"/>
        <w:keepLines w:val="on"/>
      </w:pPr>
      <w:r>
        <w:t>Ước tính chi phí nợ cho một công ty thị trường mới nổi</w:t>
      </w:r>
      <w:bookmarkEnd w:id="1455"/>
      <w:bookmarkEnd w:id="1456"/>
    </w:p>
    <w:p>
      <w:pPr>
        <w:pStyle w:val="Para 03"/>
      </w:pPr>
      <w:r>
        <w:t>Nói chung, có ba vấn đề mà chúng ta gặp phải khi đánh giá chi phí nợ cho các công ty thị trường mới nổi (emerging market). Thứ nhất là hầu hết các công ty này không được xếp hạng, khiến chúng ta không có lựa chọn nào khác ngoài việc ước tính xếp hạng tổng hợp (synthetic rating) (và các chi phí liên quan). Thứ hai là các xếp hạng tổng hợp có thể bị lệch do sự khác biệt về lãi suất giữa thị trường mới nổi và Hoa Kỳ. Tỷ lệ bao phủ lãi vay (interest coverage ratio) thường sẽ giảm khi lãi suất tăng, và một công ty ở thị trường mới nổi có thể khó đạt được tỷ lệ bao phủ lãi vay của các công ty ở thị trường phát triển hơn nhiều. Cuối cùng, sự tồn tại của rủi ro vỡ nợ quốc gia (country default risk) bao trùm lên chi phí nợ của các công ty trong thị trường đó.</w:t>
      </w:r>
    </w:p>
    <w:p>
      <w:pPr>
        <w:pStyle w:val="Para 03"/>
      </w:pPr>
      <w:r>
        <w:t>Vấn đề thứ hai có thể được khắc phục đơn giản bằng cách sửa đổi các bảng được xây dựng dựa trên các công ty Hoa Kỳ, hoặc trình bày lại chi phí lãi vay (và tỷ lệ bao phủ lãi vay) bằng đô la. Câu hỏi về rủi ro quốc gia là một vấn đề hóc búa hơn. Các nhà phân tích thận trọng thường giả định rằng các công ty trong một quốc gia không thể vay với lãi suất thấp hơn mức mà chính quốc gia đó có thể vay. Với lập luận này, chi phí nợ cho một công ty thị trường mới nổi sẽ bao gồm mức chênh lệch vỡ nợ quốc gia của quốc gia đó:</w:t>
      </w:r>
    </w:p>
    <w:p>
      <w:bookmarkStart w:id="1457" w:name="Cost_of_debt_Riskless_rate_Count"/>
      <w:pPr>
        <w:keepNext/>
        <w:pStyle w:val="Para 09"/>
        <w:keepLines w:val="on"/>
      </w:pPr>
      <w:r>
        <w:t>Chi phí nợ = Lãi suất phi rủi ro + Chênh lệch vỡ nợ quốc gia theo xếp hạng chủ quyền + Chênh lệch vỡ nợ công ty theo xếp hạng tổng hợp</w:t>
      </w:r>
      <w:bookmarkEnd w:id="1457"/>
    </w:p>
    <w:p>
      <w:pPr>
        <w:pStyle w:val="Para 03"/>
      </w:pPr>
      <w:r>
        <w:t>Phản biện cho lập luận này là các công ty có thể an toàn hơn các quốc gia nơi họ hoạt động, và họ chỉ gánh chịu một phần hoặc thậm chí không gánh chịu chút nào mức chênh lệch vỡ nợ quốc gia.</w:t>
      </w:r>
    </w:p>
    <w:p>
      <w:pPr>
        <w:pStyle w:val="Para 11"/>
      </w:pPr>
      <w:r>
        <w:t/>
        <w:t xml:space="preserve"> </w:t>
      </w:r>
    </w:p>
    <w:p>
      <w:bookmarkStart w:id="1458" w:name="ILLUSTRATION_8_12__Estimating_th"/>
      <w:bookmarkStart w:id="1459" w:name="ILLUSTRATION_8_12__Estimating_th_1"/>
      <w:pPr>
        <w:keepNext/>
        <w:pStyle w:val="Para 19"/>
        <w:keepLines w:val="on"/>
      </w:pPr>
      <w:r>
        <w:t>MINH HỌA 8.12: Ước tính chi phí nợ: Embraer vào tháng 3 năm 2008</w:t>
      </w:r>
      <w:bookmarkEnd w:id="1458"/>
      <w:bookmarkEnd w:id="1459"/>
    </w:p>
    <w:p>
      <w:pPr>
        <w:pStyle w:val="Para 04"/>
        <w:keepLines w:val="on"/>
      </w:pPr>
      <w:r>
        <w:t>Để ước tính chi phí nợ của Embraer, trước tiên chúng ta ước tính xếp hạng tổng hợp cho công ty. Dựa trên thu nhập hoạt động 527 triệu đô la và chi phí lãi vay 176 triệu đô la trong năm 2007, chúng ta đạt được tỷ lệ bao phủ lãi vay là 2,99 và xếp hạng BBB. Trong khi mức chênh lệch vỡ nợ cho trái phiếu xếp hạng BBB chỉ là 1,50% vào thời điểm đó, có thêm một yếu tố cần cân nhắc là Embraer là một công ty Brazil. Vì trái phiếu chính phủ Brazil định giá bằng đô la có mức chênh lệch vỡ nợ là 2,00% tại thời điểm phân tích, bạn có thể lập luận rằng mọi công ty Brazil nên trả mức phụ trội này cộng thêm mức chênh lệch vỡ nợ riêng của mình. Với lập luận này, chi phí nợ trước thuế cho Embraer tính bằng đô la Mỹ (giả định lãi suất trái phiếu kho bạc là 3,8%) có thể được tính:</w:t>
      </w:r>
    </w:p>
    <w:p>
      <w:bookmarkStart w:id="1461" w:name="Cost_of_debt_Risk_free_rate_Defa"/>
      <w:pPr>
        <w:keepNext/>
        <w:pStyle w:val="Para 07"/>
        <w:keepLines w:val="on"/>
      </w:pPr>
      <w:r>
        <w:t>Chi phí nợ = Lãi suất phi rủi ro + Chênh lệch vỡ nợ quốc gia + Chênh lệch vỡ nợ công ty = 3,8% + 2,00% + 1,50% = 7,30%</w:t>
      </w:r>
      <w:bookmarkEnd w:id="1461"/>
    </w:p>
    <w:p>
      <w:pPr>
        <w:pStyle w:val="Para 04"/>
        <w:keepLines w:val="on"/>
      </w:pPr>
      <w:r>
        <w:t>Sử dụng thuế suất biên 34%, chúng ta có thể ước tính chi phí nợ sau thuế cho Embraer:</w:t>
      </w:r>
    </w:p>
    <w:p>
      <w:bookmarkStart w:id="1462" w:name="After_tax_cost_of_debt_7_30__1"/>
      <w:pPr>
        <w:keepNext/>
        <w:pStyle w:val="Para 07"/>
        <w:keepLines w:val="on"/>
      </w:pPr>
      <w:r>
        <w:t>Chi phí nợ sau thuế = 7,30% (1 - 0,34) = 4,82%</w:t>
      </w:r>
      <w:bookmarkEnd w:id="1462"/>
    </w:p>
    <w:p>
      <w:pPr>
        <w:pStyle w:val="Para 04"/>
        <w:keepLines w:val="on"/>
      </w:pPr>
      <w:r>
        <w:t>Với cách tiếp cận này, chi phí nợ của một công ty không bao giờ có thể thấp hơn chi phí nợ của quốc gia nơi nó hoạt động. Tuy nhiên, lưu ý rằng Embraer nhận được một phần đáng kể doanh thu bằng đô la từ các hợp đồng với các hãng hàng không không phải Brazil. Do đó, công ty có thể lập luận một cách hợp lý rằng mình ít chịu rủi ro hơn chính phủ Brazil và vì thế nên được hưởng chi phí nợ thấp hơn. Nói cách khác, có một số công ty (thường là các công ty lớn có hoạt động nước ngoài đáng kể) mà thay vì cộng toàn bộ mức chênh lệch vỡ nợ quốc gia vào chi phí nợ, chúng ta có thể chỉ cộng một phần.</w:t>
      </w:r>
    </w:p>
    <w:p>
      <w:pPr>
        <w:pStyle w:val="Para 11"/>
      </w:pPr>
      <w:r>
        <w:t/>
        <w:t xml:space="preserve"> </w:t>
      </w:r>
    </w:p>
    <w:p>
      <w:bookmarkStart w:id="1464" w:name="ratings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82"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1464"/>
    </w:p>
    <w:p>
      <w:pPr>
        <w:pStyle w:val="Para 31"/>
        <w:keepLines w:val="on"/>
      </w:pPr>
      <w:r>
        <w:t>ratings.xls: Bảng tính này cho phép bạn ước tính xếp hạng tổng hợp và chi phí nợ cho bất kỳ công ty nào.</w:t>
      </w:r>
    </w:p>
    <w:p>
      <w:bookmarkStart w:id="1465" w:name="Calculating_the_Cost_of_Hybrid_S_1"/>
      <w:bookmarkStart w:id="1466" w:name="Calculating_the_Cost_of_Hybrid_S"/>
      <w:pPr>
        <w:keepNext/>
        <w:pStyle w:val="Heading 3"/>
        <w:keepLines w:val="on"/>
      </w:pPr>
      <w:r>
        <w:t>Tính toán chi phí của các chứng khoán lai</w:t>
      </w:r>
      <w:bookmarkEnd w:id="1465"/>
      <w:bookmarkEnd w:id="1466"/>
    </w:p>
    <w:p>
      <w:pPr>
        <w:pStyle w:val="Para 03"/>
      </w:pPr>
      <w:r>
        <w:t>Trong khi nợ và vốn chủ sở hữu đại diện cho các lựa chọn tài trợ cơ bản dành cho các công ty, có một số loại hình tài trợ chia sẻ đặc điểm với cả nợ lẫn vốn chủ sở hữu. Chúng được gọi là chứng khoán lai (hybrid securities). Phần này xem xét cách ước tính chi phí của những chứng khoán như vậy một cách tốt nhất.</w:t>
      </w:r>
    </w:p>
    <w:p>
      <w:bookmarkStart w:id="1467" w:name="Preferred_Stock_1"/>
      <w:bookmarkStart w:id="1468" w:name="Preferred_Stock__Preferred_stock"/>
      <w:pPr>
        <w:keepNext/>
        <w:pStyle w:val="Heading 4"/>
        <w:keepLines w:val="on"/>
      </w:pPr>
      <w:r>
        <w:t>Cổ phiếu ưu đãi</w:t>
      </w:r>
      <w:bookmarkEnd w:id="1467"/>
      <w:bookmarkEnd w:id="1468"/>
    </w:p>
    <w:p>
      <w:pPr>
        <w:pStyle w:val="Para 03"/>
      </w:pPr>
      <w:r>
        <w:t>Cổ phiếu ưu đãi (preferred stock) chia sẻ một số đặc điểm của nợ (cổ tức ưu đãi được ấn định trước tại thời điểm phát hành và được trả trước cổ tức phổ thông) và một số đặc điểm của vốn chủ sở hữu (cổ tức ưu đãi không được khấu trừ thuế). Nếu cổ phiếu ưu đãi được xem là vĩnh viễn (như thường lệ), chi phí cổ phiếu ưu đãi có thể được viết như sau:</w:t>
      </w:r>
    </w:p>
    <w:p>
      <w:bookmarkStart w:id="1469" w:name="kps_Preferred_dividend_per_share"/>
      <w:pPr>
        <w:keepNext/>
        <w:pStyle w:val="Para 09"/>
        <w:keepLines w:val="on"/>
      </w:pPr>
      <w:r>
        <w:t>kps= Cổ tức ưu đãi trên mỗi cổ phần / Giá thị trường của mỗi cổ phần ưu đãi</w:t>
      </w:r>
      <w:bookmarkEnd w:id="1469"/>
    </w:p>
    <w:p>
      <w:pPr>
        <w:pStyle w:val="Para 03"/>
      </w:pPr>
      <w:r>
        <w:t>Cách tiếp cận này giả định rằng cổ tức không đổi tính bằng đô la mãi mãi, và cổ phiếu ưu đãi không có các đặc điểm đặc biệt nào (khả năng chuyển đổi, khả năng mua lại, v.v.). Nếu tồn tại những đặc điểm đặc biệt như vậy, chúng sẽ phải được định giá riêng để ước tính chi phí của cổ phiếu ưu đãi. Về mặt rủi ro, cổ phiếu ưu đãi an toàn hơn vốn cổ phần phổ thông, vì cổ tức ưu đãi được trả trước cổ tức trên vốn cổ phần phổ thông. Tuy nhiên, nó rủi ro hơn nợ vì các khoản thanh toán lãi được thực hiện trước các khoản thanh toán cổ tức ưu đãi. Do đó, trên cơ sở trước thuế, nó phải đòi hỏi chi phí cao hơn nợ và thấp hơn vốn cổ phần.</w:t>
      </w:r>
    </w:p>
    <w:p>
      <w:pPr>
        <w:pStyle w:val="Para 11"/>
      </w:pPr>
      <w:r>
        <w:t/>
        <w:t xml:space="preserve"> </w:t>
      </w:r>
    </w:p>
    <w:p>
      <w:bookmarkStart w:id="1470" w:name="ILLUSTRATION_8_13__Calculating_t"/>
      <w:bookmarkStart w:id="1471" w:name="ILLUSTRATION_8_13__Calculating_t_1"/>
      <w:pPr>
        <w:keepNext/>
        <w:pStyle w:val="Para 19"/>
        <w:keepLines w:val="on"/>
      </w:pPr>
      <w:r>
        <w:t>MINH HỌA 8.13: Tính chi phí cổ phiếu ưu đãi: Ford năm 2011</w:t>
      </w:r>
      <w:bookmarkEnd w:id="1470"/>
      <w:bookmarkEnd w:id="1471"/>
    </w:p>
    <w:p>
      <w:pPr>
        <w:pStyle w:val="Para 04"/>
        <w:keepLines w:val="on"/>
      </w:pPr>
      <w:r>
        <w:t>Vào tháng 4 năm 2011, Ford Motor Company có cổ phiếu ưu đãi trả cổ tức 1,875 đô la hàng năm và được giao dịch ở mức 26,475 đô la mỗi cổ phần. Chi phí cổ phiếu ưu đãi có thể được ước tính như sau:</w:t>
      </w:r>
    </w:p>
    <w:p>
      <w:bookmarkStart w:id="1472" w:name="Cost_of_preferred_stock_Preferre"/>
      <w:pPr>
        <w:keepNext/>
        <w:pStyle w:val="Para 07"/>
        <w:keepLines w:val="on"/>
      </w:pPr>
      <w:r>
        <w:t>Chi phí cổ phiếu ưu đãi = Cổ tức ưu đãi trên mỗi cổ phần / Giá cổ phiếu ưu đãi = 1,875 đô la / 26,475 đô la = 7,08%</w:t>
      </w:r>
      <w:bookmarkEnd w:id="1472"/>
    </w:p>
    <w:p>
      <w:pPr>
        <w:pStyle w:val="Para 04"/>
        <w:keepLines w:val="on"/>
      </w:pPr>
      <w:r>
        <w:t>Đồng thời, chi phí vốn cổ phần của Ford, sử dụng beta ước tính là 1,40, lãi suất phi rủi ro 3,5% và phần bù rủi ro vốn cổ phần 5%, là 10,5%; chi phí nợ trước thuế của nó, dựa trên xếp hạng B+ của S&amp;P, là 8,50%, và chi phí nợ sau thuế của nó là 5,10%. Không có gì đáng ngạc nhiên, cổ phiếu ưu đãi của nó rẻ hơn vốn cổ phần nhưng đắt hơn nhiều so với nợ.</w:t>
      </w:r>
    </w:p>
    <w:p>
      <w:bookmarkStart w:id="1473" w:name="Other_Hybrid_Securities"/>
      <w:bookmarkStart w:id="1474" w:name="Other_Hybrid_Securities__A_conve"/>
      <w:pPr>
        <w:keepNext/>
        <w:pStyle w:val="Heading 4"/>
        <w:keepLines w:val="on"/>
      </w:pPr>
      <w:r>
        <w:t>Các chứng khoán lai khác</w:t>
      </w:r>
      <w:bookmarkEnd w:id="1473"/>
      <w:bookmarkEnd w:id="1474"/>
    </w:p>
    <w:p>
      <w:pPr>
        <w:pStyle w:val="Para 03"/>
      </w:pPr>
      <w:r>
        <w:t>Trái phiếu chuyển đổi là một loại trái phiếu có thể được chuyển đổi thành vốn cổ phần theo lựa chọn của người nắm giữ trái phiếu. Trái phiếu chuyển đổi có thể được xem như một sự kết hợp của một trái phiếu thông thường (nợ) và một quyền chọn chuyển đổi (vốn cổ phần). Thay vì cố gắng tính chi phí của các chứng khoán lai này một cách riêng lẻ, chúng ta có thể chia nhỏ các chứng khoán lai thành các thành phần nợ và vốn cổ phần của chúng và xử lý các thành phần này một cách riêng biệt.</w:t>
      </w:r>
    </w:p>
    <w:p>
      <w:pPr>
        <w:pStyle w:val="Para 11"/>
      </w:pPr>
      <w:r>
        <w:t/>
        <w:t xml:space="preserve"> </w:t>
      </w:r>
    </w:p>
    <w:p>
      <w:bookmarkStart w:id="1476" w:name="ILLUSTRATION_8_14__Breaking_Down"/>
      <w:bookmarkStart w:id="1477" w:name="ILLUSTRATION_8_14__Breaking_Down_1"/>
      <w:pPr>
        <w:keepNext/>
        <w:pStyle w:val="Para 19"/>
        <w:keepLines w:val="on"/>
      </w:pPr>
      <w:r>
        <w:t>MINH HỌA 8.14: Chia nhỏ trái phiếu chuyển đổi thành các thành phần nợ và vốn cổ phần: MGM Resorts</w:t>
      </w:r>
      <w:bookmarkEnd w:id="1476"/>
      <w:bookmarkEnd w:id="1477"/>
    </w:p>
    <w:p>
      <w:pPr>
        <w:pStyle w:val="Para 04"/>
        <w:keepLines w:val="on"/>
      </w:pPr>
      <w:r>
        <w:t>Năm 2010, MGM Resorts, công ty sòng bạc, đã phát hành trái phiếu chuyển đổi kỳ hạn 5 năm với lãi suất coupon 4,25% và thời gian đáo hạn 10 năm. Vì công ty đang thua lỗ, nó được S&amp;P xếp hạng CCC+ và sẽ phải trả 10% nếu phát hành trái phiếu thông thường vào cùng thời điểm. Một năm sau, trái phiếu được giao dịch ở mức giá bằng 112% mệnh giá, và tổng mệnh giá của đợt phát hành trái phiếu chuyển đổi là 1,15 tỷ đô la. Trái phiếu chuyển đổi có thể được chia nhỏ thành các thành phần trái phiếu thông thường và quyền chọn chuyển đổi:</w:t>
      </w:r>
    </w:p>
    <w:p>
      <w:bookmarkStart w:id="1478" w:name="Straight_bond_component_Value_of"/>
      <w:pPr>
        <w:keepNext/>
        <w:pStyle w:val="Para 07"/>
        <w:keepLines w:val="on"/>
      </w:pPr>
      <w:r>
        <w:t>Thành phần trái phiếu thông thường = Giá trị của một trái phiếu thông thường coupon 4,25% đáo hạn trong 4 năm với lãi suất 10% = 818 đô la (giả định coupon hàng năm) Quyền chọn chuyển đổi = Giá trị thị trường của trái phiếu chuyển đổi − Thành phần trái phiếu thông thường = 1.120 đô la − 818 đô la = 302 đô la</w:t>
      </w:r>
      <w:bookmarkEnd w:id="1478"/>
    </w:p>
    <w:p>
      <w:pPr>
        <w:pStyle w:val="Para 04"/>
        <w:keepLines w:val="on"/>
      </w:pPr>
      <w:r>
        <w:t>Thành phần trái phiếu thông thường trị giá 818 đô la được xử lý như nợ, và có cùng chi phí như phần nợ còn lại. Quyền chọn chuyển đổi trị giá 302 đô la được xử lý như vốn cổ phần, với cùng chi phí vốn cổ phần như vốn cổ phần khác do công ty phát hành. Đối với toàn bộ đợt phát hành trái phiếu trị giá 1.150 triệu đô la, với tổng giá trị thị trường là 1.288 triệu đô la, giá trị của nợ là 916 triệu đô la, và giá trị của vốn cổ phần là 372 triệu đô la.</w:t>
      </w:r>
    </w:p>
    <w:p>
      <w:bookmarkStart w:id="1479" w:name="Calculating_the_Weights_of_Debt"/>
      <w:bookmarkStart w:id="1480" w:name="Calculating_the_Weights_of_Debt_1"/>
      <w:pPr>
        <w:keepNext/>
        <w:pStyle w:val="Heading 3"/>
        <w:keepLines w:val="on"/>
      </w:pPr>
      <w:r>
        <w:t>Tính toán trọng số của các thành phần nợ và vốn cổ phần</w:t>
      </w:r>
      <w:bookmarkEnd w:id="1479"/>
      <w:bookmarkEnd w:id="1480"/>
    </w:p>
    <w:p>
      <w:pPr>
        <w:pStyle w:val="Para 03"/>
      </w:pPr>
      <w:r>
        <w:t>Bây giờ chúng ta đã có chi phí của nợ, vốn cổ phần và các chứng khoán lai, chúng ta phải ước tính các trọng số nên được gán cho mỗi loại. Trước khi thảo luận về cách ước tính trọng số tốt nhất, chúng ta định nghĩa những gì chúng ta bao gồm trong nợ. Sau đó, chúng ta lập luận rằng các trọng số được sử dụng nên dựa trên giá trị thị trường chứ không phải giá trị sổ sách. Điều này là vì chi phí vốn đo lường chi phí phát hành chứng khoán—cả cổ phiếu lẫn trái phiếu—để tài trợ cho các dự án, và những chứng khoán này được phát hành theo giá trị thị trường, không phải theo giá trị sổ sách.</w:t>
      </w:r>
    </w:p>
    <w:p>
      <w:bookmarkStart w:id="1481" w:name="What_Is_Debt"/>
      <w:bookmarkStart w:id="1482" w:name="What_Is_Debt___The_answer_to_thi"/>
      <w:pPr>
        <w:keepNext/>
        <w:pStyle w:val="Heading 4"/>
        <w:keepLines w:val="on"/>
      </w:pPr>
      <w:r>
        <w:t>Nợ là gì?</w:t>
      </w:r>
      <w:bookmarkEnd w:id="1481"/>
      <w:bookmarkEnd w:id="1482"/>
    </w:p>
    <w:p>
      <w:pPr>
        <w:pStyle w:val="Para 03"/>
      </w:pPr>
      <w:r>
        <w:t>Câu trả lời cho câu hỏi này có vẻ hiển nhiên vì bảng cân đối kế toán của một công ty cho thấy các khoản nợ phải trả chưa thanh toán của công ty. Tuy nhiên, có những hạn chế khi sử dụng các khoản nợ phải trả này như nợ trong tính toán chi phí vốn. Thứ nhất là một số khoản nợ phải trả trên bảng cân đối kế toán của công ty, chẳng hạn như các khoản phải trả cho nhà cung cấp và tín dụng nhà cung cấp, không chịu lãi. Do đó, việc áp dụng chi phí nợ sau thuế cho những khoản mục này có thể đưa ra một cái nhìn sai lệch về chi phí vốn thực sự của một công ty. Thứ hai là có những khoản mục ngoài bảng cân đối kế toán tạo ra các cam kết cố định cho công ty, và cung cấp các khoản khấu trừ thuế giống như các khoản thanh toán lãi trên nợ. Cho đến năm 2019, khoản mục ngoài bảng cân đối kế toán nổi bật nhất trong số này là các hợp đồng thuê hoạt động. Chương 3 đã so sánh thuê hoạt động và thuê vốn và lưu ý rằng thuê hoạt động được xử lý như chi phí hoạt động thay vì chi phí tài chính. Tuy nhiên, hãy xem xét một hợp đồng thuê hoạt động bao gồm những gì. Một công ty bán lẻ thuê một không gian cửa hàng trong 12 năm và ký một thỏa thuận thuê với chủ sở hữu không gian đó, đồng ý trả một khoản tiền cố định mỗi năm trong khoảng thời gian đó. Chúng ta không thấy nhiều khác biệt giữa cam kết này và việc vay tiền từ ngân hàng, và đồng ý trả khoản vay ngân hàng trong 12 năm bằng các khoản trả góp hàng năm bằng nhau.</w:t>
      </w:r>
    </w:p>
    <w:p>
      <w:pPr>
        <w:pStyle w:val="Para 03"/>
      </w:pPr>
      <w:r>
        <w:t>Năm 2019, cả các nguyên tắc kế toán được chấp nhận chung (GAAP) và các chuẩn mực báo cáo tài chính quốc tế (IFRS) đều đồng ý với kết luận này, và các hợp đồng thuê hiện được vốn hóa và xử lý như nợ trên bảng cân đối kế toán.</w:t>
      </w:r>
    </w:p>
    <w:p>
      <w:pPr>
        <w:pStyle w:val="Para 03"/>
      </w:pPr>
      <w:r>
        <w:t>Do đó, có hai điều chỉnh chúng ta sẽ thực hiện khi ước tính một công ty có bao nhiêu nợ chưa thanh toán.</w:t>
      </w:r>
    </w:p>
    <w:p>
      <w:pPr>
        <w:numPr>
          <w:ilvl w:val="0"/>
          <w:numId w:val="67"/>
        </w:numPr>
        <w:pStyle w:val="Para 01"/>
      </w:pPr>
      <w:r>
        <w:t>Chúng ta sẽ chỉ xem xét nợ chịu lãi thay vì tất cả các khoản nợ phải trả. Chúng ta sẽ bao gồm cả các khoản vay ngắn hạn và dài hạn trong nợ.</w:t>
      </w:r>
    </w:p>
    <w:p>
      <w:pPr>
        <w:numPr>
          <w:ilvl w:val="0"/>
          <w:numId w:val="67"/>
        </w:numPr>
        <w:pStyle w:val="Para 01"/>
      </w:pPr>
      <w:r>
        <w:t>Nếu các hợp đồng thuê được kế toán viên xử lý như nợ, chúng ta sẽ tính chúng vào tổng nợ. Nếu không, chúng ta sẽ vốn hóa các hợp đồng thuê và xử lý chúng như nợ.</w:t>
      </w:r>
    </w:p>
    <w:p>
      <w:bookmarkStart w:id="1484" w:name="Capitalizing_Operating_Leases__C"/>
      <w:bookmarkStart w:id="1485" w:name="Capitalizing_Operating_Leases"/>
      <w:pPr>
        <w:keepNext/>
        <w:pStyle w:val="Heading 4"/>
        <w:keepLines w:val="on"/>
      </w:pPr>
      <w:r>
        <w:t>Vốn hóa các hợp đồng thuê hoạt động</w:t>
      </w:r>
      <w:bookmarkEnd w:id="1484"/>
      <w:bookmarkEnd w:id="1485"/>
    </w:p>
    <w:p>
      <w:pPr>
        <w:pStyle w:val="Para 03"/>
      </w:pPr>
      <w:r>
        <w:t>Việc chuyển đổi chi phí thuê hoạt động thành một khoản tương đương nợ là khá đơn giản. Các cam kết thuê hoạt động trong những năm tới, được tiết lộ trong phần chú thích của báo cáo tài chính đối với các công ty Hoa Kỳ, nên được chiết khấu trở lại theo một tỷ lệ phản ánh tình trạng của chúng như nợ không có bảo đảm và rủi ro. Như một cách xấp xỉ, việc sử dụng chi phí đi vay trước thuế hiện tại của công ty làm tỷ lệ chiết khấu mang lại một ước tính tốt về giá trị của các hợp đồng thuê hoạt động. Vẫn còn một số quốc gia nơi các công ty không phải tiết lộ các cam kết thuê hoạt động của họ cho nhà đầu tư. Khi trường hợp này xảy ra, bạn có thể có được một ước tính khá gần về giá trị nợ của các hợp đồng thuê hoạt động bằng cách ước tính giá trị hiện tại của một niên kim bằng với khoản thanh toán của năm hiện tại trong một khoảng thời gian phản ánh thời hạn thuê điển hình (8–10 năm).</w:t>
      </w:r>
    </w:p>
    <w:p>
      <w:pPr>
        <w:pStyle w:val="Para 03"/>
      </w:pPr>
      <w:r>
        <w:t>Có một vấn đề cuối cùng liên quan đến vốn hóa. Trước đó trong chương này, đã nêu rằng tỷ lệ bao phủ lãi có thể được sử dụng để ước tính xếp hạng tổng hợp cho một công ty không được xếp hạng. Đối với các công ty có ít nợ thông thường và nhiều hợp đồng thuê hoạt động đáng kể, tỷ lệ bao phủ lãi được sử dụng để ước tính xếp hạng tổng hợp phải được điều chỉnh để bao gồm chi phí thuê hoạt động.</w:t>
      </w:r>
    </w:p>
    <w:p>
      <w:bookmarkStart w:id="1486" w:name="Modified_interest_coverage_ratio"/>
      <w:pPr>
        <w:keepNext/>
        <w:pStyle w:val="Para 09"/>
        <w:keepLines w:val="on"/>
      </w:pPr>
      <w:r>
        <w:t>Tỷ lệ bao phủ lãi điều chỉnh = EBIT + Chi phí thuê hoạt động của năm hiện tại Chi phí lãi + Chi phí thuê hoạt động của năm hiện tại</w:t>
      </w:r>
      <w:bookmarkEnd w:id="1486"/>
    </w:p>
    <w:p>
      <w:pPr>
        <w:pStyle w:val="Para 03"/>
      </w:pPr>
      <w:r>
        <w:t>Tỷ lệ này sau đó có thể được sử dụng kết hợp với Bảng 8.1 và 8.2 để ước tính xếp hạng tổng hợp.</w:t>
      </w:r>
    </w:p>
    <w:p>
      <w:pPr>
        <w:pStyle w:val="Para 03"/>
      </w:pPr>
      <w:r>
        <w:t>Bắt đầu từ năm 2019, cả IFRS và GAAP đều đã thay đổi các quy định về thuê tài sản (lease), yêu cầu các công ty phải vốn hóa (capitalize) mọi khoản thuê và thể hiện chúng như nợ. Như với mọi quy tắc kế toán, vẫn tồn tại những lỗ hổng và phần chưa hoàn chỉnh, nhưng ở những công ty tuân theo các quy định mới, nhu cầu chuyển đổi thuê tài sản thành nợ sẽ ít hơn nhiều.</w:t>
      </w:r>
    </w:p>
    <w:p>
      <w:pPr>
        <w:pStyle w:val="Para 11"/>
      </w:pPr>
      <w:r>
        <w:t/>
        <w:t xml:space="preserve"> </w:t>
      </w:r>
    </w:p>
    <w:p>
      <w:bookmarkStart w:id="1487" w:name="ILLUSTRATION_8_15__The_Debt_Valu_1"/>
      <w:bookmarkStart w:id="1488" w:name="ILLUSTRATION_8_15__The_Debt_Valu"/>
      <w:pPr>
        <w:keepNext/>
        <w:pStyle w:val="Para 19"/>
        <w:keepLines w:val="on"/>
      </w:pPr>
      <w:r>
        <w:t>MINH HỌA 8.15: Giá trị nợ của các hợp đồng thuê hoạt động (operating lease): Microsoft vào tháng 12 năm 2000 so với tháng 4 năm 2023</w:t>
      </w:r>
      <w:bookmarkEnd w:id="1487"/>
      <w:bookmarkEnd w:id="1488"/>
    </w:p>
    <w:p>
      <w:pPr>
        <w:pStyle w:val="Para 04"/>
        <w:keepLines w:val="on"/>
      </w:pPr>
      <w:r>
        <w:t>Microsoft có cả nợ thông thường lẫn các cam kết thuê hoạt động, và vào năm 2000, các khoản thuê hoạt động này không được coi là nợ. Minh họa này ước tính "giá trị nợ" (debt value) của các hợp đồng thuê hoạt động của Microsoft bằng cách lấy giá trị hiện tại (present value) của chi phí thuê hoạt động theo thời gian. Để tính giá trị hiện tại của các hợp đồng thuê hoạt động trong Bảng 8.7 (tính bằng triệu đô la), chúng ta sử dụng chi phí đi vay trước thuế (pretax cost of borrowing) của công ty, ước tính là 6%:</w:t>
      </w:r>
    </w:p>
    <w:p>
      <w:pPr>
        <w:pStyle w:val="Para 25"/>
        <w:keepLines w:val="on"/>
      </w:pPr>
      <w:r>
        <w:t>Bảng 8.7</w:t>
      </w:r>
    </w:p>
    <w:p>
      <w:pPr>
        <w:keepNext/>
        <w:pStyle w:val="Para 24"/>
        <w:keepLines w:val="on"/>
      </w:pPr>
      <w:r>
        <w:t>Vốn hóa các hợp đồng thuê tại Microsoft năm 2000</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Chi phí thuê hoạt động</w:t>
                  </w:r>
                </w:p>
              </w:tc>
              <w:tc>
                <w:tcPr>
                  <w:tcW w:type="auto" w:w="0"/>
                  <w:shd w:val="clear" w:color="auto" w:fill="F0F0F0"/>
                </w:tcPr>
                <w:p>
                  <w:pPr>
                    <w:pStyle w:val="Para 05"/>
                    <w:keepLines w:val="on"/>
                  </w:pPr>
                  <w:r>
                    <w:t>Giá trị hiện tại ở mức 6%</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$205</w:t>
                  </w:r>
                </w:p>
              </w:tc>
              <w:tc>
                <w:tcPr>
                  <w:tcW w:type="auto" w:w="0"/>
                  <w:shd w:val="clear" w:color="auto" w:fill="F0F0F0"/>
                </w:tcPr>
                <w:p>
                  <w:pPr>
                    <w:pStyle w:val="Normal"/>
                    <w:keepLines w:val="on"/>
                  </w:pPr>
                  <w:r>
                    <w:t>$193,40</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$167</w:t>
                  </w:r>
                </w:p>
              </w:tc>
              <w:tc>
                <w:tcPr>
                  <w:tcW w:type="auto" w:w="0"/>
                  <w:shd w:val="clear" w:color="auto" w:fill="F0F0F0"/>
                </w:tcPr>
                <w:p>
                  <w:pPr>
                    <w:pStyle w:val="Normal"/>
                    <w:keepLines w:val="on"/>
                  </w:pPr>
                  <w:r>
                    <w:t>$146,83</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$120</w:t>
                  </w:r>
                </w:p>
              </w:tc>
              <w:tc>
                <w:tcPr>
                  <w:tcW w:type="auto" w:w="0"/>
                  <w:shd w:val="clear" w:color="auto" w:fill="F0F0F0"/>
                </w:tcPr>
                <w:p>
                  <w:pPr>
                    <w:pStyle w:val="Normal"/>
                    <w:keepLines w:val="on"/>
                  </w:pPr>
                  <w:r>
                    <w:t>$100,75</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$86</w:t>
                  </w:r>
                </w:p>
              </w:tc>
              <w:tc>
                <w:tcPr>
                  <w:tcW w:type="auto" w:w="0"/>
                  <w:shd w:val="clear" w:color="auto" w:fill="F0F0F0"/>
                </w:tcPr>
                <w:p>
                  <w:pPr>
                    <w:pStyle w:val="Normal"/>
                    <w:keepLines w:val="on"/>
                  </w:pPr>
                  <w:r>
                    <w:t>$68,12</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$61</w:t>
                  </w:r>
                </w:p>
              </w:tc>
              <w:tc>
                <w:tcPr>
                  <w:tcW w:type="auto" w:w="0"/>
                  <w:shd w:val="clear" w:color="auto" w:fill="F0F0F0"/>
                </w:tcPr>
                <w:p>
                  <w:pPr>
                    <w:pStyle w:val="Normal"/>
                    <w:keepLines w:val="on"/>
                  </w:pPr>
                  <w:r>
                    <w:t>$45,58</w:t>
                  </w:r>
                </w:p>
              </w:tc>
            </w:tr>
            <w:tr>
              <w:tc>
                <w:tcPr>
                  <w:tcW w:type="auto" w:w="0"/>
                  <w:shd w:val="clear" w:color="auto" w:fill="F0F0F0"/>
                </w:tcPr>
                <w:p>
                  <w:pPr>
                    <w:pStyle w:val="Normal"/>
                    <w:keepLines w:val="on"/>
                  </w:pPr>
                  <w:r>
                    <w:t>6–15</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$0.00</w:t>
                  </w:r>
                </w:p>
              </w:tc>
            </w:tr>
            <w:tr>
              <w:tc>
                <w:tcPr>
                  <w:tcW w:type="auto" w:w="0"/>
                  <w:shd w:val="clear" w:color="auto" w:fill="F0F0F0"/>
                  <w:hMerge w:val="restart"/>
                </w:tcPr>
                <w:p>
                  <w:pPr>
                    <w:pStyle w:val="Normal"/>
                    <w:keepLines w:val="on"/>
                  </w:pPr>
                  <w:r>
                    <w:t>Giá trị hiện tại của chi phí thuê hoạt động</w:t>
                  </w:r>
                </w:p>
              </w:tc>
              <w:tc>
                <w:tcPr>
                  <w:hMerge w:val="continue"/>
                </w:tcPr>
                <w:p/>
              </w:tc>
              <w:tc>
                <w:tcPr>
                  <w:tcW w:type="auto" w:w="0"/>
                  <w:shd w:val="clear" w:color="auto" w:fill="F0F0F0"/>
                </w:tcPr>
                <w:p>
                  <w:pPr>
                    <w:pStyle w:val="Normal"/>
                    <w:keepLines w:val="on"/>
                  </w:pPr>
                  <w:r>
                    <w:t>$556,48</w:t>
                  </w:r>
                </w:p>
              </w:tc>
            </w:tr>
          </w:tbl>
          <w:p/>
        </w:tc>
      </w:tr>
    </w:tbl>
    <w:p>
      <w:pPr>
        <w:pStyle w:val="Para 03"/>
      </w:pPr>
      <w:r>
        <w:t>Như vậy, Microsoft có thêm 556 triệu đô la nợ so với mức được báo cáo trên bảng cân đối kế toán vào đầu năm 2000, vì các kế toán viên đã bỏ qua thuê hoạt động (operating leases) vào năm 2000.</w:t>
      </w:r>
    </w:p>
    <w:p>
      <w:pPr>
        <w:pStyle w:val="Para 03"/>
      </w:pPr>
      <w:r>
        <w:t>Để thấy rõ sự tương phản về cách các quy tắc kế toán đã thay đổi trong việc xử lý nợ, bảng cân đối kế toán năm 2023 của Microsoft bao gồm nợ thuê là 37.139 triệu đô la, với 4.478 triệu đô la đến hạn trong năm tới và phần còn lại được thể hiện là nợ thuê dài hạn. Trong khoản nợ thuê này bao gồm cả thuê hoạt động và thuê tài chính, với các kế toán viên chiết khấu các nghĩa vụ thuê theo hợp đồng trong những năm tương lai về hiện tại theo chi phí nợ trước thuế của Microsoft.</w:t>
      </w:r>
    </w:p>
    <w:p>
      <w:pPr>
        <w:pStyle w:val="Para 11"/>
      </w:pPr>
      <w:r>
        <w:t/>
        <w:t xml:space="preserve"> </w:t>
      </w:r>
    </w:p>
    <w:p>
      <w:bookmarkStart w:id="1491" w:name="oplease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83"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1491"/>
    </w:p>
    <w:p>
      <w:pPr>
        <w:pStyle w:val="Para 31"/>
        <w:keepLines w:val="on"/>
      </w:pPr>
      <w:r>
        <w:t>oplease.xls: Bảng tính này cho phép bạn chuyển đổi chi phí thuê hoạt động thành</w:t>
      </w:r>
    </w:p>
    <w:p>
      <w:pPr>
        <w:pStyle w:val="Para 67"/>
        <w:keepLines w:val="on"/>
      </w:pPr>
      <w:r>
        <w:t>nợ.</w:t>
      </w:r>
    </w:p>
    <w:p>
      <w:bookmarkStart w:id="1492" w:name="Book_Value__BV__versus_Market_Va"/>
      <w:bookmarkStart w:id="1493" w:name="Book_Value__BV__versus_Market_Va_1"/>
      <w:pPr>
        <w:keepNext/>
        <w:pStyle w:val="Heading 4"/>
        <w:keepLines w:val="on"/>
      </w:pPr>
      <w:r>
        <w:t>Tỷ lệ nợ theo Giá trị sổ sách (BV) so với Giá trị thị trường (MV)</w:t>
      </w:r>
      <w:bookmarkEnd w:id="1492"/>
      <w:bookmarkEnd w:id="1493"/>
    </w:p>
    <w:p>
      <w:pPr>
        <w:pStyle w:val="Para 03"/>
      </w:pPr>
      <w:r>
        <w:t>Có ba lập luận tiêu chuẩn chống lại việc sử dụng giá trị thị trường, và không có lập luận nào thuyết phục. Thứ nhất, có một số nhà quản lý tài chính lập luận rằng giá trị sổ sách đáng tin cậy hơn giá trị thị trường vì nó ít biến động hơn. Mặc dù đúng là giá trị sổ sách không thay đổi nhiều như giá trị thị trường, nhưng điều này phản ánh điểm yếu hơn là điểm mạnh của giá trị sổ sách, vì giá trị thực của doanh nghiệp thay đổi theo thời gian khi cả thông tin riêng của doanh nghiệp lẫn thông tin thị trường được tiết lộ. Chúng tôi cho rằng giá trị thị trường, với tính biến động của nó, phản ánh giá trị thực tốt hơn nhiều so với giá trị sổ sách.12</w:t>
      </w:r>
    </w:p>
    <w:p>
      <w:pPr>
        <w:pStyle w:val="Para 03"/>
      </w:pPr>
      <w:r>
        <w:t>Thứ hai, những người bảo vệ giá trị sổ sách cũng cho rằng sử dụng giá trị sổ sách thay vì giá trị thị trường là một cách tiếp cận thận trọng hơn để ước tính tỷ lệ nợ. Điều này giả định rằng tỷ lệ nợ theo giá trị thị trường luôn thấp hơn tỷ lệ nợ theo giá trị sổ sách, một giả định không dựa trên thực tế. Hơn nữa, ngay cả khi tỷ lệ nợ theo giá trị thị trường thấp hơn tỷ lệ theo giá trị sổ sách, chi phí vốn được tính bằng tỷ lệ theo giá trị sổ sách sẽ thấp hơn chi phí vốn được tính bằng tỷ lệ theo giá trị thị trường, khiến nó trở thành một ước tính kém thận trọng hơn, chứ không phải thận trọng hơn. Để minh họa điểm này, giả sử tỷ lệ nợ theo giá trị thị trường là 10 phần trăm, trong khi tỷ lệ nợ theo giá trị sổ sách là 30 phần trăm, đối với một doanh nghiệp có chi phí vốn chủ sở hữu là 15 phần trăm và chi phí nợ sau thuế là 5 phần trăm. Chi phí vốn có thể được tính như sau:</w:t>
      </w:r>
    </w:p>
    <w:p>
      <w:bookmarkStart w:id="1495" w:name="With_market_value_debt_ratios_15"/>
      <w:pPr>
        <w:keepNext/>
        <w:pStyle w:val="Para 09"/>
        <w:keepLines w:val="on"/>
      </w:pPr>
      <w:r>
        <w:t>Với tỷ lệ nợ theo giá trị thị trường:15%×(.9)+5%×(.1)=14%Với tỷ lệ nợ theo giá trị sổ sách:15%×(.7)+5%×(.3)=12%</w:t>
      </w:r>
      <w:bookmarkEnd w:id="1495"/>
    </w:p>
    <w:p>
      <w:pPr>
        <w:pStyle w:val="Para 03"/>
      </w:pPr>
      <w:r>
        <w:t>Thứ ba, người ta cho rằng các tổ chức cho vay sẽ không cho vay dựa trên giá trị thị trường, nhưng lập luận này một lần nữa dường như dựa trên nhận thức hơn là thực tế. Bất kỳ chủ nhà nào đã thế chấp lần hai một ngôi nhà đã tăng giá trị đều biết rằng các tổ chức cho vay thực sự cho vay dựa trên giá trị thị trường. Tuy nhiên, đúng là mức độ biến động được nhận thức càng lớn trong giá trị thị trường của một tài sản thì tiềm năng vay trên tài sản đó càng thấp.</w:t>
      </w:r>
    </w:p>
    <w:p>
      <w:bookmarkStart w:id="1497" w:name="Estimating_the_Market_Values_of"/>
      <w:bookmarkStart w:id="1498" w:name="Estimating_the_Market_Values_of_1"/>
      <w:pPr>
        <w:keepNext/>
        <w:pStyle w:val="Heading 4"/>
        <w:keepLines w:val="on"/>
      </w:pPr>
      <w:r>
        <w:t>Ước tính Giá trị Thị trường của Vốn chủ sở hữu và Nợ</w:t>
      </w:r>
      <w:bookmarkEnd w:id="1497"/>
      <w:bookmarkEnd w:id="1498"/>
    </w:p>
    <w:p>
      <w:pPr>
        <w:pStyle w:val="Para 03"/>
      </w:pPr>
      <w:r>
        <w:t>Giá trị thị trường của vốn chủ sở hữu nói chung là số cổ phiếu đang lưu hành nhân với giá cổ phiếu hiện tại. Nếu có các quyền đòi vốn chủ sở hữu khác trong doanh nghiệp như chứng quyền (warrants) và quyền chọn cho ban quản lý (management options), thì những thứ này cũng nên được định giá và cộng vào giá trị vốn chủ sở hữu của doanh nghiệp.</w:t>
      </w:r>
    </w:p>
    <w:p>
      <w:pPr>
        <w:pStyle w:val="Para 03"/>
      </w:pPr>
      <w:r>
        <w:t>Giá trị thị trường của nợ thường khó có được trực tiếp hơn, vì rất ít doanh nghiệp có toàn bộ nợ của mình dưới dạng trái phiếu đang lưu hành và giao dịch trên thị trường. Nhiều doanh nghiệp có nợ không giao dịch, chẳng hạn như nợ ngân hàng, được xác định theo giá trị sổ sách nhưng không theo giá trị thị trường. Một cách đơn giản để chuyển đổi nợ theo giá trị sổ sách thành nợ theo giá trị thị trường là coi toàn bộ nợ trên sổ sách như một trái phiếu coupon, với coupon được đặt bằng chi phí lãi vay trên toàn bộ nợ và kỳ đáo hạn được đặt bằng kỳ đáo hạn bình quân gia quyền theo mệnh giá của nợ, rồi định giá trái phiếu coupon này theo chi phí nợ hiện tại của công ty. Như vậy, giá trị thị trường của 1 tỷ đô la nợ, với chi phí lãi vay là 60 triệu đô la (hàng năm) và kỳ đáo hạn là sáu năm, khi chi phí nợ hiện tại là 7,5 phần trăm, có thể được ước tính như sau:</w:t>
      </w:r>
    </w:p>
    <w:p>
      <w:bookmarkStart w:id="1499" w:name="Market_value_of_debt_PV_of_inter"/>
      <w:pPr>
        <w:keepNext/>
        <w:pStyle w:val="Para 09"/>
        <w:keepLines w:val="on"/>
      </w:pPr>
      <w:r>
        <w:t>Giá trị thị trường của nợ=PV của các khoản thanh toán lãi+PV của mệnh giá=60 [(1−11.0756).075]+10001.0756=$929,59</w:t>
      </w:r>
      <w:bookmarkEnd w:id="1499"/>
    </w:p>
    <w:p>
      <w:pPr>
        <w:pStyle w:val="Para 03"/>
      </w:pPr>
      <w:r>
        <w:t>Khoản nợ này có giá trị thị trường xấp xỉ 930 triệu đô la, với mức chiết khấu đến từ thực tế rằng lãi suất sổ sách tại doanh nghiệp này (6%) thấp hơn lãi suất thị trường 7,5%.</w:t>
      </w:r>
    </w:p>
    <w:p>
      <w:pPr>
        <w:pStyle w:val="Para 11"/>
      </w:pPr>
      <w:r>
        <w:t/>
        <w:t xml:space="preserve"> </w:t>
      </w:r>
    </w:p>
    <w:p>
      <w:bookmarkStart w:id="1500" w:name="ILLUSTRATION_8_16__Difference_be_1"/>
      <w:bookmarkStart w:id="1501" w:name="ILLUSTRATION_8_16__Difference_be"/>
      <w:pPr>
        <w:keepNext/>
        <w:pStyle w:val="Para 19"/>
        <w:keepLines w:val="on"/>
      </w:pPr>
      <w:r>
        <w:t>MINH HỌA 8.16: Sự khác biệt giữa Tỷ lệ Nợ theo Giá trị Thị trường và Giá trị Sổ sách: Microsoft vào tháng 4 năm 2024</w:t>
      </w:r>
      <w:bookmarkEnd w:id="1500"/>
      <w:bookmarkEnd w:id="1501"/>
    </w:p>
    <w:p>
      <w:pPr>
        <w:pStyle w:val="Para 04"/>
        <w:keepLines w:val="on"/>
      </w:pPr>
      <w:r>
        <w:t>Minh họa này đối chiếu giá trị sổ sách của nợ và vốn chủ sở hữu với giá trị thị trường. Giá trị sổ sách của nợ tại Microsoft trong bảng cân đối kế toán năm 2023 là 111.358 triệu đô la, và phần lớn trong đó không được giao dịch. Vì đây là trường hợp của nhiều doanh nghiệp có nợ đang lưu hành, nên không hiếm khi các nhà phân tích giả định rằng giá trị sổ sách của nợ là một đại diện hợp lý cho giá trị thị trường của nợ:</w:t>
      </w:r>
    </w:p>
    <w:p>
      <w:bookmarkStart w:id="1503" w:name="Total_debt_due_at_Microsoft__111"/>
      <w:pPr>
        <w:keepNext/>
        <w:pStyle w:val="Para 07"/>
        <w:keepLines w:val="on"/>
      </w:pPr>
      <w:r>
        <w:t>Tổng nợ đến hạn tại Microsoft=$111.358 triệu</w:t>
      </w:r>
      <w:bookmarkEnd w:id="1503"/>
    </w:p>
    <w:p>
      <w:pPr>
        <w:pStyle w:val="Para 04"/>
        <w:keepLines w:val="on"/>
      </w:pPr>
      <w:r>
        <w:t>Mặc dù đó không phải là một giả định tồi, sẽ có những công ty mà giá trị thị trường của nợ có thể lệch khỏi giá trị sổ sách, với nguyên nhân là lãi suất và chênh lệch rủi ro vỡ nợ (default spreads) thay đổi nhanh chóng. Có một cách tắt mà bạn có thể sử dụng để chuyển đổi giá trị sổ sách của nợ thành giá trị thị trường, ít nhất là theo các thuật ngữ gần đúng, bằng cách sử dụng giá trị sổ sách của nợ, chi phí lãi vay trên nợ, kỳ đáo hạn bình quân của nợ, và chi phí nợ trước thuế của mỗi doanh nghiệp. Đối với Microsoft, giá trị sổ sách của nợ là 111.358 triệu đô la, chi phí lãi vay trên nợ là 2.461 triệu đô la, kỳ đáo hạn bình quân của nợ là khoảng 5,69 năm, và chi phí nợ trước thuế là 5,09%. Giá trị thị trường ước tính là:</w:t>
      </w:r>
    </w:p>
    <w:p>
      <w:bookmarkStart w:id="1504" w:name="Market_value_of_Microsoft_s_debt"/>
      <w:pPr>
        <w:keepNext/>
        <w:pStyle w:val="Para 07"/>
        <w:keepLines w:val="on"/>
      </w:pPr>
      <w:r>
        <w:t>Giá trị thị trường của nợ Microsoft=PV của các khoản thanh toán lãi+PV của mệnh giá=2461 [(1−11.05095.69).0509]+ 111,3581.05095.69=$95.852 triệu</w:t>
      </w:r>
      <w:bookmarkEnd w:id="1504"/>
    </w:p>
    <w:p>
      <w:pPr>
        <w:pStyle w:val="Para 04"/>
        <w:keepLines w:val="on"/>
      </w:pPr>
      <w:r>
        <w:t>Giá trị sổ sách của vốn chủ sở hữu tại Microsoft là 238 tỷ đô la trong khi giá trị thị trường của vốn chủ sở hữu là 3.023 tỷ đô la. Tỷ lệ nợ theo giá trị thị trường và giá trị sổ sách được tính như sau:</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Sổ sách</w:t>
                  </w:r>
                </w:p>
              </w:tc>
              <w:tc>
                <w:tcPr>
                  <w:tcW w:type="auto" w:w="0"/>
                  <w:shd w:val="clear" w:color="auto" w:fill="F0F0F0"/>
                </w:tcPr>
                <w:p>
                  <w:pPr>
                    <w:pStyle w:val="Para 05"/>
                    <w:keepLines w:val="on"/>
                  </w:pPr>
                  <w:r>
                    <w:t>Thị trường</w:t>
                  </w:r>
                </w:p>
              </w:tc>
            </w:tr>
            <w:tr>
              <w:tc>
                <w:tcPr>
                  <w:tcW w:type="auto" w:w="0"/>
                  <w:shd w:val="clear" w:color="auto" w:fill="F0F0F0"/>
                </w:tcPr>
                <w:p>
                  <w:pPr>
                    <w:pStyle w:val="Para 02"/>
                    <w:keepLines w:val="on"/>
                  </w:pPr>
                  <w:r>
                    <w:t>Vốn chủ sở hữu ($ triệu)</w:t>
                  </w:r>
                </w:p>
              </w:tc>
              <w:tc>
                <w:tcPr>
                  <w:tcW w:type="auto" w:w="0"/>
                  <w:shd w:val="clear" w:color="auto" w:fill="F0F0F0"/>
                </w:tcPr>
                <w:p>
                  <w:pPr>
                    <w:pStyle w:val="Normal"/>
                    <w:keepLines w:val="on"/>
                  </w:pPr>
                  <w:r>
                    <w:t>$238.268</w:t>
                  </w:r>
                </w:p>
              </w:tc>
              <w:tc>
                <w:tcPr>
                  <w:tcW w:type="auto" w:w="0"/>
                  <w:shd w:val="clear" w:color="auto" w:fill="F0F0F0"/>
                </w:tcPr>
                <w:p>
                  <w:pPr>
                    <w:pStyle w:val="Normal"/>
                    <w:keepLines w:val="on"/>
                  </w:pPr>
                  <w:r>
                    <w:t>$3.023.000</w:t>
                  </w:r>
                </w:p>
              </w:tc>
            </w:tr>
            <w:tr>
              <w:tc>
                <w:tcPr>
                  <w:tcW w:type="auto" w:w="0"/>
                  <w:shd w:val="clear" w:color="auto" w:fill="F0F0F0"/>
                </w:tcPr>
                <w:p>
                  <w:pPr>
                    <w:pStyle w:val="Para 02"/>
                    <w:keepLines w:val="on"/>
                  </w:pPr>
                  <w:r>
                    <w:t>Tổng nợ ($ triệu)</w:t>
                  </w:r>
                </w:p>
              </w:tc>
              <w:tc>
                <w:tcPr>
                  <w:tcW w:type="auto" w:w="0"/>
                  <w:shd w:val="clear" w:color="auto" w:fill="F0F0F0"/>
                </w:tcPr>
                <w:p>
                  <w:pPr>
                    <w:pStyle w:val="Normal"/>
                    <w:keepLines w:val="on"/>
                  </w:pPr>
                  <w:r>
                    <w:t>$111.358</w:t>
                  </w:r>
                </w:p>
              </w:tc>
              <w:tc>
                <w:tcPr>
                  <w:tcW w:type="auto" w:w="0"/>
                  <w:shd w:val="clear" w:color="auto" w:fill="F0F0F0"/>
                </w:tcPr>
                <w:p>
                  <w:pPr>
                    <w:pStyle w:val="Normal"/>
                    <w:keepLines w:val="on"/>
                  </w:pPr>
                  <w:r>
                    <w:t>$95.852</w:t>
                  </w:r>
                </w:p>
              </w:tc>
            </w:tr>
            <w:tr>
              <w:tc>
                <w:tcPr>
                  <w:tcW w:type="auto" w:w="0"/>
                  <w:shd w:val="clear" w:color="auto" w:fill="F0F0F0"/>
                </w:tcPr>
                <w:p>
                  <w:pPr>
                    <w:pStyle w:val="Para 02"/>
                    <w:keepLines w:val="on"/>
                  </w:pPr>
                  <w:r>
                    <w:t>Nợ trên vốn chủ sở hữu</w:t>
                  </w:r>
                </w:p>
              </w:tc>
              <w:tc>
                <w:tcPr>
                  <w:tcW w:type="auto" w:w="0"/>
                  <w:shd w:val="clear" w:color="auto" w:fill="F0F0F0"/>
                </w:tcPr>
                <w:p>
                  <w:pPr>
                    <w:pStyle w:val="Normal"/>
                    <w:keepLines w:val="on"/>
                  </w:pPr>
                  <w:r>
                    <w:t>46,74%</w:t>
                  </w:r>
                </w:p>
              </w:tc>
              <w:tc>
                <w:tcPr>
                  <w:tcW w:type="auto" w:w="0"/>
                  <w:shd w:val="clear" w:color="auto" w:fill="F0F0F0"/>
                </w:tcPr>
                <w:p>
                  <w:pPr>
                    <w:pStyle w:val="Normal"/>
                    <w:keepLines w:val="on"/>
                  </w:pPr>
                  <w:r>
                    <w:t>3,17%</w:t>
                  </w:r>
                </w:p>
              </w:tc>
            </w:tr>
            <w:tr>
              <w:tc>
                <w:tcPr>
                  <w:tcW w:type="auto" w:w="0"/>
                  <w:shd w:val="clear" w:color="auto" w:fill="F0F0F0"/>
                </w:tcPr>
                <w:p>
                  <w:pPr>
                    <w:pStyle w:val="Para 02"/>
                    <w:keepLines w:val="on"/>
                  </w:pPr>
                  <w:r>
                    <w:t>Nợ trên vốn</w:t>
                  </w:r>
                </w:p>
              </w:tc>
              <w:tc>
                <w:tcPr>
                  <w:tcW w:type="auto" w:w="0"/>
                  <w:shd w:val="clear" w:color="auto" w:fill="F0F0F0"/>
                </w:tcPr>
                <w:p>
                  <w:pPr>
                    <w:pStyle w:val="Normal"/>
                    <w:keepLines w:val="on"/>
                  </w:pPr>
                  <w:r>
                    <w:t>31,85%</w:t>
                  </w:r>
                </w:p>
              </w:tc>
              <w:tc>
                <w:tcPr>
                  <w:tcW w:type="auto" w:w="0"/>
                  <w:shd w:val="clear" w:color="auto" w:fill="F0F0F0"/>
                </w:tcPr>
                <w:p>
                  <w:pPr>
                    <w:pStyle w:val="Normal"/>
                    <w:keepLines w:val="on"/>
                  </w:pPr>
                  <w:r>
                    <w:t>3,07%</w:t>
                  </w:r>
                </w:p>
              </w:tc>
            </w:tr>
          </w:tbl>
          <w:p/>
        </w:tc>
      </w:tr>
    </w:tbl>
    <w:p>
      <w:pPr>
        <w:pStyle w:val="Para 04"/>
        <w:keepLines w:val="on"/>
      </w:pPr>
      <w:r>
        <w:t>Tỷ lệ nợ theo giá thị trường thấp hơn đáng kể so với tỷ lệ nợ theo giá sổ sách.</w:t>
      </w:r>
    </w:p>
    <w:p>
      <w:pPr>
        <w:pStyle w:val="Para 11"/>
      </w:pPr>
      <w:r>
        <w:t/>
        <w:t xml:space="preserve"> </w:t>
      </w:r>
    </w:p>
    <w:p>
      <w:bookmarkStart w:id="1506" w:name="Gross_Debt_Versus_Net_Debt"/>
      <w:bookmarkStart w:id="1507" w:name="Gross_Debt_Versus_Net_Debt_Gross"/>
      <w:pPr>
        <w:keepNext/>
        <w:pStyle w:val="Para 27"/>
        <w:keepLines w:val="on"/>
      </w:pPr>
      <w:r>
        <w:t>Nợ gộp so với Nợ ròng</w:t>
      </w:r>
      <w:bookmarkEnd w:id="1506"/>
      <w:bookmarkEnd w:id="1507"/>
    </w:p>
    <w:p>
      <w:pPr>
        <w:pStyle w:val="Para 16"/>
        <w:keepLines w:val="on"/>
      </w:pPr>
      <w:r>
        <w:t>Nợ gộp (gross debt) là toàn bộ khoản nợ chưa thanh toán của một công ty. Nợ ròng (net debt) là chênh lệch giữa nợ gộp và số dư tiền mặt của công ty. Ví dụ, một công ty có 1,25 tỷ đô-la nợ chịu lãi chưa thanh toán và số dư tiền mặt 1 tỷ đô-la thì có số dư nợ ròng là 250 triệu đô-la. Việc bù trừ tiền mặt với nợ là phổ biến ở cả Mỹ Latinh và châu Âu, và các tỷ lệ nợ thường được ước tính bằng nợ ròng.</w:t>
      </w:r>
    </w:p>
    <w:p>
      <w:pPr>
        <w:pStyle w:val="Para 16"/>
        <w:keepLines w:val="on"/>
      </w:pPr>
      <w:r>
        <w:t>Nói chung, sẽ an toàn hơn khi định giá một công ty dựa trên nợ gộp chưa thanh toán, rồi cộng số dư tiền mặt chưa thanh toán vào giá trị tài sản hoạt động để ra giá trị công ty. Khi đó, khoản thanh toán lãi trên tổng nợ được hưởng lợi ích thuế từ nợ, và chúng ta có thể đánh giá tác động của việc liệu công ty có đầu tư số dư tiền mặt của mình một cách hiệu quả hay không lên giá trị.</w:t>
      </w:r>
    </w:p>
    <w:p>
      <w:pPr>
        <w:pStyle w:val="Para 16"/>
        <w:keepLines w:val="on"/>
      </w:pPr>
      <w:r>
        <w:t>Trong một số trường hợp, đặc biệt khi các công ty duy trì số dư tiền mặt lớn như một thông lệ thường xuyên, các nhà phân tích thích làm việc với tỷ lệ nợ ròng hơn. Nếu bạn chọn dùng tỷ lệ nợ ròng, bạn phải nhất quán xuyên suốt quá trình định giá. Để bắt đầu, beta của công ty nên được ước tính bằng tỷ lệ nợ ròng trên vốn chủ sở hữu thay vì tỷ lệ nợ gộp trên vốn chủ sở hữu. Chi phí vốn chủ sở hữu rút ra từ ước tính beta có thể được dùng để ước tính chi phí vốn, nhưng trọng số giá trị thị trường của nợ nên dựa trên nợ ròng. Sau khi bạn chiết khấu dòng tiền của công ty theo chi phí vốn, bạn không nên cộng lại tiền mặt. Thay vào đó, bạn nên trừ đi nợ ròng chưa thanh toán để ra giá trị vốn chủ sở hữu ước tính.</w:t>
      </w:r>
    </w:p>
    <w:p>
      <w:pPr>
        <w:pStyle w:val="Para 16"/>
        <w:keepLines w:val="on"/>
      </w:pPr>
      <w:r>
        <w:t>Một cách ngầm hiểu, khi bạn bù trừ tiền mặt với nợ để ra tỷ lệ nợ ròng, bạn đang giả định rằng tiền mặt và nợ có mức rủi ro tương đương nhau. Dù giả định này có thể không quá vô lý khi phân tích các công ty được xếp hạng cao, nó trở nên mong manh hơn nhiều khi nợ trở nên rủi ro hơn. Ví dụ, khoản nợ của một công ty xếp hạng BB rủi ro hơn nhiều so với số dư tiền mặt của công ty đó, và việc bù trừ cái này với cái kia có thể đưa ra cái nhìn sai lệch về rủi ro vỡ nợ của công ty. Nói chung, việc dùng tỷ lệ nợ ròng sẽ thổi phồng giá trị của các công ty rủi ro hơn.</w:t>
      </w:r>
    </w:p>
    <w:p>
      <w:pPr>
        <w:pStyle w:val="Para 11"/>
      </w:pPr>
      <w:r>
        <w:t/>
        <w:t xml:space="preserve"> </w:t>
      </w:r>
    </w:p>
    <w:p>
      <w:bookmarkStart w:id="1508" w:name="wacccalc_xls__This_spreadsheet_a"/>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84"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1508"/>
    </w:p>
    <w:p>
      <w:pPr>
        <w:pStyle w:val="Para 31"/>
        <w:keepLines w:val="on"/>
      </w:pPr>
      <w:r>
        <w:t>wacccalc.xls: Bảng tính này cho phép bạn chuyển đổi giá trị sổ sách của nợ thành giá trị thị trường</w:t>
      </w:r>
    </w:p>
    <w:p>
      <w:pPr>
        <w:pStyle w:val="Para 03"/>
        <w:keepLines w:val="on"/>
      </w:pPr>
      <w:r>
        <w:t>.</w:t>
      </w:r>
    </w:p>
    <w:p>
      <w:pPr>
        <w:pStyle w:val="Para 20"/>
      </w:pPr>
      <w:r>
        <w:rPr>
          <w:rStyle w:val="Text26"/>
        </w:rPr>
        <w:bookmarkStart w:id="1509" w:name="Page_232"/>
        <w:t/>
        <w:bookmarkEnd w:id="1509"/>
      </w:r>
      <w:r>
        <w:t xml:space="preserve"> </w:t>
      </w:r>
    </w:p>
    <w:p>
      <w:bookmarkStart w:id="1510" w:name="Estimating_the_Cost_of_Capital_1"/>
      <w:bookmarkStart w:id="1511" w:name="Estimating_the_Cost_of_Capital"/>
      <w:pPr>
        <w:keepNext/>
        <w:pStyle w:val="Heading 3"/>
        <w:keepLines w:val="on"/>
      </w:pPr>
      <w:r>
        <w:t>Ước tính Chi phí Vốn</w:t>
      </w:r>
      <w:bookmarkEnd w:id="1510"/>
      <w:bookmarkEnd w:id="1511"/>
    </w:p>
    <w:p>
      <w:pPr>
        <w:pStyle w:val="Para 03"/>
      </w:pPr>
      <w:r>
        <w:t>Vì một công ty có thể huy động tiền từ ba nguồn—vốn chủ sở hữu, nợ và cổ phiếu ưu đãi—chi phí vốn được định nghĩa là bình quân gia quyền của từng loại chi phí này. Chi phí vốn chủ sở hữu (ke) phản ánh mức độ rủi ro của khoản đầu tư vốn chủ sở hữu vào công ty, chi phí nợ sau thuế (kd) là một hàm của rủi ro vỡ nợ của công ty, và chi phí cổ phiếu ưu đãi (kps) là một hàm của vị thế trung gian của nó về mức độ rủi ro giữa nợ và vốn chủ sở hữu. Trọng số của từng thành phần này nên phản ánh tỷ lệ giá trị thị trường của chúng, vì những tỷ lệ này đo lường tốt nhất cách công ty hiện tại đang được tài trợ. Do đó, nếu E, D và PS lần lượt là giá trị thị trường của vốn chủ sở hữu, nợ và cổ phiếu ưu đãi, chi phí vốn có thể được viết như sau:</w:t>
      </w:r>
    </w:p>
    <w:p>
      <w:bookmarkStart w:id="1512" w:name="Cost_of_capital_ke_E__D_E_PS___k"/>
      <w:pPr>
        <w:keepNext/>
        <w:pStyle w:val="Para 09"/>
        <w:keepLines w:val="on"/>
      </w:pPr>
      <w:r>
        <w:t>Chi phí vốn=ke[E/(D+E+PS)]+kd[D/(D+E+PS)]+kps[PS/(D+E+PS)]</w:t>
      </w:r>
      <w:bookmarkEnd w:id="1512"/>
    </w:p>
    <w:p>
      <w:pPr>
        <w:pStyle w:val="Para 11"/>
      </w:pPr>
      <w:r>
        <w:t/>
        <w:t xml:space="preserve"> </w:t>
      </w:r>
    </w:p>
    <w:p>
      <w:bookmarkStart w:id="1513" w:name="ILLUSTRATION_8_17__Estimating_Co_1"/>
      <w:bookmarkStart w:id="1514" w:name="ILLUSTRATION_8_17__Estimating_Co"/>
      <w:pPr>
        <w:keepNext/>
        <w:pStyle w:val="Para 19"/>
        <w:keepLines w:val="on"/>
      </w:pPr>
      <w:r>
        <w:t>MINH HỌA 8.17: Ước tính Chi phí Vốn: Microsoft vào tháng 4 năm 2024</w:t>
      </w:r>
      <w:bookmarkEnd w:id="1513"/>
      <w:bookmarkEnd w:id="1514"/>
    </w:p>
    <w:p>
      <w:pPr>
        <w:pStyle w:val="Para 04"/>
        <w:keepLines w:val="on"/>
      </w:pPr>
      <w:r>
        <w:t>Sau khi đã ước tính chi phí nợ và chi phí vốn chủ sở hữu trong các minh họa trước, và tỷ lệ nợ theo giá trị thị trường trong Minh họa 8.16, chúng ta có thể ghép chúng lại với nhau để ra chi phí vốn cho Microsoft.</w:t>
      </w:r>
    </w:p>
    <w:p>
      <w:bookmarkStart w:id="1515" w:name="Cost_of_equity_10_89__from_Illus"/>
      <w:pPr>
        <w:keepNext/>
        <w:pStyle w:val="Para 07"/>
        <w:keepLines w:val="on"/>
      </w:pPr>
      <w:r>
        <w:t>Chi phí vốn chủ sở hữu = 10,89% (từ Minh họa 8.9)
Chi phí nợ vay = 3,82% (từ Minh họa 8.11)
Tỷ lệ nợ trên vốn theo giá trị thị trường = 3,07% (từ Minh họa 8.16)
Chi phí vốn = 10,89% × (0,9693) + 3,82% × (0,0307) = 10,65%</w:t>
      </w:r>
      <w:bookmarkEnd w:id="1515"/>
    </w:p>
    <w:p>
      <w:pPr>
        <w:pStyle w:val="Para 11"/>
      </w:pPr>
      <w:r>
        <w:t/>
        <w:t xml:space="preserve"> </w:t>
      </w:r>
    </w:p>
    <w:p>
      <w:bookmarkStart w:id="1516" w:name="ILLUSTRATION_8_18__Estimating_Co"/>
      <w:bookmarkStart w:id="1517" w:name="ILLUSTRATION_8_18__Estimating_Co_1"/>
      <w:pPr>
        <w:keepNext/>
        <w:pStyle w:val="Para 19"/>
        <w:keepLines w:val="on"/>
      </w:pPr>
      <w:r>
        <w:t>MINH HỌA 8.18: Ước tính chi phí vốn: Embraer vào tháng 3 năm 2008</w:t>
      </w:r>
      <w:bookmarkEnd w:id="1516"/>
      <w:bookmarkEnd w:id="1517"/>
    </w:p>
    <w:p>
      <w:pPr>
        <w:pStyle w:val="Para 04"/>
        <w:keepLines w:val="on"/>
      </w:pPr>
      <w:r>
        <w:t>Để ước tính chi phí vốn cho Embraer, chúng ta lại dựa vào các ước tính về chi phí vốn chủ sở hữu và chi phí nợ vay đã thu được trong các minh họa trước. Chi phí vốn sẽ được ước tính bằng cách sử dụng tỷ lệ nợ gộp trước tiên, tính bằng đô la Mỹ:</w:t>
      </w:r>
    </w:p>
    <w:p>
      <w:bookmarkStart w:id="1518" w:name="Cost_of_equity_8_31__from_Illust"/>
      <w:pPr>
        <w:keepNext/>
        <w:pStyle w:val="Para 07"/>
        <w:keepLines w:val="on"/>
      </w:pPr>
      <w:r>
        <w:t>Chi phí vốn chủ sở hữu = 8,31% (từ Minh họa 8.10) Chi phí nợ vay sau thuế = 4,82% (từ Minh họa 8.12)   Giá trị thị trường của nợ = 2.915 triệu BR (Giá trị sổ sách = 3.128 triệu BR)Giá trị thị trường của vốn chủ sở hữu = 12.729 triệu BR</w:t>
      </w:r>
      <w:bookmarkEnd w:id="1518"/>
    </w:p>
    <w:p>
      <w:pPr>
        <w:pStyle w:val="Para 04"/>
        <w:keepLines w:val="on"/>
      </w:pPr>
      <w:r>
        <w:t>Chi phí vốn cho Embraer được ước tính như sau:</w:t>
      </w:r>
    </w:p>
    <w:p>
      <w:bookmarkStart w:id="1519" w:name="Cost_of_capital_8_31_x_12_729__1"/>
      <w:pPr>
        <w:pStyle w:val="Para 52"/>
        <w:keepLines w:val="on"/>
      </w:pPr>
      <w:r>
        <w:t>Chi phí vốn = 8,31% × [12.729/(12.729+2.915)] + 4,82% × [2.915/(12.729+2.915)] = 7,66%</w:t>
      </w:r>
      <w:bookmarkEnd w:id="1519"/>
    </w:p>
    <w:p>
      <w:pPr>
        <w:pStyle w:val="Para 04"/>
        <w:keepLines w:val="on"/>
      </w:pPr>
      <w:r>
        <w:t>Để chuyển đổi thành chi phí vốn danh nghĩa bằng BR, chúng ta sẽ áp dụng chênh lệch tỷ lệ lạm phát (6% ở Brazil và 2% ở Hoa Kỳ).</w:t>
      </w:r>
    </w:p>
    <w:p>
      <w:bookmarkStart w:id="1520" w:name="Cost_of_equitynominal_BR__1_Cost"/>
      <w:pPr>
        <w:keepNext/>
        <w:pStyle w:val="Para 07"/>
        <w:keepLines w:val="on"/>
      </w:pPr>
      <w:r>
        <w:t>Chi phí vốn chủ sở hữu danh nghĩa BR = (1 + Chi phí vốn chủ sở hữu$) (1 + Tỷ lệ lạm phát Brazil)/(1 + Tỷ lệ lạm phát Hoa Kỳ) − 1 = 1,0766(1,06/1,02) − 1 = 11,88%</w:t>
      </w:r>
      <w:bookmarkEnd w:id="1520"/>
    </w:p>
    <w:p>
      <w:pPr>
        <w:pStyle w:val="Para 04"/>
        <w:keepLines w:val="on"/>
      </w:pPr>
      <w:r>
        <w:t>Để ước tính chi phí vốn bằng cách sử dụng tỷ lệ nợ ròng, chúng ta đưa vào số dư tiền mặt 4.437 triệu BR mà Embraer có tại thời điểm phân tích:</w:t>
      </w:r>
    </w:p>
    <w:p>
      <w:pPr>
        <w:pStyle w:val="Para 40"/>
        <w:keepLines w:val="on"/>
      </w:pPr>
      <w:r>
        <w:rPr>
          <w:rStyle w:val="Text26"/>
        </w:rPr>
        <w:bookmarkStart w:id="1521" w:name="Page_233"/>
        <w:t/>
        <w:bookmarkEnd w:id="1521"/>
      </w:r>
      <w:r>
        <w:t xml:space="preserve"> </w:t>
      </w:r>
    </w:p>
    <w:p>
      <w:bookmarkStart w:id="1522" w:name="Net_debt_Gross_debt___Cash_2_915"/>
      <w:pPr>
        <w:keepNext/>
        <w:pStyle w:val="Para 07"/>
        <w:keepLines w:val="on"/>
      </w:pPr>
      <w:r>
        <w:t>Nợ ròng = Nợ gộp − Tiền mặt = 2.915 triệu BR − 4.437 triệu BR = −1.422 triệu BRTỷ lệ Nợ ròng/Vốn chủ sở hữu = −1422/12.729 = −11,17%Tỷ lệ Nợ ròng trên Vốn = −1422/(12.729−1422) = −12,57%</w:t>
      </w:r>
      <w:bookmarkEnd w:id="1522"/>
    </w:p>
    <w:p>
      <w:bookmarkStart w:id="1523" w:name="Unlevered_beta_0_75Levered_beta"/>
      <w:pPr>
        <w:keepNext/>
        <w:pStyle w:val="Para 07"/>
        <w:keepLines w:val="on"/>
      </w:pPr>
      <w:r>
        <w:t>Beta không vay nợ = 0,75Beta có vay nợ sử dụng tỷ lệ nợ ròng trên vốn chủ sở hữu = 0,75 × [1 + (1−0,34) × (−0,1117)] = 0,695</w:t>
      </w:r>
      <w:bookmarkEnd w:id="1523"/>
    </w:p>
    <w:p>
      <w:pPr>
        <w:pStyle w:val="Para 04"/>
        <w:keepLines w:val="on"/>
      </w:pPr>
      <w:r>
        <w:t>Về mặt trực giác, beta có vay nợ ở đây thấp hơn beta không vay nợ, bởi vì chúng ta đang đưa tiền mặt vào tính toán beta (với giả định rằng tiền mặt là phi rủi ro):</w:t>
      </w:r>
    </w:p>
    <w:p>
      <w:bookmarkStart w:id="1524" w:name="Cost_of_equity_U_S____3_8__0_695"/>
      <w:pPr>
        <w:keepNext/>
        <w:pStyle w:val="Para 07"/>
        <w:keepLines w:val="on"/>
      </w:pPr>
      <w:r>
        <w:t>Chi phí vốn chủ sở hữu (USD) = 3,8% + 0,695(4%) + 0,27(3,66%) = 7,57%Chi phí vốn (USD) = 7,57% × [12.729/(12729−1422)] + 4,82% × [−1422/(12729−1422)] = 7,57% × (1,1257) + 4,82% × (−0,1257) = 7,91%</w:t>
      </w:r>
      <w:bookmarkEnd w:id="1524"/>
    </w:p>
    <w:p>
      <w:pPr>
        <w:pStyle w:val="Para 04"/>
        <w:keepLines w:val="on"/>
      </w:pPr>
      <w:r>
        <w:t>Lưu ý rằng trọng số của vốn chủ sở hữu lớn hơn 100% (112,57%) và trọng số của nợ là âm (−12,57%) vì nợ ròng là âm. Bất chấp những đầu vào có vẻ đáng lo ngại này, chi phí vốn vẫn gần với chi phí vốn khi sử dụng phương pháp tỷ lệ nợ tiêu chuẩn, và sự khác biệt có thể được giải thích bởi thực tế rằng phương pháp nợ ròng đã triệt tiêu lợi ích thuế của nợ đối với chi phí thuế của việc kiếm thu nhập lãi từ tiền mặt.</w:t>
      </w:r>
    </w:p>
    <w:p>
      <w:bookmarkStart w:id="1525" w:name="Best_Practices_at_Firms"/>
      <w:bookmarkStart w:id="1526" w:name="Best_Practices_at_Firms__We_have"/>
      <w:pPr>
        <w:keepNext/>
        <w:pStyle w:val="Heading 2"/>
        <w:keepLines w:val="on"/>
      </w:pPr>
      <w:r>
        <w:t>Thực tiễn tốt nhất tại các công ty</w:t>
      </w:r>
      <w:bookmarkEnd w:id="1525"/>
      <w:bookmarkEnd w:id="1526"/>
    </w:p>
    <w:p>
      <w:pPr>
        <w:pStyle w:val="Para 03"/>
      </w:pPr>
      <w:r>
        <w:t>Chúng ta đã dành cả chương này để thảo luận về những gì các công ty nên làm khi ước tính chi phí vốn. Vậy thực tế họ làm gì? Bruner và cộng sự (1998) đã khảo sát 27 tập đoàn có uy tín, và kết quả của họ được tóm tắt trong Bảng 8.8.</w:t>
      </w:r>
    </w:p>
    <w:p>
      <w:pPr>
        <w:pStyle w:val="Para 34"/>
        <w:keepLines w:val="on"/>
      </w:pPr>
      <w:r>
        <w:t>Bảng 8.8</w:t>
      </w:r>
    </w:p>
    <w:p>
      <w:pPr>
        <w:keepNext/>
        <w:pStyle w:val="Para 35"/>
        <w:keepLines w:val="on"/>
      </w:pPr>
      <w:r>
        <w:t>Thực tiễn hiện hành trong việc ước tính chi phí vốn</w:t>
      </w:r>
    </w:p>
    <w:tbl>
      <w:tblPr>
        <w:tblW w:type="auto" w:w="0"/>
      </w:tblPr>
      <w:tr>
        <w:tc>
          <w:tcPr>
            <w:tcW w:type="auto" w:w="0"/>
          </w:tcPr>
          <w:tbl>
            <w:tblPr>
              <w:tblW w:type="auto" w:w="0"/>
            </w:tblPr>
            <w:tr>
              <w:tc>
                <w:tcPr>
                  <w:tcW w:type="auto" w:w="0"/>
                  <w:shd w:val="clear" w:color="auto" w:fill="F0F0F0"/>
                </w:tcPr>
                <w:p>
                  <w:pPr>
                    <w:pStyle w:val="Para 29"/>
                    <w:keepLines w:val="on"/>
                  </w:pPr>
                  <w:r>
                    <w:t>Hạng mục chi phí vốn</w:t>
                  </w:r>
                </w:p>
              </w:tc>
              <w:tc>
                <w:tcPr>
                  <w:tcW w:type="auto" w:w="0"/>
                  <w:shd w:val="clear" w:color="auto" w:fill="F0F0F0"/>
                </w:tcPr>
                <w:p>
                  <w:pPr>
                    <w:pStyle w:val="Para 29"/>
                    <w:keepLines w:val="on"/>
                  </w:pPr>
                  <w:r>
                    <w:t>Thực tiễn hiện hành</w:t>
                  </w:r>
                </w:p>
              </w:tc>
            </w:tr>
            <w:tr>
              <w:tc>
                <w:tcPr>
                  <w:tcW w:type="auto" w:w="0"/>
                  <w:shd w:val="clear" w:color="auto" w:fill="F0F0F0"/>
                </w:tcPr>
                <w:p>
                  <w:pPr>
                    <w:pStyle w:val="Para 02"/>
                    <w:keepLines w:val="on"/>
                  </w:pPr>
                  <w:r>
                    <w:t>Chi phí vốn chủ sở hữu</w:t>
                  </w:r>
                </w:p>
              </w:tc>
              <w:tc>
                <w:tcPr>
                  <w:tcW w:type="auto" w:w="0"/>
                  <w:shd w:val="clear" w:color="auto" w:fill="F0F0F0"/>
                </w:tcPr>
                <w:p>
                  <w:pPr>
                    <w:numPr>
                      <w:ilvl w:val="0"/>
                      <w:numId w:val="68"/>
                    </w:numPr>
                    <w:pStyle w:val="Para 01"/>
                    <w:keepLines w:val="on"/>
                  </w:pPr>
                  <w:r>
                    <w:t>81% công ty sử dụng mô hình định giá tài sản vốn (capital asset pricing model) để ước tính chi phí vốn chủ sở hữu, 4% sử dụng mô hình định giá tài sản vốn đã điều chỉnh, và 15% không chắc chắn về cách họ ước tính chi phí vốn chủ sở hữu.</w:t>
                  </w:r>
                </w:p>
                <w:p>
                  <w:pPr>
                    <w:numPr>
                      <w:ilvl w:val="0"/>
                      <w:numId w:val="68"/>
                    </w:numPr>
                    <w:pStyle w:val="Para 01"/>
                    <w:keepLines w:val="on"/>
                  </w:pPr>
                  <w:r>
                    <w:t>Tài sản phi rủi ro (Rf) được định nghĩa là tài sản mà nhà đầu tư biết chắc chắn lợi nhuận kỳ vọng trong khoảng thời gian phân tích.</w:t>
                  </w:r>
                </w:p>
                <w:p>
                  <w:pPr>
                    <w:numPr>
                      <w:ilvl w:val="0"/>
                      <w:numId w:val="68"/>
                    </w:numPr>
                    <w:pStyle w:val="Para 01"/>
                    <w:keepLines w:val="on"/>
                  </w:pPr>
                  <w:r>
                    <w:t>70% công ty sử dụng trái phiếu kho bạc kỳ hạn 10 năm hoặc dài hơn làm lãi suất phi rủi ro, 7% sử dụng trái phiếu kho bạc kỳ hạn 3 đến 5 năm, và 4% sử dụng lãi suất tín phiếu kho bạc.</w:t>
                  </w:r>
                </w:p>
                <w:p>
                  <w:pPr>
                    <w:numPr>
                      <w:ilvl w:val="0"/>
                      <w:numId w:val="68"/>
                    </w:numPr>
                    <w:pStyle w:val="Para 01"/>
                    <w:keepLines w:val="on"/>
                  </w:pPr>
                  <w:r>
                    <w:t>52% sử dụng nguồn công bố để ước tính beta, trong khi 30% tự ước tính.</w:t>
                  </w:r>
                </w:p>
                <w:p>
                  <w:pPr>
                    <w:numPr>
                      <w:ilvl w:val="0"/>
                      <w:numId w:val="68"/>
                    </w:numPr>
                    <w:pStyle w:val="Para 01"/>
                    <w:keepLines w:val="on"/>
                  </w:pPr>
                  <w:r>
                    <w:t>Có sự khác biệt lớn trong mức bù rủi ro thị trường (market risk premium) được sử dụng, với 37% dùng mức bù từ 5% đến 6%.</w:t>
                  </w:r>
                </w:p>
                <w:p>
                  <w:pPr>
                    <w:numPr>
                      <w:ilvl w:val="0"/>
                      <w:numId w:val="68"/>
                    </w:numPr>
                    <w:pStyle w:val="Para 01"/>
                    <w:keepLines w:val="on"/>
                  </w:pPr>
                  <w:r>
                    <w:t>Tài sản phi rủi ro (riskless asset – Rf) được định nghĩa là tài sản mà nhà đầu tư biết chắc chắn lợi nhuận kỳ vọng trong khoảng thời gian phân tích.</w:t>
                  </w:r>
                </w:p>
              </w:tc>
            </w:tr>
            <w:tr>
              <w:tc>
                <w:tcPr>
                  <w:tcW w:type="auto" w:w="0"/>
                  <w:shd w:val="clear" w:color="auto" w:fill="F0F0F0"/>
                </w:tcPr>
                <w:p>
                  <w:pPr>
                    <w:pStyle w:val="Para 02"/>
                    <w:keepLines w:val="on"/>
                  </w:pPr>
                  <w:r>
                    <w:t>Chi phí nợ (cost of debt)</w:t>
                  </w:r>
                </w:p>
              </w:tc>
              <w:tc>
                <w:tcPr>
                  <w:tcW w:type="auto" w:w="0"/>
                  <w:shd w:val="clear" w:color="auto" w:fill="F0F0F0"/>
                </w:tcPr>
                <w:p>
                  <w:pPr>
                    <w:numPr>
                      <w:ilvl w:val="0"/>
                      <w:numId w:val="69"/>
                    </w:numPr>
                    <w:pStyle w:val="Para 01"/>
                    <w:keepLines w:val="on"/>
                  </w:pPr>
                  <w:r>
                    <w:t>52% công ty dùng lãi suất vay biên (marginal borrowing rate) và thuế suất biên (marginal tax rate), trong khi 37% dùng lãi suất vay bình quân hiện tại và thuế suất thực tế (effective tax rate).</w:t>
                  </w:r>
                </w:p>
              </w:tc>
            </w:tr>
            <w:tr>
              <w:tc>
                <w:tcPr>
                  <w:tcW w:type="auto" w:w="0"/>
                  <w:shd w:val="clear" w:color="auto" w:fill="F0F0F0"/>
                </w:tcPr>
                <w:p>
                  <w:pPr>
                    <w:pStyle w:val="Para 02"/>
                    <w:keepLines w:val="on"/>
                  </w:pPr>
                  <w:r>
                    <w:t>Tỷ trọng nợ và vốn chủ sở hữu</w:t>
                  </w:r>
                </w:p>
              </w:tc>
              <w:tc>
                <w:tcPr>
                  <w:tcW w:type="auto" w:w="0"/>
                  <w:shd w:val="clear" w:color="auto" w:fill="F0F0F0"/>
                </w:tcPr>
                <w:p>
                  <w:pPr>
                    <w:numPr>
                      <w:ilvl w:val="0"/>
                      <w:numId w:val="70"/>
                    </w:numPr>
                    <w:pStyle w:val="Para 01"/>
                    <w:keepLines w:val="on"/>
                  </w:pPr>
                  <w:r>
                    <w:t>59% dùng tỷ trọng theo giá trị thị trường cho nợ và vốn chủ sở hữu trong chi phí vốn, 15% dùng tỷ trọng theo giá trị sổ sách, và 19% không chắc chắn về tỷ trọng mình đã dùng.</w:t>
                  </w:r>
                </w:p>
              </w:tc>
            </w:tr>
          </w:tbl>
          <w:p>
            <w:pPr>
              <w:pStyle w:val="Para 55"/>
              <w:keepLines w:val="on"/>
            </w:pPr>
            <w:r>
              <w:t>Nguồn: Bruner và cộng sự (1998).</w:t>
            </w:r>
          </w:p>
        </w:tc>
      </w:tr>
    </w:tbl>
    <w:p>
      <w:bookmarkStart w:id="1529" w:name="Conclusion_7"/>
      <w:bookmarkStart w:id="1530" w:name="Conclusion__When_we_analyze_the"/>
      <w:pPr>
        <w:keepNext/>
        <w:pStyle w:val="Heading 2"/>
        <w:keepLines w:val="on"/>
      </w:pPr>
      <w:r>
        <w:t>Kết luận</w:t>
      </w:r>
      <w:bookmarkEnd w:id="1529"/>
      <w:bookmarkEnd w:id="1530"/>
    </w:p>
    <w:p>
      <w:pPr>
        <w:pStyle w:val="Para 03"/>
      </w:pPr>
      <w:r>
        <w:t>Khi phân tích các khoản đầu tư của một công ty hoặc đánh giá giá trị của nó, chúng ta cần biết chi phí mà công ty phải đối mặt khi huy động vốn chủ sở hữu, nợ và vốn nói chung. Các mô hình rủi ro và lợi nhuận được trình bày ở những chương trước có thể được dùng để ước tính chi phí vốn chủ sở hữu và chi phí vốn cho một công ty.</w:t>
      </w:r>
    </w:p>
    <w:p>
      <w:pPr>
        <w:pStyle w:val="Para 03"/>
      </w:pPr>
      <w:r>
        <w:t>Dựa trên tiền đề rằng chi phí vốn chủ sở hữu phải phản ánh mức độ rủi ro của vốn chủ sở hữu đối với nhà đầu tư vào công ty, có ba yếu tố đầu vào cơ bản chúng ta cần để ước tính chi phí vốn chủ sở hữu cho bất kỳ công ty nào. Lãi suất phi rủi ro là lợi nhuận kỳ vọng của một khoản đầu tư không có rủi ro vỡ nợ và không có rủi ro tái đầu tư. Vì phần lớn phân tích trong tài chính doanh nghiệp là dài hạn, lãi suất phi rủi ro nên là lãi suất của trái phiếu chính phủ dài hạn. Mức bù rủi ro đo lường điều mà nhà đầu tư đòi hỏi như một khoản bù cho việc đầu tư vào các khoản đầu tư rủi ro thay vì các khoản đầu tư phi rủi ro. Mức bù rủi ro này, có thể khác nhau giữa các nhà đầu tư, có thể được ước tính bằng cách nhìn vào lợi nhuận trong quá khứ của cổ phiếu và chứng khoán chính phủ, hoặc bằng cách nhìn vào cách thị trường định giá cổ phiếu hiện tại. Beta của một công ty theo thông lệ được đo bằng cách hồi quy lợi nhuận của cổ phiếu công ty theo lợi nhuận của một chỉ số thị trường. Cách tiếp cận này cho ra các ước tính beta thiếu chính xác, và chúng ta tốt hơn nên ước tính beta bằng cách xem xét beta của các ngành kinh doanh mà công ty đang hoạt động.</w:t>
      </w:r>
    </w:p>
    <w:p>
      <w:pPr>
        <w:pStyle w:val="Para 03"/>
      </w:pPr>
      <w:r>
        <w:t>Chi phí vốn là bình quân gia quyền của chi phí các thành phần tài trợ khác nhau, với tỷ trọng dựa trên giá trị doanh nghiệp của từng thành phần. Chi phí nợ là lãi suất thị trường mà công ty có thể vay, được điều chỉnh cho bất kỳ lợi ích thuế nào từ việc vay nợ. Tuy nhiên, chi phí cổ phiếu ưu đãi là tỷ suất cổ tức ưu đãi.</w:t>
      </w:r>
    </w:p>
    <w:p>
      <w:pPr>
        <w:pStyle w:val="Para 03"/>
      </w:pPr>
      <w:r>
        <w:t>Chi phí vốn hữu ích ở hai cấp độ. Trên cơ sở tổng hợp, đó là mức mà các công ty này phải đạt được tập thể trên các khoản đầu tư của mình để hòa vốn. Nó cũng là tỷ lệ chiết khấu phù hợp để chiết khấu các dòng tiền kỳ vọng trong tương lai nhằm đưa ra ước tính về giá trị công ty.</w:t>
      </w:r>
    </w:p>
    <w:p>
      <w:bookmarkStart w:id="1531" w:name="Questions_and_Short_Problems__In_4"/>
      <w:bookmarkStart w:id="1532" w:name="Questions_and_Short_Problems_9"/>
      <w:pPr>
        <w:keepNext/>
        <w:pStyle w:val="Heading 2"/>
        <w:keepLines w:val="on"/>
      </w:pPr>
      <w:r>
        <w:t>Câu hỏi và bài tập ngắn</w:t>
      </w:r>
      <w:bookmarkEnd w:id="1531"/>
      <w:bookmarkEnd w:id="1532"/>
    </w:p>
    <w:p>
      <w:pPr>
        <w:pStyle w:val="Para 44"/>
      </w:pPr>
      <w:r>
        <w:t>Trong các bài tập sau, hãy dùng mức bù rủi ro vốn chủ sở hữu là 5,5 phần trăm nếu không có quy định nào khác và thuế suất 40 phần trăm khi không có thuế suất được cung cấp.</w:t>
      </w:r>
    </w:p>
    <w:p>
      <w:pPr>
        <w:numPr>
          <w:ilvl w:val="0"/>
          <w:numId w:val="71"/>
        </w:numPr>
        <w:pStyle w:val="Para 01"/>
      </w:pPr>
      <w:r>
        <w:t>Vào tháng 12 năm 1995, cổ phiếu của Boise Cascade có beta là 0,95. Lãi suất tín phiếu kho bạc (Treasury bill) lúc đó là 5,8%, và lãi suất trái phiếu kho bạc (Treasury bond) là 6,4%. Công ty có nợ chưa thanh toán là 1,7 tỷ đô la và giá trị thị trường của vốn chủ sở hữu là 1,5 tỷ đô la; thuế suất biên của doanh nghiệp là 36%. (Mức bù rủi ro lịch sử của cổ phiếu so với tín phiếu kho bạc là 8,5% và mức bù rủi ro của cổ phiếu so với trái phiếu kho bạc là 5,5%.)</w:t>
      </w:r>
    </w:p>
    <w:p>
      <w:pPr>
        <w:numPr>
          <w:ilvl w:val="1"/>
          <w:numId w:val="71"/>
        </w:numPr>
        <w:pStyle w:val="Para 01"/>
      </w:pPr>
      <w:r>
        <w:t>Ước tính lợi nhuận kỳ vọng của cổ phiếu đối với một nhà đầu tư ngắn hạn vào công ty.</w:t>
      </w:r>
    </w:p>
    <w:p>
      <w:pPr>
        <w:numPr>
          <w:ilvl w:val="1"/>
          <w:numId w:val="71"/>
        </w:numPr>
        <w:pStyle w:val="Para 01"/>
      </w:pPr>
      <w:r>
        <w:t>Ước tính lợi nhuận kỳ vọng của cổ phiếu đối với một nhà đầu tư dài hạn vào công ty.</w:t>
      </w:r>
    </w:p>
    <w:p>
      <w:pPr>
        <w:numPr>
          <w:ilvl w:val="1"/>
          <w:numId w:val="71"/>
        </w:numPr>
        <w:pStyle w:val="Para 01"/>
      </w:pPr>
      <w:r>
        <w:t>Ước tính chi phí vốn chủ sở hữu cho công ty.</w:t>
      </w:r>
    </w:p>
    <w:p>
      <w:pPr>
        <w:numPr>
          <w:ilvl w:val="0"/>
          <w:numId w:val="71"/>
        </w:numPr>
        <w:pStyle w:val="Para 01"/>
      </w:pPr>
      <w:r>
        <w:t>Tiếp tục bài tập 1, Boise Cascade cũng có nợ chưa thanh toán là 1,7 tỷ đô la và giá trị thị trường của vốn chủ sở hữu là 1,5 tỷ đô la; thuế suất biên của doanh nghiệp là 36%.</w:t>
      </w:r>
    </w:p>
    <w:p>
      <w:pPr>
        <w:numPr>
          <w:ilvl w:val="1"/>
          <w:numId w:val="71"/>
        </w:numPr>
        <w:pStyle w:val="Para 01"/>
      </w:pPr>
      <w:r>
        <w:t>Giả sử rằng beta hiện tại là 0,95 của cổ phiếu là hợp lý, hãy ước tính beta chưa đòn bẩy (unlevered beta) cho công ty.</w:t>
      </w:r>
    </w:p>
    <w:p>
      <w:pPr>
        <w:numPr>
          <w:ilvl w:val="1"/>
          <w:numId w:val="71"/>
        </w:numPr>
        <w:pStyle w:val="Para 01"/>
      </w:pPr>
      <w:r>
        <w:t>Bao nhiêu phần rủi ro trong công ty có thể được quy cho rủi ro kinh doanh và bao nhiêu cho rủi ro đòn bẩy tài chính?</w:t>
      </w:r>
    </w:p>
    <w:p>
      <w:pPr>
        <w:numPr>
          <w:ilvl w:val="0"/>
          <w:numId w:val="71"/>
        </w:numPr>
        <w:pStyle w:val="Para 01"/>
      </w:pPr>
      <w:r>
        <w:t>Biogen Inc., một công ty công nghệ sinh học, có beta là 1,70 vào năm 1995. Công ty không có nợ chưa thanh toán vào cuối năm đó.</w:t>
      </w:r>
    </w:p>
    <w:p>
      <w:pPr>
        <w:numPr>
          <w:ilvl w:val="1"/>
          <w:numId w:val="71"/>
        </w:numPr>
        <w:pStyle w:val="Para 01"/>
      </w:pPr>
      <w:r>
        <w:t>Ước tính chi phí vốn chủ sở hữu cho Biogen nếu lãi suất trái phiếu kho bạc là 6,4%.</w:t>
      </w:r>
    </w:p>
    <w:p>
      <w:pPr>
        <w:numPr>
          <w:ilvl w:val="1"/>
          <w:numId w:val="71"/>
        </w:numPr>
        <w:pStyle w:val="Para 01"/>
      </w:pPr>
      <w:r>
        <w:t>Việc tăng lãi suất trái phiếu dài hạn lên 7,5% sẽ có tác động gì đến chi phí vốn chủ sở hữu của Biogen?</w:t>
      </w:r>
    </w:p>
    <w:p>
      <w:pPr>
        <w:numPr>
          <w:ilvl w:val="1"/>
          <w:numId w:val="71"/>
        </w:numPr>
        <w:pStyle w:val="Para 01"/>
      </w:pPr>
      <w:r>
        <w:t>Bao nhiêu phần rủi ro của Biogen có thể được quy cho rủi ro kinh doanh?</w:t>
      </w:r>
    </w:p>
    <w:p>
      <w:pPr>
        <w:numPr>
          <w:ilvl w:val="0"/>
          <w:numId w:val="71"/>
        </w:numPr>
        <w:pStyle w:val="Para 01"/>
      </w:pPr>
      <w:r>
        <w:t>Genting Berhad là một tập đoàn của Malaysia với các khoản đầu tư vào đồn điền và khu nghỉ dưỡng du lịch. Beta ước tính cho công ty so với sàn chứng khoán Malaysia là 1,15, và lãi suất vay dài hạn của chính phủ Malaysia là 11,5%. (Mức bù rủi ro của Malaysia là 12% và mức chênh lệch vỡ nợ đối với nợ bằng đồng nội tệ của Malaysia là 2%.)</w:t>
      </w:r>
    </w:p>
    <w:p>
      <w:pPr>
        <w:numPr>
          <w:ilvl w:val="1"/>
          <w:numId w:val="71"/>
        </w:numPr>
        <w:pStyle w:val="Para 01"/>
      </w:pPr>
      <w:r>
        <w:t>Ước tính lợi nhuận kỳ vọng của cổ phiếu.</w:t>
      </w:r>
    </w:p>
    <w:p>
      <w:pPr>
        <w:numPr>
          <w:ilvl w:val="1"/>
          <w:numId w:val="71"/>
        </w:numPr>
        <w:pStyle w:val="Para 01"/>
      </w:pPr>
      <w:r>
        <w:t>Nếu bạn là một nhà đầu tư quốc tế, bạn sẽ có những lo ngại gì, nếu có, về việc sử dụng beta được ước tính so với Chỉ số Malaysia? Nếu bạn thực sự có lo ngại, bạn sẽ điều chỉnh beta như thế nào?</w:t>
      </w:r>
    </w:p>
    <w:p>
      <w:pPr>
        <w:numPr>
          <w:ilvl w:val="0"/>
          <w:numId w:val="71"/>
        </w:numPr>
        <w:pStyle w:val="Para 01"/>
      </w:pPr>
      <w:r>
        <w:t>Bạn vừa thực hiện một hồi quy lợi nhuận hàng tháng của cổ phiếu HeavyTech Inc., một nhà sản xuất máy móc hạng nặng, theo lợi nhuận thị trường hàng tháng trong năm năm qua, và đưa ra hồi quy sau:</w:t>
      </w:r>
    </w:p>
    <w:p>
      <w:bookmarkStart w:id="1534" w:name="RHeavyTech_0_5____1_2_RM"/>
      <w:pPr>
        <w:keepNext/>
        <w:pStyle w:val="Para 09"/>
        <w:keepLines w:val="on"/>
      </w:pPr>
      <w:r>
        <w:t>RHeavyTech=0,5% + 1,2 RM</w:t>
      </w:r>
      <w:bookmarkEnd w:id="1534"/>
    </w:p>
    <w:p>
      <w:pPr>
        <w:pStyle w:val="Para 03"/>
      </w:pPr>
      <w:r>
        <w:t>Phương sai của cổ phiếu là 50%, và phương sai của thị trường là 20%. Lãi suất tín phiếu kho bạc hiện tại là 3% (một năm trước là 5%). Cổ phiếu hiện đang được bán với giá 50 đô la, giảm 4 đô la so với năm ngoái; nó đã trả cổ tức 2 đô la trong năm qua và dự kiến sẽ trả cổ tức 2,50 đô la trong năm tới. Chỉ số tổng hợp NYSE đã giảm 8% trong năm qua, với tỷ suất cổ tức là 3%. HeavyTech Inc. có thuế suất là 40%.</w:t>
      </w:r>
    </w:p>
    <w:p>
      <w:pPr>
        <w:numPr>
          <w:ilvl w:val="1"/>
          <w:numId w:val="71"/>
        </w:numPr>
        <w:pStyle w:val="Para 01"/>
      </w:pPr>
      <w:r>
        <w:t>Lợi nhuận kỳ vọng của HeavyTech trong năm tới là bao nhiêu?</w:t>
      </w:r>
    </w:p>
    <w:p>
      <w:pPr>
        <w:numPr>
          <w:ilvl w:val="1"/>
          <w:numId w:val="71"/>
        </w:numPr>
        <w:pStyle w:val="Para 01"/>
      </w:pPr>
      <w:r>
        <w:t>Bạn kỳ vọng giá của HeavyTech sẽ là bao nhiêu vào một năm kể từ hôm nay?</w:t>
      </w:r>
    </w:p>
    <w:p>
      <w:pPr>
        <w:numPr>
          <w:ilvl w:val="1"/>
          <w:numId w:val="71"/>
        </w:numPr>
        <w:pStyle w:val="Para 01"/>
      </w:pPr>
      <w:r>
        <w:t>Bạn sẽ kỳ vọng lợi nhuận cổ phiếu của HeavyTech là bao nhiêu trong năm qua?</w:t>
      </w:r>
    </w:p>
    <w:p>
      <w:pPr>
        <w:numPr>
          <w:ilvl w:val="1"/>
          <w:numId w:val="71"/>
        </w:numPr>
        <w:pStyle w:val="Para 01"/>
      </w:pPr>
      <w:r>
        <w:t>Lợi nhuận thực tế của HeavyTech trong năm qua là bao nhiêu?</w:t>
      </w:r>
    </w:p>
    <w:p>
      <w:pPr>
        <w:numPr>
          <w:ilvl w:val="1"/>
          <w:numId w:val="71"/>
        </w:numPr>
        <w:pStyle w:val="Para 01"/>
      </w:pPr>
      <w:r>
        <w:t>HeavyTech có 100 triệu đô la vốn chủ sở hữu và 50 triệu đô la nợ. Nó dự định phát hành 50 triệu đô la vốn chủ sở hữu mới và trả hết 50 triệu đô la nợ. Ước tính beta mới.</w:t>
      </w:r>
    </w:p>
    <w:p>
      <w:pPr>
        <w:numPr>
          <w:ilvl w:val="0"/>
          <w:numId w:val="71"/>
        </w:numPr>
        <w:pStyle w:val="Para 01"/>
      </w:pPr>
      <w:r>
        <w:t>Safecorp, công ty sở hữu và vận hành các cửa hàng tạp hóa trên khắp Hoa Kỳ, hiện có 50 triệu đô la nợ và 100 triệu đô la vốn chủ sở hữu đang lưu hành. Cổ phiếu của nó có beta là 1,2. Nó đang lên kế hoạch mua lại bằng đòn bẩy (LBO), trong đó nó sẽ tăng tỷ lệ nợ trên vốn chủ sở hữu lên 8. Nếu thuế suất là 40%, beta của vốn chủ sở hữu trong công ty sẽ là bao nhiêu sau LBO?</w:t>
      </w:r>
    </w:p>
    <w:p>
      <w:pPr>
        <w:numPr>
          <w:ilvl w:val="0"/>
          <w:numId w:val="71"/>
        </w:numPr>
        <w:pStyle w:val="Para 01"/>
      </w:pPr>
      <w:r>
        <w:t>Novell, công ty có giá trị thị trường vốn chủ sở hữu là 2 tỷ đô la và beta là 1,50, đã thông báo rằng họ đang mua lại WordPerfect, công ty có giá trị thị trường vốn chủ sở hữu là 1 tỷ đô la và beta là 1,30. Cả hai công ty đều không có nợ trong cấu trúc tài chính của mình tại thời điểm mua lại, và thuế suất thuế thu nhập doanh nghiệp là 40%.</w:t>
      </w:r>
    </w:p>
    <w:p>
      <w:pPr>
        <w:numPr>
          <w:ilvl w:val="1"/>
          <w:numId w:val="71"/>
        </w:numPr>
        <w:pStyle w:val="Para 01"/>
      </w:pPr>
      <w:r>
        <w:t>Ước tính beta cho Novell sau khi mua lại, giả sử rằng toàn bộ việc mua lại được tài trợ bằng vốn chủ sở hữu.</w:t>
      </w:r>
    </w:p>
    <w:p>
      <w:pPr>
        <w:numPr>
          <w:ilvl w:val="1"/>
          <w:numId w:val="71"/>
        </w:numPr>
        <w:pStyle w:val="Para 01"/>
      </w:pPr>
      <w:r>
        <w:t>Giả sử rằng Novell phải vay 1 tỷ đô la để mua lại WordPerfect. Ước tính beta sau khi mua lại.</w:t>
      </w:r>
    </w:p>
    <w:p>
      <w:pPr>
        <w:numPr>
          <w:ilvl w:val="0"/>
          <w:numId w:val="71"/>
        </w:numPr>
        <w:pStyle w:val="Para 01"/>
      </w:pPr>
      <w:r>
        <w:t>Bạn đang phân tích beta cho Hewlett Packard (HP) và đã chia công ty thành bốn nhóm kinh doanh chính, với giá trị thị trường và beta cho mỗi nhóm.</w:t>
      </w:r>
    </w:p>
    <w:tbl>
      <w:tblPr>
        <w:tblW w:type="auto" w:w="0"/>
      </w:tblPr>
      <w:tr>
        <w:tc>
          <w:tcPr>
            <w:tcW w:type="auto" w:w="0"/>
          </w:tcPr>
          <w:tbl>
            <w:tblPr>
              <w:tblW w:type="auto" w:w="0"/>
            </w:tblPr>
            <w:tr>
              <w:tc>
                <w:tcPr>
                  <w:tcW w:type="auto" w:w="0"/>
                  <w:shd w:val="clear" w:color="auto" w:fill="F0F0F0"/>
                </w:tcPr>
                <w:p>
                  <w:pPr>
                    <w:pStyle w:val="Para 32"/>
                    <w:keepLines w:val="on"/>
                  </w:pPr>
                  <w:r>
                    <w:t>Nhóm kinh doanh</w:t>
                  </w:r>
                </w:p>
              </w:tc>
              <w:tc>
                <w:tcPr>
                  <w:tcW w:type="auto" w:w="0"/>
                  <w:shd w:val="clear" w:color="auto" w:fill="F0F0F0"/>
                </w:tcPr>
                <w:p>
                  <w:pPr>
                    <w:pStyle w:val="Para 05"/>
                    <w:keepLines w:val="on"/>
                  </w:pPr>
                  <w:r>
                    <w:t>Giá trị thị trường của vốn chủ sở hữu</w:t>
                  </w:r>
                </w:p>
              </w:tc>
              <w:tc>
                <w:tcPr>
                  <w:tcW w:type="auto" w:w="0"/>
                  <w:shd w:val="clear" w:color="auto" w:fill="F0F0F0"/>
                </w:tcPr>
                <w:p>
                  <w:pPr>
                    <w:pStyle w:val="Para 05"/>
                    <w:keepLines w:val="on"/>
                  </w:pPr>
                  <w:r>
                    <w:t>Beta</w:t>
                  </w:r>
                </w:p>
              </w:tc>
            </w:tr>
            <w:tr>
              <w:tc>
                <w:tcPr>
                  <w:tcW w:type="auto" w:w="0"/>
                  <w:shd w:val="clear" w:color="auto" w:fill="F0F0F0"/>
                </w:tcPr>
                <w:p>
                  <w:pPr>
                    <w:pStyle w:val="Para 02"/>
                    <w:keepLines w:val="on"/>
                  </w:pPr>
                  <w:r>
                    <w:t>Máy tính lớn</w:t>
                  </w:r>
                </w:p>
              </w:tc>
              <w:tc>
                <w:tcPr>
                  <w:tcW w:type="auto" w:w="0"/>
                  <w:shd w:val="clear" w:color="auto" w:fill="F0F0F0"/>
                </w:tcPr>
                <w:p>
                  <w:pPr>
                    <w:pStyle w:val="Normal"/>
                    <w:keepLines w:val="on"/>
                  </w:pPr>
                  <w:r>
                    <w:t>2,0 tỷ đô la</w:t>
                  </w:r>
                </w:p>
              </w:tc>
              <w:tc>
                <w:tcPr>
                  <w:tcW w:type="auto" w:w="0"/>
                  <w:shd w:val="clear" w:color="auto" w:fill="F0F0F0"/>
                </w:tcPr>
                <w:p>
                  <w:pPr>
                    <w:pStyle w:val="Normal"/>
                    <w:keepLines w:val="on"/>
                  </w:pPr>
                  <w:r>
                    <w:t>1,10</w:t>
                  </w:r>
                </w:p>
              </w:tc>
            </w:tr>
            <w:tr>
              <w:tc>
                <w:tcPr>
                  <w:tcW w:type="auto" w:w="0"/>
                  <w:shd w:val="clear" w:color="auto" w:fill="F0F0F0"/>
                </w:tcPr>
                <w:p>
                  <w:pPr>
                    <w:pStyle w:val="Para 02"/>
                    <w:keepLines w:val="on"/>
                  </w:pPr>
                  <w:r>
                    <w:t>Máy tính cá nhân</w:t>
                  </w:r>
                </w:p>
              </w:tc>
              <w:tc>
                <w:tcPr>
                  <w:tcW w:type="auto" w:w="0"/>
                  <w:shd w:val="clear" w:color="auto" w:fill="F0F0F0"/>
                </w:tcPr>
                <w:p>
                  <w:pPr>
                    <w:pStyle w:val="Normal"/>
                    <w:keepLines w:val="on"/>
                  </w:pPr>
                  <w:r>
                    <w:t>2,0 tỷ đô la</w:t>
                  </w:r>
                </w:p>
              </w:tc>
              <w:tc>
                <w:tcPr>
                  <w:tcW w:type="auto" w:w="0"/>
                  <w:shd w:val="clear" w:color="auto" w:fill="F0F0F0"/>
                </w:tcPr>
                <w:p>
                  <w:pPr>
                    <w:pStyle w:val="Normal"/>
                    <w:keepLines w:val="on"/>
                  </w:pPr>
                  <w:r>
                    <w:t>1,50</w:t>
                  </w:r>
                </w:p>
              </w:tc>
            </w:tr>
            <w:tr>
              <w:tc>
                <w:tcPr>
                  <w:tcW w:type="auto" w:w="0"/>
                  <w:shd w:val="clear" w:color="auto" w:fill="F0F0F0"/>
                </w:tcPr>
                <w:p>
                  <w:pPr>
                    <w:pStyle w:val="Para 02"/>
                    <w:keepLines w:val="on"/>
                  </w:pPr>
                  <w:r>
                    <w:t>Phần mềm</w:t>
                  </w:r>
                </w:p>
              </w:tc>
              <w:tc>
                <w:tcPr>
                  <w:tcW w:type="auto" w:w="0"/>
                  <w:shd w:val="clear" w:color="auto" w:fill="F0F0F0"/>
                </w:tcPr>
                <w:p>
                  <w:pPr>
                    <w:pStyle w:val="Normal"/>
                    <w:keepLines w:val="on"/>
                  </w:pPr>
                  <w:r>
                    <w:t>1,0 tỷ đô la</w:t>
                  </w:r>
                </w:p>
              </w:tc>
              <w:tc>
                <w:tcPr>
                  <w:tcW w:type="auto" w:w="0"/>
                  <w:shd w:val="clear" w:color="auto" w:fill="F0F0F0"/>
                </w:tcPr>
                <w:p>
                  <w:pPr>
                    <w:pStyle w:val="Normal"/>
                    <w:keepLines w:val="on"/>
                  </w:pPr>
                  <w:r>
                    <w:t>2,00</w:t>
                  </w:r>
                </w:p>
              </w:tc>
            </w:tr>
            <w:tr>
              <w:tc>
                <w:tcPr>
                  <w:tcW w:type="auto" w:w="0"/>
                  <w:shd w:val="clear" w:color="auto" w:fill="F0F0F0"/>
                </w:tcPr>
                <w:p>
                  <w:pPr>
                    <w:pStyle w:val="Para 02"/>
                    <w:keepLines w:val="on"/>
                  </w:pPr>
                  <w:r>
                    <w:t>Máy in</w:t>
                  </w:r>
                </w:p>
              </w:tc>
              <w:tc>
                <w:tcPr>
                  <w:tcW w:type="auto" w:w="0"/>
                  <w:shd w:val="clear" w:color="auto" w:fill="F0F0F0"/>
                </w:tcPr>
                <w:p>
                  <w:pPr>
                    <w:pStyle w:val="Normal"/>
                    <w:keepLines w:val="on"/>
                  </w:pPr>
                  <w:r>
                    <w:t>3,0 tỷ đô la</w:t>
                  </w:r>
                </w:p>
              </w:tc>
              <w:tc>
                <w:tcPr>
                  <w:tcW w:type="auto" w:w="0"/>
                  <w:shd w:val="clear" w:color="auto" w:fill="F0F0F0"/>
                </w:tcPr>
                <w:p>
                  <w:pPr>
                    <w:pStyle w:val="Normal"/>
                    <w:keepLines w:val="on"/>
                  </w:pPr>
                  <w:r>
                    <w:t>1,00</w:t>
                  </w:r>
                </w:p>
              </w:tc>
            </w:tr>
          </w:tbl>
          <w:p/>
        </w:tc>
      </w:tr>
    </w:tbl>
    <w:p>
      <w:pPr>
        <w:numPr>
          <w:ilvl w:val="1"/>
          <w:numId w:val="71"/>
        </w:numPr>
        <w:pStyle w:val="Para 01"/>
      </w:pPr>
      <w:r>
        <w:t>Ước tính beta cho Hewlett Packard với tư cách là một công ty. Liệu beta này có bằng với beta được ước tính bằng cách hồi quy lợi nhuận trong quá khứ của cổ phiếu HP với chỉ số thị trường không? Tại sao có hoặc tại sao không?</w:t>
      </w:r>
    </w:p>
    <w:p>
      <w:pPr>
        <w:numPr>
          <w:ilvl w:val="1"/>
          <w:numId w:val="71"/>
        </w:numPr>
        <w:pStyle w:val="Para 01"/>
      </w:pPr>
      <w:r>
        <w:t>Nếu lãi suất trái phiếu kho bạc là 7,5%, hãy ước tính chi phí vốn cổ phần (cost of equity) cho Hewlett Packard. Ước tính chi phí vốn cổ phần cho từng bộ phận. Bạn sẽ sử dụng chi phí vốn cổ phần nào để định giá bộ phận máy in?</w:t>
      </w:r>
    </w:p>
    <w:p>
      <w:pPr>
        <w:numPr>
          <w:ilvl w:val="1"/>
          <w:numId w:val="71"/>
        </w:numPr>
        <w:pStyle w:val="Para 01"/>
      </w:pPr>
      <w:r>
        <w:t>Giả sử HP thoái vốn khỏi mảng kinh doanh máy tính lớn (mainframe) và chi trả số tiền mặt đó dưới dạng cổ tức. Hãy ước tính beta cho HP sau khi thoái vốn. (HP có 1 tỷ đô la nợ chưa thanh toán.)</w:t>
      </w:r>
    </w:p>
    <w:p>
      <w:pPr>
        <w:numPr>
          <w:ilvl w:val="0"/>
          <w:numId w:val="71"/>
        </w:numPr>
        <w:pStyle w:val="Para 01"/>
      </w:pPr>
      <w:r>
        <w:t>Bảng sau đây tóm tắt phần trăm thay đổi trong thu nhập hoạt động, phần trăm thay đổi trong doanh thu, và beta cho bốn công ty dược phẩm.</w:t>
      </w:r>
    </w:p>
    <w:tbl>
      <w:tblPr>
        <w:tblW w:type="auto" w:w="0"/>
      </w:tblPr>
      <w:tr>
        <w:tc>
          <w:tcPr>
            <w:tcW w:type="auto" w:w="0"/>
          </w:tcPr>
          <w:tbl>
            <w:tblPr>
              <w:tblW w:type="auto" w:w="0"/>
            </w:tblPr>
            <w:tr>
              <w:tc>
                <w:tcPr>
                  <w:tcW w:type="auto" w:w="0"/>
                  <w:shd w:val="clear" w:color="auto" w:fill="F0F0F0"/>
                </w:tcPr>
                <w:p>
                  <w:pPr>
                    <w:pStyle w:val="Para 32"/>
                    <w:keepLines w:val="on"/>
                  </w:pPr>
                  <w:r>
                    <w:t>Công ty</w:t>
                  </w:r>
                </w:p>
              </w:tc>
              <w:tc>
                <w:tcPr>
                  <w:tcW w:type="auto" w:w="0"/>
                  <w:shd w:val="clear" w:color="auto" w:fill="F0F0F0"/>
                </w:tcPr>
                <w:p>
                  <w:pPr>
                    <w:pStyle w:val="Para 05"/>
                    <w:keepLines w:val="on"/>
                  </w:pPr>
                  <w:r>
                    <w:t>% Thay đổi (Doanh thu)</w:t>
                  </w:r>
                </w:p>
              </w:tc>
              <w:tc>
                <w:tcPr>
                  <w:tcW w:type="auto" w:w="0"/>
                  <w:shd w:val="clear" w:color="auto" w:fill="F0F0F0"/>
                </w:tcPr>
                <w:p>
                  <w:pPr>
                    <w:pStyle w:val="Para 05"/>
                    <w:keepLines w:val="on"/>
                  </w:pPr>
                  <w:r>
                    <w:t>% Thay đổi (Thu nhập hoạt động)</w:t>
                  </w:r>
                </w:p>
              </w:tc>
              <w:tc>
                <w:tcPr>
                  <w:tcW w:type="auto" w:w="0"/>
                  <w:shd w:val="clear" w:color="auto" w:fill="F0F0F0"/>
                </w:tcPr>
                <w:p>
                  <w:pPr>
                    <w:pStyle w:val="Para 05"/>
                    <w:keepLines w:val="on"/>
                  </w:pPr>
                  <w:r>
                    <w:t>Beta</w:t>
                  </w:r>
                </w:p>
              </w:tc>
            </w:tr>
            <w:tr>
              <w:tc>
                <w:tcPr>
                  <w:tcW w:type="auto" w:w="0"/>
                  <w:shd w:val="clear" w:color="auto" w:fill="F0F0F0"/>
                </w:tcPr>
                <w:p>
                  <w:pPr>
                    <w:pStyle w:val="Para 02"/>
                    <w:keepLines w:val="on"/>
                  </w:pPr>
                  <w:r>
                    <w:t>PharmaCorp</w:t>
                  </w:r>
                </w:p>
              </w:tc>
              <w:tc>
                <w:tcPr>
                  <w:tcW w:type="auto" w:w="0"/>
                  <w:shd w:val="clear" w:color="auto" w:fill="F0F0F0"/>
                </w:tcPr>
                <w:p>
                  <w:pPr>
                    <w:pStyle w:val="Normal"/>
                    <w:keepLines w:val="on"/>
                  </w:pPr>
                  <w:r>
                    <w:t>27%</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1,00</w:t>
                  </w:r>
                </w:p>
              </w:tc>
            </w:tr>
            <w:tr>
              <w:tc>
                <w:tcPr>
                  <w:tcW w:type="auto" w:w="0"/>
                  <w:shd w:val="clear" w:color="auto" w:fill="F0F0F0"/>
                </w:tcPr>
                <w:p>
                  <w:pPr>
                    <w:pStyle w:val="Para 02"/>
                    <w:keepLines w:val="on"/>
                  </w:pPr>
                  <w:r>
                    <w:t>SynerCorp</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32%</w:t>
                  </w:r>
                </w:p>
              </w:tc>
              <w:tc>
                <w:tcPr>
                  <w:tcW w:type="auto" w:w="0"/>
                  <w:shd w:val="clear" w:color="auto" w:fill="F0F0F0"/>
                </w:tcPr>
                <w:p>
                  <w:pPr>
                    <w:pStyle w:val="Normal"/>
                    <w:keepLines w:val="on"/>
                  </w:pPr>
                  <w:r>
                    <w:t>1,25</w:t>
                  </w:r>
                </w:p>
              </w:tc>
            </w:tr>
            <w:tr>
              <w:tc>
                <w:tcPr>
                  <w:tcW w:type="auto" w:w="0"/>
                  <w:shd w:val="clear" w:color="auto" w:fill="F0F0F0"/>
                </w:tcPr>
                <w:p>
                  <w:pPr>
                    <w:pStyle w:val="Para 02"/>
                    <w:keepLines w:val="on"/>
                  </w:pPr>
                  <w:r>
                    <w:t>BioMed</w:t>
                  </w:r>
                </w:p>
              </w:tc>
              <w:tc>
                <w:tcPr>
                  <w:tcW w:type="auto" w:w="0"/>
                  <w:shd w:val="clear" w:color="auto" w:fill="F0F0F0"/>
                </w:tcPr>
                <w:p>
                  <w:pPr>
                    <w:pStyle w:val="Normal"/>
                    <w:keepLines w:val="on"/>
                  </w:pPr>
                  <w:r>
                    <w:t>23%</w:t>
                  </w:r>
                </w:p>
              </w:tc>
              <w:tc>
                <w:tcPr>
                  <w:tcW w:type="auto" w:w="0"/>
                  <w:shd w:val="clear" w:color="auto" w:fill="F0F0F0"/>
                </w:tcPr>
                <w:p>
                  <w:pPr>
                    <w:pStyle w:val="Normal"/>
                    <w:keepLines w:val="on"/>
                  </w:pPr>
                  <w:r>
                    <w:t>36%</w:t>
                  </w:r>
                </w:p>
              </w:tc>
              <w:tc>
                <w:tcPr>
                  <w:tcW w:type="auto" w:w="0"/>
                  <w:shd w:val="clear" w:color="auto" w:fill="F0F0F0"/>
                </w:tcPr>
                <w:p>
                  <w:pPr>
                    <w:pStyle w:val="Normal"/>
                    <w:keepLines w:val="on"/>
                  </w:pPr>
                  <w:r>
                    <w:t>1.30</w:t>
                  </w:r>
                </w:p>
              </w:tc>
            </w:tr>
            <w:tr>
              <w:tc>
                <w:tcPr>
                  <w:tcW w:type="auto" w:w="0"/>
                  <w:shd w:val="clear" w:color="auto" w:fill="F0F0F0"/>
                </w:tcPr>
                <w:p>
                  <w:pPr>
                    <w:pStyle w:val="Para 02"/>
                    <w:keepLines w:val="on"/>
                  </w:pPr>
                  <w:r>
                    <w:t>Safemed</w:t>
                  </w:r>
                </w:p>
              </w:tc>
              <w:tc>
                <w:tcPr>
                  <w:tcW w:type="auto" w:w="0"/>
                  <w:shd w:val="clear" w:color="auto" w:fill="F0F0F0"/>
                </w:tcPr>
                <w:p>
                  <w:pPr>
                    <w:pStyle w:val="Normal"/>
                    <w:keepLines w:val="on"/>
                  </w:pPr>
                  <w:r>
                    <w:t>21%</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1.40</w:t>
                  </w:r>
                </w:p>
              </w:tc>
            </w:tr>
          </w:tbl>
          <w:p/>
        </w:tc>
      </w:tr>
    </w:tbl>
    <w:p>
      <w:pPr>
        <w:numPr>
          <w:ilvl w:val="1"/>
          <w:numId w:val="71"/>
        </w:numPr>
        <w:pStyle w:val="Para 01"/>
      </w:pPr>
      <w:r>
        <w:t>Hãy tính độ bẩy hoạt động (degree of operating leverage) cho từng công ty trong số này.</w:t>
      </w:r>
    </w:p>
    <w:p>
      <w:pPr>
        <w:numPr>
          <w:ilvl w:val="1"/>
          <w:numId w:val="71"/>
        </w:numPr>
        <w:pStyle w:val="Para 01"/>
      </w:pPr>
      <w:r>
        <w:t>Dùng độ bẩy hoạt động để giải thích vì sao các công ty này có hệ số beta khác nhau.</w:t>
      </w:r>
    </w:p>
    <w:p>
      <w:pPr>
        <w:numPr>
          <w:ilvl w:val="0"/>
          <w:numId w:val="71"/>
        </w:numPr>
        <w:pStyle w:val="Para 01"/>
      </w:pPr>
      <w:r>
        <w:t>Một dịch vụ ước lượng beta nổi tiếng báo cáo rằng beta của Comcast Corporation, một nhà khai thác truyền hình cáp lớn, là 1,45. Dịch vụ này tuyên bố sử dụng lợi suất hàng tuần của cổ phiếu trong năm năm trước đó và Chỉ số tổng hợp NYSE làm chỉ số thị trường để ước lượng beta. Bạn chạy lại mô hình hồi quy bằng lợi suất hàng tuần trong cùng giai đoạn đó và thu được ước lượng beta là 1,60. Bạn sẽ dung hòa hai ước lượng này như thế nào?</w:t>
      </w:r>
    </w:p>
    <w:p>
      <w:pPr>
        <w:numPr>
          <w:ilvl w:val="0"/>
          <w:numId w:val="71"/>
        </w:numPr>
        <w:pStyle w:val="Para 01"/>
      </w:pPr>
      <w:r>
        <w:t>Battle Mountain là một công ty khai khoáng có vàng, bạc và đồng trong các mỏ ở Nam Mỹ, châu Phi và châu Úc. Beta của cổ phiếu này được ước lượng là 0,30. Với mức biến động của giá hàng hóa, bạn sẽ giải thích thế nào về hệ số beta thấp này?</w:t>
      </w:r>
    </w:p>
    <w:p>
      <w:pPr>
        <w:numPr>
          <w:ilvl w:val="0"/>
          <w:numId w:val="71"/>
        </w:numPr>
        <w:pStyle w:val="Para 01"/>
      </w:pPr>
      <w:r>
        <w:t>Bạn đã thu thập lợi suất của AnaDone Corporation (AD Corp.), một công ty sản xuất lớn, đa dạng hóa, và của chỉ số NYSE trong năm năm:</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AD Corp.</w:t>
                  </w:r>
                </w:p>
              </w:tc>
              <w:tc>
                <w:tcPr>
                  <w:tcW w:type="auto" w:w="0"/>
                  <w:shd w:val="clear" w:color="auto" w:fill="F0F0F0"/>
                </w:tcPr>
                <w:p>
                  <w:pPr>
                    <w:pStyle w:val="Para 05"/>
                    <w:keepLines w:val="on"/>
                  </w:pPr>
                  <w:r>
                    <w:t>NYSE</w:t>
                  </w:r>
                </w:p>
              </w:tc>
            </w:tr>
            <w:tr>
              <w:tc>
                <w:tcPr>
                  <w:tcW w:type="auto" w:w="0"/>
                  <w:shd w:val="clear" w:color="auto" w:fill="F0F0F0"/>
                </w:tcPr>
                <w:p>
                  <w:pPr>
                    <w:pStyle w:val="Normal"/>
                    <w:keepLines w:val="on"/>
                  </w:pPr>
                  <w:r>
                    <w:t>1981</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5%</w:t>
                  </w:r>
                </w:p>
              </w:tc>
            </w:tr>
            <w:tr>
              <w:tc>
                <w:tcPr>
                  <w:tcW w:type="auto" w:w="0"/>
                  <w:shd w:val="clear" w:color="auto" w:fill="F0F0F0"/>
                </w:tcPr>
                <w:p>
                  <w:pPr>
                    <w:pStyle w:val="Normal"/>
                    <w:keepLines w:val="on"/>
                  </w:pPr>
                  <w:r>
                    <w:t>1982</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15%</w:t>
                  </w:r>
                </w:p>
              </w:tc>
            </w:tr>
            <w:tr>
              <w:tc>
                <w:tcPr>
                  <w:tcW w:type="auto" w:w="0"/>
                  <w:shd w:val="clear" w:color="auto" w:fill="F0F0F0"/>
                </w:tcPr>
                <w:p>
                  <w:pPr>
                    <w:pStyle w:val="Normal"/>
                    <w:keepLines w:val="on"/>
                  </w:pPr>
                  <w:r>
                    <w:t>1983</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8%</w:t>
                  </w:r>
                </w:p>
              </w:tc>
            </w:tr>
            <w:tr>
              <w:tc>
                <w:tcPr>
                  <w:tcW w:type="auto" w:w="0"/>
                  <w:shd w:val="clear" w:color="auto" w:fill="F0F0F0"/>
                </w:tcPr>
                <w:p>
                  <w:pPr>
                    <w:pStyle w:val="Normal"/>
                    <w:keepLines w:val="on"/>
                  </w:pPr>
                  <w:r>
                    <w:t>1984</w:t>
                  </w:r>
                </w:p>
              </w:tc>
              <w:tc>
                <w:tcPr>
                  <w:tcW w:type="auto" w:w="0"/>
                  <w:shd w:val="clear" w:color="auto" w:fill="F0F0F0"/>
                </w:tcPr>
                <w:p>
                  <w:pPr>
                    <w:pStyle w:val="Normal"/>
                    <w:keepLines w:val="on"/>
                  </w:pPr>
                  <w:r>
                    <w:t>20%</w:t>
                  </w:r>
                </w:p>
              </w:tc>
              <w:tc>
                <w:tcPr>
                  <w:tcW w:type="auto" w:w="0"/>
                  <w:shd w:val="clear" w:color="auto" w:fill="F0F0F0"/>
                </w:tcPr>
                <w:p>
                  <w:pPr>
                    <w:pStyle w:val="Normal"/>
                    <w:keepLines w:val="on"/>
                  </w:pPr>
                  <w:r>
                    <w:t>12%</w:t>
                  </w:r>
                </w:p>
              </w:tc>
            </w:tr>
            <w:tr>
              <w:tc>
                <w:tcPr>
                  <w:tcW w:type="auto" w:w="0"/>
                  <w:shd w:val="clear" w:color="auto" w:fill="F0F0F0"/>
                </w:tcPr>
                <w:p>
                  <w:pPr>
                    <w:pStyle w:val="Normal"/>
                    <w:keepLines w:val="on"/>
                  </w:pPr>
                  <w:r>
                    <w:t>1985</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–5%</w:t>
                  </w:r>
                </w:p>
              </w:tc>
            </w:tr>
          </w:tbl>
          <w:p/>
        </w:tc>
      </w:tr>
    </w:tbl>
    <w:p>
      <w:pPr>
        <w:numPr>
          <w:ilvl w:val="1"/>
          <w:numId w:val="71"/>
        </w:numPr>
        <w:pStyle w:val="Para 01"/>
      </w:pPr>
      <w:r>
        <w:t>Ước lượng hệ số chặn (alpha) và độ dốc (beta) của hồi quy.</w:t>
      </w:r>
    </w:p>
    <w:p>
      <w:pPr>
        <w:numPr>
          <w:ilvl w:val="1"/>
          <w:numId w:val="71"/>
        </w:numPr>
        <w:pStyle w:val="Para 01"/>
      </w:pPr>
      <w:r>
        <w:t>Nếu bạn mua cổ phiếu của AD Corp. hôm nay, bạn kỳ vọng sẽ thu được bao nhiêu lợi nhuận trong năm tới? (Lãi suất tín phiếu kho bạc kỳ hạn sáu tháng là 6%.)</w:t>
      </w:r>
    </w:p>
    <w:p>
      <w:pPr>
        <w:numPr>
          <w:ilvl w:val="1"/>
          <w:numId w:val="71"/>
        </w:numPr>
        <w:pStyle w:val="Para 01"/>
      </w:pPr>
      <w:r>
        <w:t>Nhìn lại năm năm qua, bạn sẽ đánh giá hiệu suất của AD Corp. so với thị trường như thế nào?</w:t>
      </w:r>
    </w:p>
    <w:p>
      <w:pPr>
        <w:numPr>
          <w:ilvl w:val="1"/>
          <w:numId w:val="71"/>
        </w:numPr>
        <w:pStyle w:val="Para 01"/>
      </w:pPr>
      <w:r>
        <w:t>Giả sử bây giờ bạn là một nhà đầu tư không đa dạng hóa và bạn dồn hết tiền vào AD Corp. Đâu sẽ là một thước đo tốt cho rủi ro mà bạn đang gánh chịu? Bạn có thể loại bỏ bao nhiêu phần của rủi ro này nếu bạn đa dạng hóa?</w:t>
      </w:r>
    </w:p>
    <w:p>
      <w:pPr>
        <w:numPr>
          <w:ilvl w:val="1"/>
          <w:numId w:val="71"/>
        </w:numPr>
        <w:pStyle w:val="Para 01"/>
      </w:pPr>
      <w:r>
        <w:t>AD Corp. đang lên kế hoạch bán đi một trong các bộ phận của mình. Bộ phận đang được cân nhắc có tài sản chiếm một nửa giá trị sổ sách của AD Corp. và 20% giá trị thị trường. Beta của nó gấp đôi beta trung bình của AD Corp. (trước khi thoái vốn). Beta của AD Corp. sẽ là bao nhiêu sau khi thoái vốn bộ phận này?</w:t>
      </w:r>
    </w:p>
    <w:p>
      <w:pPr>
        <w:numPr>
          <w:ilvl w:val="0"/>
          <w:numId w:val="71"/>
        </w:numPr>
        <w:pStyle w:val="Para 01"/>
      </w:pPr>
      <w:r>
        <w:t>Bạn chạy một hồi quy lợi nhuận hàng tháng của Mapco Inc., một công ty sản xuất dầu khí, theo chỉ số S&amp;P 500, và thu được kết quả sau cho giai đoạn 1991–1995:</w:t>
      </w:r>
    </w:p>
    <w:p>
      <w:bookmarkStart w:id="1537" w:name="Intercept_of_the_regression___0"/>
      <w:pPr>
        <w:keepNext/>
        <w:pStyle w:val="Para 09"/>
        <w:keepLines w:val="on"/>
      </w:pPr>
      <w:r>
        <w:t>Hệ số chặn của hồi quy = 0,06%Độ dốc của hồi quy = 0,46Sai số chuẩn của hệ số X = 0,20R-squared = 5%</w:t>
      </w:r>
      <w:bookmarkEnd w:id="1537"/>
    </w:p>
    <w:p>
      <w:pPr>
        <w:pStyle w:val="Para 03"/>
      </w:pPr>
      <w:r>
        <w:t>Có 20 triệu cổ phiếu đang lưu hành, và giá thị trường hiện tại là 2 đô la một cổ phiếu. Công ty có 20 triệu đô la nợ đang lưu hành. (Công ty có thuế suất 36%.)</w:t>
      </w:r>
    </w:p>
    <w:p>
      <w:pPr>
        <w:numPr>
          <w:ilvl w:val="1"/>
          <w:numId w:val="71"/>
        </w:numPr>
        <w:pStyle w:val="Para 01"/>
      </w:pPr>
      <w:r>
        <w:t>Một nhà đầu tư vào cổ phiếu của Mapco sẽ yêu cầu mức lợi nhuận là bao nhiêu nếu lãi suất trái phiếu kho bạc là 6%?</w:t>
      </w:r>
    </w:p>
    <w:p>
      <w:pPr>
        <w:numPr>
          <w:ilvl w:val="1"/>
          <w:numId w:val="71"/>
        </w:numPr>
        <w:pStyle w:val="Para 01"/>
      </w:pPr>
      <w:r>
        <w:t>Bao nhiêu phần rủi ro của công ty này là có thể đa dạng hóa?</w:t>
      </w:r>
    </w:p>
    <w:p>
      <w:pPr>
        <w:numPr>
          <w:ilvl w:val="1"/>
          <w:numId w:val="71"/>
        </w:numPr>
        <w:pStyle w:val="Para 01"/>
      </w:pPr>
      <w:r>
        <w:t>Giả sử bây giờ Mapco có ba bộ phận có quy mô bằng nhau (xét theo giá trị thị trường). Công ty dự định thoái vốn một trong các bộ phận để lấy 20 triệu đô la tiền mặt và mua lại một bộ phận khác với giá 50 triệu đô la. (Công ty sẽ vay 30 triệu đô la để hoàn tất thương vụ mua lại này.) Bộ phận mà công ty đang thoái vốn thuộc một ngành kinh doanh có beta chưa vay nợ trung bình là 0,20, và bộ phận mà công ty đang mua lại thuộc một ngành kinh doanh có beta chưa vay nợ trung bình là 0,80. Beta của Mapco sẽ là bao nhiêu sau thương vụ mua lại này?</w:t>
      </w:r>
    </w:p>
    <w:p>
      <w:pPr>
        <w:numPr>
          <w:ilvl w:val="0"/>
          <w:numId w:val="71"/>
        </w:numPr>
        <w:pStyle w:val="Para 01"/>
      </w:pPr>
      <w:r>
        <w:t>Bạn vừa chạy một hồi quy lợi nhuận hàng tháng của American Airlines (AMR Corporation) theo S&amp;P 500 trong năm năm qua. Bạn đã làm thất lạc một phần kết quả và đang cố gắng suy ra nó từ những gì bạn có.</w:t>
      </w:r>
    </w:p>
    <w:p>
      <w:pPr>
        <w:numPr>
          <w:ilvl w:val="1"/>
          <w:numId w:val="71"/>
        </w:numPr>
        <w:pStyle w:val="Para 01"/>
      </w:pPr>
      <w:r>
        <w:t>Bạn biết R-squared của hồi quy là 0,36, và cổ phiếu của bạn có phương sai là 67%. Phương sai của thị trường là 12%. Beta của AMR là bao nhiêu?</w:t>
      </w:r>
    </w:p>
    <w:p>
      <w:pPr>
        <w:numPr>
          <w:ilvl w:val="1"/>
          <w:numId w:val="71"/>
        </w:numPr>
        <w:pStyle w:val="Para 01"/>
      </w:pPr>
      <w:r>
        <w:t>Bạn cũng nhớ rằng AMR không phải là một khoản đầu tư tốt lắm trong giai đoạn hồi quy, và nó kém hơn kỳ vọng (sau khi điều chỉnh theo rủi ro) 0,39% mỗi tháng trong năm năm của hồi quy. Trong giai đoạn này, lãi suất phi rủi ro trung bình là 4,84%. Hệ số chặn của hồi quy là bao nhiêu?</w:t>
      </w:r>
    </w:p>
    <w:p>
      <w:pPr>
        <w:numPr>
          <w:ilvl w:val="1"/>
          <w:numId w:val="71"/>
        </w:numPr>
        <w:pStyle w:val="Para 01"/>
      </w:pPr>
      <w:r>
        <w:t>Bạn đang so sánh AMR với một công ty khác, công ty này cũng có R-squared là 0,48. Hai công ty này có cùng beta không? Nếu không, tại sao không?</w:t>
      </w:r>
    </w:p>
    <w:p>
      <w:pPr>
        <w:numPr>
          <w:ilvl w:val="0"/>
          <w:numId w:val="71"/>
        </w:numPr>
        <w:pStyle w:val="Para 01"/>
      </w:pPr>
      <w:r>
        <w:t>Bạn đã chạy một hồi quy lợi nhuận hàng tháng của Amgen, một công ty công nghệ sinh học lớn, theo lợi nhuận hàng tháng của chỉ số S&amp;P 500, và thu được kết quả sau:</w:t>
      </w:r>
    </w:p>
    <w:p>
      <w:bookmarkStart w:id="1539" w:name="Rstock_3_28__1_65_RmarketR2_0_20"/>
      <w:pPr>
        <w:keepNext/>
        <w:pStyle w:val="Para 09"/>
        <w:keepLines w:val="on"/>
      </w:pPr>
      <w:r>
        <w:t>Rstock=3,28%+1,65 RmarketR2=0,20</w:t>
      </w:r>
      <w:bookmarkEnd w:id="1539"/>
    </w:p>
    <w:p>
      <w:pPr>
        <w:pStyle w:val="Para 03"/>
      </w:pPr>
      <w:r>
        <w:t>Lãi suất tín phiếu kho bạc kỳ hạn một năm hiện tại là 4,8% và lãi suất trái phiếu kỳ hạn 30 năm hiện tại là 6,4%. Công ty có 265 triệu cổ phiếu đang lưu hành, đang bán với giá 30 đô la một cổ phiếu.</w:t>
      </w:r>
    </w:p>
    <w:p>
      <w:pPr>
        <w:numPr>
          <w:ilvl w:val="1"/>
          <w:numId w:val="71"/>
        </w:numPr>
        <w:pStyle w:val="Para 01"/>
      </w:pPr>
      <w:r>
        <w:t>Lợi nhuận kỳ vọng của cổ phiếu này trong năm tới là bao nhiêu?</w:t>
      </w:r>
    </w:p>
    <w:p>
      <w:pPr>
        <w:numPr>
          <w:ilvl w:val="1"/>
          <w:numId w:val="71"/>
        </w:numPr>
        <w:pStyle w:val="Para 01"/>
      </w:pPr>
      <w:r>
        <w:t>Ước lượng lợi nhuận kỳ vọng của bạn có thay đổi không nếu mục đích là để có một tỷ lệ chiết khấu định giá công ty?</w:t>
      </w:r>
    </w:p>
    <w:p>
      <w:pPr>
        <w:numPr>
          <w:ilvl w:val="1"/>
          <w:numId w:val="71"/>
        </w:numPr>
        <w:pStyle w:val="Para 01"/>
      </w:pPr>
      <w:r>
        <w:t>Một nhà phân tích đã ước lượng, một cách chính xác, rằng cổ phiếu đã tốt hơn kỳ vọng 51,1% mỗi năm trong giai đoạn hồi quy. Bạn có thể ước lượng lãi suất phi rủi ro theo năm mà cô ấy đã dùng cho ước lượng của mình không?</w:t>
      </w:r>
    </w:p>
    <w:p>
      <w:pPr>
        <w:numPr>
          <w:ilvl w:val="1"/>
          <w:numId w:val="71"/>
        </w:numPr>
        <w:pStyle w:val="Para 01"/>
      </w:pPr>
      <w:r>
        <w:t>Công ty có tỷ lệ nợ/vốn chủ sở hữu là 3% và chịu thuế suất 40%. Công ty dự định phát hành 2 tỷ đô la nợ mới và mua lại một doanh nghiệp mới với số tiền đó, có cùng mức rủi ro như doanh nghiệp hiện tại của công ty. Beta sẽ là bao nhiêu sau thương vụ mua lại?</w:t>
      </w:r>
    </w:p>
    <w:p>
      <w:pPr>
        <w:numPr>
          <w:ilvl w:val="0"/>
          <w:numId w:val="71"/>
        </w:numPr>
        <w:pStyle w:val="Para 01"/>
      </w:pPr>
      <w:r>
        <w:t>Bạn vừa chạy một hồi quy lợi nhuận hàng tháng của MAD Inc., một nhà xuất bản báo và tạp chí, theo lợi nhuận của S&amp;P 500, và thu được kết quả như sau:</w:t>
      </w:r>
    </w:p>
    <w:p>
      <w:bookmarkStart w:id="1540" w:name="RMAD______0_05____1_20_RS_P"/>
      <w:pPr>
        <w:keepNext/>
        <w:pStyle w:val="Para 09"/>
        <w:keepLines w:val="on"/>
      </w:pPr>
      <w:r>
        <w:t>RMAD =− 0.05% + 1.20 RS&amp;P</w:t>
      </w:r>
      <w:bookmarkEnd w:id="1540"/>
    </w:p>
    <w:p>
      <w:pPr>
        <w:pStyle w:val="Para 03"/>
      </w:pPr>
      <w:r>
        <w:t>Hồi quy này có R-squared là 22%. Lãi suất tín phiếu kho bạc (T-bill) hiện tại là 5,5%, và lãi suất trái phiếu kho bạc (T-bond) hiện tại là 6,5%. Lãi suất phi rủi ro trong giai đoạn hồi quy là 6%. Hãy trả lời các câu hỏi sau liên quan đến hồi quy này:</w:t>
      </w:r>
    </w:p>
    <w:p>
      <w:pPr>
        <w:numPr>
          <w:ilvl w:val="1"/>
          <w:numId w:val="71"/>
        </w:numPr>
        <w:pStyle w:val="Para 01"/>
      </w:pPr>
      <w:r>
        <w:t>Dựa trên hệ số chặn (intercept), MAD đã làm tốt hay kém đến mức nào so với kỳ vọng trong giai đoạn hồi quy?</w:t>
      </w:r>
    </w:p>
    <w:p>
      <w:pPr>
        <w:numPr>
          <w:ilvl w:val="1"/>
          <w:numId w:val="71"/>
        </w:numPr>
        <w:pStyle w:val="Para 01"/>
      </w:pPr>
      <w:r>
        <w:t>Bây giờ bạn nhận ra rằng MAD Inc. đã trải qua một cuộc tái cấu trúc lớn vào cuối tháng trước (tháng cuối cùng trong hồi quy của bạn), và đã thực hiện những thay đổi sau:</w:t>
      </w:r>
    </w:p>
    <w:p>
      <w:pPr>
        <w:numPr>
          <w:ilvl w:val="2"/>
          <w:numId w:val="71"/>
        </w:numPr>
        <w:pStyle w:val="Para 01"/>
      </w:pPr>
      <w:r>
        <w:t>Công ty đã bán đi mảng tạp chí của mình, vốn có beta không vay nợ (unlevered beta) là 0,6, với giá 20 triệu đô la.</w:t>
      </w:r>
    </w:p>
    <w:p>
      <w:pPr>
        <w:numPr>
          <w:ilvl w:val="2"/>
          <w:numId w:val="71"/>
        </w:numPr>
        <w:pStyle w:val="Para 01"/>
      </w:pPr>
      <w:r>
        <w:t>Công ty đã vay thêm 20 triệu đô la, và mua lại cổ phiếu trị giá 40 triệu đô la.</w:t>
      </w:r>
    </w:p>
    <w:p>
      <w:pPr>
        <w:pStyle w:val="Para 03"/>
      </w:pPr>
      <w:r>
        <w:t>Sau khi bán mảng kinh doanh và mua lại cổ phiếu, MAD Inc. có 40 triệu đô la nợ và 120 triệu đô la vốn chủ sở hữu đang lưu hành. Nếu thuế suất của công ty là 40%, hãy ước tính lại beta sau những thay đổi này.</w:t>
      </w:r>
    </w:p>
    <w:p>
      <w:pPr>
        <w:numPr>
          <w:ilvl w:val="0"/>
          <w:numId w:val="71"/>
        </w:numPr>
        <w:pStyle w:val="Para 01"/>
      </w:pPr>
      <w:r>
        <w:t>Time Warner Inc., tập đoàn giải trí đa ngành, có beta là 1,61 vào năm 1995. Một phần nguyên nhân dẫn đến beta cao là do khoản nợ còn lại từ thương vụ mua lại đòn bẩy (leveraged buyout) Time bởi Warner vào năm 1989, lên tới 10 tỷ đô la vào năm 1995. Giá trị thị trường của vốn chủ sở hữu tại Time Warner năm 1995 cũng là 10 tỷ đô la. Thuế suất biên là 40%.</w:t>
      </w:r>
    </w:p>
    <w:p>
      <w:pPr>
        <w:numPr>
          <w:ilvl w:val="1"/>
          <w:numId w:val="71"/>
        </w:numPr>
        <w:pStyle w:val="Para 01"/>
      </w:pPr>
      <w:r>
        <w:t>Hãy ước tính beta không vay nợ (unlevered beta) cho Time Warner.</w:t>
      </w:r>
    </w:p>
    <w:p>
      <w:pPr>
        <w:numPr>
          <w:ilvl w:val="1"/>
          <w:numId w:val="71"/>
        </w:numPr>
        <w:pStyle w:val="Para 01"/>
      </w:pPr>
      <w:r>
        <w:t>Hãy ước tính tác động của việc giảm tỷ lệ nợ đi 10% mỗi năm trong hai năm tới lên beta của cổ phiếu.</w:t>
      </w:r>
    </w:p>
    <w:p>
      <w:pPr>
        <w:numPr>
          <w:ilvl w:val="0"/>
          <w:numId w:val="71"/>
        </w:numPr>
        <w:pStyle w:val="Para 01"/>
      </w:pPr>
      <w:r>
        <w:t>Chrysler, nhà sản xuất ô tô, có beta là 1,05 vào năm 1995. Công ty có 13 tỷ đô la nợ đang lưu hành trong năm đó, và 355 triệu cổ phiếu đang giao dịch ở mức 50 đô la mỗi cổ phiếu. Công ty có số dư tiền mặt là 8 tỷ đô la vào cuối năm 1995. Thuế suất biên là 36%.</w:t>
      </w:r>
    </w:p>
    <w:p>
      <w:pPr>
        <w:numPr>
          <w:ilvl w:val="1"/>
          <w:numId w:val="71"/>
        </w:numPr>
        <w:pStyle w:val="Para 01"/>
      </w:pPr>
      <w:r>
        <w:t>Hãy ước tính beta không vay nợ (unlevered beta) của công ty.</w:t>
      </w:r>
    </w:p>
    <w:p>
      <w:pPr>
        <w:numPr>
          <w:ilvl w:val="1"/>
          <w:numId w:val="71"/>
        </w:numPr>
        <w:pStyle w:val="Para 01"/>
      </w:pPr>
      <w:r>
        <w:t>Hãy ước tính tác động của việc chi trả cổ tức đặc biệt (special dividend) 5 tỷ đô la lên beta không vay nợ này.</w:t>
      </w:r>
    </w:p>
    <w:p>
      <w:pPr>
        <w:numPr>
          <w:ilvl w:val="1"/>
          <w:numId w:val="71"/>
        </w:numPr>
        <w:pStyle w:val="Para 01"/>
      </w:pPr>
      <w:r>
        <w:t>Hãy ước tính beta cho Chrysler sau khi chi trả cổ tức đặc biệt.</w:t>
      </w:r>
    </w:p>
    <w:p>
      <w:pPr>
        <w:numPr>
          <w:ilvl w:val="0"/>
          <w:numId w:val="71"/>
        </w:numPr>
        <w:pStyle w:val="Para 01"/>
      </w:pPr>
      <w:r>
        <w:t>Bạn đang cố gắng ước tính beta của một công ty tư nhân chuyên sản xuất thiết bị gia dụng. Bạn đã thu thập được beta của các công ty niêm yết cũng sản xuất thiết bị gia dụng.</w:t>
      </w:r>
    </w:p>
    <w:tbl>
      <w:tblPr>
        <w:tblW w:type="auto" w:w="0"/>
      </w:tblPr>
      <w:tr>
        <w:tc>
          <w:tcPr>
            <w:tcW w:type="auto" w:w="0"/>
          </w:tcPr>
          <w:tbl>
            <w:tblPr>
              <w:tblW w:type="auto" w:w="0"/>
            </w:tblPr>
            <w:tr>
              <w:tc>
                <w:tcPr>
                  <w:tcW w:type="auto" w:w="0"/>
                  <w:shd w:val="clear" w:color="auto" w:fill="F0F0F0"/>
                </w:tcPr>
                <w:p>
                  <w:pPr>
                    <w:pStyle w:val="Para 32"/>
                    <w:keepLines w:val="on"/>
                  </w:pPr>
                  <w:r>
                    <w:t>Công ty</w:t>
                  </w:r>
                </w:p>
              </w:tc>
              <w:tc>
                <w:tcPr>
                  <w:tcW w:type="auto" w:w="0"/>
                  <w:shd w:val="clear" w:color="auto" w:fill="F0F0F0"/>
                </w:tcPr>
                <w:p>
                  <w:pPr>
                    <w:pStyle w:val="Para 05"/>
                    <w:keepLines w:val="on"/>
                  </w:pPr>
                  <w:r>
                    <w:t>Beta</w:t>
                  </w:r>
                </w:p>
              </w:tc>
              <w:tc>
                <w:tcPr>
                  <w:tcW w:type="auto" w:w="0"/>
                  <w:shd w:val="clear" w:color="auto" w:fill="F0F0F0"/>
                </w:tcPr>
                <w:p>
                  <w:pPr>
                    <w:pStyle w:val="Para 05"/>
                    <w:keepLines w:val="on"/>
                  </w:pPr>
                  <w:r>
                    <w:t>Nợ</w:t>
                  </w:r>
                </w:p>
              </w:tc>
              <w:tc>
                <w:tcPr>
                  <w:tcW w:type="auto" w:w="0"/>
                  <w:shd w:val="clear" w:color="auto" w:fill="F0F0F0"/>
                </w:tcPr>
                <w:p>
                  <w:pPr>
                    <w:pStyle w:val="Para 05"/>
                    <w:keepLines w:val="on"/>
                  </w:pPr>
                  <w:r>
                    <w:t>Giá trị thị trường của vốn chủ sở hữu</w:t>
                  </w:r>
                </w:p>
              </w:tc>
            </w:tr>
            <w:tr>
              <w:tc>
                <w:tcPr>
                  <w:tcW w:type="auto" w:w="0"/>
                  <w:shd w:val="clear" w:color="auto" w:fill="F0F0F0"/>
                </w:tcPr>
                <w:p>
                  <w:pPr>
                    <w:pStyle w:val="Para 02"/>
                    <w:keepLines w:val="on"/>
                  </w:pPr>
                  <w:r>
                    <w:t>Black &amp; Decker</w:t>
                  </w:r>
                </w:p>
              </w:tc>
              <w:tc>
                <w:tcPr>
                  <w:tcW w:type="auto" w:w="0"/>
                  <w:shd w:val="clear" w:color="auto" w:fill="F0F0F0"/>
                </w:tcPr>
                <w:p>
                  <w:pPr>
                    <w:pStyle w:val="Normal"/>
                    <w:keepLines w:val="on"/>
                  </w:pPr>
                  <w:r>
                    <w:t>1,40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$3.000</w:t>
                  </w:r>
                </w:p>
              </w:tc>
            </w:tr>
            <w:tr>
              <w:tc>
                <w:tcPr>
                  <w:tcW w:type="auto" w:w="0"/>
                  <w:shd w:val="clear" w:color="auto" w:fill="F0F0F0"/>
                </w:tcPr>
                <w:p>
                  <w:pPr>
                    <w:pStyle w:val="Para 02"/>
                    <w:keepLines w:val="on"/>
                  </w:pPr>
                  <w:r>
                    <w:t>Fedders Corp.</w:t>
                  </w:r>
                </w:p>
              </w:tc>
              <w:tc>
                <w:tcPr>
                  <w:tcW w:type="auto" w:w="0"/>
                  <w:shd w:val="clear" w:color="auto" w:fill="F0F0F0"/>
                </w:tcPr>
                <w:p>
                  <w:pPr>
                    <w:pStyle w:val="Normal"/>
                    <w:keepLines w:val="on"/>
                  </w:pPr>
                  <w:r>
                    <w:t>1,20</w:t>
                  </w:r>
                </w:p>
              </w:tc>
              <w:tc>
                <w:tcPr>
                  <w:tcW w:type="auto" w:w="0"/>
                  <w:shd w:val="clear" w:color="auto" w:fill="F0F0F0"/>
                </w:tcPr>
                <w:p>
                  <w:pPr>
                    <w:pStyle w:val="Normal"/>
                    <w:keepLines w:val="on"/>
                  </w:pPr>
                  <w:r>
                    <w:t>5 đô la</w:t>
                  </w:r>
                </w:p>
              </w:tc>
              <w:tc>
                <w:tcPr>
                  <w:tcW w:type="auto" w:w="0"/>
                  <w:shd w:val="clear" w:color="auto" w:fill="F0F0F0"/>
                </w:tcPr>
                <w:p>
                  <w:pPr>
                    <w:pStyle w:val="Normal"/>
                    <w:keepLines w:val="on"/>
                  </w:pPr>
                  <w:r>
                    <w:t>200 đô la</w:t>
                  </w:r>
                </w:p>
              </w:tc>
            </w:tr>
            <w:tr>
              <w:tc>
                <w:tcPr>
                  <w:tcW w:type="auto" w:w="0"/>
                  <w:shd w:val="clear" w:color="auto" w:fill="F0F0F0"/>
                </w:tcPr>
                <w:p>
                  <w:pPr>
                    <w:pStyle w:val="Para 02"/>
                    <w:keepLines w:val="on"/>
                  </w:pPr>
                  <w:r>
                    <w:t>Maytag Corp.</w:t>
                  </w:r>
                </w:p>
              </w:tc>
              <w:tc>
                <w:tcPr>
                  <w:tcW w:type="auto" w:w="0"/>
                  <w:shd w:val="clear" w:color="auto" w:fill="F0F0F0"/>
                </w:tcPr>
                <w:p>
                  <w:pPr>
                    <w:pStyle w:val="Normal"/>
                    <w:keepLines w:val="on"/>
                  </w:pPr>
                  <w:r>
                    <w:t>1,20</w:t>
                  </w:r>
                </w:p>
              </w:tc>
              <w:tc>
                <w:tcPr>
                  <w:tcW w:type="auto" w:w="0"/>
                  <w:shd w:val="clear" w:color="auto" w:fill="F0F0F0"/>
                </w:tcPr>
                <w:p>
                  <w:pPr>
                    <w:pStyle w:val="Normal"/>
                    <w:keepLines w:val="on"/>
                  </w:pPr>
                  <w:r>
                    <w:t>540 đô la</w:t>
                  </w:r>
                </w:p>
              </w:tc>
              <w:tc>
                <w:tcPr>
                  <w:tcW w:type="auto" w:w="0"/>
                  <w:shd w:val="clear" w:color="auto" w:fill="F0F0F0"/>
                </w:tcPr>
                <w:p>
                  <w:pPr>
                    <w:pStyle w:val="Normal"/>
                    <w:keepLines w:val="on"/>
                  </w:pPr>
                  <w:r>
                    <w:t>2.250 đô la</w:t>
                  </w:r>
                </w:p>
              </w:tc>
            </w:tr>
            <w:tr>
              <w:tc>
                <w:tcPr>
                  <w:tcW w:type="auto" w:w="0"/>
                  <w:shd w:val="clear" w:color="auto" w:fill="F0F0F0"/>
                </w:tcPr>
                <w:p>
                  <w:pPr>
                    <w:pStyle w:val="Para 02"/>
                    <w:keepLines w:val="on"/>
                  </w:pPr>
                  <w:r>
                    <w:t>National Presto</w:t>
                  </w:r>
                </w:p>
              </w:tc>
              <w:tc>
                <w:tcPr>
                  <w:tcW w:type="auto" w:w="0"/>
                  <w:shd w:val="clear" w:color="auto" w:fill="F0F0F0"/>
                </w:tcPr>
                <w:p>
                  <w:pPr>
                    <w:pStyle w:val="Normal"/>
                    <w:keepLines w:val="on"/>
                  </w:pPr>
                  <w:r>
                    <w:t>0,70</w:t>
                  </w:r>
                </w:p>
              </w:tc>
              <w:tc>
                <w:tcPr>
                  <w:tcW w:type="auto" w:w="0"/>
                  <w:shd w:val="clear" w:color="auto" w:fill="F0F0F0"/>
                </w:tcPr>
                <w:p>
                  <w:pPr>
                    <w:pStyle w:val="Normal"/>
                    <w:keepLines w:val="on"/>
                  </w:pPr>
                  <w:r>
                    <w:t>8 đô la</w:t>
                  </w:r>
                </w:p>
              </w:tc>
              <w:tc>
                <w:tcPr>
                  <w:tcW w:type="auto" w:w="0"/>
                  <w:shd w:val="clear" w:color="auto" w:fill="F0F0F0"/>
                </w:tcPr>
                <w:p>
                  <w:pPr>
                    <w:pStyle w:val="Normal"/>
                    <w:keepLines w:val="on"/>
                  </w:pPr>
                  <w:r>
                    <w:t>300 đô la</w:t>
                  </w:r>
                </w:p>
              </w:tc>
            </w:tr>
            <w:tr>
              <w:tc>
                <w:tcPr>
                  <w:tcW w:type="auto" w:w="0"/>
                  <w:shd w:val="clear" w:color="auto" w:fill="F0F0F0"/>
                </w:tcPr>
                <w:p>
                  <w:pPr>
                    <w:pStyle w:val="Para 02"/>
                    <w:keepLines w:val="on"/>
                  </w:pPr>
                  <w:r>
                    <w:t>Whirlpool</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2.900 đô la</w:t>
                  </w:r>
                </w:p>
              </w:tc>
              <w:tc>
                <w:tcPr>
                  <w:tcW w:type="auto" w:w="0"/>
                  <w:shd w:val="clear" w:color="auto" w:fill="F0F0F0"/>
                </w:tcPr>
                <w:p>
                  <w:pPr>
                    <w:pStyle w:val="Normal"/>
                    <w:keepLines w:val="on"/>
                  </w:pPr>
                  <w:r>
                    <w:t>4.000 đô la</w:t>
                  </w:r>
                </w:p>
              </w:tc>
            </w:tr>
          </w:tbl>
          <w:p/>
        </w:tc>
      </w:tr>
    </w:tbl>
    <w:p>
      <w:pPr>
        <w:pStyle w:val="Para 03"/>
      </w:pPr>
      <w:r>
        <w:t>Công ty tư nhân này có tỷ lệ nợ trên vốn chủ sở hữu (debt-to-equity ratio) là 25% và chịu mức thuế suất 40%. Các công ty niêm yết trên thị trường đều có thuế suất biên (marginal tax rate) là 40%.</w:t>
      </w:r>
    </w:p>
    <w:p>
      <w:pPr>
        <w:numPr>
          <w:ilvl w:val="1"/>
          <w:numId w:val="71"/>
        </w:numPr>
        <w:pStyle w:val="Para 01"/>
      </w:pPr>
      <w:r>
        <w:t>Hãy ước tính beta cho công ty tư nhân này.</w:t>
      </w:r>
    </w:p>
    <w:p>
      <w:pPr>
        <w:numPr>
          <w:ilvl w:val="1"/>
          <w:numId w:val="71"/>
        </w:numPr>
        <w:pStyle w:val="Para 01"/>
      </w:pPr>
      <w:r>
        <w:t>Bạn có lo ngại gì, nếu có, về việc sử dụng beta của các công ty tương đồng không?</w:t>
      </w:r>
    </w:p>
    <w:p>
      <w:pPr>
        <w:numPr>
          <w:ilvl w:val="0"/>
          <w:numId w:val="71"/>
        </w:numPr>
        <w:pStyle w:val="Para 01"/>
      </w:pPr>
      <w:r>
        <w:t>Do áp lực từ các cổ đông, RJR Nabisco đang cân nhắc việc tách riêng (spin off) mảng kinh doanh thực phẩm của mình. Bạn được yêu cầu ước tính beta cho mảng này, và quyết định thực hiện bằng cách thu thập beta của các công ty niêm yết tương đồng. Beta trung bình của các công ty niêm yết tương đồng là 0,95, và tỷ lệ nợ trên vốn chủ sở hữu trung bình của các công ty này là 35%. Mảng này được dự kiến sẽ có tỷ lệ nợ là 25%. Thuế suất doanh nghiệp biên là 36%.</w:t>
      </w:r>
    </w:p>
    <w:p>
      <w:pPr>
        <w:numPr>
          <w:ilvl w:val="1"/>
          <w:numId w:val="71"/>
        </w:numPr>
        <w:pStyle w:val="Para 01"/>
      </w:pPr>
      <w:r>
        <w:t>Beta cho mảng này là bao nhiêu?</w:t>
      </w:r>
    </w:p>
    <w:p>
      <w:pPr>
        <w:numPr>
          <w:ilvl w:val="1"/>
          <w:numId w:val="71"/>
        </w:numPr>
        <w:pStyle w:val="Para 01"/>
      </w:pPr>
      <w:r>
        <w:t>Liệu có gì khác biệt không nếu bạn biết rằng RJR Nabisco có cấu trúc chi phí cố định cao hơn nhiều so với các công ty tương đồng được sử dụng ở đây?</w:t>
      </w:r>
    </w:p>
    <w:p>
      <w:pPr>
        <w:numPr>
          <w:ilvl w:val="0"/>
          <w:numId w:val="71"/>
        </w:numPr>
        <w:pStyle w:val="Para 01"/>
      </w:pPr>
      <w:r>
        <w:t>Southwestern Bell, một công ty điện thoại, đang cân nhắc mở rộng hoạt động sang lĩnh vực truyền thông. Beta của công ty vào cuối năm 1995 là 0,90, và tỷ lệ nợ trên vốn chủ sở hữu là 1. Mảng truyền thông được dự kiến sẽ chiếm 30% tổng giá trị công ty vào năm 1999, và beta trung bình của các công ty tương đồng là 1,20; tỷ lệ nợ trên vốn chủ sở hữu trung bình của các công ty này là 50%. Thuế suất doanh nghiệp biên là 36%.</w:t>
      </w:r>
    </w:p>
    <w:p>
      <w:pPr>
        <w:numPr>
          <w:ilvl w:val="1"/>
          <w:numId w:val="71"/>
        </w:numPr>
        <w:pStyle w:val="Para 01"/>
      </w:pPr>
      <w:r>
        <w:t>Hãy ước tính beta cho Southwestern Bell vào năm 1999, giả định rằng công ty duy trì tỷ lệ nợ trên vốn chủ sở hữu hiện tại.</w:t>
      </w:r>
    </w:p>
    <w:p>
      <w:pPr>
        <w:numPr>
          <w:ilvl w:val="1"/>
          <w:numId w:val="71"/>
        </w:numPr>
        <w:pStyle w:val="Para 01"/>
      </w:pPr>
      <w:r>
        <w:t>Hãy ước tính beta cho Southwestern Bell vào năm 1999, giả định rằng công ty quyết định tài trợ cho hoạt động truyền thông của mình với tỷ lệ nợ trên vốn chủ sở hữu là 50%.</w:t>
      </w:r>
    </w:p>
    <w:p>
      <w:pPr>
        <w:numPr>
          <w:ilvl w:val="0"/>
          <w:numId w:val="71"/>
        </w:numPr>
        <w:pStyle w:val="Para 01"/>
      </w:pPr>
      <w:r>
        <w:t>Giám đốc tài chính (CFO) của Adobe Systems, một công ty sản xuất phần mềm đang phát triển, đã tìm đến bạn để xin lời khuyên về beta của công ty ông ấy. Ông ấy đăng ký một dịch vụ ước tính beta của Adobe Systems mỗi năm, và ông ấy nhận thấy rằng các ước tính beta đã giảm dần mỗi năm kể từ năm 1991—từ 2,35 vào năm 1991 xuống còn 1,40 vào năm 1995. Ông ấy muốn có câu trả lời cho các câu hỏi sau:</w:t>
      </w:r>
    </w:p>
    <w:p>
      <w:pPr>
        <w:numPr>
          <w:ilvl w:val="1"/>
          <w:numId w:val="71"/>
        </w:numPr>
        <w:pStyle w:val="Para 01"/>
      </w:pPr>
      <w:r>
        <w:t>Sự sụt giảm beta này có bất thường đối với một công ty đang tăng trưởng không?</w:t>
      </w:r>
    </w:p>
    <w:p>
      <w:pPr>
        <w:numPr>
          <w:ilvl w:val="1"/>
          <w:numId w:val="71"/>
        </w:numPr>
        <w:pStyle w:val="Para 01"/>
      </w:pPr>
      <w:r>
        <w:t>Tại sao beta lại giảm dần theo thời gian?</w:t>
      </w:r>
    </w:p>
    <w:p>
      <w:pPr>
        <w:numPr>
          <w:ilvl w:val="1"/>
          <w:numId w:val="71"/>
        </w:numPr>
        <w:pStyle w:val="Para 01"/>
      </w:pPr>
      <w:r>
        <w:t>Liệu beta có khả năng tiếp tục giảm theo thời gian không?</w:t>
      </w:r>
    </w:p>
    <w:p>
      <w:pPr>
        <w:numPr>
          <w:ilvl w:val="0"/>
          <w:numId w:val="71"/>
        </w:numPr>
        <w:pStyle w:val="Para 01"/>
      </w:pPr>
      <w:r>
        <w:t>Bạn đang phân tích Tiffany &amp; Company, một nhà bán lẻ cao cấp, và phát hiện rằng ước lượng hồi quy beta của công ty là 0,75; sai số chuẩn của ước lượng beta là 0,50. Bạn cũng lưu ý rằng beta không vay nợ (unlevered beta) trung bình của các công ty bán lẻ đặc sản tương đương là 1,15.</w:t>
      </w:r>
    </w:p>
    <w:p>
      <w:pPr>
        <w:numPr>
          <w:ilvl w:val="1"/>
          <w:numId w:val="71"/>
        </w:numPr>
        <w:pStyle w:val="Para 01"/>
      </w:pPr>
      <w:r>
        <w:t>Nếu Tiffany có tỷ lệ nợ/vốn chủ sở hữu là 20%, hãy ước lượng beta cho công ty dựa trên các công ty tương đương. (Thuế suất là 40%.)</w:t>
      </w:r>
    </w:p>
    <w:p>
      <w:pPr>
        <w:numPr>
          <w:ilvl w:val="1"/>
          <w:numId w:val="71"/>
        </w:numPr>
        <w:pStyle w:val="Para 01"/>
      </w:pPr>
      <w:r>
        <w:t>Ước lượng một khoảng cho beta từ hồi quy.</w:t>
      </w:r>
    </w:p>
    <w:p>
      <w:pPr>
        <w:numPr>
          <w:ilvl w:val="1"/>
          <w:numId w:val="71"/>
        </w:numPr>
        <w:pStyle w:val="Para 01"/>
      </w:pPr>
      <w:r>
        <w:t>Giả sử Tiffany được xếp hạng BBB và mức chênh lệch vỡ nợ (default spread) cho các công ty xếp hạng BBB là 1% so với lãi suất trái phiếu Kho bạc. Nếu lãi suất trái phiếu Kho bạc là 6,5%, hãy ước lượng chi phí vốn (cost of capital) cho công ty.</w:t>
      </w:r>
    </w:p>
    <w:p>
      <w:pPr>
        <w:numPr>
          <w:ilvl w:val="0"/>
          <w:numId w:val="71"/>
        </w:numPr>
        <w:pStyle w:val="Para 01"/>
      </w:pPr>
      <w:r>
        <w:t>Bạn được yêu cầu ước lượng chi phí vốn cho NewTel, một công ty viễn thông. Công ty có các đặc điểm sau:</w:t>
      </w:r>
    </w:p>
    <w:p>
      <w:pPr>
        <w:numPr>
          <w:ilvl w:val="1"/>
          <w:numId w:val="71"/>
        </w:numPr>
        <w:pStyle w:val="Para 01"/>
      </w:pPr>
      <w:r>
        <w:t>Có 100 triệu cổ phiếu đang lưu hành, giao dịch ở mức 250 đô la mỗi cổ phiếu.</w:t>
      </w:r>
    </w:p>
    <w:p>
      <w:pPr>
        <w:numPr>
          <w:ilvl w:val="1"/>
          <w:numId w:val="71"/>
        </w:numPr>
        <w:pStyle w:val="Para 01"/>
      </w:pPr>
      <w:r>
        <w:t>Công ty có giá trị sổ sách của nợ với kỳ hạn sáu năm là 10 tỷ đô la, và chi phí lãi vay là 600 triệu đô la trên khoản nợ. Công ty không được xếp hạng, nhưng có thu nhập hoạt động (operating income) là 2,5 tỷ đô la vào năm ngoái. (Các công ty có tỷ lệ khả năng chi trả lãi vay (interest coverage ratio) từ 3,5–4,5 được xếp hạng BBB, và mức chênh lệch vỡ nợ là 1%.)</w:t>
      </w:r>
    </w:p>
    <w:p>
      <w:pPr>
        <w:numPr>
          <w:ilvl w:val="1"/>
          <w:numId w:val="71"/>
        </w:numPr>
        <w:pStyle w:val="Para 01"/>
      </w:pPr>
      <w:r>
        <w:t>Thuế suất của công ty là 35%.</w:t>
      </w:r>
    </w:p>
    <w:p>
      <w:pPr>
        <w:pStyle w:val="Para 03"/>
      </w:pPr>
      <w:r>
        <w:t>Lãi suất trái phiếu Kho bạc là 6%, và beta không vay nợ của các công ty viễn thông khác là 0,80.</w:t>
      </w:r>
    </w:p>
    <w:p>
      <w:pPr>
        <w:numPr>
          <w:ilvl w:val="1"/>
          <w:numId w:val="71"/>
        </w:numPr>
        <w:pStyle w:val="Para 01"/>
      </w:pPr>
      <w:r>
        <w:t>Ước lượng giá trị thị trường của nợ cho công ty này.</w:t>
      </w:r>
    </w:p>
    <w:p>
      <w:pPr>
        <w:numPr>
          <w:ilvl w:val="1"/>
          <w:numId w:val="71"/>
        </w:numPr>
        <w:pStyle w:val="Para 01"/>
      </w:pPr>
      <w:r>
        <w:t>Dựa trên xếp hạng tổng hợp (synthetic rating), hãy ước lượng chi phí nợ (cost of debt) cho công ty này.</w:t>
      </w:r>
    </w:p>
    <w:p>
      <w:pPr>
        <w:numPr>
          <w:ilvl w:val="1"/>
          <w:numId w:val="71"/>
        </w:numPr>
        <w:pStyle w:val="Para 01"/>
      </w:pPr>
      <w:r>
        <w:t>Ước lượng chi phí vốn cho công ty này.</w:t>
      </w:r>
    </w:p>
    <w:p>
      <w:bookmarkStart w:id="1543" w:name="Notes_7"/>
      <w:bookmarkStart w:id="1544" w:name="Notes__1_The_regression_is_somet"/>
      <w:pPr>
        <w:keepNext/>
        <w:pStyle w:val="Heading 2"/>
        <w:keepLines w:val="on"/>
      </w:pPr>
      <w:r>
        <w:t>Ghi chú</w:t>
      </w:r>
      <w:bookmarkEnd w:id="1543"/>
      <w:bookmarkEnd w:id="1544"/>
    </w:p>
    <w:p>
      <w:pPr>
        <w:pStyle w:val="Para 08"/>
      </w:pPr>
      <w:r>
        <w:t>1 Đôi khi hồi quy được tính bằng cách sử dụng lợi nhuận vượt trội so với lãi suất phi rủi ro cho cả cổ phiếu lẫn thị trường. Trong trường hợp đó, hệ số chặn (intercept) của hồi quy phải bằng không nếu lợi nhuận thực tế bằng lợi nhuận kỳ vọng từ CAPM, lớn hơn không nếu cổ phiếu hoạt động tốt hơn kỳ vọng, và nhỏ hơn không nếu nó hoạt động kém hơn kỳ vọng.</w:t>
      </w:r>
    </w:p>
    <w:p>
      <w:pPr>
        <w:pStyle w:val="Para 08"/>
      </w:pPr>
      <w:r>
        <w:t>2 Thuật ngữ này gây nhầm lẫn vì hệ số chặn của hồi quy đôi khi cũng được gọi là alpha, và đôi khi được so sánh với không như một thước đo hiệu suất đã điều chỉnh theo rủi ro. Hệ số chặn chỉ có thể được so sánh với không nếu hồi quy được chạy với lợi nhuận vượt trội cho cả cổ phiếu lẫn chỉ số; lãi suất phi rủi ro phải được trừ khỏi lợi nhuận thô trong mỗi tháng cho cả hai.</w:t>
      </w:r>
    </w:p>
    <w:p>
      <w:pPr>
        <w:pStyle w:val="Para 08"/>
      </w:pPr>
      <w:r>
        <w:t>3 Cổ phiếu phải được mua trước một ngày gọi là ngày giao dịch không hưởng cổ tức (ex-dividend day) để nhà đầu tư được hưởng cổ tức. Lợi nhuận trong một kỳ bao gồm cổ tức nếu ngày giao dịch không hưởng cổ tức nằm trong kỳ đó.</w:t>
      </w:r>
    </w:p>
    <w:p>
      <w:pPr>
        <w:pStyle w:val="Para 08"/>
      </w:pPr>
      <w:r>
        <w:t>4 Điều này được thực hiện hoàn toàn vì sự thuận tiện trong tính toán. Lợi nhuận trong hồi quy beta luôn phải bao gồm cổ tức, nhưng việc chạy hồi quy chỉ với thay đổi giá thì dễ dàng hơn nhiều, như Bloomberg làm.</w:t>
      </w:r>
    </w:p>
    <w:p>
      <w:pPr>
        <w:pStyle w:val="Para 08"/>
      </w:pPr>
      <w:r>
        <w:t>5 Sai lệch do không giao dịch (nontrading bias) phát sinh vì lợi nhuận trong các kỳ không giao dịch bằng không (mặc dù thị trường có thể đã tăng hoặc giảm đáng kể trong những kỳ đó). Sử dụng những lợi nhuận của kỳ không giao dịch này trong hồi quy sẽ làm giảm tương quan giữa lợi nhuận cổ phiếu và lợi nhuận thị trường cũng như beta của cổ phiếu.</w:t>
      </w:r>
    </w:p>
    <w:p>
      <w:pPr>
        <w:pStyle w:val="Para 08"/>
      </w:pPr>
      <w:r>
        <w:t>6 Sai lệch cũng có thể được giảm bớt bằng các kỹ thuật thống kê do Dimson (1979) và Scholes và Williams (1977) đề xuất.</w:t>
      </w:r>
    </w:p>
    <w:p>
      <w:pPr>
        <w:pStyle w:val="Para 08"/>
      </w:pPr>
      <w:r>
        <w:t>7 Công thức này ban đầu được Hamada phát triển vào năm 1972. Có hai sửa đổi phổ biến. Một là bỏ qua ảnh hưởng của thuế và tính beta có vay nợ (levered beta) như sau:</w:t>
      </w:r>
    </w:p>
    <w:p>
      <w:bookmarkStart w:id="1552" w:name="Levered_Beta_Unlevered_Beta_1_De"/>
      <w:pPr>
        <w:keepNext/>
        <w:pStyle w:val="Para 53"/>
        <w:keepLines w:val="on"/>
      </w:pPr>
      <w:r>
        <w:t>Beta có vay nợ = Beta không vay nợ 1 + Nợ/Vốn chủ sở hữu</w:t>
      </w:r>
      <w:bookmarkEnd w:id="1552"/>
    </w:p>
    <w:p>
      <w:pPr>
        <w:pStyle w:val="Para 03"/>
      </w:pPr>
      <w:r>
        <w:t>Nếu nợ có rủi ro thị trường (tức là beta của nó lớn hơn không), công thức gốc có thể được sửa đổi để tính đến điều này. Nếu beta của nợ là βD, beta của vốn chủ sở hữu có thể được viết là:</w:t>
      </w:r>
    </w:p>
    <w:p>
      <w:bookmarkStart w:id="1553" w:name="Levered_Beta__Unlevered_Beta_1_1"/>
      <w:pPr>
        <w:keepNext/>
        <w:pStyle w:val="Para 53"/>
        <w:keepLines w:val="on"/>
      </w:pPr>
      <w:r>
        <w:t>Beta có đòn bẩy = Beta không có đòn bẩy × (1 + (1 − t) × (D/E)) − Beta nợ × (1 − t) × (D/E)</w:t>
      </w:r>
      <w:bookmarkEnd w:id="1553"/>
    </w:p>
    <w:p>
      <w:pPr>
        <w:pStyle w:val="Para 08"/>
      </w:pPr>
      <w:r>
        <w:t>8 Lưu ý rằng Microsoft chia nhỏ hoạt động kinh doanh của mình trong báo cáo tài chính thành hai phân khúc này. Chúng ta có thể đã sử dụng thu nhập hoạt động hoặc lợi nhuận trước lãi vay, thuế, khấu hao và phân bổ (EBITDA) cùng một bội số điển hình để tính ra giá trị.</w:t>
      </w:r>
    </w:p>
    <w:p>
      <w:pPr>
        <w:pStyle w:val="Para 08"/>
      </w:pPr>
      <w:r>
        <w:t>9 Để ước tính các bội số này, chúng ta đã xem xét giá trị thị trường của các công ty niêm yết công khai so với doanh thu của chúng. Đây là tỷ lệ giữa giá trị doanh nghiệp trên doanh thu.</w:t>
      </w:r>
    </w:p>
    <w:p>
      <w:pPr>
        <w:pStyle w:val="Para 08"/>
      </w:pPr>
      <w:r>
        <w:t>10 Chúng ta đã sử dụng tổng nợ để thực hiện ước tính này. Chúng ta sẽ thảo luận về cách làm thay thế là sử dụng tỷ lệ nợ ròng (thu được bằng cách trừ tiền mặt ra khỏi nợ) ở phần sau của chương này.</w:t>
      </w:r>
    </w:p>
    <w:p>
      <w:pPr>
        <w:pStyle w:val="Para 08"/>
      </w:pPr>
      <w:r>
        <w:t>11 Bảng này được cập nhật vào đầu năm 2023 bằng cách liệt kê tất cả các công ty được xếp hạng có vốn hóa thị trường dưới 5 tỷ đô la và tỷ lệ khả năng chi trả lãi vay của chúng, sau đó sắp xếp các công ty dựa trên xếp hạng trái phiếu. Các khoảng giá trị đã được điều chỉnh để loại bỏ các giá trị ngoại lai và tránh chồng chéo giữa các khoảng.</w:t>
      </w:r>
    </w:p>
    <w:p>
      <w:pPr>
        <w:pStyle w:val="Para 08"/>
      </w:pPr>
      <w:r>
        <w:t>12 Có một số người lập luận rằng giá cổ phiếu biến động mạnh hơn nhiều so với giá trị thực thực sự bên dưới. Ngay cả khi lập luận này là hợp lý (và nó chưa được chứng minh một cách thuyết phục là như vậy), sự khác biệt giữa giá trị thị trường và giá trị thực có khả năng nhỏ hơn nhiều so với sự khác biệt giữa giá trị sổ sách và giá trị thực.</w:t>
      </w:r>
    </w:p>
    <w:p>
      <w:bookmarkStart w:id="1559" w:name="Chapter_9Measuring_Earnings"/>
      <w:bookmarkStart w:id="1560" w:name="Top_of_c09_xhtml"/>
      <w:bookmarkStart w:id="1561" w:name="Chapter_9Measuring_Earnings__To"/>
      <w:pPr>
        <w:keepNext/>
        <w:pStyle w:val="Heading 1"/>
        <w:pageBreakBefore w:val="on"/>
        <w:keepLines w:val="on"/>
      </w:pPr>
      <w:r>
        <w:t>CHƯƠNG 9</w:t>
      </w:r>
      <w:r>
        <w:br/>
      </w:r>
      <w:r>
        <w:t>Đo lường thu nhập</w:t>
      </w:r>
      <w:bookmarkEnd w:id="1559"/>
      <w:bookmarkEnd w:id="1560"/>
      <w:bookmarkEnd w:id="1561"/>
    </w:p>
    <w:p>
      <w:pPr>
        <w:pStyle w:val="Para 03"/>
      </w:pPr>
      <w:r>
        <w:t>Để ước tính dòng tiền, chúng ta thường bắt đầu với một thước đo thu nhập. Ví dụ, dòng tiền tự do của doanh nghiệp (free cash flows to the firm) dựa trên thu nhập hoạt động sau thuế. Mặt khác, ước tính dòng tiền tự do của vốn chủ sở hữu (free cash flows to equity) bắt đầu với thu nhập ròng. Trong khi chúng ta lấy các thước đo thu nhập hoạt động và thu nhập ròng từ báo cáo kế toán, thì thu nhập kế toán của nhiều công ty lại ít hoặc không có điểm tương đồng với thu nhập thực của công ty.</w:t>
      </w:r>
    </w:p>
    <w:p>
      <w:pPr>
        <w:pStyle w:val="Para 03"/>
      </w:pPr>
      <w:r>
        <w:t>Chương này bắt đầu bằng việc xem xét sự khác biệt về mặt triết lý giữa quan điểm kế toán và quan điểm tài chính về doanh nghiệp. Sau đó, chúng ta xem xét cách điều chỉnh thu nhập của một công ty, ít nhất là theo cách đo lường của kế toán, để có được thước đo thu nhập phù hợp hơn cho việc định giá. Cụ thể, chúng ta xem xét cách xử lý chi phí thuê hoạt động (operating lease expenses), mà chúng ta cho rằng thực chất là chi phí tài chính, và chi phí nghiên cứu và phát triển (R&amp;D), mà chúng ta coi là chi phí vốn. Những điều chỉnh này không chỉ ảnh hưởng đến thước đo thu nhập của chúng ta mà còn ảnh hưởng đến ước tính giá trị sổ sách của vốn. Chúng ta cũng xem xét các khoản mục bất thường (cả thu nhập và chi phí) và các khoản phí một lần, mà việc sử dụng chúng đã mở rộng đáng kể trong những năm gần đây khi các công ty chuyển sang quản lý thu nhập một cách tích cực hơn. Các kỹ thuật được sử dụng để làm mịn thu nhập qua các giai đoạn và vượt qua ước tính của nhà phân tích có thể bóp méo thu nhập được báo cáo, và nếu chúng ta không cẩn thận, cả giá trị nảy sinh từ chúng.</w:t>
      </w:r>
    </w:p>
    <w:p>
      <w:bookmarkStart w:id="1563" w:name="The_Lead_in__From_accounting_dat"/>
      <w:bookmarkStart w:id="1564" w:name="The_Lead_in__From_accounting_dat_1"/>
      <w:pPr>
        <w:keepNext/>
        <w:pStyle w:val="Heading 2"/>
        <w:keepLines w:val="on"/>
      </w:pPr>
      <w:r>
        <w:t>Phần dẫn nhập: Từ dữ liệu kế toán đến thông tin tài chính</w:t>
      </w:r>
      <w:bookmarkEnd w:id="1563"/>
      <w:bookmarkEnd w:id="1564"/>
    </w:p>
    <w:p>
      <w:pPr>
        <w:pStyle w:val="Para 03"/>
      </w:pPr>
      <w:r>
        <w:t>Khi phân tích một công ty, những câu hỏi mà chúng ta muốn biết câu trả lời là gì? Một công ty, như được định nghĩa ở đây, bao gồm cả những khoản đầu tư đã thực hiện — tài sản hiện có — và những khoản đầu tư chưa thực hiện — tài sản tăng trưởng. Ngoài ra, một công ty có thể vay vốn cần thiết để thực hiện những khoản đầu tư này, trong trường hợp đó nó đang sử dụng nợ, hoặc huy động từ chủ sở hữu dưới hình thức vốn chủ sở hữu. Hình 9.1 tóm tắt mô tả này về một công ty dưới dạng bảng cân đối tài chính.</w:t>
      </w:r>
    </w:p>
    <w:p>
      <w:bookmarkStart w:id="1566" w:name="Figure_9_1_A_Financial_Balance_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35200" cy="1003300"/>
            <wp:effectExtent l="0" r="0" t="0" b="0"/>
            <wp:wrapTopAndBottom/>
            <wp:docPr id="85" name="c09f001.png" descr="Illustration summarizes assets in place, growth assets under assets; debt, equity under liabilities in form of a financial balance sheet."/>
            <wp:cNvGraphicFramePr>
              <a:graphicFrameLocks noChangeAspect="1"/>
            </wp:cNvGraphicFramePr>
            <a:graphic>
              <a:graphicData uri="http://schemas.openxmlformats.org/drawingml/2006/picture">
                <pic:pic>
                  <pic:nvPicPr>
                    <pic:cNvPr id="0" name="c09f001.png" descr="Illustration summarizes assets in place, growth assets under assets; debt, equity under liabilities in form of a financial balance sheet."/>
                    <pic:cNvPicPr/>
                  </pic:nvPicPr>
                  <pic:blipFill>
                    <a:blip r:embed="rId69"/>
                    <a:stretch>
                      <a:fillRect/>
                    </a:stretch>
                  </pic:blipFill>
                  <pic:spPr>
                    <a:xfrm>
                      <a:off x="0" y="0"/>
                      <a:ext cx="2235200" cy="1003300"/>
                    </a:xfrm>
                    <a:prstGeom prst="rect">
                      <a:avLst/>
                    </a:prstGeom>
                  </pic:spPr>
                </pic:pic>
              </a:graphicData>
            </a:graphic>
          </wp:anchor>
        </w:drawing>
      </w:r>
      <w:bookmarkEnd w:id="1566"/>
    </w:p>
    <w:p>
      <w:pPr>
        <w:keepNext/>
        <w:pStyle w:val="Para 22"/>
        <w:keepLines w:val="on"/>
      </w:pPr>
      <w:r>
        <w:t>Hình 9.1 Bảng cân đối tài chính</w:t>
      </w:r>
    </w:p>
    <w:p>
      <w:pPr>
        <w:pStyle w:val="Para 03"/>
      </w:pPr>
      <w:r>
        <w:t>Lưu ý rằng mặc dù bản tóm tắt này có một số điểm tương đồng với bảng cân đối kế toán, nhưng có những khác biệt then chốt. Điều quan trọng nhất là ở đây chúng ta xem xét một cách rõ ràng các tài sản tăng trưởng khi nhìn vào những gì một công ty sở hữu.</w:t>
      </w:r>
    </w:p>
    <w:p>
      <w:pPr>
        <w:pStyle w:val="Para 03"/>
      </w:pPr>
      <w:r>
        <w:t>Khi thực hiện phân tích tài chính một công ty, chúng ta muốn có thể trả lời một số câu hỏi liên quan đến từng mục này. Hình 9.2 liệt kê các câu hỏi. Như chúng ta thấy trong chương này, báo cáo kế toán cho phép chúng ta thu thập một số thông tin về từng câu hỏi này, nhưng chúng còn thiếu sót cả về tính kịp thời khi cung cấp thông tin lẫn cách chúng đo lường giá trị tài sản, thu nhập và rủi ro.</w:t>
      </w:r>
    </w:p>
    <w:p>
      <w:pPr>
        <w:pStyle w:val="Para 20"/>
      </w:pPr>
      <w:r>
        <w:rPr>
          <w:rStyle w:val="Text26"/>
        </w:rPr>
        <w:bookmarkStart w:id="1568" w:name="Page_242"/>
        <w:t/>
        <w:bookmarkEnd w:id="1568"/>
      </w:r>
      <w:r>
        <w:t xml:space="preserve"> </w:t>
      </w:r>
    </w:p>
    <w:p>
      <w:bookmarkStart w:id="1569" w:name="Figure_9_2_Financial_Balance_Sh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00300" cy="635000"/>
            <wp:effectExtent l="0" r="0" t="0" b="0"/>
            <wp:wrapTopAndBottom/>
            <wp:docPr id="86" name="c09f002.png" descr="Illustration lists questions of assets in place, growth assets under assets; debt, equity under liabilities in a financial balance sheet."/>
            <wp:cNvGraphicFramePr>
              <a:graphicFrameLocks noChangeAspect="1"/>
            </wp:cNvGraphicFramePr>
            <a:graphic>
              <a:graphicData uri="http://schemas.openxmlformats.org/drawingml/2006/picture">
                <pic:pic>
                  <pic:nvPicPr>
                    <pic:cNvPr id="0" name="c09f002.png" descr="Illustration lists questions of assets in place, growth assets under assets; debt, equity under liabilities in a financial balance sheet."/>
                    <pic:cNvPicPr/>
                  </pic:nvPicPr>
                  <pic:blipFill>
                    <a:blip r:embed="rId70"/>
                    <a:stretch>
                      <a:fillRect/>
                    </a:stretch>
                  </pic:blipFill>
                  <pic:spPr>
                    <a:xfrm>
                      <a:off x="0" y="0"/>
                      <a:ext cx="2400300" cy="635000"/>
                    </a:xfrm>
                    <a:prstGeom prst="rect">
                      <a:avLst/>
                    </a:prstGeom>
                  </pic:spPr>
                </pic:pic>
              </a:graphicData>
            </a:graphic>
          </wp:anchor>
        </w:drawing>
      </w:r>
      <w:bookmarkEnd w:id="1569"/>
    </w:p>
    <w:p>
      <w:pPr>
        <w:keepNext/>
        <w:pStyle w:val="Para 22"/>
        <w:keepLines w:val="on"/>
      </w:pPr>
      <w:r>
        <w:t>Hình 9.2 Các câu hỏi về bảng cân đối tài chính</w:t>
      </w:r>
    </w:p>
    <w:p>
      <w:pPr>
        <w:pStyle w:val="Para 03"/>
      </w:pPr>
      <w:r>
        <w:t>Trong chương này, chúng ta sẽ tập trung vào một con số là điểm khởi đầu cho mọi định giá, đó là thu nhập kế toán. Trong khi chúng ta xây dựng các câu chuyện về tăng trưởng và rủi ro xoay quanh những khoản thu nhập này, thì vẫn không thể phủ nhận một điều rằng nếu thu nhập của bạn bị sai lệch, phần lớn những gì nảy sinh từ thu nhập đó cũng sẽ bị sai lệch. Chúng ta đã được huấn luyện để tin rằng thu nhập kế toán, như được báo cáo trong báo cáo kết quả kinh doanh, đại diện cho sức mạnh thu nhập của công ty (tức là thu nhập được tạo ra bởi tài sản hiện có của nó). Chúng ta sẽ lập luận trong chương này rằng có ít nhất ba yếu tố cần được xem xét khi sử dụng những khoản thu nhập này:</w:t>
      </w:r>
    </w:p>
    <w:p>
      <w:pPr>
        <w:numPr>
          <w:ilvl w:val="0"/>
          <w:numId w:val="72"/>
        </w:numPr>
        <w:pStyle w:val="Para 01"/>
      </w:pPr>
      <w:r>
        <w:t>Cập nhật thu nhập: Khác với kế toán, nơi việc cập nhật được thúc đẩy bởi các yếu tố năm tài chính và thời gian theo lịch, định giá diễn ra trong thời gian thực. Nói ngắn gọn, nếu bây giờ là tháng 7 năm 2024, thì không có ích gì khi định giá một công ty tính đến ngày 31 tháng 12 năm 2023 hoặc sớm hơn, vì những định giá đó, dù có thuyết phục đến đâu, cũng không thể hành động được. Trong phần đầu của chương này, chúng ta sẽ xem xét cách cập nhật các con số, tốt nhất có thể, để phản ánh thực tế rằng các báo cáo kế toán mà chúng ta dựa vào để lấy số liệu thu nhập đã cũ.</w:t>
      </w:r>
    </w:p>
    <w:p>
      <w:pPr>
        <w:numPr>
          <w:ilvl w:val="0"/>
          <w:numId w:val="72"/>
        </w:numPr>
        <w:pStyle w:val="Para 01"/>
      </w:pPr>
      <w:r>
        <w:t>Điều chỉnh những bất nhất trong kế toán: Trong khi kế toán khẳng định rằng, với tư cách là một ngành kỷ luật dựa trên quy tắc, nó nhất quán trong cách phân loại chi phí thành các nhóm vốn, hoạt động và tài chính, thì sự thật là kế toán, như được thực hành, lại không nhất quán trong cách nó phân nhóm chi phí đối với các công ty dịch vụ phi tài chính, với các khoản chi phí vốn như R&amp;D bị phân loại là chi phí hoạt động, và các chi phí tài chính như thuê tài sản bị đưa vào nhóm chi phí hoạt động, ít nhất là cho đến rất gần đây. Nếu không điều chỉnh những bất nhất này, chúng ta sẽ có được những thước đo thu nhập bị bóp méo ở những công ty này, cùng những hiệu ứng lan tỏa đến những gì chúng ta ước tính là vốn đầu tư của chúng.</w:t>
      </w:r>
    </w:p>
    <w:p>
      <w:pPr>
        <w:numPr>
          <w:ilvl w:val="0"/>
          <w:numId w:val="72"/>
        </w:numPr>
        <w:pStyle w:val="Para 01"/>
      </w:pPr>
      <w:r>
        <w:t>Chuẩn hóa thu nhập: Cần nhớ rằng giá trị của một doanh nghiệp ngày hôm nay không bị ảnh hưởng bởi thu nhập của nó trong các giai đoạn trước, và lý do duy nhất để nhìn vào thu nhập quá khứ là để có được cảm nhận về sức mạnh thu nhập của công ty, có thể được sử dụng không chỉ để định giá tài sản hiện có mà còn cho tăng trưởng trong tương lai. Tuy nhiên, thu nhập rất biến động, đôi khi vì những lý do đặc thù của công ty và đôi khi vì những thay đổi kinh tế vĩ mô, và việc sử dụng thu nhập của năm gần nhất làm cơ sở cho các dự báo tương lai có thể rất nguy hiểm. Trong phần cuối, chúng ta xem xét cách đo lường sức mạnh thu nhập tốt hơn bằng cách nhìn vào thu nhập qua thời gian và dọn dẹp những mảnh vụn kế toán, bao gồm các khoản phí một lần hoặc bất thường có thể khiến thu nhập dao động mạnh.</w:t>
      </w:r>
    </w:p>
    <w:p>
      <w:pPr>
        <w:pStyle w:val="Para 03"/>
      </w:pPr>
      <w:r>
        <w:t>Đến cuối chương này, chúng ta sẽ trình bày một phiên bản thu nhập được cập nhật, đo lường nhất quán và chuẩn hóa, sẽ cung cấp một thước đo rõ ràng hơn về sức mạnh thu nhập hiện tại của một công ty.</w:t>
      </w:r>
    </w:p>
    <w:p>
      <w:bookmarkStart w:id="1571" w:name="Adjusting_Earnings"/>
      <w:bookmarkStart w:id="1572" w:name="Adjusting_Earnings__The_income_s"/>
      <w:pPr>
        <w:keepNext/>
        <w:pStyle w:val="Heading 2"/>
        <w:keepLines w:val="on"/>
      </w:pPr>
      <w:r>
        <w:t>Điều chỉnh thu nhập</w:t>
      </w:r>
      <w:bookmarkEnd w:id="1571"/>
      <w:bookmarkEnd w:id="1572"/>
    </w:p>
    <w:p>
      <w:pPr>
        <w:pStyle w:val="Para 03"/>
      </w:pPr>
      <w:r>
        <w:t>Báo cáo kết quả kinh doanh của một công ty cung cấp các thước đo cả thu nhập hoạt động lẫn thu nhập vốn chủ sở hữu của công ty dưới dạng lợi nhuận trước lãi vay và thuế (EBIT) và thu nhập ròng. Khi định giá công ty, có hai cân nhắc quan trọng khi sử dụng những thước đo này. Một là có được ước tính cập nhật nhất có thể, vì các công ty thay đổi rất nhiều theo thời gian. Hai là thu nhập được báo cáo ở những công ty này có thể ít có điểm tương đồng với thu nhập thực do những hạn chế trong các quy tắc kế toán và chính hành động của công ty.</w:t>
      </w:r>
    </w:p>
    <w:p>
      <w:bookmarkStart w:id="1573" w:name="Importance_of_Updating_Earnings_1"/>
      <w:bookmarkStart w:id="1574" w:name="Importance_of_Updating_Earnings"/>
      <w:pPr>
        <w:keepNext/>
        <w:pStyle w:val="Heading 3"/>
        <w:keepLines w:val="on"/>
      </w:pPr>
      <w:r>
        <w:t>Tầm quan trọng của việc cập nhật thu nhập</w:t>
      </w:r>
      <w:bookmarkEnd w:id="1573"/>
      <w:bookmarkEnd w:id="1574"/>
    </w:p>
    <w:p>
      <w:pPr>
        <w:pStyle w:val="Para 03"/>
      </w:pPr>
      <w:r>
        <w:t>Các công ty tiết lộ thu nhập của mình trong báo cáo tài chính và báo cáo thường niên gửi cho cổ đông. Báo cáo thường niên chỉ được phát hành sau khi kết thúc năm tài chính của công ty, nhưng bạn thường được yêu cầu định giá công ty suốt cả năm. Do đó, báo cáo thường niên gần nhất hiện có cho một công ty đang được định giá có thể chứa thông tin đã vài tháng tuổi. Đối với những công ty thay đổi nhanh chóng theo thời gian, việc dựa vào ước tính giá trị trên thông tin cũ như vậy là rất nguy hiểm. Thay vào đó, hãy sử dụng thông tin gần đây hơn. Vì các công ty ở Hoa Kỳ được yêu cầu nộp báo cáo hàng quý (được gọi là 10-Q) cho Ủy ban Chứng khoán và Giao dịch (SEC) và công bố những báo cáo này cho công chúng, nên có thể có được ước tính gần đây hơn về các mục chính trong báo cáo tài chính bằng cách tổng hợp các con số trong bốn quý gần nhất. Các ước tính về doanh thu và thu nhập nảy sinh từ việc này được gọi là doanh thu và thu nhập 12 tháng gần nhất (trailing 12-month), và có thể rất khác so với giá trị của cùng các biến số đó trong báo cáo thường niên gần nhất.</w:t>
      </w:r>
    </w:p>
    <w:p>
      <w:pPr>
        <w:pStyle w:val="Para 03"/>
      </w:pPr>
      <w:r>
        <w:t>Có một cái giá phải trả cho việc cập nhật. Đáng tiếc là không phải tất cả các mục trong báo cáo thường niên đều được cập nhật trong báo cáo hàng quý. Bạn phải hoặc sử dụng các con số trong báo cáo thường niên gần nhất (điều này dẫn đến các đầu vào không nhất quán) hoặc ước tính giá trị của chúng vào cuối quý gần nhất (điều này dẫn đến sai số ước tính). Ví dụ, nhiều công ty không tiết lộ chi tiết về quyền chọn đang lưu hành (phát hành cho quản lý và nhân viên) trong báo cáo hàng quý, trong khi họ tiết lộ chúng trong báo cáo thường niên. Vì bạn cần định giá những quyền chọn này, bạn có thể sử dụng quyền chọn đang lưu hành tính đến báo cáo thường niên gần nhất, hoặc giả định rằng quyền chọn đang lưu hành hiện nay đã thay đổi để phản ánh những thay đổi trong các biến số khác. (Ví dụ, nếu doanh thu đã tăng gấp đôi, bạn có thể giả định rằng quyền chọn cũng đã tăng gấp đôi.)</w:t>
      </w:r>
    </w:p>
    <w:p>
      <w:pPr>
        <w:pStyle w:val="Para 03"/>
      </w:pPr>
      <w:r>
        <w:t>Với những công ty non trẻ, điều cực kỳ quan trọng là bạn phải bám sát những con số mới nhất có thể tìm được, kể cả khi những con số đó chỉ là ước tính. Những công ty này thường tăng trưởng theo cấp số nhân, và việc dùng số liệu từ năm tài chính trước sẽ dẫn đến những ước tính giá trị sai lệch. Ngay cả những công ty không tăng trưởng cũng đang thay đổi đáng kể qua từng quý, và thông tin cập nhật có thể cho bạn cơ hội nắm bắt những thay đổi đó.</w:t>
      </w:r>
    </w:p>
    <w:p>
      <w:pPr>
        <w:pStyle w:val="Para 03"/>
      </w:pPr>
      <w:r>
        <w:t>Có một số thị trường tài chính nơi các công ty vẫn chỉ nộp báo cáo tài chính mỗi năm một lần, khiến chúng ta không có lựa chọn sử dụng các bản cập nhật hàng quý. Khi định giá các công ty ở những thị trường này, bạn có thể phải dựa vào những nguồn không chính thức để cập nhật giá trị của chúng.</w:t>
      </w:r>
    </w:p>
    <w:p>
      <w:pPr>
        <w:pStyle w:val="Para 11"/>
      </w:pPr>
      <w:r>
        <w:t/>
        <w:t xml:space="preserve"> </w:t>
      </w:r>
    </w:p>
    <w:p>
      <w:bookmarkStart w:id="1576" w:name="ILLUSTRATION_9_1___Updated_Earni_1"/>
      <w:bookmarkStart w:id="1577" w:name="ILLUSTRATION_9_1___Updated_Earni"/>
      <w:pPr>
        <w:keepNext/>
        <w:pStyle w:val="Para 19"/>
        <w:keepLines w:val="on"/>
      </w:pPr>
      <w:r>
        <w:t>VÍ DỤ 9.1: Thu nhập cập nhật của Apple—Tháng 4 năm 2024</w:t>
      </w:r>
      <w:bookmarkEnd w:id="1576"/>
      <w:bookmarkEnd w:id="1577"/>
    </w:p>
    <w:p>
      <w:pPr>
        <w:pStyle w:val="Para 04"/>
        <w:keepLines w:val="on"/>
      </w:pPr>
      <w:r>
        <w:t>Giả sử bạn đang định giá Apple vào tháng 4 năm 2024. Báo cáo 10-K gần nhất là tính đến tháng 9 năm 2023, và công ty đã công bố hai báo cáo hàng quý (10-Q): một báo cáo kết thúc vào tháng 12 năm 2023 và một báo cáo kết thúc vào tháng 3 năm 2024. Để minh họa mức độ thay đổi của các yếu tố đầu vào cơ bản cho việc định giá trong sáu tháng qua, thông tin trong báo cáo 10-K gần nhất được so sánh với thông tin 12 tháng gần nhất (trailing 12-month) trong báo cáo 10-Q mới nhất về doanh thu, thu nhập hoạt động, chi phí R&amp;D và thu nhập ròng (tính bằng triệu đô la).</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Sáu tháng kết thúc tháng 3 năm 2023</w:t>
                  </w:r>
                </w:p>
              </w:tc>
              <w:tc>
                <w:tcPr>
                  <w:tcW w:type="auto" w:w="0"/>
                  <w:shd w:val="clear" w:color="auto" w:fill="F0F0F0"/>
                </w:tcPr>
                <w:p>
                  <w:pPr>
                    <w:pStyle w:val="Para 05"/>
                    <w:keepLines w:val="on"/>
                  </w:pPr>
                  <w:r>
                    <w:t>Sáu tháng kết thúc tháng 3 năm 2024</w:t>
                  </w:r>
                </w:p>
              </w:tc>
              <w:tc>
                <w:tcPr>
                  <w:tcW w:type="auto" w:w="0"/>
                  <w:shd w:val="clear" w:color="auto" w:fill="F0F0F0"/>
                </w:tcPr>
                <w:p>
                  <w:pPr>
                    <w:pStyle w:val="Para 05"/>
                    <w:keepLines w:val="on"/>
                  </w:pPr>
                  <w:r>
                    <w:t>Cả năm tháng 9 năm 2023</w:t>
                  </w:r>
                </w:p>
              </w:tc>
              <w:tc>
                <w:tcPr>
                  <w:tcW w:type="auto" w:w="0"/>
                  <w:shd w:val="clear" w:color="auto" w:fill="F0F0F0"/>
                </w:tcPr>
                <w:p>
                  <w:pPr>
                    <w:pStyle w:val="Para 05"/>
                    <w:keepLines w:val="on"/>
                  </w:pPr>
                  <w:r>
                    <w:t>12 tháng gần nhất</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$211,990</w:t>
                  </w:r>
                </w:p>
              </w:tc>
              <w:tc>
                <w:tcPr>
                  <w:tcW w:type="auto" w:w="0"/>
                  <w:shd w:val="clear" w:color="auto" w:fill="F0F0F0"/>
                </w:tcPr>
                <w:p>
                  <w:pPr>
                    <w:pStyle w:val="Normal"/>
                    <w:keepLines w:val="on"/>
                  </w:pPr>
                  <w:r>
                    <w:t>$210,328</w:t>
                  </w:r>
                </w:p>
              </w:tc>
              <w:tc>
                <w:tcPr>
                  <w:tcW w:type="auto" w:w="0"/>
                  <w:shd w:val="clear" w:color="auto" w:fill="F0F0F0"/>
                </w:tcPr>
                <w:p>
                  <w:pPr>
                    <w:pStyle w:val="Normal"/>
                    <w:keepLines w:val="on"/>
                  </w:pPr>
                  <w:r>
                    <w:t>$383,285</w:t>
                  </w:r>
                </w:p>
              </w:tc>
              <w:tc>
                <w:tcPr>
                  <w:tcW w:type="auto" w:w="0"/>
                  <w:shd w:val="clear" w:color="auto" w:fill="F0F0F0"/>
                </w:tcPr>
                <w:p>
                  <w:pPr>
                    <w:pStyle w:val="Normal"/>
                    <w:keepLines w:val="on"/>
                  </w:pPr>
                  <w:r>
                    <w:t>$381,623</w:t>
                  </w:r>
                </w:p>
              </w:tc>
            </w:tr>
            <w:tr>
              <w:tc>
                <w:tcPr>
                  <w:tcW w:type="auto" w:w="0"/>
                  <w:shd w:val="clear" w:color="auto" w:fill="F0F0F0"/>
                </w:tcPr>
                <w:p>
                  <w:pPr>
                    <w:pStyle w:val="Para 02"/>
                    <w:keepLines w:val="on"/>
                  </w:pPr>
                  <w:r>
                    <w:t>Thu nhập hoạt động</w:t>
                  </w:r>
                </w:p>
              </w:tc>
              <w:tc>
                <w:tcPr>
                  <w:tcW w:type="auto" w:w="0"/>
                  <w:shd w:val="clear" w:color="auto" w:fill="F0F0F0"/>
                </w:tcPr>
                <w:p>
                  <w:pPr>
                    <w:pStyle w:val="Normal"/>
                    <w:keepLines w:val="on"/>
                  </w:pPr>
                  <w:r>
                    <w:t>$64,334</w:t>
                  </w:r>
                </w:p>
              </w:tc>
              <w:tc>
                <w:tcPr>
                  <w:tcW w:type="auto" w:w="0"/>
                  <w:shd w:val="clear" w:color="auto" w:fill="F0F0F0"/>
                </w:tcPr>
                <w:p>
                  <w:pPr>
                    <w:pStyle w:val="Normal"/>
                    <w:keepLines w:val="on"/>
                  </w:pPr>
                  <w:r>
                    <w:t>$68,273</w:t>
                  </w:r>
                </w:p>
              </w:tc>
              <w:tc>
                <w:tcPr>
                  <w:tcW w:type="auto" w:w="0"/>
                  <w:shd w:val="clear" w:color="auto" w:fill="F0F0F0"/>
                </w:tcPr>
                <w:p>
                  <w:pPr>
                    <w:pStyle w:val="Normal"/>
                    <w:keepLines w:val="on"/>
                  </w:pPr>
                  <w:r>
                    <w:t>$114,301</w:t>
                  </w:r>
                </w:p>
              </w:tc>
              <w:tc>
                <w:tcPr>
                  <w:tcW w:type="auto" w:w="0"/>
                  <w:shd w:val="clear" w:color="auto" w:fill="F0F0F0"/>
                </w:tcPr>
                <w:p>
                  <w:pPr>
                    <w:pStyle w:val="Normal"/>
                    <w:keepLines w:val="on"/>
                  </w:pPr>
                  <w:r>
                    <w:t>$118,240</w:t>
                  </w:r>
                </w:p>
              </w:tc>
            </w:tr>
            <w:tr>
              <w:tc>
                <w:tcPr>
                  <w:tcW w:type="auto" w:w="0"/>
                  <w:shd w:val="clear" w:color="auto" w:fill="F0F0F0"/>
                </w:tcPr>
                <w:p>
                  <w:pPr>
                    <w:pStyle w:val="Para 02"/>
                    <w:keepLines w:val="on"/>
                  </w:pPr>
                  <w:r>
                    <w:t>R&amp;D</w:t>
                  </w:r>
                </w:p>
              </w:tc>
              <w:tc>
                <w:tcPr>
                  <w:tcW w:type="auto" w:w="0"/>
                  <w:shd w:val="clear" w:color="auto" w:fill="F0F0F0"/>
                </w:tcPr>
                <w:p>
                  <w:pPr>
                    <w:pStyle w:val="Normal"/>
                    <w:keepLines w:val="on"/>
                  </w:pPr>
                  <w:r>
                    <w:t>$15,166</w:t>
                  </w:r>
                </w:p>
              </w:tc>
              <w:tc>
                <w:tcPr>
                  <w:tcW w:type="auto" w:w="0"/>
                  <w:shd w:val="clear" w:color="auto" w:fill="F0F0F0"/>
                </w:tcPr>
                <w:p>
                  <w:pPr>
                    <w:pStyle w:val="Normal"/>
                    <w:keepLines w:val="on"/>
                  </w:pPr>
                  <w:r>
                    <w:t>$15,599</w:t>
                  </w:r>
                </w:p>
              </w:tc>
              <w:tc>
                <w:tcPr>
                  <w:tcW w:type="auto" w:w="0"/>
                  <w:shd w:val="clear" w:color="auto" w:fill="F0F0F0"/>
                </w:tcPr>
                <w:p>
                  <w:pPr>
                    <w:pStyle w:val="Normal"/>
                    <w:keepLines w:val="on"/>
                  </w:pPr>
                  <w:r>
                    <w:t>$29,915</w:t>
                  </w:r>
                </w:p>
              </w:tc>
              <w:tc>
                <w:tcPr>
                  <w:tcW w:type="auto" w:w="0"/>
                  <w:shd w:val="clear" w:color="auto" w:fill="F0F0F0"/>
                </w:tcPr>
                <w:p>
                  <w:pPr>
                    <w:pStyle w:val="Normal"/>
                    <w:keepLines w:val="on"/>
                  </w:pPr>
                  <w:r>
                    <w:t>$30,348</w:t>
                  </w:r>
                </w:p>
              </w:tc>
            </w:tr>
            <w:tr>
              <w:tc>
                <w:tcPr>
                  <w:tcW w:type="auto" w:w="0"/>
                  <w:shd w:val="clear" w:color="auto" w:fill="F0F0F0"/>
                </w:tcPr>
                <w:p>
                  <w:pPr>
                    <w:pStyle w:val="Para 02"/>
                    <w:keepLines w:val="on"/>
                  </w:pPr>
                  <w:r>
                    <w:t>Thu nhập ròng</w:t>
                  </w:r>
                </w:p>
              </w:tc>
              <w:tc>
                <w:tcPr>
                  <w:tcW w:type="auto" w:w="0"/>
                  <w:shd w:val="clear" w:color="auto" w:fill="F0F0F0"/>
                </w:tcPr>
                <w:p>
                  <w:pPr>
                    <w:pStyle w:val="Normal"/>
                    <w:keepLines w:val="on"/>
                  </w:pPr>
                  <w:r>
                    <w:t>$54,158</w:t>
                  </w:r>
                </w:p>
              </w:tc>
              <w:tc>
                <w:tcPr>
                  <w:tcW w:type="auto" w:w="0"/>
                  <w:shd w:val="clear" w:color="auto" w:fill="F0F0F0"/>
                </w:tcPr>
                <w:p>
                  <w:pPr>
                    <w:pStyle w:val="Normal"/>
                    <w:keepLines w:val="on"/>
                  </w:pPr>
                  <w:r>
                    <w:t>$57,552</w:t>
                  </w:r>
                </w:p>
              </w:tc>
              <w:tc>
                <w:tcPr>
                  <w:tcW w:type="auto" w:w="0"/>
                  <w:shd w:val="clear" w:color="auto" w:fill="F0F0F0"/>
                </w:tcPr>
                <w:p>
                  <w:pPr>
                    <w:pStyle w:val="Normal"/>
                    <w:keepLines w:val="on"/>
                  </w:pPr>
                  <w:r>
                    <w:t>$96,995</w:t>
                  </w:r>
                </w:p>
              </w:tc>
              <w:tc>
                <w:tcPr>
                  <w:tcW w:type="auto" w:w="0"/>
                  <w:shd w:val="clear" w:color="auto" w:fill="F0F0F0"/>
                </w:tcPr>
                <w:p>
                  <w:pPr>
                    <w:pStyle w:val="Normal"/>
                    <w:keepLines w:val="on"/>
                  </w:pPr>
                  <w:r>
                    <w:t>$100,389</w:t>
                  </w:r>
                </w:p>
              </w:tc>
            </w:tr>
          </w:tbl>
          <w:p/>
        </w:tc>
      </w:tr>
    </w:tbl>
    <w:p>
      <w:pPr>
        <w:pStyle w:val="Para 04"/>
        <w:keepLines w:val="on"/>
      </w:pPr>
      <w:r>
        <w:t>Doanh thu 12 tháng gần nhất (trailing 12-month) giảm nhẹ so với doanh thu được báo cáo trong báo cáo 10-K mới nhất, còn thu nhập hoạt động (operating income) và thu nhập ròng (net income) của công ty đều tăng nhẹ. Nói đơn giản, các con số 12 tháng gần nhất của Apple vào tháng 4 năm 2024 cho thấy một công ty đang gặp khó khăn trong tăng trưởng. Lưu ý rằng đây không phải là những dữ liệu đầu vào duy nhất sẽ thay đổi. Với những công ty non trẻ hơn, số lượng cổ phiếu đang lưu hành (shares outstanding) cũng có thể thay đổi đáng kể qua từng kỳ. Dùng những con số mới nhất sẽ giúp bạn có một định giá (valuation) thực tế hơn.</w:t>
      </w:r>
    </w:p>
    <w:p>
      <w:bookmarkStart w:id="1578" w:name="Correcting_Earnings_Misclassific"/>
      <w:bookmarkStart w:id="1579" w:name="Correcting_Earnings_Misclassific_1"/>
      <w:pPr>
        <w:keepNext/>
        <w:pStyle w:val="Heading 3"/>
        <w:keepLines w:val="on"/>
      </w:pPr>
      <w:r>
        <w:t>Điều chỉnh việc phân loại sai thu nhập</w:t>
      </w:r>
      <w:bookmarkEnd w:id="1578"/>
      <w:bookmarkEnd w:id="1579"/>
    </w:p>
    <w:p>
      <w:pPr>
        <w:pStyle w:val="Para 03"/>
      </w:pPr>
      <w:r>
        <w:t>Các công ty có ba loại chi phí, và mỗi loại đều có vị trí của mình trong báo cáo kế toán, ảnh hưởng đến thu nhập được báo cáo và giá trị trên bảng cân đối kế toán (balance sheet).</w:t>
      </w:r>
    </w:p>
    <w:p>
      <w:pPr>
        <w:numPr>
          <w:ilvl w:val="0"/>
          <w:numId w:val="73"/>
        </w:numPr>
        <w:pStyle w:val="Para 01"/>
      </w:pPr>
      <w:r>
        <w:t>Chi phí hoạt động (operating expenses) là những chi phí chỉ tạo ra lợi ích cho công ty trong kỳ hiện tại. Ví dụ, nhiên liệu mà một hãng hàng không sử dụng trong các chuyến bay là chi phí hoạt động, cũng như chi phí nhân công của một công ty ô tô gắn với việc sản xuất xe.</w:t>
      </w:r>
    </w:p>
    <w:p>
      <w:pPr>
        <w:numPr>
          <w:ilvl w:val="0"/>
          <w:numId w:val="73"/>
        </w:numPr>
        <w:pStyle w:val="Para 01"/>
      </w:pPr>
      <w:r>
        <w:t>Chi phí vốn (capital expenses) là những chi phí tạo ra lợi ích qua nhiều kỳ. Ví dụ, chi phí xây dựng và trang bị một nhà máy mới cho một nhà sản xuất ô tô là chi phí vốn, vì nó sẽ tạo ra doanh thu trong nhiều năm.</w:t>
      </w:r>
    </w:p>
    <w:p>
      <w:pPr>
        <w:numPr>
          <w:ilvl w:val="0"/>
          <w:numId w:val="73"/>
        </w:numPr>
        <w:pStyle w:val="Para 01"/>
      </w:pPr>
      <w:r>
        <w:t>Chi phí tài chính (financing expenses) là những chi phí gắn với vốn không phải cổ phần (nonequity capital) mà công ty huy động. Như vậy, tiền lãi trả cho một khoản vay ngân hàng sẽ là chi phí tài chính.</w:t>
      </w:r>
    </w:p>
    <w:p>
      <w:pPr>
        <w:pStyle w:val="Para 03"/>
      </w:pPr>
      <w:r>
        <w:t>Thu nhập hoạt động của một công ty, nếu được đo lường đúng, phải bằng doanh thu trừ đi chi phí hoạt động. Cả chi phí tài chính lẫn chi phí vốn đều không nên được tính vào chi phí hoạt động trong năm mà chúng phát sinh, mặc dù chi phí vốn có thể được khấu hao (depreciated) hoặc phân bổ (amortized) qua những kỳ mà công ty thu được lợi ích từ các chi phí đó. Thu nhập ròng của một công ty phải bằng doanh thu trừ đi cả chi phí hoạt động lẫn chi phí tài chính.</w:t>
      </w:r>
    </w:p>
    <w:p>
      <w:pPr>
        <w:pStyle w:val="Para 03"/>
      </w:pPr>
      <w:r>
        <w:t>Các thước đo thu nhập theo kế toán có thể gây hiểu nhầm vì chi phí hoạt động, chi phí vốn và chi phí tài chính đôi khi bị phân loại sai. Phần này xem xét hai kiểu phân loại sai phổ biến nhất và cách điều chỉnh chúng. Thứ nhất là việc tính chi phí vốn như chi phí nghiên cứu và phát triển (R&amp;D) vào chi phí hoạt động, điều này làm lệch việc ước tính cả thu nhập hoạt động lẫn thu nhập ròng. Điều chỉnh thứ hai là đối với chi phí tài chính như chi phí thuê hoạt động (operating lease expenses) lại bị coi là chi phí hoạt động. Điều này ảnh hưởng đến việc đo lường thu nhập hoạt động và dòng tiền tự do của công ty (free cash flows to the firm).</w:t>
      </w:r>
    </w:p>
    <w:p>
      <w:pPr>
        <w:pStyle w:val="Para 03"/>
      </w:pPr>
      <w:r>
        <w:t>Một yếu tố khác cần cân nhắc là ảnh hưởng của hiện tượng cái gọi là thu nhập được quản lý (managed earnings) tại các công ty này. Các công ty đôi khi dùng thủ thuật kế toán để công bố thu nhập vượt ước tính của giới phân tích, dẫn đến những thước đo thu nhập gây hiểu nhầm.</w:t>
      </w:r>
    </w:p>
    <w:p>
      <w:bookmarkStart w:id="1581" w:name="Capital_Expenses_Treated_as_Oper_1"/>
      <w:bookmarkStart w:id="1582" w:name="Capital_Expenses_Treated_as_Oper"/>
      <w:pPr>
        <w:keepNext/>
        <w:pStyle w:val="Heading 4"/>
        <w:keepLines w:val="on"/>
      </w:pPr>
      <w:r>
        <w:t>Chi phí vốn bị coi là chi phí hoạt động</w:t>
      </w:r>
      <w:bookmarkEnd w:id="1581"/>
      <w:bookmarkEnd w:id="1582"/>
    </w:p>
    <w:p>
      <w:pPr>
        <w:pStyle w:val="Para 03"/>
      </w:pPr>
      <w:r>
        <w:t>Trên lý thuyết, thu nhập hoạt động chỉ trừ đi chi phí hoạt động, nhưng thực tế lại có một số chi phí vốn bị coi là chi phí hoạt động. Ví dụ, một điểm yếu đáng kể của báo cáo kế toán là cách chúng xử lý chi phí nghiên cứu và phát triển. Với lý lẽ rằng sản phẩm của nghiên cứu quá bất định và khó định lượng, các chuẩn mực kế toán nhìn chung yêu cầu mọi chi phí R&amp;D phải được ghi nhận là chi phí trong kỳ phát sinh. Điều này có nhiều hệ quả, nhưng một trong những hệ quả sâu sắc nhất là giá trị của các tài sản được tạo ra bởi nghiên cứu không xuất hiện trên bảng cân đối kế toán như một phần trong tổng tài sản của công ty. Điều này lại tạo ra hiệu ứng lan tỏa đối với việc đo lường vốn và các tỷ số sinh lời (profitability ratios) của công ty. Chúng ta sẽ xem xét cách vốn hóa (capitalize) chi phí R&amp;D trong phần đầu của mục này và mở rộng lập luận sang các chi phí vốn khác trong phần thứ hai.</w:t>
      </w:r>
    </w:p>
    <w:p>
      <w:bookmarkStart w:id="1583" w:name="Capitalizing_R_D_Expenses__Resea"/>
      <w:pPr>
        <w:pStyle w:val="Para 21"/>
      </w:pPr>
      <w:r>
        <w:t>Vốn hóa chi phí R&amp;D</w:t>
      </w:r>
      <w:bookmarkEnd w:id="1583"/>
    </w:p>
    <w:p>
      <w:pPr>
        <w:pStyle w:val="Para 03"/>
      </w:pPr>
      <w:r>
        <w:t>Chi phí nghiên cứu, bất chấp sự bất định về lợi ích tương lai, nên được vốn hóa. Để vốn hóa và định giá tài sản nghiên cứu, chúng ta đưa ra một giả định về việc trung bình mất bao lâu để nghiên cứu và phát triển được chuyển thành sản phẩm thương mại. Đây được gọi là thời gian phân bổ (amortizable life) của những tài sản này. Thời gian này sẽ khác nhau giữa các công ty và phản ánh khoảng thời gian cần để chuyển nghiên cứu thành sản phẩm. Để minh họa, chi phí nghiên cứu và phát triển tại một công ty dược phẩm nên có thời gian phân bổ khá dài, vì quy trình phê duyệt thuốc mới rất lâu. Ngược lại, chi phí nghiên cứu và phát triển tại một công ty phần mềm, nơi sản phẩm có xu hướng ra đời từ nghiên cứu nhanh hơn nhiều, nên được phân bổ trong thời gian ngắn hơn.</w:t>
      </w:r>
    </w:p>
    <w:p>
      <w:pPr>
        <w:pStyle w:val="Para 03"/>
      </w:pPr>
      <w:r>
        <w:t>Sau khi đã ước tính thời gian phân bổ của chi phí nghiên cứu và phát triển, bước tiếp theo là thu thập dữ liệu về chi phí R&amp;D trong những năm qua, lùi lại trong khoảng thời gian phân bổ của tài sản nghiên cứu. Như vậy, nếu tài sản nghiên cứu có thời gian phân bổ năm năm, thì phải lấy được chi phí R&amp;D trong từng năm trong số năm năm trước năm hiện tại. Để đơn giản, có thể giả định rằng việc phân bổ là đều theo thời gian, dẫn đến ước tính sau đây về giá trị còn lại của tài sản nghiên cứu ở thời điểm hiện tại:</w:t>
      </w:r>
    </w:p>
    <w:p>
      <w:bookmarkStart w:id="1585" w:name="Value_of_research_asset_with_n_y"/>
      <w:pPr>
        <w:keepNext/>
        <w:pStyle w:val="Para 09"/>
        <w:keepLines w:val="on"/>
      </w:pPr>
      <w:r>
        <w:t>Giá trị tài sản nghiên cứu với thời gian phân bổ n năm=∑t=-(n-1)t=0R&amp;Dt(n+t)n</w:t>
      </w:r>
      <w:bookmarkEnd w:id="1585"/>
    </w:p>
    <w:p>
      <w:pPr>
        <w:pStyle w:val="Para 03"/>
      </w:pPr>
      <w:r>
        <w:t>Như vậy, trong trường hợp tài sản nghiên cứu có thời gian phân bổ năm năm, bạn cộng dồn một phần năm chi phí R&amp;D của bốn năm trước, hai phần năm chi phí R&amp;D của ba năm trước, ba phần năm chi phí R&amp;D của hai năm trước, bốn phần năm chi phí R&amp;D của năm ngoái, và toàn bộ chi phí R&amp;D của năm nay để ra được giá trị của tài sản nghiên cứu. Điều này làm tăng giá trị tài sản của công ty và do đó làm tăng giá trị sổ sách của vốn chủ sở hữu (book value of equity).</w:t>
      </w:r>
    </w:p>
    <w:p>
      <w:bookmarkStart w:id="1587" w:name="Adjusted_book_value_of_equity_Bo"/>
      <w:pPr>
        <w:keepNext/>
        <w:pStyle w:val="Para 09"/>
        <w:keepLines w:val="on"/>
      </w:pPr>
      <w:r>
        <w:t>Giá trị sổ sách điều chỉnh của vốn chủ sở hữu=Giá trị sổ sách của vốn chủ sở hữu+Giá trị tài sản nghiên cứu</w:t>
      </w:r>
      <w:bookmarkEnd w:id="1587"/>
    </w:p>
    <w:p>
      <w:pPr>
        <w:pStyle w:val="Para 03"/>
      </w:pPr>
      <w:r>
        <w:t>Cuối cùng, thu nhập hoạt động được điều chỉnh để phản ánh việc vốn hóa chi phí R&amp;D. Đầu tiên, chi phí R&amp;D đã bị trừ đi để ra thu nhập hoạt động được cộng trở lại vào thu nhập hoạt động, phản ánh việc chúng được phân loại lại thành chi phí vốn. Tiếp theo, phần phân bổ của tài sản nghiên cứu được xử lý giống như khấu hao và được trừ ra để ra thu nhập hoạt động điều chỉnh:</w:t>
      </w:r>
    </w:p>
    <w:p>
      <w:bookmarkStart w:id="1588" w:name="Adjusted_operating_income_Operat"/>
      <w:pPr>
        <w:keepNext/>
        <w:pStyle w:val="Para 09"/>
        <w:keepLines w:val="on"/>
      </w:pPr>
      <w:r>
        <w:t>Thu nhập hoạt động điều chỉnh=Thu nhập hoạt động+Chi phí R&amp;D năm hiện tại- Phân bổ tài sản nghiên cứu</w:t>
      </w:r>
      <w:bookmarkEnd w:id="1588"/>
    </w:p>
    <w:p>
      <w:pPr>
        <w:pStyle w:val="Para 03"/>
      </w:pPr>
      <w:r>
        <w:t>Điều chỉnh này nhìn chung sẽ làm tăng thu nhập hoạt động đối với những công ty có chi phí R&amp;D đang tăng dần theo thời gian. Thu nhập ròng cũng sẽ bị ảnh hưởng bởi điều chỉnh này:</w:t>
      </w:r>
    </w:p>
    <w:p>
      <w:bookmarkStart w:id="1589" w:name="Adjusted_net_income_Net_income_C"/>
      <w:pPr>
        <w:keepNext/>
        <w:pStyle w:val="Para 09"/>
        <w:keepLines w:val="on"/>
      </w:pPr>
      <w:r>
        <w:t>Thu nhập ròng điều chỉnh=Thu nhập ròng+Chi phí R&amp;D năm hiện tại- Phân bổ tài sản nghiên cứu</w:t>
      </w:r>
      <w:bookmarkEnd w:id="1589"/>
    </w:p>
    <w:p>
      <w:pPr>
        <w:pStyle w:val="Para 03"/>
      </w:pPr>
      <w:r>
        <w:t>Mặc dù thông thường chúng ta chỉ xét phần sau thuế của khoản này, nhưng việc R&amp;D hoàn toàn được khấu trừ thuế đã loại bỏ nhu cầu phải điều chỉnh như vậy.1</w:t>
      </w:r>
    </w:p>
    <w:p>
      <w:pPr>
        <w:pStyle w:val="Para 11"/>
      </w:pPr>
      <w:r>
        <w:t/>
        <w:t xml:space="preserve"> </w:t>
      </w:r>
    </w:p>
    <w:p>
      <w:bookmarkStart w:id="1591" w:name="R_DConv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87"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1591"/>
    </w:p>
    <w:p>
      <w:pPr>
        <w:pStyle w:val="Para 31"/>
        <w:keepLines w:val="on"/>
      </w:pPr>
      <w:r>
        <w:t>R&amp;DConv.xls: Bảng tính này cho phép bạn chuyển đổi chi phí R&amp;D từ chi phí hoạt động sang chi phí vốn.</w:t>
      </w:r>
    </w:p>
    <w:p>
      <w:pPr>
        <w:pStyle w:val="Para 11"/>
      </w:pPr>
      <w:r>
        <w:t/>
        <w:t xml:space="preserve"> </w:t>
      </w:r>
    </w:p>
    <w:p>
      <w:bookmarkStart w:id="1592" w:name="ILLUSTRATION_9_2___Capitalizing_1"/>
      <w:bookmarkStart w:id="1593" w:name="ILLUSTRATION_9_2___Capitalizing"/>
      <w:pPr>
        <w:keepNext/>
        <w:pStyle w:val="Para 19"/>
        <w:keepLines w:val="on"/>
      </w:pPr>
      <w:r>
        <w:t>MINH HỌA 9.2: Vốn hóa chi phí R&amp;D: Amgen vào tháng 5 năm 2024</w:t>
      </w:r>
      <w:bookmarkEnd w:id="1592"/>
      <w:bookmarkEnd w:id="1593"/>
    </w:p>
    <w:p>
      <w:pPr>
        <w:pStyle w:val="Para 04"/>
        <w:keepLines w:val="on"/>
      </w:pPr>
      <w:r>
        <w:t>Amgen là một công ty công nghệ sinh học. Giống như hầu hết các công ty dược phẩm, công ty này có một khoản chi phí R&amp;D đáng kể, và chúng ta sẽ thử vốn hóa nó trong phần này. Bước đầu tiên trong việc chuyển đổi này là xác định vòng đời có thể khấu hao (amortizable life) cho chi phí R&amp;D. Theo kỳ vọng, sẽ mất bao lâu để hoạt động nghiên cứu sinh lời tại Amgen? Do quy trình phê duyệt thuốc mới của Cục Quản lý Thực phẩm và Dược phẩm (FDA) kéo dài, chúng ta giả định vòng đời có thể khấu hao này là 10 năm.</w:t>
      </w:r>
    </w:p>
    <w:p>
      <w:pPr>
        <w:pStyle w:val="Para 04"/>
        <w:keepLines w:val="on"/>
      </w:pPr>
      <w:r>
        <w:t>Bước thứ hai trong phân tích là thu thập chi phí nghiên cứu và phát triển từ các năm trước, với số năm dữ liệu lịch sử phụ thuộc vào vòng đời có thể khấu hao. Bảng sau đây cung cấp thông tin này (tính bằng triệu đô la) cho từng năm:</w:t>
      </w:r>
    </w:p>
    <w:tbl>
      <w:tblPr>
        <w:tblW w:type="auto" w:w="0"/>
      </w:tblPr>
      <w:tr>
        <w:tc>
          <w:tcPr>
            <w:tcW w:type="auto" w:w="0"/>
          </w:tcPr>
          <w:tbl>
            <w:tblPr>
              <w:tblW w:type="auto" w:w="0"/>
            </w:tblPr>
            <w:tr>
              <w:tc>
                <w:tcPr>
                  <w:tcW w:type="auto" w:w="0"/>
                  <w:shd w:val="clear" w:color="auto" w:fill="F0F0F0"/>
                </w:tcPr>
                <w:p>
                  <w:pPr>
                    <w:pStyle w:val="Para 05"/>
                    <w:keepLines w:val="on"/>
                  </w:pPr>
                  <w:r>
                    <w:t>Năm dương lịch</w:t>
                  </w:r>
                </w:p>
              </w:tc>
              <w:tc>
                <w:tcPr>
                  <w:tcW w:type="auto" w:w="0"/>
                  <w:shd w:val="clear" w:color="auto" w:fill="F0F0F0"/>
                </w:tcPr>
                <w:p>
                  <w:pPr>
                    <w:pStyle w:val="Para 05"/>
                    <w:keepLines w:val="on"/>
                  </w:pPr>
                  <w:r>
                    <w:t>Năm (t)</w:t>
                  </w:r>
                </w:p>
              </w:tc>
              <w:tc>
                <w:tcPr>
                  <w:tcW w:type="auto" w:w="0"/>
                  <w:shd w:val="clear" w:color="auto" w:fill="F0F0F0"/>
                </w:tcPr>
                <w:p>
                  <w:pPr>
                    <w:pStyle w:val="Para 05"/>
                    <w:keepLines w:val="on"/>
                  </w:pPr>
                  <w:r>
                    <w:t>Chi phí R&amp;D</w:t>
                  </w:r>
                </w:p>
              </w:tc>
            </w:tr>
            <w:tr>
              <w:tc>
                <w:tcPr>
                  <w:tcW w:type="auto" w:w="0"/>
                  <w:shd w:val="clear" w:color="auto" w:fill="F0F0F0"/>
                </w:tcPr>
                <w:p>
                  <w:pPr>
                    <w:pStyle w:val="Normal"/>
                    <w:keepLines w:val="on"/>
                  </w:pPr>
                  <w:r>
                    <w:t>Hiện tại (2023)</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$4,784</w:t>
                  </w:r>
                </w:p>
              </w:tc>
            </w:tr>
            <w:tr>
              <w:tc>
                <w:tcPr>
                  <w:tcW w:type="auto" w:w="0"/>
                  <w:shd w:val="clear" w:color="auto" w:fill="F0F0F0"/>
                </w:tcPr>
                <w:p>
                  <w:pPr>
                    <w:pStyle w:val="Normal"/>
                    <w:keepLines w:val="on"/>
                  </w:pPr>
                  <w:r>
                    <w:t>2022</w:t>
                  </w:r>
                </w:p>
              </w:tc>
              <w:tc>
                <w:tcPr>
                  <w:tcW w:type="auto" w:w="0"/>
                  <w:shd w:val="clear" w:color="auto" w:fill="F0F0F0"/>
                </w:tcPr>
                <w:p>
                  <w:pPr>
                    <w:pStyle w:val="Normal"/>
                    <w:keepLines w:val="on"/>
                  </w:pPr>
                  <w:r>
                    <w:t>−1</w:t>
                  </w:r>
                </w:p>
              </w:tc>
              <w:tc>
                <w:tcPr>
                  <w:tcW w:type="auto" w:w="0"/>
                  <w:shd w:val="clear" w:color="auto" w:fill="F0F0F0"/>
                </w:tcPr>
                <w:p>
                  <w:pPr>
                    <w:pStyle w:val="Normal"/>
                    <w:keepLines w:val="on"/>
                  </w:pPr>
                  <w:r>
                    <w:t>$4,434</w:t>
                  </w:r>
                </w:p>
              </w:tc>
            </w:tr>
            <w:tr>
              <w:tc>
                <w:tcPr>
                  <w:tcW w:type="auto" w:w="0"/>
                  <w:shd w:val="clear" w:color="auto" w:fill="F0F0F0"/>
                </w:tcPr>
                <w:p>
                  <w:pPr>
                    <w:pStyle w:val="Normal"/>
                    <w:keepLines w:val="on"/>
                  </w:pPr>
                  <w:r>
                    <w:t>2021</w:t>
                  </w:r>
                </w:p>
              </w:tc>
              <w:tc>
                <w:tcPr>
                  <w:tcW w:type="auto" w:w="0"/>
                  <w:shd w:val="clear" w:color="auto" w:fill="F0F0F0"/>
                </w:tcPr>
                <w:p>
                  <w:pPr>
                    <w:pStyle w:val="Normal"/>
                    <w:keepLines w:val="on"/>
                  </w:pPr>
                  <w:r>
                    <w:t>−2</w:t>
                  </w:r>
                </w:p>
              </w:tc>
              <w:tc>
                <w:tcPr>
                  <w:tcW w:type="auto" w:w="0"/>
                  <w:shd w:val="clear" w:color="auto" w:fill="F0F0F0"/>
                </w:tcPr>
                <w:p>
                  <w:pPr>
                    <w:pStyle w:val="Normal"/>
                    <w:keepLines w:val="on"/>
                  </w:pPr>
                  <w:r>
                    <w:t>$4,819</w:t>
                  </w:r>
                </w:p>
              </w:tc>
            </w:tr>
            <w:tr>
              <w:tc>
                <w:tcPr>
                  <w:tcW w:type="auto" w:w="0"/>
                  <w:shd w:val="clear" w:color="auto" w:fill="F0F0F0"/>
                </w:tcPr>
                <w:p>
                  <w:pPr>
                    <w:pStyle w:val="Normal"/>
                    <w:keepLines w:val="on"/>
                  </w:pPr>
                  <w:r>
                    <w:t>2020</w:t>
                  </w:r>
                </w:p>
              </w:tc>
              <w:tc>
                <w:tcPr>
                  <w:tcW w:type="auto" w:w="0"/>
                  <w:shd w:val="clear" w:color="auto" w:fill="F0F0F0"/>
                </w:tcPr>
                <w:p>
                  <w:pPr>
                    <w:pStyle w:val="Normal"/>
                    <w:keepLines w:val="on"/>
                  </w:pPr>
                  <w:r>
                    <w:t>−3</w:t>
                  </w:r>
                </w:p>
              </w:tc>
              <w:tc>
                <w:tcPr>
                  <w:tcW w:type="auto" w:w="0"/>
                  <w:shd w:val="clear" w:color="auto" w:fill="F0F0F0"/>
                </w:tcPr>
                <w:p>
                  <w:pPr>
                    <w:pStyle w:val="Normal"/>
                    <w:keepLines w:val="on"/>
                  </w:pPr>
                  <w:r>
                    <w:t>$4,207</w:t>
                  </w:r>
                </w:p>
              </w:tc>
            </w:tr>
            <w:tr>
              <w:tc>
                <w:tcPr>
                  <w:tcW w:type="auto" w:w="0"/>
                  <w:shd w:val="clear" w:color="auto" w:fill="F0F0F0"/>
                </w:tcPr>
                <w:p>
                  <w:pPr>
                    <w:pStyle w:val="Normal"/>
                    <w:keepLines w:val="on"/>
                  </w:pPr>
                  <w:r>
                    <w:t>2019</w:t>
                  </w:r>
                </w:p>
              </w:tc>
              <w:tc>
                <w:tcPr>
                  <w:tcW w:type="auto" w:w="0"/>
                  <w:shd w:val="clear" w:color="auto" w:fill="F0F0F0"/>
                </w:tcPr>
                <w:p>
                  <w:pPr>
                    <w:pStyle w:val="Normal"/>
                    <w:keepLines w:val="on"/>
                  </w:pPr>
                  <w:r>
                    <w:t>−4</w:t>
                  </w:r>
                </w:p>
              </w:tc>
              <w:tc>
                <w:tcPr>
                  <w:tcW w:type="auto" w:w="0"/>
                  <w:shd w:val="clear" w:color="auto" w:fill="F0F0F0"/>
                </w:tcPr>
                <w:p>
                  <w:pPr>
                    <w:pStyle w:val="Normal"/>
                    <w:keepLines w:val="on"/>
                  </w:pPr>
                  <w:r>
                    <w:t>$4,116</w:t>
                  </w:r>
                </w:p>
              </w:tc>
            </w:tr>
            <w:tr>
              <w:tc>
                <w:tcPr>
                  <w:tcW w:type="auto" w:w="0"/>
                  <w:shd w:val="clear" w:color="auto" w:fill="F0F0F0"/>
                </w:tcPr>
                <w:p>
                  <w:pPr>
                    <w:pStyle w:val="Normal"/>
                    <w:keepLines w:val="on"/>
                  </w:pPr>
                  <w:r>
                    <w:t>2018</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$3,737</w:t>
                  </w:r>
                </w:p>
              </w:tc>
            </w:tr>
            <w:tr>
              <w:tc>
                <w:tcPr>
                  <w:tcW w:type="auto" w:w="0"/>
                  <w:shd w:val="clear" w:color="auto" w:fill="F0F0F0"/>
                </w:tcPr>
                <w:p>
                  <w:pPr>
                    <w:pStyle w:val="Normal"/>
                    <w:keepLines w:val="on"/>
                  </w:pPr>
                  <w:r>
                    <w:t>2017</w:t>
                  </w:r>
                </w:p>
              </w:tc>
              <w:tc>
                <w:tcPr>
                  <w:tcW w:type="auto" w:w="0"/>
                  <w:shd w:val="clear" w:color="auto" w:fill="F0F0F0"/>
                </w:tcPr>
                <w:p>
                  <w:pPr>
                    <w:pStyle w:val="Normal"/>
                    <w:keepLines w:val="on"/>
                  </w:pPr>
                  <w:r>
                    <w:t>−6</w:t>
                  </w:r>
                </w:p>
              </w:tc>
              <w:tc>
                <w:tcPr>
                  <w:tcW w:type="auto" w:w="0"/>
                  <w:shd w:val="clear" w:color="auto" w:fill="F0F0F0"/>
                </w:tcPr>
                <w:p>
                  <w:pPr>
                    <w:pStyle w:val="Normal"/>
                    <w:keepLines w:val="on"/>
                  </w:pPr>
                  <w:r>
                    <w:t>$3,562</w:t>
                  </w:r>
                </w:p>
              </w:tc>
            </w:tr>
            <w:tr>
              <w:tc>
                <w:tcPr>
                  <w:tcW w:type="auto" w:w="0"/>
                  <w:shd w:val="clear" w:color="auto" w:fill="F0F0F0"/>
                </w:tcPr>
                <w:p>
                  <w:pPr>
                    <w:pStyle w:val="Normal"/>
                    <w:keepLines w:val="on"/>
                  </w:pPr>
                  <w:r>
                    <w:t>2016</w:t>
                  </w:r>
                </w:p>
              </w:tc>
              <w:tc>
                <w:tcPr>
                  <w:tcW w:type="auto" w:w="0"/>
                  <w:shd w:val="clear" w:color="auto" w:fill="F0F0F0"/>
                </w:tcPr>
                <w:p>
                  <w:pPr>
                    <w:pStyle w:val="Normal"/>
                    <w:keepLines w:val="on"/>
                  </w:pPr>
                  <w:r>
                    <w:t>−7</w:t>
                  </w:r>
                </w:p>
              </w:tc>
              <w:tc>
                <w:tcPr>
                  <w:tcW w:type="auto" w:w="0"/>
                  <w:shd w:val="clear" w:color="auto" w:fill="F0F0F0"/>
                </w:tcPr>
                <w:p>
                  <w:pPr>
                    <w:pStyle w:val="Normal"/>
                    <w:keepLines w:val="on"/>
                  </w:pPr>
                  <w:r>
                    <w:t>$3,840</w:t>
                  </w:r>
                </w:p>
              </w:tc>
            </w:tr>
            <w:tr>
              <w:tc>
                <w:tcPr>
                  <w:tcW w:type="auto" w:w="0"/>
                  <w:shd w:val="clear" w:color="auto" w:fill="F0F0F0"/>
                </w:tcPr>
                <w:p>
                  <w:pPr>
                    <w:pStyle w:val="Normal"/>
                    <w:keepLines w:val="on"/>
                  </w:pPr>
                  <w:r>
                    <w:t>2015</w:t>
                  </w:r>
                </w:p>
              </w:tc>
              <w:tc>
                <w:tcPr>
                  <w:tcW w:type="auto" w:w="0"/>
                  <w:shd w:val="clear" w:color="auto" w:fill="F0F0F0"/>
                </w:tcPr>
                <w:p>
                  <w:pPr>
                    <w:pStyle w:val="Normal"/>
                    <w:keepLines w:val="on"/>
                  </w:pPr>
                  <w:r>
                    <w:t>−8</w:t>
                  </w:r>
                </w:p>
              </w:tc>
              <w:tc>
                <w:tcPr>
                  <w:tcW w:type="auto" w:w="0"/>
                  <w:shd w:val="clear" w:color="auto" w:fill="F0F0F0"/>
                </w:tcPr>
                <w:p>
                  <w:pPr>
                    <w:pStyle w:val="Normal"/>
                    <w:keepLines w:val="on"/>
                  </w:pPr>
                  <w:r>
                    <w:t>$4,006</w:t>
                  </w:r>
                </w:p>
              </w:tc>
            </w:tr>
            <w:tr>
              <w:tc>
                <w:tcPr>
                  <w:tcW w:type="auto" w:w="0"/>
                  <w:shd w:val="clear" w:color="auto" w:fill="F0F0F0"/>
                </w:tcPr>
                <w:p>
                  <w:pPr>
                    <w:pStyle w:val="Normal"/>
                    <w:keepLines w:val="on"/>
                  </w:pPr>
                  <w:r>
                    <w:t>2014</w:t>
                  </w:r>
                </w:p>
              </w:tc>
              <w:tc>
                <w:tcPr>
                  <w:tcW w:type="auto" w:w="0"/>
                  <w:shd w:val="clear" w:color="auto" w:fill="F0F0F0"/>
                </w:tcPr>
                <w:p>
                  <w:pPr>
                    <w:pStyle w:val="Normal"/>
                    <w:keepLines w:val="on"/>
                  </w:pPr>
                  <w:r>
                    <w:t>−9</w:t>
                  </w:r>
                </w:p>
              </w:tc>
              <w:tc>
                <w:tcPr>
                  <w:tcW w:type="auto" w:w="0"/>
                  <w:shd w:val="clear" w:color="auto" w:fill="F0F0F0"/>
                </w:tcPr>
                <w:p>
                  <w:pPr>
                    <w:pStyle w:val="Normal"/>
                    <w:keepLines w:val="on"/>
                  </w:pPr>
                  <w:r>
                    <w:t>$4,248</w:t>
                  </w:r>
                </w:p>
              </w:tc>
            </w:tr>
            <w:tr>
              <w:tc>
                <w:tcPr>
                  <w:tcW w:type="auto" w:w="0"/>
                  <w:shd w:val="clear" w:color="auto" w:fill="F0F0F0"/>
                </w:tcPr>
                <w:p>
                  <w:pPr>
                    <w:pStyle w:val="Normal"/>
                    <w:keepLines w:val="on"/>
                  </w:pPr>
                  <w:r>
                    <w:t>2013</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$4,083</w:t>
                  </w:r>
                </w:p>
              </w:tc>
            </w:tr>
          </w:tbl>
          <w:p/>
        </w:tc>
      </w:tr>
    </w:tbl>
    <w:p>
      <w:pPr>
        <w:pStyle w:val="Para 04"/>
        <w:keepLines w:val="on"/>
      </w:pPr>
      <w:r>
        <w:t>Thông tin của năm hiện tại phản ánh hoạt động R&amp;D trong năm tài chính gần nhất (tức năm dương lịch 2023).</w:t>
      </w:r>
    </w:p>
    <w:p>
      <w:pPr>
        <w:pStyle w:val="Para 04"/>
        <w:keepLines w:val="on"/>
      </w:pPr>
      <w:r>
        <w:t>Phần chi phí của các năm trước lẽ ra đã được khấu hao rồi, cùng với phần khấu hao trong năm nay từ mỗi khoản chi phí này, đều được tính đến. Để việc ước tính đơn giản hơn, các chi phí này được khấu hao theo đường thẳng theo thời gian; với thời gian hữu dụng 10 năm, mỗi năm khấu hao 10%. Điều này cho phép bạn ước tính giá trị của tài sản nghiên cứu được tạo ra tại mỗi công ty trong số này, và phần khấu hao của chi phí R&amp;D trong năm hiện tại. Quy trình này được minh họa trong bảng sau:</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Chi phí R&amp;D</w:t>
                  </w:r>
                </w:p>
              </w:tc>
              <w:tc>
                <w:tcPr>
                  <w:tcW w:type="auto" w:w="0"/>
                  <w:shd w:val="clear" w:color="auto" w:fill="F0F0F0"/>
                  <w:hMerge w:val="restart"/>
                </w:tcPr>
                <w:p>
                  <w:pPr>
                    <w:pStyle w:val="Para 05"/>
                    <w:keepLines w:val="on"/>
                  </w:pPr>
                  <w:r>
                    <w:t>Phần chưa khấu hao</w:t>
                  </w:r>
                </w:p>
              </w:tc>
              <w:tc>
                <w:tcPr>
                  <w:hMerge w:val="continue"/>
                </w:tcPr>
                <w:p/>
              </w:tc>
              <w:tc>
                <w:tcPr>
                  <w:tcW w:type="auto" w:w="0"/>
                  <w:shd w:val="clear" w:color="auto" w:fill="F0F0F0"/>
                </w:tcPr>
                <w:p>
                  <w:pPr>
                    <w:pStyle w:val="Para 05"/>
                    <w:keepLines w:val="on"/>
                  </w:pPr>
                  <w:r>
                    <w:t>Khấu hao năm nay</w:t>
                  </w:r>
                </w:p>
              </w:tc>
            </w:tr>
            <w:tr>
              <w:tc>
                <w:tcPr>
                  <w:tcW w:type="auto" w:w="0"/>
                  <w:shd w:val="clear" w:color="auto" w:fill="F0F0F0"/>
                </w:tcPr>
                <w:p>
                  <w:pPr>
                    <w:pStyle w:val="Normal"/>
                    <w:keepLines w:val="on"/>
                  </w:pPr>
                  <w:r>
                    <w:t>Hiện tại</w:t>
                  </w:r>
                </w:p>
              </w:tc>
              <w:tc>
                <w:tcPr>
                  <w:tcW w:type="auto" w:w="0"/>
                  <w:shd w:val="clear" w:color="auto" w:fill="F0F0F0"/>
                </w:tcPr>
                <w:p>
                  <w:pPr>
                    <w:pStyle w:val="Normal"/>
                    <w:keepLines w:val="on"/>
                  </w:pPr>
                  <w:r>
                    <w:t>$4,784.00</w:t>
                  </w:r>
                </w:p>
              </w:tc>
              <w:tc>
                <w:tcPr>
                  <w:tcW w:type="auto" w:w="0"/>
                  <w:shd w:val="clear" w:color="auto" w:fill="F0F0F0"/>
                </w:tcPr>
                <w:p>
                  <w:pPr>
                    <w:pStyle w:val="Normal"/>
                    <w:keepLines w:val="on"/>
                  </w:pPr>
                  <w:r>
                    <w:t>100.00%</w:t>
                  </w:r>
                </w:p>
              </w:tc>
              <w:tc>
                <w:tcPr>
                  <w:tcW w:type="auto" w:w="0"/>
                  <w:shd w:val="clear" w:color="auto" w:fill="F0F0F0"/>
                </w:tcPr>
                <w:p>
                  <w:pPr>
                    <w:pStyle w:val="Normal"/>
                    <w:keepLines w:val="on"/>
                  </w:pPr>
                  <w:r>
                    <w:t>4784.00</w:t>
                  </w:r>
                </w:p>
              </w:tc>
              <w:tc>
                <w:tcPr>
                  <w:tcW w:type="auto" w:w="0"/>
                  <w:shd w:val="clear" w:color="auto" w:fill="F0F0F0"/>
                </w:tcPr>
                <w:p>
                  <w:pPr>
                    <w:pStyle w:val="7 Block"/>
                    <w:keepLines w:val="on"/>
                  </w:pP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4.434,00 đô la</w:t>
                  </w:r>
                </w:p>
              </w:tc>
              <w:tc>
                <w:tcPr>
                  <w:tcW w:type="auto" w:w="0"/>
                  <w:shd w:val="clear" w:color="auto" w:fill="F0F0F0"/>
                </w:tcPr>
                <w:p>
                  <w:pPr>
                    <w:pStyle w:val="Normal"/>
                    <w:keepLines w:val="on"/>
                  </w:pPr>
                  <w:r>
                    <w:t>90,00%</w:t>
                  </w:r>
                </w:p>
              </w:tc>
              <w:tc>
                <w:tcPr>
                  <w:tcW w:type="auto" w:w="0"/>
                  <w:shd w:val="clear" w:color="auto" w:fill="F0F0F0"/>
                </w:tcPr>
                <w:p>
                  <w:pPr>
                    <w:pStyle w:val="Normal"/>
                    <w:keepLines w:val="on"/>
                  </w:pPr>
                  <w:r>
                    <w:t>3990,60</w:t>
                  </w:r>
                </w:p>
              </w:tc>
              <w:tc>
                <w:tcPr>
                  <w:tcW w:type="auto" w:w="0"/>
                  <w:shd w:val="clear" w:color="auto" w:fill="F0F0F0"/>
                </w:tcPr>
                <w:p>
                  <w:pPr>
                    <w:pStyle w:val="Normal"/>
                    <w:keepLines w:val="on"/>
                  </w:pPr>
                  <w:r>
                    <w:t>443,40 đô la</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4.819,00 đô la</w:t>
                  </w:r>
                </w:p>
              </w:tc>
              <w:tc>
                <w:tcPr>
                  <w:tcW w:type="auto" w:w="0"/>
                  <w:shd w:val="clear" w:color="auto" w:fill="F0F0F0"/>
                </w:tcPr>
                <w:p>
                  <w:pPr>
                    <w:pStyle w:val="Normal"/>
                    <w:keepLines w:val="on"/>
                  </w:pPr>
                  <w:r>
                    <w:t>80,00%</w:t>
                  </w:r>
                </w:p>
              </w:tc>
              <w:tc>
                <w:tcPr>
                  <w:tcW w:type="auto" w:w="0"/>
                  <w:shd w:val="clear" w:color="auto" w:fill="F0F0F0"/>
                </w:tcPr>
                <w:p>
                  <w:pPr>
                    <w:pStyle w:val="Normal"/>
                    <w:keepLines w:val="on"/>
                  </w:pPr>
                  <w:r>
                    <w:t>3855,20</w:t>
                  </w:r>
                </w:p>
              </w:tc>
              <w:tc>
                <w:tcPr>
                  <w:tcW w:type="auto" w:w="0"/>
                  <w:shd w:val="clear" w:color="auto" w:fill="F0F0F0"/>
                </w:tcPr>
                <w:p>
                  <w:pPr>
                    <w:pStyle w:val="Normal"/>
                    <w:keepLines w:val="on"/>
                  </w:pPr>
                  <w:r>
                    <w:t>481,90 đô la</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4.207,00 đô la</w:t>
                  </w:r>
                </w:p>
              </w:tc>
              <w:tc>
                <w:tcPr>
                  <w:tcW w:type="auto" w:w="0"/>
                  <w:shd w:val="clear" w:color="auto" w:fill="F0F0F0"/>
                </w:tcPr>
                <w:p>
                  <w:pPr>
                    <w:pStyle w:val="Normal"/>
                    <w:keepLines w:val="on"/>
                  </w:pPr>
                  <w:r>
                    <w:t>70,00%</w:t>
                  </w:r>
                </w:p>
              </w:tc>
              <w:tc>
                <w:tcPr>
                  <w:tcW w:type="auto" w:w="0"/>
                  <w:shd w:val="clear" w:color="auto" w:fill="F0F0F0"/>
                </w:tcPr>
                <w:p>
                  <w:pPr>
                    <w:pStyle w:val="Normal"/>
                    <w:keepLines w:val="on"/>
                  </w:pPr>
                  <w:r>
                    <w:t>2944,90</w:t>
                  </w:r>
                </w:p>
              </w:tc>
              <w:tc>
                <w:tcPr>
                  <w:tcW w:type="auto" w:w="0"/>
                  <w:shd w:val="clear" w:color="auto" w:fill="F0F0F0"/>
                </w:tcPr>
                <w:p>
                  <w:pPr>
                    <w:pStyle w:val="Normal"/>
                    <w:keepLines w:val="on"/>
                  </w:pPr>
                  <w:r>
                    <w:t>420,70 đô la</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4.116,00 đô la</w:t>
                  </w:r>
                </w:p>
              </w:tc>
              <w:tc>
                <w:tcPr>
                  <w:tcW w:type="auto" w:w="0"/>
                  <w:shd w:val="clear" w:color="auto" w:fill="F0F0F0"/>
                </w:tcPr>
                <w:p>
                  <w:pPr>
                    <w:pStyle w:val="Normal"/>
                    <w:keepLines w:val="on"/>
                  </w:pPr>
                  <w:r>
                    <w:t>60,00%</w:t>
                  </w:r>
                </w:p>
              </w:tc>
              <w:tc>
                <w:tcPr>
                  <w:tcW w:type="auto" w:w="0"/>
                  <w:shd w:val="clear" w:color="auto" w:fill="F0F0F0"/>
                </w:tcPr>
                <w:p>
                  <w:pPr>
                    <w:pStyle w:val="Normal"/>
                    <w:keepLines w:val="on"/>
                  </w:pPr>
                  <w:r>
                    <w:t>2469,60</w:t>
                  </w:r>
                </w:p>
              </w:tc>
              <w:tc>
                <w:tcPr>
                  <w:tcW w:type="auto" w:w="0"/>
                  <w:shd w:val="clear" w:color="auto" w:fill="F0F0F0"/>
                </w:tcPr>
                <w:p>
                  <w:pPr>
                    <w:pStyle w:val="Normal"/>
                    <w:keepLines w:val="on"/>
                  </w:pPr>
                  <w:r>
                    <w:t>411,60 đô la</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3.737,00 đô la</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1868,50</w:t>
                  </w:r>
                </w:p>
              </w:tc>
              <w:tc>
                <w:tcPr>
                  <w:tcW w:type="auto" w:w="0"/>
                  <w:shd w:val="clear" w:color="auto" w:fill="F0F0F0"/>
                </w:tcPr>
                <w:p>
                  <w:pPr>
                    <w:pStyle w:val="Normal"/>
                    <w:keepLines w:val="on"/>
                  </w:pPr>
                  <w:r>
                    <w:t>373,70 đô la</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$3,562.00</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1424.80</w:t>
                  </w:r>
                </w:p>
              </w:tc>
              <w:tc>
                <w:tcPr>
                  <w:tcW w:type="auto" w:w="0"/>
                  <w:shd w:val="clear" w:color="auto" w:fill="F0F0F0"/>
                </w:tcPr>
                <w:p>
                  <w:pPr>
                    <w:pStyle w:val="Normal"/>
                    <w:keepLines w:val="on"/>
                  </w:pPr>
                  <w:r>
                    <w:t>$ 356.20</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$3,840.00</w:t>
                  </w:r>
                </w:p>
              </w:tc>
              <w:tc>
                <w:tcPr>
                  <w:tcW w:type="auto" w:w="0"/>
                  <w:shd w:val="clear" w:color="auto" w:fill="F0F0F0"/>
                </w:tcPr>
                <w:p>
                  <w:pPr>
                    <w:pStyle w:val="Normal"/>
                    <w:keepLines w:val="on"/>
                  </w:pPr>
                  <w:r>
                    <w:t>30.00%</w:t>
                  </w:r>
                </w:p>
              </w:tc>
              <w:tc>
                <w:tcPr>
                  <w:tcW w:type="auto" w:w="0"/>
                  <w:shd w:val="clear" w:color="auto" w:fill="F0F0F0"/>
                </w:tcPr>
                <w:p>
                  <w:pPr>
                    <w:pStyle w:val="Normal"/>
                    <w:keepLines w:val="on"/>
                  </w:pPr>
                  <w:r>
                    <w:t>1152.00</w:t>
                  </w:r>
                </w:p>
              </w:tc>
              <w:tc>
                <w:tcPr>
                  <w:tcW w:type="auto" w:w="0"/>
                  <w:shd w:val="clear" w:color="auto" w:fill="F0F0F0"/>
                </w:tcPr>
                <w:p>
                  <w:pPr>
                    <w:pStyle w:val="Normal"/>
                    <w:keepLines w:val="on"/>
                  </w:pPr>
                  <w:r>
                    <w:t>$ 384.00</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$4,006.00</w:t>
                  </w:r>
                </w:p>
              </w:tc>
              <w:tc>
                <w:tcPr>
                  <w:tcW w:type="auto" w:w="0"/>
                  <w:shd w:val="clear" w:color="auto" w:fill="F0F0F0"/>
                </w:tcPr>
                <w:p>
                  <w:pPr>
                    <w:pStyle w:val="Normal"/>
                    <w:keepLines w:val="on"/>
                  </w:pPr>
                  <w:r>
                    <w:t>20.00%</w:t>
                  </w:r>
                </w:p>
              </w:tc>
              <w:tc>
                <w:tcPr>
                  <w:tcW w:type="auto" w:w="0"/>
                  <w:shd w:val="clear" w:color="auto" w:fill="F0F0F0"/>
                </w:tcPr>
                <w:p>
                  <w:pPr>
                    <w:pStyle w:val="Normal"/>
                    <w:keepLines w:val="on"/>
                  </w:pPr>
                  <w:r>
                    <w:t>801.20</w:t>
                  </w:r>
                </w:p>
              </w:tc>
              <w:tc>
                <w:tcPr>
                  <w:tcW w:type="auto" w:w="0"/>
                  <w:shd w:val="clear" w:color="auto" w:fill="F0F0F0"/>
                </w:tcPr>
                <w:p>
                  <w:pPr>
                    <w:pStyle w:val="Normal"/>
                    <w:keepLines w:val="on"/>
                  </w:pPr>
                  <w:r>
                    <w:t>$ 400.60</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$4,248.00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424.80</w:t>
                  </w:r>
                </w:p>
              </w:tc>
              <w:tc>
                <w:tcPr>
                  <w:tcW w:type="auto" w:w="0"/>
                  <w:shd w:val="clear" w:color="auto" w:fill="F0F0F0"/>
                </w:tcPr>
                <w:p>
                  <w:pPr>
                    <w:pStyle w:val="Normal"/>
                    <w:keepLines w:val="on"/>
                  </w:pPr>
                  <w:r>
                    <w:t>$ 424.80</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$4,083.00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$ 408.30</w:t>
                  </w:r>
                </w:p>
              </w:tc>
            </w:tr>
            <w:tr>
              <w:tc>
                <w:tcPr>
                  <w:tcW w:type="auto" w:w="0"/>
                  <w:shd w:val="clear" w:color="auto" w:fill="F0F0F0"/>
                  <w:hMerge w:val="restart"/>
                </w:tcPr>
                <w:p>
                  <w:pPr>
                    <w:pStyle w:val="Para 02"/>
                    <w:keepLines w:val="on"/>
                  </w:pPr>
                  <w:r>
                    <w:t>Giá trị của tài sản nghiên cứu =</w:t>
                  </w:r>
                </w:p>
              </w:tc>
              <w:tc>
                <w:tcPr>
                  <w:hMerge w:val="continue"/>
                </w:tcPr>
                <w:p/>
              </w:tc>
              <w:tc>
                <w:tcPr>
                  <w:hMerge w:val="continue"/>
                </w:tcPr>
                <w:p/>
              </w:tc>
              <w:tc>
                <w:tcPr>
                  <w:tcW w:type="auto" w:w="0"/>
                  <w:shd w:val="clear" w:color="auto" w:fill="F0F0F0"/>
                </w:tcPr>
                <w:p>
                  <w:pPr>
                    <w:pStyle w:val="Normal"/>
                    <w:keepLines w:val="on"/>
                  </w:pPr>
                  <w:r>
                    <w:t>$23.715,60</w:t>
                  </w:r>
                </w:p>
              </w:tc>
              <w:tc>
                <w:tcPr>
                  <w:tcW w:type="auto" w:w="0"/>
                  <w:shd w:val="clear" w:color="auto" w:fill="F0F0F0"/>
                </w:tcPr>
                <w:p>
                  <w:pPr>
                    <w:pStyle w:val="7 Block"/>
                    <w:keepLines w:val="on"/>
                  </w:pPr>
                </w:p>
              </w:tc>
            </w:tr>
            <w:tr>
              <w:tc>
                <w:tcPr>
                  <w:tcW w:type="auto" w:w="0"/>
                  <w:shd w:val="clear" w:color="auto" w:fill="F0F0F0"/>
                  <w:hMerge w:val="restart"/>
                </w:tcPr>
                <w:p>
                  <w:pPr>
                    <w:pStyle w:val="Para 02"/>
                    <w:keepLines w:val="on"/>
                  </w:pPr>
                  <w:r>
                    <w:t>Khấu hao tài sản</w:t>
                  </w:r>
                </w:p>
              </w:tc>
              <w:tc>
                <w:tcPr>
                  <w:hMerge w:val="continue"/>
                </w:tcPr>
                <w:p/>
              </w:tc>
              <w:tc>
                <w:tcPr>
                  <w:hMerge w:val="continue"/>
                </w:tcPr>
                <w:p/>
              </w:tc>
              <w:tc>
                <w:tcPr>
                  <w:hMerge w:val="continue"/>
                </w:tcPr>
                <w:p/>
              </w:tc>
              <w:tc>
                <w:tcPr>
                  <w:tcW w:type="auto" w:w="0"/>
                  <w:shd w:val="clear" w:color="auto" w:fill="F0F0F0"/>
                </w:tcPr>
                <w:p>
                  <w:pPr>
                    <w:pStyle w:val="Normal"/>
                    <w:keepLines w:val="on"/>
                  </w:pPr>
                  <w:r>
                    <w:t>$4.105,20</w:t>
                  </w:r>
                </w:p>
              </w:tc>
            </w:tr>
          </w:tbl>
          <w:p/>
        </w:tc>
      </w:tr>
    </w:tbl>
    <w:p>
      <w:pPr>
        <w:pStyle w:val="Para 04"/>
        <w:keepLines w:val="on"/>
      </w:pPr>
      <w:r>
        <w:t>Lưu ý rằng không có khoản chi tiêu nào của năm hiện tại được khấu hao vì giả định rằng nó phát sinh vào cuối năm (tức là ngay bây giờ), nhưng 50 phần trăm chi phí từ năm năm trước đã được khấu hao. Tổng giá trị đô la của R&amp;D chưa khấu hao từ các năm trước là 23.716 triệu đô la. Đây có thể được xem là giá trị tài sản nghiên cứu của Amgen và cũng sẽ được cộng vào giá trị sổ sách của vốn chủ sở hữu để tính toán các chỉ số lợi nhuận trên vốn chủ sở hữu và trên vốn đầu tư. Tổng khấu hao trong năm hiện tại cho tất cả các khoản chi phí của năm trước là 4.105 triệu đô la.</w:t>
      </w:r>
    </w:p>
    <w:p>
      <w:pPr>
        <w:pStyle w:val="Para 04"/>
        <w:keepLines w:val="on"/>
      </w:pPr>
      <w:r>
        <w:t>Bước cuối cùng trong quy trình là điều chỉnh thu nhập hoạt động để phản ánh việc vốn hóa chi phí nghiên cứu và phát triển. Chúng ta thực hiện điều chỉnh bằng cách cộng lại chi phí R&amp;D của năm hiện tại vào thu nhập hoạt động (để phản ánh việc phân loại lại nó như một khoản chi phí vốn) và trừ đi phần khấu hao của tài sản nghiên cứu, được ước tính ở bước trước. Đối với Amgen, công ty đã báo cáo thu nhập hoạt động là 8.164 triệu đô la trong báo cáo thu nhập năm 2023, thu nhập hoạt động đã điều chỉnh sẽ là:</w:t>
      </w:r>
    </w:p>
    <w:p>
      <w:bookmarkStart w:id="1597" w:name="Adjusted_operating_income_Operat_1"/>
      <w:pPr>
        <w:keepNext/>
        <w:pStyle w:val="Para 07"/>
        <w:keepLines w:val="on"/>
      </w:pPr>
      <w:r>
        <w:t>Thu nhập hoạt động đã điều chỉnh = Thu nhập hoạt động + Chi phí R&amp;D năm hiện tại - Khấu hao tài sản nghiên cứu = 8.164 + 4.784 - 4.105 = $8.843 triệu</w:t>
      </w:r>
      <w:bookmarkEnd w:id="1597"/>
    </w:p>
    <w:p>
      <w:pPr>
        <w:pStyle w:val="Para 04"/>
        <w:keepLines w:val="on"/>
      </w:pPr>
      <w:r>
        <w:t>Thu nhập ròng được công bố là 6.717 triệu đô la có thể được điều chỉnh tương tự.</w:t>
      </w:r>
    </w:p>
    <w:p>
      <w:bookmarkStart w:id="1598" w:name="Adjusted_net_income_Net_income_C_1"/>
      <w:pPr>
        <w:keepNext/>
        <w:pStyle w:val="Para 07"/>
        <w:keepLines w:val="on"/>
      </w:pPr>
      <w:r>
        <w:t>Thu nhập ròng đã điều chỉnh = Thu nhập ròng + Chi phí R&amp;D năm hiện tại - Khấu hao tài sản nghiên cứu = 6.717 + 4.755 - 4.105 = $7.367 triệu</w:t>
      </w:r>
      <w:bookmarkEnd w:id="1598"/>
    </w:p>
    <w:p>
      <w:pPr>
        <w:pStyle w:val="Para 04"/>
        <w:keepLines w:val="on"/>
      </w:pPr>
      <w:r>
        <w:t>Trong phần trước, chúng tôi đã giải thích lý do tại sao không có tác động thuế nào cần xem xét.</w:t>
      </w:r>
    </w:p>
    <w:p>
      <w:pPr>
        <w:pStyle w:val="Para 04"/>
        <w:keepLines w:val="on"/>
      </w:pPr>
      <w:r>
        <w:t>Cả giá trị sổ sách của vốn chủ sở hữu và vốn đầu tư đều được tăng cường bởi giá trị của tài sản nghiên cứu. Vì các chỉ số lợi nhuận trên vốn đầu tư và vốn chủ sở hữu dựa trên giá trị của năm trước, chúng tôi đã tính giá trị của tài sản nghiên cứu vào cuối năm 2022 bằng cách tiếp cận tương tự như đã sử dụng trong năm 2023.</w:t>
      </w:r>
    </w:p>
    <w:p>
      <w:bookmarkStart w:id="1599" w:name="Value_of_research_asset2022__23"/>
      <w:pPr>
        <w:keepNext/>
        <w:pStyle w:val="Para 07"/>
        <w:keepLines w:val="on"/>
      </w:pPr>
      <w:r>
        <w:t>Giá trị tài sản nghiên cứu 2022 = $23.037
Giá trị sổ sách đã điều chỉnh của vốn chủ sở hữu 2022 = Giá trị sổ sách của vốn chủ sở hữu 2022 + Giá trị tài sản nghiên cứu 2022 = 6.232 + 23.037 = $29.269
Giá trị sổ sách đã điều chỉnh của vốn đầu tư = Giá trị sổ sách của vốn đầu tư 2022 + Giá trị tài sản nghiên cứu 2022 = 60.711 + 23.037 = $83.748</w:t>
      </w:r>
      <w:bookmarkEnd w:id="1599"/>
    </w:p>
    <w:p>
      <w:pPr>
        <w:pStyle w:val="Para 04"/>
        <w:keepLines w:val="on"/>
      </w:pPr>
      <w:r>
        <w:t>Lợi nhuận trên vốn chủ sở hữu và trên vốn đầu tư được báo cáo với cả số liệu chưa điều chỉnh và đã điều chỉnh:</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Chưa điều chỉnh</w:t>
                  </w:r>
                </w:p>
              </w:tc>
              <w:tc>
                <w:tcPr>
                  <w:tcW w:type="auto" w:w="0"/>
                  <w:shd w:val="clear" w:color="auto" w:fill="F0F0F0"/>
                </w:tcPr>
                <w:p>
                  <w:pPr>
                    <w:pStyle w:val="Para 05"/>
                    <w:keepLines w:val="on"/>
                  </w:pPr>
                  <w:r>
                    <w:t>Đã điều chỉnh cho R&amp;D</w:t>
                  </w:r>
                </w:p>
              </w:tc>
            </w:tr>
            <w:tr>
              <w:tc>
                <w:tcPr>
                  <w:tcW w:type="auto" w:w="0"/>
                  <w:shd w:val="clear" w:color="auto" w:fill="F0F0F0"/>
                </w:tcPr>
                <w:p>
                  <w:pPr>
                    <w:pStyle w:val="Para 02"/>
                    <w:keepLines w:val="on"/>
                  </w:pPr>
                  <w:r>
                    <w:t>Lợi nhuận trên vốn chủ sở hữu</w:t>
                  </w:r>
                </w:p>
              </w:tc>
              <w:tc>
                <w:tcPr>
                  <w:tcW w:type="auto" w:w="0"/>
                  <w:shd w:val="clear" w:color="auto" w:fill="F0F0F0"/>
                </w:tcPr>
                <w:p>
                  <w:pPr>
                    <w:pStyle w:val="Normal"/>
                    <w:keepLines w:val="on"/>
                  </w:pPr>
                  <w:r>
                    <w:t>6.717/6.232 = 107,8%</w:t>
                  </w:r>
                </w:p>
              </w:tc>
              <w:tc>
                <w:tcPr>
                  <w:tcW w:type="auto" w:w="0"/>
                  <w:shd w:val="clear" w:color="auto" w:fill="F0F0F0"/>
                </w:tcPr>
                <w:p>
                  <w:pPr>
                    <w:pStyle w:val="Normal"/>
                    <w:keepLines w:val="on"/>
                  </w:pPr>
                  <w:r>
                    <w:t>7.367/29.269 = 25,17%</w:t>
                  </w:r>
                </w:p>
              </w:tc>
            </w:tr>
            <w:tr>
              <w:tc>
                <w:tcPr>
                  <w:tcW w:type="auto" w:w="0"/>
                  <w:shd w:val="clear" w:color="auto" w:fill="F0F0F0"/>
                </w:tcPr>
                <w:p>
                  <w:pPr>
                    <w:pStyle w:val="Para 02"/>
                    <w:keepLines w:val="on"/>
                  </w:pPr>
                  <w:r>
                    <w:t>Lợi nhuận trước thuế trên vốn đầu tư</w:t>
                  </w:r>
                </w:p>
              </w:tc>
              <w:tc>
                <w:tcPr>
                  <w:tcW w:type="auto" w:w="0"/>
                  <w:shd w:val="clear" w:color="auto" w:fill="F0F0F0"/>
                </w:tcPr>
                <w:p>
                  <w:pPr>
                    <w:pStyle w:val="Normal"/>
                    <w:keepLines w:val="on"/>
                  </w:pPr>
                  <w:r>
                    <w:t>8.164/60.711 = 13,45%</w:t>
                  </w:r>
                </w:p>
              </w:tc>
              <w:tc>
                <w:tcPr>
                  <w:tcW w:type="auto" w:w="0"/>
                  <w:shd w:val="clear" w:color="auto" w:fill="F0F0F0"/>
                </w:tcPr>
                <w:p>
                  <w:pPr>
                    <w:pStyle w:val="Normal"/>
                    <w:keepLines w:val="on"/>
                  </w:pPr>
                  <w:r>
                    <w:t>8.843/83.748 = 10,56%</w:t>
                  </w:r>
                </w:p>
              </w:tc>
            </w:tr>
          </w:tbl>
          <w:p/>
        </w:tc>
      </w:tr>
    </w:tbl>
    <w:p>
      <w:pPr>
        <w:pStyle w:val="Para 04"/>
        <w:keepLines w:val="on"/>
      </w:pPr>
      <w:r>
        <w:t>Lưu ý rằng lợi nhuận kế toán giảm đối với Amgen khi thực hiện điều chỉnh R&amp;D. Điều này có khả năng xảy ra với hầu hết các công ty kiếm được lợi nhuận cao trên vốn chủ sở hữu và vốn đầu tư và có chi phí R&amp;D đáng kể.2</w:t>
      </w:r>
    </w:p>
    <w:p>
      <w:bookmarkStart w:id="1601" w:name="Capitalizing_Other_Operating_Exp"/>
      <w:pPr>
        <w:pStyle w:val="Para 21"/>
      </w:pPr>
      <w:r>
        <w:t>Vốn hóa các chi phí hoạt động khác</w:t>
      </w:r>
      <w:bookmarkEnd w:id="1601"/>
    </w:p>
    <w:p>
      <w:pPr>
        <w:pStyle w:val="Para 03"/>
      </w:pPr>
      <w:r>
        <w:t>Trong khi chi phí R&amp;D là ví dụ nổi bật nhất về chi phí vốn được xử lý như chi phí hoạt động, có những chi phí hoạt động khác mà có thể được lập luận là nên được xử lý như chi phí vốn. Các công ty sản phẩm tiêu dùng như Gillette và Coca-Cola có thể lập luận rằng một phần chi phí quảng cáo nên được xử lý như chi phí vốn, vì chúng được thiết kế để gia tăng giá trị thương hiệu. Đối với một công ty tư vấn, chi phí tuyển dụng và đào tạo nhân viên có thể được coi là chi phí vốn, vì những chuyên gia tư vấn xuất hiện từ đó có khả năng là trái tim của tài sản công ty và mang lại lợi ích trong nhiều năm. Đối với một số công ty công nghệ, bao gồm cả các nhà bán lẻ trực tuyến như Amazon.com, khoản mục chi phí hoạt động lớn nhất là chi phí bán hàng, chi phí chung và chi phí quản lý (SG&amp;A). Những công ty này có thể lập luận rằng một phần của những chi phí này nên được xử lý như chi phí vốn, vì chúng được thiết kế để tăng cường nhận thức về thương hiệu và thu hút khách hàng mới.</w:t>
      </w:r>
    </w:p>
    <w:p>
      <w:pPr>
        <w:pStyle w:val="Para 03"/>
      </w:pPr>
      <w:r>
        <w:t>Mặc dù lập luận này có phần hợp lý, bạn nên thận trọng khi sử dụng nó để biện minh cho việc vốn hóa những chi phí này. Để một chi phí hoạt động được vốn hóa, cần có bằng chứng đáng kể rằng lợi ích từ chi phí đó tích lũy qua nhiều giai đoạn. Liệu một khách hàng được thu hút mua hàng từ Amazon, dựa trên một quảng cáo hoặc khuyến mãi, có tiếp tục là khách hàng trong dài hạn không? Có một số nhà phân tích cho rằng điều này đúng là như vậy, và gán giá trị gia tăng đáng kể cho mỗi khách hàng mới.3 Trong những trường hợp đó, sẽ hợp lý nếu vốn hóa những chi phí này bằng một quy trình tương tự như quy trình được sử dụng để vốn hóa chi phí R&amp;D.</w:t>
      </w:r>
    </w:p>
    <w:p>
      <w:pPr>
        <w:pStyle w:val="Para 03"/>
      </w:pPr>
      <w:r>
        <w:t>Khi các mô hình kinh doanh dựa trên người dùng và thuê bao ngày càng phổ biến, có ý kiến cho rằng chi phí thu hút khách hàng nên được vốn hóa (capitalized), với tác động phụ thuộc vào việc một khách hàng được thu hút sẽ gắn bó với nền tảng trong bao lâu:</w:t>
      </w:r>
    </w:p>
    <w:p>
      <w:pPr>
        <w:numPr>
          <w:ilvl w:val="0"/>
          <w:numId w:val="74"/>
        </w:numPr>
        <w:pStyle w:val="Para 01"/>
      </w:pPr>
      <w:r>
        <w:t>Xác định khoảng thời gian mà một khách hàng sẽ gắn bó với nền tảng. Điều này sẽ phụ thuộc vào tỷ lệ gia hạn thuê bao (subscription renewal rates) hoặc tỷ lệ rời bỏ (churn rates) tại các doanh nghiệp này.</w:t>
      </w:r>
    </w:p>
    <w:p>
      <w:pPr>
        <w:numPr>
          <w:ilvl w:val="0"/>
          <w:numId w:val="74"/>
        </w:numPr>
        <w:pStyle w:val="Para 01"/>
      </w:pPr>
      <w:r>
        <w:t>Ước tính giá trị của tài sản (tương tự quy trình áp dụng cho tài sản nghiên cứu) được tạo ra bởi các khoản chi phí này. Nếu chi phí thu hút khách hàng được vốn hóa, sẽ có một tài sản liên quan đến các chi phí này.</w:t>
      </w:r>
    </w:p>
    <w:p>
      <w:pPr>
        <w:numPr>
          <w:ilvl w:val="0"/>
          <w:numId w:val="74"/>
        </w:numPr>
        <w:pStyle w:val="Para 01"/>
      </w:pPr>
      <w:r>
        <w:t>Điều chỉnh thu nhập hoạt động (operating income) cho khoản chi phí và phần khấu hao (amortization) của tài sản được tạo ra.</w:t>
      </w:r>
    </w:p>
    <w:p>
      <w:bookmarkStart w:id="1605" w:name="Adjusted_operating_income_Operat_2"/>
      <w:pPr>
        <w:keepNext/>
        <w:pStyle w:val="Para 09"/>
        <w:keepLines w:val="on"/>
      </w:pPr>
      <w:r>
        <w:t>Thu nhập hoạt động điều chỉnh = Thu nhập hoạt động + Chi phí thu hút khách hàng trong năm hiện tại - Khấu hao tài sản thu hút khách hàng</w:t>
      </w:r>
      <w:bookmarkEnd w:id="1605"/>
    </w:p>
    <w:p>
      <w:pPr>
        <w:pStyle w:val="Para 03"/>
      </w:pPr>
      <w:r>
        <w:t>Một điều chỉnh tương tự cũng phải được thực hiện đối với thu nhập ròng (net income):</w:t>
      </w:r>
    </w:p>
    <w:p>
      <w:bookmarkStart w:id="1606" w:name="Adjusted_net_income_Net_income_C_2"/>
      <w:pPr>
        <w:keepNext/>
        <w:pStyle w:val="Para 09"/>
        <w:keepLines w:val="on"/>
      </w:pPr>
      <w:r>
        <w:t>Thu nhập ròng điều chỉnh = Thu nhập ròng + Chi phí thu hút khách hàng trong năm hiện tại - Khấu hao tài sản thu hút khách hàng</w:t>
      </w:r>
      <w:bookmarkEnd w:id="1606"/>
    </w:p>
    <w:p>
      <w:pPr>
        <w:pStyle w:val="Para 03"/>
      </w:pPr>
      <w:r>
        <w:t>Giống như với tài sản nghiên cứu, việc vốn hóa các chi phí này sẽ tạo ra một tài sản làm tăng giá trị sổ sách của vốn chủ sở hữu (và vốn đầu tư).</w:t>
      </w:r>
    </w:p>
    <w:p>
      <w:pPr>
        <w:pStyle w:val="Para 03"/>
      </w:pPr>
      <w:r>
        <w:t>Sự phản đối mà bạn sẽ nhận được từ các kế toán viên là bạn đang tạo ra một tài sản cho những chi phí có thể tạo ra lợi ích hoặc không, nhưng sự phản kháng đó xuất phát từ quan điểm rằng bạn đang thưởng cho một công ty bằng cách vốn hóa các chi phí. Trong định giá dựa trên dòng tiền (cashflow-based valuation), việc vốn hóa một khoản chi phí không tạo ra bất kỳ lợi ích dòng tiền nào, mà chỉ chuyển tác động tiền mặt từ thu nhập sang chi tiêu vốn (capital expenditures). Trên thực tế, lợi nhuận kế toán xuất hiện sau khi vốn hóa sẽ xác định liệu công ty đang xét có đang tạo ra lợi nhuận vượt quá chi phí vốn chủ sở hữu và chi phí vốn của mình hay không, và do đó, liệu tăng trưởng sẽ gia tăng hay hủy hoại giá trị tại doanh nghiệp.</w:t>
      </w:r>
    </w:p>
    <w:p>
      <w:pPr>
        <w:pStyle w:val="Para 11"/>
      </w:pPr>
      <w:r>
        <w:t/>
        <w:t xml:space="preserve"> </w:t>
      </w:r>
    </w:p>
    <w:p>
      <w:bookmarkStart w:id="1608" w:name="ILLUSTRATION_9_3___Should_You_Ca_1"/>
      <w:bookmarkStart w:id="1609" w:name="ILLUSTRATION_9_3___Should_You_Ca"/>
      <w:pPr>
        <w:keepNext/>
        <w:pStyle w:val="Para 19"/>
        <w:keepLines w:val="on"/>
      </w:pPr>
      <w:r>
        <w:t>MINH HỌA 9.3: Bạn có nên vốn hóa chi phí quảng cáo không? Phân tích Coca Cola</w:t>
      </w:r>
      <w:bookmarkEnd w:id="1608"/>
      <w:bookmarkEnd w:id="1609"/>
    </w:p>
    <w:p>
      <w:pPr>
        <w:pStyle w:val="Para 04"/>
        <w:keepLines w:val="on"/>
      </w:pPr>
      <w:r>
        <w:t>Coca Cola sở hữu một trong những tên thương hiệu có giá trị nhất và bền bỉ nhất trên thế giới, và một số chi phí quảng cáo của hãng được dành để xây dựng tên thương hiệu này. Trong phạm vi bạn có thể xác định được phần này, bạn có thể vốn hóa các chi phí đó theo thời gian, sử dụng quy trình tương tự như quy trình dùng để vốn hóa R&amp;D, bắt đầu bằng việc xác định tên thương hiệu tồn tại trong bao lâu và thu thập chi phí quảng cáo liên quan đến tên thương hiệu trong khoảng thời gian đó. Tác động lên lợi nhuận và vốn đầu tư cũng sẽ song song với tác động của việc vốn hóa R&amp;D, với lợi nhuận và vốn đầu tư tăng lên còn lợi nhuận kế toán (thường) giảm xuống.</w:t>
      </w:r>
    </w:p>
    <w:p>
      <w:pPr>
        <w:pStyle w:val="Para 04"/>
        <w:keepLines w:val="on"/>
      </w:pPr>
      <w:r>
        <w:t>Thách thức bạn gặp phải khi vốn hóa chi phí quảng cáo là xác định phần nào được thiết kế để xây dựng tên thương hiệu, trái ngược với phần nhằm khiến khách hàng mua sản phẩm trong kỳ hiện tại. Phán đoán đó rất khó đưa ra, và kết luận thực tế nhất là nhận ra rằng lợi nhuận kế toán sẽ bị phóng đại tại các công ty có tên thương hiệu mạnh. Kế toán giá trị hợp lý (fair-value accounting) được cho là khắc phục vấn đề này bằng cách đưa tên thương hiệu lên bảng cân đối kế toán, nhưng con số đó phản ánh ước tính giá trị thị trường của tên thương hiệu hơn là thước đo vốn đầu tư vào nó.</w:t>
      </w:r>
    </w:p>
    <w:p>
      <w:pPr>
        <w:pStyle w:val="Para 11"/>
      </w:pPr>
      <w:r>
        <w:t/>
        <w:t xml:space="preserve"> </w:t>
      </w:r>
    </w:p>
    <w:p>
      <w:bookmarkStart w:id="1610" w:name="ILLUSTRATION_9_4___Capitalizing"/>
      <w:bookmarkStart w:id="1611" w:name="ILLUSTRATION_9_4___Capitalizing_1"/>
      <w:pPr>
        <w:keepNext/>
        <w:pStyle w:val="Para 19"/>
        <w:keepLines w:val="on"/>
      </w:pPr>
      <w:r>
        <w:t>MINH HỌA 9.4: Vốn hóa chi phí tuyển dụng và đào tạo: Cyber Health Consulting</w:t>
      </w:r>
      <w:bookmarkEnd w:id="1610"/>
      <w:bookmarkEnd w:id="1611"/>
    </w:p>
    <w:p>
      <w:pPr>
        <w:pStyle w:val="Para 04"/>
        <w:keepLines w:val="on"/>
      </w:pPr>
      <w:r>
        <w:t>Cyber Health Consulting (CHC) là một công ty chuyên cung cấp dịch vụ tư vấn quản lý cho các công ty chăm sóc sức khỏe. CHC báo cáo thu nhập hoạt động (EBIT) là 51,5 triệu đô la và thu nhập ròng là 23 triệu đô la trong năm gần nhất. Tuy nhiên, chi phí của công ty bao gồm chi phí tuyển dụng các chuyên gia tư vấn mới (5,5 triệu đô la) và chi phí đào tạo (8,5 triệu đô la). Một chuyên gia tư vấn gia nhập CHC trung bình gắn bó với công ty bốn năm.</w:t>
      </w:r>
    </w:p>
    <w:p>
      <w:pPr>
        <w:pStyle w:val="Para 04"/>
        <w:keepLines w:val="on"/>
      </w:pPr>
      <w:r>
        <w:t>Để vốn hóa chi phí tuyển dụng và đào tạo, chúng tôi thu thập các chi phí này từ mỗi năm trong bốn năm trước đó. Bảng sau đây báo cáo các chi phí vốn nhân lực (human capital expenses) này (tính bằng triệu đô la) và khấu hao từng khoản chi phí này trong bốn năm.</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hMerge w:val="restart"/>
                </w:tcPr>
                <w:p>
                  <w:pPr>
                    <w:pStyle w:val="Para 32"/>
                    <w:keepLines w:val="on"/>
                  </w:pPr>
                  <w:r>
                    <w:t>Phần chưa khấu hao</w:t>
                  </w:r>
                </w:p>
              </w:tc>
              <w:tc>
                <w:tcPr>
                  <w:hMerge w:val="continue"/>
                </w:tcPr>
                <w:p/>
              </w:tc>
              <w:tc>
                <w:tcPr>
                  <w:tcW w:type="auto" w:w="0"/>
                  <w:shd w:val="clear" w:color="auto" w:fill="F0F0F0"/>
                </w:tcPr>
                <w:p>
                  <w:pPr>
                    <w:pStyle w:val="5 Block"/>
                    <w:keepLines w:val="on"/>
                  </w:pPr>
                </w:p>
              </w:tc>
            </w:t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Chi phí đào tạo và tuyển dụng</w:t>
                  </w:r>
                </w:p>
              </w:tc>
              <w:tc>
                <w:tcPr>
                  <w:tcW w:type="auto" w:w="0"/>
                  <w:shd w:val="clear" w:color="auto" w:fill="F0F0F0"/>
                </w:tcPr>
                <w:p>
                  <w:pPr>
                    <w:pStyle w:val="Para 05"/>
                    <w:keepLines w:val="on"/>
                  </w:pPr>
                  <w:r>
                    <w:t>Theo tỷ lệ phần trăm</w:t>
                  </w:r>
                </w:p>
              </w:tc>
              <w:tc>
                <w:tcPr>
                  <w:tcW w:type="auto" w:w="0"/>
                  <w:shd w:val="clear" w:color="auto" w:fill="F0F0F0"/>
                </w:tcPr>
                <w:p>
                  <w:pPr>
                    <w:pStyle w:val="Para 05"/>
                    <w:keepLines w:val="on"/>
                  </w:pPr>
                  <w:r>
                    <w:t>Theo giá trị đô la</w:t>
                  </w:r>
                </w:p>
              </w:tc>
              <w:tc>
                <w:tcPr>
                  <w:tcW w:type="auto" w:w="0"/>
                  <w:shd w:val="clear" w:color="auto" w:fill="F0F0F0"/>
                </w:tcPr>
                <w:p>
                  <w:pPr>
                    <w:pStyle w:val="Para 05"/>
                    <w:keepLines w:val="on"/>
                  </w:pPr>
                  <w:r>
                    <w:t>Khấu hao năm nay</w:t>
                  </w:r>
                </w:p>
              </w:tc>
            </w:tr>
            <w:tr>
              <w:tc>
                <w:tcPr>
                  <w:tcW w:type="auto" w:w="0"/>
                  <w:shd w:val="clear" w:color="auto" w:fill="F0F0F0"/>
                </w:tcPr>
                <w:p>
                  <w:pPr>
                    <w:pStyle w:val="Normal"/>
                    <w:keepLines w:val="on"/>
                  </w:pPr>
                  <w:r>
                    <w:t>Hiện tại</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$14,00</w:t>
                  </w:r>
                </w:p>
              </w:tc>
              <w:tc>
                <w:tcPr>
                  <w:tcW w:type="auto" w:w="0"/>
                  <w:shd w:val="clear" w:color="auto" w:fill="F0F0F0"/>
                </w:tcPr>
                <w:p>
                  <w:pPr>
                    <w:pStyle w:val="7 Block"/>
                    <w:keepLines w:val="on"/>
                  </w:pP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75%</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$3.00</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$10.40</w:t>
                  </w:r>
                </w:p>
              </w:tc>
              <w:tc>
                <w:tcPr>
                  <w:tcW w:type="auto" w:w="0"/>
                  <w:shd w:val="clear" w:color="auto" w:fill="F0F0F0"/>
                </w:tcPr>
                <w:p>
                  <w:pPr>
                    <w:pStyle w:val="Normal"/>
                    <w:keepLines w:val="on"/>
                  </w:pPr>
                  <w:r>
                    <w:t>50%</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$2.60</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$9.10</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$2.28</w:t>
                  </w:r>
                </w:p>
              </w:tc>
              <w:tc>
                <w:tcPr>
                  <w:tcW w:type="auto" w:w="0"/>
                  <w:shd w:val="clear" w:color="auto" w:fill="F0F0F0"/>
                </w:tcPr>
                <w:p>
                  <w:pPr>
                    <w:pStyle w:val="Normal"/>
                    <w:keepLines w:val="on"/>
                  </w:pPr>
                  <w:r>
                    <w:t>$2.28</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$8.30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$2.08</w:t>
                  </w:r>
                </w:p>
              </w:tc>
            </w:tr>
            <w:tr>
              <w:tc>
                <w:tcPr>
                  <w:tcW w:type="auto" w:w="0"/>
                  <w:shd w:val="clear" w:color="auto" w:fill="F0F0F0"/>
                  <w:hMerge w:val="restart"/>
                </w:tcPr>
                <w:p>
                  <w:pPr>
                    <w:pStyle w:val="Para 02"/>
                    <w:keepLines w:val="on"/>
                  </w:pPr>
                  <w:r>
                    <w:t>Vốn nhân lực (tài sản)</w:t>
                  </w:r>
                </w:p>
              </w:tc>
              <w:tc>
                <w:tcPr>
                  <w:hMerge w:val="continue"/>
                </w:tcPr>
                <w:p/>
              </w:tc>
              <w:tc>
                <w:tcPr>
                  <w:hMerge w:val="continue"/>
                </w:tcPr>
                <w:p/>
              </w:tc>
              <w:tc>
                <w:tcPr>
                  <w:tcW w:type="auto" w:w="0"/>
                  <w:shd w:val="clear" w:color="auto" w:fill="F0F0F0"/>
                </w:tcPr>
                <w:p>
                  <w:pPr>
                    <w:pStyle w:val="Normal"/>
                    <w:keepLines w:val="on"/>
                  </w:pPr>
                  <w:r>
                    <w:t>$30.48</w:t>
                  </w:r>
                </w:p>
              </w:tc>
              <w:tc>
                <w:tcPr>
                  <w:tcW w:type="auto" w:w="0"/>
                  <w:shd w:val="clear" w:color="auto" w:fill="F0F0F0"/>
                </w:tcPr>
                <w:p>
                  <w:pPr>
                    <w:pStyle w:val="7 Block"/>
                    <w:keepLines w:val="on"/>
                  </w:pPr>
                </w:p>
              </w:tc>
            </w:tr>
            <w:tr>
              <w:tc>
                <w:tcPr>
                  <w:tcW w:type="auto" w:w="0"/>
                  <w:shd w:val="clear" w:color="auto" w:fill="F0F0F0"/>
                  <w:hMerge w:val="restart"/>
                </w:tcPr>
                <w:p>
                  <w:pPr>
                    <w:pStyle w:val="Para 02"/>
                    <w:keepLines w:val="on"/>
                  </w:pPr>
                  <w:r>
                    <w:t>Vốn nhân lực (khấu hao)</w:t>
                  </w:r>
                </w:p>
              </w:tc>
              <w:tc>
                <w:tcPr>
                  <w:hMerge w:val="continue"/>
                </w:tcPr>
                <w:p/>
              </w:tc>
              <w:tc>
                <w:tcPr>
                  <w:hMerge w:val="continue"/>
                </w:tcPr>
                <w:p/>
              </w:tc>
              <w:tc>
                <w:tcPr>
                  <w:hMerge w:val="continue"/>
                </w:tcPr>
                <w:p/>
              </w:tc>
              <w:tc>
                <w:tcPr>
                  <w:tcW w:type="auto" w:w="0"/>
                  <w:shd w:val="clear" w:color="auto" w:fill="F0F0F0"/>
                </w:tcPr>
                <w:p>
                  <w:pPr>
                    <w:pStyle w:val="Normal"/>
                    <w:keepLines w:val="on"/>
                  </w:pPr>
                  <w:r>
                    <w:t>$9.95</w:t>
                  </w:r>
                </w:p>
              </w:tc>
            </w:tr>
          </w:tbl>
          <w:p/>
        </w:tc>
      </w:tr>
    </w:tbl>
    <w:p>
      <w:pPr>
        <w:pStyle w:val="Para 04"/>
        <w:keepLines w:val="on"/>
      </w:pPr>
      <w:r>
        <w:t>Các điều chỉnh đối với thu nhập hoạt động và thu nhập ròng như sau:</w:t>
      </w:r>
    </w:p>
    <w:p>
      <w:bookmarkStart w:id="1612" w:name="Adjusted_operating_income_Operat_3"/>
      <w:pPr>
        <w:keepNext/>
        <w:pStyle w:val="Para 07"/>
        <w:keepLines w:val="on"/>
      </w:pPr>
      <w:r>
        <w:t>Thu nhập hoạt động điều chỉnh = Thu nhập hoạt động + Chi phí đào tạo và tuyển dụng trong năm hiện tại - Khấu hao tài sản đào tạo = 51,5 + 14 - 9,95 = 55,55 triệu đô la</w:t>
      </w:r>
      <w:bookmarkEnd w:id="1612"/>
    </w:p>
    <w:p>
      <w:pPr>
        <w:pStyle w:val="Para 40"/>
        <w:keepLines w:val="on"/>
      </w:pPr>
      <w:r>
        <w:rPr>
          <w:rStyle w:val="Text26"/>
        </w:rPr>
        <w:bookmarkStart w:id="1613" w:name="Page_251"/>
        <w:t/>
        <w:bookmarkEnd w:id="1613"/>
      </w:r>
      <w:r>
        <w:t xml:space="preserve"> </w:t>
      </w:r>
    </w:p>
    <w:p>
      <w:bookmarkStart w:id="1614" w:name="Adjusted_net_income_Net_income_T"/>
      <w:pPr>
        <w:keepNext/>
        <w:pStyle w:val="Para 07"/>
        <w:keepLines w:val="on"/>
      </w:pPr>
      <w:r>
        <w:t>Thu nhập ròng điều chỉnh = Thu nhập ròng + Chi phí đào tạo và tuyển dụng trong năm hiện tại - Khấu hao tài sản đào tạo = 23 + 14 - 9,95 = 27,05 triệu đô la</w:t>
      </w:r>
      <w:bookmarkEnd w:id="1614"/>
    </w:p>
    <w:p>
      <w:pPr>
        <w:pStyle w:val="Para 04"/>
        <w:keepLines w:val="on"/>
      </w:pPr>
      <w:r>
        <w:t>Cũng giống như chi phí R&amp;D, việc chi phí đào tạo và tuyển dụng được khấu trừ thuế hoàn toàn giúp loại bỏ nhu cầu xem xét ảnh hưởng thuế khi điều chỉnh thu nhập ròng.</w:t>
      </w:r>
    </w:p>
    <w:p>
      <w:bookmarkStart w:id="1615" w:name="Capitalization_and_Value__Capita"/>
      <w:pPr>
        <w:pStyle w:val="Para 21"/>
      </w:pPr>
      <w:r>
        <w:t>Vốn hóa và Giá trị</w:t>
      </w:r>
      <w:bookmarkEnd w:id="1615"/>
    </w:p>
    <w:p>
      <w:pPr>
        <w:pStyle w:val="Para 03"/>
      </w:pPr>
      <w:r>
        <w:t>Việc vốn hóa chi phí R&amp;D, quảng cáo, và tuyển dụng và đào tạo không khó thực hiện, nhưng nó tẻ nhạt và thực chất là làm lại các báo cáo kế toán để đưa ra các giá trị được trình bày lại cho gần như mọi đầu vào của việc định giá, như bạn có thể thấy trong Hình 9.3.</w:t>
      </w:r>
    </w:p>
    <w:p>
      <w:bookmarkStart w:id="1618" w:name="Figure_9_3_Converting_Operating"/>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74900" cy="1498600"/>
            <wp:effectExtent l="0" r="0" t="0" b="0"/>
            <wp:wrapTopAndBottom/>
            <wp:docPr id="88" name="c09f003.png" descr="Illustration depicts the effects and entries to correct the accounting mistake of miscategorized capital expenses as operating expenses."/>
            <wp:cNvGraphicFramePr>
              <a:graphicFrameLocks noChangeAspect="1"/>
            </wp:cNvGraphicFramePr>
            <a:graphic>
              <a:graphicData uri="http://schemas.openxmlformats.org/drawingml/2006/picture">
                <pic:pic>
                  <pic:nvPicPr>
                    <pic:cNvPr id="0" name="c09f003.png" descr="Illustration depicts the effects and entries to correct the accounting mistake of miscategorized capital expenses as operating expenses."/>
                    <pic:cNvPicPr/>
                  </pic:nvPicPr>
                  <pic:blipFill>
                    <a:blip r:embed="rId71"/>
                    <a:stretch>
                      <a:fillRect/>
                    </a:stretch>
                  </pic:blipFill>
                  <pic:spPr>
                    <a:xfrm>
                      <a:off x="0" y="0"/>
                      <a:ext cx="2374900" cy="1498600"/>
                    </a:xfrm>
                    <a:prstGeom prst="rect">
                      <a:avLst/>
                    </a:prstGeom>
                  </pic:spPr>
                </pic:pic>
              </a:graphicData>
            </a:graphic>
          </wp:anchor>
        </w:drawing>
      </w:r>
      <w:bookmarkEnd w:id="1618"/>
    </w:p>
    <w:p>
      <w:pPr>
        <w:keepNext/>
        <w:pStyle w:val="Para 22"/>
        <w:keepLines w:val="on"/>
      </w:pPr>
      <w:r>
        <w:t>Hình 9.3 Chuyển đổi Chi phí Hoạt động thành Chi phí Vốn</w:t>
      </w:r>
    </w:p>
    <w:p>
      <w:pPr>
        <w:pStyle w:val="Para 03"/>
      </w:pPr>
      <w:r>
        <w:t>Câu hỏi đặt ra là liệu nó có đủ ảnh hưởng đến giá trị để xứng đáng với sự tẻ nhạt đó hay không, và câu trả lời, đặc biệt đối với các công ty mà những chi phí này chiếm một phần đáng kể trong những gì họ cần tái đầu tư để tăng trưởng, là có.</w:t>
      </w:r>
    </w:p>
    <w:p>
      <w:pPr>
        <w:pStyle w:val="Para 03"/>
      </w:pPr>
      <w:r>
        <w:t>Khi bạn vốn hóa những chi phí này, bạn có được bức tranh rõ ràng hơn về mô hình kinh doanh của một công ty, đặc biệt là về khả năng sinh lời và tiềm năng tăng trưởng của nó. Hãy xem ví dụ về Amgen ở phần trước trong chương này, nơi việc vốn hóa R&amp;D dẫn đến lợi nhuận kế toán thấp hơn nhiều so với những gì bạn sẽ ước tính bằng các con số chưa điều chỉnh. Trên thực tế, lợi nhuận trên vốn sau thuế sau khi R&amp;D được tái vốn hóa, đã thấp hơn chi phí vốn trong năm 2023. Hoàn toàn có thể là Amgen đã có một năm tồi tệ trong năm 2023, nhưng nó thực sự gióng lên hồi chuông cảnh báo về việc liệu công ty có nên đầu tư nhiều vào R&amp;D như hiện tại hay không, và liệu tăng trưởng có làm tăng thêm giá trị cho công ty hay không.</w:t>
      </w:r>
    </w:p>
    <w:p>
      <w:pPr>
        <w:pStyle w:val="Para 03"/>
      </w:pPr>
      <w:r>
        <w:t>Nói đơn giản, vốn hóa một khoản chi phí có thể làm tăng thu nhập của một công ty, nhưng ảnh hưởng đến giá trị sẽ phụ thuộc phần lớn vào việc liệu khoản chi phí đó có tạo ra thu nhập cao hơn trong những năm tương lai hay không. Không có gì vốn dĩ tốt đẹp hay tạo ra giá trị ở sự tăng trưởng và R&amp;D tại một doanh nghiệp, vì một doanh nghiệp chi ra số tiền khổng lồ cho R&amp;D mà chẳng thu được bao nhiêu từ khoản chi đó dưới dạng thu nhập cao hơn, sẽ thấy giá trị của mình giảm đi khi tiếp tục chi tiêu cho R&amp;D.</w:t>
      </w:r>
    </w:p>
    <w:p>
      <w:bookmarkStart w:id="1620" w:name="Adjustments_for_Financing_Expens_1"/>
      <w:bookmarkStart w:id="1621" w:name="Adjustments_for_Financing_Expens"/>
      <w:pPr>
        <w:keepNext/>
        <w:pStyle w:val="Heading 4"/>
        <w:keepLines w:val="on"/>
      </w:pPr>
      <w:r>
        <w:t>Điều chỉnh cho Chi phí Tài chính</w:t>
      </w:r>
      <w:bookmarkEnd w:id="1620"/>
      <w:bookmarkEnd w:id="1621"/>
    </w:p>
    <w:p>
      <w:pPr>
        <w:pStyle w:val="Para 03"/>
      </w:pPr>
      <w:r>
        <w:t>Điều chỉnh thứ hai là cho các chi phí tài chính mà kế toán viên coi là chi phí hoạt động. Ví dụ đáng kể nhất ở phần lớn thế giới, ít nhất là cho đến năm 2019, là chi phí thuê hoạt động (operating lease), vốn được coi là chi phí hoạt động, trái ngược với thuê tài chính (capital lease), được trình bày như nợ. Mặc dù cả chuẩn mực báo cáo tài chính quốc tế (IFRS) và các nguyên tắc kế toán được chấp nhận chung (GAAP) giờ đây đã tỉnh ngộ về việc tất cả các cam kết thuê đều là nợ, chúng ta sẽ đi qua quy trình chuyển đổi thuê thành nợ, không chỉ vì có những nơi trên thế giới mà kế toán vẫn còn tụt hậu, mà còn vì vẫn còn những cam kết hợp đồng khác cần được xử lý vì chúng theo cùng cách xử lý như thuê.</w:t>
      </w:r>
    </w:p>
    <w:p>
      <w:bookmarkStart w:id="1622" w:name="Converting_Operating_Leases_into"/>
      <w:pPr>
        <w:pStyle w:val="Para 21"/>
      </w:pPr>
      <w:r>
        <w:t>Chuyển đổi Thuê Hoạt động thành Nợ</w:t>
      </w:r>
      <w:bookmarkEnd w:id="1622"/>
    </w:p>
    <w:p>
      <w:pPr>
        <w:pStyle w:val="Para 03"/>
      </w:pPr>
      <w:r>
        <w:t>Trong Chương 8, cách tiếp cận cơ bản để chuyển đổi thuê hoạt động thành nợ đã được trình bày. Bạn chiết khấu các cam kết thuê hoạt động trong tương lai về hiện tại bằng chi phí nợ trước thuế của công ty. Giá trị hiện tại (PV) của các cam kết thuê hoạt động sau đó được cộng vào nợ thông thường của công ty để đưa ra tổng nợ chưa thanh toán.</w:t>
      </w:r>
    </w:p>
    <w:p>
      <w:bookmarkStart w:id="1624" w:name="Adjusted_debt_Stated_debt_Presen"/>
      <w:pPr>
        <w:keepNext/>
        <w:pStyle w:val="Para 09"/>
        <w:keepLines w:val="on"/>
      </w:pPr>
      <w:r>
        <w:t>Nợ điều chỉnh = Nợ được ghi nhận + Giá trị hiện tại của các cam kết thuê</w:t>
      </w:r>
      <w:bookmarkEnd w:id="1624"/>
    </w:p>
    <w:p>
      <w:pPr>
        <w:pStyle w:val="Para 03"/>
      </w:pPr>
      <w:r>
        <w:t>Khi thuê hoạt động được phân loại lại thành nợ, thu nhập hoạt động có thể được điều chỉnh theo hai bước. Đầu tiên, chi phí thuê hoạt động được cộng trở lại vào thu nhập hoạt động vì nó là chi phí tài chính. Tiếp theo, khấu hao trên tài sản thuê được trừ ra để đưa ra thu nhập hoạt động điều chỉnh:</w:t>
      </w:r>
    </w:p>
    <w:p>
      <w:bookmarkStart w:id="1625" w:name="Adjusted_operating_income_Operat_4"/>
      <w:pPr>
        <w:keepNext/>
        <w:pStyle w:val="Para 09"/>
        <w:keepLines w:val="on"/>
      </w:pPr>
      <w:r>
        <w:t>Thu nhập hoạt động điều chỉnh = Thu nhập hoạt động + Chi phí thuê hoạt động trong năm hiện tại - Khấu hao trên tài sản thuê</w:t>
      </w:r>
      <w:bookmarkEnd w:id="1625"/>
    </w:p>
    <w:p>
      <w:pPr>
        <w:pStyle w:val="Para 03"/>
      </w:pPr>
      <w:r>
        <w:t>Nếu bạn giả định rằng khấu hao trên tài sản thuê xấp xỉ phần gốc của khoản nợ đang được trả, thu nhập hoạt động điều chỉnh có thể được tính bằng cách cộng trở lại chi phí lãi suất ngụ ý trên giá trị nợ của chi phí thuê hoạt động:</w:t>
      </w:r>
    </w:p>
    <w:p>
      <w:bookmarkStart w:id="1626" w:name="Adjusted_operating_income_Operat_5"/>
      <w:pPr>
        <w:keepNext/>
        <w:pStyle w:val="Para 09"/>
        <w:keepLines w:val="on"/>
      </w:pPr>
      <w:r>
        <w:t>Thu nhập hoạt động điều chỉnh = Thu nhập hoạt động + Giá trị nợ × Lãi suất trên nợ</w:t>
      </w:r>
      <w:bookmarkEnd w:id="1626"/>
    </w:p>
    <w:p>
      <w:pPr>
        <w:pStyle w:val="Para 03"/>
      </w:pPr>
      <w:r>
        <w:t>Về nguyên tắc, đây là những gì kế toán viên nên làm trên báo cáo tài chính, sau năm 2019, ở phần lớn thế giới, nhưng kế toán đã tạo ra các ngoại lệ cho thuê nhằm mang lại sự linh hoạt và việc điều chỉnh thu nhập cho thuê vẫn còn chưa hoàn hảo. Ví dụ, vào năm 2023, chúng tôi so sánh ước tính của mình về giá trị hiện tại của các cam kết thuê với các tổng hợp kế toán, phân theo khu vực:</w:t>
      </w:r>
    </w:p>
    <w:tbl>
      <w:tblPr>
        <w:tblW w:type="auto" w:w="0"/>
      </w:tblPr>
      <w:tr>
        <w:tc>
          <w:tcPr>
            <w:tcW w:type="auto" w:w="0"/>
          </w:tcPr>
          <w:tbl>
            <w:tblPr>
              <w:tblW w:type="auto" w:w="0"/>
            </w:tblPr>
            <w:tr>
              <w:tc>
                <w:tcPr>
                  <w:tcW w:type="auto" w:w="0"/>
                  <w:shd w:val="clear" w:color="auto" w:fill="F0F0F0"/>
                </w:tcPr>
                <w:p>
                  <w:pPr>
                    <w:pStyle w:val="Para 29"/>
                    <w:keepLines w:val="on"/>
                  </w:pPr>
                  <w:r>
                    <w:t>Khu vực</w:t>
                  </w:r>
                </w:p>
              </w:tc>
              <w:tc>
                <w:tcPr>
                  <w:tcW w:type="auto" w:w="0"/>
                  <w:shd w:val="clear" w:color="auto" w:fill="F0F0F0"/>
                </w:tcPr>
                <w:p>
                  <w:pPr>
                    <w:pStyle w:val="Para 17"/>
                    <w:keepLines w:val="on"/>
                  </w:pPr>
                  <w:r>
                    <w:t>Kế toán</w:t>
                  </w:r>
                </w:p>
              </w:tc>
              <w:tc>
                <w:tcPr>
                  <w:tcW w:type="auto" w:w="0"/>
                  <w:shd w:val="clear" w:color="auto" w:fill="F0F0F0"/>
                </w:tcPr>
                <w:p>
                  <w:pPr>
                    <w:pStyle w:val="Para 17"/>
                    <w:keepLines w:val="on"/>
                  </w:pPr>
                  <w:r>
                    <w:t>Ước tính của chúng tôi</w:t>
                  </w:r>
                </w:p>
              </w:tc>
              <w:tc>
                <w:tcPr>
                  <w:tcW w:type="auto" w:w="0"/>
                  <w:shd w:val="clear" w:color="auto" w:fill="F0F0F0"/>
                </w:tcPr>
                <w:p>
                  <w:pPr>
                    <w:pStyle w:val="Para 17"/>
                    <w:keepLines w:val="on"/>
                  </w:pPr>
                  <w:r>
                    <w:t>Kế toán tính theo % Ước tính</w:t>
                  </w:r>
                </w:p>
              </w:tc>
            </w:tr>
            <w:tr>
              <w:tc>
                <w:tcPr>
                  <w:tcW w:type="auto" w:w="0"/>
                  <w:shd w:val="clear" w:color="auto" w:fill="F0F0F0"/>
                </w:tcPr>
                <w:p>
                  <w:pPr>
                    <w:pStyle w:val="Para 02"/>
                    <w:keepLines w:val="on"/>
                  </w:pPr>
                  <w:r>
                    <w:t>Úc, NZ, &amp; Canada</w:t>
                  </w:r>
                </w:p>
              </w:tc>
              <w:tc>
                <w:tcPr>
                  <w:tcW w:type="auto" w:w="0"/>
                  <w:shd w:val="clear" w:color="auto" w:fill="F0F0F0"/>
                </w:tcPr>
                <w:p>
                  <w:pPr>
                    <w:pStyle w:val="Normal"/>
                    <w:keepLines w:val="on"/>
                  </w:pPr>
                  <w:r>
                    <w:t>8.412 đô la</w:t>
                  </w:r>
                </w:p>
              </w:tc>
              <w:tc>
                <w:tcPr>
                  <w:tcW w:type="auto" w:w="0"/>
                  <w:shd w:val="clear" w:color="auto" w:fill="F0F0F0"/>
                </w:tcPr>
                <w:p>
                  <w:pPr>
                    <w:pStyle w:val="Normal"/>
                    <w:keepLines w:val="on"/>
                  </w:pPr>
                  <w:r>
                    <w:t>13.579 đô la</w:t>
                  </w:r>
                </w:p>
              </w:tc>
              <w:tc>
                <w:tcPr>
                  <w:tcW w:type="auto" w:w="0"/>
                  <w:shd w:val="clear" w:color="auto" w:fill="F0F0F0"/>
                </w:tcPr>
                <w:p>
                  <w:pPr>
                    <w:pStyle w:val="Normal"/>
                    <w:keepLines w:val="on"/>
                  </w:pPr>
                  <w:r>
                    <w:t>61,95%</w:t>
                  </w:r>
                </w:p>
              </w:tc>
            </w:tr>
            <w:tr>
              <w:tc>
                <w:tcPr>
                  <w:tcW w:type="auto" w:w="0"/>
                  <w:shd w:val="clear" w:color="auto" w:fill="F0F0F0"/>
                </w:tcPr>
                <w:p>
                  <w:pPr>
                    <w:pStyle w:val="Para 02"/>
                    <w:keepLines w:val="on"/>
                  </w:pPr>
                  <w:r>
                    <w:t>Hoa Kỳ</w:t>
                  </w:r>
                </w:p>
              </w:tc>
              <w:tc>
                <w:tcPr>
                  <w:tcW w:type="auto" w:w="0"/>
                  <w:shd w:val="clear" w:color="auto" w:fill="F0F0F0"/>
                </w:tcPr>
                <w:p>
                  <w:pPr>
                    <w:pStyle w:val="Normal"/>
                    <w:keepLines w:val="on"/>
                  </w:pPr>
                  <w:r>
                    <w:t>947.989 đô la</w:t>
                  </w:r>
                </w:p>
              </w:tc>
              <w:tc>
                <w:tcPr>
                  <w:tcW w:type="auto" w:w="0"/>
                  <w:shd w:val="clear" w:color="auto" w:fill="F0F0F0"/>
                </w:tcPr>
                <w:p>
                  <w:pPr>
                    <w:pStyle w:val="Normal"/>
                    <w:keepLines w:val="on"/>
                  </w:pPr>
                  <w:r>
                    <w:t>1.152.870 đô la</w:t>
                  </w:r>
                </w:p>
              </w:tc>
              <w:tc>
                <w:tcPr>
                  <w:tcW w:type="auto" w:w="0"/>
                  <w:shd w:val="clear" w:color="auto" w:fill="F0F0F0"/>
                </w:tcPr>
                <w:p>
                  <w:pPr>
                    <w:pStyle w:val="Normal"/>
                    <w:keepLines w:val="on"/>
                  </w:pPr>
                  <w:r>
                    <w:t>82,23%</w:t>
                  </w:r>
                </w:p>
              </w:tc>
            </w:tr>
            <w:tr>
              <w:tc>
                <w:tcPr>
                  <w:tcW w:type="auto" w:w="0"/>
                  <w:shd w:val="clear" w:color="auto" w:fill="F0F0F0"/>
                </w:tcPr>
                <w:p>
                  <w:pPr>
                    <w:pStyle w:val="Para 02"/>
                    <w:keepLines w:val="on"/>
                  </w:pPr>
                  <w:r>
                    <w:t>Châu Âu</w:t>
                  </w:r>
                </w:p>
              </w:tc>
              <w:tc>
                <w:tcPr>
                  <w:tcW w:type="auto" w:w="0"/>
                  <w:shd w:val="clear" w:color="auto" w:fill="F0F0F0"/>
                </w:tcPr>
                <w:p>
                  <w:pPr>
                    <w:pStyle w:val="Normal"/>
                    <w:keepLines w:val="on"/>
                  </w:pPr>
                  <w:r>
                    <w:t>24.337 đô la</w:t>
                  </w:r>
                </w:p>
              </w:tc>
              <w:tc>
                <w:tcPr>
                  <w:tcW w:type="auto" w:w="0"/>
                  <w:shd w:val="clear" w:color="auto" w:fill="F0F0F0"/>
                </w:tcPr>
                <w:p>
                  <w:pPr>
                    <w:pStyle w:val="Normal"/>
                    <w:keepLines w:val="on"/>
                  </w:pPr>
                  <w:r>
                    <w:t>52.173 đô la</w:t>
                  </w:r>
                </w:p>
              </w:tc>
              <w:tc>
                <w:tcPr>
                  <w:tcW w:type="auto" w:w="0"/>
                  <w:shd w:val="clear" w:color="auto" w:fill="F0F0F0"/>
                </w:tcPr>
                <w:p>
                  <w:pPr>
                    <w:pStyle w:val="Normal"/>
                    <w:keepLines w:val="on"/>
                  </w:pPr>
                  <w:r>
                    <w:t>46,65%</w:t>
                  </w:r>
                </w:p>
              </w:tc>
            </w:tr>
            <w:tr>
              <w:tc>
                <w:tcPr>
                  <w:tcW w:type="auto" w:w="0"/>
                  <w:shd w:val="clear" w:color="auto" w:fill="F0F0F0"/>
                </w:tcPr>
                <w:p>
                  <w:pPr>
                    <w:pStyle w:val="Para 02"/>
                    <w:keepLines w:val="on"/>
                  </w:pPr>
                  <w:r>
                    <w:t>Các thị trường mới nổi</w:t>
                  </w:r>
                </w:p>
              </w:tc>
              <w:tc>
                <w:tcPr>
                  <w:tcW w:type="auto" w:w="0"/>
                  <w:shd w:val="clear" w:color="auto" w:fill="F0F0F0"/>
                </w:tcPr>
                <w:p>
                  <w:pPr>
                    <w:pStyle w:val="Normal"/>
                    <w:keepLines w:val="on"/>
                  </w:pPr>
                  <w:r>
                    <w:t>18.426 đô la</w:t>
                  </w:r>
                </w:p>
              </w:tc>
              <w:tc>
                <w:tcPr>
                  <w:tcW w:type="auto" w:w="0"/>
                  <w:shd w:val="clear" w:color="auto" w:fill="F0F0F0"/>
                </w:tcPr>
                <w:p>
                  <w:pPr>
                    <w:pStyle w:val="Normal"/>
                    <w:keepLines w:val="on"/>
                  </w:pPr>
                  <w:r>
                    <w:t>109.415 đô la</w:t>
                  </w:r>
                </w:p>
              </w:tc>
              <w:tc>
                <w:tcPr>
                  <w:tcW w:type="auto" w:w="0"/>
                  <w:shd w:val="clear" w:color="auto" w:fill="F0F0F0"/>
                </w:tcPr>
                <w:p>
                  <w:pPr>
                    <w:pStyle w:val="Normal"/>
                    <w:keepLines w:val="on"/>
                  </w:pPr>
                  <w:r>
                    <w:t>16,84%</w:t>
                  </w:r>
                </w:p>
              </w:tc>
            </w:tr>
            <w:tr>
              <w:tc>
                <w:tcPr>
                  <w:tcW w:type="auto" w:w="0"/>
                  <w:shd w:val="clear" w:color="auto" w:fill="F0F0F0"/>
                </w:tcPr>
                <w:p>
                  <w:pPr>
                    <w:pStyle w:val="Para 02"/>
                    <w:keepLines w:val="on"/>
                  </w:pPr>
                  <w:r>
                    <w:t>Nhật Bản</w:t>
                  </w:r>
                </w:p>
              </w:tc>
              <w:tc>
                <w:tcPr>
                  <w:tcW w:type="auto" w:w="0"/>
                  <w:shd w:val="clear" w:color="auto" w:fill="F0F0F0"/>
                </w:tcPr>
                <w:p>
                  <w:pPr>
                    <w:pStyle w:val="Normal"/>
                    <w:keepLines w:val="on"/>
                  </w:pPr>
                  <w:r>
                    <w:t>1.720 đô la</w:t>
                  </w:r>
                </w:p>
              </w:tc>
              <w:tc>
                <w:tcPr>
                  <w:tcW w:type="auto" w:w="0"/>
                  <w:shd w:val="clear" w:color="auto" w:fill="F0F0F0"/>
                </w:tcPr>
                <w:p>
                  <w:pPr>
                    <w:pStyle w:val="Normal"/>
                    <w:keepLines w:val="on"/>
                  </w:pPr>
                  <w:r>
                    <w:t>156.072 đô la</w:t>
                  </w:r>
                </w:p>
              </w:tc>
              <w:tc>
                <w:tcPr>
                  <w:tcW w:type="auto" w:w="0"/>
                  <w:shd w:val="clear" w:color="auto" w:fill="F0F0F0"/>
                </w:tcPr>
                <w:p>
                  <w:pPr>
                    <w:pStyle w:val="Normal"/>
                    <w:keepLines w:val="on"/>
                  </w:pPr>
                  <w:r>
                    <w:t>1,10%</w:t>
                  </w:r>
                </w:p>
              </w:tc>
            </w:tr>
            <w:tr>
              <w:tc>
                <w:tcPr>
                  <w:tcW w:type="auto" w:w="0"/>
                  <w:shd w:val="clear" w:color="auto" w:fill="F0F0F0"/>
                </w:tcPr>
                <w:p>
                  <w:pPr>
                    <w:pStyle w:val="Para 02"/>
                    <w:keepLines w:val="on"/>
                  </w:pPr>
                  <w:r>
                    <w:t>Toàn cầu</w:t>
                  </w:r>
                </w:p>
              </w:tc>
              <w:tc>
                <w:tcPr>
                  <w:tcW w:type="auto" w:w="0"/>
                  <w:shd w:val="clear" w:color="auto" w:fill="F0F0F0"/>
                </w:tcPr>
                <w:p>
                  <w:pPr>
                    <w:pStyle w:val="Normal"/>
                    <w:keepLines w:val="on"/>
                  </w:pPr>
                  <w:r>
                    <w:t>1.000.885 đô la</w:t>
                  </w:r>
                </w:p>
              </w:tc>
              <w:tc>
                <w:tcPr>
                  <w:tcW w:type="auto" w:w="0"/>
                  <w:shd w:val="clear" w:color="auto" w:fill="F0F0F0"/>
                </w:tcPr>
                <w:p>
                  <w:pPr>
                    <w:pStyle w:val="Normal"/>
                    <w:keepLines w:val="on"/>
                  </w:pPr>
                  <w:r>
                    <w:t>1.484.108 đô la</w:t>
                  </w:r>
                </w:p>
              </w:tc>
              <w:tc>
                <w:tcPr>
                  <w:tcW w:type="auto" w:w="0"/>
                  <w:shd w:val="clear" w:color="auto" w:fill="F0F0F0"/>
                </w:tcPr>
                <w:p>
                  <w:pPr>
                    <w:pStyle w:val="Normal"/>
                    <w:keepLines w:val="on"/>
                  </w:pPr>
                  <w:r>
                    <w:t>67,44%</w:t>
                  </w:r>
                </w:p>
              </w:tc>
            </w:tr>
          </w:tbl>
          <w:p/>
        </w:tc>
      </w:tr>
    </w:tbl>
    <w:p>
      <w:pPr>
        <w:pStyle w:val="Para 03"/>
      </w:pPr>
      <w:r>
        <w:t>Như bạn có thể thấy, các ước tính của chúng tôi luôn cao hơn các con số kế toán, và mức chênh lệch này khác nhau trên khắp thế giới, từ khá sát nhau ở Hoa Kỳ (nơi con số kế toán bằng 82,2% ước tính của chúng tôi) cho đến những khoảng cách lớn ở Nhật Bản và các thị trường mới nổi.</w:t>
      </w:r>
    </w:p>
    <w:p>
      <w:pPr>
        <w:pStyle w:val="Para 11"/>
      </w:pPr>
      <w:r>
        <w:t/>
        <w:t xml:space="preserve"> </w:t>
      </w:r>
    </w:p>
    <w:p>
      <w:bookmarkStart w:id="1628" w:name="ILLUSTRATION_9_5___Adjusting_Ope"/>
      <w:bookmarkStart w:id="1629" w:name="ILLUSTRATION_9_5___Adjusting_Ope_1"/>
      <w:pPr>
        <w:keepNext/>
        <w:pStyle w:val="Para 19"/>
        <w:keepLines w:val="on"/>
      </w:pPr>
      <w:r>
        <w:t>MINH HỌA 9.5: Điều chỉnh thu nhập hoạt động đối với thuê hoạt động: Gap năm 2011</w:t>
      </w:r>
      <w:bookmarkEnd w:id="1628"/>
      <w:bookmarkEnd w:id="1629"/>
    </w:p>
    <w:p>
      <w:pPr>
        <w:pStyle w:val="Para 04"/>
        <w:keepLines w:val="on"/>
      </w:pPr>
      <w:r>
        <w:t>Là một nhà bán lẻ chuyên biệt, Gap có hàng trăm cửa hàng được thuê, với các hợp đồng thuê được xử lý như thuê hoạt động. Trong năm tài chính gần nhất (2010), Gap có chi phí thuê hoạt động là 1.129 triệu đô la. Bảng sau đây trình bày các cam kết thuê hoạt động của công ty trong năm năm tới và khoản tiền trọn gói của các cam kết sau thời điểm đó:</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Cam kết</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$997</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$841</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$710</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$602</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$483</w:t>
                  </w:r>
                </w:p>
              </w:tc>
            </w:tr>
            <w:tr>
              <w:tc>
                <w:tcPr>
                  <w:tcW w:type="auto" w:w="0"/>
                  <w:shd w:val="clear" w:color="auto" w:fill="F0F0F0"/>
                </w:tcPr>
                <w:p>
                  <w:pPr>
                    <w:pStyle w:val="Normal"/>
                    <w:keepLines w:val="on"/>
                  </w:pPr>
                  <w:r>
                    <w:t>6 và sau đó</w:t>
                  </w:r>
                </w:p>
              </w:tc>
              <w:tc>
                <w:tcPr>
                  <w:tcW w:type="auto" w:w="0"/>
                  <w:shd w:val="clear" w:color="auto" w:fill="F0F0F0"/>
                </w:tcPr>
                <w:p>
                  <w:pPr>
                    <w:pStyle w:val="Normal"/>
                    <w:keepLines w:val="on"/>
                  </w:pPr>
                  <w:r>
                    <w:t>$1,483</w:t>
                  </w:r>
                </w:p>
              </w:tc>
            </w:tr>
          </w:tbl>
          <w:p/>
        </w:tc>
      </w:tr>
    </w:tbl>
    <w:p>
      <w:pPr>
        <w:pStyle w:val="Para 04"/>
        <w:keepLines w:val="on"/>
      </w:pPr>
      <w:r>
        <w:t>The Gap, dựa trên xếp hạng trái phiếu S&amp;P là BB+, có chi phí nợ trước thuế là 5,5%. Để tính giá trị hiện tại của các cam kết, bạn phải đưa ra phán đoán về khoản cam kết trọn gói vào năm thứ 6. Dựa trên cam kết thuê trung bình hàng năm trong năm năm đầu tiên ($727 triệu), chúng ta có được niên kim hai năm:4</w:t>
      </w:r>
    </w:p>
    <w:p>
      <w:bookmarkStart w:id="1631" w:name="Approximate_life_of_annuity_for"/>
      <w:pPr>
        <w:keepNext/>
        <w:pStyle w:val="Para 07"/>
        <w:keepLines w:val="on"/>
      </w:pPr>
      <w:r>
        <w:t>Tuổi thọ ước tính của niên kim cho khoản trọn gói năm 6=1.483/727=2,04</w:t>
      </w:r>
      <w:bookmarkEnd w:id="1631"/>
    </w:p>
    <w:p>
      <w:pPr>
        <w:pStyle w:val="Para 04"/>
        <w:keepLines w:val="on"/>
      </w:pPr>
      <w:r>
        <w:t>Giá trị hiện tại của các cam kết theo chi phí nợ trước thuế 5,5% được ước tính trong bảng sau:</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Cam kết</w:t>
                  </w:r>
                </w:p>
              </w:tc>
              <w:tc>
                <w:tcPr>
                  <w:tcW w:type="auto" w:w="0"/>
                  <w:shd w:val="clear" w:color="auto" w:fill="F0F0F0"/>
                </w:tcPr>
                <w:p>
                  <w:pPr>
                    <w:pStyle w:val="Para 05"/>
                    <w:keepLines w:val="on"/>
                  </w:pPr>
                  <w:r>
                    <w:t>Giá trị hiện tại</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$997,00</w:t>
                  </w:r>
                </w:p>
              </w:tc>
              <w:tc>
                <w:tcPr>
                  <w:tcW w:type="auto" w:w="0"/>
                  <w:shd w:val="clear" w:color="auto" w:fill="F0F0F0"/>
                </w:tcPr>
                <w:p>
                  <w:pPr>
                    <w:pStyle w:val="Normal"/>
                    <w:keepLines w:val="on"/>
                  </w:pPr>
                  <w:r>
                    <w:t>$945,02</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$841,00</w:t>
                  </w:r>
                </w:p>
              </w:tc>
              <w:tc>
                <w:tcPr>
                  <w:tcW w:type="auto" w:w="0"/>
                  <w:shd w:val="clear" w:color="auto" w:fill="F0F0F0"/>
                </w:tcPr>
                <w:p>
                  <w:pPr>
                    <w:pStyle w:val="Normal"/>
                    <w:keepLines w:val="on"/>
                  </w:pPr>
                  <w:r>
                    <w:t>$755,60</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$710,00</w:t>
                  </w:r>
                </w:p>
              </w:tc>
              <w:tc>
                <w:tcPr>
                  <w:tcW w:type="auto" w:w="0"/>
                  <w:shd w:val="clear" w:color="auto" w:fill="F0F0F0"/>
                </w:tcPr>
                <w:p>
                  <w:pPr>
                    <w:pStyle w:val="Normal"/>
                    <w:keepLines w:val="on"/>
                  </w:pPr>
                  <w:r>
                    <w:t>$604,65</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$602,00</w:t>
                  </w:r>
                </w:p>
              </w:tc>
              <w:tc>
                <w:tcPr>
                  <w:tcW w:type="auto" w:w="0"/>
                  <w:shd w:val="clear" w:color="auto" w:fill="F0F0F0"/>
                </w:tcPr>
                <w:p>
                  <w:pPr>
                    <w:pStyle w:val="Normal"/>
                    <w:keepLines w:val="on"/>
                  </w:pPr>
                  <w:r>
                    <w:t>$485,94</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$483,00</w:t>
                  </w:r>
                </w:p>
              </w:tc>
              <w:tc>
                <w:tcPr>
                  <w:tcW w:type="auto" w:w="0"/>
                  <w:shd w:val="clear" w:color="auto" w:fill="F0F0F0"/>
                </w:tcPr>
                <w:p>
                  <w:pPr>
                    <w:pStyle w:val="Normal"/>
                    <w:keepLines w:val="on"/>
                  </w:pPr>
                  <w:r>
                    <w:t>$369,56</w:t>
                  </w:r>
                </w:p>
              </w:tc>
            </w:tr>
            <w:tr>
              <w:tc>
                <w:tcPr>
                  <w:tcW w:type="auto" w:w="0"/>
                  <w:shd w:val="clear" w:color="auto" w:fill="F0F0F0"/>
                </w:tcPr>
                <w:p>
                  <w:pPr>
                    <w:pStyle w:val="Normal"/>
                    <w:keepLines w:val="on"/>
                  </w:pPr>
                  <w:r>
                    <w:t>6 và 7</w:t>
                  </w:r>
                </w:p>
              </w:tc>
              <w:tc>
                <w:tcPr>
                  <w:tcW w:type="auto" w:w="0"/>
                  <w:shd w:val="clear" w:color="auto" w:fill="F0F0F0"/>
                </w:tcPr>
                <w:p>
                  <w:pPr>
                    <w:pStyle w:val="Normal"/>
                    <w:keepLines w:val="on"/>
                  </w:pPr>
                  <w:r>
                    <w:t>$741,40</w:t>
                  </w:r>
                </w:p>
              </w:tc>
              <w:tc>
                <w:tcPr>
                  <w:tcW w:type="auto" w:w="0"/>
                  <w:shd w:val="clear" w:color="auto" w:fill="F0F0F0"/>
                </w:tcPr>
                <w:p>
                  <w:pPr>
                    <w:pStyle w:val="Normal"/>
                    <w:keepLines w:val="on"/>
                  </w:pPr>
                  <w:r>
                    <w:t>$1.047,50</w:t>
                  </w:r>
                </w:p>
              </w:tc>
            </w:tr>
            <w:tr>
              <w:tc>
                <w:tcPr>
                  <w:tcW w:type="auto" w:w="0"/>
                  <w:shd w:val="clear" w:color="auto" w:fill="F0F0F0"/>
                </w:tcPr>
                <w:p>
                  <w:pPr>
                    <w:pStyle w:val="Normal"/>
                    <w:keepLines w:val="on"/>
                  </w:pPr>
                  <w:r>
                    <w:t>Giá trị nợ của các hợp đồng thuê</w:t>
                  </w:r>
                </w:p>
              </w:tc>
              <w:tc>
                <w:tcPr>
                  <w:tcW w:type="auto" w:w="0"/>
                  <w:shd w:val="clear" w:color="auto" w:fill="F0F0F0"/>
                </w:tcPr>
                <w:p>
                  <w:pPr>
                    <w:pStyle w:val="7 Block"/>
                    <w:keepLines w:val="on"/>
                  </w:pPr>
                </w:p>
              </w:tc>
              <w:tc>
                <w:tcPr>
                  <w:tcW w:type="auto" w:w="0"/>
                  <w:shd w:val="clear" w:color="auto" w:fill="F0F0F0"/>
                </w:tcPr>
                <w:p>
                  <w:pPr>
                    <w:pStyle w:val="Normal"/>
                    <w:keepLines w:val="on"/>
                  </w:pPr>
                  <w:r>
                    <w:t>$4.208,28</w:t>
                  </w:r>
                </w:p>
              </w:tc>
            </w:tr>
          </w:tbl>
          <w:p/>
        </w:tc>
      </w:tr>
    </w:tbl>
    <w:p>
      <w:pPr>
        <w:pStyle w:val="Para 04"/>
        <w:keepLines w:val="on"/>
      </w:pPr>
      <w:r>
        <w:t>Giá trị hiện tại của các hợp đồng thuê hoạt động được coi như tương đương với nợ và được cộng vào khoản nợ thông thường của công ty. The Gap không có nợ chịu lãi trên bảng cân đối kế toán. Tổng nợ của công ty là:</w:t>
      </w:r>
    </w:p>
    <w:p>
      <w:bookmarkStart w:id="1632" w:name="Adjusted_debt_Interest_Bearing_d"/>
      <w:pPr>
        <w:keepNext/>
        <w:pStyle w:val="Para 07"/>
        <w:keepLines w:val="on"/>
      </w:pPr>
      <w:r>
        <w:t>Nợ điều chỉnh = Nợ chịu lãi + Giá trị hiện tại của các cam kết thuê = $0 + $4.208 = $4.208 triệu</w:t>
      </w:r>
      <w:bookmarkEnd w:id="1632"/>
    </w:p>
    <w:p>
      <w:pPr>
        <w:pStyle w:val="Para 04"/>
        <w:keepLines w:val="on"/>
      </w:pPr>
      <w:r>
        <w:t>Để điều chỉnh thu nhập hoạt động cho The Gap, trước tiên chúng ta sử dụng cách điều chỉnh đầy đủ. Để tính khấu hao trên tài sản thuê, chúng ta giả định khấu hao theo đường thẳng trong suốt thời hạn thuê⁵ (7 năm) trên giá trị của tài sản thuê, giá trị này bằng với giá trị nợ của các cam kết thuê:</w:t>
      </w:r>
    </w:p>
    <w:p>
      <w:bookmarkStart w:id="1635" w:name="Depreciation_on_lease_asset_Valu"/>
      <w:pPr>
        <w:keepNext/>
        <w:pStyle w:val="Para 07"/>
        <w:keepLines w:val="on"/>
      </w:pPr>
      <w:r>
        <w:t>Khấu hao tài sản thuê = Giá trị tài sản thuê / Thời hạn thuê = $4.208 / 7 = $601 triệu</w:t>
      </w:r>
      <w:bookmarkEnd w:id="1635"/>
    </w:p>
    <w:p>
      <w:pPr>
        <w:pStyle w:val="Para 04"/>
        <w:keepLines w:val="on"/>
      </w:pPr>
      <w:r>
        <w:t>Thu nhập hoạt động được công bố của The Gap là $1.968 triệu được điều chỉnh như sau:</w:t>
      </w:r>
    </w:p>
    <w:p>
      <w:bookmarkStart w:id="1636" w:name="Adjusted_operating_income_Operat_6"/>
      <w:pPr>
        <w:keepNext/>
        <w:pStyle w:val="Para 07"/>
        <w:keepLines w:val="on"/>
      </w:pPr>
      <w:r>
        <w:t>Thu nhập hoạt động điều chỉnh = Thu nhập hoạt động + Chi phí thuê hoạt động năm hiện tại - Khấu hao tài sản thuê = $1.968 + $1.129 - $601 = $2.496 triệu</w:t>
      </w:r>
      <w:bookmarkEnd w:id="1636"/>
    </w:p>
    <w:p>
      <w:pPr>
        <w:pStyle w:val="Para 04"/>
        <w:keepLines w:val="on"/>
      </w:pPr>
      <w:r>
        <w:t>Cách điều chỉnh gần đúng cũng được ước tính như sau, trong đó chúng ta cộng thêm chi phí lãi suất ước tính bằng cách sử dụng chi phí nợ trước thuế:</w:t>
      </w:r>
    </w:p>
    <w:p>
      <w:bookmarkStart w:id="1637" w:name="Adjusted_operating_income__adjus"/>
      <w:pPr>
        <w:keepNext/>
        <w:pStyle w:val="Para 07"/>
        <w:keepLines w:val="on"/>
      </w:pPr>
      <w:r>
        <w:t>Thu nhập hoạt động điều chỉnh (gần đúng) = Thu nhập hoạt động + Nợ thuê × Lãi suất trên nợ = $1.968 + $4.208 × 0,055 = $2.199 triệu</w:t>
      </w:r>
      <w:bookmarkEnd w:id="1637"/>
    </w:p>
    <w:p>
      <w:pPr>
        <w:pStyle w:val="Para 04"/>
        <w:keepLines w:val="on"/>
      </w:pPr>
      <w:r>
        <w:t>Cũng giống như việc vốn hóa R&amp;D, coi các hợp đồng thuê như nợ sẽ thay đổi các con số chủ chốt của công ty, với những tác động trái chiều lên định giá:</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Giá trị được công bố</w:t>
                  </w:r>
                </w:p>
              </w:tc>
              <w:tc>
                <w:tcPr>
                  <w:tcW w:type="auto" w:w="0"/>
                  <w:shd w:val="clear" w:color="auto" w:fill="F0F0F0"/>
                </w:tcPr>
                <w:p>
                  <w:pPr>
                    <w:pStyle w:val="Para 05"/>
                    <w:keepLines w:val="on"/>
                  </w:pPr>
                  <w:r>
                    <w:t>Giá trị điều chỉnh theo thuê tài sản (Lease-Adjusted Value)</w:t>
                  </w:r>
                </w:p>
              </w:tc>
            </w:tr>
            <w:tr>
              <w:tc>
                <w:tcPr>
                  <w:tcW w:type="auto" w:w="0"/>
                  <w:shd w:val="clear" w:color="auto" w:fill="F0F0F0"/>
                </w:tcPr>
                <w:p>
                  <w:pPr>
                    <w:pStyle w:val="Para 02"/>
                    <w:keepLines w:val="on"/>
                  </w:pPr>
                  <w:r>
                    <w:t>Nợ</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$4,208</w:t>
                  </w:r>
                </w:p>
              </w:tc>
            </w:tr>
            <w:tr>
              <w:tc>
                <w:tcPr>
                  <w:tcW w:type="auto" w:w="0"/>
                  <w:shd w:val="clear" w:color="auto" w:fill="F0F0F0"/>
                </w:tcPr>
                <w:p>
                  <w:pPr>
                    <w:pStyle w:val="Para 02"/>
                    <w:keepLines w:val="on"/>
                  </w:pPr>
                  <w:r>
                    <w:t>Vốn đầu tư (Invested capital)</w:t>
                  </w:r>
                </w:p>
              </w:tc>
              <w:tc>
                <w:tcPr>
                  <w:tcW w:type="auto" w:w="0"/>
                  <w:shd w:val="clear" w:color="auto" w:fill="F0F0F0"/>
                </w:tcPr>
                <w:p>
                  <w:pPr>
                    <w:pStyle w:val="Normal"/>
                    <w:keepLines w:val="on"/>
                  </w:pPr>
                  <w:r>
                    <w:t>$4,080</w:t>
                  </w:r>
                </w:p>
              </w:tc>
              <w:tc>
                <w:tcPr>
                  <w:tcW w:type="auto" w:w="0"/>
                  <w:shd w:val="clear" w:color="auto" w:fill="F0F0F0"/>
                </w:tcPr>
                <w:p>
                  <w:pPr>
                    <w:pStyle w:val="Normal"/>
                    <w:keepLines w:val="on"/>
                  </w:pPr>
                  <w:r>
                    <w:t>$8,288</w:t>
                  </w:r>
                </w:p>
              </w:tc>
            </w:tr>
            <w:tr>
              <w:tc>
                <w:tcPr>
                  <w:tcW w:type="auto" w:w="0"/>
                  <w:shd w:val="clear" w:color="auto" w:fill="F0F0F0"/>
                </w:tcPr>
                <w:p>
                  <w:pPr>
                    <w:pStyle w:val="Para 02"/>
                    <w:keepLines w:val="on"/>
                  </w:pPr>
                  <w:r>
                    <w:t>Thu nhập hoạt động (Operating income)</w:t>
                  </w:r>
                </w:p>
              </w:tc>
              <w:tc>
                <w:tcPr>
                  <w:tcW w:type="auto" w:w="0"/>
                  <w:shd w:val="clear" w:color="auto" w:fill="F0F0F0"/>
                </w:tcPr>
                <w:p>
                  <w:pPr>
                    <w:pStyle w:val="Normal"/>
                    <w:keepLines w:val="on"/>
                  </w:pPr>
                  <w:r>
                    <w:t>$1,968</w:t>
                  </w:r>
                </w:p>
              </w:tc>
              <w:tc>
                <w:tcPr>
                  <w:tcW w:type="auto" w:w="0"/>
                  <w:shd w:val="clear" w:color="auto" w:fill="F0F0F0"/>
                </w:tcPr>
                <w:p>
                  <w:pPr>
                    <w:pStyle w:val="Normal"/>
                    <w:keepLines w:val="on"/>
                  </w:pPr>
                  <w:r>
                    <w:t>$2,496</w:t>
                  </w:r>
                </w:p>
              </w:tc>
            </w:tr>
            <w:tr>
              <w:tc>
                <w:tcPr>
                  <w:tcW w:type="auto" w:w="0"/>
                  <w:shd w:val="clear" w:color="auto" w:fill="F0F0F0"/>
                </w:tcPr>
                <w:p>
                  <w:pPr>
                    <w:pStyle w:val="Para 02"/>
                    <w:keepLines w:val="on"/>
                  </w:pPr>
                  <w:r>
                    <w:t>Lợi nhuận trước thuế trên vốn đầu tư (Pre-tax return on invested capital)</w:t>
                  </w:r>
                </w:p>
              </w:tc>
              <w:tc>
                <w:tcPr>
                  <w:tcW w:type="auto" w:w="0"/>
                  <w:shd w:val="clear" w:color="auto" w:fill="F0F0F0"/>
                </w:tcPr>
                <w:p>
                  <w:pPr>
                    <w:pStyle w:val="Normal"/>
                    <w:keepLines w:val="on"/>
                  </w:pPr>
                  <w:r>
                    <w:t>48,24%</w:t>
                  </w:r>
                </w:p>
              </w:tc>
              <w:tc>
                <w:tcPr>
                  <w:tcW w:type="auto" w:w="0"/>
                  <w:shd w:val="clear" w:color="auto" w:fill="F0F0F0"/>
                </w:tcPr>
                <w:p>
                  <w:pPr>
                    <w:pStyle w:val="Normal"/>
                    <w:keepLines w:val="on"/>
                  </w:pPr>
                  <w:r>
                    <w:t>30,12%</w:t>
                  </w:r>
                </w:p>
              </w:tc>
            </w:tr>
            <w:tr>
              <w:tc>
                <w:tcPr>
                  <w:tcW w:type="auto" w:w="0"/>
                  <w:shd w:val="clear" w:color="auto" w:fill="F0F0F0"/>
                </w:tcPr>
                <w:p>
                  <w:pPr>
                    <w:pStyle w:val="Para 02"/>
                    <w:keepLines w:val="on"/>
                  </w:pPr>
                  <w:r>
                    <w:t>Tỷ lệ nợ trong chi phí vốn (Debt ratio in cost of capital)</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31,74%</w:t>
                  </w:r>
                </w:p>
              </w:tc>
            </w:tr>
          </w:tbl>
          <w:p/>
        </w:tc>
      </w:tr>
    </w:tbl>
    <w:p>
      <w:pPr>
        <w:pStyle w:val="Para 04"/>
        <w:keepLines w:val="on"/>
      </w:pPr>
      <w:r>
        <w:t>Lợi nhuận trên vốn của The Gap vẫn rất ấn tượng, ngay cả sau khi chuyển thuê tài sản thành nợ, nhưng nó đã giảm đi và chi phí vốn của công ty cũng giảm, phản ánh việc công ty sử dụng nợ thuê tài sản. Do đó, tác động ròng của hai thay đổi này có thể khiến giá trị tăng lên ở một số công ty, và giảm đi ở những công ty khác, khi thuê tài sản được chuyển thành nợ.</w:t>
      </w:r>
    </w:p>
    <w:p>
      <w:pPr>
        <w:pStyle w:val="Para 11"/>
      </w:pPr>
      <w:r>
        <w:t/>
        <w:t xml:space="preserve"> </w:t>
      </w:r>
    </w:p>
    <w:p>
      <w:bookmarkStart w:id="1638" w:name="Oplease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89"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1638"/>
    </w:p>
    <w:p>
      <w:pPr>
        <w:pStyle w:val="Para 31"/>
        <w:keepLines w:val="on"/>
      </w:pPr>
      <w:r>
        <w:t>Oplease.xls: Bảng tính này cho phép bạn chuyển chi phí thuê hoạt động (operating lease expenses) thành nợ.</w:t>
      </w:r>
    </w:p>
    <w:p>
      <w:pPr>
        <w:pStyle w:val="Para 11"/>
      </w:pPr>
      <w:r>
        <w:t/>
        <w:t xml:space="preserve"> </w:t>
      </w:r>
    </w:p>
    <w:p>
      <w:bookmarkStart w:id="1639" w:name="What_About_Other_Contractual_Com_1"/>
      <w:bookmarkStart w:id="1640" w:name="What_About_Other_Contractual_Com"/>
      <w:pPr>
        <w:keepNext/>
        <w:pStyle w:val="Para 27"/>
        <w:keepLines w:val="on"/>
      </w:pPr>
      <w:r>
        <w:t>Còn các cam kết hợp đồng khác thì sao?</w:t>
      </w:r>
      <w:bookmarkEnd w:id="1639"/>
      <w:bookmarkEnd w:id="1640"/>
    </w:p>
    <w:p>
      <w:pPr>
        <w:pStyle w:val="Para 16"/>
        <w:keepLines w:val="on"/>
      </w:pPr>
      <w:r>
        <w:t>Lập luận đưa ra về thuê tài sản cũng có thể áp dụng cho các cam kết dài hạn khác, khi công ty không có lối thoát hay quyền hủy bỏ, hoặc khi khoản thanh toán không gắn với hiệu suất/thu nhập. Ví dụ, hãy xem xét một đội thể thao chuyên nghiệp ký hợp đồng 10 năm với một ngôi sao, đồng ý trả 5 triệu đô la một năm. Nếu khoản thanh toán không phụ thuộc vào hiệu suất thi đấu, thì công ty này đã tạo ra thứ tương đương với nợ bằng cách ký hợp đồng này. Nói ngắn gọn, Dodgers thực chất đã vay tiền khi họ cam kết trả 700 triệu đô la cho Shohei Ohtani trong mười năm, cũng như Al Nassr, đội bóng đá Saudi Arabia, đã ký hợp đồng với Ronaldo, siêu sao bóng đá, trong hai năm rưỡi, trả cho anh gần 200 triệu Euro mỗi năm.</w:t>
      </w:r>
    </w:p>
    <w:p>
      <w:pPr>
        <w:pStyle w:val="Para 16"/>
        <w:keepLines w:val="on"/>
      </w:pPr>
      <w:r>
        <w:t>Hệ quả của lập luận này là những công ty không có nợ trên bảng cân đối kế toán vẫn có thể đòn bẩy cao và chịu rủi ro vỡ nợ như một hệ quả. Ví dụ, Mario Lemieux, một ngôi sao của Pittsburgh Penguins, đội khúc côn cầu trên băng chuyên nghiệp, đã được trao một phần quyền sở hữu đội bóng vì đội này không thực hiện được các cam kết hợp đồng đã đưa ra với anh.</w:t>
      </w:r>
    </w:p>
    <w:p>
      <w:bookmarkStart w:id="1642" w:name="Value_effects_of_converting_leas"/>
      <w:pPr>
        <w:pStyle w:val="Para 21"/>
      </w:pPr>
      <w:r>
        <w:t>Tác động lên giá trị khi chuyển thuê tài sản thành nợ</w:t>
      </w:r>
      <w:bookmarkEnd w:id="1642"/>
    </w:p>
    <w:p>
      <w:pPr>
        <w:pStyle w:val="Para 03"/>
      </w:pPr>
      <w:r>
        <w:t>Vốn hóa chi phí tài chính (capitalizing financial expenses) cũng có những hiệu ứng lan tỏa qua các báo cáo tài chính của một công ty, thấm qua báo cáo thu nhập và bảng cân đối kế toán. Với câu hỏi liệu có đáng bỏ công sức hay không, câu trả lời có phần tinh tế hơn so với việc vốn hóa chi phí hoạt động. Nếu bạn chọn định giá vốn chủ sở hữu trực tiếp trong một công ty, bằng cách dùng mô hình chiết khấu cổ tức (dividend discount model) hoặc mô hình dòng tiền tự do cho vốn chủ sở hữu (free cash flow to equity model), thì việc vốn hóa chi phí thuê tài sản và các cam kết hợp đồng khác sẽ ít ảnh hưởng đến giá trị, vì dòng tiền của bạn là sau các chi phí đó. Tuy nhiên, nếu bạn đang cố định giá tài sản hoạt động, việc vốn hóa chi phí tài chính sẽ ảnh hưởng đến các yếu tố nền tảng then chốt, như bạn có thể thấy trong Hình 9.4:</w:t>
      </w:r>
    </w:p>
    <w:p>
      <w:bookmarkStart w:id="1645" w:name="Figure_9_4_Effects_of_Capitalizi"/>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62200" cy="1498600"/>
            <wp:effectExtent l="0" r="0" t="0" b="0"/>
            <wp:wrapTopAndBottom/>
            <wp:docPr id="90" name="c09f004.png" descr="Illustration depicts the effects and entries to correct the accounting mistake of miscategorized financing expenses as operating expenses."/>
            <wp:cNvGraphicFramePr>
              <a:graphicFrameLocks noChangeAspect="1"/>
            </wp:cNvGraphicFramePr>
            <a:graphic>
              <a:graphicData uri="http://schemas.openxmlformats.org/drawingml/2006/picture">
                <pic:pic>
                  <pic:nvPicPr>
                    <pic:cNvPr id="0" name="c09f004.png" descr="Illustration depicts the effects and entries to correct the accounting mistake of miscategorized financing expenses as operating expenses."/>
                    <pic:cNvPicPr/>
                  </pic:nvPicPr>
                  <pic:blipFill>
                    <a:blip r:embed="rId72"/>
                    <a:stretch>
                      <a:fillRect/>
                    </a:stretch>
                  </pic:blipFill>
                  <pic:spPr>
                    <a:xfrm>
                      <a:off x="0" y="0"/>
                      <a:ext cx="2362200" cy="1498600"/>
                    </a:xfrm>
                    <a:prstGeom prst="rect">
                      <a:avLst/>
                    </a:prstGeom>
                  </pic:spPr>
                </pic:pic>
              </a:graphicData>
            </a:graphic>
          </wp:anchor>
        </w:drawing>
      </w:r>
      <w:bookmarkEnd w:id="1645"/>
    </w:p>
    <w:p>
      <w:pPr>
        <w:keepNext/>
        <w:pStyle w:val="Para 22"/>
        <w:keepLines w:val="on"/>
      </w:pPr>
      <w:r>
        <w:t>Hình 9.4 Tác động của việc vốn hóa chi phí tài chính</w:t>
      </w:r>
    </w:p>
    <w:p>
      <w:pPr>
        <w:pStyle w:val="Para 03"/>
      </w:pPr>
      <w:r>
        <w:t>Tác động lên giá trị của việc vốn hóa thuê tài sản và các cam kết hợp đồng sẽ phụ thuộc vào việc công ty thuê tài sản hoặc tham gia vào các cam kết đó có thể mang lại lợi ích vượt quá chi phí đã vốn hóa hay không. Ví dụ với các nhà bán lẻ, chỉ khi bạn vốn hóa thuê tài sản thì bạn mới có thể bắt đầu tách những công ty bán lẻ tạo ra giá trị từ việc mở cửa hàng mới khỏi những công ty phá hủy giá trị.</w:t>
      </w:r>
    </w:p>
    <w:p>
      <w:bookmarkStart w:id="1647" w:name="Measuring_Earnings_Power__Clean_1"/>
      <w:bookmarkStart w:id="1648" w:name="Measuring_Earnings_Power__Clean"/>
      <w:pPr>
        <w:keepNext/>
        <w:pStyle w:val="Heading 2"/>
        <w:keepLines w:val="on"/>
      </w:pPr>
      <w:r>
        <w:t>Đo Lường Sức Mạnh Lợi Nhuận: Dọn Dẹp và Khác Biệt Thời Gian</w:t>
      </w:r>
      <w:bookmarkEnd w:id="1647"/>
      <w:bookmarkEnd w:id="1648"/>
    </w:p>
    <w:p>
      <w:pPr>
        <w:pStyle w:val="Para 03"/>
      </w:pPr>
      <w:r>
        <w:t>Khi định giá một doanh nghiệp, bạn thường có xu hướng bắt đầu từ lợi nhuận trong báo cáo thu nhập hiện tại của nó, nhưng trong phần này, chúng tôi sẽ lập luận rằng những con số đó có thể gây hiểu lầm vì nhiều lý do. Thứ nhất, các công ty ngày càng trở nên cực kỳ giỏi trong việc đạt và vượt kỳ vọng lợi nhuận của các nhà phân tích mỗi quý. Trong khi việc vượt kỳ vọng lợi nhuận có thể được xem là một diễn biến tích cực, một số công ty lại áp dụng các kỹ thuật kế toán đáng ngờ để đạt được mục tiêu này. Thứ hai, có những khoản phí hoặc thu nhập kế toán chỉ có thể phát sinh ở một công ty trong một giai đoạn cụ thể, chẳng hạn như giai đoạn gần nhất, và việc ngoại suy chúng vào tương lai có thể làm sai lệch lợi nhuận kỳ vọng. Chúng ta sẽ xem xét một số khoản phí này và cách điều chỉnh chúng trong các dự báo. Thứ ba, ngay cả khi lợi nhuận trong kỳ hiện tại không bị ảnh hưởng bởi trò chơi kế toán, chúng vẫn có thể biến động theo thời gian vì nhiều lý do, và việc nhìn vào chuỗi thời gian lợi nhuận thường có thể cung cấp nhiều thông tin hơn là chỉ xem xét các con số trong giai đoạn gần nhất.</w:t>
      </w:r>
    </w:p>
    <w:p>
      <w:bookmarkStart w:id="1649" w:name="The_Phenomenon_of_Managed_Earnin"/>
      <w:bookmarkStart w:id="1650" w:name="The_Phenomenon_of_Managed_Earnin_1"/>
      <w:pPr>
        <w:keepNext/>
        <w:pStyle w:val="Heading 3"/>
        <w:keepLines w:val="on"/>
      </w:pPr>
      <w:r>
        <w:t>Hiện Tượng Lợi Nhuận Bị Quản Lý</w:t>
      </w:r>
      <w:bookmarkEnd w:id="1649"/>
      <w:bookmarkEnd w:id="1650"/>
    </w:p>
    <w:p>
      <w:pPr>
        <w:pStyle w:val="Para 03"/>
      </w:pPr>
      <w:r>
        <w:t>Vào những năm 1990, các công ty như Microsoft và Intel đã tạo nên khuôn mẫu cho các công ty công nghệ. Trên thực tế, Microsoft đã vượt kỳ vọng lợi nhuận của các nhà phân tích trong 39 trên 40 quý của thập kỷ đó, và Intel cũng đạt được thành tích gần như ấn tượng không kém. Khi giá trị thị trường của những công ty này tăng vọt, các công ty công nghệ khác cũng noi gương họ trong việc cố gắng mang lại lợi nhuận cao hơn kỳ vọng của nhà phân tích ít nhất vài xu. Bằng chứng áp đảo cho thấy hiện tượng này đang lan rộng. Trong 18 quý liên tiếp chưa từng có từ năm 1996 đến 2000, số công ty vượt kỳ vọng lợi nhuận đồng thuận nhiều hơn số công ty không đạt.6 Một dấu hiệu khác cho thấy lợi nhuận bị quản lý là khoảng cách giữa lợi nhuận mà các công ty báo cáo với Sở Thuế Vụ (Internal Revenue Service) và lợi nhuận báo cáo cho nhà đầu tư cổ phần đã ngày càng tăng trong thập kỷ qua.</w:t>
      </w:r>
    </w:p>
    <w:p>
      <w:pPr>
        <w:pStyle w:val="Para 03"/>
      </w:pPr>
      <w:r>
        <w:t>Vì những kỳ vọng của nhà phân tích là các dự đoán, điều này cho bạn biết điều gì? Một khả năng là các nhà phân tích liên tục đánh giá thấp lợi nhuận và không bao giờ học hỏi từ sai lầm của mình. Dù đây là một khả năng, nó dường như cực kỳ khó có thể kéo dài suốt cả một thập kỷ. Khả năng khác là các công ty công nghệ đặc biệt có nhiều quyền tự quyết hơn trong cách đo lường và báo cáo lợi nhuận, và đang sử dụng quyền tự quyết này để vượt kỳ vọng. Cụ thể, việc xử lý chi phí nghiên cứu như chi phí hoạt động mang lại cho các công ty này một lợi thế khi quản lý lợi nhuận.</w:t>
      </w:r>
    </w:p>
    <w:p>
      <w:pPr>
        <w:pStyle w:val="Para 03"/>
      </w:pPr>
      <w:r>
        <w:t>Liệu quản lý lợi nhuận có thực sự làm tăng giá cổ phiếu của một công ty? Có thể vượt kỳ vọng của nhà phân tích quý này qua quý khác, nhưng liệu thị trường có dễ bị lừa như vậy? Không hề, và sự xuất hiện của cái gọi là ước tính lợi nhuận thì thầm (whispered earnings estimates) chính là phản ứng trước việc lợi nhuận liên tục được công bố cao hơn kỳ vọng. Ước tính lợi nhuận thì thầm là gì? Ước tính lợi nhuận thì thầm là những dự đoán lợi nhuận ngầm mà các công ty phải vượt qua để gây bất ngờ cho thị trường, và những ước tính này thường cao hơn ước tính của nhà phân tích vài xu. Ví dụ, vào ngày 10 tháng 4 năm 1997, Intel báo cáo thu nhập trên mỗi cổ phiếu là 2,10 đô la một cổ phiếu, cao hơn ước tính của nhà phân tích là 2,06 đô la một cổ phiếu, nhưng giá cổ phiếu lại giảm 5 điểm vì ước tính lợi nhuận thì thầm đã là 2,15 đô la. Nói cách khác, thị trường đã đưa vào kỳ vọng mức mà Intel đã vượt kỳ vọng lợi nhuận trong quá khứ.</w:t>
      </w:r>
    </w:p>
    <w:p>
      <w:bookmarkStart w:id="1653" w:name="Why_Do_Firms_Manage_Earnings___F"/>
      <w:bookmarkStart w:id="1654" w:name="Why_Do_Firms_Manage_Earnings"/>
      <w:pPr>
        <w:keepNext/>
        <w:pStyle w:val="Heading 4"/>
        <w:keepLines w:val="on"/>
      </w:pPr>
      <w:r>
        <w:t>Tại Sao Các Công Ty Quản Lý Lợi Nhuận?</w:t>
      </w:r>
      <w:bookmarkEnd w:id="1653"/>
      <w:bookmarkEnd w:id="1654"/>
    </w:p>
    <w:p>
      <w:pPr>
        <w:pStyle w:val="Para 03"/>
      </w:pPr>
      <w:r>
        <w:t>Các công ty thường quản lý lợi nhuận vì họ tin rằng thị trường sẽ thưởng cho họ khi mang lại lợi nhuận mượt mà hơn và liên tục cao hơn kỳ vọng của nhà phân tích. Như một bằng chứng, họ chỉ ra thành công của các công ty như Microsoft và Intel, cùng sự trừng phạt tàn khốc dành cho những công ty không đạt kỳ vọng.</w:t>
      </w:r>
    </w:p>
    <w:p>
      <w:pPr>
        <w:pStyle w:val="Para 03"/>
      </w:pPr>
      <w:r>
        <w:t>Nhiều nhà quản lý tài chính cũng dường như tin rằng nhà đầu tư chấp nhận các con số lợi nhuận theo mệnh giá, và họ nỗ lực mang lại những con số lợi nhuận cuối cùng phản ánh niềm tin này. Điều này có thể giải thích tại sao mọi nỗ lực của Ủy Ban Chuẩn Mực Kế Toán Tài Chính (Financial Accounting Standards Board – FASB) nhằm thay đổi cách đo lường lợi nhuận đều bị chống đối quyết liệt, ngay cả khi những thay đổi đó hợp lý. Ví dụ, mọi nỗ lực của FASB nhằm định giá theo giá trị hợp lý các quyền chọn mà công ty cấp cho nhà quản lý của mình và tính chúng vào lợi nhuận, hoặc thay đổi cách hạch toán các vụ sáp nhập, đều liên tục bị các công ty công nghệ phản đối.</w:t>
      </w:r>
    </w:p>
    <w:p>
      <w:pPr>
        <w:pStyle w:val="Para 03"/>
      </w:pPr>
      <w:r>
        <w:t>Việc quản lý lợi nhuận cũng có thể nằm trong lợi ích tốt nhất của các nhà quản lý công ty. Nhà quản lý biết rằng họ dễ bị sa thải hơn khi lợi nhuận giảm đáng kể so với các kỳ trước. Hơn nữa, có những công ty mà thù lao của nhà quản lý vẫn được xây dựng quanh các mục tiêu lợi nhuận, và việc đạt được những mục tiêu này có thể mang lại những khoản thưởng béo bở.</w:t>
      </w:r>
    </w:p>
    <w:p>
      <w:bookmarkStart w:id="1655" w:name="Techniques_for_Managing_Earnings_1"/>
      <w:bookmarkStart w:id="1656" w:name="Techniques_for_Managing_Earnings"/>
      <w:pPr>
        <w:keepNext/>
        <w:pStyle w:val="Heading 4"/>
        <w:keepLines w:val="on"/>
      </w:pPr>
      <w:r>
        <w:t>Các Kỹ Thuật Quản Lý Lợi Nhuận</w:t>
      </w:r>
      <w:bookmarkEnd w:id="1655"/>
      <w:bookmarkEnd w:id="1656"/>
    </w:p>
    <w:p>
      <w:pPr>
        <w:pStyle w:val="Para 03"/>
      </w:pPr>
      <w:r>
        <w:t>Các công ty quản lý lợi nhuận như thế nào? Một khía cạnh của việc quản lý lợi nhuận giỏi là chăm sóc và nuôi dưỡng kỳ vọng của nhà phân tích, một thực hành mà Microsoft đã hoàn thiện trong những năm 1990. Các giám đốc điều hành của công ty theo dõi ước tính lợi nhuận của nhà phân tích và can thiệp để hạ thấp kỳ vọng khi họ tin rằng các ước tính đó quá cao.7 Có một số kỹ thuật khác được sử dụng, và một số kỹ thuật phổ biến nhất sẽ được xem xét trong phần này. Không phải tất cả các kỹ thuật đều gây hại cho công ty, và một số thực sự có thể được coi là quản lý khôn ngoan.</w:t>
      </w:r>
    </w:p>
    <w:p>
      <w:pPr>
        <w:numPr>
          <w:ilvl w:val="0"/>
          <w:numId w:val="75"/>
        </w:numPr>
        <w:pStyle w:val="Para 01"/>
      </w:pPr>
      <w:r>
        <w:t>Lập kế hoạch trước. Các công ty có thể lập kế hoạch đầu tư và bán tài sản để giữ cho lợi nhuận tăng đều đặn.</w:t>
      </w:r>
    </w:p>
    <w:p>
      <w:pPr>
        <w:numPr>
          <w:ilvl w:val="0"/>
          <w:numId w:val="75"/>
        </w:numPr>
        <w:pStyle w:val="Para 01"/>
      </w:pPr>
      <w:r>
        <w:t>Ghi nhận doanh thu. Các công ty có một số quyền tự quyết khi đo lường, lợi nhuận có thể duy trì uy tín với các nhà phân tích bằng cách cho họ biết khi nào ước tính của họ quá thấp. Những công ty liên tục bi quan trong các buổi thuyết trình cho nhà phân tích sẽ mất uy tín và do đó mất hiệu quả trong việc quản lý lợi nhuận. Ví dụ, Microsoft vào năm 1995 đã áp dụng một cách tiếp cận cực kỳ thận trọng trong hạch toán doanh thu từ việc bán Windows 95, và chọn không ghi nhận những phần doanh thu lớn mà công ty được quyền (dù không bắt buộc) ghi nhận.8 Trên thực tế, đến cuối năm 1996, công ty đã tích lũy được 1,1 tỷ đô la doanh thu chưa thực hiện mà công ty có thể dùng để bổ sung lợi nhuận trong một quý yếu hơn.</w:t>
      </w:r>
    </w:p>
    <w:p>
      <w:pPr>
        <w:numPr>
          <w:ilvl w:val="0"/>
          <w:numId w:val="75"/>
        </w:numPr>
        <w:pStyle w:val="Para 01"/>
      </w:pPr>
      <w:r>
        <w:t>Ghi nhận doanh thu sớm. Trong một hiện tượng ngược lại, các công ty đôi khi vận chuyển sản phẩm trong những ngày cuối của một quý yếu đến các nhà phân phối và nhà bán lẻ rồi ghi nhận doanh thu. Hãy xem trường hợp của MicroStrategy, một công ty công nghệ đã niêm yết vào năm 1998. Trong hai quý cuối năm 1999, công ty báo cáo tăng trưởng doanh thu lần lượt là 20 phần trăm và 27 phần trăm, nhưng phần lớn mức tăng trưởng đó đến từ các thương vụ lớn được công bố chỉ vài ngày sau khi mỗi quý kết thúc, với một số doanh thu được gán cho quý vừa kết thúc.9 Trong một biến thể tinh vi hơn của chiến lược này, hai công ty, cả hai đều cần tăng doanh thu, có thể thực hiện một giao dịch hoán đổi doanh thu, với cả hai đều nổi lên như người thắng cuộc trong trò chơi lợi nhuận.</w:t>
      </w:r>
    </w:p>
    <w:p>
      <w:pPr>
        <w:numPr>
          <w:ilvl w:val="0"/>
          <w:numId w:val="75"/>
        </w:numPr>
        <w:pStyle w:val="Para 01"/>
      </w:pPr>
      <w:r>
        <w:t>Vốn hóa chi phí hoạt động. Cũng giống như ghi nhận doanh thu, các công ty được trao một số quyền tự quyết trong việc phân loại chi phí là chi phí hoạt động hay chi phí vốn, đặc biệt đối với các khoản mục như R&amp;D phần mềm. Chẳng hạn, thực hành của AOL là vốn hóa và xóa sổ chi phí của các đĩa CD và đĩa mà công ty cung cấp kèm tạp chí đã cho phép công ty báo cáo lợi nhuận dương trong phần lớn giai đoạn cuối những năm 1990.</w:t>
      </w:r>
    </w:p>
    <w:p>
      <w:pPr>
        <w:numPr>
          <w:ilvl w:val="0"/>
          <w:numId w:val="75"/>
        </w:numPr>
        <w:pStyle w:val="Para 01"/>
      </w:pPr>
      <w:r>
        <w:t>Xóa sổ. Một khoản phí tái cấu trúc lớn có thể dẫn đến thu nhập thấp hơn trong kỳ hiện tại, nhưng nó mang lại hai lợi ích cho công ty thực hiện. Vì lợi nhuận hoạt động được báo cáo cả trước và sau khoản phí tái cấu trúc, nó cho phép công ty tách khoản chi phí này ra khỏi hoạt động kinh doanh. Nó cũng giúp việc vượt kỳ vọng lợi nhuận trở nên dễ dàng hơn trong các quý tương lai. Để thấy tái cấu trúc có thể thúc đẩy lợi nhuận như thế nào, hãy xem trường hợp của IBM. Bằng cách xóa sổ các nhà máy cũ trong năm chúng bị đóng cửa, IBM đã có thể giảm chi phí khấu hao xuống còn 5 phần trăm doanh thu vào năm 1996, từ mức trung bình 7 phần trăm trong giai đoạn 1990–1994. Chênh lệch đó, tính theo doanh thu năm 1996, là 1,64 tỷ đô la, tương đương 18 phần trăm trong 9,02 tỷ đô la lợi nhuận trước thuế của công ty năm đó. Các công ty công nghệ đặc biệt giỏi trong việc xóa sổ một phần lớn chi phí mua lại dưới dạng “R&amp;D đang trong quá trình” (in-process R&amp;D) để ghi nhận mức tăng lợi nhuận trong các quý tiếp theo. Deng và Lev (1998) đã nghiên cứu 389 công ty xóa sổ R&amp;D đang trong quá trình từ năm 1990 đến 1996;10 những khoản xóa sổ này trung bình chiếm 72 phần trăm giá mua của các thương vụ mua lại đó, và làm tăng lợi nhuận của công ty mua lại thêm 22 phần trăm trong quý thứ tư sau khi mua lại.</w:t>
      </w:r>
    </w:p>
    <w:p>
      <w:pPr>
        <w:numPr>
          <w:ilvl w:val="0"/>
          <w:numId w:val="75"/>
        </w:numPr>
        <w:pStyle w:val="Para 01"/>
      </w:pPr>
      <w:r>
        <w:t>Sử dụng dự phòng. Các công ty được phép lập dự phòng cho nợ khó đòi, hàng bán bị trả lại và các tổn thất tiềm ẩn khác. Một số công ty thận trọng trong các ước tính vào những năm tốt, và sử dụng phần dự phòng dư thừa mà họ đã tích lũy trong những năm đó để làm mượt lợi nhuận trong các năm khác.</w:t>
      </w:r>
    </w:p>
    <w:p>
      <w:pPr>
        <w:numPr>
          <w:ilvl w:val="0"/>
          <w:numId w:val="75"/>
        </w:numPr>
        <w:pStyle w:val="Para 01"/>
      </w:pPr>
      <w:r>
        <w:t>Thu nhập từ các khoản đầu tư. Các công ty nắm giữ lượng lớn chứng khoán có thể bán được hoặc các khoản đầu tư vào công ty khác thường ghi nhận những khoản đầu tư này trên sổ sách ở giá trị thấp hơn nhiều so với giá trị thị trường của chúng. Do đó, việc thanh lý những khoản đầu tư này có thể mang lại lãi vốn lớn, giúp thúc đẩy thu nhập trong kỳ.</w:t>
      </w:r>
    </w:p>
    <w:p>
      <w:bookmarkStart w:id="1663" w:name="Unusual_Accounting_Charges_and_I_1"/>
      <w:bookmarkStart w:id="1664" w:name="Unusual_Accounting_Charges_and_I"/>
      <w:pPr>
        <w:keepNext/>
        <w:pStyle w:val="Heading 3"/>
        <w:keepLines w:val="on"/>
      </w:pPr>
      <w:r>
        <w:t>Các Khoản Phí và Thu Nhập Kế Toán Bất Thường</w:t>
      </w:r>
      <w:bookmarkEnd w:id="1663"/>
      <w:bookmarkEnd w:id="1664"/>
    </w:p>
    <w:p>
      <w:pPr>
        <w:pStyle w:val="Para 03"/>
      </w:pPr>
      <w:r>
        <w:t>Ngoài việc quản lý lợi nhuận, các công ty thường điều chỉnh lợi nhuận cho những khoản mục mà họ coi là một lần hoặc bất thường, từ đó ảnh hưởng đến lợi nhuận. Trong nhiều trường hợp, những khoản phí này được thực hiện với ý định tốt, nhằm cung cấp thông tin cho nhà đầu tư về những diễn biến tại công ty; trong những trường hợp khác, chúng thể hiện trò chơi mà các công ty đang cố làm cho mình trông có vẻ sinh lời hơn so với thực tế. Phần này xem xét một loạt điều chỉnh mà chúng ta có thể cần thực hiện đối với lợi nhuận được công bố trước khi sử dụng con số đó làm cơ sở cho các dự báo. Chúng ta bắt đầu bằng việc xem xét những khác biệt tinh tế giữa các khoản mục một lần, định kỳ và bất thường. Tiếp theo, chúng ta xem xét cách xử lý tốt nhất những mảnh vụn còn sót lại từ hạch toán mua lại. Sau đó, chúng ta xem xét cách xử lý thu nhập từ việc nắm giữ cổ phần ở các công ty khác và đầu tư vào chứng khoán có thể bán được. Cuối cùng, chúng ta xem xét một loạt phép kiểm tra có thể giúp chúng ta đánh giá liệu lợi nhuận được báo cáo của một công ty có phải là chỉ báo đáng tin cậy về lợi nhuận thực sự của nó hay không.</w:t>
      </w:r>
    </w:p>
    <w:p>
      <w:bookmarkStart w:id="1665" w:name="Extraordinary__Recurring__and_Un_1"/>
      <w:bookmarkStart w:id="1666" w:name="Extraordinary__Recurring__and_Un"/>
      <w:pPr>
        <w:keepNext/>
        <w:pStyle w:val="Heading 4"/>
        <w:keepLines w:val="on"/>
      </w:pPr>
      <w:r>
        <w:t>Các Khoản Mục Bất Thường, Định Kỳ và Không Thường Xuyên</w:t>
      </w:r>
      <w:bookmarkEnd w:id="1665"/>
      <w:bookmarkEnd w:id="1666"/>
    </w:p>
    <w:p>
      <w:pPr>
        <w:pStyle w:val="Para 03"/>
      </w:pPr>
      <w:r>
        <w:t>Quy tắc để ước tính cả thu nhập hoạt động lẫn thu nhập ròng rất đơn giản. Thu nhập hoạt động, được dùng làm cơ sở cho các dự báo, nên phản ánh hoạt động kinh doanh tiếp diễn và không nên bao gồm bất kỳ khoản mục nào mang tính một lần hoặc bất thường. Việc đưa tuyên bố này vào thực tiễn thường là một thách thức vì có bốn loại khoản mục bất thường:</w:t>
      </w:r>
    </w:p>
    <w:p>
      <w:pPr>
        <w:numPr>
          <w:ilvl w:val="0"/>
          <w:numId w:val="76"/>
        </w:numPr>
        <w:pStyle w:val="Para 01"/>
      </w:pPr>
      <w:r>
        <w:t>Chi phí hoặc thu nhập một lần thực sự chỉ xảy ra một lần. Một khoản phí tái cấu trúc lớn chỉ xảy ra một lần trong 10 năm qua sẽ là một ví dụ điển hình. Những chi phí này có thể được loại ra khỏi phân tích, và thu nhập hoạt động cùng thu nhập ròng được tính toán mà không có chúng.</w:t>
      </w:r>
    </w:p>
    <w:p>
      <w:pPr>
        <w:numPr>
          <w:ilvl w:val="0"/>
          <w:numId w:val="76"/>
        </w:numPr>
        <w:pStyle w:val="Para 01"/>
      </w:pPr>
      <w:r>
        <w:t>Các khoản chi phí và thu nhập không xảy ra hằng năm nhưng dường như tái diễn theo những khoảng thời gian đều đặn. Chẳng hạn, hãy xem xét một công ty đã thực hiện một khoản phí tái cấu trúc cứ 3 năm một lần trong 12 năm qua. Dù chưa đủ kết luận, điều này gợi ý rằng những chi phí bất thường thực ra là những chi phí thông thường đang được công ty gộp lại và thực hiện cứ ba năm một lần. Bỏ qua một khoản chi phí như vậy sẽ rất nguy hiểm vì thu nhập hoạt động kỳ vọng trong những năm tương lai sẽ bị phóng đại. Điều hợp lý sẽ là lấy khoản chi phí đó và phân bổ nó theo cơ sở hằng năm. Do đó, nếu chi phí tái cấu trúc cứ ba năm một lần trung bình lên tới 1,5 tỷ đô la, thì thu nhập hoạt động của năm hiện tại nên được giảm đi 0,5 tỷ đô la để phản ánh khoản phí hằng năm do chi phí này.</w:t>
      </w:r>
    </w:p>
    <w:p>
      <w:pPr>
        <w:numPr>
          <w:ilvl w:val="0"/>
          <w:numId w:val="76"/>
        </w:numPr>
        <w:pStyle w:val="Para 01"/>
      </w:pPr>
      <w:r>
        <w:t>Chi phí và thu nhập lặp lại hằng năm nhưng biến động khá mạnh. Cách tốt nhất để xử lý những khoản mục này là chuẩn hóa chúng bằng cách lấy bình quân chi phí qua thời gian và giảm thu nhập năm nay đi đúng khoản đó.</w:t>
      </w:r>
    </w:p>
    <w:p>
      <w:pPr>
        <w:numPr>
          <w:ilvl w:val="0"/>
          <w:numId w:val="76"/>
        </w:numPr>
        <w:pStyle w:val="Para 01"/>
      </w:pPr>
      <w:r>
        <w:t>Những khoản mục lặp lại hằng năm nhưng đổi dấu — năm dương, năm âm. Lấy ví dụ ảnh hưởng của việc quy đổi ngoại tệ lên thu nhập. Với một công ty ở Mỹ, ảnh hưởng này có thể âm vào những năm đồng đô-la mạnh lên, và dương vào những năm đồng đô-la yếu đi. Cách thận trọng nhất với những khoản chi phí này là bỏ qua chúng khi tính dòng tiền; còn việc có điều chỉnh tỷ lệ chiết khấu (discount rate) để phản ánh rủi ro do sự biến động này tạo ra hay không thì tùy bạn.</w:t>
      </w:r>
    </w:p>
    <w:p>
      <w:pPr>
        <w:pStyle w:val="Para 03"/>
      </w:pPr>
      <w:r>
        <w:t>Muốn phân biệt được giữa các khoản mục này, bạn cần có quyền truy cập vào lịch sử tài chính của công ty. Với những công ty non trẻ, dữ liệu này có thể không có sẵn, khiến việc vạch ranh giới giữa khoản chi phí nên bỏ qua, khoản nên chuẩn hóa, và khoản nên tính đủ trở nên khó khăn hơn.</w:t>
      </w:r>
    </w:p>
    <w:p>
      <w:bookmarkStart w:id="1668" w:name="Adjusting_for_Acquisitions_and_D"/>
      <w:bookmarkStart w:id="1669" w:name="Adjusting_for_Acquisitions_and_D_1"/>
      <w:pPr>
        <w:keepNext/>
        <w:pStyle w:val="Heading 4"/>
        <w:keepLines w:val="on"/>
      </w:pPr>
      <w:r>
        <w:t>Điều chỉnh cho Hoạt động Mua lại và Thoái vốn</w:t>
      </w:r>
      <w:bookmarkEnd w:id="1668"/>
      <w:bookmarkEnd w:id="1669"/>
    </w:p>
    <w:p>
      <w:pPr>
        <w:pStyle w:val="Para 03"/>
      </w:pPr>
      <w:r>
        <w:t>Kế toán mua lại (acquisition accounting) có thể tàn phá lợi nhuận báo cáo trong nhiều năm sau thương vụ mua lại. Sản phẩm phụ phổ biến nhất của các thương vụ mua lại là khấu hao lợi thế thương mại (amortization of goodwill). Khoản khấu hao này có thể làm giảm lợi nhuận báo cáo trong các kỳ sau. Vậy ta có nên coi khấu hao lợi thế thương mại là chi phí hoạt động không? Chúng tôi cho là không, vì nó vừa là khoản phi tiền mặt, vừa thường không được khấu trừ thuế. Cách an toàn nhất khi xử lý khấu hao lợi thế thương mại là nhìn vào lợi nhuận trước khi khấu hao.</w:t>
      </w:r>
    </w:p>
    <w:p>
      <w:pPr>
        <w:pStyle w:val="Para 03"/>
      </w:pPr>
      <w:r>
        <w:t>Các công ty công nghệ từng dùng một chiêu lạ để xóa khỏi sổ sách khoản lợi thế thương mại phát sinh khi trả giá cao hơn giá trị sổ sách. Lập luận rằng phần lớn giá trị thị trường trả cho công ty công nghệ đến từ giá trị của hoạt động nghiên cứu mà công ty đã làm qua thời gian, họ xóa sổ cái mà họ gọi là R&amp;D đang tiến hành (in-process R&amp;D) để giữ tính nhất quán. Suy cho cùng, họ lập luận, R&amp;D mà họ tự làm nội bộ cũng được ghi vào chi phí. Cũng như khấu hao lợi thế thương mại, việc xóa sổ R&amp;D đang tiến hành tạo ra một khoản phi tiền mặt và không được khấu trừ thuế, nên ta nên nhìn vào lợi nhuận trước khi xóa sổ.</w:t>
      </w:r>
    </w:p>
    <w:p>
      <w:pPr>
        <w:pStyle w:val="Para 03"/>
      </w:pPr>
      <w:r>
        <w:t>Khi công ty thoái vốn tài sản, họ có thể tạo ra thu nhập dưới dạng lãi vốn (capital gains). Những thương vụ thoái vốn không thường xuyên có thể coi là khoản mục một lần và bỏ qua, nhưng một số công ty thoái vốn tài sản đều đặn. Với những công ty này, tốt nhất là bỏ qua thu nhập gắn với việc thoái vốn, nhưng vẫn tính đến dòng tiền gắn với thoái vốn, sau khi trừ thuế lãi vốn, khi ước tính chi tiêu vốn ròng (net capital expenditures). Ví dụ, một công ty có 500 triệu đô-la chi tiêu vốn, 300 triệu đô-la khấu hao, và 120 triệu đô-la thoái vốn mỗi năm thì sẽ có chi tiêu vốn ròng là 80 triệu đô-la.</w:t>
      </w:r>
    </w:p>
    <w:p>
      <w:bookmarkStart w:id="1670" w:name="Net_capital_expenditures_Capital"/>
      <w:pPr>
        <w:keepNext/>
        <w:pStyle w:val="Para 09"/>
        <w:keepLines w:val="on"/>
      </w:pPr>
      <w:r>
        <w:t>Chi tiêu vốn ròng = Chi tiêu vốn − Khấu hao − Tiền thu từ thoái vốn = $500 − $300 − $120 = $80 triệu</w:t>
      </w:r>
      <w:bookmarkEnd w:id="1670"/>
    </w:p>
    <w:p>
      <w:bookmarkStart w:id="1671" w:name="Stock_Based_compensation__There"/>
      <w:bookmarkStart w:id="1672" w:name="Stock_Based_compensation"/>
      <w:pPr>
        <w:keepNext/>
        <w:pStyle w:val="Heading 4"/>
        <w:keepLines w:val="on"/>
      </w:pPr>
      <w:r>
        <w:t>Thù lao bằng cổ phiếu</w:t>
      </w:r>
      <w:bookmarkEnd w:id="1671"/>
      <w:bookmarkEnd w:id="1672"/>
    </w:p>
    <w:p>
      <w:pPr>
        <w:pStyle w:val="Para 03"/>
      </w:pPr>
      <w:r>
        <w:t>Có lẽ không có khoản mục nào bị lạm dụng và dùng sai nhiều trong việc điều chỉnh lợi nhuận bằng thù lao bằng cổ phiếu (stock-based compensation). Dù chúng ta sẽ quay lại bàn cách xử lý thù lao bằng cổ phiếu dưới dạng quyền chọn (options) và cổ phiếu hạn chế (restricted stock) tốt nhất là như thế nào ở Chương 16, vẫn đáng để nhìn vào những trò mà các công ty và nhà phân tích chơi với thù lao bằng cổ phiếu khi điều chỉnh lợi nhuận trước lãi vay, thuế và khấu hao.</w:t>
      </w:r>
    </w:p>
    <w:p>
      <w:pPr>
        <w:pStyle w:val="Para 03"/>
      </w:pPr>
      <w:r>
        <w:t>Để hiểu thù lao bằng cổ phiếu ảnh hưởng đến lợi nhuận như thế nào ở phần lớn nơi trên thế giới, cần nhớ rằng cho đến năm 2007, việc trao thù lao bằng cổ phiếu, chủ yếu dưới dạng quyền chọn, được coi là không ảnh hưởng gì đến lợi nhuận tại thời điểm trao, vì những quyền chọn này thường được trao ngang giá (at the money), tức là giá thực hiện (strike price) được đặt bằng giá cổ phiếu. Cái thông lệ đáng ghê tởm đó cuối cùng đã chấm dứt vào năm 2007, và các công ty giờ buộc phải thể hiện giá trị của quyền chọn hoặc cổ phiếu hạn chế tại thời điểm trao như một khoản chi phí. Điều đó, dĩ nhiên, làm giảm lợi nhuận, nhưng giảm là đúng, ở những công ty non trẻ trả thù lao cho nhân viên chủ yếu bằng cổ phiếu hạn chế và quyền chọn.</w:t>
      </w:r>
    </w:p>
    <w:p>
      <w:pPr>
        <w:pStyle w:val="Para 03"/>
      </w:pPr>
      <w:r>
        <w:t>Dùng lập luận hấp dẫn rằng thù lao bằng cổ phiếu là phi tiền mặt, các nhà phân tích và công ty đã bắt đầu công bố những phiên bản lợi nhuận điều chỉnh, trong đó cộng ngược thù lao bằng cổ phiếu trở lại, nhờ đó làm đẹp con số lợi nhuận. Vấn đề với lập luận này là thù lao bằng cổ phiếu không phải khoản chi phí phi tiền mặt như khấu hao — nơi việc cộng ngược để ra dòng tiền là hoàn toàn chính đáng — mà là một khoản chi phí bằng hiện vật (in-kind expense), khi những phần vốn chủ sở hữu đang được đem cho nhân viên. Ở Chương 16, chúng ta sẽ xem cách xử lý đúng thù lao bằng cổ phiếu, cả với những khoản đã trao trong quá khứ lẫn những khoản dự kiến trao trong tương lai.</w:t>
      </w:r>
    </w:p>
    <w:p>
      <w:bookmarkStart w:id="1674" w:name="Income_from_Investments_and_Cros"/>
      <w:pPr>
        <w:pStyle w:val="Para 21"/>
      </w:pPr>
      <w:r>
        <w:t>Thu nhập từ Đầu tư và Sở hữu Chéo</w:t>
      </w:r>
      <w:bookmarkEnd w:id="1674"/>
    </w:p>
    <w:p>
      <w:pPr>
        <w:pStyle w:val="Para 03"/>
      </w:pPr>
      <w:r>
        <w:t>Đầu tư vào chứng khoán có thể mua bán (marketable securities) tạo ra hai loại thu nhập. Loại thứ nhất là lãi hoặc cổ tức, loại thứ hai là lãi vốn (hoặc lỗ vốn) gắn với việc bán chứng khoán ở mức giá khác với giá gốc. Vào thập niên 1990, khi thị trường chứng khoán bùng nổ, một số công ty công nghệ dùng loại thứ hai để gia tăng lợi nhuận ròng và vượt ước tính của nhà phân tích. Theo quan điểm của chúng tôi, cả hai loại thu nhập đều không nên được coi là phần lợi nhuận dùng để định giá cho bất kỳ công ty nào, ngoại trừ một công ty dịch vụ tài chính định nghĩa hoạt động kinh doanh của mình là mua bán chứng khoán (chẳng hạn một quỹ đầu cơ). Lãi thu được từ chứng khoán có thể mua bán nên bị bỏ qua khi định giá công ty, vì việc cộng giá trị thị trường của những chứng khoán này vào cuối quy trình dễ dàng hơn nhiều so với việc trộn lẫn chúng với các tài sản khác. Ví dụ, giả sử bạn có một công ty tạo ra 100 triệu đô-la dòng tiền sau thuế, nhưng cũng giả sử rằng 20 phần trăm dòng tiền này đến từ các khoản nắm giữ chứng khoán có thể mua bán với giá trị thị trường hiện tại là 500 triệu đô-la. 80 phần trăm dòng tiền còn lại đến từ tài sản hoạt động; những dòng tiền này dự kiến tăng 5 phần trăm mỗi năm mãi mãi, và chi phí vốn (dựa trên rủi ro của những tài sản này) là 10 phần trăm. Giá trị của công ty này có thể được ước tính dễ dàng nhất như sau:</w:t>
      </w:r>
    </w:p>
    <w:tbl>
      <w:tblPr>
        <w:tblW w:type="auto" w:w="0"/>
      </w:tblPr>
      <w:tr>
        <w:tc>
          <w:tcPr>
            <w:tcW w:type="auto" w:w="0"/>
          </w:tcPr>
          <w:tbl>
            <w:tblPr>
              <w:tblW w:type="auto" w:w="0"/>
            </w:tblPr>
            <w:tr>
              <w:tc>
                <w:tcPr>
                  <w:tcW w:type="auto" w:w="0"/>
                  <w:shd w:val="clear" w:color="auto" w:fill="F0F0F0"/>
                </w:tcPr>
                <w:p>
                  <w:pPr>
                    <w:pStyle w:val="Para 02"/>
                    <w:keepLines w:val="on"/>
                  </w:pPr>
                  <w:r>
                    <w:t>Giá trị tài sản hoạt động của công ty = $80(1.05)/(.10 − .05)</w:t>
                  </w:r>
                </w:p>
              </w:tc>
              <w:tc>
                <w:tcPr>
                  <w:tcW w:type="auto" w:w="0"/>
                  <w:shd w:val="clear" w:color="auto" w:fill="F0F0F0"/>
                </w:tcPr>
                <w:p>
                  <w:pPr>
                    <w:pStyle w:val="Para 02"/>
                    <w:keepLines w:val="on"/>
                  </w:pPr>
                  <w:r>
                    <w:t>$1.680 triệu</w:t>
                  </w:r>
                </w:p>
              </w:tc>
            </w:tr>
            <w:tr>
              <w:tc>
                <w:tcPr>
                  <w:tcW w:type="auto" w:w="0"/>
                  <w:shd w:val="clear" w:color="auto" w:fill="F0F0F0"/>
                </w:tcPr>
                <w:p>
                  <w:pPr>
                    <w:pStyle w:val="Para 02"/>
                    <w:keepLines w:val="on"/>
                  </w:pPr>
                  <w:r>
                    <w:t>Giá trị chứng khoán có thể mua bán</w:t>
                  </w:r>
                </w:p>
              </w:tc>
              <w:tc>
                <w:tcPr>
                  <w:tcW w:type="auto" w:w="0"/>
                  <w:shd w:val="clear" w:color="auto" w:fill="F0F0F0"/>
                </w:tcPr>
                <w:p>
                  <w:pPr>
                    <w:pStyle w:val="Para 02"/>
                    <w:keepLines w:val="on"/>
                  </w:pPr>
                  <w:r>
                    <w:t>$500 triệu</w:t>
                  </w:r>
                </w:p>
              </w:tc>
            </w:tr>
            <w:tr>
              <w:tc>
                <w:tcPr>
                  <w:tcW w:type="auto" w:w="0"/>
                  <w:shd w:val="clear" w:color="auto" w:fill="F0F0F0"/>
                </w:tcPr>
                <w:p>
                  <w:pPr>
                    <w:pStyle w:val="Para 02"/>
                    <w:keepLines w:val="on"/>
                  </w:pPr>
                  <w:r>
                    <w:t>Giá trị công ty</w:t>
                  </w:r>
                </w:p>
              </w:tc>
              <w:tc>
                <w:tcPr>
                  <w:tcW w:type="auto" w:w="0"/>
                  <w:shd w:val="clear" w:color="auto" w:fill="F0F0F0"/>
                </w:tcPr>
                <w:p>
                  <w:pPr>
                    <w:pStyle w:val="Para 02"/>
                    <w:keepLines w:val="on"/>
                  </w:pPr>
                  <w:r>
                    <w:t>$2.180 triệu</w:t>
                  </w:r>
                </w:p>
              </w:tc>
            </w:tr>
          </w:tbl>
          <w:p/>
        </w:tc>
      </w:tr>
    </w:tbl>
    <w:p>
      <w:pPr>
        <w:pStyle w:val="Para 03"/>
      </w:pPr>
      <w:r>
        <w:t>Nếu chúng ta chọn chiết khấu toàn bộ dòng tiền sau thuế 100 triệu đô-la, chúng ta sẽ phải điều chỉnh chi phí vốn (để phản ánh rủi ro của chứng khoán có thể mua bán). Điều chỉnh đúng cách sẽ cho ra cùng giá trị như đã ước tính.11 Lãi vốn hoặc lỗ vốn từ việc bán chứng khoán có thể mua bán nên bị bỏ qua vì một lý do khác. Nếu bạn đưa khoản lãi này vào thu nhập và dùng nó trong dự báo, thì không chỉ bạn đang trông cậy vào việc có thể bán chứng khoán ở mức giá cao hơn mỗi kỳ trong tương lai, mà bạn còn có nguy cơ tính trùng giá trị của những chứng khoán này nếu bạn cộng chúng vào giá trị tài sản hoạt động để ra ước tính giá trị.</w:t>
      </w:r>
    </w:p>
    <w:p>
      <w:pPr>
        <w:pStyle w:val="Para 03"/>
      </w:pPr>
      <w:r>
        <w:t>Những công ty có số lượng lớn sở hữu chéo (cross holdings) trong các công ty khác thường báo cáo tăng hoặc giảm lợi nhuận phản ánh thu nhập hoặc lỗ từ những khoản sở hữu này. Ảnh hưởng lên lợi nhuận sẽ khác nhau, tùy thuộc vào cách phân loại khoản sở hữu. Chương 3 đã phân biệt ba cách phân loại:</w:t>
      </w:r>
    </w:p>
    <w:p>
      <w:pPr>
        <w:numPr>
          <w:ilvl w:val="0"/>
          <w:numId w:val="77"/>
        </w:numPr>
        <w:pStyle w:val="Para 01"/>
      </w:pPr>
      <w:r>
        <w:t>Sở hữu thiểu số thụ động (minority passive holding), trong đó chỉ cổ tức nhận được từ khoản sở hữu được ghi vào thu nhập.</w:t>
      </w:r>
    </w:p>
    <w:p>
      <w:pPr>
        <w:numPr>
          <w:ilvl w:val="0"/>
          <w:numId w:val="77"/>
        </w:numPr>
        <w:pStyle w:val="Para 01"/>
      </w:pPr>
      <w:r>
        <w:t>Lợi ích thiểu số chủ động (minority active interest), trong đó phần thu nhập ròng (hoặc lỗ) từ công ty con được thể hiện trên báo cáo kết quả kinh doanh như một khoản điều chỉnh vào thu nhập ròng (nhưng không điều chỉnh vào thu nhập hoạt động).</w:t>
      </w:r>
    </w:p>
    <w:p>
      <w:pPr>
        <w:numPr>
          <w:ilvl w:val="0"/>
          <w:numId w:val="77"/>
        </w:numPr>
        <w:pStyle w:val="Para 01"/>
      </w:pPr>
      <w:r>
        <w:t>Lợi ích đa số chủ động (majority active interest), trong đó báo cáo kết quả kinh doanh được hợp nhất, và toàn bộ thu nhập hoạt động của công ty con (hoặc khoản sở hữu) được thể hiện như một phần thu nhập hoạt động của công ty. Trong những trường hợp như vậy, thu nhập ròng thường được điều chỉnh cho phần công ty con thuộc sở hữu của người khác (lợi ích thiểu số).</w:t>
      </w:r>
    </w:p>
    <w:p>
      <w:pPr>
        <w:pStyle w:val="Para 03"/>
      </w:pPr>
      <w:r>
        <w:t>Cách an toàn nhất để xử lý hai loại tài sản nắm giữ đầu tiên là bỏ qua thu nhập được thể hiện từ khoản nắm giữ đó khi định giá một công ty, định giá khoản nắm giữ riêng biệt rồi cộng vào giá trị thu được từ các tài sản khác. Lấy một ví dụ đơn giản, hãy xem xét một công ty (ví dụ: Holding Inc.) tạo ra 100 triệu đô la dòng tiền sau thuế từ các tài sản hoạt động của mình, và giả sử rằng dòng tiền này sẽ tăng trưởng 5 phần trăm mỗi năm mãi mãi. Ngoài ra, giả sử công ty sở hữu 10 phần trăm của một công ty khác (ví dụ: Subsidiary Inc.) với dòng tiền sau thuế là 50 triệu đô la tăng trưởng 4 phần trăm mỗi năm mãi mãi. Cuối cùng, giả sử chi phí vốn cho cả hai công ty là 10 phần trăm. Giá trị công ty của Holding Inc. có thể được ước tính như sau:</w:t>
      </w:r>
    </w:p>
    <w:tbl>
      <w:tblPr>
        <w:tblW w:type="auto" w:w="0"/>
      </w:tblPr>
      <w:tr>
        <w:tc>
          <w:tcPr>
            <w:tcW w:type="auto" w:w="0"/>
          </w:tcPr>
          <w:tbl>
            <w:tblPr>
              <w:tblW w:type="auto" w:w="0"/>
            </w:tblPr>
            <w:tr>
              <w:tc>
                <w:tcPr>
                  <w:tcW w:type="auto" w:w="0"/>
                  <w:shd w:val="clear" w:color="auto" w:fill="F0F0F0"/>
                </w:tcPr>
                <w:p>
                  <w:pPr>
                    <w:pStyle w:val="Para 02"/>
                    <w:keepLines w:val="on"/>
                  </w:pPr>
                  <w:r>
                    <w:t>Giá trị tài sản hoạt động của Holding Inc. = 100(1.05)/(.10 − .05)</w:t>
                  </w:r>
                </w:p>
              </w:tc>
              <w:tc>
                <w:tcPr>
                  <w:tcW w:type="auto" w:w="0"/>
                  <w:shd w:val="clear" w:color="auto" w:fill="F0F0F0"/>
                </w:tcPr>
                <w:p>
                  <w:pPr>
                    <w:pStyle w:val="Para 02"/>
                    <w:keepLines w:val="on"/>
                  </w:pPr>
                  <w:r>
                    <w:t>2.100 triệu đô la</w:t>
                  </w:r>
                </w:p>
              </w:tc>
            </w:tr>
            <w:tr>
              <w:tc>
                <w:tcPr>
                  <w:tcW w:type="auto" w:w="0"/>
                  <w:shd w:val="clear" w:color="auto" w:fill="F0F0F0"/>
                </w:tcPr>
                <w:p>
                  <w:pPr>
                    <w:pStyle w:val="Para 02"/>
                    <w:keepLines w:val="on"/>
                  </w:pPr>
                  <w:r>
                    <w:t>Giá trị tài sản hoạt động của Subsidiary Inc. = 50(1.04)/(.10 − .04)</w:t>
                  </w:r>
                </w:p>
              </w:tc>
              <w:tc>
                <w:tcPr>
                  <w:tcW w:type="auto" w:w="0"/>
                  <w:shd w:val="clear" w:color="auto" w:fill="F0F0F0"/>
                </w:tcPr>
                <w:p>
                  <w:pPr>
                    <w:pStyle w:val="Para 02"/>
                    <w:keepLines w:val="on"/>
                  </w:pPr>
                  <w:r>
                    <w:t>867 triệu đô la</w:t>
                  </w:r>
                </w:p>
              </w:tc>
            </w:tr>
            <w:tr>
              <w:tc>
                <w:tcPr>
                  <w:tcW w:type="auto" w:w="0"/>
                  <w:shd w:val="clear" w:color="auto" w:fill="F0F0F0"/>
                </w:tcPr>
                <w:p>
                  <w:pPr>
                    <w:pStyle w:val="Para 02"/>
                    <w:keepLines w:val="on"/>
                  </w:pPr>
                  <w:r>
                    <w:t>Giá trị của Holding Inc. = 2.100 đô la + .10(867)</w:t>
                  </w:r>
                </w:p>
              </w:tc>
              <w:tc>
                <w:tcPr>
                  <w:tcW w:type="auto" w:w="0"/>
                  <w:shd w:val="clear" w:color="auto" w:fill="F0F0F0"/>
                </w:tcPr>
                <w:p>
                  <w:pPr>
                    <w:pStyle w:val="Para 02"/>
                    <w:keepLines w:val="on"/>
                  </w:pPr>
                  <w:r>
                    <w:t>2.187 triệu đô la</w:t>
                  </w:r>
                </w:p>
              </w:tc>
            </w:tr>
          </w:tbl>
          <w:p/>
        </w:tc>
      </w:tr>
    </w:tbl>
    <w:p>
      <w:pPr>
        <w:pStyle w:val="Para 03"/>
      </w:pPr>
      <w:r>
        <w:t>Khi thu nhập được hợp nhất, bạn có thể định giá công ty hợp nhất bằng báo cáo thu nhập hợp nhất, rồi trừ đi giá trị của các khoản nắm giữ thiểu số. Tuy nhiên, để làm điều này, bạn phải giả định rằng hai công ty cùng ngành và có mức rủi ro tương đương vì cùng một chi phí vốn sẽ được áp dụng cho dòng tiền của cả hai công ty. Hoặc, bạn có thể loại bỏ toàn bộ thu nhập hoạt động của công ty con khỏi thu nhập hoạt động hợp nhất và làm theo quy trình vừa trình bày để định giá khoản nắm giữ. Chúng ta sẽ quay lại xem xét vấn đề này chi tiết hơn trong Chương 16.</w:t>
      </w:r>
    </w:p>
    <w:p>
      <w:pPr>
        <w:pStyle w:val="Para 11"/>
      </w:pPr>
      <w:r>
        <w:t/>
        <w:t xml:space="preserve"> </w:t>
      </w:r>
    </w:p>
    <w:p>
      <w:bookmarkStart w:id="1678" w:name="ILLUSTRATION_9_6___Adjusting_Ear_1"/>
      <w:bookmarkStart w:id="1679" w:name="ILLUSTRATION_9_6___Adjusting_Ear"/>
      <w:pPr>
        <w:keepNext/>
        <w:pStyle w:val="Para 19"/>
        <w:keepLines w:val="on"/>
      </w:pPr>
      <w:r>
        <w:t>MINH HỌA 9.6: Điều chỉnh thu nhập cho các khoản phí một lần</w:t>
      </w:r>
      <w:bookmarkEnd w:id="1678"/>
      <w:bookmarkEnd w:id="1679"/>
    </w:p>
    <w:p>
      <w:pPr>
        <w:pStyle w:val="Para 04"/>
        <w:keepLines w:val="on"/>
      </w:pPr>
      <w:r>
        <w:t>Từ năm 1997 đến 1999, thu nhập được báo cáo của Xerox bao gồm một số lượng đáng kể các khoản mục một lần, bất thường và không thường xuyên. Tóm tắt thu nhập được cung cấp trong bảng sau:</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1999</w:t>
                  </w:r>
                </w:p>
              </w:tc>
              <w:tc>
                <w:tcPr>
                  <w:tcW w:type="auto" w:w="0"/>
                  <w:shd w:val="clear" w:color="auto" w:fill="F0F0F0"/>
                </w:tcPr>
                <w:p>
                  <w:pPr>
                    <w:pStyle w:val="Para 05"/>
                    <w:keepLines w:val="on"/>
                  </w:pPr>
                  <w:r>
                    <w:t>1998</w:t>
                  </w:r>
                </w:p>
              </w:tc>
              <w:tc>
                <w:tcPr>
                  <w:tcW w:type="auto" w:w="0"/>
                  <w:shd w:val="clear" w:color="auto" w:fill="F0F0F0"/>
                </w:tcPr>
                <w:p>
                  <w:pPr>
                    <w:pStyle w:val="Para 05"/>
                    <w:keepLines w:val="on"/>
                  </w:pPr>
                  <w:r>
                    <w:t>1997</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10.346 đô la</w:t>
                  </w:r>
                </w:p>
              </w:tc>
              <w:tc>
                <w:tcPr>
                  <w:tcW w:type="auto" w:w="0"/>
                  <w:shd w:val="clear" w:color="auto" w:fill="F0F0F0"/>
                </w:tcPr>
                <w:p>
                  <w:pPr>
                    <w:pStyle w:val="Normal"/>
                    <w:keepLines w:val="on"/>
                  </w:pPr>
                  <w:r>
                    <w:t>10.696 đô la</w:t>
                  </w:r>
                </w:p>
              </w:tc>
              <w:tc>
                <w:tcPr>
                  <w:tcW w:type="auto" w:w="0"/>
                  <w:shd w:val="clear" w:color="auto" w:fill="F0F0F0"/>
                </w:tcPr>
                <w:p>
                  <w:pPr>
                    <w:pStyle w:val="Normal"/>
                    <w:keepLines w:val="on"/>
                  </w:pPr>
                  <w:r>
                    <w:t>9.881 đô la</w:t>
                  </w:r>
                </w:p>
              </w:tc>
            </w:tr>
            <w:tr>
              <w:tc>
                <w:tcPr>
                  <w:tcW w:type="auto" w:w="0"/>
                  <w:shd w:val="clear" w:color="auto" w:fill="F0F0F0"/>
                </w:tcPr>
                <w:p>
                  <w:pPr>
                    <w:pStyle w:val="Para 02"/>
                    <w:keepLines w:val="on"/>
                  </w:pPr>
                  <w:r>
                    <w:t>Dịch vụ và cho thuê</w:t>
                  </w:r>
                </w:p>
              </w:tc>
              <w:tc>
                <w:tcPr>
                  <w:tcW w:type="auto" w:w="0"/>
                  <w:shd w:val="clear" w:color="auto" w:fill="F0F0F0"/>
                </w:tcPr>
                <w:p>
                  <w:pPr>
                    <w:pStyle w:val="Normal"/>
                    <w:keepLines w:val="on"/>
                  </w:pPr>
                  <w:r>
                    <w:t>7.856 đô la</w:t>
                  </w:r>
                </w:p>
              </w:tc>
              <w:tc>
                <w:tcPr>
                  <w:tcW w:type="auto" w:w="0"/>
                  <w:shd w:val="clear" w:color="auto" w:fill="F0F0F0"/>
                </w:tcPr>
                <w:p>
                  <w:pPr>
                    <w:pStyle w:val="Normal"/>
                    <w:keepLines w:val="on"/>
                  </w:pPr>
                  <w:r>
                    <w:t>7.678 đô la</w:t>
                  </w:r>
                </w:p>
              </w:tc>
              <w:tc>
                <w:tcPr>
                  <w:tcW w:type="auto" w:w="0"/>
                  <w:shd w:val="clear" w:color="auto" w:fill="F0F0F0"/>
                </w:tcPr>
                <w:p>
                  <w:pPr>
                    <w:pStyle w:val="Normal"/>
                    <w:keepLines w:val="on"/>
                  </w:pPr>
                  <w:r>
                    <w:t>7.257 đô la</w:t>
                  </w:r>
                </w:p>
              </w:tc>
            </w:tr>
            <w:tr>
              <w:tc>
                <w:tcPr>
                  <w:tcW w:type="auto" w:w="0"/>
                  <w:shd w:val="clear" w:color="auto" w:fill="F0F0F0"/>
                </w:tcPr>
                <w:p>
                  <w:pPr>
                    <w:pStyle w:val="Para 02"/>
                    <w:keepLines w:val="on"/>
                  </w:pPr>
                  <w:r>
                    <w:t>Thu nhập tài chính</w:t>
                  </w:r>
                </w:p>
              </w:tc>
              <w:tc>
                <w:tcPr>
                  <w:tcW w:type="auto" w:w="0"/>
                  <w:shd w:val="clear" w:color="auto" w:fill="F0F0F0"/>
                </w:tcPr>
                <w:p>
                  <w:pPr>
                    <w:pStyle w:val="Normal"/>
                    <w:keepLines w:val="on"/>
                  </w:pPr>
                  <w:r>
                    <w:t>1.026 đô la</w:t>
                  </w:r>
                </w:p>
              </w:tc>
              <w:tc>
                <w:tcPr>
                  <w:tcW w:type="auto" w:w="0"/>
                  <w:shd w:val="clear" w:color="auto" w:fill="F0F0F0"/>
                </w:tcPr>
                <w:p>
                  <w:pPr>
                    <w:pStyle w:val="Normal"/>
                    <w:keepLines w:val="on"/>
                  </w:pPr>
                  <w:r>
                    <w:t>1.073 đô la</w:t>
                  </w:r>
                </w:p>
              </w:tc>
              <w:tc>
                <w:tcPr>
                  <w:tcW w:type="auto" w:w="0"/>
                  <w:shd w:val="clear" w:color="auto" w:fill="F0F0F0"/>
                </w:tcPr>
                <w:p>
                  <w:pPr>
                    <w:pStyle w:val="Normal"/>
                    <w:keepLines w:val="on"/>
                  </w:pPr>
                  <w:r>
                    <w:t>1.006 đô la</w:t>
                  </w:r>
                </w:p>
              </w:tc>
            </w:tr>
            <w:tr>
              <w:tc>
                <w:tcPr>
                  <w:tcW w:type="auto" w:w="0"/>
                  <w:shd w:val="clear" w:color="auto" w:fill="F0F0F0"/>
                </w:tcPr>
                <w:p>
                  <w:pPr>
                    <w:pStyle w:val="Para 02"/>
                    <w:keepLines w:val="on"/>
                  </w:pPr>
                  <w:r>
                    <w:t>Tổng doanh thu</w:t>
                  </w:r>
                </w:p>
              </w:tc>
              <w:tc>
                <w:tcPr>
                  <w:tcW w:type="auto" w:w="0"/>
                  <w:shd w:val="clear" w:color="auto" w:fill="F0F0F0"/>
                </w:tcPr>
                <w:p>
                  <w:pPr>
                    <w:pStyle w:val="Normal"/>
                    <w:keepLines w:val="on"/>
                  </w:pPr>
                  <w:r>
                    <w:t>$19,228</w:t>
                  </w:r>
                </w:p>
              </w:tc>
              <w:tc>
                <w:tcPr>
                  <w:tcW w:type="auto" w:w="0"/>
                  <w:shd w:val="clear" w:color="auto" w:fill="F0F0F0"/>
                </w:tcPr>
                <w:p>
                  <w:pPr>
                    <w:pStyle w:val="Normal"/>
                    <w:keepLines w:val="on"/>
                  </w:pPr>
                  <w:r>
                    <w:t>$19,447</w:t>
                  </w:r>
                </w:p>
              </w:tc>
              <w:tc>
                <w:tcPr>
                  <w:tcW w:type="auto" w:w="0"/>
                  <w:shd w:val="clear" w:color="auto" w:fill="F0F0F0"/>
                </w:tcPr>
                <w:p>
                  <w:pPr>
                    <w:pStyle w:val="Normal"/>
                    <w:keepLines w:val="on"/>
                  </w:pPr>
                  <w:r>
                    <w:t>$18,144</w:t>
                  </w:r>
                </w:p>
              </w:tc>
            </w:tr>
            <w:tr>
              <w:tc>
                <w:tcPr>
                  <w:tcW w:type="auto" w:w="0"/>
                  <w:shd w:val="clear" w:color="auto" w:fill="F0F0F0"/>
                </w:tcPr>
                <w:p>
                  <w:pPr>
                    <w:pStyle w:val="Para 46"/>
                    <w:keepLines w:val="on"/>
                  </w:pPr>
                  <w:r>
                    <w:t>Chi phí và các khoản phải trả</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vốn hàng bán</w:t>
                  </w:r>
                </w:p>
              </w:tc>
              <w:tc>
                <w:tcPr>
                  <w:tcW w:type="auto" w:w="0"/>
                  <w:shd w:val="clear" w:color="auto" w:fill="F0F0F0"/>
                </w:tcPr>
                <w:p>
                  <w:pPr>
                    <w:pStyle w:val="Normal"/>
                    <w:keepLines w:val="on"/>
                  </w:pPr>
                  <w:r>
                    <w:t>$5,744</w:t>
                  </w:r>
                </w:p>
              </w:tc>
              <w:tc>
                <w:tcPr>
                  <w:tcW w:type="auto" w:w="0"/>
                  <w:shd w:val="clear" w:color="auto" w:fill="F0F0F0"/>
                </w:tcPr>
                <w:p>
                  <w:pPr>
                    <w:pStyle w:val="Normal"/>
                    <w:keepLines w:val="on"/>
                  </w:pPr>
                  <w:r>
                    <w:t>$5,662</w:t>
                  </w:r>
                </w:p>
              </w:tc>
              <w:tc>
                <w:tcPr>
                  <w:tcW w:type="auto" w:w="0"/>
                  <w:shd w:val="clear" w:color="auto" w:fill="F0F0F0"/>
                </w:tcPr>
                <w:p>
                  <w:pPr>
                    <w:pStyle w:val="Normal"/>
                    <w:keepLines w:val="on"/>
                  </w:pPr>
                  <w:r>
                    <w:t>$5,330</w:t>
                  </w:r>
                </w:p>
              </w:tc>
            </w:tr>
            <w:tr>
              <w:tc>
                <w:tcPr>
                  <w:tcW w:type="auto" w:w="0"/>
                  <w:shd w:val="clear" w:color="auto" w:fill="F0F0F0"/>
                </w:tcPr>
                <w:p>
                  <w:pPr>
                    <w:pStyle w:val="Para 02"/>
                    <w:keepLines w:val="on"/>
                  </w:pPr>
                  <w:r>
                    <w:t>Chi phí dịch vụ và cho thuê</w:t>
                  </w:r>
                </w:p>
              </w:tc>
              <w:tc>
                <w:tcPr>
                  <w:tcW w:type="auto" w:w="0"/>
                  <w:shd w:val="clear" w:color="auto" w:fill="F0F0F0"/>
                </w:tcPr>
                <w:p>
                  <w:pPr>
                    <w:pStyle w:val="Normal"/>
                    <w:keepLines w:val="on"/>
                  </w:pPr>
                  <w:r>
                    <w:t>$4,481</w:t>
                  </w:r>
                </w:p>
              </w:tc>
              <w:tc>
                <w:tcPr>
                  <w:tcW w:type="auto" w:w="0"/>
                  <w:shd w:val="clear" w:color="auto" w:fill="F0F0F0"/>
                </w:tcPr>
                <w:p>
                  <w:pPr>
                    <w:pStyle w:val="Normal"/>
                    <w:keepLines w:val="on"/>
                  </w:pPr>
                  <w:r>
                    <w:t>$4,205</w:t>
                  </w:r>
                </w:p>
              </w:tc>
              <w:tc>
                <w:tcPr>
                  <w:tcW w:type="auto" w:w="0"/>
                  <w:shd w:val="clear" w:color="auto" w:fill="F0F0F0"/>
                </w:tcPr>
                <w:p>
                  <w:pPr>
                    <w:pStyle w:val="Normal"/>
                    <w:keepLines w:val="on"/>
                  </w:pPr>
                  <w:r>
                    <w:t>$3,778</w:t>
                  </w:r>
                </w:p>
              </w:tc>
            </w:tr>
            <w:tr>
              <w:tc>
                <w:tcPr>
                  <w:tcW w:type="auto" w:w="0"/>
                  <w:shd w:val="clear" w:color="auto" w:fill="F0F0F0"/>
                </w:tcPr>
                <w:p>
                  <w:pPr>
                    <w:pStyle w:val="Para 02"/>
                    <w:keepLines w:val="on"/>
                  </w:pPr>
                  <w:r>
                    <w:t>Chi phí hàng tồn kho</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$113</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Lãi vay tài trợ thiết bị</w:t>
                  </w:r>
                </w:p>
              </w:tc>
              <w:tc>
                <w:tcPr>
                  <w:tcW w:type="auto" w:w="0"/>
                  <w:shd w:val="clear" w:color="auto" w:fill="F0F0F0"/>
                </w:tcPr>
                <w:p>
                  <w:pPr>
                    <w:pStyle w:val="Normal"/>
                    <w:keepLines w:val="on"/>
                  </w:pPr>
                  <w:r>
                    <w:t>$547</w:t>
                  </w:r>
                </w:p>
              </w:tc>
              <w:tc>
                <w:tcPr>
                  <w:tcW w:type="auto" w:w="0"/>
                  <w:shd w:val="clear" w:color="auto" w:fill="F0F0F0"/>
                </w:tcPr>
                <w:p>
                  <w:pPr>
                    <w:pStyle w:val="Normal"/>
                    <w:keepLines w:val="on"/>
                  </w:pPr>
                  <w:r>
                    <w:t>$570</w:t>
                  </w:r>
                </w:p>
              </w:tc>
              <w:tc>
                <w:tcPr>
                  <w:tcW w:type="auto" w:w="0"/>
                  <w:shd w:val="clear" w:color="auto" w:fill="F0F0F0"/>
                </w:tcPr>
                <w:p>
                  <w:pPr>
                    <w:pStyle w:val="Normal"/>
                    <w:keepLines w:val="on"/>
                  </w:pPr>
                  <w:r>
                    <w:t>$520</w:t>
                  </w:r>
                </w:p>
              </w:tc>
            </w:tr>
            <w:tr>
              <w:tc>
                <w:tcPr>
                  <w:tcW w:type="auto" w:w="0"/>
                  <w:shd w:val="clear" w:color="auto" w:fill="F0F0F0"/>
                </w:tcPr>
                <w:p>
                  <w:pPr>
                    <w:pStyle w:val="Para 02"/>
                    <w:keepLines w:val="on"/>
                  </w:pPr>
                  <w:r>
                    <w:t>Chi phí nghiên cứu và phát triển</w:t>
                  </w:r>
                </w:p>
              </w:tc>
              <w:tc>
                <w:tcPr>
                  <w:tcW w:type="auto" w:w="0"/>
                  <w:shd w:val="clear" w:color="auto" w:fill="F0F0F0"/>
                </w:tcPr>
                <w:p>
                  <w:pPr>
                    <w:pStyle w:val="Normal"/>
                    <w:keepLines w:val="on"/>
                  </w:pPr>
                  <w:r>
                    <w:t>$979</w:t>
                  </w:r>
                </w:p>
              </w:tc>
              <w:tc>
                <w:tcPr>
                  <w:tcW w:type="auto" w:w="0"/>
                  <w:shd w:val="clear" w:color="auto" w:fill="F0F0F0"/>
                </w:tcPr>
                <w:p>
                  <w:pPr>
                    <w:pStyle w:val="Normal"/>
                    <w:keepLines w:val="on"/>
                  </w:pPr>
                  <w:r>
                    <w:t>$1,040</w:t>
                  </w:r>
                </w:p>
              </w:tc>
              <w:tc>
                <w:tcPr>
                  <w:tcW w:type="auto" w:w="0"/>
                  <w:shd w:val="clear" w:color="auto" w:fill="F0F0F0"/>
                </w:tcPr>
                <w:p>
                  <w:pPr>
                    <w:pStyle w:val="Normal"/>
                    <w:keepLines w:val="on"/>
                  </w:pPr>
                  <w:r>
                    <w:t>$1,065</w:t>
                  </w:r>
                </w:p>
              </w:tc>
            </w:tr>
            <w:tr>
              <w:tc>
                <w:tcPr>
                  <w:tcW w:type="auto" w:w="0"/>
                  <w:shd w:val="clear" w:color="auto" w:fill="F0F0F0"/>
                </w:tcPr>
                <w:p>
                  <w:pPr>
                    <w:pStyle w:val="Para 02"/>
                    <w:keepLines w:val="on"/>
                  </w:pPr>
                  <w:r>
                    <w:t>Chi phí SG&amp;A</w:t>
                  </w:r>
                </w:p>
              </w:tc>
              <w:tc>
                <w:tcPr>
                  <w:tcW w:type="auto" w:w="0"/>
                  <w:shd w:val="clear" w:color="auto" w:fill="F0F0F0"/>
                </w:tcPr>
                <w:p>
                  <w:pPr>
                    <w:pStyle w:val="Normal"/>
                    <w:keepLines w:val="on"/>
                  </w:pPr>
                  <w:r>
                    <w:t>$5,144</w:t>
                  </w:r>
                </w:p>
              </w:tc>
              <w:tc>
                <w:tcPr>
                  <w:tcW w:type="auto" w:w="0"/>
                  <w:shd w:val="clear" w:color="auto" w:fill="F0F0F0"/>
                </w:tcPr>
                <w:p>
                  <w:pPr>
                    <w:pStyle w:val="Normal"/>
                    <w:keepLines w:val="on"/>
                  </w:pPr>
                  <w:r>
                    <w:t>$5,321</w:t>
                  </w:r>
                </w:p>
              </w:tc>
              <w:tc>
                <w:tcPr>
                  <w:tcW w:type="auto" w:w="0"/>
                  <w:shd w:val="clear" w:color="auto" w:fill="F0F0F0"/>
                </w:tcPr>
                <w:p>
                  <w:pPr>
                    <w:pStyle w:val="Normal"/>
                    <w:keepLines w:val="on"/>
                  </w:pPr>
                  <w:r>
                    <w:t>$5,212</w:t>
                  </w:r>
                </w:p>
              </w:tc>
            </w:tr>
            <w:tr>
              <w:tc>
                <w:tcPr>
                  <w:tcW w:type="auto" w:w="0"/>
                  <w:shd w:val="clear" w:color="auto" w:fill="F0F0F0"/>
                </w:tcPr>
                <w:p>
                  <w:pPr>
                    <w:pStyle w:val="Para 02"/>
                    <w:keepLines w:val="on"/>
                  </w:pPr>
                  <w:r>
                    <w:t>Chi phí tái cơ cấu và suy giảm giá trị tài sản</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$1,531</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Khác, ròng</w:t>
                  </w:r>
                </w:p>
              </w:tc>
              <w:tc>
                <w:tcPr>
                  <w:tcW w:type="auto" w:w="0"/>
                  <w:shd w:val="clear" w:color="auto" w:fill="F0F0F0"/>
                </w:tcPr>
                <w:p>
                  <w:pPr>
                    <w:pStyle w:val="Normal"/>
                    <w:keepLines w:val="on"/>
                  </w:pPr>
                  <w:r>
                    <w:t>$297</w:t>
                  </w:r>
                </w:p>
              </w:tc>
              <w:tc>
                <w:tcPr>
                  <w:tcW w:type="auto" w:w="0"/>
                  <w:shd w:val="clear" w:color="auto" w:fill="F0F0F0"/>
                </w:tcPr>
                <w:p>
                  <w:pPr>
                    <w:pStyle w:val="Normal"/>
                    <w:keepLines w:val="on"/>
                  </w:pPr>
                  <w:r>
                    <w:t>$242</w:t>
                  </w:r>
                </w:p>
              </w:tc>
              <w:tc>
                <w:tcPr>
                  <w:tcW w:type="auto" w:w="0"/>
                  <w:shd w:val="clear" w:color="auto" w:fill="F0F0F0"/>
                </w:tcPr>
                <w:p>
                  <w:pPr>
                    <w:pStyle w:val="Normal"/>
                    <w:keepLines w:val="on"/>
                  </w:pPr>
                  <w:r>
                    <w:t>$98</w:t>
                  </w:r>
                </w:p>
              </w:tc>
            </w:tr>
            <w:tr>
              <w:tc>
                <w:tcPr>
                  <w:tcW w:type="auto" w:w="0"/>
                  <w:shd w:val="clear" w:color="auto" w:fill="F0F0F0"/>
                </w:tcPr>
                <w:p>
                  <w:pPr>
                    <w:pStyle w:val="Para 02"/>
                    <w:keepLines w:val="on"/>
                  </w:pPr>
                  <w:r>
                    <w:t>Tổng chi phí</w:t>
                  </w:r>
                </w:p>
              </w:tc>
              <w:tc>
                <w:tcPr>
                  <w:tcW w:type="auto" w:w="0"/>
                  <w:shd w:val="clear" w:color="auto" w:fill="F0F0F0"/>
                </w:tcPr>
                <w:p>
                  <w:pPr>
                    <w:pStyle w:val="Normal"/>
                    <w:keepLines w:val="on"/>
                  </w:pPr>
                  <w:r>
                    <w:t>$17,192</w:t>
                  </w:r>
                </w:p>
              </w:tc>
              <w:tc>
                <w:tcPr>
                  <w:tcW w:type="auto" w:w="0"/>
                  <w:shd w:val="clear" w:color="auto" w:fill="F0F0F0"/>
                </w:tcPr>
                <w:p>
                  <w:pPr>
                    <w:pStyle w:val="Normal"/>
                    <w:keepLines w:val="on"/>
                  </w:pPr>
                  <w:r>
                    <w:t>$18,684</w:t>
                  </w:r>
                </w:p>
              </w:tc>
              <w:tc>
                <w:tcPr>
                  <w:tcW w:type="auto" w:w="0"/>
                  <w:shd w:val="clear" w:color="auto" w:fill="F0F0F0"/>
                </w:tcPr>
                <w:p>
                  <w:pPr>
                    <w:pStyle w:val="Normal"/>
                    <w:keepLines w:val="on"/>
                  </w:pPr>
                  <w:r>
                    <w:t>$16,003</w:t>
                  </w:r>
                </w:p>
              </w:tc>
            </w:tr>
            <w:tr>
              <w:tc>
                <w:tcPr>
                  <w:tcW w:type="auto" w:w="0"/>
                  <w:shd w:val="clear" w:color="auto" w:fill="F0F0F0"/>
                </w:tcPr>
                <w:p>
                  <w:pPr>
                    <w:pStyle w:val="Para 02"/>
                    <w:keepLines w:val="on"/>
                  </w:pPr>
                  <w:r>
                    <w:t>Lợi nhuận trước thuế</w:t>
                  </w:r>
                </w:p>
              </w:tc>
              <w:tc>
                <w:tcPr>
                  <w:tcW w:type="auto" w:w="0"/>
                  <w:shd w:val="clear" w:color="auto" w:fill="F0F0F0"/>
                </w:tcPr>
                <w:p>
                  <w:pPr>
                    <w:pStyle w:val="Normal"/>
                    <w:keepLines w:val="on"/>
                  </w:pPr>
                  <w:r>
                    <w:t>$2,036</w:t>
                  </w:r>
                </w:p>
              </w:tc>
              <w:tc>
                <w:tcPr>
                  <w:tcW w:type="auto" w:w="0"/>
                  <w:shd w:val="clear" w:color="auto" w:fill="F0F0F0"/>
                </w:tcPr>
                <w:p>
                  <w:pPr>
                    <w:pStyle w:val="Normal"/>
                    <w:keepLines w:val="on"/>
                  </w:pPr>
                  <w:r>
                    <w:t>$763</w:t>
                  </w:r>
                </w:p>
              </w:tc>
              <w:tc>
                <w:tcPr>
                  <w:tcW w:type="auto" w:w="0"/>
                  <w:shd w:val="clear" w:color="auto" w:fill="F0F0F0"/>
                </w:tcPr>
                <w:p>
                  <w:pPr>
                    <w:pStyle w:val="Normal"/>
                    <w:keepLines w:val="on"/>
                  </w:pPr>
                  <w:r>
                    <w:t>$2,141</w:t>
                  </w:r>
                </w:p>
              </w:tc>
            </w:tr>
            <w:tr>
              <w:tc>
                <w:tcPr>
                  <w:tcW w:type="auto" w:w="0"/>
                  <w:shd w:val="clear" w:color="auto" w:fill="F0F0F0"/>
                </w:tcPr>
                <w:p>
                  <w:pPr>
                    <w:pStyle w:val="Para 02"/>
                    <w:keepLines w:val="on"/>
                  </w:pPr>
                  <w:r>
                    <w:t>− Thuế thu nhập</w:t>
                  </w:r>
                </w:p>
              </w:tc>
              <w:tc>
                <w:tcPr>
                  <w:tcW w:type="auto" w:w="0"/>
                  <w:shd w:val="clear" w:color="auto" w:fill="F0F0F0"/>
                </w:tcPr>
                <w:p>
                  <w:pPr>
                    <w:pStyle w:val="Normal"/>
                    <w:keepLines w:val="on"/>
                  </w:pPr>
                  <w:r>
                    <w:t>$631</w:t>
                  </w:r>
                </w:p>
              </w:tc>
              <w:tc>
                <w:tcPr>
                  <w:tcW w:type="auto" w:w="0"/>
                  <w:shd w:val="clear" w:color="auto" w:fill="F0F0F0"/>
                </w:tcPr>
                <w:p>
                  <w:pPr>
                    <w:pStyle w:val="Normal"/>
                    <w:keepLines w:val="on"/>
                  </w:pPr>
                  <w:r>
                    <w:t>$207</w:t>
                  </w:r>
                </w:p>
              </w:tc>
              <w:tc>
                <w:tcPr>
                  <w:tcW w:type="auto" w:w="0"/>
                  <w:shd w:val="clear" w:color="auto" w:fill="F0F0F0"/>
                </w:tcPr>
                <w:p>
                  <w:pPr>
                    <w:pStyle w:val="Normal"/>
                    <w:keepLines w:val="on"/>
                  </w:pPr>
                  <w:r>
                    <w:t>$728</w:t>
                  </w:r>
                </w:p>
              </w:tc>
            </w:tr>
            <w:tr>
              <w:tc>
                <w:tcPr>
                  <w:tcW w:type="auto" w:w="0"/>
                  <w:shd w:val="clear" w:color="auto" w:fill="F0F0F0"/>
                </w:tcPr>
                <w:p>
                  <w:pPr>
                    <w:pStyle w:val="Para 02"/>
                    <w:keepLines w:val="on"/>
                  </w:pPr>
                  <w:r>
                    <w:t>+ Phần lợi nhuận ròng từ các công ty liên kết không hợp nhất</w:t>
                  </w:r>
                </w:p>
              </w:tc>
              <w:tc>
                <w:tcPr>
                  <w:tcW w:type="auto" w:w="0"/>
                  <w:shd w:val="clear" w:color="auto" w:fill="F0F0F0"/>
                </w:tcPr>
                <w:p>
                  <w:pPr>
                    <w:pStyle w:val="Normal"/>
                    <w:keepLines w:val="on"/>
                  </w:pPr>
                  <w:r>
                    <w:t>68 đô la</w:t>
                  </w:r>
                </w:p>
              </w:tc>
              <w:tc>
                <w:tcPr>
                  <w:tcW w:type="auto" w:w="0"/>
                  <w:shd w:val="clear" w:color="auto" w:fill="F0F0F0"/>
                </w:tcPr>
                <w:p>
                  <w:pPr>
                    <w:pStyle w:val="Normal"/>
                    <w:keepLines w:val="on"/>
                  </w:pPr>
                  <w:r>
                    <w:t>74 đô la</w:t>
                  </w:r>
                </w:p>
              </w:tc>
              <w:tc>
                <w:tcPr>
                  <w:tcW w:type="auto" w:w="0"/>
                  <w:shd w:val="clear" w:color="auto" w:fill="F0F0F0"/>
                </w:tcPr>
                <w:p>
                  <w:pPr>
                    <w:pStyle w:val="Normal"/>
                    <w:keepLines w:val="on"/>
                  </w:pPr>
                  <w:r>
                    <w:t>127 đô la</w:t>
                  </w:r>
                </w:p>
              </w:tc>
            </w:tr>
            <w:tr>
              <w:tc>
                <w:tcPr>
                  <w:tcW w:type="auto" w:w="0"/>
                  <w:shd w:val="clear" w:color="auto" w:fill="F0F0F0"/>
                </w:tcPr>
                <w:p>
                  <w:pPr>
                    <w:pStyle w:val="Para 02"/>
                    <w:keepLines w:val="on"/>
                  </w:pPr>
                  <w:r>
                    <w:t>− Lợi ích cổ đông thiểu số trong thu nhập của các công ty con</w:t>
                  </w:r>
                </w:p>
              </w:tc>
              <w:tc>
                <w:tcPr>
                  <w:tcW w:type="auto" w:w="0"/>
                  <w:shd w:val="clear" w:color="auto" w:fill="F0F0F0"/>
                </w:tcPr>
                <w:p>
                  <w:pPr>
                    <w:pStyle w:val="Normal"/>
                    <w:keepLines w:val="on"/>
                  </w:pPr>
                  <w:r>
                    <w:t>49 đô la</w:t>
                  </w:r>
                </w:p>
              </w:tc>
              <w:tc>
                <w:tcPr>
                  <w:tcW w:type="auto" w:w="0"/>
                  <w:shd w:val="clear" w:color="auto" w:fill="F0F0F0"/>
                </w:tcPr>
                <w:p>
                  <w:pPr>
                    <w:pStyle w:val="Normal"/>
                    <w:keepLines w:val="on"/>
                  </w:pPr>
                  <w:r>
                    <w:t>45 đô la</w:t>
                  </w:r>
                </w:p>
              </w:tc>
              <w:tc>
                <w:tcPr>
                  <w:tcW w:type="auto" w:w="0"/>
                  <w:shd w:val="clear" w:color="auto" w:fill="F0F0F0"/>
                </w:tcPr>
                <w:p>
                  <w:pPr>
                    <w:pStyle w:val="Normal"/>
                    <w:keepLines w:val="on"/>
                  </w:pPr>
                  <w:r>
                    <w:t>88 đô la</w:t>
                  </w:r>
                </w:p>
              </w:tc>
            </w:tr>
            <w:tr>
              <w:tc>
                <w:tcPr>
                  <w:tcW w:type="auto" w:w="0"/>
                  <w:shd w:val="clear" w:color="auto" w:fill="F0F0F0"/>
                </w:tcPr>
                <w:p>
                  <w:pPr>
                    <w:pStyle w:val="Para 02"/>
                    <w:keepLines w:val="on"/>
                  </w:pPr>
                  <w:r>
                    <w:t>Thu nhập ròng từ hoạt động kinh doanh tiếp diễn</w:t>
                  </w:r>
                </w:p>
              </w:tc>
              <w:tc>
                <w:tcPr>
                  <w:tcW w:type="auto" w:w="0"/>
                  <w:shd w:val="clear" w:color="auto" w:fill="F0F0F0"/>
                </w:tcPr>
                <w:p>
                  <w:pPr>
                    <w:pStyle w:val="Normal"/>
                    <w:keepLines w:val="on"/>
                  </w:pPr>
                  <w:r>
                    <w:t>1.424 đô la</w:t>
                  </w:r>
                </w:p>
              </w:tc>
              <w:tc>
                <w:tcPr>
                  <w:tcW w:type="auto" w:w="0"/>
                  <w:shd w:val="clear" w:color="auto" w:fill="F0F0F0"/>
                </w:tcPr>
                <w:p>
                  <w:pPr>
                    <w:pStyle w:val="Normal"/>
                    <w:keepLines w:val="on"/>
                  </w:pPr>
                  <w:r>
                    <w:t>585 đô la</w:t>
                  </w:r>
                </w:p>
              </w:tc>
              <w:tc>
                <w:tcPr>
                  <w:tcW w:type="auto" w:w="0"/>
                  <w:shd w:val="clear" w:color="auto" w:fill="F0F0F0"/>
                </w:tcPr>
                <w:p>
                  <w:pPr>
                    <w:pStyle w:val="Normal"/>
                    <w:keepLines w:val="on"/>
                  </w:pPr>
                  <w:r>
                    <w:t>1.452 đô la</w:t>
                  </w:r>
                </w:p>
              </w:tc>
            </w:tr>
            <w:tr>
              <w:tc>
                <w:tcPr>
                  <w:tcW w:type="auto" w:w="0"/>
                  <w:shd w:val="clear" w:color="auto" w:fill="F0F0F0"/>
                </w:tcPr>
                <w:p>
                  <w:pPr>
                    <w:pStyle w:val="Para 02"/>
                    <w:keepLines w:val="on"/>
                  </w:pPr>
                  <w:r>
                    <w:t>− Hoạt động đã ngừng</w:t>
                  </w:r>
                </w:p>
              </w:tc>
              <w:tc>
                <w:tcPr>
                  <w:tcW w:type="auto" w:w="0"/>
                  <w:shd w:val="clear" w:color="auto" w:fill="F0F0F0"/>
                </w:tcPr>
                <w:p>
                  <w:pPr>
                    <w:pStyle w:val="Normal"/>
                    <w:keepLines w:val="on"/>
                  </w:pPr>
                  <w:r>
                    <w:t>0 đô la</w:t>
                  </w:r>
                </w:p>
              </w:tc>
              <w:tc>
                <w:tcPr>
                  <w:tcW w:type="auto" w:w="0"/>
                  <w:shd w:val="clear" w:color="auto" w:fill="F0F0F0"/>
                </w:tcPr>
                <w:p>
                  <w:pPr>
                    <w:pStyle w:val="Normal"/>
                    <w:keepLines w:val="on"/>
                  </w:pPr>
                  <w:r>
                    <w:t>190 đô la</w:t>
                  </w:r>
                </w:p>
              </w:tc>
              <w:tc>
                <w:tcPr>
                  <w:tcW w:type="auto" w:w="0"/>
                  <w:shd w:val="clear" w:color="auto" w:fill="F0F0F0"/>
                </w:tcPr>
                <w:p>
                  <w:pPr>
                    <w:pStyle w:val="Normal"/>
                    <w:keepLines w:val="on"/>
                  </w:pPr>
                  <w:r>
                    <w:t>0 đô la</w:t>
                  </w:r>
                </w:p>
              </w:tc>
            </w:tr>
            <w:tr>
              <w:tc>
                <w:tcPr>
                  <w:tcW w:type="auto" w:w="0"/>
                  <w:shd w:val="clear" w:color="auto" w:fill="F0F0F0"/>
                </w:tcPr>
                <w:p>
                  <w:pPr>
                    <w:pStyle w:val="Para 02"/>
                    <w:keepLines w:val="on"/>
                  </w:pPr>
                  <w:r>
                    <w:t>Thu nhập ròng</w:t>
                  </w:r>
                </w:p>
              </w:tc>
              <w:tc>
                <w:tcPr>
                  <w:tcW w:type="auto" w:w="0"/>
                  <w:shd w:val="clear" w:color="auto" w:fill="F0F0F0"/>
                </w:tcPr>
                <w:p>
                  <w:pPr>
                    <w:pStyle w:val="Normal"/>
                    <w:keepLines w:val="on"/>
                  </w:pPr>
                  <w:r>
                    <w:t>1.424 đô la</w:t>
                  </w:r>
                </w:p>
              </w:tc>
              <w:tc>
                <w:tcPr>
                  <w:tcW w:type="auto" w:w="0"/>
                  <w:shd w:val="clear" w:color="auto" w:fill="F0F0F0"/>
                </w:tcPr>
                <w:p>
                  <w:pPr>
                    <w:pStyle w:val="Normal"/>
                    <w:keepLines w:val="on"/>
                  </w:pPr>
                  <w:r>
                    <w:t>395 đô la</w:t>
                  </w:r>
                </w:p>
              </w:tc>
              <w:tc>
                <w:tcPr>
                  <w:tcW w:type="auto" w:w="0"/>
                  <w:shd w:val="clear" w:color="auto" w:fill="F0F0F0"/>
                </w:tcPr>
                <w:p>
                  <w:pPr>
                    <w:pStyle w:val="Normal"/>
                    <w:keepLines w:val="on"/>
                  </w:pPr>
                  <w:r>
                    <w:t>1.452 đô la</w:t>
                  </w:r>
                </w:p>
              </w:tc>
            </w:tr>
          </w:tbl>
          <w:p/>
        </w:tc>
      </w:tr>
    </w:tbl>
    <w:p>
      <w:pPr>
        <w:pStyle w:val="Para 04"/>
        <w:keepLines w:val="on"/>
      </w:pPr>
      <w:r>
        <w:t>Có một vài điều chỉnh rõ ràng đối với thu nhập, đại diện cho các khoản phí một lần (one-time charges) cùng một loạt các vấn đề khác. Trước tiên, hãy xem xét những điều chỉnh rõ ràng:</w:t>
      </w:r>
    </w:p>
    <w:p>
      <w:pPr>
        <w:numPr>
          <w:ilvl w:val="0"/>
          <w:numId w:val="78"/>
        </w:numPr>
        <w:pStyle w:val="Para 18"/>
        <w:keepLines w:val="on"/>
      </w:pPr>
      <w:r>
        <w:t>Khoản phí liên quan đến hàng tồn kho và tái cấu trúc có vẻ là các khoản phí một lần, dù vẫn có khả năng chúng phản ánh những vấn đề nền tảng nghiêm trọng hơn, có thể tạo ra các khoản phí trong những kỳ tiếp theo. Khoản phí cho hoạt động đã ngừng cũng chỉ ảnh hưởng đến thu nhập của một năm. Những chi phí này nên được cộng trở lại để đi đến thu nhập hoạt động đã điều chỉnh và thu nhập ròng đã điều chỉnh.</w:t>
      </w:r>
    </w:p>
    <w:p>
      <w:pPr>
        <w:numPr>
          <w:ilvl w:val="0"/>
          <w:numId w:val="78"/>
        </w:numPr>
        <w:pStyle w:val="Para 18"/>
        <w:keepLines w:val="on"/>
      </w:pPr>
      <w:r>
        <w:t>Khoản mục chi phí khác (ròng) là một khoản mục lặp lại nhưng biến động thất thường. Chúng ta sẽ lấy bình quân khoản chi phí này khi dự báo thu nhập trong tương lai.</w:t>
      </w:r>
    </w:p>
    <w:p>
      <w:pPr>
        <w:numPr>
          <w:ilvl w:val="0"/>
          <w:numId w:val="78"/>
        </w:numPr>
        <w:pStyle w:val="Para 18"/>
        <w:keepLines w:val="on"/>
      </w:pPr>
      <w:r>
        <w:t>Để đi đến thu nhập ròng đã điều chỉnh, chúng ta cũng sẽ đảo ngược hai điều chỉnh cuối cùng bằng cách trừ đi phần vốn chủ sở hữu trong thu nhập ròng của các công ty con (phản ánh các khoản nắm giữ thiểu số của Xerox tại các công ty khác), và cộng trở lại phần thu nhập thuộc lợi ích cổ đông thiểu số (phản ánh lợi ích thiểu số trong các khoản nắm giữ đa số của Xerox).</w:t>
      </w:r>
    </w:p>
    <w:p>
      <w:pPr>
        <w:pStyle w:val="Para 04"/>
        <w:keepLines w:val="on"/>
      </w:pPr>
      <w:r>
        <w:t>Bảng sau đây điều chỉnh thu nhập ròng trong từng năm theo những thay đổi được đề xuất:</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1999</w:t>
                  </w:r>
                </w:p>
              </w:tc>
              <w:tc>
                <w:tcPr>
                  <w:tcW w:type="auto" w:w="0"/>
                  <w:shd w:val="clear" w:color="auto" w:fill="F0F0F0"/>
                </w:tcPr>
                <w:p>
                  <w:pPr>
                    <w:pStyle w:val="Para 05"/>
                    <w:keepLines w:val="on"/>
                  </w:pPr>
                  <w:r>
                    <w:t>1998</w:t>
                  </w:r>
                </w:p>
              </w:tc>
              <w:tc>
                <w:tcPr>
                  <w:tcW w:type="auto" w:w="0"/>
                  <w:shd w:val="clear" w:color="auto" w:fill="F0F0F0"/>
                </w:tcPr>
                <w:p>
                  <w:pPr>
                    <w:pStyle w:val="Para 05"/>
                    <w:keepLines w:val="on"/>
                  </w:pPr>
                  <w:r>
                    <w:t>1997</w:t>
                  </w:r>
                </w:p>
              </w:tc>
            </w:tr>
            <w:tr>
              <w:tc>
                <w:tcPr>
                  <w:tcW w:type="auto" w:w="0"/>
                  <w:shd w:val="clear" w:color="auto" w:fill="F0F0F0"/>
                </w:tcPr>
                <w:p>
                  <w:pPr>
                    <w:pStyle w:val="Para 02"/>
                    <w:keepLines w:val="on"/>
                  </w:pPr>
                  <w:r>
                    <w:t>Thu nhập ròng từ hoạt động kinh doanh tiếp diễn</w:t>
                  </w:r>
                </w:p>
              </w:tc>
              <w:tc>
                <w:tcPr>
                  <w:tcW w:type="auto" w:w="0"/>
                  <w:shd w:val="clear" w:color="auto" w:fill="F0F0F0"/>
                </w:tcPr>
                <w:p>
                  <w:pPr>
                    <w:pStyle w:val="Normal"/>
                    <w:keepLines w:val="on"/>
                  </w:pPr>
                  <w:r>
                    <w:t>$1,424</w:t>
                  </w:r>
                </w:p>
              </w:tc>
              <w:tc>
                <w:tcPr>
                  <w:tcW w:type="auto" w:w="0"/>
                  <w:shd w:val="clear" w:color="auto" w:fill="F0F0F0"/>
                </w:tcPr>
                <w:p>
                  <w:pPr>
                    <w:pStyle w:val="Normal"/>
                    <w:keepLines w:val="on"/>
                  </w:pPr>
                  <w:r>
                    <w:t>$585</w:t>
                  </w:r>
                </w:p>
              </w:tc>
              <w:tc>
                <w:tcPr>
                  <w:tcW w:type="auto" w:w="0"/>
                  <w:shd w:val="clear" w:color="auto" w:fill="F0F0F0"/>
                </w:tcPr>
                <w:p>
                  <w:pPr>
                    <w:pStyle w:val="Normal"/>
                    <w:keepLines w:val="on"/>
                  </w:pPr>
                  <w:r>
                    <w:t>$1,452</w:t>
                  </w:r>
                </w:p>
              </w:tc>
            </w:tr>
            <w:tr>
              <w:tc>
                <w:tcPr>
                  <w:tcW w:type="auto" w:w="0"/>
                  <w:shd w:val="clear" w:color="auto" w:fill="F0F0F0"/>
                </w:tcPr>
                <w:p>
                  <w:pPr>
                    <w:pStyle w:val="Para 02"/>
                    <w:keepLines w:val="on"/>
                  </w:pPr>
                  <w:r>
                    <w:t>− Phần lợi nhuận ròng từ các công ty liên kết không hợp nhất</w:t>
                  </w:r>
                </w:p>
              </w:tc>
              <w:tc>
                <w:tcPr>
                  <w:tcW w:type="auto" w:w="0"/>
                  <w:shd w:val="clear" w:color="auto" w:fill="F0F0F0"/>
                </w:tcPr>
                <w:p>
                  <w:pPr>
                    <w:pStyle w:val="Normal"/>
                    <w:keepLines w:val="on"/>
                  </w:pPr>
                  <w:r>
                    <w:t>$68</w:t>
                  </w:r>
                </w:p>
              </w:tc>
              <w:tc>
                <w:tcPr>
                  <w:tcW w:type="auto" w:w="0"/>
                  <w:shd w:val="clear" w:color="auto" w:fill="F0F0F0"/>
                </w:tcPr>
                <w:p>
                  <w:pPr>
                    <w:pStyle w:val="Normal"/>
                    <w:keepLines w:val="on"/>
                  </w:pPr>
                  <w:r>
                    <w:t>$74</w:t>
                  </w:r>
                </w:p>
              </w:tc>
              <w:tc>
                <w:tcPr>
                  <w:tcW w:type="auto" w:w="0"/>
                  <w:shd w:val="clear" w:color="auto" w:fill="F0F0F0"/>
                </w:tcPr>
                <w:p>
                  <w:pPr>
                    <w:pStyle w:val="Normal"/>
                    <w:keepLines w:val="on"/>
                  </w:pPr>
                  <w:r>
                    <w:t>$127</w:t>
                  </w:r>
                </w:p>
              </w:tc>
            </w:tr>
            <w:tr>
              <w:tc>
                <w:tcPr>
                  <w:tcW w:type="auto" w:w="0"/>
                  <w:shd w:val="clear" w:color="auto" w:fill="F0F0F0"/>
                </w:tcPr>
                <w:p>
                  <w:pPr>
                    <w:pStyle w:val="Para 02"/>
                    <w:keepLines w:val="on"/>
                  </w:pPr>
                  <w:r>
                    <w:t>+ Lợi ích cổ đông thiểu số trong thu nhập của các công ty con</w:t>
                  </w:r>
                </w:p>
              </w:tc>
              <w:tc>
                <w:tcPr>
                  <w:tcW w:type="auto" w:w="0"/>
                  <w:shd w:val="clear" w:color="auto" w:fill="F0F0F0"/>
                </w:tcPr>
                <w:p>
                  <w:pPr>
                    <w:pStyle w:val="Normal"/>
                    <w:keepLines w:val="on"/>
                  </w:pPr>
                  <w:r>
                    <w:t>$49</w:t>
                  </w:r>
                </w:p>
              </w:tc>
              <w:tc>
                <w:tcPr>
                  <w:tcW w:type="auto" w:w="0"/>
                  <w:shd w:val="clear" w:color="auto" w:fill="F0F0F0"/>
                </w:tcPr>
                <w:p>
                  <w:pPr>
                    <w:pStyle w:val="Normal"/>
                    <w:keepLines w:val="on"/>
                  </w:pPr>
                  <w:r>
                    <w:t>$45</w:t>
                  </w:r>
                </w:p>
              </w:tc>
              <w:tc>
                <w:tcPr>
                  <w:tcW w:type="auto" w:w="0"/>
                  <w:shd w:val="clear" w:color="auto" w:fill="F0F0F0"/>
                </w:tcPr>
                <w:p>
                  <w:pPr>
                    <w:pStyle w:val="Normal"/>
                    <w:keepLines w:val="on"/>
                  </w:pPr>
                  <w:r>
                    <w:t>$88</w:t>
                  </w:r>
                </w:p>
              </w:tc>
            </w:tr>
            <w:tr>
              <w:tc>
                <w:tcPr>
                  <w:tcW w:type="auto" w:w="0"/>
                  <w:shd w:val="clear" w:color="auto" w:fill="F0F0F0"/>
                </w:tcPr>
                <w:p>
                  <w:pPr>
                    <w:pStyle w:val="Para 02"/>
                    <w:keepLines w:val="on"/>
                  </w:pPr>
                  <w:r>
                    <w:t>+ Chi phí tái cơ cấu (1 − Thuế suất)</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$1,116</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 Chi phí hàng tồn kho (1 − Thuế suất)</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$82</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 Khác, ròng (1 − Thuế suất)</w:t>
                  </w:r>
                </w:p>
              </w:tc>
              <w:tc>
                <w:tcPr>
                  <w:tcW w:type="auto" w:w="0"/>
                  <w:shd w:val="clear" w:color="auto" w:fill="F0F0F0"/>
                </w:tcPr>
                <w:p>
                  <w:pPr>
                    <w:pStyle w:val="Normal"/>
                    <w:keepLines w:val="on"/>
                  </w:pPr>
                  <w:r>
                    <w:t>$205</w:t>
                  </w:r>
                </w:p>
              </w:tc>
              <w:tc>
                <w:tcPr>
                  <w:tcW w:type="auto" w:w="0"/>
                  <w:shd w:val="clear" w:color="auto" w:fill="F0F0F0"/>
                </w:tcPr>
                <w:p>
                  <w:pPr>
                    <w:pStyle w:val="Normal"/>
                    <w:keepLines w:val="on"/>
                  </w:pPr>
                  <w:r>
                    <w:t>$176</w:t>
                  </w:r>
                </w:p>
              </w:tc>
              <w:tc>
                <w:tcPr>
                  <w:tcW w:type="auto" w:w="0"/>
                  <w:shd w:val="clear" w:color="auto" w:fill="F0F0F0"/>
                </w:tcPr>
                <w:p>
                  <w:pPr>
                    <w:pStyle w:val="Normal"/>
                    <w:keepLines w:val="on"/>
                  </w:pPr>
                  <w:r>
                    <w:t>$65</w:t>
                  </w:r>
                </w:p>
              </w:tc>
            </w:tr>
            <w:tr>
              <w:tc>
                <w:tcPr>
                  <w:tcW w:type="auto" w:w="0"/>
                  <w:shd w:val="clear" w:color="auto" w:fill="F0F0F0"/>
                </w:tcPr>
                <w:p>
                  <w:pPr>
                    <w:pStyle w:val="Para 02"/>
                    <w:keepLines w:val="on"/>
                  </w:pPr>
                  <w:r>
                    <w:t>− Chi phí khác đã chuẩn hóa, ròng (1 − Thuế suất)</w:t>
                  </w:r>
                </w:p>
              </w:tc>
              <w:tc>
                <w:tcPr>
                  <w:tcW w:type="auto" w:w="0"/>
                  <w:shd w:val="clear" w:color="auto" w:fill="F0F0F0"/>
                </w:tcPr>
                <w:p>
                  <w:pPr>
                    <w:pStyle w:val="Normal"/>
                    <w:keepLines w:val="on"/>
                  </w:pPr>
                  <w:r>
                    <w:t>$147</w:t>
                  </w:r>
                </w:p>
              </w:tc>
              <w:tc>
                <w:tcPr>
                  <w:tcW w:type="auto" w:w="0"/>
                  <w:shd w:val="clear" w:color="auto" w:fill="F0F0F0"/>
                </w:tcPr>
                <w:p>
                  <w:pPr>
                    <w:pStyle w:val="Normal"/>
                    <w:keepLines w:val="on"/>
                  </w:pPr>
                  <w:r>
                    <w:t>$155</w:t>
                  </w:r>
                </w:p>
              </w:tc>
              <w:tc>
                <w:tcPr>
                  <w:tcW w:type="auto" w:w="0"/>
                  <w:shd w:val="clear" w:color="auto" w:fill="F0F0F0"/>
                </w:tcPr>
                <w:p>
                  <w:pPr>
                    <w:pStyle w:val="Normal"/>
                    <w:keepLines w:val="on"/>
                  </w:pPr>
                  <w:r>
                    <w:t>$140</w:t>
                  </w:r>
                </w:p>
              </w:tc>
            </w:tr>
            <w:tr>
              <w:tc>
                <w:tcPr>
                  <w:tcW w:type="auto" w:w="0"/>
                  <w:shd w:val="clear" w:color="auto" w:fill="F0F0F0"/>
                </w:tcPr>
                <w:p>
                  <w:pPr>
                    <w:pStyle w:val="Para 02"/>
                    <w:keepLines w:val="on"/>
                  </w:pPr>
                  <w:r>
                    <w:t>Thu nhập ròng đã điều chỉnh</w:t>
                  </w:r>
                </w:p>
              </w:tc>
              <w:tc>
                <w:tcPr>
                  <w:tcW w:type="auto" w:w="0"/>
                  <w:shd w:val="clear" w:color="auto" w:fill="F0F0F0"/>
                </w:tcPr>
                <w:p>
                  <w:pPr>
                    <w:pStyle w:val="Normal"/>
                    <w:keepLines w:val="on"/>
                  </w:pPr>
                  <w:r>
                    <w:t>$1,463</w:t>
                  </w:r>
                </w:p>
              </w:tc>
              <w:tc>
                <w:tcPr>
                  <w:tcW w:type="auto" w:w="0"/>
                  <w:shd w:val="clear" w:color="auto" w:fill="F0F0F0"/>
                </w:tcPr>
                <w:p>
                  <w:pPr>
                    <w:pStyle w:val="Normal"/>
                    <w:keepLines w:val="on"/>
                  </w:pPr>
                  <w:r>
                    <w:t>$1,776</w:t>
                  </w:r>
                </w:p>
              </w:tc>
              <w:tc>
                <w:tcPr>
                  <w:tcW w:type="auto" w:w="0"/>
                  <w:shd w:val="clear" w:color="auto" w:fill="F0F0F0"/>
                </w:tcPr>
                <w:p>
                  <w:pPr>
                    <w:pStyle w:val="Normal"/>
                    <w:keepLines w:val="on"/>
                  </w:pPr>
                  <w:r>
                    <w:t>$1,338</w:t>
                  </w:r>
                </w:p>
              </w:tc>
            </w:tr>
          </w:tbl>
          <w:p/>
        </w:tc>
      </w:tr>
    </w:tbl>
    <w:p>
      <w:pPr>
        <w:pStyle w:val="Para 04"/>
        <w:keepLines w:val="on"/>
      </w:pPr>
      <w:r>
        <w:t>Chi phí tái cấu trúc và chi phí hàng tồn kho được khấu trừ thuế, và phần sau thuế đã được cộng lại; thuế suất được tính dựa trên số thuế đã nộp và thu nhập chịu thuế của năm đó.</w:t>
      </w:r>
    </w:p>
    <w:p>
      <w:bookmarkStart w:id="1681" w:name="Tax_rate_in_1998_Taxes_paid_Taxa"/>
      <w:pPr>
        <w:keepNext/>
        <w:pStyle w:val="Para 07"/>
        <w:keepLines w:val="on"/>
      </w:pPr>
      <w:r>
        <w:t>Thuế suất năm 1998 = Thuế đã nộp / Thu nhập chịu thuế - 207/763 - 27,13%</w:t>
      </w:r>
      <w:bookmarkEnd w:id="1681"/>
    </w:p>
    <w:p>
      <w:pPr>
        <w:pStyle w:val="Para 04"/>
        <w:keepLines w:val="on"/>
      </w:pPr>
      <w:r>
        <w:t>Chúng ta cũng cộng lại phần sau thuế của các chi phí khác (ròng) và trừ đi chi phí trung bình hàng năm trong ba năm:</w:t>
      </w:r>
    </w:p>
    <w:p>
      <w:bookmarkStart w:id="1682" w:name="Average_annual_other_expenses__2"/>
      <w:pPr>
        <w:keepNext/>
        <w:pStyle w:val="Para 07"/>
        <w:keepLines w:val="on"/>
      </w:pPr>
      <w:r>
        <w:t>Chi phí khác trung bình hàng năm = (297+242+98)/3 = $212 triệu</w:t>
      </w:r>
      <w:bookmarkEnd w:id="1682"/>
    </w:p>
    <w:p>
      <w:pPr>
        <w:pStyle w:val="Para 04"/>
        <w:keepLines w:val="on"/>
      </w:pPr>
      <w:r>
        <w:t>Các điều chỉnh tương tự cũng cần được thực hiện đối với thu nhập hoạt động. Xerox bù trừ chi phí lãi vay với thu nhập lãi từ công ty con về vốn để báo cáo thu nhập tài chính. Bạn sẽ cần tách chi phí lãi vay ra khỏi thu nhập lãi để ước tính thu nhập hoạt động của công ty.</w:t>
      </w:r>
    </w:p>
    <w:p>
      <w:pPr>
        <w:pStyle w:val="Para 04"/>
        <w:keepLines w:val="on"/>
      </w:pPr>
      <w:r>
        <w:t>Còn những vấn đề khác là gì? Hàng loạt các khoản chi phí một lần cho thấy có thể đang tồn tại những vấn đề vận hành thường xuyên tại Xerox, có thể gây ra các khoản chi phí trong tương lai. Thực tế, không có gì đáng ngạc nhiên khi Xerox phải trì hoãn việc nộp báo cáo 10-K cho năm 2000 vì các vấn đề kế toán.</w:t>
      </w:r>
    </w:p>
    <w:p>
      <w:pPr>
        <w:pStyle w:val="Para 20"/>
      </w:pPr>
      <w:r>
        <w:rPr>
          <w:rStyle w:val="Text26"/>
        </w:rPr>
        <w:bookmarkStart w:id="1683" w:name="Page_264"/>
        <w:t/>
        <w:bookmarkEnd w:id="1683"/>
      </w:r>
      <w:r>
        <w:t xml:space="preserve"> </w:t>
      </w:r>
    </w:p>
    <w:p>
      <w:bookmarkStart w:id="1684" w:name="Time_Variations_in_Earnings"/>
      <w:bookmarkStart w:id="1685" w:name="Time_Variations_in_Earnings__If"/>
      <w:pPr>
        <w:keepNext/>
        <w:pStyle w:val="Heading 3"/>
        <w:keepLines w:val="on"/>
      </w:pPr>
      <w:r>
        <w:t>Sự Biến Động Của Thu Nhập Theo Thời Gian</w:t>
      </w:r>
      <w:bookmarkEnd w:id="1684"/>
      <w:bookmarkEnd w:id="1685"/>
    </w:p>
    <w:p>
      <w:pPr>
        <w:pStyle w:val="Para 03"/>
      </w:pPr>
      <w:r>
        <w:t>Nếu bạn đã làm theo những lời khuyên trong chương này và đã cập nhật thu nhập của mình để phản ánh các báo cáo mới nhất, điều chỉnh những khoản thu nhập đó cho những điểm không nhất quán và làm sạch các khoản mục kế toán bất thường, bạn có thể bị cám dỗ lấy những khoản thu nhập đó làm cơ sở để đánh giá sức mạnh thu nhập của một công ty. Có một cân nhắc cuối cùng và quan trọng cần được xem xét khi đánh giá sức mạnh thu nhập. Thu nhập của một công ty có thể và sẽ biến động theo thời gian, vì vô số lý do, một số thuộc về chính công ty và khoản đầu tư của nó, số khác mang tính kinh tế vĩ mô hoặc toàn ngành. Trong phần này, chúng ta sẽ bắt đầu bằng việc đánh giá các lý do dẫn đến sự biến động của thu nhập, và tại sao một số công ty sẽ có thu nhập biến động hơn những công ty khác, trước khi xem xét cách xử lý sự biến động đó khi định giá một công ty.</w:t>
      </w:r>
    </w:p>
    <w:p>
      <w:bookmarkStart w:id="1686" w:name="Earnings_Volatility"/>
      <w:bookmarkStart w:id="1687" w:name="Earnings_Volatility__There_are_m"/>
      <w:pPr>
        <w:keepNext/>
        <w:pStyle w:val="Heading 4"/>
        <w:keepLines w:val="on"/>
      </w:pPr>
      <w:r>
        <w:t>Sự Biến Động Của Thu Nhập</w:t>
      </w:r>
      <w:bookmarkEnd w:id="1686"/>
      <w:bookmarkEnd w:id="1687"/>
    </w:p>
    <w:p>
      <w:pPr>
        <w:pStyle w:val="Para 03"/>
      </w:pPr>
      <w:r>
        <w:t>Có nhiều lý do dẫn đến sự biến động của thu nhập, và chúng ta sẽ liệt kê một vài lý do trong phần này:</w:t>
      </w:r>
    </w:p>
    <w:p>
      <w:pPr>
        <w:numPr>
          <w:ilvl w:val="0"/>
          <w:numId w:val="79"/>
        </w:numPr>
        <w:pStyle w:val="Para 01"/>
      </w:pPr>
      <w:r>
        <w:t>Giai đoạn trong vòng đời doanh nghiệp: Các công ty non trẻ sẽ có thu nhập biến động hơn các công ty trưởng thành hơn, vì chúng đang vật lộn với việc mở rộng quy mô và chuyển đổi mô hình kinh doanh. Thường thì những khoản thu nhập này có thể âm, khi các công ty bắt đầu xây dựng chính mình, và ngay cả sau khi chuyển sang dương, chúng vẫn sẽ lên xuống, khi chúng dần ổn định vào những mô hình kinh doanh đã được thiết lập hơn.</w:t>
      </w:r>
    </w:p>
    <w:p>
      <w:pPr>
        <w:numPr>
          <w:ilvl w:val="0"/>
          <w:numId w:val="79"/>
        </w:numPr>
        <w:pStyle w:val="Para 01"/>
      </w:pPr>
      <w:r>
        <w:t>Loại sản phẩm hoặc dịch vụ: Một công ty cung cấp sản phẩm hoặc dịch vụ có thể được xếp vào loại tùy ý, tức là khách hàng của họ có thể trì hoãn hoặc hoãn việc mua nó, sẽ có thu nhập biến động hơn một công ty có sản phẩm hoặc dịch vụ mà khách hàng cần. Do đó, một cửa hàng tạp hóa hay công ty điện lực nói chung sẽ có thu nhập ổn định hơn một nhà bán lẻ cao cấp hay một công ty phần mềm.</w:t>
      </w:r>
    </w:p>
    <w:p>
      <w:pPr>
        <w:numPr>
          <w:ilvl w:val="0"/>
          <w:numId w:val="79"/>
        </w:numPr>
        <w:pStyle w:val="Para 01"/>
      </w:pPr>
      <w:r>
        <w:t>Cơ cấu chi phí: Thu nhập thể hiện những gì một công ty còn lại sau khi trang trải các chi phí của mình. Nếu phần lớn chi phí hoạt động của một công ty là cố định, tức là công ty có đòn bẩy hoạt động cao, thì thu nhập hoạt động của nó sẽ biến động hơn, phản ứng đáng kể với những thay đổi nhỏ trong doanh thu. Nếu bạn cộng thêm chi phí lãi vay, bằng cách vay tiền, thì thu nhập của cổ đông sẽ trở nên biến động hơn theo thời gian.</w:t>
      </w:r>
    </w:p>
    <w:p>
      <w:pPr>
        <w:numPr>
          <w:ilvl w:val="0"/>
          <w:numId w:val="79"/>
        </w:numPr>
        <w:pStyle w:val="Para 01"/>
      </w:pPr>
      <w:r>
        <w:t>Các yếu tố kinh tế vĩ mô: Trong khi việc trở thành doanh nghiệp trưởng thành có thể mang lại sự ổn định thu nhập cho một số công ty, có những công ty khác sẽ tiếp tục đối mặt với sự biến động thu nhập, ngay cả sau khi đã trưởng thành, vì chúng chịu ảnh hưởng của những dao động về giá hàng hóa hoặc nền kinh tế. Exxon Mobil là một công ty dầu khí trưởng thành, nhưng lịch sử thu nhập của nó phản ánh những tác động của các đợt dao động giá dầu theo thời gian.</w:t>
      </w:r>
    </w:p>
    <w:p>
      <w:pPr>
        <w:numPr>
          <w:ilvl w:val="0"/>
          <w:numId w:val="79"/>
        </w:numPr>
        <w:pStyle w:val="Para 01"/>
      </w:pPr>
      <w:r>
        <w:t>Rủi ro quốc gia: Trong Chương 8, chúng ta đã xem xét rủi ro quốc gia, với mục đích điều chỉnh chi phí vốn cổ phần và chi phí vốn cho rủi ro đó, và lưu ý rằng có thể có sự khác biệt lớn về rủi ro giữa các quốc gia, do các yếu tố kinh tế và chính trị chi phối. Một công ty hoạt động ở một quốc gia rủi ro nói chung sẽ có thu nhập biến động hơn một công ty tương tự về mọi mặt nhưng hoạt động ở một thị trường trưởng thành, với mức biến động cao hơn đó đến từ cả biến động tiền tệ (vốn theo sát rủi ro quốc gia) và sự biến động kinh tế trong quốc gia đó.</w:t>
      </w:r>
    </w:p>
    <w:p>
      <w:pPr>
        <w:pStyle w:val="Para 03"/>
      </w:pPr>
      <w:r>
        <w:t>Một cách để có được góc nhìn về sự khác biệt trong tính biến động của thu nhập là ước tính phương sai của thu nhập theo thời gian, và so sánh chúng giữa các ngành và các quốc gia.</w:t>
      </w:r>
    </w:p>
    <w:p>
      <w:pPr>
        <w:pStyle w:val="Para 20"/>
      </w:pPr>
      <w:r>
        <w:rPr>
          <w:rStyle w:val="Text26"/>
        </w:rPr>
        <w:bookmarkStart w:id="1688" w:name="Page_265"/>
        <w:t/>
        <w:bookmarkEnd w:id="1688"/>
      </w:r>
      <w:r>
        <w:t xml:space="preserve"> </w:t>
      </w:r>
    </w:p>
    <w:p>
      <w:bookmarkStart w:id="1689" w:name="Dealing_with_Earnings_Volatility"/>
      <w:bookmarkStart w:id="1690" w:name="Dealing_with_Earnings_Volatility_1"/>
      <w:pPr>
        <w:keepNext/>
        <w:pStyle w:val="Heading 4"/>
        <w:keepLines w:val="on"/>
      </w:pPr>
      <w:r>
        <w:t>Xử lý biến động thu nhập</w:t>
      </w:r>
      <w:bookmarkEnd w:id="1689"/>
      <w:bookmarkEnd w:id="1690"/>
    </w:p>
    <w:p>
      <w:pPr>
        <w:pStyle w:val="Para 03"/>
      </w:pPr>
      <w:r>
        <w:t>Nếu thu nhập biến động mạnh, việc dùng thu nhập của năm gần nhất làm thước đo sức mạnh thu nhập của một công ty có thể gây hiểu nhầm. Vì vậy, nếu giá dầu cao trong giai đoạn gần nhất, việc định giá một công ty dầu khí dựa trên thu nhập của giai đoạn gần nhất sẽ khiến định giá của bạn bị đẩy lên cao hơn thực tế, và điều ngược lại sẽ xảy ra nếu giá dầu thấp. Dù chúng ta sẽ quay lại xem xét cách xử lý tốt nhất sự biến động này theo thời gian trong các chương sau, có một cách khắc phục rõ ràng và ít tốn công: nhìn vào thu nhập qua thời gian, thay vì chỉ nhìn năm gần nhất. Với một công ty dầu khí hoặc công ty mang tính chu kỳ, điều này có nghĩa là xem xét thu nhập qua một chu kỳ (hàng hóa hoặc kinh tế) và dùng góc nhìn chuỗi thời gian đó khi đánh giá sức mạnh thu nhập. Trên thực tế, điều này thường liên quan đến việc ước tính thu nhập bình quân qua thời gian, với các biến thể sau:</w:t>
      </w:r>
    </w:p>
    <w:p>
      <w:pPr>
        <w:numPr>
          <w:ilvl w:val="0"/>
          <w:numId w:val="80"/>
        </w:numPr>
        <w:pStyle w:val="Para 01"/>
      </w:pPr>
      <w:r>
        <w:t>Thu nhập bình quân tuyệt đối: Cách khắc phục đơn giản nhất cho thu nhập biến động là nhìn vào thu nhập bình quân qua thời gian, đối với thu nhập hoạt động, thu nhập ròng, hoặc thậm chí thu nhập trên mỗi cổ phần. Vấn đề với cách tiếp cận này là nó sẽ đánh giá thấp thu nhập thực sự trong suốt vòng đời, nếu công ty đang mở rộng quy mô (tăng trưởng) theo thời gian, và/hoặc có lạm phát.</w:t>
      </w:r>
    </w:p>
    <w:p>
      <w:pPr>
        <w:numPr>
          <w:ilvl w:val="0"/>
          <w:numId w:val="80"/>
        </w:numPr>
        <w:pStyle w:val="Para 01"/>
      </w:pPr>
      <w:r>
        <w:t>Thu nhập bình quân đã chuẩn hóa theo quy mô: Khả năng thứ hai là chuẩn hóa thu nhập theo doanh thu hoặc một chỉ số hoạt động nào đó, với doanh thu sẽ cho ra biên lợi nhuận. Như vậy, biên lợi nhuận hoạt động bình quân qua một chu kỳ mà một công ty đạt được có thể được áp dụng cho doanh thu của giai đoạn gần nhất để có được thước đo thu nhập đã được "chuẩn hóa".</w:t>
      </w:r>
    </w:p>
    <w:p>
      <w:pPr>
        <w:numPr>
          <w:ilvl w:val="0"/>
          <w:numId w:val="80"/>
        </w:numPr>
        <w:pStyle w:val="Para 01"/>
      </w:pPr>
      <w:r>
        <w:t>Thu nhập bình quân ngành: Có những trường hợp một công ty hoặc không có lịch sử đủ dài, hoặc lịch sử của nó quá biến động, khiến bạn không thể ước tính thu nhập đã chuẩn hóa. Trong những trường hợp này, bạn có thể nhìn vào lịch sử thu nhập của các công ty trong cùng lĩnh vực mà công ty đó thuộc về, với hy vọng rằng các con số của công ty bạn sẽ hội tụ về mức bình quân đó.</w:t>
      </w:r>
    </w:p>
    <w:p>
      <w:pPr>
        <w:pStyle w:val="Para 03"/>
      </w:pPr>
      <w:r>
        <w:t>Tuy nhiên, khi bạn làm việc với bất kỳ biến thể nào trong số này, cần nhớ rằng mục tiêu của bạn là đưa ra một ước tính về thu nhập cho công ty mình để dùng làm nền tảng cho việc dự báo thu nhập tương lai của nó.</w:t>
      </w:r>
    </w:p>
    <w:p>
      <w:pPr>
        <w:pStyle w:val="Para 11"/>
      </w:pPr>
      <w:r>
        <w:t/>
        <w:t xml:space="preserve"> </w:t>
      </w:r>
    </w:p>
    <w:p>
      <w:bookmarkStart w:id="1691" w:name="Warning_Signs_in_Earnings_Report"/>
      <w:bookmarkStart w:id="1692" w:name="Warning_Signs_in_Earnings_Report_1"/>
      <w:pPr>
        <w:keepNext/>
        <w:pStyle w:val="Para 27"/>
        <w:keepLines w:val="on"/>
      </w:pPr>
      <w:r>
        <w:t>Dấu hiệu cảnh báo trong báo cáo thu nhập</w:t>
      </w:r>
      <w:bookmarkEnd w:id="1691"/>
      <w:bookmarkEnd w:id="1692"/>
    </w:p>
    <w:p>
      <w:pPr>
        <w:pStyle w:val="Para 16"/>
        <w:keepLines w:val="on"/>
      </w:pPr>
      <w:r>
        <w:t>Điều đáng lo ngại nhất về các báo cáo thu nhập là chúng ta thường bị bất ngờ không phải bởi những khoản mục được báo cáo (như các khoản phí bất thường) mà bởi những khoản mục bị ẩn trong các hạng mục khác. Chúng tôi đề xuất danh sách kiểm tra sau đây cần được xem xét đối với bất kỳ báo cáo thu nhập nào để đánh giá khả năng xảy ra những cú sốc như vậy:</w:t>
      </w:r>
    </w:p>
    <w:p>
      <w:pPr>
        <w:numPr>
          <w:ilvl w:val="0"/>
          <w:numId w:val="81"/>
        </w:numPr>
        <w:pStyle w:val="Para 33"/>
        <w:keepLines w:val="on"/>
      </w:pPr>
      <w:r>
        <w:t>Tăng trưởng thu nhập có vượt xa tăng trưởng doanh thu với mức độ lớn năm này qua năm khác không? Điều này có thể là dấu hiệu của hiệu quả gia tăng, nhưng khi mức chênh lệch lớn và tiếp diễn năm này qua năm khác, bạn nên tự hỏi về nguồn gốc của những hiệu quả đó.</w:t>
      </w:r>
    </w:p>
    <w:p>
      <w:pPr>
        <w:numPr>
          <w:ilvl w:val="0"/>
          <w:numId w:val="81"/>
        </w:numPr>
        <w:pStyle w:val="Para 33"/>
        <w:keepLines w:val="on"/>
      </w:pPr>
      <w:r>
        <w:t>Các khoản phí một lần hoặc phi hoạt động đối với thu nhập có xuất hiện thường xuyên không? Bản thân khoản phí có thể được phân loại khác nhau mỗi năm—một khoản phí hàng tồn kho năm này, một khoản phí tái cấu trúc năm sau, v.v. Dù đây có thể chỉ là do kém may mắn, nó cũng có thể phản ánh nỗ lực có chủ đích của công ty nhằm chuyển các chi phí hoạt động thường xuyên vào những khoản mục phi hoạt động này.</w:t>
      </w:r>
    </w:p>
    <w:p>
      <w:pPr>
        <w:numPr>
          <w:ilvl w:val="0"/>
          <w:numId w:val="81"/>
        </w:numPr>
        <w:pStyle w:val="Para 33"/>
        <w:keepLines w:val="on"/>
      </w:pPr>
      <w:r>
        <w:t>Có khoản chi phí hoạt động nào, tính theo phần trăm doanh thu, dao động mạnh mẽ từ năm này sang năm khác không? Điều này có thể gợi ý rằng khoản mục chi phí này (ví dụ chi phí bán hàng và quản lý - SG&amp;A) bao gồm các chi phí phi hoạt động mà thực ra nên được tách ra và báo cáo riêng.</w:t>
      </w:r>
    </w:p>
    <w:p>
      <w:pPr>
        <w:numPr>
          <w:ilvl w:val="0"/>
          <w:numId w:val="81"/>
        </w:numPr>
        <w:pStyle w:val="Para 33"/>
        <w:keepLines w:val="on"/>
      </w:pPr>
      <w:r>
        <w:t>Công ty có xoay xở vượt qua ước tính của các nhà phân tích quý này qua quý khác chỉ với một hoặc hai xu không? Không phải công ty nào cũng là Microsoft. Những công ty vượt ước tính năm này qua năm khác có thể đang thực hiện quản trị thu nhập và dịch chuyển thu nhập giữa các giai đoạn. Khi mức tăng trưởng chững lại, thủ thuật này có thể khiến họ phải trả giá.</w:t>
      </w:r>
    </w:p>
    <w:p>
      <w:pPr>
        <w:numPr>
          <w:ilvl w:val="0"/>
          <w:numId w:val="81"/>
        </w:numPr>
        <w:pStyle w:val="Para 33"/>
        <w:keepLines w:val="on"/>
      </w:pPr>
      <w:r>
        <w:t>Có một tỷ lệ đáng kể doanh thu đến từ các công ty con hoặc các khoản nắm giữ liên quan không? Dù doanh số có thể hợp pháp, mức giá được đặt ra có thể cho phép công ty dịch chuyển thu nhập từ đơn vị này sang đơn vị khác và đưa ra cái nhìn gây hiểu nhầm về thu nhập thực sự của công ty.</w:t>
      </w:r>
    </w:p>
    <w:p>
      <w:pPr>
        <w:numPr>
          <w:ilvl w:val="0"/>
          <w:numId w:val="81"/>
        </w:numPr>
        <w:pStyle w:val="Para 33"/>
        <w:keepLines w:val="on"/>
      </w:pPr>
      <w:r>
        <w:t>Các quy tắc kế toán để định giá hàng tồn kho hoặc khấu hao có bị thay đổi thường xuyên không?</w:t>
      </w:r>
    </w:p>
    <w:p>
      <w:pPr>
        <w:numPr>
          <w:ilvl w:val="0"/>
          <w:numId w:val="81"/>
        </w:numPr>
        <w:pStyle w:val="Para 33"/>
        <w:keepLines w:val="on"/>
      </w:pPr>
      <w:r>
        <w:t>Các thương vụ mua lại có được theo sau bởi những mức tăng thu nhập thần kỳ không? Rất khó để thành công với chiến lược mua lại trong dài hạn. Một công ty tuyên bố thành công tức thì từ chiến lược như vậy cần được soi xét kỹ lưỡng.</w:t>
      </w:r>
    </w:p>
    <w:p>
      <w:pPr>
        <w:numPr>
          <w:ilvl w:val="0"/>
          <w:numId w:val="81"/>
        </w:numPr>
        <w:pStyle w:val="Para 33"/>
        <w:keepLines w:val="on"/>
      </w:pPr>
      <w:r>
        <w:t>Vốn lưu động có đang phình to ra khi doanh thu và thu nhập tăng vọt không? Điều này đôi khi có thể giúp chúng ta chỉ ra những công ty tạo ra doanh thu bằng cách bán chịu, thường với những điều khoản rất hào phóng.</w:t>
      </w:r>
    </w:p>
    <w:p>
      <w:pPr>
        <w:pStyle w:val="Para 16"/>
        <w:keepLines w:val="on"/>
      </w:pPr>
      <w:r>
        <w:t>Không có yếu tố nào trong số này, tự thân, cho thấy rằng chúng ta không tin tưởng vào thu nhập của những công ty này, nhưng sự kết hợp của các yếu tố có thể được xem như một tín hiệu cảnh báo rằng báo cáo thu nhập cần được soi xét kỹ càng hơn.</w:t>
      </w:r>
    </w:p>
    <w:p>
      <w:bookmarkStart w:id="1694" w:name="Conclusion__Financial_statements_1"/>
      <w:bookmarkStart w:id="1695" w:name="Conclusion_8"/>
      <w:pPr>
        <w:keepNext/>
        <w:pStyle w:val="Heading 2"/>
        <w:keepLines w:val="on"/>
      </w:pPr>
      <w:r>
        <w:t>Kết luận</w:t>
      </w:r>
      <w:bookmarkEnd w:id="1694"/>
      <w:bookmarkEnd w:id="1695"/>
    </w:p>
    <w:p>
      <w:pPr>
        <w:pStyle w:val="Para 03"/>
      </w:pPr>
      <w:r>
        <w:t>Báo cáo tài chính vẫn là nguồn thông tin chính cho hầu hết các nhà đầu tư và nhà phân tích. Tuy nhiên, có sự khác biệt trong cách các nhà kế toán và nhà phân tích tài chính tiếp cận để trả lời một số câu hỏi then chốt về công ty.</w:t>
      </w:r>
    </w:p>
    <w:p>
      <w:pPr>
        <w:pStyle w:val="Para 03"/>
      </w:pPr>
      <w:r>
        <w:t>Chương này bắt đầu phân tích thu nhập của chúng ta bằng cách xem xét việc phân loại kế toán các chi phí thành chi phí hoạt động, chi phí tài chính và chi phí vốn. Trong khi chi phí hoạt động và chi phí tài chính được thể hiện trong báo cáo thu nhập, chi tiêu vốn được trải đều qua nhiều giai đoạn và mang hình thức khấu hao và phân bổ. Các chuẩn mực kế toán từng phân loại sai thuê hoạt động và vẫn tiếp tục phân loại sai chi phí nghiên cứu và phát triển như chi phí hoạt động (trong khi loại trước nên được phân loại là chi phí tài chính và loại sau là chi phí vốn). Chúng tôi đề xuất các cách để điều chỉnh thu nhập nhằm đo lường tốt hơn tác động của những khoản mục này.</w:t>
      </w:r>
    </w:p>
    <w:p>
      <w:pPr>
        <w:pStyle w:val="Para 03"/>
      </w:pPr>
      <w:r>
        <w:t>Trong phần thứ hai của chương, chúng ta xem xét tác động của các khoản mục một lần, không thường xuyên và bất thường đối với thu nhập cũng như thông tin trong thu nhập lịch sử. Dù nguyên tắc cơ bản là thu nhập chỉ nên bao gồm các chi phí thông thường, điều này bị thử thách bởi những nỗ lực từ phía các công ty nhằm chuyển các chi phí hoạt động thông thường vào cột không thường xuyên và chuyển thu nhập phi hoạt động vào thu nhập hoạt động. Khi thu nhập biến động, việc nhìn vào thu nhập bình quân hoặc biên lợi nhuận qua thời gian có thể cung cấp nền tảng định giá tốt hơn nhiều so với chỉ dùng con số của năm gần nhất.</w:t>
      </w:r>
    </w:p>
    <w:p>
      <w:bookmarkStart w:id="1697" w:name="Questions_and_Short_Problems__In_5"/>
      <w:bookmarkStart w:id="1698" w:name="Questions_and_Short_Problems_10"/>
      <w:pPr>
        <w:keepNext/>
        <w:pStyle w:val="Heading 2"/>
        <w:keepLines w:val="on"/>
      </w:pPr>
      <w:r>
        <w:t>Câu hỏi và bài tập ngắn</w:t>
      </w:r>
      <w:bookmarkEnd w:id="1697"/>
      <w:bookmarkEnd w:id="1698"/>
    </w:p>
    <w:p>
      <w:pPr>
        <w:pStyle w:val="Para 44"/>
      </w:pPr>
      <w:r>
        <w:t>Trong các bài tập sau đây, hãy sử dụng phần bù rủi ro vốn cổ phần là 5,5 phần trăm nếu không có quy định nào khác.</w:t>
      </w:r>
    </w:p>
    <w:p>
      <w:pPr>
        <w:numPr>
          <w:ilvl w:val="0"/>
          <w:numId w:val="82"/>
        </w:numPr>
        <w:pStyle w:val="Para 01"/>
      </w:pPr>
      <w:r>
        <w:t>Derra Foods là một nhà bán lẻ thực phẩm đặc sản. Trong bảng cân đối kế toán của mình, công ty báo cáo 1 tỷ đô la giá trị sổ sách của vốn cổ phần và không có nợ, nhưng công ty có thuê hoạt động đối với tất cả các cửa hàng của mình. Trong năm gần nhất, công ty đã thực hiện 85 triệu đô la thanh toán thuê hoạt động, và các cam kết thanh toán thuê của công ty cho năm năm tiếp theo và xa hơn là:</w:t>
      </w:r>
    </w:p>
    <w:tbl>
      <w:tblPr>
        <w:tblW w:type="auto" w:w="0"/>
      </w:tblPr>
      <w:tr>
        <w:tc>
          <w:tcPr>
            <w:tcW w:type="auto" w:w="0"/>
          </w:tcPr>
          <w:tbl>
            <w:tblPr>
              <w:tblW w:type="auto" w:w="0"/>
            </w:tblPr>
            <w:tr>
              <w:tc>
                <w:tcPr>
                  <w:tcW w:type="auto" w:w="0"/>
                  <w:shd w:val="clear" w:color="auto" w:fill="F0F0F0"/>
                </w:tcPr>
                <w:p>
                  <w:pPr>
                    <w:pStyle w:val="Para 17"/>
                    <w:keepLines w:val="on"/>
                  </w:pPr>
                  <w:r>
                    <w:t>Năm</w:t>
                  </w:r>
                </w:p>
              </w:tc>
              <w:tc>
                <w:tcPr>
                  <w:tcW w:type="auto" w:w="0"/>
                  <w:shd w:val="clear" w:color="auto" w:fill="F0F0F0"/>
                </w:tcPr>
                <w:p>
                  <w:pPr>
                    <w:pStyle w:val="Para 17"/>
                    <w:keepLines w:val="on"/>
                  </w:pPr>
                  <w:r>
                    <w:t>Chi phí thuê hoạt động</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90 triệu đô la</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90 triệu đô la</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85 triệu đô la</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80 triệu đô la</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80 triệu đô la</w:t>
                  </w:r>
                </w:p>
              </w:tc>
            </w:tr>
            <w:tr>
              <w:tc>
                <w:tcPr>
                  <w:tcW w:type="auto" w:w="0"/>
                  <w:shd w:val="clear" w:color="auto" w:fill="F0F0F0"/>
                </w:tcPr>
                <w:p>
                  <w:pPr>
                    <w:pStyle w:val="Normal"/>
                    <w:keepLines w:val="on"/>
                  </w:pPr>
                  <w:r>
                    <w:t>6–10</w:t>
                  </w:r>
                </w:p>
              </w:tc>
              <w:tc>
                <w:tcPr>
                  <w:tcW w:type="auto" w:w="0"/>
                  <w:shd w:val="clear" w:color="auto" w:fill="F0F0F0"/>
                </w:tcPr>
                <w:p>
                  <w:pPr>
                    <w:pStyle w:val="Normal"/>
                    <w:keepLines w:val="on"/>
                  </w:pPr>
                  <w:r>
                    <w:t>75 triệu đô la mỗi năm</w:t>
                  </w:r>
                </w:p>
              </w:tc>
            </w:tr>
          </w:tbl>
          <w:p/>
        </w:tc>
      </w:tr>
    </w:tbl>
    <w:p>
      <w:pPr>
        <w:pStyle w:val="Para 03"/>
      </w:pPr>
      <w:r>
        <w:t>Nếu chi phí đi vay hiện tại của công ty là 7%, hãy ước tính giá trị nợ của các hợp đồng thuê hoạt động. Ước tính tỷ lệ nợ trên vốn chủ sở hữu theo giá trị sổ sách.</w:t>
      </w:r>
    </w:p>
    <w:p>
      <w:pPr>
        <w:numPr>
          <w:ilvl w:val="0"/>
          <w:numId w:val="82"/>
        </w:numPr>
        <w:pStyle w:val="Para 01"/>
      </w:pPr>
      <w:r>
        <w:t>Giả sử rằng Derra Foods, trong bài toán trước, đã báo cáo thu nhập trước lãi vay và thuế (với chi phí thuê hoạt động được ghi nhận là chi phí) là 200 triệu đô la. Hãy ước tính thu nhập hoạt động đã điều chỉnh, giả định rằng các hợp đồng thuê hoạt động được vốn hóa.</w:t>
      </w:r>
    </w:p>
    <w:p>
      <w:pPr>
        <w:numPr>
          <w:ilvl w:val="0"/>
          <w:numId w:val="82"/>
        </w:numPr>
        <w:pStyle w:val="Para 01"/>
      </w:pPr>
      <w:r>
        <w:t>FoodMarkets Inc. là một chuỗi cửa hàng tạp hóa. Công ty báo cáo tỷ lệ nợ trên vốn theo giá trị sổ sách là 10% và lợi nhuận trên vốn là 25% trên giá trị sổ sách của vốn đầu tư là 1 tỷ đô la. Giả sử rằng công ty có các hợp đồng thuê hoạt động đáng kể. Nếu chi phí thuê hoạt động trong năm hiện tại là 100 triệu đô la và giá trị hiện tại của các cam kết thuê là 750 triệu đô la, hãy ước tính lại tỷ lệ nợ trên vốn và lợi nhuận trên vốn của FoodMarkets. (Bạn có thể giả định chi phí nợ trước thuế là 8%.)</w:t>
      </w:r>
    </w:p>
    <w:p>
      <w:pPr>
        <w:numPr>
          <w:ilvl w:val="0"/>
          <w:numId w:val="82"/>
        </w:numPr>
        <w:pStyle w:val="Para 01"/>
      </w:pPr>
      <w:r>
        <w:t>Zif Software là một công ty có chi phí nghiên cứu và phát triển đáng kể. Trong năm gần nhất, công ty có 100 triệu đô la chi phí R&amp;D. Chi phí R&amp;D có thể phân bổ trong vòng năm năm, và trong năm năm qua chúng như sau:</w:t>
      </w:r>
    </w:p>
    <w:tbl>
      <w:tblPr>
        <w:tblW w:type="auto" w:w="0"/>
      </w:tblPr>
      <w:tr>
        <w:tc>
          <w:tcPr>
            <w:tcW w:type="auto" w:w="0"/>
          </w:tcPr>
          <w:tbl>
            <w:tblPr>
              <w:tblW w:type="auto" w:w="0"/>
            </w:tblPr>
            <w:tr>
              <w:tc>
                <w:tcPr>
                  <w:tcW w:type="auto" w:w="0"/>
                  <w:shd w:val="clear" w:color="auto" w:fill="F0F0F0"/>
                </w:tcPr>
                <w:p>
                  <w:pPr>
                    <w:pStyle w:val="Para 17"/>
                    <w:keepLines w:val="on"/>
                  </w:pPr>
                  <w:r>
                    <w:t>Năm</w:t>
                  </w:r>
                </w:p>
              </w:tc>
              <w:tc>
                <w:tcPr>
                  <w:tcW w:type="auto" w:w="0"/>
                  <w:shd w:val="clear" w:color="auto" w:fill="F0F0F0"/>
                </w:tcPr>
                <w:p>
                  <w:pPr>
                    <w:pStyle w:val="Para 17"/>
                    <w:keepLines w:val="on"/>
                  </w:pPr>
                  <w:r>
                    <w:t>Chi phí R&amp;D</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50 triệu đô la</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60 triệu đô la</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70 triệu đô la</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80 triệu đô la</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90 triệu đô la</w:t>
                  </w:r>
                </w:p>
              </w:tc>
            </w:tr>
            <w:tr>
              <w:tc>
                <w:tcPr>
                  <w:tcW w:type="auto" w:w="0"/>
                  <w:shd w:val="clear" w:color="auto" w:fill="F0F0F0"/>
                </w:tcPr>
                <w:p>
                  <w:pPr>
                    <w:pStyle w:val="Normal"/>
                    <w:keepLines w:val="on"/>
                  </w:pPr>
                  <w:r>
                    <w:t>Năm hiện tại</w:t>
                  </w:r>
                </w:p>
              </w:tc>
              <w:tc>
                <w:tcPr>
                  <w:tcW w:type="auto" w:w="0"/>
                  <w:shd w:val="clear" w:color="auto" w:fill="F0F0F0"/>
                </w:tcPr>
                <w:p>
                  <w:pPr>
                    <w:pStyle w:val="Normal"/>
                    <w:keepLines w:val="on"/>
                  </w:pPr>
                  <w:r>
                    <w:t>100 triệu đô la</w:t>
                  </w:r>
                </w:p>
              </w:tc>
            </w:tr>
          </w:tbl>
          <w:p/>
        </w:tc>
      </w:tr>
    </w:tbl>
    <w:p>
      <w:pPr>
        <w:pStyle w:val="Para 03"/>
      </w:pPr>
      <w:r>
        <w:t>Giả sử lịch khấu hao theo đường thẳng (trong vòng năm năm), hãy ước tính:</w:t>
      </w:r>
    </w:p>
    <w:p>
      <w:pPr>
        <w:numPr>
          <w:ilvl w:val="1"/>
          <w:numId w:val="82"/>
        </w:numPr>
        <w:pStyle w:val="Para 01"/>
      </w:pPr>
      <w:r>
        <w:t>Giá trị của tài sản nghiên cứu.</w:t>
      </w:r>
    </w:p>
    <w:p>
      <w:pPr>
        <w:numPr>
          <w:ilvl w:val="1"/>
          <w:numId w:val="82"/>
        </w:numPr>
        <w:pStyle w:val="Para 01"/>
      </w:pPr>
      <w:r>
        <w:t>Số tiền khấu hao R&amp;D trong năm nay.</w:t>
      </w:r>
    </w:p>
    <w:p>
      <w:pPr>
        <w:numPr>
          <w:ilvl w:val="1"/>
          <w:numId w:val="82"/>
        </w:numPr>
        <w:pStyle w:val="Para 01"/>
      </w:pPr>
      <w:r>
        <w:t>Điều chỉnh đối với thu nhập hoạt động.</w:t>
      </w:r>
    </w:p>
    <w:p>
      <w:pPr>
        <w:numPr>
          <w:ilvl w:val="0"/>
          <w:numId w:val="82"/>
        </w:numPr>
        <w:pStyle w:val="Para 01"/>
      </w:pPr>
      <w:r>
        <w:t>Stellar Computers nổi tiếng với việc đạt được tỷ suất sinh lợi trên vốn cao. Năm ngoái, công ty có tỷ suất sinh lợi trên vốn là 100% với vốn đầu tư 1,5 tỷ đô la. Giả sử bạn đã ước tính giá trị của tài sản nghiên cứu là 1 tỷ đô la. Ngoài ra, chi phí R&amp;D năm nay là 250 triệu đô la, và khấu hao của tài sản nghiên cứu là 150 triệu đô la. Hãy ước tính lại tỷ suất sinh lợi trên vốn của Stellar Computers.</w:t>
      </w:r>
    </w:p>
    <w:p>
      <w:bookmarkStart w:id="1700" w:name="Notes_8"/>
      <w:bookmarkStart w:id="1701" w:name="Notes__1_If_only_amortization_we"/>
      <w:pPr>
        <w:keepNext/>
        <w:pStyle w:val="Heading 2"/>
        <w:keepLines w:val="on"/>
      </w:pPr>
      <w:r>
        <w:t>Ghi chú</w:t>
      </w:r>
      <w:bookmarkEnd w:id="1700"/>
      <w:bookmarkEnd w:id="1701"/>
    </w:p>
    <w:p>
      <w:pPr>
        <w:pStyle w:val="Para 08"/>
      </w:pPr>
      <w:r>
        <w:t>1 Nếu chỉ khấu hao được khấu trừ thuế, thì lợi ích thuế từ chi phí R&amp;D sẽ là:</w:t>
      </w:r>
    </w:p>
    <w:p>
      <w:pPr>
        <w:pStyle w:val="Para 23"/>
      </w:pPr>
      <w:r>
        <w:t>Khấu hao R&amp;D × Thuế suất</w:t>
      </w:r>
    </w:p>
    <w:p>
      <w:pPr>
        <w:pStyle w:val="Para 03"/>
      </w:pPr>
      <w:r>
        <w:t>Lợi ích thuế bổ sung mà chúng ta có được từ việc toàn bộ R&amp;D được khấu trừ thuế như sau:</w:t>
      </w:r>
    </w:p>
    <w:p>
      <w:pPr>
        <w:pStyle w:val="Para 23"/>
      </w:pPr>
      <w:r>
        <w:t>(Chi phí R&amp;D năm hiện tại − Khấu hao R&amp;D) × Thuế suất</w:t>
      </w:r>
    </w:p>
    <w:p>
      <w:pPr>
        <w:pStyle w:val="Para 03"/>
      </w:pPr>
      <w:r>
        <w:t>Nếu chúng ta trừ đi (R&amp;D – Khấu hao) (1 – Thuế suất) và sau đó cộng thêm lợi ích thuế chênh lệch được tính ở trên, thì (1 – Thuế suất) sẽ bị triệt tiêu khỏi phương trình.</w:t>
      </w:r>
    </w:p>
    <w:p>
      <w:pPr>
        <w:pStyle w:val="Para 08"/>
      </w:pPr>
      <w:r>
        <w:t>2 Nếu tỷ suất sinh lợi trên vốn mà một công ty đạt được thấp hơn đáng kể so với chi phí vốn, thì việc điều chỉnh có thể dẫn đến tỷ suất sinh lợi cao hơn.</w:t>
      </w:r>
    </w:p>
    <w:p>
      <w:pPr>
        <w:pStyle w:val="Para 08"/>
      </w:pPr>
      <w:r>
        <w:t>3 Ví dụ, Jamie Kiggen, một chuyên viên phân tích nghiên cứu cổ phiếu tại Donaldson, Lufkin, &amp; Jenrette, đã định giá một khách hàng của Amazon là 2.400 đô la trong một báo cáo nghiên cứu cổ phiếu năm 1999. Giá trị này dựa trên giả định rằng khách hàng đó sẽ tiếp tục mua hàng từ Amazon.com và dựa trên biên lợi nhuận kỳ vọng từ những giao dịch đó.</w:t>
      </w:r>
    </w:p>
    <w:p>
      <w:pPr>
        <w:pStyle w:val="Para 08"/>
      </w:pPr>
      <w:r>
        <w:t>4 Giá trị được làm tròn đến số nguyên gần nhất.</w:t>
      </w:r>
    </w:p>
    <w:p>
      <w:pPr>
        <w:pStyle w:val="Para 08"/>
      </w:pPr>
      <w:r>
        <w:t>5 Thời hạn thuê được tính bằng cách cộng thời hạn niên kim ước tính là hai năm cho khoản tiền một lần vào năm năm ban đầu.</w:t>
      </w:r>
    </w:p>
    <w:p>
      <w:pPr>
        <w:pStyle w:val="Para 08"/>
      </w:pPr>
      <w:r>
        <w:t>6 Các ước tính đồng thuận của chuyên viên phân tích được công bố rộng rãi, và các bản tin thường so sánh thu nhập thực tế với những ước tính này.</w:t>
      </w:r>
    </w:p>
    <w:p>
      <w:pPr>
        <w:pStyle w:val="Para 08"/>
      </w:pPr>
      <w:r>
        <w:t>7 Microsoft giữ được uy tín với các chuyên viên phân tích bằng cách cũng cho họ biết khi nào các ước tính của họ quá thấp. Những công ty luôn tỏ ra bi quan trong các buổi trình bày với chuyên viên phân tích sẽ mất uy tín và do đó mất hiệu quả trong việc quản lý thu nhập.</w:t>
      </w:r>
    </w:p>
    <w:p>
      <w:pPr>
        <w:pStyle w:val="Para 08"/>
      </w:pPr>
      <w:r>
        <w:t>8 Những công ty mua Windows 95 vào năm 1995 cũng mua quyền nâng cấp và hỗ trợ trong năm 1996 và 1997. Microsoft lẽ ra có thể ghi nhận những khoản này là doanh thu trong năm 1995.</w:t>
      </w:r>
    </w:p>
    <w:p>
      <w:pPr>
        <w:pStyle w:val="Para 08"/>
      </w:pPr>
      <w:r>
        <w:t>9 Tạp chí Forbes có một bài viết vào ngày 6 tháng 3 năm 2000 về MicroStrategy, với đoạn trích sau: “MicroStrategy và NCR công bố thứ mà họ mô tả là một thỏa thuận cấp phép và công nghệ trị giá 52,5 triệu đô la. NCR đồng ý trả cho MicroStrategy 27,5 triệu đô la để cấp phép phần mềm của mình. MicroStrategy mua một đơn vị của NCR từng là đối thủ cạnh tranh với giá khi đó là 14 triệu đô la bằng cổ phiếu và đồng ý trả 11 triệu đô la tiền mặt cho một hệ thống kho dữ liệu. MicroStrategy đã báo cáo 17,5 triệu đô la trong số tiền cấp phép là doanh thu trong quý ba, quý đã kết thúc bốn ngày trước đó”.</w:t>
      </w:r>
    </w:p>
    <w:p>
      <w:pPr>
        <w:pStyle w:val="Para 08"/>
      </w:pPr>
      <w:r>
        <w:t>10 Chỉ có ba công ty xóa sổ R&amp;D đang trong quá trình phát triển trong thập kỷ trước (1980–1989).</w:t>
      </w:r>
    </w:p>
    <w:p>
      <w:pPr>
        <w:pStyle w:val="Para 08"/>
      </w:pPr>
      <w:r>
        <w:t>11 Điều này chỉ xảy ra nếu các chứng khoán có thể bán được định giá hợp lý, và bạn đang kiếm được lợi nhuận thị trường hợp lý từ chúng. Nếu không, bạn có thể nhận được các giá trị khác nhau từ các phương pháp này.</w:t>
      </w:r>
    </w:p>
    <w:p>
      <w:bookmarkStart w:id="1713" w:name="Top_of_c010_xhtml"/>
      <w:bookmarkStart w:id="1714" w:name="Chapter_10From_Earnings_To_Cash_1"/>
      <w:bookmarkStart w:id="1715" w:name="Chapter_10From_Earnings_To_Cash"/>
      <w:pPr>
        <w:keepNext/>
        <w:pStyle w:val="Heading 1"/>
        <w:pageBreakBefore w:val="on"/>
        <w:keepLines w:val="on"/>
      </w:pPr>
      <w:r>
        <w:t>CHƯƠNG 10</w:t>
      </w:r>
      <w:r>
        <w:br/>
      </w:r>
      <w:r>
        <w:t>Từ Lợi nhuận đến Dòng tiền</w:t>
      </w:r>
      <w:bookmarkEnd w:id="1713"/>
      <w:bookmarkEnd w:id="1714"/>
      <w:bookmarkEnd w:id="1715"/>
    </w:p>
    <w:p>
      <w:pPr>
        <w:pStyle w:val="Para 03"/>
      </w:pPr>
      <w:r>
        <w:t>Giá trị của một tài sản đến từ khả năng tạo ra dòng tiền của nó. Khi định giá một công ty, những dòng tiền này phải là sau thuế, trước các khoản thanh toán nợ, và sau các nhu cầu tái đầu tư. Khi định giá vốn chủ sở hữu, dòng tiền phải là sau các khoản thanh toán nợ. Có ba bước cơ bản để ước tính những dòng tiền này. Bước đầu tiên là ước tính thu nhập mà một công ty tạo ra từ các tài sản và khoản đầu tư hiện có của nó, một quy trình chúng ta đã xem xét trong chương trước. Bước thứ hai là ước tính phần thu nhập này sẽ được dùng để nộp thuế. Bước thứ ba là xây dựng một thước đo về mức độ công ty đang tái đầu tư trở lại cho tăng trưởng trong tương lai.</w:t>
      </w:r>
    </w:p>
    <w:p>
      <w:pPr>
        <w:pStyle w:val="Para 03"/>
      </w:pPr>
      <w:r>
        <w:t>Chương này xem xét hai bước cuối cùng. Nó sẽ bắt đầu bằng việc tìm hiểu sự khác biệt giữa thuế thực tế (effective tax) và thuế biên (marginal tax), cũng như ảnh hưởng của các khoản lỗ hoạt động ròng (net operating losses – NOLs) đáng kể được chuyển sang kỳ sau. Để xem xét mức độ công ty đang tái đầu tư, chúng ta sẽ chia nhỏ nó thành tái đầu tư vào tài sản hữu hình và dài hạn (chi tiêu vốn ròng – net capital expenditures) và tài sản ngắn hạn (vốn lưu động – working capital). Chúng ta sẽ sử dụng một định nghĩa tái đầu tư rộng hơn nhiều để bao gồm các khoản đầu tư vào nghiên cứu và phát triển (R&amp;D) và các thương vụ mua lại như một phần của chi tiêu vốn.</w:t>
      </w:r>
    </w:p>
    <w:p>
      <w:bookmarkStart w:id="1717" w:name="The_Tax_Effect__To_compute_the_a"/>
      <w:bookmarkStart w:id="1718" w:name="The_Tax_Effect"/>
      <w:pPr>
        <w:keepNext/>
        <w:pStyle w:val="Heading 2"/>
        <w:keepLines w:val="on"/>
      </w:pPr>
      <w:r>
        <w:t>Ảnh Hưởng Của Thuế</w:t>
      </w:r>
      <w:bookmarkEnd w:id="1717"/>
      <w:bookmarkEnd w:id="1718"/>
    </w:p>
    <w:p>
      <w:pPr>
        <w:pStyle w:val="Para 03"/>
      </w:pPr>
      <w:r>
        <w:t>Để tính thu nhập hoạt động sau thuế, bạn nhân thu nhập trước lãi vay và thuế với một thuế suất ước tính. Quy trình đơn giản này có thể trở nên phức tạp bởi ba vấn đề thường phát sinh trong định giá. Vấn đề đầu tiên là sự khác biệt lớn mà bạn quan sát thấy giữa thuế suất thực tế và thuế suất biên đối với các công ty này, và sự lựa chọn mà bạn phải đối mặt giữa hai loại này trong định giá. Vấn đề thứ hai thường phát sinh với các công ty có khoản lỗ lớn, dẫn đến các khoản lỗ hoạt động ròng được chuyển sang kỳ sau và có thể tiết kiệm thuế trong những năm tương lai. Vấn đề thứ ba phát sinh từ việc vốn hóa nghiên cứu và phát triển cùng các chi phí khác. Thực tế là những khoản chi này có thể được ghi nhận chi phí ngay lập tức dẫn đến lợi ích thuế cao hơn nhiều cho công ty.</w:t>
      </w:r>
    </w:p>
    <w:p>
      <w:bookmarkStart w:id="1719" w:name="Effective_versus_Marginal_Tax_Ra"/>
      <w:bookmarkStart w:id="1720" w:name="Effective_versus_Marginal_Tax_Ra_1"/>
      <w:pPr>
        <w:keepNext/>
        <w:pStyle w:val="Heading 3"/>
        <w:keepLines w:val="on"/>
      </w:pPr>
      <w:r>
        <w:t>Thuế Suất Thực Tế So Với Thuế Suất Biên</w:t>
      </w:r>
      <w:bookmarkEnd w:id="1719"/>
      <w:bookmarkEnd w:id="1720"/>
    </w:p>
    <w:p>
      <w:pPr>
        <w:pStyle w:val="Para 03"/>
      </w:pPr>
      <w:r>
        <w:t>Bạn phải đối mặt với sự lựa chọn giữa một số thuế suất khác nhau. Thuế suất được báo cáo rộng rãi nhất trong các báo cáo tài chính là thuế suất thực tế, được tính từ báo cáo thu nhập được báo cáo như sau:</w:t>
      </w:r>
    </w:p>
    <w:p>
      <w:bookmarkStart w:id="1721" w:name="Effective_tax_rate_Taxes_due_Tax"/>
      <w:pPr>
        <w:keepNext/>
        <w:pStyle w:val="Para 09"/>
        <w:keepLines w:val="on"/>
      </w:pPr>
      <w:r>
        <w:t>Thuế suất thực tế = Thuế phải nộp / Thu nhập chịu thuế</w:t>
      </w:r>
      <w:bookmarkEnd w:id="1721"/>
    </w:p>
    <w:p>
      <w:pPr>
        <w:pStyle w:val="Para 03"/>
      </w:pPr>
      <w:r>
        <w:t>Vì nó dựa trên các con số trong báo cáo thu nhập, thuế suất này là thuế suất theo cơ sở dồn tích (accrual tax rate), chứ không phải thuế suất tiền mặt (cash tax rate), và cho biết các ước tính về thuế phải nộp trong kỳ, dưới dạng phần trăm của thu nhập chịu thuế.</w:t>
      </w:r>
    </w:p>
    <w:p>
      <w:pPr>
        <w:pStyle w:val="Para 03"/>
      </w:pPr>
      <w:r>
        <w:t>Lựa chọn thứ hai về thuế suất là thuế suất biên, tức là thuế suất mà công ty phải đối mặt trên đồng thu nhập cuối cùng của mình. Thuế suất này phụ thuộc vào luật thuế và phản ánh số thuế mà các công ty phải nộp trên thu nhập biên của họ. Tại Hoa Kỳ, vào năm 2024, thuế suất thuế thu nhập doanh nghiệp liên bang trên thu nhập biên là 21 phần trăm; cộng thêm thuế tiểu bang và địa phương, hầu hết các công ty có lợi nhuận phải đối mặt với thuế suất thu nhập doanh nghiệp biên khoảng 25 phần trăm. Do đó, thuế suất biên xuất phát từ luật thuế và ít liên quan đến những gì bạn có thể tìm thấy về thuế suất trong báo cáo tài chính của một công ty.</w:t>
      </w:r>
    </w:p>
    <w:p>
      <w:pPr>
        <w:pStyle w:val="Para 03"/>
      </w:pPr>
      <w:r>
        <w:t>Trong khi thuế suất biên của hầu hết các công ty tại Hoa Kỳ nên tương tự nhau, có sự khác biệt lớn về thuế suất thực tế giữa các công ty. Hình 10.1 cung cấp phân phối thuế suất thực tế cho các công ty có lợi nhuận tại Hoa Kỳ, cũng như các công ty toàn cầu, vào tháng 1 năm 2024.</w:t>
      </w:r>
    </w:p>
    <w:p>
      <w:bookmarkStart w:id="1724" w:name="Figure_10_1_Effective_Tax_Rate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1676400"/>
            <wp:effectExtent l="0" r="0" t="0" b="0"/>
            <wp:wrapTopAndBottom/>
            <wp:docPr id="91" name="c10f001.png" descr="Double bar graph plots distribution of effective tax rates for moneymaking firms in U S, as well as global firms, in January 2024."/>
            <wp:cNvGraphicFramePr>
              <a:graphicFrameLocks noChangeAspect="1"/>
            </wp:cNvGraphicFramePr>
            <a:graphic>
              <a:graphicData uri="http://schemas.openxmlformats.org/drawingml/2006/picture">
                <pic:pic>
                  <pic:nvPicPr>
                    <pic:cNvPr id="0" name="c10f001.png" descr="Double bar graph plots distribution of effective tax rates for moneymaking firms in U S, as well as global firms, in January 2024."/>
                    <pic:cNvPicPr/>
                  </pic:nvPicPr>
                  <pic:blipFill>
                    <a:blip r:embed="rId73"/>
                    <a:stretch>
                      <a:fillRect/>
                    </a:stretch>
                  </pic:blipFill>
                  <pic:spPr>
                    <a:xfrm>
                      <a:off x="0" y="0"/>
                      <a:ext cx="2425700" cy="1676400"/>
                    </a:xfrm>
                    <a:prstGeom prst="rect">
                      <a:avLst/>
                    </a:prstGeom>
                  </pic:spPr>
                </pic:pic>
              </a:graphicData>
            </a:graphic>
          </wp:anchor>
        </w:drawing>
      </w:r>
      <w:bookmarkEnd w:id="1724"/>
    </w:p>
    <w:p>
      <w:pPr>
        <w:pStyle w:val="Para 22"/>
        <w:keepLines w:val="on"/>
      </w:pPr>
      <w:r>
        <w:t>Hình 10.1 Thuế Suất Thực Tế Cho Các Công Ty Hoa Kỳ và Toàn Cầu—Tháng 1 Năm 2024</w:t>
      </w:r>
    </w:p>
    <w:p>
      <w:pPr>
        <w:keepNext/>
        <w:pStyle w:val="Para 22"/>
        <w:keepLines w:val="on"/>
      </w:pPr>
      <w:r>
        <w:t>Nguồn: Capital IQ. Được sử dụng với sự cho phép của S&amp;P Global Market Intelligence.</w:t>
      </w:r>
    </w:p>
    <w:p>
      <w:pPr>
        <w:pStyle w:val="Para 03"/>
      </w:pPr>
      <w:r>
        <w:t>Thuế suất thực tế trung vị nằm trong khoảng từ 20% đến 25% cho cả các công ty Hoa Kỳ và toàn cầu. Lưu ý rằng một số công ty báo cáo thuế suất thực tế dưới 10 phần trăm, cũng như một vài công ty có thuế suất thực tế vượt quá 50 phần trăm. Ngoài ra, biểu đồ này không bao gồm các công ty không nộp thuế trong năm tài chính gần nhất (và hầu hết trong số này là các công ty thua lỗ), hoặc có thuế suất thực tế âm.1</w:t>
      </w:r>
    </w:p>
    <w:p>
      <w:bookmarkStart w:id="1726" w:name="Reasons_for_Differences_between_1"/>
      <w:bookmarkStart w:id="1727" w:name="Reasons_for_Differences_between"/>
      <w:pPr>
        <w:keepNext/>
        <w:pStyle w:val="Heading 4"/>
        <w:keepLines w:val="on"/>
      </w:pPr>
      <w:r>
        <w:t>Lý Do Dẫn Đến Sự Khác Biệt Giữa Thuế Suất Biên và Thuế Suất Thực Tế</w:t>
      </w:r>
      <w:bookmarkEnd w:id="1726"/>
      <w:bookmarkEnd w:id="1727"/>
    </w:p>
    <w:p>
      <w:pPr>
        <w:pStyle w:val="Para 03"/>
      </w:pPr>
      <w:r>
        <w:t>Cho rằng hầu hết thu nhập chịu thuế của các công ty đại chúng nằm ở khung thuế biên cao nhất, tại sao thuế suất thực tế của một công ty lại khác với thuế suất biên của nó? Có ít nhất bốn lý do:</w:t>
      </w:r>
    </w:p>
    <w:p>
      <w:pPr>
        <w:numPr>
          <w:ilvl w:val="0"/>
          <w:numId w:val="83"/>
        </w:numPr>
        <w:pStyle w:val="Para 01"/>
      </w:pPr>
      <w:r>
        <w:t>Nhiều công ty, ít nhất là tại Hoa Kỳ, tuân theo các chuẩn mực kế toán khác nhau cho mục đích thuế và mục đích báo cáo. Ví dụ, các công ty đôi khi sử dụng khấu hao theo đường thẳng cho mục đích báo cáo và khấu hao nhanh cho mục đích thuế. Do đó, thu nhập được báo cáo cao hơn đáng kể so với thu nhập chịu thuế, mà thuế được dựa trên đó.2</w:t>
      </w:r>
    </w:p>
    <w:p>
      <w:pPr>
        <w:numPr>
          <w:ilvl w:val="0"/>
          <w:numId w:val="83"/>
        </w:numPr>
        <w:pStyle w:val="Para 01"/>
      </w:pPr>
      <w:r>
        <w:t>Các công ty đôi khi sử dụng tín dụng thuế để giảm số thuế họ phải nộp. Những tín dụng này, đến lượt mình, có thể làm giảm thuế suất thực tế xuống dưới thuế suất biên.</w:t>
      </w:r>
    </w:p>
    <w:p>
      <w:pPr>
        <w:numPr>
          <w:ilvl w:val="0"/>
          <w:numId w:val="83"/>
        </w:numPr>
        <w:pStyle w:val="Para 01"/>
      </w:pPr>
      <w:r>
        <w:t>Các công ty đôi khi có thể hoãn thuế trên thu nhập sang các kỳ tương lai. Nếu các công ty hoãn thuế, số thuế phải nộp trong kỳ hiện tại sẽ ở mức thấp hơn thuế suất biên. Tuy nhiên, trong một kỳ sau đó, khi công ty nộp số thuế đã hoãn, thuế suất thực tế sẽ cao hơn thuế suất biên.</w:t>
      </w:r>
    </w:p>
    <w:p>
      <w:pPr>
        <w:numPr>
          <w:ilvl w:val="0"/>
          <w:numId w:val="83"/>
        </w:numPr>
        <w:pStyle w:val="Para 01"/>
      </w:pPr>
      <w:r>
        <w:t>Các công ty tạo ra thu nhập đáng kể cho các quốc gia nước ngoài có thuế suất thấp hơn không phải nộp thuế trong nước cho đến khi thu nhập đó được hồi hương trở lại quốc gia trong nước, cho đến năm 2017, và không phải nộp thêm thuế trong nước, sau năm 2017.</w:t>
      </w:r>
    </w:p>
    <w:p>
      <w:pPr>
        <w:pStyle w:val="Para 20"/>
      </w:pPr>
      <w:r>
        <w:rPr>
          <w:rStyle w:val="Text26"/>
        </w:rPr>
        <w:bookmarkStart w:id="1729" w:name="Page_271"/>
        <w:t/>
        <w:bookmarkEnd w:id="1729"/>
      </w:r>
      <w:r>
        <w:t xml:space="preserve"> </w:t>
      </w:r>
    </w:p>
    <w:p>
      <w:bookmarkStart w:id="1730" w:name="Marginal_Tax_Rates_for_Multinati"/>
      <w:bookmarkStart w:id="1731" w:name="Marginal_Tax_Rates_for_Multinati_1"/>
      <w:pPr>
        <w:keepNext/>
        <w:pStyle w:val="Heading 4"/>
        <w:keepLines w:val="on"/>
      </w:pPr>
      <w:r>
        <w:t>Thuế Suất Biên Cho Các Công Ty Đa Quốc Gia</w:t>
      </w:r>
      <w:bookmarkEnd w:id="1730"/>
      <w:bookmarkEnd w:id="1731"/>
    </w:p>
    <w:p>
      <w:pPr>
        <w:pStyle w:val="Para 03"/>
      </w:pPr>
      <w:r>
        <w:t>Khi một công ty có hoạt động toàn cầu, thu nhập của nó bị đánh thuế ở các mức thuế suất khác nhau tại các địa điểm khác nhau. Khi điều này xảy ra, thuế suất biên cho công ty là bao nhiêu? Có ba cách để chúng ta có thể xử lý các mức thuế suất khác nhau.</w:t>
      </w:r>
    </w:p>
    <w:p>
      <w:pPr>
        <w:numPr>
          <w:ilvl w:val="0"/>
          <w:numId w:val="84"/>
        </w:numPr>
        <w:pStyle w:val="Para 01"/>
      </w:pPr>
      <w:r>
        <w:t>Cách đầu tiên là sử dụng bình quân gia quyền của các thuế suất biên, với trọng số dựa trên thu nhập mà công ty thu được từ mỗi quốc gia này. Vấn đề với cách tiếp cận này là các trọng số sẽ thay đổi theo thời gian nếu thu nhập tăng trưởng ở các mức khác nhau tại các quốc gia khác nhau.</w:t>
      </w:r>
    </w:p>
    <w:p>
      <w:pPr>
        <w:numPr>
          <w:ilvl w:val="0"/>
          <w:numId w:val="84"/>
        </w:numPr>
        <w:pStyle w:val="Para 01"/>
      </w:pPr>
      <w:r>
        <w:t>Cách thứ hai là dùng thuế suất biên (marginal tax rate) của quốc gia mà công ty đặt trụ sở, với giả định ngầm rằng thu nhập tạo ra ở các quốc gia khác cuối cùng sẽ phải được hồi hương về nước gốc, và đến lúc đó công ty sẽ phải chịu mức thuế suất biên.</w:t>
      </w:r>
    </w:p>
    <w:p>
      <w:pPr>
        <w:numPr>
          <w:ilvl w:val="0"/>
          <w:numId w:val="84"/>
        </w:numPr>
        <w:pStyle w:val="Para 01"/>
      </w:pPr>
      <w:r>
        <w:t>Cách thứ ba là tách riêng thu nhập từ mỗi quốc gia và áp dụng một mức thuế suất biên khác nhau cho từng dòng thu nhập.</w:t>
      </w:r>
    </w:p>
    <w:p>
      <w:pPr>
        <w:pStyle w:val="Para 03"/>
      </w:pPr>
      <w:r>
        <w:t>Vì các công ty thực sự có chút linh hoạt trong việc dịch chuyển thu nhập giữa các địa điểm, nên không có gì ngạc nhiên khi thu nhập có xu hướng chảy về các quốc gia có thuế thấp hơn và rời xa các quốc gia có thuế cao hơn.</w:t>
      </w:r>
    </w:p>
    <w:p>
      <w:pPr>
        <w:pStyle w:val="Para 20"/>
      </w:pPr>
      <w:r>
        <w:rPr>
          <w:rStyle w:val="Text26"/>
        </w:rPr>
        <w:bookmarkStart w:id="1732" w:name="Page_272"/>
        <w:t/>
        <w:bookmarkEnd w:id="1732"/>
      </w:r>
      <w:r>
        <w:t xml:space="preserve"> </w:t>
      </w:r>
    </w:p>
    <w:p>
      <w:bookmarkStart w:id="1733" w:name="Effects_of_Tax_Rate_on_Value__In"/>
      <w:bookmarkStart w:id="1734" w:name="Effects_of_Tax_Rate_on_Value"/>
      <w:pPr>
        <w:keepNext/>
        <w:pStyle w:val="Heading 3"/>
        <w:keepLines w:val="on"/>
      </w:pPr>
      <w:r>
        <w:t>Ảnh hưởng của thuế suất đến giá trị</w:t>
      </w:r>
      <w:bookmarkEnd w:id="1733"/>
      <w:bookmarkEnd w:id="1734"/>
    </w:p>
    <w:p>
      <w:pPr>
        <w:pStyle w:val="Para 03"/>
      </w:pPr>
      <w:r>
        <w:t>Khi định giá một công ty, bạn nên dùng thuế suất biên hay thuế suất thực tế (effective tax rate)? Nếu phải áp dụng cùng một mức thuế suất cho lợi nhuận mỗi kỳ, lựa chọn an toàn hơn là thuế suất biên, vì ba trong bốn lý do đã nêu có thể duy trì mãi mãi. Khi các khoản chi tiêu vốn mới giảm dần, khoảng cách giữa thu nhập báo cáo và thu nhập chịu thuế sẽ thu hẹp lại; các khoản tín dụng thuế hiếm khi tồn tại vĩnh viễn, và cuối cùng các công ty cũng phải trả thuế hoãn lại. Với những công ty có thu nhập từ các địa điểm nước ngoài mà không có khoản cộng thêm thuế trong nước, mức thuế suất biên trung bình toàn cầu có thể là lựa chọn tốt hơn. Tuy nhiên, không có lý do gì mà thuế suất dùng để tính dòng tiền sau thuế lại không thể thay đổi theo thời gian. Vì vậy, khi định giá một công ty có thuế suất thực tế 24% trong kỳ hiện tại và thuế suất biên 35%, bạn có thể ước tính dòng tiền năm đầu tiên bằng thuế suất biên 24%, rồi sau đó tăng thuế suất lên 35% theo thời gian. Một thông lệ tốt là giả định rằng thuế suất dùng mãi mãi để tính giá trị cuối kỳ (terminal value) chính là thuế suất biên.</w:t>
      </w:r>
    </w:p>
    <w:p>
      <w:pPr>
        <w:pStyle w:val="Para 03"/>
      </w:pPr>
      <w:r>
        <w:t>Khi định giá vốn chủ sở hữu (equity), chúng ta thường bắt đầu với thu nhập ròng hoặc thu nhập trên mỗi cổ phần, vốn là thu nhập sau thuế. Mặc dù có vẻ như chúng ta có thể tránh việc ước tính thuế suất khi dùng thu nhập sau thuế, nhưng vẻ ngoài đó là đánh lừa. Thu nhập sau thuế hiện tại của một công ty phản ánh số thuế đã nộp trong năm nay. Nếu việc lập kế hoạch thuế hoặc hoãn thuế khiến khoản nộp này rất thấp (thuế suất thực tế thấp) hoặc rất cao (thuế suất thực tế cao), chúng ta có nguy cơ giả định rằng công ty có thể tiếp tục làm như vậy trong tương lai, nếu chúng ta không điều chỉnh thu nhập ròng cho những thay đổi về thuế suất trong các năm tới.</w:t>
      </w:r>
    </w:p>
    <w:p>
      <w:pPr>
        <w:pStyle w:val="Para 11"/>
      </w:pPr>
      <w:r>
        <w:t/>
        <w:t xml:space="preserve"> </w:t>
      </w:r>
    </w:p>
    <w:p>
      <w:bookmarkStart w:id="1735" w:name="ILLUSTRATION_10_1___Effect_of_Ta_1"/>
      <w:bookmarkStart w:id="1736" w:name="ILLUSTRATION_10_1___Effect_of_Ta"/>
      <w:pPr>
        <w:keepNext/>
        <w:pStyle w:val="Para 19"/>
        <w:keepLines w:val="on"/>
      </w:pPr>
      <w:r>
        <w:t>MINH HỌA 10.1: Ảnh hưởng của các giả định thuế suất đến giá trị</w:t>
      </w:r>
      <w:bookmarkEnd w:id="1735"/>
      <w:bookmarkEnd w:id="1736"/>
    </w:p>
    <w:p>
      <w:pPr>
        <w:pStyle w:val="Para 04"/>
        <w:keepLines w:val="on"/>
      </w:pPr>
      <w:r>
        <w:t>Convoy Inc. là một công ty viễn thông tạo ra 150 triệu đô-la thu nhập hoạt động trước thuế và tái đầu tư 30 triệu đô-la trong năm tài chính gần nhất. Do việc hoãn thuế, công ty có thuế suất thực tế là 20%, trong khi thuế suất biên là 40%. Cả thu nhập hoạt động lẫn khoản tái đầu tư đều được kỳ vọng tăng 10% mỗi năm trong năm năm, và 5% mỗi năm sau đó. Chi phí vốn của công ty là 9% và được kỳ vọng không đổi theo thời gian. Chúng ta sẽ ước tính giá trị của Convoy bằng ba giả định khác nhau về thuế suất—thuế suất thực tế mãi mãi, thuế suất biên mãi mãi, và một cách tiếp cận kết hợp cả hai mức thuế suất.</w:t>
      </w:r>
    </w:p>
    <w:p>
      <w:pPr>
        <w:pStyle w:val="Para 04"/>
        <w:keepLines w:val="on"/>
      </w:pPr>
      <w:r>
        <w:t>Cách tiếp cận 1: Thuế suất thực tế mãi mãi</w:t>
      </w:r>
    </w:p>
    <w:p>
      <w:pPr>
        <w:pStyle w:val="Para 04"/>
        <w:keepLines w:val="on"/>
      </w:pPr>
      <w:r>
        <w:t>Đầu tiên chúng ta ước tính giá trị của Convoy nếu thuế suất duy trì ở mức 20% mãi mãi:</w:t>
      </w:r>
    </w:p>
    <w:tbl>
      <w:tblPr>
        <w:tblW w:type="auto" w:w="0"/>
      </w:tblPr>
      <w:tr>
        <w:tc>
          <w:tcPr>
            <w:tcW w:type="auto" w:w="0"/>
          </w:tcPr>
          <w:tbl>
            <w:tblPr>
              <w:tblW w:type="auto" w:w="0"/>
            </w:tblPr>
            <w:tr>
              <w:tc>
                <w:tcPr>
                  <w:tcW w:type="auto" w:w="0"/>
                  <w:shd w:val="clear" w:color="auto" w:fill="F0F0F0"/>
                </w:tcPr>
                <w:p>
                  <w:pPr>
                    <w:pStyle w:val="Para 32"/>
                    <w:keepLines w:val="on"/>
                  </w:pPr>
                  <w:r>
                    <w:t>Thuế suất</w:t>
                  </w:r>
                </w:p>
              </w:tc>
              <w:tc>
                <w:tcPr>
                  <w:tcW w:type="auto" w:w="0"/>
                  <w:shd w:val="clear" w:color="auto" w:fill="F0F0F0"/>
                </w:tcPr>
                <w:p>
                  <w:pPr>
                    <w:pStyle w:val="Para 05"/>
                    <w:keepLines w:val="on"/>
                  </w:pPr>
                  <w:r>
                    <w:t>20%</w:t>
                  </w:r>
                </w:p>
              </w:tc>
              <w:tc>
                <w:tcPr>
                  <w:tcW w:type="auto" w:w="0"/>
                  <w:shd w:val="clear" w:color="auto" w:fill="F0F0F0"/>
                </w:tcPr>
                <w:p>
                  <w:pPr>
                    <w:pStyle w:val="Para 05"/>
                    <w:keepLines w:val="on"/>
                  </w:pPr>
                  <w:r>
                    <w:t>20%</w:t>
                  </w:r>
                </w:p>
              </w:tc>
              <w:tc>
                <w:tcPr>
                  <w:tcW w:type="auto" w:w="0"/>
                  <w:shd w:val="clear" w:color="auto" w:fill="F0F0F0"/>
                </w:tcPr>
                <w:p>
                  <w:pPr>
                    <w:pStyle w:val="Para 05"/>
                    <w:keepLines w:val="on"/>
                  </w:pPr>
                  <w:r>
                    <w:t>20%</w:t>
                  </w:r>
                </w:p>
              </w:tc>
              <w:tc>
                <w:tcPr>
                  <w:tcW w:type="auto" w:w="0"/>
                  <w:shd w:val="clear" w:color="auto" w:fill="F0F0F0"/>
                </w:tcPr>
                <w:p>
                  <w:pPr>
                    <w:pStyle w:val="Para 05"/>
                    <w:keepLines w:val="on"/>
                  </w:pPr>
                  <w:r>
                    <w:t>20%</w:t>
                  </w:r>
                </w:p>
              </w:tc>
              <w:tc>
                <w:tcPr>
                  <w:tcW w:type="auto" w:w="0"/>
                  <w:shd w:val="clear" w:color="auto" w:fill="F0F0F0"/>
                </w:tcPr>
                <w:p>
                  <w:pPr>
                    <w:pStyle w:val="Para 05"/>
                    <w:keepLines w:val="on"/>
                  </w:pPr>
                  <w:r>
                    <w:t>20%</w:t>
                  </w:r>
                </w:p>
              </w:tc>
              <w:tc>
                <w:tcPr>
                  <w:tcW w:type="auto" w:w="0"/>
                  <w:shd w:val="clear" w:color="auto" w:fill="F0F0F0"/>
                </w:tcPr>
                <w:p>
                  <w:pPr>
                    <w:pStyle w:val="Para 05"/>
                    <w:keepLines w:val="on"/>
                  </w:pPr>
                  <w:r>
                    <w:t>20%</w:t>
                  </w:r>
                </w:p>
              </w:tc>
              <w:tc>
                <w:tcPr>
                  <w:tcW w:type="auto" w:w="0"/>
                  <w:shd w:val="clear" w:color="auto" w:fill="F0F0F0"/>
                </w:tcPr>
                <w:p>
                  <w:pPr>
                    <w:pStyle w:val="Para 05"/>
                    <w:keepLines w:val="on"/>
                  </w:pPr>
                  <w:r>
                    <w:t>20%</w:t>
                  </w:r>
                </w:p>
              </w:tc>
            </w:tr>
            <w:tr>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Năm hiện tại</w:t>
                  </w:r>
                </w:p>
              </w:tc>
              <w:tc>
                <w:tcPr>
                  <w:tcW w:type="auto" w:w="0"/>
                  <w:shd w:val="clear" w:color="auto" w:fill="F0F0F0"/>
                  <w:vAlign w:val="bottom"/>
                </w:tcPr>
                <w:p>
                  <w:pPr>
                    <w:pStyle w:val="Para 05"/>
                    <w:keepLines w:val="on"/>
                  </w:pPr>
                  <w:r>
                    <w:t>1</w:t>
                  </w:r>
                </w:p>
              </w:tc>
              <w:tc>
                <w:tcPr>
                  <w:tcW w:type="auto" w:w="0"/>
                  <w:shd w:val="clear" w:color="auto" w:fill="F0F0F0"/>
                  <w:vAlign w:val="bottom"/>
                </w:tcPr>
                <w:p>
                  <w:pPr>
                    <w:pStyle w:val="Para 05"/>
                    <w:keepLines w:val="on"/>
                  </w:pPr>
                  <w:r>
                    <w:t>2</w:t>
                  </w:r>
                </w:p>
              </w:tc>
              <w:tc>
                <w:tcPr>
                  <w:tcW w:type="auto" w:w="0"/>
                  <w:shd w:val="clear" w:color="auto" w:fill="F0F0F0"/>
                  <w:vAlign w:val="bottom"/>
                </w:tcPr>
                <w:p>
                  <w:pPr>
                    <w:pStyle w:val="Para 05"/>
                    <w:keepLines w:val="on"/>
                  </w:pPr>
                  <w:r>
                    <w:t>3</w:t>
                  </w:r>
                </w:p>
              </w:tc>
              <w:tc>
                <w:tcPr>
                  <w:tcW w:type="auto" w:w="0"/>
                  <w:shd w:val="clear" w:color="auto" w:fill="F0F0F0"/>
                  <w:vAlign w:val="bottom"/>
                </w:tcPr>
                <w:p>
                  <w:pPr>
                    <w:pStyle w:val="Para 05"/>
                    <w:keepLines w:val="on"/>
                  </w:pPr>
                  <w:r>
                    <w:t>4</w:t>
                  </w:r>
                </w:p>
              </w:tc>
              <w:tc>
                <w:tcPr>
                  <w:tcW w:type="auto" w:w="0"/>
                  <w:shd w:val="clear" w:color="auto" w:fill="F0F0F0"/>
                  <w:vAlign w:val="bottom"/>
                </w:tcPr>
                <w:p>
                  <w:pPr>
                    <w:pStyle w:val="Para 05"/>
                    <w:keepLines w:val="on"/>
                  </w:pPr>
                  <w:r>
                    <w:t>5</w:t>
                  </w:r>
                </w:p>
              </w:tc>
              <w:tc>
                <w:tcPr>
                  <w:tcW w:type="auto" w:w="0"/>
                  <w:shd w:val="clear" w:color="auto" w:fill="F0F0F0"/>
                  <w:vAlign w:val="bottom"/>
                </w:tcPr>
                <w:p>
                  <w:pPr>
                    <w:pStyle w:val="Para 05"/>
                    <w:keepLines w:val="on"/>
                  </w:pPr>
                  <w:r>
                    <w:t>Năm cuối kỳ</w:t>
                  </w:r>
                </w:p>
              </w:tc>
            </w:tr>
            <w:tr>
              <w:tc>
                <w:tcPr>
                  <w:tcW w:type="auto" w:w="0"/>
                  <w:shd w:val="clear" w:color="auto" w:fill="F0F0F0"/>
                </w:tcPr>
                <w:p>
                  <w:pPr>
                    <w:pStyle w:val="Para 02"/>
                    <w:keepLines w:val="on"/>
                  </w:pPr>
                  <w:r>
                    <w:t>EBIT</w:t>
                  </w:r>
                </w:p>
              </w:tc>
              <w:tc>
                <w:tcPr>
                  <w:tcW w:type="auto" w:w="0"/>
                  <w:shd w:val="clear" w:color="auto" w:fill="F0F0F0"/>
                </w:tcPr>
                <w:p>
                  <w:pPr>
                    <w:pStyle w:val="Normal"/>
                    <w:keepLines w:val="on"/>
                  </w:pPr>
                  <w:r>
                    <w:t>$150.00</w:t>
                  </w:r>
                </w:p>
              </w:tc>
              <w:tc>
                <w:tcPr>
                  <w:tcW w:type="auto" w:w="0"/>
                  <w:shd w:val="clear" w:color="auto" w:fill="F0F0F0"/>
                </w:tcPr>
                <w:p>
                  <w:pPr>
                    <w:pStyle w:val="Normal"/>
                    <w:keepLines w:val="on"/>
                  </w:pPr>
                  <w:r>
                    <w:t>$165.00</w:t>
                  </w:r>
                </w:p>
              </w:tc>
              <w:tc>
                <w:tcPr>
                  <w:tcW w:type="auto" w:w="0"/>
                  <w:shd w:val="clear" w:color="auto" w:fill="F0F0F0"/>
                </w:tcPr>
                <w:p>
                  <w:pPr>
                    <w:pStyle w:val="Normal"/>
                    <w:keepLines w:val="on"/>
                  </w:pPr>
                  <w:r>
                    <w:t>$181.50</w:t>
                  </w:r>
                </w:p>
              </w:tc>
              <w:tc>
                <w:tcPr>
                  <w:tcW w:type="auto" w:w="0"/>
                  <w:shd w:val="clear" w:color="auto" w:fill="F0F0F0"/>
                </w:tcPr>
                <w:p>
                  <w:pPr>
                    <w:pStyle w:val="Normal"/>
                    <w:keepLines w:val="on"/>
                  </w:pPr>
                  <w:r>
                    <w:t>$199.65</w:t>
                  </w:r>
                </w:p>
              </w:tc>
              <w:tc>
                <w:tcPr>
                  <w:tcW w:type="auto" w:w="0"/>
                  <w:shd w:val="clear" w:color="auto" w:fill="F0F0F0"/>
                </w:tcPr>
                <w:p>
                  <w:pPr>
                    <w:pStyle w:val="Normal"/>
                    <w:keepLines w:val="on"/>
                  </w:pPr>
                  <w:r>
                    <w:t>$219.62</w:t>
                  </w:r>
                </w:p>
              </w:tc>
              <w:tc>
                <w:tcPr>
                  <w:tcW w:type="auto" w:w="0"/>
                  <w:shd w:val="clear" w:color="auto" w:fill="F0F0F0"/>
                </w:tcPr>
                <w:p>
                  <w:pPr>
                    <w:pStyle w:val="Normal"/>
                    <w:keepLines w:val="on"/>
                  </w:pPr>
                  <w:r>
                    <w:t>$241.58</w:t>
                  </w:r>
                </w:p>
              </w:tc>
              <w:tc>
                <w:tcPr>
                  <w:tcW w:type="auto" w:w="0"/>
                  <w:shd w:val="clear" w:color="auto" w:fill="F0F0F0"/>
                </w:tcPr>
                <w:p>
                  <w:pPr>
                    <w:pStyle w:val="Normal"/>
                    <w:keepLines w:val="on"/>
                  </w:pPr>
                  <w:r>
                    <w:t>$253.66</w:t>
                  </w:r>
                </w:p>
              </w:tc>
            </w:tr>
            <w:tr>
              <w:tc>
                <w:tcPr>
                  <w:tcW w:type="auto" w:w="0"/>
                  <w:shd w:val="clear" w:color="auto" w:fill="F0F0F0"/>
                </w:tcPr>
                <w:p>
                  <w:pPr>
                    <w:pStyle w:val="Para 02"/>
                    <w:keepLines w:val="on"/>
                  </w:pPr>
                  <w:r>
                    <w:t>EBIT(1 − t)</w:t>
                  </w:r>
                </w:p>
              </w:tc>
              <w:tc>
                <w:tcPr>
                  <w:tcW w:type="auto" w:w="0"/>
                  <w:shd w:val="clear" w:color="auto" w:fill="F0F0F0"/>
                </w:tcPr>
                <w:p>
                  <w:pPr>
                    <w:pStyle w:val="Normal"/>
                    <w:keepLines w:val="on"/>
                  </w:pPr>
                  <w:r>
                    <w:t>$120.00</w:t>
                  </w:r>
                </w:p>
              </w:tc>
              <w:tc>
                <w:tcPr>
                  <w:tcW w:type="auto" w:w="0"/>
                  <w:shd w:val="clear" w:color="auto" w:fill="F0F0F0"/>
                </w:tcPr>
                <w:p>
                  <w:pPr>
                    <w:pStyle w:val="Normal"/>
                    <w:keepLines w:val="on"/>
                  </w:pPr>
                  <w:r>
                    <w:t>$132.00</w:t>
                  </w:r>
                </w:p>
              </w:tc>
              <w:tc>
                <w:tcPr>
                  <w:tcW w:type="auto" w:w="0"/>
                  <w:shd w:val="clear" w:color="auto" w:fill="F0F0F0"/>
                </w:tcPr>
                <w:p>
                  <w:pPr>
                    <w:pStyle w:val="Normal"/>
                    <w:keepLines w:val="on"/>
                  </w:pPr>
                  <w:r>
                    <w:t>$145.20</w:t>
                  </w:r>
                </w:p>
              </w:tc>
              <w:tc>
                <w:tcPr>
                  <w:tcW w:type="auto" w:w="0"/>
                  <w:shd w:val="clear" w:color="auto" w:fill="F0F0F0"/>
                </w:tcPr>
                <w:p>
                  <w:pPr>
                    <w:pStyle w:val="Normal"/>
                    <w:keepLines w:val="on"/>
                  </w:pPr>
                  <w:r>
                    <w:t>$159.72</w:t>
                  </w:r>
                </w:p>
              </w:tc>
              <w:tc>
                <w:tcPr>
                  <w:tcW w:type="auto" w:w="0"/>
                  <w:shd w:val="clear" w:color="auto" w:fill="F0F0F0"/>
                </w:tcPr>
                <w:p>
                  <w:pPr>
                    <w:pStyle w:val="Normal"/>
                    <w:keepLines w:val="on"/>
                  </w:pPr>
                  <w:r>
                    <w:t>$175.69</w:t>
                  </w:r>
                </w:p>
              </w:tc>
              <w:tc>
                <w:tcPr>
                  <w:tcW w:type="auto" w:w="0"/>
                  <w:shd w:val="clear" w:color="auto" w:fill="F0F0F0"/>
                </w:tcPr>
                <w:p>
                  <w:pPr>
                    <w:pStyle w:val="Normal"/>
                    <w:keepLines w:val="on"/>
                  </w:pPr>
                  <w:r>
                    <w:t>$193.26</w:t>
                  </w:r>
                </w:p>
              </w:tc>
              <w:tc>
                <w:tcPr>
                  <w:tcW w:type="auto" w:w="0"/>
                  <w:shd w:val="clear" w:color="auto" w:fill="F0F0F0"/>
                </w:tcPr>
                <w:p>
                  <w:pPr>
                    <w:pStyle w:val="Normal"/>
                    <w:keepLines w:val="on"/>
                  </w:pPr>
                  <w:r>
                    <w:t>$202.92</w:t>
                  </w:r>
                </w:p>
              </w:tc>
            </w:tr>
            <w:tr>
              <w:tc>
                <w:tcPr>
                  <w:tcW w:type="auto" w:w="0"/>
                  <w:shd w:val="clear" w:color="auto" w:fill="F0F0F0"/>
                </w:tcPr>
                <w:p>
                  <w:pPr>
                    <w:pStyle w:val="Para 02"/>
                    <w:keepLines w:val="on"/>
                  </w:pPr>
                  <w:r>
                    <w:t>− Tái đầu tư</w:t>
                  </w:r>
                </w:p>
              </w:tc>
              <w:tc>
                <w:tcPr>
                  <w:tcW w:type="auto" w:w="0"/>
                  <w:shd w:val="clear" w:color="auto" w:fill="F0F0F0"/>
                </w:tcPr>
                <w:p>
                  <w:pPr>
                    <w:pStyle w:val="Normal"/>
                    <w:keepLines w:val="on"/>
                  </w:pPr>
                  <w:r>
                    <w:t>$30.00</w:t>
                  </w:r>
                </w:p>
              </w:tc>
              <w:tc>
                <w:tcPr>
                  <w:tcW w:type="auto" w:w="0"/>
                  <w:shd w:val="clear" w:color="auto" w:fill="F0F0F0"/>
                </w:tcPr>
                <w:p>
                  <w:pPr>
                    <w:pStyle w:val="Normal"/>
                    <w:keepLines w:val="on"/>
                  </w:pPr>
                  <w:r>
                    <w:t>$33.00</w:t>
                  </w:r>
                </w:p>
              </w:tc>
              <w:tc>
                <w:tcPr>
                  <w:tcW w:type="auto" w:w="0"/>
                  <w:shd w:val="clear" w:color="auto" w:fill="F0F0F0"/>
                </w:tcPr>
                <w:p>
                  <w:pPr>
                    <w:pStyle w:val="Normal"/>
                    <w:keepLines w:val="on"/>
                  </w:pPr>
                  <w:r>
                    <w:t>$36.30</w:t>
                  </w:r>
                </w:p>
              </w:tc>
              <w:tc>
                <w:tcPr>
                  <w:tcW w:type="auto" w:w="0"/>
                  <w:shd w:val="clear" w:color="auto" w:fill="F0F0F0"/>
                </w:tcPr>
                <w:p>
                  <w:pPr>
                    <w:pStyle w:val="Normal"/>
                    <w:keepLines w:val="on"/>
                  </w:pPr>
                  <w:r>
                    <w:t>$39.93</w:t>
                  </w:r>
                </w:p>
              </w:tc>
              <w:tc>
                <w:tcPr>
                  <w:tcW w:type="auto" w:w="0"/>
                  <w:shd w:val="clear" w:color="auto" w:fill="F0F0F0"/>
                </w:tcPr>
                <w:p>
                  <w:pPr>
                    <w:pStyle w:val="Normal"/>
                    <w:keepLines w:val="on"/>
                  </w:pPr>
                  <w:r>
                    <w:t>$43.92</w:t>
                  </w:r>
                </w:p>
              </w:tc>
              <w:tc>
                <w:tcPr>
                  <w:tcW w:type="auto" w:w="0"/>
                  <w:shd w:val="clear" w:color="auto" w:fill="F0F0F0"/>
                </w:tcPr>
                <w:p>
                  <w:pPr>
                    <w:pStyle w:val="Normal"/>
                    <w:keepLines w:val="on"/>
                  </w:pPr>
                  <w:r>
                    <w:t>$48.32</w:t>
                  </w:r>
                </w:p>
              </w:tc>
              <w:tc>
                <w:tcPr>
                  <w:tcW w:type="auto" w:w="0"/>
                  <w:shd w:val="clear" w:color="auto" w:fill="F0F0F0"/>
                </w:tcPr>
                <w:p>
                  <w:pPr>
                    <w:pStyle w:val="Normal"/>
                    <w:keepLines w:val="on"/>
                  </w:pPr>
                  <w:r>
                    <w:t>$50.73</w:t>
                  </w:r>
                </w:p>
              </w:tc>
            </w:tr>
            <w:tr>
              <w:tc>
                <w:tcPr>
                  <w:tcW w:type="auto" w:w="0"/>
                  <w:shd w:val="clear" w:color="auto" w:fill="F0F0F0"/>
                </w:tcPr>
                <w:p>
                  <w:pPr>
                    <w:pStyle w:val="Para 02"/>
                    <w:keepLines w:val="on"/>
                  </w:pPr>
                  <w:r>
                    <w:t>Dòng tiền tự do cho doanh nghiệp (FCFF)</w:t>
                  </w:r>
                </w:p>
              </w:tc>
              <w:tc>
                <w:tcPr>
                  <w:tcW w:type="auto" w:w="0"/>
                  <w:shd w:val="clear" w:color="auto" w:fill="F0F0F0"/>
                </w:tcPr>
                <w:p>
                  <w:pPr>
                    <w:pStyle w:val="Normal"/>
                    <w:keepLines w:val="on"/>
                  </w:pPr>
                  <w:r>
                    <w:t>$90.00</w:t>
                  </w:r>
                </w:p>
              </w:tc>
              <w:tc>
                <w:tcPr>
                  <w:tcW w:type="auto" w:w="0"/>
                  <w:shd w:val="clear" w:color="auto" w:fill="F0F0F0"/>
                </w:tcPr>
                <w:p>
                  <w:pPr>
                    <w:pStyle w:val="Normal"/>
                    <w:keepLines w:val="on"/>
                  </w:pPr>
                  <w:r>
                    <w:t>$99.00</w:t>
                  </w:r>
                </w:p>
              </w:tc>
              <w:tc>
                <w:tcPr>
                  <w:tcW w:type="auto" w:w="0"/>
                  <w:shd w:val="clear" w:color="auto" w:fill="F0F0F0"/>
                </w:tcPr>
                <w:p>
                  <w:pPr>
                    <w:pStyle w:val="Normal"/>
                    <w:keepLines w:val="on"/>
                  </w:pPr>
                  <w:r>
                    <w:t>$108.90</w:t>
                  </w:r>
                </w:p>
              </w:tc>
              <w:tc>
                <w:tcPr>
                  <w:tcW w:type="auto" w:w="0"/>
                  <w:shd w:val="clear" w:color="auto" w:fill="F0F0F0"/>
                </w:tcPr>
                <w:p>
                  <w:pPr>
                    <w:pStyle w:val="Normal"/>
                    <w:keepLines w:val="on"/>
                  </w:pPr>
                  <w:r>
                    <w:t>$119.79</w:t>
                  </w:r>
                </w:p>
              </w:tc>
              <w:tc>
                <w:tcPr>
                  <w:tcW w:type="auto" w:w="0"/>
                  <w:shd w:val="clear" w:color="auto" w:fill="F0F0F0"/>
                </w:tcPr>
                <w:p>
                  <w:pPr>
                    <w:pStyle w:val="Normal"/>
                    <w:keepLines w:val="on"/>
                  </w:pPr>
                  <w:r>
                    <w:t>$131.77</w:t>
                  </w:r>
                </w:p>
              </w:tc>
              <w:tc>
                <w:tcPr>
                  <w:tcW w:type="auto" w:w="0"/>
                  <w:shd w:val="clear" w:color="auto" w:fill="F0F0F0"/>
                </w:tcPr>
                <w:p>
                  <w:pPr>
                    <w:pStyle w:val="Normal"/>
                    <w:keepLines w:val="on"/>
                  </w:pPr>
                  <w:r>
                    <w:t>$144.95</w:t>
                  </w:r>
                </w:p>
              </w:tc>
              <w:tc>
                <w:tcPr>
                  <w:tcW w:type="auto" w:w="0"/>
                  <w:shd w:val="clear" w:color="auto" w:fill="F0F0F0"/>
                </w:tcPr>
                <w:p>
                  <w:pPr>
                    <w:pStyle w:val="Normal"/>
                    <w:keepLines w:val="on"/>
                  </w:pPr>
                  <w:r>
                    <w:t>$152.19</w:t>
                  </w:r>
                </w:p>
              </w:tc>
            </w:tr>
            <w:tr>
              <w:tc>
                <w:tcPr>
                  <w:tcW w:type="auto" w:w="0"/>
                  <w:shd w:val="clear" w:color="auto" w:fill="F0F0F0"/>
                </w:tcPr>
                <w:p>
                  <w:pPr>
                    <w:pStyle w:val="Para 02"/>
                    <w:keepLines w:val="on"/>
                  </w:pPr>
                  <w:r>
                    <w:t>Giá trị cuối kỳ</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$3,804.83</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trị hiện tại</w:t>
                  </w:r>
                </w:p>
              </w:tc>
              <w:tc>
                <w:tcPr>
                  <w:tcW w:type="auto" w:w="0"/>
                  <w:shd w:val="clear" w:color="auto" w:fill="F0F0F0"/>
                </w:tcPr>
                <w:p>
                  <w:pPr>
                    <w:pStyle w:val="7 Block"/>
                    <w:keepLines w:val="on"/>
                  </w:pPr>
                </w:p>
              </w:tc>
              <w:tc>
                <w:tcPr>
                  <w:tcW w:type="auto" w:w="0"/>
                  <w:shd w:val="clear" w:color="auto" w:fill="F0F0F0"/>
                </w:tcPr>
                <w:p>
                  <w:pPr>
                    <w:pStyle w:val="Normal"/>
                    <w:keepLines w:val="on"/>
                  </w:pPr>
                  <w:r>
                    <w:t>$90.83</w:t>
                  </w:r>
                </w:p>
              </w:tc>
              <w:tc>
                <w:tcPr>
                  <w:tcW w:type="auto" w:w="0"/>
                  <w:shd w:val="clear" w:color="auto" w:fill="F0F0F0"/>
                </w:tcPr>
                <w:p>
                  <w:pPr>
                    <w:pStyle w:val="Normal"/>
                    <w:keepLines w:val="on"/>
                  </w:pPr>
                  <w:r>
                    <w:t>$91.66</w:t>
                  </w:r>
                </w:p>
              </w:tc>
              <w:tc>
                <w:tcPr>
                  <w:tcW w:type="auto" w:w="0"/>
                  <w:shd w:val="clear" w:color="auto" w:fill="F0F0F0"/>
                </w:tcPr>
                <w:p>
                  <w:pPr>
                    <w:pStyle w:val="Normal"/>
                    <w:keepLines w:val="on"/>
                  </w:pPr>
                  <w:r>
                    <w:t>$92.50</w:t>
                  </w:r>
                </w:p>
              </w:tc>
              <w:tc>
                <w:tcPr>
                  <w:tcW w:type="auto" w:w="0"/>
                  <w:shd w:val="clear" w:color="auto" w:fill="F0F0F0"/>
                </w:tcPr>
                <w:p>
                  <w:pPr>
                    <w:pStyle w:val="Normal"/>
                    <w:keepLines w:val="on"/>
                  </w:pPr>
                  <w:r>
                    <w:t>$93.35</w:t>
                  </w:r>
                </w:p>
              </w:tc>
              <w:tc>
                <w:tcPr>
                  <w:tcW w:type="auto" w:w="0"/>
                  <w:shd w:val="clear" w:color="auto" w:fill="F0F0F0"/>
                </w:tcPr>
                <w:p>
                  <w:pPr>
                    <w:pStyle w:val="Normal"/>
                    <w:keepLines w:val="on"/>
                  </w:pPr>
                  <w:r>
                    <w:t>$2,567.08</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trị doanh nghiệp</w:t>
                  </w:r>
                </w:p>
              </w:tc>
              <w:tc>
                <w:tcPr>
                  <w:tcW w:type="auto" w:w="0"/>
                  <w:shd w:val="clear" w:color="auto" w:fill="F0F0F0"/>
                </w:tcPr>
                <w:p>
                  <w:pPr>
                    <w:pStyle w:val="Normal"/>
                    <w:keepLines w:val="on"/>
                  </w:pPr>
                  <w:r>
                    <w:t>$2,935.42</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bl>
          <w:p/>
        </w:tc>
      </w:tr>
    </w:tbl>
    <w:p>
      <w:pPr>
        <w:pStyle w:val="Para 04"/>
        <w:keepLines w:val="on"/>
      </w:pPr>
      <w:r>
        <w:t>Giá trị này dựa trên giả định ngầm rằng doanh nghiệp sẽ không bao giờ phải trả thuế hoãn lại.</w:t>
      </w:r>
    </w:p>
    <w:p>
      <w:pPr>
        <w:pStyle w:val="Para 04"/>
        <w:keepLines w:val="on"/>
      </w:pPr>
      <w:r>
        <w:t>Cách tiếp cận 2: Thuế suất biên mãi mãi</w:t>
      </w:r>
    </w:p>
    <w:p>
      <w:pPr>
        <w:pStyle w:val="Para 04"/>
        <w:keepLines w:val="on"/>
      </w:pPr>
      <w:r>
        <w:t>Tiếp theo, chúng ta ước tính giá trị của Convoy với giả định thuế suất là thuế suất biên 40% mãi mãi:</w:t>
      </w:r>
    </w:p>
    <w:tbl>
      <w:tblPr>
        <w:tblW w:type="auto" w:w="0"/>
      </w:tblPr>
      <w:tr>
        <w:tc>
          <w:tcPr>
            <w:tcW w:type="auto" w:w="0"/>
          </w:tcPr>
          <w:tbl>
            <w:tblPr>
              <w:tblW w:type="auto" w:w="0"/>
            </w:tblPr>
            <w:tr>
              <w:tc>
                <w:tcPr>
                  <w:tcW w:type="auto" w:w="0"/>
                  <w:shd w:val="clear" w:color="auto" w:fill="F0F0F0"/>
                </w:tcPr>
                <w:p>
                  <w:pPr>
                    <w:pStyle w:val="Para 32"/>
                    <w:keepLines w:val="on"/>
                  </w:pPr>
                  <w:r>
                    <w:t>Thuế suất</w:t>
                  </w:r>
                </w:p>
              </w:tc>
              <w:tc>
                <w:tcPr>
                  <w:tcW w:type="auto" w:w="0"/>
                  <w:shd w:val="clear" w:color="auto" w:fill="F0F0F0"/>
                </w:tcPr>
                <w:p>
                  <w:pPr>
                    <w:pStyle w:val="Para 05"/>
                    <w:keepLines w:val="on"/>
                  </w:pPr>
                  <w:r>
                    <w:t>20%</w:t>
                  </w:r>
                </w:p>
              </w:tc>
              <w:tc>
                <w:tcPr>
                  <w:tcW w:type="auto" w:w="0"/>
                  <w:shd w:val="clear" w:color="auto" w:fill="F0F0F0"/>
                </w:tcPr>
                <w:p>
                  <w:pPr>
                    <w:pStyle w:val="Para 05"/>
                    <w:keepLines w:val="on"/>
                  </w:pPr>
                  <w:r>
                    <w:t>40%</w:t>
                  </w:r>
                </w:p>
              </w:tc>
              <w:tc>
                <w:tcPr>
                  <w:tcW w:type="auto" w:w="0"/>
                  <w:shd w:val="clear" w:color="auto" w:fill="F0F0F0"/>
                </w:tcPr>
                <w:p>
                  <w:pPr>
                    <w:pStyle w:val="Para 05"/>
                    <w:keepLines w:val="on"/>
                  </w:pPr>
                  <w:r>
                    <w:t>40%</w:t>
                  </w:r>
                </w:p>
              </w:tc>
              <w:tc>
                <w:tcPr>
                  <w:tcW w:type="auto" w:w="0"/>
                  <w:shd w:val="clear" w:color="auto" w:fill="F0F0F0"/>
                </w:tcPr>
                <w:p>
                  <w:pPr>
                    <w:pStyle w:val="Para 05"/>
                    <w:keepLines w:val="on"/>
                  </w:pPr>
                  <w:r>
                    <w:t>40%</w:t>
                  </w:r>
                </w:p>
              </w:tc>
              <w:tc>
                <w:tcPr>
                  <w:tcW w:type="auto" w:w="0"/>
                  <w:shd w:val="clear" w:color="auto" w:fill="F0F0F0"/>
                </w:tcPr>
                <w:p>
                  <w:pPr>
                    <w:pStyle w:val="Para 05"/>
                    <w:keepLines w:val="on"/>
                  </w:pPr>
                  <w:r>
                    <w:t>40%</w:t>
                  </w:r>
                </w:p>
              </w:tc>
              <w:tc>
                <w:tcPr>
                  <w:tcW w:type="auto" w:w="0"/>
                  <w:shd w:val="clear" w:color="auto" w:fill="F0F0F0"/>
                </w:tcPr>
                <w:p>
                  <w:pPr>
                    <w:pStyle w:val="Para 05"/>
                    <w:keepLines w:val="on"/>
                  </w:pPr>
                  <w:r>
                    <w:t>40%</w:t>
                  </w:r>
                </w:p>
              </w:tc>
              <w:tc>
                <w:tcPr>
                  <w:tcW w:type="auto" w:w="0"/>
                  <w:shd w:val="clear" w:color="auto" w:fill="F0F0F0"/>
                </w:tcPr>
                <w:p>
                  <w:pPr>
                    <w:pStyle w:val="Para 05"/>
                    <w:keepLines w:val="on"/>
                  </w:pPr>
                  <w:r>
                    <w:t>40%</w:t>
                  </w:r>
                </w:p>
              </w:tc>
            </w:tr>
            <w:tr>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Năm hiện tại</w:t>
                  </w:r>
                </w:p>
              </w:tc>
              <w:tc>
                <w:tcPr>
                  <w:tcW w:type="auto" w:w="0"/>
                  <w:shd w:val="clear" w:color="auto" w:fill="F0F0F0"/>
                  <w:vAlign w:val="bottom"/>
                </w:tcPr>
                <w:p>
                  <w:pPr>
                    <w:pStyle w:val="Para 05"/>
                    <w:keepLines w:val="on"/>
                  </w:pPr>
                  <w:r>
                    <w:t>1</w:t>
                  </w:r>
                </w:p>
              </w:tc>
              <w:tc>
                <w:tcPr>
                  <w:tcW w:type="auto" w:w="0"/>
                  <w:shd w:val="clear" w:color="auto" w:fill="F0F0F0"/>
                  <w:vAlign w:val="bottom"/>
                </w:tcPr>
                <w:p>
                  <w:pPr>
                    <w:pStyle w:val="Para 05"/>
                    <w:keepLines w:val="on"/>
                  </w:pPr>
                  <w:r>
                    <w:t>2</w:t>
                  </w:r>
                </w:p>
              </w:tc>
              <w:tc>
                <w:tcPr>
                  <w:tcW w:type="auto" w:w="0"/>
                  <w:shd w:val="clear" w:color="auto" w:fill="F0F0F0"/>
                  <w:vAlign w:val="bottom"/>
                </w:tcPr>
                <w:p>
                  <w:pPr>
                    <w:pStyle w:val="Para 05"/>
                    <w:keepLines w:val="on"/>
                  </w:pPr>
                  <w:r>
                    <w:t>3</w:t>
                  </w:r>
                </w:p>
              </w:tc>
              <w:tc>
                <w:tcPr>
                  <w:tcW w:type="auto" w:w="0"/>
                  <w:shd w:val="clear" w:color="auto" w:fill="F0F0F0"/>
                  <w:vAlign w:val="bottom"/>
                </w:tcPr>
                <w:p>
                  <w:pPr>
                    <w:pStyle w:val="Para 05"/>
                    <w:keepLines w:val="on"/>
                  </w:pPr>
                  <w:r>
                    <w:t>4</w:t>
                  </w:r>
                </w:p>
              </w:tc>
              <w:tc>
                <w:tcPr>
                  <w:tcW w:type="auto" w:w="0"/>
                  <w:shd w:val="clear" w:color="auto" w:fill="F0F0F0"/>
                  <w:vAlign w:val="bottom"/>
                </w:tcPr>
                <w:p>
                  <w:pPr>
                    <w:pStyle w:val="Para 05"/>
                    <w:keepLines w:val="on"/>
                  </w:pPr>
                  <w:r>
                    <w:t>5</w:t>
                  </w:r>
                </w:p>
              </w:tc>
              <w:tc>
                <w:tcPr>
                  <w:tcW w:type="auto" w:w="0"/>
                  <w:shd w:val="clear" w:color="auto" w:fill="F0F0F0"/>
                  <w:vAlign w:val="bottom"/>
                </w:tcPr>
                <w:p>
                  <w:pPr>
                    <w:pStyle w:val="Para 05"/>
                    <w:keepLines w:val="on"/>
                  </w:pPr>
                  <w:r>
                    <w:t>Năm kết thúc (Terminal Year)</w:t>
                  </w:r>
                </w:p>
              </w:tc>
            </w:tr>
            <w:tr>
              <w:tc>
                <w:tcPr>
                  <w:tcW w:type="auto" w:w="0"/>
                  <w:shd w:val="clear" w:color="auto" w:fill="F0F0F0"/>
                </w:tcPr>
                <w:p>
                  <w:pPr>
                    <w:pStyle w:val="Para 02"/>
                    <w:keepLines w:val="on"/>
                  </w:pPr>
                  <w:r>
                    <w:t>EBIT</w:t>
                  </w:r>
                </w:p>
              </w:tc>
              <w:tc>
                <w:tcPr>
                  <w:tcW w:type="auto" w:w="0"/>
                  <w:shd w:val="clear" w:color="auto" w:fill="F0F0F0"/>
                </w:tcPr>
                <w:p>
                  <w:pPr>
                    <w:pStyle w:val="Normal"/>
                    <w:keepLines w:val="on"/>
                  </w:pPr>
                  <w:r>
                    <w:t>$150.00</w:t>
                  </w:r>
                </w:p>
              </w:tc>
              <w:tc>
                <w:tcPr>
                  <w:tcW w:type="auto" w:w="0"/>
                  <w:shd w:val="clear" w:color="auto" w:fill="F0F0F0"/>
                </w:tcPr>
                <w:p>
                  <w:pPr>
                    <w:pStyle w:val="Normal"/>
                    <w:keepLines w:val="on"/>
                  </w:pPr>
                  <w:r>
                    <w:t>$165.00</w:t>
                  </w:r>
                </w:p>
              </w:tc>
              <w:tc>
                <w:tcPr>
                  <w:tcW w:type="auto" w:w="0"/>
                  <w:shd w:val="clear" w:color="auto" w:fill="F0F0F0"/>
                </w:tcPr>
                <w:p>
                  <w:pPr>
                    <w:pStyle w:val="Normal"/>
                    <w:keepLines w:val="on"/>
                  </w:pPr>
                  <w:r>
                    <w:t>$181.50</w:t>
                  </w:r>
                </w:p>
              </w:tc>
              <w:tc>
                <w:tcPr>
                  <w:tcW w:type="auto" w:w="0"/>
                  <w:shd w:val="clear" w:color="auto" w:fill="F0F0F0"/>
                </w:tcPr>
                <w:p>
                  <w:pPr>
                    <w:pStyle w:val="Normal"/>
                    <w:keepLines w:val="on"/>
                  </w:pPr>
                  <w:r>
                    <w:t>$199.65</w:t>
                  </w:r>
                </w:p>
              </w:tc>
              <w:tc>
                <w:tcPr>
                  <w:tcW w:type="auto" w:w="0"/>
                  <w:shd w:val="clear" w:color="auto" w:fill="F0F0F0"/>
                </w:tcPr>
                <w:p>
                  <w:pPr>
                    <w:pStyle w:val="Normal"/>
                    <w:keepLines w:val="on"/>
                  </w:pPr>
                  <w:r>
                    <w:t>$219.62</w:t>
                  </w:r>
                </w:p>
              </w:tc>
              <w:tc>
                <w:tcPr>
                  <w:tcW w:type="auto" w:w="0"/>
                  <w:shd w:val="clear" w:color="auto" w:fill="F0F0F0"/>
                </w:tcPr>
                <w:p>
                  <w:pPr>
                    <w:pStyle w:val="Normal"/>
                    <w:keepLines w:val="on"/>
                  </w:pPr>
                  <w:r>
                    <w:t>$241.58</w:t>
                  </w:r>
                </w:p>
              </w:tc>
              <w:tc>
                <w:tcPr>
                  <w:tcW w:type="auto" w:w="0"/>
                  <w:shd w:val="clear" w:color="auto" w:fill="F0F0F0"/>
                </w:tcPr>
                <w:p>
                  <w:pPr>
                    <w:pStyle w:val="Normal"/>
                    <w:keepLines w:val="on"/>
                  </w:pPr>
                  <w:r>
                    <w:t>$253.66</w:t>
                  </w:r>
                </w:p>
              </w:tc>
            </w:tr>
            <w:tr>
              <w:tc>
                <w:tcPr>
                  <w:tcW w:type="auto" w:w="0"/>
                  <w:shd w:val="clear" w:color="auto" w:fill="F0F0F0"/>
                </w:tcPr>
                <w:p>
                  <w:pPr>
                    <w:pStyle w:val="Para 02"/>
                    <w:keepLines w:val="on"/>
                  </w:pPr>
                  <w:r>
                    <w:t>EBIT(1 − t)</w:t>
                  </w:r>
                </w:p>
              </w:tc>
              <w:tc>
                <w:tcPr>
                  <w:tcW w:type="auto" w:w="0"/>
                  <w:shd w:val="clear" w:color="auto" w:fill="F0F0F0"/>
                </w:tcPr>
                <w:p>
                  <w:pPr>
                    <w:pStyle w:val="Normal"/>
                    <w:keepLines w:val="on"/>
                  </w:pPr>
                  <w:r>
                    <w:t>$120.00</w:t>
                  </w:r>
                </w:p>
              </w:tc>
              <w:tc>
                <w:tcPr>
                  <w:tcW w:type="auto" w:w="0"/>
                  <w:shd w:val="clear" w:color="auto" w:fill="F0F0F0"/>
                </w:tcPr>
                <w:p>
                  <w:pPr>
                    <w:pStyle w:val="Normal"/>
                    <w:keepLines w:val="on"/>
                  </w:pPr>
                  <w:r>
                    <w:t>$99.00</w:t>
                  </w:r>
                </w:p>
              </w:tc>
              <w:tc>
                <w:tcPr>
                  <w:tcW w:type="auto" w:w="0"/>
                  <w:shd w:val="clear" w:color="auto" w:fill="F0F0F0"/>
                </w:tcPr>
                <w:p>
                  <w:pPr>
                    <w:pStyle w:val="Normal"/>
                    <w:keepLines w:val="on"/>
                  </w:pPr>
                  <w:r>
                    <w:t>$108.90</w:t>
                  </w:r>
                </w:p>
              </w:tc>
              <w:tc>
                <w:tcPr>
                  <w:tcW w:type="auto" w:w="0"/>
                  <w:shd w:val="clear" w:color="auto" w:fill="F0F0F0"/>
                </w:tcPr>
                <w:p>
                  <w:pPr>
                    <w:pStyle w:val="Normal"/>
                    <w:keepLines w:val="on"/>
                  </w:pPr>
                  <w:r>
                    <w:t>$119.79</w:t>
                  </w:r>
                </w:p>
              </w:tc>
              <w:tc>
                <w:tcPr>
                  <w:tcW w:type="auto" w:w="0"/>
                  <w:shd w:val="clear" w:color="auto" w:fill="F0F0F0"/>
                </w:tcPr>
                <w:p>
                  <w:pPr>
                    <w:pStyle w:val="Normal"/>
                    <w:keepLines w:val="on"/>
                  </w:pPr>
                  <w:r>
                    <w:t>$131.77</w:t>
                  </w:r>
                </w:p>
              </w:tc>
              <w:tc>
                <w:tcPr>
                  <w:tcW w:type="auto" w:w="0"/>
                  <w:shd w:val="clear" w:color="auto" w:fill="F0F0F0"/>
                </w:tcPr>
                <w:p>
                  <w:pPr>
                    <w:pStyle w:val="Normal"/>
                    <w:keepLines w:val="on"/>
                  </w:pPr>
                  <w:r>
                    <w:t>$144.95</w:t>
                  </w:r>
                </w:p>
              </w:tc>
              <w:tc>
                <w:tcPr>
                  <w:tcW w:type="auto" w:w="0"/>
                  <w:shd w:val="clear" w:color="auto" w:fill="F0F0F0"/>
                </w:tcPr>
                <w:p>
                  <w:pPr>
                    <w:pStyle w:val="Normal"/>
                    <w:keepLines w:val="on"/>
                  </w:pPr>
                  <w:r>
                    <w:t>$152,19</w:t>
                  </w:r>
                </w:p>
              </w:tc>
            </w:tr>
            <w:tr>
              <w:tc>
                <w:tcPr>
                  <w:tcW w:type="auto" w:w="0"/>
                  <w:shd w:val="clear" w:color="auto" w:fill="F0F0F0"/>
                </w:tcPr>
                <w:p>
                  <w:pPr>
                    <w:pStyle w:val="Para 02"/>
                    <w:keepLines w:val="on"/>
                  </w:pPr>
                  <w:r>
                    <w:t>− Tái đầu tư</w:t>
                  </w:r>
                </w:p>
              </w:tc>
              <w:tc>
                <w:tcPr>
                  <w:tcW w:type="auto" w:w="0"/>
                  <w:shd w:val="clear" w:color="auto" w:fill="F0F0F0"/>
                </w:tcPr>
                <w:p>
                  <w:pPr>
                    <w:pStyle w:val="Normal"/>
                    <w:keepLines w:val="on"/>
                  </w:pPr>
                  <w:r>
                    <w:t>$30,00</w:t>
                  </w:r>
                </w:p>
              </w:tc>
              <w:tc>
                <w:tcPr>
                  <w:tcW w:type="auto" w:w="0"/>
                  <w:shd w:val="clear" w:color="auto" w:fill="F0F0F0"/>
                </w:tcPr>
                <w:p>
                  <w:pPr>
                    <w:pStyle w:val="Normal"/>
                    <w:keepLines w:val="on"/>
                  </w:pPr>
                  <w:r>
                    <w:t>$33,00</w:t>
                  </w:r>
                </w:p>
              </w:tc>
              <w:tc>
                <w:tcPr>
                  <w:tcW w:type="auto" w:w="0"/>
                  <w:shd w:val="clear" w:color="auto" w:fill="F0F0F0"/>
                </w:tcPr>
                <w:p>
                  <w:pPr>
                    <w:pStyle w:val="Normal"/>
                    <w:keepLines w:val="on"/>
                  </w:pPr>
                  <w:r>
                    <w:t>$36,30</w:t>
                  </w:r>
                </w:p>
              </w:tc>
              <w:tc>
                <w:tcPr>
                  <w:tcW w:type="auto" w:w="0"/>
                  <w:shd w:val="clear" w:color="auto" w:fill="F0F0F0"/>
                </w:tcPr>
                <w:p>
                  <w:pPr>
                    <w:pStyle w:val="Normal"/>
                    <w:keepLines w:val="on"/>
                  </w:pPr>
                  <w:r>
                    <w:t>$39,93</w:t>
                  </w:r>
                </w:p>
              </w:tc>
              <w:tc>
                <w:tcPr>
                  <w:tcW w:type="auto" w:w="0"/>
                  <w:shd w:val="clear" w:color="auto" w:fill="F0F0F0"/>
                </w:tcPr>
                <w:p>
                  <w:pPr>
                    <w:pStyle w:val="Normal"/>
                    <w:keepLines w:val="on"/>
                  </w:pPr>
                  <w:r>
                    <w:t>$43,92</w:t>
                  </w:r>
                </w:p>
              </w:tc>
              <w:tc>
                <w:tcPr>
                  <w:tcW w:type="auto" w:w="0"/>
                  <w:shd w:val="clear" w:color="auto" w:fill="F0F0F0"/>
                </w:tcPr>
                <w:p>
                  <w:pPr>
                    <w:pStyle w:val="Normal"/>
                    <w:keepLines w:val="on"/>
                  </w:pPr>
                  <w:r>
                    <w:t>$48,32</w:t>
                  </w:r>
                </w:p>
              </w:tc>
              <w:tc>
                <w:tcPr>
                  <w:tcW w:type="auto" w:w="0"/>
                  <w:shd w:val="clear" w:color="auto" w:fill="F0F0F0"/>
                </w:tcPr>
                <w:p>
                  <w:pPr>
                    <w:pStyle w:val="Normal"/>
                    <w:keepLines w:val="on"/>
                  </w:pPr>
                  <w:r>
                    <w:t>$50,73</w:t>
                  </w:r>
                </w:p>
              </w:tc>
            </w:tr>
            <w:tr>
              <w:tc>
                <w:tcPr>
                  <w:tcW w:type="auto" w:w="0"/>
                  <w:shd w:val="clear" w:color="auto" w:fill="F0F0F0"/>
                </w:tcPr>
                <w:p>
                  <w:pPr>
                    <w:pStyle w:val="Para 02"/>
                    <w:keepLines w:val="on"/>
                  </w:pPr>
                  <w:r>
                    <w:t>FCFF</w:t>
                  </w:r>
                </w:p>
              </w:tc>
              <w:tc>
                <w:tcPr>
                  <w:tcW w:type="auto" w:w="0"/>
                  <w:shd w:val="clear" w:color="auto" w:fill="F0F0F0"/>
                </w:tcPr>
                <w:p>
                  <w:pPr>
                    <w:pStyle w:val="Normal"/>
                    <w:keepLines w:val="on"/>
                  </w:pPr>
                  <w:r>
                    <w:t>$90,00</w:t>
                  </w:r>
                </w:p>
              </w:tc>
              <w:tc>
                <w:tcPr>
                  <w:tcW w:type="auto" w:w="0"/>
                  <w:shd w:val="clear" w:color="auto" w:fill="F0F0F0"/>
                </w:tcPr>
                <w:p>
                  <w:pPr>
                    <w:pStyle w:val="Normal"/>
                    <w:keepLines w:val="on"/>
                  </w:pPr>
                  <w:r>
                    <w:t>$66,00</w:t>
                  </w:r>
                </w:p>
              </w:tc>
              <w:tc>
                <w:tcPr>
                  <w:tcW w:type="auto" w:w="0"/>
                  <w:shd w:val="clear" w:color="auto" w:fill="F0F0F0"/>
                </w:tcPr>
                <w:p>
                  <w:pPr>
                    <w:pStyle w:val="Normal"/>
                    <w:keepLines w:val="on"/>
                  </w:pPr>
                  <w:r>
                    <w:t>$72,60</w:t>
                  </w:r>
                </w:p>
              </w:tc>
              <w:tc>
                <w:tcPr>
                  <w:tcW w:type="auto" w:w="0"/>
                  <w:shd w:val="clear" w:color="auto" w:fill="F0F0F0"/>
                </w:tcPr>
                <w:p>
                  <w:pPr>
                    <w:pStyle w:val="Normal"/>
                    <w:keepLines w:val="on"/>
                  </w:pPr>
                  <w:r>
                    <w:t>$79,86</w:t>
                  </w:r>
                </w:p>
              </w:tc>
              <w:tc>
                <w:tcPr>
                  <w:tcW w:type="auto" w:w="0"/>
                  <w:shd w:val="clear" w:color="auto" w:fill="F0F0F0"/>
                </w:tcPr>
                <w:p>
                  <w:pPr>
                    <w:pStyle w:val="Normal"/>
                    <w:keepLines w:val="on"/>
                  </w:pPr>
                  <w:r>
                    <w:t>$87,85</w:t>
                  </w:r>
                </w:p>
              </w:tc>
              <w:tc>
                <w:tcPr>
                  <w:tcW w:type="auto" w:w="0"/>
                  <w:shd w:val="clear" w:color="auto" w:fill="F0F0F0"/>
                </w:tcPr>
                <w:p>
                  <w:pPr>
                    <w:pStyle w:val="Normal"/>
                    <w:keepLines w:val="on"/>
                  </w:pPr>
                  <w:r>
                    <w:t>$96,63</w:t>
                  </w:r>
                </w:p>
              </w:tc>
              <w:tc>
                <w:tcPr>
                  <w:tcW w:type="auto" w:w="0"/>
                  <w:shd w:val="clear" w:color="auto" w:fill="F0F0F0"/>
                </w:tcPr>
                <w:p>
                  <w:pPr>
                    <w:pStyle w:val="Normal"/>
                    <w:keepLines w:val="on"/>
                  </w:pPr>
                  <w:r>
                    <w:t>$101,46</w:t>
                  </w:r>
                </w:p>
              </w:tc>
            </w:tr>
            <w:tr>
              <w:tc>
                <w:tcPr>
                  <w:tcW w:type="auto" w:w="0"/>
                  <w:shd w:val="clear" w:color="auto" w:fill="F0F0F0"/>
                </w:tcPr>
                <w:p>
                  <w:pPr>
                    <w:pStyle w:val="Para 02"/>
                    <w:keepLines w:val="on"/>
                  </w:pPr>
                  <w:r>
                    <w:t>Giá trị cuối kỳ</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$2.536,55</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trị hiện tại</w:t>
                  </w:r>
                </w:p>
              </w:tc>
              <w:tc>
                <w:tcPr>
                  <w:tcW w:type="auto" w:w="0"/>
                  <w:shd w:val="clear" w:color="auto" w:fill="F0F0F0"/>
                </w:tcPr>
                <w:p>
                  <w:pPr>
                    <w:pStyle w:val="7 Block"/>
                    <w:keepLines w:val="on"/>
                  </w:pPr>
                </w:p>
              </w:tc>
              <w:tc>
                <w:tcPr>
                  <w:tcW w:type="auto" w:w="0"/>
                  <w:shd w:val="clear" w:color="auto" w:fill="F0F0F0"/>
                </w:tcPr>
                <w:p>
                  <w:pPr>
                    <w:pStyle w:val="Normal"/>
                    <w:keepLines w:val="on"/>
                  </w:pPr>
                  <w:r>
                    <w:t>$60,55</w:t>
                  </w:r>
                </w:p>
              </w:tc>
              <w:tc>
                <w:tcPr>
                  <w:tcW w:type="auto" w:w="0"/>
                  <w:shd w:val="clear" w:color="auto" w:fill="F0F0F0"/>
                </w:tcPr>
                <w:p>
                  <w:pPr>
                    <w:pStyle w:val="Normal"/>
                    <w:keepLines w:val="on"/>
                  </w:pPr>
                  <w:r>
                    <w:t>$61,11</w:t>
                  </w:r>
                </w:p>
              </w:tc>
              <w:tc>
                <w:tcPr>
                  <w:tcW w:type="auto" w:w="0"/>
                  <w:shd w:val="clear" w:color="auto" w:fill="F0F0F0"/>
                </w:tcPr>
                <w:p>
                  <w:pPr>
                    <w:pStyle w:val="Normal"/>
                    <w:keepLines w:val="on"/>
                  </w:pPr>
                  <w:r>
                    <w:t>$61,67</w:t>
                  </w:r>
                </w:p>
              </w:tc>
              <w:tc>
                <w:tcPr>
                  <w:tcW w:type="auto" w:w="0"/>
                  <w:shd w:val="clear" w:color="auto" w:fill="F0F0F0"/>
                </w:tcPr>
                <w:p>
                  <w:pPr>
                    <w:pStyle w:val="Normal"/>
                    <w:keepLines w:val="on"/>
                  </w:pPr>
                  <w:r>
                    <w:t>$62,23</w:t>
                  </w:r>
                </w:p>
              </w:tc>
              <w:tc>
                <w:tcPr>
                  <w:tcW w:type="auto" w:w="0"/>
                  <w:shd w:val="clear" w:color="auto" w:fill="F0F0F0"/>
                </w:tcPr>
                <w:p>
                  <w:pPr>
                    <w:pStyle w:val="Normal"/>
                    <w:keepLines w:val="on"/>
                  </w:pPr>
                  <w:r>
                    <w:t>$1.711,39</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trị doanh nghiệp</w:t>
                  </w:r>
                </w:p>
              </w:tc>
              <w:tc>
                <w:tcPr>
                  <w:tcW w:type="auto" w:w="0"/>
                  <w:shd w:val="clear" w:color="auto" w:fill="F0F0F0"/>
                </w:tcPr>
                <w:p>
                  <w:pPr>
                    <w:pStyle w:val="Normal"/>
                    <w:keepLines w:val="on"/>
                  </w:pPr>
                  <w:r>
                    <w:t>$1,956.94</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bl>
          <w:p/>
        </w:tc>
      </w:tr>
    </w:tbl>
    <w:p>
      <w:pPr>
        <w:pStyle w:val="Para 04"/>
        <w:keepLines w:val="on"/>
      </w:pPr>
      <w:r>
        <w:t>Giá trị doanh nghiệp này dựa trên giả định ngầm rằng doanh nghiệp không thể hoãn thuế kể từ thời điểm này trở đi. Thực tế, một cách diễn giải thậm chí còn thận trọng hơn sẽ gợi ý rằng chúng ta nên giảm giá trị này đi một khoản bằng lượng thuế hoãn lại lũy kế từ quá khứ. Vì vậy, nếu doanh nghiệp có 200 triệu đô la thuế hoãn lại từ các năm trước, và dự kiến trả số thuế này trong bốn năm tới với các khoản trả góp hằng năm bằng nhau là 50 triệu đô la, trước tiên chúng ta sẽ tính giá trị hiện tại của các khoản thanh toán thuế này:</w:t>
      </w:r>
    </w:p>
    <w:p>
      <w:bookmarkStart w:id="1738" w:name="Present_value_of_deferred_tax_pa"/>
      <w:pPr>
        <w:keepNext/>
        <w:pStyle w:val="Para 07"/>
        <w:keepLines w:val="on"/>
      </w:pPr>
      <w:r>
        <w:t>Giá trị hiện tại của các khoản thanh toán thuế hoãn lại = 50 triệu đô la (PV của niên kim, 9%, 4 năm) = 161,99 triệu đô la</w:t>
      </w:r>
      <w:bookmarkEnd w:id="1738"/>
    </w:p>
    <w:p>
      <w:pPr>
        <w:pStyle w:val="Para 04"/>
        <w:keepLines w:val="on"/>
      </w:pPr>
      <w:r>
        <w:t>Khi đó giá trị của doanh nghiệp sẽ là 1.794,95 triệu đô la.</w:t>
      </w:r>
    </w:p>
    <w:p>
      <w:bookmarkStart w:id="1739" w:name="Firm_value_after_deferred_tax__1"/>
      <w:pPr>
        <w:keepNext/>
        <w:pStyle w:val="Para 07"/>
        <w:keepLines w:val="on"/>
      </w:pPr>
      <w:r>
        <w:t>Giá trị doanh nghiệp sau thuế hoãn lại = $1,956.94 - $161.99 = $1,794.95</w:t>
      </w:r>
      <w:bookmarkEnd w:id="1739"/>
    </w:p>
    <w:p>
      <w:pPr>
        <w:pStyle w:val="Para 04"/>
        <w:keepLines w:val="on"/>
      </w:pPr>
      <w:r>
        <w:t>Cách tiếp cận 3: Thuế suất hỗn hợp</w:t>
      </w:r>
    </w:p>
    <w:p>
      <w:pPr>
        <w:pStyle w:val="Para 04"/>
        <w:keepLines w:val="on"/>
      </w:pPr>
      <w:r>
        <w:t>Trong cách tiếp cận cuối cùng, chúng ta sẽ giả định rằng thuế suất thực tế sẽ duy trì ở mức 20% trong năm năm, và chúng ta sẽ dùng thuế suất biên để tính giá trị cuối kỳ:</w:t>
      </w:r>
    </w:p>
    <w:tbl>
      <w:tblPr>
        <w:tblW w:type="auto" w:w="0"/>
      </w:tblPr>
      <w:tr>
        <w:tc>
          <w:tcPr>
            <w:tcW w:type="auto" w:w="0"/>
          </w:tcPr>
          <w:tbl>
            <w:tblPr>
              <w:tblW w:type="auto" w:w="0"/>
            </w:tblPr>
            <w:tr>
              <w:tc>
                <w:tcPr>
                  <w:tcW w:type="auto" w:w="0"/>
                  <w:shd w:val="clear" w:color="auto" w:fill="F0F0F0"/>
                </w:tcPr>
                <w:p>
                  <w:pPr>
                    <w:pStyle w:val="Para 32"/>
                    <w:keepLines w:val="on"/>
                  </w:pPr>
                  <w:r>
                    <w:t>Thuế suất</w:t>
                  </w:r>
                </w:p>
              </w:tc>
              <w:tc>
                <w:tcPr>
                  <w:tcW w:type="auto" w:w="0"/>
                  <w:shd w:val="clear" w:color="auto" w:fill="F0F0F0"/>
                </w:tcPr>
                <w:p>
                  <w:pPr>
                    <w:pStyle w:val="Para 05"/>
                    <w:keepLines w:val="on"/>
                  </w:pPr>
                  <w:r>
                    <w:t>20%</w:t>
                  </w:r>
                </w:p>
              </w:tc>
              <w:tc>
                <w:tcPr>
                  <w:tcW w:type="auto" w:w="0"/>
                  <w:shd w:val="clear" w:color="auto" w:fill="F0F0F0"/>
                </w:tcPr>
                <w:p>
                  <w:pPr>
                    <w:pStyle w:val="Para 05"/>
                    <w:keepLines w:val="on"/>
                  </w:pPr>
                  <w:r>
                    <w:t>20%</w:t>
                  </w:r>
                </w:p>
              </w:tc>
              <w:tc>
                <w:tcPr>
                  <w:tcW w:type="auto" w:w="0"/>
                  <w:shd w:val="clear" w:color="auto" w:fill="F0F0F0"/>
                </w:tcPr>
                <w:p>
                  <w:pPr>
                    <w:pStyle w:val="Para 05"/>
                    <w:keepLines w:val="on"/>
                  </w:pPr>
                  <w:r>
                    <w:t>20%</w:t>
                  </w:r>
                </w:p>
              </w:tc>
              <w:tc>
                <w:tcPr>
                  <w:tcW w:type="auto" w:w="0"/>
                  <w:shd w:val="clear" w:color="auto" w:fill="F0F0F0"/>
                </w:tcPr>
                <w:p>
                  <w:pPr>
                    <w:pStyle w:val="Para 05"/>
                    <w:keepLines w:val="on"/>
                  </w:pPr>
                  <w:r>
                    <w:t>20%</w:t>
                  </w:r>
                </w:p>
              </w:tc>
              <w:tc>
                <w:tcPr>
                  <w:tcW w:type="auto" w:w="0"/>
                  <w:shd w:val="clear" w:color="auto" w:fill="F0F0F0"/>
                </w:tcPr>
                <w:p>
                  <w:pPr>
                    <w:pStyle w:val="Para 05"/>
                    <w:keepLines w:val="on"/>
                  </w:pPr>
                  <w:r>
                    <w:t>20%</w:t>
                  </w:r>
                </w:p>
              </w:tc>
              <w:tc>
                <w:tcPr>
                  <w:tcW w:type="auto" w:w="0"/>
                  <w:shd w:val="clear" w:color="auto" w:fill="F0F0F0"/>
                </w:tcPr>
                <w:p>
                  <w:pPr>
                    <w:pStyle w:val="Para 05"/>
                    <w:keepLines w:val="on"/>
                  </w:pPr>
                  <w:r>
                    <w:t>20%</w:t>
                  </w:r>
                </w:p>
              </w:tc>
              <w:tc>
                <w:tcPr>
                  <w:tcW w:type="auto" w:w="0"/>
                  <w:shd w:val="clear" w:color="auto" w:fill="F0F0F0"/>
                </w:tcPr>
                <w:p>
                  <w:pPr>
                    <w:pStyle w:val="Para 05"/>
                    <w:keepLines w:val="on"/>
                  </w:pPr>
                  <w:r>
                    <w:t>40%</w:t>
                  </w:r>
                </w:p>
              </w:tc>
            </w:tr>
            <w:tr>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Năm hiện tại</w:t>
                  </w:r>
                </w:p>
              </w:tc>
              <w:tc>
                <w:tcPr>
                  <w:tcW w:type="auto" w:w="0"/>
                  <w:shd w:val="clear" w:color="auto" w:fill="F0F0F0"/>
                  <w:vAlign w:val="bottom"/>
                </w:tcPr>
                <w:p>
                  <w:pPr>
                    <w:pStyle w:val="Para 05"/>
                    <w:keepLines w:val="on"/>
                  </w:pPr>
                  <w:r>
                    <w:t>1</w:t>
                  </w:r>
                </w:p>
              </w:tc>
              <w:tc>
                <w:tcPr>
                  <w:tcW w:type="auto" w:w="0"/>
                  <w:shd w:val="clear" w:color="auto" w:fill="F0F0F0"/>
                  <w:vAlign w:val="bottom"/>
                </w:tcPr>
                <w:p>
                  <w:pPr>
                    <w:pStyle w:val="Para 05"/>
                    <w:keepLines w:val="on"/>
                  </w:pPr>
                  <w:r>
                    <w:t>2</w:t>
                  </w:r>
                </w:p>
              </w:tc>
              <w:tc>
                <w:tcPr>
                  <w:tcW w:type="auto" w:w="0"/>
                  <w:shd w:val="clear" w:color="auto" w:fill="F0F0F0"/>
                  <w:vAlign w:val="bottom"/>
                </w:tcPr>
                <w:p>
                  <w:pPr>
                    <w:pStyle w:val="Para 05"/>
                    <w:keepLines w:val="on"/>
                  </w:pPr>
                  <w:r>
                    <w:t>3</w:t>
                  </w:r>
                </w:p>
              </w:tc>
              <w:tc>
                <w:tcPr>
                  <w:tcW w:type="auto" w:w="0"/>
                  <w:shd w:val="clear" w:color="auto" w:fill="F0F0F0"/>
                  <w:vAlign w:val="bottom"/>
                </w:tcPr>
                <w:p>
                  <w:pPr>
                    <w:pStyle w:val="Para 05"/>
                    <w:keepLines w:val="on"/>
                  </w:pPr>
                  <w:r>
                    <w:t>4</w:t>
                  </w:r>
                </w:p>
              </w:tc>
              <w:tc>
                <w:tcPr>
                  <w:tcW w:type="auto" w:w="0"/>
                  <w:shd w:val="clear" w:color="auto" w:fill="F0F0F0"/>
                  <w:vAlign w:val="bottom"/>
                </w:tcPr>
                <w:p>
                  <w:pPr>
                    <w:pStyle w:val="Para 05"/>
                    <w:keepLines w:val="on"/>
                  </w:pPr>
                  <w:r>
                    <w:t>5</w:t>
                  </w:r>
                </w:p>
              </w:tc>
              <w:tc>
                <w:tcPr>
                  <w:tcW w:type="auto" w:w="0"/>
                  <w:shd w:val="clear" w:color="auto" w:fill="F0F0F0"/>
                  <w:vAlign w:val="bottom"/>
                </w:tcPr>
                <w:p>
                  <w:pPr>
                    <w:pStyle w:val="Para 05"/>
                    <w:keepLines w:val="on"/>
                  </w:pPr>
                  <w:r>
                    <w:t>Năm cuối kỳ</w:t>
                  </w:r>
                </w:p>
              </w:tc>
            </w:tr>
            <w:tr>
              <w:tc>
                <w:tcPr>
                  <w:tcW w:type="auto" w:w="0"/>
                  <w:shd w:val="clear" w:color="auto" w:fill="F0F0F0"/>
                </w:tcPr>
                <w:p>
                  <w:pPr>
                    <w:pStyle w:val="Para 02"/>
                    <w:keepLines w:val="on"/>
                  </w:pPr>
                  <w:r>
                    <w:t>EBIT</w:t>
                  </w:r>
                </w:p>
              </w:tc>
              <w:tc>
                <w:tcPr>
                  <w:tcW w:type="auto" w:w="0"/>
                  <w:shd w:val="clear" w:color="auto" w:fill="F0F0F0"/>
                </w:tcPr>
                <w:p>
                  <w:pPr>
                    <w:pStyle w:val="Normal"/>
                    <w:keepLines w:val="on"/>
                  </w:pPr>
                  <w:r>
                    <w:t>$150.00</w:t>
                  </w:r>
                </w:p>
              </w:tc>
              <w:tc>
                <w:tcPr>
                  <w:tcW w:type="auto" w:w="0"/>
                  <w:shd w:val="clear" w:color="auto" w:fill="F0F0F0"/>
                </w:tcPr>
                <w:p>
                  <w:pPr>
                    <w:pStyle w:val="Normal"/>
                    <w:keepLines w:val="on"/>
                  </w:pPr>
                  <w:r>
                    <w:t>$165,00</w:t>
                  </w:r>
                </w:p>
              </w:tc>
              <w:tc>
                <w:tcPr>
                  <w:tcW w:type="auto" w:w="0"/>
                  <w:shd w:val="clear" w:color="auto" w:fill="F0F0F0"/>
                </w:tcPr>
                <w:p>
                  <w:pPr>
                    <w:pStyle w:val="Normal"/>
                    <w:keepLines w:val="on"/>
                  </w:pPr>
                  <w:r>
                    <w:t>$181,50</w:t>
                  </w:r>
                </w:p>
              </w:tc>
              <w:tc>
                <w:tcPr>
                  <w:tcW w:type="auto" w:w="0"/>
                  <w:shd w:val="clear" w:color="auto" w:fill="F0F0F0"/>
                </w:tcPr>
                <w:p>
                  <w:pPr>
                    <w:pStyle w:val="Normal"/>
                    <w:keepLines w:val="on"/>
                  </w:pPr>
                  <w:r>
                    <w:t>$199,65</w:t>
                  </w:r>
                </w:p>
              </w:tc>
              <w:tc>
                <w:tcPr>
                  <w:tcW w:type="auto" w:w="0"/>
                  <w:shd w:val="clear" w:color="auto" w:fill="F0F0F0"/>
                </w:tcPr>
                <w:p>
                  <w:pPr>
                    <w:pStyle w:val="Normal"/>
                    <w:keepLines w:val="on"/>
                  </w:pPr>
                  <w:r>
                    <w:t>$219,62</w:t>
                  </w:r>
                </w:p>
              </w:tc>
              <w:tc>
                <w:tcPr>
                  <w:tcW w:type="auto" w:w="0"/>
                  <w:shd w:val="clear" w:color="auto" w:fill="F0F0F0"/>
                </w:tcPr>
                <w:p>
                  <w:pPr>
                    <w:pStyle w:val="Normal"/>
                    <w:keepLines w:val="on"/>
                  </w:pPr>
                  <w:r>
                    <w:t>$241,58</w:t>
                  </w:r>
                </w:p>
              </w:tc>
              <w:tc>
                <w:tcPr>
                  <w:tcW w:type="auto" w:w="0"/>
                  <w:shd w:val="clear" w:color="auto" w:fill="F0F0F0"/>
                </w:tcPr>
                <w:p>
                  <w:pPr>
                    <w:pStyle w:val="Normal"/>
                    <w:keepLines w:val="on"/>
                  </w:pPr>
                  <w:r>
                    <w:t>$253,66</w:t>
                  </w:r>
                </w:p>
              </w:tc>
            </w:tr>
            <w:tr>
              <w:tc>
                <w:tcPr>
                  <w:tcW w:type="auto" w:w="0"/>
                  <w:shd w:val="clear" w:color="auto" w:fill="F0F0F0"/>
                </w:tcPr>
                <w:p>
                  <w:pPr>
                    <w:pStyle w:val="Para 02"/>
                    <w:keepLines w:val="on"/>
                  </w:pPr>
                  <w:r>
                    <w:t>EBIT(1 − t)</w:t>
                  </w:r>
                </w:p>
              </w:tc>
              <w:tc>
                <w:tcPr>
                  <w:tcW w:type="auto" w:w="0"/>
                  <w:shd w:val="clear" w:color="auto" w:fill="F0F0F0"/>
                </w:tcPr>
                <w:p>
                  <w:pPr>
                    <w:pStyle w:val="Normal"/>
                    <w:keepLines w:val="on"/>
                  </w:pPr>
                  <w:r>
                    <w:t>$120,00</w:t>
                  </w:r>
                </w:p>
              </w:tc>
              <w:tc>
                <w:tcPr>
                  <w:tcW w:type="auto" w:w="0"/>
                  <w:shd w:val="clear" w:color="auto" w:fill="F0F0F0"/>
                </w:tcPr>
                <w:p>
                  <w:pPr>
                    <w:pStyle w:val="Normal"/>
                    <w:keepLines w:val="on"/>
                  </w:pPr>
                  <w:r>
                    <w:t>$132,00</w:t>
                  </w:r>
                </w:p>
              </w:tc>
              <w:tc>
                <w:tcPr>
                  <w:tcW w:type="auto" w:w="0"/>
                  <w:shd w:val="clear" w:color="auto" w:fill="F0F0F0"/>
                </w:tcPr>
                <w:p>
                  <w:pPr>
                    <w:pStyle w:val="Normal"/>
                    <w:keepLines w:val="on"/>
                  </w:pPr>
                  <w:r>
                    <w:t>$145,20</w:t>
                  </w:r>
                </w:p>
              </w:tc>
              <w:tc>
                <w:tcPr>
                  <w:tcW w:type="auto" w:w="0"/>
                  <w:shd w:val="clear" w:color="auto" w:fill="F0F0F0"/>
                </w:tcPr>
                <w:p>
                  <w:pPr>
                    <w:pStyle w:val="Normal"/>
                    <w:keepLines w:val="on"/>
                  </w:pPr>
                  <w:r>
                    <w:t>$159,72</w:t>
                  </w:r>
                </w:p>
              </w:tc>
              <w:tc>
                <w:tcPr>
                  <w:tcW w:type="auto" w:w="0"/>
                  <w:shd w:val="clear" w:color="auto" w:fill="F0F0F0"/>
                </w:tcPr>
                <w:p>
                  <w:pPr>
                    <w:pStyle w:val="Normal"/>
                    <w:keepLines w:val="on"/>
                  </w:pPr>
                  <w:r>
                    <w:t>$175,69</w:t>
                  </w:r>
                </w:p>
              </w:tc>
              <w:tc>
                <w:tcPr>
                  <w:tcW w:type="auto" w:w="0"/>
                  <w:shd w:val="clear" w:color="auto" w:fill="F0F0F0"/>
                </w:tcPr>
                <w:p>
                  <w:pPr>
                    <w:pStyle w:val="Normal"/>
                    <w:keepLines w:val="on"/>
                  </w:pPr>
                  <w:r>
                    <w:t>$193,26</w:t>
                  </w:r>
                </w:p>
              </w:tc>
              <w:tc>
                <w:tcPr>
                  <w:tcW w:type="auto" w:w="0"/>
                  <w:shd w:val="clear" w:color="auto" w:fill="F0F0F0"/>
                </w:tcPr>
                <w:p>
                  <w:pPr>
                    <w:pStyle w:val="Normal"/>
                    <w:keepLines w:val="on"/>
                  </w:pPr>
                  <w:r>
                    <w:t>$152,19</w:t>
                  </w:r>
                </w:p>
              </w:tc>
            </w:tr>
            <w:tr>
              <w:tc>
                <w:tcPr>
                  <w:tcW w:type="auto" w:w="0"/>
                  <w:shd w:val="clear" w:color="auto" w:fill="F0F0F0"/>
                </w:tcPr>
                <w:p>
                  <w:pPr>
                    <w:pStyle w:val="Para 02"/>
                    <w:keepLines w:val="on"/>
                  </w:pPr>
                  <w:r>
                    <w:t>− Tái đầu tư</w:t>
                  </w:r>
                </w:p>
              </w:tc>
              <w:tc>
                <w:tcPr>
                  <w:tcW w:type="auto" w:w="0"/>
                  <w:shd w:val="clear" w:color="auto" w:fill="F0F0F0"/>
                </w:tcPr>
                <w:p>
                  <w:pPr>
                    <w:pStyle w:val="Normal"/>
                    <w:keepLines w:val="on"/>
                  </w:pPr>
                  <w:r>
                    <w:t>$30,00</w:t>
                  </w:r>
                </w:p>
              </w:tc>
              <w:tc>
                <w:tcPr>
                  <w:tcW w:type="auto" w:w="0"/>
                  <w:shd w:val="clear" w:color="auto" w:fill="F0F0F0"/>
                </w:tcPr>
                <w:p>
                  <w:pPr>
                    <w:pStyle w:val="Normal"/>
                    <w:keepLines w:val="on"/>
                  </w:pPr>
                  <w:r>
                    <w:t>$33,00</w:t>
                  </w:r>
                </w:p>
              </w:tc>
              <w:tc>
                <w:tcPr>
                  <w:tcW w:type="auto" w:w="0"/>
                  <w:shd w:val="clear" w:color="auto" w:fill="F0F0F0"/>
                </w:tcPr>
                <w:p>
                  <w:pPr>
                    <w:pStyle w:val="Normal"/>
                    <w:keepLines w:val="on"/>
                  </w:pPr>
                  <w:r>
                    <w:t>$36,30</w:t>
                  </w:r>
                </w:p>
              </w:tc>
              <w:tc>
                <w:tcPr>
                  <w:tcW w:type="auto" w:w="0"/>
                  <w:shd w:val="clear" w:color="auto" w:fill="F0F0F0"/>
                </w:tcPr>
                <w:p>
                  <w:pPr>
                    <w:pStyle w:val="Normal"/>
                    <w:keepLines w:val="on"/>
                  </w:pPr>
                  <w:r>
                    <w:t>$39,93</w:t>
                  </w:r>
                </w:p>
              </w:tc>
              <w:tc>
                <w:tcPr>
                  <w:tcW w:type="auto" w:w="0"/>
                  <w:shd w:val="clear" w:color="auto" w:fill="F0F0F0"/>
                </w:tcPr>
                <w:p>
                  <w:pPr>
                    <w:pStyle w:val="Normal"/>
                    <w:keepLines w:val="on"/>
                  </w:pPr>
                  <w:r>
                    <w:t>$43,92</w:t>
                  </w:r>
                </w:p>
              </w:tc>
              <w:tc>
                <w:tcPr>
                  <w:tcW w:type="auto" w:w="0"/>
                  <w:shd w:val="clear" w:color="auto" w:fill="F0F0F0"/>
                </w:tcPr>
                <w:p>
                  <w:pPr>
                    <w:pStyle w:val="Normal"/>
                    <w:keepLines w:val="on"/>
                  </w:pPr>
                  <w:r>
                    <w:t>$48,32</w:t>
                  </w:r>
                </w:p>
              </w:tc>
              <w:tc>
                <w:tcPr>
                  <w:tcW w:type="auto" w:w="0"/>
                  <w:shd w:val="clear" w:color="auto" w:fill="F0F0F0"/>
                </w:tcPr>
                <w:p>
                  <w:pPr>
                    <w:pStyle w:val="Normal"/>
                    <w:keepLines w:val="on"/>
                  </w:pPr>
                  <w:r>
                    <w:t>$50,73</w:t>
                  </w:r>
                </w:p>
              </w:tc>
            </w:tr>
            <w:tr>
              <w:tc>
                <w:tcPr>
                  <w:tcW w:type="auto" w:w="0"/>
                  <w:shd w:val="clear" w:color="auto" w:fill="F0F0F0"/>
                </w:tcPr>
                <w:p>
                  <w:pPr>
                    <w:pStyle w:val="Para 02"/>
                    <w:keepLines w:val="on"/>
                  </w:pPr>
                  <w:r>
                    <w:t>FCFF</w:t>
                  </w:r>
                </w:p>
              </w:tc>
              <w:tc>
                <w:tcPr>
                  <w:tcW w:type="auto" w:w="0"/>
                  <w:shd w:val="clear" w:color="auto" w:fill="F0F0F0"/>
                </w:tcPr>
                <w:p>
                  <w:pPr>
                    <w:pStyle w:val="Normal"/>
                    <w:keepLines w:val="on"/>
                  </w:pPr>
                  <w:r>
                    <w:t>$90,00</w:t>
                  </w:r>
                </w:p>
              </w:tc>
              <w:tc>
                <w:tcPr>
                  <w:tcW w:type="auto" w:w="0"/>
                  <w:shd w:val="clear" w:color="auto" w:fill="F0F0F0"/>
                </w:tcPr>
                <w:p>
                  <w:pPr>
                    <w:pStyle w:val="Normal"/>
                    <w:keepLines w:val="on"/>
                  </w:pPr>
                  <w:r>
                    <w:t>$99,00</w:t>
                  </w:r>
                </w:p>
              </w:tc>
              <w:tc>
                <w:tcPr>
                  <w:tcW w:type="auto" w:w="0"/>
                  <w:shd w:val="clear" w:color="auto" w:fill="F0F0F0"/>
                </w:tcPr>
                <w:p>
                  <w:pPr>
                    <w:pStyle w:val="Normal"/>
                    <w:keepLines w:val="on"/>
                  </w:pPr>
                  <w:r>
                    <w:t>$108,90</w:t>
                  </w:r>
                </w:p>
              </w:tc>
              <w:tc>
                <w:tcPr>
                  <w:tcW w:type="auto" w:w="0"/>
                  <w:shd w:val="clear" w:color="auto" w:fill="F0F0F0"/>
                </w:tcPr>
                <w:p>
                  <w:pPr>
                    <w:pStyle w:val="Normal"/>
                    <w:keepLines w:val="on"/>
                  </w:pPr>
                  <w:r>
                    <w:t>$119,79</w:t>
                  </w:r>
                </w:p>
              </w:tc>
              <w:tc>
                <w:tcPr>
                  <w:tcW w:type="auto" w:w="0"/>
                  <w:shd w:val="clear" w:color="auto" w:fill="F0F0F0"/>
                </w:tcPr>
                <w:p>
                  <w:pPr>
                    <w:pStyle w:val="Normal"/>
                    <w:keepLines w:val="on"/>
                  </w:pPr>
                  <w:r>
                    <w:t>$131,77</w:t>
                  </w:r>
                </w:p>
              </w:tc>
              <w:tc>
                <w:tcPr>
                  <w:tcW w:type="auto" w:w="0"/>
                  <w:shd w:val="clear" w:color="auto" w:fill="F0F0F0"/>
                </w:tcPr>
                <w:p>
                  <w:pPr>
                    <w:pStyle w:val="Normal"/>
                    <w:keepLines w:val="on"/>
                  </w:pPr>
                  <w:r>
                    <w:t>$144,95</w:t>
                  </w:r>
                </w:p>
              </w:tc>
              <w:tc>
                <w:tcPr>
                  <w:tcW w:type="auto" w:w="0"/>
                  <w:shd w:val="clear" w:color="auto" w:fill="F0F0F0"/>
                </w:tcPr>
                <w:p>
                  <w:pPr>
                    <w:pStyle w:val="Normal"/>
                    <w:keepLines w:val="on"/>
                  </w:pPr>
                  <w:r>
                    <w:t>$101,46</w:t>
                  </w:r>
                </w:p>
              </w:tc>
            </w:tr>
            <w:tr>
              <w:tc>
                <w:tcPr>
                  <w:tcW w:type="auto" w:w="0"/>
                  <w:shd w:val="clear" w:color="auto" w:fill="F0F0F0"/>
                </w:tcPr>
                <w:p>
                  <w:pPr>
                    <w:pStyle w:val="Para 02"/>
                    <w:keepLines w:val="on"/>
                  </w:pPr>
                  <w:r>
                    <w:t>Giá trị cuối kỳ</w:t>
                  </w:r>
                </w:p>
              </w:tc>
              <w:tc>
                <w:tcPr>
                  <w:tcW w:type="auto" w:w="0"/>
                  <w:shd w:val="clear" w:color="auto" w:fill="F0F0F0"/>
                </w:tcPr>
                <w:p>
                  <w:pPr>
                    <w:pStyle w:val="Normal"/>
                    <w:keepLines w:val="on"/>
                  </w:pPr>
                  <w:r>
                    <w:t>$2.536,55</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trị hiện tại</w:t>
                  </w:r>
                </w:p>
              </w:tc>
              <w:tc>
                <w:tcPr>
                  <w:tcW w:type="auto" w:w="0"/>
                  <w:shd w:val="clear" w:color="auto" w:fill="F0F0F0"/>
                </w:tcPr>
                <w:p>
                  <w:pPr>
                    <w:pStyle w:val="7 Block"/>
                    <w:keepLines w:val="on"/>
                  </w:pPr>
                </w:p>
              </w:tc>
              <w:tc>
                <w:tcPr>
                  <w:tcW w:type="auto" w:w="0"/>
                  <w:shd w:val="clear" w:color="auto" w:fill="F0F0F0"/>
                </w:tcPr>
                <w:p>
                  <w:pPr>
                    <w:pStyle w:val="Normal"/>
                    <w:keepLines w:val="on"/>
                  </w:pPr>
                  <w:r>
                    <w:t>$90,83</w:t>
                  </w:r>
                </w:p>
              </w:tc>
              <w:tc>
                <w:tcPr>
                  <w:tcW w:type="auto" w:w="0"/>
                  <w:shd w:val="clear" w:color="auto" w:fill="F0F0F0"/>
                </w:tcPr>
                <w:p>
                  <w:pPr>
                    <w:pStyle w:val="Normal"/>
                    <w:keepLines w:val="on"/>
                  </w:pPr>
                  <w:r>
                    <w:t>$91,66</w:t>
                  </w:r>
                </w:p>
              </w:tc>
              <w:tc>
                <w:tcPr>
                  <w:tcW w:type="auto" w:w="0"/>
                  <w:shd w:val="clear" w:color="auto" w:fill="F0F0F0"/>
                </w:tcPr>
                <w:p>
                  <w:pPr>
                    <w:pStyle w:val="Normal"/>
                    <w:keepLines w:val="on"/>
                  </w:pPr>
                  <w:r>
                    <w:t>$92,50</w:t>
                  </w:r>
                </w:p>
              </w:tc>
              <w:tc>
                <w:tcPr>
                  <w:tcW w:type="auto" w:w="0"/>
                  <w:shd w:val="clear" w:color="auto" w:fill="F0F0F0"/>
                </w:tcPr>
                <w:p>
                  <w:pPr>
                    <w:pStyle w:val="Normal"/>
                    <w:keepLines w:val="on"/>
                  </w:pPr>
                  <w:r>
                    <w:t>$93,35</w:t>
                  </w:r>
                </w:p>
              </w:tc>
              <w:tc>
                <w:tcPr>
                  <w:tcW w:type="auto" w:w="0"/>
                  <w:shd w:val="clear" w:color="auto" w:fill="F0F0F0"/>
                </w:tcPr>
                <w:p>
                  <w:pPr>
                    <w:pStyle w:val="Normal"/>
                    <w:keepLines w:val="on"/>
                  </w:pPr>
                  <w:r>
                    <w:t>$1.742,79</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trị doanh nghiệp</w:t>
                  </w:r>
                </w:p>
              </w:tc>
              <w:tc>
                <w:tcPr>
                  <w:tcW w:type="auto" w:w="0"/>
                  <w:shd w:val="clear" w:color="auto" w:fill="F0F0F0"/>
                </w:tcPr>
                <w:p>
                  <w:pPr>
                    <w:pStyle w:val="Normal"/>
                    <w:keepLines w:val="on"/>
                  </w:pPr>
                  <w:r>
                    <w:t>$2.111,12</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bl>
          <w:p/>
        </w:tc>
      </w:tr>
    </w:tbl>
    <w:p>
      <w:pPr>
        <w:pStyle w:val="Para 04"/>
        <w:keepLines w:val="on"/>
      </w:pPr>
      <w:r>
        <w:t>Tuy nhiên, lưu ý rằng việc sử dụng thuế suất thực tế (effective tax rate) cho năm năm đầu tiên sẽ làm tăng khoản thuế thu nhập hoãn lại phải trả (deferred tax liability) của doanh nghiệp. Giả sử doanh nghiệp kết thúc năm hiện tại với khoản thuế thu nhập hoãn lại phải trả lũy kế là 200 triệu đô la, chúng ta có thể tính khoản thuế thu nhập hoãn lại phải trả vào cuối năm thứ năm:</w:t>
      </w:r>
    </w:p>
    <w:p>
      <w:bookmarkStart w:id="1741" w:name="Expected_deferred_tax_liability"/>
      <w:pPr>
        <w:keepNext/>
        <w:pStyle w:val="Para 07"/>
        <w:keepLines w:val="on"/>
      </w:pPr>
      <w:r>
        <w:t>Thuế thu nhập hoãn lại phải trả dự kiến=$200+($165+$181,5+$199,65+$219,62+ $241,58)×(0,40-0,20)=$401,47 triệu đô la</w:t>
      </w:r>
      <w:bookmarkEnd w:id="1741"/>
    </w:p>
    <w:p>
      <w:pPr>
        <w:pStyle w:val="Para 04"/>
        <w:keepLines w:val="on"/>
      </w:pPr>
      <w:r>
        <w:t>Chúng ta sẽ giả định rằng doanh nghiệp sẽ thanh toán khoản thuế thu nhập hoãn lại phải trả này sau năm thứ 5, nhưng chia đều các khoản thanh toán trong 10 năm, dẫn đến giá trị hiện tại là 167,45 triệu đô la.</w:t>
      </w:r>
    </w:p>
    <w:p>
      <w:bookmarkStart w:id="1742" w:name="Present_value_of_deferred_tax_pa_1"/>
      <w:pPr>
        <w:keepNext/>
        <w:pStyle w:val="Para 07"/>
        <w:keepLines w:val="on"/>
      </w:pPr>
      <w:r>
        <w:t>Giá trị hiện tại của các khoản thanh toán thuế hoãn lại=($401,47/10)(PV của niên kim, 9%, 10 năm)/1,09^5=$167,45 triệu đô la</w:t>
      </w:r>
      <w:bookmarkEnd w:id="1742"/>
    </w:p>
    <w:p>
      <w:pPr>
        <w:pStyle w:val="Para 04"/>
        <w:keepLines w:val="on"/>
      </w:pPr>
      <w:r>
        <w:t>Lưu ý rằng các khoản thanh toán này không bắt đầu cho đến năm thứ sáu, và do đó được chiết khấu thêm năm năm nữa. Giá trị của doanh nghiệp sau đó có thể được ước tính:</w:t>
      </w:r>
    </w:p>
    <w:p>
      <w:bookmarkStart w:id="1743" w:name="Value_of_firm__2_111_12__167_45"/>
      <w:pPr>
        <w:keepNext/>
        <w:pStyle w:val="Para 07"/>
        <w:keepLines w:val="on"/>
      </w:pPr>
      <w:r>
        <w:t>Giá trị doanh nghiệp=$2.111,12-$167,45=$1.943,67 triệu đô la</w:t>
      </w:r>
      <w:bookmarkEnd w:id="1743"/>
    </w:p>
    <w:p>
      <w:pPr>
        <w:pStyle w:val="Para 11"/>
      </w:pPr>
      <w:r>
        <w:t/>
        <w:t xml:space="preserve"> </w:t>
      </w:r>
    </w:p>
    <w:p>
      <w:bookmarkStart w:id="1744" w:name="taxrate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92"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1744"/>
    </w:p>
    <w:p>
      <w:pPr>
        <w:pStyle w:val="Para 31"/>
        <w:keepLines w:val="on"/>
      </w:pPr>
      <w:r>
        <w:t>taxrate.xls: Bộ dữ liệu này trên web tóm tắt thuế suất thực tế trung bình theo nhóm ngành ở Hoa Kỳ cho quý gần nhất.</w:t>
      </w:r>
    </w:p>
    <w:p>
      <w:bookmarkStart w:id="1745" w:name="Effect_of_Net_Operating_Losses"/>
      <w:bookmarkStart w:id="1746" w:name="Effect_of_Net_Operating_Losses_1"/>
      <w:pPr>
        <w:keepNext/>
        <w:pStyle w:val="Heading 3"/>
        <w:keepLines w:val="on"/>
      </w:pPr>
      <w:r>
        <w:t>Ảnh hưởng của Lỗ Hoạt động Thuần</w:t>
      </w:r>
      <w:bookmarkEnd w:id="1745"/>
      <w:bookmarkEnd w:id="1746"/>
    </w:p>
    <w:p>
      <w:pPr>
        <w:pStyle w:val="Para 03"/>
      </w:pPr>
      <w:r>
        <w:t>Đối với các doanh nghiệp có khoản lỗ hoạt động thuần (net operating losses) lớn được chuyển sang kỳ sau hoặc tiếp tục bị lỗ hoạt động, có tiềm năng tiết kiệm thuế đáng kể trong vài năm đầu tiên khi họ tạo ra thu nhập dương. Có hai cách để nắm bắt ảnh hưởng này.</w:t>
      </w:r>
    </w:p>
    <w:p>
      <w:pPr>
        <w:pStyle w:val="Para 03"/>
      </w:pPr>
      <w:r>
        <w:t>Một là thay đổi thuế suất theo thời gian. Trong những năm đầu, các doanh nghiệp này sẽ có thuế suất bằng không, vì khoản lỗ chuyển sang kỳ sau sẽ bù trừ thu nhập. Khi khoản lỗ hoạt động thuần được sử dụng hết, thuế suất sẽ tăng dần lên mức thuế suất biên (marginal tax rate). Khi thuế suất được sử dụng để ước tính thu nhập hoạt động sau thuế thay đổi, thuế suất được sử dụng để tính chi phí nợ sau thuế trong việc tính chi phí vốn (cost of capital) cũng cần thay đổi. Do đó, đối với một doanh nghiệp có khoản lỗ hoạt động thuần chuyển sang kỳ sau, thuế suất được sử dụng cho cả việc tính thu nhập hoạt động sau thuế và chi phí vốn sẽ bằng không trong những năm mà khoản lỗ bù trừ thu nhập.</w:t>
      </w:r>
    </w:p>
    <w:p>
      <w:pPr>
        <w:pStyle w:val="Para 03"/>
      </w:pPr>
      <w:r>
        <w:t>Cách tiếp cận khác thường được dùng khi định giá những công ty đã có lợi nhuận dương nhưng lại đang mang một khoản lỗ hoạt động ròng (net operating loss) chuyển sang kỳ sau với số tiền lớn. Các nhà phân tích sẽ định giá công ty mà bỏ qua khoản tiết kiệm thuế tạo ra từ các khoản lỗ hoạt động ròng, rồi cộng thêm vào con số đó khoản tiết kiệm thuế kỳ vọng từ những khoản lỗ này. Thường thì khoản tiết kiệm thuế kỳ vọng được ước tính bằng cách nhân thuế suất với khoản lỗ hoạt động ròng. Hạn chế của cách làm này là nó giả định rằng khoản tiết kiệm thuế vừa được đảm bảo chắc chắn, vừa xảy ra ngay lập tức. Thực tế, công ty phải tạo ra lợi nhuận thì mới có được khoản tiết kiệm thuế đó, mà lợi nhuận thì luôn có yếu tố bất định — nên cách tính này sẽ thổi phồng giá trị của khoản tiết kiệm thuế.</w:t>
      </w:r>
    </w:p>
    <w:p>
      <w:pPr>
        <w:pStyle w:val="Para 03"/>
      </w:pPr>
      <w:r>
        <w:t>Còn hai điểm cuối cần nói về các khoản lỗ hoạt động. Thứ nhất, nếu một bên có tiềm năng mua lại công ty có thể tận dụng khoản tiết kiệm thuế từ lỗ hoạt động ròng sớm hơn chính công ty đang tạo ra khoản lỗ đó, thì có thể xuất hiện tiềm năng cộng hưởng về thuế (tax synergy) — điều chúng ta sẽ xem xét ở Chương 25 khi bàn về mua bán và sáp nhập. Thứ hai, có những quốc gia áp đặt giới hạn đáng kể về việc khoản lỗ hoạt động được chuyển sang bao xa trong tương lai. Nếu rơi vào trường hợp này, giá trị của các khoản lỗ hoạt động ròng có thể bị giảm đi.</w:t>
      </w:r>
    </w:p>
    <w:p>
      <w:pPr>
        <w:pStyle w:val="Para 11"/>
      </w:pPr>
      <w:r>
        <w:t/>
        <w:t xml:space="preserve"> </w:t>
      </w:r>
    </w:p>
    <w:p>
      <w:bookmarkStart w:id="1748" w:name="ILLUSTRATION_10_2___The_Effect_o_1"/>
      <w:bookmarkStart w:id="1749" w:name="ILLUSTRATION_10_2___The_Effect_o"/>
      <w:pPr>
        <w:keepNext/>
        <w:pStyle w:val="Para 19"/>
        <w:keepLines w:val="on"/>
      </w:pPr>
      <w:r>
        <w:t>MINH HỌA 10.2: Ảnh hưởng của lỗ hoạt động ròng lên giá trị: Tesla Motors năm 2011</w:t>
      </w:r>
      <w:bookmarkEnd w:id="1748"/>
      <w:bookmarkEnd w:id="1749"/>
    </w:p>
    <w:p>
      <w:pPr>
        <w:pStyle w:val="Para 04"/>
        <w:keepLines w:val="on"/>
      </w:pPr>
      <w:r>
        <w:t>Phần minh họa này xem xét ảnh hưởng của cả khoản lỗ hoạt động ròng (NOL) chuyển sang kỳ sau lẫn các khoản lỗ dự kiến trong những giai đoạn tương lai lên thuế suất của Tesla Motors, hãng xe điện, vào năm 2011. Tesla báo cáo khoản lỗ hoạt động 65,5 triệu đô-la trong năm 2010, trên doanh thu 116,74 triệu đô-la, và đã tích lũy khoản lỗ hoạt động ròng 140,64 triệu đô-la tính đến cuối năm đó.</w:t>
      </w:r>
    </w:p>
    <w:p>
      <w:pPr>
        <w:pStyle w:val="Para 04"/>
        <w:keepLines w:val="on"/>
      </w:pPr>
      <w:r>
        <w:t>Dù tình hình công ty trông có vẻ ảm đạm, chúng tôi giả định rằng doanh thu sẽ tăng trưởng đáng kể trong thập kỷ tới, và biên lợi nhuận hoạt động của công ty sẽ hội tụ về mức trung bình ngành là 10% dành cho các hãng ô tô trưởng thành và khỏe mạnh. Bảng sau tóm tắt dự phóng của chúng tôi về doanh thu và thu nhập hoạt động của Tesla trong 10 năm tới:</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Doanh thu</w:t>
                  </w:r>
                </w:p>
              </w:tc>
              <w:tc>
                <w:tcPr>
                  <w:tcW w:type="auto" w:w="0"/>
                  <w:shd w:val="clear" w:color="auto" w:fill="F0F0F0"/>
                </w:tcPr>
                <w:p>
                  <w:pPr>
                    <w:pStyle w:val="Para 05"/>
                    <w:keepLines w:val="on"/>
                  </w:pPr>
                  <w:r>
                    <w:t>Thu nhập hoạt động</w:t>
                  </w:r>
                </w:p>
              </w:tc>
              <w:tc>
                <w:tcPr>
                  <w:tcW w:type="auto" w:w="0"/>
                  <w:shd w:val="clear" w:color="auto" w:fill="F0F0F0"/>
                </w:tcPr>
                <w:p>
                  <w:pPr>
                    <w:pStyle w:val="Para 05"/>
                    <w:keepLines w:val="on"/>
                  </w:pPr>
                  <w:r>
                    <w:t>NOL cuối năm</w:t>
                  </w:r>
                </w:p>
              </w:tc>
              <w:tc>
                <w:tcPr>
                  <w:tcW w:type="auto" w:w="0"/>
                  <w:shd w:val="clear" w:color="auto" w:fill="F0F0F0"/>
                </w:tcPr>
                <w:p>
                  <w:pPr>
                    <w:pStyle w:val="Para 05"/>
                    <w:keepLines w:val="on"/>
                  </w:pPr>
                  <w:r>
                    <w:t>Thu nhập chịu thuế</w:t>
                  </w:r>
                </w:p>
              </w:tc>
              <w:tc>
                <w:tcPr>
                  <w:tcW w:type="auto" w:w="0"/>
                  <w:shd w:val="clear" w:color="auto" w:fill="F0F0F0"/>
                </w:tcPr>
                <w:p>
                  <w:pPr>
                    <w:pStyle w:val="Para 05"/>
                    <w:keepLines w:val="on"/>
                  </w:pPr>
                  <w:r>
                    <w:t>Thuế</w:t>
                  </w:r>
                </w:p>
              </w:tc>
              <w:tc>
                <w:tcPr>
                  <w:tcW w:type="auto" w:w="0"/>
                  <w:shd w:val="clear" w:color="auto" w:fill="F0F0F0"/>
                </w:tcPr>
                <w:p>
                  <w:pPr>
                    <w:pStyle w:val="Para 05"/>
                    <w:keepLines w:val="on"/>
                  </w:pPr>
                  <w:r>
                    <w:t>Thuế suất</w:t>
                  </w:r>
                </w:p>
              </w:tc>
            </w:tr>
            <w:tr>
              <w:tc>
                <w:tcPr>
                  <w:tcW w:type="auto" w:w="0"/>
                  <w:shd w:val="clear" w:color="auto" w:fill="F0F0F0"/>
                </w:tcPr>
                <w:p>
                  <w:pPr>
                    <w:pStyle w:val="Normal"/>
                    <w:keepLines w:val="on"/>
                  </w:pPr>
                  <w:r>
                    <w:t>Hiện tại</w:t>
                  </w:r>
                </w:p>
              </w:tc>
              <w:tc>
                <w:tcPr>
                  <w:tcW w:type="auto" w:w="0"/>
                  <w:shd w:val="clear" w:color="auto" w:fill="F0F0F0"/>
                </w:tcPr>
                <w:p>
                  <w:pPr>
                    <w:pStyle w:val="Normal"/>
                    <w:keepLines w:val="on"/>
                  </w:pPr>
                  <w:r>
                    <w:t>$117</w:t>
                  </w:r>
                </w:p>
              </w:tc>
              <w:tc>
                <w:tcPr>
                  <w:tcW w:type="auto" w:w="0"/>
                  <w:shd w:val="clear" w:color="auto" w:fill="F0F0F0"/>
                </w:tcPr>
                <w:p>
                  <w:pPr>
                    <w:pStyle w:val="Normal"/>
                    <w:keepLines w:val="on"/>
                  </w:pPr>
                  <w:r>
                    <w:t>−$ 81</w:t>
                  </w:r>
                </w:p>
              </w:tc>
              <w:tc>
                <w:tcPr>
                  <w:tcW w:type="auto" w:w="0"/>
                  <w:shd w:val="clear" w:color="auto" w:fill="F0F0F0"/>
                </w:tcPr>
                <w:p>
                  <w:pPr>
                    <w:pStyle w:val="Normal"/>
                    <w:keepLines w:val="on"/>
                  </w:pPr>
                  <w:r>
                    <w:t>$141</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$292</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$266</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$584</w:t>
                  </w:r>
                </w:p>
              </w:tc>
              <w:tc>
                <w:tcPr>
                  <w:tcW w:type="auto" w:w="0"/>
                  <w:shd w:val="clear" w:color="auto" w:fill="F0F0F0"/>
                </w:tcPr>
                <w:p>
                  <w:pPr>
                    <w:pStyle w:val="Normal"/>
                    <w:keepLines w:val="on"/>
                  </w:pPr>
                  <w:r>
                    <w:t>−$147</w:t>
                  </w:r>
                </w:p>
              </w:tc>
              <w:tc>
                <w:tcPr>
                  <w:tcW w:type="auto" w:w="0"/>
                  <w:shd w:val="clear" w:color="auto" w:fill="F0F0F0"/>
                </w:tcPr>
                <w:p>
                  <w:pPr>
                    <w:pStyle w:val="Normal"/>
                    <w:keepLines w:val="on"/>
                  </w:pPr>
                  <w:r>
                    <w:t>$413</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$1.051</w:t>
                  </w:r>
                </w:p>
              </w:tc>
              <w:tc>
                <w:tcPr>
                  <w:tcW w:type="auto" w:w="0"/>
                  <w:shd w:val="clear" w:color="auto" w:fill="F0F0F0"/>
                </w:tcPr>
                <w:p>
                  <w:pPr>
                    <w:pStyle w:val="Normal"/>
                    <w:keepLines w:val="on"/>
                  </w:pPr>
                  <w:r>
                    <w:t>−$142</w:t>
                  </w:r>
                </w:p>
              </w:tc>
              <w:tc>
                <w:tcPr>
                  <w:tcW w:type="auto" w:w="0"/>
                  <w:shd w:val="clear" w:color="auto" w:fill="F0F0F0"/>
                </w:tcPr>
                <w:p>
                  <w:pPr>
                    <w:pStyle w:val="Normal"/>
                    <w:keepLines w:val="on"/>
                  </w:pPr>
                  <w:r>
                    <w:t>$555</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$1.681</w:t>
                  </w:r>
                </w:p>
              </w:tc>
              <w:tc>
                <w:tcPr>
                  <w:tcW w:type="auto" w:w="0"/>
                  <w:shd w:val="clear" w:color="auto" w:fill="F0F0F0"/>
                </w:tcPr>
                <w:p>
                  <w:pPr>
                    <w:pStyle w:val="Normal"/>
                    <w:keepLines w:val="on"/>
                  </w:pPr>
                  <w:r>
                    <w:t>−$95</w:t>
                  </w:r>
                </w:p>
              </w:tc>
              <w:tc>
                <w:tcPr>
                  <w:tcW w:type="auto" w:w="0"/>
                  <w:shd w:val="clear" w:color="auto" w:fill="F0F0F0"/>
                </w:tcPr>
                <w:p>
                  <w:pPr>
                    <w:pStyle w:val="Normal"/>
                    <w:keepLines w:val="on"/>
                  </w:pPr>
                  <w:r>
                    <w:t>$650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$2.354</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$661</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$3.060</w:t>
                  </w:r>
                </w:p>
              </w:tc>
              <w:tc>
                <w:tcPr>
                  <w:tcW w:type="auto" w:w="0"/>
                  <w:shd w:val="clear" w:color="auto" w:fill="F0F0F0"/>
                </w:tcPr>
                <w:p>
                  <w:pPr>
                    <w:pStyle w:val="Normal"/>
                    <w:keepLines w:val="on"/>
                  </w:pPr>
                  <w:r>
                    <w:t>$93</w:t>
                  </w:r>
                </w:p>
              </w:tc>
              <w:tc>
                <w:tcPr>
                  <w:tcW w:type="auto" w:w="0"/>
                  <w:shd w:val="clear" w:color="auto" w:fill="F0F0F0"/>
                </w:tcPr>
                <w:p>
                  <w:pPr>
                    <w:pStyle w:val="Normal"/>
                    <w:keepLines w:val="on"/>
                  </w:pPr>
                  <w:r>
                    <w:t>$568</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$3.672</w:t>
                  </w:r>
                </w:p>
              </w:tc>
              <w:tc>
                <w:tcPr>
                  <w:tcW w:type="auto" w:w="0"/>
                  <w:shd w:val="clear" w:color="auto" w:fill="F0F0F0"/>
                </w:tcPr>
                <w:p>
                  <w:pPr>
                    <w:pStyle w:val="Normal"/>
                    <w:keepLines w:val="on"/>
                  </w:pPr>
                  <w:r>
                    <w:t>$197</w:t>
                  </w:r>
                </w:p>
              </w:tc>
              <w:tc>
                <w:tcPr>
                  <w:tcW w:type="auto" w:w="0"/>
                  <w:shd w:val="clear" w:color="auto" w:fill="F0F0F0"/>
                </w:tcPr>
                <w:p>
                  <w:pPr>
                    <w:pStyle w:val="Normal"/>
                    <w:keepLines w:val="on"/>
                  </w:pPr>
                  <w:r>
                    <w:t>$371</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$4.222</w:t>
                  </w:r>
                </w:p>
              </w:tc>
              <w:tc>
                <w:tcPr>
                  <w:tcW w:type="auto" w:w="0"/>
                  <w:shd w:val="clear" w:color="auto" w:fill="F0F0F0"/>
                </w:tcPr>
                <w:p>
                  <w:pPr>
                    <w:pStyle w:val="Normal"/>
                    <w:keepLines w:val="on"/>
                  </w:pPr>
                  <w:r>
                    <w:t>$292</w:t>
                  </w:r>
                </w:p>
              </w:tc>
              <w:tc>
                <w:tcPr>
                  <w:tcW w:type="auto" w:w="0"/>
                  <w:shd w:val="clear" w:color="auto" w:fill="F0F0F0"/>
                </w:tcPr>
                <w:p>
                  <w:pPr>
                    <w:pStyle w:val="Normal"/>
                    <w:keepLines w:val="on"/>
                  </w:pPr>
                  <w:r>
                    <w:t>$79</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$4.645</w:t>
                  </w:r>
                </w:p>
              </w:tc>
              <w:tc>
                <w:tcPr>
                  <w:tcW w:type="auto" w:w="0"/>
                  <w:shd w:val="clear" w:color="auto" w:fill="F0F0F0"/>
                </w:tcPr>
                <w:p>
                  <w:pPr>
                    <w:pStyle w:val="Normal"/>
                    <w:keepLines w:val="on"/>
                  </w:pPr>
                  <w:r>
                    <w:t>$369</w:t>
                  </w:r>
                </w:p>
              </w:tc>
              <w:tc>
                <w:tcPr>
                  <w:tcW w:type="auto" w:w="0"/>
                  <w:shd w:val="clear" w:color="auto" w:fill="F0F0F0"/>
                </w:tcPr>
                <w:p>
                  <w:pPr>
                    <w:pStyle w:val="Normal"/>
                    <w:keepLines w:val="on"/>
                  </w:pPr>
                  <w:r>
                    <w:t>$ −</w:t>
                  </w:r>
                </w:p>
              </w:tc>
              <w:tc>
                <w:tcPr>
                  <w:tcW w:type="auto" w:w="0"/>
                  <w:shd w:val="clear" w:color="auto" w:fill="F0F0F0"/>
                </w:tcPr>
                <w:p>
                  <w:pPr>
                    <w:pStyle w:val="Normal"/>
                    <w:keepLines w:val="on"/>
                  </w:pPr>
                  <w:r>
                    <w:t>$289</w:t>
                  </w:r>
                </w:p>
              </w:tc>
              <w:tc>
                <w:tcPr>
                  <w:tcW w:type="auto" w:w="0"/>
                  <w:shd w:val="clear" w:color="auto" w:fill="F0F0F0"/>
                </w:tcPr>
                <w:p>
                  <w:pPr>
                    <w:pStyle w:val="Normal"/>
                    <w:keepLines w:val="on"/>
                  </w:pPr>
                  <w:r>
                    <w:t>$116</w:t>
                  </w:r>
                </w:p>
              </w:tc>
              <w:tc>
                <w:tcPr>
                  <w:tcW w:type="auto" w:w="0"/>
                  <w:shd w:val="clear" w:color="auto" w:fill="F0F0F0"/>
                </w:tcPr>
                <w:p>
                  <w:pPr>
                    <w:pStyle w:val="Normal"/>
                    <w:keepLines w:val="on"/>
                  </w:pPr>
                  <w:r>
                    <w:t>31,40%</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$4.877</w:t>
                  </w:r>
                </w:p>
              </w:tc>
              <w:tc>
                <w:tcPr>
                  <w:tcW w:type="auto" w:w="0"/>
                  <w:shd w:val="clear" w:color="auto" w:fill="F0F0F0"/>
                </w:tcPr>
                <w:p>
                  <w:pPr>
                    <w:pStyle w:val="Normal"/>
                    <w:keepLines w:val="on"/>
                  </w:pPr>
                  <w:r>
                    <w:t>$421</w:t>
                  </w:r>
                </w:p>
              </w:tc>
              <w:tc>
                <w:tcPr>
                  <w:tcW w:type="auto" w:w="0"/>
                  <w:shd w:val="clear" w:color="auto" w:fill="F0F0F0"/>
                </w:tcPr>
                <w:p>
                  <w:pPr>
                    <w:pStyle w:val="Normal"/>
                    <w:keepLines w:val="on"/>
                  </w:pPr>
                  <w:r>
                    <w:t>$−</w:t>
                  </w:r>
                </w:p>
              </w:tc>
              <w:tc>
                <w:tcPr>
                  <w:tcW w:type="auto" w:w="0"/>
                  <w:shd w:val="clear" w:color="auto" w:fill="F0F0F0"/>
                </w:tcPr>
                <w:p>
                  <w:pPr>
                    <w:pStyle w:val="Normal"/>
                    <w:keepLines w:val="on"/>
                  </w:pPr>
                  <w:r>
                    <w:t>$421</w:t>
                  </w:r>
                </w:p>
              </w:tc>
              <w:tc>
                <w:tcPr>
                  <w:tcW w:type="auto" w:w="0"/>
                  <w:shd w:val="clear" w:color="auto" w:fill="F0F0F0"/>
                </w:tcPr>
                <w:p>
                  <w:pPr>
                    <w:pStyle w:val="Normal"/>
                    <w:keepLines w:val="on"/>
                  </w:pPr>
                  <w:r>
                    <w:t>$168</w:t>
                  </w:r>
                </w:p>
              </w:tc>
              <w:tc>
                <w:tcPr>
                  <w:tcW w:type="auto" w:w="0"/>
                  <w:shd w:val="clear" w:color="auto" w:fill="F0F0F0"/>
                </w:tcPr>
                <w:p>
                  <w:pPr>
                    <w:pStyle w:val="Normal"/>
                    <w:keepLines w:val="on"/>
                  </w:pPr>
                  <w:r>
                    <w:t>40,00%</w:t>
                  </w:r>
                </w:p>
              </w:tc>
            </w:tr>
          </w:tbl>
          <w:p/>
        </w:tc>
      </w:tr>
    </w:tbl>
    <w:p>
      <w:pPr>
        <w:pStyle w:val="Para 04"/>
        <w:keepLines w:val="on"/>
      </w:pPr>
      <w:r>
        <w:t>Lưu ý rằng Tesla tiếp tục thua lỗ trong năm năm đầu tiên và làm tăng thêm khoản lỗ hoạt động ròng của mình. Trong các năm 6, 7 và 8, thu nhập hoạt động của công ty dương, nhưng công ty vẫn không phải nộp thuế vì các khoản lỗ hoạt động ròng lũy kế từ những năm trước. Đến năm 9, công ty có thể giảm thu nhập chịu thuế bằng khoản lỗ hoạt động ròng còn lại ($79 triệu), nhưng bắt đầu phải nộp thuế lần đầu tiên. Chúng tôi giả định thuế suất 40% và dùng mức này làm thuế suất biên sau năm 9. Như vậy, lợi ích từ các khoản lỗ hoạt động ròng đã được đưa vào dòng tiền và giá trị của doanh nghiệp. Bằng cách chiết khấu khoản tiết kiệm dòng tiền này theo chi phí vốn, chúng ta đã tính đến cả giá trị thời gian của tiền (do phải chờ đợi) lẫn rủi ro rằng khoản tiết kiệm thuế đó có thể không thành hiện thực.</w:t>
      </w:r>
    </w:p>
    <w:p>
      <w:bookmarkStart w:id="1750" w:name="The_Tax_Benefits_of_R_D_Expensin_1"/>
      <w:bookmarkStart w:id="1751" w:name="The_Tax_Benefits_of_R_D_Expensin"/>
      <w:pPr>
        <w:keepNext/>
        <w:pStyle w:val="Heading 3"/>
        <w:keepLines w:val="on"/>
      </w:pPr>
      <w:r>
        <w:t>Lợi ích thuế từ việc ghi nhận chi phí R&amp;D</w:t>
      </w:r>
      <w:bookmarkEnd w:id="1750"/>
      <w:bookmarkEnd w:id="1751"/>
    </w:p>
    <w:p>
      <w:pPr>
        <w:pStyle w:val="Para 03"/>
      </w:pPr>
      <w:r>
        <w:t>Chương trước đã lập luận rằng chi phí R&amp;D nên được vốn hóa. Tuy nhiên, nếu quyết định làm vậy, có một lợi ích thuế mà chúng ta có thể đang bỏ sót. Các doanh nghiệp được phép khấu trừ toàn bộ chi phí R&amp;D cho mục đích thuế. Ngược lại, họ chỉ được phép khấu trừ phần khấu hao trên chi phí vốn của mình. Do đó, để nắm bắt lợi ích thuế này, bạn sẽ cộng khoản tiết kiệm thuế trên phần chênh lệch giữa toàn bộ chi phí R&amp;D và phần phân bổ của tài sản nghiên cứu vào thu nhập hoạt động sau thuế của doanh nghiệp:</w:t>
      </w:r>
    </w:p>
    <w:p>
      <w:bookmarkStart w:id="1752" w:name="Additional_taxbenefitR_D_expensi"/>
      <w:pPr>
        <w:keepNext/>
        <w:pStyle w:val="Para 09"/>
        <w:keepLines w:val="on"/>
      </w:pPr>
      <w:r>
        <w:t>Lợi ích thuế bổ sung từ việc ghi nhận chi phí R&amp;D=(Chi phí R&amp;D năm hiện tại −Phân bổ tài sản nghiên cứu)×Thuế suất</w:t>
      </w:r>
      <w:bookmarkEnd w:id="1752"/>
    </w:p>
    <w:p>
      <w:pPr>
        <w:pStyle w:val="Para 03"/>
      </w:pPr>
      <w:r>
        <w:t>Một điều chỉnh tương tự cũng cần được thực hiện cho bất kỳ chi phí hoạt động nào khác mà bạn chọn vốn hóa. Trong Chương 9, chúng tôi đã lưu ý rằng điều chỉnh đối với thu nhập hoạt động trước thuế từ việc vốn hóa R&amp;D là:</w:t>
      </w:r>
    </w:p>
    <w:p>
      <w:bookmarkStart w:id="1754" w:name="Adjusted_operating_earnings_Oper"/>
      <w:pPr>
        <w:keepNext/>
        <w:pStyle w:val="Para 09"/>
        <w:keepLines w:val="on"/>
      </w:pPr>
      <w:r>
        <w:t>Thu nhập hoạt động đã điều chỉnh=Thu nhập hoạt động+Chi phí R&amp;D năm hiện tại−Phân bổ tài sản nghiên cứu</w:t>
      </w:r>
      <w:bookmarkEnd w:id="1754"/>
    </w:p>
    <w:p>
      <w:pPr>
        <w:pStyle w:val="Para 03"/>
      </w:pPr>
      <w:r>
        <w:t>Để ước tính thu nhập hoạt động sau thuế, chúng ta sẽ nhân giá trị này với (1 − Thuế suất) rồi cộng thêm lợi ích thuế bổ sung ở trên:</w:t>
      </w:r>
    </w:p>
    <w:p>
      <w:bookmarkStart w:id="1755" w:name="Adjusted_after_tax_operating_ear"/>
      <w:pPr>
        <w:keepNext/>
        <w:pStyle w:val="Para 09"/>
        <w:keepLines w:val="on"/>
      </w:pPr>
      <w:r>
        <w:t>Thu nhập hoạt động sau thuế đã điều chỉnh=(Thu nhập hoạt động+Chi phí R&amp;D năm hiện tại−Phân bổ tài sản nghiên cứu)×(1−Thuế suất)+(Chi phí R&amp;D năm hiện tại−Phân bổ tài sản nghiên cứu)×Thuế suất=Thu nhập hoạt động×(1−Thuế suất)+Chi phí R&amp;D năm hiện tại−Phân bổ tài sản nghiên cứu</w:t>
      </w:r>
      <w:bookmarkEnd w:id="1755"/>
    </w:p>
    <w:p>
      <w:pPr>
        <w:pStyle w:val="Para 03"/>
      </w:pPr>
      <w:r>
        <w:t>Nói cách khác, lợi ích thuế từ việc ghi nhận chi phí R&amp;D cho phép chúng ta cộng trực tiếp phần chênh lệch giữa chi phí R&amp;D và phần phân bổ vào thu nhập hoạt động sau thuế (và vào thu nhập ròng).</w:t>
      </w:r>
    </w:p>
    <w:p>
      <w:pPr>
        <w:pStyle w:val="Para 11"/>
      </w:pPr>
      <w:r>
        <w:t/>
        <w:t xml:space="preserve"> </w:t>
      </w:r>
    </w:p>
    <w:p>
      <w:bookmarkStart w:id="1756" w:name="ILLUSTRATION_10_3___Tax_Benefit"/>
      <w:bookmarkStart w:id="1757" w:name="ILLUSTRATION_10_3___Tax_Benefit_1"/>
      <w:pPr>
        <w:keepNext/>
        <w:pStyle w:val="Para 19"/>
        <w:keepLines w:val="on"/>
      </w:pPr>
      <w:r>
        <w:t>MINH HỌA 10.3: Lợi ích thuế từ việc ghi nhận chi phí: Amgen năm 2023</w:t>
      </w:r>
      <w:bookmarkEnd w:id="1756"/>
      <w:bookmarkEnd w:id="1757"/>
    </w:p>
    <w:p>
      <w:pPr>
        <w:pStyle w:val="Para 04"/>
        <w:keepLines w:val="on"/>
      </w:pPr>
      <w:r>
        <w:t>Trong Chương 9, chúng tôi vốn hóa chi phí R&amp;D cho Amgen và ước tính giá trị tài sản nghiên cứu của Amgen cùng thu nhập hoạt động đã điều chỉnh. Xem lại Minh họa 9.2, chúng ta thấy các điều chỉnh sau:</w:t>
      </w:r>
    </w:p>
    <w:p>
      <w:bookmarkStart w:id="1759" w:name="Current_year_s_R_D_expense__2023"/>
      <w:pPr>
        <w:keepNext/>
        <w:pStyle w:val="Para 07"/>
        <w:keepLines w:val="on"/>
      </w:pPr>
      <w:r>
        <w:t>Chi phí R&amp;D năm hiện tại (2023) = 4.755 triệu đô la. Khấu hao tài sản nghiên cứu năm 2023 = 4.105 triệu đô la</w:t>
      </w:r>
      <w:bookmarkEnd w:id="1759"/>
    </w:p>
    <w:p>
      <w:pPr>
        <w:pStyle w:val="Para 04"/>
        <w:keepLines w:val="on"/>
      </w:pPr>
      <w:r>
        <w:t>Để ước tính lợi ích thuế từ việc ghi nhận chi phí (expensing) cho Amgen, trước tiên giả định thuế suất của Amgen là 25% và lưu ý rằng Amgen có thể khấu trừ toàn bộ 4.755 triệu đô la cho mục đích thuế:</w:t>
      </w:r>
    </w:p>
    <w:p>
      <w:bookmarkStart w:id="1760" w:name="Tax_deduction_from_R_D_expense_R"/>
      <w:pPr>
        <w:keepNext/>
        <w:pStyle w:val="Para 07"/>
        <w:keepLines w:val="on"/>
      </w:pPr>
      <w:r>
        <w:t>Khấu trừ thuế từ chi phí R&amp;D = R&amp;D × Thuế suất = 4.755 × 0,25 = 1.189 triệu đô la</w:t>
      </w:r>
      <w:bookmarkEnd w:id="1760"/>
    </w:p>
    <w:p>
      <w:pPr>
        <w:pStyle w:val="Para 04"/>
        <w:keepLines w:val="on"/>
      </w:pPr>
      <w:r>
        <w:t>Nếu chỉ phần khấu hao được phép khấu trừ thuế trong năm 2023, thì lợi ích thuế sẽ là:</w:t>
      </w:r>
    </w:p>
    <w:p>
      <w:bookmarkStart w:id="1761" w:name="Tax_deduction_from_R_D_amortizat"/>
      <w:pPr>
        <w:keepNext/>
        <w:pStyle w:val="Para 07"/>
        <w:keepLines w:val="on"/>
      </w:pPr>
      <w:r>
        <w:t>Khấu trừ thuế từ khấu hao R&amp;D = 4.105 × 0,25 = 1.026 triệu đô la</w:t>
      </w:r>
      <w:bookmarkEnd w:id="1761"/>
    </w:p>
    <w:p>
      <w:pPr>
        <w:pStyle w:val="Para 04"/>
        <w:keepLines w:val="on"/>
      </w:pPr>
      <w:r>
        <w:t>Bằng cách ghi nhận chi phí thay vì vốn hóa (capitalizing), Amgen đã thu được lợi ích thuế lớn hơn nhiều. Lợi ích thuế chênh lệch có thể được viết như sau:</w:t>
      </w:r>
    </w:p>
    <w:p>
      <w:bookmarkStart w:id="1762" w:name="Differential_tax_benefit__1_189"/>
      <w:pPr>
        <w:keepNext/>
        <w:pStyle w:val="Para 07"/>
        <w:keepLines w:val="on"/>
      </w:pPr>
      <w:r>
        <w:t>Lợi ích thuế chênh lệch = 1.189 - 1.026 = 163 triệu đô la</w:t>
      </w:r>
      <w:bookmarkEnd w:id="1762"/>
    </w:p>
    <w:p>
      <w:pPr>
        <w:pStyle w:val="Para 04"/>
        <w:keepLines w:val="on"/>
      </w:pPr>
      <w:r>
        <w:t>Như vậy, Amgen thu được lợi ích thuế 163 triệu đô la vì có thể ghi nhận chi phí R&amp;D thay vì vốn hóa chúng. Hoàn tất phân tích, chúng tôi đã tính thu nhập hoạt động sau thuế đã điều chỉnh cho Amgen. Lưu ý rằng trong Minh họa 9.2, chúng tôi đã ước tính thu nhập hoạt động trước thuế đã điều chỉnh như sau:</w:t>
      </w:r>
    </w:p>
    <w:p>
      <w:bookmarkStart w:id="1764" w:name="Adjusted_pretax_operating_earnin"/>
      <w:pPr>
        <w:keepNext/>
        <w:pStyle w:val="Para 07"/>
        <w:keepLines w:val="on"/>
      </w:pPr>
      <w:r>
        <w:t>Thu nhập hoạt động trước thuế đã điều chỉnh = Thu nhập hoạt động + Chi phí R&amp;D năm hiện tại − Khấu hao tài sản nghiên cứu = 7.231 + 4.755 − 4.105 = 7.880 đô la</w:t>
      </w:r>
      <w:bookmarkEnd w:id="1764"/>
    </w:p>
    <w:p>
      <w:pPr>
        <w:pStyle w:val="Para 04"/>
        <w:keepLines w:val="on"/>
      </w:pPr>
      <w:r>
        <w:t>Bạn có thể chuyển thu nhập hoạt động trước thuế này thành giá trị sau thuế và cộng lại lợi ích thuế từ R&amp;D:</w:t>
      </w:r>
    </w:p>
    <w:p>
      <w:bookmarkStart w:id="1765" w:name="After_tax_operating_income_7_880"/>
      <w:pPr>
        <w:keepNext/>
        <w:pStyle w:val="Para 07"/>
        <w:keepLines w:val="on"/>
      </w:pPr>
      <w:r>
        <w:t>Thu nhập hoạt động sau thuế = 7.880 × (1 − 0,25) + 163 = 6.073 triệu đô la</w:t>
      </w:r>
      <w:bookmarkEnd w:id="1765"/>
    </w:p>
    <w:p>
      <w:pPr>
        <w:pStyle w:val="Para 04"/>
        <w:keepLines w:val="on"/>
      </w:pPr>
      <w:r>
        <w:t>Bạn cũng có thể đi đến cùng kết quả bằng cách tính thu nhập hoạt động sau thuế chưa điều chỉnh và điều chỉnh nó cho R&amp;D:</w:t>
      </w:r>
    </w:p>
    <w:p>
      <w:bookmarkStart w:id="1766" w:name="Adjusted_after_tax_operating_inc"/>
      <w:pPr>
        <w:keepNext/>
        <w:pStyle w:val="Para 07"/>
        <w:keepLines w:val="on"/>
      </w:pPr>
      <w:r>
        <w:t>Thu nhập hoạt động sau thuế đã điều chỉnh = Thu nhập hoạt động sau thuế + Chi phí R&amp;D năm hiện tại − Khấu hao tài sản nghiên cứu = 7.231 × (1 − 0,25) + 4.755 − 4.105 = 6.073 triệu đô la</w:t>
      </w:r>
      <w:bookmarkEnd w:id="1766"/>
    </w:p>
    <w:p>
      <w:bookmarkStart w:id="1767" w:name="Tax_Books_and_Reporting_Books__I"/>
      <w:bookmarkStart w:id="1768" w:name="Tax_Books_and_Reporting_Books"/>
      <w:pPr>
        <w:keepNext/>
        <w:pStyle w:val="Heading 3"/>
        <w:keepLines w:val="on"/>
      </w:pPr>
      <w:r>
        <w:t>Sổ sách thuế và sổ sách báo cáo</w:t>
      </w:r>
      <w:bookmarkEnd w:id="1767"/>
      <w:bookmarkEnd w:id="1768"/>
    </w:p>
    <w:p>
      <w:pPr>
        <w:pStyle w:val="Para 03"/>
      </w:pPr>
      <w:r>
        <w:t>Không có gì bí mật khi nhiều công ty ở Hoa Kỳ duy trì hai bộ sổ sách — một cho mục đích thuế và một cho mục đích báo cáo — và rằng thực tế này không chỉ hợp pháp mà còn được chấp nhận rộng rãi. Dù chi tiết khác nhau giữa các công ty, thu nhập báo cáo cho cổ đông nói chung cao hơn nhiều so với thu nhập báo cáo cho mục đích thuế. Khi định giá công ty, chúng ta nói chung chỉ có quyền truy cập vào cái trước chứ không phải cái sau, và điều này có thể ảnh hưởng đến ước tính của chúng ta theo nhiều cách:</w:t>
      </w:r>
    </w:p>
    <w:p>
      <w:pPr>
        <w:numPr>
          <w:ilvl w:val="0"/>
          <w:numId w:val="85"/>
        </w:numPr>
        <w:pStyle w:val="Para 01"/>
      </w:pPr>
      <w:r>
        <w:t>Chia số thuế phải nộp, được tính trên thu nhập chịu thuế, cho thu nhập báo cáo, vốn nói chung cao hơn nhiều, sẽ cho ra một thuế suất có thể thấp hơn thuế suất thực. Nếu chúng ta dùng thuế suất này làm thuế suất dự báo, chúng ta có thể định giá công ty quá cao. Đây là một lý do khác để chuyển sang thuế suất biên (marginal tax rate) trong các giai đoạn tương lai.</w:t>
      </w:r>
    </w:p>
    <w:p>
      <w:pPr>
        <w:numPr>
          <w:ilvl w:val="0"/>
          <w:numId w:val="85"/>
        </w:numPr>
        <w:pStyle w:val="Para 01"/>
      </w:pPr>
      <w:r>
        <w:t>Nếu chúng ta dựa các dự phóng vào thu nhập báo cáo, chúng ta sẽ phóng đại thu nhập tương lai kỳ vọng. Ảnh hưởng lên dòng tiền có thể sẽ bị giảm bớt. Để thấy tại sao, hãy xem xét một khác biệt rất phổ biến giữa thu nhập báo cáo và thu nhập thuế: Khấu hao theo đường thẳng được dùng để tính cái trước, và khấu hao nhanh được dùng cho cái sau. Vì chúng ta cộng khấu hao trở lại vào thu nhập sau thuế để có dòng tiền, sự sụt giảm trong khấu hao sẽ bù đắp cho sự gia tăng trong thu nhập. Vấn đề, tuy nhiên, là chúng ta đánh giá thấp lợi ích thuế từ khấu hao.</w:t>
      </w:r>
    </w:p>
    <w:p>
      <w:pPr>
        <w:numPr>
          <w:ilvl w:val="0"/>
          <w:numId w:val="85"/>
        </w:numPr>
        <w:pStyle w:val="Para 01"/>
      </w:pPr>
      <w:r>
        <w:t>Một số công ty vốn hóa chi phí cho mục đích báo cáo (và để khấu hao chúng trong các giai đoạn tiếp theo) nhưng ghi nhận chi phí chúng cho mục đích thuế. Ở đây một lần nữa, việc dùng thu nhập và chi tiêu vốn từ sổ sách báo cáo sẽ dẫn đến việc đánh giá thấp lợi ích thuế từ việc ghi nhận chi phí.</w:t>
      </w:r>
    </w:p>
    <w:p>
      <w:pPr>
        <w:pStyle w:val="Para 03"/>
      </w:pPr>
      <w:r>
        <w:t>Như vậy, các vấn đề do công ty có các chuẩn mực khác nhau cho mục đích thuế và kế toán sẽ lớn hơn nhiều nếu chúng ta tập trung vào thu nhập báo cáo (như trường hợp khi chúng ta dùng các bội số thu nhập như PE hay bội số EBITDA) so với khi chúng ta dùng dòng tiền. Tuy nhiên, nếu chúng ta có lựa chọn, chúng ta sẽ dựa định giá của mình vào sổ sách thuế thay vì sổ sách báo cáo.</w:t>
      </w:r>
    </w:p>
    <w:p>
      <w:bookmarkStart w:id="1770" w:name="Deferred_Tax_Assets_and_Liabilit_1"/>
      <w:bookmarkStart w:id="1771" w:name="Deferred_Tax_Assets_and_Liabilit"/>
      <w:pPr>
        <w:keepNext/>
        <w:pStyle w:val="Heading 3"/>
        <w:keepLines w:val="on"/>
      </w:pPr>
      <w:r>
        <w:t>Tài sản thuế thu nhập hoãn lại và Nợ thuế thu nhập hoãn lại</w:t>
      </w:r>
      <w:bookmarkEnd w:id="1770"/>
      <w:bookmarkEnd w:id="1771"/>
    </w:p>
    <w:p>
      <w:pPr>
        <w:pStyle w:val="Para 03"/>
      </w:pPr>
      <w:r>
        <w:t>Như chúng ta đã lưu ý trước đó trong chương này, thuế suất hiệu dụng ước tính từ báo cáo thu nhập của một công ty phản ánh thu nhập và thuế theo cơ sở dồn tích và có thể dẫn đến một thuế suất thấp hơn hoặc cao hơn nhiều so với thuế suất biên. Sự khác biệt đó có thể làm phát sinh cái mà kế toán gọi là nợ thuế thu nhập hoãn lại, nếu thuế được hoãn sang các giai đoạn tương lai, hoặc tài sản thuế thu nhập hoãn lại, nếu công ty nộp thừa thuế và kỳ vọng sẽ tiết kiệm được trong các giai đoạn tương lai. Trong định giá nội tại (intrinsic valuation), tác động duy nhất của các khoản thuế hoãn lại này là thông qua số thuế bạn nộp trong các giai đoạn tương lai và các ảnh hưởng kết quả lên dòng tiền:</w:t>
      </w:r>
    </w:p>
    <w:p>
      <w:pPr>
        <w:numPr>
          <w:ilvl w:val="0"/>
          <w:numId w:val="86"/>
        </w:numPr>
        <w:pStyle w:val="Para 01"/>
      </w:pPr>
      <w:r>
        <w:t>Với nợ thuế thu nhập hoãn lại, có khả năng thuế suất hiệu dụng trong các giai đoạn tương lai, được dùng để ước tính thu nhập sau thuế, có thể cao hơn thuế suất biên cho đến khi khoản nợ thuế thu nhập hoãn lại được xóa bỏ. Các thuế suất hiệu dụng cao hơn này sẽ làm giảm thu nhập và dòng tiền, và do đó làm giảm giá trị.</w:t>
      </w:r>
    </w:p>
    <w:p>
      <w:pPr>
        <w:numPr>
          <w:ilvl w:val="0"/>
          <w:numId w:val="86"/>
        </w:numPr>
        <w:pStyle w:val="Para 01"/>
      </w:pPr>
      <w:r>
        <w:t>Với tài sản thuế thu nhập hoãn lại, cách xử lý tương tự như đối với lỗ hoạt động ròng (net operating losses), trong đó công ty hưởng lợi nhờ phải nộp thuế suất hiệu dụng thấp hơn trong các giai đoạn tương lai, và do đó tạo ra dòng tiền cao hơn.</w:t>
      </w:r>
    </w:p>
    <w:p>
      <w:pPr>
        <w:pStyle w:val="Para 03"/>
      </w:pPr>
      <w:r>
        <w:t>Đáng lưu ý rằng trong định giá thanh lý (liquidation valuation), cả nợ thuế thu nhập hoãn lại lẫn tài sản thuế thu nhập hoãn lại đều không có nhiều trọng lượng, vì khó có khả năng số tiền thu được từ thanh lý sẽ bị giảm do nợ thuế thu nhập hoãn lại trên sổ sách, hoặc tăng lên do tài sản thuế thu nhập hoãn lại.</w:t>
      </w:r>
    </w:p>
    <w:p>
      <w:pPr>
        <w:pStyle w:val="Para 11"/>
      </w:pPr>
      <w:r>
        <w:t/>
        <w:t xml:space="preserve"> </w:t>
      </w:r>
    </w:p>
    <w:p>
      <w:bookmarkStart w:id="1772" w:name="Dealing_With_Tax_Subsidies"/>
      <w:bookmarkStart w:id="1773" w:name="Dealing_With_Tax_Subsidies_Firms"/>
      <w:pPr>
        <w:keepNext/>
        <w:pStyle w:val="Para 27"/>
        <w:keepLines w:val="on"/>
      </w:pPr>
      <w:r>
        <w:t>Xử lý các khoản trợ cấp thuế</w:t>
      </w:r>
      <w:bookmarkEnd w:id="1772"/>
      <w:bookmarkEnd w:id="1773"/>
    </w:p>
    <w:p>
      <w:pPr>
        <w:pStyle w:val="Para 16"/>
        <w:keepLines w:val="on"/>
      </w:pPr>
      <w:r>
        <w:t>Các công ty đôi khi nhận được trợ cấp thuế từ chính phủ để đầu tư vào những khu vực hoặc loại hình kinh doanh nhất định. Những trợ cấp thuế này có thể dưới dạng thuế suất ưu đãi hoặc tín dụng thuế (tax credit). Dù theo cách nào, những trợ cấp này cũng nên làm tăng giá trị của công ty. Tất nhiên, câu hỏi đặt ra là làm sao đưa ảnh hưởng của chúng vào dòng tiền một cách hợp lý nhất. Có lẽ cách đơn giản nhất là định giá công ty trước, bỏ qua các trợ cấp thuế, rồi sau đó cộng thêm phần giá trị tăng thêm từ các trợ cấp này.</w:t>
      </w:r>
    </w:p>
    <w:p>
      <w:pPr>
        <w:pStyle w:val="Para 16"/>
        <w:keepLines w:val="on"/>
      </w:pPr>
      <w:r>
        <w:t>Ví dụ, giả sử bạn đang định giá một công ty dược phẩm có hoạt động tại Puerto Rico, nơi công ty được hưởng ưu đãi thuế dưới dạng thuế suất thấp hơn trên thu nhập tạo ra từ các hoạt động này. Bạn có thể định giá công ty bằng thuế suất biên (marginal tax rate) thông thường, rồi cộng thêm vào giá trị đó giá trị hiện tại của khoản tiết kiệm thuế mà các hoạt động tại Puerto Rico sẽ tạo ra. Cách tiếp cận này có ba ưu điểm:</w:t>
      </w:r>
    </w:p>
    <w:p>
      <w:pPr>
        <w:numPr>
          <w:ilvl w:val="0"/>
          <w:numId w:val="87"/>
        </w:numPr>
        <w:pStyle w:val="Para 33"/>
        <w:keepLines w:val="on"/>
      </w:pPr>
      <w:r>
        <w:t>Nó cho phép bạn tách riêng khoản trợ cấp thuế và chỉ xem xét nó trong khoảng thời gian bạn được hưởng. Khi ảnh hưởng của những ưu đãi thuế này bị gộp chung với các dòng tiền khác, sẽ có nguy cơ chúng bị coi như kéo dài vĩnh viễn.</w:t>
      </w:r>
    </w:p>
    <w:p>
      <w:pPr>
        <w:numPr>
          <w:ilvl w:val="0"/>
          <w:numId w:val="87"/>
        </w:numPr>
        <w:pStyle w:val="Para 33"/>
        <w:keepLines w:val="on"/>
      </w:pPr>
      <w:r>
        <w:t>Tỷ lệ chiết khấu (discount rate) dùng để tính các ưu đãi thuế có thể khác với tỷ lệ chiết khấu dùng cho các dòng tiền khác của công ty. Vì vậy, nếu ưu đãi thuế là một tín dụng thuế được chính phủ bảo đảm, bạn có thể dùng một tỷ lệ chiết khấu thấp hơn nhiều để tính giá trị hiện tại PV của các dòng tiền.</w:t>
      </w:r>
    </w:p>
    <w:p>
      <w:pPr>
        <w:numPr>
          <w:ilvl w:val="0"/>
          <w:numId w:val="87"/>
        </w:numPr>
        <w:pStyle w:val="Para 33"/>
        <w:keepLines w:val="on"/>
      </w:pPr>
      <w:r>
        <w:t>Dựa trên quan điểm rằng hiếm có bữa trưa miễn phí, có thể lập luận rằng chính phủ chỉ cung cấp ưu đãi thuế cho các khoản đầu tư vì các công ty phải đối mặt với chi phí cao hơn hoặc rủi ro lớn hơn trong những khoản đầu tư này. Bằng cách tách riêng giá trị của các ưu đãi thuế, công ty có thể xem xét liệu sự đánh đổi này có lợi cho mình hay không. Ví dụ, giả sử bạn là một nhà sản xuất đường được chính phủ đề nghị một tín dụng thuế nhờ hoạt động trong ngành này. Đổi lại, chính phủ áp đặt kiểm soát giá đường. Công ty có thể so sánh giá trị tạo ra từ tín dụng thuế với giá trị mất đi do kiểm soát giá, rồi quyết định xem có nên đấu tranh để giữ tín dụng thuế của mình hay không.</w:t>
      </w:r>
    </w:p>
    <w:p>
      <w:bookmarkStart w:id="1775" w:name="Reinvestment_Needs"/>
      <w:bookmarkStart w:id="1776" w:name="Reinvestment_Needs__The_cash_flo"/>
      <w:pPr>
        <w:keepNext/>
        <w:pStyle w:val="Heading 2"/>
        <w:keepLines w:val="on"/>
      </w:pPr>
      <w:r>
        <w:t>Nhu cầu tái đầu tư</w:t>
      </w:r>
      <w:bookmarkEnd w:id="1775"/>
      <w:bookmarkEnd w:id="1776"/>
    </w:p>
    <w:p>
      <w:pPr>
        <w:pStyle w:val="Para 03"/>
      </w:pPr>
      <w:r>
        <w:t>Dòng tiền của công ty được tính sau khi tái đầu tư. Có hai thành phần để ước tính tái đầu tư. Thứ nhất là chi tiêu vốn ròng (net capital expenditures), tức chênh lệch giữa chi tiêu vốn và khấu hao. Thành phần còn lại là các khoản đầu tư vào vốn lưu động phi tiền mặt (noncash working capital).</w:t>
      </w:r>
    </w:p>
    <w:p>
      <w:bookmarkStart w:id="1777" w:name="Net_Capital_Expenditures"/>
      <w:bookmarkStart w:id="1778" w:name="Net_Capital_Expenditures__In_est"/>
      <w:pPr>
        <w:keepNext/>
        <w:pStyle w:val="Heading 3"/>
        <w:keepLines w:val="on"/>
      </w:pPr>
      <w:r>
        <w:t>Chi tiêu vốn ròng</w:t>
      </w:r>
      <w:bookmarkEnd w:id="1777"/>
      <w:bookmarkEnd w:id="1778"/>
    </w:p>
    <w:p>
      <w:pPr>
        <w:pStyle w:val="Para 03"/>
      </w:pPr>
      <w:r>
        <w:t>Khi ước tính chi tiêu vốn ròng, chúng ta thường trừ khấu hao khỏi chi tiêu vốn. Lý do là dòng tiền dương từ khấu hao chi trả cho ít nhất một phần chi tiêu vốn, và chỉ phần vượt trội mới là gánh nặng lên dòng tiền của công ty. Trong khi thông tin về chi tiêu vốn và khấu hao thường dễ tiếp cận trong hầu hết báo cáo tài chính, việc dự báo những khoản chi này có thể khó khăn vì ba lý do. Thứ nhất là các công ty thường chi tiêu vốn thành từng cục — một khoản đầu tư lớn trong một năm có thể theo sau bằng những khoản đầu tư nhỏ trong các năm tiếp theo. Thứ hai là định nghĩa kế toán về chi tiêu vốn không bao gồm những chi phí vốn được xử lý như chi phí hoạt động, chẳng hạn chi phí R&amp;D. Thứ ba là các thương vụ mua lại (acquisition) không được kế toán phân loại là chi tiêu vốn. Với những công ty tăng trưởng chủ yếu qua mua lại, điều này sẽ dẫn đến việc chi tiêu vốn ròng bị phản ánh thấp hơn thực tế.</w:t>
      </w:r>
    </w:p>
    <w:p>
      <w:bookmarkStart w:id="1779" w:name="Lumpy_Capital_Expenditures_and_t_1"/>
      <w:bookmarkStart w:id="1780" w:name="Lumpy_Capital_Expenditures_and_t"/>
      <w:pPr>
        <w:keepNext/>
        <w:pStyle w:val="Heading 4"/>
        <w:keepLines w:val="on"/>
      </w:pPr>
      <w:r>
        <w:t>Chi tiêu vốn không đều và nhu cầu làm mượt</w:t>
      </w:r>
      <w:bookmarkEnd w:id="1779"/>
      <w:bookmarkEnd w:id="1780"/>
    </w:p>
    <w:p>
      <w:pPr>
        <w:pStyle w:val="Para 03"/>
      </w:pPr>
      <w:r>
        <w:t>Các công ty hiếm khi có dòng chi tiêu vốn đều đặn. Công ty có thể trải qua những giai đoạn chi tiêu vốn rất cao (như khi tung ra sản phẩm mới hoặc xây nhà máy mới), rồi tiếp theo là những giai đoạn chi tiêu vốn tương đối nhẹ. Do đó, khi ước tính chi tiêu vốn để dự báo dòng tiền tương lai, bạn nên chuẩn hóa (normalize) chi tiêu vốn. Có ít nhất hai cách để bạn đạt được mục tiêu này.</w:t>
      </w:r>
    </w:p>
    <w:p>
      <w:pPr>
        <w:pStyle w:val="Para 03"/>
      </w:pPr>
      <w:r>
        <w:t>Kỹ thuật chuẩn hóa đơn giản nhất là lấy trung bình chi tiêu vốn qua nhiều năm. Ví dụ, bạn có thể ước tính chi tiêu vốn trung bình trong bốn hoặc năm năm qua của một công ty sản xuất, rồi dùng con số đó thay cho chi tiêu vốn của năm gần nhất. Làm vậy, bạn có thể nắm bắt được thực tế rằng công ty có thể đầu tư vào một nhà máy mới mỗi bốn năm. Nếu thay vào đó bạn dùng chi tiêu vốn của năm gần nhất, bạn sẽ hoặc là ước tính quá cao chi tiêu vốn (nếu công ty xây nhà máy mới trong năm đó) hoặc ước tính quá thấp (nếu nhà máy đã được xây từ năm trước).</w:t>
      </w:r>
    </w:p>
    <w:p>
      <w:pPr>
        <w:pStyle w:val="Para 03"/>
      </w:pPr>
      <w:r>
        <w:t>Có hai vấn đề về đo lường mà bạn sẽ cần đối mặt. Một là số năm lịch sử bạn nên dùng. Câu trả lời sẽ khác nhau giữa các công ty và phụ thuộc vào việc công ty thực hiện các khoản đầu tư lớn thưa thớt đến mức nào. Vấn đề còn lại là liệu việc lấy trung bình chi tiêu vốn theo thời gian có buộc chúng ta phải lấy trung bình cả khấu hao hay không. Vì khấu hao vốn đã được trải đều theo thời gian, nhu cầu chuẩn hóa sẽ nhỏ hơn nhiều. Ngoài ra, lợi ích thuế mà công ty nhận được phản ánh khấu hao thực tế của năm gần nhất, chứ không phải khấu hao trung bình theo thời gian. Trừ khi khấu hao biến động mạnh như chi tiêu vốn, sẽ hợp lý hơn nếu để khấu hao nguyên trạng.</w:t>
      </w:r>
    </w:p>
    <w:p>
      <w:pPr>
        <w:pStyle w:val="Para 03"/>
      </w:pPr>
      <w:r>
        <w:t>Với những công ty có lịch sử hạn chế hoặc những công ty đã thay đổi cơ cấu kinh doanh theo thời gian, việc lấy trung bình theo thời gian hoặc không khả thi hoặc sẽ cho ra những con số không phản ánh đúng nhu cầu chi tiêu vốn thực sự của họ. Với những công ty này, chi tiêu vốn trung bình của ngành là một lựa chọn thay thế. Vì quy mô công ty có thể khác nhau trong một ngành, các con số trung bình thường được tính với chi tiêu vốn dưới dạng phần trăm của một đầu vào cơ sở — doanh thu và tổng tài sản là những lựa chọn phổ biến. Chúng tôi thích xem chi tiêu vốn dưới dạng phần trăm của khấu hao, và lấy trung bình chỉ số này cho ngành. Thực tế, nếu có đủ công ty trong mẫu, bạn có thể xem xét mức trung bình của một nhóm công ty đang ở cùng giai đoạn vòng đời như công ty đang được phân tích.</w:t>
      </w:r>
    </w:p>
    <w:p>
      <w:pPr>
        <w:pStyle w:val="Para 11"/>
      </w:pPr>
      <w:r>
        <w:t/>
        <w:t xml:space="preserve"> </w:t>
      </w:r>
    </w:p>
    <w:p>
      <w:bookmarkStart w:id="1782" w:name="ILLUSTRATION_10_4___Estimating_N_1"/>
      <w:bookmarkStart w:id="1783" w:name="ILLUSTRATION_10_4___Estimating_N"/>
      <w:pPr>
        <w:keepNext/>
        <w:pStyle w:val="Para 19"/>
        <w:keepLines w:val="on"/>
      </w:pPr>
      <w:r>
        <w:t>MINH HỌA 10.4: Ước tính chi tiêu vốn ròng đã chuẩn hóa: BYD</w:t>
      </w:r>
      <w:bookmarkEnd w:id="1782"/>
      <w:bookmarkEnd w:id="1783"/>
    </w:p>
    <w:p>
      <w:pPr>
        <w:pStyle w:val="Para 04"/>
        <w:keepLines w:val="on"/>
      </w:pPr>
      <w:r>
        <w:t>BYD là công ty xe điện lớn nhất Trung Quốc, và bước vào năm 2024, có vẻ như đang sẵn sàng cho mức tăng trưởng cao. Công ty thực hiện những khoản đầu tư đáng kể vào các mảng kinh doanh này, và bảng sau tóm tắt chi tiêu vốn và khấu hao trong giai đoạn 2019–2023:</w:t>
      </w:r>
    </w:p>
    <w:tbl>
      <w:tblPr>
        <w:tblW w:type="auto" w:w="0"/>
      </w:tblPr>
      <w:tr>
        <w:tc>
          <w:tcPr>
            <w:tcW w:type="auto" w:w="0"/>
          </w:tcPr>
          <w:tbl>
            <w:tblPr>
              <w:tblW w:type="auto" w:w="0"/>
            </w:tblPr>
            <w:tr>
              <w:tc>
                <w:tcPr>
                  <w:tcW w:type="auto" w:w="0"/>
                  <w:shd w:val="clear" w:color="auto" w:fill="F0F0F0"/>
                  <w:vAlign w:val="bottom"/>
                </w:tcPr>
                <w:p>
                  <w:pPr>
                    <w:pStyle w:val="Para 05"/>
                    <w:keepLines w:val="on"/>
                  </w:pPr>
                  <w:r>
                    <w:t>Năm</w:t>
                  </w:r>
                </w:p>
              </w:tc>
              <w:tc>
                <w:tcPr>
                  <w:tcW w:type="auto" w:w="0"/>
                  <w:shd w:val="clear" w:color="auto" w:fill="F0F0F0"/>
                  <w:vAlign w:val="bottom"/>
                </w:tcPr>
                <w:p>
                  <w:pPr>
                    <w:pStyle w:val="Para 05"/>
                    <w:keepLines w:val="on"/>
                  </w:pPr>
                  <w:r>
                    <w:t>Khấu hao</w:t>
                  </w:r>
                </w:p>
              </w:tc>
              <w:tc>
                <w:tcPr>
                  <w:tcW w:type="auto" w:w="0"/>
                  <w:shd w:val="clear" w:color="auto" w:fill="F0F0F0"/>
                  <w:vAlign w:val="bottom"/>
                </w:tcPr>
                <w:p>
                  <w:pPr>
                    <w:pStyle w:val="Para 05"/>
                    <w:keepLines w:val="on"/>
                  </w:pPr>
                  <w:r>
                    <w:t>Chi tiêu vốn</w:t>
                  </w:r>
                </w:p>
              </w:tc>
              <w:tc>
                <w:tcPr>
                  <w:tcW w:type="auto" w:w="0"/>
                  <w:shd w:val="clear" w:color="auto" w:fill="F0F0F0"/>
                  <w:vAlign w:val="bottom"/>
                </w:tcPr>
                <w:p>
                  <w:pPr>
                    <w:pStyle w:val="Para 05"/>
                    <w:keepLines w:val="on"/>
                  </w:pPr>
                  <w:r>
                    <w:t>Chi tiêu vốn ròng</w:t>
                  </w:r>
                </w:p>
              </w:tc>
              <w:tc>
                <w:tcPr>
                  <w:tcW w:type="auto" w:w="0"/>
                  <w:shd w:val="clear" w:color="auto" w:fill="F0F0F0"/>
                  <w:vAlign w:val="bottom"/>
                </w:tcPr>
                <w:p>
                  <w:pPr>
                    <w:pStyle w:val="Para 05"/>
                    <w:keepLines w:val="on"/>
                  </w:pPr>
                  <w:r>
                    <w:t>Chi tiêu vốn/ Khấu hao</w:t>
                  </w:r>
                </w:p>
              </w:tc>
              <w:tc>
                <w:tcPr>
                  <w:tcW w:type="auto" w:w="0"/>
                  <w:shd w:val="clear" w:color="auto" w:fill="F0F0F0"/>
                  <w:vAlign w:val="bottom"/>
                </w:tcPr>
                <w:p>
                  <w:pPr>
                    <w:pStyle w:val="Para 05"/>
                    <w:keepLines w:val="on"/>
                  </w:pPr>
                  <w:r>
                    <w:t>Doanh thu</w:t>
                  </w:r>
                </w:p>
              </w:tc>
              <w:tc>
                <w:tcPr>
                  <w:tcW w:type="auto" w:w="0"/>
                  <w:shd w:val="clear" w:color="auto" w:fill="F0F0F0"/>
                  <w:vAlign w:val="bottom"/>
                </w:tcPr>
                <w:p>
                  <w:pPr>
                    <w:pStyle w:val="Para 05"/>
                    <w:keepLines w:val="on"/>
                  </w:pPr>
                  <w:r>
                    <w:t>Chi tiêu vốn ròng tính theo % doanh thu</w:t>
                  </w:r>
                </w:p>
              </w:tc>
            </w:tr>
            <w:tr>
              <w:tc>
                <w:tcPr>
                  <w:tcW w:type="auto" w:w="0"/>
                  <w:shd w:val="clear" w:color="auto" w:fill="F0F0F0"/>
                </w:tcPr>
                <w:p>
                  <w:pPr>
                    <w:pStyle w:val="Normal"/>
                    <w:keepLines w:val="on"/>
                  </w:pPr>
                  <w:r>
                    <w:t>2019</w:t>
                  </w:r>
                </w:p>
              </w:tc>
              <w:tc>
                <w:tcPr>
                  <w:tcW w:type="auto" w:w="0"/>
                  <w:shd w:val="clear" w:color="auto" w:fill="F0F0F0"/>
                </w:tcPr>
                <w:p>
                  <w:pPr>
                    <w:pStyle w:val="Normal"/>
                    <w:keepLines w:val="on"/>
                  </w:pPr>
                  <w:r>
                    <w:t>¥8,321</w:t>
                  </w:r>
                </w:p>
              </w:tc>
              <w:tc>
                <w:tcPr>
                  <w:tcW w:type="auto" w:w="0"/>
                  <w:shd w:val="clear" w:color="auto" w:fill="F0F0F0"/>
                </w:tcPr>
                <w:p>
                  <w:pPr>
                    <w:pStyle w:val="Normal"/>
                    <w:keepLines w:val="on"/>
                  </w:pPr>
                  <w:r>
                    <w:t>¥20,627</w:t>
                  </w:r>
                </w:p>
              </w:tc>
              <w:tc>
                <w:tcPr>
                  <w:tcW w:type="auto" w:w="0"/>
                  <w:shd w:val="clear" w:color="auto" w:fill="F0F0F0"/>
                </w:tcPr>
                <w:p>
                  <w:pPr>
                    <w:pStyle w:val="Normal"/>
                    <w:keepLines w:val="on"/>
                  </w:pPr>
                  <w:r>
                    <w:t>¥12,307</w:t>
                  </w:r>
                </w:p>
              </w:tc>
              <w:tc>
                <w:tcPr>
                  <w:tcW w:type="auto" w:w="0"/>
                  <w:shd w:val="clear" w:color="auto" w:fill="F0F0F0"/>
                </w:tcPr>
                <w:p>
                  <w:pPr>
                    <w:pStyle w:val="Normal"/>
                    <w:keepLines w:val="on"/>
                  </w:pPr>
                  <w:r>
                    <w:t>247,90%</w:t>
                  </w:r>
                </w:p>
              </w:tc>
              <w:tc>
                <w:tcPr>
                  <w:tcW w:type="auto" w:w="0"/>
                  <w:shd w:val="clear" w:color="auto" w:fill="F0F0F0"/>
                </w:tcPr>
                <w:p>
                  <w:pPr>
                    <w:pStyle w:val="Normal"/>
                    <w:keepLines w:val="on"/>
                  </w:pPr>
                  <w:r>
                    <w:t>¥127,739</w:t>
                  </w:r>
                </w:p>
              </w:tc>
              <w:tc>
                <w:tcPr>
                  <w:tcW w:type="auto" w:w="0"/>
                  <w:shd w:val="clear" w:color="auto" w:fill="F0F0F0"/>
                </w:tcPr>
                <w:p>
                  <w:pPr>
                    <w:pStyle w:val="Normal"/>
                    <w:keepLines w:val="on"/>
                  </w:pPr>
                  <w:r>
                    <w:t>9,63%</w:t>
                  </w:r>
                </w:p>
              </w:tc>
            </w:tr>
            <w:tr>
              <w:tc>
                <w:tcPr>
                  <w:tcW w:type="auto" w:w="0"/>
                  <w:shd w:val="clear" w:color="auto" w:fill="F0F0F0"/>
                </w:tcPr>
                <w:p>
                  <w:pPr>
                    <w:pStyle w:val="Normal"/>
                    <w:keepLines w:val="on"/>
                  </w:pPr>
                  <w:r>
                    <w:t>2020</w:t>
                  </w:r>
                </w:p>
              </w:tc>
              <w:tc>
                <w:tcPr>
                  <w:tcW w:type="auto" w:w="0"/>
                  <w:shd w:val="clear" w:color="auto" w:fill="F0F0F0"/>
                </w:tcPr>
                <w:p>
                  <w:pPr>
                    <w:pStyle w:val="Normal"/>
                    <w:keepLines w:val="on"/>
                  </w:pPr>
                  <w:r>
                    <w:t>¥9,415</w:t>
                  </w:r>
                </w:p>
              </w:tc>
              <w:tc>
                <w:tcPr>
                  <w:tcW w:type="auto" w:w="0"/>
                  <w:shd w:val="clear" w:color="auto" w:fill="F0F0F0"/>
                </w:tcPr>
                <w:p>
                  <w:pPr>
                    <w:pStyle w:val="Normal"/>
                    <w:keepLines w:val="on"/>
                  </w:pPr>
                  <w:r>
                    <w:t>¥11,774</w:t>
                  </w:r>
                </w:p>
              </w:tc>
              <w:tc>
                <w:tcPr>
                  <w:tcW w:type="auto" w:w="0"/>
                  <w:shd w:val="clear" w:color="auto" w:fill="F0F0F0"/>
                </w:tcPr>
                <w:p>
                  <w:pPr>
                    <w:pStyle w:val="Normal"/>
                    <w:keepLines w:val="on"/>
                  </w:pPr>
                  <w:r>
                    <w:t>¥2,359</w:t>
                  </w:r>
                </w:p>
              </w:tc>
              <w:tc>
                <w:tcPr>
                  <w:tcW w:type="auto" w:w="0"/>
                  <w:shd w:val="clear" w:color="auto" w:fill="F0F0F0"/>
                </w:tcPr>
                <w:p>
                  <w:pPr>
                    <w:pStyle w:val="Normal"/>
                    <w:keepLines w:val="on"/>
                  </w:pPr>
                  <w:r>
                    <w:t>125,06%</w:t>
                  </w:r>
                </w:p>
              </w:tc>
              <w:tc>
                <w:tcPr>
                  <w:tcW w:type="auto" w:w="0"/>
                  <w:shd w:val="clear" w:color="auto" w:fill="F0F0F0"/>
                </w:tcPr>
                <w:p>
                  <w:pPr>
                    <w:pStyle w:val="Normal"/>
                    <w:keepLines w:val="on"/>
                  </w:pPr>
                  <w:r>
                    <w:t>¥156,598</w:t>
                  </w:r>
                </w:p>
              </w:tc>
              <w:tc>
                <w:tcPr>
                  <w:tcW w:type="auto" w:w="0"/>
                  <w:shd w:val="clear" w:color="auto" w:fill="F0F0F0"/>
                </w:tcPr>
                <w:p>
                  <w:pPr>
                    <w:pStyle w:val="Normal"/>
                    <w:keepLines w:val="on"/>
                  </w:pPr>
                  <w:r>
                    <w:t>1,51%</w:t>
                  </w:r>
                </w:p>
              </w:tc>
            </w:tr>
            <w:tr>
              <w:tc>
                <w:tcPr>
                  <w:tcW w:type="auto" w:w="0"/>
                  <w:shd w:val="clear" w:color="auto" w:fill="F0F0F0"/>
                </w:tcPr>
                <w:p>
                  <w:pPr>
                    <w:pStyle w:val="Normal"/>
                    <w:keepLines w:val="on"/>
                  </w:pPr>
                  <w:r>
                    <w:t>2021</w:t>
                  </w:r>
                </w:p>
              </w:tc>
              <w:tc>
                <w:tcPr>
                  <w:tcW w:type="auto" w:w="0"/>
                  <w:shd w:val="clear" w:color="auto" w:fill="F0F0F0"/>
                </w:tcPr>
                <w:p>
                  <w:pPr>
                    <w:pStyle w:val="Normal"/>
                    <w:keepLines w:val="on"/>
                  </w:pPr>
                  <w:r>
                    <w:t>¥11,153</w:t>
                  </w:r>
                </w:p>
              </w:tc>
              <w:tc>
                <w:tcPr>
                  <w:tcW w:type="auto" w:w="0"/>
                  <w:shd w:val="clear" w:color="auto" w:fill="F0F0F0"/>
                </w:tcPr>
                <w:p>
                  <w:pPr>
                    <w:pStyle w:val="Normal"/>
                    <w:keepLines w:val="on"/>
                  </w:pPr>
                  <w:r>
                    <w:t>¥37,344</w:t>
                  </w:r>
                </w:p>
              </w:tc>
              <w:tc>
                <w:tcPr>
                  <w:tcW w:type="auto" w:w="0"/>
                  <w:shd w:val="clear" w:color="auto" w:fill="F0F0F0"/>
                </w:tcPr>
                <w:p>
                  <w:pPr>
                    <w:pStyle w:val="Normal"/>
                    <w:keepLines w:val="on"/>
                  </w:pPr>
                  <w:r>
                    <w:t>¥26,191</w:t>
                  </w:r>
                </w:p>
              </w:tc>
              <w:tc>
                <w:tcPr>
                  <w:tcW w:type="auto" w:w="0"/>
                  <w:shd w:val="clear" w:color="auto" w:fill="F0F0F0"/>
                </w:tcPr>
                <w:p>
                  <w:pPr>
                    <w:pStyle w:val="Normal"/>
                    <w:keepLines w:val="on"/>
                  </w:pPr>
                  <w:r>
                    <w:t>334,83%</w:t>
                  </w:r>
                </w:p>
              </w:tc>
              <w:tc>
                <w:tcPr>
                  <w:tcW w:type="auto" w:w="0"/>
                  <w:shd w:val="clear" w:color="auto" w:fill="F0F0F0"/>
                </w:tcPr>
                <w:p>
                  <w:pPr>
                    <w:pStyle w:val="Normal"/>
                    <w:keepLines w:val="on"/>
                  </w:pPr>
                  <w:r>
                    <w:t>¥216,142</w:t>
                  </w:r>
                </w:p>
              </w:tc>
              <w:tc>
                <w:tcPr>
                  <w:tcW w:type="auto" w:w="0"/>
                  <w:shd w:val="clear" w:color="auto" w:fill="F0F0F0"/>
                </w:tcPr>
                <w:p>
                  <w:pPr>
                    <w:pStyle w:val="Normal"/>
                    <w:keepLines w:val="on"/>
                  </w:pPr>
                  <w:r>
                    <w:t>12,12%</w:t>
                  </w:r>
                </w:p>
              </w:tc>
            </w:tr>
            <w:tr>
              <w:tc>
                <w:tcPr>
                  <w:tcW w:type="auto" w:w="0"/>
                  <w:shd w:val="clear" w:color="auto" w:fill="F0F0F0"/>
                </w:tcPr>
                <w:p>
                  <w:pPr>
                    <w:pStyle w:val="Normal"/>
                    <w:keepLines w:val="on"/>
                  </w:pPr>
                  <w:r>
                    <w:t>2022</w:t>
                  </w:r>
                </w:p>
              </w:tc>
              <w:tc>
                <w:tcPr>
                  <w:tcW w:type="auto" w:w="0"/>
                  <w:shd w:val="clear" w:color="auto" w:fill="F0F0F0"/>
                </w:tcPr>
                <w:p>
                  <w:pPr>
                    <w:pStyle w:val="Normal"/>
                    <w:keepLines w:val="on"/>
                  </w:pPr>
                  <w:r>
                    <w:t>¥15,189</w:t>
                  </w:r>
                </w:p>
              </w:tc>
              <w:tc>
                <w:tcPr>
                  <w:tcW w:type="auto" w:w="0"/>
                  <w:shd w:val="clear" w:color="auto" w:fill="F0F0F0"/>
                </w:tcPr>
                <w:p>
                  <w:pPr>
                    <w:pStyle w:val="Normal"/>
                    <w:keepLines w:val="on"/>
                  </w:pPr>
                  <w:r>
                    <w:t>¥97,457</w:t>
                  </w:r>
                </w:p>
              </w:tc>
              <w:tc>
                <w:tcPr>
                  <w:tcW w:type="auto" w:w="0"/>
                  <w:shd w:val="clear" w:color="auto" w:fill="F0F0F0"/>
                </w:tcPr>
                <w:p>
                  <w:pPr>
                    <w:pStyle w:val="Normal"/>
                    <w:keepLines w:val="on"/>
                  </w:pPr>
                  <w:r>
                    <w:t>¥82,268</w:t>
                  </w:r>
                </w:p>
              </w:tc>
              <w:tc>
                <w:tcPr>
                  <w:tcW w:type="auto" w:w="0"/>
                  <w:shd w:val="clear" w:color="auto" w:fill="F0F0F0"/>
                </w:tcPr>
                <w:p>
                  <w:pPr>
                    <w:pStyle w:val="Normal"/>
                    <w:keepLines w:val="on"/>
                  </w:pPr>
                  <w:r>
                    <w:t>641,62%</w:t>
                  </w:r>
                </w:p>
              </w:tc>
              <w:tc>
                <w:tcPr>
                  <w:tcW w:type="auto" w:w="0"/>
                  <w:shd w:val="clear" w:color="auto" w:fill="F0F0F0"/>
                </w:tcPr>
                <w:p>
                  <w:pPr>
                    <w:pStyle w:val="Normal"/>
                    <w:keepLines w:val="on"/>
                  </w:pPr>
                  <w:r>
                    <w:t>¥424,061</w:t>
                  </w:r>
                </w:p>
              </w:tc>
              <w:tc>
                <w:tcPr>
                  <w:tcW w:type="auto" w:w="0"/>
                  <w:shd w:val="clear" w:color="auto" w:fill="F0F0F0"/>
                </w:tcPr>
                <w:p>
                  <w:pPr>
                    <w:pStyle w:val="Normal"/>
                    <w:keepLines w:val="on"/>
                  </w:pPr>
                  <w:r>
                    <w:t>19,40%</w:t>
                  </w:r>
                </w:p>
              </w:tc>
            </w:tr>
            <w:tr>
              <w:tc>
                <w:tcPr>
                  <w:tcW w:type="auto" w:w="0"/>
                  <w:shd w:val="clear" w:color="auto" w:fill="F0F0F0"/>
                </w:tcPr>
                <w:p>
                  <w:pPr>
                    <w:pStyle w:val="Normal"/>
                    <w:keepLines w:val="on"/>
                  </w:pPr>
                  <w:r>
                    <w:t>2023</w:t>
                  </w:r>
                </w:p>
              </w:tc>
              <w:tc>
                <w:tcPr>
                  <w:tcW w:type="auto" w:w="0"/>
                  <w:shd w:val="clear" w:color="auto" w:fill="F0F0F0"/>
                </w:tcPr>
                <w:p>
                  <w:pPr>
                    <w:pStyle w:val="Normal"/>
                    <w:keepLines w:val="on"/>
                  </w:pPr>
                  <w:r>
                    <w:t>¥39.108</w:t>
                  </w:r>
                </w:p>
              </w:tc>
              <w:tc>
                <w:tcPr>
                  <w:tcW w:type="auto" w:w="0"/>
                  <w:shd w:val="clear" w:color="auto" w:fill="F0F0F0"/>
                </w:tcPr>
                <w:p>
                  <w:pPr>
                    <w:pStyle w:val="Normal"/>
                    <w:keepLines w:val="on"/>
                  </w:pPr>
                  <w:r>
                    <w:t>¥122.094</w:t>
                  </w:r>
                </w:p>
              </w:tc>
              <w:tc>
                <w:tcPr>
                  <w:tcW w:type="auto" w:w="0"/>
                  <w:shd w:val="clear" w:color="auto" w:fill="F0F0F0"/>
                </w:tcPr>
                <w:p>
                  <w:pPr>
                    <w:pStyle w:val="Normal"/>
                    <w:keepLines w:val="on"/>
                  </w:pPr>
                  <w:r>
                    <w:t>¥82.985</w:t>
                  </w:r>
                </w:p>
              </w:tc>
              <w:tc>
                <w:tcPr>
                  <w:tcW w:type="auto" w:w="0"/>
                  <w:shd w:val="clear" w:color="auto" w:fill="F0F0F0"/>
                </w:tcPr>
                <w:p>
                  <w:pPr>
                    <w:pStyle w:val="Normal"/>
                    <w:keepLines w:val="on"/>
                  </w:pPr>
                  <w:r>
                    <w:t>312,19%</w:t>
                  </w:r>
                </w:p>
              </w:tc>
              <w:tc>
                <w:tcPr>
                  <w:tcW w:type="auto" w:w="0"/>
                  <w:shd w:val="clear" w:color="auto" w:fill="F0F0F0"/>
                </w:tcPr>
                <w:p>
                  <w:pPr>
                    <w:pStyle w:val="Normal"/>
                    <w:keepLines w:val="on"/>
                  </w:pPr>
                  <w:r>
                    <w:t>¥602.315</w:t>
                  </w:r>
                </w:p>
              </w:tc>
              <w:tc>
                <w:tcPr>
                  <w:tcW w:type="auto" w:w="0"/>
                  <w:shd w:val="clear" w:color="auto" w:fill="F0F0F0"/>
                </w:tcPr>
                <w:p>
                  <w:pPr>
                    <w:pStyle w:val="Normal"/>
                    <w:keepLines w:val="on"/>
                  </w:pPr>
                  <w:r>
                    <w:t>13,78%</w:t>
                  </w:r>
                </w:p>
              </w:tc>
            </w:tr>
            <w:tr>
              <w:tc>
                <w:tcPr>
                  <w:tcW w:type="auto" w:w="0"/>
                  <w:shd w:val="clear" w:color="auto" w:fill="F0F0F0"/>
                </w:tcPr>
                <w:p>
                  <w:pPr>
                    <w:pStyle w:val="Para 02"/>
                    <w:keepLines w:val="on"/>
                  </w:pPr>
                  <w:r>
                    <w:t>Trung bình</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¥41.222</w:t>
                  </w:r>
                </w:p>
              </w:tc>
              <w:tc>
                <w:tcPr>
                  <w:tcW w:type="auto" w:w="0"/>
                  <w:shd w:val="clear" w:color="auto" w:fill="F0F0F0"/>
                </w:tcPr>
                <w:p>
                  <w:pPr>
                    <w:pStyle w:val="Normal"/>
                    <w:keepLines w:val="on"/>
                  </w:pPr>
                  <w:r>
                    <w:t>332,32%</w:t>
                  </w:r>
                </w:p>
              </w:tc>
              <w:tc>
                <w:tcPr>
                  <w:tcW w:type="auto" w:w="0"/>
                  <w:shd w:val="clear" w:color="auto" w:fill="F0F0F0"/>
                </w:tcPr>
                <w:p>
                  <w:pPr>
                    <w:pStyle w:val="7 Block"/>
                    <w:keepLines w:val="on"/>
                  </w:pPr>
                </w:p>
              </w:tc>
              <w:tc>
                <w:tcPr>
                  <w:tcW w:type="auto" w:w="0"/>
                  <w:shd w:val="clear" w:color="auto" w:fill="F0F0F0"/>
                </w:tcPr>
                <w:p>
                  <w:pPr>
                    <w:pStyle w:val="Normal"/>
                    <w:keepLines w:val="on"/>
                  </w:pPr>
                  <w:r>
                    <w:t>11,29%</w:t>
                  </w:r>
                </w:p>
              </w:tc>
            </w:tr>
          </w:tbl>
          <w:p/>
        </w:tc>
      </w:tr>
    </w:tbl>
    <w:p>
      <w:pPr>
        <w:pStyle w:val="Para 04"/>
        <w:keepLines w:val="on"/>
      </w:pPr>
      <w:r>
        <w:t>Chi tiêu vốn (capital expenditures) của công ty đã biến động thất thường, và khấu hao (depreciation) của công ty đang có xu hướng tăng lên. Có hai cách để chúng ta có thể chuẩn hóa (normalize) chi tiêu vốn ròng (net capital expenditures). Một là lấy mức chi tiêu vốn ròng trung bình trong giai đoạn năm năm, kết quả sẽ cho ra chi tiêu vốn ròng là ¥41.222 triệu. Một cách khác để chuẩn hóa chi tiêu vốn là xem xét chi tiêu vốn như một tỷ lệ phần trăm của khấu hao trong giai đoạn đó, rồi áp dụng tỷ lệ đó cho khấu hao của năm gần nhất (2023):</w:t>
      </w:r>
    </w:p>
    <w:p>
      <w:bookmarkStart w:id="1784" w:name="Normalized_cap_expenditures_Y_39"/>
      <w:pPr>
        <w:keepNext/>
        <w:pStyle w:val="Para 07"/>
        <w:keepLines w:val="on"/>
      </w:pPr>
      <w:r>
        <w:t>Chi tiêu vốn chuẩn hóa=¥39.108(3,32)=¥129.966 triệuChi tiêu vốn ròng chuẩn hóa=¥129.966-¥39.108=¥90.857 triệu</w:t>
      </w:r>
      <w:bookmarkEnd w:id="1784"/>
    </w:p>
    <w:p>
      <w:pPr>
        <w:pStyle w:val="Para 04"/>
        <w:keepLines w:val="on"/>
      </w:pPr>
      <w:r>
        <w:t>Cách tiếp cận thứ ba là quy đổi chi tiêu vốn ròng mỗi năm theo doanh thu (revenues) và ước tính nó như một tỷ lệ phần trăm của doanh thu. Cách này cho ra chi tiêu vốn ròng tính theo phần trăm doanh thu là 11,29% trong giai đoạn đó, và bạn có thể dùng con số thống kê này để chuẩn hóa chi tiêu vốn ròng trong năm 2023:</w:t>
      </w:r>
    </w:p>
    <w:p>
      <w:bookmarkStart w:id="1786" w:name="Normalized_cap_expenditures_Reve"/>
      <w:pPr>
        <w:keepNext/>
        <w:pStyle w:val="Para 07"/>
        <w:keepLines w:val="on"/>
      </w:pPr>
      <w:r>
        <w:t>Chi tiêu vốn chuẩn hóa=Doanh thu năm 2023×Chi tiêu vốn ròng tính theo % doanh thu =¥602.315 (0,1129)=¥68.984 triệu</w:t>
      </w:r>
      <w:bookmarkEnd w:id="1786"/>
    </w:p>
    <w:p>
      <w:pPr>
        <w:pStyle w:val="Para 04"/>
        <w:keepLines w:val="on"/>
      </w:pPr>
      <w:r>
        <w:t>Ưu điểm của cách tiếp cận cuối cùng, khi chi tiêu vốn ròng được quy đổi theo doanh thu, là nó mang lại cơ sở để dự báo chi tiêu vốn ròng trong các giai đoạn tương lai, như một hàm số của doanh thu dự kiến.</w:t>
      </w:r>
    </w:p>
    <w:p>
      <w:bookmarkStart w:id="1787" w:name="Capital_Expenses_Treated_as_Oper_3"/>
      <w:bookmarkStart w:id="1788" w:name="Capital_Expenses_Treated_as_Oper_2"/>
      <w:pPr>
        <w:keepNext/>
        <w:pStyle w:val="Heading 4"/>
        <w:keepLines w:val="on"/>
      </w:pPr>
      <w:r>
        <w:t>Chi phí vốn được xử lý như chi phí hoạt động</w:t>
      </w:r>
      <w:bookmarkEnd w:id="1787"/>
      <w:bookmarkEnd w:id="1788"/>
    </w:p>
    <w:p>
      <w:pPr>
        <w:pStyle w:val="Para 03"/>
      </w:pPr>
      <w:r>
        <w:t>Trong Chương 9, chúng ta đã thảo luận về việc vốn hóa (capitalization) các khoản chi phí như R&amp;D và đào tạo nhân sự, những khoản mà lợi ích của chúng kéo dài qua nhiều giai đoạn, và đã xem xét các tác động lên thu nhập (earnings). Rõ ràng cũng sẽ có tác động lên các ước tính của chúng ta về chi tiêu vốn, khấu hao, và do đó là chi tiêu vốn ròng.</w:t>
      </w:r>
    </w:p>
    <w:p>
      <w:pPr>
        <w:numPr>
          <w:ilvl w:val="0"/>
          <w:numId w:val="88"/>
        </w:numPr>
        <w:pStyle w:val="Para 01"/>
      </w:pPr>
      <w:r>
        <w:t>Nếu chúng ta quyết định phân loại lại một số chi phí hoạt động (operating expenses) thành chi phí vốn (capital expenses), chúng ta nên xử lý giá trị của khoản mục này trong giai đoạn hiện tại như một khoản chi tiêu vốn. Ví dụ, nếu chúng ta quyết định vốn hóa chi phí R&amp;D, thì số tiền chi cho R&amp;D trong giai đoạn hiện tại phải được cộng vào chi tiêu vốn.</w:t>
      </w:r>
    </w:p>
    <w:p>
      <w:bookmarkStart w:id="1789" w:name="Adjusted_capital_expenditures_Ca"/>
      <w:pPr>
        <w:keepNext/>
        <w:pStyle w:val="Para 09"/>
        <w:keepLines w:val="on"/>
      </w:pPr>
      <w:r>
        <w:t>Chi tiêu vốn điều chỉnh=Chi tiêu vốn+ Chi phí R&amp;D trong giai đoạn hiện tại</w:t>
      </w:r>
      <w:bookmarkEnd w:id="1789"/>
    </w:p>
    <w:p>
      <w:pPr>
        <w:numPr>
          <w:ilvl w:val="0"/>
          <w:numId w:val="89"/>
        </w:numPr>
        <w:pStyle w:val="Para 01"/>
      </w:pPr>
      <w:r>
        <w:t>Vì việc vốn hóa một chi phí hoạt động tạo ra một tài sản, nên phần khấu hao (amortization) của tài sản này cũng phải được cộng vào khấu hao của giai đoạn hiện tại. Do đó, việc vốn hóa R&amp;D tạo ra một tài sản nghiên cứu, và tài sản này phát sinh một khoản khấu hao trong giai đoạn hiện tại.</w:t>
      </w:r>
    </w:p>
    <w:p>
      <w:bookmarkStart w:id="1790" w:name="Adjusted_depreciation_Depreciati"/>
      <w:pPr>
        <w:keepNext/>
        <w:pStyle w:val="Para 09"/>
        <w:keepLines w:val="on"/>
      </w:pPr>
      <w:r>
        <w:t>Khấu hao điều chỉnh=Khấu hao và phân bổ+Khấu hao của tài sản nghiên cứu</w:t>
      </w:r>
      <w:bookmarkEnd w:id="1790"/>
    </w:p>
    <w:p>
      <w:pPr>
        <w:numPr>
          <w:ilvl w:val="0"/>
          <w:numId w:val="90"/>
        </w:numPr>
        <w:pStyle w:val="Para 01"/>
      </w:pPr>
      <w:r>
        <w:t>Nếu chúng ta cộng chi phí của giai đoạn hiện tại vào chi tiêu vốn và cộng phần khấu hao của tài sản vào khấu hao, thì chi tiêu vốn ròng của công ty sẽ tăng lên bằng chênh lệch giữa hai khoản này:</w:t>
      </w:r>
    </w:p>
    <w:p>
      <w:bookmarkStart w:id="1791" w:name="Adjusted_net_capital_expenditure"/>
      <w:pPr>
        <w:keepNext/>
        <w:pStyle w:val="Para 09"/>
        <w:keepLines w:val="on"/>
      </w:pPr>
      <w:r>
        <w:t>Chi tiêu vốn ròng điều chỉnh=Chi tiêu vốn ròng+Chi phí R&amp;D trong giai đoạn hiện tại−Khấu hao của tài sản nghiên cứu</w:t>
      </w:r>
      <w:bookmarkEnd w:id="1791"/>
    </w:p>
    <w:p>
      <w:pPr>
        <w:pStyle w:val="Para 03"/>
      </w:pPr>
      <w:r>
        <w:t>Lưu ý rằng điều chỉnh mà chúng ta thực hiện đối với chi tiêu vốn ròng (net capital expenditure) phản ánh đúng điều chỉnh mà chúng ta thực hiện đối với thu nhập hoạt động (operating income). Vì chi tiêu vốn ròng bị trừ khỏi thu nhập hoạt động sau thuế (after-tax operating income), nên theo một nghĩa nào đó, chúng ta đang vô hiệu hóa tác động lên dòng tiền (cash flows) của việc vốn hóa (capitalizing) R&amp;D.</w:t>
      </w:r>
    </w:p>
    <w:p>
      <w:pPr>
        <w:pStyle w:val="Para 20"/>
      </w:pPr>
      <w:r>
        <w:rPr>
          <w:rStyle w:val="Text26"/>
        </w:rPr>
        <w:bookmarkStart w:id="1792" w:name="Page_282"/>
        <w:t/>
        <w:bookmarkEnd w:id="1792"/>
      </w:r>
      <w:r>
        <w:t xml:space="preserve"> </w:t>
      </w:r>
    </w:p>
    <w:p>
      <w:pPr>
        <w:pStyle w:val="Para 11"/>
      </w:pPr>
      <w:r>
        <w:t/>
        <w:t xml:space="preserve"> </w:t>
      </w:r>
    </w:p>
    <w:p>
      <w:bookmarkStart w:id="1793" w:name="ILLUSTRATION_10_5___Effect_of_Ca_1"/>
      <w:bookmarkStart w:id="1794" w:name="ILLUSTRATION_10_5___Effect_of_Ca"/>
      <w:pPr>
        <w:keepNext/>
        <w:pStyle w:val="Para 19"/>
        <w:keepLines w:val="on"/>
      </w:pPr>
      <w:r>
        <w:t>MINH HỌA 10.5: Tác động của việc vốn hóa R&amp;D: Amgen năm 2023</w:t>
      </w:r>
      <w:bookmarkEnd w:id="1793"/>
      <w:bookmarkEnd w:id="1794"/>
    </w:p>
    <w:p>
      <w:pPr>
        <w:pStyle w:val="Para 04"/>
        <w:keepLines w:val="on"/>
      </w:pPr>
      <w:r>
        <w:t>Trong Minh họa 9.2, chúng ta đã vốn hóa chi phí R&amp;D của Amgen và tạo ra một tài sản nghiên cứu (research asset). Trong Minh họa 10.3, chúng ta đã xem xét khoản lợi ích thuế bổ sung phát sinh từ việc một công ty có thể chi trừ toàn bộ khoản này. Trong minh họa này, chúng ta hoàn tất phân tích bằng cách xem xét tác động của việc vốn hóa lên chi tiêu vốn ròng.</w:t>
      </w:r>
    </w:p>
    <w:p>
      <w:pPr>
        <w:pStyle w:val="Para 04"/>
        <w:keepLines w:val="on"/>
      </w:pPr>
      <w:r>
        <w:t>Xem lại các con số một lần nữa, Amgen có chi phí R&amp;D là 4.755 triệu đô la trong năm 2023. Vốn hóa chi phí R&amp;D, sử dụng thời gian phân bổ (amortizable life) là 10 năm, cho ra giá trị tài sản nghiên cứu là 23.687 triệu đô la và khoản phân bổ (amortization) cho năm hiện tại (2023) là 4.105 triệu đô la. Ngoài ra, lưu ý rằng Amgen báo cáo chi tiêu vốn là 998 triệu đô la trong năm 2023, và khấu hao và phân bổ (depreciation and amortization) lên tới 863 triệu đô la. Các điều chỉnh đối với chi tiêu vốn, khấu hao và phân bổ, và chi tiêu vốn ròng là:</w:t>
      </w:r>
    </w:p>
    <w:p>
      <w:bookmarkStart w:id="1796" w:name="Adjusted_capital_expenditures_Ca_1"/>
      <w:pPr>
        <w:keepNext/>
        <w:pStyle w:val="Para 07"/>
        <w:keepLines w:val="on"/>
      </w:pPr>
      <w:r>
        <w:t>Chi tiêu vốn đã điều chỉnh = Chi tiêu vốn + Chi phí R&amp;D trong kỳ hiện tại = 998 triệu đô la + 4.755 triệu đô la = 5.753 triệu đô la</w:t>
      </w:r>
      <w:bookmarkEnd w:id="1796"/>
    </w:p>
    <w:p>
      <w:bookmarkStart w:id="1797" w:name="Adjusted_depreciation___amortiza"/>
      <w:pPr>
        <w:keepNext/>
        <w:pStyle w:val="Para 07"/>
        <w:keepLines w:val="on"/>
      </w:pPr>
      <w:r>
        <w:t>Khấu hao &amp; phân bổ đã điều chỉnh = Khấu hao và phân bổ + Phân bổ tài sản nghiên cứu = 863 triệu đô la + 4.105 triệu đô la = 4.968 triệu đô la</w:t>
      </w:r>
      <w:bookmarkEnd w:id="1797"/>
    </w:p>
    <w:p>
      <w:bookmarkStart w:id="1798" w:name="Adjusted_net_capital_expenditure_1"/>
      <w:pPr>
        <w:keepNext/>
        <w:pStyle w:val="Para 07"/>
        <w:keepLines w:val="on"/>
      </w:pPr>
      <w:r>
        <w:t>Chi tiêu vốn ròng đã điều chỉnh = Chi tiêu vốn ròng + Chi phí R&amp;D trong kỳ hiện tại − Phân bổ tài sản nghiên cứu = 5.753 − 4.968 = 785 triệu đô la</w:t>
      </w:r>
      <w:bookmarkEnd w:id="1798"/>
    </w:p>
    <w:p>
      <w:pPr>
        <w:pStyle w:val="Para 04"/>
        <w:keepLines w:val="on"/>
      </w:pPr>
      <w:r>
        <w:t>Khi xem xét cùng với điều chỉnh đối với thu nhập hoạt động sau thuế trong Minh họa 10.3, sự thay đổi trong chi tiêu vốn ròng (tăng 650 triệu đô la từ 135 triệu đô la lên 785 triệu đô la) đúng bằng sự thay đổi trong thu nhập hoạt động sau thuế. Do đó, việc vốn hóa R&amp;D không có tác động gì đến dòng tiền tự do của công ty (free cash flow to the firm). Mặc dù dòng tiền cuối cùng không thay đổi, việc vốn hóa R&amp;D lại thay đổi đáng kể các ước tính về thu nhập và tái đầu tư (reinvestment). Vì vậy, nó giúp chúng ta hiểu rõ hơn một công ty sinh lời như thế nào và công ty đang tái đầu tư bao nhiêu cho tăng trưởng trong tương lai.</w:t>
      </w:r>
    </w:p>
    <w:p>
      <w:bookmarkStart w:id="1799" w:name="Acquisitions"/>
      <w:bookmarkStart w:id="1800" w:name="Acquisitions__In_estimating_capi"/>
      <w:pPr>
        <w:keepNext/>
        <w:pStyle w:val="Heading 4"/>
        <w:keepLines w:val="on"/>
      </w:pPr>
      <w:r>
        <w:t>Các thương vụ mua lại (Acquisitions)</w:t>
      </w:r>
      <w:bookmarkEnd w:id="1799"/>
      <w:bookmarkEnd w:id="1800"/>
    </w:p>
    <w:p>
      <w:pPr>
        <w:pStyle w:val="Para 03"/>
      </w:pPr>
      <w:r>
        <w:t>Khi ước tính chi tiêu vốn, chúng ta không nên phân biệt giữa đầu tư nội bộ (thường được phân loại là chi tiêu vốn trong báo cáo dòng tiền) và đầu tư bên ngoài (tức là các thương vụ mua lại). Do đó, chi tiêu vốn của một công ty cần bao gồm cả các thương vụ mua lại. Vì các công ty hiếm khi mua lại mỗi năm, và mỗi thương vụ mua lại có một mức giá khác nhau, nên quan điểm về việc chuẩn hóa (normalizing) chi tiêu vốn càng đúng hơn đối với khoản mục này. Do đó, dự báo chi tiêu vốn cho một công ty thực hiện thương vụ mua lại trị giá 100 triệu đô la khoảng mỗi năm năm một lần nên bao gồm khoảng 20 triệu đô la, đã điều chỉnh theo lạm phát, mỗi năm.</w:t>
      </w:r>
    </w:p>
    <w:p>
      <w:pPr>
        <w:pStyle w:val="Para 03"/>
      </w:pPr>
      <w:r>
        <w:t>Liệu bạn có nên phân biệt giữa các thương vụ mua lại được tài trợ bằng tiền mặt so với những thương vụ được tài trợ bằng cổ phiếu không? Chúng tôi cho rằng không. Mặc dù trong trường hợp sau có thể không có tiền mặt nào được công ty chi ra, nhưng công ty đang làm tăng số lượng cổ phiếu đang lưu hành (shares outstanding). Thực tế, một cách để nghĩ về các thương vụ mua lại được tài trợ bằng cổ phiếu là công ty đã bỏ qua một bước trong quá trình huy động vốn. Đáng lẽ công ty có thể phát hành cổ phiếu ra công chúng và dùng tiền mặt để thực hiện các thương vụ mua lại. Một cách khác để nghĩ về vấn đề này là một công ty sử dụng cổ phiếu để tài trợ cho các thương vụ mua lại năm này qua năm khác và được kỳ vọng sẽ tiếp tục làm như vậy trong tương lai sẽ làm tăng số lượng cổ phiếu đang lưu hành. Điều này, đến lượt nó, sẽ làm pha loãng (dilute) giá trị trên mỗi cổ phiếu đối với các cổ đông hiện hữu.</w:t>
      </w:r>
    </w:p>
    <w:p>
      <w:pPr>
        <w:pStyle w:val="Para 11"/>
      </w:pPr>
      <w:r>
        <w:t/>
        <w:t xml:space="preserve"> </w:t>
      </w:r>
    </w:p>
    <w:p>
      <w:bookmarkStart w:id="1802" w:name="ILLUSTRATION_10_6___Estimating_N_1"/>
      <w:bookmarkStart w:id="1803" w:name="ILLUSTRATION_10_6___Estimating_N"/>
      <w:pPr>
        <w:keepNext/>
        <w:pStyle w:val="Para 19"/>
        <w:keepLines w:val="on"/>
      </w:pPr>
      <w:r>
        <w:t>MINH HỌA 10.6: Ước tính chi tiêu vốn ròng: Cisco Systems năm 1999</w:t>
      </w:r>
      <w:bookmarkEnd w:id="1802"/>
      <w:bookmarkEnd w:id="1803"/>
    </w:p>
    <w:p>
      <w:pPr>
        <w:pStyle w:val="Para 04"/>
        <w:keepLines w:val="on"/>
      </w:pPr>
      <w:r>
        <w:t>Cisco Systems đã tăng giá trị thị trường của mình lên gấp trăm lần trong suốt thập niên 1990, phần lớn nhờ vào khả năng tăng trưởng doanh thu và thu nhập với tốc độ hàng năm từ 60% đến 70%. Phần lớn sự tăng trưởng này được tạo ra nhờ việc mua lại các công ty nhỏ với những công nghệ đầy hứa hẹn và khả năng của Cisco trong việc biến chúng thành những thành công thương mại. Để ước tính chi tiêu vốn ròng cho Cisco vào năm 1999, chúng ta bắt đầu với các ước tính về chi tiêu vốn (584 triệu đô la) và khấu hao (486 triệu đô la) trong báo cáo 10-K. Dựa trên những con số này, chúng ta sẽ kết luận rằng chi tiêu vốn ròng của Cisco vào năm 1999 là 98 triệu đô la.</w:t>
      </w:r>
    </w:p>
    <w:p>
      <w:pPr>
        <w:pStyle w:val="Para 04"/>
        <w:keepLines w:val="on"/>
      </w:pPr>
      <w:r>
        <w:t>Điều chỉnh đầu tiên chúng ta thực hiện đối với con số này là đưa vào tác động của chi phí nghiên cứu và phát triển. Chúng ta sử dụng thời gian phân bổ là năm năm và ước tính giá trị tài sản nghiên cứu và khoản phân bổ trong năm 1999 trong bảng sau:</w:t>
      </w:r>
    </w:p>
    <w:tbl>
      <w:tblPr>
        <w:tblW w:type="auto" w:w="0"/>
      </w:tblPr>
      <w:tr>
        <w:tc>
          <w:tcPr>
            <w:tcW w:type="auto" w:w="0"/>
          </w:tcPr>
          <w:tbl>
            <w:tblPr>
              <w:tblW w:type="auto" w:w="0"/>
            </w:tblPr>
            <w:tr>
              <w:tc>
                <w:tcPr>
                  <w:tcW w:type="auto" w:w="0"/>
                  <w:shd w:val="clear" w:color="auto" w:fill="F0F0F0"/>
                  <w:vAlign w:val="bottom"/>
                </w:tcPr>
                <w:p>
                  <w:pPr>
                    <w:pStyle w:val="Para 05"/>
                    <w:keepLines w:val="on"/>
                  </w:pPr>
                  <w:r>
                    <w:t>Năm</w:t>
                  </w:r>
                </w:p>
              </w:tc>
              <w:tc>
                <w:tcPr>
                  <w:tcW w:type="auto" w:w="0"/>
                  <w:shd w:val="clear" w:color="auto" w:fill="F0F0F0"/>
                  <w:vAlign w:val="bottom"/>
                </w:tcPr>
                <w:p>
                  <w:pPr>
                    <w:pStyle w:val="Para 05"/>
                    <w:keepLines w:val="on"/>
                  </w:pPr>
                  <w:r>
                    <w:t>Chi phí R&amp;D</w:t>
                  </w:r>
                </w:p>
              </w:tc>
              <w:tc>
                <w:tcPr>
                  <w:tcW w:type="auto" w:w="0"/>
                  <w:shd w:val="clear" w:color="auto" w:fill="F0F0F0"/>
                </w:tcPr>
                <w:p>
                  <w:pPr>
                    <w:pStyle w:val="Para 05"/>
                    <w:keepLines w:val="on"/>
                  </w:pPr>
                  <w:r>
                    <w:t>Chưa phân bổ vào cuối năm</w:t>
                  </w:r>
                </w:p>
              </w:tc>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Phân bổ trong năm nay</w:t>
                  </w:r>
                </w:p>
              </w:tc>
            </w:tr>
            <w:tr>
              <w:tc>
                <w:tcPr>
                  <w:tcW w:type="auto" w:w="0"/>
                  <w:shd w:val="clear" w:color="auto" w:fill="F0F0F0"/>
                </w:tcPr>
                <w:p>
                  <w:pPr>
                    <w:pStyle w:val="Normal"/>
                    <w:keepLines w:val="on"/>
                  </w:pPr>
                  <w:r>
                    <w:t>Hiện tại</w:t>
                  </w:r>
                </w:p>
              </w:tc>
              <w:tc>
                <w:tcPr>
                  <w:tcW w:type="auto" w:w="0"/>
                  <w:shd w:val="clear" w:color="auto" w:fill="F0F0F0"/>
                </w:tcPr>
                <w:p>
                  <w:pPr>
                    <w:pStyle w:val="Normal"/>
                    <w:keepLines w:val="on"/>
                  </w:pPr>
                  <w:r>
                    <w:t>1.594,00 đô la</w:t>
                  </w:r>
                </w:p>
              </w:tc>
              <w:tc>
                <w:tcPr>
                  <w:tcW w:type="auto" w:w="0"/>
                  <w:shd w:val="clear" w:color="auto" w:fill="F0F0F0"/>
                </w:tcPr>
                <w:p>
                  <w:pPr>
                    <w:pStyle w:val="Normal"/>
                    <w:keepLines w:val="on"/>
                  </w:pPr>
                  <w:r>
                    <w:t>100,00%</w:t>
                  </w:r>
                </w:p>
              </w:tc>
              <w:tc>
                <w:tcPr>
                  <w:tcW w:type="auto" w:w="0"/>
                  <w:shd w:val="clear" w:color="auto" w:fill="F0F0F0"/>
                </w:tcPr>
                <w:p>
                  <w:pPr>
                    <w:pStyle w:val="Normal"/>
                    <w:keepLines w:val="on"/>
                  </w:pPr>
                  <w:r>
                    <w:t>1.594,00 đô la</w:t>
                  </w:r>
                </w:p>
              </w:tc>
              <w:tc>
                <w:tcPr>
                  <w:tcW w:type="auto" w:w="0"/>
                  <w:shd w:val="clear" w:color="auto" w:fill="F0F0F0"/>
                </w:tcPr>
                <w:p>
                  <w:pPr>
                    <w:pStyle w:val="7 Block"/>
                    <w:keepLines w:val="on"/>
                  </w:pP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1.026,00 đô la</w:t>
                  </w:r>
                </w:p>
              </w:tc>
              <w:tc>
                <w:tcPr>
                  <w:tcW w:type="auto" w:w="0"/>
                  <w:shd w:val="clear" w:color="auto" w:fill="F0F0F0"/>
                </w:tcPr>
                <w:p>
                  <w:pPr>
                    <w:pStyle w:val="Normal"/>
                    <w:keepLines w:val="on"/>
                  </w:pPr>
                  <w:r>
                    <w:t>80,00%</w:t>
                  </w:r>
                </w:p>
              </w:tc>
              <w:tc>
                <w:tcPr>
                  <w:tcW w:type="auto" w:w="0"/>
                  <w:shd w:val="clear" w:color="auto" w:fill="F0F0F0"/>
                </w:tcPr>
                <w:p>
                  <w:pPr>
                    <w:pStyle w:val="Normal"/>
                    <w:keepLines w:val="on"/>
                  </w:pPr>
                  <w:r>
                    <w:t>$820,80</w:t>
                  </w:r>
                </w:p>
              </w:tc>
              <w:tc>
                <w:tcPr>
                  <w:tcW w:type="auto" w:w="0"/>
                  <w:shd w:val="clear" w:color="auto" w:fill="F0F0F0"/>
                </w:tcPr>
                <w:p>
                  <w:pPr>
                    <w:pStyle w:val="Normal"/>
                    <w:keepLines w:val="on"/>
                  </w:pPr>
                  <w:r>
                    <w:t>$205,20</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$698,00</w:t>
                  </w:r>
                </w:p>
              </w:tc>
              <w:tc>
                <w:tcPr>
                  <w:tcW w:type="auto" w:w="0"/>
                  <w:shd w:val="clear" w:color="auto" w:fill="F0F0F0"/>
                </w:tcPr>
                <w:p>
                  <w:pPr>
                    <w:pStyle w:val="Normal"/>
                    <w:keepLines w:val="on"/>
                  </w:pPr>
                  <w:r>
                    <w:t>60,00%</w:t>
                  </w:r>
                </w:p>
              </w:tc>
              <w:tc>
                <w:tcPr>
                  <w:tcW w:type="auto" w:w="0"/>
                  <w:shd w:val="clear" w:color="auto" w:fill="F0F0F0"/>
                </w:tcPr>
                <w:p>
                  <w:pPr>
                    <w:pStyle w:val="Normal"/>
                    <w:keepLines w:val="on"/>
                  </w:pPr>
                  <w:r>
                    <w:t>$418,80</w:t>
                  </w:r>
                </w:p>
              </w:tc>
              <w:tc>
                <w:tcPr>
                  <w:tcW w:type="auto" w:w="0"/>
                  <w:shd w:val="clear" w:color="auto" w:fill="F0F0F0"/>
                </w:tcPr>
                <w:p>
                  <w:pPr>
                    <w:pStyle w:val="Normal"/>
                    <w:keepLines w:val="on"/>
                  </w:pPr>
                  <w:r>
                    <w:t>$139,60</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$399,00</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$159,60</w:t>
                  </w:r>
                </w:p>
              </w:tc>
              <w:tc>
                <w:tcPr>
                  <w:tcW w:type="auto" w:w="0"/>
                  <w:shd w:val="clear" w:color="auto" w:fill="F0F0F0"/>
                </w:tcPr>
                <w:p>
                  <w:pPr>
                    <w:pStyle w:val="Normal"/>
                    <w:keepLines w:val="on"/>
                  </w:pPr>
                  <w:r>
                    <w:t>$79,80</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$211,00</w:t>
                  </w:r>
                </w:p>
              </w:tc>
              <w:tc>
                <w:tcPr>
                  <w:tcW w:type="auto" w:w="0"/>
                  <w:shd w:val="clear" w:color="auto" w:fill="F0F0F0"/>
                </w:tcPr>
                <w:p>
                  <w:pPr>
                    <w:pStyle w:val="Normal"/>
                    <w:keepLines w:val="on"/>
                  </w:pPr>
                  <w:r>
                    <w:t>20,00%</w:t>
                  </w:r>
                </w:p>
              </w:tc>
              <w:tc>
                <w:tcPr>
                  <w:tcW w:type="auto" w:w="0"/>
                  <w:shd w:val="clear" w:color="auto" w:fill="F0F0F0"/>
                </w:tcPr>
                <w:p>
                  <w:pPr>
                    <w:pStyle w:val="Normal"/>
                    <w:keepLines w:val="on"/>
                  </w:pPr>
                  <w:r>
                    <w:t>$42,20</w:t>
                  </w:r>
                </w:p>
              </w:tc>
              <w:tc>
                <w:tcPr>
                  <w:tcW w:type="auto" w:w="0"/>
                  <w:shd w:val="clear" w:color="auto" w:fill="F0F0F0"/>
                </w:tcPr>
                <w:p>
                  <w:pPr>
                    <w:pStyle w:val="Normal"/>
                    <w:keepLines w:val="on"/>
                  </w:pPr>
                  <w:r>
                    <w:t>$42,20</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$89,00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$17,80</w:t>
                  </w:r>
                </w:p>
              </w:tc>
            </w:tr>
            <w:tr>
              <w:tc>
                <w:tcPr>
                  <w:tcW w:type="auto" w:w="0"/>
                  <w:shd w:val="clear" w:color="auto" w:fill="F0F0F0"/>
                </w:tcPr>
                <w:p>
                  <w:pPr>
                    <w:pStyle w:val="Para 02"/>
                    <w:keepLines w:val="on"/>
                  </w:pPr>
                  <w:r>
                    <w:t>Giá trị của tài sản nghiên cứu</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$3.035,40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Khấu hao năm nay</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484,60 đô la</w:t>
                  </w:r>
                </w:p>
              </w:tc>
              <w:tc>
                <w:tcPr>
                  <w:tcW w:type="auto" w:w="0"/>
                  <w:shd w:val="clear" w:color="auto" w:fill="F0F0F0"/>
                </w:tcPr>
                <w:p>
                  <w:pPr>
                    <w:pStyle w:val="7 Block"/>
                    <w:keepLines w:val="on"/>
                  </w:pPr>
                </w:p>
              </w:tc>
            </w:tr>
          </w:tbl>
          <w:p/>
        </w:tc>
      </w:tr>
    </w:tbl>
    <w:p>
      <w:pPr>
        <w:pStyle w:val="Para 04"/>
        <w:keepLines w:val="on"/>
      </w:pPr>
      <w:r>
        <w:t>Chi tiêu vốn ròng của Cisco được điều chỉnh bằng cách cộng lại chi phí R&amp;D trong năm tài chính gần nhất (1.594 triệu đô la) và trừ đi phần khấu hao của tài sản nghiên cứu (485 triệu đô la).</w:t>
      </w:r>
    </w:p>
    <w:p>
      <w:pPr>
        <w:pStyle w:val="Para 04"/>
        <w:keepLines w:val="on"/>
      </w:pPr>
      <w:r>
        <w:t>Điều chỉnh thứ hai là đưa vào tác động của các thương vụ mua lại mà Cisco đã thực hiện trong năm tài chính vừa qua. Bảng sau đây tóm tắt các thương vụ mua lại được thực hiện trong năm và mức giá đã trả cho những thương vụ này:</w:t>
      </w:r>
    </w:p>
    <w:tbl>
      <w:tblPr>
        <w:tblW w:type="auto" w:w="0"/>
      </w:tblPr>
      <w:tr>
        <w:tc>
          <w:tcPr>
            <w:tcW w:type="auto" w:w="0"/>
          </w:tcPr>
          <w:tbl>
            <w:tblPr>
              <w:tblW w:type="auto" w:w="0"/>
            </w:tblPr>
            <w:tr>
              <w:tc>
                <w:tcPr>
                  <w:tcW w:type="auto" w:w="0"/>
                  <w:shd w:val="clear" w:color="auto" w:fill="F0F0F0"/>
                  <w:vAlign w:val="bottom"/>
                </w:tcPr>
                <w:p>
                  <w:pPr>
                    <w:pStyle w:val="Para 32"/>
                    <w:keepLines w:val="on"/>
                  </w:pPr>
                  <w:r>
                    <w:t>Được mua lại</w:t>
                  </w:r>
                </w:p>
              </w:tc>
              <w:tc>
                <w:tcPr>
                  <w:tcW w:type="auto" w:w="0"/>
                  <w:shd w:val="clear" w:color="auto" w:fill="F0F0F0"/>
                  <w:vAlign w:val="bottom"/>
                </w:tcPr>
                <w:p>
                  <w:pPr>
                    <w:pStyle w:val="Para 32"/>
                    <w:keepLines w:val="on"/>
                  </w:pPr>
                  <w:r>
                    <w:t>Phương thức mua lại</w:t>
                  </w:r>
                </w:p>
              </w:tc>
              <w:tc>
                <w:tcPr>
                  <w:tcW w:type="auto" w:w="0"/>
                  <w:shd w:val="clear" w:color="auto" w:fill="F0F0F0"/>
                  <w:vAlign w:val="bottom"/>
                </w:tcPr>
                <w:p>
                  <w:pPr>
                    <w:pStyle w:val="Para 05"/>
                    <w:keepLines w:val="on"/>
                  </w:pPr>
                  <w:r>
                    <w:t>Giá đã trả</w:t>
                  </w:r>
                </w:p>
              </w:tc>
            </w:tr>
            <w:tr>
              <w:tc>
                <w:tcPr>
                  <w:tcW w:type="auto" w:w="0"/>
                  <w:shd w:val="clear" w:color="auto" w:fill="F0F0F0"/>
                </w:tcPr>
                <w:p>
                  <w:pPr>
                    <w:pStyle w:val="Para 02"/>
                    <w:keepLines w:val="on"/>
                  </w:pPr>
                  <w:r>
                    <w:t>GeoTel</w:t>
                  </w:r>
                </w:p>
              </w:tc>
              <w:tc>
                <w:tcPr>
                  <w:tcW w:type="auto" w:w="0"/>
                  <w:shd w:val="clear" w:color="auto" w:fill="F0F0F0"/>
                </w:tcPr>
                <w:p>
                  <w:pPr>
                    <w:pStyle w:val="Para 02"/>
                    <w:keepLines w:val="on"/>
                  </w:pPr>
                  <w:r>
                    <w:t>Hợp nhất theo phương pháp gộp (Pooling)</w:t>
                  </w:r>
                </w:p>
              </w:tc>
              <w:tc>
                <w:tcPr>
                  <w:tcW w:type="auto" w:w="0"/>
                  <w:shd w:val="clear" w:color="auto" w:fill="F0F0F0"/>
                </w:tcPr>
                <w:p>
                  <w:pPr>
                    <w:pStyle w:val="Normal"/>
                    <w:keepLines w:val="on"/>
                  </w:pPr>
                  <w:r>
                    <w:t>1.344</w:t>
                  </w:r>
                </w:p>
              </w:tc>
            </w:tr>
            <w:tr>
              <w:tc>
                <w:tcPr>
                  <w:tcW w:type="auto" w:w="0"/>
                  <w:shd w:val="clear" w:color="auto" w:fill="F0F0F0"/>
                </w:tcPr>
                <w:p>
                  <w:pPr>
                    <w:pStyle w:val="Para 02"/>
                    <w:keepLines w:val="on"/>
                  </w:pPr>
                  <w:r>
                    <w:t>Fibex</w:t>
                  </w:r>
                </w:p>
              </w:tc>
              <w:tc>
                <w:tcPr>
                  <w:tcW w:type="auto" w:w="0"/>
                  <w:shd w:val="clear" w:color="auto" w:fill="F0F0F0"/>
                </w:tcPr>
                <w:p>
                  <w:pPr>
                    <w:pStyle w:val="Para 02"/>
                    <w:keepLines w:val="on"/>
                  </w:pPr>
                  <w:r>
                    <w:t>Hợp nhất theo phương pháp gộp (Pooling)</w:t>
                  </w:r>
                </w:p>
              </w:tc>
              <w:tc>
                <w:tcPr>
                  <w:tcW w:type="auto" w:w="0"/>
                  <w:shd w:val="clear" w:color="auto" w:fill="F0F0F0"/>
                </w:tcPr>
                <w:p>
                  <w:pPr>
                    <w:pStyle w:val="Normal"/>
                    <w:keepLines w:val="on"/>
                  </w:pPr>
                  <w:r>
                    <w:t>318</w:t>
                  </w:r>
                </w:p>
              </w:tc>
            </w:tr>
            <w:tr>
              <w:tc>
                <w:tcPr>
                  <w:tcW w:type="auto" w:w="0"/>
                  <w:shd w:val="clear" w:color="auto" w:fill="F0F0F0"/>
                </w:tcPr>
                <w:p>
                  <w:pPr>
                    <w:pStyle w:val="Para 02"/>
                    <w:keepLines w:val="on"/>
                  </w:pPr>
                  <w:r>
                    <w:t>Sentient</w:t>
                  </w:r>
                </w:p>
              </w:tc>
              <w:tc>
                <w:tcPr>
                  <w:tcW w:type="auto" w:w="0"/>
                  <w:shd w:val="clear" w:color="auto" w:fill="F0F0F0"/>
                </w:tcPr>
                <w:p>
                  <w:pPr>
                    <w:pStyle w:val="Para 02"/>
                    <w:keepLines w:val="on"/>
                  </w:pPr>
                  <w:r>
                    <w:t>Hợp nhất theo phương pháp gộp (Pooling)</w:t>
                  </w:r>
                </w:p>
              </w:tc>
              <w:tc>
                <w:tcPr>
                  <w:tcW w:type="auto" w:w="0"/>
                  <w:shd w:val="clear" w:color="auto" w:fill="F0F0F0"/>
                </w:tcPr>
                <w:p>
                  <w:pPr>
                    <w:pStyle w:val="Normal"/>
                    <w:keepLines w:val="on"/>
                  </w:pPr>
                  <w:r>
                    <w:t>103</w:t>
                  </w:r>
                </w:p>
              </w:tc>
            </w:tr>
            <w:tr>
              <w:tc>
                <w:tcPr>
                  <w:tcW w:type="auto" w:w="0"/>
                  <w:shd w:val="clear" w:color="auto" w:fill="F0F0F0"/>
                </w:tcPr>
                <w:p>
                  <w:pPr>
                    <w:pStyle w:val="Para 02"/>
                    <w:keepLines w:val="on"/>
                  </w:pPr>
                  <w:r>
                    <w:t>American Internet Corporation</w:t>
                  </w:r>
                </w:p>
              </w:tc>
              <w:tc>
                <w:tcPr>
                  <w:tcW w:type="auto" w:w="0"/>
                  <w:shd w:val="clear" w:color="auto" w:fill="F0F0F0"/>
                </w:tcPr>
                <w:p>
                  <w:pPr>
                    <w:pStyle w:val="Para 02"/>
                    <w:keepLines w:val="on"/>
                  </w:pPr>
                  <w:r>
                    <w:t>Mua lại (Purchase)</w:t>
                  </w:r>
                </w:p>
              </w:tc>
              <w:tc>
                <w:tcPr>
                  <w:tcW w:type="auto" w:w="0"/>
                  <w:shd w:val="clear" w:color="auto" w:fill="F0F0F0"/>
                </w:tcPr>
                <w:p>
                  <w:pPr>
                    <w:pStyle w:val="Normal"/>
                    <w:keepLines w:val="on"/>
                  </w:pPr>
                  <w:r>
                    <w:t>58</w:t>
                  </w:r>
                </w:p>
              </w:tc>
            </w:tr>
            <w:tr>
              <w:tc>
                <w:tcPr>
                  <w:tcW w:type="auto" w:w="0"/>
                  <w:shd w:val="clear" w:color="auto" w:fill="F0F0F0"/>
                </w:tcPr>
                <w:p>
                  <w:pPr>
                    <w:pStyle w:val="Para 02"/>
                    <w:keepLines w:val="on"/>
                  </w:pPr>
                  <w:r>
                    <w:t>Summa Four</w:t>
                  </w:r>
                </w:p>
              </w:tc>
              <w:tc>
                <w:tcPr>
                  <w:tcW w:type="auto" w:w="0"/>
                  <w:shd w:val="clear" w:color="auto" w:fill="F0F0F0"/>
                </w:tcPr>
                <w:p>
                  <w:pPr>
                    <w:pStyle w:val="Para 02"/>
                    <w:keepLines w:val="on"/>
                  </w:pPr>
                  <w:r>
                    <w:t>Mua lại (Purchase)</w:t>
                  </w:r>
                </w:p>
              </w:tc>
              <w:tc>
                <w:tcPr>
                  <w:tcW w:type="auto" w:w="0"/>
                  <w:shd w:val="clear" w:color="auto" w:fill="F0F0F0"/>
                </w:tcPr>
                <w:p>
                  <w:pPr>
                    <w:pStyle w:val="Normal"/>
                    <w:keepLines w:val="on"/>
                  </w:pPr>
                  <w:r>
                    <w:t>129</w:t>
                  </w:r>
                </w:p>
              </w:tc>
            </w:tr>
            <w:tr>
              <w:tc>
                <w:tcPr>
                  <w:tcW w:type="auto" w:w="0"/>
                  <w:shd w:val="clear" w:color="auto" w:fill="F0F0F0"/>
                </w:tcPr>
                <w:p>
                  <w:pPr>
                    <w:pStyle w:val="Para 02"/>
                    <w:keepLines w:val="on"/>
                  </w:pPr>
                  <w:r>
                    <w:t>Clarity Wireless</w:t>
                  </w:r>
                </w:p>
              </w:tc>
              <w:tc>
                <w:tcPr>
                  <w:tcW w:type="auto" w:w="0"/>
                  <w:shd w:val="clear" w:color="auto" w:fill="F0F0F0"/>
                </w:tcPr>
                <w:p>
                  <w:pPr>
                    <w:pStyle w:val="Para 02"/>
                    <w:keepLines w:val="on"/>
                  </w:pPr>
                  <w:r>
                    <w:t>Mua lại (Purchase)</w:t>
                  </w:r>
                </w:p>
              </w:tc>
              <w:tc>
                <w:tcPr>
                  <w:tcW w:type="auto" w:w="0"/>
                  <w:shd w:val="clear" w:color="auto" w:fill="F0F0F0"/>
                </w:tcPr>
                <w:p>
                  <w:pPr>
                    <w:pStyle w:val="Normal"/>
                    <w:keepLines w:val="on"/>
                  </w:pPr>
                  <w:r>
                    <w:t>153</w:t>
                  </w:r>
                </w:p>
              </w:tc>
            </w:tr>
            <w:tr>
              <w:tc>
                <w:tcPr>
                  <w:tcW w:type="auto" w:w="0"/>
                  <w:shd w:val="clear" w:color="auto" w:fill="F0F0F0"/>
                </w:tcPr>
                <w:p>
                  <w:pPr>
                    <w:pStyle w:val="Para 02"/>
                    <w:keepLines w:val="on"/>
                  </w:pPr>
                  <w:r>
                    <w:t>Selsius Systems</w:t>
                  </w:r>
                </w:p>
              </w:tc>
              <w:tc>
                <w:tcPr>
                  <w:tcW w:type="auto" w:w="0"/>
                  <w:shd w:val="clear" w:color="auto" w:fill="F0F0F0"/>
                </w:tcPr>
                <w:p>
                  <w:pPr>
                    <w:pStyle w:val="Para 02"/>
                    <w:keepLines w:val="on"/>
                  </w:pPr>
                  <w:r>
                    <w:t>Mua lại</w:t>
                  </w:r>
                </w:p>
              </w:tc>
              <w:tc>
                <w:tcPr>
                  <w:tcW w:type="auto" w:w="0"/>
                  <w:shd w:val="clear" w:color="auto" w:fill="F0F0F0"/>
                </w:tcPr>
                <w:p>
                  <w:pPr>
                    <w:pStyle w:val="Normal"/>
                    <w:keepLines w:val="on"/>
                  </w:pPr>
                  <w:r>
                    <w:t>134</w:t>
                  </w:r>
                </w:p>
              </w:tc>
            </w:tr>
            <w:tr>
              <w:tc>
                <w:tcPr>
                  <w:tcW w:type="auto" w:w="0"/>
                  <w:shd w:val="clear" w:color="auto" w:fill="F0F0F0"/>
                </w:tcPr>
                <w:p>
                  <w:pPr>
                    <w:pStyle w:val="Para 02"/>
                    <w:keepLines w:val="on"/>
                  </w:pPr>
                  <w:r>
                    <w:t>PipeLinks</w:t>
                  </w:r>
                </w:p>
              </w:tc>
              <w:tc>
                <w:tcPr>
                  <w:tcW w:type="auto" w:w="0"/>
                  <w:shd w:val="clear" w:color="auto" w:fill="F0F0F0"/>
                </w:tcPr>
                <w:p>
                  <w:pPr>
                    <w:pStyle w:val="Para 02"/>
                    <w:keepLines w:val="on"/>
                  </w:pPr>
                  <w:r>
                    <w:t>Mua lại</w:t>
                  </w:r>
                </w:p>
              </w:tc>
              <w:tc>
                <w:tcPr>
                  <w:tcW w:type="auto" w:w="0"/>
                  <w:shd w:val="clear" w:color="auto" w:fill="F0F0F0"/>
                </w:tcPr>
                <w:p>
                  <w:pPr>
                    <w:pStyle w:val="Normal"/>
                    <w:keepLines w:val="on"/>
                  </w:pPr>
                  <w:r>
                    <w:t>118</w:t>
                  </w:r>
                </w:p>
              </w:tc>
            </w:tr>
            <w:tr>
              <w:tc>
                <w:tcPr>
                  <w:tcW w:type="auto" w:w="0"/>
                  <w:shd w:val="clear" w:color="auto" w:fill="F0F0F0"/>
                </w:tcPr>
                <w:p>
                  <w:pPr>
                    <w:pStyle w:val="Para 02"/>
                    <w:keepLines w:val="on"/>
                  </w:pPr>
                  <w:r>
                    <w:t>Amteva Technologies</w:t>
                  </w:r>
                </w:p>
              </w:tc>
              <w:tc>
                <w:tcPr>
                  <w:tcW w:type="auto" w:w="0"/>
                  <w:shd w:val="clear" w:color="auto" w:fill="F0F0F0"/>
                </w:tcPr>
                <w:p>
                  <w:pPr>
                    <w:pStyle w:val="Para 02"/>
                    <w:keepLines w:val="on"/>
                  </w:pPr>
                  <w:r>
                    <w:t>Mua lại</w:t>
                  </w:r>
                </w:p>
              </w:tc>
              <w:tc>
                <w:tcPr>
                  <w:tcW w:type="auto" w:w="0"/>
                  <w:shd w:val="clear" w:color="auto" w:fill="F0F0F0"/>
                </w:tcPr>
                <w:p>
                  <w:pPr>
                    <w:pStyle w:val="Normal"/>
                    <w:keepLines w:val="on"/>
                  </w:pPr>
                  <w:r>
                    <w:t>159</w:t>
                  </w:r>
                </w:p>
              </w:tc>
            </w:tr>
            <w:tr>
              <w:tc>
                <w:tcPr>
                  <w:tcW w:type="auto" w:w="0"/>
                  <w:shd w:val="clear" w:color="auto" w:fill="F0F0F0"/>
                </w:tcPr>
                <w:p>
                  <w:pPr>
                    <w:pStyle w:val="Para 02"/>
                    <w:keepLines w:val="on"/>
                  </w:pPr>
                  <w:r>
                    <w:t>Tổng cộng</w:t>
                  </w:r>
                </w:p>
              </w:tc>
              <w:tc>
                <w:tcPr>
                  <w:tcW w:type="auto" w:w="0"/>
                  <w:shd w:val="clear" w:color="auto" w:fill="F0F0F0"/>
                </w:tcPr>
                <w:p>
                  <w:pPr>
                    <w:pStyle w:val="5 Block"/>
                    <w:keepLines w:val="on"/>
                  </w:pPr>
                </w:p>
              </w:tc>
              <w:tc>
                <w:tcPr>
                  <w:tcW w:type="auto" w:w="0"/>
                  <w:shd w:val="clear" w:color="auto" w:fill="F0F0F0"/>
                </w:tcPr>
                <w:p>
                  <w:pPr>
                    <w:pStyle w:val="Normal"/>
                    <w:keepLines w:val="on"/>
                  </w:pPr>
                  <w:r>
                    <w:t>$2,516</w:t>
                  </w:r>
                </w:p>
              </w:tc>
            </w:tr>
            <w:tr>
              <w:tc>
                <w:tcPr>
                  <w:tcW w:type="auto" w:w="0"/>
                  <w:shd w:val="clear" w:color="auto" w:fill="F0F0F0"/>
                </w:tcPr>
                <w:p>
                  <w:pPr>
                    <w:pStyle w:val="Para 02"/>
                    <w:keepLines w:val="on"/>
                  </w:pPr>
                  <w:r>
                    <w:t>Đơn vị tính bằng triệu đô la</w:t>
                  </w:r>
                </w:p>
              </w:tc>
              <w:tc>
                <w:tcPr>
                  <w:tcW w:type="auto" w:w="0"/>
                  <w:shd w:val="clear" w:color="auto" w:fill="F0F0F0"/>
                </w:tcPr>
                <w:p>
                  <w:pPr>
                    <w:pStyle w:val="5 Block"/>
                    <w:keepLines w:val="on"/>
                  </w:pPr>
                </w:p>
              </w:tc>
              <w:tc>
                <w:tcPr>
                  <w:tcW w:type="auto" w:w="0"/>
                  <w:shd w:val="clear" w:color="auto" w:fill="F0F0F0"/>
                </w:tcPr>
                <w:p>
                  <w:pPr>
                    <w:pStyle w:val="7 Block"/>
                    <w:keepLines w:val="on"/>
                  </w:pPr>
                </w:p>
              </w:tc>
            </w:tr>
          </w:tbl>
          <w:p/>
        </w:tc>
      </w:tr>
    </w:tbl>
    <w:p>
      <w:pPr>
        <w:pStyle w:val="Para 04"/>
        <w:keepLines w:val="on"/>
      </w:pPr>
      <w:r>
        <w:t>Lưu ý rằng cả giao dịch mua lại (purchase) lẫn giao dịch hợp nhất (pooling) đều được tính vào, và tổng của các thương vụ thâu tóm này được cộng vào chi tiêu vốn ròng (net capital expenditures) năm 1999. Dựa trên thành tích của Cisco, chúng ta giả định rằng các thương vụ thâu tóm của hãng trong năm 1999 không có gì bất thường và phản ánh chính sách tái đầu tư của Cisco. Khoản khấu hao (amortization) gắn với những thương vụ thâu tóm này đã được công ty tính sẵn vào phần khấu hao (depreciation).3 Bảng sau đây tóm tắt chi tiêu vốn ròng cuối cùng của Cisco trong năm 1999.</w:t>
      </w:r>
    </w:p>
    <w:tbl>
      <w:tblPr>
        <w:tblW w:type="auto" w:w="0"/>
      </w:tblPr>
      <w:tr>
        <w:tc>
          <w:tcPr>
            <w:tcW w:type="auto" w:w="0"/>
          </w:tcPr>
          <w:tbl>
            <w:tblPr>
              <w:tblW w:type="auto" w:w="0"/>
            </w:tblPr>
            <w:tr>
              <w:tc>
                <w:tcPr>
                  <w:tcW w:type="auto" w:w="0"/>
                  <w:shd w:val="clear" w:color="auto" w:fill="F0F0F0"/>
                </w:tcPr>
                <w:p>
                  <w:pPr>
                    <w:pStyle w:val="Para 02"/>
                    <w:keepLines w:val="on"/>
                  </w:pPr>
                  <w:r>
                    <w:t>Chi tiêu vốn (Capital expenditures)</w:t>
                  </w:r>
                </w:p>
              </w:tc>
              <w:tc>
                <w:tcPr>
                  <w:tcW w:type="auto" w:w="0"/>
                  <w:shd w:val="clear" w:color="auto" w:fill="F0F0F0"/>
                </w:tcPr>
                <w:p>
                  <w:pPr>
                    <w:pStyle w:val="Normal"/>
                    <w:keepLines w:val="on"/>
                  </w:pPr>
                  <w:r>
                    <w:t>$584.00</w:t>
                  </w:r>
                </w:p>
              </w:tc>
            </w:tr>
            <w:tr>
              <w:tc>
                <w:tcPr>
                  <w:tcW w:type="auto" w:w="0"/>
                  <w:shd w:val="clear" w:color="auto" w:fill="F0F0F0"/>
                </w:tcPr>
                <w:p>
                  <w:pPr>
                    <w:pStyle w:val="Para 02"/>
                    <w:keepLines w:val="on"/>
                  </w:pPr>
                  <w:r>
                    <w:t>− Khấu hao (Depreciation)</w:t>
                  </w:r>
                </w:p>
              </w:tc>
              <w:tc>
                <w:tcPr>
                  <w:tcW w:type="auto" w:w="0"/>
                  <w:shd w:val="clear" w:color="auto" w:fill="F0F0F0"/>
                </w:tcPr>
                <w:p>
                  <w:pPr>
                    <w:pStyle w:val="Normal"/>
                    <w:keepLines w:val="on"/>
                  </w:pPr>
                  <w:r>
                    <w:t>$486.00</w:t>
                  </w:r>
                </w:p>
              </w:tc>
            </w:tr>
            <w:tr>
              <w:tc>
                <w:tcPr>
                  <w:tcW w:type="auto" w:w="0"/>
                  <w:shd w:val="clear" w:color="auto" w:fill="F0F0F0"/>
                </w:tcPr>
                <w:p>
                  <w:pPr>
                    <w:pStyle w:val="Para 02"/>
                    <w:keepLines w:val="on"/>
                  </w:pPr>
                  <w:r>
                    <w:t>Chi tiêu vốn ròng (từ báo cáo tài chính)</w:t>
                  </w:r>
                </w:p>
              </w:tc>
              <w:tc>
                <w:tcPr>
                  <w:tcW w:type="auto" w:w="0"/>
                  <w:shd w:val="clear" w:color="auto" w:fill="F0F0F0"/>
                </w:tcPr>
                <w:p>
                  <w:pPr>
                    <w:pStyle w:val="Normal"/>
                    <w:keepLines w:val="on"/>
                  </w:pPr>
                  <w:r>
                    <w:t>$98.00</w:t>
                  </w:r>
                </w:p>
              </w:tc>
            </w:tr>
            <w:tr>
              <w:tc>
                <w:tcPr>
                  <w:tcW w:type="auto" w:w="0"/>
                  <w:shd w:val="clear" w:color="auto" w:fill="F0F0F0"/>
                </w:tcPr>
                <w:p>
                  <w:pPr>
                    <w:pStyle w:val="Para 02"/>
                    <w:keepLines w:val="on"/>
                  </w:pPr>
                  <w:r>
                    <w:t>+ Chi phí R&amp;D</w:t>
                  </w:r>
                </w:p>
              </w:tc>
              <w:tc>
                <w:tcPr>
                  <w:tcW w:type="auto" w:w="0"/>
                  <w:shd w:val="clear" w:color="auto" w:fill="F0F0F0"/>
                </w:tcPr>
                <w:p>
                  <w:pPr>
                    <w:pStyle w:val="Normal"/>
                    <w:keepLines w:val="on"/>
                  </w:pPr>
                  <w:r>
                    <w:t>$1,594.00</w:t>
                  </w:r>
                </w:p>
              </w:tc>
            </w:tr>
            <w:tr>
              <w:tc>
                <w:tcPr>
                  <w:tcW w:type="auto" w:w="0"/>
                  <w:shd w:val="clear" w:color="auto" w:fill="F0F0F0"/>
                </w:tcPr>
                <w:p>
                  <w:pPr>
                    <w:pStyle w:val="Para 02"/>
                    <w:keepLines w:val="on"/>
                  </w:pPr>
                  <w:r>
                    <w:t>− Khấu hao R&amp;D (Amortization of R&amp;D)</w:t>
                  </w:r>
                </w:p>
              </w:tc>
              <w:tc>
                <w:tcPr>
                  <w:tcW w:type="auto" w:w="0"/>
                  <w:shd w:val="clear" w:color="auto" w:fill="F0F0F0"/>
                </w:tcPr>
                <w:p>
                  <w:pPr>
                    <w:pStyle w:val="Normal"/>
                    <w:keepLines w:val="on"/>
                  </w:pPr>
                  <w:r>
                    <w:t>$484.60</w:t>
                  </w:r>
                </w:p>
              </w:tc>
            </w:tr>
            <w:tr>
              <w:tc>
                <w:tcPr>
                  <w:tcW w:type="auto" w:w="0"/>
                  <w:shd w:val="clear" w:color="auto" w:fill="F0F0F0"/>
                </w:tcPr>
                <w:p>
                  <w:pPr>
                    <w:pStyle w:val="Para 02"/>
                    <w:keepLines w:val="on"/>
                  </w:pPr>
                  <w:r>
                    <w:t>+ Các thương vụ thâu tóm (Acquisitions)</w:t>
                  </w:r>
                </w:p>
              </w:tc>
              <w:tc>
                <w:tcPr>
                  <w:tcW w:type="auto" w:w="0"/>
                  <w:shd w:val="clear" w:color="auto" w:fill="F0F0F0"/>
                </w:tcPr>
                <w:p>
                  <w:pPr>
                    <w:pStyle w:val="Normal"/>
                    <w:keepLines w:val="on"/>
                  </w:pPr>
                  <w:r>
                    <w:t>$2,516.00</w:t>
                  </w:r>
                </w:p>
              </w:tc>
            </w:tr>
            <w:tr>
              <w:tc>
                <w:tcPr>
                  <w:tcW w:type="auto" w:w="0"/>
                  <w:shd w:val="clear" w:color="auto" w:fill="F0F0F0"/>
                </w:tcPr>
                <w:p>
                  <w:pPr>
                    <w:pStyle w:val="Para 02"/>
                    <w:keepLines w:val="on"/>
                  </w:pPr>
                  <w:r>
                    <w:t>Chi tiêu vốn ròng đã điều chỉnh (Adjusted net cap ex)</w:t>
                  </w:r>
                </w:p>
              </w:tc>
              <w:tc>
                <w:tcPr>
                  <w:tcW w:type="auto" w:w="0"/>
                  <w:shd w:val="clear" w:color="auto" w:fill="F0F0F0"/>
                </w:tcPr>
                <w:p>
                  <w:pPr>
                    <w:pStyle w:val="Normal"/>
                    <w:keepLines w:val="on"/>
                  </w:pPr>
                  <w:r>
                    <w:t>3.723,40 đô la</w:t>
                  </w:r>
                </w:p>
              </w:tc>
            </w:tr>
          </w:tbl>
          <w:p/>
        </w:tc>
      </w:tr>
    </w:tbl>
    <w:p>
      <w:pPr>
        <w:pStyle w:val="Para 11"/>
      </w:pPr>
      <w:r>
        <w:t/>
        <w:t xml:space="preserve"> </w:t>
      </w:r>
    </w:p>
    <w:p>
      <w:bookmarkStart w:id="1806" w:name="Ignoring_Acquisitions_In_Valuati"/>
      <w:bookmarkStart w:id="1807" w:name="Ignoring_Acquisitions_In_Valuati_1"/>
      <w:pPr>
        <w:keepNext/>
        <w:pStyle w:val="Para 27"/>
        <w:keepLines w:val="on"/>
      </w:pPr>
      <w:r>
        <w:t>Bỏ qua các thương vụ mua lại trong định giá: Liệu có khả thi?</w:t>
      </w:r>
      <w:bookmarkEnd w:id="1806"/>
      <w:bookmarkEnd w:id="1807"/>
    </w:p>
    <w:p>
      <w:pPr>
        <w:pStyle w:val="Para 16"/>
        <w:keepLines w:val="on"/>
      </w:pPr>
      <w:r>
        <w:t>Việc đưa các thương vụ mua lại vào chi tiêu vốn ròng và giá trị có thể rất khó khăn, đặc biệt là đối với những công ty ít khi thực hiện các thương vụ mua lại lớn. Việc dự đoán liệu có thương vụ mua lại nào diễn ra hay không, chúng sẽ tốn bao nhiêu chi phí, và chúng sẽ mang lại điều gì về mặt tăng trưởng cao hơn gần như là điều không thể. Bạn có thể bỏ qua các thương vụ mua lại, nhưng chỉ khi bạn giả định rằng các công ty trả giá hợp lý cho các thương vụ mua lại (tức là mức giá phản ánh giá trị hợp lý của công ty mục tiêu), và bạn giả định rằng cổ đông của công ty mục tiêu đòi được toàn bộ hoặc một phần giá trị cộng hưởng (synergy) hoặc giá trị kiểm soát. Trong những trường hợp này, các thương vụ mua lại không ảnh hưởng gì đến giá trị cho dù chúng có thể lớn đến đâu và có vẻ mang lại nhiều đến mức nào về mặt tăng trưởng cao hơn. Lý do rất đơn giản: Một thương vụ mua lại ở mức giá hợp lý là một khoản đầu tư sinh ra đúng tỷ suất sinh lời yêu cầu của nó—một khoản đầu tư có giá trị hiện tại ròng bằng không.</w:t>
      </w:r>
    </w:p>
    <w:p>
      <w:pPr>
        <w:pStyle w:val="Para 16"/>
        <w:keepLines w:val="on"/>
      </w:pPr>
      <w:r>
        <w:t>Nếu bạn chọn không xem xét các thương vụ mua lại khi định giá một công ty, bạn phải giữ sự nhất quán nội tại. Phần tăng trưởng đến từ các thương vụ mua lại không nên được tính vào định giá. Một sai lầm phổ biến khi định giá các công ty đã đạt được những con số tăng trưởng ấn tượng trong quá khứ nhờ chiến lược dựa trên mua lại là ngoại suy từ mức tăng trưởng này đồng thời bỏ qua các thương vụ mua lại. Điều này sẽ dẫn đến việc định giá quá cao công ty của bạn vì bạn đã tính đến lợi ích của các thương vụ mua lại nhưng lại không trả tiền cho chúng.</w:t>
      </w:r>
    </w:p>
    <w:p>
      <w:pPr>
        <w:pStyle w:val="Para 16"/>
        <w:keepLines w:val="on"/>
      </w:pPr>
      <w:r>
        <w:t>Cái giá của việc bỏ qua các thương vụ mua lại là gì? Không phải mọi thương vụ mua lại đều được định giá hợp lý, và không phải mọi giá trị cộng hưởng và kiểm soát đều thuộc về cổ đông của công ty mục tiêu. Bỏ qua chi phí và lợi ích của các thương vụ mua lại sẽ dẫn đến việc định giá sai một công ty đã tạo dựng được danh tiếng phát triển thông qua mua lại. Chúng ta định giá thấp những công ty tạo ra giá trị bằng cách thực hiện các thương vụ mua lại tốt và định giá quá cao những công ty hủy hoại giá trị bằng cách trả quá nhiều cho các thương vụ mua lại.</w:t>
      </w:r>
    </w:p>
    <w:p>
      <w:pPr>
        <w:pStyle w:val="Para 11"/>
      </w:pPr>
      <w:r>
        <w:rPr>
          <w:rStyle w:val="Text26"/>
        </w:rPr>
        <w:bookmarkStart w:id="1808" w:name="Page_285"/>
        <w:t/>
        <w:bookmarkEnd w:id="1808"/>
      </w:r>
      <w:r>
        <w:t xml:space="preserve"> </w:t>
      </w:r>
    </w:p>
    <w:p>
      <w:pPr>
        <w:pStyle w:val="Para 11"/>
      </w:pPr>
      <w:r>
        <w:t/>
        <w:t xml:space="preserve"> </w:t>
      </w:r>
    </w:p>
    <w:p>
      <w:bookmarkStart w:id="1809" w:name="capex_xls__This_dataset_on_the_w"/>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93"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1809"/>
    </w:p>
    <w:p>
      <w:pPr>
        <w:pStyle w:val="Para 31"/>
        <w:keepLines w:val="on"/>
      </w:pPr>
      <w:r>
        <w:t>capex.xls: Bộ dữ liệu này trên web tóm tắt chi tiêu vốn, tính theo phần trăm doanh thu và giá trị công ty, theo nhóm ngành ở Hoa Kỳ cho quý gần nhất.</w:t>
      </w:r>
    </w:p>
    <w:p>
      <w:bookmarkStart w:id="1810" w:name="Investment_in_Working_Capital"/>
      <w:bookmarkStart w:id="1811" w:name="Investment_in_Working_Capital__T"/>
      <w:pPr>
        <w:keepNext/>
        <w:pStyle w:val="Heading 3"/>
        <w:keepLines w:val="on"/>
      </w:pPr>
      <w:r>
        <w:t>Đầu tư vào vốn lưu động</w:t>
      </w:r>
      <w:bookmarkEnd w:id="1810"/>
      <w:bookmarkEnd w:id="1811"/>
    </w:p>
    <w:p>
      <w:pPr>
        <w:pStyle w:val="Para 03"/>
      </w:pPr>
      <w:r>
        <w:t>Thành phần thứ hai của tái đầu tư là tiền mặt cần được dành riêng cho nhu cầu vốn lưu động. Việc tăng vốn lưu động sẽ khóa chặt thêm tiền mặt, và do đó tạo ra dòng tiền âm. Ngược lại, việc giảm vốn lưu động sẽ giải phóng tiền mặt và tạo ra dòng tiền dương.</w:t>
      </w:r>
    </w:p>
    <w:p>
      <w:bookmarkStart w:id="1812" w:name="Defining_Working_Capital"/>
      <w:bookmarkStart w:id="1813" w:name="Defining_Working_Capital__Workin"/>
      <w:pPr>
        <w:keepNext/>
        <w:pStyle w:val="Heading 4"/>
        <w:keepLines w:val="on"/>
      </w:pPr>
      <w:r>
        <w:t>Định nghĩa vốn lưu động</w:t>
      </w:r>
      <w:bookmarkEnd w:id="1812"/>
      <w:bookmarkEnd w:id="1813"/>
    </w:p>
    <w:p>
      <w:pPr>
        <w:pStyle w:val="Para 03"/>
      </w:pPr>
      <w:r>
        <w:t>Vốn lưu động thường được định nghĩa là chênh lệch giữa tài sản ngắn hạn và nợ ngắn hạn. Tuy nhiên, chúng ta sẽ điều chỉnh định nghĩa đó khi đo lường vốn lưu động cho mục đích định giá.</w:t>
      </w:r>
    </w:p>
    <w:p>
      <w:pPr>
        <w:numPr>
          <w:ilvl w:val="0"/>
          <w:numId w:val="91"/>
        </w:numPr>
        <w:pStyle w:val="Para 01"/>
      </w:pPr>
      <w:r>
        <w:t>Chúng ta sẽ loại bỏ tiền mặt và các khoản đầu tư vào chứng khoán thị trường khỏi tài sản ngắn hạn. Điều này là vì tiền mặt, đặc biệt là với số lượng lớn, thường được các công ty đầu tư vào tín phiếu kho bạc, chứng khoán chính phủ ngắn hạn, hoặc thương phiếu. Mặc dù tỷ suất sinh lời của những khoản đầu tư này có thể thấp hơn những gì công ty có thể kiếm được từ các khoản đầu tư thực của mình, chúng đại diện cho một tỷ suất sinh lời hợp lý cho các khoản đầu tư phi rủi ro. Không giống như hàng tồn kho, các khoản phải thu và các tài sản ngắn hạn khác, tiền mặt sinh ra tỷ suất sinh lời hợp lý và không nên được đưa vào các thước đo vốn lưu động. Có ngoại lệ nào cho quy tắc này không? Khi định giá một công ty phải duy trì số dư tiền mặt lớn cho hoạt động hàng ngày, hoặc một công ty hoạt động trong một thị trường có hệ thống ngân hàng kém phát triển, bạn có thể coi tiền mặt cần cho hoạt động là một phần của vốn lưu động, nhưng chỉ khi số tiền mặt đó là tiền mặt bị lãng phí, tức là tiền mặt không sinh ra tỷ suất sinh lời thị trường hợp lý. Khi chúng ta chuyển dịch khỏi nền kinh tế dựa trên tiền mặt, yêu cầu tiền mặt cho hoạt động này ngày càng trở nên nhỏ hơn.</w:t>
      </w:r>
    </w:p>
    <w:p>
      <w:pPr>
        <w:numPr>
          <w:ilvl w:val="0"/>
          <w:numId w:val="91"/>
        </w:numPr>
        <w:pStyle w:val="Para 01"/>
      </w:pPr>
      <w:r>
        <w:t>Chúng ta cũng sẽ loại bỏ tất cả nợ chịu lãi—nợ ngắn hạn và phần nợ dài hạn đến hạn trong kỳ hiện tại—khỏi nợ ngắn hạn. Khoản nợ này sẽ được xem xét khi tính chi phí vốn và sẽ là không phù hợp nếu tính nó hai lần.</w:t>
      </w:r>
    </w:p>
    <w:p>
      <w:pPr>
        <w:pStyle w:val="Para 03"/>
      </w:pPr>
      <w:r>
        <w:t>Vốn lưu động phi tiền mặt thay đổi rất rộng giữa các công ty trong các lĩnh vực khác nhau và thường giữa các công ty trong cùng một lĩnh vực. Hình 10.2 cho thấy phân phối vốn lưu động phi tiền mặt tính theo phần trăm doanh thu của các công ty Hoa Kỳ vào tháng 1 năm 2024.</w:t>
      </w:r>
    </w:p>
    <w:p>
      <w:bookmarkStart w:id="1816" w:name="Figure_10_2_Noncash_Working_Capi"/>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63800" cy="1816100"/>
            <wp:effectExtent l="0" r="0" t="0" b="0"/>
            <wp:wrapTopAndBottom/>
            <wp:docPr id="94" name="c10f002.png" descr="Double bar graph plots distribution of noncash working capital as a percent of revenues in United States, and global firms, in January 2024."/>
            <wp:cNvGraphicFramePr>
              <a:graphicFrameLocks noChangeAspect="1"/>
            </wp:cNvGraphicFramePr>
            <a:graphic>
              <a:graphicData uri="http://schemas.openxmlformats.org/drawingml/2006/picture">
                <pic:pic>
                  <pic:nvPicPr>
                    <pic:cNvPr id="0" name="c10f002.png" descr="Double bar graph plots distribution of noncash working capital as a percent of revenues in United States, and global firms, in January 2024."/>
                    <pic:cNvPicPr/>
                  </pic:nvPicPr>
                  <pic:blipFill>
                    <a:blip r:embed="rId74"/>
                    <a:stretch>
                      <a:fillRect/>
                    </a:stretch>
                  </pic:blipFill>
                  <pic:spPr>
                    <a:xfrm>
                      <a:off x="0" y="0"/>
                      <a:ext cx="2463800" cy="1816100"/>
                    </a:xfrm>
                    <a:prstGeom prst="rect">
                      <a:avLst/>
                    </a:prstGeom>
                  </pic:spPr>
                </pic:pic>
              </a:graphicData>
            </a:graphic>
          </wp:anchor>
        </w:drawing>
      </w:r>
      <w:bookmarkEnd w:id="1816"/>
    </w:p>
    <w:p>
      <w:pPr>
        <w:pStyle w:val="Para 22"/>
        <w:keepLines w:val="on"/>
      </w:pPr>
      <w:r>
        <w:t>Hình 10.2 Vốn lưu động phi tiền mặt tính theo phần trăm doanh thu: Các công ty Hoa Kỳ và toàn cầu năm 2023</w:t>
      </w:r>
    </w:p>
    <w:p>
      <w:pPr>
        <w:keepNext/>
        <w:pStyle w:val="Para 22"/>
        <w:keepLines w:val="on"/>
      </w:pPr>
      <w:r>
        <w:t>Nguồn: Capital IQ. Được sử dụng với sự cho phép của S&amp;P Global Market Intelligence.</w:t>
      </w:r>
    </w:p>
    <w:p>
      <w:pPr>
        <w:pStyle w:val="Para 03"/>
      </w:pPr>
      <w:r>
        <w:t>Vào năm 2023, hãy lưu ý rằng hơn một phần ba tổng số công ty Hoa Kỳ, và khoảng một phần năm tổng số công ty toàn cầu, có vốn lưu động phi tiền mặt âm, tức là nợ ngắn hạn phi nợ vay vượt quá tài sản ngắn hạn phi tiền mặt. Ở thái cực ngược lại, một tỷ lệ đáng kể các công ty có vốn lưu động phi tiền mặt vượt quá 50% doanh thu.</w:t>
      </w:r>
    </w:p>
    <w:p>
      <w:pPr>
        <w:pStyle w:val="Para 11"/>
      </w:pPr>
      <w:r>
        <w:t/>
        <w:t xml:space="preserve"> </w:t>
      </w:r>
    </w:p>
    <w:p>
      <w:bookmarkStart w:id="1817" w:name="ILLUSTRATION_10_7___Working_Capi_1"/>
      <w:bookmarkStart w:id="1818" w:name="ILLUSTRATION_10_7___Working_Capi"/>
      <w:pPr>
        <w:keepNext/>
        <w:pStyle w:val="Para 19"/>
        <w:keepLines w:val="on"/>
      </w:pPr>
      <w:r>
        <w:t>MINH HỌA 10.7: Vốn lưu động so với vốn lưu động phi tiền mặt: Marks and Spencer</w:t>
      </w:r>
      <w:bookmarkEnd w:id="1817"/>
      <w:bookmarkEnd w:id="1818"/>
    </w:p>
    <w:p>
      <w:pPr>
        <w:pStyle w:val="Para 04"/>
        <w:keepLines w:val="on"/>
      </w:pPr>
      <w:r>
        <w:t>Marks and Spencer vận hành các cửa hàng bán lẻ ở Vương quốc Anh và có cổ phần đáng kể trong các công ty bán lẻ ở các khu vực khác trên thế giới. Bảng sau đây phân tích các thành phần của vốn lưu động của công ty cho năm 1999 và 2000 và báo cáo cả tổng vốn lưu động và vốn lưu động phi tiền mặt trong mỗi năm:</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1999</w:t>
                  </w:r>
                </w:p>
              </w:tc>
              <w:tc>
                <w:tcPr>
                  <w:tcW w:type="auto" w:w="0"/>
                  <w:shd w:val="clear" w:color="auto" w:fill="F0F0F0"/>
                </w:tcPr>
                <w:p>
                  <w:pPr>
                    <w:pStyle w:val="Para 05"/>
                    <w:keepLines w:val="on"/>
                  </w:pPr>
                  <w:r>
                    <w:t>2000</w:t>
                  </w:r>
                </w:p>
              </w:tc>
            </w:tr>
            <w:tr>
              <w:tc>
                <w:tcPr>
                  <w:tcW w:type="auto" w:w="0"/>
                  <w:shd w:val="clear" w:color="auto" w:fill="F0F0F0"/>
                </w:tcPr>
                <w:p>
                  <w:pPr>
                    <w:pStyle w:val="Para 02"/>
                    <w:keepLines w:val="on"/>
                  </w:pPr>
                  <w:r>
                    <w:t>Tiền mặt và gần như tiền mặt</w:t>
                  </w:r>
                </w:p>
              </w:tc>
              <w:tc>
                <w:tcPr>
                  <w:tcW w:type="auto" w:w="0"/>
                  <w:shd w:val="clear" w:color="auto" w:fill="F0F0F0"/>
                </w:tcPr>
                <w:p>
                  <w:pPr>
                    <w:pStyle w:val="Normal"/>
                    <w:keepLines w:val="on"/>
                  </w:pPr>
                  <w:r>
                    <w:t>$282</w:t>
                  </w:r>
                </w:p>
              </w:tc>
              <w:tc>
                <w:tcPr>
                  <w:tcW w:type="auto" w:w="0"/>
                  <w:shd w:val="clear" w:color="auto" w:fill="F0F0F0"/>
                </w:tcPr>
                <w:p>
                  <w:pPr>
                    <w:pStyle w:val="Normal"/>
                    <w:keepLines w:val="on"/>
                  </w:pPr>
                  <w:r>
                    <w:t>$301</w:t>
                  </w:r>
                </w:p>
              </w:tc>
            </w:tr>
            <w:tr>
              <w:tc>
                <w:tcPr>
                  <w:tcW w:type="auto" w:w="0"/>
                  <w:shd w:val="clear" w:color="auto" w:fill="F0F0F0"/>
                </w:tcPr>
                <w:p>
                  <w:pPr>
                    <w:pStyle w:val="Para 02"/>
                    <w:keepLines w:val="on"/>
                  </w:pPr>
                  <w:r>
                    <w:t>Chứng khoán thị trường</w:t>
                  </w:r>
                </w:p>
              </w:tc>
              <w:tc>
                <w:tcPr>
                  <w:tcW w:type="auto" w:w="0"/>
                  <w:shd w:val="clear" w:color="auto" w:fill="F0F0F0"/>
                </w:tcPr>
                <w:p>
                  <w:pPr>
                    <w:pStyle w:val="Normal"/>
                    <w:keepLines w:val="on"/>
                  </w:pPr>
                  <w:r>
                    <w:t>$204</w:t>
                  </w:r>
                </w:p>
              </w:tc>
              <w:tc>
                <w:tcPr>
                  <w:tcW w:type="auto" w:w="0"/>
                  <w:shd w:val="clear" w:color="auto" w:fill="F0F0F0"/>
                </w:tcPr>
                <w:p>
                  <w:pPr>
                    <w:pStyle w:val="Normal"/>
                    <w:keepLines w:val="on"/>
                  </w:pPr>
                  <w:r>
                    <w:t>$386</w:t>
                  </w:r>
                </w:p>
              </w:tc>
            </w:tr>
            <w:tr>
              <w:tc>
                <w:tcPr>
                  <w:tcW w:type="auto" w:w="0"/>
                  <w:shd w:val="clear" w:color="auto" w:fill="F0F0F0"/>
                </w:tcPr>
                <w:p>
                  <w:pPr>
                    <w:pStyle w:val="Para 02"/>
                    <w:keepLines w:val="on"/>
                  </w:pPr>
                  <w:r>
                    <w:t>Con nợ thương mại (các khoản phải thu)</w:t>
                  </w:r>
                </w:p>
              </w:tc>
              <w:tc>
                <w:tcPr>
                  <w:tcW w:type="auto" w:w="0"/>
                  <w:shd w:val="clear" w:color="auto" w:fill="F0F0F0"/>
                </w:tcPr>
                <w:p>
                  <w:pPr>
                    <w:pStyle w:val="Normal"/>
                    <w:keepLines w:val="on"/>
                  </w:pPr>
                  <w:r>
                    <w:t>$1,980</w:t>
                  </w:r>
                </w:p>
              </w:tc>
              <w:tc>
                <w:tcPr>
                  <w:tcW w:type="auto" w:w="0"/>
                  <w:shd w:val="clear" w:color="auto" w:fill="F0F0F0"/>
                </w:tcPr>
                <w:p>
                  <w:pPr>
                    <w:pStyle w:val="Normal"/>
                    <w:keepLines w:val="on"/>
                  </w:pPr>
                  <w:r>
                    <w:t>$2,186</w:t>
                  </w:r>
                </w:p>
              </w:tc>
            </w:tr>
            <w:tr>
              <w:tc>
                <w:tcPr>
                  <w:tcW w:type="auto" w:w="0"/>
                  <w:shd w:val="clear" w:color="auto" w:fill="F0F0F0"/>
                </w:tcPr>
                <w:p>
                  <w:pPr>
                    <w:pStyle w:val="Para 02"/>
                    <w:keepLines w:val="on"/>
                  </w:pPr>
                  <w:r>
                    <w:t>Hàng tồn kho (tồn kho)</w:t>
                  </w:r>
                </w:p>
              </w:tc>
              <w:tc>
                <w:tcPr>
                  <w:tcW w:type="auto" w:w="0"/>
                  <w:shd w:val="clear" w:color="auto" w:fill="F0F0F0"/>
                </w:tcPr>
                <w:p>
                  <w:pPr>
                    <w:pStyle w:val="Normal"/>
                    <w:keepLines w:val="on"/>
                  </w:pPr>
                  <w:r>
                    <w:t>$515</w:t>
                  </w:r>
                </w:p>
              </w:tc>
              <w:tc>
                <w:tcPr>
                  <w:tcW w:type="auto" w:w="0"/>
                  <w:shd w:val="clear" w:color="auto" w:fill="F0F0F0"/>
                </w:tcPr>
                <w:p>
                  <w:pPr>
                    <w:pStyle w:val="Normal"/>
                    <w:keepLines w:val="on"/>
                  </w:pPr>
                  <w:r>
                    <w:t>$475</w:t>
                  </w:r>
                </w:p>
              </w:tc>
            </w:tr>
            <w:tr>
              <w:tc>
                <w:tcPr>
                  <w:tcW w:type="auto" w:w="0"/>
                  <w:shd w:val="clear" w:color="auto" w:fill="F0F0F0"/>
                </w:tcPr>
                <w:p>
                  <w:pPr>
                    <w:pStyle w:val="Para 02"/>
                    <w:keepLines w:val="on"/>
                  </w:pPr>
                  <w:r>
                    <w:t>Tài sản ngắn hạn khác</w:t>
                  </w:r>
                </w:p>
              </w:tc>
              <w:tc>
                <w:tcPr>
                  <w:tcW w:type="auto" w:w="0"/>
                  <w:shd w:val="clear" w:color="auto" w:fill="F0F0F0"/>
                </w:tcPr>
                <w:p>
                  <w:pPr>
                    <w:pStyle w:val="Normal"/>
                    <w:keepLines w:val="on"/>
                  </w:pPr>
                  <w:r>
                    <w:t>$271</w:t>
                  </w:r>
                </w:p>
              </w:tc>
              <w:tc>
                <w:tcPr>
                  <w:tcW w:type="auto" w:w="0"/>
                  <w:shd w:val="clear" w:color="auto" w:fill="F0F0F0"/>
                </w:tcPr>
                <w:p>
                  <w:pPr>
                    <w:pStyle w:val="Normal"/>
                    <w:keepLines w:val="on"/>
                  </w:pPr>
                  <w:r>
                    <w:t>$281</w:t>
                  </w:r>
                </w:p>
              </w:tc>
            </w:tr>
            <w:tr>
              <w:tc>
                <w:tcPr>
                  <w:tcW w:type="auto" w:w="0"/>
                  <w:shd w:val="clear" w:color="auto" w:fill="F0F0F0"/>
                </w:tcPr>
                <w:p>
                  <w:pPr>
                    <w:pStyle w:val="Para 02"/>
                    <w:keepLines w:val="on"/>
                  </w:pPr>
                  <w:r>
                    <w:t>Tổng tài sản ngắn hạn</w:t>
                  </w:r>
                </w:p>
              </w:tc>
              <w:tc>
                <w:tcPr>
                  <w:tcW w:type="auto" w:w="0"/>
                  <w:shd w:val="clear" w:color="auto" w:fill="F0F0F0"/>
                </w:tcPr>
                <w:p>
                  <w:pPr>
                    <w:pStyle w:val="Normal"/>
                    <w:keepLines w:val="on"/>
                  </w:pPr>
                  <w:r>
                    <w:t>$3,252</w:t>
                  </w:r>
                </w:p>
              </w:tc>
              <w:tc>
                <w:tcPr>
                  <w:tcW w:type="auto" w:w="0"/>
                  <w:shd w:val="clear" w:color="auto" w:fill="F0F0F0"/>
                </w:tcPr>
                <w:p>
                  <w:pPr>
                    <w:pStyle w:val="Normal"/>
                    <w:keepLines w:val="on"/>
                  </w:pPr>
                  <w:r>
                    <w:t>$3,629</w:t>
                  </w:r>
                </w:p>
              </w:tc>
            </w:tr>
            <w:tr>
              <w:tc>
                <w:tcPr>
                  <w:tcW w:type="auto" w:w="0"/>
                  <w:shd w:val="clear" w:color="auto" w:fill="F0F0F0"/>
                </w:tcPr>
                <w:p>
                  <w:pPr>
                    <w:pStyle w:val="Para 02"/>
                    <w:keepLines w:val="on"/>
                  </w:pPr>
                  <w:r>
                    <w:t>Tài sản ngắn hạn phi tiền mặt</w:t>
                  </w:r>
                </w:p>
              </w:tc>
              <w:tc>
                <w:tcPr>
                  <w:tcW w:type="auto" w:w="0"/>
                  <w:shd w:val="clear" w:color="auto" w:fill="F0F0F0"/>
                </w:tcPr>
                <w:p>
                  <w:pPr>
                    <w:pStyle w:val="Normal"/>
                    <w:keepLines w:val="on"/>
                  </w:pPr>
                  <w:r>
                    <w:t>$2,766</w:t>
                  </w:r>
                </w:p>
              </w:tc>
              <w:tc>
                <w:tcPr>
                  <w:tcW w:type="auto" w:w="0"/>
                  <w:shd w:val="clear" w:color="auto" w:fill="F0F0F0"/>
                </w:tcPr>
                <w:p>
                  <w:pPr>
                    <w:pStyle w:val="Normal"/>
                    <w:keepLines w:val="on"/>
                  </w:pPr>
                  <w:r>
                    <w:t>$2,942</w:t>
                  </w:r>
                </w:p>
              </w:tc>
            </w:tr>
            <w:tr>
              <w:tc>
                <w:tcPr>
                  <w:tcW w:type="auto" w:w="0"/>
                  <w:shd w:val="clear" w:color="auto" w:fill="F0F0F0"/>
                </w:tcPr>
                <w:p>
                  <w:pPr>
                    <w:pStyle w:val="Para 02"/>
                    <w:keepLines w:val="on"/>
                  </w:pPr>
                  <w:r>
                    <w:t>Chủ nợ thương mại (các khoản phải trả)</w:t>
                  </w:r>
                </w:p>
              </w:tc>
              <w:tc>
                <w:tcPr>
                  <w:tcW w:type="auto" w:w="0"/>
                  <w:shd w:val="clear" w:color="auto" w:fill="F0F0F0"/>
                </w:tcPr>
                <w:p>
                  <w:pPr>
                    <w:pStyle w:val="Normal"/>
                    <w:keepLines w:val="on"/>
                  </w:pPr>
                  <w:r>
                    <w:t>$215</w:t>
                  </w:r>
                </w:p>
              </w:tc>
              <w:tc>
                <w:tcPr>
                  <w:tcW w:type="auto" w:w="0"/>
                  <w:shd w:val="clear" w:color="auto" w:fill="F0F0F0"/>
                </w:tcPr>
                <w:p>
                  <w:pPr>
                    <w:pStyle w:val="Normal"/>
                    <w:keepLines w:val="on"/>
                  </w:pPr>
                  <w:r>
                    <w:t>$219</w:t>
                  </w:r>
                </w:p>
              </w:tc>
            </w:tr>
            <w:tr>
              <w:tc>
                <w:tcPr>
                  <w:tcW w:type="auto" w:w="0"/>
                  <w:shd w:val="clear" w:color="auto" w:fill="F0F0F0"/>
                </w:tcPr>
                <w:p>
                  <w:pPr>
                    <w:pStyle w:val="Para 02"/>
                    <w:keepLines w:val="on"/>
                  </w:pPr>
                  <w:r>
                    <w:t>Nợ ngắn hạn</w:t>
                  </w:r>
                </w:p>
              </w:tc>
              <w:tc>
                <w:tcPr>
                  <w:tcW w:type="auto" w:w="0"/>
                  <w:shd w:val="clear" w:color="auto" w:fill="F0F0F0"/>
                </w:tcPr>
                <w:p>
                  <w:pPr>
                    <w:pStyle w:val="Normal"/>
                    <w:keepLines w:val="on"/>
                  </w:pPr>
                  <w:r>
                    <w:t>$913</w:t>
                  </w:r>
                </w:p>
              </w:tc>
              <w:tc>
                <w:tcPr>
                  <w:tcW w:type="auto" w:w="0"/>
                  <w:shd w:val="clear" w:color="auto" w:fill="F0F0F0"/>
                </w:tcPr>
                <w:p>
                  <w:pPr>
                    <w:pStyle w:val="Normal"/>
                    <w:keepLines w:val="on"/>
                  </w:pPr>
                  <w:r>
                    <w:t>$1,169</w:t>
                  </w:r>
                </w:p>
              </w:tc>
            </w:tr>
            <w:tr>
              <w:tc>
                <w:tcPr>
                  <w:tcW w:type="auto" w:w="0"/>
                  <w:shd w:val="clear" w:color="auto" w:fill="F0F0F0"/>
                </w:tcPr>
                <w:p>
                  <w:pPr>
                    <w:pStyle w:val="Para 02"/>
                    <w:keepLines w:val="on"/>
                  </w:pPr>
                  <w:r>
                    <w:t>Nợ ngắn hạn khác</w:t>
                  </w:r>
                </w:p>
              </w:tc>
              <w:tc>
                <w:tcPr>
                  <w:tcW w:type="auto" w:w="0"/>
                  <w:shd w:val="clear" w:color="auto" w:fill="F0F0F0"/>
                </w:tcPr>
                <w:p>
                  <w:pPr>
                    <w:pStyle w:val="Normal"/>
                    <w:keepLines w:val="on"/>
                  </w:pPr>
                  <w:r>
                    <w:t>$903</w:t>
                  </w:r>
                </w:p>
              </w:tc>
              <w:tc>
                <w:tcPr>
                  <w:tcW w:type="auto" w:w="0"/>
                  <w:shd w:val="clear" w:color="auto" w:fill="F0F0F0"/>
                </w:tcPr>
                <w:p>
                  <w:pPr>
                    <w:pStyle w:val="Normal"/>
                    <w:keepLines w:val="on"/>
                  </w:pPr>
                  <w:r>
                    <w:t>$774</w:t>
                  </w:r>
                </w:p>
              </w:tc>
            </w:tr>
            <w:tr>
              <w:tc>
                <w:tcPr>
                  <w:tcW w:type="auto" w:w="0"/>
                  <w:shd w:val="clear" w:color="auto" w:fill="F0F0F0"/>
                </w:tcPr>
                <w:p>
                  <w:pPr>
                    <w:pStyle w:val="Para 02"/>
                    <w:keepLines w:val="on"/>
                  </w:pPr>
                  <w:r>
                    <w:t>Tổng nợ ngắn hạn</w:t>
                  </w:r>
                </w:p>
              </w:tc>
              <w:tc>
                <w:tcPr>
                  <w:tcW w:type="auto" w:w="0"/>
                  <w:shd w:val="clear" w:color="auto" w:fill="F0F0F0"/>
                </w:tcPr>
                <w:p>
                  <w:pPr>
                    <w:pStyle w:val="Normal"/>
                    <w:keepLines w:val="on"/>
                  </w:pPr>
                  <w:r>
                    <w:t>$2,031</w:t>
                  </w:r>
                </w:p>
              </w:tc>
              <w:tc>
                <w:tcPr>
                  <w:tcW w:type="auto" w:w="0"/>
                  <w:shd w:val="clear" w:color="auto" w:fill="F0F0F0"/>
                </w:tcPr>
                <w:p>
                  <w:pPr>
                    <w:pStyle w:val="Normal"/>
                    <w:keepLines w:val="on"/>
                  </w:pPr>
                  <w:r>
                    <w:t>$2,162</w:t>
                  </w:r>
                </w:p>
              </w:tc>
            </w:tr>
            <w:tr>
              <w:tc>
                <w:tcPr>
                  <w:tcW w:type="auto" w:w="0"/>
                  <w:shd w:val="clear" w:color="auto" w:fill="F0F0F0"/>
                </w:tcPr>
                <w:p>
                  <w:pPr>
                    <w:pStyle w:val="Para 02"/>
                    <w:keepLines w:val="on"/>
                  </w:pPr>
                  <w:r>
                    <w:t>Nợ ngắn hạn phi nợ vay</w:t>
                  </w:r>
                </w:p>
              </w:tc>
              <w:tc>
                <w:tcPr>
                  <w:tcW w:type="auto" w:w="0"/>
                  <w:shd w:val="clear" w:color="auto" w:fill="F0F0F0"/>
                </w:tcPr>
                <w:p>
                  <w:pPr>
                    <w:pStyle w:val="Normal"/>
                    <w:keepLines w:val="on"/>
                  </w:pPr>
                  <w:r>
                    <w:t>$1,118</w:t>
                  </w:r>
                </w:p>
              </w:tc>
              <w:tc>
                <w:tcPr>
                  <w:tcW w:type="auto" w:w="0"/>
                  <w:shd w:val="clear" w:color="auto" w:fill="F0F0F0"/>
                </w:tcPr>
                <w:p>
                  <w:pPr>
                    <w:pStyle w:val="Normal"/>
                    <w:keepLines w:val="on"/>
                  </w:pPr>
                  <w:r>
                    <w:t>$993</w:t>
                  </w:r>
                </w:p>
              </w:tc>
            </w:tr>
            <w:tr>
              <w:tc>
                <w:tcPr>
                  <w:tcW w:type="auto" w:w="0"/>
                  <w:shd w:val="clear" w:color="auto" w:fill="F0F0F0"/>
                </w:tcPr>
                <w:p>
                  <w:pPr>
                    <w:pStyle w:val="Para 02"/>
                    <w:keepLines w:val="on"/>
                  </w:pPr>
                  <w:r>
                    <w:t>Vốn lưu động</w:t>
                  </w:r>
                </w:p>
              </w:tc>
              <w:tc>
                <w:tcPr>
                  <w:tcW w:type="auto" w:w="0"/>
                  <w:shd w:val="clear" w:color="auto" w:fill="F0F0F0"/>
                </w:tcPr>
                <w:p>
                  <w:pPr>
                    <w:pStyle w:val="Normal"/>
                    <w:keepLines w:val="on"/>
                  </w:pPr>
                  <w:r>
                    <w:t>$1,221</w:t>
                  </w:r>
                </w:p>
              </w:tc>
              <w:tc>
                <w:tcPr>
                  <w:tcW w:type="auto" w:w="0"/>
                  <w:shd w:val="clear" w:color="auto" w:fill="F0F0F0"/>
                </w:tcPr>
                <w:p>
                  <w:pPr>
                    <w:pStyle w:val="Normal"/>
                    <w:keepLines w:val="on"/>
                  </w:pPr>
                  <w:r>
                    <w:t>$1,467</w:t>
                  </w:r>
                </w:p>
              </w:tc>
            </w:tr>
            <w:tr>
              <w:tc>
                <w:tcPr>
                  <w:tcW w:type="auto" w:w="0"/>
                  <w:shd w:val="clear" w:color="auto" w:fill="F0F0F0"/>
                </w:tcPr>
                <w:p>
                  <w:pPr>
                    <w:pStyle w:val="Para 02"/>
                    <w:keepLines w:val="on"/>
                  </w:pPr>
                  <w:r>
                    <w:t>Vốn lưu động phi tiền mặt</w:t>
                  </w:r>
                </w:p>
              </w:tc>
              <w:tc>
                <w:tcPr>
                  <w:tcW w:type="auto" w:w="0"/>
                  <w:shd w:val="clear" w:color="auto" w:fill="F0F0F0"/>
                </w:tcPr>
                <w:p>
                  <w:pPr>
                    <w:pStyle w:val="Normal"/>
                    <w:keepLines w:val="on"/>
                  </w:pPr>
                  <w:r>
                    <w:t>$1,648</w:t>
                  </w:r>
                </w:p>
              </w:tc>
              <w:tc>
                <w:tcPr>
                  <w:tcW w:type="auto" w:w="0"/>
                  <w:shd w:val="clear" w:color="auto" w:fill="F0F0F0"/>
                </w:tcPr>
                <w:p>
                  <w:pPr>
                    <w:pStyle w:val="Normal"/>
                    <w:keepLines w:val="on"/>
                  </w:pPr>
                  <w:r>
                    <w:t>$1,949</w:t>
                  </w:r>
                </w:p>
              </w:tc>
            </w:tr>
          </w:tbl>
          <w:p/>
        </w:tc>
      </w:tr>
    </w:tbl>
    <w:p>
      <w:pPr>
        <w:pStyle w:val="Para 04"/>
        <w:keepLines w:val="on"/>
      </w:pPr>
      <w:r>
        <w:t>Vốn lưu động phi tiền mặt cao hơn đáng kể so với vốn lưu động trong cả hai năm. Chúng tôi cho rằng chỉ số thứ nhất phản ánh chính xác hơn nhiều lượng tiền mặt bị mắc kẹt trong vốn lưu động.</w:t>
      </w:r>
    </w:p>
    <w:p>
      <w:pPr>
        <w:pStyle w:val="Para 20"/>
      </w:pPr>
      <w:r>
        <w:rPr>
          <w:rStyle w:val="Text26"/>
        </w:rPr>
        <w:bookmarkStart w:id="1819" w:name="Page_287"/>
        <w:t/>
        <w:bookmarkEnd w:id="1819"/>
      </w:r>
      <w:r>
        <w:t xml:space="preserve"> </w:t>
      </w:r>
    </w:p>
    <w:p>
      <w:bookmarkStart w:id="1820" w:name="Estimating_Expected_Changes_in_N_1"/>
      <w:bookmarkStart w:id="1821" w:name="Estimating_Expected_Changes_in_N"/>
      <w:pPr>
        <w:keepNext/>
        <w:pStyle w:val="Heading 4"/>
        <w:keepLines w:val="on"/>
      </w:pPr>
      <w:r>
        <w:t>Ước tính những thay đổi dự kiến trong vốn lưu động phi tiền mặt</w:t>
      </w:r>
      <w:bookmarkEnd w:id="1820"/>
      <w:bookmarkEnd w:id="1821"/>
    </w:p>
    <w:p>
      <w:pPr>
        <w:pStyle w:val="Para 03"/>
      </w:pPr>
      <w:r>
        <w:t>Mặc dù chúng ta có thể ước tính khá đơn giản mức thay đổi vốn lưu động phi tiền mặt cho bất kỳ năm nào bằng cách dùng báo cáo tài chính, nhưng ước tính này phải được sử dụng một cách thận trọng. Những thay đổi trong vốn lưu động phi tiền mặt rất bất ổn, có năm tăng vọt rồi những năm sau lại giảm mạnh. Để đảm bảo rằng các dự báo không phải là kết quả của một năm cơ sở bất thường, bạn nên gắn những thay đổi trong vốn lưu động với những thay đổi dự kiến về doanh thu hoặc giá vốn hàng bán của công ty theo thời gian. Tỷ lệ vốn lưu động phi tiền mặt trên doanh thu có thể được dùng, kết hợp với những thay đổi doanh thu dự kiến mỗi kỳ, để ước tính mức thay đổi dự kiến của vốn lưu động phi tiền mặt theo thời gian. Bạn có thể xác định tỷ lệ vốn lưu động phi tiền mặt trên doanh thu bằng cách xem xét lịch sử của công ty hoặc các chuẩn mực trong ngành.</w:t>
      </w:r>
    </w:p>
    <w:p>
      <w:pPr>
        <w:pStyle w:val="Para 03"/>
      </w:pPr>
      <w:r>
        <w:t>Vậy có nên chia nhỏ vốn lưu động thành nhiều chi tiết hơn không? Nói cách khác, liệu việc ước tính riêng từng khoản mục như khoản phải thu, hàng tồn kho và khoản phải trả có mang lại lợi ích gì không? Câu trả lời sẽ phụ thuộc vào cả công ty đang được phân tích lẫn khoảng thời gian dự báo vốn lưu động xa đến đâu trong tương lai. Với những công ty mà hàng tồn kho và khoản phải thu biến động theo những cách rất khác nhau khi doanh thu tăng trưởng, rõ ràng việc chia nhỏ vốn lưu động thành từng chi tiết là hợp lý. Tất nhiên, cái giá phải trả là nó làm tăng số lượng dữ liệu đầu vào cần thiết để định giá một công ty. Ngoài ra, lợi ích của việc chia nhỏ vốn lưu động thành từng khoản mục riêng lẻ sẽ càng nhỏ đi khi chúng ta dự báo càng xa về tương lai. Với hầu hết các công ty, việc ước tính một con số tổng hợp cho vốn lưu động phi tiền mặt dễ làm hơn, và thường chính xác hơn so với việc chia nhỏ thành nhiều chi tiết.</w:t>
      </w:r>
    </w:p>
    <w:p>
      <w:pPr>
        <w:pStyle w:val="Para 11"/>
      </w:pPr>
      <w:r>
        <w:t/>
        <w:t xml:space="preserve"> </w:t>
      </w:r>
    </w:p>
    <w:p>
      <w:bookmarkStart w:id="1822" w:name="ILLUSTRATION_10_8___Estimating_N_1"/>
      <w:bookmarkStart w:id="1823" w:name="ILLUSTRATION_10_8___Estimating_N"/>
      <w:pPr>
        <w:keepNext/>
        <w:pStyle w:val="Para 19"/>
        <w:keepLines w:val="on"/>
      </w:pPr>
      <w:r>
        <w:t>VÍ DỤ 10.8: Ước tính nhu cầu vốn lưu động phi tiền mặt: The Gap</w:t>
      </w:r>
      <w:bookmarkEnd w:id="1822"/>
      <w:bookmarkEnd w:id="1823"/>
    </w:p>
    <w:p>
      <w:pPr>
        <w:pStyle w:val="Para 04"/>
        <w:keepLines w:val="on"/>
      </w:pPr>
      <w:r>
        <w:t>Là một nhà bán lẻ chuyên biệt, The Gap có nhu cầu hàng tồn kho và vốn lưu động đáng kể. Vào cuối năm tài chính 2000 (kết thúc vào tháng 1 năm 2001), The Gap báo cáo hàng tồn kho 1.904 triệu đô la và 335 triệu đô la tài sản ngắn hạn phi tiền mặt khác. Đồng thời, khoản phải trả là 1.067 triệu đô la và các khoản nợ ngắn hạn không chịu lãi khác là 702 triệu đô la. Vốn lưu động phi tiền mặt của The Gap vào tháng 1 năm 2001 có thể được ước tính như sau:</w:t>
      </w:r>
    </w:p>
    <w:p>
      <w:bookmarkStart w:id="1824" w:name="Noncash_working_capital__1_904"/>
      <w:pPr>
        <w:keepNext/>
        <w:pStyle w:val="Para 07"/>
        <w:keepLines w:val="on"/>
      </w:pPr>
      <w:r>
        <w:t>Vốn lưu động phi tiền mặt = $1,904 + $335 - $1,067 - $702 = $470 triệu</w:t>
      </w:r>
      <w:bookmarkEnd w:id="1824"/>
    </w:p>
    <w:p>
      <w:pPr>
        <w:pStyle w:val="Para 04"/>
        <w:keepLines w:val="on"/>
      </w:pPr>
      <w:r>
        <w:t>Bảng dưới đây báo cáo vốn lưu động phi tiền mặt vào cuối năm trước và tổng doanh thu trong mỗi năm:</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1999</w:t>
                  </w:r>
                </w:p>
              </w:tc>
              <w:tc>
                <w:tcPr>
                  <w:tcW w:type="auto" w:w="0"/>
                  <w:shd w:val="clear" w:color="auto" w:fill="F0F0F0"/>
                </w:tcPr>
                <w:p>
                  <w:pPr>
                    <w:pStyle w:val="Para 05"/>
                    <w:keepLines w:val="on"/>
                  </w:pPr>
                  <w:r>
                    <w:t>2000</w:t>
                  </w:r>
                </w:p>
              </w:tc>
              <w:tc>
                <w:tcPr>
                  <w:tcW w:type="auto" w:w="0"/>
                  <w:shd w:val="clear" w:color="auto" w:fill="F0F0F0"/>
                </w:tcPr>
                <w:p>
                  <w:pPr>
                    <w:pStyle w:val="Para 05"/>
                    <w:keepLines w:val="on"/>
                  </w:pPr>
                  <w:r>
                    <w:t>Thay đổi</w:t>
                  </w:r>
                </w:p>
              </w:tc>
            </w:tr>
            <w:tr>
              <w:tc>
                <w:tcPr>
                  <w:tcW w:type="auto" w:w="0"/>
                  <w:shd w:val="clear" w:color="auto" w:fill="F0F0F0"/>
                </w:tcPr>
                <w:p>
                  <w:pPr>
                    <w:pStyle w:val="Para 02"/>
                    <w:keepLines w:val="on"/>
                  </w:pPr>
                  <w:r>
                    <w:t>Hàng tồn kho</w:t>
                  </w:r>
                </w:p>
              </w:tc>
              <w:tc>
                <w:tcPr>
                  <w:tcW w:type="auto" w:w="0"/>
                  <w:shd w:val="clear" w:color="auto" w:fill="F0F0F0"/>
                </w:tcPr>
                <w:p>
                  <w:pPr>
                    <w:pStyle w:val="Normal"/>
                    <w:keepLines w:val="on"/>
                  </w:pPr>
                  <w:r>
                    <w:t>$1,462</w:t>
                  </w:r>
                </w:p>
              </w:tc>
              <w:tc>
                <w:tcPr>
                  <w:tcW w:type="auto" w:w="0"/>
                  <w:shd w:val="clear" w:color="auto" w:fill="F0F0F0"/>
                </w:tcPr>
                <w:p>
                  <w:pPr>
                    <w:pStyle w:val="Normal"/>
                    <w:keepLines w:val="on"/>
                  </w:pPr>
                  <w:r>
                    <w:t>$1,904</w:t>
                  </w:r>
                </w:p>
              </w:tc>
              <w:tc>
                <w:tcPr>
                  <w:tcW w:type="auto" w:w="0"/>
                  <w:shd w:val="clear" w:color="auto" w:fill="F0F0F0"/>
                </w:tcPr>
                <w:p>
                  <w:pPr>
                    <w:pStyle w:val="Normal"/>
                    <w:keepLines w:val="on"/>
                  </w:pPr>
                  <w:r>
                    <w:t>$442</w:t>
                  </w:r>
                </w:p>
              </w:tc>
            </w:tr>
            <w:tr>
              <w:tc>
                <w:tcPr>
                  <w:tcW w:type="auto" w:w="0"/>
                  <w:shd w:val="clear" w:color="auto" w:fill="F0F0F0"/>
                </w:tcPr>
                <w:p>
                  <w:pPr>
                    <w:pStyle w:val="Para 02"/>
                    <w:keepLines w:val="on"/>
                  </w:pPr>
                  <w:r>
                    <w:t>Tài sản ngắn hạn phi tiền mặt khác</w:t>
                  </w:r>
                </w:p>
              </w:tc>
              <w:tc>
                <w:tcPr>
                  <w:tcW w:type="auto" w:w="0"/>
                  <w:shd w:val="clear" w:color="auto" w:fill="F0F0F0"/>
                </w:tcPr>
                <w:p>
                  <w:pPr>
                    <w:pStyle w:val="Normal"/>
                    <w:keepLines w:val="on"/>
                  </w:pPr>
                  <w:r>
                    <w:t>$285</w:t>
                  </w:r>
                </w:p>
              </w:tc>
              <w:tc>
                <w:tcPr>
                  <w:tcW w:type="auto" w:w="0"/>
                  <w:shd w:val="clear" w:color="auto" w:fill="F0F0F0"/>
                </w:tcPr>
                <w:p>
                  <w:pPr>
                    <w:pStyle w:val="Normal"/>
                    <w:keepLines w:val="on"/>
                  </w:pPr>
                  <w:r>
                    <w:t>$335</w:t>
                  </w:r>
                </w:p>
              </w:tc>
              <w:tc>
                <w:tcPr>
                  <w:tcW w:type="auto" w:w="0"/>
                  <w:shd w:val="clear" w:color="auto" w:fill="F0F0F0"/>
                </w:tcPr>
                <w:p>
                  <w:pPr>
                    <w:pStyle w:val="Normal"/>
                    <w:keepLines w:val="on"/>
                  </w:pPr>
                  <w:r>
                    <w:t>$50</w:t>
                  </w:r>
                </w:p>
              </w:tc>
            </w:tr>
            <w:tr>
              <w:tc>
                <w:tcPr>
                  <w:tcW w:type="auto" w:w="0"/>
                  <w:shd w:val="clear" w:color="auto" w:fill="F0F0F0"/>
                </w:tcPr>
                <w:p>
                  <w:pPr>
                    <w:pStyle w:val="Para 02"/>
                    <w:keepLines w:val="on"/>
                  </w:pPr>
                  <w:r>
                    <w:t>Khoản phải trả người bán</w:t>
                  </w:r>
                </w:p>
              </w:tc>
              <w:tc>
                <w:tcPr>
                  <w:tcW w:type="auto" w:w="0"/>
                  <w:shd w:val="clear" w:color="auto" w:fill="F0F0F0"/>
                </w:tcPr>
                <w:p>
                  <w:pPr>
                    <w:pStyle w:val="Normal"/>
                    <w:keepLines w:val="on"/>
                  </w:pPr>
                  <w:r>
                    <w:t>$806</w:t>
                  </w:r>
                </w:p>
              </w:tc>
              <w:tc>
                <w:tcPr>
                  <w:tcW w:type="auto" w:w="0"/>
                  <w:shd w:val="clear" w:color="auto" w:fill="F0F0F0"/>
                </w:tcPr>
                <w:p>
                  <w:pPr>
                    <w:pStyle w:val="Normal"/>
                    <w:keepLines w:val="on"/>
                  </w:pPr>
                  <w:r>
                    <w:t>$1,067</w:t>
                  </w:r>
                </w:p>
              </w:tc>
              <w:tc>
                <w:tcPr>
                  <w:tcW w:type="auto" w:w="0"/>
                  <w:shd w:val="clear" w:color="auto" w:fill="F0F0F0"/>
                </w:tcPr>
                <w:p>
                  <w:pPr>
                    <w:pStyle w:val="Normal"/>
                    <w:keepLines w:val="on"/>
                  </w:pPr>
                  <w:r>
                    <w:t>$261</w:t>
                  </w:r>
                </w:p>
              </w:tc>
            </w:tr>
            <w:tr>
              <w:tc>
                <w:tcPr>
                  <w:tcW w:type="auto" w:w="0"/>
                  <w:shd w:val="clear" w:color="auto" w:fill="F0F0F0"/>
                </w:tcPr>
                <w:p>
                  <w:pPr>
                    <w:pStyle w:val="Para 02"/>
                    <w:keepLines w:val="on"/>
                  </w:pPr>
                  <w:r>
                    <w:t>Nợ ngắn hạn không chịu lãi khác</w:t>
                  </w:r>
                </w:p>
              </w:tc>
              <w:tc>
                <w:tcPr>
                  <w:tcW w:type="auto" w:w="0"/>
                  <w:shd w:val="clear" w:color="auto" w:fill="F0F0F0"/>
                </w:tcPr>
                <w:p>
                  <w:pPr>
                    <w:pStyle w:val="Normal"/>
                    <w:keepLines w:val="on"/>
                  </w:pPr>
                  <w:r>
                    <w:t>$778</w:t>
                  </w:r>
                </w:p>
              </w:tc>
              <w:tc>
                <w:tcPr>
                  <w:tcW w:type="auto" w:w="0"/>
                  <w:shd w:val="clear" w:color="auto" w:fill="F0F0F0"/>
                </w:tcPr>
                <w:p>
                  <w:pPr>
                    <w:pStyle w:val="Normal"/>
                    <w:keepLines w:val="on"/>
                  </w:pPr>
                  <w:r>
                    <w:t>$702</w:t>
                  </w:r>
                </w:p>
              </w:tc>
              <w:tc>
                <w:tcPr>
                  <w:tcW w:type="auto" w:w="0"/>
                  <w:shd w:val="clear" w:color="auto" w:fill="F0F0F0"/>
                </w:tcPr>
                <w:p>
                  <w:pPr>
                    <w:pStyle w:val="Normal"/>
                    <w:keepLines w:val="on"/>
                  </w:pPr>
                  <w:r>
                    <w:t>−$76</w:t>
                  </w:r>
                </w:p>
              </w:tc>
            </w:tr>
            <w:tr>
              <w:tc>
                <w:tcPr>
                  <w:tcW w:type="auto" w:w="0"/>
                  <w:shd w:val="clear" w:color="auto" w:fill="F0F0F0"/>
                </w:tcPr>
                <w:p>
                  <w:pPr>
                    <w:pStyle w:val="Para 02"/>
                    <w:keepLines w:val="on"/>
                  </w:pPr>
                  <w:r>
                    <w:t>Vốn lưu động phi tiền mặt</w:t>
                  </w:r>
                </w:p>
              </w:tc>
              <w:tc>
                <w:tcPr>
                  <w:tcW w:type="auto" w:w="0"/>
                  <w:shd w:val="clear" w:color="auto" w:fill="F0F0F0"/>
                </w:tcPr>
                <w:p>
                  <w:pPr>
                    <w:pStyle w:val="Normal"/>
                    <w:keepLines w:val="on"/>
                  </w:pPr>
                  <w:r>
                    <w:t>$163</w:t>
                  </w:r>
                </w:p>
              </w:tc>
              <w:tc>
                <w:tcPr>
                  <w:tcW w:type="auto" w:w="0"/>
                  <w:shd w:val="clear" w:color="auto" w:fill="F0F0F0"/>
                </w:tcPr>
                <w:p>
                  <w:pPr>
                    <w:pStyle w:val="Normal"/>
                    <w:keepLines w:val="on"/>
                  </w:pPr>
                  <w:r>
                    <w:t>$470</w:t>
                  </w:r>
                </w:p>
              </w:tc>
              <w:tc>
                <w:tcPr>
                  <w:tcW w:type="auto" w:w="0"/>
                  <w:shd w:val="clear" w:color="auto" w:fill="F0F0F0"/>
                </w:tcPr>
                <w:p>
                  <w:pPr>
                    <w:pStyle w:val="Normal"/>
                    <w:keepLines w:val="on"/>
                  </w:pPr>
                  <w:r>
                    <w:t>$307</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$11,635</w:t>
                  </w:r>
                </w:p>
              </w:tc>
              <w:tc>
                <w:tcPr>
                  <w:tcW w:type="auto" w:w="0"/>
                  <w:shd w:val="clear" w:color="auto" w:fill="F0F0F0"/>
                </w:tcPr>
                <w:p>
                  <w:pPr>
                    <w:pStyle w:val="Normal"/>
                    <w:keepLines w:val="on"/>
                  </w:pPr>
                  <w:r>
                    <w:t>$13,673</w:t>
                  </w:r>
                </w:p>
              </w:tc>
              <w:tc>
                <w:tcPr>
                  <w:tcW w:type="auto" w:w="0"/>
                  <w:shd w:val="clear" w:color="auto" w:fill="F0F0F0"/>
                </w:tcPr>
                <w:p>
                  <w:pPr>
                    <w:pStyle w:val="Normal"/>
                    <w:keepLines w:val="on"/>
                  </w:pPr>
                  <w:r>
                    <w:t>$2,038</w:t>
                  </w:r>
                </w:p>
              </w:tc>
            </w:tr>
            <w:tr>
              <w:tc>
                <w:tcPr>
                  <w:tcW w:type="auto" w:w="0"/>
                  <w:shd w:val="clear" w:color="auto" w:fill="F0F0F0"/>
                </w:tcPr>
                <w:p>
                  <w:pPr>
                    <w:pStyle w:val="Para 02"/>
                    <w:keepLines w:val="on"/>
                  </w:pPr>
                  <w:r>
                    <w:t>Vốn lưu động phi tiền mặt tính theo % doanh thu</w:t>
                  </w:r>
                </w:p>
              </w:tc>
              <w:tc>
                <w:tcPr>
                  <w:tcW w:type="auto" w:w="0"/>
                  <w:shd w:val="clear" w:color="auto" w:fill="F0F0F0"/>
                </w:tcPr>
                <w:p>
                  <w:pPr>
                    <w:pStyle w:val="Normal"/>
                    <w:keepLines w:val="on"/>
                  </w:pPr>
                  <w:r>
                    <w:t>1.40%</w:t>
                  </w:r>
                </w:p>
              </w:tc>
              <w:tc>
                <w:tcPr>
                  <w:tcW w:type="auto" w:w="0"/>
                  <w:shd w:val="clear" w:color="auto" w:fill="F0F0F0"/>
                </w:tcPr>
                <w:p>
                  <w:pPr>
                    <w:pStyle w:val="Normal"/>
                    <w:keepLines w:val="on"/>
                  </w:pPr>
                  <w:r>
                    <w:t>3.44%</w:t>
                  </w:r>
                </w:p>
              </w:tc>
              <w:tc>
                <w:tcPr>
                  <w:tcW w:type="auto" w:w="0"/>
                  <w:shd w:val="clear" w:color="auto" w:fill="F0F0F0"/>
                </w:tcPr>
                <w:p>
                  <w:pPr>
                    <w:pStyle w:val="Normal"/>
                    <w:keepLines w:val="on"/>
                  </w:pPr>
                  <w:r>
                    <w:t>15,06%</w:t>
                  </w:r>
                </w:p>
              </w:tc>
            </w:tr>
          </w:tbl>
          <w:p/>
        </w:tc>
      </w:tr>
    </w:tbl>
    <w:p>
      <w:pPr>
        <w:pStyle w:val="Para 04"/>
        <w:keepLines w:val="on"/>
      </w:pPr>
      <w:r>
        <w:t>Vốn lưu động phi tiền mặt (noncash working capital) đã tăng 307 triệu đô la từ năm trước sang năm nay. Khi dự báo nhu cầu vốn lưu động phi tiền mặt cho Gap, có năm lựa chọn:</w:t>
      </w:r>
    </w:p>
    <w:p>
      <w:pPr>
        <w:numPr>
          <w:ilvl w:val="0"/>
          <w:numId w:val="92"/>
        </w:numPr>
        <w:pStyle w:val="Para 18"/>
        <w:keepLines w:val="on"/>
      </w:pPr>
      <w:r>
        <w:t>Một là sử dụng mức thay đổi vốn lưu động phi tiền mặt của năm nay (307 triệu đô la) và tăng mức thay đổi đó theo cùng tốc độ mà lợi nhuận được kỳ vọng sẽ tăng trong tương lai. Đây có lẽ là lựa chọn ít mong muốn nhất vì mức thay đổi vốn lưu động phi tiền mặt giữa các năm cực kỳ biến động, và mức thay đổi của năm ngoái thực tế có thể là một giá trị ngoại lai (outlier).</w:t>
      </w:r>
    </w:p>
    <w:p>
      <w:pPr>
        <w:numPr>
          <w:ilvl w:val="0"/>
          <w:numId w:val="92"/>
        </w:numPr>
        <w:pStyle w:val="Para 18"/>
        <w:keepLines w:val="on"/>
      </w:pPr>
      <w:r>
        <w:t>Cách thứ hai là dựa mức thay đổi của chúng ta trên vốn lưu động phi tiền mặt tính theo tỷ lệ phần trăm doanh thu của năm gần nhất và tốc độ tăng trưởng doanh thu kỳ vọng trong các năm tới. Trong trường hợp của Gap, điều đó cho thấy mức thay đổi vốn lưu động phi tiền mặt trong các năm tới sẽ bằng 3,44% mức thay đổi doanh thu của năm đó. Đây là một lựa chọn tốt hơn nhiều so với cách thứ nhất, nhưng vốn lưu động phi tiền mặt tính theo tỷ lệ phần trăm doanh thu cũng có thể thay đổi từ năm này sang năm khác.</w:t>
      </w:r>
    </w:p>
    <w:p>
      <w:pPr>
        <w:numPr>
          <w:ilvl w:val="0"/>
          <w:numId w:val="92"/>
        </w:numPr>
        <w:pStyle w:val="Para 18"/>
        <w:keepLines w:val="on"/>
      </w:pPr>
      <w:r>
        <w:t>Cách thứ ba là dựa mức thay đổi của chúng ta trên vốn lưu động phi tiền mặt biên (marginal noncash working capital) tính theo tỷ lệ phần trăm doanh thu của năm gần nhất, được tính bằng cách lấy mức thay đổi vốn lưu động phi tiền mặt của năm gần nhất chia cho mức thay đổi doanh thu của năm gần nhất, rồi áp dụng cho tốc độ tăng trưởng doanh thu kỳ vọng trong các năm tới. Trong trường hợp của Gap, điều này dẫn đến mức thay đổi vốn lưu động phi tiền mặt bằng 15,06% doanh thu trong các giai đoạn tới. Cách tiếp cận này phù hợp nhất với những công ty có hoạt động kinh doanh đang thay đổi và nơi tăng trưởng đang diễn ra ở những lĩnh vực khác với trước đây. Ví dụ, một nhà bán lẻ truyền thống (brick-and-mortar retailer) đang tăng trưởng chủ yếu qua kênh trực tuyến có thể có nhu cầu vốn lưu động biên rất khác so với tổng thể.</w:t>
      </w:r>
    </w:p>
    <w:p>
      <w:pPr>
        <w:numPr>
          <w:ilvl w:val="0"/>
          <w:numId w:val="92"/>
        </w:numPr>
        <w:pStyle w:val="Para 18"/>
        <w:keepLines w:val="on"/>
      </w:pPr>
      <w:r>
        <w:t>Cách thứ tư là dựa mức thay đổi của chúng ta trên vốn lưu động phi tiền mặt tính theo tỷ lệ phần trăm doanh thu trong một giai đoạn lịch sử. Ví dụ, vốn lưu động phi tiền mặt tính theo tỷ lệ phần trăm doanh thu trong giai đoạn 1997 đến 2000 bình quân là 4,5% doanh thu. Ưu điểm của cách tiếp cận này là nó làm mượt những biến động giữa các năm, nhưng có thể không phù hợp nếu có một xu hướng (tăng hoặc giảm) trong vốn lưu động.</w:t>
      </w:r>
    </w:p>
    <w:p>
      <w:pPr>
        <w:numPr>
          <w:ilvl w:val="0"/>
          <w:numId w:val="92"/>
        </w:numPr>
        <w:pStyle w:val="Para 18"/>
        <w:keepLines w:val="on"/>
      </w:pPr>
      <w:r>
        <w:t>Cách tiếp cận cuối cùng là bỏ qua lịch sử vốn lưu động của công ty và dựa các dự báo trên mức trung bình ngành của vốn lưu động phi tiền mặt tính theo tỷ lệ phần trăm doanh thu. Cách tiếp cận này phù hợp nhất khi lịch sử của một công ty cho thấy vốn lưu động biến động thất thường và khó dự đoán. Đây cũng là cách tốt nhất để ước tính vốn lưu động phi tiền mặt cho những công ty rất nhỏ, những công ty có thể đạt được lợi thế kinh tế theo quy mô (economies of scale) khi phát triển. Mặc dù những điều kiện này không áp dụng cho Gap, chúng ta vẫn có thể ước tính nhu cầu vốn lưu động phi tiền mặt bằng cách sử dụng vốn lưu động phi tiền mặt trung bình tính theo tỷ lệ phần trăm doanh thu của các nhà bán lẻ chuyên biệt (specialty retailers), con số này là 7,54%.</w:t>
      </w:r>
    </w:p>
    <w:p>
      <w:pPr>
        <w:pStyle w:val="Para 04"/>
        <w:keepLines w:val="on"/>
      </w:pPr>
      <w:r>
        <w:t>Để minh họa mỗi giả định này có thể tạo ra mức thay đổi lớn đến mức nào đối với nhu cầu vốn lưu động, bảng sau đây dự báo mức thay đổi kỳ vọng của vốn lưu động phi tiền mặt (WC) khi sử dụng từng cách. Khi đưa ra những ước tính này, chúng ta đã giả định tốc độ tăng trưởng doanh thu và lợi nhuận của Gap là 10% trong năm năm tới.</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Hiện tại</w:t>
                  </w: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$13.673,00</w:t>
                  </w:r>
                </w:p>
              </w:tc>
              <w:tc>
                <w:tcPr>
                  <w:tcW w:type="auto" w:w="0"/>
                  <w:shd w:val="clear" w:color="auto" w:fill="F0F0F0"/>
                </w:tcPr>
                <w:p>
                  <w:pPr>
                    <w:pStyle w:val="Normal"/>
                    <w:keepLines w:val="on"/>
                  </w:pPr>
                  <w:r>
                    <w:t>$15.040,30</w:t>
                  </w:r>
                </w:p>
              </w:tc>
              <w:tc>
                <w:tcPr>
                  <w:tcW w:type="auto" w:w="0"/>
                  <w:shd w:val="clear" w:color="auto" w:fill="F0F0F0"/>
                </w:tcPr>
                <w:p>
                  <w:pPr>
                    <w:pStyle w:val="Normal"/>
                    <w:keepLines w:val="on"/>
                  </w:pPr>
                  <w:r>
                    <w:t>$16.544,33</w:t>
                  </w:r>
                </w:p>
              </w:tc>
              <w:tc>
                <w:tcPr>
                  <w:tcW w:type="auto" w:w="0"/>
                  <w:shd w:val="clear" w:color="auto" w:fill="F0F0F0"/>
                </w:tcPr>
                <w:p>
                  <w:pPr>
                    <w:pStyle w:val="Normal"/>
                    <w:keepLines w:val="on"/>
                  </w:pPr>
                  <w:r>
                    <w:t>$18.198,76</w:t>
                  </w:r>
                </w:p>
              </w:tc>
              <w:tc>
                <w:tcPr>
                  <w:tcW w:type="auto" w:w="0"/>
                  <w:shd w:val="clear" w:color="auto" w:fill="F0F0F0"/>
                </w:tcPr>
                <w:p>
                  <w:pPr>
                    <w:pStyle w:val="Normal"/>
                    <w:keepLines w:val="on"/>
                  </w:pPr>
                  <w:r>
                    <w:t>$20.018,64</w:t>
                  </w:r>
                </w:p>
              </w:tc>
              <w:tc>
                <w:tcPr>
                  <w:tcW w:type="auto" w:w="0"/>
                  <w:shd w:val="clear" w:color="auto" w:fill="F0F0F0"/>
                </w:tcPr>
                <w:p>
                  <w:pPr>
                    <w:pStyle w:val="Normal"/>
                    <w:keepLines w:val="on"/>
                  </w:pPr>
                  <w:r>
                    <w:t>$22.020,50</w:t>
                  </w:r>
                </w:p>
              </w:tc>
            </w:tr>
            <w:tr>
              <w:tc>
                <w:tcPr>
                  <w:tcW w:type="auto" w:w="0"/>
                  <w:shd w:val="clear" w:color="auto" w:fill="F0F0F0"/>
                </w:tcPr>
                <w:p>
                  <w:pPr>
                    <w:pStyle w:val="Para 02"/>
                    <w:keepLines w:val="on"/>
                  </w:pPr>
                  <w:r>
                    <w:t>Thay đổi doanh thu</w:t>
                  </w:r>
                </w:p>
              </w:tc>
              <w:tc>
                <w:tcPr>
                  <w:tcW w:type="auto" w:w="0"/>
                  <w:shd w:val="clear" w:color="auto" w:fill="F0F0F0"/>
                </w:tcPr>
                <w:p>
                  <w:pPr>
                    <w:pStyle w:val="7 Block"/>
                    <w:keepLines w:val="on"/>
                  </w:pPr>
                </w:p>
              </w:tc>
              <w:tc>
                <w:tcPr>
                  <w:tcW w:type="auto" w:w="0"/>
                  <w:shd w:val="clear" w:color="auto" w:fill="F0F0F0"/>
                </w:tcPr>
                <w:p>
                  <w:pPr>
                    <w:pStyle w:val="Normal"/>
                    <w:keepLines w:val="on"/>
                  </w:pPr>
                  <w:r>
                    <w:t>$1.367,30</w:t>
                  </w:r>
                </w:p>
              </w:tc>
              <w:tc>
                <w:tcPr>
                  <w:tcW w:type="auto" w:w="0"/>
                  <w:shd w:val="clear" w:color="auto" w:fill="F0F0F0"/>
                </w:tcPr>
                <w:p>
                  <w:pPr>
                    <w:pStyle w:val="Normal"/>
                    <w:keepLines w:val="on"/>
                  </w:pPr>
                  <w:r>
                    <w:t>$1.504,03</w:t>
                  </w:r>
                </w:p>
              </w:tc>
              <w:tc>
                <w:tcPr>
                  <w:tcW w:type="auto" w:w="0"/>
                  <w:shd w:val="clear" w:color="auto" w:fill="F0F0F0"/>
                </w:tcPr>
                <w:p>
                  <w:pPr>
                    <w:pStyle w:val="Normal"/>
                    <w:keepLines w:val="on"/>
                  </w:pPr>
                  <w:r>
                    <w:t>$1.654,43</w:t>
                  </w:r>
                </w:p>
              </w:tc>
              <w:tc>
                <w:tcPr>
                  <w:tcW w:type="auto" w:w="0"/>
                  <w:shd w:val="clear" w:color="auto" w:fill="F0F0F0"/>
                </w:tcPr>
                <w:p>
                  <w:pPr>
                    <w:pStyle w:val="Normal"/>
                    <w:keepLines w:val="on"/>
                  </w:pPr>
                  <w:r>
                    <w:t>$1.819,88</w:t>
                  </w:r>
                </w:p>
              </w:tc>
              <w:tc>
                <w:tcPr>
                  <w:tcW w:type="auto" w:w="0"/>
                  <w:shd w:val="clear" w:color="auto" w:fill="F0F0F0"/>
                </w:tcPr>
                <w:p>
                  <w:pPr>
                    <w:pStyle w:val="Normal"/>
                    <w:keepLines w:val="on"/>
                  </w:pPr>
                  <w:r>
                    <w:t>$2.001,86</w:t>
                  </w:r>
                </w:p>
              </w:tc>
            </w:tr>
            <w:tr>
              <w:tc>
                <w:tcPr>
                  <w:tcW w:type="auto" w:w="0"/>
                  <w:shd w:val="clear" w:color="auto" w:fill="F0F0F0"/>
                </w:tcPr>
                <w:p>
                  <w:pPr>
                    <w:pStyle w:val="Para 02"/>
                    <w:keepLines w:val="on"/>
                  </w:pPr>
                  <w:r>
                    <w:t>1. Thay đổi vốn lưu động phi tiền mặt (noncash WC)</w:t>
                  </w:r>
                </w:p>
              </w:tc>
              <w:tc>
                <w:tcPr>
                  <w:tcW w:type="auto" w:w="0"/>
                  <w:shd w:val="clear" w:color="auto" w:fill="F0F0F0"/>
                </w:tcPr>
                <w:p>
                  <w:pPr>
                    <w:pStyle w:val="Normal"/>
                    <w:keepLines w:val="on"/>
                  </w:pPr>
                  <w:r>
                    <w:t>$307,00</w:t>
                  </w:r>
                </w:p>
              </w:tc>
              <w:tc>
                <w:tcPr>
                  <w:tcW w:type="auto" w:w="0"/>
                  <w:shd w:val="clear" w:color="auto" w:fill="F0F0F0"/>
                </w:tcPr>
                <w:p>
                  <w:pPr>
                    <w:pStyle w:val="Normal"/>
                    <w:keepLines w:val="on"/>
                  </w:pPr>
                  <w:r>
                    <w:t>$337,70</w:t>
                  </w:r>
                </w:p>
              </w:tc>
              <w:tc>
                <w:tcPr>
                  <w:tcW w:type="auto" w:w="0"/>
                  <w:shd w:val="clear" w:color="auto" w:fill="F0F0F0"/>
                </w:tcPr>
                <w:p>
                  <w:pPr>
                    <w:pStyle w:val="Normal"/>
                    <w:keepLines w:val="on"/>
                  </w:pPr>
                  <w:r>
                    <w:t>$371,47</w:t>
                  </w:r>
                </w:p>
              </w:tc>
              <w:tc>
                <w:tcPr>
                  <w:tcW w:type="auto" w:w="0"/>
                  <w:shd w:val="clear" w:color="auto" w:fill="F0F0F0"/>
                </w:tcPr>
                <w:p>
                  <w:pPr>
                    <w:pStyle w:val="Normal"/>
                    <w:keepLines w:val="on"/>
                  </w:pPr>
                  <w:r>
                    <w:t>$408,62</w:t>
                  </w:r>
                </w:p>
              </w:tc>
              <w:tc>
                <w:tcPr>
                  <w:tcW w:type="auto" w:w="0"/>
                  <w:shd w:val="clear" w:color="auto" w:fill="F0F0F0"/>
                </w:tcPr>
                <w:p>
                  <w:pPr>
                    <w:pStyle w:val="Normal"/>
                    <w:keepLines w:val="on"/>
                  </w:pPr>
                  <w:r>
                    <w:t>$449,48</w:t>
                  </w:r>
                </w:p>
              </w:tc>
              <w:tc>
                <w:tcPr>
                  <w:tcW w:type="auto" w:w="0"/>
                  <w:shd w:val="clear" w:color="auto" w:fill="F0F0F0"/>
                </w:tcPr>
                <w:p>
                  <w:pPr>
                    <w:pStyle w:val="Normal"/>
                    <w:keepLines w:val="on"/>
                  </w:pPr>
                  <w:r>
                    <w:t>$494,43</w:t>
                  </w:r>
                </w:p>
              </w:tc>
            </w:tr>
            <w:tr>
              <w:tc>
                <w:tcPr>
                  <w:tcW w:type="auto" w:w="0"/>
                  <w:shd w:val="clear" w:color="auto" w:fill="F0F0F0"/>
                </w:tcPr>
                <w:p>
                  <w:pPr>
                    <w:pStyle w:val="Para 02"/>
                    <w:keepLines w:val="on"/>
                  </w:pPr>
                  <w:r>
                    <w:t>2. Hiện tại: Vốn lưu động/Doanh thu (WC/revenues)</w:t>
                  </w:r>
                </w:p>
              </w:tc>
              <w:tc>
                <w:tcPr>
                  <w:tcW w:type="auto" w:w="0"/>
                  <w:shd w:val="clear" w:color="auto" w:fill="F0F0F0"/>
                </w:tcPr>
                <w:p>
                  <w:pPr>
                    <w:pStyle w:val="Normal"/>
                    <w:keepLines w:val="on"/>
                  </w:pPr>
                  <w:r>
                    <w:t>3,44%</w:t>
                  </w:r>
                </w:p>
              </w:tc>
              <w:tc>
                <w:tcPr>
                  <w:tcW w:type="auto" w:w="0"/>
                  <w:shd w:val="clear" w:color="auto" w:fill="F0F0F0"/>
                </w:tcPr>
                <w:p>
                  <w:pPr>
                    <w:pStyle w:val="Normal"/>
                    <w:keepLines w:val="on"/>
                  </w:pPr>
                  <w:r>
                    <w:t>$47,00</w:t>
                  </w:r>
                </w:p>
              </w:tc>
              <w:tc>
                <w:tcPr>
                  <w:tcW w:type="auto" w:w="0"/>
                  <w:shd w:val="clear" w:color="auto" w:fill="F0F0F0"/>
                </w:tcPr>
                <w:p>
                  <w:pPr>
                    <w:pStyle w:val="Normal"/>
                    <w:keepLines w:val="on"/>
                  </w:pPr>
                  <w:r>
                    <w:t>$51,70</w:t>
                  </w:r>
                </w:p>
              </w:tc>
              <w:tc>
                <w:tcPr>
                  <w:tcW w:type="auto" w:w="0"/>
                  <w:shd w:val="clear" w:color="auto" w:fill="F0F0F0"/>
                </w:tcPr>
                <w:p>
                  <w:pPr>
                    <w:pStyle w:val="Normal"/>
                    <w:keepLines w:val="on"/>
                  </w:pPr>
                  <w:r>
                    <w:t>$56,87</w:t>
                  </w:r>
                </w:p>
              </w:tc>
              <w:tc>
                <w:tcPr>
                  <w:tcW w:type="auto" w:w="0"/>
                  <w:shd w:val="clear" w:color="auto" w:fill="F0F0F0"/>
                </w:tcPr>
                <w:p>
                  <w:pPr>
                    <w:pStyle w:val="Normal"/>
                    <w:keepLines w:val="on"/>
                  </w:pPr>
                  <w:r>
                    <w:t>$62,56</w:t>
                  </w:r>
                </w:p>
              </w:tc>
              <w:tc>
                <w:tcPr>
                  <w:tcW w:type="auto" w:w="0"/>
                  <w:shd w:val="clear" w:color="auto" w:fill="F0F0F0"/>
                </w:tcPr>
                <w:p>
                  <w:pPr>
                    <w:pStyle w:val="Normal"/>
                    <w:keepLines w:val="on"/>
                  </w:pPr>
                  <w:r>
                    <w:t>$68,81</w:t>
                  </w:r>
                </w:p>
              </w:tc>
            </w:tr>
            <w:tr>
              <w:tc>
                <w:tcPr>
                  <w:tcW w:type="auto" w:w="0"/>
                  <w:shd w:val="clear" w:color="auto" w:fill="F0F0F0"/>
                </w:tcPr>
                <w:p>
                  <w:pPr>
                    <w:pStyle w:val="Para 02"/>
                    <w:keepLines w:val="on"/>
                  </w:pPr>
                  <w:r>
                    <w:t>3. Biên: Vốn lưu động/Doanh thu (WC/revenues)</w:t>
                  </w:r>
                </w:p>
              </w:tc>
              <w:tc>
                <w:tcPr>
                  <w:tcW w:type="auto" w:w="0"/>
                  <w:shd w:val="clear" w:color="auto" w:fill="F0F0F0"/>
                </w:tcPr>
                <w:p>
                  <w:pPr>
                    <w:pStyle w:val="Normal"/>
                    <w:keepLines w:val="on"/>
                  </w:pPr>
                  <w:r>
                    <w:t>15,06%</w:t>
                  </w:r>
                </w:p>
              </w:tc>
              <w:tc>
                <w:tcPr>
                  <w:tcW w:type="auto" w:w="0"/>
                  <w:shd w:val="clear" w:color="auto" w:fill="F0F0F0"/>
                </w:tcPr>
                <w:p>
                  <w:pPr>
                    <w:pStyle w:val="Normal"/>
                    <w:keepLines w:val="on"/>
                  </w:pPr>
                  <w:r>
                    <w:t>$205,97</w:t>
                  </w:r>
                </w:p>
              </w:tc>
              <w:tc>
                <w:tcPr>
                  <w:tcW w:type="auto" w:w="0"/>
                  <w:shd w:val="clear" w:color="auto" w:fill="F0F0F0"/>
                </w:tcPr>
                <w:p>
                  <w:pPr>
                    <w:pStyle w:val="Normal"/>
                    <w:keepLines w:val="on"/>
                  </w:pPr>
                  <w:r>
                    <w:t>$226,56</w:t>
                  </w:r>
                </w:p>
              </w:tc>
              <w:tc>
                <w:tcPr>
                  <w:tcW w:type="auto" w:w="0"/>
                  <w:shd w:val="clear" w:color="auto" w:fill="F0F0F0"/>
                </w:tcPr>
                <w:p>
                  <w:pPr>
                    <w:pStyle w:val="Normal"/>
                    <w:keepLines w:val="on"/>
                  </w:pPr>
                  <w:r>
                    <w:t>$249,22</w:t>
                  </w:r>
                </w:p>
              </w:tc>
              <w:tc>
                <w:tcPr>
                  <w:tcW w:type="auto" w:w="0"/>
                  <w:shd w:val="clear" w:color="auto" w:fill="F0F0F0"/>
                </w:tcPr>
                <w:p>
                  <w:pPr>
                    <w:pStyle w:val="Normal"/>
                    <w:keepLines w:val="on"/>
                  </w:pPr>
                  <w:r>
                    <w:t>$274,14</w:t>
                  </w:r>
                </w:p>
              </w:tc>
              <w:tc>
                <w:tcPr>
                  <w:tcW w:type="auto" w:w="0"/>
                  <w:shd w:val="clear" w:color="auto" w:fill="F0F0F0"/>
                </w:tcPr>
                <w:p>
                  <w:pPr>
                    <w:pStyle w:val="Normal"/>
                    <w:keepLines w:val="on"/>
                  </w:pPr>
                  <w:r>
                    <w:t>$301,56</w:t>
                  </w:r>
                </w:p>
              </w:tc>
            </w:tr>
            <w:tr>
              <w:tc>
                <w:tcPr>
                  <w:tcW w:type="auto" w:w="0"/>
                  <w:shd w:val="clear" w:color="auto" w:fill="F0F0F0"/>
                </w:tcPr>
                <w:p>
                  <w:pPr>
                    <w:pStyle w:val="Para 02"/>
                    <w:keepLines w:val="on"/>
                  </w:pPr>
                  <w:r>
                    <w:t>4. Bình quân lịch sử</w:t>
                  </w:r>
                </w:p>
              </w:tc>
              <w:tc>
                <w:tcPr>
                  <w:tcW w:type="auto" w:w="0"/>
                  <w:shd w:val="clear" w:color="auto" w:fill="F0F0F0"/>
                </w:tcPr>
                <w:p>
                  <w:pPr>
                    <w:pStyle w:val="Normal"/>
                    <w:keepLines w:val="on"/>
                  </w:pPr>
                  <w:r>
                    <w:t>4,50%</w:t>
                  </w:r>
                </w:p>
              </w:tc>
              <w:tc>
                <w:tcPr>
                  <w:tcW w:type="auto" w:w="0"/>
                  <w:shd w:val="clear" w:color="auto" w:fill="F0F0F0"/>
                </w:tcPr>
                <w:p>
                  <w:pPr>
                    <w:pStyle w:val="Normal"/>
                    <w:keepLines w:val="on"/>
                  </w:pPr>
                  <w:r>
                    <w:t>$61,53</w:t>
                  </w:r>
                </w:p>
              </w:tc>
              <w:tc>
                <w:tcPr>
                  <w:tcW w:type="auto" w:w="0"/>
                  <w:shd w:val="clear" w:color="auto" w:fill="F0F0F0"/>
                </w:tcPr>
                <w:p>
                  <w:pPr>
                    <w:pStyle w:val="Normal"/>
                    <w:keepLines w:val="on"/>
                  </w:pPr>
                  <w:r>
                    <w:t>$67,68</w:t>
                  </w:r>
                </w:p>
              </w:tc>
              <w:tc>
                <w:tcPr>
                  <w:tcW w:type="auto" w:w="0"/>
                  <w:shd w:val="clear" w:color="auto" w:fill="F0F0F0"/>
                </w:tcPr>
                <w:p>
                  <w:pPr>
                    <w:pStyle w:val="Normal"/>
                    <w:keepLines w:val="on"/>
                  </w:pPr>
                  <w:r>
                    <w:t>$74,45</w:t>
                  </w:r>
                </w:p>
              </w:tc>
              <w:tc>
                <w:tcPr>
                  <w:tcW w:type="auto" w:w="0"/>
                  <w:shd w:val="clear" w:color="auto" w:fill="F0F0F0"/>
                </w:tcPr>
                <w:p>
                  <w:pPr>
                    <w:pStyle w:val="Normal"/>
                    <w:keepLines w:val="on"/>
                  </w:pPr>
                  <w:r>
                    <w:t>$81,89</w:t>
                  </w:r>
                </w:p>
              </w:tc>
              <w:tc>
                <w:tcPr>
                  <w:tcW w:type="auto" w:w="0"/>
                  <w:shd w:val="clear" w:color="auto" w:fill="F0F0F0"/>
                </w:tcPr>
                <w:p>
                  <w:pPr>
                    <w:pStyle w:val="Normal"/>
                    <w:keepLines w:val="on"/>
                  </w:pPr>
                  <w:r>
                    <w:t>$90,08</w:t>
                  </w:r>
                </w:p>
              </w:tc>
            </w:tr>
            <w:tr>
              <w:tc>
                <w:tcPr>
                  <w:tcW w:type="auto" w:w="0"/>
                  <w:shd w:val="clear" w:color="auto" w:fill="F0F0F0"/>
                </w:tcPr>
                <w:p>
                  <w:pPr>
                    <w:pStyle w:val="Para 02"/>
                    <w:keepLines w:val="on"/>
                  </w:pPr>
                  <w:r>
                    <w:t>5. Mức trung bình ngành</w:t>
                  </w:r>
                </w:p>
              </w:tc>
              <w:tc>
                <w:tcPr>
                  <w:tcW w:type="auto" w:w="0"/>
                  <w:shd w:val="clear" w:color="auto" w:fill="F0F0F0"/>
                </w:tcPr>
                <w:p>
                  <w:pPr>
                    <w:pStyle w:val="Normal"/>
                    <w:keepLines w:val="on"/>
                  </w:pPr>
                  <w:r>
                    <w:t>7,54%</w:t>
                  </w:r>
                </w:p>
              </w:tc>
              <w:tc>
                <w:tcPr>
                  <w:tcW w:type="auto" w:w="0"/>
                  <w:shd w:val="clear" w:color="auto" w:fill="F0F0F0"/>
                </w:tcPr>
                <w:p>
                  <w:pPr>
                    <w:pStyle w:val="Normal"/>
                    <w:keepLines w:val="on"/>
                  </w:pPr>
                  <w:r>
                    <w:t>$103,09</w:t>
                  </w:r>
                </w:p>
              </w:tc>
              <w:tc>
                <w:tcPr>
                  <w:tcW w:type="auto" w:w="0"/>
                  <w:shd w:val="clear" w:color="auto" w:fill="F0F0F0"/>
                </w:tcPr>
                <w:p>
                  <w:pPr>
                    <w:pStyle w:val="Normal"/>
                    <w:keepLines w:val="on"/>
                  </w:pPr>
                  <w:r>
                    <w:t>$113,40</w:t>
                  </w:r>
                </w:p>
              </w:tc>
              <w:tc>
                <w:tcPr>
                  <w:tcW w:type="auto" w:w="0"/>
                  <w:shd w:val="clear" w:color="auto" w:fill="F0F0F0"/>
                </w:tcPr>
                <w:p>
                  <w:pPr>
                    <w:pStyle w:val="Normal"/>
                    <w:keepLines w:val="on"/>
                  </w:pPr>
                  <w:r>
                    <w:t>$124,74</w:t>
                  </w:r>
                </w:p>
              </w:tc>
              <w:tc>
                <w:tcPr>
                  <w:tcW w:type="auto" w:w="0"/>
                  <w:shd w:val="clear" w:color="auto" w:fill="F0F0F0"/>
                </w:tcPr>
                <w:p>
                  <w:pPr>
                    <w:pStyle w:val="Normal"/>
                    <w:keepLines w:val="on"/>
                  </w:pPr>
                  <w:r>
                    <w:t>$137,22</w:t>
                  </w:r>
                </w:p>
              </w:tc>
              <w:tc>
                <w:tcPr>
                  <w:tcW w:type="auto" w:w="0"/>
                  <w:shd w:val="clear" w:color="auto" w:fill="F0F0F0"/>
                </w:tcPr>
                <w:p>
                  <w:pPr>
                    <w:pStyle w:val="Normal"/>
                    <w:keepLines w:val="on"/>
                  </w:pPr>
                  <w:r>
                    <w:t>$150,94</w:t>
                  </w:r>
                </w:p>
              </w:tc>
            </w:tr>
          </w:tbl>
          <w:p/>
        </w:tc>
      </w:tr>
    </w:tbl>
    <w:p>
      <w:pPr>
        <w:pStyle w:val="Para 04"/>
        <w:keepLines w:val="on"/>
      </w:pPr>
      <w:r>
        <w:t>Khoản đầu tư vào vốn lưu động phi tiền mặt (noncash working capital) thay đổi rất khác nhau giữa năm cách tiếp cận đã được trình bày ở đây.</w:t>
      </w:r>
    </w:p>
    <w:p>
      <w:bookmarkStart w:id="1826" w:name="Negative_Working_Capital__or_Cha"/>
      <w:bookmarkStart w:id="1827" w:name="Negative_Working_Capital__or_Cha_1"/>
      <w:pPr>
        <w:keepNext/>
        <w:pStyle w:val="Heading 4"/>
        <w:keepLines w:val="on"/>
      </w:pPr>
      <w:r>
        <w:t>Vốn lưu động âm (hoặc thay đổi âm)</w:t>
      </w:r>
      <w:bookmarkEnd w:id="1826"/>
      <w:bookmarkEnd w:id="1827"/>
    </w:p>
    <w:p>
      <w:pPr>
        <w:pStyle w:val="Para 03"/>
      </w:pPr>
      <w:r>
        <w:t>Liệu sự thay đổi trong vốn lưu động phi tiền mặt có thể âm không? Câu trả lời rõ ràng là có. Tuy nhiên, hãy xem xét những hàm ý của sự thay đổi như vậy. Khi vốn lưu động phi tiền mặt giảm, nó giải phóng lượng tiền mặt đang bị "giam" và làm tăng dòng tiền của doanh nghiệp. Nếu một doanh nghiệp có hàng tồn kho cồng kềnh hoặc cấp tín dụng quá dễ dãi, việc quản lý một hoặc cả hai thành phần này hiệu quả hơn có thể làm giảm vốn lưu động và trở thành nguồn dòng tiền dương trong tương lai gần — ba, bốn, thậm chí năm năm. Tuy nhiên, câu hỏi đặt ra là liệu nó có thể là nguồn dòng tiền lâu hơn thế không. Đến một thời điểm nào đó, sẽ không còn sự kém hiệu quả nào trong hệ thống nữa, và bất kỳ sự giảm vốn lưu động nào tiếp theo đều có thể gây hậu quả tiêu cực cho tăng trưởng doanh thu và lợi nhuận. Do đó, có vẻ như đối với các doanh nghiệp có vốn lưu động dương, việc giảm vốn lưu động chỉ khả thi trong ngắn hạn. Trên thực tế, một khi vốn lưu động đã được quản lý hiệu quả, sự thay đổi vốn lưu động từ năm này sang năm khác nên được ước tính bằng cách dùng vốn lưu động như một tỷ lệ phần trăm của doanh thu. Ví dụ, hãy xem xét một doanh nghiệp có vốn lưu động phi tiền mặt chiếm 10 phần trăm doanh thu và bạn tin rằng việc quản lý vốn lưu động tốt hơn có thể giảm con số này xuống 6 phần trăm doanh thu. Bạn có thể cho phép vốn lưu động giảm mỗi năm trong bốn năm tới từ 10 phần trăm xuống 6 phần trăm, và một khi đã điều chỉnh xong, bắt đầu ước tính nhu cầu vốn lưu động mỗi năm bằng 6 phần trăm của doanh thu tăng thêm. Bảng sau đây cung cấp các ước tính về sự thay đổi vốn lưu động phi tiền mặt của doanh nghiệp này, giả định rằng doanh thu hiện tại là 1 tỷ đô la và doanh thu dự kiến tăng 10 phần trăm mỗi năm trong 15 năm tới.</w:t>
      </w:r>
    </w:p>
    <w:tbl>
      <w:tblPr>
        <w:tblW w:type="auto" w:w="0"/>
      </w:tblPr>
      <w:tr>
        <w:tc>
          <w:tcPr>
            <w:tcW w:type="auto" w:w="0"/>
          </w:tcPr>
          <w:tbl>
            <w:tblPr>
              <w:tblW w:type="auto" w:w="0"/>
            </w:tblPr>
            <w:tr>
              <w:tc>
                <w:tcPr>
                  <w:tcW w:type="auto" w:w="0"/>
                  <w:shd w:val="clear" w:color="auto" w:fill="F0F0F0"/>
                </w:tcPr>
                <w:p>
                  <w:pPr>
                    <w:pStyle w:val="Para 32"/>
                    <w:keepLines w:val="on"/>
                  </w:pPr>
                  <w:r>
                    <w:t>Năm</w:t>
                  </w:r>
                </w:p>
              </w:tc>
              <w:tc>
                <w:tcPr>
                  <w:tcW w:type="auto" w:w="0"/>
                  <w:shd w:val="clear" w:color="auto" w:fill="F0F0F0"/>
                </w:tcPr>
                <w:p>
                  <w:pPr>
                    <w:pStyle w:val="Para 05"/>
                    <w:keepLines w:val="on"/>
                  </w:pPr>
                  <w:r>
                    <w:t>Hiện tại</w:t>
                  </w: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$1.000,00</w:t>
                  </w:r>
                </w:p>
              </w:tc>
              <w:tc>
                <w:tcPr>
                  <w:tcW w:type="auto" w:w="0"/>
                  <w:shd w:val="clear" w:color="auto" w:fill="F0F0F0"/>
                </w:tcPr>
                <w:p>
                  <w:pPr>
                    <w:pStyle w:val="Normal"/>
                    <w:keepLines w:val="on"/>
                  </w:pPr>
                  <w:r>
                    <w:t>$1.100,00</w:t>
                  </w:r>
                </w:p>
              </w:tc>
              <w:tc>
                <w:tcPr>
                  <w:tcW w:type="auto" w:w="0"/>
                  <w:shd w:val="clear" w:color="auto" w:fill="F0F0F0"/>
                </w:tcPr>
                <w:p>
                  <w:pPr>
                    <w:pStyle w:val="Normal"/>
                    <w:keepLines w:val="on"/>
                  </w:pPr>
                  <w:r>
                    <w:t>$1.210,00</w:t>
                  </w:r>
                </w:p>
              </w:tc>
              <w:tc>
                <w:tcPr>
                  <w:tcW w:type="auto" w:w="0"/>
                  <w:shd w:val="clear" w:color="auto" w:fill="F0F0F0"/>
                </w:tcPr>
                <w:p>
                  <w:pPr>
                    <w:pStyle w:val="Normal"/>
                    <w:keepLines w:val="on"/>
                  </w:pPr>
                  <w:r>
                    <w:t>$1.331,00</w:t>
                  </w:r>
                </w:p>
              </w:tc>
              <w:tc>
                <w:tcPr>
                  <w:tcW w:type="auto" w:w="0"/>
                  <w:shd w:val="clear" w:color="auto" w:fill="F0F0F0"/>
                </w:tcPr>
                <w:p>
                  <w:pPr>
                    <w:pStyle w:val="Normal"/>
                    <w:keepLines w:val="on"/>
                  </w:pPr>
                  <w:r>
                    <w:t>$1.464,10</w:t>
                  </w:r>
                </w:p>
              </w:tc>
              <w:tc>
                <w:tcPr>
                  <w:tcW w:type="auto" w:w="0"/>
                  <w:shd w:val="clear" w:color="auto" w:fill="F0F0F0"/>
                </w:tcPr>
                <w:p>
                  <w:pPr>
                    <w:pStyle w:val="Normal"/>
                    <w:keepLines w:val="on"/>
                  </w:pPr>
                  <w:r>
                    <w:t>$1.610,51</w:t>
                  </w:r>
                </w:p>
              </w:tc>
            </w:tr>
            <w:tr>
              <w:tc>
                <w:tcPr>
                  <w:tcW w:type="auto" w:w="0"/>
                  <w:shd w:val="clear" w:color="auto" w:fill="F0F0F0"/>
                </w:tcPr>
                <w:p>
                  <w:pPr>
                    <w:pStyle w:val="Para 02"/>
                    <w:keepLines w:val="on"/>
                  </w:pPr>
                  <w:r>
                    <w:t>Vốn lưu động phi tiền mặt tính theo % doanh thu</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9%</w:t>
                  </w:r>
                </w:p>
              </w:tc>
              <w:tc>
                <w:tcPr>
                  <w:tcW w:type="auto" w:w="0"/>
                  <w:shd w:val="clear" w:color="auto" w:fill="F0F0F0"/>
                </w:tcPr>
                <w:p>
                  <w:pPr>
                    <w:pStyle w:val="Normal"/>
                    <w:keepLines w:val="on"/>
                  </w:pPr>
                  <w:r>
                    <w:t>8%</w:t>
                  </w:r>
                </w:p>
              </w:tc>
              <w:tc>
                <w:tcPr>
                  <w:tcW w:type="auto" w:w="0"/>
                  <w:shd w:val="clear" w:color="auto" w:fill="F0F0F0"/>
                </w:tcPr>
                <w:p>
                  <w:pPr>
                    <w:pStyle w:val="Normal"/>
                    <w:keepLines w:val="on"/>
                  </w:pPr>
                  <w:r>
                    <w:t>7%</w:t>
                  </w:r>
                </w:p>
              </w:tc>
              <w:tc>
                <w:tcPr>
                  <w:tcW w:type="auto" w:w="0"/>
                  <w:shd w:val="clear" w:color="auto" w:fill="F0F0F0"/>
                </w:tcPr>
                <w:p>
                  <w:pPr>
                    <w:pStyle w:val="Normal"/>
                    <w:keepLines w:val="on"/>
                  </w:pPr>
                  <w:r>
                    <w:t>6%</w:t>
                  </w:r>
                </w:p>
              </w:tc>
              <w:tc>
                <w:tcPr>
                  <w:tcW w:type="auto" w:w="0"/>
                  <w:shd w:val="clear" w:color="auto" w:fill="F0F0F0"/>
                </w:tcPr>
                <w:p>
                  <w:pPr>
                    <w:pStyle w:val="Normal"/>
                    <w:keepLines w:val="on"/>
                  </w:pPr>
                  <w:r>
                    <w:t>6%</w:t>
                  </w:r>
                </w:p>
              </w:tc>
            </w:tr>
            <w:tr>
              <w:tc>
                <w:tcPr>
                  <w:tcW w:type="auto" w:w="0"/>
                  <w:shd w:val="clear" w:color="auto" w:fill="F0F0F0"/>
                </w:tcPr>
                <w:p>
                  <w:pPr>
                    <w:pStyle w:val="Para 02"/>
                    <w:keepLines w:val="on"/>
                  </w:pPr>
                  <w:r>
                    <w:t>Vốn lưu động phi tiền mặt</w:t>
                  </w:r>
                </w:p>
              </w:tc>
              <w:tc>
                <w:tcPr>
                  <w:tcW w:type="auto" w:w="0"/>
                  <w:shd w:val="clear" w:color="auto" w:fill="F0F0F0"/>
                </w:tcPr>
                <w:p>
                  <w:pPr>
                    <w:pStyle w:val="Normal"/>
                    <w:keepLines w:val="on"/>
                  </w:pPr>
                  <w:r>
                    <w:t>$100,00</w:t>
                  </w:r>
                </w:p>
              </w:tc>
              <w:tc>
                <w:tcPr>
                  <w:tcW w:type="auto" w:w="0"/>
                  <w:shd w:val="clear" w:color="auto" w:fill="F0F0F0"/>
                </w:tcPr>
                <w:p>
                  <w:pPr>
                    <w:pStyle w:val="Normal"/>
                    <w:keepLines w:val="on"/>
                  </w:pPr>
                  <w:r>
                    <w:t>$99,00</w:t>
                  </w:r>
                </w:p>
              </w:tc>
              <w:tc>
                <w:tcPr>
                  <w:tcW w:type="auto" w:w="0"/>
                  <w:shd w:val="clear" w:color="auto" w:fill="F0F0F0"/>
                </w:tcPr>
                <w:p>
                  <w:pPr>
                    <w:pStyle w:val="Normal"/>
                    <w:keepLines w:val="on"/>
                  </w:pPr>
                  <w:r>
                    <w:t>$96,80</w:t>
                  </w:r>
                </w:p>
              </w:tc>
              <w:tc>
                <w:tcPr>
                  <w:tcW w:type="auto" w:w="0"/>
                  <w:shd w:val="clear" w:color="auto" w:fill="F0F0F0"/>
                </w:tcPr>
                <w:p>
                  <w:pPr>
                    <w:pStyle w:val="Normal"/>
                    <w:keepLines w:val="on"/>
                  </w:pPr>
                  <w:r>
                    <w:t>$93,17</w:t>
                  </w:r>
                </w:p>
              </w:tc>
              <w:tc>
                <w:tcPr>
                  <w:tcW w:type="auto" w:w="0"/>
                  <w:shd w:val="clear" w:color="auto" w:fill="F0F0F0"/>
                </w:tcPr>
                <w:p>
                  <w:pPr>
                    <w:pStyle w:val="Normal"/>
                    <w:keepLines w:val="on"/>
                  </w:pPr>
                  <w:r>
                    <w:t>$87,85</w:t>
                  </w:r>
                </w:p>
              </w:tc>
              <w:tc>
                <w:tcPr>
                  <w:tcW w:type="auto" w:w="0"/>
                  <w:shd w:val="clear" w:color="auto" w:fill="F0F0F0"/>
                </w:tcPr>
                <w:p>
                  <w:pPr>
                    <w:pStyle w:val="Normal"/>
                    <w:keepLines w:val="on"/>
                  </w:pPr>
                  <w:r>
                    <w:t>$96,63</w:t>
                  </w:r>
                </w:p>
              </w:tc>
            </w:tr>
            <w:tr>
              <w:tc>
                <w:tcPr>
                  <w:tcW w:type="auto" w:w="0"/>
                  <w:shd w:val="clear" w:color="auto" w:fill="F0F0F0"/>
                </w:tcPr>
                <w:p>
                  <w:pPr>
                    <w:pStyle w:val="Para 02"/>
                    <w:keepLines w:val="on"/>
                  </w:pPr>
                  <w:r>
                    <w:t>Thay đổi vốn lưu động phi tiền mặt</w:t>
                  </w:r>
                </w:p>
              </w:tc>
              <w:tc>
                <w:tcPr>
                  <w:tcW w:type="auto" w:w="0"/>
                  <w:shd w:val="clear" w:color="auto" w:fill="F0F0F0"/>
                </w:tcPr>
                <w:p>
                  <w:pPr>
                    <w:pStyle w:val="7 Block"/>
                    <w:keepLines w:val="on"/>
                  </w:pP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−$2,20</w:t>
                  </w:r>
                </w:p>
              </w:tc>
              <w:tc>
                <w:tcPr>
                  <w:tcW w:type="auto" w:w="0"/>
                  <w:shd w:val="clear" w:color="auto" w:fill="F0F0F0"/>
                </w:tcPr>
                <w:p>
                  <w:pPr>
                    <w:pStyle w:val="Normal"/>
                    <w:keepLines w:val="on"/>
                  </w:pPr>
                  <w:r>
                    <w:t>−$0,63</w:t>
                  </w:r>
                </w:p>
              </w:tc>
              <w:tc>
                <w:tcPr>
                  <w:tcW w:type="auto" w:w="0"/>
                  <w:shd w:val="clear" w:color="auto" w:fill="F0F0F0"/>
                </w:tcPr>
                <w:p>
                  <w:pPr>
                    <w:pStyle w:val="Normal"/>
                    <w:keepLines w:val="on"/>
                  </w:pPr>
                  <w:r>
                    <w:t>−$5,32</w:t>
                  </w:r>
                </w:p>
              </w:tc>
              <w:tc>
                <w:tcPr>
                  <w:tcW w:type="auto" w:w="0"/>
                  <w:shd w:val="clear" w:color="auto" w:fill="F0F0F0"/>
                </w:tcPr>
                <w:p>
                  <w:pPr>
                    <w:pStyle w:val="Normal"/>
                    <w:keepLines w:val="on"/>
                  </w:pPr>
                  <w:r>
                    <w:t>$8,78</w:t>
                  </w:r>
                </w:p>
              </w:tc>
            </w:tr>
          </w:tbl>
          <w:p/>
        </w:tc>
      </w:tr>
    </w:tbl>
    <w:p>
      <w:pPr>
        <w:pStyle w:val="Para 03"/>
      </w:pPr>
      <w:r>
        <w:t>Vậy bản thân vốn lưu động có thể âm không? Câu trả lời một lần nữa là có. Những công ty có nợ ngắn hạn không phải nợ vay vượt quá tài sản ngắn hạn phi tiền mặt thì có vốn lưu động phi tiền mặt âm. Đây là một vấn đề hóc búa hơn so với thay đổi vốn lưu động âm. Một công ty có vốn lưu động âm, theo một nghĩa nào đó, đang dùng tín dụng nhà cung cấp như một nguồn vốn, đặc biệt nếu vốn lưu động âm trở nên lớn hơn khi công ty phát triển lớn hơn. Một số công ty, đặc biệt trong ngành công nghệ, đã dùng chiến lược này để tăng trưởng. Dù nghe có vẻ như một chiến lược tiết kiệm chi phí, nó vẫn có những mặt trái tiềm ẩn. Thứ nhất là tín dụng nhà cung cấp nói chung không thực sự miễn phí. Khi việc trì hoãn thanh toán hóa đơn nhà cung cấp có thể dẫn đến mất chiết khấu tiền mặt và các ưu đãi giá khác, công ty đang phải trả giá cho đặc quyền đó. Vì vậy, một công ty quyết định áp dụng chiến lược này sẽ phải so sánh chi phí của nguồn vốn này với các hình thức vay truyền thống hơn.</w:t>
      </w:r>
    </w:p>
    <w:p>
      <w:pPr>
        <w:pStyle w:val="Para 03"/>
      </w:pPr>
      <w:r>
        <w:t>Bất lợi thứ hai là vốn lưu động phi tiền mặt âm (negative noncash working capital) thường được cả kế toán viên lẫn các tổ chức xếp hạng tín nhiệm coi là một nguồn rủi ro vỡ nợ. Khi xếp hạng của một công ty bị hạ và lãi suất mà công ty phải trả tăng lên, việc dùng tín dụng nhà cung cấp làm nguồn vốn có thể tạo ra chi phí cho các nguồn vốn khác. Về mặt thực tiễn, bạn vẫn còn một bài toán ước lượng trong tay khi dự báo nhu cầu vốn lưu động cho một công ty có vốn lưu động phi tiền mặt âm. Như trong tình huống trước, với những thay đổi âm trong vốn lưu động phi tiền mặt, không có lý do gì để các công ty không thể tiếp tục dùng tín dụng nhà cung cấp làm nguồn vốn trong ngắn hạn. Tuy nhiên, về dài hạn, chúng ta không nên giả định rằng vốn lưu động phi tiền mặt sẽ ngày càng âm hơn theo thời gian. Đến một thời điểm nào đó trong tương lai, chúng ta phải giả định hoặc là thay đổi trong vốn lưu động phi tiền mặt bằng không, hoặc là sẽ có áp lực đòi hỏi phải tăng vốn lưu động.</w:t>
      </w:r>
    </w:p>
    <w:p>
      <w:pPr>
        <w:pStyle w:val="Para 20"/>
      </w:pPr>
      <w:r>
        <w:rPr>
          <w:rStyle w:val="Text26"/>
        </w:rPr>
        <w:bookmarkStart w:id="1829" w:name="Page_290"/>
        <w:t/>
        <w:bookmarkEnd w:id="1829"/>
      </w:r>
      <w:r>
        <w:t xml:space="preserve"> </w:t>
      </w:r>
    </w:p>
    <w:p>
      <w:pPr>
        <w:pStyle w:val="Para 11"/>
      </w:pPr>
      <w:r>
        <w:t/>
        <w:t xml:space="preserve"> </w:t>
      </w:r>
    </w:p>
    <w:p>
      <w:bookmarkStart w:id="1830" w:name="wcdata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95"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1830"/>
    </w:p>
    <w:p>
      <w:pPr>
        <w:pStyle w:val="Para 31"/>
        <w:keepLines w:val="on"/>
      </w:pPr>
      <w:r>
        <w:t>wcdata.xls: Bộ dữ liệu này trên web tóm tắt nhu cầu vốn lưu động phi tiền mặt theo nhóm ngành ở Hoa Kỳ cho quý gần nhất.</w:t>
      </w:r>
    </w:p>
    <w:p>
      <w:bookmarkStart w:id="1831" w:name="Reinvestment__A_Consolidated_Var_1"/>
      <w:bookmarkStart w:id="1832" w:name="Reinvestment__A_Consolidated_Var"/>
      <w:pPr>
        <w:keepNext/>
        <w:pStyle w:val="Heading 3"/>
        <w:keepLines w:val="on"/>
      </w:pPr>
      <w:r>
        <w:t>Tái đầu tư: Một biến thể hợp nhất</w:t>
      </w:r>
      <w:bookmarkEnd w:id="1831"/>
      <w:bookmarkEnd w:id="1832"/>
    </w:p>
    <w:p>
      <w:pPr>
        <w:pStyle w:val="Para 03"/>
      </w:pPr>
      <w:r>
        <w:t>Như bạn thấy, các thành phần cấu thành nên tái đầu tư có thể mang nhiều hình thức, từ chi tiêu vốn ròng (net capital expenditures — phản ánh đầu tư vào tài sản dài hạn và chủ yếu là tài sản cố định), R&amp;D được vốn hóa (capitalized R&amp;D — phản ánh đầu tư vào các tài sản chủ yếu là vô hình), các thương vụ mua lại (acquisitions — đo lường đầu tư để mua trọn cả công ty) cho đến vốn lưu động phi tiền mặt. Vì mỗi khoản mục này đều biến động và một công ty có thể thay thế khoản này (chẳng hạn như mua lại) bằng khoản khác (như chi tiêu vốn ròng), đặc biệt là khi công ty lớn hơn, chúng tôi cho rằng ở hầu hết các công ty, nên ước lượng một giá trị hợp nhất cho toàn bộ tái đầu tư thay vì từng khoản mục riêng lẻ.</w:t>
      </w:r>
    </w:p>
    <w:p>
      <w:bookmarkStart w:id="1833" w:name="Reinvestment_Capital_Expenditure"/>
      <w:pPr>
        <w:keepNext/>
        <w:pStyle w:val="Para 09"/>
        <w:keepLines w:val="on"/>
      </w:pPr>
      <w:r>
        <w:t>Tái đầu tư = Chi tiêu vốn − Khấu hao &amp; Phân bổ + Thay đổi vốn lưu động phi tiền mặt + Các thương vụ mua lại + (Chi phí R&amp;D năm hiện tại − Phân bổ R&amp;D)</w:t>
      </w:r>
      <w:bookmarkEnd w:id="1833"/>
    </w:p>
    <w:p>
      <w:pPr>
        <w:pStyle w:val="Para 03"/>
      </w:pPr>
      <w:r>
        <w:t>Thực chất, chúng ta đang thay thế cách đo dòng tiền tự do dài dòng (đối với doanh nghiệp hoặc đối với vốn chủ sở hữu) bằng một phiên bản ngắn gọn hơn, như có thể thấy trong Hình 10.3.</w:t>
      </w:r>
    </w:p>
    <w:p>
      <w:bookmarkStart w:id="1835" w:name="Figure_10_3_Consolidated_Reinve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685800"/>
            <wp:effectExtent l="0" r="0" t="0" b="0"/>
            <wp:wrapTopAndBottom/>
            <wp:docPr id="96" name="c10f003.png" descr="Illustration of 3 equations depicting the more concise version for calculating the consolidated reinvestment and F C F F."/>
            <wp:cNvGraphicFramePr>
              <a:graphicFrameLocks noChangeAspect="1"/>
            </wp:cNvGraphicFramePr>
            <a:graphic>
              <a:graphicData uri="http://schemas.openxmlformats.org/drawingml/2006/picture">
                <pic:pic>
                  <pic:nvPicPr>
                    <pic:cNvPr id="0" name="c10f003.png" descr="Illustration of 3 equations depicting the more concise version for calculating the consolidated reinvestment and F C F F."/>
                    <pic:cNvPicPr/>
                  </pic:nvPicPr>
                  <pic:blipFill>
                    <a:blip r:embed="rId75"/>
                    <a:stretch>
                      <a:fillRect/>
                    </a:stretch>
                  </pic:blipFill>
                  <pic:spPr>
                    <a:xfrm>
                      <a:off x="0" y="0"/>
                      <a:ext cx="2438400" cy="685800"/>
                    </a:xfrm>
                    <a:prstGeom prst="rect">
                      <a:avLst/>
                    </a:prstGeom>
                  </pic:spPr>
                </pic:pic>
              </a:graphicData>
            </a:graphic>
          </wp:anchor>
        </w:drawing>
      </w:r>
      <w:bookmarkEnd w:id="1835"/>
    </w:p>
    <w:p>
      <w:pPr>
        <w:keepNext/>
        <w:pStyle w:val="Para 22"/>
        <w:keepLines w:val="on"/>
      </w:pPr>
      <w:r>
        <w:t>Hình 10.3 Tái đầu tư hợp nhất và Dòng tiền tự do đối với doanh nghiệp (FCFF)</w:t>
      </w:r>
    </w:p>
    <w:p>
      <w:pPr>
        <w:pStyle w:val="Para 03"/>
      </w:pPr>
      <w:r>
        <w:t>Lưu ý rằng trong phiên bản cuối cùng trong hình này, chúng ta đã chia tái đầu tư cho doanh thu để ước lượng tỷ lệ tái đầu tư (reinvestment rate), thể hiện phần trăm lợi nhuận sau thuế được đưa trở lại vào công ty. Tỷ lệ tái đầu tư sẽ đóng vai trò chính trong hai chương tiếp theo.</w:t>
      </w:r>
    </w:p>
    <w:p>
      <w:pPr>
        <w:pStyle w:val="Para 03"/>
      </w:pPr>
      <w:r>
        <w:t>Thoạt nhìn, việc ước lượng một khoản tái đầu tư hợp nhất có vẻ kém chính xác hơn so với dự báo từng khoản mục riêng lẻ, nhưng độ chính xác mà người ta có được từ việc ước lượng riêng từng khoản mục tái đầu tư không chỉ là độ chính xác giả tạo, mà còn tạo ra khả năng mắc sai sót trong định giá cao hơn. Thực tế, có bốn lợi ích khi ước lượng một khoản tái đầu tư hợp nhất thay vì từng khoản mục riêng lẻ:</w:t>
      </w:r>
    </w:p>
    <w:p>
      <w:pPr>
        <w:numPr>
          <w:ilvl w:val="0"/>
          <w:numId w:val="93"/>
        </w:numPr>
        <w:pStyle w:val="Para 01"/>
      </w:pPr>
      <w:r>
        <w:t>Dễ ước lượng: Ước lượng tái đầu tư như một con số hợp nhất dễ thực hiện hơn so với dự báo từng thành phần tái đầu tư riêng lẻ, vì giá trị hợp nhất sẽ ít biến động hơn các giá trị thành phần.</w:t>
      </w:r>
    </w:p>
    <w:p>
      <w:pPr>
        <w:numPr>
          <w:ilvl w:val="0"/>
          <w:numId w:val="93"/>
        </w:numPr>
        <w:pStyle w:val="Para 01"/>
      </w:pPr>
      <w:r>
        <w:t>Ít mâu thuẫn hơn: Những nhà phân tích ước lượng từng khoản mục riêng lẻ dễ đưa ra những con số vi phạm các quy tắc nhất quán cơ bản trong định giá và đôi khi còn vi phạm cả các nguyên tắc kế toán. Do đó, việc ước lượng chi tiêu vốn và khấu hao như hai khoản mục riêng biệt, dựa trên lịch sử để dự báo từng khoản, có thể dẫn đến khấu hao trở nên lớn hơn chi tiêu vốn không chỉ trong ngắn hạn mà còn mãi mãi về sau. Suy cho cùng, lý do chúng ta gắn kết chi tiêu vốn với khấu hao là vì khoản sau bắt nguồn từ khoản trước. Tương tự, như chúng ta đã lưu ý khi bàn về vốn lưu động, vốn lưu động âm có thể khiến vốn lưu động phi tiền mặt trở thành một khoản cộng ròng cho dòng tiền, và tự nó có thể không phải là vấn đề, nhưng nó có thể trở thành vấn đề nếu đó là khoản mục tái đầu tư chính của bạn, dẫn đến dòng tiền tự do đối với doanh nghiệp vượt trước thu nhập hoạt động sau thuế mãi mãi về sau.</w:t>
      </w:r>
    </w:p>
    <w:p>
      <w:pPr>
        <w:numPr>
          <w:ilvl w:val="0"/>
          <w:numId w:val="93"/>
        </w:numPr>
        <w:pStyle w:val="Para 01"/>
      </w:pPr>
      <w:r>
        <w:t>Dễ gắn với câu chuyện định giá và tăng trưởng hơn: Trong chương tiếp theo về tăng trưởng, chúng ta sẽ ước lượng tốc độ tăng trưởng bền vững bằng cách xem xét các công ty tái đầu tư bao nhiêu, đo lường bằng tái đầu tư hợp nhất, và họ tái đầu tư hiệu quả đến đâu. Trong Chương 13, nơi chúng ta giới thiệu định giá như một cầu nối giữa câu chuyện và con số, chúng ta sẽ lập luận rằng việc gắn các câu chuyện với con số tái đầu tư hợp nhất dễ hơn so với các khoản mục tái đầu tư riêng lẻ.</w:t>
      </w:r>
    </w:p>
    <w:p>
      <w:pPr>
        <w:numPr>
          <w:ilvl w:val="0"/>
          <w:numId w:val="93"/>
        </w:numPr>
        <w:pStyle w:val="Para 01"/>
      </w:pPr>
      <w:r>
        <w:t>Gắn với vốn đầu tư: Tái đầu tư của một công ty, ngoài việc đại diện cho khoản tiền được để dành nhằm mang lại tăng trưởng trong tương lai, còn có một tác động thực tế hơn nhiều. Nó trở thành sự thay đổi trong vốn đầu tư (invested capital) của công ty. Thực tế, bạn có thể ước lượng vốn đầu tư của một công ty trong những năm tương lai bằng cách lấy vốn đầu tư hiện tại cộng với giá trị tích lũy của toàn bộ tái đầu tư trong tương lai. Điều đó có thể hữu ích trong việc theo dõi tỷ suất sinh lời trên vốn (ROC) của một công ty theo thời gian và liên kết trở lại với các lợi thế cạnh tranh của công ty.</w:t>
      </w:r>
    </w:p>
    <w:p>
      <w:pPr>
        <w:pStyle w:val="Para 03"/>
      </w:pPr>
      <w:r>
        <w:t>Suy cho cùng, bạn có thể không đồng tình với đề xuất hợp nhất của chúng tôi, nhưng ngay cả khi bạn không đồng tình và khăng khăng muốn dự báo riêng chi tiêu vốn, các thương vụ mua lại, vốn lưu động và R&amp;D, chúng tôi vẫn khuyên bạn nên tạo một khoản mục hợp nhất cho toàn bộ tái đầu tư để có thể theo dõi nó trong suốt khoảng thời gian định giá của mình.</w:t>
      </w:r>
    </w:p>
    <w:p>
      <w:bookmarkStart w:id="1837" w:name="Conclusion_9"/>
      <w:bookmarkStart w:id="1838" w:name="Conclusion__When_valuing_a_firm"/>
      <w:pPr>
        <w:keepNext/>
        <w:pStyle w:val="Heading 2"/>
        <w:keepLines w:val="on"/>
      </w:pPr>
      <w:r>
        <w:t>Kết luận</w:t>
      </w:r>
      <w:bookmarkEnd w:id="1837"/>
      <w:bookmarkEnd w:id="1838"/>
    </w:p>
    <w:p>
      <w:pPr>
        <w:pStyle w:val="Para 03"/>
      </w:pPr>
      <w:r>
        <w:t>Khi định giá một công ty, dòng tiền được chiết khấu phải là dòng tiền sau thuế và sau nhu cầu tái đầu tư nhưng trước các khoản thanh toán nợ. Chương này đã xem xét một số thách thức trong việc đưa ra con số này cho các công ty.</w:t>
      </w:r>
    </w:p>
    <w:p>
      <w:pPr>
        <w:pStyle w:val="Para 03"/>
      </w:pPr>
      <w:r>
        <w:t>Chương này bắt đầu với phiên bản thu nhập đã được chỉnh sửa và cập nhật được mô tả trong Chương 9. Để diễn đạt thu nhập này theo nghĩa sau thuế, bạn cần một thuế suất. Các công ty thường công bố thuế suất thực tế (effective tax rate) của mình trong báo cáo tài chính, nhưng những thuế suất thực tế này có thể khác với thuế suất biên (marginal tax rate). Mặc dù thuế suất thực tế có thể được dùng để tính ra thu nhập hoạt động sau thuế trong những năm đầu, thuế suất được sử dụng nên hội tụ về thuế suất biên trong các giai đoạn tương lai. Đối với những công ty đang thua lỗ và không phải nộp thuế, các khoản lỗ hoạt động ròng (net operating losses) mà họ đang tích lũy sẽ bảo vệ một phần thu nhập tương lai của họ khỏi bị đánh thuế.</w:t>
      </w:r>
    </w:p>
    <w:p>
      <w:pPr>
        <w:pStyle w:val="Para 03"/>
      </w:pPr>
      <w:r>
        <w:t>Khoản tái đầu tư mà các công ty thực hiện vào hoạt động của chính mình sau đó được xem xét theo hai phần. Phần thứ nhất là chi tiêu vốn ròng của công ty, tức là chênh lệch giữa chi tiêu vốn (một dòng tiền ra) và khấu hao (thực chất là một dòng tiền vào). Trong chi tiêu vốn ròng này, chúng ta bao gồm cả các chi phí hoạt động được vốn hóa (như R&amp;D) và các thương vụ mua lại. Phần thứ hai liên quan đến đầu tư vào vốn lưu động phi tiền mặt, chủ yếu là hàng tồn kho và các khoản phải thu. Sự gia tăng vốn lưu động phi tiền mặt đại diện cho dòng tiền ra của công ty, trong khi sự sụt giảm đại diện cho dòng tiền vào. Vốn lưu động phi tiền mặt ở hầu hết các công ty có xu hướng biến động và có thể cần được làm mượt khi dự báo dòng tiền tương lai. Trong phần cuối của chương, chúng tôi đã lập luận ủng hộ việc hợp nhất toàn bộ tái đầu tư của một công ty thành một giá trị hợp nhất, và dùng giá trị đó làm cơ sở cho tăng trưởng và việc kể chuyện mà chúng ta sẽ bàn trong ba chương tiếp theo.</w:t>
      </w:r>
    </w:p>
    <w:p>
      <w:bookmarkStart w:id="1840" w:name="Questions_and_Short_Problems___I_1"/>
      <w:bookmarkStart w:id="1841" w:name="Questions_and_Short_Problems_11"/>
      <w:pPr>
        <w:keepNext/>
        <w:pStyle w:val="Heading 2"/>
        <w:keepLines w:val="on"/>
      </w:pPr>
      <w:r>
        <w:t>Câu hỏi và Bài tập ngắn</w:t>
      </w:r>
      <w:bookmarkEnd w:id="1840"/>
      <w:bookmarkEnd w:id="1841"/>
    </w:p>
    <w:p>
      <w:pPr>
        <w:pStyle w:val="Para 44"/>
      </w:pPr>
      <w:r>
        <w:t>Trong các bài tập sau đây, hãy sử dụng phần bù rủi ro vốn chủ sở hữu (equity risk premium) là 5,5 phần trăm nếu không có quy định nào khác.</w:t>
      </w:r>
    </w:p>
    <w:p>
      <w:pPr>
        <w:numPr>
          <w:ilvl w:val="0"/>
          <w:numId w:val="94"/>
        </w:numPr>
        <w:pStyle w:val="Para 01"/>
      </w:pPr>
      <w:r>
        <w:t>Bạn đang định giá GenFlex, một công ty sản xuất nhỏ, công ty này báo cáo đã nộp thuế 12,5 triệu đô la trên thu nhập chịu thuế 50 triệu đô la và tái đầu tư 15 triệu đô la trong năm gần nhất. Công ty không có nợ chưa thanh toán, chi phí vốn là 11%, và thuế suất biên của công ty là 35%. Giả định rằng thu nhập và tái đầu tư của công ty dự kiến tăng 10% mỗi năm trong ba năm và 5% mỗi năm mãi mãi sau đó, hãy ước lượng giá trị của công ty này:</w:t>
      </w:r>
    </w:p>
    <w:p>
      <w:pPr>
        <w:numPr>
          <w:ilvl w:val="1"/>
          <w:numId w:val="94"/>
        </w:numPr>
        <w:pStyle w:val="Para 01"/>
      </w:pPr>
      <w:r>
        <w:t>Sử dụng thuế suất thực tế để ước lượng thu nhập hoạt động sau thuế.</w:t>
      </w:r>
    </w:p>
    <w:p>
      <w:pPr>
        <w:numPr>
          <w:ilvl w:val="1"/>
          <w:numId w:val="94"/>
        </w:numPr>
        <w:pStyle w:val="Para 01"/>
      </w:pPr>
      <w:r>
        <w:t>Sử dụng thuế suất biên để ước lượng thu nhập hoạt động sau thuế.</w:t>
      </w:r>
    </w:p>
    <w:p>
      <w:pPr>
        <w:numPr>
          <w:ilvl w:val="1"/>
          <w:numId w:val="94"/>
        </w:numPr>
        <w:pStyle w:val="Para 01"/>
      </w:pPr>
      <w:r>
        <w:t>Sử dụng thuế suất thực tế cho ba năm tới và thuế suất biên vào năm thứ 4.</w:t>
      </w:r>
    </w:p>
    <w:p>
      <w:pPr>
        <w:numPr>
          <w:ilvl w:val="0"/>
          <w:numId w:val="94"/>
        </w:numPr>
        <w:pStyle w:val="Para 01"/>
      </w:pPr>
      <w:r>
        <w:t>Bạn đang cố gắng ước lượng dòng tiền tự do đối với doanh nghiệp cho RevTech, một công ty công nghệ. Công ty báo cáo 80 triệu đô la thu nhập trước lãi vay và thuế, chi tiêu vốn 30 triệu đô la, và khấu hao 20 triệu đô la trong năm gần nhất. Có hai vấn đề phức tạp bổ sung:</w:t>
      </w:r>
    </w:p>
    <w:p>
      <w:pPr>
        <w:numPr>
          <w:ilvl w:val="1"/>
          <w:numId w:val="94"/>
        </w:numPr>
        <w:pStyle w:val="Para 01"/>
      </w:pPr>
      <w:r>
        <w:t>Công ty có chi phí R&amp;D (nghiên cứu và phát triển) là 50 triệu đô la trong năm gần nhất. Bạn cho rằng thời gian phân bổ hợp lý cho công ty này là ba năm, và chi phí R&amp;D trong ba năm qua lần lượt là 20 triệu đô la, 30 triệu đô la và 40 triệu đô la.</w:t>
      </w:r>
    </w:p>
    <w:p>
      <w:pPr>
        <w:numPr>
          <w:ilvl w:val="1"/>
          <w:numId w:val="94"/>
        </w:numPr>
        <w:pStyle w:val="Para 01"/>
      </w:pPr>
      <w:r>
        <w:t>Công ty cũng đã thực hiện hai thương vụ mua lại trong năm — một thương vụ thanh toán bằng tiền mặt trị giá 45 triệu đô la và một thương vụ thanh toán bằng cổ phiếu trị giá 35 triệu đô la.</w:t>
      </w:r>
    </w:p>
    <w:p>
      <w:pPr>
        <w:pStyle w:val="Para 03"/>
      </w:pPr>
      <w:r>
        <w:t>Nếu công ty không có nhu cầu vốn lưu động và có thuế suất 40%, hãy ước tính dòng tiền tự do của công ty (free cash flow to the firm) trong năm gần nhất.</w:t>
      </w:r>
    </w:p>
    <w:p>
      <w:pPr>
        <w:numPr>
          <w:ilvl w:val="0"/>
          <w:numId w:val="94"/>
        </w:numPr>
        <w:pStyle w:val="Para 01"/>
      </w:pPr>
      <w:r>
        <w:t>Lewis Clark, một công ty trong ngành du lịch, báo cáo thu nhập trước lãi vay và thuế là 60 triệu đô la trong năm ngoái, nhưng bạn đã phát hiện thêm những mục đáng chú ý sau:</w:t>
      </w:r>
    </w:p>
    <w:p>
      <w:pPr>
        <w:numPr>
          <w:ilvl w:val="1"/>
          <w:numId w:val="94"/>
        </w:numPr>
        <w:pStyle w:val="Para 01"/>
      </w:pPr>
      <w:r>
        <w:t>Công ty có chi phí thuê hoạt động (operating lease) là 50 triệu đô la trong năm ngoái và cam kết thanh toán các khoản tương đương trong tám năm tới.</w:t>
      </w:r>
    </w:p>
    <w:p>
      <w:pPr>
        <w:numPr>
          <w:ilvl w:val="1"/>
          <w:numId w:val="94"/>
        </w:numPr>
        <w:pStyle w:val="Para 01"/>
      </w:pPr>
      <w:r>
        <w:t>Công ty báo cáo chi tiêu vốn (capital expenditures) là 30 triệu đô la và khấu hao là 50 triệu đô la trong năm ngoái. Tuy nhiên, công ty cũng đã thực hiện hai thương vụ mua lại, một thương vụ tài trợ bằng tiền mặt trị giá 50 triệu đô la và một thương vụ tài trợ bằng hoán đổi cổ phiếu trị giá 30 triệu đô la. Phần phân bổ (amortization) của các thương vụ mua lại này đã được tính vào khấu hao của năm hiện tại.</w:t>
      </w:r>
    </w:p>
    <w:p>
      <w:pPr>
        <w:numPr>
          <w:ilvl w:val="1"/>
          <w:numId w:val="94"/>
        </w:numPr>
        <w:pStyle w:val="Para 01"/>
      </w:pPr>
      <w:r>
        <w:t>Tổng vốn lưu động tăng từ 180 triệu đô la vào đầu năm lên 200 triệu đô la vào cuối năm. Tuy nhiên, số dư tiền mặt của công ty chiếm một phần đáng kể trong vốn lưu động này và đã tăng từ 80 triệu đô la vào đầu năm lên 120 triệu đô la vào cuối năm. (Tiền mặt được đầu tư vào tín phiếu kho bạc T-bills.)</w:t>
      </w:r>
    </w:p>
    <w:p>
      <w:pPr>
        <w:numPr>
          <w:ilvl w:val="1"/>
          <w:numId w:val="94"/>
        </w:numPr>
        <w:pStyle w:val="Para 01"/>
      </w:pPr>
      <w:r>
        <w:t>Thuế suất là 40%, và chi phí nợ trước thuế của công ty là 6%.</w:t>
      </w:r>
    </w:p>
    <w:p>
      <w:pPr>
        <w:pStyle w:val="Para 03"/>
      </w:pPr>
      <w:r>
        <w:t>Hãy ước tính dòng tiền tự do của công ty trong năm ngoái.</w:t>
      </w:r>
    </w:p>
    <w:p>
      <w:pPr>
        <w:numPr>
          <w:ilvl w:val="0"/>
          <w:numId w:val="94"/>
        </w:numPr>
        <w:pStyle w:val="Para 01"/>
      </w:pPr>
      <w:r>
        <w:t>Sau đây là bảng cân đối kế toán của Ford Motor Company tính đến ngày 31 tháng 12 năm 1994 (đơn vị: triệu đô la).</w:t>
      </w:r>
    </w:p>
    <w:tbl>
      <w:tblPr>
        <w:tblW w:type="auto" w:w="0"/>
      </w:tblPr>
      <w:tr>
        <w:tc>
          <w:tcPr>
            <w:tcW w:type="auto" w:w="0"/>
          </w:tcPr>
          <w:tbl>
            <w:tblPr>
              <w:tblW w:type="auto" w:w="0"/>
            </w:tblPr>
            <w:tr>
              <w:tc>
                <w:tcPr>
                  <w:tcW w:type="auto" w:w="0"/>
                  <w:shd w:val="clear" w:color="auto" w:fill="F0F0F0"/>
                  <w:hMerge w:val="restart"/>
                </w:tcPr>
                <w:p>
                  <w:pPr>
                    <w:pStyle w:val="Para 05"/>
                    <w:keepLines w:val="on"/>
                  </w:pPr>
                  <w:r>
                    <w:t>Tài sản</w:t>
                  </w:r>
                </w:p>
              </w:tc>
              <w:tc>
                <w:tcPr>
                  <w:hMerge w:val="continue"/>
                </w:tcPr>
                <w:p/>
              </w:tc>
              <w:tc>
                <w:tcPr>
                  <w:tcW w:type="auto" w:w="0"/>
                  <w:shd w:val="clear" w:color="auto" w:fill="F0F0F0"/>
                </w:tcPr>
                <w:p>
                  <w:pPr>
                    <w:pStyle w:val="Para 29"/>
                    <w:keepLines w:val="on"/>
                  </w:pPr>
                  <w:r>
                    <w:t/>
                  </w:r>
                </w:p>
              </w:tc>
              <w:tc>
                <w:tcPr>
                  <w:tcW w:type="auto" w:w="0"/>
                  <w:shd w:val="clear" w:color="auto" w:fill="F0F0F0"/>
                  <w:hMerge w:val="restart"/>
                </w:tcPr>
                <w:p>
                  <w:pPr>
                    <w:pStyle w:val="Para 05"/>
                    <w:keepLines w:val="on"/>
                  </w:pPr>
                  <w:r>
                    <w:t>Nợ phải trả</w:t>
                  </w:r>
                </w:p>
              </w:tc>
              <w:tc>
                <w:tcPr>
                  <w:hMerge w:val="continue"/>
                </w:tcPr>
                <w:p/>
              </w:tc>
            </w:tr>
            <w:tr>
              <w:tc>
                <w:tcPr>
                  <w:tcW w:type="auto" w:w="0"/>
                  <w:shd w:val="clear" w:color="auto" w:fill="F0F0F0"/>
                </w:tcPr>
                <w:p>
                  <w:pPr>
                    <w:pStyle w:val="Para 02"/>
                    <w:keepLines w:val="on"/>
                  </w:pPr>
                  <w:r>
                    <w:t>Tiền mặt</w:t>
                  </w:r>
                </w:p>
              </w:tc>
              <w:tc>
                <w:tcPr>
                  <w:tcW w:type="auto" w:w="0"/>
                  <w:shd w:val="clear" w:color="auto" w:fill="F0F0F0"/>
                </w:tcPr>
                <w:p>
                  <w:pPr>
                    <w:pStyle w:val="Normal"/>
                    <w:keepLines w:val="on"/>
                  </w:pPr>
                  <w:r>
                    <w:t>$19,927</w:t>
                  </w:r>
                </w:p>
              </w:tc>
              <w:tc>
                <w:tcPr>
                  <w:tcW w:type="auto" w:w="0"/>
                  <w:shd w:val="clear" w:color="auto" w:fill="F0F0F0"/>
                </w:tcPr>
                <w:p>
                  <w:pPr>
                    <w:pStyle w:val="5 Block"/>
                    <w:keepLines w:val="on"/>
                  </w:pPr>
                </w:p>
              </w:tc>
              <w:tc>
                <w:tcPr>
                  <w:tcW w:type="auto" w:w="0"/>
                  <w:shd w:val="clear" w:color="auto" w:fill="F0F0F0"/>
                </w:tcPr>
                <w:p>
                  <w:pPr>
                    <w:pStyle w:val="Para 02"/>
                    <w:keepLines w:val="on"/>
                  </w:pPr>
                  <w:r>
                    <w:t>Các khoản phải trả</w:t>
                  </w:r>
                </w:p>
              </w:tc>
              <w:tc>
                <w:tcPr>
                  <w:tcW w:type="auto" w:w="0"/>
                  <w:shd w:val="clear" w:color="auto" w:fill="F0F0F0"/>
                </w:tcPr>
                <w:p>
                  <w:pPr>
                    <w:pStyle w:val="Normal"/>
                    <w:keepLines w:val="on"/>
                  </w:pPr>
                  <w:r>
                    <w:t>$11,635</w:t>
                  </w:r>
                </w:p>
              </w:tc>
            </w:tr>
            <w:tr>
              <w:tc>
                <w:tcPr>
                  <w:tcW w:type="auto" w:w="0"/>
                  <w:shd w:val="clear" w:color="auto" w:fill="F0F0F0"/>
                </w:tcPr>
                <w:p>
                  <w:pPr>
                    <w:pStyle w:val="Para 02"/>
                    <w:keepLines w:val="on"/>
                  </w:pPr>
                  <w:r>
                    <w:t>Các khoản phải thu</w:t>
                  </w:r>
                </w:p>
              </w:tc>
              <w:tc>
                <w:tcPr>
                  <w:tcW w:type="auto" w:w="0"/>
                  <w:shd w:val="clear" w:color="auto" w:fill="F0F0F0"/>
                </w:tcPr>
                <w:p>
                  <w:pPr>
                    <w:pStyle w:val="Normal"/>
                    <w:keepLines w:val="on"/>
                  </w:pPr>
                  <w:r>
                    <w:t>$132,904</w:t>
                  </w:r>
                </w:p>
              </w:tc>
              <w:tc>
                <w:tcPr>
                  <w:tcW w:type="auto" w:w="0"/>
                  <w:shd w:val="clear" w:color="auto" w:fill="F0F0F0"/>
                </w:tcPr>
                <w:p>
                  <w:pPr>
                    <w:pStyle w:val="5 Block"/>
                    <w:keepLines w:val="on"/>
                  </w:pPr>
                </w:p>
              </w:tc>
              <w:tc>
                <w:tcPr>
                  <w:tcW w:type="auto" w:w="0"/>
                  <w:shd w:val="clear" w:color="auto" w:fill="F0F0F0"/>
                </w:tcPr>
                <w:p>
                  <w:pPr>
                    <w:pStyle w:val="Para 02"/>
                    <w:keepLines w:val="on"/>
                  </w:pPr>
                  <w:r>
                    <w:t>Nợ đến hạn trong vòng 1 năm</w:t>
                  </w:r>
                </w:p>
              </w:tc>
              <w:tc>
                <w:tcPr>
                  <w:tcW w:type="auto" w:w="0"/>
                  <w:shd w:val="clear" w:color="auto" w:fill="F0F0F0"/>
                </w:tcPr>
                <w:p>
                  <w:pPr>
                    <w:pStyle w:val="Normal"/>
                    <w:keepLines w:val="on"/>
                  </w:pPr>
                  <w:r>
                    <w:t>$36,240</w:t>
                  </w:r>
                </w:p>
              </w:tc>
            </w:tr>
            <w:tr>
              <w:tc>
                <w:tcPr>
                  <w:tcW w:type="auto" w:w="0"/>
                  <w:shd w:val="clear" w:color="auto" w:fill="F0F0F0"/>
                </w:tcPr>
                <w:p>
                  <w:pPr>
                    <w:pStyle w:val="Para 02"/>
                    <w:keepLines w:val="on"/>
                  </w:pPr>
                  <w:r>
                    <w:t>Hàng tồn kho</w:t>
                  </w:r>
                </w:p>
              </w:tc>
              <w:tc>
                <w:tcPr>
                  <w:tcW w:type="auto" w:w="0"/>
                  <w:shd w:val="clear" w:color="auto" w:fill="F0F0F0"/>
                </w:tcPr>
                <w:p>
                  <w:pPr>
                    <w:pStyle w:val="Normal"/>
                    <w:keepLines w:val="on"/>
                  </w:pPr>
                  <w:r>
                    <w:t>$10,128</w:t>
                  </w:r>
                </w:p>
              </w:tc>
              <w:tc>
                <w:tcPr>
                  <w:tcW w:type="auto" w:w="0"/>
                  <w:shd w:val="clear" w:color="auto" w:fill="F0F0F0"/>
                </w:tcPr>
                <w:p>
                  <w:pPr>
                    <w:pStyle w:val="5 Block"/>
                    <w:keepLines w:val="on"/>
                  </w:pPr>
                </w:p>
              </w:tc>
              <w:tc>
                <w:tcPr>
                  <w:tcW w:type="auto" w:w="0"/>
                  <w:shd w:val="clear" w:color="auto" w:fill="F0F0F0"/>
                </w:tcPr>
                <w:p>
                  <w:pPr>
                    <w:pStyle w:val="Para 02"/>
                    <w:keepLines w:val="on"/>
                  </w:pPr>
                  <w:r>
                    <w:t>Nợ ngắn hạn khác</w:t>
                  </w:r>
                </w:p>
              </w:tc>
              <w:tc>
                <w:tcPr>
                  <w:tcW w:type="auto" w:w="0"/>
                  <w:shd w:val="clear" w:color="auto" w:fill="F0F0F0"/>
                </w:tcPr>
                <w:p>
                  <w:pPr>
                    <w:pStyle w:val="Normal"/>
                    <w:keepLines w:val="on"/>
                  </w:pPr>
                  <w:r>
                    <w:t>$2,721</w:t>
                  </w:r>
                </w:p>
              </w:tc>
            </w:tr>
            <w:tr>
              <w:tc>
                <w:tcPr>
                  <w:tcW w:type="auto" w:w="0"/>
                  <w:shd w:val="clear" w:color="auto" w:fill="F0F0F0"/>
                </w:tcPr>
                <w:p>
                  <w:pPr>
                    <w:pStyle w:val="Para 02"/>
                    <w:keepLines w:val="on"/>
                  </w:pPr>
                  <w:r>
                    <w:t>Tài sản ngắn hạn</w:t>
                  </w:r>
                </w:p>
              </w:tc>
              <w:tc>
                <w:tcPr>
                  <w:tcW w:type="auto" w:w="0"/>
                  <w:shd w:val="clear" w:color="auto" w:fill="F0F0F0"/>
                </w:tcPr>
                <w:p>
                  <w:pPr>
                    <w:pStyle w:val="Normal"/>
                    <w:keepLines w:val="on"/>
                  </w:pPr>
                  <w:r>
                    <w:t>91.524 đô la</w:t>
                  </w:r>
                </w:p>
              </w:tc>
              <w:tc>
                <w:tcPr>
                  <w:tcW w:type="auto" w:w="0"/>
                  <w:shd w:val="clear" w:color="auto" w:fill="F0F0F0"/>
                </w:tcPr>
                <w:p>
                  <w:pPr>
                    <w:pStyle w:val="5 Block"/>
                    <w:keepLines w:val="on"/>
                  </w:pPr>
                </w:p>
              </w:tc>
              <w:tc>
                <w:tcPr>
                  <w:tcW w:type="auto" w:w="0"/>
                  <w:shd w:val="clear" w:color="auto" w:fill="F0F0F0"/>
                </w:tcPr>
                <w:p>
                  <w:pPr>
                    <w:pStyle w:val="Para 02"/>
                    <w:keepLines w:val="on"/>
                  </w:pPr>
                  <w:r>
                    <w:t>Nợ ngắn hạn</w:t>
                  </w:r>
                </w:p>
              </w:tc>
              <w:tc>
                <w:tcPr>
                  <w:tcW w:type="auto" w:w="0"/>
                  <w:shd w:val="clear" w:color="auto" w:fill="F0F0F0"/>
                </w:tcPr>
                <w:p>
                  <w:pPr>
                    <w:pStyle w:val="Normal"/>
                    <w:keepLines w:val="on"/>
                  </w:pPr>
                  <w:r>
                    <w:t>50.596 đô la</w:t>
                  </w:r>
                </w:p>
              </w:tc>
            </w:tr>
            <w:tr>
              <w:tc>
                <w:tcPr>
                  <w:tcW w:type="auto" w:w="0"/>
                  <w:shd w:val="clear" w:color="auto" w:fill="F0F0F0"/>
                </w:tcPr>
                <w:p>
                  <w:pPr>
                    <w:pStyle w:val="Para 02"/>
                    <w:keepLines w:val="on"/>
                  </w:pPr>
                  <w:r>
                    <w:t>Tài sản cố định</w:t>
                  </w:r>
                </w:p>
              </w:tc>
              <w:tc>
                <w:tcPr>
                  <w:tcW w:type="auto" w:w="0"/>
                  <w:shd w:val="clear" w:color="auto" w:fill="F0F0F0"/>
                </w:tcPr>
                <w:p>
                  <w:pPr>
                    <w:pStyle w:val="Normal"/>
                    <w:keepLines w:val="on"/>
                  </w:pPr>
                  <w:r>
                    <w:t>45.586 đô la</w:t>
                  </w:r>
                </w:p>
              </w:tc>
              <w:tc>
                <w:tcPr>
                  <w:tcW w:type="auto" w:w="0"/>
                  <w:shd w:val="clear" w:color="auto" w:fill="F0F0F0"/>
                </w:tcPr>
                <w:p>
                  <w:pPr>
                    <w:pStyle w:val="5 Block"/>
                    <w:keepLines w:val="on"/>
                  </w:pPr>
                </w:p>
              </w:tc>
              <w:tc>
                <w:tcPr>
                  <w:tcW w:type="auto" w:w="0"/>
                  <w:shd w:val="clear" w:color="auto" w:fill="F0F0F0"/>
                </w:tcPr>
                <w:p>
                  <w:pPr>
                    <w:pStyle w:val="Para 02"/>
                    <w:keepLines w:val="on"/>
                  </w:pPr>
                  <w:r>
                    <w:t>Nợ ngắn hạn</w:t>
                  </w:r>
                </w:p>
              </w:tc>
              <w:tc>
                <w:tcPr>
                  <w:tcW w:type="auto" w:w="0"/>
                  <w:shd w:val="clear" w:color="auto" w:fill="F0F0F0"/>
                </w:tcPr>
                <w:p>
                  <w:pPr>
                    <w:pStyle w:val="Normal"/>
                    <w:keepLines w:val="on"/>
                  </w:pPr>
                  <w:r>
                    <w:t>36.200 đô la</w:t>
                  </w:r>
                </w:p>
              </w:tc>
            </w:tr>
            <w:tr>
              <w:tc>
                <w:tcPr>
                  <w:tcW w:type="auto" w:w="0"/>
                  <w:shd w:val="clear" w:color="auto" w:fill="F0F0F0"/>
                </w:tcPr>
                <w:p>
                  <w:pPr>
                    <w:pStyle w:val="5 Block"/>
                    <w:keepLines w:val="on"/>
                  </w:pPr>
                </w:p>
              </w:tc>
              <w:tc>
                <w:tcPr>
                  <w:tcW w:type="auto" w:w="0"/>
                  <w:shd w:val="clear" w:color="auto" w:fill="F0F0F0"/>
                </w:tcPr>
                <w:p>
                  <w:pPr>
                    <w:pStyle w:val="7 Block"/>
                    <w:keepLines w:val="on"/>
                  </w:pPr>
                </w:p>
              </w:tc>
              <w:tc>
                <w:tcPr>
                  <w:tcW w:type="auto" w:w="0"/>
                  <w:shd w:val="clear" w:color="auto" w:fill="F0F0F0"/>
                </w:tcPr>
                <w:p>
                  <w:pPr>
                    <w:pStyle w:val="5 Block"/>
                    <w:keepLines w:val="on"/>
                  </w:pPr>
                </w:p>
              </w:tc>
              <w:tc>
                <w:tcPr>
                  <w:tcW w:type="auto" w:w="0"/>
                  <w:shd w:val="clear" w:color="auto" w:fill="F0F0F0"/>
                </w:tcPr>
                <w:p>
                  <w:pPr>
                    <w:pStyle w:val="Para 02"/>
                    <w:keepLines w:val="on"/>
                  </w:pPr>
                  <w:r>
                    <w:t>Nợ dài hạn</w:t>
                  </w:r>
                </w:p>
              </w:tc>
              <w:tc>
                <w:tcPr>
                  <w:tcW w:type="auto" w:w="0"/>
                  <w:shd w:val="clear" w:color="auto" w:fill="F0F0F0"/>
                </w:tcPr>
                <w:p>
                  <w:pPr>
                    <w:pStyle w:val="Normal"/>
                    <w:keepLines w:val="on"/>
                  </w:pPr>
                  <w:r>
                    <w:t>37.490 đô la</w:t>
                  </w:r>
                </w:p>
              </w:tc>
            </w:tr>
            <w:tr>
              <w:tc>
                <w:tcPr>
                  <w:tcW w:type="auto" w:w="0"/>
                  <w:shd w:val="clear" w:color="auto" w:fill="F0F0F0"/>
                </w:tcPr>
                <w:p>
                  <w:pPr>
                    <w:pStyle w:val="5 Block"/>
                    <w:keepLines w:val="on"/>
                  </w:pPr>
                </w:p>
              </w:tc>
              <w:tc>
                <w:tcPr>
                  <w:tcW w:type="auto" w:w="0"/>
                  <w:shd w:val="clear" w:color="auto" w:fill="F0F0F0"/>
                </w:tcPr>
                <w:p>
                  <w:pPr>
                    <w:pStyle w:val="7 Block"/>
                    <w:keepLines w:val="on"/>
                  </w:pPr>
                </w:p>
              </w:tc>
              <w:tc>
                <w:tcPr>
                  <w:tcW w:type="auto" w:w="0"/>
                  <w:shd w:val="clear" w:color="auto" w:fill="F0F0F0"/>
                </w:tcPr>
                <w:p>
                  <w:pPr>
                    <w:pStyle w:val="5 Block"/>
                    <w:keepLines w:val="on"/>
                  </w:pPr>
                </w:p>
              </w:tc>
              <w:tc>
                <w:tcPr>
                  <w:tcW w:type="auto" w:w="0"/>
                  <w:shd w:val="clear" w:color="auto" w:fill="F0F0F0"/>
                </w:tcPr>
                <w:p>
                  <w:pPr>
                    <w:pStyle w:val="Para 02"/>
                    <w:keepLines w:val="on"/>
                  </w:pPr>
                  <w:r>
                    <w:t>Vốn chủ sở hữu</w:t>
                  </w:r>
                </w:p>
              </w:tc>
              <w:tc>
                <w:tcPr>
                  <w:tcW w:type="auto" w:w="0"/>
                  <w:shd w:val="clear" w:color="auto" w:fill="F0F0F0"/>
                </w:tcPr>
                <w:p>
                  <w:pPr>
                    <w:pStyle w:val="Normal"/>
                    <w:keepLines w:val="on"/>
                  </w:pPr>
                  <w:r>
                    <w:t>12.824 đô la</w:t>
                  </w:r>
                </w:p>
              </w:tc>
            </w:tr>
            <w:tr>
              <w:tc>
                <w:tcPr>
                  <w:tcW w:type="auto" w:w="0"/>
                  <w:shd w:val="clear" w:color="auto" w:fill="F0F0F0"/>
                </w:tcPr>
                <w:p>
                  <w:pPr>
                    <w:pStyle w:val="Para 02"/>
                    <w:keepLines w:val="on"/>
                  </w:pPr>
                  <w:r>
                    <w:t>Tổng tài sản</w:t>
                  </w:r>
                </w:p>
              </w:tc>
              <w:tc>
                <w:tcPr>
                  <w:tcW w:type="auto" w:w="0"/>
                  <w:shd w:val="clear" w:color="auto" w:fill="F0F0F0"/>
                </w:tcPr>
                <w:p>
                  <w:pPr>
                    <w:pStyle w:val="Normal"/>
                    <w:keepLines w:val="on"/>
                  </w:pPr>
                  <w:r>
                    <w:t>137.110 đô la</w:t>
                  </w:r>
                </w:p>
              </w:tc>
              <w:tc>
                <w:tcPr>
                  <w:tcW w:type="auto" w:w="0"/>
                  <w:shd w:val="clear" w:color="auto" w:fill="F0F0F0"/>
                </w:tcPr>
                <w:p>
                  <w:pPr>
                    <w:pStyle w:val="5 Block"/>
                    <w:keepLines w:val="on"/>
                  </w:pPr>
                </w:p>
              </w:tc>
              <w:tc>
                <w:tcPr>
                  <w:tcW w:type="auto" w:w="0"/>
                  <w:shd w:val="clear" w:color="auto" w:fill="F0F0F0"/>
                </w:tcPr>
                <w:p>
                  <w:pPr>
                    <w:pStyle w:val="Para 02"/>
                    <w:keepLines w:val="on"/>
                  </w:pPr>
                  <w:r>
                    <w:t>Tổng nợ phải trả</w:t>
                  </w:r>
                </w:p>
              </w:tc>
              <w:tc>
                <w:tcPr>
                  <w:tcW w:type="auto" w:w="0"/>
                  <w:shd w:val="clear" w:color="auto" w:fill="F0F0F0"/>
                </w:tcPr>
                <w:p>
                  <w:pPr>
                    <w:pStyle w:val="Normal"/>
                    <w:keepLines w:val="on"/>
                  </w:pPr>
                  <w:r>
                    <w:t>137.110 đô la</w:t>
                  </w:r>
                </w:p>
              </w:tc>
            </w:tr>
          </w:tbl>
          <w:p/>
        </w:tc>
      </w:tr>
    </w:tbl>
    <w:p>
      <w:pPr>
        <w:pStyle w:val="Para 03"/>
      </w:pPr>
      <w:r>
        <w:t>Công ty có doanh thu 154.951 triệu đô la vào năm 1994, và giá vốn hàng bán là 103.817 triệu đô la.</w:t>
      </w:r>
    </w:p>
    <w:p>
      <w:pPr>
        <w:numPr>
          <w:ilvl w:val="1"/>
          <w:numId w:val="94"/>
        </w:numPr>
        <w:pStyle w:val="Para 01"/>
      </w:pPr>
      <w:r>
        <w:t>Ước tính vốn lưu động ròng.</w:t>
      </w:r>
    </w:p>
    <w:p>
      <w:pPr>
        <w:numPr>
          <w:ilvl w:val="1"/>
          <w:numId w:val="94"/>
        </w:numPr>
        <w:pStyle w:val="Para 01"/>
      </w:pPr>
      <w:r>
        <w:t>Ước tính vốn lưu động phi tiền mặt.</w:t>
      </w:r>
    </w:p>
    <w:p>
      <w:pPr>
        <w:numPr>
          <w:ilvl w:val="1"/>
          <w:numId w:val="94"/>
        </w:numPr>
        <w:pStyle w:val="Para 01"/>
      </w:pPr>
      <w:r>
        <w:t>Ước tính vốn lưu động phi tiền mặt theo tỷ lệ phần trăm doanh thu.</w:t>
      </w:r>
    </w:p>
    <w:p>
      <w:pPr>
        <w:numPr>
          <w:ilvl w:val="0"/>
          <w:numId w:val="94"/>
        </w:numPr>
        <w:pStyle w:val="Para 01"/>
      </w:pPr>
      <w:r>
        <w:t>Tiếp tục bài tập 4, giả sử bạn kỳ vọng doanh thu của Ford sẽ tăng 10% mỗi năm trong năm năm tới.</w:t>
      </w:r>
    </w:p>
    <w:p>
      <w:pPr>
        <w:numPr>
          <w:ilvl w:val="1"/>
          <w:numId w:val="94"/>
        </w:numPr>
        <w:pStyle w:val="Para 01"/>
      </w:pPr>
      <w:r>
        <w:t>Ước tính những thay đổi dự kiến của vốn lưu động phi tiền mặt mỗi năm, giả sử rằng vốn lưu động phi tiền mặt theo tỷ lệ phần trăm doanh thu vẫn giữ ở mức của năm 1994.</w:t>
      </w:r>
    </w:p>
    <w:p>
      <w:pPr>
        <w:numPr>
          <w:ilvl w:val="1"/>
          <w:numId w:val="94"/>
        </w:numPr>
        <w:pStyle w:val="Para 01"/>
      </w:pPr>
      <w:r>
        <w:t>Ước tính những thay đổi dự kiến của vốn lưu động phi tiền mặt mỗi năm, giả sử rằng vốn lưu động phi tiền mặt theo tỷ lệ phần trăm doanh thu sẽ hội tụ về mức trung bình của ngành là 4,3% doanh thu.</w:t>
      </w:r>
    </w:p>
    <w:p>
      <w:pPr>
        <w:numPr>
          <w:ilvl w:val="0"/>
          <w:numId w:val="94"/>
        </w:numPr>
        <w:pStyle w:val="Para 01"/>
      </w:pPr>
      <w:r>
        <w:t>Newell Stores là một công ty bán lẻ đã báo cáo doanh thu 1 tỷ đô la, thu nhập hoạt động sau thuế 80 triệu đô la, và vốn lưu động phi tiền mặt là −50 triệu đô la trong năm ngoái.</w:t>
      </w:r>
    </w:p>
    <w:p>
      <w:pPr>
        <w:numPr>
          <w:ilvl w:val="1"/>
          <w:numId w:val="94"/>
        </w:numPr>
        <w:pStyle w:val="Para 01"/>
      </w:pPr>
      <w:r>
        <w:t>Giả sử rằng vốn lưu động theo tỷ lệ phần trăm doanh thu không thay đổi trong năm tới và không có chi tiêu vốn ròng, hãy ước tính dòng tiền tự do cho công ty nếu doanh thu được kỳ vọng sẽ tăng 10%.</w:t>
      </w:r>
    </w:p>
    <w:p>
      <w:pPr>
        <w:numPr>
          <w:ilvl w:val="1"/>
          <w:numId w:val="94"/>
        </w:numPr>
        <w:pStyle w:val="Para 01"/>
      </w:pPr>
      <w:r>
        <w:t>Nếu bạn đang dự phóng dòng tiền tự do cho công ty trong 10 năm tới, liệu bạn có đưa ra những giả định tương tự về vốn lưu động không? Tại sao có hoặc tại sao không?</w:t>
      </w:r>
    </w:p>
    <w:p>
      <w:pPr>
        <w:pStyle w:val="Para 20"/>
      </w:pPr>
      <w:r>
        <w:rPr>
          <w:rStyle w:val="Text26"/>
        </w:rPr>
        <w:bookmarkStart w:id="1843" w:name="Page_294"/>
        <w:t/>
        <w:bookmarkEnd w:id="1843"/>
      </w:r>
      <w:r>
        <w:t xml:space="preserve"> </w:t>
      </w:r>
    </w:p>
    <w:p>
      <w:bookmarkStart w:id="1844" w:name="Notes_9"/>
      <w:bookmarkStart w:id="1845" w:name="Notes__1_A_negative_effective_ta"/>
      <w:pPr>
        <w:keepNext/>
        <w:pStyle w:val="Heading 2"/>
        <w:keepLines w:val="on"/>
      </w:pPr>
      <w:r>
        <w:t>Ghi chú</w:t>
      </w:r>
      <w:bookmarkEnd w:id="1844"/>
      <w:bookmarkEnd w:id="1845"/>
    </w:p>
    <w:p>
      <w:pPr>
        <w:pStyle w:val="Para 08"/>
      </w:pPr>
      <w:r>
        <w:t>1 Thuế suất thực tế âm thường phát sinh vì một công ty báo cáo thu nhập trong sổ sách thuế của mình (khoản mà công ty phải nộp thuế) và lỗ trong sổ sách báo cáo tài chính.</w:t>
      </w:r>
    </w:p>
    <w:p>
      <w:pPr>
        <w:pStyle w:val="Para 08"/>
      </w:pPr>
      <w:r>
        <w:t>2 Vì thuế suất thực tế dựa trên số thuế đã nộp (lấy từ báo cáo thuế) và thu nhập được báo cáo, nên thuế suất thực tế sẽ thấp hơn thuế suất biên đối với những công ty thay đổi phương pháp kế toán để thổi phồng lợi nhuận báo cáo.</w:t>
      </w:r>
    </w:p>
    <w:p>
      <w:pPr>
        <w:pStyle w:val="Para 08"/>
      </w:pPr>
      <w:r>
        <w:t>3 Chỉ có phần khấu hao được khấu trừ thuế mới thực sự quan trọng. Trong trường hợp khấu hao không được khấu trừ thuế, bạn sẽ xem xét EBIT trước khi trừ khấu hao và không tính đến nó khi ước tính chi tiêu vốn ròng.</w:t>
      </w:r>
    </w:p>
    <w:p>
      <w:bookmarkStart w:id="1849" w:name="Chapter_11Estimating_Growth"/>
      <w:bookmarkStart w:id="1850" w:name="Chapter_11Estimating_Growth__The"/>
      <w:bookmarkStart w:id="1851" w:name="Top_of_c011_xhtml"/>
      <w:pPr>
        <w:keepNext/>
        <w:pStyle w:val="Heading 1"/>
        <w:pageBreakBefore w:val="on"/>
        <w:keepLines w:val="on"/>
      </w:pPr>
      <w:r>
        <w:t>CHƯƠNG 11</w:t>
      </w:r>
      <w:r>
        <w:br/>
      </w:r>
      <w:r>
        <w:t>Ước lượng tăng trưởng</w:t>
      </w:r>
      <w:bookmarkEnd w:id="1849"/>
      <w:bookmarkEnd w:id="1850"/>
      <w:bookmarkEnd w:id="1851"/>
    </w:p>
    <w:p>
      <w:pPr>
        <w:pStyle w:val="Para 03"/>
      </w:pPr>
      <w:r>
        <w:t>Giá trị của một công ty là giá trị hiện tại của các dòng tiền kỳ vọng trong tương lai mà công ty tạo ra. Yếu tố đầu vào quan trọng nhất trong định giá, đặc biệt là với các công ty tăng trưởng cao, chính là tốc độ tăng trưởng dùng để dự báo doanh thu và lợi nhuận trong tương lai. Chương này xem xét cách ước tính tốt nhất những tốc độ tăng trưởng này cho các công ty, bao gồm cả những công ty có doanh thu thấp và lợi nhuận âm.</w:t>
      </w:r>
    </w:p>
    <w:p>
      <w:pPr>
        <w:pStyle w:val="Para 03"/>
      </w:pPr>
      <w:r>
        <w:t>Có bốn cách cơ bản để ước tính tăng trưởng cho bất kỳ công ty nào. Một là nhìn vào mức tăng trưởng lợi nhuận trong quá khứ của công ty—tức tốc độ tăng trưởng lịch sử. Mặc dù đây có thể là một yếu tố đầu vào hữu ích khi định giá các công ty ổn định, nhưng vẫn tồn tại cả những nguy hiểm lẫn hạn chế khi sử dụng tốc độ tăng trưởng này cho các công ty tăng trưởng cao. Tốc độ tăng trưởng lịch sử thường không thể ước tính được, và ngay cả khi ước tính được thì cũng không thể dựa vào đó như một ước lượng cho tăng trưởng kỳ vọng trong tương lai.</w:t>
      </w:r>
    </w:p>
    <w:p>
      <w:pPr>
        <w:pStyle w:val="Para 03"/>
      </w:pPr>
      <w:r>
        <w:t>Cách thứ hai là tin tưởng vào các chuyên gia phân tích theo dõi công ty để đưa ra ước tính tăng trưởng đúng đắn cho công ty, rồi dùng tốc độ tăng trưởng đó trong định giá. Mặc dù nhiều công ty được các chuyên gia phân tích theo dõi rộng rãi, nhưng chất lượng của các ước tính tăng trưởng, đặc biệt là trong các giai đoạn dài hơn, lại kém. Dựa vào những ước tính tăng trưởng này trong định giá có thể dẫn đến những ước tính giá trị sai lệch và không nhất quán. Một nguồn thay thế mà nhiều chuyên gia phân tích và người thẩm định giá sử dụng để dự báo tăng trưởng là ban lãnh đạo công ty, vì họ được xem là hiểu rõ hơn về vị thế cạnh tranh, kế hoạch tăng trưởng và điều kiện thị trường của công ty so với phần còn lại của thị trường.</w:t>
      </w:r>
    </w:p>
    <w:p>
      <w:pPr>
        <w:pStyle w:val="Para 03"/>
      </w:pPr>
      <w:r>
        <w:t>Cách thứ ba là ước tính tăng trưởng từ các yếu tố cơ bản của công ty. Tăng trưởng của một công ty suy cho cùng được quyết định bởi mức độ tái đầu tư vào các tài sản mới và chất lượng của những khoản đầu tư này, với đầu tư được định nghĩa bao gồm cả mua bán sáp nhập, xây dựng các kênh phân phối, hay thậm chí mở rộng năng lực tiếp thị. Bằng cách ước tính những yếu tố đầu vào này, theo một nghĩa nào đó, bạn đang ước tính tốc độ tăng trưởng cơ bản của công ty.</w:t>
      </w:r>
    </w:p>
    <w:p>
      <w:pPr>
        <w:pStyle w:val="Para 03"/>
      </w:pPr>
      <w:r>
        <w:t>Cách thứ tư, và cũng là cách tổng quát nhất, là ước tính doanh thu trong những năm tới, sau đó dự báo biên lợi nhuận trong những năm tới, và giải quyết những phần còn dang dở bằng cách đánh giá khoản tái đầu tư cần thiết để mang lại mức tăng trưởng doanh thu đó.</w:t>
      </w:r>
    </w:p>
    <w:p>
      <w:bookmarkStart w:id="1853" w:name="The_Importance_of_Growth__A_firm"/>
      <w:bookmarkStart w:id="1854" w:name="The_Importance_of_Growth"/>
      <w:pPr>
        <w:keepNext/>
        <w:pStyle w:val="Heading 2"/>
        <w:keepLines w:val="on"/>
      </w:pPr>
      <w:r>
        <w:t>Tầm quan trọng của tăng trưởng</w:t>
      </w:r>
      <w:bookmarkEnd w:id="1853"/>
      <w:bookmarkEnd w:id="1854"/>
    </w:p>
    <w:p>
      <w:pPr>
        <w:pStyle w:val="Para 03"/>
      </w:pPr>
      <w:r>
        <w:t>Một công ty có thể có giá trị vì nó sở hữu những tài sản tạo ra dòng tiền ngay bây giờ, hoặc vì nó được kỳ vọng sẽ có được những tài sản như vậy trong tương lai. Nhóm tài sản thứ nhất được phân loại là tài sản hiện hữu, và nhóm thứ hai là tài sản tăng trưởng. Hình 11.1 trình bày một bảng cân đối tài chính của một công ty. Lưu ý rằng bảng cân đối kế toán có thể rất khác so với bảng cân đối tài chính, vì việc hạch toán các tài sản tăng trưởng thường vừa thận trọng vừa không nhất quán.</w:t>
      </w:r>
    </w:p>
    <w:p>
      <w:pPr>
        <w:pStyle w:val="Para 20"/>
      </w:pPr>
      <w:r>
        <w:rPr>
          <w:rStyle w:val="Text26"/>
        </w:rPr>
        <w:bookmarkStart w:id="1856" w:name="Page_296"/>
        <w:t/>
        <w:bookmarkEnd w:id="1856"/>
      </w:r>
      <w:r>
        <w:t xml:space="preserve"> </w:t>
      </w:r>
    </w:p>
    <w:p>
      <w:bookmarkStart w:id="1857" w:name="Figure_11_1_Growth_and_Value_i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05000" cy="1143000"/>
            <wp:effectExtent l="0" r="0" t="0" b="0"/>
            <wp:wrapTopAndBottom/>
            <wp:docPr id="97" name="c11f001a.png" descr="Illustration of a financial balance sheet with the first group of assets categorized as assets in place and the next as growth assets."/>
            <wp:cNvGraphicFramePr>
              <a:graphicFrameLocks noChangeAspect="1"/>
            </wp:cNvGraphicFramePr>
            <a:graphic>
              <a:graphicData uri="http://schemas.openxmlformats.org/drawingml/2006/picture">
                <pic:pic>
                  <pic:nvPicPr>
                    <pic:cNvPr id="0" name="c11f001a.png" descr="Illustration of a financial balance sheet with the first group of assets categorized as assets in place and the next as growth assets."/>
                    <pic:cNvPicPr/>
                  </pic:nvPicPr>
                  <pic:blipFill>
                    <a:blip r:embed="rId76"/>
                    <a:stretch>
                      <a:fillRect/>
                    </a:stretch>
                  </pic:blipFill>
                  <pic:spPr>
                    <a:xfrm>
                      <a:off x="0" y="0"/>
                      <a:ext cx="1905000" cy="1143000"/>
                    </a:xfrm>
                    <a:prstGeom prst="rect">
                      <a:avLst/>
                    </a:prstGeom>
                  </pic:spPr>
                </pic:pic>
              </a:graphicData>
            </a:graphic>
          </wp:anchor>
        </w:drawing>
      </w:r>
      <w:bookmarkEnd w:id="1857"/>
    </w:p>
    <w:p>
      <w:pPr>
        <w:keepNext/>
        <w:pStyle w:val="Para 22"/>
        <w:keepLines w:val="on"/>
      </w:pPr>
      <w:r>
        <w:t>Hình 11.1 Tăng trưởng và giá trị trong bảng cân đối tài chính</w:t>
      </w:r>
    </w:p>
    <w:p>
      <w:pPr>
        <w:pStyle w:val="Para 03"/>
      </w:pPr>
      <w:r>
        <w:t>Đối với các công ty tăng trưởng cao, bảng cân đối kế toán làm rất kém việc tóm tắt giá trị tài sản của công ty vì chúng hầu như bỏ qua thành phần lớn nhất của giá trị, đó là tăng trưởng trong tương lai. Vấn đề càng trầm trọng hơn đối với những công ty đầu tư vào R&amp;D, vì giá trị sổ sách sẽ không bao gồm tài sản quan trọng nhất ở những công ty này—tài sản nghiên cứu.</w:t>
      </w:r>
    </w:p>
    <w:p>
      <w:bookmarkStart w:id="1858" w:name="Historical_Growth"/>
      <w:bookmarkStart w:id="1859" w:name="Historical_Growth__When_estimati"/>
      <w:pPr>
        <w:keepNext/>
        <w:pStyle w:val="Heading 2"/>
        <w:keepLines w:val="on"/>
      </w:pPr>
      <w:r>
        <w:t>Tăng trưởng lịch sử</w:t>
      </w:r>
      <w:bookmarkEnd w:id="1858"/>
      <w:bookmarkEnd w:id="1859"/>
    </w:p>
    <w:p>
      <w:pPr>
        <w:pStyle w:val="Para 03"/>
      </w:pPr>
      <w:r>
        <w:t>Khi ước tính tăng trưởng kỳ vọng cho một công ty, chúng ta thường bắt đầu bằng việc nhìn vào lịch sử của công ty. Hoạt động của công ty, đo bằng doanh thu hoặc lợi nhuận, đã tăng nhanh đến mức nào trong quá khứ gần đây? Mặc dù tăng trưởng trong quá khứ không phải lúc nào cũng là chỉ báo tốt cho tăng trưởng tương lai, nó vẫn truyền tải thông tin có thể hữu ích khi đưa ra các ước tính cho tương lai. Phần này bắt đầu bằng việc xem xét các vấn đề đo lường phát sinh khi ước tính tăng trưởng trong quá khứ, rồi sau đó xem xét cách sử dụng tăng trưởng quá khứ trong các dự báo.</w:t>
      </w:r>
    </w:p>
    <w:p>
      <w:bookmarkStart w:id="1860" w:name="Estimating_Historical_Growth"/>
      <w:bookmarkStart w:id="1861" w:name="Estimating_Historical_Growth__Gi"/>
      <w:pPr>
        <w:keepNext/>
        <w:pStyle w:val="Heading 3"/>
        <w:keepLines w:val="on"/>
      </w:pPr>
      <w:r>
        <w:t>Ước tính tăng trưởng lịch sử</w:t>
      </w:r>
      <w:bookmarkEnd w:id="1860"/>
      <w:bookmarkEnd w:id="1861"/>
    </w:p>
    <w:p>
      <w:pPr>
        <w:pStyle w:val="Para 03"/>
      </w:pPr>
      <w:r>
        <w:t>Với lịch sử lợi nhuận của một công ty, việc ước tính tốc độ tăng trưởng lịch sử có vẻ như là một bài tập đơn giản, nhưng có một số vấn đề đo lường có thể phát sinh. Cụ thể, bạn có thể nhận được những giá trị rất khác nhau cho tăng trưởng lịch sử, tùy thuộc vào cách tính giá trị trung bình và việc bạn có tính đến lãi kép của các giá trị theo thời gian hay không. Việc ước tính tốc độ tăng trưởng cũng có thể trở nên phức tạp do sự hiện diện của lợi nhuận âm trong quá khứ hoặc trong kỳ hiện tại.</w:t>
      </w:r>
    </w:p>
    <w:p>
      <w:bookmarkStart w:id="1862" w:name="Arithmetic_versus_Geometric_Aver_1"/>
      <w:bookmarkStart w:id="1863" w:name="Arithmetic_versus_Geometric_Aver"/>
      <w:pPr>
        <w:keepNext/>
        <w:pStyle w:val="Heading 4"/>
        <w:keepLines w:val="on"/>
      </w:pPr>
      <w:r>
        <w:t>Trung bình số học so với trung bình hình học</w:t>
      </w:r>
      <w:bookmarkEnd w:id="1862"/>
      <w:bookmarkEnd w:id="1863"/>
    </w:p>
    <w:p>
      <w:pPr>
        <w:pStyle w:val="Para 03"/>
      </w:pPr>
      <w:r>
        <w:t>Tốc độ tăng trưởng trung bình có thể khác nhau, tùy thuộc vào việc đó là trung bình số học hay trung bình hình học. Trung bình số học là trung bình đơn giản của các tốc độ tăng trưởng trong quá khứ, trong khi trung bình hình học tính đến lãi kép xảy ra từ kỳ này sang kỳ khác. Như vậy, tốc độ tăng trưởng trung bình số học và trung bình hình học cho một công ty có n năm lịch sử có thể được viết như sau:</w:t>
      </w:r>
    </w:p>
    <w:p>
      <w:bookmarkStart w:id="1865" w:name="Arithmetic_average____t____nt_1G"/>
      <w:pPr>
        <w:keepNext/>
        <w:pStyle w:val="Para 09"/>
        <w:keepLines w:val="on"/>
      </w:pPr>
      <w:r>
        <w:t>Trung bình số học=∑t=−nt=1Tốc độ tăng trưởng trong năm tnTrung bình hình học=(Lợi nhuận năm hiện tạiLợi nhuận n năm trước)(1/n)−1</w:t>
      </w:r>
      <w:bookmarkEnd w:id="1865"/>
    </w:p>
    <w:p>
      <w:pPr>
        <w:pStyle w:val="Para 03"/>
      </w:pPr>
      <w:r>
        <w:t>Hai ước tính này có thể rất khác nhau, đặc biệt là đối với những công ty có lợi nhuận biến động mạnh. Trung bình hình học là thước đo chính xác hơn nhiều về tăng trưởng thực sự của lợi nhuận trong quá khứ, đặc biệt khi tăng trưởng từng năm diễn biến thất thường.</w:t>
      </w:r>
    </w:p>
    <w:p>
      <w:pPr>
        <w:pStyle w:val="Para 03"/>
      </w:pPr>
      <w:r>
        <w:t>Trên thực tế, điểm về tốc độ tăng trưởng số học và hình học cũng áp dụng cho doanh thu, mặc dù chênh lệch giữa hai tốc độ tăng trưởng này có xu hướng nhỏ hơn đối với doanh thu so với lợi nhuận. Đối với những công ty có lợi nhuận và doanh thu biến động mạnh, những lưu ý về việc sử dụng tăng trưởng số học càng trở nên quan trọng hơn.</w:t>
      </w:r>
    </w:p>
    <w:p>
      <w:pPr>
        <w:pStyle w:val="Para 11"/>
      </w:pPr>
      <w:r>
        <w:t xml:space="preserve"> </w:t>
      </w:r>
    </w:p>
    <w:p>
      <w:bookmarkStart w:id="1866" w:name="ILLUSTRATION_11_1__Differences_b"/>
      <w:bookmarkStart w:id="1867" w:name="ILLUSTRATION_11_1__Differences_b_1"/>
      <w:pPr>
        <w:keepNext/>
        <w:pStyle w:val="Para 19"/>
        <w:keepLines w:val="on"/>
      </w:pPr>
      <w:r>
        <w:t>MINH HỌA 11.1: Khác biệt giữa trung bình số học và trung bình hình học: Amazon giai đoạn 2013–2023</w:t>
      </w:r>
      <w:bookmarkEnd w:id="1866"/>
      <w:bookmarkEnd w:id="1867"/>
    </w:p>
    <w:p>
      <w:pPr>
        <w:pStyle w:val="Para 04"/>
        <w:keepLines w:val="on"/>
      </w:pPr>
      <w:r>
        <w:t>Bảng sau đây báo cáo doanh thu, EBITDA, EBIT và thu nhập ròng của Amazon cho từng năm từ 2018 đến 2023. Tốc độ tăng trưởng trung bình số học và trung bình hình học của mỗi chuỗi số liệu được báo cáo ở cuối bảng.</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Doanh thu</w:t>
                  </w:r>
                </w:p>
              </w:tc>
              <w:tc>
                <w:tcPr>
                  <w:tcW w:type="auto" w:w="0"/>
                  <w:shd w:val="clear" w:color="auto" w:fill="F0F0F0"/>
                </w:tcPr>
                <w:p>
                  <w:pPr>
                    <w:pStyle w:val="Para 05"/>
                    <w:keepLines w:val="on"/>
                  </w:pPr>
                  <w:r>
                    <w:t>% Thay đổi</w:t>
                  </w:r>
                </w:p>
              </w:tc>
              <w:tc>
                <w:tcPr>
                  <w:tcW w:type="auto" w:w="0"/>
                  <w:shd w:val="clear" w:color="auto" w:fill="F0F0F0"/>
                </w:tcPr>
                <w:p>
                  <w:pPr>
                    <w:pStyle w:val="Para 05"/>
                    <w:keepLines w:val="on"/>
                  </w:pPr>
                  <w:r>
                    <w:t>EBITDA</w:t>
                  </w:r>
                </w:p>
              </w:tc>
              <w:tc>
                <w:tcPr>
                  <w:tcW w:type="auto" w:w="0"/>
                  <w:shd w:val="clear" w:color="auto" w:fill="F0F0F0"/>
                </w:tcPr>
                <w:p>
                  <w:pPr>
                    <w:pStyle w:val="Para 05"/>
                    <w:keepLines w:val="on"/>
                  </w:pPr>
                  <w:r>
                    <w:t>% Thay đổi</w:t>
                  </w:r>
                </w:p>
              </w:tc>
              <w:tc>
                <w:tcPr>
                  <w:tcW w:type="auto" w:w="0"/>
                  <w:shd w:val="clear" w:color="auto" w:fill="F0F0F0"/>
                </w:tcPr>
                <w:p>
                  <w:pPr>
                    <w:pStyle w:val="Para 05"/>
                    <w:keepLines w:val="on"/>
                  </w:pPr>
                  <w:r>
                    <w:t>EBIT</w:t>
                  </w:r>
                </w:p>
              </w:tc>
              <w:tc>
                <w:tcPr>
                  <w:tcW w:type="auto" w:w="0"/>
                  <w:shd w:val="clear" w:color="auto" w:fill="F0F0F0"/>
                </w:tcPr>
                <w:p>
                  <w:pPr>
                    <w:pStyle w:val="Para 05"/>
                    <w:keepLines w:val="on"/>
                  </w:pPr>
                  <w:r>
                    <w:t>% Thay đổi</w:t>
                  </w:r>
                </w:p>
              </w:tc>
              <w:tc>
                <w:tcPr>
                  <w:tcW w:type="auto" w:w="0"/>
                  <w:shd w:val="clear" w:color="auto" w:fill="F0F0F0"/>
                </w:tcPr>
                <w:p>
                  <w:pPr>
                    <w:pStyle w:val="Para 05"/>
                    <w:keepLines w:val="on"/>
                  </w:pPr>
                  <w:r>
                    <w:t>Lợi nhuận ròng</w:t>
                  </w:r>
                </w:p>
              </w:tc>
              <w:tc>
                <w:tcPr>
                  <w:tcW w:type="auto" w:w="0"/>
                  <w:shd w:val="clear" w:color="auto" w:fill="F0F0F0"/>
                </w:tcPr>
                <w:p>
                  <w:pPr>
                    <w:pStyle w:val="Para 05"/>
                    <w:keepLines w:val="on"/>
                  </w:pPr>
                  <w:r>
                    <w:t>% Thay đổi</w:t>
                  </w:r>
                </w:p>
              </w:tc>
            </w:tr>
            <w:tr>
              <w:tc>
                <w:tcPr>
                  <w:tcW w:type="auto" w:w="0"/>
                  <w:shd w:val="clear" w:color="auto" w:fill="F0F0F0"/>
                </w:tcPr>
                <w:p>
                  <w:pPr>
                    <w:pStyle w:val="Normal"/>
                    <w:keepLines w:val="on"/>
                  </w:pPr>
                  <w:r>
                    <w:t>2018</w:t>
                  </w:r>
                </w:p>
              </w:tc>
              <w:tc>
                <w:tcPr>
                  <w:tcW w:type="auto" w:w="0"/>
                  <w:shd w:val="clear" w:color="auto" w:fill="F0F0F0"/>
                </w:tcPr>
                <w:p>
                  <w:pPr>
                    <w:pStyle w:val="Normal"/>
                    <w:keepLines w:val="on"/>
                  </w:pPr>
                  <w:r>
                    <w:t>$232,887</w:t>
                  </w:r>
                </w:p>
              </w:tc>
              <w:tc>
                <w:tcPr>
                  <w:tcW w:type="auto" w:w="0"/>
                  <w:shd w:val="clear" w:color="auto" w:fill="F0F0F0"/>
                </w:tcPr>
                <w:p>
                  <w:pPr>
                    <w:pStyle w:val="7 Block"/>
                    <w:keepLines w:val="on"/>
                  </w:pPr>
                </w:p>
              </w:tc>
              <w:tc>
                <w:tcPr>
                  <w:tcW w:type="auto" w:w="0"/>
                  <w:shd w:val="clear" w:color="auto" w:fill="F0F0F0"/>
                </w:tcPr>
                <w:p>
                  <w:pPr>
                    <w:pStyle w:val="Normal"/>
                    <w:keepLines w:val="on"/>
                  </w:pPr>
                  <w:r>
                    <w:t>$36,330</w:t>
                  </w:r>
                </w:p>
              </w:tc>
              <w:tc>
                <w:tcPr>
                  <w:tcW w:type="auto" w:w="0"/>
                  <w:shd w:val="clear" w:color="auto" w:fill="F0F0F0"/>
                </w:tcPr>
                <w:p>
                  <w:pPr>
                    <w:pStyle w:val="7 Block"/>
                    <w:keepLines w:val="on"/>
                  </w:pPr>
                </w:p>
              </w:tc>
              <w:tc>
                <w:tcPr>
                  <w:tcW w:type="auto" w:w="0"/>
                  <w:shd w:val="clear" w:color="auto" w:fill="F0F0F0"/>
                </w:tcPr>
                <w:p>
                  <w:pPr>
                    <w:pStyle w:val="Normal"/>
                    <w:keepLines w:val="on"/>
                  </w:pPr>
                  <w:r>
                    <w:t>$14,541</w:t>
                  </w:r>
                </w:p>
              </w:tc>
              <w:tc>
                <w:tcPr>
                  <w:tcW w:type="auto" w:w="0"/>
                  <w:shd w:val="clear" w:color="auto" w:fill="F0F0F0"/>
                </w:tcPr>
                <w:p>
                  <w:pPr>
                    <w:pStyle w:val="7 Block"/>
                    <w:keepLines w:val="on"/>
                  </w:pPr>
                </w:p>
              </w:tc>
              <w:tc>
                <w:tcPr>
                  <w:tcW w:type="auto" w:w="0"/>
                  <w:shd w:val="clear" w:color="auto" w:fill="F0F0F0"/>
                </w:tcPr>
                <w:p>
                  <w:pPr>
                    <w:pStyle w:val="Normal"/>
                    <w:keepLines w:val="on"/>
                  </w:pPr>
                  <w:r>
                    <w:t>$11,588</w:t>
                  </w:r>
                </w:p>
              </w:tc>
              <w:tc>
                <w:tcPr>
                  <w:tcW w:type="auto" w:w="0"/>
                  <w:shd w:val="clear" w:color="auto" w:fill="F0F0F0"/>
                </w:tcPr>
                <w:p>
                  <w:pPr>
                    <w:pStyle w:val="7 Block"/>
                    <w:keepLines w:val="on"/>
                  </w:pPr>
                </w:p>
              </w:tc>
            </w:tr>
            <w:tr>
              <w:tc>
                <w:tcPr>
                  <w:tcW w:type="auto" w:w="0"/>
                  <w:shd w:val="clear" w:color="auto" w:fill="F0F0F0"/>
                </w:tcPr>
                <w:p>
                  <w:pPr>
                    <w:pStyle w:val="Normal"/>
                    <w:keepLines w:val="on"/>
                  </w:pPr>
                  <w:r>
                    <w:t>2019</w:t>
                  </w:r>
                </w:p>
              </w:tc>
              <w:tc>
                <w:tcPr>
                  <w:tcW w:type="auto" w:w="0"/>
                  <w:shd w:val="clear" w:color="auto" w:fill="F0F0F0"/>
                </w:tcPr>
                <w:p>
                  <w:pPr>
                    <w:pStyle w:val="Normal"/>
                    <w:keepLines w:val="on"/>
                  </w:pPr>
                  <w:r>
                    <w:t>$280,522</w:t>
                  </w:r>
                </w:p>
              </w:tc>
              <w:tc>
                <w:tcPr>
                  <w:tcW w:type="auto" w:w="0"/>
                  <w:shd w:val="clear" w:color="auto" w:fill="F0F0F0"/>
                </w:tcPr>
                <w:p>
                  <w:pPr>
                    <w:pStyle w:val="Normal"/>
                    <w:keepLines w:val="on"/>
                  </w:pPr>
                  <w:r>
                    <w:t>20.45%</w:t>
                  </w:r>
                </w:p>
              </w:tc>
              <w:tc>
                <w:tcPr>
                  <w:tcW w:type="auto" w:w="0"/>
                  <w:shd w:val="clear" w:color="auto" w:fill="F0F0F0"/>
                </w:tcPr>
                <w:p>
                  <w:pPr>
                    <w:pStyle w:val="Normal"/>
                    <w:keepLines w:val="on"/>
                  </w:pPr>
                  <w:r>
                    <w:t>$48,079</w:t>
                  </w:r>
                </w:p>
              </w:tc>
              <w:tc>
                <w:tcPr>
                  <w:tcW w:type="auto" w:w="0"/>
                  <w:shd w:val="clear" w:color="auto" w:fill="F0F0F0"/>
                </w:tcPr>
                <w:p>
                  <w:pPr>
                    <w:pStyle w:val="Normal"/>
                    <w:keepLines w:val="on"/>
                  </w:pPr>
                  <w:r>
                    <w:t>32.34%</w:t>
                  </w:r>
                </w:p>
              </w:tc>
              <w:tc>
                <w:tcPr>
                  <w:tcW w:type="auto" w:w="0"/>
                  <w:shd w:val="clear" w:color="auto" w:fill="F0F0F0"/>
                </w:tcPr>
                <w:p>
                  <w:pPr>
                    <w:pStyle w:val="Normal"/>
                    <w:keepLines w:val="on"/>
                  </w:pPr>
                  <w:r>
                    <w:t>$22,899</w:t>
                  </w:r>
                </w:p>
              </w:tc>
              <w:tc>
                <w:tcPr>
                  <w:tcW w:type="auto" w:w="0"/>
                  <w:shd w:val="clear" w:color="auto" w:fill="F0F0F0"/>
                </w:tcPr>
                <w:p>
                  <w:pPr>
                    <w:pStyle w:val="Normal"/>
                    <w:keepLines w:val="on"/>
                  </w:pPr>
                  <w:r>
                    <w:t>57.48%</w:t>
                  </w:r>
                </w:p>
              </w:tc>
              <w:tc>
                <w:tcPr>
                  <w:tcW w:type="auto" w:w="0"/>
                  <w:shd w:val="clear" w:color="auto" w:fill="F0F0F0"/>
                </w:tcPr>
                <w:p>
                  <w:pPr>
                    <w:pStyle w:val="Normal"/>
                    <w:keepLines w:val="on"/>
                  </w:pPr>
                  <w:r>
                    <w:t>$21,331</w:t>
                  </w:r>
                </w:p>
              </w:tc>
              <w:tc>
                <w:tcPr>
                  <w:tcW w:type="auto" w:w="0"/>
                  <w:shd w:val="clear" w:color="auto" w:fill="F0F0F0"/>
                </w:tcPr>
                <w:p>
                  <w:pPr>
                    <w:pStyle w:val="Normal"/>
                    <w:keepLines w:val="on"/>
                  </w:pPr>
                  <w:r>
                    <w:t>84.08%</w:t>
                  </w:r>
                </w:p>
              </w:tc>
            </w:tr>
            <w:tr>
              <w:tc>
                <w:tcPr>
                  <w:tcW w:type="auto" w:w="0"/>
                  <w:shd w:val="clear" w:color="auto" w:fill="F0F0F0"/>
                </w:tcPr>
                <w:p>
                  <w:pPr>
                    <w:pStyle w:val="Normal"/>
                    <w:keepLines w:val="on"/>
                  </w:pPr>
                  <w:r>
                    <w:t>2020</w:t>
                  </w:r>
                </w:p>
              </w:tc>
              <w:tc>
                <w:tcPr>
                  <w:tcW w:type="auto" w:w="0"/>
                  <w:shd w:val="clear" w:color="auto" w:fill="F0F0F0"/>
                </w:tcPr>
                <w:p>
                  <w:pPr>
                    <w:pStyle w:val="Normal"/>
                    <w:keepLines w:val="on"/>
                  </w:pPr>
                  <w:r>
                    <w:t>$386,064</w:t>
                  </w:r>
                </w:p>
              </w:tc>
              <w:tc>
                <w:tcPr>
                  <w:tcW w:type="auto" w:w="0"/>
                  <w:shd w:val="clear" w:color="auto" w:fill="F0F0F0"/>
                </w:tcPr>
                <w:p>
                  <w:pPr>
                    <w:pStyle w:val="Normal"/>
                    <w:keepLines w:val="on"/>
                  </w:pPr>
                  <w:r>
                    <w:t>37,62%</w:t>
                  </w:r>
                </w:p>
              </w:tc>
              <w:tc>
                <w:tcPr>
                  <w:tcW w:type="auto" w:w="0"/>
                  <w:shd w:val="clear" w:color="auto" w:fill="F0F0F0"/>
                </w:tcPr>
                <w:p>
                  <w:pPr>
                    <w:pStyle w:val="Normal"/>
                    <w:keepLines w:val="on"/>
                  </w:pPr>
                  <w:r>
                    <w:t>$59.312</w:t>
                  </w:r>
                </w:p>
              </w:tc>
              <w:tc>
                <w:tcPr>
                  <w:tcW w:type="auto" w:w="0"/>
                  <w:shd w:val="clear" w:color="auto" w:fill="F0F0F0"/>
                </w:tcPr>
                <w:p>
                  <w:pPr>
                    <w:pStyle w:val="Normal"/>
                    <w:keepLines w:val="on"/>
                  </w:pPr>
                  <w:r>
                    <w:t>23,36%</w:t>
                  </w:r>
                </w:p>
              </w:tc>
              <w:tc>
                <w:tcPr>
                  <w:tcW w:type="auto" w:w="0"/>
                  <w:shd w:val="clear" w:color="auto" w:fill="F0F0F0"/>
                </w:tcPr>
                <w:p>
                  <w:pPr>
                    <w:pStyle w:val="Normal"/>
                    <w:keepLines w:val="on"/>
                  </w:pPr>
                  <w:r>
                    <w:t>$24.879</w:t>
                  </w:r>
                </w:p>
              </w:tc>
              <w:tc>
                <w:tcPr>
                  <w:tcW w:type="auto" w:w="0"/>
                  <w:shd w:val="clear" w:color="auto" w:fill="F0F0F0"/>
                </w:tcPr>
                <w:p>
                  <w:pPr>
                    <w:pStyle w:val="Normal"/>
                    <w:keepLines w:val="on"/>
                  </w:pPr>
                  <w:r>
                    <w:t>8,65%</w:t>
                  </w:r>
                </w:p>
              </w:tc>
              <w:tc>
                <w:tcPr>
                  <w:tcW w:type="auto" w:w="0"/>
                  <w:shd w:val="clear" w:color="auto" w:fill="F0F0F0"/>
                </w:tcPr>
                <w:p>
                  <w:pPr>
                    <w:pStyle w:val="Normal"/>
                    <w:keepLines w:val="on"/>
                  </w:pPr>
                  <w:r>
                    <w:t>$33.364</w:t>
                  </w:r>
                </w:p>
              </w:tc>
              <w:tc>
                <w:tcPr>
                  <w:tcW w:type="auto" w:w="0"/>
                  <w:shd w:val="clear" w:color="auto" w:fill="F0F0F0"/>
                </w:tcPr>
                <w:p>
                  <w:pPr>
                    <w:pStyle w:val="Normal"/>
                    <w:keepLines w:val="on"/>
                  </w:pPr>
                  <w:r>
                    <w:t>56,41%</w:t>
                  </w:r>
                </w:p>
              </w:tc>
            </w:tr>
            <w:tr>
              <w:tc>
                <w:tcPr>
                  <w:tcW w:type="auto" w:w="0"/>
                  <w:shd w:val="clear" w:color="auto" w:fill="F0F0F0"/>
                </w:tcPr>
                <w:p>
                  <w:pPr>
                    <w:pStyle w:val="Normal"/>
                    <w:keepLines w:val="on"/>
                  </w:pPr>
                  <w:r>
                    <w:t>2021</w:t>
                  </w:r>
                </w:p>
              </w:tc>
              <w:tc>
                <w:tcPr>
                  <w:tcW w:type="auto" w:w="0"/>
                  <w:shd w:val="clear" w:color="auto" w:fill="F0F0F0"/>
                </w:tcPr>
                <w:p>
                  <w:pPr>
                    <w:pStyle w:val="Normal"/>
                    <w:keepLines w:val="on"/>
                  </w:pPr>
                  <w:r>
                    <w:t>$469.822</w:t>
                  </w:r>
                </w:p>
              </w:tc>
              <w:tc>
                <w:tcPr>
                  <w:tcW w:type="auto" w:w="0"/>
                  <w:shd w:val="clear" w:color="auto" w:fill="F0F0F0"/>
                </w:tcPr>
                <w:p>
                  <w:pPr>
                    <w:pStyle w:val="Normal"/>
                    <w:keepLines w:val="on"/>
                  </w:pPr>
                  <w:r>
                    <w:t>21,70%</w:t>
                  </w:r>
                </w:p>
              </w:tc>
              <w:tc>
                <w:tcPr>
                  <w:tcW w:type="auto" w:w="0"/>
                  <w:shd w:val="clear" w:color="auto" w:fill="F0F0F0"/>
                </w:tcPr>
                <w:p>
                  <w:pPr>
                    <w:pStyle w:val="Normal"/>
                    <w:keepLines w:val="on"/>
                  </w:pPr>
                  <w:r>
                    <w:t>$55.269</w:t>
                  </w:r>
                </w:p>
              </w:tc>
              <w:tc>
                <w:tcPr>
                  <w:tcW w:type="auto" w:w="0"/>
                  <w:shd w:val="clear" w:color="auto" w:fill="F0F0F0"/>
                </w:tcPr>
                <w:p>
                  <w:pPr>
                    <w:pStyle w:val="Normal"/>
                    <w:keepLines w:val="on"/>
                  </w:pPr>
                  <w:r>
                    <w:t>–6,82%</w:t>
                  </w:r>
                </w:p>
              </w:tc>
              <w:tc>
                <w:tcPr>
                  <w:tcW w:type="auto" w:w="0"/>
                  <w:shd w:val="clear" w:color="auto" w:fill="F0F0F0"/>
                </w:tcPr>
                <w:p>
                  <w:pPr>
                    <w:pStyle w:val="Normal"/>
                    <w:keepLines w:val="on"/>
                  </w:pPr>
                  <w:r>
                    <w:t>$13.348</w:t>
                  </w:r>
                </w:p>
              </w:tc>
              <w:tc>
                <w:tcPr>
                  <w:tcW w:type="auto" w:w="0"/>
                  <w:shd w:val="clear" w:color="auto" w:fill="F0F0F0"/>
                </w:tcPr>
                <w:p>
                  <w:pPr>
                    <w:pStyle w:val="Normal"/>
                    <w:keepLines w:val="on"/>
                  </w:pPr>
                  <w:r>
                    <w:t>–46,35%</w:t>
                  </w:r>
                </w:p>
              </w:tc>
              <w:tc>
                <w:tcPr>
                  <w:tcW w:type="auto" w:w="0"/>
                  <w:shd w:val="clear" w:color="auto" w:fill="F0F0F0"/>
                </w:tcPr>
                <w:p>
                  <w:pPr>
                    <w:pStyle w:val="Normal"/>
                    <w:keepLines w:val="on"/>
                  </w:pPr>
                  <w:r>
                    <w:t>–$ 2.722</w:t>
                  </w:r>
                </w:p>
              </w:tc>
              <w:tc>
                <w:tcPr>
                  <w:tcW w:type="auto" w:w="0"/>
                  <w:shd w:val="clear" w:color="auto" w:fill="F0F0F0"/>
                </w:tcPr>
                <w:p>
                  <w:pPr>
                    <w:pStyle w:val="Normal"/>
                    <w:keepLines w:val="on"/>
                  </w:pPr>
                  <w:r>
                    <w:t>–108,16%</w:t>
                  </w:r>
                </w:p>
              </w:tc>
            </w:tr>
            <w:tr>
              <w:tc>
                <w:tcPr>
                  <w:tcW w:type="auto" w:w="0"/>
                  <w:shd w:val="clear" w:color="auto" w:fill="F0F0F0"/>
                </w:tcPr>
                <w:p>
                  <w:pPr>
                    <w:pStyle w:val="Normal"/>
                    <w:keepLines w:val="on"/>
                  </w:pPr>
                  <w:r>
                    <w:t>2022</w:t>
                  </w:r>
                </w:p>
              </w:tc>
              <w:tc>
                <w:tcPr>
                  <w:tcW w:type="auto" w:w="0"/>
                  <w:shd w:val="clear" w:color="auto" w:fill="F0F0F0"/>
                </w:tcPr>
                <w:p>
                  <w:pPr>
                    <w:pStyle w:val="Normal"/>
                    <w:keepLines w:val="on"/>
                  </w:pPr>
                  <w:r>
                    <w:t>$513.983</w:t>
                  </w:r>
                </w:p>
              </w:tc>
              <w:tc>
                <w:tcPr>
                  <w:tcW w:type="auto" w:w="0"/>
                  <w:shd w:val="clear" w:color="auto" w:fill="F0F0F0"/>
                </w:tcPr>
                <w:p>
                  <w:pPr>
                    <w:pStyle w:val="Normal"/>
                    <w:keepLines w:val="on"/>
                  </w:pPr>
                  <w:r>
                    <w:t>9,40%</w:t>
                  </w:r>
                </w:p>
              </w:tc>
              <w:tc>
                <w:tcPr>
                  <w:tcW w:type="auto" w:w="0"/>
                  <w:shd w:val="clear" w:color="auto" w:fill="F0F0F0"/>
                </w:tcPr>
                <w:p>
                  <w:pPr>
                    <w:pStyle w:val="Normal"/>
                    <w:keepLines w:val="on"/>
                  </w:pPr>
                  <w:r>
                    <w:t>$85.515</w:t>
                  </w:r>
                </w:p>
              </w:tc>
              <w:tc>
                <w:tcPr>
                  <w:tcW w:type="auto" w:w="0"/>
                  <w:shd w:val="clear" w:color="auto" w:fill="F0F0F0"/>
                </w:tcPr>
                <w:p>
                  <w:pPr>
                    <w:pStyle w:val="Normal"/>
                    <w:keepLines w:val="on"/>
                  </w:pPr>
                  <w:r>
                    <w:t>54,73%</w:t>
                  </w:r>
                </w:p>
              </w:tc>
              <w:tc>
                <w:tcPr>
                  <w:tcW w:type="auto" w:w="0"/>
                  <w:shd w:val="clear" w:color="auto" w:fill="F0F0F0"/>
                </w:tcPr>
                <w:p>
                  <w:pPr>
                    <w:pStyle w:val="Normal"/>
                    <w:keepLines w:val="on"/>
                  </w:pPr>
                  <w:r>
                    <w:t>$36.852</w:t>
                  </w:r>
                </w:p>
              </w:tc>
              <w:tc>
                <w:tcPr>
                  <w:tcW w:type="auto" w:w="0"/>
                  <w:shd w:val="clear" w:color="auto" w:fill="F0F0F0"/>
                </w:tcPr>
                <w:p>
                  <w:pPr>
                    <w:pStyle w:val="Normal"/>
                    <w:keepLines w:val="on"/>
                  </w:pPr>
                  <w:r>
                    <w:t>176,09%</w:t>
                  </w:r>
                </w:p>
              </w:tc>
              <w:tc>
                <w:tcPr>
                  <w:tcW w:type="auto" w:w="0"/>
                  <w:shd w:val="clear" w:color="auto" w:fill="F0F0F0"/>
                </w:tcPr>
                <w:p>
                  <w:pPr>
                    <w:pStyle w:val="Normal"/>
                    <w:keepLines w:val="on"/>
                  </w:pPr>
                  <w:r>
                    <w:t>$30.425</w:t>
                  </w:r>
                </w:p>
              </w:tc>
              <w:tc>
                <w:tcPr>
                  <w:tcW w:type="auto" w:w="0"/>
                  <w:shd w:val="clear" w:color="auto" w:fill="F0F0F0"/>
                </w:tcPr>
                <w:p>
                  <w:pPr>
                    <w:pStyle w:val="Normal"/>
                    <w:keepLines w:val="on"/>
                  </w:pPr>
                  <w:r>
                    <w:t>NA</w:t>
                  </w:r>
                </w:p>
              </w:tc>
            </w:tr>
            <w:tr>
              <w:tc>
                <w:tcPr>
                  <w:tcW w:type="auto" w:w="0"/>
                  <w:shd w:val="clear" w:color="auto" w:fill="F0F0F0"/>
                </w:tcPr>
                <w:p>
                  <w:pPr>
                    <w:pStyle w:val="Normal"/>
                    <w:keepLines w:val="on"/>
                  </w:pPr>
                  <w:r>
                    <w:t>2023</w:t>
                  </w:r>
                </w:p>
              </w:tc>
              <w:tc>
                <w:tcPr>
                  <w:tcW w:type="auto" w:w="0"/>
                  <w:shd w:val="clear" w:color="auto" w:fill="F0F0F0"/>
                </w:tcPr>
                <w:p>
                  <w:pPr>
                    <w:pStyle w:val="Normal"/>
                    <w:keepLines w:val="on"/>
                  </w:pPr>
                  <w:r>
                    <w:t>$574.785</w:t>
                  </w:r>
                </w:p>
              </w:tc>
              <w:tc>
                <w:tcPr>
                  <w:tcW w:type="auto" w:w="0"/>
                  <w:shd w:val="clear" w:color="auto" w:fill="F0F0F0"/>
                </w:tcPr>
                <w:p>
                  <w:pPr>
                    <w:pStyle w:val="Normal"/>
                    <w:keepLines w:val="on"/>
                  </w:pPr>
                  <w:r>
                    <w:t>11,83%</w:t>
                  </w:r>
                </w:p>
              </w:tc>
              <w:tc>
                <w:tcPr>
                  <w:tcW w:type="auto" w:w="0"/>
                  <w:shd w:val="clear" w:color="auto" w:fill="F0F0F0"/>
                </w:tcPr>
                <w:p>
                  <w:pPr>
                    <w:pStyle w:val="Normal"/>
                    <w:keepLines w:val="on"/>
                  </w:pPr>
                  <w:r>
                    <w:t>$96.609</w:t>
                  </w:r>
                </w:p>
              </w:tc>
              <w:tc>
                <w:tcPr>
                  <w:tcW w:type="auto" w:w="0"/>
                  <w:shd w:val="clear" w:color="auto" w:fill="F0F0F0"/>
                </w:tcPr>
                <w:p>
                  <w:pPr>
                    <w:pStyle w:val="Normal"/>
                    <w:keepLines w:val="on"/>
                  </w:pPr>
                  <w:r>
                    <w:t>12,97%</w:t>
                  </w:r>
                </w:p>
              </w:tc>
              <w:tc>
                <w:tcPr>
                  <w:tcW w:type="auto" w:w="0"/>
                  <w:shd w:val="clear" w:color="auto" w:fill="F0F0F0"/>
                </w:tcPr>
                <w:p>
                  <w:pPr>
                    <w:pStyle w:val="Normal"/>
                    <w:keepLines w:val="on"/>
                  </w:pPr>
                  <w:r>
                    <w:t>$47.385</w:t>
                  </w:r>
                </w:p>
              </w:tc>
              <w:tc>
                <w:tcPr>
                  <w:tcW w:type="auto" w:w="0"/>
                  <w:shd w:val="clear" w:color="auto" w:fill="F0F0F0"/>
                </w:tcPr>
                <w:p>
                  <w:pPr>
                    <w:pStyle w:val="Normal"/>
                    <w:keepLines w:val="on"/>
                  </w:pPr>
                  <w:r>
                    <w:t>28,58%</w:t>
                  </w:r>
                </w:p>
              </w:tc>
              <w:tc>
                <w:tcPr>
                  <w:tcW w:type="auto" w:w="0"/>
                  <w:shd w:val="clear" w:color="auto" w:fill="F0F0F0"/>
                </w:tcPr>
                <w:p>
                  <w:pPr>
                    <w:pStyle w:val="Normal"/>
                    <w:keepLines w:val="on"/>
                  </w:pPr>
                  <w:r>
                    <w:t>$37.684</w:t>
                  </w:r>
                </w:p>
              </w:tc>
              <w:tc>
                <w:tcPr>
                  <w:tcW w:type="auto" w:w="0"/>
                  <w:shd w:val="clear" w:color="auto" w:fill="F0F0F0"/>
                </w:tcPr>
                <w:p>
                  <w:pPr>
                    <w:pStyle w:val="Normal"/>
                    <w:keepLines w:val="on"/>
                  </w:pPr>
                  <w:r>
                    <w:t>23,86%</w:t>
                  </w:r>
                </w:p>
              </w:tc>
            </w:tr>
            <w:tr>
              <w:tc>
                <w:tcPr>
                  <w:tcW w:type="auto" w:w="0"/>
                  <w:shd w:val="clear" w:color="auto" w:fill="F0F0F0"/>
                  <w:hMerge w:val="restart"/>
                </w:tcPr>
                <w:p>
                  <w:pPr>
                    <w:pStyle w:val="Para 02"/>
                    <w:keepLines w:val="on"/>
                  </w:pPr>
                  <w:r>
                    <w:t>Trung bình cộng</w:t>
                  </w:r>
                </w:p>
              </w:tc>
              <w:tc>
                <w:tcPr>
                  <w:hMerge w:val="continue"/>
                </w:tcPr>
                <w:p/>
              </w:tc>
              <w:tc>
                <w:tcPr>
                  <w:tcW w:type="auto" w:w="0"/>
                  <w:shd w:val="clear" w:color="auto" w:fill="F0F0F0"/>
                </w:tcPr>
                <w:p>
                  <w:pPr>
                    <w:pStyle w:val="Normal"/>
                    <w:keepLines w:val="on"/>
                  </w:pPr>
                  <w:r>
                    <w:t>20,20%</w:t>
                  </w:r>
                </w:p>
              </w:tc>
              <w:tc>
                <w:tcPr>
                  <w:tcW w:type="auto" w:w="0"/>
                  <w:shd w:val="clear" w:color="auto" w:fill="F0F0F0"/>
                </w:tcPr>
                <w:p>
                  <w:pPr>
                    <w:pStyle w:val="5 Block"/>
                    <w:keepLines w:val="on"/>
                  </w:pPr>
                </w:p>
              </w:tc>
              <w:tc>
                <w:tcPr>
                  <w:tcW w:type="auto" w:w="0"/>
                  <w:shd w:val="clear" w:color="auto" w:fill="F0F0F0"/>
                </w:tcPr>
                <w:p>
                  <w:pPr>
                    <w:pStyle w:val="Normal"/>
                    <w:keepLines w:val="on"/>
                  </w:pPr>
                  <w:r>
                    <w:t>23,32%</w:t>
                  </w:r>
                </w:p>
              </w:tc>
              <w:tc>
                <w:tcPr>
                  <w:tcW w:type="auto" w:w="0"/>
                  <w:shd w:val="clear" w:color="auto" w:fill="F0F0F0"/>
                </w:tcPr>
                <w:p>
                  <w:pPr>
                    <w:pStyle w:val="5 Block"/>
                    <w:keepLines w:val="on"/>
                  </w:pPr>
                </w:p>
              </w:tc>
              <w:tc>
                <w:tcPr>
                  <w:tcW w:type="auto" w:w="0"/>
                  <w:shd w:val="clear" w:color="auto" w:fill="F0F0F0"/>
                </w:tcPr>
                <w:p>
                  <w:pPr>
                    <w:pStyle w:val="Normal"/>
                    <w:keepLines w:val="on"/>
                  </w:pPr>
                  <w:r>
                    <w:t>44,89%</w:t>
                  </w:r>
                </w:p>
              </w:tc>
              <w:tc>
                <w:tcPr>
                  <w:tcW w:type="auto" w:w="0"/>
                  <w:shd w:val="clear" w:color="auto" w:fill="F0F0F0"/>
                </w:tcPr>
                <w:p>
                  <w:pPr>
                    <w:pStyle w:val="5 Block"/>
                    <w:keepLines w:val="on"/>
                  </w:pPr>
                </w:p>
              </w:tc>
              <w:tc>
                <w:tcPr>
                  <w:tcW w:type="auto" w:w="0"/>
                  <w:shd w:val="clear" w:color="auto" w:fill="F0F0F0"/>
                </w:tcPr>
                <w:p>
                  <w:pPr>
                    <w:pStyle w:val="Normal"/>
                    <w:keepLines w:val="on"/>
                  </w:pPr>
                  <w:r>
                    <w:t>14,05%</w:t>
                  </w:r>
                </w:p>
              </w:tc>
            </w:tr>
            <w:tr>
              <w:tc>
                <w:tcPr>
                  <w:tcW w:type="auto" w:w="0"/>
                  <w:shd w:val="clear" w:color="auto" w:fill="F0F0F0"/>
                  <w:hMerge w:val="restart"/>
                </w:tcPr>
                <w:p>
                  <w:pPr>
                    <w:pStyle w:val="Para 02"/>
                    <w:keepLines w:val="on"/>
                  </w:pPr>
                  <w:r>
                    <w:t>Trung bình nhân</w:t>
                  </w:r>
                </w:p>
              </w:tc>
              <w:tc>
                <w:tcPr>
                  <w:hMerge w:val="continue"/>
                </w:tcPr>
                <w:p/>
              </w:tc>
              <w:tc>
                <w:tcPr>
                  <w:tcW w:type="auto" w:w="0"/>
                  <w:shd w:val="clear" w:color="auto" w:fill="F0F0F0"/>
                </w:tcPr>
                <w:p>
                  <w:pPr>
                    <w:pStyle w:val="Normal"/>
                    <w:keepLines w:val="on"/>
                  </w:pPr>
                  <w:r>
                    <w:t>19,80%</w:t>
                  </w:r>
                </w:p>
              </w:tc>
              <w:tc>
                <w:tcPr>
                  <w:tcW w:type="auto" w:w="0"/>
                  <w:shd w:val="clear" w:color="auto" w:fill="F0F0F0"/>
                </w:tcPr>
                <w:p>
                  <w:pPr>
                    <w:pStyle w:val="5 Block"/>
                    <w:keepLines w:val="on"/>
                  </w:pPr>
                </w:p>
              </w:tc>
              <w:tc>
                <w:tcPr>
                  <w:tcW w:type="auto" w:w="0"/>
                  <w:shd w:val="clear" w:color="auto" w:fill="F0F0F0"/>
                </w:tcPr>
                <w:p>
                  <w:pPr>
                    <w:pStyle w:val="Normal"/>
                    <w:keepLines w:val="on"/>
                  </w:pPr>
                  <w:r>
                    <w:t>21,60%</w:t>
                  </w:r>
                </w:p>
              </w:tc>
              <w:tc>
                <w:tcPr>
                  <w:tcW w:type="auto" w:w="0"/>
                  <w:shd w:val="clear" w:color="auto" w:fill="F0F0F0"/>
                </w:tcPr>
                <w:p>
                  <w:pPr>
                    <w:pStyle w:val="5 Block"/>
                    <w:keepLines w:val="on"/>
                  </w:pPr>
                </w:p>
              </w:tc>
              <w:tc>
                <w:tcPr>
                  <w:tcW w:type="auto" w:w="0"/>
                  <w:shd w:val="clear" w:color="auto" w:fill="F0F0F0"/>
                </w:tcPr>
                <w:p>
                  <w:pPr>
                    <w:pStyle w:val="Normal"/>
                    <w:keepLines w:val="on"/>
                  </w:pPr>
                  <w:r>
                    <w:t>26,65%</w:t>
                  </w:r>
                </w:p>
              </w:tc>
              <w:tc>
                <w:tcPr>
                  <w:tcW w:type="auto" w:w="0"/>
                  <w:shd w:val="clear" w:color="auto" w:fill="F0F0F0"/>
                </w:tcPr>
                <w:p>
                  <w:pPr>
                    <w:pStyle w:val="5 Block"/>
                    <w:keepLines w:val="on"/>
                  </w:pPr>
                </w:p>
              </w:tc>
              <w:tc>
                <w:tcPr>
                  <w:tcW w:type="auto" w:w="0"/>
                  <w:shd w:val="clear" w:color="auto" w:fill="F0F0F0"/>
                </w:tcPr>
                <w:p>
                  <w:pPr>
                    <w:pStyle w:val="Normal"/>
                    <w:keepLines w:val="on"/>
                  </w:pPr>
                  <w:r>
                    <w:t>26,60%</w:t>
                  </w:r>
                </w:p>
              </w:tc>
            </w:tr>
            <w:tr>
              <w:tc>
                <w:tcPr>
                  <w:tcW w:type="auto" w:w="0"/>
                  <w:shd w:val="clear" w:color="auto" w:fill="F0F0F0"/>
                  <w:hMerge w:val="restart"/>
                </w:tcPr>
                <w:p>
                  <w:pPr>
                    <w:pStyle w:val="Para 02"/>
                    <w:keepLines w:val="on"/>
                  </w:pPr>
                  <w:r>
                    <w:t>Độ lệch chuẩn</w:t>
                  </w:r>
                </w:p>
              </w:tc>
              <w:tc>
                <w:tcPr>
                  <w:hMerge w:val="continue"/>
                </w:tcPr>
                <w:p/>
              </w:tc>
              <w:tc>
                <w:tcPr>
                  <w:tcW w:type="auto" w:w="0"/>
                  <w:shd w:val="clear" w:color="auto" w:fill="F0F0F0"/>
                </w:tcPr>
                <w:p>
                  <w:pPr>
                    <w:pStyle w:val="Normal"/>
                    <w:keepLines w:val="on"/>
                  </w:pPr>
                  <w:r>
                    <w:t>11,10%</w:t>
                  </w:r>
                </w:p>
              </w:tc>
              <w:tc>
                <w:tcPr>
                  <w:tcW w:type="auto" w:w="0"/>
                  <w:shd w:val="clear" w:color="auto" w:fill="F0F0F0"/>
                </w:tcPr>
                <w:p>
                  <w:pPr>
                    <w:pStyle w:val="5 Block"/>
                    <w:keepLines w:val="on"/>
                  </w:pPr>
                </w:p>
              </w:tc>
              <w:tc>
                <w:tcPr>
                  <w:tcW w:type="auto" w:w="0"/>
                  <w:shd w:val="clear" w:color="auto" w:fill="F0F0F0"/>
                </w:tcPr>
                <w:p>
                  <w:pPr>
                    <w:pStyle w:val="Normal"/>
                    <w:keepLines w:val="on"/>
                  </w:pPr>
                  <w:r>
                    <w:t>22,82%</w:t>
                  </w:r>
                </w:p>
              </w:tc>
              <w:tc>
                <w:tcPr>
                  <w:tcW w:type="auto" w:w="0"/>
                  <w:shd w:val="clear" w:color="auto" w:fill="F0F0F0"/>
                </w:tcPr>
                <w:p>
                  <w:pPr>
                    <w:pStyle w:val="5 Block"/>
                    <w:keepLines w:val="on"/>
                  </w:pPr>
                </w:p>
              </w:tc>
              <w:tc>
                <w:tcPr>
                  <w:tcW w:type="auto" w:w="0"/>
                  <w:shd w:val="clear" w:color="auto" w:fill="F0F0F0"/>
                </w:tcPr>
                <w:p>
                  <w:pPr>
                    <w:pStyle w:val="Normal"/>
                    <w:keepLines w:val="on"/>
                  </w:pPr>
                  <w:r>
                    <w:t>82,58%</w:t>
                  </w:r>
                </w:p>
              </w:tc>
              <w:tc>
                <w:tcPr>
                  <w:tcW w:type="auto" w:w="0"/>
                  <w:shd w:val="clear" w:color="auto" w:fill="F0F0F0"/>
                </w:tcPr>
                <w:p>
                  <w:pPr>
                    <w:pStyle w:val="5 Block"/>
                    <w:keepLines w:val="on"/>
                  </w:pPr>
                </w:p>
              </w:tc>
              <w:tc>
                <w:tcPr>
                  <w:tcW w:type="auto" w:w="0"/>
                  <w:shd w:val="clear" w:color="auto" w:fill="F0F0F0"/>
                </w:tcPr>
                <w:p>
                  <w:pPr>
                    <w:pStyle w:val="Normal"/>
                    <w:keepLines w:val="on"/>
                  </w:pPr>
                  <w:r>
                    <w:t>85,11%</w:t>
                  </w:r>
                </w:p>
              </w:tc>
            </w:tr>
          </w:tbl>
          <w:p/>
        </w:tc>
      </w:tr>
    </w:tbl>
    <w:p>
      <w:pPr>
        <w:pStyle w:val="Para 04"/>
        <w:keepLines w:val="on"/>
      </w:pPr>
      <w:r>
        <w:t>Tốc độ tăng trưởng trung bình cộng cao hơn tốc độ tăng trưởng trung bình nhân ở ba trong bốn hạng mục, nhưng mức chênh lệch lớn hơn nhiều ở lợi nhuận hoạt động (EBIT) so với doanh thu và EBITDA. Với lợi nhuận ròng, trung bình cộng lại thấp hơn, nhưng chỉ vì Amazon có lợi nhuận ròng âm vào năm 2021, khiến tốc độ tăng trưởng của chỉ số đó trở nên vô nghĩa vào năm 2022.1 Sự khác biệt giữa trung bình cộng và trung bình nhân có thể được giải thích bởi mức độ biến động trong tốc độ tăng trưởng của từng biến số, với những chỉ số biến động mạnh hơn cho thấy khoảng cách lớn hơn giữa hai giá trị. Nhìn vào lợi nhuận ròng và lợi nhuận hoạt động năm 2018 và 2023, cũng khá rõ ràng rằng trung bình nhân là chỉ báo phản ánh tăng trưởng thực tế tốt hơn nhiều.</w:t>
      </w:r>
    </w:p>
    <w:p>
      <w:bookmarkStart w:id="1871" w:name="Linear_and_Log_Linear_Regression_1"/>
      <w:bookmarkStart w:id="1872" w:name="Linear_and_Log_Linear_Regression"/>
      <w:pPr>
        <w:keepNext/>
        <w:pStyle w:val="Heading 4"/>
        <w:keepLines w:val="on"/>
      </w:pPr>
      <w:r>
        <w:t>Mô hình hồi quy tuyến tính và log-tuyến tính</w:t>
      </w:r>
      <w:bookmarkEnd w:id="1871"/>
      <w:bookmarkEnd w:id="1872"/>
    </w:p>
    <w:p>
      <w:pPr>
        <w:pStyle w:val="Para 03"/>
      </w:pPr>
      <w:r>
        <w:t>Số trung bình cộng (arithmetic mean) đánh trọng số như nhau cho mọi mức thay đổi phần trăm lợi nhuận trong từng kỳ và bỏ qua hiệu ứng lãi kép (compounding) của lợi nhuận. Số trung bình nhân (geometric mean) có tính đến lãi kép nhưng chỉ tập trung vào quan sát lợi nhuận đầu tiên và cuối cùng trong chuỗi — nó bỏ qua thông tin từ các quan sát ở giữa cũng như mọi xu hướng tăng trưởng có thể đã hình thành trong suốt giai đoạn đó. Những vấn đề này ít nhất được khắc phục phần nào bằng cách dùng hồi quy bình phương nhỏ nhất thông thường (ordinary least squares – OLS)² của thu nhập trên mỗi cổ phiếu (earnings per share – EPS) theo thời gian. Phiên bản tuyến tính của mô hình này là:</w:t>
      </w:r>
    </w:p>
    <w:p>
      <w:bookmarkStart w:id="1874" w:name="EPSt_a_bt"/>
      <w:pPr>
        <w:keepNext/>
        <w:pStyle w:val="Para 09"/>
        <w:keepLines w:val="on"/>
      </w:pPr>
      <w:r>
        <w:t>EPSt=a+bt</w:t>
      </w:r>
      <w:bookmarkEnd w:id="1874"/>
    </w:p>
    <w:p>
      <w:bookmarkStart w:id="1875" w:name="where_______EPSt_Earnings_per_sh"/>
      <w:pPr>
        <w:pStyle w:val="Para 39"/>
      </w:pPr>
      <w:r>
        <w:t>trong đó EPSt=Thu nhập trên mỗi cổ phiếu trong kỳ tt=Khoảng thời gian t</w:t>
      </w:r>
      <w:bookmarkEnd w:id="1875"/>
    </w:p>
    <w:p>
      <w:pPr>
        <w:pStyle w:val="Para 03"/>
      </w:pPr>
      <w:r>
        <w:t>Hệ số dốc (slope coefficient) của biến thời gian là thước đo mức thay đổi lợi nhuận trên mỗi đơn vị thời gian. Tuy nhiên, vấn đề của mô hình tuyến tính là nó biểu diễn tăng trưởng bằng đô-la EPS và không phù hợp để dự báo tăng trưởng trong tương lai khi có lãi kép.</w:t>
      </w:r>
    </w:p>
    <w:p>
      <w:pPr>
        <w:pStyle w:val="Para 03"/>
      </w:pPr>
      <w:r>
        <w:t>Phiên bản log-tuyến tính của mô hình này chuyển hệ số thành mức thay đổi phần trăm:</w:t>
      </w:r>
    </w:p>
    <w:p>
      <w:bookmarkStart w:id="1876" w:name="ln_EPSt__a_bt"/>
      <w:pPr>
        <w:keepNext/>
        <w:pStyle w:val="Para 09"/>
        <w:keepLines w:val="on"/>
      </w:pPr>
      <w:r>
        <w:t>ln(EPSt)=a+bt</w:t>
      </w:r>
      <w:bookmarkEnd w:id="1876"/>
    </w:p>
    <w:p>
      <w:bookmarkStart w:id="1877" w:name="where________ln____EPSt__Natural"/>
      <w:pPr>
        <w:pStyle w:val="Para 39"/>
      </w:pPr>
      <w:r>
        <w:t>trong đó  ln⁡(EPSt)=Logarit tự nhiên của thu nhập trên mỗi cổ phiếu trong kỳ tt=Khoảng thời gian t</w:t>
      </w:r>
      <w:bookmarkEnd w:id="1877"/>
    </w:p>
    <w:p>
      <w:pPr>
        <w:pStyle w:val="Para 03"/>
      </w:pPr>
      <w:r>
        <w:t>Hệ số b của biến thời gian trở thành thước đo mức thay đổi phần trăm của lợi nhuận trên mỗi đơn vị thời gian.</w:t>
      </w:r>
    </w:p>
    <w:p>
      <w:pPr>
        <w:pStyle w:val="Para 11"/>
      </w:pPr>
      <w:r>
        <w:t xml:space="preserve"> </w:t>
      </w:r>
    </w:p>
    <w:p>
      <w:bookmarkStart w:id="1878" w:name="ILLUSTRATION_11_2__Linear_and_Lo_1"/>
      <w:bookmarkStart w:id="1879" w:name="ILLUSTRATION_11_2__Linear_and_Lo"/>
      <w:pPr>
        <w:keepNext/>
        <w:pStyle w:val="Para 19"/>
        <w:keepLines w:val="on"/>
      </w:pPr>
      <w:r>
        <w:t>MINH HỌA 11.2: Mô hình tăng trưởng tuyến tính và log-tuyến tính: EBITDA của Amazon từ 2013 đến 2023</w:t>
      </w:r>
      <w:bookmarkEnd w:id="1878"/>
      <w:bookmarkEnd w:id="1879"/>
    </w:p>
    <w:p>
      <w:pPr>
        <w:pStyle w:val="Para 04"/>
        <w:keepLines w:val="on"/>
      </w:pPr>
      <w:r>
        <w:t>EBITDA từ năm 2013 đến năm 2023 của Amazon (AMZN) được cung cấp trong bảng sau, kèm theo mức thay đổi phần trăm và logarit tự nhiên của EBITDA được tính cho mỗi năm:</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Khoảng thời gian (t)</w:t>
                  </w:r>
                </w:p>
              </w:tc>
              <w:tc>
                <w:tcPr>
                  <w:tcW w:type="auto" w:w="0"/>
                  <w:shd w:val="clear" w:color="auto" w:fill="F0F0F0"/>
                </w:tcPr>
                <w:p>
                  <w:pPr>
                    <w:pStyle w:val="Para 05"/>
                    <w:keepLines w:val="on"/>
                  </w:pPr>
                  <w:r>
                    <w:t>EBITDA</w:t>
                  </w:r>
                </w:p>
              </w:tc>
              <w:tc>
                <w:tcPr>
                  <w:tcW w:type="auto" w:w="0"/>
                  <w:shd w:val="clear" w:color="auto" w:fill="F0F0F0"/>
                </w:tcPr>
                <w:p>
                  <w:pPr>
                    <w:pStyle w:val="Para 05"/>
                    <w:keepLines w:val="on"/>
                  </w:pPr>
                  <w:r>
                    <w:t>% Thay đổi EBITDA</w:t>
                  </w:r>
                </w:p>
              </w:tc>
              <w:tc>
                <w:tcPr>
                  <w:tcW w:type="auto" w:w="0"/>
                  <w:shd w:val="clear" w:color="auto" w:fill="F0F0F0"/>
                </w:tcPr>
                <w:p>
                  <w:pPr>
                    <w:pStyle w:val="Para 05"/>
                    <w:keepLines w:val="on"/>
                  </w:pPr>
                  <w:r>
                    <w:t>ln(EBITDA)</w:t>
                  </w:r>
                </w:p>
              </w:tc>
            </w:tr>
            <w:tr>
              <w:tc>
                <w:tcPr>
                  <w:tcW w:type="auto" w:w="0"/>
                  <w:shd w:val="clear" w:color="auto" w:fill="F0F0F0"/>
                </w:tcPr>
                <w:p>
                  <w:pPr>
                    <w:pStyle w:val="Normal"/>
                    <w:keepLines w:val="on"/>
                  </w:pPr>
                  <w:r>
                    <w:t>2013</w:t>
                  </w:r>
                </w:p>
              </w:tc>
              <w:tc>
                <w:tcPr>
                  <w:tcW w:type="auto" w:w="0"/>
                  <w:shd w:val="clear" w:color="auto" w:fill="F0F0F0"/>
                </w:tcPr>
                <w:p>
                  <w:pPr>
                    <w:pStyle w:val="Normal"/>
                    <w:keepLines w:val="on"/>
                  </w:pPr>
                  <w:r>
                    <w:t>1</w:t>
                  </w:r>
                </w:p>
              </w:tc>
              <w:tc>
                <w:tcPr>
                  <w:tcW w:type="auto" w:w="0"/>
                  <w:shd w:val="clear" w:color="auto" w:fill="F0F0F0"/>
                </w:tcPr>
                <w:p>
                  <w:pPr>
                    <w:pStyle w:val="Normal"/>
                    <w:keepLines w:val="on"/>
                  </w:pPr>
                  <w:r>
                    <w:t>$4,365</w:t>
                  </w:r>
                </w:p>
              </w:tc>
              <w:tc>
                <w:tcPr>
                  <w:tcW w:type="auto" w:w="0"/>
                  <w:shd w:val="clear" w:color="auto" w:fill="F0F0F0"/>
                </w:tcPr>
                <w:p>
                  <w:pPr>
                    <w:pStyle w:val="7 Block"/>
                    <w:keepLines w:val="on"/>
                  </w:pPr>
                </w:p>
              </w:tc>
              <w:tc>
                <w:tcPr>
                  <w:tcW w:type="auto" w:w="0"/>
                  <w:shd w:val="clear" w:color="auto" w:fill="F0F0F0"/>
                </w:tcPr>
                <w:p>
                  <w:pPr>
                    <w:pStyle w:val="Normal"/>
                    <w:keepLines w:val="on"/>
                  </w:pPr>
                  <w:r>
                    <w:t>8.3814</w:t>
                  </w:r>
                </w:p>
              </w:tc>
            </w:tr>
            <w:tr>
              <w:tc>
                <w:tcPr>
                  <w:tcW w:type="auto" w:w="0"/>
                  <w:shd w:val="clear" w:color="auto" w:fill="F0F0F0"/>
                </w:tcPr>
                <w:p>
                  <w:pPr>
                    <w:pStyle w:val="Normal"/>
                    <w:keepLines w:val="on"/>
                  </w:pPr>
                  <w:r>
                    <w:t>2014</w:t>
                  </w:r>
                </w:p>
              </w:tc>
              <w:tc>
                <w:tcPr>
                  <w:tcW w:type="auto" w:w="0"/>
                  <w:shd w:val="clear" w:color="auto" w:fill="F0F0F0"/>
                </w:tcPr>
                <w:p>
                  <w:pPr>
                    <w:pStyle w:val="Normal"/>
                    <w:keepLines w:val="on"/>
                  </w:pPr>
                  <w:r>
                    <w:t>2</w:t>
                  </w:r>
                </w:p>
              </w:tc>
              <w:tc>
                <w:tcPr>
                  <w:tcW w:type="auto" w:w="0"/>
                  <w:shd w:val="clear" w:color="auto" w:fill="F0F0F0"/>
                </w:tcPr>
                <w:p>
                  <w:pPr>
                    <w:pStyle w:val="Normal"/>
                    <w:keepLines w:val="on"/>
                  </w:pPr>
                  <w:r>
                    <w:t>$7,879</w:t>
                  </w:r>
                </w:p>
              </w:tc>
              <w:tc>
                <w:tcPr>
                  <w:tcW w:type="auto" w:w="0"/>
                  <w:shd w:val="clear" w:color="auto" w:fill="F0F0F0"/>
                </w:tcPr>
                <w:p>
                  <w:pPr>
                    <w:pStyle w:val="Normal"/>
                    <w:keepLines w:val="on"/>
                  </w:pPr>
                  <w:r>
                    <w:t>80.50%</w:t>
                  </w:r>
                </w:p>
              </w:tc>
              <w:tc>
                <w:tcPr>
                  <w:tcW w:type="auto" w:w="0"/>
                  <w:shd w:val="clear" w:color="auto" w:fill="F0F0F0"/>
                </w:tcPr>
                <w:p>
                  <w:pPr>
                    <w:pStyle w:val="Normal"/>
                    <w:keepLines w:val="on"/>
                  </w:pPr>
                  <w:r>
                    <w:t>8.9720</w:t>
                  </w:r>
                </w:p>
              </w:tc>
            </w:tr>
            <w:tr>
              <w:tc>
                <w:tcPr>
                  <w:tcW w:type="auto" w:w="0"/>
                  <w:shd w:val="clear" w:color="auto" w:fill="F0F0F0"/>
                </w:tcPr>
                <w:p>
                  <w:pPr>
                    <w:pStyle w:val="Normal"/>
                    <w:keepLines w:val="on"/>
                  </w:pPr>
                  <w:r>
                    <w:t>2015</w:t>
                  </w:r>
                </w:p>
              </w:tc>
              <w:tc>
                <w:tcPr>
                  <w:tcW w:type="auto" w:w="0"/>
                  <w:shd w:val="clear" w:color="auto" w:fill="F0F0F0"/>
                </w:tcPr>
                <w:p>
                  <w:pPr>
                    <w:pStyle w:val="Normal"/>
                    <w:keepLines w:val="on"/>
                  </w:pPr>
                  <w:r>
                    <w:t>3</w:t>
                  </w:r>
                </w:p>
              </w:tc>
              <w:tc>
                <w:tcPr>
                  <w:tcW w:type="auto" w:w="0"/>
                  <w:shd w:val="clear" w:color="auto" w:fill="F0F0F0"/>
                </w:tcPr>
                <w:p>
                  <w:pPr>
                    <w:pStyle w:val="Normal"/>
                    <w:keepLines w:val="on"/>
                  </w:pPr>
                  <w:r>
                    <w:t>$12,302</w:t>
                  </w:r>
                </w:p>
              </w:tc>
              <w:tc>
                <w:tcPr>
                  <w:tcW w:type="auto" w:w="0"/>
                  <w:shd w:val="clear" w:color="auto" w:fill="F0F0F0"/>
                </w:tcPr>
                <w:p>
                  <w:pPr>
                    <w:pStyle w:val="Normal"/>
                    <w:keepLines w:val="on"/>
                  </w:pPr>
                  <w:r>
                    <w:t>56,14%</w:t>
                  </w:r>
                </w:p>
              </w:tc>
              <w:tc>
                <w:tcPr>
                  <w:tcW w:type="auto" w:w="0"/>
                  <w:shd w:val="clear" w:color="auto" w:fill="F0F0F0"/>
                </w:tcPr>
                <w:p>
                  <w:pPr>
                    <w:pStyle w:val="Normal"/>
                    <w:keepLines w:val="on"/>
                  </w:pPr>
                  <w:r>
                    <w:t>9,4175</w:t>
                  </w:r>
                </w:p>
              </w:tc>
            </w:tr>
            <w:tr>
              <w:tc>
                <w:tcPr>
                  <w:tcW w:type="auto" w:w="0"/>
                  <w:shd w:val="clear" w:color="auto" w:fill="F0F0F0"/>
                </w:tcPr>
                <w:p>
                  <w:pPr>
                    <w:pStyle w:val="Normal"/>
                    <w:keepLines w:val="on"/>
                  </w:pPr>
                  <w:r>
                    <w:t>2016</w:t>
                  </w:r>
                </w:p>
              </w:tc>
              <w:tc>
                <w:tcPr>
                  <w:tcW w:type="auto" w:w="0"/>
                  <w:shd w:val="clear" w:color="auto" w:fill="F0F0F0"/>
                </w:tcPr>
                <w:p>
                  <w:pPr>
                    <w:pStyle w:val="Normal"/>
                    <w:keepLines w:val="on"/>
                  </w:pPr>
                  <w:r>
                    <w:t>4</w:t>
                  </w:r>
                </w:p>
              </w:tc>
              <w:tc>
                <w:tcPr>
                  <w:tcW w:type="auto" w:w="0"/>
                  <w:shd w:val="clear" w:color="auto" w:fill="F0F0F0"/>
                </w:tcPr>
                <w:p>
                  <w:pPr>
                    <w:pStyle w:val="Normal"/>
                    <w:keepLines w:val="on"/>
                  </w:pPr>
                  <w:r>
                    <w:t>$15,584</w:t>
                  </w:r>
                </w:p>
              </w:tc>
              <w:tc>
                <w:tcPr>
                  <w:tcW w:type="auto" w:w="0"/>
                  <w:shd w:val="clear" w:color="auto" w:fill="F0F0F0"/>
                </w:tcPr>
                <w:p>
                  <w:pPr>
                    <w:pStyle w:val="Normal"/>
                    <w:keepLines w:val="on"/>
                  </w:pPr>
                  <w:r>
                    <w:t>26,68%</w:t>
                  </w:r>
                </w:p>
              </w:tc>
              <w:tc>
                <w:tcPr>
                  <w:tcW w:type="auto" w:w="0"/>
                  <w:shd w:val="clear" w:color="auto" w:fill="F0F0F0"/>
                </w:tcPr>
                <w:p>
                  <w:pPr>
                    <w:pStyle w:val="Normal"/>
                    <w:keepLines w:val="on"/>
                  </w:pPr>
                  <w:r>
                    <w:t>9,6540</w:t>
                  </w:r>
                </w:p>
              </w:tc>
            </w:tr>
            <w:tr>
              <w:tc>
                <w:tcPr>
                  <w:tcW w:type="auto" w:w="0"/>
                  <w:shd w:val="clear" w:color="auto" w:fill="F0F0F0"/>
                </w:tcPr>
                <w:p>
                  <w:pPr>
                    <w:pStyle w:val="Normal"/>
                    <w:keepLines w:val="on"/>
                  </w:pPr>
                  <w:r>
                    <w:t>2017</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$27,762</w:t>
                  </w:r>
                </w:p>
              </w:tc>
              <w:tc>
                <w:tcPr>
                  <w:tcW w:type="auto" w:w="0"/>
                  <w:shd w:val="clear" w:color="auto" w:fill="F0F0F0"/>
                </w:tcPr>
                <w:p>
                  <w:pPr>
                    <w:pStyle w:val="Normal"/>
                    <w:keepLines w:val="on"/>
                  </w:pPr>
                  <w:r>
                    <w:t>78,14%</w:t>
                  </w:r>
                </w:p>
              </w:tc>
              <w:tc>
                <w:tcPr>
                  <w:tcW w:type="auto" w:w="0"/>
                  <w:shd w:val="clear" w:color="auto" w:fill="F0F0F0"/>
                </w:tcPr>
                <w:p>
                  <w:pPr>
                    <w:pStyle w:val="Normal"/>
                    <w:keepLines w:val="on"/>
                  </w:pPr>
                  <w:r>
                    <w:t>10,2314</w:t>
                  </w:r>
                </w:p>
              </w:tc>
            </w:tr>
            <w:tr>
              <w:tc>
                <w:tcPr>
                  <w:tcW w:type="auto" w:w="0"/>
                  <w:shd w:val="clear" w:color="auto" w:fill="F0F0F0"/>
                </w:tcPr>
                <w:p>
                  <w:pPr>
                    <w:pStyle w:val="Normal"/>
                    <w:keepLines w:val="on"/>
                  </w:pPr>
                  <w:r>
                    <w:t>2018</w:t>
                  </w:r>
                </w:p>
              </w:tc>
              <w:tc>
                <w:tcPr>
                  <w:tcW w:type="auto" w:w="0"/>
                  <w:shd w:val="clear" w:color="auto" w:fill="F0F0F0"/>
                </w:tcPr>
                <w:p>
                  <w:pPr>
                    <w:pStyle w:val="Normal"/>
                    <w:keepLines w:val="on"/>
                  </w:pPr>
                  <w:r>
                    <w:t>6</w:t>
                  </w:r>
                </w:p>
              </w:tc>
              <w:tc>
                <w:tcPr>
                  <w:tcW w:type="auto" w:w="0"/>
                  <w:shd w:val="clear" w:color="auto" w:fill="F0F0F0"/>
                </w:tcPr>
                <w:p>
                  <w:pPr>
                    <w:pStyle w:val="Normal"/>
                    <w:keepLines w:val="on"/>
                  </w:pPr>
                  <w:r>
                    <w:t>$36,330</w:t>
                  </w:r>
                </w:p>
              </w:tc>
              <w:tc>
                <w:tcPr>
                  <w:tcW w:type="auto" w:w="0"/>
                  <w:shd w:val="clear" w:color="auto" w:fill="F0F0F0"/>
                </w:tcPr>
                <w:p>
                  <w:pPr>
                    <w:pStyle w:val="Normal"/>
                    <w:keepLines w:val="on"/>
                  </w:pPr>
                  <w:r>
                    <w:t>30,86%</w:t>
                  </w:r>
                </w:p>
              </w:tc>
              <w:tc>
                <w:tcPr>
                  <w:tcW w:type="auto" w:w="0"/>
                  <w:shd w:val="clear" w:color="auto" w:fill="F0F0F0"/>
                </w:tcPr>
                <w:p>
                  <w:pPr>
                    <w:pStyle w:val="Normal"/>
                    <w:keepLines w:val="on"/>
                  </w:pPr>
                  <w:r>
                    <w:t>10,5004</w:t>
                  </w:r>
                </w:p>
              </w:tc>
            </w:tr>
            <w:tr>
              <w:tc>
                <w:tcPr>
                  <w:tcW w:type="auto" w:w="0"/>
                  <w:shd w:val="clear" w:color="auto" w:fill="F0F0F0"/>
                </w:tcPr>
                <w:p>
                  <w:pPr>
                    <w:pStyle w:val="Normal"/>
                    <w:keepLines w:val="on"/>
                  </w:pPr>
                  <w:r>
                    <w:t>2019</w:t>
                  </w:r>
                </w:p>
              </w:tc>
              <w:tc>
                <w:tcPr>
                  <w:tcW w:type="auto" w:w="0"/>
                  <w:shd w:val="clear" w:color="auto" w:fill="F0F0F0"/>
                </w:tcPr>
                <w:p>
                  <w:pPr>
                    <w:pStyle w:val="Normal"/>
                    <w:keepLines w:val="on"/>
                  </w:pPr>
                  <w:r>
                    <w:t>7</w:t>
                  </w:r>
                </w:p>
              </w:tc>
              <w:tc>
                <w:tcPr>
                  <w:tcW w:type="auto" w:w="0"/>
                  <w:shd w:val="clear" w:color="auto" w:fill="F0F0F0"/>
                </w:tcPr>
                <w:p>
                  <w:pPr>
                    <w:pStyle w:val="Normal"/>
                    <w:keepLines w:val="on"/>
                  </w:pPr>
                  <w:r>
                    <w:t>$48,079</w:t>
                  </w:r>
                </w:p>
              </w:tc>
              <w:tc>
                <w:tcPr>
                  <w:tcW w:type="auto" w:w="0"/>
                  <w:shd w:val="clear" w:color="auto" w:fill="F0F0F0"/>
                </w:tcPr>
                <w:p>
                  <w:pPr>
                    <w:pStyle w:val="Normal"/>
                    <w:keepLines w:val="on"/>
                  </w:pPr>
                  <w:r>
                    <w:t>32,34%</w:t>
                  </w:r>
                </w:p>
              </w:tc>
              <w:tc>
                <w:tcPr>
                  <w:tcW w:type="auto" w:w="0"/>
                  <w:shd w:val="clear" w:color="auto" w:fill="F0F0F0"/>
                </w:tcPr>
                <w:p>
                  <w:pPr>
                    <w:pStyle w:val="Normal"/>
                    <w:keepLines w:val="on"/>
                  </w:pPr>
                  <w:r>
                    <w:t>10,7806</w:t>
                  </w:r>
                </w:p>
              </w:tc>
            </w:tr>
            <w:tr>
              <w:tc>
                <w:tcPr>
                  <w:tcW w:type="auto" w:w="0"/>
                  <w:shd w:val="clear" w:color="auto" w:fill="F0F0F0"/>
                </w:tcPr>
                <w:p>
                  <w:pPr>
                    <w:pStyle w:val="Normal"/>
                    <w:keepLines w:val="on"/>
                  </w:pPr>
                  <w:r>
                    <w:t>2020</w:t>
                  </w:r>
                </w:p>
              </w:tc>
              <w:tc>
                <w:tcPr>
                  <w:tcW w:type="auto" w:w="0"/>
                  <w:shd w:val="clear" w:color="auto" w:fill="F0F0F0"/>
                </w:tcPr>
                <w:p>
                  <w:pPr>
                    <w:pStyle w:val="Normal"/>
                    <w:keepLines w:val="on"/>
                  </w:pPr>
                  <w:r>
                    <w:t>8</w:t>
                  </w:r>
                </w:p>
              </w:tc>
              <w:tc>
                <w:tcPr>
                  <w:tcW w:type="auto" w:w="0"/>
                  <w:shd w:val="clear" w:color="auto" w:fill="F0F0F0"/>
                </w:tcPr>
                <w:p>
                  <w:pPr>
                    <w:pStyle w:val="Normal"/>
                    <w:keepLines w:val="on"/>
                  </w:pPr>
                  <w:r>
                    <w:t>$59,312</w:t>
                  </w:r>
                </w:p>
              </w:tc>
              <w:tc>
                <w:tcPr>
                  <w:tcW w:type="auto" w:w="0"/>
                  <w:shd w:val="clear" w:color="auto" w:fill="F0F0F0"/>
                </w:tcPr>
                <w:p>
                  <w:pPr>
                    <w:pStyle w:val="Normal"/>
                    <w:keepLines w:val="on"/>
                  </w:pPr>
                  <w:r>
                    <w:t>23,36%</w:t>
                  </w:r>
                </w:p>
              </w:tc>
              <w:tc>
                <w:tcPr>
                  <w:tcW w:type="auto" w:w="0"/>
                  <w:shd w:val="clear" w:color="auto" w:fill="F0F0F0"/>
                </w:tcPr>
                <w:p>
                  <w:pPr>
                    <w:pStyle w:val="Normal"/>
                    <w:keepLines w:val="on"/>
                  </w:pPr>
                  <w:r>
                    <w:t>10,9906</w:t>
                  </w:r>
                </w:p>
              </w:tc>
            </w:tr>
            <w:tr>
              <w:tc>
                <w:tcPr>
                  <w:tcW w:type="auto" w:w="0"/>
                  <w:shd w:val="clear" w:color="auto" w:fill="F0F0F0"/>
                </w:tcPr>
                <w:p>
                  <w:pPr>
                    <w:pStyle w:val="Normal"/>
                    <w:keepLines w:val="on"/>
                  </w:pPr>
                  <w:r>
                    <w:t>2021</w:t>
                  </w:r>
                </w:p>
              </w:tc>
              <w:tc>
                <w:tcPr>
                  <w:tcW w:type="auto" w:w="0"/>
                  <w:shd w:val="clear" w:color="auto" w:fill="F0F0F0"/>
                </w:tcPr>
                <w:p>
                  <w:pPr>
                    <w:pStyle w:val="Normal"/>
                    <w:keepLines w:val="on"/>
                  </w:pPr>
                  <w:r>
                    <w:t>9</w:t>
                  </w:r>
                </w:p>
              </w:tc>
              <w:tc>
                <w:tcPr>
                  <w:tcW w:type="auto" w:w="0"/>
                  <w:shd w:val="clear" w:color="auto" w:fill="F0F0F0"/>
                </w:tcPr>
                <w:p>
                  <w:pPr>
                    <w:pStyle w:val="Normal"/>
                    <w:keepLines w:val="on"/>
                  </w:pPr>
                  <w:r>
                    <w:t>$55,269</w:t>
                  </w:r>
                </w:p>
              </w:tc>
              <w:tc>
                <w:tcPr>
                  <w:tcW w:type="auto" w:w="0"/>
                  <w:shd w:val="clear" w:color="auto" w:fill="F0F0F0"/>
                </w:tcPr>
                <w:p>
                  <w:pPr>
                    <w:pStyle w:val="Normal"/>
                    <w:keepLines w:val="on"/>
                  </w:pPr>
                  <w:r>
                    <w:t>–6,82%</w:t>
                  </w:r>
                </w:p>
              </w:tc>
              <w:tc>
                <w:tcPr>
                  <w:tcW w:type="auto" w:w="0"/>
                  <w:shd w:val="clear" w:color="auto" w:fill="F0F0F0"/>
                </w:tcPr>
                <w:p>
                  <w:pPr>
                    <w:pStyle w:val="Normal"/>
                    <w:keepLines w:val="on"/>
                  </w:pPr>
                  <w:r>
                    <w:t>10,9200</w:t>
                  </w:r>
                </w:p>
              </w:tc>
            </w:tr>
            <w:tr>
              <w:tc>
                <w:tcPr>
                  <w:tcW w:type="auto" w:w="0"/>
                  <w:shd w:val="clear" w:color="auto" w:fill="F0F0F0"/>
                </w:tcPr>
                <w:p>
                  <w:pPr>
                    <w:pStyle w:val="Normal"/>
                    <w:keepLines w:val="on"/>
                  </w:pPr>
                  <w:r>
                    <w:t>2022</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$85,515</w:t>
                  </w:r>
                </w:p>
              </w:tc>
              <w:tc>
                <w:tcPr>
                  <w:tcW w:type="auto" w:w="0"/>
                  <w:shd w:val="clear" w:color="auto" w:fill="F0F0F0"/>
                </w:tcPr>
                <w:p>
                  <w:pPr>
                    <w:pStyle w:val="Normal"/>
                    <w:keepLines w:val="on"/>
                  </w:pPr>
                  <w:r>
                    <w:t>54,73%</w:t>
                  </w:r>
                </w:p>
              </w:tc>
              <w:tc>
                <w:tcPr>
                  <w:tcW w:type="auto" w:w="0"/>
                  <w:shd w:val="clear" w:color="auto" w:fill="F0F0F0"/>
                </w:tcPr>
                <w:p>
                  <w:pPr>
                    <w:pStyle w:val="Normal"/>
                    <w:keepLines w:val="on"/>
                  </w:pPr>
                  <w:r>
                    <w:t>11,3564</w:t>
                  </w:r>
                </w:p>
              </w:tc>
            </w:tr>
            <w:tr>
              <w:tc>
                <w:tcPr>
                  <w:tcW w:type="auto" w:w="0"/>
                  <w:shd w:val="clear" w:color="auto" w:fill="F0F0F0"/>
                </w:tcPr>
                <w:p>
                  <w:pPr>
                    <w:pStyle w:val="Normal"/>
                    <w:keepLines w:val="on"/>
                  </w:pPr>
                  <w:r>
                    <w:t>2023</w:t>
                  </w:r>
                </w:p>
              </w:tc>
              <w:tc>
                <w:tcPr>
                  <w:tcW w:type="auto" w:w="0"/>
                  <w:shd w:val="clear" w:color="auto" w:fill="F0F0F0"/>
                </w:tcPr>
                <w:p>
                  <w:pPr>
                    <w:pStyle w:val="Normal"/>
                    <w:keepLines w:val="on"/>
                  </w:pPr>
                  <w:r>
                    <w:t>11</w:t>
                  </w:r>
                </w:p>
              </w:tc>
              <w:tc>
                <w:tcPr>
                  <w:tcW w:type="auto" w:w="0"/>
                  <w:shd w:val="clear" w:color="auto" w:fill="F0F0F0"/>
                </w:tcPr>
                <w:p>
                  <w:pPr>
                    <w:pStyle w:val="Normal"/>
                    <w:keepLines w:val="on"/>
                  </w:pPr>
                  <w:r>
                    <w:t>$96,609</w:t>
                  </w:r>
                </w:p>
              </w:tc>
              <w:tc>
                <w:tcPr>
                  <w:tcW w:type="auto" w:w="0"/>
                  <w:shd w:val="clear" w:color="auto" w:fill="F0F0F0"/>
                </w:tcPr>
                <w:p>
                  <w:pPr>
                    <w:pStyle w:val="Normal"/>
                    <w:keepLines w:val="on"/>
                  </w:pPr>
                  <w:r>
                    <w:t>12,97%</w:t>
                  </w:r>
                </w:p>
              </w:tc>
              <w:tc>
                <w:tcPr>
                  <w:tcW w:type="auto" w:w="0"/>
                  <w:shd w:val="clear" w:color="auto" w:fill="F0F0F0"/>
                </w:tcPr>
                <w:p>
                  <w:pPr>
                    <w:pStyle w:val="Normal"/>
                    <w:keepLines w:val="on"/>
                  </w:pPr>
                  <w:r>
                    <w:t>11,4784</w:t>
                  </w:r>
                </w:p>
              </w:tc>
            </w:tr>
          </w:tbl>
          <w:p/>
        </w:tc>
      </w:tr>
    </w:tbl>
    <w:p>
      <w:pPr>
        <w:pStyle w:val="Para 04"/>
        <w:keepLines w:val="on"/>
      </w:pPr>
      <w:r>
        <w:t>Có nhiều cách để chúng ta ước tính tốc độ tăng trưởng EBITDA của Amazon trong giai đoạn 2013–2023. Một cách là tính trung bình cộng và trung bình nhân:</w:t>
      </w:r>
    </w:p>
    <w:p>
      <w:bookmarkStart w:id="1882" w:name="Arithmetic_average_growth_rate_3"/>
      <w:pPr>
        <w:keepNext/>
        <w:pStyle w:val="Para 07"/>
        <w:keepLines w:val="on"/>
      </w:pPr>
      <w:r>
        <w:t>Tốc độ tăng trưởng trung bình cộng = 38,89% Tốc độ tăng trưởng trung bình nhân = (96.609/4.365)1/10-1 = 36,30%</w:t>
      </w:r>
      <w:bookmarkEnd w:id="1882"/>
    </w:p>
    <w:p>
      <w:pPr>
        <w:pStyle w:val="Para 04"/>
        <w:keepLines w:val="on"/>
      </w:pPr>
      <w:r>
        <w:t>Cách thứ hai là chạy hồi quy tuyến tính của EBITDA theo một biến thời gian (trong đó năm sớm nhất được gán giá trị 1, năm kế tiếp giá trị 2, và cứ tiếp tục như vậy):</w:t>
      </w:r>
    </w:p>
    <w:p>
      <w:bookmarkStart w:id="1883" w:name="Linear_regression_EBITDA____14_1"/>
      <w:pPr>
        <w:keepNext/>
        <w:pStyle w:val="Para 07"/>
        <w:keepLines w:val="on"/>
      </w:pPr>
      <w:r>
        <w:t>Hồi quy tuyến tính EBITDA = −14.187 + 9.168 t (2,88∗∗)   (12,61∗∗)</w:t>
      </w:r>
      <w:bookmarkEnd w:id="1883"/>
    </w:p>
    <w:p>
      <w:pPr>
        <w:pStyle w:val="Para 04"/>
        <w:keepLines w:val="on"/>
      </w:pPr>
      <w:r>
        <w:t>Hồi quy này cho thấy EBITDA tăng 9.168 triệu đô la mỗi năm từ 2013 đến 2023. Chúng ta có thể chuyển nó thành phần trăm tăng trưởng thu nhập trên mỗi cổ phiếu bằng cách chia mức thay đổi này cho EBITDA trung bình trong giai đoạn:</w:t>
      </w:r>
    </w:p>
    <w:p>
      <w:bookmarkStart w:id="1884" w:name="Growth_rate_in_EBITDA_Coefficien"/>
      <w:pPr>
        <w:keepNext/>
        <w:pStyle w:val="Para 07"/>
        <w:keepLines w:val="on"/>
      </w:pPr>
      <w:r>
        <w:t>Tốc độ tăng trưởng EBITDA = Hệ số từ hồi quy tuyến tính / EBITDA trung bình = 916844464 = 20,62%</w:t>
      </w:r>
      <w:bookmarkEnd w:id="1884"/>
    </w:p>
    <w:p>
      <w:pPr>
        <w:pStyle w:val="Para 04"/>
        <w:keepLines w:val="on"/>
      </w:pPr>
      <w:r>
        <w:t>Cuối cùng, bạn có thể hồi quy ln(EBITDA) theo biến thời gian:</w:t>
      </w:r>
    </w:p>
    <w:p>
      <w:bookmarkStart w:id="1885" w:name="Linear_regression_EBITDA_8_45_0"/>
      <w:pPr>
        <w:keepNext/>
        <w:pStyle w:val="Para 07"/>
        <w:keepLines w:val="on"/>
      </w:pPr>
      <w:r>
        <w:t>Hồi quy tuyến tính EBITDA = 8,45 + 0,2978 t (55,72**)(13,30**)</w:t>
      </w:r>
      <w:bookmarkEnd w:id="1885"/>
    </w:p>
    <w:p>
      <w:pPr>
        <w:pStyle w:val="Para 04"/>
        <w:keepLines w:val="on"/>
      </w:pPr>
      <w:r>
        <w:t>Hệ số của biến thời gian ở đây có thể được xem như một thước đo tốc độ tăng trưởng phần trăm kép của EBITDA; dựa trên hồi quy này, EBITDA của Amazon tăng trưởng 29,78% mỗi năm.</w:t>
      </w:r>
    </w:p>
    <w:p>
      <w:pPr>
        <w:pStyle w:val="Para 04"/>
        <w:keepLines w:val="on"/>
      </w:pPr>
      <w:r>
        <w:t>Nếu bạn đang thắc mắc làm sao dung hòa được những ước tính tăng trưởng rất khác nhau này, thì bạn không thể đâu, và điều này nên đóng vai trò như một lời cảnh báo khi bạn xem các tốc độ tăng trưởng lịch sử từ các dịch vụ dữ liệu hay chuyên gia phân tích. Dù họ dùng dữ liệu từ quá khứ, đây không phải là sự thật mà là những ước tính, và vì vậy, các thiên kiến sẽ quyết định bạn được thấy biến thể nào của tăng trưởng lịch sử.</w:t>
      </w:r>
    </w:p>
    <w:p>
      <w:pPr>
        <w:pStyle w:val="Para 20"/>
      </w:pPr>
      <w:r>
        <w:rPr>
          <w:rStyle w:val="Text26"/>
        </w:rPr>
        <w:bookmarkStart w:id="1886" w:name="Page_300"/>
        <w:t/>
        <w:bookmarkEnd w:id="1886"/>
      </w:r>
      <w:r>
        <w:t xml:space="preserve"> </w:t>
      </w:r>
    </w:p>
    <w:p>
      <w:bookmarkStart w:id="1887" w:name="Negative_Earnings__As_you_saw_in"/>
      <w:bookmarkStart w:id="1888" w:name="Negative_Earnings"/>
      <w:pPr>
        <w:keepNext/>
        <w:pStyle w:val="Heading 4"/>
        <w:keepLines w:val="on"/>
      </w:pPr>
      <w:r>
        <w:t>Lợi nhuận âm</w:t>
      </w:r>
      <w:bookmarkEnd w:id="1887"/>
      <w:bookmarkEnd w:id="1888"/>
    </w:p>
    <w:p>
      <w:pPr>
        <w:pStyle w:val="Para 03"/>
      </w:pPr>
      <w:r>
        <w:t>Như bạn đã thấy trong ví dụ về lợi nhuận của Amazon, các thước đo tăng trưởng lịch sử bị bóp méo khi có mặt các con số lợi nhuận âm. Phần trăm thay đổi lợi nhuận theo từng năm được định nghĩa như sau:</w:t>
      </w:r>
    </w:p>
    <w:p>
      <w:bookmarkStart w:id="1889" w:name="__change_in_earnings_in_period_t"/>
      <w:pPr>
        <w:keepNext/>
        <w:pStyle w:val="Para 09"/>
        <w:keepLines w:val="on"/>
      </w:pPr>
      <w:r>
        <w:t>% thay đổi lợi nhuận trong kỳ t = Lợi nhuận kỳ t − Lợi nhuận kỳ t−1 / Lợi nhuận kỳ t−1</w:t>
      </w:r>
      <w:bookmarkEnd w:id="1889"/>
    </w:p>
    <w:p>
      <w:pPr>
        <w:pStyle w:val="Para 03"/>
      </w:pPr>
      <w:r>
        <w:t>Nếu lợi nhuận trong kỳ trước là âm, phép tính này cho ra một con số vô nghĩa. Điều này còn lan sang cả cách tính trung bình nhân (geometric mean). Nếu lợi nhuận trong kỳ đầu tiên là âm hoặc bằng không, trung bình nhân cũng không có ý nghĩa.</w:t>
      </w:r>
    </w:p>
    <w:p>
      <w:pPr>
        <w:pStyle w:val="Para 03"/>
      </w:pPr>
      <w:r>
        <w:t>Những vấn đề tương tự cũng nảy sinh trong hồi quy log-tuyến tính, vì lợi nhuận phải lớn hơn không thì phép biến đổi log mới tồn tại. Có ít nhất hai cách để cố gắng có được ước tính tăng trưởng lợi nhuận có ý nghĩa cho các công ty có lợi nhuận âm. Một là dùng con số lớn hơn trong hai con số (EPSt hoặc EPSt−1) ở mẫu số:</w:t>
      </w:r>
    </w:p>
    <w:p>
      <w:bookmarkStart w:id="1890" w:name="__change_in_earnings_in_period_t_1"/>
      <w:pPr>
        <w:keepNext/>
        <w:pStyle w:val="Para 09"/>
        <w:keepLines w:val="on"/>
      </w:pPr>
      <w:r>
        <w:t>% thay đổi lợi nhuận trong kỳ t = (Lợi nhuận kỳ t − Lợi nhuận kỳ t−1) / Max (Lợi nhuận kỳ t, Lợi nhuận kỳ t−1)</w:t>
      </w:r>
      <w:bookmarkEnd w:id="1890"/>
    </w:p>
    <w:p>
      <w:pPr>
        <w:pStyle w:val="Para 03"/>
      </w:pPr>
      <w:r>
        <w:t>Cách khác, bạn có thể dùng giá trị tuyệt đối của EPS trong kỳ trước. Dù cả hai cách đều cho bạn tốc độ tăng trưởng có dấu đúng, nhưng không cách nào cho bạn tốc độ tăng trưởng hữu ích để dự đoán tăng trưởng tương lai. Việc kết luận rằng tốc độ tăng trưởng lịch sử là vô nghĩa khi lợi nhuận âm và bỏ qua nó khi dự đoán tăng trưởng tương lai là đúng, và thực tế, có thể là hợp lý.</w:t>
      </w:r>
    </w:p>
    <w:p>
      <w:pPr>
        <w:pStyle w:val="Para 11"/>
      </w:pPr>
      <w:r>
        <w:t xml:space="preserve"> </w:t>
      </w:r>
    </w:p>
    <w:p>
      <w:bookmarkStart w:id="1891" w:name="ILLUSTRATION_11_3__Negative_Earn_1"/>
      <w:bookmarkStart w:id="1892" w:name="ILLUSTRATION_11_3__Negative_Earn"/>
      <w:pPr>
        <w:keepNext/>
        <w:pStyle w:val="Para 19"/>
        <w:keepLines w:val="on"/>
      </w:pPr>
      <w:r>
        <w:t>MINH HỌA 11.3: Lợi nhuận âm: Tesla Motors và Aracruz Celulose</w:t>
      </w:r>
      <w:bookmarkEnd w:id="1891"/>
      <w:bookmarkEnd w:id="1892"/>
    </w:p>
    <w:p>
      <w:pPr>
        <w:pStyle w:val="Para 04"/>
        <w:keepLines w:val="on"/>
      </w:pPr>
      <w:r>
        <w:t>Những vấn đề khi ước tính tăng trưởng lợi nhuận khi lợi nhuận âm có thể thấy ngay cả với những công ty chỉ có lợi nhuận âm. Ví dụ, Tesla Motors báo cáo lợi nhuận hoạt động (EBIT) là −52 triệu đô la năm 2009 và −154 triệu đô la năm 2010. Rõ ràng, lợi nhuận của công ty đã xấu đi, nhưng nếu ước tính tốc độ tăng trưởng lợi nhuận theo cách tiêu chuẩn, ta sẽ có tốc độ tăng trưởng như sau:</w:t>
      </w:r>
    </w:p>
    <w:p>
      <w:bookmarkStart w:id="1894" w:name="Earnings_growth_for_Tesla_Motors"/>
      <w:pPr>
        <w:keepNext/>
        <w:pStyle w:val="Para 07"/>
        <w:keepLines w:val="on"/>
      </w:pPr>
      <w:r>
        <w:t>Tăng trưởng lợi nhuận của Tesla Motors năm 2010 = −154 − −52 / −52 = 1,9615 hay 196,15%</w:t>
      </w:r>
      <w:bookmarkEnd w:id="1894"/>
    </w:p>
    <w:p>
      <w:pPr>
        <w:pStyle w:val="Para 04"/>
        <w:keepLines w:val="on"/>
      </w:pPr>
      <w:r>
        <w:t>Giờ hãy xem xét Aracruz, một công ty giấy và bột giấy của Brazil, cũng dễ bị ảnh hưởng như các công ty khác trong ngành trước những thăng trầm của giá hàng hóa. Bảng sau báo cáo thu nhập trên mỗi cổ phần của công ty từ năm 1995 đến 2000.</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EPS tính bằng Real Brazil</w:t>
                  </w:r>
                </w:p>
              </w:tc>
            </w:tr>
            <w:tr>
              <w:tc>
                <w:tcPr>
                  <w:tcW w:type="auto" w:w="0"/>
                  <w:shd w:val="clear" w:color="auto" w:fill="F0F0F0"/>
                </w:tcPr>
                <w:p>
                  <w:pPr>
                    <w:pStyle w:val="Normal"/>
                    <w:keepLines w:val="on"/>
                  </w:pPr>
                  <w:r>
                    <w:t>1995</w:t>
                  </w:r>
                </w:p>
              </w:tc>
              <w:tc>
                <w:tcPr>
                  <w:tcW w:type="auto" w:w="0"/>
                  <w:shd w:val="clear" w:color="auto" w:fill="F0F0F0"/>
                </w:tcPr>
                <w:p>
                  <w:pPr>
                    <w:pStyle w:val="Normal"/>
                    <w:keepLines w:val="on"/>
                  </w:pPr>
                  <w:r>
                    <w:t>0,302</w:t>
                  </w:r>
                </w:p>
              </w:tc>
            </w:tr>
            <w:tr>
              <w:tc>
                <w:tcPr>
                  <w:tcW w:type="auto" w:w="0"/>
                  <w:shd w:val="clear" w:color="auto" w:fill="F0F0F0"/>
                </w:tcPr>
                <w:p>
                  <w:pPr>
                    <w:pStyle w:val="Normal"/>
                    <w:keepLines w:val="on"/>
                  </w:pPr>
                  <w:r>
                    <w:t>1996</w:t>
                  </w:r>
                </w:p>
              </w:tc>
              <w:tc>
                <w:tcPr>
                  <w:tcW w:type="auto" w:w="0"/>
                  <w:shd w:val="clear" w:color="auto" w:fill="F0F0F0"/>
                </w:tcPr>
                <w:p>
                  <w:pPr>
                    <w:pStyle w:val="Normal"/>
                    <w:keepLines w:val="on"/>
                  </w:pPr>
                  <w:r>
                    <w:t>0,041</w:t>
                  </w:r>
                </w:p>
              </w:tc>
            </w:tr>
            <w:tr>
              <w:tc>
                <w:tcPr>
                  <w:tcW w:type="auto" w:w="0"/>
                  <w:shd w:val="clear" w:color="auto" w:fill="F0F0F0"/>
                </w:tcPr>
                <w:p>
                  <w:pPr>
                    <w:pStyle w:val="Normal"/>
                    <w:keepLines w:val="on"/>
                  </w:pPr>
                  <w:r>
                    <w:t>1997</w:t>
                  </w:r>
                </w:p>
              </w:tc>
              <w:tc>
                <w:tcPr>
                  <w:tcW w:type="auto" w:w="0"/>
                  <w:shd w:val="clear" w:color="auto" w:fill="F0F0F0"/>
                </w:tcPr>
                <w:p>
                  <w:pPr>
                    <w:pStyle w:val="Normal"/>
                    <w:keepLines w:val="on"/>
                  </w:pPr>
                  <w:r>
                    <w:t>0,017</w:t>
                  </w:r>
                </w:p>
              </w:tc>
            </w:tr>
            <w:tr>
              <w:tc>
                <w:tcPr>
                  <w:tcW w:type="auto" w:w="0"/>
                  <w:shd w:val="clear" w:color="auto" w:fill="F0F0F0"/>
                </w:tcPr>
                <w:p>
                  <w:pPr>
                    <w:pStyle w:val="Normal"/>
                    <w:keepLines w:val="on"/>
                  </w:pPr>
                  <w:r>
                    <w:t>1998</w:t>
                  </w:r>
                </w:p>
              </w:tc>
              <w:tc>
                <w:tcPr>
                  <w:tcW w:type="auto" w:w="0"/>
                  <w:shd w:val="clear" w:color="auto" w:fill="F0F0F0"/>
                </w:tcPr>
                <w:p>
                  <w:pPr>
                    <w:pStyle w:val="Normal"/>
                    <w:keepLines w:val="on"/>
                  </w:pPr>
                  <w:r>
                    <w:t>–0,067</w:t>
                  </w:r>
                </w:p>
              </w:tc>
            </w:tr>
            <w:tr>
              <w:tc>
                <w:tcPr>
                  <w:tcW w:type="auto" w:w="0"/>
                  <w:shd w:val="clear" w:color="auto" w:fill="F0F0F0"/>
                </w:tcPr>
                <w:p>
                  <w:pPr>
                    <w:pStyle w:val="Normal"/>
                    <w:keepLines w:val="on"/>
                  </w:pPr>
                  <w:r>
                    <w:t>1999</w:t>
                  </w:r>
                </w:p>
              </w:tc>
              <w:tc>
                <w:tcPr>
                  <w:tcW w:type="auto" w:w="0"/>
                  <w:shd w:val="clear" w:color="auto" w:fill="F0F0F0"/>
                </w:tcPr>
                <w:p>
                  <w:pPr>
                    <w:pStyle w:val="Normal"/>
                    <w:keepLines w:val="on"/>
                  </w:pPr>
                  <w:r>
                    <w:t>0,065</w:t>
                  </w:r>
                </w:p>
              </w:tc>
            </w:tr>
            <w:tr>
              <w:tc>
                <w:tcPr>
                  <w:tcW w:type="auto" w:w="0"/>
                  <w:shd w:val="clear" w:color="auto" w:fill="F0F0F0"/>
                </w:tcPr>
                <w:p>
                  <w:pPr>
                    <w:pStyle w:val="Normal"/>
                    <w:keepLines w:val="on"/>
                  </w:pPr>
                  <w:r>
                    <w:t>2000</w:t>
                  </w:r>
                </w:p>
              </w:tc>
              <w:tc>
                <w:tcPr>
                  <w:tcW w:type="auto" w:w="0"/>
                  <w:shd w:val="clear" w:color="auto" w:fill="F0F0F0"/>
                </w:tcPr>
                <w:p>
                  <w:pPr>
                    <w:pStyle w:val="Normal"/>
                    <w:keepLines w:val="on"/>
                  </w:pPr>
                  <w:r>
                    <w:t>0,437</w:t>
                  </w:r>
                </w:p>
              </w:tc>
            </w:tr>
          </w:tbl>
          <w:p/>
        </w:tc>
      </w:tr>
    </w:tbl>
    <w:p>
      <w:pPr>
        <w:pStyle w:val="Para 04"/>
        <w:keepLines w:val="on"/>
      </w:pPr>
      <w:r>
        <w:t>Các con số thu nhập ròng (và thu nhập trên mỗi cổ phần) âm trong năm 1998 khiến cho việc ước tính tốc độ tăng trưởng trong năm 1999 trở nên phức tạp. Ví dụ, công ty có khoản lỗ trên mỗi cổ phần là 0,067 BR vào năm 1998 và lợi nhuận trên mỗi cổ phần là 0,065 BR vào năm 1999. Tốc độ tăng trưởng thu nhập trên mỗi cổ phần được ước tính bằng công thức thông thường sẽ là:</w:t>
      </w:r>
    </w:p>
    <w:p>
      <w:bookmarkStart w:id="1896" w:name="Earnings_growth_rate_in_1999___0"/>
      <w:pPr>
        <w:keepNext/>
        <w:pStyle w:val="Para 07"/>
        <w:keepLines w:val="on"/>
      </w:pPr>
      <w:r>
        <w:t>Tốc độ tăng trưởng thu nhập năm 1999=[$0,065−(-$0,067)]/(-$0,067)=-197%</w:t>
      </w:r>
      <w:bookmarkEnd w:id="1896"/>
    </w:p>
    <w:p>
      <w:pPr>
        <w:pStyle w:val="Para 04"/>
        <w:keepLines w:val="on"/>
      </w:pPr>
      <w:r>
        <w:t>Tốc độ tăng trưởng này, một con số âm, không có ý nghĩa gì nếu xét đến sự cải thiện thu nhập trong năm. Có hai cách khắc phục vấn đề này. Một là thay thế thu nhập trên mỗi cổ phần thực tế ở mẫu số bằng giá trị tuyệt đối:</w:t>
      </w:r>
    </w:p>
    <w:p>
      <w:bookmarkStart w:id="1897" w:name="Earnings_growth_rate_in_1999abso"/>
      <w:pPr>
        <w:keepNext/>
        <w:pStyle w:val="Para 07"/>
        <w:keepLines w:val="on"/>
      </w:pPr>
      <w:r>
        <w:t>Tốc độ tăng trưởng thu nhập năm 1999 theo giá trị tuyệt đối =[$0,065−(−$0,067)]/($0,067)=192%</w:t>
      </w:r>
      <w:bookmarkEnd w:id="1897"/>
    </w:p>
    <w:p>
      <w:pPr>
        <w:pStyle w:val="Para 04"/>
        <w:keepLines w:val="on"/>
      </w:pPr>
      <w:r>
        <w:t>Cách còn lại là sử dụng con số cao hơn trong hai năm của thu nhập trên mỗi cổ phần, ta được:</w:t>
      </w:r>
    </w:p>
    <w:p>
      <w:bookmarkStart w:id="1898" w:name="Earnings_growth_rate_in_1999high"/>
      <w:pPr>
        <w:keepNext/>
        <w:pStyle w:val="Para 07"/>
        <w:keepLines w:val="on"/>
      </w:pPr>
      <w:r>
        <w:t>Tốc độ tăng trưởng thu nhập năm 1999 theo giá trị cao hơn =[$0,065−(−$0,067)]/($0,065)=203%</w:t>
      </w:r>
      <w:bookmarkEnd w:id="1898"/>
    </w:p>
    <w:p>
      <w:pPr>
        <w:pStyle w:val="Para 04"/>
        <w:keepLines w:val="on"/>
      </w:pPr>
      <w:r>
        <w:t>Mặc dù tốc độ tăng trưởng giờ đây đã dương, đúng như bạn kỳ vọng, nhưng bản thân các giá trị tốc độ tăng trưởng này không thực sự hữu ích để đưa ra các ước tính cho tương lai.</w:t>
      </w:r>
    </w:p>
    <w:p>
      <w:bookmarkStart w:id="1899" w:name="Time_Series_Models_to_Predict_Ea_1"/>
      <w:bookmarkStart w:id="1900" w:name="Time_Series_Models_to_Predict_Ea"/>
      <w:pPr>
        <w:keepNext/>
        <w:pStyle w:val="Heading 4"/>
        <w:keepLines w:val="on"/>
      </w:pPr>
      <w:r>
        <w:t>Các mô hình chuỗi thời gian để dự đoán thu nhập trên mỗi cổ phần</w:t>
      </w:r>
      <w:bookmarkEnd w:id="1899"/>
      <w:bookmarkEnd w:id="1900"/>
    </w:p>
    <w:p>
      <w:pPr>
        <w:pStyle w:val="Para 03"/>
      </w:pPr>
      <w:r>
        <w:t>Các mô hình chuỗi thời gian (time series models) sử dụng cùng nguồn thông tin lịch sử như những mô hình đơn giản hơn đã trình bày ở phần trước. Tuy nhiên, chúng cố gắng rút ra những dự đoán tốt hơn từ dữ liệu này bằng cách sử dụng các kỹ thuật thống kê.</w:t>
      </w:r>
    </w:p>
    <w:p>
      <w:bookmarkStart w:id="1901" w:name="Box_Jenkins_Models__Box_and_Jenk"/>
      <w:pPr>
        <w:pStyle w:val="Para 21"/>
      </w:pPr>
      <w:r>
        <w:t>Các mô hình Box-Jenkins</w:t>
      </w:r>
      <w:bookmarkEnd w:id="1901"/>
    </w:p>
    <w:p>
      <w:pPr>
        <w:pStyle w:val="Para 03"/>
      </w:pPr>
      <w:r>
        <w:t>Box và Jenkins (1976) đã phát triển một quy trình để phân tích và dự báo dữ liệu chuỗi thời gian đơn biến bằng cách sử dụng mô hình trung bình trượt tích hợp tự hồi quy (autoregressive integrated moving average – ARIMA). Các mô hình ARIMA mô hình hóa một giá trị trong chuỗi thời gian như một tổ hợp tuyến tính của các giá trị trong quá khứ và các sai số trong quá khứ (các cú sốc). Vì sử dụng dữ liệu lịch sử, những mô hình này phù hợp nếu dữ liệu không thể hiện xu hướng thời gian hay sự phụ thuộc vào các sự kiện hoặc biến số bên ngoài. Các mô hình ARIMA thường được ký hiệu bằng ký hiệu:</w:t>
      </w:r>
    </w:p>
    <w:p>
      <w:bookmarkStart w:id="1903" w:name="ARIMA__p__d__q"/>
      <w:pPr>
        <w:keepNext/>
        <w:pStyle w:val="Para 09"/>
        <w:keepLines w:val="on"/>
      </w:pPr>
      <w:r>
        <w:t>ARIMA (p, d, q)</w:t>
      </w:r>
      <w:bookmarkEnd w:id="1903"/>
    </w:p>
    <w:p>
      <w:bookmarkStart w:id="1904" w:name="where_p_Degree_of_the_autoregres"/>
      <w:pPr>
        <w:pStyle w:val="Para 39"/>
      </w:pPr>
      <w:r>
        <w:t>trong đóp=Bậc của phần tự hồi quyd=Bậc của phép sai phânq=Bậc của quá trình trung bình trượt</w:t>
      </w:r>
      <w:bookmarkEnd w:id="1904"/>
    </w:p>
    <w:p>
      <w:pPr>
        <w:pStyle w:val="Para 03"/>
      </w:pPr>
      <w:r>
        <w:t>Mô hình toán học sau đó có thể được viết như sau:</w:t>
      </w:r>
    </w:p>
    <w:p>
      <w:bookmarkStart w:id="1905" w:name="wt_ph1wt___1_ph2wt___2"/>
      <w:pPr>
        <w:keepNext/>
        <w:pStyle w:val="Para 09"/>
        <w:keepLines w:val="on"/>
      </w:pPr>
      <w:r>
        <w:t>wt=φ1wt−1+φ2wt−2+⋅⋅⋅+ φpwt−p+θ0−θ1at−1−θ2at−2−⋅⋅⋅− θqat−q+εt</w:t>
      </w:r>
      <w:bookmarkEnd w:id="1905"/>
    </w:p>
    <w:p>
      <w:bookmarkStart w:id="1906" w:name="wherewt_Original_data_series_or"/>
      <w:pPr>
        <w:pStyle w:val="Para 39"/>
      </w:pPr>
      <w:r>
        <w:t>trong đówt=Chuỗi dữ liệu gốc hoặc sai phân bậc d của dữ liệu gốcφ1, φ2⋅⋅⋅φp=Các tham số tự hồi quyθ0=Số hạng hằng sốθ1, θ2, ⋅⋅⋅θq=Các tham số trung bình trượtεt=Các nhiễu độc lập, sai số ngẫu nhiên</w:t>
      </w:r>
      <w:bookmarkEnd w:id="1906"/>
    </w:p>
    <w:p>
      <w:pPr>
        <w:pStyle w:val="Para 03"/>
      </w:pPr>
      <w:r>
        <w:t>Các mô hình ARIMA cũng có thể điều chỉnh cho yếu tố mùa vụ trong dữ liệu, trong trường hợp đó mô hình được ký hiệu bằng ký hiệu:</w:t>
      </w:r>
    </w:p>
    <w:p>
      <w:bookmarkStart w:id="1908" w:name="SARIMA__p__d__q_x_p__d__q_s_n"/>
      <w:pPr>
        <w:keepNext/>
        <w:pStyle w:val="Para 09"/>
        <w:keepLines w:val="on"/>
      </w:pPr>
      <w:r>
        <w:t>SARIMA (p, d, q)×(p, d, q)s=n</w:t>
      </w:r>
      <w:bookmarkEnd w:id="1908"/>
    </w:p>
    <w:p>
      <w:bookmarkStart w:id="1909" w:name="where______s_Seasonal_parameter"/>
      <w:pPr>
        <w:pStyle w:val="Para 39"/>
      </w:pPr>
      <w:r>
        <w:t>trong đó s=Tham số mùa vụ có độ dài n</w:t>
      </w:r>
      <w:bookmarkEnd w:id="1909"/>
    </w:p>
    <w:p>
      <w:bookmarkStart w:id="1910" w:name="Time_Series_Models_in_Earnings"/>
      <w:pPr>
        <w:pStyle w:val="Para 21"/>
      </w:pPr>
      <w:r>
        <w:t>Các mô hình chuỗi thời gian trong thu nhập</w:t>
      </w:r>
      <w:bookmarkEnd w:id="1910"/>
    </w:p>
    <w:p>
      <w:pPr>
        <w:pStyle w:val="Para 03"/>
      </w:pPr>
      <w:r>
        <w:t>Hầu hết các mô hình chuỗi thời gian (time series) dùng để dự báo thu nhập đều được xây dựng xoay quanh thu nhập trên mỗi cổ phần (earnings per share) theo quý. Trong một bài khảo sát, Bathke và Lorek (1984) chỉ ra rằng có ba mô hình chuỗi thời gian đã được chứng minh là hữu ích trong việc dự báo thu nhập trên mỗi cổ phần theo quý. Cả ba mô hình đều là mô hình trung bình trượt tích hợp tự hồi quy theo mùa (seasonal autoregressive integrated moving average – SARIMA), vì thu nhập trên mỗi cổ phần theo quý có yếu tố mùa vụ rất mạnh. Mô hình đầu tiên, do Foster (1977) phát triển, cho phép có yếu tố mùa vụ trong thu nhập và được viết như sau:</w:t>
      </w:r>
    </w:p>
    <w:p>
      <w:bookmarkStart w:id="1913" w:name="Model_1_SARIMA_1_0_0_x_0_1_0_s_4"/>
      <w:pPr>
        <w:keepNext/>
        <w:pStyle w:val="Para 09"/>
        <w:keepLines w:val="on"/>
      </w:pPr>
      <w:r>
        <w:t>Mô hình 1: SARIMA(1,0,0)×(0,1,0)s=4</w:t>
      </w:r>
      <w:bookmarkEnd w:id="1913"/>
    </w:p>
    <w:p>
      <w:bookmarkStart w:id="1914" w:name="EPSt_pht1EPSt_1_EPSt_4_ph1EPSt_5"/>
      <w:pPr>
        <w:keepNext/>
        <w:pStyle w:val="Para 09"/>
        <w:keepLines w:val="on"/>
      </w:pPr>
      <w:r>
        <w:t>EPSt=φt1EPSt-1+EPSt-4-φ1EPSt-5+θ0+εt</w:t>
      </w:r>
      <w:bookmarkEnd w:id="1914"/>
    </w:p>
    <w:p>
      <w:pPr>
        <w:pStyle w:val="Para 03"/>
      </w:pPr>
      <w:r>
        <w:t>Mô hình này sau đó được Griffin3 và Watts4 mở rộng để cho phép thêm một tham số trung bình trượt:</w:t>
      </w:r>
    </w:p>
    <w:p>
      <w:bookmarkStart w:id="1917" w:name="Model_2_SARIMA_0_1_1_x_0_1_1_s_4"/>
      <w:pPr>
        <w:keepNext/>
        <w:pStyle w:val="Para 09"/>
        <w:keepLines w:val="on"/>
      </w:pPr>
      <w:r>
        <w:t>Mô hình 2: SARIMA(0,1,1)×(0,1,1)s=4</w:t>
      </w:r>
      <w:bookmarkEnd w:id="1917"/>
    </w:p>
    <w:p>
      <w:bookmarkStart w:id="1918" w:name="EPSt_EPSt___1_EPSt___4___EPSt"/>
      <w:pPr>
        <w:keepNext/>
        <w:pStyle w:val="Para 09"/>
        <w:keepLines w:val="on"/>
      </w:pPr>
      <w:r>
        <w:t>EPSt=EPSt−1+EPSt−4−EPSt−5−θ1εt−1−Θεt−4−Θθ1εt−5+εt</w:t>
      </w:r>
      <w:bookmarkEnd w:id="1918"/>
    </w:p>
    <w:p>
      <w:bookmarkStart w:id="1919" w:name="whereth1_First_order_moving_aver"/>
      <w:pPr>
        <w:pStyle w:val="Para 39"/>
      </w:pPr>
      <w:r>
        <w:t>trong đó θ1 = tham số trung bình trượt bậc một [MA(1)]; Θ = tham số trung bình trượt theo mùa bậc một; εt = giá trị nhiễu thực tế (disturbance realization) vào cuối quý t</w:t>
      </w:r>
      <w:bookmarkEnd w:id="1919"/>
    </w:p>
    <w:p>
      <w:pPr>
        <w:pStyle w:val="Para 03"/>
      </w:pPr>
      <w:r>
        <w:t>Mô hình chuỗi thời gian thứ ba, do Brown và Rozeff (1979) phát triển, cũng tương tự khi sử dụng tham số trung bình trượt theo mùa:</w:t>
      </w:r>
    </w:p>
    <w:p>
      <w:bookmarkStart w:id="1920" w:name="Model_3_SARIMA_1_0_0_x_0_1_1_s_4"/>
      <w:pPr>
        <w:keepNext/>
        <w:pStyle w:val="Para 09"/>
        <w:keepLines w:val="on"/>
      </w:pPr>
      <w:r>
        <w:t>Mô hình 3: SARIMA(1,0,0)×(0,1,1)s=4</w:t>
      </w:r>
      <w:bookmarkEnd w:id="1920"/>
    </w:p>
    <w:p>
      <w:bookmarkStart w:id="1921" w:name="EPSt_ph1EPSt___1_EPSt___4___ph1E"/>
      <w:pPr>
        <w:keepNext/>
        <w:pStyle w:val="Para 09"/>
        <w:keepLines w:val="on"/>
      </w:pPr>
      <w:r>
        <w:t>EPSt=φ1EPSt−1+EPSt−4−φ1EPSt−5+θ0−Θεt−4</w:t>
      </w:r>
      <w:bookmarkEnd w:id="1921"/>
    </w:p>
    <w:p>
      <w:bookmarkStart w:id="1922" w:name="How_Good_Are_Time_Series_Models"/>
      <w:pPr>
        <w:pStyle w:val="Para 21"/>
      </w:pPr>
      <w:r>
        <w:t>Các mô hình chuỗi thời gian dự báo thu nhập tốt đến mức nào?</w:t>
      </w:r>
      <w:bookmarkEnd w:id="1922"/>
    </w:p>
    <w:p>
      <w:pPr>
        <w:pStyle w:val="Para 03"/>
      </w:pPr>
      <w:r>
        <w:t>Các mô hình chuỗi thời gian làm tốt hơn các mô hình ngây thơ (naive model – dùng thu nhập trong quá khứ) trong việc dự báo thu nhập trên mỗi cổ phần của quý tiếp theo. Sai số dự báo (tức là chênh lệch giữa thu nhập trên mỗi cổ phần thực tế và thu nhập trên mỗi cổ phần được dự báo) từ các mô hình chuỗi thời gian trung bình nhỏ hơn sai số dự báo từ các mô hình ngây thơ (chẳng hạn như lấy trung bình đơn giản của tăng trưởng trong quá khứ). Ưu thế của các mô hình này so với các ước lượng ngây thơ giảm dần khi dự báo cho khoảng thời gian dài hơn, cho thấy rằng các tham số chuỗi thời gian được ước lượng không mang tính dừng (not stationary).</w:t>
      </w:r>
    </w:p>
    <w:p>
      <w:pPr>
        <w:pStyle w:val="Para 03"/>
      </w:pPr>
      <w:r>
        <w:t>Xét riêng giữa các mô hình chuỗi thời gian với nhau, không có bằng chứng cho thấy bất kỳ mô hình nào là vượt trội, xét theo tiêu chí tối thiểu hóa sai số dự báo, đối với mọi công ty trong mẫu. Lợi ích thu được từ việc dùng mô hình tốt nhất riêng cho từng công ty, thay vì dùng cùng một mô hình cho mọi công ty, là tương đối nhỏ.</w:t>
      </w:r>
    </w:p>
    <w:p>
      <w:bookmarkStart w:id="1924" w:name="Limitations_in_Using_Time_Series"/>
      <w:pPr>
        <w:pStyle w:val="Para 21"/>
      </w:pPr>
      <w:r>
        <w:t>Những hạn chế khi dùng mô hình chuỗi thời gian trong định giá</w:t>
      </w:r>
      <w:bookmarkEnd w:id="1924"/>
    </w:p>
    <w:p>
      <w:pPr>
        <w:pStyle w:val="Para 03"/>
      </w:pPr>
      <w:r>
        <w:t>Có một số lo ngại khi dùng mô hình chuỗi thời gian để dự báo thu nhập trong định giá. Thứ nhất, mô hình chuỗi thời gian cần rất nhiều dữ liệu, đó là lý do vì sao hầu hết chúng được xây dựng xoay quanh thu nhập trên mỗi cổ phần theo quý. Trong phần lớn các cuộc định giá, trọng tâm là dự báo thu nhập trên mỗi cổ phần theo năm chứ không phải theo quý. Thứ hai, ngay cả với thu nhập trên mỗi cổ phần theo quý, số lượng quan sát đối với hầu hết công ty cũng chỉ giới hạn trong khoảng 10–15 năm dữ liệu (40–60 quý dữ liệu), dẫn đến sai số ước lượng5 lớn trong các tham số của mô hình chuỗi thời gian và trong các dự báo. Thứ ba, ưu thế của dự báo thu nhập từ mô hình chuỗi thời gian giảm dần khi kỳ dự báo được kéo dài ra. Vì dự báo thu nhập trong định giá phải thực hiện cho nhiều năm chứ không phải vài quý, giá trị của mô hình chuỗi thời gian có thể bị hạn chế. Cuối cùng, các nghiên cứu chỉ ra rằng dự báo của chuyên gia phân tích (analyst) vượt trội hơn cả những mô hình chuỗi thời gian tốt nhất trong việc dự báo thu nhập.</w:t>
      </w:r>
    </w:p>
    <w:p>
      <w:pPr>
        <w:pStyle w:val="Para 03"/>
      </w:pPr>
      <w:r>
        <w:t>Tóm lại, mô hình chuỗi thời gian có khả năng phát huy hiệu quả tốt nhất đối với những công ty có lịch sử thu nhập dài và nơi các tham số của mô hình không thay đổi đáng kể theo thời gian. Tuy nhiên, phần lớn trường hợp, chi phí sử dụng những mô hình này có khả năng vượt quá lợi ích mà chúng mang lại, ít nhất là trong bối cảnh định giá.</w:t>
      </w:r>
    </w:p>
    <w:p>
      <w:bookmarkStart w:id="1927" w:name="Usefulness_of_Historical_Growth"/>
      <w:bookmarkStart w:id="1928" w:name="Usefulness_of_Historical_Growth_1"/>
      <w:pPr>
        <w:keepNext/>
        <w:pStyle w:val="Heading 3"/>
        <w:keepLines w:val="on"/>
      </w:pPr>
      <w:r>
        <w:t>Tính hữu ích của tăng trưởng trong quá khứ</w:t>
      </w:r>
      <w:bookmarkEnd w:id="1927"/>
      <w:bookmarkEnd w:id="1928"/>
    </w:p>
    <w:p>
      <w:pPr>
        <w:pStyle w:val="Para 03"/>
      </w:pPr>
      <w:r>
        <w:t>Liệu tốc độ tăng trưởng trong quá khứ có phải là chỉ báo tốt cho tăng trưởng trong tương lai không? Không hẳn. Trong phần này, chúng ta xem xét tăng trưởng trong quá khứ tốt đến mức nào với vai trò là yếu tố dự báo tăng trưởng tương lai đối với mọi công ty, và vì sao quy mô thay đổi cùng hoạt động kinh doanh đầy biến động của nhiều công ty có thể làm suy yếu các dự phóng tăng trưởng.</w:t>
      </w:r>
    </w:p>
    <w:p>
      <w:bookmarkStart w:id="1929" w:name="Higgledy_Piggledy_Growth"/>
      <w:bookmarkStart w:id="1930" w:name="Higgledy_Piggledy_Growth__Past_g"/>
      <w:pPr>
        <w:keepNext/>
        <w:pStyle w:val="Heading 4"/>
        <w:keepLines w:val="on"/>
      </w:pPr>
      <w:r>
        <w:t>Tăng trưởng lộn xộn (Higgledy-Piggledy Growth)</w:t>
      </w:r>
      <w:bookmarkEnd w:id="1929"/>
      <w:bookmarkEnd w:id="1930"/>
    </w:p>
    <w:p>
      <w:pPr>
        <w:pStyle w:val="Para 03"/>
      </w:pPr>
      <w:r>
        <w:t>Tốc độ tăng trưởng trong quá khứ hữu ích trong việc dự báo tăng trưởng tương lai, nhưng chúng đi kèm khá nhiều nhiễu. Trong một nghiên cứu về mối quan hệ giữa tốc độ tăng trưởng trong quá khứ và tốc độ tăng trưởng trong tương lai, Little (1960) đã đặt ra thuật ngữ “tăng trưởng lộn xộn” (higgledy-piggledy growth) vì ông tìm thấy rất ít bằng chứng cho thấy những công ty tăng trưởng nhanh trong một giai đoạn lại tiếp tục tăng trưởng nhanh trong giai đoạn kế tiếp. Trong quá trình chạy một loạt phép tương quan giữa tốc độ tăng trưởng của các giai đoạn liên tiếp có độ dài khác nhau, ông thường xuyên tìm thấy tương quan âm giữa tốc độ tăng trưởng của hai giai đoạn, và tương quan trung bình giữa hai giai đoạn gần như bằng không (0,02).</w:t>
      </w:r>
    </w:p>
    <w:p>
      <w:pPr>
        <w:pStyle w:val="Para 03"/>
      </w:pPr>
      <w:r>
        <w:t>Nếu tăng trưởng trong quá khứ không phải là chỉ báo đáng tin cậy cho tăng trưởng tương lai ở nhiều công ty, thì điều đó càng đúng hơn ở những công ty nhỏ hơn. Tốc độ tăng trưởng ở các công ty nhỏ thường biến động mạnh hơn tốc độ tăng trưởng ở các công ty khác trên thị trường. Chúng tôi đã tính tương quan giữa tốc độ tăng trưởng thu nhập của các giai đoạn liên tiếp (năm năm, ba năm và một năm) đối với các công ty ở Hoa Kỳ, trên toàn bộ mẫu. Chẳng hạn vào năm 2023, không có tương quan nào trong số này về thu nhập ròng đủ mạnh để vượt qua các kiểm định ý nghĩa thống kê. Điều này gợi ý rằng bạn nên thận trọng hơn khi dùng tăng trưởng trong quá khứ, đặc biệt là tăng trưởng thu nhập, để dự báo tăng trưởng tương lai ở những công ty này.</w:t>
      </w:r>
    </w:p>
    <w:p>
      <w:pPr>
        <w:pStyle w:val="Para 03"/>
      </w:pPr>
      <w:r>
        <w:t>Nói chung, tăng trưởng doanh thu có xu hướng bền bỉ và dễ dự đoán hơn một chút so với tăng trưởng thu nhập. Điều này là vì các lựa chọn kế toán (accounting choices) ảnh hưởng đến doanh thu ít hơn nhiều so với ảnh hưởng đến thu nhập. Trong Hình 11.2, chúng ta xem xét tính bền bỉ của tăng trưởng ở bốn chỉ số – doanh thu, EBITDA, EBIT và thu nhập chịu thuế – đối với các công ty Hoa Kỳ từ năm 1997 đến năm 20216:</w:t>
      </w:r>
    </w:p>
    <w:p>
      <w:bookmarkStart w:id="1934" w:name="Figure_11_2_Growth_Persistence_i"/>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1714500"/>
            <wp:effectExtent l="0" r="0" t="0" b="0"/>
            <wp:wrapTopAndBottom/>
            <wp:docPr id="98" name="c11f001b.png" descr="Multiple bar graph plots the decrease in growth persistence in operating metrics for U S companies from 1997 to 2021."/>
            <wp:cNvGraphicFramePr>
              <a:graphicFrameLocks noChangeAspect="1"/>
            </wp:cNvGraphicFramePr>
            <a:graphic>
              <a:graphicData uri="http://schemas.openxmlformats.org/drawingml/2006/picture">
                <pic:pic>
                  <pic:nvPicPr>
                    <pic:cNvPr id="0" name="c11f001b.png" descr="Multiple bar graph plots the decrease in growth persistence in operating metrics for U S companies from 1997 to 2021."/>
                    <pic:cNvPicPr/>
                  </pic:nvPicPr>
                  <pic:blipFill>
                    <a:blip r:embed="rId77"/>
                    <a:stretch>
                      <a:fillRect/>
                    </a:stretch>
                  </pic:blipFill>
                  <pic:spPr>
                    <a:xfrm>
                      <a:off x="0" y="0"/>
                      <a:ext cx="2425700" cy="1714500"/>
                    </a:xfrm>
                    <a:prstGeom prst="rect">
                      <a:avLst/>
                    </a:prstGeom>
                  </pic:spPr>
                </pic:pic>
              </a:graphicData>
            </a:graphic>
          </wp:anchor>
        </w:drawing>
      </w:r>
      <w:bookmarkEnd w:id="1934"/>
    </w:p>
    <w:p>
      <w:pPr>
        <w:pStyle w:val="Para 22"/>
        <w:keepLines w:val="on"/>
      </w:pPr>
      <w:r>
        <w:t>Hình 11.2 Tính bền bỉ của tăng trưởng ở các chỉ số hoạt động</w:t>
      </w:r>
    </w:p>
    <w:p>
      <w:pPr>
        <w:keepNext/>
        <w:pStyle w:val="Para 64"/>
        <w:keepLines w:val="on"/>
      </w:pPr>
      <w:r>
        <w:t>Nguồn: Swedroe, L., 2022. Valuations and Earnings Growth Rates, TEBI.</w:t>
      </w:r>
    </w:p>
    <w:p>
      <w:pPr>
        <w:pStyle w:val="Para 03"/>
      </w:pPr>
      <w:r>
        <w:t>Lưu ý rằng với mọi chỉ số, tính bền bỉ của tăng trưởng thu nhập đều giảm mạnh sau năm đầu tiên, dù mức giảm ở doanh thu có phần ít dốc hơn so với các con số thu nhập. Hàm ý ở đây là tăng trưởng trong quá khứ không mấy hữu ích trong việc dự báo tăng trưởng tương lai trong những khoảng thời gian dài hơn, và tăng trưởng doanh thu là một yếu tố dự báo hữu ích hơn tăng trưởng thu nhập.</w:t>
      </w:r>
    </w:p>
    <w:p>
      <w:pPr>
        <w:pStyle w:val="Para 20"/>
      </w:pPr>
      <w:r>
        <w:rPr>
          <w:rStyle w:val="Text26"/>
        </w:rPr>
        <w:bookmarkStart w:id="1935" w:name="Page_305"/>
        <w:t/>
        <w:bookmarkEnd w:id="1935"/>
      </w:r>
      <w:r>
        <w:t xml:space="preserve"> </w:t>
      </w:r>
    </w:p>
    <w:p>
      <w:bookmarkStart w:id="1936" w:name="Effects_of_Firm_Size__Since_the"/>
      <w:bookmarkStart w:id="1937" w:name="Effects_of_Firm_Size"/>
      <w:pPr>
        <w:keepNext/>
        <w:pStyle w:val="Heading 4"/>
        <w:keepLines w:val="on"/>
      </w:pPr>
      <w:r>
        <w:t>Ảnh hưởng của quy mô doanh nghiệp</w:t>
      </w:r>
      <w:bookmarkEnd w:id="1936"/>
      <w:bookmarkEnd w:id="1937"/>
    </w:p>
    <w:p>
      <w:pPr>
        <w:pStyle w:val="Para 03"/>
      </w:pPr>
      <w:r>
        <w:t>Vì tốc độ tăng trưởng được biểu thị bằng phần trăm, nên vai trò của quy mô doanh nghiệp cần được cân nhắc trong phân tích. Một doanh nghiệp có 10 triệu đô-la lợi nhuận sẽ dễ tạo ra tốc độ tăng trưởng 50 phần trăm hơn so với một doanh nghiệp có 500 triệu đô-la lợi nhuận. Vì các doanh nghiệp ngày càng khó duy trì tốc độ tăng trưởng cao khi họ trở nên lớn hơn, nên các tốc độ tăng trưởng trong quá khứ của những doanh nghiệp đã tăng trưởng vượt bậc về quy mô có thể sẽ khó duy trì trong tương lai. Đây là vấn đề đối với mọi doanh nghiệp, nhưng lại là vấn đề đặc biệt khi phân tích các doanh nghiệp nhỏ và đang tăng trưởng. Dù các yếu tố nền tảng của những doanh nghiệp này, xét về ban lãnh đạo, sản phẩm và thị trường cơ bản, có thể không thay đổi, thì việc duy trì tốc độ tăng trưởng trong quá khứ vẫn sẽ khó khăn khi doanh nghiệp tăng gấp đôi hoặc gấp ba về quy mô.</w:t>
      </w:r>
    </w:p>
    <w:p>
      <w:pPr>
        <w:pStyle w:val="Para 03"/>
      </w:pPr>
      <w:r>
        <w:t>Phép thử thực sự đối với một doanh nghiệp nhỏ nằm ở việc nó xử lý tăng trưởng tốt đến đâu. Một số doanh nghiệp tiếp tục cung cấp sản phẩm và dịch vụ của mình một cách hiệu quả khi họ phát triển. Nói cách khác, họ có thể mở rộng quy mô thành công. Những doanh nghiệp khác lại gặp nhiều khó khăn hơn trong việc tái tạo thành công của mình khi trở nên lớn hơn. Do đó, khi phân tích các doanh nghiệp nhỏ, điều quan trọng là bạn phải xem xét các kế hoạch tăng trưởng, nhưng còn quan trọng hơn nữa là bạn phải xem xét các hệ thống đang được thiết lập để xử lý sự tăng trưởng này.</w:t>
      </w:r>
    </w:p>
    <w:p>
      <w:pPr>
        <w:pStyle w:val="Para 11"/>
      </w:pPr>
      <w:r>
        <w:t/>
        <w:t xml:space="preserve"> </w:t>
      </w:r>
    </w:p>
    <w:p>
      <w:bookmarkStart w:id="1938" w:name="ILLUSTRATION_11_4__Cisco__Earnin"/>
      <w:bookmarkStart w:id="1939" w:name="ILLUSTRATION_11_4__Cisco__Earnin_1"/>
      <w:pPr>
        <w:keepNext/>
        <w:pStyle w:val="Para 19"/>
        <w:keepLines w:val="on"/>
      </w:pPr>
      <w:r>
        <w:t>MINH HỌA 11.4: Cisco: Tăng trưởng lợi nhuận và quy mô doanh nghiệp—Thời hoàng kim (1990–2000) và Giai đoạn tiếp theo (2001–2011)</w:t>
      </w:r>
      <w:bookmarkEnd w:id="1938"/>
      <w:bookmarkEnd w:id="1939"/>
    </w:p>
    <w:p>
      <w:pPr>
        <w:pStyle w:val="Para 04"/>
        <w:keepLines w:val="on"/>
      </w:pPr>
      <w:r>
        <w:t>Sự phát triển của Cisco từ một doanh nghiệp có 70 triệu đô-la doanh thu và thu nhập ròng khoảng 14 triệu đô-la vào năm 1990, lên mức doanh thu vượt 18 tỷ đô-la và thu nhập ròng khoảng 2,7 tỷ đô-la vào năm 2000, được trình bày trong bảng sau:</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Doanh thu</w:t>
                  </w:r>
                </w:p>
              </w:tc>
              <w:tc>
                <w:tcPr>
                  <w:tcW w:type="auto" w:w="0"/>
                  <w:shd w:val="clear" w:color="auto" w:fill="F0F0F0"/>
                </w:tcPr>
                <w:p>
                  <w:pPr>
                    <w:pStyle w:val="Para 05"/>
                    <w:keepLines w:val="on"/>
                  </w:pPr>
                  <w:r>
                    <w:t>% Thay đổi</w:t>
                  </w:r>
                </w:p>
              </w:tc>
              <w:tc>
                <w:tcPr>
                  <w:tcW w:type="auto" w:w="0"/>
                  <w:shd w:val="clear" w:color="auto" w:fill="F0F0F0"/>
                </w:tcPr>
                <w:p>
                  <w:pPr>
                    <w:pStyle w:val="Para 05"/>
                    <w:keepLines w:val="on"/>
                  </w:pPr>
                  <w:r>
                    <w:t>EBIT</w:t>
                  </w:r>
                </w:p>
              </w:tc>
              <w:tc>
                <w:tcPr>
                  <w:tcW w:type="auto" w:w="0"/>
                  <w:shd w:val="clear" w:color="auto" w:fill="F0F0F0"/>
                </w:tcPr>
                <w:p>
                  <w:pPr>
                    <w:pStyle w:val="Para 05"/>
                    <w:keepLines w:val="on"/>
                  </w:pPr>
                  <w:r>
                    <w:t>% Thay đổi</w:t>
                  </w:r>
                </w:p>
              </w:tc>
              <w:tc>
                <w:tcPr>
                  <w:tcW w:type="auto" w:w="0"/>
                  <w:shd w:val="clear" w:color="auto" w:fill="F0F0F0"/>
                </w:tcPr>
                <w:p>
                  <w:pPr>
                    <w:pStyle w:val="Para 05"/>
                    <w:keepLines w:val="on"/>
                  </w:pPr>
                  <w:r>
                    <w:t>Thu nhập ròng</w:t>
                  </w:r>
                </w:p>
              </w:tc>
              <w:tc>
                <w:tcPr>
                  <w:tcW w:type="auto" w:w="0"/>
                  <w:shd w:val="clear" w:color="auto" w:fill="F0F0F0"/>
                </w:tcPr>
                <w:p>
                  <w:pPr>
                    <w:pStyle w:val="Para 05"/>
                    <w:keepLines w:val="on"/>
                  </w:pPr>
                  <w:r>
                    <w:t>% Thay đổi</w:t>
                  </w:r>
                </w:p>
              </w:tc>
            </w:tr>
            <w:tr>
              <w:tc>
                <w:tcPr>
                  <w:tcW w:type="auto" w:w="0"/>
                  <w:shd w:val="clear" w:color="auto" w:fill="F0F0F0"/>
                </w:tcPr>
                <w:p>
                  <w:pPr>
                    <w:pStyle w:val="Normal"/>
                    <w:keepLines w:val="on"/>
                  </w:pPr>
                  <w:r>
                    <w:t>1990</w:t>
                  </w:r>
                </w:p>
              </w:tc>
              <w:tc>
                <w:tcPr>
                  <w:tcW w:type="auto" w:w="0"/>
                  <w:shd w:val="clear" w:color="auto" w:fill="F0F0F0"/>
                </w:tcPr>
                <w:p>
                  <w:pPr>
                    <w:pStyle w:val="Normal"/>
                    <w:keepLines w:val="on"/>
                  </w:pPr>
                  <w:r>
                    <w:t>$70</w:t>
                  </w:r>
                </w:p>
              </w:tc>
              <w:tc>
                <w:tcPr>
                  <w:tcW w:type="auto" w:w="0"/>
                  <w:shd w:val="clear" w:color="auto" w:fill="F0F0F0"/>
                </w:tcPr>
                <w:p>
                  <w:pPr>
                    <w:pStyle w:val="7 Block"/>
                    <w:keepLines w:val="on"/>
                  </w:pPr>
                </w:p>
              </w:tc>
              <w:tc>
                <w:tcPr>
                  <w:tcW w:type="auto" w:w="0"/>
                  <w:shd w:val="clear" w:color="auto" w:fill="F0F0F0"/>
                </w:tcPr>
                <w:p>
                  <w:pPr>
                    <w:pStyle w:val="Normal"/>
                    <w:keepLines w:val="on"/>
                  </w:pPr>
                  <w:r>
                    <w:t>$21</w:t>
                  </w:r>
                </w:p>
              </w:tc>
              <w:tc>
                <w:tcPr>
                  <w:tcW w:type="auto" w:w="0"/>
                  <w:shd w:val="clear" w:color="auto" w:fill="F0F0F0"/>
                </w:tcPr>
                <w:p>
                  <w:pPr>
                    <w:pStyle w:val="7 Block"/>
                    <w:keepLines w:val="on"/>
                  </w:pPr>
                </w:p>
              </w:tc>
              <w:tc>
                <w:tcPr>
                  <w:tcW w:type="auto" w:w="0"/>
                  <w:shd w:val="clear" w:color="auto" w:fill="F0F0F0"/>
                </w:tcPr>
                <w:p>
                  <w:pPr>
                    <w:pStyle w:val="Normal"/>
                    <w:keepLines w:val="on"/>
                  </w:pPr>
                  <w:r>
                    <w:t>$14</w:t>
                  </w:r>
                </w:p>
              </w:tc>
              <w:tc>
                <w:tcPr>
                  <w:tcW w:type="auto" w:w="0"/>
                  <w:shd w:val="clear" w:color="auto" w:fill="F0F0F0"/>
                </w:tcPr>
                <w:p>
                  <w:pPr>
                    <w:pStyle w:val="5 Block"/>
                    <w:keepLines w:val="on"/>
                  </w:pPr>
                </w:p>
              </w:tc>
            </w:tr>
            <w:tr>
              <w:tc>
                <w:tcPr>
                  <w:tcW w:type="auto" w:w="0"/>
                  <w:shd w:val="clear" w:color="auto" w:fill="F0F0F0"/>
                </w:tcPr>
                <w:p>
                  <w:pPr>
                    <w:pStyle w:val="Normal"/>
                    <w:keepLines w:val="on"/>
                  </w:pPr>
                  <w:r>
                    <w:t>1991</w:t>
                  </w:r>
                </w:p>
              </w:tc>
              <w:tc>
                <w:tcPr>
                  <w:tcW w:type="auto" w:w="0"/>
                  <w:shd w:val="clear" w:color="auto" w:fill="F0F0F0"/>
                </w:tcPr>
                <w:p>
                  <w:pPr>
                    <w:pStyle w:val="Normal"/>
                    <w:keepLines w:val="on"/>
                  </w:pPr>
                  <w:r>
                    <w:t>$183</w:t>
                  </w:r>
                </w:p>
              </w:tc>
              <w:tc>
                <w:tcPr>
                  <w:tcW w:type="auto" w:w="0"/>
                  <w:shd w:val="clear" w:color="auto" w:fill="F0F0F0"/>
                </w:tcPr>
                <w:p>
                  <w:pPr>
                    <w:pStyle w:val="Normal"/>
                    <w:keepLines w:val="on"/>
                  </w:pPr>
                  <w:r>
                    <w:t>162,53%</w:t>
                  </w:r>
                </w:p>
              </w:tc>
              <w:tc>
                <w:tcPr>
                  <w:tcW w:type="auto" w:w="0"/>
                  <w:shd w:val="clear" w:color="auto" w:fill="F0F0F0"/>
                </w:tcPr>
                <w:p>
                  <w:pPr>
                    <w:pStyle w:val="Normal"/>
                    <w:keepLines w:val="on"/>
                  </w:pPr>
                  <w:r>
                    <w:t>$66</w:t>
                  </w:r>
                </w:p>
              </w:tc>
              <w:tc>
                <w:tcPr>
                  <w:tcW w:type="auto" w:w="0"/>
                  <w:shd w:val="clear" w:color="auto" w:fill="F0F0F0"/>
                </w:tcPr>
                <w:p>
                  <w:pPr>
                    <w:pStyle w:val="Normal"/>
                    <w:keepLines w:val="on"/>
                  </w:pPr>
                  <w:r>
                    <w:t>209,42%</w:t>
                  </w:r>
                </w:p>
              </w:tc>
              <w:tc>
                <w:tcPr>
                  <w:tcW w:type="auto" w:w="0"/>
                  <w:shd w:val="clear" w:color="auto" w:fill="F0F0F0"/>
                </w:tcPr>
                <w:p>
                  <w:pPr>
                    <w:pStyle w:val="Normal"/>
                    <w:keepLines w:val="on"/>
                  </w:pPr>
                  <w:r>
                    <w:t>$43</w:t>
                  </w:r>
                </w:p>
              </w:tc>
              <w:tc>
                <w:tcPr>
                  <w:tcW w:type="auto" w:w="0"/>
                  <w:shd w:val="clear" w:color="auto" w:fill="F0F0F0"/>
                </w:tcPr>
                <w:p>
                  <w:pPr>
                    <w:pStyle w:val="Normal"/>
                    <w:keepLines w:val="on"/>
                  </w:pPr>
                  <w:r>
                    <w:t>210,62%</w:t>
                  </w:r>
                </w:p>
              </w:tc>
            </w:tr>
            <w:tr>
              <w:tc>
                <w:tcPr>
                  <w:tcW w:type="auto" w:w="0"/>
                  <w:shd w:val="clear" w:color="auto" w:fill="F0F0F0"/>
                </w:tcPr>
                <w:p>
                  <w:pPr>
                    <w:pStyle w:val="Normal"/>
                    <w:keepLines w:val="on"/>
                  </w:pPr>
                  <w:r>
                    <w:t>1992</w:t>
                  </w:r>
                </w:p>
              </w:tc>
              <w:tc>
                <w:tcPr>
                  <w:tcW w:type="auto" w:w="0"/>
                  <w:shd w:val="clear" w:color="auto" w:fill="F0F0F0"/>
                </w:tcPr>
                <w:p>
                  <w:pPr>
                    <w:pStyle w:val="Normal"/>
                    <w:keepLines w:val="on"/>
                  </w:pPr>
                  <w:r>
                    <w:t>$340</w:t>
                  </w:r>
                </w:p>
              </w:tc>
              <w:tc>
                <w:tcPr>
                  <w:tcW w:type="auto" w:w="0"/>
                  <w:shd w:val="clear" w:color="auto" w:fill="F0F0F0"/>
                </w:tcPr>
                <w:p>
                  <w:pPr>
                    <w:pStyle w:val="Normal"/>
                    <w:keepLines w:val="on"/>
                  </w:pPr>
                  <w:r>
                    <w:t>85,40%</w:t>
                  </w:r>
                </w:p>
              </w:tc>
              <w:tc>
                <w:tcPr>
                  <w:tcW w:type="auto" w:w="0"/>
                  <w:shd w:val="clear" w:color="auto" w:fill="F0F0F0"/>
                </w:tcPr>
                <w:p>
                  <w:pPr>
                    <w:pStyle w:val="Normal"/>
                    <w:keepLines w:val="on"/>
                  </w:pPr>
                  <w:r>
                    <w:t>$129</w:t>
                  </w:r>
                </w:p>
              </w:tc>
              <w:tc>
                <w:tcPr>
                  <w:tcW w:type="auto" w:w="0"/>
                  <w:shd w:val="clear" w:color="auto" w:fill="F0F0F0"/>
                </w:tcPr>
                <w:p>
                  <w:pPr>
                    <w:pStyle w:val="Normal"/>
                    <w:keepLines w:val="on"/>
                  </w:pPr>
                  <w:r>
                    <w:t>95,48%</w:t>
                  </w:r>
                </w:p>
              </w:tc>
              <w:tc>
                <w:tcPr>
                  <w:tcW w:type="auto" w:w="0"/>
                  <w:shd w:val="clear" w:color="auto" w:fill="F0F0F0"/>
                </w:tcPr>
                <w:p>
                  <w:pPr>
                    <w:pStyle w:val="Normal"/>
                    <w:keepLines w:val="on"/>
                  </w:pPr>
                  <w:r>
                    <w:t>$84</w:t>
                  </w:r>
                </w:p>
              </w:tc>
              <w:tc>
                <w:tcPr>
                  <w:tcW w:type="auto" w:w="0"/>
                  <w:shd w:val="clear" w:color="auto" w:fill="F0F0F0"/>
                </w:tcPr>
                <w:p>
                  <w:pPr>
                    <w:pStyle w:val="Normal"/>
                    <w:keepLines w:val="on"/>
                  </w:pPr>
                  <w:r>
                    <w:t>95,39%</w:t>
                  </w:r>
                </w:p>
              </w:tc>
            </w:tr>
            <w:tr>
              <w:tc>
                <w:tcPr>
                  <w:tcW w:type="auto" w:w="0"/>
                  <w:shd w:val="clear" w:color="auto" w:fill="F0F0F0"/>
                </w:tcPr>
                <w:p>
                  <w:pPr>
                    <w:pStyle w:val="Normal"/>
                    <w:keepLines w:val="on"/>
                  </w:pPr>
                  <w:r>
                    <w:t>1993</w:t>
                  </w:r>
                </w:p>
              </w:tc>
              <w:tc>
                <w:tcPr>
                  <w:tcW w:type="auto" w:w="0"/>
                  <w:shd w:val="clear" w:color="auto" w:fill="F0F0F0"/>
                </w:tcPr>
                <w:p>
                  <w:pPr>
                    <w:pStyle w:val="Normal"/>
                    <w:keepLines w:val="on"/>
                  </w:pPr>
                  <w:r>
                    <w:t>$649</w:t>
                  </w:r>
                </w:p>
              </w:tc>
              <w:tc>
                <w:tcPr>
                  <w:tcW w:type="auto" w:w="0"/>
                  <w:shd w:val="clear" w:color="auto" w:fill="F0F0F0"/>
                </w:tcPr>
                <w:p>
                  <w:pPr>
                    <w:pStyle w:val="Normal"/>
                    <w:keepLines w:val="on"/>
                  </w:pPr>
                  <w:r>
                    <w:t>91,10%</w:t>
                  </w:r>
                </w:p>
              </w:tc>
              <w:tc>
                <w:tcPr>
                  <w:tcW w:type="auto" w:w="0"/>
                  <w:shd w:val="clear" w:color="auto" w:fill="F0F0F0"/>
                </w:tcPr>
                <w:p>
                  <w:pPr>
                    <w:pStyle w:val="Normal"/>
                    <w:keepLines w:val="on"/>
                  </w:pPr>
                  <w:r>
                    <w:t>$264</w:t>
                  </w:r>
                </w:p>
              </w:tc>
              <w:tc>
                <w:tcPr>
                  <w:tcW w:type="auto" w:w="0"/>
                  <w:shd w:val="clear" w:color="auto" w:fill="F0F0F0"/>
                </w:tcPr>
                <w:p>
                  <w:pPr>
                    <w:pStyle w:val="Normal"/>
                    <w:keepLines w:val="on"/>
                  </w:pPr>
                  <w:r>
                    <w:t>103,71%</w:t>
                  </w:r>
                </w:p>
              </w:tc>
              <w:tc>
                <w:tcPr>
                  <w:tcW w:type="auto" w:w="0"/>
                  <w:shd w:val="clear" w:color="auto" w:fill="F0F0F0"/>
                </w:tcPr>
                <w:p>
                  <w:pPr>
                    <w:pStyle w:val="Normal"/>
                    <w:keepLines w:val="on"/>
                  </w:pPr>
                  <w:r>
                    <w:t>$172</w:t>
                  </w:r>
                </w:p>
              </w:tc>
              <w:tc>
                <w:tcPr>
                  <w:tcW w:type="auto" w:w="0"/>
                  <w:shd w:val="clear" w:color="auto" w:fill="F0F0F0"/>
                </w:tcPr>
                <w:p>
                  <w:pPr>
                    <w:pStyle w:val="Normal"/>
                    <w:keepLines w:val="on"/>
                  </w:pPr>
                  <w:r>
                    <w:t>103,77%</w:t>
                  </w:r>
                </w:p>
              </w:tc>
            </w:tr>
            <w:tr>
              <w:tc>
                <w:tcPr>
                  <w:tcW w:type="auto" w:w="0"/>
                  <w:shd w:val="clear" w:color="auto" w:fill="F0F0F0"/>
                </w:tcPr>
                <w:p>
                  <w:pPr>
                    <w:pStyle w:val="Normal"/>
                    <w:keepLines w:val="on"/>
                  </w:pPr>
                  <w:r>
                    <w:t>1994</w:t>
                  </w:r>
                </w:p>
              </w:tc>
              <w:tc>
                <w:tcPr>
                  <w:tcW w:type="auto" w:w="0"/>
                  <w:shd w:val="clear" w:color="auto" w:fill="F0F0F0"/>
                </w:tcPr>
                <w:p>
                  <w:pPr>
                    <w:pStyle w:val="Normal"/>
                    <w:keepLines w:val="on"/>
                  </w:pPr>
                  <w:r>
                    <w:t>$1.334</w:t>
                  </w:r>
                </w:p>
              </w:tc>
              <w:tc>
                <w:tcPr>
                  <w:tcW w:type="auto" w:w="0"/>
                  <w:shd w:val="clear" w:color="auto" w:fill="F0F0F0"/>
                </w:tcPr>
                <w:p>
                  <w:pPr>
                    <w:pStyle w:val="Normal"/>
                    <w:keepLines w:val="on"/>
                  </w:pPr>
                  <w:r>
                    <w:t>105,60%</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89,77%</w:t>
                  </w:r>
                </w:p>
              </w:tc>
              <w:tc>
                <w:tcPr>
                  <w:tcW w:type="auto" w:w="0"/>
                  <w:shd w:val="clear" w:color="auto" w:fill="F0F0F0"/>
                </w:tcPr>
                <w:p>
                  <w:pPr>
                    <w:pStyle w:val="Normal"/>
                    <w:keepLines w:val="on"/>
                  </w:pPr>
                  <w:r>
                    <w:t>$323</w:t>
                  </w:r>
                </w:p>
              </w:tc>
              <w:tc>
                <w:tcPr>
                  <w:tcW w:type="auto" w:w="0"/>
                  <w:shd w:val="clear" w:color="auto" w:fill="F0F0F0"/>
                </w:tcPr>
                <w:p>
                  <w:pPr>
                    <w:pStyle w:val="Normal"/>
                    <w:keepLines w:val="on"/>
                  </w:pPr>
                  <w:r>
                    <w:t>87,83%</w:t>
                  </w:r>
                </w:p>
              </w:tc>
            </w:tr>
            <w:tr>
              <w:tc>
                <w:tcPr>
                  <w:tcW w:type="auto" w:w="0"/>
                  <w:shd w:val="clear" w:color="auto" w:fill="F0F0F0"/>
                </w:tcPr>
                <w:p>
                  <w:pPr>
                    <w:pStyle w:val="Normal"/>
                    <w:keepLines w:val="on"/>
                  </w:pPr>
                  <w:r>
                    <w:t>1995</w:t>
                  </w:r>
                </w:p>
              </w:tc>
              <w:tc>
                <w:tcPr>
                  <w:tcW w:type="auto" w:w="0"/>
                  <w:shd w:val="clear" w:color="auto" w:fill="F0F0F0"/>
                </w:tcPr>
                <w:p>
                  <w:pPr>
                    <w:pStyle w:val="Normal"/>
                    <w:keepLines w:val="on"/>
                  </w:pPr>
                  <w:r>
                    <w:t>$2.233</w:t>
                  </w:r>
                </w:p>
              </w:tc>
              <w:tc>
                <w:tcPr>
                  <w:tcW w:type="auto" w:w="0"/>
                  <w:shd w:val="clear" w:color="auto" w:fill="F0F0F0"/>
                </w:tcPr>
                <w:p>
                  <w:pPr>
                    <w:pStyle w:val="Normal"/>
                    <w:keepLines w:val="on"/>
                  </w:pPr>
                  <w:r>
                    <w:t>67,31%</w:t>
                  </w:r>
                </w:p>
              </w:tc>
              <w:tc>
                <w:tcPr>
                  <w:tcW w:type="auto" w:w="0"/>
                  <w:shd w:val="clear" w:color="auto" w:fill="F0F0F0"/>
                </w:tcPr>
                <w:p>
                  <w:pPr>
                    <w:pStyle w:val="Normal"/>
                    <w:keepLines w:val="on"/>
                  </w:pPr>
                  <w:r>
                    <w:t>$794</w:t>
                  </w:r>
                </w:p>
              </w:tc>
              <w:tc>
                <w:tcPr>
                  <w:tcW w:type="auto" w:w="0"/>
                  <w:shd w:val="clear" w:color="auto" w:fill="F0F0F0"/>
                </w:tcPr>
                <w:p>
                  <w:pPr>
                    <w:pStyle w:val="Normal"/>
                    <w:keepLines w:val="on"/>
                  </w:pPr>
                  <w:r>
                    <w:t>58,69%</w:t>
                  </w:r>
                </w:p>
              </w:tc>
              <w:tc>
                <w:tcPr>
                  <w:tcW w:type="auto" w:w="0"/>
                  <w:shd w:val="clear" w:color="auto" w:fill="F0F0F0"/>
                </w:tcPr>
                <w:p>
                  <w:pPr>
                    <w:pStyle w:val="Normal"/>
                    <w:keepLines w:val="on"/>
                  </w:pPr>
                  <w:r>
                    <w:t>$456</w:t>
                  </w:r>
                </w:p>
              </w:tc>
              <w:tc>
                <w:tcPr>
                  <w:tcW w:type="auto" w:w="0"/>
                  <w:shd w:val="clear" w:color="auto" w:fill="F0F0F0"/>
                </w:tcPr>
                <w:p>
                  <w:pPr>
                    <w:pStyle w:val="Normal"/>
                    <w:keepLines w:val="on"/>
                  </w:pPr>
                  <w:r>
                    <w:t>41,34%</w:t>
                  </w:r>
                </w:p>
              </w:tc>
            </w:tr>
            <w:tr>
              <w:tc>
                <w:tcPr>
                  <w:tcW w:type="auto" w:w="0"/>
                  <w:shd w:val="clear" w:color="auto" w:fill="F0F0F0"/>
                </w:tcPr>
                <w:p>
                  <w:pPr>
                    <w:pStyle w:val="Normal"/>
                    <w:keepLines w:val="on"/>
                  </w:pPr>
                  <w:r>
                    <w:t>1996</w:t>
                  </w:r>
                </w:p>
              </w:tc>
              <w:tc>
                <w:tcPr>
                  <w:tcW w:type="auto" w:w="0"/>
                  <w:shd w:val="clear" w:color="auto" w:fill="F0F0F0"/>
                </w:tcPr>
                <w:p>
                  <w:pPr>
                    <w:pStyle w:val="Normal"/>
                    <w:keepLines w:val="on"/>
                  </w:pPr>
                  <w:r>
                    <w:t>4.096 đô la</w:t>
                  </w:r>
                </w:p>
              </w:tc>
              <w:tc>
                <w:tcPr>
                  <w:tcW w:type="auto" w:w="0"/>
                  <w:shd w:val="clear" w:color="auto" w:fill="F0F0F0"/>
                </w:tcPr>
                <w:p>
                  <w:pPr>
                    <w:pStyle w:val="Normal"/>
                    <w:keepLines w:val="on"/>
                  </w:pPr>
                  <w:r>
                    <w:t>83,46%</w:t>
                  </w:r>
                </w:p>
              </w:tc>
              <w:tc>
                <w:tcPr>
                  <w:tcW w:type="auto" w:w="0"/>
                  <w:shd w:val="clear" w:color="auto" w:fill="F0F0F0"/>
                </w:tcPr>
                <w:p>
                  <w:pPr>
                    <w:pStyle w:val="Normal"/>
                    <w:keepLines w:val="on"/>
                  </w:pPr>
                  <w:r>
                    <w:t>1.401 đô la</w:t>
                  </w:r>
                </w:p>
              </w:tc>
              <w:tc>
                <w:tcPr>
                  <w:tcW w:type="auto" w:w="0"/>
                  <w:shd w:val="clear" w:color="auto" w:fill="F0F0F0"/>
                </w:tcPr>
                <w:p>
                  <w:pPr>
                    <w:pStyle w:val="Normal"/>
                    <w:keepLines w:val="on"/>
                  </w:pPr>
                  <w:r>
                    <w:t>76,49%</w:t>
                  </w:r>
                </w:p>
              </w:tc>
              <w:tc>
                <w:tcPr>
                  <w:tcW w:type="auto" w:w="0"/>
                  <w:shd w:val="clear" w:color="auto" w:fill="F0F0F0"/>
                </w:tcPr>
                <w:p>
                  <w:pPr>
                    <w:pStyle w:val="Normal"/>
                    <w:keepLines w:val="on"/>
                  </w:pPr>
                  <w:r>
                    <w:t>913 đô la</w:t>
                  </w:r>
                </w:p>
              </w:tc>
              <w:tc>
                <w:tcPr>
                  <w:tcW w:type="auto" w:w="0"/>
                  <w:shd w:val="clear" w:color="auto" w:fill="F0F0F0"/>
                </w:tcPr>
                <w:p>
                  <w:pPr>
                    <w:pStyle w:val="Normal"/>
                    <w:keepLines w:val="on"/>
                  </w:pPr>
                  <w:r>
                    <w:t>100,08%</w:t>
                  </w:r>
                </w:p>
              </w:tc>
            </w:tr>
            <w:tr>
              <w:tc>
                <w:tcPr>
                  <w:tcW w:type="auto" w:w="0"/>
                  <w:shd w:val="clear" w:color="auto" w:fill="F0F0F0"/>
                </w:tcPr>
                <w:p>
                  <w:pPr>
                    <w:pStyle w:val="Normal"/>
                    <w:keepLines w:val="on"/>
                  </w:pPr>
                  <w:r>
                    <w:t>1997</w:t>
                  </w:r>
                </w:p>
              </w:tc>
              <w:tc>
                <w:tcPr>
                  <w:tcW w:type="auto" w:w="0"/>
                  <w:shd w:val="clear" w:color="auto" w:fill="F0F0F0"/>
                </w:tcPr>
                <w:p>
                  <w:pPr>
                    <w:pStyle w:val="Normal"/>
                    <w:keepLines w:val="on"/>
                  </w:pPr>
                  <w:r>
                    <w:t>6.452 đô la</w:t>
                  </w:r>
                </w:p>
              </w:tc>
              <w:tc>
                <w:tcPr>
                  <w:tcW w:type="auto" w:w="0"/>
                  <w:shd w:val="clear" w:color="auto" w:fill="F0F0F0"/>
                </w:tcPr>
                <w:p>
                  <w:pPr>
                    <w:pStyle w:val="Normal"/>
                    <w:keepLines w:val="on"/>
                  </w:pPr>
                  <w:r>
                    <w:t>57,52%</w:t>
                  </w:r>
                </w:p>
              </w:tc>
              <w:tc>
                <w:tcPr>
                  <w:tcW w:type="auto" w:w="0"/>
                  <w:shd w:val="clear" w:color="auto" w:fill="F0F0F0"/>
                </w:tcPr>
                <w:p>
                  <w:pPr>
                    <w:pStyle w:val="Normal"/>
                    <w:keepLines w:val="on"/>
                  </w:pPr>
                  <w:r>
                    <w:t>2.137 đô la</w:t>
                  </w:r>
                </w:p>
              </w:tc>
              <w:tc>
                <w:tcPr>
                  <w:tcW w:type="auto" w:w="0"/>
                  <w:shd w:val="clear" w:color="auto" w:fill="F0F0F0"/>
                </w:tcPr>
                <w:p>
                  <w:pPr>
                    <w:pStyle w:val="Normal"/>
                    <w:keepLines w:val="on"/>
                  </w:pPr>
                  <w:r>
                    <w:t>52,56%</w:t>
                  </w:r>
                </w:p>
              </w:tc>
              <w:tc>
                <w:tcPr>
                  <w:tcW w:type="auto" w:w="0"/>
                  <w:shd w:val="clear" w:color="auto" w:fill="F0F0F0"/>
                </w:tcPr>
                <w:p>
                  <w:pPr>
                    <w:pStyle w:val="Normal"/>
                    <w:keepLines w:val="on"/>
                  </w:pPr>
                  <w:r>
                    <w:t>1.051 đô la</w:t>
                  </w:r>
                </w:p>
              </w:tc>
              <w:tc>
                <w:tcPr>
                  <w:tcW w:type="auto" w:w="0"/>
                  <w:shd w:val="clear" w:color="auto" w:fill="F0F0F0"/>
                </w:tcPr>
                <w:p>
                  <w:pPr>
                    <w:pStyle w:val="Normal"/>
                    <w:keepLines w:val="on"/>
                  </w:pPr>
                  <w:r>
                    <w:t>15,07%</w:t>
                  </w:r>
                </w:p>
              </w:tc>
            </w:tr>
            <w:tr>
              <w:tc>
                <w:tcPr>
                  <w:tcW w:type="auto" w:w="0"/>
                  <w:shd w:val="clear" w:color="auto" w:fill="F0F0F0"/>
                </w:tcPr>
                <w:p>
                  <w:pPr>
                    <w:pStyle w:val="Normal"/>
                    <w:keepLines w:val="on"/>
                  </w:pPr>
                  <w:r>
                    <w:t>1998</w:t>
                  </w:r>
                </w:p>
              </w:tc>
              <w:tc>
                <w:tcPr>
                  <w:tcW w:type="auto" w:w="0"/>
                  <w:shd w:val="clear" w:color="auto" w:fill="F0F0F0"/>
                </w:tcPr>
                <w:p>
                  <w:pPr>
                    <w:pStyle w:val="Normal"/>
                    <w:keepLines w:val="on"/>
                  </w:pPr>
                  <w:r>
                    <w:t>8.489 đô la</w:t>
                  </w:r>
                </w:p>
              </w:tc>
              <w:tc>
                <w:tcPr>
                  <w:tcW w:type="auto" w:w="0"/>
                  <w:shd w:val="clear" w:color="auto" w:fill="F0F0F0"/>
                </w:tcPr>
                <w:p>
                  <w:pPr>
                    <w:pStyle w:val="Normal"/>
                    <w:keepLines w:val="on"/>
                  </w:pPr>
                  <w:r>
                    <w:t>31,57%</w:t>
                  </w:r>
                </w:p>
              </w:tc>
              <w:tc>
                <w:tcPr>
                  <w:tcW w:type="auto" w:w="0"/>
                  <w:shd w:val="clear" w:color="auto" w:fill="F0F0F0"/>
                </w:tcPr>
                <w:p>
                  <w:pPr>
                    <w:pStyle w:val="Normal"/>
                    <w:keepLines w:val="on"/>
                  </w:pPr>
                  <w:r>
                    <w:t>2.664 đô la</w:t>
                  </w:r>
                </w:p>
              </w:tc>
              <w:tc>
                <w:tcPr>
                  <w:tcW w:type="auto" w:w="0"/>
                  <w:shd w:val="clear" w:color="auto" w:fill="F0F0F0"/>
                </w:tcPr>
                <w:p>
                  <w:pPr>
                    <w:pStyle w:val="Normal"/>
                    <w:keepLines w:val="on"/>
                  </w:pPr>
                  <w:r>
                    <w:t>24,66%</w:t>
                  </w:r>
                </w:p>
              </w:tc>
              <w:tc>
                <w:tcPr>
                  <w:tcW w:type="auto" w:w="0"/>
                  <w:shd w:val="clear" w:color="auto" w:fill="F0F0F0"/>
                </w:tcPr>
                <w:p>
                  <w:pPr>
                    <w:pStyle w:val="Normal"/>
                    <w:keepLines w:val="on"/>
                  </w:pPr>
                  <w:r>
                    <w:t>1.331 đô la</w:t>
                  </w:r>
                </w:p>
              </w:tc>
              <w:tc>
                <w:tcPr>
                  <w:tcW w:type="auto" w:w="0"/>
                  <w:shd w:val="clear" w:color="auto" w:fill="F0F0F0"/>
                </w:tcPr>
                <w:p>
                  <w:pPr>
                    <w:pStyle w:val="Normal"/>
                    <w:keepLines w:val="on"/>
                  </w:pPr>
                  <w:r>
                    <w:t>26,64%</w:t>
                  </w:r>
                </w:p>
              </w:tc>
            </w:tr>
            <w:tr>
              <w:tc>
                <w:tcPr>
                  <w:tcW w:type="auto" w:w="0"/>
                  <w:shd w:val="clear" w:color="auto" w:fill="F0F0F0"/>
                </w:tcPr>
                <w:p>
                  <w:pPr>
                    <w:pStyle w:val="Normal"/>
                    <w:keepLines w:val="on"/>
                  </w:pPr>
                  <w:r>
                    <w:t>1999</w:t>
                  </w:r>
                </w:p>
              </w:tc>
              <w:tc>
                <w:tcPr>
                  <w:tcW w:type="auto" w:w="0"/>
                  <w:shd w:val="clear" w:color="auto" w:fill="F0F0F0"/>
                </w:tcPr>
                <w:p>
                  <w:pPr>
                    <w:pStyle w:val="Normal"/>
                    <w:keepLines w:val="on"/>
                  </w:pPr>
                  <w:r>
                    <w:t>12.173 đô la</w:t>
                  </w:r>
                </w:p>
              </w:tc>
              <w:tc>
                <w:tcPr>
                  <w:tcW w:type="auto" w:w="0"/>
                  <w:shd w:val="clear" w:color="auto" w:fill="F0F0F0"/>
                </w:tcPr>
                <w:p>
                  <w:pPr>
                    <w:pStyle w:val="Normal"/>
                    <w:keepLines w:val="on"/>
                  </w:pPr>
                  <w:r>
                    <w:t>43,40%</w:t>
                  </w:r>
                </w:p>
              </w:tc>
              <w:tc>
                <w:tcPr>
                  <w:tcW w:type="auto" w:w="0"/>
                  <w:shd w:val="clear" w:color="auto" w:fill="F0F0F0"/>
                </w:tcPr>
                <w:p>
                  <w:pPr>
                    <w:pStyle w:val="Normal"/>
                    <w:keepLines w:val="on"/>
                  </w:pPr>
                  <w:r>
                    <w:t>$3,344</w:t>
                  </w:r>
                </w:p>
              </w:tc>
              <w:tc>
                <w:tcPr>
                  <w:tcW w:type="auto" w:w="0"/>
                  <w:shd w:val="clear" w:color="auto" w:fill="F0F0F0"/>
                </w:tcPr>
                <w:p>
                  <w:pPr>
                    <w:pStyle w:val="Normal"/>
                    <w:keepLines w:val="on"/>
                  </w:pPr>
                  <w:r>
                    <w:t>25,53%</w:t>
                  </w:r>
                </w:p>
              </w:tc>
              <w:tc>
                <w:tcPr>
                  <w:tcW w:type="auto" w:w="0"/>
                  <w:shd w:val="clear" w:color="auto" w:fill="F0F0F0"/>
                </w:tcPr>
                <w:p>
                  <w:pPr>
                    <w:pStyle w:val="Normal"/>
                    <w:keepLines w:val="on"/>
                  </w:pPr>
                  <w:r>
                    <w:t>$2,023</w:t>
                  </w:r>
                </w:p>
              </w:tc>
              <w:tc>
                <w:tcPr>
                  <w:tcW w:type="auto" w:w="0"/>
                  <w:shd w:val="clear" w:color="auto" w:fill="F0F0F0"/>
                </w:tcPr>
                <w:p>
                  <w:pPr>
                    <w:pStyle w:val="Normal"/>
                    <w:keepLines w:val="on"/>
                  </w:pPr>
                  <w:r>
                    <w:t>51,99%</w:t>
                  </w:r>
                </w:p>
              </w:tc>
            </w:tr>
            <w:tr>
              <w:tc>
                <w:tcPr>
                  <w:tcW w:type="auto" w:w="0"/>
                  <w:shd w:val="clear" w:color="auto" w:fill="F0F0F0"/>
                </w:tcPr>
                <w:p>
                  <w:pPr>
                    <w:pStyle w:val="Normal"/>
                    <w:keepLines w:val="on"/>
                  </w:pPr>
                  <w:r>
                    <w:t>2000</w:t>
                  </w:r>
                </w:p>
              </w:tc>
              <w:tc>
                <w:tcPr>
                  <w:tcW w:type="auto" w:w="0"/>
                  <w:shd w:val="clear" w:color="auto" w:fill="F0F0F0"/>
                </w:tcPr>
                <w:p>
                  <w:pPr>
                    <w:pStyle w:val="Normal"/>
                    <w:keepLines w:val="on"/>
                  </w:pPr>
                  <w:r>
                    <w:t>$18,928</w:t>
                  </w:r>
                </w:p>
              </w:tc>
              <w:tc>
                <w:tcPr>
                  <w:tcW w:type="auto" w:w="0"/>
                  <w:shd w:val="clear" w:color="auto" w:fill="F0F0F0"/>
                </w:tcPr>
                <w:p>
                  <w:pPr>
                    <w:pStyle w:val="Normal"/>
                    <w:keepLines w:val="on"/>
                  </w:pPr>
                  <w:r>
                    <w:t>55,49%</w:t>
                  </w:r>
                </w:p>
              </w:tc>
              <w:tc>
                <w:tcPr>
                  <w:tcW w:type="auto" w:w="0"/>
                  <w:shd w:val="clear" w:color="auto" w:fill="F0F0F0"/>
                </w:tcPr>
                <w:p>
                  <w:pPr>
                    <w:pStyle w:val="Normal"/>
                    <w:keepLines w:val="on"/>
                  </w:pPr>
                  <w:r>
                    <w:t>$4,608</w:t>
                  </w:r>
                </w:p>
              </w:tc>
              <w:tc>
                <w:tcPr>
                  <w:tcW w:type="auto" w:w="0"/>
                  <w:shd w:val="clear" w:color="auto" w:fill="F0F0F0"/>
                </w:tcPr>
                <w:p>
                  <w:pPr>
                    <w:pStyle w:val="Normal"/>
                    <w:keepLines w:val="on"/>
                  </w:pPr>
                  <w:r>
                    <w:t>37,80%</w:t>
                  </w:r>
                </w:p>
              </w:tc>
              <w:tc>
                <w:tcPr>
                  <w:tcW w:type="auto" w:w="0"/>
                  <w:shd w:val="clear" w:color="auto" w:fill="F0F0F0"/>
                </w:tcPr>
                <w:p>
                  <w:pPr>
                    <w:pStyle w:val="Normal"/>
                    <w:keepLines w:val="on"/>
                  </w:pPr>
                  <w:r>
                    <w:t>$2,668</w:t>
                  </w:r>
                </w:p>
              </w:tc>
              <w:tc>
                <w:tcPr>
                  <w:tcW w:type="auto" w:w="0"/>
                  <w:shd w:val="clear" w:color="auto" w:fill="F0F0F0"/>
                </w:tcPr>
                <w:p>
                  <w:pPr>
                    <w:pStyle w:val="Normal"/>
                    <w:keepLines w:val="on"/>
                  </w:pPr>
                  <w:r>
                    <w:t>31,88%</w:t>
                  </w:r>
                </w:p>
              </w:tc>
            </w:tr>
            <w:tr>
              <w:tc>
                <w:tcPr>
                  <w:tcW w:type="auto" w:w="0"/>
                  <w:shd w:val="clear" w:color="auto" w:fill="F0F0F0"/>
                </w:tcPr>
                <w:p>
                  <w:pPr>
                    <w:pStyle w:val="Para 02"/>
                    <w:keepLines w:val="on"/>
                  </w:pPr>
                  <w:r>
                    <w:t>Trung bình cộng</w:t>
                  </w:r>
                </w:p>
              </w:tc>
              <w:tc>
                <w:tcPr>
                  <w:tcW w:type="auto" w:w="0"/>
                  <w:shd w:val="clear" w:color="auto" w:fill="F0F0F0"/>
                </w:tcPr>
                <w:p>
                  <w:pPr>
                    <w:pStyle w:val="5 Block"/>
                    <w:keepLines w:val="on"/>
                  </w:pPr>
                </w:p>
              </w:tc>
              <w:tc>
                <w:tcPr>
                  <w:tcW w:type="auto" w:w="0"/>
                  <w:shd w:val="clear" w:color="auto" w:fill="F0F0F0"/>
                </w:tcPr>
                <w:p>
                  <w:pPr>
                    <w:pStyle w:val="Normal"/>
                    <w:keepLines w:val="on"/>
                  </w:pPr>
                  <w:r>
                    <w:t>78,34%</w:t>
                  </w:r>
                </w:p>
              </w:tc>
              <w:tc>
                <w:tcPr>
                  <w:tcW w:type="auto" w:w="0"/>
                  <w:shd w:val="clear" w:color="auto" w:fill="F0F0F0"/>
                </w:tcPr>
                <w:p>
                  <w:pPr>
                    <w:pStyle w:val="7 Block"/>
                    <w:keepLines w:val="on"/>
                  </w:pPr>
                </w:p>
              </w:tc>
              <w:tc>
                <w:tcPr>
                  <w:tcW w:type="auto" w:w="0"/>
                  <w:shd w:val="clear" w:color="auto" w:fill="F0F0F0"/>
                </w:tcPr>
                <w:p>
                  <w:pPr>
                    <w:pStyle w:val="Normal"/>
                    <w:keepLines w:val="on"/>
                  </w:pPr>
                  <w:r>
                    <w:t>77,41%</w:t>
                  </w:r>
                </w:p>
              </w:tc>
              <w:tc>
                <w:tcPr>
                  <w:tcW w:type="auto" w:w="0"/>
                  <w:shd w:val="clear" w:color="auto" w:fill="F0F0F0"/>
                </w:tcPr>
                <w:p>
                  <w:pPr>
                    <w:pStyle w:val="7 Block"/>
                    <w:keepLines w:val="on"/>
                  </w:pPr>
                </w:p>
              </w:tc>
              <w:tc>
                <w:tcPr>
                  <w:tcW w:type="auto" w:w="0"/>
                  <w:shd w:val="clear" w:color="auto" w:fill="F0F0F0"/>
                </w:tcPr>
                <w:p>
                  <w:pPr>
                    <w:pStyle w:val="Normal"/>
                    <w:keepLines w:val="on"/>
                  </w:pPr>
                  <w:r>
                    <w:t>76,46%</w:t>
                  </w:r>
                </w:p>
              </w:tc>
            </w:tr>
            <w:tr>
              <w:tc>
                <w:tcPr>
                  <w:tcW w:type="auto" w:w="0"/>
                  <w:shd w:val="clear" w:color="auto" w:fill="F0F0F0"/>
                </w:tcPr>
                <w:p>
                  <w:pPr>
                    <w:pStyle w:val="Para 02"/>
                    <w:keepLines w:val="on"/>
                  </w:pPr>
                  <w:r>
                    <w:t>Trung bình nhân</w:t>
                  </w:r>
                </w:p>
              </w:tc>
              <w:tc>
                <w:tcPr>
                  <w:tcW w:type="auto" w:w="0"/>
                  <w:shd w:val="clear" w:color="auto" w:fill="F0F0F0"/>
                </w:tcPr>
                <w:p>
                  <w:pPr>
                    <w:pStyle w:val="5 Block"/>
                    <w:keepLines w:val="on"/>
                  </w:pPr>
                </w:p>
              </w:tc>
              <w:tc>
                <w:tcPr>
                  <w:tcW w:type="auto" w:w="0"/>
                  <w:shd w:val="clear" w:color="auto" w:fill="F0F0F0"/>
                </w:tcPr>
                <w:p>
                  <w:pPr>
                    <w:pStyle w:val="Normal"/>
                    <w:keepLines w:val="on"/>
                  </w:pPr>
                  <w:r>
                    <w:t>75,12%</w:t>
                  </w:r>
                </w:p>
              </w:tc>
              <w:tc>
                <w:tcPr>
                  <w:tcW w:type="auto" w:w="0"/>
                  <w:shd w:val="clear" w:color="auto" w:fill="F0F0F0"/>
                </w:tcPr>
                <w:p>
                  <w:pPr>
                    <w:pStyle w:val="7 Block"/>
                    <w:keepLines w:val="on"/>
                  </w:pPr>
                </w:p>
              </w:tc>
              <w:tc>
                <w:tcPr>
                  <w:tcW w:type="auto" w:w="0"/>
                  <w:shd w:val="clear" w:color="auto" w:fill="F0F0F0"/>
                </w:tcPr>
                <w:p>
                  <w:pPr>
                    <w:pStyle w:val="Normal"/>
                    <w:keepLines w:val="on"/>
                  </w:pPr>
                  <w:r>
                    <w:t>71,13%</w:t>
                  </w:r>
                </w:p>
              </w:tc>
              <w:tc>
                <w:tcPr>
                  <w:tcW w:type="auto" w:w="0"/>
                  <w:shd w:val="clear" w:color="auto" w:fill="F0F0F0"/>
                </w:tcPr>
                <w:p>
                  <w:pPr>
                    <w:pStyle w:val="7 Block"/>
                    <w:keepLines w:val="on"/>
                  </w:pPr>
                </w:p>
              </w:tc>
              <w:tc>
                <w:tcPr>
                  <w:tcW w:type="auto" w:w="0"/>
                  <w:shd w:val="clear" w:color="auto" w:fill="F0F0F0"/>
                </w:tcPr>
                <w:p>
                  <w:pPr>
                    <w:pStyle w:val="Normal"/>
                    <w:keepLines w:val="on"/>
                  </w:pPr>
                  <w:r>
                    <w:t>69,16%</w:t>
                  </w:r>
                </w:p>
              </w:tc>
            </w:tr>
          </w:tbl>
          <w:p/>
        </w:tc>
      </w:tr>
    </w:tbl>
    <w:p>
      <w:pPr>
        <w:pStyle w:val="Para 04"/>
        <w:keepLines w:val="on"/>
      </w:pPr>
      <w:r>
        <w:t>Dù bảng này cho thấy kết quả của một thập kỷ cực kỳ thành công của Cisco, nó cũng gợi ý rằng bạn nên thận trọng khi giả định rằng công ty sẽ tiếp tục tăng trưởng với tốc độ tương tự trong tương lai, vì hai lý do. Thứ nhất, tốc độ tăng trưởng đã chậm dần khi công ty trở nên lớn hơn vào cuối thập niên 1990. Thứ hai, nếu bạn giả định rằng Cisco sẽ duy trì mức tăng trưởng lịch sử giai đoạn 1990–2000 (ước tính bằng trung bình nhân) trong năm năm tiếp theo, thì doanh thu và lợi nhuận sẽ trở nên khổng lồ. Nếu lợi nhuận hoạt động tiếp tục tăng ở mức 71,13% từ 2000 đến 2005, lợi nhuận hoạt động của Cisco sẽ đạt gần 68 tỷ đô la vào năm 2005. Thứ ba, sự tăng trưởng của Cisco chủ yếu đến từ việc mua lại các công ty nhỏ với công nghệ đầy hứa hẹn và sử dụng năng lực của mình để phát triển thương mại hóa những công nghệ này. Ví dụ, vào năm 1999, Cisco đã mua lại 15 công ty, và những thương vụ mua lại này chiếm gần 80% khoản tái đầu tư của công ty trong năm đó. Nếu bạn giả định rằng Cisco sẽ tiếp tục tăng trưởng ở mức lịch sử, bạn cũng đang giả định rằng số lượng thương vụ mua lại sẽ tăng với cùng tốc độ đó. Như vậy, Cisco sẽ phải mua lại gần 80 công ty trong năm năm sau đó để duy trì tốc độ tăng trưởng mà công ty đạt được trong giai đoạn 1990–2000.</w:t>
      </w:r>
    </w:p>
    <w:p>
      <w:pPr>
        <w:pStyle w:val="Para 04"/>
        <w:keepLines w:val="on"/>
      </w:pPr>
      <w:r>
        <w:t>Những khó khăn trong việc mở rộng quy mô tăng trưởng trở nên rõ ràng khi chúng ta nhìn vào Cisco giai đoạn 2001–2011. Dù chiến lược của Cisco không thay đổi — công ty vẫn tiếp tục mua lại các công ty khác và thúc đẩy tăng trưởng cao hơn — tổng doanh thu và lợi nhuận lại không phản hồi tương xứng với những nỗ lực của công ty.</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Doanh thu</w:t>
                  </w:r>
                </w:p>
              </w:tc>
              <w:tc>
                <w:tcPr>
                  <w:tcW w:type="auto" w:w="0"/>
                  <w:shd w:val="clear" w:color="auto" w:fill="F0F0F0"/>
                </w:tcPr>
                <w:p>
                  <w:pPr>
                    <w:pStyle w:val="5 Block"/>
                    <w:keepLines w:val="on"/>
                  </w:pPr>
                </w:p>
              </w:tc>
              <w:tc>
                <w:tcPr>
                  <w:tcW w:type="auto" w:w="0"/>
                  <w:shd w:val="clear" w:color="auto" w:fill="F0F0F0"/>
                </w:tcPr>
                <w:p>
                  <w:pPr>
                    <w:pStyle w:val="Para 05"/>
                    <w:keepLines w:val="on"/>
                  </w:pPr>
                  <w:r>
                    <w:t>EBIT</w:t>
                  </w:r>
                </w:p>
              </w:tc>
              <w:tc>
                <w:tcPr>
                  <w:tcW w:type="auto" w:w="0"/>
                  <w:shd w:val="clear" w:color="auto" w:fill="F0F0F0"/>
                </w:tcPr>
                <w:p>
                  <w:pPr>
                    <w:pStyle w:val="5 Block"/>
                    <w:keepLines w:val="on"/>
                  </w:pPr>
                </w:p>
              </w:tc>
              <w:tc>
                <w:tcPr>
                  <w:tcW w:type="auto" w:w="0"/>
                  <w:shd w:val="clear" w:color="auto" w:fill="F0F0F0"/>
                </w:tcPr>
                <w:p>
                  <w:pPr>
                    <w:pStyle w:val="Para 05"/>
                    <w:keepLines w:val="on"/>
                  </w:pPr>
                  <w:r>
                    <w:t>Lợi nhuận ròng</w:t>
                  </w:r>
                </w:p>
              </w:tc>
              <w:tc>
                <w:tcPr>
                  <w:tcW w:type="auto" w:w="0"/>
                  <w:shd w:val="clear" w:color="auto" w:fill="F0F0F0"/>
                </w:tcPr>
                <w:p>
                  <w:pPr>
                    <w:pStyle w:val="5 Block"/>
                    <w:keepLines w:val="on"/>
                  </w:pPr>
                </w:p>
              </w:tc>
            </w:tr>
            <w:tr>
              <w:tc>
                <w:tcPr>
                  <w:tcW w:type="auto" w:w="0"/>
                  <w:shd w:val="clear" w:color="auto" w:fill="F0F0F0"/>
                </w:tcPr>
                <w:p>
                  <w:pPr>
                    <w:pStyle w:val="Normal"/>
                    <w:keepLines w:val="on"/>
                  </w:pPr>
                  <w:r>
                    <w:t>2001</w:t>
                  </w:r>
                </w:p>
              </w:tc>
              <w:tc>
                <w:tcPr>
                  <w:tcW w:type="auto" w:w="0"/>
                  <w:shd w:val="clear" w:color="auto" w:fill="F0F0F0"/>
                </w:tcPr>
                <w:p>
                  <w:pPr>
                    <w:pStyle w:val="Normal"/>
                    <w:keepLines w:val="on"/>
                  </w:pPr>
                  <w:r>
                    <w:t>22.293 đô la</w:t>
                  </w:r>
                </w:p>
              </w:tc>
              <w:tc>
                <w:tcPr>
                  <w:tcW w:type="auto" w:w="0"/>
                  <w:shd w:val="clear" w:color="auto" w:fill="F0F0F0"/>
                </w:tcPr>
                <w:p>
                  <w:pPr>
                    <w:pStyle w:val="7 Block"/>
                    <w:keepLines w:val="on"/>
                  </w:pPr>
                </w:p>
              </w:tc>
              <w:tc>
                <w:tcPr>
                  <w:tcW w:type="auto" w:w="0"/>
                  <w:shd w:val="clear" w:color="auto" w:fill="F0F0F0"/>
                </w:tcPr>
                <w:p>
                  <w:pPr>
                    <w:pStyle w:val="Normal"/>
                    <w:keepLines w:val="on"/>
                  </w:pPr>
                  <w:r>
                    <w:t>2.270 đô la</w:t>
                  </w:r>
                </w:p>
              </w:tc>
              <w:tc>
                <w:tcPr>
                  <w:tcW w:type="auto" w:w="0"/>
                  <w:shd w:val="clear" w:color="auto" w:fill="F0F0F0"/>
                </w:tcPr>
                <w:p>
                  <w:pPr>
                    <w:pStyle w:val="7 Block"/>
                    <w:keepLines w:val="on"/>
                  </w:pPr>
                </w:p>
              </w:tc>
              <w:tc>
                <w:tcPr>
                  <w:tcW w:type="auto" w:w="0"/>
                  <w:shd w:val="clear" w:color="auto" w:fill="F0F0F0"/>
                </w:tcPr>
                <w:p>
                  <w:pPr>
                    <w:pStyle w:val="Normal"/>
                    <w:keepLines w:val="on"/>
                  </w:pPr>
                  <w:r>
                    <w:t>–1.014 đô la</w:t>
                  </w:r>
                </w:p>
              </w:tc>
              <w:tc>
                <w:tcPr>
                  <w:tcW w:type="auto" w:w="0"/>
                  <w:shd w:val="clear" w:color="auto" w:fill="F0F0F0"/>
                </w:tcPr>
                <w:p>
                  <w:pPr>
                    <w:pStyle w:val="7 Block"/>
                    <w:keepLines w:val="on"/>
                  </w:pPr>
                </w:p>
              </w:tc>
            </w:tr>
            <w:tr>
              <w:tc>
                <w:tcPr>
                  <w:tcW w:type="auto" w:w="0"/>
                  <w:shd w:val="clear" w:color="auto" w:fill="F0F0F0"/>
                </w:tcPr>
                <w:p>
                  <w:pPr>
                    <w:pStyle w:val="Normal"/>
                    <w:keepLines w:val="on"/>
                  </w:pPr>
                  <w:r>
                    <w:t>2002</w:t>
                  </w:r>
                </w:p>
              </w:tc>
              <w:tc>
                <w:tcPr>
                  <w:tcW w:type="auto" w:w="0"/>
                  <w:shd w:val="clear" w:color="auto" w:fill="F0F0F0"/>
                </w:tcPr>
                <w:p>
                  <w:pPr>
                    <w:pStyle w:val="Normal"/>
                    <w:keepLines w:val="on"/>
                  </w:pPr>
                  <w:r>
                    <w:t>18.915 đô la</w:t>
                  </w:r>
                </w:p>
              </w:tc>
              <w:tc>
                <w:tcPr>
                  <w:tcW w:type="auto" w:w="0"/>
                  <w:shd w:val="clear" w:color="auto" w:fill="F0F0F0"/>
                </w:tcPr>
                <w:p>
                  <w:pPr>
                    <w:pStyle w:val="Normal"/>
                    <w:keepLines w:val="on"/>
                  </w:pPr>
                  <w:r>
                    <w:t>–15,15%</w:t>
                  </w:r>
                </w:p>
              </w:tc>
              <w:tc>
                <w:tcPr>
                  <w:tcW w:type="auto" w:w="0"/>
                  <w:shd w:val="clear" w:color="auto" w:fill="F0F0F0"/>
                </w:tcPr>
                <w:p>
                  <w:pPr>
                    <w:pStyle w:val="Normal"/>
                    <w:keepLines w:val="on"/>
                  </w:pPr>
                  <w:r>
                    <w:t>3.236 đô la</w:t>
                  </w:r>
                </w:p>
              </w:tc>
              <w:tc>
                <w:tcPr>
                  <w:tcW w:type="auto" w:w="0"/>
                  <w:shd w:val="clear" w:color="auto" w:fill="F0F0F0"/>
                </w:tcPr>
                <w:p>
                  <w:pPr>
                    <w:pStyle w:val="Normal"/>
                    <w:keepLines w:val="on"/>
                  </w:pPr>
                  <w:r>
                    <w:t>42,56%</w:t>
                  </w:r>
                </w:p>
              </w:tc>
              <w:tc>
                <w:tcPr>
                  <w:tcW w:type="auto" w:w="0"/>
                  <w:shd w:val="clear" w:color="auto" w:fill="F0F0F0"/>
                </w:tcPr>
                <w:p>
                  <w:pPr>
                    <w:pStyle w:val="Normal"/>
                    <w:keepLines w:val="on"/>
                  </w:pPr>
                  <w:r>
                    <w:t>1.893 đô la</w:t>
                  </w:r>
                </w:p>
              </w:tc>
              <w:tc>
                <w:tcPr>
                  <w:tcW w:type="auto" w:w="0"/>
                  <w:shd w:val="clear" w:color="auto" w:fill="F0F0F0"/>
                </w:tcPr>
                <w:p>
                  <w:pPr>
                    <w:pStyle w:val="Normal"/>
                    <w:keepLines w:val="on"/>
                  </w:pPr>
                  <w:r>
                    <w:t>–286,69%</w:t>
                  </w:r>
                </w:p>
              </w:tc>
            </w:tr>
            <w:tr>
              <w:tc>
                <w:tcPr>
                  <w:tcW w:type="auto" w:w="0"/>
                  <w:shd w:val="clear" w:color="auto" w:fill="F0F0F0"/>
                </w:tcPr>
                <w:p>
                  <w:pPr>
                    <w:pStyle w:val="Normal"/>
                    <w:keepLines w:val="on"/>
                  </w:pPr>
                  <w:r>
                    <w:t>2003</w:t>
                  </w:r>
                </w:p>
              </w:tc>
              <w:tc>
                <w:tcPr>
                  <w:tcW w:type="auto" w:w="0"/>
                  <w:shd w:val="clear" w:color="auto" w:fill="F0F0F0"/>
                </w:tcPr>
                <w:p>
                  <w:pPr>
                    <w:pStyle w:val="Normal"/>
                    <w:keepLines w:val="on"/>
                  </w:pPr>
                  <w:r>
                    <w:t>18.878 đô la</w:t>
                  </w:r>
                </w:p>
              </w:tc>
              <w:tc>
                <w:tcPr>
                  <w:tcW w:type="auto" w:w="0"/>
                  <w:shd w:val="clear" w:color="auto" w:fill="F0F0F0"/>
                </w:tcPr>
                <w:p>
                  <w:pPr>
                    <w:pStyle w:val="Normal"/>
                    <w:keepLines w:val="on"/>
                  </w:pPr>
                  <w:r>
                    <w:t>–0,20%</w:t>
                  </w:r>
                </w:p>
              </w:tc>
              <w:tc>
                <w:tcPr>
                  <w:tcW w:type="auto" w:w="0"/>
                  <w:shd w:val="clear" w:color="auto" w:fill="F0F0F0"/>
                </w:tcPr>
                <w:p>
                  <w:pPr>
                    <w:pStyle w:val="Normal"/>
                    <w:keepLines w:val="on"/>
                  </w:pPr>
                  <w:r>
                    <w:t>4.886 đô la</w:t>
                  </w:r>
                </w:p>
              </w:tc>
              <w:tc>
                <w:tcPr>
                  <w:tcW w:type="auto" w:w="0"/>
                  <w:shd w:val="clear" w:color="auto" w:fill="F0F0F0"/>
                </w:tcPr>
                <w:p>
                  <w:pPr>
                    <w:pStyle w:val="Normal"/>
                    <w:keepLines w:val="on"/>
                  </w:pPr>
                  <w:r>
                    <w:t>50,99%</w:t>
                  </w:r>
                </w:p>
              </w:tc>
              <w:tc>
                <w:tcPr>
                  <w:tcW w:type="auto" w:w="0"/>
                  <w:shd w:val="clear" w:color="auto" w:fill="F0F0F0"/>
                </w:tcPr>
                <w:p>
                  <w:pPr>
                    <w:pStyle w:val="Normal"/>
                    <w:keepLines w:val="on"/>
                  </w:pPr>
                  <w:r>
                    <w:t>3.578 đô la</w:t>
                  </w:r>
                </w:p>
              </w:tc>
              <w:tc>
                <w:tcPr>
                  <w:tcW w:type="auto" w:w="0"/>
                  <w:shd w:val="clear" w:color="auto" w:fill="F0F0F0"/>
                </w:tcPr>
                <w:p>
                  <w:pPr>
                    <w:pStyle w:val="Normal"/>
                    <w:keepLines w:val="on"/>
                  </w:pPr>
                  <w:r>
                    <w:t>89,01%</w:t>
                  </w:r>
                </w:p>
              </w:tc>
            </w:tr>
            <w:tr>
              <w:tc>
                <w:tcPr>
                  <w:tcW w:type="auto" w:w="0"/>
                  <w:shd w:val="clear" w:color="auto" w:fill="F0F0F0"/>
                </w:tcPr>
                <w:p>
                  <w:pPr>
                    <w:pStyle w:val="Normal"/>
                    <w:keepLines w:val="on"/>
                  </w:pPr>
                  <w:r>
                    <w:t>2004</w:t>
                  </w:r>
                </w:p>
              </w:tc>
              <w:tc>
                <w:tcPr>
                  <w:tcW w:type="auto" w:w="0"/>
                  <w:shd w:val="clear" w:color="auto" w:fill="F0F0F0"/>
                </w:tcPr>
                <w:p>
                  <w:pPr>
                    <w:pStyle w:val="Normal"/>
                    <w:keepLines w:val="on"/>
                  </w:pPr>
                  <w:r>
                    <w:t>22.045 đô la</w:t>
                  </w:r>
                </w:p>
              </w:tc>
              <w:tc>
                <w:tcPr>
                  <w:tcW w:type="auto" w:w="0"/>
                  <w:shd w:val="clear" w:color="auto" w:fill="F0F0F0"/>
                </w:tcPr>
                <w:p>
                  <w:pPr>
                    <w:pStyle w:val="Normal"/>
                    <w:keepLines w:val="on"/>
                  </w:pPr>
                  <w:r>
                    <w:t>16,78%</w:t>
                  </w:r>
                </w:p>
              </w:tc>
              <w:tc>
                <w:tcPr>
                  <w:tcW w:type="auto" w:w="0"/>
                  <w:shd w:val="clear" w:color="auto" w:fill="F0F0F0"/>
                </w:tcPr>
                <w:p>
                  <w:pPr>
                    <w:pStyle w:val="Normal"/>
                    <w:keepLines w:val="on"/>
                  </w:pPr>
                  <w:r>
                    <w:t>6.295 đô la</w:t>
                  </w:r>
                </w:p>
              </w:tc>
              <w:tc>
                <w:tcPr>
                  <w:tcW w:type="auto" w:w="0"/>
                  <w:shd w:val="clear" w:color="auto" w:fill="F0F0F0"/>
                </w:tcPr>
                <w:p>
                  <w:pPr>
                    <w:pStyle w:val="Normal"/>
                    <w:keepLines w:val="on"/>
                  </w:pPr>
                  <w:r>
                    <w:t>28,84%</w:t>
                  </w:r>
                </w:p>
              </w:tc>
              <w:tc>
                <w:tcPr>
                  <w:tcW w:type="auto" w:w="0"/>
                  <w:shd w:val="clear" w:color="auto" w:fill="F0F0F0"/>
                </w:tcPr>
                <w:p>
                  <w:pPr>
                    <w:pStyle w:val="Normal"/>
                    <w:keepLines w:val="on"/>
                  </w:pPr>
                  <w:r>
                    <w:t>4.401 đô la</w:t>
                  </w:r>
                </w:p>
              </w:tc>
              <w:tc>
                <w:tcPr>
                  <w:tcW w:type="auto" w:w="0"/>
                  <w:shd w:val="clear" w:color="auto" w:fill="F0F0F0"/>
                </w:tcPr>
                <w:p>
                  <w:pPr>
                    <w:pStyle w:val="Normal"/>
                    <w:keepLines w:val="on"/>
                  </w:pPr>
                  <w:r>
                    <w:t>23,00%</w:t>
                  </w:r>
                </w:p>
              </w:tc>
            </w:tr>
            <w:tr>
              <w:tc>
                <w:tcPr>
                  <w:tcW w:type="auto" w:w="0"/>
                  <w:shd w:val="clear" w:color="auto" w:fill="F0F0F0"/>
                </w:tcPr>
                <w:p>
                  <w:pPr>
                    <w:pStyle w:val="Normal"/>
                    <w:keepLines w:val="on"/>
                  </w:pPr>
                  <w:r>
                    <w:t>2005</w:t>
                  </w:r>
                </w:p>
              </w:tc>
              <w:tc>
                <w:tcPr>
                  <w:tcW w:type="auto" w:w="0"/>
                  <w:shd w:val="clear" w:color="auto" w:fill="F0F0F0"/>
                </w:tcPr>
                <w:p>
                  <w:pPr>
                    <w:pStyle w:val="Normal"/>
                    <w:keepLines w:val="on"/>
                  </w:pPr>
                  <w:r>
                    <w:t>24.801 đô la</w:t>
                  </w:r>
                </w:p>
              </w:tc>
              <w:tc>
                <w:tcPr>
                  <w:tcW w:type="auto" w:w="0"/>
                  <w:shd w:val="clear" w:color="auto" w:fill="F0F0F0"/>
                </w:tcPr>
                <w:p>
                  <w:pPr>
                    <w:pStyle w:val="Normal"/>
                    <w:keepLines w:val="on"/>
                  </w:pPr>
                  <w:r>
                    <w:t>12,50%</w:t>
                  </w:r>
                </w:p>
              </w:tc>
              <w:tc>
                <w:tcPr>
                  <w:tcW w:type="auto" w:w="0"/>
                  <w:shd w:val="clear" w:color="auto" w:fill="F0F0F0"/>
                </w:tcPr>
                <w:p>
                  <w:pPr>
                    <w:pStyle w:val="Normal"/>
                    <w:keepLines w:val="on"/>
                  </w:pPr>
                  <w:r>
                    <w:t>7.442 đô la</w:t>
                  </w:r>
                </w:p>
              </w:tc>
              <w:tc>
                <w:tcPr>
                  <w:tcW w:type="auto" w:w="0"/>
                  <w:shd w:val="clear" w:color="auto" w:fill="F0F0F0"/>
                </w:tcPr>
                <w:p>
                  <w:pPr>
                    <w:pStyle w:val="Normal"/>
                    <w:keepLines w:val="on"/>
                  </w:pPr>
                  <w:r>
                    <w:t>18,22%</w:t>
                  </w:r>
                </w:p>
              </w:tc>
              <w:tc>
                <w:tcPr>
                  <w:tcW w:type="auto" w:w="0"/>
                  <w:shd w:val="clear" w:color="auto" w:fill="F0F0F0"/>
                </w:tcPr>
                <w:p>
                  <w:pPr>
                    <w:pStyle w:val="Normal"/>
                    <w:keepLines w:val="on"/>
                  </w:pPr>
                  <w:r>
                    <w:t>5.741 đô la</w:t>
                  </w:r>
                </w:p>
              </w:tc>
              <w:tc>
                <w:tcPr>
                  <w:tcW w:type="auto" w:w="0"/>
                  <w:shd w:val="clear" w:color="auto" w:fill="F0F0F0"/>
                </w:tcPr>
                <w:p>
                  <w:pPr>
                    <w:pStyle w:val="Normal"/>
                    <w:keepLines w:val="on"/>
                  </w:pPr>
                  <w:r>
                    <w:t>30,45%</w:t>
                  </w:r>
                </w:p>
              </w:tc>
            </w:tr>
            <w:tr>
              <w:tc>
                <w:tcPr>
                  <w:tcW w:type="auto" w:w="0"/>
                  <w:shd w:val="clear" w:color="auto" w:fill="F0F0F0"/>
                </w:tcPr>
                <w:p>
                  <w:pPr>
                    <w:pStyle w:val="Normal"/>
                    <w:keepLines w:val="on"/>
                  </w:pPr>
                  <w:r>
                    <w:t>2006</w:t>
                  </w:r>
                </w:p>
              </w:tc>
              <w:tc>
                <w:tcPr>
                  <w:tcW w:type="auto" w:w="0"/>
                  <w:shd w:val="clear" w:color="auto" w:fill="F0F0F0"/>
                </w:tcPr>
                <w:p>
                  <w:pPr>
                    <w:pStyle w:val="Normal"/>
                    <w:keepLines w:val="on"/>
                  </w:pPr>
                  <w:r>
                    <w:t>28.484 đô la</w:t>
                  </w:r>
                </w:p>
              </w:tc>
              <w:tc>
                <w:tcPr>
                  <w:tcW w:type="auto" w:w="0"/>
                  <w:shd w:val="clear" w:color="auto" w:fill="F0F0F0"/>
                </w:tcPr>
                <w:p>
                  <w:pPr>
                    <w:pStyle w:val="Normal"/>
                    <w:keepLines w:val="on"/>
                  </w:pPr>
                  <w:r>
                    <w:t>14,85%</w:t>
                  </w:r>
                </w:p>
              </w:tc>
              <w:tc>
                <w:tcPr>
                  <w:tcW w:type="auto" w:w="0"/>
                  <w:shd w:val="clear" w:color="auto" w:fill="F0F0F0"/>
                </w:tcPr>
                <w:p>
                  <w:pPr>
                    <w:pStyle w:val="Normal"/>
                    <w:keepLines w:val="on"/>
                  </w:pPr>
                  <w:r>
                    <w:t>7.156 đô la</w:t>
                  </w:r>
                </w:p>
              </w:tc>
              <w:tc>
                <w:tcPr>
                  <w:tcW w:type="auto" w:w="0"/>
                  <w:shd w:val="clear" w:color="auto" w:fill="F0F0F0"/>
                </w:tcPr>
                <w:p>
                  <w:pPr>
                    <w:pStyle w:val="Normal"/>
                    <w:keepLines w:val="on"/>
                  </w:pPr>
                  <w:r>
                    <w:t>–3,84%</w:t>
                  </w:r>
                </w:p>
              </w:tc>
              <w:tc>
                <w:tcPr>
                  <w:tcW w:type="auto" w:w="0"/>
                  <w:shd w:val="clear" w:color="auto" w:fill="F0F0F0"/>
                </w:tcPr>
                <w:p>
                  <w:pPr>
                    <w:pStyle w:val="Normal"/>
                    <w:keepLines w:val="on"/>
                  </w:pPr>
                  <w:r>
                    <w:t>5.580 đô la</w:t>
                  </w:r>
                </w:p>
              </w:tc>
              <w:tc>
                <w:tcPr>
                  <w:tcW w:type="auto" w:w="0"/>
                  <w:shd w:val="clear" w:color="auto" w:fill="F0F0F0"/>
                </w:tcPr>
                <w:p>
                  <w:pPr>
                    <w:pStyle w:val="Normal"/>
                    <w:keepLines w:val="on"/>
                  </w:pPr>
                  <w:r>
                    <w:t>–2,80%</w:t>
                  </w:r>
                </w:p>
              </w:tc>
            </w:tr>
            <w:tr>
              <w:tc>
                <w:tcPr>
                  <w:tcW w:type="auto" w:w="0"/>
                  <w:shd w:val="clear" w:color="auto" w:fill="F0F0F0"/>
                </w:tcPr>
                <w:p>
                  <w:pPr>
                    <w:pStyle w:val="Normal"/>
                    <w:keepLines w:val="on"/>
                  </w:pPr>
                  <w:r>
                    <w:t>2007</w:t>
                  </w:r>
                </w:p>
              </w:tc>
              <w:tc>
                <w:tcPr>
                  <w:tcW w:type="auto" w:w="0"/>
                  <w:shd w:val="clear" w:color="auto" w:fill="F0F0F0"/>
                </w:tcPr>
                <w:p>
                  <w:pPr>
                    <w:pStyle w:val="Normal"/>
                    <w:keepLines w:val="on"/>
                  </w:pPr>
                  <w:r>
                    <w:t>34.922 đô la</w:t>
                  </w:r>
                </w:p>
              </w:tc>
              <w:tc>
                <w:tcPr>
                  <w:tcW w:type="auto" w:w="0"/>
                  <w:shd w:val="clear" w:color="auto" w:fill="F0F0F0"/>
                </w:tcPr>
                <w:p>
                  <w:pPr>
                    <w:pStyle w:val="Normal"/>
                    <w:keepLines w:val="on"/>
                  </w:pPr>
                  <w:r>
                    <w:t>22,60%</w:t>
                  </w:r>
                </w:p>
              </w:tc>
              <w:tc>
                <w:tcPr>
                  <w:tcW w:type="auto" w:w="0"/>
                  <w:shd w:val="clear" w:color="auto" w:fill="F0F0F0"/>
                </w:tcPr>
                <w:p>
                  <w:pPr>
                    <w:pStyle w:val="Normal"/>
                    <w:keepLines w:val="on"/>
                  </w:pPr>
                  <w:r>
                    <w:t>8.702 đô la</w:t>
                  </w:r>
                </w:p>
              </w:tc>
              <w:tc>
                <w:tcPr>
                  <w:tcW w:type="auto" w:w="0"/>
                  <w:shd w:val="clear" w:color="auto" w:fill="F0F0F0"/>
                </w:tcPr>
                <w:p>
                  <w:pPr>
                    <w:pStyle w:val="Normal"/>
                    <w:keepLines w:val="on"/>
                  </w:pPr>
                  <w:r>
                    <w:t>21,60%</w:t>
                  </w:r>
                </w:p>
              </w:tc>
              <w:tc>
                <w:tcPr>
                  <w:tcW w:type="auto" w:w="0"/>
                  <w:shd w:val="clear" w:color="auto" w:fill="F0F0F0"/>
                </w:tcPr>
                <w:p>
                  <w:pPr>
                    <w:pStyle w:val="Normal"/>
                    <w:keepLines w:val="on"/>
                  </w:pPr>
                  <w:r>
                    <w:t>7.333 đô la</w:t>
                  </w:r>
                </w:p>
              </w:tc>
              <w:tc>
                <w:tcPr>
                  <w:tcW w:type="auto" w:w="0"/>
                  <w:shd w:val="clear" w:color="auto" w:fill="F0F0F0"/>
                </w:tcPr>
                <w:p>
                  <w:pPr>
                    <w:pStyle w:val="Normal"/>
                    <w:keepLines w:val="on"/>
                  </w:pPr>
                  <w:r>
                    <w:t>31,42%</w:t>
                  </w:r>
                </w:p>
              </w:tc>
            </w:tr>
            <w:tr>
              <w:tc>
                <w:tcPr>
                  <w:tcW w:type="auto" w:w="0"/>
                  <w:shd w:val="clear" w:color="auto" w:fill="F0F0F0"/>
                </w:tcPr>
                <w:p>
                  <w:pPr>
                    <w:pStyle w:val="Normal"/>
                    <w:keepLines w:val="on"/>
                  </w:pPr>
                  <w:r>
                    <w:t>2008</w:t>
                  </w:r>
                </w:p>
              </w:tc>
              <w:tc>
                <w:tcPr>
                  <w:tcW w:type="auto" w:w="0"/>
                  <w:shd w:val="clear" w:color="auto" w:fill="F0F0F0"/>
                </w:tcPr>
                <w:p>
                  <w:pPr>
                    <w:pStyle w:val="Normal"/>
                    <w:keepLines w:val="on"/>
                  </w:pPr>
                  <w:r>
                    <w:t>39.540 đô la</w:t>
                  </w:r>
                </w:p>
              </w:tc>
              <w:tc>
                <w:tcPr>
                  <w:tcW w:type="auto" w:w="0"/>
                  <w:shd w:val="clear" w:color="auto" w:fill="F0F0F0"/>
                </w:tcPr>
                <w:p>
                  <w:pPr>
                    <w:pStyle w:val="Normal"/>
                    <w:keepLines w:val="on"/>
                  </w:pPr>
                  <w:r>
                    <w:t>13,22%</w:t>
                  </w:r>
                </w:p>
              </w:tc>
              <w:tc>
                <w:tcPr>
                  <w:tcW w:type="auto" w:w="0"/>
                  <w:shd w:val="clear" w:color="auto" w:fill="F0F0F0"/>
                </w:tcPr>
                <w:p>
                  <w:pPr>
                    <w:pStyle w:val="Normal"/>
                    <w:keepLines w:val="on"/>
                  </w:pPr>
                  <w:r>
                    <w:t>9.478 đô la</w:t>
                  </w:r>
                </w:p>
              </w:tc>
              <w:tc>
                <w:tcPr>
                  <w:tcW w:type="auto" w:w="0"/>
                  <w:shd w:val="clear" w:color="auto" w:fill="F0F0F0"/>
                </w:tcPr>
                <w:p>
                  <w:pPr>
                    <w:pStyle w:val="Normal"/>
                    <w:keepLines w:val="on"/>
                  </w:pPr>
                  <w:r>
                    <w:t>8,92%</w:t>
                  </w:r>
                </w:p>
              </w:tc>
              <w:tc>
                <w:tcPr>
                  <w:tcW w:type="auto" w:w="0"/>
                  <w:shd w:val="clear" w:color="auto" w:fill="F0F0F0"/>
                </w:tcPr>
                <w:p>
                  <w:pPr>
                    <w:pStyle w:val="Normal"/>
                    <w:keepLines w:val="on"/>
                  </w:pPr>
                  <w:r>
                    <w:t>8.052 đô la</w:t>
                  </w:r>
                </w:p>
              </w:tc>
              <w:tc>
                <w:tcPr>
                  <w:tcW w:type="auto" w:w="0"/>
                  <w:shd w:val="clear" w:color="auto" w:fill="F0F0F0"/>
                </w:tcPr>
                <w:p>
                  <w:pPr>
                    <w:pStyle w:val="Normal"/>
                    <w:keepLines w:val="on"/>
                  </w:pPr>
                  <w:r>
                    <w:t>9,80%</w:t>
                  </w:r>
                </w:p>
              </w:tc>
            </w:tr>
            <w:tr>
              <w:tc>
                <w:tcPr>
                  <w:tcW w:type="auto" w:w="0"/>
                  <w:shd w:val="clear" w:color="auto" w:fill="F0F0F0"/>
                </w:tcPr>
                <w:p>
                  <w:pPr>
                    <w:pStyle w:val="Normal"/>
                    <w:keepLines w:val="on"/>
                  </w:pPr>
                  <w:r>
                    <w:t>2009</w:t>
                  </w:r>
                </w:p>
              </w:tc>
              <w:tc>
                <w:tcPr>
                  <w:tcW w:type="auto" w:w="0"/>
                  <w:shd w:val="clear" w:color="auto" w:fill="F0F0F0"/>
                </w:tcPr>
                <w:p>
                  <w:pPr>
                    <w:pStyle w:val="Normal"/>
                    <w:keepLines w:val="on"/>
                  </w:pPr>
                  <w:r>
                    <w:t>36.117 đô la</w:t>
                  </w:r>
                </w:p>
              </w:tc>
              <w:tc>
                <w:tcPr>
                  <w:tcW w:type="auto" w:w="0"/>
                  <w:shd w:val="clear" w:color="auto" w:fill="F0F0F0"/>
                </w:tcPr>
                <w:p>
                  <w:pPr>
                    <w:pStyle w:val="Normal"/>
                    <w:keepLines w:val="on"/>
                  </w:pPr>
                  <w:r>
                    <w:t>–8,66%</w:t>
                  </w:r>
                </w:p>
              </w:tc>
              <w:tc>
                <w:tcPr>
                  <w:tcW w:type="auto" w:w="0"/>
                  <w:shd w:val="clear" w:color="auto" w:fill="F0F0F0"/>
                </w:tcPr>
                <w:p>
                  <w:pPr>
                    <w:pStyle w:val="Normal"/>
                    <w:keepLines w:val="on"/>
                  </w:pPr>
                  <w:r>
                    <w:t>7.385 đô la</w:t>
                  </w:r>
                </w:p>
              </w:tc>
              <w:tc>
                <w:tcPr>
                  <w:tcW w:type="auto" w:w="0"/>
                  <w:shd w:val="clear" w:color="auto" w:fill="F0F0F0"/>
                </w:tcPr>
                <w:p>
                  <w:pPr>
                    <w:pStyle w:val="Normal"/>
                    <w:keepLines w:val="on"/>
                  </w:pPr>
                  <w:r>
                    <w:t>–22,08%</w:t>
                  </w:r>
                </w:p>
              </w:tc>
              <w:tc>
                <w:tcPr>
                  <w:tcW w:type="auto" w:w="0"/>
                  <w:shd w:val="clear" w:color="auto" w:fill="F0F0F0"/>
                </w:tcPr>
                <w:p>
                  <w:pPr>
                    <w:pStyle w:val="Normal"/>
                    <w:keepLines w:val="on"/>
                  </w:pPr>
                  <w:r>
                    <w:t>6.134 đô la</w:t>
                  </w:r>
                </w:p>
              </w:tc>
              <w:tc>
                <w:tcPr>
                  <w:tcW w:type="auto" w:w="0"/>
                  <w:shd w:val="clear" w:color="auto" w:fill="F0F0F0"/>
                </w:tcPr>
                <w:p>
                  <w:pPr>
                    <w:pStyle w:val="Normal"/>
                    <w:keepLines w:val="on"/>
                  </w:pPr>
                  <w:r>
                    <w:t>–23,82%</w:t>
                  </w:r>
                </w:p>
              </w:tc>
            </w:tr>
            <w:tr>
              <w:tc>
                <w:tcPr>
                  <w:tcW w:type="auto" w:w="0"/>
                  <w:shd w:val="clear" w:color="auto" w:fill="F0F0F0"/>
                </w:tcPr>
                <w:p>
                  <w:pPr>
                    <w:pStyle w:val="Normal"/>
                    <w:keepLines w:val="on"/>
                  </w:pPr>
                  <w:r>
                    <w:t>2010</w:t>
                  </w:r>
                </w:p>
              </w:tc>
              <w:tc>
                <w:tcPr>
                  <w:tcW w:type="auto" w:w="0"/>
                  <w:shd w:val="clear" w:color="auto" w:fill="F0F0F0"/>
                </w:tcPr>
                <w:p>
                  <w:pPr>
                    <w:pStyle w:val="Normal"/>
                    <w:keepLines w:val="on"/>
                  </w:pPr>
                  <w:r>
                    <w:t>40.040 đô la</w:t>
                  </w:r>
                </w:p>
              </w:tc>
              <w:tc>
                <w:tcPr>
                  <w:tcW w:type="auto" w:w="0"/>
                  <w:shd w:val="clear" w:color="auto" w:fill="F0F0F0"/>
                </w:tcPr>
                <w:p>
                  <w:pPr>
                    <w:pStyle w:val="Normal"/>
                    <w:keepLines w:val="on"/>
                  </w:pPr>
                  <w:r>
                    <w:t>10,86%</w:t>
                  </w:r>
                </w:p>
              </w:tc>
              <w:tc>
                <w:tcPr>
                  <w:tcW w:type="auto" w:w="0"/>
                  <w:shd w:val="clear" w:color="auto" w:fill="F0F0F0"/>
                </w:tcPr>
                <w:p>
                  <w:pPr>
                    <w:pStyle w:val="Normal"/>
                    <w:keepLines w:val="on"/>
                  </w:pPr>
                  <w:r>
                    <w:t>9.310 đô la</w:t>
                  </w:r>
                </w:p>
              </w:tc>
              <w:tc>
                <w:tcPr>
                  <w:tcW w:type="auto" w:w="0"/>
                  <w:shd w:val="clear" w:color="auto" w:fill="F0F0F0"/>
                </w:tcPr>
                <w:p>
                  <w:pPr>
                    <w:pStyle w:val="Normal"/>
                    <w:keepLines w:val="on"/>
                  </w:pPr>
                  <w:r>
                    <w:t>26,07%</w:t>
                  </w:r>
                </w:p>
              </w:tc>
              <w:tc>
                <w:tcPr>
                  <w:tcW w:type="auto" w:w="0"/>
                  <w:shd w:val="clear" w:color="auto" w:fill="F0F0F0"/>
                </w:tcPr>
                <w:p>
                  <w:pPr>
                    <w:pStyle w:val="Normal"/>
                    <w:keepLines w:val="on"/>
                  </w:pPr>
                  <w:r>
                    <w:t>7.767 đô la</w:t>
                  </w:r>
                </w:p>
              </w:tc>
              <w:tc>
                <w:tcPr>
                  <w:tcW w:type="auto" w:w="0"/>
                  <w:shd w:val="clear" w:color="auto" w:fill="F0F0F0"/>
                </w:tcPr>
                <w:p>
                  <w:pPr>
                    <w:pStyle w:val="Normal"/>
                    <w:keepLines w:val="on"/>
                  </w:pPr>
                  <w:r>
                    <w:t>26,62%</w:t>
                  </w:r>
                </w:p>
              </w:tc>
            </w:tr>
            <w:tr>
              <w:tc>
                <w:tcPr>
                  <w:tcW w:type="auto" w:w="0"/>
                  <w:shd w:val="clear" w:color="auto" w:fill="F0F0F0"/>
                </w:tcPr>
                <w:p>
                  <w:pPr>
                    <w:pStyle w:val="Normal"/>
                    <w:keepLines w:val="on"/>
                  </w:pPr>
                  <w:r>
                    <w:t>2011</w:t>
                  </w:r>
                </w:p>
              </w:tc>
              <w:tc>
                <w:tcPr>
                  <w:tcW w:type="auto" w:w="0"/>
                  <w:shd w:val="clear" w:color="auto" w:fill="F0F0F0"/>
                </w:tcPr>
                <w:p>
                  <w:pPr>
                    <w:pStyle w:val="Normal"/>
                    <w:keepLines w:val="on"/>
                  </w:pPr>
                  <w:r>
                    <w:t>43.218 đô la</w:t>
                  </w:r>
                </w:p>
              </w:tc>
              <w:tc>
                <w:tcPr>
                  <w:tcW w:type="auto" w:w="0"/>
                  <w:shd w:val="clear" w:color="auto" w:fill="F0F0F0"/>
                </w:tcPr>
                <w:p>
                  <w:pPr>
                    <w:pStyle w:val="Normal"/>
                    <w:keepLines w:val="on"/>
                  </w:pPr>
                  <w:r>
                    <w:t>7,94%</w:t>
                  </w:r>
                </w:p>
              </w:tc>
              <w:tc>
                <w:tcPr>
                  <w:tcW w:type="auto" w:w="0"/>
                  <w:shd w:val="clear" w:color="auto" w:fill="F0F0F0"/>
                </w:tcPr>
                <w:p>
                  <w:pPr>
                    <w:pStyle w:val="Normal"/>
                    <w:keepLines w:val="on"/>
                  </w:pPr>
                  <w:r>
                    <w:t>8.801 đô la</w:t>
                  </w:r>
                </w:p>
              </w:tc>
              <w:tc>
                <w:tcPr>
                  <w:tcW w:type="auto" w:w="0"/>
                  <w:shd w:val="clear" w:color="auto" w:fill="F0F0F0"/>
                </w:tcPr>
                <w:p>
                  <w:pPr>
                    <w:pStyle w:val="Normal"/>
                    <w:keepLines w:val="on"/>
                  </w:pPr>
                  <w:r>
                    <w:t>–5,47%</w:t>
                  </w:r>
                </w:p>
              </w:tc>
              <w:tc>
                <w:tcPr>
                  <w:tcW w:type="auto" w:w="0"/>
                  <w:shd w:val="clear" w:color="auto" w:fill="F0F0F0"/>
                </w:tcPr>
                <w:p>
                  <w:pPr>
                    <w:pStyle w:val="Normal"/>
                    <w:keepLines w:val="on"/>
                  </w:pPr>
                  <w:r>
                    <w:t>6.490 đô la</w:t>
                  </w:r>
                </w:p>
              </w:tc>
              <w:tc>
                <w:tcPr>
                  <w:tcW w:type="auto" w:w="0"/>
                  <w:shd w:val="clear" w:color="auto" w:fill="F0F0F0"/>
                </w:tcPr>
                <w:p>
                  <w:pPr>
                    <w:pStyle w:val="Normal"/>
                    <w:keepLines w:val="on"/>
                  </w:pPr>
                  <w:r>
                    <w:t>–16,44%</w:t>
                  </w:r>
                </w:p>
              </w:tc>
            </w:tr>
            <w:tr>
              <w:tc>
                <w:tcPr>
                  <w:tcW w:type="auto" w:w="0"/>
                  <w:shd w:val="clear" w:color="auto" w:fill="F0F0F0"/>
                </w:tcPr>
                <w:p>
                  <w:pPr>
                    <w:pStyle w:val="Para 02"/>
                    <w:keepLines w:val="on"/>
                  </w:pPr>
                  <w:r>
                    <w:t>Trung bình cộng</w:t>
                  </w:r>
                </w:p>
              </w:tc>
              <w:tc>
                <w:tcPr>
                  <w:tcW w:type="auto" w:w="0"/>
                  <w:shd w:val="clear" w:color="auto" w:fill="F0F0F0"/>
                </w:tcPr>
                <w:p>
                  <w:pPr>
                    <w:pStyle w:val="5 Block"/>
                    <w:keepLines w:val="on"/>
                  </w:pPr>
                </w:p>
              </w:tc>
              <w:tc>
                <w:tcPr>
                  <w:tcW w:type="auto" w:w="0"/>
                  <w:shd w:val="clear" w:color="auto" w:fill="F0F0F0"/>
                </w:tcPr>
                <w:p>
                  <w:pPr>
                    <w:pStyle w:val="Normal"/>
                    <w:keepLines w:val="on"/>
                  </w:pPr>
                  <w:r>
                    <w:t>7,47%</w:t>
                  </w:r>
                </w:p>
              </w:tc>
              <w:tc>
                <w:tcPr>
                  <w:tcW w:type="auto" w:w="0"/>
                  <w:shd w:val="clear" w:color="auto" w:fill="F0F0F0"/>
                </w:tcPr>
                <w:p>
                  <w:pPr>
                    <w:pStyle w:val="7 Block"/>
                    <w:keepLines w:val="on"/>
                  </w:pPr>
                </w:p>
              </w:tc>
              <w:tc>
                <w:tcPr>
                  <w:tcW w:type="auto" w:w="0"/>
                  <w:shd w:val="clear" w:color="auto" w:fill="F0F0F0"/>
                </w:tcPr>
                <w:p>
                  <w:pPr>
                    <w:pStyle w:val="Normal"/>
                    <w:keepLines w:val="on"/>
                  </w:pPr>
                  <w:r>
                    <w:t>16,58%</w:t>
                  </w:r>
                </w:p>
              </w:tc>
              <w:tc>
                <w:tcPr>
                  <w:tcW w:type="auto" w:w="0"/>
                  <w:shd w:val="clear" w:color="auto" w:fill="F0F0F0"/>
                </w:tcPr>
                <w:p>
                  <w:pPr>
                    <w:pStyle w:val="7 Block"/>
                    <w:keepLines w:val="on"/>
                  </w:pPr>
                </w:p>
              </w:tc>
              <w:tc>
                <w:tcPr>
                  <w:tcW w:type="auto" w:w="0"/>
                  <w:shd w:val="clear" w:color="auto" w:fill="F0F0F0"/>
                </w:tcPr>
                <w:p>
                  <w:pPr>
                    <w:pStyle w:val="Normal"/>
                    <w:keepLines w:val="on"/>
                  </w:pPr>
                  <w:r>
                    <w:t>–11,94%</w:t>
                  </w:r>
                </w:p>
              </w:tc>
            </w:tr>
            <w:tr>
              <w:tc>
                <w:tcPr>
                  <w:tcW w:type="auto" w:w="0"/>
                  <w:shd w:val="clear" w:color="auto" w:fill="F0F0F0"/>
                </w:tcPr>
                <w:p>
                  <w:pPr>
                    <w:pStyle w:val="Para 02"/>
                    <w:keepLines w:val="on"/>
                  </w:pPr>
                  <w:r>
                    <w:t>Trung bình hình học</w:t>
                  </w:r>
                </w:p>
              </w:tc>
              <w:tc>
                <w:tcPr>
                  <w:tcW w:type="auto" w:w="0"/>
                  <w:shd w:val="clear" w:color="auto" w:fill="F0F0F0"/>
                </w:tcPr>
                <w:p>
                  <w:pPr>
                    <w:pStyle w:val="5 Block"/>
                    <w:keepLines w:val="on"/>
                  </w:pPr>
                </w:p>
              </w:tc>
              <w:tc>
                <w:tcPr>
                  <w:tcW w:type="auto" w:w="0"/>
                  <w:shd w:val="clear" w:color="auto" w:fill="F0F0F0"/>
                </w:tcPr>
                <w:p>
                  <w:pPr>
                    <w:pStyle w:val="Normal"/>
                    <w:keepLines w:val="on"/>
                  </w:pPr>
                  <w:r>
                    <w:t>6,84%</w:t>
                  </w:r>
                </w:p>
              </w:tc>
              <w:tc>
                <w:tcPr>
                  <w:tcW w:type="auto" w:w="0"/>
                  <w:shd w:val="clear" w:color="auto" w:fill="F0F0F0"/>
                </w:tcPr>
                <w:p>
                  <w:pPr>
                    <w:pStyle w:val="7 Block"/>
                    <w:keepLines w:val="on"/>
                  </w:pPr>
                </w:p>
              </w:tc>
              <w:tc>
                <w:tcPr>
                  <w:tcW w:type="auto" w:w="0"/>
                  <w:shd w:val="clear" w:color="auto" w:fill="F0F0F0"/>
                </w:tcPr>
                <w:p>
                  <w:pPr>
                    <w:pStyle w:val="Normal"/>
                    <w:keepLines w:val="on"/>
                  </w:pPr>
                  <w:r>
                    <w:t>14,51%</w:t>
                  </w:r>
                </w:p>
              </w:tc>
              <w:tc>
                <w:tcPr>
                  <w:tcW w:type="auto" w:w="0"/>
                  <w:shd w:val="clear" w:color="auto" w:fill="F0F0F0"/>
                </w:tcPr>
                <w:p>
                  <w:pPr>
                    <w:pStyle w:val="7 Block"/>
                    <w:keepLines w:val="on"/>
                  </w:pPr>
                </w:p>
              </w:tc>
              <w:tc>
                <w:tcPr>
                  <w:tcW w:type="auto" w:w="0"/>
                  <w:shd w:val="clear" w:color="auto" w:fill="F0F0F0"/>
                </w:tcPr>
                <w:p>
                  <w:pPr>
                    <w:pStyle w:val="Normal"/>
                    <w:keepLines w:val="on"/>
                  </w:pPr>
                  <w:r>
                    <w:t>Không có</w:t>
                  </w:r>
                </w:p>
              </w:tc>
            </w:tr>
          </w:tbl>
          <w:p/>
        </w:tc>
      </w:tr>
    </w:tbl>
    <w:p>
      <w:pPr>
        <w:pStyle w:val="Para 04"/>
        <w:keepLines w:val="on"/>
      </w:pPr>
      <w:r>
        <w:t>Tốc độ tăng trưởng kép hàng năm về doanh thu của Cisco đã giảm xuống còn 6,84% trong giai đoạn 2001–2011, và tốc độ tăng trưởng kép hàng năm về thu nhập hoạt động của Cisco trong giai đoạn 2001–2011 là 14,51%, cả hai đều sụt giảm mạnh so với tốc độ tăng trưởng của thập kỷ trước.</w:t>
      </w:r>
    </w:p>
    <w:p>
      <w:pPr>
        <w:pStyle w:val="Para 11"/>
      </w:pPr>
      <w:r>
        <w:t/>
        <w:t xml:space="preserve"> </w:t>
      </w:r>
    </w:p>
    <w:p>
      <w:bookmarkStart w:id="1942" w:name="histgr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99"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1942"/>
    </w:p>
    <w:p>
      <w:pPr>
        <w:pStyle w:val="Para 31"/>
        <w:keepLines w:val="on"/>
      </w:pPr>
      <w:r>
        <w:t>histgr.xls: Bộ dữ liệu này trên web tóm tắt tốc độ tăng trưởng lịch sử về thu nhập và doanh thu theo nhóm ngành cho Hoa Kỳ</w:t>
      </w:r>
    </w:p>
    <w:p>
      <w:pPr>
        <w:pStyle w:val="Para 03"/>
        <w:keepLines w:val="on"/>
      </w:pPr>
      <w:r>
        <w:t>.</w:t>
      </w:r>
    </w:p>
    <w:p>
      <w:pPr>
        <w:pStyle w:val="Para 11"/>
      </w:pPr>
      <w:r>
        <w:t/>
        <w:t xml:space="preserve"> </w:t>
      </w:r>
    </w:p>
    <w:p>
      <w:bookmarkStart w:id="1943" w:name="Historical_Growth_at_High_Growth_1"/>
      <w:bookmarkStart w:id="1944" w:name="Historical_Growth_at_High_Growth"/>
      <w:pPr>
        <w:keepNext/>
        <w:pStyle w:val="Para 27"/>
        <w:keepLines w:val="on"/>
      </w:pPr>
      <w:r>
        <w:t>Tăng trưởng lịch sử ở các công ty tăng trưởng cao và công ty non trẻ</w:t>
      </w:r>
      <w:bookmarkEnd w:id="1943"/>
      <w:bookmarkEnd w:id="1944"/>
    </w:p>
    <w:p>
      <w:pPr>
        <w:pStyle w:val="Para 16"/>
        <w:keepLines w:val="on"/>
      </w:pPr>
      <w:r>
        <w:t>Sự hiện diện của thu nhập âm, tốc độ tăng trưởng biến động theo thời gian và những thay đổi nhanh chóng mà các công ty tăng trưởng cao trải qua theo thời gian khiến tốc độ tăng trưởng lịch sử trở thành những chỉ báo không đáng tin cậy cho tăng trưởng tương lai của những công ty này. Dù vậy, bạn vẫn có thể tìm cách đưa thông tin từ tăng trưởng lịch sử vào các ước tính tăng trưởng tương lai, nếu bạn tuân theo những hướng dẫn chung sau:</w:t>
      </w:r>
    </w:p>
    <w:p>
      <w:pPr>
        <w:numPr>
          <w:ilvl w:val="0"/>
          <w:numId w:val="95"/>
        </w:numPr>
        <w:pStyle w:val="Para 33"/>
        <w:keepLines w:val="on"/>
      </w:pPr>
      <w:r>
        <w:t>Tập trung vào tăng trưởng doanh thu, thay vì tăng trưởng thu nhập, để có được thước đo cho cả tốc độ tăng trưởng lẫn đà tăng trưởng có thể được mang tiếp sang những năm tương lai. Tăng trưởng doanh thu ít biến động hơn tăng trưởng thu nhập và ít có khả năng bị ảnh hưởng bởi các điều chỉnh và lựa chọn kế toán hơn nhiều.</w:t>
      </w:r>
    </w:p>
    <w:p>
      <w:pPr>
        <w:numPr>
          <w:ilvl w:val="0"/>
          <w:numId w:val="95"/>
        </w:numPr>
        <w:pStyle w:val="Para 33"/>
        <w:keepLines w:val="on"/>
      </w:pPr>
      <w:r>
        <w:t>Thay vì nhìn vào mức tăng trưởng trung bình trong vài năm qua, hãy nhìn vào mức tăng trưởng của từng năm. Điều này có thể cung cấp thông tin về việc tăng trưởng đang thay đổi như thế nào khi công ty trở nên lớn hơn và có thể giúp ích khi đưa ra các dự phóng cho tương lai.</w:t>
      </w:r>
    </w:p>
    <w:p>
      <w:pPr>
        <w:numPr>
          <w:ilvl w:val="0"/>
          <w:numId w:val="95"/>
        </w:numPr>
        <w:pStyle w:val="Para 33"/>
        <w:keepLines w:val="on"/>
      </w:pPr>
      <w:r>
        <w:t>Chỉ sử dụng tốc độ tăng trưởng lịch sử làm cơ sở cho các dự phóng trong tương lai gần (một hoặc hai năm tới), vì công nghệ có thể thay đổi nhanh chóng và làm suy yếu các ước tính tương lai.</w:t>
      </w:r>
    </w:p>
    <w:p>
      <w:pPr>
        <w:numPr>
          <w:ilvl w:val="0"/>
          <w:numId w:val="95"/>
        </w:numPr>
        <w:pStyle w:val="Para 33"/>
        <w:keepLines w:val="on"/>
      </w:pPr>
      <w:r>
        <w:t>Xem xét tăng trưởng lịch sử của toàn bộ thị trường và của các công ty khác đang phục vụ thị trường đó. Thông tin này có thể hữu ích trong việc quyết định tốc độ tăng trưởng của công ty mà bạn đang định giá sẽ hội tụ về mức nào theo thời gian.</w:t>
      </w:r>
    </w:p>
    <w:p>
      <w:bookmarkStart w:id="1946" w:name="Outsourcing_Growth__It_may_surpr"/>
      <w:bookmarkStart w:id="1947" w:name="Outsourcing_Growth"/>
      <w:pPr>
        <w:keepNext/>
        <w:pStyle w:val="Heading 2"/>
        <w:keepLines w:val="on"/>
      </w:pPr>
      <w:r>
        <w:t>Thuê ngoài việc ước tính tăng trưởng</w:t>
      </w:r>
      <w:bookmarkEnd w:id="1946"/>
      <w:bookmarkEnd w:id="1947"/>
    </w:p>
    <w:p>
      <w:pPr>
        <w:pStyle w:val="Para 03"/>
      </w:pPr>
      <w:r>
        <w:t>Có thể bạn sẽ ngạc nhiên khi nghe rằng nhiều thẩm định viên và nhà đầu tư, khi định giá công ty, không tự ước tính tốc độ tăng trưởng mà thay vào đó thuê ngoài việc ước tính tăng trưởng đó cho người khác, với giả định rằng những người này hiểu biết hơn họ về công ty. Với các nhà đầu tư, việc thuê ngoài thường là cho các chuyên viên phân tích nghiên cứu cổ phiếu theo dõi công ty, với lý do là những chuyên viên phân tích này biết về công ty và hoạt động kinh doanh nhiều hơn họ rất nhiều. Với các thẩm định viên, việc thuê ngoài là cho ban lãnh đạo của công ty đã mời họ đến thẩm định, với lý do là những nhà quản lý này có quyền truy cập thông tin về sản phẩm mới, kế hoạch tiếp thị và tái đầu tư mà người ngoài sẽ không bao giờ có được.</w:t>
      </w:r>
    </w:p>
    <w:p>
      <w:pPr>
        <w:pStyle w:val="Para 03"/>
      </w:pPr>
      <w:r>
        <w:t>Dù chúng tôi hiểu được sự thôi thúc đó, chúng tôi tin rằng nếu bạn thuê ngoài việc dự báo tăng trưởng và tái đầu tư cho người khác, thì thật khó để lập luận rằng bạn đã thực sự định giá công ty. Ngoài ra, có lý do để tin rằng các chuyên viên phân tích và nhà quản lý, dù hiểu biết hơn nhà đầu tư và thẩm định viên, cũng có nhiều khả năng bị thiên lệch hơn nhiều. Thực tế, bằng chứng mà chúng tôi sẽ trình bày trong phần này, đặc biệt là về các chuyên viên phân tích, cho thấy rằng các dự báo của họ bổ sung rất ít so với những gì bạn có thể thu thập được từ dữ liệu công khai, và bất kỳ thông tin bổ sung nào cũng có liên quan hơn cho ngắn hạn so với dài hạn.</w:t>
      </w:r>
    </w:p>
    <w:p>
      <w:pPr>
        <w:pStyle w:val="Para 03"/>
      </w:pPr>
      <w:r>
        <w:t>Cũng đáng lưu ý rằng một lý do để thuê ngoài việc ước tính tăng trưởng là nó giúp các thẩm định viên và nhà đầu tư thoát khỏi trách nhiệm giải trình, cho phép họ tuyên bố rằng sai sót trong định giá của mình là lỗi của người khác.</w:t>
      </w:r>
    </w:p>
    <w:p>
      <w:bookmarkStart w:id="1948" w:name="Analyst_Estimates_of_Growth__Equ"/>
      <w:bookmarkStart w:id="1949" w:name="Analyst_Estimates_of_Growth"/>
      <w:pPr>
        <w:keepNext/>
        <w:pStyle w:val="Heading 3"/>
        <w:keepLines w:val="on"/>
      </w:pPr>
      <w:r>
        <w:t>Ước tính tăng trưởng của chuyên viên phân tích</w:t>
      </w:r>
      <w:bookmarkEnd w:id="1948"/>
      <w:bookmarkEnd w:id="1949"/>
    </w:p>
    <w:p>
      <w:pPr>
        <w:pStyle w:val="Para 03"/>
      </w:pPr>
      <w:r>
        <w:t>Các chuyên viên phân tích nghiên cứu cổ phiếu không chỉ đưa ra khuyến nghị về những công ty họ theo dõi mà còn đưa ra ước tính về thu nhập và tăng trưởng thu nhập trong tương lai. Những ước tính về tăng trưởng kỳ vọng này từ các chuyên viên phân tích hữu ích đến mức nào, và nếu có thể thì chúng có thể được sử dụng như thế nào trong việc định giá công ty? Phần này xem xét quy trình mà các chuyên viên phân tích tuân theo để ước tính tăng trưởng kỳ vọng, rồi tiếp đó xem xét lý do tại sao những tốc độ tăng trưởng như vậy có thể không phù hợp khi định giá một số công ty.</w:t>
      </w:r>
    </w:p>
    <w:p>
      <w:bookmarkStart w:id="1950" w:name="Who_Do_Analysts_Follow___The_num"/>
      <w:bookmarkStart w:id="1951" w:name="Who_Do_Analysts_Follow"/>
      <w:pPr>
        <w:keepNext/>
        <w:pStyle w:val="Heading 4"/>
        <w:keepLines w:val="on"/>
      </w:pPr>
      <w:r>
        <w:t>Các chuyên viên phân tích theo dõi những ai?</w:t>
      </w:r>
      <w:bookmarkEnd w:id="1950"/>
      <w:bookmarkEnd w:id="1951"/>
    </w:p>
    <w:p>
      <w:pPr>
        <w:pStyle w:val="Para 03"/>
      </w:pPr>
      <w:r>
        <w:t>Số lượng chuyên viên phân tích theo dõi các công ty rất khác nhau giữa các công ty. Ở một thái cực là những công ty như Apple và Microsoft được hàng chục chuyên viên phân tích theo dõi. Ở thái cực ngược lại, có hàng trăm công ty không được bất kỳ chuyên viên phân tích nào theo dõi.</w:t>
      </w:r>
    </w:p>
    <w:p>
      <w:pPr>
        <w:pStyle w:val="Para 03"/>
      </w:pPr>
      <w:r>
        <w:t>Tại sao một số công ty được theo dõi nhiều hơn những công ty khác? Đây dường như là một số yếu tố quyết định:</w:t>
      </w:r>
    </w:p>
    <w:p>
      <w:pPr>
        <w:numPr>
          <w:ilvl w:val="0"/>
          <w:numId w:val="96"/>
        </w:numPr>
        <w:pStyle w:val="Para 01"/>
      </w:pPr>
      <w:r>
        <w:t>Vốn hóa thị trường. Vốn hóa thị trường của một công ty càng lớn thì càng có nhiều khả năng được các chuyên gia phân tích theo dõi.</w:t>
      </w:r>
    </w:p>
    <w:p>
      <w:pPr>
        <w:numPr>
          <w:ilvl w:val="0"/>
          <w:numId w:val="96"/>
        </w:numPr>
        <w:pStyle w:val="Para 01"/>
      </w:pPr>
      <w:r>
        <w:t>Tỷ lệ nắm giữ của tổ chức. Tỷ lệ cổ phiếu của một công ty được các tổ chức nắm giữ càng cao thì càng có nhiều khả năng công ty đó được các chuyên gia phân tích theo dõi. Tuy nhiên, câu hỏi còn bỏ ngỏ là liệu các chuyên gia phân tích theo dõi các tổ chức hay các tổ chức theo dõi các chuyên gia phân tích. Xét cho cùng, các nhà đầu tư tổ chức là khách hàng lớn nhất của các chuyên gia phân tích nghiên cứu cổ phiếu, nên mối quan hệ nhân quả có lẽ diễn ra theo cả hai chiều.</w:t>
      </w:r>
    </w:p>
    <w:p>
      <w:pPr>
        <w:numPr>
          <w:ilvl w:val="0"/>
          <w:numId w:val="96"/>
        </w:numPr>
        <w:pStyle w:val="Para 01"/>
      </w:pPr>
      <w:r>
        <w:t>Khối lượng giao dịch. Các chuyên gia phân tích có xu hướng theo dõi những cổ phiếu có tính thanh khoản cao. Tuy nhiên, ở đây cũng cần lưu ý rằng sự hiện diện của các chuyên gia phân tích cùng các khuyến nghị mua (hoặc bán) đối với một cổ phiếu có thể đóng vai trò làm tăng khối lượng giao dịch.</w:t>
      </w:r>
    </w:p>
    <w:p>
      <w:bookmarkStart w:id="1953" w:name="Information_in_Analyst_Forecasts"/>
      <w:bookmarkStart w:id="1954" w:name="Information_in_Analyst_Forecasts_1"/>
      <w:pPr>
        <w:keepNext/>
        <w:pStyle w:val="Heading 4"/>
        <w:keepLines w:val="on"/>
      </w:pPr>
      <w:r>
        <w:t>Thông tin trong dự báo của chuyên gia phân tích</w:t>
      </w:r>
      <w:bookmarkEnd w:id="1953"/>
      <w:bookmarkEnd w:id="1954"/>
    </w:p>
    <w:p>
      <w:pPr>
        <w:pStyle w:val="Para 03"/>
      </w:pPr>
      <w:r>
        <w:t>Có những lý do để tin rằng dự báo tăng trưởng của các chuyên gia phân tích nên tốt hơn việc sử dụng tốc độ tăng trưởng lợi nhuận trong quá khứ. Ngoài việc sử dụng dữ liệu lịch sử, các chuyên gia phân tích còn có thể tận dụng năm loại thông tin khác có thể hữu ích trong việc dự đoán tăng trưởng tương lai:</w:t>
      </w:r>
    </w:p>
    <w:p>
      <w:pPr>
        <w:numPr>
          <w:ilvl w:val="0"/>
          <w:numId w:val="97"/>
        </w:numPr>
        <w:pStyle w:val="Para 01"/>
      </w:pPr>
      <w:r>
        <w:t>Thông tin riêng về công ty đã được công bố kể từ báo cáo lợi nhuận gần nhất. Các chuyên gia phân tích có thể sử dụng thông tin đã xuất hiện về công ty kể từ báo cáo lợi nhuận gần nhất để đưa ra dự đoán về tăng trưởng tương lai. Thông tin này đôi khi có thể dẫn đến việc đánh giá lại đáng kể dòng tiền kỳ vọng của công ty.</w:t>
      </w:r>
    </w:p>
    <w:p>
      <w:pPr>
        <w:numPr>
          <w:ilvl w:val="0"/>
          <w:numId w:val="97"/>
        </w:numPr>
        <w:pStyle w:val="Para 01"/>
      </w:pPr>
      <w:r>
        <w:t>Thông tin kinh tế vĩ mô có thể tác động đến tăng trưởng tương lai. Tốc độ tăng trưởng kỳ vọng của mọi công ty đều chịu ảnh hưởng từ các tin tức kinh tế về tăng trưởng GNP, lãi suất và lạm phát. Các chuyên gia phân tích có thể cập nhật dự báo tăng trưởng tương lai của mình khi có thông tin mới về nền kinh tế nói chung cũng như về những thay đổi trong chính sách tài khóa và tiền tệ. Chẳng hạn, thông tin cho thấy nền kinh tế đang tăng trưởng nhanh hơn dự báo sẽ khiến các chuyên gia phân tích nâng ước tính tăng trưởng kỳ vọng đối với các công ty có tính chu kỳ.</w:t>
      </w:r>
    </w:p>
    <w:p>
      <w:pPr>
        <w:numPr>
          <w:ilvl w:val="0"/>
          <w:numId w:val="97"/>
        </w:numPr>
        <w:pStyle w:val="Para 01"/>
      </w:pPr>
      <w:r>
        <w:t>Thông tin mà các đối thủ cạnh tranh tiết lộ về triển vọng tương lai. Các chuyên gia phân tích cũng có thể điều chỉnh ước tính tăng trưởng cho một công ty dựa trên thông tin mà các đối thủ cạnh tranh tiết lộ về chính sách giá và tăng trưởng tương lai. Chẳng hạn, một báo cáo lợi nhuận tiêu cực của một công ty viễn thông có thể dẫn đến việc đánh giá lại lợi nhuận của các công ty viễn thông khác trên cùng thị trường.</w:t>
      </w:r>
    </w:p>
    <w:p>
      <w:pPr>
        <w:numPr>
          <w:ilvl w:val="0"/>
          <w:numId w:val="97"/>
        </w:numPr>
        <w:pStyle w:val="Para 01"/>
      </w:pPr>
      <w:r>
        <w:t>Thông tin riêng tư về công ty. Các chuyên gia phân tích đôi khi được tiếp cận thông tin riêng tư về những công ty mà họ theo dõi, thông tin này có thể liên quan đến việc dự báo tăng trưởng tương lai. Điều này giúp né tránh câu hỏi tế nhị về thời điểm thông tin riêng tư trở thành thông tin nội gián bất hợp pháp. Tuy nhiên, không có gì nghi ngờ rằng thông tin riêng tư tốt có thể dẫn đến những ước tính tăng trưởng tương lai tốt hơn đáng kể. Để hạn chế kiểu rò rỉ thông tin này, SEC đã ban hành các quy định mới ngăn chặn việc các công ty tiết lộ thông tin một cách có chọn lọc cho một vài chuyên gia phân tích hoặc nhà đầu tư. Tuy nhiên, bên ngoài Hoa Kỳ, có những thị trường mà các công ty thường xuyên truyền đạt thông tin riêng tư cho các chuyên gia phân tích theo dõi họ.</w:t>
      </w:r>
    </w:p>
    <w:p>
      <w:pPr>
        <w:numPr>
          <w:ilvl w:val="0"/>
          <w:numId w:val="97"/>
        </w:numPr>
        <w:pStyle w:val="Para 01"/>
      </w:pPr>
      <w:r>
        <w:t>Thông tin công khai ngoài lợi nhuận. Các mô hình dự báo lợi nhuận chỉ dựa hoàn toàn vào dữ liệu lợi nhuận trong quá khứ có thể bỏ qua những thông tin công khai khác hữu ích trong việc dự báo lợi nhuận tương lai. Chẳng hạn, người ta đã chỉ ra rằng các biến số tài chính khác như tỷ lệ giữ lại lợi nhuận, biên lợi nhuận và vòng quay tài sản đều hữu ích trong việc dự đoán tăng trưởng tương lai. Các chuyên gia phân tích có thể đưa thông tin từ những biến số này vào dự báo của mình.</w:t>
      </w:r>
    </w:p>
    <w:p>
      <w:pPr>
        <w:pStyle w:val="Para 20"/>
      </w:pPr>
      <w:r>
        <w:rPr>
          <w:rStyle w:val="Text26"/>
        </w:rPr>
        <w:bookmarkStart w:id="1955" w:name="Page_309"/>
        <w:t/>
        <w:bookmarkEnd w:id="1955"/>
      </w:r>
      <w:r>
        <w:t xml:space="preserve"> </w:t>
      </w:r>
    </w:p>
    <w:p>
      <w:bookmarkStart w:id="1956" w:name="Quality_of_Earnings_Forecasts"/>
      <w:bookmarkStart w:id="1957" w:name="Quality_of_Earnings_Forecasts__I"/>
      <w:pPr>
        <w:keepNext/>
        <w:pStyle w:val="Heading 4"/>
        <w:keepLines w:val="on"/>
      </w:pPr>
      <w:r>
        <w:t>Chất lượng của dự báo lợi nhuận</w:t>
      </w:r>
      <w:bookmarkEnd w:id="1956"/>
      <w:bookmarkEnd w:id="1957"/>
    </w:p>
    <w:p>
      <w:pPr>
        <w:pStyle w:val="Para 03"/>
      </w:pPr>
      <w:r>
        <w:t>Nếu một công ty được nhiều chuyên gia phân tích theo dõi7 và những chuyên gia này thực sự hiểu biết hơn phần còn lại của thị trường, thì dự báo tăng trưởng đưa ra từ các chuyên gia phân tích nên tốt hơn các ước tính dựa trên tăng trưởng lịch sử hoặc thông tin công khai khác. Nhưng liệu giả định này có chính đáng không? Liệu dự báo tăng trưởng của các chuyên gia phân tích có vượt trội hơn các dự báo khác không?</w:t>
      </w:r>
    </w:p>
    <w:p>
      <w:pPr>
        <w:pStyle w:val="Para 03"/>
      </w:pPr>
      <w:r>
        <w:t>Kết luận chung từ các nghiên cứu đã xem xét dự báo lợi nhuận ngắn hạn (từ một quý đến bốn quý tới) là các chuyên gia phân tích đưa ra dự báo lợi nhuận tốt hơn các mô hình chỉ dựa thuần túy vào dữ liệu lịch sử. Sai số tuyệt đối tương đối trung bình, đo lường mức chênh lệch tuyệt đối giữa lợi nhuận thực tế và dự báo cho quý tiếp theo, tính theo phần trăm, nhỏ hơn đối với dự báo của chuyên gia phân tích so với dự báo dựa trên dữ liệu lịch sử. Hai nghiên cứu khác làm sáng tỏ thêm giá trị dự báo của các chuyên gia phân tích. Crichfield, Dyckman và Lakonishok (1978) đã xem xét độ chính xác tương đối của các dự báo trong "Earnings Forecaster", một ấn phẩm của Standard &amp; Poor's tóm tắt dự báo lợi nhuận từ hơn 50 công ty đầu tư. Họ đo sai số dự báo bình phương theo từng tháng trong năm và tính tỷ lệ giữa sai số dự báo của chuyên gia phân tích với sai số dự báo từ các mô hình chuỗi thời gian về lợi nhuận. Họ phát hiện rằng các mô hình chuỗi thời gian thực ra vượt trội hơn dự báo của chuyên gia phân tích từ tháng Tư đến tháng Tám nhưng lại kém hơn từ tháng Chín đến tháng Một. Họ đưa ra giả thuyết rằng điều này là do có nhiều thông tin riêng về công ty hơn dành cho các chuyên gia phân tích trong giai đoạn cuối năm. Nghiên cứu còn lại, của O'Brien (1988), so sánh dự báo đồng thuận của chuyên gia phân tích từ Hệ thống Ước tính của Công ty Môi giới Tổ chức (I/B/E/S) với dự báo chuỗi thời gian từ một quý đến bốn quý tới. Dự báo của chuyên gia phân tích vượt trội hơn mô hình chuỗi thời gian đối với dự báo một quý tới và hai quý tới, ngang bằng với mô hình chuỗi thời gian đối với dự báo ba quý tới, và kém hơn mô hình chuỗi thời gian đối với dự báo bốn quý tới. Như vậy, lợi thế mà các chuyên gia phân tích có được từ thông tin riêng về công ty dường như giảm dần khi khoảng thời gian dự báo được kéo dài ra.</w:t>
      </w:r>
    </w:p>
    <w:p>
      <w:pPr>
        <w:pStyle w:val="Para 03"/>
      </w:pPr>
      <w:r>
        <w:t>Trong định giá, trọng tâm được đặt vào tốc độ tăng trưởng lợi nhuận dài hạn nhiều hơn là lợi nhuận của quý tới. Có rất ít bằng chứng cho thấy các chuyên gia phân tích đưa ra dự báo lợi nhuận vượt trội khi dự báo trong khoảng ba hoặc năm năm. Một nghiên cứu ban đầu của Cragg và Malkiel (1968) so sánh dự báo dài hạn của năm công ty quản lý đầu tư trong năm 1962 và 1963 với tăng trưởng thực tế trong ba năm tiếp theo, đã kết luận rằng các chuyên gia phân tích dự báo dài hạn kém. Quan điểm này bị phản bác bởi Vander Weide và Carleton (1988), những người phát hiện rằng dự đoán đồng thuận về tăng trưởng năm năm trong I/B/E/S vượt trội hơn các thước đo tăng trưởng thiên về lịch sử trong việc dự đoán tăng trưởng tương lai. Có một cơ sở trực giác để lập luận rằng dự đoán tốc độ tăng trưởng của chuyên gia phân tích phải tốt hơn các mô hình chuỗi thời gian hoặc dựa trên dữ liệu lịch sử khác, đơn giản vì chúng sử dụng nhiều thông tin hơn. Tuy nhiên, bằng chứng cho thấy sự vượt trội trong dự báo này lại nhỏ đến bất ngờ đối với các dự báo dài hạn, và rằng tốc độ tăng trưởng trong quá khứ đóng một vai trò đáng kể trong việc quyết định dự báo của chuyên gia phân tích.</w:t>
      </w:r>
    </w:p>
    <w:p>
      <w:pPr>
        <w:pStyle w:val="Para 03"/>
      </w:pPr>
      <w:r>
        <w:t>Còn một điểm cuối cùng cần cân nhắc. Các chuyên gia phân tích thường dự báo lợi nhuận trên mỗi cổ phiếu, và hầu hết các dịch vụ đều báo cáo những ước tính này. Khi định giá một công ty, bạn cần dự báo về doanh thu hoặc thu nhập hoạt động, và tốc độ tăng trưởng lợi nhuận trên mỗi cổ phiếu thường sẽ không bằng tốc độ tăng trưởng thu nhập hoạt động. Nói chung, tốc độ tăng trưởng thu nhập hoạt động nên thấp hơn tốc độ tăng trưởng lợi nhuận trên mỗi cổ phiếu. Do đó, ngay cả khi bạn quyết định sử dụng dự báo của chuyên gia phân tích, bạn sẽ phải điều chỉnh chúng nếu bạn đang cố gắng dự báo tốc độ tăng trưởng thu nhập hoạt động hoặc doanh thu.</w:t>
      </w:r>
    </w:p>
    <w:p>
      <w:bookmarkStart w:id="1960" w:name="How_Do_You_Use_Analyst_Forecasts"/>
      <w:bookmarkStart w:id="1961" w:name="How_Do_You_Use_Analyst_Forecasts_1"/>
      <w:pPr>
        <w:keepNext/>
        <w:pStyle w:val="Heading 4"/>
        <w:keepLines w:val="on"/>
      </w:pPr>
      <w:r>
        <w:t>Bạn sử dụng dự báo của chuyên gia phân tích như thế nào trong việc ước tính tăng trưởng tương lai?</w:t>
      </w:r>
      <w:bookmarkEnd w:id="1960"/>
      <w:bookmarkEnd w:id="1961"/>
    </w:p>
    <w:p>
      <w:pPr>
        <w:pStyle w:val="Para 03"/>
      </w:pPr>
      <w:r>
        <w:t>Thông tin trong các tốc độ tăng trưởng được ước tính bởi các chuyên gia phân tích khác có thể và nên được đưa vào việc ước tính tăng trưởng kỳ vọng trong tương lai. Có bốn yếu tố quyết định trọng số được gán cho dự báo của chuyên gia phân tích trong việc dự đoán tăng trưởng tương lai:</w:t>
      </w:r>
    </w:p>
    <w:p>
      <w:pPr>
        <w:numPr>
          <w:ilvl w:val="0"/>
          <w:numId w:val="98"/>
        </w:numPr>
        <w:pStyle w:val="Para 01"/>
      </w:pPr>
      <w:r>
        <w:t>Lượng thông tin riêng về công ty gần đây. Dự báo của chuyên gia phân tích có lợi thế hơn các mô hình dựa trên dữ liệu lịch sử vì chúng kết hợp thông tin gần đây hơn về công ty và triển vọng tương lai của công ty. Lợi thế này có khả năng lớn hơn đối với những công ty đã có những thay đổi đáng kể về ban lãnh đạo hoặc điều kiện kinh doanh trong quá khứ gần đây, chẳng hạn như một cuộc tái cấu trúc hoặc một sự thay đổi trong chính sách của chính phủ liên quan đến hoạt động kinh doanh cốt lõi của công ty.</w:t>
      </w:r>
    </w:p>
    <w:p>
      <w:pPr>
        <w:numPr>
          <w:ilvl w:val="0"/>
          <w:numId w:val="98"/>
        </w:numPr>
        <w:pStyle w:val="Para 01"/>
      </w:pPr>
      <w:r>
        <w:t>Số lượng chuyên gia phân tích theo dõi cổ phiếu. Nói chung, số lượng chuyên gia phân tích theo dõi một cổ phiếu càng lớn thì dự báo đồng thuận của họ càng giàu thông tin, và trọng số được gán cho nó trong phân tích càng lớn. Lợi ích thông tin từ việc có nhiều chuyên gia phân tích hơn phần nào bị giảm bớt bởi một thực tế đã được khẳng định vững chắc rằng hầu hết các chuyên gia phân tích không hành động độc lập, dẫn đến mức tương quan cao giữa các lần điều chỉnh dự báo lợi nhuận kỳ vọng của họ.</w:t>
      </w:r>
    </w:p>
    <w:p>
      <w:pPr>
        <w:numPr>
          <w:ilvl w:val="0"/>
          <w:numId w:val="98"/>
        </w:numPr>
        <w:pStyle w:val="Para 01"/>
      </w:pPr>
      <w:r>
        <w:t>Mức độ bất đồng giữa các chuyên gia phân tích. Trong khi tốc độ tăng trưởng lợi nhuận đồng thuận hữu ích trong định giá, thì mức độ bất đồng giữa các chuyên gia phân tích, được đo bằng độ lệch chuẩn trong các dự đoán tăng trưởng, cũng là một thước đo hữu ích về độ tin cậy của dự báo đồng thuận. Givoly và Lakonsihok (1984) phát hiện rằng độ phân tán của lợi nhuận có tương quan với các thước đo rủi ro khác như beta và là một yếu tố dự đoán tốt về lợi nhuận kỳ vọng.</w:t>
      </w:r>
    </w:p>
    <w:p>
      <w:pPr>
        <w:numPr>
          <w:ilvl w:val="0"/>
          <w:numId w:val="98"/>
        </w:numPr>
        <w:pStyle w:val="Para 01"/>
      </w:pPr>
      <w:r>
        <w:t>Chất lượng của các chuyên gia phân tích theo dõi cổ phiếu. Đây là biến khó định lượng nhất. Một thước đo chất lượng là độ lớn của sai số dự báo mà các chuyên gia phân tích theo dõi một cổ phiếu mắc phải, so với các mô hình chỉ sử dụng dữ liệu lịch sử—sai số tương đối này càng nhỏ thì trọng số gán cho dự báo của chuyên gia phân tích càng lớn. Một thước đo khác là tác động lên giá cổ phiếu của các lần điều chỉnh dự báo của chuyên gia phân tích—dự báo càng giàu thông tin thì tác động lên giá cổ phiếu càng lớn. Có người lập luận rằng việc tập trung vào dự báo đồng thuận đã bỏ qua điểm mấu chốt rằng một số chuyên gia phân tích giỏi hơn những người khác trong việc dự đoán lợi nhuận, và rằng dự báo của họ nên được tách riêng khỏi phần còn lại và được gán trọng số cao hơn.</w:t>
      </w:r>
    </w:p>
    <w:p>
      <w:pPr>
        <w:pStyle w:val="Para 03"/>
      </w:pPr>
      <w:r>
        <w:t>Dự báo của chuyên gia phân tích có thể hữu ích trong việc đưa ra một tốc độ tăng trưởng dự đoán cho một công ty, nhưng việc mù quáng đi theo dự báo đồng thuận lại có nguy hiểm. Các chuyên gia phân tích thường mắc những sai lầm đáng kể trong việc dự báo lợi nhuận, một phần vì họ phụ thuộc vào cùng những nguồn dữ liệu (có thể đã sai lệch hoặc gây hiểu nhầm), và một phần vì đôi khi họ bỏ qua những thay đổi đáng kể trong các đặc điểm cơ bản của công ty. Bí quyết để định giá thành công thường nằm ở việc phát hiện ra những mâu thuẫn giữa dự báo tăng trưởng của các chuyên gia phân tích và các yếu tố cơ bản của công ty. Phần tiếp theo sẽ xem xét mối quan hệ này một cách chi tiết hơn.</w:t>
      </w:r>
    </w:p>
    <w:p>
      <w:pPr>
        <w:pStyle w:val="Para 20"/>
      </w:pPr>
      <w:r>
        <w:rPr>
          <w:rStyle w:val="Text26"/>
        </w:rPr>
        <w:bookmarkStart w:id="1962" w:name="Page_311"/>
        <w:t/>
        <w:bookmarkEnd w:id="1962"/>
      </w:r>
      <w:r>
        <w:t xml:space="preserve"> </w:t>
      </w:r>
    </w:p>
    <w:p>
      <w:bookmarkStart w:id="1963" w:name="Management_Forecasts"/>
      <w:bookmarkStart w:id="1964" w:name="Management_Forecasts__In_many_va"/>
      <w:pPr>
        <w:keepNext/>
        <w:pStyle w:val="Heading 3"/>
        <w:keepLines w:val="on"/>
      </w:pPr>
      <w:r>
        <w:t>Dự báo của ban lãnh đạo</w:t>
      </w:r>
      <w:bookmarkEnd w:id="1963"/>
      <w:bookmarkEnd w:id="1964"/>
    </w:p>
    <w:p>
      <w:pPr>
        <w:pStyle w:val="Para 03"/>
      </w:pPr>
      <w:r>
        <w:t>Trong nhiều trường hợp định giá, đặc biệt là đối với các doanh nghiệp nhỏ hơn và thuộc sở hữu tư nhân, nguồn chính cho tăng trưởng và dòng tiền kỳ vọng là ban lãnh đạo của công ty. Có những lý do hợp lý cho sự tin tưởng này. Thứ nhất, ban lãnh đạo có quyền truy cập vào thông tin mà cả chuyên gia phân tích lẫn nhà đầu tư đều không có về điều kiện thị trường và hoạt động của công ty, điều này sẽ mang lại cho họ lợi thế trong việc đưa ra dự báo cho tương lai. Thứ hai, trong chừng mực mà tăng trưởng được quyết định bởi việc một công ty sẽ đầu tư bao nhiêu và vào thời điểm nào, ban lãnh đạo sẽ có khả năng làm tốt hơn những người bên ngoài trong việc đưa ra những phán đoán này.</w:t>
      </w:r>
    </w:p>
    <w:p>
      <w:pPr>
        <w:pStyle w:val="Para 03"/>
      </w:pPr>
      <w:r>
        <w:t>Dù vậy, dự báo của ban lãnh đạo cũng có khả năng bị thiên lệch, và đặc biệt là như vậy ở những công ty được quản lý kém, nơi kỳ vọng về một sự phục hồi luôn bị phóng đại. Có tương đối ít nghiên cứu về dự báo tăng trưởng của ban lãnh đạo, nhưng những phát hiện của chúng tương tự như những phát hiện liên quan đến các chuyên gia phân tích. Một nghiên cứu của Hutton, Lee và Shu phát hiện rằng các chuyên gia phân tích có xu hướng làm tốt hơn ban lãnh đạo trong việc dự báo tác động của các lực lượng kinh tế vĩ mô (lãi suất, nền kinh tế) lên lợi nhuận của một công ty, nhưng các nhà quản lý lại giỏi hơn trong việc dự báo dữ liệu ở cấp độ công ty.8 Tuy nhiên, cả hai nhóm đều có xu hướng làm tốt hơn ở các dự báo ngắn hạn (năm tới hoặc hai năm tới), và lợi thế của họ nhanh chóng tan biến với các dự báo dài hạn hơn.</w:t>
      </w:r>
    </w:p>
    <w:p>
      <w:pPr>
        <w:pStyle w:val="Para 03"/>
      </w:pPr>
      <w:r>
        <w:t>Trong những năm gần đây, ban lãnh đạo các công ty đại chúng cũng trở nên quyết liệt và chủ động hơn trong việc đưa ra dự báo, ít nhất là về doanh thu và lợi nhuận ngắn hạn. Ở đây cũng vậy, khả năng thiên lệch vẫn còn, vì ban lãnh đạo thường bị thúc đẩy bởi mong muốn kiểm soát kỳ vọng, và không rõ liệu việc đi theo dự báo đó có mang lại nhiều lợi ích gì cho việc định giá nội tại hay không.</w:t>
      </w:r>
    </w:p>
    <w:p>
      <w:bookmarkStart w:id="1966" w:name="Fundamental_Determinants_of_Grow"/>
      <w:bookmarkStart w:id="1967" w:name="Fundamental_Determinants_of_Grow_1"/>
      <w:pPr>
        <w:keepNext/>
        <w:pStyle w:val="Heading 2"/>
        <w:keepLines w:val="on"/>
      </w:pPr>
      <w:r>
        <w:t>Các yếu tố cơ bản quyết định tăng trưởng</w:t>
      </w:r>
      <w:bookmarkEnd w:id="1966"/>
      <w:bookmarkEnd w:id="1967"/>
    </w:p>
    <w:p>
      <w:pPr>
        <w:pStyle w:val="Para 03"/>
      </w:pPr>
      <w:r>
        <w:t>Với cả ước tính lịch sử lẫn ước tính của chuyên gia phân tích, tăng trưởng là một biến số ngoại sinh tác động đến giá trị nhưng lại tách rời khỏi các chi tiết vận hành của doanh nghiệp. Cách hợp lý nhất để đưa tăng trưởng vào giá trị là biến nó thành nội sinh (tức là gắn nó chặt chẽ hơn với những hành động mà doanh nghiệp thực hiện để tạo ra và duy trì mức tăng trưởng đó). Phần này bắt đầu bằng việc xem xét mối quan hệ giữa các yếu tố cơ bản và tăng trưởng thu nhập vốn cổ phần, rồi sau đó chuyển sang xem xét các yếu tố quyết định tăng trưởng thu nhập hoạt động.</w:t>
      </w:r>
    </w:p>
    <w:p>
      <w:bookmarkStart w:id="1968" w:name="Growth_in_Equity_Earnings"/>
      <w:bookmarkStart w:id="1969" w:name="Growth_in_Equity_Earnings__When"/>
      <w:pPr>
        <w:keepNext/>
        <w:pStyle w:val="Heading 3"/>
        <w:keepLines w:val="on"/>
      </w:pPr>
      <w:r>
        <w:t>Tăng trưởng thu nhập vốn cổ phần</w:t>
      </w:r>
      <w:bookmarkEnd w:id="1968"/>
      <w:bookmarkEnd w:id="1969"/>
    </w:p>
    <w:p>
      <w:pPr>
        <w:pStyle w:val="Para 03"/>
      </w:pPr>
      <w:r>
        <w:t>Khi ước tính dòng tiền cho vốn cổ phần, chúng ta thường bắt đầu bằng ước tính thu nhập ròng, nếu định giá vốn cổ phần nói chung, hoặc thu nhập trên mỗi cổ phần, nếu định giá vốn cổ phần theo từng cổ phiếu. Phần này bắt đầu bằng việc trình bày các yếu tố cơ bản quyết định tăng trưởng kỳ vọng trong thu nhập trên mỗi cổ phần, rồi sau đó chuyển sang xem xét một phiên bản mở rộng hơn của mô hình, tập trung vào tăng trưởng thu nhập ròng.</w:t>
      </w:r>
    </w:p>
    <w:p>
      <w:pPr>
        <w:pStyle w:val="Para 20"/>
      </w:pPr>
      <w:r>
        <w:rPr>
          <w:rStyle w:val="Text26"/>
        </w:rPr>
        <w:bookmarkStart w:id="1970" w:name="Page_312"/>
        <w:t/>
        <w:bookmarkEnd w:id="1970"/>
      </w:r>
      <w:r>
        <w:t xml:space="preserve"> </w:t>
      </w:r>
    </w:p>
    <w:p>
      <w:bookmarkStart w:id="1971" w:name="Growth_in_Earnings_per_Share__Th"/>
      <w:bookmarkStart w:id="1972" w:name="Growth_in_Earnings_per_Share"/>
      <w:pPr>
        <w:keepNext/>
        <w:pStyle w:val="Heading 4"/>
        <w:keepLines w:val="on"/>
      </w:pPr>
      <w:r>
        <w:t>Tăng trưởng thu nhập trên mỗi cổ phần</w:t>
      </w:r>
      <w:bookmarkEnd w:id="1971"/>
      <w:bookmarkEnd w:id="1972"/>
    </w:p>
    <w:p>
      <w:pPr>
        <w:pStyle w:val="Para 03"/>
      </w:pPr>
      <w:r>
        <w:t>Mối quan hệ đơn giản nhất quyết định tăng trưởng dựa trên tỷ lệ giữ lại (phần trăm lợi nhuận được giữ lại trong doanh nghiệp) và tỷ suất sinh lời trên vốn cổ phần của các dự án. Những doanh nghiệp có tỷ lệ giữ lại cao hơn và đạt tỷ suất sinh lời trên vốn cổ phần cao hơn sẽ có tốc độ tăng trưởng thu nhập trên mỗi cổ phần cao hơn nhiều so với những doanh nghiệp không có các đặc điểm này. Để chứng minh điều này, lưu ý rằng:</w:t>
      </w:r>
    </w:p>
    <w:p>
      <w:bookmarkStart w:id="1973" w:name="gt__NIt_NIt_1__NIt_1"/>
      <w:pPr>
        <w:keepNext/>
        <w:pStyle w:val="Para 09"/>
        <w:keepLines w:val="on"/>
      </w:pPr>
      <w:r>
        <w:t>gt=(NIt-NIt-1)/NIt-1</w:t>
      </w:r>
      <w:bookmarkEnd w:id="1973"/>
    </w:p>
    <w:p>
      <w:bookmarkStart w:id="1974" w:name="where______gt_Growth_rate_in_net"/>
      <w:pPr>
        <w:pStyle w:val="Para 39"/>
      </w:pPr>
      <w:r>
        <w:t>trong đó gt = Tốc độ tăng trưởng thu nhập ròng; NIt = Thu nhập ròng năm t</w:t>
      </w:r>
      <w:bookmarkEnd w:id="1974"/>
    </w:p>
    <w:p>
      <w:pPr>
        <w:pStyle w:val="Para 03"/>
      </w:pPr>
      <w:r>
        <w:t>Cũng lưu ý rằng ROE trong kỳ t có thể được viết là NI trong kỳ t chia cho giá trị sổ sách của vốn cổ phần trong kỳ t−1. Với định nghĩa về tỷ suất sinh lời trên vốn cổ phần, thu nhập ròng năm t−1 có thể được viết là:</w:t>
      </w:r>
    </w:p>
    <w:p>
      <w:bookmarkStart w:id="1975" w:name="NIt_1_Book_value_of_equityt_2xRO"/>
      <w:pPr>
        <w:keepNext/>
        <w:pStyle w:val="Para 09"/>
        <w:keepLines w:val="on"/>
      </w:pPr>
      <w:r>
        <w:t>NIt-1=Giá trị sổ sách của vốn cổ phầnt-2×ROEt-1</w:t>
      </w:r>
      <w:bookmarkEnd w:id="1975"/>
    </w:p>
    <w:p>
      <w:bookmarkStart w:id="1976" w:name="where_ROEt___1_Return_on_equity"/>
      <w:pPr>
        <w:pStyle w:val="Para 39"/>
      </w:pPr>
      <w:r>
        <w:t>trong đó ROEt−1 = Tỷ suất sinh lời trên vốn cổ phần năm t</w:t>
      </w:r>
      <w:bookmarkEnd w:id="1976"/>
    </w:p>
    <w:p>
      <w:pPr>
        <w:pStyle w:val="Para 03"/>
      </w:pPr>
      <w:r>
        <w:t>Thu nhập ròng năm t có thể được viết là:</w:t>
      </w:r>
    </w:p>
    <w:p>
      <w:bookmarkStart w:id="1977" w:name="NIt_Book_value_of_equityt___2_Re"/>
      <w:pPr>
        <w:keepNext/>
        <w:pStyle w:val="Para 09"/>
        <w:keepLines w:val="on"/>
      </w:pPr>
      <w:r>
        <w:t>NIt=Giá trị sổ sách của vốn cổ phầnt−2+Lợi nhuận giữ lạit−1×ROEt</w:t>
      </w:r>
      <w:bookmarkEnd w:id="1977"/>
    </w:p>
    <w:p>
      <w:pPr>
        <w:pStyle w:val="Para 03"/>
      </w:pPr>
      <w:r>
        <w:t>Giả sử tỷ suất sinh lời trên vốn cổ phần không đổi (tức là ROEt=ROEt−1=ROE):</w:t>
      </w:r>
    </w:p>
    <w:p>
      <w:bookmarkStart w:id="1978" w:name="gt_Retained_earningst_1_NIt_1xRO"/>
      <w:pPr>
        <w:keepNext/>
        <w:pStyle w:val="Para 09"/>
        <w:keepLines w:val="on"/>
      </w:pPr>
      <w:r>
        <w:t>gt=Lợi nhuận giữ lạit-1/NIt-1×ROE=Tỷ lệ giữ lại×ROE=b×ROE</w:t>
      </w:r>
      <w:bookmarkEnd w:id="1978"/>
    </w:p>
    <w:p>
      <w:pPr>
        <w:pStyle w:val="Para 03"/>
      </w:pPr>
      <w:r>
        <w:t>trong đó b là tỷ lệ giữ lại. Lưu ý rằng doanh nghiệp không được phép huy động vốn cổ phần bằng cách phát hành cổ phiếu mới. Do đó, tốc độ tăng trưởng thu nhập ròng và tốc độ tăng trưởng thu nhập trên mỗi cổ phần là như nhau trong công thức này.</w:t>
      </w:r>
    </w:p>
    <w:p>
      <w:pPr>
        <w:pStyle w:val="Para 11"/>
      </w:pPr>
      <w:r>
        <w:t/>
        <w:t xml:space="preserve"> </w:t>
      </w:r>
    </w:p>
    <w:p>
      <w:bookmarkStart w:id="1979" w:name="ILLUSTRATION_11_5__Growth_in_Ear_1"/>
      <w:bookmarkStart w:id="1980" w:name="ILLUSTRATION_11_5__Growth_in_Ear"/>
      <w:pPr>
        <w:keepNext/>
        <w:pStyle w:val="Para 19"/>
        <w:keepLines w:val="on"/>
      </w:pPr>
      <w:r>
        <w:t>MINH HỌA 11.5: Tăng trưởng thu nhập trên mỗi cổ phần</w:t>
      </w:r>
      <w:bookmarkEnd w:id="1979"/>
      <w:bookmarkEnd w:id="1980"/>
    </w:p>
    <w:p>
      <w:pPr>
        <w:pStyle w:val="Para 04"/>
        <w:keepLines w:val="on"/>
      </w:pPr>
      <w:r>
        <w:t>Ví dụ minh họa này xem xét tốc độ tăng trưởng thu nhập kỳ vọng dựa trên tỷ lệ giữ lại và tỷ suất sinh lời trên vốn cổ phần của ba doanh nghiệp—Consolidated Edison, một công ty tiện ích được quản lý cung cấp điện cho New York City và vùng phụ cận; Procter &amp; Gamble, một doanh nghiệp hàng tiêu dùng có thương hiệu hàng đầu; và Intel, gã khổng lồ công nghệ—vào năm 2010. Bảng sau tóm tắt tỷ suất sinh lời trên vốn cổ phần, tỷ lệ giữ lại và tốc độ tăng trưởng thu nhập kỳ vọng của ba doanh nghiệp này vào năm 2010:</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Tỷ suất sinh lời trên vốn cổ phần</w:t>
                  </w:r>
                </w:p>
              </w:tc>
              <w:tc>
                <w:tcPr>
                  <w:tcW w:type="auto" w:w="0"/>
                  <w:shd w:val="clear" w:color="auto" w:fill="F0F0F0"/>
                </w:tcPr>
                <w:p>
                  <w:pPr>
                    <w:pStyle w:val="Para 05"/>
                    <w:keepLines w:val="on"/>
                  </w:pPr>
                  <w:r>
                    <w:t>Tỷ lệ giữ lại</w:t>
                  </w:r>
                </w:p>
              </w:tc>
              <w:tc>
                <w:tcPr>
                  <w:tcW w:type="auto" w:w="0"/>
                  <w:shd w:val="clear" w:color="auto" w:fill="F0F0F0"/>
                </w:tcPr>
                <w:p>
                  <w:pPr>
                    <w:pStyle w:val="Para 05"/>
                    <w:keepLines w:val="on"/>
                  </w:pPr>
                  <w:r>
                    <w:t>Tốc độ tăng trưởng kỳ vọng</w:t>
                  </w:r>
                </w:p>
              </w:tc>
            </w:tr>
            <w:tr>
              <w:tc>
                <w:tcPr>
                  <w:tcW w:type="auto" w:w="0"/>
                  <w:shd w:val="clear" w:color="auto" w:fill="F0F0F0"/>
                </w:tcPr>
                <w:p>
                  <w:pPr>
                    <w:pStyle w:val="Para 02"/>
                    <w:keepLines w:val="on"/>
                  </w:pPr>
                  <w:r>
                    <w:t>Consolidated Edison</w:t>
                  </w:r>
                </w:p>
              </w:tc>
              <w:tc>
                <w:tcPr>
                  <w:tcW w:type="auto" w:w="0"/>
                  <w:shd w:val="clear" w:color="auto" w:fill="F0F0F0"/>
                </w:tcPr>
                <w:p>
                  <w:pPr>
                    <w:pStyle w:val="Normal"/>
                    <w:keepLines w:val="on"/>
                  </w:pPr>
                  <w:r>
                    <w:t>9,79%</w:t>
                  </w:r>
                </w:p>
              </w:tc>
              <w:tc>
                <w:tcPr>
                  <w:tcW w:type="auto" w:w="0"/>
                  <w:shd w:val="clear" w:color="auto" w:fill="F0F0F0"/>
                </w:tcPr>
                <w:p>
                  <w:pPr>
                    <w:pStyle w:val="Normal"/>
                    <w:keepLines w:val="on"/>
                  </w:pPr>
                  <w:r>
                    <w:t>36,00%</w:t>
                  </w:r>
                </w:p>
              </w:tc>
              <w:tc>
                <w:tcPr>
                  <w:tcW w:type="auto" w:w="0"/>
                  <w:shd w:val="clear" w:color="auto" w:fill="F0F0F0"/>
                </w:tcPr>
                <w:p>
                  <w:pPr>
                    <w:pStyle w:val="Normal"/>
                    <w:keepLines w:val="on"/>
                  </w:pPr>
                  <w:r>
                    <w:t>3,52%</w:t>
                  </w:r>
                </w:p>
              </w:tc>
            </w:tr>
            <w:tr>
              <w:tc>
                <w:tcPr>
                  <w:tcW w:type="auto" w:w="0"/>
                  <w:shd w:val="clear" w:color="auto" w:fill="F0F0F0"/>
                </w:tcPr>
                <w:p>
                  <w:pPr>
                    <w:pStyle w:val="Para 02"/>
                    <w:keepLines w:val="on"/>
                  </w:pPr>
                  <w:r>
                    <w:t>Procter &amp; Gamble</w:t>
                  </w:r>
                </w:p>
              </w:tc>
              <w:tc>
                <w:tcPr>
                  <w:tcW w:type="auto" w:w="0"/>
                  <w:shd w:val="clear" w:color="auto" w:fill="F0F0F0"/>
                </w:tcPr>
                <w:p>
                  <w:pPr>
                    <w:pStyle w:val="Normal"/>
                    <w:keepLines w:val="on"/>
                  </w:pPr>
                  <w:r>
                    <w:t>18,22%</w:t>
                  </w:r>
                </w:p>
              </w:tc>
              <w:tc>
                <w:tcPr>
                  <w:tcW w:type="auto" w:w="0"/>
                  <w:shd w:val="clear" w:color="auto" w:fill="F0F0F0"/>
                </w:tcPr>
                <w:p>
                  <w:pPr>
                    <w:pStyle w:val="Normal"/>
                    <w:keepLines w:val="on"/>
                  </w:pPr>
                  <w:r>
                    <w:t>50,26%</w:t>
                  </w:r>
                </w:p>
              </w:tc>
              <w:tc>
                <w:tcPr>
                  <w:tcW w:type="auto" w:w="0"/>
                  <w:shd w:val="clear" w:color="auto" w:fill="F0F0F0"/>
                </w:tcPr>
                <w:p>
                  <w:pPr>
                    <w:pStyle w:val="Normal"/>
                    <w:keepLines w:val="on"/>
                  </w:pPr>
                  <w:r>
                    <w:t>9,16%</w:t>
                  </w:r>
                </w:p>
              </w:tc>
            </w:tr>
            <w:tr>
              <w:tc>
                <w:tcPr>
                  <w:tcW w:type="auto" w:w="0"/>
                  <w:shd w:val="clear" w:color="auto" w:fill="F0F0F0"/>
                </w:tcPr>
                <w:p>
                  <w:pPr>
                    <w:pStyle w:val="Para 02"/>
                    <w:keepLines w:val="on"/>
                  </w:pPr>
                  <w:r>
                    <w:t>Intel</w:t>
                  </w:r>
                </w:p>
              </w:tc>
              <w:tc>
                <w:tcPr>
                  <w:tcW w:type="auto" w:w="0"/>
                  <w:shd w:val="clear" w:color="auto" w:fill="F0F0F0"/>
                </w:tcPr>
                <w:p>
                  <w:pPr>
                    <w:pStyle w:val="Normal"/>
                    <w:keepLines w:val="on"/>
                  </w:pPr>
                  <w:r>
                    <w:t>32,00%</w:t>
                  </w:r>
                </w:p>
              </w:tc>
              <w:tc>
                <w:tcPr>
                  <w:tcW w:type="auto" w:w="0"/>
                  <w:shd w:val="clear" w:color="auto" w:fill="F0F0F0"/>
                </w:tcPr>
                <w:p>
                  <w:pPr>
                    <w:pStyle w:val="Normal"/>
                    <w:keepLines w:val="on"/>
                  </w:pPr>
                  <w:r>
                    <w:t>70,00%</w:t>
                  </w:r>
                </w:p>
              </w:tc>
              <w:tc>
                <w:tcPr>
                  <w:tcW w:type="auto" w:w="0"/>
                  <w:shd w:val="clear" w:color="auto" w:fill="F0F0F0"/>
                </w:tcPr>
                <w:p>
                  <w:pPr>
                    <w:pStyle w:val="Normal"/>
                    <w:keepLines w:val="on"/>
                  </w:pPr>
                  <w:r>
                    <w:t>22,40%</w:t>
                  </w:r>
                </w:p>
              </w:tc>
            </w:tr>
          </w:tbl>
          <w:p/>
        </w:tc>
      </w:tr>
    </w:tbl>
    <w:p>
      <w:pPr>
        <w:pStyle w:val="Para 04"/>
        <w:keepLines w:val="on"/>
      </w:pPr>
      <w:r>
        <w:t>Intel có tốc độ tăng trưởng thu nhập trên mỗi cổ phần (earnings per share) kỳ vọng cao nhất, với giả định rằng hãng có thể duy trì tỷ suất sinh lời trên vốn chủ sở hữu (return on equity) và tỷ lệ giữ lại lợi nhuận (retention ratio) hiện tại. Procter &amp; Gamble cũng được kỳ vọng sẽ đạt tốc độ tăng trưởng lành mạnh, bất chấp việc hãng chi trả hơn 50% lợi nhuận dưới dạng cổ tức, nhờ tỷ suất sinh lời trên vốn chủ sở hữu cao. Ngược lại, Con Ed có tốc độ tăng trưởng kỳ vọng rất thấp vì tỷ suất sinh lời trên vốn chủ sở hữu và tỷ lệ giữ lại lợi nhuận của hãng đều yếu ớt.</w:t>
      </w:r>
    </w:p>
    <w:p>
      <w:bookmarkStart w:id="1983" w:name="Growth_in_Net_Income__If_we_rela"/>
      <w:bookmarkStart w:id="1984" w:name="Growth_in_Net_Income"/>
      <w:pPr>
        <w:keepNext/>
        <w:pStyle w:val="Heading 4"/>
        <w:keepLines w:val="on"/>
      </w:pPr>
      <w:r>
        <w:t>Tăng trưởng thu nhập ròng</w:t>
      </w:r>
      <w:bookmarkEnd w:id="1983"/>
      <w:bookmarkEnd w:id="1984"/>
    </w:p>
    <w:p>
      <w:pPr>
        <w:pStyle w:val="Para 03"/>
      </w:pPr>
      <w:r>
        <w:t>Nếu ta nới lỏng giả định rằng nguồn vốn chủ sở hữu duy nhất là lợi nhuận giữ lại, thì tăng trưởng thu nhập ròng (net income) có thể khác với tăng trưởng thu nhập trên mỗi cổ phần. Về mặt trực giác, hãy lưu ý rằng một công ty có thể tăng thu nhập ròng đáng kể bằng cách phát hành thêm vốn chủ sở hữu để tài trợ cho các dự án mới, trong khi thu nhập trên mỗi cổ phần lại giậm chân tại chỗ. Để rút ra mối quan hệ giữa tăng trưởng thu nhập ròng và các yếu tố cơ bản, ta cần một thước đo đầu tư vượt ra ngoài phạm vi lợi nhuận giữ lại. Một cách để có được thước đo như vậy là ước tính xem công ty tái đầu tư bao nhiêu vốn chủ sở hữu trở lại vào hoạt động kinh doanh của mình dưới dạng chi tiêu vốn ròng (net capital expenditures) và đầu tư vào vốn lưu động (working capital).</w:t>
      </w:r>
    </w:p>
    <w:p>
      <w:bookmarkStart w:id="1985" w:name="Equity_reinvested_in_business_Ca"/>
      <w:pPr>
        <w:keepNext/>
        <w:pStyle w:val="Para 09"/>
        <w:keepLines w:val="on"/>
      </w:pPr>
      <w:r>
        <w:t>Vốn chủ sở hữu tái đầu tư vào hoạt động kinh doanh = Chi tiêu vốn − Khấu hao + Thay đổi vốn lưu động − Nợ mới phát hành − Nợ đã trả</w:t>
      </w:r>
      <w:bookmarkEnd w:id="1985"/>
    </w:p>
    <w:p>
      <w:pPr>
        <w:pStyle w:val="Para 03"/>
      </w:pPr>
      <w:r>
        <w:t>Chia con số này cho thu nhập ròng sẽ cho ta một thước đo rộng hơn nhiều về tỷ lệ tái đầu tư vốn chủ sở hữu (equity reinvestment rate):</w:t>
      </w:r>
    </w:p>
    <w:p>
      <w:bookmarkStart w:id="1986" w:name="Equity_reinvestment_rate_Equity"/>
      <w:pPr>
        <w:keepNext/>
        <w:pStyle w:val="Para 09"/>
        <w:keepLines w:val="on"/>
      </w:pPr>
      <w:r>
        <w:t>Tỷ lệ tái đầu tư vốn chủ sở hữu = Vốn chủ sở hữu tái đầu tư / Thu nhập ròng</w:t>
      </w:r>
      <w:bookmarkEnd w:id="1986"/>
    </w:p>
    <w:p>
      <w:pPr>
        <w:pStyle w:val="Para 03"/>
      </w:pPr>
      <w:r>
        <w:t>Khác với tỷ lệ giữ lại lợi nhuận, con số này có thể vượt xa 100%, với phần vượt trội được tài trợ bằng vốn chủ sở hữu mới. Tăng trưởng kỳ vọng của thu nhập ròng khi đó có thể được viết như sau:</w:t>
      </w:r>
    </w:p>
    <w:p>
      <w:bookmarkStart w:id="1987" w:name="Expected_growth_in_net_income_Eq"/>
      <w:pPr>
        <w:keepNext/>
        <w:pStyle w:val="Para 09"/>
        <w:keepLines w:val="on"/>
      </w:pPr>
      <w:r>
        <w:t>Tăng trưởng kỳ vọng của thu nhập ròng = Tỷ lệ tái đầu tư vốn chủ sở hữu × Tỷ suất sinh lời trên vốn chủ sở hữu</w:t>
      </w:r>
      <w:bookmarkEnd w:id="1987"/>
    </w:p>
    <w:p>
      <w:pPr>
        <w:pStyle w:val="Para 03"/>
      </w:pPr>
      <w:r>
        <w:t>Một lợi thế khác của việc sử dụng phiên bản linh hoạt hơn này của tăng trưởng thu nhập vốn chủ sở hữu là bạn có thể tách thu nhập ròng đến từ tài sản hoạt động khỏi thu nhập ròng tạo ra từ tiền mặt và các khoản nắm giữ phi hoạt động, rồi chỉ ước tính tăng trưởng của phần đầu tiên. Khi thực hiện sự phân biệt đó, bạn sẽ phải điều chỉnh định nghĩa của mình về thu nhập ròng, làm sạch nó khỏi thu nhập phi hoạt động:</w:t>
      </w:r>
    </w:p>
    <w:p>
      <w:bookmarkStart w:id="1988" w:name="Noncash_net_income_Net_income"/>
      <w:pPr>
        <w:keepNext/>
        <w:pStyle w:val="Para 09"/>
        <w:keepLines w:val="on"/>
      </w:pPr>
      <w:r>
        <w:t>Thu nhập ròng phi tiền mặt = Thu nhập ròng − Thu nhập lãi từ tiền mặt (1 − thuế suất)</w:t>
      </w:r>
      <w:bookmarkEnd w:id="1988"/>
    </w:p>
    <w:p>
      <w:bookmarkStart w:id="1989" w:name="Noncash_ROE_Noncash_Net_IncomeBo"/>
      <w:pPr>
        <w:keepNext/>
        <w:pStyle w:val="Para 09"/>
        <w:keepLines w:val="on"/>
      </w:pPr>
      <w:r>
        <w:t>ROE phi tiền mặt = Thu nhập ròng phi tiền mặt / (Giá trị sổ sách của vốn chủ sở hữu − Tiền mặt &amp; Chứng khoán khả mại)</w:t>
      </w:r>
      <w:bookmarkEnd w:id="1989"/>
    </w:p>
    <w:p>
      <w:bookmarkStart w:id="1990" w:name="Equity_reinvestment_rate_Equity_1"/>
      <w:pPr>
        <w:keepNext/>
        <w:pStyle w:val="Para 09"/>
        <w:keepLines w:val="on"/>
      </w:pPr>
      <w:r>
        <w:t>Tỷ lệ tái đầu tư vốn chủ sở hữu = Vốn chủ sở hữu tái đầu tư / Thu nhập ròng phi tiền mặt</w:t>
      </w:r>
      <w:bookmarkEnd w:id="1990"/>
    </w:p>
    <w:p>
      <w:pPr>
        <w:pStyle w:val="Para 03"/>
      </w:pPr>
      <w:r>
        <w:t>Ở hầu hết các công ty, việc làm sạch này sẽ làm giảm thu nhập ròng, tăng tỷ suất sinh lời trên vốn chủ sở hữu và tỷ lệ tái đầu tư vốn chủ sở hữu, đồng thời làm tăng tăng trưởng kỳ vọng của thu nhập ròng đến từ tài sản hoạt động.</w:t>
      </w:r>
    </w:p>
    <w:p>
      <w:pPr>
        <w:pStyle w:val="Para 20"/>
      </w:pPr>
      <w:r>
        <w:rPr>
          <w:rStyle w:val="Text26"/>
        </w:rPr>
        <w:bookmarkStart w:id="1991" w:name="Page_314"/>
        <w:t/>
        <w:bookmarkEnd w:id="1991"/>
      </w:r>
      <w:r>
        <w:t xml:space="preserve"> </w:t>
      </w:r>
    </w:p>
    <w:p>
      <w:pPr>
        <w:pStyle w:val="Para 11"/>
      </w:pPr>
      <w:r>
        <w:t/>
        <w:t xml:space="preserve"> </w:t>
      </w:r>
    </w:p>
    <w:p>
      <w:bookmarkStart w:id="1992" w:name="ILLUSTRATION_11_6__Growth_in_Net_1"/>
      <w:bookmarkStart w:id="1993" w:name="ILLUSTRATION_11_6__Growth_in_Net"/>
      <w:pPr>
        <w:keepNext/>
        <w:pStyle w:val="Para 19"/>
        <w:keepLines w:val="on"/>
      </w:pPr>
      <w:r>
        <w:t>MINH HỌA 11.6: Tăng trưởng thu nhập ròng</w:t>
      </w:r>
      <w:bookmarkEnd w:id="1992"/>
      <w:bookmarkEnd w:id="1993"/>
    </w:p>
    <w:p>
      <w:pPr>
        <w:pStyle w:val="Para 04"/>
        <w:keepLines w:val="on"/>
      </w:pPr>
      <w:r>
        <w:t>Để ước tính tăng trưởng thu nhập ròng dựa trên các yếu tố cơ bản, ta xem xét ba công ty—Coca-Cola, Nestlé và Sony. Bảng sau đây ước tính các thành phần của vốn chủ sở hữu tái đầu tư và sử dụng nó để ước tính tỷ lệ tái đầu tư cho từng công ty. Chúng ta cũng trình bày tỷ suất sinh lời trên vốn chủ sở hữu và tốc độ tăng trưởng kỳ vọng của thu nhập ròng tại mỗi công ty này vào năm 2010:</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Thu nhập ròng</w:t>
                  </w:r>
                </w:p>
              </w:tc>
              <w:tc>
                <w:tcPr>
                  <w:tcW w:type="auto" w:w="0"/>
                  <w:shd w:val="clear" w:color="auto" w:fill="F0F0F0"/>
                  <w:vAlign w:val="bottom"/>
                </w:tcPr>
                <w:p>
                  <w:pPr>
                    <w:pStyle w:val="Para 05"/>
                    <w:keepLines w:val="on"/>
                  </w:pPr>
                  <w:r>
                    <w:t>Chi tiêu vốn ròng</w:t>
                  </w:r>
                </w:p>
              </w:tc>
              <w:tc>
                <w:tcPr>
                  <w:tcW w:type="auto" w:w="0"/>
                  <w:shd w:val="clear" w:color="auto" w:fill="F0F0F0"/>
                  <w:vAlign w:val="bottom"/>
                </w:tcPr>
                <w:p>
                  <w:pPr>
                    <w:pStyle w:val="Para 05"/>
                    <w:keepLines w:val="on"/>
                  </w:pPr>
                  <w:r>
                    <w:t>∆ Vốn lưu động</w:t>
                  </w:r>
                </w:p>
              </w:tc>
              <w:tc>
                <w:tcPr>
                  <w:tcW w:type="auto" w:w="0"/>
                  <w:shd w:val="clear" w:color="auto" w:fill="F0F0F0"/>
                  <w:vAlign w:val="bottom"/>
                </w:tcPr>
                <w:p>
                  <w:pPr>
                    <w:pStyle w:val="Para 05"/>
                    <w:keepLines w:val="on"/>
                  </w:pPr>
                  <w:r>
                    <w:t>Nợ ròng đã phát hành (đã trả)</w:t>
                  </w:r>
                </w:p>
              </w:tc>
              <w:tc>
                <w:tcPr>
                  <w:tcW w:type="auto" w:w="0"/>
                  <w:shd w:val="clear" w:color="auto" w:fill="F0F0F0"/>
                  <w:vAlign w:val="bottom"/>
                </w:tcPr>
                <w:p>
                  <w:pPr>
                    <w:pStyle w:val="Para 05"/>
                    <w:keepLines w:val="on"/>
                  </w:pPr>
                  <w:r>
                    <w:t>Tỷ lệ tái đầu tư vốn chủ sở hữu</w:t>
                  </w:r>
                </w:p>
              </w:tc>
              <w:tc>
                <w:tcPr>
                  <w:tcW w:type="auto" w:w="0"/>
                  <w:shd w:val="clear" w:color="auto" w:fill="F0F0F0"/>
                  <w:vAlign w:val="bottom"/>
                </w:tcPr>
                <w:p>
                  <w:pPr>
                    <w:pStyle w:val="Para 05"/>
                    <w:keepLines w:val="on"/>
                  </w:pPr>
                  <w:r>
                    <w:t>ROE</w:t>
                  </w:r>
                </w:p>
              </w:tc>
              <w:tc>
                <w:tcPr>
                  <w:tcW w:type="auto" w:w="0"/>
                  <w:shd w:val="clear" w:color="auto" w:fill="F0F0F0"/>
                  <w:vAlign w:val="bottom"/>
                </w:tcPr>
                <w:p>
                  <w:pPr>
                    <w:pStyle w:val="Para 05"/>
                    <w:keepLines w:val="on"/>
                  </w:pPr>
                  <w:r>
                    <w:t>Tốc độ tăng trưởng kỳ vọng của thu nhập ròng</w:t>
                  </w:r>
                </w:p>
              </w:tc>
            </w:tr>
            <w:tr>
              <w:tc>
                <w:tcPr>
                  <w:tcW w:type="auto" w:w="0"/>
                  <w:shd w:val="clear" w:color="auto" w:fill="F0F0F0"/>
                </w:tcPr>
                <w:p>
                  <w:pPr>
                    <w:pStyle w:val="Para 02"/>
                    <w:keepLines w:val="on"/>
                  </w:pPr>
                  <w:r>
                    <w:t>Coca-Cola</w:t>
                  </w:r>
                </w:p>
              </w:tc>
              <w:tc>
                <w:tcPr>
                  <w:tcW w:type="auto" w:w="0"/>
                  <w:shd w:val="clear" w:color="auto" w:fill="F0F0F0"/>
                </w:tcPr>
                <w:p>
                  <w:pPr>
                    <w:pStyle w:val="Normal"/>
                    <w:keepLines w:val="on"/>
                  </w:pPr>
                  <w:r>
                    <w:t>11.809 triệu đô la</w:t>
                  </w:r>
                </w:p>
              </w:tc>
              <w:tc>
                <w:tcPr>
                  <w:tcW w:type="auto" w:w="0"/>
                  <w:shd w:val="clear" w:color="auto" w:fill="F0F0F0"/>
                </w:tcPr>
                <w:p>
                  <w:pPr>
                    <w:pStyle w:val="Normal"/>
                    <w:keepLines w:val="on"/>
                  </w:pPr>
                  <w:r>
                    <w:t>3.006 triệu đô la</w:t>
                  </w:r>
                </w:p>
              </w:tc>
              <w:tc>
                <w:tcPr>
                  <w:tcW w:type="auto" w:w="0"/>
                  <w:shd w:val="clear" w:color="auto" w:fill="F0F0F0"/>
                </w:tcPr>
                <w:p>
                  <w:pPr>
                    <w:pStyle w:val="Normal"/>
                    <w:keepLines w:val="on"/>
                  </w:pPr>
                  <w:r>
                    <w:t>335 triệu đô la</w:t>
                  </w:r>
                </w:p>
              </w:tc>
              <w:tc>
                <w:tcPr>
                  <w:tcW w:type="auto" w:w="0"/>
                  <w:shd w:val="clear" w:color="auto" w:fill="F0F0F0"/>
                </w:tcPr>
                <w:p>
                  <w:pPr>
                    <w:pStyle w:val="Normal"/>
                    <w:keepLines w:val="on"/>
                  </w:pPr>
                  <w:r>
                    <w:t>1.848 triệu đô la</w:t>
                  </w:r>
                </w:p>
              </w:tc>
              <w:tc>
                <w:tcPr>
                  <w:tcW w:type="auto" w:w="0"/>
                  <w:shd w:val="clear" w:color="auto" w:fill="F0F0F0"/>
                </w:tcPr>
                <w:p>
                  <w:pPr>
                    <w:pStyle w:val="Normal"/>
                    <w:keepLines w:val="on"/>
                  </w:pPr>
                  <w:r>
                    <w:t>12,64%</w:t>
                  </w:r>
                </w:p>
              </w:tc>
              <w:tc>
                <w:tcPr>
                  <w:tcW w:type="auto" w:w="0"/>
                  <w:shd w:val="clear" w:color="auto" w:fill="F0F0F0"/>
                </w:tcPr>
                <w:p>
                  <w:pPr>
                    <w:pStyle w:val="Normal"/>
                    <w:keepLines w:val="on"/>
                  </w:pPr>
                  <w:r>
                    <w:t>46,59%</w:t>
                  </w:r>
                </w:p>
              </w:tc>
              <w:tc>
                <w:tcPr>
                  <w:tcW w:type="auto" w:w="0"/>
                  <w:shd w:val="clear" w:color="auto" w:fill="F0F0F0"/>
                </w:tcPr>
                <w:p>
                  <w:pPr>
                    <w:pStyle w:val="Normal"/>
                    <w:keepLines w:val="on"/>
                  </w:pPr>
                  <w:r>
                    <w:t>5,89%</w:t>
                  </w:r>
                </w:p>
              </w:tc>
            </w:tr>
            <w:tr>
              <w:tc>
                <w:tcPr>
                  <w:tcW w:type="auto" w:w="0"/>
                  <w:shd w:val="clear" w:color="auto" w:fill="F0F0F0"/>
                </w:tcPr>
                <w:p>
                  <w:pPr>
                    <w:pStyle w:val="Para 02"/>
                    <w:keepLines w:val="on"/>
                  </w:pPr>
                  <w:r>
                    <w:t>Nestlé</w:t>
                  </w:r>
                </w:p>
              </w:tc>
              <w:tc>
                <w:tcPr>
                  <w:tcW w:type="auto" w:w="0"/>
                  <w:shd w:val="clear" w:color="auto" w:fill="F0F0F0"/>
                </w:tcPr>
                <w:p>
                  <w:pPr>
                    <w:pStyle w:val="Normal"/>
                    <w:keepLines w:val="on"/>
                  </w:pPr>
                  <w:r>
                    <w:t>34.233 triệu SFr</w:t>
                  </w:r>
                </w:p>
              </w:tc>
              <w:tc>
                <w:tcPr>
                  <w:tcW w:type="auto" w:w="0"/>
                  <w:shd w:val="clear" w:color="auto" w:fill="F0F0F0"/>
                </w:tcPr>
                <w:p>
                  <w:pPr>
                    <w:pStyle w:val="Normal"/>
                    <w:keepLines w:val="on"/>
                  </w:pPr>
                  <w:r>
                    <w:t>1.394 triệu SFr</w:t>
                  </w:r>
                </w:p>
              </w:tc>
              <w:tc>
                <w:tcPr>
                  <w:tcW w:type="auto" w:w="0"/>
                  <w:shd w:val="clear" w:color="auto" w:fill="F0F0F0"/>
                </w:tcPr>
                <w:p>
                  <w:pPr>
                    <w:pStyle w:val="Normal"/>
                    <w:keepLines w:val="on"/>
                  </w:pPr>
                  <w:r>
                    <w:t>828 triệu SFr</w:t>
                  </w:r>
                </w:p>
              </w:tc>
              <w:tc>
                <w:tcPr>
                  <w:tcW w:type="auto" w:w="0"/>
                  <w:shd w:val="clear" w:color="auto" w:fill="F0F0F0"/>
                </w:tcPr>
                <w:p>
                  <w:pPr>
                    <w:pStyle w:val="Normal"/>
                    <w:keepLines w:val="on"/>
                  </w:pPr>
                  <w:r>
                    <w:t>292 triệu SFr</w:t>
                  </w:r>
                </w:p>
              </w:tc>
              <w:tc>
                <w:tcPr>
                  <w:tcW w:type="auto" w:w="0"/>
                  <w:shd w:val="clear" w:color="auto" w:fill="F0F0F0"/>
                </w:tcPr>
                <w:p>
                  <w:pPr>
                    <w:pStyle w:val="Normal"/>
                    <w:keepLines w:val="on"/>
                  </w:pPr>
                  <w:r>
                    <w:t>5,64%</w:t>
                  </w:r>
                </w:p>
              </w:tc>
              <w:tc>
                <w:tcPr>
                  <w:tcW w:type="auto" w:w="0"/>
                  <w:shd w:val="clear" w:color="auto" w:fill="F0F0F0"/>
                </w:tcPr>
                <w:p>
                  <w:pPr>
                    <w:pStyle w:val="Normal"/>
                    <w:keepLines w:val="on"/>
                  </w:pPr>
                  <w:r>
                    <w:t>63,83%</w:t>
                  </w:r>
                </w:p>
              </w:tc>
              <w:tc>
                <w:tcPr>
                  <w:tcW w:type="auto" w:w="0"/>
                  <w:shd w:val="clear" w:color="auto" w:fill="F0F0F0"/>
                </w:tcPr>
                <w:p>
                  <w:pPr>
                    <w:pStyle w:val="Normal"/>
                    <w:keepLines w:val="on"/>
                  </w:pPr>
                  <w:r>
                    <w:t>3,60%</w:t>
                  </w:r>
                </w:p>
              </w:tc>
            </w:tr>
            <w:tr>
              <w:tc>
                <w:tcPr>
                  <w:tcW w:type="auto" w:w="0"/>
                  <w:shd w:val="clear" w:color="auto" w:fill="F0F0F0"/>
                </w:tcPr>
                <w:p>
                  <w:pPr>
                    <w:pStyle w:val="Para 02"/>
                    <w:keepLines w:val="on"/>
                  </w:pPr>
                  <w:r>
                    <w:t>Sony</w:t>
                  </w:r>
                </w:p>
              </w:tc>
              <w:tc>
                <w:tcPr>
                  <w:tcW w:type="auto" w:w="0"/>
                  <w:shd w:val="clear" w:color="auto" w:fill="F0F0F0"/>
                </w:tcPr>
                <w:p>
                  <w:pPr>
                    <w:pStyle w:val="Normal"/>
                    <w:keepLines w:val="on"/>
                  </w:pPr>
                  <w:r>
                    <w:t>126,33 tỷ JY</w:t>
                  </w:r>
                </w:p>
              </w:tc>
              <w:tc>
                <w:tcPr>
                  <w:tcW w:type="auto" w:w="0"/>
                  <w:shd w:val="clear" w:color="auto" w:fill="F0F0F0"/>
                </w:tcPr>
                <w:p>
                  <w:pPr>
                    <w:pStyle w:val="Normal"/>
                    <w:keepLines w:val="on"/>
                  </w:pPr>
                  <w:r>
                    <w:t>–33 tỷ JY</w:t>
                  </w:r>
                </w:p>
              </w:tc>
              <w:tc>
                <w:tcPr>
                  <w:tcW w:type="auto" w:w="0"/>
                  <w:shd w:val="clear" w:color="auto" w:fill="F0F0F0"/>
                </w:tcPr>
                <w:p>
                  <w:pPr>
                    <w:pStyle w:val="Normal"/>
                    <w:keepLines w:val="on"/>
                  </w:pPr>
                  <w:r>
                    <w:t>JY –15 b</w:t>
                  </w:r>
                </w:p>
              </w:tc>
              <w:tc>
                <w:tcPr>
                  <w:tcW w:type="auto" w:w="0"/>
                  <w:shd w:val="clear" w:color="auto" w:fill="F0F0F0"/>
                </w:tcPr>
                <w:p>
                  <w:pPr>
                    <w:pStyle w:val="Normal"/>
                    <w:keepLines w:val="on"/>
                  </w:pPr>
                  <w:r>
                    <w:t>JY –14b</w:t>
                  </w:r>
                </w:p>
              </w:tc>
              <w:tc>
                <w:tcPr>
                  <w:tcW w:type="auto" w:w="0"/>
                  <w:shd w:val="clear" w:color="auto" w:fill="F0F0F0"/>
                </w:tcPr>
                <w:p>
                  <w:pPr>
                    <w:pStyle w:val="Normal"/>
                    <w:keepLines w:val="on"/>
                  </w:pPr>
                  <w:r>
                    <w:t>–26,91%</w:t>
                  </w:r>
                </w:p>
              </w:tc>
              <w:tc>
                <w:tcPr>
                  <w:tcW w:type="auto" w:w="0"/>
                  <w:shd w:val="clear" w:color="auto" w:fill="F0F0F0"/>
                </w:tcPr>
                <w:p>
                  <w:pPr>
                    <w:pStyle w:val="Normal"/>
                    <w:keepLines w:val="on"/>
                  </w:pPr>
                  <w:r>
                    <w:t>3,30%</w:t>
                  </w:r>
                </w:p>
              </w:tc>
              <w:tc>
                <w:tcPr>
                  <w:tcW w:type="auto" w:w="0"/>
                  <w:shd w:val="clear" w:color="auto" w:fill="F0F0F0"/>
                </w:tcPr>
                <w:p>
                  <w:pPr>
                    <w:pStyle w:val="Normal"/>
                    <w:keepLines w:val="on"/>
                  </w:pPr>
                  <w:r>
                    <w:t>–0,89%</w:t>
                  </w:r>
                </w:p>
              </w:tc>
            </w:tr>
          </w:tbl>
          <w:p/>
        </w:tc>
      </w:tr>
    </w:tbl>
    <w:p>
      <w:pPr>
        <w:pStyle w:val="Para 04"/>
        <w:keepLines w:val="on"/>
      </w:pPr>
      <w:r>
        <w:t>Ưu và nhược điểm của cách tiếp cận này được thể hiện rõ trong bảng. Cách tiếp cận này nắm bắt chính xác hơn nhiều khoản tái đầu tư thực sự vào công ty, bởi vì nó không tập trung vào phần được giữ lại mà vào phần được tái đầu tư. Hạn chế của cách tiếp cận này nằm ở chỗ các yếu tố cấu thành nên khoản tái đầu tư — chi tiêu vốn (capital expenditures), thay đổi vốn lưu động (working capital change) và nợ ròng phát hành (net debt issued) — đều là những con số biến động mạnh. Lưu ý rằng Sony có khấu hao nhiều hơn chi tiêu vốn trong năm 2010, vốn lưu động giảm, và đã trả bớt nợ trong năm. Tỷ lệ tái đầu tư ròng là âm. Nếu tiếp tục theo đà này, công ty sẽ có tăng trưởng âm. Thực tế, sẽ hợp lý hơn nhiều nếu nhìn vào tỷ lệ tái đầu tư trung bình trong ba hoặc năm năm, thay vì chỉ nhìn vào năm hiện tại. Chúng ta sẽ quay lại xem xét câu hỏi này kỹ hơn khi bàn về tăng trưởng thu nhập hoạt động (operating income).</w:t>
      </w:r>
    </w:p>
    <w:p>
      <w:bookmarkStart w:id="1995" w:name="Determinants_of_Return_on_Equity"/>
      <w:pPr>
        <w:pStyle w:val="Para 21"/>
      </w:pPr>
      <w:r>
        <w:t>Các yếu tố quyết định tỷ suất sinh lời trên vốn chủ sở hữu (Return on Equity)</w:t>
      </w:r>
      <w:bookmarkEnd w:id="1995"/>
    </w:p>
    <w:p>
      <w:pPr>
        <w:pStyle w:val="Para 03"/>
      </w:pPr>
      <w:r>
        <w:t>Cả thu nhập trên mỗi cổ phần (earnings per share) lẫn tăng trưởng thu nhập ròng (net income) đều chịu ảnh hưởng từ tỷ suất sinh lời trên vốn chủ sở hữu của một công ty. Tỷ suất sinh lời trên vốn chủ sở hữu lại chịu ảnh hưởng bởi việc công ty chọn sử dụng bao nhiêu nợ để tài trợ cho các dự án của mình. Nói một cách rộng nhất, việc gia tăng nợ sẽ dẫn đến tỷ suất sinh lời trên vốn chủ sở hữu cao hơn nếu tỷ suất sinh lời sau thuế trên vốn đầu tư (after-tax return on capital) vượt quá lãi suất sau thuế phải trả cho khoản nợ đó. Điều này được thể hiện trong công thức tính tỷ suất sinh lời trên vốn chủ sở hữu sau đây:</w:t>
      </w:r>
    </w:p>
    <w:p>
      <w:bookmarkStart w:id="1997" w:name="ROE_ROIC_D_E_ROIC_i_1_t"/>
      <w:pPr>
        <w:keepNext/>
        <w:pStyle w:val="Para 09"/>
        <w:keepLines w:val="on"/>
      </w:pPr>
      <w:r>
        <w:t>ROE=ROIC+D/E[ROIC-i(1-t)]</w:t>
      </w:r>
      <w:bookmarkEnd w:id="1997"/>
    </w:p>
    <w:p>
      <w:bookmarkStart w:id="1998" w:name="where___________ROC_EBIT_1___t"/>
      <w:pPr>
        <w:pStyle w:val="Para 39"/>
      </w:pPr>
      <w:r>
        <w:t>trong đó ROC=EBIT(1−t)/(giá trị sổ sách của nợ+giá trị sổ sách của vốn chủ sở hữu−tiền mặt) D/E=giá trị sổ sách của nợ/giá trị sổ sách của vốn chủ sở hữu (tỷ lệ D/E theo sổ sách) i=chi phí lãi vay trên nợ/giá trị sổ sách của nợ (lãi suất theo sổ sách) t=thuế suất đối với thu nhập thông thường</w:t>
      </w:r>
      <w:bookmarkEnd w:id="1998"/>
    </w:p>
    <w:p>
      <w:pPr>
        <w:pStyle w:val="Para 03"/>
      </w:pPr>
      <w:r>
        <w:t>Xuất phát từ thực tế rằng tỷ suất sinh lời trên vốn chủ sở hữu được tính dựa trên giá trị sổ sách, tất cả các yếu tố đầu vào cũng đều được biểu diễn theo giá trị sổ sách. Cách suy luận khá đơn giản và được trình bày trong phần chú thích.9 Sử dụng phiên bản mở rộng này của ROE, tốc độ tăng trưởng có thể được viết như sau:</w:t>
      </w:r>
    </w:p>
    <w:p>
      <w:bookmarkStart w:id="2000" w:name="g_b_ROIC_D_E_ROC___i_1___t"/>
      <w:pPr>
        <w:keepNext/>
        <w:pStyle w:val="Para 09"/>
        <w:keepLines w:val="on"/>
      </w:pPr>
      <w:r>
        <w:t>g=b(ROIC+D/E[ROC−i(1−t)])</w:t>
      </w:r>
      <w:bookmarkEnd w:id="2000"/>
    </w:p>
    <w:p>
      <w:pPr>
        <w:pStyle w:val="Para 03"/>
      </w:pPr>
      <w:r>
        <w:t>Ưu điểm của công thức này là nó cho phép người dùng mô phỏng những thay đổi trong đòn bẩy tài chính (leverage) và đánh giá tác động lên tăng trưởng. Về mặt trực giác, nó phản ánh thực tế rằng nếu chi phí đi vay sau thuế thấp hơn mức sinh lời mà công ty có thể kiếm được từ một khoản đầu tư, thì việc vay tiền sẽ làm tăng tỷ suất sinh lời trên vốn chủ sở hữu.</w:t>
      </w:r>
    </w:p>
    <w:p>
      <w:pPr>
        <w:pStyle w:val="Para 11"/>
      </w:pPr>
      <w:r>
        <w:t/>
        <w:t xml:space="preserve"> </w:t>
      </w:r>
    </w:p>
    <w:p>
      <w:bookmarkStart w:id="2002" w:name="ILLUSTRATION_11_7__Breaking_Down_1"/>
      <w:bookmarkStart w:id="2003" w:name="ILLUSTRATION_11_7__Breaking_Down"/>
      <w:pPr>
        <w:keepNext/>
        <w:pStyle w:val="Para 19"/>
        <w:keepLines w:val="on"/>
      </w:pPr>
      <w:r>
        <w:t>MINH HỌA 11.7: Phân tích tỷ suất sinh lời trên vốn chủ sở hữu</w:t>
      </w:r>
      <w:bookmarkEnd w:id="2002"/>
      <w:bookmarkEnd w:id="2003"/>
    </w:p>
    <w:p>
      <w:pPr>
        <w:pStyle w:val="Para 04"/>
        <w:keepLines w:val="on"/>
      </w:pPr>
      <w:r>
        <w:t>Để xem xét các thành phần cấu thành nên tỷ suất sinh lời trên vốn chủ sở hữu, bảng sau đây xem xét Consolidated Edison, Procter &amp; Gamble và Intel, ba công ty có tỷ suất sinh lời trên vốn chủ sở hữu đã được trình bày trong Minh họa 11.5:</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ROIC</w:t>
                  </w:r>
                </w:p>
              </w:tc>
              <w:tc>
                <w:tcPr>
                  <w:tcW w:type="auto" w:w="0"/>
                  <w:shd w:val="clear" w:color="auto" w:fill="F0F0F0"/>
                </w:tcPr>
                <w:p>
                  <w:pPr>
                    <w:pStyle w:val="Para 05"/>
                    <w:keepLines w:val="on"/>
                  </w:pPr>
                  <w:r>
                    <w:t>D/E theo sổ sách</w:t>
                  </w:r>
                </w:p>
              </w:tc>
              <w:tc>
                <w:tcPr>
                  <w:tcW w:type="auto" w:w="0"/>
                  <w:shd w:val="clear" w:color="auto" w:fill="F0F0F0"/>
                </w:tcPr>
                <w:p>
                  <w:pPr>
                    <w:pStyle w:val="Para 05"/>
                    <w:keepLines w:val="on"/>
                  </w:pPr>
                  <w:r>
                    <w:t>Lãi suất theo sổ sách</w:t>
                  </w:r>
                </w:p>
              </w:tc>
              <w:tc>
                <w:tcPr>
                  <w:tcW w:type="auto" w:w="0"/>
                  <w:shd w:val="clear" w:color="auto" w:fill="F0F0F0"/>
                </w:tcPr>
                <w:p>
                  <w:pPr>
                    <w:pStyle w:val="Para 05"/>
                    <w:keepLines w:val="on"/>
                  </w:pPr>
                  <w:r>
                    <w:t>Thuế suất</w:t>
                  </w:r>
                </w:p>
              </w:tc>
              <w:tc>
                <w:tcPr>
                  <w:tcW w:type="auto" w:w="0"/>
                  <w:shd w:val="clear" w:color="auto" w:fill="F0F0F0"/>
                </w:tcPr>
                <w:p>
                  <w:pPr>
                    <w:pStyle w:val="Para 05"/>
                    <w:keepLines w:val="on"/>
                  </w:pPr>
                  <w:r>
                    <w:t>ROE</w:t>
                  </w:r>
                </w:p>
              </w:tc>
            </w:tr>
            <w:tr>
              <w:tc>
                <w:tcPr>
                  <w:tcW w:type="auto" w:w="0"/>
                  <w:shd w:val="clear" w:color="auto" w:fill="F0F0F0"/>
                </w:tcPr>
                <w:p>
                  <w:pPr>
                    <w:pStyle w:val="Para 02"/>
                    <w:keepLines w:val="on"/>
                  </w:pPr>
                  <w:r>
                    <w:t>Consolidated Edison</w:t>
                  </w:r>
                </w:p>
              </w:tc>
              <w:tc>
                <w:tcPr>
                  <w:tcW w:type="auto" w:w="0"/>
                  <w:shd w:val="clear" w:color="auto" w:fill="F0F0F0"/>
                </w:tcPr>
                <w:p>
                  <w:pPr>
                    <w:pStyle w:val="Normal"/>
                    <w:keepLines w:val="on"/>
                  </w:pPr>
                  <w:r>
                    <w:t>6,66%</w:t>
                  </w:r>
                </w:p>
              </w:tc>
              <w:tc>
                <w:tcPr>
                  <w:tcW w:type="auto" w:w="0"/>
                  <w:shd w:val="clear" w:color="auto" w:fill="F0F0F0"/>
                </w:tcPr>
                <w:p>
                  <w:pPr>
                    <w:pStyle w:val="Normal"/>
                    <w:keepLines w:val="on"/>
                  </w:pPr>
                  <w:r>
                    <w:t>103,41%</w:t>
                  </w:r>
                </w:p>
              </w:tc>
              <w:tc>
                <w:tcPr>
                  <w:tcW w:type="auto" w:w="0"/>
                  <w:shd w:val="clear" w:color="auto" w:fill="F0F0F0"/>
                </w:tcPr>
                <w:p>
                  <w:pPr>
                    <w:pStyle w:val="Normal"/>
                    <w:keepLines w:val="on"/>
                  </w:pPr>
                  <w:r>
                    <w:t>5,75%</w:t>
                  </w:r>
                </w:p>
              </w:tc>
              <w:tc>
                <w:tcPr>
                  <w:tcW w:type="auto" w:w="0"/>
                  <w:shd w:val="clear" w:color="auto" w:fill="F0F0F0"/>
                </w:tcPr>
                <w:p>
                  <w:pPr>
                    <w:pStyle w:val="Normal"/>
                    <w:keepLines w:val="on"/>
                  </w:pPr>
                  <w:r>
                    <w:t>35,33%</w:t>
                  </w:r>
                </w:p>
              </w:tc>
              <w:tc>
                <w:tcPr>
                  <w:tcW w:type="auto" w:w="0"/>
                  <w:shd w:val="clear" w:color="auto" w:fill="F0F0F0"/>
                </w:tcPr>
                <w:p>
                  <w:pPr>
                    <w:pStyle w:val="Normal"/>
                    <w:keepLines w:val="on"/>
                  </w:pPr>
                  <w:r>
                    <w:t>9,70%</w:t>
                  </w:r>
                </w:p>
              </w:tc>
            </w:tr>
            <w:tr>
              <w:tc>
                <w:tcPr>
                  <w:tcW w:type="auto" w:w="0"/>
                  <w:shd w:val="clear" w:color="auto" w:fill="F0F0F0"/>
                </w:tcPr>
                <w:p>
                  <w:pPr>
                    <w:pStyle w:val="Para 02"/>
                    <w:keepLines w:val="on"/>
                  </w:pPr>
                  <w:r>
                    <w:t>Procter &amp; Gamble</w:t>
                  </w:r>
                </w:p>
              </w:tc>
              <w:tc>
                <w:tcPr>
                  <w:tcW w:type="auto" w:w="0"/>
                  <w:shd w:val="clear" w:color="auto" w:fill="F0F0F0"/>
                </w:tcPr>
                <w:p>
                  <w:pPr>
                    <w:pStyle w:val="Normal"/>
                    <w:keepLines w:val="on"/>
                  </w:pPr>
                  <w:r>
                    <w:t>12,19%</w:t>
                  </w:r>
                </w:p>
              </w:tc>
              <w:tc>
                <w:tcPr>
                  <w:tcW w:type="auto" w:w="0"/>
                  <w:shd w:val="clear" w:color="auto" w:fill="F0F0F0"/>
                </w:tcPr>
                <w:p>
                  <w:pPr>
                    <w:pStyle w:val="Normal"/>
                    <w:keepLines w:val="on"/>
                  </w:pPr>
                  <w:r>
                    <w:t>58,33%</w:t>
                  </w:r>
                </w:p>
              </w:tc>
              <w:tc>
                <w:tcPr>
                  <w:tcW w:type="auto" w:w="0"/>
                  <w:shd w:val="clear" w:color="auto" w:fill="F0F0F0"/>
                </w:tcPr>
                <w:p>
                  <w:pPr>
                    <w:pStyle w:val="Normal"/>
                    <w:keepLines w:val="on"/>
                  </w:pPr>
                  <w:r>
                    <w:t>2,56%</w:t>
                  </w:r>
                </w:p>
              </w:tc>
              <w:tc>
                <w:tcPr>
                  <w:tcW w:type="auto" w:w="0"/>
                  <w:shd w:val="clear" w:color="auto" w:fill="F0F0F0"/>
                </w:tcPr>
                <w:p>
                  <w:pPr>
                    <w:pStyle w:val="Normal"/>
                    <w:keepLines w:val="on"/>
                  </w:pPr>
                  <w:r>
                    <w:t>27,25%</w:t>
                  </w:r>
                </w:p>
              </w:tc>
              <w:tc>
                <w:tcPr>
                  <w:tcW w:type="auto" w:w="0"/>
                  <w:shd w:val="clear" w:color="auto" w:fill="F0F0F0"/>
                </w:tcPr>
                <w:p>
                  <w:pPr>
                    <w:pStyle w:val="Normal"/>
                    <w:keepLines w:val="on"/>
                  </w:pPr>
                  <w:r>
                    <w:t>18,22%</w:t>
                  </w:r>
                </w:p>
              </w:tc>
            </w:tr>
            <w:tr>
              <w:tc>
                <w:tcPr>
                  <w:tcW w:type="auto" w:w="0"/>
                  <w:shd w:val="clear" w:color="auto" w:fill="F0F0F0"/>
                </w:tcPr>
                <w:p>
                  <w:pPr>
                    <w:pStyle w:val="Para 02"/>
                    <w:keepLines w:val="on"/>
                  </w:pPr>
                  <w:r>
                    <w:t>Intel</w:t>
                  </w:r>
                </w:p>
              </w:tc>
              <w:tc>
                <w:tcPr>
                  <w:tcW w:type="auto" w:w="0"/>
                  <w:shd w:val="clear" w:color="auto" w:fill="F0F0F0"/>
                </w:tcPr>
                <w:p>
                  <w:pPr>
                    <w:pStyle w:val="Normal"/>
                    <w:keepLines w:val="on"/>
                  </w:pPr>
                  <w:r>
                    <w:t>27,89%</w:t>
                  </w:r>
                </w:p>
              </w:tc>
              <w:tc>
                <w:tcPr>
                  <w:tcW w:type="auto" w:w="0"/>
                  <w:shd w:val="clear" w:color="auto" w:fill="F0F0F0"/>
                </w:tcPr>
                <w:p>
                  <w:pPr>
                    <w:pStyle w:val="Normal"/>
                    <w:keepLines w:val="on"/>
                  </w:pPr>
                  <w:r>
                    <w:t>5,32%</w:t>
                  </w:r>
                </w:p>
              </w:tc>
              <w:tc>
                <w:tcPr>
                  <w:tcW w:type="auto" w:w="0"/>
                  <w:shd w:val="clear" w:color="auto" w:fill="F0F0F0"/>
                </w:tcPr>
                <w:p>
                  <w:pPr>
                    <w:pStyle w:val="Normal"/>
                    <w:keepLines w:val="on"/>
                  </w:pPr>
                  <w:r>
                    <w:t>5,49%</w:t>
                  </w:r>
                </w:p>
              </w:tc>
              <w:tc>
                <w:tcPr>
                  <w:tcW w:type="auto" w:w="0"/>
                  <w:shd w:val="clear" w:color="auto" w:fill="F0F0F0"/>
                </w:tcPr>
                <w:p>
                  <w:pPr>
                    <w:pStyle w:val="Normal"/>
                    <w:keepLines w:val="on"/>
                  </w:pPr>
                  <w:r>
                    <w:t>28,55%</w:t>
                  </w:r>
                </w:p>
              </w:tc>
              <w:tc>
                <w:tcPr>
                  <w:tcW w:type="auto" w:w="0"/>
                  <w:shd w:val="clear" w:color="auto" w:fill="F0F0F0"/>
                </w:tcPr>
                <w:p>
                  <w:pPr>
                    <w:pStyle w:val="Normal"/>
                    <w:keepLines w:val="on"/>
                  </w:pPr>
                  <w:r>
                    <w:t>29,16%</w:t>
                  </w:r>
                </w:p>
              </w:tc>
            </w:tr>
          </w:tbl>
          <w:p/>
        </w:tc>
      </w:tr>
    </w:tbl>
    <w:p>
      <w:pPr>
        <w:pStyle w:val="Para 04"/>
        <w:keepLines w:val="on"/>
      </w:pPr>
      <w:r>
        <w:t>So sánh những con số này với những con số được báo cáo trong Minh họa 11.5, bạn sẽ thấy rằng tỷ suất sinh lời trên vốn chủ sở hữu (return on equity) rất gần với những ước tính trước đó của chúng ta cho Con Ed và P&amp;G. Tỷ suất sinh lời trên vốn chủ sở hữu được tính ở đây thấp hơn ước tính trước đó cho Intel vì công ty này đã ghi nhận lợi nhuận phi hoạt động (nonoperating profits) đáng kể trong thu nhập ròng của mình. Chúng ta đã chọn chỉ xem xét thu nhập hoạt động (operating income) trong phép tính tỷ suất sinh lời trên vốn (return on capital). Trong chừng mực mà các công ty thường xuyên báo cáo thu nhập phi hoạt động (hoặc lỗ phi hoạt động), tỷ suất sinh lời trên vốn chủ sở hữu được tính bằng cách tiếp cận tiêu chuẩn (thu nhập ròng chia cho vốn chủ sở hữu theo sổ sách) sẽ khác với tỷ suất sinh lời trên vốn chủ sở hữu được tính ở đây.</w:t>
      </w:r>
    </w:p>
    <w:p>
      <w:pPr>
        <w:pStyle w:val="Para 04"/>
        <w:keepLines w:val="on"/>
      </w:pPr>
      <w:r>
        <w:t>Mặc dù đây không phải là mối lo ngại nghiêm trọng đối với bất kỳ công ty nào trong ba công ty được xem xét, chúng ta nên lo ngại nếu một ROE cao là do tỷ lệ D/E cao, thuế suất thực tế thấp, hoặc lợi nhuận phi hoạt động. ROE đó có thể không bền vững. Nếu công ty mất đi các ưu đãi thuế và các nguồn thu nhập phi hoạt động của mình cạn kiệt, công ty có thể rất dễ rơi vào tình trạng có tỷ suất sinh lời trên vốn thấp hơn lãi suất sổ sách của mình. Nếu điều này xảy ra, đòn bẩy (leverage) có thể kéo tỷ suất sinh lời trên vốn chủ sở hữu của công ty đi xuống.</w:t>
      </w:r>
    </w:p>
    <w:p>
      <w:pPr>
        <w:pStyle w:val="Para 11"/>
      </w:pPr>
      <w:r>
        <w:t/>
        <w:t xml:space="preserve"> </w:t>
      </w:r>
    </w:p>
    <w:p>
      <w:bookmarkStart w:id="2005" w:name="Average_and_Marginal_Returns_The"/>
      <w:bookmarkStart w:id="2006" w:name="Average_and_Marginal_Returns"/>
      <w:pPr>
        <w:keepNext/>
        <w:pStyle w:val="Para 27"/>
        <w:keepLines w:val="on"/>
      </w:pPr>
      <w:r>
        <w:t>Tỷ suất sinh lời bình quân và tỷ suất sinh lời biên</w:t>
      </w:r>
      <w:bookmarkEnd w:id="2005"/>
      <w:bookmarkEnd w:id="2006"/>
    </w:p>
    <w:p>
      <w:pPr>
        <w:pStyle w:val="Para 16"/>
        <w:keepLines w:val="on"/>
      </w:pPr>
      <w:r>
        <w:t>Tỷ suất sinh lời trên vốn chủ sở hữu theo quy ước được đo lường bằng cách chia thu nhập ròng trong năm gần nhất cho giá trị sổ sách của vốn chủ sở hữu vào cuối năm trước đó. Do đó, tỷ suất sinh lời trên vốn chủ sở hữu đo lường chất lượng của cả những dự án cũ đã nằm trên sổ sách trong một thời gian dài lẫn những dự án mới từ các giai đoạn gần đây hơn. Vì các khoản đầu tư cũ chiếm một phần đáng kể trong thu nhập, tỷ suất sinh lời bình quân có thể không thay đổi đáng kể đối với các công ty lớn đang đối mặt với sự suy giảm tỷ suất sinh lời trên các khoản đầu tư mới, do bão hòa thị trường hoặc cạnh tranh. Nói cách khác, tỷ suất sinh lời kém trên các dự án mới sẽ có tác động trễ đối với tỷ suất sinh lời tổng thể của công ty. Trong định giá, chính tỷ suất sinh lời mà các công ty đang đạt được trên những khoản đầu tư mới hơn của mình mới truyền tải nhiều thông tin nhất về chất lượng các dự án của một công ty. Để đo lường những tỷ suất sinh lời này, chúng ta có thể tính tỷ suất sinh lời biên trên vốn chủ sở hữu bằng cách chia thay đổi trong thu nhập ròng trong năm gần nhất cho thay đổi trong giá trị sổ sách của vốn chủ sở hữu trong năm trước đó:</w:t>
      </w:r>
    </w:p>
    <w:p>
      <w:bookmarkStart w:id="2008" w:name="Marginal_return_on_equity_D_Net"/>
      <w:pPr>
        <w:keepNext/>
        <w:pStyle w:val="Para 48"/>
        <w:keepLines w:val="on"/>
      </w:pPr>
      <w:r>
        <w:t>Tỷ suất sinh lời biên trên vốn chủ sở hữu=Δ Thu nhập ròngtΔ Giá trị sổ sách của vốn chủ sở hữut-1</w:t>
      </w:r>
      <w:bookmarkEnd w:id="2008"/>
    </w:p>
    <w:p>
      <w:pPr>
        <w:pStyle w:val="Para 16"/>
        <w:keepLines w:val="on"/>
      </w:pPr>
      <w:r>
        <w:t>Ví dụ, Disney báo cáo thu nhập ròng là 3.963 triệu đô la trên giá trị sổ sách của vốn chủ sở hữu là 35.425 triệu đô la vào năm 2010, dẫn đến tỷ suất sinh lời tổng hợp trên vốn chủ sở hữu là 11,87 phần trăm:</w:t>
      </w:r>
    </w:p>
    <w:p>
      <w:bookmarkStart w:id="2009" w:name="Aggregate_return_on_equity_1_963"/>
      <w:pPr>
        <w:keepNext/>
        <w:pStyle w:val="Para 48"/>
        <w:keepLines w:val="on"/>
      </w:pPr>
      <w:r>
        <w:t>Tỷ suất sinh lời tổng hợp trên vốn chủ sở hữu=1.963/35.425=11,87%</w:t>
      </w:r>
      <w:bookmarkEnd w:id="2009"/>
    </w:p>
    <w:p>
      <w:pPr>
        <w:pStyle w:val="Para 16"/>
        <w:keepLines w:val="on"/>
      </w:pPr>
      <w:r>
        <w:t>Tỷ suất sinh lời biên trên vốn chủ sở hữu được tính như sau:</w:t>
      </w:r>
    </w:p>
    <w:p>
      <w:bookmarkStart w:id="2010" w:name="Change_in_net_income_from_2009_t"/>
      <w:pPr>
        <w:keepNext/>
        <w:pStyle w:val="Para 48"/>
        <w:keepLines w:val="on"/>
      </w:pPr>
      <w:r>
        <w:t>Thay đổi trong thu nhập ròng từ 2009 đến 2010=3.963−3.307=656 triệu đô laThay đổi trong giá trị sổ sách của vốn chủ sở hữu từ 2009 đến 2010=35.425−33.667=1.758 triệu đô laTỷ suất sinh lời biên trên vốn chủ sở hữu=656/1.758=37,32%</w:t>
      </w:r>
      <w:bookmarkEnd w:id="2010"/>
    </w:p>
    <w:p>
      <w:pPr>
        <w:pStyle w:val="Para 16"/>
        <w:keepLines w:val="on"/>
      </w:pPr>
      <w:r>
        <w:t>Mặc dù chúng ta không ngụ ý rằng Disney đã tạo ra 37,32 phần trăm trên các khoản đầu tư mới của mình vào năm 2010, điều đó cho thấy đà tăng đang đi lên trong tỷ suất sinh lời trên vốn chủ sở hữu của Disney. Do đó, một ước tính hướng tới tương lai lớn hơn 11,87 phần trăm sẽ là hợp lý.</w:t>
      </w:r>
    </w:p>
    <w:p>
      <w:bookmarkStart w:id="2011" w:name="The_Effects_of_Changing_Return_o"/>
      <w:pPr>
        <w:pStyle w:val="Para 21"/>
      </w:pPr>
      <w:r>
        <w:t>Ảnh hưởng của việc thay đổi tỷ suất sinh lời trên vốn chủ sở hữu</w:t>
      </w:r>
      <w:bookmarkEnd w:id="2011"/>
    </w:p>
    <w:p>
      <w:pPr>
        <w:pStyle w:val="Para 03"/>
      </w:pPr>
      <w:r>
        <w:t>Cho đến nay, phần này đã vận hành dựa trên giả định rằng tỷ suất sinh lời tổng thể trên vốn chủ sở hữu không thay đổi theo thời gian. Nếu chúng ta nới lỏng giả định này, chúng ta sẽ đưa vào một thành phần mới cho tăng trưởng—ảnh hưởng của việc thay đổi tỷ suất sinh lời trên vốn chủ sở hữu đối với các khoản đầu tư hiện có theo thời gian. Hãy xem xét, ví dụ, một công ty có giá trị sổ sách của vốn chủ sở hữu là 100 triệu đô la và tỷ suất sinh lời trên vốn chủ sở hữu là 10 phần trăm. Nếu công ty này cải thiện tỷ suất sinh lời trên vốn chủ sở hữu của mình lên 11 phần trăm, nó sẽ đạt được tốc độ tăng trưởng thu nhập là 10 phần trăm ngay cả khi không tái đầu tư bất kỳ khoản tiền nào. Khoản tăng trưởng bổ sung này có thể được viết dưới dạng một hàm của sự thay đổi trong tỷ suất sinh lời trên vốn chủ sở hữu:</w:t>
      </w:r>
    </w:p>
    <w:p>
      <w:bookmarkStart w:id="2013" w:name="Addition_to_expected_growth_rate"/>
      <w:pPr>
        <w:keepNext/>
        <w:pStyle w:val="Para 09"/>
        <w:keepLines w:val="on"/>
      </w:pPr>
      <w:r>
        <w:t>Phần bổ sung vào tốc độ tăng trưởng kỳ vọng = (ROEt - ROEt-1) / ROEt-1</w:t>
      </w:r>
      <w:bookmarkEnd w:id="2013"/>
    </w:p>
    <w:p>
      <w:pPr>
        <w:pStyle w:val="Para 03"/>
      </w:pPr>
      <w:r>
        <w:t>trong đó ROEt là tỷ suất sinh lời trên vốn chủ sở hữu (return on equity) trong kỳ t. Phần này sẽ được cộng thêm vào tốc độ tăng trưởng cơ bản, vốn được tính bằng tích của tỷ suất sinh lời trên vốn chủ sở hữu và tỷ lệ giữ lại lợi nhuận (retention ratio).</w:t>
      </w:r>
    </w:p>
    <w:p>
      <w:pPr>
        <w:pStyle w:val="Para 03"/>
      </w:pPr>
      <w:r>
        <w:t>Trong khi việc tăng tỷ suất sinh lời trên vốn chủ sở hữu sẽ tạo ra một cú bứt phá trong tốc độ tăng trưởng ở kỳ có sự cải thiện, thì việc giảm tỷ suất sinh lời trên vốn chủ sở hữu sẽ tạo ra mức sụt giảm lớn hơn mức tương ứng trong tốc độ tăng trưởng ở kỳ suy giảm đó.</w:t>
      </w:r>
    </w:p>
    <w:p>
      <w:pPr>
        <w:pStyle w:val="Para 03"/>
      </w:pPr>
      <w:r>
        <w:t>Ở điểm này, cần phân biệt rõ giữa tỷ suất sinh lời trên vốn chủ sở hữu của các khoản đầu tư mới và tỷ suất sinh lời trên vốn chủ sở hữu của các khoản đầu tư hiện hữu. Phần tăng trưởng bổ sung mà chúng ta đang ước tính ở đây không đến từ các khoản đầu tư mới, mà đến từ việc thay đổi tỷ suất sinh lời trên các khoản đầu tư hiện hữu. Vì chưa có thuật ngữ nào hay hơn, bạn có thể coi đây là "tăng trưởng nhờ hiệu quả" (efficiency-generated growth).</w:t>
      </w:r>
    </w:p>
    <w:p>
      <w:pPr>
        <w:pStyle w:val="Para 11"/>
      </w:pPr>
      <w:r>
        <w:t/>
        <w:t xml:space="preserve"> </w:t>
      </w:r>
    </w:p>
    <w:p>
      <w:bookmarkStart w:id="2015" w:name="ILLUSTRATION_11_8__Effects_of_Ch"/>
      <w:bookmarkStart w:id="2016" w:name="ILLUSTRATION_11_8__Effects_of_Ch_1"/>
      <w:pPr>
        <w:keepNext/>
        <w:pStyle w:val="Para 19"/>
        <w:keepLines w:val="on"/>
      </w:pPr>
      <w:r>
        <w:t>MINH HỌA 11.8: Ảnh hưởng của việc thay đổi tỷ suất sinh lời trên vốn chủ sở hữu: Con Ed</w:t>
      </w:r>
      <w:bookmarkEnd w:id="2015"/>
      <w:bookmarkEnd w:id="2016"/>
    </w:p>
    <w:p>
      <w:pPr>
        <w:pStyle w:val="Para 04"/>
        <w:keepLines w:val="on"/>
      </w:pPr>
      <w:r>
        <w:t>Trong Minh họa 11.5, chúng ta đã xem xét tốc độ tăng trưởng kỳ vọng của Con Ed dựa trên tỷ suất sinh lời trên vốn chủ sở hữu là 9,79% và tỷ lệ giữ lại lợi nhuận là 36%. Giả sử rằng công ty sẽ có thể cải thiện tỷ suất sinh lời trên vốn chủ sở hữu tổng thể (trên cả các khoản đầu tư mới lẫn hiện hữu) lên 11% vào năm tới và tỷ lệ giữ lại lợi nhuận vẫn giữ ở mức 36%. Khi đó, tốc độ tăng trưởng kỳ vọng của thu nhập trên mỗi cổ phần (EPS) vào năm tới có thể được viết như sau:</w:t>
      </w:r>
    </w:p>
    <w:p>
      <w:bookmarkStart w:id="2018" w:name="Expected_growth_rate_in_EPS_ROEt"/>
      <w:pPr>
        <w:keepNext/>
        <w:pStyle w:val="Para 07"/>
        <w:keepLines w:val="on"/>
      </w:pPr>
      <w:r>
        <w:t>Tốc độ tăng trưởng kỳ vọng của EPS = ROEt × Tỷ lệ giữ lại lợi nhuận + (ROEt − ROEt−1) / ROEt−1 = .11 × .36 + (.11 − .0979) / .0979 = .1632 hay 16,32%</w:t>
      </w:r>
      <w:bookmarkEnd w:id="2018"/>
    </w:p>
    <w:p>
      <w:pPr>
        <w:pStyle w:val="Para 04"/>
        <w:keepLines w:val="on"/>
      </w:pPr>
      <w:r>
        <w:t>Sau năm tới, tốc độ tăng trưởng sẽ hạ xuống mức bền vững hơn là 3,96% (.11 × .36).</w:t>
      </w:r>
    </w:p>
    <w:p>
      <w:pPr>
        <w:pStyle w:val="Para 04"/>
        <w:keepLines w:val="on"/>
      </w:pPr>
      <w:r>
        <w:t>Kết quả sẽ khác đi như thế nào nếu sự cải thiện tỷ suất sinh lời trên vốn chủ sở hữu chỉ diễn ra ở các khoản đầu tư mới mà không diễn ra ở các tài sản hiện hữu? Khi đó, tốc độ tăng trưởng kỳ vọng của thu nhập trên mỗi cổ phần có thể được viết như sau:</w:t>
      </w:r>
    </w:p>
    <w:p>
      <w:bookmarkStart w:id="2019" w:name="Expected_growth_rate_in_EPS_ROEt_1"/>
      <w:pPr>
        <w:keepNext/>
        <w:pStyle w:val="Para 07"/>
        <w:keepLines w:val="on"/>
      </w:pPr>
      <w:r>
        <w:t>Tốc độ tăng trưởng kỳ vọng của EPS = ROEt × Tỷ lệ giữ lại lợi nhuận = .11 × .36 = .0396</w:t>
      </w:r>
      <w:bookmarkEnd w:id="2019"/>
    </w:p>
    <w:p>
      <w:pPr>
        <w:pStyle w:val="Para 04"/>
        <w:keepLines w:val="on"/>
      </w:pPr>
      <w:r>
        <w:t>Như vậy, trong trường hợp này không có phần tăng trưởng bổ sung nào được tạo ra. Vậy nếu sự cải thiện chỉ diễn ra ở các tài sản hiện hữu mà không diễn ra ở các khoản đầu tư mới thì sao? Khi đó, tốc độ tăng trưởng kỳ vọng của thu nhập trên mỗi cổ phần vào năm tới có thể được viết như sau:</w:t>
      </w:r>
    </w:p>
    <w:p>
      <w:bookmarkStart w:id="2020" w:name="Expected_growth_rate_in_EPS_ROEt_2"/>
      <w:pPr>
        <w:keepNext/>
        <w:pStyle w:val="Para 07"/>
        <w:keepLines w:val="on"/>
      </w:pPr>
      <w:r>
        <w:t>Tốc độ tăng trưởng kỳ vọng của EPS = ROEt × Tỷ lệ giữ lại lợi nhuận + (ROEt − ROEt−1) / ROEt−1 = .0979 × .36 + (.11 − .0979) / .0979 = .1588 hay 15,88%</w:t>
      </w:r>
      <w:bookmarkEnd w:id="2020"/>
    </w:p>
    <w:p>
      <w:bookmarkStart w:id="2021" w:name="Growth_in_Operating_Income__Just"/>
      <w:bookmarkStart w:id="2022" w:name="Growth_in_Operating_Income"/>
      <w:pPr>
        <w:keepNext/>
        <w:pStyle w:val="Heading 3"/>
        <w:keepLines w:val="on"/>
      </w:pPr>
      <w:r>
        <w:t>Tăng trưởng của thu nhập từ hoạt động kinh doanh (Operating Income)</w:t>
      </w:r>
      <w:bookmarkEnd w:id="2021"/>
      <w:bookmarkEnd w:id="2022"/>
    </w:p>
    <w:p>
      <w:pPr>
        <w:pStyle w:val="Para 03"/>
      </w:pPr>
      <w:r>
        <w:t>Cũng giống như tăng trưởng thu nhập từ vốn chủ sở hữu được quyết định bởi phần vốn chủ sở hữu được tái đầu tư trở lại vào hoạt động kinh doanh và tỷ suất sinh lời thu được từ khoản đầu tư vốn chủ sở hữu đó, bạn có thể liên hệ tăng trưởng của thu nhập từ hoạt động kinh doanh với tổng mức tái đầu tư vào công ty và tỷ suất sinh lời thu được trên vốn đã đầu tư.</w:t>
      </w:r>
    </w:p>
    <w:p>
      <w:pPr>
        <w:pStyle w:val="Para 03"/>
      </w:pPr>
      <w:r>
        <w:t>Trong phần này, chúng ta sẽ xem xét ba tình huống riêng biệt và cách ước tính tăng trưởng trong từng tình huống. Tình huống thứ nhất là khi một công ty đang đạt được tỷ suất sinh lời trên vốn cao và kỳ vọng duy trì được mức đó theo thời gian. Tình huống thứ hai là khi một công ty đang đạt được tỷ suất sinh lời trên vốn dương và kỳ vọng mức này sẽ tăng lên theo thời gian. Tình huống thứ ba là tình huống tổng quát nhất, khi một công ty kỳ vọng biên lợi nhuận hoạt động sẽ thay đổi theo thời gian, đôi khi từ giá trị âm lên mức dương.</w:t>
      </w:r>
    </w:p>
    <w:p>
      <w:pPr>
        <w:pStyle w:val="Para 20"/>
      </w:pPr>
      <w:r>
        <w:rPr>
          <w:rStyle w:val="Text26"/>
        </w:rPr>
        <w:bookmarkStart w:id="2023" w:name="Page_318"/>
        <w:t/>
        <w:bookmarkEnd w:id="2023"/>
      </w:r>
      <w:r>
        <w:t xml:space="preserve"> </w:t>
      </w:r>
    </w:p>
    <w:p>
      <w:bookmarkStart w:id="2024" w:name="Stable_Return_on_Capital_Scenari_1"/>
      <w:bookmarkStart w:id="2025" w:name="Stable_Return_on_Capital_Scenari"/>
      <w:pPr>
        <w:keepNext/>
        <w:pStyle w:val="Heading 4"/>
        <w:keepLines w:val="on"/>
      </w:pPr>
      <w:r>
        <w:t>Tình huống tỷ suất sinh lời trên vốn ổn định</w:t>
      </w:r>
      <w:bookmarkEnd w:id="2024"/>
      <w:bookmarkEnd w:id="2025"/>
    </w:p>
    <w:p>
      <w:pPr>
        <w:pStyle w:val="Para 03"/>
      </w:pPr>
      <w:r>
        <w:t>Khi một công ty có tỷ suất sinh lời trên vốn ổn định, tốc độ tăng trưởng kỳ vọng của thu nhập từ hoạt động kinh doanh là tích của tỷ lệ tái đầu tư (reinvestment rate) — tức tỷ lệ phần thu nhập từ hoạt động kinh doanh sau thuế được đầu tư vào chi tiêu vốn ròng và vốn lưu động phi tiền mặt — và chất lượng của những khoản tái đầu tư này, được đo bằng tỷ suất sinh lời trên vốn đã đầu tư.</w:t>
      </w:r>
    </w:p>
    <w:p>
      <w:bookmarkStart w:id="2026" w:name="Expected_growthEBIT__Reinvestmen"/>
      <w:pPr>
        <w:pStyle w:val="Para 39"/>
      </w:pPr>
      <w:r>
        <w:t>Tăng trưởng kỳ vọng của EBIT = Tỷ lệ tái đầu tư × Tỷ suất sinh lời trên vốn đã đầu tư
trong đó
Tỷ lệ tái đầu tư = (Chi tiêu vốn − Khấu hao + Thay đổi vốn lưu động phi tiền mặt) / EBIT (1−t)
Tỷ suất sinh lời trên vốn đã đầu tư = EBIT (1−t) / (Giá trị sổ sách của vốn chủ sở hữu + Giá trị sổ sách của nợ − Tiền mặt)</w:t>
      </w:r>
      <w:bookmarkEnd w:id="2026"/>
    </w:p>
    <w:p>
      <w:pPr>
        <w:pStyle w:val="Para 03"/>
      </w:pPr>
      <w:r>
        <w:t>Cả hai chỉ số — tỷ lệ tái đầu tư và tỷ suất sinh lời trên vốn — đều nên hướng về tương lai, và tỷ suất sinh lời trên vốn đã đầu tư nên đại diện cho tỷ suất sinh lời kỳ vọng trên vốn của các khoản đầu tư trong tương lai. Trong phần còn lại của mục này, chúng ta sẽ xem xét cách ước tính tỷ lệ tái đầu tư và tỷ suất sinh lời trên vốn một cách tốt nhất.</w:t>
      </w:r>
    </w:p>
    <w:p>
      <w:bookmarkStart w:id="2027" w:name="Reinvestment_Rate__The_reinvestm"/>
      <w:pPr>
        <w:pStyle w:val="Para 21"/>
      </w:pPr>
      <w:r>
        <w:t>Tỷ lệ tái đầu tư</w:t>
      </w:r>
      <w:bookmarkEnd w:id="2027"/>
    </w:p>
    <w:p>
      <w:pPr>
        <w:pStyle w:val="Para 03"/>
      </w:pPr>
      <w:r>
        <w:t>Tỷ lệ tái đầu tư đo lường mức độ một công ty đang tái đầu tư trở lại để tạo ra tăng trưởng trong tương lai. Tỷ lệ tái đầu tư thường được đo lường bằng cách sử dụng báo cáo tài chính gần nhất của công ty. Mặc dù đây là một điểm khởi đầu tốt, nhưng nó không nhất thiết là ước tính tốt nhất cho tỷ lệ tái đầu tư trong tương lai. Tỷ lệ tái đầu tư của một công ty có thể lên xuống thất thường, đặc biệt ở những công ty chỉ đầu tư vào một số ít dự án lớn hoặc các thương vụ mua lại. Với những công ty này, việc xem xét tỷ lệ tái đầu tư bình quân theo thời gian có thể là một thước đo tốt hơn cho tương lai. Ngoài ra, khi các công ty tăng trưởng và trưởng thành, nhu cầu (và tỷ lệ) tái đầu tư của họ có xu hướng giảm đi. Với những công ty đã mở rộng đáng kể trong vài năm qua, tỷ lệ tái đầu tư trong quá khứ có khả năng cao hơn tỷ lệ tái đầu tư kỳ vọng trong tương lai. Với những công ty này, tỷ lệ tái đầu tư bình quân của ngành có thể cho thấy bức tranh tương lai tốt hơn so với việc dùng các con số từ quá khứ. Cuối cùng, điều quan trọng là chúng ta phải tiếp tục xử lý chi phí R&amp;D và chi phí thuê hoạt động (operating lease) một cách nhất quán. Đặc biệt, chi phí R&amp;D cần được phân loại như một phần của chi tiêu vốn nhằm mục đích đo lường tỷ lệ tái đầu tư.</w:t>
      </w:r>
    </w:p>
    <w:p>
      <w:bookmarkStart w:id="2029" w:name="Return_on_Capital__The_return_on"/>
      <w:pPr>
        <w:pStyle w:val="Para 21"/>
      </w:pPr>
      <w:r>
        <w:t>Tỷ suất sinh lời trên vốn</w:t>
      </w:r>
      <w:bookmarkEnd w:id="2029"/>
    </w:p>
    <w:p>
      <w:pPr>
        <w:pStyle w:val="Para 03"/>
      </w:pPr>
      <w:r>
        <w:t>Tỷ suất sinh lời trên vốn thường được dựa trên tỷ suất sinh lời trên vốn của công ty đối với các khoản đầu tư hiện hữu, trong đó giá trị sổ sách của vốn được giả định là đo lường vốn đã đầu tư vào những khoản đầu tư này. Một cách ngầm định, chúng ta giả định rằng tỷ suất sinh lời trên vốn theo kế toán hiện tại là một thước đo tốt cho tỷ suất sinh lời thực sự thu được từ các khoản đầu tư hiện hữu, và rằng tỷ suất sinh lời này là một đại diện tốt cho tỷ suất sinh lời sẽ thu được từ các khoản đầu tư trong tương lai. Tất nhiên, giả định này có thể bị đặt dấu hỏi vì những lý do sau:</w:t>
      </w:r>
    </w:p>
    <w:p>
      <w:pPr>
        <w:numPr>
          <w:ilvl w:val="0"/>
          <w:numId w:val="99"/>
        </w:numPr>
        <w:pStyle w:val="Para 01"/>
      </w:pPr>
      <w:r>
        <w:t>Giá trị sổ sách của vốn có thể không phải là một thước đo tốt cho vốn đã đầu tư vào các khoản đầu tư hiện hữu, vì nó phản ánh nguyên giá lịch sử của những tài sản này và các quyết định kế toán về khấu hao. Khi giá trị sổ sách đánh giá thấp vốn đã đầu tư, tỷ suất sinh lời trên vốn sẽ bị thổi phồng; khi giá trị sổ sách đánh giá cao vốn đã đầu tư, tỷ suất sinh lời trên vốn sẽ bị hạ thấp. Vấn đề này càng trầm trọng hơn nếu giá trị sổ sách của vốn không được điều chỉnh để phản ánh giá trị của tài sản nghiên cứu hoặc giá trị vốn của các hợp đồng thuê hoạt động.</w:t>
      </w:r>
    </w:p>
    <w:p>
      <w:pPr>
        <w:numPr>
          <w:ilvl w:val="0"/>
          <w:numId w:val="99"/>
        </w:numPr>
        <w:pStyle w:val="Para 01"/>
      </w:pPr>
      <w:r>
        <w:t>Thu nhập từ hoạt động kinh doanh, cũng giống như giá trị sổ sách của vốn, là một thước đo kế toán cho thu nhập mà một công ty tạo ra trong một kỳ. Tất cả những vấn đề khi sử dụng thu nhập từ hoạt động kinh doanh chưa điều chỉnh đã được trình bày trong Chương 9 vẫn còn nguyên giá trị.</w:t>
      </w:r>
    </w:p>
    <w:p>
      <w:pPr>
        <w:numPr>
          <w:ilvl w:val="0"/>
          <w:numId w:val="99"/>
        </w:numPr>
        <w:pStyle w:val="Para 01"/>
      </w:pPr>
      <w:r>
        <w:t>Ngay cả khi thu nhập hoạt động (operating income) và giá trị sổ sách của vốn (book value of capital) được đo lường chính xác, tỷ suất sinh lời trên vốn (return on capital) của các khoản đầu tư hiện hữu vẫn có thể không bằng tỷ suất sinh lời biên (marginal return on capital) mà doanh nghiệp kỳ vọng đạt được từ các khoản đầu tư mới, đặc biệt là khi bạn nhìn xa hơn vào tương lai.</w:t>
      </w:r>
    </w:p>
    <w:p>
      <w:pPr>
        <w:pStyle w:val="Para 03"/>
      </w:pPr>
      <w:r>
        <w:t>Những lo ngại của chúng ta về tỷ suất sinh lời trên vốn đầu tư (return on invested capital) được thể hiện trong Hình 11.3 dưới đây:</w:t>
      </w:r>
    </w:p>
    <w:p>
      <w:bookmarkStart w:id="2033" w:name="Figure_11_3_Return_on_Invested_C"/>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320800"/>
            <wp:effectExtent l="0" r="0" t="0" b="0"/>
            <wp:wrapTopAndBottom/>
            <wp:docPr id="100" name="c11f002.png" descr="Illustration depicts the firm’s return on invested capital and its concerns corresponding to the industries average."/>
            <wp:cNvGraphicFramePr>
              <a:graphicFrameLocks noChangeAspect="1"/>
            </wp:cNvGraphicFramePr>
            <a:graphic>
              <a:graphicData uri="http://schemas.openxmlformats.org/drawingml/2006/picture">
                <pic:pic>
                  <pic:nvPicPr>
                    <pic:cNvPr id="0" name="c11f002.png" descr="Illustration depicts the firm’s return on invested capital and its concerns corresponding to the industries average."/>
                    <pic:cNvPicPr/>
                  </pic:nvPicPr>
                  <pic:blipFill>
                    <a:blip r:embed="rId78"/>
                    <a:stretch>
                      <a:fillRect/>
                    </a:stretch>
                  </pic:blipFill>
                  <pic:spPr>
                    <a:xfrm>
                      <a:off x="0" y="0"/>
                      <a:ext cx="2438400" cy="1320800"/>
                    </a:xfrm>
                    <a:prstGeom prst="rect">
                      <a:avLst/>
                    </a:prstGeom>
                  </pic:spPr>
                </pic:pic>
              </a:graphicData>
            </a:graphic>
          </wp:anchor>
        </w:drawing>
      </w:r>
      <w:bookmarkEnd w:id="2033"/>
    </w:p>
    <w:p>
      <w:pPr>
        <w:keepNext/>
        <w:pStyle w:val="Para 22"/>
        <w:keepLines w:val="on"/>
      </w:pPr>
      <w:r>
        <w:t>Hình 11.3 Tỷ suất sinh lời trên vốn đầu tư</w:t>
      </w:r>
    </w:p>
    <w:p>
      <w:pPr>
        <w:pStyle w:val="Para 03"/>
      </w:pPr>
      <w:r>
        <w:t>Trước những lo ngại này, chúng ta không chỉ nên xem xét tỷ suất sinh lời trên vốn hiện tại của doanh nghiệp, mà còn cả xu hướng của tỷ suất này cũng như tỷ suất sinh lời trên vốn trung bình của ngành. Nếu tỷ suất sinh lời trên vốn hiện tại của một doanh nghiệp cao hơn đáng kể so với mức trung bình của ngành, thì tỷ suất sinh lời trên vốn dự báo nên được đặt thấp hơn mức hiện tại để phản ánh sự xói mòn có khả năng xảy ra khi các đối thủ cạnh tranh phản ứng lại.</w:t>
      </w:r>
    </w:p>
    <w:p>
      <w:pPr>
        <w:pStyle w:val="Para 03"/>
      </w:pPr>
      <w:r>
        <w:t>Cuối cùng, bất kỳ doanh nghiệp nào có tỷ suất sinh lời trên vốn lớn hơn chi phí vốn (cost of capital) đều đang tạo ra lợi nhuận vượt trội (excess return). Lợi nhuận vượt trội là kết quả của lợi thế cạnh tranh hoặc rào cản gia nhập ngành của doanh nghiệp. Lợi nhuận vượt trội cao được duy trì trong thời gian rất dài ngụ ý rằng doanh nghiệp này có lợi thế cạnh tranh vĩnh viễn.</w:t>
      </w:r>
    </w:p>
    <w:p>
      <w:pPr>
        <w:pStyle w:val="Para 20"/>
      </w:pPr>
      <w:r>
        <w:rPr>
          <w:rStyle w:val="Text26"/>
        </w:rPr>
        <w:bookmarkStart w:id="2034" w:name="Page_320"/>
        <w:t/>
        <w:bookmarkEnd w:id="2034"/>
      </w:r>
      <w:r>
        <w:t xml:space="preserve"> </w:t>
      </w:r>
    </w:p>
    <w:p>
      <w:pPr>
        <w:pStyle w:val="Para 11"/>
      </w:pPr>
      <w:r>
        <w:t/>
        <w:t xml:space="preserve"> </w:t>
      </w:r>
    </w:p>
    <w:p>
      <w:bookmarkStart w:id="2035" w:name="ILLUSTRATION_11_9__Measuring_the_1"/>
      <w:bookmarkStart w:id="2036" w:name="ILLUSTRATION_11_9__Measuring_the"/>
      <w:pPr>
        <w:keepNext/>
        <w:pStyle w:val="Para 19"/>
        <w:keepLines w:val="on"/>
      </w:pPr>
      <w:r>
        <w:t>MINH HỌA 11.9: Đo lường tỷ lệ tái đầu tư, tỷ suất sinh lời trên vốn và tốc độ tăng trưởng kỳ vọng: Tata Motors năm 2010</w:t>
      </w:r>
      <w:bookmarkEnd w:id="2035"/>
      <w:bookmarkEnd w:id="2036"/>
    </w:p>
    <w:p>
      <w:pPr>
        <w:pStyle w:val="Para 04"/>
        <w:keepLines w:val="on"/>
      </w:pPr>
      <w:r>
        <w:t>Vào tháng 5 năm 2010, chúng tôi đã xem xét Tata Motors, một công ty ô tô Ấn Độ đã rất tích cực theo đuổi tăng trưởng thông qua cả đầu tư nội bộ lẫn mua bán sáp nhập trong phần lớn thập kỷ qua. Dựa trên báo cáo tài chính năm 2009 của công ty, chúng tôi ước tính tỷ lệ tái đầu tư là 116,83% và tỷ suất sinh lời trên vốn là 11,81%:</w:t>
      </w:r>
    </w:p>
    <w:p>
      <w:bookmarkStart w:id="2038" w:name="Reinvestment_rateTata_Motors__Ca"/>
      <w:pPr>
        <w:keepNext/>
        <w:pStyle w:val="Para 07"/>
        <w:keepLines w:val="on"/>
      </w:pPr>
      <w:r>
        <w:t>Tỷ lệ tái đầu tư của Tata Motors=(Chi đầu tư vốn − Khấu hao + Thay đổi vốn lưu động phi tiền mặt)EBIT (1−t)=(₹40.291−25.072+957)₹17.527 (1−0,21)=116,83%</w:t>
      </w:r>
      <w:bookmarkEnd w:id="2038"/>
    </w:p>
    <w:p>
      <w:bookmarkStart w:id="2039" w:name="Return_on_Invested_CapitalTata_M"/>
      <w:pPr>
        <w:keepNext/>
        <w:pStyle w:val="Para 07"/>
        <w:keepLines w:val="on"/>
      </w:pPr>
      <w:r>
        <w:t>Tỷ suất sinh lời trên vốn đầu tư của Tata Motors=EBIT (1−t)(Giá trị sổ sách của vốn chủ sở hữu + Giá trị sổ sách của nợ − Tiền mặt) =₹17.527 (1−0,21)(₹78.935+62.805−23.973)=11,81%</w:t>
      </w:r>
      <w:bookmarkEnd w:id="2039"/>
    </w:p>
    <w:p>
      <w:pPr>
        <w:pStyle w:val="Para 04"/>
        <w:keepLines w:val="on"/>
      </w:pPr>
      <w:r>
        <w:t>Lưu ý rằng thuế suất thực tế (21%) đã được sử dụng để tính thu nhập hoạt động sau thuế cho cả tỷ lệ tái đầu tư lẫn tỷ suất sinh lời trên vốn. Vốn đầu tư được tính bằng cách cộng giá trị sổ sách của nợ và vốn chủ sở hữu vào cuối năm tài chính 2008 (đầu năm tài chính 2009), rồi trừ đi tiền mặt và chứng khoán thị trường tại thời điểm đó.</w:t>
      </w:r>
    </w:p>
    <w:p>
      <w:pPr>
        <w:pStyle w:val="Para 04"/>
        <w:keepLines w:val="on"/>
      </w:pPr>
      <w:r>
        <w:t>Nếu Tata Motors có thể duy trì tỷ suất sinh lời trên vốn và tỷ lệ tái đầu tư này trong tương lai, thì tốc độ tăng trưởng kỳ vọng của công ty sẽ là:</w:t>
      </w:r>
    </w:p>
    <w:p>
      <w:bookmarkStart w:id="2040" w:name="Expected_growth_rate_Reinvestmen"/>
      <w:pPr>
        <w:keepNext/>
        <w:pStyle w:val="Para 07"/>
        <w:keepLines w:val="on"/>
      </w:pPr>
      <w:r>
        <w:t>Tốc độ tăng trưởng kỳ vọng=Tỷ lệ tái đầu tư×Tỷ suất sinh lời trên vốn đầu tư=116,83%×11,81%=13,80%</w:t>
      </w:r>
      <w:bookmarkEnd w:id="2040"/>
    </w:p>
    <w:p>
      <w:pPr>
        <w:pStyle w:val="Para 04"/>
        <w:keepLines w:val="on"/>
      </w:pPr>
      <w:r>
        <w:t>Như chúng ta sẽ thấy trong minh họa tiếp theo, việc duy trì mức tái đầu tư này trong tương lai có thể sẽ rất khó thực hiện.</w:t>
      </w:r>
    </w:p>
    <w:p>
      <w:pPr>
        <w:pStyle w:val="Para 11"/>
      </w:pPr>
      <w:r>
        <w:t/>
        <w:t xml:space="preserve"> </w:t>
      </w:r>
    </w:p>
    <w:p>
      <w:bookmarkStart w:id="2041" w:name="ILLUSTRATION_11_10__Current_and_1"/>
      <w:bookmarkStart w:id="2042" w:name="ILLUSTRATION_11_10__Current_and"/>
      <w:pPr>
        <w:keepNext/>
        <w:pStyle w:val="Para 19"/>
        <w:keepLines w:val="on"/>
      </w:pPr>
      <w:r>
        <w:t>MINH HỌA 11.10: Mức hiện tại và trung bình lịch sử: Tỷ lệ tái đầu tư và tỷ suất sinh lời trên vốn của Tata Motors</w:t>
      </w:r>
      <w:bookmarkEnd w:id="2041"/>
      <w:bookmarkEnd w:id="2042"/>
    </w:p>
    <w:p>
      <w:pPr>
        <w:pStyle w:val="Para 04"/>
        <w:keepLines w:val="on"/>
      </w:pPr>
      <w:r>
        <w:t>Tata Motors có một lịch sử đầy biến động cả về tái đầu tư lẫn tỷ suất sinh lời trên vốn. Mặc dù các con số năm 2009 đã được tính trong minh họa trước, những giá trị đó đã liên tục thay đổi trong năm năm qua. Chúng tôi tóm tắt các con số (tính bằng triệu rupee) từ năm 2005 đến 2009, với tổng hợp ở cột cuối cùng:</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2005</w:t>
                  </w:r>
                </w:p>
              </w:tc>
              <w:tc>
                <w:tcPr>
                  <w:tcW w:type="auto" w:w="0"/>
                  <w:shd w:val="clear" w:color="auto" w:fill="F0F0F0"/>
                </w:tcPr>
                <w:p>
                  <w:pPr>
                    <w:pStyle w:val="Para 05"/>
                    <w:keepLines w:val="on"/>
                  </w:pPr>
                  <w:r>
                    <w:t>2006</w:t>
                  </w:r>
                </w:p>
              </w:tc>
              <w:tc>
                <w:tcPr>
                  <w:tcW w:type="auto" w:w="0"/>
                  <w:shd w:val="clear" w:color="auto" w:fill="F0F0F0"/>
                </w:tcPr>
                <w:p>
                  <w:pPr>
                    <w:pStyle w:val="Para 05"/>
                    <w:keepLines w:val="on"/>
                  </w:pPr>
                  <w:r>
                    <w:t>2007</w:t>
                  </w:r>
                </w:p>
              </w:tc>
              <w:tc>
                <w:tcPr>
                  <w:tcW w:type="auto" w:w="0"/>
                  <w:shd w:val="clear" w:color="auto" w:fill="F0F0F0"/>
                </w:tcPr>
                <w:p>
                  <w:pPr>
                    <w:pStyle w:val="Para 05"/>
                    <w:keepLines w:val="on"/>
                  </w:pPr>
                  <w:r>
                    <w:t>2008</w:t>
                  </w:r>
                </w:p>
              </w:tc>
              <w:tc>
                <w:tcPr>
                  <w:tcW w:type="auto" w:w="0"/>
                  <w:shd w:val="clear" w:color="auto" w:fill="F0F0F0"/>
                </w:tcPr>
                <w:p>
                  <w:pPr>
                    <w:pStyle w:val="Para 05"/>
                    <w:keepLines w:val="on"/>
                  </w:pPr>
                  <w:r>
                    <w:t>2009</w:t>
                  </w:r>
                </w:p>
              </w:tc>
              <w:tc>
                <w:tcPr>
                  <w:tcW w:type="auto" w:w="0"/>
                  <w:shd w:val="clear" w:color="auto" w:fill="F0F0F0"/>
                </w:tcPr>
                <w:p>
                  <w:pPr>
                    <w:pStyle w:val="Para 05"/>
                    <w:keepLines w:val="on"/>
                  </w:pPr>
                  <w:r>
                    <w:t>Tổng hợp</w:t>
                  </w:r>
                </w:p>
              </w:tc>
            </w:tr>
            <w:tr>
              <w:tc>
                <w:tcPr>
                  <w:tcW w:type="auto" w:w="0"/>
                  <w:shd w:val="clear" w:color="auto" w:fill="F0F0F0"/>
                </w:tcPr>
                <w:p>
                  <w:pPr>
                    <w:pStyle w:val="Para 02"/>
                    <w:keepLines w:val="on"/>
                  </w:pPr>
                  <w:r>
                    <w:t>EBIT (1–t)</w:t>
                  </w:r>
                </w:p>
              </w:tc>
              <w:tc>
                <w:tcPr>
                  <w:tcW w:type="auto" w:w="0"/>
                  <w:shd w:val="clear" w:color="auto" w:fill="F0F0F0"/>
                </w:tcPr>
                <w:p>
                  <w:pPr>
                    <w:pStyle w:val="Normal"/>
                    <w:keepLines w:val="on"/>
                  </w:pPr>
                  <w:r>
                    <w:t>₹12.197</w:t>
                  </w:r>
                </w:p>
              </w:tc>
              <w:tc>
                <w:tcPr>
                  <w:tcW w:type="auto" w:w="0"/>
                  <w:shd w:val="clear" w:color="auto" w:fill="F0F0F0"/>
                </w:tcPr>
                <w:p>
                  <w:pPr>
                    <w:pStyle w:val="Normal"/>
                    <w:keepLines w:val="on"/>
                  </w:pPr>
                  <w:r>
                    <w:t>₹12.322</w:t>
                  </w:r>
                </w:p>
              </w:tc>
              <w:tc>
                <w:tcPr>
                  <w:tcW w:type="auto" w:w="0"/>
                  <w:shd w:val="clear" w:color="auto" w:fill="F0F0F0"/>
                </w:tcPr>
                <w:p>
                  <w:pPr>
                    <w:pStyle w:val="Normal"/>
                    <w:keepLines w:val="on"/>
                  </w:pPr>
                  <w:r>
                    <w:t>₹25.203</w:t>
                  </w:r>
                </w:p>
              </w:tc>
              <w:tc>
                <w:tcPr>
                  <w:tcW w:type="auto" w:w="0"/>
                  <w:shd w:val="clear" w:color="auto" w:fill="F0F0F0"/>
                </w:tcPr>
                <w:p>
                  <w:pPr>
                    <w:pStyle w:val="Normal"/>
                    <w:keepLines w:val="on"/>
                  </w:pPr>
                  <w:r>
                    <w:t>₹15,160</w:t>
                  </w:r>
                </w:p>
              </w:tc>
              <w:tc>
                <w:tcPr>
                  <w:tcW w:type="auto" w:w="0"/>
                  <w:shd w:val="clear" w:color="auto" w:fill="F0F0F0"/>
                </w:tcPr>
                <w:p>
                  <w:pPr>
                    <w:pStyle w:val="Normal"/>
                    <w:keepLines w:val="on"/>
                  </w:pPr>
                  <w:r>
                    <w:t>₹13,846</w:t>
                  </w:r>
                </w:p>
              </w:tc>
              <w:tc>
                <w:tcPr>
                  <w:tcW w:type="auto" w:w="0"/>
                  <w:shd w:val="clear" w:color="auto" w:fill="F0F0F0"/>
                </w:tcPr>
                <w:p>
                  <w:pPr>
                    <w:pStyle w:val="Normal"/>
                    <w:keepLines w:val="on"/>
                  </w:pPr>
                  <w:r>
                    <w:t>₹78,728</w:t>
                  </w:r>
                </w:p>
              </w:tc>
            </w:tr>
            <w:tr>
              <w:tc>
                <w:tcPr>
                  <w:tcW w:type="auto" w:w="0"/>
                  <w:shd w:val="clear" w:color="auto" w:fill="F0F0F0"/>
                </w:tcPr>
                <w:p>
                  <w:pPr>
                    <w:pStyle w:val="Para 02"/>
                    <w:keepLines w:val="on"/>
                  </w:pPr>
                  <w:r>
                    <w:t>Chi tiêu vốn (Capital Expenditures)</w:t>
                  </w:r>
                </w:p>
              </w:tc>
              <w:tc>
                <w:tcPr>
                  <w:tcW w:type="auto" w:w="0"/>
                  <w:shd w:val="clear" w:color="auto" w:fill="F0F0F0"/>
                </w:tcPr>
                <w:p>
                  <w:pPr>
                    <w:pStyle w:val="Normal"/>
                    <w:keepLines w:val="on"/>
                  </w:pPr>
                  <w:r>
                    <w:t>₹8,175</w:t>
                  </w:r>
                </w:p>
              </w:tc>
              <w:tc>
                <w:tcPr>
                  <w:tcW w:type="auto" w:w="0"/>
                  <w:shd w:val="clear" w:color="auto" w:fill="F0F0F0"/>
                </w:tcPr>
                <w:p>
                  <w:pPr>
                    <w:pStyle w:val="Normal"/>
                    <w:keepLines w:val="on"/>
                  </w:pPr>
                  <w:r>
                    <w:t>₹11,235</w:t>
                  </w:r>
                </w:p>
              </w:tc>
              <w:tc>
                <w:tcPr>
                  <w:tcW w:type="auto" w:w="0"/>
                  <w:shd w:val="clear" w:color="auto" w:fill="F0F0F0"/>
                </w:tcPr>
                <w:p>
                  <w:pPr>
                    <w:pStyle w:val="Normal"/>
                    <w:keepLines w:val="on"/>
                  </w:pPr>
                  <w:r>
                    <w:t>₹24,612</w:t>
                  </w:r>
                </w:p>
              </w:tc>
              <w:tc>
                <w:tcPr>
                  <w:tcW w:type="auto" w:w="0"/>
                  <w:shd w:val="clear" w:color="auto" w:fill="F0F0F0"/>
                </w:tcPr>
                <w:p>
                  <w:pPr>
                    <w:pStyle w:val="Normal"/>
                    <w:keepLines w:val="on"/>
                  </w:pPr>
                  <w:r>
                    <w:t>₹44,113</w:t>
                  </w:r>
                </w:p>
              </w:tc>
              <w:tc>
                <w:tcPr>
                  <w:tcW w:type="auto" w:w="0"/>
                  <w:shd w:val="clear" w:color="auto" w:fill="F0F0F0"/>
                </w:tcPr>
                <w:p>
                  <w:pPr>
                    <w:pStyle w:val="Normal"/>
                    <w:keepLines w:val="on"/>
                  </w:pPr>
                  <w:r>
                    <w:t>₹40,291</w:t>
                  </w:r>
                </w:p>
              </w:tc>
              <w:tc>
                <w:tcPr>
                  <w:tcW w:type="auto" w:w="0"/>
                  <w:shd w:val="clear" w:color="auto" w:fill="F0F0F0"/>
                </w:tcPr>
                <w:p>
                  <w:pPr>
                    <w:pStyle w:val="Normal"/>
                    <w:keepLines w:val="on"/>
                  </w:pPr>
                  <w:r>
                    <w:t>₹120,251</w:t>
                  </w:r>
                </w:p>
              </w:tc>
            </w:tr>
            <w:tr>
              <w:tc>
                <w:tcPr>
                  <w:tcW w:type="auto" w:w="0"/>
                  <w:shd w:val="clear" w:color="auto" w:fill="F0F0F0"/>
                </w:tcPr>
                <w:p>
                  <w:pPr>
                    <w:pStyle w:val="Para 02"/>
                    <w:keepLines w:val="on"/>
                  </w:pPr>
                  <w:r>
                    <w:t>Khấu hao (Depreciation)</w:t>
                  </w:r>
                </w:p>
              </w:tc>
              <w:tc>
                <w:tcPr>
                  <w:tcW w:type="auto" w:w="0"/>
                  <w:shd w:val="clear" w:color="auto" w:fill="F0F0F0"/>
                </w:tcPr>
                <w:p>
                  <w:pPr>
                    <w:pStyle w:val="Normal"/>
                    <w:keepLines w:val="on"/>
                  </w:pPr>
                  <w:r>
                    <w:t>₹5,377</w:t>
                  </w:r>
                </w:p>
              </w:tc>
              <w:tc>
                <w:tcPr>
                  <w:tcW w:type="auto" w:w="0"/>
                  <w:shd w:val="clear" w:color="auto" w:fill="F0F0F0"/>
                </w:tcPr>
                <w:p>
                  <w:pPr>
                    <w:pStyle w:val="Normal"/>
                    <w:keepLines w:val="on"/>
                  </w:pPr>
                  <w:r>
                    <w:t>₹6,274</w:t>
                  </w:r>
                </w:p>
              </w:tc>
              <w:tc>
                <w:tcPr>
                  <w:tcW w:type="auto" w:w="0"/>
                  <w:shd w:val="clear" w:color="auto" w:fill="F0F0F0"/>
                </w:tcPr>
                <w:p>
                  <w:pPr>
                    <w:pStyle w:val="Normal"/>
                    <w:keepLines w:val="on"/>
                  </w:pPr>
                  <w:r>
                    <w:t>₹6,850</w:t>
                  </w:r>
                </w:p>
              </w:tc>
              <w:tc>
                <w:tcPr>
                  <w:tcW w:type="auto" w:w="0"/>
                  <w:shd w:val="clear" w:color="auto" w:fill="F0F0F0"/>
                </w:tcPr>
                <w:p>
                  <w:pPr>
                    <w:pStyle w:val="Normal"/>
                    <w:keepLines w:val="on"/>
                  </w:pPr>
                  <w:r>
                    <w:t>₹7,826</w:t>
                  </w:r>
                </w:p>
              </w:tc>
              <w:tc>
                <w:tcPr>
                  <w:tcW w:type="auto" w:w="0"/>
                  <w:shd w:val="clear" w:color="auto" w:fill="F0F0F0"/>
                </w:tcPr>
                <w:p>
                  <w:pPr>
                    <w:pStyle w:val="Normal"/>
                    <w:keepLines w:val="on"/>
                  </w:pPr>
                  <w:r>
                    <w:t>₹25,072</w:t>
                  </w:r>
                </w:p>
              </w:tc>
              <w:tc>
                <w:tcPr>
                  <w:tcW w:type="auto" w:w="0"/>
                  <w:shd w:val="clear" w:color="auto" w:fill="F0F0F0"/>
                </w:tcPr>
                <w:p>
                  <w:pPr>
                    <w:pStyle w:val="Normal"/>
                    <w:keepLines w:val="on"/>
                  </w:pPr>
                  <w:r>
                    <w:t>₹46,022</w:t>
                  </w:r>
                </w:p>
              </w:tc>
            </w:tr>
            <w:tr>
              <w:tc>
                <w:tcPr>
                  <w:tcW w:type="auto" w:w="0"/>
                  <w:shd w:val="clear" w:color="auto" w:fill="F0F0F0"/>
                </w:tcPr>
                <w:p>
                  <w:pPr>
                    <w:pStyle w:val="Para 02"/>
                    <w:keepLines w:val="on"/>
                  </w:pPr>
                  <w:r>
                    <w:t>Thay đổi vốn lưu động (Change in WC)</w:t>
                  </w:r>
                </w:p>
              </w:tc>
              <w:tc>
                <w:tcPr>
                  <w:tcW w:type="auto" w:w="0"/>
                  <w:shd w:val="clear" w:color="auto" w:fill="F0F0F0"/>
                </w:tcPr>
                <w:p>
                  <w:pPr>
                    <w:pStyle w:val="Normal"/>
                    <w:keepLines w:val="on"/>
                  </w:pPr>
                  <w:r>
                    <w:t>₹4,410</w:t>
                  </w:r>
                </w:p>
              </w:tc>
              <w:tc>
                <w:tcPr>
                  <w:tcW w:type="auto" w:w="0"/>
                  <w:shd w:val="clear" w:color="auto" w:fill="F0F0F0"/>
                </w:tcPr>
                <w:p>
                  <w:pPr>
                    <w:pStyle w:val="Normal"/>
                    <w:keepLines w:val="on"/>
                  </w:pPr>
                  <w:r>
                    <w:t>₹23,191</w:t>
                  </w:r>
                </w:p>
              </w:tc>
              <w:tc>
                <w:tcPr>
                  <w:tcW w:type="auto" w:w="0"/>
                  <w:shd w:val="clear" w:color="auto" w:fill="F0F0F0"/>
                </w:tcPr>
                <w:p>
                  <w:pPr>
                    <w:pStyle w:val="Normal"/>
                    <w:keepLines w:val="on"/>
                  </w:pPr>
                  <w:r>
                    <w:t>₹4,520</w:t>
                  </w:r>
                </w:p>
              </w:tc>
              <w:tc>
                <w:tcPr>
                  <w:tcW w:type="auto" w:w="0"/>
                  <w:shd w:val="clear" w:color="auto" w:fill="F0F0F0"/>
                </w:tcPr>
                <w:p>
                  <w:pPr>
                    <w:pStyle w:val="Normal"/>
                    <w:keepLines w:val="on"/>
                  </w:pPr>
                  <w:r>
                    <w:t>–₹37,137</w:t>
                  </w:r>
                </w:p>
              </w:tc>
              <w:tc>
                <w:tcPr>
                  <w:tcW w:type="auto" w:w="0"/>
                  <w:shd w:val="clear" w:color="auto" w:fill="F0F0F0"/>
                </w:tcPr>
                <w:p>
                  <w:pPr>
                    <w:pStyle w:val="Normal"/>
                    <w:keepLines w:val="on"/>
                  </w:pPr>
                  <w:r>
                    <w:t>₹957</w:t>
                  </w:r>
                </w:p>
              </w:tc>
              <w:tc>
                <w:tcPr>
                  <w:tcW w:type="auto" w:w="0"/>
                  <w:shd w:val="clear" w:color="auto" w:fill="F0F0F0"/>
                </w:tcPr>
                <w:p>
                  <w:pPr>
                    <w:pStyle w:val="Normal"/>
                    <w:keepLines w:val="on"/>
                  </w:pPr>
                  <w:r>
                    <w:t>–₹8,469</w:t>
                  </w:r>
                </w:p>
              </w:tc>
            </w:tr>
            <w:tr>
              <w:tc>
                <w:tcPr>
                  <w:tcW w:type="auto" w:w="0"/>
                  <w:shd w:val="clear" w:color="auto" w:fill="F0F0F0"/>
                </w:tcPr>
                <w:p>
                  <w:pPr>
                    <w:pStyle w:val="Para 02"/>
                    <w:keepLines w:val="on"/>
                  </w:pPr>
                  <w:r>
                    <w:t>Tái đầu tư (Reinvestment)</w:t>
                  </w:r>
                </w:p>
              </w:tc>
              <w:tc>
                <w:tcPr>
                  <w:tcW w:type="auto" w:w="0"/>
                  <w:shd w:val="clear" w:color="auto" w:fill="F0F0F0"/>
                </w:tcPr>
                <w:p>
                  <w:pPr>
                    <w:pStyle w:val="Normal"/>
                    <w:keepLines w:val="on"/>
                  </w:pPr>
                  <w:r>
                    <w:t>₹7,208</w:t>
                  </w:r>
                </w:p>
              </w:tc>
              <w:tc>
                <w:tcPr>
                  <w:tcW w:type="auto" w:w="0"/>
                  <w:shd w:val="clear" w:color="auto" w:fill="F0F0F0"/>
                </w:tcPr>
                <w:p>
                  <w:pPr>
                    <w:pStyle w:val="Normal"/>
                    <w:keepLines w:val="on"/>
                  </w:pPr>
                  <w:r>
                    <w:t>₹28,152</w:t>
                  </w:r>
                </w:p>
              </w:tc>
              <w:tc>
                <w:tcPr>
                  <w:tcW w:type="auto" w:w="0"/>
                  <w:shd w:val="clear" w:color="auto" w:fill="F0F0F0"/>
                </w:tcPr>
                <w:p>
                  <w:pPr>
                    <w:pStyle w:val="Normal"/>
                    <w:keepLines w:val="on"/>
                  </w:pPr>
                  <w:r>
                    <w:t>₹22,282</w:t>
                  </w:r>
                </w:p>
              </w:tc>
              <w:tc>
                <w:tcPr>
                  <w:tcW w:type="auto" w:w="0"/>
                  <w:shd w:val="clear" w:color="auto" w:fill="F0F0F0"/>
                </w:tcPr>
                <w:p>
                  <w:pPr>
                    <w:pStyle w:val="Normal"/>
                    <w:keepLines w:val="on"/>
                  </w:pPr>
                  <w:r>
                    <w:t>–₹850</w:t>
                  </w:r>
                </w:p>
              </w:tc>
              <w:tc>
                <w:tcPr>
                  <w:tcW w:type="auto" w:w="0"/>
                  <w:shd w:val="clear" w:color="auto" w:fill="F0F0F0"/>
                </w:tcPr>
                <w:p>
                  <w:pPr>
                    <w:pStyle w:val="Normal"/>
                    <w:keepLines w:val="on"/>
                  </w:pPr>
                  <w:r>
                    <w:t>₹16,176</w:t>
                  </w:r>
                </w:p>
              </w:tc>
              <w:tc>
                <w:tcPr>
                  <w:tcW w:type="auto" w:w="0"/>
                  <w:shd w:val="clear" w:color="auto" w:fill="F0F0F0"/>
                </w:tcPr>
                <w:p>
                  <w:pPr>
                    <w:pStyle w:val="Normal"/>
                    <w:keepLines w:val="on"/>
                  </w:pPr>
                  <w:r>
                    <w:t>₹65,760</w:t>
                  </w:r>
                </w:p>
              </w:tc>
            </w:tr>
            <w:tr>
              <w:tc>
                <w:tcPr>
                  <w:tcW w:type="auto" w:w="0"/>
                  <w:shd w:val="clear" w:color="auto" w:fill="F0F0F0"/>
                </w:tcPr>
                <w:p>
                  <w:pPr>
                    <w:pStyle w:val="Para 02"/>
                    <w:keepLines w:val="on"/>
                  </w:pPr>
                  <w:r>
                    <w:t>Tỷ lệ tái đầu tư</w:t>
                  </w:r>
                </w:p>
              </w:tc>
              <w:tc>
                <w:tcPr>
                  <w:tcW w:type="auto" w:w="0"/>
                  <w:shd w:val="clear" w:color="auto" w:fill="F0F0F0"/>
                </w:tcPr>
                <w:p>
                  <w:pPr>
                    <w:pStyle w:val="Normal"/>
                    <w:keepLines w:val="on"/>
                  </w:pPr>
                  <w:r>
                    <w:t>59,10%</w:t>
                  </w:r>
                </w:p>
              </w:tc>
              <w:tc>
                <w:tcPr>
                  <w:tcW w:type="auto" w:w="0"/>
                  <w:shd w:val="clear" w:color="auto" w:fill="F0F0F0"/>
                </w:tcPr>
                <w:p>
                  <w:pPr>
                    <w:pStyle w:val="Normal"/>
                    <w:keepLines w:val="on"/>
                  </w:pPr>
                  <w:r>
                    <w:t>228,46%</w:t>
                  </w:r>
                </w:p>
              </w:tc>
              <w:tc>
                <w:tcPr>
                  <w:tcW w:type="auto" w:w="0"/>
                  <w:shd w:val="clear" w:color="auto" w:fill="F0F0F0"/>
                </w:tcPr>
                <w:p>
                  <w:pPr>
                    <w:pStyle w:val="Normal"/>
                    <w:keepLines w:val="on"/>
                  </w:pPr>
                  <w:r>
                    <w:t>88,41%</w:t>
                  </w:r>
                </w:p>
              </w:tc>
              <w:tc>
                <w:tcPr>
                  <w:tcW w:type="auto" w:w="0"/>
                  <w:shd w:val="clear" w:color="auto" w:fill="F0F0F0"/>
                </w:tcPr>
                <w:p>
                  <w:pPr>
                    <w:pStyle w:val="Normal"/>
                    <w:keepLines w:val="on"/>
                  </w:pPr>
                  <w:r>
                    <w:t>–5,61%</w:t>
                  </w:r>
                </w:p>
              </w:tc>
              <w:tc>
                <w:tcPr>
                  <w:tcW w:type="auto" w:w="0"/>
                  <w:shd w:val="clear" w:color="auto" w:fill="F0F0F0"/>
                </w:tcPr>
                <w:p>
                  <w:pPr>
                    <w:pStyle w:val="Normal"/>
                    <w:keepLines w:val="on"/>
                  </w:pPr>
                  <w:r>
                    <w:t>116,83%</w:t>
                  </w:r>
                </w:p>
              </w:tc>
              <w:tc>
                <w:tcPr>
                  <w:tcW w:type="auto" w:w="0"/>
                  <w:shd w:val="clear" w:color="auto" w:fill="F0F0F0"/>
                </w:tcPr>
                <w:p>
                  <w:pPr>
                    <w:pStyle w:val="Normal"/>
                    <w:keepLines w:val="on"/>
                  </w:pPr>
                  <w:r>
                    <w:t>83,53%</w:t>
                  </w:r>
                </w:p>
              </w:tc>
            </w:tr>
          </w:tbl>
          <w:p/>
        </w:tc>
      </w:tr>
    </w:tbl>
    <w:p>
      <w:pPr>
        <w:pStyle w:val="Para 04"/>
        <w:keepLines w:val="on"/>
      </w:pPr>
      <w:r>
        <w:t>Tỷ lệ tái đầu tư đã dao động trong khoảng từ −5,61% đến 228,46% trong giai đoạn này, nhưng tỷ lệ tái đầu tư tổng hợp trong cả giai đoạn là 83,53%.</w:t>
      </w:r>
    </w:p>
    <w:p>
      <w:pPr>
        <w:pStyle w:val="Para 04"/>
        <w:keepLines w:val="on"/>
      </w:pPr>
      <w:r>
        <w:t>Chúng tôi đã thực hiện một phép tính tương tự với tỷ suất sinh lợi trên vốn (return on capital) trong giai đoạn từ 2005 đến 2009.</w:t>
      </w:r>
    </w:p>
    <w:p>
      <w:pPr>
        <w:pStyle w:val="Para 40"/>
        <w:keepLines w:val="on"/>
      </w:pPr>
      <w:r>
        <w:rPr>
          <w:rStyle w:val="Text26"/>
        </w:rPr>
        <w:bookmarkStart w:id="2044" w:name="Page_321"/>
        <w:t/>
        <w:bookmarkEnd w:id="2044"/>
      </w:r>
      <w:r>
        <w:t xml:space="preserve"> </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2005</w:t>
                  </w:r>
                </w:p>
              </w:tc>
              <w:tc>
                <w:tcPr>
                  <w:tcW w:type="auto" w:w="0"/>
                  <w:shd w:val="clear" w:color="auto" w:fill="F0F0F0"/>
                </w:tcPr>
                <w:p>
                  <w:pPr>
                    <w:pStyle w:val="Para 05"/>
                    <w:keepLines w:val="on"/>
                  </w:pPr>
                  <w:r>
                    <w:t>2006</w:t>
                  </w:r>
                </w:p>
              </w:tc>
              <w:tc>
                <w:tcPr>
                  <w:tcW w:type="auto" w:w="0"/>
                  <w:shd w:val="clear" w:color="auto" w:fill="F0F0F0"/>
                </w:tcPr>
                <w:p>
                  <w:pPr>
                    <w:pStyle w:val="Para 05"/>
                    <w:keepLines w:val="on"/>
                  </w:pPr>
                  <w:r>
                    <w:t>2007</w:t>
                  </w:r>
                </w:p>
              </w:tc>
              <w:tc>
                <w:tcPr>
                  <w:tcW w:type="auto" w:w="0"/>
                  <w:shd w:val="clear" w:color="auto" w:fill="F0F0F0"/>
                </w:tcPr>
                <w:p>
                  <w:pPr>
                    <w:pStyle w:val="Para 05"/>
                    <w:keepLines w:val="on"/>
                  </w:pPr>
                  <w:r>
                    <w:t>2008</w:t>
                  </w:r>
                </w:p>
              </w:tc>
              <w:tc>
                <w:tcPr>
                  <w:tcW w:type="auto" w:w="0"/>
                  <w:shd w:val="clear" w:color="auto" w:fill="F0F0F0"/>
                </w:tcPr>
                <w:p>
                  <w:pPr>
                    <w:pStyle w:val="Para 05"/>
                    <w:keepLines w:val="on"/>
                  </w:pPr>
                  <w:r>
                    <w:t>2009</w:t>
                  </w:r>
                </w:p>
              </w:tc>
              <w:tc>
                <w:tcPr>
                  <w:tcW w:type="auto" w:w="0"/>
                  <w:shd w:val="clear" w:color="auto" w:fill="F0F0F0"/>
                </w:tcPr>
                <w:p>
                  <w:pPr>
                    <w:pStyle w:val="Para 05"/>
                    <w:keepLines w:val="on"/>
                  </w:pPr>
                  <w:r>
                    <w:t>Tổng hợp</w:t>
                  </w:r>
                </w:p>
              </w:tc>
            </w:tr>
            <w:tr>
              <w:tc>
                <w:tcPr>
                  <w:tcW w:type="auto" w:w="0"/>
                  <w:shd w:val="clear" w:color="auto" w:fill="F0F0F0"/>
                </w:tcPr>
                <w:p>
                  <w:pPr>
                    <w:pStyle w:val="Para 02"/>
                    <w:keepLines w:val="on"/>
                  </w:pPr>
                  <w:r>
                    <w:t>EBIT (1–t)</w:t>
                  </w:r>
                </w:p>
              </w:tc>
              <w:tc>
                <w:tcPr>
                  <w:tcW w:type="auto" w:w="0"/>
                  <w:shd w:val="clear" w:color="auto" w:fill="F0F0F0"/>
                </w:tcPr>
                <w:p>
                  <w:pPr>
                    <w:pStyle w:val="Normal"/>
                    <w:keepLines w:val="on"/>
                  </w:pPr>
                  <w:r>
                    <w:t>₹12,197</w:t>
                  </w:r>
                </w:p>
              </w:tc>
              <w:tc>
                <w:tcPr>
                  <w:tcW w:type="auto" w:w="0"/>
                  <w:shd w:val="clear" w:color="auto" w:fill="F0F0F0"/>
                </w:tcPr>
                <w:p>
                  <w:pPr>
                    <w:pStyle w:val="Normal"/>
                    <w:keepLines w:val="on"/>
                  </w:pPr>
                  <w:r>
                    <w:t>₹12,322</w:t>
                  </w:r>
                </w:p>
              </w:tc>
              <w:tc>
                <w:tcPr>
                  <w:tcW w:type="auto" w:w="0"/>
                  <w:shd w:val="clear" w:color="auto" w:fill="F0F0F0"/>
                </w:tcPr>
                <w:p>
                  <w:pPr>
                    <w:pStyle w:val="Normal"/>
                    <w:keepLines w:val="on"/>
                  </w:pPr>
                  <w:r>
                    <w:t>₹25,203</w:t>
                  </w:r>
                </w:p>
              </w:tc>
              <w:tc>
                <w:tcPr>
                  <w:tcW w:type="auto" w:w="0"/>
                  <w:shd w:val="clear" w:color="auto" w:fill="F0F0F0"/>
                </w:tcPr>
                <w:p>
                  <w:pPr>
                    <w:pStyle w:val="Normal"/>
                    <w:keepLines w:val="on"/>
                  </w:pPr>
                  <w:r>
                    <w:t>₹15,160</w:t>
                  </w:r>
                </w:p>
              </w:tc>
              <w:tc>
                <w:tcPr>
                  <w:tcW w:type="auto" w:w="0"/>
                  <w:shd w:val="clear" w:color="auto" w:fill="F0F0F0"/>
                </w:tcPr>
                <w:p>
                  <w:pPr>
                    <w:pStyle w:val="Normal"/>
                    <w:keepLines w:val="on"/>
                  </w:pPr>
                  <w:r>
                    <w:t>₹13,846</w:t>
                  </w:r>
                </w:p>
              </w:tc>
              <w:tc>
                <w:tcPr>
                  <w:tcW w:type="auto" w:w="0"/>
                  <w:shd w:val="clear" w:color="auto" w:fill="F0F0F0"/>
                </w:tcPr>
                <w:p>
                  <w:pPr>
                    <w:pStyle w:val="Normal"/>
                    <w:keepLines w:val="on"/>
                  </w:pPr>
                  <w:r>
                    <w:t>₹78,728</w:t>
                  </w:r>
                </w:p>
              </w:tc>
            </w:tr>
            <w:tr>
              <w:tc>
                <w:tcPr>
                  <w:tcW w:type="auto" w:w="0"/>
                  <w:shd w:val="clear" w:color="auto" w:fill="F0F0F0"/>
                </w:tcPr>
                <w:p>
                  <w:pPr>
                    <w:pStyle w:val="Para 02"/>
                    <w:keepLines w:val="on"/>
                  </w:pPr>
                  <w:r>
                    <w:t>Giá trị sổ sách của nợ (đầu kỳ)</w:t>
                  </w:r>
                </w:p>
              </w:tc>
              <w:tc>
                <w:tcPr>
                  <w:tcW w:type="auto" w:w="0"/>
                  <w:shd w:val="clear" w:color="auto" w:fill="F0F0F0"/>
                </w:tcPr>
                <w:p>
                  <w:pPr>
                    <w:pStyle w:val="Normal"/>
                    <w:keepLines w:val="on"/>
                  </w:pPr>
                  <w:r>
                    <w:t>₹33,621</w:t>
                  </w:r>
                </w:p>
              </w:tc>
              <w:tc>
                <w:tcPr>
                  <w:tcW w:type="auto" w:w="0"/>
                  <w:shd w:val="clear" w:color="auto" w:fill="F0F0F0"/>
                </w:tcPr>
                <w:p>
                  <w:pPr>
                    <w:pStyle w:val="Normal"/>
                    <w:keepLines w:val="on"/>
                  </w:pPr>
                  <w:r>
                    <w:t>₹27,142</w:t>
                  </w:r>
                </w:p>
              </w:tc>
              <w:tc>
                <w:tcPr>
                  <w:tcW w:type="auto" w:w="0"/>
                  <w:shd w:val="clear" w:color="auto" w:fill="F0F0F0"/>
                </w:tcPr>
                <w:p>
                  <w:pPr>
                    <w:pStyle w:val="Normal"/>
                    <w:keepLines w:val="on"/>
                  </w:pPr>
                  <w:r>
                    <w:t>₹63,293</w:t>
                  </w:r>
                </w:p>
              </w:tc>
              <w:tc>
                <w:tcPr>
                  <w:tcW w:type="auto" w:w="0"/>
                  <w:shd w:val="clear" w:color="auto" w:fill="F0F0F0"/>
                </w:tcPr>
                <w:p>
                  <w:pPr>
                    <w:pStyle w:val="Normal"/>
                    <w:keepLines w:val="on"/>
                  </w:pPr>
                  <w:r>
                    <w:t>₹97,479</w:t>
                  </w:r>
                </w:p>
              </w:tc>
              <w:tc>
                <w:tcPr>
                  <w:tcW w:type="auto" w:w="0"/>
                  <w:shd w:val="clear" w:color="auto" w:fill="F0F0F0"/>
                </w:tcPr>
                <w:p>
                  <w:pPr>
                    <w:pStyle w:val="Normal"/>
                    <w:keepLines w:val="on"/>
                  </w:pPr>
                  <w:r>
                    <w:t>₹62,805</w:t>
                  </w:r>
                </w:p>
              </w:tc>
              <w:tc>
                <w:tcPr>
                  <w:tcW w:type="auto" w:w="0"/>
                  <w:shd w:val="clear" w:color="auto" w:fill="F0F0F0"/>
                </w:tcPr>
                <w:p>
                  <w:pPr>
                    <w:pStyle w:val="Normal"/>
                    <w:keepLines w:val="on"/>
                  </w:pPr>
                  <w:r>
                    <w:t>₹284,340</w:t>
                  </w:r>
                </w:p>
              </w:tc>
            </w:tr>
            <w:tr>
              <w:tc>
                <w:tcPr>
                  <w:tcW w:type="auto" w:w="0"/>
                  <w:shd w:val="clear" w:color="auto" w:fill="F0F0F0"/>
                </w:tcPr>
                <w:p>
                  <w:pPr>
                    <w:pStyle w:val="Para 02"/>
                    <w:keepLines w:val="on"/>
                  </w:pPr>
                  <w:r>
                    <w:t>Giá trị sổ sách của vốn chủ sở hữu (đầu kỳ)</w:t>
                  </w:r>
                </w:p>
              </w:tc>
              <w:tc>
                <w:tcPr>
                  <w:tcW w:type="auto" w:w="0"/>
                  <w:shd w:val="clear" w:color="auto" w:fill="F0F0F0"/>
                </w:tcPr>
                <w:p>
                  <w:pPr>
                    <w:pStyle w:val="Normal"/>
                    <w:keepLines w:val="on"/>
                  </w:pPr>
                  <w:r>
                    <w:t>₹37,019</w:t>
                  </w:r>
                </w:p>
              </w:tc>
              <w:tc>
                <w:tcPr>
                  <w:tcW w:type="auto" w:w="0"/>
                  <w:shd w:val="clear" w:color="auto" w:fill="F0F0F0"/>
                </w:tcPr>
                <w:p>
                  <w:pPr>
                    <w:pStyle w:val="Normal"/>
                    <w:keepLines w:val="on"/>
                  </w:pPr>
                  <w:r>
                    <w:t>₹44,602</w:t>
                  </w:r>
                </w:p>
              </w:tc>
              <w:tc>
                <w:tcPr>
                  <w:tcW w:type="auto" w:w="0"/>
                  <w:shd w:val="clear" w:color="auto" w:fill="F0F0F0"/>
                </w:tcPr>
                <w:p>
                  <w:pPr>
                    <w:pStyle w:val="Normal"/>
                    <w:keepLines w:val="on"/>
                  </w:pPr>
                  <w:r>
                    <w:t>₹63,054</w:t>
                  </w:r>
                </w:p>
              </w:tc>
              <w:tc>
                <w:tcPr>
                  <w:tcW w:type="auto" w:w="0"/>
                  <w:shd w:val="clear" w:color="auto" w:fill="F0F0F0"/>
                </w:tcPr>
                <w:p>
                  <w:pPr>
                    <w:pStyle w:val="Normal"/>
                    <w:keepLines w:val="on"/>
                  </w:pPr>
                  <w:r>
                    <w:t>₹79,717</w:t>
                  </w:r>
                </w:p>
              </w:tc>
              <w:tc>
                <w:tcPr>
                  <w:tcW w:type="auto" w:w="0"/>
                  <w:shd w:val="clear" w:color="auto" w:fill="F0F0F0"/>
                </w:tcPr>
                <w:p>
                  <w:pPr>
                    <w:pStyle w:val="Normal"/>
                    <w:keepLines w:val="on"/>
                  </w:pPr>
                  <w:r>
                    <w:t>₹78,395</w:t>
                  </w:r>
                </w:p>
              </w:tc>
              <w:tc>
                <w:tcPr>
                  <w:tcW w:type="auto" w:w="0"/>
                  <w:shd w:val="clear" w:color="auto" w:fill="F0F0F0"/>
                </w:tcPr>
                <w:p>
                  <w:pPr>
                    <w:pStyle w:val="Normal"/>
                    <w:keepLines w:val="on"/>
                  </w:pPr>
                  <w:r>
                    <w:t>₹302,787</w:t>
                  </w:r>
                </w:p>
              </w:tc>
            </w:tr>
            <w:tr>
              <w:tc>
                <w:tcPr>
                  <w:tcW w:type="auto" w:w="0"/>
                  <w:shd w:val="clear" w:color="auto" w:fill="F0F0F0"/>
                </w:tcPr>
                <w:p>
                  <w:pPr>
                    <w:pStyle w:val="Para 02"/>
                    <w:keepLines w:val="on"/>
                  </w:pPr>
                  <w:r>
                    <w:t>Lượng tiền mặt nắm giữ</w:t>
                  </w:r>
                </w:p>
              </w:tc>
              <w:tc>
                <w:tcPr>
                  <w:tcW w:type="auto" w:w="0"/>
                  <w:shd w:val="clear" w:color="auto" w:fill="F0F0F0"/>
                </w:tcPr>
                <w:p>
                  <w:pPr>
                    <w:pStyle w:val="Normal"/>
                    <w:keepLines w:val="on"/>
                  </w:pPr>
                  <w:r>
                    <w:t>₹5,546</w:t>
                  </w:r>
                </w:p>
              </w:tc>
              <w:tc>
                <w:tcPr>
                  <w:tcW w:type="auto" w:w="0"/>
                  <w:shd w:val="clear" w:color="auto" w:fill="F0F0F0"/>
                </w:tcPr>
                <w:p>
                  <w:pPr>
                    <w:pStyle w:val="Normal"/>
                    <w:keepLines w:val="on"/>
                  </w:pPr>
                  <w:r>
                    <w:t>₹20,209</w:t>
                  </w:r>
                </w:p>
              </w:tc>
              <w:tc>
                <w:tcPr>
                  <w:tcW w:type="auto" w:w="0"/>
                  <w:shd w:val="clear" w:color="auto" w:fill="F0F0F0"/>
                </w:tcPr>
                <w:p>
                  <w:pPr>
                    <w:pStyle w:val="Normal"/>
                    <w:keepLines w:val="on"/>
                  </w:pPr>
                  <w:r>
                    <w:t>₹4,838</w:t>
                  </w:r>
                </w:p>
              </w:tc>
              <w:tc>
                <w:tcPr>
                  <w:tcW w:type="auto" w:w="0"/>
                  <w:shd w:val="clear" w:color="auto" w:fill="F0F0F0"/>
                </w:tcPr>
                <w:p>
                  <w:pPr>
                    <w:pStyle w:val="Normal"/>
                    <w:keepLines w:val="on"/>
                  </w:pPr>
                  <w:r>
                    <w:t>₹6,998</w:t>
                  </w:r>
                </w:p>
              </w:tc>
              <w:tc>
                <w:tcPr>
                  <w:tcW w:type="auto" w:w="0"/>
                  <w:shd w:val="clear" w:color="auto" w:fill="F0F0F0"/>
                </w:tcPr>
                <w:p>
                  <w:pPr>
                    <w:pStyle w:val="Normal"/>
                    <w:keepLines w:val="on"/>
                  </w:pPr>
                  <w:r>
                    <w:t>₹23,973</w:t>
                  </w:r>
                </w:p>
              </w:tc>
              <w:tc>
                <w:tcPr>
                  <w:tcW w:type="auto" w:w="0"/>
                  <w:shd w:val="clear" w:color="auto" w:fill="F0F0F0"/>
                </w:tcPr>
                <w:p>
                  <w:pPr>
                    <w:pStyle w:val="Normal"/>
                    <w:keepLines w:val="on"/>
                  </w:pPr>
                  <w:r>
                    <w:t>₹61,564</w:t>
                  </w:r>
                </w:p>
              </w:tc>
            </w:tr>
            <w:tr>
              <w:tc>
                <w:tcPr>
                  <w:tcW w:type="auto" w:w="0"/>
                  <w:shd w:val="clear" w:color="auto" w:fill="F0F0F0"/>
                </w:tcPr>
                <w:p>
                  <w:pPr>
                    <w:pStyle w:val="Para 02"/>
                    <w:keepLines w:val="on"/>
                  </w:pPr>
                  <w:r>
                    <w:t>Vốn đầu tư</w:t>
                  </w:r>
                </w:p>
              </w:tc>
              <w:tc>
                <w:tcPr>
                  <w:tcW w:type="auto" w:w="0"/>
                  <w:shd w:val="clear" w:color="auto" w:fill="F0F0F0"/>
                </w:tcPr>
                <w:p>
                  <w:pPr>
                    <w:pStyle w:val="Normal"/>
                    <w:keepLines w:val="on"/>
                  </w:pPr>
                  <w:r>
                    <w:t>₹65,094</w:t>
                  </w:r>
                </w:p>
              </w:tc>
              <w:tc>
                <w:tcPr>
                  <w:tcW w:type="auto" w:w="0"/>
                  <w:shd w:val="clear" w:color="auto" w:fill="F0F0F0"/>
                </w:tcPr>
                <w:p>
                  <w:pPr>
                    <w:pStyle w:val="Normal"/>
                    <w:keepLines w:val="on"/>
                  </w:pPr>
                  <w:r>
                    <w:t>₹51,535</w:t>
                  </w:r>
                </w:p>
              </w:tc>
              <w:tc>
                <w:tcPr>
                  <w:tcW w:type="auto" w:w="0"/>
                  <w:shd w:val="clear" w:color="auto" w:fill="F0F0F0"/>
                </w:tcPr>
                <w:p>
                  <w:pPr>
                    <w:pStyle w:val="Normal"/>
                    <w:keepLines w:val="on"/>
                  </w:pPr>
                  <w:r>
                    <w:t>₹121,509</w:t>
                  </w:r>
                </w:p>
              </w:tc>
              <w:tc>
                <w:tcPr>
                  <w:tcW w:type="auto" w:w="0"/>
                  <w:shd w:val="clear" w:color="auto" w:fill="F0F0F0"/>
                </w:tcPr>
                <w:p>
                  <w:pPr>
                    <w:pStyle w:val="Normal"/>
                    <w:keepLines w:val="on"/>
                  </w:pPr>
                  <w:r>
                    <w:t>₹170,198</w:t>
                  </w:r>
                </w:p>
              </w:tc>
              <w:tc>
                <w:tcPr>
                  <w:tcW w:type="auto" w:w="0"/>
                  <w:shd w:val="clear" w:color="auto" w:fill="F0F0F0"/>
                </w:tcPr>
                <w:p>
                  <w:pPr>
                    <w:pStyle w:val="Normal"/>
                    <w:keepLines w:val="on"/>
                  </w:pPr>
                  <w:r>
                    <w:t>₹117,227</w:t>
                  </w:r>
                </w:p>
              </w:tc>
              <w:tc>
                <w:tcPr>
                  <w:tcW w:type="auto" w:w="0"/>
                  <w:shd w:val="clear" w:color="auto" w:fill="F0F0F0"/>
                </w:tcPr>
                <w:p>
                  <w:pPr>
                    <w:pStyle w:val="Normal"/>
                    <w:keepLines w:val="on"/>
                  </w:pPr>
                  <w:r>
                    <w:t>₹525,563</w:t>
                  </w:r>
                </w:p>
              </w:tc>
            </w:tr>
            <w:tr>
              <w:tc>
                <w:tcPr>
                  <w:tcW w:type="auto" w:w="0"/>
                  <w:shd w:val="clear" w:color="auto" w:fill="F0F0F0"/>
                </w:tcPr>
                <w:p>
                  <w:pPr>
                    <w:pStyle w:val="Para 02"/>
                    <w:keepLines w:val="on"/>
                  </w:pPr>
                  <w:r>
                    <w:t>ROIC</w:t>
                  </w:r>
                </w:p>
              </w:tc>
              <w:tc>
                <w:tcPr>
                  <w:tcW w:type="auto" w:w="0"/>
                  <w:shd w:val="clear" w:color="auto" w:fill="F0F0F0"/>
                </w:tcPr>
                <w:p>
                  <w:pPr>
                    <w:pStyle w:val="Normal"/>
                    <w:keepLines w:val="on"/>
                  </w:pPr>
                  <w:r>
                    <w:t>18,74%</w:t>
                  </w:r>
                </w:p>
              </w:tc>
              <w:tc>
                <w:tcPr>
                  <w:tcW w:type="auto" w:w="0"/>
                  <w:shd w:val="clear" w:color="auto" w:fill="F0F0F0"/>
                </w:tcPr>
                <w:p>
                  <w:pPr>
                    <w:pStyle w:val="Normal"/>
                    <w:keepLines w:val="on"/>
                  </w:pPr>
                  <w:r>
                    <w:t>23,91%</w:t>
                  </w:r>
                </w:p>
              </w:tc>
              <w:tc>
                <w:tcPr>
                  <w:tcW w:type="auto" w:w="0"/>
                  <w:shd w:val="clear" w:color="auto" w:fill="F0F0F0"/>
                </w:tcPr>
                <w:p>
                  <w:pPr>
                    <w:pStyle w:val="Normal"/>
                    <w:keepLines w:val="on"/>
                  </w:pPr>
                  <w:r>
                    <w:t>20,74%</w:t>
                  </w:r>
                </w:p>
              </w:tc>
              <w:tc>
                <w:tcPr>
                  <w:tcW w:type="auto" w:w="0"/>
                  <w:shd w:val="clear" w:color="auto" w:fill="F0F0F0"/>
                </w:tcPr>
                <w:p>
                  <w:pPr>
                    <w:pStyle w:val="Normal"/>
                    <w:keepLines w:val="on"/>
                  </w:pPr>
                  <w:r>
                    <w:t>8,91%</w:t>
                  </w:r>
                </w:p>
              </w:tc>
              <w:tc>
                <w:tcPr>
                  <w:tcW w:type="auto" w:w="0"/>
                  <w:shd w:val="clear" w:color="auto" w:fill="F0F0F0"/>
                </w:tcPr>
                <w:p>
                  <w:pPr>
                    <w:pStyle w:val="Normal"/>
                    <w:keepLines w:val="on"/>
                  </w:pPr>
                  <w:r>
                    <w:t>11,81%</w:t>
                  </w:r>
                </w:p>
              </w:tc>
              <w:tc>
                <w:tcPr>
                  <w:tcW w:type="auto" w:w="0"/>
                  <w:shd w:val="clear" w:color="auto" w:fill="F0F0F0"/>
                </w:tcPr>
                <w:p>
                  <w:pPr>
                    <w:pStyle w:val="Normal"/>
                    <w:keepLines w:val="on"/>
                  </w:pPr>
                  <w:r>
                    <w:t>14,98%</w:t>
                  </w:r>
                </w:p>
              </w:tc>
            </w:tr>
          </w:tbl>
          <w:p/>
        </w:tc>
      </w:tr>
    </w:tbl>
    <w:p>
      <w:pPr>
        <w:pStyle w:val="Para 04"/>
        <w:keepLines w:val="on"/>
      </w:pPr>
      <w:r>
        <w:t>Lợi nhuận trên vốn bình quân giai đoạn 2005–2009 là 14,98%.</w:t>
      </w:r>
    </w:p>
    <w:p>
      <w:pPr>
        <w:pStyle w:val="Para 04"/>
        <w:keepLines w:val="on"/>
      </w:pPr>
      <w:r>
        <w:t>Dùng các giá trị bình quân này cho tỷ lệ tái đầu tư và lợi nhuận trên vốn sẽ tạo ra tốc độ tăng trưởng 12,51%:</w:t>
      </w:r>
    </w:p>
    <w:p>
      <w:bookmarkStart w:id="2045" w:name="Expected_growth_rate_Reinvestmen_1"/>
      <w:pPr>
        <w:keepNext/>
        <w:pStyle w:val="Para 07"/>
        <w:keepLines w:val="on"/>
      </w:pPr>
      <w:r>
        <w:t>Tốc độ tăng trưởng kỳ vọng = Tỷ lệ tái đầu tư × Lợi nhuận trên vốn = 83,53% × 14,98% = 12,51%</w:t>
      </w:r>
      <w:bookmarkEnd w:id="2045"/>
    </w:p>
    <w:p>
      <w:pPr>
        <w:pStyle w:val="Para 04"/>
        <w:keepLines w:val="on"/>
      </w:pPr>
      <w:r>
        <w:t>Đây có vẻ là một giá trị bền vững hơn cho tương lai, nếu công ty có thể duy trì được những gì mình đã đạt được trong giai đoạn năm năm qua.</w:t>
      </w:r>
    </w:p>
    <w:p>
      <w:pPr>
        <w:pStyle w:val="Para 11"/>
      </w:pPr>
      <w:r>
        <w:t/>
        <w:t xml:space="preserve"> </w:t>
      </w:r>
    </w:p>
    <w:p>
      <w:bookmarkStart w:id="2046" w:name="fundgrEB_xls__This_dataset_on_th"/>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01"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2046"/>
    </w:p>
    <w:p>
      <w:pPr>
        <w:pStyle w:val="Para 31"/>
        <w:keepLines w:val="on"/>
      </w:pPr>
      <w:r>
        <w:t>fundgrEB.xls: Bộ dữ liệu này trên web tóm tắt tỷ lệ tái đầu tư và lợi nhuận trên vốn theo nhóm ngành ở Hoa Kỳ cho quý gần nhất</w:t>
      </w:r>
    </w:p>
    <w:p>
      <w:pPr>
        <w:pStyle w:val="Para 03"/>
        <w:keepLines w:val="on"/>
      </w:pPr>
      <w:r>
        <w:t>.</w:t>
      </w:r>
    </w:p>
    <w:p>
      <w:pPr>
        <w:pStyle w:val="Para 11"/>
      </w:pPr>
      <w:r>
        <w:t/>
        <w:t xml:space="preserve"> </w:t>
      </w:r>
    </w:p>
    <w:p>
      <w:bookmarkStart w:id="2047" w:name="Negative_Reinvestment_Rates__Cau_1"/>
      <w:bookmarkStart w:id="2048" w:name="Negative_Reinvestment_Rates__Cau"/>
      <w:pPr>
        <w:keepNext/>
        <w:pStyle w:val="Para 27"/>
        <w:keepLines w:val="on"/>
      </w:pPr>
      <w:r>
        <w:t>Tỷ lệ tái đầu tư âm: Nguyên nhân và hệ quả</w:t>
      </w:r>
      <w:bookmarkEnd w:id="2047"/>
      <w:bookmarkEnd w:id="2048"/>
    </w:p>
    <w:p>
      <w:pPr>
        <w:pStyle w:val="Para 16"/>
        <w:keepLines w:val="on"/>
      </w:pPr>
      <w:r>
        <w:t>Tỷ lệ tái đầu tư của một công ty có thể âm nếu khấu hao vượt chi tiêu vốn, hoặc nếu vốn lưu động giảm đáng kể trong năm. Với hầu hết các công ty, tỷ lệ tái đầu tư âm này sẽ chỉ là hiện tượng tạm thời phản ánh chi tiêu vốn không đều hoặc vốn lưu động biến động thất thường. Với những công ty này, tỷ lệ tái đầu tư của năm hiện tại (đang âm) có thể được thay bằng tỷ lệ tái đầu tư bình quân của vài năm qua, hoặc tỷ lệ tái đầu tư bình quân ngành. Với các công ty khác, tỷ lệ tái đầu tư âm có thể phản ánh việc chúng ta chưa đưa các thương vụ mua lại vào chi tiêu vốn (nếu công ty tăng trưởng qua mua lại) hoặc chưa vốn hóa R&amp;D (hay các chi phí tương tự). Tuy nhiên, với một số công ty, tỷ lệ tái đầu tư âm có thể là chủ ý, và cách chúng ta xử lý nó sẽ phụ thuộc vào lý do công ty dấn thân vào con đường này:</w:t>
      </w:r>
    </w:p>
    <w:p>
      <w:pPr>
        <w:numPr>
          <w:ilvl w:val="0"/>
          <w:numId w:val="100"/>
        </w:numPr>
        <w:pStyle w:val="Para 33"/>
        <w:keepLines w:val="on"/>
      </w:pPr>
      <w:r>
        <w:t>Những công ty đã đầu tư quá mức vào thiết bị vốn hoặc vốn lưu động trong quá khứ có thể sống dựa vào khoản đầu tư cũ trong nhiều năm, tái đầu tư ít và tạo ra dòng tiền cao hơn trong giai đoạn đó. Nếu đúng như vậy, chúng ta nên dùng tỷ lệ tái đầu tư âm trong dự báo và ước tính tăng trưởng dựa trên sự cải thiện lợi nhuận trên vốn. Tuy nhiên, một khi công ty đã đạt đến điểm sử dụng nguồn lực của mình một cách hiệu quả, chúng ta nên thay đổi tỷ lệ tái đầu tư để phản ánh tăng trưởng kỳ vọng.</w:t>
      </w:r>
    </w:p>
    <w:p>
      <w:pPr>
        <w:numPr>
          <w:ilvl w:val="0"/>
          <w:numId w:val="100"/>
        </w:numPr>
        <w:pStyle w:val="Para 33"/>
        <w:keepLines w:val="on"/>
      </w:pPr>
      <w:r>
        <w:t>Kịch bản cực đoan hơn là một công ty đã quyết định thu nhỏ dần theo thời gian, bằng cách không thay thế tài sản khi chúng hao mòn và bằng cách rút bớt vốn lưu động. Trong trường hợp này, tăng trưởng kỳ vọng nên được ước tính bằng tỷ lệ tái đầu tư âm. Không có gì ngạc nhiên, điều này sẽ dẫn đến tốc độ tăng trưởng kỳ vọng âm và lợi nhuận giảm dần theo thời gian.</w:t>
      </w:r>
    </w:p>
    <w:p>
      <w:bookmarkStart w:id="2050" w:name="Positive_and_Changing_Return_on"/>
      <w:bookmarkStart w:id="2051" w:name="Positive_and_Changing_Return_on_1"/>
      <w:pPr>
        <w:keepNext/>
        <w:pStyle w:val="Heading 4"/>
        <w:keepLines w:val="on"/>
      </w:pPr>
      <w:r>
        <w:t>Kịch bản lợi nhuận trên vốn dương và thay đổi</w:t>
      </w:r>
      <w:bookmarkEnd w:id="2050"/>
      <w:bookmarkEnd w:id="2051"/>
    </w:p>
    <w:p>
      <w:pPr>
        <w:pStyle w:val="Para 03"/>
      </w:pPr>
      <w:r>
        <w:t>Phân tích trong phần trước dựa trên giả định rằng lợi nhuận trên vốn giữ nguyên ổn định theo thời gian. Nếu lợi nhuận trên vốn thay đổi theo thời gian, tốc độ tăng trưởng kỳ vọng của công ty sẽ có thêm một thành phần thứ hai, thành phần này sẽ làm tăng tốc độ tăng trưởng nếu lợi nhuận trên vốn tăng và làm giảm tốc độ tăng trưởng nếu lợi nhuận trên vốn giảm.</w:t>
      </w:r>
    </w:p>
    <w:p>
      <w:bookmarkStart w:id="2052" w:name="Expected_growth_rate_ROCtxReinve"/>
      <w:pPr>
        <w:keepNext/>
        <w:pStyle w:val="Para 09"/>
        <w:keepLines w:val="on"/>
      </w:pPr>
      <w:r>
        <w:t>Tốc độ tăng trưởng kỳ vọng = ROCt × Tỷ lệ tái đầu tư + (ROCt − ROCt−1)/ROCt</w:t>
      </w:r>
      <w:bookmarkEnd w:id="2052"/>
    </w:p>
    <w:p>
      <w:pPr>
        <w:pStyle w:val="Para 03"/>
      </w:pPr>
      <w:r>
        <w:t>Ví dụ, một công ty có tỷ suất sinh lợi trên vốn (return on capital) cải thiện từ 10 lên 11 phần trăm, trong khi vẫn duy trì tỷ lệ tái đầu tư (reinvestment rate) 40 phần trăm, sẽ có tốc độ tăng trưởng kỳ vọng là:</w:t>
      </w:r>
    </w:p>
    <w:p>
      <w:bookmarkStart w:id="2053" w:name="Expected_growth_rate__11_x__40"/>
      <w:pPr>
        <w:keepNext/>
        <w:pStyle w:val="Para 09"/>
        <w:keepLines w:val="on"/>
      </w:pPr>
      <w:r>
        <w:t>Tốc độ tăng trưởng kỳ vọng = .11 × .40 + (.11 - .10)/.10 = 14,40%</w:t>
      </w:r>
      <w:bookmarkEnd w:id="2053"/>
    </w:p>
    <w:p>
      <w:pPr>
        <w:pStyle w:val="Para 03"/>
      </w:pPr>
      <w:r>
        <w:t>Thực chất, việc cải thiện tỷ suất sinh lợi trên vốn làm tăng thu nhập trên tài sản hiện hữu, và sự cải thiện này chuyển thành mức tăng trưởng cộng thêm 10 phần trăm cho công ty.</w:t>
      </w:r>
    </w:p>
    <w:p>
      <w:bookmarkStart w:id="2054" w:name="Marginal_and_Average_Returns_on"/>
      <w:pPr>
        <w:pStyle w:val="Para 21"/>
      </w:pPr>
      <w:r>
        <w:t>Tỷ suất sinh lợi trên vốn biên và bình quân</w:t>
      </w:r>
      <w:bookmarkEnd w:id="2054"/>
    </w:p>
    <w:p>
      <w:pPr>
        <w:pStyle w:val="Para 03"/>
      </w:pPr>
      <w:r>
        <w:t>Đến giờ, chúng ta vẫn xem tỷ suất sinh lợi trên vốn như thước đo quyết định lợi nhuận. Nhưng thực tế, có hai thước đo tỷ suất sinh lợi trên vốn. Một là tỷ suất sinh lợi mà công ty kiếm được nói chung trên toàn bộ các khoản đầu tư của mình, mà chúng ta định nghĩa là tỷ suất sinh lợi trên vốn bình quân (average return on capital). Hai là tỷ suất sinh lợi mà công ty kiếm được chỉ trên các khoản đầu tư mới thực hiện trong năm, tức là tỷ suất sinh lợi trên vốn biên (marginal return on capital).</w:t>
      </w:r>
    </w:p>
    <w:p>
      <w:pPr>
        <w:pStyle w:val="Para 03"/>
      </w:pPr>
      <w:r>
        <w:t>Những thay đổi trong tỷ suất sinh lợi trên vốn biên không tạo ra hiệu ứng bậc hai, và tăng trưởng kỳ vọng chỉ là tích của tỷ suất sinh lợi trên vốn biên với tỷ lệ tái đầu tư. Tuy nhiên, những thay đổi trong tỷ suất sinh lợi trên vốn bình quân sẽ tạo ra tác động cộng thêm lên tăng trưởng như đã trình bày ở trên.</w:t>
      </w:r>
    </w:p>
    <w:p>
      <w:bookmarkStart w:id="2056" w:name="Candidates_for_Changing_Average"/>
      <w:pPr>
        <w:pStyle w:val="Para 21"/>
      </w:pPr>
      <w:r>
        <w:t>Những ứng viên cho việc thay đổi tỷ suất sinh lợi trên vốn bình quân</w:t>
      </w:r>
      <w:bookmarkEnd w:id="2056"/>
    </w:p>
    <w:p>
      <w:pPr>
        <w:pStyle w:val="Para 03"/>
      </w:pPr>
      <w:r>
        <w:t>Những loại công ty nào có khả năng thấy tỷ suất sinh lợi trên vốn của mình thay đổi theo thời gian? Một nhóm gồm những công ty có tỷ suất sinh lợi trên vốn kém, rồi cải thiện hiệu quả hoạt động và biên lợi nhuận, và do đó cải thiện tỷ suất sinh lợi trên vốn. Ở những công ty này, tốc độ tăng trưởng kỳ vọng sẽ cao hơn nhiều so với tích của tỷ lệ tái đầu tư và tỷ suất sinh lợi trên vốn. Thực tế, vì tỷ suất sinh lợi trên vốn của những công ty này thường thấp trước khi chuyển mình, nên những thay đổi nhỏ trong tỷ suất sinh lợi trên vốn lại chuyển thành những thay đổi lớn trong tốc độ tăng trưởng. Vậy nên, việc tăng tỷ suất sinh lợi trên vốn trên tài sản hiện hữu từ 1 phần trăm lên 2 phần trăm sẽ nhân đôi thu nhập (dẫn đến tốc độ tăng trưởng 100 phần trăm).</w:t>
      </w:r>
    </w:p>
    <w:p>
      <w:pPr>
        <w:pStyle w:val="Para 03"/>
      </w:pPr>
      <w:r>
        <w:t>Một nhóm khác gồm những công ty có tỷ suất sinh lợi trên vốn rất cao trên các khoản đầu tư hiện hữu, nhưng có khả năng thấy tỷ suất này tuột dốc khi đối thủ cạnh tranh gia nhập ngành — không chỉ trên các khoản đầu tư mới mà còn trên cả các khoản đầu tư hiện hữu.</w:t>
      </w:r>
    </w:p>
    <w:p>
      <w:pPr>
        <w:pStyle w:val="Para 11"/>
      </w:pPr>
      <w:r>
        <w:t/>
        <w:t xml:space="preserve"> </w:t>
      </w:r>
    </w:p>
    <w:p>
      <w:bookmarkStart w:id="2059" w:name="ILLUSTRATION_11_11__Estimating_E"/>
      <w:bookmarkStart w:id="2060" w:name="ILLUSTRATION_11_11__Estimating_E_1"/>
      <w:pPr>
        <w:keepNext/>
        <w:pStyle w:val="Para 19"/>
        <w:keepLines w:val="on"/>
      </w:pPr>
      <w:r>
        <w:t>MINH HỌA 11.11: Ước tính tăng trưởng kỳ vọng khi tỷ suất sinh lợi trên vốn thay đổi: Titan Cement và Motorola</w:t>
      </w:r>
      <w:bookmarkEnd w:id="2059"/>
      <w:bookmarkEnd w:id="2060"/>
    </w:p>
    <w:p>
      <w:pPr>
        <w:pStyle w:val="Para 04"/>
        <w:keepLines w:val="on"/>
      </w:pPr>
      <w:r>
        <w:t>Năm 2000, Titan Cement, một công ty xi măng của Hy Lạp, báo cáo thu nhập hoạt động (operating income) 55.467 triệu drachma trên vốn đầu tư 135.376 triệu drachma. Dùng thuế suất thực tế 24,5%, chúng ta ước tính tỷ suất sinh lợi trên vốn của công ty là 30,94%:</w:t>
      </w:r>
    </w:p>
    <w:p>
      <w:bookmarkStart w:id="2062" w:name="Return_on_invested_capital_55_46"/>
      <w:pPr>
        <w:keepNext/>
        <w:pStyle w:val="Para 07"/>
        <w:keepLines w:val="on"/>
      </w:pPr>
      <w:r>
        <w:t>Tỷ suất sinh lợi trên vốn đầu tư = 55.467(1 − .245)/135.376 = 30,94%</w:t>
      </w:r>
      <w:bookmarkEnd w:id="2062"/>
    </w:p>
    <w:p>
      <w:pPr>
        <w:pStyle w:val="Para 04"/>
        <w:keepLines w:val="on"/>
      </w:pPr>
      <w:r>
        <w:t>Giả sử công ty sẽ thấy tỷ suất sinh lợi trên vốn giảm trên cả tài sản hiện hữu lẫn các khoản đầu tư mới xuống còn 29% vào năm tới, và tỷ lệ tái đầu tư vẫn giữ ở 35%. Tốc độ tăng trưởng kỳ vọng năm tới có thể được ước tính như sau:</w:t>
      </w:r>
    </w:p>
    <w:p>
      <w:bookmarkStart w:id="2063" w:name="Expected_growth_rate__29_x__35"/>
      <w:pPr>
        <w:keepNext/>
        <w:pStyle w:val="Para 07"/>
        <w:keepLines w:val="on"/>
      </w:pPr>
      <w:r>
        <w:t>Tốc độ tăng trưởng kỳ vọng = .29 × .35 + (.29 - .3094)/.3094 = 3,88%</w:t>
      </w:r>
      <w:bookmarkEnd w:id="2063"/>
    </w:p>
    <w:p>
      <w:pPr>
        <w:pStyle w:val="Para 04"/>
        <w:keepLines w:val="on"/>
      </w:pPr>
      <w:r>
        <w:t>Ngược lại, hãy xem Motorola vào đầu năm 2000. Công ty có tỷ lệ tái đầu tư 52,99% và tỷ suất sinh lợi trên vốn 12,18% trong năm 1999. Giả sử tỷ suất sinh lợi trên vốn của Motorola sẽ tăng lên mức bình quân ngành là 22,27% khi công ty gỡ bỏ phần còn lại của khoản đầu tư Iridium đầy xui rủi và quay về với cội nguồn của mình. Cụ thể, giả sử tỷ suất sinh lợi trên vốn của Motorola sẽ tăng từ 12,18% lên 17,22% trong năm năm tiếp theo.10 Để đơn giản, cũng giả sử rằng sự thay đổi diễn ra tuyến tính trong năm năm tới. Tốc độ tăng trưởng kỳ vọng trong thu nhập hoạt động mỗi năm trong năm năm tới khi đó có thể được ước tính như sau:11</w:t>
      </w:r>
    </w:p>
    <w:p>
      <w:bookmarkStart w:id="2066" w:name="Expectedgrowthrate_ROCmarginalxR"/>
      <w:pPr>
        <w:keepNext/>
        <w:pStyle w:val="Para 07"/>
        <w:keepLines w:val="on"/>
      </w:pPr>
      <w:r>
        <w:t>Tốc độ tăng trưởng kỳ vọng = ROCbiên × Tỷ lệ tái đầu tư hiện tại + {[1 + (ROC sau 5 năm − ROC hiện tại)/ROC hiện tại]1/5 − 1} = .1722 × .5299 + {[1 + (.1722 − .1218)/.1218]1/5 − 1} = .1630 hay 16,30%</w:t>
      </w:r>
      <w:bookmarkEnd w:id="2066"/>
    </w:p>
    <w:p>
      <w:pPr>
        <w:pStyle w:val="Para 04"/>
        <w:keepLines w:val="on"/>
      </w:pPr>
      <w:r>
        <w:t>Sự cải thiện tỷ suất sinh lợi trên vốn trong năm năm tới sẽ dẫn đến tốc độ tăng trưởng cao hơn trong thu nhập hoạt động của Motorola trong giai đoạn đó. Lưu ý rằng phép tính này giả định tỷ suất sinh lợi trên vốn trên các khoản đầu tư mới năm tới sẽ là 17,22%. Như bạn thấy, phép tính này không chỉ rối rắm mà còn đưa ra những giả định về cải thiện tỷ suất sinh lợi theo thời gian có thể đúng hoặc không đúng với thực tế. Với những công ty mà tỷ suất sinh lợi trên vốn và biên lợi nhuận thay đổi theo thời gian, chúng ta sẽ xây dựng một cách tiếp cận tổng quát hơn ở phần tiếp theo để ước tính tăng trưởng và dòng tiền trong tương lai.</w:t>
      </w:r>
    </w:p>
    <w:p>
      <w:pPr>
        <w:pStyle w:val="Para 11"/>
      </w:pPr>
      <w:r>
        <w:t/>
        <w:t xml:space="preserve"> </w:t>
      </w:r>
    </w:p>
    <w:p>
      <w:bookmarkStart w:id="2067" w:name="chgrowth_xls__This_spreadsheet_a"/>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02"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2067"/>
    </w:p>
    <w:p>
      <w:pPr>
        <w:pStyle w:val="Para 31"/>
        <w:keepLines w:val="on"/>
      </w:pPr>
      <w:r>
        <w:t>chgrowth.xls: Bảng tính này cho phép bạn ước tính tốc độ tăng trưởng kỳ vọng trong thu nhập hoạt động cho một công ty mà tỷ suất sinh lợi trên vốn được kỳ vọng sẽ thay đổi theo thời gian.</w:t>
      </w:r>
    </w:p>
    <w:p>
      <w:pPr>
        <w:pStyle w:val="Para 20"/>
      </w:pPr>
      <w:r>
        <w:rPr>
          <w:rStyle w:val="Text26"/>
        </w:rPr>
        <w:bookmarkStart w:id="2068" w:name="Page_324"/>
        <w:t/>
        <w:bookmarkEnd w:id="2068"/>
      </w:r>
      <w:r>
        <w:t xml:space="preserve"> </w:t>
      </w:r>
    </w:p>
    <w:p>
      <w:bookmarkStart w:id="2069" w:name="Top_Down_Growth__From_Revenue_Gr"/>
      <w:bookmarkStart w:id="2070" w:name="Top_Down_Growth__From_Revenue_Gr_1"/>
      <w:pPr>
        <w:keepNext/>
        <w:pStyle w:val="Heading 2"/>
        <w:keepLines w:val="on"/>
      </w:pPr>
      <w:r>
        <w:t>Tăng trưởng từ trên xuống: Từ tăng trưởng doanh thu đến dòng tiền tự do</w:t>
      </w:r>
      <w:bookmarkEnd w:id="2069"/>
      <w:bookmarkEnd w:id="2070"/>
    </w:p>
    <w:p>
      <w:pPr>
        <w:pStyle w:val="Para 03"/>
      </w:pPr>
      <w:r>
        <w:t>Cách tiếp cận thứ ba và tổng quát nhất để ước tính tăng trưởng dành cho những công ty được kỳ vọng sẽ có biên lợi nhuận (profit margin) thay đổi theo thời gian — hoặc từ âm sang dương, với những công ty non trẻ đang mở rộng quy mô và xây dựng mô hình kinh doanh, hoặc từ biên cao xuống biên thấp hơn, với những công ty trưởng thành hơn đang đối mặt với cạnh tranh gia tăng. Để ước tính tăng trưởng ở những công ty này, chúng ta phải đi lên phía trên báo cáo thu nhập và trước tiên dự phóng tăng trưởng doanh thu. Tiếp theo, chúng ta dùng biên lợi nhuận hoạt động kỳ vọng của công ty trong những năm tới để ước tính thu nhập hoạt động trong những năm đó. Nếu biên lợi nhuận kỳ vọng trong tương lai là dương, thu nhập hoạt động kỳ vọng cũng sẽ chuyển sang dương, cho phép chúng ta áp dụng các cách tiếp cận định giá truyền thống để định giá những công ty này. Chúng ta cũng ước tính công ty phải tái đầu tư bao nhiêu để tạo ra tăng trưởng doanh thu bằng cách liên kết doanh thu với vốn đầu tư vào công ty.</w:t>
      </w:r>
    </w:p>
    <w:p>
      <w:bookmarkStart w:id="2071" w:name="Revenue_Growth"/>
      <w:bookmarkStart w:id="2072" w:name="Revenue_Growth__Many_high_growth"/>
      <w:pPr>
        <w:keepNext/>
        <w:pStyle w:val="Heading 3"/>
        <w:keepLines w:val="on"/>
      </w:pPr>
      <w:r>
        <w:t>Tăng trưởng doanh thu</w:t>
      </w:r>
      <w:bookmarkEnd w:id="2071"/>
      <w:bookmarkEnd w:id="2072"/>
    </w:p>
    <w:p>
      <w:pPr>
        <w:pStyle w:val="Para 03"/>
      </w:pPr>
      <w:r>
        <w:t>Nhiều công ty tăng trưởng cao, dù báo cáo lỗ, vẫn cho thấy doanh thu tăng mạnh từ kỳ này sang kỳ khác. Bước đầu tiên trong việc dự báo dòng tiền là dự báo doanh thu trong những năm tới, thường bằng cách dự báo tốc độ tăng trưởng doanh thu mỗi kỳ. Khi đưa ra những ước tính này, có ba điểm cần ghi nhớ:</w:t>
      </w:r>
    </w:p>
    <w:p>
      <w:pPr>
        <w:numPr>
          <w:ilvl w:val="0"/>
          <w:numId w:val="101"/>
        </w:numPr>
        <w:pStyle w:val="Para 01"/>
      </w:pPr>
      <w:r>
        <w:t>Mở rộng quy mô: Tốc độ tăng trưởng doanh thu sẽ giảm khi doanh thu của công ty tăng lên. Vậy nên, việc doanh thu tăng gấp mười lần là hoàn toàn khả thi với một công ty có doanh thu ₹2 triệu, nhưng khó xảy ra với một công ty có doanh thu ₹2 tỷ.</w:t>
      </w:r>
    </w:p>
    <w:p>
      <w:pPr>
        <w:numPr>
          <w:ilvl w:val="0"/>
          <w:numId w:val="101"/>
        </w:numPr>
        <w:pStyle w:val="Para 01"/>
      </w:pPr>
      <w:r>
        <w:t>Hiệu ứng lãi kép: Tốc độ tăng trưởng doanh thu kép theo thời gian có thể trông có vẻ thấp, nhưng vẻ ngoài ấy đánh lừa. Tốc độ tăng trưởng doanh thu kép hằng năm 20 phần trăm trong mười năm sẽ làm doanh thu tăng khoảng sáu lần, nhưng mức tăng 40 phần trăm trong 10 năm sẽ dẫn đến doanh thu tăng gần ba mươi lần trong giai đoạn đó.</w:t>
      </w:r>
    </w:p>
    <w:p>
      <w:pPr>
        <w:numPr>
          <w:ilvl w:val="0"/>
          <w:numId w:val="101"/>
        </w:numPr>
        <w:pStyle w:val="Para 01"/>
      </w:pPr>
      <w:r>
        <w:t>Mức doanh thu: Mặc dù tốc độ tăng trưởng doanh thu có thể là cơ chế bạn dùng để dự báo doanh thu tương lai, bạn vẫn phải theo dõi doanh thu bằng đô-la để đảm bảo chúng hợp lý, dựa trên quy mô của toàn bộ thị trường mà công ty đang hoạt động. Nếu doanh thu dự phóng cho một công ty sau 10 năm sẽ cho nó thị phần 90 hay 100 phần trăm (hoặc hơn) của toàn bộ thị trường trong một thị trường cạnh tranh, rõ ràng bạn nên đánh giá lại tốc độ tăng trưởng doanh thu.</w:t>
      </w:r>
    </w:p>
    <w:p>
      <w:pPr>
        <w:pStyle w:val="Para 03"/>
      </w:pPr>
      <w:r>
        <w:t>Với những nguyên tắc chung này trong đầu, chúng ta sẽ xem xét việc ước tính doanh thu trong những năm tới bằng cách tập trung vào hai động lực chính — tổng thị trường mà công ty đang cố gắng tiếp cận bằng sản phẩm và dịch vụ của mình, và phần thị trường mà nó kỳ vọng sẽ giành được theo thời gian.</w:t>
      </w:r>
    </w:p>
    <w:p>
      <w:bookmarkStart w:id="2073" w:name="Total_Market"/>
      <w:bookmarkStart w:id="2074" w:name="Total_Market__The_expected_growt"/>
      <w:pPr>
        <w:keepNext/>
        <w:pStyle w:val="Heading 4"/>
        <w:keepLines w:val="on"/>
      </w:pPr>
      <w:r>
        <w:t>Tổng thị trường</w:t>
      </w:r>
      <w:bookmarkEnd w:id="2073"/>
      <w:bookmarkEnd w:id="2074"/>
    </w:p>
    <w:p>
      <w:pPr>
        <w:pStyle w:val="Para 03"/>
      </w:pPr>
      <w:r>
        <w:t>Tăng trưởng doanh thu kỳ vọng của một công ty rõ ràng là một hàm số của quy mô thị trường mà nó nhắm đến, với những thị trường lớn hơn và đang tăng trưởng cho phép tăng trưởng cao hơn khi các yếu tố khác không đổi. Do đó, các công ty Ấn Độ và Trung Quốc khởi đầu với lợi thế so với các công ty ở Peru hay Slovenia, đơn giản vì thị trường mục tiêu của họ lớn hơn nhiều. Tương tự như vậy, một công ty may mặc nhắm vào thị trường đại chúng có tiềm năng tăng trưởng với tốc độ cao hơn và lâu hơn so với một công ty may mặc phục vụ một nhóm khách hàng ngách. Dù vậy, tăng trưởng doanh thu cao hơn đến từ việc ở trong một thị trường lớn có thể bị bù trừ nhiều hơn bởi biên lợi nhuận thấp hơn — đặc điểm có thể có của những thị trường này.</w:t>
      </w:r>
    </w:p>
    <w:p>
      <w:pPr>
        <w:pStyle w:val="Para 03"/>
      </w:pPr>
      <w:r>
        <w:t>Trong hai thập kỷ qua, các công ty, đặc biệt là trong giai đoạn non trẻ của họ, đã khám phá ra mức định giá cao hơn được phản ánh qua việc tìm kiếm những thị trường lớn hơn. Các nhà đầu tư mạo hiểm và các công ty chuẩn bị niêm yết thường quảng bá quy mô tổng thị trường có thể tiếp cận (TAM - total addressable market) của họ, phản ánh tổng doanh thu trong thị trường mà những công ty này hoạt động, cũng như thị trường có thể tiếp cận được phục vụ (SAM - serviceable addressable market) đo lường phần thị trường đó có thể tiếp cận được bằng các mô hình kinh doanh hiện có của công ty. Bằng cách đôi khi sử dụng những con số lớn đến kỳ quặc cho những thị trường này, họ hy vọng thuyết phục nhà đầu tư gán giá trị (hay mức định giá) cao hơn cho công ty của họ.</w:t>
      </w:r>
    </w:p>
    <w:p>
      <w:pPr>
        <w:pStyle w:val="Para 03"/>
      </w:pPr>
      <w:r>
        <w:t>Trong một định giá nội tại vững chắc, tổng thị trường có thể tiếp cận nên phản ánh điều gì là hợp lý, chứ không phải những giấc mơ và hy vọng, và chúng ta sẽ quay lại xem xét cách kiểm tra điều này trong Chương 13.</w:t>
      </w:r>
    </w:p>
    <w:p>
      <w:bookmarkStart w:id="2076" w:name="Market_Share"/>
      <w:bookmarkStart w:id="2077" w:name="Market_Share__Being_in_a_big_mar"/>
      <w:pPr>
        <w:keepNext/>
        <w:pStyle w:val="Heading 4"/>
        <w:keepLines w:val="on"/>
      </w:pPr>
      <w:r>
        <w:t>Thị phần</w:t>
      </w:r>
      <w:bookmarkEnd w:id="2076"/>
      <w:bookmarkEnd w:id="2077"/>
    </w:p>
    <w:p>
      <w:pPr>
        <w:pStyle w:val="Para 03"/>
      </w:pPr>
      <w:r>
        <w:t>Ở trong một thị trường lớn thực sự có hỗ trợ khi dự báo tăng trưởng, nhưng trong chừng mực có những đối thủ cũng bị thu hút bởi quy mô thị trường để nhắm đến nó, thị phần của các công ty hoạt động trong thị trường đó có thể bị chia nhỏ. Do đó, để ước tính tăng trưởng doanh thu tiềm năng, bạn thường phải cố gắng dự báo phần thị trường mà một công ty sẽ có thể giành được, dựa trên mô hình kinh doanh của nó. Điều đó đòi hỏi phải xem xét những điều sau:</w:t>
      </w:r>
    </w:p>
    <w:p>
      <w:pPr>
        <w:numPr>
          <w:ilvl w:val="0"/>
          <w:numId w:val="102"/>
        </w:numPr>
        <w:pStyle w:val="Para 01"/>
      </w:pPr>
      <w:r>
        <w:t>Kinh tế ngành: Có một số ngành mà ở đó chỉ có thể có vài người thắng, hoặc vì lợi thế kinh tế theo quy mô mang lại cho những người chơi lớn nhất lợi thế đáng kể so với các đối thủ nhỏ hơn, hoặc vì hiệu ứng mạng lưới mạnh mẽ khiến quy mô và tầm với của công ty trở thành những yếu tố thu hút khách hàng mới đến với họ. Có những ngành khác sẽ chia nhỏ thành nhiều người chơi nhỏ hơn, thường vì kiến thức địa phương có thể chuyển thành các mối quan hệ và chi phí thấp hơn. Một trong những hệ quả của sự xâm nhập của công nghệ vào nhiều ngành kinh doanh truyền thống là việc thay thế các mô hình bị chia nhỏ bằng các phiên bản "người thắng ăn tất"; quảng cáo từng là một ngành kinh doanh bị chia nhỏ, mang tính địa phương cho đến khi quảng cáo trực tuyến xuất hiện, để lại Facebook và Google với thị phần thống trị.</w:t>
      </w:r>
    </w:p>
    <w:p>
      <w:pPr>
        <w:numPr>
          <w:ilvl w:val="0"/>
          <w:numId w:val="102"/>
        </w:numPr>
        <w:pStyle w:val="Para 01"/>
      </w:pPr>
      <w:r>
        <w:t>Lợi thế cạnh tranh: Khi đánh giá thị phần, bạn phải xem xét công ty của bạn so với các đối thủ như thế nào, và nó mang (hay không mang) những lợi thế cạnh tranh gì vào cuộc chiến. Một công ty có lợi thế cạnh tranh mạnh mẽ, phát sinh từ chi phí thấp hơn, thương hiệu mạnh hơn, hoặc bảo hộ bằng sáng chế, được định vị tốt để giành thị phần với cái giá của các đối thủ không sở hữu những lợi thế này.</w:t>
      </w:r>
    </w:p>
    <w:p>
      <w:pPr>
        <w:numPr>
          <w:ilvl w:val="0"/>
          <w:numId w:val="102"/>
        </w:numPr>
        <w:pStyle w:val="Para 01"/>
      </w:pPr>
      <w:r>
        <w:t>Cân nhắc pháp lý: Thị phần mà các công ty có thể khao khát giành được cũng bị hạn chế bởi các quy định pháp luật. Nhiều thị trường, bao gồm cả Hoa Kỳ, có luật chống độc quyền có thể được áp dụng đối với một công ty, nếu thị phần của nó được xem là thống trị.</w:t>
      </w:r>
    </w:p>
    <w:p>
      <w:bookmarkStart w:id="2078" w:name="Summing_Up__Estimating_total_mar"/>
      <w:bookmarkStart w:id="2079" w:name="Summing_Up"/>
      <w:pPr>
        <w:keepNext/>
        <w:pStyle w:val="Heading 4"/>
        <w:keepLines w:val="on"/>
      </w:pPr>
      <w:r>
        <w:t>Tổng kết</w:t>
      </w:r>
      <w:bookmarkEnd w:id="2078"/>
      <w:bookmarkEnd w:id="2079"/>
    </w:p>
    <w:p>
      <w:pPr>
        <w:pStyle w:val="Para 03"/>
      </w:pPr>
      <w:r>
        <w:t>Ước tính tổng quy mô thị trường và thị phần kỳ vọng dễ dàng hơn trong một số ngành kinh doanh và đối với một số công ty so với những ngành và công ty khác. Với ngành kinh doanh máy bay, chẳng hạn, thật dễ dàng đánh giá quy mô thị trường, vì các đơn đặt hàng máy bay từ các hãng hàng không là hữu hình, và các công ty hoạt động trong lĩnh vực này (ví dụ: Airbus, Boeing, Bombardier, Embraer) phần lớn là công ty đại chúng, công bố doanh thu và lượng đơn hàng tồn đọng. Việc đánh giá thị phần cũng tương đối đơn giản vì ngành kinh doanh máy bay lớn là một thị trường độc quyền đôi (duopoly), với Airbus và Boeing là những người chơi lớn, và rào cản đối với người mới gia nhập là rất khó khăn. Ngược lại, khi định giá Uber lần đầu tiên vào năm 2014, chúng tôi đối mặt với nhiều thách thức, khi thị trường vào thời điểm đó bị chi phối bởi các công ty taxi nhỏ và ít công bố thông tin công khai, và dịch vụ chia sẻ chuyến đi đại diện cho một cách thức mới chưa được kiểm chứng để cung cấp dịch vụ xe hơi với tiềm năng thu hút người dùng mới vào ngành kinh doanh này. Dù vậy, việc bạn không thể ước tính giá trị một cách chính xác không phải là lý do để rời bỏ quy trình, vì bất kỳ ai định giá một công ty chia sẻ chuyến đi vào năm 2014 đều sẽ phải đối mặt với những thách thức tương tự.</w:t>
      </w:r>
    </w:p>
    <w:p>
      <w:pPr>
        <w:pStyle w:val="Para 03"/>
      </w:pPr>
      <w:r>
        <w:t>Hình 11.4 cung cấp một bản tóm tắt các yếu tố chính cần xem xét khi ước tính tổng thị trường và thị phần cho một công ty, và chúng ta sẽ quay lại trong vài chương tới để đưa ra các ví dụ.</w:t>
      </w:r>
    </w:p>
    <w:p>
      <w:bookmarkStart w:id="2082" w:name="Figure_11_4_Estimating_Revenue_G"/>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55800" cy="1295400"/>
            <wp:effectExtent l="0" r="0" t="0" b="0"/>
            <wp:wrapTopAndBottom/>
            <wp:docPr id="103" name="c11f003.png" descr="Illustration summarizing the key factors to consider when estimating revenue growth by multiplying market size and growth to market share."/>
            <wp:cNvGraphicFramePr>
              <a:graphicFrameLocks noChangeAspect="1"/>
            </wp:cNvGraphicFramePr>
            <a:graphic>
              <a:graphicData uri="http://schemas.openxmlformats.org/drawingml/2006/picture">
                <pic:pic>
                  <pic:nvPicPr>
                    <pic:cNvPr id="0" name="c11f003.png" descr="Illustration summarizing the key factors to consider when estimating revenue growth by multiplying market size and growth to market share."/>
                    <pic:cNvPicPr/>
                  </pic:nvPicPr>
                  <pic:blipFill>
                    <a:blip r:embed="rId79"/>
                    <a:stretch>
                      <a:fillRect/>
                    </a:stretch>
                  </pic:blipFill>
                  <pic:spPr>
                    <a:xfrm>
                      <a:off x="0" y="0"/>
                      <a:ext cx="1955800" cy="1295400"/>
                    </a:xfrm>
                    <a:prstGeom prst="rect">
                      <a:avLst/>
                    </a:prstGeom>
                  </pic:spPr>
                </pic:pic>
              </a:graphicData>
            </a:graphic>
          </wp:anchor>
        </w:drawing>
      </w:r>
      <w:bookmarkEnd w:id="2082"/>
    </w:p>
    <w:p>
      <w:pPr>
        <w:keepNext/>
        <w:pStyle w:val="Para 22"/>
        <w:keepLines w:val="on"/>
      </w:pPr>
      <w:r>
        <w:t>Hình 11.4 Ước tính tăng trưởng doanh thu</w:t>
      </w:r>
    </w:p>
    <w:p>
      <w:pPr>
        <w:pStyle w:val="Para 11"/>
      </w:pPr>
      <w:r>
        <w:t/>
        <w:t xml:space="preserve"> </w:t>
      </w:r>
    </w:p>
    <w:p>
      <w:bookmarkStart w:id="2083" w:name="ILLUSTRATION_11_12__Estimating_T_1"/>
      <w:bookmarkStart w:id="2084" w:name="ILLUSTRATION_11_12__Estimating_T"/>
      <w:pPr>
        <w:keepNext/>
        <w:pStyle w:val="Para 19"/>
        <w:keepLines w:val="on"/>
      </w:pPr>
      <w:r>
        <w:t>MINH HỌA 11.12: Ước tính tổng thị trường và thị phần: IPO của Airbnb năm 2020</w:t>
      </w:r>
      <w:bookmarkEnd w:id="2083"/>
      <w:bookmarkEnd w:id="2084"/>
    </w:p>
    <w:p>
      <w:pPr>
        <w:pStyle w:val="Para 04"/>
        <w:keepLines w:val="on"/>
      </w:pPr>
      <w:r>
        <w:t>Minh họa này xem xét Airbnb, một công ty đã đảo lộn ngành kinh doanh khách sạn bằng cách tạo ra một nền tảng cho các chủ nhà và chủ căn hộ niêm yết chỗ ở của họ để cho thuê ngắn hạn, đồng thời thu một phần doanh thu cho thuê. Sau một giai đoạn tăng trưởng mạnh mẽ, Airbnb, giống như các công ty khách sạn khác, bị chậm lại bởi đại dịch vào năm 2020, nhưng ít bị ảnh hưởng hơn so với các đối thủ, chủ yếu là các khách sạn có chi phí cố định đáng kể. Vào tháng 11 năm 2020, công ty nộp hồ sơ cho đợt phát hành cổ phiếu lần đầu ra công chúng, và trong bảng sau đây, chúng tôi liệt kê các ước tính cho doanh thu trong mười năm tới.</w:t>
      </w:r>
    </w:p>
    <w:p>
      <w:pPr>
        <w:pStyle w:val="Para 04"/>
        <w:keepLines w:val="on"/>
      </w:pPr>
      <w:r>
        <w:t>Chúng tôi ước tính tổng đặt phòng (gross bookings) trên nền tảng Airbnb tăng 40% vào năm 2021, khi đại dịch COVID lắng xuống, và tốc độ tăng trưởng hàng năm sẽ là 25% trong bốn năm tới; tốc độ tăng trưởng đó sẽ giảm dần xuống 2% vào năm thứ 10. Doanh thu của Airbnb đến từ phần mà nó chiếm được trong tổng đặt phòng này, và chúng tôi kỳ vọng tỷ lệ phần trăm đó sẽ tăng từ 12,65% trong mười hai tháng gần nhất lên 14% trong thập kỷ tới, nhờ sức mạnh thị trường và lợi thế kinh tế theo quy mô.</w:t>
      </w:r>
    </w:p>
    <w:p>
      <w:pPr>
        <w:pStyle w:val="Para 40"/>
        <w:keepLines w:val="on"/>
      </w:pPr>
      <w:r>
        <w:rPr>
          <w:rStyle w:val="Text26"/>
        </w:rPr>
        <w:bookmarkStart w:id="2086" w:name="Page_327"/>
        <w:t/>
        <w:bookmarkEnd w:id="2086"/>
      </w:r>
      <w:r>
        <w:t xml:space="preserve"> </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Tốc độ tăng trưởng</w:t>
                  </w:r>
                </w:p>
              </w:tc>
              <w:tc>
                <w:tcPr>
                  <w:tcW w:type="auto" w:w="0"/>
                  <w:shd w:val="clear" w:color="auto" w:fill="F0F0F0"/>
                  <w:vAlign w:val="bottom"/>
                </w:tcPr>
                <w:p>
                  <w:pPr>
                    <w:pStyle w:val="Para 05"/>
                    <w:keepLines w:val="on"/>
                  </w:pPr>
                  <w:r>
                    <w:t>Tổng đặt phòng (tính bằng triệu $)</w:t>
                  </w:r>
                </w:p>
              </w:tc>
              <w:tc>
                <w:tcPr>
                  <w:tcW w:type="auto" w:w="0"/>
                  <w:shd w:val="clear" w:color="auto" w:fill="F0F0F0"/>
                  <w:vAlign w:val="bottom"/>
                </w:tcPr>
                <w:p>
                  <w:pPr>
                    <w:pStyle w:val="Para 05"/>
                    <w:keepLines w:val="on"/>
                  </w:pPr>
                  <w:r>
                    <w:t>Tỷ lệ của Airbnb (%)</w:t>
                  </w:r>
                </w:p>
              </w:tc>
              <w:tc>
                <w:tcPr>
                  <w:tcW w:type="auto" w:w="0"/>
                  <w:shd w:val="clear" w:color="auto" w:fill="F0F0F0"/>
                  <w:vAlign w:val="bottom"/>
                </w:tcPr>
                <w:p>
                  <w:pPr>
                    <w:pStyle w:val="Para 05"/>
                    <w:keepLines w:val="on"/>
                  </w:pPr>
                  <w:r>
                    <w:t>Doanh thu (tính bằng triệu)</w:t>
                  </w:r>
                </w:p>
              </w:tc>
            </w:tr>
            <w:tr>
              <w:tc>
                <w:tcPr>
                  <w:tcW w:type="auto" w:w="0"/>
                  <w:shd w:val="clear" w:color="auto" w:fill="F0F0F0"/>
                </w:tcPr>
                <w:p>
                  <w:pPr>
                    <w:pStyle w:val="Para 41"/>
                    <w:keepLines w:val="on"/>
                  </w:pPr>
                  <w:r>
                    <w:t>LTM</w:t>
                  </w:r>
                </w:p>
              </w:tc>
              <w:tc>
                <w:tcPr>
                  <w:tcW w:type="auto" w:w="0"/>
                  <w:shd w:val="clear" w:color="auto" w:fill="F0F0F0"/>
                </w:tcPr>
                <w:p>
                  <w:pPr>
                    <w:pStyle w:val="7 Block"/>
                    <w:keepLines w:val="on"/>
                  </w:pPr>
                </w:p>
              </w:tc>
              <w:tc>
                <w:tcPr>
                  <w:tcW w:type="auto" w:w="0"/>
                  <w:shd w:val="clear" w:color="auto" w:fill="F0F0F0"/>
                </w:tcPr>
                <w:p>
                  <w:pPr>
                    <w:pStyle w:val="Para 41"/>
                    <w:keepLines w:val="on"/>
                  </w:pPr>
                  <w:r>
                    <w:t>$26,492</w:t>
                  </w:r>
                </w:p>
              </w:tc>
              <w:tc>
                <w:tcPr>
                  <w:tcW w:type="auto" w:w="0"/>
                  <w:shd w:val="clear" w:color="auto" w:fill="F0F0F0"/>
                </w:tcPr>
                <w:p>
                  <w:pPr>
                    <w:pStyle w:val="7 Block"/>
                    <w:keepLines w:val="on"/>
                  </w:pPr>
                </w:p>
              </w:tc>
              <w:tc>
                <w:tcPr>
                  <w:tcW w:type="auto" w:w="0"/>
                  <w:shd w:val="clear" w:color="auto" w:fill="F0F0F0"/>
                </w:tcPr>
                <w:p>
                  <w:pPr>
                    <w:pStyle w:val="Para 41"/>
                    <w:keepLines w:val="on"/>
                  </w:pPr>
                  <w:r>
                    <w:t>$3,626</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$37.089</w:t>
                  </w:r>
                </w:p>
              </w:tc>
              <w:tc>
                <w:tcPr>
                  <w:tcW w:type="auto" w:w="0"/>
                  <w:shd w:val="clear" w:color="auto" w:fill="F0F0F0"/>
                </w:tcPr>
                <w:p>
                  <w:pPr>
                    <w:pStyle w:val="Normal"/>
                    <w:keepLines w:val="on"/>
                  </w:pPr>
                  <w:r>
                    <w:t>12,65%</w:t>
                  </w:r>
                </w:p>
              </w:tc>
              <w:tc>
                <w:tcPr>
                  <w:tcW w:type="auto" w:w="0"/>
                  <w:shd w:val="clear" w:color="auto" w:fill="F0F0F0"/>
                </w:tcPr>
                <w:p>
                  <w:pPr>
                    <w:pStyle w:val="Normal"/>
                    <w:keepLines w:val="on"/>
                  </w:pPr>
                  <w:r>
                    <w:t>$4.692</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$46.361</w:t>
                  </w:r>
                </w:p>
              </w:tc>
              <w:tc>
                <w:tcPr>
                  <w:tcW w:type="auto" w:w="0"/>
                  <w:shd w:val="clear" w:color="auto" w:fill="F0F0F0"/>
                </w:tcPr>
                <w:p>
                  <w:pPr>
                    <w:pStyle w:val="Normal"/>
                    <w:keepLines w:val="on"/>
                  </w:pPr>
                  <w:r>
                    <w:t>12,92%</w:t>
                  </w:r>
                </w:p>
              </w:tc>
              <w:tc>
                <w:tcPr>
                  <w:tcW w:type="auto" w:w="0"/>
                  <w:shd w:val="clear" w:color="auto" w:fill="F0F0F0"/>
                </w:tcPr>
                <w:p>
                  <w:pPr>
                    <w:pStyle w:val="Normal"/>
                    <w:keepLines w:val="on"/>
                  </w:pPr>
                  <w:r>
                    <w:t>$5.990</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$57.951</w:t>
                  </w:r>
                </w:p>
              </w:tc>
              <w:tc>
                <w:tcPr>
                  <w:tcW w:type="auto" w:w="0"/>
                  <w:shd w:val="clear" w:color="auto" w:fill="F0F0F0"/>
                </w:tcPr>
                <w:p>
                  <w:pPr>
                    <w:pStyle w:val="Normal"/>
                    <w:keepLines w:val="on"/>
                  </w:pPr>
                  <w:r>
                    <w:t>13,06%</w:t>
                  </w:r>
                </w:p>
              </w:tc>
              <w:tc>
                <w:tcPr>
                  <w:tcW w:type="auto" w:w="0"/>
                  <w:shd w:val="clear" w:color="auto" w:fill="F0F0F0"/>
                </w:tcPr>
                <w:p>
                  <w:pPr>
                    <w:pStyle w:val="Normal"/>
                    <w:keepLines w:val="on"/>
                  </w:pPr>
                  <w:r>
                    <w:t>$7.565</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$72.439</w:t>
                  </w:r>
                </w:p>
              </w:tc>
              <w:tc>
                <w:tcPr>
                  <w:tcW w:type="auto" w:w="0"/>
                  <w:shd w:val="clear" w:color="auto" w:fill="F0F0F0"/>
                </w:tcPr>
                <w:p>
                  <w:pPr>
                    <w:pStyle w:val="Normal"/>
                    <w:keepLines w:val="on"/>
                  </w:pPr>
                  <w:r>
                    <w:t>13,19%</w:t>
                  </w:r>
                </w:p>
              </w:tc>
              <w:tc>
                <w:tcPr>
                  <w:tcW w:type="auto" w:w="0"/>
                  <w:shd w:val="clear" w:color="auto" w:fill="F0F0F0"/>
                </w:tcPr>
                <w:p>
                  <w:pPr>
                    <w:pStyle w:val="Normal"/>
                    <w:keepLines w:val="on"/>
                  </w:pPr>
                  <w:r>
                    <w:t>$9.555</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$90.548</w:t>
                  </w:r>
                </w:p>
              </w:tc>
              <w:tc>
                <w:tcPr>
                  <w:tcW w:type="auto" w:w="0"/>
                  <w:shd w:val="clear" w:color="auto" w:fill="F0F0F0"/>
                </w:tcPr>
                <w:p>
                  <w:pPr>
                    <w:pStyle w:val="Normal"/>
                    <w:keepLines w:val="on"/>
                  </w:pPr>
                  <w:r>
                    <w:t>13,33%</w:t>
                  </w:r>
                </w:p>
              </w:tc>
              <w:tc>
                <w:tcPr>
                  <w:tcW w:type="auto" w:w="0"/>
                  <w:shd w:val="clear" w:color="auto" w:fill="F0F0F0"/>
                </w:tcPr>
                <w:p>
                  <w:pPr>
                    <w:pStyle w:val="Normal"/>
                    <w:keepLines w:val="on"/>
                  </w:pPr>
                  <w:r>
                    <w:t>$12.066</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20,40%</w:t>
                  </w:r>
                </w:p>
              </w:tc>
              <w:tc>
                <w:tcPr>
                  <w:tcW w:type="auto" w:w="0"/>
                  <w:shd w:val="clear" w:color="auto" w:fill="F0F0F0"/>
                </w:tcPr>
                <w:p>
                  <w:pPr>
                    <w:pStyle w:val="Normal"/>
                    <w:keepLines w:val="on"/>
                  </w:pPr>
                  <w:r>
                    <w:t>$109.020</w:t>
                  </w:r>
                </w:p>
              </w:tc>
              <w:tc>
                <w:tcPr>
                  <w:tcW w:type="auto" w:w="0"/>
                  <w:shd w:val="clear" w:color="auto" w:fill="F0F0F0"/>
                </w:tcPr>
                <w:p>
                  <w:pPr>
                    <w:pStyle w:val="Normal"/>
                    <w:keepLines w:val="on"/>
                  </w:pPr>
                  <w:r>
                    <w:t>13,46%</w:t>
                  </w:r>
                </w:p>
              </w:tc>
              <w:tc>
                <w:tcPr>
                  <w:tcW w:type="auto" w:w="0"/>
                  <w:shd w:val="clear" w:color="auto" w:fill="F0F0F0"/>
                </w:tcPr>
                <w:p>
                  <w:pPr>
                    <w:pStyle w:val="Normal"/>
                    <w:keepLines w:val="on"/>
                  </w:pPr>
                  <w:r>
                    <w:t>$14.674</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15,80%</w:t>
                  </w:r>
                </w:p>
              </w:tc>
              <w:tc>
                <w:tcPr>
                  <w:tcW w:type="auto" w:w="0"/>
                  <w:shd w:val="clear" w:color="auto" w:fill="F0F0F0"/>
                </w:tcPr>
                <w:p>
                  <w:pPr>
                    <w:pStyle w:val="Normal"/>
                    <w:keepLines w:val="on"/>
                  </w:pPr>
                  <w:r>
                    <w:t>$126.245</w:t>
                  </w:r>
                </w:p>
              </w:tc>
              <w:tc>
                <w:tcPr>
                  <w:tcW w:type="auto" w:w="0"/>
                  <w:shd w:val="clear" w:color="auto" w:fill="F0F0F0"/>
                </w:tcPr>
                <w:p>
                  <w:pPr>
                    <w:pStyle w:val="Normal"/>
                    <w:keepLines w:val="on"/>
                  </w:pPr>
                  <w:r>
                    <w:t>13,60%</w:t>
                  </w:r>
                </w:p>
              </w:tc>
              <w:tc>
                <w:tcPr>
                  <w:tcW w:type="auto" w:w="0"/>
                  <w:shd w:val="clear" w:color="auto" w:fill="F0F0F0"/>
                </w:tcPr>
                <w:p>
                  <w:pPr>
                    <w:pStyle w:val="Normal"/>
                    <w:keepLines w:val="on"/>
                  </w:pPr>
                  <w:r>
                    <w:t>$17.163</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11,20%</w:t>
                  </w:r>
                </w:p>
              </w:tc>
              <w:tc>
                <w:tcPr>
                  <w:tcW w:type="auto" w:w="0"/>
                  <w:shd w:val="clear" w:color="auto" w:fill="F0F0F0"/>
                </w:tcPr>
                <w:p>
                  <w:pPr>
                    <w:pStyle w:val="Normal"/>
                    <w:keepLines w:val="on"/>
                  </w:pPr>
                  <w:r>
                    <w:t>$140.385</w:t>
                  </w:r>
                </w:p>
              </w:tc>
              <w:tc>
                <w:tcPr>
                  <w:tcW w:type="auto" w:w="0"/>
                  <w:shd w:val="clear" w:color="auto" w:fill="F0F0F0"/>
                </w:tcPr>
                <w:p>
                  <w:pPr>
                    <w:pStyle w:val="Normal"/>
                    <w:keepLines w:val="on"/>
                  </w:pPr>
                  <w:r>
                    <w:t>13,73%</w:t>
                  </w:r>
                </w:p>
              </w:tc>
              <w:tc>
                <w:tcPr>
                  <w:tcW w:type="auto" w:w="0"/>
                  <w:shd w:val="clear" w:color="auto" w:fill="F0F0F0"/>
                </w:tcPr>
                <w:p>
                  <w:pPr>
                    <w:pStyle w:val="Normal"/>
                    <w:keepLines w:val="on"/>
                  </w:pPr>
                  <w:r>
                    <w:t>$19.275</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6,60%</w:t>
                  </w:r>
                </w:p>
              </w:tc>
              <w:tc>
                <w:tcPr>
                  <w:tcW w:type="auto" w:w="0"/>
                  <w:shd w:val="clear" w:color="auto" w:fill="F0F0F0"/>
                </w:tcPr>
                <w:p>
                  <w:pPr>
                    <w:pStyle w:val="Normal"/>
                    <w:keepLines w:val="on"/>
                  </w:pPr>
                  <w:r>
                    <w:t>$149.650</w:t>
                  </w:r>
                </w:p>
              </w:tc>
              <w:tc>
                <w:tcPr>
                  <w:tcW w:type="auto" w:w="0"/>
                  <w:shd w:val="clear" w:color="auto" w:fill="F0F0F0"/>
                </w:tcPr>
                <w:p>
                  <w:pPr>
                    <w:pStyle w:val="Normal"/>
                    <w:keepLines w:val="on"/>
                  </w:pPr>
                  <w:r>
                    <w:t>13,87%</w:t>
                  </w:r>
                </w:p>
              </w:tc>
              <w:tc>
                <w:tcPr>
                  <w:tcW w:type="auto" w:w="0"/>
                  <w:shd w:val="clear" w:color="auto" w:fill="F0F0F0"/>
                </w:tcPr>
                <w:p>
                  <w:pPr>
                    <w:pStyle w:val="Normal"/>
                    <w:keepLines w:val="on"/>
                  </w:pPr>
                  <w:r>
                    <w:t>$20.749</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$152.643</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$21.370</w:t>
                  </w:r>
                </w:p>
              </w:tc>
            </w:tr>
            <w:tr>
              <w:tc>
                <w:tcPr>
                  <w:tcW w:type="auto" w:w="0"/>
                  <w:shd w:val="clear" w:color="auto" w:fill="F0F0F0"/>
                </w:tcPr>
                <w:p>
                  <w:pPr>
                    <w:pStyle w:val="Normal"/>
                    <w:keepLines w:val="on"/>
                  </w:pPr>
                  <w:r>
                    <w:t>Năm cuối</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$155.696</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$21.797</w:t>
                  </w:r>
                </w:p>
              </w:tc>
            </w:tr>
          </w:tbl>
          <w:p/>
        </w:tc>
      </w:tr>
    </w:tbl>
    <w:p>
      <w:pPr>
        <w:pStyle w:val="Para 04"/>
        <w:keepLines w:val="on"/>
      </w:pPr>
      <w:r>
        <w:t>Khi ước tính tổng lượng đặt phòng (gross bookings) — yếu tố dẫn dắt doanh thu của Airbnb — chúng tôi dựa vào hai nguồn. Thứ nhất là tổng doanh thu của tất cả các công ty khách sạn trên toàn cầu, đạt 700 tỷ đô-la vào năm 2019, tức năm trước đại dịch. Thứ hai là doanh thu của hai trung gian du lịch lớn nhất trong lĩnh vực này — Booking.com và Expedia. Trong dự báo của mình, chúng tôi đặt Airbnb lớn hơn cả hai đối thủ đó, nhờ mức độ phủ sóng rộng hơn, và ước tính thị phần tổng thể trên tổng thị trường dịch vụ lưu trú trị giá 1,2 nghìn tỷ đô-la trong vòng mười năm.</w:t>
      </w:r>
    </w:p>
    <w:p>
      <w:pPr>
        <w:pStyle w:val="Para 04"/>
        <w:keepLines w:val="on"/>
      </w:pPr>
      <w:r>
        <w:t>Khi đánh giá thị phần đặt phòng của Airbnb, chúng tôi giả định rằng với tư cách là người chơi lớn nhất trong lĩnh vực này, nó có lợi thế kết nối mạng lưới (networking benefits) đáng kể, vì cả người thuê lẫn chủ nhà đều muốn ở nơi tập trung nhiều tin đăng nhất, và do đó nó sẽ có khả năng đặt ra các điều khoản cho việc đăng tin. Vào thời điểm IPO, Airbnb vừa mới áp dụng một mô hình định giá mới, theo đó họ thu 14% giá thuê từ chủ nhà, và chúng tôi giả định rằng con số này sẽ hội tụ về mức đó theo thời gian.</w:t>
      </w:r>
    </w:p>
    <w:p>
      <w:bookmarkStart w:id="2087" w:name="Operating_Margins_and_Taxes"/>
      <w:bookmarkStart w:id="2088" w:name="Operating_Margins_and_Taxes__Bef"/>
      <w:pPr>
        <w:keepNext/>
        <w:pStyle w:val="Heading 3"/>
        <w:keepLines w:val="on"/>
      </w:pPr>
      <w:r>
        <w:t>Biên lợi nhuận hoạt động và Thuế</w:t>
      </w:r>
      <w:bookmarkEnd w:id="2087"/>
      <w:bookmarkEnd w:id="2088"/>
    </w:p>
    <w:p>
      <w:pPr>
        <w:pStyle w:val="Para 03"/>
      </w:pPr>
      <w:r>
        <w:t>Trước khi xem xét cách ước tính biên lợi nhuận hoạt động (operating margins), hãy bắt đầu bằng việc đánh giá xem nhiều công ty tăng trưởng cao, ở giai đoạn đầu trong vòng đời của chúng, đang đứng ở đâu khi quá trình định giá bắt đầu. Chúng thường có doanh thu thấp và biên lợi nhuận hoạt động âm. Nếu tăng trưởng doanh thu chuyển doanh thu thấp thành doanh thu cao mà biên lợi nhuận hoạt động vẫn âm, thì những công ty này không chỉ chẳng đáng giá gì mà còn khó có thể tồn tại. Để một công ty có giá trị, doanh thu cao hơn cuối cùng phải mang lại lợi nhuận dương. Trong một mô hình định giá, điều này đồng nghĩa với biên lợi nhuận hoạt động dương trong tương lai. Vậy nên một yếu tố đầu vào then chốt khi định giá một công ty tăng trưởng cao chính là biên lợi nhuận hoạt động mà bạn kỳ vọng nó sẽ đạt được khi trưởng thành.</w:t>
      </w:r>
    </w:p>
    <w:p>
      <w:bookmarkStart w:id="2089" w:name="Unit_Economics__Given_a_choice_o"/>
      <w:bookmarkStart w:id="2090" w:name="Unit_Economics"/>
      <w:pPr>
        <w:keepNext/>
        <w:pStyle w:val="Heading 4"/>
        <w:keepLines w:val="on"/>
      </w:pPr>
      <w:r>
        <w:t>Kinh tế đơn vị</w:t>
      </w:r>
      <w:bookmarkEnd w:id="2089"/>
      <w:bookmarkEnd w:id="2090"/>
    </w:p>
    <w:p>
      <w:pPr>
        <w:pStyle w:val="Para 03"/>
      </w:pPr>
      <w:r>
        <w:t>Nếu được chọn giữa việc muốn kiếm biên lợi nhuận cao hay thấp, mọi công ty đều sẽ chọn cái đầu, nhưng trong hầu hết trường hợp, biên lợi nhuận của bạn bị giới hạn bởi việc bạn làm gì trong kinh doanh. Một công ty sản xuất nói chung sẽ có biên lợi nhuận thấp hơn một doanh nghiệp dịch vụ, và một doanh nghiệp dịch vụ sẽ thấy mình thua kém các công ty phần mềm, và những khác biệt này chẳng nói lên được nhiều về chất lượng ban điều hành. Yếu tố chi phối quyết định liệu một công ty, ở trạng thái ổn định, có thể kiếm được biên lợi nhuận cao hay thấp chính là kinh tế đơn vị (unit economics), tức là công ty phải chi bao nhiêu để tạo ra thêm một đơn vị mà nó bán hoặc thêm một khách hàng mà nó phục vụ. Đó là lý do vì sao Microsoft, công ty gần như chẳng tốn gì cho mỗi đơn vị Windows, Office hay Office 365 mà nó bán thêm, có thể đạt biên lợi nhuận hoạt động từ 40% trở lên, trong khi BYD và Tesla, những công ty xe điện phải sản xuất một chiếc xe trước khi bán, sẽ chật vật để đạt biên lợi nhuận hoạt động vượt quá 15%.</w:t>
      </w:r>
    </w:p>
    <w:p>
      <w:pPr>
        <w:pStyle w:val="Para 03"/>
      </w:pPr>
      <w:r>
        <w:t>Thước đo đơn giản nhất của kinh tế đơn vị là biên lợi nhuận gộp (gross margins), trong đó bạn trừ đi giá vốn hàng bán khỏi doanh thu để ra lợi nhuận gộp, rồi chia giá trị đó cho doanh thu:</w:t>
      </w:r>
    </w:p>
    <w:p>
      <w:bookmarkStart w:id="2092" w:name="Gross_margin_Gross_profits_Reven"/>
      <w:pPr>
        <w:keepNext/>
        <w:pStyle w:val="Para 09"/>
        <w:keepLines w:val="on"/>
      </w:pPr>
      <w:r>
        <w:t>Biên lợi nhuận gộp = Lợi nhuận gộp / Doanh thu</w:t>
      </w:r>
      <w:bookmarkEnd w:id="2092"/>
    </w:p>
    <w:p>
      <w:pPr>
        <w:pStyle w:val="Para 03"/>
      </w:pPr>
      <w:r>
        <w:t>Để tạo sự tương phản, các công ty phần mềm Mỹ có biên lợi nhuận gộp là 71,52% vào năm 2024, trong khi các công ty ô tô và xe tải có biên lợi nhuận gộp là 12,45% trong cùng năm.</w:t>
      </w:r>
    </w:p>
    <w:p>
      <w:bookmarkStart w:id="2093" w:name="Economies_of_Scale"/>
      <w:bookmarkStart w:id="2094" w:name="Economies_of_Scale__As_companies"/>
      <w:pPr>
        <w:keepNext/>
        <w:pStyle w:val="Heading 4"/>
        <w:keepLines w:val="on"/>
      </w:pPr>
      <w:r>
        <w:t>Lợi thế kinh tế theo quy mô</w:t>
      </w:r>
      <w:bookmarkEnd w:id="2093"/>
      <w:bookmarkEnd w:id="2094"/>
    </w:p>
    <w:p>
      <w:pPr>
        <w:pStyle w:val="Para 03"/>
      </w:pPr>
      <w:r>
        <w:t>Khi các công ty trở nên lớn hơn, chúng sẽ tạo ra lợi thế kinh tế theo quy mô (economies of scale), một thuật ngữ bao quát chỉ khả năng rằng chi phí sẽ tăng với tốc độ chậm hơn doanh thu. Nói chung, những công ty có lợi thế kinh tế theo quy mô đáng kể sẽ thấy biên lợi nhuận cải thiện mạnh mẽ khi họ lớn lên, trong khi những công ty không có lợi thế đó sẽ không thấy sự cải thiện ấy.</w:t>
      </w:r>
    </w:p>
    <w:p>
      <w:pPr>
        <w:pStyle w:val="Para 03"/>
      </w:pPr>
      <w:r>
        <w:t>Trong khi mọi công ty đều dùng câu thần chú lợi thế kinh tế theo quy mô để giải thích vì sao biên lợi nhuận của họ sẽ cải thiện theo thời gian, thì phép thử nằm ở con số. Uber, trong phần lớn thập kỷ đầu tiên tồn tại, từ 2009 đến 2019, nhận thấy chi phí của mình tăng với tốc độ ngang bằng hoặc cao hơn doanh thu, khiến những tuyên bố về lợi thế kinh tế theo quy mô của họ kém thuyết phục hơn. Tương tự, Netflix đã chật vật trong phần lớn thời gian tồn tại với khoản chi phí lớn nhất của mình — chi phí nội dung — tăng với tốc độ ngang bằng số lượng thuê bao và doanh thu.</w:t>
      </w:r>
    </w:p>
    <w:p>
      <w:bookmarkStart w:id="2095" w:name="Business_Model__While_gross_marg"/>
      <w:bookmarkStart w:id="2096" w:name="Business_Model"/>
      <w:pPr>
        <w:keepNext/>
        <w:pStyle w:val="Heading 4"/>
        <w:keepLines w:val="on"/>
      </w:pPr>
      <w:r>
        <w:t>Mô hình kinh doanh</w:t>
      </w:r>
      <w:bookmarkEnd w:id="2095"/>
      <w:bookmarkEnd w:id="2096"/>
    </w:p>
    <w:p>
      <w:pPr>
        <w:pStyle w:val="Para 03"/>
      </w:pPr>
      <w:r>
        <w:t>Trong khi biên lợi nhuận gộp sẽ khác nhau giữa các doanh nghiệp vì kinh tế đơn vị, thì lựa chọn mô hình kinh doanh của bạn cũng có thể ảnh hưởng đến biên lợi nhuận hoạt động, với sự đánh đổi đi kèm là tăng trưởng. Sự tương phản này rõ rệt nhất trong lĩnh vực bán lẻ, nơi biên lợi nhuận hoạt động biến thiên rất rộng, từ các nhà bán lẻ giảm giá chật vật để đạt biên lợi nhuận hoạt động vượt quá 5% (nơi Costco và Walmart đang ngự trị) cho đến các nhà bán lẻ xa xỉ có thể đòi hỏi biên lợi nhuận từ 15% trở lên. Trước khi bạn kết luận rằng nhóm sau có mô hình kinh doanh tốt hơn nhóm trước, cần nhớ rằng các nhà bán lẻ giảm giá cũng báo cáo doanh thu trên mỗi cửa hàng cao hơn nhiều, và việc có biên lợi nhuận cao hơn chẳng có ý nghĩa gì nhiều nếu bạn bán được rất ít.</w:t>
      </w:r>
    </w:p>
    <w:p>
      <w:pPr>
        <w:pStyle w:val="Para 03"/>
      </w:pPr>
      <w:r>
        <w:t>Khi dự báo biên lợi nhuận cho một công ty đứng trước lựa chọn giữa mô hình doanh thu cao/biên lợi nhuận thấp và mô hình doanh thu thấp/biên lợi nhuận cao, điều quan trọng là bạn không chỉ xác định mô hình nào phù hợp hơn, mà còn phải giữ sự nhất quán. Chẳng hạn, để một công ty kiếm được biên lợi nhuận cao ngất trong một ngành cạnh tranh, đồng thời lại tăng thị phần, là điều bất nhất quán, và sẽ dẫn đến việc định giá quá cao.</w:t>
      </w:r>
    </w:p>
    <w:p>
      <w:bookmarkStart w:id="2097" w:name="Summing_Up_1"/>
      <w:bookmarkStart w:id="2098" w:name="Summing_Up__In_assessing_what_a"/>
      <w:pPr>
        <w:keepNext/>
        <w:pStyle w:val="Heading 4"/>
        <w:keepLines w:val="on"/>
      </w:pPr>
      <w:r>
        <w:t>Tổng kết</w:t>
      </w:r>
      <w:bookmarkEnd w:id="2097"/>
      <w:bookmarkEnd w:id="2098"/>
    </w:p>
    <w:p>
      <w:pPr>
        <w:pStyle w:val="Para 03"/>
      </w:pPr>
      <w:r>
        <w:t>Khi đánh giá mức biên lợi nhuận hoạt động mà một công ty có thể tạo ra, bạn có thể bắt đầu bằng việc nhìn vào lịch sử của nó, và với những công ty như Walmart và Boeing, biên lợi nhuận trong quá khứ có thể là dấu hiệu báo trước cho những gì công ty có thể tạo ra trong tương lai. Nếu bạn có một công ty trẻ hơn, có lẽ là công ty đã thua lỗ suốt vòng đời của nó, nhiệm vụ của bạn sẽ trở nên khó khăn hơn, và bạn sẽ phải bắt đầu bằng việc nhìn vào mức trung bình của ngành. Trong khi biên lợi nhuận của ngành mà một công ty hoạt động cung cấp một giá trị mục tiêu, bạn vẫn sẽ phải xem xét biên lợi nhuận của công ty mà bạn đang phân tích sẽ cải thiện từ mức hiện tại lên các giá trị mục tiêu như thế nào. Nói chung, mức cải thiện biên lợi nhuận sẽ lớn nhất trong những năm đầu (ít nhất là về mặt phần trăm), rồi giảm dần khi công ty tiến tới giai đoạn trưởng thành. Cũng như với tăng trưởng doanh thu, chúng ta có thể tóm tắt các yếu tố quyết định then chốt của biên lợi nhuận hoạt động trong Hình 11.5.</w:t>
      </w:r>
    </w:p>
    <w:p>
      <w:bookmarkStart w:id="2101" w:name="Figure_11_5_Estimating_Operating"/>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05000" cy="1358900"/>
            <wp:effectExtent l="0" r="0" t="0" b="0"/>
            <wp:wrapTopAndBottom/>
            <wp:docPr id="104" name="c11f004.png" descr="Illustration summarizing the target operating margin and its pathway to profitability as the key determinants of operating margins."/>
            <wp:cNvGraphicFramePr>
              <a:graphicFrameLocks noChangeAspect="1"/>
            </wp:cNvGraphicFramePr>
            <a:graphic>
              <a:graphicData uri="http://schemas.openxmlformats.org/drawingml/2006/picture">
                <pic:pic>
                  <pic:nvPicPr>
                    <pic:cNvPr id="0" name="c11f004.png" descr="Illustration summarizing the target operating margin and its pathway to profitability as the key determinants of operating margins."/>
                    <pic:cNvPicPr/>
                  </pic:nvPicPr>
                  <pic:blipFill>
                    <a:blip r:embed="rId80"/>
                    <a:stretch>
                      <a:fillRect/>
                    </a:stretch>
                  </pic:blipFill>
                  <pic:spPr>
                    <a:xfrm>
                      <a:off x="0" y="0"/>
                      <a:ext cx="1905000" cy="1358900"/>
                    </a:xfrm>
                    <a:prstGeom prst="rect">
                      <a:avLst/>
                    </a:prstGeom>
                  </pic:spPr>
                </pic:pic>
              </a:graphicData>
            </a:graphic>
          </wp:anchor>
        </w:drawing>
      </w:r>
      <w:bookmarkEnd w:id="2101"/>
    </w:p>
    <w:p>
      <w:pPr>
        <w:keepNext/>
        <w:pStyle w:val="Para 22"/>
        <w:keepLines w:val="on"/>
      </w:pPr>
      <w:r>
        <w:t>Hình 11.5 Ước tính biên lợi nhuận hoạt động</w:t>
      </w:r>
    </w:p>
    <w:p>
      <w:pPr>
        <w:pStyle w:val="Para 11"/>
      </w:pPr>
      <w:r>
        <w:t/>
        <w:t xml:space="preserve"> </w:t>
      </w:r>
    </w:p>
    <w:p>
      <w:bookmarkStart w:id="2102" w:name="margins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05"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2102"/>
    </w:p>
    <w:p>
      <w:pPr>
        <w:pStyle w:val="Para 31"/>
        <w:keepLines w:val="on"/>
      </w:pPr>
      <w:r>
        <w:t>margins.xls: Bộ dữ liệu này trên web tóm tắt biên lợi nhuận hoạt động và biên lợi nhuận ròng, theo ngành, cho Hoa Kỳ.</w:t>
      </w:r>
    </w:p>
    <w:p>
      <w:pPr>
        <w:pStyle w:val="Para 11"/>
      </w:pPr>
      <w:r>
        <w:t/>
        <w:t xml:space="preserve"> </w:t>
      </w:r>
    </w:p>
    <w:p>
      <w:bookmarkStart w:id="2103" w:name="ILLUSTRATION_11_13__Estimating_O_1"/>
      <w:bookmarkStart w:id="2104" w:name="ILLUSTRATION_11_13__Estimating_O"/>
      <w:pPr>
        <w:keepNext/>
        <w:pStyle w:val="Para 19"/>
        <w:keepLines w:val="on"/>
      </w:pPr>
      <w:r>
        <w:t>MINH HỌA 11.13: Ước tính biên lợi nhuận hoạt động cho Airbnb (IPO năm 2020)</w:t>
      </w:r>
      <w:bookmarkEnd w:id="2103"/>
      <w:bookmarkEnd w:id="2104"/>
    </w:p>
    <w:p>
      <w:pPr>
        <w:pStyle w:val="Para 04"/>
        <w:keepLines w:val="on"/>
      </w:pPr>
      <w:r>
        <w:t>Để ước tính biên lợi nhuận hoạt động (operating margin) cho Airbnb trong đợt phát hành cổ phiếu lần đầu ra công chúng (IPO) năm 2019, chúng tôi đã xem xét biên lợi nhuận hoạt động của các khách sạn, trước tiên là dùng giá trị tổng hợp (cộng gộp lợi nhuận hoạt động và doanh thu của tất cả các công ty khách sạn), rồi sau đó là số trung vị:</w:t>
      </w:r>
    </w:p>
    <w:p>
      <w:bookmarkStart w:id="2106" w:name="Aggregate_operating_margin_for_h"/>
      <w:pPr>
        <w:keepNext/>
        <w:pStyle w:val="Para 07"/>
        <w:keepLines w:val="on"/>
      </w:pPr>
      <w:r>
        <w:t>Biên lợi nhuận hoạt động tổng hợp của các khách sạn = 11,24% Biên lợi nhuận hoạt động trung vị của các khách sạn năm 2019 = 14,16%</w:t>
      </w:r>
      <w:bookmarkEnd w:id="2106"/>
    </w:p>
    <w:p>
      <w:pPr>
        <w:pStyle w:val="Para 04"/>
        <w:keepLines w:val="on"/>
      </w:pPr>
      <w:r>
        <w:t>Vì khách sạn có cấu trúc chi phí rất khác so với các bên trung gian, chúng tôi đã xem xét biên lợi nhuận hoạt động của hai công ty trung gian du lịch niêm yết công khai lớn nhất năm 2019:</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Expedia</w:t>
                  </w:r>
                </w:p>
              </w:tc>
              <w:tc>
                <w:tcPr>
                  <w:tcW w:type="auto" w:w="0"/>
                  <w:shd w:val="clear" w:color="auto" w:fill="F0F0F0"/>
                </w:tcPr>
                <w:p>
                  <w:pPr>
                    <w:pStyle w:val="Para 82"/>
                    <w:keepLines w:val="on"/>
                  </w:pPr>
                  <w:r>
                    <w:t>Booking.com</w:t>
                  </w:r>
                </w:p>
              </w:tc>
            </w:tr>
            <w:tr>
              <w:tc>
                <w:tcPr>
                  <w:tcW w:type="auto" w:w="0"/>
                  <w:shd w:val="clear" w:color="auto" w:fill="F0F0F0"/>
                </w:tcPr>
                <w:p>
                  <w:pPr>
                    <w:pStyle w:val="Para 02"/>
                    <w:keepLines w:val="on"/>
                  </w:pPr>
                  <w:r>
                    <w:t>Tổng giá trị đặt phòng (triệu USD)</w:t>
                  </w:r>
                </w:p>
              </w:tc>
              <w:tc>
                <w:tcPr>
                  <w:tcW w:type="auto" w:w="0"/>
                  <w:shd w:val="clear" w:color="auto" w:fill="F0F0F0"/>
                </w:tcPr>
                <w:p>
                  <w:pPr>
                    <w:pStyle w:val="Normal"/>
                    <w:keepLines w:val="on"/>
                  </w:pPr>
                  <w:r>
                    <w:t>107.870,00 USD</w:t>
                  </w:r>
                </w:p>
              </w:tc>
              <w:tc>
                <w:tcPr>
                  <w:tcW w:type="auto" w:w="0"/>
                  <w:shd w:val="clear" w:color="auto" w:fill="F0F0F0"/>
                </w:tcPr>
                <w:p>
                  <w:pPr>
                    <w:pStyle w:val="Normal"/>
                    <w:keepLines w:val="on"/>
                  </w:pPr>
                  <w:r>
                    <w:t>96.400,00 USD</w:t>
                  </w:r>
                </w:p>
              </w:tc>
            </w:tr>
            <w:tr>
              <w:tc>
                <w:tcPr>
                  <w:tcW w:type="auto" w:w="0"/>
                  <w:shd w:val="clear" w:color="auto" w:fill="F0F0F0"/>
                </w:tcPr>
                <w:p>
                  <w:pPr>
                    <w:pStyle w:val="Para 02"/>
                    <w:keepLines w:val="on"/>
                  </w:pPr>
                  <w:r>
                    <w:t>Doanh thu (triệu USD)</w:t>
                  </w:r>
                </w:p>
              </w:tc>
              <w:tc>
                <w:tcPr>
                  <w:tcW w:type="auto" w:w="0"/>
                  <w:shd w:val="clear" w:color="auto" w:fill="F0F0F0"/>
                </w:tcPr>
                <w:p>
                  <w:pPr>
                    <w:pStyle w:val="Normal"/>
                    <w:keepLines w:val="on"/>
                  </w:pPr>
                  <w:r>
                    <w:t>12.067,00 USD</w:t>
                  </w:r>
                </w:p>
              </w:tc>
              <w:tc>
                <w:tcPr>
                  <w:tcW w:type="auto" w:w="0"/>
                  <w:shd w:val="clear" w:color="auto" w:fill="F0F0F0"/>
                </w:tcPr>
                <w:p>
                  <w:pPr>
                    <w:pStyle w:val="Normal"/>
                    <w:keepLines w:val="on"/>
                  </w:pPr>
                  <w:r>
                    <w:t>15.066,00 USD</w:t>
                  </w:r>
                </w:p>
              </w:tc>
            </w:tr>
            <w:tr>
              <w:tc>
                <w:tcPr>
                  <w:tcW w:type="auto" w:w="0"/>
                  <w:shd w:val="clear" w:color="auto" w:fill="F0F0F0"/>
                </w:tcPr>
                <w:p>
                  <w:pPr>
                    <w:pStyle w:val="Para 02"/>
                    <w:keepLines w:val="on"/>
                  </w:pPr>
                  <w:r>
                    <w:t>Lợi nhuận hoạt động (triệu USD)</w:t>
                  </w:r>
                </w:p>
              </w:tc>
              <w:tc>
                <w:tcPr>
                  <w:tcW w:type="auto" w:w="0"/>
                  <w:shd w:val="clear" w:color="auto" w:fill="F0F0F0"/>
                </w:tcPr>
                <w:p>
                  <w:pPr>
                    <w:pStyle w:val="Normal"/>
                    <w:keepLines w:val="on"/>
                  </w:pPr>
                  <w:r>
                    <w:t>961,00 USD</w:t>
                  </w:r>
                </w:p>
              </w:tc>
              <w:tc>
                <w:tcPr>
                  <w:tcW w:type="auto" w:w="0"/>
                  <w:shd w:val="clear" w:color="auto" w:fill="F0F0F0"/>
                </w:tcPr>
                <w:p>
                  <w:pPr>
                    <w:pStyle w:val="Normal"/>
                    <w:keepLines w:val="on"/>
                  </w:pPr>
                  <w:r>
                    <w:t>5.345,00 USD</w:t>
                  </w:r>
                </w:p>
              </w:tc>
            </w:tr>
            <w:tr>
              <w:tc>
                <w:tcPr>
                  <w:tcW w:type="auto" w:w="0"/>
                  <w:shd w:val="clear" w:color="auto" w:fill="F0F0F0"/>
                </w:tcPr>
                <w:p>
                  <w:pPr>
                    <w:pStyle w:val="Para 02"/>
                    <w:keepLines w:val="on"/>
                  </w:pPr>
                  <w:r>
                    <w:t>Doanh thu/Tổng giá trị đặt phòng</w:t>
                  </w:r>
                </w:p>
              </w:tc>
              <w:tc>
                <w:tcPr>
                  <w:tcW w:type="auto" w:w="0"/>
                  <w:shd w:val="clear" w:color="auto" w:fill="F0F0F0"/>
                </w:tcPr>
                <w:p>
                  <w:pPr>
                    <w:pStyle w:val="Normal"/>
                    <w:keepLines w:val="on"/>
                  </w:pPr>
                  <w:r>
                    <w:t>11,19%</w:t>
                  </w:r>
                </w:p>
              </w:tc>
              <w:tc>
                <w:tcPr>
                  <w:tcW w:type="auto" w:w="0"/>
                  <w:shd w:val="clear" w:color="auto" w:fill="F0F0F0"/>
                </w:tcPr>
                <w:p>
                  <w:pPr>
                    <w:pStyle w:val="Normal"/>
                    <w:keepLines w:val="on"/>
                  </w:pPr>
                  <w:r>
                    <w:t>15,63%</w:t>
                  </w:r>
                </w:p>
              </w:tc>
            </w:tr>
            <w:tr>
              <w:tc>
                <w:tcPr>
                  <w:tcW w:type="auto" w:w="0"/>
                  <w:shd w:val="clear" w:color="auto" w:fill="F0F0F0"/>
                </w:tcPr>
                <w:p>
                  <w:pPr>
                    <w:pStyle w:val="Para 02"/>
                    <w:keepLines w:val="on"/>
                  </w:pPr>
                  <w:r>
                    <w:t>Biên lợi nhuận hoạt động</w:t>
                  </w:r>
                </w:p>
              </w:tc>
              <w:tc>
                <w:tcPr>
                  <w:tcW w:type="auto" w:w="0"/>
                  <w:shd w:val="clear" w:color="auto" w:fill="F0F0F0"/>
                </w:tcPr>
                <w:p>
                  <w:pPr>
                    <w:pStyle w:val="Normal"/>
                    <w:keepLines w:val="on"/>
                  </w:pPr>
                  <w:r>
                    <w:t>7,96%</w:t>
                  </w:r>
                </w:p>
              </w:tc>
              <w:tc>
                <w:tcPr>
                  <w:tcW w:type="auto" w:w="0"/>
                  <w:shd w:val="clear" w:color="auto" w:fill="F0F0F0"/>
                </w:tcPr>
                <w:p>
                  <w:pPr>
                    <w:pStyle w:val="Normal"/>
                    <w:keepLines w:val="on"/>
                  </w:pPr>
                  <w:r>
                    <w:t>35,48%</w:t>
                  </w:r>
                </w:p>
              </w:tc>
            </w:tr>
          </w:tbl>
          <w:p/>
        </w:tc>
      </w:tr>
    </w:tbl>
    <w:p>
      <w:pPr>
        <w:pStyle w:val="Para 04"/>
        <w:keepLines w:val="on"/>
      </w:pPr>
      <w:r>
        <w:t>Với Airbnb, chúng tôi chọn mục tiêu biên lợi nhuận hoạt động là 25%, cao hơn mảng kinh doanh khách sạn nhưng thấp hơn Booking.com, phản ánh các mục tiêu tăng trưởng doanh thu đầy tham vọng của chúng tôi. Các con số thu được nằm trong bảng sau (với giá trị tính bằng triệu USD):</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Doanh thu (triệu USD)</w:t>
                  </w:r>
                </w:p>
              </w:tc>
              <w:tc>
                <w:tcPr>
                  <w:tcW w:type="auto" w:w="0"/>
                  <w:shd w:val="clear" w:color="auto" w:fill="F0F0F0"/>
                  <w:vAlign w:val="bottom"/>
                </w:tcPr>
                <w:p>
                  <w:pPr>
                    <w:pStyle w:val="Para 05"/>
                    <w:keepLines w:val="on"/>
                  </w:pPr>
                  <w:r>
                    <w:t>Biên lợi nhuận hoạt động</w:t>
                  </w:r>
                </w:p>
              </w:tc>
              <w:tc>
                <w:tcPr>
                  <w:tcW w:type="auto" w:w="0"/>
                  <w:shd w:val="clear" w:color="auto" w:fill="F0F0F0"/>
                  <w:vAlign w:val="bottom"/>
                </w:tcPr>
                <w:p>
                  <w:pPr>
                    <w:pStyle w:val="Para 05"/>
                    <w:keepLines w:val="on"/>
                  </w:pPr>
                  <w:r>
                    <w:t>Lợi nhuận hoạt động (triệu USD)</w:t>
                  </w:r>
                </w:p>
              </w:tc>
              <w:tc>
                <w:tcPr>
                  <w:tcW w:type="auto" w:w="0"/>
                  <w:shd w:val="clear" w:color="auto" w:fill="F0F0F0"/>
                  <w:vAlign w:val="bottom"/>
                </w:tcPr>
                <w:p>
                  <w:pPr>
                    <w:pStyle w:val="Para 05"/>
                    <w:keepLines w:val="on"/>
                  </w:pPr>
                  <w:r>
                    <w:t>Thuế suất</w:t>
                  </w:r>
                </w:p>
              </w:tc>
              <w:tc>
                <w:tcPr>
                  <w:tcW w:type="auto" w:w="0"/>
                  <w:shd w:val="clear" w:color="auto" w:fill="F0F0F0"/>
                  <w:vAlign w:val="bottom"/>
                </w:tcPr>
                <w:p>
                  <w:pPr>
                    <w:pStyle w:val="Para 05"/>
                    <w:keepLines w:val="on"/>
                  </w:pPr>
                  <w:r>
                    <w:t>EBIT(1−t)</w:t>
                  </w:r>
                </w:p>
              </w:tc>
            </w:tr>
            <w:tr>
              <w:tc>
                <w:tcPr>
                  <w:tcW w:type="auto" w:w="0"/>
                  <w:shd w:val="clear" w:color="auto" w:fill="F0F0F0"/>
                </w:tcPr>
                <w:p>
                  <w:pPr>
                    <w:pStyle w:val="Normal"/>
                    <w:keepLines w:val="on"/>
                  </w:pPr>
                  <w:r>
                    <w:t>Năm cơ sở</w:t>
                  </w:r>
                </w:p>
              </w:tc>
              <w:tc>
                <w:tcPr>
                  <w:tcW w:type="auto" w:w="0"/>
                  <w:shd w:val="clear" w:color="auto" w:fill="F0F0F0"/>
                </w:tcPr>
                <w:p>
                  <w:pPr>
                    <w:pStyle w:val="Normal"/>
                    <w:keepLines w:val="on"/>
                  </w:pPr>
                  <w:r>
                    <w:t>$3,626</w:t>
                  </w:r>
                </w:p>
              </w:tc>
              <w:tc>
                <w:tcPr>
                  <w:tcW w:type="auto" w:w="0"/>
                  <w:shd w:val="clear" w:color="auto" w:fill="F0F0F0"/>
                </w:tcPr>
                <w:p>
                  <w:pPr>
                    <w:pStyle w:val="Normal"/>
                    <w:keepLines w:val="on"/>
                  </w:pPr>
                  <w:r>
                    <w:t>−22,56%</w:t>
                  </w:r>
                </w:p>
              </w:tc>
              <w:tc>
                <w:tcPr>
                  <w:tcW w:type="auto" w:w="0"/>
                  <w:shd w:val="clear" w:color="auto" w:fill="F0F0F0"/>
                </w:tcPr>
                <w:p>
                  <w:pPr>
                    <w:pStyle w:val="Normal"/>
                    <w:keepLines w:val="on"/>
                  </w:pPr>
                  <w:r>
                    <w:t>−$818</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−$818</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$4,692</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−$469</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−$469</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$5,990</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−$180</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$7,565</w:t>
                  </w:r>
                </w:p>
              </w:tc>
              <w:tc>
                <w:tcPr>
                  <w:tcW w:type="auto" w:w="0"/>
                  <w:shd w:val="clear" w:color="auto" w:fill="F0F0F0"/>
                </w:tcPr>
                <w:p>
                  <w:pPr>
                    <w:pStyle w:val="Normal"/>
                    <w:keepLines w:val="on"/>
                  </w:pPr>
                  <w:r>
                    <w:t>0,50%</w:t>
                  </w:r>
                </w:p>
              </w:tc>
              <w:tc>
                <w:tcPr>
                  <w:tcW w:type="auto" w:w="0"/>
                  <w:shd w:val="clear" w:color="auto" w:fill="F0F0F0"/>
                </w:tcPr>
                <w:p>
                  <w:pPr>
                    <w:pStyle w:val="Normal"/>
                    <w:keepLines w:val="on"/>
                  </w:pPr>
                  <w:r>
                    <w:t>$38</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$38</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$9,555</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$382</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$382</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$12,066</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$905</w:t>
                  </w:r>
                </w:p>
              </w:tc>
              <w:tc>
                <w:tcPr>
                  <w:tcW w:type="auto" w:w="0"/>
                  <w:shd w:val="clear" w:color="auto" w:fill="F0F0F0"/>
                </w:tcPr>
                <w:p>
                  <w:pPr>
                    <w:pStyle w:val="Normal"/>
                    <w:keepLines w:val="on"/>
                  </w:pPr>
                  <w:r>
                    <w:t>14,05%</w:t>
                  </w:r>
                </w:p>
              </w:tc>
              <w:tc>
                <w:tcPr>
                  <w:tcW w:type="auto" w:w="0"/>
                  <w:shd w:val="clear" w:color="auto" w:fill="F0F0F0"/>
                </w:tcPr>
                <w:p>
                  <w:pPr>
                    <w:pStyle w:val="Normal"/>
                    <w:keepLines w:val="on"/>
                  </w:pPr>
                  <w:r>
                    <w:t>$778</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$14,674</w:t>
                  </w:r>
                </w:p>
              </w:tc>
              <w:tc>
                <w:tcPr>
                  <w:tcW w:type="auto" w:w="0"/>
                  <w:shd w:val="clear" w:color="auto" w:fill="F0F0F0"/>
                </w:tcPr>
                <w:p>
                  <w:pPr>
                    <w:pStyle w:val="Normal"/>
                    <w:keepLines w:val="on"/>
                  </w:pPr>
                  <w:r>
                    <w:t>5,98%</w:t>
                  </w:r>
                </w:p>
              </w:tc>
              <w:tc>
                <w:tcPr>
                  <w:tcW w:type="auto" w:w="0"/>
                  <w:shd w:val="clear" w:color="auto" w:fill="F0F0F0"/>
                </w:tcPr>
                <w:p>
                  <w:pPr>
                    <w:pStyle w:val="Normal"/>
                    <w:keepLines w:val="on"/>
                  </w:pPr>
                  <w:r>
                    <w:t>$877</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$658</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$17,163</w:t>
                  </w:r>
                </w:p>
              </w:tc>
              <w:tc>
                <w:tcPr>
                  <w:tcW w:type="auto" w:w="0"/>
                  <w:shd w:val="clear" w:color="auto" w:fill="F0F0F0"/>
                </w:tcPr>
                <w:p>
                  <w:pPr>
                    <w:pStyle w:val="Normal"/>
                    <w:keepLines w:val="on"/>
                  </w:pPr>
                  <w:r>
                    <w:t>10,73%</w:t>
                  </w:r>
                </w:p>
              </w:tc>
              <w:tc>
                <w:tcPr>
                  <w:tcW w:type="auto" w:w="0"/>
                  <w:shd w:val="clear" w:color="auto" w:fill="F0F0F0"/>
                </w:tcPr>
                <w:p>
                  <w:pPr>
                    <w:pStyle w:val="Normal"/>
                    <w:keepLines w:val="on"/>
                  </w:pPr>
                  <w:r>
                    <w:t>$1,842</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$1,382</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$19,275</w:t>
                  </w:r>
                </w:p>
              </w:tc>
              <w:tc>
                <w:tcPr>
                  <w:tcW w:type="auto" w:w="0"/>
                  <w:shd w:val="clear" w:color="auto" w:fill="F0F0F0"/>
                </w:tcPr>
                <w:p>
                  <w:pPr>
                    <w:pStyle w:val="Normal"/>
                    <w:keepLines w:val="on"/>
                  </w:pPr>
                  <w:r>
                    <w:t>15,49%</w:t>
                  </w:r>
                </w:p>
              </w:tc>
              <w:tc>
                <w:tcPr>
                  <w:tcW w:type="auto" w:w="0"/>
                  <w:shd w:val="clear" w:color="auto" w:fill="F0F0F0"/>
                </w:tcPr>
                <w:p>
                  <w:pPr>
                    <w:pStyle w:val="Normal"/>
                    <w:keepLines w:val="on"/>
                  </w:pPr>
                  <w:r>
                    <w:t>$2,985</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$2,239</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$20,749</w:t>
                  </w:r>
                </w:p>
              </w:tc>
              <w:tc>
                <w:tcPr>
                  <w:tcW w:type="auto" w:w="0"/>
                  <w:shd w:val="clear" w:color="auto" w:fill="F0F0F0"/>
                </w:tcPr>
                <w:p>
                  <w:pPr>
                    <w:pStyle w:val="Normal"/>
                    <w:keepLines w:val="on"/>
                  </w:pPr>
                  <w:r>
                    <w:t>20,24%</w:t>
                  </w:r>
                </w:p>
              </w:tc>
              <w:tc>
                <w:tcPr>
                  <w:tcW w:type="auto" w:w="0"/>
                  <w:shd w:val="clear" w:color="auto" w:fill="F0F0F0"/>
                </w:tcPr>
                <w:p>
                  <w:pPr>
                    <w:pStyle w:val="Normal"/>
                    <w:keepLines w:val="on"/>
                  </w:pPr>
                  <w:r>
                    <w:t>$4,200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$3,150</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$21,370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$5,343</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$4,007</w:t>
                  </w:r>
                </w:p>
              </w:tc>
            </w:tr>
            <w:tr>
              <w:tc>
                <w:tcPr>
                  <w:tcW w:type="auto" w:w="0"/>
                  <w:shd w:val="clear" w:color="auto" w:fill="F0F0F0"/>
                </w:tcPr>
                <w:p>
                  <w:pPr>
                    <w:pStyle w:val="Normal"/>
                    <w:keepLines w:val="on"/>
                  </w:pPr>
                  <w:r>
                    <w:t>Năm kỳ hạn</w:t>
                  </w:r>
                </w:p>
              </w:tc>
              <w:tc>
                <w:tcPr>
                  <w:tcW w:type="auto" w:w="0"/>
                  <w:shd w:val="clear" w:color="auto" w:fill="F0F0F0"/>
                </w:tcPr>
                <w:p>
                  <w:pPr>
                    <w:pStyle w:val="Normal"/>
                    <w:keepLines w:val="on"/>
                  </w:pPr>
                  <w:r>
                    <w:t>$21,797</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$5,449</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$4,087</w:t>
                  </w:r>
                </w:p>
              </w:tc>
            </w:tr>
          </w:tbl>
          <w:p/>
        </w:tc>
      </w:tr>
    </w:tbl>
    <w:p>
      <w:pPr>
        <w:pStyle w:val="Para 04"/>
        <w:keepLines w:val="on"/>
      </w:pPr>
      <w:r>
        <w:t>Biên lợi nhuận cải thiện dần theo thời gian, chuyển từ âm sang dương vào năm thứ 3, rồi kéo thu nhập hoạt động (operating income) lên khi tiến gần mức 25%. Trong quá trình đó, chúng ta cũng theo dõi các khoản thuế phải nộp, với việc không phải nộp thuế trong hai năm đầu vì công ty được dự báo sẽ thua lỗ, nhưng khoản lỗ hoạt động ròng chuyển sang kỳ sau (net operating loss carryforward) sẽ che chắn hoàn toàn thu nhập kiếm được trong năm 3 và năm 4, và che chắn một phần thuế trong năm 5.12</w:t>
      </w:r>
    </w:p>
    <w:p>
      <w:pPr>
        <w:pStyle w:val="Para 11"/>
      </w:pPr>
      <w:r>
        <w:t/>
        <w:t xml:space="preserve"> </w:t>
      </w:r>
    </w:p>
    <w:p>
      <w:bookmarkStart w:id="2109" w:name="Market_Size__Market_Share__and_R"/>
      <w:bookmarkStart w:id="2110" w:name="Market_Size__Market_Share__and_R_1"/>
      <w:pPr>
        <w:keepNext/>
        <w:pStyle w:val="Para 27"/>
        <w:keepLines w:val="on"/>
      </w:pPr>
      <w:r>
        <w:t>Quy mô thị trường, Thị phần và Tăng trưởng doanh thu</w:t>
      </w:r>
      <w:bookmarkEnd w:id="2109"/>
      <w:bookmarkEnd w:id="2110"/>
    </w:p>
    <w:p>
      <w:pPr>
        <w:pStyle w:val="Para 16"/>
        <w:keepLines w:val="on"/>
      </w:pPr>
      <w:r>
        <w:t>Ước tính tốc độ tăng trưởng doanh thu cho một công ty non trẻ trong một ngành kinh doanh mới nghe có vẻ như là một việc làm vô ích. Dù khó thực hiện, nhưng vẫn có những cách giúp bạn biến quá trình này trở nên khả thi.</w:t>
      </w:r>
    </w:p>
    <w:p>
      <w:pPr>
        <w:pStyle w:val="Para 16"/>
        <w:keepLines w:val="on"/>
      </w:pPr>
      <w:r>
        <w:t>Một cách là làm ngược lại: trước tiên hãy xem xét thị phần mà bạn kỳ vọng công ty mình sẽ có được khi đã trưởng thành, rồi xác định tốc độ tăng trưởng cần thiết để đạt được thị phần đó. Ví dụ, giả sử bạn đang phân tích một nhà bán lẻ đồ chơi trực tuyến hiện có doanh thu 100 triệu đô la. Cũng giả sử rằng toàn bộ thị trường bán lẻ đồ chơi có doanh thu 70 tỷ đô la vào năm ngoái. Nếu giả định tốc độ tăng trưởng 3 phần trăm của toàn thị trường đồ chơi trong 10 năm tới và thị phần 5 phần trăm cho công ty của bạn vào năm thứ 10, bạn sẽ tính ra doanh thu kỳ vọng là 4,703 tỷ đô la cho công ty trong 10 năm, và tốc độ tăng trưởng doanh thu kép là 46,98%.</w:t>
      </w:r>
    </w:p>
    <w:p>
      <w:bookmarkStart w:id="2111" w:name="Expectedrevenuesin10years__70bil"/>
      <w:pPr>
        <w:keepNext/>
        <w:pStyle w:val="Para 48"/>
        <w:keepLines w:val="on"/>
      </w:pPr>
      <w:r>
        <w:t>Doanh thu kỳ vọng trong 10 năm = $70 tỷ × 1,03^10 × 0,05 = $4,703 tỷ. CAGR kỳ vọng cho 10 năm tới = (4.703/100)^(1/10) − 1 = 0,4698 hay 46,98%</w:t>
      </w:r>
      <w:bookmarkEnd w:id="2111"/>
    </w:p>
    <w:p>
      <w:pPr>
        <w:pStyle w:val="Para 16"/>
        <w:keepLines w:val="on"/>
      </w:pPr>
      <w:r>
        <w:t>Một cách tiếp cận khác là dự báo tốc độ tăng trưởng doanh thu kỳ vọng trong ba đến năm năm tới dựa trên các tốc độ tăng trưởng trong quá khứ. Sau khi ước tính doanh thu vào năm thứ 3 hoặc thứ 5, bạn có thể dự báo tốc độ tăng trưởng dựa trên tốc độ mà các công ty có doanh thu tương tự đang tăng trưởng hiện nay. Ví dụ, giả sử nhà bán lẻ đồ chơi trực tuyến có mức tăng trưởng doanh thu 200 phần trăm vào năm ngoái (doanh thu tăng từ 33 triệu đô la lên 100 triệu đô la). Bạn có thể dự báo tốc độ tăng trưởng lần lượt là 120 phần trăm, 100 phần trăm, 80 phần trăm và 60 phần trăm cho bốn năm tới, dẫn đến doanh thu 1,267 tỷ đô la trong bốn năm. Sau đó, bạn có thể xem tốc độ tăng trưởng trung bình của các công ty bán lẻ có doanh thu từ 1 tỷ đến 1,5 tỷ đô la vào năm ngoái, và dùng mức đó làm tốc độ tăng trưởng bắt đầu từ năm thứ 5.</w:t>
      </w:r>
    </w:p>
    <w:p>
      <w:bookmarkStart w:id="2113" w:name="Reinvestment"/>
      <w:bookmarkStart w:id="2114" w:name="Reinvestment__High_revenue_growt"/>
      <w:pPr>
        <w:keepNext/>
        <w:pStyle w:val="Heading 3"/>
        <w:keepLines w:val="on"/>
      </w:pPr>
      <w:r>
        <w:t>Tái đầu tư</w:t>
      </w:r>
      <w:bookmarkEnd w:id="2113"/>
      <w:bookmarkEnd w:id="2114"/>
    </w:p>
    <w:p>
      <w:pPr>
        <w:pStyle w:val="Para 03"/>
      </w:pPr>
      <w:r>
        <w:t>Tăng trưởng doanh thu cao là một mục tiêu đáng mong muốn, đặc biệt khi đi kèm với biên lợi nhuận hoạt động dương trong những năm tới. Tuy nhiên, các công ty phải đầu tư để tạo ra cả tăng trưởng doanh thu lẫn biên lợi nhuận hoạt động dương trong những năm tới. Khoản đầu tư này có thể dưới các hình thức truyền thống (nhà máy và thiết bị), nhưng cũng nên bao gồm việc mua lại các công ty khác, hợp tác, đầu tư vào năng lực phân phối và tiếp thị, cùng hoạt động nghiên cứu và phát triển.</w:t>
      </w:r>
    </w:p>
    <w:p>
      <w:bookmarkStart w:id="2115" w:name="The_Sales_to_Capital_Ratio__To_l"/>
      <w:bookmarkStart w:id="2116" w:name="The_Sales_to_Capital_Ratio"/>
      <w:pPr>
        <w:keepNext/>
        <w:pStyle w:val="Heading 4"/>
        <w:keepLines w:val="on"/>
      </w:pPr>
      <w:r>
        <w:t>Tỷ lệ Doanh thu trên Vốn</w:t>
      </w:r>
      <w:bookmarkEnd w:id="2115"/>
      <w:bookmarkEnd w:id="2116"/>
    </w:p>
    <w:p>
      <w:pPr>
        <w:pStyle w:val="Para 03"/>
      </w:pPr>
      <w:r>
        <w:t>Để liên kết tăng trưởng doanh thu với nhu cầu tái đầu tư, chúng ta xem xét doanh thu được tạo ra bởi mỗi đô la vốn mà chúng ta đầu tư.</w:t>
      </w:r>
    </w:p>
    <w:p>
      <w:bookmarkStart w:id="2117" w:name="Sales_to_Capital_Sales_Invested"/>
      <w:pPr>
        <w:keepNext/>
        <w:pStyle w:val="Para 09"/>
        <w:keepLines w:val="on"/>
      </w:pPr>
      <w:r>
        <w:t>Doanh thu trên Vốn = Doanh thu / Vốn đầu tư</w:t>
      </w:r>
      <w:bookmarkEnd w:id="2117"/>
    </w:p>
    <w:p>
      <w:pPr>
        <w:pStyle w:val="Para 03"/>
      </w:pPr>
      <w:r>
        <w:t>trong đó vốn đầu tư được đo lường bằng cùng các yếu tố đầu vào và lưu ý như khi tính lợi nhuận trên vốn đầu tư. Tỷ lệ này, được gọi là tỷ lệ doanh thu trên vốn (sales-to-capital ratio), cho phép chúng ta ước tính khoản đầu tư bổ sung mà công ty phải thực hiện để tạo ra mức tăng trưởng doanh thu đã dự phóng. Khoản đầu tư này có thể vào các dự án nội bộ cũng như các thương vụ mua lại, và những lập luận trước đây của chúng ta về việc vốn hóa R&amp;D cùng các khoản đầu tư và hợp đồng thuê giống R&amp;D vẫn còn giá trị.</w:t>
      </w:r>
    </w:p>
    <w:p>
      <w:pPr>
        <w:pStyle w:val="Para 03"/>
      </w:pPr>
      <w:r>
        <w:t>Vậy để ước tính nhu cầu tái đầu tư trong bất kỳ năm nào, bạn lấy mức tăng trưởng doanh thu mà bạn đã dự phóng (tính theo đô la) chia cho tỷ lệ doanh thu trên vốn.</w:t>
      </w:r>
    </w:p>
    <w:p>
      <w:bookmarkStart w:id="2118" w:name="Reinvestmentt_Revenues_in_year_t"/>
      <w:pPr>
        <w:keepNext/>
        <w:pStyle w:val="Para 09"/>
        <w:keepLines w:val="on"/>
      </w:pPr>
      <w:r>
        <w:t>Tái đầu tư_t = (Doanh thu năm t − Doanh thu năm t−1) / Tỷ lệ Doanh thu trên Vốn đầu tư</w:t>
      </w:r>
      <w:bookmarkEnd w:id="2118"/>
    </w:p>
    <w:p>
      <w:pPr>
        <w:pStyle w:val="Para 03"/>
      </w:pPr>
      <w:r>
        <w:t>Như vậy, nếu bạn kỳ vọng doanh thu tăng thêm 1 tỷ đô la và bạn dùng tỷ lệ doanh thu trên vốn là 2,5, bạn sẽ ước tính nhu cầu tái đầu tư cho công ty này là 400 triệu đô la (1 tỷ đô la / 2,5). Khi đưa ra ước tính này, chúng ta giả định rằng tái đầu tư và tăng trưởng doanh thu diễn ra cùng thời điểm, nhưng như chúng ta sẽ thấy trong các phần tiếp theo, giả định đó có thể dễ dàng được nới lỏng. Nói đơn giản, tỷ lệ doanh thu trên vốn trở thành một đại diện cho hiệu quả mà một công ty tạo ra tăng trưởng doanh thu của mình, với tỷ lệ cao hơn nghĩa là tăng trưởng hiệu quả hơn, và giá trị cao hơn, cho bất kỳ tốc độ tăng trưởng nào.</w:t>
      </w:r>
    </w:p>
    <w:p>
      <w:pPr>
        <w:pStyle w:val="Para 03"/>
      </w:pPr>
      <w:r>
        <w:t>Để ước tính tỷ lệ doanh thu trên vốn, bạn có thể xem xét cả quá khứ của một công ty lẫn ngành kinh doanh mà nó hoạt động.</w:t>
      </w:r>
    </w:p>
    <w:p>
      <w:pPr>
        <w:numPr>
          <w:ilvl w:val="0"/>
          <w:numId w:val="103"/>
        </w:numPr>
        <w:pStyle w:val="Para 01"/>
      </w:pPr>
      <w:r>
        <w:t>Đối với các chỉ số lịch sử của một công ty, bạn có thể tính tỷ lệ doanh thu trên vốn hiện tại bằng cách lấy doanh thu của năm gần nhất chia cho vốn đầu tư vào đầu năm, hoặc bạn có thể tính tỷ lệ doanh thu trên vốn biên của mỗi năm bằng cách lấy mức thay đổi doanh thu trong năm đó chia cho mức thay đổi vốn đầu tư.</w:t>
      </w:r>
    </w:p>
    <w:p>
      <w:pPr>
        <w:numPr>
          <w:ilvl w:val="0"/>
          <w:numId w:val="103"/>
        </w:numPr>
        <w:pStyle w:val="Para 01"/>
      </w:pPr>
      <w:r>
        <w:t>Trong chừng mực mà nhu cầu đầu tư của một công ty được quyết định bởi ngành mà nó hoạt động, bạn cũng có thể xem xét mức trung bình của ngành. Ví dụ, vào đầu năm 2024, các ngành có tỷ lệ doanh thu trên vốn cao nhất và thấp nhất, tính gộp chung, được liệt kê trong bảng:</w:t>
      </w:r>
    </w:p>
    <w:tbl>
      <w:tblPr>
        <w:tblW w:type="auto" w:w="0"/>
      </w:tblPr>
      <w:tr>
        <w:tc>
          <w:tcPr>
            <w:tcW w:type="auto" w:w="0"/>
          </w:tcPr>
          <w:tbl>
            <w:tblPr>
              <w:tblW w:type="auto" w:w="0"/>
            </w:tblPr>
            <w:tr>
              <w:tc>
                <w:tcPr>
                  <w:tcW w:type="auto" w:w="0"/>
                  <w:shd w:val="clear" w:color="auto" w:fill="F0F0F0"/>
                </w:tcPr>
                <w:p>
                  <w:pPr>
                    <w:pStyle w:val="Para 32"/>
                    <w:keepLines w:val="on"/>
                  </w:pPr>
                  <w:r>
                    <w:t>Ngành</w:t>
                  </w:r>
                </w:p>
              </w:tc>
              <w:tc>
                <w:tcPr>
                  <w:tcW w:type="auto" w:w="0"/>
                  <w:shd w:val="clear" w:color="auto" w:fill="F0F0F0"/>
                </w:tcPr>
                <w:p>
                  <w:pPr>
                    <w:pStyle w:val="Para 05"/>
                    <w:keepLines w:val="on"/>
                  </w:pPr>
                  <w:r>
                    <w:t>Doanh thu trên Vốn</w:t>
                  </w:r>
                </w:p>
              </w:tc>
              <w:tc>
                <w:tcPr>
                  <w:tcW w:type="auto" w:w="0"/>
                  <w:shd w:val="clear" w:color="auto" w:fill="F0F0F0"/>
                </w:tcPr>
                <w:p>
                  <w:pPr>
                    <w:pStyle w:val="Para 32"/>
                    <w:keepLines w:val="on"/>
                  </w:pPr>
                  <w:r>
                    <w:t>Ngành</w:t>
                  </w:r>
                </w:p>
              </w:tc>
              <w:tc>
                <w:tcPr>
                  <w:tcW w:type="auto" w:w="0"/>
                  <w:shd w:val="clear" w:color="auto" w:fill="F0F0F0"/>
                </w:tcPr>
                <w:p>
                  <w:pPr>
                    <w:pStyle w:val="Para 05"/>
                    <w:keepLines w:val="on"/>
                  </w:pPr>
                  <w:r>
                    <w:t>Doanh thu trên Vốn</w:t>
                  </w:r>
                </w:p>
              </w:tc>
            </w:tr>
            <w:tr>
              <w:tc>
                <w:tcPr>
                  <w:tcW w:type="auto" w:w="0"/>
                  <w:shd w:val="clear" w:color="auto" w:fill="F0F0F0"/>
                </w:tcPr>
                <w:p>
                  <w:pPr>
                    <w:pStyle w:val="Para 02"/>
                    <w:keepLines w:val="on"/>
                  </w:pPr>
                  <w:r>
                    <w:t>Dịch vụ Hỗ trợ Y tế</w:t>
                  </w:r>
                </w:p>
              </w:tc>
              <w:tc>
                <w:tcPr>
                  <w:tcW w:type="auto" w:w="0"/>
                  <w:shd w:val="clear" w:color="auto" w:fill="F0F0F0"/>
                </w:tcPr>
                <w:p>
                  <w:pPr>
                    <w:pStyle w:val="Normal"/>
                    <w:keepLines w:val="on"/>
                  </w:pPr>
                  <w:r>
                    <w:t>12,88</w:t>
                  </w:r>
                </w:p>
              </w:tc>
              <w:tc>
                <w:tcPr>
                  <w:tcW w:type="auto" w:w="0"/>
                  <w:shd w:val="clear" w:color="auto" w:fill="F0F0F0"/>
                </w:tcPr>
                <w:p>
                  <w:pPr>
                    <w:pStyle w:val="Para 02"/>
                    <w:keepLines w:val="on"/>
                  </w:pPr>
                  <w:r>
                    <w:t>Năng lượng Xanh &amp; Tái tạo</w:t>
                  </w:r>
                </w:p>
              </w:tc>
              <w:tc>
                <w:tcPr>
                  <w:tcW w:type="auto" w:w="0"/>
                  <w:shd w:val="clear" w:color="auto" w:fill="F0F0F0"/>
                </w:tcPr>
                <w:p>
                  <w:pPr>
                    <w:pStyle w:val="Normal"/>
                    <w:keepLines w:val="on"/>
                  </w:pPr>
                  <w:r>
                    <w:t>0,20</w:t>
                  </w:r>
                </w:p>
              </w:tc>
            </w:tr>
            <w:tr>
              <w:tc>
                <w:tcPr>
                  <w:tcW w:type="auto" w:w="0"/>
                  <w:shd w:val="clear" w:color="auto" w:fill="F0F0F0"/>
                </w:tcPr>
                <w:p>
                  <w:pPr>
                    <w:pStyle w:val="Para 02"/>
                    <w:keepLines w:val="on"/>
                  </w:pPr>
                  <w:r>
                    <w:t>Bán buôn Thực phẩm</w:t>
                  </w:r>
                </w:p>
              </w:tc>
              <w:tc>
                <w:tcPr>
                  <w:tcW w:type="auto" w:w="0"/>
                  <w:shd w:val="clear" w:color="auto" w:fill="F0F0F0"/>
                </w:tcPr>
                <w:p>
                  <w:pPr>
                    <w:pStyle w:val="Normal"/>
                    <w:keepLines w:val="on"/>
                  </w:pPr>
                  <w:r>
                    <w:t>8.02</w:t>
                  </w:r>
                </w:p>
              </w:tc>
              <w:tc>
                <w:tcPr>
                  <w:tcW w:type="auto" w:w="0"/>
                  <w:shd w:val="clear" w:color="auto" w:fill="F0F0F0"/>
                </w:tcPr>
                <w:p>
                  <w:pPr>
                    <w:pStyle w:val="Para 02"/>
                    <w:keepLines w:val="on"/>
                  </w:pPr>
                  <w:r>
                    <w:t>Tiện ích (Nước)</w:t>
                  </w:r>
                </w:p>
              </w:tc>
              <w:tc>
                <w:tcPr>
                  <w:tcW w:type="auto" w:w="0"/>
                  <w:shd w:val="clear" w:color="auto" w:fill="F0F0F0"/>
                </w:tcPr>
                <w:p>
                  <w:pPr>
                    <w:pStyle w:val="Normal"/>
                    <w:keepLines w:val="on"/>
                  </w:pPr>
                  <w:r>
                    <w:t>0.25</w:t>
                  </w:r>
                </w:p>
              </w:tc>
            </w:tr>
            <w:tr>
              <w:tc>
                <w:tcPr>
                  <w:tcW w:type="auto" w:w="0"/>
                  <w:shd w:val="clear" w:color="auto" w:fill="F0F0F0"/>
                </w:tcPr>
                <w:p>
                  <w:pPr>
                    <w:pStyle w:val="Para 02"/>
                    <w:keepLines w:val="on"/>
                  </w:pPr>
                  <w:r>
                    <w:t>Bán lẻ (Tạp hóa và Thực phẩm)</w:t>
                  </w:r>
                </w:p>
              </w:tc>
              <w:tc>
                <w:tcPr>
                  <w:tcW w:type="auto" w:w="0"/>
                  <w:shd w:val="clear" w:color="auto" w:fill="F0F0F0"/>
                </w:tcPr>
                <w:p>
                  <w:pPr>
                    <w:pStyle w:val="Normal"/>
                    <w:keepLines w:val="on"/>
                  </w:pPr>
                  <w:r>
                    <w:t>4.76</w:t>
                  </w:r>
                </w:p>
              </w:tc>
              <w:tc>
                <w:tcPr>
                  <w:tcW w:type="auto" w:w="0"/>
                  <w:shd w:val="clear" w:color="auto" w:fill="F0F0F0"/>
                </w:tcPr>
                <w:p>
                  <w:pPr>
                    <w:pStyle w:val="Para 02"/>
                    <w:keepLines w:val="on"/>
                  </w:pPr>
                  <w:r>
                    <w:t>Bất động sản (Phát triển)</w:t>
                  </w:r>
                </w:p>
              </w:tc>
              <w:tc>
                <w:tcPr>
                  <w:tcW w:type="auto" w:w="0"/>
                  <w:shd w:val="clear" w:color="auto" w:fill="F0F0F0"/>
                </w:tcPr>
                <w:p>
                  <w:pPr>
                    <w:pStyle w:val="Normal"/>
                    <w:keepLines w:val="on"/>
                  </w:pPr>
                  <w:r>
                    <w:t>0.27</w:t>
                  </w:r>
                </w:p>
              </w:tc>
            </w:tr>
            <w:tr>
              <w:tc>
                <w:tcPr>
                  <w:tcW w:type="auto" w:w="0"/>
                  <w:shd w:val="clear" w:color="auto" w:fill="F0F0F0"/>
                </w:tcPr>
                <w:p>
                  <w:pPr>
                    <w:pStyle w:val="Para 02"/>
                    <w:keepLines w:val="on"/>
                  </w:pPr>
                  <w:r>
                    <w:t>Bán lẻ (Vật liệu xây dựng)</w:t>
                  </w:r>
                </w:p>
              </w:tc>
              <w:tc>
                <w:tcPr>
                  <w:tcW w:type="auto" w:w="0"/>
                  <w:shd w:val="clear" w:color="auto" w:fill="F0F0F0"/>
                </w:tcPr>
                <w:p>
                  <w:pPr>
                    <w:pStyle w:val="Normal"/>
                    <w:keepLines w:val="on"/>
                  </w:pPr>
                  <w:r>
                    <w:t>3.64</w:t>
                  </w:r>
                </w:p>
              </w:tc>
              <w:tc>
                <w:tcPr>
                  <w:tcW w:type="auto" w:w="0"/>
                  <w:shd w:val="clear" w:color="auto" w:fill="F0F0F0"/>
                </w:tcPr>
                <w:p>
                  <w:pPr>
                    <w:pStyle w:val="Para 02"/>
                    <w:keepLines w:val="on"/>
                  </w:pPr>
                  <w:r>
                    <w:t>Tiện ích (Tổng hợp)</w:t>
                  </w:r>
                </w:p>
              </w:tc>
              <w:tc>
                <w:tcPr>
                  <w:tcW w:type="auto" w:w="0"/>
                  <w:shd w:val="clear" w:color="auto" w:fill="F0F0F0"/>
                </w:tcPr>
                <w:p>
                  <w:pPr>
                    <w:pStyle w:val="Normal"/>
                    <w:keepLines w:val="on"/>
                  </w:pPr>
                  <w:r>
                    <w:t>0.35</w:t>
                  </w:r>
                </w:p>
              </w:tc>
            </w:tr>
            <w:tr>
              <w:tc>
                <w:tcPr>
                  <w:tcW w:type="auto" w:w="0"/>
                  <w:shd w:val="clear" w:color="auto" w:fill="F0F0F0"/>
                </w:tcPr>
                <w:p>
                  <w:pPr>
                    <w:pStyle w:val="Para 02"/>
                    <w:keepLines w:val="on"/>
                  </w:pPr>
                  <w:r>
                    <w:t>Dịch vụ Máy tính</w:t>
                  </w:r>
                </w:p>
              </w:tc>
              <w:tc>
                <w:tcPr>
                  <w:tcW w:type="auto" w:w="0"/>
                  <w:shd w:val="clear" w:color="auto" w:fill="F0F0F0"/>
                </w:tcPr>
                <w:p>
                  <w:pPr>
                    <w:pStyle w:val="Normal"/>
                    <w:keepLines w:val="on"/>
                  </w:pPr>
                  <w:r>
                    <w:t>3.59</w:t>
                  </w:r>
                </w:p>
              </w:tc>
              <w:tc>
                <w:tcPr>
                  <w:tcW w:type="auto" w:w="0"/>
                  <w:shd w:val="clear" w:color="auto" w:fill="F0F0F0"/>
                </w:tcPr>
                <w:p>
                  <w:pPr>
                    <w:pStyle w:val="Para 02"/>
                    <w:keepLines w:val="on"/>
                  </w:pPr>
                  <w:r>
                    <w:t>Bất động sản (Tổng hợp/Đa ngành)</w:t>
                  </w:r>
                </w:p>
              </w:tc>
              <w:tc>
                <w:tcPr>
                  <w:tcW w:type="auto" w:w="0"/>
                  <w:shd w:val="clear" w:color="auto" w:fill="F0F0F0"/>
                </w:tcPr>
                <w:p>
                  <w:pPr>
                    <w:pStyle w:val="Normal"/>
                    <w:keepLines w:val="on"/>
                  </w:pPr>
                  <w:r>
                    <w:t>0.37</w:t>
                  </w:r>
                </w:p>
              </w:tc>
            </w:tr>
            <w:tr>
              <w:tc>
                <w:tcPr>
                  <w:tcW w:type="auto" w:w="0"/>
                  <w:shd w:val="clear" w:color="auto" w:fill="F0F0F0"/>
                </w:tcPr>
                <w:p>
                  <w:pPr>
                    <w:pStyle w:val="Para 02"/>
                    <w:keepLines w:val="on"/>
                  </w:pPr>
                  <w:r>
                    <w:t>Dịch vụ/Thiết bị Dầu khí</w:t>
                  </w:r>
                </w:p>
              </w:tc>
              <w:tc>
                <w:tcPr>
                  <w:tcW w:type="auto" w:w="0"/>
                  <w:shd w:val="clear" w:color="auto" w:fill="F0F0F0"/>
                </w:tcPr>
                <w:p>
                  <w:pPr>
                    <w:pStyle w:val="Normal"/>
                    <w:keepLines w:val="on"/>
                  </w:pPr>
                  <w:r>
                    <w:t>3.55</w:t>
                  </w:r>
                </w:p>
              </w:tc>
              <w:tc>
                <w:tcPr>
                  <w:tcW w:type="auto" w:w="0"/>
                  <w:shd w:val="clear" w:color="auto" w:fill="F0F0F0"/>
                </w:tcPr>
                <w:p>
                  <w:pPr>
                    <w:pStyle w:val="Para 02"/>
                    <w:keepLines w:val="on"/>
                  </w:pPr>
                  <w:r>
                    <w:t>Dược phẩm (Công nghệ sinh học)</w:t>
                  </w:r>
                </w:p>
              </w:tc>
              <w:tc>
                <w:tcPr>
                  <w:tcW w:type="auto" w:w="0"/>
                  <w:shd w:val="clear" w:color="auto" w:fill="F0F0F0"/>
                </w:tcPr>
                <w:p>
                  <w:pPr>
                    <w:pStyle w:val="Normal"/>
                    <w:keepLines w:val="on"/>
                  </w:pPr>
                  <w:r>
                    <w:t>0.41</w:t>
                  </w:r>
                </w:p>
              </w:tc>
            </w:tr>
            <w:tr>
              <w:tc>
                <w:tcPr>
                  <w:tcW w:type="auto" w:w="0"/>
                  <w:shd w:val="clear" w:color="auto" w:fill="F0F0F0"/>
                </w:tcPr>
                <w:p>
                  <w:pPr>
                    <w:pStyle w:val="Para 02"/>
                    <w:keepLines w:val="on"/>
                  </w:pPr>
                  <w:r>
                    <w:t>Quảng cáo</w:t>
                  </w:r>
                </w:p>
              </w:tc>
              <w:tc>
                <w:tcPr>
                  <w:tcW w:type="auto" w:w="0"/>
                  <w:shd w:val="clear" w:color="auto" w:fill="F0F0F0"/>
                </w:tcPr>
                <w:p>
                  <w:pPr>
                    <w:pStyle w:val="Normal"/>
                    <w:keepLines w:val="on"/>
                  </w:pPr>
                  <w:r>
                    <w:t>3.28</w:t>
                  </w:r>
                </w:p>
              </w:tc>
              <w:tc>
                <w:tcPr>
                  <w:tcW w:type="auto" w:w="0"/>
                  <w:shd w:val="clear" w:color="auto" w:fill="F0F0F0"/>
                </w:tcPr>
                <w:p>
                  <w:pPr>
                    <w:pStyle w:val="Para 02"/>
                    <w:keepLines w:val="on"/>
                  </w:pPr>
                  <w:r>
                    <w:t>Điện lực</w:t>
                  </w:r>
                </w:p>
              </w:tc>
              <w:tc>
                <w:tcPr>
                  <w:tcW w:type="auto" w:w="0"/>
                  <w:shd w:val="clear" w:color="auto" w:fill="F0F0F0"/>
                </w:tcPr>
                <w:p>
                  <w:pPr>
                    <w:pStyle w:val="Normal"/>
                    <w:keepLines w:val="on"/>
                  </w:pPr>
                  <w:r>
                    <w:t>0.41</w:t>
                  </w:r>
                </w:p>
              </w:tc>
            </w:tr>
            <w:tr>
              <w:tc>
                <w:tcPr>
                  <w:tcW w:type="auto" w:w="0"/>
                  <w:shd w:val="clear" w:color="auto" w:fill="F0F0F0"/>
                </w:tcPr>
                <w:p>
                  <w:pPr>
                    <w:pStyle w:val="Para 02"/>
                    <w:keepLines w:val="on"/>
                  </w:pPr>
                  <w:r>
                    <w:t>Kỹ thuật/Xây dựng</w:t>
                  </w:r>
                </w:p>
              </w:tc>
              <w:tc>
                <w:tcPr>
                  <w:tcW w:type="auto" w:w="0"/>
                  <w:shd w:val="clear" w:color="auto" w:fill="F0F0F0"/>
                </w:tcPr>
                <w:p>
                  <w:pPr>
                    <w:pStyle w:val="Normal"/>
                    <w:keepLines w:val="on"/>
                  </w:pPr>
                  <w:r>
                    <w:t>3.11</w:t>
                  </w:r>
                </w:p>
              </w:tc>
              <w:tc>
                <w:tcPr>
                  <w:tcW w:type="auto" w:w="0"/>
                  <w:shd w:val="clear" w:color="auto" w:fill="F0F0F0"/>
                </w:tcPr>
                <w:p>
                  <w:pPr>
                    <w:pStyle w:val="Para 02"/>
                    <w:keepLines w:val="on"/>
                  </w:pPr>
                  <w:r>
                    <w:t>Viễn thông (Không dây)</w:t>
                  </w:r>
                </w:p>
              </w:tc>
              <w:tc>
                <w:tcPr>
                  <w:tcW w:type="auto" w:w="0"/>
                  <w:shd w:val="clear" w:color="auto" w:fill="F0F0F0"/>
                </w:tcPr>
                <w:p>
                  <w:pPr>
                    <w:pStyle w:val="Normal"/>
                    <w:keepLines w:val="on"/>
                  </w:pPr>
                  <w:r>
                    <w:t>0,47</w:t>
                  </w:r>
                </w:p>
              </w:tc>
            </w:tr>
            <w:tr>
              <w:tc>
                <w:tcPr>
                  <w:tcW w:type="auto" w:w="0"/>
                  <w:shd w:val="clear" w:color="auto" w:fill="F0F0F0"/>
                </w:tcPr>
                <w:p>
                  <w:pPr>
                    <w:pStyle w:val="Para 02"/>
                    <w:keepLines w:val="on"/>
                  </w:pPr>
                  <w:r>
                    <w:t>Bán lẻ (Ngành đặc thù)</w:t>
                  </w:r>
                </w:p>
              </w:tc>
              <w:tc>
                <w:tcPr>
                  <w:tcW w:type="auto" w:w="0"/>
                  <w:shd w:val="clear" w:color="auto" w:fill="F0F0F0"/>
                </w:tcPr>
                <w:p>
                  <w:pPr>
                    <w:pStyle w:val="Normal"/>
                    <w:keepLines w:val="on"/>
                  </w:pPr>
                  <w:r>
                    <w:t>3,11</w:t>
                  </w:r>
                </w:p>
              </w:tc>
              <w:tc>
                <w:tcPr>
                  <w:tcW w:type="auto" w:w="0"/>
                  <w:shd w:val="clear" w:color="auto" w:fill="F0F0F0"/>
                </w:tcPr>
                <w:p>
                  <w:pPr>
                    <w:pStyle w:val="Para 02"/>
                    <w:keepLines w:val="on"/>
                  </w:pPr>
                  <w:r>
                    <w:t>Vận tải (Đường sắt)</w:t>
                  </w:r>
                </w:p>
              </w:tc>
              <w:tc>
                <w:tcPr>
                  <w:tcW w:type="auto" w:w="0"/>
                  <w:shd w:val="clear" w:color="auto" w:fill="F0F0F0"/>
                </w:tcPr>
                <w:p>
                  <w:pPr>
                    <w:pStyle w:val="Normal"/>
                    <w:keepLines w:val="on"/>
                  </w:pPr>
                  <w:r>
                    <w:t>0,48</w:t>
                  </w:r>
                </w:p>
              </w:tc>
            </w:tr>
            <w:tr>
              <w:tc>
                <w:tcPr>
                  <w:tcW w:type="auto" w:w="0"/>
                  <w:shd w:val="clear" w:color="auto" w:fill="F0F0F0"/>
                </w:tcPr>
                <w:p>
                  <w:pPr>
                    <w:pStyle w:val="Para 02"/>
                    <w:keepLines w:val="on"/>
                  </w:pPr>
                  <w:r>
                    <w:t>Dịch vụ Doanh nghiệp &amp; Người tiêu dùng</w:t>
                  </w:r>
                </w:p>
              </w:tc>
              <w:tc>
                <w:tcPr>
                  <w:tcW w:type="auto" w:w="0"/>
                  <w:shd w:val="clear" w:color="auto" w:fill="F0F0F0"/>
                </w:tcPr>
                <w:p>
                  <w:pPr>
                    <w:pStyle w:val="Normal"/>
                    <w:keepLines w:val="on"/>
                  </w:pPr>
                  <w:r>
                    <w:t>3,11</w:t>
                  </w:r>
                </w:p>
              </w:tc>
              <w:tc>
                <w:tcPr>
                  <w:tcW w:type="auto" w:w="0"/>
                  <w:shd w:val="clear" w:color="auto" w:fill="F0F0F0"/>
                </w:tcPr>
                <w:p>
                  <w:pPr>
                    <w:pStyle w:val="Para 02"/>
                    <w:keepLines w:val="on"/>
                  </w:pPr>
                  <w:r>
                    <w:t>Kim loại quý</w:t>
                  </w:r>
                </w:p>
              </w:tc>
              <w:tc>
                <w:tcPr>
                  <w:tcW w:type="auto" w:w="0"/>
                  <w:shd w:val="clear" w:color="auto" w:fill="F0F0F0"/>
                </w:tcPr>
                <w:p>
                  <w:pPr>
                    <w:pStyle w:val="Normal"/>
                    <w:keepLines w:val="on"/>
                  </w:pPr>
                  <w:r>
                    <w:t>0,49</w:t>
                  </w:r>
                </w:p>
              </w:tc>
            </w:tr>
          </w:tbl>
          <w:p/>
        </w:tc>
      </w:tr>
    </w:tbl>
    <w:p>
      <w:pPr>
        <w:pStyle w:val="Para 03"/>
      </w:pPr>
      <w:r>
        <w:t>Trong các phần tiếp theo, chúng ta sẽ xem xét một số nguyên nhân dẫn đến sự khác biệt về tỷ lệ doanh thu trên vốn (sales-to-capital ratio) giữa các doanh nghiệp.</w:t>
      </w:r>
    </w:p>
    <w:p>
      <w:bookmarkStart w:id="2120" w:name="Capital_Intensity__Capital_Inten"/>
      <w:pPr>
        <w:pStyle w:val="Para 21"/>
      </w:pPr>
      <w:r>
        <w:t>Mức độ thâm dụng vốn</w:t>
      </w:r>
      <w:bookmarkEnd w:id="2120"/>
    </w:p>
    <w:p>
      <w:pPr>
        <w:pStyle w:val="Para 03"/>
      </w:pPr>
      <w:r>
        <w:t>Mức độ thâm dụng vốn (Capital Intensity) là thước đo mức đầu tư mà một doanh nghiệp cần để có thể tạo ra kết quả hoạt động, và tỷ lệ doanh thu trên vốn sẽ cao hơn ở những doanh nghiệp thâm dụng vốn hơn. Vì vậy, một công ty sản xuất cần xây dựng năng lực sản xuất sẽ tạo ra ít doanh thu hơn trên mỗi đô-la vốn đầu tư so với một công ty dịch vụ. Nhìn vào các ngành có tỷ lệ doanh thu trên vốn cao nhất và thấp nhất, cùng với bảng trước đó, sẽ củng cố cho nhận định này. Các doanh nghiệp tiện ích, bất động sản và hạ tầng tạo ra ít doanh thu nhất trên mỗi đô-la vốn đầu tư, còn doanh nghiệp dịch vụ tạo ra nhiều doanh thu nhất trên mỗi đô-la vốn đầu tư, với kỹ thuật/xây dựng là trường hợp ngoại lệ.</w:t>
      </w:r>
    </w:p>
    <w:p>
      <w:pPr>
        <w:pStyle w:val="Para 03"/>
      </w:pPr>
      <w:r>
        <w:t>Vì vậy, khi đánh giá tỷ lệ doanh thu trên vốn cho một công ty cụ thể, việc xem xét ngành mà công ty đó thuộc về là hợp lý, nhưng trong chính ngành đó, mô hình kinh doanh của công ty có thể tạo nên sự khác biệt. Chẳng hạn, Tesla, dù thuộc ngành ô tô thâm dụng vốn, đã có thể tạo ra tỷ lệ doanh thu trên vốn cao hơn nhiều so với các công ty ô tô khác nhờ các kỹ thuật sản xuất sáng tạo và linh hoạt của mình.</w:t>
      </w:r>
    </w:p>
    <w:p>
      <w:bookmarkStart w:id="2122" w:name="Leads__Lags_and_Excess_Capacity"/>
      <w:pPr>
        <w:pStyle w:val="Para 21"/>
      </w:pPr>
      <w:r>
        <w:t>Độ trễ, Độ vượt trước và Năng lực dư thừa</w:t>
      </w:r>
      <w:bookmarkEnd w:id="2122"/>
    </w:p>
    <w:p>
      <w:pPr>
        <w:pStyle w:val="Para 03"/>
      </w:pPr>
      <w:r>
        <w:t>Khi các công ty đầu tư để tăng trưởng, có thể có độ trễ thời gian giữa lúc khoản đầu tư được thực hiện và lúc doanh thu từ khoản đầu tư đó xuất hiện. Ví dụ, trong ngành dược phẩm, nơi việc đầu tư thường là vào R&amp;D, các loại thuốc ra đời từ nghiên cứu thường mất nhiều năm để vượt qua quy trình phê duyệt, và có thể không tạo ra doanh thu cho đến mười năm hoặc hơn sau khi chi tiêu cho nghiên cứu. Ngược lại, một công ty tăng trưởng thông qua mua lại (acquisition) sẽ thấy doanh thu tăng trưởng cùng thời điểm, bổ sung doanh thu của mình bằng doanh thu của công ty mục tiêu trong năm mua lại. Nếu có độ trễ n năm giữa tái đầu tư và việc tạo ra doanh thu, tất cả những gì cần làm là điều chỉnh giả định tái đầu tư:</w:t>
      </w:r>
    </w:p>
    <w:p>
      <w:bookmarkStart w:id="2125" w:name="Reinvestmentt_Revenuest_n____Rev"/>
      <w:pPr>
        <w:keepNext/>
        <w:pStyle w:val="Para 09"/>
        <w:keepLines w:val="on"/>
      </w:pPr>
      <w:r>
        <w:t>Tái đầu tưt=Doanh thut+n −Doanh thu năm t+n−1Tỷ lệ Doanh thu trên Vốn Đầu tư</w:t>
      </w:r>
      <w:bookmarkEnd w:id="2125"/>
    </w:p>
    <w:p>
      <w:pPr>
        <w:pStyle w:val="Para 03"/>
      </w:pPr>
      <w:r>
        <w:t>Để thấy hiệu ứng độ trễ này sẽ diễn ra như thế nào trong định giá, hãy xem xét việc định giá một công ty như Novo Nordisk vào năm 2024. Bước vào năm đó, công ty đang kỳ vọng mức tăng trưởng lành mạnh trong vài năm tới, nhưng phần lớn mức tăng trưởng đó đến từ hai loại thuốc—Ozempic và Wegovy—vốn ra đời từ nghiên cứu được thực hiện một thập kỷ trước đó. Kết quả là công ty có thể đạt được mức tăng trưởng tương lai đó với rất ít tái đầu tư (tỷ lệ doanh thu trên vốn cao).</w:t>
      </w:r>
    </w:p>
    <w:p>
      <w:pPr>
        <w:pStyle w:val="Para 03"/>
      </w:pPr>
      <w:r>
        <w:t>Một cân nhắc khác khi ước tính tái đầu tư là năng lực dư thừa (excess capacity) của công ty, xuất phát từ việc tái đầu tư đã thực hiện trong quá khứ, bởi vì năng lực dư thừa đó có thể được dùng để tạo ra doanh thu, ít nhất là trong ngắn hạn. Chẳng hạn, nhiều công ty du thuyền vào năm 2024 đang kỳ vọng mức tăng trưởng hai chữ số trong vài năm tới, nhưng với mức sụt giảm doanh thu thảm khốc trong đại dịch, doanh thu tương lai, ngay cả với mức tăng trưởng đó, cũng chỉ đưa họ trở lại mức của năm 2019. Vì vậy, phần lớn mức tăng trưởng kỳ vọng có thể được đáp ứng bằng những con tàu du thuyền mà các công ty này đang vận hành, thay vì tàu mới, một lần nữa giúp giảm nhu cầu tái đầu tư trong tương lai gần.</w:t>
      </w:r>
    </w:p>
    <w:p>
      <w:bookmarkStart w:id="2126" w:name="Corporate_Life_Cycle__Browsing_t"/>
      <w:pPr>
        <w:pStyle w:val="Para 21"/>
      </w:pPr>
      <w:r>
        <w:t>Vòng đời Doanh nghiệp</w:t>
      </w:r>
      <w:bookmarkEnd w:id="2126"/>
    </w:p>
    <w:p>
      <w:pPr>
        <w:pStyle w:val="Para 03"/>
      </w:pPr>
      <w:r>
        <w:t>Lướt qua danh sách các ngành thâm dụng vốn nhất, bạn sẽ nhận thấy các công ty năng lượng xanh và công nghệ sinh học nằm trong danh sách. Dù cả hai ngành đều có nhu cầu đầu tư vốn, hãy lưu ý rằng các công ty năng lượng và dược phẩm truyền thống hơn lại không có trong danh sách. Dù còn có những yếu tố khác tác động, một lý do then chốt là vị trí của các ngành này trong vòng đời doanh nghiệp (corporate life cycle), khi các công ty trẻ hơn thường chật vật để tạo ra doanh thu trên lượng vốn đầu tư đáng kể, còn các công ty trưởng thành hơn làm tốt hơn, như có thể thấy trong Hình 11.6:</w:t>
      </w:r>
    </w:p>
    <w:p>
      <w:bookmarkStart w:id="2129" w:name="Figure_11_6_Reinvestment__Sale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397000"/>
            <wp:effectExtent l="0" r="0" t="0" b="0"/>
            <wp:wrapTopAndBottom/>
            <wp:docPr id="106" name="c11f005.png" descr="Line graph plots the revenues and earnings with the shift for the reinvestment across the corporate life cycle."/>
            <wp:cNvGraphicFramePr>
              <a:graphicFrameLocks noChangeAspect="1"/>
            </wp:cNvGraphicFramePr>
            <a:graphic>
              <a:graphicData uri="http://schemas.openxmlformats.org/drawingml/2006/picture">
                <pic:pic>
                  <pic:nvPicPr>
                    <pic:cNvPr id="0" name="c11f005.png" descr="Line graph plots the revenues and earnings with the shift for the reinvestment across the corporate life cycle."/>
                    <pic:cNvPicPr/>
                  </pic:nvPicPr>
                  <pic:blipFill>
                    <a:blip r:embed="rId81"/>
                    <a:stretch>
                      <a:fillRect/>
                    </a:stretch>
                  </pic:blipFill>
                  <pic:spPr>
                    <a:xfrm>
                      <a:off x="0" y="0"/>
                      <a:ext cx="2438400" cy="1397000"/>
                    </a:xfrm>
                    <a:prstGeom prst="rect">
                      <a:avLst/>
                    </a:prstGeom>
                  </pic:spPr>
                </pic:pic>
              </a:graphicData>
            </a:graphic>
          </wp:anchor>
        </w:drawing>
      </w:r>
      <w:bookmarkEnd w:id="2129"/>
    </w:p>
    <w:p>
      <w:pPr>
        <w:keepNext/>
        <w:pStyle w:val="Para 22"/>
        <w:keepLines w:val="on"/>
      </w:pPr>
      <w:r>
        <w:t>Hình 11.6 Tái đầu tư (Doanh thu trên Vốn) qua một Vòng đời Doanh nghiệp</w:t>
      </w:r>
    </w:p>
    <w:p>
      <w:pPr>
        <w:pStyle w:val="Para 03"/>
      </w:pPr>
      <w:r>
        <w:t>Hàm ý cho định giá là khá rõ ràng. Khi định giá các công ty trẻ hoặc tăng trưởng cao, bạn nên tránh dùng tỷ lệ doanh thu trên vốn hiện tại của công ty làm giá trị dự báo cho tương lai, mà nên dựa nhiều hơn vào mức trung bình ngành hoặc các chuẩn mực được ước tính một cách chủ quan. Khi các công ty trưởng thành, thông tin từ tỷ lệ doanh thu trên vốn trong quá khứ sẽ tăng lên, và bạn có thể lập luận vững chắc hơn cho việc dùng chúng làm giá trị dự báo.</w:t>
      </w:r>
    </w:p>
    <w:p>
      <w:bookmarkStart w:id="2131" w:name="Summing_Up__In_keeping_with_the"/>
      <w:bookmarkStart w:id="2132" w:name="Summing_Up_2"/>
      <w:pPr>
        <w:keepNext/>
        <w:pStyle w:val="Heading 4"/>
        <w:keepLines w:val="on"/>
      </w:pPr>
      <w:r>
        <w:t>Tổng kết</w:t>
      </w:r>
      <w:bookmarkEnd w:id="2131"/>
      <w:bookmarkEnd w:id="2132"/>
    </w:p>
    <w:p>
      <w:pPr>
        <w:pStyle w:val="Para 03"/>
      </w:pPr>
      <w:r>
        <w:t>Đúng theo châm ngôn rằng tăng trưởng đòi hỏi tái đầu tư, điều quan trọng là bạn phải gắn các ước tính tái đầu tư của mình với các ước tính tăng trưởng cho một công ty, vì sự gia tăng ở một yếu tố (thường là tăng trưởng) sẽ dẫn đến sự gia tăng ở yếu tố kia (tái đầu tư). Chính vì mối liên kết này bị phá vỡ mà các nhà phân tích và công ty rơi vào cái bẫy tin rằng tăng trưởng luôn là điều tích cực, làm gia tăng giá trị khi nó tăng lên. Các yếu tố quyết định chính của tỷ lệ doanh thu trên vốn, cùng các đầu vào có thể dùng để ước tính nó, được trình bày trong Hình 11.7.</w:t>
      </w:r>
    </w:p>
    <w:p>
      <w:bookmarkStart w:id="2134" w:name="Figure_11_7_Estimating_Reinvestm"/>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1562100"/>
            <wp:effectExtent l="0" r="0" t="0" b="0"/>
            <wp:wrapTopAndBottom/>
            <wp:docPr id="107" name="c11f006.png" descr="Illustration summarizing the current and future sales to capital as the key determinants to estimate the reinvestment."/>
            <wp:cNvGraphicFramePr>
              <a:graphicFrameLocks noChangeAspect="1"/>
            </wp:cNvGraphicFramePr>
            <a:graphic>
              <a:graphicData uri="http://schemas.openxmlformats.org/drawingml/2006/picture">
                <pic:pic>
                  <pic:nvPicPr>
                    <pic:cNvPr id="0" name="c11f006.png" descr="Illustration summarizing the current and future sales to capital as the key determinants to estimate the reinvestment."/>
                    <pic:cNvPicPr/>
                  </pic:nvPicPr>
                  <pic:blipFill>
                    <a:blip r:embed="rId82"/>
                    <a:stretch>
                      <a:fillRect/>
                    </a:stretch>
                  </pic:blipFill>
                  <pic:spPr>
                    <a:xfrm>
                      <a:off x="0" y="0"/>
                      <a:ext cx="2425700" cy="1562100"/>
                    </a:xfrm>
                    <a:prstGeom prst="rect">
                      <a:avLst/>
                    </a:prstGeom>
                  </pic:spPr>
                </pic:pic>
              </a:graphicData>
            </a:graphic>
          </wp:anchor>
        </w:drawing>
      </w:r>
      <w:bookmarkEnd w:id="2134"/>
    </w:p>
    <w:p>
      <w:pPr>
        <w:keepNext/>
        <w:pStyle w:val="Para 22"/>
        <w:keepLines w:val="on"/>
      </w:pPr>
      <w:r>
        <w:t>HÌNH 11.7 Ước tính Tái đầu tư (Doanh thu trên Vốn đầu tư)</w:t>
      </w:r>
    </w:p>
    <w:p>
      <w:pPr>
        <w:pStyle w:val="Para 11"/>
      </w:pPr>
      <w:r>
        <w:t/>
        <w:t xml:space="preserve"> </w:t>
      </w:r>
    </w:p>
    <w:p>
      <w:bookmarkStart w:id="2135" w:name="ILLUSTRATION_11_14__Estimating_R"/>
      <w:bookmarkStart w:id="2136" w:name="ILLUSTRATION_11_14__Estimating_R_1"/>
      <w:pPr>
        <w:keepNext/>
        <w:pStyle w:val="Para 19"/>
        <w:keepLines w:val="on"/>
      </w:pPr>
      <w:r>
        <w:t>MINH HỌA 11.14: Ước tính Tái đầu tư cho Airbnb (IPO năm 2020)</w:t>
      </w:r>
      <w:bookmarkEnd w:id="2135"/>
      <w:bookmarkEnd w:id="2136"/>
    </w:p>
    <w:p>
      <w:pPr>
        <w:pStyle w:val="Para 04"/>
        <w:keepLines w:val="on"/>
      </w:pPr>
      <w:r>
        <w:t>Để ước tính Airbnb sẽ phải đầu tư bao nhiêu để tạo ra mức tăng trưởng doanh thu kỳ vọng, chúng tôi đã xem xét lịch sử của Airbnb cũng như tỷ lệ doanh thu trên vốn đầu tư bình quân của các trung gian du lịch khác:</w:t>
      </w:r>
    </w:p>
    <w:p>
      <w:bookmarkStart w:id="2138" w:name="Airbnb_s_marginal_sales_to_inves"/>
      <w:pPr>
        <w:keepNext/>
        <w:pStyle w:val="Para 07"/>
        <w:keepLines w:val="on"/>
      </w:pPr>
      <w:r>
        <w:t>Tỷ lệ doanh thu biên trên vốn đầu tư của Airbnb năm 2019 = 1,86</w:t>
      </w:r>
      <w:bookmarkEnd w:id="2138"/>
    </w:p>
    <w:p>
      <w:bookmarkStart w:id="2139" w:name="Average_sales_to_capital_ratio_f"/>
      <w:pPr>
        <w:keepNext/>
        <w:pStyle w:val="Para 07"/>
        <w:keepLines w:val="on"/>
      </w:pPr>
      <w:r>
        <w:t>Tỷ lệ doanh thu trên vốn bình quân của Booking &amp; Expedia = 2,03</w:t>
      </w:r>
      <w:bookmarkEnd w:id="2139"/>
    </w:p>
    <w:p>
      <w:pPr>
        <w:pStyle w:val="Para 04"/>
        <w:keepLines w:val="on"/>
      </w:pPr>
      <w:r>
        <w:t>Chúng tôi quyết định sử dụng tỷ lệ doanh thu trên vốn đầu tư là 2,00 cho Airbnb, qua đó thực chất khiến khoản tái đầu tư bằng một nửa mức thay đổi doanh thu hằng năm, mỗi năm (với tất cả số liệu tính bằng triệu đô la):</w:t>
      </w:r>
    </w:p>
    <w:p>
      <w:pPr>
        <w:pStyle w:val="Para 40"/>
        <w:keepLines w:val="on"/>
      </w:pPr>
      <w:r>
        <w:rPr>
          <w:rStyle w:val="Text26"/>
        </w:rPr>
        <w:bookmarkStart w:id="2140" w:name="Page_335"/>
        <w:t/>
        <w:bookmarkEnd w:id="2140"/>
      </w:r>
      <w:r>
        <w:t xml:space="preserve"> </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Doanh thu</w:t>
                  </w:r>
                </w:p>
              </w:tc>
              <w:tc>
                <w:tcPr>
                  <w:tcW w:type="auto" w:w="0"/>
                  <w:shd w:val="clear" w:color="auto" w:fill="F0F0F0"/>
                  <w:vAlign w:val="bottom"/>
                </w:tcPr>
                <w:p>
                  <w:pPr>
                    <w:pStyle w:val="Para 05"/>
                    <w:keepLines w:val="on"/>
                  </w:pPr>
                  <w:r>
                    <w:t>– Doanh thu</w:t>
                  </w:r>
                </w:p>
              </w:tc>
              <w:tc>
                <w:tcPr>
                  <w:tcW w:type="auto" w:w="0"/>
                  <w:shd w:val="clear" w:color="auto" w:fill="F0F0F0"/>
                  <w:vAlign w:val="bottom"/>
                </w:tcPr>
                <w:p>
                  <w:pPr>
                    <w:pStyle w:val="Para 05"/>
                    <w:keepLines w:val="on"/>
                  </w:pPr>
                  <w:r>
                    <w:t>Doanh thu trên Vốn</w:t>
                  </w:r>
                </w:p>
              </w:tc>
              <w:tc>
                <w:tcPr>
                  <w:tcW w:type="auto" w:w="0"/>
                  <w:shd w:val="clear" w:color="auto" w:fill="F0F0F0"/>
                  <w:vAlign w:val="bottom"/>
                </w:tcPr>
                <w:p>
                  <w:pPr>
                    <w:pStyle w:val="Para 05"/>
                    <w:keepLines w:val="on"/>
                  </w:pPr>
                  <w:r>
                    <w:t>Tái đầu tư</w:t>
                  </w:r>
                </w:p>
              </w:tc>
              <w:tc>
                <w:tcPr>
                  <w:tcW w:type="auto" w:w="0"/>
                  <w:shd w:val="clear" w:color="auto" w:fill="F0F0F0"/>
                  <w:vAlign w:val="bottom"/>
                </w:tcPr>
                <w:p>
                  <w:pPr>
                    <w:pStyle w:val="Para 05"/>
                    <w:keepLines w:val="on"/>
                  </w:pPr>
                  <w:r>
                    <w:t>EBIT(1–t)</w:t>
                  </w:r>
                </w:p>
              </w:tc>
              <w:tc>
                <w:tcPr>
                  <w:tcW w:type="auto" w:w="0"/>
                  <w:shd w:val="clear" w:color="auto" w:fill="F0F0F0"/>
                  <w:vAlign w:val="bottom"/>
                </w:tcPr>
                <w:p>
                  <w:pPr>
                    <w:pStyle w:val="Para 05"/>
                    <w:keepLines w:val="on"/>
                  </w:pPr>
                  <w:r>
                    <w:t>FCFF</w:t>
                  </w:r>
                </w:p>
              </w:tc>
            </w:tr>
            <w:tr>
              <w:tc>
                <w:tcPr>
                  <w:tcW w:type="auto" w:w="0"/>
                  <w:shd w:val="clear" w:color="auto" w:fill="F0F0F0"/>
                </w:tcPr>
                <w:p>
                  <w:pPr>
                    <w:pStyle w:val="Normal"/>
                    <w:keepLines w:val="on"/>
                  </w:pPr>
                  <w:r>
                    <w:t>Năm cơ sở</w:t>
                  </w:r>
                </w:p>
              </w:tc>
              <w:tc>
                <w:tcPr>
                  <w:tcW w:type="auto" w:w="0"/>
                  <w:shd w:val="clear" w:color="auto" w:fill="F0F0F0"/>
                </w:tcPr>
                <w:p>
                  <w:pPr>
                    <w:pStyle w:val="Normal"/>
                    <w:keepLines w:val="on"/>
                  </w:pPr>
                  <w:r>
                    <w:t>$3.626</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–$818</w:t>
                  </w:r>
                </w:p>
              </w:tc>
              <w:tc>
                <w:tcPr>
                  <w:tcW w:type="auto" w:w="0"/>
                  <w:shd w:val="clear" w:color="auto" w:fill="F0F0F0"/>
                </w:tcPr>
                <w:p>
                  <w:pPr>
                    <w:pStyle w:val="7 Block"/>
                    <w:keepLines w:val="on"/>
                  </w:pP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$4.692</w:t>
                  </w:r>
                </w:p>
              </w:tc>
              <w:tc>
                <w:tcPr>
                  <w:tcW w:type="auto" w:w="0"/>
                  <w:shd w:val="clear" w:color="auto" w:fill="F0F0F0"/>
                </w:tcPr>
                <w:p>
                  <w:pPr>
                    <w:pStyle w:val="Normal"/>
                    <w:keepLines w:val="on"/>
                  </w:pPr>
                  <w:r>
                    <w:t>$1.066</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$533</w:t>
                  </w:r>
                </w:p>
              </w:tc>
              <w:tc>
                <w:tcPr>
                  <w:tcW w:type="auto" w:w="0"/>
                  <w:shd w:val="clear" w:color="auto" w:fill="F0F0F0"/>
                </w:tcPr>
                <w:p>
                  <w:pPr>
                    <w:pStyle w:val="Normal"/>
                    <w:keepLines w:val="on"/>
                  </w:pPr>
                  <w:r>
                    <w:t>−$469</w:t>
                  </w:r>
                </w:p>
              </w:tc>
              <w:tc>
                <w:tcPr>
                  <w:tcW w:type="auto" w:w="0"/>
                  <w:shd w:val="clear" w:color="auto" w:fill="F0F0F0"/>
                </w:tcPr>
                <w:p>
                  <w:pPr>
                    <w:pStyle w:val="Normal"/>
                    <w:keepLines w:val="on"/>
                  </w:pPr>
                  <w:r>
                    <w:t>−$1.002</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$5.990</w:t>
                  </w:r>
                </w:p>
              </w:tc>
              <w:tc>
                <w:tcPr>
                  <w:tcW w:type="auto" w:w="0"/>
                  <w:shd w:val="clear" w:color="auto" w:fill="F0F0F0"/>
                </w:tcPr>
                <w:p>
                  <w:pPr>
                    <w:pStyle w:val="Normal"/>
                    <w:keepLines w:val="on"/>
                  </w:pPr>
                  <w:r>
                    <w:t>$1.298</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$649</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−$829</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$7.565</w:t>
                  </w:r>
                </w:p>
              </w:tc>
              <w:tc>
                <w:tcPr>
                  <w:tcW w:type="auto" w:w="0"/>
                  <w:shd w:val="clear" w:color="auto" w:fill="F0F0F0"/>
                </w:tcPr>
                <w:p>
                  <w:pPr>
                    <w:pStyle w:val="Normal"/>
                    <w:keepLines w:val="on"/>
                  </w:pPr>
                  <w:r>
                    <w:t>$1.576</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$788</w:t>
                  </w:r>
                </w:p>
              </w:tc>
              <w:tc>
                <w:tcPr>
                  <w:tcW w:type="auto" w:w="0"/>
                  <w:shd w:val="clear" w:color="auto" w:fill="F0F0F0"/>
                </w:tcPr>
                <w:p>
                  <w:pPr>
                    <w:pStyle w:val="Normal"/>
                    <w:keepLines w:val="on"/>
                  </w:pPr>
                  <w:r>
                    <w:t>$38</w:t>
                  </w:r>
                </w:p>
              </w:tc>
              <w:tc>
                <w:tcPr>
                  <w:tcW w:type="auto" w:w="0"/>
                  <w:shd w:val="clear" w:color="auto" w:fill="F0F0F0"/>
                </w:tcPr>
                <w:p>
                  <w:pPr>
                    <w:pStyle w:val="Normal"/>
                    <w:keepLines w:val="on"/>
                  </w:pPr>
                  <w:r>
                    <w:t>−$750</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$9.555</w:t>
                  </w:r>
                </w:p>
              </w:tc>
              <w:tc>
                <w:tcPr>
                  <w:tcW w:type="auto" w:w="0"/>
                  <w:shd w:val="clear" w:color="auto" w:fill="F0F0F0"/>
                </w:tcPr>
                <w:p>
                  <w:pPr>
                    <w:pStyle w:val="Normal"/>
                    <w:keepLines w:val="on"/>
                  </w:pPr>
                  <w:r>
                    <w:t>$1.989</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$995</w:t>
                  </w:r>
                </w:p>
              </w:tc>
              <w:tc>
                <w:tcPr>
                  <w:tcW w:type="auto" w:w="0"/>
                  <w:shd w:val="clear" w:color="auto" w:fill="F0F0F0"/>
                </w:tcPr>
                <w:p>
                  <w:pPr>
                    <w:pStyle w:val="Normal"/>
                    <w:keepLines w:val="on"/>
                  </w:pPr>
                  <w:r>
                    <w:t>$382</w:t>
                  </w:r>
                </w:p>
              </w:tc>
              <w:tc>
                <w:tcPr>
                  <w:tcW w:type="auto" w:w="0"/>
                  <w:shd w:val="clear" w:color="auto" w:fill="F0F0F0"/>
                </w:tcPr>
                <w:p>
                  <w:pPr>
                    <w:pStyle w:val="Normal"/>
                    <w:keepLines w:val="on"/>
                  </w:pPr>
                  <w:r>
                    <w:t>−$612</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$12.066</w:t>
                  </w:r>
                </w:p>
              </w:tc>
              <w:tc>
                <w:tcPr>
                  <w:tcW w:type="auto" w:w="0"/>
                  <w:shd w:val="clear" w:color="auto" w:fill="F0F0F0"/>
                </w:tcPr>
                <w:p>
                  <w:pPr>
                    <w:pStyle w:val="Normal"/>
                    <w:keepLines w:val="on"/>
                  </w:pPr>
                  <w:r>
                    <w:t>$2.511</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$1.255</w:t>
                  </w:r>
                </w:p>
              </w:tc>
              <w:tc>
                <w:tcPr>
                  <w:tcW w:type="auto" w:w="0"/>
                  <w:shd w:val="clear" w:color="auto" w:fill="F0F0F0"/>
                </w:tcPr>
                <w:p>
                  <w:pPr>
                    <w:pStyle w:val="Normal"/>
                    <w:keepLines w:val="on"/>
                  </w:pPr>
                  <w:r>
                    <w:t>$778</w:t>
                  </w:r>
                </w:p>
              </w:tc>
              <w:tc>
                <w:tcPr>
                  <w:tcW w:type="auto" w:w="0"/>
                  <w:shd w:val="clear" w:color="auto" w:fill="F0F0F0"/>
                </w:tcPr>
                <w:p>
                  <w:pPr>
                    <w:pStyle w:val="Normal"/>
                    <w:keepLines w:val="on"/>
                  </w:pPr>
                  <w:r>
                    <w:t>−$478</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14.674 đô la</w:t>
                  </w:r>
                </w:p>
              </w:tc>
              <w:tc>
                <w:tcPr>
                  <w:tcW w:type="auto" w:w="0"/>
                  <w:shd w:val="clear" w:color="auto" w:fill="F0F0F0"/>
                </w:tcPr>
                <w:p>
                  <w:pPr>
                    <w:pStyle w:val="Normal"/>
                    <w:keepLines w:val="on"/>
                  </w:pPr>
                  <w:r>
                    <w:t>2.609 đô la</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1.304 đô la</w:t>
                  </w:r>
                </w:p>
              </w:tc>
              <w:tc>
                <w:tcPr>
                  <w:tcW w:type="auto" w:w="0"/>
                  <w:shd w:val="clear" w:color="auto" w:fill="F0F0F0"/>
                </w:tcPr>
                <w:p>
                  <w:pPr>
                    <w:pStyle w:val="Normal"/>
                    <w:keepLines w:val="on"/>
                  </w:pPr>
                  <w:r>
                    <w:t>658 đô la</w:t>
                  </w:r>
                </w:p>
              </w:tc>
              <w:tc>
                <w:tcPr>
                  <w:tcW w:type="auto" w:w="0"/>
                  <w:shd w:val="clear" w:color="auto" w:fill="F0F0F0"/>
                </w:tcPr>
                <w:p>
                  <w:pPr>
                    <w:pStyle w:val="Normal"/>
                    <w:keepLines w:val="on"/>
                  </w:pPr>
                  <w:r>
                    <w:t>−647 đô la</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17.163 đô la</w:t>
                  </w:r>
                </w:p>
              </w:tc>
              <w:tc>
                <w:tcPr>
                  <w:tcW w:type="auto" w:w="0"/>
                  <w:shd w:val="clear" w:color="auto" w:fill="F0F0F0"/>
                </w:tcPr>
                <w:p>
                  <w:pPr>
                    <w:pStyle w:val="Normal"/>
                    <w:keepLines w:val="on"/>
                  </w:pPr>
                  <w:r>
                    <w:t>2.489 đô la</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1.244 đô la</w:t>
                  </w:r>
                </w:p>
              </w:tc>
              <w:tc>
                <w:tcPr>
                  <w:tcW w:type="auto" w:w="0"/>
                  <w:shd w:val="clear" w:color="auto" w:fill="F0F0F0"/>
                </w:tcPr>
                <w:p>
                  <w:pPr>
                    <w:pStyle w:val="Normal"/>
                    <w:keepLines w:val="on"/>
                  </w:pPr>
                  <w:r>
                    <w:t>1.382 đô la</w:t>
                  </w:r>
                </w:p>
              </w:tc>
              <w:tc>
                <w:tcPr>
                  <w:tcW w:type="auto" w:w="0"/>
                  <w:shd w:val="clear" w:color="auto" w:fill="F0F0F0"/>
                </w:tcPr>
                <w:p>
                  <w:pPr>
                    <w:pStyle w:val="Normal"/>
                    <w:keepLines w:val="on"/>
                  </w:pPr>
                  <w:r>
                    <w:t>137 đô la</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19.275 đô la</w:t>
                  </w:r>
                </w:p>
              </w:tc>
              <w:tc>
                <w:tcPr>
                  <w:tcW w:type="auto" w:w="0"/>
                  <w:shd w:val="clear" w:color="auto" w:fill="F0F0F0"/>
                </w:tcPr>
                <w:p>
                  <w:pPr>
                    <w:pStyle w:val="Normal"/>
                    <w:keepLines w:val="on"/>
                  </w:pPr>
                  <w:r>
                    <w:t>2.112 đô la</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1.056 đô la</w:t>
                  </w:r>
                </w:p>
              </w:tc>
              <w:tc>
                <w:tcPr>
                  <w:tcW w:type="auto" w:w="0"/>
                  <w:shd w:val="clear" w:color="auto" w:fill="F0F0F0"/>
                </w:tcPr>
                <w:p>
                  <w:pPr>
                    <w:pStyle w:val="Normal"/>
                    <w:keepLines w:val="on"/>
                  </w:pPr>
                  <w:r>
                    <w:t>2.239 đô la</w:t>
                  </w:r>
                </w:p>
              </w:tc>
              <w:tc>
                <w:tcPr>
                  <w:tcW w:type="auto" w:w="0"/>
                  <w:shd w:val="clear" w:color="auto" w:fill="F0F0F0"/>
                </w:tcPr>
                <w:p>
                  <w:pPr>
                    <w:pStyle w:val="Normal"/>
                    <w:keepLines w:val="on"/>
                  </w:pPr>
                  <w:r>
                    <w:t>1.183 đô la</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20.749 đô la</w:t>
                  </w:r>
                </w:p>
              </w:tc>
              <w:tc>
                <w:tcPr>
                  <w:tcW w:type="auto" w:w="0"/>
                  <w:shd w:val="clear" w:color="auto" w:fill="F0F0F0"/>
                </w:tcPr>
                <w:p>
                  <w:pPr>
                    <w:pStyle w:val="Normal"/>
                    <w:keepLines w:val="on"/>
                  </w:pPr>
                  <w:r>
                    <w:t>1.474 đô la</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$737</w:t>
                  </w:r>
                </w:p>
              </w:tc>
              <w:tc>
                <w:tcPr>
                  <w:tcW w:type="auto" w:w="0"/>
                  <w:shd w:val="clear" w:color="auto" w:fill="F0F0F0"/>
                </w:tcPr>
                <w:p>
                  <w:pPr>
                    <w:pStyle w:val="Normal"/>
                    <w:keepLines w:val="on"/>
                  </w:pPr>
                  <w:r>
                    <w:t>$3,150</w:t>
                  </w:r>
                </w:p>
              </w:tc>
              <w:tc>
                <w:tcPr>
                  <w:tcW w:type="auto" w:w="0"/>
                  <w:shd w:val="clear" w:color="auto" w:fill="F0F0F0"/>
                </w:tcPr>
                <w:p>
                  <w:pPr>
                    <w:pStyle w:val="Normal"/>
                    <w:keepLines w:val="on"/>
                  </w:pPr>
                  <w:r>
                    <w:t>$2,413</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$21,370</w:t>
                  </w:r>
                </w:p>
              </w:tc>
              <w:tc>
                <w:tcPr>
                  <w:tcW w:type="auto" w:w="0"/>
                  <w:shd w:val="clear" w:color="auto" w:fill="F0F0F0"/>
                </w:tcPr>
                <w:p>
                  <w:pPr>
                    <w:pStyle w:val="Normal"/>
                    <w:keepLines w:val="on"/>
                  </w:pPr>
                  <w:r>
                    <w:t>$621</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$311</w:t>
                  </w:r>
                </w:p>
              </w:tc>
              <w:tc>
                <w:tcPr>
                  <w:tcW w:type="auto" w:w="0"/>
                  <w:shd w:val="clear" w:color="auto" w:fill="F0F0F0"/>
                </w:tcPr>
                <w:p>
                  <w:pPr>
                    <w:pStyle w:val="Normal"/>
                    <w:keepLines w:val="on"/>
                  </w:pPr>
                  <w:r>
                    <w:t>$4,007</w:t>
                  </w:r>
                </w:p>
              </w:tc>
              <w:tc>
                <w:tcPr>
                  <w:tcW w:type="auto" w:w="0"/>
                  <w:shd w:val="clear" w:color="auto" w:fill="F0F0F0"/>
                </w:tcPr>
                <w:p>
                  <w:pPr>
                    <w:pStyle w:val="Normal"/>
                    <w:keepLines w:val="on"/>
                  </w:pPr>
                  <w:r>
                    <w:t>$3,696</w:t>
                  </w:r>
                </w:p>
              </w:tc>
            </w:tr>
          </w:tbl>
          <w:p/>
        </w:tc>
      </w:tr>
    </w:tbl>
    <w:p>
      <w:pPr>
        <w:pStyle w:val="Para 04"/>
        <w:keepLines w:val="on"/>
      </w:pPr>
      <w:r>
        <w:t>Thực ra chúng ta đang giả định rằng việc tái đầu tư và tăng trưởng doanh số diễn ra cùng lúc, nhưng giả định đó có thể được nới lỏng một cách dễ dàng, cho phép có độ trễ giữa tái đầu tư và tăng trưởng. Như vậy, với độ trễ một năm, khoản tái đầu tư trong năm 1 sẽ dựa trên mức thay đổi kỳ vọng của doanh số trong năm 2, và cứ tiếp tục như vậy.</w:t>
      </w:r>
    </w:p>
    <w:p>
      <w:bookmarkStart w:id="2141" w:name="Sanity_Checks__One_of_the_danger"/>
      <w:bookmarkStart w:id="2142" w:name="Sanity_Checks"/>
      <w:pPr>
        <w:keepNext/>
        <w:pStyle w:val="Heading 3"/>
        <w:keepLines w:val="on"/>
      </w:pPr>
      <w:r>
        <w:t>Kiểm tra tính hợp lý</w:t>
      </w:r>
      <w:bookmarkEnd w:id="2141"/>
      <w:bookmarkEnd w:id="2142"/>
    </w:p>
    <w:p>
      <w:pPr>
        <w:pStyle w:val="Para 03"/>
      </w:pPr>
      <w:r>
        <w:t>Một trong những nguy hiểm mà bạn gặp phải khi sử dụng tỷ lệ doanh số trên vốn để xác định nhu cầu tái đầu tư là bạn có thể đánh giá thấp hoặc đánh giá quá cao nhu cầu tái đầu tư của mình. Bạn có thể theo dõi xem điều này có đang xảy ra hay không và điều chỉnh khi nó xảy ra bằng cách đồng thời ước tính tỷ suất sinh lợi trên vốn sau thuế của công ty mỗi năm thông qua quá trình phân tích. Để ước tính tỷ suất sinh lợi trên vốn trong một năm tương lai, bạn lấy thu nhập hoạt động sau thuế ước tính trong năm đó chia cho tổng vốn đầu tư vào công ty trong năm đó. Con số thứ nhất đến từ các ước tính của bạn về tăng trưởng doanh thu và biên lợi nhuận hoạt động, còn con số thứ hai có thể được ước tính bằng cách cộng dồn khoản tái đầu tư mà công ty thực hiện suốt cho đến năm tương lai đó. Ví dụ, một công ty có 500 triệu đô-la vốn đầu tư hiện tại, và được giả định sẽ tái đầu tư 300 triệu đô-la vào năm tới, và 400 triệu đô-la vào năm sau đó, sẽ có vốn đầu tư là 1,2 tỷ đô-la vào cuối năm thứ hai.</w:t>
      </w:r>
    </w:p>
    <w:p>
      <w:pPr>
        <w:pStyle w:val="Para 03"/>
      </w:pPr>
      <w:r>
        <w:t>Đối với những công ty đang thua lỗ hiện nay, tỷ suất sinh lợi trên vốn sẽ là một con số âm khi bắt đầu ước tính nhưng sẽ cải thiện khi biên lợi nhuận cải thiện. Nếu bạn tái đầu tư quá ít, tỷ suất sinh lợi trên vốn trong những năm sau sẽ quá cao, còn nếu bạn không tái đầu tư đủ, nó sẽ quá thấp. Bạn hỏi quá thấp hoặc quá cao so với cái gì ư? Có hai sự so sánh đáng để thực hiện. Thứ nhất là so với tỷ suất sinh lợi trên vốn trung bình của các công ty trưởng thành trong ngành mà công ty bạn hoạt động—các công ty ô tô trưởng thành trong trường hợp của Tesla Motors. Thứ hai là so với chi phí vốn của chính công ty. Một tỷ suất sinh lợi trên vốn dự phóng là 40 phần trăm cho một công ty, với chi phí vốn là 10 phần trăm trong một lĩnh vực mà tỷ suất sinh lợi trên vốn dao động quanh mức 15 phần trăm, là một dấu hiệu cho thấy công ty đang đầu tư quá ít cho mức tăng trưởng doanh thu và biên lợi nhuận hoạt động dự phóng. Việc giảm tỷ lệ doanh số trên vốn cho đến khi tỷ suất sinh lợi trên vốn hội tụ về mức 15 phần trăm sẽ là khôn ngoan.</w:t>
      </w:r>
    </w:p>
    <w:p>
      <w:pPr>
        <w:pStyle w:val="Para 11"/>
      </w:pPr>
      <w:r>
        <w:t/>
        <w:t xml:space="preserve"> </w:t>
      </w:r>
      <w:r>
        <w:rPr>
          <w:rStyle w:val="Text26"/>
        </w:rPr>
        <w:bookmarkStart w:id="2143" w:name="Page_336"/>
        <w:t/>
        <w:bookmarkEnd w:id="2143"/>
      </w:r>
      <w:r>
        <w:t xml:space="preserve"> </w:t>
      </w:r>
    </w:p>
    <w:p>
      <w:bookmarkStart w:id="2144" w:name="ILLUSTRATION_11_15__Estimated_Im"/>
      <w:bookmarkStart w:id="2145" w:name="ILLUSTRATION_11_15__Estimated_Im_1"/>
      <w:pPr>
        <w:keepNext/>
        <w:pStyle w:val="Para 19"/>
        <w:keepLines w:val="on"/>
      </w:pPr>
      <w:r>
        <w:t>MINH HỌA 11.15: Tỷ suất sinh lợi trên vốn quy gán ước tính cho Airbnb</w:t>
      </w:r>
      <w:bookmarkEnd w:id="2144"/>
      <w:bookmarkEnd w:id="2145"/>
    </w:p>
    <w:p>
      <w:pPr>
        <w:pStyle w:val="Para 04"/>
        <w:keepLines w:val="on"/>
      </w:pPr>
      <w:r>
        <w:t>Trong các minh họa 11.13 và 11.14, đã ước tính thu nhập hoạt động kỳ vọng và khoản tái đầu tư cho Airbnb. Với phần thứ nhất, chúng ta giả định rằng công ty sẽ chuyển từ một doanh nghiệp thua lỗ sang một công ty kiếm tiền lành mạnh, với biên lợi nhuận hoạt động trước thuế là 25%. Với phần thứ hai, mỗi năm tái đầu tư đều làm tăng vốn đầu tư, nâng từ một giá trị âm ở đầu giai đoạn lên một giá trị bền vững hơn nhiều vào năm kết thúc (với tất cả giá trị đô-la tính bằng triệu):</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Doanh thu</w:t>
                  </w:r>
                </w:p>
              </w:tc>
              <w:tc>
                <w:tcPr>
                  <w:tcW w:type="auto" w:w="0"/>
                  <w:shd w:val="clear" w:color="auto" w:fill="F0F0F0"/>
                  <w:vAlign w:val="bottom"/>
                </w:tcPr>
                <w:p>
                  <w:pPr>
                    <w:pStyle w:val="Para 05"/>
                    <w:keepLines w:val="on"/>
                  </w:pPr>
                  <w:r>
                    <w:t>EBIT(1–t)</w:t>
                  </w:r>
                </w:p>
              </w:tc>
              <w:tc>
                <w:tcPr>
                  <w:tcW w:type="auto" w:w="0"/>
                  <w:shd w:val="clear" w:color="auto" w:fill="F0F0F0"/>
                  <w:vAlign w:val="bottom"/>
                </w:tcPr>
                <w:p>
                  <w:pPr>
                    <w:pStyle w:val="Para 05"/>
                    <w:keepLines w:val="on"/>
                  </w:pPr>
                  <w:r>
                    <w:t>– Tái đầu tư</w:t>
                  </w:r>
                </w:p>
              </w:tc>
              <w:tc>
                <w:tcPr>
                  <w:tcW w:type="auto" w:w="0"/>
                  <w:shd w:val="clear" w:color="auto" w:fill="F0F0F0"/>
                  <w:vAlign w:val="bottom"/>
                </w:tcPr>
                <w:p>
                  <w:pPr>
                    <w:pStyle w:val="Para 05"/>
                    <w:keepLines w:val="on"/>
                  </w:pPr>
                  <w:r>
                    <w:t>Vốn đầu tư</w:t>
                  </w:r>
                </w:p>
              </w:tc>
              <w:tc>
                <w:tcPr>
                  <w:tcW w:type="auto" w:w="0"/>
                  <w:shd w:val="clear" w:color="auto" w:fill="F0F0F0"/>
                  <w:vAlign w:val="bottom"/>
                </w:tcPr>
                <w:p>
                  <w:pPr>
                    <w:pStyle w:val="Para 05"/>
                    <w:keepLines w:val="on"/>
                  </w:pPr>
                  <w:r>
                    <w:t>ROIC</w:t>
                  </w:r>
                </w:p>
              </w:tc>
            </w:tr>
            <w:tr>
              <w:tc>
                <w:tcPr>
                  <w:tcW w:type="auto" w:w="0"/>
                  <w:shd w:val="clear" w:color="auto" w:fill="F0F0F0"/>
                </w:tcPr>
                <w:p>
                  <w:pPr>
                    <w:pStyle w:val="Normal"/>
                    <w:keepLines w:val="on"/>
                  </w:pPr>
                  <w:r>
                    <w:t>Năm cơ sở</w:t>
                  </w:r>
                </w:p>
              </w:tc>
              <w:tc>
                <w:tcPr>
                  <w:tcW w:type="auto" w:w="0"/>
                  <w:shd w:val="clear" w:color="auto" w:fill="F0F0F0"/>
                </w:tcPr>
                <w:p>
                  <w:pPr>
                    <w:pStyle w:val="Normal"/>
                    <w:keepLines w:val="on"/>
                  </w:pPr>
                  <w:r>
                    <w:t>$3,626</w:t>
                  </w:r>
                </w:p>
              </w:tc>
              <w:tc>
                <w:tcPr>
                  <w:tcW w:type="auto" w:w="0"/>
                  <w:shd w:val="clear" w:color="auto" w:fill="F0F0F0"/>
                </w:tcPr>
                <w:p>
                  <w:pPr>
                    <w:pStyle w:val="Normal"/>
                    <w:keepLines w:val="on"/>
                  </w:pPr>
                  <w:r>
                    <w:t>($818)</w:t>
                  </w:r>
                </w:p>
              </w:tc>
              <w:tc>
                <w:tcPr>
                  <w:tcW w:type="auto" w:w="0"/>
                  <w:shd w:val="clear" w:color="auto" w:fill="F0F0F0"/>
                </w:tcPr>
                <w:p>
                  <w:pPr>
                    <w:pStyle w:val="7 Block"/>
                    <w:keepLines w:val="on"/>
                  </w:pPr>
                </w:p>
              </w:tc>
              <w:tc>
                <w:tcPr>
                  <w:tcW w:type="auto" w:w="0"/>
                  <w:shd w:val="clear" w:color="auto" w:fill="F0F0F0"/>
                </w:tcPr>
                <w:p>
                  <w:pPr>
                    <w:pStyle w:val="Normal"/>
                    <w:keepLines w:val="on"/>
                  </w:pPr>
                  <w:r>
                    <w:t>1,370</w:t>
                  </w:r>
                </w:p>
              </w:tc>
              <w:tc>
                <w:tcPr>
                  <w:tcW w:type="auto" w:w="0"/>
                  <w:shd w:val="clear" w:color="auto" w:fill="F0F0F0"/>
                </w:tcPr>
                <w:p>
                  <w:pPr>
                    <w:pStyle w:val="Normal"/>
                    <w:keepLines w:val="on"/>
                  </w:pPr>
                  <w:r>
                    <w:t>−36,24%</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$4.692</w:t>
                  </w:r>
                </w:p>
              </w:tc>
              <w:tc>
                <w:tcPr>
                  <w:tcW w:type="auto" w:w="0"/>
                  <w:shd w:val="clear" w:color="auto" w:fill="F0F0F0"/>
                </w:tcPr>
                <w:p>
                  <w:pPr>
                    <w:pStyle w:val="Normal"/>
                    <w:keepLines w:val="on"/>
                  </w:pPr>
                  <w:r>
                    <w:t>($469)</w:t>
                  </w:r>
                </w:p>
              </w:tc>
              <w:tc>
                <w:tcPr>
                  <w:tcW w:type="auto" w:w="0"/>
                  <w:shd w:val="clear" w:color="auto" w:fill="F0F0F0"/>
                </w:tcPr>
                <w:p>
                  <w:pPr>
                    <w:pStyle w:val="Normal"/>
                    <w:keepLines w:val="on"/>
                  </w:pPr>
                  <w:r>
                    <w:t>$533</w:t>
                  </w:r>
                </w:p>
              </w:tc>
              <w:tc>
                <w:tcPr>
                  <w:tcW w:type="auto" w:w="0"/>
                  <w:shd w:val="clear" w:color="auto" w:fill="F0F0F0"/>
                </w:tcPr>
                <w:p>
                  <w:pPr>
                    <w:pStyle w:val="Normal"/>
                    <w:keepLines w:val="on"/>
                  </w:pPr>
                  <w:r>
                    <w:t>$1.903</w:t>
                  </w:r>
                </w:p>
              </w:tc>
              <w:tc>
                <w:tcPr>
                  <w:tcW w:type="auto" w:w="0"/>
                  <w:shd w:val="clear" w:color="auto" w:fill="F0F0F0"/>
                </w:tcPr>
                <w:p>
                  <w:pPr>
                    <w:pStyle w:val="Normal"/>
                    <w:keepLines w:val="on"/>
                  </w:pPr>
                  <w:r>
                    <w:t>−24,65%</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$5.990</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$649</w:t>
                  </w:r>
                </w:p>
              </w:tc>
              <w:tc>
                <w:tcPr>
                  <w:tcW w:type="auto" w:w="0"/>
                  <w:shd w:val="clear" w:color="auto" w:fill="F0F0F0"/>
                </w:tcPr>
                <w:p>
                  <w:pPr>
                    <w:pStyle w:val="Normal"/>
                    <w:keepLines w:val="on"/>
                  </w:pPr>
                  <w:r>
                    <w:t>$2.552</w:t>
                  </w:r>
                </w:p>
              </w:tc>
              <w:tc>
                <w:tcPr>
                  <w:tcW w:type="auto" w:w="0"/>
                  <w:shd w:val="clear" w:color="auto" w:fill="F0F0F0"/>
                </w:tcPr>
                <w:p>
                  <w:pPr>
                    <w:pStyle w:val="Normal"/>
                    <w:keepLines w:val="on"/>
                  </w:pPr>
                  <w:r>
                    <w:t>−7,04%</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$7.565</w:t>
                  </w:r>
                </w:p>
              </w:tc>
              <w:tc>
                <w:tcPr>
                  <w:tcW w:type="auto" w:w="0"/>
                  <w:shd w:val="clear" w:color="auto" w:fill="F0F0F0"/>
                </w:tcPr>
                <w:p>
                  <w:pPr>
                    <w:pStyle w:val="Normal"/>
                    <w:keepLines w:val="on"/>
                  </w:pPr>
                  <w:r>
                    <w:t>$38</w:t>
                  </w:r>
                </w:p>
              </w:tc>
              <w:tc>
                <w:tcPr>
                  <w:tcW w:type="auto" w:w="0"/>
                  <w:shd w:val="clear" w:color="auto" w:fill="F0F0F0"/>
                </w:tcPr>
                <w:p>
                  <w:pPr>
                    <w:pStyle w:val="Normal"/>
                    <w:keepLines w:val="on"/>
                  </w:pPr>
                  <w:r>
                    <w:t>$788</w:t>
                  </w:r>
                </w:p>
              </w:tc>
              <w:tc>
                <w:tcPr>
                  <w:tcW w:type="auto" w:w="0"/>
                  <w:shd w:val="clear" w:color="auto" w:fill="F0F0F0"/>
                </w:tcPr>
                <w:p>
                  <w:pPr>
                    <w:pStyle w:val="Normal"/>
                    <w:keepLines w:val="on"/>
                  </w:pPr>
                  <w:r>
                    <w:t>$3.340</w:t>
                  </w:r>
                </w:p>
              </w:tc>
              <w:tc>
                <w:tcPr>
                  <w:tcW w:type="auto" w:w="0"/>
                  <w:shd w:val="clear" w:color="auto" w:fill="F0F0F0"/>
                </w:tcPr>
                <w:p>
                  <w:pPr>
                    <w:pStyle w:val="Normal"/>
                    <w:keepLines w:val="on"/>
                  </w:pPr>
                  <w:r>
                    <w:t>1,3%</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$9.555</w:t>
                  </w:r>
                </w:p>
              </w:tc>
              <w:tc>
                <w:tcPr>
                  <w:tcW w:type="auto" w:w="0"/>
                  <w:shd w:val="clear" w:color="auto" w:fill="F0F0F0"/>
                </w:tcPr>
                <w:p>
                  <w:pPr>
                    <w:pStyle w:val="Normal"/>
                    <w:keepLines w:val="on"/>
                  </w:pPr>
                  <w:r>
                    <w:t>$382</w:t>
                  </w:r>
                </w:p>
              </w:tc>
              <w:tc>
                <w:tcPr>
                  <w:tcW w:type="auto" w:w="0"/>
                  <w:shd w:val="clear" w:color="auto" w:fill="F0F0F0"/>
                </w:tcPr>
                <w:p>
                  <w:pPr>
                    <w:pStyle w:val="Normal"/>
                    <w:keepLines w:val="on"/>
                  </w:pPr>
                  <w:r>
                    <w:t>$995</w:t>
                  </w:r>
                </w:p>
              </w:tc>
              <w:tc>
                <w:tcPr>
                  <w:tcW w:type="auto" w:w="0"/>
                  <w:shd w:val="clear" w:color="auto" w:fill="F0F0F0"/>
                </w:tcPr>
                <w:p>
                  <w:pPr>
                    <w:pStyle w:val="Normal"/>
                    <w:keepLines w:val="on"/>
                  </w:pPr>
                  <w:r>
                    <w:t>$4.335</w:t>
                  </w:r>
                </w:p>
              </w:tc>
              <w:tc>
                <w:tcPr>
                  <w:tcW w:type="auto" w:w="0"/>
                  <w:shd w:val="clear" w:color="auto" w:fill="F0F0F0"/>
                </w:tcPr>
                <w:p>
                  <w:pPr>
                    <w:pStyle w:val="Normal"/>
                    <w:keepLines w:val="on"/>
                  </w:pPr>
                  <w:r>
                    <w:t>8,82%</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12.066 đô la</w:t>
                  </w:r>
                </w:p>
              </w:tc>
              <w:tc>
                <w:tcPr>
                  <w:tcW w:type="auto" w:w="0"/>
                  <w:shd w:val="clear" w:color="auto" w:fill="F0F0F0"/>
                </w:tcPr>
                <w:p>
                  <w:pPr>
                    <w:pStyle w:val="Normal"/>
                    <w:keepLines w:val="on"/>
                  </w:pPr>
                  <w:r>
                    <w:t>778 đô la</w:t>
                  </w:r>
                </w:p>
              </w:tc>
              <w:tc>
                <w:tcPr>
                  <w:tcW w:type="auto" w:w="0"/>
                  <w:shd w:val="clear" w:color="auto" w:fill="F0F0F0"/>
                </w:tcPr>
                <w:p>
                  <w:pPr>
                    <w:pStyle w:val="Normal"/>
                    <w:keepLines w:val="on"/>
                  </w:pPr>
                  <w:r>
                    <w:t>1.255 đô la</w:t>
                  </w:r>
                </w:p>
              </w:tc>
              <w:tc>
                <w:tcPr>
                  <w:tcW w:type="auto" w:w="0"/>
                  <w:shd w:val="clear" w:color="auto" w:fill="F0F0F0"/>
                </w:tcPr>
                <w:p>
                  <w:pPr>
                    <w:pStyle w:val="Normal"/>
                    <w:keepLines w:val="on"/>
                  </w:pPr>
                  <w:r>
                    <w:t>5.590 đô la</w:t>
                  </w:r>
                </w:p>
              </w:tc>
              <w:tc>
                <w:tcPr>
                  <w:tcW w:type="auto" w:w="0"/>
                  <w:shd w:val="clear" w:color="auto" w:fill="F0F0F0"/>
                </w:tcPr>
                <w:p>
                  <w:pPr>
                    <w:pStyle w:val="Normal"/>
                    <w:keepLines w:val="on"/>
                  </w:pPr>
                  <w:r>
                    <w:t>13,91%</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14.674 đô la</w:t>
                  </w:r>
                </w:p>
              </w:tc>
              <w:tc>
                <w:tcPr>
                  <w:tcW w:type="auto" w:w="0"/>
                  <w:shd w:val="clear" w:color="auto" w:fill="F0F0F0"/>
                </w:tcPr>
                <w:p>
                  <w:pPr>
                    <w:pStyle w:val="Normal"/>
                    <w:keepLines w:val="on"/>
                  </w:pPr>
                  <w:r>
                    <w:t>658 đô la</w:t>
                  </w:r>
                </w:p>
              </w:tc>
              <w:tc>
                <w:tcPr>
                  <w:tcW w:type="auto" w:w="0"/>
                  <w:shd w:val="clear" w:color="auto" w:fill="F0F0F0"/>
                </w:tcPr>
                <w:p>
                  <w:pPr>
                    <w:pStyle w:val="Normal"/>
                    <w:keepLines w:val="on"/>
                  </w:pPr>
                  <w:r>
                    <w:t>1.304 đô la</w:t>
                  </w:r>
                </w:p>
              </w:tc>
              <w:tc>
                <w:tcPr>
                  <w:tcW w:type="auto" w:w="0"/>
                  <w:shd w:val="clear" w:color="auto" w:fill="F0F0F0"/>
                </w:tcPr>
                <w:p>
                  <w:pPr>
                    <w:pStyle w:val="Normal"/>
                    <w:keepLines w:val="on"/>
                  </w:pPr>
                  <w:r>
                    <w:t>6.894 đô la</w:t>
                  </w:r>
                </w:p>
              </w:tc>
              <w:tc>
                <w:tcPr>
                  <w:tcW w:type="auto" w:w="0"/>
                  <w:shd w:val="clear" w:color="auto" w:fill="F0F0F0"/>
                </w:tcPr>
                <w:p>
                  <w:pPr>
                    <w:pStyle w:val="Normal"/>
                    <w:keepLines w:val="on"/>
                  </w:pPr>
                  <w:r>
                    <w:t>15,20%</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17.163 đô la</w:t>
                  </w:r>
                </w:p>
              </w:tc>
              <w:tc>
                <w:tcPr>
                  <w:tcW w:type="auto" w:w="0"/>
                  <w:shd w:val="clear" w:color="auto" w:fill="F0F0F0"/>
                </w:tcPr>
                <w:p>
                  <w:pPr>
                    <w:pStyle w:val="Normal"/>
                    <w:keepLines w:val="on"/>
                  </w:pPr>
                  <w:r>
                    <w:t>1.382 đô la</w:t>
                  </w:r>
                </w:p>
              </w:tc>
              <w:tc>
                <w:tcPr>
                  <w:tcW w:type="auto" w:w="0"/>
                  <w:shd w:val="clear" w:color="auto" w:fill="F0F0F0"/>
                </w:tcPr>
                <w:p>
                  <w:pPr>
                    <w:pStyle w:val="Normal"/>
                    <w:keepLines w:val="on"/>
                  </w:pPr>
                  <w:r>
                    <w:t>1.244 đô la</w:t>
                  </w:r>
                </w:p>
              </w:tc>
              <w:tc>
                <w:tcPr>
                  <w:tcW w:type="auto" w:w="0"/>
                  <w:shd w:val="clear" w:color="auto" w:fill="F0F0F0"/>
                </w:tcPr>
                <w:p>
                  <w:pPr>
                    <w:pStyle w:val="Normal"/>
                    <w:keepLines w:val="on"/>
                  </w:pPr>
                  <w:r>
                    <w:t>8.139 đô la</w:t>
                  </w:r>
                </w:p>
              </w:tc>
              <w:tc>
                <w:tcPr>
                  <w:tcW w:type="auto" w:w="0"/>
                  <w:shd w:val="clear" w:color="auto" w:fill="F0F0F0"/>
                </w:tcPr>
                <w:p>
                  <w:pPr>
                    <w:pStyle w:val="Normal"/>
                    <w:keepLines w:val="on"/>
                  </w:pPr>
                  <w:r>
                    <w:t>21,18%</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19.275 đô la</w:t>
                  </w:r>
                </w:p>
              </w:tc>
              <w:tc>
                <w:tcPr>
                  <w:tcW w:type="auto" w:w="0"/>
                  <w:shd w:val="clear" w:color="auto" w:fill="F0F0F0"/>
                </w:tcPr>
                <w:p>
                  <w:pPr>
                    <w:pStyle w:val="Normal"/>
                    <w:keepLines w:val="on"/>
                  </w:pPr>
                  <w:r>
                    <w:t>2.239 đô la</w:t>
                  </w:r>
                </w:p>
              </w:tc>
              <w:tc>
                <w:tcPr>
                  <w:tcW w:type="auto" w:w="0"/>
                  <w:shd w:val="clear" w:color="auto" w:fill="F0F0F0"/>
                </w:tcPr>
                <w:p>
                  <w:pPr>
                    <w:pStyle w:val="Normal"/>
                    <w:keepLines w:val="on"/>
                  </w:pPr>
                  <w:r>
                    <w:t>1.056 đô la</w:t>
                  </w:r>
                </w:p>
              </w:tc>
              <w:tc>
                <w:tcPr>
                  <w:tcW w:type="auto" w:w="0"/>
                  <w:shd w:val="clear" w:color="auto" w:fill="F0F0F0"/>
                </w:tcPr>
                <w:p>
                  <w:pPr>
                    <w:pStyle w:val="Normal"/>
                    <w:keepLines w:val="on"/>
                  </w:pPr>
                  <w:r>
                    <w:t>9.195 đô la</w:t>
                  </w:r>
                </w:p>
              </w:tc>
              <w:tc>
                <w:tcPr>
                  <w:tcW w:type="auto" w:w="0"/>
                  <w:shd w:val="clear" w:color="auto" w:fill="F0F0F0"/>
                </w:tcPr>
                <w:p>
                  <w:pPr>
                    <w:pStyle w:val="Normal"/>
                    <w:keepLines w:val="on"/>
                  </w:pPr>
                  <w:r>
                    <w:t>27,14%</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$20,749</w:t>
                  </w:r>
                </w:p>
              </w:tc>
              <w:tc>
                <w:tcPr>
                  <w:tcW w:type="auto" w:w="0"/>
                  <w:shd w:val="clear" w:color="auto" w:fill="F0F0F0"/>
                </w:tcPr>
                <w:p>
                  <w:pPr>
                    <w:pStyle w:val="Normal"/>
                    <w:keepLines w:val="on"/>
                  </w:pPr>
                  <w:r>
                    <w:t>$3,150</w:t>
                  </w:r>
                </w:p>
              </w:tc>
              <w:tc>
                <w:tcPr>
                  <w:tcW w:type="auto" w:w="0"/>
                  <w:shd w:val="clear" w:color="auto" w:fill="F0F0F0"/>
                </w:tcPr>
                <w:p>
                  <w:pPr>
                    <w:pStyle w:val="Normal"/>
                    <w:keepLines w:val="on"/>
                  </w:pPr>
                  <w:r>
                    <w:t>$737</w:t>
                  </w:r>
                </w:p>
              </w:tc>
              <w:tc>
                <w:tcPr>
                  <w:tcW w:type="auto" w:w="0"/>
                  <w:shd w:val="clear" w:color="auto" w:fill="F0F0F0"/>
                </w:tcPr>
                <w:p>
                  <w:pPr>
                    <w:pStyle w:val="Normal"/>
                    <w:keepLines w:val="on"/>
                  </w:pPr>
                  <w:r>
                    <w:t>$9,932</w:t>
                  </w:r>
                </w:p>
              </w:tc>
              <w:tc>
                <w:tcPr>
                  <w:tcW w:type="auto" w:w="0"/>
                  <w:shd w:val="clear" w:color="auto" w:fill="F0F0F0"/>
                </w:tcPr>
                <w:p>
                  <w:pPr>
                    <w:pStyle w:val="Normal"/>
                    <w:keepLines w:val="on"/>
                  </w:pPr>
                  <w:r>
                    <w:t>33,1%</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$21,370</w:t>
                  </w:r>
                </w:p>
              </w:tc>
              <w:tc>
                <w:tcPr>
                  <w:tcW w:type="auto" w:w="0"/>
                  <w:shd w:val="clear" w:color="auto" w:fill="F0F0F0"/>
                </w:tcPr>
                <w:p>
                  <w:pPr>
                    <w:pStyle w:val="Normal"/>
                    <w:keepLines w:val="on"/>
                  </w:pPr>
                  <w:r>
                    <w:t>$4,007</w:t>
                  </w:r>
                </w:p>
              </w:tc>
              <w:tc>
                <w:tcPr>
                  <w:tcW w:type="auto" w:w="0"/>
                  <w:shd w:val="clear" w:color="auto" w:fill="F0F0F0"/>
                </w:tcPr>
                <w:p>
                  <w:pPr>
                    <w:pStyle w:val="Normal"/>
                    <w:keepLines w:val="on"/>
                  </w:pPr>
                  <w:r>
                    <w:t>$311</w:t>
                  </w:r>
                </w:p>
              </w:tc>
              <w:tc>
                <w:tcPr>
                  <w:tcW w:type="auto" w:w="0"/>
                  <w:shd w:val="clear" w:color="auto" w:fill="F0F0F0"/>
                </w:tcPr>
                <w:p>
                  <w:pPr>
                    <w:pStyle w:val="Normal"/>
                    <w:keepLines w:val="on"/>
                  </w:pPr>
                  <w:r>
                    <w:t>$10,242</w:t>
                  </w:r>
                </w:p>
              </w:tc>
              <w:tc>
                <w:tcPr>
                  <w:tcW w:type="auto" w:w="0"/>
                  <w:shd w:val="clear" w:color="auto" w:fill="F0F0F0"/>
                </w:tcPr>
                <w:p>
                  <w:pPr>
                    <w:pStyle w:val="Normal"/>
                    <w:keepLines w:val="on"/>
                  </w:pPr>
                  <w:r>
                    <w:t>39,12%</w:t>
                  </w:r>
                </w:p>
              </w:tc>
            </w:tr>
          </w:tbl>
          <w:p/>
        </w:tc>
      </w:tr>
    </w:tbl>
    <w:p>
      <w:pPr>
        <w:pStyle w:val="Para 04"/>
        <w:keepLines w:val="on"/>
      </w:pPr>
      <w:r>
        <w:t>Lợi nhuận trên vốn (return on capital) của Airbnb tăng dần theo thời gian, khi công ty trở nên có lãi, và đạt 39,12% vào năm thứ 10.13 Dù con số đó khiến chúng tôi phải chững lại vì cao hơn nhiều so với chi phí vốn (cost of capital), chúng tôi vẫn giữ nguyên các ước tính của mình vì hai lý do. Thứ nhất, các công ty công nghệ và nền tảng thực sự tạo ra lợi nhuận trên vốn cực kỳ cao đối với khoản đầu tư ban đầu vào nền tảng của họ, nhờ lợi ích từ hiệu ứng mạng lưới (network benefits) đẩy khả năng sinh lời lên cao. Thứ hai, chúng tôi hạ lợi nhuận biên trên vốn (marginal return on capital) xuống còn 10% sau năm thứ 10, để phản ánh thực tế rằng các khoản đầu tư mới của Airbnb sẽ không còn sinh lời hấp dẫn như trước.</w:t>
      </w:r>
    </w:p>
    <w:p>
      <w:bookmarkStart w:id="2148" w:name="Qualitative_Aspects_of_Growth"/>
      <w:bookmarkStart w:id="2149" w:name="Qualitative_Aspects_of_Growth__T"/>
      <w:pPr>
        <w:keepNext/>
        <w:pStyle w:val="Heading 2"/>
        <w:keepLines w:val="on"/>
      </w:pPr>
      <w:r>
        <w:t>Các khía cạnh định tính của tăng trưởng</w:t>
      </w:r>
      <w:bookmarkEnd w:id="2148"/>
      <w:bookmarkEnd w:id="2149"/>
    </w:p>
    <w:p>
      <w:pPr>
        <w:pStyle w:val="Para 03"/>
      </w:pPr>
      <w:r>
        <w:t>Việc nhấn mạnh vào các yếu tố định lượng—lợi nhuận trên vốn và tỷ lệ tái đầu tư (reinvestment rate) đối với các công ty có lãi, cùng biên lợi nhuận, tăng trưởng doanh thu và tỷ lệ doanh thu trên vốn (sales-to-capital ratio) đối với các công ty thua lỗ—có thể khiến một số người cảm thấy thiên lệch. Suy cho cùng, tăng trưởng được quyết định bởi nhiều yếu tố chủ quan—chất lượng ban lãnh đạo, sức mạnh marketing của công ty, khả năng hợp tác với các công ty khác, và tầm nhìn chiến lược của ban lãnh đạo, cùng nhiều yếu tố khác nữa. Bạn có thể thắc mắc rằng, vậy đâu là chỗ cho những yếu tố này trong các phương trình tăng trưởng đã được trình bày trong chương này?</w:t>
      </w:r>
    </w:p>
    <w:p>
      <w:pPr>
        <w:pStyle w:val="Para 03"/>
      </w:pPr>
      <w:r>
        <w:t>Câu trả lời là các yếu tố định tính có quan trọng, nhưng cuối cùng tất cả chúng đều phải thể hiện ra ở một hoặc nhiều yếu tố đầu vào định lượng quyết định tăng trưởng. Hãy xem xét những điều sau:</w:t>
      </w:r>
    </w:p>
    <w:p>
      <w:pPr>
        <w:numPr>
          <w:ilvl w:val="0"/>
          <w:numId w:val="104"/>
        </w:numPr>
        <w:pStyle w:val="Para 01"/>
      </w:pPr>
      <w:r>
        <w:t>Chất lượng ban lãnh đạo đóng vai trò quan trọng trong lợi nhuận trên vốn mà bạn giả định công ty có thể kiếm được từ các khoản đầu tư mới, và trong việc công ty có thể duy trì mức lợi nhuận đó trong bao lâu. Vì vậy, việc một công ty có đội ngũ ban lãnh đạo được đánh giá cao có thể là một lý do để bạn cho phép lợi nhuận trên vốn của công ty duy trì ở mức cao hơn hẳn chi phí vốn.</w:t>
      </w:r>
    </w:p>
    <w:p>
      <w:pPr>
        <w:numPr>
          <w:ilvl w:val="0"/>
          <w:numId w:val="104"/>
        </w:numPr>
        <w:pStyle w:val="Para 01"/>
      </w:pPr>
      <w:r>
        <w:t>Sức mạnh marketing của một công ty và lựa chọn chiến lược marketing của nó được phản ánh qua biên lợi nhuận hoạt động (operating margin) và tỷ lệ vòng quay (turnover ratio) mà bạn giả định cho công ty. Vì thế, phải có niềm tin vào khả năng tiếp thị sản phẩm hiệu quả của Coca-Cola thì bạn mới giả định được một tỷ lệ vòng quay cao và một biên lợi nhuận mục tiêu cao. Thực ra, bạn có thể xem xét nhiều chiến lược marketing khác nhau, đánh đổi biên lợi nhuận thấp hơn để lấy tỷ lệ vòng quay cao hơn, rồi xem xét tác động của chúng lên giá trị. Tên thương hiệu của sản phẩm và sức mạnh của hệ thống phân phối cũng ảnh hưởng đến những ước tính này.</w:t>
      </w:r>
    </w:p>
    <w:p>
      <w:pPr>
        <w:numPr>
          <w:ilvl w:val="0"/>
          <w:numId w:val="104"/>
        </w:numPr>
        <w:pStyle w:val="Para 01"/>
      </w:pPr>
      <w:r>
        <w:t>Định nghĩa tái đầu tư theo nghĩa rộng, bao gồm cả mua bán sáp nhập (acquisition), nghiên cứu và phát triển, cùng các khoản đầu tư vào marketing và phân phối, cho phép bạn xem xét nhiều cách khác nhau để công ty tăng trưởng. Với một số công ty, tái đầu tư và tăng trưởng đến từ các thương vụ mua bán sáp nhập, trong khi với những công ty khác, nó có thể mang hình thức đầu tư truyền thống hơn vào nhà xưởng và thiết bị. Hiệu quả của những chiến lược tái đầu tư này được thể hiện qua lợi nhuận trên vốn mà bạn giả định cho tương lai, với những công ty hiệu quả hơn sẽ có lợi nhuận trên vốn cao hơn.</w:t>
      </w:r>
    </w:p>
    <w:p>
      <w:pPr>
        <w:numPr>
          <w:ilvl w:val="0"/>
          <w:numId w:val="104"/>
        </w:numPr>
        <w:pStyle w:val="Para 01"/>
      </w:pPr>
      <w:r>
        <w:t>Sức mạnh cạnh tranh mà các công ty phải đối mặt nằm ở phía sau, nhưng nó quyết định mức lợi nhuận vượt trội (excess return, tức lợi nhuận trên vốn trừ chi phí vốn) sẽ cao đến đâu, và chúng sẽ phai nhạt về mức không bao lâu.</w:t>
      </w:r>
    </w:p>
    <w:p>
      <w:pPr>
        <w:pStyle w:val="Para 03"/>
      </w:pPr>
      <w:r>
        <w:t>Như vậy, các yếu tố định tính được định lượng hóa, và những tác động của chúng lên tăng trưởng được xem xét. Nếu bạn không làm được điều đó, bạn nên giữ thái độ hoài nghi về việc liệu những yếu tố này có thực sự ảnh hưởng đến giá trị hay không.</w:t>
      </w:r>
    </w:p>
    <w:p>
      <w:pPr>
        <w:pStyle w:val="Para 03"/>
      </w:pPr>
      <w:r>
        <w:t>Tại sao lại cần áp đặt cấu trúc định lượng này lên ước tính tăng trưởng? Một trong những nguy hiểm lớn nhất khi định giá công ty là việc kể chuyện (storytelling) có thể được dùng để biện minh cho những tốc độ tăng trưởng vừa không hợp lý vừa không bền vững. Chẳng hạn, bạn có thể được kể rằng Tesla Motors sẽ tăng trưởng 100% một năm vì phong trào "xanh" đang mạnh, hay Coca-Cola sẽ tăng trưởng 20% một năm vì nó có tên thương hiệu tuyệt vời. Dù những câu chuyện này có phần đúng, việc xem xét cách những quan điểm định tính này chuyển hóa thành các yếu tố định lượng của tăng trưởng là một bước thiết yếu để có được những định giá nhất quán.</w:t>
      </w:r>
    </w:p>
    <w:p>
      <w:pPr>
        <w:pStyle w:val="Para 03"/>
      </w:pPr>
      <w:r>
        <w:t>Liệu những nhà đầu tư khác nhau có thể xem xét cùng những yếu tố định tính và đi đến những kết luận khác nhau về tác động lên lợi nhuận trên vốn, biên lợi nhuận và tỷ lệ tái đầu tư, và do đó là về tăng trưởng, hay không? Chắc chắn là có. Thực ra, bạn nên kỳ vọng sẽ có những khác biệt trong quan điểm về tương lai và những ước tính giá trị khác nhau. Phần thưởng cho việc hiểu rõ một công ty, và ngành mà nó hoạt động, hơn những nhà đầu tư khác, chính là việc các ước tính về tăng trưởng và giá trị của bạn sẽ tốt hơn của họ. Đáng tiếc là điều này không đảm bảo rằng lợi nhuận đầu tư của bạn sẽ tốt hơn của họ.</w:t>
      </w:r>
    </w:p>
    <w:p>
      <w:bookmarkStart w:id="2151" w:name="Conclusion_10"/>
      <w:bookmarkStart w:id="2152" w:name="Conclusion__Growth_is_the_key_in"/>
      <w:pPr>
        <w:keepNext/>
        <w:pStyle w:val="Heading 2"/>
        <w:keepLines w:val="on"/>
      </w:pPr>
      <w:r>
        <w:t>Kết luận</w:t>
      </w:r>
      <w:bookmarkEnd w:id="2151"/>
      <w:bookmarkEnd w:id="2152"/>
    </w:p>
    <w:p>
      <w:pPr>
        <w:pStyle w:val="Para 03"/>
      </w:pPr>
      <w:r>
        <w:t>Tăng trưởng là yếu tố đầu vào then chốt trong mọi định giá, và có ba nguồn cho tốc độ tăng trưởng. Một là quá khứ, dù cả việc ước tính lẫn sử dụng tốc độ tăng trưởng lịch sử đều có thể khó khăn với hầu hết công ty vì lợi nhuận của họ biến động và đôi khi âm. Nguồn thứ hai là các ước tính tăng trưởng của chuyên gia phân tích. Dù các chuyên gia phân tích có thể được tiếp cận thông tin mà phần còn lại của thị trường không có, thông tin này không tạo ra tốc độ tăng trưởng vượt trội so với các ước tính từ tăng trưởng lịch sử. Hơn nữa, việc chuyên gia phân tích nhấn mạnh vào tăng trưởng thu nhập trên mỗi cổ phần (earnings per share) có thể là một vấn đề khi dự báo thu nhập hoạt động (operating income). Cách ước tính tăng trưởng thứ ba và vững chắc nhất là dựa trên các yếu tố cơ bản (fundamentals) của công ty.</w:t>
      </w:r>
    </w:p>
    <w:p>
      <w:pPr>
        <w:pStyle w:val="Para 03"/>
      </w:pPr>
      <w:r>
        <w:t>Mối quan hệ giữa tăng trưởng và các yếu tố cơ bản sẽ phụ thuộc vào việc chúng ta đang ước tính tốc độ tăng trưởng nào. Để ước tính tăng trưởng thu nhập trên mỗi cổ phần, chúng ta xem xét lợi nhuận trên vốn chủ sở hữu (return on equity) và tỷ lệ giữ lại (retention ratio). Để ước tính tăng trưởng thu nhập ròng (net income), chúng ta thay tỷ lệ giữ lại bằng tỷ lệ tái đầu tư vốn chủ sở hữu (equity reinvestment rate). Để đánh giá tăng trưởng thu nhập hoạt động, chúng ta dùng lợi nhuận trên vốn và tỷ lệ tái đầu tư. Dù chi tiết có khác nhau giữa các cách tiếp cận, vẫn có một số chủ đề chung nổi lên từ những cách tiếp cận này. Thứ nhất, tăng trưởng và tái đầu tư gắn liền với nhau, và ước tính của cái này phải được gắn với ước tính của cái kia. Những công ty muốn tăng trưởng ở tốc độ cao trong thời gian dài phải tái đầu tư để tạo ra sự tăng trưởng đó. Thứ hai, chất lượng của tăng trưởng có thể rất khác nhau giữa các công ty, và thước đo tốt nhất cho chất lượng tăng trưởng là lợi nhuận thu được từ các khoản đầu tư. Những công ty kiếm được lợi nhuận trên vốn chủ sở hữu và trên vốn cao hơn không chỉ tạo ra tăng trưởng cao hơn, mà sự tăng trưởng đó còn đóng góp nhiều hơn vào giá trị của họ.</w:t>
      </w:r>
    </w:p>
    <w:p>
      <w:bookmarkStart w:id="2154" w:name="Questions_And_Short_Problems"/>
      <w:bookmarkStart w:id="2155" w:name="Questions_And_Short_Problems__In"/>
      <w:pPr>
        <w:keepNext/>
        <w:pStyle w:val="Heading 2"/>
        <w:keepLines w:val="on"/>
      </w:pPr>
      <w:r>
        <w:t>Câu Hỏi Và Bài Tập Ngắn</w:t>
      </w:r>
      <w:bookmarkEnd w:id="2154"/>
      <w:bookmarkEnd w:id="2155"/>
    </w:p>
    <w:p>
      <w:pPr>
        <w:pStyle w:val="Para 44"/>
      </w:pPr>
      <w:r>
        <w:t>Trong các bài tập sau đây, hãy sử dụng mức bù rủi ro vốn cổ phần (equity risk premium) là 5,5 phần trăm nếu không có quy định nào khác.</w:t>
      </w:r>
    </w:p>
    <w:p>
      <w:pPr>
        <w:numPr>
          <w:ilvl w:val="0"/>
          <w:numId w:val="105"/>
        </w:numPr>
        <w:pStyle w:val="Para 01"/>
      </w:pPr>
      <w:r>
        <w:t>Walgreen Company đã báo cáo thu nhập trên mỗi cổ phần (earnings per share) như sau từ năm 1989 đến 1994.</w:t>
      </w:r>
    </w:p>
    <w:tbl>
      <w:tblPr>
        <w:tblW w:type="auto" w:w="0"/>
      </w:tblPr>
      <w:tr>
        <w:tc>
          <w:tcPr>
            <w:tcW w:type="auto" w:w="0"/>
          </w:tcPr>
          <w:tbl>
            <w:tblPr>
              <w:tblW w:type="auto" w:w="0"/>
            </w:tblPr>
            <w:tr>
              <w:tc>
                <w:tcPr>
                  <w:tcW w:type="auto" w:w="0"/>
                  <w:shd w:val="clear" w:color="auto" w:fill="F0F0F0"/>
                </w:tcPr>
                <w:p>
                  <w:pPr>
                    <w:pStyle w:val="Para 17"/>
                    <w:keepLines w:val="on"/>
                  </w:pPr>
                  <w:r>
                    <w:t>Năm</w:t>
                  </w:r>
                </w:p>
              </w:tc>
              <w:tc>
                <w:tcPr>
                  <w:tcW w:type="auto" w:w="0"/>
                  <w:shd w:val="clear" w:color="auto" w:fill="F0F0F0"/>
                </w:tcPr>
                <w:p>
                  <w:pPr>
                    <w:pStyle w:val="Para 17"/>
                    <w:keepLines w:val="on"/>
                  </w:pPr>
                  <w:r>
                    <w:t>EPS</w:t>
                  </w:r>
                </w:p>
              </w:tc>
            </w:tr>
            <w:tr>
              <w:tc>
                <w:tcPr>
                  <w:tcW w:type="auto" w:w="0"/>
                  <w:shd w:val="clear" w:color="auto" w:fill="F0F0F0"/>
                </w:tcPr>
                <w:p>
                  <w:pPr>
                    <w:pStyle w:val="Normal"/>
                    <w:keepLines w:val="on"/>
                  </w:pPr>
                  <w:r>
                    <w:t>1989</w:t>
                  </w:r>
                </w:p>
              </w:tc>
              <w:tc>
                <w:tcPr>
                  <w:tcW w:type="auto" w:w="0"/>
                  <w:shd w:val="clear" w:color="auto" w:fill="F0F0F0"/>
                </w:tcPr>
                <w:p>
                  <w:pPr>
                    <w:pStyle w:val="Normal"/>
                    <w:keepLines w:val="on"/>
                  </w:pPr>
                  <w:r>
                    <w:t>$1,28</w:t>
                  </w:r>
                </w:p>
              </w:tc>
            </w:tr>
            <w:tr>
              <w:tc>
                <w:tcPr>
                  <w:tcW w:type="auto" w:w="0"/>
                  <w:shd w:val="clear" w:color="auto" w:fill="F0F0F0"/>
                </w:tcPr>
                <w:p>
                  <w:pPr>
                    <w:pStyle w:val="Normal"/>
                    <w:keepLines w:val="on"/>
                  </w:pPr>
                  <w:r>
                    <w:t>1990</w:t>
                  </w:r>
                </w:p>
              </w:tc>
              <w:tc>
                <w:tcPr>
                  <w:tcW w:type="auto" w:w="0"/>
                  <w:shd w:val="clear" w:color="auto" w:fill="F0F0F0"/>
                </w:tcPr>
                <w:p>
                  <w:pPr>
                    <w:pStyle w:val="Normal"/>
                    <w:keepLines w:val="on"/>
                  </w:pPr>
                  <w:r>
                    <w:t>$1,42</w:t>
                  </w:r>
                </w:p>
              </w:tc>
            </w:tr>
            <w:tr>
              <w:tc>
                <w:tcPr>
                  <w:tcW w:type="auto" w:w="0"/>
                  <w:shd w:val="clear" w:color="auto" w:fill="F0F0F0"/>
                </w:tcPr>
                <w:p>
                  <w:pPr>
                    <w:pStyle w:val="Normal"/>
                    <w:keepLines w:val="on"/>
                  </w:pPr>
                  <w:r>
                    <w:t>1991</w:t>
                  </w:r>
                </w:p>
              </w:tc>
              <w:tc>
                <w:tcPr>
                  <w:tcW w:type="auto" w:w="0"/>
                  <w:shd w:val="clear" w:color="auto" w:fill="F0F0F0"/>
                </w:tcPr>
                <w:p>
                  <w:pPr>
                    <w:pStyle w:val="Normal"/>
                    <w:keepLines w:val="on"/>
                  </w:pPr>
                  <w:r>
                    <w:t>$1,58</w:t>
                  </w:r>
                </w:p>
              </w:tc>
            </w:tr>
            <w:tr>
              <w:tc>
                <w:tcPr>
                  <w:tcW w:type="auto" w:w="0"/>
                  <w:shd w:val="clear" w:color="auto" w:fill="F0F0F0"/>
                </w:tcPr>
                <w:p>
                  <w:pPr>
                    <w:pStyle w:val="Normal"/>
                    <w:keepLines w:val="on"/>
                  </w:pPr>
                  <w:r>
                    <w:t>1992</w:t>
                  </w:r>
                </w:p>
              </w:tc>
              <w:tc>
                <w:tcPr>
                  <w:tcW w:type="auto" w:w="0"/>
                  <w:shd w:val="clear" w:color="auto" w:fill="F0F0F0"/>
                </w:tcPr>
                <w:p>
                  <w:pPr>
                    <w:pStyle w:val="Normal"/>
                    <w:keepLines w:val="on"/>
                  </w:pPr>
                  <w:r>
                    <w:t>$1,78</w:t>
                  </w:r>
                </w:p>
              </w:tc>
            </w:tr>
            <w:tr>
              <w:tc>
                <w:tcPr>
                  <w:tcW w:type="auto" w:w="0"/>
                  <w:shd w:val="clear" w:color="auto" w:fill="F0F0F0"/>
                </w:tcPr>
                <w:p>
                  <w:pPr>
                    <w:pStyle w:val="Normal"/>
                    <w:keepLines w:val="on"/>
                  </w:pPr>
                  <w:r>
                    <w:t>1993</w:t>
                  </w:r>
                </w:p>
              </w:tc>
              <w:tc>
                <w:tcPr>
                  <w:tcW w:type="auto" w:w="0"/>
                  <w:shd w:val="clear" w:color="auto" w:fill="F0F0F0"/>
                </w:tcPr>
                <w:p>
                  <w:pPr>
                    <w:pStyle w:val="Normal"/>
                    <w:keepLines w:val="on"/>
                  </w:pPr>
                  <w:r>
                    <w:t>$1,98</w:t>
                  </w:r>
                </w:p>
              </w:tc>
            </w:tr>
            <w:tr>
              <w:tc>
                <w:tcPr>
                  <w:tcW w:type="auto" w:w="0"/>
                  <w:shd w:val="clear" w:color="auto" w:fill="F0F0F0"/>
                </w:tcPr>
                <w:p>
                  <w:pPr>
                    <w:pStyle w:val="Normal"/>
                    <w:keepLines w:val="on"/>
                  </w:pPr>
                  <w:r>
                    <w:t>1994</w:t>
                  </w:r>
                </w:p>
              </w:tc>
              <w:tc>
                <w:tcPr>
                  <w:tcW w:type="auto" w:w="0"/>
                  <w:shd w:val="clear" w:color="auto" w:fill="F0F0F0"/>
                </w:tcPr>
                <w:p>
                  <w:pPr>
                    <w:pStyle w:val="Normal"/>
                    <w:keepLines w:val="on"/>
                  </w:pPr>
                  <w:r>
                    <w:t>$2,30</w:t>
                  </w:r>
                </w:p>
              </w:tc>
            </w:tr>
          </w:tbl>
          <w:p/>
        </w:tc>
      </w:tr>
    </w:tbl>
    <w:p>
      <w:pPr>
        <w:numPr>
          <w:ilvl w:val="1"/>
          <w:numId w:val="105"/>
        </w:numPr>
        <w:pStyle w:val="Para 01"/>
      </w:pPr>
      <w:r>
        <w:t>Hãy ước tính tốc độ tăng trưởng trung bình số học (arithmetic average) và trung bình hình học (geometric average) của thu nhập trên mỗi cổ phần từ năm 1989 đến 1994. Tại sao chúng lại khác nhau? Cái nào đáng tin cậy hơn?</w:t>
      </w:r>
    </w:p>
    <w:p>
      <w:pPr>
        <w:numPr>
          <w:ilvl w:val="1"/>
          <w:numId w:val="105"/>
        </w:numPr>
        <w:pStyle w:val="Para 01"/>
      </w:pPr>
      <w:r>
        <w:t>Hãy ước tính tốc độ tăng trưởng bằng mô hình tăng trưởng tuyến tính (linear growth model).</w:t>
      </w:r>
    </w:p>
    <w:p>
      <w:pPr>
        <w:numPr>
          <w:ilvl w:val="1"/>
          <w:numId w:val="105"/>
        </w:numPr>
        <w:pStyle w:val="Para 01"/>
      </w:pPr>
      <w:r>
        <w:t>Hãy ước tính tốc độ tăng trưởng bằng mô hình tăng trưởng log-tuyến tính (log-linear growth model).</w:t>
      </w:r>
    </w:p>
    <w:p>
      <w:pPr>
        <w:numPr>
          <w:ilvl w:val="0"/>
          <w:numId w:val="105"/>
        </w:numPr>
        <w:pStyle w:val="Para 01"/>
      </w:pPr>
      <w:r>
        <w:t>BIC Corporation đã báo cáo tỷ suất sinh lời trên vốn cổ phần (return on equity) là 20% và chi trả 37% thu nhập của mình dưới dạng cổ tức trong năm gần nhất.</w:t>
      </w:r>
    </w:p>
    <w:p>
      <w:pPr>
        <w:numPr>
          <w:ilvl w:val="1"/>
          <w:numId w:val="105"/>
        </w:numPr>
        <w:pStyle w:val="Para 01"/>
      </w:pPr>
      <w:r>
        <w:t>Giả sử rằng các yếu tố cơ bản này không thay đổi, hãy ước tính tốc độ tăng trưởng kỳ vọng của thu nhập trên mỗi cổ phần.</w:t>
      </w:r>
    </w:p>
    <w:p>
      <w:pPr>
        <w:numPr>
          <w:ilvl w:val="1"/>
          <w:numId w:val="105"/>
        </w:numPr>
        <w:pStyle w:val="Para 01"/>
      </w:pPr>
      <w:r>
        <w:t>Bây giờ giả sử bạn kỳ vọng tỷ suất sinh lời trên vốn cổ phần sẽ tăng lên 25% đối với cả các khoản đầu tư mới và hiện hữu trong năm tới. Hãy ước tính tốc độ tăng trưởng kỳ vọng của thu nhập trên mỗi cổ phần.</w:t>
      </w:r>
    </w:p>
    <w:p>
      <w:pPr>
        <w:numPr>
          <w:ilvl w:val="0"/>
          <w:numId w:val="105"/>
        </w:numPr>
        <w:pStyle w:val="Para 01"/>
      </w:pPr>
      <w:r>
        <w:t>Bạn đang cố gắng ước tính mức tăng trưởng kỳ vọng của thu nhập ròng (net income) tại Metallica Corporation, một công ty sản xuất đã báo cáo thu nhập ròng là 150 triệu đô la trong năm tài chính vừa kết thúc; giá trị sổ sách của vốn cổ phần vào đầu năm là 1 tỷ đô la. Công ty có chi tiêu vốn (capital expenditures) là 160 triệu đô la, khấu hao (depreciation) là 100 triệu đô la, và mức tăng vốn lưu động (working capital) là 40 triệu đô la trong năm. Nợ chưa thanh toán đã tăng thêm 40 triệu đô la trong năm. Hãy ước tính tỷ lệ tái đầu tư vốn cổ phần (equity reinvestment rate) và mức tăng trưởng kỳ vọng của thu nhập ròng.</w:t>
      </w:r>
    </w:p>
    <w:p>
      <w:pPr>
        <w:numPr>
          <w:ilvl w:val="0"/>
          <w:numId w:val="105"/>
        </w:numPr>
        <w:pStyle w:val="Para 01"/>
      </w:pPr>
      <w:r>
        <w:t>Bạn đang cố gắng ước tính tốc độ tăng trưởng cho HipHop Inc., một nhà sản xuất và phân phối băng đĩa nhạc. Công ty đã kiếm được 100 triệu đô la thu nhập hoạt động sau thuế (after-tax operating income) trên số vốn đầu tư là 800 triệu đô la trong năm ngoái. Ngoài ra, công ty đã báo cáo chi tiêu vốn ròng (net capital expenditures) là 25 triệu đô la và mức tăng vốn lưu động phi tiền mặt (noncash working capital) là 15 triệu đô la.</w:t>
      </w:r>
    </w:p>
    <w:p>
      <w:pPr>
        <w:numPr>
          <w:ilvl w:val="1"/>
          <w:numId w:val="105"/>
        </w:numPr>
        <w:pStyle w:val="Para 01"/>
      </w:pPr>
      <w:r>
        <w:t>Giả sử tỷ suất sinh lợi trên vốn (return on capital) và tỷ lệ tái đầu tư (reinvestment rate) của công ty không đổi, hãy ước tính mức tăng trưởng kỳ vọng của thu nhập từ hoạt động kinh doanh (operating income) trong năm tới.</w:t>
      </w:r>
    </w:p>
    <w:p>
      <w:pPr>
        <w:numPr>
          <w:ilvl w:val="1"/>
          <w:numId w:val="105"/>
        </w:numPr>
        <w:pStyle w:val="Para 01"/>
      </w:pPr>
      <w:r>
        <w:t>Câu trả lời của bạn ở phần (a) sẽ thay đổi thế nào nếu bạn được cho biết rằng tỷ suất sinh lợi trên vốn của công ty trong năm tới sẽ tăng thêm 2,5%? (Tỷ suất sinh lợi trên vốn năm tới = Tỷ suất sinh lợi trên vốn năm nay + 2,5%.)</w:t>
      </w:r>
    </w:p>
    <w:p>
      <w:pPr>
        <w:numPr>
          <w:ilvl w:val="0"/>
          <w:numId w:val="105"/>
        </w:numPr>
        <w:pStyle w:val="Para 01"/>
      </w:pPr>
      <w:r>
        <w:t>InVideo Inc. là một nhà bán lẻ trực tuyến các sản phẩm video và DVD. Công ty báo cáo lỗ hoạt động 10 triệu đô-la trên doanh thu 100 triệu đô-la trong năm tài chính gần nhất. Bạn kỳ vọng doanh thu sẽ tăng trưởng 100% trong năm tới, 75% vào năm thứ 2, 50% vào năm thứ 3, và 30% vào năm thứ 4 và thứ 5. Bạn cũng kỳ vọng biên lợi nhuận hoạt động trước thuế (pretax operating margin) sẽ cải thiện lên 8% doanh thu vào năm thứ 5. Hãy ước tính doanh thu và thu nhập (hoặc lỗ) hoạt động kỳ vọng cho từng năm trong năm năm tới.</w:t>
      </w:r>
    </w:p>
    <w:p>
      <w:pPr>
        <w:numPr>
          <w:ilvl w:val="0"/>
          <w:numId w:val="105"/>
        </w:numPr>
        <w:pStyle w:val="Para 01"/>
      </w:pPr>
      <w:r>
        <w:t>SoftTech Inc. là một nhà sản xuất nhỏ phần mềm giải trí, báo cáo doanh thu 25 triệu đô-la trong năm tài chính gần nhất. Bạn kỳ vọng công ty sẽ tăng trưởng đáng kể theo thời gian và chiếm được 8% thị trường phần mềm giải trí nói chung trong 10 năm tới. Nếu tổng doanh thu từ phần mềm giải trí trong năm gần nhất đạt 2 tỷ đô-la và bạn kỳ vọng tốc độ tăng trưởng hằng năm là 6% đối với doanh thu này trong 10 năm tới, hãy ước tính tốc độ tăng trưởng doanh thu kép hằng năm (compounded annual revenue growth rate) của SoftTech trong 10 năm tới.</w:t>
      </w:r>
    </w:p>
    <w:p>
      <w:bookmarkStart w:id="2158" w:name="Notes__1_When_earnings_go_from_a"/>
      <w:bookmarkStart w:id="2159" w:name="Notes_10"/>
      <w:pPr>
        <w:keepNext/>
        <w:pStyle w:val="Heading 2"/>
        <w:keepLines w:val="on"/>
      </w:pPr>
      <w:r>
        <w:t>Ghi chú</w:t>
      </w:r>
      <w:bookmarkEnd w:id="2158"/>
      <w:bookmarkEnd w:id="2159"/>
    </w:p>
    <w:p>
      <w:pPr>
        <w:pStyle w:val="Para 08"/>
      </w:pPr>
      <w:r>
        <w:t>1 Khi thu nhập chuyển từ giá trị âm sang giá trị dương, cách tính tốc độ tăng trưởng tiêu chuẩn cho ra kết quả như sau:</w:t>
      </w:r>
    </w:p>
    <w:p>
      <w:bookmarkStart w:id="2161" w:name="Growth_rate_in_2022__30_425"/>
      <w:pPr>
        <w:keepNext/>
        <w:pStyle w:val="Para 53"/>
        <w:keepLines w:val="on"/>
      </w:pPr>
      <w:r>
        <w:t>Tốc độ tăng trưởng năm 2022=[30.425−(−2722)]/−2722=−1217,74%</w:t>
      </w:r>
      <w:bookmarkEnd w:id="2161"/>
    </w:p>
    <w:p>
      <w:pPr>
        <w:pStyle w:val="Para 03"/>
      </w:pPr>
      <w:r>
        <w:t>Con số đó vô nghĩa không chỉ về độ lớn, mà còn về hướng, khi cho ra tốc độ tăng trưởng âm trong một năm mà thu nhập ròng của Amazon đã chuyển từ âm sang dương.</w:t>
      </w:r>
    </w:p>
    <w:p>
      <w:pPr>
        <w:pStyle w:val="Para 08"/>
      </w:pPr>
      <w:r>
        <w:t>2 Hồi quy bình phương nhỏ nhất thông thường (ordinary least squares – OLS) ước tính các hệ số hồi quy bằng cách tối thiểu hóa tổng bình phương chênh lệch giữa giá trị dự đoán và giá trị thực tế.</w:t>
      </w:r>
    </w:p>
    <w:p>
      <w:pPr>
        <w:pStyle w:val="Para 08"/>
      </w:pPr>
      <w:r>
        <w:t>3 Griffin, P.A., “The Time-Series Behavior of Quarterly Earnings: Preliminary Evidence,” Journal of Accounting Research 15(Spring 1977): 71–83.</w:t>
      </w:r>
    </w:p>
    <w:p>
      <w:pPr>
        <w:pStyle w:val="Para 08"/>
      </w:pPr>
      <w:r>
        <w:t>4 Watts, R.L., “The Time-Series Behavior of Quarterly Earnings,” Working Paper, University of Newcastle, 1975.</w:t>
      </w:r>
    </w:p>
    <w:p>
      <w:pPr>
        <w:pStyle w:val="Para 08"/>
      </w:pPr>
      <w:r>
        <w:t>5 Các mô hình chuỗi thời gian (time series) nói chung có thể chạy được miễn là có ít nhất 30 quan sát, nhưng sai số ước tính sẽ giảm khi số lượng quan sát tăng lên.</w:t>
      </w:r>
    </w:p>
    <w:p>
      <w:pPr>
        <w:pStyle w:val="Para 08"/>
      </w:pPr>
      <w:r>
        <w:t>6 Swedroe, L., 2022, Valuations and Earnings Growth Rates, TEBI.</w:t>
      </w:r>
    </w:p>
    <w:p>
      <w:pPr>
        <w:pStyle w:val="Para 08"/>
      </w:pPr>
      <w:r>
        <w:t>7 Các nhà phân tích phía bán (sell-side analysts) làm việc cho các công ty môi giới chứng khoán và ngân hàng đầu tư, và nghiên cứu của họ được cung cấp cho khách hàng của những công ty này như một dịch vụ. Ngược lại, các nhà phân tích phía mua (buy-side analysts) làm việc cho các nhà đầu tư tổ chức, và nghiên cứu của họ nói chung là độc quyền.</w:t>
      </w:r>
    </w:p>
    <w:p>
      <w:pPr>
        <w:pStyle w:val="Para 08"/>
      </w:pPr>
      <w:r>
        <w:t>8 Hutton, A.P., L.F. Lee và S.Z. Shu, 2012, Do Managers Always Know Better? The Relative Accuracy of Management and Analyst Forecasts”, Journal of Accounting Research, v50, 1217–1244.</w:t>
      </w:r>
    </w:p>
    <w:p>
      <w:pPr>
        <w:pStyle w:val="Para 08"/>
      </w:pPr>
      <w:r>
        <w:t>9 ROC+D/E[ROC−i(1−t)]=[NI+Int(1−t)]/(D+E)+D/E{[NI+Int(1−t)]/(D+E)−Int(1−t)/D}={[NI+Int(1−t)]/(D+E)}(1+D/E)−Int(1−t)/ENI/E+Int(1−t)/E−Int(1−t)/E=NI/E=ROE</w:t>
      </w:r>
    </w:p>
    <w:p>
      <w:pPr>
        <w:pStyle w:val="Para 08"/>
      </w:pPr>
      <w:r>
        <w:t>10 Lưu ý rằng 17,22% nằm chính giữa tỷ suất sinh lợi trên vốn hiện tại và mức trung bình của ngành (22,27 phần trăm).</w:t>
      </w:r>
    </w:p>
    <w:p>
      <w:pPr>
        <w:pStyle w:val="Para 08"/>
      </w:pPr>
      <w:r>
        <w:t>11 Bạn đang cho phép một tốc độ tăng trưởng kép theo thời gian. Do đó, nếu thu nhập được kỳ vọng tăng 25 phần trăm trong ba năm, bạn ước tính tốc độ tăng trưởng kỳ vọng mỗi năm như sau: Tốc độ tăng trưởng kỳ vọng mỗi năm = (1,25)1/3 − 1.</w:t>
      </w:r>
    </w:p>
    <w:p>
      <w:pPr>
        <w:pStyle w:val="Para 08"/>
      </w:pPr>
      <w:r>
        <w:t>12 Khoản lỗ hoạt động ròng dẫn vào thời điểm định giá là 167,6 triệu đô-la, với các khoản lỗ tiếp theo làm tăng nó lên 816,5 triệu đô-la vào cuối năm thứ 2.</w:t>
      </w:r>
    </w:p>
    <w:p>
      <w:pPr>
        <w:pStyle w:val="Para 08"/>
      </w:pPr>
      <w:r>
        <w:t>13 Khi vốn đầu tư (invested capital) âm, không thể tính được tỷ suất sinh lợi trên vốn đầu tư (return on invested capital).</w:t>
      </w:r>
    </w:p>
    <w:p>
      <w:bookmarkStart w:id="2174" w:name="Chapter_12Closure_in_Valuation"/>
      <w:bookmarkStart w:id="2175" w:name="Top_of_c012_xhtml"/>
      <w:bookmarkStart w:id="2176" w:name="Chapter_12Closure_in_Valuation_1"/>
      <w:pPr>
        <w:keepNext/>
        <w:pStyle w:val="Heading 1"/>
        <w:pageBreakBefore w:val="on"/>
        <w:keepLines w:val="on"/>
      </w:pPr>
      <w:r>
        <w:t>CHƯƠNG 12</w:t>
      </w:r>
      <w:r>
        <w:br/>
      </w:r>
      <w:r>
        <w:t>Giá trị cuối kỳ trong định giá: Ước tính giá trị kết thúc</w:t>
      </w:r>
      <w:bookmarkEnd w:id="2174"/>
      <w:bookmarkEnd w:id="2175"/>
      <w:bookmarkEnd w:id="2176"/>
    </w:p>
    <w:p>
      <w:pPr>
        <w:pStyle w:val="Para 03"/>
      </w:pPr>
      <w:r>
        <w:t>Trong chương trước, chúng ta đã xem xét các yếu tố quyết định mức tăng trưởng kỳ vọng. Những công ty tái đầu tư phần lớn thu nhập của mình và đạt tỷ suất sinh lợi cao trên những khoản đầu tư này sẽ có thể tăng trưởng với tốc độ cao. Nhưng trong bao lâu? Và điều gì xảy ra sau đó? Chương này xem xét hai cách để khép lại quá trình định giá: cách tiếp cận hoạt động liên tục (going concern), nơi chúng ta giả định rằng công ty tiếp tục tạo ra dòng tiền vô thời hạn, và cách tiếp cận thanh lý (liquidation), nơi chúng ta giả định rằng doanh nghiệp bị đóng cửa và tài sản được bán vào một thời điểm nào đó.</w:t>
      </w:r>
    </w:p>
    <w:p>
      <w:pPr>
        <w:pStyle w:val="Para 03"/>
      </w:pPr>
      <w:r>
        <w:t>Hãy xem xét cách tiếp cận hoạt động liên tục trước. Khi một công ty tăng trưởng, việc duy trì mức tăng trưởng cao trở nên khó khăn hơn, và cuối cùng nó sẽ tăng trưởng với tốc độ nhỏ hơn hoặc bằng tốc độ tăng trưởng của nền kinh tế mà nó hoạt động. Tốc độ tăng trưởng này, được gọi là tăng trưởng ổn định (stable growth), có thể được duy trì hoặc vô thời hạn hoặc trong một giai đoạn hữu hạn kéo dài, cho phép chúng ta ước tính giá trị của tất cả các dòng tiền vượt ra ngoài thời điểm đó như một giá trị cuối kỳ (terminal value) cho một hoạt động liên tục. Câu hỏi then chốt mà chúng ta phải đối mặt là việc ước tính khi nào và bằng cách nào sự chuyển đổi sang tăng trưởng ổn định này sẽ diễn ra đối với công ty mà chúng ta đang định giá. Liệu tốc độ tăng trưởng sẽ giảm đột ngột tại một thời điểm nào đó xuống tốc độ tăng trưởng ổn định, hay nó sẽ diễn ra dần dần theo thời gian? Để trả lời những câu hỏi này, chúng ta sẽ xem xét quy mô của công ty (so với thị trường mà nó phục vụ), tốc độ tăng trưởng hiện tại của nó, và các lợi thế cạnh tranh của nó.</w:t>
      </w:r>
    </w:p>
    <w:p>
      <w:pPr>
        <w:pStyle w:val="Para 03"/>
      </w:pPr>
      <w:r>
        <w:t>Chúng ta cũng xem xét một con đường thay thế, đó là các công ty không tồn tại mãi mãi và chúng sẽ bị thanh lý vào một thời điểm nào đó trong tương lai. Chúng ta sẽ xem xét cách tốt nhất để ước tính giá trị thanh lý và khi nào thì việc sử dụng cách tiếp cận này hợp lý hơn so với cách tiếp cận hoạt động liên tục.</w:t>
      </w:r>
    </w:p>
    <w:p>
      <w:bookmarkStart w:id="2178" w:name="Closure_in_Valuation"/>
      <w:bookmarkStart w:id="2179" w:name="Closure_in_Valuation__Since_you"/>
      <w:pPr>
        <w:keepNext/>
        <w:pStyle w:val="Heading 2"/>
        <w:keepLines w:val="on"/>
      </w:pPr>
      <w:r>
        <w:t>Khép lại quá trình định giá</w:t>
      </w:r>
      <w:bookmarkEnd w:id="2178"/>
      <w:bookmarkEnd w:id="2179"/>
    </w:p>
    <w:p>
      <w:pPr>
        <w:pStyle w:val="Para 03"/>
      </w:pPr>
      <w:r>
        <w:t>Vì bạn không thể ước tính dòng tiền mãi mãi, nên trong định giá dòng tiền chiết khấu (discounted cash flow valuation), bạn thường phải khép lại bằng cách dừng việc ước tính dòng tiền tại một thời điểm nào đó trong tương lai, rồi tính giá trị kết thúc (terminal value) phản ánh giá trị của doanh nghiệp tại thời điểm đó.</w:t>
      </w:r>
    </w:p>
    <w:p>
      <w:bookmarkStart w:id="2180" w:name="Value_of_firm____t_1t_nE_Cash_Fl"/>
      <w:pPr>
        <w:keepNext/>
        <w:pStyle w:val="Para 09"/>
        <w:keepLines w:val="on"/>
      </w:pPr>
      <w:r>
        <w:t>Giá trị doanh nghiệp=∑t=1t=nE(Dòng tiền t)(1+r)t+ Giá trị kết thúc (1+r)n</w:t>
      </w:r>
      <w:bookmarkEnd w:id="2180"/>
    </w:p>
    <w:p>
      <w:pPr>
        <w:pStyle w:val="Para 03"/>
      </w:pPr>
      <w:r>
        <w:t>trong đó</w:t>
      </w:r>
    </w:p>
    <w:p>
      <w:bookmarkStart w:id="2182" w:name="ECash_Flowt_Expected_cash_flow_i"/>
      <w:pPr>
        <w:keepNext/>
        <w:pStyle w:val="Para 09"/>
        <w:keepLines w:val="on"/>
      </w:pPr>
      <w:r>
        <w:t>EDòng tiền t=Dòng tiền kỳ vọng trong kỳ tr=Suất chiết khấu phản ánh loại và rủi ro của dòng tiền</w:t>
      </w:r>
      <w:bookmarkEnd w:id="2182"/>
    </w:p>
    <w:p>
      <w:pPr>
        <w:pStyle w:val="Para 03"/>
      </w:pPr>
      <w:r>
        <w:t>Bạn có thể tìm giá trị kết thúc theo một trong hai cách. Một là giả định doanh nghiệp thanh lý tài sản của mình vào năm kết thúc và ước tính xem người khác sẽ trả bao nhiêu cho những tài sản mà doanh nghiệp đã tích lũy được tại thời điểm đó. Cách còn lại giả định rằng dòng tiền của doanh nghiệp sẽ tăng trưởng với tốc độ không đổi mãi mãi — một tốc độ tăng trưởng ổn định (stable growth rate). Với tăng trưởng ổn định, giá trị kết thúc có thể được ước tính bằng một mô hình tăng trưởng vĩnh viễn (perpetual growth model). Còn có cách thứ ba được giới hành nghề sử dụng rộng rãi, đó là áp một bội số (multiple) lên lợi nhuận, doanh thu hoặc giá trị sổ sách để ước tính giá trị vào năm kết thúc. Theo quan điểm của chúng tôi, cách đó không tương thích với giá trị nội tại (intrinsic value), gần với định giá kỳ hạn (forward pricing) hơn là định giá nội tại, và chúng ta sẽ bàn kỹ hơn về điều này trong Chương 16.</w:t>
      </w:r>
    </w:p>
    <w:p>
      <w:bookmarkStart w:id="2183" w:name="Liquidation_Value__In_some_valua"/>
      <w:bookmarkStart w:id="2184" w:name="Liquidation_Value"/>
      <w:pPr>
        <w:keepNext/>
        <w:pStyle w:val="Heading 3"/>
        <w:keepLines w:val="on"/>
      </w:pPr>
      <w:r>
        <w:t>Giá trị thanh lý</w:t>
      </w:r>
      <w:bookmarkEnd w:id="2183"/>
      <w:bookmarkEnd w:id="2184"/>
    </w:p>
    <w:p>
      <w:pPr>
        <w:pStyle w:val="Para 03"/>
      </w:pPr>
      <w:r>
        <w:t>Trong một số định giá, ta có thể giả định rằng doanh nghiệp sẽ ngừng hoạt động tại một thời điểm nào đó trong tương lai và bán những tài sản đã tích lũy được cho người trả giá cao nhất. Ước tính thu được gọi là giá trị thanh lý (liquidation value). Có hai cách ước tính giá trị thanh lý. Một là dựa trên giá trị sổ sách của tài sản, điều chỉnh theo lạm phát trong kỳ. Như vậy, nếu giá trị sổ sách của tài sản 10 năm tới được kỳ vọng là 2 tỷ đô la, tuổi trung bình của tài sản tại thời điểm đó là năm năm và tỷ lệ lạm phát kỳ vọng là 3 phần trăm, thì giá trị thanh lý kỳ vọng có thể được ước tính như sau:</w:t>
      </w:r>
    </w:p>
    <w:p>
      <w:bookmarkStart w:id="2185" w:name="Expected_liquidation_value_Book"/>
      <w:pPr>
        <w:keepNext/>
        <w:pStyle w:val="Para 09"/>
        <w:keepLines w:val="on"/>
      </w:pPr>
      <w:r>
        <w:t>Giá trị thanh lý kỳ vọng=Giá trị sổ sách của tài sản năm kết thúc(1+Tỷ lệ lạm phát)tuổi thọ trung bình của tài sản=$2 tỷ (1.03)5=$2.319 tỷ</w:t>
      </w:r>
      <w:bookmarkEnd w:id="2185"/>
    </w:p>
    <w:p>
      <w:pPr>
        <w:pStyle w:val="Para 03"/>
      </w:pPr>
      <w:r>
        <w:t>Hạn chế của cách này là nó dựa trên giá trị sổ sách kế toán và không phản ánh khả năng sinh lời của tài sản.</w:t>
      </w:r>
    </w:p>
    <w:p>
      <w:pPr>
        <w:pStyle w:val="Para 03"/>
      </w:pPr>
      <w:r>
        <w:t>Cách thay thế là ước tính giá trị dựa trên khả năng sinh lời của tài sản. Để đưa ra ước tính này, trước tiên ta phải ước tính dòng tiền kỳ vọng từ tài sản, rồi chiết khấu những dòng tiền này về hiện tại bằng một suất chiết khấu phù hợp. Chẳng hạn trong ví dụ trước, nếu ta giả định rằng tài sản đang xét có thể được kỳ vọng tạo ra 400 triệu đô la dòng tiền sau thuế trong 15 năm (sau năm kết thúc) và chi phí vốn là 10 phần trăm, thì ước tính giá trị thanh lý kỳ vọng của chúng ta sẽ là:</w:t>
      </w:r>
    </w:p>
    <w:p>
      <w:bookmarkStart w:id="2186" w:name="Expected_liquidation_value__400"/>
      <w:pPr>
        <w:keepNext/>
        <w:pStyle w:val="Para 09"/>
        <w:keepLines w:val="on"/>
      </w:pPr>
      <w:r>
        <w:t>Giá trị thanh lý kỳ vọng=$400 triệu (PV của niên kim, 15 năm @ 10%)=$3.042 tỷ</w:t>
      </w:r>
      <w:bookmarkEnd w:id="2186"/>
    </w:p>
    <w:p>
      <w:pPr>
        <w:pStyle w:val="Para 03"/>
      </w:pPr>
      <w:r>
        <w:t>Khi định giá vốn chủ sở hữu (equity), cần thực hiện thêm một bước nữa. Giá trị ước tính của khoản nợ còn outstanding vào năm kết thúc phải được trừ khỏi giá trị thanh lý để ra số tiền thanh lý thuộc về nhà đầu tư vốn chủ sở hữu.</w:t>
      </w:r>
    </w:p>
    <w:p>
      <w:pPr>
        <w:pStyle w:val="Para 20"/>
      </w:pPr>
      <w:r>
        <w:rPr>
          <w:rStyle w:val="Text26"/>
        </w:rPr>
        <w:bookmarkStart w:id="2187" w:name="Page_343"/>
        <w:t/>
        <w:bookmarkEnd w:id="2187"/>
      </w:r>
      <w:r>
        <w:t xml:space="preserve"> </w:t>
      </w:r>
    </w:p>
    <w:p>
      <w:bookmarkStart w:id="2188" w:name="Multiple_Approach"/>
      <w:bookmarkStart w:id="2189" w:name="Multiple_Approach__In_this_appro"/>
      <w:pPr>
        <w:keepNext/>
        <w:pStyle w:val="Heading 3"/>
        <w:keepLines w:val="on"/>
      </w:pPr>
      <w:r>
        <w:t>Cách tiếp cận bội số</w:t>
      </w:r>
      <w:bookmarkEnd w:id="2188"/>
      <w:bookmarkEnd w:id="2189"/>
    </w:p>
    <w:p>
      <w:pPr>
        <w:pStyle w:val="Para 03"/>
      </w:pPr>
      <w:r>
        <w:t>Theo cách này, giá trị của doanh nghiệp trong một năm tương lai được ước tính bằng cách áp một bội số lên lợi nhuận hoặc doanh thu của doanh nghiệp trong năm đó. Chẳng hạn, một doanh nghiệp có doanh thu kỳ vọng 6 tỷ đô la trong mười năm tới sẽ có giá trị kết thúc ước tính trong năm đó là 12 tỷ đô la, nếu dùng bội số giá trị trên doanh thu (value-to-sales multiple) bằng hai. Nếu định giá vốn chủ sở hữu, ta dùng các bội số vốn chủ sở hữu như tỷ số giá trên thu nhập (price-earnings ratios) để ra giá trị kết thúc.</w:t>
      </w:r>
    </w:p>
    <w:p>
      <w:pPr>
        <w:pStyle w:val="Para 03"/>
      </w:pPr>
      <w:r>
        <w:t>Dù cách này có ưu điểm là đơn giản, nhưng bội số lại quyết định giá trị cuối cùng và việc lấy bội số từ đâu có thể là điều then chốt. Nếu, như thường thấy, bội số được ước tính bằng cách nhìn vào cách thị trường định giá các doanh nghiệp tương đồng trong ngành hiện nay, thì việc định giá trở thành định giá tương đối (relative valuation), chứ không phải định giá dòng tiền chiết khấu. Nếu bội số được ước tính bằng các yếu tố cơ bản (fundamentals), nó sẽ hội tụ về mô hình tăng trưởng ổn định (được mô tả ở phần tiếp theo), và không cần dùng nó như một cách thay thế nữa.</w:t>
      </w:r>
    </w:p>
    <w:p>
      <w:pPr>
        <w:pStyle w:val="Para 03"/>
      </w:pPr>
      <w:r>
        <w:t>Tóm lại, dùng bội số để ước tính giá trị kết thúc, khi những bội số đó được ước tính từ các doanh nghiệp tương đồng, sẽ tạo ra một sự pha trộn nguy hiểm giữa định giá theo giá thị trường (pricing) và định giá dòng tiền chiết khấu. Dù định giá theo giá thị trường có những lợi thế, và chúng ta sẽ xem xét chúng ở một chương sau, nhưng định giá dòng tiền chiết khấu nên mang lại cho bạn một ước tính về giá trị nội tại, chứ không phải giá trị tương đối. Do đó, cách nhất quán duy nhất để ước tính giá trị kết thúc trong một mô hình dòng tiền chiết khấu là dùng giá trị thanh lý hoặc mô hình tăng trưởng ổn định.</w:t>
      </w:r>
    </w:p>
    <w:p>
      <w:bookmarkStart w:id="2190" w:name="Stable_Growth_Model"/>
      <w:bookmarkStart w:id="2191" w:name="Stable_Growth_Model__In_the_liqu"/>
      <w:pPr>
        <w:keepNext/>
        <w:pStyle w:val="Heading 3"/>
        <w:keepLines w:val="on"/>
      </w:pPr>
      <w:r>
        <w:t>Mô hình tăng trưởng ổn định</w:t>
      </w:r>
      <w:bookmarkEnd w:id="2190"/>
      <w:bookmarkEnd w:id="2191"/>
    </w:p>
    <w:p>
      <w:pPr>
        <w:pStyle w:val="Para 03"/>
      </w:pPr>
      <w:r>
        <w:t>Trong cách tiếp cận giá trị thanh lý, bạn giả định rằng doanh nghiệp của bạn có vòng đời hữu hạn, và nó sẽ được thanh lý vào cuối vòng đời đó. Tuy nhiên, doanh nghiệp có thể tái đầu tư một phần dòng tiền của mình vào tài sản mới và kéo dài vòng đời. Nếu bạn giả định rằng dòng tiền, sau năm kết thúc, sẽ tăng trưởng với tốc độ không đổi mãi mãi, thì giá trị kết thúc có thể được ước tính như sau:</w:t>
      </w:r>
    </w:p>
    <w:p>
      <w:bookmarkStart w:id="2192" w:name="Terminal_valuet_Cash_flowt_1__r"/>
      <w:pPr>
        <w:keepNext/>
        <w:pStyle w:val="Para 09"/>
        <w:keepLines w:val="on"/>
      </w:pPr>
      <w:r>
        <w:t>Giá trị kết thúc t=Dòng tiền t+1 (r−Tốc độ tăng trưởng ổn định)</w:t>
      </w:r>
      <w:bookmarkEnd w:id="2192"/>
    </w:p>
    <w:p>
      <w:pPr>
        <w:pStyle w:val="Para 03"/>
      </w:pPr>
      <w:r>
        <w:t>Dòng tiền và suất chiết khấu được dùng sẽ phụ thuộc vào việc bạn đang định giá doanh nghiệp hay định giá vốn chủ sở hữu. Nếu bạn định giá vốn chủ sở hữu, giá trị kết thúc của vốn chủ sở hữu có thể được viết là:</w:t>
      </w:r>
    </w:p>
    <w:p>
      <w:bookmarkStart w:id="2193" w:name="Terminal_value_of_equityn_Cash_f"/>
      <w:pPr>
        <w:keepNext/>
        <w:pStyle w:val="Para 09"/>
        <w:keepLines w:val="on"/>
      </w:pPr>
      <w:r>
        <w:t>Giá trị kết thúc của vốn chủ sở hữu n=Dòng tiền thuộc về vốn chủ sở hữu n+1(Chi phí vốn chủ sở hữu n+1-gn)</w:t>
      </w:r>
      <w:bookmarkEnd w:id="2193"/>
    </w:p>
    <w:p>
      <w:pPr>
        <w:pStyle w:val="Para 03"/>
      </w:pPr>
      <w:r>
        <w:t>Dòng tiền thuộc về vốn chủ sở hữu có thể được định nghĩa chặt chẽ là cổ tức (trong mô hình chiết khấu cổ tức) hoặc là dòng tiền tự do thuộc về vốn chủ sở hữu (free cash flow to equity). Nếu định giá doanh nghiệp, giá trị kết thúc có thể được viết là:</w:t>
      </w:r>
    </w:p>
    <w:p>
      <w:bookmarkStart w:id="2194" w:name="Terminal_value_of_firmn___Cash_f"/>
      <w:pPr>
        <w:keepNext/>
        <w:pStyle w:val="Para 09"/>
        <w:keepLines w:val="on"/>
      </w:pPr>
      <w:r>
        <w:t>Giá trị kết thúc của doanh nghiệp n = Dòng tiền thuộc về doanh nghiệp n+1(Chi phí vốn n+1-gn)</w:t>
      </w:r>
      <w:bookmarkEnd w:id="2194"/>
    </w:p>
    <w:p>
      <w:pPr>
        <w:pStyle w:val="Para 03"/>
      </w:pPr>
      <w:r>
        <w:t>trong đó chi phí vốn và tốc độ tăng trưởng trong mô hình là bền vững mãi mãi.</w:t>
      </w:r>
    </w:p>
    <w:p>
      <w:pPr>
        <w:pStyle w:val="Para 03"/>
      </w:pPr>
      <w:r>
        <w:t>Trong phần này, chúng ta sẽ bắt đầu bằng việc xem xét tốc độ tăng trưởng ổn định có thể cao đến mức nào, cách ước tính tốt nhất thời điểm doanh nghiệp của bạn trở thành doanh nghiệp tăng trưởng ổn định, và những đầu vào nào cần được điều chỉnh khi doanh nghiệp tiến gần đến tăng trưởng ổn định.</w:t>
      </w:r>
    </w:p>
    <w:p>
      <w:pPr>
        <w:pStyle w:val="Para 20"/>
      </w:pPr>
      <w:r>
        <w:rPr>
          <w:rStyle w:val="Text26"/>
        </w:rPr>
        <w:bookmarkStart w:id="2195" w:name="Page_344"/>
        <w:t/>
        <w:bookmarkEnd w:id="2195"/>
      </w:r>
      <w:r>
        <w:t xml:space="preserve"> </w:t>
      </w:r>
    </w:p>
    <w:p>
      <w:bookmarkStart w:id="2196" w:name="Constraints_on_Stable_Growth"/>
      <w:bookmarkStart w:id="2197" w:name="Constraints_on_Stable_Growth__Of"/>
      <w:pPr>
        <w:keepNext/>
        <w:pStyle w:val="Heading 4"/>
        <w:keepLines w:val="on"/>
      </w:pPr>
      <w:r>
        <w:t>Những Ràng buộc đối với Tăng trưởng Ổn định</w:t>
      </w:r>
      <w:bookmarkEnd w:id="2196"/>
      <w:bookmarkEnd w:id="2197"/>
    </w:p>
    <w:p>
      <w:pPr>
        <w:pStyle w:val="Para 03"/>
      </w:pPr>
      <w:r>
        <w:t>Trong tất cả các yếu tố đầu vào của một mô hình định giá dòng tiền chiết khấu (discounted cash flow), không có yếu tố nào gây nhiều lo lắng bằng việc ước tính tốc độ tăng trưởng ổn định. Một phần lý do là vì những thay đổi nhỏ trong tốc độ tăng trưởng ổn định có thể làm thay đổi giá trị cuối kỳ (terminal value) một cách đáng kể, và ảnh hưởng này càng lớn khi tốc độ tăng trưởng tiến gần đến tỷ lệ chiết khấu được dùng trong ước tính.</w:t>
      </w:r>
    </w:p>
    <w:p>
      <w:pPr>
        <w:pStyle w:val="Para 03"/>
      </w:pPr>
      <w:r>
        <w:t>Tuy nhiên, việc tốc độ tăng trưởng ổn định là không đổi mãi mãi lại đặt ra những ràng buộc mạnh mẽ về mức tối đa mà nó có thể đạt được. Vì không doanh nghiệp nào có thể tăng trưởng mãi mãi ở tốc độ cao hơn tốc độ tăng trưởng của nền kinh tế mà nó hoạt động, nên tốc độ tăng trưởng không đổi không thể lớn hơn tốc độ tăng trưởng chung của nền kinh tế. Khi đưa ra phán đoán về giới hạn của tốc độ tăng trưởng ổn định, chúng ta phải xem xét ba câu hỏi sau:</w:t>
      </w:r>
    </w:p>
    <w:p>
      <w:pPr>
        <w:numPr>
          <w:ilvl w:val="0"/>
          <w:numId w:val="106"/>
        </w:numPr>
        <w:pStyle w:val="Para 01"/>
      </w:pPr>
      <w:r>
        <w:t>Công ty bị ràng buộc phải hoạt động như một công ty nội địa, hay công ty hoạt động (hoặc có khả năng hoạt động) đa quốc gia? Nếu một doanh nghiệp là công ty thuần nội địa, dù vì ràng buộc nội bộ (chẳng hạn như những ràng buộc do ban lãnh đạo áp đặt) hay ràng buộc bên ngoài (chẳng hạn như những ràng buộc do chính phủ áp đặt), thì tốc độ tăng trưởng của nền kinh tế nội địa sẽ là giá trị giới hạn. Nếu công ty là đa quốc gia hoặc có tham vọng trở thành đa quốc gia, thì tốc độ tăng trưởng của nền kinh tế toàn cầu (hoặc ít nhất là những khu vực trên toàn cầu mà doanh nghiệp hoạt động) sẽ là giá trị giới hạn.</w:t>
      </w:r>
    </w:p>
    <w:p>
      <w:pPr>
        <w:numPr>
          <w:ilvl w:val="0"/>
          <w:numId w:val="106"/>
        </w:numPr>
        <w:pStyle w:val="Para 01"/>
      </w:pPr>
      <w:r>
        <w:t>Việc định giá được thực hiện theo giá trị danh nghĩa (nominal) hay giá trị thực (real)? Nếu định giá theo giá trị danh nghĩa, thì tốc độ tăng trưởng ổn định cũng nên là tốc độ tăng trưởng danh nghĩa (tức là bao gồm cả thành phần lạm phát kỳ vọng). Nếu định giá theo giá trị thực, thì tốc độ tăng trưởng ổn định sẽ bị ràng buộc ở mức thấp hơn. Lấy một công ty Mỹ vào năm 2024 làm ví dụ, tốc độ tăng trưởng ổn định có thể cao tới 4 phần trăm nếu định giá bằng đô la Mỹ danh nghĩa, nhưng chỉ 1,5 phần trăm nếu định giá theo giá trị thực.</w:t>
      </w:r>
    </w:p>
    <w:p>
      <w:pPr>
        <w:numPr>
          <w:ilvl w:val="0"/>
          <w:numId w:val="106"/>
        </w:numPr>
        <w:pStyle w:val="Para 01"/>
      </w:pPr>
      <w:r>
        <w:t>Đồng tiền nào đang được dùng để ước tính dòng tiền và tỷ lệ chiết khấu trong định giá? Các giới hạn đối với tăng trưởng ổn định sẽ thay đổi tùy theo đồng tiền được dùng trong định giá. Nếu dùng một đồng tiền có lạm phát cao để ước tính dòng tiền và tỷ lệ chiết khấu, thì tốc độ tăng trưởng ổn định sẽ cao hơn nhiều, vì tỷ lệ lạm phát kỳ vọng được cộng thêm vào tăng trưởng thực. Nếu dùng một đồng tiền có lạm phát thấp để ước tính dòng tiền, thì tốc độ tăng trưởng ổn định sẽ thấp hơn nhiều. Ví dụ, tốc độ tăng trưởng ổn định dùng để định giá Cemex, công ty xi măng của Mexico, sẽ cao hơn nhiều nếu định giá bằng đồng peso Mexico so với bằng đô la Mỹ.</w:t>
      </w:r>
    </w:p>
    <w:p>
      <w:pPr>
        <w:pStyle w:val="Para 03"/>
      </w:pPr>
      <w:r>
        <w:t>Mặc dù tốc độ tăng trưởng ổn định không thể vượt quá tốc độ tăng trưởng của nền kinh tế mà doanh nghiệp hoạt động, nhưng nó có thể thấp hơn. Không có gì ngăn cản chúng ta giả định rằng các doanh nghiệp trưởng thành sẽ trở thành một phần nhỏ hơn của nền kinh tế, và thực tế đó có thể là giả định hợp lý hơn để đưa ra. Lưu ý rằng tốc độ tăng trưởng của một nền kinh tế phản ánh sự đóng góp của cả những doanh nghiệp trẻ tăng trưởng cao lẫn những doanh nghiệp trưởng thành tăng trưởng ổn định. Nếu nhóm trước tăng trưởng ở tốc độ cao hơn nhiều so với tốc độ tăng trưởng của nền kinh tế, thì nhóm sau phải tăng trưởng ở tốc độ thấp hơn.</w:t>
      </w:r>
    </w:p>
    <w:p>
      <w:bookmarkStart w:id="2198" w:name="Risk_Free_Rates_and_Growth_in_Pe"/>
      <w:bookmarkStart w:id="2199" w:name="Risk_Free_Rates_and_Growth_in_Pe_1"/>
      <w:pPr>
        <w:keepNext/>
        <w:pStyle w:val="Heading 4"/>
        <w:keepLines w:val="on"/>
      </w:pPr>
      <w:r>
        <w:t>Tỷ lệ Phi rủi ro và Tăng trưởng Vĩnh viễn</w:t>
      </w:r>
      <w:bookmarkEnd w:id="2198"/>
      <w:bookmarkEnd w:id="2199"/>
    </w:p>
    <w:p>
      <w:pPr>
        <w:pStyle w:val="Para 03"/>
      </w:pPr>
      <w:r>
        <w:t>Trong định giá, tỷ lệ phi rủi ro (risk-free rate) xuất hiện trong bối cảnh ước tính tỷ lệ chiết khấu nhưng thường không được xem xét khi ước tính dòng tiền và tốc độ tăng trưởng. Nếu có một bài học từ thế giới lãi suất thấp (và thậm chí âm) mà chúng ta đã sống trong thập kỷ sau cuộc khủng hoảng năm 2008, thì đó là những lực đẩy lãi suất lên xuống cũng ảnh hưởng đến tốc độ tăng trưởng và dòng tiền.</w:t>
      </w:r>
    </w:p>
    <w:p>
      <w:pPr>
        <w:pStyle w:val="Para 03"/>
      </w:pPr>
      <w:r>
        <w:t>Tỷ lệ phi rủi ro, vốn là một lãi suất danh nghĩa, ở bất kỳ đồng tiền nào cũng có thể được viết dưới dạng tổng của lạm phát kỳ vọng và lãi suất thực:</w:t>
      </w:r>
    </w:p>
    <w:p>
      <w:pPr>
        <w:pStyle w:val="Para 20"/>
      </w:pPr>
      <w:r>
        <w:rPr>
          <w:rStyle w:val="Text26"/>
        </w:rPr>
        <w:bookmarkStart w:id="2200" w:name="Page_345"/>
        <w:t/>
        <w:bookmarkEnd w:id="2200"/>
      </w:r>
      <w:r>
        <w:t xml:space="preserve"> </w:t>
      </w:r>
    </w:p>
    <w:p>
      <w:bookmarkStart w:id="2201" w:name="Nominal_riskless_rate_Real_riskl"/>
      <w:pPr>
        <w:keepNext/>
        <w:pStyle w:val="Para 09"/>
        <w:keepLines w:val="on"/>
      </w:pPr>
      <w:r>
        <w:t>Tỷ lệ phi rủi ro danh nghĩa = Tỷ lệ phi rủi ro thực + Tỷ lệ lạm phát kỳ vọng</w:t>
      </w:r>
      <w:bookmarkEnd w:id="2201"/>
    </w:p>
    <w:p>
      <w:pPr>
        <w:pStyle w:val="Para 03"/>
      </w:pPr>
      <w:r>
        <w:t>Trong Chương 8, chúng ta đã lưu ý rằng tỷ lệ phi rủi ro khác nhau giữa các đồng tiền, chủ yếu là do sự khác biệt về lạm phát, và nếu có những rào cản đối với dòng vốn lưu chuyển tự do — và điều này thường xảy ra — thì tỷ lệ phi rủi ro thực sẽ hội tụ về tốc độ tăng trưởng thực của nền kinh tế. Từ đó suy ra rằng tỷ lệ phi rủi ro trở thành một đại diện thay thế (proxy) cho tốc độ tăng trưởng danh nghĩa của nền kinh tế:</w:t>
      </w:r>
    </w:p>
    <w:p>
      <w:bookmarkStart w:id="2202" w:name="Expected_nominal_growth_rate_in"/>
      <w:pPr>
        <w:keepNext/>
        <w:pStyle w:val="Para 09"/>
        <w:keepLines w:val="on"/>
      </w:pPr>
      <w:r>
        <w:t>Tốc độ tăng trưởng danh nghĩa kỳ vọng của nền kinh tế = Tốc độ tăng trưởng thực của nền kinh tế + Tỷ lệ lạm phát kỳ vọng</w:t>
      </w:r>
      <w:bookmarkEnd w:id="2202"/>
    </w:p>
    <w:p>
      <w:pPr>
        <w:pStyle w:val="Para 03"/>
      </w:pPr>
      <w:r>
        <w:t>Nếu đúng như vậy, thì tỷ lệ phi rủi ro trở thành mức trần cho tốc độ tăng trưởng trong mô hình tăng trưởng vĩnh viễn.</w:t>
      </w:r>
    </w:p>
    <w:p>
      <w:pPr>
        <w:pStyle w:val="Para 03"/>
      </w:pPr>
      <w:r>
        <w:t>Tất nhiên, phản biện đưa ra là lãi suất thực và tốc độ tăng trưởng thực không nhất thiết phải bằng nhau, đặc biệt là trong ngắn hạn. Để kiểm chứng cơ sở thực nghiệm cho khẳng định này, chúng tôi đã xem xét lãi suất trái phiếu kho bạc Mỹ kỳ hạn mười năm (tỷ lệ phi rủi ro đô la danh nghĩa) và tốc độ tăng trưởng danh nghĩa của nền kinh tế Mỹ trong bảy thập kỷ qua, trong Hình 12.1.</w:t>
      </w:r>
    </w:p>
    <w:p>
      <w:bookmarkStart w:id="2204" w:name="Figure_12_1_Ten_year_U_S__Treasu"/>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2108200"/>
            <wp:effectExtent l="0" r="0" t="0" b="0"/>
            <wp:wrapTopAndBottom/>
            <wp:docPr id="108" name="c12f001.png" descr="Line, stacked bar graph, table plot inflation rate, real G D P growth, and ten-year U S treasury bond rate from 1954 to 2023."/>
            <wp:cNvGraphicFramePr>
              <a:graphicFrameLocks noChangeAspect="1"/>
            </wp:cNvGraphicFramePr>
            <a:graphic>
              <a:graphicData uri="http://schemas.openxmlformats.org/drawingml/2006/picture">
                <pic:pic>
                  <pic:nvPicPr>
                    <pic:cNvPr id="0" name="c12f001.png" descr="Line, stacked bar graph, table plot inflation rate, real G D P growth, and ten-year U S treasury bond rate from 1954 to 2023."/>
                    <pic:cNvPicPr/>
                  </pic:nvPicPr>
                  <pic:blipFill>
                    <a:blip r:embed="rId83"/>
                    <a:stretch>
                      <a:fillRect/>
                    </a:stretch>
                  </pic:blipFill>
                  <pic:spPr>
                    <a:xfrm>
                      <a:off x="0" y="0"/>
                      <a:ext cx="2425700" cy="2108200"/>
                    </a:xfrm>
                    <a:prstGeom prst="rect">
                      <a:avLst/>
                    </a:prstGeom>
                  </pic:spPr>
                </pic:pic>
              </a:graphicData>
            </a:graphic>
          </wp:anchor>
        </w:drawing>
      </w:r>
      <w:bookmarkEnd w:id="2204"/>
    </w:p>
    <w:p>
      <w:pPr>
        <w:keepNext/>
        <w:pStyle w:val="Para 22"/>
        <w:keepLines w:val="on"/>
      </w:pPr>
      <w:r>
        <w:t>Hình 12.1 Lãi suất Trái phiếu Kho bạc Mỹ Kỳ hạn Mười năm và Tăng trưởng Danh nghĩa</w:t>
      </w:r>
    </w:p>
    <w:p>
      <w:pPr>
        <w:pStyle w:val="Para 03"/>
      </w:pPr>
      <w:r>
        <w:t>Lưu ý rằng, tuy không hoàn toàn đồng bộ, lãi suất trái phiếu kho bạc kỳ hạn mười năm phản ánh tốc độ tăng trưởng danh nghĩa của nền kinh tế Mỹ trong mỗi thập kỷ, ở cả những thập kỷ lạm phát cao (như thập niên 1970) lẫn những thập kỷ lạm phát thấp (như giai đoạn 2011–2020).</w:t>
      </w:r>
    </w:p>
    <w:p>
      <w:pPr>
        <w:pStyle w:val="Para 03"/>
      </w:pPr>
      <w:r>
        <w:t>Nếu cả lập luận lý thuyết lẫn thực nghiệm đều không thuyết phục, thì có một lý do thứ ba để giới hạn tốc độ tăng trưởng vĩnh viễn ở mức tỷ lệ phi rủi ro, và điều này sẽ hợp lý nếu bạn tin rằng các ngân hàng trung ương có quyền lực đẩy lãi suất lên cao hoặc xuống thấp hơn mức mà các yếu tố cơ bản (fundamentals) cho phép. Vào năm 2020 và 2021, khi tỷ lệ phi rủi ro lao dốc, với lãi suất trái phiếu kho bạc Mỹ giảm xuống mức thấp lịch sử và tỷ lệ phi rủi ro của Euro rơi vào vùng âm, có một số nhà đầu tư tin rằng lãi suất đang ở mức thấp bất thường, khiến họ rơi vào tình thế tiến thoái lưỡng nan. Giữ nguyên lãi suất ở mức hiện tại sẽ khiến tỷ lệ chiết khấu quá thấp, và việc kết hợp những tỷ lệ này với tốc độ tăng trưởng danh nghĩa "bình thường" sẽ khiến giá trị bùng nổ. Nói đơn giản, một nhà phân tích sử dụng lãi suất trái phiếu kho bạc 1,51% vào tháng 3 năm 2020, với tốc độ tăng trưởng danh nghĩa 4% làm mức trần cho giá trị cuối kỳ, sẽ thu được giá trị quá cao. Do đó, việc gắn kết tỷ lệ phi rủi ro với tốc độ tăng trưởng vĩnh viễn giúp giữ cho định giá của bạn được cân bằng, vì việc dùng giá trị quá thấp hoặc quá cao cho một yếu tố (tỷ lệ chiết khấu) sẽ được bù đắp bằng giá trị quá thấp hoặc quá cao cho yếu tố kia (tăng trưởng kỳ vọng vĩnh viễn).</w:t>
      </w:r>
    </w:p>
    <w:p>
      <w:pPr>
        <w:pStyle w:val="Para 11"/>
      </w:pPr>
      <w:r>
        <w:t xml:space="preserve"> </w:t>
      </w:r>
    </w:p>
    <w:p>
      <w:bookmarkStart w:id="2206" w:name="Can_the_Stable_Growth_Rate_Be_Ne_1"/>
      <w:bookmarkStart w:id="2207" w:name="Can_the_Stable_Growth_Rate_Be_Ne"/>
      <w:pPr>
        <w:keepNext/>
        <w:pStyle w:val="Para 27"/>
        <w:keepLines w:val="on"/>
      </w:pPr>
      <w:r>
        <w:t>Tốc độ Tăng trưởng Ổn định có thể Âm không?</w:t>
      </w:r>
      <w:bookmarkEnd w:id="2206"/>
      <w:bookmarkEnd w:id="2207"/>
    </w:p>
    <w:p>
      <w:pPr>
        <w:pStyle w:val="Para 16"/>
        <w:keepLines w:val="on"/>
      </w:pPr>
      <w:r>
        <w:t>Phần trước đã lưu ý rằng tốc độ tăng trưởng ổn định phải nhỏ hơn hoặc bằng tốc độ tăng trưởng của nền kinh tế. Nhưng liệu nó có thể âm không? Không có lý do gì để nói là không, vì giá trị cuối kỳ vẫn có thể được ước tính. Ví dụ, một doanh nghiệp có 100 triệu đô la dòng tiền sau thuế tăng trưởng ở mức −5% mỗi năm mãi mãi và chi phí vốn là 10 phần trăm sẽ có giá trị là:</w:t>
      </w:r>
    </w:p>
    <w:p>
      <w:bookmarkStart w:id="2208" w:name="Value_of_firm_100_1____05____10"/>
      <w:pPr>
        <w:keepNext/>
        <w:pStyle w:val="Para 48"/>
        <w:keepLines w:val="on"/>
      </w:pPr>
      <w:r>
        <w:t>Giá trị doanh nghiệp = 100(1−.05)/(.10−(−.05)) = 633 triệu đô la</w:t>
      </w:r>
      <w:bookmarkEnd w:id="2208"/>
    </w:p>
    <w:p>
      <w:pPr>
        <w:pStyle w:val="Para 16"/>
        <w:keepLines w:val="on"/>
      </w:pPr>
      <w:r>
        <w:t>Tuy nhiên, về mặt trực giác, tốc độ tăng trưởng âm hàm ý điều gì? Về cơ bản, nó cho phép một doanh nghiệp thu nhỏ lại mỗi năm cho đến khi gần như biến mất. Do đó, đây là một lựa chọn trung gian giữa việc thanh lý hoàn toàn và việc hoạt động liên tục (going concern) ngày càng lớn hơn mỗi năm mãi mãi.</w:t>
      </w:r>
    </w:p>
    <w:p>
      <w:pPr>
        <w:pStyle w:val="Para 16"/>
        <w:keepLines w:val="on"/>
      </w:pPr>
      <w:r>
        <w:t>Đây là lựa chọn đúng đắn khi định giá các doanh nghiệp trong những ngành đang bị loại bỏ dần do tiến bộ công nghệ (chẳng hạn như các nhà sản xuất điện thoại cố định, với sự xuất hiện của điện thoại di động) hoặc khi một khách hàng bên ngoài và quan trọng đang cắt giảm mua hàng trong dài hạn (như trường hợp của các nhà thầu quốc phòng sau khi Chiến tranh Lạnh kết thúc).</w:t>
      </w:r>
    </w:p>
    <w:p>
      <w:pPr>
        <w:pStyle w:val="Para 16"/>
        <w:keepLines w:val="on"/>
      </w:pPr>
      <w:r>
        <w:t>Việc sử dụng tốc độ tăng trưởng âm cũng có thể phản ánh một trật tự kinh tế đang thay đổi, nơi các doanh nghiệp thành công không tồn tại được cả một thế kỷ như đã từng xảy ra trong thế kỷ hai mươi, mà chỉ kéo dài được vài thập kỷ. Đối với những công ty có vòng đời ngắn này, sẽ hợp lý hơn khi bạn đến năm cuối kỳ (terminal year), là đặt chúng vào lộ trình nhanh chóng tự thanh lý theo thời gian, bằng cách thiết lập tốc độ tăng trưởng ổn định ở mức −5% hoặc thậm chí −10% mỗi năm.</w:t>
      </w:r>
    </w:p>
    <w:p>
      <w:bookmarkStart w:id="2209" w:name="Key_Assumptions_about_Stable_Gro"/>
      <w:bookmarkStart w:id="2210" w:name="Key_Assumptions_about_Stable_Gro_1"/>
      <w:pPr>
        <w:keepNext/>
        <w:pStyle w:val="Heading 4"/>
        <w:keepLines w:val="on"/>
      </w:pPr>
      <w:r>
        <w:t>Những Giả định Then chốt về Tăng trưởng Ổn định</w:t>
      </w:r>
      <w:bookmarkEnd w:id="2209"/>
      <w:bookmarkEnd w:id="2210"/>
    </w:p>
    <w:p>
      <w:pPr>
        <w:pStyle w:val="Para 03"/>
      </w:pPr>
      <w:r>
        <w:t>Trong mọi định giá dòng tiền chiết khấu (discounted cash flow), có ba giả định then chốt mà bạn cần đưa ra cho tăng trưởng ổn định. Giả định thứ nhất liên quan đến việc khi nào công ty bạn đang định giá sẽ trở thành một công ty tăng trưởng ổn định, nếu hiện tại nó chưa phải vậy. Giả định thứ hai liên quan đến các đặc điểm của công ty khi ở giai đoạn tăng trưởng ổn định, xét về lợi nhuận trên vốn đầu tư (return on investments) và chi phí vốn chủ sở hữu (cost of equity) cũng như chi phí vốn (cost of capital). Giả định cuối cùng liên quan đến cách công ty bạn đang định giá sẽ chuyển đổi từ tăng trưởng cao sang tăng trưởng ổn định.</w:t>
      </w:r>
    </w:p>
    <w:p>
      <w:bookmarkStart w:id="2212" w:name="Length_of_the_High_Growth_Period"/>
      <w:pPr>
        <w:pStyle w:val="Para 21"/>
      </w:pPr>
      <w:r>
        <w:t>Độ dài của giai đoạn tăng trưởng cao</w:t>
      </w:r>
      <w:bookmarkEnd w:id="2212"/>
    </w:p>
    <w:p>
      <w:pPr>
        <w:pStyle w:val="Para 03"/>
      </w:pPr>
      <w:r>
        <w:t>Câu hỏi một công ty có thể duy trì tăng trưởng cao trong bao lâu có lẽ là một trong những câu hỏi khó trả lời hơn trong định giá, nhưng có hai điểm đáng lưu ý. Thứ nhất, đó không phải là câu hỏi liệu các công ty có đụng phải bức tường tăng trưởng ổn định hay không, mà là khi nào. Tất cả các công ty cuối cùng đều trở thành công ty tăng trưởng ổn định, trong trường hợp tốt nhất, bởi vì tăng trưởng cao khiến công ty trở nên lớn hơn, và quy mô của công ty cuối cùng sẽ trở thành rào cản cho tăng trưởng cao tiếp theo. Trong trường hợp xấu nhất, các công ty không tồn tại được và sẽ bị giải thể. Thứ hai, tăng trưởng cao trong định giá, hay ít nhất là tăng trưởng cao tạo ra giá trị,1 đến từ việc các công ty kiếm được lợi nhuận vượt trội (excess returns) trên các khoản đầu tư cận biên của họ. Nói cách khác, giá trị gia tăng đến từ việc các công ty có lợi nhuận trên vốn (return on capital) cao hơn chi phí vốn (cost of capital) (hoặc lợi nhuận trên vốn chủ sở hữu cao hơn chi phí vốn chủ sở hữu). Vì vậy, khi bạn giả định rằng một công ty sẽ trải qua tăng trưởng cao trong 5 hoặc 10 năm tới, bạn cũng đang ngầm giả định rằng nó sẽ kiếm được lợi nhuận vượt trội (cao hơn mức lợi nhuận yêu cầu) trong giai đoạn đó. Trong một thị trường cạnh tranh, những lợi nhuận vượt trội này cuối cùng sẽ thu hút các đối thủ mới, và lợi nhuận vượt trội sẽ biến mất.</w:t>
      </w:r>
    </w:p>
    <w:p>
      <w:pPr>
        <w:pStyle w:val="Para 03"/>
      </w:pPr>
      <w:r>
        <w:t>Bạn nên xem xét ba yếu tố khi cân nhắc một công ty có thể duy trì tăng trưởng cao trong bao lâu.</w:t>
      </w:r>
    </w:p>
    <w:p>
      <w:pPr>
        <w:numPr>
          <w:ilvl w:val="0"/>
          <w:numId w:val="107"/>
        </w:numPr>
        <w:pStyle w:val="Para 01"/>
      </w:pPr>
      <w:r>
        <w:t>Quy mô của công ty. Các công ty nhỏ hơn có nhiều khả năng kiếm được lợi nhuận vượt trội và duy trì những lợi nhuận vượt trội này hơn so với các công ty lớn hơn tương tự về các mặt khác. Điều này là vì họ có nhiều dư địa để tăng trưởng hơn và thị trường tiềm năng lớn hơn. Các công ty nhỏ trong thị trường lớn nên có tiềm năng tăng trưởng cao (ít nhất là về doanh thu) trong thời gian dài. Khi xem xét quy mô của công ty, bạn không chỉ nên nhìn vào thị phần hiện tại của nó, mà còn cả tiềm năng tăng trưởng của toàn bộ thị trường cho sản phẩm hoặc dịch vụ của nó. Một công ty có thể có thị phần lớn trong thị trường hiện tại của mình, nhưng nó vẫn có thể tăng trưởng bất chấp điều đó vì toàn bộ thị trường đang tăng trưởng nhanh chóng.</w:t>
      </w:r>
    </w:p>
    <w:p>
      <w:pPr>
        <w:numPr>
          <w:ilvl w:val="0"/>
          <w:numId w:val="107"/>
        </w:numPr>
        <w:pStyle w:val="Para 01"/>
      </w:pPr>
      <w:r>
        <w:t>Tốc độ tăng trưởng hiện tại và lợi nhuận vượt trội. Đà tăng trưởng thực sự có ý nghĩa khi dự phóng tăng trưởng. Các công ty đã báo cáo doanh thu tăng trưởng nhanh có nhiều khả năng tiếp tục thấy doanh thu tăng trưởng nhanh, ít nhất là trong tương lai gần. Các công ty đang kiếm được lợi nhuận trên vốn cao và lợi nhuận vượt trội cao trong giai đoạn hiện tại có khả năng duy trì những lợi nhuận vượt trội này trong vài năm tới.</w:t>
      </w:r>
    </w:p>
    <w:p>
      <w:pPr>
        <w:numPr>
          <w:ilvl w:val="0"/>
          <w:numId w:val="107"/>
        </w:numPr>
        <w:pStyle w:val="Para 01"/>
      </w:pPr>
      <w:r>
        <w:t>Mức độ và tính bền vững của lợi thế cạnh tranh. Đây có lẽ là yếu tố quyết định quan trọng nhất đối với độ dài của giai đoạn tăng trưởng cao. Nếu có những rào cản gia nhập đáng kể và lợi thế cạnh tranh bền vững, các công ty có thể duy trì tăng trưởng cao trong thời gian dài hơn. Ngược lại, nếu không có hoặc chỉ có rào cản gia nhập nhỏ, hoặc nếu lợi thế cạnh tranh hiện có của công ty đang phai nhạt, bạn nên thận trọng hơn nhiều trong việc cho phép các giai đoạn tăng trưởng dài. Chất lượng của ban lãnh đạo hiện tại cũng ảnh hưởng đến tăng trưởng. Một số nhà quản lý hàng đầu có khả năng đưa ra các lựa chọn chiến lược giúp gia tăng lợi thế cạnh tranh và tạo ra những lợi thế mới.2</w:t>
      </w:r>
    </w:p>
    <w:p>
      <w:pPr>
        <w:pStyle w:val="Para 11"/>
      </w:pPr>
      <w:r>
        <w:t xml:space="preserve"> </w:t>
      </w:r>
    </w:p>
    <w:p>
      <w:bookmarkStart w:id="2217" w:name="Competitive_Advantage_Period__CA_1"/>
      <w:bookmarkStart w:id="2218" w:name="Competitive_Advantage_Period__CA"/>
      <w:pPr>
        <w:keepNext/>
        <w:pStyle w:val="Para 27"/>
        <w:keepLines w:val="on"/>
      </w:pPr>
      <w:r>
        <w:t>Giai đoạn lợi thế cạnh tranh (Competitive Advantage Period – CAP)</w:t>
      </w:r>
      <w:bookmarkEnd w:id="2217"/>
      <w:bookmarkEnd w:id="2218"/>
    </w:p>
    <w:p>
      <w:pPr>
        <w:pStyle w:val="Para 16"/>
        <w:keepLines w:val="on"/>
      </w:pPr>
      <w:r>
        <w:t>Sự hội tụ của tăng trưởng cao và lợi nhuận vượt trội – nguồn gốc của giá trị – đã dẫn đến việc đặt ra thuật ngữ giai đoạn lợi thế cạnh tranh (competitive advantage period – CAP) để nắm bắt hiệu ứng kết hợp này. Thuật ngữ này, được phổ biến bởi Michael Mauboussin tại Credit Suisse First Boston, đo lường khoảng thời gian mà một công ty có thể được kỳ vọng kiếm được lợi nhuận vượt trội. Giá trị của một công ty như vậy sau đó có thể được viết dưới dạng tổng của vốn đã đầu tư hiện tại và giá trị hiện tại của các khoản lợi nhuận vượt trội mà công ty sẽ kiếm được trong suốt vòng đời của nó. Vì không có lợi nhuận vượt trội nào sau giai đoạn lợi thế cạnh tranh, nên không có giá trị gia tăng thêm nào.</w:t>
      </w:r>
    </w:p>
    <w:p>
      <w:pPr>
        <w:pStyle w:val="Para 16"/>
        <w:keepLines w:val="on"/>
      </w:pPr>
      <w:r>
        <w:t>Trong một biến thể sáng tạo, các nhà phân tích đôi khi cố gắng ước tính giai đoạn lợi thế cạnh tranh sẽ phải kéo dài bao lâu để duy trì giá trị thị trường hiện tại, giả định rằng lợi nhuận trên vốn hiện tại và chi phí vốn hiện tại không thay đổi. Giai đoạn lợi thế cạnh tranh hàm ý từ thị trường (market-implied competitive advantage period – MICAP) thu được sau đó có thể được so sánh giữa các công ty trong một ngành hoặc được đánh giá trên cơ sở định tính.</w:t>
      </w:r>
    </w:p>
    <w:p>
      <w:pPr>
        <w:pStyle w:val="Para 11"/>
      </w:pPr>
      <w:r>
        <w:t xml:space="preserve"> </w:t>
      </w:r>
    </w:p>
    <w:p>
      <w:bookmarkStart w:id="2219" w:name="ILLUSTRATION_12_1__Length_of_Hig_1"/>
      <w:bookmarkStart w:id="2220" w:name="ILLUSTRATION_12_1__Length_of_Hig"/>
      <w:pPr>
        <w:keepNext/>
        <w:pStyle w:val="Para 19"/>
        <w:keepLines w:val="on"/>
      </w:pPr>
      <w:r>
        <w:t>MINH HỌA 12.1: Độ dài của giai đoạn tăng trưởng cao</w:t>
      </w:r>
      <w:bookmarkEnd w:id="2219"/>
      <w:bookmarkEnd w:id="2220"/>
    </w:p>
    <w:p>
      <w:pPr>
        <w:pStyle w:val="Para 04"/>
        <w:keepLines w:val="on"/>
      </w:pPr>
      <w:r>
        <w:t>Để minh họa quá trình ước tính độ dài của giai đoạn tăng trưởng cao, chúng ta sẽ xem xét ba công ty: Consolidated Edison, Levi Strauss và Eli Lilly vào năm 2024, và đưa ra những đánh giá chủ quan về việc mỗi công ty sẽ có thể duy trì tăng trưởng cao trong bao lâu.</w:t>
      </w:r>
    </w:p>
    <w:p>
      <w:bookmarkStart w:id="2222" w:name="Consolidated_Edison"/>
      <w:bookmarkStart w:id="2223" w:name="Consolidated_Edison__Background"/>
      <w:pPr>
        <w:keepNext/>
        <w:pStyle w:val="Para 36"/>
        <w:keepLines w:val="on"/>
      </w:pPr>
      <w:r>
        <w:t>Consolidated Edison</w:t>
      </w:r>
      <w:bookmarkEnd w:id="2222"/>
      <w:bookmarkEnd w:id="2223"/>
    </w:p>
    <w:p>
      <w:pPr>
        <w:pStyle w:val="Para 04"/>
        <w:keepLines w:val="on"/>
      </w:pPr>
      <w:r>
        <w:t>Bối cảnh: Công ty gần như độc quyền trong việc sản xuất và bán điện trong vùng phụ cận thành phố New York. Đổi lại sự độc quyền đó, công ty bị hạn chế cả về chính sách đầu tư lẫn chính sách định giá. Một ủy ban quản lý quy định mức giá mà Con Ed có thể tăng, và họ đưa ra quyết định này dựa trên lợi nhuận mà Con Ed thu được từ các khoản đầu tư của mình; nếu công ty đang kiếm được lợi nhuận cao trên các khoản đầu tư, nó khó có thể được phép tăng giá. Cuối cùng, nhu cầu về điện ở New York ổn định, khi dân số đi ngang.</w:t>
      </w:r>
    </w:p>
    <w:p>
      <w:pPr>
        <w:pStyle w:val="Para 04"/>
        <w:keepLines w:val="on"/>
      </w:pPr>
      <w:r>
        <w:t>Hàm ý: Công ty đã là một công ty tăng trưởng ổn định. Có rất ít tiềm năng cho tăng trưởng cao hoặc lợi nhuận vượt trội.</w:t>
      </w:r>
    </w:p>
    <w:p>
      <w:bookmarkStart w:id="2224" w:name="Levi_strauss__Background__Levi_S"/>
      <w:bookmarkStart w:id="2225" w:name="Levi_strauss"/>
      <w:pPr>
        <w:keepNext/>
        <w:pStyle w:val="Para 36"/>
        <w:keepLines w:val="on"/>
      </w:pPr>
      <w:r>
        <w:t>Levi Strauss</w:t>
      </w:r>
      <w:bookmarkEnd w:id="2224"/>
      <w:bookmarkEnd w:id="2225"/>
    </w:p>
    <w:p>
      <w:pPr>
        <w:pStyle w:val="Para 04"/>
        <w:keepLines w:val="on"/>
      </w:pPr>
      <w:r>
        <w:t>Bối cảnh: Levi Strauss có một số điểm mạnh rõ ràng. Lịch sử lâu đời và tên thương hiệu đã được thiết lập đã cho phép nó kiếm được lợi nhuận trên vốn chủ sở hữu và vốn đầu tư cao hơn chi phí vốn chủ sở hữu và chi phí vốn của mình. Công ty đối mặt với hai thách thức. Một là các thị trường lớn nhất của nó, gồm Hoa Kỳ và châu Âu, đã bão hòa, khiến việc duy trì tăng trưởng cao trở nên khó khăn. Hai là thị trường may mặc có tính cạnh tranh cao và bị dẫn dắt bởi mốt nhất thời, tạo ra rào cản đối với quyền định giá và tăng trưởng kéo dài.</w:t>
      </w:r>
    </w:p>
    <w:p>
      <w:pPr>
        <w:pStyle w:val="Para 04"/>
        <w:keepLines w:val="on"/>
      </w:pPr>
      <w:r>
        <w:t>Hàm ý: Tiềm năng tăng trưởng ở châu Á, một thị trường mà Levi Strauss có sự hiện diện nhỏ hơn, sẽ cho phép tốc độ tăng trưởng cao hơn một chút so với tăng trưởng ổn định trong khoảng thời gian mười năm. Ngoài giai đoạn đó, chúng ta sẽ giả định rằng công ty sẽ ở trong giai đoạn tăng trưởng ổn định, dù vẫn còn một số lợi nhuận vượt trội tồn dư.</w:t>
      </w:r>
    </w:p>
    <w:p>
      <w:bookmarkStart w:id="2227" w:name="Eli_Lilly"/>
      <w:bookmarkStart w:id="2228" w:name="Eli_Lilly__Background__Eli_Lilly"/>
      <w:pPr>
        <w:keepNext/>
        <w:pStyle w:val="Para 36"/>
        <w:keepLines w:val="on"/>
      </w:pPr>
      <w:r>
        <w:t>Eli Lilly</w:t>
      </w:r>
      <w:bookmarkEnd w:id="2227"/>
      <w:bookmarkEnd w:id="2228"/>
    </w:p>
    <w:p>
      <w:pPr>
        <w:pStyle w:val="Para 04"/>
        <w:keepLines w:val="on"/>
      </w:pPr>
      <w:r>
        <w:t>Bối cảnh: Eli Lilly có một loạt các loại thuốc được bảo hộ bằng bằng sáng chế, hiện đang tạo ra dòng tiền, cùng với một số loại thuốc trong đường ống nghiên cứu và phát triển (R&amp;D) của mình. Đặc biệt, công việc phát triển thuốc giảm cân của họ đã mở ra cánh cửa cho tăng trưởng cao hơn trong vài năm tới, và các loại thuốc bom tấn khác, đã nằm trong quá trình phát triển, sẽ kéo dài tăng trưởng đến mười năm, trước khi quy mô của công ty đẩy nó vào giai đoạn tăng trưởng ổn định.</w:t>
      </w:r>
    </w:p>
    <w:p>
      <w:pPr>
        <w:pStyle w:val="Para 04"/>
        <w:keepLines w:val="on"/>
      </w:pPr>
      <w:r>
        <w:t>Hàm ý: Các bằng sáng chế mà Eli Lilly sở hữu sẽ bảo vệ nó khỏi cạnh tranh, và thời gian chờ phê duyệt thuốc kéo dài sẽ đảm bảo rằng các sản phẩm mới sẽ mất một thời gian mới ra được thị trường. Chúng ta sẽ cho phép 10 năm tăng trưởng và lợi nhuận vượt trội.</w:t>
      </w:r>
    </w:p>
    <w:p>
      <w:pPr>
        <w:pStyle w:val="Para 04"/>
        <w:keepLines w:val="on"/>
      </w:pPr>
      <w:r>
        <w:t>Rõ ràng có một thành phần chủ quan mạnh mẽ trong việc đưa ra đánh giá về việc tăng trưởng cao sẽ kéo dài bao lâu. Phần lớn những gì đã được nói về mối quan hệ tương hỗ giữa các biến định tính và tăng trưởng ở cuối Chương 11 cũng có liên quan đến phần thảo luận này.</w:t>
      </w:r>
    </w:p>
    <w:p>
      <w:bookmarkStart w:id="2229" w:name="Characteristics_of_Stable_Growth"/>
      <w:pPr>
        <w:pStyle w:val="Para 21"/>
      </w:pPr>
      <w:r>
        <w:t>Các đặc điểm của công ty tăng trưởng ổn định</w:t>
      </w:r>
      <w:bookmarkEnd w:id="2229"/>
    </w:p>
    <w:p>
      <w:pPr>
        <w:pStyle w:val="Para 03"/>
      </w:pPr>
      <w:r>
        <w:t>Khi các công ty chuyển từ tăng trưởng cao sang tăng trưởng ổn định, bạn cần gán cho chúng những đặc điểm của công ty tăng trưởng ổn định. Một công ty trong giai đoạn tăng trưởng ổn định khác với chính công ty đó trong giai đoạn tăng trưởng cao ở nhiều khía cạnh. Nói chung, bạn sẽ kỳ vọng các công ty tăng trưởng ổn định có rủi ro trung bình, sử dụng nhiều nợ hơn, có lợi nhuận vượt trội thấp hơn (hoặc không có), và tái đầu tư ít hơn so với các công ty tăng trưởng cao. Trong phần này, chúng ta sẽ xem xét cách điều chỉnh tốt nhất từng biến số này.</w:t>
      </w:r>
    </w:p>
    <w:p>
      <w:bookmarkStart w:id="2231" w:name="Equity_Risk__When_looking_at_the"/>
      <w:pPr>
        <w:pStyle w:val="Para 42"/>
      </w:pPr>
      <w:r>
        <w:t>Rủi ro vốn chủ sở hữu</w:t>
      </w:r>
      <w:bookmarkEnd w:id="2231"/>
    </w:p>
    <w:p>
      <w:pPr>
        <w:pStyle w:val="Para 03"/>
      </w:pPr>
      <w:r>
        <w:t>Khi xem xét chi phí vốn cổ phần (cost of equity), các công ty tăng trưởng cao thường phơi nhiễm với rủi ro thị trường nhiều hơn (và có beta cao hơn) so với các công ty tăng trưởng ổn định. Một phần lý do là chúng thường là những tay chơi ngách (niche player) cung cấp các sản phẩm tùy ý (discretionary product), và một phần lý do là đòn bẩy hoạt động cao (high-operating leverage). Vì vậy, các công ty công nghệ hoặc truyền thông xã hội non trẻ sẽ có beta cao. Khi những công ty này trưởng thành, bạn sẽ kỳ vọng chúng ít phơi nhiễm với rủi ro thị trường hơn và có beta gần bằng 1 — mức trung bình của thị trường. Một lựa chọn là đặt beta trong giai đoạn tăng trưởng ổn định bằng 1 cho tất cả các công ty, với lập luận rằng các công ty trong giai đoạn tăng trưởng ổn định đều nên có rủi ro ở mức trung bình. Một lựa chọn khác là cho phép những khác biệt nhỏ vẫn tồn tại ngay cả trong giai đoạn tăng trưởng ổn định, với các công ty trong những ngành biến động hơn có beta cao hơn các công ty trong những ngành ổn định. Chúng tôi khuyến nghị rằng, như một quy tắc ngón tay cái (rule of thumb), beta trong giai đoạn ổn định không nên vượt quá 1,2.3</w:t>
      </w:r>
    </w:p>
    <w:p>
      <w:pPr>
        <w:pStyle w:val="Para 03"/>
      </w:pPr>
      <w:r>
        <w:t>Nhưng còn những công ty có beta thấp hơn 1 đáng kể, chẳng hạn như các công ty hàng hóa (commodity company) thì sao? Nếu bạn giả định rằng những công ty này sẽ tiếp tục ở trong ngành kinh doanh hiện tại của chúng, thì không có hại gì khi giả định rằng beta vẫn giữ ở mức hiện tại. Tuy nhiên, nếu ước tính của bạn về tăng trưởng vĩnh viễn (growth in perpetuity) đòi hỏi chúng phải mở rộng sang các ngành kinh doanh khác, bạn nên điều chỉnh beta tăng lên về phía 1; viện dẫn thêm một quy tắc ngón tay cái khác, beta trong giai đoạn ổn định không nên thấp hơn 0,80.4</w:t>
      </w:r>
    </w:p>
    <w:p>
      <w:pPr>
        <w:pStyle w:val="Para 11"/>
      </w:pPr>
      <w:r>
        <w:t xml:space="preserve"> </w:t>
      </w:r>
      <w:r>
        <w:rPr>
          <w:rStyle w:val="Text26"/>
        </w:rPr>
        <w:bookmarkStart w:id="2235" w:name="Page_350"/>
        <w:t/>
        <w:bookmarkEnd w:id="2235"/>
      </w:r>
      <w:r>
        <w:t xml:space="preserve"> </w:t>
      </w:r>
    </w:p>
    <w:p>
      <w:bookmarkStart w:id="2236" w:name="betas_xls__This_dataset_on_the_w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09"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2236"/>
    </w:p>
    <w:p>
      <w:pPr>
        <w:pStyle w:val="Para 31"/>
        <w:keepLines w:val="on"/>
      </w:pPr>
      <w:r>
        <w:t>betas.xls: Bộ dữ liệu này trên web tóm tắt beta bình quân có đòn bẩy (levered) và không có đòn bẩy (unlevered), theo nhóm ngành, cho các công ty ở Hoa Kỳ</w:t>
      </w:r>
    </w:p>
    <w:p>
      <w:pPr>
        <w:pStyle w:val="Para 03"/>
        <w:keepLines w:val="on"/>
      </w:pPr>
      <w:r>
        <w:t>.</w:t>
      </w:r>
    </w:p>
    <w:p>
      <w:bookmarkStart w:id="2237" w:name="Project_Returns__High_growth_fir"/>
      <w:pPr>
        <w:pStyle w:val="Para 42"/>
      </w:pPr>
      <w:r>
        <w:t>Lợi suất của dự án</w:t>
      </w:r>
      <w:bookmarkEnd w:id="2237"/>
    </w:p>
    <w:p>
      <w:pPr>
        <w:pStyle w:val="Para 03"/>
      </w:pPr>
      <w:r>
        <w:t>Các công ty tăng trưởng cao thường có lợi suất trên vốn (và vốn cổ phần) cao và kiếm được lợi suất vượt trội (excess return). Trong giai đoạn tăng trưởng ổn định, việc duy trì lợi suất vượt trội trở nên khó khăn hơn nhiều. Có một số người tin rằng giả định duy nhất nhất quán với tăng trưởng ổn định là giả định không có lợi suất vượt trội; lợi suất trên vốn được đặt bằng với chi phí vốn (cost of capital). Mặc dù, về nguyên tắc, lợi suất vượt trội vĩnh viễn có vẻ không hợp lý, nhưng trên thực tế rất khó để giả định rằng các công ty sẽ đột ngột mất khả năng kiếm được lợi suất vượt trội tại một thời điểm nào đó (chẳng hạn 5 năm hoặc 10 năm). Để đưa ra một ví dụ đơn giản, hãy xem xét Levi Strauss, một công ty mà chúng tôi đã ước tính có giai đoạn tăng trưởng cao kéo dài mười năm trong minh họa 12.1. Mặc dù tốc độ tăng trưởng của Levi Strauss có thể giảm xuống mức ổn định vào năm thứ 11, nhưng thương hiệu mạnh và các lợi thế cạnh tranh khác có khả năng sẽ còn tồn tại lâu hơn nhiều (chẳng hạn 30–40 năm). Thay vì ước tính dòng tiền trong 30–40 năm, chúng ta sẽ dừng ước tính dòng tiền ở năm thứ 5 nhưng vẫn cho phép công ty tiếp tục kiếm được nhiều hơn chi phí vốn của mình một cách vĩnh viễn. Vì toàn bộ các ngành thường kiếm được lợi suất vượt trội trong những khoảng thời gian dài, việc giả định rằng lợi suất trên vốn cổ phần và vốn của một công ty sẽ dịch chuyển về mức trung bình của ngành sẽ mang lại những ước tính giá trị hợp lý hơn.</w:t>
      </w:r>
    </w:p>
    <w:p>
      <w:pPr>
        <w:pStyle w:val="Para 11"/>
      </w:pPr>
      <w:r>
        <w:t xml:space="preserve"> </w:t>
      </w:r>
    </w:p>
    <w:p>
      <w:bookmarkStart w:id="2239" w:name="EVA_xls__This_dataset_on_the_web"/>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10"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2239"/>
    </w:p>
    <w:p>
      <w:pPr>
        <w:pStyle w:val="Para 31"/>
        <w:keepLines w:val="on"/>
      </w:pPr>
      <w:r>
        <w:t>EVA.xls: Bộ dữ liệu này trên web tóm tắt lợi suất trên vốn (vốn cổ phần), chi phí vốn (vốn cổ phần), và lợi suất vượt trội, theo nhóm ngành, cho các công ty ở Hoa Kỳ</w:t>
      </w:r>
    </w:p>
    <w:p>
      <w:pPr>
        <w:pStyle w:val="Para 03"/>
        <w:keepLines w:val="on"/>
      </w:pPr>
      <w:r>
        <w:t>.</w:t>
      </w:r>
    </w:p>
    <w:p>
      <w:bookmarkStart w:id="2240" w:name="Debt_Ratios_and_Costs_of_Debt__H"/>
      <w:pPr>
        <w:pStyle w:val="Para 42"/>
      </w:pPr>
      <w:r>
        <w:t>Tỷ lệ nợ và chi phí nợ</w:t>
      </w:r>
      <w:bookmarkEnd w:id="2240"/>
    </w:p>
    <w:p>
      <w:pPr>
        <w:pStyle w:val="Para 03"/>
      </w:pPr>
      <w:r>
        <w:t>Các công ty tăng trưởng cao thường sử dụng ít nợ hơn các công ty tăng trưởng ổn định. Khi các công ty trưởng thành, khả năng vay nợ của chúng tăng lên. Khi định giá công ty, điều này sẽ thay đổi tỷ lệ nợ (debt ratio) mà chúng ta sử dụng để tính chi phí vốn. Khi định giá vốn cổ phần, việc thay đổi tỷ lệ nợ sẽ thay đổi cả chi phí vốn cổ phần và dòng tiền kỳ vọng. Câu hỏi liệu tỷ lệ nợ của một công ty có nên được dịch chuyển về một mức bền vững hơn trong giai đoạn tăng trưởng ổn định hay không thì không thể trả lời mà không xem xét quan điểm của các nhà quản lý đương nhiệm về nợ, và mức độ quyền lực mà các cổ đông nắm giữ trong những công ty này. Nếu các nhà quản lý sẵn sàng thay đổi chính sách tài trợ của mình, và các cổ đông vẫn giữ được một số quyền lực, thì hợp lý khi giả định rằng tỷ lệ nợ sẽ dịch chuyển về mức tối ưu hoặc mức mục tiêu của nó trong giai đoạn tăng trưởng ổn định; nếu không, an toàn hơn là giữ nguyên tỷ lệ nợ ở mức hiện tại.</w:t>
      </w:r>
    </w:p>
    <w:p>
      <w:pPr>
        <w:pStyle w:val="Para 03"/>
      </w:pPr>
      <w:r>
        <w:t>Khi thu nhập và dòng tiền tăng lên, rủi ro vỡ nợ được nhận định (perceived default risk) của công ty cũng sẽ thay đổi. Một công ty hiện đang lỗ 10 triệu đô la trên doanh thu 100 triệu đô la có thể được xếp hạng B, nhưng xếp hạng của nó sẽ tốt hơn nhiều nếu các dự báo của bạn về doanh thu 10 tỷ đô la và thu nhập hoạt động 1 tỷ đô la trở thành hiện thực. Trên thực tế, tính nhất quán nội tại (internal consistency) đòi hỏi bạn phải ước tính lại xếp hạng và chi phí nợ cho một công ty khi bạn thay đổi doanh thu và thu nhập hoạt động của nó. Nói chung, các công ty tăng trưởng ổn định nên có ít nhất xếp hạng ở mức đầu tư (investment grade) (Baa hoặc cao hơn).</w:t>
      </w:r>
    </w:p>
    <w:p>
      <w:pPr>
        <w:pStyle w:val="Para 03"/>
      </w:pPr>
      <w:r>
        <w:t>Về câu hỏi thực tiễn là nên sử dụng tỷ lệ nợ và chi phí nợ nào trong giai đoạn tăng trưởng ổn định, bạn nên xem xét đòn bẩy tài chính (financial leverage) của các công ty lớn hơn và trưởng thành hơn trong ngành. Một giải pháp là sử dụng tỷ lệ nợ bình quân của ngành và chi phí nợ bình quân của ngành làm tỷ lệ nợ và chi phí nợ cho công ty trong giai đoạn tăng trưởng ổn định.</w:t>
      </w:r>
    </w:p>
    <w:p>
      <w:pPr>
        <w:pStyle w:val="Para 20"/>
      </w:pPr>
      <w:r>
        <w:rPr>
          <w:rStyle w:val="Text26"/>
        </w:rPr>
        <w:bookmarkStart w:id="2242" w:name="Page_351"/>
        <w:t/>
        <w:bookmarkEnd w:id="2242"/>
      </w:r>
      <w:r>
        <w:t xml:space="preserve"> </w:t>
      </w:r>
    </w:p>
    <w:p>
      <w:pPr>
        <w:pStyle w:val="Para 11"/>
      </w:pPr>
      <w:r>
        <w:t xml:space="preserve"> </w:t>
      </w:r>
    </w:p>
    <w:p>
      <w:bookmarkStart w:id="2243" w:name="wacc_xls__This_dataset_on_the_w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11"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2243"/>
    </w:p>
    <w:p>
      <w:pPr>
        <w:pStyle w:val="Para 31"/>
        <w:keepLines w:val="on"/>
      </w:pPr>
      <w:r>
        <w:t>wacc.xls: Bộ dữ liệu này trên web tóm tắt tỷ lệ nợ và chi phí nợ, theo nhóm ngành, cho các công ty ở Hoa Kỳ.</w:t>
      </w:r>
    </w:p>
    <w:p>
      <w:bookmarkStart w:id="2244" w:name="Reinvestment_and_Retention_Ratio"/>
      <w:pPr>
        <w:pStyle w:val="Para 42"/>
      </w:pPr>
      <w:r>
        <w:t>Tái đầu tư và tỷ lệ giữ lại</w:t>
      </w:r>
      <w:bookmarkEnd w:id="2244"/>
    </w:p>
    <w:p>
      <w:pPr>
        <w:pStyle w:val="Para 03"/>
      </w:pPr>
      <w:r>
        <w:t>Các công ty tăng trưởng ổn định thường tái đầu tư ít hơn các công ty tăng trưởng cao, và điều quan trọng là chúng ta phải nắm bắt được những tác động của tăng trưởng thấp hơn lên việc tái đầu tư, và đảm bảo rằng công ty tái đầu tư đủ để duy trì tốc độ tăng trưởng ổn định của mình trong giai đoạn cuối (terminal phase). Việc điều chỉnh thực tế sẽ khác nhau tùy thuộc vào việc chúng ta đang chiết khấu cổ tức (dividend), dòng tiền tự do cho vốn cổ phần (free cash flow to equity), hay dòng tiền tự do cho công ty (free cash flow to the firm).</w:t>
      </w:r>
    </w:p>
    <w:p>
      <w:pPr>
        <w:pStyle w:val="Para 03"/>
      </w:pPr>
      <w:r>
        <w:t>Trong mô hình chiết khấu cổ tức (dividend discount model), lưu ý rằng tốc độ tăng trưởng kỳ vọng của thu nhập trên mỗi cổ phần (earnings per share) có thể được viết dưới dạng một hàm của tỷ lệ giữ lại (retention ratio) và lợi suất trên vốn cổ phần (return on equity).</w:t>
      </w:r>
    </w:p>
    <w:p>
      <w:bookmarkStart w:id="2246" w:name="Expected_growth_rate_Retention_r"/>
      <w:pPr>
        <w:keepNext/>
        <w:pStyle w:val="Para 09"/>
        <w:keepLines w:val="on"/>
      </w:pPr>
      <w:r>
        <w:t>Tốc độ tăng trưởng kỳ vọng=Tỷ lệ giữ lại×Lợi suất trên vốn cổ phần</w:t>
      </w:r>
      <w:bookmarkEnd w:id="2246"/>
    </w:p>
    <w:p>
      <w:pPr>
        <w:pStyle w:val="Para 03"/>
      </w:pPr>
      <w:r>
        <w:t>Thao tác đại số có thể cho phép chúng ta biểu diễn tỷ lệ giữ lại như một hàm của tốc độ tăng trưởng kỳ vọng và lợi suất trên vốn cổ phần:</w:t>
      </w:r>
    </w:p>
    <w:p>
      <w:bookmarkStart w:id="2247" w:name="Retention_ratio_Expected_growth"/>
      <w:pPr>
        <w:keepNext/>
        <w:pStyle w:val="Para 09"/>
        <w:keepLines w:val="on"/>
      </w:pPr>
      <w:r>
        <w:t>Tỷ lệ giữ lại=Tốc độ tăng trưởng kỳ vọngLợi suất trên vốn cổ phần</w:t>
      </w:r>
      <w:bookmarkEnd w:id="2247"/>
    </w:p>
    <w:p>
      <w:pPr>
        <w:pStyle w:val="Para 03"/>
      </w:pPr>
      <w:r>
        <w:t>Ví dụ, nếu chúng ta giả định tốc độ tăng trưởng ổn định là 3 phần trăm (dựa trên tốc độ tăng trưởng của nền kinh tế) cho JP Morgan Chase và lợi suất trên vốn cổ phần là 12 phần trăm (dựa trên mức trung bình của ngành), chúng ta sẽ có thể tính được tỷ lệ giữ lại của công ty trong giai đoạn tăng trưởng ổn định:</w:t>
      </w:r>
    </w:p>
    <w:p>
      <w:bookmarkStart w:id="2248" w:name="Retention_ratioJPM_3_12__25"/>
      <w:pPr>
        <w:keepNext/>
        <w:pStyle w:val="Para 09"/>
        <w:keepLines w:val="on"/>
      </w:pPr>
      <w:r>
        <w:t>Tỷ lệ giữ lạiJPM=3%12%=25%</w:t>
      </w:r>
      <w:bookmarkEnd w:id="2248"/>
    </w:p>
    <w:p>
      <w:pPr>
        <w:pStyle w:val="Para 03"/>
      </w:pPr>
      <w:r>
        <w:t>JP Morgan Chase sẽ phải giữ lại 25 phần trăm thu nhập của mình để tạo ra mức tăng trưởng kỳ vọng 3 phần trăm; nó có thể chi trả 75 phần trăm còn lại.</w:t>
      </w:r>
    </w:p>
    <w:p>
      <w:pPr>
        <w:pStyle w:val="Para 03"/>
      </w:pPr>
      <w:r>
        <w:t>Trong mô hình dòng tiền tự do cho vốn cổ phần, nơi chúng ta tập trung vào tăng trưởng thu nhập ròng (net income growth), tốc độ tăng trưởng kỳ vọng là một hàm của tỷ lệ tái đầu tư vốn cổ phần (equity reinvestment rate) và lợi suất trên vốn cổ phần:</w:t>
      </w:r>
    </w:p>
    <w:p>
      <w:bookmarkStart w:id="2249" w:name="Expected_growth_rateLevi_Strauss"/>
      <w:pPr>
        <w:keepNext/>
        <w:pStyle w:val="Para 09"/>
        <w:keepLines w:val="on"/>
      </w:pPr>
      <w:r>
        <w:t>Tốc độ tăng trưởng kỳ vọngLevi Strauss=Tỷ lệ tái đầu tư vốn cổ phần×Lợi suất trên vốn cổ phần</w:t>
      </w:r>
      <w:bookmarkEnd w:id="2249"/>
    </w:p>
    <w:p>
      <w:pPr>
        <w:pStyle w:val="Para 03"/>
      </w:pPr>
      <w:r>
        <w:t>Tỷ lệ tái đầu tư vốn cổ phần sau đó có thể được tính như sau:</w:t>
      </w:r>
    </w:p>
    <w:p>
      <w:bookmarkStart w:id="2250" w:name="Equity_reinvestment_rate_Expecte"/>
      <w:pPr>
        <w:keepNext/>
        <w:pStyle w:val="Para 09"/>
        <w:keepLines w:val="on"/>
      </w:pPr>
      <w:r>
        <w:t>Tỷ lệ tái đầu tư vốn cổ phần=Tốc độ tăng trưởng kỳ vọngLợi nhuận trên vốn cổ phần</w:t>
      </w:r>
      <w:bookmarkEnd w:id="2250"/>
    </w:p>
    <w:p>
      <w:pPr>
        <w:pStyle w:val="Para 03"/>
      </w:pPr>
      <w:r>
        <w:t>Ví dụ, nếu chúng ta giả định rằng Levi Strauss sẽ có tốc độ tăng trưởng ổn định 4% trong thu nhập vốn cổ phần và có lợi nhuận trên vốn cổ phần ở giai đoạn tăng trưởng ổn định là 10%, chúng ta có thể ước tính tỷ lệ tái đầu tư vốn cổ phần là 40%; 60% còn lại có thể được chi trả dưới dạng dòng tiền cho các nhà đầu tư vốn cổ phần:</w:t>
      </w:r>
    </w:p>
    <w:p>
      <w:bookmarkStart w:id="2251" w:name="Equity_reinvestment_rate_4_10__4"/>
      <w:pPr>
        <w:keepNext/>
        <w:pStyle w:val="Para 09"/>
        <w:keepLines w:val="on"/>
      </w:pPr>
      <w:r>
        <w:t>Tỷ lệ tái đầu tư vốn cổ phần=4%10%=40%</w:t>
      </w:r>
      <w:bookmarkEnd w:id="2251"/>
    </w:p>
    <w:p>
      <w:pPr>
        <w:pStyle w:val="Para 03"/>
      </w:pPr>
      <w:r>
        <w:t>Cuối cùng, khi xem xét dòng tiền tự do của doanh nghiệp, chúng ta ước tính tốc độ tăng trưởng kỳ vọng của thu nhập hoạt động như một hàm số của lợi nhuận trên vốn (ROC) ở giai đoạn tăng trưởng ổn định và tỷ lệ tái đầu tư:</w:t>
      </w:r>
    </w:p>
    <w:p>
      <w:bookmarkStart w:id="2253" w:name="Expected_growth_rate_Reinvestmen_2"/>
      <w:pPr>
        <w:keepNext/>
        <w:pStyle w:val="Para 09"/>
        <w:keepLines w:val="on"/>
      </w:pPr>
      <w:r>
        <w:t>Tốc độ tăng trưởng kỳ vọng=Tỷ lệ tái đầu tư×Lợi nhuận trên vốn đầu tư</w:t>
      </w:r>
      <w:bookmarkEnd w:id="2253"/>
    </w:p>
    <w:p>
      <w:pPr>
        <w:pStyle w:val="Para 03"/>
      </w:pPr>
      <w:r>
        <w:t>Một lần nữa, việc biến đổi đại số sẽ cho ra thước đo sau đây về tỷ lệ tái đầu tư ở giai đoạn tăng trưởng ổn định:</w:t>
      </w:r>
    </w:p>
    <w:p>
      <w:bookmarkStart w:id="2254" w:name="Reinvestment_rate_in_stable_grow"/>
      <w:pPr>
        <w:keepNext/>
        <w:pStyle w:val="Para 09"/>
        <w:keepLines w:val="on"/>
      </w:pPr>
      <w:r>
        <w:t>Tỷ lệ tái đầu tư ở giai đoạn tăng trưởng ổn định=Tốc độ tăng trưởng ổn địnhROICn</w:t>
      </w:r>
      <w:bookmarkEnd w:id="2254"/>
    </w:p>
    <w:p>
      <w:pPr>
        <w:pStyle w:val="Para 03"/>
      </w:pPr>
      <w:r>
        <w:t>trong đó ROICn là lợi nhuận trên vốn mà doanh nghiệp có thể duy trì ở giai đoạn tăng trưởng ổn định. Tỷ lệ tái đầu tư này sau đó có thể được dùng để tạo ra dòng tiền tự do của doanh nghiệp trong năm đầu tiên của giai đoạn tăng trưởng ổn định. Với Eli Lilly, chúng ta giả định tốc độ tăng trưởng 4% ở giai đoạn tăng trưởng ổn định, với lợi nhuận trên vốn đầu tư là 15%, phản ánh các lợi thế cạnh tranh xuất phát từ việc bảo hộ bằng sáng chế, dẫn đến tỷ lệ tái đầu tư ở giai đoạn ổn định là 26,67%.</w:t>
      </w:r>
    </w:p>
    <w:p>
      <w:bookmarkStart w:id="2255" w:name="Reinvestment_rateEli_Lilly_4_15"/>
      <w:pPr>
        <w:keepNext/>
        <w:pStyle w:val="Para 09"/>
        <w:keepLines w:val="on"/>
      </w:pPr>
      <w:r>
        <w:t>Tỷ lệ tái đầu tưEli Lilly=4%15%= 26,67%</w:t>
      </w:r>
      <w:bookmarkEnd w:id="2255"/>
    </w:p>
    <w:p>
      <w:pPr>
        <w:pStyle w:val="Para 03"/>
      </w:pPr>
      <w:r>
        <w:t>Việc gắn kết tỷ lệ tái đầu tư và tỷ lệ giữ lại với tốc độ tăng trưởng ổn định cũng làm cho việc định giá ít nhạy cảm hơn với các giả định về tốc độ tăng trưởng ổn định. Trong khi việc tăng tốc độ tăng trưởng ổn định, giữ nguyên mọi thứ khác, có thể làm tăng giá trị một cách đáng kể, thì việc thay đổi tỷ lệ tái đầu tư khi tốc độ tăng trưởng thay đổi sẽ tạo ra một hiệu ứng bù trừ. Những lợi ích từ việc tăng tốc độ tăng trưởng sẽ được bù đắp một phần hoặc hoàn toàn bằng sự mất mát trong dòng tiền do tỷ lệ tái đầu tư cao hơn. Việc giá trị tăng hay giảm khi tăng trưởng ổn định tăng lên sẽ hoàn toàn phụ thuộc vào những gì bạn giả định về lợi nhuận vượt trội. Nếu lợi nhuận trên vốn cao hơn chi phí vốn trong giai đoạn tăng trưởng ổn định, việc tăng tốc độ tăng trưởng ổn định sẽ làm tăng giá trị. Nếu lợi nhuận trên vốn bằng chi phí vốn, việc tăng tốc độ tăng trưởng ổn định sẽ không có ảnh hưởng gì đến giá trị. Điều này có thể được chứng minh khá dễ dàng:</w:t>
      </w:r>
    </w:p>
    <w:p>
      <w:bookmarkStart w:id="2256" w:name="Terminal_Value_EBITn_1_1___t__1"/>
      <w:pPr>
        <w:keepNext/>
        <w:pStyle w:val="Para 09"/>
        <w:keepLines w:val="on"/>
      </w:pPr>
      <w:r>
        <w:t>Giá trị cuối kỳ=EBITn+1(1−t)(1−Tỷ lệ tái đầu tư)(Chi phí vốn cổ phầnn−Tốc độ tăng trưởng ổn địnhn)</w:t>
      </w:r>
      <w:bookmarkEnd w:id="2256"/>
    </w:p>
    <w:p>
      <w:pPr>
        <w:pStyle w:val="Para 03"/>
      </w:pPr>
      <w:r>
        <w:t>Thay thế tốc độ tăng trưởng ổn định như một hàm số của tỷ lệ tái đầu tư, từ phương trình, bạn có được:</w:t>
      </w:r>
    </w:p>
    <w:p>
      <w:bookmarkStart w:id="2257" w:name="Terminal_Value_EBITn_1_1___t__1_1"/>
      <w:pPr>
        <w:keepNext/>
        <w:pStyle w:val="Para 09"/>
        <w:keepLines w:val="on"/>
      </w:pPr>
      <w:r>
        <w:t>Giá trị cuối kỳ=EBITn+1(1−t)(1−Tỷ lệ tái đầu tư)(Chi phí vốn cổ phầnn−Tỷ lệ tái đầu tư×ROIC)</w:t>
      </w:r>
      <w:bookmarkEnd w:id="2257"/>
    </w:p>
    <w:p>
      <w:pPr>
        <w:pStyle w:val="Para 03"/>
      </w:pPr>
      <w:r>
        <w:t>Đặt lợi nhuận trên vốn bằng chi phí vốn, bạn đi đến:</w:t>
      </w:r>
    </w:p>
    <w:p>
      <w:bookmarkStart w:id="2258" w:name="Terminal_Value_EBITn_11___t1___R"/>
      <w:pPr>
        <w:keepNext/>
        <w:pStyle w:val="Para 09"/>
        <w:keepLines w:val="on"/>
      </w:pPr>
      <w:r>
        <w:t>Giá trị cuối kỳ=EBITn+11−t1−Tỷ lệ tái đầu tưChi phí vốn cổ phầnn−Tỷ lệ tái đầu tư×Chi phí vốn</w:t>
      </w:r>
      <w:bookmarkEnd w:id="2258"/>
    </w:p>
    <w:p>
      <w:pPr>
        <w:pStyle w:val="Para 03"/>
      </w:pPr>
      <w:r>
        <w:t>Đơn giản hóa, giá trị cuối kỳ có thể được phát biểu như sau:</w:t>
      </w:r>
    </w:p>
    <w:p>
      <w:bookmarkStart w:id="2260" w:name="Terminal_Value_EBITn_11_tCost_of"/>
      <w:pPr>
        <w:keepNext/>
        <w:pStyle w:val="Para 09"/>
        <w:keepLines w:val="on"/>
      </w:pPr>
      <w:r>
        <w:t>Giá trị cuối kỳ=EBITn+11-tChi phí vốn cổ phầnn</w:t>
      </w:r>
      <w:bookmarkEnd w:id="2260"/>
    </w:p>
    <w:p>
      <w:pPr>
        <w:pStyle w:val="Para 03"/>
      </w:pPr>
      <w:r>
        <w:t>Nói một cách đơn giản, khi không có lợi nhuận vượt trội, giá trị cuối kỳ của bạn không bị ảnh hưởng bởi các giả định về tăng trưởng kỳ vọng. Bạn có thể thiết lập mệnh đề tương tự với thu nhập vốn cổ phần và dòng tiền và chứng minh rằng lợi nhuận trên vốn cổ phần bằng chi phí vốn cổ phần ở giai đoạn tăng trưởng ổn định sẽ vô hiệu hóa tác động tích cực của tăng trưởng.</w:t>
      </w:r>
    </w:p>
    <w:p>
      <w:pPr>
        <w:pStyle w:val="Para 11"/>
      </w:pPr>
      <w:r>
        <w:t xml:space="preserve"> </w:t>
      </w:r>
    </w:p>
    <w:p>
      <w:bookmarkStart w:id="2261" w:name="divfund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12"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2261"/>
    </w:p>
    <w:p>
      <w:pPr>
        <w:pStyle w:val="Para 31"/>
        <w:keepLines w:val="on"/>
      </w:pPr>
      <w:r>
        <w:t>divfund.xls: Bộ dữ liệu này trên web tóm tắt các tỷ lệ giữ lại, theo nhóm ngành, cho các doanh nghiệp ở Hoa Kỳ.</w:t>
      </w:r>
    </w:p>
    <w:p>
      <w:pPr>
        <w:pStyle w:val="Para 11"/>
      </w:pPr>
      <w:r>
        <w:t xml:space="preserve"> </w:t>
      </w:r>
    </w:p>
    <w:p>
      <w:bookmarkStart w:id="2262" w:name="capex_xls__This_dataset_on_the_w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13"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2262"/>
    </w:p>
    <w:p>
      <w:pPr>
        <w:pStyle w:val="Para 31"/>
        <w:keepLines w:val="on"/>
      </w:pPr>
      <w:r>
        <w:t>capex.xls: Bộ dữ liệu này trên web tóm tắt các tỷ lệ tái đầu tư, theo nhóm ngành, cho các doanh nghiệp ở Hoa Kỳ.</w:t>
      </w:r>
    </w:p>
    <w:p>
      <w:pPr>
        <w:pStyle w:val="Para 11"/>
      </w:pPr>
      <w:r>
        <w:t xml:space="preserve"> </w:t>
      </w:r>
    </w:p>
    <w:p>
      <w:bookmarkStart w:id="2263" w:name="ILLUSTRATION_12_2__Stable_Growth"/>
      <w:bookmarkStart w:id="2264" w:name="ILLUSTRATION_12_2__Stable_Growth_1"/>
      <w:pPr>
        <w:keepNext/>
        <w:pStyle w:val="Para 19"/>
        <w:keepLines w:val="on"/>
      </w:pPr>
      <w:r>
        <w:t>MINH HỌA 12.2: Tốc độ tăng trưởng ổn định và lợi nhuận vượt trội</w:t>
      </w:r>
      <w:bookmarkEnd w:id="2263"/>
      <w:bookmarkEnd w:id="2264"/>
    </w:p>
    <w:p>
      <w:pPr>
        <w:pStyle w:val="Para 04"/>
        <w:keepLines w:val="on"/>
      </w:pPr>
      <w:r>
        <w:t>Alloy Mills là một doanh nghiệp dệt may hiện đang báo cáo thu nhập hoạt động sau thuế là 100 triệu đô la. Doanh nghiệp hiện có lợi nhuận trên vốn là 20% và tái đầu tư 50% thu nhập của mình trở lại vào doanh nghiệp, mang lại tốc độ tăng trưởng kỳ vọng là 10% trong năm năm tới:</w:t>
      </w:r>
    </w:p>
    <w:p>
      <w:bookmarkStart w:id="2266" w:name="Expected_growth_rate_20_x50__10"/>
      <w:pPr>
        <w:keepNext/>
        <w:pStyle w:val="Para 07"/>
        <w:keepLines w:val="on"/>
      </w:pPr>
      <w:r>
        <w:t>Tốc độ tăng trưởng kỳ vọng=20%×50%=10%</w:t>
      </w:r>
      <w:bookmarkEnd w:id="2266"/>
    </w:p>
    <w:p>
      <w:pPr>
        <w:pStyle w:val="Para 04"/>
        <w:keepLines w:val="on"/>
      </w:pPr>
      <w:r>
        <w:t>Sau năm thứ 5, tốc độ tăng trưởng dự kiến sẽ giảm xuống 5% và lợi nhuận trên vốn dự kiến sẽ duy trì ở mức 20%. Giá trị cuối kỳ có thể được ước tính như sau:</w:t>
      </w:r>
    </w:p>
    <w:p>
      <w:bookmarkStart w:id="2267" w:name="Expected_operating_income_in_yea"/>
      <w:pPr>
        <w:keepNext/>
        <w:pStyle w:val="Para 07"/>
        <w:keepLines w:val="on"/>
      </w:pPr>
      <w:r>
        <w:t>Thu nhập hoạt động kỳ vọng trong năm thứ 6=100(1,10)5(1,05)=169,10 triệu đô laTỷ lệ tái đầu tư kỳ vọng từ năm thứ 5=g/ROC=5%/20%=25%Giá trị cuối kỳ trong năm thứ 5=169,10(1−,25)/(,10−,05)=2.537 triệu đô la</w:t>
      </w:r>
      <w:bookmarkEnd w:id="2267"/>
    </w:p>
    <w:p>
      <w:pPr>
        <w:pStyle w:val="Para 04"/>
        <w:keepLines w:val="on"/>
      </w:pPr>
      <w:r>
        <w:t>Không phải là tỷ lệ tái đầu tư trong năm 5 được tính dựa trên tốc độ tăng trưởng của năm 6, đúng như nó phải vậy, vì tăng trưởng phải trễ hơn tái đầu tư. Giá trị của doanh nghiệp hôm nay khi đó sẽ là:</w:t>
      </w:r>
    </w:p>
    <w:p>
      <w:bookmarkStart w:id="2268" w:name="Value_of_firm_today__55_1_10__60"/>
      <w:pPr>
        <w:keepNext/>
        <w:pStyle w:val="Para 07"/>
        <w:keepLines w:val="on"/>
      </w:pPr>
      <w:r>
        <w:t>Giá trị doanh nghiệp hôm nay=$55/1,10+$60,5/1,102+$66,55/1,103+$73,21/1,104+ $80,53/1,105+$2.537/1,105=$2.075 triệu</w:t>
      </w:r>
      <w:bookmarkEnd w:id="2268"/>
    </w:p>
    <w:p>
      <w:pPr>
        <w:pStyle w:val="Para 04"/>
        <w:keepLines w:val="on"/>
      </w:pPr>
      <w:r>
        <w:t>Nếu chúng ta thay đổi tỷ suất sinh lợi trên vốn (return on capital) trong giai đoạn tăng trưởng ổn định thành 10% trong khi giữ tốc độ tăng trưởng ở mức 5%, tác động lên giá trị sẽ rất lớn:</w:t>
      </w:r>
    </w:p>
    <w:p>
      <w:bookmarkStart w:id="2269" w:name="Expected_operating_income_in_yea_1"/>
      <w:pPr>
        <w:keepNext/>
        <w:pStyle w:val="Para 07"/>
        <w:keepLines w:val="on"/>
      </w:pPr>
      <w:r>
        <w:t>Thu nhập hoạt động kỳ vọng trong năm 6=100(1,10)5(1,05)=$169,10 triệuTỷ lệ tái đầu tư kỳ vọng từ năm 5=g/ROC=5%/10%=50%Giá trị cuối kỳ (terminal value) trong năm 5=$169,10(1−,5)/(,10−,05)=$1.691 triệu</w:t>
      </w:r>
      <w:bookmarkEnd w:id="2269"/>
    </w:p>
    <w:p>
      <w:bookmarkStart w:id="2270" w:name="Value_of_firm_today__55_1_10__60_1"/>
      <w:pPr>
        <w:keepNext/>
        <w:pStyle w:val="Para 07"/>
        <w:keepLines w:val="on"/>
      </w:pPr>
      <w:r>
        <w:t>Giá trị doanh nghiệp hôm nay=$55/1,10+$60,5/1,102+$66,55/1,103+$73,21/1,104+ $80,53/1,105+$1.691/1,105=$1.300 triệu</w:t>
      </w:r>
      <w:bookmarkEnd w:id="2270"/>
    </w:p>
    <w:p>
      <w:pPr>
        <w:pStyle w:val="Para 04"/>
        <w:keepLines w:val="on"/>
      </w:pPr>
      <w:r>
        <w:t>Giờ hãy xem xét tác động của việc hạ tốc độ tăng trưởng xuống 4% trong khi giữ tỷ suất sinh lợi trên vốn ở mức 10% trong giai đoạn tăng trưởng ổn định:</w:t>
      </w:r>
    </w:p>
    <w:p>
      <w:bookmarkStart w:id="2272" w:name="Expected_operating_income_in_yea_2"/>
      <w:pPr>
        <w:keepNext/>
        <w:pStyle w:val="Para 07"/>
        <w:keepLines w:val="on"/>
      </w:pPr>
      <w:r>
        <w:t>Thu nhập hoạt động kỳ vọng trong năm 6=100(1,10)5(1,04)=$167,49 triệuTỷ lệ tái đầu tư kỳ vọng trong năm 6=g/ROC=4%/10%=40%Giá trị cuối kỳ trong năm 5=$167,49(1−,4)/(,10−,04)=$1.675 triệu</w:t>
      </w:r>
      <w:bookmarkEnd w:id="2272"/>
    </w:p>
    <w:p>
      <w:bookmarkStart w:id="2273" w:name="Value_of_firm_today__55_1_10__60_2"/>
      <w:pPr>
        <w:keepNext/>
        <w:pStyle w:val="Para 07"/>
        <w:keepLines w:val="on"/>
      </w:pPr>
      <w:r>
        <w:t>Giá trị doanh nghiệp hôm nay=$55/1,10+$60,5/1,102+$66,55/1,103+$73,21/1,104+ $96,53/1,105+$1.675/1,105=$1.300 triệu</w:t>
      </w:r>
      <w:bookmarkEnd w:id="2273"/>
    </w:p>
    <w:p>
      <w:pPr>
        <w:pStyle w:val="Para 04"/>
        <w:keepLines w:val="on"/>
      </w:pPr>
      <w:r>
        <w:t>Lưu ý rằng giá trị cuối kỳ giảm đi $16 triệu, nhưng dòng tiền trong năm 5 cũng tăng thêm $16 triệu vì tỷ lệ tái đầu tư vào cuối năm 5 giảm xuống còn 40%. Giá trị của doanh nghiệp vẫn không đổi ở mức $1.300 triệu. Thực tế, việc thay đổi tốc độ tăng trưởng ổn định thành 0% không hề ảnh hưởng gì đến giá trị:</w:t>
      </w:r>
    </w:p>
    <w:p>
      <w:bookmarkStart w:id="2274" w:name="Expected_operating_income_in_yea_3"/>
      <w:pPr>
        <w:keepNext/>
        <w:pStyle w:val="Para 07"/>
        <w:keepLines w:val="on"/>
      </w:pPr>
      <w:r>
        <w:t>Thu nhập hoạt động kỳ vọng trong năm 6=100(1,10)5=$161,05 triệuTỷ lệ tái đầu tư kỳ vọng trong năm 6=g/ROC=0%/10%=0%Giá trị cuối kỳ trong năm 5=$161,05(1−,0)/(,10−,0)=$1.610,5 triệu</w:t>
      </w:r>
      <w:bookmarkEnd w:id="2274"/>
    </w:p>
    <w:p>
      <w:bookmarkStart w:id="2275" w:name="Value_of_firm_today__55_1_10__60_3"/>
      <w:pPr>
        <w:keepNext/>
        <w:pStyle w:val="Para 07"/>
        <w:keepLines w:val="on"/>
      </w:pPr>
      <w:r>
        <w:t>Giá trị doanh nghiệp hôm nay=$55/1,10+$60,5/1,102+$66,55/1,103+$73,21/1,104+ $161,05/1,105+$1.610,5/1,105=$1.300 triệu</w:t>
      </w:r>
      <w:bookmarkEnd w:id="2275"/>
    </w:p>
    <w:p>
      <w:pPr>
        <w:pStyle w:val="Para 04"/>
        <w:keepLines w:val="on"/>
      </w:pPr>
      <w:r>
        <w:t>Lưu ý một lần nữa rằng mức giảm trong giá trị cuối kỳ đã được bù đắp chính xác bằng mức tăng trong dòng tiền của năm 5 (để bằng với thu nhập hoạt động sau thuế của năm đó, vì không cần tái đầu tư khi không kỳ vọng tăng trưởng).</w:t>
      </w:r>
    </w:p>
    <w:p>
      <w:pPr>
        <w:pStyle w:val="Para 11"/>
      </w:pPr>
      <w:r>
        <w:t xml:space="preserve"> </w:t>
      </w:r>
    </w:p>
    <w:p>
      <w:bookmarkStart w:id="2276" w:name="ILLUSTRATION_12_3___Stable_Growt"/>
      <w:bookmarkStart w:id="2277" w:name="ILLUSTRATION_12_3___Stable_Growt_1"/>
      <w:pPr>
        <w:keepNext/>
        <w:pStyle w:val="Para 19"/>
        <w:keepLines w:val="on"/>
      </w:pPr>
      <w:r>
        <w:t>MINH HỌA 12.3: Các đầu vào của giai đoạn tăng trưởng ổn định</w:t>
      </w:r>
      <w:bookmarkEnd w:id="2276"/>
      <w:bookmarkEnd w:id="2277"/>
    </w:p>
    <w:p>
      <w:pPr>
        <w:pStyle w:val="Para 04"/>
        <w:keepLines w:val="on"/>
      </w:pPr>
      <w:r>
        <w:t>Để minh họa cách các đầu vào của việc định giá thay đổi khi chúng ta đi từ tăng trưởng cao sang tăng trưởng ổn định, chúng ta sẽ xem xét ba doanh nghiệp—JP Morgan Chase, với mô hình chiết khấu cổ tức (dividend discount model); Levi Strauss, với mô hình dòng tiền tự do vốn chủ sở hữu (free cash flow to equity); và Home Depot, với mô hình dòng tiền tự do của doanh nghiệp (free cash flow to firm).</w:t>
      </w:r>
    </w:p>
    <w:p>
      <w:pPr>
        <w:pStyle w:val="Para 04"/>
        <w:keepLines w:val="on"/>
      </w:pPr>
      <w:r>
        <w:t>Hãy xem xét JP Morgan, vào tháng 5 năm 2024, trước tiên trong bối cảnh mô hình chiết khấu cổ tức. Mặc dù chúng ta sẽ thực hiện việc định giá ở chương tiếp theo, hãy lưu ý rằng có ba đầu vào then chốt của mô hình chiết khấu cổ tức—tỷ lệ chi trả (payout ratio) (quyết định cổ tức), tỷ suất sinh lợi trên vốn chủ sở hữu kỳ vọng (expected return on equity) (quyết định tốc độ tăng trưởng kỳ vọng), và beta (ảnh hưởng đến chi phí vốn chủ sở hữu). Trong Chương 13, chúng ta sẽ lập luận rằng JP Morgan có giai đoạn tăng trưởng cao kéo dài mười năm, tiếp theo là tăng trưởng ổn định. Bảng sau đây tóm tắt các đầu vào của mô hình chiết khấu cổ tức cho việc định giá JP Morgan.</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Tăng trưởng cao</w:t>
                  </w:r>
                </w:p>
              </w:tc>
              <w:tc>
                <w:tcPr>
                  <w:tcW w:type="auto" w:w="0"/>
                  <w:shd w:val="clear" w:color="auto" w:fill="F0F0F0"/>
                </w:tcPr>
                <w:p>
                  <w:pPr>
                    <w:pStyle w:val="Para 05"/>
                    <w:keepLines w:val="on"/>
                  </w:pPr>
                  <w:r>
                    <w:t>Chuyển tiếp</w:t>
                  </w:r>
                </w:p>
              </w:tc>
              <w:tc>
                <w:tcPr>
                  <w:tcW w:type="auto" w:w="0"/>
                  <w:shd w:val="clear" w:color="auto" w:fill="F0F0F0"/>
                </w:tcPr>
                <w:p>
                  <w:pPr>
                    <w:pStyle w:val="Para 05"/>
                    <w:keepLines w:val="on"/>
                  </w:pPr>
                  <w:r>
                    <w:t>Tăng trưởng ổn định</w:t>
                  </w:r>
                </w:p>
              </w:tc>
            </w:tr>
            <w:tr>
              <w:tc>
                <w:tcPr>
                  <w:tcW w:type="auto" w:w="0"/>
                  <w:shd w:val="clear" w:color="auto" w:fill="F0F0F0"/>
                </w:tcPr>
                <w:p>
                  <w:pPr>
                    <w:pStyle w:val="Para 02"/>
                    <w:keepLines w:val="on"/>
                  </w:pPr>
                  <w:r>
                    <w:t>Khoảng thời gian</w:t>
                  </w:r>
                </w:p>
              </w:tc>
              <w:tc>
                <w:tcPr>
                  <w:tcW w:type="auto" w:w="0"/>
                  <w:shd w:val="clear" w:color="auto" w:fill="F0F0F0"/>
                </w:tcPr>
                <w:p>
                  <w:pPr>
                    <w:pStyle w:val="Normal"/>
                    <w:keepLines w:val="on"/>
                  </w:pPr>
                  <w:r>
                    <w:t>Năm 1–5</w:t>
                  </w:r>
                </w:p>
              </w:tc>
              <w:tc>
                <w:tcPr>
                  <w:tcW w:type="auto" w:w="0"/>
                  <w:shd w:val="clear" w:color="auto" w:fill="F0F0F0"/>
                </w:tcPr>
                <w:p>
                  <w:pPr>
                    <w:pStyle w:val="Normal"/>
                    <w:keepLines w:val="on"/>
                  </w:pPr>
                  <w:r>
                    <w:t>Năm 6–10</w:t>
                  </w:r>
                </w:p>
              </w:tc>
              <w:tc>
                <w:tcPr>
                  <w:tcW w:type="auto" w:w="0"/>
                  <w:shd w:val="clear" w:color="auto" w:fill="F0F0F0"/>
                </w:tcPr>
                <w:p>
                  <w:pPr>
                    <w:pStyle w:val="Normal"/>
                    <w:keepLines w:val="on"/>
                  </w:pPr>
                  <w:r>
                    <w:t>Sau năm 10</w:t>
                  </w:r>
                </w:p>
              </w:tc>
            </w:tr>
            <w:tr>
              <w:tc>
                <w:tcPr>
                  <w:tcW w:type="auto" w:w="0"/>
                  <w:shd w:val="clear" w:color="auto" w:fill="F0F0F0"/>
                </w:tcPr>
                <w:p>
                  <w:pPr>
                    <w:pStyle w:val="Para 02"/>
                    <w:keepLines w:val="on"/>
                  </w:pPr>
                  <w:r>
                    <w:t>Tỷ lệ chi trả</w:t>
                  </w:r>
                </w:p>
              </w:tc>
              <w:tc>
                <w:tcPr>
                  <w:tcW w:type="auto" w:w="0"/>
                  <w:shd w:val="clear" w:color="auto" w:fill="F0F0F0"/>
                </w:tcPr>
                <w:p>
                  <w:pPr>
                    <w:pStyle w:val="Normal"/>
                    <w:keepLines w:val="on"/>
                  </w:pPr>
                  <w:r>
                    <w:t>27,17%</w:t>
                  </w:r>
                </w:p>
              </w:tc>
              <w:tc>
                <w:tcPr>
                  <w:tcW w:type="auto" w:w="0"/>
                  <w:shd w:val="clear" w:color="auto" w:fill="F0F0F0"/>
                </w:tcPr>
                <w:p>
                  <w:pPr>
                    <w:pStyle w:val="Normal"/>
                    <w:keepLines w:val="on"/>
                  </w:pPr>
                  <w:r>
                    <w:t>điều chỉnh về</w:t>
                  </w:r>
                </w:p>
              </w:tc>
              <w:tc>
                <w:tcPr>
                  <w:tcW w:type="auto" w:w="0"/>
                  <w:shd w:val="clear" w:color="auto" w:fill="F0F0F0"/>
                </w:tcPr>
                <w:p>
                  <w:pPr>
                    <w:pStyle w:val="Normal"/>
                    <w:keepLines w:val="on"/>
                  </w:pPr>
                  <w:r>
                    <w:t>75,00%</w:t>
                  </w:r>
                </w:p>
              </w:tc>
            </w:tr>
            <w:tr>
              <w:tc>
                <w:tcPr>
                  <w:tcW w:type="auto" w:w="0"/>
                  <w:shd w:val="clear" w:color="auto" w:fill="F0F0F0"/>
                </w:tcPr>
                <w:p>
                  <w:pPr>
                    <w:pStyle w:val="Para 02"/>
                    <w:keepLines w:val="on"/>
                  </w:pPr>
                  <w:r>
                    <w:t>Lợi nhuận trên vốn chủ sở hữu</w:t>
                  </w:r>
                </w:p>
              </w:tc>
              <w:tc>
                <w:tcPr>
                  <w:tcW w:type="auto" w:w="0"/>
                  <w:shd w:val="clear" w:color="auto" w:fill="F0F0F0"/>
                </w:tcPr>
                <w:p>
                  <w:pPr>
                    <w:pStyle w:val="Normal"/>
                    <w:keepLines w:val="on"/>
                  </w:pPr>
                  <w:r>
                    <w:t>16,95%</w:t>
                  </w:r>
                </w:p>
              </w:tc>
              <w:tc>
                <w:tcPr>
                  <w:tcW w:type="auto" w:w="0"/>
                  <w:shd w:val="clear" w:color="auto" w:fill="F0F0F0"/>
                </w:tcPr>
                <w:p>
                  <w:pPr>
                    <w:pStyle w:val="Normal"/>
                    <w:keepLines w:val="on"/>
                  </w:pPr>
                  <w:r>
                    <w:t>điều chỉnh thành</w:t>
                  </w:r>
                </w:p>
              </w:tc>
              <w:tc>
                <w:tcPr>
                  <w:tcW w:type="auto" w:w="0"/>
                  <w:shd w:val="clear" w:color="auto" w:fill="F0F0F0"/>
                </w:tcPr>
                <w:p>
                  <w:pPr>
                    <w:pStyle w:val="Normal"/>
                    <w:keepLines w:val="on"/>
                  </w:pPr>
                  <w:r>
                    <w:t>12,00%</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Normal"/>
                    <w:keepLines w:val="on"/>
                  </w:pPr>
                  <w:r>
                    <w:t>12,35%</w:t>
                  </w:r>
                </w:p>
              </w:tc>
              <w:tc>
                <w:tcPr>
                  <w:tcW w:type="auto" w:w="0"/>
                  <w:shd w:val="clear" w:color="auto" w:fill="F0F0F0"/>
                </w:tcPr>
                <w:p>
                  <w:pPr>
                    <w:pStyle w:val="Normal"/>
                    <w:keepLines w:val="on"/>
                  </w:pPr>
                  <w:r>
                    <w:t>điều chỉnh thành</w:t>
                  </w:r>
                </w:p>
              </w:tc>
              <w:tc>
                <w:tcPr>
                  <w:tcW w:type="auto" w:w="0"/>
                  <w:shd w:val="clear" w:color="auto" w:fill="F0F0F0"/>
                </w:tcPr>
                <w:p>
                  <w:pPr>
                    <w:pStyle w:val="Normal"/>
                    <w:keepLines w:val="on"/>
                  </w:pPr>
                  <w:r>
                    <w:t>3,00%</w:t>
                  </w:r>
                </w:p>
              </w:tc>
            </w:tr>
            <w:tr>
              <w:tc>
                <w:tcPr>
                  <w:tcW w:type="auto" w:w="0"/>
                  <w:shd w:val="clear" w:color="auto" w:fill="F0F0F0"/>
                </w:tcPr>
                <w:p>
                  <w:pPr>
                    <w:pStyle w:val="Para 02"/>
                    <w:keepLines w:val="on"/>
                  </w:pPr>
                  <w:r>
                    <w:t>Beta</w:t>
                  </w:r>
                </w:p>
              </w:tc>
              <w:tc>
                <w:tcPr>
                  <w:tcW w:type="auto" w:w="0"/>
                  <w:shd w:val="clear" w:color="auto" w:fill="F0F0F0"/>
                </w:tcPr>
                <w:p>
                  <w:pPr>
                    <w:pStyle w:val="Normal"/>
                    <w:keepLines w:val="on"/>
                  </w:pPr>
                  <w:r>
                    <w:t>1,06</w:t>
                  </w:r>
                </w:p>
              </w:tc>
              <w:tc>
                <w:tcPr>
                  <w:tcW w:type="auto" w:w="0"/>
                  <w:shd w:val="clear" w:color="auto" w:fill="F0F0F0"/>
                </w:tcPr>
                <w:p>
                  <w:pPr>
                    <w:pStyle w:val="Normal"/>
                    <w:keepLines w:val="on"/>
                  </w:pPr>
                  <w:r>
                    <w:t>điều chỉnh thành</w:t>
                  </w:r>
                </w:p>
              </w:tc>
              <w:tc>
                <w:tcPr>
                  <w:tcW w:type="auto" w:w="0"/>
                  <w:shd w:val="clear" w:color="auto" w:fill="F0F0F0"/>
                </w:tcPr>
                <w:p>
                  <w:pPr>
                    <w:pStyle w:val="Normal"/>
                    <w:keepLines w:val="on"/>
                  </w:pPr>
                  <w:r>
                    <w:t>1,00</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Normal"/>
                    <w:keepLines w:val="on"/>
                  </w:pPr>
                  <w:r>
                    <w:t>9,98%</w:t>
                  </w:r>
                </w:p>
              </w:tc>
              <w:tc>
                <w:tcPr>
                  <w:tcW w:type="auto" w:w="0"/>
                  <w:shd w:val="clear" w:color="auto" w:fill="F0F0F0"/>
                </w:tcPr>
                <w:p>
                  <w:pPr>
                    <w:pStyle w:val="Normal"/>
                    <w:keepLines w:val="on"/>
                  </w:pPr>
                  <w:r>
                    <w:t>điều chỉnh thành</w:t>
                  </w:r>
                </w:p>
              </w:tc>
              <w:tc>
                <w:tcPr>
                  <w:tcW w:type="auto" w:w="0"/>
                  <w:shd w:val="clear" w:color="auto" w:fill="F0F0F0"/>
                </w:tcPr>
                <w:p>
                  <w:pPr>
                    <w:pStyle w:val="Normal"/>
                    <w:keepLines w:val="on"/>
                  </w:pPr>
                  <w:r>
                    <w:t>9,67%</w:t>
                  </w:r>
                </w:p>
              </w:tc>
            </w:tr>
          </w:tbl>
          <w:p/>
        </w:tc>
      </w:tr>
    </w:tbl>
    <w:p>
      <w:pPr>
        <w:pStyle w:val="Para 04"/>
        <w:keepLines w:val="on"/>
      </w:pPr>
      <w:r>
        <w:t>Lưu ý rằng tỷ lệ chi trả cổ tức (payout ratio), lợi nhuận trên vốn chủ sở hữu (return on equity) và beta cho giai đoạn tăng trưởng cao đều dựa trên các giá trị của năm hiện tại. Tốc độ tăng trưởng kỳ vọng 12,35% cho năm năm tới là tích của lợi nhuận trên vốn chủ sở hữu và tỷ lệ giữ lại lợi nhuận (retention ratio). Trong giai đoạn tăng trưởng ổn định, chúng ta điều chỉnh beta về 1, mặc dù việc điều chỉnh này ít ảnh hưởng đến giá trị vì beta vốn đã gần bằng một. Chúng ta giả định tốc độ tăng trưởng ổn định sẽ là 3%, chỉ thấp hơn một chút so với tốc độ tăng trưởng danh nghĩa (tính bằng đô la Mỹ) của nền kinh tế toàn cầu (và lãi suất phi rủi ro 4,5% vào thời điểm đó). Chúng ta cũng giả định rằng lợi nhuận trên vốn chủ sở hữu sẽ giảm xuống 12%, phản ánh giả định của chúng ta rằng lợi nhuận trên vốn chủ sở hữu sẽ suy giảm đối với toàn bộ ngành khi lĩnh vực ngân hàng đối mặt với nhiều cạnh tranh hơn từ các đối thủ bên ngoài. Tỷ lệ giữ lại lợi nhuận giảm xuống 25%, khi cả tăng trưởng và lợi nhuận trên vốn chủ sở hữu đều giảm.</w:t>
      </w:r>
    </w:p>
    <w:p>
      <w:pPr>
        <w:pStyle w:val="Para 04"/>
        <w:keepLines w:val="on"/>
      </w:pPr>
      <w:r>
        <w:t>Để phân tích Levi Strauss, cũng vào tháng 5 năm 2024, trong một mô hình dòng tiền tự do cho vốn chủ sở hữu (free cash flow to equity model), bảng sau đây tóm tắt các thông số đầu vào của chúng ta cho giai đoạn tăng trưởng cao và tăng trưởng ổn định:</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Tăng trưởng cao</w:t>
                  </w:r>
                </w:p>
              </w:tc>
              <w:tc>
                <w:tcPr>
                  <w:tcW w:type="auto" w:w="0"/>
                  <w:shd w:val="clear" w:color="auto" w:fill="F0F0F0"/>
                </w:tcPr>
                <w:p>
                  <w:pPr>
                    <w:pStyle w:val="Para 05"/>
                    <w:keepLines w:val="on"/>
                  </w:pPr>
                  <w:r>
                    <w:t>Giai đoạn chuyển tiếp</w:t>
                  </w:r>
                </w:p>
              </w:tc>
              <w:tc>
                <w:tcPr>
                  <w:tcW w:type="auto" w:w="0"/>
                  <w:shd w:val="clear" w:color="auto" w:fill="F0F0F0"/>
                </w:tcPr>
                <w:p>
                  <w:pPr>
                    <w:pStyle w:val="Para 05"/>
                    <w:keepLines w:val="on"/>
                  </w:pPr>
                  <w:r>
                    <w:t>Tăng trưởng ổn định</w:t>
                  </w:r>
                </w:p>
              </w:tc>
            </w:tr>
            <w:tr>
              <w:tc>
                <w:tcPr>
                  <w:tcW w:type="auto" w:w="0"/>
                  <w:shd w:val="clear" w:color="auto" w:fill="F0F0F0"/>
                </w:tcPr>
                <w:p>
                  <w:pPr>
                    <w:pStyle w:val="Para 02"/>
                    <w:keepLines w:val="on"/>
                  </w:pPr>
                  <w:r>
                    <w:t>ROE phi tiền mặt</w:t>
                  </w:r>
                </w:p>
              </w:tc>
              <w:tc>
                <w:tcPr>
                  <w:tcW w:type="auto" w:w="0"/>
                  <w:shd w:val="clear" w:color="auto" w:fill="F0F0F0"/>
                </w:tcPr>
                <w:p>
                  <w:pPr>
                    <w:pStyle w:val="Normal"/>
                    <w:keepLines w:val="on"/>
                  </w:pPr>
                  <w:r>
                    <w:t>32,59%</w:t>
                  </w:r>
                </w:p>
              </w:tc>
              <w:tc>
                <w:tcPr>
                  <w:tcW w:type="auto" w:w="0"/>
                  <w:shd w:val="clear" w:color="auto" w:fill="F0F0F0"/>
                </w:tcPr>
                <w:p>
                  <w:pPr>
                    <w:pStyle w:val="Normal"/>
                    <w:keepLines w:val="on"/>
                  </w:pPr>
                  <w:r>
                    <w:t>điều chỉnh thành</w:t>
                  </w:r>
                </w:p>
              </w:tc>
              <w:tc>
                <w:tcPr>
                  <w:tcW w:type="auto" w:w="0"/>
                  <w:shd w:val="clear" w:color="auto" w:fill="F0F0F0"/>
                </w:tcPr>
                <w:p>
                  <w:pPr>
                    <w:pStyle w:val="Normal"/>
                    <w:keepLines w:val="on"/>
                  </w:pPr>
                  <w:r>
                    <w:t>10,00%</w:t>
                  </w:r>
                </w:p>
              </w:tc>
            </w:tr>
            <w:tr>
              <w:tc>
                <w:tcPr>
                  <w:tcW w:type="auto" w:w="0"/>
                  <w:shd w:val="clear" w:color="auto" w:fill="F0F0F0"/>
                </w:tcPr>
                <w:p>
                  <w:pPr>
                    <w:pStyle w:val="Para 02"/>
                    <w:keepLines w:val="on"/>
                  </w:pPr>
                  <w:r>
                    <w:t>Tỷ lệ tái đầu tư vốn chủ sở hữu</w:t>
                  </w:r>
                </w:p>
              </w:tc>
              <w:tc>
                <w:tcPr>
                  <w:tcW w:type="auto" w:w="0"/>
                  <w:shd w:val="clear" w:color="auto" w:fill="F0F0F0"/>
                </w:tcPr>
                <w:p>
                  <w:pPr>
                    <w:pStyle w:val="Normal"/>
                    <w:keepLines w:val="on"/>
                  </w:pPr>
                  <w:r>
                    <w:t>30,02%</w:t>
                  </w:r>
                </w:p>
              </w:tc>
              <w:tc>
                <w:tcPr>
                  <w:tcW w:type="auto" w:w="0"/>
                  <w:shd w:val="clear" w:color="auto" w:fill="F0F0F0"/>
                </w:tcPr>
                <w:p>
                  <w:pPr>
                    <w:pStyle w:val="Normal"/>
                    <w:keepLines w:val="on"/>
                  </w:pPr>
                  <w:r>
                    <w:t>điều chỉnh thành</w:t>
                  </w:r>
                </w:p>
              </w:tc>
              <w:tc>
                <w:tcPr>
                  <w:tcW w:type="auto" w:w="0"/>
                  <w:shd w:val="clear" w:color="auto" w:fill="F0F0F0"/>
                </w:tcPr>
                <w:p>
                  <w:pPr>
                    <w:pStyle w:val="Normal"/>
                    <w:keepLines w:val="on"/>
                  </w:pPr>
                  <w:r>
                    <w:t>40,00%</w:t>
                  </w:r>
                </w:p>
              </w:tc>
            </w:tr>
            <w:tr>
              <w:tc>
                <w:tcPr>
                  <w:tcW w:type="auto" w:w="0"/>
                  <w:shd w:val="clear" w:color="auto" w:fill="F0F0F0"/>
                </w:tcPr>
                <w:p>
                  <w:pPr>
                    <w:pStyle w:val="Para 02"/>
                    <w:keepLines w:val="on"/>
                  </w:pPr>
                  <w:r>
                    <w:t>Tỷ lệ tăng trưởng kỳ vọng</w:t>
                  </w:r>
                </w:p>
              </w:tc>
              <w:tc>
                <w:tcPr>
                  <w:tcW w:type="auto" w:w="0"/>
                  <w:shd w:val="clear" w:color="auto" w:fill="F0F0F0"/>
                </w:tcPr>
                <w:p>
                  <w:pPr>
                    <w:pStyle w:val="Normal"/>
                    <w:keepLines w:val="on"/>
                  </w:pPr>
                  <w:r>
                    <w:t>9,78%</w:t>
                  </w:r>
                </w:p>
              </w:tc>
              <w:tc>
                <w:tcPr>
                  <w:tcW w:type="auto" w:w="0"/>
                  <w:shd w:val="clear" w:color="auto" w:fill="F0F0F0"/>
                </w:tcPr>
                <w:p>
                  <w:pPr>
                    <w:pStyle w:val="Normal"/>
                    <w:keepLines w:val="on"/>
                  </w:pPr>
                  <w:r>
                    <w:t>điều chỉnh thành</w:t>
                  </w:r>
                </w:p>
              </w:tc>
              <w:tc>
                <w:tcPr>
                  <w:tcW w:type="auto" w:w="0"/>
                  <w:shd w:val="clear" w:color="auto" w:fill="F0F0F0"/>
                </w:tcPr>
                <w:p>
                  <w:pPr>
                    <w:pStyle w:val="Normal"/>
                    <w:keepLines w:val="on"/>
                  </w:pPr>
                  <w:r>
                    <w:t>4,00%</w:t>
                  </w:r>
                </w:p>
              </w:tc>
            </w:tr>
            <w:tr>
              <w:tc>
                <w:tcPr>
                  <w:tcW w:type="auto" w:w="0"/>
                  <w:shd w:val="clear" w:color="auto" w:fill="F0F0F0"/>
                </w:tcPr>
                <w:p>
                  <w:pPr>
                    <w:pStyle w:val="Para 02"/>
                    <w:keepLines w:val="on"/>
                  </w:pPr>
                  <w:r>
                    <w:t>Beta</w:t>
                  </w:r>
                </w:p>
              </w:tc>
              <w:tc>
                <w:tcPr>
                  <w:tcW w:type="auto" w:w="0"/>
                  <w:shd w:val="clear" w:color="auto" w:fill="F0F0F0"/>
                </w:tcPr>
                <w:p>
                  <w:pPr>
                    <w:pStyle w:val="Normal"/>
                    <w:keepLines w:val="on"/>
                  </w:pPr>
                  <w:r>
                    <w:t>1,03</w:t>
                  </w:r>
                </w:p>
              </w:tc>
              <w:tc>
                <w:tcPr>
                  <w:tcW w:type="auto" w:w="0"/>
                  <w:shd w:val="clear" w:color="auto" w:fill="F0F0F0"/>
                </w:tcPr>
                <w:p>
                  <w:pPr>
                    <w:pStyle w:val="Normal"/>
                    <w:keepLines w:val="on"/>
                  </w:pPr>
                  <w:r>
                    <w:t>Không đổi</w:t>
                  </w:r>
                </w:p>
              </w:tc>
              <w:tc>
                <w:tcPr>
                  <w:tcW w:type="auto" w:w="0"/>
                  <w:shd w:val="clear" w:color="auto" w:fill="F0F0F0"/>
                </w:tcPr>
                <w:p>
                  <w:pPr>
                    <w:pStyle w:val="Normal"/>
                    <w:keepLines w:val="on"/>
                  </w:pPr>
                  <w:r>
                    <w:t>1,03</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Normal"/>
                    <w:keepLines w:val="on"/>
                  </w:pPr>
                  <w:r>
                    <w:t>9,62%</w:t>
                  </w:r>
                </w:p>
              </w:tc>
              <w:tc>
                <w:tcPr>
                  <w:tcW w:type="auto" w:w="0"/>
                  <w:shd w:val="clear" w:color="auto" w:fill="F0F0F0"/>
                </w:tcPr>
                <w:p>
                  <w:pPr>
                    <w:pStyle w:val="Normal"/>
                    <w:keepLines w:val="on"/>
                  </w:pPr>
                  <w:r>
                    <w:t>Không đổi</w:t>
                  </w:r>
                </w:p>
              </w:tc>
              <w:tc>
                <w:tcPr>
                  <w:tcW w:type="auto" w:w="0"/>
                  <w:shd w:val="clear" w:color="auto" w:fill="F0F0F0"/>
                </w:tcPr>
                <w:p>
                  <w:pPr>
                    <w:pStyle w:val="Normal"/>
                    <w:keepLines w:val="on"/>
                  </w:pPr>
                  <w:r>
                    <w:t>9,62%</w:t>
                  </w:r>
                </w:p>
              </w:tc>
            </w:tr>
          </w:tbl>
          <w:p/>
        </w:tc>
      </w:tr>
    </w:tbl>
    <w:p>
      <w:pPr>
        <w:pStyle w:val="Para 04"/>
        <w:keepLines w:val="on"/>
      </w:pPr>
      <w:r>
        <w:t>Trong giai đoạn tăng trưởng cao, tỷ suất sinh lời trên vốn chủ sở hữu cao cho phép công ty tạo ra tốc độ tăng trưởng kỳ vọng 9,78% mỗi năm. Trong giai đoạn tăng trưởng ổn định, chúng ta giảm tỷ suất sinh lời trên vốn chủ sở hữu của Levi Strauss về mức chi phí vốn chủ sở hữu của nó và ước tính tỷ lệ tái đầu tư vốn chủ sở hữu kỳ vọng dựa trên tốc độ tăng trưởng ổn định 4%, được đặt thấp hơn lãi suất phi rủi ro 4,50% tại thời điểm đó. Beta của công ty được giữ nguyên ở mức hiện tại, vì nó gần bằng một.</w:t>
      </w:r>
    </w:p>
    <w:p>
      <w:pPr>
        <w:pStyle w:val="Para 04"/>
        <w:keepLines w:val="on"/>
      </w:pPr>
      <w:r>
        <w:t>Cuối cùng, hãy xem xét định giá của Eli Lilly vào tháng 5 năm 2024, với định giá doanh nghiệp. Bảng sau đây báo cáo về tỷ suất sinh lời trên vốn đầu tư, tỷ lệ tái đầu tư và tỷ lệ nợ của công ty trong giai đoạn tăng trưởng cao và giai đoạn tăng trưởng ổn định.</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Giai đoạn tăng trưởng cao</w:t>
                  </w:r>
                </w:p>
              </w:tc>
              <w:tc>
                <w:tcPr>
                  <w:tcW w:type="auto" w:w="0"/>
                  <w:shd w:val="clear" w:color="auto" w:fill="F0F0F0"/>
                </w:tcPr>
                <w:p>
                  <w:pPr>
                    <w:pStyle w:val="Para 05"/>
                    <w:keepLines w:val="on"/>
                  </w:pPr>
                  <w:r>
                    <w:t>Giai đoạn chuyển tiếp</w:t>
                  </w:r>
                </w:p>
              </w:tc>
              <w:tc>
                <w:tcPr>
                  <w:tcW w:type="auto" w:w="0"/>
                  <w:shd w:val="clear" w:color="auto" w:fill="F0F0F0"/>
                </w:tcPr>
                <w:p>
                  <w:pPr>
                    <w:pStyle w:val="Para 05"/>
                    <w:keepLines w:val="on"/>
                  </w:pPr>
                  <w:r>
                    <w:t>Tăng trưởng ổn định</w:t>
                  </w:r>
                </w:p>
              </w:tc>
            </w:tr>
            <w:tr>
              <w:tc>
                <w:tcPr>
                  <w:tcW w:type="auto" w:w="0"/>
                  <w:shd w:val="clear" w:color="auto" w:fill="F0F0F0"/>
                </w:tcPr>
                <w:p>
                  <w:pPr>
                    <w:pStyle w:val="Para 02"/>
                    <w:keepLines w:val="on"/>
                  </w:pPr>
                  <w:r>
                    <w:t>Tỷ suất sinh lời trên vốn đầu tư</w:t>
                  </w:r>
                </w:p>
              </w:tc>
              <w:tc>
                <w:tcPr>
                  <w:tcW w:type="auto" w:w="0"/>
                  <w:shd w:val="clear" w:color="auto" w:fill="F0F0F0"/>
                </w:tcPr>
                <w:p>
                  <w:pPr>
                    <w:pStyle w:val="Normal"/>
                    <w:keepLines w:val="on"/>
                  </w:pPr>
                  <w:r>
                    <w:t>20,43%</w:t>
                  </w:r>
                </w:p>
              </w:tc>
              <w:tc>
                <w:tcPr>
                  <w:tcW w:type="auto" w:w="0"/>
                  <w:shd w:val="clear" w:color="auto" w:fill="F0F0F0"/>
                </w:tcPr>
                <w:p>
                  <w:pPr>
                    <w:pStyle w:val="Normal"/>
                    <w:keepLines w:val="on"/>
                  </w:pPr>
                  <w:r>
                    <w:t>Điều chỉnh thành</w:t>
                  </w:r>
                </w:p>
              </w:tc>
              <w:tc>
                <w:tcPr>
                  <w:tcW w:type="auto" w:w="0"/>
                  <w:shd w:val="clear" w:color="auto" w:fill="F0F0F0"/>
                </w:tcPr>
                <w:p>
                  <w:pPr>
                    <w:pStyle w:val="Normal"/>
                    <w:keepLines w:val="on"/>
                  </w:pPr>
                  <w:r>
                    <w:t>15,00%</w:t>
                  </w:r>
                </w:p>
              </w:tc>
            </w:tr>
            <w:tr>
              <w:tc>
                <w:tcPr>
                  <w:tcW w:type="auto" w:w="0"/>
                  <w:shd w:val="clear" w:color="auto" w:fill="F0F0F0"/>
                </w:tcPr>
                <w:p>
                  <w:pPr>
                    <w:pStyle w:val="Para 02"/>
                    <w:keepLines w:val="on"/>
                  </w:pPr>
                  <w:r>
                    <w:t>Tỷ lệ tái đầu tư</w:t>
                  </w:r>
                </w:p>
              </w:tc>
              <w:tc>
                <w:tcPr>
                  <w:tcW w:type="auto" w:w="0"/>
                  <w:shd w:val="clear" w:color="auto" w:fill="F0F0F0"/>
                </w:tcPr>
                <w:p>
                  <w:pPr>
                    <w:pStyle w:val="Normal"/>
                    <w:keepLines w:val="on"/>
                  </w:pPr>
                  <w:r>
                    <w:t>88,11%</w:t>
                  </w:r>
                </w:p>
              </w:tc>
              <w:tc>
                <w:tcPr>
                  <w:tcW w:type="auto" w:w="0"/>
                  <w:shd w:val="clear" w:color="auto" w:fill="F0F0F0"/>
                </w:tcPr>
                <w:p>
                  <w:pPr>
                    <w:pStyle w:val="Normal"/>
                    <w:keepLines w:val="on"/>
                  </w:pPr>
                  <w:r>
                    <w:t>Điều chỉnh thành</w:t>
                  </w:r>
                </w:p>
              </w:tc>
              <w:tc>
                <w:tcPr>
                  <w:tcW w:type="auto" w:w="0"/>
                  <w:shd w:val="clear" w:color="auto" w:fill="F0F0F0"/>
                </w:tcPr>
                <w:p>
                  <w:pPr>
                    <w:pStyle w:val="Normal"/>
                    <w:keepLines w:val="on"/>
                  </w:pPr>
                  <w:r>
                    <w:t>26,67%</w:t>
                  </w:r>
                </w:p>
              </w:tc>
            </w:tr>
            <w:tr>
              <w:tc>
                <w:tcPr>
                  <w:tcW w:type="auto" w:w="0"/>
                  <w:shd w:val="clear" w:color="auto" w:fill="F0F0F0"/>
                </w:tcPr>
                <w:p>
                  <w:pPr>
                    <w:pStyle w:val="Para 02"/>
                    <w:keepLines w:val="on"/>
                  </w:pPr>
                  <w:r>
                    <w:t>Tốc độ tăng trưởng EBIT</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Điều chỉnh thành</w:t>
                  </w:r>
                </w:p>
              </w:tc>
              <w:tc>
                <w:tcPr>
                  <w:tcW w:type="auto" w:w="0"/>
                  <w:shd w:val="clear" w:color="auto" w:fill="F0F0F0"/>
                </w:tcPr>
                <w:p>
                  <w:pPr>
                    <w:pStyle w:val="Normal"/>
                    <w:keepLines w:val="on"/>
                  </w:pPr>
                  <w:r>
                    <w:t>4,00%</w:t>
                  </w:r>
                </w:p>
              </w:tc>
            </w:tr>
            <w:tr>
              <w:tc>
                <w:tcPr>
                  <w:tcW w:type="auto" w:w="0"/>
                  <w:shd w:val="clear" w:color="auto" w:fill="F0F0F0"/>
                </w:tcPr>
                <w:p>
                  <w:pPr>
                    <w:pStyle w:val="Para 02"/>
                    <w:keepLines w:val="on"/>
                  </w:pPr>
                  <w:r>
                    <w:t>Chi phí vốn</w:t>
                  </w:r>
                </w:p>
              </w:tc>
              <w:tc>
                <w:tcPr>
                  <w:tcW w:type="auto" w:w="0"/>
                  <w:shd w:val="clear" w:color="auto" w:fill="F0F0F0"/>
                </w:tcPr>
                <w:p>
                  <w:pPr>
                    <w:pStyle w:val="Normal"/>
                    <w:keepLines w:val="on"/>
                  </w:pPr>
                  <w:r>
                    <w:t>9,36%</w:t>
                  </w:r>
                </w:p>
              </w:tc>
              <w:tc>
                <w:tcPr>
                  <w:tcW w:type="auto" w:w="0"/>
                  <w:shd w:val="clear" w:color="auto" w:fill="F0F0F0"/>
                </w:tcPr>
                <w:p>
                  <w:pPr>
                    <w:pStyle w:val="Normal"/>
                    <w:keepLines w:val="on"/>
                  </w:pPr>
                  <w:r>
                    <w:t>Điều chỉnh thành</w:t>
                  </w:r>
                </w:p>
              </w:tc>
              <w:tc>
                <w:tcPr>
                  <w:tcW w:type="auto" w:w="0"/>
                  <w:shd w:val="clear" w:color="auto" w:fill="F0F0F0"/>
                </w:tcPr>
                <w:p>
                  <w:pPr>
                    <w:pStyle w:val="Normal"/>
                    <w:keepLines w:val="on"/>
                  </w:pPr>
                  <w:r>
                    <w:t>8,54%</w:t>
                  </w:r>
                </w:p>
              </w:tc>
            </w:tr>
          </w:tbl>
          <w:p/>
        </w:tc>
      </w:tr>
    </w:tbl>
    <w:p>
      <w:pPr>
        <w:pStyle w:val="Para 04"/>
        <w:keepLines w:val="on"/>
      </w:pPr>
      <w:r>
        <w:t>Lưu ý rằng tỷ lệ tái đầu tư và tỷ suất sinh lời trên vốn của công ty phản ánh quyết định mà chúng ta đã đưa ra để vốn hóa R&amp;D. Thu nhập hoạt động được điều chỉnh cho R&amp;D và giá trị sổ sách của vốn chủ sở hữu được tăng cường bằng giá trị vốn hóa của R&amp;D (xem Chương 9). Công ty có tỷ suất sinh lời trên vốn cao khi bắt đầu định giá, và chúng ta giả định rằng tỷ suất sinh lời này sẽ giảm xuống còn 15% trong giai đoạn tăng trưởng ổn định khi công ty trở nên lớn hơn và các bằng sáng chế hết hạn. Vì tốc độ tăng trưởng ổn định giảm xuống còn 4%, tỷ lệ tái đầu tư kết quả tại Amgen sẽ giảm xuống còn 26,67%. Chúng ta cũng giả định rằng Eli Lilly sẽ chọn vay nhiều tiền hơn trong tương lai, đưa chi phí vốn xuống còn 8,54% trong giai đoạn ổn định.</w:t>
      </w:r>
    </w:p>
    <w:p>
      <w:pPr>
        <w:pStyle w:val="Para 04"/>
        <w:keepLines w:val="on"/>
      </w:pPr>
      <w:r>
        <w:t>Đối với tất cả các công ty, điều đáng lưu ý là chúng ta đang giả định rằng lợi nhuận vượt trội sẽ tiếp tục tồn tại vĩnh viễn bằng cách đặt tỷ suất sinh lời trên vốn cao hơn chi phí vốn. Mặc dù điều này có thể gây khó khăn, nhưng những lợi thế cạnh tranh mà các công ty này đã xây dựng trong quá khứ hoặc sẽ xây dựng trong giai đoạn tăng trưởng cao sẽ không biến mất trong chốc lát. Lợi nhuận vượt trội sẽ phai nhạt dần theo thời gian, nhưng việc đưa chúng về hoặc tiến gần đến chi phí vốn trong giai đoạn tăng trưởng ổn định có vẻ như là một thỏa hiệp hợp lý.</w:t>
      </w:r>
    </w:p>
    <w:p>
      <w:pPr>
        <w:pStyle w:val="Para 20"/>
      </w:pPr>
      <w:r>
        <w:rPr>
          <w:rStyle w:val="Text26"/>
        </w:rPr>
        <w:bookmarkStart w:id="2280" w:name="Page_356"/>
        <w:t/>
        <w:bookmarkEnd w:id="2280"/>
      </w:r>
      <w:r>
        <w:t xml:space="preserve"> </w:t>
      </w:r>
    </w:p>
    <w:p>
      <w:bookmarkStart w:id="2281" w:name="Transition_to_Stable_Growth__Onc"/>
      <w:pPr>
        <w:pStyle w:val="Para 21"/>
      </w:pPr>
      <w:r>
        <w:t>Chuyển tiếp sang Tăng trưởng Ổn định</w:t>
      </w:r>
      <w:bookmarkEnd w:id="2281"/>
    </w:p>
    <w:p>
      <w:pPr>
        <w:pStyle w:val="Para 03"/>
      </w:pPr>
      <w:r>
        <w:t>Khi bạn đã quyết định rằng một công ty sẽ ở giai đoạn tăng trưởng ổn định tại một thời điểm nào đó trong tương lai, bạn phải xem xét cách công ty sẽ thay đổi khi tiến gần đến giai đoạn tăng trưởng ổn định. Có ba kịch bản khác nhau. Trong kịch bản thứ nhất, công ty sẽ duy trì tốc độ tăng trưởng cao trong một khoảng thời gian, rồi đột ngột trở thành công ty tăng trưởng ổn định; đây là mô hình hai giai đoạn. Trong kịch bản thứ hai, công ty sẽ duy trì tốc độ tăng trưởng cao trong một khoảng thời gian, rồi có một giai đoạn chuyển tiếp khi các đặc điểm của công ty thay đổi dần dần về mức tăng trưởng ổn định; đây là mô hình ba giai đoạn. Trong kịch bản thứ ba, các đặc điểm của công ty thay đổi mỗi năm từ giai đoạn ban đầu đến giai đoạn tăng trưởng ổn định; đây có thể được coi là mô hình n giai đoạn.</w:t>
      </w:r>
    </w:p>
    <w:p>
      <w:pPr>
        <w:pStyle w:val="Para 03"/>
      </w:pPr>
      <w:r>
        <w:t>Kịch bản nào trong ba kịch bản này được chọn phụ thuộc vào công ty đang được định giá. Vì công ty chuyển từ tăng trưởng cao sang tăng trưởng ổn định trong một năm trong mô hình hai giai đoạn, mô hình này phù hợp hơn với các công ty có tốc độ tăng trưởng vừa phải, nơi sự thay đổi sẽ không quá đột ngột. Đối với các công ty có tốc độ tăng trưởng thu nhập hoạt động rất cao, một giai đoạn chuyển tiếp cho phép điều chỉnh dần dần không chỉ tốc độ tăng trưởng mà còn cả các đặc điểm rủi ro, tỷ suất sinh lời trên vốn và tỷ lệ tái đầu tư về mức tăng trưởng ổn định. Đối với các công ty rất non trẻ hoặc các công ty có biên lợi nhuận hoạt động âm, việc cho phép thay đổi mỗi năm (trong mô hình n giai đoạn) là khôn ngoan.</w:t>
      </w:r>
    </w:p>
    <w:p>
      <w:pPr>
        <w:pStyle w:val="Para 11"/>
      </w:pPr>
      <w:r>
        <w:t xml:space="preserve"> </w:t>
      </w:r>
    </w:p>
    <w:p>
      <w:bookmarkStart w:id="2283" w:name="ILLUSTRATION_12_4___Choosing_a_G_1"/>
      <w:bookmarkStart w:id="2284" w:name="ILLUSTRATION_12_4___Choosing_a_G"/>
      <w:pPr>
        <w:keepNext/>
        <w:pStyle w:val="Para 19"/>
        <w:keepLines w:val="on"/>
      </w:pPr>
      <w:r>
        <w:t>MINH HỌA 12.4: Chọn Mô hình Tăng trưởng</w:t>
      </w:r>
      <w:bookmarkEnd w:id="2283"/>
      <w:bookmarkEnd w:id="2284"/>
    </w:p>
    <w:p>
      <w:pPr>
        <w:pStyle w:val="Para 04"/>
        <w:keepLines w:val="on"/>
      </w:pPr>
      <w:r>
        <w:t>Hãy xem xét ba công ty được phân tích trong Minh họa 12.3. Chúng ta giả định giai đoạn tăng trưởng cao kéo dài năm năm cho cả ba công ty (JP Morgan Chase, Levi Strauss và Eli Lilly), với một giai đoạn chuyển tiếp từ năm 6 đến năm 10, trong đó các thông số đầu vào sẽ thay đổi dần dần từ mức tăng trưởng cao về mức tăng trưởng ổn định. Khi tốc độ tăng trưởng giảm giữa năm 6 và năm 10, chúng ta giả định rằng các thông số đầu vào chính (tỷ suất sinh lời kế toán, tốc độ tăng trưởng và tỷ lệ tái đầu tư) điều chỉnh theo các bước tăng tuyến tính về mức tăng trưởng ổn định. Bảng sau đây báo cáo về những thay đổi của các biến số này trong các giai đoạn chuyển tiếp cho cả ba công ty:</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hMerge w:val="restart"/>
                </w:tcPr>
                <w:p>
                  <w:pPr>
                    <w:pStyle w:val="Para 05"/>
                    <w:keepLines w:val="on"/>
                  </w:pPr>
                  <w:r>
                    <w:t>JP Morgan Chase</w:t>
                  </w:r>
                </w:p>
              </w:tc>
              <w:tc>
                <w:tcPr>
                  <w:hMerge w:val="continue"/>
                </w:tcPr>
                <w:p/>
              </w:tc>
              <w:tc>
                <w:tcPr>
                  <w:hMerge w:val="continue"/>
                </w:tcPr>
                <w:p/>
              </w:tc>
              <w:tc>
                <w:tcPr>
                  <w:tcW w:type="auto" w:w="0"/>
                  <w:shd w:val="clear" w:color="auto" w:fill="F0F0F0"/>
                  <w:hMerge w:val="restart"/>
                </w:tcPr>
                <w:p>
                  <w:pPr>
                    <w:pStyle w:val="Para 05"/>
                    <w:keepLines w:val="on"/>
                  </w:pPr>
                  <w:r>
                    <w:t>Levi Strauss</w:t>
                  </w:r>
                </w:p>
              </w:tc>
              <w:tc>
                <w:tcPr>
                  <w:hMerge w:val="continue"/>
                </w:tcPr>
                <w:p/>
              </w:tc>
              <w:tc>
                <w:tcPr>
                  <w:hMerge w:val="continue"/>
                </w:tcPr>
                <w:p/>
              </w:tc>
              <w:tc>
                <w:tcPr>
                  <w:tcW w:type="auto" w:w="0"/>
                  <w:shd w:val="clear" w:color="auto" w:fill="F0F0F0"/>
                  <w:hMerge w:val="restart"/>
                </w:tcPr>
                <w:p>
                  <w:pPr>
                    <w:pStyle w:val="Para 05"/>
                    <w:keepLines w:val="on"/>
                  </w:pPr>
                  <w:r>
                    <w:t>Eli Lilly</w:t>
                  </w:r>
                </w:p>
              </w:tc>
              <w:tc>
                <w:tcPr>
                  <w:hMerge w:val="continue"/>
                </w:tcPr>
                <w:p/>
              </w:tc>
              <w:tc>
                <w:tcPr>
                  <w:hMerge w:val="continue"/>
                </w:tcPr>
                <w:p/>
              </w:tc>
            </w:tr>
            <w:tr>
              <w:tc>
                <w:tcPr>
                  <w:tcW w:type="auto" w:w="0"/>
                  <w:shd w:val="clear" w:color="auto" w:fill="F0F0F0"/>
                </w:tcPr>
                <w:p>
                  <w:pPr>
                    <w:pStyle w:val="7 Block"/>
                    <w:keepLines w:val="on"/>
                  </w:pPr>
                </w:p>
              </w:tc>
              <w:tc>
                <w:tcPr>
                  <w:tcW w:type="auto" w:w="0"/>
                  <w:shd w:val="clear" w:color="auto" w:fill="F0F0F0"/>
                </w:tcPr>
                <w:p>
                  <w:pPr>
                    <w:pStyle w:val="Normal"/>
                    <w:keepLines w:val="on"/>
                  </w:pPr>
                  <w:r>
                    <w:t>Tốc độ Tăng trưởng</w:t>
                  </w:r>
                </w:p>
              </w:tc>
              <w:tc>
                <w:tcPr>
                  <w:tcW w:type="auto" w:w="0"/>
                  <w:shd w:val="clear" w:color="auto" w:fill="F0F0F0"/>
                </w:tcPr>
                <w:p>
                  <w:pPr>
                    <w:pStyle w:val="Normal"/>
                    <w:keepLines w:val="on"/>
                  </w:pPr>
                  <w:r>
                    <w:t>Tỷ lệ chi trả cổ tức</w:t>
                  </w:r>
                </w:p>
              </w:tc>
              <w:tc>
                <w:tcPr>
                  <w:tcW w:type="auto" w:w="0"/>
                  <w:shd w:val="clear" w:color="auto" w:fill="F0F0F0"/>
                </w:tcPr>
                <w:p>
                  <w:pPr>
                    <w:pStyle w:val="Normal"/>
                    <w:keepLines w:val="on"/>
                  </w:pPr>
                  <w:r>
                    <w:t>Chi phí vốn cổ phần</w:t>
                  </w:r>
                </w:p>
              </w:tc>
              <w:tc>
                <w:tcPr>
                  <w:tcW w:type="auto" w:w="0"/>
                  <w:shd w:val="clear" w:color="auto" w:fill="F0F0F0"/>
                </w:tcPr>
                <w:p>
                  <w:pPr>
                    <w:pStyle w:val="Normal"/>
                    <w:keepLines w:val="on"/>
                  </w:pPr>
                  <w:r>
                    <w:t>Tốc độ tăng trưởng</w:t>
                  </w:r>
                </w:p>
              </w:tc>
              <w:tc>
                <w:tcPr>
                  <w:tcW w:type="auto" w:w="0"/>
                  <w:shd w:val="clear" w:color="auto" w:fill="F0F0F0"/>
                </w:tcPr>
                <w:p>
                  <w:pPr>
                    <w:pStyle w:val="Normal"/>
                    <w:keepLines w:val="on"/>
                  </w:pPr>
                  <w:r>
                    <w:t>Tỷ lệ tái đầu tư vốn cổ phần (Equity RIR)</w:t>
                  </w:r>
                </w:p>
              </w:tc>
              <w:tc>
                <w:tcPr>
                  <w:tcW w:type="auto" w:w="0"/>
                  <w:shd w:val="clear" w:color="auto" w:fill="F0F0F0"/>
                </w:tcPr>
                <w:p>
                  <w:pPr>
                    <w:pStyle w:val="Normal"/>
                    <w:keepLines w:val="on"/>
                  </w:pPr>
                  <w:r>
                    <w:t>Chi phí vốn cổ phần</w:t>
                  </w:r>
                </w:p>
              </w:tc>
              <w:tc>
                <w:tcPr>
                  <w:tcW w:type="auto" w:w="0"/>
                  <w:shd w:val="clear" w:color="auto" w:fill="F0F0F0"/>
                </w:tcPr>
                <w:p>
                  <w:pPr>
                    <w:pStyle w:val="Normal"/>
                    <w:keepLines w:val="on"/>
                  </w:pPr>
                  <w:r>
                    <w:t>Tốc độ tăng trưởng</w:t>
                  </w:r>
                </w:p>
              </w:tc>
              <w:tc>
                <w:tcPr>
                  <w:tcW w:type="auto" w:w="0"/>
                  <w:shd w:val="clear" w:color="auto" w:fill="F0F0F0"/>
                </w:tcPr>
                <w:p>
                  <w:pPr>
                    <w:pStyle w:val="Normal"/>
                    <w:keepLines w:val="on"/>
                  </w:pPr>
                  <w:r>
                    <w:t>Tỷ lệ tái đầu tư (Reinvestment Rate)</w:t>
                  </w:r>
                </w:p>
              </w:tc>
              <w:tc>
                <w:tcPr>
                  <w:tcW w:type="auto" w:w="0"/>
                  <w:shd w:val="clear" w:color="auto" w:fill="F0F0F0"/>
                </w:tcPr>
                <w:p>
                  <w:pPr>
                    <w:pStyle w:val="Normal"/>
                    <w:keepLines w:val="on"/>
                  </w:pPr>
                  <w:r>
                    <w:t>Chi phí vốn (Cost of Capital)</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12,35%</w:t>
                  </w:r>
                </w:p>
              </w:tc>
              <w:tc>
                <w:tcPr>
                  <w:tcW w:type="auto" w:w="0"/>
                  <w:shd w:val="clear" w:color="auto" w:fill="F0F0F0"/>
                </w:tcPr>
                <w:p>
                  <w:pPr>
                    <w:pStyle w:val="Normal"/>
                    <w:keepLines w:val="on"/>
                  </w:pPr>
                  <w:r>
                    <w:t>27,17%</w:t>
                  </w:r>
                </w:p>
              </w:tc>
              <w:tc>
                <w:tcPr>
                  <w:tcW w:type="auto" w:w="0"/>
                  <w:shd w:val="clear" w:color="auto" w:fill="F0F0F0"/>
                </w:tcPr>
                <w:p>
                  <w:pPr>
                    <w:pStyle w:val="Normal"/>
                    <w:keepLines w:val="on"/>
                  </w:pPr>
                  <w:r>
                    <w:t>9,98%</w:t>
                  </w:r>
                </w:p>
              </w:tc>
              <w:tc>
                <w:tcPr>
                  <w:tcW w:type="auto" w:w="0"/>
                  <w:shd w:val="clear" w:color="auto" w:fill="F0F0F0"/>
                </w:tcPr>
                <w:p>
                  <w:pPr>
                    <w:pStyle w:val="Normal"/>
                    <w:keepLines w:val="on"/>
                  </w:pPr>
                  <w:r>
                    <w:t>9,78%</w:t>
                  </w:r>
                </w:p>
              </w:tc>
              <w:tc>
                <w:tcPr>
                  <w:tcW w:type="auto" w:w="0"/>
                  <w:shd w:val="clear" w:color="auto" w:fill="F0F0F0"/>
                </w:tcPr>
                <w:p>
                  <w:pPr>
                    <w:pStyle w:val="Normal"/>
                    <w:keepLines w:val="on"/>
                  </w:pPr>
                  <w:r>
                    <w:t>30,02%</w:t>
                  </w:r>
                </w:p>
              </w:tc>
              <w:tc>
                <w:tcPr>
                  <w:tcW w:type="auto" w:w="0"/>
                  <w:shd w:val="clear" w:color="auto" w:fill="F0F0F0"/>
                </w:tcPr>
                <w:p>
                  <w:pPr>
                    <w:pStyle w:val="Normal"/>
                    <w:keepLines w:val="on"/>
                  </w:pPr>
                  <w:r>
                    <w:t>9,62%</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88,11%</w:t>
                  </w:r>
                </w:p>
              </w:tc>
              <w:tc>
                <w:tcPr>
                  <w:tcW w:type="auto" w:w="0"/>
                  <w:shd w:val="clear" w:color="auto" w:fill="F0F0F0"/>
                </w:tcPr>
                <w:p>
                  <w:pPr>
                    <w:pStyle w:val="Normal"/>
                    <w:keepLines w:val="on"/>
                  </w:pPr>
                  <w:r>
                    <w:t>9,36%</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12,35%</w:t>
                  </w:r>
                </w:p>
              </w:tc>
              <w:tc>
                <w:tcPr>
                  <w:tcW w:type="auto" w:w="0"/>
                  <w:shd w:val="clear" w:color="auto" w:fill="F0F0F0"/>
                </w:tcPr>
                <w:p>
                  <w:pPr>
                    <w:pStyle w:val="Normal"/>
                    <w:keepLines w:val="on"/>
                  </w:pPr>
                  <w:r>
                    <w:t>27,17%</w:t>
                  </w:r>
                </w:p>
              </w:tc>
              <w:tc>
                <w:tcPr>
                  <w:tcW w:type="auto" w:w="0"/>
                  <w:shd w:val="clear" w:color="auto" w:fill="F0F0F0"/>
                </w:tcPr>
                <w:p>
                  <w:pPr>
                    <w:pStyle w:val="Normal"/>
                    <w:keepLines w:val="on"/>
                  </w:pPr>
                  <w:r>
                    <w:t>9,98%</w:t>
                  </w:r>
                </w:p>
              </w:tc>
              <w:tc>
                <w:tcPr>
                  <w:tcW w:type="auto" w:w="0"/>
                  <w:shd w:val="clear" w:color="auto" w:fill="F0F0F0"/>
                </w:tcPr>
                <w:p>
                  <w:pPr>
                    <w:pStyle w:val="Normal"/>
                    <w:keepLines w:val="on"/>
                  </w:pPr>
                  <w:r>
                    <w:t>9,78%</w:t>
                  </w:r>
                </w:p>
              </w:tc>
              <w:tc>
                <w:tcPr>
                  <w:tcW w:type="auto" w:w="0"/>
                  <w:shd w:val="clear" w:color="auto" w:fill="F0F0F0"/>
                </w:tcPr>
                <w:p>
                  <w:pPr>
                    <w:pStyle w:val="Normal"/>
                    <w:keepLines w:val="on"/>
                  </w:pPr>
                  <w:r>
                    <w:t>30,02%</w:t>
                  </w:r>
                </w:p>
              </w:tc>
              <w:tc>
                <w:tcPr>
                  <w:tcW w:type="auto" w:w="0"/>
                  <w:shd w:val="clear" w:color="auto" w:fill="F0F0F0"/>
                </w:tcPr>
                <w:p>
                  <w:pPr>
                    <w:pStyle w:val="Normal"/>
                    <w:keepLines w:val="on"/>
                  </w:pPr>
                  <w:r>
                    <w:t>9,62%</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88,11%</w:t>
                  </w:r>
                </w:p>
              </w:tc>
              <w:tc>
                <w:tcPr>
                  <w:tcW w:type="auto" w:w="0"/>
                  <w:shd w:val="clear" w:color="auto" w:fill="F0F0F0"/>
                </w:tcPr>
                <w:p>
                  <w:pPr>
                    <w:pStyle w:val="Normal"/>
                    <w:keepLines w:val="on"/>
                  </w:pPr>
                  <w:r>
                    <w:t>9,36%</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12,35%</w:t>
                  </w:r>
                </w:p>
              </w:tc>
              <w:tc>
                <w:tcPr>
                  <w:tcW w:type="auto" w:w="0"/>
                  <w:shd w:val="clear" w:color="auto" w:fill="F0F0F0"/>
                </w:tcPr>
                <w:p>
                  <w:pPr>
                    <w:pStyle w:val="Normal"/>
                    <w:keepLines w:val="on"/>
                  </w:pPr>
                  <w:r>
                    <w:t>27,17%</w:t>
                  </w:r>
                </w:p>
              </w:tc>
              <w:tc>
                <w:tcPr>
                  <w:tcW w:type="auto" w:w="0"/>
                  <w:shd w:val="clear" w:color="auto" w:fill="F0F0F0"/>
                </w:tcPr>
                <w:p>
                  <w:pPr>
                    <w:pStyle w:val="Normal"/>
                    <w:keepLines w:val="on"/>
                  </w:pPr>
                  <w:r>
                    <w:t>9,98%</w:t>
                  </w:r>
                </w:p>
              </w:tc>
              <w:tc>
                <w:tcPr>
                  <w:tcW w:type="auto" w:w="0"/>
                  <w:shd w:val="clear" w:color="auto" w:fill="F0F0F0"/>
                </w:tcPr>
                <w:p>
                  <w:pPr>
                    <w:pStyle w:val="Normal"/>
                    <w:keepLines w:val="on"/>
                  </w:pPr>
                  <w:r>
                    <w:t>9,78%</w:t>
                  </w:r>
                </w:p>
              </w:tc>
              <w:tc>
                <w:tcPr>
                  <w:tcW w:type="auto" w:w="0"/>
                  <w:shd w:val="clear" w:color="auto" w:fill="F0F0F0"/>
                </w:tcPr>
                <w:p>
                  <w:pPr>
                    <w:pStyle w:val="Normal"/>
                    <w:keepLines w:val="on"/>
                  </w:pPr>
                  <w:r>
                    <w:t>30,02%</w:t>
                  </w:r>
                </w:p>
              </w:tc>
              <w:tc>
                <w:tcPr>
                  <w:tcW w:type="auto" w:w="0"/>
                  <w:shd w:val="clear" w:color="auto" w:fill="F0F0F0"/>
                </w:tcPr>
                <w:p>
                  <w:pPr>
                    <w:pStyle w:val="Normal"/>
                    <w:keepLines w:val="on"/>
                  </w:pPr>
                  <w:r>
                    <w:t>9,62%</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88,11%</w:t>
                  </w:r>
                </w:p>
              </w:tc>
              <w:tc>
                <w:tcPr>
                  <w:tcW w:type="auto" w:w="0"/>
                  <w:shd w:val="clear" w:color="auto" w:fill="F0F0F0"/>
                </w:tcPr>
                <w:p>
                  <w:pPr>
                    <w:pStyle w:val="Normal"/>
                    <w:keepLines w:val="on"/>
                  </w:pPr>
                  <w:r>
                    <w:t>9,36%</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12,35%</w:t>
                  </w:r>
                </w:p>
              </w:tc>
              <w:tc>
                <w:tcPr>
                  <w:tcW w:type="auto" w:w="0"/>
                  <w:shd w:val="clear" w:color="auto" w:fill="F0F0F0"/>
                </w:tcPr>
                <w:p>
                  <w:pPr>
                    <w:pStyle w:val="Normal"/>
                    <w:keepLines w:val="on"/>
                  </w:pPr>
                  <w:r>
                    <w:t>27,17%</w:t>
                  </w:r>
                </w:p>
              </w:tc>
              <w:tc>
                <w:tcPr>
                  <w:tcW w:type="auto" w:w="0"/>
                  <w:shd w:val="clear" w:color="auto" w:fill="F0F0F0"/>
                </w:tcPr>
                <w:p>
                  <w:pPr>
                    <w:pStyle w:val="Normal"/>
                    <w:keepLines w:val="on"/>
                  </w:pPr>
                  <w:r>
                    <w:t>9,98%</w:t>
                  </w:r>
                </w:p>
              </w:tc>
              <w:tc>
                <w:tcPr>
                  <w:tcW w:type="auto" w:w="0"/>
                  <w:shd w:val="clear" w:color="auto" w:fill="F0F0F0"/>
                </w:tcPr>
                <w:p>
                  <w:pPr>
                    <w:pStyle w:val="Normal"/>
                    <w:keepLines w:val="on"/>
                  </w:pPr>
                  <w:r>
                    <w:t>9,78%</w:t>
                  </w:r>
                </w:p>
              </w:tc>
              <w:tc>
                <w:tcPr>
                  <w:tcW w:type="auto" w:w="0"/>
                  <w:shd w:val="clear" w:color="auto" w:fill="F0F0F0"/>
                </w:tcPr>
                <w:p>
                  <w:pPr>
                    <w:pStyle w:val="Normal"/>
                    <w:keepLines w:val="on"/>
                  </w:pPr>
                  <w:r>
                    <w:t>30,02%</w:t>
                  </w:r>
                </w:p>
              </w:tc>
              <w:tc>
                <w:tcPr>
                  <w:tcW w:type="auto" w:w="0"/>
                  <w:shd w:val="clear" w:color="auto" w:fill="F0F0F0"/>
                </w:tcPr>
                <w:p>
                  <w:pPr>
                    <w:pStyle w:val="Normal"/>
                    <w:keepLines w:val="on"/>
                  </w:pPr>
                  <w:r>
                    <w:t>9,62%</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88,11%</w:t>
                  </w:r>
                </w:p>
              </w:tc>
              <w:tc>
                <w:tcPr>
                  <w:tcW w:type="auto" w:w="0"/>
                  <w:shd w:val="clear" w:color="auto" w:fill="F0F0F0"/>
                </w:tcPr>
                <w:p>
                  <w:pPr>
                    <w:pStyle w:val="Normal"/>
                    <w:keepLines w:val="on"/>
                  </w:pPr>
                  <w:r>
                    <w:t>9,36%</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12,35%</w:t>
                  </w:r>
                </w:p>
              </w:tc>
              <w:tc>
                <w:tcPr>
                  <w:tcW w:type="auto" w:w="0"/>
                  <w:shd w:val="clear" w:color="auto" w:fill="F0F0F0"/>
                </w:tcPr>
                <w:p>
                  <w:pPr>
                    <w:pStyle w:val="Normal"/>
                    <w:keepLines w:val="on"/>
                  </w:pPr>
                  <w:r>
                    <w:t>27,17%</w:t>
                  </w:r>
                </w:p>
              </w:tc>
              <w:tc>
                <w:tcPr>
                  <w:tcW w:type="auto" w:w="0"/>
                  <w:shd w:val="clear" w:color="auto" w:fill="F0F0F0"/>
                </w:tcPr>
                <w:p>
                  <w:pPr>
                    <w:pStyle w:val="Normal"/>
                    <w:keepLines w:val="on"/>
                  </w:pPr>
                  <w:r>
                    <w:t>9,98%</w:t>
                  </w:r>
                </w:p>
              </w:tc>
              <w:tc>
                <w:tcPr>
                  <w:tcW w:type="auto" w:w="0"/>
                  <w:shd w:val="clear" w:color="auto" w:fill="F0F0F0"/>
                </w:tcPr>
                <w:p>
                  <w:pPr>
                    <w:pStyle w:val="Normal"/>
                    <w:keepLines w:val="on"/>
                  </w:pPr>
                  <w:r>
                    <w:t>9,78%</w:t>
                  </w:r>
                </w:p>
              </w:tc>
              <w:tc>
                <w:tcPr>
                  <w:tcW w:type="auto" w:w="0"/>
                  <w:shd w:val="clear" w:color="auto" w:fill="F0F0F0"/>
                </w:tcPr>
                <w:p>
                  <w:pPr>
                    <w:pStyle w:val="Normal"/>
                    <w:keepLines w:val="on"/>
                  </w:pPr>
                  <w:r>
                    <w:t>30,02%</w:t>
                  </w:r>
                </w:p>
              </w:tc>
              <w:tc>
                <w:tcPr>
                  <w:tcW w:type="auto" w:w="0"/>
                  <w:shd w:val="clear" w:color="auto" w:fill="F0F0F0"/>
                </w:tcPr>
                <w:p>
                  <w:pPr>
                    <w:pStyle w:val="Normal"/>
                    <w:keepLines w:val="on"/>
                  </w:pPr>
                  <w:r>
                    <w:t>9,62%</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88,11%</w:t>
                  </w:r>
                </w:p>
              </w:tc>
              <w:tc>
                <w:tcPr>
                  <w:tcW w:type="auto" w:w="0"/>
                  <w:shd w:val="clear" w:color="auto" w:fill="F0F0F0"/>
                </w:tcPr>
                <w:p>
                  <w:pPr>
                    <w:pStyle w:val="Normal"/>
                    <w:keepLines w:val="on"/>
                  </w:pPr>
                  <w:r>
                    <w:t>9,36%</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10,48%</w:t>
                  </w:r>
                </w:p>
              </w:tc>
              <w:tc>
                <w:tcPr>
                  <w:tcW w:type="auto" w:w="0"/>
                  <w:shd w:val="clear" w:color="auto" w:fill="F0F0F0"/>
                </w:tcPr>
                <w:p>
                  <w:pPr>
                    <w:pStyle w:val="Normal"/>
                    <w:keepLines w:val="on"/>
                  </w:pPr>
                  <w:r>
                    <w:t>36,74%</w:t>
                  </w:r>
                </w:p>
              </w:tc>
              <w:tc>
                <w:tcPr>
                  <w:tcW w:type="auto" w:w="0"/>
                  <w:shd w:val="clear" w:color="auto" w:fill="F0F0F0"/>
                </w:tcPr>
                <w:p>
                  <w:pPr>
                    <w:pStyle w:val="Normal"/>
                    <w:keepLines w:val="on"/>
                  </w:pPr>
                  <w:r>
                    <w:t>9,92%</w:t>
                  </w:r>
                </w:p>
              </w:tc>
              <w:tc>
                <w:tcPr>
                  <w:tcW w:type="auto" w:w="0"/>
                  <w:shd w:val="clear" w:color="auto" w:fill="F0F0F0"/>
                </w:tcPr>
                <w:p>
                  <w:pPr>
                    <w:pStyle w:val="Normal"/>
                    <w:keepLines w:val="on"/>
                  </w:pPr>
                  <w:r>
                    <w:t>8,63%</w:t>
                  </w:r>
                </w:p>
              </w:tc>
              <w:tc>
                <w:tcPr>
                  <w:tcW w:type="auto" w:w="0"/>
                  <w:shd w:val="clear" w:color="auto" w:fill="F0F0F0"/>
                </w:tcPr>
                <w:p>
                  <w:pPr>
                    <w:pStyle w:val="Normal"/>
                    <w:keepLines w:val="on"/>
                  </w:pPr>
                  <w:r>
                    <w:t>32,01%</w:t>
                  </w:r>
                </w:p>
              </w:tc>
              <w:tc>
                <w:tcPr>
                  <w:tcW w:type="auto" w:w="0"/>
                  <w:shd w:val="clear" w:color="auto" w:fill="F0F0F0"/>
                </w:tcPr>
                <w:p>
                  <w:pPr>
                    <w:pStyle w:val="Normal"/>
                    <w:keepLines w:val="on"/>
                  </w:pPr>
                  <w:r>
                    <w:t>9,62%</w:t>
                  </w:r>
                </w:p>
              </w:tc>
              <w:tc>
                <w:tcPr>
                  <w:tcW w:type="auto" w:w="0"/>
                  <w:shd w:val="clear" w:color="auto" w:fill="F0F0F0"/>
                </w:tcPr>
                <w:p>
                  <w:pPr>
                    <w:pStyle w:val="Normal"/>
                    <w:keepLines w:val="on"/>
                  </w:pPr>
                  <w:r>
                    <w:t>15,20%</w:t>
                  </w:r>
                </w:p>
              </w:tc>
              <w:tc>
                <w:tcPr>
                  <w:tcW w:type="auto" w:w="0"/>
                  <w:shd w:val="clear" w:color="auto" w:fill="F0F0F0"/>
                </w:tcPr>
                <w:p>
                  <w:pPr>
                    <w:pStyle w:val="Normal"/>
                    <w:keepLines w:val="on"/>
                  </w:pPr>
                  <w:r>
                    <w:t>75,82%</w:t>
                  </w:r>
                </w:p>
              </w:tc>
              <w:tc>
                <w:tcPr>
                  <w:tcW w:type="auto" w:w="0"/>
                  <w:shd w:val="clear" w:color="auto" w:fill="F0F0F0"/>
                </w:tcPr>
                <w:p>
                  <w:pPr>
                    <w:pStyle w:val="Normal"/>
                    <w:keepLines w:val="on"/>
                  </w:pPr>
                  <w:r>
                    <w:t>9,19%</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8,61%</w:t>
                  </w:r>
                </w:p>
              </w:tc>
              <w:tc>
                <w:tcPr>
                  <w:tcW w:type="auto" w:w="0"/>
                  <w:shd w:val="clear" w:color="auto" w:fill="F0F0F0"/>
                </w:tcPr>
                <w:p>
                  <w:pPr>
                    <w:pStyle w:val="Normal"/>
                    <w:keepLines w:val="on"/>
                  </w:pPr>
                  <w:r>
                    <w:t>46,30%</w:t>
                  </w:r>
                </w:p>
              </w:tc>
              <w:tc>
                <w:tcPr>
                  <w:tcW w:type="auto" w:w="0"/>
                  <w:shd w:val="clear" w:color="auto" w:fill="F0F0F0"/>
                </w:tcPr>
                <w:p>
                  <w:pPr>
                    <w:pStyle w:val="Normal"/>
                    <w:keepLines w:val="on"/>
                  </w:pPr>
                  <w:r>
                    <w:t>9,86%</w:t>
                  </w:r>
                </w:p>
              </w:tc>
              <w:tc>
                <w:tcPr>
                  <w:tcW w:type="auto" w:w="0"/>
                  <w:shd w:val="clear" w:color="auto" w:fill="F0F0F0"/>
                </w:tcPr>
                <w:p>
                  <w:pPr>
                    <w:pStyle w:val="Normal"/>
                    <w:keepLines w:val="on"/>
                  </w:pPr>
                  <w:r>
                    <w:t>7,47%</w:t>
                  </w:r>
                </w:p>
              </w:tc>
              <w:tc>
                <w:tcPr>
                  <w:tcW w:type="auto" w:w="0"/>
                  <w:shd w:val="clear" w:color="auto" w:fill="F0F0F0"/>
                </w:tcPr>
                <w:p>
                  <w:pPr>
                    <w:pStyle w:val="Normal"/>
                    <w:keepLines w:val="on"/>
                  </w:pPr>
                  <w:r>
                    <w:t>34,01%</w:t>
                  </w:r>
                </w:p>
              </w:tc>
              <w:tc>
                <w:tcPr>
                  <w:tcW w:type="auto" w:w="0"/>
                  <w:shd w:val="clear" w:color="auto" w:fill="F0F0F0"/>
                </w:tcPr>
                <w:p>
                  <w:pPr>
                    <w:pStyle w:val="Normal"/>
                    <w:keepLines w:val="on"/>
                  </w:pPr>
                  <w:r>
                    <w:t>9,62%</w:t>
                  </w:r>
                </w:p>
              </w:tc>
              <w:tc>
                <w:tcPr>
                  <w:tcW w:type="auto" w:w="0"/>
                  <w:shd w:val="clear" w:color="auto" w:fill="F0F0F0"/>
                </w:tcPr>
                <w:p>
                  <w:pPr>
                    <w:pStyle w:val="Normal"/>
                    <w:keepLines w:val="on"/>
                  </w:pPr>
                  <w:r>
                    <w:t>12,40%</w:t>
                  </w:r>
                </w:p>
              </w:tc>
              <w:tc>
                <w:tcPr>
                  <w:tcW w:type="auto" w:w="0"/>
                  <w:shd w:val="clear" w:color="auto" w:fill="F0F0F0"/>
                </w:tcPr>
                <w:p>
                  <w:pPr>
                    <w:pStyle w:val="Normal"/>
                    <w:keepLines w:val="on"/>
                  </w:pPr>
                  <w:r>
                    <w:t>63,53%</w:t>
                  </w:r>
                </w:p>
              </w:tc>
              <w:tc>
                <w:tcPr>
                  <w:tcW w:type="auto" w:w="0"/>
                  <w:shd w:val="clear" w:color="auto" w:fill="F0F0F0"/>
                </w:tcPr>
                <w:p>
                  <w:pPr>
                    <w:pStyle w:val="Normal"/>
                    <w:keepLines w:val="on"/>
                  </w:pPr>
                  <w:r>
                    <w:t>9,03%</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6,74%</w:t>
                  </w:r>
                </w:p>
              </w:tc>
              <w:tc>
                <w:tcPr>
                  <w:tcW w:type="auto" w:w="0"/>
                  <w:shd w:val="clear" w:color="auto" w:fill="F0F0F0"/>
                </w:tcPr>
                <w:p>
                  <w:pPr>
                    <w:pStyle w:val="Normal"/>
                    <w:keepLines w:val="on"/>
                  </w:pPr>
                  <w:r>
                    <w:t>55,87%</w:t>
                  </w:r>
                </w:p>
              </w:tc>
              <w:tc>
                <w:tcPr>
                  <w:tcW w:type="auto" w:w="0"/>
                  <w:shd w:val="clear" w:color="auto" w:fill="F0F0F0"/>
                </w:tcPr>
                <w:p>
                  <w:pPr>
                    <w:pStyle w:val="Normal"/>
                    <w:keepLines w:val="on"/>
                  </w:pPr>
                  <w:r>
                    <w:t>9,80%</w:t>
                  </w:r>
                </w:p>
              </w:tc>
              <w:tc>
                <w:tcPr>
                  <w:tcW w:type="auto" w:w="0"/>
                  <w:shd w:val="clear" w:color="auto" w:fill="F0F0F0"/>
                </w:tcPr>
                <w:p>
                  <w:pPr>
                    <w:pStyle w:val="Normal"/>
                    <w:keepLines w:val="on"/>
                  </w:pPr>
                  <w:r>
                    <w:t>6,31%</w:t>
                  </w:r>
                </w:p>
              </w:tc>
              <w:tc>
                <w:tcPr>
                  <w:tcW w:type="auto" w:w="0"/>
                  <w:shd w:val="clear" w:color="auto" w:fill="F0F0F0"/>
                </w:tcPr>
                <w:p>
                  <w:pPr>
                    <w:pStyle w:val="Normal"/>
                    <w:keepLines w:val="on"/>
                  </w:pPr>
                  <w:r>
                    <w:t>36,01%</w:t>
                  </w:r>
                </w:p>
              </w:tc>
              <w:tc>
                <w:tcPr>
                  <w:tcW w:type="auto" w:w="0"/>
                  <w:shd w:val="clear" w:color="auto" w:fill="F0F0F0"/>
                </w:tcPr>
                <w:p>
                  <w:pPr>
                    <w:pStyle w:val="Normal"/>
                    <w:keepLines w:val="on"/>
                  </w:pPr>
                  <w:r>
                    <w:t>9,62%</w:t>
                  </w:r>
                </w:p>
              </w:tc>
              <w:tc>
                <w:tcPr>
                  <w:tcW w:type="auto" w:w="0"/>
                  <w:shd w:val="clear" w:color="auto" w:fill="F0F0F0"/>
                </w:tcPr>
                <w:p>
                  <w:pPr>
                    <w:pStyle w:val="Normal"/>
                    <w:keepLines w:val="on"/>
                  </w:pPr>
                  <w:r>
                    <w:t>9,60%</w:t>
                  </w:r>
                </w:p>
              </w:tc>
              <w:tc>
                <w:tcPr>
                  <w:tcW w:type="auto" w:w="0"/>
                  <w:shd w:val="clear" w:color="auto" w:fill="F0F0F0"/>
                </w:tcPr>
                <w:p>
                  <w:pPr>
                    <w:pStyle w:val="Normal"/>
                    <w:keepLines w:val="on"/>
                  </w:pPr>
                  <w:r>
                    <w:t>51,25%</w:t>
                  </w:r>
                </w:p>
              </w:tc>
              <w:tc>
                <w:tcPr>
                  <w:tcW w:type="auto" w:w="0"/>
                  <w:shd w:val="clear" w:color="auto" w:fill="F0F0F0"/>
                </w:tcPr>
                <w:p>
                  <w:pPr>
                    <w:pStyle w:val="Normal"/>
                    <w:keepLines w:val="on"/>
                  </w:pPr>
                  <w:r>
                    <w:t>8,86%</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4,87%</w:t>
                  </w:r>
                </w:p>
              </w:tc>
              <w:tc>
                <w:tcPr>
                  <w:tcW w:type="auto" w:w="0"/>
                  <w:shd w:val="clear" w:color="auto" w:fill="F0F0F0"/>
                </w:tcPr>
                <w:p>
                  <w:pPr>
                    <w:pStyle w:val="Normal"/>
                    <w:keepLines w:val="on"/>
                  </w:pPr>
                  <w:r>
                    <w:t>65,43%</w:t>
                  </w:r>
                </w:p>
              </w:tc>
              <w:tc>
                <w:tcPr>
                  <w:tcW w:type="auto" w:w="0"/>
                  <w:shd w:val="clear" w:color="auto" w:fill="F0F0F0"/>
                </w:tcPr>
                <w:p>
                  <w:pPr>
                    <w:pStyle w:val="Normal"/>
                    <w:keepLines w:val="on"/>
                  </w:pPr>
                  <w:r>
                    <w:t>9,73%</w:t>
                  </w:r>
                </w:p>
              </w:tc>
              <w:tc>
                <w:tcPr>
                  <w:tcW w:type="auto" w:w="0"/>
                  <w:shd w:val="clear" w:color="auto" w:fill="F0F0F0"/>
                </w:tcPr>
                <w:p>
                  <w:pPr>
                    <w:pStyle w:val="Normal"/>
                    <w:keepLines w:val="on"/>
                  </w:pPr>
                  <w:r>
                    <w:t>5,16%</w:t>
                  </w:r>
                </w:p>
              </w:tc>
              <w:tc>
                <w:tcPr>
                  <w:tcW w:type="auto" w:w="0"/>
                  <w:shd w:val="clear" w:color="auto" w:fill="F0F0F0"/>
                </w:tcPr>
                <w:p>
                  <w:pPr>
                    <w:pStyle w:val="Normal"/>
                    <w:keepLines w:val="on"/>
                  </w:pPr>
                  <w:r>
                    <w:t>38,00%</w:t>
                  </w:r>
                </w:p>
              </w:tc>
              <w:tc>
                <w:tcPr>
                  <w:tcW w:type="auto" w:w="0"/>
                  <w:shd w:val="clear" w:color="auto" w:fill="F0F0F0"/>
                </w:tcPr>
                <w:p>
                  <w:pPr>
                    <w:pStyle w:val="Normal"/>
                    <w:keepLines w:val="on"/>
                  </w:pPr>
                  <w:r>
                    <w:t>9,62%</w:t>
                  </w:r>
                </w:p>
              </w:tc>
              <w:tc>
                <w:tcPr>
                  <w:tcW w:type="auto" w:w="0"/>
                  <w:shd w:val="clear" w:color="auto" w:fill="F0F0F0"/>
                </w:tcPr>
                <w:p>
                  <w:pPr>
                    <w:pStyle w:val="Normal"/>
                    <w:keepLines w:val="on"/>
                  </w:pPr>
                  <w:r>
                    <w:t>6,80%</w:t>
                  </w:r>
                </w:p>
              </w:tc>
              <w:tc>
                <w:tcPr>
                  <w:tcW w:type="auto" w:w="0"/>
                  <w:shd w:val="clear" w:color="auto" w:fill="F0F0F0"/>
                </w:tcPr>
                <w:p>
                  <w:pPr>
                    <w:pStyle w:val="Normal"/>
                    <w:keepLines w:val="on"/>
                  </w:pPr>
                  <w:r>
                    <w:t>38,96%</w:t>
                  </w:r>
                </w:p>
              </w:tc>
              <w:tc>
                <w:tcPr>
                  <w:tcW w:type="auto" w:w="0"/>
                  <w:shd w:val="clear" w:color="auto" w:fill="F0F0F0"/>
                </w:tcPr>
                <w:p>
                  <w:pPr>
                    <w:pStyle w:val="Normal"/>
                    <w:keepLines w:val="on"/>
                  </w:pPr>
                  <w:r>
                    <w:t>8,70%</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75,00%</w:t>
                  </w:r>
                </w:p>
              </w:tc>
              <w:tc>
                <w:tcPr>
                  <w:tcW w:type="auto" w:w="0"/>
                  <w:shd w:val="clear" w:color="auto" w:fill="F0F0F0"/>
                </w:tcPr>
                <w:p>
                  <w:pPr>
                    <w:pStyle w:val="Normal"/>
                    <w:keepLines w:val="on"/>
                  </w:pPr>
                  <w:r>
                    <w:t>9,67%</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9,62%</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26,67%</w:t>
                  </w:r>
                </w:p>
              </w:tc>
              <w:tc>
                <w:tcPr>
                  <w:tcW w:type="auto" w:w="0"/>
                  <w:shd w:val="clear" w:color="auto" w:fill="F0F0F0"/>
                </w:tcPr>
                <w:p>
                  <w:pPr>
                    <w:pStyle w:val="Normal"/>
                    <w:keepLines w:val="on"/>
                  </w:pPr>
                  <w:r>
                    <w:t>8,54%</w:t>
                  </w:r>
                </w:p>
              </w:tc>
            </w:tr>
          </w:tbl>
          <w:p/>
        </w:tc>
      </w:tr>
    </w:tbl>
    <w:p>
      <w:pPr>
        <w:pStyle w:val="Para 04"/>
        <w:keepLines w:val="on"/>
      </w:pPr>
      <w:r>
        <w:t>Với cả ba công ty, đúng như kỳ vọng, khi tăng trưởng giảm thì tỷ lệ tái đầu tư cũng giảm theo, từ năm thứ 6 đến năm thứ 10. Với JP Morgan, việc tái đầu tư thấp hơn đó thể hiện dưới dạng tỷ lệ chi trả cổ tức tăng lên khi tăng trưởng giảm xuống.</w:t>
      </w:r>
    </w:p>
    <w:p>
      <w:pPr>
        <w:pStyle w:val="Para 11"/>
      </w:pPr>
      <w:r>
        <w:t xml:space="preserve"> </w:t>
      </w:r>
      <w:r>
        <w:rPr>
          <w:rStyle w:val="Text26"/>
        </w:rPr>
        <w:bookmarkStart w:id="2286" w:name="Page_357"/>
        <w:t/>
        <w:bookmarkEnd w:id="2286"/>
      </w:r>
      <w:r>
        <w:t xml:space="preserve"> </w:t>
      </w:r>
    </w:p>
    <w:p>
      <w:bookmarkStart w:id="2287" w:name="Extraordinary_Growth_Periods_Wit_1"/>
      <w:bookmarkStart w:id="2288" w:name="Extraordinary_Growth_Periods_Wit"/>
      <w:pPr>
        <w:keepNext/>
        <w:pStyle w:val="Para 27"/>
        <w:keepLines w:val="on"/>
      </w:pPr>
      <w:r>
        <w:t>Giai đoạn tăng trưởng phi thường không có tỷ lệ tăng trưởng cao hoặc tỷ lệ tăng trưởng âm</w:t>
      </w:r>
      <w:bookmarkEnd w:id="2287"/>
      <w:bookmarkEnd w:id="2288"/>
    </w:p>
    <w:p>
      <w:pPr>
        <w:pStyle w:val="Para 16"/>
        <w:keepLines w:val="on"/>
      </w:pPr>
      <w:r>
        <w:t>Liệu bạn có thể có những giai đoạn tăng trưởng phi thường đối với các công ty có tỷ lệ tăng trưởng kỳ vọng nhỏ hơn hoặc bằng tỷ lệ tăng trưởng của nền kinh tế không? Câu trả lời là có, đối với một số công ty. Điều này là bởi vì tăng trưởng ổn định không chỉ đòi hỏi tỷ lệ tăng trưởng phải nhỏ hơn tỷ lệ tăng trưởng của nền kinh tế, mà còn đòi hỏi các yếu tố đầu vào khác trong việc định giá cũng phải phù hợp với một công ty tăng trưởng ổn định. Ví dụ, hãy xem xét một công ty có thu nhập hoạt động đang tăng 2% mỗi năm, nhưng tỷ suất sinh lợi trên vốn hiện tại là 20% và beta là 1,5. Bạn vẫn sẽ cần một giai đoạn chuyển tiếp trong đó tỷ suất sinh lợi trên vốn giảm xuống mức bền vững hơn (giả sử 12%) và beta tiến dần về 1.</w:t>
      </w:r>
    </w:p>
    <w:p>
      <w:pPr>
        <w:pStyle w:val="Para 16"/>
        <w:keepLines w:val="on"/>
      </w:pPr>
      <w:r>
        <w:t>Tương tự như vậy, bạn có thể có một giai đoạn tăng trưởng phi thường trong đó tỷ lệ tăng trưởng nhỏ hơn tỷ lệ tăng trưởng ổn định, rồi sau đó tăng lên mức tăng trưởng ổn định. Ví dụ, bạn có thể có một công ty được kỳ vọng sẽ chứng kiến thu nhập của mình giảm 5% mỗi năm trong năm năm tới (đây sẽ là giai đoạn tăng trưởng phi thường) và tăng trưởng 2% sau đó.</w:t>
      </w:r>
    </w:p>
    <w:p>
      <w:bookmarkStart w:id="2289" w:name="The_Survival_Issue"/>
      <w:bookmarkStart w:id="2290" w:name="The_Survival_Issue__Implicit_in"/>
      <w:pPr>
        <w:keepNext/>
        <w:pStyle w:val="Heading 2"/>
        <w:keepLines w:val="on"/>
      </w:pPr>
      <w:r>
        <w:t>Vấn đề tồn tại</w:t>
      </w:r>
      <w:bookmarkEnd w:id="2289"/>
      <w:bookmarkEnd w:id="2290"/>
    </w:p>
    <w:p>
      <w:pPr>
        <w:pStyle w:val="Para 03"/>
      </w:pPr>
      <w:r>
        <w:t>Ẩn chứa trong việc sử dụng giá trị cuối kỳ (terminal value) trong định giá dòng tiền chiết khấu là giả định rằng giá trị của một công ty đến từ việc nó là một thực thể hoạt động liên tục với vòng đời vĩnh viễn. Đối với nhiều công ty rủi ro, có khả năng rất thực tế rằng chúng có thể không còn tồn tại trong 5 hoặc 10 năm nữa, với thu nhập biến động và công nghệ thay đổi liên tục. Liệu việc định giá có nên phản ánh khả năng thất bại này không, và nếu có, làm thế nào để đưa khả năng một công ty không tồn tại được vào trong việc định giá?</w:t>
      </w:r>
    </w:p>
    <w:p>
      <w:bookmarkStart w:id="2291" w:name="Life_Cycle_and_Firm_Survival__Th"/>
      <w:bookmarkStart w:id="2292" w:name="Life_Cycle_and_Firm_Survival"/>
      <w:pPr>
        <w:keepNext/>
        <w:pStyle w:val="Heading 3"/>
        <w:keepLines w:val="on"/>
      </w:pPr>
      <w:r>
        <w:t>Vòng đời và sự tồn tại của công ty</w:t>
      </w:r>
      <w:bookmarkEnd w:id="2291"/>
      <w:bookmarkEnd w:id="2292"/>
    </w:p>
    <w:p>
      <w:pPr>
        <w:pStyle w:val="Para 03"/>
      </w:pPr>
      <w:r>
        <w:t>Có một mối liên hệ giữa vị trí của một công ty trong vòng đời và sự tồn tại của nó. Những công ty non trẻ với thu nhập và dòng tiền âm có thể gặp phải vấn đề dòng tiền nghiêm trọng và cuối cùng bị các công ty có nhiều nguồn lực hơn thâu tóm với giá rẻ như cho. Tại sao các công ty non trẻ lại dễ gặp vấn đề này hơn? Dòng tiền âm từ hoạt động kinh doanh, khi kết hợp với nhu cầu tái đầu tư đáng kể, có thể dẫn đến việc cạn kiệt nhanh chóng nguồn dự trữ tiền mặt. Khi thị trường tài chính dễ tiếp cận và có thể huy động thêm vốn cổ phần (hoặc nợ) theo ý muốn, thì việc huy động thêm vốn để đáp ứng các nhu cầu tài trợ này không phải là vấn đề. Tuy nhiên, khi giá cổ phiếu giảm và khả năng tiếp cận thị trường trở nên hạn chế hơn, những công ty này có thể gặp rắc rối.</w:t>
      </w:r>
    </w:p>
    <w:p>
      <w:pPr>
        <w:pStyle w:val="Para 03"/>
      </w:pPr>
      <w:r>
        <w:t>Một thước đo được sử dụng rộng rãi để đánh giá khả năng gặp vấn đề dòng tiền đối với các công ty có thu nhập âm là tỷ lệ đốt tiền (cash burn ratio), được ước tính bằng số dư tiền mặt của công ty chia cho thu nhập trước lãi vay, thuế, khấu hao và phân bổ (EBITDA).</w:t>
      </w:r>
    </w:p>
    <w:p>
      <w:bookmarkStart w:id="2293" w:name="Cash_burn_ratio_Cash_balanceEBIT"/>
      <w:pPr>
        <w:keepNext/>
        <w:pStyle w:val="Para 09"/>
        <w:keepLines w:val="on"/>
      </w:pPr>
      <w:r>
        <w:t>Tỷ lệ đốt tiền = Số dư tiền mặt / EBITDA</w:t>
      </w:r>
      <w:bookmarkEnd w:id="2293"/>
    </w:p>
    <w:p>
      <w:pPr>
        <w:pStyle w:val="Para 03"/>
      </w:pPr>
      <w:r>
        <w:t>trong đó EBITDA là một số âm, và giá trị tuyệt đối của EBITDA được sử dụng để ước tính tỷ lệ này. Như vậy, một công ty có số dư tiền mặt 1 tỷ đô la và EBITDA là –1,5 tỷ đô la sẽ đốt hết số dư tiền mặt của mình trong tám tháng.</w:t>
      </w:r>
    </w:p>
    <w:p>
      <w:bookmarkStart w:id="2295" w:name="Likelihood_of_Failure_and_Valuat_1"/>
      <w:bookmarkStart w:id="2296" w:name="Likelihood_of_Failure_and_Valuat"/>
      <w:pPr>
        <w:keepNext/>
        <w:pStyle w:val="Heading 3"/>
        <w:keepLines w:val="on"/>
      </w:pPr>
      <w:r>
        <w:t>Khả năng thất bại và việc định giá</w:t>
      </w:r>
      <w:bookmarkEnd w:id="2295"/>
      <w:bookmarkEnd w:id="2296"/>
    </w:p>
    <w:p>
      <w:pPr>
        <w:pStyle w:val="Para 03"/>
      </w:pPr>
      <w:r>
        <w:t>Một quan điểm về sự tồn tại cho rằng dòng tiền kỳ vọng mà bạn sử dụng trong việc định giá phản ánh dòng tiền trong một loạt các kịch bản từ rất tốt đến tồi tệ nhất cùng với xác suất xảy ra của các kịch bản đó. Do đó, giá trị kỳ vọng đã bao hàm sẵn khả năng công ty sẽ không tồn tại. Mọi rủi ro thị trường gắn liền với sự tồn tại hay thất bại đều được giả định là đã được đưa vào chi phí vốn. Những công ty có khả năng thất bại cao do đó sẽ có tỷ lệ chiết khấu cao hơn và dòng tiền kỳ vọng thấp hơn.</w:t>
      </w:r>
    </w:p>
    <w:p>
      <w:pPr>
        <w:pStyle w:val="Para 03"/>
      </w:pPr>
      <w:r>
        <w:t>Một quan điểm khác về sự tồn tại cho rằng việc định giá dòng tiền chiết khấu có xu hướng thiên vị lạc quan, và khả năng công ty sẽ không tồn tại chưa được xem xét thỏa đáng trong giá trị. Với quan điểm này, giá trị dòng tiền chiết khấu rút ra từ phân tích ở phần trước đã phóng đại giá trị của tài sản hoạt động và phải được điều chỉnh để phản ánh khả năng công ty sẽ không tồn tại để mang lại giá trị cuối kỳ của mình, hoặc thậm chí cả những dòng tiền dương mà bạn đã dự báo trong những năm tới.</w:t>
      </w:r>
    </w:p>
    <w:p>
      <w:bookmarkStart w:id="2297" w:name="Should_You_or_Should_You_Not_Adj_1"/>
      <w:bookmarkStart w:id="2298" w:name="Should_You_or_Should_You_Not_Adj"/>
      <w:pPr>
        <w:keepNext/>
        <w:pStyle w:val="Heading 3"/>
        <w:keepLines w:val="on"/>
      </w:pPr>
      <w:r>
        <w:t>Bạn có nên hay không nên điều chỉnh giá trị theo khả năng tồn tại?</w:t>
      </w:r>
      <w:bookmarkEnd w:id="2297"/>
      <w:bookmarkEnd w:id="2298"/>
    </w:p>
    <w:p>
      <w:pPr>
        <w:pStyle w:val="Para 03"/>
      </w:pPr>
      <w:r>
        <w:t>Đối với những công ty có tài sản hiện hữu đáng kể và xác suất rơi vào tình trạng khó khăn tương đối nhỏ, quan điểm thứ nhất là phù hợp hơn. Việc áp thêm một khoản chiết khấu cho việc không tồn tại chính là tính trùng rủi ro hai lần.</w:t>
      </w:r>
    </w:p>
    <w:p>
      <w:pPr>
        <w:pStyle w:val="Para 03"/>
      </w:pPr>
      <w:r>
        <w:t>Đối với những công ty non trẻ và nhỏ hơn, đây là một quyết định khó hơn và phụ thuộc vào việc dòng tiền kỳ vọng có bao hàm xác suất rằng những công ty này có thể không vượt qua được vài năm đầu tiên hay không. Nếu có, thì việc định giá đã phản ánh khả năng các công ty sẽ không tồn tại qua vài năm đầu tiên. Nếu không, thì bạn thực sự phải chiết khấu giá trị theo khả năng công ty sẽ không tồn tại trong tương lai gần. Một cách để ước tính khoản chiết khấu này là ước tính xác suất thất bại, và điều chỉnh giá trị tài sản hoạt động theo xác suất này:</w:t>
      </w:r>
    </w:p>
    <w:p>
      <w:bookmarkStart w:id="2299" w:name="Adjusted_value_Discounted_cash_f"/>
      <w:pPr>
        <w:keepNext/>
        <w:pStyle w:val="Para 09"/>
        <w:keepLines w:val="on"/>
      </w:pPr>
      <w:r>
        <w:t>Giá trị điều chỉnh = Giá trị dòng tiền chiết khấu × (1 − Xác suất rơi vào tình trạng khó khăn) + Giá trị bán tháo khi khó khăn × (Xác suất rơi vào tình trạng khó khăn)</w:t>
      </w:r>
      <w:bookmarkEnd w:id="2299"/>
    </w:p>
    <w:p>
      <w:pPr>
        <w:pStyle w:val="Para 03"/>
      </w:pPr>
      <w:r>
        <w:t>Với một công ty có giá trị dòng tiền chiết khấu của tài sản là 1 tỷ đô la, giá trị bán tháo khi khó khăn là 500 triệu đô la và xác suất rơi vào tình trạng khó khăn là 20 phần trăm, giá trị điều chỉnh sẽ là 900 triệu đô la:</w:t>
      </w:r>
    </w:p>
    <w:p>
      <w:bookmarkStart w:id="2300" w:name="Adjusted_value__1_000x__8___500x"/>
      <w:pPr>
        <w:keepNext/>
        <w:pStyle w:val="Para 09"/>
        <w:keepLines w:val="on"/>
      </w:pPr>
      <w:r>
        <w:t>Giá trị điều chỉnh = $1.000 × (.8) + $500 × (.2) = $900 triệu</w:t>
      </w:r>
      <w:bookmarkEnd w:id="2300"/>
    </w:p>
    <w:p>
      <w:pPr>
        <w:pStyle w:val="Para 03"/>
      </w:pPr>
      <w:r>
        <w:t>Có hai điểm đáng lưu ý ở đây. Chính việc không thể tồn tại được không phải là nguyên nhân gây ra mất giá trị, mà là việc giá trị bán tháo khi khó khăn thấp hơn giá trị hợp lý. Điểm thứ hai là cách tiếp cận này đòi hỏi phải ước tính xác suất thất bại. Xác suất này rất khó ước tính, vì nó sẽ phụ thuộc vào cả quy mô dự trữ tiền mặt của công ty (so với nhu cầu tiền mặt của nó) và tình trạng của thị trường. Trong các thị trường chứng khoán sôi động, ngay cả những công ty có ít hoặc không có tiền mặt cũng có thể tồn tại vì họ có thể tiếp cận thị trường để huy động thêm vốn. Trong điều kiện thị trường tiêu cực hơn, ngay cả những công ty có số dư tiền mặt đáng kể cũng có thể thấy mình bị đe dọa.</w:t>
      </w:r>
    </w:p>
    <w:p>
      <w:bookmarkStart w:id="2302" w:name="Estimating_The_Probability_of_Di"/>
      <w:bookmarkStart w:id="2303" w:name="Estimating_The_Probability_of_Di_1"/>
      <w:pPr>
        <w:keepNext/>
        <w:pStyle w:val="Heading 3"/>
        <w:keepLines w:val="on"/>
      </w:pPr>
      <w:r>
        <w:t>Ước Tính Xác Suất Rơi Vào Tình Trạng Khó Khăn</w:t>
      </w:r>
      <w:bookmarkEnd w:id="2302"/>
      <w:bookmarkEnd w:id="2303"/>
    </w:p>
    <w:p>
      <w:pPr>
        <w:pStyle w:val="Para 03"/>
      </w:pPr>
      <w:r>
        <w:t>Có ba cách để chúng ta có thể ước tính xác suất một công ty sẽ không tồn tại được.</w:t>
      </w:r>
    </w:p>
    <w:p>
      <w:pPr>
        <w:numPr>
          <w:ilvl w:val="0"/>
          <w:numId w:val="108"/>
        </w:numPr>
        <w:pStyle w:val="Para 01"/>
      </w:pPr>
      <w:r>
        <w:t>Thống kê: Một cách là dựa vào quá khứ, xem xét các công ty đã thất bại, so sánh chúng với những công ty không thất bại, và tìm kiếm các biến số dường như phân biệt chúng. Ví dụ, những công ty có tỷ lệ nợ cao và dòng tiền từ hoạt động kinh doanh âm có thể có khả năng thất bại cao hơn những công ty không có những đặc điểm này. Trên thực tế, bạn có thể sử dụng các kỹ thuật thống kê như probit (mô hình xác suất) để ước tính xác suất một công ty sẽ thất bại. Để chạy một probit, bạn sẽ bắt đầu, chẳng hạn, với tất cả các công ty niêm yết vào năm 1990 và các đặc điểm tài chính của chúng, xác định những công ty đã thất bại trong giai đoạn 1991–1999, rồi ước tính xác suất thất bại như một hàm của các biến số có thể quan sát được vào năm 1990. Kết quả đầu ra, giống như kết quả của hồi quy, sau đó sẽ cho phép bạn ước tính xác suất vỡ nợ cho bất kỳ công ty nào ngày nay.</w:t>
      </w:r>
    </w:p>
    <w:p>
      <w:pPr>
        <w:numPr>
          <w:ilvl w:val="0"/>
          <w:numId w:val="108"/>
        </w:numPr>
        <w:pStyle w:val="Para 01"/>
      </w:pPr>
      <w:r>
        <w:t>Thực nghiệm: Cục Thống kê Lao động duy trì một cơ sở dữ liệu về các công ty được thành lập và theo dõi sự tồn tại của chúng theo thời gian. Trong bản cập nhật năm 2022 của họ, chẳng hạn, họ đã ước tính khả năng tồn tại của các công ty được thành lập vào năm 2006 cho các khoảng thời gian lên tới 15 năm, được phân chia theo nhóm ngành kinh doanh rộng trong Hình 12.2.</w:t>
      </w:r>
    </w:p>
    <w:p>
      <w:bookmarkStart w:id="2305" w:name="Figure_12_2_Failure__Survival__R"/>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1651000"/>
            <wp:effectExtent l="0" r="0" t="0" b="0"/>
            <wp:wrapTopAndBottom/>
            <wp:docPr id="114" name="c12f002.png" descr="Multiple bar graph plots the failure rate through year 1 to year 15 (in percent) by business grouping."/>
            <wp:cNvGraphicFramePr>
              <a:graphicFrameLocks noChangeAspect="1"/>
            </wp:cNvGraphicFramePr>
            <a:graphic>
              <a:graphicData uri="http://schemas.openxmlformats.org/drawingml/2006/picture">
                <pic:pic>
                  <pic:nvPicPr>
                    <pic:cNvPr id="0" name="c12f002.png" descr="Multiple bar graph plots the failure rate through year 1 to year 15 (in percent) by business grouping."/>
                    <pic:cNvPicPr/>
                  </pic:nvPicPr>
                  <pic:blipFill>
                    <a:blip r:embed="rId84"/>
                    <a:stretch>
                      <a:fillRect/>
                    </a:stretch>
                  </pic:blipFill>
                  <pic:spPr>
                    <a:xfrm>
                      <a:off x="0" y="0"/>
                      <a:ext cx="2425700" cy="1651000"/>
                    </a:xfrm>
                    <a:prstGeom prst="rect">
                      <a:avLst/>
                    </a:prstGeom>
                  </pic:spPr>
                </pic:pic>
              </a:graphicData>
            </a:graphic>
          </wp:anchor>
        </w:drawing>
      </w:r>
      <w:bookmarkEnd w:id="2305"/>
    </w:p>
    <w:p>
      <w:pPr>
        <w:keepNext/>
        <w:pStyle w:val="Para 22"/>
        <w:keepLines w:val="on"/>
      </w:pPr>
      <w:r>
        <w:t>Hình 12.2 Tỷ Lệ Thất Bại (Tồn Tại) theo Nhóm Ngành Kinh Doanh</w:t>
      </w:r>
    </w:p>
    <w:p>
      <w:pPr>
        <w:numPr>
          <w:ilvl w:val="0"/>
          <w:numId w:val="109"/>
        </w:numPr>
        <w:pStyle w:val="Para 01"/>
      </w:pPr>
      <w:r>
        <w:t>Xếp hạng trái phiếu: Cách thứ ba để ước tính xác suất vỡ nợ là sử dụng xếp hạng trái phiếu của công ty, nếu có. Ví dụ, giả sử công ty đang xét có xếp hạng B. Một khảo sát thực nghiệm về các trái phiếu xếp hạng B trong thập kỷ qua cho thấy khả năng vỡ nợ với xếp hạng này là 23,74 phần trăm, như có thể thấy trong bảng liệt kê xác suất vỡ nợ theo nhóm xếp hạng.5</w:t>
      </w:r>
    </w:p>
    <w:tbl>
      <w:tblPr>
        <w:tblW w:type="auto" w:w="0"/>
      </w:tblPr>
      <w:tr>
        <w:tc>
          <w:tcPr>
            <w:tcW w:type="auto" w:w="0"/>
          </w:tcPr>
          <w:tbl>
            <w:tblPr>
              <w:tblW w:type="auto" w:w="0"/>
            </w:tblPr>
            <w:tr>
              <w:tc>
                <w:tcPr>
                  <w:tcW w:type="auto" w:w="0"/>
                  <w:shd w:val="clear" w:color="auto" w:fill="F0F0F0"/>
                  <w:hMerge w:val="restart"/>
                </w:tcPr>
                <w:p>
                  <w:pPr>
                    <w:pStyle w:val="Para 17"/>
                    <w:keepLines w:val="on"/>
                  </w:pPr>
                  <w:r>
                    <w:t>Xác suất vỡ nợ theo thời gian (khung thời gian 1–10 năm)</w:t>
                  </w:r>
                </w:p>
              </w:tc>
              <w:tc>
                <w:tcPr>
                  <w:hMerge w:val="continue"/>
                </w:tcPr>
                <w:p/>
              </w:tc>
              <w:tc>
                <w:tcPr>
                  <w:hMerge w:val="continue"/>
                </w:tcPr>
                <w:p/>
              </w:tc>
              <w:tc>
                <w:tcPr>
                  <w:hMerge w:val="continue"/>
                </w:tcPr>
                <w:p/>
              </w:tc>
            </w:tr>
            <w:tr>
              <w:tc>
                <w:tcPr>
                  <w:tcW w:type="auto" w:w="0"/>
                  <w:shd w:val="clear" w:color="auto" w:fill="F0F0F0"/>
                </w:tcPr>
                <w:p>
                  <w:pPr>
                    <w:pStyle w:val="Para 02"/>
                    <w:keepLines w:val="on"/>
                  </w:pPr>
                  <w:r>
                    <w:t>Xếp hạng</w:t>
                  </w:r>
                </w:p>
              </w:tc>
              <w:tc>
                <w:tcPr>
                  <w:tcW w:type="auto" w:w="0"/>
                  <w:shd w:val="clear" w:color="auto" w:fill="F0F0F0"/>
                </w:tcPr>
                <w:p>
                  <w:pPr>
                    <w:pStyle w:val="Normal"/>
                    <w:keepLines w:val="on"/>
                  </w:pPr>
                  <w:r>
                    <w:t>1</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10</w:t>
                  </w:r>
                </w:p>
              </w:tc>
            </w:tr>
            <w:tr>
              <w:tc>
                <w:tcPr>
                  <w:tcW w:type="auto" w:w="0"/>
                  <w:shd w:val="clear" w:color="auto" w:fill="F0F0F0"/>
                </w:tcPr>
                <w:p>
                  <w:pPr>
                    <w:pStyle w:val="Para 02"/>
                    <w:keepLines w:val="on"/>
                  </w:pPr>
                  <w:r>
                    <w:t>AAA</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0,35%</w:t>
                  </w:r>
                </w:p>
              </w:tc>
              <w:tc>
                <w:tcPr>
                  <w:tcW w:type="auto" w:w="0"/>
                  <w:shd w:val="clear" w:color="auto" w:fill="F0F0F0"/>
                </w:tcPr>
                <w:p>
                  <w:pPr>
                    <w:pStyle w:val="Normal"/>
                    <w:keepLines w:val="on"/>
                  </w:pPr>
                  <w:r>
                    <w:t>0,70%</w:t>
                  </w:r>
                </w:p>
              </w:tc>
            </w:tr>
            <w:tr>
              <w:tc>
                <w:tcPr>
                  <w:tcW w:type="auto" w:w="0"/>
                  <w:shd w:val="clear" w:color="auto" w:fill="F0F0F0"/>
                </w:tcPr>
                <w:p>
                  <w:pPr>
                    <w:pStyle w:val="Para 02"/>
                    <w:keepLines w:val="on"/>
                  </w:pPr>
                  <w:r>
                    <w:t>AA</w:t>
                  </w:r>
                </w:p>
              </w:tc>
              <w:tc>
                <w:tcPr>
                  <w:tcW w:type="auto" w:w="0"/>
                  <w:shd w:val="clear" w:color="auto" w:fill="F0F0F0"/>
                </w:tcPr>
                <w:p>
                  <w:pPr>
                    <w:pStyle w:val="Normal"/>
                    <w:keepLines w:val="on"/>
                  </w:pPr>
                  <w:r>
                    <w:t>0,02%</w:t>
                  </w:r>
                </w:p>
              </w:tc>
              <w:tc>
                <w:tcPr>
                  <w:tcW w:type="auto" w:w="0"/>
                  <w:shd w:val="clear" w:color="auto" w:fill="F0F0F0"/>
                </w:tcPr>
                <w:p>
                  <w:pPr>
                    <w:pStyle w:val="Normal"/>
                    <w:keepLines w:val="on"/>
                  </w:pPr>
                  <w:r>
                    <w:t>0,31%</w:t>
                  </w:r>
                </w:p>
              </w:tc>
              <w:tc>
                <w:tcPr>
                  <w:tcW w:type="auto" w:w="0"/>
                  <w:shd w:val="clear" w:color="auto" w:fill="F0F0F0"/>
                </w:tcPr>
                <w:p>
                  <w:pPr>
                    <w:pStyle w:val="Normal"/>
                    <w:keepLines w:val="on"/>
                  </w:pPr>
                  <w:r>
                    <w:t>0,72%</w:t>
                  </w:r>
                </w:p>
              </w:tc>
            </w:tr>
            <w:tr>
              <w:tc>
                <w:tcPr>
                  <w:tcW w:type="auto" w:w="0"/>
                  <w:shd w:val="clear" w:color="auto" w:fill="F0F0F0"/>
                </w:tcPr>
                <w:p>
                  <w:pPr>
                    <w:pStyle w:val="Para 02"/>
                    <w:keepLines w:val="on"/>
                  </w:pPr>
                  <w:r>
                    <w:t>A</w:t>
                  </w:r>
                </w:p>
              </w:tc>
              <w:tc>
                <w:tcPr>
                  <w:tcW w:type="auto" w:w="0"/>
                  <w:shd w:val="clear" w:color="auto" w:fill="F0F0F0"/>
                </w:tcPr>
                <w:p>
                  <w:pPr>
                    <w:pStyle w:val="Normal"/>
                    <w:keepLines w:val="on"/>
                  </w:pPr>
                  <w:r>
                    <w:t>0,05%</w:t>
                  </w:r>
                </w:p>
              </w:tc>
              <w:tc>
                <w:tcPr>
                  <w:tcW w:type="auto" w:w="0"/>
                  <w:shd w:val="clear" w:color="auto" w:fill="F0F0F0"/>
                </w:tcPr>
                <w:p>
                  <w:pPr>
                    <w:pStyle w:val="Normal"/>
                    <w:keepLines w:val="on"/>
                  </w:pPr>
                  <w:r>
                    <w:t>0,47%</w:t>
                  </w:r>
                </w:p>
              </w:tc>
              <w:tc>
                <w:tcPr>
                  <w:tcW w:type="auto" w:w="0"/>
                  <w:shd w:val="clear" w:color="auto" w:fill="F0F0F0"/>
                </w:tcPr>
                <w:p>
                  <w:pPr>
                    <w:pStyle w:val="Normal"/>
                    <w:keepLines w:val="on"/>
                  </w:pPr>
                  <w:r>
                    <w:t>1,24%</w:t>
                  </w:r>
                </w:p>
              </w:tc>
            </w:tr>
            <w:tr>
              <w:tc>
                <w:tcPr>
                  <w:tcW w:type="auto" w:w="0"/>
                  <w:shd w:val="clear" w:color="auto" w:fill="F0F0F0"/>
                </w:tcPr>
                <w:p>
                  <w:pPr>
                    <w:pStyle w:val="Para 02"/>
                    <w:keepLines w:val="on"/>
                  </w:pPr>
                  <w:r>
                    <w:t>BBB</w:t>
                  </w:r>
                </w:p>
              </w:tc>
              <w:tc>
                <w:tcPr>
                  <w:tcW w:type="auto" w:w="0"/>
                  <w:shd w:val="clear" w:color="auto" w:fill="F0F0F0"/>
                </w:tcPr>
                <w:p>
                  <w:pPr>
                    <w:pStyle w:val="Normal"/>
                    <w:keepLines w:val="on"/>
                  </w:pPr>
                  <w:r>
                    <w:t>0,16%</w:t>
                  </w:r>
                </w:p>
              </w:tc>
              <w:tc>
                <w:tcPr>
                  <w:tcW w:type="auto" w:w="0"/>
                  <w:shd w:val="clear" w:color="auto" w:fill="F0F0F0"/>
                </w:tcPr>
                <w:p>
                  <w:pPr>
                    <w:pStyle w:val="Normal"/>
                    <w:keepLines w:val="on"/>
                  </w:pPr>
                  <w:r>
                    <w:t>1,58%</w:t>
                  </w:r>
                </w:p>
              </w:tc>
              <w:tc>
                <w:tcPr>
                  <w:tcW w:type="auto" w:w="0"/>
                  <w:shd w:val="clear" w:color="auto" w:fill="F0F0F0"/>
                </w:tcPr>
                <w:p>
                  <w:pPr>
                    <w:pStyle w:val="Normal"/>
                    <w:keepLines w:val="on"/>
                  </w:pPr>
                  <w:r>
                    <w:t>3,32%</w:t>
                  </w:r>
                </w:p>
              </w:tc>
            </w:tr>
            <w:tr>
              <w:tc>
                <w:tcPr>
                  <w:tcW w:type="auto" w:w="0"/>
                  <w:shd w:val="clear" w:color="auto" w:fill="F0F0F0"/>
                </w:tcPr>
                <w:p>
                  <w:pPr>
                    <w:pStyle w:val="Para 02"/>
                    <w:keepLines w:val="on"/>
                  </w:pPr>
                  <w:r>
                    <w:t>BB</w:t>
                  </w:r>
                </w:p>
              </w:tc>
              <w:tc>
                <w:tcPr>
                  <w:tcW w:type="auto" w:w="0"/>
                  <w:shd w:val="clear" w:color="auto" w:fill="F0F0F0"/>
                </w:tcPr>
                <w:p>
                  <w:pPr>
                    <w:pStyle w:val="Normal"/>
                    <w:keepLines w:val="on"/>
                  </w:pPr>
                  <w:r>
                    <w:t>0,61%</w:t>
                  </w:r>
                </w:p>
              </w:tc>
              <w:tc>
                <w:tcPr>
                  <w:tcW w:type="auto" w:w="0"/>
                  <w:shd w:val="clear" w:color="auto" w:fill="F0F0F0"/>
                </w:tcPr>
                <w:p>
                  <w:pPr>
                    <w:pStyle w:val="Normal"/>
                    <w:keepLines w:val="on"/>
                  </w:pPr>
                  <w:r>
                    <w:t>6,52%</w:t>
                  </w:r>
                </w:p>
              </w:tc>
              <w:tc>
                <w:tcPr>
                  <w:tcW w:type="auto" w:w="0"/>
                  <w:shd w:val="clear" w:color="auto" w:fill="F0F0F0"/>
                </w:tcPr>
                <w:p>
                  <w:pPr>
                    <w:pStyle w:val="Normal"/>
                    <w:keepLines w:val="on"/>
                  </w:pPr>
                  <w:r>
                    <w:t>11,78%</w:t>
                  </w:r>
                </w:p>
              </w:tc>
            </w:tr>
            <w:tr>
              <w:tc>
                <w:tcPr>
                  <w:tcW w:type="auto" w:w="0"/>
                  <w:shd w:val="clear" w:color="auto" w:fill="F0F0F0"/>
                </w:tcPr>
                <w:p>
                  <w:pPr>
                    <w:pStyle w:val="Para 02"/>
                    <w:keepLines w:val="on"/>
                  </w:pPr>
                  <w:r>
                    <w:t>B</w:t>
                  </w:r>
                </w:p>
              </w:tc>
              <w:tc>
                <w:tcPr>
                  <w:tcW w:type="auto" w:w="0"/>
                  <w:shd w:val="clear" w:color="auto" w:fill="F0F0F0"/>
                </w:tcPr>
                <w:p>
                  <w:pPr>
                    <w:pStyle w:val="Normal"/>
                    <w:keepLines w:val="on"/>
                  </w:pPr>
                  <w:r>
                    <w:t>3,33%</w:t>
                  </w:r>
                </w:p>
              </w:tc>
              <w:tc>
                <w:tcPr>
                  <w:tcW w:type="auto" w:w="0"/>
                  <w:shd w:val="clear" w:color="auto" w:fill="F0F0F0"/>
                </w:tcPr>
                <w:p>
                  <w:pPr>
                    <w:pStyle w:val="Normal"/>
                    <w:keepLines w:val="on"/>
                  </w:pPr>
                  <w:r>
                    <w:t>16,93%</w:t>
                  </w:r>
                </w:p>
              </w:tc>
              <w:tc>
                <w:tcPr>
                  <w:tcW w:type="auto" w:w="0"/>
                  <w:shd w:val="clear" w:color="auto" w:fill="F0F0F0"/>
                </w:tcPr>
                <w:p>
                  <w:pPr>
                    <w:pStyle w:val="Normal"/>
                    <w:keepLines w:val="on"/>
                  </w:pPr>
                  <w:r>
                    <w:t>23,74%</w:t>
                  </w:r>
                </w:p>
              </w:tc>
            </w:tr>
            <w:tr>
              <w:tc>
                <w:tcPr>
                  <w:tcW w:type="auto" w:w="0"/>
                  <w:shd w:val="clear" w:color="auto" w:fill="F0F0F0"/>
                </w:tcPr>
                <w:p>
                  <w:pPr>
                    <w:pStyle w:val="Para 02"/>
                    <w:keepLines w:val="on"/>
                  </w:pPr>
                  <w:r>
                    <w:t>CCC/C</w:t>
                  </w:r>
                </w:p>
              </w:tc>
              <w:tc>
                <w:tcPr>
                  <w:tcW w:type="auto" w:w="0"/>
                  <w:shd w:val="clear" w:color="auto" w:fill="F0F0F0"/>
                </w:tcPr>
                <w:p>
                  <w:pPr>
                    <w:pStyle w:val="Normal"/>
                    <w:keepLines w:val="on"/>
                  </w:pPr>
                  <w:r>
                    <w:t>27,08%</w:t>
                  </w:r>
                </w:p>
              </w:tc>
              <w:tc>
                <w:tcPr>
                  <w:tcW w:type="auto" w:w="0"/>
                  <w:shd w:val="clear" w:color="auto" w:fill="F0F0F0"/>
                </w:tcPr>
                <w:p>
                  <w:pPr>
                    <w:pStyle w:val="Normal"/>
                    <w:keepLines w:val="on"/>
                  </w:pPr>
                  <w:r>
                    <w:t>46,19%</w:t>
                  </w:r>
                </w:p>
              </w:tc>
              <w:tc>
                <w:tcPr>
                  <w:tcW w:type="auto" w:w="0"/>
                  <w:shd w:val="clear" w:color="auto" w:fill="F0F0F0"/>
                </w:tcPr>
                <w:p>
                  <w:pPr>
                    <w:pStyle w:val="Normal"/>
                    <w:keepLines w:val="on"/>
                  </w:pPr>
                  <w:r>
                    <w:t>50,38%</w:t>
                  </w:r>
                </w:p>
              </w:tc>
            </w:tr>
          </w:tbl>
          <w:p/>
        </w:tc>
      </w:tr>
    </w:tbl>
    <w:p>
      <w:pPr>
        <w:pStyle w:val="Para 03"/>
      </w:pPr>
      <w:r>
        <w:t>Cách tiếp cận này tuy đơn giản hơn, nhưng lại có hạn chế ở chỗ nó chỉ có thể áp dụng cho các công ty đã được xếp hạng, và nó giả định rằng các tiêu chuẩn mà các tổ chức xếp hạng sử dụng đã không thay đổi đáng kể theo thời gian.</w:t>
      </w:r>
    </w:p>
    <w:p>
      <w:bookmarkStart w:id="2308" w:name="Closing_Thoughts_on_Terminal_Val"/>
      <w:bookmarkStart w:id="2309" w:name="Closing_Thoughts_on_Terminal_Val_1"/>
      <w:pPr>
        <w:keepNext/>
        <w:pStyle w:val="Heading 2"/>
        <w:keepLines w:val="on"/>
      </w:pPr>
      <w:r>
        <w:t>Đôi điều suy ngẫm về giá trị cuối kỳ (Terminal Value)</w:t>
      </w:r>
      <w:bookmarkEnd w:id="2308"/>
      <w:bookmarkEnd w:id="2309"/>
    </w:p>
    <w:p>
      <w:pPr>
        <w:pStyle w:val="Para 03"/>
      </w:pPr>
      <w:r>
        <w:t>Vai trò của giá trị cuối kỳ trong định giá dòng tiền chiết khấu (discounted cash flow) thường là nguồn gốc của phần lớn những lời chỉ trích nhắm vào phương pháp dòng tiền chiết khấu.</w:t>
      </w:r>
    </w:p>
    <w:p>
      <w:pPr>
        <w:pStyle w:val="Para 03"/>
      </w:pPr>
      <w:r>
        <w:t>Những người chỉ trích phương pháp này lập luận rằng có quá lớn một phần giá trị dòng tiền chiết khấu đến từ giá trị cuối kỳ, và rằng thật dễ dàng để thao túng giá trị cuối kỳ nhằm tạo ra bất kỳ con số nào bạn muốn. Họ sai ở cả hai điểm. Đúng là một phần lớn giá trị của bất kỳ cổ phiếu hay vốn chủ sở hữu nào trong một doanh nghiệp đều đến từ giá trị cuối kỳ, nhưng sẽ thật đáng ngạc nhiên nếu điều đó không phải vậy. Khi bạn mua một cổ phiếu hay đầu tư vào vốn chủ sở hữu của một doanh nghiệp, hãy thử nghĩ xem bạn thu được lợi nhuận bằng cách nào. Giả sử khoản đầu tư của bạn là một khoản đầu tư tốt, phần lớn lợi nhuận không đến trong lúc bạn nắm giữ vốn chủ sở hữu (từ cổ tức hay các dòng tiền khác) mà đến khi bạn bán nó đi (từ việc giá tăng). Giá trị cuối kỳ được thiết kế để nắm bắt chính phần sau. Do đó, tiềm năng tăng trưởng của một doanh nghiệp càng lớn thì tỷ trọng giá trị đến từ giá trị cuối kỳ càng cao.</w:t>
      </w:r>
    </w:p>
    <w:p>
      <w:pPr>
        <w:pStyle w:val="Para 03"/>
      </w:pPr>
      <w:r>
        <w:t>Những huyền thoại xung quanh giá trị cuối kỳ thì rất nhiều, và Hình 12.3 tóm tắt những huyền thoại này cùng nỗ lực gạt bỏ chúng:</w:t>
      </w:r>
    </w:p>
    <w:p>
      <w:bookmarkStart w:id="2311" w:name="Figure_12_3_Myth_and_Reality_o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965200"/>
            <wp:effectExtent l="0" r="0" t="0" b="0"/>
            <wp:wrapTopAndBottom/>
            <wp:docPr id="115" name="c12f003.png" descr="Illustration depicts 5 myths and 5 truths on terminal value, with equation to calculate value of an asset with life greater than n years."/>
            <wp:cNvGraphicFramePr>
              <a:graphicFrameLocks noChangeAspect="1"/>
            </wp:cNvGraphicFramePr>
            <a:graphic>
              <a:graphicData uri="http://schemas.openxmlformats.org/drawingml/2006/picture">
                <pic:pic>
                  <pic:nvPicPr>
                    <pic:cNvPr id="0" name="c12f003.png" descr="Illustration depicts 5 myths and 5 truths on terminal value, with equation to calculate value of an asset with life greater than n years."/>
                    <pic:cNvPicPr/>
                  </pic:nvPicPr>
                  <pic:blipFill>
                    <a:blip r:embed="rId85"/>
                    <a:stretch>
                      <a:fillRect/>
                    </a:stretch>
                  </pic:blipFill>
                  <pic:spPr>
                    <a:xfrm>
                      <a:off x="0" y="0"/>
                      <a:ext cx="2438400" cy="965200"/>
                    </a:xfrm>
                    <a:prstGeom prst="rect">
                      <a:avLst/>
                    </a:prstGeom>
                  </pic:spPr>
                </pic:pic>
              </a:graphicData>
            </a:graphic>
          </wp:anchor>
        </w:drawing>
      </w:r>
      <w:bookmarkEnd w:id="2311"/>
    </w:p>
    <w:p>
      <w:pPr>
        <w:keepNext/>
        <w:pStyle w:val="Para 22"/>
        <w:keepLines w:val="on"/>
      </w:pPr>
      <w:r>
        <w:t>Hình 12.3 Huyền thoại và sự thật về giá trị cuối kỳ</w:t>
      </w:r>
    </w:p>
    <w:p>
      <w:pPr>
        <w:pStyle w:val="Para 03"/>
      </w:pPr>
      <w:r>
        <w:t>Liệu có dễ thao túng giá trị cuối kỳ không? Chúng tôi thừa nhận rằng giá trị cuối kỳ thường bị thao túng và dễ bị thao túng, nhưng đó là vì các nhà phân tích hoặc dùng bội số (multiples) để có được những giá trị này, hoặc vì họ vi phạm một trong hai (hoặc cả hai) mệnh đề cơ bản trong các mô hình tăng trưởng ổn định (stable growth models). Một là tốc độ tăng trưởng không thể vượt quá tốc độ tăng trưởng của nền kinh tế. Hai là các công ty phải tái đầu tư đủ trong giai đoạn tăng trưởng ổn định để tạo ra tốc độ tăng trưởng đó. Thực tế, như chúng tôi đã trình bày ở phần trước của chương này, chính những gì chúng ta giả định về lợi nhuận vượt trội (excess returns) kéo dài mãi mãi mới là yếu tố dẫn dắt giá trị, chứ không phải tốc độ tăng trưởng ổn định. Khi lợi nhuận vượt trội bằng không, những thay đổi trong tốc độ tăng trưởng ổn định không hề ảnh hưởng đến giá trị.</w:t>
      </w:r>
    </w:p>
    <w:p>
      <w:pPr>
        <w:pStyle w:val="Para 20"/>
      </w:pPr>
      <w:r>
        <w:rPr>
          <w:rStyle w:val="Text26"/>
        </w:rPr>
        <w:bookmarkStart w:id="2312" w:name="Page_361"/>
        <w:t/>
        <w:bookmarkEnd w:id="2312"/>
      </w:r>
      <w:r>
        <w:t xml:space="preserve"> </w:t>
      </w:r>
    </w:p>
    <w:p>
      <w:bookmarkStart w:id="2313" w:name="Conclusion__The_value_of_a_firm"/>
      <w:bookmarkStart w:id="2314" w:name="Conclusion_11"/>
      <w:pPr>
        <w:keepNext/>
        <w:pStyle w:val="Heading 2"/>
        <w:keepLines w:val="on"/>
      </w:pPr>
      <w:r>
        <w:t>Kết luận</w:t>
      </w:r>
      <w:bookmarkEnd w:id="2313"/>
      <w:bookmarkEnd w:id="2314"/>
    </w:p>
    <w:p>
      <w:pPr>
        <w:pStyle w:val="Para 03"/>
      </w:pPr>
      <w:r>
        <w:t>Giá trị của một doanh nghiệp là giá trị hiện tại của các dòng tiền kỳ vọng trong suốt vòng đời của nó. Vì doanh nghiệp có thể tồn tại vô hạn, bạn áp dụng việc "khép lại" (closure) cho một định giá bằng cách ước tính dòng tiền trong một khoảng thời gian, rồi ước tính giá trị của doanh nghiệp vào cuối khoảng thời gian đó — một giá trị cuối kỳ (terminal value). Nhiều nhà phân tích ước tính giá trị cuối kỳ bằng cách dùng bội số của lợi nhuận hoặc doanh thu trong năm ước tính cuối cùng, một cách làm không khả thi nếu bạn đang định giá nội tại (intrinsic value). Nếu bạn giả định doanh nghiệp tồn tại vô hạn, một cách tiếp cận nhất quán hơn với định giá dòng tiền chiết khấu (discounted cash flow valuation) là giả định rằng dòng tiền của doanh nghiệp sẽ tăng trưởng với tốc độ không đổi mãi mãi sau một thời điểm nào đó. Việc doanh nghiệp bạn đang định giá sẽ tiến tới tốc độ tăng trưởng này — mà bạn gọi là tốc độ tăng trưởng ổn định (stable growth rate) — vào lúc nào là một phần then chốt của bất kỳ định giá dòng tiền chiết khấu nào. Những doanh nghiệp nhỏ đang tăng trưởng nhanh và có lợi thế cạnh tranh đáng kể sẽ có thể tăng trưởng ở tốc độ cao trong khoảng thời gian dài hơn nhiều so với những doanh nghiệp lớn hơn và trưởng thành hơn mà không có những lợi thế cạnh tranh này. Nếu bạn không muốn giả định doanh nghiệp tồn tại vô hạn, bạn có thể ước tính giá trị thanh lý (liquidation value) dựa trên số tiền mà người khác sẽ trả cho những tài sản mà doanh nghiệp đã tích lũy trong giai đoạn tăng trưởng cao.</w:t>
      </w:r>
    </w:p>
    <w:p>
      <w:bookmarkStart w:id="2315" w:name="Questions_and_Short_Problems_12"/>
      <w:bookmarkStart w:id="2316" w:name="Questions_and_Short_Problems__In_6"/>
      <w:pPr>
        <w:keepNext/>
        <w:pStyle w:val="Heading 2"/>
        <w:keepLines w:val="on"/>
      </w:pPr>
      <w:r>
        <w:t>Câu hỏi và Bài tập ngắn</w:t>
      </w:r>
      <w:bookmarkEnd w:id="2315"/>
      <w:bookmarkEnd w:id="2316"/>
    </w:p>
    <w:p>
      <w:pPr>
        <w:pStyle w:val="Para 44"/>
      </w:pPr>
      <w:r>
        <w:t>Trong các bài tập sau, hãy sử dụng mức bù rủi ro vốn cổ phần (equity risk premium) là 5,5 phần trăm nếu không có quy định nào khác.</w:t>
      </w:r>
    </w:p>
    <w:p>
      <w:pPr>
        <w:numPr>
          <w:ilvl w:val="0"/>
          <w:numId w:val="110"/>
        </w:numPr>
        <w:pStyle w:val="Para 01"/>
      </w:pPr>
      <w:r>
        <w:t>Ulysses Inc. là một công ty vận tải biển với 100 triệu đô la lợi nhuận trước lãi vay và thuế, dự kiến có mức tăng trưởng lợi nhuận 10% trong năm năm tới. Vào cuối năm thứ năm, bạn ước tính giá trị cuối kỳ bằng bội số tám lần thu nhập hoạt động (đây là mức trung bình của ngành).</w:t>
      </w:r>
    </w:p>
    <w:p>
      <w:pPr>
        <w:numPr>
          <w:ilvl w:val="1"/>
          <w:numId w:val="110"/>
        </w:numPr>
        <w:pStyle w:val="Para 01"/>
      </w:pPr>
      <w:r>
        <w:t>Hãy ước tính giá trị cuối kỳ của doanh nghiệp.</w:t>
      </w:r>
    </w:p>
    <w:p>
      <w:pPr>
        <w:numPr>
          <w:ilvl w:val="1"/>
          <w:numId w:val="110"/>
        </w:numPr>
        <w:pStyle w:val="Para 01"/>
      </w:pPr>
      <w:r>
        <w:t>Nếu chi phí vốn của Ulysses là 10%, thuế suất là 40%, và bạn kỳ vọng tốc độ tăng trưởng ổn định là 5%, thì lợi nhuận trên vốn (return on capital) mà bạn đang giả định trong dài hạn là bao nhiêu nếu bạn sử dụng bội số 8 lần thu nhập hoạt động?</w:t>
      </w:r>
    </w:p>
    <w:p>
      <w:pPr>
        <w:numPr>
          <w:ilvl w:val="0"/>
          <w:numId w:val="110"/>
        </w:numPr>
        <w:pStyle w:val="Para 01"/>
      </w:pPr>
      <w:r>
        <w:t>Genoa Pasta sản xuất các sản phẩm thực phẩm Ý và hiện đang kiếm được 80 triệu đô la lợi nhuận trước lãi vay và thuế. Bạn kỳ vọng lợi nhuận của doanh nghiệp sẽ tăng 20 phần trăm một năm trong sáu năm tới và 5% sau đó. Lợi nhuận trên vốn sau thuế hiện tại của doanh nghiệp là 28%, nhưng bạn kỳ vọng nó sẽ giảm một nửa sau năm thứ sáu. Nếu chi phí vốn của doanh nghiệp được kỳ vọng là 10% trong dài hạn, hãy ước tính giá trị cuối kỳ cho doanh nghiệp. (Thuế suất của doanh nghiệp là 40%.)</w:t>
      </w:r>
    </w:p>
    <w:p>
      <w:pPr>
        <w:numPr>
          <w:ilvl w:val="0"/>
          <w:numId w:val="110"/>
        </w:numPr>
        <w:pStyle w:val="Para 01"/>
      </w:pPr>
      <w:r>
        <w:t>Lamps Galore Inc. sản xuất đèn bàn và kiếm được lợi nhuận trên vốn sau thuế là 15% trên vốn đầu tư hiện tại (là 100 triệu đô la). Bạn kỳ vọng doanh nghiệp sẽ tái đầu tư 80% thu nhập hoạt động sau thuế trở lại vào hoạt động kinh doanh trong bốn năm tới và 30% sau đó (giai đoạn tăng trưởng ổn định). Chi phí vốn của doanh nghiệp là 9%.</w:t>
      </w:r>
    </w:p>
    <w:p>
      <w:pPr>
        <w:numPr>
          <w:ilvl w:val="1"/>
          <w:numId w:val="110"/>
        </w:numPr>
        <w:pStyle w:val="Para 01"/>
      </w:pPr>
      <w:r>
        <w:t>Hãy ước tính giá trị cuối kỳ cho doanh nghiệp (vào cuối năm thứ tư).</w:t>
      </w:r>
    </w:p>
    <w:p>
      <w:pPr>
        <w:numPr>
          <w:ilvl w:val="1"/>
          <w:numId w:val="110"/>
        </w:numPr>
        <w:pStyle w:val="Para 01"/>
      </w:pPr>
      <w:r>
        <w:t>Nếu bạn kỳ vọng lợi nhuận trên vốn sau thuế sẽ giảm xuống 9% sau năm thứ tư, thì ước tính giá trị cuối kỳ của bạn sẽ là bao nhiêu?</w:t>
      </w:r>
    </w:p>
    <w:p>
      <w:pPr>
        <w:numPr>
          <w:ilvl w:val="0"/>
          <w:numId w:val="110"/>
        </w:numPr>
        <w:pStyle w:val="Para 01"/>
      </w:pPr>
      <w:r>
        <w:t>Bevan Real Estate Inc. là một công ty nắm giữ bất động sản với bốn bất động sản. Bạn ước tính rằng thu nhập từ những bất động sản này, hiện là 50 triệu đô la sau thuế, sẽ tăng 8% một năm trong 10 năm tới và 3% sau đó. Giá trị thị trường hiện tại của các bất động sản là 500 triệu đô la, và bạn kỳ vọng giá trị này sẽ tăng giá ở mức 3% một năm trong 10 năm tới.</w:t>
      </w:r>
    </w:p>
    <w:p>
      <w:pPr>
        <w:numPr>
          <w:ilvl w:val="1"/>
          <w:numId w:val="110"/>
        </w:numPr>
        <w:pStyle w:val="Para 01"/>
      </w:pPr>
      <w:r>
        <w:t>Hãy ước tính giá trị cuối kỳ của các bất động sản, dựa trên giá trị thị trường hiện tại và tốc độ tăng giá kỳ vọng của giá trị bất động sản.</w:t>
      </w:r>
    </w:p>
    <w:p>
      <w:pPr>
        <w:numPr>
          <w:ilvl w:val="1"/>
          <w:numId w:val="110"/>
        </w:numPr>
        <w:pStyle w:val="Para 01"/>
      </w:pPr>
      <w:r>
        <w:t>Giả sử rằng các dự báo của bạn về tăng trưởng thu nhập là đúng, giá trị cuối kỳ là bao nhiêu dưới dạng bội số của thu nhập hoạt động sau thuế trong năm thứ mười?</w:t>
      </w:r>
    </w:p>
    <w:p>
      <w:pPr>
        <w:numPr>
          <w:ilvl w:val="1"/>
          <w:numId w:val="110"/>
        </w:numPr>
        <w:pStyle w:val="Para 01"/>
      </w:pPr>
      <w:r>
        <w:t>Nếu bạn giả định rằng không cần tái đầu tư sau năm thứ mười, hãy ước tính chi phí vốn mà bạn đang ngầm giả định với ước tính giá trị cuối kỳ của mình.</w:t>
      </w:r>
    </w:p>
    <w:p>
      <w:pPr>
        <w:numPr>
          <w:ilvl w:val="0"/>
          <w:numId w:val="110"/>
        </w:numPr>
        <w:pStyle w:val="Para 01"/>
      </w:pPr>
      <w:r>
        <w:t>Latin Beats Corporation là một doanh nghiệp chuyên về nhạc và video tiếng Tây Ban Nha. Trong năm hiện tại, doanh nghiệp báo cáo 20 triệu đô la thu nhập hoạt động sau thuế, 15 triệu đô la chi phí đầu tư tài sản cố định (capital expenditures), và 5 triệu đô la khấu hao. Doanh nghiệp kỳ vọng cả ba khoản mục này sẽ tăng 10% trong năm năm tới. Sau năm thứ năm, doanh nghiệp kỳ vọng sẽ ở giai đoạn tăng trưởng ổn định và tăng 4% một năm mãi mãi. Bạn giả định rằng lợi nhuận, chi phí đầu tư tài sản cố định, và khấu hao sẽ tăng 4% mãi mãi, và chi phí vốn của bạn là 12%. (Không có vốn lưu động.)</w:t>
      </w:r>
    </w:p>
    <w:p>
      <w:pPr>
        <w:numPr>
          <w:ilvl w:val="1"/>
          <w:numId w:val="110"/>
        </w:numPr>
        <w:pStyle w:val="Para 01"/>
      </w:pPr>
      <w:r>
        <w:t>Hãy ước tính giá trị cuối kỳ của doanh nghiệp.</w:t>
      </w:r>
    </w:p>
    <w:p>
      <w:pPr>
        <w:numPr>
          <w:ilvl w:val="1"/>
          <w:numId w:val="110"/>
        </w:numPr>
        <w:pStyle w:val="Para 01"/>
      </w:pPr>
      <w:r>
        <w:t>Tỷ lệ tái đầu tư và lợi nhuận trên vốn mà bạn đang ngầm giả định trong dài hạn khi làm điều này là bao nhiêu?</w:t>
      </w:r>
    </w:p>
    <w:p>
      <w:pPr>
        <w:numPr>
          <w:ilvl w:val="1"/>
          <w:numId w:val="110"/>
        </w:numPr>
        <w:pStyle w:val="Para 01"/>
      </w:pPr>
      <w:r>
        <w:t>Giá trị cuối kỳ của bạn sẽ là bao nhiêu nếu bạn đã giả định rằng chi phí đầu tư tài sản cố định bù đắp khấu hao trong giai đoạn tăng trưởng ổn định?</w:t>
      </w:r>
    </w:p>
    <w:p>
      <w:pPr>
        <w:numPr>
          <w:ilvl w:val="1"/>
          <w:numId w:val="110"/>
        </w:numPr>
        <w:pStyle w:val="Para 01"/>
      </w:pPr>
      <w:r>
        <w:t>Lợi nhuận trên vốn mà bạn đang ngầm giả định trong dài hạn khi bạn đặt chi phí đầu tư tài sản cố định bằng khấu hao là bao nhiêu?</w:t>
      </w:r>
    </w:p>
    <w:p>
      <w:pPr>
        <w:numPr>
          <w:ilvl w:val="0"/>
          <w:numId w:val="110"/>
        </w:numPr>
        <w:pStyle w:val="Para 01"/>
      </w:pPr>
      <w:r>
        <w:t>Crabbe Steel sở hữu một số nhà máy thép ở Pennsylvania. Doanh nghiệp báo cáo thu nhập hoạt động sau thuế là 40 triệu đô la trong năm gần nhất trên vốn đầu tư là 400 triệu đô la. Doanh nghiệp kỳ vọng thu nhập hoạt động sẽ tăng 7% một năm trong ba năm tới, và 3% sau đó.</w:t>
      </w:r>
    </w:p>
    <w:p>
      <w:pPr>
        <w:numPr>
          <w:ilvl w:val="1"/>
          <w:numId w:val="110"/>
        </w:numPr>
        <w:pStyle w:val="Para 01"/>
      </w:pPr>
      <w:r>
        <w:t>Nếu chi phí vốn của doanh nghiệp là 10% và bạn kỳ vọng lợi nhuận trên vốn hiện tại của doanh nghiệp sẽ tiếp tục trong dài hạn, hãy ước tính giá trị vào cuối năm thứ ba.</w:t>
      </w:r>
    </w:p>
    <w:p>
      <w:pPr>
        <w:numPr>
          <w:ilvl w:val="1"/>
          <w:numId w:val="110"/>
        </w:numPr>
        <w:pStyle w:val="Para 01"/>
      </w:pPr>
      <w:r>
        <w:t>Nếu bạn kỳ vọng thu nhập hoạt động sẽ giữ nguyên sau năm thứ 3 (những gì bạn kiếm được trong năm thứ 3 là những gì bạn sẽ kiếm được mỗi năm sau đó), hãy ước tính giá trị cuối kỳ.</w:t>
      </w:r>
    </w:p>
    <w:p>
      <w:pPr>
        <w:numPr>
          <w:ilvl w:val="1"/>
          <w:numId w:val="110"/>
        </w:numPr>
        <w:pStyle w:val="Para 01"/>
      </w:pPr>
      <w:r>
        <w:t>Nếu bạn kỳ vọng thu nhập hoạt động sẽ giảm 5% một năm mãi mãi sau năm thứ 3, hãy ước tính giá trị cuối kỳ.</w:t>
      </w:r>
    </w:p>
    <w:p>
      <w:pPr>
        <w:numPr>
          <w:ilvl w:val="0"/>
          <w:numId w:val="110"/>
        </w:numPr>
        <w:pStyle w:val="Para 01"/>
      </w:pPr>
      <w:r>
        <w:t>Câu trả lời của bạn cho bài tập trước sẽ thay đổi như thế nào nếu bạn được cho biết rằng chi phí vốn của doanh nghiệp là 8%?</w:t>
      </w:r>
    </w:p>
    <w:p>
      <w:bookmarkStart w:id="2318" w:name="Notes__1_Growth_without_excess_r"/>
      <w:bookmarkStart w:id="2319" w:name="Notes_11"/>
      <w:pPr>
        <w:keepNext/>
        <w:pStyle w:val="Heading 2"/>
        <w:keepLines w:val="on"/>
      </w:pPr>
      <w:r>
        <w:t>Ghi chú</w:t>
      </w:r>
      <w:bookmarkEnd w:id="2318"/>
      <w:bookmarkEnd w:id="2319"/>
    </w:p>
    <w:p>
      <w:pPr>
        <w:pStyle w:val="Para 08"/>
      </w:pPr>
      <w:r>
        <w:t>1 Tăng trưởng mà không có lợi nhuận vượt trội sẽ khiến một công ty trở nên lớn hơn nhưng không tạo thêm giá trị.</w:t>
      </w:r>
    </w:p>
    <w:p>
      <w:pPr>
        <w:pStyle w:val="Para 08"/>
      </w:pPr>
      <w:r>
        <w:t>2 Jack Welch (GE) và Robert Goisueta (Coca-Cola) là những ví dụ truyền thống về các CEO đã tạo nên sự khác biệt, dù những đóng góp của họ vẫn còn đang được tranh luận. Steve Jobs tại Apple đã thiết lập một chuẩn mực mới cho vị CEO tạo nên sự khác biệt, và Satya Nadella tại Microsoft dường như đang noi theo.</w:t>
      </w:r>
    </w:p>
    <w:p>
      <w:pPr>
        <w:pStyle w:val="Para 08"/>
      </w:pPr>
      <w:r>
        <w:t>3 Hai phần ba số công ty Mỹ có beta nằm trong khoảng từ 0,8 đến 1,2. Đó trở thành khoảng giá trị cho beta trong giai đoạn ổn định.</w:t>
      </w:r>
    </w:p>
    <w:p>
      <w:pPr>
        <w:pStyle w:val="Para 08"/>
      </w:pPr>
      <w:r>
        <w:t>4 Nếu bạn đang định giá một công ty hàng hóa và giả định bất kỳ tốc độ tăng trưởng nào vượt quá lạm phát, thì bạn đang giả định rằng công ty của bạn sẽ mở rộng sang các lĩnh vực kinh doanh khác và cần điều chỉnh beta cho phù hợp.</w:t>
      </w:r>
    </w:p>
    <w:p>
      <w:pPr>
        <w:pStyle w:val="Para 08"/>
      </w:pPr>
      <w:r>
        <w:t>5 Dữ liệu này được các tổ chức xếp hạng tín nhiệm lớn duy trì và cập nhật, với phiên bản bảng này lấy từ bản cập nhật dữ liệu năm 2023 của S&amp;P.</w:t>
      </w:r>
    </w:p>
    <w:p>
      <w:bookmarkStart w:id="2325" w:name="Chapter_13Narrative_and_Numbers_1"/>
      <w:bookmarkStart w:id="2326" w:name="Top_of_c013_xhtml"/>
      <w:bookmarkStart w:id="2327" w:name="Chapter_13Narrative_and_Numbers"/>
      <w:pPr>
        <w:keepNext/>
        <w:pStyle w:val="Heading 1"/>
        <w:pageBreakBefore w:val="on"/>
        <w:keepLines w:val="on"/>
      </w:pPr>
      <w:r>
        <w:t>CHƯƠNG 13</w:t>
      </w:r>
      <w:r>
        <w:br/>
      </w:r>
      <w:r>
        <w:t>Tường thuật và Con số – Từ Câu chuyện đến Giá trị</w:t>
      </w:r>
      <w:bookmarkEnd w:id="2325"/>
      <w:bookmarkEnd w:id="2326"/>
      <w:bookmarkEnd w:id="2327"/>
    </w:p>
    <w:p>
      <w:pPr>
        <w:pStyle w:val="Para 03"/>
      </w:pPr>
      <w:r>
        <w:t>Sau khi đọc vài chương gần đây về các yếu tố đầu vào của định giá, bạn có thể đã kết luận rằng cả định giá (valuation) lẫn định giá thị trường (pricing) đều chỉ được dẫn dắt bởi các con số, nhưng bạn đã nhầm. Trong chương này, chúng ta sẽ lập luận rằng có một câu chuyện đằng sau các con số trong việc định giá và định giá thị trường một công ty, và chìa khóa để định giá công ty tốt là khả năng xây dựng những câu chuyện kinh doanh hợp lý và kết nối những câu chuyện này với các con số bạn sử dụng trong định giá. Trong chương này, chúng ta sẽ bắt đầu bằng việc giải thích cách định giá kết nối câu chuyện với con số, rồi mô tả quá trình kể một câu chuyện kinh doanh, kiểm tra xem câu chuyện đó có hợp lý không, và chuyển câu chuyện đó thành các yếu tố đầu vào của định giá và giá trị.</w:t>
      </w:r>
    </w:p>
    <w:p>
      <w:bookmarkStart w:id="2329" w:name="Valuation_as_a_Bridge"/>
      <w:bookmarkStart w:id="2330" w:name="Valuation_as_a_Bridge__As_access"/>
      <w:pPr>
        <w:keepNext/>
        <w:pStyle w:val="Heading 2"/>
        <w:keepLines w:val="on"/>
      </w:pPr>
      <w:r>
        <w:t>Định giá như một Cây cầu</w:t>
      </w:r>
      <w:bookmarkEnd w:id="2329"/>
      <w:bookmarkEnd w:id="2330"/>
    </w:p>
    <w:p>
      <w:pPr>
        <w:pStyle w:val="Para 03"/>
      </w:pPr>
      <w:r>
        <w:t>Khi khả năng tiếp cận dữ liệu được cải thiện và các công cụ chúng ta có để sử dụng với dữ liệu đó trở nên mạnh mẽ hơn, định giá như một ngành học đã ngày càng không chỉ tập trung vào con số, mà còn được xây dựng xoay quanh mô hình tài chính. Trong quá trình đó, chúng tôi tin rằng định giá đã đi lạc hướng, vì bản chất của một định giá tốt là nó là cây cầu nối giữa câu chuyện và con số, kết nối một câu chuyện về doanh nghiệp với các yếu tố đầu vào của định giá, và từ đó dẫn đến giá trị. Quá trình đó được tóm gọn trong Hình 13.1.</w:t>
      </w:r>
    </w:p>
    <w:p>
      <w:bookmarkStart w:id="2332" w:name="Figure_13_1_Valuation___Narrativ"/>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86000" cy="1054100"/>
            <wp:effectExtent l="0" r="0" t="0" b="0"/>
            <wp:wrapTopAndBottom/>
            <wp:docPr id="116" name="c13f001.png" descr="Illustration depicts valuation as a bridge between story and numbers."/>
            <wp:cNvGraphicFramePr>
              <a:graphicFrameLocks noChangeAspect="1"/>
            </wp:cNvGraphicFramePr>
            <a:graphic>
              <a:graphicData uri="http://schemas.openxmlformats.org/drawingml/2006/picture">
                <pic:pic>
                  <pic:nvPicPr>
                    <pic:cNvPr id="0" name="c13f001.png" descr="Illustration depicts valuation as a bridge between story and numbers."/>
                    <pic:cNvPicPr/>
                  </pic:nvPicPr>
                  <pic:blipFill>
                    <a:blip r:embed="rId86"/>
                    <a:stretch>
                      <a:fillRect/>
                    </a:stretch>
                  </pic:blipFill>
                  <pic:spPr>
                    <a:xfrm>
                      <a:off x="0" y="0"/>
                      <a:ext cx="2286000" cy="1054100"/>
                    </a:xfrm>
                    <a:prstGeom prst="rect">
                      <a:avLst/>
                    </a:prstGeom>
                  </pic:spPr>
                </pic:pic>
              </a:graphicData>
            </a:graphic>
          </wp:anchor>
        </w:drawing>
      </w:r>
      <w:bookmarkEnd w:id="2332"/>
    </w:p>
    <w:p>
      <w:pPr>
        <w:keepNext/>
        <w:pStyle w:val="Para 22"/>
        <w:keepLines w:val="on"/>
      </w:pPr>
      <w:r>
        <w:t>Hình 13.1 Định giá = Cốt truyện cộng với Con số</w:t>
      </w:r>
    </w:p>
    <w:p>
      <w:pPr>
        <w:pStyle w:val="Para 03"/>
      </w:pPr>
      <w:r>
        <w:t>Nói đơn giản, một tập hợp các con số trong bảng tính hay một mô hình sẽ cho bạn một mô hình tài chính, chứ không phải một định giá, và một câu chuyện về triển vọng của một doanh nghiệp, dù có bay bổng và hấp dẫn đến đâu, cũng có thể chỉ là một câu chuyện cổ tích. Để một định giá bám rễ vào thực tế, mỗi con số trong định giá của bạn, đo lường tăng trưởng, rủi ro hay khả năng sinh lời, đều phải có một câu chuyện giải thích nó, và mỗi câu chuyện bạn kể về công ty mình, từ tên thương hiệu đến chất lượng ban lãnh đạo, đều phải có một con số chống lưng.</w:t>
      </w:r>
    </w:p>
    <w:p>
      <w:pPr>
        <w:pStyle w:val="Para 03"/>
      </w:pPr>
      <w:r>
        <w:t>Không thể phủ nhận rằng mỗi chúng ta, khi được đưa cho các con số và câu chuyện, đều có một thế mạnh riêng, và không ngạc nhiên là chúng ta cố gắng phát huy thế mạnh chứ không phải điểm yếu của mình. Nguy hiểm của việc làm đó là chỉ tập trung vào một phía của cây cầu định giá (câu chuyện hoặc con số) có thể đẩy chúng ta vào hiểm nguy:</w:t>
      </w:r>
    </w:p>
    <w:p>
      <w:pPr>
        <w:numPr>
          <w:ilvl w:val="0"/>
          <w:numId w:val="111"/>
        </w:numPr>
        <w:pStyle w:val="Para 01"/>
      </w:pPr>
      <w:r>
        <w:t>Nếu điểm mạnh của bạn là xử lý con số, và bạn được bao quanh hoặc làm việc với những người cũng giỏi xử lý con số khác, thì việc theo đuổi độ chính xác giả tạo, nơi việc ước tính tỷ lệ chiết khấu đến chữ số thập phân thứ tư, lại được đặt lên trên những cân nhắc quan trọng hơn nhiều, chẳng hạn như tính khả thi của mô hình kinh doanh của công ty, khi định giá công ty. Nếu bạn chỉ có các con số trên bảng tính, bạn có một mô hình tài chính, chứ không phải một định giá công ty.</w:t>
      </w:r>
    </w:p>
    <w:p>
      <w:pPr>
        <w:numPr>
          <w:ilvl w:val="0"/>
          <w:numId w:val="111"/>
        </w:numPr>
        <w:pStyle w:val="Para 01"/>
      </w:pPr>
      <w:r>
        <w:t>Nếu kể chuyện là sở trường của bạn, bạn lại có một bộ ảo tưởng khác. Bạn tin rằng việc kể những câu chuyện bay bổng, đầy tầm nhìn cho bạn quyền gán những giá trị lớn, kể cả khi những câu chuyện đó là chuyện cổ tích. Không có kỷ luật của con số, thật dễ dùng những từ ngữ hoa mỹ để biện minh cho việc gán giá trị cao cho doanh nghiệp.</w:t>
      </w:r>
    </w:p>
    <w:p>
      <w:pPr>
        <w:pStyle w:val="Para 03"/>
      </w:pPr>
      <w:r>
        <w:t>Để định giá của bạn có ý nghĩa và trở thành cơ sở cho hành động của bạn, bạn phải hoặc là một người kể chuyện có kỷ luật, hoặc là một người xử lý con số giàu trí tưởng tượng. Nếu điểm mạnh của bạn là làm việc với con số, thì nhiệm vụ của bạn, nếu bạn muốn định giá công ty, là trở nên thoải mái hơn khi làm việc với các yếu tố định tính và cuối cùng đưa chúng vào con số của mình. Nếu bạn thiên về kể chuyện hơn, bạn phải rèn luyện để thoải mái đủ với con số, để có thể chuyển câu chuyện của mình thành các yếu tố đầu vào của định giá.</w:t>
      </w:r>
    </w:p>
    <w:p>
      <w:bookmarkStart w:id="2334" w:name="The_Importance_of_Storytelling"/>
      <w:bookmarkStart w:id="2335" w:name="The_Importance_of_Storytelling_1"/>
      <w:pPr>
        <w:keepNext/>
        <w:pStyle w:val="Heading 2"/>
        <w:keepLines w:val="on"/>
      </w:pPr>
      <w:r>
        <w:t>Tầm quan trọng của việc Kể chuyện</w:t>
      </w:r>
      <w:bookmarkEnd w:id="2334"/>
      <w:bookmarkEnd w:id="2335"/>
    </w:p>
    <w:p>
      <w:pPr>
        <w:pStyle w:val="Para 03"/>
      </w:pPr>
      <w:r>
        <w:t>Nếu bạn đã từng làm việc trong lĩnh vực định giá hoặc được dạy môn này, bạn có thể thấy việc viện đến câu chuyện là kỳ lạ. Suy cho cùng, trong định giá thông thường, giá trị nội tại của một doanh nghiệp được dẫn dắt bởi dòng tiền của nó, mà dòng tiền lại được quyết định bởi tăng trưởng, biên lợi nhuận và nhu cầu tái đầu tư của công ty. Vậy thì, bạn có thể tự hỏi, tại sao lại phải pha loãng những con số đó hoặc làm mình xao nhãng bằng việc kể một câu chuyện. Trong phần này, chúng ta sẽ bắt đầu bằng việc xem tại sao câu chuyện kết nối tốt hơn con số, ngay cả với những khán giả sành sỏi về con số, rồi xem việc có một câu chuyện kết nối các con số của bạn sẽ giúp bạn tránh khỏi những sai lầm nghiêm trọng và thiên kiến như thế nào.</w:t>
      </w:r>
    </w:p>
    <w:p>
      <w:bookmarkStart w:id="2336" w:name="Stories_Connect"/>
      <w:bookmarkStart w:id="2337" w:name="Stories_Connect__A_well_told_sto"/>
      <w:pPr>
        <w:keepNext/>
        <w:pStyle w:val="Heading 3"/>
        <w:keepLines w:val="on"/>
      </w:pPr>
      <w:r>
        <w:t>Câu chuyện Kết nối</w:t>
      </w:r>
      <w:bookmarkEnd w:id="2336"/>
      <w:bookmarkEnd w:id="2337"/>
    </w:p>
    <w:p>
      <w:pPr>
        <w:pStyle w:val="Para 03"/>
      </w:pPr>
      <w:r>
        <w:t>Một câu chuyện được kể hay sẽ kết nối với người nghe theo cách mà con số không bao giờ làm được. Lý do cho sự kết nối này rất đa dạng, cả giữa các câu chuyện lẫn giữa những người nghe, và mức độ kết nối có thể mạnh yếu khác nhau. Trong những năm gần đây, các nhà khoa học đã hướng sự chú ý đến lý do tại sao, và đang phát hiện ra rằng những kết nối này có thể đã được lập trình sẵn trong não bộ chúng ta dưới dạng các xung hóa học và điện.</w:t>
      </w:r>
    </w:p>
    <w:p>
      <w:pPr>
        <w:pStyle w:val="Para 03"/>
      </w:pPr>
      <w:r>
        <w:t>Hãy bắt đầu với lời giải thích hóa học. Paul Zak, một nhà kinh tế thần kinh tại Claremont Graduate University, đã xác định một chất hóa học thần kinh gọi là oxytocin, một phân tử trong vùng dưới đồi (hypothalamus) của não người.1 Ông lập luận rằng oxytocin, mà việc giải phóng và tổng hợp nó gắn liền với sự tin tưởng và quan tâm, được tạo ra và giải phóng khi một người nghe một câu chuyện (hay cốt truyện) mạnh mẽ, và việc giải phóng này có thể dẫn đến những thay đổi trong hành vi của người nghe sau khi nghe xong câu chuyện. Ngoài ra, trong những khoảnh khắc căng thẳng trong câu chuyện, não giải phóng cortisol, cho phép người nghe tập trung. Các nghiên cứu khác cũng phát hiện rằng những kết thúc có hậu của câu chuyện kích hoạt phần hệ viền (limbic) của não, trung tâm phần thưởng, giải phóng dopamine, một chất kích hoạt hy vọng và lạc quan.</w:t>
      </w:r>
    </w:p>
    <w:p>
      <w:pPr>
        <w:pStyle w:val="Para 03"/>
      </w:pPr>
      <w:r>
        <w:t>Greg Stephens, Lauren Silbert và Uri Hasson có một nghiên cứu hấp dẫn về cách các xung điện trong não dường như phản ứng với việc kể chuyện, mà họ gọi là "khớp nối thần kinh" (neural coupling).2 Cụ thể, họ báo cáo về một thí nghiệm, trong đó một phụ nữ trẻ kể một câu chuyện cho mười hai đối tượng, và sóng não của cả người kể chuyện lẫn người nghe đều được ghi lại. Khi câu chuyện được kể, họ ghi nhận hai hiện tượng. Thứ nhất là sóng não của người kể chuyện và người nghe đồng bộ hóa, với cùng những phần não bộ sáng lên ở cả hai, với một độ trễ thời gian ở người nghe (khi họ xử lý câu chuyện). Để kiểm tra xem liệu chính câu chuyện có tạo nên sự khác biệt hay không, câu chuyện được kể bằng tiếng Nga (mà không người nghe nào hiểu được) và hoạt động sóng não ngừng lại, qua đó cho thấy chính câu chuyện (và việc hiểu nó) dường như tạo nên sự kết nối. Phát hiện thứ hai và thú vị hơn là ở một số khía cạnh của câu chuyện, xung não của người nghe đi trước xung não của người kể chuyện, gợi ý rằng những người nghe chú tâm bắt đầu dự đoán các bước tiếp theo trong câu chuyện. Nhìn chung, khi sự đồng bộ sóng não giữa người kể chuyện và những người nghe câu chuyện tăng lên, giao tiếp trở nên hiệu quả hơn.</w:t>
      </w:r>
    </w:p>
    <w:p>
      <w:bookmarkStart w:id="2341" w:name="Stories_are_Remembered__As_a_tea"/>
      <w:bookmarkStart w:id="2342" w:name="Stories_are_Remembered"/>
      <w:pPr>
        <w:keepNext/>
        <w:pStyle w:val="Heading 3"/>
        <w:keepLines w:val="on"/>
      </w:pPr>
      <w:r>
        <w:t>Câu chuyện được Ghi nhớ</w:t>
      </w:r>
      <w:bookmarkEnd w:id="2341"/>
      <w:bookmarkEnd w:id="2342"/>
    </w:p>
    <w:p>
      <w:pPr>
        <w:pStyle w:val="Para 03"/>
      </w:pPr>
      <w:r>
        <w:t>Là một giáo viên hơn ba thập kỷ, tôi may mắn vẫn còn gặp lại những sinh viên từ nhiều thập kỷ trước, những người hồi tưởng về các lớp học. Thật kinh ngạc khi họ nhớ những giai thoại và câu chuyện nhỏ đã điểm xuyết các lớp học của chúng tôi theo thời gian thường xuyên và rõ ràng đến vậy, dù các chi tiết của lớp học đã từ lâu chìm vào màn sương ký ức của họ.</w:t>
      </w:r>
    </w:p>
    <w:p>
      <w:pPr>
        <w:pStyle w:val="Para 03"/>
      </w:pPr>
      <w:r>
        <w:t>Chúng tôi không phải là duy nhất trong trải nghiệm này, vì các nghiên cứu chỉ ra sức sống bền bỉ của câu chuyện. Câu chuyện được ghi nhớ tốt hơn nhiều và lâu hơn so với con số. Trong một nghiên cứu, các đối tượng được đọc những câu chuyện và những đoạn văn giải thích, rồi trí nhớ của họ được kiểm tra sau đó.3 Dù nội dung giống nhau, các câu chuyện được nhớ nhiều hơn khoảng 50 phần trăm so với các đoạn văn giải thích. Về lý do tại sao một số câu chuyện được nhớ nhiều hơn những câu chuyện khác, các nhà nghiên cứu đưa ra giả thuyết rằng chính những mối liên hệ nhân quả trong câu chuyện khiến chúng dễ nhớ hơn, đặc biệt nếu các đối tượng phải suy luận (làm việc) để tạo ra các mối liên hệ. Do đó, khi các đối tượng được đưa cho những phiên bản khác nhau của cùng một đoạn văn để đọc, họ ít có khả năng nhớ đoạn văn đó nếu mối quan hệ nhân quả hoặc quá rõ ràng hoặc quá yếu. Nhưng họ có nhiều khả năng nhớ nó hơn nếu quan hệ nhân quả được thể hiện kín đáo nhưng đòi hỏi các đối tượng phải bỏ chút công sức để kết nối.</w:t>
      </w:r>
    </w:p>
    <w:p>
      <w:pPr>
        <w:pStyle w:val="Para 03"/>
      </w:pPr>
      <w:r>
        <w:t>Nếu có một bài học nào đó rút ra được từ những nghiên cứu này dành cho những người kể chuyện, thì đó là: câu chuyện chỉ phát huy hiệu quả tốt nhất khi chúng không chỉ lôi cuốn người nghe mà còn buộc họ phải tự suy nghĩ và tự tạo ra những liên kết của riêng mình. Những liên kết đó rất có thể chính là những liên kết mà bạn muốn họ tạo ra ngay từ đầu, nhưng việc để người nghe tự tạo ra liên kết không chỉ hiệu quả hơn mà còn đáng nhớ hơn so với việc nhồi nhét nó vào đầu họ. Cũng như bao điều khác trong cuộc sống, khi nói đến nghệ thuật kể chuyện, ít lại chính là nhiều.</w:t>
      </w:r>
    </w:p>
    <w:p>
      <w:bookmarkStart w:id="2345" w:name="Stories_Spur_Action"/>
      <w:bookmarkStart w:id="2346" w:name="Stories_Spur_Action__Not_only_do"/>
      <w:pPr>
        <w:keepNext/>
        <w:pStyle w:val="Heading 3"/>
        <w:keepLines w:val="on"/>
      </w:pPr>
      <w:r>
        <w:t>Câu chuyện thúc đẩy hành động</w:t>
      </w:r>
      <w:bookmarkEnd w:id="2345"/>
      <w:bookmarkEnd w:id="2346"/>
    </w:p>
    <w:p>
      <w:pPr>
        <w:pStyle w:val="Para 03"/>
      </w:pPr>
      <w:r>
        <w:t>Câu chuyện không chỉ tạo ra sự kết nối cảm xúc giữa người kể và người nghe, giúp chúng được ghi nhớ sống động hơn và lâu hơn, mà còn có thể khiến người nghe hành động. Trong khuôn khổ nghiên cứu về nghệ thuật kể chuyện, Paul Zak cũng tìm hiểu xem liệu sự gia tăng oxytocin — chất dẫn truyền thần kinh mà ông xác định là được tiết ra trong khi nghe chuyện — có gắn liền với hành động sau khi câu chuyện được kể hay không. Trong một thí nghiệm yêu cầu người tham gia xem các video tuyên truyền dịch vụ công do chính phủ Anh sản xuất, người ta đo mức tăng oxytocin sau khi xem video, và mức tăng càng cao thì số tiền quyên góp cho các tổ chức từ thiện được nhắc đến trong video càng lớn.</w:t>
      </w:r>
    </w:p>
    <w:p>
      <w:pPr>
        <w:pStyle w:val="Para 03"/>
      </w:pPr>
      <w:r>
        <w:t>Các nghiên cứu cũng phát hiện ra rằng một số câu chuyện khơi gợi mức tăng chất dẫn truyền thần kinh lớn hơn, và do đó thúc đẩy nhiều hành động hơn những câu chuyện khác. Chẳng hạn, những câu chuyện có mạch kịch tính (dramatic arc) tạo ra nhiều phản hồi hơn những câu chuyện phẳng lặng, cũng như những câu chuyện khiến người xem gắn kết hơn với các nhân vật trong đó.</w:t>
      </w:r>
    </w:p>
    <w:p>
      <w:pPr>
        <w:pStyle w:val="Para 03"/>
      </w:pPr>
      <w:r>
        <w:t>Trong bối cảnh định giá, khi mà mục đích — ít nhất là đối với nhà đầu tư — là hành động (tức là mua những công ty bị định giá thấp và bán những công ty bị định giá cao), thì khả năng bạn hành động dựa trên một bản định giá được hậu thuẫn bởi một câu chuyện sẽ cao hơn so với một bản định giá thuần túy chỉ có con số.</w:t>
      </w:r>
    </w:p>
    <w:p>
      <w:bookmarkStart w:id="2347" w:name="The_Dangers_in_Storytelling__Whi"/>
      <w:bookmarkStart w:id="2348" w:name="The_Dangers_in_Storytelling"/>
      <w:pPr>
        <w:keepNext/>
        <w:pStyle w:val="Heading 2"/>
        <w:keepLines w:val="on"/>
      </w:pPr>
      <w:r>
        <w:t>Những nguy hiểm của việc kể chuyện</w:t>
      </w:r>
      <w:bookmarkEnd w:id="2347"/>
      <w:bookmarkEnd w:id="2348"/>
    </w:p>
    <w:p>
      <w:pPr>
        <w:pStyle w:val="Para 03"/>
      </w:pPr>
      <w:r>
        <w:t>Dù chúng tôi tin rằng việc thiết lập câu chuyện trong định giá là quan trọng, chúng tôi cũng ý thức được những nguy hiểm khi mở toang cánh cửa cho việc kể chuyện. Để đảm bảo sự cân bằng, chúng ta sẽ xem xét mặt trái của câu chuyện, và trong quá trình đó, đặt nền móng cho cái mà chúng tôi sẽ gọi là "kể chuyện có giới hạn" (bounded storytelling).</w:t>
      </w:r>
    </w:p>
    <w:p>
      <w:bookmarkStart w:id="2349" w:name="Stories_Can_Sway_Emotions"/>
      <w:bookmarkStart w:id="2350" w:name="Stories_Can_Sway_Emotions__As_we"/>
      <w:pPr>
        <w:keepNext/>
        <w:pStyle w:val="Heading 3"/>
        <w:keepLines w:val="on"/>
      </w:pPr>
      <w:r>
        <w:t>Câu chuyện có thể lay chuyển cảm xúc</w:t>
      </w:r>
      <w:bookmarkEnd w:id="2349"/>
      <w:bookmarkEnd w:id="2350"/>
    </w:p>
    <w:p>
      <w:pPr>
        <w:pStyle w:val="Para 03"/>
      </w:pPr>
      <w:r>
        <w:t>Như chúng tôi đã đề cập ở phần trước, câu chuyện rất mạnh mẽ vì chúng kết nối với cảm xúc của con người, được ghi nhớ, và thúc đẩy người nghe hành động. Chính vì từng lý do đó mà câu chuyện có thể cực kỳ nguy hiểm, không chỉ đối với người nghe mà còn đối với cả người kể. Nếu phần trước đã đưa ra lập luận ủng hộ việc kể và nghe chuyện, thì bạn nên coi phần này như một lời cảnh báo về những nguy hiểm của việc để câu chuyện đơn thuần dẫn dắt các quyết định.</w:t>
      </w:r>
    </w:p>
    <w:p>
      <w:pPr>
        <w:pStyle w:val="Para 03"/>
      </w:pPr>
      <w:r>
        <w:t>Lĩnh vực kinh tế học hành vi (behavioral economics) mới ra đời gần đây và đại diện cho giao điểm giữa tâm lý học và kinh tế học. Nói ngắn gọn, kinh tế học hành vi phơi bày tất cả những nét kỳ quặc trong bản tính con người khiến người ta đưa ra những quyết định tồi tệ, đặc biệt là khi họ dựa những quyết định này trên cảm xúc, bản năng và linh cảm. Kahnemann, một trong những cha đẻ của lĩnh vực này, dẫn chúng ta rong chơi qua các vùng đất của sự phi lý nơi con người trong cuốn sách Thinking, Fast and Slow và chỉ ra một số thiên kiến (bias) mà chúng ta mang vào quá trình ra quyết định, những thiên kiến mà câu chuyện có thể dễ dàng khai thác.4 Tuy nhiên, không chỉ người nghe mới gặp nguy hiểm khi để cảm xúc lấn át sự thật. Người kể chuyện cũng đối mặt với vấn đề tương tự, khi họ bắt đầu tin vào chính câu chuyện của mình và có lẽ hành động dựa trên đó. Thực chất, câu chuyện nuôi dưỡng những thiên kiến mà chúng ta đã có sẵn, củng cố chúng và làm chúng trầm trọng thêm. Như Tyler Cowen đã chỉ ra trong một bài nói TED, khi phê phán làn sóng sách tâm lý học đại chúng kêu gọi người ta tin vào bản năng của mình: "Cách duy nhất, trọng tâm nhất, quan trọng nhất mà chúng ta làm hỏng mọi thứ, đó là chúng ta tự kể cho mình quá nhiều câu chuyện, hoặc chúng ta quá dễ bị câu chuyện dụ dỗ. Và tại sao những cuốn sách này không nói với chúng ta điều đó? Bởi vì bản thân những cuốn sách ấy đều xoay quanh câu chuyện. Bạn càng đọc nhiều những cuốn sách này, bạn càng hiểu về một số thiên kiến của mình, nhưng bạn lại càng làm cho một số thiên kiến khác trở nên tồi tệ hơn. Vậy nên bản thân những cuốn sách ấy cũng là một phần trong thiên kiến nhận thức của bạn."5</w:t>
      </w:r>
    </w:p>
    <w:p>
      <w:pPr>
        <w:pStyle w:val="Para 03"/>
      </w:pPr>
      <w:r>
        <w:t>Ở phần trước, chúng tôi đã lưu ý rằng một trong những lợi ích của việc kể chuyện là khi người nghe càng bị cuốn vào câu chuyện, họ càng trở nên sẵn sàng gạt bỏ hoài nghi và để cho những khẳng định và giả định đáng ngờ đi qua mà không bị chất vấn. Dù điều đó có thể là điểm cộng cho người kể chuyện, thì nó lại chính xác là thứ cho phép những kẻ lừa đảo và gian lận — thường là những bậc thầy kể chuyện — dệt nên những câu chuyện về sự giàu sang lớn lao và tách người nghe khỏi tiền của họ. Như Oliver Stone được trích dẫn đã nói: "Những bậc thầy kể chuyện muốn chúng ta say men cảm xúc để chúng ta mất dấu những cân nhắc lý trí và khuất phục trước mục đích của họ" — một lợi thế cho nhà làm phim như Stone nhưng không phải là một lời chứng thực đáng giá cho một câu chuyện kinh doanh.</w:t>
      </w:r>
    </w:p>
    <w:p>
      <w:bookmarkStart w:id="2354" w:name="Memories_Can_Be_Fickle__It_is_tr"/>
      <w:bookmarkStart w:id="2355" w:name="Memories_Can_Be_Fickle"/>
      <w:pPr>
        <w:keepNext/>
        <w:pStyle w:val="Heading 3"/>
        <w:keepLines w:val="on"/>
      </w:pPr>
      <w:r>
        <w:t>Ký ức có thể thất thường</w:t>
      </w:r>
      <w:bookmarkEnd w:id="2354"/>
      <w:bookmarkEnd w:id="2355"/>
    </w:p>
    <w:p>
      <w:pPr>
        <w:pStyle w:val="Para 03"/>
      </w:pPr>
      <w:r>
        <w:t>Đúng là nhiều người kể chuyện dựa vào ký ức cá nhân để tạo nên câu chuyện của mình, và nếu họ kể hiệu quả, những câu chuyện này sẽ được ghi nhớ lâu hơn nhiều. Như các nhà nghiên cứu đang khám phá ra, ký ức con người rất mong manh và dễ bị thao túng, và hoàn toàn có thể cả người kể lẫn người nghe đều đang dựa vào những ký ức sai lệch để đưa ra phán đoán và quyết định của mình.</w:t>
      </w:r>
    </w:p>
    <w:p>
      <w:pPr>
        <w:pStyle w:val="Para 03"/>
      </w:pPr>
      <w:r>
        <w:t>Vấn đề ký ức sai lệch (false memory) trở nên nổi cộm vào năm 2014, khi Brian Williams, người dẫn bản tin quốc gia của NBC, thừa nhận rằng những câu chuyện ông đã kể đi kể lại cho khán giả về trải nghiệm của mình trong cuộc xâm lược Iraq năm 2003 là bịa đặt. Dù có thể ông đã bịa ra những lời nói dối này để thúc đẩy lợi ích của bản thân (như một phóng viên anh hùng liều mạng để có được câu chuyện), thì cũng có khả năng là theo thời gian ông đã tự thuyết phục bản thân rằng phiên bản câu chuyện của mình là sự thật. Các nhà nghiên cứu về ký ức không hề ngạc nhiên vì họ đã có thể thuyết phục người ta tin vào những sự kiện trong quá khứ của họ mà chưa từng xảy ra. Trong một nghiên cứu, các nhà nghiên cứu đã thuyết phục được 70 phần trăm đối tượng rằng họ đã phạm tội khi còn là thanh thiếu niên dẫn đến việc cảnh sát can thiệp, trong khi thực tế không ai trong số họ đã làm vậy.6 Trong một nghiên cứu khác, các nhà nghiên cứu đã để lại cho đối tượng ký ức (sai) về việc bị lạc trong một trung tâm thương mại khi còn nhỏ, dù họ chưa từng bị lạc.7</w:t>
      </w:r>
    </w:p>
    <w:p>
      <w:pPr>
        <w:pStyle w:val="Para 03"/>
      </w:pPr>
      <w:r>
        <w:t>Điều này không nhằm ám chỉ rằng câu chuyện luôn bịa đặt hay đầy dối trá, mà để cho thấy rằng ngay cả những người kể chuyện có thiện ý đôi khi cũng có thể tái tạo lại ký ức của mình, và rằng những người nghe những câu chuyện đó có thể không ghi nhớ chúng theo đúng cách chúng đã được kể.</w:t>
      </w:r>
    </w:p>
    <w:p>
      <w:pPr>
        <w:pStyle w:val="Para 20"/>
      </w:pPr>
      <w:r>
        <w:rPr>
          <w:rStyle w:val="Text26"/>
        </w:rPr>
        <w:bookmarkStart w:id="2358" w:name="Page_368"/>
        <w:t/>
        <w:bookmarkEnd w:id="2358"/>
      </w:r>
      <w:r>
        <w:t xml:space="preserve"> </w:t>
      </w:r>
    </w:p>
    <w:p>
      <w:bookmarkStart w:id="2359" w:name="Stories_Can_Become_Fairy_Tales"/>
      <w:bookmarkStart w:id="2360" w:name="Stories_Can_Become_Fairy_Tales_1"/>
      <w:pPr>
        <w:keepNext/>
        <w:pStyle w:val="Heading 3"/>
        <w:keepLines w:val="on"/>
      </w:pPr>
      <w:r>
        <w:t>Câu chuyện có thể biến thành chuyện cổ tích</w:t>
      </w:r>
      <w:bookmarkEnd w:id="2359"/>
      <w:bookmarkEnd w:id="2360"/>
    </w:p>
    <w:p>
      <w:pPr>
        <w:pStyle w:val="Para 03"/>
      </w:pPr>
      <w:r>
        <w:t>Một khác biệt then chốt giữa việc kể chuyện để giải trí và một câu chuyện kinh doanh là câu chuyện kinh doanh (nên) bị ràng buộc bởi thực tế, và thế giới thực không thưởng cho những người kể chuyện kinh doanh chỉ vì họ sáng tạo. Thực tế, một trong những hiểm nguy của việc để nghệ thuật kể chuyện dẫn dắt các quyết định kinh doanh là rất dễ vượt qua ranh giới và lạc vào xứ sở thần tiên. Trong kể chuyện kinh doanh, điều này có thể biểu hiện dưới những dạng thức rối loạn chức năng:</w:t>
      </w:r>
    </w:p>
    <w:p>
      <w:pPr>
        <w:numPr>
          <w:ilvl w:val="0"/>
          <w:numId w:val="112"/>
        </w:numPr>
        <w:pStyle w:val="Para 01"/>
      </w:pPr>
      <w:r>
        <w:t>Chuyện cổ tích: Đây là một câu chuyện kinh doanh phần lớn đi theo kịch bản chuẩn, nhưng đến một thời điểm nào đó trong câu chuyện, người kể để cho hy vọng thay thế kỳ vọng và dòng sáng tạo tuôn chảy. Không ngạc nhiên, những câu chuyện này kết thúc có hậu, ít nhất là trong lời kể, với người kể nổi lên như người chiến thắng cùng phần thưởng là một doanh nghiệp thành công.</w:t>
      </w:r>
    </w:p>
    <w:p>
      <w:pPr>
        <w:numPr>
          <w:ilvl w:val="0"/>
          <w:numId w:val="112"/>
        </w:numPr>
        <w:pStyle w:val="Para 01"/>
      </w:pPr>
      <w:r>
        <w:t>Câu chuyện buột miệng (Runaway Story): Đây là họ hàng gần của chuyện cổ tích, khi câu chuyện nghe hay đến mức và nhân vật chính dễ mến đến mức người nghe bỏ qua những lỗ hổng lớn trong câu chuyện hoặc những lỗi logic, bởi vì họ muốn câu chuyện ấy là sự thật.</w:t>
      </w:r>
    </w:p>
    <w:p>
      <w:pPr>
        <w:pStyle w:val="Para 03"/>
      </w:pPr>
      <w:r>
        <w:t>Điểm mấu chốt là nếu không được kiểm soát, việc kể chuyện có thể dễ dàng mất tập trung, và ít nhất trong bối cảnh câu chuyện kinh doanh, điều đó có thể nguy hiểm cho tất cả những ai liên quan. Trong phần tiếp theo, chúng ta sẽ tạo ra một quy trình để kể những câu chuyện kinh doanh được ràng buộc bởi thực tế và lẽ thường, có ý thức về những nguy hiểm đã liệt kê trong phần này.</w:t>
      </w:r>
    </w:p>
    <w:p>
      <w:bookmarkStart w:id="2361" w:name="From_Story_to_Numbers__The_Proce_1"/>
      <w:bookmarkStart w:id="2362" w:name="From_Story_to_Numbers__The_Proce"/>
      <w:pPr>
        <w:keepNext/>
        <w:pStyle w:val="Heading 2"/>
        <w:keepLines w:val="on"/>
      </w:pPr>
      <w:r>
        <w:t>Từ câu chuyện đến con số: Quy trình</w:t>
      </w:r>
      <w:bookmarkEnd w:id="2361"/>
      <w:bookmarkEnd w:id="2362"/>
    </w:p>
    <w:p>
      <w:pPr>
        <w:pStyle w:val="Para 03"/>
      </w:pPr>
      <w:r>
        <w:t>Như chúng tôi đã lưu ý ở phần trước, mỗi chúng ta đều có một mặt mạnh và chúng ta bị hút về phía đó khi định giá công ty. Chính vì lý do này mà việc thiết lập một quy trình định giá công ty buộc chúng ta phải mang vào cả những mặt yếu của mình là điều quan trọng. Trong phần này, chúng tôi sẽ trình bày một trình tự phù hợp với chúng tôi, dù bạn có thể tìm thấy một biến thể phù hợp hơn với bạn, với kết cục cuối cùng là sự hòa quyện giữa câu chuyện và con số.</w:t>
      </w:r>
    </w:p>
    <w:p>
      <w:bookmarkStart w:id="2363" w:name="The_Sequence__As_number_cruncher"/>
      <w:bookmarkStart w:id="2364" w:name="The_Sequence"/>
      <w:pPr>
        <w:keepNext/>
        <w:pStyle w:val="Heading 3"/>
        <w:keepLines w:val="on"/>
      </w:pPr>
      <w:r>
        <w:t>Trình tự</w:t>
      </w:r>
      <w:bookmarkEnd w:id="2363"/>
      <w:bookmarkEnd w:id="2364"/>
    </w:p>
    <w:p>
      <w:pPr>
        <w:pStyle w:val="Para 03"/>
      </w:pPr>
      <w:r>
        <w:t>Là những người mài mò con số, chúng tôi thấy hữu ích khi bắt đầu quá trình định giá bằng cách buộc mình phải kể câu chuyện của công ty trước, nhưng nếu bạn là người kể chuyện, bạn có thể thấy một trình tự bắt đầu bằng con số phù hợp hơn với mình. Hình 13.2 mô tả quy trình năm bước đi từ câu chuyện đến định giá.</w:t>
      </w:r>
    </w:p>
    <w:p>
      <w:bookmarkStart w:id="2366" w:name="Figure_13_2_Story_to_Numbers__Th"/>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689100"/>
            <wp:effectExtent l="0" r="0" t="0" b="0"/>
            <wp:wrapTopAndBottom/>
            <wp:docPr id="117" name="c13f002.png" descr="Illustration of sequence depicting developing a story, test, converting into drivers, connecting drivers to valuation, and giving feedback."/>
            <wp:cNvGraphicFramePr>
              <a:graphicFrameLocks noChangeAspect="1"/>
            </wp:cNvGraphicFramePr>
            <a:graphic>
              <a:graphicData uri="http://schemas.openxmlformats.org/drawingml/2006/picture">
                <pic:pic>
                  <pic:nvPicPr>
                    <pic:cNvPr id="0" name="c13f002.png" descr="Illustration of sequence depicting developing a story, test, converting into drivers, connecting drivers to valuation, and giving feedback."/>
                    <pic:cNvPicPr/>
                  </pic:nvPicPr>
                  <pic:blipFill>
                    <a:blip r:embed="rId87"/>
                    <a:stretch>
                      <a:fillRect/>
                    </a:stretch>
                  </pic:blipFill>
                  <pic:spPr>
                    <a:xfrm>
                      <a:off x="0" y="0"/>
                      <a:ext cx="2057400" cy="1689100"/>
                    </a:xfrm>
                    <a:prstGeom prst="rect">
                      <a:avLst/>
                    </a:prstGeom>
                  </pic:spPr>
                </pic:pic>
              </a:graphicData>
            </a:graphic>
          </wp:anchor>
        </w:drawing>
      </w:r>
      <w:bookmarkEnd w:id="2366"/>
    </w:p>
    <w:p>
      <w:pPr>
        <w:keepNext/>
        <w:pStyle w:val="Para 22"/>
        <w:keepLines w:val="on"/>
      </w:pPr>
      <w:r>
        <w:t>Hình 13.2 Từ câu chuyện đến con số — Trình tự</w:t>
      </w:r>
    </w:p>
    <w:p>
      <w:pPr>
        <w:pStyle w:val="Para 03"/>
      </w:pPr>
      <w:r>
        <w:t>Mọi định giá mà chúng ta thực hiện đều bắt đầu bằng một câu chuyện định giá cho công ty, và để kể câu chuyện đó, chúng ta cần hiểu công ty làm tốt điều gì, làm dở điều gì, cũng như hiểu ngành kinh doanh mà nó đang hoạt động. Ở bước thứ hai của trình tự, chúng ta kiểm tra áp lực câu chuyện, xác nhận rằng nó vượt qua cái mà chúng ta gọi là bài kiểm tra 3P — khả thi (possible), hợp lý (plausible) và có khả năng xảy ra (probable). Ở bước thứ ba, chúng ta chuyển câu chuyện thành các đầu vào định giá, dựa trên một mô hình định giá tối giản và tổng quát được mô tả trong Chương 11, xoay quanh tăng trưởng, khả năng sinh lời, tái đầu tư và rủi ro. Ở bước thứ tư, các đầu vào định giá được chuyển ngược trở lại thành câu chuyện, với sự chú ý đến các nguyên lý nền tảng của định giá. Ở bước cuối cùng, chúng ta giữ vòng phản hồi luôn mở, lắng nghe những người không đồng ý với câu chuyện, với mục đích làm cho câu chuyện (và định giá) của chúng ta trở nên tốt hơn.</w:t>
      </w:r>
    </w:p>
    <w:p>
      <w:pPr>
        <w:pStyle w:val="Para 20"/>
      </w:pPr>
      <w:r>
        <w:rPr>
          <w:rStyle w:val="Text26"/>
        </w:rPr>
        <w:bookmarkStart w:id="2367" w:name="Page_369"/>
        <w:t/>
        <w:bookmarkEnd w:id="2367"/>
      </w:r>
      <w:r>
        <w:t xml:space="preserve"> </w:t>
      </w:r>
    </w:p>
    <w:p>
      <w:bookmarkStart w:id="2368" w:name="Step_1__Construct_a_Business_Sto"/>
      <w:bookmarkStart w:id="2369" w:name="Step_1__Construct_a_Business_Sto_1"/>
      <w:pPr>
        <w:keepNext/>
        <w:pStyle w:val="Heading 4"/>
        <w:keepLines w:val="on"/>
      </w:pPr>
      <w:r>
        <w:t>Bước 1: Xây dựng một Câu chuyện Kinh doanh</w:t>
      </w:r>
      <w:bookmarkEnd w:id="2368"/>
      <w:bookmarkEnd w:id="2369"/>
    </w:p>
    <w:p>
      <w:pPr>
        <w:pStyle w:val="Para 03"/>
      </w:pPr>
      <w:r>
        <w:t>Bước đầu tiên là nghĩ ra một câu chuyện định giá mà bạn tin là phù hợp nhất với công ty bạn đang định giá. Tuy nhiên, điều này đòi hỏi bạn phải làm bài tập về nhà, hiểu rõ công ty và các sản phẩm của nó, thị trường mà nó cạnh tranh và những đối thủ mà nó đối mặt. Khi đưa ra đánh giá này, bạn có thể dựa vào những điều sau:</w:t>
      </w:r>
    </w:p>
    <w:p>
      <w:pPr>
        <w:numPr>
          <w:ilvl w:val="0"/>
          <w:numId w:val="113"/>
        </w:numPr>
        <w:pStyle w:val="Para 01"/>
      </w:pPr>
      <w:r>
        <w:t>Hoạt động kinh doanh của công ty: Một trong những thành phần quan trọng nhất khi xây dựng câu chuyện kinh doanh cho một công ty là xác định ngành kinh doanh mà nó đang hoạt động, và dù điều này nghe có vẻ hiển nhiên, nó khó hơn vẻ ngoài của nó. Ví dụ, khi được hỏi Facebook đang kinh doanh trong lĩnh vực gì, nhiều người sẽ trả lời là mạng xã hội, nhưng mạng xã hội là một nền tảng để phân phối các hoạt động kinh doanh khác, chứ không phải là một ngành kinh doanh tự thân. Facebook, ít nhất là vào năm 2023, tạo ra gần như toàn bộ doanh thu từ quảng cáo, và giả định rằng họ sẽ tiếp tục ở trong lĩnh vực quảng cáo sẽ định hình câu chuyện của bạn về Facebook.</w:t>
      </w:r>
    </w:p>
    <w:p>
      <w:pPr>
        <w:numPr>
          <w:ilvl w:val="0"/>
          <w:numId w:val="113"/>
        </w:numPr>
        <w:pStyle w:val="Para 01"/>
      </w:pPr>
      <w:r>
        <w:t>Lịch sử tài chính của công ty: Khi xây dựng câu chuyện cho một công ty, bạn nên nhìn vào lịch sử tài chính của nó, không phải vì bạn tin rằng quá khứ là khúc dạo đầu, mà vì giả định rằng lịch sử (về tăng trưởng và khả năng sinh lời trong quá khứ) sẽ lặp lại chính nó là một câu chuyện cần được biện minh, cũng như giả định về một sự đứt gãy so với lịch sử (từ tăng trưởng cao xuống thấp, từ thua lỗ sang sinh lời). Như chúng ta sẽ thấy trong các chương sắp tới, một lý do khiến các nhà phân tích gặp khó khăn khi định giá các công ty non trẻ và các start-up là do thiếu lịch sử.</w:t>
      </w:r>
    </w:p>
    <w:p>
      <w:pPr>
        <w:numPr>
          <w:ilvl w:val="0"/>
          <w:numId w:val="113"/>
        </w:numPr>
        <w:pStyle w:val="Para 01"/>
      </w:pPr>
      <w:r>
        <w:t>Lịch sử và tăng trưởng của toàn bộ thị trường: Lịch sử tăng trưởng của toàn bộ thị trường cho các sản phẩm và dịch vụ của công ty, cùng với các đánh giá về tăng trưởng trong tương lai, là một yếu tố quyết định then chốt cho câu chuyện của công ty bạn. Sẽ dễ kể một câu chuyện tăng trưởng cao hơn khi bạn là một công ty trong một thị trường đang phát triển (ví dụ: NVIDIA trong ngành chip AI), so với khi bạn là một công ty trong một thị trường trì trệ hoặc suy giảm (ví dụ: Coca Cola với nước ngọt và Altria với thuốc lá).</w:t>
      </w:r>
    </w:p>
    <w:p>
      <w:pPr>
        <w:numPr>
          <w:ilvl w:val="0"/>
          <w:numId w:val="113"/>
        </w:numPr>
        <w:pStyle w:val="Para 01"/>
      </w:pPr>
      <w:r>
        <w:t>Sự cạnh tranh: Dù việc ở trong một thị trường đang phát triển mang lại cho bạn một cơn gió thuận, nếu bạn là một công ty trong thị trường đó, bạn sẽ đối mặt với cạnh tranh và lịch sử đầy rẫy những công ty sụp đổ và bốc cháy trong các thị trường đang phát triển. Khi xây dựng câu chuyện cho công ty bạn, bạn cần nghĩ về những lợi thế cạnh tranh mà công ty bạn sở hữu (hoặc không sở hữu), và cách chúng sẽ phát triển theo thời gian. Những công ty hoạt động trong các ngành kinh doanh có ít hoặc không có rào cản gia nhập cạnh tranh sẽ thấy mình phải làm việc vất vả hơn để đạt được tăng trưởng, và câu chuyện kinh doanh của họ sẽ phải phản ánh ràng buộc này.</w:t>
      </w:r>
    </w:p>
    <w:p>
      <w:pPr>
        <w:numPr>
          <w:ilvl w:val="0"/>
          <w:numId w:val="113"/>
        </w:numPr>
        <w:pStyle w:val="Para 01"/>
      </w:pPr>
      <w:r>
        <w:t>Nền kinh tế vĩ mô: Trong chừng mực mà các công ty và ngành công nghiệp chịu ảnh hưởng của rủi ro kinh tế vĩ mô, câu chuyện của bạn sẽ phải kết hợp những gì bạn thấy đang diễn ra trên mặt trận đó. Do đó, nếu bạn đang định giá một công ty mang tính chu kỳ, đánh giá của bạn về nền kinh tế có thể trở thành một phần trong câu chuyện của công ty bạn, và với một công ty dầu khí, những gì bạn nghĩ về diễn biến tương lai của giá dầu có thể là một phần then chốt trong câu chuyện của công ty bạn.</w:t>
      </w:r>
    </w:p>
    <w:p>
      <w:pPr>
        <w:pStyle w:val="Para 03"/>
      </w:pPr>
      <w:r>
        <w:t>Khi bạn xây dựng một câu chuyện kinh doanh cho công ty mình, đáng để tự nhắc nhở rằng bạn không phải là một tiểu thuyết gia sáng tạo, và rằng bạn đang tạo nền tảng cho một định giá. Do đó, bạn nên hướng tới việc làm những điều sau:</w:t>
      </w:r>
    </w:p>
    <w:p>
      <w:pPr>
        <w:numPr>
          <w:ilvl w:val="0"/>
          <w:numId w:val="114"/>
        </w:numPr>
        <w:pStyle w:val="Para 01"/>
      </w:pPr>
      <w:r>
        <w:t>Giữ cho nó đơn giản: Khi kể những câu chuyện kinh doanh cho các công ty, thật dễ bị phân tâm bởi những nhánh của câu chuyện có thể thú vị nhưng ít liên quan đến giá trị. Những câu chuyện kinh doanh mạnh mẽ nhất trong định giá có xu hướng ngắn gọn, cô đọng công ty về cốt lõi của nó. Trong các định giá của chúng tôi về Amazon từ năm 1997 đến 2012, câu chuyện cốt lõi của chúng tôi về Amazon là nó là một công ty "Field of Dreams", được xây dựng dựa trên niềm tin rằng nếu bạn xây dựng nó (doanh thu), họ (lợi nhuận) sẽ đến, và trong các định giá của chúng tôi sau năm 2013, câu chuyện đã chuyển sang một "Cỗ máy Đột phá" (Disruption Machine), một công ty sẽ theo đuổi bất kỳ ngành kinh doanh nào mà nó cảm thấy có những điểm yếu có thể bị khai thác bởi một người chơi hiệu quả hơn và kiên nhẫn hơn.</w:t>
      </w:r>
    </w:p>
    <w:p>
      <w:pPr>
        <w:numPr>
          <w:ilvl w:val="0"/>
          <w:numId w:val="114"/>
        </w:numPr>
        <w:pStyle w:val="Para 01"/>
      </w:pPr>
      <w:r>
        <w:t>Giữ cho nó tập trung: Bất kể bạn đang định giá ngành kinh doanh nào, để nó có giá trị, kết cục cuối cùng là nó phải kiếm ra tiền. Nói ngắn gọn, một câu chuyện kinh doanh, ngay cả khi hiện tại nó chưa sinh lời, phải bao gồm những con đường để kiếm tiền trong tương lai.</w:t>
      </w:r>
    </w:p>
    <w:p>
      <w:pPr>
        <w:pStyle w:val="Para 03"/>
      </w:pPr>
      <w:r>
        <w:t>Một câu chuyện định giá tốt sẽ được hưởng lợi từ sự ngắn gọn, tránh xa những từ ngữ hoa mỹ, và dễ đồng cảm ngay cả với những người mới làm quen với định giá và kinh doanh.</w:t>
      </w:r>
    </w:p>
    <w:p>
      <w:pPr>
        <w:pStyle w:val="Para 11"/>
      </w:pPr>
      <w:r>
        <w:t xml:space="preserve"> </w:t>
      </w:r>
    </w:p>
    <w:p>
      <w:bookmarkStart w:id="2371" w:name="Business_Stories__Spanning_the_S"/>
      <w:bookmarkStart w:id="2372" w:name="Business_Stories__Spanning_the_S_1"/>
      <w:pPr>
        <w:keepNext/>
        <w:pStyle w:val="Para 27"/>
        <w:keepLines w:val="on"/>
      </w:pPr>
      <w:r>
        <w:t>Những Câu chuyện Kinh doanh: Trải dài trên Toàn bộ Phổ</w:t>
      </w:r>
      <w:bookmarkEnd w:id="2371"/>
      <w:bookmarkEnd w:id="2372"/>
    </w:p>
    <w:p>
      <w:pPr>
        <w:pStyle w:val="Para 16"/>
        <w:keepLines w:val="on"/>
      </w:pPr>
      <w:r>
        <w:t>Như trong văn học, nơi có thể lập luận rằng chỉ có một vài cốt truyện chính được đóng gói lại và trình bày như những câu chuyện mới, chỉ có một vài câu chuyện kinh doanh mà bạn thấy diễn ra trong thực tế. Dù các câu chuyện kinh doanh có thể khác nhau tùy thuộc vào ngành kinh doanh bạn đang hoạt động và vị trí của bạn trong vòng đời doanh nghiệp, điều này có nguy cơ vừa khái quát hóa quá mức vừa không bao quát hết phổ của những câu chuyện có thể có, đây là một vài câu chuyện kinh doanh kinh điển:</w:t>
      </w:r>
    </w:p>
    <w:tbl>
      <w:tblPr>
        <w:tblW w:type="auto" w:w="0"/>
      </w:tblPr>
      <w:tr>
        <w:tc>
          <w:tcPr>
            <w:tcW w:type="auto" w:w="0"/>
          </w:tcPr>
          <w:tbl>
            <w:tblPr>
              <w:tblW w:type="auto" w:w="0"/>
            </w:tblPr>
            <w:tr>
              <w:tc>
                <w:tcPr>
                  <w:tcW w:type="auto" w:w="0"/>
                  <w:shd w:val="clear" w:color="auto" w:fill="F0F0F0"/>
                </w:tcPr>
                <w:p>
                  <w:pPr>
                    <w:pStyle w:val="Para 29"/>
                    <w:keepLines w:val="on"/>
                  </w:pPr>
                  <w:r>
                    <w:t>Câu chuyện Kinh doanh</w:t>
                  </w:r>
                </w:p>
              </w:tc>
              <w:tc>
                <w:tcPr>
                  <w:tcW w:type="auto" w:w="0"/>
                  <w:shd w:val="clear" w:color="auto" w:fill="F0F0F0"/>
                </w:tcPr>
                <w:p>
                  <w:pPr>
                    <w:pStyle w:val="Para 29"/>
                    <w:keepLines w:val="on"/>
                  </w:pPr>
                  <w:r>
                    <w:t>Loại Hình Kinh doanh</w:t>
                  </w:r>
                </w:p>
              </w:tc>
              <w:tc>
                <w:tcPr>
                  <w:tcW w:type="auto" w:w="0"/>
                  <w:shd w:val="clear" w:color="auto" w:fill="F0F0F0"/>
                </w:tcPr>
                <w:p>
                  <w:pPr>
                    <w:pStyle w:val="Para 29"/>
                    <w:keepLines w:val="on"/>
                  </w:pPr>
                  <w:r>
                    <w:t>Lời Chào Hàng Đầu tư</w:t>
                  </w:r>
                </w:p>
              </w:tc>
            </w:tr>
            <w:tr>
              <w:tc>
                <w:tcPr>
                  <w:tcW w:type="auto" w:w="0"/>
                  <w:shd w:val="clear" w:color="auto" w:fill="FCFCFC"/>
                </w:tcPr>
                <w:p>
                  <w:pPr>
                    <w:pStyle w:val="Para 02"/>
                    <w:keepLines w:val="on"/>
                  </w:pPr>
                  <w:r>
                    <w:t>Kẻ Bắt nạt</w:t>
                  </w:r>
                </w:p>
              </w:tc>
              <w:tc>
                <w:tcPr>
                  <w:tcW w:type="auto" w:w="0"/>
                  <w:shd w:val="clear" w:color="auto" w:fill="FCFCFC"/>
                </w:tcPr>
                <w:p>
                  <w:pPr>
                    <w:pStyle w:val="Para 02"/>
                    <w:keepLines w:val="on"/>
                  </w:pPr>
                  <w:r>
                    <w:t>Công ty có thị phần lớn, thương hiệu vượt trội, khả năng tiếp cận nguồn vốn dồi dào, và danh tiếng tàn nhẫn</w:t>
                  </w:r>
                </w:p>
              </w:tc>
              <w:tc>
                <w:tcPr>
                  <w:tcW w:type="auto" w:w="0"/>
                  <w:shd w:val="clear" w:color="auto" w:fill="FCFCFC"/>
                </w:tcPr>
                <w:p>
                  <w:pPr>
                    <w:pStyle w:val="Para 02"/>
                    <w:keepLines w:val="on"/>
                  </w:pPr>
                  <w:r>
                    <w:t>Cán phẳng đối thủ cạnh tranh để mang lại doanh thu và lợi nhuận ngày càng tăng</w:t>
                  </w:r>
                </w:p>
              </w:tc>
            </w:tr>
            <w:tr>
              <w:tc>
                <w:tcPr>
                  <w:tcW w:type="auto" w:w="0"/>
                  <w:shd w:val="clear" w:color="auto" w:fill="FCFCFC"/>
                </w:tcPr>
                <w:p>
                  <w:pPr>
                    <w:pStyle w:val="Para 02"/>
                    <w:keepLines w:val="on"/>
                  </w:pPr>
                  <w:r>
                    <w:t>Kẻ Yếu Thế</w:t>
                  </w:r>
                </w:p>
              </w:tc>
              <w:tc>
                <w:tcPr>
                  <w:tcW w:type="auto" w:w="0"/>
                  <w:shd w:val="clear" w:color="auto" w:fill="FCFCFC"/>
                </w:tcPr>
                <w:p>
                  <w:pPr>
                    <w:pStyle w:val="Para 02"/>
                    <w:keepLines w:val="on"/>
                  </w:pPr>
                  <w:r>
                    <w:t>Công ty đứng thứ hai (hoặc thấp hơn) với khoảng cách xa về thị phần trong một ngành kinh doanh, với những tuyên bố về một sản phẩm tốt hơn hoặc rẻ hơn so với công ty thống trị</w:t>
                  </w:r>
                </w:p>
              </w:tc>
              <w:tc>
                <w:tcPr>
                  <w:tcW w:type="auto" w:w="0"/>
                  <w:shd w:val="clear" w:color="auto" w:fill="FCFCFC"/>
                </w:tcPr>
                <w:p>
                  <w:pPr>
                    <w:pStyle w:val="Para 02"/>
                    <w:keepLines w:val="on"/>
                  </w:pPr>
                  <w:r>
                    <w:t>Sẽ làm việc chăm chỉ hơn người chơi thống trị để làm hài lòng khách hàng, có thể với một hình ảnh doanh nghiệp tử tế và dịu dàng hơn</w:t>
                  </w:r>
                </w:p>
              </w:tc>
            </w:tr>
            <w:tr>
              <w:tc>
                <w:tcPr>
                  <w:tcW w:type="auto" w:w="0"/>
                  <w:shd w:val="clear" w:color="auto" w:fill="FCFCFC"/>
                </w:tcPr>
                <w:p>
                  <w:pPr>
                    <w:pStyle w:val="Para 02"/>
                    <w:keepLines w:val="on"/>
                  </w:pPr>
                  <w:r>
                    <w:t>Khoảnh khắc Eureka</w:t>
                  </w:r>
                </w:p>
              </w:tc>
              <w:tc>
                <w:tcPr>
                  <w:tcW w:type="auto" w:w="0"/>
                  <w:shd w:val="clear" w:color="auto" w:fill="FCFCFC"/>
                </w:tcPr>
                <w:p>
                  <w:pPr>
                    <w:pStyle w:val="Para 02"/>
                    <w:keepLines w:val="on"/>
                  </w:pPr>
                  <w:r>
                    <w:t>Tuyên bố đã tìm ra một nhu cầu chưa được đáp ứng trên thị trường, thường là theo một cách tình cờ, và sau đó đã nghĩ ra một cách để đáp ứng nhu cầu đó</w:t>
                  </w:r>
                </w:p>
              </w:tc>
              <w:tc>
                <w:tcPr>
                  <w:tcW w:type="auto" w:w="0"/>
                  <w:shd w:val="clear" w:color="auto" w:fill="FCFCFC"/>
                </w:tcPr>
                <w:p>
                  <w:pPr>
                    <w:pStyle w:val="Para 02"/>
                    <w:keepLines w:val="on"/>
                  </w:pPr>
                  <w:r>
                    <w:t>Sẽ thành công trong kinh doanh nhờ lấp đầy nhu cầu chưa được đáp ứng</w:t>
                  </w:r>
                </w:p>
              </w:tc>
            </w:tr>
            <w:tr>
              <w:tc>
                <w:tcPr>
                  <w:tcW w:type="auto" w:w="0"/>
                  <w:shd w:val="clear" w:color="auto" w:fill="FCFCFC"/>
                </w:tcPr>
                <w:p>
                  <w:pPr>
                    <w:pStyle w:val="Para 02"/>
                    <w:keepLines w:val="on"/>
                  </w:pPr>
                  <w:r>
                    <w:t>Chiếc Bẫy Chuột Tốt Hơn</w:t>
                  </w:r>
                </w:p>
              </w:tc>
              <w:tc>
                <w:tcPr>
                  <w:tcW w:type="auto" w:w="0"/>
                  <w:shd w:val="clear" w:color="auto" w:fill="FCFCFC"/>
                </w:tcPr>
                <w:p>
                  <w:pPr>
                    <w:pStyle w:val="Para 02"/>
                    <w:keepLines w:val="on"/>
                  </w:pPr>
                  <w:r>
                    <w:t>Khẳng định mình có cách cung cấp một sản phẩm hay dịch vụ đã tồn tại theo cách tốt hơn, hấp dẫn hơn và phù hợp hơn với nhu cầu</w:t>
                  </w:r>
                </w:p>
              </w:tc>
              <w:tc>
                <w:tcPr>
                  <w:tcW w:type="auto" w:w="0"/>
                  <w:shd w:val="clear" w:color="auto" w:fill="FCFCFC"/>
                </w:tcPr>
                <w:p>
                  <w:pPr>
                    <w:pStyle w:val="Para 02"/>
                    <w:keepLines w:val="on"/>
                  </w:pPr>
                  <w:r>
                    <w:t>Ăn mòn thị phần của những người chơi hiện có trên thị trường</w:t>
                  </w:r>
                </w:p>
              </w:tc>
            </w:tr>
            <w:tr>
              <w:tc>
                <w:tcPr>
                  <w:tcW w:type="auto" w:w="0"/>
                  <w:shd w:val="clear" w:color="auto" w:fill="FCFCFC"/>
                </w:tcPr>
                <w:p>
                  <w:pPr>
                    <w:pStyle w:val="Para 02"/>
                    <w:keepLines w:val="on"/>
                  </w:pPr>
                  <w:r>
                    <w:t>Kẻ Đột Phá</w:t>
                  </w:r>
                </w:p>
              </w:tc>
              <w:tc>
                <w:tcPr>
                  <w:tcW w:type="auto" w:w="0"/>
                  <w:shd w:val="clear" w:color="auto" w:fill="FCFCFC"/>
                </w:tcPr>
                <w:p>
                  <w:pPr>
                    <w:pStyle w:val="Para 02"/>
                    <w:keepLines w:val="on"/>
                  </w:pPr>
                  <w:r>
                    <w:t>Thay đổi cách vận hành một doanh nghiệp, làm thay đổi những cách thức cơ bản mà sản phẩm hay dịch vụ được cung cấp</w:t>
                  </w:r>
                </w:p>
              </w:tc>
              <w:tc>
                <w:tcPr>
                  <w:tcW w:type="auto" w:w="0"/>
                  <w:shd w:val="clear" w:color="auto" w:fill="FCFCFC"/>
                </w:tcPr>
                <w:p>
                  <w:pPr>
                    <w:pStyle w:val="Para 02"/>
                    <w:keepLines w:val="on"/>
                  </w:pPr>
                  <w:r>
                    <w:t>Không hiệu quả và kém hiệu suất, tin rằng sự đột phá sẽ thay đổi doanh nghiệp (trong khi vẫn kiếm tiền)</w:t>
                  </w:r>
                </w:p>
              </w:tc>
            </w:tr>
            <w:tr>
              <w:tc>
                <w:tcPr>
                  <w:tcW w:type="auto" w:w="0"/>
                  <w:shd w:val="clear" w:color="auto" w:fill="FCFCFC"/>
                </w:tcPr>
                <w:p>
                  <w:pPr>
                    <w:pStyle w:val="Para 02"/>
                    <w:keepLines w:val="on"/>
                  </w:pPr>
                  <w:r>
                    <w:t>Người Chơi Chi Phí Thấp</w:t>
                  </w:r>
                </w:p>
              </w:tc>
              <w:tc>
                <w:tcPr>
                  <w:tcW w:type="auto" w:w="0"/>
                  <w:shd w:val="clear" w:color="auto" w:fill="FCFCFC"/>
                </w:tcPr>
                <w:p>
                  <w:pPr>
                    <w:pStyle w:val="Para 02"/>
                    <w:keepLines w:val="on"/>
                  </w:pPr>
                  <w:r>
                    <w:t>Đã tìm ra cách giảm chi phí kinh doanh và sẵn sàng cắt giảm giá với kỳ vọng có thể bán được nhiều hơn hẳn</w:t>
                  </w:r>
                </w:p>
              </w:tc>
              <w:tc>
                <w:tcPr>
                  <w:tcW w:type="auto" w:w="0"/>
                  <w:shd w:val="clear" w:color="auto" w:fill="FCFCFC"/>
                </w:tcPr>
                <w:p>
                  <w:pPr>
                    <w:pStyle w:val="Para 02"/>
                    <w:keepLines w:val="on"/>
                  </w:pPr>
                  <w:r>
                    <w:t>Doanh số tăng sẽ bù đắp nhiều hơn mức lợi nhuận biên thấp hơn</w:t>
                  </w:r>
                </w:p>
              </w:tc>
            </w:tr>
            <w:tr>
              <w:tc>
                <w:tcPr>
                  <w:tcW w:type="auto" w:w="0"/>
                  <w:shd w:val="clear" w:color="auto" w:fill="FCFCFC"/>
                </w:tcPr>
                <w:p>
                  <w:pPr>
                    <w:pStyle w:val="Para 02"/>
                    <w:keepLines w:val="on"/>
                  </w:pPr>
                  <w:r>
                    <w:t>Người Truyền Giáo</w:t>
                  </w:r>
                </w:p>
              </w:tc>
              <w:tc>
                <w:tcPr>
                  <w:tcW w:type="auto" w:w="0"/>
                  <w:shd w:val="clear" w:color="auto" w:fill="FCFCFC"/>
                </w:tcPr>
                <w:p>
                  <w:pPr>
                    <w:pStyle w:val="Para 02"/>
                    <w:keepLines w:val="on"/>
                  </w:pPr>
                  <w:r>
                    <w:t>Tự thể hiện mình có một sứ mệnh lớn lao, cao cả hơn là chỉ kiếm tiền</w:t>
                  </w:r>
                </w:p>
              </w:tc>
              <w:tc>
                <w:tcPr>
                  <w:tcW w:type="auto" w:w="0"/>
                  <w:shd w:val="clear" w:color="auto" w:fill="FCFCFC"/>
                </w:tcPr>
                <w:p>
                  <w:pPr>
                    <w:pStyle w:val="Para 02"/>
                    <w:keepLines w:val="on"/>
                  </w:pPr>
                  <w:r>
                    <w:t>Kiếm tiền trong khi làm điều tốt (cho xã hội)</w:t>
                  </w:r>
                </w:p>
              </w:tc>
            </w:tr>
          </w:tbl>
          <w:p/>
        </w:tc>
      </w:tr>
    </w:tbl>
    <w:p>
      <w:pPr>
        <w:pStyle w:val="Para 16"/>
        <w:keepLines w:val="on"/>
      </w:pPr>
      <w:r>
        <w:t>Đây không phải là một danh sách toàn diện, nhưng nó bao quát một tỷ lệ lớn các doanh nghiệp trên cả thị trường vốn công khai lẫn tư nhân. Cũng có thêm hai điểm đáng nói. Thứ nhất, một công ty có thể có hai câu chuyện song song, như trường hợp của Uber vào tháng 9 năm 2015, một công ty vừa kể câu chuyện đột phá (nó đang thay đổi ngành dịch vụ xe hơi) vừa kể câu chuyện thống trị (nó tự thể hiện mình là không thể ngăn cản trên thị trường chia sẻ chuyến đi). Thứ hai, khi một công ty đi qua vòng đời của mình, câu chuyện của nó sẽ thay đổi. Vì vậy, khi Google gia nhập thị trường công cụ tìm kiếm vào năm 1998, nó là kẻ yếu thế đầy gan góc so với những người chơi đã thành danh lúc bấy giờ, nhưng đến năm 2015 nó đã chuyển mình thành người chơi thống trị trên thị trường, thậm chí có thể là một kẻ bắt nạt, với danh tiếng tương xứng.</w:t>
      </w:r>
    </w:p>
    <w:p>
      <w:pPr>
        <w:pStyle w:val="Para 11"/>
      </w:pPr>
      <w:r>
        <w:t xml:space="preserve"> </w:t>
      </w:r>
      <w:r>
        <w:rPr>
          <w:rStyle w:val="Text26"/>
        </w:rPr>
        <w:bookmarkStart w:id="2374" w:name="Page_372"/>
        <w:t/>
        <w:bookmarkEnd w:id="2374"/>
      </w:r>
      <w:r>
        <w:t xml:space="preserve"> </w:t>
      </w:r>
    </w:p>
    <w:p>
      <w:bookmarkStart w:id="2375" w:name="ILLUSTRATION_13_1__A_Business_St"/>
      <w:bookmarkStart w:id="2376" w:name="ILLUSTRATION_13_1__A_Business_St_1"/>
      <w:pPr>
        <w:keepNext/>
        <w:pStyle w:val="Para 19"/>
        <w:keepLines w:val="on"/>
      </w:pPr>
      <w:r>
        <w:t>MINH HỌA 13.1: Một Câu Chuyện Kinh Doanh cho Zomato</w:t>
      </w:r>
      <w:bookmarkEnd w:id="2375"/>
      <w:bookmarkEnd w:id="2376"/>
    </w:p>
    <w:p>
      <w:pPr>
        <w:pStyle w:val="Para 04"/>
        <w:keepLines w:val="on"/>
      </w:pPr>
      <w:r>
        <w:t>Công ty chúng ta sẽ dùng để minh họa quá trình này là Zomato, một công ty giao đồ ăn của Ấn Độ, vào thời điểm chào bán cổ phiếu lần đầu ra công chúng (IPO) năm 2021. Vào thời điểm IPO, Zomato có doanh thu khiêm tốn và lỗ hoạt động lớn, nhưng nó nắm giữ thị phần đáng kể trong thị trường giao đồ ăn nhà hàng của Ấn Độ, với hai đối thủ lớn (Zwiggy và Amazon Foods). Xây dựng một câu chuyện cho Zomato đòi hỏi phải hiểu thị trường giao đồ ăn nhà hàng của Ấn Độ và tiềm năng tăng trưởng của nó. Trong Bảng 13.1, chúng ta xem xét quy mô thị trường giao đồ ăn nhà hàng của Ấn Độ, so với Mỹ, EU và Trung Quốc.</w:t>
      </w:r>
    </w:p>
    <w:p>
      <w:pPr>
        <w:pStyle w:val="Para 25"/>
        <w:keepLines w:val="on"/>
      </w:pPr>
      <w:r>
        <w:t>Bảng 13.1</w:t>
      </w:r>
    </w:p>
    <w:p>
      <w:pPr>
        <w:keepNext/>
        <w:pStyle w:val="Para 24"/>
        <w:keepLines w:val="on"/>
      </w:pPr>
      <w:r>
        <w:t>Thị Trường Giao Đồ Ăn Nhà Hàng của Ấn Độ năm 2021</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Ấn Độ</w:t>
                  </w:r>
                </w:p>
              </w:tc>
              <w:tc>
                <w:tcPr>
                  <w:tcW w:type="auto" w:w="0"/>
                  <w:shd w:val="clear" w:color="auto" w:fill="F0F0F0"/>
                </w:tcPr>
                <w:p>
                  <w:pPr>
                    <w:pStyle w:val="Para 05"/>
                    <w:keepLines w:val="on"/>
                  </w:pPr>
                  <w:r>
                    <w:t>Trung Quốc</w:t>
                  </w:r>
                </w:p>
              </w:tc>
              <w:tc>
                <w:tcPr>
                  <w:tcW w:type="auto" w:w="0"/>
                  <w:shd w:val="clear" w:color="auto" w:fill="F0F0F0"/>
                </w:tcPr>
                <w:p>
                  <w:pPr>
                    <w:pStyle w:val="Para 05"/>
                    <w:keepLines w:val="on"/>
                  </w:pPr>
                  <w:r>
                    <w:t>Hoa Kỳ</w:t>
                  </w:r>
                </w:p>
              </w:tc>
              <w:tc>
                <w:tcPr>
                  <w:tcW w:type="auto" w:w="0"/>
                  <w:shd w:val="clear" w:color="auto" w:fill="F0F0F0"/>
                </w:tcPr>
                <w:p>
                  <w:pPr>
                    <w:pStyle w:val="Para 05"/>
                    <w:keepLines w:val="on"/>
                  </w:pPr>
                  <w:r>
                    <w:t>EU</w:t>
                  </w:r>
                </w:p>
              </w:tc>
            </w:tr>
            <w:tr>
              <w:tc>
                <w:tcPr>
                  <w:tcW w:type="auto" w:w="0"/>
                  <w:shd w:val="clear" w:color="auto" w:fill="F0F0F0"/>
                </w:tcPr>
                <w:p>
                  <w:pPr>
                    <w:pStyle w:val="Para 46"/>
                    <w:keepLines w:val="on"/>
                  </w:pPr>
                  <w:r>
                    <w:t>Chung</w:t>
                  </w: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r>
            <w:tr>
              <w:tc>
                <w:tcPr>
                  <w:tcW w:type="auto" w:w="0"/>
                  <w:shd w:val="clear" w:color="auto" w:fill="F0F0F0"/>
                </w:tcPr>
                <w:p>
                  <w:pPr>
                    <w:pStyle w:val="Para 02"/>
                    <w:keepLines w:val="on"/>
                  </w:pPr>
                  <w:r>
                    <w:t>GDP năm 2020 (tính bằng nghìn tỷ đô la Mỹ)</w:t>
                  </w:r>
                </w:p>
              </w:tc>
              <w:tc>
                <w:tcPr>
                  <w:tcW w:type="auto" w:w="0"/>
                  <w:shd w:val="clear" w:color="auto" w:fill="F0F0F0"/>
                </w:tcPr>
                <w:p>
                  <w:pPr>
                    <w:pStyle w:val="Para 06"/>
                    <w:keepLines w:val="on"/>
                  </w:pPr>
                  <w:r>
                    <w:t>$2,71</w:t>
                  </w:r>
                </w:p>
              </w:tc>
              <w:tc>
                <w:tcPr>
                  <w:tcW w:type="auto" w:w="0"/>
                  <w:shd w:val="clear" w:color="auto" w:fill="F0F0F0"/>
                </w:tcPr>
                <w:p>
                  <w:pPr>
                    <w:pStyle w:val="Para 06"/>
                    <w:keepLines w:val="on"/>
                  </w:pPr>
                  <w:r>
                    <w:t>$14,70</w:t>
                  </w:r>
                </w:p>
              </w:tc>
              <w:tc>
                <w:tcPr>
                  <w:tcW w:type="auto" w:w="0"/>
                  <w:shd w:val="clear" w:color="auto" w:fill="F0F0F0"/>
                </w:tcPr>
                <w:p>
                  <w:pPr>
                    <w:pStyle w:val="Para 06"/>
                    <w:keepLines w:val="on"/>
                  </w:pPr>
                  <w:r>
                    <w:t>$20,93</w:t>
                  </w:r>
                </w:p>
              </w:tc>
              <w:tc>
                <w:tcPr>
                  <w:tcW w:type="auto" w:w="0"/>
                  <w:shd w:val="clear" w:color="auto" w:fill="F0F0F0"/>
                </w:tcPr>
                <w:p>
                  <w:pPr>
                    <w:pStyle w:val="Para 06"/>
                    <w:keepLines w:val="on"/>
                  </w:pPr>
                  <w:r>
                    <w:t>$15,17</w:t>
                  </w:r>
                </w:p>
              </w:tc>
            </w:tr>
            <w:tr>
              <w:tc>
                <w:tcPr>
                  <w:tcW w:type="auto" w:w="0"/>
                  <w:shd w:val="clear" w:color="auto" w:fill="F0F0F0"/>
                </w:tcPr>
                <w:p>
                  <w:pPr>
                    <w:pStyle w:val="Para 02"/>
                    <w:keepLines w:val="on"/>
                  </w:pPr>
                  <w:r>
                    <w:t>Dân số (triệu người)</w:t>
                  </w:r>
                </w:p>
              </w:tc>
              <w:tc>
                <w:tcPr>
                  <w:tcW w:type="auto" w:w="0"/>
                  <w:shd w:val="clear" w:color="auto" w:fill="F0F0F0"/>
                </w:tcPr>
                <w:p>
                  <w:pPr>
                    <w:pStyle w:val="Para 06"/>
                    <w:keepLines w:val="on"/>
                  </w:pPr>
                  <w:r>
                    <w:t>1360</w:t>
                  </w:r>
                </w:p>
              </w:tc>
              <w:tc>
                <w:tcPr>
                  <w:tcW w:type="auto" w:w="0"/>
                  <w:shd w:val="clear" w:color="auto" w:fill="F0F0F0"/>
                </w:tcPr>
                <w:p>
                  <w:pPr>
                    <w:pStyle w:val="Para 06"/>
                    <w:keepLines w:val="on"/>
                  </w:pPr>
                  <w:r>
                    <w:t>1430</w:t>
                  </w:r>
                </w:p>
              </w:tc>
              <w:tc>
                <w:tcPr>
                  <w:tcW w:type="auto" w:w="0"/>
                  <w:shd w:val="clear" w:color="auto" w:fill="F0F0F0"/>
                </w:tcPr>
                <w:p>
                  <w:pPr>
                    <w:pStyle w:val="Para 06"/>
                    <w:keepLines w:val="on"/>
                  </w:pPr>
                  <w:r>
                    <w:t>330</w:t>
                  </w:r>
                </w:p>
              </w:tc>
              <w:tc>
                <w:tcPr>
                  <w:tcW w:type="auto" w:w="0"/>
                  <w:shd w:val="clear" w:color="auto" w:fill="F0F0F0"/>
                </w:tcPr>
                <w:p>
                  <w:pPr>
                    <w:pStyle w:val="Para 06"/>
                    <w:keepLines w:val="on"/>
                  </w:pPr>
                  <w:r>
                    <w:t>445</w:t>
                  </w:r>
                </w:p>
              </w:tc>
            </w:tr>
            <w:tr>
              <w:tc>
                <w:tcPr>
                  <w:tcW w:type="auto" w:w="0"/>
                  <w:shd w:val="clear" w:color="auto" w:fill="F0F0F0"/>
                </w:tcPr>
                <w:p>
                  <w:pPr>
                    <w:pStyle w:val="Para 02"/>
                    <w:keepLines w:val="on"/>
                  </w:pPr>
                  <w:r>
                    <w:t>GDP bình quân đầu người</w:t>
                  </w:r>
                </w:p>
              </w:tc>
              <w:tc>
                <w:tcPr>
                  <w:tcW w:type="auto" w:w="0"/>
                  <w:shd w:val="clear" w:color="auto" w:fill="F0F0F0"/>
                </w:tcPr>
                <w:p>
                  <w:pPr>
                    <w:pStyle w:val="Para 06"/>
                    <w:keepLines w:val="on"/>
                  </w:pPr>
                  <w:r>
                    <w:t>$1.993</w:t>
                  </w:r>
                </w:p>
              </w:tc>
              <w:tc>
                <w:tcPr>
                  <w:tcW w:type="auto" w:w="0"/>
                  <w:shd w:val="clear" w:color="auto" w:fill="F0F0F0"/>
                </w:tcPr>
                <w:p>
                  <w:pPr>
                    <w:pStyle w:val="Para 06"/>
                    <w:keepLines w:val="on"/>
                  </w:pPr>
                  <w:r>
                    <w:t>$10.280</w:t>
                  </w:r>
                </w:p>
              </w:tc>
              <w:tc>
                <w:tcPr>
                  <w:tcW w:type="auto" w:w="0"/>
                  <w:shd w:val="clear" w:color="auto" w:fill="F0F0F0"/>
                </w:tcPr>
                <w:p>
                  <w:pPr>
                    <w:pStyle w:val="Para 06"/>
                    <w:keepLines w:val="on"/>
                  </w:pPr>
                  <w:r>
                    <w:t>$63.424</w:t>
                  </w:r>
                </w:p>
              </w:tc>
              <w:tc>
                <w:tcPr>
                  <w:tcW w:type="auto" w:w="0"/>
                  <w:shd w:val="clear" w:color="auto" w:fill="F0F0F0"/>
                </w:tcPr>
                <w:p>
                  <w:pPr>
                    <w:pStyle w:val="Para 06"/>
                    <w:keepLines w:val="on"/>
                  </w:pPr>
                  <w:r>
                    <w:t>$34.090</w:t>
                  </w:r>
                </w:p>
              </w:tc>
            </w:tr>
            <w:tr>
              <w:tc>
                <w:tcPr>
                  <w:tcW w:type="auto" w:w="0"/>
                  <w:shd w:val="clear" w:color="auto" w:fill="F0F0F0"/>
                </w:tcPr>
                <w:p>
                  <w:pPr>
                    <w:pStyle w:val="Para 02"/>
                    <w:keepLines w:val="on"/>
                  </w:pPr>
                  <w:r>
                    <w:t>Số lượng nhà hàng (vào những năm 2000)</w:t>
                  </w:r>
                </w:p>
              </w:tc>
              <w:tc>
                <w:tcPr>
                  <w:tcW w:type="auto" w:w="0"/>
                  <w:shd w:val="clear" w:color="auto" w:fill="F0F0F0"/>
                </w:tcPr>
                <w:p>
                  <w:pPr>
                    <w:pStyle w:val="Para 06"/>
                    <w:keepLines w:val="on"/>
                  </w:pPr>
                  <w:r>
                    <w:t>1000</w:t>
                  </w:r>
                </w:p>
              </w:tc>
              <w:tc>
                <w:tcPr>
                  <w:tcW w:type="auto" w:w="0"/>
                  <w:shd w:val="clear" w:color="auto" w:fill="F0F0F0"/>
                </w:tcPr>
                <w:p>
                  <w:pPr>
                    <w:pStyle w:val="Para 06"/>
                    <w:keepLines w:val="on"/>
                  </w:pPr>
                  <w:r>
                    <w:t>9000</w:t>
                  </w:r>
                </w:p>
              </w:tc>
              <w:tc>
                <w:tcPr>
                  <w:tcW w:type="auto" w:w="0"/>
                  <w:shd w:val="clear" w:color="auto" w:fill="F0F0F0"/>
                </w:tcPr>
                <w:p>
                  <w:pPr>
                    <w:pStyle w:val="Para 06"/>
                    <w:keepLines w:val="on"/>
                  </w:pPr>
                  <w:r>
                    <w:t>660</w:t>
                  </w:r>
                </w:p>
              </w:tc>
              <w:tc>
                <w:tcPr>
                  <w:tcW w:type="auto" w:w="0"/>
                  <w:shd w:val="clear" w:color="auto" w:fill="F0F0F0"/>
                </w:tcPr>
                <w:p>
                  <w:pPr>
                    <w:pStyle w:val="Para 06"/>
                    <w:keepLines w:val="on"/>
                  </w:pPr>
                  <w:r>
                    <w:t>890</w:t>
                  </w:r>
                </w:p>
              </w:tc>
            </w:tr>
            <w:tr>
              <w:tc>
                <w:tcPr>
                  <w:tcW w:type="auto" w:w="0"/>
                  <w:shd w:val="clear" w:color="auto" w:fill="F0F0F0"/>
                </w:tcPr>
                <w:p>
                  <w:pPr>
                    <w:pStyle w:val="Para 46"/>
                    <w:keepLines w:val="on"/>
                  </w:pPr>
                  <w:r>
                    <w:t>Giao đồ ăn</w:t>
                  </w: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r>
            <w:tr>
              <w:tc>
                <w:tcPr>
                  <w:tcW w:type="auto" w:w="0"/>
                  <w:shd w:val="clear" w:color="auto" w:fill="F0F0F0"/>
                </w:tcPr>
                <w:p>
                  <w:pPr>
                    <w:pStyle w:val="Para 02"/>
                    <w:keepLines w:val="on"/>
                  </w:pPr>
                  <w:r>
                    <w:t>Truy cập Internet (phần trăm)</w:t>
                  </w:r>
                </w:p>
              </w:tc>
              <w:tc>
                <w:tcPr>
                  <w:tcW w:type="auto" w:w="0"/>
                  <w:shd w:val="clear" w:color="auto" w:fill="F0F0F0"/>
                </w:tcPr>
                <w:p>
                  <w:pPr>
                    <w:pStyle w:val="Para 06"/>
                    <w:keepLines w:val="on"/>
                  </w:pPr>
                  <w:r>
                    <w:t>43%</w:t>
                  </w:r>
                </w:p>
              </w:tc>
              <w:tc>
                <w:tcPr>
                  <w:tcW w:type="auto" w:w="0"/>
                  <w:shd w:val="clear" w:color="auto" w:fill="F0F0F0"/>
                </w:tcPr>
                <w:p>
                  <w:pPr>
                    <w:pStyle w:val="Para 06"/>
                    <w:keepLines w:val="on"/>
                  </w:pPr>
                  <w:r>
                    <w:t>63%</w:t>
                  </w:r>
                </w:p>
              </w:tc>
              <w:tc>
                <w:tcPr>
                  <w:tcW w:type="auto" w:w="0"/>
                  <w:shd w:val="clear" w:color="auto" w:fill="F0F0F0"/>
                </w:tcPr>
                <w:p>
                  <w:pPr>
                    <w:pStyle w:val="Para 06"/>
                    <w:keepLines w:val="on"/>
                  </w:pPr>
                  <w:r>
                    <w:t>88%</w:t>
                  </w:r>
                </w:p>
              </w:tc>
              <w:tc>
                <w:tcPr>
                  <w:tcW w:type="auto" w:w="0"/>
                  <w:shd w:val="clear" w:color="auto" w:fill="F0F0F0"/>
                </w:tcPr>
                <w:p>
                  <w:pPr>
                    <w:pStyle w:val="Para 06"/>
                    <w:keepLines w:val="on"/>
                  </w:pPr>
                  <w:r>
                    <w:t>90%</w:t>
                  </w:r>
                </w:p>
              </w:tc>
            </w:tr>
            <w:tr>
              <w:tc>
                <w:tcPr>
                  <w:tcW w:type="auto" w:w="0"/>
                  <w:shd w:val="clear" w:color="auto" w:fill="F0F0F0"/>
                </w:tcPr>
                <w:p>
                  <w:pPr>
                    <w:pStyle w:val="Para 02"/>
                    <w:keepLines w:val="on"/>
                  </w:pPr>
                  <w:r>
                    <w:t>Người dùng giao đồ ăn trực tuyến (triệu người)</w:t>
                  </w:r>
                </w:p>
              </w:tc>
              <w:tc>
                <w:tcPr>
                  <w:tcW w:type="auto" w:w="0"/>
                  <w:shd w:val="clear" w:color="auto" w:fill="F0F0F0"/>
                </w:tcPr>
                <w:p>
                  <w:pPr>
                    <w:pStyle w:val="Para 06"/>
                    <w:keepLines w:val="on"/>
                  </w:pPr>
                  <w:r>
                    <w:t>50,00</w:t>
                  </w:r>
                </w:p>
              </w:tc>
              <w:tc>
                <w:tcPr>
                  <w:tcW w:type="auto" w:w="0"/>
                  <w:shd w:val="clear" w:color="auto" w:fill="F0F0F0"/>
                </w:tcPr>
                <w:p>
                  <w:pPr>
                    <w:pStyle w:val="Para 06"/>
                    <w:keepLines w:val="on"/>
                  </w:pPr>
                  <w:r>
                    <w:t>450,00</w:t>
                  </w:r>
                </w:p>
              </w:tc>
              <w:tc>
                <w:tcPr>
                  <w:tcW w:type="auto" w:w="0"/>
                  <w:shd w:val="clear" w:color="auto" w:fill="F0F0F0"/>
                </w:tcPr>
                <w:p>
                  <w:pPr>
                    <w:pStyle w:val="Para 06"/>
                    <w:keepLines w:val="on"/>
                  </w:pPr>
                  <w:r>
                    <w:t>105,00</w:t>
                  </w:r>
                </w:p>
              </w:tc>
              <w:tc>
                <w:tcPr>
                  <w:tcW w:type="auto" w:w="0"/>
                  <w:shd w:val="clear" w:color="auto" w:fill="F0F0F0"/>
                </w:tcPr>
                <w:p>
                  <w:pPr>
                    <w:pStyle w:val="Para 06"/>
                    <w:keepLines w:val="on"/>
                  </w:pPr>
                  <w:r>
                    <w:t>150,00</w:t>
                  </w:r>
                </w:p>
              </w:tc>
            </w:tr>
            <w:tr>
              <w:tc>
                <w:tcPr>
                  <w:tcW w:type="auto" w:w="0"/>
                  <w:shd w:val="clear" w:color="auto" w:fill="F0F0F0"/>
                </w:tcPr>
                <w:p>
                  <w:pPr>
                    <w:pStyle w:val="Para 02"/>
                    <w:keepLines w:val="on"/>
                  </w:pPr>
                  <w:r>
                    <w:t>Thị trường giao đồ ăn trực tuyến (triệu USD) năm 2019</w:t>
                  </w:r>
                </w:p>
              </w:tc>
              <w:tc>
                <w:tcPr>
                  <w:tcW w:type="auto" w:w="0"/>
                  <w:shd w:val="clear" w:color="auto" w:fill="F0F0F0"/>
                </w:tcPr>
                <w:p>
                  <w:pPr>
                    <w:pStyle w:val="Para 06"/>
                    <w:keepLines w:val="on"/>
                  </w:pPr>
                  <w:r>
                    <w:t>4.200,00 USD</w:t>
                  </w:r>
                </w:p>
              </w:tc>
              <w:tc>
                <w:tcPr>
                  <w:tcW w:type="auto" w:w="0"/>
                  <w:shd w:val="clear" w:color="auto" w:fill="F0F0F0"/>
                </w:tcPr>
                <w:p>
                  <w:pPr>
                    <w:pStyle w:val="Para 06"/>
                    <w:keepLines w:val="on"/>
                  </w:pPr>
                  <w:r>
                    <w:t>90.000,00 USD</w:t>
                  </w:r>
                </w:p>
              </w:tc>
              <w:tc>
                <w:tcPr>
                  <w:tcW w:type="auto" w:w="0"/>
                  <w:shd w:val="clear" w:color="auto" w:fill="F0F0F0"/>
                </w:tcPr>
                <w:p>
                  <w:pPr>
                    <w:pStyle w:val="Para 06"/>
                    <w:keepLines w:val="on"/>
                  </w:pPr>
                  <w:r>
                    <w:t>21.000,00 USD</w:t>
                  </w:r>
                </w:p>
              </w:tc>
              <w:tc>
                <w:tcPr>
                  <w:tcW w:type="auto" w:w="0"/>
                  <w:shd w:val="clear" w:color="auto" w:fill="F0F0F0"/>
                </w:tcPr>
                <w:p>
                  <w:pPr>
                    <w:pStyle w:val="Para 06"/>
                    <w:keepLines w:val="on"/>
                  </w:pPr>
                  <w:r>
                    <w:t>15.000,00 USD</w:t>
                  </w:r>
                </w:p>
              </w:tc>
            </w:tr>
            <w:tr>
              <w:tc>
                <w:tcPr>
                  <w:tcW w:type="auto" w:w="0"/>
                  <w:shd w:val="clear" w:color="auto" w:fill="F0F0F0"/>
                </w:tcPr>
                <w:p>
                  <w:pPr>
                    <w:pStyle w:val="Para 02"/>
                    <w:keepLines w:val="on"/>
                  </w:pPr>
                  <w:r>
                    <w:t>Thị trường giao đồ ăn trực tuyến (triệu USD) năm 2020</w:t>
                  </w:r>
                </w:p>
              </w:tc>
              <w:tc>
                <w:tcPr>
                  <w:tcW w:type="auto" w:w="0"/>
                  <w:shd w:val="clear" w:color="auto" w:fill="F0F0F0"/>
                </w:tcPr>
                <w:p>
                  <w:pPr>
                    <w:pStyle w:val="Para 06"/>
                    <w:keepLines w:val="on"/>
                  </w:pPr>
                  <w:r>
                    <w:t>2.900,00 USD</w:t>
                  </w:r>
                </w:p>
              </w:tc>
              <w:tc>
                <w:tcPr>
                  <w:tcW w:type="auto" w:w="0"/>
                  <w:shd w:val="clear" w:color="auto" w:fill="F0F0F0"/>
                </w:tcPr>
                <w:p>
                  <w:pPr>
                    <w:pStyle w:val="Para 06"/>
                    <w:keepLines w:val="on"/>
                  </w:pPr>
                  <w:r>
                    <w:t>110.000,00 USD</w:t>
                  </w:r>
                </w:p>
              </w:tc>
              <w:tc>
                <w:tcPr>
                  <w:tcW w:type="auto" w:w="0"/>
                  <w:shd w:val="clear" w:color="auto" w:fill="F0F0F0"/>
                </w:tcPr>
                <w:p>
                  <w:pPr>
                    <w:pStyle w:val="Para 06"/>
                    <w:keepLines w:val="on"/>
                  </w:pPr>
                  <w:r>
                    <w:t>49.000,00 USD</w:t>
                  </w:r>
                </w:p>
              </w:tc>
              <w:tc>
                <w:tcPr>
                  <w:tcW w:type="auto" w:w="0"/>
                  <w:shd w:val="clear" w:color="auto" w:fill="F0F0F0"/>
                </w:tcPr>
                <w:p>
                  <w:pPr>
                    <w:pStyle w:val="Para 06"/>
                    <w:keepLines w:val="on"/>
                  </w:pPr>
                  <w:r>
                    <w:t>13.800,00 USD</w:t>
                  </w:r>
                </w:p>
              </w:tc>
            </w:tr>
          </w:tbl>
          <w:p/>
        </w:tc>
      </w:tr>
    </w:tbl>
    <w:p>
      <w:pPr>
        <w:pStyle w:val="Para 04"/>
        <w:keepLines w:val="on"/>
      </w:pPr>
      <w:r>
        <w:t>Như bạn có thể thấy, thị trường giao đồ ăn của Ấn Độ tụt hậu so với ba thị trường còn lại về quy mô và mức sử dụng bình quân đầu người, nhưng một phần khác biệt đó có thể là do sự khác biệt về mức sống (GDP của Ấn Độ thấp hơn) và dịch vụ internet (vì Zomato giao hàng qua ứng dụng điện thoại). Một phần cũng có thể là do khác biệt văn hóa, khi người Ấn Độ ít có xu hướng ăn ngoài ở nhà hàng hơn so với người Mỹ và người Trung Quốc.</w:t>
      </w:r>
    </w:p>
    <w:p>
      <w:pPr>
        <w:pStyle w:val="Para 04"/>
        <w:keepLines w:val="on"/>
      </w:pPr>
      <w:r>
        <w:t>Câu chuyện của chúng ta về Zomato bao gồm các yếu tố liên quan đến đất nước và xu hướng ăn uống ở nhà hàng tại Ấn Độ:</w:t>
      </w:r>
    </w:p>
    <w:p>
      <w:pPr>
        <w:numPr>
          <w:ilvl w:val="0"/>
          <w:numId w:val="115"/>
        </w:numPr>
        <w:pStyle w:val="Para 18"/>
        <w:keepLines w:val="on"/>
      </w:pPr>
      <w:r>
        <w:t>Thị trường giao đồ ăn/nhà hàng của Ấn Độ sẽ tăng trưởng, khi người Ấn Độ trở nên thịnh vượng hơn và có khả năng truy cập trực tuyến nhiều hơn, để đạt 25 tỷ USD (1.800–2.000 tỷ ₹) trong mười năm tới.</w:t>
      </w:r>
    </w:p>
    <w:p>
      <w:pPr>
        <w:numPr>
          <w:ilvl w:val="0"/>
          <w:numId w:val="115"/>
        </w:numPr>
        <w:pStyle w:val="Para 18"/>
        <w:keepLines w:val="on"/>
      </w:pPr>
      <w:r>
        <w:t>Thị trường sẽ tiếp tục bị chi phối bởi hai hoặc ba ông lớn, dù vẫn có rất nhiều đối thủ cạnh tranh mang tính địa phương và ngách, những người sẽ tiếp tục nắm giữ một phần đáng kể của thị trường. Zomato sẽ là một trong những người chiến thắng/kẻ sống sót, và sẽ nắm giữ thị phần 40% tổng thị trường giao đồ ăn từ nhà hàng.</w:t>
      </w:r>
    </w:p>
    <w:p>
      <w:pPr>
        <w:numPr>
          <w:ilvl w:val="0"/>
          <w:numId w:val="115"/>
        </w:numPr>
        <w:pStyle w:val="Para 18"/>
        <w:keepLines w:val="on"/>
      </w:pPr>
      <w:r>
        <w:t>Doanh thu của Zomato đại diện cho tỷ lệ phần trăm trong tổng số đơn hàng gộp được đặt trên nền tảng đó mà công ty thu về. Trong khi con số này là 23,13% tổng đơn hàng gộp vào năm 2020 và 21,03% vào năm 2021, chúng ta sẽ giả định rằng tỷ lệ đó sẽ hội tụ về 22% trong những năm tới.</w:t>
      </w:r>
    </w:p>
    <w:p>
      <w:pPr>
        <w:numPr>
          <w:ilvl w:val="0"/>
          <w:numId w:val="115"/>
        </w:numPr>
        <w:pStyle w:val="Para 18"/>
        <w:keepLines w:val="on"/>
      </w:pPr>
      <w:r>
        <w:t>Các khoản chi phí lớn nhất tại những doanh nghiệp trung gian như Zomato, vốn kết nối khách hàng với doanh nghiệp, thường nằm ở việc thu hút khách hàng và tiếp thị, và khi tốc độ tăng trưởng chậm lại, những chi phí này sẽ giảm đi, tính theo tỷ lệ phần trăm doanh thu, mang lại phần thưởng về lợi nhuận. Chúng ta sẽ giả định rằng biên lợi nhuận hoạt động trước thuế sẽ có xu hướng tiến về 35%, chủ yếu vì chúng ta tin rằng thị trường sẽ bị chi phối bởi một vài ông lớn, nhưng với khả năng rất thực tế rằng một kẻ nổi loạn nào đó không chịu chơi theo luật chơi có thể đảo lộn lợi nhuận.</w:t>
      </w:r>
    </w:p>
    <w:p>
      <w:pPr>
        <w:numPr>
          <w:ilvl w:val="0"/>
          <w:numId w:val="115"/>
        </w:numPr>
        <w:pStyle w:val="Para 18"/>
        <w:keepLines w:val="on"/>
      </w:pPr>
      <w:r>
        <w:t>Việc tái đầu tư của Zomato, để tạo ra tăng trưởng doanh thu, sẽ là các khoản đầu tư vào công nghệ và vào việc mua lại, và nhu cầu này sẽ tiếp tục trong tương lai gần, rồi nhẹ dần trong những năm sau đó, khi tăng trưởng giảm xuống.</w:t>
      </w:r>
    </w:p>
    <w:p>
      <w:pPr>
        <w:numPr>
          <w:ilvl w:val="0"/>
          <w:numId w:val="115"/>
        </w:numPr>
        <w:pStyle w:val="Para 18"/>
        <w:keepLines w:val="on"/>
      </w:pPr>
      <w:r>
        <w:t>Về rủi ro hoạt động, công ty này, bất chấp tham vọng toàn cầu, vẫn chủ yếu là một công ty Ấn Độ, phụ thuộc vào tăng trưởng kinh tế vĩ mô của Ấn Độ để thành công, và chi phí vốn bằng đồng rupee của chúng ta sẽ bao gồm cả rủi ro quốc gia.</w:t>
      </w:r>
    </w:p>
    <w:p>
      <w:pPr>
        <w:numPr>
          <w:ilvl w:val="0"/>
          <w:numId w:val="115"/>
        </w:numPr>
        <w:pStyle w:val="Para 18"/>
        <w:keepLines w:val="on"/>
      </w:pPr>
      <w:r>
        <w:t>Zomato là một công ty đang thua lỗ, nhưng nó không phải là một start-up đang đối mặt với nguy cơ phá sản cận kề. Về mặt tích cực, quy mô và khả năng tiếp cận vốn cũng như số dư tiền mặt được tăng cường sau IPO của nó đã đẩy giảm rủi ro thất bại. Về mặt tiêu cực, đây là một công ty vẫn đang đốt tiền, và sẽ cần tiếp cận vốn trong những năm tới để tiếp tục tồn tại. Nhìn chung, chúng ta sẽ gán xác suất thất bại là 10%, phản ánh sự cân bằng này.</w:t>
      </w:r>
    </w:p>
    <w:p>
      <w:pPr>
        <w:pStyle w:val="Para 04"/>
        <w:keepLines w:val="on"/>
      </w:pPr>
      <w:r>
        <w:t>Trên thực tế, trong câu chuyện của chúng ta, Zomato vẫn chủ yếu là một doanh nghiệp giao đồ ăn từ nhà hàng, với thu nhập bổ sung đến từ những bước thử sức vào mảng giao hàng tạp hóa và sản phẩm sức khỏe.</w:t>
      </w:r>
    </w:p>
    <w:p>
      <w:bookmarkStart w:id="2380" w:name="Step_2__The_3P_Test"/>
      <w:bookmarkStart w:id="2381" w:name="Step_2__The_3P_Test__Once_you_ha"/>
      <w:pPr>
        <w:keepNext/>
        <w:pStyle w:val="Heading 4"/>
        <w:keepLines w:val="on"/>
      </w:pPr>
      <w:r>
        <w:t>Bước 2: Bài kiểm tra 3P</w:t>
      </w:r>
      <w:bookmarkEnd w:id="2380"/>
      <w:bookmarkEnd w:id="2381"/>
    </w:p>
    <w:p>
      <w:pPr>
        <w:pStyle w:val="Para 03"/>
      </w:pPr>
      <w:r>
        <w:t>Khi bạn đã dựng xong một câu chuyện kinh doanh cho công ty mình, bạn phải dừng lại và kiểm tra xem câu chuyện đó có vượt qua được cái mà chúng ta gọi là bài kiểm tra 3P hay không: Liệu nó có khả thi (possible)? Liệu nó có hợp lý (plausible)? Liệu nó có khả năng xảy ra cao (probable)? Chúng ta nắm bắt sự khác biệt giữa ba bài kiểm tra này trong Hình 13.3.</w:t>
      </w:r>
    </w:p>
    <w:p>
      <w:bookmarkStart w:id="2383" w:name="Figure_13_3_Valuation_Stories__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87600" cy="1130300"/>
            <wp:effectExtent l="0" r="0" t="0" b="0"/>
            <wp:wrapTopAndBottom/>
            <wp:docPr id="118" name="c13f003.png" descr="Illustration depicts the probability of occurrence for the 3 P’s test (Is it possible? Is it plausible? Is it probable?)."/>
            <wp:cNvGraphicFramePr>
              <a:graphicFrameLocks noChangeAspect="1"/>
            </wp:cNvGraphicFramePr>
            <a:graphic>
              <a:graphicData uri="http://schemas.openxmlformats.org/drawingml/2006/picture">
                <pic:pic>
                  <pic:nvPicPr>
                    <pic:cNvPr id="0" name="c13f003.png" descr="Illustration depicts the probability of occurrence for the 3 P’s test (Is it possible? Is it plausible? Is it probable?)."/>
                    <pic:cNvPicPr/>
                  </pic:nvPicPr>
                  <pic:blipFill>
                    <a:blip r:embed="rId88"/>
                    <a:stretch>
                      <a:fillRect/>
                    </a:stretch>
                  </pic:blipFill>
                  <pic:spPr>
                    <a:xfrm>
                      <a:off x="0" y="0"/>
                      <a:ext cx="2387600" cy="1130300"/>
                    </a:xfrm>
                    <a:prstGeom prst="rect">
                      <a:avLst/>
                    </a:prstGeom>
                  </pic:spPr>
                </pic:pic>
              </a:graphicData>
            </a:graphic>
          </wp:anchor>
        </w:drawing>
      </w:r>
      <w:bookmarkEnd w:id="2383"/>
    </w:p>
    <w:p>
      <w:pPr>
        <w:keepNext/>
        <w:pStyle w:val="Para 22"/>
        <w:keepLines w:val="on"/>
      </w:pPr>
      <w:r>
        <w:t>Hình 13.3 Những câu chuyện định giá — Bài kiểm tra 3P</w:t>
      </w:r>
    </w:p>
    <w:p>
      <w:pPr>
        <w:pStyle w:val="Para 03"/>
      </w:pPr>
      <w:r>
        <w:t>Khi bạn đi từ khả thi đến hợp lý rồi đến khả năng xảy ra cao, bạn đang làm cho các bài kiểm tra trở nên khắt khe hơn, đòi hỏi những lời giải thích thuyết phục hơn hoặc nhiều dữ liệu hơn từ người kể chuyện. Bài kiểm tra "khả thi" là bài yếu nhất trong ba bài, chỉ đòi hỏi bạn cho thấy có tồn tại một con đường nào đó để câu chuyện của bạn đứng vững, và rằng nó không phải là một câu chuyện cổ tích. Bài kiểm tra "hợp lý" mạnh hơn, đòi hỏi bằng chứng rằng bạn đã thành công, ít nhất là ở quy mô nhỏ hơn (một thử nghiệm thị trường, một khu vực địa lý), với mô hình kinh doanh của mình. Bài kiểm tra "khả năng xảy ra cao" là bài khó nhất, vì bạn phải cho thấy câu chuyện kinh doanh của mình có thể mở rộng quy mô và các rào cản gia nhập của bạn thực sự phát huy tác dụng.</w:t>
      </w:r>
    </w:p>
    <w:p>
      <w:pPr>
        <w:pStyle w:val="Para 03"/>
      </w:pPr>
      <w:r>
        <w:t>Với những công ty có lịch sử kinh doanh dài và thành tích đã được khẳng định, việc vượt qua bài kiểm tra 3P thật dễ dàng miễn là bạn giả định họ sẽ tiếp tục với đúng mảng kinh doanh đó. Giả định rằng Coca Cola sẽ tăng trưởng cùng tốc độ với thị trường đồ uống nước ngọt, hay Altria sẽ chứng kiến doanh thu co lại khi việc hút thuốc lá tiếp tục giảm, khó có thể bị phản bác, nhưng một câu chuyện về việc Coca Cola chuyển mình thành một công ty đồ uống có cồn hay Altria mở rộng sang cần sa sẽ đòi hỏi nhiều lời giải thích hơn và sự hậu thuẫn mạnh mẽ hơn.</w:t>
      </w:r>
    </w:p>
    <w:p>
      <w:pPr>
        <w:pStyle w:val="Para 03"/>
      </w:pPr>
      <w:r>
        <w:t>Với Zomato, đó là một bài kiểm tra khó khăn hơn, vì nó đang phát triển một mô hình giao hàng mang tính đột phá trong một thị trường (giao đồ ăn nhà hàng ở Ấn Độ), mà bản thân thị trường này cũng đang tiến hóa và tăng trưởng. Xây dựng câu chuyện Zomato xoay quanh việc giao đồ ăn từ nhà hàng giúp dễ bảo vệ hơn, vì Zomato đã thành công trong mảng kinh doanh đó, ít nhất là về mặt tăng trưởng doanh thu và thị phần đáng kể. Có những người khác kể những câu chuyện lớn hơn cho Zomato vào năm 2021, từ việc nó là một doanh nghiệp giao hàng tạp hóa cho đến một nền tảng bán lẻ cho một loạt sản phẩm rộng hơn, và họ sẽ phải đối mặt với những bài kiểm tra khó khăn hơn (dù vẫn có thể vượt qua).</w:t>
      </w:r>
    </w:p>
    <w:p>
      <w:bookmarkStart w:id="2385" w:name="Step_3__Connecting_Stories_to_In_1"/>
      <w:bookmarkStart w:id="2386" w:name="Step_3__Connecting_Stories_to_In"/>
      <w:pPr>
        <w:keepNext/>
        <w:pStyle w:val="Heading 4"/>
        <w:keepLines w:val="on"/>
      </w:pPr>
      <w:r>
        <w:t>Bước 3: Kết nối câu chuyện với các đầu vào</w:t>
      </w:r>
      <w:bookmarkEnd w:id="2385"/>
      <w:bookmarkEnd w:id="2386"/>
    </w:p>
    <w:p>
      <w:pPr>
        <w:pStyle w:val="Para 03"/>
      </w:pPr>
      <w:r>
        <w:t>Để một câu chuyện trở thành một phần của việc định giá, bạn phải chuyển đổi các phần của nó thành các đầu vào định giá. Nếu bạn có một mô hình định giá với hàng tá đầu vào và kết quả đầu ra phức tạp, việc này sẽ trở nên khó khăn, nếu không muốn nói là bất khả thi. Một lý do khiến chúng tôi tin rằng việc định giá nên được tinh gọn, với càng ít đầu vào càng tốt và kết quả đầu ra hạn chế, là vì chúng dễ dàng kết nối với câu chuyện hơn nhiều. Trong Chương 11, chúng tôi đã giới thiệu phiên bản tổng quát nhất của một mô hình định giá, và chúng tôi tóm tắt những điều đó trong Hình 13.4.</w:t>
      </w:r>
    </w:p>
    <w:p>
      <w:bookmarkStart w:id="2388" w:name="Figure_13_4_The_Drivers_of_Valu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939800"/>
            <wp:effectExtent l="0" r="0" t="0" b="0"/>
            <wp:wrapTopAndBottom/>
            <wp:docPr id="119" name="c13f004.png" descr="Illustration summarizes 3 drivers of value (revenue growth, operating margins, growth or investment efficiency) to connect stories to input."/>
            <wp:cNvGraphicFramePr>
              <a:graphicFrameLocks noChangeAspect="1"/>
            </wp:cNvGraphicFramePr>
            <a:graphic>
              <a:graphicData uri="http://schemas.openxmlformats.org/drawingml/2006/picture">
                <pic:pic>
                  <pic:nvPicPr>
                    <pic:cNvPr id="0" name="c13f004.png" descr="Illustration summarizes 3 drivers of value (revenue growth, operating margins, growth or investment efficiency) to connect stories to input."/>
                    <pic:cNvPicPr/>
                  </pic:nvPicPr>
                  <pic:blipFill>
                    <a:blip r:embed="rId89"/>
                    <a:stretch>
                      <a:fillRect/>
                    </a:stretch>
                  </pic:blipFill>
                  <pic:spPr>
                    <a:xfrm>
                      <a:off x="0" y="0"/>
                      <a:ext cx="2438400" cy="939800"/>
                    </a:xfrm>
                    <a:prstGeom prst="rect">
                      <a:avLst/>
                    </a:prstGeom>
                  </pic:spPr>
                </pic:pic>
              </a:graphicData>
            </a:graphic>
          </wp:anchor>
        </w:drawing>
      </w:r>
      <w:bookmarkEnd w:id="2388"/>
    </w:p>
    <w:p>
      <w:pPr>
        <w:keepNext/>
        <w:pStyle w:val="Para 22"/>
        <w:keepLines w:val="on"/>
      </w:pPr>
      <w:r>
        <w:t>Hình 13.4 Những nhân tố dẫn dắt giá trị</w:t>
      </w:r>
    </w:p>
    <w:p>
      <w:pPr>
        <w:pStyle w:val="Para 03"/>
      </w:pPr>
      <w:r>
        <w:t>Phân tách các đầu vào, dòng tiền của một doanh nghiệp có thể được viết như một hàm của ba nhân tố dẫn dắt chính</w:t>
      </w:r>
    </w:p>
    <w:p>
      <w:pPr>
        <w:numPr>
          <w:ilvl w:val="0"/>
          <w:numId w:val="116"/>
        </w:numPr>
        <w:pStyle w:val="Para 01"/>
      </w:pPr>
      <w:r>
        <w:t>Tăng trưởng: Thành phần tăng trưởng của một câu chuyện kinh doanh được nắm bắt tốt nhất qua tăng trưởng doanh thu, với mức tăng trưởng đó đến từ việc bán được nhiều đơn vị hơn hoặc giá cao hơn trên mỗi đơn vị. Tốc độ tăng trưởng doanh thu đó sẽ cao hơn ở những thị trường lớn hơn, khiến tổng thị trường cho một sản phẩm hay dịch vụ trở thành một nhân tố dẫn dắt then chốt, và thấp hơn đối với những công ty lớn hơn trong thị trường đó, vì việc mở rộng quy mô sẽ chống lại họ.</w:t>
      </w:r>
    </w:p>
    <w:p>
      <w:pPr>
        <w:numPr>
          <w:ilvl w:val="0"/>
          <w:numId w:val="116"/>
        </w:numPr>
        <w:pStyle w:val="Para 01"/>
      </w:pPr>
      <w:r>
        <w:t>Khả năng sinh lời: Khả năng sinh lời của một câu chuyện kinh doanh thể hiện qua biên lợi nhuận hoạt động (operating margin) mà bạn ước tính cho công ty. Khi đưa ra ước tính này, bạn nên bắt đầu bằng việc nhìn vào kinh tế đơn vị (unit economics), tức là chi phí để một công ty sản xuất thêm một đơn vị để bán là bao nhiêu, với kinh tế đơn vị tốt hơn sẽ chuyển thành biên lợi nhuận hoạt động cao hơn. Một công ty phần mềm được điều hành tốt sẽ tạo ra biên lợi nhuận hoạt động ở trạng thái ổn định cao hơn nhiều so với một công ty hóa chất hay ô tô được điều hành tốt.</w:t>
      </w:r>
    </w:p>
    <w:p>
      <w:pPr>
        <w:numPr>
          <w:ilvl w:val="0"/>
          <w:numId w:val="116"/>
        </w:numPr>
        <w:pStyle w:val="Para 01"/>
      </w:pPr>
      <w:r>
        <w:t>Hiệu quả đầu tư: Để tăng trưởng doanh thu, các công ty phải tái đầu tư, với việc tái đầu tư đó là vào nhà máy và thiết bị đối với các công ty sản xuất, và vào R&amp;D cùng các thương vụ mua lại đối với các công ty công nghệ. Hiệu quả mà tăng trưởng được tạo ra có thể đo lường bằng cách nhìn vào số đô la doanh thu mà một công ty có thể tạo ra cho mỗi đô la được đầu tư (doanh thu trên vốn đầu tư), với những công ty hiệu quả hơn mang lại doanh thu cao hơn.</w:t>
      </w:r>
    </w:p>
    <w:p>
      <w:pPr>
        <w:pStyle w:val="Para 03"/>
      </w:pPr>
      <w:r>
        <w:t>Có hai đầu vào bao hàm rủi ro mà bạn nhìn thấy trong doanh nghiệp:</w:t>
      </w:r>
    </w:p>
    <w:p>
      <w:pPr>
        <w:numPr>
          <w:ilvl w:val="0"/>
          <w:numId w:val="117"/>
        </w:numPr>
        <w:pStyle w:val="Para 01"/>
      </w:pPr>
      <w:r>
        <w:t>Rủi ro hoạt động: Trong Chương 3, chúng ta đã đi qua quá trình tính chi phí vốn (cost of capital) cho một công ty, nhưng một góc nhìn tổng thể về chi phí vốn là nó đo lường rủi ro hoạt động trong một doanh nghiệp. Chỉ cần nói rằng những doanh nghiệp đối mặt với nhiều rủi ro hoạt động hơn nên có chi phí vốn cao hơn. Để cung cấp góc nhìn về việc điều gì tạo nên một chi phí vốn cao hay thấp, chúng tôi báo cáo phân phối chi phí vốn, theo khu vực, cho các công ty toàn cầu vào tháng 1 năm 2023 trong Bảng 13.2.</w:t>
      </w:r>
    </w:p>
    <w:p>
      <w:pPr>
        <w:pStyle w:val="Para 34"/>
        <w:keepLines w:val="on"/>
      </w:pPr>
      <w:r>
        <w:t>Bảng 13.2</w:t>
      </w:r>
    </w:p>
    <w:p>
      <w:pPr>
        <w:keepNext/>
        <w:pStyle w:val="Para 35"/>
        <w:keepLines w:val="on"/>
      </w:pPr>
      <w:r>
        <w:t>Chi phí vốn cho các công ty Mỹ và toàn cầu tính bằng đô la Mỹ — tháng 1 năm 2023</w:t>
      </w:r>
    </w:p>
    <w:tbl>
      <w:tblPr>
        <w:tblW w:type="auto" w:w="0"/>
      </w:tblPr>
      <w:tr>
        <w:tc>
          <w:tcPr>
            <w:tcW w:type="auto" w:w="0"/>
          </w:tcPr>
          <w:tbl>
            <w:tblPr>
              <w:tblW w:type="auto" w:w="0"/>
            </w:tblPr>
            <w:tr>
              <w:tc>
                <w:tcPr>
                  <w:tcW w:type="auto" w:w="0"/>
                  <w:shd w:val="clear" w:color="auto" w:fill="F0F0F0"/>
                </w:tcPr>
                <w:p>
                  <w:pPr>
                    <w:pStyle w:val="Para 29"/>
                    <w:keepLines w:val="on"/>
                  </w:pPr>
                  <w:r>
                    <w:t>Thập phân vị/Tứ phân vị</w:t>
                  </w:r>
                </w:p>
              </w:tc>
              <w:tc>
                <w:tcPr>
                  <w:tcW w:type="auto" w:w="0"/>
                  <w:shd w:val="clear" w:color="auto" w:fill="F0F0F0"/>
                </w:tcPr>
                <w:p>
                  <w:pPr>
                    <w:pStyle w:val="Para 17"/>
                    <w:keepLines w:val="on"/>
                  </w:pPr>
                  <w:r>
                    <w:t>Mỹ</w:t>
                  </w:r>
                </w:p>
              </w:tc>
              <w:tc>
                <w:tcPr>
                  <w:tcW w:type="auto" w:w="0"/>
                  <w:shd w:val="clear" w:color="auto" w:fill="F0F0F0"/>
                </w:tcPr>
                <w:p>
                  <w:pPr>
                    <w:pStyle w:val="Para 17"/>
                    <w:keepLines w:val="on"/>
                  </w:pPr>
                  <w:r>
                    <w:t>Thị trường mới nổi</w:t>
                  </w:r>
                </w:p>
              </w:tc>
              <w:tc>
                <w:tcPr>
                  <w:tcW w:type="auto" w:w="0"/>
                  <w:shd w:val="clear" w:color="auto" w:fill="F0F0F0"/>
                </w:tcPr>
                <w:p>
                  <w:pPr>
                    <w:pStyle w:val="Para 17"/>
                    <w:keepLines w:val="on"/>
                  </w:pPr>
                  <w:r>
                    <w:t>Châu Âu</w:t>
                  </w:r>
                </w:p>
              </w:tc>
              <w:tc>
                <w:tcPr>
                  <w:tcW w:type="auto" w:w="0"/>
                  <w:shd w:val="clear" w:color="auto" w:fill="F0F0F0"/>
                </w:tcPr>
                <w:p>
                  <w:pPr>
                    <w:pStyle w:val="Para 17"/>
                    <w:keepLines w:val="on"/>
                  </w:pPr>
                  <w:r>
                    <w:t>Nhật Bản</w:t>
                  </w:r>
                </w:p>
              </w:tc>
              <w:tc>
                <w:tcPr>
                  <w:tcW w:type="auto" w:w="0"/>
                  <w:shd w:val="clear" w:color="auto" w:fill="F0F0F0"/>
                </w:tcPr>
                <w:p>
                  <w:pPr>
                    <w:pStyle w:val="Para 17"/>
                    <w:keepLines w:val="on"/>
                  </w:pPr>
                  <w:r>
                    <w:t>Toàn cầu</w:t>
                  </w:r>
                </w:p>
              </w:tc>
            </w:tr>
            <w:tr>
              <w:tc>
                <w:tcPr>
                  <w:tcW w:type="auto" w:w="0"/>
                  <w:shd w:val="clear" w:color="auto" w:fill="F0F0F0"/>
                </w:tcPr>
                <w:p>
                  <w:pPr>
                    <w:pStyle w:val="Para 02"/>
                    <w:keepLines w:val="on"/>
                  </w:pPr>
                  <w:r>
                    <w:t>Thập phân vị thứ 1 (Rủi ro thấp nhất)</w:t>
                  </w:r>
                </w:p>
              </w:tc>
              <w:tc>
                <w:tcPr>
                  <w:tcW w:type="auto" w:w="0"/>
                  <w:shd w:val="clear" w:color="auto" w:fill="F0F0F0"/>
                </w:tcPr>
                <w:p>
                  <w:pPr>
                    <w:pStyle w:val="Normal"/>
                    <w:keepLines w:val="on"/>
                  </w:pPr>
                  <w:r>
                    <w:t>6,01%</w:t>
                  </w:r>
                </w:p>
              </w:tc>
              <w:tc>
                <w:tcPr>
                  <w:tcW w:type="auto" w:w="0"/>
                  <w:shd w:val="clear" w:color="auto" w:fill="F0F0F0"/>
                </w:tcPr>
                <w:p>
                  <w:pPr>
                    <w:pStyle w:val="Normal"/>
                    <w:keepLines w:val="on"/>
                  </w:pPr>
                  <w:r>
                    <w:t>8,08%</w:t>
                  </w:r>
                </w:p>
              </w:tc>
              <w:tc>
                <w:tcPr>
                  <w:tcW w:type="auto" w:w="0"/>
                  <w:shd w:val="clear" w:color="auto" w:fill="F0F0F0"/>
                </w:tcPr>
                <w:p>
                  <w:pPr>
                    <w:pStyle w:val="Normal"/>
                    <w:keepLines w:val="on"/>
                  </w:pPr>
                  <w:r>
                    <w:t>7,26%</w:t>
                  </w:r>
                </w:p>
              </w:tc>
              <w:tc>
                <w:tcPr>
                  <w:tcW w:type="auto" w:w="0"/>
                  <w:shd w:val="clear" w:color="auto" w:fill="F0F0F0"/>
                </w:tcPr>
                <w:p>
                  <w:pPr>
                    <w:pStyle w:val="Normal"/>
                    <w:keepLines w:val="on"/>
                  </w:pPr>
                  <w:r>
                    <w:t>7,71%</w:t>
                  </w:r>
                </w:p>
              </w:tc>
              <w:tc>
                <w:tcPr>
                  <w:tcW w:type="auto" w:w="0"/>
                  <w:shd w:val="clear" w:color="auto" w:fill="F0F0F0"/>
                </w:tcPr>
                <w:p>
                  <w:pPr>
                    <w:pStyle w:val="Normal"/>
                    <w:keepLines w:val="on"/>
                  </w:pPr>
                  <w:r>
                    <w:t>7,39%</w:t>
                  </w:r>
                </w:p>
              </w:tc>
            </w:tr>
            <w:tr>
              <w:tc>
                <w:tcPr>
                  <w:tcW w:type="auto" w:w="0"/>
                  <w:shd w:val="clear" w:color="auto" w:fill="F0F0F0"/>
                </w:tcPr>
                <w:p>
                  <w:pPr>
                    <w:pStyle w:val="Para 02"/>
                    <w:keepLines w:val="on"/>
                  </w:pPr>
                  <w:r>
                    <w:t>Tứ phân vị thứ nhất</w:t>
                  </w:r>
                </w:p>
              </w:tc>
              <w:tc>
                <w:tcPr>
                  <w:tcW w:type="auto" w:w="0"/>
                  <w:shd w:val="clear" w:color="auto" w:fill="F0F0F0"/>
                </w:tcPr>
                <w:p>
                  <w:pPr>
                    <w:pStyle w:val="Normal"/>
                    <w:keepLines w:val="on"/>
                  </w:pPr>
                  <w:r>
                    <w:t>7,26%</w:t>
                  </w:r>
                </w:p>
              </w:tc>
              <w:tc>
                <w:tcPr>
                  <w:tcW w:type="auto" w:w="0"/>
                  <w:shd w:val="clear" w:color="auto" w:fill="F0F0F0"/>
                </w:tcPr>
                <w:p>
                  <w:pPr>
                    <w:pStyle w:val="Normal"/>
                    <w:keepLines w:val="on"/>
                  </w:pPr>
                  <w:r>
                    <w:t>9,56%</w:t>
                  </w:r>
                </w:p>
              </w:tc>
              <w:tc>
                <w:tcPr>
                  <w:tcW w:type="auto" w:w="0"/>
                  <w:shd w:val="clear" w:color="auto" w:fill="F0F0F0"/>
                </w:tcPr>
                <w:p>
                  <w:pPr>
                    <w:pStyle w:val="Normal"/>
                    <w:keepLines w:val="on"/>
                  </w:pPr>
                  <w:r>
                    <w:t>8,64%</w:t>
                  </w:r>
                </w:p>
              </w:tc>
              <w:tc>
                <w:tcPr>
                  <w:tcW w:type="auto" w:w="0"/>
                  <w:shd w:val="clear" w:color="auto" w:fill="F0F0F0"/>
                </w:tcPr>
                <w:p>
                  <w:pPr>
                    <w:pStyle w:val="Normal"/>
                    <w:keepLines w:val="on"/>
                  </w:pPr>
                  <w:r>
                    <w:t>9,07%</w:t>
                  </w:r>
                </w:p>
              </w:tc>
              <w:tc>
                <w:tcPr>
                  <w:tcW w:type="auto" w:w="0"/>
                  <w:shd w:val="clear" w:color="auto" w:fill="F0F0F0"/>
                </w:tcPr>
                <w:p>
                  <w:pPr>
                    <w:pStyle w:val="Normal"/>
                    <w:keepLines w:val="on"/>
                  </w:pPr>
                  <w:r>
                    <w:t>9,08%</w:t>
                  </w:r>
                </w:p>
              </w:tc>
            </w:tr>
            <w:tr>
              <w:tc>
                <w:tcPr>
                  <w:tcW w:type="auto" w:w="0"/>
                  <w:shd w:val="clear" w:color="auto" w:fill="F0F0F0"/>
                </w:tcPr>
                <w:p>
                  <w:pPr>
                    <w:pStyle w:val="Para 02"/>
                    <w:keepLines w:val="on"/>
                  </w:pPr>
                  <w:r>
                    <w:t>Trung vị</w:t>
                  </w:r>
                </w:p>
              </w:tc>
              <w:tc>
                <w:tcPr>
                  <w:tcW w:type="auto" w:w="0"/>
                  <w:shd w:val="clear" w:color="auto" w:fill="F0F0F0"/>
                </w:tcPr>
                <w:p>
                  <w:pPr>
                    <w:pStyle w:val="Normal"/>
                    <w:keepLines w:val="on"/>
                  </w:pPr>
                  <w:r>
                    <w:t>9,63%</w:t>
                  </w:r>
                </w:p>
              </w:tc>
              <w:tc>
                <w:tcPr>
                  <w:tcW w:type="auto" w:w="0"/>
                  <w:shd w:val="clear" w:color="auto" w:fill="F0F0F0"/>
                </w:tcPr>
                <w:p>
                  <w:pPr>
                    <w:pStyle w:val="Normal"/>
                    <w:keepLines w:val="on"/>
                  </w:pPr>
                  <w:r>
                    <w:t>11,19%</w:t>
                  </w:r>
                </w:p>
              </w:tc>
              <w:tc>
                <w:tcPr>
                  <w:tcW w:type="auto" w:w="0"/>
                  <w:shd w:val="clear" w:color="auto" w:fill="F0F0F0"/>
                </w:tcPr>
                <w:p>
                  <w:pPr>
                    <w:pStyle w:val="Normal"/>
                    <w:keepLines w:val="on"/>
                  </w:pPr>
                  <w:r>
                    <w:t>10,41%</w:t>
                  </w:r>
                </w:p>
              </w:tc>
              <w:tc>
                <w:tcPr>
                  <w:tcW w:type="auto" w:w="0"/>
                  <w:shd w:val="clear" w:color="auto" w:fill="F0F0F0"/>
                </w:tcPr>
                <w:p>
                  <w:pPr>
                    <w:pStyle w:val="Normal"/>
                    <w:keepLines w:val="on"/>
                  </w:pPr>
                  <w:r>
                    <w:t>10,72%</w:t>
                  </w:r>
                </w:p>
              </w:tc>
              <w:tc>
                <w:tcPr>
                  <w:tcW w:type="auto" w:w="0"/>
                  <w:shd w:val="clear" w:color="auto" w:fill="F0F0F0"/>
                </w:tcPr>
                <w:p>
                  <w:pPr>
                    <w:pStyle w:val="Normal"/>
                    <w:keepLines w:val="on"/>
                  </w:pPr>
                  <w:r>
                    <w:t>10,60%</w:t>
                  </w:r>
                </w:p>
              </w:tc>
            </w:tr>
            <w:tr>
              <w:tc>
                <w:tcPr>
                  <w:tcW w:type="auto" w:w="0"/>
                  <w:shd w:val="clear" w:color="auto" w:fill="F0F0F0"/>
                </w:tcPr>
                <w:p>
                  <w:pPr>
                    <w:pStyle w:val="Para 02"/>
                    <w:keepLines w:val="on"/>
                  </w:pPr>
                  <w:r>
                    <w:t>Tứ phân vị thứ ba</w:t>
                  </w:r>
                </w:p>
              </w:tc>
              <w:tc>
                <w:tcPr>
                  <w:tcW w:type="auto" w:w="0"/>
                  <w:shd w:val="clear" w:color="auto" w:fill="F0F0F0"/>
                </w:tcPr>
                <w:p>
                  <w:pPr>
                    <w:pStyle w:val="Normal"/>
                    <w:keepLines w:val="on"/>
                  </w:pPr>
                  <w:r>
                    <w:t>10,88%</w:t>
                  </w:r>
                </w:p>
              </w:tc>
              <w:tc>
                <w:tcPr>
                  <w:tcW w:type="auto" w:w="0"/>
                  <w:shd w:val="clear" w:color="auto" w:fill="F0F0F0"/>
                </w:tcPr>
                <w:p>
                  <w:pPr>
                    <w:pStyle w:val="Normal"/>
                    <w:keepLines w:val="on"/>
                  </w:pPr>
                  <w:r>
                    <w:t>12,97%</w:t>
                  </w:r>
                </w:p>
              </w:tc>
              <w:tc>
                <w:tcPr>
                  <w:tcW w:type="auto" w:w="0"/>
                  <w:shd w:val="clear" w:color="auto" w:fill="F0F0F0"/>
                </w:tcPr>
                <w:p>
                  <w:pPr>
                    <w:pStyle w:val="Normal"/>
                    <w:keepLines w:val="on"/>
                  </w:pPr>
                  <w:r>
                    <w:t>12,02%</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12,07%</w:t>
                  </w:r>
                </w:p>
              </w:tc>
            </w:tr>
            <w:tr>
              <w:tc>
                <w:tcPr>
                  <w:tcW w:type="auto" w:w="0"/>
                  <w:shd w:val="clear" w:color="auto" w:fill="F0F0F0"/>
                </w:tcPr>
                <w:p>
                  <w:pPr>
                    <w:pStyle w:val="Para 02"/>
                    <w:keepLines w:val="on"/>
                  </w:pPr>
                  <w:r>
                    <w:t>Thập phân vị thứ 9 (Rủi ro cao nhất)</w:t>
                  </w:r>
                </w:p>
              </w:tc>
              <w:tc>
                <w:tcPr>
                  <w:tcW w:type="auto" w:w="0"/>
                  <w:shd w:val="clear" w:color="auto" w:fill="F0F0F0"/>
                </w:tcPr>
                <w:p>
                  <w:pPr>
                    <w:pStyle w:val="Normal"/>
                    <w:keepLines w:val="on"/>
                  </w:pPr>
                  <w:r>
                    <w:t>11,63%</w:t>
                  </w:r>
                </w:p>
              </w:tc>
              <w:tc>
                <w:tcPr>
                  <w:tcW w:type="auto" w:w="0"/>
                  <w:shd w:val="clear" w:color="auto" w:fill="F0F0F0"/>
                </w:tcPr>
                <w:p>
                  <w:pPr>
                    <w:pStyle w:val="Normal"/>
                    <w:keepLines w:val="on"/>
                  </w:pPr>
                  <w:r>
                    <w:t>15,31%</w:t>
                  </w:r>
                </w:p>
              </w:tc>
              <w:tc>
                <w:tcPr>
                  <w:tcW w:type="auto" w:w="0"/>
                  <w:shd w:val="clear" w:color="auto" w:fill="F0F0F0"/>
                </w:tcPr>
                <w:p>
                  <w:pPr>
                    <w:pStyle w:val="Normal"/>
                    <w:keepLines w:val="on"/>
                  </w:pPr>
                  <w:r>
                    <w:t>14,25%</w:t>
                  </w:r>
                </w:p>
              </w:tc>
              <w:tc>
                <w:tcPr>
                  <w:tcW w:type="auto" w:w="0"/>
                  <w:shd w:val="clear" w:color="auto" w:fill="F0F0F0"/>
                </w:tcPr>
                <w:p>
                  <w:pPr>
                    <w:pStyle w:val="Normal"/>
                    <w:keepLines w:val="on"/>
                  </w:pPr>
                  <w:r>
                    <w:t>13,10%</w:t>
                  </w:r>
                </w:p>
              </w:tc>
              <w:tc>
                <w:tcPr>
                  <w:tcW w:type="auto" w:w="0"/>
                  <w:shd w:val="clear" w:color="auto" w:fill="F0F0F0"/>
                </w:tcPr>
                <w:p>
                  <w:pPr>
                    <w:pStyle w:val="Normal"/>
                    <w:keepLines w:val="on"/>
                  </w:pPr>
                  <w:r>
                    <w:t>14,04%</w:t>
                  </w:r>
                </w:p>
              </w:tc>
            </w:tr>
          </w:tbl>
          <w:p/>
        </w:tc>
      </w:tr>
    </w:tbl>
    <w:p>
      <w:pPr>
        <w:pStyle w:val="Para 01"/>
      </w:pPr>
      <w:r>
        <w:t>Mặc dù những con số này tính bằng đô la Mỹ, nhưng việc chuyển đổi chúng sang các loại tiền tệ khác chỉ đơn giản là đưa vào mức chênh lệch lạm phát giữa đô la Mỹ và các loại tiền tệ đó. Vì vậy, nếu lạm phát kỳ vọng là 3% ở Mỹ và 5% ở Ấn Độ, thì chi phí vốn trung vị tính bằng Rupee Ấn Độ cho một công ty Ấn Độ sẽ là 13,19% (cộng thêm hai phần trăm vào chi phí vốn trung vị của một công ty thị trường mới nổi).</w:t>
      </w:r>
    </w:p>
    <w:p>
      <w:pPr>
        <w:numPr>
          <w:ilvl w:val="0"/>
          <w:numId w:val="118"/>
        </w:numPr>
        <w:pStyle w:val="Para 01"/>
      </w:pPr>
      <w:r>
        <w:t>Rủi ro thất bại: Chiết khấu dòng tiền tự do của doanh nghiệp (free cash flows to the firm) trở lại theo chi phí vốn sẽ cho ra giá trị của tài sản hoạt động của doanh nghiệp, nếu doanh nghiệp tồn tại như một thực thể đang hoạt động (going concern). Với những công ty non trẻ hoặc công ty đang gặp khó khăn, nơi có khả năng đáng kể xảy ra thất bại, bạn nên đánh giá rủi ro thất bại này và ước tính giá trị của mình nếu điều đó xảy ra, thay vì cố gắng tăng tỷ lệ chiết khấu để đưa rủi ro đó vào.</w:t>
      </w:r>
    </w:p>
    <w:p>
      <w:pPr>
        <w:pStyle w:val="Para 03"/>
      </w:pPr>
      <w:r>
        <w:t>Vì vậy, để kết nối một câu chuyện kinh doanh thành giá trị, bạn phải cân nhắc xem nên thay đổi yếu tố đầu vào nào để phản ánh câu chuyện đó. Do đó, nếu điểm bán hàng chính trong câu chuyện kinh doanh của bạn là công ty có một thị trường tiềm năng lớn, thì tăng trưởng doanh thu chính là yếu tố phản ánh niềm tin đó tốt nhất; còn nếu đó là việc công ty bạn có những lợi thế đáng kể (ví dụ: công nghệ, tên thương hiệu, bảo hộ bằng sáng chế) so với đối thủ cạnh tranh, thì điều đó sẽ thể hiện qua thị phần cao hơn. Hình 13.5 tóm tắt mối liên hệ giữa các thành phần chính của câu chuyện kinh doanh và các yếu tố đầu vào định giá.</w:t>
      </w:r>
    </w:p>
    <w:p>
      <w:bookmarkStart w:id="2393" w:name="Figure_13_5_Stories_and_Valuatio"/>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2082800"/>
            <wp:effectExtent l="0" r="0" t="0" b="0"/>
            <wp:wrapTopAndBottom/>
            <wp:docPr id="120" name="c13f005.png" descr="Illustration connecting the key components of business stories in equations to compute the value of a business."/>
            <wp:cNvGraphicFramePr>
              <a:graphicFrameLocks noChangeAspect="1"/>
            </wp:cNvGraphicFramePr>
            <a:graphic>
              <a:graphicData uri="http://schemas.openxmlformats.org/drawingml/2006/picture">
                <pic:pic>
                  <pic:nvPicPr>
                    <pic:cNvPr id="0" name="c13f005.png" descr="Illustration connecting the key components of business stories in equations to compute the value of a business."/>
                    <pic:cNvPicPr/>
                  </pic:nvPicPr>
                  <pic:blipFill>
                    <a:blip r:embed="rId90"/>
                    <a:stretch>
                      <a:fillRect/>
                    </a:stretch>
                  </pic:blipFill>
                  <pic:spPr>
                    <a:xfrm>
                      <a:off x="0" y="0"/>
                      <a:ext cx="2044700" cy="2082800"/>
                    </a:xfrm>
                    <a:prstGeom prst="rect">
                      <a:avLst/>
                    </a:prstGeom>
                  </pic:spPr>
                </pic:pic>
              </a:graphicData>
            </a:graphic>
          </wp:anchor>
        </w:drawing>
      </w:r>
      <w:bookmarkEnd w:id="2393"/>
    </w:p>
    <w:p>
      <w:pPr>
        <w:keepNext/>
        <w:pStyle w:val="Para 22"/>
        <w:keepLines w:val="on"/>
      </w:pPr>
      <w:r>
        <w:t>Hình 13.5 Câu chuyện và các yếu tố đầu vào định giá</w:t>
      </w:r>
    </w:p>
    <w:p>
      <w:pPr>
        <w:pStyle w:val="Para 11"/>
      </w:pPr>
      <w:r>
        <w:t xml:space="preserve"> </w:t>
      </w:r>
    </w:p>
    <w:p>
      <w:bookmarkStart w:id="2394" w:name="ILLUSTRATION_13_2__From_Story_to_1"/>
      <w:bookmarkStart w:id="2395" w:name="ILLUSTRATION_13_2__From_Story_to"/>
      <w:pPr>
        <w:keepNext/>
        <w:pStyle w:val="Para 19"/>
        <w:keepLines w:val="on"/>
      </w:pPr>
      <w:r>
        <w:t>MINH HỌA 13.2: Từ câu chuyện đến các yếu tố đầu vào định giá: Zomato</w:t>
      </w:r>
      <w:bookmarkEnd w:id="2394"/>
      <w:bookmarkEnd w:id="2395"/>
    </w:p>
    <w:p>
      <w:pPr>
        <w:pStyle w:val="Para 04"/>
        <w:keepLines w:val="on"/>
      </w:pPr>
      <w:r>
        <w:t>Áp dụng khung này cho Zomato, vào thời điểm IPO năm 2021, chúng tôi đã chuyển câu chuyện của mình thành các yếu tố đầu vào định giá với tổng thị trường là thị trường giao đồ ăn từ nhà hàng tại Ấn Độ. Hình 13.6 cho thấy mối liên hệ giữa câu chuyện và các yếu tố đầu vào đối với Zomato vào tháng 6 năm 2021.</w:t>
      </w:r>
    </w:p>
    <w:p>
      <w:pPr>
        <w:pStyle w:val="Para 40"/>
        <w:keepLines w:val="on"/>
      </w:pPr>
      <w:r>
        <w:rPr>
          <w:rStyle w:val="Text26"/>
        </w:rPr>
        <w:bookmarkStart w:id="2398" w:name="Page_377"/>
        <w:t/>
        <w:bookmarkEnd w:id="2398"/>
      </w:r>
      <w:r>
        <w:t xml:space="preserve"> </w:t>
      </w:r>
    </w:p>
    <w:p>
      <w:bookmarkStart w:id="2399" w:name="Figure_13_6_Stories_and_Valuatio"/>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701800"/>
            <wp:effectExtent l="0" r="0" t="0" b="0"/>
            <wp:wrapTopAndBottom/>
            <wp:docPr id="121" name="c13f006.png" descr="Illustration summarizes the link between the key drivers of a story and inputs for Zomato in June 2021."/>
            <wp:cNvGraphicFramePr>
              <a:graphicFrameLocks noChangeAspect="1"/>
            </wp:cNvGraphicFramePr>
            <a:graphic>
              <a:graphicData uri="http://schemas.openxmlformats.org/drawingml/2006/picture">
                <pic:pic>
                  <pic:nvPicPr>
                    <pic:cNvPr id="0" name="c13f006.png" descr="Illustration summarizes the link between the key drivers of a story and inputs for Zomato in June 2021."/>
                    <pic:cNvPicPr/>
                  </pic:nvPicPr>
                  <pic:blipFill>
                    <a:blip r:embed="rId91"/>
                    <a:stretch>
                      <a:fillRect/>
                    </a:stretch>
                  </pic:blipFill>
                  <pic:spPr>
                    <a:xfrm>
                      <a:off x="0" y="0"/>
                      <a:ext cx="2438400" cy="1701800"/>
                    </a:xfrm>
                    <a:prstGeom prst="rect">
                      <a:avLst/>
                    </a:prstGeom>
                  </pic:spPr>
                </pic:pic>
              </a:graphicData>
            </a:graphic>
          </wp:anchor>
        </w:drawing>
      </w:r>
      <w:bookmarkEnd w:id="2399"/>
    </w:p>
    <w:p>
      <w:pPr>
        <w:keepNext/>
        <w:pStyle w:val="Para 38"/>
        <w:keepLines w:val="on"/>
      </w:pPr>
      <w:r>
        <w:t>Hình 13.6 Câu chuyện và các yếu tố đầu vào định giá—Zomato vào tháng 6 năm 2021</w:t>
      </w:r>
    </w:p>
    <w:p>
      <w:pPr>
        <w:pStyle w:val="Para 04"/>
        <w:keepLines w:val="on"/>
      </w:pPr>
      <w:r>
        <w:t>Lưu ý rằng mọi phần của câu chuyện đều thể hiện trong một yếu tố đầu vào định giá, và việc thay đổi câu chuyện của bạn về Zomato sẽ làm thay đổi các yếu tố đầu vào này cũng như giá trị của nó.</w:t>
      </w:r>
    </w:p>
    <w:p>
      <w:bookmarkStart w:id="2400" w:name="Step_4__From_Inputs_to_Value__On"/>
      <w:bookmarkStart w:id="2401" w:name="Step_4__From_Inputs_to_Value"/>
      <w:pPr>
        <w:keepNext/>
        <w:pStyle w:val="Heading 4"/>
        <w:keepLines w:val="on"/>
      </w:pPr>
      <w:r>
        <w:t>Bước 4: Từ các yếu tố đầu vào đến giá trị</w:t>
      </w:r>
      <w:bookmarkEnd w:id="2400"/>
      <w:bookmarkEnd w:id="2401"/>
    </w:p>
    <w:p>
      <w:pPr>
        <w:pStyle w:val="Para 03"/>
      </w:pPr>
      <w:r>
        <w:t>Sau khi bạn đã chuyển câu chuyện của mình thành các yếu tố đầu vào định giá, quá trình chuyển những yếu tố đầu vào đó thành các con số dự báo và giá trị chỉ mang tính máy móc. Cụ thể, bạn dùng tăng trưởng doanh thu để có được doanh thu kỳ vọng trong các năm tương lai, rồi áp dụng biên lợi nhuận dự báo cho những doanh thu này để ra lợi nhuận hoạt động. Câu chuyện tái đầu tư chuyển những lợi nhuận này thành dòng tiền, và câu chuyện rủi ro cho phép chúng ta chiết khấu những dòng tiền này ngược về hiện tại để có giá trị ngày hôm nay.</w:t>
      </w:r>
    </w:p>
    <w:p>
      <w:pPr>
        <w:pStyle w:val="Para 03"/>
      </w:pPr>
      <w:r>
        <w:t>Tóm lại, nếu bạn đã tuân thủ đúng trình tự, thì mọi con số trong định giá của bạn đều phải có một câu chuyện đằng sau nó, và mọi câu chuyện bạn kể về một công ty đều sẽ có một con số tương ứng trong định giá của bạn. Quan trọng hơn, bạn sẽ mất khả năng tùy tiện thay đổi các yếu tố đầu vào để có một giá trị khác, vì bất kỳ thay đổi đáng kể nào về yếu tố đầu vào đều đòi hỏi bạn phải kể lại câu chuyện của mình, và rất có thể bạn sẽ thấy mình bị chặn đứng bởi bài kiểm tra 3P khi cố làm điều đó.</w:t>
      </w:r>
    </w:p>
    <w:p>
      <w:pPr>
        <w:pStyle w:val="Para 11"/>
      </w:pPr>
      <w:r>
        <w:t xml:space="preserve"> </w:t>
      </w:r>
    </w:p>
    <w:p>
      <w:bookmarkStart w:id="2402" w:name="ILLUSTRATION_13_3__From_Valuatio_1"/>
      <w:bookmarkStart w:id="2403" w:name="ILLUSTRATION_13_3__From_Valuatio"/>
      <w:pPr>
        <w:keepNext/>
        <w:pStyle w:val="Para 19"/>
        <w:keepLines w:val="on"/>
      </w:pPr>
      <w:r>
        <w:t>MINH HỌA 13.3: Từ các yếu tố đầu vào định giá đến giá trị: Zomato</w:t>
      </w:r>
      <w:bookmarkEnd w:id="2402"/>
      <w:bookmarkEnd w:id="2403"/>
    </w:p>
    <w:p>
      <w:pPr>
        <w:pStyle w:val="Para 04"/>
        <w:keepLines w:val="on"/>
      </w:pPr>
      <w:r>
        <w:t>Câu chuyện của chúng tôi về Zomato là một câu chuyện lạc quan, được xây dựng trên giả định rằng nền kinh tế Ấn Độ sẽ tiếp tục tăng trưởng mạnh, đẩy nhu cầu về đồ ăn nhà hàng và giao đồ ăn trực tuyến lên cao, và Zomato sẽ giữ được thị phần thống trị. Chúng tôi bắt đầu bằng việc dự báo lợi nhuận hoạt động kỳ vọng cho Zomato, với các yếu tố đầu vào rút ra từ câu chuyện đó.</w:t>
      </w:r>
    </w:p>
    <w:p>
      <w:pPr>
        <w:pStyle w:val="Para 40"/>
        <w:keepLines w:val="on"/>
      </w:pPr>
      <w:r>
        <w:rPr>
          <w:rStyle w:val="Text26"/>
        </w:rPr>
        <w:bookmarkStart w:id="2405" w:name="Page_378"/>
        <w:t/>
        <w:bookmarkEnd w:id="2405"/>
      </w:r>
      <w:r>
        <w:t xml:space="preserve"> </w:t>
      </w:r>
    </w:p>
    <w:p>
      <w:pPr>
        <w:keepNext/>
        <w:pStyle w:val="Para 24"/>
        <w:keepLines w:val="on"/>
      </w:pPr>
      <w:r>
        <w:t>LỢI NHUẬN HOẠT ĐỘNG KỲ VỌNG TẠI ZOMATO</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Tổng thị trường</w:t>
                  </w:r>
                </w:p>
              </w:tc>
              <w:tc>
                <w:tcPr>
                  <w:tcW w:type="auto" w:w="0"/>
                  <w:shd w:val="clear" w:color="auto" w:fill="F0F0F0"/>
                </w:tcPr>
                <w:p>
                  <w:pPr>
                    <w:pStyle w:val="Para 05"/>
                    <w:keepLines w:val="on"/>
                  </w:pPr>
                  <w:r>
                    <w:t>Thị phần</w:t>
                  </w:r>
                </w:p>
              </w:tc>
              <w:tc>
                <w:tcPr>
                  <w:tcW w:type="auto" w:w="0"/>
                  <w:shd w:val="clear" w:color="auto" w:fill="F0F0F0"/>
                </w:tcPr>
                <w:p>
                  <w:pPr>
                    <w:pStyle w:val="Para 05"/>
                    <w:keepLines w:val="on"/>
                  </w:pPr>
                  <w:r>
                    <w:t>Tỷ lệ doanh thu</w:t>
                  </w:r>
                </w:p>
              </w:tc>
              <w:tc>
                <w:tcPr>
                  <w:tcW w:type="auto" w:w="0"/>
                  <w:shd w:val="clear" w:color="auto" w:fill="F0F0F0"/>
                </w:tcPr>
                <w:p>
                  <w:pPr>
                    <w:pStyle w:val="Para 05"/>
                    <w:keepLines w:val="on"/>
                  </w:pPr>
                  <w:r>
                    <w:t>Doanh thu</w:t>
                  </w:r>
                </w:p>
              </w:tc>
              <w:tc>
                <w:tcPr>
                  <w:tcW w:type="auto" w:w="0"/>
                  <w:shd w:val="clear" w:color="auto" w:fill="F0F0F0"/>
                </w:tcPr>
                <w:p>
                  <w:pPr>
                    <w:pStyle w:val="Para 05"/>
                    <w:keepLines w:val="on"/>
                  </w:pPr>
                  <w:r>
                    <w:t>Biên lợi nhuận hoạt động</w:t>
                  </w:r>
                </w:p>
              </w:tc>
              <w:tc>
                <w:tcPr>
                  <w:tcW w:type="auto" w:w="0"/>
                  <w:shd w:val="clear" w:color="auto" w:fill="F0F0F0"/>
                </w:tcPr>
                <w:p>
                  <w:pPr>
                    <w:pStyle w:val="Para 05"/>
                    <w:keepLines w:val="on"/>
                  </w:pPr>
                  <w:r>
                    <w:t>EBIT</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₹337.500</w:t>
                  </w:r>
                </w:p>
              </w:tc>
              <w:tc>
                <w:tcPr>
                  <w:tcW w:type="auto" w:w="0"/>
                  <w:shd w:val="clear" w:color="auto" w:fill="F0F0F0"/>
                </w:tcPr>
                <w:p>
                  <w:pPr>
                    <w:pStyle w:val="Normal"/>
                    <w:keepLines w:val="on"/>
                  </w:pPr>
                  <w:r>
                    <w:t>41,72%</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₹30.975</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–₹3.097</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₹438.750</w:t>
                  </w:r>
                </w:p>
              </w:tc>
              <w:tc>
                <w:tcPr>
                  <w:tcW w:type="auto" w:w="0"/>
                  <w:shd w:val="clear" w:color="auto" w:fill="F0F0F0"/>
                </w:tcPr>
                <w:p>
                  <w:pPr>
                    <w:pStyle w:val="Normal"/>
                    <w:keepLines w:val="on"/>
                  </w:pPr>
                  <w:r>
                    <w:t>41,29%</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₹39.853</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–₹498</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₹570.375</w:t>
                  </w:r>
                </w:p>
              </w:tc>
              <w:tc>
                <w:tcPr>
                  <w:tcW w:type="auto" w:w="0"/>
                  <w:shd w:val="clear" w:color="auto" w:fill="F0F0F0"/>
                </w:tcPr>
                <w:p>
                  <w:pPr>
                    <w:pStyle w:val="Normal"/>
                    <w:keepLines w:val="on"/>
                  </w:pPr>
                  <w:r>
                    <w:t>40,86%</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₹51.270</w:t>
                  </w:r>
                </w:p>
              </w:tc>
              <w:tc>
                <w:tcPr>
                  <w:tcW w:type="auto" w:w="0"/>
                  <w:shd w:val="clear" w:color="auto" w:fill="F0F0F0"/>
                </w:tcPr>
                <w:p>
                  <w:pPr>
                    <w:pStyle w:val="Normal"/>
                    <w:keepLines w:val="on"/>
                  </w:pPr>
                  <w:r>
                    <w:t>6,88%</w:t>
                  </w:r>
                </w:p>
              </w:tc>
              <w:tc>
                <w:tcPr>
                  <w:tcW w:type="auto" w:w="0"/>
                  <w:shd w:val="clear" w:color="auto" w:fill="F0F0F0"/>
                </w:tcPr>
                <w:p>
                  <w:pPr>
                    <w:pStyle w:val="Normal"/>
                    <w:keepLines w:val="on"/>
                  </w:pPr>
                  <w:r>
                    <w:t>₹3.527</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₹741.488</w:t>
                  </w:r>
                </w:p>
              </w:tc>
              <w:tc>
                <w:tcPr>
                  <w:tcW w:type="auto" w:w="0"/>
                  <w:shd w:val="clear" w:color="auto" w:fill="F0F0F0"/>
                </w:tcPr>
                <w:p>
                  <w:pPr>
                    <w:pStyle w:val="Normal"/>
                    <w:keepLines w:val="on"/>
                  </w:pPr>
                  <w:r>
                    <w:t>40,43%</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₹65.951</w:t>
                  </w:r>
                </w:p>
              </w:tc>
              <w:tc>
                <w:tcPr>
                  <w:tcW w:type="auto" w:w="0"/>
                  <w:shd w:val="clear" w:color="auto" w:fill="F0F0F0"/>
                </w:tcPr>
                <w:p>
                  <w:pPr>
                    <w:pStyle w:val="Normal"/>
                    <w:keepLines w:val="on"/>
                  </w:pPr>
                  <w:r>
                    <w:t>12,50%</w:t>
                  </w:r>
                </w:p>
              </w:tc>
              <w:tc>
                <w:tcPr>
                  <w:tcW w:type="auto" w:w="0"/>
                  <w:shd w:val="clear" w:color="auto" w:fill="F0F0F0"/>
                </w:tcPr>
                <w:p>
                  <w:pPr>
                    <w:pStyle w:val="Normal"/>
                    <w:keepLines w:val="on"/>
                  </w:pPr>
                  <w:r>
                    <w:t>₹8.244</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₹963,934</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₹84,826</w:t>
                  </w:r>
                </w:p>
              </w:tc>
              <w:tc>
                <w:tcPr>
                  <w:tcW w:type="auto" w:w="0"/>
                  <w:shd w:val="clear" w:color="auto" w:fill="F0F0F0"/>
                </w:tcPr>
                <w:p>
                  <w:pPr>
                    <w:pStyle w:val="Normal"/>
                    <w:keepLines w:val="on"/>
                  </w:pPr>
                  <w:r>
                    <w:t>18.13%</w:t>
                  </w:r>
                </w:p>
              </w:tc>
              <w:tc>
                <w:tcPr>
                  <w:tcW w:type="auto" w:w="0"/>
                  <w:shd w:val="clear" w:color="auto" w:fill="F0F0F0"/>
                </w:tcPr>
                <w:p>
                  <w:pPr>
                    <w:pStyle w:val="Normal"/>
                    <w:keepLines w:val="on"/>
                  </w:pPr>
                  <w:r>
                    <w:t>₹15,379</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₹1,203,471</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₹105,905</w:t>
                  </w:r>
                </w:p>
              </w:tc>
              <w:tc>
                <w:tcPr>
                  <w:tcW w:type="auto" w:w="0"/>
                  <w:shd w:val="clear" w:color="auto" w:fill="F0F0F0"/>
                </w:tcPr>
                <w:p>
                  <w:pPr>
                    <w:pStyle w:val="Normal"/>
                    <w:keepLines w:val="on"/>
                  </w:pPr>
                  <w:r>
                    <w:t>20.23%</w:t>
                  </w:r>
                </w:p>
              </w:tc>
              <w:tc>
                <w:tcPr>
                  <w:tcW w:type="auto" w:w="0"/>
                  <w:shd w:val="clear" w:color="auto" w:fill="F0F0F0"/>
                </w:tcPr>
                <w:p>
                  <w:pPr>
                    <w:pStyle w:val="Normal"/>
                    <w:keepLines w:val="on"/>
                  </w:pPr>
                  <w:r>
                    <w:t>₹21,425</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₹1,440,555</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₹126,769</w:t>
                  </w:r>
                </w:p>
              </w:tc>
              <w:tc>
                <w:tcPr>
                  <w:tcW w:type="auto" w:w="0"/>
                  <w:shd w:val="clear" w:color="auto" w:fill="F0F0F0"/>
                </w:tcPr>
                <w:p>
                  <w:pPr>
                    <w:pStyle w:val="Normal"/>
                    <w:keepLines w:val="on"/>
                  </w:pPr>
                  <w:r>
                    <w:t>27.61%</w:t>
                  </w:r>
                </w:p>
              </w:tc>
              <w:tc>
                <w:tcPr>
                  <w:tcW w:type="auto" w:w="0"/>
                  <w:shd w:val="clear" w:color="auto" w:fill="F0F0F0"/>
                </w:tcPr>
                <w:p>
                  <w:pPr>
                    <w:pStyle w:val="Normal"/>
                    <w:keepLines w:val="on"/>
                  </w:pPr>
                  <w:r>
                    <w:t>₹35,001</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₹1,650,156</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₹145,214</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₹50,825</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₹1,805,271</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₹158,864</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₹55,602</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₹1,881,995</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₹165,616</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₹57,965</w:t>
                  </w:r>
                </w:p>
              </w:tc>
            </w:tr>
          </w:tbl>
          <w:p/>
        </w:tc>
      </w:tr>
    </w:tbl>
    <w:p>
      <w:pPr>
        <w:pStyle w:val="Para 04"/>
        <w:keepLines w:val="on"/>
      </w:pPr>
      <w:r>
        <w:t>Tiếp theo, chúng ta đưa vào tác động của thuế và tái đầu tư. Lưu ý rằng công ty không phải nộp thuế trong năm 1, khi công ty thua lỗ, và sử dụng khoản lỗ hoạt động được chuyển tiếp để che chắn phần lớn lợi nhuận của mình trong năm 2 khỏi việc phải chịu mức thuế suất 25%. Các giả định về hiệu quả đầu tư liên quan đến tỷ lệ doanh số trên vốn cho phép bạn ước tính khoản tái đầu tư và dòng tiền tự do, như có thể thấy trong Bảng 13.3.</w:t>
      </w:r>
    </w:p>
    <w:p>
      <w:pPr>
        <w:pStyle w:val="Para 25"/>
        <w:keepLines w:val="on"/>
      </w:pPr>
      <w:r>
        <w:t>Bảng 13.3</w:t>
      </w:r>
    </w:p>
    <w:p>
      <w:pPr>
        <w:keepNext/>
        <w:pStyle w:val="Para 24"/>
        <w:keepLines w:val="on"/>
      </w:pPr>
      <w:r>
        <w:t>Dòng tiền tự do cho doanh nghiệp và giá trị hiện tại tại Zomato năm 2021</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EBIT</w:t>
                  </w:r>
                </w:p>
              </w:tc>
              <w:tc>
                <w:tcPr>
                  <w:tcW w:type="auto" w:w="0"/>
                  <w:shd w:val="clear" w:color="auto" w:fill="F0F0F0"/>
                </w:tcPr>
                <w:p>
                  <w:pPr>
                    <w:pStyle w:val="Para 05"/>
                    <w:keepLines w:val="on"/>
                  </w:pPr>
                  <w:r>
                    <w:t>Thuế suất</w:t>
                  </w:r>
                </w:p>
              </w:tc>
              <w:tc>
                <w:tcPr>
                  <w:tcW w:type="auto" w:w="0"/>
                  <w:shd w:val="clear" w:color="auto" w:fill="F0F0F0"/>
                </w:tcPr>
                <w:p>
                  <w:pPr>
                    <w:pStyle w:val="Para 05"/>
                    <w:keepLines w:val="on"/>
                  </w:pPr>
                  <w:r>
                    <w:t>EBIT (1–t)</w:t>
                  </w:r>
                </w:p>
              </w:tc>
              <w:tc>
                <w:tcPr>
                  <w:tcW w:type="auto" w:w="0"/>
                  <w:shd w:val="clear" w:color="auto" w:fill="F0F0F0"/>
                </w:tcPr>
                <w:p>
                  <w:pPr>
                    <w:pStyle w:val="Para 05"/>
                    <w:keepLines w:val="on"/>
                  </w:pPr>
                  <w:r>
                    <w:t>Tái đầu tư</w:t>
                  </w:r>
                </w:p>
              </w:tc>
              <w:tc>
                <w:tcPr>
                  <w:tcW w:type="auto" w:w="0"/>
                  <w:shd w:val="clear" w:color="auto" w:fill="F0F0F0"/>
                </w:tcPr>
                <w:p>
                  <w:pPr>
                    <w:pStyle w:val="Para 05"/>
                    <w:keepLines w:val="on"/>
                  </w:pPr>
                  <w:r>
                    <w:t>FCFF</w:t>
                  </w:r>
                </w:p>
              </w:tc>
              <w:tc>
                <w:tcPr>
                  <w:tcW w:type="auto" w:w="0"/>
                  <w:shd w:val="clear" w:color="auto" w:fill="F0F0F0"/>
                </w:tcPr>
                <w:p>
                  <w:pPr>
                    <w:pStyle w:val="Para 05"/>
                    <w:keepLines w:val="on"/>
                  </w:pPr>
                  <w:r>
                    <w:t>Chi phí vốn</w:t>
                  </w:r>
                </w:p>
              </w:tc>
              <w:tc>
                <w:tcPr>
                  <w:tcW w:type="auto" w:w="0"/>
                  <w:shd w:val="clear" w:color="auto" w:fill="F0F0F0"/>
                </w:tcPr>
                <w:p>
                  <w:pPr>
                    <w:pStyle w:val="Para 05"/>
                    <w:keepLines w:val="on"/>
                  </w:pPr>
                  <w:r>
                    <w:t>PV</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–₹3,097</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–₹3,097</w:t>
                  </w:r>
                </w:p>
              </w:tc>
              <w:tc>
                <w:tcPr>
                  <w:tcW w:type="auto" w:w="0"/>
                  <w:shd w:val="clear" w:color="auto" w:fill="F0F0F0"/>
                </w:tcPr>
                <w:p>
                  <w:pPr>
                    <w:pStyle w:val="Normal"/>
                    <w:keepLines w:val="on"/>
                  </w:pPr>
                  <w:r>
                    <w:t>₹2,207</w:t>
                  </w:r>
                </w:p>
              </w:tc>
              <w:tc>
                <w:tcPr>
                  <w:tcW w:type="auto" w:w="0"/>
                  <w:shd w:val="clear" w:color="auto" w:fill="F0F0F0"/>
                </w:tcPr>
                <w:p>
                  <w:pPr>
                    <w:pStyle w:val="Normal"/>
                    <w:keepLines w:val="on"/>
                  </w:pPr>
                  <w:r>
                    <w:t>–₹5,305</w:t>
                  </w:r>
                </w:p>
              </w:tc>
              <w:tc>
                <w:tcPr>
                  <w:tcW w:type="auto" w:w="0"/>
                  <w:shd w:val="clear" w:color="auto" w:fill="F0F0F0"/>
                </w:tcPr>
                <w:p>
                  <w:pPr>
                    <w:pStyle w:val="Normal"/>
                    <w:keepLines w:val="on"/>
                  </w:pPr>
                  <w:r>
                    <w:t>10.25%</w:t>
                  </w:r>
                </w:p>
              </w:tc>
              <w:tc>
                <w:tcPr>
                  <w:tcW w:type="auto" w:w="0"/>
                  <w:shd w:val="clear" w:color="auto" w:fill="F0F0F0"/>
                </w:tcPr>
                <w:p>
                  <w:pPr>
                    <w:pStyle w:val="Normal"/>
                    <w:keepLines w:val="on"/>
                  </w:pPr>
                  <w:r>
                    <w:t>–$4,811</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₹498</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₹498</w:t>
                  </w:r>
                </w:p>
              </w:tc>
              <w:tc>
                <w:tcPr>
                  <w:tcW w:type="auto" w:w="0"/>
                  <w:shd w:val="clear" w:color="auto" w:fill="F0F0F0"/>
                </w:tcPr>
                <w:p>
                  <w:pPr>
                    <w:pStyle w:val="Normal"/>
                    <w:keepLines w:val="on"/>
                  </w:pPr>
                  <w:r>
                    <w:t>₹3,551</w:t>
                  </w:r>
                </w:p>
              </w:tc>
              <w:tc>
                <w:tcPr>
                  <w:tcW w:type="auto" w:w="0"/>
                  <w:shd w:val="clear" w:color="auto" w:fill="F0F0F0"/>
                </w:tcPr>
                <w:p>
                  <w:pPr>
                    <w:pStyle w:val="Normal"/>
                    <w:keepLines w:val="on"/>
                  </w:pPr>
                  <w:r>
                    <w:t>–₹3,053</w:t>
                  </w:r>
                </w:p>
              </w:tc>
              <w:tc>
                <w:tcPr>
                  <w:tcW w:type="auto" w:w="0"/>
                  <w:shd w:val="clear" w:color="auto" w:fill="F0F0F0"/>
                </w:tcPr>
                <w:p>
                  <w:pPr>
                    <w:pStyle w:val="Normal"/>
                    <w:keepLines w:val="on"/>
                  </w:pPr>
                  <w:r>
                    <w:t>10.25%</w:t>
                  </w:r>
                </w:p>
              </w:tc>
              <w:tc>
                <w:tcPr>
                  <w:tcW w:type="auto" w:w="0"/>
                  <w:shd w:val="clear" w:color="auto" w:fill="F0F0F0"/>
                </w:tcPr>
                <w:p>
                  <w:pPr>
                    <w:pStyle w:val="Normal"/>
                    <w:keepLines w:val="on"/>
                  </w:pPr>
                  <w:r>
                    <w:t>–$2,512</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₹3,527</w:t>
                  </w:r>
                </w:p>
              </w:tc>
              <w:tc>
                <w:tcPr>
                  <w:tcW w:type="auto" w:w="0"/>
                  <w:shd w:val="clear" w:color="auto" w:fill="F0F0F0"/>
                </w:tcPr>
                <w:p>
                  <w:pPr>
                    <w:pStyle w:val="Normal"/>
                    <w:keepLines w:val="on"/>
                  </w:pPr>
                  <w:r>
                    <w:t>6.63%</w:t>
                  </w:r>
                </w:p>
              </w:tc>
              <w:tc>
                <w:tcPr>
                  <w:tcW w:type="auto" w:w="0"/>
                  <w:shd w:val="clear" w:color="auto" w:fill="F0F0F0"/>
                </w:tcPr>
                <w:p>
                  <w:pPr>
                    <w:pStyle w:val="Normal"/>
                    <w:keepLines w:val="on"/>
                  </w:pPr>
                  <w:r>
                    <w:t>₹3,293</w:t>
                  </w:r>
                </w:p>
              </w:tc>
              <w:tc>
                <w:tcPr>
                  <w:tcW w:type="auto" w:w="0"/>
                  <w:shd w:val="clear" w:color="auto" w:fill="F0F0F0"/>
                </w:tcPr>
                <w:p>
                  <w:pPr>
                    <w:pStyle w:val="Normal"/>
                    <w:keepLines w:val="on"/>
                  </w:pPr>
                  <w:r>
                    <w:t>₹4,567</w:t>
                  </w:r>
                </w:p>
              </w:tc>
              <w:tc>
                <w:tcPr>
                  <w:tcW w:type="auto" w:w="0"/>
                  <w:shd w:val="clear" w:color="auto" w:fill="F0F0F0"/>
                </w:tcPr>
                <w:p>
                  <w:pPr>
                    <w:pStyle w:val="Normal"/>
                    <w:keepLines w:val="on"/>
                  </w:pPr>
                  <w:r>
                    <w:t>–₹1,273</w:t>
                  </w:r>
                </w:p>
              </w:tc>
              <w:tc>
                <w:tcPr>
                  <w:tcW w:type="auto" w:w="0"/>
                  <w:shd w:val="clear" w:color="auto" w:fill="F0F0F0"/>
                </w:tcPr>
                <w:p>
                  <w:pPr>
                    <w:pStyle w:val="Normal"/>
                    <w:keepLines w:val="on"/>
                  </w:pPr>
                  <w:r>
                    <w:t>10,25%</w:t>
                  </w:r>
                </w:p>
              </w:tc>
              <w:tc>
                <w:tcPr>
                  <w:tcW w:type="auto" w:w="0"/>
                  <w:shd w:val="clear" w:color="auto" w:fill="F0F0F0"/>
                </w:tcPr>
                <w:p>
                  <w:pPr>
                    <w:pStyle w:val="Normal"/>
                    <w:keepLines w:val="on"/>
                  </w:pPr>
                  <w:r>
                    <w:t>–950 đô la</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₹8.244</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₹6.183</w:t>
                  </w:r>
                </w:p>
              </w:tc>
              <w:tc>
                <w:tcPr>
                  <w:tcW w:type="auto" w:w="0"/>
                  <w:shd w:val="clear" w:color="auto" w:fill="F0F0F0"/>
                </w:tcPr>
                <w:p>
                  <w:pPr>
                    <w:pStyle w:val="Normal"/>
                    <w:keepLines w:val="on"/>
                  </w:pPr>
                  <w:r>
                    <w:t>₹5.872</w:t>
                  </w:r>
                </w:p>
              </w:tc>
              <w:tc>
                <w:tcPr>
                  <w:tcW w:type="auto" w:w="0"/>
                  <w:shd w:val="clear" w:color="auto" w:fill="F0F0F0"/>
                </w:tcPr>
                <w:p>
                  <w:pPr>
                    <w:pStyle w:val="Normal"/>
                    <w:keepLines w:val="on"/>
                  </w:pPr>
                  <w:r>
                    <w:t>₹311</w:t>
                  </w:r>
                </w:p>
              </w:tc>
              <w:tc>
                <w:tcPr>
                  <w:tcW w:type="auto" w:w="0"/>
                  <w:shd w:val="clear" w:color="auto" w:fill="F0F0F0"/>
                </w:tcPr>
                <w:p>
                  <w:pPr>
                    <w:pStyle w:val="Normal"/>
                    <w:keepLines w:val="on"/>
                  </w:pPr>
                  <w:r>
                    <w:t>10,25%</w:t>
                  </w:r>
                </w:p>
              </w:tc>
              <w:tc>
                <w:tcPr>
                  <w:tcW w:type="auto" w:w="0"/>
                  <w:shd w:val="clear" w:color="auto" w:fill="F0F0F0"/>
                </w:tcPr>
                <w:p>
                  <w:pPr>
                    <w:pStyle w:val="Normal"/>
                    <w:keepLines w:val="on"/>
                  </w:pPr>
                  <w:r>
                    <w:t>210 đô la</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₹15.379</w:t>
                  </w:r>
                </w:p>
              </w:tc>
              <w:tc>
                <w:tcPr>
                  <w:tcW w:type="auto" w:w="0"/>
                  <w:shd w:val="clear" w:color="auto" w:fill="F0F0F0"/>
                </w:tcPr>
                <w:p>
                  <w:pPr>
                    <w:pStyle w:val="Normal"/>
                    <w:keepLines w:val="on"/>
                  </w:pPr>
                  <w:r>
                    <w:t>25,02%</w:t>
                  </w:r>
                </w:p>
              </w:tc>
              <w:tc>
                <w:tcPr>
                  <w:tcW w:type="auto" w:w="0"/>
                  <w:shd w:val="clear" w:color="auto" w:fill="F0F0F0"/>
                </w:tcPr>
                <w:p>
                  <w:pPr>
                    <w:pStyle w:val="Normal"/>
                    <w:keepLines w:val="on"/>
                  </w:pPr>
                  <w:r>
                    <w:t>₹11.531</w:t>
                  </w:r>
                </w:p>
              </w:tc>
              <w:tc>
                <w:tcPr>
                  <w:tcW w:type="auto" w:w="0"/>
                  <w:shd w:val="clear" w:color="auto" w:fill="F0F0F0"/>
                </w:tcPr>
                <w:p>
                  <w:pPr>
                    <w:pStyle w:val="Normal"/>
                    <w:keepLines w:val="on"/>
                  </w:pPr>
                  <w:r>
                    <w:t>₹6.292</w:t>
                  </w:r>
                </w:p>
              </w:tc>
              <w:tc>
                <w:tcPr>
                  <w:tcW w:type="auto" w:w="0"/>
                  <w:shd w:val="clear" w:color="auto" w:fill="F0F0F0"/>
                </w:tcPr>
                <w:p>
                  <w:pPr>
                    <w:pStyle w:val="Normal"/>
                    <w:keepLines w:val="on"/>
                  </w:pPr>
                  <w:r>
                    <w:t>₹5.239</w:t>
                  </w:r>
                </w:p>
              </w:tc>
              <w:tc>
                <w:tcPr>
                  <w:tcW w:type="auto" w:w="0"/>
                  <w:shd w:val="clear" w:color="auto" w:fill="F0F0F0"/>
                </w:tcPr>
                <w:p>
                  <w:pPr>
                    <w:pStyle w:val="Normal"/>
                    <w:keepLines w:val="on"/>
                  </w:pPr>
                  <w:r>
                    <w:t>10,25%</w:t>
                  </w:r>
                </w:p>
              </w:tc>
              <w:tc>
                <w:tcPr>
                  <w:tcW w:type="auto" w:w="0"/>
                  <w:shd w:val="clear" w:color="auto" w:fill="F0F0F0"/>
                </w:tcPr>
                <w:p>
                  <w:pPr>
                    <w:pStyle w:val="Normal"/>
                    <w:keepLines w:val="on"/>
                  </w:pPr>
                  <w:r>
                    <w:t>3.216 đô la</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₹21.425</w:t>
                  </w:r>
                </w:p>
              </w:tc>
              <w:tc>
                <w:tcPr>
                  <w:tcW w:type="auto" w:w="0"/>
                  <w:shd w:val="clear" w:color="auto" w:fill="F0F0F0"/>
                </w:tcPr>
                <w:p>
                  <w:pPr>
                    <w:pStyle w:val="Normal"/>
                    <w:keepLines w:val="on"/>
                  </w:pPr>
                  <w:r>
                    <w:t>25,02%</w:t>
                  </w:r>
                </w:p>
              </w:tc>
              <w:tc>
                <w:tcPr>
                  <w:tcW w:type="auto" w:w="0"/>
                  <w:shd w:val="clear" w:color="auto" w:fill="F0F0F0"/>
                </w:tcPr>
                <w:p>
                  <w:pPr>
                    <w:pStyle w:val="Normal"/>
                    <w:keepLines w:val="on"/>
                  </w:pPr>
                  <w:r>
                    <w:t>₹16.065</w:t>
                  </w:r>
                </w:p>
              </w:tc>
              <w:tc>
                <w:tcPr>
                  <w:tcW w:type="auto" w:w="0"/>
                  <w:shd w:val="clear" w:color="auto" w:fill="F0F0F0"/>
                </w:tcPr>
                <w:p>
                  <w:pPr>
                    <w:pStyle w:val="Normal"/>
                    <w:keepLines w:val="on"/>
                  </w:pPr>
                  <w:r>
                    <w:t>₹7.026</w:t>
                  </w:r>
                </w:p>
              </w:tc>
              <w:tc>
                <w:tcPr>
                  <w:tcW w:type="auto" w:w="0"/>
                  <w:shd w:val="clear" w:color="auto" w:fill="F0F0F0"/>
                </w:tcPr>
                <w:p>
                  <w:pPr>
                    <w:pStyle w:val="Normal"/>
                    <w:keepLines w:val="on"/>
                  </w:pPr>
                  <w:r>
                    <w:t>₹9.039</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$5,044</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₹35.001</w:t>
                  </w:r>
                </w:p>
              </w:tc>
              <w:tc>
                <w:tcPr>
                  <w:tcW w:type="auto" w:w="0"/>
                  <w:shd w:val="clear" w:color="auto" w:fill="F0F0F0"/>
                </w:tcPr>
                <w:p>
                  <w:pPr>
                    <w:pStyle w:val="Normal"/>
                    <w:keepLines w:val="on"/>
                  </w:pPr>
                  <w:r>
                    <w:t>24,99%</w:t>
                  </w:r>
                </w:p>
              </w:tc>
              <w:tc>
                <w:tcPr>
                  <w:tcW w:type="auto" w:w="0"/>
                  <w:shd w:val="clear" w:color="auto" w:fill="F0F0F0"/>
                </w:tcPr>
                <w:p>
                  <w:pPr>
                    <w:pStyle w:val="Normal"/>
                    <w:keepLines w:val="on"/>
                  </w:pPr>
                  <w:r>
                    <w:t>₹26.253</w:t>
                  </w:r>
                </w:p>
              </w:tc>
              <w:tc>
                <w:tcPr>
                  <w:tcW w:type="auto" w:w="0"/>
                  <w:shd w:val="clear" w:color="auto" w:fill="F0F0F0"/>
                </w:tcPr>
                <w:p>
                  <w:pPr>
                    <w:pStyle w:val="Normal"/>
                    <w:keepLines w:val="on"/>
                  </w:pPr>
                  <w:r>
                    <w:t>₹6.954</w:t>
                  </w:r>
                </w:p>
              </w:tc>
              <w:tc>
                <w:tcPr>
                  <w:tcW w:type="auto" w:w="0"/>
                  <w:shd w:val="clear" w:color="auto" w:fill="F0F0F0"/>
                </w:tcPr>
                <w:p>
                  <w:pPr>
                    <w:pStyle w:val="Normal"/>
                    <w:keepLines w:val="on"/>
                  </w:pPr>
                  <w:r>
                    <w:t>₹19.299</w:t>
                  </w:r>
                </w:p>
              </w:tc>
              <w:tc>
                <w:tcPr>
                  <w:tcW w:type="auto" w:w="0"/>
                  <w:shd w:val="clear" w:color="auto" w:fill="F0F0F0"/>
                </w:tcPr>
                <w:p>
                  <w:pPr>
                    <w:pStyle w:val="Normal"/>
                    <w:keepLines w:val="on"/>
                  </w:pPr>
                  <w:r>
                    <w:t>9,74%</w:t>
                  </w:r>
                </w:p>
              </w:tc>
              <w:tc>
                <w:tcPr>
                  <w:tcW w:type="auto" w:w="0"/>
                  <w:shd w:val="clear" w:color="auto" w:fill="F0F0F0"/>
                </w:tcPr>
                <w:p>
                  <w:pPr>
                    <w:pStyle w:val="Normal"/>
                    <w:keepLines w:val="on"/>
                  </w:pPr>
                  <w:r>
                    <w:t>$9.813</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₹50.825</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₹38.119</w:t>
                  </w:r>
                </w:p>
              </w:tc>
              <w:tc>
                <w:tcPr>
                  <w:tcW w:type="auto" w:w="0"/>
                  <w:shd w:val="clear" w:color="auto" w:fill="F0F0F0"/>
                </w:tcPr>
                <w:p>
                  <w:pPr>
                    <w:pStyle w:val="Normal"/>
                    <w:keepLines w:val="on"/>
                  </w:pPr>
                  <w:r>
                    <w:t>₹6.148</w:t>
                  </w:r>
                </w:p>
              </w:tc>
              <w:tc>
                <w:tcPr>
                  <w:tcW w:type="auto" w:w="0"/>
                  <w:shd w:val="clear" w:color="auto" w:fill="F0F0F0"/>
                </w:tcPr>
                <w:p>
                  <w:pPr>
                    <w:pStyle w:val="Normal"/>
                    <w:keepLines w:val="on"/>
                  </w:pPr>
                  <w:r>
                    <w:t>₹31.970</w:t>
                  </w:r>
                </w:p>
              </w:tc>
              <w:tc>
                <w:tcPr>
                  <w:tcW w:type="auto" w:w="0"/>
                  <w:shd w:val="clear" w:color="auto" w:fill="F0F0F0"/>
                </w:tcPr>
                <w:p>
                  <w:pPr>
                    <w:pStyle w:val="Normal"/>
                    <w:keepLines w:val="on"/>
                  </w:pPr>
                  <w:r>
                    <w:t>9,48%</w:t>
                  </w:r>
                </w:p>
              </w:tc>
              <w:tc>
                <w:tcPr>
                  <w:tcW w:type="auto" w:w="0"/>
                  <w:shd w:val="clear" w:color="auto" w:fill="F0F0F0"/>
                </w:tcPr>
                <w:p>
                  <w:pPr>
                    <w:pStyle w:val="Normal"/>
                    <w:keepLines w:val="on"/>
                  </w:pPr>
                  <w:r>
                    <w:t>$14.848</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₹55.602</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₹41.702</w:t>
                  </w:r>
                </w:p>
              </w:tc>
              <w:tc>
                <w:tcPr>
                  <w:tcW w:type="auto" w:w="0"/>
                  <w:shd w:val="clear" w:color="auto" w:fill="F0F0F0"/>
                </w:tcPr>
                <w:p>
                  <w:pPr>
                    <w:pStyle w:val="Normal"/>
                    <w:keepLines w:val="on"/>
                  </w:pPr>
                  <w:r>
                    <w:t>₹4.550</w:t>
                  </w:r>
                </w:p>
              </w:tc>
              <w:tc>
                <w:tcPr>
                  <w:tcW w:type="auto" w:w="0"/>
                  <w:shd w:val="clear" w:color="auto" w:fill="F0F0F0"/>
                </w:tcPr>
                <w:p>
                  <w:pPr>
                    <w:pStyle w:val="Normal"/>
                    <w:keepLines w:val="on"/>
                  </w:pPr>
                  <w:r>
                    <w:t>₹37.152</w:t>
                  </w:r>
                </w:p>
              </w:tc>
              <w:tc>
                <w:tcPr>
                  <w:tcW w:type="auto" w:w="0"/>
                  <w:shd w:val="clear" w:color="auto" w:fill="F0F0F0"/>
                </w:tcPr>
                <w:p>
                  <w:pPr>
                    <w:pStyle w:val="Normal"/>
                    <w:keepLines w:val="on"/>
                  </w:pPr>
                  <w:r>
                    <w:t>9,23%</w:t>
                  </w:r>
                </w:p>
              </w:tc>
              <w:tc>
                <w:tcPr>
                  <w:tcW w:type="auto" w:w="0"/>
                  <w:shd w:val="clear" w:color="auto" w:fill="F0F0F0"/>
                </w:tcPr>
                <w:p>
                  <w:pPr>
                    <w:pStyle w:val="Normal"/>
                    <w:keepLines w:val="on"/>
                  </w:pPr>
                  <w:r>
                    <w:t>$15.797</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₹57.965</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₹43.474</w:t>
                  </w:r>
                </w:p>
              </w:tc>
              <w:tc>
                <w:tcPr>
                  <w:tcW w:type="auto" w:w="0"/>
                  <w:shd w:val="clear" w:color="auto" w:fill="F0F0F0"/>
                </w:tcPr>
                <w:p>
                  <w:pPr>
                    <w:pStyle w:val="Normal"/>
                    <w:keepLines w:val="on"/>
                  </w:pPr>
                  <w:r>
                    <w:t>₹2.251</w:t>
                  </w:r>
                </w:p>
              </w:tc>
              <w:tc>
                <w:tcPr>
                  <w:tcW w:type="auto" w:w="0"/>
                  <w:shd w:val="clear" w:color="auto" w:fill="F0F0F0"/>
                </w:tcPr>
                <w:p>
                  <w:pPr>
                    <w:pStyle w:val="Normal"/>
                    <w:keepLines w:val="on"/>
                  </w:pPr>
                  <w:r>
                    <w:t>₹41.224</w:t>
                  </w:r>
                </w:p>
              </w:tc>
              <w:tc>
                <w:tcPr>
                  <w:tcW w:type="auto" w:w="0"/>
                  <w:shd w:val="clear" w:color="auto" w:fill="F0F0F0"/>
                </w:tcPr>
                <w:p>
                  <w:pPr>
                    <w:pStyle w:val="Normal"/>
                    <w:keepLines w:val="on"/>
                  </w:pPr>
                  <w:r>
                    <w:t>8,97%</w:t>
                  </w:r>
                </w:p>
              </w:tc>
              <w:tc>
                <w:tcPr>
                  <w:tcW w:type="auto" w:w="0"/>
                  <w:shd w:val="clear" w:color="auto" w:fill="F0F0F0"/>
                </w:tcPr>
                <w:p>
                  <w:pPr>
                    <w:pStyle w:val="Normal"/>
                    <w:keepLines w:val="on"/>
                  </w:pPr>
                  <w:r>
                    <w:t>16.085 USD</w:t>
                  </w:r>
                </w:p>
              </w:tc>
            </w:tr>
          </w:tbl>
          <w:p/>
        </w:tc>
      </w:tr>
    </w:tbl>
    <w:p>
      <w:pPr>
        <w:pStyle w:val="Para 04"/>
        <w:keepLines w:val="on"/>
      </w:pPr>
      <w:r>
        <w:t>Để tính được giá trị trên mỗi cổ phần, chúng ta chiết khấu các dòng tiền về hiện tại theo chi phí vốn (bắt đầu từ 10,25%, rồi giảm dần xuống 8,97% vào năm thứ 10) mà chúng ta đã ước tính cho công ty.8 Để hoàn tất việc định giá, chúng ta ước tính giá trị vào cuối năm thứ 10. Để làm điều đó, chúng ta giả định tốc độ tăng trưởng vĩnh viễn là 4,25%, tính bằng rupee Ấn Độ, và tỷ suất sinh lời trên vốn (return on capital) là 12% sau năm thứ 10:</w:t>
      </w:r>
    </w:p>
    <w:p>
      <w:bookmarkStart w:id="2408" w:name="Terminal_Value_After_tax_Operati"/>
      <w:pPr>
        <w:keepNext/>
        <w:pStyle w:val="Para 07"/>
        <w:keepLines w:val="on"/>
      </w:pPr>
      <w:r>
        <w:t>Giá trị cuối kỳ (Terminal Value) = Thu nhập hoạt động sau thuế năm thứ 11 × (1 - Tốc độ tăng trưởng/ROC) / (Chi phí vốn - Tốc độ tăng trưởng) = 43.474 × 1,0425 × (1 - 0,0425/0,12) / (0,0897 - 0,0425) = 620.133 triệu ₹</w:t>
      </w:r>
      <w:bookmarkEnd w:id="2408"/>
    </w:p>
    <w:p>
      <w:pPr>
        <w:pStyle w:val="Para 04"/>
        <w:keepLines w:val="on"/>
      </w:pPr>
      <w:r>
        <w:t>Chiết khấu giá trị này về hiện tại và cộng vào giá trị hiện tại của các dòng tiền sẽ cho ra giá trị của tài sản hoạt động. Để tính giá trị trên mỗi cổ phần, chúng ta trừ đi nợ, cộng thêm số dư tiền mặt (bao gồm cả số tiền dự kiến thu được từ IPO) và các tài sản phi hoạt động, rồi trừ đi giá trị của các quyền chọn vốn cổ phần (equity options). Cuối cùng, chúng ta chia cho số lượng cổ phần sẽ lưu hành sau đợt phát hành công khai.</w:t>
      </w:r>
    </w:p>
    <w:tbl>
      <w:tblPr>
        <w:tblW w:type="auto" w:w="0"/>
      </w:tblPr>
      <w:tr>
        <w:tc>
          <w:tcPr>
            <w:tcW w:type="auto" w:w="0"/>
          </w:tcPr>
          <w:tbl>
            <w:tblPr>
              <w:tblW w:type="auto" w:w="0"/>
            </w:tblPr>
            <w:tr>
              <w:tc>
                <w:tcPr>
                  <w:tcW w:type="auto" w:w="0"/>
                  <w:shd w:val="clear" w:color="auto" w:fill="F0F0F0"/>
                </w:tcPr>
                <w:p>
                  <w:pPr>
                    <w:pStyle w:val="Para 02"/>
                    <w:keepLines w:val="on"/>
                  </w:pPr>
                  <w:r>
                    <w:t>Giá trị hiện tại của giá trị cuối kỳ</w:t>
                  </w:r>
                </w:p>
              </w:tc>
              <w:tc>
                <w:tcPr>
                  <w:tcW w:type="auto" w:w="0"/>
                  <w:shd w:val="clear" w:color="auto" w:fill="F0F0F0"/>
                </w:tcPr>
                <w:p>
                  <w:pPr>
                    <w:pStyle w:val="Normal"/>
                    <w:keepLines w:val="on"/>
                  </w:pPr>
                  <w:r>
                    <w:t>₹241.972</w:t>
                  </w:r>
                </w:p>
              </w:tc>
            </w:tr>
            <w:tr>
              <w:tc>
                <w:tcPr>
                  <w:tcW w:type="auto" w:w="0"/>
                  <w:shd w:val="clear" w:color="auto" w:fill="F0F0F0"/>
                </w:tcPr>
                <w:p>
                  <w:pPr>
                    <w:pStyle w:val="Para 02"/>
                    <w:keepLines w:val="on"/>
                  </w:pPr>
                  <w:r>
                    <w:t>+ Giá trị hiện tại của FCFF trong 10 năm tới</w:t>
                  </w:r>
                </w:p>
              </w:tc>
              <w:tc>
                <w:tcPr>
                  <w:tcW w:type="auto" w:w="0"/>
                  <w:shd w:val="clear" w:color="auto" w:fill="F0F0F0"/>
                </w:tcPr>
                <w:p>
                  <w:pPr>
                    <w:pStyle w:val="Normal"/>
                    <w:keepLines w:val="on"/>
                  </w:pPr>
                  <w:r>
                    <w:t>₹56.739</w:t>
                  </w:r>
                </w:p>
              </w:tc>
            </w:tr>
            <w:tr>
              <w:tc>
                <w:tcPr>
                  <w:tcW w:type="auto" w:w="0"/>
                  <w:shd w:val="clear" w:color="auto" w:fill="F0F0F0"/>
                </w:tcPr>
                <w:p>
                  <w:pPr>
                    <w:pStyle w:val="Para 02"/>
                    <w:keepLines w:val="on"/>
                  </w:pPr>
                  <w:r>
                    <w:t>= Giá trị tài sản hoạt động</w:t>
                  </w:r>
                </w:p>
              </w:tc>
              <w:tc>
                <w:tcPr>
                  <w:tcW w:type="auto" w:w="0"/>
                  <w:shd w:val="clear" w:color="auto" w:fill="F0F0F0"/>
                </w:tcPr>
                <w:p>
                  <w:pPr>
                    <w:pStyle w:val="Normal"/>
                    <w:keepLines w:val="on"/>
                  </w:pPr>
                  <w:r>
                    <w:t>₹298.712</w:t>
                  </w:r>
                </w:p>
              </w:tc>
            </w:tr>
            <w:tr>
              <w:tc>
                <w:tcPr>
                  <w:tcW w:type="auto" w:w="0"/>
                  <w:shd w:val="clear" w:color="auto" w:fill="F0F0F0"/>
                </w:tcPr>
                <w:p>
                  <w:pPr>
                    <w:pStyle w:val="Para 02"/>
                    <w:keepLines w:val="on"/>
                  </w:pPr>
                  <w:r>
                    <w:t>– Điều chỉnh cho khả năng thất bại</w:t>
                  </w:r>
                </w:p>
              </w:tc>
              <w:tc>
                <w:tcPr>
                  <w:tcW w:type="auto" w:w="0"/>
                  <w:shd w:val="clear" w:color="auto" w:fill="F0F0F0"/>
                </w:tcPr>
                <w:p>
                  <w:pPr>
                    <w:pStyle w:val="Normal"/>
                    <w:keepLines w:val="on"/>
                  </w:pPr>
                  <w:r>
                    <w:t>₹14.936</w:t>
                  </w:r>
                </w:p>
              </w:tc>
            </w:tr>
            <w:tr>
              <w:tc>
                <w:tcPr>
                  <w:tcW w:type="auto" w:w="0"/>
                  <w:shd w:val="clear" w:color="auto" w:fill="F0F0F0"/>
                </w:tcPr>
                <w:p>
                  <w:pPr>
                    <w:pStyle w:val="Para 02"/>
                    <w:keepLines w:val="on"/>
                  </w:pPr>
                  <w:r>
                    <w:t>= Giá trị tài sản hoạt động đã điều chỉnh cho khả năng thất bại</w:t>
                  </w:r>
                </w:p>
              </w:tc>
              <w:tc>
                <w:tcPr>
                  <w:tcW w:type="auto" w:w="0"/>
                  <w:shd w:val="clear" w:color="auto" w:fill="F0F0F0"/>
                </w:tcPr>
                <w:p>
                  <w:pPr>
                    <w:pStyle w:val="Normal"/>
                    <w:keepLines w:val="on"/>
                  </w:pPr>
                  <w:r>
                    <w:t>₹283.776</w:t>
                  </w:r>
                </w:p>
              </w:tc>
            </w:tr>
            <w:tr>
              <w:tc>
                <w:tcPr>
                  <w:tcW w:type="auto" w:w="0"/>
                  <w:shd w:val="clear" w:color="auto" w:fill="F0F0F0"/>
                </w:tcPr>
                <w:p>
                  <w:pPr>
                    <w:pStyle w:val="Para 02"/>
                    <w:keepLines w:val="on"/>
                  </w:pPr>
                  <w:r>
                    <w:t>– Nợ &amp; Lợi ích cổ đông thiểu số</w:t>
                  </w:r>
                </w:p>
              </w:tc>
              <w:tc>
                <w:tcPr>
                  <w:tcW w:type="auto" w:w="0"/>
                  <w:shd w:val="clear" w:color="auto" w:fill="F0F0F0"/>
                </w:tcPr>
                <w:p>
                  <w:pPr>
                    <w:pStyle w:val="Normal"/>
                    <w:keepLines w:val="on"/>
                  </w:pPr>
                  <w:r>
                    <w:t>₹1.592</w:t>
                  </w:r>
                </w:p>
              </w:tc>
            </w:tr>
            <w:tr>
              <w:tc>
                <w:tcPr>
                  <w:tcW w:type="auto" w:w="0"/>
                  <w:shd w:val="clear" w:color="auto" w:fill="F0F0F0"/>
                </w:tcPr>
                <w:p>
                  <w:pPr>
                    <w:pStyle w:val="Para 03"/>
                    <w:keepLines w:val="on"/>
                  </w:pPr>
                  <w:r>
                    <w:t>+ Tiền mặt (bao gồm tiền thu được từ IPO)</w:t>
                  </w:r>
                </w:p>
                <w:p>
                  <w:pPr>
                    <w:pStyle w:val="Para 03"/>
                    <w:keepLines w:val="on"/>
                  </w:pPr>
                  <w:r>
                    <w:t>+ Tài sản phi hoạt động</w:t>
                  </w:r>
                </w:p>
              </w:tc>
              <w:tc>
                <w:tcPr>
                  <w:tcW w:type="auto" w:w="0"/>
                  <w:shd w:val="clear" w:color="auto" w:fill="F0F0F0"/>
                </w:tcPr>
                <w:p>
                  <w:pPr>
                    <w:pStyle w:val="Para 03"/>
                    <w:keepLines w:val="on"/>
                  </w:pPr>
                  <w:r>
                    <w:t>₹105,332</w:t>
                  </w:r>
                </w:p>
                <w:p>
                  <w:pPr>
                    <w:pStyle w:val="Para 03"/>
                    <w:keepLines w:val="on"/>
                  </w:pPr>
                  <w:r>
                    <w:t>₹30,628</w:t>
                  </w:r>
                </w:p>
              </w:tc>
            </w:tr>
            <w:tr>
              <w:tc>
                <w:tcPr>
                  <w:tcW w:type="auto" w:w="0"/>
                  <w:shd w:val="clear" w:color="auto" w:fill="F0F0F0"/>
                </w:tcPr>
                <w:p>
                  <w:pPr>
                    <w:pStyle w:val="Para 02"/>
                    <w:keepLines w:val="on"/>
                  </w:pPr>
                  <w:r>
                    <w:t>= Giá trị vốn chủ sở hữu</w:t>
                  </w:r>
                </w:p>
              </w:tc>
              <w:tc>
                <w:tcPr>
                  <w:tcW w:type="auto" w:w="0"/>
                  <w:shd w:val="clear" w:color="auto" w:fill="F0F0F0"/>
                </w:tcPr>
                <w:p>
                  <w:pPr>
                    <w:pStyle w:val="Normal"/>
                    <w:keepLines w:val="on"/>
                  </w:pPr>
                  <w:r>
                    <w:t>₹418,144</w:t>
                  </w:r>
                </w:p>
              </w:tc>
            </w:tr>
            <w:tr>
              <w:tc>
                <w:tcPr>
                  <w:tcW w:type="auto" w:w="0"/>
                  <w:shd w:val="clear" w:color="auto" w:fill="F0F0F0"/>
                </w:tcPr>
                <w:p>
                  <w:pPr>
                    <w:pStyle w:val="Para 03"/>
                    <w:keepLines w:val="on"/>
                  </w:pPr>
                  <w:r>
                    <w:t>– Giá trị quyền chọn vốn chủ sở hữu</w:t>
                  </w:r>
                </w:p>
                <w:p>
                  <w:pPr>
                    <w:pStyle w:val="Para 03"/>
                    <w:keepLines w:val="on"/>
                  </w:pPr>
                  <w:r>
                    <w:t>Giá trị vốn chủ sở hữu cổ phần phổ thông</w:t>
                  </w:r>
                </w:p>
              </w:tc>
              <w:tc>
                <w:tcPr>
                  <w:tcW w:type="auto" w:w="0"/>
                  <w:shd w:val="clear" w:color="auto" w:fill="F0F0F0"/>
                </w:tcPr>
                <w:p>
                  <w:pPr>
                    <w:pStyle w:val="Para 03"/>
                    <w:keepLines w:val="on"/>
                  </w:pPr>
                  <w:r>
                    <w:t>₹73,245</w:t>
                  </w:r>
                </w:p>
                <w:p>
                  <w:pPr>
                    <w:pStyle w:val="Para 03"/>
                    <w:keepLines w:val="on"/>
                  </w:pPr>
                  <w:r>
                    <w:t>₹344,898</w:t>
                  </w:r>
                </w:p>
              </w:tc>
            </w:tr>
            <w:tr>
              <w:tc>
                <w:tcPr>
                  <w:tcW w:type="auto" w:w="0"/>
                  <w:shd w:val="clear" w:color="auto" w:fill="F0F0F0"/>
                </w:tcPr>
                <w:p>
                  <w:pPr>
                    <w:pStyle w:val="Para 02"/>
                    <w:keepLines w:val="on"/>
                  </w:pPr>
                  <w:r>
                    <w:t>Số lượng cổ phiếu</w:t>
                  </w:r>
                </w:p>
              </w:tc>
              <w:tc>
                <w:tcPr>
                  <w:tcW w:type="auto" w:w="0"/>
                  <w:shd w:val="clear" w:color="auto" w:fill="F0F0F0"/>
                </w:tcPr>
                <w:p>
                  <w:pPr>
                    <w:pStyle w:val="Normal"/>
                    <w:keepLines w:val="on"/>
                  </w:pPr>
                  <w:r>
                    <w:t>7,946.68</w:t>
                  </w:r>
                </w:p>
              </w:tc>
            </w:tr>
            <w:tr>
              <w:tc>
                <w:tcPr>
                  <w:tcW w:type="auto" w:w="0"/>
                  <w:shd w:val="clear" w:color="auto" w:fill="F0F0F0"/>
                </w:tcPr>
                <w:p>
                  <w:pPr>
                    <w:pStyle w:val="Para 02"/>
                    <w:keepLines w:val="on"/>
                  </w:pPr>
                  <w:r>
                    <w:t>Giá trị mỗi cổ phiếu</w:t>
                  </w:r>
                </w:p>
              </w:tc>
              <w:tc>
                <w:tcPr>
                  <w:tcW w:type="auto" w:w="0"/>
                  <w:shd w:val="clear" w:color="auto" w:fill="F0F0F0"/>
                </w:tcPr>
                <w:p>
                  <w:pPr>
                    <w:pStyle w:val="Normal"/>
                    <w:keepLines w:val="on"/>
                  </w:pPr>
                  <w:r>
                    <w:t>₹43.40</w:t>
                  </w:r>
                </w:p>
              </w:tc>
            </w:tr>
          </w:tbl>
          <w:p/>
        </w:tc>
      </w:tr>
    </w:tbl>
    <w:p>
      <w:pPr>
        <w:pStyle w:val="Para 04"/>
        <w:keepLines w:val="on"/>
      </w:pPr>
      <w:r>
        <w:t>Giá trị tài sản hoạt động đã điều chỉnh cho rủi ro thất bại được tính bằng cách giả định rằng giá trị thanh lý sẽ bằng một nửa giá trị hợp lý, nếu điều đó xảy ra: ₹298,712 (.9) + ₹298,712 (.5) (.1) = $283,886. Quá trình này cho ra giá trị mỗi cổ phiếu khoảng ₹43, nhưng đáng để dừng lại và tự nhắc mình ở mỗi bước rằng câu chuyện của chúng ta đang diễn ra như thế nào trong các con số.</w:t>
      </w:r>
    </w:p>
    <w:p>
      <w:bookmarkStart w:id="2410" w:name="Step_5__Keeping_the_Feedback_Loo_1"/>
      <w:bookmarkStart w:id="2411" w:name="Step_5__Keeping_the_Feedback_Loo"/>
      <w:pPr>
        <w:keepNext/>
        <w:pStyle w:val="Heading 4"/>
        <w:keepLines w:val="on"/>
      </w:pPr>
      <w:r>
        <w:t>Bước 5: Giữ vòng phản hồi luôn mở</w:t>
      </w:r>
      <w:bookmarkEnd w:id="2410"/>
      <w:bookmarkEnd w:id="2411"/>
    </w:p>
    <w:p>
      <w:pPr>
        <w:pStyle w:val="Para 03"/>
      </w:pPr>
      <w:r>
        <w:t>Giả sử bạn đã có một câu chuyện cho công ty của mình, bạn đã đảm bảo rằng câu chuyện đó vượt qua bài kiểm tra 3P, bạn đã chuyển câu chuyện thành các đầu vào giá trị, và đã định giá công ty. Trong lúc ăn mừng, đáng để tự nhắc mình rằng đây không phải là giá trị của công ty, mà là giá trị của bạn, phản ánh câu chuyện và các đầu vào của bạn, và rằng bạn sẽ sai. Đó là lý do tại sao việc giữ quá trình định giá luôn mở để đón nhận phản hồi là vô cùng quan trọng, đặc biệt là từ những người phản đối bạn mạnh mẽ nhất. Khi bạn đọc hoặc lắng nghe những lời phê bình của họ, thay vì phản ứng phòng thủ, bạn nên cân nhắc sử dụng lập luận của họ để củng cố và làm vững chắc thêm câu chuyện của mình.</w:t>
      </w:r>
    </w:p>
    <w:p>
      <w:pPr>
        <w:pStyle w:val="Para 11"/>
      </w:pPr>
      <w:r>
        <w:t xml:space="preserve"> </w:t>
      </w:r>
    </w:p>
    <w:p>
      <w:bookmarkStart w:id="2412" w:name="ILLUSTRATION_13_4__Keeping_the_F"/>
      <w:bookmarkStart w:id="2413" w:name="ILLUSTRATION_13_4__Keeping_the_F_1"/>
      <w:pPr>
        <w:keepNext/>
        <w:pStyle w:val="Para 19"/>
        <w:keepLines w:val="on"/>
      </w:pPr>
      <w:r>
        <w:t>MINH HỌA 13.4: Giữ vòng phản hồi luôn mở: Zomato</w:t>
      </w:r>
      <w:bookmarkEnd w:id="2412"/>
      <w:bookmarkEnd w:id="2413"/>
    </w:p>
    <w:p>
      <w:pPr>
        <w:pStyle w:val="Para 04"/>
        <w:keepLines w:val="on"/>
      </w:pPr>
      <w:r>
        <w:t>Với định giá Zomato, có nhiều người không đồng ý với chúng tôi về định giá của mình, đưa ra những câu chuyện thay thế cho công ty, mang lại giá trị cao hơn hoặc thấp hơn nhiều. Những người có câu chuyện giá trị cao hơn được thị trường ủng hộ, vì giao dịch cổ phiếu công ty mở cửa ở mức ₹72, và cổ phiếu tiếp tục tăng trong những tháng sau đó để đạt ₹150. Để xem những câu chuyện thay thế diễn ra như thế nào trong định giá, chúng tôi đã ước tính giá trị với những câu chuyện này, và phân loại các định giá dựa trên bài kiểm tra 3P, trong Bảng 13.4:</w:t>
      </w:r>
    </w:p>
    <w:p>
      <w:pPr>
        <w:pStyle w:val="Para 25"/>
        <w:keepLines w:val="on"/>
      </w:pPr>
      <w:r>
        <w:t>Bảng 13.4</w:t>
      </w:r>
    </w:p>
    <w:p>
      <w:pPr>
        <w:keepNext/>
        <w:pStyle w:val="Para 24"/>
        <w:keepLines w:val="on"/>
      </w:pPr>
      <w:r>
        <w:t>Zomato – Các câu chuyện thay thế và giá trị mỗi cổ phiếu</w:t>
      </w:r>
    </w:p>
    <w:tbl>
      <w:tblPr>
        <w:tblW w:type="auto" w:w="0"/>
      </w:tblPr>
      <w:tr>
        <w:tc>
          <w:tcPr>
            <w:tcW w:type="auto" w:w="0"/>
          </w:tcPr>
          <w:tbl>
            <w:tblPr>
              <w:tblW w:type="auto" w:w="0"/>
            </w:tblPr>
            <w:tr>
              <w:tc>
                <w:tcPr>
                  <w:tcW w:type="auto" w:w="0"/>
                  <w:shd w:val="clear" w:color="auto" w:fill="F0F0F0"/>
                  <w:vAlign w:val="bottom"/>
                </w:tcPr>
                <w:p>
                  <w:pPr>
                    <w:pStyle w:val="Para 32"/>
                    <w:keepLines w:val="on"/>
                  </w:pPr>
                  <w:r>
                    <w:t>Câu chuyện Zomato</w:t>
                  </w:r>
                </w:p>
              </w:tc>
              <w:tc>
                <w:tcPr>
                  <w:tcW w:type="auto" w:w="0"/>
                  <w:shd w:val="clear" w:color="auto" w:fill="F0F0F0"/>
                </w:tcPr>
                <w:p>
                  <w:pPr>
                    <w:pStyle w:val="Para 05"/>
                    <w:keepLines w:val="on"/>
                  </w:pPr>
                  <w:r>
                    <w:t>Tổng thị trường (tính bằng triệu)</w:t>
                  </w:r>
                </w:p>
              </w:tc>
              <w:tc>
                <w:tcPr>
                  <w:tcW w:type="auto" w:w="0"/>
                  <w:shd w:val="clear" w:color="auto" w:fill="F0F0F0"/>
                </w:tcPr>
                <w:p>
                  <w:pPr>
                    <w:pStyle w:val="Para 05"/>
                    <w:keepLines w:val="on"/>
                  </w:pPr>
                  <w:r>
                    <w:t>Thị phần</w:t>
                  </w:r>
                </w:p>
              </w:tc>
              <w:tc>
                <w:tcPr>
                  <w:tcW w:type="auto" w:w="0"/>
                  <w:shd w:val="clear" w:color="auto" w:fill="F0F0F0"/>
                </w:tcPr>
                <w:p>
                  <w:pPr>
                    <w:pStyle w:val="Para 05"/>
                    <w:keepLines w:val="on"/>
                  </w:pPr>
                  <w:r>
                    <w:t>Phần doanh thu</w:t>
                  </w:r>
                </w:p>
              </w:tc>
              <w:tc>
                <w:tcPr>
                  <w:tcW w:type="auto" w:w="0"/>
                  <w:shd w:val="clear" w:color="auto" w:fill="F0F0F0"/>
                </w:tcPr>
                <w:p>
                  <w:pPr>
                    <w:pStyle w:val="Para 05"/>
                    <w:keepLines w:val="on"/>
                  </w:pPr>
                  <w:r>
                    <w:t>Biên lợi nhuận mục tiêu</w:t>
                  </w:r>
                </w:p>
              </w:tc>
              <w:tc>
                <w:tcPr>
                  <w:tcW w:type="auto" w:w="0"/>
                  <w:shd w:val="clear" w:color="auto" w:fill="F0F0F0"/>
                </w:tcPr>
                <w:p>
                  <w:pPr>
                    <w:pStyle w:val="Para 05"/>
                    <w:keepLines w:val="on"/>
                  </w:pPr>
                  <w:r>
                    <w:t>Chi phí vốn</w:t>
                  </w:r>
                </w:p>
              </w:tc>
              <w:tc>
                <w:tcPr>
                  <w:tcW w:type="auto" w:w="0"/>
                  <w:shd w:val="clear" w:color="auto" w:fill="F0F0F0"/>
                </w:tcPr>
                <w:p>
                  <w:pPr>
                    <w:pStyle w:val="Para 05"/>
                    <w:keepLines w:val="on"/>
                  </w:pPr>
                  <w:r>
                    <w:t>Giá trị/ Cổ phần</w:t>
                  </w:r>
                </w:p>
              </w:tc>
            </w:tr>
            <w:tr>
              <w:tc>
                <w:tcPr>
                  <w:tcW w:type="auto" w:w="0"/>
                  <w:shd w:val="clear" w:color="auto" w:fill="F0F0F0"/>
                </w:tcPr>
                <w:p>
                  <w:pPr>
                    <w:pStyle w:val="Para 02"/>
                    <w:keepLines w:val="on"/>
                  </w:pPr>
                  <w:r>
                    <w:t>Delivery Juggernaut</w:t>
                  </w:r>
                </w:p>
              </w:tc>
              <w:tc>
                <w:tcPr>
                  <w:tcW w:type="auto" w:w="0"/>
                  <w:shd w:val="clear" w:color="auto" w:fill="F0F0F0"/>
                </w:tcPr>
                <w:p>
                  <w:pPr>
                    <w:pStyle w:val="Normal"/>
                    <w:keepLines w:val="on"/>
                  </w:pPr>
                  <w:r>
                    <w:t>₹5.000.000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45,00%</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₹150,02</w:t>
                  </w:r>
                </w:p>
              </w:tc>
            </w:tr>
            <w:tr>
              <w:tc>
                <w:tcPr>
                  <w:tcW w:type="auto" w:w="0"/>
                  <w:shd w:val="clear" w:color="auto" w:fill="F0F0F0"/>
                </w:tcPr>
                <w:p>
                  <w:pPr>
                    <w:pStyle w:val="Para 02"/>
                    <w:keepLines w:val="on"/>
                  </w:pPr>
                  <w:r>
                    <w:t>Delivery Star</w:t>
                  </w:r>
                </w:p>
              </w:tc>
              <w:tc>
                <w:tcPr>
                  <w:tcW w:type="auto" w:w="0"/>
                  <w:shd w:val="clear" w:color="auto" w:fill="F0F0F0"/>
                </w:tcPr>
                <w:p>
                  <w:pPr>
                    <w:pStyle w:val="Normal"/>
                    <w:keepLines w:val="on"/>
                  </w:pPr>
                  <w:r>
                    <w:t>₹5.000.000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₹93,00</w:t>
                  </w:r>
                </w:p>
              </w:tc>
            </w:tr>
            <w:tr>
              <w:tc>
                <w:tcPr>
                  <w:tcW w:type="auto" w:w="0"/>
                  <w:shd w:val="clear" w:color="auto" w:fill="F0F0F0"/>
                </w:tcPr>
                <w:p>
                  <w:pPr>
                    <w:pStyle w:val="Para 02"/>
                    <w:keepLines w:val="on"/>
                  </w:pPr>
                  <w:r>
                    <w:t>Delivery Leader + Cạnh tranh</w:t>
                  </w:r>
                </w:p>
              </w:tc>
              <w:tc>
                <w:tcPr>
                  <w:tcW w:type="auto" w:w="0"/>
                  <w:shd w:val="clear" w:color="auto" w:fill="F0F0F0"/>
                </w:tcPr>
                <w:p>
                  <w:pPr>
                    <w:pStyle w:val="Normal"/>
                    <w:keepLines w:val="on"/>
                  </w:pPr>
                  <w:r>
                    <w:t>₹5.000.000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10,99%</w:t>
                  </w:r>
                </w:p>
              </w:tc>
              <w:tc>
                <w:tcPr>
                  <w:tcW w:type="auto" w:w="0"/>
                  <w:shd w:val="clear" w:color="auto" w:fill="F0F0F0"/>
                </w:tcPr>
                <w:p>
                  <w:pPr>
                    <w:pStyle w:val="Normal"/>
                    <w:keepLines w:val="on"/>
                  </w:pPr>
                  <w:r>
                    <w:t>₹61,55</w:t>
                  </w:r>
                </w:p>
              </w:tc>
            </w:tr>
            <w:tr>
              <w:tc>
                <w:tcPr>
                  <w:tcW w:type="auto" w:w="0"/>
                  <w:shd w:val="clear" w:color="auto" w:fill="F0F0F0"/>
                </w:tcPr>
                <w:p>
                  <w:pPr>
                    <w:pStyle w:val="Para 02"/>
                    <w:keepLines w:val="on"/>
                  </w:pPr>
                  <w:r>
                    <w:t>Delivery Juggernaut Nhà hàng + Ấn Độ Tăng trưởng cao</w:t>
                  </w:r>
                </w:p>
              </w:tc>
              <w:tc>
                <w:tcPr>
                  <w:tcW w:type="auto" w:w="0"/>
                  <w:shd w:val="clear" w:color="auto" w:fill="F0F0F0"/>
                </w:tcPr>
                <w:p>
                  <w:pPr>
                    <w:pStyle w:val="Normal"/>
                    <w:keepLines w:val="on"/>
                  </w:pPr>
                  <w:r>
                    <w:t>₹3.000.000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45,00%</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₹94,31</w:t>
                  </w:r>
                </w:p>
              </w:tc>
            </w:tr>
            <w:tr>
              <w:tc>
                <w:tcPr>
                  <w:tcW w:type="auto" w:w="0"/>
                  <w:shd w:val="clear" w:color="auto" w:fill="F0F0F0"/>
                </w:tcPr>
                <w:p>
                  <w:pPr>
                    <w:pStyle w:val="Para 02"/>
                    <w:keepLines w:val="on"/>
                  </w:pPr>
                  <w:r>
                    <w:t>Giao đồ ăn nhà hàng Ngôi sao + Ấn Độ tăng trưởng cao</w:t>
                  </w:r>
                </w:p>
              </w:tc>
              <w:tc>
                <w:tcPr>
                  <w:tcW w:type="auto" w:w="0"/>
                  <w:shd w:val="clear" w:color="auto" w:fill="F0F0F0"/>
                </w:tcPr>
                <w:p>
                  <w:pPr>
                    <w:pStyle w:val="Normal"/>
                    <w:keepLines w:val="on"/>
                  </w:pPr>
                  <w:r>
                    <w:t>₹3.000.000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₹59,02</w:t>
                  </w:r>
                </w:p>
              </w:tc>
            </w:tr>
            <w:tr>
              <w:tc>
                <w:tcPr>
                  <w:tcW w:type="auto" w:w="0"/>
                  <w:shd w:val="clear" w:color="auto" w:fill="F0F0F0"/>
                </w:tcPr>
                <w:p>
                  <w:pPr>
                    <w:pStyle w:val="Para 02"/>
                    <w:keepLines w:val="on"/>
                  </w:pPr>
                  <w:r>
                    <w:t>Giao đồ ăn nhà hàng + Cạnh tranh + Ấn Độ tăng trưởng cao</w:t>
                  </w:r>
                </w:p>
              </w:tc>
              <w:tc>
                <w:tcPr>
                  <w:tcW w:type="auto" w:w="0"/>
                  <w:shd w:val="clear" w:color="auto" w:fill="F0F0F0"/>
                </w:tcPr>
                <w:p>
                  <w:pPr>
                    <w:pStyle w:val="Normal"/>
                    <w:keepLines w:val="on"/>
                  </w:pPr>
                  <w:r>
                    <w:t>₹3.000.000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20,00%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10,99%</w:t>
                  </w:r>
                </w:p>
              </w:tc>
              <w:tc>
                <w:tcPr>
                  <w:tcW w:type="auto" w:w="0"/>
                  <w:shd w:val="clear" w:color="auto" w:fill="F0F0F0"/>
                </w:tcPr>
                <w:p>
                  <w:pPr>
                    <w:pStyle w:val="Normal"/>
                    <w:keepLines w:val="on"/>
                  </w:pPr>
                  <w:r>
                    <w:t>₹35,52</w:t>
                  </w:r>
                </w:p>
              </w:tc>
            </w:tr>
            <w:tr>
              <w:tc>
                <w:tcPr>
                  <w:tcW w:type="auto" w:w="0"/>
                  <w:shd w:val="clear" w:color="auto" w:fill="F0F0F0"/>
                </w:tcPr>
                <w:p>
                  <w:pPr>
                    <w:pStyle w:val="Para 02"/>
                    <w:keepLines w:val="on"/>
                  </w:pPr>
                  <w:r>
                    <w:t>Câu chuyện của chúng ta, Tích cực</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45,00%</w:t>
                  </w:r>
                </w:p>
              </w:tc>
              <w:tc>
                <w:tcPr>
                  <w:tcW w:type="auto" w:w="0"/>
                  <w:shd w:val="clear" w:color="auto" w:fill="F0F0F0"/>
                </w:tcPr>
                <w:p>
                  <w:pPr>
                    <w:pStyle w:val="Normal"/>
                    <w:keepLines w:val="on"/>
                  </w:pPr>
                  <w:r>
                    <w:t>10,25%</w:t>
                  </w:r>
                </w:p>
              </w:tc>
              <w:tc>
                <w:tcPr>
                  <w:tcW w:type="auto" w:w="0"/>
                  <w:shd w:val="clear" w:color="auto" w:fill="F0F0F0"/>
                </w:tcPr>
                <w:p>
                  <w:pPr>
                    <w:pStyle w:val="Normal"/>
                    <w:keepLines w:val="on"/>
                  </w:pPr>
                  <w:r>
                    <w:t>₹56,66</w:t>
                  </w:r>
                </w:p>
              </w:tc>
            </w:tr>
            <w:tr>
              <w:tc>
                <w:tcPr>
                  <w:tcW w:type="auto" w:w="0"/>
                  <w:shd w:val="clear" w:color="auto" w:fill="F0F0F0"/>
                </w:tcPr>
                <w:p>
                  <w:pPr>
                    <w:pStyle w:val="Para 02"/>
                    <w:keepLines w:val="on"/>
                  </w:pPr>
                  <w:r>
                    <w:t>Câu chuyện của chúng ta</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10,25%</w:t>
                  </w:r>
                </w:p>
              </w:tc>
              <w:tc>
                <w:tcPr>
                  <w:tcW w:type="auto" w:w="0"/>
                  <w:shd w:val="clear" w:color="auto" w:fill="F0F0F0"/>
                </w:tcPr>
                <w:p>
                  <w:pPr>
                    <w:pStyle w:val="Normal"/>
                    <w:keepLines w:val="on"/>
                  </w:pPr>
                  <w:r>
                    <w:t>₹39,48</w:t>
                  </w:r>
                </w:p>
              </w:tc>
            </w:tr>
            <w:tr>
              <w:tc>
                <w:tcPr>
                  <w:tcW w:type="auto" w:w="0"/>
                  <w:shd w:val="clear" w:color="auto" w:fill="F0F0F0"/>
                </w:tcPr>
                <w:p>
                  <w:pPr>
                    <w:pStyle w:val="Para 02"/>
                    <w:keepLines w:val="on"/>
                  </w:pPr>
                  <w:r>
                    <w:t>Câu chuyện của chúng ta, Kịch bản tiêu cực</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20,00%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10,25%</w:t>
                  </w:r>
                </w:p>
              </w:tc>
              <w:tc>
                <w:tcPr>
                  <w:tcW w:type="auto" w:w="0"/>
                  <w:shd w:val="clear" w:color="auto" w:fill="F0F0F0"/>
                </w:tcPr>
                <w:p>
                  <w:pPr>
                    <w:pStyle w:val="Normal"/>
                    <w:keepLines w:val="on"/>
                  </w:pPr>
                  <w:r>
                    <w:t>₹26,16</w:t>
                  </w:r>
                </w:p>
              </w:tc>
            </w:tr>
            <w:tr>
              <w:tc>
                <w:tcPr>
                  <w:tcW w:type="auto" w:w="0"/>
                  <w:shd w:val="clear" w:color="auto" w:fill="F0F0F0"/>
                </w:tcPr>
                <w:p>
                  <w:pPr>
                    <w:pStyle w:val="Para 02"/>
                    <w:keepLines w:val="on"/>
                  </w:pPr>
                  <w:r>
                    <w:t>Gã khổng lồ giao đồ ăn nhà hàng + Ấn Độ tăng trưởng thấp</w:t>
                  </w:r>
                </w:p>
              </w:tc>
              <w:tc>
                <w:tcPr>
                  <w:tcW w:type="auto" w:w="0"/>
                  <w:shd w:val="clear" w:color="auto" w:fill="F0F0F0"/>
                </w:tcPr>
                <w:p>
                  <w:pPr>
                    <w:pStyle w:val="Normal"/>
                    <w:keepLines w:val="on"/>
                  </w:pPr>
                  <w:r>
                    <w:t>₹1.125.000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45,00%</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₹36,48</w:t>
                  </w:r>
                </w:p>
              </w:tc>
            </w:tr>
            <w:tr>
              <w:tc>
                <w:tcPr>
                  <w:tcW w:type="auto" w:w="0"/>
                  <w:shd w:val="clear" w:color="auto" w:fill="F0F0F0"/>
                </w:tcPr>
                <w:p>
                  <w:pPr>
                    <w:pStyle w:val="Para 02"/>
                    <w:keepLines w:val="on"/>
                  </w:pPr>
                  <w:r>
                    <w:t>Ngôi sao giao đồ ăn nhà hàng + Ấn Độ tăng trưởng thấp</w:t>
                  </w:r>
                </w:p>
              </w:tc>
              <w:tc>
                <w:tcPr>
                  <w:tcW w:type="auto" w:w="0"/>
                  <w:shd w:val="clear" w:color="auto" w:fill="F0F0F0"/>
                </w:tcPr>
                <w:p>
                  <w:pPr>
                    <w:pStyle w:val="Normal"/>
                    <w:keepLines w:val="on"/>
                  </w:pPr>
                  <w:r>
                    <w:t>₹1.125.000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₹24,02</w:t>
                  </w:r>
                </w:p>
              </w:tc>
            </w:tr>
            <w:tr>
              <w:tc>
                <w:tcPr>
                  <w:tcW w:type="auto" w:w="0"/>
                  <w:shd w:val="clear" w:color="auto" w:fill="F0F0F0"/>
                </w:tcPr>
                <w:p>
                  <w:pPr>
                    <w:pStyle w:val="Para 02"/>
                    <w:keepLines w:val="on"/>
                  </w:pPr>
                  <w:r>
                    <w:t>Giao đồ ăn nhà hàng + Cạnh tranh + Ấn Độ tăng trưởng thấp</w:t>
                  </w:r>
                </w:p>
              </w:tc>
              <w:tc>
                <w:tcPr>
                  <w:tcW w:type="auto" w:w="0"/>
                  <w:shd w:val="clear" w:color="auto" w:fill="F0F0F0"/>
                </w:tcPr>
                <w:p>
                  <w:pPr>
                    <w:pStyle w:val="Normal"/>
                    <w:keepLines w:val="on"/>
                  </w:pPr>
                  <w:r>
                    <w:t>₹1.125.000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20,00%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10,99%</w:t>
                  </w:r>
                </w:p>
              </w:tc>
              <w:tc>
                <w:tcPr>
                  <w:tcW w:type="auto" w:w="0"/>
                  <w:shd w:val="clear" w:color="auto" w:fill="F0F0F0"/>
                </w:tcPr>
                <w:p>
                  <w:pPr>
                    <w:pStyle w:val="Normal"/>
                    <w:keepLines w:val="on"/>
                  </w:pPr>
                  <w:r>
                    <w:t>₹16,58</w:t>
                  </w:r>
                </w:p>
              </w:tc>
            </w:tr>
          </w:tbl>
          <w:p/>
        </w:tc>
      </w:tr>
    </w:tbl>
    <w:p>
      <w:pPr>
        <w:pStyle w:val="Para 04"/>
        <w:keepLines w:val="on"/>
      </w:pPr>
      <w:r>
        <w:t>Bạn có thể đọc bảng này và cho rằng mọi thứ đều có thể chấp nhận được khi nói đến giá trị, nhưng đó không phải là cách chúng tôi hiểu nó. Đúng là giá trị của Zomato có thể thay đổi mạnh mẽ dựa trên câu chuyện bạn dựng nên cho công ty — điều đó không chỉ đúng với mọi công ty non trẻ, mà còn có một điểm nữa: không phải mọi câu chuyện đều hợp lý như nhau. Cụ thể, khi đầu tư vào một công ty non trẻ, bạn phải tìm ra một câu chuyện mà bạn tin là hợp lý và bạn thực sự tin tưởng, đồng thời chấp nhận sự thật rằng sẽ có những nhà đầu tư khác không đồng ý với bạn. Với những công ty trưởng thành hơn, có ít khoảng trống hơn cho các câu chuyện khác biệt, và bạn sẽ thấy sự đồng thuận cao hơn về định giá của chúng. Vì lợi nhuận từ đầu tư đến từ việc ít sai hơn những người khác đang nhìn vào cùng một công ty, điều này càng củng cố lập luận rằng lợi ích của việc định giá lớn hơn ở các công ty non trẻ, nơi có nhiều bất đồng về giá trị hơn so với các công ty trưởng thành hơn.</w:t>
      </w:r>
    </w:p>
    <w:p>
      <w:bookmarkStart w:id="2417" w:name="Narrative_and_Numbers_Across_the_1"/>
      <w:bookmarkStart w:id="2418" w:name="Narrative_and_Numbers_Across_the"/>
      <w:pPr>
        <w:keepNext/>
        <w:pStyle w:val="Heading 2"/>
        <w:keepLines w:val="on"/>
      </w:pPr>
      <w:r>
        <w:t>Câu chuyện và Con số xuyên suốt Vòng đời</w:t>
      </w:r>
      <w:bookmarkEnd w:id="2417"/>
      <w:bookmarkEnd w:id="2418"/>
    </w:p>
    <w:p>
      <w:pPr>
        <w:pStyle w:val="Para 03"/>
      </w:pPr>
      <w:r>
        <w:t>Chúng tôi tin rằng phần lớn những gì chúng ta làm trong cả tài chính doanh nghiệp lẫn định giá đều được quyết định bởi việc công ty đang ở đâu trong vòng đời, và mặc dù khái niệm giá trị nội tại là giá trị hiện tại của các dòng tiền kỳ vọng từ một doanh nghiệp áp dụng xuyên suốt vòng đời, vẫn có những khác biệt then chốt:</w:t>
      </w:r>
    </w:p>
    <w:p>
      <w:pPr>
        <w:numPr>
          <w:ilvl w:val="0"/>
          <w:numId w:val="119"/>
        </w:numPr>
        <w:pStyle w:val="Para 01"/>
      </w:pPr>
      <w:r>
        <w:t>Đường đi dòng tiền rất khác nhau: Với các công ty non trẻ đang vật lộn xây dựng mô hình kinh doanh, dòng tiền sẽ âm trong những năm đầu, chỉ chuyển sang dương khi chúng tiến gần đến giai đoạn tăng trưởng cao, rồi tăng nhanh trước khi ổn định. Với các công ty trưởng thành, bạn sẽ có nhiều khả năng thấy dòng tiền dương ngay lập tức hơn, nhưng với mức tăng trưởng trong những năm tới ít hơn nhiều. Với các công ty đang suy thoái, bạn có thể thấy dòng tiền thu hẹp dần theo thời gian khi hoạt động kinh doanh ngày càng nhỏ lại.</w:t>
      </w:r>
    </w:p>
    <w:p>
      <w:pPr>
        <w:numPr>
          <w:ilvl w:val="0"/>
          <w:numId w:val="119"/>
        </w:numPr>
        <w:pStyle w:val="Para 01"/>
      </w:pPr>
      <w:r>
        <w:t>Sự phụ thuộc thay đổi vào giá trị cuối kỳ (terminal value): Ở phần trước của chương này, chúng tôi đã lưu ý rằng giá trị của một doanh nghiệp hôm nay sẽ là tổng của giá trị hiện tại các dòng tiền kỳ vọng trong giai đoạn dự báo và giá trị hiện tại của giá trị cuối kỳ, phản ánh các dòng tiền ngoài giai đoạn dự báo. Các công ty non trẻ, với dòng tiền âm trong những năm đầu và dòng tiền dương và tăng trưởng về sau, sẽ nhận được tỷ lệ giá trị lớn hơn nhiều từ các dòng tiền trong những năm sau và giá trị cuối kỳ so với các công ty trưởng thành hơn.</w:t>
      </w:r>
    </w:p>
    <w:p>
      <w:pPr>
        <w:pStyle w:val="Para 03"/>
      </w:pPr>
      <w:r>
        <w:t>Tiếp tục với chủ đề rằng định giá là cây cầu nối giữa câu chuyện và con số, chúng tôi cho rằng câu hỏi nên ưu tiên và để cái nào (câu chuyện hay con số) chi phối việc định giá cũng sẽ thay đổi theo vòng đời. Khi có ít dữ liệu lịch sử về công ty và nhiều câu hỏi lớn về mô hình kinh doanh ở giai đoạn đầu vòng đời, chính câu chuyện sẽ chi phối việc định giá, dẫn dắt các đầu vào định giá và các con số trong định giá. Khi công ty già đi, dữ liệu sẽ tích lũy về những thành công và thất bại của mô hình kinh doanh, và những con số thu được về tăng trưởng doanh thu, biên lợi nhuận và tái đầu tư sẽ tiến lên hàng đầu, còn các câu chuyện lùi về phía sau.</w:t>
      </w:r>
    </w:p>
    <w:p>
      <w:pPr>
        <w:pStyle w:val="Para 03"/>
      </w:pPr>
      <w:r>
        <w:t>Trong Hình 13.7, chúng tôi nắm bắt sự dịch chuyển từ câu chuyện sang con số này, với các yếu tố dẫn dắt câu chuyện chính ở mỗi giai đoạn trong vòng đời.</w:t>
      </w:r>
    </w:p>
    <w:p>
      <w:bookmarkStart w:id="2421" w:name="Figure_13_7_Narrative_Versus_Num"/>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1549400"/>
            <wp:effectExtent l="0" r="0" t="0" b="0"/>
            <wp:wrapTopAndBottom/>
            <wp:docPr id="122" name="c13f007.png" descr="Line graph plots the revenues and earnings with the shift from narrative to numbers at each stage in the corporate life cycle."/>
            <wp:cNvGraphicFramePr>
              <a:graphicFrameLocks noChangeAspect="1"/>
            </wp:cNvGraphicFramePr>
            <a:graphic>
              <a:graphicData uri="http://schemas.openxmlformats.org/drawingml/2006/picture">
                <pic:pic>
                  <pic:nvPicPr>
                    <pic:cNvPr id="0" name="c13f007.png" descr="Line graph plots the revenues and earnings with the shift from narrative to numbers at each stage in the corporate life cycle."/>
                    <pic:cNvPicPr/>
                  </pic:nvPicPr>
                  <pic:blipFill>
                    <a:blip r:embed="rId92"/>
                    <a:stretch>
                      <a:fillRect/>
                    </a:stretch>
                  </pic:blipFill>
                  <pic:spPr>
                    <a:xfrm>
                      <a:off x="0" y="0"/>
                      <a:ext cx="2451100" cy="1549400"/>
                    </a:xfrm>
                    <a:prstGeom prst="rect">
                      <a:avLst/>
                    </a:prstGeom>
                  </pic:spPr>
                </pic:pic>
              </a:graphicData>
            </a:graphic>
          </wp:anchor>
        </w:drawing>
      </w:r>
      <w:bookmarkEnd w:id="2421"/>
    </w:p>
    <w:p>
      <w:pPr>
        <w:keepNext/>
        <w:pStyle w:val="Para 22"/>
        <w:keepLines w:val="on"/>
      </w:pPr>
      <w:r>
        <w:t>Hình 13.7 Câu chuyện so với Con số xuyên suốt Vòng đời Doanh nghiệp</w:t>
      </w:r>
    </w:p>
    <w:p>
      <w:pPr>
        <w:pStyle w:val="Para 03"/>
      </w:pPr>
      <w:r>
        <w:t>Cũng đáng lưu ý rằng khi câu chuyện dẫn dắt việc định giá, như thường thấy với các công ty non trẻ, chúng ta sẽ thấy sự khác biệt lớn về câu chuyện và giá trị giữa các nhà đầu tư, và khi các con số chiếm ưu thế, những khác biệt đó sẽ thu hẹp lại, dẫn đến sự đồng thuận cao hơn về giá trị. Đó là một phần lý giải cho việc tại sao, ngay cả khi thị trường là hợp lý và hiệu quả, chúng ta vẫn nên kỳ vọng thấy giá cổ phiếu biến động mạnh hơn nhiều ở các công ty non trẻ so với các công ty trưởng thành hơn.</w:t>
      </w:r>
    </w:p>
    <w:p>
      <w:bookmarkStart w:id="2423" w:name="Story_Resets__Changes__and_Break"/>
      <w:bookmarkStart w:id="2424" w:name="Story_Resets__Changes__and_Break_1"/>
      <w:pPr>
        <w:keepNext/>
        <w:pStyle w:val="Heading 2"/>
        <w:keepLines w:val="on"/>
      </w:pPr>
      <w:r>
        <w:t>Việc Đặt lại, Thay đổi và Phá vỡ Câu chuyện</w:t>
      </w:r>
      <w:bookmarkEnd w:id="2423"/>
      <w:bookmarkEnd w:id="2424"/>
    </w:p>
    <w:p>
      <w:pPr>
        <w:pStyle w:val="Para 03"/>
      </w:pPr>
      <w:r>
        <w:t>Một trong những lợi thế của việc xây dựng định giá xoay quanh một câu chuyện là quá trình này cho bạn góc nhìn khi xem xét các bản tin xuất hiện về công ty hoặc đánh giá tác động của các báo cáo thu nhập. Thay vì tập trung vào sự cường điệu mà một CEO mới có thể mang lại cho công ty hay việc công ty có báo cáo thu nhập vượt kỳ vọng của nhà phân tích ba xu hay năm xu, bạn có thể hướng sự chú ý sang việc CEO mới sẽ thay đổi câu chuyện của công ty bao nhiêu, nếu có, và những tin tức trong báo cáo thu nhập có thể khiến bạn thay đổi câu chuyện của mình về công ty. Nói một cách rộng, những thay đổi câu chuyện có thể rơi vào ba nhóm:</w:t>
      </w:r>
    </w:p>
    <w:p>
      <w:pPr>
        <w:numPr>
          <w:ilvl w:val="0"/>
          <w:numId w:val="120"/>
        </w:numPr>
        <w:pStyle w:val="Para 01"/>
      </w:pPr>
      <w:r>
        <w:t>Trong một số trường hợp, một sự kiện hay hành động, từ bên trong hoặc bên ngoài công ty, có thể khiến một câu chuyện bị phá vỡ, với hậu quả thảm khốc cho giá trị.</w:t>
      </w:r>
    </w:p>
    <w:p>
      <w:pPr>
        <w:numPr>
          <w:ilvl w:val="0"/>
          <w:numId w:val="120"/>
        </w:numPr>
        <w:pStyle w:val="Para 01"/>
      </w:pPr>
      <w:r>
        <w:t>Trong những trường hợp khác, câu chuyện cốt lõi có thể được chứng minh là quá rộng mở hoặc quá hạn chế, và việc đánh giá lại câu chuyện đó có thể dẫn bạn đến giá trị thấp hơn với trường hợp đầu và giá trị cao hơn với trường hợp sau.</w:t>
      </w:r>
    </w:p>
    <w:p>
      <w:pPr>
        <w:numPr>
          <w:ilvl w:val="0"/>
          <w:numId w:val="120"/>
        </w:numPr>
        <w:pStyle w:val="Para 01"/>
      </w:pPr>
      <w:r>
        <w:t>Ngay cả khi câu chuyện cốt lõi không thay đổi, các thành phần của câu chuyện vẫn có thể thay đổi, với ảnh hưởng đến tăng trưởng, khả năng sinh lời và dòng tiền, từ đó khiến giá trị thay đổi.</w:t>
      </w:r>
    </w:p>
    <w:p>
      <w:pPr>
        <w:pStyle w:val="Para 03"/>
      </w:pPr>
      <w:r>
        <w:t>Tóm lại, quan niệm rằng giá trị nội tại là ổn định hay bất biến là một ảo tưởng, vì khi công ty, hoạt động kinh doanh và các đầu vào kinh tế vĩ mô của bạn thay đổi, thì câu chuyện và giá trị của bạn cũng phải thay đổi theo.</w:t>
      </w:r>
    </w:p>
    <w:p>
      <w:bookmarkStart w:id="2425" w:name="Story_Breaks__An_event_that_unde"/>
      <w:bookmarkStart w:id="2426" w:name="Story_Breaks"/>
      <w:pPr>
        <w:keepNext/>
        <w:pStyle w:val="Heading 4"/>
        <w:keepLines w:val="on"/>
      </w:pPr>
      <w:r>
        <w:t>Sự đứt gãy câu chuyện</w:t>
      </w:r>
      <w:bookmarkEnd w:id="2425"/>
      <w:bookmarkEnd w:id="2426"/>
    </w:p>
    <w:p>
      <w:pPr>
        <w:pStyle w:val="Para 03"/>
      </w:pPr>
      <w:r>
        <w:t>Một sự kiện làm lung lay toàn bộ mô hình kinh doanh mà câu chuyện định giá của bạn được xây dựng trên đó có thể khiến câu chuyện và giá trị của bạn sụp đổ. Nói chung, sự đứt gãy câu chuyện có thể xảy ra vì nhiều lý do:</w:t>
      </w:r>
    </w:p>
    <w:p>
      <w:pPr>
        <w:numPr>
          <w:ilvl w:val="0"/>
          <w:numId w:val="121"/>
        </w:numPr>
        <w:pStyle w:val="Para 01"/>
      </w:pPr>
      <w:r>
        <w:t>Mất đi nhân vật chủ chốt: Nếu một doanh nghiệp phụ thuộc vào một nhân vật chủ chốt cho hoạt động của mình, việc mất đi người đó có thể khiến câu chuyện kinh doanh sụp đổ. Điều này đặc biệt đúng với các doanh nghiệp nhỏ được xây dựng xoay quanh dịch vụ cá nhân, và giải thích tại sao các doanh nghiệp sửa ống nước hay phòng khám y tế/nha khoa không có vòng đời vĩnh viễn. Khi doanh nghiệp phát triển, chúng có xu hướng ít phụ thuộc hơn vào các nhân vật chủ chốt, nhưng một số công ty được xây dựng xoay quanh cá tính của người lãnh đạo, khiến chúng dễ bị tổn thất giá trị đáng kể, hoặc tệ hơn, nếu những người đó sa ngã. Câu hỏi về việc Elon Musk đóng góp hay làm mất đi điều gì cho giá trị của Tesla đã xoay quanh công ty ngay từ khi thành lập nhưng đã trở nên hệ trọng hơn nhiều khi công ty ngày càng lớn mạnh.</w:t>
      </w:r>
    </w:p>
    <w:p>
      <w:pPr>
        <w:numPr>
          <w:ilvl w:val="0"/>
          <w:numId w:val="121"/>
        </w:numPr>
        <w:pStyle w:val="Para 01"/>
      </w:pPr>
      <w:r>
        <w:t>Hành động pháp lý và quy định: Các công ty thường bị ràng buộc bởi luật pháp và quy định về những gì họ được phép hay không được phép làm, và điều này đặc biệt đúng trong các ngành kinh doanh có những ngưỡng pháp lý mà một công ty phải đáp ứng để hoạt động. Với Zomato, chẳng hạn, một quyết định của chính phủ nhằm siết chặt việc giao đồ ăn từ nhà hàng có thể là đòn chí mạng đối với giá trị.</w:t>
      </w:r>
    </w:p>
    <w:p>
      <w:pPr>
        <w:numPr>
          <w:ilvl w:val="0"/>
          <w:numId w:val="121"/>
        </w:numPr>
        <w:pStyle w:val="Para 01"/>
      </w:pPr>
      <w:r>
        <w:t>Thiên tai: Trong khi bảo hiểm đã mang lại cho các công ty sự bảo vệ trước hầu hết các thiên tai, ở một số nơi trên thế giới, vẫn tồn tại những thảm họa gần như không thể mua bảo hiểm, hoặc vì chúng quá lớn đến mức không công ty bảo hiểm nào đủ khả năng cung cấp bảo vệ, hoặc vì chúng nằm ở những vùng trên thế giới nơi rất khó mua bảo hiểm.</w:t>
      </w:r>
    </w:p>
    <w:p>
      <w:pPr>
        <w:numPr>
          <w:ilvl w:val="0"/>
          <w:numId w:val="121"/>
        </w:numPr>
        <w:pStyle w:val="Para 01"/>
      </w:pPr>
      <w:r>
        <w:t>Gian lận và hành vi sai trái: Các hành vi gian lận và sai trái có thể đe dọa sự tồn tại của một công ty không chỉ vì chúng khiến công ty phải đối mặt với các hậu quả pháp lý, mà còn vì chúng phá vỡ lòng tin với khách hàng, nhân viên và nhà đầu tư. Enron có thể đã có một câu chuyện và vốn hóa thị trường tăng vọt trong thập niên 1990, nhưng những tiết lộ về hành vi sai trái lan rộng trong hàng ngũ lãnh đạo cao nhất của công ty đã đánh dấu chấm hết cho nó. Tương tự, Theranos, một công ty xét nghiệm máu đã vươn lên mức định giá 9 tỷ đô la, phần lớn nhờ vào lời hứa và tiềm năng, đã mất toàn bộ giá trị đó trong vòng vài tháng khi bằng chứng xuất hiện cho thấy kết quả xét nghiệm máu đã bị thao túng.</w:t>
      </w:r>
    </w:p>
    <w:p>
      <w:pPr>
        <w:numPr>
          <w:ilvl w:val="0"/>
          <w:numId w:val="121"/>
        </w:numPr>
        <w:pStyle w:val="Para 01"/>
      </w:pPr>
      <w:r>
        <w:t>Khả năng tiếp cận vốn: Với các công ty non trẻ, một câu chuyện lớn lao và đầy hứa hẹn đi kèm với nhu cầu về vốn, và nếu nguồn vốn đó cạn kiệt, hoặc do khủng hoảng hay suy thoái thị trường, câu chuyện có thể đứt gãy, dù các thành phần then chốt vẫn còn nguyên.</w:t>
      </w:r>
    </w:p>
    <w:p>
      <w:pPr>
        <w:numPr>
          <w:ilvl w:val="0"/>
          <w:numId w:val="121"/>
        </w:numPr>
        <w:pStyle w:val="Para 01"/>
      </w:pPr>
      <w:r>
        <w:t>Khác: Với nhiều công ty non trẻ, sự đứt gãy câu chuyện có thể xảy ra không phải do lỗi của họ, khi may mắn ưu ái một số người và chống lại những người khác. Với một công ty dược phẩm non trẻ, điều này có thể mang hình thức những phản ứng gây tử vong đối với một loại thuốc đầy hứa hẹn đang nằm trong danh mục sản phẩm của công ty, đặt dấu chấm hết hiệu quả cho câu chuyện và giá trị của nó.</w:t>
      </w:r>
    </w:p>
    <w:p>
      <w:pPr>
        <w:pStyle w:val="Para 03"/>
      </w:pPr>
      <w:r>
        <w:t>Nói chung, sự đứt gãy câu chuyện dễ xảy ra hơn vào giai đoạn đầu trong vòng đời của một công ty, nhưng hậu quả về giá trị bị mất lại lớn hơn nhiều khi chúng xảy ra sau khi công ty đã mở rộng quy mô.</w:t>
      </w:r>
    </w:p>
    <w:p>
      <w:bookmarkStart w:id="2428" w:name="Story_Changes"/>
      <w:bookmarkStart w:id="2429" w:name="Story_Changes__An_event_that_lea"/>
      <w:pPr>
        <w:keepNext/>
        <w:pStyle w:val="Heading 4"/>
        <w:keepLines w:val="on"/>
      </w:pPr>
      <w:r>
        <w:t>Sự thay đổi câu chuyện</w:t>
      </w:r>
      <w:bookmarkEnd w:id="2428"/>
      <w:bookmarkEnd w:id="2429"/>
    </w:p>
    <w:p>
      <w:pPr>
        <w:pStyle w:val="Para 03"/>
      </w:pPr>
      <w:r>
        <w:t>Một sự kiện khiến bạn đánh giá lại câu chuyện cốt lõi của mình là quá rộng mở hoặc quá hạn chế sẽ khiến bạn thay đổi câu chuyện và giá trị của công ty. Trong một số trường hợp, sự kiện đó có thể mang tính vĩ mô, nhưng thường thì nó có thể đến từ một hành động của chính công ty khiến bạn đánh giá lại câu chuyện ban đầu của mình.</w:t>
      </w:r>
    </w:p>
    <w:p>
      <w:pPr>
        <w:numPr>
          <w:ilvl w:val="0"/>
          <w:numId w:val="122"/>
        </w:numPr>
        <w:pStyle w:val="Para 01"/>
      </w:pPr>
      <w:r>
        <w:t>Báo cáo thu nhập: Khi các công ty báo cáo thu nhập, nhiều nhà đầu tư tập trung vào lợi nhuận ròng (tức là liệu thu nhập trên mỗi cổ phần thực tế có vượt qua hay thấp hơn kỳ vọng của các nhà phân tích). Theo quan điểm của chúng tôi, tin tức thú vị và hệ trọng hơn trong các báo cáo thu nhập nằm ở phần ẩn ý, nơi công ty cung cấp thông tin khiến bạn đánh giá lại câu chuyện của mình.</w:t>
      </w:r>
    </w:p>
    <w:p>
      <w:pPr>
        <w:numPr>
          <w:ilvl w:val="0"/>
          <w:numId w:val="122"/>
        </w:numPr>
        <w:pStyle w:val="Para 01"/>
      </w:pPr>
      <w:r>
        <w:t>Thâu tóm: Một thương vụ thâu tóm, đặc biệt nếu nhắm vào một mục tiêu đại chúng lớn, là một canh bạc có tính toán có thể thay đổi câu chuyện của một công ty một cách mạnh mẽ. Nếu thất bại, như trường hợp Eastman Kodak mua Sterling Drugs hay Time Warner mua AOL, nó sẽ kéo công ty xuống theo. Nếu thành công, nó có thể thay đổi cốt truyện của công ty, có thể đưa công ty từ một doanh nghiệp trưởng thành, ổn định sang một doanh nghiệp tăng trưởng.</w:t>
      </w:r>
    </w:p>
    <w:p>
      <w:pPr>
        <w:numPr>
          <w:ilvl w:val="0"/>
          <w:numId w:val="122"/>
        </w:numPr>
        <w:pStyle w:val="Para 01"/>
      </w:pPr>
      <w:r>
        <w:t>Thay đổi ban lãnh đạo: Một sự thay đổi ở vị trí cao nhất của công ty, khi một CEO mới từ bên ngoài thay thế một CEO tại vị lâu năm, có thể dẫn đến việc đánh giá lại cốt truyện của công ty và kéo theo đó là giá trị. Sự thay đổi đó có thể xảy ra do quá trình chuyển giao tự nhiên, hoặc do sự hiện diện của một nhà đầu tư hoạt động trong hàng ngũ cổ đông.</w:t>
      </w:r>
    </w:p>
    <w:p>
      <w:pPr>
        <w:pStyle w:val="Para 03"/>
      </w:pPr>
      <w:r>
        <w:t>Với Zomato, một báo cáo thu nhập chứa tin về một bước đột phá cho phép công ty mở rộng ra ngoài việc giao đồ ăn từ nhà hàng sang giao hàng tạp hóa sẽ mở rộng đáng kể câu chuyện và đẩy giá trị lên, trong khi một thông báo từ Swiggy (một đối thủ cạnh tranh) rằng công ty dự định giảm phần chia của mình (phần doanh thu được tính từ tổng hóa đơn gộp) sẽ lan sang phần sinh lời trong câu chuyện của bạn về Zomato. Trên thực tế, việc Zomato thâu tóm Blinkit, một công ty khởi nghiệp giao hàng tạp hóa, vào năm 2022, đã mở rộng và thay đổi cốt truyện cũng như giá trị của nó.</w:t>
      </w:r>
    </w:p>
    <w:p>
      <w:bookmarkStart w:id="2431" w:name="Story_Shifts__The_core_story_may"/>
      <w:bookmarkStart w:id="2432" w:name="Story_Shifts"/>
      <w:pPr>
        <w:keepNext/>
        <w:pStyle w:val="Heading 4"/>
        <w:keepLines w:val="on"/>
      </w:pPr>
      <w:r>
        <w:t>Sự dịch chuyển câu chuyện</w:t>
      </w:r>
      <w:bookmarkEnd w:id="2431"/>
      <w:bookmarkEnd w:id="2432"/>
    </w:p>
    <w:p>
      <w:pPr>
        <w:pStyle w:val="Para 03"/>
      </w:pPr>
      <w:r>
        <w:t>Câu chuyện cốt lõi có thể không đứt gãy hay thay đổi, nhưng bạn có thể đánh giá lại các đường nét của câu chuyện đó, dựa trên những diễn biến vĩ mô hoặc những câu chuyện về công ty. Câu chuyện của chúng tôi về Apple như một công ty điện thoại thông minh trưởng thành, một cỗ máy tiền mặt (tức là một công ty có khả năng tạo ra lượng dòng tiền khổng lồ), vẫn không thay đổi trong thập kỷ qua, nhưng đã có những thay đổi đáng kể trong giá trị nội tại ước tính trên mỗi cổ phần khi chúng tôi cập nhật các con số của công ty cũng như các đầu vào vĩ mô (lãi suất phi rủi ro và phần bù rủi ro vốn cổ phần).</w:t>
      </w:r>
    </w:p>
    <w:tbl>
      <w:tblPr>
        <w:tblW w:type="auto" w:w="0"/>
      </w:tblPr>
      <w:tr>
        <w:tc>
          <w:tcPr>
            <w:tcW w:type="auto" w:w="0"/>
          </w:tcPr>
          <w:tbl>
            <w:tblPr>
              <w:tblW w:type="auto" w:w="0"/>
            </w:tblPr>
            <w:tr>
              <w:tc>
                <w:tcPr>
                  <w:tcW w:type="auto" w:w="0"/>
                  <w:shd w:val="clear" w:color="auto" w:fill="F0F0F0"/>
                </w:tcPr>
                <w:p>
                  <w:pPr>
                    <w:pStyle w:val="Para 17"/>
                    <w:keepLines w:val="on"/>
                  </w:pPr>
                  <w:r>
                    <w:t>Tháng</w:t>
                  </w:r>
                </w:p>
              </w:tc>
              <w:tc>
                <w:tcPr>
                  <w:tcW w:type="auto" w:w="0"/>
                  <w:shd w:val="clear" w:color="auto" w:fill="F0F0F0"/>
                </w:tcPr>
                <w:p>
                  <w:pPr>
                    <w:pStyle w:val="Para 17"/>
                    <w:keepLines w:val="on"/>
                  </w:pPr>
                  <w:r>
                    <w:t>Giá mỗi cổ phần</w:t>
                  </w:r>
                </w:p>
              </w:tc>
              <w:tc>
                <w:tcPr>
                  <w:tcW w:type="auto" w:w="0"/>
                  <w:shd w:val="clear" w:color="auto" w:fill="F0F0F0"/>
                </w:tcPr>
                <w:p>
                  <w:pPr>
                    <w:pStyle w:val="Para 17"/>
                    <w:keepLines w:val="on"/>
                  </w:pPr>
                  <w:r>
                    <w:t>Giá trị mỗi cổ phần</w:t>
                  </w:r>
                </w:p>
              </w:tc>
              <w:tc>
                <w:tcPr>
                  <w:tcW w:type="auto" w:w="0"/>
                  <w:shd w:val="clear" w:color="auto" w:fill="F0F0F0"/>
                </w:tcPr>
                <w:p>
                  <w:pPr>
                    <w:pStyle w:val="Para 17"/>
                    <w:keepLines w:val="on"/>
                  </w:pPr>
                  <w:r>
                    <w:t>% Chênh lệch</w:t>
                  </w:r>
                </w:p>
              </w:tc>
            </w:tr>
            <w:tr>
              <w:tc>
                <w:tcPr>
                  <w:tcW w:type="auto" w:w="0"/>
                  <w:shd w:val="clear" w:color="auto" w:fill="F0F0F0"/>
                </w:tcPr>
                <w:p>
                  <w:pPr>
                    <w:pStyle w:val="Normal"/>
                    <w:keepLines w:val="on"/>
                  </w:pPr>
                  <w:r>
                    <w:t>Tháng 9-2011</w:t>
                  </w:r>
                </w:p>
              </w:tc>
              <w:tc>
                <w:tcPr>
                  <w:tcW w:type="auto" w:w="0"/>
                  <w:shd w:val="clear" w:color="auto" w:fill="F0F0F0"/>
                </w:tcPr>
                <w:p>
                  <w:pPr>
                    <w:pStyle w:val="Normal"/>
                    <w:keepLines w:val="on"/>
                  </w:pPr>
                  <w:r>
                    <w:t>$54,47</w:t>
                  </w:r>
                </w:p>
              </w:tc>
              <w:tc>
                <w:tcPr>
                  <w:tcW w:type="auto" w:w="0"/>
                  <w:shd w:val="clear" w:color="auto" w:fill="F0F0F0"/>
                </w:tcPr>
                <w:p>
                  <w:pPr>
                    <w:pStyle w:val="Normal"/>
                    <w:keepLines w:val="on"/>
                  </w:pPr>
                  <w:r>
                    <w:t>$69,30</w:t>
                  </w:r>
                </w:p>
              </w:tc>
              <w:tc>
                <w:tcPr>
                  <w:tcW w:type="auto" w:w="0"/>
                  <w:shd w:val="clear" w:color="auto" w:fill="F0F0F0"/>
                </w:tcPr>
                <w:p>
                  <w:pPr>
                    <w:pStyle w:val="Normal"/>
                    <w:keepLines w:val="on"/>
                  </w:pPr>
                  <w:r>
                    <w:t>–21,39%</w:t>
                  </w:r>
                </w:p>
              </w:tc>
            </w:tr>
            <w:tr>
              <w:tc>
                <w:tcPr>
                  <w:tcW w:type="auto" w:w="0"/>
                  <w:shd w:val="clear" w:color="auto" w:fill="F0F0F0"/>
                </w:tcPr>
                <w:p>
                  <w:pPr>
                    <w:pStyle w:val="Normal"/>
                    <w:keepLines w:val="on"/>
                  </w:pPr>
                  <w:r>
                    <w:t>Sep-12</w:t>
                  </w:r>
                </w:p>
              </w:tc>
              <w:tc>
                <w:tcPr>
                  <w:tcW w:type="auto" w:w="0"/>
                  <w:shd w:val="clear" w:color="auto" w:fill="F0F0F0"/>
                </w:tcPr>
                <w:p>
                  <w:pPr>
                    <w:pStyle w:val="Normal"/>
                    <w:keepLines w:val="on"/>
                  </w:pPr>
                  <w:r>
                    <w:t>$95,30</w:t>
                  </w:r>
                </w:p>
              </w:tc>
              <w:tc>
                <w:tcPr>
                  <w:tcW w:type="auto" w:w="0"/>
                  <w:shd w:val="clear" w:color="auto" w:fill="F0F0F0"/>
                </w:tcPr>
                <w:p>
                  <w:pPr>
                    <w:pStyle w:val="Normal"/>
                    <w:keepLines w:val="on"/>
                  </w:pPr>
                  <w:r>
                    <w:t>$91,29</w:t>
                  </w:r>
                </w:p>
              </w:tc>
              <w:tc>
                <w:tcPr>
                  <w:tcW w:type="auto" w:w="0"/>
                  <w:shd w:val="clear" w:color="auto" w:fill="F0F0F0"/>
                </w:tcPr>
                <w:p>
                  <w:pPr>
                    <w:pStyle w:val="Normal"/>
                    <w:keepLines w:val="on"/>
                  </w:pPr>
                  <w:r>
                    <w:t>4,40%</w:t>
                  </w:r>
                </w:p>
              </w:tc>
            </w:tr>
            <w:tr>
              <w:tc>
                <w:tcPr>
                  <w:tcW w:type="auto" w:w="0"/>
                  <w:shd w:val="clear" w:color="auto" w:fill="F0F0F0"/>
                </w:tcPr>
                <w:p>
                  <w:pPr>
                    <w:pStyle w:val="Normal"/>
                    <w:keepLines w:val="on"/>
                  </w:pPr>
                  <w:r>
                    <w:t>Sep-13</w:t>
                  </w:r>
                </w:p>
              </w:tc>
              <w:tc>
                <w:tcPr>
                  <w:tcW w:type="auto" w:w="0"/>
                  <w:shd w:val="clear" w:color="auto" w:fill="F0F0F0"/>
                </w:tcPr>
                <w:p>
                  <w:pPr>
                    <w:pStyle w:val="Normal"/>
                    <w:keepLines w:val="on"/>
                  </w:pPr>
                  <w:r>
                    <w:t>$68,11</w:t>
                  </w:r>
                </w:p>
              </w:tc>
              <w:tc>
                <w:tcPr>
                  <w:tcW w:type="auto" w:w="0"/>
                  <w:shd w:val="clear" w:color="auto" w:fill="F0F0F0"/>
                </w:tcPr>
                <w:p>
                  <w:pPr>
                    <w:pStyle w:val="Normal"/>
                    <w:keepLines w:val="on"/>
                  </w:pPr>
                  <w:r>
                    <w:t>$86,43</w:t>
                  </w:r>
                </w:p>
              </w:tc>
              <w:tc>
                <w:tcPr>
                  <w:tcW w:type="auto" w:w="0"/>
                  <w:shd w:val="clear" w:color="auto" w:fill="F0F0F0"/>
                </w:tcPr>
                <w:p>
                  <w:pPr>
                    <w:pStyle w:val="Normal"/>
                    <w:keepLines w:val="on"/>
                  </w:pPr>
                  <w:r>
                    <w:t>–21,20%</w:t>
                  </w:r>
                </w:p>
              </w:tc>
            </w:tr>
            <w:tr>
              <w:tc>
                <w:tcPr>
                  <w:tcW w:type="auto" w:w="0"/>
                  <w:shd w:val="clear" w:color="auto" w:fill="F0F0F0"/>
                </w:tcPr>
                <w:p>
                  <w:pPr>
                    <w:pStyle w:val="Normal"/>
                    <w:keepLines w:val="on"/>
                  </w:pPr>
                  <w:r>
                    <w:t>Sep-14</w:t>
                  </w:r>
                </w:p>
              </w:tc>
              <w:tc>
                <w:tcPr>
                  <w:tcW w:type="auto" w:w="0"/>
                  <w:shd w:val="clear" w:color="auto" w:fill="F0F0F0"/>
                </w:tcPr>
                <w:p>
                  <w:pPr>
                    <w:pStyle w:val="Normal"/>
                    <w:keepLines w:val="on"/>
                  </w:pPr>
                  <w:r>
                    <w:t>$100,75</w:t>
                  </w:r>
                </w:p>
              </w:tc>
              <w:tc>
                <w:tcPr>
                  <w:tcW w:type="auto" w:w="0"/>
                  <w:shd w:val="clear" w:color="auto" w:fill="F0F0F0"/>
                </w:tcPr>
                <w:p>
                  <w:pPr>
                    <w:pStyle w:val="Normal"/>
                    <w:keepLines w:val="on"/>
                  </w:pPr>
                  <w:r>
                    <w:t>$97,91</w:t>
                  </w:r>
                </w:p>
              </w:tc>
              <w:tc>
                <w:tcPr>
                  <w:tcW w:type="auto" w:w="0"/>
                  <w:shd w:val="clear" w:color="auto" w:fill="F0F0F0"/>
                </w:tcPr>
                <w:p>
                  <w:pPr>
                    <w:pStyle w:val="Normal"/>
                    <w:keepLines w:val="on"/>
                  </w:pPr>
                  <w:r>
                    <w:t>2,90%</w:t>
                  </w:r>
                </w:p>
              </w:tc>
            </w:tr>
            <w:tr>
              <w:tc>
                <w:tcPr>
                  <w:tcW w:type="auto" w:w="0"/>
                  <w:shd w:val="clear" w:color="auto" w:fill="F0F0F0"/>
                </w:tcPr>
                <w:p>
                  <w:pPr>
                    <w:pStyle w:val="Normal"/>
                    <w:keepLines w:val="on"/>
                  </w:pPr>
                  <w:r>
                    <w:t>Sep-15</w:t>
                  </w:r>
                </w:p>
              </w:tc>
              <w:tc>
                <w:tcPr>
                  <w:tcW w:type="auto" w:w="0"/>
                  <w:shd w:val="clear" w:color="auto" w:fill="F0F0F0"/>
                </w:tcPr>
                <w:p>
                  <w:pPr>
                    <w:pStyle w:val="Normal"/>
                    <w:keepLines w:val="on"/>
                  </w:pPr>
                  <w:r>
                    <w:t>$110,30</w:t>
                  </w:r>
                </w:p>
              </w:tc>
              <w:tc>
                <w:tcPr>
                  <w:tcW w:type="auto" w:w="0"/>
                  <w:shd w:val="clear" w:color="auto" w:fill="F0F0F0"/>
                </w:tcPr>
                <w:p>
                  <w:pPr>
                    <w:pStyle w:val="Normal"/>
                    <w:keepLines w:val="on"/>
                  </w:pPr>
                  <w:r>
                    <w:t>$130,91</w:t>
                  </w:r>
                </w:p>
              </w:tc>
              <w:tc>
                <w:tcPr>
                  <w:tcW w:type="auto" w:w="0"/>
                  <w:shd w:val="clear" w:color="auto" w:fill="F0F0F0"/>
                </w:tcPr>
                <w:p>
                  <w:pPr>
                    <w:pStyle w:val="Normal"/>
                    <w:keepLines w:val="on"/>
                  </w:pPr>
                  <w:r>
                    <w:t>–15,74%</w:t>
                  </w:r>
                </w:p>
              </w:tc>
            </w:tr>
            <w:tr>
              <w:tc>
                <w:tcPr>
                  <w:tcW w:type="auto" w:w="0"/>
                  <w:shd w:val="clear" w:color="auto" w:fill="F0F0F0"/>
                </w:tcPr>
                <w:p>
                  <w:pPr>
                    <w:pStyle w:val="Normal"/>
                    <w:keepLines w:val="on"/>
                  </w:pPr>
                  <w:r>
                    <w:t>Sep-16</w:t>
                  </w:r>
                </w:p>
              </w:tc>
              <w:tc>
                <w:tcPr>
                  <w:tcW w:type="auto" w:w="0"/>
                  <w:shd w:val="clear" w:color="auto" w:fill="F0F0F0"/>
                </w:tcPr>
                <w:p>
                  <w:pPr>
                    <w:pStyle w:val="Normal"/>
                    <w:keepLines w:val="on"/>
                  </w:pPr>
                  <w:r>
                    <w:t>$113,05</w:t>
                  </w:r>
                </w:p>
              </w:tc>
              <w:tc>
                <w:tcPr>
                  <w:tcW w:type="auto" w:w="0"/>
                  <w:shd w:val="clear" w:color="auto" w:fill="F0F0F0"/>
                </w:tcPr>
                <w:p>
                  <w:pPr>
                    <w:pStyle w:val="Normal"/>
                    <w:keepLines w:val="on"/>
                  </w:pPr>
                  <w:r>
                    <w:t>$126,47</w:t>
                  </w:r>
                </w:p>
              </w:tc>
              <w:tc>
                <w:tcPr>
                  <w:tcW w:type="auto" w:w="0"/>
                  <w:shd w:val="clear" w:color="auto" w:fill="F0F0F0"/>
                </w:tcPr>
                <w:p>
                  <w:pPr>
                    <w:pStyle w:val="Normal"/>
                    <w:keepLines w:val="on"/>
                  </w:pPr>
                  <w:r>
                    <w:t>–10,61%</w:t>
                  </w:r>
                </w:p>
              </w:tc>
            </w:tr>
            <w:tr>
              <w:tc>
                <w:tcPr>
                  <w:tcW w:type="auto" w:w="0"/>
                  <w:shd w:val="clear" w:color="auto" w:fill="F0F0F0"/>
                </w:tcPr>
                <w:p>
                  <w:pPr>
                    <w:pStyle w:val="Normal"/>
                    <w:keepLines w:val="on"/>
                  </w:pPr>
                  <w:r>
                    <w:t>Sep-17</w:t>
                  </w:r>
                </w:p>
              </w:tc>
              <w:tc>
                <w:tcPr>
                  <w:tcW w:type="auto" w:w="0"/>
                  <w:shd w:val="clear" w:color="auto" w:fill="F0F0F0"/>
                </w:tcPr>
                <w:p>
                  <w:pPr>
                    <w:pStyle w:val="Normal"/>
                    <w:keepLines w:val="on"/>
                  </w:pPr>
                  <w:r>
                    <w:t>$154,12</w:t>
                  </w:r>
                </w:p>
              </w:tc>
              <w:tc>
                <w:tcPr>
                  <w:tcW w:type="auto" w:w="0"/>
                  <w:shd w:val="clear" w:color="auto" w:fill="F0F0F0"/>
                </w:tcPr>
                <w:p>
                  <w:pPr>
                    <w:pStyle w:val="Normal"/>
                    <w:keepLines w:val="on"/>
                  </w:pPr>
                  <w:r>
                    <w:t>$158,33</w:t>
                  </w:r>
                </w:p>
              </w:tc>
              <w:tc>
                <w:tcPr>
                  <w:tcW w:type="auto" w:w="0"/>
                  <w:shd w:val="clear" w:color="auto" w:fill="F0F0F0"/>
                </w:tcPr>
                <w:p>
                  <w:pPr>
                    <w:pStyle w:val="Normal"/>
                    <w:keepLines w:val="on"/>
                  </w:pPr>
                  <w:r>
                    <w:t>–2,66%</w:t>
                  </w:r>
                </w:p>
              </w:tc>
            </w:tr>
            <w:tr>
              <w:tc>
                <w:tcPr>
                  <w:tcW w:type="auto" w:w="0"/>
                  <w:shd w:val="clear" w:color="auto" w:fill="F0F0F0"/>
                </w:tcPr>
                <w:p>
                  <w:pPr>
                    <w:pStyle w:val="Normal"/>
                    <w:keepLines w:val="on"/>
                  </w:pPr>
                  <w:r>
                    <w:t>Sep-18</w:t>
                  </w:r>
                </w:p>
              </w:tc>
              <w:tc>
                <w:tcPr>
                  <w:tcW w:type="auto" w:w="0"/>
                  <w:shd w:val="clear" w:color="auto" w:fill="F0F0F0"/>
                </w:tcPr>
                <w:p>
                  <w:pPr>
                    <w:pStyle w:val="Normal"/>
                    <w:keepLines w:val="on"/>
                  </w:pPr>
                  <w:r>
                    <w:t>225,74 đô la</w:t>
                  </w:r>
                </w:p>
              </w:tc>
              <w:tc>
                <w:tcPr>
                  <w:tcW w:type="auto" w:w="0"/>
                  <w:shd w:val="clear" w:color="auto" w:fill="F0F0F0"/>
                </w:tcPr>
                <w:p>
                  <w:pPr>
                    <w:pStyle w:val="Normal"/>
                    <w:keepLines w:val="on"/>
                  </w:pPr>
                  <w:r>
                    <w:t>201,50 đô la</w:t>
                  </w:r>
                </w:p>
              </w:tc>
              <w:tc>
                <w:tcPr>
                  <w:tcW w:type="auto" w:w="0"/>
                  <w:shd w:val="clear" w:color="auto" w:fill="F0F0F0"/>
                </w:tcPr>
                <w:p>
                  <w:pPr>
                    <w:pStyle w:val="Normal"/>
                    <w:keepLines w:val="on"/>
                  </w:pPr>
                  <w:r>
                    <w:t>12,03%</w:t>
                  </w:r>
                </w:p>
              </w:tc>
            </w:tr>
            <w:tr>
              <w:tc>
                <w:tcPr>
                  <w:tcW w:type="auto" w:w="0"/>
                  <w:shd w:val="clear" w:color="auto" w:fill="F0F0F0"/>
                </w:tcPr>
                <w:p>
                  <w:pPr>
                    <w:pStyle w:val="Normal"/>
                    <w:keepLines w:val="on"/>
                  </w:pPr>
                  <w:r>
                    <w:t>Tháng 9-19</w:t>
                  </w:r>
                </w:p>
              </w:tc>
              <w:tc>
                <w:tcPr>
                  <w:tcW w:type="auto" w:w="0"/>
                  <w:shd w:val="clear" w:color="auto" w:fill="F0F0F0"/>
                </w:tcPr>
                <w:p>
                  <w:pPr>
                    <w:pStyle w:val="Normal"/>
                    <w:keepLines w:val="on"/>
                  </w:pPr>
                  <w:r>
                    <w:t>249,75 đô la</w:t>
                  </w:r>
                </w:p>
              </w:tc>
              <w:tc>
                <w:tcPr>
                  <w:tcW w:type="auto" w:w="0"/>
                  <w:shd w:val="clear" w:color="auto" w:fill="F0F0F0"/>
                </w:tcPr>
                <w:p>
                  <w:pPr>
                    <w:pStyle w:val="Normal"/>
                    <w:keepLines w:val="on"/>
                  </w:pPr>
                  <w:r>
                    <w:t>243,25 đô la</w:t>
                  </w:r>
                </w:p>
              </w:tc>
              <w:tc>
                <w:tcPr>
                  <w:tcW w:type="auto" w:w="0"/>
                  <w:shd w:val="clear" w:color="auto" w:fill="F0F0F0"/>
                </w:tcPr>
                <w:p>
                  <w:pPr>
                    <w:pStyle w:val="Normal"/>
                    <w:keepLines w:val="on"/>
                  </w:pPr>
                  <w:r>
                    <w:t>2,67%</w:t>
                  </w:r>
                </w:p>
              </w:tc>
            </w:tr>
            <w:tr>
              <w:tc>
                <w:tcPr>
                  <w:tcW w:type="auto" w:w="0"/>
                  <w:shd w:val="clear" w:color="auto" w:fill="F0F0F0"/>
                </w:tcPr>
                <w:p>
                  <w:pPr>
                    <w:pStyle w:val="Normal"/>
                    <w:keepLines w:val="on"/>
                  </w:pPr>
                  <w:r>
                    <w:t>Tháng 9-20</w:t>
                  </w:r>
                </w:p>
              </w:tc>
              <w:tc>
                <w:tcPr>
                  <w:tcW w:type="auto" w:w="0"/>
                  <w:shd w:val="clear" w:color="auto" w:fill="F0F0F0"/>
                </w:tcPr>
                <w:p>
                  <w:pPr>
                    <w:pStyle w:val="Normal"/>
                    <w:keepLines w:val="on"/>
                  </w:pPr>
                  <w:r>
                    <w:t>462,83 đô la</w:t>
                  </w:r>
                </w:p>
              </w:tc>
              <w:tc>
                <w:tcPr>
                  <w:tcW w:type="auto" w:w="0"/>
                  <w:shd w:val="clear" w:color="auto" w:fill="F0F0F0"/>
                </w:tcPr>
                <w:p>
                  <w:pPr>
                    <w:pStyle w:val="Normal"/>
                    <w:keepLines w:val="on"/>
                  </w:pPr>
                  <w:r>
                    <w:t>479,50 đô la</w:t>
                  </w:r>
                </w:p>
              </w:tc>
              <w:tc>
                <w:tcPr>
                  <w:tcW w:type="auto" w:w="0"/>
                  <w:shd w:val="clear" w:color="auto" w:fill="F0F0F0"/>
                </w:tcPr>
                <w:p>
                  <w:pPr>
                    <w:pStyle w:val="Normal"/>
                    <w:keepLines w:val="on"/>
                  </w:pPr>
                  <w:r>
                    <w:t>–3,48%</w:t>
                  </w:r>
                </w:p>
              </w:tc>
            </w:tr>
          </w:tbl>
          <w:p/>
        </w:tc>
      </w:tr>
    </w:tbl>
    <w:p>
      <w:pPr>
        <w:pStyle w:val="Para 03"/>
      </w:pPr>
      <w:r>
        <w:t>Nếu những thay đổi về giá trị nội tại (intrinsic value) theo thời gian khiến bạn băn khoăn, hãy lưu ý rằng giá thị trường cũng chịu ảnh hưởng bởi những thay đổi này, và việc đầu tư dựa trên cách giá trị được đo lường so với giá cả. Thực tế, trong thập kỷ này, Apple đã bị định giá thấp sáu lần và bị định giá cao bốn lần, và giá thị trường biến động mạnh hơn nhiều so với giá trị nội tại.</w:t>
      </w:r>
    </w:p>
    <w:p>
      <w:pPr>
        <w:pStyle w:val="Para 03"/>
      </w:pPr>
      <w:r>
        <w:t>Câu chuyện tăng trưởng của Zomato đến từ những giả định rằng nền kinh tế Ấn Độ sẽ tăng trưởng mạnh mẽ, và ngành kinh doanh nhà hàng tại quốc gia này sẽ còn tăng trưởng hơn nữa. Những thông tin bạn nhận được khiến bạn phải đánh giá lại một hoặc cả hai giả định này sẽ thể hiện thành những thay đổi trong câu chuyện và giá trị của bạn đối với công ty.</w:t>
      </w:r>
    </w:p>
    <w:p>
      <w:bookmarkStart w:id="2433" w:name="Conclusion__Every_valuation_tell"/>
      <w:bookmarkStart w:id="2434" w:name="Conclusion_12"/>
      <w:pPr>
        <w:keepNext/>
        <w:pStyle w:val="Heading 2"/>
        <w:keepLines w:val="on"/>
      </w:pPr>
      <w:r>
        <w:t>Kết luận</w:t>
      </w:r>
      <w:bookmarkEnd w:id="2433"/>
      <w:bookmarkEnd w:id="2434"/>
    </w:p>
    <w:p>
      <w:pPr>
        <w:pStyle w:val="Para 03"/>
      </w:pPr>
      <w:r>
        <w:t>Mọi định giá đều kể một câu chuyện, và việc làm cho câu chuyện đó trở nên rõ ràng không chỉ hợp lý mà còn cần kiểm tra những mắt xích yếu nhất của nó. Trong chương này, chúng ta bắt đầu với lập luận rằng định giá là cầu nối giữa câu chuyện và con số, trước khi trình bày quy trình năm bước để đi từ câu chuyện của một công ty đến giá trị của nó. Sau đó, chúng ta xem xét cách sự cân bằng giữa câu chuyện và con số có thể thay đổi qua vòng đời, cũng như tại sao và bằng cách nào các câu chuyện bị phá vỡ, thay đổi và dịch chuyển. Chỉ xin cảnh báo, nhà đầu tư rất dễ say đắm với những câu chuyện định giá của mình và chống lại hoặc phủ nhận những tin tức đi ngược lại những câu chuyện đó. Duy trì sự cân bằng giữa việc có đủ niềm tin vào định giá của mình để không từ bỏ nó chỉ vì một dấu hiệu rắc rối nhỏ nhất, và việc không có quá nhiều niềm tin đến mức bám giữ nó ngay cả khi dữ liệu cho thấy bạn nên buông bỏ, là một trong những thách thức khó khăn nhất trong đầu tư.</w:t>
      </w:r>
    </w:p>
    <w:p>
      <w:bookmarkStart w:id="2436" w:name="Questions_and_Short_Problems_13"/>
      <w:bookmarkStart w:id="2437" w:name="Questions_and_Short_Problems__In_7"/>
      <w:pPr>
        <w:keepNext/>
        <w:pStyle w:val="Heading 2"/>
        <w:keepLines w:val="on"/>
      </w:pPr>
      <w:r>
        <w:t>Câu hỏi và bài tập ngắn</w:t>
      </w:r>
      <w:bookmarkEnd w:id="2436"/>
      <w:bookmarkEnd w:id="2437"/>
    </w:p>
    <w:p>
      <w:pPr>
        <w:pStyle w:val="Para 44"/>
      </w:pPr>
      <w:r>
        <w:t>Trong các bài tập sau đây, hãy sử dụng mức bù rủi ro vốn cổ phần (equity risk premium) là 5,5 phần trăm nếu không có quy định nào khác.</w:t>
      </w:r>
    </w:p>
    <w:p>
      <w:pPr>
        <w:numPr>
          <w:ilvl w:val="0"/>
          <w:numId w:val="123"/>
        </w:numPr>
        <w:pStyle w:val="Para 01"/>
      </w:pPr>
      <w:r>
        <w:t>Nếu mọi định giá là cầu nối giữa câu chuyện và con số, thì mục tiêu của bạn, xét về mặt kể chuyện, khi định giá một công ty là gì trong các lựa chọn sau?</w:t>
      </w:r>
    </w:p>
    <w:p>
      <w:pPr>
        <w:numPr>
          <w:ilvl w:val="1"/>
          <w:numId w:val="123"/>
        </w:numPr>
        <w:pStyle w:val="Para 01"/>
      </w:pPr>
      <w:r>
        <w:t>Kể câu chuyện lạc quan nhất có thể cho công ty.</w:t>
      </w:r>
    </w:p>
    <w:p>
      <w:pPr>
        <w:numPr>
          <w:ilvl w:val="1"/>
          <w:numId w:val="123"/>
        </w:numPr>
        <w:pStyle w:val="Para 01"/>
      </w:pPr>
      <w:r>
        <w:t>Kể câu chuyện thực tế nhất có thể cho công ty.</w:t>
      </w:r>
    </w:p>
    <w:p>
      <w:pPr>
        <w:numPr>
          <w:ilvl w:val="1"/>
          <w:numId w:val="123"/>
        </w:numPr>
        <w:pStyle w:val="Para 01"/>
      </w:pPr>
      <w:r>
        <w:t>Kể câu chuyện bi quan nhất có thể cho công ty.</w:t>
      </w:r>
    </w:p>
    <w:p>
      <w:pPr>
        <w:numPr>
          <w:ilvl w:val="0"/>
          <w:numId w:val="123"/>
        </w:numPr>
        <w:pStyle w:val="Para 01"/>
      </w:pPr>
      <w:r>
        <w:t>Xét về việc đạt được giá trị cao nhất cho một công ty non trẻ, sự kết hợp nào sau đây có khả năng mang lại giá trị đó?</w:t>
      </w:r>
    </w:p>
    <w:p>
      <w:pPr>
        <w:numPr>
          <w:ilvl w:val="1"/>
          <w:numId w:val="123"/>
        </w:numPr>
        <w:pStyle w:val="Para 01"/>
      </w:pPr>
      <w:r>
        <w:t>Tăng trưởng doanh thu cao, lợi nhuận cao, cường độ vốn cao.</w:t>
      </w:r>
    </w:p>
    <w:p>
      <w:pPr>
        <w:numPr>
          <w:ilvl w:val="1"/>
          <w:numId w:val="123"/>
        </w:numPr>
        <w:pStyle w:val="Para 01"/>
      </w:pPr>
      <w:r>
        <w:t>Tăng trưởng doanh thu cao, lợi nhuận thấp, cường độ vốn thấp.</w:t>
      </w:r>
    </w:p>
    <w:p>
      <w:pPr>
        <w:numPr>
          <w:ilvl w:val="1"/>
          <w:numId w:val="123"/>
        </w:numPr>
        <w:pStyle w:val="Para 01"/>
      </w:pPr>
      <w:r>
        <w:t>Tăng trưởng doanh thu cao, lợi nhuận cao, cường độ vốn thấp.</w:t>
      </w:r>
    </w:p>
    <w:p>
      <w:pPr>
        <w:numPr>
          <w:ilvl w:val="1"/>
          <w:numId w:val="123"/>
        </w:numPr>
        <w:pStyle w:val="Para 01"/>
      </w:pPr>
      <w:r>
        <w:t>Tăng trưởng doanh thu thấp, lợi nhuận cao, thâm dụng vốn thấp.</w:t>
      </w:r>
    </w:p>
    <w:p>
      <w:pPr>
        <w:numPr>
          <w:ilvl w:val="0"/>
          <w:numId w:val="123"/>
        </w:numPr>
        <w:pStyle w:val="Para 01"/>
      </w:pPr>
      <w:r>
        <w:t>Bạn đang xem xét định giá của một công ty nhỏ trong một ngành kinh doanh lớn đã trưởng thành, và đang cố gắng áp dụng bài kiểm tra 3P. Bạn nhận thấy rằng chuyên viên phân tích đã giả định rằng công ty sẽ có mức tăng trưởng doanh thu cao nhờ gia tăng thị phần, cùng với biên lợi nhuận hoạt động mục tiêu cao hơn hẳn mức trung bình của ngành, và mức tái đầu tư thấp (tỷ lệ doanh thu trên vốn cao hơn mức trung bình của ngành). Một số câu hỏi mà bạn sẽ đặt ra cho chuyên viên phân tích đó là gì?</w:t>
      </w:r>
    </w:p>
    <w:p>
      <w:pPr>
        <w:numPr>
          <w:ilvl w:val="0"/>
          <w:numId w:val="123"/>
        </w:numPr>
        <w:pStyle w:val="Para 01"/>
      </w:pPr>
      <w:r>
        <w:t>Bạn đang định giá Comet Inc., một công ty Hoa Kỳ nắm giữ 20% thị phần thị trường nước rửa chén của Hoa Kỳ, đây là một ngành kinh doanh đã trưởng thành, tăng trưởng khoảng 3% mỗi năm. Công ty có một vị CEO mới, người đã bắt tay vào kế hoạch gia tăng thị phần bằng cách cắt giảm giá sản phẩm một cách quyết liệt và mở rộng sang châu Á. Giả định nào sau đây nắm bắt câu chuyện này một cách đúng đắn nhất? (Mỗi giả định đáng nửa điểm.)</w:t>
      </w:r>
    </w:p>
    <w:p>
      <w:pPr>
        <w:numPr>
          <w:ilvl w:val="1"/>
          <w:numId w:val="123"/>
        </w:numPr>
        <w:pStyle w:val="Para 01"/>
      </w:pPr>
      <w:r>
        <w:t>Tăng trưởng doanh thu</w:t>
      </w:r>
    </w:p>
    <w:p>
      <w:pPr>
        <w:numPr>
          <w:ilvl w:val="2"/>
          <w:numId w:val="123"/>
        </w:numPr>
        <w:pStyle w:val="Para 01"/>
      </w:pPr>
      <w:r>
        <w:t>Cao</w:t>
      </w:r>
    </w:p>
    <w:p>
      <w:pPr>
        <w:numPr>
          <w:ilvl w:val="2"/>
          <w:numId w:val="123"/>
        </w:numPr>
        <w:pStyle w:val="Para 01"/>
      </w:pPr>
      <w:r>
        <w:t>Thấp</w:t>
      </w:r>
    </w:p>
    <w:p>
      <w:pPr>
        <w:numPr>
          <w:ilvl w:val="2"/>
          <w:numId w:val="123"/>
        </w:numPr>
        <w:pStyle w:val="Para 01"/>
      </w:pPr>
      <w:r>
        <w:t>Không thay đổi</w:t>
      </w:r>
    </w:p>
    <w:p>
      <w:pPr>
        <w:numPr>
          <w:ilvl w:val="1"/>
          <w:numId w:val="123"/>
        </w:numPr>
        <w:pStyle w:val="Para 01"/>
      </w:pPr>
      <w:r>
        <w:t>Biên lợi nhuận hoạt động</w:t>
      </w:r>
    </w:p>
    <w:p>
      <w:pPr>
        <w:numPr>
          <w:ilvl w:val="2"/>
          <w:numId w:val="123"/>
        </w:numPr>
        <w:pStyle w:val="Para 01"/>
      </w:pPr>
      <w:r>
        <w:t>Tăng</w:t>
      </w:r>
    </w:p>
    <w:p>
      <w:pPr>
        <w:numPr>
          <w:ilvl w:val="2"/>
          <w:numId w:val="123"/>
        </w:numPr>
        <w:pStyle w:val="Para 01"/>
      </w:pPr>
      <w:r>
        <w:t>Giảm</w:t>
      </w:r>
    </w:p>
    <w:p>
      <w:pPr>
        <w:numPr>
          <w:ilvl w:val="2"/>
          <w:numId w:val="123"/>
        </w:numPr>
        <w:pStyle w:val="Para 01"/>
      </w:pPr>
      <w:r>
        <w:t>Không thay đổi</w:t>
      </w:r>
    </w:p>
    <w:p>
      <w:pPr>
        <w:numPr>
          <w:ilvl w:val="1"/>
          <w:numId w:val="123"/>
        </w:numPr>
        <w:pStyle w:val="Para 01"/>
      </w:pPr>
      <w:r>
        <w:t>Chi phí vốn</w:t>
      </w:r>
    </w:p>
    <w:p>
      <w:pPr>
        <w:numPr>
          <w:ilvl w:val="2"/>
          <w:numId w:val="123"/>
        </w:numPr>
        <w:pStyle w:val="Para 01"/>
      </w:pPr>
      <w:r>
        <w:t>Tăng</w:t>
      </w:r>
    </w:p>
    <w:p>
      <w:pPr>
        <w:numPr>
          <w:ilvl w:val="2"/>
          <w:numId w:val="123"/>
        </w:numPr>
        <w:pStyle w:val="Para 01"/>
      </w:pPr>
      <w:r>
        <w:t>Giảm</w:t>
      </w:r>
    </w:p>
    <w:p>
      <w:pPr>
        <w:numPr>
          <w:ilvl w:val="2"/>
          <w:numId w:val="123"/>
        </w:numPr>
        <w:pStyle w:val="Para 01"/>
      </w:pPr>
      <w:r>
        <w:t>Không thay đổi</w:t>
      </w:r>
    </w:p>
    <w:p>
      <w:pPr>
        <w:numPr>
          <w:ilvl w:val="1"/>
          <w:numId w:val="123"/>
        </w:numPr>
        <w:pStyle w:val="Para 01"/>
      </w:pPr>
      <w:r>
        <w:t>Giá trị của doanh nghiệp</w:t>
      </w:r>
    </w:p>
    <w:p>
      <w:pPr>
        <w:numPr>
          <w:ilvl w:val="2"/>
          <w:numId w:val="123"/>
        </w:numPr>
        <w:pStyle w:val="Para 01"/>
      </w:pPr>
      <w:r>
        <w:t>Tăng</w:t>
      </w:r>
    </w:p>
    <w:p>
      <w:pPr>
        <w:numPr>
          <w:ilvl w:val="2"/>
          <w:numId w:val="123"/>
        </w:numPr>
        <w:pStyle w:val="Para 01"/>
      </w:pPr>
      <w:r>
        <w:t>Giảm</w:t>
      </w:r>
    </w:p>
    <w:p>
      <w:pPr>
        <w:numPr>
          <w:ilvl w:val="2"/>
          <w:numId w:val="123"/>
        </w:numPr>
        <w:pStyle w:val="Para 01"/>
      </w:pPr>
      <w:r>
        <w:t>Không rõ ràng (Còn tùy)</w:t>
      </w:r>
    </w:p>
    <w:p>
      <w:bookmarkStart w:id="2439" w:name="Notes__1_Zak__P___2014__Why_your"/>
      <w:bookmarkStart w:id="2440" w:name="Notes_12"/>
      <w:pPr>
        <w:keepNext/>
        <w:pStyle w:val="Heading 2"/>
        <w:keepLines w:val="on"/>
      </w:pPr>
      <w:r>
        <w:t>Ghi chú</w:t>
      </w:r>
      <w:bookmarkEnd w:id="2439"/>
      <w:bookmarkEnd w:id="2440"/>
    </w:p>
    <w:p>
      <w:pPr>
        <w:pStyle w:val="Para 08"/>
      </w:pPr>
      <w:r>
        <w:t>1 Zak, P., 2014, Why your brain loves good story telling, Harvard Business Review, tháng 10 năm 2014.</w:t>
      </w:r>
    </w:p>
    <w:p>
      <w:pPr>
        <w:pStyle w:val="Para 08"/>
      </w:pPr>
      <w:r>
        <w:t>2 Stephens, G.J., L.J. Silbert và U. Hasson, 2010, Speaker-listener Neuro Coupling underlies Successful Communication, Proceedings of the National Academy of Scientists (PNAS)</w:t>
      </w:r>
    </w:p>
    <w:p>
      <w:pPr>
        <w:pStyle w:val="Para 08"/>
      </w:pPr>
      <w:r>
        <w:t>3 Graesser, A. C., Singer, M., Trabasso, T., 1994, Constructing Inferences During Narrative Text Comprehension, Psychological Review, 101, 371–395.</w:t>
      </w:r>
    </w:p>
    <w:p>
      <w:pPr>
        <w:pStyle w:val="Para 08"/>
      </w:pPr>
      <w:r>
        <w:t>4 Kahnemann, D., 2010, Thinking, Fast and Slow, Farrar, Straus and Giroux.</w:t>
      </w:r>
    </w:p>
    <w:p>
      <w:pPr>
        <w:pStyle w:val="Para 58"/>
      </w:pPr>
      <w:r>
        <w:t>5 https://www.youtube.com/watch?v=RoEEDKwzNBw</w:t>
      </w:r>
    </w:p>
    <w:p>
      <w:pPr>
        <w:pStyle w:val="Para 56"/>
      </w:pPr>
      <w:r>
        <w:t>6 Shaw, J. và S. Porter, 2015, Constructing Rich False Memories of Committing Crime, Psychological Science tháng 3 năm 2015 26: 291–301.</w:t>
      </w:r>
    </w:p>
    <w:p>
      <w:pPr>
        <w:pStyle w:val="Para 08"/>
      </w:pPr>
      <w:r>
        <w:t>7 Loftus, Elizabeth F.; Pickrell, Jacqueline E., 1995, The Formation of False Memories, Psychiatric Annals, Tập 25(12), tháng 12 năm 1995, 720–725.</w:t>
      </w:r>
    </w:p>
    <w:p>
      <w:pPr>
        <w:pStyle w:val="Para 08"/>
      </w:pPr>
      <w:r>
        <w:t>8 Vì chi phí vốn thay đổi, để chiết khấu dòng tiền ở năm thứ 7, bạn phải dùng chi phí vốn tích lũy =19,299/1.102571.10 1.0974=$9,813 triệu</w:t>
      </w:r>
    </w:p>
    <w:p>
      <w:bookmarkStart w:id="2449" w:name="Chapter_14Equity_Intrinsic_Value_1"/>
      <w:bookmarkStart w:id="2450" w:name="Top_of_c014_xhtml"/>
      <w:bookmarkStart w:id="2451" w:name="Chapter_14Equity_Intrinsic_Value"/>
      <w:pPr>
        <w:keepNext/>
        <w:pStyle w:val="Heading 1"/>
        <w:pageBreakBefore w:val="on"/>
        <w:keepLines w:val="on"/>
      </w:pPr>
      <w:r>
        <w:t>CHƯƠNG 14</w:t>
      </w:r>
      <w:r>
        <w:br/>
      </w:r>
      <w:r>
        <w:t>Các mô hình giá trị nội tại của cổ phiếu</w:t>
      </w:r>
      <w:bookmarkEnd w:id="2449"/>
      <w:bookmarkEnd w:id="2450"/>
      <w:bookmarkEnd w:id="2451"/>
    </w:p>
    <w:p>
      <w:pPr>
        <w:pStyle w:val="Para 03"/>
      </w:pPr>
      <w:r>
        <w:t>Theo nghĩa chặt chẽ nhất, dòng tiền duy nhất bạn nhận được khi mua cổ phiếu của một công ty niêm yết đại chúng là cổ tức. Mô hình đơn giản nhất để định giá vốn cổ phần là mô hình chiết khấu cổ tức (dividend discount model – DDM) — giá trị của một cổ phiếu là giá trị hiện tại của các khoản cổ tức kỳ vọng nhận được từ nó. Dù nhiều nhà phân tích đã quay lưng với mô hình chiết khấu cổ tức và coi nó là lỗi thời, phần lớn trực giác đằng sau phương pháp định giá dòng tiền chiết khấu đều bắt nguồn từ mô hình chiết khấu cổ tức. Thực tế, có những công ty mà mô hình chiết khấu cổ tức vẫn là công cụ hữu ích để ước tính giá trị.</w:t>
      </w:r>
    </w:p>
    <w:p>
      <w:pPr>
        <w:pStyle w:val="Para 03"/>
      </w:pPr>
      <w:r>
        <w:t>Thách thức lớn nhất của mô hình chiết khấu cổ tức là sự phụ thuộc vào cổ tức — vốn do ban quản lý quyết định, và có thể phản ánh hoặc không phản ánh khả năng công ty hoàn trả tiền mặt cho nhà đầu tư vốn cổ phần. Trong phần thứ hai của chương này, chúng ta ước tính cổ tức tiềm năng của một công ty (tức là dòng tiền tự do cho vốn cổ phần – free cash flow to equity), và dùng nó để ước tính giá trị vốn cổ phần của công ty. Giá trị vốn cổ phần bạn ước tính thường sẽ khác với giá trị thu được từ mô hình chiết khấu cổ tức, và chúng ta sẽ thảo luận về nguyên nhân cũng như hàm ý của sự khác biệt đó.</w:t>
      </w:r>
    </w:p>
    <w:p>
      <w:bookmarkStart w:id="2453" w:name="Equity_Valuation__Early_in_this"/>
      <w:bookmarkStart w:id="2454" w:name="Equity_Valuation"/>
      <w:pPr>
        <w:keepNext/>
        <w:pStyle w:val="Heading 2"/>
        <w:keepLines w:val="on"/>
      </w:pPr>
      <w:r>
        <w:t>Định giá vốn cổ phần</w:t>
      </w:r>
      <w:bookmarkEnd w:id="2453"/>
      <w:bookmarkEnd w:id="2454"/>
    </w:p>
    <w:p>
      <w:pPr>
        <w:pStyle w:val="Para 03"/>
      </w:pPr>
      <w:r>
        <w:t>Đầu cuốn sách này, chúng ta đã phân biệt rõ giữa định giá vốn cổ phần trong một doanh nghiệp và định giá toàn bộ doanh nghiệp, với trọng tâm là cách ước tính dòng tiền và tỷ lệ chiết khấu sẽ thay đổi tùy theo việc bạn đang định giá vốn cổ phần hay định giá doanh nghiệp, như có thể thấy trong Hình 14.1.</w:t>
      </w:r>
    </w:p>
    <w:p>
      <w:bookmarkStart w:id="2456" w:name="Figure_14_1_Valuing_Equity_in_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219200"/>
            <wp:effectExtent l="0" r="0" t="0" b="0"/>
            <wp:wrapTopAndBottom/>
            <wp:docPr id="123" name="c14f001a.png" descr="Illustration of valuing equity in business depicts how to estimate cash flows and discount rates."/>
            <wp:cNvGraphicFramePr>
              <a:graphicFrameLocks noChangeAspect="1"/>
            </wp:cNvGraphicFramePr>
            <a:graphic>
              <a:graphicData uri="http://schemas.openxmlformats.org/drawingml/2006/picture">
                <pic:pic>
                  <pic:nvPicPr>
                    <pic:cNvPr id="0" name="c14f001a.png" descr="Illustration of valuing equity in business depicts how to estimate cash flows and discount rates."/>
                    <pic:cNvPicPr/>
                  </pic:nvPicPr>
                  <pic:blipFill>
                    <a:blip r:embed="rId93"/>
                    <a:stretch>
                      <a:fillRect/>
                    </a:stretch>
                  </pic:blipFill>
                  <pic:spPr>
                    <a:xfrm>
                      <a:off x="0" y="0"/>
                      <a:ext cx="2438400" cy="1219200"/>
                    </a:xfrm>
                    <a:prstGeom prst="rect">
                      <a:avLst/>
                    </a:prstGeom>
                  </pic:spPr>
                </pic:pic>
              </a:graphicData>
            </a:graphic>
          </wp:anchor>
        </w:drawing>
      </w:r>
      <w:bookmarkEnd w:id="2456"/>
    </w:p>
    <w:p>
      <w:pPr>
        <w:keepNext/>
        <w:pStyle w:val="Para 22"/>
        <w:keepLines w:val="on"/>
      </w:pPr>
      <w:r>
        <w:t>Hình 14.1 Định giá vốn cổ phần trong một doanh nghiệp</w:t>
      </w:r>
    </w:p>
    <w:p>
      <w:pPr>
        <w:pStyle w:val="Para 03"/>
      </w:pPr>
      <w:r>
        <w:t>Có ba biến thể của dòng tiền cho vốn cổ phần có thể dùng trong định giá vốn cổ phần. Thước đo đầu tiên và đơn giản nhất của dòng tiền cho vốn cổ phần, ít nhất là ở một công ty niêm yết đại chúng, là cổ tức mà bạn nhận được từ công ty. Thước đo thứ hai, rộng hơn một chút, cộng thêm tiền mặt hoàn trả dưới hình thức mua lại cổ phiếu vào cổ tức đã trả, để có được cổ tức gia tăng (augmented dividends). Thước đo thứ ba và tổng quát nhất của dòng tiền cho vốn cổ phần là tính phần tiền mặt còn lại sau khi đã đáp ứng nhu cầu tái đầu tư và nhu cầu tài trợ (tức là cổ tức tiềm năng).</w:t>
      </w:r>
    </w:p>
    <w:p>
      <w:pPr>
        <w:pStyle w:val="Para 03"/>
      </w:pPr>
      <w:r>
        <w:t>Có một vài công ty mà ba thước đo dòng tiền cho vốn cổ phần này có thể hội tụ, vì họ chi trả những gì họ có thể chi trả dưới dạng cổ tức mỗi năm. Tuy nhiên, với hầu hết công ty, sẽ có sự khác biệt giữa ba thước đo dòng tiền này, dẫn đến các ước tính giá trị vốn cổ phần khác nhau cho cùng một công ty, và chúng ta sẽ bàn về sự khác biệt đó trong chương này.</w:t>
      </w:r>
    </w:p>
    <w:p>
      <w:pPr>
        <w:pStyle w:val="Para 20"/>
      </w:pPr>
      <w:r>
        <w:rPr>
          <w:rStyle w:val="Text26"/>
        </w:rPr>
        <w:bookmarkStart w:id="2457" w:name="Page_388"/>
        <w:t/>
        <w:bookmarkEnd w:id="2457"/>
      </w:r>
      <w:r>
        <w:t xml:space="preserve"> </w:t>
      </w:r>
    </w:p>
    <w:p>
      <w:bookmarkStart w:id="2458" w:name="The_Dividend_Discount_Model"/>
      <w:bookmarkStart w:id="2459" w:name="The_Dividend_Discount_Model__Whe"/>
      <w:pPr>
        <w:keepNext/>
        <w:pStyle w:val="Heading 2"/>
        <w:keepLines w:val="on"/>
      </w:pPr>
      <w:r>
        <w:t>Mô hình chiết khấu cổ tức</w:t>
      </w:r>
      <w:bookmarkEnd w:id="2458"/>
      <w:bookmarkEnd w:id="2459"/>
    </w:p>
    <w:p>
      <w:pPr>
        <w:pStyle w:val="Para 03"/>
      </w:pPr>
      <w:r>
        <w:t>Khi một nhà đầu tư mua cổ phiếu, người đó thường kỳ vọng nhận được hai loại dòng tiền — cổ tức trong thời gian nắm giữ cổ phiếu, và một mức giá kỳ vọng vào cuối thời gian nắm giữ. Vì mức giá kỳ vọng này tự nó được quyết định bởi cổ tức tương lai, giá trị của một cổ phiếu là giá trị hiện tại của cổ tức kéo dài đến vô tận:</w:t>
      </w:r>
    </w:p>
    <w:p>
      <w:bookmarkStart w:id="2460" w:name="Value_of_equity____t_1t____E_DPS"/>
      <w:pPr>
        <w:keepNext/>
        <w:pStyle w:val="Para 09"/>
        <w:keepLines w:val="on"/>
      </w:pPr>
      <w:r>
        <w:t>Giá trị vốn cổ phần=∑t=1t=∞E(DPSt)(1+ke)</w:t>
      </w:r>
      <w:bookmarkEnd w:id="2460"/>
    </w:p>
    <w:p>
      <w:bookmarkStart w:id="2461" w:name="where_____DPSt_Expected_dividend"/>
      <w:pPr>
        <w:pStyle w:val="Para 39"/>
      </w:pPr>
      <w:r>
        <w:t>trong đó     DPSt=Cổ tức kỳ vọng trong kỳ tke=Chi phí vốn cổ phần</w:t>
      </w:r>
      <w:bookmarkEnd w:id="2461"/>
    </w:p>
    <w:p>
      <w:pPr>
        <w:pStyle w:val="Para 03"/>
      </w:pPr>
      <w:r>
        <w:t>Cơ sở lý luận của mô hình nằm ở quy tắc giá trị hiện tại — giá trị của bất kỳ tài sản nào là giá trị hiện tại của các dòng tiền kỳ vọng trong tương lai, được chiết khấu theo tỷ lệ phù hợp với mức độ rủi ro của dòng tiền được chiết khấu.</w:t>
      </w:r>
    </w:p>
    <w:p>
      <w:pPr>
        <w:pStyle w:val="Para 03"/>
      </w:pPr>
      <w:r>
        <w:t>Có hai đầu vào cơ bản cho mô hình — cổ tức kỳ vọng và chi phí vốn cổ phần. Để có được cổ tức kỳ vọng, chúng ta đưa ra các giả định về tốc độ tăng trưởng kỳ vọng trong tương lai của thu nhập và tỷ lệ chi trả. Tỷ suất sinh lợi yêu cầu của một cổ phiếu được quyết định bởi mức độ rủi ro của nó, được đo lường khác nhau trong các mô hình khác nhau — beta thị trường trong mô hình định giá tài sản vốn (capital asset pricing model – CAPM) và các beta nhân tố trong mô hình kinh doanh chênh lệch giá và mô hình đa nhân tố. Mô hình đủ linh hoạt để cho phép tỷ lệ chiết khấu thay đổi theo thời gian, trong đó sự thay đổi theo thời gian là do những thay đổi kỳ vọng về lãi suất hoặc rủi ro qua thời gian.</w:t>
      </w:r>
    </w:p>
    <w:p>
      <w:bookmarkStart w:id="2462" w:name="Versions_of_The_Model"/>
      <w:bookmarkStart w:id="2463" w:name="Versions_of_The_Model__Since_pro"/>
      <w:pPr>
        <w:keepNext/>
        <w:pStyle w:val="Heading 3"/>
        <w:keepLines w:val="on"/>
      </w:pPr>
      <w:r>
        <w:t>Các phiên bản của mô hình</w:t>
      </w:r>
      <w:bookmarkEnd w:id="2462"/>
      <w:bookmarkEnd w:id="2463"/>
    </w:p>
    <w:p>
      <w:pPr>
        <w:pStyle w:val="Para 03"/>
      </w:pPr>
      <w:r>
        <w:t>Vì không thể dự phóng cổ tức bằng đô la đến vô tận, nhiều phiên bản của mô hình chiết khấu cổ tức đã được phát triển dựa trên các giả định khác nhau về tăng trưởng trong tương lai. Chúng ta sẽ bắt đầu với phiên bản đơn giản nhất — một mô hình được thiết kế để định giá cổ phiếu của một công ty tăng trưởng ổn định, công ty chi trả cổ tức ở mức mà nó có thể chi trả — rồi sau đó xem xét cách mô hình có thể được điều chỉnh để định giá các công ty đang tăng trưởng cao, những công ty có thể đang chi trả rất ít hoặc không chi trả cổ tức.</w:t>
      </w:r>
    </w:p>
    <w:p>
      <w:bookmarkStart w:id="2465" w:name="The_Gordon_Growth_Model__The_Gor"/>
      <w:bookmarkStart w:id="2466" w:name="The_Gordon_Growth_Model"/>
      <w:pPr>
        <w:keepNext/>
        <w:pStyle w:val="Heading 4"/>
        <w:keepLines w:val="on"/>
      </w:pPr>
      <w:r>
        <w:t>Mô hình tăng trưởng Gordon</w:t>
      </w:r>
      <w:bookmarkEnd w:id="2465"/>
      <w:bookmarkEnd w:id="2466"/>
    </w:p>
    <w:p>
      <w:pPr>
        <w:pStyle w:val="Para 03"/>
      </w:pPr>
      <w:r>
        <w:t>Mô hình tăng trưởng Gordon có thể được dùng để định giá một công ty đang ở trạng thái “ổn định” (steady state) với cổ tức tăng trưởng ở mức có thể duy trì mãi mãi.</w:t>
      </w:r>
    </w:p>
    <w:p>
      <w:bookmarkStart w:id="2467" w:name="The_Model__The_Gordon_growth_mod"/>
      <w:pPr>
        <w:pStyle w:val="Para 21"/>
      </w:pPr>
      <w:r>
        <w:t>Mô hình</w:t>
      </w:r>
      <w:bookmarkEnd w:id="2467"/>
    </w:p>
    <w:p>
      <w:pPr>
        <w:pStyle w:val="Para 03"/>
      </w:pPr>
      <w:r>
        <w:t>Mô hình tăng trưởng Gordon liên hệ giá trị của một cổ phiếu với cổ tức kỳ vọng trong kỳ tiếp theo, chi phí vốn cổ phần, và tốc độ tăng trưởng kỳ vọng của cổ tức.</w:t>
      </w:r>
    </w:p>
    <w:p>
      <w:bookmarkStart w:id="2469" w:name="Value_of_stock_Expected_dividend"/>
      <w:pPr>
        <w:keepNext/>
        <w:pStyle w:val="Para 09"/>
        <w:keepLines w:val="on"/>
      </w:pPr>
      <w:r>
        <w:t>Giá trị cổ phiếu=Cổ tức kỳ vọng trong kỳ tiếp theo(Chi phí vốn cổ phần−Tốc độ tăng trưởng vĩnh viễn)</w:t>
      </w:r>
      <w:bookmarkEnd w:id="2469"/>
    </w:p>
    <w:p>
      <w:pPr>
        <w:pStyle w:val="Para 03"/>
      </w:pPr>
      <w:r>
        <w:t>Mô hình Gordon có lợi thế là đơn giản và tiết kiệm, nhưng nó phụ thuộc vào giả định về một tốc độ tăng trưởng có thể duy trì mãi mãi, và cổ tức phản ánh đúng những gì công ty tăng trưởng ổn định đó có thể chi trả.</w:t>
      </w:r>
    </w:p>
    <w:p>
      <w:bookmarkStart w:id="2470" w:name="What_Is_a_Stable_Growth_Rate___W"/>
      <w:pPr>
        <w:pStyle w:val="Para 42"/>
      </w:pPr>
      <w:r>
        <w:t>Tỷ lệ tăng trưởng ổn định là gì?</w:t>
      </w:r>
      <w:bookmarkEnd w:id="2470"/>
    </w:p>
    <w:p>
      <w:pPr>
        <w:pStyle w:val="Para 03"/>
      </w:pPr>
      <w:r>
        <w:t>Trong khi mô hình tăng trưởng Gordon cung cấp một cách tiếp cận đơn giản để định giá vốn cổ phần, việc sử dụng nó chỉ giới hạn ở những công ty đang tăng trưởng với tốc độ ổn định. Có hai điểm cần ghi nhớ khi ước tính tốc độ tăng trưởng ổn định. Thứ nhất, vì tốc độ tăng trưởng cổ tức của công ty được kỳ vọng sẽ kéo dài mãi mãi, nên các chỉ số hoạt động khác của công ty (bao gồm doanh thu và lợi nhuận) cũng có thể được kỳ vọng tăng trưởng với cùng tốc độ. Để thấy tại sao, hãy xem xét hậu quả về lâu dài của một công ty có lợi nhuận tăng 2% mỗi năm mãi mãi, trong khi cổ tức tăng 3%. Theo thời gian, cổ tức sẽ vượt lợi nhuận. Nếu lợi nhuận của công ty tăng nhanh hơn cổ tức trong dài hạn, thì về lâu dài tỷ lệ chi trả sẽ tiến dần về không, đây cũng không phải là trạng thái ổn định. Do đó, mặc dù yêu cầu của mô hình là tốc độ tăng trưởng kỳ vọng của cổ tức, nhưng các nhà phân tích có thể thay thế bằng tốc độ tăng trưởng kỳ vọng của lợi nhuận và nhận được kết quả hoàn toàn giống nhau, nếu công ty thực sự ở trạng thái ổn định.</w:t>
      </w:r>
    </w:p>
    <w:p>
      <w:pPr>
        <w:pStyle w:val="Para 03"/>
      </w:pPr>
      <w:r>
        <w:t>Vấn đề thứ hai liên quan đến việc tốc độ tăng trưởng nào là hợp lý để coi là tốc độ tăng trưởng ổn định. Như đã lưu ý trong Chương 12, tốc độ tăng trưởng này phải nhỏ hơn hoặc bằng tốc độ tăng trưởng của nền kinh tế mà công ty đang hoạt động. Không một công ty nào, dù được điều hành tốt đến đâu, có thể được giả định là tăng trưởng mãi mãi với tốc độ vượt quá tốc độ tăng trưởng của nền kinh tế (hoặc dùng làm đại diện, là lãi suất phi rủi ro). Ngoài ra, những lưu ý trong Chương 12 về tăng trưởng ổn định vẫn được áp dụng:</w:t>
      </w:r>
    </w:p>
    <w:p>
      <w:pPr>
        <w:numPr>
          <w:ilvl w:val="0"/>
          <w:numId w:val="124"/>
        </w:numPr>
        <w:pStyle w:val="Para 01"/>
      </w:pPr>
      <w:r>
        <w:t>Tỷ suất sinh lời trên vốn chủ sở hữu (ROE) mà chúng ta giả định trong dài hạn vô tận nên phản ánh không phải những gì công ty có thể đã đạt được năm ngoái hay những gì được kỳ vọng đạt được năm tới, mà thay vào đó là một ước tính dài hạn hơn. Ước tính ROE rất quan trọng vì tỷ lệ chi trả trong giai đoạn tăng trưởng ổn định phải nhất quán:</w:t>
      </w:r>
    </w:p>
    <w:p>
      <w:bookmarkStart w:id="2472" w:name="Payout_ratio_1___Stable_growth_r"/>
      <w:pPr>
        <w:keepNext/>
        <w:pStyle w:val="Para 09"/>
        <w:keepLines w:val="on"/>
      </w:pPr>
      <w:r>
        <w:t>Tỷ lệ chi trả=1−Tốc độ tăng trưởng ổn địnhROE giai đoạn ổn định</w:t>
      </w:r>
      <w:bookmarkEnd w:id="2472"/>
    </w:p>
    <w:p>
      <w:pPr>
        <w:numPr>
          <w:ilvl w:val="0"/>
          <w:numId w:val="125"/>
        </w:numPr>
        <w:pStyle w:val="Para 01"/>
      </w:pPr>
      <w:r>
        <w:t>Chi phí vốn cổ phần phải nhất quán với việc công ty đã trưởng thành; nếu đang sử dụng hệ số beta, nó nên gần bằng 1.</w:t>
      </w:r>
    </w:p>
    <w:p>
      <w:pPr>
        <w:pStyle w:val="Para 03"/>
      </w:pPr>
      <w:r>
        <w:t>Tóm lại, nếu bạn định giá một công ty như một công ty trưởng thành với tốc độ tăng trưởng mà nó có thể duy trì mãi mãi, thì nó nên được gán những đặc điểm (về tỷ lệ chi trả và rủi ro) của một công ty trưởng thành.</w:t>
      </w:r>
    </w:p>
    <w:p>
      <w:bookmarkStart w:id="2474" w:name="Limitations_of_the_Model__As_mos"/>
      <w:pPr>
        <w:pStyle w:val="Para 42"/>
      </w:pPr>
      <w:r>
        <w:t>Những hạn chế của mô hình</w:t>
      </w:r>
      <w:bookmarkEnd w:id="2474"/>
    </w:p>
    <w:p>
      <w:pPr>
        <w:pStyle w:val="Para 03"/>
      </w:pPr>
      <w:r>
        <w:t>Như hầu hết các nhà phân tích nhanh chóng nhận ra, mô hình tăng trưởng Gordon cực kỳ nhạy cảm với các giả định về tốc độ tăng trưởng, miễn là các yếu tố đầu vào khác của mô hình (ví dụ: tỷ lệ chi trả, chi phí vốn cổ phần) được giữ nguyên. Hãy xem xét một cổ phiếu có cổ tức kỳ vọng trên mỗi cổ phần trong kỳ tới là 2,50 đô la, chi phí vốn cổ phần là 15% và tốc độ tăng trưởng kỳ vọng là 5% mãi mãi. Giá trị của cổ phiếu này là:</w:t>
      </w:r>
    </w:p>
    <w:p>
      <w:bookmarkStart w:id="2476" w:name="Value_of_stock__2_50__15____05"/>
      <w:pPr>
        <w:keepNext/>
        <w:pStyle w:val="Para 09"/>
        <w:keepLines w:val="on"/>
      </w:pPr>
      <w:r>
        <w:t>Giá trị cổ phiếu=2,50 đô la(.15−.05)=25,00 đô la</w:t>
      </w:r>
      <w:bookmarkEnd w:id="2476"/>
    </w:p>
    <w:p>
      <w:pPr>
        <w:pStyle w:val="Para 03"/>
      </w:pPr>
      <w:r>
        <w:t>Tuy nhiên, hãy lưu ý mức độ nhạy cảm của giá trị này đối với các ước tính về tốc độ tăng trưởng trong Hình 14.2. Khi tốc độ tăng trưởng tiến gần đến chi phí vốn cổ phần, giá trị trên mỗi cổ phần tiến tới vô cực. Nếu tốc độ tăng trưởng vượt quá chi phí vốn cổ phần, giá trị trên mỗi cổ phần sẽ trở thành âm.</w:t>
      </w:r>
    </w:p>
    <w:p>
      <w:bookmarkStart w:id="2478" w:name="Figure_14_2_Value_of_Equity_per"/>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765300"/>
            <wp:effectExtent l="0" r="0" t="0" b="0"/>
            <wp:wrapTopAndBottom/>
            <wp:docPr id="124" name="c14f001b.png" descr="Bar graph plots the increase growth rate from 0% to 14% with increase in value of equity per share from $15.00 to $250.00."/>
            <wp:cNvGraphicFramePr>
              <a:graphicFrameLocks noChangeAspect="1"/>
            </wp:cNvGraphicFramePr>
            <a:graphic>
              <a:graphicData uri="http://schemas.openxmlformats.org/drawingml/2006/picture">
                <pic:pic>
                  <pic:nvPicPr>
                    <pic:cNvPr id="0" name="c14f001b.png" descr="Bar graph plots the increase growth rate from 0% to 14% with increase in value of equity per share from $15.00 to $250.00."/>
                    <pic:cNvPicPr/>
                  </pic:nvPicPr>
                  <pic:blipFill>
                    <a:blip r:embed="rId94"/>
                    <a:stretch>
                      <a:fillRect/>
                    </a:stretch>
                  </pic:blipFill>
                  <pic:spPr>
                    <a:xfrm>
                      <a:off x="0" y="0"/>
                      <a:ext cx="2438400" cy="1765300"/>
                    </a:xfrm>
                    <a:prstGeom prst="rect">
                      <a:avLst/>
                    </a:prstGeom>
                  </pic:spPr>
                </pic:pic>
              </a:graphicData>
            </a:graphic>
          </wp:anchor>
        </w:drawing>
      </w:r>
      <w:bookmarkEnd w:id="2478"/>
    </w:p>
    <w:p>
      <w:pPr>
        <w:keepNext/>
        <w:pStyle w:val="Para 22"/>
        <w:keepLines w:val="on"/>
      </w:pPr>
      <w:r>
        <w:t>Hình 14.2 Giá trị vốn cổ phần trên mỗi cổ phần và tốc độ tăng trưởng ổn định kỳ vọng</w:t>
      </w:r>
    </w:p>
    <w:p>
      <w:pPr>
        <w:pStyle w:val="Para 03"/>
      </w:pPr>
      <w:r>
        <w:t>Tất nhiên, có hai cách khắc phục theo lẽ thường cho vấn đề này. Cách thứ nhất là làm việc với ràng buộc rằng tốc độ tăng trưởng ổn định không thể vượt quá lãi suất phi rủi ro; trong ví dụ trước, điều này sẽ giới hạn tốc độ tăng trưởng ở một con số thấp hơn nhiều so với 15%. Cách thứ hai là nhận ra rằng tăng trưởng không phải là miễn phí; khi tốc độ tăng trưởng được tăng lên, tỷ lệ chi trả nên được giảm xuống. Điều này tạo ra một sự đánh đổi về tăng trưởng, với hiệu ứng ròng của việc tăng tăng trưởng có thể là tích cực, trung tính, hoặc thậm chí tiêu cực.</w:t>
      </w:r>
    </w:p>
    <w:p>
      <w:pPr>
        <w:pStyle w:val="Para 11"/>
      </w:pPr>
      <w:r>
        <w:t xml:space="preserve"> </w:t>
      </w:r>
    </w:p>
    <w:p>
      <w:bookmarkStart w:id="2480" w:name="Does_a_Stable_Growth_Rate_Have_t"/>
      <w:bookmarkStart w:id="2481" w:name="Does_a_Stable_Growth_Rate_Have_t_1"/>
      <w:pPr>
        <w:keepNext/>
        <w:pStyle w:val="Para 27"/>
        <w:keepLines w:val="on"/>
      </w:pPr>
      <w:r>
        <w:t>Liệu tốc độ tăng trưởng ổn định có phải không đổi theo thời gian không?</w:t>
      </w:r>
      <w:bookmarkEnd w:id="2480"/>
      <w:bookmarkEnd w:id="2481"/>
    </w:p>
    <w:p>
      <w:pPr>
        <w:pStyle w:val="Para 16"/>
        <w:keepLines w:val="on"/>
      </w:pPr>
      <w:r>
        <w:t>Giả định rằng tốc độ tăng trưởng cổ tức phải không đổi theo thời gian có thể có vẻ là một giả định khó đáp ứng, đặc biệt là với mức độ biến động của lợi nhuận. Nếu một công ty có tốc độ tăng trưởng trung bình gần với tốc độ tăng trưởng ổn định, thì mô hình có thể được sử dụng mà ít ảnh hưởng thực sự đến giá trị. Do đó, một công ty mang tính chu kỳ có thể được kỳ vọng có những dao động tăng trưởng từ năm này sang năm khác, nhưng có tốc độ tăng trưởng trung bình là 2%, có thể được định giá bằng mô hình tăng trưởng Gordon mà không mất đi tính tổng quát đáng kể. Có hai lý do cho kết quả này. Thứ nhất, vì cổ tức được làm phẳng ngay cả khi lợi nhuận biến động, chúng ít có khả năng bị ảnh hưởng bởi những thay đổi trong tăng trưởng lợi nhuận từ năm này sang năm khác. Thứ hai, tác động toán học lên giá trị hiện tại của việc sử dụng tốc độ tăng trưởng theo từng năm thay vì một tốc độ tăng trưởng không đổi là nhỏ.</w:t>
      </w:r>
    </w:p>
    <w:p>
      <w:bookmarkStart w:id="2482" w:name="Model_Usage__In_summary__the_Gor"/>
      <w:pPr>
        <w:pStyle w:val="Para 42"/>
      </w:pPr>
      <w:r>
        <w:t>Việc sử dụng mô hình</w:t>
      </w:r>
      <w:bookmarkEnd w:id="2482"/>
    </w:p>
    <w:p>
      <w:pPr>
        <w:pStyle w:val="Para 03"/>
      </w:pPr>
      <w:r>
        <w:t>Tóm lại, mô hình tăng trưởng Gordon phù hợp nhất với những công ty tăng trưởng với tốc độ bằng hoặc thấp hơn mức tăng trưởng danh nghĩa của nền kinh tế, có chính sách chi trả cổ tức đã được thiết lập vững chắc mà họ dự định tiếp tục trong tương lai. Tỷ lệ chi trả cổ tức và chi phí vốn cổ phần của công ty phải nhất quán với giả định về sự ổn định, vì các công ty ổn định thường trả cổ tức đáng kể và có hệ số beta gần bằng 1.1 Đặc biệt, mô hình này sẽ đánh giá thấp giá trị cổ phiếu của những công ty liên tục chi trả ít hơn khả năng của mình và tích lũy tiền mặt trong quá trình đó.</w:t>
      </w:r>
    </w:p>
    <w:p>
      <w:pPr>
        <w:pStyle w:val="Para 03"/>
      </w:pPr>
      <w:r>
        <w:t>Nhìn khắp thị trường, bạn có thể thấy rằng mô hình tăng trưởng Gordon chỉ có thể được sử dụng để định giá một tập hợp nhỏ các công ty. Điều đó dường như không ngăn được các nhà phân tích sử dụng mô hình trong những hoàn cảnh không phù hợp nhất, rồi đổ lỗi cho mô hình về những kết quả vô lý.</w:t>
      </w:r>
    </w:p>
    <w:p>
      <w:pPr>
        <w:pStyle w:val="Para 11"/>
      </w:pPr>
      <w:r>
        <w:t xml:space="preserve"> </w:t>
      </w:r>
    </w:p>
    <w:p>
      <w:bookmarkStart w:id="2485" w:name="ILLUSTRATION_14_1__Valuing_a_Reg"/>
      <w:bookmarkStart w:id="2486" w:name="ILLUSTRATION_14_1__Valuing_a_Reg_1"/>
      <w:pPr>
        <w:keepNext/>
        <w:pStyle w:val="Para 19"/>
        <w:keepLines w:val="on"/>
      </w:pPr>
      <w:r>
        <w:t>MINH HỌA 14.1: Định giá một công ty độc quyền được quản lý: Consolidated Edison vào tháng 5 năm 2024</w:t>
      </w:r>
      <w:bookmarkEnd w:id="2485"/>
      <w:bookmarkEnd w:id="2486"/>
    </w:p>
    <w:p>
      <w:pPr>
        <w:pStyle w:val="Para 04"/>
        <w:keepLines w:val="on"/>
      </w:pPr>
      <w:r>
        <w:t>Consolidated Edison (Con Ed) là công ty điện lực cung cấp điện cho các hộ gia đình và doanh nghiệp ở Thành phố New York. Đây là một công ty gần như độc quyền với giá cả và lợi nhuận được quản lý bởi bang New York.</w:t>
      </w:r>
    </w:p>
    <w:p>
      <w:pPr>
        <w:pStyle w:val="Para 04"/>
        <w:keepLines w:val="on"/>
      </w:pPr>
      <w:r>
        <w:t>Chúng ta sẽ định giá Con Ed bằng mô hình chiết khấu cổ tức tăng trưởng ổn định vì nó đáp ứng các tiêu chí của mô hình:</w:t>
      </w:r>
    </w:p>
    <w:p>
      <w:pPr>
        <w:numPr>
          <w:ilvl w:val="0"/>
          <w:numId w:val="126"/>
        </w:numPr>
        <w:pStyle w:val="Para 18"/>
        <w:keepLines w:val="on"/>
      </w:pPr>
      <w:r>
        <w:t>Công ty hoạt động trong một khu vực mà dân số và mức sử dụng điện đã chững lại trong vài thập kỷ qua.</w:t>
      </w:r>
    </w:p>
    <w:p>
      <w:pPr>
        <w:numPr>
          <w:ilvl w:val="0"/>
          <w:numId w:val="126"/>
        </w:numPr>
        <w:pStyle w:val="Para 18"/>
        <w:keepLines w:val="on"/>
      </w:pPr>
      <w:r>
        <w:t>Các cơ quan quản lý sẽ hạn chế việc tăng giá ở mức xấp xỉ tỷ lệ lạm phát.</w:t>
      </w:r>
    </w:p>
    <w:p>
      <w:pPr>
        <w:numPr>
          <w:ilvl w:val="0"/>
          <w:numId w:val="126"/>
        </w:numPr>
        <w:pStyle w:val="Para 18"/>
        <w:keepLines w:val="on"/>
      </w:pPr>
      <w:r>
        <w:t>Công ty đã có một cơ cấu nợ và vốn cổ phần ổn định để tài trợ cho hoạt động của mình trong nhiều thập kỷ.</w:t>
      </w:r>
    </w:p>
    <w:p>
      <w:pPr>
        <w:numPr>
          <w:ilvl w:val="0"/>
          <w:numId w:val="126"/>
        </w:numPr>
        <w:pStyle w:val="Para 18"/>
        <w:keepLines w:val="on"/>
      </w:pPr>
      <w:r>
        <w:t>Con Ed có một nhóm khách hàng là những nhà đầu tư yêu thích cổ tức và cố gắng chi trả cổ tức nhiều nhất có thể. Trong giai đoạn 2013–2022, công ty đã trả lại khoảng 93% dòng tiền tự do cho vốn cổ phần (FCFE) dưới dạng cổ tức.</w:t>
      </w:r>
    </w:p>
    <w:p>
      <w:pPr>
        <w:pStyle w:val="Para 04"/>
        <w:keepLines w:val="on"/>
      </w:pPr>
      <w:r>
        <w:t>Để định giá công ty bằng mô hình chiết khấu cổ tức tăng trưởng ổn định (stable growth dividend discount model), chúng ta bắt đầu với thu nhập trên mỗi cổ phiếu là 4,07 đô-la mà công ty báo cáo cho năm 2023, và cổ tức trên mỗi cổ phiếu là 3,26 đô-la mà công ty đã chi trả trong năm. Sử dụng beta trung bình 0,60 cho các công ty tiện ích điện và phần bù rủi ro vốn cổ phần (equity risk premium) là 4,30% cho Hoa Kỳ, vào tháng 5 năm 2024, cho phép chúng ta ước tính chi phí vốn cổ phần (cost of equity) là 7,5% (lãi suất phi rủi ro là 4,5%):</w:t>
      </w:r>
    </w:p>
    <w:p>
      <w:bookmarkStart w:id="2489" w:name="Cost_of_equity_4_5__0_60_4_30"/>
      <w:pPr>
        <w:keepNext/>
        <w:pStyle w:val="Para 07"/>
        <w:keepLines w:val="on"/>
      </w:pPr>
      <w:r>
        <w:t>Chi phí vốn cổ phần = 4,5% + 0,60(4,30%) = 7,08%</w:t>
      </w:r>
      <w:bookmarkEnd w:id="2489"/>
    </w:p>
    <w:p>
      <w:pPr>
        <w:pStyle w:val="Para 04"/>
        <w:keepLines w:val="on"/>
      </w:pPr>
      <w:r>
        <w:t>Chúng ta ước tính tốc độ tăng trưởng kỳ vọng nhất quán với các yếu tố cơ bản cho Con Ed:</w:t>
      </w:r>
    </w:p>
    <w:p>
      <w:bookmarkStart w:id="2490" w:name="Retention_ratio_1_____3_26__4_07"/>
      <w:pPr>
        <w:keepNext/>
        <w:pStyle w:val="Para 07"/>
        <w:keepLines w:val="on"/>
      </w:pPr>
      <w:r>
        <w:t>Tỷ lệ giữ lại (retention ratio) = 1 − (3,26/4,07 đô-la) = 19,90%</w:t>
      </w:r>
      <w:bookmarkEnd w:id="2490"/>
    </w:p>
    <w:p>
      <w:bookmarkStart w:id="2491" w:name="Return_on_equity_8_54"/>
      <w:pPr>
        <w:keepNext/>
        <w:pStyle w:val="Para 07"/>
        <w:keepLines w:val="on"/>
      </w:pPr>
      <w:r>
        <w:t>Tỷ suất sinh lợi trên vốn cổ phần (return on equity) = 8,54%</w:t>
      </w:r>
      <w:bookmarkEnd w:id="2491"/>
    </w:p>
    <w:p>
      <w:bookmarkStart w:id="2492" w:name="Expected_growth_rate__199x_0854"/>
      <w:pPr>
        <w:keepNext/>
        <w:pStyle w:val="Para 07"/>
        <w:keepLines w:val="on"/>
      </w:pPr>
      <w:r>
        <w:t>Tốc độ tăng trưởng kỳ vọng = 0,199 × 0,0854 = 0,017 hay 1,7%</w:t>
      </w:r>
      <w:bookmarkEnd w:id="2492"/>
    </w:p>
    <w:p>
      <w:pPr>
        <w:pStyle w:val="Para 04"/>
        <w:keepLines w:val="on"/>
      </w:pPr>
      <w:r>
        <w:t>Đặt tốc độ tăng trưởng bằng lãi suất phi rủi ro là 1,70%, chúng ta tạo ra giá trị trên mỗi cổ phiếu là 61,61 đô-la:</w:t>
      </w:r>
    </w:p>
    <w:p>
      <w:bookmarkStart w:id="2493" w:name="Value_per_share_Expected_dividen"/>
      <w:pPr>
        <w:keepNext/>
        <w:pStyle w:val="Para 07"/>
        <w:keepLines w:val="on"/>
      </w:pPr>
      <w:r>
        <w:t>Giá trị trên mỗi cổ phiếu = Cổ tức kỳ vọng trên mỗi cổ phiếu năm tới / (Chi phí vốn cổ phần − Tốc độ tăng trưởng kỳ vọng) = 3,26 (1,017) / (0,0708 − 0,017) = 61,61 đô-la</w:t>
      </w:r>
      <w:bookmarkEnd w:id="2493"/>
    </w:p>
    <w:p>
      <w:pPr>
        <w:pStyle w:val="Para 04"/>
        <w:keepLines w:val="on"/>
      </w:pPr>
      <w:r>
        <w:t>Giá trị trên mỗi cổ phiếu, giả định rằng Con Ed đang ở giai đoạn tăng trưởng ổn định, với tỷ suất sinh lợi trên vốn cổ phần, tỷ lệ giữ lại và chi phí vốn cổ phần mà công ty có thể duy trì mãi mãi, là 61,61 đô-la. Cổ phiếu đang được giao dịch ở mức 94,34 đô-la vào tháng 5 năm 2024, khiến nó bị định giá cao một cách đáng kể.</w:t>
      </w:r>
    </w:p>
    <w:p>
      <w:pPr>
        <w:pStyle w:val="Para 11"/>
      </w:pPr>
      <w:r>
        <w:t xml:space="preserve"> </w:t>
      </w:r>
    </w:p>
    <w:p>
      <w:bookmarkStart w:id="2494" w:name="Implied_Growth_Rate"/>
      <w:bookmarkStart w:id="2495" w:name="Implied_Growth_Rate_The_value_fo"/>
      <w:pPr>
        <w:keepNext/>
        <w:pStyle w:val="Para 27"/>
        <w:keepLines w:val="on"/>
      </w:pPr>
      <w:r>
        <w:t>Tốc độ tăng trưởng ngụ ý (Implied Growth Rate)</w:t>
      </w:r>
      <w:bookmarkEnd w:id="2494"/>
      <w:bookmarkEnd w:id="2495"/>
    </w:p>
    <w:p>
      <w:pPr>
        <w:pStyle w:val="Para 16"/>
        <w:keepLines w:val="on"/>
      </w:pPr>
      <w:r>
        <w:t>Giá trị của Con Ed khác với giá thị trường, và điều này có khả năng đúng với hầu hết mọi công ty mà bạn định giá. Có ba cách giải thích khả dĩ cho sự chênh lệch này. Một là bạn đúng, và thị trường sai. Mặc dù đây có thể là cách giải thích đúng, bạn có lẽ nên chắc chắn rằng hai cách giải thích còn lại không đúng—rằng thị trường đúng và bạn sai, hoặc rằng sự khác biệt quá nhỏ để đưa ra bất kỳ kết luận nào.</w:t>
      </w:r>
    </w:p>
    <w:p>
      <w:pPr>
        <w:pStyle w:val="Para 16"/>
        <w:keepLines w:val="on"/>
      </w:pPr>
      <w:r>
        <w:t>Để xem xét độ lớn của sự khác biệt giữa giá thị trường và ước tính giá trị của bạn, bạn có thể giữ nguyên các biến số khác và thay đổi tốc độ tăng trưởng trong định giá của bạn cho đến khi giá trị hội tụ về mức giá. Hình 14.3 ước tính giá trị như một hàm của tốc độ tăng trưởng kỳ vọng (giả định beta là 0,60 và cổ tức trên mỗi cổ phiếu hiện tại là 3,26 đô-la).</w:t>
      </w:r>
    </w:p>
    <w:p>
      <w:pPr>
        <w:pStyle w:val="Para 65"/>
        <w:keepLines w:val="on"/>
      </w:pPr>
      <w:r>
        <w:rPr>
          <w:rStyle w:val="Text26"/>
        </w:rPr>
        <w:bookmarkStart w:id="2497" w:name="Page_393"/>
        <w:t/>
        <w:bookmarkEnd w:id="2497"/>
      </w:r>
      <w:r>
        <w:t xml:space="preserve"> </w:t>
      </w:r>
    </w:p>
    <w:p>
      <w:bookmarkStart w:id="2498" w:name="Figure_14_3_Con_Ed__Value_versus"/>
      <w:pPr>
        <w:pStyle w:val="Para 66"/>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219200"/>
            <wp:effectExtent l="0" r="0" t="0" b="0"/>
            <wp:wrapTopAndBottom/>
            <wp:docPr id="125" name="c14f002.png" descr="Line graph plots the increase growth rate from 0.00% to 4.000% with increase in value per share from $45.00 to $110.00."/>
            <wp:cNvGraphicFramePr>
              <a:graphicFrameLocks noChangeAspect="1"/>
            </wp:cNvGraphicFramePr>
            <a:graphic>
              <a:graphicData uri="http://schemas.openxmlformats.org/drawingml/2006/picture">
                <pic:pic>
                  <pic:nvPicPr>
                    <pic:cNvPr id="0" name="c14f002.png" descr="Line graph plots the increase growth rate from 0.00% to 4.000% with increase in value per share from $45.00 to $110.00."/>
                    <pic:cNvPicPr/>
                  </pic:nvPicPr>
                  <pic:blipFill>
                    <a:blip r:embed="rId95"/>
                    <a:stretch>
                      <a:fillRect/>
                    </a:stretch>
                  </pic:blipFill>
                  <pic:spPr>
                    <a:xfrm>
                      <a:off x="0" y="0"/>
                      <a:ext cx="2057400" cy="1219200"/>
                    </a:xfrm>
                    <a:prstGeom prst="rect">
                      <a:avLst/>
                    </a:prstGeom>
                  </pic:spPr>
                </pic:pic>
              </a:graphicData>
            </a:graphic>
          </wp:anchor>
        </w:drawing>
      </w:r>
      <w:bookmarkEnd w:id="2498"/>
    </w:p>
    <w:p>
      <w:pPr>
        <w:keepNext/>
        <w:pStyle w:val="Para 62"/>
        <w:keepLines w:val="on"/>
      </w:pPr>
      <w:r>
        <w:t>Hình 14.3 Con Ed: Giá trị so với Tốc độ tăng trưởng</w:t>
      </w:r>
    </w:p>
    <w:p>
      <w:pPr>
        <w:pStyle w:val="Para 16"/>
        <w:keepLines w:val="on"/>
      </w:pPr>
      <w:r>
        <w:t>Giải phương trình tìm tốc độ tăng trưởng kỳ vọng mang lại mức giá hiện tại, chúng ta có:</w:t>
      </w:r>
    </w:p>
    <w:p>
      <w:bookmarkStart w:id="2499" w:name="_94_34__3_26__1_g___0708_g"/>
      <w:pPr>
        <w:keepNext/>
        <w:pStyle w:val="Para 48"/>
        <w:keepLines w:val="on"/>
      </w:pPr>
      <w:r>
        <w:t>94,34 đô-la = 3,26 (1+g) / (0,0708 − g)</w:t>
      </w:r>
      <w:bookmarkEnd w:id="2499"/>
    </w:p>
    <w:p>
      <w:pPr>
        <w:pStyle w:val="Para 16"/>
        <w:keepLines w:val="on"/>
      </w:pPr>
      <w:r>
        <w:t>Tốc độ tăng trưởng của thu nhập và cổ tức sẽ phải là 3,50 phần trăm một năm để biện minh cho giá cổ phiếu 94,34 đô-la. Tốc độ tăng trưởng này là một tốc độ tăng trưởng ngụ ý. Vì chúng ta ước tính tăng trưởng từ các yếu tố cơ bản, điều này cho phép chúng ta ước tính tỷ suất sinh lợi trên vốn cổ phần ngụ ý, với tỷ lệ giữ lại là 19,9%:</w:t>
      </w:r>
    </w:p>
    <w:p>
      <w:bookmarkStart w:id="2500" w:name="Implied_ROE_Implied_growth_rateR"/>
      <w:pPr>
        <w:keepNext/>
        <w:pStyle w:val="Para 48"/>
        <w:keepLines w:val="on"/>
      </w:pPr>
      <w:r>
        <w:t>ROE ngụ ý = Tốc độ tăng trưởng ngụ ý / Tỷ lệ giữ lại = 0,035 / 0,199 = 17,60%</w:t>
      </w:r>
      <w:bookmarkEnd w:id="2500"/>
    </w:p>
    <w:p>
      <w:pPr>
        <w:pStyle w:val="Para 16"/>
        <w:keepLines w:val="on"/>
      </w:pPr>
      <w:r>
        <w:t>Tỷ suất sinh lợi trên vốn cổ phần ngụ ý đó cao hơn nhiều so với mức tỷ suất sinh lợi trên vốn cổ phần mà Con Ed đã kiếm được trong thập kỷ trước, củng cố kết luận rằng cổ phiếu có vẻ bị định giá cao.</w:t>
      </w:r>
    </w:p>
    <w:p>
      <w:pPr>
        <w:pStyle w:val="Para 11"/>
      </w:pPr>
      <w:r>
        <w:t xml:space="preserve"> </w:t>
      </w:r>
    </w:p>
    <w:p>
      <w:bookmarkStart w:id="2501" w:name="DDMst_xls__This_spreadsheet_allo"/>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26"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2501"/>
    </w:p>
    <w:p>
      <w:pPr>
        <w:pStyle w:val="Para 31"/>
        <w:keepLines w:val="on"/>
      </w:pPr>
      <w:r>
        <w:t>DDMst.xls: Bảng tính này cho phép bạn định giá một công ty tăng trưởng ổn định, với các đặc điểm ổn định của công ty (beta và tỷ suất sinh lợi trên vốn cổ phần) và cổ tức gần khớp với dòng tiền.</w:t>
      </w:r>
    </w:p>
    <w:p>
      <w:bookmarkStart w:id="2502" w:name="A_Two_Stage_Dividend_Discount_Mo_1"/>
      <w:bookmarkStart w:id="2503" w:name="A_Two_Stage_Dividend_Discount_Mo"/>
      <w:pPr>
        <w:keepNext/>
        <w:pStyle w:val="Heading 4"/>
        <w:keepLines w:val="on"/>
      </w:pPr>
      <w:r>
        <w:t>Mô hình chiết khấu cổ tức hai giai đoạn (A Two-Stage Dividend Discount Model)</w:t>
      </w:r>
      <w:bookmarkEnd w:id="2502"/>
      <w:bookmarkEnd w:id="2503"/>
    </w:p>
    <w:p>
      <w:pPr>
        <w:pStyle w:val="Para 03"/>
      </w:pPr>
      <w:r>
        <w:t>Mô hình tăng trưởng hai giai đoạn cho phép có hai giai đoạn tăng trưởng—một giai đoạn ban đầu khi tốc độ tăng trưởng không phải là tốc độ tăng trưởng ổn định, và một trạng thái ổn định tiếp theo khi tốc độ tăng trưởng ổn định và được kỳ vọng sẽ duy trì như vậy trong dài hạn. Mặc dù, trong hầu hết các trường hợp, tốc độ tăng trưởng trong giai đoạn ban đầu cao hơn tốc độ tăng trưởng ổn định, mô hình có thể được điều chỉnh để định giá các công ty được kỳ vọng sẽ có tốc độ tăng trưởng thấp hoặc thậm chí âm trong một vài năm rồi sau đó quay trở lại tăng trưởng ổn định.</w:t>
      </w:r>
    </w:p>
    <w:p>
      <w:bookmarkStart w:id="2505" w:name="The_Model__The_model_is_based_on"/>
      <w:pPr>
        <w:pStyle w:val="Para 21"/>
      </w:pPr>
      <w:r>
        <w:t>Mô hình</w:t>
      </w:r>
      <w:bookmarkEnd w:id="2505"/>
    </w:p>
    <w:p>
      <w:pPr>
        <w:pStyle w:val="Para 03"/>
      </w:pPr>
      <w:r>
        <w:t>Mô hình dựa trên hai giai đoạn tăng trưởng, một giai đoạn tăng trưởng phi thường kéo dài n năm, và một giai đoạn tăng trưởng ổn định kéo dài mãi mãi sau đó:</w:t>
      </w:r>
    </w:p>
    <w:p>
      <w:bookmarkStart w:id="2507" w:name="Value_of_equity_PV_of_dividendse"/>
      <w:pPr>
        <w:keepNext/>
        <w:pStyle w:val="Para 09"/>
        <w:keepLines w:val="on"/>
      </w:pPr>
      <w:r>
        <w:t>Giá trị vốn cổ phần = PV của cổ tức trong giai đoạn tăng trưởng phi thường + PV của giá trị cuối kỳ của vốn cổ phần = ∑t=1 đến t=n Cổ tứct / (1+ke,hg)t + Giá trị cuối kỳ của vốn cổ phần trong năm n / (1+ke,hg)n</w:t>
      </w:r>
      <w:bookmarkEnd w:id="2507"/>
    </w:p>
    <w:p>
      <w:bookmarkStart w:id="2508" w:name="where_Terminal_value_of_equity_i"/>
      <w:pPr>
        <w:pStyle w:val="Para 39"/>
      </w:pPr>
      <w:r>
        <w:t>trong đó Giá trị cuối kỳ của vốn cổ phần trong năm n = Cổ tức trong năm n+1 / (ke,st − gn)</w:t>
      </w:r>
      <w:bookmarkEnd w:id="2508"/>
    </w:p>
    <w:p>
      <w:bookmarkStart w:id="2509" w:name="Dividend_st___Expected_dividends"/>
      <w:pPr>
        <w:keepNext/>
        <w:pStyle w:val="Para 09"/>
        <w:keepLines w:val="on"/>
      </w:pPr>
      <w:r>
        <w:t>Cổ tức st = Cổ tức kỳ vọng trong năm tKe = Chi phí vốn chủ sở hữu (hg: Giai đoạn tăng trưởng cao; st = giai đoạn tăng trưởng ổn định)gn = Tốc độ tăng trưởng vĩnh viễn sau năm n</w:t>
      </w:r>
      <w:bookmarkEnd w:id="2509"/>
    </w:p>
    <w:p>
      <w:pPr>
        <w:pStyle w:val="Para 03"/>
      </w:pPr>
      <w:r>
        <w:t>Trong trường hợp tốc độ tăng trưởng giai đoạn tăng trưởng cao (g) và tỷ lệ chi trả cổ tức không đổi trong n năm đầu, công thức này có thể được đơn giản hóa như sau:</w:t>
      </w:r>
    </w:p>
    <w:p>
      <w:bookmarkStart w:id="2510" w:name="Value_of_equity_today_Dividends0"/>
      <w:pPr>
        <w:keepNext/>
        <w:pStyle w:val="Para 09"/>
        <w:keepLines w:val="on"/>
      </w:pPr>
      <w:r>
        <w:t>Giá trị vốn chủ sở hữu hôm nay=Cổ tức0(1+g)(1−(1+g)n(1+ke,hg)n)(ke,hg−g)+Cổ tứcn+1(ke,st−g)(1+ke,hg)n</w:t>
      </w:r>
      <w:bookmarkEnd w:id="2510"/>
    </w:p>
    <w:p>
      <w:pPr>
        <w:pStyle w:val="Para 03"/>
      </w:pPr>
      <w:r>
        <w:t>trong đó các đầu vào được định nghĩa như trước. Số hạng đầu tiên trong phương trình này là giá trị hiện tại của một niên kim tăng trưởng, nắm bắt giá trị hiện tại của cổ tức kỳ vọng trong giai đoạn tăng trưởng cao, và số hạng thứ hai là giá trị hiện tại của giá trị cuối kỳ của vốn chủ sở hữu.</w:t>
      </w:r>
    </w:p>
    <w:p>
      <w:pPr>
        <w:pStyle w:val="Para 03"/>
      </w:pPr>
      <w:r>
        <w:t>Mô hình này có thể được sử dụng để định giá tổng cổ tức, nhằm ước tính giá trị tổng hợp của vốn chủ sở hữu hôm nay, hoặc để định giá cổ tức trên mỗi cổ phần, nhằm có được giá trị trên mỗi cổ phần hôm nay. Hai cách này sẽ tương đương nhau nếu công ty không có quyền chọn quản lý hoặc chứng quyền đang lưu hành, nhưng cách thứ nhất là phương pháp tốt hơn khi có quyền chọn và chứng quyền.</w:t>
      </w:r>
    </w:p>
    <w:p>
      <w:bookmarkStart w:id="2511" w:name="Calculating_the_Terminal_Value"/>
      <w:pPr>
        <w:pStyle w:val="Para 21"/>
      </w:pPr>
      <w:r>
        <w:t>Tính toán giá trị cuối kỳ</w:t>
      </w:r>
      <w:bookmarkEnd w:id="2511"/>
    </w:p>
    <w:p>
      <w:pPr>
        <w:pStyle w:val="Para 03"/>
      </w:pPr>
      <w:r>
        <w:t>Ràng buộc tương tự áp dụng cho tốc độ tăng trưởng trong mô hình tăng trưởng Gordon (tức là tốc độ tăng trưởng của doanh nghiệp tương đương với tốc độ tăng trưởng danh nghĩa của nền kinh tế) cũng áp dụng cho tốc độ tăng trưởng cuối kỳ (gn) trong mô hình này.</w:t>
      </w:r>
    </w:p>
    <w:p>
      <w:pPr>
        <w:pStyle w:val="Para 03"/>
      </w:pPr>
      <w:r>
        <w:t>Ngoài ra, tỷ lệ chi trả cổ tức phải nhất quán với tốc độ tăng trưởng ước tính. Nếu tốc độ tăng trưởng được kỳ vọng sẽ giảm đáng kể sau giai đoạn tăng trưởng ban đầu, tỷ lệ chi trả cổ tức nên cao hơn trong giai đoạn ổn định so với giai đoạn tăng trưởng. Một doanh nghiệp ổn định có thể chi trả nhiều lợi nhuận hơn dưới dạng cổ tức so với một doanh nghiệp đang tăng trưởng. Một cách để ước tính tỷ lệ chi trả cổ tức mới này là sử dụng mô hình tăng trưởng cơ bản được mô tả trong Chương 12:</w:t>
      </w:r>
    </w:p>
    <w:p>
      <w:bookmarkStart w:id="2514" w:name="Expected_growth_Retention_ratiox"/>
      <w:pPr>
        <w:keepNext/>
        <w:pStyle w:val="Para 09"/>
        <w:keepLines w:val="on"/>
      </w:pPr>
      <w:r>
        <w:t>Tăng trưởng kỳ vọng=Tỷ lệ giữ lại×Lợi nhuận trên vốn chủ sở hữu=(1−Tỷ lệ chi trả cổ tức)×Lợi nhuận trên vốn chủ sở hữu</w:t>
      </w:r>
      <w:bookmarkEnd w:id="2514"/>
    </w:p>
    <w:p>
      <w:pPr>
        <w:pStyle w:val="Para 03"/>
      </w:pPr>
      <w:r>
        <w:t>Biến đổi đại số cho ra tỷ lệ chi trả cổ tức giai đoạn ổn định như sau:</w:t>
      </w:r>
    </w:p>
    <w:p>
      <w:bookmarkStart w:id="2515" w:name="Stable_payout_ratio_1_____Stable"/>
      <w:pPr>
        <w:keepNext/>
        <w:pStyle w:val="Para 09"/>
        <w:keepLines w:val="on"/>
      </w:pPr>
      <w:r>
        <w:t>Tỷ lệ chi trả cổ tức ổn định=1 − Tốc độ tăng trưởng ổn địnhROE ổn định</w:t>
      </w:r>
      <w:bookmarkEnd w:id="2515"/>
    </w:p>
    <w:p>
      <w:pPr>
        <w:pStyle w:val="Para 03"/>
      </w:pPr>
      <w:r>
        <w:t>Như vậy, một doanh nghiệp có tốc độ tăng trưởng 5 phần trăm và lợi nhuận trên vốn chủ sở hữu 15 phần trăm sẽ có tỷ lệ chi trả cổ tức giai đoạn ổn định là 66,67 phần trăm.</w:t>
      </w:r>
    </w:p>
    <w:p>
      <w:pPr>
        <w:pStyle w:val="Para 03"/>
      </w:pPr>
      <w:r>
        <w:t>Các đặc điểm khác của doanh nghiệp trong giai đoạn ổn định cũng phải nhất quán với giả định về sự ổn định. Ví dụ, hợp lý khi giả định rằng một doanh nghiệp tăng trưởng cao có beta là 2,0 nhưng không hợp lý khi giả định rằng beta này sẽ không thay đổi khi doanh nghiệp trở nên ổn định. Trên thực tế, quy tắc kinh nghiệm mà chúng ta đã phát triển trong chương trước—rằng beta giai đoạn ổn định nằm trong khoảng từ 0,8 đến 1,2—đáng được nhắc lại ở đây. Tương tự, lợi nhuận trên vốn chủ sở hữu, vốn có thể cao trong giai đoạn tăng trưởng ban đầu, nên giảm xuống mức tương xứng với một doanh nghiệp ổn định trong giai đoạn tăng trưởng ổn định. Lợi nhuận trên vốn chủ sở hữu giai đoạn ổn định hợp lý là bao nhiêu? Lợi nhuận trên vốn chủ sở hữu trung bình của ngành và chi phí vốn chủ sở hữu giai đoạn ổn định của chính doanh nghiệp cung cấp thông tin hữu ích để đưa ra phán đoán này.</w:t>
      </w:r>
    </w:p>
    <w:p>
      <w:bookmarkStart w:id="2516" w:name="Limitations_and_Uses_of_the_Mode"/>
      <w:pPr>
        <w:pStyle w:val="Para 21"/>
      </w:pPr>
      <w:r>
        <w:t>Hạn chế và ứng dụng của mô hình</w:t>
      </w:r>
      <w:bookmarkEnd w:id="2516"/>
    </w:p>
    <w:p>
      <w:pPr>
        <w:pStyle w:val="Para 03"/>
      </w:pPr>
      <w:r>
        <w:t>Có ba vấn đề với mô hình chiết khấu cổ tức hai giai đoạn; hai vấn đề đầu tiên sẽ áp dụng cho bất kỳ mô hình hai giai đoạn nào, và vấn đề thứ ba đặc thù cho mô hình chiết khấu cổ tức.</w:t>
      </w:r>
    </w:p>
    <w:p>
      <w:pPr>
        <w:numPr>
          <w:ilvl w:val="0"/>
          <w:numId w:val="127"/>
        </w:numPr>
        <w:pStyle w:val="Para 01"/>
      </w:pPr>
      <w:r>
        <w:t>Vấn đề thực tiễn đầu tiên là việc xác định độ dài của giai đoạn tăng trưởng phi thường. Vì tốc độ tăng trưởng được kỳ vọng sẽ giảm xuống mức ổn định sau giai đoạn này, giá trị của một khoản đầu tư sẽ tăng lên khi giai đoạn này được kéo dài hơn. Mặc dù chúng ta đã phát triển các tiêu chí có thể hữu ích trong việc đưa ra phán đoán này trong Chương 12, nhưng trên thực tế rất khó để chuyển đổi những cân nhắc định tính này thành một khoảng thời gian cụ thể.</w:t>
      </w:r>
    </w:p>
    <w:p>
      <w:pPr>
        <w:numPr>
          <w:ilvl w:val="0"/>
          <w:numId w:val="127"/>
        </w:numPr>
        <w:pStyle w:val="Para 01"/>
      </w:pPr>
      <w:r>
        <w:t>Vấn đề thứ hai với mô hình này nằm ở giả định rằng tốc độ tăng trưởng cao trong giai đoạn ban đầu, và được chuyển đổi qua đêm thành tốc độ ổn định thấp hơn vào cuối giai đoạn. Mặc dù những chuyển đổi đột ngột về tăng trưởng có thể xảy ra, nhưng thực tế hơn nhiều khi giả định rằng sự chuyển dịch từ tăng trưởng cao sang tăng trưởng ổn định diễn ra dần dần theo thời gian.</w:t>
      </w:r>
    </w:p>
    <w:p>
      <w:pPr>
        <w:numPr>
          <w:ilvl w:val="0"/>
          <w:numId w:val="127"/>
        </w:numPr>
        <w:pStyle w:val="Para 01"/>
      </w:pPr>
      <w:r>
        <w:t>Việc tập trung vào cổ tức trong mô hình này có thể dẫn đến ước tính giá trị bị lệch đối với các doanh nghiệp không chi trả cổ tức ở mức họ có thể chi trả. Cụ thể, chúng ta sẽ đánh giá thấp giá trị của các doanh nghiệp tích lũy tiền mặt và chi trả cổ tức quá ít.</w:t>
      </w:r>
    </w:p>
    <w:p>
      <w:bookmarkStart w:id="2518" w:name="Model_Usage__Since_the_two_stage"/>
      <w:pPr>
        <w:pStyle w:val="Para 21"/>
      </w:pPr>
      <w:r>
        <w:t>Ứng dụng mô hình</w:t>
      </w:r>
      <w:bookmarkEnd w:id="2518"/>
    </w:p>
    <w:p>
      <w:pPr>
        <w:pStyle w:val="Para 03"/>
      </w:pPr>
      <w:r>
        <w:t>Vì mô hình chiết khấu cổ tức hai giai đoạn dựa trên hai giai đoạn tăng trưởng được phân định rõ ràng—tăng trưởng cao và tăng trưởng ổn định—nó phù hợp nhất với các doanh nghiệp đang ở giai đoạn tăng trưởng cao và kỳ vọng duy trì tốc độ tăng trưởng đó trong một khoảng thời gian cụ thể, sau đó các nguồn tăng trưởng cao được kỳ vọng sẽ biến mất. Một kịch bản, ví dụ, có thể áp dụng là khi một công ty có quyền sáng chế đối với một sản phẩm rất sinh lời trong vài năm tới, và được kỳ vọng sẽ tận hưởng tăng trưởng siêu thường trong giai đoạn này. Khi bằng sáng chế hết hạn, nó được kỳ vọng sẽ trở lại tăng trưởng ổn định. Một kịch bản khác mà việc đưa ra giả định này về tăng trưởng có thể hợp lý là khi một doanh nghiệp đang ở trong một ngành được hưởng tăng trưởng siêu thường vì có những rào cản gia nhập đáng kể (hoặc do pháp lý hoặc do yêu cầu về cơ sở hạ tầng), có thể được kỳ vọng sẽ giữ các đối thủ mới ngoài cuộc trong vài năm.</w:t>
      </w:r>
    </w:p>
    <w:p>
      <w:pPr>
        <w:pStyle w:val="Para 03"/>
      </w:pPr>
      <w:r>
        <w:t>Giả định rằng tốc độ tăng trưởng giảm mạnh từ mức của nó trong giai đoạn ban đầu xuống mức ổn định cũng ngụ ý rằng mô hình này phù hợp hơn với các doanh nghiệp có tốc độ tăng trưởng khiêm tốn trong giai đoạn ban đầu. Ví dụ, hợp lý hơn khi giả định rằng một doanh nghiệp tăng trưởng 7 phần trăm trong giai đoạn tăng trưởng cao sẽ thấy tốc độ tăng trưởng của nó giảm xuống 2 phần trăm sau đó, so với một doanh nghiệp tăng trưởng 40 phần trăm trong giai đoạn tăng trưởng cao.</w:t>
      </w:r>
    </w:p>
    <w:p>
      <w:pPr>
        <w:pStyle w:val="Para 03"/>
      </w:pPr>
      <w:r>
        <w:t>Cuối cùng, mô hình hoạt động tốt nhất đối với các doanh nghiệp duy trì chính sách chi trả dòng tiền còn lại (tức là dòng tiền còn lại sau khi các khoản thanh toán nợ và nhu cầu tái đầu tư đã được đáp ứng) dưới dạng cổ tức.</w:t>
      </w:r>
    </w:p>
    <w:p>
      <w:pPr>
        <w:pStyle w:val="Para 11"/>
      </w:pPr>
      <w:r>
        <w:t xml:space="preserve"> </w:t>
      </w:r>
    </w:p>
    <w:p>
      <w:bookmarkStart w:id="2521" w:name="ILLUSTRATION_14_2__Valuing_a_Fir"/>
      <w:bookmarkStart w:id="2522" w:name="ILLUSTRATION_14_2__Valuing_a_Fir_1"/>
      <w:pPr>
        <w:keepNext/>
        <w:pStyle w:val="Para 19"/>
        <w:keepLines w:val="on"/>
      </w:pPr>
      <w:r>
        <w:t>MINH HỌA 14.2: Định giá một doanh nghiệp bằng mô hình chiết khấu cổ tức hai giai đoạn: Procter &amp; Gamble vào tháng 5 năm 2011</w:t>
      </w:r>
      <w:bookmarkEnd w:id="2521"/>
      <w:bookmarkEnd w:id="2522"/>
    </w:p>
    <w:p>
      <w:pPr>
        <w:pStyle w:val="Para 04"/>
        <w:keepLines w:val="on"/>
      </w:pPr>
      <w:r>
        <w:t>Procter &amp; Gamble (P&amp;G) là một trong những công ty sản phẩm tiêu dùng hàng đầu toàn cầu, sở hữu một số thương hiệu giá trị nhất thế giới, bao gồm dao cạo Gillette, tã Pampers, bột giặt Tide, kem đánh răng Crest, và thuốc ho Vicks. Lịch sử lâu dài chi trả cổ tức của P&amp;G khiến nó trở thành ứng viên tốt cho mô hình chiết khấu cổ tức, và mặc dù đây là một công ty lớn, các tên thương hiệu và sự mở rộng toàn cầu của nó cung cấp cho nó một nền tảng để mang lại tăng trưởng cao ít nhất trong vài năm tới. Do đó, chúng ta sẽ sử dụng mô hình chiết khấu cổ tức hai giai đoạn để định giá công ty.</w:t>
      </w:r>
    </w:p>
    <w:p>
      <w:pPr>
        <w:pStyle w:val="Para 04"/>
        <w:keepLines w:val="on"/>
      </w:pPr>
      <w:r>
        <w:t>Để thiết lập bối cảnh, P&amp;G báo cáo 12.736 triệu đô la lợi nhuận cho năm 2010 và chi trả 49,74% lợi nhuận này dưới dạng cổ tức; trên cơ sở mỗi cổ phần, lợi nhuận là 3,82 đô la và cổ tức là 1,92 đô la trong năm 2010. Chúng ta sẽ sử dụng beta là 0,90, phản ánh beta của các công ty sản phẩm tiêu dùng lớn trong năm 2010, lãi suất phi rủi ro là 3,50%, và phần bù rủi ro vốn chủ sở hữu thị trường trưởng thành là 5% để ước tính chi phí vốn chủ sở hữu:</w:t>
      </w:r>
    </w:p>
    <w:p>
      <w:bookmarkStart w:id="2524" w:name="Cost_of_equity_3_50__0_90_5___8"/>
      <w:pPr>
        <w:keepNext/>
        <w:pStyle w:val="Para 07"/>
        <w:keepLines w:val="on"/>
      </w:pPr>
      <w:r>
        <w:t>Chi phí vốn chủ sở hữu = 3,50% + 0,90(5%) = 8,00%</w:t>
      </w:r>
      <w:bookmarkEnd w:id="2524"/>
    </w:p>
    <w:p>
      <w:pPr>
        <w:pStyle w:val="Para 04"/>
        <w:keepLines w:val="on"/>
      </w:pPr>
      <w:r>
        <w:t>Để ước tính tốc độ tăng trưởng kỳ vọng, chúng ta sẽ bắt đầu với tỷ suất sinh lời trên vốn chủ sở hữu (return on equity – ROE) hiện tại của công ty (20,09%) và tỷ lệ chi trả cổ tức (payout ratio) (49,74%), rồi giả định các con số rất gần với mức này cho năm năm tới:</w:t>
      </w:r>
    </w:p>
    <w:p>
      <w:bookmarkStart w:id="2525" w:name="Expected_ROE_for_next_5_years_20"/>
      <w:pPr>
        <w:keepNext/>
        <w:pStyle w:val="Para 07"/>
        <w:keepLines w:val="on"/>
      </w:pPr>
      <w:r>
        <w:t>ROE kỳ vọng cho 5 năm tới = 20%Tỷ lệ giữ lại lợi nhuận kỳ vọng cho 5 năm tới = 50%Tốc độ tăng trưởng kỳ vọng cho 5 năm tới = 20% × 50% = 10%</w:t>
      </w:r>
      <w:bookmarkEnd w:id="2525"/>
    </w:p>
    <w:p>
      <w:pPr>
        <w:pStyle w:val="Para 04"/>
        <w:keepLines w:val="on"/>
      </w:pPr>
      <w:r>
        <w:t>Áp dụng tốc độ tăng trưởng này cho thu nhập và cổ tức trong 5 năm tới, rồi chiết khấu số cổ tức đó về hiện tại theo chi phí vốn chủ sở hữu, chúng ta thu được giá trị 10,09 USD/cổ phần cho giai đoạn tăng trưởng cao trong Bảng 14.1</w:t>
      </w:r>
    </w:p>
    <w:p>
      <w:pPr>
        <w:pStyle w:val="Para 25"/>
        <w:keepLines w:val="on"/>
      </w:pPr>
      <w:r>
        <w:t>Bảng 14.1</w:t>
      </w:r>
    </w:p>
    <w:p>
      <w:pPr>
        <w:keepNext/>
        <w:pStyle w:val="Para 24"/>
        <w:keepLines w:val="on"/>
      </w:pPr>
      <w:r>
        <w:t>Cổ tức kỳ vọng trên mỗi cổ phần của P&amp;G</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c>
                <w:tcPr>
                  <w:tcW w:type="auto" w:w="0"/>
                  <w:shd w:val="clear" w:color="auto" w:fill="F0F0F0"/>
                </w:tcPr>
                <w:p>
                  <w:pPr>
                    <w:pStyle w:val="Para 05"/>
                    <w:keepLines w:val="on"/>
                  </w:pPr>
                  <w:r>
                    <w:t>Tổng</w:t>
                  </w:r>
                </w:p>
              </w:tc>
            </w:tr>
            <w:tr>
              <w:tc>
                <w:tcPr>
                  <w:tcW w:type="auto" w:w="0"/>
                  <w:shd w:val="clear" w:color="auto" w:fill="F0F0F0"/>
                </w:tcPr>
                <w:p>
                  <w:pPr>
                    <w:pStyle w:val="Para 02"/>
                    <w:keepLines w:val="on"/>
                  </w:pPr>
                  <w:r>
                    <w:t>Thu nhập trên mỗi cổ phần</w:t>
                  </w:r>
                </w:p>
              </w:tc>
              <w:tc>
                <w:tcPr>
                  <w:tcW w:type="auto" w:w="0"/>
                  <w:shd w:val="clear" w:color="auto" w:fill="F0F0F0"/>
                </w:tcPr>
                <w:p>
                  <w:pPr>
                    <w:pStyle w:val="Para 06"/>
                    <w:keepLines w:val="on"/>
                  </w:pPr>
                  <w:r>
                    <w:t>4,20 USD</w:t>
                  </w:r>
                </w:p>
              </w:tc>
              <w:tc>
                <w:tcPr>
                  <w:tcW w:type="auto" w:w="0"/>
                  <w:shd w:val="clear" w:color="auto" w:fill="F0F0F0"/>
                </w:tcPr>
                <w:p>
                  <w:pPr>
                    <w:pStyle w:val="Para 06"/>
                    <w:keepLines w:val="on"/>
                  </w:pPr>
                  <w:r>
                    <w:t>4,62 USD</w:t>
                  </w:r>
                </w:p>
              </w:tc>
              <w:tc>
                <w:tcPr>
                  <w:tcW w:type="auto" w:w="0"/>
                  <w:shd w:val="clear" w:color="auto" w:fill="F0F0F0"/>
                </w:tcPr>
                <w:p>
                  <w:pPr>
                    <w:pStyle w:val="Para 06"/>
                    <w:keepLines w:val="on"/>
                  </w:pPr>
                  <w:r>
                    <w:t>5,08 USD</w:t>
                  </w:r>
                </w:p>
              </w:tc>
              <w:tc>
                <w:tcPr>
                  <w:tcW w:type="auto" w:w="0"/>
                  <w:shd w:val="clear" w:color="auto" w:fill="F0F0F0"/>
                </w:tcPr>
                <w:p>
                  <w:pPr>
                    <w:pStyle w:val="Para 06"/>
                    <w:keepLines w:val="on"/>
                  </w:pPr>
                  <w:r>
                    <w:t>5,59 USD</w:t>
                  </w:r>
                </w:p>
              </w:tc>
              <w:tc>
                <w:tcPr>
                  <w:tcW w:type="auto" w:w="0"/>
                  <w:shd w:val="clear" w:color="auto" w:fill="F0F0F0"/>
                </w:tcPr>
                <w:p>
                  <w:pPr>
                    <w:pStyle w:val="Para 06"/>
                    <w:keepLines w:val="on"/>
                  </w:pPr>
                  <w:r>
                    <w:t>6,15 USD</w:t>
                  </w:r>
                </w:p>
              </w:tc>
              <w:tc>
                <w:tcPr>
                  <w:tcW w:type="auto" w:w="0"/>
                  <w:shd w:val="clear" w:color="auto" w:fill="F0F0F0"/>
                </w:tcPr>
                <w:p>
                  <w:pPr>
                    <w:pStyle w:val="3 Block"/>
                    <w:keepLines w:val="on"/>
                  </w:pPr>
                </w:p>
              </w:tc>
            </w:tr>
            <w:tr>
              <w:tc>
                <w:tcPr>
                  <w:tcW w:type="auto" w:w="0"/>
                  <w:shd w:val="clear" w:color="auto" w:fill="F0F0F0"/>
                </w:tcPr>
                <w:p>
                  <w:pPr>
                    <w:pStyle w:val="Para 02"/>
                    <w:keepLines w:val="on"/>
                  </w:pPr>
                  <w:r>
                    <w:t>Tỷ lệ chi trả cổ tức</w:t>
                  </w:r>
                </w:p>
              </w:tc>
              <w:tc>
                <w:tcPr>
                  <w:tcW w:type="auto" w:w="0"/>
                  <w:shd w:val="clear" w:color="auto" w:fill="F0F0F0"/>
                </w:tcPr>
                <w:p>
                  <w:pPr>
                    <w:pStyle w:val="Para 06"/>
                    <w:keepLines w:val="on"/>
                  </w:pPr>
                  <w:r>
                    <w:t>50,00%</w:t>
                  </w:r>
                </w:p>
              </w:tc>
              <w:tc>
                <w:tcPr>
                  <w:tcW w:type="auto" w:w="0"/>
                  <w:shd w:val="clear" w:color="auto" w:fill="F0F0F0"/>
                </w:tcPr>
                <w:p>
                  <w:pPr>
                    <w:pStyle w:val="Para 06"/>
                    <w:keepLines w:val="on"/>
                  </w:pPr>
                  <w:r>
                    <w:t>50,00%</w:t>
                  </w:r>
                </w:p>
              </w:tc>
              <w:tc>
                <w:tcPr>
                  <w:tcW w:type="auto" w:w="0"/>
                  <w:shd w:val="clear" w:color="auto" w:fill="F0F0F0"/>
                </w:tcPr>
                <w:p>
                  <w:pPr>
                    <w:pStyle w:val="Para 06"/>
                    <w:keepLines w:val="on"/>
                  </w:pPr>
                  <w:r>
                    <w:t>50,00%</w:t>
                  </w:r>
                </w:p>
              </w:tc>
              <w:tc>
                <w:tcPr>
                  <w:tcW w:type="auto" w:w="0"/>
                  <w:shd w:val="clear" w:color="auto" w:fill="F0F0F0"/>
                </w:tcPr>
                <w:p>
                  <w:pPr>
                    <w:pStyle w:val="Para 06"/>
                    <w:keepLines w:val="on"/>
                  </w:pPr>
                  <w:r>
                    <w:t>50,00%</w:t>
                  </w:r>
                </w:p>
              </w:tc>
              <w:tc>
                <w:tcPr>
                  <w:tcW w:type="auto" w:w="0"/>
                  <w:shd w:val="clear" w:color="auto" w:fill="F0F0F0"/>
                </w:tcPr>
                <w:p>
                  <w:pPr>
                    <w:pStyle w:val="Para 06"/>
                    <w:keepLines w:val="on"/>
                  </w:pPr>
                  <w:r>
                    <w:t>50,00%</w:t>
                  </w:r>
                </w:p>
              </w:tc>
              <w:tc>
                <w:tcPr>
                  <w:tcW w:type="auto" w:w="0"/>
                  <w:shd w:val="clear" w:color="auto" w:fill="F0F0F0"/>
                </w:tcPr>
                <w:p>
                  <w:pPr>
                    <w:pStyle w:val="3 Block"/>
                    <w:keepLines w:val="on"/>
                  </w:pPr>
                </w:p>
              </w:tc>
            </w:tr>
            <w:tr>
              <w:tc>
                <w:tcPr>
                  <w:tcW w:type="auto" w:w="0"/>
                  <w:shd w:val="clear" w:color="auto" w:fill="F0F0F0"/>
                </w:tcPr>
                <w:p>
                  <w:pPr>
                    <w:pStyle w:val="Para 02"/>
                    <w:keepLines w:val="on"/>
                  </w:pPr>
                  <w:r>
                    <w:t>Cổ tức trên mỗi cổ phần</w:t>
                  </w:r>
                </w:p>
              </w:tc>
              <w:tc>
                <w:tcPr>
                  <w:tcW w:type="auto" w:w="0"/>
                  <w:shd w:val="clear" w:color="auto" w:fill="F0F0F0"/>
                </w:tcPr>
                <w:p>
                  <w:pPr>
                    <w:pStyle w:val="Para 06"/>
                    <w:keepLines w:val="on"/>
                  </w:pPr>
                  <w:r>
                    <w:t>$2,10</w:t>
                  </w:r>
                </w:p>
              </w:tc>
              <w:tc>
                <w:tcPr>
                  <w:tcW w:type="auto" w:w="0"/>
                  <w:shd w:val="clear" w:color="auto" w:fill="F0F0F0"/>
                </w:tcPr>
                <w:p>
                  <w:pPr>
                    <w:pStyle w:val="Para 06"/>
                    <w:keepLines w:val="on"/>
                  </w:pPr>
                  <w:r>
                    <w:t>$2,31</w:t>
                  </w:r>
                </w:p>
              </w:tc>
              <w:tc>
                <w:tcPr>
                  <w:tcW w:type="auto" w:w="0"/>
                  <w:shd w:val="clear" w:color="auto" w:fill="F0F0F0"/>
                </w:tcPr>
                <w:p>
                  <w:pPr>
                    <w:pStyle w:val="Para 06"/>
                    <w:keepLines w:val="on"/>
                  </w:pPr>
                  <w:r>
                    <w:t>$2,54</w:t>
                  </w:r>
                </w:p>
              </w:tc>
              <w:tc>
                <w:tcPr>
                  <w:tcW w:type="auto" w:w="0"/>
                  <w:shd w:val="clear" w:color="auto" w:fill="F0F0F0"/>
                </w:tcPr>
                <w:p>
                  <w:pPr>
                    <w:pStyle w:val="Para 06"/>
                    <w:keepLines w:val="on"/>
                  </w:pPr>
                  <w:r>
                    <w:t>$2,80</w:t>
                  </w:r>
                </w:p>
              </w:tc>
              <w:tc>
                <w:tcPr>
                  <w:tcW w:type="auto" w:w="0"/>
                  <w:shd w:val="clear" w:color="auto" w:fill="F0F0F0"/>
                </w:tcPr>
                <w:p>
                  <w:pPr>
                    <w:pStyle w:val="Para 06"/>
                    <w:keepLines w:val="on"/>
                  </w:pPr>
                  <w:r>
                    <w:t>$3,08</w:t>
                  </w:r>
                </w:p>
              </w:tc>
              <w:tc>
                <w:tcPr>
                  <w:tcW w:type="auto" w:w="0"/>
                  <w:shd w:val="clear" w:color="auto" w:fill="F0F0F0"/>
                </w:tcPr>
                <w:p>
                  <w:pPr>
                    <w:pStyle w:val="3 Block"/>
                    <w:keepLines w:val="on"/>
                  </w:pPr>
                </w:p>
              </w:tc>
            </w:tr>
            <w:tr>
              <w:tc>
                <w:tcPr>
                  <w:tcW w:type="auto" w:w="0"/>
                  <w:shd w:val="clear" w:color="auto" w:fill="F0F0F0"/>
                </w:tcPr>
                <w:p>
                  <w:pPr>
                    <w:pStyle w:val="Para 02"/>
                    <w:keepLines w:val="on"/>
                  </w:pPr>
                  <w:r>
                    <w:t>Chi phí vốn chủ sở hữu (Cost of equity)</w:t>
                  </w:r>
                </w:p>
              </w:tc>
              <w:tc>
                <w:tcPr>
                  <w:tcW w:type="auto" w:w="0"/>
                  <w:shd w:val="clear" w:color="auto" w:fill="F0F0F0"/>
                </w:tcPr>
                <w:p>
                  <w:pPr>
                    <w:pStyle w:val="Para 06"/>
                    <w:keepLines w:val="on"/>
                  </w:pPr>
                  <w:r>
                    <w:t>8,00%</w:t>
                  </w:r>
                </w:p>
              </w:tc>
              <w:tc>
                <w:tcPr>
                  <w:tcW w:type="auto" w:w="0"/>
                  <w:shd w:val="clear" w:color="auto" w:fill="F0F0F0"/>
                </w:tcPr>
                <w:p>
                  <w:pPr>
                    <w:pStyle w:val="Para 06"/>
                    <w:keepLines w:val="on"/>
                  </w:pPr>
                  <w:r>
                    <w:t>8,00%</w:t>
                  </w:r>
                </w:p>
              </w:tc>
              <w:tc>
                <w:tcPr>
                  <w:tcW w:type="auto" w:w="0"/>
                  <w:shd w:val="clear" w:color="auto" w:fill="F0F0F0"/>
                </w:tcPr>
                <w:p>
                  <w:pPr>
                    <w:pStyle w:val="Para 06"/>
                    <w:keepLines w:val="on"/>
                  </w:pPr>
                  <w:r>
                    <w:t>8,00%</w:t>
                  </w:r>
                </w:p>
              </w:tc>
              <w:tc>
                <w:tcPr>
                  <w:tcW w:type="auto" w:w="0"/>
                  <w:shd w:val="clear" w:color="auto" w:fill="F0F0F0"/>
                </w:tcPr>
                <w:p>
                  <w:pPr>
                    <w:pStyle w:val="Para 06"/>
                    <w:keepLines w:val="on"/>
                  </w:pPr>
                  <w:r>
                    <w:t>8,00%</w:t>
                  </w:r>
                </w:p>
              </w:tc>
              <w:tc>
                <w:tcPr>
                  <w:tcW w:type="auto" w:w="0"/>
                  <w:shd w:val="clear" w:color="auto" w:fill="F0F0F0"/>
                </w:tcPr>
                <w:p>
                  <w:pPr>
                    <w:pStyle w:val="Para 06"/>
                    <w:keepLines w:val="on"/>
                  </w:pPr>
                  <w:r>
                    <w:t>8,00%</w:t>
                  </w:r>
                </w:p>
              </w:tc>
              <w:tc>
                <w:tcPr>
                  <w:tcW w:type="auto" w:w="0"/>
                  <w:shd w:val="clear" w:color="auto" w:fill="F0F0F0"/>
                </w:tcPr>
                <w:p>
                  <w:pPr>
                    <w:pStyle w:val="3 Block"/>
                    <w:keepLines w:val="on"/>
                  </w:pPr>
                </w:p>
              </w:tc>
            </w:tr>
            <w:tr>
              <w:tc>
                <w:tcPr>
                  <w:tcW w:type="auto" w:w="0"/>
                  <w:shd w:val="clear" w:color="auto" w:fill="F0F0F0"/>
                </w:tcPr>
                <w:p>
                  <w:pPr>
                    <w:pStyle w:val="Para 02"/>
                    <w:keepLines w:val="on"/>
                  </w:pPr>
                  <w:r>
                    <w:t>Giá trị hiện tại (Present value)</w:t>
                  </w:r>
                </w:p>
              </w:tc>
              <w:tc>
                <w:tcPr>
                  <w:tcW w:type="auto" w:w="0"/>
                  <w:shd w:val="clear" w:color="auto" w:fill="F0F0F0"/>
                </w:tcPr>
                <w:p>
                  <w:pPr>
                    <w:pStyle w:val="Para 06"/>
                    <w:keepLines w:val="on"/>
                  </w:pPr>
                  <w:r>
                    <w:t>$1,95</w:t>
                  </w:r>
                </w:p>
              </w:tc>
              <w:tc>
                <w:tcPr>
                  <w:tcW w:type="auto" w:w="0"/>
                  <w:shd w:val="clear" w:color="auto" w:fill="F0F0F0"/>
                </w:tcPr>
                <w:p>
                  <w:pPr>
                    <w:pStyle w:val="Para 06"/>
                    <w:keepLines w:val="on"/>
                  </w:pPr>
                  <w:r>
                    <w:t>$1,98</w:t>
                  </w:r>
                </w:p>
              </w:tc>
              <w:tc>
                <w:tcPr>
                  <w:tcW w:type="auto" w:w="0"/>
                  <w:shd w:val="clear" w:color="auto" w:fill="F0F0F0"/>
                </w:tcPr>
                <w:p>
                  <w:pPr>
                    <w:pStyle w:val="Para 06"/>
                    <w:keepLines w:val="on"/>
                  </w:pPr>
                  <w:r>
                    <w:t>$2,02</w:t>
                  </w:r>
                </w:p>
              </w:tc>
              <w:tc>
                <w:tcPr>
                  <w:tcW w:type="auto" w:w="0"/>
                  <w:shd w:val="clear" w:color="auto" w:fill="F0F0F0"/>
                </w:tcPr>
                <w:p>
                  <w:pPr>
                    <w:pStyle w:val="Para 06"/>
                    <w:keepLines w:val="on"/>
                  </w:pPr>
                  <w:r>
                    <w:t>$2,06</w:t>
                  </w:r>
                </w:p>
              </w:tc>
              <w:tc>
                <w:tcPr>
                  <w:tcW w:type="auto" w:w="0"/>
                  <w:shd w:val="clear" w:color="auto" w:fill="F0F0F0"/>
                </w:tcPr>
                <w:p>
                  <w:pPr>
                    <w:pStyle w:val="Para 06"/>
                    <w:keepLines w:val="on"/>
                  </w:pPr>
                  <w:r>
                    <w:t>$2,09</w:t>
                  </w:r>
                </w:p>
              </w:tc>
              <w:tc>
                <w:tcPr>
                  <w:tcW w:type="auto" w:w="0"/>
                  <w:shd w:val="clear" w:color="auto" w:fill="F0F0F0"/>
                </w:tcPr>
                <w:p>
                  <w:pPr>
                    <w:pStyle w:val="Para 06"/>
                    <w:keepLines w:val="on"/>
                  </w:pPr>
                  <w:r>
                    <w:t>$10,09</w:t>
                  </w:r>
                </w:p>
              </w:tc>
            </w:tr>
          </w:tbl>
          <w:p/>
        </w:tc>
      </w:tr>
    </w:tbl>
    <w:p>
      <w:pPr>
        <w:pStyle w:val="Para 04"/>
        <w:keepLines w:val="on"/>
      </w:pPr>
      <w:r>
        <w:t>Sau năm thứ 5, chúng ta giả định rằng P&amp;G sẽ bước vào giai đoạn tăng trưởng ổn định, tăng 3% mỗi năm (đặt ngay dưới lãi suất phi rủi ro). Chúng ta cũng giả định rằng tỷ suất sinh lời trên vốn chủ sở hữu (return on equity – ROE) của công ty sẽ giảm xuống mức bền vững hơn là 12% vĩnh viễn, dẫn đến tỷ lệ chi trả cổ tức (payout ratio) ước tính là 75% vĩnh viễn:</w:t>
      </w:r>
    </w:p>
    <w:p>
      <w:bookmarkStart w:id="2528" w:name="Expected_payout_ratio_in_stable"/>
      <w:pPr>
        <w:keepNext/>
        <w:pStyle w:val="Para 07"/>
        <w:keepLines w:val="on"/>
      </w:pPr>
      <w:r>
        <w:t>Tỷ lệ chi trả cổ tức kỳ vọng trong giai đoạn tăng trưởng ổn định = 1 − g/ROE = 1 − 3%/12% = 75%</w:t>
      </w:r>
      <w:bookmarkEnd w:id="2528"/>
    </w:p>
    <w:p>
      <w:pPr>
        <w:pStyle w:val="Para 04"/>
        <w:keepLines w:val="on"/>
      </w:pPr>
      <w:r>
        <w:t>Giả định rằng beta tăng lên 1 trong giai đoạn tăng trưởng ổn định (dẫn đến chi phí vốn chủ sở hữu là 8,5%), chúng ta ước tính giá trị mỗi cổ phần vào cuối năm thứ 5:</w:t>
      </w:r>
    </w:p>
    <w:p>
      <w:bookmarkStart w:id="2529" w:name="Value_per_share_end_of_year_5_EP"/>
      <w:pPr>
        <w:keepNext/>
        <w:pStyle w:val="Para 07"/>
        <w:keepLines w:val="on"/>
      </w:pPr>
      <w:r>
        <w:t>Giá trị mỗi cổ phần cuối năm thứ 5 = EPS5 × (1 + Tỷ lệ tăng trưởng ổn định) × (Tỷ lệ chi trả cổ tức ổn định) / (Chi phí vốn chủ sở hữu giai đoạn ổn định − Tỷ lệ tăng trưởng ổn định) = $6,15 × (1,03) × (0,75) / (0,085 − 0,03) = $86,41</w:t>
      </w:r>
      <w:bookmarkEnd w:id="2529"/>
    </w:p>
    <w:p>
      <w:pPr>
        <w:pStyle w:val="Para 04"/>
        <w:keepLines w:val="on"/>
      </w:pPr>
      <w:r>
        <w:t>Chiết khấu mức giá này về hiện tại với tỷ lệ 8% (chi phí vốn chủ sở hữu cho giai đoạn tăng trưởng cao) và cộng thêm giá trị hiện tại của cổ tức kỳ vọng trong giai đoạn tăng trưởng cao sẽ cho ra giá trị mỗi cổ phần là $68,90.</w:t>
      </w:r>
    </w:p>
    <w:p>
      <w:bookmarkStart w:id="2530" w:name="Value_per_share_today_PV_of_divi"/>
      <w:pPr>
        <w:keepNext/>
        <w:pStyle w:val="Para 07"/>
        <w:keepLines w:val="on"/>
      </w:pPr>
      <w:r>
        <w:t>Giá trị mỗi cổ phần hôm nay = PV của cổ tức trong giai đoạn tăng trưởng cao + PV của giá trị cuối kỳ của vốn chủ sở hữu = $10,09 + $86,41/1,08^5 = $68,90</w:t>
      </w:r>
      <w:bookmarkEnd w:id="2530"/>
    </w:p>
    <w:p>
      <w:pPr>
        <w:pStyle w:val="Para 04"/>
        <w:keepLines w:val="on"/>
      </w:pPr>
      <w:r>
        <w:t>Cổ phiếu này đang được giao dịch ở mức $68 vào tháng 5 năm 2011, tức là được định giá hợp lý.</w:t>
      </w:r>
    </w:p>
    <w:p>
      <w:pPr>
        <w:pStyle w:val="Para 11"/>
      </w:pPr>
      <w:r>
        <w:t xml:space="preserve"> </w:t>
      </w:r>
    </w:p>
    <w:p>
      <w:bookmarkStart w:id="2531" w:name="DDM2st_xls__This_spreadsheet_al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27"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2531"/>
    </w:p>
    <w:p>
      <w:pPr>
        <w:pStyle w:val="Para 31"/>
        <w:keepLines w:val="on"/>
      </w:pPr>
      <w:r>
        <w:t>DDM2st.xls: Bảng tính này cho phép bạn định giá một công ty tăng trưởng, với giai đoạn tăng trưởng cao ban đầu và tăng trưởng ổn định sau đó, bằng cách sử dụng cổ tức kỳ vọng</w:t>
      </w:r>
    </w:p>
    <w:p>
      <w:pPr>
        <w:pStyle w:val="Para 03"/>
        <w:keepLines w:val="on"/>
      </w:pPr>
      <w:r>
        <w:t>.</w:t>
      </w:r>
    </w:p>
    <w:p>
      <w:bookmarkStart w:id="2532" w:name="The_Value_of_Growth__Investors_p"/>
      <w:pPr>
        <w:pStyle w:val="Para 21"/>
      </w:pPr>
      <w:r>
        <w:t>Giá trị của Tăng trưởng</w:t>
      </w:r>
      <w:bookmarkEnd w:id="2532"/>
    </w:p>
    <w:p>
      <w:pPr>
        <w:pStyle w:val="Para 03"/>
      </w:pPr>
      <w:r>
        <w:t>Nhà đầu tư trả một mức phí cao hơn khi họ mua các công ty có tiềm năng tăng trưởng cao. Mức phí này thể hiện dưới dạng tỷ lệ giá trên thu nhập (price-earnings) hoặc giá trên giá trị sổ sách (price–book value) cao hơn. Dù không ai phản đối quan điểm rằng tăng trưởng là có giá trị, nhưng hoàn toàn có thể trả quá nhiều cho tăng trưởng. Thực tế, các nghiên cứu thực nghiệm cho thấy cổ phiếu có tỷ lệ giá trên thu nhập thấp mang lại phần bù lợi nhuận so với cổ phiếu có tỷ lệ giá trên thu nhập cao trong dài hạn, điều này ủng hộ quan điểm rằng nhà đầu tư trả quá nhiều cho tăng trưởng. Phần này sử dụng mô hình chiết khấu cổ tức hai giai đoạn (two-stage dividend discount model) để xem xét giá trị của tăng trưởng, và nó cung cấp một chuẩn mực có thể dùng để so sánh với mức giá thực tế đã trả cho tăng trưởng.</w:t>
      </w:r>
    </w:p>
    <w:p>
      <w:bookmarkStart w:id="2534" w:name="Estimating_the_Value_of_Growth"/>
      <w:pPr>
        <w:pStyle w:val="Para 42"/>
      </w:pPr>
      <w:r>
        <w:t>Ước lượng Giá trị của Tăng trưởng</w:t>
      </w:r>
      <w:bookmarkEnd w:id="2534"/>
    </w:p>
    <w:p>
      <w:pPr>
        <w:pStyle w:val="Para 03"/>
      </w:pPr>
      <w:r>
        <w:t>Giá trị vốn chủ sở hữu (equity) của bất kỳ công ty nào có thể được viết dưới dạng ba thành phần:</w:t>
      </w:r>
    </w:p>
    <w:p>
      <w:pPr>
        <w:numPr>
          <w:ilvl w:val="0"/>
          <w:numId w:val="128"/>
        </w:numPr>
        <w:pStyle w:val="Para 01"/>
      </w:pPr>
      <w:r>
        <w:t>Giá trị của tài sản hiện hữu (assets in place), không có tăng trưởng, có thể được tính bằng cách giả định rằng thu nhập hiện tại được chi trả toàn bộ dưới dạng cổ tức, và chiết khấu các cổ tức này như một khoản vĩnh viễn (perpetuity):</w:t>
      </w:r>
    </w:p>
    <w:p>
      <w:bookmarkStart w:id="2536" w:name="Value_of_equity_in_assets_in_pla"/>
      <w:pPr>
        <w:keepNext/>
        <w:pStyle w:val="Para 09"/>
        <w:keepLines w:val="on"/>
      </w:pPr>
      <w:r>
        <w:t>Giá trị vốn chủ sở hữu của tài sản hiện hữu, không có tăng trưởng = Thu nhập ròng hiện tại / Chi phí vốn chủ sở hữu</w:t>
      </w:r>
      <w:bookmarkEnd w:id="2536"/>
    </w:p>
    <w:p>
      <w:pPr>
        <w:numPr>
          <w:ilvl w:val="0"/>
          <w:numId w:val="129"/>
        </w:numPr>
        <w:pStyle w:val="Para 01"/>
      </w:pPr>
      <w:r>
        <w:t>Giá trị của tăng trưởng ổn định có thể được tính bằng cách giả định một tốc độ tăng trưởng mà công ty duy trì mãi mãi, và tái đầu tư đủ để duy trì tốc độ tăng trưởng đó:</w:t>
      </w:r>
    </w:p>
    <w:p>
      <w:bookmarkStart w:id="2538" w:name="Value_of_equity__with_stable_gro"/>
      <w:pPr>
        <w:keepNext/>
        <w:pStyle w:val="Para 09"/>
        <w:keepLines w:val="on"/>
      </w:pPr>
      <w:r>
        <w:t>Giá trị vốn chủ sở hữu, với tăng trưởng ổn định = Thu nhập ròng hiện tại (1+g)(1-gROE) / Chi phí vốn chủ sở hữu - g</w:t>
      </w:r>
      <w:bookmarkEnd w:id="2538"/>
    </w:p>
    <w:p>
      <w:bookmarkStart w:id="2539" w:name="Value_of_stable_growth_Value_of"/>
      <w:pPr>
        <w:keepNext/>
        <w:pStyle w:val="Para 09"/>
        <w:keepLines w:val="on"/>
      </w:pPr>
      <w:r>
        <w:t>Giá trị của tăng trưởng ổn định = Giá trị vốn chủ sở hữu, với tăng trưởng ổn định − Giá trị vốn chủ sở hữu của tài sản hiện hữu, không có tăng trưởng</w:t>
      </w:r>
      <w:bookmarkEnd w:id="2539"/>
    </w:p>
    <w:p>
      <w:pPr>
        <w:numPr>
          <w:ilvl w:val="0"/>
          <w:numId w:val="130"/>
        </w:numPr>
        <w:pStyle w:val="Para 01"/>
      </w:pPr>
      <w:r>
        <w:t>Giá trị của tăng trưởng phi thường (extraordinary growth) sau đó sẽ là chênh lệch giữa giá trị vốn chủ sở hữu, với các giả định của bạn về tăng trưởng cao trong bất kỳ khoảng thời gian nào, và giá trị của tài sản hiện hữu:</w:t>
      </w:r>
    </w:p>
    <w:p>
      <w:pPr>
        <w:pStyle w:val="Para 03"/>
      </w:pPr>
      <w:r>
        <w:t>Giá trị của tăng trưởng phi thường = Giá trị vốn chủ sở hữu − Giá trị vốn chủ sở hữu, với tăng trưởng ổn định2</w:t>
      </w:r>
    </w:p>
    <w:p>
      <w:pPr>
        <w:pStyle w:val="Para 03"/>
      </w:pPr>
      <w:r>
        <w:t>Phù hợp với thảo luận của chúng ta rằng tăng trưởng chỉ có giá trị nếu bạn kiếm được tỷ suất sinh lời trên vốn chủ sở hữu (return on equity) vượt quá chi phí vốn chủ sở hữu, giá trị của tăng trưởng ổn định và tăng trưởng phi thường sẽ phản ánh các giả định về tỷ suất sinh lời trên vốn chủ sở hữu.</w:t>
      </w:r>
    </w:p>
    <w:p>
      <w:pPr>
        <w:pStyle w:val="Para 11"/>
      </w:pPr>
      <w:r>
        <w:t xml:space="preserve"> </w:t>
      </w:r>
    </w:p>
    <w:p>
      <w:bookmarkStart w:id="2541" w:name="ILLUSTRATION_14_3__The_Value_of_1"/>
      <w:bookmarkStart w:id="2542" w:name="ILLUSTRATION_14_3__The_Value_of"/>
      <w:pPr>
        <w:keepNext/>
        <w:pStyle w:val="Para 19"/>
        <w:keepLines w:val="on"/>
      </w:pPr>
      <w:r>
        <w:t>MINH HỌA 14.3: Giá trị của Tăng trưởng: P&amp;G vào tháng 5 năm 2011</w:t>
      </w:r>
      <w:bookmarkEnd w:id="2541"/>
      <w:bookmarkEnd w:id="2542"/>
    </w:p>
    <w:p>
      <w:pPr>
        <w:pStyle w:val="Para 04"/>
        <w:keepLines w:val="on"/>
      </w:pPr>
      <w:r>
        <w:t>Trong Minh họa 13.3, chúng ta đã định giá P&amp;G bằng mô hình chiết khấu cổ tức hai giai đoạn ở mức 68,90 đô la. Đầu tiên chúng ta định giá tài sản hiện hữu bằng cách sử dụng thu nhập hiện tại (3,82 đô la) và giả định rằng toàn bộ thu nhập được chi trả dưới dạng cổ tức. Chúng ta cũng sử dụng chi phí vốn chủ sở hữu của giai đoạn tăng trưởng ổn định làm tỷ lệ chiết khấu.</w:t>
      </w:r>
    </w:p>
    <w:p>
      <w:bookmarkStart w:id="2544" w:name="Value_of_assets_in_place_Current"/>
      <w:pPr>
        <w:keepNext/>
        <w:pStyle w:val="Para 07"/>
        <w:keepLines w:val="on"/>
      </w:pPr>
      <w:r>
        <w:t>Giá trị của tài sản hiện hữu = EPS hiện tại / Chi phí vốn chủ sở hữu = $3,82 / 0,085 = $44,94</w:t>
      </w:r>
      <w:bookmarkEnd w:id="2544"/>
    </w:p>
    <w:p>
      <w:pPr>
        <w:pStyle w:val="Para 04"/>
        <w:keepLines w:val="on"/>
      </w:pPr>
      <w:r>
        <w:t>Để ước lượng giá trị của tăng trưởng ổn định, chúng ta giả định rằng tốc độ tăng trưởng kỳ vọng sẽ là 3% và tỷ lệ chi trả cổ tức (payout ratio) là tỷ lệ chi trả của giai đoạn ổn định là 75%:</w:t>
      </w:r>
    </w:p>
    <w:p>
      <w:bookmarkStart w:id="2545" w:name="Value_of_stable_growth_Current_E"/>
      <w:pPr>
        <w:keepNext/>
        <w:pStyle w:val="Para 07"/>
        <w:keepLines w:val="on"/>
      </w:pPr>
      <w:r>
        <w:t>Giá trị của tăng trưởng ổn định = EPS hiện tại × Tỷ lệ chi trả ổn định × (1+gn) / (ke-gn) - Giá trị của tài sản hiện hữu = $3,82 × 0,75 × 1,03 / (0,085−0,03) - $44,94 = $8,71</w:t>
      </w:r>
      <w:bookmarkEnd w:id="2545"/>
    </w:p>
    <w:p>
      <w:pPr>
        <w:pStyle w:val="Para 04"/>
        <w:keepLines w:val="on"/>
      </w:pPr>
      <w:r>
        <w:t>Để có được giá trị của tăng trưởng phi thường trong 5 năm tới, chúng ta lấy giá trị nội tại trên mỗi cổ phần trừ đi giá trị của tài sản hiện hữu và tăng trưởng ổn định:</w:t>
      </w:r>
    </w:p>
    <w:p>
      <w:bookmarkStart w:id="2546" w:name="Value_of_extraordinary_growth__6"/>
      <w:pPr>
        <w:keepNext/>
        <w:pStyle w:val="Para 07"/>
        <w:keepLines w:val="on"/>
      </w:pPr>
      <w:r>
        <w:t>Giá trị của tăng trưởng phi thường = $68,90 - $44,94 - $8,71 = $15,25</w:t>
      </w:r>
      <w:bookmarkEnd w:id="2546"/>
    </w:p>
    <w:p>
      <w:pPr>
        <w:pStyle w:val="Para 04"/>
        <w:keepLines w:val="on"/>
      </w:pPr>
      <w:r>
        <w:t>Lưu ý rằng 68,90 đô la là ước tính của chúng ta về giá trị trên mỗi cổ phần trong Minh họa 13.3.</w:t>
      </w:r>
    </w:p>
    <w:p>
      <w:pPr>
        <w:pStyle w:val="Para 03"/>
      </w:pPr>
      <w:r>
        <w:t>Giá trị của cả tăng trưởng ổn định lẫn tăng trưởng phi thường tại P&amp;G đến từ giả định của chúng ta rằng P&amp;G có thể kiếm được tỷ suất sinh lời trên vốn chủ sở hữu là 20% trong năm năm tới và điều này thúc đẩy giá trị của tăng trưởng phi thường, và giả định rằng công ty sẽ kiếm được tỷ suất sinh lời trên vốn chủ sở hữu là 12% mãi mãi quyết định giá trị của tăng trưởng ổn định. Đặt các tỷ suất sinh lời trên vốn chủ sở hữu đó bằng với chi phí vốn chủ sở hữu sẽ khiến giá trị của tăng trưởng tan biến, và giả định các tỷ suất sinh lời trên vốn chủ sở hữu thấp hơn chi phí vốn chủ sở hữu sẽ mang lại giá trị âm cho tăng trưởng.</w:t>
      </w:r>
    </w:p>
    <w:p>
      <w:bookmarkStart w:id="2548" w:name="H_Model_for_Valuing_Growth__The"/>
      <w:bookmarkStart w:id="2549" w:name="H_Model_for_Valuing_Growth"/>
      <w:pPr>
        <w:keepNext/>
        <w:pStyle w:val="Heading 4"/>
        <w:keepLines w:val="on"/>
      </w:pPr>
      <w:r>
        <w:t>Mô hình H để Định giá Tăng trưởng</w:t>
      </w:r>
      <w:bookmarkEnd w:id="2548"/>
      <w:bookmarkEnd w:id="2549"/>
    </w:p>
    <w:p>
      <w:pPr>
        <w:pStyle w:val="Para 03"/>
      </w:pPr>
      <w:r>
        <w:t>Mô hình H là một mô hình hai giai đoạn cho tăng trưởng, nhưng không giống mô hình hai giai đoạn cổ điển, tốc độ tăng trưởng trong giai đoạn tăng trưởng ban đầu không phải là hằng số mà giảm tuyến tính theo thời gian để đạt đến tốc độ tăng trưởng ổn định ở trạng thái dừng. Mô hình này được trình bày trong Fuller và Hsia (1984).</w:t>
      </w:r>
    </w:p>
    <w:p>
      <w:bookmarkStart w:id="2550" w:name="The_Model__The_model_assumes_tha"/>
      <w:pPr>
        <w:pStyle w:val="Para 21"/>
      </w:pPr>
      <w:r>
        <w:t>Mô hình</w:t>
      </w:r>
      <w:bookmarkEnd w:id="2550"/>
    </w:p>
    <w:p>
      <w:pPr>
        <w:pStyle w:val="Para 03"/>
      </w:pPr>
      <w:r>
        <w:t>Mô hình giả định rằng tốc độ tăng trưởng thu nhập bắt đầu ở mức cao ban đầu (ga) và giảm dần theo đường thẳng trong suốt giai đoạn tăng trưởng phi thường (được giả định kéo dài 2H kỳ) cho đến khi đạt tốc độ tăng trưởng ổn định (gn). Mô hình cũng giả định rằng tỷ lệ chi trả cổ tức và chi phí vốn cổ phần không đổi theo thời gian và không bị ảnh hưởng bởi sự thay đổi của tốc độ tăng trưởng. Hình 14.4 vẽ đồ thị tăng trưởng kỳ vọng theo thời gian trong mô hình H.</w:t>
      </w:r>
    </w:p>
    <w:p>
      <w:bookmarkStart w:id="2553" w:name="Figure_14_4_Expected_Growth_in_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63800" cy="1054100"/>
            <wp:effectExtent l="0" r="0" t="0" b="0"/>
            <wp:wrapTopAndBottom/>
            <wp:docPr id="128" name="c14f003.png" descr="Illustration of H model depicts that extraordinary growth rate in initial phase declines linearly over time to reach the stable growth rate."/>
            <wp:cNvGraphicFramePr>
              <a:graphicFrameLocks noChangeAspect="1"/>
            </wp:cNvGraphicFramePr>
            <a:graphic>
              <a:graphicData uri="http://schemas.openxmlformats.org/drawingml/2006/picture">
                <pic:pic>
                  <pic:nvPicPr>
                    <pic:cNvPr id="0" name="c14f003.png" descr="Illustration of H model depicts that extraordinary growth rate in initial phase declines linearly over time to reach the stable growth rate."/>
                    <pic:cNvPicPr/>
                  </pic:nvPicPr>
                  <pic:blipFill>
                    <a:blip r:embed="rId96"/>
                    <a:stretch>
                      <a:fillRect/>
                    </a:stretch>
                  </pic:blipFill>
                  <pic:spPr>
                    <a:xfrm>
                      <a:off x="0" y="0"/>
                      <a:ext cx="2463800" cy="1054100"/>
                    </a:xfrm>
                    <a:prstGeom prst="rect">
                      <a:avLst/>
                    </a:prstGeom>
                  </pic:spPr>
                </pic:pic>
              </a:graphicData>
            </a:graphic>
          </wp:anchor>
        </w:drawing>
      </w:r>
      <w:bookmarkEnd w:id="2553"/>
    </w:p>
    <w:p>
      <w:pPr>
        <w:keepNext/>
        <w:pStyle w:val="Para 22"/>
        <w:keepLines w:val="on"/>
      </w:pPr>
      <w:r>
        <w:t>Hình 14.4 Tăng trưởng kỳ vọng trong mô hình H</w:t>
      </w:r>
    </w:p>
    <w:p>
      <w:pPr>
        <w:pStyle w:val="Para 03"/>
      </w:pPr>
      <w:r>
        <w:t>Giá trị cổ tức kỳ vọng trong mô hình H có thể được viết như sau:</w:t>
      </w:r>
    </w:p>
    <w:p>
      <w:bookmarkStart w:id="2554" w:name="Value_of_equity_DPS0_1_gn__ke"/>
      <w:pPr>
        <w:keepNext/>
        <w:pStyle w:val="Para 09"/>
        <w:keepLines w:val="on"/>
      </w:pPr>
      <w:r>
        <w:t>Giá trị vốn cổ phần=DPS0(1+gn)(ke−gn)+DPS0×H*(ga−gn)(ke−gn)</w:t>
      </w:r>
      <w:bookmarkEnd w:id="2554"/>
    </w:p>
    <w:p>
      <w:bookmarkStart w:id="2555" w:name="where___P0_Value_of_the_firm_now"/>
      <w:pPr>
        <w:pStyle w:val="Para 39"/>
      </w:pPr>
      <w:r>
        <w:t>trong đó P0=Giá trị hiện tại của doanh nghiệp trên mỗi cổ phầnDPSt=Cổ tức trên mỗi cổ phần (DPS) trong năm tke=Chi phí vốn cổ phầnga=Tốc độ tăng trưởng ban đầugn=Tốc độ tăng trưởng vào cuối 2H năm, áp dụng mãi mãi sau đó</w:t>
      </w:r>
      <w:bookmarkEnd w:id="2555"/>
    </w:p>
    <w:p>
      <w:bookmarkStart w:id="2556" w:name="Limitations__This_model_avoids_t"/>
      <w:pPr>
        <w:pStyle w:val="Para 21"/>
      </w:pPr>
      <w:r>
        <w:t>Hạn chế</w:t>
      </w:r>
      <w:bookmarkEnd w:id="2556"/>
    </w:p>
    <w:p>
      <w:pPr>
        <w:pStyle w:val="Para 03"/>
      </w:pPr>
      <w:r>
        <w:t>Mô hình này tránh được các vấn đề liên quan đến việc tốc độ tăng trưởng rơi thẳng đứng từ giai đoạn tăng trưởng cao xuống giai đoạn tăng trưởng ổn định, nhưng phải trả một cái giá. Thứ nhất, sự suy giảm của tốc độ tăng trưởng được kỳ vọng sẽ tuân theo cấu trúc chặt chẽ được đặt ra trong mô hình—nó giảm theo các bước tuyến tính mỗi năm dựa trên tốc độ tăng trưởng ban đầu, tốc độ tăng trưởng ổn định và độ dài của giai đoạn tăng trưởng phi thường. Mặc dù những sai lệch nhỏ so với giả định này không ảnh hưởng đáng kể đến giá trị, nhưng những sai lệch lớn có thể gây ra vấn đề. Thứ hai, giả định rằng tỷ lệ chi trả cổ tức không đổi qua cả hai giai đoạn tăng trưởng khiến mô hình bộc lộ một điểm không nhất quán—khi tốc độ tăng trưởng giảm xuống, tỷ lệ chi trả cổ tức thường tăng lên.</w:t>
      </w:r>
    </w:p>
    <w:p>
      <w:bookmarkStart w:id="2559" w:name="Model_Usage__The_allowance_for_a"/>
      <w:pPr>
        <w:pStyle w:val="Para 21"/>
      </w:pPr>
      <w:r>
        <w:t>Cách sử dụng mô hình</w:t>
      </w:r>
      <w:bookmarkEnd w:id="2559"/>
    </w:p>
    <w:p>
      <w:pPr>
        <w:pStyle w:val="Para 03"/>
      </w:pPr>
      <w:r>
        <w:t>Việc cho phép tốc độ tăng trưởng giảm dần theo thời gian có thể khiến đây trở thành một mô hình hữu ích cho những doanh nghiệp đang tăng trưởng nhanh hiện tại, nhưng tốc độ tăng trưởng được kỳ vọng sẽ giảm dần theo thời gian khi doanh nghiệp trở nên lớn hơn và lợi thế khác biệt mà họ có so với đối thủ cạnh tranh bị thu hẹp. Tuy nhiên, giả định rằng tỷ lệ chi trả cổ tức không đổi khiến mô hình này không phù hợp để sử dụng cho bất kỳ doanh nghiệp nào hiện đang có cổ tức thấp hoặc không có cổ tức. Do đó, bằng cách yêu cầu sự kết hợp giữa tăng trưởng cao và tỷ lệ chi trả cổ tức cao, mô hình có thể khá hạn chế3 về khả năng ứng dụng. Mô hình cũng vẫn phụ thuộc vào cổ tức, và trong phạm vi các công ty không chi trả cổ tức ở mức họ có thể chi trả, mô hình có thể đưa ra những ước tính không thực tế về giá trị vốn cổ phần.</w:t>
      </w:r>
    </w:p>
    <w:p>
      <w:pPr>
        <w:pStyle w:val="Para 11"/>
      </w:pPr>
      <w:r>
        <w:t xml:space="preserve"> </w:t>
      </w:r>
    </w:p>
    <w:p>
      <w:bookmarkStart w:id="2562" w:name="ILLUSTRATION_14_4__Valuing_with_1"/>
      <w:bookmarkStart w:id="2563" w:name="ILLUSTRATION_14_4__Valuing_with"/>
      <w:pPr>
        <w:keepNext/>
        <w:pStyle w:val="Para 19"/>
        <w:keepLines w:val="on"/>
      </w:pPr>
      <w:r>
        <w:t>MINH HỌA 14.4: Định giá bằng mô hình H: Vodafone</w:t>
      </w:r>
      <w:bookmarkEnd w:id="2562"/>
      <w:bookmarkEnd w:id="2563"/>
    </w:p>
    <w:p>
      <w:pPr>
        <w:pStyle w:val="Para 04"/>
        <w:keepLines w:val="on"/>
      </w:pPr>
      <w:r>
        <w:t>Vodafone, một công ty viễn thông có trụ sở tại Anh, đã chi trả cổ tức trên mỗi cổ phần là 9,8 pence trên thu nhập trên mỗi cổ phần là 16,1 pence vào năm 2010. Thu nhập trên mỗi cổ phần của công ty đã tăng trưởng ở mức 6% trong năm năm trước đó, nhưng tốc độ tăng trưởng được kỳ vọng sẽ giảm dần theo đường thẳng trong năm năm tới xuống còn 3%, trong khi tỷ lệ chi trả cổ tức không thay đổi. Beta của cổ phiếu là 1, lãi suất phi rủi ro tính bằng bảng Anh là 4% và phần bù rủi ro thị trường là 5%.</w:t>
      </w:r>
    </w:p>
    <w:p>
      <w:bookmarkStart w:id="2565" w:name="Cost_of_equity_4__1_0_5___9"/>
      <w:pPr>
        <w:keepNext/>
        <w:pStyle w:val="Para 07"/>
        <w:keepLines w:val="on"/>
      </w:pPr>
      <w:r>
        <w:t>Chi phí vốn cổ phần=4%+1,0(5%)=9%</w:t>
      </w:r>
      <w:bookmarkEnd w:id="2565"/>
    </w:p>
    <w:p>
      <w:pPr>
        <w:pStyle w:val="Para 04"/>
        <w:keepLines w:val="on"/>
      </w:pPr>
      <w:r>
        <w:t>Cổ phiếu có thể được định giá bằng mô hình H:</w:t>
      </w:r>
    </w:p>
    <w:p>
      <w:bookmarkStart w:id="2566" w:name="Value_of_stable_growth_9_8_1_03"/>
      <w:pPr>
        <w:keepNext/>
        <w:pStyle w:val="Para 07"/>
        <w:keepLines w:val="on"/>
      </w:pPr>
      <w:r>
        <w:t>Giá trị tăng trưởng ổn định=9,8(1,03)(,09−, 03)=168 pence</w:t>
      </w:r>
      <w:bookmarkEnd w:id="2566"/>
    </w:p>
    <w:p>
      <w:bookmarkStart w:id="2567" w:name="Value_of_high_growth_with_H_mode"/>
      <w:pPr>
        <w:keepNext/>
        <w:pStyle w:val="Para 07"/>
        <w:keepLines w:val="on"/>
      </w:pPr>
      <w:r>
        <w:t>Giá trị tăng trưởng cao với mô hình H=9,8 × 52× (,06−,03)(,09−,03)=12 pence</w:t>
      </w:r>
      <w:bookmarkEnd w:id="2567"/>
    </w:p>
    <w:p>
      <w:bookmarkStart w:id="2568" w:name="Value_of_stock_168_pence_12_penc"/>
      <w:pPr>
        <w:keepNext/>
        <w:pStyle w:val="Para 07"/>
        <w:keepLines w:val="on"/>
      </w:pPr>
      <w:r>
        <w:t>Giá trị cổ phiếu=168 pence+12 pence=180 pence</w:t>
      </w:r>
      <w:bookmarkEnd w:id="2568"/>
    </w:p>
    <w:p>
      <w:pPr>
        <w:pStyle w:val="Para 04"/>
        <w:keepLines w:val="on"/>
      </w:pPr>
      <w:r>
        <w:t>Cổ phiếu đang được giao dịch ở mức 173,3 pence vào tháng 5 năm 2011, khiến nó có phần bị định giá thấp.</w:t>
      </w:r>
    </w:p>
    <w:p>
      <w:pPr>
        <w:pStyle w:val="Para 11"/>
      </w:pPr>
      <w:r>
        <w:t xml:space="preserve"> </w:t>
      </w:r>
    </w:p>
    <w:p>
      <w:bookmarkStart w:id="2569" w:name="DDMH_xls__This_spreadsheet_allow"/>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29"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2569"/>
    </w:p>
    <w:p>
      <w:pPr>
        <w:pStyle w:val="Para 31"/>
        <w:keepLines w:val="on"/>
      </w:pPr>
      <w:r>
        <w:t>DDMH.xls: Bảng tính này cho phép bạn định giá một doanh nghiệp, với một giai đoạn ban đầu khi tăng trưởng cao giảm dần xuống tăng trưởng ổn định, sử dụng cổ tức kỳ vọng.</w:t>
      </w:r>
    </w:p>
    <w:p>
      <w:bookmarkStart w:id="2570" w:name="Generalized_Dividend_Discount_Mo"/>
      <w:bookmarkStart w:id="2571" w:name="Generalized_Dividend_Discount_Mo_1"/>
      <w:pPr>
        <w:keepNext/>
        <w:pStyle w:val="Heading 4"/>
        <w:keepLines w:val="on"/>
      </w:pPr>
      <w:r>
        <w:t>Mô hình chiết khấu cổ tức tổng quát hóa</w:t>
      </w:r>
      <w:bookmarkEnd w:id="2570"/>
      <w:bookmarkEnd w:id="2571"/>
    </w:p>
    <w:p>
      <w:pPr>
        <w:pStyle w:val="Para 03"/>
      </w:pPr>
      <w:r>
        <w:t>Mô hình chiết khấu cổ tức ba giai đoạn kết hợp các đặc điểm của mô hình hai giai đoạn và mô hình H. Nó cho phép một giai đoạn ban đầu tăng trưởng cao, một giai đoạn chuyển tiếp khi tăng trưởng giảm xuống, và một giai đoạn tăng trưởng ổn định cuối cùng. Đây là mô hình tổng quát nhất trong các mô hình vì nó không áp đặt bất kỳ hạn chế nào lên tỷ lệ chi trả cổ tức.</w:t>
      </w:r>
    </w:p>
    <w:p>
      <w:pPr>
        <w:pStyle w:val="Para 20"/>
      </w:pPr>
      <w:r>
        <w:rPr>
          <w:rStyle w:val="Text26"/>
        </w:rPr>
        <w:bookmarkStart w:id="2572" w:name="Page_401"/>
        <w:t/>
        <w:bookmarkEnd w:id="2572"/>
      </w:r>
      <w:r>
        <w:t xml:space="preserve"> </w:t>
      </w:r>
    </w:p>
    <w:p>
      <w:bookmarkStart w:id="2573" w:name="The_Model__This_model_assumes_an"/>
      <w:pPr>
        <w:pStyle w:val="Para 21"/>
      </w:pPr>
      <w:r>
        <w:t>Mô hình</w:t>
      </w:r>
      <w:bookmarkEnd w:id="2573"/>
    </w:p>
    <w:p>
      <w:pPr>
        <w:pStyle w:val="Para 03"/>
      </w:pPr>
      <w:r>
        <w:t>Mô hình này giả định một giai đoạn ban đầu tăng trưởng cao ổn định, một giai đoạn chuyển tiếp, và một giai đoạn thứ ba tăng trưởng thấp ổn định kéo dài mãi mãi. Hình 14.5 vẽ đồ thị tăng trưởng kỳ vọng qua ba giai đoạn thời gian.</w:t>
      </w:r>
    </w:p>
    <w:p>
      <w:bookmarkStart w:id="2576" w:name="Figure_14_5_Expected_Growth_in_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84400" cy="1524000"/>
            <wp:effectExtent l="0" r="0" t="0" b="0"/>
            <wp:wrapTopAndBottom/>
            <wp:docPr id="130" name="c14f004.png" descr="Illustration depicts expected growth over 3 time periods (high growth, transition period, stable growth) with its respective pay-out ratios."/>
            <wp:cNvGraphicFramePr>
              <a:graphicFrameLocks noChangeAspect="1"/>
            </wp:cNvGraphicFramePr>
            <a:graphic>
              <a:graphicData uri="http://schemas.openxmlformats.org/drawingml/2006/picture">
                <pic:pic>
                  <pic:nvPicPr>
                    <pic:cNvPr id="0" name="c14f004.png" descr="Illustration depicts expected growth over 3 time periods (high growth, transition period, stable growth) with its respective pay-out ratios."/>
                    <pic:cNvPicPr/>
                  </pic:nvPicPr>
                  <pic:blipFill>
                    <a:blip r:embed="rId97"/>
                    <a:stretch>
                      <a:fillRect/>
                    </a:stretch>
                  </pic:blipFill>
                  <pic:spPr>
                    <a:xfrm>
                      <a:off x="0" y="0"/>
                      <a:ext cx="2184400" cy="1524000"/>
                    </a:xfrm>
                    <a:prstGeom prst="rect">
                      <a:avLst/>
                    </a:prstGeom>
                  </pic:spPr>
                </pic:pic>
              </a:graphicData>
            </a:graphic>
          </wp:anchor>
        </w:drawing>
      </w:r>
      <w:bookmarkEnd w:id="2576"/>
    </w:p>
    <w:p>
      <w:pPr>
        <w:keepNext/>
        <w:pStyle w:val="Para 22"/>
        <w:keepLines w:val="on"/>
      </w:pPr>
      <w:r>
        <w:t>Hình 14.5 Tăng trưởng kỳ vọng trong mô hình chiết khấu cổ tức ba giai đoạn</w:t>
      </w:r>
    </w:p>
    <w:p>
      <w:pPr>
        <w:pStyle w:val="Para 03"/>
      </w:pPr>
      <w:r>
        <w:t>Giá trị của cổ phiếu sau đó là giá trị hiện tại của cổ tức kỳ vọng trong giai đoạn tăng trưởng cao và giai đoạn chuyển tiếp, và của giá trị cuối kỳ tại thời điểm bắt đầu giai đoạn tăng trưởng ổn định cuối cùng.</w:t>
      </w:r>
    </w:p>
    <w:p>
      <w:bookmarkStart w:id="2577" w:name="Value_of_equity_PV_of_expected_d"/>
      <w:pPr>
        <w:keepNext/>
        <w:pStyle w:val="Para 09"/>
        <w:keepLines w:val="on"/>
      </w:pPr>
      <w:r>
        <w:t>Giá trị vốn chủ sở hữu = PV của cổ tức kỳ vọng trong giai đoạn tăng trưởng cao + PV của cổ tức kỳ vọng trong giai đoạn chuyển tiếp + PV của giá trị cuối kỳ của vốn chủ sở hữu</w:t>
      </w:r>
      <w:bookmarkEnd w:id="2577"/>
    </w:p>
    <w:p>
      <w:pPr>
        <w:pStyle w:val="Para 03"/>
      </w:pPr>
      <w:r>
        <w:t>Thành phần then chốt trong mô hình chiết khấu cổ tức ba giai đoạn hoặc đa giai đoạn là phải giữ tính nhất quán, điều chỉnh tỷ suất sinh lời trên vốn chủ sở hữu (return on equity), chi phí vốn chủ sở hữu (cost of equity) và tỷ lệ chi trả cổ tức (payout ratio) khi tốc độ tăng trưởng thay đổi.</w:t>
      </w:r>
    </w:p>
    <w:p>
      <w:bookmarkStart w:id="2578" w:name="Assumptions__This_model_removes"/>
      <w:pPr>
        <w:pStyle w:val="Para 21"/>
      </w:pPr>
      <w:r>
        <w:t>Các giả định</w:t>
      </w:r>
      <w:bookmarkEnd w:id="2578"/>
    </w:p>
    <w:p>
      <w:pPr>
        <w:pStyle w:val="Para 03"/>
      </w:pPr>
      <w:r>
        <w:t>Mô hình này loại bỏ nhiều ràng buộc mà các phiên bản khác của mô hình chiết khấu cổ tức áp đặt. Đổi lại, nó đòi hỏi số lượng đầu vào lớn hơn nhiều — tỷ lệ chi trả cổ tức, tốc độ tăng trưởng và beta theo từng năm cụ thể. Nó cũng có thể được dùng để định giá các công ty được kỳ vọng tăng trưởng ở mức cao⁴, trước khi chuyển tiếp qua một giai đoạn (thay vì chuyển ngay lập tức) sang tăng trưởng ổn định.</w:t>
      </w:r>
    </w:p>
    <w:p>
      <w:pPr>
        <w:pStyle w:val="Para 20"/>
      </w:pPr>
      <w:r>
        <w:rPr>
          <w:rStyle w:val="Text26"/>
        </w:rPr>
        <w:bookmarkStart w:id="2581" w:name="Page_402"/>
        <w:t/>
        <w:bookmarkEnd w:id="2581"/>
      </w:r>
      <w:r>
        <w:t xml:space="preserve"> </w:t>
      </w:r>
    </w:p>
    <w:p>
      <w:bookmarkStart w:id="2582" w:name="Model_Usage__This_model_s_flexib"/>
      <w:pPr>
        <w:pStyle w:val="Para 21"/>
      </w:pPr>
      <w:r>
        <w:t>Cách sử dụng mô hình</w:t>
      </w:r>
      <w:bookmarkEnd w:id="2582"/>
    </w:p>
    <w:p>
      <w:pPr>
        <w:pStyle w:val="Para 03"/>
      </w:pPr>
      <w:r>
        <w:t>Tính linh hoạt của mô hình này khiến nó trở thành công cụ hữu ích cho bất kỳ công ty nào, ngoài việc thay đổi tăng trưởng theo thời gian, còn được kỳ vọng sẽ thay đổi ở các khía cạnh khác — đặc biệt là chính sách chi trả cổ tức và rủi ro. Thực tế, nó thậm chí có thể được dùng để định giá các công ty hiện không trả cổ tức, vì tỷ lệ chi trả cổ tức có thể bằng không trong giai đoạn tăng trưởng cao, và giá trị vốn chủ sở hữu đến từ cổ tức kỳ vọng trong giai đoạn chuyển tiếp và giá trị cuối kỳ của vốn chủ sở hữu.</w:t>
      </w:r>
    </w:p>
    <w:p>
      <w:pPr>
        <w:pStyle w:val="Para 03"/>
      </w:pPr>
      <w:r>
        <w:t>Trong khi tính linh hoạt mà mô hình mang lại là một điểm cộng, trọng tâm của nó vẫn là cổ tức được chi trả, chứ không phải số tiền mà công ty có khả năng chi trả. Do đó, những công ty giữ lại tiền mặt và trả cổ tức quá ít sẽ bị mô hình này định giá thấp, còn những công ty hoàn trả nhiều tiền mặt hơn khả năng chi trả sẽ bị định giá quá cao.</w:t>
      </w:r>
    </w:p>
    <w:p>
      <w:pPr>
        <w:pStyle w:val="Para 11"/>
      </w:pPr>
      <w:r>
        <w:t xml:space="preserve"> </w:t>
      </w:r>
    </w:p>
    <w:p>
      <w:bookmarkStart w:id="2584" w:name="ILLUSTRATION_14_5__Valuing_JP_Mo"/>
      <w:bookmarkStart w:id="2585" w:name="ILLUSTRATION_14_5__Valuing_JP_Mo_1"/>
      <w:pPr>
        <w:keepNext/>
        <w:pStyle w:val="Para 19"/>
        <w:keepLines w:val="on"/>
      </w:pPr>
      <w:r>
        <w:t>MINH HỌA 14.5: Định giá JP Morgan bằng Mô hình Chiết khấu Cổ tức Ba giai đoạn</w:t>
      </w:r>
      <w:bookmarkEnd w:id="2584"/>
      <w:bookmarkEnd w:id="2585"/>
    </w:p>
    <w:p>
      <w:pPr>
        <w:pStyle w:val="Para 04"/>
        <w:keepLines w:val="on"/>
      </w:pPr>
      <w:r>
        <w:t>Để định giá JP Morgan Chase vào tháng 5 năm 2024, chúng tôi đã sử dụng mô hình chiết khấu cổ tức ba giai đoạn, một phần vì chúng tôi kỳ vọng công ty sẽ duy trì tốc độ tăng trưởng cao hơn nền kinh tế trong vài năm tới. Quan trọng hơn, nhiều yếu tố đầu vào để ước tính dòng tiền (cho vốn chủ sở hữu hoặc cho công ty) không có sẵn đối với các ngân hàng, khiến chúng tôi buộc phải dùng cổ tức vì không còn lựa chọn nào khác.</w:t>
      </w:r>
    </w:p>
    <w:p>
      <w:pPr>
        <w:pStyle w:val="Para 04"/>
        <w:keepLines w:val="on"/>
      </w:pPr>
      <w:r>
        <w:t>Năm 2023, công ty báo cáo thu nhập ròng là 49.552 triệu đô la và chi trả 13.463 triệu đô la cổ tức, cho ra tỷ lệ chi trả cổ tức là 27,17%:</w:t>
      </w:r>
    </w:p>
    <w:p>
      <w:bookmarkStart w:id="2587" w:name="Payout_ratio_13_46349_552_27_17"/>
      <w:pPr>
        <w:keepNext/>
        <w:pStyle w:val="Para 07"/>
        <w:keepLines w:val="on"/>
      </w:pPr>
      <w:r>
        <w:t>Tỷ lệ chi trả cổ tức = 13.463 / 49.552 = 27,17%</w:t>
      </w:r>
      <w:bookmarkEnd w:id="2587"/>
    </w:p>
    <w:p>
      <w:pPr>
        <w:pStyle w:val="Para 04"/>
        <w:keepLines w:val="on"/>
      </w:pPr>
      <w:r>
        <w:t>Dựa trên giá trị sổ sách của vốn chủ sở hữu là 292.332 triệu đô la vào đầu năm 2023, công ty đạt tỷ suất sinh lời trên vốn chủ sở hữu là 16,95%:</w:t>
      </w:r>
    </w:p>
    <w:p>
      <w:bookmarkStart w:id="2588" w:name="Return_on_equity_49_552292_332_1"/>
      <w:pPr>
        <w:keepNext/>
        <w:pStyle w:val="Para 07"/>
        <w:keepLines w:val="on"/>
      </w:pPr>
      <w:r>
        <w:t>Tỷ suất sinh lời trên vốn chủ sở hữu = 49.552 / 292.332 = 16,95%</w:t>
      </w:r>
      <w:bookmarkEnd w:id="2588"/>
    </w:p>
    <w:p>
      <w:pPr>
        <w:pStyle w:val="Para 04"/>
        <w:keepLines w:val="on"/>
      </w:pPr>
      <w:r>
        <w:t>Để ước tính tốc độ tăng trưởng kỳ vọng, chúng tôi giả định rằng công ty sẽ có thể duy trì tỷ suất sinh lời trên vốn chủ sở hữu và tỷ lệ giữ lại hiện tại, ít nhất là trong năm năm tới:</w:t>
      </w:r>
    </w:p>
    <w:p>
      <w:bookmarkStart w:id="2589" w:name="Expected_growth_rate_in_net_inco"/>
      <w:pPr>
        <w:keepNext/>
        <w:pStyle w:val="Para 07"/>
        <w:keepLines w:val="on"/>
      </w:pPr>
      <w:r>
        <w:t>Tốc độ tăng trưởng kỳ vọng của thu nhập ròng trong 5 năm tới = 0,1695 × (1 − 0,2717) = 12,35%</w:t>
      </w:r>
      <w:bookmarkEnd w:id="2589"/>
    </w:p>
    <w:p>
      <w:pPr>
        <w:pStyle w:val="Para 04"/>
        <w:keepLines w:val="on"/>
      </w:pPr>
      <w:r>
        <w:t>Trong giai đoạn tăng trưởng cao này, chúng tôi ước tính chi phí vốn chủ sở hữu cho JP Morgan Chase, dựa trên beta là 1,06 (beta trung bình của các ngân hàng trung tâm tiền tệ), lãi suất trái phiếu kho bạc Mỹ vào tháng 5 năm 2024 là 4,5% và phần bù rủi ro vốn chủ sở hữu là 5,17% (với phần bù được điều chỉnh tăng để phản ánh mức độ hiện diện của JP Morgan tại các thị trường nước ngoài).</w:t>
      </w:r>
    </w:p>
    <w:p>
      <w:bookmarkStart w:id="2590" w:name="Cost_of_equity_4_5__1_06_5_17"/>
      <w:pPr>
        <w:keepNext/>
        <w:pStyle w:val="Para 07"/>
        <w:keepLines w:val="on"/>
      </w:pPr>
      <w:r>
        <w:t>Chi phí vốn chủ sở hữu = 4,5% + 1,06 × (5,17%) = 9,98%</w:t>
      </w:r>
      <w:bookmarkEnd w:id="2590"/>
    </w:p>
    <w:p>
      <w:pPr>
        <w:pStyle w:val="Para 04"/>
        <w:keepLines w:val="on"/>
      </w:pPr>
      <w:r>
        <w:t>Cổ tức kỳ vọng trong 5 năm tới được thể hiện trong Bảng 14.2, với giá trị hiện tại được tính bằng chi phí vốn chủ sở hữu</w:t>
      </w:r>
    </w:p>
    <w:p>
      <w:pPr>
        <w:pStyle w:val="Para 25"/>
        <w:keepLines w:val="on"/>
      </w:pPr>
      <w:r>
        <w:t>Bảng 14.2</w:t>
      </w:r>
    </w:p>
    <w:p>
      <w:pPr>
        <w:keepNext/>
        <w:pStyle w:val="Para 24"/>
        <w:keepLines w:val="on"/>
      </w:pPr>
      <w:r>
        <w:t>Cổ tức kỳ vọng và Giá trị hiện tại trong giai đoạn Tăng trưởng cao — JP Morgan Chase</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Para 06"/>
                    <w:keepLines w:val="on"/>
                  </w:pPr>
                  <w:r>
                    <w:t>12,35%</w:t>
                  </w:r>
                </w:p>
              </w:tc>
              <w:tc>
                <w:tcPr>
                  <w:tcW w:type="auto" w:w="0"/>
                  <w:shd w:val="clear" w:color="auto" w:fill="F0F0F0"/>
                </w:tcPr>
                <w:p>
                  <w:pPr>
                    <w:pStyle w:val="Para 06"/>
                    <w:keepLines w:val="on"/>
                  </w:pPr>
                  <w:r>
                    <w:t>12,35%</w:t>
                  </w:r>
                </w:p>
              </w:tc>
              <w:tc>
                <w:tcPr>
                  <w:tcW w:type="auto" w:w="0"/>
                  <w:shd w:val="clear" w:color="auto" w:fill="F0F0F0"/>
                </w:tcPr>
                <w:p>
                  <w:pPr>
                    <w:pStyle w:val="Para 06"/>
                    <w:keepLines w:val="on"/>
                  </w:pPr>
                  <w:r>
                    <w:t>12,35%</w:t>
                  </w:r>
                </w:p>
              </w:tc>
              <w:tc>
                <w:tcPr>
                  <w:tcW w:type="auto" w:w="0"/>
                  <w:shd w:val="clear" w:color="auto" w:fill="F0F0F0"/>
                </w:tcPr>
                <w:p>
                  <w:pPr>
                    <w:pStyle w:val="Para 06"/>
                    <w:keepLines w:val="on"/>
                  </w:pPr>
                  <w:r>
                    <w:t>12,35%</w:t>
                  </w:r>
                </w:p>
              </w:tc>
              <w:tc>
                <w:tcPr>
                  <w:tcW w:type="auto" w:w="0"/>
                  <w:shd w:val="clear" w:color="auto" w:fill="F0F0F0"/>
                </w:tcPr>
                <w:p>
                  <w:pPr>
                    <w:pStyle w:val="Para 06"/>
                    <w:keepLines w:val="on"/>
                  </w:pPr>
                  <w:r>
                    <w:t>12,35%</w:t>
                  </w:r>
                </w:p>
              </w:tc>
            </w:tr>
            <w:tr>
              <w:tc>
                <w:tcPr>
                  <w:tcW w:type="auto" w:w="0"/>
                  <w:shd w:val="clear" w:color="auto" w:fill="F0F0F0"/>
                </w:tcPr>
                <w:p>
                  <w:pPr>
                    <w:pStyle w:val="Para 02"/>
                    <w:keepLines w:val="on"/>
                  </w:pPr>
                  <w:r>
                    <w:t>Tỷ suất sinh lợi trên vốn chủ sở hữu</w:t>
                  </w:r>
                </w:p>
              </w:tc>
              <w:tc>
                <w:tcPr>
                  <w:tcW w:type="auto" w:w="0"/>
                  <w:shd w:val="clear" w:color="auto" w:fill="F0F0F0"/>
                </w:tcPr>
                <w:p>
                  <w:pPr>
                    <w:pStyle w:val="Para 06"/>
                    <w:keepLines w:val="on"/>
                  </w:pPr>
                  <w:r>
                    <w:t>16,95%</w:t>
                  </w:r>
                </w:p>
              </w:tc>
              <w:tc>
                <w:tcPr>
                  <w:tcW w:type="auto" w:w="0"/>
                  <w:shd w:val="clear" w:color="auto" w:fill="F0F0F0"/>
                </w:tcPr>
                <w:p>
                  <w:pPr>
                    <w:pStyle w:val="Para 06"/>
                    <w:keepLines w:val="on"/>
                  </w:pPr>
                  <w:r>
                    <w:t>16,95%</w:t>
                  </w:r>
                </w:p>
              </w:tc>
              <w:tc>
                <w:tcPr>
                  <w:tcW w:type="auto" w:w="0"/>
                  <w:shd w:val="clear" w:color="auto" w:fill="F0F0F0"/>
                </w:tcPr>
                <w:p>
                  <w:pPr>
                    <w:pStyle w:val="Para 06"/>
                    <w:keepLines w:val="on"/>
                  </w:pPr>
                  <w:r>
                    <w:t>16,95%</w:t>
                  </w:r>
                </w:p>
              </w:tc>
              <w:tc>
                <w:tcPr>
                  <w:tcW w:type="auto" w:w="0"/>
                  <w:shd w:val="clear" w:color="auto" w:fill="F0F0F0"/>
                </w:tcPr>
                <w:p>
                  <w:pPr>
                    <w:pStyle w:val="Para 06"/>
                    <w:keepLines w:val="on"/>
                  </w:pPr>
                  <w:r>
                    <w:t>16,95%</w:t>
                  </w:r>
                </w:p>
              </w:tc>
              <w:tc>
                <w:tcPr>
                  <w:tcW w:type="auto" w:w="0"/>
                  <w:shd w:val="clear" w:color="auto" w:fill="F0F0F0"/>
                </w:tcPr>
                <w:p>
                  <w:pPr>
                    <w:pStyle w:val="Para 06"/>
                    <w:keepLines w:val="on"/>
                  </w:pPr>
                  <w:r>
                    <w:t>16,95%</w:t>
                  </w:r>
                </w:p>
              </w:tc>
            </w:tr>
            <w:tr>
              <w:tc>
                <w:tcPr>
                  <w:tcW w:type="auto" w:w="0"/>
                  <w:shd w:val="clear" w:color="auto" w:fill="F0F0F0"/>
                </w:tcPr>
                <w:p>
                  <w:pPr>
                    <w:pStyle w:val="Para 02"/>
                    <w:keepLines w:val="on"/>
                  </w:pPr>
                  <w:r>
                    <w:t>Thu nhập ròng</w:t>
                  </w:r>
                </w:p>
              </w:tc>
              <w:tc>
                <w:tcPr>
                  <w:tcW w:type="auto" w:w="0"/>
                  <w:shd w:val="clear" w:color="auto" w:fill="F0F0F0"/>
                </w:tcPr>
                <w:p>
                  <w:pPr>
                    <w:pStyle w:val="Para 06"/>
                    <w:keepLines w:val="on"/>
                  </w:pPr>
                  <w:r>
                    <w:t>$49.552</w:t>
                  </w:r>
                </w:p>
              </w:tc>
              <w:tc>
                <w:tcPr>
                  <w:tcW w:type="auto" w:w="0"/>
                  <w:shd w:val="clear" w:color="auto" w:fill="F0F0F0"/>
                </w:tcPr>
                <w:p>
                  <w:pPr>
                    <w:pStyle w:val="Para 06"/>
                    <w:keepLines w:val="on"/>
                  </w:pPr>
                  <w:r>
                    <w:t>$55.669</w:t>
                  </w:r>
                </w:p>
              </w:tc>
              <w:tc>
                <w:tcPr>
                  <w:tcW w:type="auto" w:w="0"/>
                  <w:shd w:val="clear" w:color="auto" w:fill="F0F0F0"/>
                </w:tcPr>
                <w:p>
                  <w:pPr>
                    <w:pStyle w:val="Para 06"/>
                    <w:keepLines w:val="on"/>
                  </w:pPr>
                  <w:r>
                    <w:t>$62.542</w:t>
                  </w:r>
                </w:p>
              </w:tc>
              <w:tc>
                <w:tcPr>
                  <w:tcW w:type="auto" w:w="0"/>
                  <w:shd w:val="clear" w:color="auto" w:fill="F0F0F0"/>
                </w:tcPr>
                <w:p>
                  <w:pPr>
                    <w:pStyle w:val="Para 06"/>
                    <w:keepLines w:val="on"/>
                  </w:pPr>
                  <w:r>
                    <w:t>$70.263</w:t>
                  </w:r>
                </w:p>
              </w:tc>
              <w:tc>
                <w:tcPr>
                  <w:tcW w:type="auto" w:w="0"/>
                  <w:shd w:val="clear" w:color="auto" w:fill="F0F0F0"/>
                </w:tcPr>
                <w:p>
                  <w:pPr>
                    <w:pStyle w:val="Para 06"/>
                    <w:keepLines w:val="on"/>
                  </w:pPr>
                  <w:r>
                    <w:t>$78.937</w:t>
                  </w:r>
                </w:p>
              </w:tc>
            </w:tr>
            <w:tr>
              <w:tc>
                <w:tcPr>
                  <w:tcW w:type="auto" w:w="0"/>
                  <w:shd w:val="clear" w:color="auto" w:fill="F0F0F0"/>
                </w:tcPr>
                <w:p>
                  <w:pPr>
                    <w:pStyle w:val="Para 02"/>
                    <w:keepLines w:val="on"/>
                  </w:pPr>
                  <w:r>
                    <w:t>Tỷ lệ chi trả cổ tức</w:t>
                  </w:r>
                </w:p>
              </w:tc>
              <w:tc>
                <w:tcPr>
                  <w:tcW w:type="auto" w:w="0"/>
                  <w:shd w:val="clear" w:color="auto" w:fill="F0F0F0"/>
                </w:tcPr>
                <w:p>
                  <w:pPr>
                    <w:pStyle w:val="Para 06"/>
                    <w:keepLines w:val="on"/>
                  </w:pPr>
                  <w:r>
                    <w:t>27,17%</w:t>
                  </w:r>
                </w:p>
              </w:tc>
              <w:tc>
                <w:tcPr>
                  <w:tcW w:type="auto" w:w="0"/>
                  <w:shd w:val="clear" w:color="auto" w:fill="F0F0F0"/>
                </w:tcPr>
                <w:p>
                  <w:pPr>
                    <w:pStyle w:val="Para 06"/>
                    <w:keepLines w:val="on"/>
                  </w:pPr>
                  <w:r>
                    <w:t>27,17%</w:t>
                  </w:r>
                </w:p>
              </w:tc>
              <w:tc>
                <w:tcPr>
                  <w:tcW w:type="auto" w:w="0"/>
                  <w:shd w:val="clear" w:color="auto" w:fill="F0F0F0"/>
                </w:tcPr>
                <w:p>
                  <w:pPr>
                    <w:pStyle w:val="Para 06"/>
                    <w:keepLines w:val="on"/>
                  </w:pPr>
                  <w:r>
                    <w:t>27,17%</w:t>
                  </w:r>
                </w:p>
              </w:tc>
              <w:tc>
                <w:tcPr>
                  <w:tcW w:type="auto" w:w="0"/>
                  <w:shd w:val="clear" w:color="auto" w:fill="F0F0F0"/>
                </w:tcPr>
                <w:p>
                  <w:pPr>
                    <w:pStyle w:val="Para 06"/>
                    <w:keepLines w:val="on"/>
                  </w:pPr>
                  <w:r>
                    <w:t>27,17%</w:t>
                  </w:r>
                </w:p>
              </w:tc>
              <w:tc>
                <w:tcPr>
                  <w:tcW w:type="auto" w:w="0"/>
                  <w:shd w:val="clear" w:color="auto" w:fill="F0F0F0"/>
                </w:tcPr>
                <w:p>
                  <w:pPr>
                    <w:pStyle w:val="Para 06"/>
                    <w:keepLines w:val="on"/>
                  </w:pPr>
                  <w:r>
                    <w:t>27,17%</w:t>
                  </w:r>
                </w:p>
              </w:tc>
            </w:tr>
            <w:tr>
              <w:tc>
                <w:tcPr>
                  <w:tcW w:type="auto" w:w="0"/>
                  <w:shd w:val="clear" w:color="auto" w:fill="F0F0F0"/>
                </w:tcPr>
                <w:p>
                  <w:pPr>
                    <w:pStyle w:val="Para 02"/>
                    <w:keepLines w:val="on"/>
                  </w:pPr>
                  <w:r>
                    <w:t>Cổ tức</w:t>
                  </w:r>
                </w:p>
              </w:tc>
              <w:tc>
                <w:tcPr>
                  <w:tcW w:type="auto" w:w="0"/>
                  <w:shd w:val="clear" w:color="auto" w:fill="F0F0F0"/>
                </w:tcPr>
                <w:p>
                  <w:pPr>
                    <w:pStyle w:val="Para 06"/>
                    <w:keepLines w:val="on"/>
                  </w:pPr>
                  <w:r>
                    <w:t>$13,463</w:t>
                  </w:r>
                </w:p>
              </w:tc>
              <w:tc>
                <w:tcPr>
                  <w:tcW w:type="auto" w:w="0"/>
                  <w:shd w:val="clear" w:color="auto" w:fill="F0F0F0"/>
                </w:tcPr>
                <w:p>
                  <w:pPr>
                    <w:pStyle w:val="Para 06"/>
                    <w:keepLines w:val="on"/>
                  </w:pPr>
                  <w:r>
                    <w:t>$15,125</w:t>
                  </w:r>
                </w:p>
              </w:tc>
              <w:tc>
                <w:tcPr>
                  <w:tcW w:type="auto" w:w="0"/>
                  <w:shd w:val="clear" w:color="auto" w:fill="F0F0F0"/>
                </w:tcPr>
                <w:p>
                  <w:pPr>
                    <w:pStyle w:val="Para 06"/>
                    <w:keepLines w:val="on"/>
                  </w:pPr>
                  <w:r>
                    <w:t>$16,992</w:t>
                  </w:r>
                </w:p>
              </w:tc>
              <w:tc>
                <w:tcPr>
                  <w:tcW w:type="auto" w:w="0"/>
                  <w:shd w:val="clear" w:color="auto" w:fill="F0F0F0"/>
                </w:tcPr>
                <w:p>
                  <w:pPr>
                    <w:pStyle w:val="Para 06"/>
                    <w:keepLines w:val="on"/>
                  </w:pPr>
                  <w:r>
                    <w:t>$19,090</w:t>
                  </w:r>
                </w:p>
              </w:tc>
              <w:tc>
                <w:tcPr>
                  <w:tcW w:type="auto" w:w="0"/>
                  <w:shd w:val="clear" w:color="auto" w:fill="F0F0F0"/>
                </w:tcPr>
                <w:p>
                  <w:pPr>
                    <w:pStyle w:val="Para 06"/>
                    <w:keepLines w:val="on"/>
                  </w:pPr>
                  <w:r>
                    <w:t>$21,447</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Para 06"/>
                    <w:keepLines w:val="on"/>
                  </w:pPr>
                  <w:r>
                    <w:t>9,98%</w:t>
                  </w:r>
                </w:p>
              </w:tc>
              <w:tc>
                <w:tcPr>
                  <w:tcW w:type="auto" w:w="0"/>
                  <w:shd w:val="clear" w:color="auto" w:fill="F0F0F0"/>
                </w:tcPr>
                <w:p>
                  <w:pPr>
                    <w:pStyle w:val="Para 06"/>
                    <w:keepLines w:val="on"/>
                  </w:pPr>
                  <w:r>
                    <w:t>9,98%</w:t>
                  </w:r>
                </w:p>
              </w:tc>
              <w:tc>
                <w:tcPr>
                  <w:tcW w:type="auto" w:w="0"/>
                  <w:shd w:val="clear" w:color="auto" w:fill="F0F0F0"/>
                </w:tcPr>
                <w:p>
                  <w:pPr>
                    <w:pStyle w:val="Para 06"/>
                    <w:keepLines w:val="on"/>
                  </w:pPr>
                  <w:r>
                    <w:t>9,98%</w:t>
                  </w:r>
                </w:p>
              </w:tc>
              <w:tc>
                <w:tcPr>
                  <w:tcW w:type="auto" w:w="0"/>
                  <w:shd w:val="clear" w:color="auto" w:fill="F0F0F0"/>
                </w:tcPr>
                <w:p>
                  <w:pPr>
                    <w:pStyle w:val="Para 06"/>
                    <w:keepLines w:val="on"/>
                  </w:pPr>
                  <w:r>
                    <w:t>9,98%</w:t>
                  </w:r>
                </w:p>
              </w:tc>
              <w:tc>
                <w:tcPr>
                  <w:tcW w:type="auto" w:w="0"/>
                  <w:shd w:val="clear" w:color="auto" w:fill="F0F0F0"/>
                </w:tcPr>
                <w:p>
                  <w:pPr>
                    <w:pStyle w:val="Para 06"/>
                    <w:keepLines w:val="on"/>
                  </w:pPr>
                  <w:r>
                    <w:t>9,98%</w:t>
                  </w:r>
                </w:p>
              </w:tc>
            </w:tr>
            <w:tr>
              <w:tc>
                <w:tcPr>
                  <w:tcW w:type="auto" w:w="0"/>
                  <w:shd w:val="clear" w:color="auto" w:fill="F0F0F0"/>
                </w:tcPr>
                <w:p>
                  <w:pPr>
                    <w:pStyle w:val="Para 02"/>
                    <w:keepLines w:val="on"/>
                  </w:pPr>
                  <w:r>
                    <w:t>Chi phí vốn chủ sở hữu lũy kế</w:t>
                  </w:r>
                </w:p>
              </w:tc>
              <w:tc>
                <w:tcPr>
                  <w:tcW w:type="auto" w:w="0"/>
                  <w:shd w:val="clear" w:color="auto" w:fill="F0F0F0"/>
                </w:tcPr>
                <w:p>
                  <w:pPr>
                    <w:pStyle w:val="Para 06"/>
                    <w:keepLines w:val="on"/>
                  </w:pPr>
                  <w:r>
                    <w:t>1,0998</w:t>
                  </w:r>
                </w:p>
              </w:tc>
              <w:tc>
                <w:tcPr>
                  <w:tcW w:type="auto" w:w="0"/>
                  <w:shd w:val="clear" w:color="auto" w:fill="F0F0F0"/>
                </w:tcPr>
                <w:p>
                  <w:pPr>
                    <w:pStyle w:val="Para 06"/>
                    <w:keepLines w:val="on"/>
                  </w:pPr>
                  <w:r>
                    <w:t>1,2096</w:t>
                  </w:r>
                </w:p>
              </w:tc>
              <w:tc>
                <w:tcPr>
                  <w:tcW w:type="auto" w:w="0"/>
                  <w:shd w:val="clear" w:color="auto" w:fill="F0F0F0"/>
                </w:tcPr>
                <w:p>
                  <w:pPr>
                    <w:pStyle w:val="Para 06"/>
                    <w:keepLines w:val="on"/>
                  </w:pPr>
                  <w:r>
                    <w:t>1,3303</w:t>
                  </w:r>
                </w:p>
              </w:tc>
              <w:tc>
                <w:tcPr>
                  <w:tcW w:type="auto" w:w="0"/>
                  <w:shd w:val="clear" w:color="auto" w:fill="F0F0F0"/>
                </w:tcPr>
                <w:p>
                  <w:pPr>
                    <w:pStyle w:val="Para 06"/>
                    <w:keepLines w:val="on"/>
                  </w:pPr>
                  <w:r>
                    <w:t>1,4631</w:t>
                  </w:r>
                </w:p>
              </w:tc>
              <w:tc>
                <w:tcPr>
                  <w:tcW w:type="auto" w:w="0"/>
                  <w:shd w:val="clear" w:color="auto" w:fill="F0F0F0"/>
                </w:tcPr>
                <w:p>
                  <w:pPr>
                    <w:pStyle w:val="Para 06"/>
                    <w:keepLines w:val="on"/>
                  </w:pPr>
                  <w:r>
                    <w:t>1,6091</w:t>
                  </w:r>
                </w:p>
              </w:tc>
            </w:tr>
            <w:tr>
              <w:tc>
                <w:tcPr>
                  <w:tcW w:type="auto" w:w="0"/>
                  <w:shd w:val="clear" w:color="auto" w:fill="F0F0F0"/>
                </w:tcPr>
                <w:p>
                  <w:pPr>
                    <w:pStyle w:val="Para 02"/>
                    <w:keepLines w:val="on"/>
                  </w:pPr>
                  <w:r>
                    <w:t>Giá trị hiện tại</w:t>
                  </w:r>
                </w:p>
              </w:tc>
              <w:tc>
                <w:tcPr>
                  <w:tcW w:type="auto" w:w="0"/>
                  <w:shd w:val="clear" w:color="auto" w:fill="F0F0F0"/>
                </w:tcPr>
                <w:p>
                  <w:pPr>
                    <w:pStyle w:val="Para 06"/>
                    <w:keepLines w:val="on"/>
                  </w:pPr>
                  <w:r>
                    <w:t>$12,241</w:t>
                  </w:r>
                </w:p>
              </w:tc>
              <w:tc>
                <w:tcPr>
                  <w:tcW w:type="auto" w:w="0"/>
                  <w:shd w:val="clear" w:color="auto" w:fill="F0F0F0"/>
                </w:tcPr>
                <w:p>
                  <w:pPr>
                    <w:pStyle w:val="Para 06"/>
                    <w:keepLines w:val="on"/>
                  </w:pPr>
                  <w:r>
                    <w:t>$12,504</w:t>
                  </w:r>
                </w:p>
              </w:tc>
              <w:tc>
                <w:tcPr>
                  <w:tcW w:type="auto" w:w="0"/>
                  <w:shd w:val="clear" w:color="auto" w:fill="F0F0F0"/>
                </w:tcPr>
                <w:p>
                  <w:pPr>
                    <w:pStyle w:val="Para 06"/>
                    <w:keepLines w:val="on"/>
                  </w:pPr>
                  <w:r>
                    <w:t>$12,773</w:t>
                  </w:r>
                </w:p>
              </w:tc>
              <w:tc>
                <w:tcPr>
                  <w:tcW w:type="auto" w:w="0"/>
                  <w:shd w:val="clear" w:color="auto" w:fill="F0F0F0"/>
                </w:tcPr>
                <w:p>
                  <w:pPr>
                    <w:pStyle w:val="Para 06"/>
                    <w:keepLines w:val="on"/>
                  </w:pPr>
                  <w:r>
                    <w:t>$13,048</w:t>
                  </w:r>
                </w:p>
              </w:tc>
              <w:tc>
                <w:tcPr>
                  <w:tcW w:type="auto" w:w="0"/>
                  <w:shd w:val="clear" w:color="auto" w:fill="F0F0F0"/>
                </w:tcPr>
                <w:p>
                  <w:pPr>
                    <w:pStyle w:val="Para 06"/>
                    <w:keepLines w:val="on"/>
                  </w:pPr>
                  <w:r>
                    <w:t>$13,328</w:t>
                  </w:r>
                </w:p>
              </w:tc>
            </w:tr>
          </w:tbl>
          <w:p/>
        </w:tc>
      </w:tr>
    </w:tbl>
    <w:p>
      <w:pPr>
        <w:pStyle w:val="Para 04"/>
        <w:keepLines w:val="on"/>
      </w:pPr>
      <w:r>
        <w:t>Sau năm thứ 5, chúng ta cho phép một giai đoạn chuyển tiếp kéo dài thêm 5 năm để đạt mức tăng trưởng ổn định sau năm thứ 10. Trong giai đoạn tăng trưởng ổn định, chúng ta giả định những thay đổi sau:</w:t>
      </w:r>
    </w:p>
    <w:p>
      <w:pPr>
        <w:numPr>
          <w:ilvl w:val="0"/>
          <w:numId w:val="131"/>
        </w:numPr>
        <w:pStyle w:val="Para 18"/>
        <w:keepLines w:val="on"/>
      </w:pPr>
      <w:r>
        <w:t>Tốc độ tăng trưởng kỳ vọng 3% mãi mãi, được đặt ngay dưới lãi suất phi rủi ro.</w:t>
      </w:r>
    </w:p>
    <w:p>
      <w:pPr>
        <w:numPr>
          <w:ilvl w:val="0"/>
          <w:numId w:val="131"/>
        </w:numPr>
        <w:pStyle w:val="Para 18"/>
        <w:keepLines w:val="on"/>
      </w:pPr>
      <w:r>
        <w:t>Một tỷ suất sinh lời trên vốn chủ sở hữu (return on equity – ROE) là 12%; dù thấp hơn ROE hiện tại, đây vẫn là một mức sinh lời ấn tượng đối với một công ty đã trưởng thành và phản ánh niềm tin của chúng tôi rằng JP Morgan Chase có những lợi thế cạnh tranh bền vững.</w:t>
      </w:r>
    </w:p>
    <w:p>
      <w:pPr>
        <w:numPr>
          <w:ilvl w:val="0"/>
          <w:numId w:val="131"/>
        </w:numPr>
        <w:pStyle w:val="Para 18"/>
        <w:keepLines w:val="on"/>
      </w:pPr>
      <w:r>
        <w:t>Tỷ lệ chi trả cổ tức (payout ratio) là 75%, dựa trên tỷ suất sinh lời trên vốn chủ sở hữu và tốc độ tăng trưởng kỳ vọng:</w:t>
      </w:r>
    </w:p>
    <w:p>
      <w:bookmarkStart w:id="2593" w:name="Stable_payout_ratio_1___gROE_1"/>
      <w:pPr>
        <w:keepNext/>
        <w:pStyle w:val="Para 07"/>
        <w:keepLines w:val="on"/>
      </w:pPr>
      <w:r>
        <w:t>Tỷ lệ chi trả cổ tức ổn định = 1 − g/ROE = 1 − .03/.12 = 0.75 hay 75%</w:t>
      </w:r>
      <w:bookmarkEnd w:id="2593"/>
    </w:p>
    <w:p>
      <w:pPr>
        <w:numPr>
          <w:ilvl w:val="0"/>
          <w:numId w:val="132"/>
        </w:numPr>
        <w:pStyle w:val="Para 18"/>
        <w:keepLines w:val="on"/>
      </w:pPr>
      <w:r>
        <w:t>Chi phí vốn chủ sở hữu (cost of equity) là 9,67%, dựa trên giả định rằng beta sẽ tăng lên 1 trong giai đoạn tăng trưởng ổn định.</w:t>
      </w:r>
    </w:p>
    <w:p>
      <w:pPr>
        <w:pStyle w:val="Para 04"/>
        <w:keepLines w:val="on"/>
      </w:pPr>
      <w:r>
        <w:t>Giai đoạn chuyển tiếp (năm 6–10) cho phép chúng ta thay đổi từng yếu tố đầu vào (tỷ lệ chi trả cổ tức, chi phí vốn chủ sở hữu và tốc độ tăng trưởng) từ mức tăng trưởng cao xuống mức tăng trưởng ổn định theo các bước tăng tuyến tính. Cổ tức và giá trị hiện tại thu được được tóm tắt trong Bảng 14.3:</w:t>
      </w:r>
    </w:p>
    <w:p>
      <w:pPr>
        <w:pStyle w:val="Para 25"/>
        <w:keepLines w:val="on"/>
      </w:pPr>
      <w:r>
        <w:t>Bảng 14.3</w:t>
      </w:r>
    </w:p>
    <w:p>
      <w:pPr>
        <w:keepNext/>
        <w:pStyle w:val="Para 24"/>
        <w:keepLines w:val="on"/>
      </w:pPr>
      <w:r>
        <w:t>Cổ tức kỳ vọng và giá trị hiện tại trong giai đoạn chuyển tiếp—JP Morgan Chase</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6</w:t>
                  </w:r>
                </w:p>
              </w:tc>
              <w:tc>
                <w:tcPr>
                  <w:tcW w:type="auto" w:w="0"/>
                  <w:shd w:val="clear" w:color="auto" w:fill="F0F0F0"/>
                </w:tcPr>
                <w:p>
                  <w:pPr>
                    <w:pStyle w:val="Para 05"/>
                    <w:keepLines w:val="on"/>
                  </w:pPr>
                  <w:r>
                    <w:t>7</w:t>
                  </w:r>
                </w:p>
              </w:tc>
              <w:tc>
                <w:tcPr>
                  <w:tcW w:type="auto" w:w="0"/>
                  <w:shd w:val="clear" w:color="auto" w:fill="F0F0F0"/>
                </w:tcPr>
                <w:p>
                  <w:pPr>
                    <w:pStyle w:val="Para 05"/>
                    <w:keepLines w:val="on"/>
                  </w:pPr>
                  <w:r>
                    <w:t>8</w:t>
                  </w:r>
                </w:p>
              </w:tc>
              <w:tc>
                <w:tcPr>
                  <w:tcW w:type="auto" w:w="0"/>
                  <w:shd w:val="clear" w:color="auto" w:fill="F0F0F0"/>
                </w:tcPr>
                <w:p>
                  <w:pPr>
                    <w:pStyle w:val="Para 05"/>
                    <w:keepLines w:val="on"/>
                  </w:pPr>
                  <w:r>
                    <w:t>9</w:t>
                  </w:r>
                </w:p>
              </w:tc>
              <w:tc>
                <w:tcPr>
                  <w:tcW w:type="auto" w:w="0"/>
                  <w:shd w:val="clear" w:color="auto" w:fill="F0F0F0"/>
                </w:tcPr>
                <w:p>
                  <w:pPr>
                    <w:pStyle w:val="Para 05"/>
                    <w:keepLines w:val="on"/>
                  </w:pPr>
                  <w:r>
                    <w:t>10</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Para 06"/>
                    <w:keepLines w:val="on"/>
                  </w:pPr>
                  <w:r>
                    <w:t>10,48%</w:t>
                  </w:r>
                </w:p>
              </w:tc>
              <w:tc>
                <w:tcPr>
                  <w:tcW w:type="auto" w:w="0"/>
                  <w:shd w:val="clear" w:color="auto" w:fill="F0F0F0"/>
                </w:tcPr>
                <w:p>
                  <w:pPr>
                    <w:pStyle w:val="Para 06"/>
                    <w:keepLines w:val="on"/>
                  </w:pPr>
                  <w:r>
                    <w:t>8,61%</w:t>
                  </w:r>
                </w:p>
              </w:tc>
              <w:tc>
                <w:tcPr>
                  <w:tcW w:type="auto" w:w="0"/>
                  <w:shd w:val="clear" w:color="auto" w:fill="F0F0F0"/>
                </w:tcPr>
                <w:p>
                  <w:pPr>
                    <w:pStyle w:val="Para 06"/>
                    <w:keepLines w:val="on"/>
                  </w:pPr>
                  <w:r>
                    <w:t>6,74%</w:t>
                  </w:r>
                </w:p>
              </w:tc>
              <w:tc>
                <w:tcPr>
                  <w:tcW w:type="auto" w:w="0"/>
                  <w:shd w:val="clear" w:color="auto" w:fill="F0F0F0"/>
                </w:tcPr>
                <w:p>
                  <w:pPr>
                    <w:pStyle w:val="Para 06"/>
                    <w:keepLines w:val="on"/>
                  </w:pPr>
                  <w:r>
                    <w:t>4,87%</w:t>
                  </w:r>
                </w:p>
              </w:tc>
              <w:tc>
                <w:tcPr>
                  <w:tcW w:type="auto" w:w="0"/>
                  <w:shd w:val="clear" w:color="auto" w:fill="F0F0F0"/>
                </w:tcPr>
                <w:p>
                  <w:pPr>
                    <w:pStyle w:val="Para 06"/>
                    <w:keepLines w:val="on"/>
                  </w:pPr>
                  <w:r>
                    <w:t>3,00%</w:t>
                  </w:r>
                </w:p>
              </w:tc>
            </w:tr>
            <w:tr>
              <w:tc>
                <w:tcPr>
                  <w:tcW w:type="auto" w:w="0"/>
                  <w:shd w:val="clear" w:color="auto" w:fill="F0F0F0"/>
                </w:tcPr>
                <w:p>
                  <w:pPr>
                    <w:pStyle w:val="Para 02"/>
                    <w:keepLines w:val="on"/>
                  </w:pPr>
                  <w:r>
                    <w:t>Tỷ suất sinh lời trên vốn chủ sở hữu</w:t>
                  </w:r>
                </w:p>
              </w:tc>
              <w:tc>
                <w:tcPr>
                  <w:tcW w:type="auto" w:w="0"/>
                  <w:shd w:val="clear" w:color="auto" w:fill="F0F0F0"/>
                </w:tcPr>
                <w:p>
                  <w:pPr>
                    <w:pStyle w:val="Para 06"/>
                    <w:keepLines w:val="on"/>
                  </w:pPr>
                  <w:r>
                    <w:t>15,96%</w:t>
                  </w:r>
                </w:p>
              </w:tc>
              <w:tc>
                <w:tcPr>
                  <w:tcW w:type="auto" w:w="0"/>
                  <w:shd w:val="clear" w:color="auto" w:fill="F0F0F0"/>
                </w:tcPr>
                <w:p>
                  <w:pPr>
                    <w:pStyle w:val="Para 06"/>
                    <w:keepLines w:val="on"/>
                  </w:pPr>
                  <w:r>
                    <w:t>14,97%</w:t>
                  </w:r>
                </w:p>
              </w:tc>
              <w:tc>
                <w:tcPr>
                  <w:tcW w:type="auto" w:w="0"/>
                  <w:shd w:val="clear" w:color="auto" w:fill="F0F0F0"/>
                </w:tcPr>
                <w:p>
                  <w:pPr>
                    <w:pStyle w:val="Para 06"/>
                    <w:keepLines w:val="on"/>
                  </w:pPr>
                  <w:r>
                    <w:t>13,98%</w:t>
                  </w:r>
                </w:p>
              </w:tc>
              <w:tc>
                <w:tcPr>
                  <w:tcW w:type="auto" w:w="0"/>
                  <w:shd w:val="clear" w:color="auto" w:fill="F0F0F0"/>
                </w:tcPr>
                <w:p>
                  <w:pPr>
                    <w:pStyle w:val="Para 06"/>
                    <w:keepLines w:val="on"/>
                  </w:pPr>
                  <w:r>
                    <w:t>12,99%</w:t>
                  </w:r>
                </w:p>
              </w:tc>
              <w:tc>
                <w:tcPr>
                  <w:tcW w:type="auto" w:w="0"/>
                  <w:shd w:val="clear" w:color="auto" w:fill="F0F0F0"/>
                </w:tcPr>
                <w:p>
                  <w:pPr>
                    <w:pStyle w:val="Para 06"/>
                    <w:keepLines w:val="on"/>
                  </w:pPr>
                  <w:r>
                    <w:t>12,00%</w:t>
                  </w:r>
                </w:p>
              </w:tc>
            </w:tr>
            <w:tr>
              <w:tc>
                <w:tcPr>
                  <w:tcW w:type="auto" w:w="0"/>
                  <w:shd w:val="clear" w:color="auto" w:fill="F0F0F0"/>
                </w:tcPr>
                <w:p>
                  <w:pPr>
                    <w:pStyle w:val="Para 02"/>
                    <w:keepLines w:val="on"/>
                  </w:pPr>
                  <w:r>
                    <w:t>Thu nhập ròng</w:t>
                  </w:r>
                </w:p>
              </w:tc>
              <w:tc>
                <w:tcPr>
                  <w:tcW w:type="auto" w:w="0"/>
                  <w:shd w:val="clear" w:color="auto" w:fill="F0F0F0"/>
                </w:tcPr>
                <w:p>
                  <w:pPr>
                    <w:pStyle w:val="Para 06"/>
                    <w:keepLines w:val="on"/>
                  </w:pPr>
                  <w:r>
                    <w:t>$87,206</w:t>
                  </w:r>
                </w:p>
              </w:tc>
              <w:tc>
                <w:tcPr>
                  <w:tcW w:type="auto" w:w="0"/>
                  <w:shd w:val="clear" w:color="auto" w:fill="F0F0F0"/>
                </w:tcPr>
                <w:p>
                  <w:pPr>
                    <w:pStyle w:val="Para 06"/>
                    <w:keepLines w:val="on"/>
                  </w:pPr>
                  <w:r>
                    <w:t>$94,712</w:t>
                  </w:r>
                </w:p>
              </w:tc>
              <w:tc>
                <w:tcPr>
                  <w:tcW w:type="auto" w:w="0"/>
                  <w:shd w:val="clear" w:color="auto" w:fill="F0F0F0"/>
                </w:tcPr>
                <w:p>
                  <w:pPr>
                    <w:pStyle w:val="Para 06"/>
                    <w:keepLines w:val="on"/>
                  </w:pPr>
                  <w:r>
                    <w:t>$101,094</w:t>
                  </w:r>
                </w:p>
              </w:tc>
              <w:tc>
                <w:tcPr>
                  <w:tcW w:type="auto" w:w="0"/>
                  <w:shd w:val="clear" w:color="auto" w:fill="F0F0F0"/>
                </w:tcPr>
                <w:p>
                  <w:pPr>
                    <w:pStyle w:val="Para 06"/>
                    <w:keepLines w:val="on"/>
                  </w:pPr>
                  <w:r>
                    <w:t>$106,016</w:t>
                  </w:r>
                </w:p>
              </w:tc>
              <w:tc>
                <w:tcPr>
                  <w:tcW w:type="auto" w:w="0"/>
                  <w:shd w:val="clear" w:color="auto" w:fill="F0F0F0"/>
                </w:tcPr>
                <w:p>
                  <w:pPr>
                    <w:pStyle w:val="Para 06"/>
                    <w:keepLines w:val="on"/>
                  </w:pPr>
                  <w:r>
                    <w:t>$109,197</w:t>
                  </w:r>
                </w:p>
              </w:tc>
            </w:tr>
            <w:tr>
              <w:tc>
                <w:tcPr>
                  <w:tcW w:type="auto" w:w="0"/>
                  <w:shd w:val="clear" w:color="auto" w:fill="F0F0F0"/>
                </w:tcPr>
                <w:p>
                  <w:pPr>
                    <w:pStyle w:val="Para 02"/>
                    <w:keepLines w:val="on"/>
                  </w:pPr>
                  <w:r>
                    <w:t>Tỷ lệ chi trả cổ tức</w:t>
                  </w:r>
                </w:p>
              </w:tc>
              <w:tc>
                <w:tcPr>
                  <w:tcW w:type="auto" w:w="0"/>
                  <w:shd w:val="clear" w:color="auto" w:fill="F0F0F0"/>
                </w:tcPr>
                <w:p>
                  <w:pPr>
                    <w:pStyle w:val="Para 06"/>
                    <w:keepLines w:val="on"/>
                  </w:pPr>
                  <w:r>
                    <w:t>36,74%</w:t>
                  </w:r>
                </w:p>
              </w:tc>
              <w:tc>
                <w:tcPr>
                  <w:tcW w:type="auto" w:w="0"/>
                  <w:shd w:val="clear" w:color="auto" w:fill="F0F0F0"/>
                </w:tcPr>
                <w:p>
                  <w:pPr>
                    <w:pStyle w:val="Para 06"/>
                    <w:keepLines w:val="on"/>
                  </w:pPr>
                  <w:r>
                    <w:t>46,30%</w:t>
                  </w:r>
                </w:p>
              </w:tc>
              <w:tc>
                <w:tcPr>
                  <w:tcW w:type="auto" w:w="0"/>
                  <w:shd w:val="clear" w:color="auto" w:fill="F0F0F0"/>
                </w:tcPr>
                <w:p>
                  <w:pPr>
                    <w:pStyle w:val="Para 06"/>
                    <w:keepLines w:val="on"/>
                  </w:pPr>
                  <w:r>
                    <w:t>55,87%</w:t>
                  </w:r>
                </w:p>
              </w:tc>
              <w:tc>
                <w:tcPr>
                  <w:tcW w:type="auto" w:w="0"/>
                  <w:shd w:val="clear" w:color="auto" w:fill="F0F0F0"/>
                </w:tcPr>
                <w:p>
                  <w:pPr>
                    <w:pStyle w:val="Para 06"/>
                    <w:keepLines w:val="on"/>
                  </w:pPr>
                  <w:r>
                    <w:t>65,43%</w:t>
                  </w:r>
                </w:p>
              </w:tc>
              <w:tc>
                <w:tcPr>
                  <w:tcW w:type="auto" w:w="0"/>
                  <w:shd w:val="clear" w:color="auto" w:fill="F0F0F0"/>
                </w:tcPr>
                <w:p>
                  <w:pPr>
                    <w:pStyle w:val="Para 06"/>
                    <w:keepLines w:val="on"/>
                  </w:pPr>
                  <w:r>
                    <w:t>75,00%</w:t>
                  </w:r>
                </w:p>
              </w:tc>
            </w:tr>
            <w:tr>
              <w:tc>
                <w:tcPr>
                  <w:tcW w:type="auto" w:w="0"/>
                  <w:shd w:val="clear" w:color="auto" w:fill="F0F0F0"/>
                </w:tcPr>
                <w:p>
                  <w:pPr>
                    <w:pStyle w:val="Para 02"/>
                    <w:keepLines w:val="on"/>
                  </w:pPr>
                  <w:r>
                    <w:t>Cổ tức</w:t>
                  </w:r>
                </w:p>
              </w:tc>
              <w:tc>
                <w:tcPr>
                  <w:tcW w:type="auto" w:w="0"/>
                  <w:shd w:val="clear" w:color="auto" w:fill="F0F0F0"/>
                </w:tcPr>
                <w:p>
                  <w:pPr>
                    <w:pStyle w:val="Para 06"/>
                    <w:keepLines w:val="on"/>
                  </w:pPr>
                  <w:r>
                    <w:t>$32,036</w:t>
                  </w:r>
                </w:p>
              </w:tc>
              <w:tc>
                <w:tcPr>
                  <w:tcW w:type="auto" w:w="0"/>
                  <w:shd w:val="clear" w:color="auto" w:fill="F0F0F0"/>
                </w:tcPr>
                <w:p>
                  <w:pPr>
                    <w:pStyle w:val="Para 06"/>
                    <w:keepLines w:val="on"/>
                  </w:pPr>
                  <w:r>
                    <w:t>$43,853</w:t>
                  </w:r>
                </w:p>
              </w:tc>
              <w:tc>
                <w:tcPr>
                  <w:tcW w:type="auto" w:w="0"/>
                  <w:shd w:val="clear" w:color="auto" w:fill="F0F0F0"/>
                </w:tcPr>
                <w:p>
                  <w:pPr>
                    <w:pStyle w:val="Para 06"/>
                    <w:keepLines w:val="on"/>
                  </w:pPr>
                  <w:r>
                    <w:t>$56,479</w:t>
                  </w:r>
                </w:p>
              </w:tc>
              <w:tc>
                <w:tcPr>
                  <w:tcW w:type="auto" w:w="0"/>
                  <w:shd w:val="clear" w:color="auto" w:fill="F0F0F0"/>
                </w:tcPr>
                <w:p>
                  <w:pPr>
                    <w:pStyle w:val="Para 06"/>
                    <w:keepLines w:val="on"/>
                  </w:pPr>
                  <w:r>
                    <w:t>$69,371</w:t>
                  </w:r>
                </w:p>
              </w:tc>
              <w:tc>
                <w:tcPr>
                  <w:tcW w:type="auto" w:w="0"/>
                  <w:shd w:val="clear" w:color="auto" w:fill="F0F0F0"/>
                </w:tcPr>
                <w:p>
                  <w:pPr>
                    <w:pStyle w:val="Para 06"/>
                    <w:keepLines w:val="on"/>
                  </w:pPr>
                  <w:r>
                    <w:t>$81,898</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Para 06"/>
                    <w:keepLines w:val="on"/>
                  </w:pPr>
                  <w:r>
                    <w:t>9,92%</w:t>
                  </w:r>
                </w:p>
              </w:tc>
              <w:tc>
                <w:tcPr>
                  <w:tcW w:type="auto" w:w="0"/>
                  <w:shd w:val="clear" w:color="auto" w:fill="F0F0F0"/>
                </w:tcPr>
                <w:p>
                  <w:pPr>
                    <w:pStyle w:val="Para 06"/>
                    <w:keepLines w:val="on"/>
                  </w:pPr>
                  <w:r>
                    <w:t>9,86%</w:t>
                  </w:r>
                </w:p>
              </w:tc>
              <w:tc>
                <w:tcPr>
                  <w:tcW w:type="auto" w:w="0"/>
                  <w:shd w:val="clear" w:color="auto" w:fill="F0F0F0"/>
                </w:tcPr>
                <w:p>
                  <w:pPr>
                    <w:pStyle w:val="Para 06"/>
                    <w:keepLines w:val="on"/>
                  </w:pPr>
                  <w:r>
                    <w:t>9,80%</w:t>
                  </w:r>
                </w:p>
              </w:tc>
              <w:tc>
                <w:tcPr>
                  <w:tcW w:type="auto" w:w="0"/>
                  <w:shd w:val="clear" w:color="auto" w:fill="F0F0F0"/>
                </w:tcPr>
                <w:p>
                  <w:pPr>
                    <w:pStyle w:val="Para 06"/>
                    <w:keepLines w:val="on"/>
                  </w:pPr>
                  <w:r>
                    <w:t>9,73%</w:t>
                  </w:r>
                </w:p>
              </w:tc>
              <w:tc>
                <w:tcPr>
                  <w:tcW w:type="auto" w:w="0"/>
                  <w:shd w:val="clear" w:color="auto" w:fill="F0F0F0"/>
                </w:tcPr>
                <w:p>
                  <w:pPr>
                    <w:pStyle w:val="Para 06"/>
                    <w:keepLines w:val="on"/>
                  </w:pPr>
                  <w:r>
                    <w:t>9,67%</w:t>
                  </w:r>
                </w:p>
              </w:tc>
            </w:tr>
            <w:tr>
              <w:tc>
                <w:tcPr>
                  <w:tcW w:type="auto" w:w="0"/>
                  <w:shd w:val="clear" w:color="auto" w:fill="F0F0F0"/>
                </w:tcPr>
                <w:p>
                  <w:pPr>
                    <w:pStyle w:val="Para 02"/>
                    <w:keepLines w:val="on"/>
                  </w:pPr>
                  <w:r>
                    <w:t>Chi phí vốn chủ sở hữu lũy kế</w:t>
                  </w:r>
                </w:p>
              </w:tc>
              <w:tc>
                <w:tcPr>
                  <w:tcW w:type="auto" w:w="0"/>
                  <w:shd w:val="clear" w:color="auto" w:fill="F0F0F0"/>
                </w:tcPr>
                <w:p>
                  <w:pPr>
                    <w:pStyle w:val="Para 06"/>
                    <w:keepLines w:val="on"/>
                  </w:pPr>
                  <w:r>
                    <w:t>1,7688</w:t>
                  </w:r>
                </w:p>
              </w:tc>
              <w:tc>
                <w:tcPr>
                  <w:tcW w:type="auto" w:w="0"/>
                  <w:shd w:val="clear" w:color="auto" w:fill="F0F0F0"/>
                </w:tcPr>
                <w:p>
                  <w:pPr>
                    <w:pStyle w:val="Para 06"/>
                    <w:keepLines w:val="on"/>
                  </w:pPr>
                  <w:r>
                    <w:t>1.9431</w:t>
                  </w:r>
                </w:p>
              </w:tc>
              <w:tc>
                <w:tcPr>
                  <w:tcW w:type="auto" w:w="0"/>
                  <w:shd w:val="clear" w:color="auto" w:fill="F0F0F0"/>
                </w:tcPr>
                <w:p>
                  <w:pPr>
                    <w:pStyle w:val="Para 06"/>
                    <w:keepLines w:val="on"/>
                  </w:pPr>
                  <w:r>
                    <w:t>2.1334</w:t>
                  </w:r>
                </w:p>
              </w:tc>
              <w:tc>
                <w:tcPr>
                  <w:tcW w:type="auto" w:w="0"/>
                  <w:shd w:val="clear" w:color="auto" w:fill="F0F0F0"/>
                </w:tcPr>
                <w:p>
                  <w:pPr>
                    <w:pStyle w:val="Para 06"/>
                    <w:keepLines w:val="on"/>
                  </w:pPr>
                  <w:r>
                    <w:t>2.3411</w:t>
                  </w:r>
                </w:p>
              </w:tc>
              <w:tc>
                <w:tcPr>
                  <w:tcW w:type="auto" w:w="0"/>
                  <w:shd w:val="clear" w:color="auto" w:fill="F0F0F0"/>
                </w:tcPr>
                <w:p>
                  <w:pPr>
                    <w:pStyle w:val="Para 06"/>
                    <w:keepLines w:val="on"/>
                  </w:pPr>
                  <w:r>
                    <w:t>2.5675</w:t>
                  </w:r>
                </w:p>
              </w:tc>
            </w:tr>
            <w:tr>
              <w:tc>
                <w:tcPr>
                  <w:tcW w:type="auto" w:w="0"/>
                  <w:shd w:val="clear" w:color="auto" w:fill="F0F0F0"/>
                </w:tcPr>
                <w:p>
                  <w:pPr>
                    <w:pStyle w:val="Para 02"/>
                    <w:keepLines w:val="on"/>
                  </w:pPr>
                  <w:r>
                    <w:t>Giá trị hiện tại</w:t>
                  </w:r>
                </w:p>
              </w:tc>
              <w:tc>
                <w:tcPr>
                  <w:tcW w:type="auto" w:w="0"/>
                  <w:shd w:val="clear" w:color="auto" w:fill="F0F0F0"/>
                </w:tcPr>
                <w:p>
                  <w:pPr>
                    <w:pStyle w:val="Para 06"/>
                    <w:keepLines w:val="on"/>
                  </w:pPr>
                  <w:r>
                    <w:t>$18,112</w:t>
                  </w:r>
                </w:p>
              </w:tc>
              <w:tc>
                <w:tcPr>
                  <w:tcW w:type="auto" w:w="0"/>
                  <w:shd w:val="clear" w:color="auto" w:fill="F0F0F0"/>
                </w:tcPr>
                <w:p>
                  <w:pPr>
                    <w:pStyle w:val="Para 06"/>
                    <w:keepLines w:val="on"/>
                  </w:pPr>
                  <w:r>
                    <w:t>$22,569</w:t>
                  </w:r>
                </w:p>
              </w:tc>
              <w:tc>
                <w:tcPr>
                  <w:tcW w:type="auto" w:w="0"/>
                  <w:shd w:val="clear" w:color="auto" w:fill="F0F0F0"/>
                </w:tcPr>
                <w:p>
                  <w:pPr>
                    <w:pStyle w:val="Para 06"/>
                    <w:keepLines w:val="on"/>
                  </w:pPr>
                  <w:r>
                    <w:t>$26,473</w:t>
                  </w:r>
                </w:p>
              </w:tc>
              <w:tc>
                <w:tcPr>
                  <w:tcW w:type="auto" w:w="0"/>
                  <w:shd w:val="clear" w:color="auto" w:fill="F0F0F0"/>
                </w:tcPr>
                <w:p>
                  <w:pPr>
                    <w:pStyle w:val="Para 06"/>
                    <w:keepLines w:val="on"/>
                  </w:pPr>
                  <w:r>
                    <w:t>$29,632</w:t>
                  </w:r>
                </w:p>
              </w:tc>
              <w:tc>
                <w:tcPr>
                  <w:tcW w:type="auto" w:w="0"/>
                  <w:shd w:val="clear" w:color="auto" w:fill="F0F0F0"/>
                </w:tcPr>
                <w:p>
                  <w:pPr>
                    <w:pStyle w:val="Para 06"/>
                    <w:keepLines w:val="on"/>
                  </w:pPr>
                  <w:r>
                    <w:t>$31,898</w:t>
                  </w:r>
                </w:p>
              </w:tc>
            </w:tr>
          </w:tbl>
          <w:p/>
        </w:tc>
      </w:tr>
    </w:tbl>
    <w:p>
      <w:pPr>
        <w:pStyle w:val="Para 04"/>
        <w:keepLines w:val="on"/>
      </w:pPr>
      <w:r>
        <w:t>Lưu ý rằng chi phí vốn chủ sở hữu (cost of equity) thay đổi đòi hỏi chúng ta phải ước tính chi phí vốn chủ sở hữu lũy tích. Vì vậy, chi phí vốn chủ sở hữu lũy tích cho năm 7 là:</w:t>
      </w:r>
    </w:p>
    <w:p>
      <w:bookmarkStart w:id="2595" w:name="Cumulated_cost_of_equity_in_year"/>
      <w:pPr>
        <w:keepNext/>
        <w:pStyle w:val="Para 07"/>
        <w:keepLines w:val="on"/>
      </w:pPr>
      <w:r>
        <w:t>Chi phí vốn chủ sở hữu lũy tích trong năm 7=(1.0998)5(1.0992)(1.0986)=1.9431</w:t>
      </w:r>
      <w:bookmarkEnd w:id="2595"/>
    </w:p>
    <w:p>
      <w:pPr>
        <w:pStyle w:val="Para 04"/>
        <w:keepLines w:val="on"/>
      </w:pPr>
      <w:r>
        <w:t>Giá trị trên mỗi cổ phần vào cuối năm 10 giờ đây có thể được tính bằng cách ước tính cổ tức trong năm cuối kỳ (năm 11) và tính giá trị cuối kỳ (terminal value):</w:t>
      </w:r>
    </w:p>
    <w:p>
      <w:bookmarkStart w:id="2596" w:name="Value_of_equity_at_end_of_year_1"/>
      <w:pPr>
        <w:keepNext/>
        <w:pStyle w:val="Para 07"/>
        <w:keepLines w:val="on"/>
      </w:pPr>
      <w:r>
        <w:t>Giá trị vốn chủ sở hữu vào cuối năm 10 =Thu nhập ròng năm 10 × (1+Tỷ lệ tăng trưởng ổn định)×(Tỷ lệ chi trả ổn định)(Chi phí vốn chủ sở hữu giai đoạn ổn định -Tỷ lệ tăng trưởng ổn định)=109,197 × 1.03 × 0.75(.0967- .03)=$1,265,486 triệu</w:t>
      </w:r>
      <w:bookmarkEnd w:id="2596"/>
    </w:p>
    <w:p>
      <w:pPr>
        <w:pStyle w:val="Para 04"/>
        <w:keepLines w:val="on"/>
      </w:pPr>
      <w:r>
        <w:t>Chiết khấu giá trị cuối kỳ trở lại theo chi phí vốn chủ sở hữu lũy tích cho năm 10 và cộng vào giá trị hiện tại của cổ tức, chúng ta thu được giá trị trên mỗi cổ phần là $685,075 triệu.</w:t>
      </w:r>
    </w:p>
    <w:p>
      <w:bookmarkStart w:id="2598" w:name="Value_of_equity__PV_of_dividends"/>
      <w:pPr>
        <w:keepNext/>
        <w:pStyle w:val="Para 07"/>
        <w:keepLines w:val="on"/>
      </w:pPr>
      <w:r>
        <w:t>Giá trị vốn chủ sở hữu =PV của cổ tức trong giai đoạn tăng trưởng cao+PV của giá trị vốn chủ sở hữu cuối kỳ=$192,578+$1,265,4862.5675=$685,075</w:t>
      </w:r>
      <w:bookmarkEnd w:id="2598"/>
    </w:p>
    <w:p>
      <w:pPr>
        <w:pStyle w:val="Para 04"/>
        <w:keepLines w:val="on"/>
      </w:pPr>
      <w:r>
        <w:t>Chia cho số cổ phần đang lưu hành (2908.3 triệu) vào tháng 5 năm 2024, giá trị trên mỗi cổ phần mà chúng ta thu được là $235.56:</w:t>
      </w:r>
    </w:p>
    <w:p>
      <w:bookmarkStart w:id="2599" w:name="Value_per_share_Value_of_equityN"/>
      <w:pPr>
        <w:keepNext/>
        <w:pStyle w:val="Para 07"/>
        <w:keepLines w:val="on"/>
      </w:pPr>
      <w:r>
        <w:t>Giá trị trên mỗi cổ phần=Giá trị vốn chủ sở hữuSố cổ phần= $685,0752908.30=$235.56</w:t>
      </w:r>
      <w:bookmarkEnd w:id="2599"/>
    </w:p>
    <w:p>
      <w:pPr>
        <w:pStyle w:val="Para 04"/>
        <w:keepLines w:val="on"/>
      </w:pPr>
      <w:r>
        <w:t>JP Morgan đang được giao dịch ở mức $198.06 vào tháng 5 năm 2024, khiến nó bị định giá quá cao.</w:t>
      </w:r>
    </w:p>
    <w:p>
      <w:pPr>
        <w:pStyle w:val="Para 11"/>
      </w:pPr>
      <w:r>
        <w:t xml:space="preserve"> </w:t>
      </w:r>
    </w:p>
    <w:p>
      <w:bookmarkStart w:id="2600" w:name="DDM3st_xls__This_spreadsheet_ena"/>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31"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2600"/>
    </w:p>
    <w:p>
      <w:pPr>
        <w:pStyle w:val="Para 31"/>
        <w:keepLines w:val="on"/>
      </w:pPr>
      <w:r>
        <w:t>DDM3st.xls: Bảng tính này cho phép bạn định giá một công ty với một giai đoạn tăng trưởng cao, tiếp theo là giai đoạn chuyển tiếp khi tăng trưởng giảm dần về tỷ lệ tăng trưởng ổn định.</w:t>
      </w:r>
    </w:p>
    <w:p>
      <w:bookmarkStart w:id="2601" w:name="The_Augmented_Dividend_Discount"/>
      <w:bookmarkStart w:id="2602" w:name="The_Augmented_Dividend_Discount_1"/>
      <w:pPr>
        <w:keepNext/>
        <w:pStyle w:val="Heading 2"/>
        <w:keepLines w:val="on"/>
      </w:pPr>
      <w:r>
        <w:t>Mô hình Chiết khấu Cổ tức Mở rộng</w:t>
      </w:r>
      <w:bookmarkEnd w:id="2601"/>
      <w:bookmarkEnd w:id="2602"/>
    </w:p>
    <w:p>
      <w:pPr>
        <w:pStyle w:val="Para 03"/>
      </w:pPr>
      <w:r>
        <w:t>Trong phần lớn thế kỷ trước, tiền mặt chỉ được trả lại cho cổ đông dưới hình thức cổ tức. Bắt đầu từ giữa những năm 1980, các công ty ở Hoa Kỳ bắt đầu bổ sung cổ tức bằng việc mua lại cổ phiếu (stock buybacks), và trong bốn mươi năm qua, mua lại cổ phiếu đã trở thành hình thức chủ đạo để trả lại tiền mặt cho cổ đông. Trong phần này, chúng ta sẽ mở rộng mô hình chiết khấu cổ tức để đưa vào cả việc mua lại cổ phiếu.</w:t>
      </w:r>
    </w:p>
    <w:p>
      <w:bookmarkStart w:id="2603" w:name="Modifying_the_Model_to_Include_S"/>
      <w:bookmarkStart w:id="2604" w:name="Modifying_the_Model_to_Include_S_1"/>
      <w:pPr>
        <w:keepNext/>
        <w:pStyle w:val="Heading 3"/>
        <w:keepLines w:val="on"/>
      </w:pPr>
      <w:r>
        <w:t>Điều chỉnh Mô hình để Bao gồm Việc Mua lại Cổ phiếu</w:t>
      </w:r>
      <w:bookmarkEnd w:id="2603"/>
      <w:bookmarkEnd w:id="2604"/>
    </w:p>
    <w:p>
      <w:pPr>
        <w:pStyle w:val="Para 03"/>
      </w:pPr>
      <w:r>
        <w:t>Sự trỗi dậy của việc mua lại cổ phiếu để trở thành hình thức chủ đạo trong việc trả lại tiền mặt, đối với các công ty Hoa Kỳ, được thể hiện trong Hình 14.6, trình bày tổng số tiền lũy kế mà các công ty đã chi trả dưới hình thức cổ tức và mua lại cổ phiếu từ năm 1988 đến năm 2023. Xu hướng chuyển sang mua lại cổ phiếu rất mạnh mẽ, đặc biệt là trong những năm 1990. Ngay cả cuộc khủng hoảng ngân hàng năm 2008 và việc đóng cửa do COVID cũng chỉ tạo ra một sự gián đoạn nhất thời trong việc mua lại cổ phiếu trước khi chúng trở lại mạnh mẽ vào năm tiếp theo.</w:t>
      </w:r>
    </w:p>
    <w:p>
      <w:bookmarkStart w:id="2606" w:name="Figure_14_6_Stock_Buybacks_and_D"/>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00300" cy="1739900"/>
            <wp:effectExtent l="0" r="0" t="0" b="0"/>
            <wp:wrapTopAndBottom/>
            <wp:docPr id="132" name="c14f005.png" descr="Line and double bar graph plots overall increase in amounts paid out by firms in the form of dividends and stock buybacks from 1988 to 2023."/>
            <wp:cNvGraphicFramePr>
              <a:graphicFrameLocks noChangeAspect="1"/>
            </wp:cNvGraphicFramePr>
            <a:graphic>
              <a:graphicData uri="http://schemas.openxmlformats.org/drawingml/2006/picture">
                <pic:pic>
                  <pic:nvPicPr>
                    <pic:cNvPr id="0" name="c14f005.png" descr="Line and double bar graph plots overall increase in amounts paid out by firms in the form of dividends and stock buybacks from 1988 to 2023."/>
                    <pic:cNvPicPr/>
                  </pic:nvPicPr>
                  <pic:blipFill>
                    <a:blip r:embed="rId98"/>
                    <a:stretch>
                      <a:fillRect/>
                    </a:stretch>
                  </pic:blipFill>
                  <pic:spPr>
                    <a:xfrm>
                      <a:off x="0" y="0"/>
                      <a:ext cx="2400300" cy="1739900"/>
                    </a:xfrm>
                    <a:prstGeom prst="rect">
                      <a:avLst/>
                    </a:prstGeom>
                  </pic:spPr>
                </pic:pic>
              </a:graphicData>
            </a:graphic>
          </wp:anchor>
        </w:drawing>
      </w:r>
      <w:bookmarkEnd w:id="2606"/>
    </w:p>
    <w:p>
      <w:pPr>
        <w:keepNext/>
        <w:pStyle w:val="Para 22"/>
        <w:keepLines w:val="on"/>
      </w:pPr>
      <w:r>
        <w:t>Hình 14.6 Mua lại Cổ phiếu và Cổ tức: Tổng hợp cho các Công ty Hoa Kỳ—1988–2023</w:t>
      </w:r>
    </w:p>
    <w:p>
      <w:pPr>
        <w:pStyle w:val="Para 03"/>
      </w:pPr>
      <w:r>
        <w:t>Điều này có ý nghĩa gì đối với mô hình chiết khấu cổ tức? Nếu chỉ tập trung thuần túy vào cổ tức được trả như nguồn tiền mặt duy nhất hoàn trả cho cổ đông, chúng ta có thể gặp rủi ro bỏ sót một lượng tiền mặt đáng kể được trả lại cho cổ đông dưới hình thức mua lại cổ phiếu. Cách đơn giản nhất để đưa việc mua lại cổ phiếu vào mô hình chiết khấu cổ tức là cộng chúng vào cổ tức rồi tính tỷ lệ chi trả mở rộng (augmented payout ratio):</w:t>
      </w:r>
    </w:p>
    <w:p>
      <w:bookmarkStart w:id="2607" w:name="Augmented_dividend_payout_ratio"/>
      <w:pPr>
        <w:keepNext/>
        <w:pStyle w:val="Para 09"/>
        <w:keepLines w:val="on"/>
      </w:pPr>
      <w:r>
        <w:t>Tỷ lệ chi trả cổ tức mở rộng = (Cổ tức + Mua lại cổ phiếu) / Thu nhập ròng</w:t>
      </w:r>
      <w:bookmarkEnd w:id="2607"/>
    </w:p>
    <w:p>
      <w:pPr>
        <w:pStyle w:val="Para 03"/>
      </w:pPr>
      <w:r>
        <w:t>Mặc dù điều chỉnh này khá đơn giản, nhưng tỷ lệ thu được cho bất kỳ một năm nào cũng có thể bị bóp méo, bởi vì việc mua lại cổ phiếu, khác với cổ tức, không được san phẳng đều đặn. Nói cách khác, một công ty có thể mua lại 3 tỷ đô la cổ phiếu trong một năm, rồi không mua lại cổ phiếu nào trong ba năm tiếp theo. Do đó, một ước tính tốt hơn nhiều cho tỷ lệ chi trả điều chỉnh có thể đạt được bằng cách nhìn vào giá trị trung bình trong khoảng bốn hoặc năm năm. Ngoài ra, các công ty đôi khi có thể mua lại cổ phiếu như một cách để tăng đòn bẩy tài chính. Chúng ta có thể điều chỉnh cho điều này bằng cách trừ đi khoản nợ mới phát hành khỏi phép tính trước đó:</w:t>
      </w:r>
    </w:p>
    <w:p>
      <w:bookmarkStart w:id="2609" w:name="Debt_adjusted_payout_ratio_Divid"/>
      <w:pPr>
        <w:keepNext/>
        <w:pStyle w:val="Para 09"/>
        <w:keepLines w:val="on"/>
      </w:pPr>
      <w:r>
        <w:t>Tỷ lệ chi trả điều chỉnh theo nợ = (Cổ tức + Mua lại cổ phiếu − Nợ ròng) / Thu nhập ròng</w:t>
      </w:r>
      <w:bookmarkEnd w:id="2609"/>
    </w:p>
    <w:p>
      <w:pPr>
        <w:pStyle w:val="Para 03"/>
      </w:pPr>
      <w:r>
        <w:t>Việc điều chỉnh tỷ lệ chi trả để bao gồm mua lại cổ phiếu sẽ tạo ra hiệu ứng lan tỏa lên tốc độ tăng trưởng ước tính và giá trị cuối kỳ (terminal value). Cụ thể, tốc độ tăng trưởng điều chỉnh của thu nhập trên mỗi cổ phiếu có thể được viết như sau:</w:t>
      </w:r>
    </w:p>
    <w:p>
      <w:bookmarkStart w:id="2610" w:name="Augmented_growth_rate__1___Augme"/>
      <w:pPr>
        <w:keepNext/>
        <w:pStyle w:val="Para 09"/>
        <w:keepLines w:val="on"/>
      </w:pPr>
      <w:r>
        <w:t>Tốc độ tăng trưởng mở rộng = (1 − Tỷ lệ chi trả mở rộng) × Tỷ suất sinh lời trên vốn chủ sở hữu</w:t>
      </w:r>
      <w:bookmarkEnd w:id="2610"/>
    </w:p>
    <w:p>
      <w:pPr>
        <w:pStyle w:val="Para 03"/>
      </w:pPr>
      <w:r>
        <w:t>Ngay cả tỷ suất sinh lời trên vốn chủ sở hữu (return on equity) cũng có thể bị ảnh hưởng bởi việc mua lại cổ phiếu. Vì giá trị sổ sách của vốn chủ sở hữu bị giảm đi bởi giá trị thị trường của cổ phiếu được mua lại, một công ty mua lại cổ phiếu có thể giảm vốn chủ sở hữu sổ sách (và tăng tỷ suất sinh lời trên vốn chủ sở hữu) một cách đáng kể. Nếu chúng ta dùng tỷ suất sinh lời trên vốn chủ sở hữu này như một thước đo cho tỷ suất sinh lời biên trên vốn chủ sở hữu (đối với các khoản đầu tư mới), chúng ta sẽ đánh giá quá cao giá trị của một công ty. Việc cộng trở lại các khoản mua lại cổ phiếu trong những năm gần đây vào vốn chủ sở hữu sổ sách và ước tính lại tỷ suất sinh lời trên vốn chủ sở hữu đôi khi có thể cho ra một ước tính hợp lý hơn về tỷ suất sinh lời trên vốn chủ sở hữu đối với các khoản đầu tư.</w:t>
      </w:r>
    </w:p>
    <w:p>
      <w:pPr>
        <w:pStyle w:val="Para 11"/>
      </w:pPr>
      <w:r>
        <w:t xml:space="preserve"> </w:t>
      </w:r>
      <w:r>
        <w:rPr>
          <w:rStyle w:val="Text26"/>
        </w:rPr>
        <w:bookmarkStart w:id="2611" w:name="Page_406"/>
        <w:t/>
        <w:bookmarkEnd w:id="2611"/>
      </w:r>
      <w:r>
        <w:t xml:space="preserve"> </w:t>
      </w:r>
    </w:p>
    <w:p>
      <w:bookmarkStart w:id="2612" w:name="ILLUSTRATION_14_6___Augmented_ve_1"/>
      <w:bookmarkStart w:id="2613" w:name="ILLUSTRATION_14_6___Augmented_ve"/>
      <w:pPr>
        <w:keepNext/>
        <w:pStyle w:val="Para 19"/>
        <w:keepLines w:val="on"/>
      </w:pPr>
      <w:r>
        <w:t>MINH HỌA 14.6: Tỷ lệ chi trả cổ tức mở rộng so với thông thường: Coca-Cola</w:t>
      </w:r>
      <w:bookmarkEnd w:id="2612"/>
      <w:bookmarkEnd w:id="2613"/>
    </w:p>
    <w:p>
      <w:pPr>
        <w:pStyle w:val="Para 04"/>
        <w:keepLines w:val="on"/>
      </w:pPr>
      <w:r>
        <w:t>Để minh họa tác động của việc sử dụng cổ tức mở rộng so với cổ tức thực tế, chúng ta sẽ xem xét Coca-Cola, một công ty đã mua lại cổ phiếu trong giai đoạn từ 2006 đến 2010. Trong Bảng 14.4, chúng ta ước tính tổng tiền mặt hoàn trả cho cổ đông mỗi năm từ 2006 đến 2010 và đối chiếu tỷ lệ chi trả mở rộng với tỷ lệ chi trả thông thường:</w:t>
      </w:r>
    </w:p>
    <w:p>
      <w:pPr>
        <w:pStyle w:val="Para 25"/>
        <w:keepLines w:val="on"/>
      </w:pPr>
      <w:r>
        <w:t>Bảng 14.4</w:t>
      </w:r>
    </w:p>
    <w:p>
      <w:pPr>
        <w:keepNext/>
        <w:pStyle w:val="Para 24"/>
        <w:keepLines w:val="on"/>
      </w:pPr>
      <w:r>
        <w:t>Cổ tức so với Mua lại cổ phiếu—Coca Cola</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2006</w:t>
                  </w:r>
                </w:p>
              </w:tc>
              <w:tc>
                <w:tcPr>
                  <w:tcW w:type="auto" w:w="0"/>
                  <w:shd w:val="clear" w:color="auto" w:fill="F0F0F0"/>
                </w:tcPr>
                <w:p>
                  <w:pPr>
                    <w:pStyle w:val="Para 05"/>
                    <w:keepLines w:val="on"/>
                  </w:pPr>
                  <w:r>
                    <w:t>2007</w:t>
                  </w:r>
                </w:p>
              </w:tc>
              <w:tc>
                <w:tcPr>
                  <w:tcW w:type="auto" w:w="0"/>
                  <w:shd w:val="clear" w:color="auto" w:fill="F0F0F0"/>
                </w:tcPr>
                <w:p>
                  <w:pPr>
                    <w:pStyle w:val="Para 05"/>
                    <w:keepLines w:val="on"/>
                  </w:pPr>
                  <w:r>
                    <w:t>2008</w:t>
                  </w:r>
                </w:p>
              </w:tc>
              <w:tc>
                <w:tcPr>
                  <w:tcW w:type="auto" w:w="0"/>
                  <w:shd w:val="clear" w:color="auto" w:fill="F0F0F0"/>
                </w:tcPr>
                <w:p>
                  <w:pPr>
                    <w:pStyle w:val="Para 05"/>
                    <w:keepLines w:val="on"/>
                  </w:pPr>
                  <w:r>
                    <w:t>2009</w:t>
                  </w:r>
                </w:p>
              </w:tc>
              <w:tc>
                <w:tcPr>
                  <w:tcW w:type="auto" w:w="0"/>
                  <w:shd w:val="clear" w:color="auto" w:fill="F0F0F0"/>
                </w:tcPr>
                <w:p>
                  <w:pPr>
                    <w:pStyle w:val="Para 05"/>
                    <w:keepLines w:val="on"/>
                  </w:pPr>
                  <w:r>
                    <w:t>2010</w:t>
                  </w:r>
                </w:p>
              </w:tc>
              <w:tc>
                <w:tcPr>
                  <w:tcW w:type="auto" w:w="0"/>
                  <w:shd w:val="clear" w:color="auto" w:fill="F0F0F0"/>
                </w:tcPr>
                <w:p>
                  <w:pPr>
                    <w:pStyle w:val="Para 05"/>
                    <w:keepLines w:val="on"/>
                  </w:pPr>
                  <w:r>
                    <w:t>Tổng</w:t>
                  </w:r>
                </w:p>
              </w:tc>
            </w:tr>
            <w:tr>
              <w:tc>
                <w:tcPr>
                  <w:tcW w:type="auto" w:w="0"/>
                  <w:shd w:val="clear" w:color="auto" w:fill="F0F0F0"/>
                </w:tcPr>
                <w:p>
                  <w:pPr>
                    <w:pStyle w:val="Para 02"/>
                    <w:keepLines w:val="on"/>
                  </w:pPr>
                  <w:r>
                    <w:t>Thu nhập ròng</w:t>
                  </w:r>
                </w:p>
              </w:tc>
              <w:tc>
                <w:tcPr>
                  <w:tcW w:type="auto" w:w="0"/>
                  <w:shd w:val="clear" w:color="auto" w:fill="F0F0F0"/>
                </w:tcPr>
                <w:p>
                  <w:pPr>
                    <w:pStyle w:val="Para 06"/>
                    <w:keepLines w:val="on"/>
                  </w:pPr>
                  <w:r>
                    <w:t>$5080</w:t>
                  </w:r>
                </w:p>
              </w:tc>
              <w:tc>
                <w:tcPr>
                  <w:tcW w:type="auto" w:w="0"/>
                  <w:shd w:val="clear" w:color="auto" w:fill="F0F0F0"/>
                </w:tcPr>
                <w:p>
                  <w:pPr>
                    <w:pStyle w:val="Para 06"/>
                    <w:keepLines w:val="on"/>
                  </w:pPr>
                  <w:r>
                    <w:t>$5981</w:t>
                  </w:r>
                </w:p>
              </w:tc>
              <w:tc>
                <w:tcPr>
                  <w:tcW w:type="auto" w:w="0"/>
                  <w:shd w:val="clear" w:color="auto" w:fill="F0F0F0"/>
                </w:tcPr>
                <w:p>
                  <w:pPr>
                    <w:pStyle w:val="Para 06"/>
                    <w:keepLines w:val="on"/>
                  </w:pPr>
                  <w:r>
                    <w:t>$5807</w:t>
                  </w:r>
                </w:p>
              </w:tc>
              <w:tc>
                <w:tcPr>
                  <w:tcW w:type="auto" w:w="0"/>
                  <w:shd w:val="clear" w:color="auto" w:fill="F0F0F0"/>
                </w:tcPr>
                <w:p>
                  <w:pPr>
                    <w:pStyle w:val="Para 06"/>
                    <w:keepLines w:val="on"/>
                  </w:pPr>
                  <w:r>
                    <w:t>$6824</w:t>
                  </w:r>
                </w:p>
              </w:tc>
              <w:tc>
                <w:tcPr>
                  <w:tcW w:type="auto" w:w="0"/>
                  <w:shd w:val="clear" w:color="auto" w:fill="F0F0F0"/>
                </w:tcPr>
                <w:p>
                  <w:pPr>
                    <w:pStyle w:val="Para 06"/>
                    <w:keepLines w:val="on"/>
                  </w:pPr>
                  <w:r>
                    <w:t>$11809</w:t>
                  </w:r>
                </w:p>
              </w:tc>
              <w:tc>
                <w:tcPr>
                  <w:tcW w:type="auto" w:w="0"/>
                  <w:shd w:val="clear" w:color="auto" w:fill="F0F0F0"/>
                </w:tcPr>
                <w:p>
                  <w:pPr>
                    <w:pStyle w:val="Para 06"/>
                    <w:keepLines w:val="on"/>
                  </w:pPr>
                  <w:r>
                    <w:t>$35501</w:t>
                  </w:r>
                </w:p>
              </w:tc>
            </w:tr>
            <w:tr>
              <w:tc>
                <w:tcPr>
                  <w:tcW w:type="auto" w:w="0"/>
                  <w:shd w:val="clear" w:color="auto" w:fill="F0F0F0"/>
                </w:tcPr>
                <w:p>
                  <w:pPr>
                    <w:pStyle w:val="Para 02"/>
                    <w:keepLines w:val="on"/>
                  </w:pPr>
                  <w:r>
                    <w:t>Cổ tức</w:t>
                  </w:r>
                </w:p>
              </w:tc>
              <w:tc>
                <w:tcPr>
                  <w:tcW w:type="auto" w:w="0"/>
                  <w:shd w:val="clear" w:color="auto" w:fill="F0F0F0"/>
                </w:tcPr>
                <w:p>
                  <w:pPr>
                    <w:pStyle w:val="Para 06"/>
                    <w:keepLines w:val="on"/>
                  </w:pPr>
                  <w:r>
                    <w:t>$2911</w:t>
                  </w:r>
                </w:p>
              </w:tc>
              <w:tc>
                <w:tcPr>
                  <w:tcW w:type="auto" w:w="0"/>
                  <w:shd w:val="clear" w:color="auto" w:fill="F0F0F0"/>
                </w:tcPr>
                <w:p>
                  <w:pPr>
                    <w:pStyle w:val="Para 06"/>
                    <w:keepLines w:val="on"/>
                  </w:pPr>
                  <w:r>
                    <w:t>$3149</w:t>
                  </w:r>
                </w:p>
              </w:tc>
              <w:tc>
                <w:tcPr>
                  <w:tcW w:type="auto" w:w="0"/>
                  <w:shd w:val="clear" w:color="auto" w:fill="F0F0F0"/>
                </w:tcPr>
                <w:p>
                  <w:pPr>
                    <w:pStyle w:val="Para 06"/>
                    <w:keepLines w:val="on"/>
                  </w:pPr>
                  <w:r>
                    <w:t>$3521</w:t>
                  </w:r>
                </w:p>
              </w:tc>
              <w:tc>
                <w:tcPr>
                  <w:tcW w:type="auto" w:w="0"/>
                  <w:shd w:val="clear" w:color="auto" w:fill="F0F0F0"/>
                </w:tcPr>
                <w:p>
                  <w:pPr>
                    <w:pStyle w:val="Para 06"/>
                    <w:keepLines w:val="on"/>
                  </w:pPr>
                  <w:r>
                    <w:t>$3800</w:t>
                  </w:r>
                </w:p>
              </w:tc>
              <w:tc>
                <w:tcPr>
                  <w:tcW w:type="auto" w:w="0"/>
                  <w:shd w:val="clear" w:color="auto" w:fill="F0F0F0"/>
                </w:tcPr>
                <w:p>
                  <w:pPr>
                    <w:pStyle w:val="Para 06"/>
                    <w:keepLines w:val="on"/>
                  </w:pPr>
                  <w:r>
                    <w:t>$ 4068</w:t>
                  </w:r>
                </w:p>
              </w:tc>
              <w:tc>
                <w:tcPr>
                  <w:tcW w:type="auto" w:w="0"/>
                  <w:shd w:val="clear" w:color="auto" w:fill="F0F0F0"/>
                </w:tcPr>
                <w:p>
                  <w:pPr>
                    <w:pStyle w:val="Para 06"/>
                    <w:keepLines w:val="on"/>
                  </w:pPr>
                  <w:r>
                    <w:t>$17449</w:t>
                  </w:r>
                </w:p>
              </w:tc>
            </w:tr>
            <w:tr>
              <w:tc>
                <w:tcPr>
                  <w:tcW w:type="auto" w:w="0"/>
                  <w:shd w:val="clear" w:color="auto" w:fill="F0F0F0"/>
                </w:tcPr>
                <w:p>
                  <w:pPr>
                    <w:pStyle w:val="Para 02"/>
                    <w:keepLines w:val="on"/>
                  </w:pPr>
                  <w:r>
                    <w:t>Mua lại cổ phiếu</w:t>
                  </w:r>
                </w:p>
              </w:tc>
              <w:tc>
                <w:tcPr>
                  <w:tcW w:type="auto" w:w="0"/>
                  <w:shd w:val="clear" w:color="auto" w:fill="F0F0F0"/>
                </w:tcPr>
                <w:p>
                  <w:pPr>
                    <w:pStyle w:val="Para 06"/>
                    <w:keepLines w:val="on"/>
                  </w:pPr>
                  <w:r>
                    <w:t>$2268</w:t>
                  </w:r>
                </w:p>
              </w:tc>
              <w:tc>
                <w:tcPr>
                  <w:tcW w:type="auto" w:w="0"/>
                  <w:shd w:val="clear" w:color="auto" w:fill="F0F0F0"/>
                </w:tcPr>
                <w:p>
                  <w:pPr>
                    <w:pStyle w:val="Para 06"/>
                    <w:keepLines w:val="on"/>
                  </w:pPr>
                  <w:r>
                    <w:t>$ 219</w:t>
                  </w:r>
                </w:p>
              </w:tc>
              <w:tc>
                <w:tcPr>
                  <w:tcW w:type="auto" w:w="0"/>
                  <w:shd w:val="clear" w:color="auto" w:fill="F0F0F0"/>
                </w:tcPr>
                <w:p>
                  <w:pPr>
                    <w:pStyle w:val="Para 06"/>
                    <w:keepLines w:val="on"/>
                  </w:pPr>
                  <w:r>
                    <w:t>$ 493</w:t>
                  </w:r>
                </w:p>
              </w:tc>
              <w:tc>
                <w:tcPr>
                  <w:tcW w:type="auto" w:w="0"/>
                  <w:shd w:val="clear" w:color="auto" w:fill="F0F0F0"/>
                </w:tcPr>
                <w:p>
                  <w:pPr>
                    <w:pStyle w:val="Para 06"/>
                    <w:keepLines w:val="on"/>
                  </w:pPr>
                  <w:r>
                    <w:t>$ 856</w:t>
                  </w:r>
                </w:p>
              </w:tc>
              <w:tc>
                <w:tcPr>
                  <w:tcW w:type="auto" w:w="0"/>
                  <w:shd w:val="clear" w:color="auto" w:fill="F0F0F0"/>
                </w:tcPr>
                <w:p>
                  <w:pPr>
                    <w:pStyle w:val="Para 06"/>
                    <w:keepLines w:val="on"/>
                  </w:pPr>
                  <w:r>
                    <w:t>$ 1295</w:t>
                  </w:r>
                </w:p>
              </w:tc>
              <w:tc>
                <w:tcPr>
                  <w:tcW w:type="auto" w:w="0"/>
                  <w:shd w:val="clear" w:color="auto" w:fill="F0F0F0"/>
                </w:tcPr>
                <w:p>
                  <w:pPr>
                    <w:pStyle w:val="Para 06"/>
                    <w:keepLines w:val="on"/>
                  </w:pPr>
                  <w:r>
                    <w:t>$ 5131</w:t>
                  </w:r>
                </w:p>
              </w:tc>
            </w:tr>
            <w:tr>
              <w:tc>
                <w:tcPr>
                  <w:tcW w:type="auto" w:w="0"/>
                  <w:shd w:val="clear" w:color="auto" w:fill="F0F0F0"/>
                </w:tcPr>
                <w:p>
                  <w:pPr>
                    <w:pStyle w:val="Para 02"/>
                    <w:keepLines w:val="on"/>
                  </w:pPr>
                  <w:r>
                    <w:t>Cổ tức + mua lại cổ phiếu</w:t>
                  </w:r>
                </w:p>
              </w:tc>
              <w:tc>
                <w:tcPr>
                  <w:tcW w:type="auto" w:w="0"/>
                  <w:shd w:val="clear" w:color="auto" w:fill="F0F0F0"/>
                </w:tcPr>
                <w:p>
                  <w:pPr>
                    <w:pStyle w:val="Para 06"/>
                    <w:keepLines w:val="on"/>
                  </w:pPr>
                  <w:r>
                    <w:t>$5179</w:t>
                  </w:r>
                </w:p>
              </w:tc>
              <w:tc>
                <w:tcPr>
                  <w:tcW w:type="auto" w:w="0"/>
                  <w:shd w:val="clear" w:color="auto" w:fill="F0F0F0"/>
                </w:tcPr>
                <w:p>
                  <w:pPr>
                    <w:pStyle w:val="Para 06"/>
                    <w:keepLines w:val="on"/>
                  </w:pPr>
                  <w:r>
                    <w:t>$3368</w:t>
                  </w:r>
                </w:p>
              </w:tc>
              <w:tc>
                <w:tcPr>
                  <w:tcW w:type="auto" w:w="0"/>
                  <w:shd w:val="clear" w:color="auto" w:fill="F0F0F0"/>
                </w:tcPr>
                <w:p>
                  <w:pPr>
                    <w:pStyle w:val="Para 06"/>
                    <w:keepLines w:val="on"/>
                  </w:pPr>
                  <w:r>
                    <w:t>$4014</w:t>
                  </w:r>
                </w:p>
              </w:tc>
              <w:tc>
                <w:tcPr>
                  <w:tcW w:type="auto" w:w="0"/>
                  <w:shd w:val="clear" w:color="auto" w:fill="F0F0F0"/>
                </w:tcPr>
                <w:p>
                  <w:pPr>
                    <w:pStyle w:val="Para 06"/>
                    <w:keepLines w:val="on"/>
                  </w:pPr>
                  <w:r>
                    <w:t>$4656</w:t>
                  </w:r>
                </w:p>
              </w:tc>
              <w:tc>
                <w:tcPr>
                  <w:tcW w:type="auto" w:w="0"/>
                  <w:shd w:val="clear" w:color="auto" w:fill="F0F0F0"/>
                </w:tcPr>
                <w:p>
                  <w:pPr>
                    <w:pStyle w:val="Para 06"/>
                    <w:keepLines w:val="on"/>
                  </w:pPr>
                  <w:r>
                    <w:t>$ 5363</w:t>
                  </w:r>
                </w:p>
              </w:tc>
              <w:tc>
                <w:tcPr>
                  <w:tcW w:type="auto" w:w="0"/>
                  <w:shd w:val="clear" w:color="auto" w:fill="F0F0F0"/>
                </w:tcPr>
                <w:p>
                  <w:pPr>
                    <w:pStyle w:val="Para 06"/>
                    <w:keepLines w:val="on"/>
                  </w:pPr>
                  <w:r>
                    <w:t>$22580</w:t>
                  </w:r>
                </w:p>
              </w:tc>
            </w:tr>
            <w:tr>
              <w:tc>
                <w:tcPr>
                  <w:tcW w:type="auto" w:w="0"/>
                  <w:shd w:val="clear" w:color="auto" w:fill="F0F0F0"/>
                </w:tcPr>
                <w:p>
                  <w:pPr>
                    <w:pStyle w:val="Para 02"/>
                    <w:keepLines w:val="on"/>
                  </w:pPr>
                  <w:r>
                    <w:t>Tỷ lệ chi trả cổ tức</w:t>
                  </w:r>
                </w:p>
              </w:tc>
              <w:tc>
                <w:tcPr>
                  <w:tcW w:type="auto" w:w="0"/>
                  <w:shd w:val="clear" w:color="auto" w:fill="F0F0F0"/>
                </w:tcPr>
                <w:p>
                  <w:pPr>
                    <w:pStyle w:val="Para 06"/>
                    <w:keepLines w:val="on"/>
                  </w:pPr>
                  <w:r>
                    <w:t>57.30%</w:t>
                  </w:r>
                </w:p>
              </w:tc>
              <w:tc>
                <w:tcPr>
                  <w:tcW w:type="auto" w:w="0"/>
                  <w:shd w:val="clear" w:color="auto" w:fill="F0F0F0"/>
                </w:tcPr>
                <w:p>
                  <w:pPr>
                    <w:pStyle w:val="Para 06"/>
                    <w:keepLines w:val="on"/>
                  </w:pPr>
                  <w:r>
                    <w:t>52.65%</w:t>
                  </w:r>
                </w:p>
              </w:tc>
              <w:tc>
                <w:tcPr>
                  <w:tcW w:type="auto" w:w="0"/>
                  <w:shd w:val="clear" w:color="auto" w:fill="F0F0F0"/>
                </w:tcPr>
                <w:p>
                  <w:pPr>
                    <w:pStyle w:val="Para 06"/>
                    <w:keepLines w:val="on"/>
                  </w:pPr>
                  <w:r>
                    <w:t>60.63%</w:t>
                  </w:r>
                </w:p>
              </w:tc>
              <w:tc>
                <w:tcPr>
                  <w:tcW w:type="auto" w:w="0"/>
                  <w:shd w:val="clear" w:color="auto" w:fill="F0F0F0"/>
                </w:tcPr>
                <w:p>
                  <w:pPr>
                    <w:pStyle w:val="Para 06"/>
                    <w:keepLines w:val="on"/>
                  </w:pPr>
                  <w:r>
                    <w:t>55.69%</w:t>
                  </w:r>
                </w:p>
              </w:tc>
              <w:tc>
                <w:tcPr>
                  <w:tcW w:type="auto" w:w="0"/>
                  <w:shd w:val="clear" w:color="auto" w:fill="F0F0F0"/>
                </w:tcPr>
                <w:p>
                  <w:pPr>
                    <w:pStyle w:val="Para 06"/>
                    <w:keepLines w:val="on"/>
                  </w:pPr>
                  <w:r>
                    <w:t>34,45%</w:t>
                  </w:r>
                </w:p>
              </w:tc>
              <w:tc>
                <w:tcPr>
                  <w:tcW w:type="auto" w:w="0"/>
                  <w:shd w:val="clear" w:color="auto" w:fill="F0F0F0"/>
                </w:tcPr>
                <w:p>
                  <w:pPr>
                    <w:pStyle w:val="Para 06"/>
                    <w:keepLines w:val="on"/>
                  </w:pPr>
                  <w:r>
                    <w:t>49,15%</w:t>
                  </w:r>
                </w:p>
              </w:tc>
            </w:tr>
            <w:tr>
              <w:tc>
                <w:tcPr>
                  <w:tcW w:type="auto" w:w="0"/>
                  <w:shd w:val="clear" w:color="auto" w:fill="F0F0F0"/>
                </w:tcPr>
                <w:p>
                  <w:pPr>
                    <w:pStyle w:val="Para 02"/>
                    <w:keepLines w:val="on"/>
                  </w:pPr>
                  <w:r>
                    <w:t>Tỷ lệ chi trả gia tăng</w:t>
                  </w:r>
                </w:p>
              </w:tc>
              <w:tc>
                <w:tcPr>
                  <w:tcW w:type="auto" w:w="0"/>
                  <w:shd w:val="clear" w:color="auto" w:fill="F0F0F0"/>
                </w:tcPr>
                <w:p>
                  <w:pPr>
                    <w:pStyle w:val="Para 06"/>
                    <w:keepLines w:val="on"/>
                  </w:pPr>
                  <w:r>
                    <w:t>101,95%</w:t>
                  </w:r>
                </w:p>
              </w:tc>
              <w:tc>
                <w:tcPr>
                  <w:tcW w:type="auto" w:w="0"/>
                  <w:shd w:val="clear" w:color="auto" w:fill="F0F0F0"/>
                </w:tcPr>
                <w:p>
                  <w:pPr>
                    <w:pStyle w:val="Para 06"/>
                    <w:keepLines w:val="on"/>
                  </w:pPr>
                  <w:r>
                    <w:t>56,31%</w:t>
                  </w:r>
                </w:p>
              </w:tc>
              <w:tc>
                <w:tcPr>
                  <w:tcW w:type="auto" w:w="0"/>
                  <w:shd w:val="clear" w:color="auto" w:fill="F0F0F0"/>
                </w:tcPr>
                <w:p>
                  <w:pPr>
                    <w:pStyle w:val="Para 06"/>
                    <w:keepLines w:val="on"/>
                  </w:pPr>
                  <w:r>
                    <w:t>69,12%</w:t>
                  </w:r>
                </w:p>
              </w:tc>
              <w:tc>
                <w:tcPr>
                  <w:tcW w:type="auto" w:w="0"/>
                  <w:shd w:val="clear" w:color="auto" w:fill="F0F0F0"/>
                </w:tcPr>
                <w:p>
                  <w:pPr>
                    <w:pStyle w:val="Para 06"/>
                    <w:keepLines w:val="on"/>
                  </w:pPr>
                  <w:r>
                    <w:t>68,23%</w:t>
                  </w:r>
                </w:p>
              </w:tc>
              <w:tc>
                <w:tcPr>
                  <w:tcW w:type="auto" w:w="0"/>
                  <w:shd w:val="clear" w:color="auto" w:fill="F0F0F0"/>
                </w:tcPr>
                <w:p>
                  <w:pPr>
                    <w:pStyle w:val="Para 06"/>
                    <w:keepLines w:val="on"/>
                  </w:pPr>
                  <w:r>
                    <w:t>45,41%</w:t>
                  </w:r>
                </w:p>
              </w:tc>
              <w:tc>
                <w:tcPr>
                  <w:tcW w:type="auto" w:w="0"/>
                  <w:shd w:val="clear" w:color="auto" w:fill="F0F0F0"/>
                </w:tcPr>
                <w:p>
                  <w:pPr>
                    <w:pStyle w:val="Para 06"/>
                    <w:keepLines w:val="on"/>
                  </w:pPr>
                  <w:r>
                    <w:t>63,60%</w:t>
                  </w:r>
                </w:p>
              </w:tc>
            </w:tr>
          </w:tbl>
          <w:p/>
        </w:tc>
      </w:tr>
    </w:tbl>
    <w:p>
      <w:pPr>
        <w:pStyle w:val="Para 04"/>
        <w:keepLines w:val="on"/>
      </w:pPr>
      <w:r>
        <w:t>Tỷ lệ chi trả cổ tức gia tăng cao hơn tỷ lệ chi trả cổ tức trong mỗi năm, nhưng việc mua lại cổ phiếu thì biến động thất thường. Đó là lý do vì sao chúng ta nên xem xét tỷ lệ chi trả cổ tức gia tăng trên tổng thể trong toàn bộ giai đoạn; con số đó là 63,60%, cao hơn tỷ lệ chi trả thông thường là 49,15%.</w:t>
      </w:r>
    </w:p>
    <w:p>
      <w:pPr>
        <w:pStyle w:val="Para 04"/>
        <w:keepLines w:val="on"/>
      </w:pPr>
      <w:r>
        <w:t>Điều này sẽ diễn ra như thế nào trong việc định giá Coca-Cola? Sử dụng tỷ lệ chi trả gia tăng cao hơn sẽ dẫn đến dòng tiền cao hơn cho cổ đông trong giai đoạn tăng trưởng cao, điều này sẽ làm tăng giá trị. Tuy nhiên, hiệu ứng này sẽ được bù đắp một phần hoặc thậm chí toàn bộ bởi tốc độ tăng trưởng cơ bản thấp hơn. Trong trường hợp của Coca-Cola, khi chúng ta giả định tỷ suất sinh lời trên vốn chủ sở hữu (return on equity - ROE) là 25%, tốc độ tăng trưởng kỳ vọng khi sử dụng tỷ lệ chi trả gia tăng cao hơn có thể được tính như sau:</w:t>
      </w:r>
    </w:p>
    <w:p>
      <w:bookmarkStart w:id="2616" w:name="Expected_growth_rate_ROEx_1___Au"/>
      <w:pPr>
        <w:keepNext/>
        <w:pStyle w:val="Para 07"/>
        <w:keepLines w:val="on"/>
      </w:pPr>
      <w:r>
        <w:t>Tốc độ tăng trưởng kỳ vọng = ROE × (1 − Tỷ lệ chi trả gia tăng) = 25% (1 − 0,636) = 9,1%</w:t>
      </w:r>
      <w:bookmarkEnd w:id="2616"/>
    </w:p>
    <w:p>
      <w:pPr>
        <w:pStyle w:val="Para 04"/>
        <w:keepLines w:val="on"/>
      </w:pPr>
      <w:r>
        <w:t>Ngược lại, nếu sử dụng tỷ lệ chi trả thông thường thì tốc độ tăng trưởng kỳ vọng sẽ cao hơn 12,5%.</w:t>
      </w:r>
    </w:p>
    <w:p>
      <w:bookmarkStart w:id="2617" w:name="Valuing_an_Entire_Market_Using_t"/>
      <w:bookmarkStart w:id="2618" w:name="Valuing_an_Entire_Market_Using_t_1"/>
      <w:pPr>
        <w:keepNext/>
        <w:pStyle w:val="Heading 3"/>
        <w:keepLines w:val="on"/>
      </w:pPr>
      <w:r>
        <w:t>Định giá toàn bộ thị trường bằng Mô hình Chiết khấu Cổ tức Gia tăng</w:t>
      </w:r>
      <w:bookmarkEnd w:id="2617"/>
      <w:bookmarkEnd w:id="2618"/>
    </w:p>
    <w:p>
      <w:pPr>
        <w:pStyle w:val="Para 03"/>
      </w:pPr>
      <w:r>
        <w:t>Tất cả các ví dụ về mô hình chiết khấu cổ tức của chúng ta cho đến nay đều liên quan đến các công ty riêng lẻ, nhưng không có lý do gì chúng ta không thể áp dụng cùng mô hình đó để định giá một ngành hoặc thậm chí toàn bộ thị trường. Giá thị trường của cổ phiếu sẽ được thay thế bằng tổng giá trị thị trường của tất cả các cổ phiếu trong ngành hoặc thị trường. Cổ tức kỳ vọng sẽ là tổng cổ tức của tất cả các cổ phiếu này và có thể được mở rộng để bao gồm cả việc mua lại cổ phiếu của tất cả các công ty. Tốc độ tăng trưởng kỳ vọng sẽ là tốc độ tăng trưởng của tổng thu nhập của chỉ số. Sẽ không cần đến beta, vì bạn đang xem xét toàn bộ thị trường (vốn nên có beta bằng 1), và bạn có thể cộng phần bù rủi ro (hoặc các phần bù rủi ro) vào lãi suất phi rủi ro để ước tính chi phí vốn chủ sở hữu. Bạn có thể sử dụng mô hình hai giai đoạn, trong đó tốc độ tăng trưởng này lớn hơn tốc độ tăng trưởng của nền kinh tế, nhưng bạn nên thận trọng đừng đặt tốc độ tăng trưởng quá cao hoặc giai đoạn tăng trưởng quá dài, vì sẽ rất khó để tổng tăng trưởng thu nhập của tất cả các công ty trong một nền kinh tế vượt trước tốc độ tăng trưởng của nền kinh tế trong thời gian dài.</w:t>
      </w:r>
    </w:p>
    <w:p>
      <w:pPr>
        <w:pStyle w:val="Para 03"/>
      </w:pPr>
      <w:r>
        <w:t>Hãy xem xét một ví dụ đơn giản. Giả sử bạn có một chỉ số đang giao dịch ở mức 700, và tỷ suất cổ tức trung bình của các cổ phiếu trong chỉ số là 5 phần trăm. Thu nhập và cổ tức được kỳ vọng sẽ tăng 4 phần trăm mỗi năm mãi mãi, và lãi suất phi rủi ro là 5,4 phần trăm. Nếu bạn sử dụng phần bù rủi ro thị trường là 4 phần trăm, giá trị của chỉ số có thể được ước tính như sau:</w:t>
      </w:r>
    </w:p>
    <w:p>
      <w:bookmarkStart w:id="2620" w:name="Cost_of_equity_Riskless_rate_Ris"/>
      <w:pPr>
        <w:keepNext/>
        <w:pStyle w:val="Para 09"/>
        <w:keepLines w:val="on"/>
      </w:pPr>
      <w:r>
        <w:t>Chi phí vốn chủ sở hữu = Lãi suất phi rủi ro + Phần bù rủi ro = 5,4% + 4% = 9,4%</w:t>
      </w:r>
      <w:bookmarkEnd w:id="2620"/>
    </w:p>
    <w:p>
      <w:bookmarkStart w:id="2621" w:name="Expected_dividends_next_year__Di"/>
      <w:pPr>
        <w:keepNext/>
        <w:pStyle w:val="Para 09"/>
        <w:keepLines w:val="on"/>
      </w:pPr>
      <w:r>
        <w:t>Cổ tức kỳ vọng năm tới = (Tỷ suất cổ tức × Giá trị của chỉ số) (1 + Tốc độ tăng trưởng kỳ vọng) = (0,05 × 700) (1,04) = 36,4</w:t>
      </w:r>
      <w:bookmarkEnd w:id="2621"/>
    </w:p>
    <w:p>
      <w:bookmarkStart w:id="2622" w:name="Value_of_the_index_Expected_divi"/>
      <w:pPr>
        <w:keepNext/>
        <w:pStyle w:val="Para 09"/>
        <w:keepLines w:val="on"/>
      </w:pPr>
      <w:r>
        <w:t>Giá trị của chỉ số = Cổ tức kỳ vọng năm tới / (Chi phí vốn chủ sở hữu − Tốc độ tăng trưởng) = 36,4 / (0,094 − 0,04) = 674</w:t>
      </w:r>
      <w:bookmarkEnd w:id="2622"/>
    </w:p>
    <w:p>
      <w:pPr>
        <w:pStyle w:val="Para 03"/>
      </w:pPr>
      <w:r>
        <w:t>Ở mức hiện tại là 700, thị trường đang được định giá hơi cao.</w:t>
      </w:r>
    </w:p>
    <w:p>
      <w:pPr>
        <w:pStyle w:val="Para 11"/>
      </w:pPr>
      <w:r>
        <w:t xml:space="preserve"> </w:t>
      </w:r>
    </w:p>
    <w:p>
      <w:bookmarkStart w:id="2623" w:name="ILLUSTRATION_14_7___Valuing_the_1"/>
      <w:bookmarkStart w:id="2624" w:name="ILLUSTRATION_14_7___Valuing_the"/>
      <w:pPr>
        <w:keepNext/>
        <w:pStyle w:val="Para 19"/>
        <w:keepLines w:val="on"/>
      </w:pPr>
      <w:r>
        <w:t>MINH HỌA 14.7: Định giá S&amp;P 500 bằng Cổ tức Gia tăng</w:t>
      </w:r>
      <w:bookmarkEnd w:id="2623"/>
      <w:bookmarkEnd w:id="2624"/>
    </w:p>
    <w:p>
      <w:pPr>
        <w:pStyle w:val="Para 04"/>
        <w:keepLines w:val="on"/>
      </w:pPr>
      <w:r>
        <w:t>Vào ngày 1 tháng 1 năm 2024, S&amp;P 500 đang giao dịch ở mức 4.769,83, và cổ tức cùng việc mua lại cổ phiếu trên chỉ số này đạt 164,25 trong năm trước đó, trên mức thu nhập là 219,70. Vào cùng ngày đó, các nhà phân tích ước tính rằng thu nhập sẽ tăng 8,74% mỗi năm trong năm năm tới (2024–2028). Giả sử cổ tức tăng cùng tốc độ với thu nhập, chúng ta thu được kết quả sau trong Bảng 14.5.</w:t>
      </w:r>
    </w:p>
    <w:p>
      <w:pPr>
        <w:pStyle w:val="Para 25"/>
        <w:keepLines w:val="on"/>
      </w:pPr>
      <w:r>
        <w:t>Bảng 14.5</w:t>
      </w:r>
    </w:p>
    <w:p>
      <w:pPr>
        <w:keepNext/>
        <w:pStyle w:val="Para 24"/>
        <w:keepLines w:val="on"/>
      </w:pPr>
      <w:r>
        <w:t>Cổ tức và Mua lại Cổ phiếu cho S&amp;P 500</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12 tháng gần nhất</w:t>
                  </w:r>
                </w:p>
              </w:tc>
              <w:tc>
                <w:tcPr>
                  <w:tcW w:type="auto" w:w="0"/>
                  <w:shd w:val="clear" w:color="auto" w:fill="F0F0F0"/>
                </w:tcPr>
                <w:p>
                  <w:pPr>
                    <w:pStyle w:val="Para 05"/>
                    <w:keepLines w:val="on"/>
                  </w:pPr>
                  <w:r>
                    <w:t>2024</w:t>
                  </w:r>
                </w:p>
              </w:tc>
              <w:tc>
                <w:tcPr>
                  <w:tcW w:type="auto" w:w="0"/>
                  <w:shd w:val="clear" w:color="auto" w:fill="F0F0F0"/>
                </w:tcPr>
                <w:p>
                  <w:pPr>
                    <w:pStyle w:val="Para 05"/>
                    <w:keepLines w:val="on"/>
                  </w:pPr>
                  <w:r>
                    <w:t>2025</w:t>
                  </w:r>
                </w:p>
              </w:tc>
              <w:tc>
                <w:tcPr>
                  <w:tcW w:type="auto" w:w="0"/>
                  <w:shd w:val="clear" w:color="auto" w:fill="F0F0F0"/>
                </w:tcPr>
                <w:p>
                  <w:pPr>
                    <w:pStyle w:val="Para 05"/>
                    <w:keepLines w:val="on"/>
                  </w:pPr>
                  <w:r>
                    <w:t>2026</w:t>
                  </w:r>
                </w:p>
              </w:tc>
              <w:tc>
                <w:tcPr>
                  <w:tcW w:type="auto" w:w="0"/>
                  <w:shd w:val="clear" w:color="auto" w:fill="F0F0F0"/>
                </w:tcPr>
                <w:p>
                  <w:pPr>
                    <w:pStyle w:val="Para 05"/>
                    <w:keepLines w:val="on"/>
                  </w:pPr>
                  <w:r>
                    <w:t>2027</w:t>
                  </w:r>
                </w:p>
              </w:tc>
              <w:tc>
                <w:tcPr>
                  <w:tcW w:type="auto" w:w="0"/>
                  <w:shd w:val="clear" w:color="auto" w:fill="F0F0F0"/>
                </w:tcPr>
                <w:p>
                  <w:pPr>
                    <w:pStyle w:val="Para 05"/>
                    <w:keepLines w:val="on"/>
                  </w:pPr>
                  <w:r>
                    <w:t>2028</w:t>
                  </w:r>
                </w:p>
              </w:tc>
            </w:tr>
            <w:tr>
              <w:tc>
                <w:tcPr>
                  <w:tcW w:type="auto" w:w="0"/>
                  <w:shd w:val="clear" w:color="auto" w:fill="F0F0F0"/>
                </w:tcPr>
                <w:p>
                  <w:pPr>
                    <w:pStyle w:val="Para 02"/>
                    <w:keepLines w:val="on"/>
                  </w:pPr>
                  <w:r>
                    <w:t>Thu nhập dự kiến</w:t>
                  </w:r>
                </w:p>
              </w:tc>
              <w:tc>
                <w:tcPr>
                  <w:tcW w:type="auto" w:w="0"/>
                  <w:shd w:val="clear" w:color="auto" w:fill="F0F0F0"/>
                </w:tcPr>
                <w:p>
                  <w:pPr>
                    <w:pStyle w:val="Para 06"/>
                    <w:keepLines w:val="on"/>
                  </w:pPr>
                  <w:r>
                    <w:t>219,70</w:t>
                  </w:r>
                </w:p>
              </w:tc>
              <w:tc>
                <w:tcPr>
                  <w:tcW w:type="auto" w:w="0"/>
                  <w:shd w:val="clear" w:color="auto" w:fill="F0F0F0"/>
                </w:tcPr>
                <w:p>
                  <w:pPr>
                    <w:pStyle w:val="Para 06"/>
                    <w:keepLines w:val="on"/>
                  </w:pPr>
                  <w:r>
                    <w:t>238,89</w:t>
                  </w:r>
                </w:p>
              </w:tc>
              <w:tc>
                <w:tcPr>
                  <w:tcW w:type="auto" w:w="0"/>
                  <w:shd w:val="clear" w:color="auto" w:fill="F0F0F0"/>
                </w:tcPr>
                <w:p>
                  <w:pPr>
                    <w:pStyle w:val="Para 06"/>
                    <w:keepLines w:val="on"/>
                  </w:pPr>
                  <w:r>
                    <w:t>259,76</w:t>
                  </w:r>
                </w:p>
              </w:tc>
              <w:tc>
                <w:tcPr>
                  <w:tcW w:type="auto" w:w="0"/>
                  <w:shd w:val="clear" w:color="auto" w:fill="F0F0F0"/>
                </w:tcPr>
                <w:p>
                  <w:pPr>
                    <w:pStyle w:val="Para 06"/>
                    <w:keepLines w:val="on"/>
                  </w:pPr>
                  <w:r>
                    <w:t>282,45</w:t>
                  </w:r>
                </w:p>
              </w:tc>
              <w:tc>
                <w:tcPr>
                  <w:tcW w:type="auto" w:w="0"/>
                  <w:shd w:val="clear" w:color="auto" w:fill="F0F0F0"/>
                </w:tcPr>
                <w:p>
                  <w:pPr>
                    <w:pStyle w:val="Para 06"/>
                    <w:keepLines w:val="on"/>
                  </w:pPr>
                  <w:r>
                    <w:t>307,13</w:t>
                  </w:r>
                </w:p>
              </w:tc>
              <w:tc>
                <w:tcPr>
                  <w:tcW w:type="auto" w:w="0"/>
                  <w:shd w:val="clear" w:color="auto" w:fill="F0F0F0"/>
                </w:tcPr>
                <w:p>
                  <w:pPr>
                    <w:pStyle w:val="Para 06"/>
                    <w:keepLines w:val="on"/>
                  </w:pPr>
                  <w:r>
                    <w:t>333,96</w:t>
                  </w:r>
                </w:p>
              </w:tc>
            </w:tr>
            <w:tr>
              <w:tc>
                <w:tcPr>
                  <w:tcW w:type="auto" w:w="0"/>
                  <w:shd w:val="clear" w:color="auto" w:fill="F0F0F0"/>
                </w:tcPr>
                <w:p>
                  <w:pPr>
                    <w:pStyle w:val="Para 02"/>
                    <w:keepLines w:val="on"/>
                  </w:pPr>
                  <w:r>
                    <w:t>Tỷ lệ chi trả bằng tiền mặt</w:t>
                  </w:r>
                </w:p>
              </w:tc>
              <w:tc>
                <w:tcPr>
                  <w:tcW w:type="auto" w:w="0"/>
                  <w:shd w:val="clear" w:color="auto" w:fill="F0F0F0"/>
                </w:tcPr>
                <w:p>
                  <w:pPr>
                    <w:pStyle w:val="Para 06"/>
                    <w:keepLines w:val="on"/>
                  </w:pPr>
                  <w:r>
                    <w:t>77,85%</w:t>
                  </w:r>
                </w:p>
              </w:tc>
              <w:tc>
                <w:tcPr>
                  <w:tcW w:type="auto" w:w="0"/>
                  <w:shd w:val="clear" w:color="auto" w:fill="F0F0F0"/>
                </w:tcPr>
                <w:p>
                  <w:pPr>
                    <w:pStyle w:val="Para 06"/>
                    <w:keepLines w:val="on"/>
                  </w:pPr>
                  <w:r>
                    <w:t>77,85%</w:t>
                  </w:r>
                </w:p>
              </w:tc>
              <w:tc>
                <w:tcPr>
                  <w:tcW w:type="auto" w:w="0"/>
                  <w:shd w:val="clear" w:color="auto" w:fill="F0F0F0"/>
                </w:tcPr>
                <w:p>
                  <w:pPr>
                    <w:pStyle w:val="Para 06"/>
                    <w:keepLines w:val="on"/>
                  </w:pPr>
                  <w:r>
                    <w:t>77,85%</w:t>
                  </w:r>
                </w:p>
              </w:tc>
              <w:tc>
                <w:tcPr>
                  <w:tcW w:type="auto" w:w="0"/>
                  <w:shd w:val="clear" w:color="auto" w:fill="F0F0F0"/>
                </w:tcPr>
                <w:p>
                  <w:pPr>
                    <w:pStyle w:val="Para 06"/>
                    <w:keepLines w:val="on"/>
                  </w:pPr>
                  <w:r>
                    <w:t>77,85%</w:t>
                  </w:r>
                </w:p>
              </w:tc>
              <w:tc>
                <w:tcPr>
                  <w:tcW w:type="auto" w:w="0"/>
                  <w:shd w:val="clear" w:color="auto" w:fill="F0F0F0"/>
                </w:tcPr>
                <w:p>
                  <w:pPr>
                    <w:pStyle w:val="Para 06"/>
                    <w:keepLines w:val="on"/>
                  </w:pPr>
                  <w:r>
                    <w:t>77,85%</w:t>
                  </w:r>
                </w:p>
              </w:tc>
              <w:tc>
                <w:tcPr>
                  <w:tcW w:type="auto" w:w="0"/>
                  <w:shd w:val="clear" w:color="auto" w:fill="F0F0F0"/>
                </w:tcPr>
                <w:p>
                  <w:pPr>
                    <w:pStyle w:val="Para 06"/>
                    <w:keepLines w:val="on"/>
                  </w:pPr>
                  <w:r>
                    <w:t>77,85%</w:t>
                  </w:r>
                </w:p>
              </w:tc>
            </w:tr>
            <w:tr>
              <w:tc>
                <w:tcPr>
                  <w:tcW w:type="auto" w:w="0"/>
                  <w:shd w:val="clear" w:color="auto" w:fill="F0F0F0"/>
                </w:tcPr>
                <w:p>
                  <w:pPr>
                    <w:pStyle w:val="Para 02"/>
                    <w:keepLines w:val="on"/>
                  </w:pPr>
                  <w:r>
                    <w:t>Cổ tức + Mua lại cổ phiếu</w:t>
                  </w:r>
                </w:p>
              </w:tc>
              <w:tc>
                <w:tcPr>
                  <w:tcW w:type="auto" w:w="0"/>
                  <w:shd w:val="clear" w:color="auto" w:fill="F0F0F0"/>
                </w:tcPr>
                <w:p>
                  <w:pPr>
                    <w:pStyle w:val="Para 06"/>
                    <w:keepLines w:val="on"/>
                  </w:pPr>
                  <w:r>
                    <w:t>164,25</w:t>
                  </w:r>
                </w:p>
              </w:tc>
              <w:tc>
                <w:tcPr>
                  <w:tcW w:type="auto" w:w="0"/>
                  <w:shd w:val="clear" w:color="auto" w:fill="F0F0F0"/>
                </w:tcPr>
                <w:p>
                  <w:pPr>
                    <w:pStyle w:val="Para 06"/>
                    <w:keepLines w:val="on"/>
                  </w:pPr>
                  <w:r>
                    <w:t>185,97</w:t>
                  </w:r>
                </w:p>
              </w:tc>
              <w:tc>
                <w:tcPr>
                  <w:tcW w:type="auto" w:w="0"/>
                  <w:shd w:val="clear" w:color="auto" w:fill="F0F0F0"/>
                </w:tcPr>
                <w:p>
                  <w:pPr>
                    <w:pStyle w:val="Para 06"/>
                    <w:keepLines w:val="on"/>
                  </w:pPr>
                  <w:r>
                    <w:t>202,21</w:t>
                  </w:r>
                </w:p>
              </w:tc>
              <w:tc>
                <w:tcPr>
                  <w:tcW w:type="auto" w:w="0"/>
                  <w:shd w:val="clear" w:color="auto" w:fill="F0F0F0"/>
                </w:tcPr>
                <w:p>
                  <w:pPr>
                    <w:pStyle w:val="Para 06"/>
                    <w:keepLines w:val="on"/>
                  </w:pPr>
                  <w:r>
                    <w:t>219,88</w:t>
                  </w:r>
                </w:p>
              </w:tc>
              <w:tc>
                <w:tcPr>
                  <w:tcW w:type="auto" w:w="0"/>
                  <w:shd w:val="clear" w:color="auto" w:fill="F0F0F0"/>
                </w:tcPr>
                <w:p>
                  <w:pPr>
                    <w:pStyle w:val="Para 06"/>
                    <w:keepLines w:val="on"/>
                  </w:pPr>
                  <w:r>
                    <w:t>239,09</w:t>
                  </w:r>
                </w:p>
              </w:tc>
              <w:tc>
                <w:tcPr>
                  <w:tcW w:type="auto" w:w="0"/>
                  <w:shd w:val="clear" w:color="auto" w:fill="F0F0F0"/>
                </w:tcPr>
                <w:p>
                  <w:pPr>
                    <w:pStyle w:val="Para 06"/>
                    <w:keepLines w:val="on"/>
                  </w:pPr>
                  <w:r>
                    <w:t>259,97</w:t>
                  </w:r>
                </w:p>
              </w:tc>
            </w:tr>
          </w:tbl>
          <w:p/>
        </w:tc>
      </w:tr>
    </w:tbl>
    <w:p>
      <w:pPr>
        <w:pStyle w:val="Para 04"/>
        <w:keepLines w:val="on"/>
      </w:pPr>
      <w:r>
        <w:t>Để ước tính chi phí vốn cổ phần (cost of equity), chúng ta giả định beta của chỉ số là 1, đồng thời sử dụng lãi suất phi rủi ro (risk-free rate) ngày 1 tháng 1 năm 2024 là 3,88% và phần bù rủi ro vốn cổ phần (equity risk premium) là 5%:</w:t>
      </w:r>
    </w:p>
    <w:p>
      <w:bookmarkStart w:id="2627" w:name="Cost_of_equity_3_88__5__8_88"/>
      <w:pPr>
        <w:keepNext/>
        <w:pStyle w:val="Para 07"/>
        <w:keepLines w:val="on"/>
      </w:pPr>
      <w:r>
        <w:t>Chi phí vốn cổ phần = 3,88% + 5% = 8,88%</w:t>
      </w:r>
      <w:bookmarkEnd w:id="2627"/>
    </w:p>
    <w:p>
      <w:pPr>
        <w:pStyle w:val="Para 04"/>
        <w:keepLines w:val="on"/>
      </w:pPr>
      <w:r>
        <w:t>Sau năm thứ 5, thu nhập và cổ tức dự kiến sẽ tăng trưởng ở mức 3,88%, cùng mức danh nghĩa với nền kinh tế (giả định bằng lãi suất phi rủi ro). Giá trị chúng ta tính được cho chỉ số như sau:</w:t>
      </w:r>
    </w:p>
    <w:p>
      <w:bookmarkStart w:id="2628" w:name="Index_value__185_97_1_088__202_2"/>
      <w:pPr>
        <w:keepNext/>
        <w:pStyle w:val="Para 07"/>
        <w:keepLines w:val="on"/>
      </w:pPr>
      <w:r>
        <w:t>Giá trị chỉ số =185,97(1,088)+202,21(1,088)2+219,88(1,088)3+239,09(1,088)4 + 259,97(1,088)5+259,97 (1,0388)(,0888−,0388)(1,088)5=4381,57</w:t>
      </w:r>
      <w:bookmarkEnd w:id="2628"/>
    </w:p>
    <w:p>
      <w:pPr>
        <w:pStyle w:val="Para 04"/>
        <w:keepLines w:val="on"/>
      </w:pPr>
      <w:r>
        <w:t>Điều này cho thấy chỉ số đã bị định giá cao hơn (overvalued) 8,86% vào ngày 1 tháng 1 năm 2024.</w:t>
      </w:r>
    </w:p>
    <w:p>
      <w:bookmarkStart w:id="2629" w:name="Index_valuation_Index_Price_Inde"/>
      <w:pPr>
        <w:keepNext/>
        <w:pStyle w:val="Para 07"/>
        <w:keepLines w:val="on"/>
      </w:pPr>
      <w:r>
        <w:t>Định giá chỉ số = Giá chỉ số / Giá trị chỉ số − 1 = (4769,83/4381,57) – 1 = ,0888 hay 8,88%</w:t>
      </w:r>
      <w:bookmarkEnd w:id="2629"/>
    </w:p>
    <w:p>
      <w:pPr>
        <w:pStyle w:val="Para 04"/>
        <w:keepLines w:val="on"/>
      </w:pPr>
      <w:r>
        <w:t>Cách định giá này giả định rằng tỷ lệ chi trả tiền mặt (cash payout ratio) sẽ không thay đổi theo thời gian, nhưng có thể dễ dàng điều chỉnh để cho phép tỷ lệ chi trả — ít nhất trong phần tính giá trị cuối kỳ (terminal value) — được điều chỉnh nhằm phản ánh tỷ suất sinh lời trên vốn cổ phần (return on equity) của các cổ phiếu trong chỉ số và tốc độ tăng trưởng kỳ vọng. Chẳng hạn, vào đầu năm 2024, sử dụng tỷ suất sinh lời trên vốn cổ phần của S&amp;P là 17,04% sẽ cho ra tỷ lệ chi trả ở trạng thái ổn định (steady state payout ratio) là 77,23% và giá trị nội tại (intrinsic value) của chỉ số là 4349,70.5</w:t>
      </w:r>
    </w:p>
    <w:p>
      <w:bookmarkStart w:id="2632" w:name="Potential_Dividend_or_FCFE_Model"/>
      <w:bookmarkStart w:id="2633" w:name="Potential_Dividend_or_FCFE_Model_1"/>
      <w:pPr>
        <w:keepNext/>
        <w:pStyle w:val="Heading 2"/>
        <w:keepLines w:val="on"/>
      </w:pPr>
      <w:r>
        <w:t>Các mô hình cổ tức tiềm năng hoặc FCFE</w:t>
      </w:r>
      <w:bookmarkEnd w:id="2632"/>
      <w:bookmarkEnd w:id="2633"/>
    </w:p>
    <w:p>
      <w:pPr>
        <w:pStyle w:val="Para 03"/>
      </w:pPr>
      <w:r>
        <w:t>Dựa trên những gì các công ty đang trả lại cho cổ đông dưới dạng cổ tức hoặc mua lại cổ phiếu (stock buybacks), làm sao chúng ta quyết định được liệu họ đang trả lại quá nhiều hay quá ít? Chúng tôi đề xuất một thước đo đơn giản về lượng tiền mặt sẵn có để chi trả cho cổ đông sau khi đáp ứng nhu cầu tái đầu tư (reinvestment needs), rồi so sánh khoản này với lượng tiền được trả lại cho cổ đông dưới dạng cổ tức hoặc mua lại cổ phiếu.</w:t>
      </w:r>
    </w:p>
    <w:p>
      <w:bookmarkStart w:id="2634" w:name="Free_Cash_Flows_to_Equity"/>
      <w:bookmarkStart w:id="2635" w:name="Free_Cash_Flows_to_Equity__To_es"/>
      <w:pPr>
        <w:keepNext/>
        <w:pStyle w:val="Heading 3"/>
        <w:keepLines w:val="on"/>
      </w:pPr>
      <w:r>
        <w:t>Dòng tiền tự do cho vốn cổ phần (Free Cash Flows to Equity)</w:t>
      </w:r>
      <w:bookmarkEnd w:id="2634"/>
      <w:bookmarkEnd w:id="2635"/>
    </w:p>
    <w:p>
      <w:pPr>
        <w:pStyle w:val="Para 03"/>
      </w:pPr>
      <w:r>
        <w:t>Để ước tính một công ty có thể chi trả cho cổ đông của mình bao nhiêu tiền mặt, chúng ta bắt đầu từ thu nhập ròng (net income) — thước đo kế toán về thu nhập của cổ đông trong kỳ — và chuyển nó thành dòng tiền bằng cách trừ đi nhu cầu tái đầu tư của công ty. Đầu tiên, mọi khoản chi tiêu vốn (capital expenditures), được định nghĩa rộng bao gồm cả các thương vụ mua lại (acquisitions), đều bị trừ khỏi thu nhập ròng vì chúng đại diện cho dòng tiền ra. Ngược lại, khấu hao (depreciation) và khấu trừ dần (amortization) được cộng trở lại vì chúng là chi phí kế toán chứ không phải chi phí tiền mặt. Chênh lệch giữa chi tiêu vốn và khấu hao (chi tiêu vốn ròng – net capital expenditures) thường là một hàm số của đặc điểm tăng trưởng của công ty. Các công ty tăng trưởng cao thường có chi tiêu vốn ròng cao so với thu nhập, trong khi các công ty tăng trưởng thấp có thể có chi tiêu vốn ròng thấp, và đôi khi thậm chí âm.</w:t>
      </w:r>
    </w:p>
    <w:p>
      <w:pPr>
        <w:pStyle w:val="Para 03"/>
      </w:pPr>
      <w:r>
        <w:t>Thứ hai, việc tăng vốn lưu động (working capital) làm rút bớt dòng tiền của công ty, trong khi việc giảm vốn lưu động làm tăng dòng tiền sẵn có cho nhà đầu tư vốn cổ phần. Các công ty đang tăng trưởng nhanh, trong những ngành có nhu cầu vốn lưu động cao (ví dụ như bán lẻ), thường có mức tăng vốn lưu động lớn. Vì chúng ta quan tâm đến tác động lên dòng tiền, trong phân tích này chúng ta chỉ xét những thay đổi của vốn lưu động phi tiền mặt (noncash working capital).</w:t>
      </w:r>
    </w:p>
    <w:p>
      <w:pPr>
        <w:pStyle w:val="Para 03"/>
      </w:pPr>
      <w:r>
        <w:t>Cuối cùng, nhà đầu tư vốn cổ phần cũng phải xem xét tác động của những thay đổi trong mức nợ lên dòng tiền của họ. Việc trả gốc khoản nợ hiện có đại diện cho dòng tiền ra, nhưng việc trả nợ này có thể được tài trợ toàn bộ hoặc một phần bằng việc phát hành nợ mới, vốn là dòng tiền vào. Một lần nữa, việc bù trừ khoản trả nợ cũ với khoản phát hành nợ mới cho ta một thước đo về tác động lên dòng tiền của những thay đổi trong nợ.</w:t>
      </w:r>
    </w:p>
    <w:p>
      <w:pPr>
        <w:pStyle w:val="Para 03"/>
      </w:pPr>
      <w:r>
        <w:t>Sau khi tính đến tác động lên dòng tiền của chi tiêu vốn ròng, thay đổi vốn lưu động và thay đổi ròng trong nợ đối với nhà đầu tư vốn cổ phần, chúng ta có thể định nghĩa phần dòng tiền còn lại sau những thay đổi này là dòng tiền tự do cho vốn cổ phần (free cash flow to equity – FCFE):</w:t>
      </w:r>
    </w:p>
    <w:p>
      <w:bookmarkStart w:id="2636" w:name="Free_cash_flow_to_equity_Net_inc"/>
      <w:pPr>
        <w:keepNext/>
        <w:pStyle w:val="Para 09"/>
        <w:keepLines w:val="on"/>
      </w:pPr>
      <w:r>
        <w:t>Dòng tiền tự do cho vốn cổ phần = Thu nhập ròng − (Chi tiêu vốn − Khấu hao) − (Thay đổi vốn lưu động phi tiền mặt) + (Nợ mới phát hành − Trả nợ)</w:t>
      </w:r>
      <w:bookmarkEnd w:id="2636"/>
    </w:p>
    <w:p>
      <w:pPr>
        <w:pStyle w:val="Para 03"/>
      </w:pPr>
      <w:r>
        <w:t>Đây là dòng tiền sẵn có để chi trả dưới dạng cổ tức. Phân rã phương trình này, khoản tái đầu tư của nhà đầu tư vốn cổ phần vào công ty có thể được viết như sau:</w:t>
      </w:r>
    </w:p>
    <w:p>
      <w:bookmarkStart w:id="2638" w:name="Equity_reinvestment_Capital_expe"/>
      <w:pPr>
        <w:keepNext/>
        <w:pStyle w:val="Para 09"/>
        <w:keepLines w:val="on"/>
      </w:pPr>
      <w:r>
        <w:t>Tái đầu tư vốn cổ phần = Chi tiêu vốn − Khấu hao + Thay đổi vốn lưu động phi tiền mặt − (Phát hành nợ mới − Trả nợ)Tỷ lệ tái đầu tư vốn cổ phần = Tái đầu tư vốn cổ phần / Thu nhập ròng</w:t>
      </w:r>
      <w:bookmarkEnd w:id="2638"/>
    </w:p>
    <w:p>
      <w:pPr>
        <w:pStyle w:val="Para 03"/>
      </w:pPr>
      <w:r>
        <w:t>Phép tính này có thể được đơn giản hóa nếu chúng ta giả định rằng chi tiêu vốn ròng và thay đổi vốn lưu động được tài trợ bằng một tỷ lệ cố định6 giữa nợ và vốn cổ phần. Nếu δ là tỷ lệ của chi tiêu vốn ròng và thay đổi vốn lưu động được huy động từ tài trợ bằng nợ, thì tác động lên dòng tiền cho vốn cổ phần của những khoản này có thể được biểu diễn như sau:</w:t>
      </w:r>
    </w:p>
    <w:p>
      <w:bookmarkStart w:id="2640" w:name="Equity_cash_flows_associated_wit"/>
      <w:pPr>
        <w:keepNext/>
        <w:pStyle w:val="Para 09"/>
        <w:keepLines w:val="on"/>
      </w:pPr>
      <w:r>
        <w:t>Dòng tiền vốn cổ phần gắn với việc đáp ứng nhu cầu chi tiêu vốn = − (Chi tiêu vốn − Khấu hao)(1−δ)</w:t>
      </w:r>
      <w:bookmarkEnd w:id="2640"/>
    </w:p>
    <w:p>
      <w:bookmarkStart w:id="2641" w:name="Equity_cash_flows_associated_wit_1"/>
      <w:pPr>
        <w:keepNext/>
        <w:pStyle w:val="Para 09"/>
        <w:keepLines w:val="on"/>
      </w:pPr>
      <w:r>
        <w:t>Dòng tiền vốn cổ phần gắn với việc đáp ứng nhu cầu vốn lưu động = − (Δ Vốn lưu động)(1−δ)</w:t>
      </w:r>
      <w:bookmarkEnd w:id="2641"/>
    </w:p>
    <w:p>
      <w:pPr>
        <w:pStyle w:val="Para 03"/>
      </w:pPr>
      <w:r>
        <w:t>Theo đó, dòng tiền sẵn có cho nhà đầu tư vốn cổ phần sau khi đáp ứng nhu cầu chi tiêu vốn và vốn lưu động là:</w:t>
      </w:r>
    </w:p>
    <w:p>
      <w:bookmarkStart w:id="2642" w:name="Free_cash_flow_to_equity_Net_inc_1"/>
      <w:pPr>
        <w:keepNext/>
        <w:pStyle w:val="Para 09"/>
        <w:keepLines w:val="on"/>
      </w:pPr>
      <w:r>
        <w:t>Dòng tiền tự do cho vốn cổ phần = Thu nhập ròng − (Chi tiêu vốn − Khấu hao) × (1−δ) − (Δ Vốn lưu động) × (1−δ)</w:t>
      </w:r>
      <w:bookmarkEnd w:id="2642"/>
    </w:p>
    <w:p>
      <w:pPr>
        <w:pStyle w:val="Para 03"/>
      </w:pPr>
      <w:r>
        <w:t>Lưu ý rằng khoản trả nợ ròng đã bị loại bỏ, vì việc trả nợ được tài trợ bằng phát hành nợ mới để giữ tỷ lệ nợ không đổi. Việc giả định rằng một tỷ lệ xác định của chi tiêu vốn ròng và nhu cầu vốn lưu động sẽ được tài trợ bằng nợ là phù hợp nếu tỷ lệ nợ mục tiêu hoặc tối ưu của công ty được dùng để dự báo dòng tiền tự do cho vốn cổ phần sẽ sẵn có trong các kỳ tương lai. Hoặc, khi xem xét các kỳ trong quá khứ, chúng ta có thể dùng tỷ lệ nợ trung bình của công ty trong kỳ đó để tính ra dòng tiền tự do cho vốn cổ phần gần đúng.</w:t>
      </w:r>
    </w:p>
    <w:p>
      <w:pPr>
        <w:pStyle w:val="Para 11"/>
      </w:pPr>
      <w:r>
        <w:t xml:space="preserve"> </w:t>
      </w:r>
    </w:p>
    <w:p>
      <w:bookmarkStart w:id="2643" w:name="What_About_Preferred_Dividends_1"/>
      <w:bookmarkStart w:id="2644" w:name="What_About_Preferred_Dividends"/>
      <w:pPr>
        <w:keepNext/>
        <w:pStyle w:val="Para 27"/>
        <w:keepLines w:val="on"/>
      </w:pPr>
      <w:r>
        <w:t>Còn cổ tức ưu đãi (preferred dividends) thì sao?</w:t>
      </w:r>
      <w:bookmarkEnd w:id="2643"/>
      <w:bookmarkEnd w:id="2644"/>
    </w:p>
    <w:p>
      <w:pPr>
        <w:pStyle w:val="Para 16"/>
        <w:keepLines w:val="on"/>
      </w:pPr>
      <w:r>
        <w:t>Trong cả hai cách trình bày dài và ngắn của dòng tiền tự do dành cho vốn chủ sở hữu (free cash flows to equity) được mô tả trong phần này, chúng ta giả định rằng không có cổ tức ưu đãi nào được chi trả. Vì phần vốn chủ sở hữu mà chúng ta định giá chỉ là cổ phần phổ thông, bạn sẽ cần điều chỉnh các công thức một chút nếu tồn tại cổ phiếu ưu đãi và cổ tức ưu đãi. Cụ thể, bạn sẽ trừ đi cổ tức ưu đãi để đi đến dòng tiền tự do dành cho vốn chủ sở hữu:</w:t>
      </w:r>
    </w:p>
    <w:p>
      <w:bookmarkStart w:id="2645" w:name="Free_cashflow_to_equity__Net_inc"/>
      <w:pPr>
        <w:keepNext/>
        <w:pStyle w:val="Para 48"/>
        <w:keepLines w:val="on"/>
      </w:pPr>
      <w:r>
        <w:t>Dòng tiền tự do dành cho vốn chủ sở hữu = Thu nhập ròng − (Chi tiêu vốn − Khấu hao) − Thay đổi vốn lưu động phi tiền mặt − (Cổ tức ưu đãi + Cổ phiếu ưu đãi mới phát hành ròng) − (Nợ mới phát hành − Nợ đã trả)</w:t>
      </w:r>
      <w:bookmarkEnd w:id="2645"/>
    </w:p>
    <w:p>
      <w:pPr>
        <w:pStyle w:val="Para 16"/>
        <w:keepLines w:val="on"/>
      </w:pPr>
      <w:r>
        <w:t>Ở dạng ngắn gọn, bạn sẽ có công thức sau:</w:t>
      </w:r>
    </w:p>
    <w:p>
      <w:bookmarkStart w:id="2647" w:name="Free_cashflow_to_equity_Net_inco"/>
      <w:pPr>
        <w:keepNext/>
        <w:pStyle w:val="Para 48"/>
        <w:keepLines w:val="on"/>
      </w:pPr>
      <w:r>
        <w:t>Dòng tiền tự do dành cho vốn chủ sở hữu = Thu nhập ròng − (Chi tiêu vốn − Khấu hao) × (1 − δ) − Thay đổi vốn lưu động phi tiền mặt × (1 − δ) − Cổ tức ưu đãi</w:t>
      </w:r>
      <w:bookmarkEnd w:id="2647"/>
    </w:p>
    <w:p>
      <w:pPr>
        <w:pStyle w:val="Para 16"/>
        <w:keepLines w:val="on"/>
      </w:pPr>
      <w:r>
        <w:t>Khi đó, tỷ lệ nợ (δ) sẽ phải bao gồm cả nguồn tài trợ dự kiến từ việc phát hành cổ phiếu ưu đãi mới.</w:t>
      </w:r>
    </w:p>
    <w:p>
      <w:pPr>
        <w:pStyle w:val="Para 11"/>
      </w:pPr>
      <w:r>
        <w:t xml:space="preserve"> </w:t>
      </w:r>
    </w:p>
    <w:p>
      <w:bookmarkStart w:id="2648" w:name="ILLUSTRATION_14_8___Estimating_F"/>
      <w:bookmarkStart w:id="2649" w:name="ILLUSTRATION_14_8___Estimating_F_1"/>
      <w:pPr>
        <w:keepNext/>
        <w:pStyle w:val="Para 19"/>
        <w:keepLines w:val="on"/>
      </w:pPr>
      <w:r>
        <w:t>MINH HỌA 14.8: Ước tính dòng tiền tự do dành cho vốn chủ sở hữu — Levi Strauss</w:t>
      </w:r>
      <w:bookmarkEnd w:id="2648"/>
      <w:bookmarkEnd w:id="2649"/>
    </w:p>
    <w:p>
      <w:pPr>
        <w:pStyle w:val="Para 04"/>
        <w:keepLines w:val="on"/>
      </w:pPr>
      <w:r>
        <w:t>Trong minh họa này, chúng ta tính toán dòng tiền tự do dành cho vốn chủ sở hữu được tạo ra bởi Levi Strauss, công ty may mặc, từ năm 2019 đến năm 2023, bằng cách sử dụng phép tính đầy đủ được mô tả trong phần trước (xem Bảng 14.6)</w:t>
      </w:r>
    </w:p>
    <w:p>
      <w:pPr>
        <w:pStyle w:val="Para 25"/>
        <w:keepLines w:val="on"/>
      </w:pPr>
      <w:r>
        <w:t>Bảng 14.6</w:t>
      </w:r>
    </w:p>
    <w:p>
      <w:pPr>
        <w:keepNext/>
        <w:pStyle w:val="Para 24"/>
        <w:keepLines w:val="on"/>
      </w:pPr>
      <w:r>
        <w:t>Dòng tiền tự do dành cho vốn chủ sở hữu dự kiến — Levi Strauss</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2019</w:t>
                  </w:r>
                </w:p>
              </w:tc>
              <w:tc>
                <w:tcPr>
                  <w:tcW w:type="auto" w:w="0"/>
                  <w:shd w:val="clear" w:color="auto" w:fill="F0F0F0"/>
                </w:tcPr>
                <w:p>
                  <w:pPr>
                    <w:pStyle w:val="Para 05"/>
                    <w:keepLines w:val="on"/>
                  </w:pPr>
                  <w:r>
                    <w:t>2020</w:t>
                  </w:r>
                </w:p>
              </w:tc>
              <w:tc>
                <w:tcPr>
                  <w:tcW w:type="auto" w:w="0"/>
                  <w:shd w:val="clear" w:color="auto" w:fill="F0F0F0"/>
                </w:tcPr>
                <w:p>
                  <w:pPr>
                    <w:pStyle w:val="Para 05"/>
                    <w:keepLines w:val="on"/>
                  </w:pPr>
                  <w:r>
                    <w:t>2021</w:t>
                  </w:r>
                </w:p>
              </w:tc>
              <w:tc>
                <w:tcPr>
                  <w:tcW w:type="auto" w:w="0"/>
                  <w:shd w:val="clear" w:color="auto" w:fill="F0F0F0"/>
                </w:tcPr>
                <w:p>
                  <w:pPr>
                    <w:pStyle w:val="Para 05"/>
                    <w:keepLines w:val="on"/>
                  </w:pPr>
                  <w:r>
                    <w:t>2022</w:t>
                  </w:r>
                </w:p>
              </w:tc>
              <w:tc>
                <w:tcPr>
                  <w:tcW w:type="auto" w:w="0"/>
                  <w:shd w:val="clear" w:color="auto" w:fill="F0F0F0"/>
                </w:tcPr>
                <w:p>
                  <w:pPr>
                    <w:pStyle w:val="Para 05"/>
                    <w:keepLines w:val="on"/>
                  </w:pPr>
                  <w:r>
                    <w:t>2023</w:t>
                  </w:r>
                </w:p>
              </w:tc>
            </w:tr>
            <w:tr>
              <w:tc>
                <w:tcPr>
                  <w:tcW w:type="auto" w:w="0"/>
                  <w:shd w:val="clear" w:color="auto" w:fill="F0F0F0"/>
                </w:tcPr>
                <w:p>
                  <w:pPr>
                    <w:pStyle w:val="Para 02"/>
                    <w:keepLines w:val="on"/>
                  </w:pPr>
                  <w:r>
                    <w:t>Thu nhập ròng</w:t>
                  </w:r>
                </w:p>
              </w:tc>
              <w:tc>
                <w:tcPr>
                  <w:tcW w:type="auto" w:w="0"/>
                  <w:shd w:val="clear" w:color="auto" w:fill="F0F0F0"/>
                </w:tcPr>
                <w:p>
                  <w:pPr>
                    <w:pStyle w:val="Normal"/>
                    <w:keepLines w:val="on"/>
                  </w:pPr>
                  <w:r>
                    <w:t>$394,61</w:t>
                  </w:r>
                </w:p>
              </w:tc>
              <w:tc>
                <w:tcPr>
                  <w:tcW w:type="auto" w:w="0"/>
                  <w:shd w:val="clear" w:color="auto" w:fill="F0F0F0"/>
                </w:tcPr>
                <w:p>
                  <w:pPr>
                    <w:pStyle w:val="Normal"/>
                    <w:keepLines w:val="on"/>
                  </w:pPr>
                  <w:r>
                    <w:t>−$127,10</w:t>
                  </w:r>
                </w:p>
              </w:tc>
              <w:tc>
                <w:tcPr>
                  <w:tcW w:type="auto" w:w="0"/>
                  <w:shd w:val="clear" w:color="auto" w:fill="F0F0F0"/>
                </w:tcPr>
                <w:p>
                  <w:pPr>
                    <w:pStyle w:val="Normal"/>
                    <w:keepLines w:val="on"/>
                  </w:pPr>
                  <w:r>
                    <w:t>$553,50</w:t>
                  </w:r>
                </w:p>
              </w:tc>
              <w:tc>
                <w:tcPr>
                  <w:tcW w:type="auto" w:w="0"/>
                  <w:shd w:val="clear" w:color="auto" w:fill="F0F0F0"/>
                </w:tcPr>
                <w:p>
                  <w:pPr>
                    <w:pStyle w:val="Normal"/>
                    <w:keepLines w:val="on"/>
                  </w:pPr>
                  <w:r>
                    <w:t>$569,10</w:t>
                  </w:r>
                </w:p>
              </w:tc>
              <w:tc>
                <w:tcPr>
                  <w:tcW w:type="auto" w:w="0"/>
                  <w:shd w:val="clear" w:color="auto" w:fill="F0F0F0"/>
                </w:tcPr>
                <w:p>
                  <w:pPr>
                    <w:pStyle w:val="Normal"/>
                    <w:keepLines w:val="on"/>
                  </w:pPr>
                  <w:r>
                    <w:t>$249,60</w:t>
                  </w:r>
                </w:p>
              </w:tc>
            </w:tr>
            <w:tr>
              <w:tc>
                <w:tcPr>
                  <w:tcW w:type="auto" w:w="0"/>
                  <w:shd w:val="clear" w:color="auto" w:fill="F0F0F0"/>
                </w:tcPr>
                <w:p>
                  <w:pPr>
                    <w:pStyle w:val="Para 02"/>
                    <w:keepLines w:val="on"/>
                  </w:pPr>
                  <w:r>
                    <w:t>+ Khấu hao &amp; Phân bổ</w:t>
                  </w:r>
                </w:p>
              </w:tc>
              <w:tc>
                <w:tcPr>
                  <w:tcW w:type="auto" w:w="0"/>
                  <w:shd w:val="clear" w:color="auto" w:fill="F0F0F0"/>
                </w:tcPr>
                <w:p>
                  <w:pPr>
                    <w:pStyle w:val="Normal"/>
                    <w:keepLines w:val="on"/>
                  </w:pPr>
                  <w:r>
                    <w:t>$123,90</w:t>
                  </w:r>
                </w:p>
              </w:tc>
              <w:tc>
                <w:tcPr>
                  <w:tcW w:type="auto" w:w="0"/>
                  <w:shd w:val="clear" w:color="auto" w:fill="F0F0F0"/>
                </w:tcPr>
                <w:p>
                  <w:pPr>
                    <w:pStyle w:val="Normal"/>
                    <w:keepLines w:val="on"/>
                  </w:pPr>
                  <w:r>
                    <w:t>$141,80</w:t>
                  </w:r>
                </w:p>
              </w:tc>
              <w:tc>
                <w:tcPr>
                  <w:tcW w:type="auto" w:w="0"/>
                  <w:shd w:val="clear" w:color="auto" w:fill="F0F0F0"/>
                </w:tcPr>
                <w:p>
                  <w:pPr>
                    <w:pStyle w:val="Normal"/>
                    <w:keepLines w:val="on"/>
                  </w:pPr>
                  <w:r>
                    <w:t>$143,20</w:t>
                  </w:r>
                </w:p>
              </w:tc>
              <w:tc>
                <w:tcPr>
                  <w:tcW w:type="auto" w:w="0"/>
                  <w:shd w:val="clear" w:color="auto" w:fill="F0F0F0"/>
                </w:tcPr>
                <w:p>
                  <w:pPr>
                    <w:pStyle w:val="Normal"/>
                    <w:keepLines w:val="on"/>
                  </w:pPr>
                  <w:r>
                    <w:t>$158,60</w:t>
                  </w:r>
                </w:p>
              </w:tc>
              <w:tc>
                <w:tcPr>
                  <w:tcW w:type="auto" w:w="0"/>
                  <w:shd w:val="clear" w:color="auto" w:fill="F0F0F0"/>
                </w:tcPr>
                <w:p>
                  <w:pPr>
                    <w:pStyle w:val="Normal"/>
                    <w:keepLines w:val="on"/>
                  </w:pPr>
                  <w:r>
                    <w:t>$164,90</w:t>
                  </w:r>
                </w:p>
              </w:tc>
            </w:tr>
            <w:tr>
              <w:tc>
                <w:tcPr>
                  <w:tcW w:type="auto" w:w="0"/>
                  <w:shd w:val="clear" w:color="auto" w:fill="F0F0F0"/>
                </w:tcPr>
                <w:p>
                  <w:pPr>
                    <w:pStyle w:val="Para 02"/>
                    <w:keepLines w:val="on"/>
                  </w:pPr>
                  <w:r>
                    <w:t>− Chi phí đầu tư tài sản cố định (Capital Expenditures)</w:t>
                  </w:r>
                </w:p>
              </w:tc>
              <w:tc>
                <w:tcPr>
                  <w:tcW w:type="auto" w:w="0"/>
                  <w:shd w:val="clear" w:color="auto" w:fill="F0F0F0"/>
                </w:tcPr>
                <w:p>
                  <w:pPr>
                    <w:pStyle w:val="Normal"/>
                    <w:keepLines w:val="on"/>
                  </w:pPr>
                  <w:r>
                    <w:t>$175,40</w:t>
                  </w:r>
                </w:p>
              </w:tc>
              <w:tc>
                <w:tcPr>
                  <w:tcW w:type="auto" w:w="0"/>
                  <w:shd w:val="clear" w:color="auto" w:fill="F0F0F0"/>
                </w:tcPr>
                <w:p>
                  <w:pPr>
                    <w:pStyle w:val="Normal"/>
                    <w:keepLines w:val="on"/>
                  </w:pPr>
                  <w:r>
                    <w:t>$185,00</w:t>
                  </w:r>
                </w:p>
              </w:tc>
              <w:tc>
                <w:tcPr>
                  <w:tcW w:type="auto" w:w="0"/>
                  <w:shd w:val="clear" w:color="auto" w:fill="F0F0F0"/>
                </w:tcPr>
                <w:p>
                  <w:pPr>
                    <w:pStyle w:val="Normal"/>
                    <w:keepLines w:val="on"/>
                  </w:pPr>
                  <w:r>
                    <w:t>$557,80</w:t>
                  </w:r>
                </w:p>
              </w:tc>
              <w:tc>
                <w:tcPr>
                  <w:tcW w:type="auto" w:w="0"/>
                  <w:shd w:val="clear" w:color="auto" w:fill="F0F0F0"/>
                </w:tcPr>
                <w:p>
                  <w:pPr>
                    <w:pStyle w:val="Normal"/>
                    <w:keepLines w:val="on"/>
                  </w:pPr>
                  <w:r>
                    <w:t>$268,30</w:t>
                  </w:r>
                </w:p>
              </w:tc>
              <w:tc>
                <w:tcPr>
                  <w:tcW w:type="auto" w:w="0"/>
                  <w:shd w:val="clear" w:color="auto" w:fill="F0F0F0"/>
                </w:tcPr>
                <w:p>
                  <w:pPr>
                    <w:pStyle w:val="Normal"/>
                    <w:keepLines w:val="on"/>
                  </w:pPr>
                  <w:r>
                    <w:t>$327,60</w:t>
                  </w:r>
                </w:p>
              </w:tc>
            </w:tr>
            <w:tr>
              <w:tc>
                <w:tcPr>
                  <w:tcW w:type="auto" w:w="0"/>
                  <w:shd w:val="clear" w:color="auto" w:fill="F0F0F0"/>
                </w:tcPr>
                <w:p>
                  <w:pPr>
                    <w:pStyle w:val="Para 02"/>
                    <w:keepLines w:val="on"/>
                  </w:pPr>
                  <w:r>
                    <w:t>− Thay đổi vốn lưu động phi tiền mặt (Change in Noncash Working Capital)</w:t>
                  </w:r>
                </w:p>
              </w:tc>
              <w:tc>
                <w:tcPr>
                  <w:tcW w:type="auto" w:w="0"/>
                  <w:shd w:val="clear" w:color="auto" w:fill="F0F0F0"/>
                </w:tcPr>
                <w:p>
                  <w:pPr>
                    <w:pStyle w:val="Normal"/>
                    <w:keepLines w:val="on"/>
                  </w:pPr>
                  <w:r>
                    <w:t>$163,71</w:t>
                  </w:r>
                </w:p>
              </w:tc>
              <w:tc>
                <w:tcPr>
                  <w:tcW w:type="auto" w:w="0"/>
                  <w:shd w:val="clear" w:color="auto" w:fill="F0F0F0"/>
                </w:tcPr>
                <w:p>
                  <w:pPr>
                    <w:pStyle w:val="Normal"/>
                    <w:keepLines w:val="on"/>
                  </w:pPr>
                  <w:r>
                    <w:t>−$382,60</w:t>
                  </w:r>
                </w:p>
              </w:tc>
              <w:tc>
                <w:tcPr>
                  <w:tcW w:type="auto" w:w="0"/>
                  <w:shd w:val="clear" w:color="auto" w:fill="F0F0F0"/>
                </w:tcPr>
                <w:p>
                  <w:pPr>
                    <w:pStyle w:val="Normal"/>
                    <w:keepLines w:val="on"/>
                  </w:pPr>
                  <w:r>
                    <w:t>$23,80</w:t>
                  </w:r>
                </w:p>
              </w:tc>
              <w:tc>
                <w:tcPr>
                  <w:tcW w:type="auto" w:w="0"/>
                  <w:shd w:val="clear" w:color="auto" w:fill="F0F0F0"/>
                </w:tcPr>
                <w:p>
                  <w:pPr>
                    <w:pStyle w:val="Normal"/>
                    <w:keepLines w:val="on"/>
                  </w:pPr>
                  <w:r>
                    <w:t>$550,30</w:t>
                  </w:r>
                </w:p>
              </w:tc>
              <w:tc>
                <w:tcPr>
                  <w:tcW w:type="auto" w:w="0"/>
                  <w:shd w:val="clear" w:color="auto" w:fill="F0F0F0"/>
                </w:tcPr>
                <w:p>
                  <w:pPr>
                    <w:pStyle w:val="Normal"/>
                    <w:keepLines w:val="on"/>
                  </w:pPr>
                  <w:r>
                    <w:t>$108,50</w:t>
                  </w:r>
                </w:p>
              </w:tc>
            </w:tr>
            <w:tr>
              <w:tc>
                <w:tcPr>
                  <w:tcW w:type="auto" w:w="0"/>
                  <w:shd w:val="clear" w:color="auto" w:fill="F0F0F0"/>
                </w:tcPr>
                <w:p>
                  <w:pPr>
                    <w:pStyle w:val="Para 02"/>
                    <w:keepLines w:val="on"/>
                  </w:pPr>
                  <w:r>
                    <w:t>+ Nợ vay tăng thêm (Debt raised)</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$806,00</w:t>
                  </w:r>
                </w:p>
              </w:tc>
              <w:tc>
                <w:tcPr>
                  <w:tcW w:type="auto" w:w="0"/>
                  <w:shd w:val="clear" w:color="auto" w:fill="F0F0F0"/>
                </w:tcPr>
                <w:p>
                  <w:pPr>
                    <w:pStyle w:val="Normal"/>
                    <w:keepLines w:val="on"/>
                  </w:pPr>
                  <w:r>
                    <w:t>$489,30</w:t>
                  </w:r>
                </w:p>
              </w:tc>
              <w:tc>
                <w:tcPr>
                  <w:tcW w:type="auto" w:w="0"/>
                  <w:shd w:val="clear" w:color="auto" w:fill="F0F0F0"/>
                </w:tcPr>
                <w:p>
                  <w:pPr>
                    <w:pStyle w:val="Normal"/>
                    <w:keepLines w:val="on"/>
                  </w:pPr>
                  <w:r>
                    <w:t>$404,00</w:t>
                  </w:r>
                </w:p>
              </w:tc>
              <w:tc>
                <w:tcPr>
                  <w:tcW w:type="auto" w:w="0"/>
                  <w:shd w:val="clear" w:color="auto" w:fill="F0F0F0"/>
                </w:tcPr>
                <w:p>
                  <w:pPr>
                    <w:pStyle w:val="Normal"/>
                    <w:keepLines w:val="on"/>
                  </w:pPr>
                  <w:r>
                    <w:t>$200,00</w:t>
                  </w:r>
                </w:p>
              </w:tc>
            </w:tr>
            <w:tr>
              <w:tc>
                <w:tcPr>
                  <w:tcW w:type="auto" w:w="0"/>
                  <w:shd w:val="clear" w:color="auto" w:fill="F0F0F0"/>
                </w:tcPr>
                <w:p>
                  <w:pPr>
                    <w:pStyle w:val="Para 02"/>
                    <w:keepLines w:val="on"/>
                  </w:pPr>
                  <w:r>
                    <w:t>− Nợ đã trả (Debt repaid)</w:t>
                  </w:r>
                </w:p>
              </w:tc>
              <w:tc>
                <w:tcPr>
                  <w:tcW w:type="auto" w:w="0"/>
                  <w:shd w:val="clear" w:color="auto" w:fill="F0F0F0"/>
                </w:tcPr>
                <w:p>
                  <w:pPr>
                    <w:pStyle w:val="Normal"/>
                    <w:keepLines w:val="on"/>
                  </w:pPr>
                  <w:r>
                    <w:t>$23,30</w:t>
                  </w:r>
                </w:p>
              </w:tc>
              <w:tc>
                <w:tcPr>
                  <w:tcW w:type="auto" w:w="0"/>
                  <w:shd w:val="clear" w:color="auto" w:fill="F0F0F0"/>
                </w:tcPr>
                <w:p>
                  <w:pPr>
                    <w:pStyle w:val="Normal"/>
                    <w:keepLines w:val="on"/>
                  </w:pPr>
                  <w:r>
                    <w:t>$300,00</w:t>
                  </w:r>
                </w:p>
              </w:tc>
              <w:tc>
                <w:tcPr>
                  <w:tcW w:type="auto" w:w="0"/>
                  <w:shd w:val="clear" w:color="auto" w:fill="F0F0F0"/>
                </w:tcPr>
                <w:p>
                  <w:pPr>
                    <w:pStyle w:val="Normal"/>
                    <w:keepLines w:val="on"/>
                  </w:pPr>
                  <w:r>
                    <w:t>$1.023,30</w:t>
                  </w:r>
                </w:p>
              </w:tc>
              <w:tc>
                <w:tcPr>
                  <w:tcW w:type="auto" w:w="0"/>
                  <w:shd w:val="clear" w:color="auto" w:fill="F0F0F0"/>
                </w:tcPr>
                <w:p>
                  <w:pPr>
                    <w:pStyle w:val="Normal"/>
                    <w:keepLines w:val="on"/>
                  </w:pPr>
                  <w:r>
                    <w:t>$404,00</w:t>
                  </w:r>
                </w:p>
              </w:tc>
              <w:tc>
                <w:tcPr>
                  <w:tcW w:type="auto" w:w="0"/>
                  <w:shd w:val="clear" w:color="auto" w:fill="F0F0F0"/>
                </w:tcPr>
                <w:p>
                  <w:pPr>
                    <w:pStyle w:val="Normal"/>
                    <w:keepLines w:val="on"/>
                  </w:pPr>
                  <w:r>
                    <w:t>$200,00</w:t>
                  </w:r>
                </w:p>
              </w:tc>
            </w:tr>
            <w:tr>
              <w:tc>
                <w:tcPr>
                  <w:tcW w:type="auto" w:w="0"/>
                  <w:shd w:val="clear" w:color="auto" w:fill="F0F0F0"/>
                </w:tcPr>
                <w:p>
                  <w:pPr>
                    <w:pStyle w:val="Para 02"/>
                    <w:keepLines w:val="on"/>
                  </w:pPr>
                  <w:r>
                    <w:t>FCFE</w:t>
                  </w:r>
                </w:p>
              </w:tc>
              <w:tc>
                <w:tcPr>
                  <w:tcW w:type="auto" w:w="0"/>
                  <w:shd w:val="clear" w:color="auto" w:fill="F0F0F0"/>
                </w:tcPr>
                <w:p>
                  <w:pPr>
                    <w:pStyle w:val="Normal"/>
                    <w:keepLines w:val="on"/>
                  </w:pPr>
                  <w:r>
                    <w:t>$156,10</w:t>
                  </w:r>
                </w:p>
              </w:tc>
              <w:tc>
                <w:tcPr>
                  <w:tcW w:type="auto" w:w="0"/>
                  <w:shd w:val="clear" w:color="auto" w:fill="F0F0F0"/>
                </w:tcPr>
                <w:p>
                  <w:pPr>
                    <w:pStyle w:val="Normal"/>
                    <w:keepLines w:val="on"/>
                  </w:pPr>
                  <w:r>
                    <w:t>$718,30</w:t>
                  </w:r>
                </w:p>
              </w:tc>
              <w:tc>
                <w:tcPr>
                  <w:tcW w:type="auto" w:w="0"/>
                  <w:shd w:val="clear" w:color="auto" w:fill="F0F0F0"/>
                </w:tcPr>
                <w:p>
                  <w:pPr>
                    <w:pStyle w:val="Normal"/>
                    <w:keepLines w:val="on"/>
                  </w:pPr>
                  <w:r>
                    <w:t>−$418,90</w:t>
                  </w:r>
                </w:p>
              </w:tc>
              <w:tc>
                <w:tcPr>
                  <w:tcW w:type="auto" w:w="0"/>
                  <w:shd w:val="clear" w:color="auto" w:fill="F0F0F0"/>
                </w:tcPr>
                <w:p>
                  <w:pPr>
                    <w:pStyle w:val="Normal"/>
                    <w:keepLines w:val="on"/>
                  </w:pPr>
                  <w:r>
                    <w:t>−$90,90</w:t>
                  </w:r>
                </w:p>
              </w:tc>
              <w:tc>
                <w:tcPr>
                  <w:tcW w:type="auto" w:w="0"/>
                  <w:shd w:val="clear" w:color="auto" w:fill="F0F0F0"/>
                </w:tcPr>
                <w:p>
                  <w:pPr>
                    <w:pStyle w:val="Normal"/>
                    <w:keepLines w:val="on"/>
                  </w:pPr>
                  <w:r>
                    <w:t>−$21,60</w:t>
                  </w:r>
                </w:p>
              </w:tc>
            </w:tr>
          </w:tbl>
          <w:p/>
        </w:tc>
      </w:tr>
    </w:tbl>
    <w:p>
      <w:pPr>
        <w:pStyle w:val="Para 04"/>
        <w:keepLines w:val="on"/>
      </w:pPr>
      <w:r>
        <w:t>Để dùng cách tính nhanh, trước tiên hãy ước tính nợ ròng được sử dụng tổng hợp trong toàn bộ giai đoạn dưới dạng phần trăm của khoản tái đầu tư (chi tiêu vốn ròng và thay đổi vốn lưu động):</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2019</w:t>
                  </w:r>
                </w:p>
              </w:tc>
              <w:tc>
                <w:tcPr>
                  <w:tcW w:type="auto" w:w="0"/>
                  <w:shd w:val="clear" w:color="auto" w:fill="F0F0F0"/>
                </w:tcPr>
                <w:p>
                  <w:pPr>
                    <w:pStyle w:val="Para 05"/>
                    <w:keepLines w:val="on"/>
                  </w:pPr>
                  <w:r>
                    <w:t>2020</w:t>
                  </w:r>
                </w:p>
              </w:tc>
              <w:tc>
                <w:tcPr>
                  <w:tcW w:type="auto" w:w="0"/>
                  <w:shd w:val="clear" w:color="auto" w:fill="F0F0F0"/>
                </w:tcPr>
                <w:p>
                  <w:pPr>
                    <w:pStyle w:val="Para 05"/>
                    <w:keepLines w:val="on"/>
                  </w:pPr>
                  <w:r>
                    <w:t>2021</w:t>
                  </w:r>
                </w:p>
              </w:tc>
              <w:tc>
                <w:tcPr>
                  <w:tcW w:type="auto" w:w="0"/>
                  <w:shd w:val="clear" w:color="auto" w:fill="F0F0F0"/>
                </w:tcPr>
                <w:p>
                  <w:pPr>
                    <w:pStyle w:val="Para 05"/>
                    <w:keepLines w:val="on"/>
                  </w:pPr>
                  <w:r>
                    <w:t>2022</w:t>
                  </w:r>
                </w:p>
              </w:tc>
              <w:tc>
                <w:tcPr>
                  <w:tcW w:type="auto" w:w="0"/>
                  <w:shd w:val="clear" w:color="auto" w:fill="F0F0F0"/>
                </w:tcPr>
                <w:p>
                  <w:pPr>
                    <w:pStyle w:val="Para 05"/>
                    <w:keepLines w:val="on"/>
                  </w:pPr>
                  <w:r>
                    <w:t>2023</w:t>
                  </w:r>
                </w:p>
              </w:tc>
              <w:tc>
                <w:tcPr>
                  <w:tcW w:type="auto" w:w="0"/>
                  <w:shd w:val="clear" w:color="auto" w:fill="F0F0F0"/>
                </w:tcPr>
                <w:p>
                  <w:pPr>
                    <w:pStyle w:val="Para 05"/>
                    <w:keepLines w:val="on"/>
                  </w:pPr>
                  <w:r>
                    <w:t>Tổng</w:t>
                  </w:r>
                </w:p>
              </w:tc>
            </w:tr>
            <w:tr>
              <w:tc>
                <w:tcPr>
                  <w:tcW w:type="auto" w:w="0"/>
                  <w:shd w:val="clear" w:color="auto" w:fill="F0F0F0"/>
                </w:tcPr>
                <w:p>
                  <w:pPr>
                    <w:pStyle w:val="Para 02"/>
                    <w:keepLines w:val="on"/>
                  </w:pPr>
                  <w:r>
                    <w:t>Dòng tiền nợ ròng</w:t>
                  </w:r>
                </w:p>
              </w:tc>
              <w:tc>
                <w:tcPr>
                  <w:tcW w:type="auto" w:w="0"/>
                  <w:shd w:val="clear" w:color="auto" w:fill="F0F0F0"/>
                </w:tcPr>
                <w:p>
                  <w:pPr>
                    <w:pStyle w:val="Normal"/>
                    <w:keepLines w:val="on"/>
                  </w:pPr>
                  <w:r>
                    <w:t>−$23,30</w:t>
                  </w:r>
                </w:p>
              </w:tc>
              <w:tc>
                <w:tcPr>
                  <w:tcW w:type="auto" w:w="0"/>
                  <w:shd w:val="clear" w:color="auto" w:fill="F0F0F0"/>
                </w:tcPr>
                <w:p>
                  <w:pPr>
                    <w:pStyle w:val="Normal"/>
                    <w:keepLines w:val="on"/>
                  </w:pPr>
                  <w:r>
                    <w:t>$506,00</w:t>
                  </w:r>
                </w:p>
              </w:tc>
              <w:tc>
                <w:tcPr>
                  <w:tcW w:type="auto" w:w="0"/>
                  <w:shd w:val="clear" w:color="auto" w:fill="F0F0F0"/>
                </w:tcPr>
                <w:p>
                  <w:pPr>
                    <w:pStyle w:val="Normal"/>
                    <w:keepLines w:val="on"/>
                  </w:pPr>
                  <w:r>
                    <w:t>−$534,00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−$51,30</w:t>
                  </w:r>
                </w:p>
              </w:tc>
            </w:tr>
            <w:tr>
              <w:tc>
                <w:tcPr>
                  <w:tcW w:type="auto" w:w="0"/>
                  <w:shd w:val="clear" w:color="auto" w:fill="F0F0F0"/>
                </w:tcPr>
                <w:p>
                  <w:pPr>
                    <w:pStyle w:val="Para 02"/>
                    <w:keepLines w:val="on"/>
                  </w:pPr>
                  <w:r>
                    <w:t>Tái đầu tư</w:t>
                  </w:r>
                </w:p>
              </w:tc>
              <w:tc>
                <w:tcPr>
                  <w:tcW w:type="auto" w:w="0"/>
                  <w:shd w:val="clear" w:color="auto" w:fill="F0F0F0"/>
                </w:tcPr>
                <w:p>
                  <w:pPr>
                    <w:pStyle w:val="Normal"/>
                    <w:keepLines w:val="on"/>
                  </w:pPr>
                  <w:r>
                    <w:t>$215,21</w:t>
                  </w:r>
                </w:p>
              </w:tc>
              <w:tc>
                <w:tcPr>
                  <w:tcW w:type="auto" w:w="0"/>
                  <w:shd w:val="clear" w:color="auto" w:fill="F0F0F0"/>
                </w:tcPr>
                <w:p>
                  <w:pPr>
                    <w:pStyle w:val="Normal"/>
                    <w:keepLines w:val="on"/>
                  </w:pPr>
                  <w:r>
                    <w:t>−$339,40</w:t>
                  </w:r>
                </w:p>
              </w:tc>
              <w:tc>
                <w:tcPr>
                  <w:tcW w:type="auto" w:w="0"/>
                  <w:shd w:val="clear" w:color="auto" w:fill="F0F0F0"/>
                </w:tcPr>
                <w:p>
                  <w:pPr>
                    <w:pStyle w:val="Normal"/>
                    <w:keepLines w:val="on"/>
                  </w:pPr>
                  <w:r>
                    <w:t>$438,40</w:t>
                  </w:r>
                </w:p>
              </w:tc>
              <w:tc>
                <w:tcPr>
                  <w:tcW w:type="auto" w:w="0"/>
                  <w:shd w:val="clear" w:color="auto" w:fill="F0F0F0"/>
                </w:tcPr>
                <w:p>
                  <w:pPr>
                    <w:pStyle w:val="Normal"/>
                    <w:keepLines w:val="on"/>
                  </w:pPr>
                  <w:r>
                    <w:t>$660,00</w:t>
                  </w:r>
                </w:p>
              </w:tc>
              <w:tc>
                <w:tcPr>
                  <w:tcW w:type="auto" w:w="0"/>
                  <w:shd w:val="clear" w:color="auto" w:fill="F0F0F0"/>
                </w:tcPr>
                <w:p>
                  <w:pPr>
                    <w:pStyle w:val="Normal"/>
                    <w:keepLines w:val="on"/>
                  </w:pPr>
                  <w:r>
                    <w:t>$271,20</w:t>
                  </w:r>
                </w:p>
              </w:tc>
              <w:tc>
                <w:tcPr>
                  <w:tcW w:type="auto" w:w="0"/>
                  <w:shd w:val="clear" w:color="auto" w:fill="F0F0F0"/>
                </w:tcPr>
                <w:p>
                  <w:pPr>
                    <w:pStyle w:val="Normal"/>
                    <w:keepLines w:val="on"/>
                  </w:pPr>
                  <w:r>
                    <w:t>$1.245,41</w:t>
                  </w:r>
                </w:p>
              </w:tc>
            </w:tr>
          </w:tbl>
          <w:p/>
        </w:tc>
      </w:tr>
    </w:tbl>
    <w:p>
      <w:bookmarkStart w:id="2652" w:name="Net_debt_ratio___51_30_1_245_41"/>
      <w:pPr>
        <w:keepNext/>
        <w:pStyle w:val="Para 07"/>
        <w:keepLines w:val="on"/>
      </w:pPr>
      <w:r>
        <w:t>Tỷ lệ nợ ròng = -$51,30 / $1.245,41 = -4,12%</w:t>
      </w:r>
      <w:bookmarkEnd w:id="2652"/>
    </w:p>
    <w:p>
      <w:pPr>
        <w:pStyle w:val="Para 04"/>
        <w:keepLines w:val="on"/>
      </w:pPr>
      <w:r>
        <w:t>Lưu ý rằng Levi Strauss đã trả nợ nhiều hơn số họ huy động, khiến tỷ lệ nợ ròng trở thành số âm. Áp dụng tỷ lệ nợ ròng này vào tái đầu tư sẽ cho ra phiên bản rút gọn của FCFE trong Bảng 14.7.</w:t>
      </w:r>
    </w:p>
    <w:p>
      <w:pPr>
        <w:pStyle w:val="Para 40"/>
        <w:keepLines w:val="on"/>
      </w:pPr>
      <w:r>
        <w:rPr>
          <w:rStyle w:val="Text26"/>
        </w:rPr>
        <w:bookmarkStart w:id="2654" w:name="Page_411"/>
        <w:t/>
        <w:bookmarkEnd w:id="2654"/>
      </w:r>
      <w:r>
        <w:t xml:space="preserve"> </w:t>
      </w:r>
    </w:p>
    <w:p>
      <w:pPr>
        <w:pStyle w:val="Para 25"/>
        <w:keepLines w:val="on"/>
      </w:pPr>
      <w:r>
        <w:t>Bảng 14.7</w:t>
      </w:r>
    </w:p>
    <w:p>
      <w:pPr>
        <w:keepNext/>
        <w:pStyle w:val="Para 24"/>
        <w:keepLines w:val="on"/>
      </w:pPr>
      <w:r>
        <w:t>FCFE (Ước tính) cho Levi Strauss</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2019</w:t>
                  </w:r>
                </w:p>
              </w:tc>
              <w:tc>
                <w:tcPr>
                  <w:tcW w:type="auto" w:w="0"/>
                  <w:shd w:val="clear" w:color="auto" w:fill="F0F0F0"/>
                </w:tcPr>
                <w:p>
                  <w:pPr>
                    <w:pStyle w:val="Para 05"/>
                    <w:keepLines w:val="on"/>
                  </w:pPr>
                  <w:r>
                    <w:t>2020</w:t>
                  </w:r>
                </w:p>
              </w:tc>
              <w:tc>
                <w:tcPr>
                  <w:tcW w:type="auto" w:w="0"/>
                  <w:shd w:val="clear" w:color="auto" w:fill="F0F0F0"/>
                </w:tcPr>
                <w:p>
                  <w:pPr>
                    <w:pStyle w:val="Para 05"/>
                    <w:keepLines w:val="on"/>
                  </w:pPr>
                  <w:r>
                    <w:t>2021</w:t>
                  </w:r>
                </w:p>
              </w:tc>
              <w:tc>
                <w:tcPr>
                  <w:tcW w:type="auto" w:w="0"/>
                  <w:shd w:val="clear" w:color="auto" w:fill="F0F0F0"/>
                </w:tcPr>
                <w:p>
                  <w:pPr>
                    <w:pStyle w:val="Para 05"/>
                    <w:keepLines w:val="on"/>
                  </w:pPr>
                  <w:r>
                    <w:t>2022</w:t>
                  </w:r>
                </w:p>
              </w:tc>
              <w:tc>
                <w:tcPr>
                  <w:tcW w:type="auto" w:w="0"/>
                  <w:shd w:val="clear" w:color="auto" w:fill="F0F0F0"/>
                </w:tcPr>
                <w:p>
                  <w:pPr>
                    <w:pStyle w:val="Para 05"/>
                    <w:keepLines w:val="on"/>
                  </w:pPr>
                  <w:r>
                    <w:t>2023</w:t>
                  </w:r>
                </w:p>
              </w:tc>
            </w:tr>
            <w:tr>
              <w:tc>
                <w:tcPr>
                  <w:tcW w:type="auto" w:w="0"/>
                  <w:shd w:val="clear" w:color="auto" w:fill="F0F0F0"/>
                </w:tcPr>
                <w:p>
                  <w:pPr>
                    <w:pStyle w:val="Para 02"/>
                    <w:keepLines w:val="on"/>
                  </w:pPr>
                  <w:r>
                    <w:t>Thu nhập ròng</w:t>
                  </w:r>
                </w:p>
              </w:tc>
              <w:tc>
                <w:tcPr>
                  <w:tcW w:type="auto" w:w="0"/>
                  <w:shd w:val="clear" w:color="auto" w:fill="F0F0F0"/>
                </w:tcPr>
                <w:p>
                  <w:pPr>
                    <w:pStyle w:val="Normal"/>
                    <w:keepLines w:val="on"/>
                  </w:pPr>
                  <w:r>
                    <w:t>$394,61</w:t>
                  </w:r>
                </w:p>
              </w:tc>
              <w:tc>
                <w:tcPr>
                  <w:tcW w:type="auto" w:w="0"/>
                  <w:shd w:val="clear" w:color="auto" w:fill="F0F0F0"/>
                </w:tcPr>
                <w:p>
                  <w:pPr>
                    <w:pStyle w:val="Normal"/>
                    <w:keepLines w:val="on"/>
                  </w:pPr>
                  <w:r>
                    <w:t>−$127,10</w:t>
                  </w:r>
                </w:p>
              </w:tc>
              <w:tc>
                <w:tcPr>
                  <w:tcW w:type="auto" w:w="0"/>
                  <w:shd w:val="clear" w:color="auto" w:fill="F0F0F0"/>
                </w:tcPr>
                <w:p>
                  <w:pPr>
                    <w:pStyle w:val="Normal"/>
                    <w:keepLines w:val="on"/>
                  </w:pPr>
                  <w:r>
                    <w:t>$553,50</w:t>
                  </w:r>
                </w:p>
              </w:tc>
              <w:tc>
                <w:tcPr>
                  <w:tcW w:type="auto" w:w="0"/>
                  <w:shd w:val="clear" w:color="auto" w:fill="F0F0F0"/>
                </w:tcPr>
                <w:p>
                  <w:pPr>
                    <w:pStyle w:val="Normal"/>
                    <w:keepLines w:val="on"/>
                  </w:pPr>
                  <w:r>
                    <w:t>$569,10</w:t>
                  </w:r>
                </w:p>
              </w:tc>
              <w:tc>
                <w:tcPr>
                  <w:tcW w:type="auto" w:w="0"/>
                  <w:shd w:val="clear" w:color="auto" w:fill="F0F0F0"/>
                </w:tcPr>
                <w:p>
                  <w:pPr>
                    <w:pStyle w:val="Normal"/>
                    <w:keepLines w:val="on"/>
                  </w:pPr>
                  <w:r>
                    <w:t>$249,60</w:t>
                  </w:r>
                </w:p>
              </w:tc>
            </w:tr>
            <w:tr>
              <w:tc>
                <w:tcPr>
                  <w:tcW w:type="auto" w:w="0"/>
                  <w:shd w:val="clear" w:color="auto" w:fill="F0F0F0"/>
                </w:tcPr>
                <w:p>
                  <w:pPr>
                    <w:pStyle w:val="Para 02"/>
                    <w:keepLines w:val="on"/>
                  </w:pPr>
                  <w:r>
                    <w:t>− Tái đầu tư (1 - Tỷ lệ nợ)</w:t>
                  </w:r>
                </w:p>
              </w:tc>
              <w:tc>
                <w:tcPr>
                  <w:tcW w:type="auto" w:w="0"/>
                  <w:shd w:val="clear" w:color="auto" w:fill="F0F0F0"/>
                </w:tcPr>
                <w:p>
                  <w:pPr>
                    <w:pStyle w:val="Normal"/>
                    <w:keepLines w:val="on"/>
                  </w:pPr>
                  <w:r>
                    <w:t>$224,08</w:t>
                  </w:r>
                </w:p>
              </w:tc>
              <w:tc>
                <w:tcPr>
                  <w:tcW w:type="auto" w:w="0"/>
                  <w:shd w:val="clear" w:color="auto" w:fill="F0F0F0"/>
                </w:tcPr>
                <w:p>
                  <w:pPr>
                    <w:pStyle w:val="Normal"/>
                    <w:keepLines w:val="on"/>
                  </w:pPr>
                  <w:r>
                    <w:t>−$353,38</w:t>
                  </w:r>
                </w:p>
              </w:tc>
              <w:tc>
                <w:tcPr>
                  <w:tcW w:type="auto" w:w="0"/>
                  <w:shd w:val="clear" w:color="auto" w:fill="F0F0F0"/>
                </w:tcPr>
                <w:p>
                  <w:pPr>
                    <w:pStyle w:val="Normal"/>
                    <w:keepLines w:val="on"/>
                  </w:pPr>
                  <w:r>
                    <w:t>$456,46</w:t>
                  </w:r>
                </w:p>
              </w:tc>
              <w:tc>
                <w:tcPr>
                  <w:tcW w:type="auto" w:w="0"/>
                  <w:shd w:val="clear" w:color="auto" w:fill="F0F0F0"/>
                </w:tcPr>
                <w:p>
                  <w:pPr>
                    <w:pStyle w:val="Normal"/>
                    <w:keepLines w:val="on"/>
                  </w:pPr>
                  <w:r>
                    <w:t>$687,19</w:t>
                  </w:r>
                </w:p>
              </w:tc>
              <w:tc>
                <w:tcPr>
                  <w:tcW w:type="auto" w:w="0"/>
                  <w:shd w:val="clear" w:color="auto" w:fill="F0F0F0"/>
                </w:tcPr>
                <w:p>
                  <w:pPr>
                    <w:pStyle w:val="Normal"/>
                    <w:keepLines w:val="on"/>
                  </w:pPr>
                  <w:r>
                    <w:t>$282,37</w:t>
                  </w:r>
                </w:p>
              </w:tc>
            </w:tr>
            <w:tr>
              <w:tc>
                <w:tcPr>
                  <w:tcW w:type="auto" w:w="0"/>
                  <w:shd w:val="clear" w:color="auto" w:fill="F0F0F0"/>
                </w:tcPr>
                <w:p>
                  <w:pPr>
                    <w:pStyle w:val="Para 02"/>
                    <w:keepLines w:val="on"/>
                  </w:pPr>
                  <w:r>
                    <w:t>FCFE</w:t>
                  </w:r>
                </w:p>
              </w:tc>
              <w:tc>
                <w:tcPr>
                  <w:tcW w:type="auto" w:w="0"/>
                  <w:shd w:val="clear" w:color="auto" w:fill="F0F0F0"/>
                </w:tcPr>
                <w:p>
                  <w:pPr>
                    <w:pStyle w:val="Normal"/>
                    <w:keepLines w:val="on"/>
                  </w:pPr>
                  <w:r>
                    <w:t>$170,53</w:t>
                  </w:r>
                </w:p>
              </w:tc>
              <w:tc>
                <w:tcPr>
                  <w:tcW w:type="auto" w:w="0"/>
                  <w:shd w:val="clear" w:color="auto" w:fill="F0F0F0"/>
                </w:tcPr>
                <w:p>
                  <w:pPr>
                    <w:pStyle w:val="Normal"/>
                    <w:keepLines w:val="on"/>
                  </w:pPr>
                  <w:r>
                    <w:t>$226,28</w:t>
                  </w:r>
                </w:p>
              </w:tc>
              <w:tc>
                <w:tcPr>
                  <w:tcW w:type="auto" w:w="0"/>
                  <w:shd w:val="clear" w:color="auto" w:fill="F0F0F0"/>
                </w:tcPr>
                <w:p>
                  <w:pPr>
                    <w:pStyle w:val="Normal"/>
                    <w:keepLines w:val="on"/>
                  </w:pPr>
                  <w:r>
                    <w:t>$97,04</w:t>
                  </w:r>
                </w:p>
              </w:tc>
              <w:tc>
                <w:tcPr>
                  <w:tcW w:type="auto" w:w="0"/>
                  <w:shd w:val="clear" w:color="auto" w:fill="F0F0F0"/>
                </w:tcPr>
                <w:p>
                  <w:pPr>
                    <w:pStyle w:val="Normal"/>
                    <w:keepLines w:val="on"/>
                  </w:pPr>
                  <w:r>
                    <w:t>−$118,09</w:t>
                  </w:r>
                </w:p>
              </w:tc>
              <w:tc>
                <w:tcPr>
                  <w:tcW w:type="auto" w:w="0"/>
                  <w:shd w:val="clear" w:color="auto" w:fill="F0F0F0"/>
                </w:tcPr>
                <w:p>
                  <w:pPr>
                    <w:pStyle w:val="Normal"/>
                    <w:keepLines w:val="on"/>
                  </w:pPr>
                  <w:r>
                    <w:t>−$32,77</w:t>
                  </w:r>
                </w:p>
              </w:tc>
            </w:tr>
          </w:tbl>
          <w:p/>
        </w:tc>
      </w:tr>
    </w:tbl>
    <w:p>
      <w:pPr>
        <w:pStyle w:val="Para 04"/>
        <w:keepLines w:val="on"/>
      </w:pPr>
      <w:r>
        <w:t>Trong khi tổng dòng tiền tự do cho vốn chủ sở hữu (FCFE) trong cả giai đoạn vẫn giữ nguyên ở mức 343 triệu đô la, cách tính rút gọn lại cho ra FCFE mượt mà hơn trong suốt giai đoạn.</w:t>
      </w:r>
    </w:p>
    <w:p>
      <w:bookmarkStart w:id="2655" w:name="Comparing_Dividends_to_Free_Cash"/>
      <w:bookmarkStart w:id="2656" w:name="Comparing_Dividends_to_Free_Cash_1"/>
      <w:pPr>
        <w:keepNext/>
        <w:pStyle w:val="Heading 4"/>
        <w:keepLines w:val="on"/>
      </w:pPr>
      <w:r>
        <w:t>So sánh Cổ tức với Dòng tiền Tự do cho Vốn chủ sở hữu</w:t>
      </w:r>
      <w:bookmarkEnd w:id="2655"/>
      <w:bookmarkEnd w:id="2656"/>
    </w:p>
    <w:p>
      <w:pPr>
        <w:pStyle w:val="Para 03"/>
      </w:pPr>
      <w:r>
        <w:t>Thước đo truyền thống về chính sách cổ tức—tỷ lệ chi trả cổ tức—cho chúng ta biết giá trị cổ tức chiếm bao nhiêu phần trong lợi nhuận. Cách tiếp cận điều chỉnh lại đo lường tổng tiền mặt trả cho cổ đông chiếm bao nhiêu phần trong dòng tiền tự do cho vốn chủ sở hữu:</w:t>
      </w:r>
    </w:p>
    <w:p>
      <w:bookmarkStart w:id="2657" w:name="Dividend_payout_ratio__Dividends"/>
      <w:pPr>
        <w:keepNext/>
        <w:pStyle w:val="Para 09"/>
        <w:keepLines w:val="on"/>
      </w:pPr>
      <w:r>
        <w:t>Tỷ lệ chi trả cổ tức =Cổ tứcThu nhập ròng</w:t>
      </w:r>
      <w:bookmarkEnd w:id="2657"/>
    </w:p>
    <w:p>
      <w:bookmarkStart w:id="2658" w:name="Cash_payout_to_FCFE_ratio__Divid"/>
      <w:pPr>
        <w:keepNext/>
        <w:pStyle w:val="Para 09"/>
        <w:keepLines w:val="on"/>
      </w:pPr>
      <w:r>
        <w:t>Tỷ lệ chi trả tiền mặt trên FCFE =Cổ tức+Mua lại cổ phiếuFCFE</w:t>
      </w:r>
      <w:bookmarkEnd w:id="2658"/>
    </w:p>
    <w:p>
      <w:pPr>
        <w:pStyle w:val="Para 03"/>
      </w:pPr>
      <w:r>
        <w:t>Tỷ lệ tiền mặt trả cho cổ đông trên FCFE cho thấy có bao nhiêu phần trong số tiền mặt sẵn có để trả cho cổ đông thực sự được trả lại cho họ dưới dạng cổ tức và mua lại cổ phiếu. Nếu tỷ lệ này, xét theo thời gian, bằng hoặc gần bằng 1, công ty đang trả hết mức tối đa có thể cho cổ đông. Nếu tỷ lệ này thấp hơn 1 đáng kể, công ty đang trả ít hơn khả năng chi trả, và dùng phần chênh lệch để tăng số dư tiền mặt hoặc đầu tư vào chứng khoán có thể bán được. Nếu tỷ lệ này cao hơn 1 đáng kể, công ty đang trả nhiều hơn khả năng chi trả, và đang phải rút từ số dư tiền mặt hiện có hoặc phát hành chứng khoán mới (cổ phiếu hoặc trái phiếu).</w:t>
      </w:r>
    </w:p>
    <w:p>
      <w:pPr>
        <w:pStyle w:val="Para 03"/>
      </w:pPr>
      <w:r>
        <w:t>Chúng ta có thể quan sát xu hướng các công ty trả cho cổ đông ít hơn số tiền họ có sẵn trong dòng tiền tự do cho vốn chủ sở hữu bằng cách xem xét tiền mặt trả cho cổ đông tính theo tỷ lệ phần trăm của dòng tiền tự do cho vốn chủ sở hữu. Năm 2023, mức trung vị toàn cầu của cổ tức tính theo phần trăm FCFE là khoảng 75 phần trăm, với khoảng 60% tổng số công ty trả lại tiền mặt ít hơn số họ có sẵn trong FCFE. Khi một công ty chi trả cổ tức ít hơn số tiền có sẵn trong dòng tiền tự do, công ty đó đang tạo ra tiền mặt dư thừa. Với những công ty này, khoản tiền mặt dư thừa đó xuất hiện dưới dạng tăng số dư tiền mặt. Những công ty trả cổ tức vượt quá FCFE phải tài trợ cho các khoản chi trả cổ tức này hoặc từ số dư tiền mặt hiện có hoặc bằng cách phát hành cổ phiếu mới.</w:t>
      </w:r>
    </w:p>
    <w:p>
      <w:pPr>
        <w:pStyle w:val="Para 03"/>
      </w:pPr>
      <w:r>
        <w:t>Hàm ý cho việc định giá rất đơn giản. Nếu chúng ta dùng mô hình chiết khấu cổ tức (dividend discount model) mà không tính đến việc tích lũy tiền mặt xảy ra khi các công ty chi trả ít hơn khả năng của mình, chúng ta sẽ đánh giá thấp giá trị vốn chủ sở hữu của các công ty. Nếu chúng ta dùng mô hình này để định giá những công ty chi trả cổ tức nhiều hơn số tiền họ có sẵn, chúng ta sẽ đánh giá cao các công ty đó. Phần còn lại của chương này được thiết kế để khắc phục hạn chế này.</w:t>
      </w:r>
    </w:p>
    <w:p>
      <w:pPr>
        <w:pStyle w:val="Para 11"/>
      </w:pPr>
      <w:r>
        <w:t xml:space="preserve"> </w:t>
      </w:r>
    </w:p>
    <w:p>
      <w:bookmarkStart w:id="2659" w:name="dividends_xls__This_spreadsheet"/>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33"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2659"/>
    </w:p>
    <w:p>
      <w:pPr>
        <w:pStyle w:val="Para 31"/>
        <w:keepLines w:val="on"/>
      </w:pPr>
      <w:r>
        <w:t>dividends.xls: Bảng tính này cho phép bạn ước tính dòng tiền tự do cho vốn chủ sở hữu và tiền mặt trả cho cổ đông trong khoảng thời gian lên đến 10 năm</w:t>
      </w:r>
    </w:p>
    <w:p>
      <w:pPr>
        <w:pStyle w:val="Para 03"/>
        <w:keepLines w:val="on"/>
      </w:pPr>
      <w:r>
        <w:t>.</w:t>
      </w:r>
    </w:p>
    <w:p>
      <w:pPr>
        <w:pStyle w:val="Para 11"/>
      </w:pPr>
      <w:r>
        <w:t xml:space="preserve"> </w:t>
      </w:r>
      <w:r>
        <w:rPr>
          <w:rStyle w:val="Text26"/>
        </w:rPr>
        <w:bookmarkStart w:id="2660" w:name="Page_412"/>
        <w:t/>
        <w:bookmarkEnd w:id="2660"/>
      </w:r>
      <w:r>
        <w:t xml:space="preserve"> </w:t>
      </w:r>
    </w:p>
    <w:p>
      <w:bookmarkStart w:id="2661" w:name="divfcfe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34"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2661"/>
    </w:p>
    <w:p>
      <w:pPr>
        <w:pStyle w:val="Para 31"/>
        <w:keepLines w:val="on"/>
      </w:pPr>
      <w:r>
        <w:t>divfcfe.xls: Bộ dữ liệu trên web này tóm tắt cổ tức, tiền mặt trả cho cổ đông, và dòng tiền tự do cho vốn chủ sở hữu, theo từng ngành, tại Hoa Kỳ.</w:t>
      </w:r>
    </w:p>
    <w:p>
      <w:bookmarkStart w:id="2662" w:name="Why_Firms_May_Pay_Out_Less_than_1"/>
      <w:bookmarkStart w:id="2663" w:name="Why_Firms_May_Pay_Out_Less_than"/>
      <w:pPr>
        <w:keepNext/>
        <w:pStyle w:val="Heading 4"/>
        <w:keepLines w:val="on"/>
      </w:pPr>
      <w:r>
        <w:t>Tại sao các công ty có thể chi trả ít hơn số tiền sẵn có</w:t>
      </w:r>
      <w:bookmarkEnd w:id="2662"/>
      <w:bookmarkEnd w:id="2663"/>
    </w:p>
    <w:p>
      <w:pPr>
        <w:pStyle w:val="Para 03"/>
      </w:pPr>
      <w:r>
        <w:t>Nhiều công ty chi trả cho cổ đông, dưới dạng cổ tức và mua lại cổ phiếu, ít hơn số tiền họ có sẵn trong dòng tiền tự do cho vốn chủ sở hữu. Lý do thì mỗi công ty mỗi khác.</w:t>
      </w:r>
    </w:p>
    <w:p>
      <w:bookmarkStart w:id="2664" w:name="Desire_for_Stability__Firms_are"/>
      <w:pPr>
        <w:pStyle w:val="Para 21"/>
      </w:pPr>
      <w:r>
        <w:t>Mong muốn ổn định</w:t>
      </w:r>
      <w:bookmarkEnd w:id="2664"/>
    </w:p>
    <w:p>
      <w:pPr>
        <w:pStyle w:val="Para 03"/>
      </w:pPr>
      <w:r>
        <w:t>Các công ty nói chung thường ngần ngại thay đổi cổ tức, và cổ tức được coi là "dính" (sticky) vì mức độ biến động của cổ tức thấp hơn đáng kể so với mức độ biến động của lợi nhuận hay dòng tiền. Sự không muốn thay đổi cổ tức càng rõ rệt khi các công ty buộc phải giảm cổ tức, và số lần tăng cổ tức nhiều hơn số lần cắt giảm cổ tức ít nhất với tỷ lệ năm trên một trong hầu hết các giai đoạn. Do sự ngần ngại cắt giảm cổ tức này, các công ty thường từ chối tăng cổ tức ngay cả khi lợi nhuận và FCFE tăng lên, vì họ không chắc chắn về khả năng duy trì mức cổ tức cao hơn đó. Điều này dẫn đến độ trễ giữa việc tăng lợi nhuận và việc tăng cổ tức. Tương tự, các công ty thường giữ nguyên cổ tức khi đối mặt với lợi nhuận và FCFE đang giảm. Hình 14.7 báo cáo số lần thay đổi cổ tức (tăng, giảm, không đổi) trong giai đoạn từ 1988 đến 2023.</w:t>
      </w:r>
    </w:p>
    <w:p>
      <w:bookmarkStart w:id="2667" w:name="Figure_14_7_Dividend_Changes_by"/>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62200" cy="1993900"/>
            <wp:effectExtent l="0" r="0" t="0" b="0"/>
            <wp:wrapTopAndBottom/>
            <wp:docPr id="135" name="c14f006.png" descr="Multiple bar graph plots number of dividend changes (increases, decreases, no change) in percent of U S companies between 1988 and 2023."/>
            <wp:cNvGraphicFramePr>
              <a:graphicFrameLocks noChangeAspect="1"/>
            </wp:cNvGraphicFramePr>
            <a:graphic>
              <a:graphicData uri="http://schemas.openxmlformats.org/drawingml/2006/picture">
                <pic:pic>
                  <pic:nvPicPr>
                    <pic:cNvPr id="0" name="c14f006.png" descr="Multiple bar graph plots number of dividend changes (increases, decreases, no change) in percent of U S companies between 1988 and 2023."/>
                    <pic:cNvPicPr/>
                  </pic:nvPicPr>
                  <pic:blipFill>
                    <a:blip r:embed="rId99"/>
                    <a:stretch>
                      <a:fillRect/>
                    </a:stretch>
                  </pic:blipFill>
                  <pic:spPr>
                    <a:xfrm>
                      <a:off x="0" y="0"/>
                      <a:ext cx="2362200" cy="1993900"/>
                    </a:xfrm>
                    <a:prstGeom prst="rect">
                      <a:avLst/>
                    </a:prstGeom>
                  </pic:spPr>
                </pic:pic>
              </a:graphicData>
            </a:graphic>
          </wp:anchor>
        </w:drawing>
      </w:r>
      <w:bookmarkEnd w:id="2667"/>
    </w:p>
    <w:p>
      <w:pPr>
        <w:keepNext/>
        <w:pStyle w:val="Para 22"/>
        <w:keepLines w:val="on"/>
      </w:pPr>
      <w:r>
        <w:t>Hình 14.7 Thay đổi Cổ tức theo Năm: Các Công ty Hoa Kỳ</w:t>
      </w:r>
    </w:p>
    <w:p>
      <w:pPr>
        <w:pStyle w:val="Para 03"/>
      </w:pPr>
      <w:r>
        <w:t>Số công ty tăng cổ tức nhiều hơn số công ty giảm cổ tức với tỷ lệ bảy trên một. Tuy nhiên, số công ty không thay đổi cổ tức lại nhiều hơn số công ty có thay đổi với tỷ lệ khoảng bốn trên một. Cổ tức cũng ít biến động hơn cả FCFE lẫn lợi nhuận, nhưng mức biến động thấp hơn này là kết quả của việc giữ cổ tức thấp hơn FCFE.</w:t>
      </w:r>
    </w:p>
    <w:p>
      <w:bookmarkStart w:id="2669" w:name="Future_Investment_Needs__A_firm"/>
      <w:pPr>
        <w:pStyle w:val="Para 21"/>
      </w:pPr>
      <w:r>
        <w:t>Nhu cầu đầu tư trong tương lai</w:t>
      </w:r>
      <w:bookmarkEnd w:id="2669"/>
    </w:p>
    <w:p>
      <w:pPr>
        <w:pStyle w:val="Para 03"/>
      </w:pPr>
      <w:r>
        <w:t>Một công ty có thể giữ lại không chi trả toàn bộ FCFE dưới dạng cổ tức nếu công ty dự kiến nhu cầu chi tiêu vốn sẽ tăng đáng kể trong tương lai. Vì việc phát hành cổ phiếu rất tốn kém (với chi phí phát hành và lệ phí phát hành), công ty có thể chọn giữ lại tiền mặt dư thừa để tài trợ cho những nhu cầu trong tương lai này. Do đó, ở mức độ mà một công ty không chắc chắn về nhu cầu tài chính trong tương lai của mình, công ty sẽ giữ lại một phần tiền mặt để thực hiện những khoản đầu tư bất ngờ hoặc đáp ứng những nhu cầu không lường trước.</w:t>
      </w:r>
    </w:p>
    <w:p>
      <w:bookmarkStart w:id="2671" w:name="Tax_Factors__If_dividends_are_ta"/>
      <w:pPr>
        <w:pStyle w:val="Para 21"/>
      </w:pPr>
      <w:r>
        <w:t>Yếu tố thuế</w:t>
      </w:r>
      <w:bookmarkEnd w:id="2671"/>
    </w:p>
    <w:p>
      <w:pPr>
        <w:pStyle w:val="Para 03"/>
      </w:pPr>
      <w:r>
        <w:t>Nếu cổ tức bị đánh thuế ở mức thuế suất cao hơn so với lãi vốn, một công ty có thể chọn giữ lại tiền mặt dư thừa và chi trả cổ tức ít hơn nhiều so với số tiền mình có sẵn. Điều này càng rõ rệt nếu các cổ đông trong công ty thuộc nhóm chịu thuế suất cao, như trường hợp của nhiều công ty do gia đình kiểm soát. Tuy nhiên, nếu các nhà đầu tư trong công ty thích cổ tức hoặc luật thuế ưu đãi cổ tức, công ty có thể chi trả cổ tức nhiều hơn số tiền mình có sẵn trong FCFE, thường là bằng cách đi vay hoặc phát hành cổ phiếu mới để làm điều đó.</w:t>
      </w:r>
    </w:p>
    <w:p>
      <w:bookmarkStart w:id="2673" w:name="Signaling_Prerogatives__Firms_of"/>
      <w:pPr>
        <w:pStyle w:val="Para 21"/>
      </w:pPr>
      <w:r>
        <w:t>Tín hiệu từ quyền chủ động</w:t>
      </w:r>
      <w:bookmarkEnd w:id="2673"/>
    </w:p>
    <w:p>
      <w:pPr>
        <w:pStyle w:val="Para 03"/>
      </w:pPr>
      <w:r>
        <w:t>Các công ty thường dùng cổ tức như một tín hiệu về triển vọng tương lai, trong đó việc tăng cổ tức được xem là tín hiệu tích cực và việc giảm cổ tức là tín hiệu tiêu cực. Bằng chứng thực nghiệm hoàn toàn khớp với câu chuyện tín hiệu này, vì giá cổ phiếu thường tăng khi cổ tức tăng và giảm khi cổ tức giảm. Việc dùng cổ tức làm tín hiệu có thể dẫn đến sự khác biệt giữa cổ tức và FCFE.</w:t>
      </w:r>
    </w:p>
    <w:p>
      <w:bookmarkStart w:id="2675" w:name="Managerial_Self_Interest__The_ma"/>
      <w:pPr>
        <w:pStyle w:val="Para 21"/>
      </w:pPr>
      <w:r>
        <w:t>Lợi ích cá nhân của ban quản lý</w:t>
      </w:r>
      <w:bookmarkEnd w:id="2675"/>
    </w:p>
    <w:p>
      <w:pPr>
        <w:pStyle w:val="Para 03"/>
      </w:pPr>
      <w:r>
        <w:t>Các nhà quản lý của một công ty có thể thu lợi bằng cách giữ lại tiền mặt thay vì chi trả nó dưới dạng cổ tức. Mong muốn xây dựng đế chế có thể khiến việc mở rộng quy mô công ty trở thành một mục tiêu tự thân. Hoặc ban quản lý có thể cảm thấy cần phải tích lũy một khoản đệm tiền mặt để vượt qua những giai đoạn lợi nhuận có thể sụt giảm; trong những giai đoạn như vậy, khoản đệm tiền mặt có thể làm giảm bớt hoặc che khuất mức sụt giảm lợi nhuận và có thể giúp các nhà quản lý duy trì quyền kiểm soát.</w:t>
      </w:r>
    </w:p>
    <w:p>
      <w:bookmarkStart w:id="2677" w:name="Free_Cashflow_to_Equity__FCFE__V_1"/>
      <w:bookmarkStart w:id="2678" w:name="Free_Cashflow_to_Equity__FCFE__V"/>
      <w:pPr>
        <w:keepNext/>
        <w:pStyle w:val="Heading 3"/>
        <w:keepLines w:val="on"/>
      </w:pPr>
      <w:r>
        <w:t>Các mô hình định giá dòng tiền tự do cho vốn chủ sở hữu (FCFE)</w:t>
      </w:r>
      <w:bookmarkEnd w:id="2677"/>
      <w:bookmarkEnd w:id="2678"/>
    </w:p>
    <w:p>
      <w:pPr>
        <w:pStyle w:val="Para 03"/>
      </w:pPr>
      <w:r>
        <w:t>Mô hình dòng tiền tự do cho vốn chủ sở hữu không phải là một bước tách biệt hoàn toàn khỏi mô hình chiết khấu cổ tức truyền thống. Thực tế, một cách để mô tả mô hình dòng tiền tự do cho vốn chủ sở hữu là nó đại diện cho một mô hình trong đó chúng ta chiết khấu cổ tức tiềm năng thay vì cổ tức thực tế. Do đó, ba phiên bản của mô hình định giá FCFE được trình bày trong phần này là những biến thể đơn giản của mô hình chiết khấu cổ tức, với một thay đổi quan trọng—dòng tiền tự do cho vốn chủ sở hữu thay thế cổ tức trong các mô hình.</w:t>
      </w:r>
    </w:p>
    <w:p>
      <w:bookmarkStart w:id="2679" w:name="Underlying_Principle"/>
      <w:bookmarkStart w:id="2680" w:name="Underlying_Principle__When_we_re"/>
      <w:pPr>
        <w:keepNext/>
        <w:pStyle w:val="Heading 4"/>
        <w:keepLines w:val="on"/>
      </w:pPr>
      <w:r>
        <w:t>Nguyên lý nền tảng</w:t>
      </w:r>
      <w:bookmarkEnd w:id="2679"/>
      <w:bookmarkEnd w:id="2680"/>
    </w:p>
    <w:p>
      <w:pPr>
        <w:pStyle w:val="Para 03"/>
      </w:pPr>
      <w:r>
        <w:t>Khi chúng ta thay thế cổ tức bằng FCFE để định giá vốn chủ sở hữu, chúng ta đang làm nhiều hơn là chỉ thay thế dòng tiền này bằng dòng tiền khác. Chúng ta đang ngầm giả định rằng FCFE sẽ được chi trả cho các cổ đông. Điều này dẫn đến hai hệ quả:</w:t>
      </w:r>
    </w:p>
    <w:p>
      <w:pPr>
        <w:numPr>
          <w:ilvl w:val="0"/>
          <w:numId w:val="133"/>
        </w:numPr>
        <w:pStyle w:val="Para 01"/>
      </w:pPr>
      <w:r>
        <w:t>Sẽ không có sự tích lũy tiền mặt trong tương lai tại công ty vì lượng tiền mặt sẵn có sau khi thanh toán nợ và đáp ứng nhu cầu tái đầu tư được giả định là sẽ được chi trả cho các cổ đông mỗi kỳ.</w:t>
      </w:r>
    </w:p>
    <w:p>
      <w:pPr>
        <w:numPr>
          <w:ilvl w:val="0"/>
          <w:numId w:val="133"/>
        </w:numPr>
        <w:pStyle w:val="Para 01"/>
      </w:pPr>
      <w:r>
        <w:t>Tốc độ tăng trưởng kỳ vọng của FCFE sẽ bao gồm tăng trưởng thu nhập từ các tài sản hoạt động chứ không phải tăng trưởng thu nhập từ việc gia tăng chứng khoán có thể bán được. Điều này suy ra trực tiếp từ điểm vừa nêu.</w:t>
      </w:r>
    </w:p>
    <w:p>
      <w:pPr>
        <w:pStyle w:val="Para 03"/>
      </w:pPr>
      <w:r>
        <w:t>Vậy việc chiết khấu dòng tiền tự do cho vốn chủ sở hữu so với mô hình chiết khấu cổ tức mở rộng, trong đó việc mua lại cổ phiếu được cộng trở lại vào cổ tức và được chiết khấu, thì như thế nào? Bạn có thể coi việc mua lại cổ phiếu là việc hoàn trả lượng tiền mặt dư thừa được tích lũy phần lớn do không chi trả FCFE dưới dạng cổ tức. Vì vậy, FCFE đại diện cho một thước đo đã được làm mượt về những gì các công ty có thể hoàn trả cho cổ đông của mình theo thời gian dưới dạng cổ tức và mua lại cổ phiếu.</w:t>
      </w:r>
    </w:p>
    <w:p>
      <w:bookmarkStart w:id="2682" w:name="Estimating_Growth_in_FCFE"/>
      <w:bookmarkStart w:id="2683" w:name="Estimating_Growth_in_FCFE__Free"/>
      <w:pPr>
        <w:keepNext/>
        <w:pStyle w:val="Heading 4"/>
        <w:keepLines w:val="on"/>
      </w:pPr>
      <w:r>
        <w:t>Ước tính tăng trưởng của FCFE</w:t>
      </w:r>
      <w:bookmarkEnd w:id="2682"/>
      <w:bookmarkEnd w:id="2683"/>
    </w:p>
    <w:p>
      <w:pPr>
        <w:pStyle w:val="Para 03"/>
      </w:pPr>
      <w:r>
        <w:t>Dòng tiền tự do cho vốn chủ sở hữu, giống như cổ tức, là dòng tiền dành cho các nhà đầu tư vốn chủ sở hữu và bạn có thể sử dụng cùng cách tiếp cận mà bạn đã dùng để ước tính tốc độ tăng trưởng cơ bản của cổ tức trên mỗi cổ phần:</w:t>
      </w:r>
    </w:p>
    <w:p>
      <w:bookmarkStart w:id="2684" w:name="Expected_growth_rate_Retention_r_1"/>
      <w:pPr>
        <w:keepNext/>
        <w:pStyle w:val="Para 09"/>
        <w:keepLines w:val="on"/>
      </w:pPr>
      <w:r>
        <w:t>Tốc độ tăng trưởng kỳ vọng = Tỷ lệ giữ lại × Lợi nhuận trên vốn chủ sở hữu</w:t>
      </w:r>
      <w:bookmarkEnd w:id="2684"/>
    </w:p>
    <w:p>
      <w:pPr>
        <w:pStyle w:val="Para 03"/>
      </w:pPr>
      <w:r>
        <w:t>Việc sử dụng tỷ lệ giữ lại trong phương trình này ngụ ý rằng bất cứ phần nào không được chi trả dưới dạng cổ tức đều được tái đầu tư trở lại vào công ty. Tuy nhiên, có một lập luận mạnh mẽ rằng điều này không nhất quán với giả định rằng dòng tiền tự do cho vốn chủ sở hữu được chi trả cho các cổ đông, vốn là nền tảng của các mô hình FCFE. Sẽ nhất quán hơn nhiều nếu thay thế tỷ lệ giữ lại bằng tỷ lệ tái đầu tư vốn chủ sở hữu, thước đo tỷ lệ phần trăm thu nhập ròng được đầu tư trở lại vào công ty.</w:t>
      </w:r>
    </w:p>
    <w:p>
      <w:bookmarkStart w:id="2685" w:name="Equity_Reinvestment_Rate__Cap_Ex"/>
      <w:pPr>
        <w:keepNext/>
        <w:pStyle w:val="Para 09"/>
        <w:keepLines w:val="on"/>
      </w:pPr>
      <w:r>
        <w:t>Tỷ lệ tái đầu tư vốn chủ sở hữu = (Chi tiêu vốn − Khấu hao + Thay đổi vốn lưu động phi tiền mặt − (Nợ huy động − Nợ trả)) / Thu nhập ròng</w:t>
      </w:r>
      <w:bookmarkEnd w:id="2685"/>
    </w:p>
    <w:p>
      <w:pPr>
        <w:pStyle w:val="Para 03"/>
      </w:pPr>
      <w:r>
        <w:t>Khi chiết khấu FCFE, an toàn nhất là tách biệt số dư tiền mặt hiện có khỏi các tài sản hoạt động của công ty, để định giá vốn chủ sở hữu trong các tài sản hoạt động rồi cộng thêm số dư tiền mặt hiện có. Do đó, lợi nhuận trên vốn chủ sở hữu cũng cần được điều chỉnh để phản ánh thực tế rằng thước đo thông thường của lợi nhuận bao gồm thu nhập lãi từ tiền mặt và chứng khoán có thể bán được ở tử số, và giá trị sổ sách của vốn chủ sở hữu cũng bao gồm giá trị của tiền mặt và chứng khoán có thể bán được. Trong mô hình FCFE, không còn tiền mặt dư thừa trong công ty và lợi nhuận trên vốn chủ sở hữu nên đo lường lợi nhuận trên các khoản đầu tư phi tiền mặt. Bạn có thể xây dựng một phiên bản điều chỉnh của lợi nhuận trên vốn chủ sở hữu để đo lường điều này:</w:t>
      </w:r>
    </w:p>
    <w:p>
      <w:bookmarkStart w:id="2686" w:name="Noncash_ROE__Net_Income___Income"/>
      <w:pPr>
        <w:keepNext/>
        <w:pStyle w:val="Para 09"/>
        <w:keepLines w:val="on"/>
      </w:pPr>
      <w:r>
        <w:t>ROE phi tiền mặt = (Thu nhập ròng − Thu nhập từ tiền mặt nắm giữ × (1 − thuế suất)) / (Giá trị sổ sách của vốn chủ sở hữu − Tiền mặt và chứng khoán có thể bán được)</w:t>
      </w:r>
      <w:bookmarkEnd w:id="2686"/>
    </w:p>
    <w:p>
      <w:pPr>
        <w:pStyle w:val="Para 03"/>
      </w:pPr>
      <w:r>
        <w:t>Tích của tỷ lệ tái đầu tư vốn chủ sở hữu và ROE đã điều chỉnh sẽ cho ra tốc độ tăng trưởng kỳ vọng của thu nhập ròng phi tiền mặt, và vì tỷ lệ tái đầu tư vốn chủ sở hữu được giữ không đổi, nên trong FCFE:</w:t>
      </w:r>
    </w:p>
    <w:p>
      <w:bookmarkStart w:id="2687" w:name="Expected_growth_in_FCFE_Equity_r"/>
      <w:pPr>
        <w:keepNext/>
        <w:pStyle w:val="Para 09"/>
        <w:keepLines w:val="on"/>
      </w:pPr>
      <w:r>
        <w:t>Tăng trưởng kỳ vọng của FCFE = Tỷ lệ tái đầu tư vốn chủ sở hữu × ROE phi tiền mặt</w:t>
      </w:r>
      <w:bookmarkEnd w:id="2687"/>
    </w:p>
    <w:p>
      <w:bookmarkStart w:id="2688" w:name="Constant_Growth_FCFE_Model"/>
      <w:bookmarkStart w:id="2689" w:name="Constant_Growth_FCFE_Model__The"/>
      <w:pPr>
        <w:keepNext/>
        <w:pStyle w:val="Heading 4"/>
        <w:keepLines w:val="on"/>
      </w:pPr>
      <w:r>
        <w:t>Mô hình FCFE tăng trưởng không đổi</w:t>
      </w:r>
      <w:bookmarkEnd w:id="2688"/>
      <w:bookmarkEnd w:id="2689"/>
    </w:p>
    <w:p>
      <w:pPr>
        <w:pStyle w:val="Para 03"/>
      </w:pPr>
      <w:r>
        <w:t>Mô hình FCFE tăng trưởng không đổi được thiết kế để định giá các công ty đang tăng trưởng ở tốc độ tăng trưởng ổn định và do đó đang ở trạng thái ổn định. Nó tương tự như mô hình tăng trưởng Gordon, với FCFE thay thế cổ tức, và đi kèm với nhiều lưu ý và ràng buộc giống như vậy.</w:t>
      </w:r>
    </w:p>
    <w:p>
      <w:bookmarkStart w:id="2691" w:name="The_Model__The_value_of_equity"/>
      <w:pPr>
        <w:pStyle w:val="Para 21"/>
      </w:pPr>
      <w:r>
        <w:t>Mô hình</w:t>
      </w:r>
      <w:bookmarkEnd w:id="2691"/>
    </w:p>
    <w:p>
      <w:pPr>
        <w:pStyle w:val="Para 03"/>
      </w:pPr>
      <w:r>
        <w:t>Giá trị vốn chủ sở hữu, theo mô hình tăng trưởng không đổi, là một hàm số của FCFE kỳ vọng trong kỳ tới, tốc độ tăng trưởng ổn định, và tỷ suất sinh lợi yêu cầu.</w:t>
      </w:r>
    </w:p>
    <w:p>
      <w:bookmarkStart w:id="2693" w:name="Value_of_equity_Expected_FCFE_ne"/>
      <w:pPr>
        <w:keepNext/>
        <w:pStyle w:val="Para 09"/>
        <w:keepLines w:val="on"/>
      </w:pPr>
      <w:r>
        <w:t>Giá trị vốn chủ sở hữu = FCFE kỳ vọng năm tới / (Chi phí vốn chủ sở hữu − Tốc độ tăng trưởng ổn định)</w:t>
      </w:r>
      <w:bookmarkEnd w:id="2693"/>
    </w:p>
    <w:p>
      <w:pPr>
        <w:pStyle w:val="Para 03"/>
      </w:pPr>
      <w:r>
        <w:t>Như trong mô hình tăng trưởng Gordon, tốc độ tăng trưởng được sử dụng trong mô hình này phải nhỏ hơn hoặc bằng tốc độ tăng trưởng danh nghĩa của nền kinh tế mà doanh nghiệp đang hoạt động. Giả định rằng một doanh nghiệp đang ở trạng thái ổn định cũng ngụ ý rằng nó sở hữu những đặc điểm khác mà các doanh nghiệp ổn định thường có. Điều này có nghĩa là, chẳng hạn, chi tiêu vốn không quá lớn một cách bất thường so với khấu hao, và doanh nghiệp có mức rủi ro trung bình. (Nếu sử dụng mô hình định giá tài sản vốn (capital asset pricing model), beta của vốn cổ phần nên gần bằng 1.) Để ước tính khoản tái đầu tư cho một doanh nghiệp tăng trưởng ổn định, tốt nhất là sử dụng mối quan hệ giữa tăng trưởng và các yếu tố cơ bản để ước tính khoản tái đầu tư cần thiết. Tốc độ tăng trưởng kỳ vọng của thu nhập ròng có thể được viết như sau:</w:t>
      </w:r>
    </w:p>
    <w:p>
      <w:bookmarkStart w:id="2694" w:name="Expected_growth_rate_in_net_inco_1"/>
      <w:pPr>
        <w:keepNext/>
        <w:pStyle w:val="Para 09"/>
        <w:keepLines w:val="on"/>
      </w:pPr>
      <w:r>
        <w:t>Tốc độ tăng trưởng kỳ vọng của thu nhập ròng = Tỷ lệ tái đầu tư vốn cổ phần × Tỷ suất sinh lời trên vốn cổ phần</w:t>
      </w:r>
      <w:bookmarkEnd w:id="2694"/>
    </w:p>
    <w:p>
      <w:pPr>
        <w:pStyle w:val="Para 03"/>
      </w:pPr>
      <w:r>
        <w:t>Điều này cho phép chúng ta ước tính tỷ lệ tái đầu tư vốn cổ phần:</w:t>
      </w:r>
    </w:p>
    <w:p>
      <w:bookmarkStart w:id="2695" w:name="Equity_reinvestment_rate_Stable"/>
      <w:pPr>
        <w:keepNext/>
        <w:pStyle w:val="Para 09"/>
        <w:keepLines w:val="on"/>
      </w:pPr>
      <w:r>
        <w:t>Tỷ lệ tái đầu tư vốn cổ phần = Tốc độ tăng trưởng ổn định / ROE</w:t>
      </w:r>
      <w:bookmarkEnd w:id="2695"/>
    </w:p>
    <w:p>
      <w:pPr>
        <w:pStyle w:val="Para 03"/>
      </w:pPr>
      <w:r>
        <w:t>Để minh họa, một doanh nghiệp có tốc độ tăng trưởng ổn định 4 phần trăm và tỷ suất sinh lời trên vốn cổ phần 12 phần trăm sẽ cần tái đầu tư khoảng một phần ba thu nhập ròng của mình trở lại vào chi tiêu vốn ròng và nhu cầu vốn lưu động. Nói cách khác, dòng tiền tự do cho vốn cổ phần (free cash flow to equity – FCFE) nên bằng hai phần ba thu nhập ròng.</w:t>
      </w:r>
    </w:p>
    <w:p>
      <w:bookmarkStart w:id="2696" w:name="Model_Usage__This_model_is_best"/>
      <w:pPr>
        <w:pStyle w:val="Para 21"/>
      </w:pPr>
      <w:r>
        <w:t>Cách sử dụng mô hình</w:t>
      </w:r>
      <w:bookmarkEnd w:id="2696"/>
    </w:p>
    <w:p>
      <w:pPr>
        <w:pStyle w:val="Para 03"/>
      </w:pPr>
      <w:r>
        <w:t>Mô hình này phù hợp nhất với các doanh nghiệp đang tăng trưởng ở mức tương đương hoặc thấp hơn tốc độ tăng trưởng danh nghĩa của nền kinh tế. Tuy nhiên, đây là mô hình tốt hơn để sử dụng so với mô hình chiết khấu cổ tức (dividend discount model) đối với các doanh nghiệp ổn định mà chi trả cổ tức ở mức cao không bền vững (vì chúng vượt quá FCFE một khoản đáng kể) hoặc thấp hơn đáng kể so với FCFE. Lưu ý rằng, nếu doanh nghiệp ổn định và chi trả FCFE của mình dưới dạng cổ tức, thì giá trị thu được từ mô hình này sẽ giống với giá trị thu được từ mô hình tăng trưởng Gordon.</w:t>
      </w:r>
    </w:p>
    <w:p>
      <w:pPr>
        <w:pStyle w:val="Para 11"/>
      </w:pPr>
      <w:r>
        <w:t xml:space="preserve"> </w:t>
      </w:r>
    </w:p>
    <w:p>
      <w:bookmarkStart w:id="2698" w:name="ILLUSTRATION_14_9___Stable_Growt_1"/>
      <w:bookmarkStart w:id="2699" w:name="ILLUSTRATION_14_9___Stable_Growt"/>
      <w:pPr>
        <w:keepNext/>
        <w:pStyle w:val="Para 19"/>
        <w:keepLines w:val="on"/>
      </w:pPr>
      <w:r>
        <w:t>MINH HỌA 14.9: Mô hình FCFE tăng trưởng ổn định—Volkswagen</w:t>
      </w:r>
      <w:bookmarkEnd w:id="2698"/>
      <w:bookmarkEnd w:id="2699"/>
    </w:p>
    <w:p>
      <w:pPr>
        <w:pStyle w:val="Para 04"/>
        <w:keepLines w:val="on"/>
      </w:pPr>
      <w:r>
        <w:t>Volkswagen là một công ty ô tô Đức đã trưởng thành. Bất chấp những dao động mang tính chu kỳ trong thu nhập ròng vốn là đặc trưng của ngành, doanh nghiệp này được giả định là đang ở trạng thái tăng trưởng ổn định, và các dữ liệu đầu vào sau đây đã được sử dụng để định giá nó vào tháng 5 năm 2011:</w:t>
      </w:r>
    </w:p>
    <w:p>
      <w:pPr>
        <w:numPr>
          <w:ilvl w:val="0"/>
          <w:numId w:val="134"/>
        </w:numPr>
        <w:pStyle w:val="Para 18"/>
        <w:keepLines w:val="on"/>
      </w:pPr>
      <w:r>
        <w:t>Thu nhập ròng, không bao gồm thu nhập lãi từ tiền mặt, của công ty trong năm 2010 là 5.279 triệu euro, và chúng ta sẽ sử dụng con số này làm thu nhập năm cơ sở. (Chúng tôi đã kiểm tra mức này để xem liệu nó có phải là giá trị ngoại lai theo hướng nào không. Nếu đúng như vậy, chúng tôi sẽ sử dụng một giá trị đã chuẩn hóa.)</w:t>
      </w:r>
    </w:p>
    <w:p>
      <w:pPr>
        <w:numPr>
          <w:ilvl w:val="0"/>
          <w:numId w:val="134"/>
        </w:numPr>
        <w:pStyle w:val="Para 18"/>
        <w:keepLines w:val="on"/>
      </w:pPr>
      <w:r>
        <w:t>Tốc độ tăng trưởng kỳ vọng của thu nhập ròng theo thời gian được giả định là 3% và tỷ suất sinh lời trên vốn cổ phần không bao gồm tiền mặt mà Volkswagen dự kiến đạt được là 10%. Tỷ lệ tái đầu tư vốn cổ phần thu được cho mô hình tăng trưởng ổn định là 30%:</w:t>
      </w:r>
    </w:p>
    <w:p>
      <w:bookmarkStart w:id="2702" w:name="Stable_equity_reinvestment_rate"/>
      <w:pPr>
        <w:keepNext/>
        <w:pStyle w:val="Para 07"/>
        <w:keepLines w:val="on"/>
      </w:pPr>
      <w:r>
        <w:t>Tỷ lệ tái đầu tư vốn cổ phần ổn định = g/ROE = 3%/10% = 30%</w:t>
      </w:r>
      <w:bookmarkEnd w:id="2702"/>
    </w:p>
    <w:p>
      <w:pPr>
        <w:pStyle w:val="Para 04"/>
        <w:keepLines w:val="on"/>
      </w:pPr>
      <w:r>
        <w:t>Công ty đã báo cáo chi tiêu vốn là 11.462 triệu euro, khấu hao là 10.089 triệu euro, và mức tăng vốn lưu động không bao gồm tiền mặt là 423 triệu euro trong kỳ gần nhất. Tỷ lệ tái đầu tư sử dụng những dữ liệu đầu vào đó là 20,41%,</w:t>
      </w:r>
    </w:p>
    <w:p>
      <w:bookmarkStart w:id="2703" w:name="Reinvestment_rate_in_2010__11_46"/>
      <w:pPr>
        <w:keepNext/>
        <w:pStyle w:val="Para 07"/>
        <w:keepLines w:val="on"/>
      </w:pPr>
      <w:r>
        <w:t>Tỷ lệ tái đầu tư năm 2010 = (11.462−10.089+423)/5.279 = 20,41%</w:t>
      </w:r>
      <w:bookmarkEnd w:id="2703"/>
    </w:p>
    <w:p>
      <w:pPr>
        <w:pStyle w:val="Para 04"/>
        <w:keepLines w:val="on"/>
      </w:pPr>
      <w:r>
        <w:t>Chúng ta có thể đã sử dụng tỷ lệ tái đầu tư này trong việc định giá, nhưng với tốc độ tăng trưởng kỳ vọng vĩnh viễn là 2,04%, phản ánh kỳ vọng ROE của chúng ta:</w:t>
      </w:r>
    </w:p>
    <w:p>
      <w:bookmarkStart w:id="2704" w:name="Stable_growth_rate_with_existing"/>
      <w:pPr>
        <w:keepNext/>
        <w:pStyle w:val="Para 07"/>
        <w:keepLines w:val="on"/>
      </w:pPr>
      <w:r>
        <w:t>Tốc độ tăng trưởng ổn định với tỷ lệ tái đầu tư hiện có = 20,41% × 10% = 2,04%.</w:t>
      </w:r>
      <w:bookmarkEnd w:id="2704"/>
    </w:p>
    <w:p>
      <w:pPr>
        <w:numPr>
          <w:ilvl w:val="0"/>
          <w:numId w:val="134"/>
        </w:numPr>
        <w:pStyle w:val="Para 18"/>
        <w:keepLines w:val="on"/>
      </w:pPr>
      <w:r>
        <w:t>Chi phí vốn cổ phần của Volkswagen được ước tính bằng cách sử dụng beta là 1,20, phản ánh beta trung bình của các công ty ô tô châu Âu, lãi suất phi rủi ro bằng euro là 3,2%, và phần bù rủi ro vốn cổ phần là 5%:</w:t>
      </w:r>
    </w:p>
    <w:p>
      <w:bookmarkStart w:id="2705" w:name="Cost_of_equity_3_2__1_2_5___9_2"/>
      <w:pPr>
        <w:keepNext/>
        <w:pStyle w:val="Para 07"/>
        <w:keepLines w:val="on"/>
      </w:pPr>
      <w:r>
        <w:t>Chi phí vốn cổ phần = 3,2% + 1,2(5%) = 9,2%</w:t>
      </w:r>
      <w:bookmarkEnd w:id="2705"/>
    </w:p>
    <w:p>
      <w:pPr>
        <w:pStyle w:val="Para 04"/>
        <w:keepLines w:val="on"/>
      </w:pPr>
      <w:r>
        <w:t>Với các dữ liệu đầu vào này, chúng ta có thể ước tính tổng giá trị vốn cổ phần:</w:t>
      </w:r>
    </w:p>
    <w:p>
      <w:bookmarkStart w:id="2706" w:name="Value_of_equity_Expected_net_inc"/>
      <w:pPr>
        <w:keepNext/>
        <w:pStyle w:val="Para 07"/>
        <w:keepLines w:val="on"/>
      </w:pPr>
      <w:r>
        <w:t>Giá trị vốn cổ phần = Thu nhập ròng kỳ vọng năm sau (1−Tỷ lệ tái đầu tư vốn cổ phần) / (Chi phí vốn cổ phần−Tốc độ tăng trưởng ổn định) = 5.279(1,03)(1−,30) / (,092−,03) = 61.392 triệu euro</w:t>
      </w:r>
      <w:bookmarkEnd w:id="2706"/>
    </w:p>
    <w:p>
      <w:pPr>
        <w:pStyle w:val="Para 04"/>
        <w:keepLines w:val="on"/>
      </w:pPr>
      <w:r>
        <w:t>Lưu ý rằng đây là giá trị vốn cổ phần trong các tài sản hoạt động không bao gồm tiền mặt, vì chúng ta đã loại bỏ thu nhập từ tiền mặt khỏi FCFE cơ sở của mình. Cộng thêm số dư tiền mặt là 18.670 triệu euro sẽ cho ra tổng giá trị vốn cổ phần là 80.062 triệu euro, cao hơn đáng kể so với vốn hóa thị trường là 53.560 triệu euro vào tháng 5 năm 2011.</w:t>
      </w:r>
    </w:p>
    <w:p>
      <w:pPr>
        <w:pStyle w:val="Para 11"/>
      </w:pPr>
      <w:r>
        <w:t xml:space="preserve"> </w:t>
      </w:r>
    </w:p>
    <w:p>
      <w:bookmarkStart w:id="2707" w:name="FCFEst_xls__This_spreadsheet_al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36"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2707"/>
    </w:p>
    <w:p>
      <w:pPr>
        <w:pStyle w:val="Para 31"/>
        <w:keepLines w:val="on"/>
      </w:pPr>
      <w:r>
        <w:t>FCFEst.xls: Bảng tính này cho phép bạn định giá vốn cổ phần của một doanh nghiệp đang tăng trưởng ổn định, với tất cả các dữ liệu đầu vào của một doanh nghiệp tăng trưởng ổn định</w:t>
      </w:r>
    </w:p>
    <w:p>
      <w:pPr>
        <w:pStyle w:val="Para 03"/>
        <w:keepLines w:val="on"/>
      </w:pPr>
      <w:r>
        <w:t>.</w:t>
      </w:r>
    </w:p>
    <w:p>
      <w:pPr>
        <w:pStyle w:val="Para 11"/>
      </w:pPr>
      <w:r>
        <w:t xml:space="preserve"> </w:t>
      </w:r>
    </w:p>
    <w:p>
      <w:bookmarkStart w:id="2708" w:name="Leverage__FCFE__and_Equity_Value_1"/>
      <w:bookmarkStart w:id="2709" w:name="Leverage__FCFE__and_Equity_Value"/>
      <w:pPr>
        <w:keepNext/>
        <w:pStyle w:val="Para 27"/>
        <w:keepLines w:val="on"/>
      </w:pPr>
      <w:r>
        <w:t>Đòn bẩy, FCFE và giá trị vốn cổ phần</w:t>
      </w:r>
      <w:bookmarkEnd w:id="2708"/>
      <w:bookmarkEnd w:id="2709"/>
    </w:p>
    <w:p>
      <w:pPr>
        <w:pStyle w:val="Para 16"/>
        <w:keepLines w:val="on"/>
      </w:pPr>
      <w:r>
        <w:t>Ẩn chứa trong cách tính FCFE dường như là mầm mống của một bữa trưa miễn phí. Tăng tỷ lệ nợ sẽ làm tăng dòng tiền tự do cho vốn cổ phần vì nhiều nhu cầu tái đầu tư của doanh nghiệp sẽ đến từ việc đi vay và ít cần đến từ các nhà đầu tư vốn cổ phần hơn. Số tiền mặt được giải phóng có thể được chi trả dưới dạng cổ tức bổ sung hoặc dùng để mua lại cổ phiếu.</w:t>
      </w:r>
    </w:p>
    <w:p>
      <w:pPr>
        <w:pStyle w:val="Para 16"/>
        <w:keepLines w:val="on"/>
      </w:pPr>
      <w:r>
        <w:t>Nếu dòng tiền tự do vốn chủ sở hữu (free cash flow to equity – FCFE) tăng khi đòn bẩy tài chính (leverage) tăng, liệu có suy ra rằng giá trị vốn chủ sở hữu cũng sẽ tăng theo đòn bẩy không? Không hẳn. Tỷ lệ chiết khấu (discount rate) được dùng ở đây là chi phí vốn chủ sở hữu (cost of equity), vốn được ước tính dựa trên một hoặc nhiều hệ số beta. Khi đòn bẩy tăng, beta cũng sẽ tăng, đẩy chi phí vốn chủ sở hữu lên cao. Thực tế, trong phương trình beta có đòn bẩy mà chúng ta đã giới thiệu ở Chương 8, beta có đòn bẩy là:</w:t>
      </w:r>
    </w:p>
    <w:p>
      <w:bookmarkStart w:id="2711" w:name="Levered_beta_Unlevered_beta1__1"/>
      <w:pPr>
        <w:keepNext/>
        <w:pStyle w:val="Para 48"/>
        <w:keepLines w:val="on"/>
      </w:pPr>
      <w:r>
        <w:t>Beta có đòn bẩy = Beta không đòn bẩy × [1 + (1 − Thuế suất) × (Nợ/Vốn chủ sở hữu)]</w:t>
      </w:r>
      <w:bookmarkEnd w:id="2711"/>
    </w:p>
    <w:p>
      <w:pPr>
        <w:pStyle w:val="Para 16"/>
        <w:keepLines w:val="on"/>
      </w:pPr>
      <w:r>
        <w:t>Điều này, đến lượt nó, sẽ tác động tiêu cực đến giá trị vốn chủ sở hữu. Hiệu ứng ròng lên giá trị khi đó sẽ phụ thuộc vào việc hiệu ứng nào chiếm ưu thế — dòng tiền tăng lên hay beta tăng lên.</w:t>
      </w:r>
    </w:p>
    <w:p>
      <w:bookmarkStart w:id="2712" w:name="Two_Stage_FCFE_Model"/>
      <w:bookmarkStart w:id="2713" w:name="Two_Stage_FCFE_Model__The_two_st"/>
      <w:pPr>
        <w:keepNext/>
        <w:pStyle w:val="Heading 4"/>
        <w:keepLines w:val="on"/>
      </w:pPr>
      <w:r>
        <w:t>Mô hình FCFE hai giai đoạn</w:t>
      </w:r>
      <w:bookmarkEnd w:id="2712"/>
      <w:bookmarkEnd w:id="2713"/>
    </w:p>
    <w:p>
      <w:pPr>
        <w:pStyle w:val="Para 03"/>
      </w:pPr>
      <w:r>
        <w:t>Mô hình FCFE hai giai đoạn được thiết kế để định giá một công ty dự kiến sẽ tăng trưởng nhanh hơn nhiều so với một công ty ổn định trong giai đoạn đầu, và sau đó tăng trưởng ở mức ổn định.</w:t>
      </w:r>
    </w:p>
    <w:p>
      <w:bookmarkStart w:id="2714" w:name="The_Model__The_value_of_any_stoc"/>
      <w:pPr>
        <w:pStyle w:val="Para 21"/>
      </w:pPr>
      <w:r>
        <w:t>Mô hình</w:t>
      </w:r>
      <w:bookmarkEnd w:id="2714"/>
    </w:p>
    <w:p>
      <w:pPr>
        <w:pStyle w:val="Para 03"/>
      </w:pPr>
      <w:r>
        <w:t>Giá trị của bất kỳ cổ phiếu nào chính là giá trị hiện tại của FCFE mỗi năm trong giai đoạn tăng trưởng phi thường, cộng với giá trị hiện tại của giá trị cuối kỳ (terminal value) vào cuối giai đoạn đó.</w:t>
      </w:r>
    </w:p>
    <w:p>
      <w:bookmarkStart w:id="2716" w:name="Value_of_equity____t_1t_nE_FCFE"/>
      <w:pPr>
        <w:keepNext/>
        <w:pStyle w:val="Para 09"/>
        <w:keepLines w:val="on"/>
      </w:pPr>
      <w:r>
        <w:t>Giá trị vốn chủ sở hữu = ∑t=1t=n E(FCFE)t(1+ke,hg)t + Giá trị cuối kỳ của vốn chủ sở hữu vào năm n(1+ke,hg)n</w:t>
      </w:r>
      <w:bookmarkEnd w:id="2716"/>
    </w:p>
    <w:p>
      <w:bookmarkStart w:id="2717" w:name="Where"/>
      <w:pPr>
        <w:pStyle w:val="Para 39"/>
      </w:pPr>
      <w:r>
        <w:t>Trong đó                             E(FCFE)t = Dòng tiền tự do vốn chủ sở hữu kỳ vọng trong kỳ tGiá trị cuối kỳ của vốn chủ sở hữu vào năm n = FCFEn+1(ke,st−gn)ke = Chi phí vốn chủ sở hữu trong giai đoạn tăng trưởng cao (hg) và giai đoạn ổn định (st)gn = Tốc độ tăng trưởng vĩnh viễn sau năm n</w:t>
      </w:r>
      <w:bookmarkEnd w:id="2717"/>
    </w:p>
    <w:p>
      <w:pPr>
        <w:pStyle w:val="Para 03"/>
      </w:pPr>
      <w:r>
        <w:t>Như bạn thấy, cấu trúc của mô hình này bám sát mô hình chiết khấu cổ tức hai giai đoạn, chỉ thay cổ tức bằng dòng tiền tự do vốn chủ sở hữu.</w:t>
      </w:r>
    </w:p>
    <w:p>
      <w:bookmarkStart w:id="2718" w:name="Calculating_the_Terminal_Value_2"/>
      <w:pPr>
        <w:pStyle w:val="Para 21"/>
      </w:pPr>
      <w:r>
        <w:t>Tính giá trị cuối kỳ</w:t>
      </w:r>
      <w:bookmarkEnd w:id="2718"/>
    </w:p>
    <w:p>
      <w:pPr>
        <w:pStyle w:val="Para 03"/>
      </w:pPr>
      <w:r>
        <w:t>Những lưu ý tương tự áp dụng cho tốc độ tăng trưởng trong mô hình tăng trưởng ổn định đã trình bày ở phần trước cũng áp dụng ở đây. Ngoài ra, các giả định đưa ra để tính dòng tiền tự do vốn chủ sở hữu sau năm cuối kỳ cũng phải nhất quán với giả định về sự ổn định này. Ví dụ, trong khi chi tiêu vốn (capital spending) có thể lớn hơn nhiều so với khấu hao (depreciation) trong giai đoạn tăng trưởng cao ban đầu, thì khoảng cách này sẽ thu hẹp dần khi công ty bước vào giai đoạn tăng trưởng ổn định. Chúng ta có thể dùng hai cách tiếp cận đã mô tả cho mô hình tăng trưởng ổn định — yêu cầu chi tiêu vốn trung bình ngành hoặc phương trình tăng trưởng cơ bản (tỷ lệ tái đầu tư vốn chủ sở hữu = g/ROE) — để đưa ra ước tính này.</w:t>
      </w:r>
    </w:p>
    <w:p>
      <w:pPr>
        <w:pStyle w:val="Para 03"/>
      </w:pPr>
      <w:r>
        <w:t>Beta và tỷ lệ nợ cũng có thể cần được điều chỉnh trong giai đoạn tăng trưởng ổn định để phản ánh thực tế rằng các công ty tăng trưởng ổn định thường có rủi ro ở mức trung bình (beta gần bằng 1) và sử dụng nhiều nợ hơn các công ty tăng trưởng cao.</w:t>
      </w:r>
    </w:p>
    <w:p>
      <w:pPr>
        <w:pStyle w:val="Para 11"/>
      </w:pPr>
      <w:r>
        <w:t xml:space="preserve"> </w:t>
      </w:r>
      <w:r>
        <w:rPr>
          <w:rStyle w:val="Text26"/>
        </w:rPr>
        <w:bookmarkStart w:id="2720" w:name="Page_418"/>
        <w:t/>
        <w:bookmarkEnd w:id="2720"/>
      </w:r>
      <w:r>
        <w:t xml:space="preserve"> </w:t>
      </w:r>
    </w:p>
    <w:p>
      <w:bookmarkStart w:id="2721" w:name="ILLUSTRATION_14_10___Capital_Exp_1"/>
      <w:bookmarkStart w:id="2722" w:name="ILLUSTRATION_14_10___Capital_Exp"/>
      <w:pPr>
        <w:keepNext/>
        <w:pStyle w:val="Para 19"/>
        <w:keepLines w:val="on"/>
      </w:pPr>
      <w:r>
        <w:t>MINH HỌA 14.10: Chi tiêu vốn, khấu hao và tốc độ tăng trưởng</w:t>
      </w:r>
      <w:bookmarkEnd w:id="2721"/>
      <w:bookmarkEnd w:id="2722"/>
    </w:p>
    <w:p>
      <w:pPr>
        <w:pStyle w:val="Para 04"/>
        <w:keepLines w:val="on"/>
      </w:pPr>
      <w:r>
        <w:t>Giả sử bạn có một công ty dự kiến sẽ tăng trưởng thu nhập 20% trong năm năm tới và 5% sau đó. Thu nhập trên mỗi cổ phần hiện tại là 2,50 đô la. Chi tiêu vốn hiện tại là 2,00 đô la, và khấu hao hiện tại là 1,00 đô la. Nếu chúng ta giả định rằng chi tiêu vốn và khấu hao tăng cùng tốc độ với thu nhập, và không có yêu cầu về vốn lưu động (working capital) hay nợ:</w:t>
      </w:r>
    </w:p>
    <w:tbl>
      <w:tblPr>
        <w:tblW w:type="auto" w:w="0"/>
      </w:tblPr>
      <w:tr>
        <w:tc>
          <w:tcPr>
            <w:tcW w:type="auto" w:w="0"/>
          </w:tcPr>
          <w:tbl>
            <w:tblPr>
              <w:tblW w:type="auto" w:w="0"/>
            </w:tblPr>
            <w:tr>
              <w:tc>
                <w:tcPr>
                  <w:tcW w:type="auto" w:w="0"/>
                  <w:shd w:val="clear" w:color="auto" w:fill="F0F0F0"/>
                </w:tcPr>
                <w:p>
                  <w:pPr>
                    <w:pStyle w:val="Para 02"/>
                    <w:keepLines w:val="on"/>
                  </w:pPr>
                  <w:r>
                    <w:t>Thu nhập năm thứ 5 = 2,50 × (1,20)5</w:t>
                  </w:r>
                </w:p>
              </w:tc>
              <w:tc>
                <w:tcPr>
                  <w:tcW w:type="auto" w:w="0"/>
                  <w:shd w:val="clear" w:color="auto" w:fill="F0F0F0"/>
                </w:tcPr>
                <w:p>
                  <w:pPr>
                    <w:pStyle w:val="Normal"/>
                    <w:keepLines w:val="on"/>
                  </w:pPr>
                  <w:r>
                    <w:t>= 6,22 đô la</w:t>
                  </w:r>
                </w:p>
              </w:tc>
            </w:tr>
            <w:tr>
              <w:tc>
                <w:tcPr>
                  <w:tcW w:type="auto" w:w="0"/>
                  <w:shd w:val="clear" w:color="auto" w:fill="F0F0F0"/>
                </w:tcPr>
                <w:p>
                  <w:pPr>
                    <w:pStyle w:val="Para 02"/>
                    <w:keepLines w:val="on"/>
                  </w:pPr>
                  <w:r>
                    <w:t>Chi tiêu vốn năm thứ 5 = 2,00 × (1,20)5</w:t>
                  </w:r>
                </w:p>
              </w:tc>
              <w:tc>
                <w:tcPr>
                  <w:tcW w:type="auto" w:w="0"/>
                  <w:shd w:val="clear" w:color="auto" w:fill="F0F0F0"/>
                </w:tcPr>
                <w:p>
                  <w:pPr>
                    <w:pStyle w:val="Normal"/>
                    <w:keepLines w:val="on"/>
                  </w:pPr>
                  <w:r>
                    <w:t>= 4,98 đô la</w:t>
                  </w:r>
                </w:p>
              </w:tc>
            </w:tr>
            <w:tr>
              <w:tc>
                <w:tcPr>
                  <w:tcW w:type="auto" w:w="0"/>
                  <w:shd w:val="clear" w:color="auto" w:fill="F0F0F0"/>
                </w:tcPr>
                <w:p>
                  <w:pPr>
                    <w:pStyle w:val="Para 02"/>
                    <w:keepLines w:val="on"/>
                  </w:pPr>
                  <w:r>
                    <w:t>Khấu hao năm thứ 5 = 1,00 × (1,20)5</w:t>
                  </w:r>
                </w:p>
              </w:tc>
              <w:tc>
                <w:tcPr>
                  <w:tcW w:type="auto" w:w="0"/>
                  <w:shd w:val="clear" w:color="auto" w:fill="F0F0F0"/>
                </w:tcPr>
                <w:p>
                  <w:pPr>
                    <w:pStyle w:val="Normal"/>
                    <w:keepLines w:val="on"/>
                  </w:pPr>
                  <w:r>
                    <w:t>= 2,49 đô la</w:t>
                  </w:r>
                </w:p>
              </w:tc>
            </w:tr>
            <w:tr>
              <w:tc>
                <w:tcPr>
                  <w:tcW w:type="auto" w:w="0"/>
                  <w:shd w:val="clear" w:color="auto" w:fill="F0F0F0"/>
                </w:tcPr>
                <w:p>
                  <w:pPr>
                    <w:pStyle w:val="Para 02"/>
                    <w:keepLines w:val="on"/>
                  </w:pPr>
                  <w:r>
                    <w:t>Dòng tiền tự do vốn chủ sở hữu năm thứ 5 = 6,22 + 2,49 − 4,98</w:t>
                  </w:r>
                </w:p>
              </w:tc>
              <w:tc>
                <w:tcPr>
                  <w:tcW w:type="auto" w:w="0"/>
                  <w:shd w:val="clear" w:color="auto" w:fill="F0F0F0"/>
                </w:tcPr>
                <w:p>
                  <w:pPr>
                    <w:pStyle w:val="Normal"/>
                    <w:keepLines w:val="on"/>
                  </w:pPr>
                  <w:r>
                    <w:t>= 3,73 đô la</w:t>
                  </w:r>
                </w:p>
              </w:tc>
            </w:tr>
          </w:tbl>
          <w:p/>
        </w:tc>
      </w:tr>
    </w:tbl>
    <w:p>
      <w:pPr>
        <w:pStyle w:val="Para 04"/>
        <w:keepLines w:val="on"/>
      </w:pPr>
      <w:r>
        <w:t>Nếu chúng ta dùng mô hình tăng trưởng vĩnh viễn nhưng không điều chỉnh sự mất cân đối giữa chi tiêu vốn và khấu hao, thì dòng tiền tự do vốn chủ sở hữu trong năm cuối kỳ là:</w:t>
      </w:r>
    </w:p>
    <w:p>
      <w:bookmarkStart w:id="2724" w:name="Free_cash_flow_to_equity_in_year"/>
      <w:pPr>
        <w:keepNext/>
        <w:pStyle w:val="Para 07"/>
        <w:keepLines w:val="on"/>
      </w:pPr>
      <w:r>
        <w:t>Dòng tiền tự do vốn chủ sở hữu năm thứ 6 = 3,73 × 1,05 = 3,92 đô la</w:t>
      </w:r>
      <w:bookmarkEnd w:id="2724"/>
    </w:p>
    <w:p>
      <w:pPr>
        <w:pStyle w:val="Para 04"/>
        <w:keepLines w:val="on"/>
      </w:pPr>
      <w:r>
        <w:t>Dòng tiền tự do cho vốn chủ sở hữu này sau đó có thể được dùng để tính giá trị mỗi cổ phần vào cuối năm thứ 5, nhưng nó sẽ đánh giá thấp giá trị thực, vì bạn đang buộc công ty phải tái đầu tư với cùng tỷ lệ như trong giai đoạn tăng trưởng cao, trong khi lại hạ thấp tốc độ tăng trưởng.</w:t>
      </w:r>
    </w:p>
    <w:p>
      <w:pPr>
        <w:pStyle w:val="Para 04"/>
        <w:keepLines w:val="on"/>
      </w:pPr>
      <w:r>
        <w:t>Có hai cách để bạn điều chỉnh cho vấn đề này:</w:t>
      </w:r>
    </w:p>
    <w:p>
      <w:pPr>
        <w:numPr>
          <w:ilvl w:val="0"/>
          <w:numId w:val="135"/>
        </w:numPr>
        <w:pStyle w:val="Para 18"/>
        <w:keepLines w:val="on"/>
      </w:pPr>
      <w:r>
        <w:t>Điều chỉnh chi tiêu vốn (capital expenditures) trong năm thứ 6 để phản ánh nhu cầu chi tiêu vốn trung bình của ngành: Ví dụ, giả sử chi tiêu vốn bằng 150% khấu hao đối với ngành mà công ty đang hoạt động. Bạn có thể tính chi tiêu vốn trong năm thứ 6 như sau:</w:t>
      </w:r>
    </w:p>
    <w:p>
      <w:bookmarkStart w:id="2725" w:name="EPS_in_year_6__6_21x1_05__6_53"/>
      <w:pPr>
        <w:keepNext/>
        <w:pStyle w:val="Para 07"/>
        <w:keepLines w:val="on"/>
      </w:pPr>
      <w:r>
        <w:t>EPS năm thứ 6 = $6,21 × 1,05 = $6,53</w:t>
      </w:r>
      <w:bookmarkEnd w:id="2725"/>
    </w:p>
    <w:p>
      <w:bookmarkStart w:id="2726" w:name="Depreciation_in_year_6_2_49_1_05"/>
      <w:pPr>
        <w:keepNext/>
        <w:pStyle w:val="Para 07"/>
        <w:keepLines w:val="on"/>
      </w:pPr>
      <w:r>
        <w:t>Khấu hao năm thứ 6 = 2,49(1,05) = $2,61</w:t>
      </w:r>
      <w:bookmarkEnd w:id="2726"/>
    </w:p>
    <w:p>
      <w:bookmarkStart w:id="2727" w:name="Capital_expenditures_in_year_6_D"/>
      <w:pPr>
        <w:keepNext/>
        <w:pStyle w:val="Para 07"/>
        <w:keepLines w:val="on"/>
      </w:pPr>
      <w:r>
        <w:t>Chi tiêu vốn năm thứ 6 = Khấu hao năm thứ 6 × Chi tiêu vốn trung bình ngành tính theo % khấu hao = $2,61 × 1,50 = $3,92</w:t>
      </w:r>
      <w:bookmarkEnd w:id="2727"/>
    </w:p>
    <w:p>
      <w:bookmarkStart w:id="2728" w:name="FCFE_in_year_6__6_53__2_61____3"/>
      <w:pPr>
        <w:keepNext/>
        <w:pStyle w:val="Para 07"/>
        <w:keepLines w:val="on"/>
      </w:pPr>
      <w:r>
        <w:t>FCFE năm thứ 6 = $6,53 + $2,61 − $3,92 = $5,23</w:t>
      </w:r>
      <w:bookmarkEnd w:id="2728"/>
    </w:p>
    <w:p>
      <w:pPr>
        <w:numPr>
          <w:ilvl w:val="0"/>
          <w:numId w:val="136"/>
        </w:numPr>
        <w:pStyle w:val="Para 18"/>
        <w:keepLines w:val="on"/>
      </w:pPr>
      <w:r>
        <w:t>Ước tính tỷ lệ tái đầu tư vốn chủ sở hữu (equity reinvestment rate) trong năm thứ 6, dựa trên tăng trưởng kỳ vọng và tỷ suất sinh lời trên vốn chủ sở hữu (return on equity – ROE) của công ty. Ví dụ, nếu giả sử ROE của công ty này sẽ là 15% trong giai đoạn tăng trưởng ổn định, thì tỷ lệ tái đầu tư vốn chủ sở hữu cần là:</w:t>
      </w:r>
    </w:p>
    <w:p>
      <w:bookmarkStart w:id="2729" w:name="Equity_reinvestment_rate_g_ROE_5"/>
      <w:pPr>
        <w:keepNext/>
        <w:pStyle w:val="Para 07"/>
        <w:keepLines w:val="on"/>
      </w:pPr>
      <w:r>
        <w:t>Tỷ lệ tái đầu tư vốn chủ sở hữu = g/ROE = 5%/15% = 33,33% Tái đầu tư vốn chủ sở hữu năm thứ 6 = Tỷ lệ tái đầu tư vốn chủ sở hữu × Thu nhập mỗi cổ phần = 0,3333 × $6,53 = $2,18 FCFE năm thứ 6 = $6,53 − $2,18 = $4,35</w:t>
      </w:r>
      <w:bookmarkEnd w:id="2729"/>
    </w:p>
    <w:p>
      <w:pPr>
        <w:pStyle w:val="Para 03"/>
      </w:pPr>
      <w:r>
        <w:t>Chúng tôi thích cách tiếp cận thứ hai hơn vì nó giữ được sự nhất quán trong định giá giữa các giả định về tăng trưởng, tái đầu tư và chất lượng tỷ suất sinh lời.</w:t>
      </w:r>
    </w:p>
    <w:p>
      <w:bookmarkStart w:id="2730" w:name="Model_Usage__This_model_makes_th"/>
      <w:pPr>
        <w:pStyle w:val="Para 21"/>
      </w:pPr>
      <w:r>
        <w:t>Cách sử dụng mô hình</w:t>
      </w:r>
      <w:bookmarkEnd w:id="2730"/>
    </w:p>
    <w:p>
      <w:pPr>
        <w:pStyle w:val="Para 03"/>
      </w:pPr>
      <w:r>
        <w:t>Mô hình này đưa ra những giả định về tăng trưởng giống như mô hình chiết khấu cổ tức hai giai đoạn (two-stage dividend discount model) (tức là tăng trưởng sẽ cao và không đổi trong giai đoạn đầu rồi đột ngột giảm xuống mức tăng trưởng ổn định sau đó). Nó khác ở chỗ nhấn mạnh vào FCFE thay vì cổ tức. Do đó, nó cho kết quả tốt hơn nhiều so với mô hình chiết khấu cổ tức khi định giá những công ty hoặc có mức cổ tức không bền vững (vì cao hơn FCFE), hoặc trả cổ tức ít hơn khả năng chi trả của mình (tức là cổ tức thấp hơn FCFE).</w:t>
      </w:r>
    </w:p>
    <w:p>
      <w:pPr>
        <w:pStyle w:val="Para 03"/>
      </w:pPr>
      <w:r>
        <w:t>Điểm hạn chế là nó đòi hỏi phải ước tính nhiều hơn, vì thay vì lấy cổ tức của công ty làm dòng tiền tự do cho vốn chủ sở hữu, bạn phải tính xem công ty có thể đã chi trả bao nhiêu bằng cách loại trừ các dòng tiền từ tái đầu tư và nợ.</w:t>
      </w:r>
    </w:p>
    <w:p>
      <w:pPr>
        <w:pStyle w:val="Para 11"/>
      </w:pPr>
      <w:r>
        <w:t xml:space="preserve"> </w:t>
      </w:r>
    </w:p>
    <w:p>
      <w:bookmarkStart w:id="2733" w:name="ILLUSTRATION_14_11___Two_Stage_F"/>
      <w:bookmarkStart w:id="2734" w:name="ILLUSTRATION_14_11___Two_Stage_F_1"/>
      <w:pPr>
        <w:keepNext/>
        <w:pStyle w:val="Para 19"/>
        <w:keepLines w:val="on"/>
      </w:pPr>
      <w:r>
        <w:t>MINH HỌA 14.11: Mô hình FCFE hai giai đoạn: Nestlé năm 2024</w:t>
      </w:r>
      <w:bookmarkEnd w:id="2733"/>
      <w:bookmarkEnd w:id="2734"/>
    </w:p>
    <w:p>
      <w:pPr>
        <w:pStyle w:val="Para 04"/>
        <w:keepLines w:val="on"/>
      </w:pPr>
      <w:r>
        <w:t>Nestlé có hoạt động trên khắp thế giới, với phần lớn doanh thu đến từ các thị trường ngoài Thụy Sĩ, nơi đặt trụ sở chính. Công ty này, giống như nhiều tập đoàn lớn của châu Âu, có hệ thống quản trị doanh nghiệp yếu và cổ đông có rất ít quyền lực đối với các nhà quản lý.</w:t>
      </w:r>
    </w:p>
    <w:p>
      <w:bookmarkStart w:id="2736" w:name="Rationale_for_Using_the_Model_1"/>
      <w:bookmarkStart w:id="2737" w:name="Rationale_for_Using_the_Model"/>
      <w:pPr>
        <w:keepNext/>
        <w:pStyle w:val="Para 36"/>
        <w:keepLines w:val="on"/>
      </w:pPr>
      <w:r>
        <w:t>Lý do sử dụng mô hình</w:t>
      </w:r>
      <w:bookmarkEnd w:id="2736"/>
      <w:bookmarkEnd w:id="2737"/>
    </w:p>
    <w:p>
      <w:pPr>
        <w:numPr>
          <w:ilvl w:val="0"/>
          <w:numId w:val="137"/>
        </w:numPr>
        <w:pStyle w:val="Para 18"/>
        <w:keepLines w:val="on"/>
      </w:pPr>
      <w:r>
        <w:t>Tại sao là hai giai đoạn? Nestlé có lịch sử tăng trưởng lâu dài và ấn tượng, và dù chúng tôi tin rằng tăng trưởng của nó sẽ ở mức vừa phải, chúng tôi giả định rằng nó sẽ có thể duy trì tăng trưởng cao trong 5 năm.</w:t>
      </w:r>
    </w:p>
    <w:p>
      <w:pPr>
        <w:numPr>
          <w:ilvl w:val="0"/>
          <w:numId w:val="137"/>
        </w:numPr>
        <w:pStyle w:val="Para 18"/>
        <w:keepLines w:val="on"/>
      </w:pPr>
      <w:r>
        <w:t>Tại sao dùng FCFE? Với cấu trúc quản trị doanh nghiệp yếu và lịch sử tích lũy tiền mặt, cổ tức mà Nestlé chi trả chẳng mấy giống với những gì công ty có thể đã chi trả.</w:t>
      </w:r>
    </w:p>
    <w:p>
      <w:bookmarkStart w:id="2738" w:name="Background_Information"/>
      <w:bookmarkStart w:id="2739" w:name="Background_Information__In_May_2"/>
      <w:pPr>
        <w:keepNext/>
        <w:pStyle w:val="Para 36"/>
        <w:keepLines w:val="on"/>
      </w:pPr>
      <w:r>
        <w:t>Thông tin cơ bản</w:t>
      </w:r>
      <w:bookmarkEnd w:id="2738"/>
      <w:bookmarkEnd w:id="2739"/>
    </w:p>
    <w:p>
      <w:pPr>
        <w:pStyle w:val="Para 04"/>
        <w:keepLines w:val="on"/>
      </w:pPr>
      <w:r>
        <w:t>Vào tháng 5 năm 2024, báo cáo tài chính gần nhất của Nestlé ghi nhận thu nhập ròng là 11.209 triệu Franc Thụy Sĩ (SFr), trong đó 192 triệu SFr đến từ thu nhập trên tiền mặt và chứng khoán thị trường trong năm tài chính. Trong năm, công ty báo cáo các thành phần tái đầu tư sau:</w:t>
      </w:r>
    </w:p>
    <w:p>
      <w:bookmarkStart w:id="2740" w:name="Capital_expenditures_and_acquisi"/>
      <w:pPr>
        <w:keepNext/>
        <w:pStyle w:val="Para 07"/>
        <w:keepLines w:val="on"/>
      </w:pPr>
      <w:r>
        <w:t>Chi tiêu vốn và mua lại = SFr 5.925 triệu Khấu hao và phân bổ = SFr 2.993 triệu Thay đổi vốn lưu động phi tiền mặt = −SFr 794 triệu</w:t>
      </w:r>
      <w:bookmarkEnd w:id="2740"/>
    </w:p>
    <w:p>
      <w:pPr>
        <w:pStyle w:val="Para 04"/>
        <w:keepLines w:val="on"/>
      </w:pPr>
      <w:r>
        <w:t>Công ty đã huy động thêm SFr 6.806 triệu nợ mới, đồng thời trả 6.126 triệu nợ đến hạn, mang lại dòng tiền nợ ròng là SFr 680 triệu. Cuối cùng, vốn chủ sở hữu trên sổ sách của công ty, có và không bao gồm tiền mặt, được trình bày dưới đây:</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Đầu năm 2023</w:t>
                  </w:r>
                </w:p>
              </w:tc>
              <w:tc>
                <w:tcPr>
                  <w:tcW w:type="auto" w:w="0"/>
                  <w:shd w:val="clear" w:color="auto" w:fill="F0F0F0"/>
                </w:tcPr>
                <w:p>
                  <w:pPr>
                    <w:pStyle w:val="Para 05"/>
                    <w:keepLines w:val="on"/>
                  </w:pPr>
                  <w:r>
                    <w:t>Cuối năm 2023</w:t>
                  </w:r>
                </w:p>
              </w:tc>
            </w:tr>
            <w:tr>
              <w:tc>
                <w:tcPr>
                  <w:tcW w:type="auto" w:w="0"/>
                  <w:shd w:val="clear" w:color="auto" w:fill="F0F0F0"/>
                </w:tcPr>
                <w:p>
                  <w:pPr>
                    <w:pStyle w:val="Para 02"/>
                    <w:keepLines w:val="on"/>
                  </w:pPr>
                  <w:r>
                    <w:t>Vốn chủ sở hữu trên sổ sách</w:t>
                  </w:r>
                </w:p>
              </w:tc>
              <w:tc>
                <w:tcPr>
                  <w:tcW w:type="auto" w:w="0"/>
                  <w:shd w:val="clear" w:color="auto" w:fill="F0F0F0"/>
                </w:tcPr>
                <w:p>
                  <w:pPr>
                    <w:pStyle w:val="Para 06"/>
                    <w:keepLines w:val="on"/>
                  </w:pPr>
                  <w:r>
                    <w:t>SFr 41.982</w:t>
                  </w:r>
                </w:p>
              </w:tc>
              <w:tc>
                <w:tcPr>
                  <w:tcW w:type="auto" w:w="0"/>
                  <w:shd w:val="clear" w:color="auto" w:fill="F0F0F0"/>
                </w:tcPr>
                <w:p>
                  <w:pPr>
                    <w:pStyle w:val="Para 06"/>
                    <w:keepLines w:val="on"/>
                  </w:pPr>
                  <w:r>
                    <w:t>SFr 35.742</w:t>
                  </w:r>
                </w:p>
              </w:tc>
            </w:tr>
            <w:tr>
              <w:tc>
                <w:tcPr>
                  <w:tcW w:type="auto" w:w="0"/>
                  <w:shd w:val="clear" w:color="auto" w:fill="F0F0F0"/>
                </w:tcPr>
                <w:p>
                  <w:pPr>
                    <w:pStyle w:val="Para 02"/>
                    <w:keepLines w:val="on"/>
                  </w:pPr>
                  <w:r>
                    <w:t>Tiền mặt và chứng khoán có thể bán được</w:t>
                  </w:r>
                </w:p>
              </w:tc>
              <w:tc>
                <w:tcPr>
                  <w:tcW w:type="auto" w:w="0"/>
                  <w:shd w:val="clear" w:color="auto" w:fill="F0F0F0"/>
                </w:tcPr>
                <w:p>
                  <w:pPr>
                    <w:pStyle w:val="Para 06"/>
                    <w:keepLines w:val="on"/>
                  </w:pPr>
                  <w:r>
                    <w:t>SFr 6.744</w:t>
                  </w:r>
                </w:p>
              </w:tc>
              <w:tc>
                <w:tcPr>
                  <w:tcW w:type="auto" w:w="0"/>
                  <w:shd w:val="clear" w:color="auto" w:fill="F0F0F0"/>
                </w:tcPr>
                <w:p>
                  <w:pPr>
                    <w:pStyle w:val="Para 06"/>
                    <w:keepLines w:val="on"/>
                  </w:pPr>
                  <w:r>
                    <w:t>SFr 5.851</w:t>
                  </w:r>
                </w:p>
              </w:tc>
            </w:tr>
            <w:tr>
              <w:tc>
                <w:tcPr>
                  <w:tcW w:type="auto" w:w="0"/>
                  <w:shd w:val="clear" w:color="auto" w:fill="F0F0F0"/>
                </w:tcPr>
                <w:p>
                  <w:pPr>
                    <w:pStyle w:val="Para 02"/>
                    <w:keepLines w:val="on"/>
                  </w:pPr>
                  <w:r>
                    <w:t>Vốn chủ sở hữu phi tiền mặt</w:t>
                  </w:r>
                </w:p>
              </w:tc>
              <w:tc>
                <w:tcPr>
                  <w:tcW w:type="auto" w:w="0"/>
                  <w:shd w:val="clear" w:color="auto" w:fill="F0F0F0"/>
                </w:tcPr>
                <w:p>
                  <w:pPr>
                    <w:pStyle w:val="Para 06"/>
                    <w:keepLines w:val="on"/>
                  </w:pPr>
                  <w:r>
                    <w:t>SFr 35.238</w:t>
                  </w:r>
                </w:p>
              </w:tc>
              <w:tc>
                <w:tcPr>
                  <w:tcW w:type="auto" w:w="0"/>
                  <w:shd w:val="clear" w:color="auto" w:fill="F0F0F0"/>
                </w:tcPr>
                <w:p>
                  <w:pPr>
                    <w:pStyle w:val="Para 06"/>
                    <w:keepLines w:val="on"/>
                  </w:pPr>
                  <w:r>
                    <w:t>SFr 29.891</w:t>
                  </w:r>
                </w:p>
              </w:tc>
            </w:tr>
          </w:tbl>
          <w:p/>
        </w:tc>
      </w:tr>
    </w:tbl>
    <w:p>
      <w:bookmarkStart w:id="2741" w:name="Estimates"/>
      <w:bookmarkStart w:id="2742" w:name="Estimates__We_will_begin_by_esti"/>
      <w:pPr>
        <w:keepNext/>
        <w:pStyle w:val="Para 36"/>
        <w:keepLines w:val="on"/>
      </w:pPr>
      <w:r>
        <w:t>Ước tính</w:t>
      </w:r>
      <w:bookmarkEnd w:id="2741"/>
      <w:bookmarkEnd w:id="2742"/>
    </w:p>
    <w:p>
      <w:pPr>
        <w:pStyle w:val="Para 04"/>
        <w:keepLines w:val="on"/>
      </w:pPr>
      <w:r>
        <w:t>Chúng ta sẽ bắt đầu bằng việc ước tính chi phí vốn chủ sở hữu (cost of equity) cho Nestlé trong giai đoạn tăng trưởng cao, tính bằng franc Thụy Sĩ. Chúng ta sẽ dùng lãi suất trái phiếu chính phủ Thụy Sĩ kỳ hạn 10 năm là 1%, vào tháng 5 năm 2024, làm lãi suất phi rủi ro (risk-free rate). Để ước tính phần bù rủi ro (risk premium), chúng ta dùng bảng phân tách doanh thu của Nestlé theo khu vực trong Bảng 14.8.</w:t>
      </w:r>
    </w:p>
    <w:p>
      <w:pPr>
        <w:pStyle w:val="Para 59"/>
        <w:keepLines w:val="on"/>
      </w:pPr>
      <w:r>
        <w:rPr>
          <w:rStyle w:val="Text26"/>
        </w:rPr>
        <w:bookmarkStart w:id="2744" w:name="Page_420"/>
        <w:t/>
        <w:bookmarkEnd w:id="2744"/>
      </w:r>
      <w:r>
        <w:t xml:space="preserve"> </w:t>
      </w:r>
    </w:p>
    <w:p>
      <w:pPr>
        <w:pStyle w:val="Para 25"/>
        <w:keepLines w:val="on"/>
      </w:pPr>
      <w:r>
        <w:t>Bảng 14.8</w:t>
      </w:r>
    </w:p>
    <w:p>
      <w:pPr>
        <w:keepNext/>
        <w:pStyle w:val="Para 24"/>
        <w:keepLines w:val="on"/>
      </w:pPr>
      <w:r>
        <w:t>Phân tách doanh thu theo khu vực địa lý của Nestlé</w:t>
      </w:r>
    </w:p>
    <w:tbl>
      <w:tblPr>
        <w:tblW w:type="auto" w:w="0"/>
      </w:tblPr>
      <w:tr>
        <w:tc>
          <w:tcPr>
            <w:tcW w:type="auto" w:w="0"/>
          </w:tcPr>
          <w:tbl>
            <w:tblPr>
              <w:tblW w:type="auto" w:w="0"/>
            </w:tblPr>
            <w:tr>
              <w:tc>
                <w:tcPr>
                  <w:tcW w:type="auto" w:w="0"/>
                  <w:shd w:val="clear" w:color="auto" w:fill="F0F0F0"/>
                </w:tcPr>
                <w:p>
                  <w:pPr>
                    <w:pStyle w:val="Para 32"/>
                    <w:keepLines w:val="on"/>
                  </w:pPr>
                  <w:r>
                    <w:t>Quốc gia</w:t>
                  </w:r>
                </w:p>
              </w:tc>
              <w:tc>
                <w:tcPr>
                  <w:tcW w:type="auto" w:w="0"/>
                  <w:shd w:val="clear" w:color="auto" w:fill="F0F0F0"/>
                </w:tcPr>
                <w:p>
                  <w:pPr>
                    <w:pStyle w:val="Para 32"/>
                    <w:keepLines w:val="on"/>
                  </w:pPr>
                  <w:r>
                    <w:t>Doanh thu (tính bằng triệu SFr)</w:t>
                  </w:r>
                </w:p>
              </w:tc>
              <w:tc>
                <w:tcPr>
                  <w:tcW w:type="auto" w:w="0"/>
                  <w:shd w:val="clear" w:color="auto" w:fill="F0F0F0"/>
                </w:tcPr>
                <w:p>
                  <w:pPr>
                    <w:pStyle w:val="Para 05"/>
                    <w:keepLines w:val="on"/>
                  </w:pPr>
                  <w:r>
                    <w:t>Tỷ trọng</w:t>
                  </w:r>
                </w:p>
              </w:tc>
              <w:tc>
                <w:tcPr>
                  <w:tcW w:type="auto" w:w="0"/>
                  <w:shd w:val="clear" w:color="auto" w:fill="F0F0F0"/>
                </w:tcPr>
                <w:p>
                  <w:pPr>
                    <w:pStyle w:val="Para 05"/>
                    <w:keepLines w:val="on"/>
                  </w:pPr>
                  <w:r>
                    <w:t>ERP</w:t>
                  </w:r>
                </w:p>
              </w:tc>
            </w:tr>
            <w:tr>
              <w:tc>
                <w:tcPr>
                  <w:tcW w:type="auto" w:w="0"/>
                  <w:shd w:val="clear" w:color="auto" w:fill="F0F0F0"/>
                </w:tcPr>
                <w:p>
                  <w:pPr>
                    <w:pStyle w:val="Para 02"/>
                    <w:keepLines w:val="on"/>
                  </w:pPr>
                  <w:r>
                    <w:t>Hoa Kỳ</w:t>
                  </w:r>
                </w:p>
              </w:tc>
              <w:tc>
                <w:tcPr>
                  <w:tcW w:type="auto" w:w="0"/>
                  <w:shd w:val="clear" w:color="auto" w:fill="F0F0F0"/>
                </w:tcPr>
                <w:p>
                  <w:pPr>
                    <w:pStyle w:val="Para 02"/>
                    <w:keepLines w:val="on"/>
                  </w:pPr>
                  <w:r>
                    <w:t>SFr 30.034</w:t>
                  </w:r>
                </w:p>
              </w:tc>
              <w:tc>
                <w:tcPr>
                  <w:tcW w:type="auto" w:w="0"/>
                  <w:shd w:val="clear" w:color="auto" w:fill="F0F0F0"/>
                </w:tcPr>
                <w:p>
                  <w:pPr>
                    <w:pStyle w:val="Normal"/>
                    <w:keepLines w:val="on"/>
                  </w:pPr>
                  <w:r>
                    <w:t>32,33%</w:t>
                  </w:r>
                </w:p>
              </w:tc>
              <w:tc>
                <w:tcPr>
                  <w:tcW w:type="auto" w:w="0"/>
                  <w:shd w:val="clear" w:color="auto" w:fill="F0F0F0"/>
                </w:tcPr>
                <w:p>
                  <w:pPr>
                    <w:pStyle w:val="Normal"/>
                    <w:keepLines w:val="on"/>
                  </w:pPr>
                  <w:r>
                    <w:t>4,30%</w:t>
                  </w:r>
                </w:p>
              </w:tc>
            </w:tr>
            <w:tr>
              <w:tc>
                <w:tcPr>
                  <w:tcW w:type="auto" w:w="0"/>
                  <w:shd w:val="clear" w:color="auto" w:fill="F0F0F0"/>
                </w:tcPr>
                <w:p>
                  <w:pPr>
                    <w:pStyle w:val="Para 02"/>
                    <w:keepLines w:val="on"/>
                  </w:pPr>
                  <w:r>
                    <w:t>Canada</w:t>
                  </w:r>
                </w:p>
              </w:tc>
              <w:tc>
                <w:tcPr>
                  <w:tcW w:type="auto" w:w="0"/>
                  <w:shd w:val="clear" w:color="auto" w:fill="F0F0F0"/>
                </w:tcPr>
                <w:p>
                  <w:pPr>
                    <w:pStyle w:val="Para 02"/>
                    <w:keepLines w:val="on"/>
                  </w:pPr>
                  <w:r>
                    <w:t>SFr 2.519</w:t>
                  </w:r>
                </w:p>
              </w:tc>
              <w:tc>
                <w:tcPr>
                  <w:tcW w:type="auto" w:w="0"/>
                  <w:shd w:val="clear" w:color="auto" w:fill="F0F0F0"/>
                </w:tcPr>
                <w:p>
                  <w:pPr>
                    <w:pStyle w:val="Normal"/>
                    <w:keepLines w:val="on"/>
                  </w:pPr>
                  <w:r>
                    <w:t>2,71%</w:t>
                  </w:r>
                </w:p>
              </w:tc>
              <w:tc>
                <w:tcPr>
                  <w:tcW w:type="auto" w:w="0"/>
                  <w:shd w:val="clear" w:color="auto" w:fill="F0F0F0"/>
                </w:tcPr>
                <w:p>
                  <w:pPr>
                    <w:pStyle w:val="Normal"/>
                    <w:keepLines w:val="on"/>
                  </w:pPr>
                  <w:r>
                    <w:t>4,30%</w:t>
                  </w:r>
                </w:p>
              </w:tc>
            </w:tr>
            <w:tr>
              <w:tc>
                <w:tcPr>
                  <w:tcW w:type="auto" w:w="0"/>
                  <w:shd w:val="clear" w:color="auto" w:fill="F0F0F0"/>
                </w:tcPr>
                <w:p>
                  <w:pPr>
                    <w:pStyle w:val="Para 02"/>
                    <w:keepLines w:val="on"/>
                  </w:pPr>
                  <w:r>
                    <w:t>Pháp</w:t>
                  </w:r>
                </w:p>
              </w:tc>
              <w:tc>
                <w:tcPr>
                  <w:tcW w:type="auto" w:w="0"/>
                  <w:shd w:val="clear" w:color="auto" w:fill="F0F0F0"/>
                </w:tcPr>
                <w:p>
                  <w:pPr>
                    <w:pStyle w:val="Para 02"/>
                    <w:keepLines w:val="on"/>
                  </w:pPr>
                  <w:r>
                    <w:t>SFr 3,546</w:t>
                  </w:r>
                </w:p>
              </w:tc>
              <w:tc>
                <w:tcPr>
                  <w:tcW w:type="auto" w:w="0"/>
                  <w:shd w:val="clear" w:color="auto" w:fill="F0F0F0"/>
                </w:tcPr>
                <w:p>
                  <w:pPr>
                    <w:pStyle w:val="Normal"/>
                    <w:keepLines w:val="on"/>
                  </w:pPr>
                  <w:r>
                    <w:t>3,82%</w:t>
                  </w:r>
                </w:p>
              </w:tc>
              <w:tc>
                <w:tcPr>
                  <w:tcW w:type="auto" w:w="0"/>
                  <w:shd w:val="clear" w:color="auto" w:fill="F0F0F0"/>
                </w:tcPr>
                <w:p>
                  <w:pPr>
                    <w:pStyle w:val="Normal"/>
                    <w:keepLines w:val="on"/>
                  </w:pPr>
                  <w:r>
                    <w:t>5,02%</w:t>
                  </w:r>
                </w:p>
              </w:tc>
            </w:tr>
            <w:tr>
              <w:tc>
                <w:tcPr>
                  <w:tcW w:type="auto" w:w="0"/>
                  <w:shd w:val="clear" w:color="auto" w:fill="F0F0F0"/>
                </w:tcPr>
                <w:p>
                  <w:pPr>
                    <w:pStyle w:val="Para 02"/>
                    <w:keepLines w:val="on"/>
                  </w:pPr>
                  <w:r>
                    <w:t>Vương quốc Anh</w:t>
                  </w:r>
                </w:p>
              </w:tc>
              <w:tc>
                <w:tcPr>
                  <w:tcW w:type="auto" w:w="0"/>
                  <w:shd w:val="clear" w:color="auto" w:fill="F0F0F0"/>
                </w:tcPr>
                <w:p>
                  <w:pPr>
                    <w:pStyle w:val="Para 02"/>
                    <w:keepLines w:val="on"/>
                  </w:pPr>
                  <w:r>
                    <w:t>SFr 3,529</w:t>
                  </w:r>
                </w:p>
              </w:tc>
              <w:tc>
                <w:tcPr>
                  <w:tcW w:type="auto" w:w="0"/>
                  <w:shd w:val="clear" w:color="auto" w:fill="F0F0F0"/>
                </w:tcPr>
                <w:p>
                  <w:pPr>
                    <w:pStyle w:val="Normal"/>
                    <w:keepLines w:val="on"/>
                  </w:pPr>
                  <w:r>
                    <w:t>3,80%</w:t>
                  </w:r>
                </w:p>
              </w:tc>
              <w:tc>
                <w:tcPr>
                  <w:tcW w:type="auto" w:w="0"/>
                  <w:shd w:val="clear" w:color="auto" w:fill="F0F0F0"/>
                </w:tcPr>
                <w:p>
                  <w:pPr>
                    <w:pStyle w:val="Normal"/>
                    <w:keepLines w:val="on"/>
                  </w:pPr>
                  <w:r>
                    <w:t>5,18%</w:t>
                  </w:r>
                </w:p>
              </w:tc>
            </w:tr>
            <w:tr>
              <w:tc>
                <w:tcPr>
                  <w:tcW w:type="auto" w:w="0"/>
                  <w:shd w:val="clear" w:color="auto" w:fill="F0F0F0"/>
                </w:tcPr>
                <w:p>
                  <w:pPr>
                    <w:pStyle w:val="Para 02"/>
                    <w:keepLines w:val="on"/>
                  </w:pPr>
                  <w:r>
                    <w:t>Đức</w:t>
                  </w:r>
                </w:p>
              </w:tc>
              <w:tc>
                <w:tcPr>
                  <w:tcW w:type="auto" w:w="0"/>
                  <w:shd w:val="clear" w:color="auto" w:fill="F0F0F0"/>
                </w:tcPr>
                <w:p>
                  <w:pPr>
                    <w:pStyle w:val="Para 02"/>
                    <w:keepLines w:val="on"/>
                  </w:pPr>
                  <w:r>
                    <w:t>SFr 2,212</w:t>
                  </w:r>
                </w:p>
              </w:tc>
              <w:tc>
                <w:tcPr>
                  <w:tcW w:type="auto" w:w="0"/>
                  <w:shd w:val="clear" w:color="auto" w:fill="F0F0F0"/>
                </w:tcPr>
                <w:p>
                  <w:pPr>
                    <w:pStyle w:val="Normal"/>
                    <w:keepLines w:val="on"/>
                  </w:pPr>
                  <w:r>
                    <w:t>2,38%</w:t>
                  </w:r>
                </w:p>
              </w:tc>
              <w:tc>
                <w:tcPr>
                  <w:tcW w:type="auto" w:w="0"/>
                  <w:shd w:val="clear" w:color="auto" w:fill="F0F0F0"/>
                </w:tcPr>
                <w:p>
                  <w:pPr>
                    <w:pStyle w:val="Normal"/>
                    <w:keepLines w:val="on"/>
                  </w:pPr>
                  <w:r>
                    <w:t>4,30%</w:t>
                  </w:r>
                </w:p>
              </w:tc>
            </w:tr>
            <w:tr>
              <w:tc>
                <w:tcPr>
                  <w:tcW w:type="auto" w:w="0"/>
                  <w:shd w:val="clear" w:color="auto" w:fill="F0F0F0"/>
                </w:tcPr>
                <w:p>
                  <w:pPr>
                    <w:pStyle w:val="Para 02"/>
                    <w:keepLines w:val="on"/>
                  </w:pPr>
                  <w:r>
                    <w:t>Úc</w:t>
                  </w:r>
                </w:p>
              </w:tc>
              <w:tc>
                <w:tcPr>
                  <w:tcW w:type="auto" w:w="0"/>
                  <w:shd w:val="clear" w:color="auto" w:fill="F0F0F0"/>
                </w:tcPr>
                <w:p>
                  <w:pPr>
                    <w:pStyle w:val="Para 02"/>
                    <w:keepLines w:val="on"/>
                  </w:pPr>
                  <w:r>
                    <w:t>SFr 1,450</w:t>
                  </w:r>
                </w:p>
              </w:tc>
              <w:tc>
                <w:tcPr>
                  <w:tcW w:type="auto" w:w="0"/>
                  <w:shd w:val="clear" w:color="auto" w:fill="F0F0F0"/>
                </w:tcPr>
                <w:p>
                  <w:pPr>
                    <w:pStyle w:val="Normal"/>
                    <w:keepLines w:val="on"/>
                  </w:pPr>
                  <w:r>
                    <w:t>1,56%</w:t>
                  </w:r>
                </w:p>
              </w:tc>
              <w:tc>
                <w:tcPr>
                  <w:tcW w:type="auto" w:w="0"/>
                  <w:shd w:val="clear" w:color="auto" w:fill="F0F0F0"/>
                </w:tcPr>
                <w:p>
                  <w:pPr>
                    <w:pStyle w:val="Normal"/>
                    <w:keepLines w:val="on"/>
                  </w:pPr>
                  <w:r>
                    <w:t>4,30%</w:t>
                  </w:r>
                </w:p>
              </w:tc>
            </w:tr>
            <w:tr>
              <w:tc>
                <w:tcPr>
                  <w:tcW w:type="auto" w:w="0"/>
                  <w:shd w:val="clear" w:color="auto" w:fill="F0F0F0"/>
                </w:tcPr>
                <w:p>
                  <w:pPr>
                    <w:pStyle w:val="Para 02"/>
                    <w:keepLines w:val="on"/>
                  </w:pPr>
                  <w:r>
                    <w:t>Trung Quốc</w:t>
                  </w:r>
                </w:p>
              </w:tc>
              <w:tc>
                <w:tcPr>
                  <w:tcW w:type="auto" w:w="0"/>
                  <w:shd w:val="clear" w:color="auto" w:fill="F0F0F0"/>
                </w:tcPr>
                <w:p>
                  <w:pPr>
                    <w:pStyle w:val="Para 02"/>
                    <w:keepLines w:val="on"/>
                  </w:pPr>
                  <w:r>
                    <w:t>SFr 5,524</w:t>
                  </w:r>
                </w:p>
              </w:tc>
              <w:tc>
                <w:tcPr>
                  <w:tcW w:type="auto" w:w="0"/>
                  <w:shd w:val="clear" w:color="auto" w:fill="F0F0F0"/>
                </w:tcPr>
                <w:p>
                  <w:pPr>
                    <w:pStyle w:val="Normal"/>
                    <w:keepLines w:val="on"/>
                  </w:pPr>
                  <w:r>
                    <w:t>5,95%</w:t>
                  </w:r>
                </w:p>
              </w:tc>
              <w:tc>
                <w:tcPr>
                  <w:tcW w:type="auto" w:w="0"/>
                  <w:shd w:val="clear" w:color="auto" w:fill="F0F0F0"/>
                </w:tcPr>
                <w:p>
                  <w:pPr>
                    <w:pStyle w:val="Normal"/>
                    <w:keepLines w:val="on"/>
                  </w:pPr>
                  <w:r>
                    <w:t>5,33%</w:t>
                  </w:r>
                </w:p>
              </w:tc>
            </w:tr>
            <w:tr>
              <w:tc>
                <w:tcPr>
                  <w:tcW w:type="auto" w:w="0"/>
                  <w:shd w:val="clear" w:color="auto" w:fill="F0F0F0"/>
                </w:tcPr>
                <w:p>
                  <w:pPr>
                    <w:pStyle w:val="Para 02"/>
                    <w:keepLines w:val="on"/>
                  </w:pPr>
                  <w:r>
                    <w:t>Brazil</w:t>
                  </w:r>
                </w:p>
              </w:tc>
              <w:tc>
                <w:tcPr>
                  <w:tcW w:type="auto" w:w="0"/>
                  <w:shd w:val="clear" w:color="auto" w:fill="F0F0F0"/>
                </w:tcPr>
                <w:p>
                  <w:pPr>
                    <w:pStyle w:val="Para 02"/>
                    <w:keepLines w:val="on"/>
                  </w:pPr>
                  <w:r>
                    <w:t>SFr 4,131</w:t>
                  </w:r>
                </w:p>
              </w:tc>
              <w:tc>
                <w:tcPr>
                  <w:tcW w:type="auto" w:w="0"/>
                  <w:shd w:val="clear" w:color="auto" w:fill="F0F0F0"/>
                </w:tcPr>
                <w:p>
                  <w:pPr>
                    <w:pStyle w:val="Normal"/>
                    <w:keepLines w:val="on"/>
                  </w:pPr>
                  <w:r>
                    <w:t>4,45%</w:t>
                  </w:r>
                </w:p>
              </w:tc>
              <w:tc>
                <w:tcPr>
                  <w:tcW w:type="auto" w:w="0"/>
                  <w:shd w:val="clear" w:color="auto" w:fill="F0F0F0"/>
                </w:tcPr>
                <w:p>
                  <w:pPr>
                    <w:pStyle w:val="Normal"/>
                    <w:keepLines w:val="on"/>
                  </w:pPr>
                  <w:r>
                    <w:t>8,70%</w:t>
                  </w:r>
                </w:p>
              </w:tc>
            </w:tr>
            <w:tr>
              <w:tc>
                <w:tcPr>
                  <w:tcW w:type="auto" w:w="0"/>
                  <w:shd w:val="clear" w:color="auto" w:fill="F0F0F0"/>
                </w:tcPr>
                <w:p>
                  <w:pPr>
                    <w:pStyle w:val="Para 02"/>
                    <w:keepLines w:val="on"/>
                  </w:pPr>
                  <w:r>
                    <w:t>Mexico</w:t>
                  </w:r>
                </w:p>
              </w:tc>
              <w:tc>
                <w:tcPr>
                  <w:tcW w:type="auto" w:w="0"/>
                  <w:shd w:val="clear" w:color="auto" w:fill="F0F0F0"/>
                </w:tcPr>
                <w:p>
                  <w:pPr>
                    <w:pStyle w:val="Para 02"/>
                    <w:keepLines w:val="on"/>
                  </w:pPr>
                  <w:r>
                    <w:t>SFr 3,937</w:t>
                  </w:r>
                </w:p>
              </w:tc>
              <w:tc>
                <w:tcPr>
                  <w:tcW w:type="auto" w:w="0"/>
                  <w:shd w:val="clear" w:color="auto" w:fill="F0F0F0"/>
                </w:tcPr>
                <w:p>
                  <w:pPr>
                    <w:pStyle w:val="Normal"/>
                    <w:keepLines w:val="on"/>
                  </w:pPr>
                  <w:r>
                    <w:t>4,24%</w:t>
                  </w:r>
                </w:p>
              </w:tc>
              <w:tc>
                <w:tcPr>
                  <w:tcW w:type="auto" w:w="0"/>
                  <w:shd w:val="clear" w:color="auto" w:fill="F0F0F0"/>
                </w:tcPr>
                <w:p>
                  <w:pPr>
                    <w:pStyle w:val="Normal"/>
                    <w:keepLines w:val="on"/>
                  </w:pPr>
                  <w:r>
                    <w:t>7,08%</w:t>
                  </w:r>
                </w:p>
              </w:tc>
            </w:tr>
            <w:tr>
              <w:tc>
                <w:tcPr>
                  <w:tcW w:type="auto" w:w="0"/>
                  <w:shd w:val="clear" w:color="auto" w:fill="F0F0F0"/>
                </w:tcPr>
                <w:p>
                  <w:pPr>
                    <w:pStyle w:val="Para 02"/>
                    <w:keepLines w:val="on"/>
                  </w:pPr>
                  <w:r>
                    <w:t>Chile</w:t>
                  </w:r>
                </w:p>
              </w:tc>
              <w:tc>
                <w:tcPr>
                  <w:tcW w:type="auto" w:w="0"/>
                  <w:shd w:val="clear" w:color="auto" w:fill="F0F0F0"/>
                </w:tcPr>
                <w:p>
                  <w:pPr>
                    <w:pStyle w:val="Para 02"/>
                    <w:keepLines w:val="on"/>
                  </w:pPr>
                  <w:r>
                    <w:t>SFr 1.312</w:t>
                  </w:r>
                </w:p>
              </w:tc>
              <w:tc>
                <w:tcPr>
                  <w:tcW w:type="auto" w:w="0"/>
                  <w:shd w:val="clear" w:color="auto" w:fill="F0F0F0"/>
                </w:tcPr>
                <w:p>
                  <w:pPr>
                    <w:pStyle w:val="Normal"/>
                    <w:keepLines w:val="on"/>
                  </w:pPr>
                  <w:r>
                    <w:t>1,41%</w:t>
                  </w:r>
                </w:p>
              </w:tc>
              <w:tc>
                <w:tcPr>
                  <w:tcW w:type="auto" w:w="0"/>
                  <w:shd w:val="clear" w:color="auto" w:fill="F0F0F0"/>
                </w:tcPr>
                <w:p>
                  <w:pPr>
                    <w:pStyle w:val="Normal"/>
                    <w:keepLines w:val="on"/>
                  </w:pPr>
                  <w:r>
                    <w:t>5,54%</w:t>
                  </w:r>
                </w:p>
              </w:tc>
            </w:tr>
            <w:tr>
              <w:tc>
                <w:tcPr>
                  <w:tcW w:type="auto" w:w="0"/>
                  <w:shd w:val="clear" w:color="auto" w:fill="F0F0F0"/>
                </w:tcPr>
                <w:p>
                  <w:pPr>
                    <w:pStyle w:val="Para 02"/>
                    <w:keepLines w:val="on"/>
                  </w:pPr>
                  <w:r>
                    <w:t>Phần còn lại của Mỹ Latinh</w:t>
                  </w:r>
                </w:p>
              </w:tc>
              <w:tc>
                <w:tcPr>
                  <w:tcW w:type="auto" w:w="0"/>
                  <w:shd w:val="clear" w:color="auto" w:fill="F0F0F0"/>
                </w:tcPr>
                <w:p>
                  <w:pPr>
                    <w:pStyle w:val="Para 02"/>
                    <w:keepLines w:val="on"/>
                  </w:pPr>
                  <w:r>
                    <w:t>SFr 3.380</w:t>
                  </w:r>
                </w:p>
              </w:tc>
              <w:tc>
                <w:tcPr>
                  <w:tcW w:type="auto" w:w="0"/>
                  <w:shd w:val="clear" w:color="auto" w:fill="F0F0F0"/>
                </w:tcPr>
                <w:p>
                  <w:pPr>
                    <w:pStyle w:val="Normal"/>
                    <w:keepLines w:val="on"/>
                  </w:pPr>
                  <w:r>
                    <w:t>3,64%</w:t>
                  </w:r>
                </w:p>
              </w:tc>
              <w:tc>
                <w:tcPr>
                  <w:tcW w:type="auto" w:w="0"/>
                  <w:shd w:val="clear" w:color="auto" w:fill="F0F0F0"/>
                </w:tcPr>
                <w:p>
                  <w:pPr>
                    <w:pStyle w:val="Normal"/>
                    <w:keepLines w:val="on"/>
                  </w:pPr>
                  <w:r>
                    <w:t>10,06%</w:t>
                  </w:r>
                </w:p>
              </w:tc>
            </w:tr>
            <w:tr>
              <w:tc>
                <w:tcPr>
                  <w:tcW w:type="auto" w:w="0"/>
                  <w:shd w:val="clear" w:color="auto" w:fill="F0F0F0"/>
                </w:tcPr>
                <w:p>
                  <w:pPr>
                    <w:pStyle w:val="Para 02"/>
                    <w:keepLines w:val="on"/>
                  </w:pPr>
                  <w:r>
                    <w:t>Phần còn lại của châu Á</w:t>
                  </w:r>
                </w:p>
              </w:tc>
              <w:tc>
                <w:tcPr>
                  <w:tcW w:type="auto" w:w="0"/>
                  <w:shd w:val="clear" w:color="auto" w:fill="F0F0F0"/>
                </w:tcPr>
                <w:p>
                  <w:pPr>
                    <w:pStyle w:val="Para 02"/>
                    <w:keepLines w:val="on"/>
                  </w:pPr>
                  <w:r>
                    <w:t>SFr 18.330</w:t>
                  </w:r>
                </w:p>
              </w:tc>
              <w:tc>
                <w:tcPr>
                  <w:tcW w:type="auto" w:w="0"/>
                  <w:shd w:val="clear" w:color="auto" w:fill="F0F0F0"/>
                </w:tcPr>
                <w:p>
                  <w:pPr>
                    <w:pStyle w:val="Normal"/>
                    <w:keepLines w:val="on"/>
                  </w:pPr>
                  <w:r>
                    <w:t>19,73%</w:t>
                  </w:r>
                </w:p>
              </w:tc>
              <w:tc>
                <w:tcPr>
                  <w:tcW w:type="auto" w:w="0"/>
                  <w:shd w:val="clear" w:color="auto" w:fill="F0F0F0"/>
                </w:tcPr>
                <w:p>
                  <w:pPr>
                    <w:pStyle w:val="Normal"/>
                    <w:keepLines w:val="on"/>
                  </w:pPr>
                  <w:r>
                    <w:t>5,98%</w:t>
                  </w:r>
                </w:p>
              </w:tc>
            </w:tr>
            <w:tr>
              <w:tc>
                <w:tcPr>
                  <w:tcW w:type="auto" w:w="0"/>
                  <w:shd w:val="clear" w:color="auto" w:fill="F0F0F0"/>
                </w:tcPr>
                <w:p>
                  <w:pPr>
                    <w:pStyle w:val="Para 02"/>
                    <w:keepLines w:val="on"/>
                  </w:pPr>
                  <w:r>
                    <w:t>Phần còn lại của châu Âu</w:t>
                  </w:r>
                </w:p>
              </w:tc>
              <w:tc>
                <w:tcPr>
                  <w:tcW w:type="auto" w:w="0"/>
                  <w:shd w:val="clear" w:color="auto" w:fill="F0F0F0"/>
                </w:tcPr>
                <w:p>
                  <w:pPr>
                    <w:pStyle w:val="Para 02"/>
                    <w:keepLines w:val="on"/>
                  </w:pPr>
                  <w:r>
                    <w:t>SFr 13.004</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5,59%</w:t>
                  </w:r>
                </w:p>
              </w:tc>
            </w:tr>
            <w:tr>
              <w:tc>
                <w:tcPr>
                  <w:tcW w:type="auto" w:w="0"/>
                  <w:shd w:val="clear" w:color="auto" w:fill="F0F0F0"/>
                </w:tcPr>
                <w:p>
                  <w:pPr>
                    <w:pStyle w:val="Para 02"/>
                    <w:keepLines w:val="on"/>
                  </w:pPr>
                  <w:r>
                    <w:t>Nestle (công ty)</w:t>
                  </w:r>
                </w:p>
              </w:tc>
              <w:tc>
                <w:tcPr>
                  <w:tcW w:type="auto" w:w="0"/>
                  <w:shd w:val="clear" w:color="auto" w:fill="F0F0F0"/>
                </w:tcPr>
                <w:p>
                  <w:pPr>
                    <w:pStyle w:val="Para 02"/>
                    <w:keepLines w:val="on"/>
                  </w:pPr>
                  <w:r>
                    <w:t>SFr 92.908</w:t>
                  </w:r>
                </w:p>
              </w:tc>
              <w:tc>
                <w:tcPr>
                  <w:tcW w:type="auto" w:w="0"/>
                  <w:shd w:val="clear" w:color="auto" w:fill="F0F0F0"/>
                </w:tcPr>
                <w:p>
                  <w:pPr>
                    <w:pStyle w:val="Normal"/>
                    <w:keepLines w:val="on"/>
                  </w:pPr>
                  <w:r>
                    <w:t>100,00%</w:t>
                  </w:r>
                </w:p>
              </w:tc>
              <w:tc>
                <w:tcPr>
                  <w:tcW w:type="auto" w:w="0"/>
                  <w:shd w:val="clear" w:color="auto" w:fill="F0F0F0"/>
                </w:tcPr>
                <w:p>
                  <w:pPr>
                    <w:pStyle w:val="Normal"/>
                    <w:keepLines w:val="on"/>
                  </w:pPr>
                  <w:r>
                    <w:t>5,47%</w:t>
                  </w:r>
                </w:p>
              </w:tc>
            </w:tr>
          </w:tbl>
          <w:p/>
        </w:tc>
      </w:tr>
    </w:tbl>
    <w:p>
      <w:pPr>
        <w:pStyle w:val="Para 04"/>
        <w:keepLines w:val="on"/>
      </w:pPr>
      <w:r>
        <w:t>Phần bù rủi ro (risk premium) cho Nestle là mức trung bình gia quyền theo doanh thu của phần bù rủi ro vốn cổ phần (equity risk premium) ở những khu vực khác nhau trên thế giới mà công ty hoạt động. Chúng tôi cũng ước tính beta từ dưới lên (bottom-up beta) cho Nestle là 0,67, phản ánh beta chưa vay nợ (unlevered beta) là 0,5691 cho mảng kinh doanh chế biến thực phẩm và tỷ lệ nợ trên vốn cổ phần (debt-to-equity ratio) là 22,36% (với thuế suất biên trung bình toàn cầu là 25%):</w:t>
      </w:r>
    </w:p>
    <w:p>
      <w:bookmarkStart w:id="2745" w:name="Levered_beta_for_Nestle_0_5691_1"/>
      <w:pPr>
        <w:keepNext/>
        <w:pStyle w:val="Para 07"/>
        <w:keepLines w:val="on"/>
      </w:pPr>
      <w:r>
        <w:t>Beta có vay nợ của Nestle = 0,5691(1+(1−0,25)(0,2236)) = 0,6645</w:t>
      </w:r>
      <w:bookmarkEnd w:id="2745"/>
    </w:p>
    <w:p>
      <w:pPr>
        <w:pStyle w:val="Para 04"/>
        <w:keepLines w:val="on"/>
      </w:pPr>
      <w:r>
        <w:t>Điều đó cho ra chi phí vốn cổ phần (cost of equity) của công ty là 4,64%, tính bằng đồng franc Thụy Sĩ:</w:t>
      </w:r>
    </w:p>
    <w:p>
      <w:bookmarkStart w:id="2746" w:name="Cost_of_equity_for_Nestle_Risk_f"/>
      <w:pPr>
        <w:keepNext/>
        <w:pStyle w:val="Para 07"/>
        <w:keepLines w:val="on"/>
      </w:pPr>
      <w:r>
        <w:t>Chi phí vốn chủ sở hữu của Nestle = Lãi suất phi rủi ro (Franc Thụy Sĩ) + β(ERP) = 1,00% + 0,6645(5,47%) = 4,64%</w:t>
      </w:r>
      <w:bookmarkEnd w:id="2746"/>
    </w:p>
    <w:p>
      <w:pPr>
        <w:pStyle w:val="Para 04"/>
        <w:keepLines w:val="on"/>
      </w:pPr>
      <w:r>
        <w:t>Chúng ta sẽ giả định rằng chi phí vốn chủ sở hữu này sẽ tăng nhẹ trong giai đoạn tăng trưởng ổn định, với beta là 0,80 là yếu tố đầu vào duy nhất thay đổi:</w:t>
      </w:r>
    </w:p>
    <w:p>
      <w:bookmarkStart w:id="2747" w:name="Cost_of_equity_for_NestleStable"/>
      <w:pPr>
        <w:keepNext/>
        <w:pStyle w:val="Para 07"/>
        <w:keepLines w:val="on"/>
      </w:pPr>
      <w:r>
        <w:t>Chi phí vốn chủ sở hữu của Nestle trong giai đoạn tăng trưởng ổn định = 1,00% + 0,80(5,47%) = 5,38%</w:t>
      </w:r>
      <w:bookmarkEnd w:id="2747"/>
    </w:p>
    <w:p>
      <w:pPr>
        <w:pStyle w:val="Para 04"/>
        <w:keepLines w:val="on"/>
      </w:pPr>
      <w:r>
        <w:t>Để ước tính tốc độ tăng trưởng kỳ vọng của dòng tiền tự do dành cho vốn chủ sở hữu (free cash flow to equity), trước tiên chúng ta tính dòng tiền tự do dành cho vốn chủ sở hữu trong kỳ gần nhất:</w:t>
      </w:r>
    </w:p>
    <w:p>
      <w:bookmarkStart w:id="2748" w:name="FCFE__Net_income___After_tax_Int"/>
      <w:pPr>
        <w:keepNext/>
        <w:pStyle w:val="Para 07"/>
        <w:keepLines w:val="on"/>
      </w:pPr>
      <w:r>
        <w:t>FCFE = (Thu nhập ròng − Thu nhập lãi sau thuế từ tiền mặt) − (Chi tiêu vốn − Khấu hao) − Thay đổi vốn lưu động + Nợ huy động − Nợ trả = (11.209 − 144) − (5.915 − 2.993) − (−794) + (6.806 − 6.126) = 9.617 triệu SFr</w:t>
      </w:r>
      <w:bookmarkEnd w:id="2748"/>
    </w:p>
    <w:p>
      <w:pPr>
        <w:pStyle w:val="Para 04"/>
        <w:keepLines w:val="on"/>
      </w:pPr>
      <w:r>
        <w:t>Tỷ lệ tái đầu tư vốn chủ sở hữu có thể được ước tính từ giá trị này:</w:t>
      </w:r>
    </w:p>
    <w:p>
      <w:bookmarkStart w:id="2749" w:name="Equity_reinvestment_rate__1__961"/>
      <w:pPr>
        <w:keepNext/>
        <w:pStyle w:val="Para 07"/>
        <w:keepLines w:val="on"/>
      </w:pPr>
      <w:r>
        <w:t>Tỷ lệ tái đầu tư vốn chủ sở hữu = 1 - 9617/(11209−144) = 13,18%</w:t>
      </w:r>
      <w:bookmarkEnd w:id="2749"/>
    </w:p>
    <w:p>
      <w:pPr>
        <w:pStyle w:val="Para 04"/>
        <w:keepLines w:val="on"/>
      </w:pPr>
      <w:r>
        <w:t>Tỷ suất sinh lời trên vốn chủ sở hữu (return on equity) phi tiền mặt năm 2023 được ước tính bằng cách sử dụng thu nhập ròng năm 2023 và giá trị sổ sách của vốn chủ sở hữu, trừ đi tiền mặt, tại thời điểm cuối năm trước:</w:t>
      </w:r>
    </w:p>
    <w:p>
      <w:bookmarkStart w:id="2751" w:name="Return_on_equity__11_209___144"/>
      <w:pPr>
        <w:keepNext/>
        <w:pStyle w:val="Para 07"/>
        <w:keepLines w:val="on"/>
      </w:pPr>
      <w:r>
        <w:t>Tỷ suất sinh lời trên vốn chủ sở hữu = (11.209 − 144)/(41.982 − 6.744) = 31,40%</w:t>
      </w:r>
      <w:bookmarkEnd w:id="2751"/>
    </w:p>
    <w:p>
      <w:pPr>
        <w:pStyle w:val="Para 04"/>
        <w:keepLines w:val="on"/>
      </w:pPr>
      <w:r>
        <w:t>Tốc độ tăng trưởng kỳ vọng của FCFE là tích của tỷ lệ tái đầu tư vốn chủ sở hữu và tỷ suất sinh lời trên vốn chủ sở hữu:</w:t>
      </w:r>
    </w:p>
    <w:p>
      <w:bookmarkStart w:id="2752" w:name="Expected_growth_in_net_income_RO"/>
      <w:pPr>
        <w:keepNext/>
        <w:pStyle w:val="Para 07"/>
        <w:keepLines w:val="on"/>
      </w:pPr>
      <w:r>
        <w:t>Tăng trưởng kỳ vọng của thu nhập ròng = ROE × Tỷ lệ tái đầu tư vốn chủ sở hữu = 0,3140 × 0,1318 = 4,14%</w:t>
      </w:r>
      <w:bookmarkEnd w:id="2752"/>
    </w:p>
    <w:p>
      <w:pPr>
        <w:pStyle w:val="Para 04"/>
        <w:keepLines w:val="on"/>
      </w:pPr>
      <w:r>
        <w:t>Thực tế, chúng ta đang giả định rằng Nestle sẽ tiếp tục đạt được tỷ suất sinh lời trên vốn chủ sở hữu hiện tại và duy trì tỷ lệ tái đầu tư vốn chủ sở hữu hiện tại trong năm năm tới. Trong giai đoạn tăng trưởng ổn định, chúng ta giả định tốc độ tăng trưởng là 1%, được đặt bằng lãi suất phi rủi ro. Chúng ta cũng giả định tỷ suất sinh lời trên vốn chủ sở hữu giảm xuống còn 15%, và tỷ lệ tái đầu tư vốn chủ sở hữu trong giai đoạn tăng trưởng ổn định có thể được ước tính như sau:</w:t>
      </w:r>
    </w:p>
    <w:p>
      <w:bookmarkStart w:id="2753" w:name="Equity_reinvestment_in_stable_gr"/>
      <w:pPr>
        <w:keepNext/>
        <w:pStyle w:val="Para 07"/>
        <w:keepLines w:val="on"/>
      </w:pPr>
      <w:r>
        <w:t>Tái đầu tư vốn chủ sở hữu trong giai đoạn tăng trưởng ổn định = g/ROE = 1%/15% = 6,67%</w:t>
      </w:r>
      <w:bookmarkEnd w:id="2753"/>
    </w:p>
    <w:p>
      <w:bookmarkStart w:id="2754" w:name="Valuation"/>
      <w:bookmarkStart w:id="2755" w:name="Valuation__The_first_component_o"/>
      <w:pPr>
        <w:keepNext/>
        <w:pStyle w:val="Para 36"/>
        <w:keepLines w:val="on"/>
      </w:pPr>
      <w:r>
        <w:t>Định giá</w:t>
      </w:r>
      <w:bookmarkEnd w:id="2754"/>
      <w:bookmarkEnd w:id="2755"/>
    </w:p>
    <w:p>
      <w:pPr>
        <w:pStyle w:val="Para 04"/>
        <w:keepLines w:val="on"/>
      </w:pPr>
      <w:r>
        <w:t>Thành phần đầu tiên của giá trị là giá trị hiện tại của FCFE kỳ vọng trong giai đoạn tăng trưởng cao (xem Bảng 14.9), thu nhập ròng tăng trưởng 4,14% mỗi năm, và tỷ lệ tái đầu tư vốn chủ sở hữu là 13,18% của thu nhập ròng đó mỗi năm (tính bằng SFr), như có thể thấy trong Bảng 14.9:</w:t>
      </w:r>
    </w:p>
    <w:p>
      <w:pPr>
        <w:pStyle w:val="Para 25"/>
        <w:keepLines w:val="on"/>
      </w:pPr>
      <w:r>
        <w:t>Bảng 14.9</w:t>
      </w:r>
    </w:p>
    <w:p>
      <w:pPr>
        <w:keepNext/>
        <w:pStyle w:val="Para 24"/>
        <w:keepLines w:val="on"/>
      </w:pPr>
      <w:r>
        <w:t>FCFE và giá trị hiện tại của Nestle</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Para 06"/>
                    <w:keepLines w:val="on"/>
                  </w:pPr>
                  <w:r>
                    <w:t>4,14%</w:t>
                  </w:r>
                </w:p>
              </w:tc>
              <w:tc>
                <w:tcPr>
                  <w:tcW w:type="auto" w:w="0"/>
                  <w:shd w:val="clear" w:color="auto" w:fill="F0F0F0"/>
                </w:tcPr>
                <w:p>
                  <w:pPr>
                    <w:pStyle w:val="Para 06"/>
                    <w:keepLines w:val="on"/>
                  </w:pPr>
                  <w:r>
                    <w:t>4,14%</w:t>
                  </w:r>
                </w:p>
              </w:tc>
              <w:tc>
                <w:tcPr>
                  <w:tcW w:type="auto" w:w="0"/>
                  <w:shd w:val="clear" w:color="auto" w:fill="F0F0F0"/>
                </w:tcPr>
                <w:p>
                  <w:pPr>
                    <w:pStyle w:val="Para 06"/>
                    <w:keepLines w:val="on"/>
                  </w:pPr>
                  <w:r>
                    <w:t>4,14%</w:t>
                  </w:r>
                </w:p>
              </w:tc>
              <w:tc>
                <w:tcPr>
                  <w:tcW w:type="auto" w:w="0"/>
                  <w:shd w:val="clear" w:color="auto" w:fill="F0F0F0"/>
                </w:tcPr>
                <w:p>
                  <w:pPr>
                    <w:pStyle w:val="Para 06"/>
                    <w:keepLines w:val="on"/>
                  </w:pPr>
                  <w:r>
                    <w:t>4,14%</w:t>
                  </w:r>
                </w:p>
              </w:tc>
              <w:tc>
                <w:tcPr>
                  <w:tcW w:type="auto" w:w="0"/>
                  <w:shd w:val="clear" w:color="auto" w:fill="F0F0F0"/>
                </w:tcPr>
                <w:p>
                  <w:pPr>
                    <w:pStyle w:val="Para 06"/>
                    <w:keepLines w:val="on"/>
                  </w:pPr>
                  <w:r>
                    <w:t>4,14%</w:t>
                  </w:r>
                </w:p>
              </w:tc>
            </w:tr>
            <w:tr>
              <w:tc>
                <w:tcPr>
                  <w:tcW w:type="auto" w:w="0"/>
                  <w:shd w:val="clear" w:color="auto" w:fill="F0F0F0"/>
                </w:tcPr>
                <w:p>
                  <w:pPr>
                    <w:pStyle w:val="Para 02"/>
                    <w:keepLines w:val="on"/>
                  </w:pPr>
                  <w:r>
                    <w:t>Thu nhập ròng (triệu SFr)</w:t>
                  </w:r>
                </w:p>
              </w:tc>
              <w:tc>
                <w:tcPr>
                  <w:tcW w:type="auto" w:w="0"/>
                  <w:shd w:val="clear" w:color="auto" w:fill="F0F0F0"/>
                </w:tcPr>
                <w:p>
                  <w:pPr>
                    <w:pStyle w:val="Para 06"/>
                    <w:keepLines w:val="on"/>
                  </w:pPr>
                  <w:r>
                    <w:t>11.523 SFr</w:t>
                  </w:r>
                </w:p>
              </w:tc>
              <w:tc>
                <w:tcPr>
                  <w:tcW w:type="auto" w:w="0"/>
                  <w:shd w:val="clear" w:color="auto" w:fill="F0F0F0"/>
                </w:tcPr>
                <w:p>
                  <w:pPr>
                    <w:pStyle w:val="Para 06"/>
                    <w:keepLines w:val="on"/>
                  </w:pPr>
                  <w:r>
                    <w:t>12.000 SFr</w:t>
                  </w:r>
                </w:p>
              </w:tc>
              <w:tc>
                <w:tcPr>
                  <w:tcW w:type="auto" w:w="0"/>
                  <w:shd w:val="clear" w:color="auto" w:fill="F0F0F0"/>
                </w:tcPr>
                <w:p>
                  <w:pPr>
                    <w:pStyle w:val="Para 06"/>
                    <w:keepLines w:val="on"/>
                  </w:pPr>
                  <w:r>
                    <w:t>12.496 SFr</w:t>
                  </w:r>
                </w:p>
              </w:tc>
              <w:tc>
                <w:tcPr>
                  <w:tcW w:type="auto" w:w="0"/>
                  <w:shd w:val="clear" w:color="auto" w:fill="F0F0F0"/>
                </w:tcPr>
                <w:p>
                  <w:pPr>
                    <w:pStyle w:val="Para 06"/>
                    <w:keepLines w:val="on"/>
                  </w:pPr>
                  <w:r>
                    <w:t>13.013 SFr</w:t>
                  </w:r>
                </w:p>
              </w:tc>
              <w:tc>
                <w:tcPr>
                  <w:tcW w:type="auto" w:w="0"/>
                  <w:shd w:val="clear" w:color="auto" w:fill="F0F0F0"/>
                </w:tcPr>
                <w:p>
                  <w:pPr>
                    <w:pStyle w:val="Para 06"/>
                    <w:keepLines w:val="on"/>
                  </w:pPr>
                  <w:r>
                    <w:t>13.552 SFr</w:t>
                  </w:r>
                </w:p>
              </w:tc>
            </w:tr>
            <w:tr>
              <w:tc>
                <w:tcPr>
                  <w:tcW w:type="auto" w:w="0"/>
                  <w:shd w:val="clear" w:color="auto" w:fill="F0F0F0"/>
                </w:tcPr>
                <w:p>
                  <w:pPr>
                    <w:pStyle w:val="Para 02"/>
                    <w:keepLines w:val="on"/>
                  </w:pPr>
                  <w:r>
                    <w:t>Tỷ lệ tái đầu tư vốn chủ sở hữu</w:t>
                  </w:r>
                </w:p>
              </w:tc>
              <w:tc>
                <w:tcPr>
                  <w:tcW w:type="auto" w:w="0"/>
                  <w:shd w:val="clear" w:color="auto" w:fill="F0F0F0"/>
                </w:tcPr>
                <w:p>
                  <w:pPr>
                    <w:pStyle w:val="Para 06"/>
                    <w:keepLines w:val="on"/>
                  </w:pPr>
                  <w:r>
                    <w:t>13,18%</w:t>
                  </w:r>
                </w:p>
              </w:tc>
              <w:tc>
                <w:tcPr>
                  <w:tcW w:type="auto" w:w="0"/>
                  <w:shd w:val="clear" w:color="auto" w:fill="F0F0F0"/>
                </w:tcPr>
                <w:p>
                  <w:pPr>
                    <w:pStyle w:val="Para 06"/>
                    <w:keepLines w:val="on"/>
                  </w:pPr>
                  <w:r>
                    <w:t>13,18%</w:t>
                  </w:r>
                </w:p>
              </w:tc>
              <w:tc>
                <w:tcPr>
                  <w:tcW w:type="auto" w:w="0"/>
                  <w:shd w:val="clear" w:color="auto" w:fill="F0F0F0"/>
                </w:tcPr>
                <w:p>
                  <w:pPr>
                    <w:pStyle w:val="Para 06"/>
                    <w:keepLines w:val="on"/>
                  </w:pPr>
                  <w:r>
                    <w:t>13,18%</w:t>
                  </w:r>
                </w:p>
              </w:tc>
              <w:tc>
                <w:tcPr>
                  <w:tcW w:type="auto" w:w="0"/>
                  <w:shd w:val="clear" w:color="auto" w:fill="F0F0F0"/>
                </w:tcPr>
                <w:p>
                  <w:pPr>
                    <w:pStyle w:val="Para 06"/>
                    <w:keepLines w:val="on"/>
                  </w:pPr>
                  <w:r>
                    <w:t>13,18%</w:t>
                  </w:r>
                </w:p>
              </w:tc>
              <w:tc>
                <w:tcPr>
                  <w:tcW w:type="auto" w:w="0"/>
                  <w:shd w:val="clear" w:color="auto" w:fill="F0F0F0"/>
                </w:tcPr>
                <w:p>
                  <w:pPr>
                    <w:pStyle w:val="Para 06"/>
                    <w:keepLines w:val="on"/>
                  </w:pPr>
                  <w:r>
                    <w:t>13,18%</w:t>
                  </w:r>
                </w:p>
              </w:tc>
            </w:tr>
            <w:tr>
              <w:tc>
                <w:tcPr>
                  <w:tcW w:type="auto" w:w="0"/>
                  <w:shd w:val="clear" w:color="auto" w:fill="F0F0F0"/>
                </w:tcPr>
                <w:p>
                  <w:pPr>
                    <w:pStyle w:val="Para 02"/>
                    <w:keepLines w:val="on"/>
                  </w:pPr>
                  <w:r>
                    <w:t>FCFE (triệu SFr)</w:t>
                  </w:r>
                </w:p>
              </w:tc>
              <w:tc>
                <w:tcPr>
                  <w:tcW w:type="auto" w:w="0"/>
                  <w:shd w:val="clear" w:color="auto" w:fill="F0F0F0"/>
                </w:tcPr>
                <w:p>
                  <w:pPr>
                    <w:pStyle w:val="Para 06"/>
                    <w:keepLines w:val="on"/>
                  </w:pPr>
                  <w:r>
                    <w:t>10.004 SFr</w:t>
                  </w:r>
                </w:p>
              </w:tc>
              <w:tc>
                <w:tcPr>
                  <w:tcW w:type="auto" w:w="0"/>
                  <w:shd w:val="clear" w:color="auto" w:fill="F0F0F0"/>
                </w:tcPr>
                <w:p>
                  <w:pPr>
                    <w:pStyle w:val="Para 06"/>
                    <w:keepLines w:val="on"/>
                  </w:pPr>
                  <w:r>
                    <w:t>10.418 SFr</w:t>
                  </w:r>
                </w:p>
              </w:tc>
              <w:tc>
                <w:tcPr>
                  <w:tcW w:type="auto" w:w="0"/>
                  <w:shd w:val="clear" w:color="auto" w:fill="F0F0F0"/>
                </w:tcPr>
                <w:p>
                  <w:pPr>
                    <w:pStyle w:val="Para 06"/>
                    <w:keepLines w:val="on"/>
                  </w:pPr>
                  <w:r>
                    <w:t>10.850 SFr</w:t>
                  </w:r>
                </w:p>
              </w:tc>
              <w:tc>
                <w:tcPr>
                  <w:tcW w:type="auto" w:w="0"/>
                  <w:shd w:val="clear" w:color="auto" w:fill="F0F0F0"/>
                </w:tcPr>
                <w:p>
                  <w:pPr>
                    <w:pStyle w:val="Para 06"/>
                    <w:keepLines w:val="on"/>
                  </w:pPr>
                  <w:r>
                    <w:t>11.298 SFr</w:t>
                  </w:r>
                </w:p>
              </w:tc>
              <w:tc>
                <w:tcPr>
                  <w:tcW w:type="auto" w:w="0"/>
                  <w:shd w:val="clear" w:color="auto" w:fill="F0F0F0"/>
                </w:tcPr>
                <w:p>
                  <w:pPr>
                    <w:pStyle w:val="Para 06"/>
                    <w:keepLines w:val="on"/>
                  </w:pPr>
                  <w:r>
                    <w:t>11.766 SFr</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Para 06"/>
                    <w:keepLines w:val="on"/>
                  </w:pPr>
                  <w:r>
                    <w:t>4,64%</w:t>
                  </w:r>
                </w:p>
              </w:tc>
              <w:tc>
                <w:tcPr>
                  <w:tcW w:type="auto" w:w="0"/>
                  <w:shd w:val="clear" w:color="auto" w:fill="F0F0F0"/>
                </w:tcPr>
                <w:p>
                  <w:pPr>
                    <w:pStyle w:val="Para 06"/>
                    <w:keepLines w:val="on"/>
                  </w:pPr>
                  <w:r>
                    <w:t>4,64%</w:t>
                  </w:r>
                </w:p>
              </w:tc>
              <w:tc>
                <w:tcPr>
                  <w:tcW w:type="auto" w:w="0"/>
                  <w:shd w:val="clear" w:color="auto" w:fill="F0F0F0"/>
                </w:tcPr>
                <w:p>
                  <w:pPr>
                    <w:pStyle w:val="Para 06"/>
                    <w:keepLines w:val="on"/>
                  </w:pPr>
                  <w:r>
                    <w:t>4,64%</w:t>
                  </w:r>
                </w:p>
              </w:tc>
              <w:tc>
                <w:tcPr>
                  <w:tcW w:type="auto" w:w="0"/>
                  <w:shd w:val="clear" w:color="auto" w:fill="F0F0F0"/>
                </w:tcPr>
                <w:p>
                  <w:pPr>
                    <w:pStyle w:val="Para 06"/>
                    <w:keepLines w:val="on"/>
                  </w:pPr>
                  <w:r>
                    <w:t>4,64%</w:t>
                  </w:r>
                </w:p>
              </w:tc>
              <w:tc>
                <w:tcPr>
                  <w:tcW w:type="auto" w:w="0"/>
                  <w:shd w:val="clear" w:color="auto" w:fill="F0F0F0"/>
                </w:tcPr>
                <w:p>
                  <w:pPr>
                    <w:pStyle w:val="Para 06"/>
                    <w:keepLines w:val="on"/>
                  </w:pPr>
                  <w:r>
                    <w:t>4,64%</w:t>
                  </w:r>
                </w:p>
              </w:tc>
            </w:tr>
            <w:tr>
              <w:tc>
                <w:tcPr>
                  <w:tcW w:type="auto" w:w="0"/>
                  <w:shd w:val="clear" w:color="auto" w:fill="F0F0F0"/>
                </w:tcPr>
                <w:p>
                  <w:pPr>
                    <w:pStyle w:val="Para 02"/>
                    <w:keepLines w:val="on"/>
                  </w:pPr>
                  <w:r>
                    <w:t>Giá trị hiện tại (triệu SFr)</w:t>
                  </w:r>
                </w:p>
              </w:tc>
              <w:tc>
                <w:tcPr>
                  <w:tcW w:type="auto" w:w="0"/>
                  <w:shd w:val="clear" w:color="auto" w:fill="F0F0F0"/>
                </w:tcPr>
                <w:p>
                  <w:pPr>
                    <w:pStyle w:val="Para 06"/>
                    <w:keepLines w:val="on"/>
                  </w:pPr>
                  <w:r>
                    <w:t>9.561 SFr</w:t>
                  </w:r>
                </w:p>
              </w:tc>
              <w:tc>
                <w:tcPr>
                  <w:tcW w:type="auto" w:w="0"/>
                  <w:shd w:val="clear" w:color="auto" w:fill="F0F0F0"/>
                </w:tcPr>
                <w:p>
                  <w:pPr>
                    <w:pStyle w:val="Para 06"/>
                    <w:keepLines w:val="on"/>
                  </w:pPr>
                  <w:r>
                    <w:t>9.516 SFr</w:t>
                  </w:r>
                </w:p>
              </w:tc>
              <w:tc>
                <w:tcPr>
                  <w:tcW w:type="auto" w:w="0"/>
                  <w:shd w:val="clear" w:color="auto" w:fill="F0F0F0"/>
                </w:tcPr>
                <w:p>
                  <w:pPr>
                    <w:pStyle w:val="Para 06"/>
                    <w:keepLines w:val="on"/>
                  </w:pPr>
                  <w:r>
                    <w:t>9.471 SFr</w:t>
                  </w:r>
                </w:p>
              </w:tc>
              <w:tc>
                <w:tcPr>
                  <w:tcW w:type="auto" w:w="0"/>
                  <w:shd w:val="clear" w:color="auto" w:fill="F0F0F0"/>
                </w:tcPr>
                <w:p>
                  <w:pPr>
                    <w:pStyle w:val="Para 06"/>
                    <w:keepLines w:val="on"/>
                  </w:pPr>
                  <w:r>
                    <w:t>9.426 SFr</w:t>
                  </w:r>
                </w:p>
              </w:tc>
              <w:tc>
                <w:tcPr>
                  <w:tcW w:type="auto" w:w="0"/>
                  <w:shd w:val="clear" w:color="auto" w:fill="F0F0F0"/>
                </w:tcPr>
                <w:p>
                  <w:pPr>
                    <w:pStyle w:val="Para 06"/>
                    <w:keepLines w:val="on"/>
                  </w:pPr>
                  <w:r>
                    <w:t>9.381 SFr</w:t>
                  </w:r>
                </w:p>
              </w:tc>
            </w:tr>
          </w:tbl>
          <w:p/>
        </w:tc>
      </w:tr>
    </w:tbl>
    <w:p>
      <w:pPr>
        <w:pStyle w:val="Para 04"/>
        <w:keepLines w:val="on"/>
      </w:pPr>
      <w:r>
        <w:t>Lưu ý rằng giá trị hiện tại được tính bằng chi phí vốn chủ sở hữu của giai đoạn tăng trưởng cao là 4,64%.</w:t>
      </w:r>
    </w:p>
    <w:p>
      <w:pPr>
        <w:pStyle w:val="Para 04"/>
        <w:keepLines w:val="on"/>
      </w:pPr>
      <w:r>
        <w:t>Để ước tính giá trị cuối kỳ (terminal value), trước tiên chúng ta ước tính dòng tiền tự do cho vốn chủ sở hữu (free cash flows to equity) vào năm thứ 6:</w:t>
      </w:r>
    </w:p>
    <w:p>
      <w:bookmarkStart w:id="2757" w:name="Expected_net_income_in_year_6_Ne"/>
      <w:pPr>
        <w:pStyle w:val="Para 52"/>
        <w:keepLines w:val="on"/>
      </w:pPr>
      <w:r>
        <w:t>Thu nhập ròng kỳ vọng năm thứ 6 = Thu nhập ròng năm 5 × (1 + g) = 13.552 × (1,01) = 13.687 triệu SFr</w:t>
      </w:r>
      <w:bookmarkEnd w:id="2757"/>
    </w:p>
    <w:p>
      <w:bookmarkStart w:id="2758" w:name="Equity_reinvestment_in_year_6_Ne"/>
      <w:pPr>
        <w:pStyle w:val="Para 52"/>
        <w:keepLines w:val="on"/>
      </w:pPr>
      <w:r>
        <w:t>Tái đầu tư vốn chủ sở hữu năm thứ 6 = Thu nhập ròng năm 6 × Tỷ lệ tái đầu tư vốn chủ sở hữu ổn định = 13.687 × (0,0667) = 912 triệu SFr</w:t>
      </w:r>
      <w:bookmarkEnd w:id="2758"/>
    </w:p>
    <w:p>
      <w:bookmarkStart w:id="2759" w:name="Expected_FCFE_in_year_6_Net_inco"/>
      <w:pPr>
        <w:pStyle w:val="Para 52"/>
        <w:keepLines w:val="on"/>
      </w:pPr>
      <w:r>
        <w:t>FCFE kỳ vọng năm thứ 6 = Thu nhập ròng năm 6 − Tái đầu tư vốn chủ sở hữu năm 6 = 13.687 − 912 = 12.775 triệu SFr</w:t>
      </w:r>
      <w:bookmarkEnd w:id="2759"/>
    </w:p>
    <w:p>
      <w:bookmarkStart w:id="2760" w:name="Terminal_value_of_equity_per_sha"/>
      <w:pPr>
        <w:pStyle w:val="Para 52"/>
        <w:keepLines w:val="on"/>
      </w:pPr>
      <w:r>
        <w:t>Giá trị cuối kỳ của vốn chủ sở hữu trên mỗi cổ phần = FCFE6 / (Chi phí vốn chủ sở hữu năm 6 − g) = 12.775 / (0,0538 − 0,01) = 291.924 triệu SFr</w:t>
      </w:r>
      <w:bookmarkEnd w:id="2760"/>
    </w:p>
    <w:p>
      <w:pPr>
        <w:pStyle w:val="Para 04"/>
        <w:keepLines w:val="on"/>
      </w:pPr>
      <w:r>
        <w:t>Giá trị trên mỗi cổ phần có thể được ước tính bằng tổng của giá trị hiện tại của FCFE trong giai đoạn tăng trưởng cao và giá trị hiện tại của giá trị cuối kỳ của vốn chủ sở hữu:</w:t>
      </w:r>
    </w:p>
    <w:p>
      <w:bookmarkStart w:id="2762" w:name="Value_of_equity_today_PV_of_FCFE"/>
      <w:pPr>
        <w:keepNext/>
        <w:pStyle w:val="Para 07"/>
        <w:keepLines w:val="on"/>
      </w:pPr>
      <w:r>
        <w:t>Giá trị vốn chủ sở hữu ngày hôm nay = PV của FCFE trong giai đoạn tăng trưởng cao + Giá trị cuối kỳ của vốn chủ sở hữu / (1 + ke)n = 47.354 + 291.924 / 1,04645 = 280.102 triệu SFr</w:t>
      </w:r>
      <w:bookmarkEnd w:id="2762"/>
    </w:p>
    <w:p>
      <w:pPr>
        <w:pStyle w:val="Para 04"/>
        <w:keepLines w:val="on"/>
      </w:pPr>
      <w:r>
        <w:t>Chúng ta chiết khấu giá trị cuối kỳ của vốn chủ sở hữu trở lại bằng chi phí vốn chủ sở hữu của giai đoạn tăng trưởng cao, vì nó phản ánh rủi ro của năm năm tiếp theo. Cộng thêm tiền mặt và chứng khoán thị trường trị giá 5.851 triệu SFr mà Nestle nắm giữ trong bảng cân đối kế toán gần nhất và chia cho số lượng cổ phần là 2.621,30 triệu cổ phiếu vào ngày 23 tháng 5 năm 2024, chúng ta ước tính giá trị vốn chủ sở hữu trên mỗi cổ phần là 109,09 franc Thụy Sĩ:</w:t>
      </w:r>
    </w:p>
    <w:p>
      <w:bookmarkStart w:id="2763" w:name="Value_of_equity_per_share__Value"/>
      <w:pPr>
        <w:keepNext/>
        <w:pStyle w:val="Para 07"/>
        <w:keepLines w:val="on"/>
      </w:pPr>
      <w:r>
        <w:t>Giá trị vốn chủ sở hữu trên mỗi cổ phần = (Giá trị vốn chủ sở hữu + Tiền mặt &amp; chứng khoán thị trường) / Số lượng cổ phần đang lưu hành = (280.102 + 5.851) / 2.621,30 = 109,09 SFr</w:t>
      </w:r>
      <w:bookmarkEnd w:id="2763"/>
    </w:p>
    <w:p>
      <w:pPr>
        <w:pStyle w:val="Para 04"/>
        <w:keepLines w:val="on"/>
      </w:pPr>
      <w:r>
        <w:t>Cổ phiếu đang được giao dịch ở mức 100,64 SFr mỗi cổ phần vào tháng 5 năm 2024, tại thời điểm định giá này, khiến cổ phiếu có phần bị định giá thấp.</w:t>
      </w:r>
    </w:p>
    <w:p>
      <w:pPr>
        <w:pStyle w:val="Para 11"/>
      </w:pPr>
      <w:r>
        <w:t xml:space="preserve"> </w:t>
      </w:r>
    </w:p>
    <w:p>
      <w:bookmarkStart w:id="2764" w:name="FCFE2st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37"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2764"/>
    </w:p>
    <w:p>
      <w:pPr>
        <w:pStyle w:val="Para 31"/>
        <w:keepLines w:val="on"/>
      </w:pPr>
      <w:r>
        <w:t>FCFE2st.xls: Bảng tính này cho phép bạn định giá một công ty có giai đoạn tăng trưởng cao tạm thời trong FCFE, tiếp theo là tăng trưởng ổn định.</w:t>
      </w:r>
    </w:p>
    <w:p>
      <w:pPr>
        <w:pStyle w:val="Para 11"/>
      </w:pPr>
      <w:r>
        <w:t xml:space="preserve"> </w:t>
      </w:r>
    </w:p>
    <w:p>
      <w:bookmarkStart w:id="2765" w:name="Reinvestment_Assumptions__Termin_1"/>
      <w:bookmarkStart w:id="2766" w:name="Reinvestment_Assumptions__Termin"/>
      <w:pPr>
        <w:keepNext/>
        <w:pStyle w:val="Para 27"/>
        <w:keepLines w:val="on"/>
      </w:pPr>
      <w:r>
        <w:t>Các giả định tái đầu tư, giá trị cuối kỳ và giá trị vốn chủ sở hữu</w:t>
      </w:r>
      <w:bookmarkEnd w:id="2765"/>
      <w:bookmarkEnd w:id="2766"/>
    </w:p>
    <w:p>
      <w:pPr>
        <w:pStyle w:val="Para 16"/>
        <w:keepLines w:val="on"/>
      </w:pPr>
      <w:r>
        <w:t>Chúng ta đã nhiều lần nhấn mạnh tầm quan trọng của việc liên kết các giả định tăng trưởng với các giả định về tái đầu tư, và đặc biệt là trong giai đoạn tăng trưởng ổn định. Một giả định rất phổ biến trong nhiều định giá dòng tiền chiết khấu là chi tiêu vốn bù đắp khấu hao trong giai đoạn tăng trưởng ổn định. Khi kết hợp với giả định không có thay đổi vốn lưu động, điều này dẫn đến tái đầu tư bằng không. Mặc dù đây có thể là một giả định hợp lý trong một hoặc hai năm, nhưng nó không nhất quán với giả định rằng thu nhập hoạt động sẽ tăng trưởng vĩnh viễn. Một giả định có thể tạo ra sự khác biệt bao nhiêu? Trong định giá Nestlé, chúng ta đã ước tính lại giá trị cuối kỳ của vốn chủ sở hữu trên mỗi cổ phần với giả định không tái đầu tư:</w:t>
      </w:r>
    </w:p>
    <w:p>
      <w:bookmarkStart w:id="2767" w:name="Terminal_value_of_equity_13_687"/>
      <w:pPr>
        <w:keepNext/>
        <w:pStyle w:val="Para 48"/>
        <w:keepLines w:val="on"/>
      </w:pPr>
      <w:r>
        <w:t>Giá trị cuối kỳ của vốn chủ sở hữu = 13.687 / (0,0538 − 0,01) = 312.776 triệu SFr</w:t>
      </w:r>
      <w:bookmarkEnd w:id="2767"/>
    </w:p>
    <w:p>
      <w:pPr>
        <w:pStyle w:val="Para 16"/>
        <w:keepLines w:val="on"/>
      </w:pPr>
      <w:r>
        <w:t>Giữ nguyên tất cả các giả định khác, điều này dẫn đến giá trị vốn chủ sở hữu trên mỗi cổ phần là 115,43 SFr mỗi cổ phần — tăng khoảng 5 phần trăm giá trị, với ảnh hưởng nhỏ chỉ vì tăng trưởng ổn định chỉ là 1%.</w:t>
      </w:r>
    </w:p>
    <w:p>
      <w:pPr>
        <w:pStyle w:val="Para 20"/>
      </w:pPr>
      <w:r>
        <w:rPr>
          <w:rStyle w:val="Text26"/>
        </w:rPr>
        <w:bookmarkStart w:id="2768" w:name="Page_423"/>
        <w:t/>
        <w:bookmarkEnd w:id="2768"/>
      </w:r>
      <w:r>
        <w:t xml:space="preserve"> </w:t>
      </w:r>
    </w:p>
    <w:p>
      <w:bookmarkStart w:id="2769" w:name="A_Generalized_FCFE_Model"/>
      <w:bookmarkStart w:id="2770" w:name="A_Generalized_FCFE_Model__In_the"/>
      <w:pPr>
        <w:keepNext/>
        <w:pStyle w:val="Heading 4"/>
        <w:keepLines w:val="on"/>
      </w:pPr>
      <w:r>
        <w:t>Một mô hình FCFE tổng quát hóa</w:t>
      </w:r>
      <w:bookmarkEnd w:id="2769"/>
      <w:bookmarkEnd w:id="2770"/>
    </w:p>
    <w:p>
      <w:pPr>
        <w:pStyle w:val="Para 03"/>
      </w:pPr>
      <w:r>
        <w:t>Trong phiên bản tổng quát nhất của mô hình dòng tiền tự do dành cho vốn chủ sở hữu (free cash flow to equity), bạn có các giai đoạn tăng trưởng, trong đó tốc độ tăng trưởng có thể thay đổi mỗi năm hoặc qua các giai đoạn khác nhau, trước khi ổn định vào tăng trưởng bền vững. Trong phần này, chúng ta sẽ mô tả các quy tắc nhất quán cần được áp dụng khi cho phép tốc độ tăng trưởng thay đổi theo thời gian.</w:t>
      </w:r>
    </w:p>
    <w:p>
      <w:bookmarkStart w:id="2771" w:name="The_Model__In_the_last_chapter"/>
      <w:pPr>
        <w:pStyle w:val="Para 21"/>
      </w:pPr>
      <w:r>
        <w:t>Mô hình</w:t>
      </w:r>
      <w:bookmarkEnd w:id="2771"/>
    </w:p>
    <w:p>
      <w:pPr>
        <w:pStyle w:val="Para 03"/>
      </w:pPr>
      <w:r>
        <w:t>Trong chương trước, chúng ta đã mô tả mô hình chiết khấu cổ tức ba giai đoạn, với giai đoạn đầu tăng trưởng cao, tiếp theo là giai đoạn chuyển tiếp khi tốc độ tăng trưởng giảm dần xuống mức tăng trưởng bền vững:</w:t>
      </w:r>
    </w:p>
    <w:p>
      <w:bookmarkStart w:id="2773" w:name="Value_of_equity_today____t_1t_nF"/>
      <w:pPr>
        <w:keepNext/>
        <w:pStyle w:val="Para 09"/>
        <w:keepLines w:val="on"/>
      </w:pPr>
      <w:r>
        <w:t>Giá trị vốn chủ sở hữu hôm nay=∑t=1t=nFCFEt(1+ke,hg)t+FCFEn+1(ke,st−gn)(1+ke,hg)n</w:t>
      </w:r>
      <w:bookmarkEnd w:id="2773"/>
    </w:p>
    <w:p>
      <w:bookmarkStart w:id="2774" w:name="FCFEt_FCFE_in_year_tke_hg_Cost_o"/>
      <w:pPr>
        <w:keepNext/>
        <w:pStyle w:val="Para 09"/>
        <w:keepLines w:val="on"/>
      </w:pPr>
      <w:r>
        <w:t>FCFEt=FCFE trong năm tke,hg=Chi phí vốn chủ sở hữu trong năm tke,st=Chi phí vốn chủ sở hữu trong tăng trưởng bền vữnggn=Tốc độ tăng trưởng trong giai đoạn tăng trưởng bền vững</w:t>
      </w:r>
      <w:bookmarkEnd w:id="2774"/>
    </w:p>
    <w:p>
      <w:pPr>
        <w:pStyle w:val="Para 03"/>
      </w:pPr>
      <w:r>
        <w:t>Mô hình này có tính linh hoạt cao khi nói đến tăng trưởng, tỷ lệ tái đầu tư vốn chủ sở hữu và chi phí vốn chủ sở hữu trong giai đoạn tăng trưởng cao, với mỗi yếu tố đều có thể thay đổi theo từng năm.</w:t>
      </w:r>
    </w:p>
    <w:p>
      <w:bookmarkStart w:id="2775" w:name="Caveats_in_Using_Model__Since_th"/>
      <w:pPr>
        <w:pStyle w:val="Para 21"/>
      </w:pPr>
      <w:r>
        <w:t>Những lưu ý khi sử dụng mô hình</w:t>
      </w:r>
      <w:bookmarkEnd w:id="2775"/>
    </w:p>
    <w:p>
      <w:pPr>
        <w:pStyle w:val="Para 03"/>
      </w:pPr>
      <w:r>
        <w:t>Vì mô hình giả định rằng tốc độ tăng trưởng đi qua ba giai đoạn riêng biệt—tăng trưởng cao, tăng trưởng chuyển tiếp và tăng trưởng bền vững—điều quan trọng là các giả định về những biến số khác phải nhất quán với những giả định về tăng trưởng này.</w:t>
      </w:r>
    </w:p>
    <w:p>
      <w:bookmarkStart w:id="2777" w:name="Equity_Reinvestment__It_is_reaso"/>
      <w:pPr>
        <w:pStyle w:val="Para 42"/>
      </w:pPr>
      <w:r>
        <w:t>Tái đầu tư vốn chủ sở hữu</w:t>
      </w:r>
      <w:bookmarkEnd w:id="2777"/>
    </w:p>
    <w:p>
      <w:pPr>
        <w:pStyle w:val="Para 03"/>
      </w:pPr>
      <w:r>
        <w:t>Thật hợp lý khi giả định rằng khi công ty chuyển từ tăng trưởng cao sang tăng trưởng bền vững, mức tái đầu tư vốn chủ sở hữu cần thiết để tạo ra mức tăng trưởng đó cũng sẽ thay đổi. Trong giai đoạn tăng trưởng cao, mức tái đầu tư vốn chủ sở hữu cần thiết để tạo ra mức tăng trưởng đó sẽ cao, với hình thức tái đầu tư là chi tiêu vốn cao hơn nhiều so với khấu hao, gia tăng đáng kể vốn lưu động, các thương vụ mua lại lớn hoặc đầu tư R&amp;D lớn. Trong giai đoạn chuyển tiếp, khi tốc độ tăng trưởng giảm dần về mức tăng trưởng bền vững, tỷ lệ tái đầu tư vốn chủ sở hữu cũng nên giảm xuống, với tốc độ giảm phụ thuộc vào lợi nhuận trên vốn chủ sở hữu (return on equity) của các khoản đầu tư mới. (Xem Hình 14.8.)</w:t>
      </w:r>
    </w:p>
    <w:p>
      <w:bookmarkStart w:id="2780" w:name="Figure_14_8_Three_Stage_FCFE_Mod"/>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46300" cy="1524000"/>
            <wp:effectExtent l="0" r="0" t="0" b="0"/>
            <wp:wrapTopAndBottom/>
            <wp:docPr id="138" name="c14f007.png" descr="Illustration of three-stage F C F E model depicting reinvestment needs over 3 time periods (high growth, transition period, stable growth)."/>
            <wp:cNvGraphicFramePr>
              <a:graphicFrameLocks noChangeAspect="1"/>
            </wp:cNvGraphicFramePr>
            <a:graphic>
              <a:graphicData uri="http://schemas.openxmlformats.org/drawingml/2006/picture">
                <pic:pic>
                  <pic:nvPicPr>
                    <pic:cNvPr id="0" name="c14f007.png" descr="Illustration of three-stage F C F E model depicting reinvestment needs over 3 time periods (high growth, transition period, stable growth)."/>
                    <pic:cNvPicPr/>
                  </pic:nvPicPr>
                  <pic:blipFill>
                    <a:blip r:embed="rId100"/>
                    <a:stretch>
                      <a:fillRect/>
                    </a:stretch>
                  </pic:blipFill>
                  <pic:spPr>
                    <a:xfrm>
                      <a:off x="0" y="0"/>
                      <a:ext cx="2146300" cy="1524000"/>
                    </a:xfrm>
                    <a:prstGeom prst="rect">
                      <a:avLst/>
                    </a:prstGeom>
                  </pic:spPr>
                </pic:pic>
              </a:graphicData>
            </a:graphic>
          </wp:anchor>
        </w:drawing>
      </w:r>
      <w:bookmarkEnd w:id="2780"/>
    </w:p>
    <w:p>
      <w:pPr>
        <w:keepNext/>
        <w:pStyle w:val="Para 22"/>
        <w:keepLines w:val="on"/>
      </w:pPr>
      <w:r>
        <w:t>Hình 14.8 Mô hình FCFE ba giai đoạn: Nhu cầu tái đầu tư</w:t>
      </w:r>
    </w:p>
    <w:p>
      <w:pPr>
        <w:pStyle w:val="Para 03"/>
      </w:pPr>
      <w:r>
        <w:t>Lưu ý rằng trong tăng trưởng bền vững, tỷ lệ tái đầu tư vốn chủ sở hữu nên ổn định ở mức đủ cao để duy trì tăng trưởng bền vững, với phương trình tăng trưởng bền vững cung cấp hướng dẫn:</w:t>
      </w:r>
    </w:p>
    <w:p>
      <w:bookmarkStart w:id="2781" w:name="Stable_equity_reinvestment_rate_1"/>
      <w:pPr>
        <w:keepNext/>
        <w:pStyle w:val="Para 09"/>
        <w:keepLines w:val="on"/>
      </w:pPr>
      <w:r>
        <w:t>Tỷ lệ tái đầu tư vốn chủ sở hữu bền vững=Tốc độ tăng trưởng bền vữngLợi nhuận trên vốn chủ sở hữu giai đoạn bền vững</w:t>
      </w:r>
      <w:bookmarkEnd w:id="2781"/>
    </w:p>
    <w:p>
      <w:bookmarkStart w:id="2782" w:name="Risk__As_the_growth_characterist"/>
      <w:pPr>
        <w:pStyle w:val="Para 42"/>
      </w:pPr>
      <w:r>
        <w:t>Rủi ro</w:t>
      </w:r>
      <w:bookmarkEnd w:id="2782"/>
    </w:p>
    <w:p>
      <w:pPr>
        <w:pStyle w:val="Para 03"/>
      </w:pPr>
      <w:r>
        <w:t>Khi các đặc điểm tăng trưởng của một công ty thay đổi, các đặc điểm rủi ro của nó cũng thay đổi theo. Trong bối cảnh CAPM, khi tốc độ tăng trưởng giảm, beta của công ty có thể được kỳ vọng sẽ thay đổi. Xu hướng beta hội tụ về 1 trong dài hạn đã được xác nhận qua quan sát thực nghiệm các danh mục công ty có beta cao. Theo thời gian, khi các công ty này trở nên lớn hơn và đa dạng hóa hơn, beta trung bình của các danh mục này dịch chuyển về phía 1. Tóm lại, chi phí vốn chủ sở hữu của một công ty, trong mô hình FCFE tổng quát, nên thay đổi khi tốc độ tăng trưởng thay đổi, hội tụ về chi phí vốn chủ sở hữu của một công ty trưởng thành, ở giai đoạn tăng trưởng bền vững.</w:t>
      </w:r>
    </w:p>
    <w:p>
      <w:bookmarkStart w:id="2785" w:name="Model_Usage__Early_in_this_book"/>
      <w:pPr>
        <w:pStyle w:val="Para 21"/>
      </w:pPr>
      <w:r>
        <w:t>Cách sử dụng mô hình</w:t>
      </w:r>
      <w:bookmarkEnd w:id="2785"/>
    </w:p>
    <w:p>
      <w:pPr>
        <w:pStyle w:val="Para 03"/>
      </w:pPr>
      <w:r>
        <w:t>Đầu cuốn sách này, chúng ta đã lưu ý về sự tương đương của mô hình FCFE và FCFF trong việc đưa ra các thước đo nhất quán về giá trị vốn chủ sở hữu của một công ty. Tuy nhiên, có những thách thức trong ước lượng có thể khiến việc duy trì tính nhất quán trong mô hình FCFE trở nên khó khăn hơn so với mô hình FCFF. Cụ thể, dòng tiền tự do dành cho vốn chủ sở hữu là dòng tiền sau các dòng tiền liên quan đến nợ (tức là dòng tiền vào từ việc phát hành nợ mới và dòng tiền ra từ việc trả nợ đến hạn). Với những công ty mà bạn kỳ vọng tỷ lệ nợ sẽ thay đổi đáng kể theo thời gian, dòng tiền tự do dành cho vốn chủ sở hữu trở nên khó ước lượng hơn nhiều, vì bạn phải dự báo tốc độ và mức độ mà bạn kỳ vọng tỷ lệ nợ sẽ tăng hoặc giảm, rồi chuyển đổi những thay đổi tỷ lệ nợ này thành các dòng tiền liên quan đến nợ.</w:t>
      </w:r>
    </w:p>
    <w:p>
      <w:pPr>
        <w:pStyle w:val="Para 03"/>
      </w:pPr>
      <w:r>
        <w:t>Những công ty mà dòng tiền tự do dành cho vốn chủ sở hữu có xu hướng dễ tính toán nhất là những công ty dự định duy trì tỷ lệ nợ ổn định theo thời gian, vì khi đó dòng tiền tự do dành cho vốn chủ sở hữu trong các giai đoạn tương lai có thể được ước lượng bằng công thức tắt, trong đó việc tái đầu tư vốn chủ sở hữu có thể được tính bằng tỷ lệ nợ đó (thay vì dự báo rõ ràng các khoản trả nợ và phát hành nợ):</w:t>
      </w:r>
    </w:p>
    <w:p>
      <w:bookmarkStart w:id="2787" w:name="Equity_reinvestment__Capital_exp"/>
      <w:pPr>
        <w:keepNext/>
        <w:pStyle w:val="Para 09"/>
        <w:keepLines w:val="on"/>
      </w:pPr>
      <w:r>
        <w:t>Tái đầu tư vốn chủ sở hữu=(Chi tiêu vốn−Khấu hao+Thay đổi vốn lưu động phi tiền mặt)(1−Tỷ lệ nợ trên vốn)</w:t>
      </w:r>
      <w:bookmarkEnd w:id="2787"/>
    </w:p>
    <w:p>
      <w:pPr>
        <w:pStyle w:val="Para 03"/>
      </w:pPr>
      <w:r>
        <w:t>Nếu bạn không chắc liệu một công ty có duy trì tỷ lệ nợ hiện tại của mình trong tương lai hay không, bạn nên tránh xa các mô hình dòng tiền tự do dành cho vốn chủ sở hữu và thay vào đó sử dụng các mô hình dòng tiền tự do dành cho công ty.</w:t>
      </w:r>
    </w:p>
    <w:p>
      <w:pPr>
        <w:pStyle w:val="Para 11"/>
      </w:pPr>
      <w:r>
        <w:t xml:space="preserve"> </w:t>
      </w:r>
      <w:r>
        <w:rPr>
          <w:rStyle w:val="Text26"/>
        </w:rPr>
        <w:bookmarkStart w:id="2788" w:name="Page_425"/>
        <w:t/>
        <w:bookmarkEnd w:id="2788"/>
      </w:r>
      <w:r>
        <w:t xml:space="preserve"> </w:t>
      </w:r>
    </w:p>
    <w:p>
      <w:bookmarkStart w:id="2789" w:name="ILLUSTRATION_14_12___Generalized"/>
      <w:bookmarkStart w:id="2790" w:name="ILLUSTRATION_14_12___Generalized_1"/>
      <w:pPr>
        <w:keepNext/>
        <w:pStyle w:val="Para 19"/>
        <w:keepLines w:val="on"/>
      </w:pPr>
      <w:r>
        <w:t>MINH HỌA 14.12: Mô hình FCFE tổng quát: Tsingtao Breweries (Trung Quốc) năm 2001</w:t>
      </w:r>
      <w:bookmarkEnd w:id="2789"/>
      <w:bookmarkEnd w:id="2790"/>
    </w:p>
    <w:p>
      <w:pPr>
        <w:pStyle w:val="Para 04"/>
        <w:keepLines w:val="on"/>
      </w:pPr>
      <w:r>
        <w:t>Tsingtao Breweries sản xuất và phân phối bia cùng các loại đồ uống có cồn khác tại Trung Quốc và trên khắp thế giới dưới thương hiệu Tsingtao. Công ty có 653,15 triệu cổ phiếu được niêm yết trên các sàn giao dịch Thượng Hải và Hồng Kông.</w:t>
      </w:r>
    </w:p>
    <w:p>
      <w:bookmarkStart w:id="2792" w:name="Rationale_for_Using_the_Three_St"/>
      <w:bookmarkStart w:id="2793" w:name="Rationale_for_Using_the_Three_St_1"/>
      <w:pPr>
        <w:keepNext/>
        <w:pStyle w:val="Para 36"/>
        <w:keepLines w:val="on"/>
      </w:pPr>
      <w:r>
        <w:t>Lý do sử dụng mô hình FCFE ba giai đoạn</w:t>
      </w:r>
      <w:bookmarkEnd w:id="2792"/>
      <w:bookmarkEnd w:id="2793"/>
    </w:p>
    <w:p>
      <w:pPr>
        <w:numPr>
          <w:ilvl w:val="0"/>
          <w:numId w:val="138"/>
        </w:numPr>
        <w:pStyle w:val="Para 18"/>
        <w:keepLines w:val="on"/>
      </w:pPr>
      <w:r>
        <w:t>Tại sao lại là ba giai đoạn? Tsingtao là một công ty nhỏ phục vụ một thị trường khổng lồ và đang tăng trưởng—cụ thể là Trung Quốc, và nói chung là phần còn lại của châu Á. Lợi nhuận trên vốn chủ sở hữu hiện tại của công ty đang thấp, và chúng tôi dự đoán rằng nó sẽ cải thiện trong năm năm tới. Khi lợi nhuận này tăng lên, tăng trưởng thu nhập cũng sẽ được đẩy lên.</w:t>
      </w:r>
    </w:p>
    <w:p>
      <w:pPr>
        <w:numPr>
          <w:ilvl w:val="0"/>
          <w:numId w:val="138"/>
        </w:numPr>
        <w:pStyle w:val="Para 18"/>
        <w:keepLines w:val="on"/>
      </w:pPr>
      <w:r>
        <w:t>Tại sao lại là FCFE? Quản trị doanh nghiệp ở Trung Quốc có xu hướng yếu kém và cổ tức khó có thể phản ánh dòng tiền tự do dành cho vốn chủ sở hữu. Ngoài ra, công ty liên tục tài trợ một phần nhu cầu tái đầu tư của mình bằng các đợt phát hành nợ mới.</w:t>
      </w:r>
    </w:p>
    <w:p>
      <w:bookmarkStart w:id="2794" w:name="Background_Information_1"/>
      <w:bookmarkStart w:id="2795" w:name="Background_Information__In_2000"/>
      <w:pPr>
        <w:keepNext/>
        <w:pStyle w:val="Para 36"/>
        <w:keepLines w:val="on"/>
      </w:pPr>
      <w:r>
        <w:t>Thông tin cơ bản</w:t>
      </w:r>
      <w:bookmarkEnd w:id="2794"/>
      <w:bookmarkEnd w:id="2795"/>
    </w:p>
    <w:p>
      <w:pPr>
        <w:pStyle w:val="Para 04"/>
        <w:keepLines w:val="on"/>
      </w:pPr>
      <w:r>
        <w:t>Năm 2000, Tsingtao Breweries kiếm được 72,36 triệu CY (nhân dân tệ) lợi nhuận ròng trên giá trị sổ sách của vốn chủ sở hữu là 2.588 triệu CY, mang lại tỷ suất sinh lời trên vốn chủ sở hữu (return on equity – ROE) là 2,80%. Công ty có chi tiêu vốn (capital expenditures) là 335 triệu CY và khấu hao (depreciation) là 204 triệu CY trong năm, và vốn lưu động phi tiền mặt (noncash working capital) giảm 1,2 triệu CY trong năm. Do đó, tổng tái đầu tư (reinvestment) trong năm 2000 là:</w:t>
      </w:r>
    </w:p>
    <w:p>
      <w:bookmarkStart w:id="2796" w:name="Total_reinvestment_Capital_expen"/>
      <w:pPr>
        <w:keepNext/>
        <w:pStyle w:val="Para 07"/>
        <w:keepLines w:val="on"/>
      </w:pPr>
      <w:r>
        <w:t>Tổng tái đầu tư = Chi tiêu vốn − Khấu hao + Thay đổi vốn lưu động phi tiền mặt = 335 − 204 − 1,2 = 129,8 triệu</w:t>
      </w:r>
      <w:bookmarkEnd w:id="2796"/>
    </w:p>
    <w:p>
      <w:pPr>
        <w:pStyle w:val="Para 04"/>
        <w:keepLines w:val="on"/>
      </w:pPr>
      <w:r>
        <w:t>Những thay đổi vốn lưu động trong bốn năm qua khá thất thường, và chúng ta chuẩn hóa thay đổi này bằng cách dùng vốn lưu động phi tiền mặt tính theo tỷ lệ phần trăm doanh thu năm 2000:</w:t>
      </w:r>
    </w:p>
    <w:p>
      <w:bookmarkStart w:id="2797" w:name="Normalized_change_in_noncash_wor"/>
      <w:pPr>
        <w:keepNext/>
        <w:pStyle w:val="Para 07"/>
        <w:keepLines w:val="on"/>
      </w:pPr>
      <w:r>
        <w:t>Thay đổi chuẩn hóa vốn lưu động phi tiền mặt = (Vốn lưu động phi tiền mặt năm 2000 / Doanh thu năm 2000) × (Doanh thu năm 2000 − Doanh thu năm 1999) = (180 / 2.253) × (2.253 − 1.598) = 52,3 triệu CY</w:t>
      </w:r>
      <w:bookmarkEnd w:id="2797"/>
    </w:p>
    <w:p>
      <w:pPr>
        <w:pStyle w:val="Para 04"/>
        <w:keepLines w:val="on"/>
      </w:pPr>
      <w:r>
        <w:t>Khoản tái đầu tư chuẩn hóa năm 2000 sau đó có thể được ước tính như sau:</w:t>
      </w:r>
    </w:p>
    <w:p>
      <w:bookmarkStart w:id="2798" w:name="Normalized_reinvestment_Capital"/>
      <w:pPr>
        <w:keepNext/>
        <w:pStyle w:val="Para 07"/>
        <w:keepLines w:val="on"/>
      </w:pPr>
      <w:r>
        <w:t>Tái đầu tư chuẩn hóa = Chi tiêu vốn − Khấu hao + Thay đổi chuẩn hóa vốn lưu động phi tiền mặt = 335 − 204 + 52,3 = 183,3 triệu CY</w:t>
      </w:r>
      <w:bookmarkEnd w:id="2798"/>
    </w:p>
    <w:p>
      <w:pPr>
        <w:pStyle w:val="Para 04"/>
        <w:keepLines w:val="on"/>
      </w:pPr>
      <w:r>
        <w:t>Cũng như vốn lưu động, các đợt phát hành nợ cũng rất thất thường. Chúng ta ước tính tỷ lệ nợ trên vốn (debt to capital ratio) theo giá trị sổ sách của công ty là 40,94% vào cuối năm 2000 và dùng nó để ước tính khoản tái đầu tư vốn chủ sở hữu chuẩn hóa trong năm 2000:</w:t>
      </w:r>
    </w:p>
    <w:p>
      <w:bookmarkStart w:id="2799" w:name="Equity_reinvestment_in_2000_Rein"/>
      <w:pPr>
        <w:keepNext/>
        <w:pStyle w:val="Para 07"/>
        <w:keepLines w:val="on"/>
      </w:pPr>
      <w:r>
        <w:t>Tái đầu tư vốn chủ sở hữu năm 2000 = Tái đầu tư × (1 − Tỷ lệ nợ) = 183,3 × (1 − 0,4094) = 108,27 triệu CY</w:t>
      </w:r>
      <w:bookmarkEnd w:id="2799"/>
    </w:p>
    <w:p>
      <w:pPr>
        <w:pStyle w:val="Para 04"/>
        <w:keepLines w:val="on"/>
      </w:pPr>
      <w:r>
        <w:t>Tính theo tỷ lệ phần trăm lợi nhuận ròng:</w:t>
      </w:r>
    </w:p>
    <w:p>
      <w:bookmarkStart w:id="2800" w:name="Equity_reinvestment_rate_in_2000"/>
      <w:pPr>
        <w:keepNext/>
        <w:pStyle w:val="Para 07"/>
        <w:keepLines w:val="on"/>
      </w:pPr>
      <w:r>
        <w:t>Tỷ lệ tái đầu tư vốn chủ sở hữu năm 2000 = 108,27 / 72,36 = 149,97%</w:t>
      </w:r>
      <w:bookmarkEnd w:id="2800"/>
    </w:p>
    <w:p>
      <w:pPr>
        <w:pStyle w:val="Para 40"/>
        <w:keepLines w:val="on"/>
      </w:pPr>
      <w:r>
        <w:rPr>
          <w:rStyle w:val="Text26"/>
        </w:rPr>
        <w:bookmarkStart w:id="2801" w:name="Page_426"/>
        <w:t/>
        <w:bookmarkEnd w:id="2801"/>
      </w:r>
      <w:r>
        <w:t xml:space="preserve"> </w:t>
      </w:r>
    </w:p>
    <w:p>
      <w:bookmarkStart w:id="2802" w:name="Estimation"/>
      <w:bookmarkStart w:id="2803" w:name="Estimation__To_estimate_free_cas"/>
      <w:pPr>
        <w:keepNext/>
        <w:pStyle w:val="Para 36"/>
        <w:keepLines w:val="on"/>
      </w:pPr>
      <w:r>
        <w:t>Ước tính</w:t>
      </w:r>
      <w:bookmarkEnd w:id="2802"/>
      <w:bookmarkEnd w:id="2803"/>
    </w:p>
    <w:p>
      <w:pPr>
        <w:pStyle w:val="Para 04"/>
        <w:keepLines w:val="on"/>
      </w:pPr>
      <w:r>
        <w:t>Để ước tính dòng tiền tự do cho vốn chủ sở hữu (free cash flows to equity) trong giai đoạn tăng trưởng cao, chúng ta giả định rằng tỷ suất sinh lời trên vốn chủ sở hữu, hiện nay là 2,80%, sẽ tăng dần lên 12% vào năm thứ năm. Ngoài ra, chúng ta sẽ giả định rằng các khoản đầu tư mới từ nay trở đi sẽ đạt tỷ suất sinh lời trên vốn chủ sở hữu là 12%. Cuối cùng, chúng ta sẽ giả định rằng tỷ lệ tái đầu tư vốn chủ sở hữu sẽ giữ nguyên ở mức hiện tại (149,97%) mỗi năm trong năm năm tới. Tốc độ tăng trưởng kỳ vọng trong năm năm tới sau đó có thể được ước tính như sau:</w:t>
      </w:r>
    </w:p>
    <w:p>
      <w:bookmarkStart w:id="2804" w:name="Expected_growth_rate__next_five"/>
      <w:pPr>
        <w:keepNext/>
        <w:pStyle w:val="Para 07"/>
        <w:keepLines w:val="on"/>
      </w:pPr>
      <w:r>
        <w:t>Tốc độ tăng trưởng kỳ vọng — năm năm tới = Tỷ lệ tái đầu tư vốn chủ sở hữu × ROE mới + [(ROE mới − ROE hiện tại) / ROE hiện tại]^(1/5) − 1 = 1,4997 × 0,12 + {[(0,12 − 0,028) / 0,028]^(1/5) − 1} = 44,91%</w:t>
      </w:r>
      <w:bookmarkEnd w:id="2804"/>
    </w:p>
    <w:p>
      <w:pPr>
        <w:pStyle w:val="Para 04"/>
        <w:keepLines w:val="on"/>
      </w:pPr>
      <w:r>
        <w:t>Sau năm thứ 5, chúng ta sẽ giả định rằng tốc độ tăng trưởng kỳ vọng giảm tuyến tính mỗi năm từ năm thứ 6 đến năm thứ 10 để đạt tốc độ tăng trưởng ổn định là 10% vào năm thứ 10. (Lưu ý rằng tốc độ tăng trưởng tính bằng CY danh nghĩa; tốc độ tăng trưởng ổn định cao hơn phản ánh kỳ vọng lạm phát cao hơn trong đồng tiền đó.) Khi tốc độ tăng trưởng giảm, tỷ lệ tái đầu tư vốn chủ sở hữu cũng giảm xuống mức tỷ lệ tái đầu tư vốn chủ sở hữu giai đoạn ổn định là 50%, được ước tính bằng cách dùng tốc độ tăng trưởng ổn định 10% và giả định tỷ suất sinh lời trên vốn chủ sở hữu trong giai đoạn tăng trưởng ổn định là 20%.</w:t>
      </w:r>
    </w:p>
    <w:p>
      <w:bookmarkStart w:id="2805" w:name="Stable_period_equity_reinvestmen"/>
      <w:pPr>
        <w:keepNext/>
        <w:pStyle w:val="Para 07"/>
        <w:keepLines w:val="on"/>
      </w:pPr>
      <w:r>
        <w:t>Tỷ lệ tái đầu tư vốn chủ sở hữu giai đoạn ổn định = g / ROE = 10% / 20% = 50%</w:t>
      </w:r>
      <w:bookmarkEnd w:id="2805"/>
    </w:p>
    <w:p>
      <w:pPr>
        <w:pStyle w:val="Para 04"/>
        <w:keepLines w:val="on"/>
      </w:pPr>
      <w:r>
        <w:t>Để ước tính chi phí vốn chủ sở hữu (cost of equity), chúng ta đã dùng lãi suất phi rủi ro là 10% (tính bằng CY danh nghĩa), phần bù rủi ro là 6,28% (4% cho rủi ro thị trường trưởng thành và 2,28% là phần bù rủi ro quốc gia cho Trung Quốc), và hệ số beta là 0,75 (phản ánh beta từ dưới lên của ngành bia):</w:t>
      </w:r>
    </w:p>
    <w:p>
      <w:bookmarkStart w:id="2806" w:name="Cost_of_equity_10__0_75_6_28___1"/>
      <w:pPr>
        <w:keepNext/>
        <w:pStyle w:val="Para 07"/>
        <w:keepLines w:val="on"/>
      </w:pPr>
      <w:r>
        <w:t>Chi phí vốn chủ sở hữu = 10% + 0,75 × (6,28%) = 14,71%</w:t>
      </w:r>
      <w:bookmarkEnd w:id="2806"/>
    </w:p>
    <w:p>
      <w:pPr>
        <w:pStyle w:val="Para 04"/>
        <w:keepLines w:val="on"/>
      </w:pPr>
      <w:r>
        <w:t>Trong giai đoạn tăng trưởng ổn định, chúng ta giả định rằng hệ số beta sẽ tăng dần lên 0,80 và phần bù rủi ro quốc gia sẽ giảm xuống 0,95%:</w:t>
      </w:r>
    </w:p>
    <w:p>
      <w:bookmarkStart w:id="2807" w:name="Cost_of_equity_10__0_80_4_95___1"/>
      <w:pPr>
        <w:keepNext/>
        <w:pStyle w:val="Para 07"/>
        <w:keepLines w:val="on"/>
      </w:pPr>
      <w:r>
        <w:t>Chi phí vốn chủ sở hữu = 10% + 0,80 × (4,95%) = 13,96%</w:t>
      </w:r>
      <w:bookmarkEnd w:id="2807"/>
    </w:p>
    <w:p>
      <w:pPr>
        <w:pStyle w:val="Para 04"/>
        <w:keepLines w:val="on"/>
      </w:pPr>
      <w:r>
        <w:t>Chi phí vốn chủ sở hữu điều chỉnh theo các bước tăng tuyến tính từ 14,71% ở năm thứ 5 xuống 13,96% ở năm thứ 10.</w:t>
      </w:r>
    </w:p>
    <w:p>
      <w:bookmarkStart w:id="2808" w:name="Valuation__To_value_Tsingtao__we"/>
      <w:bookmarkStart w:id="2809" w:name="Valuation_1"/>
      <w:pPr>
        <w:keepNext/>
        <w:pStyle w:val="Para 36"/>
        <w:keepLines w:val="on"/>
      </w:pPr>
      <w:r>
        <w:t>Định giá</w:t>
      </w:r>
      <w:bookmarkEnd w:id="2808"/>
      <w:bookmarkEnd w:id="2809"/>
    </w:p>
    <w:p>
      <w:pPr>
        <w:pStyle w:val="Para 04"/>
        <w:keepLines w:val="on"/>
      </w:pPr>
      <w:r>
        <w:t>Để định giá Tsingtao, chúng ta sẽ bắt đầu bằng việc dự phóng dòng tiền tự do cho vốn chủ sở hữu trong giai đoạn tăng trưởng cao và giai đoạn chuyển tiếp, dùng tốc độ tăng trưởng kỳ vọng là 44,91% cho lợi nhuận ròng và tỷ lệ tái đầu tư vốn chủ sở hữu là 149,97% trong năm năm đầu tiên. Năm năm tiếp theo đại diện cho giai đoạn chuyển tiếp, khi tốc độ tăng trưởng giảm theo các bước tuyến tính từ 44,91% xuống 10% và tỷ lệ tái đầu tư vốn chủ sở hữu giảm từ 149,97% xuống 50%. Dòng tiền tự do cho vốn chủ sở hữu thu được được thể hiện trong Bảng 14.10:</w:t>
      </w:r>
    </w:p>
    <w:p>
      <w:pPr>
        <w:pStyle w:val="Para 25"/>
        <w:keepLines w:val="on"/>
      </w:pPr>
      <w:r>
        <w:t>Bảng 14.10</w:t>
      </w:r>
    </w:p>
    <w:p>
      <w:pPr>
        <w:keepNext/>
        <w:pStyle w:val="Para 24"/>
        <w:keepLines w:val="on"/>
      </w:pPr>
      <w:r>
        <w:t>FCFE kỳ vọng cho Tsingtao Breweries</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Kỳ vọng</w:t>
                  </w:r>
                </w:p>
              </w:tc>
              <w:tc>
                <w:tcPr>
                  <w:tcW w:type="auto" w:w="0"/>
                  <w:shd w:val="clear" w:color="auto" w:fill="F0F0F0"/>
                </w:tcPr>
                <w:p>
                  <w:pPr>
                    <w:pStyle w:val="Para 05"/>
                    <w:keepLines w:val="on"/>
                  </w:pPr>
                  <w:r>
                    <w:t>Thu nhập ròng</w:t>
                  </w:r>
                </w:p>
              </w:tc>
              <w:tc>
                <w:tcPr>
                  <w:tcW w:type="auto" w:w="0"/>
                  <w:shd w:val="clear" w:color="auto" w:fill="F0F0F0"/>
                </w:tcPr>
                <w:p>
                  <w:pPr>
                    <w:pStyle w:val="Para 05"/>
                    <w:keepLines w:val="on"/>
                  </w:pPr>
                  <w:r>
                    <w:t>Tỷ lệ tái đầu tư vốn chủ sở hữu</w:t>
                  </w:r>
                </w:p>
              </w:tc>
              <w:tc>
                <w:tcPr>
                  <w:tcW w:type="auto" w:w="0"/>
                  <w:shd w:val="clear" w:color="auto" w:fill="F0F0F0"/>
                </w:tcPr>
                <w:p>
                  <w:pPr>
                    <w:pStyle w:val="Para 05"/>
                    <w:keepLines w:val="on"/>
                  </w:pPr>
                  <w:r>
                    <w:t>FCFE</w:t>
                  </w:r>
                </w:p>
              </w:tc>
              <w:tc>
                <w:tcPr>
                  <w:tcW w:type="auto" w:w="0"/>
                  <w:shd w:val="clear" w:color="auto" w:fill="F0F0F0"/>
                </w:tcPr>
                <w:p>
                  <w:pPr>
                    <w:pStyle w:val="Para 05"/>
                    <w:keepLines w:val="on"/>
                  </w:pPr>
                  <w:r>
                    <w:t>Chi phí vốn chủ sở hữu</w:t>
                  </w:r>
                </w:p>
              </w:tc>
              <w:tc>
                <w:tcPr>
                  <w:tcW w:type="auto" w:w="0"/>
                  <w:shd w:val="clear" w:color="auto" w:fill="F0F0F0"/>
                </w:tcPr>
                <w:p>
                  <w:pPr>
                    <w:pStyle w:val="Para 05"/>
                    <w:keepLines w:val="on"/>
                  </w:pPr>
                  <w:r>
                    <w:t>Giá trị hiện tại</w:t>
                  </w:r>
                </w:p>
              </w:tc>
            </w:tr>
            <w:tr>
              <w:tc>
                <w:tcPr>
                  <w:tcW w:type="auto" w:w="0"/>
                  <w:shd w:val="clear" w:color="auto" w:fill="F0F0F0"/>
                </w:tcPr>
                <w:p>
                  <w:pPr>
                    <w:pStyle w:val="Para 02"/>
                    <w:keepLines w:val="on"/>
                  </w:pPr>
                  <w:r>
                    <w:t>Hiện tại</w:t>
                  </w:r>
                </w:p>
              </w:tc>
              <w:tc>
                <w:tcPr>
                  <w:tcW w:type="auto" w:w="0"/>
                  <w:shd w:val="clear" w:color="auto" w:fill="F0F0F0"/>
                </w:tcPr>
                <w:p>
                  <w:pPr>
                    <w:pStyle w:val="5 Block"/>
                    <w:keepLines w:val="on"/>
                  </w:pPr>
                </w:p>
              </w:tc>
              <w:tc>
                <w:tcPr>
                  <w:tcW w:type="auto" w:w="0"/>
                  <w:shd w:val="clear" w:color="auto" w:fill="F0F0F0"/>
                </w:tcPr>
                <w:p>
                  <w:pPr>
                    <w:pStyle w:val="Para 02"/>
                    <w:keepLines w:val="on"/>
                  </w:pPr>
                  <w:r>
                    <w:t>CY72,36</w:t>
                  </w:r>
                </w:p>
              </w:tc>
              <w:tc>
                <w:tcPr>
                  <w:tcW w:type="auto" w:w="0"/>
                  <w:shd w:val="clear" w:color="auto" w:fill="F0F0F0"/>
                </w:tcPr>
                <w:p>
                  <w:pPr>
                    <w:pStyle w:val="Normal"/>
                    <w:keepLines w:val="on"/>
                  </w:pPr>
                  <w:r>
                    <w:t>149,97%</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44,91%</w:t>
                  </w:r>
                </w:p>
              </w:tc>
              <w:tc>
                <w:tcPr>
                  <w:tcW w:type="auto" w:w="0"/>
                  <w:shd w:val="clear" w:color="auto" w:fill="F0F0F0"/>
                </w:tcPr>
                <w:p>
                  <w:pPr>
                    <w:pStyle w:val="Para 02"/>
                    <w:keepLines w:val="on"/>
                  </w:pPr>
                  <w:r>
                    <w:t>CY104,85</w:t>
                  </w:r>
                </w:p>
              </w:tc>
              <w:tc>
                <w:tcPr>
                  <w:tcW w:type="auto" w:w="0"/>
                  <w:shd w:val="clear" w:color="auto" w:fill="F0F0F0"/>
                </w:tcPr>
                <w:p>
                  <w:pPr>
                    <w:pStyle w:val="Normal"/>
                    <w:keepLines w:val="on"/>
                  </w:pPr>
                  <w:r>
                    <w:t>149,97%</w:t>
                  </w:r>
                </w:p>
              </w:tc>
              <w:tc>
                <w:tcPr>
                  <w:tcW w:type="auto" w:w="0"/>
                  <w:shd w:val="clear" w:color="auto" w:fill="F0F0F0"/>
                </w:tcPr>
                <w:p>
                  <w:pPr>
                    <w:pStyle w:val="Para 02"/>
                    <w:keepLines w:val="on"/>
                  </w:pPr>
                  <w:r>
                    <w:t>−CY52,40</w:t>
                  </w:r>
                </w:p>
              </w:tc>
              <w:tc>
                <w:tcPr>
                  <w:tcW w:type="auto" w:w="0"/>
                  <w:shd w:val="clear" w:color="auto" w:fill="F0F0F0"/>
                </w:tcPr>
                <w:p>
                  <w:pPr>
                    <w:pStyle w:val="Normal"/>
                    <w:keepLines w:val="on"/>
                  </w:pPr>
                  <w:r>
                    <w:t>14,71%</w:t>
                  </w:r>
                </w:p>
              </w:tc>
              <w:tc>
                <w:tcPr>
                  <w:tcW w:type="auto" w:w="0"/>
                  <w:shd w:val="clear" w:color="auto" w:fill="F0F0F0"/>
                </w:tcPr>
                <w:p>
                  <w:pPr>
                    <w:pStyle w:val="Para 02"/>
                    <w:keepLines w:val="on"/>
                  </w:pPr>
                  <w:r>
                    <w:t>−CY45,68</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44,91%</w:t>
                  </w:r>
                </w:p>
              </w:tc>
              <w:tc>
                <w:tcPr>
                  <w:tcW w:type="auto" w:w="0"/>
                  <w:shd w:val="clear" w:color="auto" w:fill="F0F0F0"/>
                </w:tcPr>
                <w:p>
                  <w:pPr>
                    <w:pStyle w:val="Para 02"/>
                    <w:keepLines w:val="on"/>
                  </w:pPr>
                  <w:r>
                    <w:t>CY151,93</w:t>
                  </w:r>
                </w:p>
              </w:tc>
              <w:tc>
                <w:tcPr>
                  <w:tcW w:type="auto" w:w="0"/>
                  <w:shd w:val="clear" w:color="auto" w:fill="F0F0F0"/>
                </w:tcPr>
                <w:p>
                  <w:pPr>
                    <w:pStyle w:val="Normal"/>
                    <w:keepLines w:val="on"/>
                  </w:pPr>
                  <w:r>
                    <w:t>149,97%</w:t>
                  </w:r>
                </w:p>
              </w:tc>
              <w:tc>
                <w:tcPr>
                  <w:tcW w:type="auto" w:w="0"/>
                  <w:shd w:val="clear" w:color="auto" w:fill="F0F0F0"/>
                </w:tcPr>
                <w:p>
                  <w:pPr>
                    <w:pStyle w:val="Para 02"/>
                    <w:keepLines w:val="on"/>
                  </w:pPr>
                  <w:r>
                    <w:t>−CY75,92</w:t>
                  </w:r>
                </w:p>
              </w:tc>
              <w:tc>
                <w:tcPr>
                  <w:tcW w:type="auto" w:w="0"/>
                  <w:shd w:val="clear" w:color="auto" w:fill="F0F0F0"/>
                </w:tcPr>
                <w:p>
                  <w:pPr>
                    <w:pStyle w:val="Normal"/>
                    <w:keepLines w:val="on"/>
                  </w:pPr>
                  <w:r>
                    <w:t>14,71%</w:t>
                  </w:r>
                </w:p>
              </w:tc>
              <w:tc>
                <w:tcPr>
                  <w:tcW w:type="auto" w:w="0"/>
                  <w:shd w:val="clear" w:color="auto" w:fill="F0F0F0"/>
                </w:tcPr>
                <w:p>
                  <w:pPr>
                    <w:pStyle w:val="Para 02"/>
                    <w:keepLines w:val="on"/>
                  </w:pPr>
                  <w:r>
                    <w:t>−CY57,70</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44,91%</w:t>
                  </w:r>
                </w:p>
              </w:tc>
              <w:tc>
                <w:tcPr>
                  <w:tcW w:type="auto" w:w="0"/>
                  <w:shd w:val="clear" w:color="auto" w:fill="F0F0F0"/>
                </w:tcPr>
                <w:p>
                  <w:pPr>
                    <w:pStyle w:val="Para 02"/>
                    <w:keepLines w:val="on"/>
                  </w:pPr>
                  <w:r>
                    <w:t>CY220,16</w:t>
                  </w:r>
                </w:p>
              </w:tc>
              <w:tc>
                <w:tcPr>
                  <w:tcW w:type="auto" w:w="0"/>
                  <w:shd w:val="clear" w:color="auto" w:fill="F0F0F0"/>
                </w:tcPr>
                <w:p>
                  <w:pPr>
                    <w:pStyle w:val="Normal"/>
                    <w:keepLines w:val="on"/>
                  </w:pPr>
                  <w:r>
                    <w:t>149,97%</w:t>
                  </w:r>
                </w:p>
              </w:tc>
              <w:tc>
                <w:tcPr>
                  <w:tcW w:type="auto" w:w="0"/>
                  <w:shd w:val="clear" w:color="auto" w:fill="F0F0F0"/>
                </w:tcPr>
                <w:p>
                  <w:pPr>
                    <w:pStyle w:val="Para 02"/>
                    <w:keepLines w:val="on"/>
                  </w:pPr>
                  <w:r>
                    <w:t>−CY 110,02</w:t>
                  </w:r>
                </w:p>
              </w:tc>
              <w:tc>
                <w:tcPr>
                  <w:tcW w:type="auto" w:w="0"/>
                  <w:shd w:val="clear" w:color="auto" w:fill="F0F0F0"/>
                </w:tcPr>
                <w:p>
                  <w:pPr>
                    <w:pStyle w:val="Normal"/>
                    <w:keepLines w:val="on"/>
                  </w:pPr>
                  <w:r>
                    <w:t>14,71%</w:t>
                  </w:r>
                </w:p>
              </w:tc>
              <w:tc>
                <w:tcPr>
                  <w:tcW w:type="auto" w:w="0"/>
                  <w:shd w:val="clear" w:color="auto" w:fill="F0F0F0"/>
                </w:tcPr>
                <w:p>
                  <w:pPr>
                    <w:pStyle w:val="Para 02"/>
                    <w:keepLines w:val="on"/>
                  </w:pPr>
                  <w:r>
                    <w:t>−CY72,89</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44,91%</w:t>
                  </w:r>
                </w:p>
              </w:tc>
              <w:tc>
                <w:tcPr>
                  <w:tcW w:type="auto" w:w="0"/>
                  <w:shd w:val="clear" w:color="auto" w:fill="F0F0F0"/>
                </w:tcPr>
                <w:p>
                  <w:pPr>
                    <w:pStyle w:val="Para 02"/>
                    <w:keepLines w:val="on"/>
                  </w:pPr>
                  <w:r>
                    <w:t>CY319,03</w:t>
                  </w:r>
                </w:p>
              </w:tc>
              <w:tc>
                <w:tcPr>
                  <w:tcW w:type="auto" w:w="0"/>
                  <w:shd w:val="clear" w:color="auto" w:fill="F0F0F0"/>
                </w:tcPr>
                <w:p>
                  <w:pPr>
                    <w:pStyle w:val="Normal"/>
                    <w:keepLines w:val="on"/>
                  </w:pPr>
                  <w:r>
                    <w:t>149,97%</w:t>
                  </w:r>
                </w:p>
              </w:tc>
              <w:tc>
                <w:tcPr>
                  <w:tcW w:type="auto" w:w="0"/>
                  <w:shd w:val="clear" w:color="auto" w:fill="F0F0F0"/>
                </w:tcPr>
                <w:p>
                  <w:pPr>
                    <w:pStyle w:val="Para 02"/>
                    <w:keepLines w:val="on"/>
                  </w:pPr>
                  <w:r>
                    <w:t>−CY 159,43</w:t>
                  </w:r>
                </w:p>
              </w:tc>
              <w:tc>
                <w:tcPr>
                  <w:tcW w:type="auto" w:w="0"/>
                  <w:shd w:val="clear" w:color="auto" w:fill="F0F0F0"/>
                </w:tcPr>
                <w:p>
                  <w:pPr>
                    <w:pStyle w:val="Normal"/>
                    <w:keepLines w:val="on"/>
                  </w:pPr>
                  <w:r>
                    <w:t>14,71%</w:t>
                  </w:r>
                </w:p>
              </w:tc>
              <w:tc>
                <w:tcPr>
                  <w:tcW w:type="auto" w:w="0"/>
                  <w:shd w:val="clear" w:color="auto" w:fill="F0F0F0"/>
                </w:tcPr>
                <w:p>
                  <w:pPr>
                    <w:pStyle w:val="Para 02"/>
                    <w:keepLines w:val="on"/>
                  </w:pPr>
                  <w:r>
                    <w:t>−CY 92,08</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44,91%</w:t>
                  </w:r>
                </w:p>
              </w:tc>
              <w:tc>
                <w:tcPr>
                  <w:tcW w:type="auto" w:w="0"/>
                  <w:shd w:val="clear" w:color="auto" w:fill="F0F0F0"/>
                </w:tcPr>
                <w:p>
                  <w:pPr>
                    <w:pStyle w:val="Para 02"/>
                    <w:keepLines w:val="on"/>
                  </w:pPr>
                  <w:r>
                    <w:t>CY462,29</w:t>
                  </w:r>
                </w:p>
              </w:tc>
              <w:tc>
                <w:tcPr>
                  <w:tcW w:type="auto" w:w="0"/>
                  <w:shd w:val="clear" w:color="auto" w:fill="F0F0F0"/>
                </w:tcPr>
                <w:p>
                  <w:pPr>
                    <w:pStyle w:val="Normal"/>
                    <w:keepLines w:val="on"/>
                  </w:pPr>
                  <w:r>
                    <w:t>149,97%</w:t>
                  </w:r>
                </w:p>
              </w:tc>
              <w:tc>
                <w:tcPr>
                  <w:tcW w:type="auto" w:w="0"/>
                  <w:shd w:val="clear" w:color="auto" w:fill="F0F0F0"/>
                </w:tcPr>
                <w:p>
                  <w:pPr>
                    <w:pStyle w:val="Para 02"/>
                    <w:keepLines w:val="on"/>
                  </w:pPr>
                  <w:r>
                    <w:t>−CY 231,02</w:t>
                  </w:r>
                </w:p>
              </w:tc>
              <w:tc>
                <w:tcPr>
                  <w:tcW w:type="auto" w:w="0"/>
                  <w:shd w:val="clear" w:color="auto" w:fill="F0F0F0"/>
                </w:tcPr>
                <w:p>
                  <w:pPr>
                    <w:pStyle w:val="Normal"/>
                    <w:keepLines w:val="on"/>
                  </w:pPr>
                  <w:r>
                    <w:t>14,71%</w:t>
                  </w:r>
                </w:p>
              </w:tc>
              <w:tc>
                <w:tcPr>
                  <w:tcW w:type="auto" w:w="0"/>
                  <w:shd w:val="clear" w:color="auto" w:fill="F0F0F0"/>
                </w:tcPr>
                <w:p>
                  <w:pPr>
                    <w:pStyle w:val="Para 02"/>
                    <w:keepLines w:val="on"/>
                  </w:pPr>
                  <w:r>
                    <w:t>−CY 116,32</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37,93%</w:t>
                  </w:r>
                </w:p>
              </w:tc>
              <w:tc>
                <w:tcPr>
                  <w:tcW w:type="auto" w:w="0"/>
                  <w:shd w:val="clear" w:color="auto" w:fill="F0F0F0"/>
                </w:tcPr>
                <w:p>
                  <w:pPr>
                    <w:pStyle w:val="Para 02"/>
                    <w:keepLines w:val="on"/>
                  </w:pPr>
                  <w:r>
                    <w:t>CY637,61</w:t>
                  </w:r>
                </w:p>
              </w:tc>
              <w:tc>
                <w:tcPr>
                  <w:tcW w:type="auto" w:w="0"/>
                  <w:shd w:val="clear" w:color="auto" w:fill="F0F0F0"/>
                </w:tcPr>
                <w:p>
                  <w:pPr>
                    <w:pStyle w:val="Normal"/>
                    <w:keepLines w:val="on"/>
                  </w:pPr>
                  <w:r>
                    <w:t>129,98%</w:t>
                  </w:r>
                </w:p>
              </w:tc>
              <w:tc>
                <w:tcPr>
                  <w:tcW w:type="auto" w:w="0"/>
                  <w:shd w:val="clear" w:color="auto" w:fill="F0F0F0"/>
                </w:tcPr>
                <w:p>
                  <w:pPr>
                    <w:pStyle w:val="Para 02"/>
                    <w:keepLines w:val="on"/>
                  </w:pPr>
                  <w:r>
                    <w:t>−CY 191,14</w:t>
                  </w:r>
                </w:p>
              </w:tc>
              <w:tc>
                <w:tcPr>
                  <w:tcW w:type="auto" w:w="0"/>
                  <w:shd w:val="clear" w:color="auto" w:fill="F0F0F0"/>
                </w:tcPr>
                <w:p>
                  <w:pPr>
                    <w:pStyle w:val="Normal"/>
                    <w:keepLines w:val="on"/>
                  </w:pPr>
                  <w:r>
                    <w:t>14,56%</w:t>
                  </w:r>
                </w:p>
              </w:tc>
              <w:tc>
                <w:tcPr>
                  <w:tcW w:type="auto" w:w="0"/>
                  <w:shd w:val="clear" w:color="auto" w:fill="F0F0F0"/>
                </w:tcPr>
                <w:p>
                  <w:pPr>
                    <w:pStyle w:val="Para 02"/>
                    <w:keepLines w:val="on"/>
                  </w:pPr>
                  <w:r>
                    <w:t>−CY 84,01</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30,94%</w:t>
                  </w:r>
                </w:p>
              </w:tc>
              <w:tc>
                <w:tcPr>
                  <w:tcW w:type="auto" w:w="0"/>
                  <w:shd w:val="clear" w:color="auto" w:fill="F0F0F0"/>
                </w:tcPr>
                <w:p>
                  <w:pPr>
                    <w:pStyle w:val="Para 02"/>
                    <w:keepLines w:val="on"/>
                  </w:pPr>
                  <w:r>
                    <w:t>CY834,92</w:t>
                  </w:r>
                </w:p>
              </w:tc>
              <w:tc>
                <w:tcPr>
                  <w:tcW w:type="auto" w:w="0"/>
                  <w:shd w:val="clear" w:color="auto" w:fill="F0F0F0"/>
                </w:tcPr>
                <w:p>
                  <w:pPr>
                    <w:pStyle w:val="Normal"/>
                    <w:keepLines w:val="on"/>
                  </w:pPr>
                  <w:r>
                    <w:t>109,98%</w:t>
                  </w:r>
                </w:p>
              </w:tc>
              <w:tc>
                <w:tcPr>
                  <w:tcW w:type="auto" w:w="0"/>
                  <w:shd w:val="clear" w:color="auto" w:fill="F0F0F0"/>
                </w:tcPr>
                <w:p>
                  <w:pPr>
                    <w:pStyle w:val="Para 02"/>
                    <w:keepLines w:val="on"/>
                  </w:pPr>
                  <w:r>
                    <w:t>CY83,35</w:t>
                  </w:r>
                </w:p>
              </w:tc>
              <w:tc>
                <w:tcPr>
                  <w:tcW w:type="auto" w:w="0"/>
                  <w:shd w:val="clear" w:color="auto" w:fill="F0F0F0"/>
                </w:tcPr>
                <w:p>
                  <w:pPr>
                    <w:pStyle w:val="Normal"/>
                    <w:keepLines w:val="on"/>
                  </w:pPr>
                  <w:r>
                    <w:t>14,41%</w:t>
                  </w:r>
                </w:p>
              </w:tc>
              <w:tc>
                <w:tcPr>
                  <w:tcW w:type="auto" w:w="0"/>
                  <w:shd w:val="clear" w:color="auto" w:fill="F0F0F0"/>
                </w:tcPr>
                <w:p>
                  <w:pPr>
                    <w:pStyle w:val="Para 02"/>
                    <w:keepLines w:val="on"/>
                  </w:pPr>
                  <w:r>
                    <w:t>−CY 32,02</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23,96%</w:t>
                  </w:r>
                </w:p>
              </w:tc>
              <w:tc>
                <w:tcPr>
                  <w:tcW w:type="auto" w:w="0"/>
                  <w:shd w:val="clear" w:color="auto" w:fill="F0F0F0"/>
                </w:tcPr>
                <w:p>
                  <w:pPr>
                    <w:pStyle w:val="Para 02"/>
                    <w:keepLines w:val="on"/>
                  </w:pPr>
                  <w:r>
                    <w:t>CY 1.034,98</w:t>
                  </w:r>
                </w:p>
              </w:tc>
              <w:tc>
                <w:tcPr>
                  <w:tcW w:type="auto" w:w="0"/>
                  <w:shd w:val="clear" w:color="auto" w:fill="F0F0F0"/>
                </w:tcPr>
                <w:p>
                  <w:pPr>
                    <w:pStyle w:val="Normal"/>
                    <w:keepLines w:val="on"/>
                  </w:pPr>
                  <w:r>
                    <w:t>89,99%</w:t>
                  </w:r>
                </w:p>
              </w:tc>
              <w:tc>
                <w:tcPr>
                  <w:tcW w:type="auto" w:w="0"/>
                  <w:shd w:val="clear" w:color="auto" w:fill="F0F0F0"/>
                </w:tcPr>
                <w:p>
                  <w:pPr>
                    <w:pStyle w:val="Para 02"/>
                    <w:keepLines w:val="on"/>
                  </w:pPr>
                  <w:r>
                    <w:t>CY 103,61</w:t>
                  </w:r>
                </w:p>
              </w:tc>
              <w:tc>
                <w:tcPr>
                  <w:tcW w:type="auto" w:w="0"/>
                  <w:shd w:val="clear" w:color="auto" w:fill="F0F0F0"/>
                </w:tcPr>
                <w:p>
                  <w:pPr>
                    <w:pStyle w:val="Normal"/>
                    <w:keepLines w:val="on"/>
                  </w:pPr>
                  <w:r>
                    <w:t>14,26%</w:t>
                  </w:r>
                </w:p>
              </w:tc>
              <w:tc>
                <w:tcPr>
                  <w:tcW w:type="auto" w:w="0"/>
                  <w:shd w:val="clear" w:color="auto" w:fill="F0F0F0"/>
                </w:tcPr>
                <w:p>
                  <w:pPr>
                    <w:pStyle w:val="Para 02"/>
                    <w:keepLines w:val="on"/>
                  </w:pPr>
                  <w:r>
                    <w:t>CY 34,83</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16,98%</w:t>
                  </w:r>
                </w:p>
              </w:tc>
              <w:tc>
                <w:tcPr>
                  <w:tcW w:type="auto" w:w="0"/>
                  <w:shd w:val="clear" w:color="auto" w:fill="F0F0F0"/>
                </w:tcPr>
                <w:p>
                  <w:pPr>
                    <w:pStyle w:val="Para 02"/>
                    <w:keepLines w:val="on"/>
                  </w:pPr>
                  <w:r>
                    <w:t>CY 1.210,74</w:t>
                  </w:r>
                </w:p>
              </w:tc>
              <w:tc>
                <w:tcPr>
                  <w:tcW w:type="auto" w:w="0"/>
                  <w:shd w:val="clear" w:color="auto" w:fill="F0F0F0"/>
                </w:tcPr>
                <w:p>
                  <w:pPr>
                    <w:pStyle w:val="Normal"/>
                    <w:keepLines w:val="on"/>
                  </w:pPr>
                  <w:r>
                    <w:t>69,99%</w:t>
                  </w:r>
                </w:p>
              </w:tc>
              <w:tc>
                <w:tcPr>
                  <w:tcW w:type="auto" w:w="0"/>
                  <w:shd w:val="clear" w:color="auto" w:fill="F0F0F0"/>
                </w:tcPr>
                <w:p>
                  <w:pPr>
                    <w:pStyle w:val="Para 02"/>
                    <w:keepLines w:val="on"/>
                  </w:pPr>
                  <w:r>
                    <w:t>CY 363,29</w:t>
                  </w:r>
                </w:p>
              </w:tc>
              <w:tc>
                <w:tcPr>
                  <w:tcW w:type="auto" w:w="0"/>
                  <w:shd w:val="clear" w:color="auto" w:fill="F0F0F0"/>
                </w:tcPr>
                <w:p>
                  <w:pPr>
                    <w:pStyle w:val="Normal"/>
                    <w:keepLines w:val="on"/>
                  </w:pPr>
                  <w:r>
                    <w:t>14,11%</w:t>
                  </w:r>
                </w:p>
              </w:tc>
              <w:tc>
                <w:tcPr>
                  <w:tcW w:type="auto" w:w="0"/>
                  <w:shd w:val="clear" w:color="auto" w:fill="F0F0F0"/>
                </w:tcPr>
                <w:p>
                  <w:pPr>
                    <w:pStyle w:val="Para 02"/>
                    <w:keepLines w:val="on"/>
                  </w:pPr>
                  <w:r>
                    <w:t>CY 107,04</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10,00%</w:t>
                  </w:r>
                </w:p>
              </w:tc>
              <w:tc>
                <w:tcPr>
                  <w:tcW w:type="auto" w:w="0"/>
                  <w:shd w:val="clear" w:color="auto" w:fill="F0F0F0"/>
                </w:tcPr>
                <w:p>
                  <w:pPr>
                    <w:pStyle w:val="Para 02"/>
                    <w:keepLines w:val="on"/>
                  </w:pPr>
                  <w:r>
                    <w:t>CY 1.331,81</w:t>
                  </w:r>
                </w:p>
              </w:tc>
              <w:tc>
                <w:tcPr>
                  <w:tcW w:type="auto" w:w="0"/>
                  <w:shd w:val="clear" w:color="auto" w:fill="F0F0F0"/>
                </w:tcPr>
                <w:p>
                  <w:pPr>
                    <w:pStyle w:val="Normal"/>
                    <w:keepLines w:val="on"/>
                  </w:pPr>
                  <w:r>
                    <w:t>50,00%</w:t>
                  </w:r>
                </w:p>
              </w:tc>
              <w:tc>
                <w:tcPr>
                  <w:tcW w:type="auto" w:w="0"/>
                  <w:shd w:val="clear" w:color="auto" w:fill="F0F0F0"/>
                </w:tcPr>
                <w:p>
                  <w:pPr>
                    <w:pStyle w:val="Para 02"/>
                    <w:keepLines w:val="on"/>
                  </w:pPr>
                  <w:r>
                    <w:t>CY 665,91</w:t>
                  </w:r>
                </w:p>
              </w:tc>
              <w:tc>
                <w:tcPr>
                  <w:tcW w:type="auto" w:w="0"/>
                  <w:shd w:val="clear" w:color="auto" w:fill="F0F0F0"/>
                </w:tcPr>
                <w:p>
                  <w:pPr>
                    <w:pStyle w:val="Normal"/>
                    <w:keepLines w:val="on"/>
                  </w:pPr>
                  <w:r>
                    <w:t>13,96%</w:t>
                  </w:r>
                </w:p>
              </w:tc>
              <w:tc>
                <w:tcPr>
                  <w:tcW w:type="auto" w:w="0"/>
                  <w:shd w:val="clear" w:color="auto" w:fill="F0F0F0"/>
                </w:tcPr>
                <w:p>
                  <w:pPr>
                    <w:pStyle w:val="Para 02"/>
                    <w:keepLines w:val="on"/>
                  </w:pPr>
                  <w:r>
                    <w:t>CY 172,16</w:t>
                  </w:r>
                </w:p>
              </w:tc>
            </w:tr>
            <w:tr>
              <w:tc>
                <w:tcPr>
                  <w:tcW w:type="auto" w:w="0"/>
                  <w:shd w:val="clear" w:color="auto" w:fill="F0F0F0"/>
                  <w:hMerge w:val="restart"/>
                </w:tcPr>
                <w:p>
                  <w:pPr>
                    <w:pStyle w:val="Para 02"/>
                    <w:keepLines w:val="on"/>
                  </w:pPr>
                  <w:r>
                    <w:t>Tổng giá trị hiện tại của FCFE trong giai đoạn tăng trưởng cao =</w:t>
                  </w:r>
                </w:p>
              </w:tc>
              <w:tc>
                <w:tcPr>
                  <w:hMerge w:val="continue"/>
                </w:tcPr>
                <w:p/>
              </w:tc>
              <w:tc>
                <w:tcPr>
                  <w:hMerge w:val="continue"/>
                </w:tcPr>
                <w:p/>
              </w:tc>
              <w:tc>
                <w:tcPr>
                  <w:hMerge w:val="continue"/>
                </w:tcPr>
                <w:p/>
              </w:tc>
              <w:tc>
                <w:tcPr>
                  <w:hMerge w:val="continue"/>
                </w:tcPr>
                <w:p/>
              </w:tc>
              <w:tc>
                <w:tcPr>
                  <w:hMerge w:val="continue"/>
                </w:tcPr>
                <w:p/>
              </w:tc>
              <w:tc>
                <w:tcPr>
                  <w:tcW w:type="auto" w:w="0"/>
                  <w:shd w:val="clear" w:color="auto" w:fill="F0F0F0"/>
                </w:tcPr>
                <w:p>
                  <w:pPr>
                    <w:pStyle w:val="Para 02"/>
                    <w:keepLines w:val="on"/>
                  </w:pPr>
                  <w:r>
                    <w:t>−CY 186,65</w:t>
                  </w:r>
                </w:p>
              </w:tc>
            </w:tr>
          </w:tbl>
          <w:p/>
        </w:tc>
      </w:tr>
    </w:tbl>
    <w:p>
      <w:pPr>
        <w:pStyle w:val="Para 04"/>
        <w:keepLines w:val="on"/>
      </w:pPr>
      <w:r>
        <w:t>Để ước tính giá trị cuối kỳ của vốn chủ sở hữu, chúng ta sử dụng thu nhập ròng của năm thứ 11, giảm nó đi bằng nhu cầu tái đầu tư vốn chủ sở hữu trong năm đó, và sau đó giả định tốc độ tăng trưởng vĩnh viễn là 10%, đặt bằng lãi suất phi rủi ro của đồng Nhân dân tệ, để có được giá trị:</w:t>
      </w:r>
    </w:p>
    <w:p>
      <w:bookmarkStart w:id="2812" w:name="Expected_stable_growth_rate_10_E"/>
      <w:pPr>
        <w:keepNext/>
        <w:pStyle w:val="Para 07"/>
        <w:keepLines w:val="on"/>
      </w:pPr>
      <w:r>
        <w:t>Tốc độ tăng trưởng ổn định kỳ vọng = 10% Tỷ lệ tái đầu tư vốn chủ sở hữu trong tăng trưởng ổn định = 50% Chi phí vốn chủ sở hữu trong tăng trưởng ổn định = 13,96%</w:t>
      </w:r>
      <w:bookmarkEnd w:id="2812"/>
    </w:p>
    <w:p>
      <w:bookmarkStart w:id="2813" w:name="Expected_FCFE_in_year_11_Net_inc"/>
      <w:pPr>
        <w:keepNext/>
        <w:pStyle w:val="Para 07"/>
        <w:keepLines w:val="on"/>
      </w:pPr>
      <w:r>
        <w:t>FCFE kỳ vọng trong năm 11 = Thu nhập ròng₁₁ × (1 - Tỷ lệ tái đầu tư vốn chủ sở hữu giai đoạn ổn định) = CY1.331,81(1,10)(1−,5) = CY732,50 triệu</w:t>
      </w:r>
      <w:bookmarkEnd w:id="2813"/>
    </w:p>
    <w:p>
      <w:bookmarkStart w:id="2814" w:name="Terminal_value_of_equity_in_Tsin"/>
      <w:pPr>
        <w:keepNext/>
        <w:pStyle w:val="Para 07"/>
        <w:keepLines w:val="on"/>
      </w:pPr>
      <w:r>
        <w:t>Giá trị cuối kỳ của vốn chủ sở hữu tại Tsingtao Breweries = FCFE₁₁/(Chi phí vốn chủ sở hữu giai đoạn ổn định - Tốc độ tăng trưởng ổn định) = 732,5/(,1396−,10) = CY18.497 triệu</w:t>
      </w:r>
      <w:bookmarkEnd w:id="2814"/>
    </w:p>
    <w:p>
      <w:pPr>
        <w:pStyle w:val="Para 04"/>
        <w:keepLines w:val="on"/>
      </w:pPr>
      <w:r>
        <w:t>Để ước tính giá trị vốn chủ sở hữu ngày hôm nay, chúng ta cộng giá trị hiện tại của FCFE trong giai đoạn tăng trưởng cao và cộng thêm vào đó giá trị hiện tại của giá trị cuối kỳ của vốn chủ sở hữu:</w:t>
      </w:r>
    </w:p>
    <w:p>
      <w:bookmarkStart w:id="2815" w:name="Value_of_equity_PV_of_FCFE_durin"/>
      <w:pPr>
        <w:keepNext/>
        <w:pStyle w:val="Para 07"/>
        <w:keepLines w:val="on"/>
      </w:pPr>
      <w:r>
        <w:t>Giá trị vốn chủ sở hữu = PV của FCFE trong giai đoạn tăng trưởng cao + PV của giá trị cuối kỳ = −CY186,65 + CY18.497/(1,14715×1,1456×1,1441×1,1426×1,1411×1,1396) = CY4.596 triệu Giá trị vốn chủ sở hữu trên mỗi cổ phần = Giá trị vốn chủ sở hữu/Số lượng cổ phần = CY4.596/653,15 = CY7,04 mỗi cổ phần</w:t>
      </w:r>
      <w:bookmarkEnd w:id="2815"/>
    </w:p>
    <w:p>
      <w:pPr>
        <w:pStyle w:val="Para 04"/>
        <w:keepLines w:val="on"/>
      </w:pPr>
      <w:r>
        <w:t>Cổ phiếu đang được giao dịch ở mức 10,10 nhân dân tệ mỗi cổ phần, điều này khiến nó bị định giá quá cao dựa trên định giá này.</w:t>
      </w:r>
    </w:p>
    <w:p>
      <w:pPr>
        <w:pStyle w:val="Para 11"/>
      </w:pPr>
      <w:r>
        <w:t xml:space="preserve"> </w:t>
      </w:r>
    </w:p>
    <w:p>
      <w:bookmarkStart w:id="2816" w:name="Negative_FCFE__Equity_Dilution"/>
      <w:bookmarkStart w:id="2817" w:name="Negative_FCFE__Equity_Dilution_1"/>
      <w:pPr>
        <w:keepNext/>
        <w:pStyle w:val="Para 27"/>
        <w:keepLines w:val="on"/>
      </w:pPr>
      <w:r>
        <w:t>FCFE âm, pha loãng vốn chủ sở hữu và giá trị trên mỗi cổ phần</w:t>
      </w:r>
      <w:bookmarkEnd w:id="2816"/>
      <w:bookmarkEnd w:id="2817"/>
    </w:p>
    <w:p>
      <w:pPr>
        <w:pStyle w:val="Para 16"/>
        <w:keepLines w:val="on"/>
      </w:pPr>
      <w:r>
        <w:t>Khác với cổ tức, dòng tiền tự do cho vốn chủ sở hữu có thể âm. Điều này có thể xảy ra hoặc vì thu nhập ròng âm hoặc vì nhu cầu tái đầu tư của công ty là đáng kể; đây là trường hợp của Tsingtao trong Minh họa 14.5. Chi tiêu vốn ròng và nhu cầu vốn lưu động phát sinh lớn hơn nhiều so với thu nhập ròng. Trên thực tế, điều này có khả năng xảy ra khá thường xuyên với các công ty tăng trưởng cao.</w:t>
      </w:r>
    </w:p>
    <w:p>
      <w:pPr>
        <w:pStyle w:val="Para 16"/>
        <w:keepLines w:val="on"/>
      </w:pPr>
      <w:r>
        <w:t>Mô hình FCFE đủ linh hoạt để xử lý vấn đề này. Dòng tiền tự do cho vốn chủ sở hữu sẽ âm khi công ty tái đầu tư một lượng đáng kể để tạo ra tăng trưởng cao. Khi tăng trưởng giảm xuống, nhu cầu tái đầu tư cũng giảm đi và dòng tiền tự do cho vốn chủ sở hữu chuyển sang dương.</w:t>
      </w:r>
    </w:p>
    <w:p>
      <w:pPr>
        <w:pStyle w:val="Para 16"/>
        <w:keepLines w:val="on"/>
      </w:pPr>
      <w:r>
        <w:t>Tuy nhiên, theo trực giác, hãy xem xét ý nghĩa của dòng tiền tự do cho vốn chủ sở hữu âm. Nó cho thấy rằng công ty không tạo ra đủ dòng tiền vốn chủ sở hữu từ hoạt động hiện tại để đáp ứng nhu cầu tái đầu tư vốn chủ sở hữu của mình. Vì dòng tiền tự do cho vốn chủ sở hữu là sau khi phát hành nợ ròng, công ty sẽ phải phát hành vốn chủ sở hữu mới trong những năm dòng tiền âm. Sự pha loãng dự kiến trong những năm tới sẽ làm giảm giá trị vốn chủ sở hữu trên mỗi cổ phần ngày hôm nay. Trong mô hình FCFE, dòng tiền tự do cho vốn chủ sở hữu âm trong những năm đầu sẽ làm giảm giá trị vốn chủ sở hữu ước tính ngày hôm nay. Do đó, hiệu ứng pha loãng được nắm bắt trong giá trị hiện tại, và không cần xem xét thêm về việc phát hành cổ phiếu mới trong những năm tới và ảnh hưởng đến giá trị trên mỗi cổ phần ngày hôm nay.</w:t>
      </w:r>
    </w:p>
    <w:p>
      <w:pPr>
        <w:pStyle w:val="Para 11"/>
      </w:pPr>
      <w:r>
        <w:t xml:space="preserve"> </w:t>
      </w:r>
    </w:p>
    <w:p>
      <w:bookmarkStart w:id="2819" w:name="FCFE3st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39"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2819"/>
    </w:p>
    <w:p>
      <w:pPr>
        <w:pStyle w:val="Para 31"/>
        <w:keepLines w:val="on"/>
      </w:pPr>
      <w:r>
        <w:t>FCFE3st.xls: Bảng tính này cho phép bạn định giá một công ty với một giai đoạn tăng trưởng cao tạm thời trong FCFE, tiếp theo là giai đoạn chuyển tiếp, rồi đến tăng trưởng ổn định</w:t>
      </w:r>
    </w:p>
    <w:p>
      <w:pPr>
        <w:pStyle w:val="Para 03"/>
        <w:keepLines w:val="on"/>
      </w:pPr>
      <w:r>
        <w:t>.</w:t>
      </w:r>
    </w:p>
    <w:p>
      <w:bookmarkStart w:id="2820" w:name="FCFE_Valuation_Versus_Dividend_D"/>
      <w:bookmarkStart w:id="2821" w:name="FCFE_Valuation_Versus_Dividend_D_1"/>
      <w:pPr>
        <w:keepNext/>
        <w:pStyle w:val="Heading 2"/>
        <w:keepLines w:val="on"/>
      </w:pPr>
      <w:r>
        <w:t>Định giá bằng FCFE so với định giá bằng mô hình chiết khấu cổ tức</w:t>
      </w:r>
      <w:bookmarkEnd w:id="2820"/>
      <w:bookmarkEnd w:id="2821"/>
    </w:p>
    <w:p>
      <w:pPr>
        <w:pStyle w:val="Para 03"/>
      </w:pPr>
      <w:r>
        <w:t>Mô hình dòng tiền chiết khấu sử dụng FCFE có thể được xem như một giải pháp thay thế cho mô hình chiết khấu cổ tức. Vì hai phương pháp đôi khi đưa ra các ước tính giá trị khác nhau, nên đáng để xem xét khi nào chúng đưa ra các ước tính giá trị tương tự nhau, khi nào chúng đưa ra các ước tính giá trị khác nhau, và sự khác biệt đó cho chúng ta biết điều gì về công ty.</w:t>
      </w:r>
    </w:p>
    <w:p>
      <w:bookmarkStart w:id="2822" w:name="When_They_Are_Similar"/>
      <w:bookmarkStart w:id="2823" w:name="When_They_Are_Similar__There_are"/>
      <w:pPr>
        <w:keepNext/>
        <w:pStyle w:val="Heading 3"/>
        <w:keepLines w:val="on"/>
      </w:pPr>
      <w:r>
        <w:t>Khi chúng tương tự nhau</w:t>
      </w:r>
      <w:bookmarkEnd w:id="2822"/>
      <w:bookmarkEnd w:id="2823"/>
    </w:p>
    <w:p>
      <w:pPr>
        <w:pStyle w:val="Para 03"/>
      </w:pPr>
      <w:r>
        <w:t>Có hai điều kiện mà theo đó giá trị từ việc sử dụng FCFE trong định giá dòng tiền chiết khấu sẽ giống với giá trị thu được từ việc sử dụng mô hình chiết khấu cổ tức. Điều kiện đầu tiên là điều hiển nhiên, khi cổ tức bằng với FCFE. Điều kiện thứ hai tinh tế hơn, khi FCFE lớn hơn cổ tức, nhưng lượng tiền mặt dư thừa (FCFE trừ cổ tức) được đầu tư vào các dự án có giá trị hiện tại ròng bằng không. (Ví dụ, đầu tư vào các tài sản tài chính được định giá hợp lý sẽ mang lại giá trị hiện tại ròng bằng không.)</w:t>
      </w:r>
    </w:p>
    <w:p>
      <w:bookmarkStart w:id="2824" w:name="When_They_Are_Different__There_a"/>
      <w:bookmarkStart w:id="2825" w:name="When_They_Are_Different"/>
      <w:pPr>
        <w:keepNext/>
        <w:pStyle w:val="Heading 3"/>
        <w:keepLines w:val="on"/>
      </w:pPr>
      <w:r>
        <w:t>Khi chúng khác nhau</w:t>
      </w:r>
      <w:bookmarkEnd w:id="2824"/>
      <w:bookmarkEnd w:id="2825"/>
    </w:p>
    <w:p>
      <w:pPr>
        <w:pStyle w:val="Para 03"/>
      </w:pPr>
      <w:r>
        <w:t>Có một số trường hợp mà hai mô hình sẽ đưa ra các ước tính giá trị khác nhau. Thứ nhất, khi FCFE lớn hơn cổ tức, và lượng tiền mặt dư thừa hoặc là kiếm được lãi suất thấp hơn lãi suất thị trường, hoặc là được đầu tư vào các dự án có giá trị hiện tại ròng âm, thì giá trị từ mô hình FCFE sẽ lớn hơn giá trị từ mô hình chiết khấu cổ tức. Có lý do để tin rằng điều này không hề hiếm gặp như thoạt nhìn. Có rất nhiều nghiên cứu điển hình về các công ty, sau khi tích lũy được số dư tiền mặt lớn — nhờ trả cổ tức thấp so với FCFE — đã chọn dùng số tiền mặt này để tài trợ cho những thương vụ thâu tóm thiếu khôn ngoan (nơi mức giá phải trả lớn hơn giá trị nhận được từ thương vụ thâu tóm). Thứ hai, việc chi trả cổ tức ít hơn mức mà công ty có thể chi trả có thể dẫn đến tỷ lệ nợ thấp hơn và chi phí vốn cao hơn, gây ra sự sụt giảm giá trị.</w:t>
      </w:r>
    </w:p>
    <w:p>
      <w:pPr>
        <w:pStyle w:val="Para 03"/>
      </w:pPr>
      <w:r>
        <w:t>Trong những trường hợp cổ tức lớn hơn FCFE, công ty sẽ phải phát hành cổ phiếu mới hoặc nợ mới để chi trả cổ tức này, dẫn đến ít nhất ba hệ quả tiêu cực đối với giá trị. Một là chi phí phát hành cho các đợt phát hành chứng khoán này, vốn có thể rất lớn đối với phát hành cổ phiếu, tạo ra một khoản chi tiêu không cần thiết làm giảm giá trị. Thứ hai, nếu công ty vay tiền để chi trả cổ tức, công ty có thể trở nên vay nợ quá mức (so với mức tối ưu), khiến bản thân đối mặt với rủi ro kiệt quệ/vỡ nợ và dẫn đến sụt giảm giá trị. Cuối cùng, chi trả cổ tức quá nhiều có thể dẫn đến các ràng buộc hạn chế vốn, khiến những dự án tốt bị từ chối, dẫn đến sụt giảm giá trị.</w:t>
      </w:r>
    </w:p>
    <w:p>
      <w:pPr>
        <w:pStyle w:val="Para 03"/>
      </w:pPr>
      <w:r>
        <w:t>Có một khả năng thứ ba, và nó phản ánh những giả định khác nhau về tái đầu tư và tăng trưởng trong hai mô hình. Nếu cùng một tốc độ tăng trưởng được sử dụng trong mô hình chiết khấu cổ tức và mô hình FCFE, mô hình FCFE sẽ cho giá trị cao hơn mô hình chiết khấu cổ tức bất cứ khi nào FCFE lớn hơn cổ tức, và giá trị thấp hơn khi cổ tức vượt quá FCFE. Trên thực tế, tốc độ tăng trưởng của FCFE nên khác với tốc độ tăng trưởng của cổ tức, bởi vì dòng tiền tự do cho vốn chủ sở hữu được giả định là sẽ được chi trả cho các cổ đông. Điều này sẽ ảnh hưởng đến tỷ lệ tái đầu tư của công ty. Ngoài ra, tỷ suất sinh lời trên vốn chủ sở hữu (return on equity) được sử dụng trong mô hình FCFE nên phản ánh tỷ suất sinh lời trên vốn chủ sở hữu của các khoản đầu tư phi tiền mặt, trong khi tỷ suất sinh lời trên vốn chủ sở hữu được sử dụng trong mô hình chiết khấu cổ tức nên là tỷ suất sinh lời tổng thể trên vốn chủ sở hữu. Bảng 14.11 tóm tắt những khác biệt trong các giả định giữa hai mô hình.</w:t>
      </w:r>
    </w:p>
    <w:p>
      <w:pPr>
        <w:pStyle w:val="Para 34"/>
        <w:keepLines w:val="on"/>
      </w:pPr>
      <w:r>
        <w:t>Bảng 14.11</w:t>
      </w:r>
    </w:p>
    <w:p>
      <w:pPr>
        <w:keepNext/>
        <w:pStyle w:val="Para 35"/>
        <w:keepLines w:val="on"/>
      </w:pPr>
      <w:r>
        <w:t>Những khác biệt giữa mô hình DDM và mô hình FCFE</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29"/>
                    <w:keepLines w:val="on"/>
                  </w:pPr>
                  <w:r>
                    <w:t>Mô hình chiết khấu cổ tức</w:t>
                  </w:r>
                </w:p>
              </w:tc>
              <w:tc>
                <w:tcPr>
                  <w:tcW w:type="auto" w:w="0"/>
                  <w:shd w:val="clear" w:color="auto" w:fill="F0F0F0"/>
                </w:tcPr>
                <w:p>
                  <w:pPr>
                    <w:pStyle w:val="Para 29"/>
                    <w:keepLines w:val="on"/>
                  </w:pPr>
                  <w:r>
                    <w:t>Mô hình FCFE</w:t>
                  </w:r>
                </w:p>
              </w:tc>
            </w:tr>
            <w:tr>
              <w:tc>
                <w:tcPr>
                  <w:tcW w:type="auto" w:w="0"/>
                  <w:shd w:val="clear" w:color="auto" w:fill="F0F0F0"/>
                </w:tcPr>
                <w:p>
                  <w:pPr>
                    <w:pStyle w:val="Para 02"/>
                    <w:keepLines w:val="on"/>
                  </w:pPr>
                  <w:r>
                    <w:t>Giả định ngầm</w:t>
                  </w:r>
                </w:p>
              </w:tc>
              <w:tc>
                <w:tcPr>
                  <w:tcW w:type="auto" w:w="0"/>
                  <w:shd w:val="clear" w:color="auto" w:fill="F0F0F0"/>
                </w:tcPr>
                <w:p>
                  <w:pPr>
                    <w:pStyle w:val="Para 02"/>
                    <w:keepLines w:val="on"/>
                  </w:pPr>
                  <w:r>
                    <w:t>Chỉ có cổ tức được chi trả. Những phần còn lại của thu nhập được đầu tư trở lại vào công ty, một phần vào tài sản hoạt động và một phần vào tiền mặt và chứng khoán có thể bán được.</w:t>
                  </w:r>
                </w:p>
              </w:tc>
              <w:tc>
                <w:tcPr>
                  <w:tcW w:type="auto" w:w="0"/>
                  <w:shd w:val="clear" w:color="auto" w:fill="F0F0F0"/>
                </w:tcPr>
                <w:p>
                  <w:pPr>
                    <w:pStyle w:val="Para 02"/>
                    <w:keepLines w:val="on"/>
                  </w:pPr>
                  <w:r>
                    <w:t>FCFE được chi trả cho các cổ đông. Phần thu nhập còn lại chỉ được đầu tư vào tài sản hoạt động.</w:t>
                  </w:r>
                </w:p>
              </w:tc>
            </w:tr>
            <w:tr>
              <w:tc>
                <w:tcPr>
                  <w:tcW w:type="auto" w:w="0"/>
                  <w:shd w:val="clear" w:color="auto" w:fill="F0F0F0"/>
                </w:tcPr>
                <w:p>
                  <w:pPr>
                    <w:pStyle w:val="Para 02"/>
                    <w:keepLines w:val="on"/>
                  </w:pPr>
                  <w:r>
                    <w:t>Tăng trưởng kỳ vọng</w:t>
                  </w:r>
                </w:p>
              </w:tc>
              <w:tc>
                <w:tcPr>
                  <w:tcW w:type="auto" w:w="0"/>
                  <w:shd w:val="clear" w:color="auto" w:fill="F0F0F0"/>
                </w:tcPr>
                <w:p>
                  <w:pPr>
                    <w:pStyle w:val="Para 02"/>
                    <w:keepLines w:val="on"/>
                  </w:pPr>
                  <w:r>
                    <w:t>Đo lường tăng trưởng thu nhập từ cả tài sản hoạt động lẫn tài sản tiền mặt. Xét về các yếu tố cơ bản, nó là tích của tỷ lệ giữ lại và tỷ suất sinh lời trên vốn chủ sở hữu.</w:t>
                  </w:r>
                </w:p>
              </w:tc>
              <w:tc>
                <w:tcPr>
                  <w:tcW w:type="auto" w:w="0"/>
                  <w:shd w:val="clear" w:color="auto" w:fill="F0F0F0"/>
                </w:tcPr>
                <w:p>
                  <w:pPr>
                    <w:pStyle w:val="Para 02"/>
                    <w:keepLines w:val="on"/>
                  </w:pPr>
                  <w:r>
                    <w:t>Chỉ đo lường tăng trưởng thu nhập từ tài sản hoạt động. Xét về các yếu tố cơ bản, nó là tích của tỷ lệ tái đầu tư vốn chủ sở hữu và tỷ suất sinh lời trên vốn chủ sở hữu phi tiền mặt.</w:t>
                  </w:r>
                </w:p>
              </w:tc>
            </w:tr>
            <w:tr>
              <w:tc>
                <w:tcPr>
                  <w:tcW w:type="auto" w:w="0"/>
                  <w:shd w:val="clear" w:color="auto" w:fill="F0F0F0"/>
                </w:tcPr>
                <w:p>
                  <w:pPr>
                    <w:pStyle w:val="Para 02"/>
                    <w:keepLines w:val="on"/>
                  </w:pPr>
                  <w:r>
                    <w:t>Xử lý tiền mặt và chứng khoán có thể bán được</w:t>
                  </w:r>
                </w:p>
              </w:tc>
              <w:tc>
                <w:tcPr>
                  <w:tcW w:type="auto" w:w="0"/>
                  <w:shd w:val="clear" w:color="auto" w:fill="F0F0F0"/>
                </w:tcPr>
                <w:p>
                  <w:pPr>
                    <w:pStyle w:val="Para 02"/>
                    <w:keepLines w:val="on"/>
                  </w:pPr>
                  <w:r>
                    <w:t>Thu nhập từ tiền mặt và chứng khoán có thể bán được được đưa vào thu nhập và cuối cùng là vào cổ tức. Do đó, tiền mặt và chứng khoán có thể bán được không cần phải cộng thêm vào.</w:t>
                  </w:r>
                </w:p>
              </w:tc>
              <w:tc>
                <w:tcPr>
                  <w:tcW w:type="auto" w:w="0"/>
                  <w:shd w:val="clear" w:color="auto" w:fill="F0F0F0"/>
                </w:tcPr>
                <w:p>
                  <w:pPr>
                    <w:pStyle w:val="Para 02"/>
                    <w:keepLines w:val="on"/>
                  </w:pPr>
                  <w:r>
                    <w:t>Bạn có hai lựa chọn:</w:t>
                  </w:r>
                </w:p>
                <w:p>
                  <w:pPr>
                    <w:numPr>
                      <w:ilvl w:val="0"/>
                      <w:numId w:val="139"/>
                    </w:numPr>
                    <w:pStyle w:val="Para 01"/>
                    <w:keepLines w:val="on"/>
                  </w:pPr>
                  <w:r>
                    <w:t>Đưa thu nhập từ tiền mặt và chứng khoán có thể bán được vào các dự báo thu nhập và ước tính giá trị vốn chủ sở hữu.</w:t>
                  </w:r>
                </w:p>
                <w:p>
                  <w:pPr>
                    <w:numPr>
                      <w:ilvl w:val="0"/>
                      <w:numId w:val="139"/>
                    </w:numPr>
                    <w:pStyle w:val="Para 01"/>
                    <w:keepLines w:val="on"/>
                  </w:pPr>
                  <w:r>
                    <w:t>Bỏ qua thu nhập từ tiền mặt và chứng khoán có thể bán được và cộng giá trị của chúng vào giá trị vốn chủ sở hữu trong mô hình.</w:t>
                  </w:r>
                </w:p>
              </w:tc>
            </w:tr>
          </w:tbl>
          <w:p/>
        </w:tc>
      </w:tr>
    </w:tbl>
    <w:p>
      <w:pPr>
        <w:pStyle w:val="Para 03"/>
      </w:pPr>
      <w:r>
        <w:t>Nói chung, khi các công ty chi trả cổ tức ít hơn nhiều so với mức FCFE mà họ có sẵn, tốc độ tăng trưởng kỳ vọng và giá trị cuối kỳ sẽ cao hơn trong mô hình chiết khấu cổ tức, nhưng dòng tiền từng năm sẽ cao hơn trong mô hình FCFE. Ảnh hưởng ròng lên giá trị sẽ khác nhau tùy từng công ty.</w:t>
      </w:r>
    </w:p>
    <w:p>
      <w:pPr>
        <w:pStyle w:val="Para 20"/>
      </w:pPr>
      <w:r>
        <w:rPr>
          <w:rStyle w:val="Text26"/>
        </w:rPr>
        <w:bookmarkStart w:id="2828" w:name="Page_430"/>
        <w:t/>
        <w:bookmarkEnd w:id="2828"/>
      </w:r>
      <w:r>
        <w:t xml:space="preserve"> </w:t>
      </w:r>
    </w:p>
    <w:p>
      <w:bookmarkStart w:id="2829" w:name="What_Does_It_Mean_When_They_Are"/>
      <w:bookmarkStart w:id="2830" w:name="What_Does_It_Mean_When_They_Are_1"/>
      <w:pPr>
        <w:keepNext/>
        <w:pStyle w:val="Heading 3"/>
        <w:keepLines w:val="on"/>
      </w:pPr>
      <w:r>
        <w:t>Điều đó có ý nghĩa gì khi chúng khác nhau?</w:t>
      </w:r>
      <w:bookmarkEnd w:id="2829"/>
      <w:bookmarkEnd w:id="2830"/>
    </w:p>
    <w:p>
      <w:pPr>
        <w:pStyle w:val="Para 03"/>
      </w:pPr>
      <w:r>
        <w:t>Khi giá trị sử dụng mô hình FCFE khác với giá trị sử dụng mô hình chiết khấu cổ tức, với các giả định tăng trưởng nhất quán, có hai câu hỏi cần được giải quyết: Sự khác biệt giữa hai mô hình cho chúng ta biết điều gì? Mô hình nào trong hai mô hình là mô hình phù hợp để sử dụng khi đánh giá giá thị trường?</w:t>
      </w:r>
    </w:p>
    <w:p>
      <w:pPr>
        <w:pStyle w:val="Para 03"/>
      </w:pPr>
      <w:r>
        <w:t>Kịch bản ít xảy ra hơn là mô hình chiết khấu cổ tức cho giá trị cao hơn mô hình FCFE, phần lớn là vì cổ tức vượt quá FCFE. Trong trường hợp này, tốt nhất là dùng mô hình FCFE vì cổ tức không bền vững. Trường hợp xảy ra phổ biến hơn là giá trị từ mô hình FCFE vượt quá giá trị từ mô hình chiết khấu cổ tức. Sự khác biệt giữa giá trị từ mô hình FCFE và giá trị sử dụng mô hình chiết khấu cổ tức có thể được coi là một thành phần của giá trị kiểm soát một công ty — nó đo lường giá trị của việc kiểm soát chính sách cổ tức. Trong một thương vụ thâu tóm thù địch, bên mua có thể kỳ vọng kiểm soát được công ty và thay đổi chính sách cổ tức (để phản ánh FCFE), từ đó nắm bắt được giá trị FCFE cao hơn.</w:t>
      </w:r>
    </w:p>
    <w:p>
      <w:pPr>
        <w:pStyle w:val="Para 03"/>
      </w:pPr>
      <w:r>
        <w:t>Còn về việc giá trị nào trong hai giá trị là phù hợp hơn để sử dụng khi đánh giá giá thị trường, câu trả lời nằm ở mức độ mở của thị trường kiểm soát công ty. Nếu có một xác suất đáng kể rằng một công ty có thể bị thâu tóm hoặc ban lãnh đạo của nó bị thay đổi, giá thị trường sẽ phản ánh khả năng đó, và chuẩn mực phù hợp để sử dụng là giá trị từ mô hình FCFE. Khi những thay đổi trong kiểm soát công ty trở nên khó khăn hơn do quy mô của công ty và/hoặc các hạn chế về pháp lý hay thị trường đối với các thương vụ thâu tóm, giá trị từ mô hình chiết khấu cổ tức sẽ cung cấp chuẩn mực phù hợp để so sánh.</w:t>
      </w:r>
    </w:p>
    <w:p>
      <w:bookmarkStart w:id="2831" w:name="Conclusion_13"/>
      <w:bookmarkStart w:id="2832" w:name="Conclusion__When_you_buy_stock_i"/>
      <w:pPr>
        <w:keepNext/>
        <w:pStyle w:val="Heading 2"/>
        <w:keepLines w:val="on"/>
      </w:pPr>
      <w:r>
        <w:t>Kết luận</w:t>
      </w:r>
      <w:bookmarkEnd w:id="2831"/>
      <w:bookmarkEnd w:id="2832"/>
    </w:p>
    <w:p>
      <w:pPr>
        <w:pStyle w:val="Para 03"/>
      </w:pPr>
      <w:r>
        <w:t>Khi bạn mua cổ phiếu của một công ty đại chúng, dòng tiền duy nhất bạn nhận được trực tiếp từ khoản đầu tư này là cổ tức kỳ vọng. Mô hình chiết khấu cổ tức được xây dựng dựa trên mệnh đề đơn giản này và lập luận rằng giá trị của một cổ phiếu khi đó phải là giá trị hiện tại của cổ tức kỳ vọng theo thời gian. Các mô hình chiết khấu cổ tức có thể trải từ những mô hình chuỗi vĩnh viễn tăng trưởng đơn giản như mô hình tăng trưởng Gordon, nơi giá trị của một cổ phiếu là hàm số của cổ tức kỳ vọng năm sau, chi phí vốn chủ sở hữu, và tốc độ tăng trưởng ổn định, cho đến những mô hình ba giai đoạn phức tạp, nơi các tỷ lệ chi trả và tốc độ tăng trưởng thay đổi theo thời gian. Mặc dù mô hình này thường bị chỉ trích là có giá trị hạn chế, nó đã chứng tỏ khả năng thích ứng và hữu ích đáng ngạc nhiên trong nhiều tình huống khác nhau. Nó có thể là một mô hình thận trọng, tìm ra ngày càng ít công ty bị định giá thấp khi giá thị trường tăng so với các yếu tố cơ bản (ví dụ: thu nhập, cổ tức, v.v.), nhưng điều đó cũng có thể được xem là một điểm mạnh.</w:t>
      </w:r>
    </w:p>
    <w:p>
      <w:pPr>
        <w:pStyle w:val="Para 03"/>
      </w:pPr>
      <w:r>
        <w:t>Sự khác biệt chính giữa mô hình chiết khấu cổ tức (dividend discount model) và dòng tiền tự do vốn chủ sở hữu (free cash flow to equity – FCFE) nằm ở cách định nghĩa dòng tiền. Mô hình chiết khấu cổ tức dùng một định nghĩa chặt chẽ về dòng tiền thuộc về vốn chủ sở hữu (tức là cổ tức kỳ vọng trên cổ phiếu), trong khi mô hình FCFE dùng một định nghĩa rộng hơn, coi dòng tiền thuộc về vốn chủ sở hữu là phần dòng tiền còn lại sau khi đã trang trải hết mọi nghĩa vụ tài chính và nhu cầu đầu tư. Khi cổ tức khác với FCFE, giá trị tính ra từ hai mô hình sẽ khác nhau. Khi định giá doanh nghiệp để mua lại (takeover) hoặc định giá những doanh nghiệp có khả năng thay đổi quyền kiểm soát công ty, giá trị từ mô hình FCFE cho ra ước tính sát hơn.</w:t>
      </w:r>
    </w:p>
    <w:p>
      <w:pPr>
        <w:pStyle w:val="Para 20"/>
      </w:pPr>
      <w:r>
        <w:rPr>
          <w:rStyle w:val="Text26"/>
        </w:rPr>
        <w:bookmarkStart w:id="2833" w:name="Page_431"/>
        <w:t/>
        <w:bookmarkEnd w:id="2833"/>
      </w:r>
      <w:r>
        <w:t xml:space="preserve"> </w:t>
      </w:r>
    </w:p>
    <w:p>
      <w:bookmarkStart w:id="2834" w:name="Questions_and_Short_Problems__In_8"/>
      <w:bookmarkStart w:id="2835" w:name="Questions_and_Short_Problems_14"/>
      <w:pPr>
        <w:keepNext/>
        <w:pStyle w:val="Heading 2"/>
        <w:keepLines w:val="on"/>
      </w:pPr>
      <w:r>
        <w:t>Câu hỏi và bài tập ngắn</w:t>
      </w:r>
      <w:bookmarkEnd w:id="2834"/>
      <w:bookmarkEnd w:id="2835"/>
    </w:p>
    <w:p>
      <w:pPr>
        <w:pStyle w:val="Para 44"/>
      </w:pPr>
      <w:r>
        <w:t>Trong các bài tập sau đây, hãy dùng mức bù rủi ro vốn chủ sở hữu (equity risk premium) là 5,5 phần trăm nếu không có quy định nào khác.</w:t>
      </w:r>
    </w:p>
    <w:p>
      <w:pPr>
        <w:numPr>
          <w:ilvl w:val="0"/>
          <w:numId w:val="140"/>
        </w:numPr>
        <w:pStyle w:val="Para 01"/>
      </w:pPr>
      <w:r>
        <w:t>Hãy trả lời đúng hay sai cho các nhận định sau đây liên quan đến mô hình chiết khấu cổ tức:</w:t>
      </w:r>
    </w:p>
    <w:p>
      <w:pPr>
        <w:numPr>
          <w:ilvl w:val="1"/>
          <w:numId w:val="140"/>
        </w:numPr>
        <w:pStyle w:val="Para 01"/>
      </w:pPr>
      <w:r>
        <w:t>Mô hình chiết khấu cổ tức không thể dùng để định giá một công ty tăng trưởng cao mà không trả cổ tức.</w:t>
      </w:r>
    </w:p>
    <w:p>
      <w:pPr>
        <w:pStyle w:val="Para 03"/>
      </w:pPr>
      <w:r>
        <w:t>Đúng _______ Sai _______</w:t>
      </w:r>
    </w:p>
    <w:p>
      <w:pPr>
        <w:numPr>
          <w:ilvl w:val="1"/>
          <w:numId w:val="140"/>
        </w:numPr>
        <w:pStyle w:val="Para 01"/>
      </w:pPr>
      <w:r>
        <w:t>Mô hình chiết khấu cổ tức sẽ định giá thấp cổ phiếu, vì nó quá thận trọng.</w:t>
      </w:r>
    </w:p>
    <w:p>
      <w:pPr>
        <w:pStyle w:val="Para 03"/>
      </w:pPr>
      <w:r>
        <w:t>Đúng _______ Sai _______</w:t>
      </w:r>
    </w:p>
    <w:p>
      <w:pPr>
        <w:numPr>
          <w:ilvl w:val="1"/>
          <w:numId w:val="140"/>
        </w:numPr>
        <w:pStyle w:val="Para 01"/>
      </w:pPr>
      <w:r>
        <w:t>Mô hình chiết khấu cổ tức sẽ tìm ra nhiều cổ phiếu bị định giá thấp hơn khi toàn bộ thị trường chứng khoán đang ảm đạm.</w:t>
      </w:r>
    </w:p>
    <w:p>
      <w:pPr>
        <w:pStyle w:val="Para 03"/>
      </w:pPr>
      <w:r>
        <w:t>Đúng _______ Sai _______</w:t>
      </w:r>
    </w:p>
    <w:p>
      <w:pPr>
        <w:numPr>
          <w:ilvl w:val="1"/>
          <w:numId w:val="140"/>
        </w:numPr>
        <w:pStyle w:val="Para 01"/>
      </w:pPr>
      <w:r>
        <w:t>Những cổ phiếu bị định giá thấp theo mô hình chiết khấu cổ tức thường đã đem lại lợi nhuận vượt trội dương đáng kể trong những khoảng thời gian dài (từ năm năm trở lên).</w:t>
      </w:r>
    </w:p>
    <w:p>
      <w:pPr>
        <w:pStyle w:val="Para 03"/>
      </w:pPr>
      <w:r>
        <w:t>Đúng _______ Sai _______</w:t>
      </w:r>
    </w:p>
    <w:p>
      <w:pPr>
        <w:numPr>
          <w:ilvl w:val="1"/>
          <w:numId w:val="140"/>
        </w:numPr>
        <w:pStyle w:val="Para 01"/>
      </w:pPr>
      <w:r>
        <w:t>Những cổ phiếu trả cổ tức cao và có tỷ lệ giá trên thu nhập (price-earnings ratio) thấp thì nhiều khả năng được xem là bị định giá thấp hơn khi dùng mô hình chiết khấu cổ tức.</w:t>
      </w:r>
    </w:p>
    <w:p>
      <w:pPr>
        <w:pStyle w:val="Para 03"/>
      </w:pPr>
      <w:r>
        <w:t>Đúng _______ Sai _______</w:t>
      </w:r>
    </w:p>
    <w:p>
      <w:pPr>
        <w:numPr>
          <w:ilvl w:val="0"/>
          <w:numId w:val="140"/>
        </w:numPr>
        <w:pStyle w:val="Para 01"/>
      </w:pPr>
      <w:r>
        <w:t>Ameritech Corporation đã trả cổ tức trên mỗi cổ phần là 3,56 SFr vào năm 1992, và cổ tức được kỳ vọng tăng 5,5% mỗi năm mãi mãi. Cổ phiếu này có beta là 0,90, và lãi suất trái phiếu kho bạc là 6,25%. (Mức bù rủi ro là 5,5%.)</w:t>
      </w:r>
    </w:p>
    <w:p>
      <w:pPr>
        <w:numPr>
          <w:ilvl w:val="1"/>
          <w:numId w:val="140"/>
        </w:numPr>
        <w:pStyle w:val="Para 01"/>
      </w:pPr>
      <w:r>
        <w:t>Giá trị trên mỗi cổ phần là bao nhiêu, nếu dùng mô hình tăng trưởng Gordon?</w:t>
      </w:r>
    </w:p>
    <w:p>
      <w:pPr>
        <w:numPr>
          <w:ilvl w:val="1"/>
          <w:numId w:val="140"/>
        </w:numPr>
        <w:pStyle w:val="Para 01"/>
      </w:pPr>
      <w:r>
        <w:t>Cổ phiếu này đang được giao dịch ở mức 80 SFr mỗi cổ phần. Vậy tốc độ tăng trưởng cổ tức phải là bao nhiêu để biện minh cho mức giá này?</w:t>
      </w:r>
    </w:p>
    <w:p>
      <w:pPr>
        <w:numPr>
          <w:ilvl w:val="0"/>
          <w:numId w:val="140"/>
        </w:numPr>
        <w:pStyle w:val="Para 01"/>
      </w:pPr>
      <w:r>
        <w:t>Church &amp; Dwight, một nhà sản xuất lớn natri bicacbonat (sodium bicarbonate), đã báo cáo thu nhập trên mỗi cổ phần là 1,50 đô la vào năm 1993 và trả cổ tức trên mỗi cổ phần là 0,42 đô la. Vào năm 1993, công ty cũng báo cáo những số liệu sau:</w:t>
      </w:r>
    </w:p>
    <w:p>
      <w:bookmarkStart w:id="2836" w:name="Net_income__30_millionInterest_e"/>
      <w:pPr>
        <w:pStyle w:val="Para 39"/>
      </w:pPr>
      <w:r>
        <w:t>Thu nhập ròng = 30 triệu đô laChi phí lãi vay = 0,8 triệu đô laGiá trị sổ sách của nợ = 7,6 triệu đô laGiá trị sổ sách của vốn chủ sở hữu = 160 triệu đô la</w:t>
      </w:r>
      <w:bookmarkEnd w:id="2836"/>
    </w:p>
    <w:p>
      <w:pPr>
        <w:numPr>
          <w:ilvl w:val="1"/>
          <w:numId w:val="140"/>
        </w:numPr>
        <w:pStyle w:val="Para 01"/>
      </w:pPr>
      <w:r>
        <w:t>Công ty chịu mức thuế suất doanh nghiệp là 38,5%. (Tỷ lệ nợ trên vốn chủ sở hữu theo giá trị thị trường là 5%. Lãi suất trái phiếu kho bạc là 7%.)</w:t>
      </w:r>
    </w:p>
    <w:p>
      <w:pPr>
        <w:numPr>
          <w:ilvl w:val="1"/>
          <w:numId w:val="140"/>
        </w:numPr>
        <w:pStyle w:val="Para 01"/>
      </w:pPr>
      <w:r>
        <w:t>Công ty kỳ vọng duy trì những đặc điểm tài chính cơ bản này từ năm 1994 đến năm 1998, sau đó được kỳ vọng sẽ trở thành một công ty ổn định, với tốc độ tăng trưởng thu nhập là 6%. Các đặc điểm tài chính của công ty được kỳ vọng sẽ tiến gần đến mức trung bình của ngành sau năm 1998. Mức trung bình của ngành như sau:</w:t>
      </w:r>
    </w:p>
    <w:p>
      <w:pPr>
        <w:numPr>
          <w:ilvl w:val="2"/>
          <w:numId w:val="140"/>
        </w:numPr>
        <w:pStyle w:val="Para 01"/>
      </w:pPr>
      <w:r>
        <w:t>Lợi nhuận trên vốn (return on capital) = 12,5%</w:t>
      </w:r>
    </w:p>
    <w:p>
      <w:pPr>
        <w:numPr>
          <w:ilvl w:val="2"/>
          <w:numId w:val="140"/>
        </w:numPr>
        <w:pStyle w:val="Para 01"/>
      </w:pPr>
      <w:r>
        <w:t>Tỷ lệ nợ trên vốn chủ sở hữu = 25%</w:t>
      </w:r>
    </w:p>
    <w:p>
      <w:pPr>
        <w:numPr>
          <w:ilvl w:val="2"/>
          <w:numId w:val="140"/>
        </w:numPr>
        <w:pStyle w:val="Para 01"/>
      </w:pPr>
      <w:r>
        <w:t>Lãi suất trên nợ = 7%</w:t>
      </w:r>
    </w:p>
    <w:p>
      <w:pPr>
        <w:pStyle w:val="Para 03"/>
      </w:pPr>
      <w:r>
        <w:t>Church &amp; Dwight có beta là 0,85 vào năm 1993, và beta chưa đòn bẩy (unlevered beta) được kỳ vọng sẽ không thay đổi theo thời gian.</w:t>
      </w:r>
    </w:p>
    <w:p>
      <w:pPr>
        <w:numPr>
          <w:ilvl w:val="1"/>
          <w:numId w:val="140"/>
        </w:numPr>
        <w:pStyle w:val="Para 01"/>
      </w:pPr>
      <w:r>
        <w:t>Tốc độ tăng trưởng thu nhập kỳ vọng, dựa trên các yếu tố cơ bản, cho giai đoạn tăng trưởng cao (1994–1998) là bao nhiêu?</w:t>
      </w:r>
    </w:p>
    <w:p>
      <w:pPr>
        <w:numPr>
          <w:ilvl w:val="1"/>
          <w:numId w:val="140"/>
        </w:numPr>
        <w:pStyle w:val="Para 01"/>
      </w:pPr>
      <w:r>
        <w:t>Tỷ lệ chi trả cổ tức kỳ vọng sau năm 1998 là bao nhiêu?</w:t>
      </w:r>
    </w:p>
    <w:p>
      <w:pPr>
        <w:numPr>
          <w:ilvl w:val="1"/>
          <w:numId w:val="140"/>
        </w:numPr>
        <w:pStyle w:val="Para 01"/>
      </w:pPr>
      <w:r>
        <w:t>Beta kỳ vọng sau năm 1998 là bao nhiêu?</w:t>
      </w:r>
    </w:p>
    <w:p>
      <w:pPr>
        <w:numPr>
          <w:ilvl w:val="1"/>
          <w:numId w:val="140"/>
        </w:numPr>
        <w:pStyle w:val="Para 01"/>
      </w:pPr>
      <w:r>
        <w:t>Giá kỳ vọng vào cuối năm 1998 là bao nhiêu?</w:t>
      </w:r>
    </w:p>
    <w:p>
      <w:pPr>
        <w:numPr>
          <w:ilvl w:val="1"/>
          <w:numId w:val="140"/>
        </w:numPr>
        <w:pStyle w:val="Para 01"/>
      </w:pPr>
      <w:r>
        <w:t>Giá trị của cổ phiếu, sử dụng mô hình chiết khấu cổ tức hai giai đoạn, là bao nhiêu?</w:t>
      </w:r>
    </w:p>
    <w:p>
      <w:pPr>
        <w:numPr>
          <w:ilvl w:val="1"/>
          <w:numId w:val="140"/>
        </w:numPr>
        <w:pStyle w:val="Para 01"/>
      </w:pPr>
      <w:r>
        <w:t>Bao nhiêu phần của giá trị này có thể được quy cho tăng trưởng phi thường? Cho tăng trưởng ổn định?</w:t>
      </w:r>
    </w:p>
    <w:p>
      <w:pPr>
        <w:numPr>
          <w:ilvl w:val="0"/>
          <w:numId w:val="140"/>
        </w:numPr>
        <w:pStyle w:val="Para 01"/>
      </w:pPr>
      <w:r>
        <w:t>Oneida Inc, nhà sản xuất dao kéo bằng thép không gỉ và mạ bạc lớn nhất thế giới, báo cáo thu nhập trên mỗi cổ phần là 0,80 đô la vào năm 1993, và trả cổ tức trên mỗi cổ phần là 0,48 đô la trong năm đó. Công ty được kỳ vọng sẽ báo cáo tăng trưởng thu nhập 25% vào năm 1994, sau đó tốc độ tăng trưởng được kỳ vọng sẽ giảm tuyến tính trong sáu năm tiếp theo xuống còn 7% vào năm 1999. Cổ phiếu được kỳ vọng có beta là 0,85. (Lãi suất trái phiếu kho bạc là 6,25%, và phần bù rủi ro là 5,5%.)</w:t>
      </w:r>
    </w:p>
    <w:p>
      <w:pPr>
        <w:numPr>
          <w:ilvl w:val="1"/>
          <w:numId w:val="140"/>
        </w:numPr>
        <w:pStyle w:val="Para 01"/>
      </w:pPr>
      <w:r>
        <w:t>Ước tính giá trị của tăng trưởng ổn định, sử dụng mô hình H.</w:t>
      </w:r>
    </w:p>
    <w:p>
      <w:pPr>
        <w:numPr>
          <w:ilvl w:val="1"/>
          <w:numId w:val="140"/>
        </w:numPr>
        <w:pStyle w:val="Para 01"/>
      </w:pPr>
      <w:r>
        <w:t>Ước tính giá trị của tăng trưởng phi thường, sử dụng mô hình H.</w:t>
      </w:r>
    </w:p>
    <w:p>
      <w:pPr>
        <w:numPr>
          <w:ilvl w:val="1"/>
          <w:numId w:val="140"/>
        </w:numPr>
        <w:pStyle w:val="Para 01"/>
      </w:pPr>
      <w:r>
        <w:t>Các giả định về chi trả cổ tức trong mô hình H là gì?</w:t>
      </w:r>
    </w:p>
    <w:p>
      <w:pPr>
        <w:numPr>
          <w:ilvl w:val="0"/>
          <w:numId w:val="140"/>
        </w:numPr>
        <w:pStyle w:val="Para 01"/>
      </w:pPr>
      <w:r>
        <w:t>Medtronic Inc., nhà sản xuất thiết bị y sinh cấy ghép lớn nhất thế giới, báo cáo thu nhập trên mỗi cổ phần năm 1993 là 3,95 đô la, và trả cổ tức trên mỗi cổ phần là 0,68 đô la. Thu nhập của công ty được kỳ vọng sẽ tăng 16% từ năm 1994 đến 1998, nhưng tốc độ tăng trưởng được kỳ vọng sẽ giảm mỗi năm sau đó xuống mức tăng trưởng ổn định là 6% vào năm 2003. Tỷ lệ chi trả cổ tức được kỳ vọng sẽ không thay đổi từ năm 1994 đến 1998, sau đó sẽ tăng mỗi năm để đạt 60% ở trạng thái ổn định. Cổ phiếu được kỳ vọng có beta là 1,25 từ năm 1994 đến 1998, sau đó beta sẽ giảm mỗi năm để đạt 1,00 vào thời điểm công ty trở nên ổn định. (Lãi suất trái phiếu kho bạc là 6,25%, và phần bù rủi ro là 5,5%.)</w:t>
      </w:r>
    </w:p>
    <w:p>
      <w:pPr>
        <w:numPr>
          <w:ilvl w:val="1"/>
          <w:numId w:val="140"/>
        </w:numPr>
        <w:pStyle w:val="Para 01"/>
      </w:pPr>
      <w:r>
        <w:t>Giả sử rằng tốc độ tăng trưởng giảm tuyến tính (và tỷ lệ chi trả cổ tức tăng tuyến tính) từ năm 1999 đến 2003, hãy ước tính cổ tức trên mỗi cổ phần mỗi năm từ 1994 đến 2003.</w:t>
      </w:r>
    </w:p>
    <w:p>
      <w:pPr>
        <w:numPr>
          <w:ilvl w:val="1"/>
          <w:numId w:val="140"/>
        </w:numPr>
        <w:pStyle w:val="Para 01"/>
      </w:pPr>
      <w:r>
        <w:t>Ước tính giá kỳ vọng vào cuối năm 2003.</w:t>
      </w:r>
    </w:p>
    <w:p>
      <w:pPr>
        <w:numPr>
          <w:ilvl w:val="1"/>
          <w:numId w:val="140"/>
        </w:numPr>
        <w:pStyle w:val="Para 01"/>
      </w:pPr>
      <w:r>
        <w:t>Ước tính giá trị trên mỗi cổ phần, sử dụng mô hình chiết khấu cổ tức ba giai đoạn.</w:t>
      </w:r>
    </w:p>
    <w:p>
      <w:pPr>
        <w:numPr>
          <w:ilvl w:val="0"/>
          <w:numId w:val="140"/>
        </w:numPr>
        <w:pStyle w:val="Para 01"/>
      </w:pPr>
      <w:r>
        <w:t>Yuletide Inc. là nhà sản xuất đồ trang trí Giáng sinh. Công ty kiếm được 100 triệu đô la năm ngoái và chi trả 20% thu nhập của mình dưới dạng cổ tức. Công ty cũng đã mua lại 180 triệu đô la cổ phiếu trong bốn năm qua, với số lượng khác nhau mỗi năm. Công ty đang ở giai đoạn tăng trưởng ổn định, kỳ vọng tăng trưởng 5% mỗi năm mãi mãi, và có chi phí vốn chủ sở hữu là 12%.</w:t>
      </w:r>
    </w:p>
    <w:p>
      <w:pPr>
        <w:numPr>
          <w:ilvl w:val="1"/>
          <w:numId w:val="140"/>
        </w:numPr>
        <w:pStyle w:val="Para 01"/>
      </w:pPr>
      <w:r>
        <w:t>Giả sử rằng tỷ lệ chi trả cổ tức sẽ không thay đổi theo thời gian, hãy ước tính giá trị vốn chủ sở hữu.</w:t>
      </w:r>
    </w:p>
    <w:p>
      <w:pPr>
        <w:numPr>
          <w:ilvl w:val="1"/>
          <w:numId w:val="140"/>
        </w:numPr>
        <w:pStyle w:val="Para 01"/>
      </w:pPr>
      <w:r>
        <w:t>Câu trả lời của bạn sẽ thay đổi như thế nào nếu tỷ lệ chi trả cổ tức của bạn được điều chỉnh để bao gồm việc mua lại cổ phiếu?</w:t>
      </w:r>
    </w:p>
    <w:p>
      <w:pPr>
        <w:numPr>
          <w:ilvl w:val="0"/>
          <w:numId w:val="140"/>
        </w:numPr>
        <w:pStyle w:val="Para 01"/>
      </w:pPr>
      <w:r>
        <w:t>Hãy trả lời đúng hoặc sai cho các phát biểu sau liên quan đến việc tính toán và sử dụng FCFE:</w:t>
      </w:r>
    </w:p>
    <w:p>
      <w:pPr>
        <w:numPr>
          <w:ilvl w:val="1"/>
          <w:numId w:val="140"/>
        </w:numPr>
        <w:pStyle w:val="Para 01"/>
      </w:pPr>
      <w:r>
        <w:t>Dòng tiền tự do cho vốn chủ sở hữu nói chung sẽ biến động hơn cổ tức.</w:t>
      </w:r>
    </w:p>
    <w:p>
      <w:pPr>
        <w:pStyle w:val="Para 03"/>
      </w:pPr>
      <w:r>
        <w:t>Đúng ____ Sai ____</w:t>
      </w:r>
    </w:p>
    <w:p>
      <w:pPr>
        <w:numPr>
          <w:ilvl w:val="1"/>
          <w:numId w:val="140"/>
        </w:numPr>
        <w:pStyle w:val="Para 01"/>
      </w:pPr>
      <w:r>
        <w:t>Dòng tiền tự do cho vốn chủ sở hữu sẽ luôn cao hơn cổ tức.</w:t>
      </w:r>
    </w:p>
    <w:p>
      <w:pPr>
        <w:pStyle w:val="Para 03"/>
      </w:pPr>
      <w:r>
        <w:t>Đúng ____ Sai ____</w:t>
      </w:r>
    </w:p>
    <w:p>
      <w:pPr>
        <w:numPr>
          <w:ilvl w:val="1"/>
          <w:numId w:val="140"/>
        </w:numPr>
        <w:pStyle w:val="Para 01"/>
      </w:pPr>
      <w:r>
        <w:t>Dòng tiền tự do cho vốn chủ sở hữu sẽ luôn cao hơn thu nhập ròng.</w:t>
      </w:r>
    </w:p>
    <w:p>
      <w:pPr>
        <w:pStyle w:val="Para 03"/>
      </w:pPr>
      <w:r>
        <w:t>Đúng ____ Sai ____</w:t>
      </w:r>
    </w:p>
    <w:p>
      <w:pPr>
        <w:numPr>
          <w:ilvl w:val="1"/>
          <w:numId w:val="140"/>
        </w:numPr>
        <w:pStyle w:val="Para 01"/>
      </w:pPr>
      <w:r>
        <w:t>Dòng tiền tự do cho vốn chủ sở hữu không bao giờ có thể âm.</w:t>
      </w:r>
    </w:p>
    <w:p>
      <w:pPr>
        <w:pStyle w:val="Para 03"/>
      </w:pPr>
      <w:r>
        <w:t>Đúng ____ Sai ____</w:t>
      </w:r>
    </w:p>
    <w:p>
      <w:pPr>
        <w:numPr>
          <w:ilvl w:val="0"/>
          <w:numId w:val="140"/>
        </w:numPr>
        <w:pStyle w:val="Para 01"/>
      </w:pPr>
      <w:r>
        <w:t>Kimberly-Clark, một nhà sản xuất sản phẩm gia dụng, báo cáo thu nhập trên mỗi cổ phần là 3,20 đô la vào năm 1993 và trả cổ tức trên mỗi cổ phần là 1,70 đô la trong năm đó. Công ty báo cáo khấu hao là 315 triệu đô la vào năm 1993 và chi tiêu vốn là 475 triệu đô la. (Có 160 triệu cổ phiếu đang lưu hành, giao dịch ở mức 51 đô la một cổ phiếu.) Tỷ lệ chi tiêu vốn trên khấu hao này được kỳ vọng sẽ được duy trì trong dài hạn. Nhu cầu vốn lưu động là không đáng kể. Kimberly-Clark có khoản nợ chưa thanh toán là 1,6 tỷ đô la, và dự định duy trì cơ cấu tài chính hiện tại (của nợ và vốn chủ sở hữu) để tài trợ cho các nhu cầu đầu tư trong tương lai. Công ty đang ở trạng thái ổn định và thu nhập được kỳ vọng sẽ tăng trưởng 7% một năm. Cổ phiếu có hệ số beta là 1,05. (Lãi suất trái phiếu kho bạc là 6,25%, và phần bù rủi ro là 5,5%.)</w:t>
      </w:r>
    </w:p>
    <w:p>
      <w:pPr>
        <w:numPr>
          <w:ilvl w:val="1"/>
          <w:numId w:val="140"/>
        </w:numPr>
        <w:pStyle w:val="Para 01"/>
      </w:pPr>
      <w:r>
        <w:t>Ước tính giá trị trên mỗi cổ phần, sử dụng mô hình chiết khấu cổ tức (dividend discount model).</w:t>
      </w:r>
    </w:p>
    <w:p>
      <w:pPr>
        <w:numPr>
          <w:ilvl w:val="1"/>
          <w:numId w:val="140"/>
        </w:numPr>
        <w:pStyle w:val="Para 01"/>
      </w:pPr>
      <w:r>
        <w:t>Ước tính giá trị trên mỗi cổ phần, sử dụng mô hình FCFE.</w:t>
      </w:r>
    </w:p>
    <w:p>
      <w:pPr>
        <w:numPr>
          <w:ilvl w:val="1"/>
          <w:numId w:val="140"/>
        </w:numPr>
        <w:pStyle w:val="Para 01"/>
      </w:pPr>
      <w:r>
        <w:t>Bạn sẽ giải thích thế nào về sự khác biệt giữa hai mô hình, và bạn sẽ dùng mô hình nào làm chuẩn mực để so sánh với giá thị trường?</w:t>
      </w:r>
    </w:p>
    <w:p>
      <w:pPr>
        <w:numPr>
          <w:ilvl w:val="0"/>
          <w:numId w:val="140"/>
        </w:numPr>
        <w:pStyle w:val="Para 01"/>
      </w:pPr>
      <w:r>
        <w:t>Ecolab Inc. bán các hóa chất và hệ thống để làm sạch, khử trùng và bảo trì. Công ty báo cáo thu nhập trên mỗi cổ phần là 2,35 đô la vào năm 1993 và kỳ vọng tăng trưởng thu nhập 15,5% một năm từ 1994 đến 1998 và 6% một năm sau đó.</w:t>
      </w:r>
    </w:p>
    <w:p>
      <w:pPr>
        <w:numPr>
          <w:ilvl w:val="1"/>
          <w:numId w:val="140"/>
        </w:numPr>
        <w:pStyle w:val="Para 01"/>
      </w:pPr>
      <w:r>
        <w:t>Chi tiêu vốn trên mỗi cổ phần là 2,25 đô la, và khấu hao là 1,125 đô la trên mỗi cổ phần vào năm 1993. Cả hai đều được kỳ vọng sẽ tăng trưởng cùng tốc độ với thu nhập từ 1994 đến 1998.</w:t>
      </w:r>
    </w:p>
    <w:p>
      <w:pPr>
        <w:numPr>
          <w:ilvl w:val="1"/>
          <w:numId w:val="140"/>
        </w:numPr>
        <w:pStyle w:val="Para 01"/>
      </w:pPr>
      <w:r>
        <w:t>Vốn lưu động được kỳ vọng sẽ duy trì ở mức 5% doanh thu, và doanh thu, vốn là 1 tỷ đô la vào năm 1993, được kỳ vọng sẽ tăng 6% một năm từ 1994 đến 1998, và 4% một năm sau đó.</w:t>
      </w:r>
    </w:p>
    <w:p>
      <w:pPr>
        <w:numPr>
          <w:ilvl w:val="1"/>
          <w:numId w:val="140"/>
        </w:numPr>
        <w:pStyle w:val="Para 01"/>
      </w:pPr>
      <w:r>
        <w:t>Công ty có tỷ lệ nợ [D/(D + E)] là 5%, nhưng dự định tài trợ cho các nhu cầu đầu tư trong tương lai (bao gồm cả đầu tư vốn lưu động) bằng cách sử dụng tỷ lệ nợ là 20%.</w:t>
      </w:r>
    </w:p>
    <w:p>
      <w:pPr>
        <w:pStyle w:val="Para 03"/>
      </w:pPr>
      <w:r>
        <w:t>Cổ phiếu được kỳ vọng sẽ có hệ số beta là 1 trong khoảng thời gian phân tích, và lãi suất trái phiếu kho bạc là 6,50%. (Có 63 triệu cổ phiếu đang lưu hành, và phần bù rủi ro thị trường là 5,5%.)</w:t>
      </w:r>
    </w:p>
    <w:p>
      <w:pPr>
        <w:numPr>
          <w:ilvl w:val="2"/>
          <w:numId w:val="140"/>
        </w:numPr>
        <w:pStyle w:val="Para 01"/>
      </w:pPr>
      <w:r>
        <w:t>Giả sử rằng chi tiêu vốn và khấu hao bù trừ lẫn nhau sau năm 1998, hãy ước tính giá trị trên mỗi cổ phần. Đây có phải là một ước tính thực tế không?</w:t>
      </w:r>
    </w:p>
    <w:p>
      <w:pPr>
        <w:numPr>
          <w:ilvl w:val="2"/>
          <w:numId w:val="140"/>
        </w:numPr>
        <w:pStyle w:val="Para 01"/>
      </w:pPr>
      <w:r>
        <w:t>Giả sử rằng chi tiêu vốn tiếp tục bằng 200% khấu hao ngay cả sau năm 1998, hãy ước tính giá trị trên mỗi cổ phần.</w:t>
      </w:r>
    </w:p>
    <w:p>
      <w:pPr>
        <w:numPr>
          <w:ilvl w:val="2"/>
          <w:numId w:val="140"/>
        </w:numPr>
        <w:pStyle w:val="Para 01"/>
      </w:pPr>
      <w:r>
        <w:t>Giá trị trên mỗi cổ phần sẽ là bao nhiêu, nếu công ty tiếp tục tài trợ cho các khoản đầu tư mới bằng cơ cấu tài chính cũ (5%)? Có công bằng không khi sử dụng cùng một hệ số beta cho phân tích này?</w:t>
      </w:r>
    </w:p>
    <w:p>
      <w:pPr>
        <w:numPr>
          <w:ilvl w:val="0"/>
          <w:numId w:val="140"/>
        </w:numPr>
        <w:pStyle w:val="Para 01"/>
      </w:pPr>
      <w:r>
        <w:t>Dionex Corporation, một công ty dẫn đầu trong việc phát triển và sản xuất các hệ thống sắc ký ion (được sử dụng để xác định các chất gây ô nhiễm trong các thiết bị điện tử), báo cáo thu nhập trên mỗi cổ phần là 2,02 đô la vào năm 1993 và không trả cổ tức. Những khoản thu nhập này được kỳ vọng sẽ tăng trưởng 14% một năm trong năm năm (1994–1998) và 7% một năm sau đó. Công ty báo cáo khấu hao là 2 triệu đô la vào năm 1993 và chi tiêu vốn là 4,20 triệu đô la, và có 7 triệu cổ phiếu đang lưu hành. Vốn lưu động được kỳ vọng sẽ duy trì ở mức 50% doanh thu, vốn là 106 triệu đô la vào năm 1993, và được kỳ vọng sẽ tăng 6% một năm từ 1994 đến 1998 và 4% một năm sau đó.</w:t>
      </w:r>
    </w:p>
    <w:p>
      <w:pPr>
        <w:numPr>
          <w:ilvl w:val="1"/>
          <w:numId w:val="140"/>
        </w:numPr>
        <w:pStyle w:val="Para 01"/>
      </w:pPr>
      <w:r>
        <w:t>Công ty được kỳ vọng sẽ tài trợ 10% chi tiêu vốn và nhu cầu vốn lưu động bằng nợ.</w:t>
      </w:r>
    </w:p>
    <w:p>
      <w:pPr>
        <w:numPr>
          <w:ilvl w:val="1"/>
          <w:numId w:val="140"/>
        </w:numPr>
        <w:pStyle w:val="Para 01"/>
      </w:pPr>
      <w:r>
        <w:t>Dionex có hệ số beta là 1,20 vào năm 1993, và hệ số beta này được kỳ vọng sẽ giảm xuống còn 1,10 sau năm 1998. (Lãi suất trái phiếu kho bạc là 7%, và phần bù rủi ro thị trường là 5,5%.)</w:t>
      </w:r>
    </w:p>
    <w:p>
      <w:pPr>
        <w:numPr>
          <w:ilvl w:val="2"/>
          <w:numId w:val="140"/>
        </w:numPr>
        <w:pStyle w:val="Para 01"/>
      </w:pPr>
      <w:r>
        <w:t>Ước tính dòng tiền tự do kỳ vọng cho vốn chủ sở hữu từ 1994 đến 1998, giả sử rằng chi tiêu vốn và khấu hao tăng trưởng cùng tốc độ với thu nhập.</w:t>
      </w:r>
    </w:p>
    <w:p>
      <w:pPr>
        <w:numPr>
          <w:ilvl w:val="2"/>
          <w:numId w:val="140"/>
        </w:numPr>
        <w:pStyle w:val="Para 01"/>
      </w:pPr>
      <w:r>
        <w:t>Ước tính giá trị cuối kỳ trên mỗi cổ phần (vào cuối năm 1998). Các công ty ổn định trong ngành này có chi tiêu vốn bằng 150% doanh thu, và duy trì vốn lưu động ở mức 25% doanh thu.</w:t>
      </w:r>
    </w:p>
    <w:p>
      <w:pPr>
        <w:numPr>
          <w:ilvl w:val="2"/>
          <w:numId w:val="140"/>
        </w:numPr>
        <w:pStyle w:val="Para 01"/>
      </w:pPr>
      <w:r>
        <w:t>Ước tính giá trị trên mỗi cổ phần ngày hôm nay, dựa trên mô hình FCFE.</w:t>
      </w:r>
    </w:p>
    <w:p>
      <w:pPr>
        <w:numPr>
          <w:ilvl w:val="0"/>
          <w:numId w:val="140"/>
        </w:numPr>
        <w:pStyle w:val="Para 01"/>
      </w:pPr>
      <w:r>
        <w:t>Biomet Inc., công ty thiết kế, sản xuất và tiếp thị các thiết bị tái tạo và chấn thương, báo cáo thu nhập trên mỗi cổ phần là 0,56 đô la vào năm 1993, và không trả cổ tức (công ty có doanh thu trên mỗi cổ phần vào năm 1993 là 2,91 đô la). Công ty có chi tiêu vốn là 0,13 đô la trên mỗi cổ phần vào năm 1993, và khấu hao trong cùng năm là 0,08 đô la trên mỗi cổ phần.</w:t>
      </w:r>
    </w:p>
    <w:p>
      <w:pPr>
        <w:numPr>
          <w:ilvl w:val="1"/>
          <w:numId w:val="140"/>
        </w:numPr>
        <w:pStyle w:val="Para 01"/>
      </w:pPr>
      <w:r>
        <w:t>Vốn lưu động là 60% doanh thu vào năm 1993 và được kỳ vọng sẽ duy trì ở mức đó từ 1994 đến 1998, trong khi thu nhập và doanh thu được kỳ vọng sẽ tăng trưởng 17% một năm.</w:t>
      </w:r>
    </w:p>
    <w:p>
      <w:pPr>
        <w:numPr>
          <w:ilvl w:val="1"/>
          <w:numId w:val="140"/>
        </w:numPr>
        <w:pStyle w:val="Para 01"/>
      </w:pPr>
      <w:r>
        <w:t>Tốc độ tăng trưởng thu nhập được kỳ vọng sẽ giảm tuyến tính trong năm năm tiếp theo xuống mức 5% vào năm 2003.</w:t>
      </w:r>
    </w:p>
    <w:p>
      <w:pPr>
        <w:numPr>
          <w:ilvl w:val="1"/>
          <w:numId w:val="140"/>
        </w:numPr>
        <w:pStyle w:val="Para 01"/>
      </w:pPr>
      <w:r>
        <w:t>Trong giai đoạn tăng trưởng cao và chuyển tiếp, chi tiêu vốn và khấu hao được kỳ vọng sẽ tăng trưởng cùng tốc độ với thu nhập, nhưng chi tiêu vốn sẽ bằng 120% khấu hao khi công ty đạt trạng thái ổn định.</w:t>
      </w:r>
    </w:p>
    <w:p>
      <w:pPr>
        <w:numPr>
          <w:ilvl w:val="1"/>
          <w:numId w:val="140"/>
        </w:numPr>
        <w:pStyle w:val="Para 01"/>
      </w:pPr>
      <w:r>
        <w:t>Vốn lưu động được kỳ vọng sẽ giảm từ 60% doanh thu trong giai đoạn 1994–1998 xuống còn 30% doanh thu sau năm 2003. Công ty hiện không có nợ nhưng dự định tài trợ 10% đầu tư vốn ròng và nhu cầu vốn lưu động bằng nợ.</w:t>
      </w:r>
    </w:p>
    <w:p>
      <w:pPr>
        <w:numPr>
          <w:ilvl w:val="1"/>
          <w:numId w:val="140"/>
        </w:numPr>
        <w:pStyle w:val="Para 01"/>
      </w:pPr>
      <w:r>
        <w:t>Cổ phiếu được kỳ vọng sẽ có hệ số beta là 1,45 cho giai đoạn tăng trưởng cao (1994–1998), và hệ số beta được kỳ vọng sẽ giảm xuống còn 1,10 vào thời điểm công ty bước vào trạng thái ổn định (vào năm 2003). Lãi suất trái phiếu kho bạc là 7%, và phần bù rủi ro thị trường là 5,5%.</w:t>
      </w:r>
    </w:p>
    <w:p>
      <w:pPr>
        <w:numPr>
          <w:ilvl w:val="2"/>
          <w:numId w:val="140"/>
        </w:numPr>
        <w:pStyle w:val="Para 01"/>
      </w:pPr>
      <w:r>
        <w:t>Ước tính giá trị trên mỗi cổ phần, sử dụng mô hình FCFE.</w:t>
      </w:r>
    </w:p>
    <w:p>
      <w:pPr>
        <w:numPr>
          <w:ilvl w:val="2"/>
          <w:numId w:val="140"/>
        </w:numPr>
        <w:pStyle w:val="Para 01"/>
      </w:pPr>
      <w:r>
        <w:t>Ước tính giá trị trên mỗi cổ phần, giả định rằng vốn lưu động duy trì ở mức 60% doanh thu mãi mãi.</w:t>
      </w:r>
    </w:p>
    <w:p>
      <w:pPr>
        <w:numPr>
          <w:ilvl w:val="2"/>
          <w:numId w:val="140"/>
        </w:numPr>
        <w:pStyle w:val="Para 01"/>
      </w:pPr>
      <w:r>
        <w:t>Ước tính giá trị trên mỗi cổ phần, giả định rằng beta không đổi ở mức 1,45 mãi mãi.</w:t>
      </w:r>
    </w:p>
    <w:p>
      <w:pPr>
        <w:numPr>
          <w:ilvl w:val="0"/>
          <w:numId w:val="140"/>
        </w:numPr>
        <w:pStyle w:val="Para 01"/>
      </w:pPr>
      <w:r>
        <w:t>Liệu các công ty sau đây có khả năng có giá trị cao hơn từ mô hình chiết khấu cổ tức, giá trị cao hơn từ mô hình FCFE, hay cùng giá trị từ cả hai mô hình?</w:t>
      </w:r>
    </w:p>
    <w:p>
      <w:pPr>
        <w:numPr>
          <w:ilvl w:val="1"/>
          <w:numId w:val="140"/>
        </w:numPr>
        <w:pStyle w:val="Para 01"/>
      </w:pPr>
      <w:r>
        <w:t>Một công ty chi trả cổ tức ít hơn so với FCFE mà nó có sẵn nhưng đầu tư phần chênh lệch vào trái phiếu kho bạc.</w:t>
      </w:r>
    </w:p>
    <w:p>
      <w:pPr>
        <w:numPr>
          <w:ilvl w:val="1"/>
          <w:numId w:val="140"/>
        </w:numPr>
        <w:pStyle w:val="Para 01"/>
      </w:pPr>
      <w:r>
        <w:t>Một công ty chi trả cổ tức nhiều hơn so với FCFE mà nó có sẵn, và sau đó phát hành cổ phiếu để bù đắp phần chênh lệch.</w:t>
      </w:r>
    </w:p>
    <w:p>
      <w:pPr>
        <w:numPr>
          <w:ilvl w:val="1"/>
          <w:numId w:val="140"/>
        </w:numPr>
        <w:pStyle w:val="Para 01"/>
      </w:pPr>
      <w:r>
        <w:t>Một công ty chi trả cổ tức trung bình bằng đúng FCFE của mình.</w:t>
      </w:r>
    </w:p>
    <w:p>
      <w:pPr>
        <w:numPr>
          <w:ilvl w:val="1"/>
          <w:numId w:val="140"/>
        </w:numPr>
        <w:pStyle w:val="Para 01"/>
      </w:pPr>
      <w:r>
        <w:t>Một công ty chi trả cổ tức ít hơn so với FCFE mà nó có sẵn, nhưng sử dụng tiền mặt định kỳ để mua lại các công ty khác với ý định đa dạng hóa.</w:t>
      </w:r>
    </w:p>
    <w:p>
      <w:pPr>
        <w:numPr>
          <w:ilvl w:val="1"/>
          <w:numId w:val="140"/>
        </w:numPr>
        <w:pStyle w:val="Para 01"/>
      </w:pPr>
      <w:r>
        <w:t>Một công ty chi trả cổ tức nhiều hơn so với FCFE mà nó có sẵn, nhưng vay tiền để bù đắp phần chênh lệch. (Công ty vốn đã sử dụng đòn bẩy quá mức.)</w:t>
      </w:r>
    </w:p>
    <w:p>
      <w:pPr>
        <w:numPr>
          <w:ilvl w:val="0"/>
          <w:numId w:val="140"/>
        </w:numPr>
        <w:pStyle w:val="Para 01"/>
      </w:pPr>
      <w:r>
        <w:t>Bạn được yêu cầu định giá Oneida Steel, một công ty thép quy mô trung bình. Công ty báo cáo thu nhập ròng 80 triệu đô la, chi tiêu vốn 50 triệu đô la và khấu hao 20 triệu đô la trong năm tài chính vừa kết thúc. Công ty báo cáo rằng vốn lưu động phi tiền mặt của mình tăng 20 triệu đô la trong năm, và tổng nợ vay tăng 10 triệu đô la trong năm. Giá trị sổ sách của vốn chủ sở hữu tại Oneida Steel vào đầu năm tài chính trước là 400 triệu đô la. Chi phí vốn chủ sở hữu là 10%.</w:t>
      </w:r>
    </w:p>
    <w:p>
      <w:pPr>
        <w:numPr>
          <w:ilvl w:val="1"/>
          <w:numId w:val="140"/>
        </w:numPr>
        <w:pStyle w:val="Para 01"/>
      </w:pPr>
      <w:r>
        <w:t>Ước tính tỷ lệ tái đầu tư vốn chủ sở hữu, lợi nhuận trên vốn chủ sở hữu và tốc độ tăng trưởng kỳ vọng cho Oneida Steel. (Bạn có thể giả định rằng công ty sẽ tiếp tục duy trì tỷ lệ nợ giống như năm ngoái để tài trợ cho nhu cầu tái đầu tư của mình.)</w:t>
      </w:r>
    </w:p>
    <w:p>
      <w:pPr>
        <w:numPr>
          <w:ilvl w:val="1"/>
          <w:numId w:val="140"/>
        </w:numPr>
        <w:pStyle w:val="Para 01"/>
      </w:pPr>
      <w:r>
        <w:t>Nếu tốc độ tăng trưởng này được kỳ vọng kéo dài năm năm và sau đó giảm xuống tốc độ tăng trưởng ổn định 4% sau đó, và lợi nhuận trên vốn chủ sở hữu sau năm thứ 5 được kỳ vọng là 12%, hãy ước tính giá trị vốn chủ sở hữu ngày hôm nay, sử dụng dòng tiền tự do dự phóng cho vốn chủ sở hữu.</w:t>
      </w:r>
    </w:p>
    <w:p>
      <w:pPr>
        <w:numPr>
          <w:ilvl w:val="0"/>
          <w:numId w:val="140"/>
        </w:numPr>
        <w:pStyle w:val="Para 01"/>
      </w:pPr>
      <w:r>
        <w:t>Luminos Corporation, một nhà sản xuất bóng đèn, là một công ty đang ở giai đoạn tăng trưởng ổn định. Công ty báo cáo thu nhập ròng 100 triệu đô la trên giá trị sổ sách của vốn chủ sở hữu là 1 tỷ đô la. Tuy nhiên, công ty cũng có số dư tiền mặt 200 triệu đô la, trên đó công ty kiếm được thu nhập lãi sau thuế 10 triệu đô la trong năm ngoái. (Thu nhập lãi này được bao gồm trong thu nhập ròng, và tiền mặt là một phần của giá trị sổ sách vốn chủ sở hữu.) Chi phí vốn chủ sở hữu của công ty là 9%.</w:t>
      </w:r>
    </w:p>
    <w:p>
      <w:pPr>
        <w:numPr>
          <w:ilvl w:val="1"/>
          <w:numId w:val="140"/>
        </w:numPr>
        <w:pStyle w:val="Para 01"/>
      </w:pPr>
      <w:r>
        <w:t>Ước tính lợi nhuận trên vốn chủ sở hữu phi tiền mặt tại Luminos Corporation.</w:t>
      </w:r>
    </w:p>
    <w:p>
      <w:pPr>
        <w:numPr>
          <w:ilvl w:val="1"/>
          <w:numId w:val="140"/>
        </w:numPr>
        <w:pStyle w:val="Para 01"/>
      </w:pPr>
      <w:r>
        <w:t>Nếu bạn kỳ vọng dòng tiền từ các tài sản hoạt động của Luminos tăng 3% mỗi năm vĩnh viễn, hãy ước tính giá trị vốn chủ sở hữu tại Luminos.</w:t>
      </w:r>
    </w:p>
    <w:p>
      <w:bookmarkStart w:id="2842" w:name="Notes__1_The_average_payout_rati"/>
      <w:bookmarkStart w:id="2843" w:name="Notes_13"/>
      <w:pPr>
        <w:keepNext/>
        <w:pStyle w:val="Heading 2"/>
        <w:keepLines w:val="on"/>
      </w:pPr>
      <w:r>
        <w:t>Ghi chú</w:t>
      </w:r>
      <w:bookmarkEnd w:id="2842"/>
      <w:bookmarkEnd w:id="2843"/>
    </w:p>
    <w:p>
      <w:pPr>
        <w:pStyle w:val="Para 08"/>
      </w:pPr>
      <w:r>
        <w:t>1 Tỷ lệ chi trả cổ tức trung bình của các công ty lớn ổn định ở Hoa Kỳ từng vượt quá 60% bốn thập kỷ trước, nhưng con số đó đã giảm xuống gần 30–40%, khi các công ty bổ sung cổ tức bằng việc mua lại cổ phiếu.</w:t>
      </w:r>
    </w:p>
    <w:p>
      <w:pPr>
        <w:pStyle w:val="Para 08"/>
      </w:pPr>
      <w:r>
        <w:t>2 Tỷ lệ chi trả cổ tức được sử dụng để ước tính giá trị tăng trưởng ổn định nên là tỷ lệ chi trả cổ tức mà bạn tính toán bằng cách sử dụng tốc độ tăng trưởng ổn định kỳ vọng và lợi nhuận trên vốn chủ sở hữu trong giai đoạn tăng trưởng ổn định.</w:t>
      </w:r>
    </w:p>
    <w:p>
      <w:pPr>
        <w:pStyle w:val="Para 08"/>
      </w:pPr>
      <w:r>
        <w:t>3 Những người ủng hộ mô hình sẽ lập luận rằng việc sử dụng tỷ lệ chi trả cổ tức của giai đoạn ổn định cho các công ty chi trả ít hoặc không chi trả cổ tức có khả năng chỉ gây ra những sai số nhỏ trong định giá.</w:t>
      </w:r>
    </w:p>
    <w:p>
      <w:pPr>
        <w:pStyle w:val="Para 08"/>
      </w:pPr>
      <w:r>
        <w:t>4 Định nghĩa về tốc độ tăng trưởng cao là chủ quan, nhưng việc cho phép một giai đoạn chuyển tiếp đối với một công ty chỉ có mức tăng trưởng vừa phải (thay vì tăng trưởng cao) sẽ ít ảnh hưởng đến giá trị. Do đó, nếu còn nghi ngờ về việc liệu một tốc độ tăng trưởng có đủ "cao" hay không, chúng ta sẽ sử dụng một giai đoạn chuyển tiếp để điều chỉnh các thông số đầu vào.</w:t>
      </w:r>
    </w:p>
    <w:p>
      <w:pPr>
        <w:pStyle w:val="Para 08"/>
      </w:pPr>
      <w:r>
        <w:t>5 Tỷ lệ chi trả cổ tức ổn định = g ổn định/ ROE ổn định = 1 − 3,88%/17,04% = 77,23%.</w:t>
      </w:r>
    </w:p>
    <w:p>
      <w:pPr>
        <w:pStyle w:val="Para 08"/>
      </w:pPr>
      <w:r>
        <w:t>6 Tỷ lệ kết hợp phải được cố định theo giá trị sổ sách. Nó có thể thay đổi theo giá trị thị trường.</w:t>
      </w:r>
    </w:p>
    <w:p>
      <w:bookmarkStart w:id="2850" w:name="Chapter_15Firm_Valuation__Cost_o"/>
      <w:bookmarkStart w:id="2851" w:name="Top_of_c015_xhtml"/>
      <w:bookmarkStart w:id="2852" w:name="Chapter_15Firm_Valuation__Cost_o_1"/>
      <w:pPr>
        <w:keepNext/>
        <w:pStyle w:val="Heading 1"/>
        <w:pageBreakBefore w:val="on"/>
        <w:keepLines w:val="on"/>
      </w:pPr>
      <w:r>
        <w:t>CHƯƠNG 15</w:t>
      </w:r>
      <w:r>
        <w:br/>
      </w:r>
      <w:r>
        <w:t>Định giá doanh nghiệp: Phương pháp chi phí vốn và giá trị hiện tại điều chỉnh</w:t>
      </w:r>
      <w:bookmarkEnd w:id="2850"/>
      <w:bookmarkEnd w:id="2851"/>
      <w:bookmarkEnd w:id="2852"/>
    </w:p>
    <w:p>
      <w:pPr>
        <w:pStyle w:val="Para 03"/>
      </w:pPr>
      <w:r>
        <w:t>Chương trước đã xem xét hai phương pháp định giá vốn chủ sở hữu trong công ty—mô hình chiết khấu cổ tức và mô hình định giá dòng tiền tự do cho vốn chủ sở hữu (FCFE). Chương này xem xét các phương pháp định giá trong đó toàn bộ công ty được định giá, bằng cách chiết khấu dòng tiền tích lũy cho tất cả những người nắm giữ quyền đòi đối với công ty theo chi phí vốn bình quân gia quyền (phương pháp chi phí vốn) hoặc bằng cách cộng thêm tác động biên của nợ vay lên giá trị vào giá trị công ty không có đòn bẩy—phương pháp giá trị hiện tại điều chỉnh (APV).</w:t>
      </w:r>
    </w:p>
    <w:p>
      <w:pPr>
        <w:pStyle w:val="Para 03"/>
      </w:pPr>
      <w:r>
        <w:t>Trong quá trình xem xét định giá công ty, chúng ta cũng xem xét việc đòn bẩy có thể ảnh hưởng hay không ảnh hưởng đến giá trị công ty như thế nào. Chúng ta lưu ý rằng khi có rủi ro vỡ nợ, thuế và chi phí đại diện, việc tăng đòn bẩy đôi khi có thể làm tăng giá trị công ty và đôi khi làm giảm nó. Trên thực tế, chúng ta lập luận rằng cơ cấu tài chính tối ưu cho một công ty là cơ cấu tối đa hóa giá trị công ty.</w:t>
      </w:r>
    </w:p>
    <w:p>
      <w:bookmarkStart w:id="2854" w:name="Free_Cash_Flow_to_the_Firm"/>
      <w:bookmarkStart w:id="2855" w:name="Free_Cash_Flow_to_the_Firm__The"/>
      <w:pPr>
        <w:keepNext/>
        <w:pStyle w:val="Heading 2"/>
        <w:keepLines w:val="on"/>
      </w:pPr>
      <w:r>
        <w:t>Dòng tiền tự do của doanh nghiệp</w:t>
      </w:r>
      <w:bookmarkEnd w:id="2854"/>
      <w:bookmarkEnd w:id="2855"/>
    </w:p>
    <w:p>
      <w:pPr>
        <w:pStyle w:val="Para 03"/>
      </w:pPr>
      <w:r>
        <w:t>Dòng tiền tự do của doanh nghiệp (FCFF - Free Cash Flow to the Firm) là tổng dòng tiền thuộc về tất cả những ai có quyền đòi với doanh nghiệp, bao gồm cổ đông phổ thông, trái chủ và cổ đông ưu đãi. Có hai cách để đo lường dòng tiền tự do của doanh nghiệp.</w:t>
      </w:r>
    </w:p>
    <w:p>
      <w:pPr>
        <w:pStyle w:val="Para 03"/>
      </w:pPr>
      <w:r>
        <w:t>Một cách là cộng gộp dòng tiền thuộc về những người có quyền đòi, bao gồm dòng tiền thuộc về vốn chủ sở hữu (được định nghĩa là dòng tiền tự do của vốn chủ sở hữu hoặc cổ tức); dòng tiền thuộc về bên cho vay (bao gồm các khoản trả gốc, chi phí lãi vay và phát hành nợ mới); và dòng tiền thuộc về cổ đông ưu đãi (thường là cổ tức ưu đãi):</w:t>
      </w:r>
    </w:p>
    <w:p>
      <w:bookmarkStart w:id="2856" w:name="FCFF_Free_cash_flow_to_equity_In"/>
      <w:pPr>
        <w:keepNext/>
        <w:pStyle w:val="Para 09"/>
        <w:keepLines w:val="on"/>
      </w:pPr>
      <w:r>
        <w:t>FCFF = Dòng tiền tự do của vốn chủ sở hữu + Chi phí lãi vay (1 - Thuế suất) + Trả gốc - Phát hành nợ mới + Cổ tức ưu đãi</w:t>
      </w:r>
      <w:bookmarkEnd w:id="2856"/>
    </w:p>
    <w:p>
      <w:pPr>
        <w:pStyle w:val="Para 03"/>
      </w:pPr>
      <w:r>
        <w:t>Tuy nhiên, lưu ý rằng chúng ta đang đảo ngược quy trình mà ta đã dùng để đi đến dòng tiền tự do của vốn chủ sở hữu, khi mà ta trừ đi các khoản thanh toán cho bên cho vay và cổ đông ưu đãi để ước tính dòng tiền còn lại cho cổ đông. Một cách đơn giản hơn để đi đến dòng tiền tự do của doanh nghiệp là ước tính dòng tiền trước khi trừ bất kỳ khoản đòi nào trong số này. Như vậy, ta có thể bắt đầu từ lợi nhuận trước lãi vay và thuế, trừ đi thuế và nhu cầu tái đầu tư, rồi đi đến ước tính dòng tiền tự do của doanh nghiệp:</w:t>
      </w:r>
    </w:p>
    <w:p>
      <w:bookmarkStart w:id="2858" w:name="FCFF_EBIT1___Tax_rate_Depreciati"/>
      <w:pPr>
        <w:keepNext/>
        <w:pStyle w:val="Para 09"/>
        <w:keepLines w:val="on"/>
      </w:pPr>
      <w:r>
        <w:t>FCFF = EBIT (1 - Thuế suất) + Khấu hao - Chi tiêu vốn - ΔVốn lưu động</w:t>
      </w:r>
      <w:bookmarkEnd w:id="2858"/>
    </w:p>
    <w:p>
      <w:pPr>
        <w:pStyle w:val="Para 03"/>
      </w:pPr>
      <w:r>
        <w:t>Vì dòng tiền này có trước các khoản thanh toán nợ, nó thường được gọi là dòng tiền không vay nợ (unlevered cash flow). Lưu ý rằng dòng tiền tự do của doanh nghiệp này không bao gồm bất kỳ lợi ích thuế nào từ các khoản trả lãi. Đây là chủ ý, bởi vì việc sử dụng chi phí nợ sau thuế trong chi phí vốn đã tính đến lợi ích này rồi, và nếu đưa nó vào dòng tiền thì sẽ bị tính trùng hai lần.</w:t>
      </w:r>
    </w:p>
    <w:p>
      <w:bookmarkStart w:id="2859" w:name="FCFF_and_Other_Cash_Flow_Measure_1"/>
      <w:bookmarkStart w:id="2860" w:name="FCFF_and_Other_Cash_Flow_Measure"/>
      <w:pPr>
        <w:keepNext/>
        <w:pStyle w:val="Heading 3"/>
        <w:keepLines w:val="on"/>
      </w:pPr>
      <w:r>
        <w:t>FCFF và các thước đo dòng tiền khác</w:t>
      </w:r>
      <w:bookmarkEnd w:id="2859"/>
      <w:bookmarkEnd w:id="2860"/>
    </w:p>
    <w:p>
      <w:pPr>
        <w:pStyle w:val="Para 03"/>
      </w:pPr>
      <w:r>
        <w:t>Sự khác biệt giữa FCFF và FCFE chủ yếu đến từ các dòng tiền liên quan đến nợ — các khoản trả lãi, trả gốc và phát hành nợ mới — cùng các quyền đòi phi vốn chủ sở hữu khác như cổ tức ưu đãi. Đối với những doanh nghiệp đang ở mức nợ mong muốn, tài trợ cho chi tiêu vốn và nhu cầu vốn lưu động bằng hỗn hợp nợ và vốn chủ sở hữu này và dùng phát hành nợ mới để tài trợ cho việc trả gốc, dòng tiền tự do của doanh nghiệp sẽ lớn hơn dòng tiền tự do của vốn chủ sở hữu.</w:t>
      </w:r>
    </w:p>
    <w:p>
      <w:pPr>
        <w:pStyle w:val="Para 03"/>
      </w:pPr>
      <w:r>
        <w:t>Một chỉ số được dùng rộng rãi trong định giá là lợi nhuận trước lãi vay, thuế, khấu hao và khấu trừ dần (EBITDA), một thước đo thô về dòng tiền từ hoạt động kinh doanh. Dòng tiền tự do của doanh nghiệp là một khái niệm có liên quan, nhưng nó đầy đủ hơn vì nó tính đến khoản thuế tiềm tàng từ lợi nhuận cũng như chi tiêu vốn và nhu cầu vốn lưu động.</w:t>
      </w:r>
    </w:p>
    <w:p>
      <w:pPr>
        <w:pStyle w:val="Para 03"/>
      </w:pPr>
      <w:r>
        <w:t>Một số nhà phân tích cũng dùng thu nhập hoạt động sau thuế làm đại diện cho dòng tiền tự do của doanh nghiệp, với những định nghĩa khác nhau về thu nhập hoạt động. Định nghĩa thứ nhất, lợi nhuận trước lãi vay và thuế (EBIT) hay thu nhập hoạt động, đến trực tiếp từ báo cáo kết quả kinh doanh của doanh nghiệp. Các điều chỉnh đối với EBIT sẽ cho ra lợi nhuận hoạt động ròng sau thuế (NOPLAT) hoặc thu nhập hoạt động ròng (NOI). Thu nhập hoạt động ròng được định nghĩa là thu nhập từ hoạt động kinh doanh trước thuế và các chi phí ngoài hoạt động.</w:t>
      </w:r>
    </w:p>
    <w:p>
      <w:pPr>
        <w:pStyle w:val="Para 03"/>
      </w:pPr>
      <w:r>
        <w:t>Mỗi thước đo này đều được dùng trong các mô hình định giá, và mỗi thước đo đều có thể được liên hệ với dòng tiền tự do của doanh nghiệp. Tuy nhiên, mỗi thước đo đều đưa ra một số giả định về mối quan hệ giữa khấu hao và chi tiêu vốn, được nêu rõ trong Bảng 15.1.</w:t>
      </w:r>
    </w:p>
    <w:p>
      <w:pPr>
        <w:pStyle w:val="Para 34"/>
        <w:keepLines w:val="on"/>
      </w:pPr>
      <w:r>
        <w:t>Bảng 15.1</w:t>
      </w:r>
    </w:p>
    <w:p>
      <w:pPr>
        <w:keepNext/>
        <w:pStyle w:val="Para 35"/>
        <w:keepLines w:val="on"/>
      </w:pPr>
      <w:r>
        <w:t>Dòng tiền tự do của doanh nghiệp: So sánh với các thước đo khác</w:t>
      </w:r>
    </w:p>
    <w:tbl>
      <w:tblPr>
        <w:tblW w:type="auto" w:w="0"/>
      </w:tblPr>
      <w:tr>
        <w:tc>
          <w:tcPr>
            <w:tcW w:type="auto" w:w="0"/>
          </w:tcPr>
          <w:tbl>
            <w:tblPr>
              <w:tblW w:type="auto" w:w="0"/>
            </w:tblPr>
            <w:tr>
              <w:tc>
                <w:tcPr>
                  <w:tcW w:type="auto" w:w="0"/>
                  <w:shd w:val="clear" w:color="auto" w:fill="F0F0F0"/>
                </w:tcPr>
                <w:p>
                  <w:pPr>
                    <w:pStyle w:val="Para 29"/>
                    <w:keepLines w:val="on"/>
                  </w:pPr>
                  <w:r>
                    <w:t>Dòng tiền được sử dụng</w:t>
                  </w:r>
                </w:p>
              </w:tc>
              <w:tc>
                <w:tcPr>
                  <w:tcW w:type="auto" w:w="0"/>
                  <w:shd w:val="clear" w:color="auto" w:fill="F0F0F0"/>
                </w:tcPr>
                <w:p>
                  <w:pPr>
                    <w:pStyle w:val="Para 29"/>
                    <w:keepLines w:val="on"/>
                  </w:pPr>
                  <w:r>
                    <w:t>Định nghĩa</w:t>
                  </w:r>
                </w:p>
              </w:tc>
              <w:tc>
                <w:tcPr>
                  <w:tcW w:type="auto" w:w="0"/>
                  <w:shd w:val="clear" w:color="auto" w:fill="F0F0F0"/>
                </w:tcPr>
                <w:p>
                  <w:pPr>
                    <w:pStyle w:val="Para 29"/>
                    <w:keepLines w:val="on"/>
                  </w:pPr>
                  <w:r>
                    <w:t>Ứng dụng trong định giá</w:t>
                  </w:r>
                </w:p>
              </w:tc>
            </w:tr>
            <w:tr>
              <w:tc>
                <w:tcPr>
                  <w:tcW w:type="auto" w:w="0"/>
                  <w:shd w:val="clear" w:color="auto" w:fill="F0F0F0"/>
                </w:tcPr>
                <w:p>
                  <w:pPr>
                    <w:pStyle w:val="Para 02"/>
                    <w:keepLines w:val="on"/>
                  </w:pPr>
                  <w:r>
                    <w:t>FCFF</w:t>
                  </w:r>
                </w:p>
              </w:tc>
              <w:tc>
                <w:tcPr>
                  <w:tcW w:type="auto" w:w="0"/>
                  <w:shd w:val="clear" w:color="auto" w:fill="F0F0F0"/>
                </w:tcPr>
                <w:p>
                  <w:pPr>
                    <w:pStyle w:val="Para 02"/>
                    <w:keepLines w:val="on"/>
                  </w:pPr>
                  <w:r>
                    <w:t>Dòng tiền tự do của doanh nghiệp</w:t>
                  </w:r>
                </w:p>
              </w:tc>
              <w:tc>
                <w:tcPr>
                  <w:tcW w:type="auto" w:w="0"/>
                  <w:shd w:val="clear" w:color="auto" w:fill="F0F0F0"/>
                </w:tcPr>
                <w:p>
                  <w:pPr>
                    <w:pStyle w:val="Para 02"/>
                    <w:keepLines w:val="on"/>
                  </w:pPr>
                  <w:r>
                    <w:t>Chiết khấu dòng tiền tự do của doanh nghiệp theo chi phí vốn sẽ cho ra giá trị tài sản hoạt động của doanh nghiệp. Để làm điều này, bạn sẽ cộng thêm giá trị tài sản ngoài hoạt động để đi đến giá trị của doanh nghiệp.</w:t>
                  </w:r>
                </w:p>
              </w:tc>
            </w:tr>
            <w:tr>
              <w:tc>
                <w:tcPr>
                  <w:tcW w:type="auto" w:w="0"/>
                  <w:shd w:val="clear" w:color="auto" w:fill="F0F0F0"/>
                </w:tcPr>
                <w:p>
                  <w:pPr>
                    <w:pStyle w:val="Para 02"/>
                    <w:keepLines w:val="on"/>
                  </w:pPr>
                  <w:r>
                    <w:t>FCFE</w:t>
                  </w:r>
                </w:p>
              </w:tc>
              <w:tc>
                <w:tcPr>
                  <w:tcW w:type="auto" w:w="0"/>
                  <w:shd w:val="clear" w:color="auto" w:fill="F0F0F0"/>
                </w:tcPr>
                <w:p>
                  <w:pPr>
                    <w:pStyle w:val="Para 02"/>
                    <w:keepLines w:val="on"/>
                  </w:pPr>
                  <w:r>
                    <w:t>FCFF – Lãi vay (1–t) – Gốc đã trả + Nợ mới phát hành – Cổ tức ưu đãi</w:t>
                  </w:r>
                </w:p>
              </w:tc>
              <w:tc>
                <w:tcPr>
                  <w:tcW w:type="auto" w:w="0"/>
                  <w:shd w:val="clear" w:color="auto" w:fill="F0F0F0"/>
                </w:tcPr>
                <w:p>
                  <w:pPr>
                    <w:pStyle w:val="Para 02"/>
                    <w:keepLines w:val="on"/>
                  </w:pPr>
                  <w:r>
                    <w:t>Chiết khấu dòng tiền tự do của vốn chủ sở hữu theo chi phí vốn chủ sở hữu sẽ cho ra giá trị vốn chủ sở hữu của một doanh nghiệp.</w:t>
                  </w:r>
                </w:p>
              </w:tc>
            </w:tr>
            <w:tr>
              <w:tc>
                <w:tcPr>
                  <w:tcW w:type="auto" w:w="0"/>
                  <w:shd w:val="clear" w:color="auto" w:fill="F0F0F0"/>
                </w:tcPr>
                <w:p>
                  <w:pPr>
                    <w:pStyle w:val="Para 02"/>
                    <w:keepLines w:val="on"/>
                  </w:pPr>
                  <w:r>
                    <w:t>EBITDA</w:t>
                  </w:r>
                </w:p>
              </w:tc>
              <w:tc>
                <w:tcPr>
                  <w:tcW w:type="auto" w:w="0"/>
                  <w:shd w:val="clear" w:color="auto" w:fill="F0F0F0"/>
                </w:tcPr>
                <w:p>
                  <w:pPr>
                    <w:pStyle w:val="Para 02"/>
                    <w:keepLines w:val="on"/>
                  </w:pPr>
                  <w:r>
                    <w:t>FCFF + EBIT(t) + Chi tiêu vốn + Thay đổi vốn lưu động</w:t>
                  </w:r>
                </w:p>
              </w:tc>
              <w:tc>
                <w:tcPr>
                  <w:tcW w:type="auto" w:w="0"/>
                  <w:shd w:val="clear" w:color="auto" w:fill="F0F0F0"/>
                </w:tcPr>
                <w:p>
                  <w:pPr>
                    <w:pStyle w:val="Para 02"/>
                    <w:keepLines w:val="on"/>
                  </w:pPr>
                  <w:r>
                    <w:t>Nếu bạn chiết khấu EBITDA theo chi phí vốn để định giá một tài sản, bạn đang giả định rằng không có thuế và doanh nghiệp sẽ chủ động thoái vốn dần theo thời gian. Sẽ thật mâu thuẫn nếu giả định một tốc độ tăng trưởng hay vòng đời vô hạn cho doanh nghiệp này.</w:t>
                  </w:r>
                </w:p>
              </w:tc>
            </w:tr>
            <w:tr>
              <w:tc>
                <w:tcPr>
                  <w:tcW w:type="auto" w:w="0"/>
                  <w:shd w:val="clear" w:color="auto" w:fill="F0F0F0"/>
                </w:tcPr>
                <w:p>
                  <w:pPr>
                    <w:pStyle w:val="Para 02"/>
                    <w:keepLines w:val="on"/>
                  </w:pPr>
                  <w:r>
                    <w:t>EBIT (1–t) (NOPLAT là một phiên bản chỉnh sửa đôi chút của ước tính này, và nó loại bỏ mọi khoản mục phi hoạt động có thể ảnh hưởng đến EBIT được báo cáo.)</w:t>
                  </w:r>
                </w:p>
              </w:tc>
              <w:tc>
                <w:tcPr>
                  <w:tcW w:type="auto" w:w="0"/>
                  <w:shd w:val="clear" w:color="auto" w:fill="F0F0F0"/>
                </w:tcPr>
                <w:p>
                  <w:pPr>
                    <w:pStyle w:val="Para 02"/>
                    <w:keepLines w:val="on"/>
                  </w:pPr>
                  <w:r>
                    <w:t>FCFF + Chi phí đầu tư vốn (Capital expenditures) − Khấu hao (Depreciation) + Thay đổi vốn lưu động (Change in working capital)</w:t>
                  </w:r>
                </w:p>
              </w:tc>
              <w:tc>
                <w:tcPr>
                  <w:tcW w:type="auto" w:w="0"/>
                  <w:shd w:val="clear" w:color="auto" w:fill="F0F0F0"/>
                </w:tcPr>
                <w:p>
                  <w:pPr>
                    <w:pStyle w:val="Para 02"/>
                    <w:keepLines w:val="on"/>
                  </w:pPr>
                  <w:r>
                    <w:t>Nếu bạn chiết khấu thu nhập hoạt động sau thuế theo chi phí vốn để định giá một doanh nghiệp, bạn đang giả định rằng không có tái đầu tư. Khấu hao được tái đầu tư trở lại vào doanh nghiệp để duy trì tài sản hiện có. Bạn có thể giả định vòng đời vô hạn nhưng không có tăng trưởng.</w:t>
                  </w:r>
                </w:p>
              </w:tc>
            </w:tr>
          </w:tbl>
          <w:p/>
        </w:tc>
      </w:tr>
    </w:tbl>
    <w:p>
      <w:bookmarkStart w:id="2863" w:name="Growth_in_FCFE_versus_Growth_in"/>
      <w:bookmarkStart w:id="2864" w:name="Growth_in_FCFE_versus_Growth_in_1"/>
      <w:pPr>
        <w:keepNext/>
        <w:pStyle w:val="Heading 3"/>
        <w:keepLines w:val="on"/>
      </w:pPr>
      <w:r>
        <w:t>Tăng trưởng FCFE so với Tăng trưởng FCFF</w:t>
      </w:r>
      <w:bookmarkEnd w:id="2863"/>
      <w:bookmarkEnd w:id="2864"/>
    </w:p>
    <w:p>
      <w:pPr>
        <w:pStyle w:val="Para 03"/>
      </w:pPr>
      <w:r>
        <w:t>Liệu dòng tiền vốn chủ sở hữu và dòng tiền doanh nghiệp có tăng trưởng cùng tốc độ không? Hãy xem điểm khởi đầu của hai dòng tiền này. Dòng tiền vốn chủ sở hữu dựa trên thu nhập ròng hoặc thu nhập trên mỗi cổ phần—những thước đo thu nhập của vốn chủ sở hữu. Dòng tiền doanh nghiệp dựa trên thu nhập hoạt động (tức là thu nhập trước các khoản thanh toán nợ). Theo nguyên tắc chung, bạn sẽ kỳ vọng tăng trưởng thu nhập hoạt động thấp hơn tăng trưởng thu nhập ròng, vì đòn bẩy tài chính có thể khuếch đại thu nhập ròng. Để hiểu vì sao, hãy quay lại các phương trình tăng trưởng cơ bản đã trình bày ở Chương 11:</w:t>
      </w:r>
    </w:p>
    <w:p>
      <w:bookmarkStart w:id="2865" w:name="Expected_growth_in_net_income_Eq_1"/>
      <w:pPr>
        <w:keepNext/>
        <w:pStyle w:val="Para 09"/>
        <w:keepLines w:val="on"/>
      </w:pPr>
      <w:r>
        <w:t>Tăng trưởng kỳ vọng của thu nhập ròng = Tỷ lệ tái đầu tư vốn chủ sở hữu × Lợi nhuận trên vốn chủ sở hữu (ROE)Tăng trưởng kỳ vọng của thu nhập hoạt động = Tỷ lệ tái đầu tư × Lợi nhuận trên vốn đầu tư (ROIC)</w:t>
      </w:r>
      <w:bookmarkEnd w:id="2865"/>
    </w:p>
    <w:p>
      <w:pPr>
        <w:pStyle w:val="Para 03"/>
      </w:pPr>
      <w:r>
        <w:t>Chúng ta cũng đã định nghĩa lợi nhuận trên vốn chủ sở hữu theo lợi nhuận trên vốn đầu tư (ROIC):</w:t>
      </w:r>
    </w:p>
    <w:p>
      <w:bookmarkStart w:id="2866" w:name="Return_on_equity_ROICxDebtEquity"/>
      <w:pPr>
        <w:keepNext/>
        <w:pStyle w:val="Para 09"/>
        <w:keepLines w:val="on"/>
      </w:pPr>
      <w:r>
        <w:t>Lợi nhuận trên vốn chủ sở hữu = ROIC × NợVốn chủ sở hữu (ROIC − Chi phí nợ sau thuế)</w:t>
      </w:r>
      <w:bookmarkEnd w:id="2866"/>
    </w:p>
    <w:p>
      <w:pPr>
        <w:pStyle w:val="Para 03"/>
      </w:pPr>
      <w:r>
        <w:t>Khi một doanh nghiệp vay tiền và đầu tư vào các dự án sinh lời cao hơn chi phí nợ sau thuế, lợi nhuận trên vốn chủ sở hữu sẽ cao hơn lợi nhuận trên vốn đầu tư. Điều này, đến lượt nó, sẽ chuyển hóa thành tốc độ tăng trưởng cao hơn của thu nhập vốn chủ sở hữu, ít nhất là trong ngắn hạn.</w:t>
      </w:r>
    </w:p>
    <w:p>
      <w:pPr>
        <w:pStyle w:val="Para 03"/>
      </w:pPr>
      <w:r>
        <w:t>Tuy nhiên, trong tăng trưởng ổn định, tốc độ tăng trưởng của thu nhập vốn chủ sở hữu và thu nhập hoạt động phải hội tụ về nhau. Để hiểu vì sao, hãy giả sử bạn có một doanh nghiệp mà doanh thu và thu nhập hoạt động tăng trưởng 5% mỗi năm mãi mãi. Nếu bạn giả định rằng thu nhập ròng của cùng doanh nghiệp đó tăng trưởng 6% mỗi năm mãi mãi, thì thu nhập ròng sẽ đuổi kịp thu nhập hoạt động tại một thời điểm nào đó trong tương lai, và vượt qua doanh thu tại một thời điểm muộn hơn. Do đó, trong tăng trưởng ổn định, ngay cả khi lợi nhuận trên vốn chủ sở hữu vượt lợi nhuận trên vốn đầu tư, tăng trưởng kỳ vọng vẫn sẽ giống nhau ở mọi thước đo thu nhập.1</w:t>
      </w:r>
    </w:p>
    <w:p>
      <w:pPr>
        <w:pStyle w:val="Para 20"/>
      </w:pPr>
      <w:r>
        <w:rPr>
          <w:rStyle w:val="Text26"/>
        </w:rPr>
        <w:bookmarkStart w:id="2868" w:name="Page_440"/>
        <w:t/>
        <w:bookmarkEnd w:id="2868"/>
      </w:r>
      <w:r>
        <w:t xml:space="preserve"> </w:t>
      </w:r>
    </w:p>
    <w:p>
      <w:bookmarkStart w:id="2869" w:name="Firm_Valuation__The_Cost_of_Capi_1"/>
      <w:bookmarkStart w:id="2870" w:name="Firm_Valuation__The_Cost_of_Capi"/>
      <w:pPr>
        <w:keepNext/>
        <w:pStyle w:val="Heading 2"/>
        <w:keepLines w:val="on"/>
      </w:pPr>
      <w:r>
        <w:t>Định giá doanh nghiệp: Phương pháp chi phí vốn</w:t>
      </w:r>
      <w:bookmarkEnd w:id="2869"/>
      <w:bookmarkEnd w:id="2870"/>
    </w:p>
    <w:p>
      <w:pPr>
        <w:pStyle w:val="Para 03"/>
      </w:pPr>
      <w:r>
        <w:t>Giá trị của doanh nghiệp có được bằng cách chiết khấu dòng tiền tự do của doanh nghiệp (FCFF) theo chi phí vốn bình quân gia quyền (WACC). Ẩn chứa trong giá trị này là lợi ích thuế của nợ (thông qua việc sử dụng chi phí nợ sau thuế trong chi phí vốn) và rủi ro gia tăng kỳ vọng gắn với nợ (dưới dạng chi phí vốn chủ sở hữu và chi phí nợ cao hơn ở các tỷ lệ nợ cao hơn). Cũng như với mô hình chiết khấu cổ tức và mô hình FCFE, phiên bản mô hình được sử dụng sẽ phụ thuộc vào các giả định đưa ra về tăng trưởng trong tương lai.</w:t>
      </w:r>
    </w:p>
    <w:p>
      <w:bookmarkStart w:id="2871" w:name="Stable_Growth_Firm"/>
      <w:bookmarkStart w:id="2872" w:name="Stable_Growth_Firm__As_with_the"/>
      <w:pPr>
        <w:keepNext/>
        <w:pStyle w:val="Heading 3"/>
        <w:keepLines w:val="on"/>
      </w:pPr>
      <w:r>
        <w:t>Doanh nghiệp tăng trưởng ổn định</w:t>
      </w:r>
      <w:bookmarkEnd w:id="2871"/>
      <w:bookmarkEnd w:id="2872"/>
    </w:p>
    <w:p>
      <w:pPr>
        <w:pStyle w:val="Para 03"/>
      </w:pPr>
      <w:r>
        <w:t>Cũng như với mô hình chiết khấu cổ tức và mô hình FCFE, một doanh nghiệp đang tăng trưởng ở mức nó có thể duy trì mãi mãi—một tốc độ tăng trưởng ổn định—có thể được định giá bằng mô hình tăng trưởng ổn định.</w:t>
      </w:r>
    </w:p>
    <w:p>
      <w:bookmarkStart w:id="2873" w:name="The_Model__A_firm_with_free_cash"/>
      <w:bookmarkStart w:id="2874" w:name="The_Model_8"/>
      <w:pPr>
        <w:keepNext/>
        <w:pStyle w:val="Heading 4"/>
        <w:keepLines w:val="on"/>
      </w:pPr>
      <w:r>
        <w:t>Mô hình</w:t>
      </w:r>
      <w:bookmarkEnd w:id="2873"/>
      <w:bookmarkEnd w:id="2874"/>
    </w:p>
    <w:p>
      <w:pPr>
        <w:pStyle w:val="Para 03"/>
      </w:pPr>
      <w:r>
        <w:t>Một doanh nghiệp có dòng tiền tự do của doanh nghiệp tăng trưởng ở tốc độ ổn định có thể được định giá bằng phương trình sau:</w:t>
      </w:r>
    </w:p>
    <w:p>
      <w:bookmarkStart w:id="2875" w:name="Value_of_enterprise_FCFF1_Cost_o"/>
      <w:pPr>
        <w:keepNext/>
        <w:pStyle w:val="Para 09"/>
        <w:keepLines w:val="on"/>
      </w:pPr>
      <w:r>
        <w:t>Giá trị doanh nghiệp = FCFF1(Chi phí vốn − gn)</w:t>
      </w:r>
      <w:bookmarkEnd w:id="2875"/>
    </w:p>
    <w:p>
      <w:bookmarkStart w:id="2876" w:name="where___FCFF1_Expected_FCFF_next"/>
      <w:pPr>
        <w:pStyle w:val="Para 39"/>
      </w:pPr>
      <w:r>
        <w:t>trong đó FCFF1 = FCFF kỳ vọng năm tới                   gn = Tốc độ tăng trưởng của FCFF mãi mãi</w:t>
      </w:r>
      <w:bookmarkEnd w:id="2876"/>
    </w:p>
    <w:p>
      <w:bookmarkStart w:id="2877" w:name="The_Caveats__There_are_two_condi"/>
      <w:bookmarkStart w:id="2878" w:name="The_Caveats"/>
      <w:pPr>
        <w:keepNext/>
        <w:pStyle w:val="Heading 4"/>
        <w:keepLines w:val="on"/>
      </w:pPr>
      <w:r>
        <w:t>Những lưu ý</w:t>
      </w:r>
      <w:bookmarkEnd w:id="2877"/>
      <w:bookmarkEnd w:id="2878"/>
    </w:p>
    <w:p>
      <w:pPr>
        <w:pStyle w:val="Para 03"/>
      </w:pPr>
      <w:r>
        <w:t>Có hai điều kiện cần được thỏa mãn khi sử dụng mô hình này. Thứ nhất, tốc độ tăng trưởng dùng trong mô hình phải nhỏ hơn hoặc bằng tốc độ tăng trưởng của nền kinh tế—tăng trưởng danh nghĩa, nếu chi phí vốn là danh nghĩa, hoặc tăng trưởng thực, nếu chi phí vốn là chi phí vốn thực. Thứ hai, các đặc điểm của doanh nghiệp phải nhất quán với các giả định về tăng trưởng ổn định. Cụ thể, tỷ lệ tái đầu tư dùng để ước tính dòng tiền tự do của doanh nghiệp phải nhất quán với tốc độ tăng trưởng ổn định. Cách tốt nhất để đảm bảo sự nhất quán này là suy ra tỷ lệ tái đầu tư từ tốc độ tăng trưởng ổn định:</w:t>
      </w:r>
    </w:p>
    <w:p>
      <w:bookmarkStart w:id="2879" w:name="Reinvestment_rate_in_stable_grow_1"/>
      <w:pPr>
        <w:keepNext/>
        <w:pStyle w:val="Para 09"/>
        <w:keepLines w:val="on"/>
      </w:pPr>
      <w:r>
        <w:t>Tỷ lệ tái đầu tư trong tăng trưởng ổn định = Tốc độ tăng trưởngROIC</w:t>
      </w:r>
      <w:bookmarkEnd w:id="2879"/>
    </w:p>
    <w:p>
      <w:pPr>
        <w:pStyle w:val="Para 03"/>
      </w:pPr>
      <w:r>
        <w:t>Nếu tái đầu tư được ước tính từ chi phí đầu tư vốn ròng và thay đổi vốn lưu động, thì chi phí đầu tư vốn ròng có thể tương tự như ở các doanh nghiệp khác trong ngành (có lẽ bằng cách đặt tỷ lệ chi phí đầu tư vốn trên khấu hao ở mức trung bình ngành). Một thay đổi âm trong vốn lưu động tạo ra dòng tiền vào, và có những doanh nghiệp mà điều này có thể tiếp diễn như một thành phần dài hạn của mô hình kinh doanh, nhưng bạn nên kỳ vọng tác động của nó lên dòng tiền sẽ trở nên dịu bớt hơn.2 Ngay cả khi dùng mức trung bình ngành để tính tái đầu tư, vẫn luôn khôn ngoan khi ước tính lợi nhuận trên vốn nào được ngầm định trong khoản tái đầu tư đó (có được bằng cách chia tốc độ tăng trưởng mãi mãi cho tỷ lệ tái đầu tư). Chi phí vốn cũng nên phản ánh một doanh nghiệp tăng trưởng ổn định. Cụ thể, beta nên gần bằng 1—quy tắc ngón tay cái đã trình bày ở các chương trước rằng beta nên nằm trong khoảng 0,8 đến 1,2 vẫn đúng. Mặc dù các doanh nghiệp tăng trưởng ổn định có xu hướng sử dụng nhiều nợ hơn, đây không phải là điều kiện tiên quyết cho mô hình, vì chính sách nợ thuộc quyền quyết định của ban quản lý.</w:t>
      </w:r>
    </w:p>
    <w:p>
      <w:bookmarkStart w:id="2882" w:name="Limitations__Like_all_stable_gro"/>
      <w:bookmarkStart w:id="2883" w:name="Limitations_1"/>
      <w:pPr>
        <w:keepNext/>
        <w:pStyle w:val="Heading 4"/>
        <w:keepLines w:val="on"/>
      </w:pPr>
      <w:r>
        <w:t>Hạn chế</w:t>
      </w:r>
      <w:bookmarkEnd w:id="2882"/>
      <w:bookmarkEnd w:id="2883"/>
    </w:p>
    <w:p>
      <w:pPr>
        <w:pStyle w:val="Para 03"/>
      </w:pPr>
      <w:r>
        <w:t>Như mọi mô hình tăng trưởng ổn định, mô hình này nhạy cảm với các giả định về tốc độ tăng trưởng kỳ vọng. Tuy nhiên, điều này càng được nhấn mạnh bởi thực tế rằng tỷ lệ chiết khấu dùng trong định giá là WACC, vốn thấp hơn đáng kể so với chi phí vốn chủ sở hữu của hầu hết doanh nghiệp. Vì vậy, nếu việc giữ tốc độ tăng trưởng dưới lãi suất phi rủi ro là thông lệ tốt với các mô hình định giá vốn chủ sở hữu, thì điều đó càng đúng hơn với định giá doanh nghiệp. Hơn nữa, mô hình nhạy cảm với các giả định về chi phí đầu tư vốn so với khấu hao. Như đã lưu ý ở Chương 12, nếu các đầu vào cho tái đầu tư không phải là một hàm của tăng trưởng kỳ vọng, thì dòng tiền tự do của doanh nghiệp có thể bị thổi phồng (hoặc giảm bớt) bằng cách giảm (hoặc tăng) chi phí đầu tư vốn so với khấu hao.</w:t>
      </w:r>
    </w:p>
    <w:p>
      <w:pPr>
        <w:pStyle w:val="Para 11"/>
      </w:pPr>
      <w:r>
        <w:t xml:space="preserve"> </w:t>
      </w:r>
    </w:p>
    <w:p>
      <w:bookmarkStart w:id="2884" w:name="ILLUSTRATION_15_1__Valuing_a_Fir_1"/>
      <w:bookmarkStart w:id="2885" w:name="ILLUSTRATION_15_1__Valuing_a_Fir"/>
      <w:pPr>
        <w:keepNext/>
        <w:pStyle w:val="Para 19"/>
        <w:keepLines w:val="on"/>
      </w:pPr>
      <w:r>
        <w:t>MINH HỌA 15.1: Định giá một công ty bằng mô hình FCFF tăng trưởng ổn định—Telesp (Brazil) năm 2010</w:t>
      </w:r>
      <w:bookmarkEnd w:id="2884"/>
      <w:bookmarkEnd w:id="2885"/>
    </w:p>
    <w:p>
      <w:pPr>
        <w:pStyle w:val="Para 04"/>
        <w:keepLines w:val="on"/>
      </w:pPr>
      <w:r>
        <w:t>Telesp cung cấp dịch vụ viễn thông nội hạt cho bang Sao Paulo của Brazil. Năm 2010, công ty có thu nhập hoạt động (EBIT) là 3.544 triệu BR và chịu mức thuế suất thực tế 30%. Năm 2010, công ty báo cáo chi tiêu vốn là 1.659 triệu BR, khấu hao là 1.914 triệu BR, và mức tăng vốn lưu động là 1.119 triệu BR. Do đó, khoản tái đầu tư của công ty trong năm 2010 có thể được tính như sau:</w:t>
      </w:r>
    </w:p>
    <w:p>
      <w:bookmarkStart w:id="2887" w:name="Reinvestment_Capital_Expenditure_1"/>
      <w:pPr>
        <w:keepNext/>
        <w:pStyle w:val="Para 07"/>
        <w:keepLines w:val="on"/>
      </w:pPr>
      <w:r>
        <w:t>Tái đầu tư=Chi tiêu vốn-Khấu hao+Thay đổi vốn lưu động phi tiền mặtEBIT (1-t)=1.659−1.914+1.1193.544(1−.30)=34,82%</w:t>
      </w:r>
      <w:bookmarkEnd w:id="2887"/>
    </w:p>
    <w:p>
      <w:pPr>
        <w:pStyle w:val="Para 04"/>
        <w:keepLines w:val="on"/>
      </w:pPr>
      <w:r>
        <w:t>Tỷ suất sinh lợi trên vốn mà công ty tạo ra trong năm 2010 được tính bằng thu nhập hoạt động của năm đó và giá trị sổ sách của vốn đầu tư vào cuối năm trước (2009):</w:t>
      </w:r>
    </w:p>
    <w:p>
      <w:bookmarkStart w:id="2888" w:name="Return_on_capital_EBIT2010__1_t"/>
      <w:pPr>
        <w:keepNext/>
        <w:pStyle w:val="Para 07"/>
        <w:keepLines w:val="on"/>
      </w:pPr>
      <w:r>
        <w:t>Tỷ suất sinh lợi trên vốn=EBIT2010 (1-t)Giá trị sổ sách vốn chủ sở hữu2009+Giá trị sổ sách nợ2009-Tiền&amp;chứng khoán2009=3.544 (1−.30)10.057+8.042−2.277=15,68%</w:t>
      </w:r>
      <w:bookmarkEnd w:id="2888"/>
    </w:p>
    <w:p>
      <w:pPr>
        <w:pStyle w:val="Para 04"/>
        <w:keepLines w:val="on"/>
      </w:pPr>
      <w:r>
        <w:t>Tốc độ tăng trưởng kỳ vọng rút ra từ những dữ liệu đầu vào này là:</w:t>
      </w:r>
    </w:p>
    <w:p>
      <w:bookmarkStart w:id="2889" w:name="Expected_growth_rate_34_82_x15_6"/>
      <w:pPr>
        <w:keepNext/>
        <w:pStyle w:val="Para 07"/>
        <w:keepLines w:val="on"/>
      </w:pPr>
      <w:r>
        <w:t>Tốc độ tăng trưởng kỳ vọng=34,82%×15,68%=5,46%</w:t>
      </w:r>
      <w:bookmarkEnd w:id="2889"/>
    </w:p>
    <w:p>
      <w:pPr>
        <w:pStyle w:val="Para 04"/>
        <w:keepLines w:val="on"/>
      </w:pPr>
      <w:r>
        <w:t>Mặc dù đây sẽ là một tốc độ tăng trưởng quá cao đối với tăng trưởng ổn định trong một đồng tiền có lạm phát kỳ vọng thấp, nhưng lãi suất phi rủi ro tính bằng BR vào tháng 5 năm 2011 là 7%. Kết hợp với hệ số beta 0,8 và phần bù rủi ro vốn chủ sở hữu cho Brazil là 8% (bao gồm phần bù rủi ro thị trường trưởng thành là 5% và phần bù rủi ro quốc gia bổ sung là 3% cho Brazil), điều này mang lại chi phí vốn chủ sở hữu là 13,40%. Kết hợp với chi phí nợ trước thuế là 9,50% và tỷ lệ nợ là 20% (dựa trên giá trị thị trường hiện tại của vốn chủ sở hữu và nợ) dẫn đến chi phí vốn là 12,05% cho Telesp:</w:t>
      </w:r>
    </w:p>
    <w:p>
      <w:bookmarkStart w:id="2891" w:name="Debt_to_capital_ratio_DebtDebt_M"/>
      <w:pPr>
        <w:keepNext/>
        <w:pStyle w:val="Para 07"/>
        <w:keepLines w:val="on"/>
      </w:pPr>
      <w:r>
        <w:t>Tỷ lệ nợ trên vốn=NợNợ+Giá trị thị trường của vốn chủ sở hữu=5.5195.519+21.982=20,07%</w:t>
      </w:r>
      <w:bookmarkEnd w:id="2891"/>
    </w:p>
    <w:p>
      <w:bookmarkStart w:id="2892" w:name="Cost_of_capital_13_40___0_7993"/>
      <w:pPr>
        <w:keepNext/>
        <w:pStyle w:val="Para 07"/>
        <w:keepLines w:val="on"/>
      </w:pPr>
      <w:r>
        <w:t>Chi phí vốn=13,40% (0,7993)+9,50% (1−.30)(2007)=12,05%</w:t>
      </w:r>
      <w:bookmarkEnd w:id="2892"/>
    </w:p>
    <w:p>
      <w:pPr>
        <w:pStyle w:val="Para 04"/>
        <w:keepLines w:val="on"/>
      </w:pPr>
      <w:r>
        <w:t>Giá trị của tài sản hoạt động sau đó có thể được ước tính như sau:</w:t>
      </w:r>
    </w:p>
    <w:p>
      <w:bookmarkStart w:id="2893" w:name="FCFF_in_2010_EBIT__1_t__Deprecia"/>
      <w:pPr>
        <w:keepNext/>
        <w:pStyle w:val="Para 07"/>
        <w:keepLines w:val="on"/>
      </w:pPr>
      <w:r>
        <w:t>FCFF năm 2010=EBIT (1-t)+Khấu hao-Chi tiêu vốn-Thay đổi vốn lưu động phi tiền mặt =3.544(1−.30)+1.914−1.659−1.119=1.617 triệu BR</w:t>
      </w:r>
      <w:bookmarkEnd w:id="2893"/>
    </w:p>
    <w:p>
      <w:bookmarkStart w:id="2894" w:name="Value_of_operating_assets_Expect"/>
      <w:pPr>
        <w:keepNext/>
        <w:pStyle w:val="Para 07"/>
        <w:keepLines w:val="on"/>
      </w:pPr>
      <w:r>
        <w:t>Giá trị tài sản hoạt động=FCFF kỳ vọng năm sauChi phí vốn-Tốc độ tăng trưởng kỳ vọng=1.617 (1,0546).1205−.0546 =25.901 triệu BR</w:t>
      </w:r>
      <w:bookmarkEnd w:id="2894"/>
    </w:p>
    <w:p>
      <w:pPr>
        <w:pStyle w:val="Para 04"/>
        <w:keepLines w:val="on"/>
      </w:pPr>
      <w:r>
        <w:t>Cộng thêm tiền và chứng khoán có thể bán được (1.557 triệu BR) và trừ đi khoản nợ (5.519 triệu BR) vào cuối năm 2010 sẽ mang lại giá trị vốn chủ sở hữu:</w:t>
      </w:r>
    </w:p>
    <w:p>
      <w:bookmarkStart w:id="2895" w:name="Value_of_equity_Value_of_operati"/>
      <w:pPr>
        <w:keepNext/>
        <w:pStyle w:val="Para 07"/>
        <w:keepLines w:val="on"/>
      </w:pPr>
      <w:r>
        <w:t>Giá trị vốn chủ sở hữu=Giá trị tài sản hoạt động+Tiền-Nợ=25.901+1.557−5.519=21.939 triệu BR</w:t>
      </w:r>
      <w:bookmarkEnd w:id="2895"/>
    </w:p>
    <w:p>
      <w:pPr>
        <w:pStyle w:val="Para 04"/>
        <w:keepLines w:val="on"/>
      </w:pPr>
      <w:r>
        <w:t>Vốn hóa thị trường của công ty vào tháng 5 năm 2011 là 21.982 triệu BR, khiến nó được định giá hợp lý.</w:t>
      </w:r>
    </w:p>
    <w:p>
      <w:bookmarkStart w:id="2896" w:name="General_Versions_of_the_FCFF_Mod"/>
      <w:bookmarkStart w:id="2897" w:name="General_Versions_of_the_FCFF_Mod_1"/>
      <w:pPr>
        <w:keepNext/>
        <w:pStyle w:val="Heading 3"/>
        <w:keepLines w:val="on"/>
      </w:pPr>
      <w:r>
        <w:t>Các phiên bản tổng quát của mô hình FCFF</w:t>
      </w:r>
      <w:bookmarkEnd w:id="2896"/>
      <w:bookmarkEnd w:id="2897"/>
    </w:p>
    <w:p>
      <w:pPr>
        <w:pStyle w:val="Para 03"/>
      </w:pPr>
      <w:r>
        <w:t>Thay vì chia mô hình dòng tiền tự do thành mô hình hai giai đoạn và ba giai đoạn, và có nguy cơ lặp lại những gì đã nói ở chương trước, chúng tôi trình bày phiên bản tổng quát của mô hình trong phần này. Tiếp theo, chúng tôi xem xét một công ty có thuê hoạt động (Target), và một công ty có đầu tư R&amp;D đáng kể (Amgen) để minh họa những khác biệt và tương đồng giữa cách tiếp cận này và cách tiếp cận FCFE.</w:t>
      </w:r>
    </w:p>
    <w:p>
      <w:bookmarkStart w:id="2898" w:name="The_Model_9"/>
      <w:bookmarkStart w:id="2899" w:name="The_Model__The_value_of_the_firm"/>
      <w:pPr>
        <w:keepNext/>
        <w:pStyle w:val="Heading 4"/>
        <w:keepLines w:val="on"/>
      </w:pPr>
      <w:r>
        <w:t>Mô hình</w:t>
      </w:r>
      <w:bookmarkEnd w:id="2898"/>
      <w:bookmarkEnd w:id="2899"/>
    </w:p>
    <w:p>
      <w:pPr>
        <w:pStyle w:val="Para 03"/>
      </w:pPr>
      <w:r>
        <w:t>Giá trị của công ty, trong trường hợp tổng quát nhất, có thể được viết dưới dạng giá trị hiện tại của dòng tiền tự do kỳ vọng thuộc về công ty:</w:t>
      </w:r>
    </w:p>
    <w:p>
      <w:bookmarkStart w:id="2900" w:name="Value_of_operating_assets____t_1"/>
      <w:pPr>
        <w:keepNext/>
        <w:pStyle w:val="Para 09"/>
        <w:keepLines w:val="on"/>
      </w:pPr>
      <w:r>
        <w:t>Giá trị tài sản hoạt động=∑t=1t=∞FCFFt(1+kc)t</w:t>
      </w:r>
      <w:bookmarkEnd w:id="2900"/>
    </w:p>
    <w:p>
      <w:bookmarkStart w:id="2901" w:name="where_____FCFFt_Expected_free_ca"/>
      <w:pPr>
        <w:pStyle w:val="Para 39"/>
      </w:pPr>
      <w:r>
        <w:t>trong đó     FCFFt=Dòng tiền tự do kỳ vọng thuộc về công ty trong năm tkc=Chi phí vốn bình quân gia quyền</w:t>
      </w:r>
      <w:bookmarkEnd w:id="2901"/>
    </w:p>
    <w:p>
      <w:pPr>
        <w:pStyle w:val="Para 03"/>
      </w:pPr>
      <w:r>
        <w:t>Nếu công ty đạt đến trạng thái ổn định sau n năm và bắt đầu tăng trưởng với tốc độ tăng trưởng ổn định gn sau đó, giá trị của công ty có thể được viết như sau:</w:t>
      </w:r>
    </w:p>
    <w:p>
      <w:bookmarkStart w:id="2903" w:name="Value_of_operating_asset____t_1t"/>
      <w:pPr>
        <w:keepNext/>
        <w:pStyle w:val="Para 09"/>
        <w:keepLines w:val="on"/>
      </w:pPr>
      <w:r>
        <w:t>Giá trị tài sản hoạt động=∑t=1t=nFCFFt(1+kc,hg)t+FCFFn+1(kc-gn)(1+kc,st)n</w:t>
      </w:r>
      <w:bookmarkEnd w:id="2903"/>
    </w:p>
    <w:p>
      <w:pPr>
        <w:pStyle w:val="Para 03"/>
      </w:pPr>
      <w:r>
        <w:t>trong đó kc = Chi phí vốn (hg = tăng trưởng cao; st = tăng trưởng ổn định)</w:t>
      </w:r>
    </w:p>
    <w:p>
      <w:pPr>
        <w:pStyle w:val="Para 03"/>
      </w:pPr>
      <w:r>
        <w:t>Mô hình này song hành với những mô hình ta đã dùng cho cổ tức và dòng tiền tự do thuộc về vốn chủ sở hữu (free cash flow to equity), khi tăng trưởng ổn định tiếp nối một giai đoạn tăng trưởng cao. Trong mô hình tăng trưởng cao này có hai biến thể:</w:t>
      </w:r>
    </w:p>
    <w:p>
      <w:pPr>
        <w:numPr>
          <w:ilvl w:val="0"/>
          <w:numId w:val="141"/>
        </w:numPr>
        <w:pStyle w:val="Para 01"/>
      </w:pPr>
      <w:r>
        <w:t>Biên lợi nhuận ổn định: Khi bạn kỳ vọng biên lợi nhuận của một công ty sẽ không đổi theo thời gian, bạn có thể ước tính dòng tiền tự do kỳ vọng thuộc về doanh nghiệp (free cash flow to the firm) trong giai đoạn tăng trưởng cao, bắt đầu từ lợi nhuận hoạt động (operating income), và ước tính tốc độ tăng trưởng trong giai đoạn tăng trưởng cao bằng cấu trúc tăng trưởng bền vững:</w:t>
      </w:r>
    </w:p>
    <w:p>
      <w:bookmarkStart w:id="2904" w:name="Expected_growth_in_operating_inc"/>
      <w:pPr>
        <w:keepNext/>
        <w:pStyle w:val="Para 09"/>
        <w:keepLines w:val="on"/>
      </w:pPr>
      <w:r>
        <w:t>Tăng trưởng kỳ vọng của lợi nhuận hoạt động = ROIC × Tỷ lệ tái đầu tư</w:t>
      </w:r>
      <w:bookmarkEnd w:id="2904"/>
    </w:p>
    <w:p>
      <w:pPr>
        <w:pStyle w:val="Para 03"/>
      </w:pPr>
      <w:r>
        <w:t>Khi tốc độ tăng trưởng thay đổi trong giai đoạn tăng trưởng cao, tỷ suất sinh lời trên vốn (return on capital) và tỷ lệ tái đầu tư (reinvestment rate) cũng sẽ thay đổi để giữ cho chúng đồng bộ với nhau.</w:t>
      </w:r>
    </w:p>
    <w:p>
      <w:pPr>
        <w:numPr>
          <w:ilvl w:val="0"/>
          <w:numId w:val="141"/>
        </w:numPr>
        <w:pStyle w:val="Para 01"/>
      </w:pPr>
      <w:r>
        <w:t>Biên lợi nhuận thay đổi: Khi biên lợi nhuận thay đổi, dù tăng hay giảm theo thời gian, bạn phải bắt đầu từ doanh thu và ước tính dòng tiền tự do qua ba bước. Thứ nhất, bạn dự phóng doanh thu theo thời gian, kết hợp với tăng trưởng doanh thu kỳ vọng, dựa trên quy mô thị trường và khả năng giành thị phần của công ty. Thứ hai, bạn dùng biên lợi nhuận hoạt động dự phóng để ước tính lợi nhuận hoạt động kỳ vọng (trước và sau thuế) cho mỗi năm. Thứ ba, bạn ước tính khoản tái đầu tư bằng cách gắn nó với mức thay đổi doanh thu mỗi năm, và ước tính tỷ lệ doanh thu trên vốn (sales-to-capital ratio). Chúng ta đã mô tả quy trình này chi tiết hơn ở Chương 11.</w:t>
      </w:r>
    </w:p>
    <w:p>
      <w:pPr>
        <w:pStyle w:val="Para 03"/>
      </w:pPr>
      <w:r>
        <w:t>Điểm mấu chốt của cả hai cách tiếp cận đều là dòng tiền tự do kỳ vọng thuộc về doanh nghiệp của mỗi năm.</w:t>
      </w:r>
    </w:p>
    <w:p>
      <w:pPr>
        <w:pStyle w:val="Para 11"/>
      </w:pPr>
      <w:r>
        <w:t xml:space="preserve"> </w:t>
      </w:r>
    </w:p>
    <w:p>
      <w:bookmarkStart w:id="2905" w:name="Market_Value_Weights__Cost_of_Ca_1"/>
      <w:bookmarkStart w:id="2906" w:name="Market_Value_Weights__Cost_of_Ca"/>
      <w:pPr>
        <w:keepNext/>
        <w:pStyle w:val="Para 27"/>
        <w:keepLines w:val="on"/>
      </w:pPr>
      <w:r>
        <w:t>Trọng số theo giá trị thị trường, chi phí vốn và lập luận vòng tròn</w:t>
      </w:r>
      <w:bookmarkEnd w:id="2905"/>
      <w:bookmarkEnd w:id="2906"/>
    </w:p>
    <w:p>
      <w:pPr>
        <w:pStyle w:val="Para 16"/>
        <w:keepLines w:val="on"/>
      </w:pPr>
      <w:r>
        <w:t>Để định giá một doanh nghiệp, trước tiên bạn cần ước tính chi phí vốn (cost of capital). Mọi giáo trình đều dứt khoát rằng trọng số trong phép tính chi phí vốn phải là trọng số theo giá trị thị trường (market value weights). Vấn đề nằm ở chỗ, chi phí vốn sau đó lại được dùng để ước tính những giá trị mới cho nợ và vốn chủ sở hữu, mà những giá trị này có thể không khớp với các giá trị đã dùng trong phép tính ban đầu. Một cách biện minh cho sự mâu thuẫn này là: nếu bạn mua toàn bộ nợ và vốn chủ sở hữu của một công ty niêm yết, bạn sẽ trả theo giá trị thị trường hiện tại chứ không phải giá trị bạn ước tính, và chi phí vốn của bạn phản ánh điều đó.</w:t>
      </w:r>
    </w:p>
    <w:p>
      <w:pPr>
        <w:pStyle w:val="Para 16"/>
        <w:keepLines w:val="on"/>
      </w:pPr>
      <w:r>
        <w:t>Với những ai thấy khó chịu vì sự mâu thuẫn này, vẫn có lối thoát. Bạn có thể định giá theo cách thông thường bằng trọng số giá trị thị trường cho nợ và vốn chủ sở hữu, nhưng sau đó dùng chính các giá trị nợ và vốn chủ sở hữu ước tính được từ việc định giá để ước tính lại chi phí vốn. Tất nhiên, điều này lại làm thay đổi các giá trị một lần nữa, nhưng bạn có thể đưa các giá trị mới trở lại và ước tính chi phí vốn thêm lần nữa. Mỗi lần làm vậy, khoảng cách giữa giá trị bạn dùng làm trọng số và giá trị bạn ước tính sẽ thu hẹp lại, và các giá trị sẽ hội tụ sớm chứ không muộn.</w:t>
      </w:r>
    </w:p>
    <w:p>
      <w:pPr>
        <w:pStyle w:val="Para 16"/>
        <w:keepLines w:val="on"/>
      </w:pPr>
      <w:r>
        <w:t>Vậy điều này tạo ra khác biệt bao nhiêu trong giá trị cuối cùng của bạn? Khoảng cách giữa giá trị thị trường và giá trị bạn ước tính càng lớn thì quá trình lặp này càng tạo ra khác biệt lớn. Khi định giá Telesp, chúng tôi bắt đầu với giá trị thị trường là 21.982 triệu BR và ước tính giá trị là 21.939 triệu BR. Nếu thay ngược giá trị ước tính này vào và lặp đến khi có nghiệm, chúng ta sẽ thu được giá trị ước tính là 21.946 triệu BR.3</w:t>
      </w:r>
    </w:p>
    <w:p>
      <w:bookmarkStart w:id="2909" w:name="Model_Usage__This_remains_the_mo"/>
      <w:bookmarkStart w:id="2910" w:name="Model_Usage_7"/>
      <w:pPr>
        <w:keepNext/>
        <w:pStyle w:val="Heading 4"/>
        <w:keepLines w:val="on"/>
      </w:pPr>
      <w:r>
        <w:t>Việc sử dụng mô hình</w:t>
      </w:r>
      <w:bookmarkEnd w:id="2909"/>
      <w:bookmarkEnd w:id="2910"/>
    </w:p>
    <w:p>
      <w:pPr>
        <w:pStyle w:val="Para 03"/>
      </w:pPr>
      <w:r>
        <w:t>Đây vẫn là mô hình tổng quát nhất để định giá doanh nghiệp và đủ linh hoạt cho bất kỳ công ty nào. Nó có thể dùng để định giá cả những công ty đang lỗ lẫn những công ty đang có lãi, những công ty đang tái cấu trúc và những công ty đang gặp khó khăn. Ở các chương sau, chúng ta sẽ dùng nó để định giá cả những công ty khởi nghiệp lẫn những công ty đang kiệt quệ. Nó cũng có thể dùng khi định giá một công ty có tỷ lệ nợ thay đổi, dù là giảm nợ sau một thương vụ mua lại bằng đòn bẩy (leveraged buyout) hay tăng nợ khi công ty bắt đầu sử dụng nợ mạnh tay hơn lúc trưởng thành. Việc tính FCFE trong những trường hợp này khó hơn nhiều vì sự biến động gây ra bởi các khoản thanh toán nợ (hoặc phát hành nợ mới), và giá trị vốn chủ sở hữu — vốn có thể chỉ là một phần nhỏ trong tổng giá trị doanh nghiệp đối với những công ty đòn bẩy cao — sẽ nhạy cảm hơn với các giả định về tăng trưởng và rủi ro. Tuy nhiên, đáng lưu ý rằng về mặt lý thuyết, hai cách tiếp cận này phải cho ra cùng một giá trị vốn chủ sở hữu. Làm cho chúng khớp nhau trên thực tế lại là một thách thức hoàn toàn khác, mà chúng ta sẽ quay lại xem xét ở phần sau của chương này.</w:t>
      </w:r>
    </w:p>
    <w:p>
      <w:bookmarkStart w:id="2911" w:name="Problems"/>
      <w:bookmarkStart w:id="2912" w:name="Problems__There_are_three_proble"/>
      <w:pPr>
        <w:keepNext/>
        <w:pStyle w:val="Heading 4"/>
        <w:keepLines w:val="on"/>
      </w:pPr>
      <w:r>
        <w:t>Các vấn đề</w:t>
      </w:r>
      <w:bookmarkEnd w:id="2911"/>
      <w:bookmarkEnd w:id="2912"/>
    </w:p>
    <w:p>
      <w:pPr>
        <w:pStyle w:val="Para 03"/>
      </w:pPr>
      <w:r>
        <w:t>Có ba vấn đề mà chúng tôi thấy ở mô hình dòng tiền tự do thuộc về doanh nghiệp. Thứ nhất, dòng tiền tự do thuộc về vốn chủ sở hữu là một thước đo dòng tiền trực quan hơn nhiều so với dòng tiền thuộc về doanh nghiệp. Khi được yêu cầu ước tính dòng tiền, hầu hết chúng ta đều nhìn vào dòng tiền sau khi trả nợ (dòng tiền tự do thuộc về vốn chủ sở hữu), bởi ta có xu hướng nghĩ như chủ doanh nghiệp và coi các khoản trả lãi và trả nợ gốc là dòng tiền ra. Hơn nữa, dòng tiền tự do thuộc về vốn chủ sở hữu là dòng tiền thực, có thể truy vết và phân tích trong một công ty. Còn dòng tiền tự do thuộc về doanh nghiệp là câu trả lời cho một câu hỏi giả định: Dòng tiền của công ty này sẽ ra sao nếu nó không có nợ (và không có các khoản thanh toán liên quan)?</w:t>
      </w:r>
    </w:p>
    <w:p>
      <w:pPr>
        <w:pStyle w:val="Para 03"/>
      </w:pPr>
      <w:r>
        <w:t>Thứ hai, việc tập trung vào dòng tiền trước khi trả nợ đôi khi có thể khiến ta mù quáng trước những vấn đề sống còn thực sự. Để minh họa, giả sử một công ty có dòng tiền tự do thuộc về doanh nghiệp là 100 triệu đô la, nhưng gánh nặng nợ lớn khiến dòng tiền tự do thuộc về vốn chủ sở hữu của nó bằng –50 triệu đô la. Công ty này sẽ phải huy động thêm 50 triệu đô la vốn chủ sở hữu mới để tồn tại, và nếu không làm được, toàn bộ dòng tiền từ đó trở đi sẽ bị đe dọa. Dùng dòng tiền tự do thuộc về vốn chủ sở hữu sẽ báo cho bạn biết vấn đề này, còn dòng tiền tự do thuộc về doanh nghiệp thì khó phản ánh được điều đó.</w:t>
      </w:r>
    </w:p>
    <w:p>
      <w:pPr>
        <w:pStyle w:val="Para 03"/>
      </w:pPr>
      <w:r>
        <w:t>Vấn đề cuối cùng là việc dùng tỷ lệ nợ trong chi phí vốn để đưa tác động của đòn bẩy vào đòi hỏi ta phải đưa ra những giả định ngầm có thể không khả thi hoặc không hợp lý. Chẳng hạn, giả định tỷ lệ nợ theo giá trị thị trường là 30% sẽ buộc một công ty đang tăng trưởng phải phát hành một lượng nợ lớn trong những năm tới để đạt được tỷ lệ đó. Trong quá trình đó, tỷ lệ nợ trên giá trị sổ sách có thể vọt lên mức cao ngất ngưởng và kích hoạt các điều khoản ràng buộc (covenants) hay những hệ quả tiêu cực khác. Thực tế, chúng ta đang tính ngầm cả những lợi ích thuế kỳ vọng từ các đợt phát hành nợ trong tương lai vào giá trị vốn chủ sở hữu ngày hôm nay.</w:t>
      </w:r>
    </w:p>
    <w:p>
      <w:pPr>
        <w:pStyle w:val="Para 11"/>
      </w:pPr>
      <w:r>
        <w:t xml:space="preserve"> </w:t>
      </w:r>
    </w:p>
    <w:p>
      <w:bookmarkStart w:id="2914" w:name="ILLUSTRATION_15_2__Valuing_Targe"/>
      <w:bookmarkStart w:id="2915" w:name="ILLUSTRATION_15_2__Valuing_Targe_1"/>
      <w:pPr>
        <w:keepNext/>
        <w:pStyle w:val="Para 19"/>
        <w:keepLines w:val="on"/>
      </w:pPr>
      <w:r>
        <w:t>MINH HỌA 15.2: Định giá Target — Xử lý hợp đồng thuê hoạt động năm 2010</w:t>
      </w:r>
      <w:bookmarkEnd w:id="2914"/>
      <w:bookmarkEnd w:id="2915"/>
    </w:p>
    <w:p>
      <w:pPr>
        <w:pStyle w:val="Para 04"/>
        <w:keepLines w:val="on"/>
      </w:pPr>
      <w:r>
        <w:t>Ở một chương trước, chúng tôi đã lưu ý rằng các hợp đồng thuê hoạt động (operating leases) trước năm 2019 được xử lý như chi phí hoạt động chứ không phải chi phí tài chính, và đã lập luận rằng nên phân loại lại chúng thành nợ. Dù cách xử lý kế toán đã thay đổi, chúng ta sẽ dùng ví dụ này để minh họa tác động của việc phân loại lại lên việc định giá.</w:t>
      </w:r>
    </w:p>
    <w:p>
      <w:pPr>
        <w:pStyle w:val="Para 04"/>
        <w:keepLines w:val="on"/>
      </w:pPr>
      <w:r>
        <w:t>Năm 2010, Target báo cáo lợi nhuận hoạt động trước thuế là 5.252 triệu đô la trên doanh thu 67.390 triệu đô la. Dù thời kỳ tăng trưởng cao đã ở lại phía sau, vẫn có một số tiềm năng tăng trưởng, và chúng ta sẽ thử định giá công ty bằng mô hình FCFF hai giai đoạn.</w:t>
      </w:r>
    </w:p>
    <w:p>
      <w:pPr>
        <w:pStyle w:val="Para 04"/>
        <w:keepLines w:val="on"/>
      </w:pPr>
      <w:r>
        <w:t>Bước đầu tiên trong việc định giá này là nhận ra rằng các con số trên báo cáo tài chính của Target bị bóp méo do không coi các cam kết thuê là nợ. Dùng báo cáo thường niên năm 2010, chúng tôi thu được các cam kết thuê cho năm năm tiếp theo và xa hơn nữa, rồi chiết khấu chúng theo chi phí nợ trước thuế của Target là 4,5% (ước tính dựa trên xếp hạng trái phiếu A của S&amp;P) để chuyển các cam kết này thành nợ trong Bảng 15.2:</w:t>
      </w:r>
    </w:p>
    <w:p>
      <w:pPr>
        <w:pStyle w:val="Para 25"/>
        <w:keepLines w:val="on"/>
      </w:pPr>
      <w:r>
        <w:t>Bảng 15.2</w:t>
      </w:r>
    </w:p>
    <w:p>
      <w:pPr>
        <w:keepNext/>
        <w:pStyle w:val="Para 24"/>
        <w:keepLines w:val="on"/>
      </w:pPr>
      <w:r>
        <w:t>Giá trị hiện tại của các cam kết thuê — Target</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Cam kết</w:t>
                  </w:r>
                </w:p>
              </w:tc>
              <w:tc>
                <w:tcPr>
                  <w:tcW w:type="auto" w:w="0"/>
                  <w:shd w:val="clear" w:color="auto" w:fill="F0F0F0"/>
                </w:tcPr>
                <w:p>
                  <w:pPr>
                    <w:pStyle w:val="Para 05"/>
                    <w:keepLines w:val="on"/>
                  </w:pPr>
                  <w:r>
                    <w:t>Giá trị hiện tại @ 4,5%</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$190.00</w:t>
                  </w:r>
                </w:p>
              </w:tc>
              <w:tc>
                <w:tcPr>
                  <w:tcW w:type="auto" w:w="0"/>
                  <w:shd w:val="clear" w:color="auto" w:fill="F0F0F0"/>
                </w:tcPr>
                <w:p>
                  <w:pPr>
                    <w:pStyle w:val="Normal"/>
                    <w:keepLines w:val="on"/>
                  </w:pPr>
                  <w:r>
                    <w:t>$181,82</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$189.00</w:t>
                  </w:r>
                </w:p>
              </w:tc>
              <w:tc>
                <w:tcPr>
                  <w:tcW w:type="auto" w:w="0"/>
                  <w:shd w:val="clear" w:color="auto" w:fill="F0F0F0"/>
                </w:tcPr>
                <w:p>
                  <w:pPr>
                    <w:pStyle w:val="Normal"/>
                    <w:keepLines w:val="on"/>
                  </w:pPr>
                  <w:r>
                    <w:t>$173,07</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$187.00</w:t>
                  </w:r>
                </w:p>
              </w:tc>
              <w:tc>
                <w:tcPr>
                  <w:tcW w:type="auto" w:w="0"/>
                  <w:shd w:val="clear" w:color="auto" w:fill="F0F0F0"/>
                </w:tcPr>
                <w:p>
                  <w:pPr>
                    <w:pStyle w:val="Normal"/>
                    <w:keepLines w:val="on"/>
                  </w:pPr>
                  <w:r>
                    <w:t>$163,87</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$147.00</w:t>
                  </w:r>
                </w:p>
              </w:tc>
              <w:tc>
                <w:tcPr>
                  <w:tcW w:type="auto" w:w="0"/>
                  <w:shd w:val="clear" w:color="auto" w:fill="F0F0F0"/>
                </w:tcPr>
                <w:p>
                  <w:pPr>
                    <w:pStyle w:val="Normal"/>
                    <w:keepLines w:val="on"/>
                  </w:pPr>
                  <w:r>
                    <w:t>$123,27</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$141.00</w:t>
                  </w:r>
                </w:p>
              </w:tc>
              <w:tc>
                <w:tcPr>
                  <w:tcW w:type="auto" w:w="0"/>
                  <w:shd w:val="clear" w:color="auto" w:fill="F0F0F0"/>
                </w:tcPr>
                <w:p>
                  <w:pPr>
                    <w:pStyle w:val="Normal"/>
                    <w:keepLines w:val="on"/>
                  </w:pPr>
                  <w:r>
                    <w:t>$113,15</w:t>
                  </w:r>
                </w:p>
              </w:tc>
            </w:tr>
            <w:tr>
              <w:tc>
                <w:tcPr>
                  <w:tcW w:type="auto" w:w="0"/>
                  <w:shd w:val="clear" w:color="auto" w:fill="F0F0F0"/>
                </w:tcPr>
                <w:p>
                  <w:pPr>
                    <w:pStyle w:val="Normal"/>
                    <w:keepLines w:val="on"/>
                  </w:pPr>
                  <w:r>
                    <w:t>6–23</w:t>
                  </w:r>
                </w:p>
              </w:tc>
              <w:tc>
                <w:tcPr>
                  <w:tcW w:type="auto" w:w="0"/>
                  <w:shd w:val="clear" w:color="auto" w:fill="F0F0F0"/>
                </w:tcPr>
                <w:p>
                  <w:pPr>
                    <w:pStyle w:val="Normal"/>
                    <w:keepLines w:val="on"/>
                  </w:pPr>
                  <w:r>
                    <w:t>$172,22</w:t>
                  </w:r>
                </w:p>
              </w:tc>
              <w:tc>
                <w:tcPr>
                  <w:tcW w:type="auto" w:w="0"/>
                  <w:shd w:val="clear" w:color="auto" w:fill="F0F0F0"/>
                </w:tcPr>
                <w:p>
                  <w:pPr>
                    <w:pStyle w:val="Normal"/>
                    <w:keepLines w:val="on"/>
                  </w:pPr>
                  <w:r>
                    <w:t>$1.680,51</w:t>
                  </w:r>
                </w:p>
              </w:tc>
            </w:tr>
            <w:tr>
              <w:tc>
                <w:tcPr>
                  <w:tcW w:type="auto" w:w="0"/>
                  <w:shd w:val="clear" w:color="auto" w:fill="F0F0F0"/>
                </w:tcPr>
                <w:p>
                  <w:pPr>
                    <w:pStyle w:val="Para 02"/>
                    <w:keepLines w:val="on"/>
                  </w:pPr>
                  <w:r>
                    <w:t>Giá trị nợ của các hợp đồng thuê =</w:t>
                  </w:r>
                </w:p>
              </w:tc>
              <w:tc>
                <w:tcPr>
                  <w:tcW w:type="auto" w:w="0"/>
                  <w:shd w:val="clear" w:color="auto" w:fill="F0F0F0"/>
                </w:tcPr>
                <w:p>
                  <w:pPr>
                    <w:pStyle w:val="7 Block"/>
                    <w:keepLines w:val="on"/>
                  </w:pPr>
                </w:p>
              </w:tc>
              <w:tc>
                <w:tcPr>
                  <w:tcW w:type="auto" w:w="0"/>
                  <w:shd w:val="clear" w:color="auto" w:fill="F0F0F0"/>
                </w:tcPr>
                <w:p>
                  <w:pPr>
                    <w:pStyle w:val="Normal"/>
                    <w:keepLines w:val="on"/>
                  </w:pPr>
                  <w:r>
                    <w:t>$2.435,68</w:t>
                  </w:r>
                </w:p>
              </w:tc>
            </w:tr>
          </w:tbl>
          <w:p/>
        </w:tc>
      </w:tr>
    </w:tbl>
    <w:p>
      <w:pPr>
        <w:pStyle w:val="Para 04"/>
        <w:keepLines w:val="on"/>
      </w:pPr>
      <w:r>
        <w:t>Lưu ý rằng Target đã báo cáo một khoản trọn gói trị giá 3.100 triệu đô la cho các cam kết sau năm thứ 5, mà chúng tôi đã chuyển đổi thành cam kết hàng năm là 172,22 triệu đô la mỗi năm trong 18 năm (một quyết định phán đoán dựa trên mức cam kết trung bình hàng năm cho các năm 1–5). Chúng tôi sẽ điều chỉnh nợ và thu nhập hoạt động đã báo cáo để phản ánh quyết định coi các cam kết thuê là nợ:</w:t>
      </w:r>
    </w:p>
    <w:p>
      <w:bookmarkStart w:id="2918" w:name="Adjusted_operating_income_Stated"/>
      <w:pPr>
        <w:keepNext/>
        <w:pStyle w:val="Para 07"/>
        <w:keepLines w:val="on"/>
      </w:pPr>
      <w:r>
        <w:t>Thu nhập hoạt động đã điều chỉnh = Thu nhập hoạt động đã báo cáo + Chi phí thuê của năm hiện tại - Khấu hao tài sản đi thuê = 5.252 triệu đô la + 200 triệu - 2.454/23 = 5.346 triệu đô laNợ đã điều chỉnh = Nợ đã báo cáo + Giá trị nợ của các hợp đồng thuê = $15.726 + $2.436 = $18.162 triệu</w:t>
      </w:r>
      <w:bookmarkEnd w:id="2918"/>
    </w:p>
    <w:p>
      <w:pPr>
        <w:pStyle w:val="Para 04"/>
        <w:keepLines w:val="on"/>
      </w:pPr>
      <w:r>
        <w:t>Để ước tính tốc độ tăng trưởng kỳ vọng, chúng tôi ước tính tỷ suất sinh lợi trên vốn (return on capital) và tỷ lệ tái đầu tư (reinvestment rate) cho Target vào năm 2010, một lần nữa vẫn trung thành với quyết định vốn hóa các hợp đồng thuê:</w:t>
      </w:r>
    </w:p>
    <w:p>
      <w:bookmarkStart w:id="2920" w:name="Reinvestment_rate__Cap_Ex_Deprec"/>
      <w:pPr>
        <w:keepNext/>
        <w:pStyle w:val="Para 07"/>
        <w:keepLines w:val="on"/>
      </w:pPr>
      <w:r>
        <w:t>Tỷ lệ tái đầu tư = (Chi phí vốn - Khấu hao + Thay đổi trong giá trị hiện tại của các hợp đồng thuê + Thay đổi trong vốn lưu động phi tiền mặt) / EBIT đã điều chỉnh (1-t) = (2.129 − 2.084 + (2.436 − 2.353) + 332) / 5.346 (1 − 0,35) = 13,24%</w:t>
      </w:r>
      <w:bookmarkEnd w:id="2920"/>
    </w:p>
    <w:p>
      <w:bookmarkStart w:id="2921" w:name="Return_on_invested_capital_Adjus"/>
      <w:pPr>
        <w:keepNext/>
        <w:pStyle w:val="Para 07"/>
        <w:keepLines w:val="on"/>
      </w:pPr>
      <w:r>
        <w:t>Tỷ suất sinh lợi trên vốn đầu tư = EBIT đã điều chỉnh năm 2010 (1 − t) / (Giá trị sổ sách của nợ năm 2009 + Giá trị hiện tại của các hợp đồng thuê năm 2009 + Giá trị sổ sách của vốn chủ sở hữu năm 2009 − tiền mặt năm 2009) = 5.346 (1 − 0,35) / (16.814 + 2.353 + 15.347 − 2.200) = 10,75%</w:t>
      </w:r>
      <w:bookmarkEnd w:id="2921"/>
    </w:p>
    <w:p>
      <w:pPr>
        <w:pStyle w:val="Para 04"/>
        <w:keepLines w:val="on"/>
      </w:pPr>
      <w:r>
        <w:t>Lưu ý rằng chúng ta đã tính giá trị hiện tại của các cam kết thuê tài sản vào cuối năm 2009 bằng cách quay lại báo cáo thường niên của năm đó, trích xuất các cam kết thuê tài sản, và tính giá trị hiện tại của các cam kết này bằng cách sử dụng chi phí nợ trước thuế vào cuối năm 2009.</w:t>
      </w:r>
    </w:p>
    <w:p>
      <w:pPr>
        <w:pStyle w:val="Para 04"/>
        <w:keepLines w:val="on"/>
      </w:pPr>
      <w:r>
        <w:t>Target đã giảm bớt việc tái đầu tư trong năm 2010, nhưng chúng ta kỳ vọng tỷ lệ tái đầu tư sẽ phục hồi trở lại mức 40% (gần với mức trung bình của năm năm qua) trong năm năm tới, mang lại tốc độ tăng trưởng kỳ vọng là 4,30% mỗi năm trong giai đoạn đó:</w:t>
      </w:r>
    </w:p>
    <w:p>
      <w:bookmarkStart w:id="2922" w:name="Expected_growth_rate_Return_on_c"/>
      <w:pPr>
        <w:keepNext/>
        <w:pStyle w:val="Para 07"/>
        <w:keepLines w:val="on"/>
      </w:pPr>
      <w:r>
        <w:t>Tốc độ tăng trưởng kỳ vọng=Tỷ suất sinh lời trên vốn×Tỷ lệ tái đầu tư=10,75%×40%=4,30%</w:t>
      </w:r>
      <w:bookmarkEnd w:id="2922"/>
    </w:p>
    <w:p>
      <w:pPr>
        <w:pStyle w:val="Para 04"/>
        <w:keepLines w:val="on"/>
      </w:pPr>
      <w:r>
        <w:t>Để tính chi phí vốn trong giai đoạn này, chúng ta ước tính hệ số beta của Target là 1,05 (dựa trên hệ số beta trung bình của các nhà bán lẻ tổng hợp) và sử dụng phần bù rủi ro vốn cổ phần là 5% (lãi suất phi rủi ro là 3,5%):</w:t>
      </w:r>
    </w:p>
    <w:p>
      <w:bookmarkStart w:id="2923" w:name="Cost_of_equity_3_5__1_05_5___8_7"/>
      <w:pPr>
        <w:keepNext/>
        <w:pStyle w:val="Para 07"/>
        <w:keepLines w:val="on"/>
      </w:pPr>
      <w:r>
        <w:t>Chi phí vốn cổ phần=3,5%+1,05(5%)=8,75%Chi phí nợ=4,5% (1−,35)=2,93%Tỷ lệ nợ trên vốn=$18.162$18.162+$34.346=34,59%Chi phí vốn=8,75%(1−,3459)+2,93%(,3459)=6,74%</w:t>
      </w:r>
      <w:bookmarkEnd w:id="2923"/>
    </w:p>
    <w:p>
      <w:pPr>
        <w:pStyle w:val="Para 04"/>
        <w:keepLines w:val="on"/>
      </w:pPr>
      <w:r>
        <w:t>Ở đây một lần nữa, chúng ta đã tính tỷ lệ nợ trên vốn, với các hợp đồng thuê hoạt động được coi là một phần của nợ, và vốn hóa thị trường của Target là 34.346 triệu đô la. Dòng tiền tự do cho doanh nghiệp thu được trong năm năm tiếp theo được báo cáo trong Bảng 15.3, với giá trị hiện tại được tính bằng chi phí vốn:</w:t>
      </w:r>
    </w:p>
    <w:p>
      <w:pPr>
        <w:pStyle w:val="Para 25"/>
        <w:keepLines w:val="on"/>
      </w:pPr>
      <w:r>
        <w:t>Bảng 15.3</w:t>
      </w:r>
    </w:p>
    <w:p>
      <w:pPr>
        <w:keepNext/>
        <w:pStyle w:val="Para 24"/>
        <w:keepLines w:val="on"/>
      </w:pPr>
      <w:r>
        <w:t>FCFF kỳ vọng và giá trị hiện tại—Target</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Normal"/>
                    <w:keepLines w:val="on"/>
                  </w:pPr>
                  <w:r>
                    <w:t>4,30%</w:t>
                  </w:r>
                </w:p>
              </w:tc>
              <w:tc>
                <w:tcPr>
                  <w:tcW w:type="auto" w:w="0"/>
                  <w:shd w:val="clear" w:color="auto" w:fill="F0F0F0"/>
                </w:tcPr>
                <w:p>
                  <w:pPr>
                    <w:pStyle w:val="Normal"/>
                    <w:keepLines w:val="on"/>
                  </w:pPr>
                  <w:r>
                    <w:t>4,30%</w:t>
                  </w:r>
                </w:p>
              </w:tc>
              <w:tc>
                <w:tcPr>
                  <w:tcW w:type="auto" w:w="0"/>
                  <w:shd w:val="clear" w:color="auto" w:fill="F0F0F0"/>
                </w:tcPr>
                <w:p>
                  <w:pPr>
                    <w:pStyle w:val="Normal"/>
                    <w:keepLines w:val="on"/>
                  </w:pPr>
                  <w:r>
                    <w:t>4,30%</w:t>
                  </w:r>
                </w:p>
              </w:tc>
              <w:tc>
                <w:tcPr>
                  <w:tcW w:type="auto" w:w="0"/>
                  <w:shd w:val="clear" w:color="auto" w:fill="F0F0F0"/>
                </w:tcPr>
                <w:p>
                  <w:pPr>
                    <w:pStyle w:val="Normal"/>
                    <w:keepLines w:val="on"/>
                  </w:pPr>
                  <w:r>
                    <w:t>4,30%</w:t>
                  </w:r>
                </w:p>
              </w:tc>
              <w:tc>
                <w:tcPr>
                  <w:tcW w:type="auto" w:w="0"/>
                  <w:shd w:val="clear" w:color="auto" w:fill="F0F0F0"/>
                </w:tcPr>
                <w:p>
                  <w:pPr>
                    <w:pStyle w:val="Normal"/>
                    <w:keepLines w:val="on"/>
                  </w:pPr>
                  <w:r>
                    <w:t>4,30%</w:t>
                  </w:r>
                </w:p>
              </w:tc>
            </w:tr>
            <w:tr>
              <w:tc>
                <w:tcPr>
                  <w:tcW w:type="auto" w:w="0"/>
                  <w:shd w:val="clear" w:color="auto" w:fill="F0F0F0"/>
                </w:tcPr>
                <w:p>
                  <w:pPr>
                    <w:pStyle w:val="Para 02"/>
                    <w:keepLines w:val="on"/>
                  </w:pPr>
                  <w:r>
                    <w:t>Tỷ lệ tái đầu tư</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40,00%</w:t>
                  </w:r>
                </w:p>
              </w:tc>
            </w:tr>
            <w:tr>
              <w:tc>
                <w:tcPr>
                  <w:tcW w:type="auto" w:w="0"/>
                  <w:shd w:val="clear" w:color="auto" w:fill="F0F0F0"/>
                </w:tcPr>
                <w:p>
                  <w:pPr>
                    <w:pStyle w:val="Para 02"/>
                    <w:keepLines w:val="on"/>
                  </w:pPr>
                  <w:r>
                    <w:t>EBIT(1– t)</w:t>
                  </w:r>
                </w:p>
              </w:tc>
              <w:tc>
                <w:tcPr>
                  <w:tcW w:type="auto" w:w="0"/>
                  <w:shd w:val="clear" w:color="auto" w:fill="F0F0F0"/>
                </w:tcPr>
                <w:p>
                  <w:pPr>
                    <w:pStyle w:val="Normal"/>
                    <w:keepLines w:val="on"/>
                  </w:pPr>
                  <w:r>
                    <w:t>3.624 đô la</w:t>
                  </w:r>
                </w:p>
              </w:tc>
              <w:tc>
                <w:tcPr>
                  <w:tcW w:type="auto" w:w="0"/>
                  <w:shd w:val="clear" w:color="auto" w:fill="F0F0F0"/>
                </w:tcPr>
                <w:p>
                  <w:pPr>
                    <w:pStyle w:val="Normal"/>
                    <w:keepLines w:val="on"/>
                  </w:pPr>
                  <w:r>
                    <w:t>3.780 đô la</w:t>
                  </w:r>
                </w:p>
              </w:tc>
              <w:tc>
                <w:tcPr>
                  <w:tcW w:type="auto" w:w="0"/>
                  <w:shd w:val="clear" w:color="auto" w:fill="F0F0F0"/>
                </w:tcPr>
                <w:p>
                  <w:pPr>
                    <w:pStyle w:val="Normal"/>
                    <w:keepLines w:val="on"/>
                  </w:pPr>
                  <w:r>
                    <w:t>3.943 đô la</w:t>
                  </w:r>
                </w:p>
              </w:tc>
              <w:tc>
                <w:tcPr>
                  <w:tcW w:type="auto" w:w="0"/>
                  <w:shd w:val="clear" w:color="auto" w:fill="F0F0F0"/>
                </w:tcPr>
                <w:p>
                  <w:pPr>
                    <w:pStyle w:val="Normal"/>
                    <w:keepLines w:val="on"/>
                  </w:pPr>
                  <w:r>
                    <w:t>4.113 đô la</w:t>
                  </w:r>
                </w:p>
              </w:tc>
              <w:tc>
                <w:tcPr>
                  <w:tcW w:type="auto" w:w="0"/>
                  <w:shd w:val="clear" w:color="auto" w:fill="F0F0F0"/>
                </w:tcPr>
                <w:p>
                  <w:pPr>
                    <w:pStyle w:val="Normal"/>
                    <w:keepLines w:val="on"/>
                  </w:pPr>
                  <w:r>
                    <w:t>4.289 đô la</w:t>
                  </w:r>
                </w:p>
              </w:tc>
            </w:tr>
            <w:tr>
              <w:tc>
                <w:tcPr>
                  <w:tcW w:type="auto" w:w="0"/>
                  <w:shd w:val="clear" w:color="auto" w:fill="F0F0F0"/>
                </w:tcPr>
                <w:p>
                  <w:pPr>
                    <w:pStyle w:val="Para 02"/>
                    <w:keepLines w:val="on"/>
                  </w:pPr>
                  <w:r>
                    <w:t>– Tái đầu tư</w:t>
                  </w:r>
                </w:p>
              </w:tc>
              <w:tc>
                <w:tcPr>
                  <w:tcW w:type="auto" w:w="0"/>
                  <w:shd w:val="clear" w:color="auto" w:fill="F0F0F0"/>
                </w:tcPr>
                <w:p>
                  <w:pPr>
                    <w:pStyle w:val="Normal"/>
                    <w:keepLines w:val="on"/>
                  </w:pPr>
                  <w:r>
                    <w:t>1.449 đô la</w:t>
                  </w:r>
                </w:p>
              </w:tc>
              <w:tc>
                <w:tcPr>
                  <w:tcW w:type="auto" w:w="0"/>
                  <w:shd w:val="clear" w:color="auto" w:fill="F0F0F0"/>
                </w:tcPr>
                <w:p>
                  <w:pPr>
                    <w:pStyle w:val="Normal"/>
                    <w:keepLines w:val="on"/>
                  </w:pPr>
                  <w:r>
                    <w:t>1.512 đô la</w:t>
                  </w:r>
                </w:p>
              </w:tc>
              <w:tc>
                <w:tcPr>
                  <w:tcW w:type="auto" w:w="0"/>
                  <w:shd w:val="clear" w:color="auto" w:fill="F0F0F0"/>
                </w:tcPr>
                <w:p>
                  <w:pPr>
                    <w:pStyle w:val="Normal"/>
                    <w:keepLines w:val="on"/>
                  </w:pPr>
                  <w:r>
                    <w:t>1.577 đô la</w:t>
                  </w:r>
                </w:p>
              </w:tc>
              <w:tc>
                <w:tcPr>
                  <w:tcW w:type="auto" w:w="0"/>
                  <w:shd w:val="clear" w:color="auto" w:fill="F0F0F0"/>
                </w:tcPr>
                <w:p>
                  <w:pPr>
                    <w:pStyle w:val="Normal"/>
                    <w:keepLines w:val="on"/>
                  </w:pPr>
                  <w:r>
                    <w:t>1.645 đô la</w:t>
                  </w:r>
                </w:p>
              </w:tc>
              <w:tc>
                <w:tcPr>
                  <w:tcW w:type="auto" w:w="0"/>
                  <w:shd w:val="clear" w:color="auto" w:fill="F0F0F0"/>
                </w:tcPr>
                <w:p>
                  <w:pPr>
                    <w:pStyle w:val="Normal"/>
                    <w:keepLines w:val="on"/>
                  </w:pPr>
                  <w:r>
                    <w:t>1.715 đô la</w:t>
                  </w:r>
                </w:p>
              </w:tc>
            </w:tr>
            <w:tr>
              <w:tc>
                <w:tcPr>
                  <w:tcW w:type="auto" w:w="0"/>
                  <w:shd w:val="clear" w:color="auto" w:fill="F0F0F0"/>
                </w:tcPr>
                <w:p>
                  <w:pPr>
                    <w:pStyle w:val="Para 02"/>
                    <w:keepLines w:val="on"/>
                  </w:pPr>
                  <w:r>
                    <w:t>Dòng tiền tự do của doanh nghiệp</w:t>
                  </w:r>
                </w:p>
              </w:tc>
              <w:tc>
                <w:tcPr>
                  <w:tcW w:type="auto" w:w="0"/>
                  <w:shd w:val="clear" w:color="auto" w:fill="F0F0F0"/>
                </w:tcPr>
                <w:p>
                  <w:pPr>
                    <w:pStyle w:val="Normal"/>
                    <w:keepLines w:val="on"/>
                  </w:pPr>
                  <w:r>
                    <w:t>2.175 đô la</w:t>
                  </w:r>
                </w:p>
              </w:tc>
              <w:tc>
                <w:tcPr>
                  <w:tcW w:type="auto" w:w="0"/>
                  <w:shd w:val="clear" w:color="auto" w:fill="F0F0F0"/>
                </w:tcPr>
                <w:p>
                  <w:pPr>
                    <w:pStyle w:val="Normal"/>
                    <w:keepLines w:val="on"/>
                  </w:pPr>
                  <w:r>
                    <w:t>2.268 đô la</w:t>
                  </w:r>
                </w:p>
              </w:tc>
              <w:tc>
                <w:tcPr>
                  <w:tcW w:type="auto" w:w="0"/>
                  <w:shd w:val="clear" w:color="auto" w:fill="F0F0F0"/>
                </w:tcPr>
                <w:p>
                  <w:pPr>
                    <w:pStyle w:val="Normal"/>
                    <w:keepLines w:val="on"/>
                  </w:pPr>
                  <w:r>
                    <w:t>2.366 đô la</w:t>
                  </w:r>
                </w:p>
              </w:tc>
              <w:tc>
                <w:tcPr>
                  <w:tcW w:type="auto" w:w="0"/>
                  <w:shd w:val="clear" w:color="auto" w:fill="F0F0F0"/>
                </w:tcPr>
                <w:p>
                  <w:pPr>
                    <w:pStyle w:val="Normal"/>
                    <w:keepLines w:val="on"/>
                  </w:pPr>
                  <w:r>
                    <w:t>2.468 đô la</w:t>
                  </w:r>
                </w:p>
              </w:tc>
              <w:tc>
                <w:tcPr>
                  <w:tcW w:type="auto" w:w="0"/>
                  <w:shd w:val="clear" w:color="auto" w:fill="F0F0F0"/>
                </w:tcPr>
                <w:p>
                  <w:pPr>
                    <w:pStyle w:val="Normal"/>
                    <w:keepLines w:val="on"/>
                  </w:pPr>
                  <w:r>
                    <w:t>2.574 đô la</w:t>
                  </w:r>
                </w:p>
              </w:tc>
            </w:tr>
            <w:tr>
              <w:tc>
                <w:tcPr>
                  <w:tcW w:type="auto" w:w="0"/>
                  <w:shd w:val="clear" w:color="auto" w:fill="F0F0F0"/>
                </w:tcPr>
                <w:p>
                  <w:pPr>
                    <w:pStyle w:val="Para 02"/>
                    <w:keepLines w:val="on"/>
                  </w:pPr>
                  <w:r>
                    <w:t>Chi phí vốn</w:t>
                  </w:r>
                </w:p>
              </w:tc>
              <w:tc>
                <w:tcPr>
                  <w:tcW w:type="auto" w:w="0"/>
                  <w:shd w:val="clear" w:color="auto" w:fill="F0F0F0"/>
                </w:tcPr>
                <w:p>
                  <w:pPr>
                    <w:pStyle w:val="Normal"/>
                    <w:keepLines w:val="on"/>
                  </w:pPr>
                  <w:r>
                    <w:t>6,74%</w:t>
                  </w:r>
                </w:p>
              </w:tc>
              <w:tc>
                <w:tcPr>
                  <w:tcW w:type="auto" w:w="0"/>
                  <w:shd w:val="clear" w:color="auto" w:fill="F0F0F0"/>
                </w:tcPr>
                <w:p>
                  <w:pPr>
                    <w:pStyle w:val="Normal"/>
                    <w:keepLines w:val="on"/>
                  </w:pPr>
                  <w:r>
                    <w:t>6,74%</w:t>
                  </w:r>
                </w:p>
              </w:tc>
              <w:tc>
                <w:tcPr>
                  <w:tcW w:type="auto" w:w="0"/>
                  <w:shd w:val="clear" w:color="auto" w:fill="F0F0F0"/>
                </w:tcPr>
                <w:p>
                  <w:pPr>
                    <w:pStyle w:val="Normal"/>
                    <w:keepLines w:val="on"/>
                  </w:pPr>
                  <w:r>
                    <w:t>6,74%</w:t>
                  </w:r>
                </w:p>
              </w:tc>
              <w:tc>
                <w:tcPr>
                  <w:tcW w:type="auto" w:w="0"/>
                  <w:shd w:val="clear" w:color="auto" w:fill="F0F0F0"/>
                </w:tcPr>
                <w:p>
                  <w:pPr>
                    <w:pStyle w:val="Normal"/>
                    <w:keepLines w:val="on"/>
                  </w:pPr>
                  <w:r>
                    <w:t>6,74%</w:t>
                  </w:r>
                </w:p>
              </w:tc>
              <w:tc>
                <w:tcPr>
                  <w:tcW w:type="auto" w:w="0"/>
                  <w:shd w:val="clear" w:color="auto" w:fill="F0F0F0"/>
                </w:tcPr>
                <w:p>
                  <w:pPr>
                    <w:pStyle w:val="Normal"/>
                    <w:keepLines w:val="on"/>
                  </w:pPr>
                  <w:r>
                    <w:t>6,74%</w:t>
                  </w:r>
                </w:p>
              </w:tc>
            </w:tr>
            <w:tr>
              <w:tc>
                <w:tcPr>
                  <w:tcW w:type="auto" w:w="0"/>
                  <w:shd w:val="clear" w:color="auto" w:fill="F0F0F0"/>
                </w:tcPr>
                <w:p>
                  <w:pPr>
                    <w:pStyle w:val="Para 02"/>
                    <w:keepLines w:val="on"/>
                  </w:pPr>
                  <w:r>
                    <w:t>Giá trị hiện tại</w:t>
                  </w:r>
                </w:p>
              </w:tc>
              <w:tc>
                <w:tcPr>
                  <w:tcW w:type="auto" w:w="0"/>
                  <w:shd w:val="clear" w:color="auto" w:fill="F0F0F0"/>
                </w:tcPr>
                <w:p>
                  <w:pPr>
                    <w:pStyle w:val="Normal"/>
                    <w:keepLines w:val="on"/>
                  </w:pPr>
                  <w:r>
                    <w:t>$2,037</w:t>
                  </w:r>
                </w:p>
              </w:tc>
              <w:tc>
                <w:tcPr>
                  <w:tcW w:type="auto" w:w="0"/>
                  <w:shd w:val="clear" w:color="auto" w:fill="F0F0F0"/>
                </w:tcPr>
                <w:p>
                  <w:pPr>
                    <w:pStyle w:val="Normal"/>
                    <w:keepLines w:val="on"/>
                  </w:pPr>
                  <w:r>
                    <w:t>$1,991</w:t>
                  </w:r>
                </w:p>
              </w:tc>
              <w:tc>
                <w:tcPr>
                  <w:tcW w:type="auto" w:w="0"/>
                  <w:shd w:val="clear" w:color="auto" w:fill="F0F0F0"/>
                </w:tcPr>
                <w:p>
                  <w:pPr>
                    <w:pStyle w:val="Normal"/>
                    <w:keepLines w:val="on"/>
                  </w:pPr>
                  <w:r>
                    <w:t>$1,946</w:t>
                  </w:r>
                </w:p>
              </w:tc>
              <w:tc>
                <w:tcPr>
                  <w:tcW w:type="auto" w:w="0"/>
                  <w:shd w:val="clear" w:color="auto" w:fill="F0F0F0"/>
                </w:tcPr>
                <w:p>
                  <w:pPr>
                    <w:pStyle w:val="Normal"/>
                    <w:keepLines w:val="on"/>
                  </w:pPr>
                  <w:r>
                    <w:t>$1,901</w:t>
                  </w:r>
                </w:p>
              </w:tc>
              <w:tc>
                <w:tcPr>
                  <w:tcW w:type="auto" w:w="0"/>
                  <w:shd w:val="clear" w:color="auto" w:fill="F0F0F0"/>
                </w:tcPr>
                <w:p>
                  <w:pPr>
                    <w:pStyle w:val="Normal"/>
                    <w:keepLines w:val="on"/>
                  </w:pPr>
                  <w:r>
                    <w:t>$1,858</w:t>
                  </w:r>
                </w:p>
              </w:tc>
            </w:tr>
          </w:tbl>
          <w:p/>
        </w:tc>
      </w:tr>
    </w:tbl>
    <w:p>
      <w:pPr>
        <w:pStyle w:val="Para 04"/>
        <w:keepLines w:val="on"/>
      </w:pPr>
      <w:r>
        <w:t>Vào cuối năm thứ 5, chúng ta giả định rằng Target sẽ là một công ty trưởng thành, với tốc độ tăng trưởng 3% mãi mãi và tỷ suất sinh lời trên vốn bằng với chi phí vốn của nó. Tỷ lệ tái đầu tư và giá trị cuối kỳ (terminal value) thu được được ước tính trong các phép tính sau:</w:t>
      </w:r>
    </w:p>
    <w:p>
      <w:bookmarkStart w:id="2926" w:name="Return_on_capital_in_stable_grow"/>
      <w:pPr>
        <w:keepNext/>
        <w:pStyle w:val="Para 07"/>
        <w:keepLines w:val="on"/>
      </w:pPr>
      <w:r>
        <w:t>Tỷ suất sinh lời trên vốn ở giai đoạn tăng trưởng ổn định = Chi phí vốn ở giai đoạn tăng trưởng ổn định = 6,74% Tỷ lệ tái đầu tư ở giai đoạn tăng trưởng ổn định = Tốc độ tăng trưởng ổn định / ROIC ổn định = 3,00% / 6,74% = 44,54%</w:t>
      </w:r>
      <w:bookmarkEnd w:id="2926"/>
    </w:p>
    <w:p>
      <w:bookmarkStart w:id="2927" w:name="Terminal_value_EBIT51_tx1_Stable"/>
      <w:pPr>
        <w:keepNext/>
        <w:pStyle w:val="Para 07"/>
        <w:keepLines w:val="on"/>
      </w:pPr>
      <w:r>
        <w:t>Giá trị cuối kỳ = EBIT5(1-t) × (1 + Tốc độ tăng trưởng ổn định) × (1 - Tỷ lệ tái đầu tư) / (Chi phí vốn - Tốc độ tăng trưởng ổn định) = 4.289(1,03)(1−,4454) / (,0674−,03) = $65.597 triệu</w:t>
      </w:r>
      <w:bookmarkEnd w:id="2927"/>
    </w:p>
    <w:p>
      <w:pPr>
        <w:pStyle w:val="Para 04"/>
        <w:keepLines w:val="on"/>
      </w:pPr>
      <w:r>
        <w:t>Cộng giá trị hiện tại của giá trị cuối kỳ vào tổng giá trị hiện tại của dòng tiền tự do của doanh nghiệp (free cash flows to the firm) trong năm năm tới, chúng ta thu được giá trị của tài sản hoạt động:</w:t>
      </w:r>
    </w:p>
    <w:p>
      <w:bookmarkStart w:id="2928" w:name="Value_of_operating_assets_PV_of"/>
      <w:pPr>
        <w:keepNext/>
        <w:pStyle w:val="Para 07"/>
        <w:keepLines w:val="on"/>
      </w:pPr>
      <w:r>
        <w:t>Giá trị tài sản hoạt động = PV của FCFF + PV của giá trị cuối kỳ = 9.733 + $65.597 / 1,0674^5 = $57.086 triệu</w:t>
      </w:r>
      <w:bookmarkEnd w:id="2928"/>
    </w:p>
    <w:p>
      <w:pPr>
        <w:pStyle w:val="Para 04"/>
        <w:keepLines w:val="on"/>
      </w:pPr>
      <w:r>
        <w:t>Cộng thêm số dư tiền mặt ($1.712 triệu) và trừ đi khoản nợ bao gồm cả thuê hoạt động ($18.162 triệu), ta thu được giá trị vốn chủ sở hữu là $40.636 triệu. Chia cho số lượng cổ phiếu (689,13 triệu) cho ra giá trị mỗi cổ phiếu là $58,97, cao hơn khoảng 20% so với giá thị trường phổ biến là $49 vào tháng 5 năm 2011.</w:t>
      </w:r>
    </w:p>
    <w:p>
      <w:pPr>
        <w:pStyle w:val="Para 04"/>
        <w:keepLines w:val="on"/>
      </w:pPr>
      <w:r>
        <w:t>Là phần cuối cùng của phân tích, chúng ta xem xét ảnh hưởng của việc coi thuê hoạt động như nợ đối với định giá. Như Bảng 15.4 cho thấy rõ, nếu giữ nguyên cách xử lý kế toán hiện tại đối với thuê hoạt động như chi phí hoạt động sẽ dẫn đến tỷ suất sinh lời trên vốn cao hơn, chi phí vốn cao hơn và giá trị vốn chủ sở hữu trên mỗi cổ phiếu cao hơn một chút.</w:t>
      </w:r>
    </w:p>
    <w:p>
      <w:pPr>
        <w:pStyle w:val="Para 25"/>
        <w:keepLines w:val="on"/>
      </w:pPr>
      <w:r>
        <w:t>Bảng 15.4</w:t>
      </w:r>
    </w:p>
    <w:p>
      <w:pPr>
        <w:keepNext/>
        <w:pStyle w:val="Para 24"/>
        <w:keepLines w:val="on"/>
      </w:pPr>
      <w:r>
        <w:t>Định giá Target—Ảnh hưởng của việc vốn hóa thuê</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Chi phí hoạt động</w:t>
                  </w:r>
                </w:p>
              </w:tc>
              <w:tc>
                <w:tcPr>
                  <w:tcW w:type="auto" w:w="0"/>
                  <w:shd w:val="clear" w:color="auto" w:fill="F0F0F0"/>
                </w:tcPr>
                <w:p>
                  <w:pPr>
                    <w:pStyle w:val="Para 05"/>
                    <w:keepLines w:val="on"/>
                  </w:pPr>
                  <w:r>
                    <w:t>Chi phí tài chính</w:t>
                  </w:r>
                </w:p>
              </w:tc>
            </w:tr>
            <w:tr>
              <w:tc>
                <w:tcPr>
                  <w:tcW w:type="auto" w:w="0"/>
                  <w:shd w:val="clear" w:color="auto" w:fill="F0F0F0"/>
                </w:tcPr>
                <w:p>
                  <w:pPr>
                    <w:pStyle w:val="Para 02"/>
                    <w:keepLines w:val="on"/>
                  </w:pPr>
                  <w:r>
                    <w:t>Thu nhập hoạt động</w:t>
                  </w:r>
                </w:p>
              </w:tc>
              <w:tc>
                <w:tcPr>
                  <w:tcW w:type="auto" w:w="0"/>
                  <w:shd w:val="clear" w:color="auto" w:fill="F0F0F0"/>
                </w:tcPr>
                <w:p>
                  <w:pPr>
                    <w:pStyle w:val="Para 06"/>
                    <w:keepLines w:val="on"/>
                  </w:pPr>
                  <w:r>
                    <w:t>$5.252,00</w:t>
                  </w:r>
                </w:p>
              </w:tc>
              <w:tc>
                <w:tcPr>
                  <w:tcW w:type="auto" w:w="0"/>
                  <w:shd w:val="clear" w:color="auto" w:fill="F0F0F0"/>
                </w:tcPr>
                <w:p>
                  <w:pPr>
                    <w:pStyle w:val="Para 06"/>
                    <w:keepLines w:val="on"/>
                  </w:pPr>
                  <w:r>
                    <w:t>$5.346,00</w:t>
                  </w:r>
                </w:p>
              </w:tc>
            </w:tr>
            <w:tr>
              <w:tc>
                <w:tcPr>
                  <w:tcW w:type="auto" w:w="0"/>
                  <w:shd w:val="clear" w:color="auto" w:fill="F0F0F0"/>
                </w:tcPr>
                <w:p>
                  <w:pPr>
                    <w:pStyle w:val="Para 02"/>
                    <w:keepLines w:val="on"/>
                  </w:pPr>
                  <w:r>
                    <w:t>Nợ</w:t>
                  </w:r>
                </w:p>
              </w:tc>
              <w:tc>
                <w:tcPr>
                  <w:tcW w:type="auto" w:w="0"/>
                  <w:shd w:val="clear" w:color="auto" w:fill="F0F0F0"/>
                </w:tcPr>
                <w:p>
                  <w:pPr>
                    <w:pStyle w:val="Para 06"/>
                    <w:keepLines w:val="on"/>
                  </w:pPr>
                  <w:r>
                    <w:t>$16.814,00</w:t>
                  </w:r>
                </w:p>
              </w:tc>
              <w:tc>
                <w:tcPr>
                  <w:tcW w:type="auto" w:w="0"/>
                  <w:shd w:val="clear" w:color="auto" w:fill="F0F0F0"/>
                </w:tcPr>
                <w:p>
                  <w:pPr>
                    <w:pStyle w:val="Para 06"/>
                    <w:keepLines w:val="on"/>
                  </w:pPr>
                  <w:r>
                    <w:t>$19.250,00</w:t>
                  </w:r>
                </w:p>
              </w:tc>
            </w:tr>
            <w:tr>
              <w:tc>
                <w:tcPr>
                  <w:tcW w:type="auto" w:w="0"/>
                  <w:shd w:val="clear" w:color="auto" w:fill="F0F0F0"/>
                </w:tcPr>
                <w:p>
                  <w:pPr>
                    <w:pStyle w:val="Para 02"/>
                    <w:keepLines w:val="on"/>
                  </w:pPr>
                  <w:r>
                    <w:t>ROIC</w:t>
                  </w:r>
                </w:p>
              </w:tc>
              <w:tc>
                <w:tcPr>
                  <w:tcW w:type="auto" w:w="0"/>
                  <w:shd w:val="clear" w:color="auto" w:fill="F0F0F0"/>
                </w:tcPr>
                <w:p>
                  <w:pPr>
                    <w:pStyle w:val="Para 06"/>
                    <w:keepLines w:val="on"/>
                  </w:pPr>
                  <w:r>
                    <w:t>11,39%</w:t>
                  </w:r>
                </w:p>
              </w:tc>
              <w:tc>
                <w:tcPr>
                  <w:tcW w:type="auto" w:w="0"/>
                  <w:shd w:val="clear" w:color="auto" w:fill="F0F0F0"/>
                </w:tcPr>
                <w:p>
                  <w:pPr>
                    <w:pStyle w:val="Para 06"/>
                    <w:keepLines w:val="on"/>
                  </w:pPr>
                  <w:r>
                    <w:t>10,75%</w:t>
                  </w:r>
                </w:p>
              </w:tc>
            </w:tr>
            <w:tr>
              <w:tc>
                <w:tcPr>
                  <w:tcW w:type="auto" w:w="0"/>
                  <w:shd w:val="clear" w:color="auto" w:fill="F0F0F0"/>
                </w:tcPr>
                <w:p>
                  <w:pPr>
                    <w:pStyle w:val="Para 02"/>
                    <w:keepLines w:val="on"/>
                  </w:pPr>
                  <w:r>
                    <w:t>Tỷ lệ tái đầu tư</w:t>
                  </w:r>
                </w:p>
              </w:tc>
              <w:tc>
                <w:tcPr>
                  <w:tcW w:type="auto" w:w="0"/>
                  <w:shd w:val="clear" w:color="auto" w:fill="F0F0F0"/>
                </w:tcPr>
                <w:p>
                  <w:pPr>
                    <w:pStyle w:val="Para 06"/>
                    <w:keepLines w:val="on"/>
                  </w:pPr>
                  <w:r>
                    <w:t>40%</w:t>
                  </w:r>
                </w:p>
              </w:tc>
              <w:tc>
                <w:tcPr>
                  <w:tcW w:type="auto" w:w="0"/>
                  <w:shd w:val="clear" w:color="auto" w:fill="F0F0F0"/>
                </w:tcPr>
                <w:p>
                  <w:pPr>
                    <w:pStyle w:val="Para 06"/>
                    <w:keepLines w:val="on"/>
                  </w:pPr>
                  <w:r>
                    <w:t>40%</w:t>
                  </w:r>
                </w:p>
              </w:tc>
            </w:tr>
            <w:tr>
              <w:tc>
                <w:tcPr>
                  <w:tcW w:type="auto" w:w="0"/>
                  <w:shd w:val="clear" w:color="auto" w:fill="F0F0F0"/>
                </w:tcPr>
                <w:p>
                  <w:pPr>
                    <w:pStyle w:val="Para 02"/>
                    <w:keepLines w:val="on"/>
                  </w:pPr>
                  <w:r>
                    <w:t>Tỷ lệ tăng trưởng kỳ vọng</w:t>
                  </w:r>
                </w:p>
              </w:tc>
              <w:tc>
                <w:tcPr>
                  <w:tcW w:type="auto" w:w="0"/>
                  <w:shd w:val="clear" w:color="auto" w:fill="F0F0F0"/>
                </w:tcPr>
                <w:p>
                  <w:pPr>
                    <w:pStyle w:val="Para 06"/>
                    <w:keepLines w:val="on"/>
                  </w:pPr>
                  <w:r>
                    <w:t>4,56%</w:t>
                  </w:r>
                </w:p>
              </w:tc>
              <w:tc>
                <w:tcPr>
                  <w:tcW w:type="auto" w:w="0"/>
                  <w:shd w:val="clear" w:color="auto" w:fill="F0F0F0"/>
                </w:tcPr>
                <w:p>
                  <w:pPr>
                    <w:pStyle w:val="Para 06"/>
                    <w:keepLines w:val="on"/>
                  </w:pPr>
                  <w:r>
                    <w:t>4,30%</w:t>
                  </w:r>
                </w:p>
              </w:tc>
            </w:tr>
            <w:tr>
              <w:tc>
                <w:tcPr>
                  <w:tcW w:type="auto" w:w="0"/>
                  <w:shd w:val="clear" w:color="auto" w:fill="F0F0F0"/>
                </w:tcPr>
                <w:p>
                  <w:pPr>
                    <w:pStyle w:val="Para 02"/>
                    <w:keepLines w:val="on"/>
                  </w:pPr>
                  <w:r>
                    <w:t>Tỷ lệ nợ trên vốn</w:t>
                  </w:r>
                </w:p>
              </w:tc>
              <w:tc>
                <w:tcPr>
                  <w:tcW w:type="auto" w:w="0"/>
                  <w:shd w:val="clear" w:color="auto" w:fill="F0F0F0"/>
                </w:tcPr>
                <w:p>
                  <w:pPr>
                    <w:pStyle w:val="Para 06"/>
                    <w:keepLines w:val="on"/>
                  </w:pPr>
                  <w:r>
                    <w:t>31,41%</w:t>
                  </w:r>
                </w:p>
              </w:tc>
              <w:tc>
                <w:tcPr>
                  <w:tcW w:type="auto" w:w="0"/>
                  <w:shd w:val="clear" w:color="auto" w:fill="F0F0F0"/>
                </w:tcPr>
                <w:p>
                  <w:pPr>
                    <w:pStyle w:val="Para 06"/>
                    <w:keepLines w:val="on"/>
                  </w:pPr>
                  <w:r>
                    <w:t>34,59%</w:t>
                  </w:r>
                </w:p>
              </w:tc>
            </w:tr>
            <w:tr>
              <w:tc>
                <w:tcPr>
                  <w:tcW w:type="auto" w:w="0"/>
                  <w:shd w:val="clear" w:color="auto" w:fill="F0F0F0"/>
                </w:tcPr>
                <w:p>
                  <w:pPr>
                    <w:pStyle w:val="Para 02"/>
                    <w:keepLines w:val="on"/>
                  </w:pPr>
                  <w:r>
                    <w:t>Chi phí vốn</w:t>
                  </w:r>
                </w:p>
              </w:tc>
              <w:tc>
                <w:tcPr>
                  <w:tcW w:type="auto" w:w="0"/>
                  <w:shd w:val="clear" w:color="auto" w:fill="F0F0F0"/>
                </w:tcPr>
                <w:p>
                  <w:pPr>
                    <w:pStyle w:val="Para 06"/>
                    <w:keepLines w:val="on"/>
                  </w:pPr>
                  <w:r>
                    <w:t>6,92%</w:t>
                  </w:r>
                </w:p>
              </w:tc>
              <w:tc>
                <w:tcPr>
                  <w:tcW w:type="auto" w:w="0"/>
                  <w:shd w:val="clear" w:color="auto" w:fill="F0F0F0"/>
                </w:tcPr>
                <w:p>
                  <w:pPr>
                    <w:pStyle w:val="Para 06"/>
                    <w:keepLines w:val="on"/>
                  </w:pPr>
                  <w:r>
                    <w:t>6,74%</w:t>
                  </w:r>
                </w:p>
              </w:tc>
            </w:tr>
            <w:tr>
              <w:tc>
                <w:tcPr>
                  <w:tcW w:type="auto" w:w="0"/>
                  <w:shd w:val="clear" w:color="auto" w:fill="F0F0F0"/>
                </w:tcPr>
                <w:p>
                  <w:pPr>
                    <w:pStyle w:val="Para 02"/>
                    <w:keepLines w:val="on"/>
                  </w:pPr>
                  <w:r>
                    <w:t>Giá trị doanh nghiệp</w:t>
                  </w:r>
                </w:p>
              </w:tc>
              <w:tc>
                <w:tcPr>
                  <w:tcW w:type="auto" w:w="0"/>
                  <w:shd w:val="clear" w:color="auto" w:fill="F0F0F0"/>
                </w:tcPr>
                <w:p>
                  <w:pPr>
                    <w:pStyle w:val="Para 06"/>
                    <w:keepLines w:val="on"/>
                  </w:pPr>
                  <w:r>
                    <w:t>$56.731,00</w:t>
                  </w:r>
                </w:p>
              </w:tc>
              <w:tc>
                <w:tcPr>
                  <w:tcW w:type="auto" w:w="0"/>
                  <w:shd w:val="clear" w:color="auto" w:fill="F0F0F0"/>
                </w:tcPr>
                <w:p>
                  <w:pPr>
                    <w:pStyle w:val="Para 06"/>
                    <w:keepLines w:val="on"/>
                  </w:pPr>
                  <w:r>
                    <w:t>$58.795,00</w:t>
                  </w:r>
                </w:p>
              </w:tc>
            </w:tr>
            <w:tr>
              <w:tc>
                <w:tcPr>
                  <w:tcW w:type="auto" w:w="0"/>
                  <w:shd w:val="clear" w:color="auto" w:fill="F0F0F0"/>
                </w:tcPr>
                <w:p>
                  <w:pPr>
                    <w:pStyle w:val="Para 02"/>
                    <w:keepLines w:val="on"/>
                  </w:pPr>
                  <w:r>
                    <w:t>Giá trị vốn chủ sở hữu</w:t>
                  </w:r>
                </w:p>
              </w:tc>
              <w:tc>
                <w:tcPr>
                  <w:tcW w:type="auto" w:w="0"/>
                  <w:shd w:val="clear" w:color="auto" w:fill="F0F0F0"/>
                </w:tcPr>
                <w:p>
                  <w:pPr>
                    <w:pStyle w:val="Para 06"/>
                    <w:keepLines w:val="on"/>
                  </w:pPr>
                  <w:r>
                    <w:t>$41.005,00</w:t>
                  </w:r>
                </w:p>
              </w:tc>
              <w:tc>
                <w:tcPr>
                  <w:tcW w:type="auto" w:w="0"/>
                  <w:shd w:val="clear" w:color="auto" w:fill="F0F0F0"/>
                </w:tcPr>
                <w:p>
                  <w:pPr>
                    <w:pStyle w:val="Para 06"/>
                    <w:keepLines w:val="on"/>
                  </w:pPr>
                  <w:r>
                    <w:t>$40.633,00</w:t>
                  </w:r>
                </w:p>
              </w:tc>
            </w:tr>
            <w:tr>
              <w:tc>
                <w:tcPr>
                  <w:tcW w:type="auto" w:w="0"/>
                  <w:shd w:val="clear" w:color="auto" w:fill="F0F0F0"/>
                </w:tcPr>
                <w:p>
                  <w:pPr>
                    <w:pStyle w:val="Para 02"/>
                    <w:keepLines w:val="on"/>
                  </w:pPr>
                  <w:r>
                    <w:t>Giá trị mỗi cổ phần</w:t>
                  </w:r>
                </w:p>
              </w:tc>
              <w:tc>
                <w:tcPr>
                  <w:tcW w:type="auto" w:w="0"/>
                  <w:shd w:val="clear" w:color="auto" w:fill="F0F0F0"/>
                </w:tcPr>
                <w:p>
                  <w:pPr>
                    <w:pStyle w:val="Para 06"/>
                    <w:keepLines w:val="on"/>
                  </w:pPr>
                  <w:r>
                    <w:t>$59,50</w:t>
                  </w:r>
                </w:p>
              </w:tc>
              <w:tc>
                <w:tcPr>
                  <w:tcW w:type="auto" w:w="0"/>
                  <w:shd w:val="clear" w:color="auto" w:fill="F0F0F0"/>
                </w:tcPr>
                <w:p>
                  <w:pPr>
                    <w:pStyle w:val="Para 06"/>
                    <w:keepLines w:val="on"/>
                  </w:pPr>
                  <w:r>
                    <w:t>$58,97</w:t>
                  </w:r>
                </w:p>
              </w:tc>
            </w:tr>
          </w:tbl>
          <w:p/>
        </w:tc>
      </w:tr>
    </w:tbl>
    <w:p>
      <w:pPr>
        <w:pStyle w:val="Para 04"/>
        <w:keepLines w:val="on"/>
      </w:pPr>
      <w:r>
        <w:t>Mặc dù tác động lên giá trị mỗi cổ phần là nhỏ trong trường hợp của Target, nhưng nó sẽ lớn hơn đối với những công ty có cam kết thuê tài sản đáng kể hơn (so với nợ thông thường). Một con số quan trọng cần theo dõi là lợi nhuận vượt trội (tỷ suất sinh lời trên vốn – chi phí vốn) mà công ty đạt được. Đối với Target, việc chuyển đổi thuê tài sản thành nợ làm giảm nhẹ lợi nhuận vượt trội từ 4,47% (11,39% trừ 6,92%) xuống 4,01% (10,75% trừ 6,74%), điều này cũng làm giảm giá trị mỗi cổ phần. Mức thay đổi của lợi nhuận vượt trội do điều chỉnh thuê tài sản càng lớn thì tác động của việc chuyển đổi thuê tài sản thành nợ lên giá trị mỗi cổ phần càng lớn.</w:t>
      </w:r>
    </w:p>
    <w:p>
      <w:pPr>
        <w:pStyle w:val="Para 11"/>
      </w:pPr>
      <w:r>
        <w:t xml:space="preserve"> </w:t>
      </w:r>
    </w:p>
    <w:p>
      <w:bookmarkStart w:id="2930" w:name="ILLUSTRATION_15_3__Valuing_Amgen_1"/>
      <w:bookmarkStart w:id="2931" w:name="ILLUSTRATION_15_3__Valuing_Amgen"/>
      <w:pPr>
        <w:keepNext/>
        <w:pStyle w:val="Para 19"/>
        <w:keepLines w:val="on"/>
      </w:pPr>
      <w:r>
        <w:t>VÍ DỤ MINH HỌA 15.3: Định giá Amgen vào tháng 5 năm 2024: Ảnh hưởng của việc vốn hóa R&amp;D</w:t>
      </w:r>
      <w:bookmarkEnd w:id="2930"/>
      <w:bookmarkEnd w:id="2931"/>
    </w:p>
    <w:p>
      <w:pPr>
        <w:pStyle w:val="Para 04"/>
        <w:keepLines w:val="on"/>
      </w:pPr>
      <w:r>
        <w:t>Trong Ví dụ minh họa 9.2, chúng ta đã sử dụng Amgen để minh họa ảnh hưởng của việc vốn hóa R&amp;D, với thời gian phân bổ 10 năm cho R&amp;D. Sử dụng dữ liệu đến năm 2023, chúng ta đã ước tính vốn đầu tư vào R&amp;D và khoản phân bổ trong Bảng 15.5:</w:t>
      </w:r>
    </w:p>
    <w:p>
      <w:pPr>
        <w:pStyle w:val="Para 25"/>
        <w:keepLines w:val="on"/>
      </w:pPr>
      <w:r>
        <w:t>Bảng 15.5</w:t>
      </w:r>
    </w:p>
    <w:p>
      <w:pPr>
        <w:keepNext/>
        <w:pStyle w:val="Para 24"/>
        <w:keepLines w:val="on"/>
      </w:pPr>
      <w:r>
        <w:t>Vốn hóa R&amp;D—Amgen</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Chi phí R&amp;D</w:t>
                  </w:r>
                </w:p>
              </w:tc>
              <w:tc>
                <w:tcPr>
                  <w:tcW w:type="auto" w:w="0"/>
                  <w:shd w:val="clear" w:color="auto" w:fill="F0F0F0"/>
                  <w:hMerge w:val="restart"/>
                </w:tcPr>
                <w:p>
                  <w:pPr>
                    <w:pStyle w:val="Para 05"/>
                    <w:keepLines w:val="on"/>
                  </w:pPr>
                  <w:r>
                    <w:t>Phần chưa khấu hao</w:t>
                  </w:r>
                </w:p>
              </w:tc>
              <w:tc>
                <w:tcPr>
                  <w:hMerge w:val="continue"/>
                </w:tcPr>
                <w:p/>
              </w:tc>
              <w:tc>
                <w:tcPr>
                  <w:tcW w:type="auto" w:w="0"/>
                  <w:shd w:val="clear" w:color="auto" w:fill="F0F0F0"/>
                </w:tcPr>
                <w:p>
                  <w:pPr>
                    <w:pStyle w:val="Para 05"/>
                    <w:keepLines w:val="on"/>
                  </w:pPr>
                  <w:r>
                    <w:t>Khấu hao năm nay</w:t>
                  </w:r>
                </w:p>
              </w:tc>
            </w:tr>
            <w:tr>
              <w:tc>
                <w:tcPr>
                  <w:tcW w:type="auto" w:w="0"/>
                  <w:shd w:val="clear" w:color="auto" w:fill="F0F0F0"/>
                </w:tcPr>
                <w:p>
                  <w:pPr>
                    <w:pStyle w:val="Normal"/>
                    <w:keepLines w:val="on"/>
                  </w:pPr>
                  <w:r>
                    <w:t>Hiện tại</w:t>
                  </w:r>
                </w:p>
              </w:tc>
              <w:tc>
                <w:tcPr>
                  <w:tcW w:type="auto" w:w="0"/>
                  <w:shd w:val="clear" w:color="auto" w:fill="F0F0F0"/>
                </w:tcPr>
                <w:p>
                  <w:pPr>
                    <w:pStyle w:val="Normal"/>
                    <w:keepLines w:val="on"/>
                  </w:pPr>
                  <w:r>
                    <w:t>$4,784.00</w:t>
                  </w:r>
                </w:p>
              </w:tc>
              <w:tc>
                <w:tcPr>
                  <w:tcW w:type="auto" w:w="0"/>
                  <w:shd w:val="clear" w:color="auto" w:fill="F0F0F0"/>
                </w:tcPr>
                <w:p>
                  <w:pPr>
                    <w:pStyle w:val="Normal"/>
                    <w:keepLines w:val="on"/>
                  </w:pPr>
                  <w:r>
                    <w:t>100.00%</w:t>
                  </w:r>
                </w:p>
              </w:tc>
              <w:tc>
                <w:tcPr>
                  <w:tcW w:type="auto" w:w="0"/>
                  <w:shd w:val="clear" w:color="auto" w:fill="F0F0F0"/>
                </w:tcPr>
                <w:p>
                  <w:pPr>
                    <w:pStyle w:val="Normal"/>
                    <w:keepLines w:val="on"/>
                  </w:pPr>
                  <w:r>
                    <w:t>$4,784.00</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$4,434.00</w:t>
                  </w:r>
                </w:p>
              </w:tc>
              <w:tc>
                <w:tcPr>
                  <w:tcW w:type="auto" w:w="0"/>
                  <w:shd w:val="clear" w:color="auto" w:fill="F0F0F0"/>
                </w:tcPr>
                <w:p>
                  <w:pPr>
                    <w:pStyle w:val="Normal"/>
                    <w:keepLines w:val="on"/>
                  </w:pPr>
                  <w:r>
                    <w:t>90.00%</w:t>
                  </w:r>
                </w:p>
              </w:tc>
              <w:tc>
                <w:tcPr>
                  <w:tcW w:type="auto" w:w="0"/>
                  <w:shd w:val="clear" w:color="auto" w:fill="F0F0F0"/>
                </w:tcPr>
                <w:p>
                  <w:pPr>
                    <w:pStyle w:val="Normal"/>
                    <w:keepLines w:val="on"/>
                  </w:pPr>
                  <w:r>
                    <w:t>$3,990.60</w:t>
                  </w:r>
                </w:p>
              </w:tc>
              <w:tc>
                <w:tcPr>
                  <w:tcW w:type="auto" w:w="0"/>
                  <w:shd w:val="clear" w:color="auto" w:fill="F0F0F0"/>
                </w:tcPr>
                <w:p>
                  <w:pPr>
                    <w:pStyle w:val="Normal"/>
                    <w:keepLines w:val="on"/>
                  </w:pPr>
                  <w:r>
                    <w:t>$443.40</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$4,819.00</w:t>
                  </w:r>
                </w:p>
              </w:tc>
              <w:tc>
                <w:tcPr>
                  <w:tcW w:type="auto" w:w="0"/>
                  <w:shd w:val="clear" w:color="auto" w:fill="F0F0F0"/>
                </w:tcPr>
                <w:p>
                  <w:pPr>
                    <w:pStyle w:val="Normal"/>
                    <w:keepLines w:val="on"/>
                  </w:pPr>
                  <w:r>
                    <w:t>80.00%</w:t>
                  </w:r>
                </w:p>
              </w:tc>
              <w:tc>
                <w:tcPr>
                  <w:tcW w:type="auto" w:w="0"/>
                  <w:shd w:val="clear" w:color="auto" w:fill="F0F0F0"/>
                </w:tcPr>
                <w:p>
                  <w:pPr>
                    <w:pStyle w:val="Normal"/>
                    <w:keepLines w:val="on"/>
                  </w:pPr>
                  <w:r>
                    <w:t>$3,855.20</w:t>
                  </w:r>
                </w:p>
              </w:tc>
              <w:tc>
                <w:tcPr>
                  <w:tcW w:type="auto" w:w="0"/>
                  <w:shd w:val="clear" w:color="auto" w:fill="F0F0F0"/>
                </w:tcPr>
                <w:p>
                  <w:pPr>
                    <w:pStyle w:val="Normal"/>
                    <w:keepLines w:val="on"/>
                  </w:pPr>
                  <w:r>
                    <w:t>$481.90</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$4,207.00</w:t>
                  </w:r>
                </w:p>
              </w:tc>
              <w:tc>
                <w:tcPr>
                  <w:tcW w:type="auto" w:w="0"/>
                  <w:shd w:val="clear" w:color="auto" w:fill="F0F0F0"/>
                </w:tcPr>
                <w:p>
                  <w:pPr>
                    <w:pStyle w:val="Normal"/>
                    <w:keepLines w:val="on"/>
                  </w:pPr>
                  <w:r>
                    <w:t>70.00%</w:t>
                  </w:r>
                </w:p>
              </w:tc>
              <w:tc>
                <w:tcPr>
                  <w:tcW w:type="auto" w:w="0"/>
                  <w:shd w:val="clear" w:color="auto" w:fill="F0F0F0"/>
                </w:tcPr>
                <w:p>
                  <w:pPr>
                    <w:pStyle w:val="Normal"/>
                    <w:keepLines w:val="on"/>
                  </w:pPr>
                  <w:r>
                    <w:t>$2,944.90</w:t>
                  </w:r>
                </w:p>
              </w:tc>
              <w:tc>
                <w:tcPr>
                  <w:tcW w:type="auto" w:w="0"/>
                  <w:shd w:val="clear" w:color="auto" w:fill="F0F0F0"/>
                </w:tcPr>
                <w:p>
                  <w:pPr>
                    <w:pStyle w:val="Normal"/>
                    <w:keepLines w:val="on"/>
                  </w:pPr>
                  <w:r>
                    <w:t>$420.70</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$4,116.00</w:t>
                  </w:r>
                </w:p>
              </w:tc>
              <w:tc>
                <w:tcPr>
                  <w:tcW w:type="auto" w:w="0"/>
                  <w:shd w:val="clear" w:color="auto" w:fill="F0F0F0"/>
                </w:tcPr>
                <w:p>
                  <w:pPr>
                    <w:pStyle w:val="Normal"/>
                    <w:keepLines w:val="on"/>
                  </w:pPr>
                  <w:r>
                    <w:t>60.00%</w:t>
                  </w:r>
                </w:p>
              </w:tc>
              <w:tc>
                <w:tcPr>
                  <w:tcW w:type="auto" w:w="0"/>
                  <w:shd w:val="clear" w:color="auto" w:fill="F0F0F0"/>
                </w:tcPr>
                <w:p>
                  <w:pPr>
                    <w:pStyle w:val="Normal"/>
                    <w:keepLines w:val="on"/>
                  </w:pPr>
                  <w:r>
                    <w:t>$2,469.60</w:t>
                  </w:r>
                </w:p>
              </w:tc>
              <w:tc>
                <w:tcPr>
                  <w:tcW w:type="auto" w:w="0"/>
                  <w:shd w:val="clear" w:color="auto" w:fill="F0F0F0"/>
                </w:tcPr>
                <w:p>
                  <w:pPr>
                    <w:pStyle w:val="Normal"/>
                    <w:keepLines w:val="on"/>
                  </w:pPr>
                  <w:r>
                    <w:t>$411.60</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$3,737.00</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$1,868.50</w:t>
                  </w:r>
                </w:p>
              </w:tc>
              <w:tc>
                <w:tcPr>
                  <w:tcW w:type="auto" w:w="0"/>
                  <w:shd w:val="clear" w:color="auto" w:fill="F0F0F0"/>
                </w:tcPr>
                <w:p>
                  <w:pPr>
                    <w:pStyle w:val="Normal"/>
                    <w:keepLines w:val="on"/>
                  </w:pPr>
                  <w:r>
                    <w:t>$373.70</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$3,562.00</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$1,424.80</w:t>
                  </w:r>
                </w:p>
              </w:tc>
              <w:tc>
                <w:tcPr>
                  <w:tcW w:type="auto" w:w="0"/>
                  <w:shd w:val="clear" w:color="auto" w:fill="F0F0F0"/>
                </w:tcPr>
                <w:p>
                  <w:pPr>
                    <w:pStyle w:val="Normal"/>
                    <w:keepLines w:val="on"/>
                  </w:pPr>
                  <w:r>
                    <w:t>$356.20</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$3,840.00</w:t>
                  </w:r>
                </w:p>
              </w:tc>
              <w:tc>
                <w:tcPr>
                  <w:tcW w:type="auto" w:w="0"/>
                  <w:shd w:val="clear" w:color="auto" w:fill="F0F0F0"/>
                </w:tcPr>
                <w:p>
                  <w:pPr>
                    <w:pStyle w:val="Normal"/>
                    <w:keepLines w:val="on"/>
                  </w:pPr>
                  <w:r>
                    <w:t>30.00%</w:t>
                  </w:r>
                </w:p>
              </w:tc>
              <w:tc>
                <w:tcPr>
                  <w:tcW w:type="auto" w:w="0"/>
                  <w:shd w:val="clear" w:color="auto" w:fill="F0F0F0"/>
                </w:tcPr>
                <w:p>
                  <w:pPr>
                    <w:pStyle w:val="Normal"/>
                    <w:keepLines w:val="on"/>
                  </w:pPr>
                  <w:r>
                    <w:t>$1,152.00</w:t>
                  </w:r>
                </w:p>
              </w:tc>
              <w:tc>
                <w:tcPr>
                  <w:tcW w:type="auto" w:w="0"/>
                  <w:shd w:val="clear" w:color="auto" w:fill="F0F0F0"/>
                </w:tcPr>
                <w:p>
                  <w:pPr>
                    <w:pStyle w:val="Normal"/>
                    <w:keepLines w:val="on"/>
                  </w:pPr>
                  <w:r>
                    <w:t>$384.00</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$4,006.00</w:t>
                  </w:r>
                </w:p>
              </w:tc>
              <w:tc>
                <w:tcPr>
                  <w:tcW w:type="auto" w:w="0"/>
                  <w:shd w:val="clear" w:color="auto" w:fill="F0F0F0"/>
                </w:tcPr>
                <w:p>
                  <w:pPr>
                    <w:pStyle w:val="Normal"/>
                    <w:keepLines w:val="on"/>
                  </w:pPr>
                  <w:r>
                    <w:t>20.00%</w:t>
                  </w:r>
                </w:p>
              </w:tc>
              <w:tc>
                <w:tcPr>
                  <w:tcW w:type="auto" w:w="0"/>
                  <w:shd w:val="clear" w:color="auto" w:fill="F0F0F0"/>
                </w:tcPr>
                <w:p>
                  <w:pPr>
                    <w:pStyle w:val="Normal"/>
                    <w:keepLines w:val="on"/>
                  </w:pPr>
                  <w:r>
                    <w:t>$801.20</w:t>
                  </w:r>
                </w:p>
              </w:tc>
              <w:tc>
                <w:tcPr>
                  <w:tcW w:type="auto" w:w="0"/>
                  <w:shd w:val="clear" w:color="auto" w:fill="F0F0F0"/>
                </w:tcPr>
                <w:p>
                  <w:pPr>
                    <w:pStyle w:val="Normal"/>
                    <w:keepLines w:val="on"/>
                  </w:pPr>
                  <w:r>
                    <w:t>$400.60</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$4,248.00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$424.80</w:t>
                  </w:r>
                </w:p>
              </w:tc>
              <w:tc>
                <w:tcPr>
                  <w:tcW w:type="auto" w:w="0"/>
                  <w:shd w:val="clear" w:color="auto" w:fill="F0F0F0"/>
                </w:tcPr>
                <w:p>
                  <w:pPr>
                    <w:pStyle w:val="Normal"/>
                    <w:keepLines w:val="on"/>
                  </w:pPr>
                  <w:r>
                    <w:t>$424.80</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$4,083.00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$408.30</w:t>
                  </w:r>
                </w:p>
              </w:tc>
            </w:tr>
            <w:tr>
              <w:tc>
                <w:tcPr>
                  <w:tcW w:type="auto" w:w="0"/>
                  <w:shd w:val="clear" w:color="auto" w:fill="F0F0F0"/>
                </w:tcPr>
                <w:p>
                  <w:pPr>
                    <w:pStyle w:val="5 Block"/>
                    <w:keepLines w:val="on"/>
                  </w:pPr>
                </w:p>
              </w:tc>
              <w:tc>
                <w:tcPr>
                  <w:tcW w:type="auto" w:w="0"/>
                  <w:shd w:val="clear" w:color="auto" w:fill="F0F0F0"/>
                  <w:hMerge w:val="restart"/>
                </w:tcPr>
                <w:p>
                  <w:pPr>
                    <w:pStyle w:val="Para 02"/>
                    <w:keepLines w:val="on"/>
                  </w:pPr>
                  <w:r>
                    <w:t>Giá trị của tài sản nghiên cứu =</w:t>
                  </w:r>
                </w:p>
              </w:tc>
              <w:tc>
                <w:tcPr>
                  <w:hMerge w:val="continue"/>
                </w:tcPr>
                <w:p/>
              </w:tc>
              <w:tc>
                <w:tcPr>
                  <w:tcW w:type="auto" w:w="0"/>
                  <w:shd w:val="clear" w:color="auto" w:fill="F0F0F0"/>
                </w:tcPr>
                <w:p>
                  <w:pPr>
                    <w:pStyle w:val="Normal"/>
                    <w:keepLines w:val="on"/>
                  </w:pPr>
                  <w:r>
                    <w:t>$23,716.60</w:t>
                  </w:r>
                </w:p>
              </w:tc>
              <w:tc>
                <w:tcPr>
                  <w:tcW w:type="auto" w:w="0"/>
                  <w:shd w:val="clear" w:color="auto" w:fill="F0F0F0"/>
                </w:tcPr>
                <w:p>
                  <w:pPr>
                    <w:pStyle w:val="7 Block"/>
                    <w:keepLines w:val="on"/>
                  </w:pPr>
                </w:p>
              </w:tc>
            </w:tr>
            <w:tr>
              <w:tc>
                <w:tcPr>
                  <w:tcW w:type="auto" w:w="0"/>
                  <w:shd w:val="clear" w:color="auto" w:fill="F0F0F0"/>
                </w:tcPr>
                <w:p>
                  <w:pPr>
                    <w:pStyle w:val="5 Block"/>
                    <w:keepLines w:val="on"/>
                  </w:pPr>
                </w:p>
              </w:tc>
              <w:tc>
                <w:tcPr>
                  <w:tcW w:type="auto" w:w="0"/>
                  <w:shd w:val="clear" w:color="auto" w:fill="F0F0F0"/>
                  <w:hMerge w:val="restart"/>
                </w:tcPr>
                <w:p>
                  <w:pPr>
                    <w:pStyle w:val="Para 02"/>
                    <w:keepLines w:val="on"/>
                  </w:pPr>
                  <w:r>
                    <w:t>Khấu hao tài sản</w:t>
                  </w:r>
                </w:p>
              </w:tc>
              <w:tc>
                <w:tcPr>
                  <w:hMerge w:val="continue"/>
                </w:tcPr>
                <w:p/>
              </w:tc>
              <w:tc>
                <w:tcPr>
                  <w:hMerge w:val="continue"/>
                </w:tcPr>
                <w:p/>
              </w:tc>
              <w:tc>
                <w:tcPr>
                  <w:tcW w:type="auto" w:w="0"/>
                  <w:shd w:val="clear" w:color="auto" w:fill="F0F0F0"/>
                </w:tcPr>
                <w:p>
                  <w:pPr>
                    <w:pStyle w:val="Normal"/>
                    <w:keepLines w:val="on"/>
                  </w:pPr>
                  <w:r>
                    <w:t>$4,105.20</w:t>
                  </w:r>
                </w:p>
              </w:tc>
            </w:tr>
          </w:tbl>
          <w:p/>
        </w:tc>
      </w:tr>
    </w:tbl>
    <w:p>
      <w:pPr>
        <w:pStyle w:val="Para 04"/>
        <w:keepLines w:val="on"/>
      </w:pPr>
      <w:r>
        <w:t>Sử dụng báo cáo tài chính năm 2023, chúng ta tính toán thu nhập hoạt động đã điều chỉnh và giá trị sổ sách của vốn đầu tư tại công ty:</w:t>
      </w:r>
    </w:p>
    <w:p>
      <w:bookmarkStart w:id="2935" w:name="Adjustedoperatingincome_Operatin"/>
      <w:pPr>
        <w:pStyle w:val="Para 52"/>
        <w:keepLines w:val="on"/>
      </w:pPr>
      <w:r>
        <w:t>Thu nhập hoạt động đã điều chỉnh = Thu nhập hoạt động + Chi phí R&amp;D năm hiện tại − Khấu hao tài sản nghiên cứu = 8,164 + 4,784 − 4,105 = $8,843 triệu</w:t>
      </w:r>
      <w:bookmarkEnd w:id="2935"/>
    </w:p>
    <w:p>
      <w:bookmarkStart w:id="2936" w:name="Adjusted_invested_capital2022_Bo"/>
      <w:pPr>
        <w:keepNext/>
        <w:pStyle w:val="Para 07"/>
        <w:keepLines w:val="on"/>
      </w:pPr>
      <w:r>
        <w:t>Vốn đầu tư đã điều chỉnh 2022 = Giá trị sổ sách của vốn đầu tư 2022 + Giá trị tài sản nghiên cứu 2022 = 60,711 + 23037 = $83,748</w:t>
      </w:r>
      <w:bookmarkEnd w:id="2936"/>
    </w:p>
    <w:p>
      <w:pPr>
        <w:pStyle w:val="Para 04"/>
        <w:keepLines w:val="on"/>
      </w:pPr>
      <w:r>
        <w:t>Chúng ta đã sử dụng thu nhập hoạt động đã điều chỉnh để tính biên lợi nhuận hoạt động trước thuế cho Amgen vào năm 2023:</w:t>
      </w:r>
    </w:p>
    <w:p>
      <w:bookmarkStart w:id="2937" w:name="Pretax_operating_margin_in_2023"/>
      <w:pPr>
        <w:keepNext/>
        <w:pStyle w:val="Para 07"/>
        <w:keepLines w:val="on"/>
      </w:pPr>
      <w:r>
        <w:t>Biên lợi nhuận hoạt động trước thuế năm 2023 = Thu nhập hoạt động đã điều chỉnh / Doanh thu = 8843 / 28190 = 31.37%</w:t>
      </w:r>
      <w:bookmarkEnd w:id="2937"/>
    </w:p>
    <w:p>
      <w:pPr>
        <w:pStyle w:val="Para 04"/>
        <w:keepLines w:val="on"/>
      </w:pPr>
      <w:r>
        <w:t>Biên lợi nhuận đó đã giảm so với mức 35–40% mà công ty từng đạt được trong lịch sử.</w:t>
      </w:r>
    </w:p>
    <w:p>
      <w:pPr>
        <w:pStyle w:val="Para 04"/>
        <w:keepLines w:val="on"/>
      </w:pPr>
      <w:r>
        <w:t>Vì chúng ta kỳ vọng biên lợi nhuận sẽ cải thiện theo thời gian lên 40%, chúng ta sẽ sử dụng phiên bản mô hình từ trên xuống (top-down), với các yếu tố sau đây tạo nên câu chuyện của nó:</w:t>
      </w:r>
    </w:p>
    <w:p>
      <w:pPr>
        <w:numPr>
          <w:ilvl w:val="0"/>
          <w:numId w:val="142"/>
        </w:numPr>
        <w:pStyle w:val="Para 18"/>
        <w:keepLines w:val="on"/>
      </w:pPr>
      <w:r>
        <w:t>Tăng trưởng doanh thu: Amgen có lịch sử tăng trưởng mạnh mẽ, nhưng khi đã mở rộng quy mô kinh doanh, tốc độ tăng trưởng đã giảm đi vì hai lý do. Thứ nhất là bất kỳ loại thuốc mới nào mà công ty giới thiệu đều có tác động phần trăm nhỏ hơn lên tổng doanh số. Thứ hai là các loại thuốc bom tấn (blockbuster) của Amgen đã cũ đi, thu hút sự cạnh tranh từ các loại thuốc do đối thủ sản xuất. Với đường ống sản phẩm mạnh mẽ của Amgen vào năm 2024, bao gồm hai loại thuốc điều trị béo phì nhắm vào một thị trường đang phát triển, và việc mua lại Horizon Therapeutics vào năm 2023, chúng ta kỳ vọng công ty sẽ có thể tiếp tục tăng doanh thu với tốc độ tăng trưởng hàng năm 9% trong năm năm tới, trước khi tăng trưởng bắt đầu giảm dần về tốc độ tăng trưởng ổn định 4% vào năm 2034 (năm thứ 10).</w:t>
      </w:r>
    </w:p>
    <w:p>
      <w:pPr>
        <w:numPr>
          <w:ilvl w:val="0"/>
          <w:numId w:val="142"/>
        </w:numPr>
        <w:pStyle w:val="Para 18"/>
        <w:keepLines w:val="on"/>
      </w:pPr>
      <w:r>
        <w:t>Biên lợi nhuận hoạt động: Biên lợi nhuận đã điều chỉnh theo R&amp;D của công ty là 31.37%, vẫn lành mạnh nhưng vẫn thấp hơn biên lợi nhuận trung bình mười năm của nó là 42.5%. Vì một phần của sự sụt giảm trong năm 2023 có thể được quy cho các yếu tố đặc biệt (bao gồm cả việc mua lại Horizon), chúng ta sẽ giả định rằng biên lợi nhuận sẽ cải thiện lên 40% trong năm năm tới, trước khi ổn định ở mức đó.</w:t>
      </w:r>
    </w:p>
    <w:p>
      <w:pPr>
        <w:numPr>
          <w:ilvl w:val="0"/>
          <w:numId w:val="142"/>
        </w:numPr>
        <w:pStyle w:val="Para 18"/>
        <w:keepLines w:val="on"/>
      </w:pPr>
      <w:r>
        <w:t>Tái đầu tư: Công ty sẽ tiếp tục đầu tư mạnh vào R&amp;D và các thương vụ mua lại nhỏ trong năm năm tới, mang lại $1.50 doanh thu cho mỗi $1.00 vốn đầu tư, nhưng sẽ giảm bớt tái đầu tư sau năm thứ 5, mang lại $4.00 doanh thu cho mỗi $1.00 vốn đầu tư.</w:t>
      </w:r>
    </w:p>
    <w:p>
      <w:pPr>
        <w:numPr>
          <w:ilvl w:val="0"/>
          <w:numId w:val="142"/>
        </w:numPr>
        <w:pStyle w:val="Para 18"/>
        <w:keepLines w:val="on"/>
      </w:pPr>
      <w:r>
        <w:t>Rủi ro: Chúng ta sẽ gán cho Amgen chi phí vốn là 9.26%, mức trung bình của các công ty công nghệ sinh học Hoa Kỳ, để bắt đầu định giá, nhưng chúng ta sẽ giảm chi phí vốn đó xuống 8% trong giai đoạn tăng trưởng ổn định, gần với mức trung vị của tất cả các công ty Hoa Kỳ.</w:t>
      </w:r>
    </w:p>
    <w:p>
      <w:pPr>
        <w:pStyle w:val="Para 04"/>
        <w:keepLines w:val="on"/>
      </w:pPr>
      <w:r>
        <w:t>Tóm lại, câu chuyện của chúng ta về Amgen là công ty sẽ tăng trưởng ở mức vừa phải, với biên lợi nhuận hoạt động cao hơn và tiếp tục tái đầu tư vào R&amp;D, ít nhất là trong năm năm tới. Dòng tiền thu được được tóm tắt trong Bảng 15.6:</w:t>
      </w:r>
    </w:p>
    <w:p>
      <w:pPr>
        <w:pStyle w:val="Para 25"/>
        <w:keepLines w:val="on"/>
      </w:pPr>
      <w:r>
        <w:t>Bảng 15.6</w:t>
      </w:r>
    </w:p>
    <w:p>
      <w:pPr>
        <w:keepNext/>
        <w:pStyle w:val="Para 24"/>
        <w:keepLines w:val="on"/>
      </w:pPr>
      <w:r>
        <w:t>FCFF kỳ vọng của Amgen</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Tăng trưởng doanh thu</w:t>
                  </w:r>
                </w:p>
              </w:tc>
              <w:tc>
                <w:tcPr>
                  <w:tcW w:type="auto" w:w="0"/>
                  <w:shd w:val="clear" w:color="auto" w:fill="F0F0F0"/>
                  <w:vAlign w:val="bottom"/>
                </w:tcPr>
                <w:p>
                  <w:pPr>
                    <w:pStyle w:val="Para 05"/>
                    <w:keepLines w:val="on"/>
                  </w:pPr>
                  <w:r>
                    <w:t>Doanh thu</w:t>
                  </w:r>
                </w:p>
              </w:tc>
              <w:tc>
                <w:tcPr>
                  <w:tcW w:type="auto" w:w="0"/>
                  <w:shd w:val="clear" w:color="auto" w:fill="F0F0F0"/>
                </w:tcPr>
                <w:p>
                  <w:pPr>
                    <w:pStyle w:val="Para 05"/>
                    <w:keepLines w:val="on"/>
                  </w:pPr>
                  <w:r>
                    <w:t>Biên lợi nhuận EBIT (hoạt động)</w:t>
                  </w:r>
                </w:p>
              </w:tc>
              <w:tc>
                <w:tcPr>
                  <w:tcW w:type="auto" w:w="0"/>
                  <w:shd w:val="clear" w:color="auto" w:fill="F0F0F0"/>
                </w:tcPr>
                <w:p>
                  <w:pPr>
                    <w:pStyle w:val="Para 05"/>
                    <w:keepLines w:val="on"/>
                  </w:pPr>
                  <w:r>
                    <w:t>EBIT (thu nhập hoạt động)</w:t>
                  </w:r>
                </w:p>
              </w:tc>
              <w:tc>
                <w:tcPr>
                  <w:tcW w:type="auto" w:w="0"/>
                  <w:shd w:val="clear" w:color="auto" w:fill="F0F0F0"/>
                  <w:vAlign w:val="bottom"/>
                </w:tcPr>
                <w:p>
                  <w:pPr>
                    <w:pStyle w:val="Para 05"/>
                    <w:keepLines w:val="on"/>
                  </w:pPr>
                  <w:r>
                    <w:t>Thuế suất</w:t>
                  </w:r>
                </w:p>
              </w:tc>
              <w:tc>
                <w:tcPr>
                  <w:tcW w:type="auto" w:w="0"/>
                  <w:shd w:val="clear" w:color="auto" w:fill="F0F0F0"/>
                  <w:vAlign w:val="bottom"/>
                </w:tcPr>
                <w:p>
                  <w:pPr>
                    <w:pStyle w:val="Para 05"/>
                    <w:keepLines w:val="on"/>
                  </w:pPr>
                  <w:r>
                    <w:t>EBIT(1–t)</w:t>
                  </w:r>
                </w:p>
              </w:tc>
              <w:tc>
                <w:tcPr>
                  <w:tcW w:type="auto" w:w="0"/>
                  <w:shd w:val="clear" w:color="auto" w:fill="F0F0F0"/>
                  <w:vAlign w:val="bottom"/>
                </w:tcPr>
                <w:p>
                  <w:pPr>
                    <w:pStyle w:val="Para 05"/>
                    <w:keepLines w:val="on"/>
                  </w:pPr>
                  <w:r>
                    <w:t>– Tái đầu tư</w:t>
                  </w:r>
                </w:p>
              </w:tc>
              <w:tc>
                <w:tcPr>
                  <w:tcW w:type="auto" w:w="0"/>
                  <w:shd w:val="clear" w:color="auto" w:fill="F0F0F0"/>
                  <w:vAlign w:val="bottom"/>
                </w:tcPr>
                <w:p>
                  <w:pPr>
                    <w:pStyle w:val="Para 05"/>
                    <w:keepLines w:val="on"/>
                  </w:pPr>
                  <w:r>
                    <w:t>FCFF</w:t>
                  </w:r>
                </w:p>
              </w:tc>
            </w:tr>
            <w:tr>
              <w:tc>
                <w:tcPr>
                  <w:tcW w:type="auto" w:w="0"/>
                  <w:shd w:val="clear" w:color="auto" w:fill="F0F0F0"/>
                </w:tcPr>
                <w:p>
                  <w:pPr>
                    <w:pStyle w:val="Normal"/>
                    <w:keepLines w:val="on"/>
                  </w:pPr>
                  <w:r>
                    <w:t>Năm cơ sở</w:t>
                  </w:r>
                </w:p>
              </w:tc>
              <w:tc>
                <w:tcPr>
                  <w:tcW w:type="auto" w:w="0"/>
                  <w:shd w:val="clear" w:color="auto" w:fill="F0F0F0"/>
                </w:tcPr>
                <w:p>
                  <w:pPr>
                    <w:pStyle w:val="7 Block"/>
                    <w:keepLines w:val="on"/>
                  </w:pPr>
                </w:p>
              </w:tc>
              <w:tc>
                <w:tcPr>
                  <w:tcW w:type="auto" w:w="0"/>
                  <w:shd w:val="clear" w:color="auto" w:fill="F0F0F0"/>
                </w:tcPr>
                <w:p>
                  <w:pPr>
                    <w:pStyle w:val="Normal"/>
                    <w:keepLines w:val="on"/>
                  </w:pPr>
                  <w:r>
                    <w:t>$28,190</w:t>
                  </w:r>
                </w:p>
              </w:tc>
              <w:tc>
                <w:tcPr>
                  <w:tcW w:type="auto" w:w="0"/>
                  <w:shd w:val="clear" w:color="auto" w:fill="F0F0F0"/>
                </w:tcPr>
                <w:p>
                  <w:pPr>
                    <w:pStyle w:val="Normal"/>
                    <w:keepLines w:val="on"/>
                  </w:pPr>
                  <w:r>
                    <w:t>31.37%</w:t>
                  </w:r>
                </w:p>
              </w:tc>
              <w:tc>
                <w:tcPr>
                  <w:tcW w:type="auto" w:w="0"/>
                  <w:shd w:val="clear" w:color="auto" w:fill="F0F0F0"/>
                </w:tcPr>
                <w:p>
                  <w:pPr>
                    <w:pStyle w:val="Normal"/>
                    <w:keepLines w:val="on"/>
                  </w:pPr>
                  <w:r>
                    <w:t>$8,843</w:t>
                  </w:r>
                </w:p>
              </w:tc>
              <w:tc>
                <w:tcPr>
                  <w:tcW w:type="auto" w:w="0"/>
                  <w:shd w:val="clear" w:color="auto" w:fill="F0F0F0"/>
                </w:tcPr>
                <w:p>
                  <w:pPr>
                    <w:pStyle w:val="Normal"/>
                    <w:keepLines w:val="on"/>
                  </w:pPr>
                  <w:r>
                    <w:t>14.50%</w:t>
                  </w:r>
                </w:p>
              </w:tc>
              <w:tc>
                <w:tcPr>
                  <w:tcW w:type="auto" w:w="0"/>
                  <w:shd w:val="clear" w:color="auto" w:fill="F0F0F0"/>
                </w:tcPr>
                <w:p>
                  <w:pPr>
                    <w:pStyle w:val="Normal"/>
                    <w:keepLines w:val="on"/>
                  </w:pPr>
                  <w:r>
                    <w:t>$7,561</w:t>
                  </w: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$30,727</w:t>
                  </w:r>
                </w:p>
              </w:tc>
              <w:tc>
                <w:tcPr>
                  <w:tcW w:type="auto" w:w="0"/>
                  <w:shd w:val="clear" w:color="auto" w:fill="F0F0F0"/>
                </w:tcPr>
                <w:p>
                  <w:pPr>
                    <w:pStyle w:val="Normal"/>
                    <w:keepLines w:val="on"/>
                  </w:pPr>
                  <w:r>
                    <w:t>31.37%</w:t>
                  </w:r>
                </w:p>
              </w:tc>
              <w:tc>
                <w:tcPr>
                  <w:tcW w:type="auto" w:w="0"/>
                  <w:shd w:val="clear" w:color="auto" w:fill="F0F0F0"/>
                </w:tcPr>
                <w:p>
                  <w:pPr>
                    <w:pStyle w:val="Normal"/>
                    <w:keepLines w:val="on"/>
                  </w:pPr>
                  <w:r>
                    <w:t>$9,639</w:t>
                  </w:r>
                </w:p>
              </w:tc>
              <w:tc>
                <w:tcPr>
                  <w:tcW w:type="auto" w:w="0"/>
                  <w:shd w:val="clear" w:color="auto" w:fill="F0F0F0"/>
                </w:tcPr>
                <w:p>
                  <w:pPr>
                    <w:pStyle w:val="Normal"/>
                    <w:keepLines w:val="on"/>
                  </w:pPr>
                  <w:r>
                    <w:t>14.50%</w:t>
                  </w:r>
                </w:p>
              </w:tc>
              <w:tc>
                <w:tcPr>
                  <w:tcW w:type="auto" w:w="0"/>
                  <w:shd w:val="clear" w:color="auto" w:fill="F0F0F0"/>
                </w:tcPr>
                <w:p>
                  <w:pPr>
                    <w:pStyle w:val="Normal"/>
                    <w:keepLines w:val="on"/>
                  </w:pPr>
                  <w:r>
                    <w:t>$8,241</w:t>
                  </w:r>
                </w:p>
              </w:tc>
              <w:tc>
                <w:tcPr>
                  <w:tcW w:type="auto" w:w="0"/>
                  <w:shd w:val="clear" w:color="auto" w:fill="F0F0F0"/>
                </w:tcPr>
                <w:p>
                  <w:pPr>
                    <w:pStyle w:val="Normal"/>
                    <w:keepLines w:val="on"/>
                  </w:pPr>
                  <w:r>
                    <w:t>$1,844</w:t>
                  </w:r>
                </w:p>
              </w:tc>
              <w:tc>
                <w:tcPr>
                  <w:tcW w:type="auto" w:w="0"/>
                  <w:shd w:val="clear" w:color="auto" w:fill="F0F0F0"/>
                </w:tcPr>
                <w:p>
                  <w:pPr>
                    <w:pStyle w:val="Normal"/>
                    <w:keepLines w:val="on"/>
                  </w:pPr>
                  <w:r>
                    <w:t>$6,397</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$33.493</w:t>
                  </w:r>
                </w:p>
              </w:tc>
              <w:tc>
                <w:tcPr>
                  <w:tcW w:type="auto" w:w="0"/>
                  <w:shd w:val="clear" w:color="auto" w:fill="F0F0F0"/>
                </w:tcPr>
                <w:p>
                  <w:pPr>
                    <w:pStyle w:val="Normal"/>
                    <w:keepLines w:val="on"/>
                  </w:pPr>
                  <w:r>
                    <w:t>34,82%</w:t>
                  </w:r>
                </w:p>
              </w:tc>
              <w:tc>
                <w:tcPr>
                  <w:tcW w:type="auto" w:w="0"/>
                  <w:shd w:val="clear" w:color="auto" w:fill="F0F0F0"/>
                </w:tcPr>
                <w:p>
                  <w:pPr>
                    <w:pStyle w:val="Normal"/>
                    <w:keepLines w:val="on"/>
                  </w:pPr>
                  <w:r>
                    <w:t>$11.662</w:t>
                  </w:r>
                </w:p>
              </w:tc>
              <w:tc>
                <w:tcPr>
                  <w:tcW w:type="auto" w:w="0"/>
                  <w:shd w:val="clear" w:color="auto" w:fill="F0F0F0"/>
                </w:tcPr>
                <w:p>
                  <w:pPr>
                    <w:pStyle w:val="Normal"/>
                    <w:keepLines w:val="on"/>
                  </w:pPr>
                  <w:r>
                    <w:t>14,50%</w:t>
                  </w:r>
                </w:p>
              </w:tc>
              <w:tc>
                <w:tcPr>
                  <w:tcW w:type="auto" w:w="0"/>
                  <w:shd w:val="clear" w:color="auto" w:fill="F0F0F0"/>
                </w:tcPr>
                <w:p>
                  <w:pPr>
                    <w:pStyle w:val="Normal"/>
                    <w:keepLines w:val="on"/>
                  </w:pPr>
                  <w:r>
                    <w:t>$9.971</w:t>
                  </w:r>
                </w:p>
              </w:tc>
              <w:tc>
                <w:tcPr>
                  <w:tcW w:type="auto" w:w="0"/>
                  <w:shd w:val="clear" w:color="auto" w:fill="F0F0F0"/>
                </w:tcPr>
                <w:p>
                  <w:pPr>
                    <w:pStyle w:val="Normal"/>
                    <w:keepLines w:val="on"/>
                  </w:pPr>
                  <w:r>
                    <w:t>$2.010</w:t>
                  </w:r>
                </w:p>
              </w:tc>
              <w:tc>
                <w:tcPr>
                  <w:tcW w:type="auto" w:w="0"/>
                  <w:shd w:val="clear" w:color="auto" w:fill="F0F0F0"/>
                </w:tcPr>
                <w:p>
                  <w:pPr>
                    <w:pStyle w:val="Normal"/>
                    <w:keepLines w:val="on"/>
                  </w:pPr>
                  <w:r>
                    <w:t>$7.962</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$36.507</w:t>
                  </w:r>
                </w:p>
              </w:tc>
              <w:tc>
                <w:tcPr>
                  <w:tcW w:type="auto" w:w="0"/>
                  <w:shd w:val="clear" w:color="auto" w:fill="F0F0F0"/>
                </w:tcPr>
                <w:p>
                  <w:pPr>
                    <w:pStyle w:val="Normal"/>
                    <w:keepLines w:val="on"/>
                  </w:pPr>
                  <w:r>
                    <w:t>36,55%</w:t>
                  </w:r>
                </w:p>
              </w:tc>
              <w:tc>
                <w:tcPr>
                  <w:tcW w:type="auto" w:w="0"/>
                  <w:shd w:val="clear" w:color="auto" w:fill="F0F0F0"/>
                </w:tcPr>
                <w:p>
                  <w:pPr>
                    <w:pStyle w:val="Normal"/>
                    <w:keepLines w:val="on"/>
                  </w:pPr>
                  <w:r>
                    <w:t>$13.342</w:t>
                  </w:r>
                </w:p>
              </w:tc>
              <w:tc>
                <w:tcPr>
                  <w:tcW w:type="auto" w:w="0"/>
                  <w:shd w:val="clear" w:color="auto" w:fill="F0F0F0"/>
                </w:tcPr>
                <w:p>
                  <w:pPr>
                    <w:pStyle w:val="Normal"/>
                    <w:keepLines w:val="on"/>
                  </w:pPr>
                  <w:r>
                    <w:t>14,50%</w:t>
                  </w:r>
                </w:p>
              </w:tc>
              <w:tc>
                <w:tcPr>
                  <w:tcW w:type="auto" w:w="0"/>
                  <w:shd w:val="clear" w:color="auto" w:fill="F0F0F0"/>
                </w:tcPr>
                <w:p>
                  <w:pPr>
                    <w:pStyle w:val="Normal"/>
                    <w:keepLines w:val="on"/>
                  </w:pPr>
                  <w:r>
                    <w:t>$11.408</w:t>
                  </w:r>
                </w:p>
              </w:tc>
              <w:tc>
                <w:tcPr>
                  <w:tcW w:type="auto" w:w="0"/>
                  <w:shd w:val="clear" w:color="auto" w:fill="F0F0F0"/>
                </w:tcPr>
                <w:p>
                  <w:pPr>
                    <w:pStyle w:val="Normal"/>
                    <w:keepLines w:val="on"/>
                  </w:pPr>
                  <w:r>
                    <w:t>$2.190</w:t>
                  </w:r>
                </w:p>
              </w:tc>
              <w:tc>
                <w:tcPr>
                  <w:tcW w:type="auto" w:w="0"/>
                  <w:shd w:val="clear" w:color="auto" w:fill="F0F0F0"/>
                </w:tcPr>
                <w:p>
                  <w:pPr>
                    <w:pStyle w:val="Normal"/>
                    <w:keepLines w:val="on"/>
                  </w:pPr>
                  <w:r>
                    <w:t>$9.217</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$39.792</w:t>
                  </w:r>
                </w:p>
              </w:tc>
              <w:tc>
                <w:tcPr>
                  <w:tcW w:type="auto" w:w="0"/>
                  <w:shd w:val="clear" w:color="auto" w:fill="F0F0F0"/>
                </w:tcPr>
                <w:p>
                  <w:pPr>
                    <w:pStyle w:val="Normal"/>
                    <w:keepLines w:val="on"/>
                  </w:pPr>
                  <w:r>
                    <w:t>38,27%</w:t>
                  </w:r>
                </w:p>
              </w:tc>
              <w:tc>
                <w:tcPr>
                  <w:tcW w:type="auto" w:w="0"/>
                  <w:shd w:val="clear" w:color="auto" w:fill="F0F0F0"/>
                </w:tcPr>
                <w:p>
                  <w:pPr>
                    <w:pStyle w:val="Normal"/>
                    <w:keepLines w:val="on"/>
                  </w:pPr>
                  <w:r>
                    <w:t>$15.230</w:t>
                  </w:r>
                </w:p>
              </w:tc>
              <w:tc>
                <w:tcPr>
                  <w:tcW w:type="auto" w:w="0"/>
                  <w:shd w:val="clear" w:color="auto" w:fill="F0F0F0"/>
                </w:tcPr>
                <w:p>
                  <w:pPr>
                    <w:pStyle w:val="Normal"/>
                    <w:keepLines w:val="on"/>
                  </w:pPr>
                  <w:r>
                    <w:t>14,50%</w:t>
                  </w:r>
                </w:p>
              </w:tc>
              <w:tc>
                <w:tcPr>
                  <w:tcW w:type="auto" w:w="0"/>
                  <w:shd w:val="clear" w:color="auto" w:fill="F0F0F0"/>
                </w:tcPr>
                <w:p>
                  <w:pPr>
                    <w:pStyle w:val="Normal"/>
                    <w:keepLines w:val="on"/>
                  </w:pPr>
                  <w:r>
                    <w:t>$13,022</w:t>
                  </w:r>
                </w:p>
              </w:tc>
              <w:tc>
                <w:tcPr>
                  <w:tcW w:type="auto" w:w="0"/>
                  <w:shd w:val="clear" w:color="auto" w:fill="F0F0F0"/>
                </w:tcPr>
                <w:p>
                  <w:pPr>
                    <w:pStyle w:val="Normal"/>
                    <w:keepLines w:val="on"/>
                  </w:pPr>
                  <w:r>
                    <w:t>$2,388</w:t>
                  </w:r>
                </w:p>
              </w:tc>
              <w:tc>
                <w:tcPr>
                  <w:tcW w:type="auto" w:w="0"/>
                  <w:shd w:val="clear" w:color="auto" w:fill="F0F0F0"/>
                </w:tcPr>
                <w:p>
                  <w:pPr>
                    <w:pStyle w:val="Normal"/>
                    <w:keepLines w:val="on"/>
                  </w:pPr>
                  <w:r>
                    <w:t>$10,634</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$43,374</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$17,350</w:t>
                  </w:r>
                </w:p>
              </w:tc>
              <w:tc>
                <w:tcPr>
                  <w:tcW w:type="auto" w:w="0"/>
                  <w:shd w:val="clear" w:color="auto" w:fill="F0F0F0"/>
                </w:tcPr>
                <w:p>
                  <w:pPr>
                    <w:pStyle w:val="Normal"/>
                    <w:keepLines w:val="on"/>
                  </w:pPr>
                  <w:r>
                    <w:t>14,50%</w:t>
                  </w:r>
                </w:p>
              </w:tc>
              <w:tc>
                <w:tcPr>
                  <w:tcW w:type="auto" w:w="0"/>
                  <w:shd w:val="clear" w:color="auto" w:fill="F0F0F0"/>
                </w:tcPr>
                <w:p>
                  <w:pPr>
                    <w:pStyle w:val="Normal"/>
                    <w:keepLines w:val="on"/>
                  </w:pPr>
                  <w:r>
                    <w:t>$14,834</w:t>
                  </w:r>
                </w:p>
              </w:tc>
              <w:tc>
                <w:tcPr>
                  <w:tcW w:type="auto" w:w="0"/>
                  <w:shd w:val="clear" w:color="auto" w:fill="F0F0F0"/>
                </w:tcPr>
                <w:p>
                  <w:pPr>
                    <w:pStyle w:val="Normal"/>
                    <w:keepLines w:val="on"/>
                  </w:pPr>
                  <w:r>
                    <w:t>$2,313</w:t>
                  </w:r>
                </w:p>
              </w:tc>
              <w:tc>
                <w:tcPr>
                  <w:tcW w:type="auto" w:w="0"/>
                  <w:shd w:val="clear" w:color="auto" w:fill="F0F0F0"/>
                </w:tcPr>
                <w:p>
                  <w:pPr>
                    <w:pStyle w:val="Normal"/>
                    <w:keepLines w:val="on"/>
                  </w:pPr>
                  <w:r>
                    <w:t>$12,521</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$46,844</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$18,737</w:t>
                  </w:r>
                </w:p>
              </w:tc>
              <w:tc>
                <w:tcPr>
                  <w:tcW w:type="auto" w:w="0"/>
                  <w:shd w:val="clear" w:color="auto" w:fill="F0F0F0"/>
                </w:tcPr>
                <w:p>
                  <w:pPr>
                    <w:pStyle w:val="Normal"/>
                    <w:keepLines w:val="on"/>
                  </w:pPr>
                  <w:r>
                    <w:t>16,60%</w:t>
                  </w:r>
                </w:p>
              </w:tc>
              <w:tc>
                <w:tcPr>
                  <w:tcW w:type="auto" w:w="0"/>
                  <w:shd w:val="clear" w:color="auto" w:fill="F0F0F0"/>
                </w:tcPr>
                <w:p>
                  <w:pPr>
                    <w:pStyle w:val="Normal"/>
                    <w:keepLines w:val="on"/>
                  </w:pPr>
                  <w:r>
                    <w:t>$15,627</w:t>
                  </w:r>
                </w:p>
              </w:tc>
              <w:tc>
                <w:tcPr>
                  <w:tcW w:type="auto" w:w="0"/>
                  <w:shd w:val="clear" w:color="auto" w:fill="F0F0F0"/>
                </w:tcPr>
                <w:p>
                  <w:pPr>
                    <w:pStyle w:val="Normal"/>
                    <w:keepLines w:val="on"/>
                  </w:pPr>
                  <w:r>
                    <w:t>$820</w:t>
                  </w:r>
                </w:p>
              </w:tc>
              <w:tc>
                <w:tcPr>
                  <w:tcW w:type="auto" w:w="0"/>
                  <w:shd w:val="clear" w:color="auto" w:fill="F0F0F0"/>
                </w:tcPr>
                <w:p>
                  <w:pPr>
                    <w:pStyle w:val="Normal"/>
                    <w:keepLines w:val="on"/>
                  </w:pPr>
                  <w:r>
                    <w:t>$14,807</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7,00%</w:t>
                  </w:r>
                </w:p>
              </w:tc>
              <w:tc>
                <w:tcPr>
                  <w:tcW w:type="auto" w:w="0"/>
                  <w:shd w:val="clear" w:color="auto" w:fill="F0F0F0"/>
                </w:tcPr>
                <w:p>
                  <w:pPr>
                    <w:pStyle w:val="Normal"/>
                    <w:keepLines w:val="on"/>
                  </w:pPr>
                  <w:r>
                    <w:t>$50,123</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$20,049</w:t>
                  </w:r>
                </w:p>
              </w:tc>
              <w:tc>
                <w:tcPr>
                  <w:tcW w:type="auto" w:w="0"/>
                  <w:shd w:val="clear" w:color="auto" w:fill="F0F0F0"/>
                </w:tcPr>
                <w:p>
                  <w:pPr>
                    <w:pStyle w:val="Normal"/>
                    <w:keepLines w:val="on"/>
                  </w:pPr>
                  <w:r>
                    <w:t>18,70%</w:t>
                  </w:r>
                </w:p>
              </w:tc>
              <w:tc>
                <w:tcPr>
                  <w:tcW w:type="auto" w:w="0"/>
                  <w:shd w:val="clear" w:color="auto" w:fill="F0F0F0"/>
                </w:tcPr>
                <w:p>
                  <w:pPr>
                    <w:pStyle w:val="Normal"/>
                    <w:keepLines w:val="on"/>
                  </w:pPr>
                  <w:r>
                    <w:t>$16,300</w:t>
                  </w:r>
                </w:p>
              </w:tc>
              <w:tc>
                <w:tcPr>
                  <w:tcW w:type="auto" w:w="0"/>
                  <w:shd w:val="clear" w:color="auto" w:fill="F0F0F0"/>
                </w:tcPr>
                <w:p>
                  <w:pPr>
                    <w:pStyle w:val="Normal"/>
                    <w:keepLines w:val="on"/>
                  </w:pPr>
                  <w:r>
                    <w:t>$752</w:t>
                  </w:r>
                </w:p>
              </w:tc>
              <w:tc>
                <w:tcPr>
                  <w:tcW w:type="auto" w:w="0"/>
                  <w:shd w:val="clear" w:color="auto" w:fill="F0F0F0"/>
                </w:tcPr>
                <w:p>
                  <w:pPr>
                    <w:pStyle w:val="Normal"/>
                    <w:keepLines w:val="on"/>
                  </w:pPr>
                  <w:r>
                    <w:t>$15,548</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$53,130</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$21,252</w:t>
                  </w:r>
                </w:p>
              </w:tc>
              <w:tc>
                <w:tcPr>
                  <w:tcW w:type="auto" w:w="0"/>
                  <w:shd w:val="clear" w:color="auto" w:fill="F0F0F0"/>
                </w:tcPr>
                <w:p>
                  <w:pPr>
                    <w:pStyle w:val="Normal"/>
                    <w:keepLines w:val="on"/>
                  </w:pPr>
                  <w:r>
                    <w:t>20,80%</w:t>
                  </w:r>
                </w:p>
              </w:tc>
              <w:tc>
                <w:tcPr>
                  <w:tcW w:type="auto" w:w="0"/>
                  <w:shd w:val="clear" w:color="auto" w:fill="F0F0F0"/>
                </w:tcPr>
                <w:p>
                  <w:pPr>
                    <w:pStyle w:val="Normal"/>
                    <w:keepLines w:val="on"/>
                  </w:pPr>
                  <w:r>
                    <w:t>$16,832</w:t>
                  </w:r>
                </w:p>
              </w:tc>
              <w:tc>
                <w:tcPr>
                  <w:tcW w:type="auto" w:w="0"/>
                  <w:shd w:val="clear" w:color="auto" w:fill="F0F0F0"/>
                </w:tcPr>
                <w:p>
                  <w:pPr>
                    <w:pStyle w:val="Normal"/>
                    <w:keepLines w:val="on"/>
                  </w:pPr>
                  <w:r>
                    <w:t>$664</w:t>
                  </w:r>
                </w:p>
              </w:tc>
              <w:tc>
                <w:tcPr>
                  <w:tcW w:type="auto" w:w="0"/>
                  <w:shd w:val="clear" w:color="auto" w:fill="F0F0F0"/>
                </w:tcPr>
                <w:p>
                  <w:pPr>
                    <w:pStyle w:val="Normal"/>
                    <w:keepLines w:val="on"/>
                  </w:pPr>
                  <w:r>
                    <w:t>$16,168</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$55,787</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$22,315</w:t>
                  </w:r>
                </w:p>
              </w:tc>
              <w:tc>
                <w:tcPr>
                  <w:tcW w:type="auto" w:w="0"/>
                  <w:shd w:val="clear" w:color="auto" w:fill="F0F0F0"/>
                </w:tcPr>
                <w:p>
                  <w:pPr>
                    <w:pStyle w:val="Normal"/>
                    <w:keepLines w:val="on"/>
                  </w:pPr>
                  <w:r>
                    <w:t>22,90%</w:t>
                  </w:r>
                </w:p>
              </w:tc>
              <w:tc>
                <w:tcPr>
                  <w:tcW w:type="auto" w:w="0"/>
                  <w:shd w:val="clear" w:color="auto" w:fill="F0F0F0"/>
                </w:tcPr>
                <w:p>
                  <w:pPr>
                    <w:pStyle w:val="Normal"/>
                    <w:keepLines w:val="on"/>
                  </w:pPr>
                  <w:r>
                    <w:t>$17,205</w:t>
                  </w:r>
                </w:p>
              </w:tc>
              <w:tc>
                <w:tcPr>
                  <w:tcW w:type="auto" w:w="0"/>
                  <w:shd w:val="clear" w:color="auto" w:fill="F0F0F0"/>
                </w:tcPr>
                <w:p>
                  <w:pPr>
                    <w:pStyle w:val="Normal"/>
                    <w:keepLines w:val="on"/>
                  </w:pPr>
                  <w:r>
                    <w:t>$558</w:t>
                  </w:r>
                </w:p>
              </w:tc>
              <w:tc>
                <w:tcPr>
                  <w:tcW w:type="auto" w:w="0"/>
                  <w:shd w:val="clear" w:color="auto" w:fill="F0F0F0"/>
                </w:tcPr>
                <w:p>
                  <w:pPr>
                    <w:pStyle w:val="Normal"/>
                    <w:keepLines w:val="on"/>
                  </w:pPr>
                  <w:r>
                    <w:t>$16,647</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58.018 đô la</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23.207 đô la</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17.405 đô la</w:t>
                  </w:r>
                </w:p>
              </w:tc>
              <w:tc>
                <w:tcPr>
                  <w:tcW w:type="auto" w:w="0"/>
                  <w:shd w:val="clear" w:color="auto" w:fill="F0F0F0"/>
                </w:tcPr>
                <w:p>
                  <w:pPr>
                    <w:pStyle w:val="Normal"/>
                    <w:keepLines w:val="on"/>
                  </w:pPr>
                  <w:r>
                    <w:t>580 đô la</w:t>
                  </w:r>
                </w:p>
              </w:tc>
              <w:tc>
                <w:tcPr>
                  <w:tcW w:type="auto" w:w="0"/>
                  <w:shd w:val="clear" w:color="auto" w:fill="F0F0F0"/>
                </w:tcPr>
                <w:p>
                  <w:pPr>
                    <w:pStyle w:val="Normal"/>
                    <w:keepLines w:val="on"/>
                  </w:pPr>
                  <w:r>
                    <w:t>16.825 đô la</w:t>
                  </w:r>
                </w:p>
              </w:tc>
            </w:tr>
          </w:tbl>
          <w:p/>
        </w:tc>
      </w:tr>
    </w:tbl>
    <w:p>
      <w:pPr>
        <w:pStyle w:val="Para 04"/>
        <w:keepLines w:val="on"/>
      </w:pPr>
      <w:r>
        <w:t>Vào cuối năm thứ 10, chúng ta giả định rằng Amgen đang ở giai đoạn tăng trưởng ổn định, tăng trưởng 4% mỗi năm và tạo ra lợi nhuận trên vốn (return on capital) là 16% vĩnh viễn, cao hơn đáng kể so với chi phí vốn (cost of capital) 8% trong giai đoạn tăng trưởng ổn định:</w:t>
      </w:r>
    </w:p>
    <w:p>
      <w:bookmarkStart w:id="2940" w:name="EBIT__1_t__in_year_11_17_405__1"/>
      <w:pPr>
        <w:keepNext/>
        <w:pStyle w:val="Para 07"/>
        <w:keepLines w:val="on"/>
      </w:pPr>
      <w:r>
        <w:t>EBIT (1-t) vào năm thứ 11 = 17.405 (1,04) = 18.102 triệu đô laTỷ lệ tái đầu tư trong giai đoạn tăng trưởng ổn định = Tốc độ tăng trưởng ổn địnhROIC ổn định = 4%16% = 25%</w:t>
      </w:r>
      <w:bookmarkEnd w:id="2940"/>
    </w:p>
    <w:p>
      <w:bookmarkStart w:id="2941" w:name="Terminal_value_EBIT11_1_Reinvest"/>
      <w:pPr>
        <w:keepNext/>
        <w:pStyle w:val="Para 07"/>
        <w:keepLines w:val="on"/>
      </w:pPr>
      <w:r>
        <w:t>Giá trị cuối kỳ (terminal value) = EBIT11 (1 - Tỷ lệ tái đầu tư)(Chi phí vốn - Tốc độ tăng trưởng ổn định) = 18.102 (1 − 0,25)(0,08 − 0,04) = 339.406 triệu đô la</w:t>
      </w:r>
      <w:bookmarkEnd w:id="2941"/>
    </w:p>
    <w:p>
      <w:pPr>
        <w:pStyle w:val="Para 04"/>
        <w:keepLines w:val="on"/>
      </w:pPr>
      <w:r>
        <w:t>Chúng ta đã sử dụng các số liệu đã điều chỉnh lại để ước tính giá trị của doanh nghiệp và giá trị vốn chủ sở hữu trên mỗi cổ phần. Việc định giá, trong đó chúng ta giả định 10 năm tăng trưởng cao, được tóm tắt trong Hình 15.1.</w:t>
      </w:r>
    </w:p>
    <w:p>
      <w:pPr>
        <w:pStyle w:val="Para 40"/>
        <w:keepLines w:val="on"/>
      </w:pPr>
      <w:r>
        <w:rPr>
          <w:rStyle w:val="Text26"/>
        </w:rPr>
        <w:bookmarkStart w:id="2943" w:name="Page_450"/>
        <w:t/>
        <w:bookmarkEnd w:id="2943"/>
      </w:r>
      <w:r>
        <w:t xml:space="preserve"> </w:t>
      </w:r>
    </w:p>
    <w:p>
      <w:bookmarkStart w:id="2944" w:name="Figure_15_1_Valuing_Amgen__May_2"/>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76500" cy="1168400"/>
            <wp:effectExtent l="0" r="0" t="0" b="0"/>
            <wp:wrapTopAndBottom/>
            <wp:docPr id="140" name="c15f001.png" descr="Valuation report for Amgen as on May 24 includes base year, growth story, profitability, growth efficiency, risk, competitive advantages."/>
            <wp:cNvGraphicFramePr>
              <a:graphicFrameLocks noChangeAspect="1"/>
            </wp:cNvGraphicFramePr>
            <a:graphic>
              <a:graphicData uri="http://schemas.openxmlformats.org/drawingml/2006/picture">
                <pic:pic>
                  <pic:nvPicPr>
                    <pic:cNvPr id="0" name="c15f001.png" descr="Valuation report for Amgen as on May 24 includes base year, growth story, profitability, growth efficiency, risk, competitive advantages."/>
                    <pic:cNvPicPr/>
                  </pic:nvPicPr>
                  <pic:blipFill>
                    <a:blip r:embed="rId101"/>
                    <a:stretch>
                      <a:fillRect/>
                    </a:stretch>
                  </pic:blipFill>
                  <pic:spPr>
                    <a:xfrm>
                      <a:off x="0" y="0"/>
                      <a:ext cx="2476500" cy="1168400"/>
                    </a:xfrm>
                    <a:prstGeom prst="rect">
                      <a:avLst/>
                    </a:prstGeom>
                  </pic:spPr>
                </pic:pic>
              </a:graphicData>
            </a:graphic>
          </wp:anchor>
        </w:drawing>
      </w:r>
      <w:bookmarkEnd w:id="2944"/>
    </w:p>
    <w:p>
      <w:pPr>
        <w:keepNext/>
        <w:pStyle w:val="Para 38"/>
        <w:keepLines w:val="on"/>
      </w:pPr>
      <w:r>
        <w:t>Hình 15.1 Định giá Amgen—Tháng 5 năm 2024</w:t>
      </w:r>
    </w:p>
    <w:p>
      <w:pPr>
        <w:pStyle w:val="Para 04"/>
        <w:keepLines w:val="on"/>
      </w:pPr>
      <w:r>
        <w:t>Giai đoạn chuyển tiếp tồn tại chủ yếu để cho phép chúng ta điều chỉnh các yếu tố đầu vào của giai đoạn tăng trưởng cao về mức tăng trưởng ổn định. Chẳng hạn, chi phí vốn, vốn là 9,26% trong năm năm tới, sẽ giảm dần theo các bước tuyến tính xuống mức chi phí vốn của giai đoạn tăng trưởng ổn định là 8,00%; do đó, chi phí vốn lũy kế (compounded cost of capital) được sử dụng để chiết khấu dòng tiền trong những năm đó. Ước tính của chúng ta về giá trị vốn chủ sở hữu trên mỗi cổ phần là 317,60 đô la một cổ phần, cao hơn một chút so với giá cổ phiếu phổ biến là 311,29 đô la vào tháng 5 năm 2024, nhưng đủ gần để chúng ta xem công ty là được định giá hợp lý.</w:t>
      </w:r>
    </w:p>
    <w:p>
      <w:pPr>
        <w:pStyle w:val="Para 04"/>
        <w:keepLines w:val="on"/>
      </w:pPr>
      <w:r>
        <w:t>Một câu hỏi thú vị là việc vốn hóa (capitalization) chi phí R&amp;D đã ảnh hưởng đến giá trị như thế nào. Để điều tra, chúng ta đã định giá Amgen với cách hạch toán R&amp;D tiêu chuẩn, trong đó chi phí này được ghi nhận là chi phí (expensed), và ảnh hưởng đến giá trị trên mỗi cổ phần là rất nhỏ; giá trị trên mỗi cổ phần là 315,22 đô la, thấp hơn khoảng 2,48 đô la so với giá trị chúng ta ước tính khi vốn hóa R&amp;D. Điều này không phải lúc nào cũng đúng. Vào năm 2007, khi chúng ta định giá Amgen, việc vốn hóa R&amp;D đã làm tăng giá trị trên mỗi cổ phần từ 42,73 đô la một cổ phần lên 74,33 đô la một cổ phần. Có nhiều lý do cho sự thay đổi này. Thứ nhất, Amgen hiện nay là một công ty trưởng thành hơn, với chi phí R&amp;D tăng chậm hơn so với trước đây, dẫn đến ảnh hưởng nhỏ hơn nhiều đến thu nhập hoạt động (và biên lợi nhuận) so với việc vốn hóa vào năm 2007. Thứ hai, lợi nhuận trước thuế trên vốn đầu tư (pretax return on invested capital) của công ty vào năm 2023, với R&amp;D được vốn hóa, là 10,56%, và sau khi tính thuế, lợi nhuận đó xấp xỉ bằng chi phí vốn 9,26%. Ngược lại, Amgen đạt lợi nhuận sau thuế trên vốn là 16,71% vào năm 2006, cao hơn đáng kể so với chi phí vốn (khi đó) là 11%. Điều đó cho thấy R&amp;D đã chuyển từ một yếu tố gia tăng giá trị đáng kể thành một khoản đầu tư trung tính hơn về giá trị tại công ty.</w:t>
      </w:r>
    </w:p>
    <w:p>
      <w:pPr>
        <w:pStyle w:val="Para 11"/>
      </w:pPr>
      <w:r>
        <w:t xml:space="preserve"> </w:t>
      </w:r>
    </w:p>
    <w:p>
      <w:bookmarkStart w:id="2945" w:name="fcffginzu_xls__This_spreadsheet"/>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41"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2945"/>
    </w:p>
    <w:p>
      <w:pPr>
        <w:pStyle w:val="Para 31"/>
        <w:keepLines w:val="on"/>
      </w:pPr>
      <w:r>
        <w:t>fcffginzu.xls: Bảng tính này cho phép bạn ước tính giá trị của một doanh nghiệp bằng cách sử dụng phương pháp FCFF.</w:t>
      </w:r>
    </w:p>
    <w:p>
      <w:pPr>
        <w:pStyle w:val="Para 11"/>
      </w:pPr>
      <w:r>
        <w:t xml:space="preserve"> </w:t>
      </w:r>
    </w:p>
    <w:p>
      <w:bookmarkStart w:id="2946" w:name="Net_Debt_Versus_Gross_Debt"/>
      <w:bookmarkStart w:id="2947" w:name="Net_Debt_Versus_Gross_Debt_In_va"/>
      <w:pPr>
        <w:keepNext/>
        <w:pStyle w:val="Para 27"/>
        <w:keepLines w:val="on"/>
      </w:pPr>
      <w:r>
        <w:t>Nợ ròng so với Nợ gộp</w:t>
      </w:r>
      <w:bookmarkEnd w:id="2946"/>
      <w:bookmarkEnd w:id="2947"/>
    </w:p>
    <w:p>
      <w:pPr>
        <w:pStyle w:val="Para 16"/>
        <w:keepLines w:val="on"/>
      </w:pPr>
      <w:r>
        <w:t>Khi định giá các công ty trong chương này, chúng ta đã sử dụng tổng nợ chưa thanh toán (nợ gộp) thay vì nợ ròng, trong đó tiền mặt được trừ đi khỏi nợ. Sự khác biệt giữa hai phương pháp này là gì, và liệu các định giá từ hai phương pháp có đồng nhất với nhau không?</w:t>
      </w:r>
    </w:p>
    <w:p>
      <w:pPr>
        <w:pStyle w:val="Para 16"/>
        <w:keepLines w:val="on"/>
      </w:pPr>
      <w:r>
        <w:t>Việc so sánh định giá theo nợ gộp và nợ ròng cho thấy sự khác biệt trong cách chúng ta tiếp cận việc tính toán các yếu tố đầu vào chính cho việc định giá, được tóm tắt như sau:</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29"/>
                    <w:keepLines w:val="on"/>
                  </w:pPr>
                  <w:r>
                    <w:t>Nợ gộp</w:t>
                  </w:r>
                </w:p>
              </w:tc>
              <w:tc>
                <w:tcPr>
                  <w:tcW w:type="auto" w:w="0"/>
                  <w:shd w:val="clear" w:color="auto" w:fill="F0F0F0"/>
                </w:tcPr>
                <w:p>
                  <w:pPr>
                    <w:pStyle w:val="Para 29"/>
                    <w:keepLines w:val="on"/>
                  </w:pPr>
                  <w:r>
                    <w:t>Nợ ròng</w:t>
                  </w:r>
                </w:p>
              </w:tc>
            </w:tr>
            <w:tr>
              <w:tc>
                <w:tcPr>
                  <w:tcW w:type="auto" w:w="0"/>
                  <w:shd w:val="clear" w:color="auto" w:fill="FCFCFC"/>
                </w:tcPr>
                <w:p>
                  <w:pPr>
                    <w:pStyle w:val="Para 02"/>
                    <w:keepLines w:val="on"/>
                  </w:pPr>
                  <w:r>
                    <w:t>Beta có đòn bẩy (Levered beta)</w:t>
                  </w:r>
                </w:p>
              </w:tc>
              <w:tc>
                <w:tcPr>
                  <w:tcW w:type="auto" w:w="0"/>
                  <w:shd w:val="clear" w:color="auto" w:fill="FCFCFC"/>
                </w:tcPr>
                <w:p>
                  <w:pPr>
                    <w:pStyle w:val="Para 02"/>
                    <w:keepLines w:val="on"/>
                  </w:pPr>
                  <w:r>
                    <w:t>Beta không đòn bẩy được điều chỉnh đòn bẩy bằng cách sử dụng tỷ lệ nợ gộp trên vốn chủ sở hữu theo giá thị trường.</w:t>
                  </w:r>
                </w:p>
              </w:tc>
              <w:tc>
                <w:tcPr>
                  <w:tcW w:type="auto" w:w="0"/>
                  <w:shd w:val="clear" w:color="auto" w:fill="FCFCFC"/>
                </w:tcPr>
                <w:p>
                  <w:pPr>
                    <w:pStyle w:val="Para 02"/>
                    <w:keepLines w:val="on"/>
                  </w:pPr>
                  <w:r>
                    <w:t>Beta không đòn bẩy được điều chỉnh đòn bẩy bằng cách sử dụng tỷ lệ nợ ròng trên vốn chủ sở hữu theo giá thị trường.</w:t>
                  </w:r>
                </w:p>
              </w:tc>
            </w:tr>
            <w:tr>
              <w:tc>
                <w:tcPr>
                  <w:tcW w:type="auto" w:w="0"/>
                  <w:shd w:val="clear" w:color="auto" w:fill="FCFCFC"/>
                </w:tcPr>
                <w:p>
                  <w:pPr>
                    <w:pStyle w:val="Para 02"/>
                    <w:keepLines w:val="on"/>
                  </w:pPr>
                  <w:r>
                    <w:t>Chi phí vốn</w:t>
                  </w:r>
                </w:p>
              </w:tc>
              <w:tc>
                <w:tcPr>
                  <w:tcW w:type="auto" w:w="0"/>
                  <w:shd w:val="clear" w:color="auto" w:fill="FCFCFC"/>
                </w:tcPr>
                <w:p>
                  <w:pPr>
                    <w:pStyle w:val="Para 02"/>
                    <w:keepLines w:val="on"/>
                  </w:pPr>
                  <w:r>
                    <w:t>Tỷ lệ nợ trên vốn được sử dụng dựa trên nợ gộp.</w:t>
                  </w:r>
                </w:p>
              </w:tc>
              <w:tc>
                <w:tcPr>
                  <w:tcW w:type="auto" w:w="0"/>
                  <w:shd w:val="clear" w:color="auto" w:fill="FCFCFC"/>
                </w:tcPr>
                <w:p>
                  <w:pPr>
                    <w:pStyle w:val="Para 02"/>
                    <w:keepLines w:val="on"/>
                  </w:pPr>
                  <w:r>
                    <w:t>Tỷ lệ nợ trên vốn sử dụng được tính dựa trên nợ ròng.</w:t>
                  </w:r>
                </w:p>
              </w:tc>
            </w:tr>
            <w:tr>
              <w:tc>
                <w:tcPr>
                  <w:tcW w:type="auto" w:w="0"/>
                  <w:shd w:val="clear" w:color="auto" w:fill="FCFCFC"/>
                </w:tcPr>
                <w:p>
                  <w:pPr>
                    <w:pStyle w:val="Para 02"/>
                    <w:keepLines w:val="on"/>
                  </w:pPr>
                  <w:r>
                    <w:t>Cách xử lý tiền mặt và nợ</w:t>
                  </w:r>
                </w:p>
              </w:tc>
              <w:tc>
                <w:tcPr>
                  <w:tcW w:type="auto" w:w="0"/>
                  <w:shd w:val="clear" w:color="auto" w:fill="FCFCFC"/>
                </w:tcPr>
                <w:p>
                  <w:pPr>
                    <w:pStyle w:val="Para 02"/>
                    <w:keepLines w:val="on"/>
                  </w:pPr>
                  <w:r>
                    <w:t>Tiền mặt được cộng vào giá trị tài sản hoạt động, và nợ gộp được trừ đi để ra giá trị vốn chủ sở hữu.</w:t>
                  </w:r>
                </w:p>
              </w:tc>
              <w:tc>
                <w:tcPr>
                  <w:tcW w:type="auto" w:w="0"/>
                  <w:shd w:val="clear" w:color="auto" w:fill="FCFCFC"/>
                </w:tcPr>
                <w:p>
                  <w:pPr>
                    <w:pStyle w:val="Para 02"/>
                    <w:keepLines w:val="on"/>
                  </w:pPr>
                  <w:r>
                    <w:t>Tiền mặt không được cộng lại vào tài sản hoạt động, và nợ ròng được trừ đi để ra giá trị vốn chủ sở hữu.</w:t>
                  </w:r>
                </w:p>
              </w:tc>
            </w:tr>
          </w:tbl>
          <w:p/>
        </w:tc>
      </w:tr>
    </w:tbl>
    <w:p>
      <w:pPr>
        <w:pStyle w:val="Para 16"/>
        <w:keepLines w:val="on"/>
      </w:pPr>
      <w:r>
        <w:t>Dù làm việc với nợ ròng trong định giá không hề khó, nhưng câu hỏi thú vị hơn là liệu giá trị thu được có giống với giá trị lẽ ra được ước tính khi dùng nợ gộp hay không. Nói chung, câu trả lời là không, và lý do thường nằm ở chi phí nợ được dùng trong định giá theo nợ ròng. Nói một cách trực giác, khi bạn dùng nợ ròng, điều bạn đang làm là tách công ty thành hai phần — một mảng kinh doanh tiền mặt, được tài trợ 100% bằng nợ phi rủi ro, và một mảng kinh doanh hoạt động được tài trợ một phần bằng nợ có rủi ro. Suy luận đến cùng, chi phí nợ mà bạn sẽ có cho mảng kinh doanh hoạt động sẽ cao hơn đáng kể so với chi phí nợ hiện tại của công ty. Điều này là vì các bên cho vay hiện tại của công ty sẽ tính đến lượng tiền mặt mà công ty nắm giữ khi ấn định chi phí nợ.</w:t>
      </w:r>
    </w:p>
    <w:p>
      <w:pPr>
        <w:pStyle w:val="Para 16"/>
        <w:keepLines w:val="on"/>
      </w:pPr>
      <w:r>
        <w:t>Để minh họa, giả sử bạn có một công ty với tổng giá trị 1 tỷ đô la — 200 triệu đô la tiền mặt và 800 triệu đô la tài sản hoạt động — với 400 triệu đô la nợ và 600 triệu đô la vốn chủ sở hữu. Chi phí nợ của công ty là 7%, tức mức chênh lệch vỡ nợ 2% so với lãi suất phi rủi ro 5%; lưu ý rằng chi phí nợ này được ấn định dựa trên lượng tiền mặt đáng kể mà công ty nắm giữ. Nếu bạn bù trừ nợ với tiền mặt, công ty sẽ có 200 triệu đô la nợ ròng và 600 triệu đô la vốn chủ sở hữu. Nếu bạn dùng chi phí nợ 7% để định giá công ty lúc này, bạn sẽ thổi phồng giá trị của nó. Thay vào đó, chi phí nợ bạn nên dùng trong định giá là 9%:</w:t>
      </w:r>
    </w:p>
    <w:p>
      <w:bookmarkStart w:id="2949" w:name="Cost_of_debt_on_net_debt__Pretax"/>
      <w:pPr>
        <w:keepNext/>
        <w:pStyle w:val="Para 48"/>
        <w:keepLines w:val="on"/>
      </w:pPr>
      <w:r>
        <w:t>Chi phí nợ trên nợ ròng=(Chi phí nợ trước thuế của nợ gộp×Nợ gộp−Lãi suất phi rủi ro của nợ ròng×Tiền mặt)/Nợ gộp-Tiền mặt</w:t>
      </w:r>
      <w:bookmarkEnd w:id="2949"/>
    </w:p>
    <w:p>
      <w:pPr>
        <w:pStyle w:val="Para 16"/>
        <w:keepLines w:val="on"/>
      </w:pPr>
      <w:r>
        <w:t>Nói chung, chúng tôi khuyên dùng nợ gộp thay vì nợ ròng vì hai lý do khác nữa. Thứ nhất, nợ ròng có thể là một số âm nếu tiền mặt vượt quá nợ gộp. Nếu điều này xảy ra, bạn nên đặt nợ ròng bằng không và xem phần tiền mặt dư thừa giống như bạn xử lý tiền mặt trong định giá theo nợ gộp. Thứ hai, để duy trì một tỷ lệ nợ ròng ổn định ở một công ty đang tăng trưởng, bạn sẽ cần số dư tiền mặt tăng lên khi giá trị công ty tăng lên.</w:t>
      </w:r>
    </w:p>
    <w:p>
      <w:bookmarkStart w:id="2950" w:name="Will_Equity_Value_Be_the_Same_un"/>
      <w:bookmarkStart w:id="2951" w:name="Will_Equity_Value_Be_the_Same_un_1"/>
      <w:pPr>
        <w:keepNext/>
        <w:pStyle w:val="Heading 3"/>
        <w:keepLines w:val="on"/>
      </w:pPr>
      <w:r>
        <w:t>Liệu giá trị vốn chủ sở hữu có giống nhau khi định giá theo công ty và theo vốn chủ sở hữu?</w:t>
      </w:r>
      <w:bookmarkEnd w:id="2950"/>
      <w:bookmarkEnd w:id="2951"/>
    </w:p>
    <w:p>
      <w:pPr>
        <w:pStyle w:val="Para 03"/>
      </w:pPr>
      <w:r>
        <w:t>Mô hình này, không giống như mô hình chiết khấu cổ tức hay mô hình FCFE, định giá công ty chứ không phải vốn chủ sở hữu. Tuy nhiên, giá trị vốn chủ sở hữu có thể được rút ra từ giá trị công ty bằng cách trừ đi giá trị thị trường của khoản nợ đang lưu hành. Vì mô hình này có thể được xem như một cách khác để định giá vốn chủ sở hữu, hai câu hỏi nảy sinh: Tại sao lại định giá công ty chứ không phải vốn chủ sở hữu? Liệu các giá trị vốn chủ sở hữu thu được từ cách tiếp cận định giá công ty có nhất quán với các giá trị thu được từ các cách tiếp cận định giá vốn chủ sở hữu đã mô tả ở chương trước hay không?</w:t>
      </w:r>
    </w:p>
    <w:p>
      <w:pPr>
        <w:pStyle w:val="Para 03"/>
      </w:pPr>
      <w:r>
        <w:t>Lợi thế của việc dùng cách tiếp cận định giá công ty là các dòng tiền liên quan đến nợ không cần phải được xem xét một cách tường minh, vì FCFF là dòng tiền trước nợ, trong khi chúng phải được tính đến khi ước tính FCFE. Trong những trường hợp đòn bẩy được kỳ vọng sẽ thay đổi đáng kể theo thời gian, đây là một cách tiết kiệm thời gian đáng kể, vì việc ước tính các đợt phát hành nợ mới và các khoản trả nợ khi đòn bẩy đang thay đổi có thể trở nên ngày càng rối rắm khi bạn đi càng xa về tương lai. Tuy nhiên, cách tiếp cận định giá công ty đòi hỏi thông tin về tỷ lệ nợ và lãi suất để ước tính chi phí vốn bình quân gia quyền.</w:t>
      </w:r>
    </w:p>
    <w:p>
      <w:pPr>
        <w:pStyle w:val="Para 03"/>
      </w:pPr>
      <w:r>
        <w:t>Giá trị vốn chủ sở hữu thu được từ cách tiếp cận định giá công ty và cách tiếp cận định giá vốn chủ sở hữu sẽ giống nhau nếu bạn đưa ra những giả định nhất quán về đòn bẩy tài chính. Nhưng để chúng hội tụ trên thực tế thì khó hơn nhiều. Hãy bắt đầu với trường hợp đơn giản nhất — một công ty không tăng trưởng, tồn tại vĩnh viễn. Giả sử công ty có 166,67 triệu đô la lợi nhuận trước lãi vay và thuế, và thuế suất 40%. Giả sử công ty có vốn chủ sở hữu với giá trị thị trường 600 triệu đô la, với chi phí vốn chủ sở hữu 13,87%, và nợ 400 triệu đô la, với chi phí nợ trước thuế 7%. Chi phí vốn của công ty có thể được ước tính như sau:</w:t>
      </w:r>
    </w:p>
    <w:p>
      <w:bookmarkStart w:id="2953" w:name="Cost_of_capital_13_87_6001_000_7"/>
      <w:pPr>
        <w:keepNext/>
        <w:pStyle w:val="Para 09"/>
        <w:keepLines w:val="on"/>
      </w:pPr>
      <w:r>
        <w:t>Chi phí vốn=13,87%6001.000+7%1−.44001.000=10%Giá trị công ty=Lợi nhuận trước lãi vay và thuế (1-t)Chi phí vốn=166,67(1−.4).10=$1.000</w:t>
      </w:r>
      <w:bookmarkEnd w:id="2953"/>
    </w:p>
    <w:p>
      <w:pPr>
        <w:pStyle w:val="Para 03"/>
      </w:pPr>
      <w:r>
        <w:t>Lưu ý rằng công ty không có tái đầu tư và không tăng trưởng. Chúng ta có thể định giá vốn chủ sở hữu trong công ty này bằng cách trừ đi giá trị của nợ:</w:t>
      </w:r>
    </w:p>
    <w:p>
      <w:bookmarkStart w:id="2954" w:name="Value_of_equity_Value_of_firm_Va"/>
      <w:pPr>
        <w:keepNext/>
        <w:pStyle w:val="Para 09"/>
        <w:keepLines w:val="on"/>
      </w:pPr>
      <w:r>
        <w:t>Giá trị vốn chủ sở hữu=Giá trị công ty-Giá trị nợ=$1.000-$400=600 triệu đô la</w:t>
      </w:r>
      <w:bookmarkEnd w:id="2954"/>
    </w:p>
    <w:p>
      <w:pPr>
        <w:pStyle w:val="Para 03"/>
      </w:pPr>
      <w:r>
        <w:t>Giờ, hãy định giá vốn chủ sở hữu một cách trực tiếp bằng cách ước tính thu nhập ròng:</w:t>
      </w:r>
    </w:p>
    <w:p>
      <w:bookmarkStart w:id="2955" w:name="Net_income__EBIT_Pretax_cost_of"/>
      <w:pPr>
        <w:keepNext/>
        <w:pStyle w:val="Para 09"/>
        <w:keepLines w:val="on"/>
      </w:pPr>
      <w:r>
        <w:t>Thu nhập ròng=(EBIT-Chi phí nợ trước thuế×Nợ)(1-t)=(166,67−.07×400)(1−.4)=83,202 triệu đô la</w:t>
      </w:r>
      <w:bookmarkEnd w:id="2955"/>
    </w:p>
    <w:p>
      <w:pPr>
        <w:pStyle w:val="Para 03"/>
      </w:pPr>
      <w:r>
        <w:t>Giá trị vốn chủ sở hữu có thể thu được bằng cách chiết khấu thu nhập ròng này theo chi phí vốn chủ sở hữu:</w:t>
      </w:r>
    </w:p>
    <w:p>
      <w:bookmarkStart w:id="2956" w:name="Value_of_equity_Net_incomeCost_o"/>
      <w:pPr>
        <w:keepNext/>
        <w:pStyle w:val="Para 09"/>
        <w:keepLines w:val="on"/>
      </w:pPr>
      <w:r>
        <w:t>Giá trị vốn chủ sở hữu=Thu nhập ròngChi phí vốn chủ sở hữu=83,202/.1387=600 triệu đô la</w:t>
      </w:r>
      <w:bookmarkEnd w:id="2956"/>
    </w:p>
    <w:p>
      <w:pPr>
        <w:pStyle w:val="Para 03"/>
      </w:pPr>
      <w:r>
        <w:t>Ngay cả ví dụ đơn giản này cũng đúng nhờ ba giả định được đưa ra một cách ngầm hiểu hoặc tường minh trong quá trình định giá:</w:t>
      </w:r>
    </w:p>
    <w:p>
      <w:pPr>
        <w:numPr>
          <w:ilvl w:val="0"/>
          <w:numId w:val="143"/>
        </w:numPr>
        <w:pStyle w:val="Para 01"/>
      </w:pPr>
      <w:r>
        <w:t>Các giá trị nợ và vốn chủ sở hữu dùng để tính chi phí vốn bằng với các giá trị thu được trong định giá. Bất chấp sự vòng lặp trong lập luận — bạn cần chi phí vốn để có được các giá trị đó ngay từ đầu — điều này cho thấy rằng một chi phí vốn dựa trên trọng số giá trị thị trường sẽ không cho ra cùng một giá trị vốn chủ sở hữu như một mô hình định giá vốn chủ sở hữu, nếu công ty ngay từ đầu không được định giá hợp lý.</w:t>
      </w:r>
    </w:p>
    <w:p>
      <w:pPr>
        <w:numPr>
          <w:ilvl w:val="0"/>
          <w:numId w:val="143"/>
        </w:numPr>
        <w:pStyle w:val="Para 60"/>
      </w:pPr>
      <w:r>
        <w:t>Không có các khoản mục bất thường hay ngoài hoạt động kinh doanh ảnh hưởng đến thu nhập ròng nhưng không ảnh hưởng đến thu nhập hoạt động. Vì vậy, để đi từ thu nhập hoạt động sang thu nhập ròng, tất cả những gì chúng ta làm là trừ đi chi phí lãi vay và thuế.</w:t>
      </w:r>
    </w:p>
    <w:p>
      <w:pPr>
        <w:numPr>
          <w:ilvl w:val="0"/>
          <w:numId w:val="143"/>
        </w:numPr>
        <w:pStyle w:val="Para 01"/>
      </w:pPr>
      <w:r>
        <w:t>Chi phí lãi vay bằng chi phí nợ trước thuế nhân với giá trị thị trường của nợ. Nếu một công ty có nợ cũ trên sổ sách, với chi phí lãi vay khác với giá trị này, hai cách tiếp cận sẽ phân kỳ.</w:t>
      </w:r>
    </w:p>
    <w:p>
      <w:pPr>
        <w:pStyle w:val="Para 03"/>
      </w:pPr>
      <w:r>
        <w:t>Nếu có tăng trưởng được kỳ vọng, khả năng xảy ra sự không nhất quán sẽ nhân lên. Bạn phải đảm bảo rằng bạn vay đủ tiền để tài trợ cho các khoản đầu tư mới nhằm giữ tỷ lệ nợ của bạn ở mức nhất quán với mức bạn đang giả định khi tính chi phí vốn.</w:t>
      </w:r>
    </w:p>
    <w:p>
      <w:pPr>
        <w:pStyle w:val="Para 11"/>
      </w:pPr>
      <w:r>
        <w:t xml:space="preserve"> </w:t>
      </w:r>
    </w:p>
    <w:p>
      <w:bookmarkStart w:id="2958" w:name="fcffvsfcfe_xls__This_spreadsheet"/>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42"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2958"/>
    </w:p>
    <w:p>
      <w:pPr>
        <w:pStyle w:val="Para 31"/>
        <w:keepLines w:val="on"/>
      </w:pPr>
      <w:r>
        <w:t>fcffvsfcfe.xls: Bảng tính này cho phép bạn so sánh các giá trị vốn chủ sở hữu thu được bằng cách dùng mô hình FCFF và FCFE.</w:t>
      </w:r>
    </w:p>
    <w:p>
      <w:bookmarkStart w:id="2959" w:name="Firm_Valuation__The_Adjusted_Pre"/>
      <w:bookmarkStart w:id="2960" w:name="Firm_Valuation__The_Adjusted_Pre_1"/>
      <w:pPr>
        <w:keepNext/>
        <w:pStyle w:val="Heading 2"/>
        <w:keepLines w:val="on"/>
      </w:pPr>
      <w:r>
        <w:t>Định giá doanh nghiệp: Phương pháp giá trị hiện tại điều chỉnh</w:t>
      </w:r>
      <w:bookmarkEnd w:id="2959"/>
      <w:bookmarkEnd w:id="2960"/>
    </w:p>
    <w:p>
      <w:pPr>
        <w:pStyle w:val="Para 03"/>
      </w:pPr>
      <w:r>
        <w:t>Phương pháp giá trị hiện tại điều chỉnh (Adjusted Present Value – APV) bắt đầu bằng giá trị của doanh nghiệp khi chưa có nợ. Khi nợ được thêm vào doanh nghiệp, tác động ròng lên giá trị sẽ được xem xét bằng cách cân nhắc cả lợi ích lẫn chi phí của việc vay nợ. Để làm điều này, ta giả định rằng lợi ích chính của việc vay nợ là lợi ích thuế, và chi phí đáng kể nhất của việc vay nợ là rủi ro phá sản gia tăng.</w:t>
      </w:r>
    </w:p>
    <w:p>
      <w:bookmarkStart w:id="2961" w:name="Mechanics_of_APV_Valuation"/>
      <w:bookmarkStart w:id="2962" w:name="Mechanics_of_APV_Valuation__We_e"/>
      <w:pPr>
        <w:keepNext/>
        <w:pStyle w:val="Heading 3"/>
        <w:keepLines w:val="on"/>
      </w:pPr>
      <w:r>
        <w:t>Cơ chế của định giá theo APV</w:t>
      </w:r>
      <w:bookmarkEnd w:id="2961"/>
      <w:bookmarkEnd w:id="2962"/>
    </w:p>
    <w:p>
      <w:pPr>
        <w:pStyle w:val="Para 03"/>
      </w:pPr>
      <w:r>
        <w:t>Chúng ta ước tính giá trị của doanh nghiệp qua ba bước. Thứ nhất, ta ước tính giá trị của doanh nghiệp khi không có nợ; đây được gọi là giá trị doanh nghiệp không vay nợ (unlevered firm value). Thứ hai, ta ước tính giá trị gia tăng nhờ lợi ích thuế từ việc vay nợ; những lợi ích này mang hình thức tiết kiệm thuế mà bạn có được từ việc khấu trừ chi phí lãi vay. Thứ ba, bạn đưa vào tác động của việc vay nợ lên chi phí phá sản kỳ vọng, bằng cách ước tính sự thay đổi trong khả năng phá sản do khoản nợ gây ra, cùng với chi phí của cả việc phá sản (chi phí phá sản trực tiếp) lẫn việc bị khách hàng, nhân viên và nhà cung cấp nhìn nhận là có khả năng phá sản (chi phí phá sản gián tiếp).</w:t>
      </w:r>
    </w:p>
    <w:p>
      <w:bookmarkStart w:id="2963" w:name="Value_of_Unlevered_Firm"/>
      <w:bookmarkStart w:id="2964" w:name="Value_of_Unlevered_Firm__The_fir"/>
      <w:pPr>
        <w:keepNext/>
        <w:pStyle w:val="Heading 4"/>
        <w:keepLines w:val="on"/>
      </w:pPr>
      <w:r>
        <w:t>Giá trị của doanh nghiệp không vay nợ</w:t>
      </w:r>
      <w:bookmarkEnd w:id="2963"/>
      <w:bookmarkEnd w:id="2964"/>
    </w:p>
    <w:p>
      <w:pPr>
        <w:pStyle w:val="Para 03"/>
      </w:pPr>
      <w:r>
        <w:t>Bước đầu tiên trong phương pháp này là ước tính giá trị của doanh nghiệp không vay nợ. Điều này có thể được thực hiện bằng cách định giá doanh nghiệp như thể nó không có nợ (tức là chiết khấu dòng tiền tự do kỳ vọng của doanh nghiệp theo chi phí vốn cổ phần không vay nợ). Trong trường hợp đặc biệt khi dòng tiền tăng trưởng với tốc độ không đổi mãi mãi,</w:t>
      </w:r>
    </w:p>
    <w:p>
      <w:bookmarkStart w:id="2965" w:name="Value_of_unlevered_firm_E_FCFF1"/>
      <w:pPr>
        <w:keepNext/>
        <w:pStyle w:val="Para 09"/>
        <w:keepLines w:val="on"/>
      </w:pPr>
      <w:r>
        <w:t>Giá trị doanh nghiệp không vay nợ=E(FCFF1)/(ρu-g)</w:t>
      </w:r>
      <w:bookmarkEnd w:id="2965"/>
    </w:p>
    <w:p>
      <w:pPr>
        <w:pStyle w:val="Para 03"/>
      </w:pPr>
      <w:r>
        <w:t>trong đó FCFF1 là dòng tiền hoạt động sau thuế kỳ vọng của doanh nghiệp, ρu là chi phí vốn cổ phần không vay nợ, và g là tốc độ tăng trưởng kỳ vọng. Trong trường hợp tổng quát hơn, bạn có thể định giá doanh nghiệp bằng bất kỳ bộ giả định tăng trưởng nào mà bạn cho là hợp lý đối với doanh nghiệp đó.</w:t>
      </w:r>
    </w:p>
    <w:p>
      <w:pPr>
        <w:pStyle w:val="Para 03"/>
      </w:pPr>
      <w:r>
        <w:t>Các đầu vào cần thiết cho việc định giá này là dòng tiền kỳ vọng, tốc độ tăng trưởng và chi phí vốn cổ phần không vay nợ. Để ước tính chi phí vốn cổ phần không vay nợ, ta có thể dựa vào phân tích trước đó và tính beta không vay nợ của doanh nghiệp:</w:t>
      </w:r>
    </w:p>
    <w:p>
      <w:bookmarkStart w:id="2967" w:name="bunlevered_bCurrent_1__1_t_D_E"/>
      <w:pPr>
        <w:keepNext/>
        <w:pStyle w:val="Para 09"/>
        <w:keepLines w:val="on"/>
      </w:pPr>
      <w:r>
        <w:t>βunlevered=βCurrent[1+(1-t)D/E]</w:t>
      </w:r>
      <w:bookmarkEnd w:id="2967"/>
    </w:p>
    <w:p>
      <w:bookmarkStart w:id="2968" w:name="where_bunlevered_Unlevered_beta"/>
      <w:pPr>
        <w:pStyle w:val="Para 39"/>
      </w:pPr>
      <w:r>
        <w:t>trong đó βunlevered=Beta không vay nợ của doanh nghiệpβcurrent=Beta vốn cổ phần hiện tại của doanh nghiệpt=Thuế suất của doanh nghiệpD/E=Tỷ lệ nợ/vốn cổ phần hiện tại</w:t>
      </w:r>
      <w:bookmarkEnd w:id="2968"/>
    </w:p>
    <w:p>
      <w:pPr>
        <w:pStyle w:val="Para 03"/>
      </w:pPr>
      <w:r>
        <w:t>Beta không vay nợ này sau đó có thể được dùng để tính ra chi phí vốn cổ phần không vay nợ.</w:t>
      </w:r>
    </w:p>
    <w:p>
      <w:bookmarkStart w:id="2969" w:name="Expected_Tax_Benefit_from_Borrow_1"/>
      <w:bookmarkStart w:id="2970" w:name="Expected_Tax_Benefit_from_Borrow"/>
      <w:pPr>
        <w:keepNext/>
        <w:pStyle w:val="Heading 4"/>
        <w:keepLines w:val="on"/>
      </w:pPr>
      <w:r>
        <w:t>Lợi ích thuế kỳ vọng từ việc vay nợ</w:t>
      </w:r>
      <w:bookmarkEnd w:id="2969"/>
      <w:bookmarkEnd w:id="2970"/>
    </w:p>
    <w:p>
      <w:pPr>
        <w:pStyle w:val="Para 03"/>
      </w:pPr>
      <w:r>
        <w:t>Bước thứ hai trong phương pháp này là tính toán lợi ích thuế kỳ vọng từ một mức nợ nhất định. Lợi ích thuế này là một hàm số của thuế suất và các khoản thanh toán lãi của doanh nghiệp, và được chiết khấu theo chi phí nợ để phản ánh mức độ rủi ro của dòng tiền này. Nếu khoản tiết kiệm thuế được xem là một khoản vĩnh viễn, giá trị có thể được tính như sau:</w:t>
      </w:r>
    </w:p>
    <w:p>
      <w:bookmarkStart w:id="2971" w:name="Value_of_tax_benefits_Tax_ratexC"/>
      <w:pPr>
        <w:keepNext/>
        <w:pStyle w:val="Para 09"/>
        <w:keepLines w:val="on"/>
      </w:pPr>
      <w:r>
        <w:t>Giá trị lợi ích thuế=Thuế suất×Chi phí nợ×NợChi phí nợ=Thuế suất×Nợ=tcD</w:t>
      </w:r>
      <w:bookmarkEnd w:id="2971"/>
    </w:p>
    <w:p>
      <w:pPr>
        <w:pStyle w:val="Para 03"/>
      </w:pPr>
      <w:r>
        <w:t>Thuế suất được dùng ở đây là thuế suất biên của doanh nghiệp, và được giả định là không đổi theo thời gian. Nếu bạn dự đoán thuế suất sẽ thay đổi theo thời gian, bạn vẫn có thể tính giá trị hiện tại của lợi ích thuế theo thời gian, nhưng bạn không thể dùng phương trình tăng trưởng vĩnh viễn. Ngoài ra, bạn sẽ phải điều chỉnh phương trình này nếu chi phí lãi hiện tại không phản ánh chi phí nợ hiện tại.</w:t>
      </w:r>
    </w:p>
    <w:p>
      <w:bookmarkStart w:id="2972" w:name="Estimating_Expected_Bankruptcy_C"/>
      <w:bookmarkStart w:id="2973" w:name="Estimating_Expected_Bankruptcy_C_1"/>
      <w:pPr>
        <w:keepNext/>
        <w:pStyle w:val="Heading 4"/>
        <w:keepLines w:val="on"/>
      </w:pPr>
      <w:r>
        <w:t>Ước tính chi phí phá sản kỳ vọng và tác động ròng</w:t>
      </w:r>
      <w:bookmarkEnd w:id="2972"/>
      <w:bookmarkEnd w:id="2973"/>
    </w:p>
    <w:p>
      <w:pPr>
        <w:pStyle w:val="Para 03"/>
      </w:pPr>
      <w:r>
        <w:t>Bước thứ ba là đánh giá tác động của mức nợ nhất định lên rủi ro vỡ nợ của doanh nghiệp và lên chi phí phá sản kỳ vọng. Về mặt lý thuyết, ít nhất thì điều này đòi hỏi phải ước tính xác suất vỡ nợ khi có thêm nợ, cùng với chi phí phá sản trực tiếp và gián tiếp. Nếu πa là xác suất vỡ nợ sau khi thêm nợ và BC là giá trị hiện tại của chi phí phá sản, thì giá trị hiện tại (PV) của chi phí phá sản kỳ vọng có thể được ước tính:</w:t>
      </w:r>
    </w:p>
    <w:p>
      <w:bookmarkStart w:id="2974" w:name="PV_of_expected_bankruptcy_cost_P"/>
      <w:pPr>
        <w:keepNext/>
        <w:pStyle w:val="Para 09"/>
        <w:keepLines w:val="on"/>
      </w:pPr>
      <w:r>
        <w:t>PV của chi phí phá sản kỳ vọng=Xác suất phá sản×PV của chi phí phá sản=πaBC</w:t>
      </w:r>
      <w:bookmarkEnd w:id="2974"/>
    </w:p>
    <w:p>
      <w:pPr>
        <w:pStyle w:val="Para 03"/>
      </w:pPr>
      <w:r>
        <w:t>Bước này của phương pháp giá trị hiện tại điều chỉnh đặt ra những vấn đề ước tính nghiêm trọng nhất, vì cả xác suất phá sản lẫn chi phí phá sản đều không thể được ước tính một cách trực tiếp.</w:t>
      </w:r>
    </w:p>
    <w:p>
      <w:pPr>
        <w:pStyle w:val="Para 03"/>
      </w:pPr>
      <w:r>
        <w:t>Có hai cách cơ bản để ước tính xác suất phá sản một cách gián tiếp. Một là ước tính xếp hạng trái phiếu và sử dụng các ước tính thực nghiệm về xác suất vỡ nợ cho xếp hạng đó. Ví dụ, Bảng 15.7, được trích từ Standard and Poor's, tóm tắt xác suất vỡ nợ trong 1, 5 và 10 năm theo nhóm xếp hạng trái phiếu trong giai đoạn 2013–2022.4</w:t>
      </w:r>
    </w:p>
    <w:p>
      <w:pPr>
        <w:pStyle w:val="Para 20"/>
      </w:pPr>
      <w:r>
        <w:rPr>
          <w:rStyle w:val="Text26"/>
        </w:rPr>
        <w:bookmarkStart w:id="2977" w:name="Page_455"/>
        <w:t/>
        <w:bookmarkEnd w:id="2977"/>
      </w:r>
      <w:r>
        <w:t xml:space="preserve"> </w:t>
      </w:r>
    </w:p>
    <w:p>
      <w:pPr>
        <w:pStyle w:val="Para 34"/>
        <w:keepLines w:val="on"/>
      </w:pPr>
      <w:r>
        <w:t>Bảng 15.7</w:t>
      </w:r>
    </w:p>
    <w:p>
      <w:pPr>
        <w:keepNext/>
        <w:pStyle w:val="Para 35"/>
        <w:keepLines w:val="on"/>
      </w:pPr>
      <w:r>
        <w:t>Xếp hạng và xác suất vỡ nợ</w:t>
      </w:r>
    </w:p>
    <w:tbl>
      <w:tblPr>
        <w:tblW w:type="auto" w:w="0"/>
      </w:tblPr>
      <w:tr>
        <w:tc>
          <w:tcPr>
            <w:tcW w:type="auto" w:w="0"/>
          </w:tcPr>
          <w:tbl>
            <w:tblPr>
              <w:tblW w:type="auto" w:w="0"/>
            </w:tblPr>
            <w:tr>
              <w:tc>
                <w:tcPr>
                  <w:tcW w:type="auto" w:w="0"/>
                  <w:shd w:val="clear" w:color="auto" w:fill="F0F0F0"/>
                  <w:hMerge w:val="restart"/>
                </w:tcPr>
                <w:p>
                  <w:pPr>
                    <w:pStyle w:val="Para 17"/>
                    <w:keepLines w:val="on"/>
                  </w:pPr>
                  <w:r>
                    <w:t>Xác suất vỡ nợ theo thời gian (khung thời gian 1–10 năm)</w:t>
                  </w:r>
                </w:p>
              </w:tc>
              <w:tc>
                <w:tcPr>
                  <w:hMerge w:val="continue"/>
                </w:tcPr>
                <w:p/>
              </w:tc>
              <w:tc>
                <w:tcPr>
                  <w:hMerge w:val="continue"/>
                </w:tcPr>
                <w:p/>
              </w:tc>
              <w:tc>
                <w:tcPr>
                  <w:hMerge w:val="continue"/>
                </w:tcPr>
                <w:p/>
              </w:tc>
            </w:tr>
            <w:tr>
              <w:tc>
                <w:tcPr>
                  <w:tcW w:type="auto" w:w="0"/>
                  <w:shd w:val="clear" w:color="auto" w:fill="F0F0F0"/>
                </w:tcPr>
                <w:p>
                  <w:pPr>
                    <w:pStyle w:val="Para 51"/>
                    <w:keepLines w:val="on"/>
                  </w:pPr>
                  <w:r>
                    <w:t>Xếp hạng</w:t>
                  </w:r>
                </w:p>
              </w:tc>
              <w:tc>
                <w:tcPr>
                  <w:tcW w:type="auto" w:w="0"/>
                  <w:shd w:val="clear" w:color="auto" w:fill="F0F0F0"/>
                </w:tcPr>
                <w:p>
                  <w:pPr>
                    <w:pStyle w:val="Normal"/>
                    <w:keepLines w:val="on"/>
                  </w:pPr>
                  <w:r>
                    <w:t>1</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10</w:t>
                  </w:r>
                </w:p>
              </w:tc>
            </w:tr>
            <w:tr>
              <w:tc>
                <w:tcPr>
                  <w:tcW w:type="auto" w:w="0"/>
                  <w:shd w:val="clear" w:color="auto" w:fill="F0F0F0"/>
                </w:tcPr>
                <w:p>
                  <w:pPr>
                    <w:pStyle w:val="Para 02"/>
                    <w:keepLines w:val="on"/>
                  </w:pPr>
                  <w:r>
                    <w:t>AAA</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0,35%</w:t>
                  </w:r>
                </w:p>
              </w:tc>
              <w:tc>
                <w:tcPr>
                  <w:tcW w:type="auto" w:w="0"/>
                  <w:shd w:val="clear" w:color="auto" w:fill="F0F0F0"/>
                </w:tcPr>
                <w:p>
                  <w:pPr>
                    <w:pStyle w:val="Normal"/>
                    <w:keepLines w:val="on"/>
                  </w:pPr>
                  <w:r>
                    <w:t>0,70%</w:t>
                  </w:r>
                </w:p>
              </w:tc>
            </w:tr>
            <w:tr>
              <w:tc>
                <w:tcPr>
                  <w:tcW w:type="auto" w:w="0"/>
                  <w:shd w:val="clear" w:color="auto" w:fill="F0F0F0"/>
                </w:tcPr>
                <w:p>
                  <w:pPr>
                    <w:pStyle w:val="Para 02"/>
                    <w:keepLines w:val="on"/>
                  </w:pPr>
                  <w:r>
                    <w:t>AA</w:t>
                  </w:r>
                </w:p>
              </w:tc>
              <w:tc>
                <w:tcPr>
                  <w:tcW w:type="auto" w:w="0"/>
                  <w:shd w:val="clear" w:color="auto" w:fill="F0F0F0"/>
                </w:tcPr>
                <w:p>
                  <w:pPr>
                    <w:pStyle w:val="Normal"/>
                    <w:keepLines w:val="on"/>
                  </w:pPr>
                  <w:r>
                    <w:t>0,02%</w:t>
                  </w:r>
                </w:p>
              </w:tc>
              <w:tc>
                <w:tcPr>
                  <w:tcW w:type="auto" w:w="0"/>
                  <w:shd w:val="clear" w:color="auto" w:fill="F0F0F0"/>
                </w:tcPr>
                <w:p>
                  <w:pPr>
                    <w:pStyle w:val="Normal"/>
                    <w:keepLines w:val="on"/>
                  </w:pPr>
                  <w:r>
                    <w:t>0,31%</w:t>
                  </w:r>
                </w:p>
              </w:tc>
              <w:tc>
                <w:tcPr>
                  <w:tcW w:type="auto" w:w="0"/>
                  <w:shd w:val="clear" w:color="auto" w:fill="F0F0F0"/>
                </w:tcPr>
                <w:p>
                  <w:pPr>
                    <w:pStyle w:val="Normal"/>
                    <w:keepLines w:val="on"/>
                  </w:pPr>
                  <w:r>
                    <w:t>0,72%</w:t>
                  </w:r>
                </w:p>
              </w:tc>
            </w:tr>
            <w:tr>
              <w:tc>
                <w:tcPr>
                  <w:tcW w:type="auto" w:w="0"/>
                  <w:shd w:val="clear" w:color="auto" w:fill="F0F0F0"/>
                </w:tcPr>
                <w:p>
                  <w:pPr>
                    <w:pStyle w:val="Para 02"/>
                    <w:keepLines w:val="on"/>
                  </w:pPr>
                  <w:r>
                    <w:t>A</w:t>
                  </w:r>
                </w:p>
              </w:tc>
              <w:tc>
                <w:tcPr>
                  <w:tcW w:type="auto" w:w="0"/>
                  <w:shd w:val="clear" w:color="auto" w:fill="F0F0F0"/>
                </w:tcPr>
                <w:p>
                  <w:pPr>
                    <w:pStyle w:val="Normal"/>
                    <w:keepLines w:val="on"/>
                  </w:pPr>
                  <w:r>
                    <w:t>0,05%</w:t>
                  </w:r>
                </w:p>
              </w:tc>
              <w:tc>
                <w:tcPr>
                  <w:tcW w:type="auto" w:w="0"/>
                  <w:shd w:val="clear" w:color="auto" w:fill="F0F0F0"/>
                </w:tcPr>
                <w:p>
                  <w:pPr>
                    <w:pStyle w:val="Normal"/>
                    <w:keepLines w:val="on"/>
                  </w:pPr>
                  <w:r>
                    <w:t>0,47%</w:t>
                  </w:r>
                </w:p>
              </w:tc>
              <w:tc>
                <w:tcPr>
                  <w:tcW w:type="auto" w:w="0"/>
                  <w:shd w:val="clear" w:color="auto" w:fill="F0F0F0"/>
                </w:tcPr>
                <w:p>
                  <w:pPr>
                    <w:pStyle w:val="Normal"/>
                    <w:keepLines w:val="on"/>
                  </w:pPr>
                  <w:r>
                    <w:t>1,24%</w:t>
                  </w:r>
                </w:p>
              </w:tc>
            </w:tr>
            <w:tr>
              <w:tc>
                <w:tcPr>
                  <w:tcW w:type="auto" w:w="0"/>
                  <w:shd w:val="clear" w:color="auto" w:fill="F0F0F0"/>
                </w:tcPr>
                <w:p>
                  <w:pPr>
                    <w:pStyle w:val="Para 02"/>
                    <w:keepLines w:val="on"/>
                  </w:pPr>
                  <w:r>
                    <w:t>BBB</w:t>
                  </w:r>
                </w:p>
              </w:tc>
              <w:tc>
                <w:tcPr>
                  <w:tcW w:type="auto" w:w="0"/>
                  <w:shd w:val="clear" w:color="auto" w:fill="F0F0F0"/>
                </w:tcPr>
                <w:p>
                  <w:pPr>
                    <w:pStyle w:val="Normal"/>
                    <w:keepLines w:val="on"/>
                  </w:pPr>
                  <w:r>
                    <w:t>0,16%</w:t>
                  </w:r>
                </w:p>
              </w:tc>
              <w:tc>
                <w:tcPr>
                  <w:tcW w:type="auto" w:w="0"/>
                  <w:shd w:val="clear" w:color="auto" w:fill="F0F0F0"/>
                </w:tcPr>
                <w:p>
                  <w:pPr>
                    <w:pStyle w:val="Normal"/>
                    <w:keepLines w:val="on"/>
                  </w:pPr>
                  <w:r>
                    <w:t>1,58%</w:t>
                  </w:r>
                </w:p>
              </w:tc>
              <w:tc>
                <w:tcPr>
                  <w:tcW w:type="auto" w:w="0"/>
                  <w:shd w:val="clear" w:color="auto" w:fill="F0F0F0"/>
                </w:tcPr>
                <w:p>
                  <w:pPr>
                    <w:pStyle w:val="Normal"/>
                    <w:keepLines w:val="on"/>
                  </w:pPr>
                  <w:r>
                    <w:t>3,32%</w:t>
                  </w:r>
                </w:p>
              </w:tc>
            </w:tr>
            <w:tr>
              <w:tc>
                <w:tcPr>
                  <w:tcW w:type="auto" w:w="0"/>
                  <w:shd w:val="clear" w:color="auto" w:fill="F0F0F0"/>
                </w:tcPr>
                <w:p>
                  <w:pPr>
                    <w:pStyle w:val="Para 02"/>
                    <w:keepLines w:val="on"/>
                  </w:pPr>
                  <w:r>
                    <w:t>BB</w:t>
                  </w:r>
                </w:p>
              </w:tc>
              <w:tc>
                <w:tcPr>
                  <w:tcW w:type="auto" w:w="0"/>
                  <w:shd w:val="clear" w:color="auto" w:fill="F0F0F0"/>
                </w:tcPr>
                <w:p>
                  <w:pPr>
                    <w:pStyle w:val="Normal"/>
                    <w:keepLines w:val="on"/>
                  </w:pPr>
                  <w:r>
                    <w:t>0,61%</w:t>
                  </w:r>
                </w:p>
              </w:tc>
              <w:tc>
                <w:tcPr>
                  <w:tcW w:type="auto" w:w="0"/>
                  <w:shd w:val="clear" w:color="auto" w:fill="F0F0F0"/>
                </w:tcPr>
                <w:p>
                  <w:pPr>
                    <w:pStyle w:val="Normal"/>
                    <w:keepLines w:val="on"/>
                  </w:pPr>
                  <w:r>
                    <w:t>6,52%</w:t>
                  </w:r>
                </w:p>
              </w:tc>
              <w:tc>
                <w:tcPr>
                  <w:tcW w:type="auto" w:w="0"/>
                  <w:shd w:val="clear" w:color="auto" w:fill="F0F0F0"/>
                </w:tcPr>
                <w:p>
                  <w:pPr>
                    <w:pStyle w:val="Normal"/>
                    <w:keepLines w:val="on"/>
                  </w:pPr>
                  <w:r>
                    <w:t>11,78%</w:t>
                  </w:r>
                </w:p>
              </w:tc>
            </w:tr>
            <w:tr>
              <w:tc>
                <w:tcPr>
                  <w:tcW w:type="auto" w:w="0"/>
                  <w:shd w:val="clear" w:color="auto" w:fill="F0F0F0"/>
                </w:tcPr>
                <w:p>
                  <w:pPr>
                    <w:pStyle w:val="Para 02"/>
                    <w:keepLines w:val="on"/>
                  </w:pPr>
                  <w:r>
                    <w:t>B</w:t>
                  </w:r>
                </w:p>
              </w:tc>
              <w:tc>
                <w:tcPr>
                  <w:tcW w:type="auto" w:w="0"/>
                  <w:shd w:val="clear" w:color="auto" w:fill="F0F0F0"/>
                </w:tcPr>
                <w:p>
                  <w:pPr>
                    <w:pStyle w:val="Normal"/>
                    <w:keepLines w:val="on"/>
                  </w:pPr>
                  <w:r>
                    <w:t>3,33%</w:t>
                  </w:r>
                </w:p>
              </w:tc>
              <w:tc>
                <w:tcPr>
                  <w:tcW w:type="auto" w:w="0"/>
                  <w:shd w:val="clear" w:color="auto" w:fill="F0F0F0"/>
                </w:tcPr>
                <w:p>
                  <w:pPr>
                    <w:pStyle w:val="Normal"/>
                    <w:keepLines w:val="on"/>
                  </w:pPr>
                  <w:r>
                    <w:t>16,93%</w:t>
                  </w:r>
                </w:p>
              </w:tc>
              <w:tc>
                <w:tcPr>
                  <w:tcW w:type="auto" w:w="0"/>
                  <w:shd w:val="clear" w:color="auto" w:fill="F0F0F0"/>
                </w:tcPr>
                <w:p>
                  <w:pPr>
                    <w:pStyle w:val="Normal"/>
                    <w:keepLines w:val="on"/>
                  </w:pPr>
                  <w:r>
                    <w:t>23,74%</w:t>
                  </w:r>
                </w:p>
              </w:tc>
            </w:tr>
            <w:tr>
              <w:tc>
                <w:tcPr>
                  <w:tcW w:type="auto" w:w="0"/>
                  <w:shd w:val="clear" w:color="auto" w:fill="F0F0F0"/>
                </w:tcPr>
                <w:p>
                  <w:pPr>
                    <w:pStyle w:val="Para 02"/>
                    <w:keepLines w:val="on"/>
                  </w:pPr>
                  <w:r>
                    <w:t>CCC/C</w:t>
                  </w:r>
                </w:p>
              </w:tc>
              <w:tc>
                <w:tcPr>
                  <w:tcW w:type="auto" w:w="0"/>
                  <w:shd w:val="clear" w:color="auto" w:fill="F0F0F0"/>
                </w:tcPr>
                <w:p>
                  <w:pPr>
                    <w:pStyle w:val="Normal"/>
                    <w:keepLines w:val="on"/>
                  </w:pPr>
                  <w:r>
                    <w:t>27,08%</w:t>
                  </w:r>
                </w:p>
              </w:tc>
              <w:tc>
                <w:tcPr>
                  <w:tcW w:type="auto" w:w="0"/>
                  <w:shd w:val="clear" w:color="auto" w:fill="F0F0F0"/>
                </w:tcPr>
                <w:p>
                  <w:pPr>
                    <w:pStyle w:val="Normal"/>
                    <w:keepLines w:val="on"/>
                  </w:pPr>
                  <w:r>
                    <w:t>46,19%</w:t>
                  </w:r>
                </w:p>
              </w:tc>
              <w:tc>
                <w:tcPr>
                  <w:tcW w:type="auto" w:w="0"/>
                  <w:shd w:val="clear" w:color="auto" w:fill="F0F0F0"/>
                </w:tcPr>
                <w:p>
                  <w:pPr>
                    <w:pStyle w:val="Normal"/>
                    <w:keepLines w:val="on"/>
                  </w:pPr>
                  <w:r>
                    <w:t>50,38%</w:t>
                  </w:r>
                </w:p>
              </w:tc>
            </w:tr>
          </w:tbl>
          <w:p>
            <w:pPr>
              <w:pStyle w:val="Para 55"/>
              <w:keepLines w:val="on"/>
            </w:pPr>
            <w:r>
              <w:t>Nguồn: Được sử dụng với sự cho phép của S&amp;P Global, (2023).</w:t>
            </w:r>
          </w:p>
        </w:tc>
      </w:tr>
    </w:tbl>
    <w:p>
      <w:pPr>
        <w:pStyle w:val="Para 03"/>
      </w:pPr>
      <w:r>
        <w:t>Cách khác là dùng phương pháp thống kê như probit để ước tính xác suất vỡ nợ, dựa trên các đặc điểm quan sát được của công ty, ở từng mức nợ.5</w:t>
      </w:r>
    </w:p>
    <w:p>
      <w:pPr>
        <w:pStyle w:val="Para 03"/>
      </w:pPr>
      <w:r>
        <w:t>Chi phí phá sản có thể được ước tính, dù với sai số đáng kể, từ các nghiên cứu đã xem xét mức độ của chi phí này trong các vụ phá sản thực tế. Nghiên cứu xem xét chi phí trực tiếp của phá sản kết luận rằng chúng nhỏ6 so với giá trị công ty. Chi phí gián tiếp của phá sản có thể rất lớn, nhưng chi phí này thay đổi rất nhiều giữa các công ty. Shapiro (1989) và Titman (1984) suy đoán rằng chi phí gián tiếp có thể lên tới 25–30 phần trăm giá trị công ty nhưng không đưa ra bằng chứng trực tiếp về các chi phí này.</w:t>
      </w:r>
    </w:p>
    <w:p>
      <w:pPr>
        <w:pStyle w:val="Para 11"/>
      </w:pPr>
      <w:r>
        <w:t xml:space="preserve"> </w:t>
      </w:r>
    </w:p>
    <w:p>
      <w:bookmarkStart w:id="2980" w:name="ILLUSTRATION_15_4__Valuing_a_Com_1"/>
      <w:bookmarkStart w:id="2981" w:name="ILLUSTRATION_15_4__Valuing_a_Com"/>
      <w:pPr>
        <w:keepNext/>
        <w:pStyle w:val="Para 19"/>
        <w:keepLines w:val="on"/>
      </w:pPr>
      <w:r>
        <w:t>MINH HỌA 15.4: Định giá một công ty bằng APV: Thương vụ mua lại J. Crew bằng đòn bẩy</w:t>
      </w:r>
      <w:bookmarkEnd w:id="2980"/>
      <w:bookmarkEnd w:id="2981"/>
    </w:p>
    <w:p>
      <w:pPr>
        <w:pStyle w:val="Para 04"/>
        <w:keepLines w:val="on"/>
      </w:pPr>
      <w:r>
        <w:t>J. Crew là một nhà bán lẻ của Mỹ chuyên bán quần áo mang thương hiệu riêng qua các cửa hàng của mình và trực tuyến. Năm 2010, công ty được Mickey Drexler, CEO của mình, cùng hai công ty cổ phần tư nhân—TPG và Leonard Green—mua lại trong một thương vụ dùng đòn bẩy với giá 2,7 tỷ đô la, trong đó khoảng 1,85 tỷ đô la đến từ nợ (với xếp hạng BB và chi phí nợ trước thuế là 7%).</w:t>
      </w:r>
    </w:p>
    <w:p>
      <w:pPr>
        <w:pStyle w:val="Para 04"/>
        <w:keepLines w:val="on"/>
      </w:pPr>
      <w:r>
        <w:t>Để đánh giá giá trị của thương vụ bằng phương pháp APV, trước tiên chúng ta định giá công ty như một công ty được tài trợ hoàn toàn bằng vốn cổ phần (không dùng đòn bẩy). Để ước tính giá trị, trước tiên chúng ta tính chi phí vốn cổ phần bằng cách dùng beta không đòn bẩy là 1,00 cho các nhà bán lẻ chuyên biệt, kết hợp với lãi suất phi rủi ro 3,5% và phần bù thị trường trưởng thành 5%:</w:t>
      </w:r>
    </w:p>
    <w:p>
      <w:bookmarkStart w:id="2983" w:name="Unlevered_cost_of_equity_3_5__1"/>
      <w:pPr>
        <w:keepNext/>
        <w:pStyle w:val="Para 07"/>
        <w:keepLines w:val="on"/>
      </w:pPr>
      <w:r>
        <w:t>Chi phí vốn cổ phần không đòn bẩy=3,5%+1,00(5%)=8,5%</w:t>
      </w:r>
      <w:bookmarkEnd w:id="2983"/>
    </w:p>
    <w:p>
      <w:pPr>
        <w:pStyle w:val="Para 04"/>
        <w:keepLines w:val="on"/>
      </w:pPr>
      <w:r>
        <w:t>J. Crew tạo ra 230 triệu đô la thu nhập hoạt động trên doanh thu 1.722 triệu đô la vào năm 2010. Chúng ta giả định thuế suất 35% và tốc độ tăng trưởng 3,5% vĩnh viễn, với tỷ suất sinh lợi trên vốn là 14%, dẫn đến kết quả sau:</w:t>
      </w:r>
    </w:p>
    <w:p>
      <w:bookmarkStart w:id="2985" w:name="Reinvestment_rate_in_stable_grow_2"/>
      <w:pPr>
        <w:keepNext/>
        <w:pStyle w:val="Para 07"/>
        <w:keepLines w:val="on"/>
      </w:pPr>
      <w:r>
        <w:t>Tỷ lệ tái đầu tư trong tăng trưởng ổn định=g/ROC=3,5%/14%=25%</w:t>
      </w:r>
      <w:bookmarkEnd w:id="2985"/>
    </w:p>
    <w:p>
      <w:bookmarkStart w:id="2986" w:name="FCFF_next_year_EBIT_1_t__1_Reinv"/>
      <w:pPr>
        <w:keepNext/>
        <w:pStyle w:val="Para 07"/>
        <w:keepLines w:val="on"/>
      </w:pPr>
      <w:r>
        <w:t>FCFF năm sau=EBIT(1-t)(1-Tỷ lệ tái đầu tư)=230 (1,035) (1−,35)(1−,25)=116,05 triệu đô la</w:t>
      </w:r>
      <w:bookmarkEnd w:id="2986"/>
    </w:p>
    <w:p>
      <w:bookmarkStart w:id="2987" w:name="Unlevered_firm_value_Expected_FC"/>
      <w:pPr>
        <w:keepNext/>
        <w:pStyle w:val="Para 07"/>
        <w:keepLines w:val="on"/>
      </w:pPr>
      <w:r>
        <w:t>Giá trị công ty không đòn bẩy=FCFF kỳ vọng năm sau(Chi phí vốn cổ phần không đòn bẩy-Tốc độ tăng trưởng ổn định)=116,05,085−,035=2.321 triệu đô la</w:t>
      </w:r>
      <w:bookmarkEnd w:id="2987"/>
    </w:p>
    <w:p>
      <w:pPr>
        <w:pStyle w:val="Para 04"/>
        <w:keepLines w:val="on"/>
      </w:pPr>
      <w:r>
        <w:t>Để ước tính lợi ích thuế từ nợ, chúng ta giả định một lịch trình nợ theo đó khoản nợ bằng đô la sẽ được trả dần đều đặn hàng năm cho đến mức nợ 500 triệu đô la vào năm thứ 10 và sau đó. Sử dụng thuế suất 35% và chi phí nợ trước thuế, chúng ta tính chi phí lãi vay và lợi ích thuế mỗi năm, trong Bảng 15.8, và chiết khấu các lợi ích này về hiện tại bằng cách dùng chi phí nợ trước thuế làm tỷ lệ chiết khấu.</w:t>
      </w:r>
    </w:p>
    <w:p>
      <w:pPr>
        <w:pStyle w:val="Para 25"/>
        <w:keepLines w:val="on"/>
      </w:pPr>
      <w:r>
        <w:t>Bảng 15.8</w:t>
      </w:r>
    </w:p>
    <w:p>
      <w:pPr>
        <w:keepNext/>
        <w:pStyle w:val="Para 24"/>
        <w:keepLines w:val="on"/>
      </w:pPr>
      <w:r>
        <w:t>Giá trị hiện tại của lợi ích thuế</w:t>
      </w:r>
    </w:p>
    <w:tbl>
      <w:tblPr>
        <w:tblW w:type="auto" w:w="0"/>
      </w:tblPr>
      <w:tr>
        <w:tc>
          <w:tcPr>
            <w:tcW w:type="auto" w:w="0"/>
          </w:tcPr>
          <w:tbl>
            <w:tblPr>
              <w:tblW w:type="auto" w:w="0"/>
            </w:tblPr>
            <w:tr>
              <w:tc>
                <w:tcPr>
                  <w:tcW w:type="auto" w:w="0"/>
                  <w:shd w:val="clear" w:color="auto" w:fill="F0F0F0"/>
                  <w:vAlign w:val="bottom"/>
                </w:tcPr>
                <w:p>
                  <w:pPr>
                    <w:pStyle w:val="Para 45"/>
                    <w:keepLines w:val="on"/>
                  </w:pPr>
                  <w:r>
                    <w:t>Năm</w:t>
                  </w:r>
                </w:p>
              </w:tc>
              <w:tc>
                <w:tcPr>
                  <w:tcW w:type="auto" w:w="0"/>
                  <w:shd w:val="clear" w:color="auto" w:fill="F0F0F0"/>
                </w:tcPr>
                <w:p>
                  <w:pPr>
                    <w:pStyle w:val="Para 17"/>
                    <w:keepLines w:val="on"/>
                  </w:pPr>
                  <w:r>
                    <w:t>Nợ đến hạn vào đầu năm</w:t>
                  </w:r>
                </w:p>
              </w:tc>
              <w:tc>
                <w:tcPr>
                  <w:tcW w:type="auto" w:w="0"/>
                  <w:shd w:val="clear" w:color="auto" w:fill="F0F0F0"/>
                </w:tcPr>
                <w:p>
                  <w:pPr>
                    <w:pStyle w:val="Para 05"/>
                    <w:keepLines w:val="on"/>
                  </w:pPr>
                  <w:r>
                    <w:t>Chi phí lãi vay</w:t>
                  </w:r>
                </w:p>
              </w:tc>
              <w:tc>
                <w:tcPr>
                  <w:tcW w:type="auto" w:w="0"/>
                  <w:shd w:val="clear" w:color="auto" w:fill="F0F0F0"/>
                  <w:vAlign w:val="bottom"/>
                </w:tcPr>
                <w:p>
                  <w:pPr>
                    <w:pStyle w:val="Para 45"/>
                    <w:keepLines w:val="on"/>
                  </w:pPr>
                  <w:r>
                    <w:t>Lợi ích thuế</w:t>
                  </w:r>
                </w:p>
              </w:tc>
              <w:tc>
                <w:tcPr>
                  <w:tcW w:type="auto" w:w="0"/>
                  <w:shd w:val="clear" w:color="auto" w:fill="F0F0F0"/>
                </w:tcPr>
                <w:p>
                  <w:pPr>
                    <w:pStyle w:val="Para 05"/>
                    <w:keepLines w:val="on"/>
                  </w:pPr>
                  <w:r>
                    <w:t>PV @ Chi phí nợ</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$1,850.00</w:t>
                  </w:r>
                </w:p>
              </w:tc>
              <w:tc>
                <w:tcPr>
                  <w:tcW w:type="auto" w:w="0"/>
                  <w:shd w:val="clear" w:color="auto" w:fill="F0F0F0"/>
                </w:tcPr>
                <w:p>
                  <w:pPr>
                    <w:pStyle w:val="Normal"/>
                    <w:keepLines w:val="on"/>
                  </w:pPr>
                  <w:r>
                    <w:t>$129.50</w:t>
                  </w:r>
                </w:p>
              </w:tc>
              <w:tc>
                <w:tcPr>
                  <w:tcW w:type="auto" w:w="0"/>
                  <w:shd w:val="clear" w:color="auto" w:fill="F0F0F0"/>
                </w:tcPr>
                <w:p>
                  <w:pPr>
                    <w:pStyle w:val="Normal"/>
                    <w:keepLines w:val="on"/>
                  </w:pPr>
                  <w:r>
                    <w:t>$45.33</w:t>
                  </w:r>
                </w:p>
              </w:tc>
              <w:tc>
                <w:tcPr>
                  <w:tcW w:type="auto" w:w="0"/>
                  <w:shd w:val="clear" w:color="auto" w:fill="F0F0F0"/>
                </w:tcPr>
                <w:p>
                  <w:pPr>
                    <w:pStyle w:val="Normal"/>
                    <w:keepLines w:val="on"/>
                  </w:pPr>
                  <w:r>
                    <w:t>$42.36</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$1,700.00</w:t>
                  </w:r>
                </w:p>
              </w:tc>
              <w:tc>
                <w:tcPr>
                  <w:tcW w:type="auto" w:w="0"/>
                  <w:shd w:val="clear" w:color="auto" w:fill="F0F0F0"/>
                </w:tcPr>
                <w:p>
                  <w:pPr>
                    <w:pStyle w:val="Normal"/>
                    <w:keepLines w:val="on"/>
                  </w:pPr>
                  <w:r>
                    <w:t>$119.00</w:t>
                  </w:r>
                </w:p>
              </w:tc>
              <w:tc>
                <w:tcPr>
                  <w:tcW w:type="auto" w:w="0"/>
                  <w:shd w:val="clear" w:color="auto" w:fill="F0F0F0"/>
                </w:tcPr>
                <w:p>
                  <w:pPr>
                    <w:pStyle w:val="Normal"/>
                    <w:keepLines w:val="on"/>
                  </w:pPr>
                  <w:r>
                    <w:t>$41.65</w:t>
                  </w:r>
                </w:p>
              </w:tc>
              <w:tc>
                <w:tcPr>
                  <w:tcW w:type="auto" w:w="0"/>
                  <w:shd w:val="clear" w:color="auto" w:fill="F0F0F0"/>
                </w:tcPr>
                <w:p>
                  <w:pPr>
                    <w:pStyle w:val="Normal"/>
                    <w:keepLines w:val="on"/>
                  </w:pPr>
                  <w:r>
                    <w:t>$36.38</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$1,550.00</w:t>
                  </w:r>
                </w:p>
              </w:tc>
              <w:tc>
                <w:tcPr>
                  <w:tcW w:type="auto" w:w="0"/>
                  <w:shd w:val="clear" w:color="auto" w:fill="F0F0F0"/>
                </w:tcPr>
                <w:p>
                  <w:pPr>
                    <w:pStyle w:val="Normal"/>
                    <w:keepLines w:val="on"/>
                  </w:pPr>
                  <w:r>
                    <w:t>$108.50</w:t>
                  </w:r>
                </w:p>
              </w:tc>
              <w:tc>
                <w:tcPr>
                  <w:tcW w:type="auto" w:w="0"/>
                  <w:shd w:val="clear" w:color="auto" w:fill="F0F0F0"/>
                </w:tcPr>
                <w:p>
                  <w:pPr>
                    <w:pStyle w:val="Normal"/>
                    <w:keepLines w:val="on"/>
                  </w:pPr>
                  <w:r>
                    <w:t>$37.98</w:t>
                  </w:r>
                </w:p>
              </w:tc>
              <w:tc>
                <w:tcPr>
                  <w:tcW w:type="auto" w:w="0"/>
                  <w:shd w:val="clear" w:color="auto" w:fill="F0F0F0"/>
                </w:tcPr>
                <w:p>
                  <w:pPr>
                    <w:pStyle w:val="Normal"/>
                    <w:keepLines w:val="on"/>
                  </w:pPr>
                  <w:r>
                    <w:t>$31.00</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$1,400.00</w:t>
                  </w:r>
                </w:p>
              </w:tc>
              <w:tc>
                <w:tcPr>
                  <w:tcW w:type="auto" w:w="0"/>
                  <w:shd w:val="clear" w:color="auto" w:fill="F0F0F0"/>
                </w:tcPr>
                <w:p>
                  <w:pPr>
                    <w:pStyle w:val="Normal"/>
                    <w:keepLines w:val="on"/>
                  </w:pPr>
                  <w:r>
                    <w:t>$98.00</w:t>
                  </w:r>
                </w:p>
              </w:tc>
              <w:tc>
                <w:tcPr>
                  <w:tcW w:type="auto" w:w="0"/>
                  <w:shd w:val="clear" w:color="auto" w:fill="F0F0F0"/>
                </w:tcPr>
                <w:p>
                  <w:pPr>
                    <w:pStyle w:val="Normal"/>
                    <w:keepLines w:val="on"/>
                  </w:pPr>
                  <w:r>
                    <w:t>$34.30</w:t>
                  </w:r>
                </w:p>
              </w:tc>
              <w:tc>
                <w:tcPr>
                  <w:tcW w:type="auto" w:w="0"/>
                  <w:shd w:val="clear" w:color="auto" w:fill="F0F0F0"/>
                </w:tcPr>
                <w:p>
                  <w:pPr>
                    <w:pStyle w:val="Normal"/>
                    <w:keepLines w:val="on"/>
                  </w:pPr>
                  <w:r>
                    <w:t>$26.17</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$1,250.00</w:t>
                  </w:r>
                </w:p>
              </w:tc>
              <w:tc>
                <w:tcPr>
                  <w:tcW w:type="auto" w:w="0"/>
                  <w:shd w:val="clear" w:color="auto" w:fill="F0F0F0"/>
                </w:tcPr>
                <w:p>
                  <w:pPr>
                    <w:pStyle w:val="Normal"/>
                    <w:keepLines w:val="on"/>
                  </w:pPr>
                  <w:r>
                    <w:t>$87.50</w:t>
                  </w:r>
                </w:p>
              </w:tc>
              <w:tc>
                <w:tcPr>
                  <w:tcW w:type="auto" w:w="0"/>
                  <w:shd w:val="clear" w:color="auto" w:fill="F0F0F0"/>
                </w:tcPr>
                <w:p>
                  <w:pPr>
                    <w:pStyle w:val="Normal"/>
                    <w:keepLines w:val="on"/>
                  </w:pPr>
                  <w:r>
                    <w:t>$30.63</w:t>
                  </w:r>
                </w:p>
              </w:tc>
              <w:tc>
                <w:tcPr>
                  <w:tcW w:type="auto" w:w="0"/>
                  <w:shd w:val="clear" w:color="auto" w:fill="F0F0F0"/>
                </w:tcPr>
                <w:p>
                  <w:pPr>
                    <w:pStyle w:val="Normal"/>
                    <w:keepLines w:val="on"/>
                  </w:pPr>
                  <w:r>
                    <w:t>$21.84</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$1,100.00</w:t>
                  </w:r>
                </w:p>
              </w:tc>
              <w:tc>
                <w:tcPr>
                  <w:tcW w:type="auto" w:w="0"/>
                  <w:shd w:val="clear" w:color="auto" w:fill="F0F0F0"/>
                </w:tcPr>
                <w:p>
                  <w:pPr>
                    <w:pStyle w:val="Normal"/>
                    <w:keepLines w:val="on"/>
                  </w:pPr>
                  <w:r>
                    <w:t>$77.00</w:t>
                  </w:r>
                </w:p>
              </w:tc>
              <w:tc>
                <w:tcPr>
                  <w:tcW w:type="auto" w:w="0"/>
                  <w:shd w:val="clear" w:color="auto" w:fill="F0F0F0"/>
                </w:tcPr>
                <w:p>
                  <w:pPr>
                    <w:pStyle w:val="Normal"/>
                    <w:keepLines w:val="on"/>
                  </w:pPr>
                  <w:r>
                    <w:t>$26.95</w:t>
                  </w:r>
                </w:p>
              </w:tc>
              <w:tc>
                <w:tcPr>
                  <w:tcW w:type="auto" w:w="0"/>
                  <w:shd w:val="clear" w:color="auto" w:fill="F0F0F0"/>
                </w:tcPr>
                <w:p>
                  <w:pPr>
                    <w:pStyle w:val="Normal"/>
                    <w:keepLines w:val="on"/>
                  </w:pPr>
                  <w:r>
                    <w:t>$17.96</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$950.00</w:t>
                  </w:r>
                </w:p>
              </w:tc>
              <w:tc>
                <w:tcPr>
                  <w:tcW w:type="auto" w:w="0"/>
                  <w:shd w:val="clear" w:color="auto" w:fill="F0F0F0"/>
                </w:tcPr>
                <w:p>
                  <w:pPr>
                    <w:pStyle w:val="Normal"/>
                    <w:keepLines w:val="on"/>
                  </w:pPr>
                  <w:r>
                    <w:t>$66.50</w:t>
                  </w:r>
                </w:p>
              </w:tc>
              <w:tc>
                <w:tcPr>
                  <w:tcW w:type="auto" w:w="0"/>
                  <w:shd w:val="clear" w:color="auto" w:fill="F0F0F0"/>
                </w:tcPr>
                <w:p>
                  <w:pPr>
                    <w:pStyle w:val="Normal"/>
                    <w:keepLines w:val="on"/>
                  </w:pPr>
                  <w:r>
                    <w:t>$23.28</w:t>
                  </w:r>
                </w:p>
              </w:tc>
              <w:tc>
                <w:tcPr>
                  <w:tcW w:type="auto" w:w="0"/>
                  <w:shd w:val="clear" w:color="auto" w:fill="F0F0F0"/>
                </w:tcPr>
                <w:p>
                  <w:pPr>
                    <w:pStyle w:val="Normal"/>
                    <w:keepLines w:val="on"/>
                  </w:pPr>
                  <w:r>
                    <w:t>$14.49</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$800.00</w:t>
                  </w:r>
                </w:p>
              </w:tc>
              <w:tc>
                <w:tcPr>
                  <w:tcW w:type="auto" w:w="0"/>
                  <w:shd w:val="clear" w:color="auto" w:fill="F0F0F0"/>
                </w:tcPr>
                <w:p>
                  <w:pPr>
                    <w:pStyle w:val="Normal"/>
                    <w:keepLines w:val="on"/>
                  </w:pPr>
                  <w:r>
                    <w:t>$56.00</w:t>
                  </w:r>
                </w:p>
              </w:tc>
              <w:tc>
                <w:tcPr>
                  <w:tcW w:type="auto" w:w="0"/>
                  <w:shd w:val="clear" w:color="auto" w:fill="F0F0F0"/>
                </w:tcPr>
                <w:p>
                  <w:pPr>
                    <w:pStyle w:val="Normal"/>
                    <w:keepLines w:val="on"/>
                  </w:pPr>
                  <w:r>
                    <w:t>$19.60</w:t>
                  </w:r>
                </w:p>
              </w:tc>
              <w:tc>
                <w:tcPr>
                  <w:tcW w:type="auto" w:w="0"/>
                  <w:shd w:val="clear" w:color="auto" w:fill="F0F0F0"/>
                </w:tcPr>
                <w:p>
                  <w:pPr>
                    <w:pStyle w:val="Normal"/>
                    <w:keepLines w:val="on"/>
                  </w:pPr>
                  <w:r>
                    <w:t>$11.41</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$650.00</w:t>
                  </w:r>
                </w:p>
              </w:tc>
              <w:tc>
                <w:tcPr>
                  <w:tcW w:type="auto" w:w="0"/>
                  <w:shd w:val="clear" w:color="auto" w:fill="F0F0F0"/>
                </w:tcPr>
                <w:p>
                  <w:pPr>
                    <w:pStyle w:val="Normal"/>
                    <w:keepLines w:val="on"/>
                  </w:pPr>
                  <w:r>
                    <w:t>$45.50</w:t>
                  </w:r>
                </w:p>
              </w:tc>
              <w:tc>
                <w:tcPr>
                  <w:tcW w:type="auto" w:w="0"/>
                  <w:shd w:val="clear" w:color="auto" w:fill="F0F0F0"/>
                </w:tcPr>
                <w:p>
                  <w:pPr>
                    <w:pStyle w:val="Normal"/>
                    <w:keepLines w:val="on"/>
                  </w:pPr>
                  <w:r>
                    <w:t>$15.93</w:t>
                  </w:r>
                </w:p>
              </w:tc>
              <w:tc>
                <w:tcPr>
                  <w:tcW w:type="auto" w:w="0"/>
                  <w:shd w:val="clear" w:color="auto" w:fill="F0F0F0"/>
                </w:tcPr>
                <w:p>
                  <w:pPr>
                    <w:pStyle w:val="Normal"/>
                    <w:keepLines w:val="on"/>
                  </w:pPr>
                  <w:r>
                    <w:t>$8.66</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$500.00</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$12.25</w:t>
                  </w:r>
                </w:p>
              </w:tc>
              <w:tc>
                <w:tcPr>
                  <w:tcW w:type="auto" w:w="0"/>
                  <w:shd w:val="clear" w:color="auto" w:fill="F0F0F0"/>
                </w:tcPr>
                <w:p>
                  <w:pPr>
                    <w:pStyle w:val="Normal"/>
                    <w:keepLines w:val="on"/>
                  </w:pPr>
                  <w:r>
                    <w:t>$6.23</w:t>
                  </w:r>
                </w:p>
              </w:tc>
            </w:tr>
            <w:tr>
              <w:tc>
                <w:tcPr>
                  <w:tcW w:type="auto" w:w="0"/>
                  <w:shd w:val="clear" w:color="auto" w:fill="F0F0F0"/>
                </w:tcPr>
                <w:p>
                  <w:pPr>
                    <w:pStyle w:val="Normal"/>
                    <w:keepLines w:val="on"/>
                  </w:pPr>
                  <w:r>
                    <w:t>Vĩnh viễn</w:t>
                  </w:r>
                </w:p>
              </w:tc>
              <w:tc>
                <w:tcPr>
                  <w:tcW w:type="auto" w:w="0"/>
                  <w:shd w:val="clear" w:color="auto" w:fill="F0F0F0"/>
                </w:tcPr>
                <w:p>
                  <w:pPr>
                    <w:pStyle w:val="Normal"/>
                    <w:keepLines w:val="on"/>
                  </w:pPr>
                  <w:r>
                    <w:t>$500.00</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$12.25</w:t>
                  </w:r>
                </w:p>
              </w:tc>
              <w:tc>
                <w:tcPr>
                  <w:tcW w:type="auto" w:w="0"/>
                  <w:shd w:val="clear" w:color="auto" w:fill="F0F0F0"/>
                </w:tcPr>
                <w:p>
                  <w:pPr>
                    <w:pStyle w:val="Normal"/>
                    <w:keepLines w:val="on"/>
                  </w:pPr>
                  <w:r>
                    <w:t>$88.96</w:t>
                  </w:r>
                </w:p>
              </w:tc>
            </w:tr>
            <w:tr>
              <w:tc>
                <w:tcPr>
                  <w:tcW w:type="auto" w:w="0"/>
                  <w:shd w:val="clear" w:color="auto" w:fill="F0F0F0"/>
                </w:tcPr>
                <w:p>
                  <w:pPr>
                    <w:pStyle w:val="Normal"/>
                    <w:keepLines w:val="on"/>
                  </w:pPr>
                  <w:r>
                    <w:t>Tổng cộng</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$305.45</w:t>
                  </w:r>
                </w:p>
              </w:tc>
            </w:tr>
          </w:tbl>
          <w:p/>
        </w:tc>
      </w:tr>
    </w:tbl>
    <w:p>
      <w:pPr>
        <w:pStyle w:val="Para 04"/>
        <w:keepLines w:val="on"/>
      </w:pPr>
      <w:r>
        <w:t>Lưu ý rằng giá trị của lợi ích thuế vĩnh viễn được tính theo hai bước. Đầu tiên, chúng ta tính giá trị hiện tại của khoản tiết kiệm thuế 12,25 triệu đô-la vĩnh viễn ($12,25/.07 = $175 triệu). Tiếp theo, chúng ta chiết khấu giá trị đó về hiện tại theo chi phí nợ trước thuế ($175/1,0710 = $88,96 triệu)</w:t>
      </w:r>
    </w:p>
    <w:p>
      <w:pPr>
        <w:pStyle w:val="Para 04"/>
        <w:keepLines w:val="on"/>
      </w:pPr>
      <w:r>
        <w:t>Là phần cuối cùng của phân tích, chúng ta giả định rằng chi phí phá sản (BC), trực tiếp và gián tiếp, sẽ lên tới 30% giá trị doanh nghiệp, và rằng mức nợ cao được sử dụng trong thương vụ làm tăng xác suất phá sản (πBC) lên 20%. Chi phí phá sản kỳ vọng khi đó là:</w:t>
      </w:r>
    </w:p>
    <w:p>
      <w:bookmarkStart w:id="2989" w:name="Expected_bankruptcy_cost__Unleve"/>
      <w:pPr>
        <w:keepNext/>
        <w:pStyle w:val="Para 07"/>
        <w:keepLines w:val="on"/>
      </w:pPr>
      <w:r>
        <w:t>Chi phí phá sản kỳ vọng=(Giá trị doanh nghiệp không vay nợ+PV của lợi ích thuế)×BC×πBC=($2.321+$305)×.30×.20=$158 triệu</w:t>
      </w:r>
      <w:bookmarkEnd w:id="2989"/>
    </w:p>
    <w:p>
      <w:pPr>
        <w:pStyle w:val="Para 04"/>
        <w:keepLines w:val="on"/>
      </w:pPr>
      <w:r>
        <w:t>Giá trị của J. Crew giờ đây có thể được tính bằng cả ba thành phần:</w:t>
      </w:r>
    </w:p>
    <w:p>
      <w:bookmarkStart w:id="2990" w:name="Value_of_J__Crew_Unlevered_firm"/>
      <w:pPr>
        <w:keepNext/>
        <w:pStyle w:val="Para 07"/>
        <w:keepLines w:val="on"/>
      </w:pPr>
      <w:r>
        <w:t>Giá trị của J. Crew=Giá trị doanh nghiệp không vay nợ+PV của lợi ích thuế từ nợ-Chi phí phá sản kỳ vọng=$2.321+$305-$158=$2.469 triệu</w:t>
      </w:r>
      <w:bookmarkEnd w:id="2990"/>
    </w:p>
    <w:p>
      <w:pPr>
        <w:pStyle w:val="Para 04"/>
        <w:keepLines w:val="on"/>
      </w:pPr>
      <w:r>
        <w:t>Ở mức 2,7 tỷ đô-la, các nhà đầu tư cổ phần tư nhân đang trả quá nhiều cho doanh nghiệp, trừ khi họ có thể gia tăng đáng kể thu nhập hoạt động.</w:t>
      </w:r>
    </w:p>
    <w:p>
      <w:pPr>
        <w:pStyle w:val="Para 11"/>
      </w:pPr>
      <w:r>
        <w:t xml:space="preserve"> </w:t>
      </w:r>
      <w:r>
        <w:rPr>
          <w:rStyle w:val="Text26"/>
        </w:rPr>
        <w:bookmarkStart w:id="2991" w:name="Page_457"/>
        <w:t/>
        <w:bookmarkEnd w:id="2991"/>
      </w:r>
      <w:r>
        <w:t xml:space="preserve"> </w:t>
      </w:r>
    </w:p>
    <w:p>
      <w:bookmarkStart w:id="2992" w:name="apv_xls__This_spreadsheet_allows"/>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43"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2992"/>
    </w:p>
    <w:p>
      <w:pPr>
        <w:pStyle w:val="Para 31"/>
        <w:keepLines w:val="on"/>
      </w:pPr>
      <w:r>
        <w:t>apv.xls: Bảng tính này cho phép bạn tính giá trị của một doanh nghiệp, có đòn bẩy, bằng cách sử dụng phương pháp giá trị hiện tại điều chỉnh.</w:t>
      </w:r>
    </w:p>
    <w:p>
      <w:bookmarkStart w:id="2993" w:name="Benefits_and_Limitations_of_the_1"/>
      <w:bookmarkStart w:id="2994" w:name="Benefits_and_Limitations_of_the"/>
      <w:pPr>
        <w:keepNext/>
        <w:pStyle w:val="Heading 3"/>
        <w:keepLines w:val="on"/>
      </w:pPr>
      <w:r>
        <w:t>Lợi ích và Hạn chế của Phương pháp Giá trị Hiện tại Điều chỉnh</w:t>
      </w:r>
      <w:bookmarkEnd w:id="2993"/>
      <w:bookmarkEnd w:id="2994"/>
    </w:p>
    <w:p>
      <w:pPr>
        <w:pStyle w:val="Para 03"/>
      </w:pPr>
      <w:r>
        <w:t>Ưu điểm của phương pháp APV là nó tách biệt các tác động của nợ thành những thành phần khác nhau và cho phép nhà phân tích sử dụng các tỷ lệ chiết khấu khác nhau cho từng thành phần. Ngoài ra, chúng ta không giả định rằng tỷ lệ nợ giữ nguyên mãi mãi, vốn là một giả định ngầm trong phương pháp chi phí vốn. Thay vào đó, chúng ta có sự linh hoạt để giữ giá trị đô-la của nợ cố định, và tính toán lợi ích cũng như chi phí của khoản nợ cố định đó.</w:t>
      </w:r>
    </w:p>
    <w:p>
      <w:pPr>
        <w:pStyle w:val="Para 03"/>
      </w:pPr>
      <w:r>
        <w:t>Những ưu điểm này phải được cân nhắc so với khó khăn trong việc ước lượng xác suất vỡ nợ và chi phí phá sản. Trên thực tế, nhiều phân tích sử dụng phương pháp giá trị hiện tại điều chỉnh đã bỏ qua chi phí phá sản kỳ vọng, khiến họ đi đến kết luận rằng giá trị doanh nghiệp tăng lên khi doanh nghiệp vay tiền. Không có gì ngạc nhiên, điều này sẽ dẫn đến kết luận rằng tỷ lệ nợ tối ưu cho một doanh nghiệp là 100% nợ.</w:t>
      </w:r>
    </w:p>
    <w:p>
      <w:pPr>
        <w:pStyle w:val="Para 03"/>
      </w:pPr>
      <w:r>
        <w:t>Nói chung, với cùng các giả định, kết luận từ APV và từ chi phí vốn cho ra những câu trả lời rất giống nhau. Tuy nhiên, phương pháp APV thực tế hơn khi các doanh nghiệp đang đánh giá một giá trị đô-la cụ thể của nợ, trong khi phương pháp chi phí vốn dễ dàng hơn khi các doanh nghiệp đang phân tích các tỷ lệ nợ.18</w:t>
      </w:r>
    </w:p>
    <w:p>
      <w:bookmarkStart w:id="2995" w:name="Cost_of_Capital_versus_APV_Valua"/>
      <w:bookmarkStart w:id="2996" w:name="Cost_of_Capital_versus_APV_Valua_1"/>
      <w:pPr>
        <w:keepNext/>
        <w:pStyle w:val="Heading 3"/>
        <w:keepLines w:val="on"/>
      </w:pPr>
      <w:r>
        <w:t>Chi phí Vốn so với Định giá APV</w:t>
      </w:r>
      <w:bookmarkEnd w:id="2995"/>
      <w:bookmarkEnd w:id="2996"/>
    </w:p>
    <w:p>
      <w:pPr>
        <w:pStyle w:val="Para 03"/>
      </w:pPr>
      <w:r>
        <w:t>Trong định giá APV, giá trị của một doanh nghiệp có đòn bẩy được tính bằng cách cộng tác động ròng của nợ vào giá trị doanh nghiệp không vay nợ.</w:t>
      </w:r>
    </w:p>
    <w:p>
      <w:bookmarkStart w:id="2997" w:name="Value_of_levered_firm_FCFF1__ru"/>
      <w:pPr>
        <w:keepNext/>
        <w:pStyle w:val="Para 09"/>
        <w:keepLines w:val="on"/>
      </w:pPr>
      <w:r>
        <w:t>Giá trị doanh nghiệp có đòn bẩy=FCFF1/(ρu-g)+tcD-πaBC</w:t>
      </w:r>
      <w:bookmarkEnd w:id="2997"/>
    </w:p>
    <w:p>
      <w:pPr>
        <w:pStyle w:val="Para 03"/>
      </w:pPr>
      <w:r>
        <w:t>Trong phương pháp chi phí vốn, các tác động của đòn bẩy thể hiện trong chi phí vốn, với lợi ích thuế được đưa vào chi phí nợ sau thuế và chi phí phá sản được đưa vào cả beta có đòn bẩy lẫn chi phí nợ trước thuế. Liệu hai phương pháp có cho ra cùng một giá trị? Không nhất thiết. Lý do đầu tiên dẫn đến sự khác biệt là các mô hình xem xét chi phí phá sản rất khác nhau, với phương pháp giá trị hiện tại điều chỉnh mang lại nhiều linh hoạt hơn trong việc cho phép bạn xem xét các chi phí phá sản gián tiếp. Trong chừng mực mà những chi phí này không xuất hiện, hoặc xuất hiện không đầy đủ trong chi phí nợ trước thuế, phương pháp APV sẽ cho ra một ước lượng giá trị thận trọng hơn. Lý do thứ hai là phương pháp APV xem xét lợi ích thuế từ một giá trị đô-la cụ thể của nợ, thường dựa trên khoản nợ hiện có. Phương pháp chi phí vốn ước lượng lợi ích thuế từ một tỷ lệ nợ có thể đòi hỏi doanh nghiệp phải vay thêm nhiều hơn trong tương lai. Ví dụ, giả định tỷ lệ nợ trên vốn theo giá thị trường là 30% vĩnh viễn đối với một doanh nghiệp đang tăng trưởng sẽ đòi hỏi doanh nghiệp đó phải vay thêm trong tương lai, và lợi ích thuế từ các khoản vay dự kiến trong tương lai được đưa vào giá trị ngày hôm nay. Nói chung, phương pháp chi phí vốn là lựa chọn thực tế hơn khi định giá các doanh nghiệp đang hoạt động bình thường, không trải qua những biến động lớn về đòn bẩy tài chính; làm việc với một tỷ lệ nợ dễ hơn so với các mức nợ bằng đô-la cụ thể. Phương pháp APV hữu ích hơn cho các thương vụ được tài trợ bằng nợ với tỷ trọng lớn và nơi các lịch trình trả nợ được đàm phán hoặc đã biết trước; đây là lý do nó đã có chỗ đứng trong giới mua lại doanh nghiệp bằng vốn vay. Cuối cùng, có một sự khác biệt tinh tế trong cách lợi ích thuế từ nợ được đưa vào giá trị ở hai phương pháp. Trong khi phương pháp APV thông thường sử dụng chi phí nợ trước thuế làm tỷ lệ chiết khấu để ước lượng giá trị của khoản tiết kiệm thuế từ nợ, có những biến thể của APV chiết khấu khoản tiết kiệm thuế trở lại theo chi phí vốn hoặc chi phí vốn cổ phần không vay nợ, cho ra những giá trị gần hơn với những giá trị thu được từ phương pháp chi phí vốn.</w:t>
      </w:r>
    </w:p>
    <w:p>
      <w:pPr>
        <w:pStyle w:val="Para 11"/>
      </w:pPr>
      <w:r>
        <w:t xml:space="preserve"> </w:t>
      </w:r>
    </w:p>
    <w:p>
      <w:bookmarkStart w:id="2999" w:name="APV_Without_Bankruptcy_Costs"/>
      <w:bookmarkStart w:id="3000" w:name="APV_Without_Bankruptcy_Costs_The"/>
      <w:pPr>
        <w:keepNext/>
        <w:pStyle w:val="Para 27"/>
        <w:keepLines w:val="on"/>
      </w:pPr>
      <w:r>
        <w:t>APV Không có Chi phí Phá sản</w:t>
      </w:r>
      <w:bookmarkEnd w:id="2999"/>
      <w:bookmarkEnd w:id="3000"/>
    </w:p>
    <w:p>
      <w:pPr>
        <w:pStyle w:val="Para 16"/>
        <w:keepLines w:val="on"/>
      </w:pPr>
      <w:r>
        <w:t>Có nhiều người tin rằng giá trị hiện tại điều chỉnh là một cách tiếp cận định giá linh hoạt hơn so với các mô hình dòng tiền chiết khấu truyền thống. Điều này có thể đúng ở một nghĩa chung, nhưng định giá APV trên thực tế có những khiếm khuyết đáng kể. Đầu tiên và quan trọng nhất là hầu hết những người thực hành sử dụng mô hình giá trị hiện tại điều chỉnh đều bỏ qua chi phí phá sản kỳ vọng. Việc cộng lợi ích thuế vào giá trị doanh nghiệp không vay nợ để có được giá trị doanh nghiệp có đòn bẩy khiến nợ trông như một điều hoàn toàn tốt lành. Giá trị doanh nghiệp sẽ bị phóng đại, đặc biệt ở những tỷ lệ nợ rất cao, nơi chi phí phá sản rõ ràng không phải bằng không.</w:t>
      </w:r>
    </w:p>
    <w:p>
      <w:bookmarkStart w:id="3001" w:name="Firm_Valuation__Sum_of_the_parts"/>
      <w:bookmarkStart w:id="3002" w:name="Firm_Valuation__Sum_of_the_parts_1"/>
      <w:pPr>
        <w:keepNext/>
        <w:pStyle w:val="Heading 2"/>
        <w:keepLines w:val="on"/>
      </w:pPr>
      <w:r>
        <w:t>Định giá Doanh nghiệp: Tổng của các phần</w:t>
      </w:r>
      <w:bookmarkEnd w:id="3001"/>
      <w:bookmarkEnd w:id="3002"/>
    </w:p>
    <w:p>
      <w:pPr>
        <w:pStyle w:val="Para 03"/>
      </w:pPr>
      <w:r>
        <w:t>Có một số nhà thực hành lập luận rằng có cách thứ ba để định giá doanh nghiệp, đó là định giá theo tổng các phần của nó. Chúng tôi không đồng tình, xem định giá theo tổng các phần (sum of the parts valuation) nhiều hơn như một tập hợp con của định giá doanh nghiệp, trong đó bạn áp dụng các nguyên tắc chung của định giá doanh nghiệp cho từng phần riêng lẻ của doanh nghiệp, rồi tổng hợp các giá trị đó lại.</w:t>
      </w:r>
    </w:p>
    <w:p>
      <w:bookmarkStart w:id="3003" w:name="Aggregation_versus_Disaggregatio_1"/>
      <w:bookmarkStart w:id="3004" w:name="Aggregation_versus_Disaggregatio"/>
      <w:pPr>
        <w:keepNext/>
        <w:pStyle w:val="Heading 3"/>
        <w:keepLines w:val="on"/>
      </w:pPr>
      <w:r>
        <w:t>Tổng hợp so với Phân tách</w:t>
      </w:r>
      <w:bookmarkEnd w:id="3003"/>
      <w:bookmarkEnd w:id="3004"/>
    </w:p>
    <w:p>
      <w:pPr>
        <w:pStyle w:val="Para 03"/>
      </w:pPr>
      <w:r>
        <w:t>Một trong những đặc điểm của định giá dòng tiền chiết khấu (discounted cash flow valuation) là tính cộng gộp. Nói cách khác, nếu bạn phải định giá một công ty hoạt động trong ba mảng kinh doanh, bạn có thể hoặc định giá công ty hợp nhất bằng cách cộng dòng tiền của cả ba mảng lại và chiết khấu theo một tỷ lệ chiết khấu là bình quân gia quyền theo giá trị của các mảng, hoặc bạn có thể định giá từng mảng trong ba mảng, dùng dòng tiền và tỷ lệ chiết khấu của riêng mảng đó, rồi cộng các giá trị lại. Về mặt lý thuyết, ít nhất thì bạn nên thu được cùng một giá trị cho công ty dù làm theo cách nào. Chúng ta sẽ gọi cách thứ nhất là định giá tổng hợp (aggregated valuation) và cách thứ hai là định giá phân tách (disaggregated valuation), và cùng khám phá sự khác biệt giữa chúng.</w:t>
      </w:r>
    </w:p>
    <w:p>
      <w:pPr>
        <w:pStyle w:val="Para 03"/>
      </w:pPr>
      <w:r>
        <w:t>Nếu bạn vốn quen với định giá tổng hợp, thì có hai lý do khiến nó là cách tiếp cận chủ đạo.</w:t>
      </w:r>
    </w:p>
    <w:p>
      <w:pPr>
        <w:numPr>
          <w:ilvl w:val="0"/>
          <w:numId w:val="144"/>
        </w:numPr>
        <w:pStyle w:val="Para 01"/>
      </w:pPr>
      <w:r>
        <w:t>Với tư cách nhà đầu tư, chúng ta đầu tư vào toàn bộ công ty, chứ không phải vào các phần đã tách rời của nó. Vì vậy, bạn mua cổ phiếu của General Electric (GE), tức là cả công ty, chứ không phải của GE Aircraft Engines hay GE Capital; và mua cổ phiếu của Coca Cola, tức là công ty toàn cầu, chứ không phải của hoạt động Coca Cola tại Ấn Độ. Có lẽ đó là lý do vì sao phần lớn hoạt động định giá được xây dựng quanh việc tổng hợp, khi bạn nhìn vào doanh thu và dòng tiền của công ty trên khắp các khu vực địa lý và mảng kinh doanh, rồi chiết khấu chúng về theo các tỷ lệ chiết khấu phản ánh trọng số của các mảng và khu vực đó.</w:t>
      </w:r>
    </w:p>
    <w:p>
      <w:pPr>
        <w:numPr>
          <w:ilvl w:val="0"/>
          <w:numId w:val="144"/>
        </w:numPr>
        <w:pStyle w:val="Para 01"/>
      </w:pPr>
      <w:r>
        <w:t>Còn một lý do nữa khiến định giá tổng hợp là quy tắc chứ không phải ngoại lệ. Phần lớn việc công bố thông tin đều ở cấp độ doanh nghiệp tổng hợp, với GE và Coca Cola báo cáo đầy đủ báo cáo tài chính (báo cáo kết quả kinh doanh, bảng cân đối kế toán và báo cáo lưu chuyển tiền tệ) cho toàn bộ công ty. Dù đã có một số nỗ lực cải thiện việc công bố thông tin ở cấp phân khúc kinh doanh và khu vực địa lý, thông tin đó thường chỉ nằm trong phần thuyết minh và vẫn chắp vá, với thông lệ công bố khác nhau giữa các công ty và các quốc gia.</w:t>
      </w:r>
    </w:p>
    <w:p>
      <w:pPr>
        <w:pStyle w:val="Para 03"/>
      </w:pPr>
      <w:r>
        <w:t>Tuy nhiên, có những trường hợp bạn có thể muốn định giá một công ty bằng cách định giá riêng từng phần của nó.</w:t>
      </w:r>
    </w:p>
    <w:p>
      <w:pPr>
        <w:numPr>
          <w:ilvl w:val="0"/>
          <w:numId w:val="145"/>
        </w:numPr>
        <w:pStyle w:val="Para 01"/>
      </w:pPr>
      <w:r>
        <w:t>Khác biệt cơ bản: Với các công ty đa ngành và đa quốc gia, một lợi thế của việc định giá riêng từng mảng kinh doanh hoặc khu vực địa lý là bạn có thể gán cho mỗi phần một hồ sơ rủi ro, dòng tiền và tăng trưởng khác nhau, thay vì cố tạo ra một hồ sơ gia quyền duy nhất cho toàn công ty.</w:t>
      </w:r>
    </w:p>
    <w:p>
      <w:pPr>
        <w:numPr>
          <w:ilvl w:val="0"/>
          <w:numId w:val="145"/>
        </w:numPr>
        <w:pStyle w:val="Para 01"/>
      </w:pPr>
      <w:r>
        <w:t>Khác biệt về tăng trưởng: Nếu một số mảng kinh doanh và khu vực địa lý trong cùng một công ty tăng trưởng nhanh hơn nhiều so với những mảng khác, thì việc định giá tổng hợp phản ánh được các tốc độ tăng trưởng khác nhau này trở nên khó khăn. Ví dụ, beta từ dưới lên (bottom-up beta), vốn đại diện cho bình quân gia quyền của các mảng kinh doanh mà công ty tham gia, sẽ phải thay đổi theo thời gian nếu một số mảng tăng trưởng nhiều hơn những mảng khác.</w:t>
      </w:r>
    </w:p>
    <w:p>
      <w:pPr>
        <w:numPr>
          <w:ilvl w:val="0"/>
          <w:numId w:val="145"/>
        </w:numPr>
        <w:pStyle w:val="Para 01"/>
      </w:pPr>
      <w:r>
        <w:t>Lý do giao dịch: Trong một số trường hợp, bạn sẽ cần định giá một phần của công ty chứ không phải toàn bộ công ty, vì phần đó sẽ được bán hoặc tách ra (spun off) và cần một giá trị riêng cho nó. Nhu cầu này trở nên cấp thiết khi bạn định giá một công ty đang trên bờ vực bị chia tách thành nhiều phần.</w:t>
      </w:r>
    </w:p>
    <w:p>
      <w:pPr>
        <w:numPr>
          <w:ilvl w:val="0"/>
          <w:numId w:val="145"/>
        </w:numPr>
        <w:pStyle w:val="Para 01"/>
      </w:pPr>
      <w:r>
        <w:t>Lý do quản trị: Trong nội bộ một công ty, việc định giá riêng từng phần của hoạt động kinh doanh là hợp lý, vừa để theo dõi hiệu quả của các giám đốc bộ phận khác nhau, vừa để cải thiện hiệu quả đó.</w:t>
      </w:r>
    </w:p>
    <w:p>
      <w:pPr>
        <w:pStyle w:val="Para 03"/>
      </w:pPr>
      <w:r>
        <w:t>Trong thập kỷ qua, khi các công ty truyền thông xã hội như Facebook và Twitter gia nhập thị trường, cũng có sự chú ý ngày càng tăng vào giá trị của một người dùng trong các công ty này, một phần vì chúng tạo ra giá trị từ việc có vô số người dùng, nhưng cũng để điều chỉnh các quyết định nhằm tối đa hóa giá trị đó.</w:t>
      </w:r>
    </w:p>
    <w:p>
      <w:bookmarkStart w:id="3006" w:name="Disaggregated_Valuation__The_Ste"/>
      <w:bookmarkStart w:id="3007" w:name="Disaggregated_Valuation__The_Ste_1"/>
      <w:pPr>
        <w:keepNext/>
        <w:pStyle w:val="Heading 3"/>
        <w:keepLines w:val="on"/>
      </w:pPr>
      <w:r>
        <w:t>Định giá phân tách: Các bước thực hiện</w:t>
      </w:r>
      <w:bookmarkEnd w:id="3006"/>
      <w:bookmarkEnd w:id="3007"/>
    </w:p>
    <w:p>
      <w:pPr>
        <w:pStyle w:val="Para 03"/>
      </w:pPr>
      <w:r>
        <w:t>Để định giá các doanh nghiệp hoạt động trong nhiều mảng kinh doanh và nhiều khu vực, chúng ta sẽ bám theo khung chuẩn là ước tính dòng tiền và tỷ lệ chiết khấu. Nhưng chúng ta sẽ điều chỉnh cách đưa ra các con số trong suốt quá trình.</w:t>
      </w:r>
    </w:p>
    <w:p>
      <w:bookmarkStart w:id="3008" w:name="Aggregation_versus_Disaggregatio_3"/>
      <w:bookmarkStart w:id="3009" w:name="Aggregation_versus_Disaggregatio_2"/>
      <w:pPr>
        <w:keepNext/>
        <w:pStyle w:val="Heading 4"/>
        <w:keepLines w:val="on"/>
      </w:pPr>
      <w:r>
        <w:t>Tổng hợp so với Phân tách—Sự lựa chọn</w:t>
      </w:r>
      <w:bookmarkEnd w:id="3008"/>
      <w:bookmarkEnd w:id="3009"/>
    </w:p>
    <w:p>
      <w:pPr>
        <w:pStyle w:val="Para 03"/>
      </w:pPr>
      <w:r>
        <w:t>Bước đầu tiên trong quy trình có lẽ là bước then chốt nhất, vì nó quyết định cách chúng ta tiếp cận các bước còn lại. Ngay từ đầu quy trình, chúng ta phải quyết định xem mình định giá toàn bộ công ty (tổng hợp) hay định giá riêng từng mảng kinh doanh của nó (phân tách). Trong một thế giới không có ràng buộc về thông tin hay thời gian, lựa chọn này sẽ dễ dàng. Định giá phân tách hẳn sẽ cho ra ước tính giá trị tốt hơn định giá tổng hợp. Tuy nhiên trên thực tế, lựa chọn này sẽ phức tạp bởi những yếu tố sau:</w:t>
      </w:r>
    </w:p>
    <w:p>
      <w:pPr>
        <w:numPr>
          <w:ilvl w:val="0"/>
          <w:numId w:val="146"/>
        </w:numPr>
        <w:pStyle w:val="Para 01"/>
      </w:pPr>
      <w:r>
        <w:t>Khả năng tiếp cận thông tin: Biến số then chốt nhất quyết định việc chúng ta định giá công ty hay từng mảng kinh doanh là khả năng tiếp cận thông tin. Để định giá một công ty theo cách nội tại (intrinsic basis), chúng ta cần tiếp cận mọi chi tiết hoạt động (doanh thu, thu nhập hoạt động và thuế), cơ cấu tài trợ (giá trị sổ sách của nợ, vốn chủ sở hữu và tiền mặt nắm giữ, cùng giá trị thị trường của chúng), và các con số tái đầu tư (chi tiêu vốn, vốn lưu động). Rất ít công ty cung cấp mức độ chi tiết này cho từng mảng kinh doanh. Một giải pháp thỏa hiệp là thay thế bằng số bình quân ngành (cho từng mảng) ở những chỗ thiếu thông tin. Như vậy, chúng ta có thể dùng tỷ lệ vốn lưu động bình quân ngành để xác định khoản đầu tư dự kiến vào vốn lưu động cho mỗi mảng.</w:t>
      </w:r>
    </w:p>
    <w:p>
      <w:pPr>
        <w:numPr>
          <w:ilvl w:val="0"/>
          <w:numId w:val="146"/>
        </w:numPr>
        <w:pStyle w:val="Para 01"/>
      </w:pPr>
      <w:r>
        <w:t>Khác biệt giữa các mảng/khu vực: Lợi ích của việc chia công ty thành các phần cấu thành là lớn nhất khi tồn tại những khác biệt lớn giữa các phần về rủi ro, tăng trưởng và khả năng sinh lời. Hãy xét một công ty đa quốc gia chỉ hoạt động ở Hoa Kỳ và Tây Âu, và tham gia vào mảng bán lẻ chuyên biệt và may mặc. Vì rủi ro quốc gia giữa các khu vực mà công ty này hoạt động rất ít khác biệt, và khả năng sinh lời lẫn tăng trưởng ở hai mảng kinh doanh chỉ chênh lệch chút ít, nên việc chia nó thành các phần riêng lẻ để định giá sẽ chẳng thu được bao nhiêu.</w:t>
      </w:r>
    </w:p>
    <w:p>
      <w:pPr>
        <w:numPr>
          <w:ilvl w:val="0"/>
          <w:numId w:val="146"/>
        </w:numPr>
        <w:pStyle w:val="Para 01"/>
      </w:pPr>
      <w:r>
        <w:t>Số lượng mảng/khu vực: Một cân nhắc thực tế cũng sẽ quyết định liệu bạn có muốn phân tách một công ty hay muốn phân tách đến mức nào. Nếu một doanh nghiệp hoạt động trong 30 mảng kinh doanh khác nhau và 60 quốc gia, về lý thuyết chúng ta có thể định giá riêng từng phần trong 1.800 phần của công ty (30 mảng nhân với 60 quốc gia), nhưng điều này rõ ràng là bất khả thi. Trong những trường hợp như vậy, rất có thể chúng ta sẽ định giá toàn bộ công ty và hy vọng rằng quy luật bình quân hóa sẽ có lợi cho mình.</w:t>
      </w:r>
    </w:p>
    <w:p>
      <w:pPr>
        <w:pStyle w:val="Para 03"/>
      </w:pPr>
      <w:r>
        <w:t>Điểm cuối cùng, tồn tại một giải pháp trung gian, trong đó chúng ta chia công ty thành những phần khác biệt nhất so với phần còn lại của công ty, đồng thời tổng hợp phần còn lại. Ví dụ với Volkswagen, chúng ta có thể định giá Volkswagen Capital tách riêng khỏi phần còn lại của Volkswagen, vì nó có những khác biệt cơ bản so với phần còn lại của công ty.</w:t>
      </w:r>
    </w:p>
    <w:p>
      <w:bookmarkStart w:id="3011" w:name="Currency_Choice__Companies_that"/>
      <w:bookmarkStart w:id="3012" w:name="Currency_Choice"/>
      <w:pPr>
        <w:keepNext/>
        <w:pStyle w:val="Heading 4"/>
        <w:keepLines w:val="on"/>
      </w:pPr>
      <w:r>
        <w:t>Lựa chọn đơn vị tiền tệ</w:t>
      </w:r>
      <w:bookmarkEnd w:id="3011"/>
      <w:bookmarkEnd w:id="3012"/>
    </w:p>
    <w:p>
      <w:pPr>
        <w:pStyle w:val="Para 03"/>
      </w:pPr>
      <w:r>
        <w:t>Các công ty hoạt động ở nhiều quốc gia có dòng tiền bằng nhiều loại tiền tệ. Khi định giá những công ty này, chúng ta phải quyết định xây dựng định giá của mình quanh loại tiền tệ nào:</w:t>
      </w:r>
    </w:p>
    <w:p>
      <w:pPr>
        <w:numPr>
          <w:ilvl w:val="0"/>
          <w:numId w:val="147"/>
        </w:numPr>
        <w:pStyle w:val="Para 01"/>
      </w:pPr>
      <w:r>
        <w:t>Định giá tổng hợp: Khi định giá công ty như một tổng thể hợp nhất, chúng ta không có lựa chọn nào khác ngoài việc chọn một loại tiền tệ làm đơn vị tiền tệ cơ sở để ước tính. Bạn không thể có một định giá dòng tiền chiết khấu mà các ước tính khác nhau lại dựa trên những lựa chọn tiền tệ khác nhau. Một khi đã chọn loại tiền tệ đó, mọi ước tính (ví dụ: dòng tiền, tốc độ tăng trưởng và tỷ lệ chiết khấu) đều phải nhất quán với lựa chọn đó. Dựa trên thảo luận trước đó về lãi suất phi rủi ro ở các loại tiền tệ khác nhau, điều này đòi hỏi chúng ta phải đưa cùng một tỷ lệ lạm phát kỳ vọng vào mọi ước tính của mình. Dù thường dễ nhất là làm việc với loại tiền tệ mà công ty mẹ báo cáo báo cáo tài chính—chẳng hạn đô la Mỹ với GE và Coca-Cola—có hai lý do khiến đôi khi việc chuyển sang một loại tiền tệ khác lại hợp lý. Thứ nhất là công ty có niêm yết ở nhiều thị trường, và báo cáo tài chính bằng loại tiền tệ khác có thể toàn diện hơn hoặc dễ làm việc hơn so với báo cáo bằng đồng nội tệ. Ví dụ, Nestlé có niêm yết và báo cáo báo cáo tài chính ở Vương quốc Anh và Hoa Kỳ, nơi cổ phiếu của nó được niêm yết, bên cạnh niêm yết tại Thụy Sĩ. Nó cung cấp nhiều thông tin hơn trong các niêm yết nước ngoài so với niêm yết trong nước. Lý do thứ hai là việc lấy các thông số đầu vào bằng đồng nội tệ của công ty có thể khó khăn. Đối mặt với nhiệm vụ định giá một công ty đa quốc gia của Nga, rất có thể chúng ta sẽ thấy dễ định giá công ty bằng đô la Mỹ hơn là bằng đồng ruble Nga.</w:t>
      </w:r>
    </w:p>
    <w:p>
      <w:pPr>
        <w:numPr>
          <w:ilvl w:val="0"/>
          <w:numId w:val="147"/>
        </w:numPr>
        <w:pStyle w:val="Para 01"/>
      </w:pPr>
      <w:r>
        <w:t>Định giá phân tách: Với định giá phân tách, bạn có nhiều linh hoạt hơn. Bạn có thể định giá từng mảng kinh doanh, đặc biệt nếu chúng nằm ở các khu vực khác nhau trên thế giới, bằng những loại tiền tệ khác nhau. Sau đó bạn có thể quy đổi các giá trị ở bước cuối cùng (khi cộng chúng lại với nhau), dùng tỷ giá hối đoái hiện hành. Hoặc bạn có thể bám theo một loại tiền tệ duy nhất trong mọi định giá của mình, ước tính dòng tiền và tỷ lệ chiết khấu bằng loại tiền tệ đó. Về lý thuyết, không nên có sự khác biệt trong đánh giá giá trị cuối cùng, nhưng vì việc làm việc với nhiều loại tiền tệ trong một định giá công ty duy nhất là rất khó khăn, chúng tôi cho rằng cách thứ hai ít có khả năng mắc lỗi hơn.</w:t>
      </w:r>
    </w:p>
    <w:p>
      <w:pPr>
        <w:pStyle w:val="Para 03"/>
      </w:pPr>
      <w:r>
        <w:t>Suy cho cùng, những điểm chúng tôi đã nêu về lựa chọn tiền tệ trong các chương trước vẫn còn nguyên giá trị. Giá trị của một doanh nghiệp không nên phụ thuộc vào lựa chọn tiền tệ của chúng ta. Nếu nó phụ thuộc, thì đó là do sự thiếu nhất quán trong các dự báo của chúng ta.</w:t>
      </w:r>
    </w:p>
    <w:p>
      <w:bookmarkStart w:id="3014" w:name="Risk_Parameters__Assessing_risk"/>
      <w:bookmarkStart w:id="3015" w:name="Risk_Parameters"/>
      <w:pPr>
        <w:keepNext/>
        <w:pStyle w:val="Heading 4"/>
        <w:keepLines w:val="on"/>
      </w:pPr>
      <w:r>
        <w:t>Các thông số rủi ro</w:t>
      </w:r>
      <w:bookmarkEnd w:id="3014"/>
      <w:bookmarkEnd w:id="3015"/>
    </w:p>
    <w:p>
      <w:pPr>
        <w:pStyle w:val="Para 03"/>
      </w:pPr>
      <w:r>
        <w:t>Đánh giá rủi ro trong một công ty đa quốc gia hoạt động trong nhiều ngành kinh doanh khác nhau thì khó hơn so với một công ty chỉ hoạt động trong một ngành và một thị trường duy nhất. Tuy nhiên, những phương pháp đo lường mà chúng ta đã xây dựng ở các chương trước sẽ giúp ích cho chúng ta rất nhiều:</w:t>
      </w:r>
    </w:p>
    <w:p>
      <w:pPr>
        <w:numPr>
          <w:ilvl w:val="0"/>
          <w:numId w:val="148"/>
        </w:numPr>
        <w:pStyle w:val="Para 01"/>
      </w:pPr>
      <w:r>
        <w:t>Định giá tổng hợp: Có hai điểm mấu chốt để giữ được tính nhất quán trong định giá khi định giá tổng hợp. Thứ nhất là phải nhận thức rõ sự khác biệt về rủi ro giữa các ngành kinh doanh và các khu vực khi tính chi phí vốn (cost of capital) cho một công ty hoạt động trong nhiều ngành và nhiều quốc gia. Điểm mấu chốt thứ hai là phải cân đối các ước lượng rủi ro khác nhau này một cách hợp lý, dựa trên mức độ tiếp xúc của công ty với từng loại rủi ro, để ước tính các thông số rủi ro cho công ty hợp nhất. Khi bóc tách các yếu tố đầu vào của chi phí vốn, chúng ta có thể rút ra những hàm ý sau:</w:t>
      </w:r>
    </w:p>
    <w:p>
      <w:pPr>
        <w:numPr>
          <w:ilvl w:val="1"/>
          <w:numId w:val="148"/>
        </w:numPr>
        <w:pStyle w:val="Para 01"/>
      </w:pPr>
      <w:r>
        <w:t>Beta: Ở các chương trước, chúng ta đã lập luận nên dùng beta từ dưới lên (bottom-up beta) — tức là beta theo ngành đã điều chỉnh theo đòn bẩy tài chính (financial leverage) — với lý do chúng chính xác hơn beta từ hồi quy (regression beta). Với các công ty đa ngành, chúng ta có thêm một lợi ích nữa khi dùng beta từ dưới lên: Beta của một công ty đa ngành chính là bình quân gia quyền của beta của các ngành kinh doanh khác nhau mà công ty đó tham gia. Nếu giả định rằng việc ước tính beta theo ngành, đã điều chỉnh theo đòn bẩy tài chính, cũng tuân theo quy trình giống như ở các chương trước, thì thách thức ước tính duy nhất mà chúng ta gặp phải với các công ty hoạt động trong nhiều ngành là việc đưa ra trọng số cho từng ngành. Một giải pháp đơn giản là lấy trọng số dựa trên doanh thu hoặc lợi nhuận của mỗi ngành, tức là ngầm giả định rằng một đô-la doanh thu ở ngành này có giá trị đúng bằng một đô-la doanh thu ở ngành khác. Một cách khác là ước tính giá trị xấp xỉ cho từng ngành, có thể dựa trên doanh thu của ngành đó và bội số doanh thu mà các công ty niêm yết khác trong cùng ngành đang được giao dịch.</w:t>
      </w:r>
    </w:p>
    <w:p>
      <w:pPr>
        <w:numPr>
          <w:ilvl w:val="1"/>
          <w:numId w:val="148"/>
        </w:numPr>
        <w:pStyle w:val="Para 01"/>
      </w:pPr>
      <w:r>
        <w:t>Phần bù rủi ro (risk premium): Ở Chương 7, chúng ta đã lập luận rằng phần bù rủi ro ở các thị trường mới nổi (emerging market) nên cao hơn ở các thị trường phát triển, và chúng ta đã trình bày các cách ước tính phần bù bổ sung đó. Ở Chương 16, chúng ta đã xem xét các công ty ở thị trường mới nổi và thảo luận cách ước tính phần bù rủi ro quốc gia (country risk premium) và mức độ tiếp xúc rủi ro của chúng một cách tốt nhất. Với các công ty đa quốc gia, khi mà một phần doanh thu đến từ thị trường phát triển và một phần đến từ thị trường mới nổi, chúng ta cũng gặp đúng những vấn đề ước tính như với các công ty ở thị trường mới nổi. Chúng ta phải điều chỉnh tỷ lệ chiết khấu (discount rate) theo mức độ tiếp xúc của công ty đa quốc gia với rủi ro thị trường mới nổi. Cách điều chỉnh đơn giản nhất là tính phần bù rủi ro vốn cổ phần (equity risk premium) cho từng thị trường mà công ty hoạt động, rồi lấy bình quân gia quyền của các con số này, dùng doanh thu hoặc lợi nhuận hoạt động làm cơ sở. Một cách điều chỉnh phức tạp hơn sẽ yêu cầu chúng ta tính lambda của công ty đa quốc gia đối với từng thị trường, rồi dùng các lambda này kết hợp với phần bù rủi ro quốc gia để tính chi phí vốn cổ phần (cost of equity) của công ty.</w:t>
      </w:r>
    </w:p>
    <w:p>
      <w:pPr>
        <w:numPr>
          <w:ilvl w:val="1"/>
          <w:numId w:val="148"/>
        </w:numPr>
        <w:pStyle w:val="Para 01"/>
      </w:pPr>
      <w:r>
        <w:t>Chi phí nợ (cost of debt): Chi phí nợ của một công ty được tính bằng cách cộng phần bù vỡ nợ (default spread) vào lãi suất phi rủi ro (risk-free rate) và điều chỉnh theo lợi ích thuế từ chi phí lãi vay:</w:t>
      </w:r>
    </w:p>
    <w:p>
      <w:bookmarkStart w:id="3017" w:name="Cost_of_Debt__Risk_Free_Rate_Def"/>
      <w:pPr>
        <w:keepNext/>
        <w:pStyle w:val="Para 09"/>
        <w:keepLines w:val="on"/>
      </w:pPr>
      <w:r>
        <w:t>Chi phí nợ = (Lãi suất phi rủi ro + Phần bù vỡ nợ) × (1 - Thuế suất)</w:t>
      </w:r>
      <w:bookmarkEnd w:id="3017"/>
    </w:p>
    <w:p>
      <w:pPr>
        <w:pStyle w:val="Para 03"/>
      </w:pPr>
      <w:r>
        <w:t>Với các công ty đa quốc gia, chúng ta phải đối mặt với ba vấn đề. Thứ nhất là lãi suất phi rủi ro dùng để tính chi phí nợ có thể khác nhau tùy theo các loại tiền tệ mà công ty thực sự đi vay. Đây là vấn đề khá đơn giản để giải quyết, vì lãi suất phi rủi ro sẽ được xác định bởi loại tiền tệ mà bạn chọn để định giá ở bước 2. Nói cách khác, nếu bạn quyết định định giá bằng đô-la Mỹ, thì lãi suất phi rủi ro sẽ là lãi suất trái phiếu Kho bạc Mỹ, bất kể khoản vay thực tế bằng loại tiền tệ nào. Vấn đề thứ hai là phần bù vỡ nợ, vốn có thể chênh lệch rất lớn giữa các khoản vay khác nhau của công ty. Nếu công ty đa quốc gia có xếp hạng tín nhiệm, chúng ta có thể dùng nó để tính phần bù vỡ nợ, rồi cộng vào lãi suất phi rủi ro để tính chi phí nợ. Vấn đề cuối cùng liên quan đến thuế suất. Mặc dù thuế suất biên (marginal tax rate) mới là con số nên dùng cho chi phí nợ, nhưng thực tế là thuế suất biên có thể khác nhau giữa các quốc gia mà công ty hoạt động. Một giải pháp là dùng thuế suất biên của quốc gia nơi công ty đa quốc gia đặt trụ sở. Một lựa chọn thậm chí còn tốt hơn là dùng thuế suất biên cao nhất trong số các quốc gia mà công ty hoạt động, với lập luận rằng chi phí lãi vay sẽ được dồn về quốc gia đó để tối đa hóa lợi ích thuế.</w:t>
      </w:r>
    </w:p>
    <w:p>
      <w:pPr>
        <w:numPr>
          <w:ilvl w:val="1"/>
          <w:numId w:val="148"/>
        </w:numPr>
        <w:pStyle w:val="Para 01"/>
      </w:pPr>
      <w:r>
        <w:t>Tỷ lệ nợ (debt ratio): Để nhất quán với mục tiêu định giá công ty hợp nhất, tỷ lệ nợ mà chúng ta sử dụng sẽ dựa trên tổng nợ của toàn bộ công ty và giá trị thị trường của toàn bộ vốn cổ phần.</w:t>
      </w:r>
    </w:p>
    <w:p>
      <w:pPr>
        <w:pStyle w:val="Para 03"/>
      </w:pPr>
      <w:r>
        <w:t>Sử dụng beta từ dưới lên (được ước tính bằng cách lấy bình quân gia quyền của beta các ngành kinh doanh), phần bù rủi ro vốn cổ phần hợp nhất (phản ánh mức độ tiếp xúc rủi ro quốc gia do hoạt động kinh doanh tạo ra), chi phí nợ dựa trên rủi ro vỡ nợ tổng thể của công ty, và tỷ lệ nợ của công ty hợp nhất, chúng ta có thể tính được chi phí vốn. Tuy nhiên, con số đó sẽ thay đổi theo thời gian khi cơ cấu ngành kinh doanh của công ty dịch chuyển.</w:t>
      </w:r>
    </w:p>
    <w:p>
      <w:pPr>
        <w:numPr>
          <w:ilvl w:val="0"/>
          <w:numId w:val="148"/>
        </w:numPr>
        <w:pStyle w:val="Para 01"/>
      </w:pPr>
      <w:r>
        <w:t>Định giá tách rời: Khi định giá từng ngành kinh doanh riêng lẻ, chúng ta có nhiều tự do hơn trong việc đưa ra các ước tính, vì tỷ lệ chiết khấu sử dụng có thể khác biệt rất lớn giữa các ngành. Một lần nữa, lấy các yếu tố đầu vào của tỷ lệ chiết khấu làm kim chỉ nam, chúng ta có thể rút ra những nguyên tắc sau:</w:t>
      </w:r>
    </w:p>
    <w:p>
      <w:pPr>
        <w:numPr>
          <w:ilvl w:val="1"/>
          <w:numId w:val="148"/>
        </w:numPr>
        <w:pStyle w:val="Para 01"/>
      </w:pPr>
      <w:r>
        <w:t>Beta: Khi định giá từng ngành kinh doanh riêng lẻ, chúng ta có thể dùng beta từ dưới lên của chính ngành đó để ước tính chi phí vốn cổ phần. Vì định giá từng ngành riêng biệt, không cần phải tính bình quân gia quyền của các beta. Với một công ty có doanh thu từ thép, khai khoáng và công nghệ, chúng ta sẽ dùng beta theo ngành của từng lĩnh vực này để tính chi phí vốn cổ phần cho mỗi ngành.</w:t>
      </w:r>
    </w:p>
    <w:p>
      <w:pPr>
        <w:numPr>
          <w:ilvl w:val="1"/>
          <w:numId w:val="148"/>
        </w:numPr>
        <w:pStyle w:val="Para 01"/>
      </w:pPr>
      <w:r>
        <w:t>Phần bù rủi ro: Nếu chúng ta chia nhỏ hoạt động kinh doanh theo khu vực và ước tính giá trị từng phần riêng biệt, chúng ta nên ước tính chi phí vốn cổ phần cho mỗi khu vực dựa trên phần bù rủi ro quốc gia của khu vực đó. Trên thực tế, chúng ta sẽ định giá hoạt động của Coca-Cola tại Nga bằng cách dùng phần bù rủi ro quốc gia của Nga trong phép tính chi phí vốn cổ phần, và định giá hoạt động tại Brazil bằng phần bù rủi ro quốc gia của Brazil.</w:t>
      </w:r>
    </w:p>
    <w:p>
      <w:pPr>
        <w:numPr>
          <w:ilvl w:val="1"/>
          <w:numId w:val="148"/>
        </w:numPr>
        <w:pStyle w:val="Para 01"/>
      </w:pPr>
      <w:r>
        <w:t>Chi phí nợ: Mặc dù chúng ta vẫn giữ nguyên nguyên tắc rằng chi phí nợ là tổng của lãi suất phi rủi ro và phần bù vỡ nợ, nhưng chi phí nợ mà chúng ta ước tính cho cùng một công ty ở các ngành/phân khúc khác nhau có thể khác nhau vì hai lý do. Một là chúng ta có thể dùng các loại tiền tệ khác nhau để định giá các dòng doanh thu khác nhau; điều này có thể làm thay đổi lãi suất phi rủi ro. Lý do còn lại là chúng ta có thể ước tính các phần bù vỡ nợ khác nhau cho các phần khác nhau của cùng một công ty, dựa trên mức độ rủi ro và dòng tiền mà mỗi phần tạo ra.</w:t>
      </w:r>
    </w:p>
    <w:p>
      <w:pPr>
        <w:numPr>
          <w:ilvl w:val="1"/>
          <w:numId w:val="148"/>
        </w:numPr>
        <w:pStyle w:val="Para 01"/>
      </w:pPr>
      <w:r>
        <w:t>Tỷ lệ nợ: Cũng như các yếu tố đầu vào khác của chi phí vốn, tỷ lệ nợ có thể khác nhau giữa các phần khác nhau của cùng một công ty. Ở một số công ty, nơi từng phân khúc tự đi vay tiền (thay vì công ty hợp nhất đi vay), chúng ta có thể ước tính các tỷ lệ nợ này dựa trên những gì các công ty thực sự làm. Ở hầu hết các công ty, nơi nợ được hợp nhất ở cấp công ty, chúng ta có hai lựa chọn. Thứ nhất là giả định công ty dùng cùng một cơ cấu nợ và vốn cổ phần cho mọi ngành kinh doanh, và dùng tỷ lệ nợ của công ty làm cơ cấu cho từng ngành. Thứ hai là dùng tỷ lệ nợ bình quân ngành của các công ty niêm yết trong cùng lĩnh vực, và dùng tỷ lệ nợ này để tính chi phí vốn cho từng ngành riêng lẻ.</w:t>
      </w:r>
    </w:p>
    <w:p>
      <w:pPr>
        <w:pStyle w:val="Para 03"/>
      </w:pPr>
      <w:r>
        <w:t>Điểm mấu chốt là chi phí vốn mà chúng ta dùng để chiết khấu dòng tiền trong định giá tổng hợp chính là chi phí vốn của công ty hợp nhất, với cơ cấu ngành kinh doanh và thị trường mà công ty tham gia. Ngược lại, chi phí vốn mà chúng ta dùng để chiết khấu dòng tiền trong định giá tách rời chính là chi phí vốn của việc hoạt động trong một ngành cụ thể tại một quốc gia cụ thể.</w:t>
      </w:r>
    </w:p>
    <w:p>
      <w:bookmarkStart w:id="3019" w:name="Expected_Cashflows"/>
      <w:bookmarkStart w:id="3020" w:name="Expected_Cashflows__Having_picke"/>
      <w:pPr>
        <w:keepNext/>
        <w:pStyle w:val="Heading 4"/>
        <w:keepLines w:val="on"/>
      </w:pPr>
      <w:r>
        <w:t>Dòng tiền kỳ vọng</w:t>
      </w:r>
      <w:bookmarkEnd w:id="3019"/>
      <w:bookmarkEnd w:id="3020"/>
    </w:p>
    <w:p>
      <w:pPr>
        <w:pStyle w:val="Para 03"/>
      </w:pPr>
      <w:r>
        <w:t>Sau khi đã chọn loại tiền tệ để định giá và tỷ lệ chiết khấu nhất quán với lựa chọn tiền tệ đó, chúng ta phải ước tính dòng tiền kỳ vọng để định giá một hoạt động kinh doanh. Cũng như các phần trước, cách chúng ta tiếp cận phần này của quy trình phần lớn được quyết định bởi việc chúng ta đang định giá công ty hợp nhất hay từng phần riêng lẻ của nó:</w:t>
      </w:r>
    </w:p>
    <w:p>
      <w:pPr>
        <w:numPr>
          <w:ilvl w:val="0"/>
          <w:numId w:val="149"/>
        </w:numPr>
        <w:pStyle w:val="Para 01"/>
      </w:pPr>
      <w:r>
        <w:t>Định giá tổng hợp: Khi định giá một công ty trên cơ sở tổng hợp, chúng ta phải ước tính dòng tiền cho toàn bộ công ty khi định giá công ty. Nếu bám theo các yếu tố cơ bản để ước tính tăng trưởng dòng tiền, chúng ta sẽ dựa mức tăng trưởng vào tỷ lệ tái đầu tư (reinvestment rate) và tỷ suất sinh lời trên vốn (return on capital) kết hợp của toàn bộ công ty. Vì công ty hoạt động trong nhiều ngành khác nhau, với tỷ lệ tái đầu tư và tỷ suất sinh lời trên vốn khác nhau ở mỗi ngành, chúng ta đang dùng bình quân gia quyền của các giá trị đặc thù theo ngành cho những con số này. Cũng như khi tính beta, chúng ta phải để mắt đến việc các trọng số này dịch chuyển theo thời gian ra sao và những hàm ý của nó đối với tăng trưởng và dòng tiền.</w:t>
      </w:r>
    </w:p>
    <w:p>
      <w:pPr>
        <w:numPr>
          <w:ilvl w:val="0"/>
          <w:numId w:val="149"/>
        </w:numPr>
        <w:pStyle w:val="Para 01"/>
      </w:pPr>
      <w:r>
        <w:t>Định giá tách rời: Khi định giá từng phần riêng lẻ của một công ty lớn hơn, chúng ta có thêm nhiều linh hoạt. Thay vì dùng bình quân gia quyền của các con số trên toàn công ty, chúng ta có thể xem xét từng ngành riêng biệt, đánh giá tỷ lệ tái đầu tư và tỷ suất sinh lời trên vốn của ngành đó làm cơ sở để dự báo tăng trưởng và dòng tiền kỳ vọng. Với các tập đoàn lớn (conglomerate), chúng ta rất có thể sẽ thấy rằng một số ngành tạo ra giá trị từ tăng trưởng nhờ kiếm được nhiều hơn chi phí vốn của chúng. Những ngành khác trong cùng công ty đó lại phá hủy giá trị, vì tỷ suất sinh lời trên các khoản đầu tư mới thấp hơn chi phí vốn.</w:t>
      </w:r>
    </w:p>
    <w:p>
      <w:pPr>
        <w:pStyle w:val="Para 03"/>
      </w:pPr>
      <w:r>
        <w:t>Tóm lại, cũng như các yếu tố đầu vào khác của định giá, định giá tách rời đòi hỏi chúng ta nhiều hơn (về mặt dữ liệu đầu vào) nhưng cũng mang lại nhiều thông tin hơn.</w:t>
      </w:r>
    </w:p>
    <w:p>
      <w:bookmarkStart w:id="3022" w:name="Value_per_Share"/>
      <w:bookmarkStart w:id="3023" w:name="Value_per_Share__To_get_from_the"/>
      <w:pPr>
        <w:keepNext/>
        <w:pStyle w:val="Heading 4"/>
        <w:keepLines w:val="on"/>
      </w:pPr>
      <w:r>
        <w:t>Giá trị trên mỗi cổ phần</w:t>
      </w:r>
      <w:bookmarkEnd w:id="3022"/>
      <w:bookmarkEnd w:id="3023"/>
    </w:p>
    <w:p>
      <w:pPr>
        <w:pStyle w:val="Para 03"/>
      </w:pPr>
      <w:r>
        <w:t>Để đi từ giá trị tài sản hoạt động đến giá trị vốn cổ phần trên mỗi cổ phần, chúng ta phải cộng thêm tiền mặt mà công ty nắm giữ, trừ đi nợ chưa trả, cộng thêm giá trị tài sản phi hoạt động (nếu có), rồi chia cho số lượng cổ phần. Mặc dù các bước trong quy trình này là giống hệt nhau đối với một công ty đa quốc gia, đa ngành, nhưng có thể có những câu hỏi ước tính quan trọng ở mỗi giai đoạn của quy trình:</w:t>
      </w:r>
    </w:p>
    <w:p>
      <w:pPr>
        <w:numPr>
          <w:ilvl w:val="0"/>
          <w:numId w:val="150"/>
        </w:numPr>
        <w:pStyle w:val="Para 01"/>
      </w:pPr>
      <w:r>
        <w:t>Cộng thêm tiền mặt: Nói chung, chúng ta cho rằng một đô-la tiền mặt nên được định giá đúng một đô-la, và không nên gắn thêm chiết khấu hay phần bù nào cho tiền mặt, ít nhất là trong bối cảnh định giá nội tại (intrinsic valuation). Có hai tình huống hợp lý mà tiền mặt có thể bị chiết khấu giá trị — nói cách khác, một đô-la tiền mặt có thể được thị trường định giá thấp hơn một đô-la:</w:t>
      </w:r>
    </w:p>
    <w:p>
      <w:pPr>
        <w:numPr>
          <w:ilvl w:val="1"/>
          <w:numId w:val="150"/>
        </w:numPr>
        <w:pStyle w:val="Para 01"/>
      </w:pPr>
      <w:r>
        <w:t>Tình huống thứ nhất xảy ra khi tiền mặt mà công ty nắm giữ được đầu tư với lãi suất thấp hơn lãi suất thị trường, xét theo mức độ rủi ro của khoản đầu tư. Trong khi hầu hết các công ty Mỹ ngày nay có thể dễ dàng đầu tư vào tín phiếu và trái phiếu chính phủ, thì các lựa chọn lại hạn chế hơn nhiều đối với các doanh nghiệp nhỏ và ở một số thị trường ngoài nước Mỹ. Khi rơi vào trường hợp này, một khoản tiền mặt lớn chỉ sinh lời thấp hơn tỷ suất sinh lời hợp lý có thể phá hủy giá trị theo thời gian.</w:t>
      </w:r>
    </w:p>
    <w:p>
      <w:pPr>
        <w:numPr>
          <w:ilvl w:val="1"/>
          <w:numId w:val="150"/>
        </w:numPr>
        <w:pStyle w:val="Para 01"/>
      </w:pPr>
      <w:r>
        <w:t>Ban lãnh đạo không được tin tưởng giao cho lượng tiền mặt lớn vì thành tích đầu tư trong quá khứ của họ. Trong khi việc tự thân thực hiện một khoản đầu tư lớn vào chứng khoán thị trường ít rủi ro hoặc phi rủi ro là trung tính về giá trị, một lượng tiền mặt phình to có thể cám dỗ các nhà quản lý chấp nhận những khoản đầu tư lớn hoặc thực hiện các thương vụ mua lại ngay cả khi những khoản đầu tư này chỉ sinh lời dưới mức chuẩn. Trong một số trường hợp, những hành động này có thể được thực hiện để ngăn công ty trở thành mục tiêu thâu tóm.7 Chừng nào cổ đông còn lường trước được những khoản đầu tư dưới chuẩn như vậy, giá trị thị trường hiện tại của công ty sẽ phản ánh lượng tiền mặt ở mức chiết khấu. Mức chiết khấu có khả năng lớn nhất ở những công ty có ít cơ hội đầu tư và ban lãnh đạo kém cỏi. Có thể không có chút chiết khấu nào ở những công ty có cơ hội đầu tư đáng kể và ban lãnh đạo giỏi.</w:t>
      </w:r>
    </w:p>
    <w:p>
      <w:pPr>
        <w:numPr>
          <w:ilvl w:val="0"/>
          <w:numId w:val="150"/>
        </w:numPr>
        <w:pStyle w:val="Para 01"/>
      </w:pPr>
      <w:r>
        <w:t>Trừ đi nợ: Với các công ty đa quốc gia, khoản nợ mà chúng ta trừ ra để tính ra giá trị vốn chủ sở hữu phụ thuộc phần lớn vào việc chúng ta đang định giá cái gì. Nếu chúng ta định giá vốn chủ sở hữu trong toàn bộ công ty hợp nhất, chúng ta trừ đi giá trị thị trường của tổng số nợ đang lưu hành để ước tính giá trị vốn chủ sở hữu. Ngược lại, nếu chúng ta định giá vốn chủ sở hữu trong từng mảng kinh doanh riêng lẻ, chúng ta nên trừ đi khoản nợ được gán cho từng mảng kinh doanh riêng lẻ đó.</w:t>
      </w:r>
    </w:p>
    <w:p>
      <w:pPr>
        <w:numPr>
          <w:ilvl w:val="0"/>
          <w:numId w:val="150"/>
        </w:numPr>
        <w:pStyle w:val="Para 01"/>
      </w:pPr>
      <w:r>
        <w:t>Cộng thêm giá trị của các khoản sở hữu chéo: Cách định giá các khoản sở hữu chéo phụ thuộc vào việc khoản đầu tư đó được phân loại thế nào và động cơ đằng sau khoản đầu tư đó. Nói chung, một khoản đầu tư vào chứng khoán của một công ty khác có thể được phân loại là khoản đầu tư thiểu số thụ động, khoản đầu tư thiểu số chủ động, hoặc khoản đầu tư đa số chủ động. Các quy tắc kế toán thay đổi tùy theo cách phân loại. Dù chúng ta sẽ bàn về những cách tốt nhất để xử lý các khoản sở hữu chéo trong chương 16, nhưng chỉ cần nói rằng chúng ta muốn gán cho những khoản sở hữu chéo này một giá trị càng gần với giá trị nội tại càng tốt, và đưa giá trị đó vào giá trị của công ty. Tuy nhiên, trên thực tế, chúng ta bị trói tay vì thiếu thông tin về các công ty con và đành phải chấp nhận giá thị trường (nếu chúng được niêm yết công khai) hoặc giá trị sổ sách (nếu không niêm yết).</w:t>
      </w:r>
    </w:p>
    <w:p>
      <w:bookmarkStart w:id="3025" w:name="Post_valuation_Adjustments__Afte"/>
      <w:bookmarkStart w:id="3026" w:name="Post_valuation_Adjustments"/>
      <w:pPr>
        <w:keepNext/>
        <w:pStyle w:val="Heading 4"/>
        <w:keepLines w:val="on"/>
      </w:pPr>
      <w:r>
        <w:t>Các điều chỉnh sau định giá</w:t>
      </w:r>
      <w:bookmarkEnd w:id="3025"/>
      <w:bookmarkEnd w:id="3026"/>
    </w:p>
    <w:p>
      <w:pPr>
        <w:pStyle w:val="Para 03"/>
      </w:pPr>
      <w:r>
        <w:t>Sau khi ước tính giá trị vốn chủ sở hữu của một công ty có các khoản đầu tư vào nhiều mảng kinh doanh và thị trường khác nhau, chúng ta phải cân nhắc xem có nên (và nếu có thì bằng cách nào) điều chỉnh cho các yếu tố khác có thể ảnh hưởng đến giá trị vốn chủ sở hữu hay không. Điều chỉnh đầu tiên là cho sự phức tạp của các công ty đa ngành, khiến chúng khó định giá hơn, từ đó dẫn đến một mức chiết khấu trên giá trị ước tính. Điều chỉnh thứ hai là một điều chỉnh tích cực. Nó phản ánh khả năng công ty đa ngành sẽ bị tách thành các công ty riêng lẻ, cùng phần giá trị gia tăng mà bạn kỳ vọng sẽ theo sau:</w:t>
      </w:r>
    </w:p>
    <w:p>
      <w:pPr>
        <w:numPr>
          <w:ilvl w:val="0"/>
          <w:numId w:val="151"/>
        </w:numPr>
        <w:pStyle w:val="Para 01"/>
      </w:pPr>
      <w:r>
        <w:t>Tính phức tạp: Các mô hình định giá thông thường nhìn chung đã bỏ qua tính phức tạp dựa trên tiền đề đơn giản rằng những gì chúng ta không biết về các công ty không thể làm hại chúng ta trên tổng thể vì nó có thể được đa dạng hóa đi. Nói cách khác, chúng ta tin tưởng các nhà quản lý của công ty sẽ nói cho chúng ta sự thật về những gì họ kiếm được, những gì họ sở hữu và những gì họ nợ. Tại sao họ lại làm vậy? Người ta lập luận rằng nếu các nhà quản lý là những nhà đầu tư dài hạn vào công ty, họ sẽ không đánh cược uy tín và giá trị dài hạn của mình chỉ vì một khoản lợi ngắn hạn về giá (có được nhờ cung cấp thông tin gây nhầm lẫn). Dù có thể có những thông tin mà nhà đầu tư không tiếp cận được về những tài sản vô hình này, rủi ro vẫn nên có thể đa dạng hóa được, và do đó không nên ảnh hưởng đến giá trị.8 Cách nhìn nhận thế giới này không phải là phi lý, nhưng nó tạo ra hai vấn đề cơ bản. Thứ nhất, các nhà quản lý có thể thu về lợi nhuận ngắn hạn đáng kể bằng cách thao túng các con số (rồi sau đó thực hiện quyền chọn và bán cổ phiếu của mình). Điều này hoàn toàn có thể lấn át bất kỳ lo lắng nào họ có về giá trị và uy tín dài hạn. Thứ hai, ngay cả những nhà quản lý quan tâm đến giá trị dài hạn cũng có thể tự lừa dối mình để tin vào chính những dự báo của mình, dù chúng có thể lạc quan đến đâu. Vì vậy, không có gì đáng ngạc nhiên khi các công ty trở nên cẩu thả trong những giai đoạn tăng trưởng kinh tế kéo dài. Yên tâm với ý nghĩ rằng sẽ không bao giờ có một cuộc suy thoái nữa (ít nhất là không trong tương lai gần), họ áp dụng các thực hành kế toán hung hăng nhằm thổi phồng thu nhập. Các nhà đầu tư, bị ru ngủ bởi những phần thưởng họ tạo ra khi đầu tư vào cổ phiếu trong những giai đoạn này, chấp nhận những thực hành đó mà ít đặt câu hỏi. Mặt trái của việc tin tưởng các nhà quản lý là hiển nhiên. Nếu các nhà quản lý không đáng tin và các công ty thao túng thu nhập, những nhà đầu tư mua cổ phiếu của các công ty phức tạp có nhiều khả năng đối mặt với những bất ngờ tiêu cực hơn là tích cực. Điều này là vì những nhà quản lý cố tình che giấu thông tin khỏi nhà đầu tư có nhiều khả năng che giấu tin xấu hơn là tin tốt. Dù những bất ngờ tiêu cực này có thể xảy ra bất cứ lúc nào, chúng có nhiều khả năng xảy ra hơn khi tăng trưởng kinh tế tổng thể chậm lại (một cuộc suy thoái!) và thường được khởi phát bởi một cú sốc. Chúng ta có thể thực hiện một định giá thông thường cho một công ty, sử dụng dòng tiền, tốc độ tăng trưởng và tỷ lệ chiết khấu chưa điều chỉnh, rồi áp một mức chiết khấu lên giá trị này để phản ánh tính phức tạp của báo cáo tài chính công ty. Nhưng chúng ta sẽ định lượng mức chiết khấu vì tính phức tạp này như thế nào? Chúng ta có hai lựa chọn:</w:t>
      </w:r>
    </w:p>
    <w:p>
      <w:pPr>
        <w:numPr>
          <w:ilvl w:val="1"/>
          <w:numId w:val="151"/>
        </w:numPr>
        <w:pStyle w:val="Para 01"/>
      </w:pPr>
      <w:r>
        <w:t>Áp dụng mức chiết khấu tập đoàn đa ngành (Conglomerate Discount): Chúng ta có thể ước tính mức chiết khấu mà các công ty phức tạp đang được giao dịch trên thị trường, so với các công ty đơn giản hơn. Trong hai thập kỷ qua, bằng chứng ngày càng chắc chắn rằng thị trường chiết khấu giá trị của các tập đoàn đa ngành so với các công ty đơn ngành (hay công ty thuần túy - pure-play). Trong một nghiên cứu năm 1999, Villalonga đã so sánh tỷ lệ giữa giá trị thị trường và chi phí thay thế (Tobin's Q) của các công ty đa dạng hóa và các công ty chuyên biệt, và báo cáo rằng nhóm trước được giao dịch với mức chiết khấu khoảng 8% so với nhóm sau.9 Những kết quả tương tự cũng được báo cáo trong các nghiên cứu trước đó.10</w:t>
      </w:r>
    </w:p>
    <w:p>
      <w:pPr>
        <w:numPr>
          <w:ilvl w:val="1"/>
          <w:numId w:val="151"/>
        </w:numPr>
        <w:pStyle w:val="Para 01"/>
      </w:pPr>
      <w:r>
        <w:t>Đo lường tính phức tạp trực tiếp, và ước tính mức chiết khấu dựa trên tính phức tạp: Một lựa chọn tinh vi hơn là sử dụng một hệ thống chấm điểm tính phức tạp để đo lường độ phức tạp của báo cáo tài chính công ty và liên hệ điểm phức tạp đó với quy mô của mức chiết khấu. Damodaran (2006) xem xét các thước đo tính phức tạp khác nhau, từ số trang trong các hồ sơ nộp lên SEC của công ty cho đến các điểm phức tạp được tính từ thông tin trong báo cáo tài chính, và đề xuất các cách điều chỉnh giá trị theo tính phức tạp.11</w:t>
      </w:r>
    </w:p>
    <w:p>
      <w:pPr>
        <w:numPr>
          <w:ilvl w:val="0"/>
          <w:numId w:val="151"/>
        </w:numPr>
        <w:pStyle w:val="Para 01"/>
      </w:pPr>
      <w:r>
        <w:t>Tái cấu trúc tiềm năng: Một câu hỏi luôn treo lơ lửng trên mọi công ty đa ngành là liệu công ty có đáng giá hơn nếu bị tách thành các mảng kinh doanh độc lập hay không. Thực tế, đây chính là động cơ đằng sau các định giá tổng các phần (sum-of-the-parts) mà chúng ta đã mô tả trước đó. Chừng nào một công ty còn đáng giá hơn khi tách thành các phần riêng lẻ, chúng ta có thể phải cộng thêm một khoản phụ trội vào giá trị để phản ánh xác suất công ty sẽ bị tách ra, cùng phần giá trị gia tăng sẽ xảy ra như hệ quả.</w:t>
      </w:r>
    </w:p>
    <w:p>
      <w:pPr>
        <w:pStyle w:val="Para 11"/>
      </w:pPr>
      <w:r>
        <w:t xml:space="preserve"> </w:t>
      </w:r>
    </w:p>
    <w:p>
      <w:bookmarkStart w:id="3033" w:name="ILLUSTRATION_15_5__Valuing_GE_in"/>
      <w:bookmarkStart w:id="3034" w:name="ILLUSTRATION_15_5__Valuing_GE_in_1"/>
      <w:pPr>
        <w:keepNext/>
        <w:pStyle w:val="Para 19"/>
        <w:keepLines w:val="on"/>
      </w:pPr>
      <w:r>
        <w:t>MINH HỌA 15.5: Định giá GE năm 2018—Tổng các phần</w:t>
      </w:r>
      <w:bookmarkEnd w:id="3033"/>
      <w:bookmarkEnd w:id="3034"/>
    </w:p>
    <w:p>
      <w:pPr>
        <w:pStyle w:val="Para 04"/>
        <w:keepLines w:val="on"/>
      </w:pPr>
      <w:r>
        <w:t>Khoảnh khắc bóng đèn của GE có thể đã diễn ra trong phòng thí nghiệm của Thomas Edison vào năm 1878, nhưng với tuổi công ty chính thức là 126 năm vào năm 2018, GE là một công ty cổ xưa và những vấn đề của nó phản ánh tuổi tác của nó. Ngoài năng lượng tái tạo, tất cả các mảng kinh doanh của GE đều đã trưởng thành hoặc đang suy giảm, và theo quy luật toán học, bản thân GE là một công ty từ trưởng thành đến suy giảm, như có thể thấy trong Bảng 15.9 (với giá trị đô la tính bằng tỷ):</w:t>
      </w:r>
    </w:p>
    <w:p>
      <w:pPr>
        <w:pStyle w:val="Para 25"/>
        <w:keepLines w:val="on"/>
      </w:pPr>
      <w:r>
        <w:t>Bảng 15.9</w:t>
      </w:r>
    </w:p>
    <w:p>
      <w:pPr>
        <w:keepNext/>
        <w:pStyle w:val="Para 24"/>
        <w:keepLines w:val="on"/>
      </w:pPr>
      <w:r>
        <w:t>Cơ cấu mảng kinh doanh của GE năm 2018</w:t>
      </w:r>
    </w:p>
    <w:tbl>
      <w:tblPr>
        <w:tblW w:type="auto" w:w="0"/>
      </w:tblPr>
      <w:tr>
        <w:tc>
          <w:tcPr>
            <w:tcW w:type="auto" w:w="0"/>
          </w:tcPr>
          <w:tbl>
            <w:tblPr>
              <w:tblW w:type="auto" w:w="0"/>
            </w:tblPr>
            <w:tr>
              <w:tc>
                <w:tcPr>
                  <w:tcW w:type="auto" w:w="0"/>
                  <w:shd w:val="clear" w:color="auto" w:fill="F0F0F0"/>
                  <w:vAlign w:val="bottom"/>
                </w:tcPr>
                <w:p>
                  <w:pPr>
                    <w:pStyle w:val="Para 32"/>
                    <w:keepLines w:val="on"/>
                  </w:pPr>
                  <w:r>
                    <w:t>Mảng kinh doanh</w:t>
                  </w:r>
                </w:p>
              </w:tc>
              <w:tc>
                <w:tcPr>
                  <w:tcW w:type="auto" w:w="0"/>
                  <w:shd w:val="clear" w:color="auto" w:fill="F0F0F0"/>
                  <w:vAlign w:val="bottom"/>
                </w:tcPr>
                <w:p>
                  <w:pPr>
                    <w:pStyle w:val="Para 05"/>
                    <w:keepLines w:val="on"/>
                  </w:pPr>
                  <w:r>
                    <w:t>Doanh thu– 2017</w:t>
                  </w:r>
                </w:p>
              </w:tc>
              <w:tc>
                <w:tcPr>
                  <w:tcW w:type="auto" w:w="0"/>
                  <w:shd w:val="clear" w:color="auto" w:fill="F0F0F0"/>
                </w:tcPr>
                <w:p>
                  <w:pPr>
                    <w:pStyle w:val="Para 05"/>
                    <w:keepLines w:val="on"/>
                  </w:pPr>
                  <w:r>
                    <w:t>Tăng trưởng doanh thu năm 2017</w:t>
                  </w:r>
                </w:p>
              </w:tc>
              <w:tc>
                <w:tcPr>
                  <w:tcW w:type="auto" w:w="0"/>
                  <w:shd w:val="clear" w:color="auto" w:fill="F0F0F0"/>
                </w:tcPr>
                <w:p>
                  <w:pPr>
                    <w:pStyle w:val="Para 05"/>
                    <w:keepLines w:val="on"/>
                  </w:pPr>
                  <w:r>
                    <w:t>EBIT trước chi phí quản lý chung (G&amp;A)</w:t>
                  </w:r>
                </w:p>
              </w:tc>
              <w:tc>
                <w:tcPr>
                  <w:tcW w:type="auto" w:w="0"/>
                  <w:shd w:val="clear" w:color="auto" w:fill="F0F0F0"/>
                </w:tcPr>
                <w:p>
                  <w:pPr>
                    <w:pStyle w:val="Para 05"/>
                    <w:keepLines w:val="on"/>
                  </w:pPr>
                  <w:r>
                    <w:t>EBIT sau chi phí quản lý chung (G&amp;A)</w:t>
                  </w:r>
                </w:p>
              </w:tc>
              <w:tc>
                <w:tcPr>
                  <w:tcW w:type="auto" w:w="0"/>
                  <w:shd w:val="clear" w:color="auto" w:fill="F0F0F0"/>
                  <w:vAlign w:val="bottom"/>
                </w:tcPr>
                <w:p>
                  <w:pPr>
                    <w:pStyle w:val="Para 05"/>
                    <w:keepLines w:val="on"/>
                  </w:pPr>
                  <w:r>
                    <w:t>Biên EBIT</w:t>
                  </w:r>
                </w:p>
              </w:tc>
              <w:tc>
                <w:tcPr>
                  <w:tcW w:type="auto" w:w="0"/>
                  <w:shd w:val="clear" w:color="auto" w:fill="F0F0F0"/>
                  <w:vAlign w:val="bottom"/>
                </w:tcPr>
                <w:p>
                  <w:pPr>
                    <w:pStyle w:val="Para 05"/>
                    <w:keepLines w:val="on"/>
                  </w:pPr>
                  <w:r>
                    <w:t>Vốn đầu tư</w:t>
                  </w:r>
                </w:p>
              </w:tc>
              <w:tc>
                <w:tcPr>
                  <w:tcW w:type="auto" w:w="0"/>
                  <w:shd w:val="clear" w:color="auto" w:fill="F0F0F0"/>
                  <w:vAlign w:val="bottom"/>
                </w:tcPr>
                <w:p>
                  <w:pPr>
                    <w:pStyle w:val="Para 05"/>
                    <w:keepLines w:val="on"/>
                  </w:pPr>
                  <w:r>
                    <w:t>ROIC năm 2017</w:t>
                  </w:r>
                </w:p>
              </w:tc>
              <w:tc>
                <w:tcPr>
                  <w:tcW w:type="auto" w:w="0"/>
                  <w:shd w:val="clear" w:color="auto" w:fill="F0F0F0"/>
                </w:tcPr>
                <w:p>
                  <w:pPr>
                    <w:pStyle w:val="Para 05"/>
                    <w:keepLines w:val="on"/>
                  </w:pPr>
                  <w:r>
                    <w:t>ROIC: 2013–2017</w:t>
                  </w:r>
                </w:p>
              </w:tc>
              <w:tc>
                <w:tcPr>
                  <w:tcW w:type="auto" w:w="0"/>
                  <w:shd w:val="clear" w:color="auto" w:fill="F0F0F0"/>
                  <w:vAlign w:val="bottom"/>
                </w:tcPr>
                <w:p>
                  <w:pPr>
                    <w:pStyle w:val="Para 05"/>
                    <w:keepLines w:val="on"/>
                  </w:pPr>
                  <w:r>
                    <w:t>Chi phí vốn</w:t>
                  </w:r>
                </w:p>
              </w:tc>
            </w:tr>
            <w:tr>
              <w:tc>
                <w:tcPr>
                  <w:tcW w:type="auto" w:w="0"/>
                  <w:shd w:val="clear" w:color="auto" w:fill="F0F0F0"/>
                </w:tcPr>
                <w:p>
                  <w:pPr>
                    <w:pStyle w:val="Para 02"/>
                    <w:keepLines w:val="on"/>
                  </w:pPr>
                  <w:r>
                    <w:t>Năng lượng (Power)</w:t>
                  </w:r>
                </w:p>
              </w:tc>
              <w:tc>
                <w:tcPr>
                  <w:tcW w:type="auto" w:w="0"/>
                  <w:shd w:val="clear" w:color="auto" w:fill="F0F0F0"/>
                </w:tcPr>
                <w:p>
                  <w:pPr>
                    <w:pStyle w:val="Para 02"/>
                    <w:keepLines w:val="on"/>
                  </w:pPr>
                  <w:r>
                    <w:t>$36.00</w:t>
                  </w:r>
                </w:p>
              </w:tc>
              <w:tc>
                <w:tcPr>
                  <w:tcW w:type="auto" w:w="0"/>
                  <w:shd w:val="clear" w:color="auto" w:fill="F0F0F0"/>
                </w:tcPr>
                <w:p>
                  <w:pPr>
                    <w:pStyle w:val="Normal"/>
                    <w:keepLines w:val="on"/>
                  </w:pPr>
                  <w:r>
                    <w:t>–1,64%</w:t>
                  </w:r>
                </w:p>
              </w:tc>
              <w:tc>
                <w:tcPr>
                  <w:tcW w:type="auto" w:w="0"/>
                  <w:shd w:val="clear" w:color="auto" w:fill="F0F0F0"/>
                </w:tcPr>
                <w:p>
                  <w:pPr>
                    <w:pStyle w:val="Para 02"/>
                    <w:keepLines w:val="on"/>
                  </w:pPr>
                  <w:r>
                    <w:t>2,80 đô la</w:t>
                  </w:r>
                </w:p>
              </w:tc>
              <w:tc>
                <w:tcPr>
                  <w:tcW w:type="auto" w:w="0"/>
                  <w:shd w:val="clear" w:color="auto" w:fill="F0F0F0"/>
                </w:tcPr>
                <w:p>
                  <w:pPr>
                    <w:pStyle w:val="Para 02"/>
                    <w:keepLines w:val="on"/>
                  </w:pPr>
                  <w:r>
                    <w:t>1,69 đô la</w:t>
                  </w:r>
                </w:p>
              </w:tc>
              <w:tc>
                <w:tcPr>
                  <w:tcW w:type="auto" w:w="0"/>
                  <w:shd w:val="clear" w:color="auto" w:fill="F0F0F0"/>
                </w:tcPr>
                <w:p>
                  <w:pPr>
                    <w:pStyle w:val="Para 02"/>
                    <w:keepLines w:val="on"/>
                  </w:pPr>
                  <w:r>
                    <w:t>4,68%</w:t>
                  </w:r>
                </w:p>
              </w:tc>
              <w:tc>
                <w:tcPr>
                  <w:tcW w:type="auto" w:w="0"/>
                  <w:shd w:val="clear" w:color="auto" w:fill="F0F0F0"/>
                </w:tcPr>
                <w:p>
                  <w:pPr>
                    <w:pStyle w:val="Para 02"/>
                    <w:keepLines w:val="on"/>
                  </w:pPr>
                  <w:r>
                    <w:t>328,34 đô la</w:t>
                  </w:r>
                </w:p>
              </w:tc>
              <w:tc>
                <w:tcPr>
                  <w:tcW w:type="auto" w:w="0"/>
                  <w:shd w:val="clear" w:color="auto" w:fill="F0F0F0"/>
                </w:tcPr>
                <w:p>
                  <w:pPr>
                    <w:pStyle w:val="Para 02"/>
                    <w:keepLines w:val="on"/>
                  </w:pPr>
                  <w:r>
                    <w:t>3,85%</w:t>
                  </w:r>
                </w:p>
              </w:tc>
              <w:tc>
                <w:tcPr>
                  <w:tcW w:type="auto" w:w="0"/>
                  <w:shd w:val="clear" w:color="auto" w:fill="F0F0F0"/>
                </w:tcPr>
                <w:p>
                  <w:pPr>
                    <w:pStyle w:val="Para 02"/>
                    <w:keepLines w:val="on"/>
                  </w:pPr>
                  <w:r>
                    <w:t>9,28%</w:t>
                  </w:r>
                </w:p>
              </w:tc>
              <w:tc>
                <w:tcPr>
                  <w:tcW w:type="auto" w:w="0"/>
                  <w:shd w:val="clear" w:color="auto" w:fill="F0F0F0"/>
                </w:tcPr>
                <w:p>
                  <w:pPr>
                    <w:pStyle w:val="Para 02"/>
                    <w:keepLines w:val="on"/>
                  </w:pPr>
                  <w:r>
                    <w:t>4,91%</w:t>
                  </w:r>
                </w:p>
              </w:tc>
            </w:tr>
            <w:tr>
              <w:tc>
                <w:tcPr>
                  <w:tcW w:type="auto" w:w="0"/>
                  <w:shd w:val="clear" w:color="auto" w:fill="F0F0F0"/>
                </w:tcPr>
                <w:p>
                  <w:pPr>
                    <w:pStyle w:val="Para 02"/>
                    <w:keepLines w:val="on"/>
                  </w:pPr>
                  <w:r>
                    <w:t>Năng lượng tái tạo</w:t>
                  </w:r>
                </w:p>
              </w:tc>
              <w:tc>
                <w:tcPr>
                  <w:tcW w:type="auto" w:w="0"/>
                  <w:shd w:val="clear" w:color="auto" w:fill="F0F0F0"/>
                </w:tcPr>
                <w:p>
                  <w:pPr>
                    <w:pStyle w:val="Para 02"/>
                    <w:keepLines w:val="on"/>
                  </w:pPr>
                  <w:r>
                    <w:t>10,30 đô la</w:t>
                  </w:r>
                </w:p>
              </w:tc>
              <w:tc>
                <w:tcPr>
                  <w:tcW w:type="auto" w:w="0"/>
                  <w:shd w:val="clear" w:color="auto" w:fill="F0F0F0"/>
                </w:tcPr>
                <w:p>
                  <w:pPr>
                    <w:pStyle w:val="Normal"/>
                    <w:keepLines w:val="on"/>
                  </w:pPr>
                  <w:r>
                    <w:t>14,44%</w:t>
                  </w:r>
                </w:p>
              </w:tc>
              <w:tc>
                <w:tcPr>
                  <w:tcW w:type="auto" w:w="0"/>
                  <w:shd w:val="clear" w:color="auto" w:fill="F0F0F0"/>
                </w:tcPr>
                <w:p>
                  <w:pPr>
                    <w:pStyle w:val="Para 02"/>
                    <w:keepLines w:val="on"/>
                  </w:pPr>
                  <w:r>
                    <w:t>0,70 đô la</w:t>
                  </w:r>
                </w:p>
              </w:tc>
              <w:tc>
                <w:tcPr>
                  <w:tcW w:type="auto" w:w="0"/>
                  <w:shd w:val="clear" w:color="auto" w:fill="F0F0F0"/>
                </w:tcPr>
                <w:p>
                  <w:pPr>
                    <w:pStyle w:val="Para 02"/>
                    <w:keepLines w:val="on"/>
                  </w:pPr>
                  <w:r>
                    <w:t>0,41 đô la</w:t>
                  </w:r>
                </w:p>
              </w:tc>
              <w:tc>
                <w:tcPr>
                  <w:tcW w:type="auto" w:w="0"/>
                  <w:shd w:val="clear" w:color="auto" w:fill="F0F0F0"/>
                </w:tcPr>
                <w:p>
                  <w:pPr>
                    <w:pStyle w:val="Para 02"/>
                    <w:keepLines w:val="on"/>
                  </w:pPr>
                  <w:r>
                    <w:t>4,00%</w:t>
                  </w:r>
                </w:p>
              </w:tc>
              <w:tc>
                <w:tcPr>
                  <w:tcW w:type="auto" w:w="0"/>
                  <w:shd w:val="clear" w:color="auto" w:fill="F0F0F0"/>
                </w:tcPr>
                <w:p>
                  <w:pPr>
                    <w:pStyle w:val="Para 02"/>
                    <w:keepLines w:val="on"/>
                  </w:pPr>
                  <w:r>
                    <w:t>49,91 đô la</w:t>
                  </w:r>
                </w:p>
              </w:tc>
              <w:tc>
                <w:tcPr>
                  <w:tcW w:type="auto" w:w="0"/>
                  <w:shd w:val="clear" w:color="auto" w:fill="F0F0F0"/>
                </w:tcPr>
                <w:p>
                  <w:pPr>
                    <w:pStyle w:val="Para 02"/>
                    <w:keepLines w:val="on"/>
                  </w:pPr>
                  <w:r>
                    <w:t>6,19%</w:t>
                  </w:r>
                </w:p>
              </w:tc>
              <w:tc>
                <w:tcPr>
                  <w:tcW w:type="auto" w:w="0"/>
                  <w:shd w:val="clear" w:color="auto" w:fill="F0F0F0"/>
                </w:tcPr>
                <w:p>
                  <w:pPr>
                    <w:pStyle w:val="Para 02"/>
                    <w:keepLines w:val="on"/>
                  </w:pPr>
                  <w:r>
                    <w:t>8,00%</w:t>
                  </w:r>
                </w:p>
              </w:tc>
              <w:tc>
                <w:tcPr>
                  <w:tcW w:type="auto" w:w="0"/>
                  <w:shd w:val="clear" w:color="auto" w:fill="F0F0F0"/>
                </w:tcPr>
                <w:p>
                  <w:pPr>
                    <w:pStyle w:val="Para 02"/>
                    <w:keepLines w:val="on"/>
                  </w:pPr>
                  <w:r>
                    <w:t>6,88%</w:t>
                  </w:r>
                </w:p>
              </w:tc>
            </w:tr>
            <w:tr>
              <w:tc>
                <w:tcPr>
                  <w:tcW w:type="auto" w:w="0"/>
                  <w:shd w:val="clear" w:color="auto" w:fill="F0F0F0"/>
                </w:tcPr>
                <w:p>
                  <w:pPr>
                    <w:pStyle w:val="Para 02"/>
                    <w:keepLines w:val="on"/>
                  </w:pPr>
                  <w:r>
                    <w:t>Dầu khí</w:t>
                  </w:r>
                </w:p>
              </w:tc>
              <w:tc>
                <w:tcPr>
                  <w:tcW w:type="auto" w:w="0"/>
                  <w:shd w:val="clear" w:color="auto" w:fill="F0F0F0"/>
                </w:tcPr>
                <w:p>
                  <w:pPr>
                    <w:pStyle w:val="Para 02"/>
                    <w:keepLines w:val="on"/>
                  </w:pPr>
                  <w:r>
                    <w:t>17,20 đô la</w:t>
                  </w:r>
                </w:p>
              </w:tc>
              <w:tc>
                <w:tcPr>
                  <w:tcW w:type="auto" w:w="0"/>
                  <w:shd w:val="clear" w:color="auto" w:fill="F0F0F0"/>
                </w:tcPr>
                <w:p>
                  <w:pPr>
                    <w:pStyle w:val="Normal"/>
                    <w:keepLines w:val="on"/>
                  </w:pPr>
                  <w:r>
                    <w:t>33,33%</w:t>
                  </w:r>
                </w:p>
              </w:tc>
              <w:tc>
                <w:tcPr>
                  <w:tcW w:type="auto" w:w="0"/>
                  <w:shd w:val="clear" w:color="auto" w:fill="F0F0F0"/>
                </w:tcPr>
                <w:p>
                  <w:pPr>
                    <w:pStyle w:val="Para 02"/>
                    <w:keepLines w:val="on"/>
                  </w:pPr>
                  <w:r>
                    <w:t>0,20 đô la</w:t>
                  </w:r>
                </w:p>
              </w:tc>
              <w:tc>
                <w:tcPr>
                  <w:tcW w:type="auto" w:w="0"/>
                  <w:shd w:val="clear" w:color="auto" w:fill="F0F0F0"/>
                </w:tcPr>
                <w:p>
                  <w:pPr>
                    <w:pStyle w:val="Para 02"/>
                    <w:keepLines w:val="on"/>
                  </w:pPr>
                  <w:r>
                    <w:t>–0,31 đô la</w:t>
                  </w:r>
                </w:p>
              </w:tc>
              <w:tc>
                <w:tcPr>
                  <w:tcW w:type="auto" w:w="0"/>
                  <w:shd w:val="clear" w:color="auto" w:fill="F0F0F0"/>
                </w:tcPr>
                <w:p>
                  <w:pPr>
                    <w:pStyle w:val="Para 02"/>
                    <w:keepLines w:val="on"/>
                  </w:pPr>
                  <w:r>
                    <w:t>–1,78%</w:t>
                  </w:r>
                </w:p>
              </w:tc>
              <w:tc>
                <w:tcPr>
                  <w:tcW w:type="auto" w:w="0"/>
                  <w:shd w:val="clear" w:color="auto" w:fill="F0F0F0"/>
                </w:tcPr>
                <w:p>
                  <w:pPr>
                    <w:pStyle w:val="Para 02"/>
                    <w:keepLines w:val="on"/>
                  </w:pPr>
                  <w:r>
                    <w:t>275,95 đô la</w:t>
                  </w:r>
                </w:p>
              </w:tc>
              <w:tc>
                <w:tcPr>
                  <w:tcW w:type="auto" w:w="0"/>
                  <w:shd w:val="clear" w:color="auto" w:fill="F0F0F0"/>
                </w:tcPr>
                <w:p>
                  <w:pPr>
                    <w:pStyle w:val="Para 02"/>
                    <w:keepLines w:val="on"/>
                  </w:pPr>
                  <w:r>
                    <w:t>–0,83%</w:t>
                  </w:r>
                </w:p>
              </w:tc>
              <w:tc>
                <w:tcPr>
                  <w:tcW w:type="auto" w:w="0"/>
                  <w:shd w:val="clear" w:color="auto" w:fill="F0F0F0"/>
                </w:tcPr>
                <w:p>
                  <w:pPr>
                    <w:pStyle w:val="Para 02"/>
                    <w:keepLines w:val="on"/>
                  </w:pPr>
                  <w:r>
                    <w:t>3,71%</w:t>
                  </w:r>
                </w:p>
              </w:tc>
              <w:tc>
                <w:tcPr>
                  <w:tcW w:type="auto" w:w="0"/>
                  <w:shd w:val="clear" w:color="auto" w:fill="F0F0F0"/>
                </w:tcPr>
                <w:p>
                  <w:pPr>
                    <w:pStyle w:val="Para 02"/>
                    <w:keepLines w:val="on"/>
                  </w:pPr>
                  <w:r>
                    <w:t>8,82%</w:t>
                  </w:r>
                </w:p>
              </w:tc>
            </w:tr>
            <w:tr>
              <w:tc>
                <w:tcPr>
                  <w:tcW w:type="auto" w:w="0"/>
                  <w:shd w:val="clear" w:color="auto" w:fill="F0F0F0"/>
                </w:tcPr>
                <w:p>
                  <w:pPr>
                    <w:pStyle w:val="Para 02"/>
                    <w:keepLines w:val="on"/>
                  </w:pPr>
                  <w:r>
                    <w:t>Hàng không</w:t>
                  </w:r>
                </w:p>
              </w:tc>
              <w:tc>
                <w:tcPr>
                  <w:tcW w:type="auto" w:w="0"/>
                  <w:shd w:val="clear" w:color="auto" w:fill="F0F0F0"/>
                </w:tcPr>
                <w:p>
                  <w:pPr>
                    <w:pStyle w:val="Para 02"/>
                    <w:keepLines w:val="on"/>
                  </w:pPr>
                  <w:r>
                    <w:t>$27,40</w:t>
                  </w:r>
                </w:p>
              </w:tc>
              <w:tc>
                <w:tcPr>
                  <w:tcW w:type="auto" w:w="0"/>
                  <w:shd w:val="clear" w:color="auto" w:fill="F0F0F0"/>
                </w:tcPr>
                <w:p>
                  <w:pPr>
                    <w:pStyle w:val="Normal"/>
                    <w:keepLines w:val="on"/>
                  </w:pPr>
                  <w:r>
                    <w:t>4,18%</w:t>
                  </w:r>
                </w:p>
              </w:tc>
              <w:tc>
                <w:tcPr>
                  <w:tcW w:type="auto" w:w="0"/>
                  <w:shd w:val="clear" w:color="auto" w:fill="F0F0F0"/>
                </w:tcPr>
                <w:p>
                  <w:pPr>
                    <w:pStyle w:val="Para 02"/>
                    <w:keepLines w:val="on"/>
                  </w:pPr>
                  <w:r>
                    <w:t>$6,60</w:t>
                  </w:r>
                </w:p>
              </w:tc>
              <w:tc>
                <w:tcPr>
                  <w:tcW w:type="auto" w:w="0"/>
                  <w:shd w:val="clear" w:color="auto" w:fill="F0F0F0"/>
                </w:tcPr>
                <w:p>
                  <w:pPr>
                    <w:pStyle w:val="Para 02"/>
                    <w:keepLines w:val="on"/>
                  </w:pPr>
                  <w:r>
                    <w:t>$5,80</w:t>
                  </w:r>
                </w:p>
              </w:tc>
              <w:tc>
                <w:tcPr>
                  <w:tcW w:type="auto" w:w="0"/>
                  <w:shd w:val="clear" w:color="auto" w:fill="F0F0F0"/>
                </w:tcPr>
                <w:p>
                  <w:pPr>
                    <w:pStyle w:val="Para 02"/>
                    <w:keepLines w:val="on"/>
                  </w:pPr>
                  <w:r>
                    <w:t>21,19%</w:t>
                  </w:r>
                </w:p>
              </w:tc>
              <w:tc>
                <w:tcPr>
                  <w:tcW w:type="auto" w:w="0"/>
                  <w:shd w:val="clear" w:color="auto" w:fill="F0F0F0"/>
                </w:tcPr>
                <w:p>
                  <w:pPr>
                    <w:pStyle w:val="Para 02"/>
                    <w:keepLines w:val="on"/>
                  </w:pPr>
                  <w:r>
                    <w:t>$192,73</w:t>
                  </w:r>
                </w:p>
              </w:tc>
              <w:tc>
                <w:tcPr>
                  <w:tcW w:type="auto" w:w="0"/>
                  <w:shd w:val="clear" w:color="auto" w:fill="F0F0F0"/>
                </w:tcPr>
                <w:p>
                  <w:pPr>
                    <w:pStyle w:val="Para 02"/>
                    <w:keepLines w:val="on"/>
                  </w:pPr>
                  <w:r>
                    <w:t>22,59%</w:t>
                  </w:r>
                </w:p>
              </w:tc>
              <w:tc>
                <w:tcPr>
                  <w:tcW w:type="auto" w:w="0"/>
                  <w:shd w:val="clear" w:color="auto" w:fill="F0F0F0"/>
                </w:tcPr>
                <w:p>
                  <w:pPr>
                    <w:pStyle w:val="Para 02"/>
                    <w:keepLines w:val="on"/>
                  </w:pPr>
                  <w:r>
                    <w:t>20,27%</w:t>
                  </w:r>
                </w:p>
              </w:tc>
              <w:tc>
                <w:tcPr>
                  <w:tcW w:type="auto" w:w="0"/>
                  <w:shd w:val="clear" w:color="auto" w:fill="F0F0F0"/>
                </w:tcPr>
                <w:p>
                  <w:pPr>
                    <w:pStyle w:val="Para 02"/>
                    <w:keepLines w:val="on"/>
                  </w:pPr>
                  <w:r>
                    <w:t>8,52%</w:t>
                  </w:r>
                </w:p>
              </w:tc>
            </w:tr>
            <w:tr>
              <w:tc>
                <w:tcPr>
                  <w:tcW w:type="auto" w:w="0"/>
                  <w:shd w:val="clear" w:color="auto" w:fill="F0F0F0"/>
                </w:tcPr>
                <w:p>
                  <w:pPr>
                    <w:pStyle w:val="Para 02"/>
                    <w:keepLines w:val="on"/>
                  </w:pPr>
                  <w:r>
                    <w:t>Chăm sóc sức khỏe</w:t>
                  </w:r>
                </w:p>
              </w:tc>
              <w:tc>
                <w:tcPr>
                  <w:tcW w:type="auto" w:w="0"/>
                  <w:shd w:val="clear" w:color="auto" w:fill="F0F0F0"/>
                </w:tcPr>
                <w:p>
                  <w:pPr>
                    <w:pStyle w:val="Para 02"/>
                    <w:keepLines w:val="on"/>
                  </w:pPr>
                  <w:r>
                    <w:t>$19,10</w:t>
                  </w:r>
                </w:p>
              </w:tc>
              <w:tc>
                <w:tcPr>
                  <w:tcW w:type="auto" w:w="0"/>
                  <w:shd w:val="clear" w:color="auto" w:fill="F0F0F0"/>
                </w:tcPr>
                <w:p>
                  <w:pPr>
                    <w:pStyle w:val="Normal"/>
                    <w:keepLines w:val="on"/>
                  </w:pPr>
                  <w:r>
                    <w:t>4,37%</w:t>
                  </w:r>
                </w:p>
              </w:tc>
              <w:tc>
                <w:tcPr>
                  <w:tcW w:type="auto" w:w="0"/>
                  <w:shd w:val="clear" w:color="auto" w:fill="F0F0F0"/>
                </w:tcPr>
                <w:p>
                  <w:pPr>
                    <w:pStyle w:val="Para 02"/>
                    <w:keepLines w:val="on"/>
                  </w:pPr>
                  <w:r>
                    <w:t>$3,40</w:t>
                  </w:r>
                </w:p>
              </w:tc>
              <w:tc>
                <w:tcPr>
                  <w:tcW w:type="auto" w:w="0"/>
                  <w:shd w:val="clear" w:color="auto" w:fill="F0F0F0"/>
                </w:tcPr>
                <w:p>
                  <w:pPr>
                    <w:pStyle w:val="Para 02"/>
                    <w:keepLines w:val="on"/>
                  </w:pPr>
                  <w:r>
                    <w:t>$2,86</w:t>
                  </w:r>
                </w:p>
              </w:tc>
              <w:tc>
                <w:tcPr>
                  <w:tcW w:type="auto" w:w="0"/>
                  <w:shd w:val="clear" w:color="auto" w:fill="F0F0F0"/>
                </w:tcPr>
                <w:p>
                  <w:pPr>
                    <w:pStyle w:val="Para 02"/>
                    <w:keepLines w:val="on"/>
                  </w:pPr>
                  <w:r>
                    <w:t>15,00%</w:t>
                  </w:r>
                </w:p>
              </w:tc>
              <w:tc>
                <w:tcPr>
                  <w:tcW w:type="auto" w:w="0"/>
                  <w:shd w:val="clear" w:color="auto" w:fill="F0F0F0"/>
                </w:tcPr>
                <w:p>
                  <w:pPr>
                    <w:pStyle w:val="Para 02"/>
                    <w:keepLines w:val="on"/>
                  </w:pPr>
                  <w:r>
                    <w:t>$132,81</w:t>
                  </w:r>
                </w:p>
              </w:tc>
              <w:tc>
                <w:tcPr>
                  <w:tcW w:type="auto" w:w="0"/>
                  <w:shd w:val="clear" w:color="auto" w:fill="F0F0F0"/>
                </w:tcPr>
                <w:p>
                  <w:pPr>
                    <w:pStyle w:val="Para 02"/>
                    <w:keepLines w:val="on"/>
                  </w:pPr>
                  <w:r>
                    <w:t>16,18%</w:t>
                  </w:r>
                </w:p>
              </w:tc>
              <w:tc>
                <w:tcPr>
                  <w:tcW w:type="auto" w:w="0"/>
                  <w:shd w:val="clear" w:color="auto" w:fill="F0F0F0"/>
                </w:tcPr>
                <w:p>
                  <w:pPr>
                    <w:pStyle w:val="Para 02"/>
                    <w:keepLines w:val="on"/>
                  </w:pPr>
                  <w:r>
                    <w:t>15,07%</w:t>
                  </w:r>
                </w:p>
              </w:tc>
              <w:tc>
                <w:tcPr>
                  <w:tcW w:type="auto" w:w="0"/>
                  <w:shd w:val="clear" w:color="auto" w:fill="F0F0F0"/>
                </w:tcPr>
                <w:p>
                  <w:pPr>
                    <w:pStyle w:val="Para 02"/>
                    <w:keepLines w:val="on"/>
                  </w:pPr>
                  <w:r>
                    <w:t>7,97%</w:t>
                  </w:r>
                </w:p>
              </w:tc>
            </w:tr>
            <w:tr>
              <w:tc>
                <w:tcPr>
                  <w:tcW w:type="auto" w:w="0"/>
                  <w:shd w:val="clear" w:color="auto" w:fill="F0F0F0"/>
                </w:tcPr>
                <w:p>
                  <w:pPr>
                    <w:pStyle w:val="Para 02"/>
                    <w:keepLines w:val="on"/>
                  </w:pPr>
                  <w:r>
                    <w:t>Vận tải</w:t>
                  </w:r>
                </w:p>
              </w:tc>
              <w:tc>
                <w:tcPr>
                  <w:tcW w:type="auto" w:w="0"/>
                  <w:shd w:val="clear" w:color="auto" w:fill="F0F0F0"/>
                </w:tcPr>
                <w:p>
                  <w:pPr>
                    <w:pStyle w:val="Para 02"/>
                    <w:keepLines w:val="on"/>
                  </w:pPr>
                  <w:r>
                    <w:t>$4,20</w:t>
                  </w:r>
                </w:p>
              </w:tc>
              <w:tc>
                <w:tcPr>
                  <w:tcW w:type="auto" w:w="0"/>
                  <w:shd w:val="clear" w:color="auto" w:fill="F0F0F0"/>
                </w:tcPr>
                <w:p>
                  <w:pPr>
                    <w:pStyle w:val="Normal"/>
                    <w:keepLines w:val="on"/>
                  </w:pPr>
                  <w:r>
                    <w:t>–10,64%</w:t>
                  </w:r>
                </w:p>
              </w:tc>
              <w:tc>
                <w:tcPr>
                  <w:tcW w:type="auto" w:w="0"/>
                  <w:shd w:val="clear" w:color="auto" w:fill="F0F0F0"/>
                </w:tcPr>
                <w:p>
                  <w:pPr>
                    <w:pStyle w:val="Para 02"/>
                    <w:keepLines w:val="on"/>
                  </w:pPr>
                  <w:r>
                    <w:t>0,80 đô la</w:t>
                  </w:r>
                </w:p>
              </w:tc>
              <w:tc>
                <w:tcPr>
                  <w:tcW w:type="auto" w:w="0"/>
                  <w:shd w:val="clear" w:color="auto" w:fill="F0F0F0"/>
                </w:tcPr>
                <w:p>
                  <w:pPr>
                    <w:pStyle w:val="Para 02"/>
                    <w:keepLines w:val="on"/>
                  </w:pPr>
                  <w:r>
                    <w:t>0,70 đô la</w:t>
                  </w:r>
                </w:p>
              </w:tc>
              <w:tc>
                <w:tcPr>
                  <w:tcW w:type="auto" w:w="0"/>
                  <w:shd w:val="clear" w:color="auto" w:fill="F0F0F0"/>
                </w:tcPr>
                <w:p>
                  <w:pPr>
                    <w:pStyle w:val="Para 02"/>
                    <w:keepLines w:val="on"/>
                  </w:pPr>
                  <w:r>
                    <w:t>16,56%</w:t>
                  </w:r>
                </w:p>
              </w:tc>
              <w:tc>
                <w:tcPr>
                  <w:tcW w:type="auto" w:w="0"/>
                  <w:shd w:val="clear" w:color="auto" w:fill="F0F0F0"/>
                </w:tcPr>
                <w:p>
                  <w:pPr>
                    <w:pStyle w:val="Para 02"/>
                    <w:keepLines w:val="on"/>
                  </w:pPr>
                  <w:r>
                    <w:t>20,73 đô la</w:t>
                  </w:r>
                </w:p>
              </w:tc>
              <w:tc>
                <w:tcPr>
                  <w:tcW w:type="auto" w:w="0"/>
                  <w:shd w:val="clear" w:color="auto" w:fill="F0F0F0"/>
                </w:tcPr>
                <w:p>
                  <w:pPr>
                    <w:pStyle w:val="Para 02"/>
                    <w:keepLines w:val="on"/>
                  </w:pPr>
                  <w:r>
                    <w:t>25,17%</w:t>
                  </w:r>
                </w:p>
              </w:tc>
              <w:tc>
                <w:tcPr>
                  <w:tcW w:type="auto" w:w="0"/>
                  <w:shd w:val="clear" w:color="auto" w:fill="F0F0F0"/>
                </w:tcPr>
                <w:p>
                  <w:pPr>
                    <w:pStyle w:val="Para 02"/>
                    <w:keepLines w:val="on"/>
                  </w:pPr>
                  <w:r>
                    <w:t>26,67%</w:t>
                  </w:r>
                </w:p>
              </w:tc>
              <w:tc>
                <w:tcPr>
                  <w:tcW w:type="auto" w:w="0"/>
                  <w:shd w:val="clear" w:color="auto" w:fill="F0F0F0"/>
                </w:tcPr>
                <w:p>
                  <w:pPr>
                    <w:pStyle w:val="Para 02"/>
                    <w:keepLines w:val="on"/>
                  </w:pPr>
                  <w:r>
                    <w:t>7,49%</w:t>
                  </w:r>
                </w:p>
              </w:tc>
            </w:tr>
            <w:tr>
              <w:tc>
                <w:tcPr>
                  <w:tcW w:type="auto" w:w="0"/>
                  <w:shd w:val="clear" w:color="auto" w:fill="F0F0F0"/>
                </w:tcPr>
                <w:p>
                  <w:pPr>
                    <w:pStyle w:val="Para 02"/>
                    <w:keepLines w:val="on"/>
                  </w:pPr>
                  <w:r>
                    <w:t>Chiếu sáng</w:t>
                  </w:r>
                </w:p>
              </w:tc>
              <w:tc>
                <w:tcPr>
                  <w:tcW w:type="auto" w:w="0"/>
                  <w:shd w:val="clear" w:color="auto" w:fill="F0F0F0"/>
                </w:tcPr>
                <w:p>
                  <w:pPr>
                    <w:pStyle w:val="Para 02"/>
                    <w:keepLines w:val="on"/>
                  </w:pPr>
                  <w:r>
                    <w:t>2,00 đô la</w:t>
                  </w:r>
                </w:p>
              </w:tc>
              <w:tc>
                <w:tcPr>
                  <w:tcW w:type="auto" w:w="0"/>
                  <w:shd w:val="clear" w:color="auto" w:fill="F0F0F0"/>
                </w:tcPr>
                <w:p>
                  <w:pPr>
                    <w:pStyle w:val="Normal"/>
                    <w:keepLines w:val="on"/>
                  </w:pPr>
                  <w:r>
                    <w:t>–58,33%</w:t>
                  </w:r>
                </w:p>
              </w:tc>
              <w:tc>
                <w:tcPr>
                  <w:tcW w:type="auto" w:w="0"/>
                  <w:shd w:val="clear" w:color="auto" w:fill="F0F0F0"/>
                </w:tcPr>
                <w:p>
                  <w:pPr>
                    <w:pStyle w:val="Para 02"/>
                    <w:keepLines w:val="on"/>
                  </w:pPr>
                  <w:r>
                    <w:t>0,10 đô la</w:t>
                  </w:r>
                </w:p>
              </w:tc>
              <w:tc>
                <w:tcPr>
                  <w:tcW w:type="auto" w:w="0"/>
                  <w:shd w:val="clear" w:color="auto" w:fill="F0F0F0"/>
                </w:tcPr>
                <w:p>
                  <w:pPr>
                    <w:pStyle w:val="Para 02"/>
                    <w:keepLines w:val="on"/>
                  </w:pPr>
                  <w:r>
                    <w:t>0,03 đô la</w:t>
                  </w:r>
                </w:p>
              </w:tc>
              <w:tc>
                <w:tcPr>
                  <w:tcW w:type="auto" w:w="0"/>
                  <w:shd w:val="clear" w:color="auto" w:fill="F0F0F0"/>
                </w:tcPr>
                <w:p>
                  <w:pPr>
                    <w:pStyle w:val="Para 02"/>
                    <w:keepLines w:val="on"/>
                  </w:pPr>
                  <w:r>
                    <w:t>1,59%</w:t>
                  </w:r>
                </w:p>
              </w:tc>
              <w:tc>
                <w:tcPr>
                  <w:tcW w:type="auto" w:w="0"/>
                  <w:shd w:val="clear" w:color="auto" w:fill="F0F0F0"/>
                </w:tcPr>
                <w:p>
                  <w:pPr>
                    <w:pStyle w:val="Para 02"/>
                    <w:keepLines w:val="on"/>
                  </w:pPr>
                  <w:r>
                    <w:t>3,34 đô la</w:t>
                  </w:r>
                </w:p>
              </w:tc>
              <w:tc>
                <w:tcPr>
                  <w:tcW w:type="auto" w:w="0"/>
                  <w:shd w:val="clear" w:color="auto" w:fill="F0F0F0"/>
                </w:tcPr>
                <w:p>
                  <w:pPr>
                    <w:pStyle w:val="Para 02"/>
                    <w:keepLines w:val="on"/>
                  </w:pPr>
                  <w:r>
                    <w:t>7,16%</w:t>
                  </w:r>
                </w:p>
              </w:tc>
              <w:tc>
                <w:tcPr>
                  <w:tcW w:type="auto" w:w="0"/>
                  <w:shd w:val="clear" w:color="auto" w:fill="F0F0F0"/>
                </w:tcPr>
                <w:p>
                  <w:pPr>
                    <w:pStyle w:val="Para 02"/>
                    <w:keepLines w:val="on"/>
                  </w:pPr>
                  <w:r>
                    <w:t>9,66%</w:t>
                  </w:r>
                </w:p>
              </w:tc>
              <w:tc>
                <w:tcPr>
                  <w:tcW w:type="auto" w:w="0"/>
                  <w:shd w:val="clear" w:color="auto" w:fill="F0F0F0"/>
                </w:tcPr>
                <w:p>
                  <w:pPr>
                    <w:pStyle w:val="Para 02"/>
                    <w:keepLines w:val="on"/>
                  </w:pPr>
                  <w:r>
                    <w:t>8,50%</w:t>
                  </w:r>
                </w:p>
              </w:tc>
            </w:tr>
            <w:tr>
              <w:tc>
                <w:tcPr>
                  <w:tcW w:type="auto" w:w="0"/>
                  <w:shd w:val="clear" w:color="auto" w:fill="F0F0F0"/>
                </w:tcPr>
                <w:p>
                  <w:pPr>
                    <w:pStyle w:val="Para 02"/>
                    <w:keepLines w:val="on"/>
                  </w:pPr>
                  <w:r>
                    <w:t>Vốn</w:t>
                  </w:r>
                </w:p>
              </w:tc>
              <w:tc>
                <w:tcPr>
                  <w:tcW w:type="auto" w:w="0"/>
                  <w:shd w:val="clear" w:color="auto" w:fill="F0F0F0"/>
                </w:tcPr>
                <w:p>
                  <w:pPr>
                    <w:pStyle w:val="Para 02"/>
                    <w:keepLines w:val="on"/>
                  </w:pPr>
                  <w:r>
                    <w:t>9,10 đô la</w:t>
                  </w:r>
                </w:p>
              </w:tc>
              <w:tc>
                <w:tcPr>
                  <w:tcW w:type="auto" w:w="0"/>
                  <w:shd w:val="clear" w:color="auto" w:fill="F0F0F0"/>
                </w:tcPr>
                <w:p>
                  <w:pPr>
                    <w:pStyle w:val="Normal"/>
                    <w:keepLines w:val="on"/>
                  </w:pPr>
                  <w:r>
                    <w:t>–16,51%</w:t>
                  </w:r>
                </w:p>
              </w:tc>
              <w:tc>
                <w:tcPr>
                  <w:tcW w:type="auto" w:w="0"/>
                  <w:shd w:val="clear" w:color="auto" w:fill="F0F0F0"/>
                </w:tcPr>
                <w:p>
                  <w:pPr>
                    <w:pStyle w:val="Para 02"/>
                    <w:keepLines w:val="on"/>
                  </w:pPr>
                  <w:r>
                    <w:t>–6,80 đô la</w:t>
                  </w:r>
                </w:p>
              </w:tc>
              <w:tc>
                <w:tcPr>
                  <w:tcW w:type="auto" w:w="0"/>
                  <w:shd w:val="clear" w:color="auto" w:fill="F0F0F0"/>
                </w:tcPr>
                <w:p>
                  <w:pPr>
                    <w:pStyle w:val="Para 02"/>
                    <w:keepLines w:val="on"/>
                  </w:pPr>
                  <w:r>
                    <w:t>–7,04 đô la</w:t>
                  </w:r>
                </w:p>
              </w:tc>
              <w:tc>
                <w:tcPr>
                  <w:tcW w:type="auto" w:w="0"/>
                  <w:shd w:val="clear" w:color="auto" w:fill="F0F0F0"/>
                </w:tcPr>
                <w:p>
                  <w:pPr>
                    <w:pStyle w:val="Para 02"/>
                    <w:keepLines w:val="on"/>
                  </w:pPr>
                  <w:r>
                    <w:t>–77,40%</w:t>
                  </w:r>
                </w:p>
              </w:tc>
              <w:tc>
                <w:tcPr>
                  <w:tcW w:type="auto" w:w="0"/>
                  <w:shd w:val="clear" w:color="auto" w:fill="F0F0F0"/>
                </w:tcPr>
                <w:p>
                  <w:pPr>
                    <w:pStyle w:val="Para 02"/>
                    <w:keepLines w:val="on"/>
                  </w:pPr>
                  <w:r>
                    <w:t>723,38 đô la</w:t>
                  </w:r>
                </w:p>
              </w:tc>
              <w:tc>
                <w:tcPr>
                  <w:tcW w:type="auto" w:w="0"/>
                  <w:shd w:val="clear" w:color="auto" w:fill="F0F0F0"/>
                </w:tcPr>
                <w:p>
                  <w:pPr>
                    <w:pStyle w:val="Para 02"/>
                    <w:keepLines w:val="on"/>
                  </w:pPr>
                  <w:r>
                    <w:t>–7,30%</w:t>
                  </w:r>
                </w:p>
              </w:tc>
              <w:tc>
                <w:tcPr>
                  <w:tcW w:type="auto" w:w="0"/>
                  <w:shd w:val="clear" w:color="auto" w:fill="F0F0F0"/>
                </w:tcPr>
                <w:p>
                  <w:pPr>
                    <w:pStyle w:val="Para 02"/>
                    <w:keepLines w:val="on"/>
                  </w:pPr>
                  <w:r>
                    <w:t>–2,81%</w:t>
                  </w:r>
                </w:p>
              </w:tc>
              <w:tc>
                <w:tcPr>
                  <w:tcW w:type="auto" w:w="0"/>
                  <w:shd w:val="clear" w:color="auto" w:fill="F0F0F0"/>
                </w:tcPr>
                <w:p>
                  <w:pPr>
                    <w:pStyle w:val="Para 02"/>
                    <w:keepLines w:val="on"/>
                  </w:pPr>
                  <w:r>
                    <w:t>3,64%</w:t>
                  </w:r>
                </w:p>
              </w:tc>
            </w:tr>
            <w:tr>
              <w:tc>
                <w:tcPr>
                  <w:tcW w:type="auto" w:w="0"/>
                  <w:shd w:val="clear" w:color="auto" w:fill="F0F0F0"/>
                </w:tcPr>
                <w:p>
                  <w:pPr>
                    <w:pStyle w:val="Para 02"/>
                    <w:keepLines w:val="on"/>
                  </w:pPr>
                  <w:r>
                    <w:t>Tổng cộng</w:t>
                  </w:r>
                </w:p>
              </w:tc>
              <w:tc>
                <w:tcPr>
                  <w:tcW w:type="auto" w:w="0"/>
                  <w:shd w:val="clear" w:color="auto" w:fill="F0F0F0"/>
                </w:tcPr>
                <w:p>
                  <w:pPr>
                    <w:pStyle w:val="Para 02"/>
                    <w:keepLines w:val="on"/>
                  </w:pPr>
                  <w:r>
                    <w:t>125,30 đô la</w:t>
                  </w:r>
                </w:p>
              </w:tc>
              <w:tc>
                <w:tcPr>
                  <w:tcW w:type="auto" w:w="0"/>
                  <w:shd w:val="clear" w:color="auto" w:fill="F0F0F0"/>
                </w:tcPr>
                <w:p>
                  <w:pPr>
                    <w:pStyle w:val="Normal"/>
                    <w:keepLines w:val="on"/>
                  </w:pPr>
                  <w:r>
                    <w:t>1,29%</w:t>
                  </w:r>
                </w:p>
              </w:tc>
              <w:tc>
                <w:tcPr>
                  <w:tcW w:type="auto" w:w="0"/>
                  <w:shd w:val="clear" w:color="auto" w:fill="F0F0F0"/>
                </w:tcPr>
                <w:p>
                  <w:pPr>
                    <w:pStyle w:val="Para 02"/>
                    <w:keepLines w:val="on"/>
                  </w:pPr>
                  <w:r>
                    <w:t>7,80 đô la</w:t>
                  </w:r>
                </w:p>
              </w:tc>
              <w:tc>
                <w:tcPr>
                  <w:tcW w:type="auto" w:w="0"/>
                  <w:shd w:val="clear" w:color="auto" w:fill="F0F0F0"/>
                </w:tcPr>
                <w:p>
                  <w:pPr>
                    <w:pStyle w:val="Para 02"/>
                    <w:keepLines w:val="on"/>
                  </w:pPr>
                  <w:r>
                    <w:t>4,15 đô la</w:t>
                  </w:r>
                </w:p>
              </w:tc>
              <w:tc>
                <w:tcPr>
                  <w:tcW w:type="auto" w:w="0"/>
                  <w:shd w:val="clear" w:color="auto" w:fill="F0F0F0"/>
                </w:tcPr>
                <w:p>
                  <w:pPr>
                    <w:pStyle w:val="Para 02"/>
                    <w:keepLines w:val="on"/>
                  </w:pPr>
                  <w:r>
                    <w:t>3,31%</w:t>
                  </w:r>
                </w:p>
              </w:tc>
              <w:tc>
                <w:tcPr>
                  <w:tcW w:type="auto" w:w="0"/>
                  <w:shd w:val="clear" w:color="auto" w:fill="F0F0F0"/>
                </w:tcPr>
                <w:p>
                  <w:pPr>
                    <w:pStyle w:val="Para 02"/>
                    <w:keepLines w:val="on"/>
                  </w:pPr>
                  <w:r>
                    <w:t>1.727,18 đô la</w:t>
                  </w:r>
                </w:p>
              </w:tc>
              <w:tc>
                <w:tcPr>
                  <w:tcW w:type="auto" w:w="0"/>
                  <w:shd w:val="clear" w:color="auto" w:fill="F0F0F0"/>
                </w:tcPr>
                <w:p>
                  <w:pPr>
                    <w:pStyle w:val="Para 02"/>
                    <w:keepLines w:val="on"/>
                  </w:pPr>
                  <w:r>
                    <w:t>1,80%</w:t>
                  </w:r>
                </w:p>
              </w:tc>
              <w:tc>
                <w:tcPr>
                  <w:tcW w:type="auto" w:w="0"/>
                  <w:shd w:val="clear" w:color="auto" w:fill="F0F0F0"/>
                </w:tcPr>
                <w:p>
                  <w:pPr>
                    <w:pStyle w:val="Para 02"/>
                    <w:keepLines w:val="on"/>
                  </w:pPr>
                  <w:r>
                    <w:t>4,50%</w:t>
                  </w:r>
                </w:p>
              </w:tc>
              <w:tc>
                <w:tcPr>
                  <w:tcW w:type="auto" w:w="0"/>
                  <w:shd w:val="clear" w:color="auto" w:fill="F0F0F0"/>
                </w:tcPr>
                <w:p>
                  <w:pPr>
                    <w:pStyle w:val="Para 46"/>
                    <w:keepLines w:val="on"/>
                  </w:pPr>
                  <w:r>
                    <w:t>6,23%</w:t>
                  </w:r>
                </w:p>
              </w:tc>
            </w:tr>
          </w:tbl>
          <w:p/>
        </w:tc>
      </w:tr>
    </w:tbl>
    <w:p>
      <w:pPr>
        <w:pStyle w:val="Para 04"/>
        <w:keepLines w:val="on"/>
      </w:pPr>
      <w:r>
        <w:t>Năm 2018, GE hoạt động trong ba mảng kinh doanh (hàng không, chăm sóc sức khỏe và vận tải) có mức tăng trưởng thấp nhưng lợi nhuận cao (biên lợi nhuận và tỷ suất sinh lời trên vốn), ba mảng kinh doanh liên quan đến năng lượng (điện, năng lượng tái tạo và dầu khí) có mức tăng trưởng cao hơn nhưng lợi nhuận thấp (biên lợi nhuận và tỷ suất sinh lời trên vốn), một mảng (chiếu sáng) đang mai một nhanh chóng và một mảng (vốn) đang suy giảm nhưng vẫn kéo giá trị đi xuống theo. Cũng cần lưu ý rằng tổng lợi nhuận được báo cáo trên các mảng kinh doanh là trước chi phí doanh nghiệp và các khoản loại trừ trị giá 3,83 tỷ đô la (chưa tính khoản chi phí tái cơ cấu một lần là 4,1 tỷ đô la) — những khoản này thực chất xóa sổ khoảng một nửa lợi nhuận hoạt động.</w:t>
      </w:r>
    </w:p>
    <w:p>
      <w:pPr>
        <w:pStyle w:val="Para 04"/>
        <w:keepLines w:val="on"/>
      </w:pPr>
      <w:r>
        <w:t>Khi tính tỷ suất sinh lời trên vốn, chúng tôi phân bổ các chi phí này cho từng mảng kinh doanh dựa trên doanh thu, và sử dụng mức thuế suất thực tế là 25%. Dù xét tổng thể GE không đạt được tỷ suất sinh lời đáp ứng yêu cầu chi phí vốn trong năm 2017, nhưng các mảng hàng không, chăm sóc sức khỏe và vận tải vượt qua ngưỡng yêu cầu của chúng một cách thoải mái. Thay thế thu nhập năm 2017 của mỗi mảng bằng một giá trị chuẩn hóa (được tính bằng biên lợi nhuận trung bình của từng mảng trong giai đoạn 2013–2017) giúp cải thiện tỷ suất sinh lời trên vốn ở các mảng điện và năng lượng tái tạo, nhưng kết luận chung vẫn không thay đổi. GE, xét như một công ty, trông không mấy khả quan, nhưng nó thực sự có những mảng kinh doanh tạo ra giá trị đáng kể.</w:t>
      </w:r>
    </w:p>
    <w:p>
      <w:pPr>
        <w:pStyle w:val="Para 04"/>
        <w:keepLines w:val="on"/>
      </w:pPr>
      <w:r>
        <w:t>Nói một cách tổng quát, lộ trình để GE thành công vào năm 2018 khá đơn giản: thu nhỏ hoặc bán bớt các phần của những mảng kinh doanh biên lợi nhuận thấp, rút khỏi mảng vốn, và củng cố sự hiện diện trong các mảng hàng không, chăm sóc sức khỏe và vận tải. Để hiểu rõ hơn các mảng kinh doanh này đáng giá bao nhiêu khi tiếp tục hoạt động, chúng tôi định giá từng mảng của GE bằng những giả định đơn giản: chúng tôi dùng chi phí vốn theo ngành cho mỗi mảng, đặt mức tăng trưởng trong năm năm tới bằng mức tăng trưởng doanh thu của từng mảng GE trong năm năm qua, và chuẩn hóa thu nhập hoạt động dựa trên biên lợi nhuận hoạt động trung bình mà mỗi mảng của GE đã đạt được trong năm năm qua. Bảng 15.10 chứa các giá trị ước tính của các bộ phận, cộng thêm các tài sản khác:</w:t>
      </w:r>
    </w:p>
    <w:p>
      <w:pPr>
        <w:pStyle w:val="Para 25"/>
        <w:keepLines w:val="on"/>
      </w:pPr>
      <w:r>
        <w:t>Bảng 15.10</w:t>
      </w:r>
    </w:p>
    <w:p>
      <w:pPr>
        <w:keepNext/>
        <w:pStyle w:val="Para 24"/>
        <w:keepLines w:val="on"/>
      </w:pPr>
      <w:r>
        <w:t>Giá trị của GE — Tổng các phần cấu thành</w:t>
      </w:r>
    </w:p>
    <w:tbl>
      <w:tblPr>
        <w:tblW w:type="auto" w:w="0"/>
      </w:tblPr>
      <w:tr>
        <w:tc>
          <w:tcPr>
            <w:tcW w:type="auto" w:w="0"/>
          </w:tcPr>
          <w:tbl>
            <w:tblPr>
              <w:tblW w:type="auto" w:w="0"/>
            </w:tblPr>
            <w:tr>
              <w:tc>
                <w:tcPr>
                  <w:tcW w:type="auto" w:w="0"/>
                  <w:shd w:val="clear" w:color="auto" w:fill="F0F0F0"/>
                  <w:vAlign w:val="bottom"/>
                </w:tcPr>
                <w:p>
                  <w:pPr>
                    <w:pStyle w:val="Para 32"/>
                    <w:keepLines w:val="on"/>
                  </w:pPr>
                  <w:r>
                    <w:t>Mảng kinh doanh</w:t>
                  </w:r>
                </w:p>
              </w:tc>
              <w:tc>
                <w:tcPr>
                  <w:tcW w:type="auto" w:w="0"/>
                  <w:shd w:val="clear" w:color="auto" w:fill="F0F0F0"/>
                  <w:vAlign w:val="bottom"/>
                </w:tcPr>
                <w:p>
                  <w:pPr>
                    <w:pStyle w:val="Para 05"/>
                    <w:keepLines w:val="on"/>
                  </w:pPr>
                  <w:r>
                    <w:t>Doanh thu</w:t>
                  </w:r>
                </w:p>
              </w:tc>
              <w:tc>
                <w:tcPr>
                  <w:tcW w:type="auto" w:w="0"/>
                  <w:shd w:val="clear" w:color="auto" w:fill="F0F0F0"/>
                  <w:vAlign w:val="bottom"/>
                </w:tcPr>
                <w:p>
                  <w:pPr>
                    <w:pStyle w:val="Para 05"/>
                    <w:keepLines w:val="on"/>
                  </w:pPr>
                  <w:r>
                    <w:t>Biên lợi nhuận hoạt động chuẩn hóa</w:t>
                  </w:r>
                </w:p>
              </w:tc>
              <w:tc>
                <w:tcPr>
                  <w:tcW w:type="auto" w:w="0"/>
                  <w:shd w:val="clear" w:color="auto" w:fill="F0F0F0"/>
                  <w:vAlign w:val="bottom"/>
                </w:tcPr>
                <w:p>
                  <w:pPr>
                    <w:pStyle w:val="Para 05"/>
                    <w:keepLines w:val="on"/>
                  </w:pPr>
                  <w:r>
                    <w:t>EBIT chuẩn hóa trước chi phí quản lý chung (G&amp;A)</w:t>
                  </w:r>
                </w:p>
              </w:tc>
              <w:tc>
                <w:tcPr>
                  <w:tcW w:type="auto" w:w="0"/>
                  <w:shd w:val="clear" w:color="auto" w:fill="F0F0F0"/>
                  <w:vAlign w:val="bottom"/>
                </w:tcPr>
                <w:p>
                  <w:pPr>
                    <w:pStyle w:val="Para 05"/>
                    <w:keepLines w:val="on"/>
                  </w:pPr>
                  <w:r>
                    <w:t>EBIT chuẩn hóa</w:t>
                  </w:r>
                </w:p>
              </w:tc>
              <w:tc>
                <w:tcPr>
                  <w:tcW w:type="auto" w:w="0"/>
                  <w:shd w:val="clear" w:color="auto" w:fill="F0F0F0"/>
                  <w:vAlign w:val="bottom"/>
                </w:tcPr>
                <w:p>
                  <w:pPr>
                    <w:pStyle w:val="Para 05"/>
                    <w:keepLines w:val="on"/>
                  </w:pPr>
                  <w:r>
                    <w:t>EBIT chuẩn hóa (1 – t)</w:t>
                  </w:r>
                </w:p>
              </w:tc>
              <w:tc>
                <w:tcPr>
                  <w:tcW w:type="auto" w:w="0"/>
                  <w:shd w:val="clear" w:color="auto" w:fill="F0F0F0"/>
                  <w:vAlign w:val="bottom"/>
                </w:tcPr>
                <w:p>
                  <w:pPr>
                    <w:pStyle w:val="Para 05"/>
                    <w:keepLines w:val="on"/>
                  </w:pPr>
                  <w:r>
                    <w:t>Chi phí vốn</w:t>
                  </w:r>
                </w:p>
              </w:tc>
              <w:tc>
                <w:tcPr>
                  <w:tcW w:type="auto" w:w="0"/>
                  <w:shd w:val="clear" w:color="auto" w:fill="F0F0F0"/>
                  <w:vAlign w:val="bottom"/>
                </w:tcPr>
                <w:p>
                  <w:pPr>
                    <w:pStyle w:val="Para 05"/>
                    <w:keepLines w:val="on"/>
                  </w:pPr>
                  <w:r>
                    <w:t>ROIC</w:t>
                  </w:r>
                </w:p>
              </w:tc>
              <w:tc>
                <w:tcPr>
                  <w:tcW w:type="auto" w:w="0"/>
                  <w:shd w:val="clear" w:color="auto" w:fill="F0F0F0"/>
                </w:tcPr>
                <w:p>
                  <w:pPr>
                    <w:pStyle w:val="Para 05"/>
                    <w:keepLines w:val="on"/>
                  </w:pPr>
                  <w:r>
                    <w:t>Tăng trưởng kỳ vọng trong 5 năm tới</w:t>
                  </w:r>
                </w:p>
              </w:tc>
              <w:tc>
                <w:tcPr>
                  <w:tcW w:type="auto" w:w="0"/>
                  <w:shd w:val="clear" w:color="auto" w:fill="F0F0F0"/>
                  <w:vAlign w:val="bottom"/>
                </w:tcPr>
                <w:p>
                  <w:pPr>
                    <w:pStyle w:val="Para 05"/>
                    <w:keepLines w:val="on"/>
                  </w:pPr>
                  <w:r>
                    <w:t>Giá trị doanh nghiệp</w:t>
                  </w:r>
                </w:p>
              </w:tc>
            </w:tr>
            <w:tr>
              <w:tc>
                <w:tcPr>
                  <w:tcW w:type="auto" w:w="0"/>
                  <w:shd w:val="clear" w:color="auto" w:fill="F0F0F0"/>
                </w:tcPr>
                <w:p>
                  <w:pPr>
                    <w:pStyle w:val="Para 02"/>
                    <w:keepLines w:val="on"/>
                  </w:pPr>
                  <w:r>
                    <w:t>Sức mạnh</w:t>
                  </w:r>
                </w:p>
              </w:tc>
              <w:tc>
                <w:tcPr>
                  <w:tcW w:type="auto" w:w="0"/>
                  <w:shd w:val="clear" w:color="auto" w:fill="F0F0F0"/>
                </w:tcPr>
                <w:p>
                  <w:pPr>
                    <w:pStyle w:val="Normal"/>
                    <w:keepLines w:val="on"/>
                  </w:pPr>
                  <w:r>
                    <w:t>$35,990</w:t>
                  </w:r>
                </w:p>
              </w:tc>
              <w:tc>
                <w:tcPr>
                  <w:tcW w:type="auto" w:w="0"/>
                  <w:shd w:val="clear" w:color="auto" w:fill="F0F0F0"/>
                </w:tcPr>
                <w:p>
                  <w:pPr>
                    <w:pStyle w:val="Normal"/>
                    <w:keepLines w:val="on"/>
                  </w:pPr>
                  <w:r>
                    <w:t>14,34%</w:t>
                  </w:r>
                </w:p>
              </w:tc>
              <w:tc>
                <w:tcPr>
                  <w:tcW w:type="auto" w:w="0"/>
                  <w:shd w:val="clear" w:color="auto" w:fill="F0F0F0"/>
                </w:tcPr>
                <w:p>
                  <w:pPr>
                    <w:pStyle w:val="Normal"/>
                    <w:keepLines w:val="on"/>
                  </w:pPr>
                  <w:r>
                    <w:t>$5,162</w:t>
                  </w:r>
                </w:p>
              </w:tc>
              <w:tc>
                <w:tcPr>
                  <w:tcW w:type="auto" w:w="0"/>
                  <w:shd w:val="clear" w:color="auto" w:fill="F0F0F0"/>
                </w:tcPr>
                <w:p>
                  <w:pPr>
                    <w:pStyle w:val="Normal"/>
                    <w:keepLines w:val="on"/>
                  </w:pPr>
                  <w:r>
                    <w:t>$4,062</w:t>
                  </w:r>
                </w:p>
              </w:tc>
              <w:tc>
                <w:tcPr>
                  <w:tcW w:type="auto" w:w="0"/>
                  <w:shd w:val="clear" w:color="auto" w:fill="F0F0F0"/>
                </w:tcPr>
                <w:p>
                  <w:pPr>
                    <w:pStyle w:val="Normal"/>
                    <w:keepLines w:val="on"/>
                  </w:pPr>
                  <w:r>
                    <w:t>$3,046</w:t>
                  </w:r>
                </w:p>
              </w:tc>
              <w:tc>
                <w:tcPr>
                  <w:tcW w:type="auto" w:w="0"/>
                  <w:shd w:val="clear" w:color="auto" w:fill="F0F0F0"/>
                </w:tcPr>
                <w:p>
                  <w:pPr>
                    <w:pStyle w:val="Normal"/>
                    <w:keepLines w:val="on"/>
                  </w:pPr>
                  <w:r>
                    <w:t>4,91%</w:t>
                  </w:r>
                </w:p>
              </w:tc>
              <w:tc>
                <w:tcPr>
                  <w:tcW w:type="auto" w:w="0"/>
                  <w:shd w:val="clear" w:color="auto" w:fill="F0F0F0"/>
                </w:tcPr>
                <w:p>
                  <w:pPr>
                    <w:pStyle w:val="Normal"/>
                    <w:keepLines w:val="on"/>
                  </w:pPr>
                  <w:r>
                    <w:t>9,28%</w:t>
                  </w:r>
                </w:p>
              </w:tc>
              <w:tc>
                <w:tcPr>
                  <w:tcW w:type="auto" w:w="0"/>
                  <w:shd w:val="clear" w:color="auto" w:fill="F0F0F0"/>
                </w:tcPr>
                <w:p>
                  <w:pPr>
                    <w:pStyle w:val="Normal"/>
                    <w:keepLines w:val="on"/>
                  </w:pPr>
                  <w:r>
                    <w:t>6,10%</w:t>
                  </w:r>
                </w:p>
              </w:tc>
              <w:tc>
                <w:tcPr>
                  <w:tcW w:type="auto" w:w="0"/>
                  <w:shd w:val="clear" w:color="auto" w:fill="F0F0F0"/>
                </w:tcPr>
                <w:p>
                  <w:pPr>
                    <w:pStyle w:val="Normal"/>
                    <w:keepLines w:val="on"/>
                  </w:pPr>
                  <w:r>
                    <w:t>$73,138</w:t>
                  </w:r>
                </w:p>
              </w:tc>
            </w:tr>
            <w:tr>
              <w:tc>
                <w:tcPr>
                  <w:tcW w:type="auto" w:w="0"/>
                  <w:shd w:val="clear" w:color="auto" w:fill="F0F0F0"/>
                </w:tcPr>
                <w:p>
                  <w:pPr>
                    <w:pStyle w:val="Para 02"/>
                    <w:keepLines w:val="on"/>
                  </w:pPr>
                  <w:r>
                    <w:t>Năng lượng tái tạo</w:t>
                  </w:r>
                </w:p>
              </w:tc>
              <w:tc>
                <w:tcPr>
                  <w:tcW w:type="auto" w:w="0"/>
                  <w:shd w:val="clear" w:color="auto" w:fill="F0F0F0"/>
                </w:tcPr>
                <w:p>
                  <w:pPr>
                    <w:pStyle w:val="Normal"/>
                    <w:keepLines w:val="on"/>
                  </w:pPr>
                  <w:r>
                    <w:t>$10,280</w:t>
                  </w:r>
                </w:p>
              </w:tc>
              <w:tc>
                <w:tcPr>
                  <w:tcW w:type="auto" w:w="0"/>
                  <w:shd w:val="clear" w:color="auto" w:fill="F0F0F0"/>
                </w:tcPr>
                <w:p>
                  <w:pPr>
                    <w:pStyle w:val="Normal"/>
                    <w:keepLines w:val="on"/>
                  </w:pPr>
                  <w:r>
                    <w:t>8,24%</w:t>
                  </w:r>
                </w:p>
              </w:tc>
              <w:tc>
                <w:tcPr>
                  <w:tcW w:type="auto" w:w="0"/>
                  <w:shd w:val="clear" w:color="auto" w:fill="F0F0F0"/>
                </w:tcPr>
                <w:p>
                  <w:pPr>
                    <w:pStyle w:val="Normal"/>
                    <w:keepLines w:val="on"/>
                  </w:pPr>
                  <w:r>
                    <w:t>$847</w:t>
                  </w:r>
                </w:p>
              </w:tc>
              <w:tc>
                <w:tcPr>
                  <w:tcW w:type="auto" w:w="0"/>
                  <w:shd w:val="clear" w:color="auto" w:fill="F0F0F0"/>
                </w:tcPr>
                <w:p>
                  <w:pPr>
                    <w:pStyle w:val="Normal"/>
                    <w:keepLines w:val="on"/>
                  </w:pPr>
                  <w:r>
                    <w:t>$533</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6,88%</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16,34%</w:t>
                  </w:r>
                </w:p>
              </w:tc>
              <w:tc>
                <w:tcPr>
                  <w:tcW w:type="auto" w:w="0"/>
                  <w:shd w:val="clear" w:color="auto" w:fill="F0F0F0"/>
                </w:tcPr>
                <w:p>
                  <w:pPr>
                    <w:pStyle w:val="Normal"/>
                    <w:keepLines w:val="on"/>
                  </w:pPr>
                  <w:r>
                    <w:t>$6,456</w:t>
                  </w:r>
                </w:p>
              </w:tc>
            </w:tr>
            <w:tr>
              <w:tc>
                <w:tcPr>
                  <w:tcW w:type="auto" w:w="0"/>
                  <w:shd w:val="clear" w:color="auto" w:fill="F0F0F0"/>
                </w:tcPr>
                <w:p>
                  <w:pPr>
                    <w:pStyle w:val="Para 02"/>
                    <w:keepLines w:val="on"/>
                  </w:pPr>
                  <w:r>
                    <w:t>Dầu khí</w:t>
                  </w:r>
                </w:p>
              </w:tc>
              <w:tc>
                <w:tcPr>
                  <w:tcW w:type="auto" w:w="0"/>
                  <w:shd w:val="clear" w:color="auto" w:fill="F0F0F0"/>
                </w:tcPr>
                <w:p>
                  <w:pPr>
                    <w:pStyle w:val="Normal"/>
                    <w:keepLines w:val="on"/>
                  </w:pPr>
                  <w:r>
                    <w:t>$17,231</w:t>
                  </w:r>
                </w:p>
              </w:tc>
              <w:tc>
                <w:tcPr>
                  <w:tcW w:type="auto" w:w="0"/>
                  <w:shd w:val="clear" w:color="auto" w:fill="F0F0F0"/>
                </w:tcPr>
                <w:p>
                  <w:pPr>
                    <w:pStyle w:val="Normal"/>
                    <w:keepLines w:val="on"/>
                  </w:pPr>
                  <w:r>
                    <w:t>10,97%</w:t>
                  </w:r>
                </w:p>
              </w:tc>
              <w:tc>
                <w:tcPr>
                  <w:tcW w:type="auto" w:w="0"/>
                  <w:shd w:val="clear" w:color="auto" w:fill="F0F0F0"/>
                </w:tcPr>
                <w:p>
                  <w:pPr>
                    <w:pStyle w:val="Normal"/>
                    <w:keepLines w:val="on"/>
                  </w:pPr>
                  <w:r>
                    <w:t>1.891 đô la</w:t>
                  </w:r>
                </w:p>
              </w:tc>
              <w:tc>
                <w:tcPr>
                  <w:tcW w:type="auto" w:w="0"/>
                  <w:shd w:val="clear" w:color="auto" w:fill="F0F0F0"/>
                </w:tcPr>
                <w:p>
                  <w:pPr>
                    <w:pStyle w:val="Normal"/>
                    <w:keepLines w:val="on"/>
                  </w:pPr>
                  <w:r>
                    <w:t>1.365 đô la</w:t>
                  </w:r>
                </w:p>
              </w:tc>
              <w:tc>
                <w:tcPr>
                  <w:tcW w:type="auto" w:w="0"/>
                  <w:shd w:val="clear" w:color="auto" w:fill="F0F0F0"/>
                </w:tcPr>
                <w:p>
                  <w:pPr>
                    <w:pStyle w:val="Normal"/>
                    <w:keepLines w:val="on"/>
                  </w:pPr>
                  <w:r>
                    <w:t>1.024 đô la</w:t>
                  </w:r>
                </w:p>
              </w:tc>
              <w:tc>
                <w:tcPr>
                  <w:tcW w:type="auto" w:w="0"/>
                  <w:shd w:val="clear" w:color="auto" w:fill="F0F0F0"/>
                </w:tcPr>
                <w:p>
                  <w:pPr>
                    <w:pStyle w:val="Normal"/>
                    <w:keepLines w:val="on"/>
                  </w:pPr>
                  <w:r>
                    <w:t>8,82%</w:t>
                  </w:r>
                </w:p>
              </w:tc>
              <w:tc>
                <w:tcPr>
                  <w:tcW w:type="auto" w:w="0"/>
                  <w:shd w:val="clear" w:color="auto" w:fill="F0F0F0"/>
                </w:tcPr>
                <w:p>
                  <w:pPr>
                    <w:pStyle w:val="Normal"/>
                    <w:keepLines w:val="on"/>
                  </w:pPr>
                  <w:r>
                    <w:t>3,71%</w:t>
                  </w:r>
                </w:p>
              </w:tc>
              <w:tc>
                <w:tcPr>
                  <w:tcW w:type="auto" w:w="0"/>
                  <w:shd w:val="clear" w:color="auto" w:fill="F0F0F0"/>
                </w:tcPr>
                <w:p>
                  <w:pPr>
                    <w:pStyle w:val="Normal"/>
                    <w:keepLines w:val="on"/>
                  </w:pPr>
                  <w:r>
                    <w:t>-0,13%</w:t>
                  </w:r>
                </w:p>
              </w:tc>
              <w:tc>
                <w:tcPr>
                  <w:tcW w:type="auto" w:w="0"/>
                  <w:shd w:val="clear" w:color="auto" w:fill="F0F0F0"/>
                </w:tcPr>
                <w:p>
                  <w:pPr>
                    <w:pStyle w:val="Normal"/>
                    <w:keepLines w:val="on"/>
                  </w:pPr>
                  <w:r>
                    <w:t>11.925 đô la</w:t>
                  </w:r>
                </w:p>
              </w:tc>
            </w:tr>
            <w:tr>
              <w:tc>
                <w:tcPr>
                  <w:tcW w:type="auto" w:w="0"/>
                  <w:shd w:val="clear" w:color="auto" w:fill="F0F0F0"/>
                </w:tcPr>
                <w:p>
                  <w:pPr>
                    <w:pStyle w:val="Para 02"/>
                    <w:keepLines w:val="on"/>
                  </w:pPr>
                  <w:r>
                    <w:t>Hàng không</w:t>
                  </w:r>
                </w:p>
              </w:tc>
              <w:tc>
                <w:tcPr>
                  <w:tcW w:type="auto" w:w="0"/>
                  <w:shd w:val="clear" w:color="auto" w:fill="F0F0F0"/>
                </w:tcPr>
                <w:p>
                  <w:pPr>
                    <w:pStyle w:val="Normal"/>
                    <w:keepLines w:val="on"/>
                  </w:pPr>
                  <w:r>
                    <w:t>27.375 đô la</w:t>
                  </w:r>
                </w:p>
              </w:tc>
              <w:tc>
                <w:tcPr>
                  <w:tcW w:type="auto" w:w="0"/>
                  <w:shd w:val="clear" w:color="auto" w:fill="F0F0F0"/>
                </w:tcPr>
                <w:p>
                  <w:pPr>
                    <w:pStyle w:val="Normal"/>
                    <w:keepLines w:val="on"/>
                  </w:pPr>
                  <w:r>
                    <w:t>22,09%</w:t>
                  </w:r>
                </w:p>
              </w:tc>
              <w:tc>
                <w:tcPr>
                  <w:tcW w:type="auto" w:w="0"/>
                  <w:shd w:val="clear" w:color="auto" w:fill="F0F0F0"/>
                </w:tcPr>
                <w:p>
                  <w:pPr>
                    <w:pStyle w:val="Normal"/>
                    <w:keepLines w:val="on"/>
                  </w:pPr>
                  <w:r>
                    <w:t>6,047 đô la</w:t>
                  </w:r>
                </w:p>
              </w:tc>
              <w:tc>
                <w:tcPr>
                  <w:tcW w:type="auto" w:w="0"/>
                  <w:shd w:val="clear" w:color="auto" w:fill="F0F0F0"/>
                </w:tcPr>
                <w:p>
                  <w:pPr>
                    <w:pStyle w:val="Normal"/>
                    <w:keepLines w:val="on"/>
                  </w:pPr>
                  <w:r>
                    <w:t>5.209 đô la</w:t>
                  </w:r>
                </w:p>
              </w:tc>
              <w:tc>
                <w:tcPr>
                  <w:tcW w:type="auto" w:w="0"/>
                  <w:shd w:val="clear" w:color="auto" w:fill="F0F0F0"/>
                </w:tcPr>
                <w:p>
                  <w:pPr>
                    <w:pStyle w:val="Normal"/>
                    <w:keepLines w:val="on"/>
                  </w:pPr>
                  <w:r>
                    <w:t>3.907 đô la</w:t>
                  </w:r>
                </w:p>
              </w:tc>
              <w:tc>
                <w:tcPr>
                  <w:tcW w:type="auto" w:w="0"/>
                  <w:shd w:val="clear" w:color="auto" w:fill="F0F0F0"/>
                </w:tcPr>
                <w:p>
                  <w:pPr>
                    <w:pStyle w:val="Normal"/>
                    <w:keepLines w:val="on"/>
                  </w:pPr>
                  <w:r>
                    <w:t>8,52%</w:t>
                  </w:r>
                </w:p>
              </w:tc>
              <w:tc>
                <w:tcPr>
                  <w:tcW w:type="auto" w:w="0"/>
                  <w:shd w:val="clear" w:color="auto" w:fill="F0F0F0"/>
                </w:tcPr>
                <w:p>
                  <w:pPr>
                    <w:pStyle w:val="Normal"/>
                    <w:keepLines w:val="on"/>
                  </w:pPr>
                  <w:r>
                    <w:t>20,27%</w:t>
                  </w:r>
                </w:p>
              </w:tc>
              <w:tc>
                <w:tcPr>
                  <w:tcW w:type="auto" w:w="0"/>
                  <w:shd w:val="clear" w:color="auto" w:fill="F0F0F0"/>
                </w:tcPr>
                <w:p>
                  <w:pPr>
                    <w:pStyle w:val="Normal"/>
                    <w:keepLines w:val="on"/>
                  </w:pPr>
                  <w:r>
                    <w:t>4,55</w:t>
                  </w:r>
                </w:p>
              </w:tc>
              <w:tc>
                <w:tcPr>
                  <w:tcW w:type="auto" w:w="0"/>
                  <w:shd w:val="clear" w:color="auto" w:fill="F0F0F0"/>
                </w:tcPr>
                <w:p>
                  <w:pPr>
                    <w:pStyle w:val="Normal"/>
                    <w:keepLines w:val="on"/>
                  </w:pPr>
                  <w:r>
                    <w:t>52.849 đô la</w:t>
                  </w:r>
                </w:p>
              </w:tc>
            </w:tr>
            <w:tr>
              <w:tc>
                <w:tcPr>
                  <w:tcW w:type="auto" w:w="0"/>
                  <w:shd w:val="clear" w:color="auto" w:fill="F0F0F0"/>
                </w:tcPr>
                <w:p>
                  <w:pPr>
                    <w:pStyle w:val="Para 02"/>
                    <w:keepLines w:val="on"/>
                  </w:pPr>
                  <w:r>
                    <w:t>Chăm sóc sức khỏe</w:t>
                  </w:r>
                </w:p>
              </w:tc>
              <w:tc>
                <w:tcPr>
                  <w:tcW w:type="auto" w:w="0"/>
                  <w:shd w:val="clear" w:color="auto" w:fill="F0F0F0"/>
                </w:tcPr>
                <w:p>
                  <w:pPr>
                    <w:pStyle w:val="Normal"/>
                    <w:keepLines w:val="on"/>
                  </w:pPr>
                  <w:r>
                    <w:t>19.116 đô la</w:t>
                  </w:r>
                </w:p>
              </w:tc>
              <w:tc>
                <w:tcPr>
                  <w:tcW w:type="auto" w:w="0"/>
                  <w:shd w:val="clear" w:color="auto" w:fill="F0F0F0"/>
                </w:tcPr>
                <w:p>
                  <w:pPr>
                    <w:pStyle w:val="Normal"/>
                    <w:keepLines w:val="on"/>
                  </w:pPr>
                  <w:r>
                    <w:t>17,01%</w:t>
                  </w:r>
                </w:p>
              </w:tc>
              <w:tc>
                <w:tcPr>
                  <w:tcW w:type="auto" w:w="0"/>
                  <w:shd w:val="clear" w:color="auto" w:fill="F0F0F0"/>
                </w:tcPr>
                <w:p>
                  <w:pPr>
                    <w:pStyle w:val="Normal"/>
                    <w:keepLines w:val="on"/>
                  </w:pPr>
                  <w:r>
                    <w:t>3.252 đô la</w:t>
                  </w:r>
                </w:p>
              </w:tc>
              <w:tc>
                <w:tcPr>
                  <w:tcW w:type="auto" w:w="0"/>
                  <w:shd w:val="clear" w:color="auto" w:fill="F0F0F0"/>
                </w:tcPr>
                <w:p>
                  <w:pPr>
                    <w:pStyle w:val="Normal"/>
                    <w:keepLines w:val="on"/>
                  </w:pPr>
                  <w:r>
                    <w:t>2.668 đô la</w:t>
                  </w:r>
                </w:p>
              </w:tc>
              <w:tc>
                <w:tcPr>
                  <w:tcW w:type="auto" w:w="0"/>
                  <w:shd w:val="clear" w:color="auto" w:fill="F0F0F0"/>
                </w:tcPr>
                <w:p>
                  <w:pPr>
                    <w:pStyle w:val="Normal"/>
                    <w:keepLines w:val="on"/>
                  </w:pPr>
                  <w:r>
                    <w:t>2.001 đô la</w:t>
                  </w:r>
                </w:p>
              </w:tc>
              <w:tc>
                <w:tcPr>
                  <w:tcW w:type="auto" w:w="0"/>
                  <w:shd w:val="clear" w:color="auto" w:fill="F0F0F0"/>
                </w:tcPr>
                <w:p>
                  <w:pPr>
                    <w:pStyle w:val="Normal"/>
                    <w:keepLines w:val="on"/>
                  </w:pPr>
                  <w:r>
                    <w:t>7,97%</w:t>
                  </w:r>
                </w:p>
              </w:tc>
              <w:tc>
                <w:tcPr>
                  <w:tcW w:type="auto" w:w="0"/>
                  <w:shd w:val="clear" w:color="auto" w:fill="F0F0F0"/>
                </w:tcPr>
                <w:p>
                  <w:pPr>
                    <w:pStyle w:val="Normal"/>
                    <w:keepLines w:val="on"/>
                  </w:pPr>
                  <w:r>
                    <w:t>15,07%</w:t>
                  </w:r>
                </w:p>
              </w:tc>
              <w:tc>
                <w:tcPr>
                  <w:tcW w:type="auto" w:w="0"/>
                  <w:shd w:val="clear" w:color="auto" w:fill="F0F0F0"/>
                </w:tcPr>
                <w:p>
                  <w:pPr>
                    <w:pStyle w:val="Normal"/>
                    <w:keepLines w:val="on"/>
                  </w:pPr>
                  <w:r>
                    <w:t>0,99%</w:t>
                  </w:r>
                </w:p>
              </w:tc>
              <w:tc>
                <w:tcPr>
                  <w:tcW w:type="auto" w:w="0"/>
                  <w:shd w:val="clear" w:color="auto" w:fill="F0F0F0"/>
                </w:tcPr>
                <w:p>
                  <w:pPr>
                    <w:pStyle w:val="Normal"/>
                    <w:keepLines w:val="on"/>
                  </w:pPr>
                  <w:r>
                    <w:t>26.234 đô la</w:t>
                  </w:r>
                </w:p>
              </w:tc>
            </w:tr>
            <w:tr>
              <w:tc>
                <w:tcPr>
                  <w:tcW w:type="auto" w:w="0"/>
                  <w:shd w:val="clear" w:color="auto" w:fill="F0F0F0"/>
                </w:tcPr>
                <w:p>
                  <w:pPr>
                    <w:pStyle w:val="Para 02"/>
                    <w:keepLines w:val="on"/>
                  </w:pPr>
                  <w:r>
                    <w:t>Vận chuyển</w:t>
                  </w:r>
                </w:p>
              </w:tc>
              <w:tc>
                <w:tcPr>
                  <w:tcW w:type="auto" w:w="0"/>
                  <w:shd w:val="clear" w:color="auto" w:fill="F0F0F0"/>
                </w:tcPr>
                <w:p>
                  <w:pPr>
                    <w:pStyle w:val="Normal"/>
                    <w:keepLines w:val="on"/>
                  </w:pPr>
                  <w:r>
                    <w:t>4.178 đô la</w:t>
                  </w:r>
                </w:p>
              </w:tc>
              <w:tc>
                <w:tcPr>
                  <w:tcW w:type="auto" w:w="0"/>
                  <w:shd w:val="clear" w:color="auto" w:fill="F0F0F0"/>
                </w:tcPr>
                <w:p>
                  <w:pPr>
                    <w:pStyle w:val="Normal"/>
                    <w:keepLines w:val="on"/>
                  </w:pPr>
                  <w:r>
                    <w:t>20,71</w:t>
                  </w:r>
                </w:p>
              </w:tc>
              <w:tc>
                <w:tcPr>
                  <w:tcW w:type="auto" w:w="0"/>
                  <w:shd w:val="clear" w:color="auto" w:fill="F0F0F0"/>
                </w:tcPr>
                <w:p>
                  <w:pPr>
                    <w:pStyle w:val="Normal"/>
                    <w:keepLines w:val="on"/>
                  </w:pPr>
                  <w:r>
                    <w:t>865 đô la</w:t>
                  </w:r>
                </w:p>
              </w:tc>
              <w:tc>
                <w:tcPr>
                  <w:tcW w:type="auto" w:w="0"/>
                  <w:shd w:val="clear" w:color="auto" w:fill="F0F0F0"/>
                </w:tcPr>
                <w:p>
                  <w:pPr>
                    <w:pStyle w:val="Normal"/>
                    <w:keepLines w:val="on"/>
                  </w:pPr>
                  <w:r>
                    <w:t>737 đô la</w:t>
                  </w:r>
                </w:p>
              </w:tc>
              <w:tc>
                <w:tcPr>
                  <w:tcW w:type="auto" w:w="0"/>
                  <w:shd w:val="clear" w:color="auto" w:fill="F0F0F0"/>
                </w:tcPr>
                <w:p>
                  <w:pPr>
                    <w:pStyle w:val="Normal"/>
                    <w:keepLines w:val="on"/>
                  </w:pPr>
                  <w:r>
                    <w:t>553 đô la</w:t>
                  </w:r>
                </w:p>
              </w:tc>
              <w:tc>
                <w:tcPr>
                  <w:tcW w:type="auto" w:w="0"/>
                  <w:shd w:val="clear" w:color="auto" w:fill="F0F0F0"/>
                </w:tcPr>
                <w:p>
                  <w:pPr>
                    <w:pStyle w:val="Normal"/>
                    <w:keepLines w:val="on"/>
                  </w:pPr>
                  <w:r>
                    <w:t>7,49%</w:t>
                  </w:r>
                </w:p>
              </w:tc>
              <w:tc>
                <w:tcPr>
                  <w:tcW w:type="auto" w:w="0"/>
                  <w:shd w:val="clear" w:color="auto" w:fill="F0F0F0"/>
                </w:tcPr>
                <w:p>
                  <w:pPr>
                    <w:pStyle w:val="Normal"/>
                    <w:keepLines w:val="on"/>
                  </w:pPr>
                  <w:r>
                    <w:t>26,67%</w:t>
                  </w:r>
                </w:p>
              </w:tc>
              <w:tc>
                <w:tcPr>
                  <w:tcW w:type="auto" w:w="0"/>
                  <w:shd w:val="clear" w:color="auto" w:fill="F0F0F0"/>
                </w:tcPr>
                <w:p>
                  <w:pPr>
                    <w:pStyle w:val="Normal"/>
                    <w:keepLines w:val="on"/>
                  </w:pPr>
                  <w:r>
                    <w:t>-6,62%</w:t>
                  </w:r>
                </w:p>
              </w:tc>
              <w:tc>
                <w:tcPr>
                  <w:tcW w:type="auto" w:w="0"/>
                  <w:shd w:val="clear" w:color="auto" w:fill="F0F0F0"/>
                </w:tcPr>
                <w:p>
                  <w:pPr>
                    <w:pStyle w:val="Normal"/>
                    <w:keepLines w:val="on"/>
                  </w:pPr>
                  <w:r>
                    <w:t>6.075 đô la</w:t>
                  </w:r>
                </w:p>
              </w:tc>
            </w:tr>
            <w:tr>
              <w:tc>
                <w:tcPr>
                  <w:tcW w:type="auto" w:w="0"/>
                  <w:shd w:val="clear" w:color="auto" w:fill="F0F0F0"/>
                </w:tcPr>
                <w:p>
                  <w:pPr>
                    <w:pStyle w:val="Para 02"/>
                    <w:keepLines w:val="on"/>
                  </w:pPr>
                  <w:r>
                    <w:t>Chiếu sáng</w:t>
                  </w:r>
                </w:p>
              </w:tc>
              <w:tc>
                <w:tcPr>
                  <w:tcW w:type="auto" w:w="0"/>
                  <w:shd w:val="clear" w:color="auto" w:fill="F0F0F0"/>
                </w:tcPr>
                <w:p>
                  <w:pPr>
                    <w:pStyle w:val="Normal"/>
                    <w:keepLines w:val="on"/>
                  </w:pPr>
                  <w:r>
                    <w:t>1.987 đô la</w:t>
                  </w:r>
                </w:p>
              </w:tc>
              <w:tc>
                <w:tcPr>
                  <w:tcW w:type="auto" w:w="0"/>
                  <w:shd w:val="clear" w:color="auto" w:fill="F0F0F0"/>
                </w:tcPr>
                <w:p>
                  <w:pPr>
                    <w:pStyle w:val="Normal"/>
                    <w:keepLines w:val="on"/>
                  </w:pPr>
                  <w:r>
                    <w:t>5,24%</w:t>
                  </w:r>
                </w:p>
              </w:tc>
              <w:tc>
                <w:tcPr>
                  <w:tcW w:type="auto" w:w="0"/>
                  <w:shd w:val="clear" w:color="auto" w:fill="F0F0F0"/>
                </w:tcPr>
                <w:p>
                  <w:pPr>
                    <w:pStyle w:val="Normal"/>
                    <w:keepLines w:val="on"/>
                  </w:pPr>
                  <w:r>
                    <w:t>104 đô la</w:t>
                  </w:r>
                </w:p>
              </w:tc>
              <w:tc>
                <w:tcPr>
                  <w:tcW w:type="auto" w:w="0"/>
                  <w:shd w:val="clear" w:color="auto" w:fill="F0F0F0"/>
                </w:tcPr>
                <w:p>
                  <w:pPr>
                    <w:pStyle w:val="Normal"/>
                    <w:keepLines w:val="on"/>
                  </w:pPr>
                  <w:r>
                    <w:t>43 đô la</w:t>
                  </w:r>
                </w:p>
              </w:tc>
              <w:tc>
                <w:tcPr>
                  <w:tcW w:type="auto" w:w="0"/>
                  <w:shd w:val="clear" w:color="auto" w:fill="F0F0F0"/>
                </w:tcPr>
                <w:p>
                  <w:pPr>
                    <w:pStyle w:val="Normal"/>
                    <w:keepLines w:val="on"/>
                  </w:pPr>
                  <w:r>
                    <w:t>32 đô la</w:t>
                  </w:r>
                </w:p>
              </w:tc>
              <w:tc>
                <w:tcPr>
                  <w:tcW w:type="auto" w:w="0"/>
                  <w:shd w:val="clear" w:color="auto" w:fill="F0F0F0"/>
                </w:tcPr>
                <w:p>
                  <w:pPr>
                    <w:pStyle w:val="Normal"/>
                    <w:keepLines w:val="on"/>
                  </w:pPr>
                  <w:r>
                    <w:t>8,50%</w:t>
                  </w:r>
                </w:p>
              </w:tc>
              <w:tc>
                <w:tcPr>
                  <w:tcW w:type="auto" w:w="0"/>
                  <w:shd w:val="clear" w:color="auto" w:fill="F0F0F0"/>
                </w:tcPr>
                <w:p>
                  <w:pPr>
                    <w:pStyle w:val="Normal"/>
                    <w:keepLines w:val="on"/>
                  </w:pPr>
                  <w:r>
                    <w:t>9,66%</w:t>
                  </w:r>
                </w:p>
              </w:tc>
              <w:tc>
                <w:tcPr>
                  <w:tcW w:type="auto" w:w="0"/>
                  <w:shd w:val="clear" w:color="auto" w:fill="F0F0F0"/>
                </w:tcPr>
                <w:p>
                  <w:pPr>
                    <w:pStyle w:val="Normal"/>
                    <w:keepLines w:val="on"/>
                  </w:pPr>
                  <w:r>
                    <w:t>-24,94%</w:t>
                  </w:r>
                </w:p>
              </w:tc>
              <w:tc>
                <w:tcPr>
                  <w:tcW w:type="auto" w:w="0"/>
                  <w:shd w:val="clear" w:color="auto" w:fill="F0F0F0"/>
                </w:tcPr>
                <w:p>
                  <w:pPr>
                    <w:pStyle w:val="Normal"/>
                    <w:keepLines w:val="on"/>
                  </w:pPr>
                  <w:r>
                    <w:t>280 đô la</w:t>
                  </w:r>
                </w:p>
              </w:tc>
            </w:tr>
            <w:tr>
              <w:tc>
                <w:tcPr>
                  <w:tcW w:type="auto" w:w="0"/>
                  <w:shd w:val="clear" w:color="auto" w:fill="F0F0F0"/>
                </w:tcPr>
                <w:p>
                  <w:pPr>
                    <w:pStyle w:val="Para 02"/>
                    <w:keepLines w:val="on"/>
                  </w:pPr>
                  <w:r>
                    <w:t>Tổng (không bao gồm vốn)</w:t>
                  </w:r>
                </w:p>
              </w:tc>
              <w:tc>
                <w:tcPr>
                  <w:tcW w:type="auto" w:w="0"/>
                  <w:shd w:val="clear" w:color="auto" w:fill="F0F0F0"/>
                </w:tcPr>
                <w:p>
                  <w:pPr>
                    <w:pStyle w:val="Normal"/>
                    <w:keepLines w:val="on"/>
                  </w:pPr>
                  <w:r>
                    <w:t>116.157 đô la</w:t>
                  </w:r>
                </w:p>
              </w:tc>
              <w:tc>
                <w:tcPr>
                  <w:tcW w:type="auto" w:w="0"/>
                  <w:shd w:val="clear" w:color="auto" w:fill="F0F0F0"/>
                </w:tcPr>
                <w:p>
                  <w:pPr>
                    <w:pStyle w:val="Normal"/>
                    <w:keepLines w:val="on"/>
                  </w:pPr>
                  <w:r>
                    <w:t>15,35%</w:t>
                  </w:r>
                </w:p>
              </w:tc>
              <w:tc>
                <w:tcPr>
                  <w:tcW w:type="auto" w:w="0"/>
                  <w:shd w:val="clear" w:color="auto" w:fill="F0F0F0"/>
                </w:tcPr>
                <w:p>
                  <w:pPr>
                    <w:pStyle w:val="Normal"/>
                    <w:keepLines w:val="on"/>
                  </w:pPr>
                  <w:r>
                    <w:t>17.830 đô la</w:t>
                  </w:r>
                </w:p>
              </w:tc>
              <w:tc>
                <w:tcPr>
                  <w:tcW w:type="auto" w:w="0"/>
                  <w:shd w:val="clear" w:color="auto" w:fill="F0F0F0"/>
                </w:tcPr>
                <w:p>
                  <w:pPr>
                    <w:pStyle w:val="Normal"/>
                    <w:keepLines w:val="on"/>
                  </w:pPr>
                  <w:r>
                    <w:t>17.552 đô la</w:t>
                  </w:r>
                </w:p>
              </w:tc>
              <w:tc>
                <w:tcPr>
                  <w:tcW w:type="auto" w:w="0"/>
                  <w:shd w:val="clear" w:color="auto" w:fill="F0F0F0"/>
                </w:tcPr>
                <w:p>
                  <w:pPr>
                    <w:pStyle w:val="Normal"/>
                    <w:keepLines w:val="on"/>
                  </w:pPr>
                  <w:r>
                    <w:t>13.164 đô la</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176.958 đô la</w:t>
                  </w:r>
                </w:p>
              </w:tc>
            </w:tr>
            <w:tr>
              <w:tc>
                <w:tcPr>
                  <w:tcW w:type="auto" w:w="0"/>
                  <w:shd w:val="clear" w:color="auto" w:fill="F0F0F0"/>
                </w:tcPr>
                <w:p>
                  <w:pPr>
                    <w:pStyle w:val="Para 02"/>
                    <w:keepLines w:val="on"/>
                  </w:pPr>
                  <w:r>
                    <w:t>GE Capital</w:t>
                  </w:r>
                </w:p>
              </w:tc>
              <w:tc>
                <w:tcPr>
                  <w:tcW w:type="auto" w:w="0"/>
                  <w:shd w:val="clear" w:color="auto" w:fill="F0F0F0"/>
                </w:tcPr>
                <w:p>
                  <w:pPr>
                    <w:pStyle w:val="Normal"/>
                    <w:keepLines w:val="on"/>
                  </w:pPr>
                  <w:r>
                    <w:t>9.070 đô la</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272 đô la</w:t>
                  </w:r>
                </w:p>
              </w:tc>
              <w:tc>
                <w:tcPr>
                  <w:tcW w:type="auto" w:w="0"/>
                  <w:shd w:val="clear" w:color="auto" w:fill="F0F0F0"/>
                </w:tcPr>
                <w:p>
                  <w:pPr>
                    <w:pStyle w:val="Normal"/>
                    <w:keepLines w:val="on"/>
                  </w:pPr>
                  <w:r>
                    <w:t>-6 đô la</w:t>
                  </w:r>
                </w:p>
              </w:tc>
              <w:tc>
                <w:tcPr>
                  <w:tcW w:type="auto" w:w="0"/>
                  <w:shd w:val="clear" w:color="auto" w:fill="F0F0F0"/>
                </w:tcPr>
                <w:p>
                  <w:pPr>
                    <w:pStyle w:val="Normal"/>
                    <w:keepLines w:val="on"/>
                  </w:pPr>
                  <w:r>
                    <w:t>-4 đô la</w:t>
                  </w:r>
                </w:p>
              </w:tc>
              <w:tc>
                <w:tcPr>
                  <w:tcW w:type="auto" w:w="0"/>
                  <w:shd w:val="clear" w:color="auto" w:fill="F0F0F0"/>
                </w:tcPr>
                <w:p>
                  <w:pPr>
                    <w:pStyle w:val="Normal"/>
                    <w:keepLines w:val="on"/>
                  </w:pPr>
                  <w:r>
                    <w:t>6,23%</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-4,25%</w:t>
                  </w:r>
                </w:p>
              </w:tc>
              <w:tc>
                <w:tcPr>
                  <w:tcW w:type="auto" w:w="0"/>
                  <w:shd w:val="clear" w:color="auto" w:fill="F0F0F0"/>
                </w:tcPr>
                <w:p>
                  <w:pPr>
                    <w:pStyle w:val="Normal"/>
                    <w:keepLines w:val="on"/>
                  </w:pPr>
                  <w:r>
                    <w:t>27.081 đô la</w:t>
                  </w:r>
                </w:p>
              </w:tc>
            </w:tr>
            <w:tr>
              <w:tc>
                <w:tcPr>
                  <w:tcW w:type="auto" w:w="0"/>
                  <w:shd w:val="clear" w:color="auto" w:fill="F0F0F0"/>
                </w:tcPr>
                <w:p>
                  <w:pPr>
                    <w:pStyle w:val="Para 02"/>
                    <w:keepLines w:val="on"/>
                  </w:pPr>
                  <w:r>
                    <w:t>Giá trị các doanh nghiệp</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204.039 đô la</w:t>
                  </w:r>
                </w:p>
              </w:tc>
            </w:tr>
            <w:tr>
              <w:tc>
                <w:tcPr>
                  <w:tcW w:type="auto" w:w="0"/>
                  <w:shd w:val="clear" w:color="auto" w:fill="F0F0F0"/>
                </w:tcPr>
                <w:p>
                  <w:pPr>
                    <w:pStyle w:val="Para 02"/>
                    <w:keepLines w:val="on"/>
                  </w:pPr>
                  <w:r>
                    <w:t>-Nợ</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83.568 đô la</w:t>
                  </w:r>
                </w:p>
              </w:tc>
            </w:tr>
            <w:tr>
              <w:tc>
                <w:tcPr>
                  <w:tcW w:type="auto" w:w="0"/>
                  <w:shd w:val="clear" w:color="auto" w:fill="F0F0F0"/>
                </w:tcPr>
                <w:p>
                  <w:pPr>
                    <w:pStyle w:val="Para 02"/>
                    <w:keepLines w:val="on"/>
                  </w:pPr>
                  <w:r>
                    <w:t>-Nợ của GE Capital</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51.023 đô la</w:t>
                  </w:r>
                </w:p>
              </w:tc>
            </w:tr>
            <w:tr>
              <w:tc>
                <w:tcPr>
                  <w:tcW w:type="auto" w:w="0"/>
                  <w:shd w:val="clear" w:color="auto" w:fill="F0F0F0"/>
                </w:tcPr>
                <w:p>
                  <w:pPr>
                    <w:pStyle w:val="Para 02"/>
                    <w:keepLines w:val="on"/>
                  </w:pPr>
                  <w:r>
                    <w:t>-Lợi ích cổ đông thiểu số</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17.723 đô la</w:t>
                  </w:r>
                </w:p>
              </w:tc>
            </w:tr>
            <w:tr>
              <w:tc>
                <w:tcPr>
                  <w:tcW w:type="auto" w:w="0"/>
                  <w:shd w:val="clear" w:color="auto" w:fill="F0F0F0"/>
                </w:tcPr>
                <w:p>
                  <w:pPr>
                    <w:pStyle w:val="Para 02"/>
                    <w:keepLines w:val="on"/>
                  </w:pPr>
                  <w:r>
                    <w:t>+Tiền mặt</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43.299 đô la</w:t>
                  </w:r>
                </w:p>
              </w:tc>
            </w:tr>
            <w:tr>
              <w:tc>
                <w:tcPr>
                  <w:tcW w:type="auto" w:w="0"/>
                  <w:shd w:val="clear" w:color="auto" w:fill="F0F0F0"/>
                </w:tcPr>
                <w:p>
                  <w:pPr>
                    <w:pStyle w:val="Para 02"/>
                    <w:keepLines w:val="on"/>
                  </w:pPr>
                  <w:r>
                    <w:t>Giá trị vốn chủ sở hữu</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$95,024</w:t>
                  </w:r>
                </w:p>
              </w:tc>
            </w:tr>
            <w:tr>
              <w:tc>
                <w:tcPr>
                  <w:tcW w:type="auto" w:w="0"/>
                  <w:shd w:val="clear" w:color="auto" w:fill="F0F0F0"/>
                </w:tcPr>
                <w:p>
                  <w:pPr>
                    <w:pStyle w:val="Para 02"/>
                    <w:keepLines w:val="on"/>
                  </w:pPr>
                  <w:r>
                    <w:t>-Quyền chọn cho nhân viên</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$218.94</w:t>
                  </w:r>
                </w:p>
              </w:tc>
            </w:tr>
            <w:tr>
              <w:tc>
                <w:tcPr>
                  <w:tcW w:type="auto" w:w="0"/>
                  <w:shd w:val="clear" w:color="auto" w:fill="F0F0F0"/>
                </w:tcPr>
                <w:p>
                  <w:pPr>
                    <w:pStyle w:val="Para 02"/>
                    <w:keepLines w:val="on"/>
                  </w:pPr>
                  <w:r>
                    <w:t>Giá trị vốn chủ sở hữu của cổ phiếu phổ thông</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$94,804.65</w:t>
                  </w:r>
                </w:p>
              </w:tc>
            </w:tr>
            <w:tr>
              <w:tc>
                <w:tcPr>
                  <w:tcW w:type="auto" w:w="0"/>
                  <w:shd w:val="clear" w:color="auto" w:fill="F0F0F0"/>
                </w:tcPr>
                <w:p>
                  <w:pPr>
                    <w:pStyle w:val="Para 02"/>
                    <w:keepLines w:val="on"/>
                  </w:pPr>
                  <w:r>
                    <w:t>Giá trị trên mỗi cổ phần</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$10.92</w:t>
                  </w:r>
                </w:p>
              </w:tc>
            </w:tr>
          </w:tbl>
          <w:p/>
        </w:tc>
      </w:tr>
    </w:tbl>
    <w:p>
      <w:pPr>
        <w:pStyle w:val="Para 04"/>
        <w:keepLines w:val="on"/>
      </w:pPr>
      <w:r>
        <w:t>Lưu ý rằng chúng tôi đã chuẩn hóa thu nhập cho từng mảng kinh doanh của GE, sử dụng biên lợi nhuận hoạt động bình quân trong năm năm trước đó, đánh giá chi phí vốn và dòng tiền kỳ vọng cho từng mảng kinh doanh, rồi ước tính giá trị. Chúng tôi phân bổ tổng chi phí quản lý và hành chính (G&amp;A) của GE cho các bộ phận, dựa trên doanh thu. Vào thời điểm định giá này, cổ phiếu GE đang giao dịch ở mức khoảng $8 một cổ phần.</w:t>
      </w:r>
    </w:p>
    <w:p>
      <w:bookmarkStart w:id="3040" w:name="Effect_of_Leverage_on_Firm_Value"/>
      <w:bookmarkStart w:id="3041" w:name="Effect_of_Leverage_on_Firm_Value_1"/>
      <w:pPr>
        <w:keepNext/>
        <w:pStyle w:val="Heading 2"/>
        <w:keepLines w:val="on"/>
      </w:pPr>
      <w:r>
        <w:t>Ảnh hưởng của đòn bẩy lên giá trị doanh nghiệp</w:t>
      </w:r>
      <w:bookmarkEnd w:id="3040"/>
      <w:bookmarkEnd w:id="3041"/>
    </w:p>
    <w:p>
      <w:pPr>
        <w:pStyle w:val="Para 03"/>
      </w:pPr>
      <w:r>
        <w:t>Cả phương pháp chi phí vốn lẫn phương pháp APV đều khiến giá trị của một doanh nghiệp trở thành một hàm số của đòn bẩy của nó. Từ đó suy ra trực tiếp rằng tồn tại một tỷ lệ pha trộn giữa nợ và vốn chủ sở hữu nào đó mà tại đó giá trị doanh nghiệp đạt mức tối đa. Phần còn lại của chương này sẽ xem xét cách tốt nhất để tạo ra mối liên hệ này.</w:t>
      </w:r>
    </w:p>
    <w:p>
      <w:bookmarkStart w:id="3042" w:name="Cost_of_Capital_and_Optimal_Leve"/>
      <w:bookmarkStart w:id="3043" w:name="Cost_of_Capital_and_Optimal_Leve_1"/>
      <w:pPr>
        <w:keepNext/>
        <w:pStyle w:val="Heading 3"/>
        <w:keepLines w:val="on"/>
      </w:pPr>
      <w:r>
        <w:t>Chi phí vốn và đòn bẩy tối ưu</w:t>
      </w:r>
      <w:bookmarkEnd w:id="3042"/>
      <w:bookmarkEnd w:id="3043"/>
    </w:p>
    <w:p>
      <w:pPr>
        <w:pStyle w:val="Para 03"/>
      </w:pPr>
      <w:r>
        <w:t>Để hiểu mối quan hệ giữa chi phí vốn và cấu trúc vốn tối ưu, chúng ta dựa vào mối quan hệ giữa giá trị doanh nghiệp và chi phí vốn. Phần trước đã lưu ý rằng giá trị của toàn bộ doanh nghiệp có thể được ước tính bằng cách chiết khấu dòng tiền kỳ vọng của doanh nghiệp theo chi phí vốn của doanh nghiệp.</w:t>
      </w:r>
    </w:p>
    <w:p>
      <w:pPr>
        <w:pStyle w:val="Para 03"/>
      </w:pPr>
      <w:r>
        <w:t>Khi đó giá trị doanh nghiệp có thể được viết như sau:</w:t>
      </w:r>
    </w:p>
    <w:p>
      <w:bookmarkStart w:id="3044" w:name="Value_of_operating_assets____t_1_1"/>
      <w:pPr>
        <w:keepNext/>
        <w:pStyle w:val="Para 09"/>
        <w:keepLines w:val="on"/>
      </w:pPr>
      <w:r>
        <w:t>Giá trị tài sản hoạt động=∑t=1t=∞FCFFt(1+kc)t</w:t>
      </w:r>
      <w:bookmarkEnd w:id="3044"/>
    </w:p>
    <w:p>
      <w:pPr>
        <w:pStyle w:val="Para 03"/>
      </w:pPr>
      <w:r>
        <w:t>và là một hàm số của dòng tiền doanh nghiệp cùng chi phí vốn của nó. Nếu chúng ta giả định rằng dòng tiền của doanh nghiệp không bị ảnh hưởng bởi lựa chọn cơ cấu tài trợ, và chi phí vốn giảm xuống nhờ thay đổi cơ cấu tài trợ, thì giá trị doanh nghiệp sẽ tăng lên. Nếu mục tiêu khi lựa chọn cơ cấu tài trợ cho doanh nghiệp là tối đa hóa giá trị doanh nghiệp, thì trong trường hợp này chúng ta có thể đạt được điều đó bằng cách tối thiểu hóa chi phí vốn. Trong trường hợp tổng quát hơn, khi dòng tiền của doanh nghiệp là một hàm số của tỷ lệ nợ-vốn chủ sở hữu, thì cơ cấu tài trợ tối ưu chính là cơ cấu tối đa hóa giá trị doanh nghiệp.12</w:t>
      </w:r>
    </w:p>
    <w:p>
      <w:pPr>
        <w:pStyle w:val="Para 11"/>
      </w:pPr>
      <w:r>
        <w:t xml:space="preserve"> </w:t>
      </w:r>
    </w:p>
    <w:p>
      <w:bookmarkStart w:id="3047" w:name="ILLUSTRATION_15_6__WACC__Firm_Va"/>
      <w:bookmarkStart w:id="3048" w:name="ILLUSTRATION_15_6__WACC__Firm_Va_1"/>
      <w:pPr>
        <w:keepNext/>
        <w:pStyle w:val="Para 19"/>
        <w:keepLines w:val="on"/>
      </w:pPr>
      <w:r>
        <w:t>MINH HỌA 15.6: WACC, giá trị doanh nghiệp và đòn bẩy</w:t>
      </w:r>
      <w:bookmarkEnd w:id="3047"/>
      <w:bookmarkEnd w:id="3048"/>
    </w:p>
    <w:p>
      <w:pPr>
        <w:pStyle w:val="Para 04"/>
        <w:keepLines w:val="on"/>
      </w:pPr>
      <w:r>
        <w:t>Giả sử bạn được cho biết chi phí vốn chủ sở hữu và chi phí nợ ở các mức nợ khác nhau của Strunks Inc., một nhà sản xuất hàng đầu về sô-cô-la và các loại kẹo khác, và rằng dòng tiền tự do của doanh nghiệp này hiện đang là $200 triệu. Strunks đang ở trong một thị trường tương đối ổn định, và những dòng tiền này được kỳ vọng sẽ tăng trưởng 3% mãi mãi và không bị ảnh hưởng bởi tỷ lệ nợ của doanh nghiệp. Lịch trình chi phí vốn được cung cấp trong Bảng 15.11, cùng với giá trị doanh nghiệp ở mỗi mức nợ.</w:t>
      </w:r>
    </w:p>
    <w:p>
      <w:pPr>
        <w:pStyle w:val="Para 25"/>
        <w:keepLines w:val="on"/>
      </w:pPr>
      <w:r>
        <w:t>Bảng 15.11</w:t>
      </w:r>
    </w:p>
    <w:p>
      <w:pPr>
        <w:keepNext/>
        <w:pStyle w:val="Para 24"/>
        <w:keepLines w:val="on"/>
      </w:pPr>
      <w:r>
        <w:t>Chi phí vốn và giá trị doanh nghiệp, theo tỷ lệ nợ</w:t>
      </w:r>
    </w:p>
    <w:tbl>
      <w:tblPr>
        <w:tblW w:type="auto" w:w="0"/>
      </w:tblPr>
      <w:tr>
        <w:tc>
          <w:tcPr>
            <w:tcW w:type="auto" w:w="0"/>
          </w:tcPr>
          <w:tbl>
            <w:tblPr>
              <w:tblW w:type="auto" w:w="0"/>
            </w:tblPr>
            <w:tr>
              <w:tc>
                <w:tcPr>
                  <w:tcW w:type="auto" w:w="0"/>
                  <w:shd w:val="clear" w:color="auto" w:fill="F0F0F0"/>
                </w:tcPr>
                <w:p>
                  <w:pPr>
                    <w:pStyle w:val="Para 05"/>
                    <w:keepLines w:val="on"/>
                  </w:pPr>
                  <w:r>
                    <w:t>D/(D + E)</w:t>
                  </w:r>
                </w:p>
              </w:tc>
              <w:tc>
                <w:tcPr>
                  <w:tcW w:type="auto" w:w="0"/>
                  <w:shd w:val="clear" w:color="auto" w:fill="F0F0F0"/>
                </w:tcPr>
                <w:p>
                  <w:pPr>
                    <w:pStyle w:val="Para 05"/>
                    <w:keepLines w:val="on"/>
                  </w:pPr>
                  <w:r>
                    <w:t>Chi phí vốn chủ sở hữu</w:t>
                  </w:r>
                </w:p>
              </w:tc>
              <w:tc>
                <w:tcPr>
                  <w:tcW w:type="auto" w:w="0"/>
                  <w:shd w:val="clear" w:color="auto" w:fill="F0F0F0"/>
                </w:tcPr>
                <w:p>
                  <w:pPr>
                    <w:pStyle w:val="Para 05"/>
                    <w:keepLines w:val="on"/>
                  </w:pPr>
                  <w:r>
                    <w:t>Chi phí nợ sau thuế</w:t>
                  </w:r>
                </w:p>
              </w:tc>
              <w:tc>
                <w:tcPr>
                  <w:tcW w:type="auto" w:w="0"/>
                  <w:shd w:val="clear" w:color="auto" w:fill="F0F0F0"/>
                </w:tcPr>
                <w:p>
                  <w:pPr>
                    <w:pStyle w:val="Para 05"/>
                    <w:keepLines w:val="on"/>
                  </w:pPr>
                  <w:r>
                    <w:t>Chi phí vốn</w:t>
                  </w:r>
                </w:p>
              </w:tc>
              <w:tc>
                <w:tcPr>
                  <w:tcW w:type="auto" w:w="0"/>
                  <w:shd w:val="clear" w:color="auto" w:fill="F0F0F0"/>
                </w:tcPr>
                <w:p>
                  <w:pPr>
                    <w:pStyle w:val="Para 05"/>
                    <w:keepLines w:val="on"/>
                  </w:pPr>
                  <w:r>
                    <w:t>Giá trị doanh nghiệp</w:t>
                  </w:r>
                </w:p>
              </w:tc>
            </w:tr>
            <w:tr>
              <w:tc>
                <w:tcPr>
                  <w:tcW w:type="auto" w:w="0"/>
                  <w:shd w:val="clear" w:color="auto" w:fill="F0F0F0"/>
                </w:tcPr>
                <w:p>
                  <w:pPr>
                    <w:pStyle w:val="Normal"/>
                    <w:keepLines w:val="on"/>
                  </w:pPr>
                  <w:r>
                    <w:t>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4,80%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2.747 đô la</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5,10%</w:t>
                  </w:r>
                </w:p>
              </w:tc>
              <w:tc>
                <w:tcPr>
                  <w:tcW w:type="auto" w:w="0"/>
                  <w:shd w:val="clear" w:color="auto" w:fill="F0F0F0"/>
                </w:tcPr>
                <w:p>
                  <w:pPr>
                    <w:pStyle w:val="Normal"/>
                    <w:keepLines w:val="on"/>
                  </w:pPr>
                  <w:r>
                    <w:t>10,41%</w:t>
                  </w:r>
                </w:p>
              </w:tc>
              <w:tc>
                <w:tcPr>
                  <w:tcW w:type="auto" w:w="0"/>
                  <w:shd w:val="clear" w:color="auto" w:fill="F0F0F0"/>
                </w:tcPr>
                <w:p>
                  <w:pPr>
                    <w:pStyle w:val="Normal"/>
                    <w:keepLines w:val="on"/>
                  </w:pPr>
                  <w:r>
                    <w:t>2.780 đô la</w:t>
                  </w:r>
                </w:p>
              </w:tc>
            </w:tr>
            <w:tr>
              <w:tc>
                <w:tcPr>
                  <w:tcW w:type="auto" w:w="0"/>
                  <w:shd w:val="clear" w:color="auto" w:fill="F0F0F0"/>
                </w:tcPr>
                <w:p>
                  <w:pPr>
                    <w:pStyle w:val="Normal"/>
                    <w:keepLines w:val="on"/>
                  </w:pPr>
                  <w:r>
                    <w:t>20%</w:t>
                  </w:r>
                </w:p>
              </w:tc>
              <w:tc>
                <w:tcPr>
                  <w:tcW w:type="auto" w:w="0"/>
                  <w:shd w:val="clear" w:color="auto" w:fill="F0F0F0"/>
                </w:tcPr>
                <w:p>
                  <w:pPr>
                    <w:pStyle w:val="Normal"/>
                    <w:keepLines w:val="on"/>
                  </w:pPr>
                  <w:r>
                    <w:t>11,60%</w:t>
                  </w:r>
                </w:p>
              </w:tc>
              <w:tc>
                <w:tcPr>
                  <w:tcW w:type="auto" w:w="0"/>
                  <w:shd w:val="clear" w:color="auto" w:fill="F0F0F0"/>
                </w:tcPr>
                <w:p>
                  <w:pPr>
                    <w:pStyle w:val="Normal"/>
                    <w:keepLines w:val="on"/>
                  </w:pPr>
                  <w:r>
                    <w:t>5,40%</w:t>
                  </w:r>
                </w:p>
              </w:tc>
              <w:tc>
                <w:tcPr>
                  <w:tcW w:type="auto" w:w="0"/>
                  <w:shd w:val="clear" w:color="auto" w:fill="F0F0F0"/>
                </w:tcPr>
                <w:p>
                  <w:pPr>
                    <w:pStyle w:val="Normal"/>
                    <w:keepLines w:val="on"/>
                  </w:pPr>
                  <w:r>
                    <w:t>10,36%</w:t>
                  </w:r>
                </w:p>
              </w:tc>
              <w:tc>
                <w:tcPr>
                  <w:tcW w:type="auto" w:w="0"/>
                  <w:shd w:val="clear" w:color="auto" w:fill="F0F0F0"/>
                </w:tcPr>
                <w:p>
                  <w:pPr>
                    <w:pStyle w:val="Normal"/>
                    <w:keepLines w:val="on"/>
                  </w:pPr>
                  <w:r>
                    <w:t>2.799 đô la</w:t>
                  </w:r>
                </w:p>
              </w:tc>
            </w:tr>
            <w:tr>
              <w:tc>
                <w:tcPr>
                  <w:tcW w:type="auto" w:w="0"/>
                  <w:shd w:val="clear" w:color="auto" w:fill="F0F0F0"/>
                </w:tcPr>
                <w:p>
                  <w:pPr>
                    <w:pStyle w:val="Normal"/>
                    <w:keepLines w:val="on"/>
                  </w:pPr>
                  <w:r>
                    <w:t>30%</w:t>
                  </w:r>
                </w:p>
              </w:tc>
              <w:tc>
                <w:tcPr>
                  <w:tcW w:type="auto" w:w="0"/>
                  <w:shd w:val="clear" w:color="auto" w:fill="F0F0F0"/>
                </w:tcPr>
                <w:p>
                  <w:pPr>
                    <w:pStyle w:val="Normal"/>
                    <w:keepLines w:val="on"/>
                  </w:pPr>
                  <w:r>
                    <w:t>12,30%</w:t>
                  </w:r>
                </w:p>
              </w:tc>
              <w:tc>
                <w:tcPr>
                  <w:tcW w:type="auto" w:w="0"/>
                  <w:shd w:val="clear" w:color="auto" w:fill="F0F0F0"/>
                </w:tcPr>
                <w:p>
                  <w:pPr>
                    <w:pStyle w:val="Normal"/>
                    <w:keepLines w:val="on"/>
                  </w:pPr>
                  <w:r>
                    <w:t>5,52%</w:t>
                  </w:r>
                </w:p>
              </w:tc>
              <w:tc>
                <w:tcPr>
                  <w:tcW w:type="auto" w:w="0"/>
                  <w:shd w:val="clear" w:color="auto" w:fill="F0F0F0"/>
                </w:tcPr>
                <w:p>
                  <w:pPr>
                    <w:pStyle w:val="Normal"/>
                    <w:keepLines w:val="on"/>
                  </w:pPr>
                  <w:r>
                    <w:t>10,27%</w:t>
                  </w:r>
                </w:p>
              </w:tc>
              <w:tc>
                <w:tcPr>
                  <w:tcW w:type="auto" w:w="0"/>
                  <w:shd w:val="clear" w:color="auto" w:fill="F0F0F0"/>
                </w:tcPr>
                <w:p>
                  <w:pPr>
                    <w:pStyle w:val="Normal"/>
                    <w:keepLines w:val="on"/>
                  </w:pPr>
                  <w:r>
                    <w:t>2.835 đô la</w:t>
                  </w:r>
                </w:p>
              </w:tc>
            </w:tr>
            <w:tr>
              <w:tc>
                <w:tcPr>
                  <w:tcW w:type="auto" w:w="0"/>
                  <w:shd w:val="clear" w:color="auto" w:fill="F0F0F0"/>
                </w:tcPr>
                <w:p>
                  <w:pPr>
                    <w:pStyle w:val="Normal"/>
                    <w:keepLines w:val="on"/>
                  </w:pPr>
                  <w:r>
                    <w:t>40%</w:t>
                  </w:r>
                </w:p>
              </w:tc>
              <w:tc>
                <w:tcPr>
                  <w:tcW w:type="auto" w:w="0"/>
                  <w:shd w:val="clear" w:color="auto" w:fill="F0F0F0"/>
                </w:tcPr>
                <w:p>
                  <w:pPr>
                    <w:pStyle w:val="Normal"/>
                    <w:keepLines w:val="on"/>
                  </w:pPr>
                  <w:r>
                    <w:t>13,10%</w:t>
                  </w:r>
                </w:p>
              </w:tc>
              <w:tc>
                <w:tcPr>
                  <w:tcW w:type="auto" w:w="0"/>
                  <w:shd w:val="clear" w:color="auto" w:fill="F0F0F0"/>
                </w:tcPr>
                <w:p>
                  <w:pPr>
                    <w:pStyle w:val="Normal"/>
                    <w:keepLines w:val="on"/>
                  </w:pPr>
                  <w:r>
                    <w:t>5,70%</w:t>
                  </w:r>
                </w:p>
              </w:tc>
              <w:tc>
                <w:tcPr>
                  <w:tcW w:type="auto" w:w="0"/>
                  <w:shd w:val="clear" w:color="auto" w:fill="F0F0F0"/>
                </w:tcPr>
                <w:p>
                  <w:pPr>
                    <w:pStyle w:val="Normal"/>
                    <w:keepLines w:val="on"/>
                  </w:pPr>
                  <w:r>
                    <w:t>10,14%</w:t>
                  </w:r>
                </w:p>
              </w:tc>
              <w:tc>
                <w:tcPr>
                  <w:tcW w:type="auto" w:w="0"/>
                  <w:shd w:val="clear" w:color="auto" w:fill="F0F0F0"/>
                </w:tcPr>
                <w:p>
                  <w:pPr>
                    <w:pStyle w:val="Normal"/>
                    <w:keepLines w:val="on"/>
                  </w:pPr>
                  <w:r>
                    <w:t>2.885 đô la</w:t>
                  </w:r>
                </w:p>
              </w:tc>
            </w:tr>
            <w:tr>
              <w:tc>
                <w:tcPr>
                  <w:tcW w:type="auto" w:w="0"/>
                  <w:shd w:val="clear" w:color="auto" w:fill="F0F0F0"/>
                </w:tcPr>
                <w:p>
                  <w:pPr>
                    <w:pStyle w:val="Normal"/>
                    <w:keepLines w:val="on"/>
                  </w:pPr>
                  <w:r>
                    <w:t>50%</w:t>
                  </w:r>
                </w:p>
              </w:tc>
              <w:tc>
                <w:tcPr>
                  <w:tcW w:type="auto" w:w="0"/>
                  <w:shd w:val="clear" w:color="auto" w:fill="F0F0F0"/>
                </w:tcPr>
                <w:p>
                  <w:pPr>
                    <w:pStyle w:val="Normal"/>
                    <w:keepLines w:val="on"/>
                  </w:pPr>
                  <w:r>
                    <w:t>14,50%</w:t>
                  </w:r>
                </w:p>
              </w:tc>
              <w:tc>
                <w:tcPr>
                  <w:tcW w:type="auto" w:w="0"/>
                  <w:shd w:val="clear" w:color="auto" w:fill="F0F0F0"/>
                </w:tcPr>
                <w:p>
                  <w:pPr>
                    <w:pStyle w:val="Normal"/>
                    <w:keepLines w:val="on"/>
                  </w:pPr>
                  <w:r>
                    <w:t>6,10%</w:t>
                  </w:r>
                </w:p>
              </w:tc>
              <w:tc>
                <w:tcPr>
                  <w:tcW w:type="auto" w:w="0"/>
                  <w:shd w:val="clear" w:color="auto" w:fill="F0F0F0"/>
                </w:tcPr>
                <w:p>
                  <w:pPr>
                    <w:pStyle w:val="Normal"/>
                    <w:keepLines w:val="on"/>
                  </w:pPr>
                  <w:r>
                    <w:t>10,30%</w:t>
                  </w:r>
                </w:p>
              </w:tc>
              <w:tc>
                <w:tcPr>
                  <w:tcW w:type="auto" w:w="0"/>
                  <w:shd w:val="clear" w:color="auto" w:fill="F0F0F0"/>
                </w:tcPr>
                <w:p>
                  <w:pPr>
                    <w:pStyle w:val="Normal"/>
                    <w:keepLines w:val="on"/>
                  </w:pPr>
                  <w:r>
                    <w:t>$2.822</w:t>
                  </w:r>
                </w:p>
              </w:tc>
            </w:tr>
            <w:tr>
              <w:tc>
                <w:tcPr>
                  <w:tcW w:type="auto" w:w="0"/>
                  <w:shd w:val="clear" w:color="auto" w:fill="F0F0F0"/>
                </w:tcPr>
                <w:p>
                  <w:pPr>
                    <w:pStyle w:val="Normal"/>
                    <w:keepLines w:val="on"/>
                  </w:pPr>
                  <w:r>
                    <w:t>60%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7,20%</w:t>
                  </w:r>
                </w:p>
              </w:tc>
              <w:tc>
                <w:tcPr>
                  <w:tcW w:type="auto" w:w="0"/>
                  <w:shd w:val="clear" w:color="auto" w:fill="F0F0F0"/>
                </w:tcPr>
                <w:p>
                  <w:pPr>
                    <w:pStyle w:val="Normal"/>
                    <w:keepLines w:val="on"/>
                  </w:pPr>
                  <w:r>
                    <w:t>10,32%</w:t>
                  </w:r>
                </w:p>
              </w:tc>
              <w:tc>
                <w:tcPr>
                  <w:tcW w:type="auto" w:w="0"/>
                  <w:shd w:val="clear" w:color="auto" w:fill="F0F0F0"/>
                </w:tcPr>
                <w:p>
                  <w:pPr>
                    <w:pStyle w:val="Normal"/>
                    <w:keepLines w:val="on"/>
                  </w:pPr>
                  <w:r>
                    <w:t>$2.814</w:t>
                  </w:r>
                </w:p>
              </w:tc>
            </w:tr>
            <w:tr>
              <w:tc>
                <w:tcPr>
                  <w:tcW w:type="auto" w:w="0"/>
                  <w:shd w:val="clear" w:color="auto" w:fill="F0F0F0"/>
                </w:tcPr>
                <w:p>
                  <w:pPr>
                    <w:pStyle w:val="Normal"/>
                    <w:keepLines w:val="on"/>
                  </w:pPr>
                  <w:r>
                    <w:t>70%</w:t>
                  </w:r>
                </w:p>
              </w:tc>
              <w:tc>
                <w:tcPr>
                  <w:tcW w:type="auto" w:w="0"/>
                  <w:shd w:val="clear" w:color="auto" w:fill="F0F0F0"/>
                </w:tcPr>
                <w:p>
                  <w:pPr>
                    <w:pStyle w:val="Normal"/>
                    <w:keepLines w:val="on"/>
                  </w:pPr>
                  <w:r>
                    <w:t>16,10%</w:t>
                  </w:r>
                </w:p>
              </w:tc>
              <w:tc>
                <w:tcPr>
                  <w:tcW w:type="auto" w:w="0"/>
                  <w:shd w:val="clear" w:color="auto" w:fill="F0F0F0"/>
                </w:tcPr>
                <w:p>
                  <w:pPr>
                    <w:pStyle w:val="Normal"/>
                    <w:keepLines w:val="on"/>
                  </w:pPr>
                  <w:r>
                    <w:t>8,10%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$2.747</w:t>
                  </w:r>
                </w:p>
              </w:tc>
            </w:tr>
            <w:tr>
              <w:tc>
                <w:tcPr>
                  <w:tcW w:type="auto" w:w="0"/>
                  <w:shd w:val="clear" w:color="auto" w:fill="F0F0F0"/>
                </w:tcPr>
                <w:p>
                  <w:pPr>
                    <w:pStyle w:val="Normal"/>
                    <w:keepLines w:val="on"/>
                  </w:pPr>
                  <w:r>
                    <w:t>80%</w:t>
                  </w:r>
                </w:p>
              </w:tc>
              <w:tc>
                <w:tcPr>
                  <w:tcW w:type="auto" w:w="0"/>
                  <w:shd w:val="clear" w:color="auto" w:fill="F0F0F0"/>
                </w:tcPr>
                <w:p>
                  <w:pPr>
                    <w:pStyle w:val="Normal"/>
                    <w:keepLines w:val="on"/>
                  </w:pPr>
                  <w:r>
                    <w:t>17,20%</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10,64%</w:t>
                  </w:r>
                </w:p>
              </w:tc>
              <w:tc>
                <w:tcPr>
                  <w:tcW w:type="auto" w:w="0"/>
                  <w:shd w:val="clear" w:color="auto" w:fill="F0F0F0"/>
                </w:tcPr>
                <w:p>
                  <w:pPr>
                    <w:pStyle w:val="Normal"/>
                    <w:keepLines w:val="on"/>
                  </w:pPr>
                  <w:r>
                    <w:t>$2.696</w:t>
                  </w:r>
                </w:p>
              </w:tc>
            </w:tr>
            <w:tr>
              <w:tc>
                <w:tcPr>
                  <w:tcW w:type="auto" w:w="0"/>
                  <w:shd w:val="clear" w:color="auto" w:fill="F0F0F0"/>
                </w:tcPr>
                <w:p>
                  <w:pPr>
                    <w:pStyle w:val="Normal"/>
                    <w:keepLines w:val="on"/>
                  </w:pPr>
                  <w:r>
                    <w:t>90%</w:t>
                  </w:r>
                </w:p>
              </w:tc>
              <w:tc>
                <w:tcPr>
                  <w:tcW w:type="auto" w:w="0"/>
                  <w:shd w:val="clear" w:color="auto" w:fill="F0F0F0"/>
                </w:tcPr>
                <w:p>
                  <w:pPr>
                    <w:pStyle w:val="Normal"/>
                    <w:keepLines w:val="on"/>
                  </w:pPr>
                  <w:r>
                    <w:t>18,40%</w:t>
                  </w:r>
                </w:p>
              </w:tc>
              <w:tc>
                <w:tcPr>
                  <w:tcW w:type="auto" w:w="0"/>
                  <w:shd w:val="clear" w:color="auto" w:fill="F0F0F0"/>
                </w:tcPr>
                <w:p>
                  <w:pPr>
                    <w:pStyle w:val="Normal"/>
                    <w:keepLines w:val="on"/>
                  </w:pPr>
                  <w:r>
                    <w:t>10,20%</w:t>
                  </w:r>
                </w:p>
              </w:tc>
              <w:tc>
                <w:tcPr>
                  <w:tcW w:type="auto" w:w="0"/>
                  <w:shd w:val="clear" w:color="auto" w:fill="F0F0F0"/>
                </w:tcPr>
                <w:p>
                  <w:pPr>
                    <w:pStyle w:val="Normal"/>
                    <w:keepLines w:val="on"/>
                  </w:pPr>
                  <w:r>
                    <w:t>11,02%</w:t>
                  </w:r>
                </w:p>
              </w:tc>
              <w:tc>
                <w:tcPr>
                  <w:tcW w:type="auto" w:w="0"/>
                  <w:shd w:val="clear" w:color="auto" w:fill="F0F0F0"/>
                </w:tcPr>
                <w:p>
                  <w:pPr>
                    <w:pStyle w:val="Normal"/>
                    <w:keepLines w:val="on"/>
                  </w:pPr>
                  <w:r>
                    <w:t>$2.569</w:t>
                  </w:r>
                </w:p>
              </w:tc>
            </w:tr>
            <w:tr>
              <w:tc>
                <w:tcPr>
                  <w:tcW w:type="auto" w:w="0"/>
                  <w:shd w:val="clear" w:color="auto" w:fill="F0F0F0"/>
                </w:tcPr>
                <w:p>
                  <w:pPr>
                    <w:pStyle w:val="Normal"/>
                    <w:keepLines w:val="on"/>
                  </w:pPr>
                  <w:r>
                    <w:t>100%</w:t>
                  </w:r>
                </w:p>
              </w:tc>
              <w:tc>
                <w:tcPr>
                  <w:tcW w:type="auto" w:w="0"/>
                  <w:shd w:val="clear" w:color="auto" w:fill="F0F0F0"/>
                </w:tcPr>
                <w:p>
                  <w:pPr>
                    <w:pStyle w:val="Normal"/>
                    <w:keepLines w:val="on"/>
                  </w:pPr>
                  <w:r>
                    <w:t>19,70%</w:t>
                  </w:r>
                </w:p>
              </w:tc>
              <w:tc>
                <w:tcPr>
                  <w:tcW w:type="auto" w:w="0"/>
                  <w:shd w:val="clear" w:color="auto" w:fill="F0F0F0"/>
                </w:tcPr>
                <w:p>
                  <w:pPr>
                    <w:pStyle w:val="Normal"/>
                    <w:keepLines w:val="on"/>
                  </w:pPr>
                  <w:r>
                    <w:t>11,40%</w:t>
                  </w:r>
                </w:p>
              </w:tc>
              <w:tc>
                <w:tcPr>
                  <w:tcW w:type="auto" w:w="0"/>
                  <w:shd w:val="clear" w:color="auto" w:fill="F0F0F0"/>
                </w:tcPr>
                <w:p>
                  <w:pPr>
                    <w:pStyle w:val="Normal"/>
                    <w:keepLines w:val="on"/>
                  </w:pPr>
                  <w:r>
                    <w:t>11,40%</w:t>
                  </w:r>
                </w:p>
              </w:tc>
              <w:tc>
                <w:tcPr>
                  <w:tcW w:type="auto" w:w="0"/>
                  <w:shd w:val="clear" w:color="auto" w:fill="F0F0F0"/>
                </w:tcPr>
                <w:p>
                  <w:pPr>
                    <w:pStyle w:val="Normal"/>
                    <w:keepLines w:val="on"/>
                  </w:pPr>
                  <w:r>
                    <w:t>2.452 đô la</w:t>
                  </w:r>
                </w:p>
              </w:tc>
            </w:tr>
          </w:tbl>
          <w:p/>
        </w:tc>
      </w:tr>
    </w:tbl>
    <w:p>
      <w:pPr>
        <w:pStyle w:val="Para 04"/>
        <w:keepLines w:val="on"/>
      </w:pPr>
      <w:r>
        <w:t>Lưu ý rằng:</w:t>
      </w:r>
    </w:p>
    <w:p>
      <w:bookmarkStart w:id="3051" w:name="Value_of_firm_Cash_flows_to_firm"/>
      <w:pPr>
        <w:keepNext/>
        <w:pStyle w:val="Para 07"/>
        <w:keepLines w:val="on"/>
      </w:pPr>
      <w:r>
        <w:t>Giá trị doanh nghiệp = Dòng tiền cho doanh nghiệp × (1+g) / (Chi phí vốn - Tỷ lệ tăng trưởng ổn định) = 200 × (1,03) / (Chi phí vốn - 0,03)</w:t>
      </w:r>
      <w:bookmarkEnd w:id="3051"/>
    </w:p>
    <w:p>
      <w:pPr>
        <w:pStyle w:val="Para 04"/>
        <w:keepLines w:val="on"/>
      </w:pPr>
      <w:r>
        <w:t>Giá trị doanh nghiệp tăng khi chi phí vốn giảm và giảm khi chi phí vốn tăng. Điều này được minh họa trong Hình 15.2. Mặc dù minh họa này khiến cho việc lựa chọn một cơ cấu tài trợ tối ưu có vẻ dễ dàng, nhưng nó lại che khuất những vấn đề sẽ nảy sinh trong thực tế. Thứ nhất, chúng ta thường không có được lợi thế là có sẵn toàn bộ bảng chi phí tài trợ trước khi phân tích. Trong hầu hết các trường hợp, mức nợ duy nhất mà chúng ta có thông tin về chi phí nợ và chi phí vốn cổ phần chính là mức hiện tại. Thứ hai, phân tích này ngầm giả định rằng mức thu nhập hoạt động của doanh nghiệp không bị ảnh hưởng bởi cơ cấu tài trợ của doanh nghiệp và do đó, không bị ảnh hưởng bởi rủi ro vỡ nợ (hay xếp hạng trái phiếu) của doanh nghiệp. Mặc dù điều này có thể hợp lý trong một số trường hợp, nhưng sẽ không đúng trong những trường hợp khác. Những doanh nghiệp vay quá nhiều có thể nhận ra rằng có những chi phí phá sản gián tiếp ảnh hưởng đến doanh thu và thu nhập hoạt động.</w:t>
      </w:r>
    </w:p>
    <w:p>
      <w:pPr>
        <w:pStyle w:val="Para 20"/>
      </w:pPr>
      <w:r>
        <w:rPr>
          <w:rStyle w:val="Text26"/>
        </w:rPr>
        <w:bookmarkStart w:id="3053" w:name="Page_470"/>
        <w:t/>
        <w:bookmarkEnd w:id="3053"/>
      </w:r>
      <w:r>
        <w:t xml:space="preserve"> </w:t>
      </w:r>
    </w:p>
    <w:p>
      <w:bookmarkStart w:id="3054" w:name="Figure_15_2_Cost_of_Capital_and"/>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87600" cy="1739900"/>
            <wp:effectExtent l="0" r="0" t="0" b="0"/>
            <wp:wrapTopAndBottom/>
            <wp:docPr id="144" name="c15f002.png" descr="Line and bar graph plots the data in percent for increase in cost of capital and decrease in firm value."/>
            <wp:cNvGraphicFramePr>
              <a:graphicFrameLocks noChangeAspect="1"/>
            </wp:cNvGraphicFramePr>
            <a:graphic>
              <a:graphicData uri="http://schemas.openxmlformats.org/drawingml/2006/picture">
                <pic:pic>
                  <pic:nvPicPr>
                    <pic:cNvPr id="0" name="c15f002.png" descr="Line and bar graph plots the data in percent for increase in cost of capital and decrease in firm value."/>
                    <pic:cNvPicPr/>
                  </pic:nvPicPr>
                  <pic:blipFill>
                    <a:blip r:embed="rId102"/>
                    <a:stretch>
                      <a:fillRect/>
                    </a:stretch>
                  </pic:blipFill>
                  <pic:spPr>
                    <a:xfrm>
                      <a:off x="0" y="0"/>
                      <a:ext cx="2387600" cy="1739900"/>
                    </a:xfrm>
                    <a:prstGeom prst="rect">
                      <a:avLst/>
                    </a:prstGeom>
                  </pic:spPr>
                </pic:pic>
              </a:graphicData>
            </a:graphic>
          </wp:anchor>
        </w:drawing>
      </w:r>
      <w:bookmarkEnd w:id="3054"/>
    </w:p>
    <w:p>
      <w:pPr>
        <w:pStyle w:val="Para 22"/>
        <w:keepLines w:val="on"/>
      </w:pPr>
      <w:r>
        <w:t>Hình 15.2 Chi phí vốn và giá trị doanh nghiệp</w:t>
      </w:r>
    </w:p>
    <w:p>
      <w:pPr>
        <w:keepNext/>
        <w:pStyle w:val="Para 22"/>
        <w:keepLines w:val="on"/>
      </w:pPr>
      <w:r>
        <w:t>Nguồn: Applied Corporate Finance, 2010 / John Wiley &amp; Sons.</w:t>
      </w:r>
    </w:p>
    <w:p>
      <w:bookmarkStart w:id="3055" w:name="Steps_in_Cost_of_Capital_Approac"/>
      <w:bookmarkStart w:id="3056" w:name="Steps_in_Cost_of_Capital_Approac_1"/>
      <w:pPr>
        <w:keepNext/>
        <w:pStyle w:val="Heading 3"/>
        <w:keepLines w:val="on"/>
      </w:pPr>
      <w:r>
        <w:t>Các bước trong phương pháp chi phí vốn</w:t>
      </w:r>
      <w:bookmarkEnd w:id="3055"/>
      <w:bookmarkEnd w:id="3056"/>
    </w:p>
    <w:p>
      <w:pPr>
        <w:pStyle w:val="Para 03"/>
      </w:pPr>
      <w:r>
        <w:t>Chúng ta cần ba yếu tố đầu vào cơ bản để tính chi phí vốn — chi phí vốn cổ phần, chi phí nợ sau thuế, và tỷ trọng của nợ và vốn cổ phần. Chi phí vốn cổ phần và chi phí nợ thay đổi khi tỷ lệ nợ thay đổi, và thách thức chính của phương pháp này nằm ở việc ước tính từng yếu tố đầu vào này.</w:t>
      </w:r>
    </w:p>
    <w:p>
      <w:pPr>
        <w:pStyle w:val="Para 03"/>
      </w:pPr>
      <w:r>
        <w:t>Hãy bắt đầu với chi phí vốn cổ phần. Chúng ta đã lập luận rằng beta của vốn cổ phần sẽ thay đổi khi tỷ lệ nợ thay đổi. Thực tế, chúng ta đã ước tính beta có đòn bẩy như một hàm số của tỷ lệ nợ trên vốn cổ phần theo giá thị trường của doanh nghiệp, beta không có đòn bẩy, và thuế suất biên của doanh nghiệp:</w:t>
      </w:r>
    </w:p>
    <w:p>
      <w:bookmarkStart w:id="3057" w:name="blevered_bunlevered_1__1_t_Debt"/>
      <w:pPr>
        <w:keepNext/>
        <w:pStyle w:val="Para 09"/>
        <w:keepLines w:val="on"/>
      </w:pPr>
      <w:r>
        <w:t>β có đòn bẩy = β không có đòn bẩy × [1 + (1 - t) × Nợ/Vốn cổ phần]</w:t>
      </w:r>
      <w:bookmarkEnd w:id="3057"/>
    </w:p>
    <w:p>
      <w:pPr>
        <w:pStyle w:val="Para 03"/>
      </w:pPr>
      <w:r>
        <w:t>Do đó, nếu chúng ta có thể ước tính beta không có đòn bẩy cho một doanh nghiệp, chúng ta có thể dùng nó để ước tính beta có đòn bẩy của doanh nghiệp ở mọi tỷ lệ nợ. Beta có đòn bẩy này sau đó có thể được dùng để tính chi phí vốn cổ phần tại mỗi tỷ lệ nợ.</w:t>
      </w:r>
    </w:p>
    <w:p>
      <w:pPr>
        <w:pStyle w:val="Para 20"/>
      </w:pPr>
      <w:r>
        <w:rPr>
          <w:rStyle w:val="Text26"/>
        </w:rPr>
        <w:bookmarkStart w:id="3058" w:name="Page_471"/>
        <w:t/>
        <w:bookmarkEnd w:id="3058"/>
      </w:r>
      <w:r>
        <w:t xml:space="preserve"> </w:t>
      </w:r>
    </w:p>
    <w:p>
      <w:bookmarkStart w:id="3059" w:name="Cost_of_equity_Risk_free_rate_bl"/>
      <w:pPr>
        <w:keepNext/>
        <w:pStyle w:val="Para 09"/>
        <w:keepLines w:val="on"/>
      </w:pPr>
      <w:r>
        <w:t>Chi phí vốn cổ phần = Lãi suất phi rủi ro + β có đòn bẩy × (Phần bù rủi ro vốn cổ phần)</w:t>
      </w:r>
      <w:bookmarkEnd w:id="3059"/>
    </w:p>
    <w:p>
      <w:pPr>
        <w:pStyle w:val="Para 03"/>
      </w:pPr>
      <w:r>
        <w:t>Chi phí nợ của một doanh nghiệp là một hàm số của rủi ro vỡ nợ của doanh nghiệp đó. Khi doanh nghiệp vay nhiều hơn, rủi ro vỡ nợ của họ sẽ tăng lên và chi phí nợ cũng vậy. Nếu chúng ta dùng xếp hạng trái phiếu làm thước đo rủi ro vỡ nợ, chúng ta có thể ước tính chi phí nợ qua ba bước. Thứ nhất, ước tính nợ bằng đô la và chi phí lãi vay của doanh nghiệp tại mỗi tỷ lệ nợ; khi doanh nghiệp tăng tỷ lệ nợ, cả nợ bằng đô la lẫn chi phí lãi vay đều sẽ tăng. Thứ hai, tại mỗi mức nợ, tính một (hoặc các) chỉ số tài chính đo lường rủi ro vỡ nợ và dùng chỉ số đó để ước tính xếp hạng cho doanh nghiệp; một lần nữa, khi doanh nghiệp vay nhiều hơn, xếp hạng này sẽ giảm xuống. Thứ ba, một mức chênh lệch vỡ nợ (default spread), dựa trên xếp hạng đã ước tính, được cộng vào lãi suất phi rủi ro để ra chi phí nợ trước thuế. Áp dụng thuế suất biên cho chi phí trước thuế này sẽ cho ra chi phí nợ sau thuế.</w:t>
      </w:r>
    </w:p>
    <w:p>
      <w:pPr>
        <w:pStyle w:val="Para 03"/>
      </w:pPr>
      <w:r>
        <w:t>Sau khi ước tính chi phí vốn cổ phần và chi phí nợ tại mỗi mức nợ, chúng ta cân đối chúng dựa trên tỷ lệ sử dụng của mỗi loại để ước tính chi phí vốn. Mặc dù chúng ta chưa cho phép một cách rõ ràng thành phần cổ phiếu ưu đãi trong quá trình này, chúng ta vẫn có thể có cổ phiếu ưu đãi như một phần của vốn. Tuy nhiên, chúng ta phải giữ nguyên phần cổ phiếu ưu đãi, trong khi thay đổi tỷ trọng của nợ và vốn cổ phần. Tỷ lệ nợ mà tại đó chi phí vốn được tối thiểu hóa chính là tỷ lệ nợ tối ưu. Hình 15.3 tóm tắt các bước này.</w:t>
      </w:r>
    </w:p>
    <w:p>
      <w:bookmarkStart w:id="3061" w:name="Figure_15_3_Optimizing_Capital_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914400"/>
            <wp:effectExtent l="0" r="0" t="0" b="0"/>
            <wp:wrapTopAndBottom/>
            <wp:docPr id="145" name="c15f003.png" descr="Capital structure depicts what happens to the costs of debt and equity as the debt ratio changes."/>
            <wp:cNvGraphicFramePr>
              <a:graphicFrameLocks noChangeAspect="1"/>
            </wp:cNvGraphicFramePr>
            <a:graphic>
              <a:graphicData uri="http://schemas.openxmlformats.org/drawingml/2006/picture">
                <pic:pic>
                  <pic:nvPicPr>
                    <pic:cNvPr id="0" name="c15f003.png" descr="Capital structure depicts what happens to the costs of debt and equity as the debt ratio changes."/>
                    <pic:cNvPicPr/>
                  </pic:nvPicPr>
                  <pic:blipFill>
                    <a:blip r:embed="rId103"/>
                    <a:stretch>
                      <a:fillRect/>
                    </a:stretch>
                  </pic:blipFill>
                  <pic:spPr>
                    <a:xfrm>
                      <a:off x="0" y="0"/>
                      <a:ext cx="2438400" cy="914400"/>
                    </a:xfrm>
                    <a:prstGeom prst="rect">
                      <a:avLst/>
                    </a:prstGeom>
                  </pic:spPr>
                </pic:pic>
              </a:graphicData>
            </a:graphic>
          </wp:anchor>
        </w:drawing>
      </w:r>
      <w:bookmarkEnd w:id="3061"/>
    </w:p>
    <w:p>
      <w:pPr>
        <w:keepNext/>
        <w:pStyle w:val="Para 22"/>
        <w:keepLines w:val="on"/>
      </w:pPr>
      <w:r>
        <w:t>Hình 15.3 Tối ưu hóa cơ cấu vốn</w:t>
      </w:r>
    </w:p>
    <w:p>
      <w:pPr>
        <w:pStyle w:val="Para 03"/>
      </w:pPr>
      <w:r>
        <w:t>Trong phương pháp này, ảnh hưởng lên giá trị doanh nghiệp của việc thay đổi cơ cấu vốn được tách riêng bằng cách giữ nguyên thu nhập hoạt động và chỉ thay đổi chi phí vốn. Về mặt thực tiễn, điều này đòi hỏi chúng ta phải đưa ra hai giả định. Thứ nhất, tỷ lệ nợ được giảm xuống bằng cách phát hành thêm vốn cổ phần mới và trả bớt nợ; ngược lại, tỷ lệ nợ được tăng lên bằng cách vay tiền và mua lại cổ phiếu. Quá trình này được gọi là tái cấu trúc vốn (recapitalization). Thứ hai, thu nhập hoạt động trước thuế được giả định là không bị ảnh hưởng bởi cơ cấu tài trợ của doanh nghiệp và, do đó, không bị ảnh hưởng bởi xếp hạng trái phiếu của doanh nghiệp. Nếu thu nhập hoạt động thay đổi theo rủi ro vỡ nợ của doanh nghiệp, phân tích cơ bản sẽ không thay đổi, nhưng việc tối thiểu hóa chi phí vốn có thể không phải là hướng đi tối ưu, vì giá trị doanh nghiệp được quyết định bởi cả dòng tiền lẫn chi phí vốn. Giá trị doanh nghiệp sẽ phải được tính toán tại mỗi mức nợ và tỷ lệ nợ tối ưu sẽ là tỷ lệ tối đa hóa giá trị doanh nghiệp.</w:t>
      </w:r>
    </w:p>
    <w:p>
      <w:pPr>
        <w:pStyle w:val="Para 11"/>
      </w:pPr>
      <w:r>
        <w:t xml:space="preserve"> </w:t>
      </w:r>
      <w:r>
        <w:rPr>
          <w:rStyle w:val="Text26"/>
        </w:rPr>
        <w:bookmarkStart w:id="3062" w:name="Page_472"/>
        <w:t/>
        <w:bookmarkEnd w:id="3062"/>
      </w:r>
      <w:r>
        <w:t xml:space="preserve"> </w:t>
      </w:r>
    </w:p>
    <w:p>
      <w:bookmarkStart w:id="3063" w:name="ILLUSTRATION_15_7__Analyzing_the_1"/>
      <w:bookmarkStart w:id="3064" w:name="ILLUSTRATION_15_7__Analyzing_the"/>
      <w:pPr>
        <w:keepNext/>
        <w:pStyle w:val="Para 19"/>
        <w:keepLines w:val="on"/>
      </w:pPr>
      <w:r>
        <w:t>MINH HỌA 15.7: Phân tích cơ cấu vốn cho Disney: Tháng 5 năm 2024</w:t>
      </w:r>
      <w:bookmarkEnd w:id="3063"/>
      <w:bookmarkEnd w:id="3064"/>
    </w:p>
    <w:p>
      <w:pPr>
        <w:pStyle w:val="Para 04"/>
        <w:keepLines w:val="on"/>
      </w:pPr>
      <w:r>
        <w:t>Phương pháp chi phí vốn có thể được dùng để tìm cơ cấu vốn tối ưu cho một doanh nghiệp, như chúng ta sẽ làm cho Disney vào tháng 5 năm 2024. Disney có 46.431 triệu đô la nợ chịu lãi trên sổ sách và cộng thêm giá trị hiện tại của các cam kết thuê hoạt động là 3.960 triệu đô la vào giá trị này, chúng ta đi đến tổng giá trị thị trường của nợ là 50.391 triệu đô la.13 Giá trị thị trường của vốn cổ phần tại cùng thời điểm là 183.649 triệu đô la; giá thị trường mỗi cổ phiếu là 100,30 đô la, và có 1.831 triệu cổ phiếu đang lưu hành. Theo tỷ lệ, 21,53% trong tổng cơ cấu tài trợ là nợ, và 78,46% còn lại là vốn cổ phần.</w:t>
      </w:r>
    </w:p>
    <w:p>
      <w:pPr>
        <w:pStyle w:val="Para 04"/>
        <w:keepLines w:val="on"/>
      </w:pPr>
      <w:r>
        <w:t>Beta không có đòn bẩy cho cổ phiếu của Disney vào tháng 5 năm 2024, được ước tính bằng cách chia nhỏ nó thành các mảng kinh doanh cấu thành và cân đối beta không có đòn bẩy cho từng mảng kinh doanh, là 0,947. Tại tỷ lệ nợ trên vốn cổ phần theo giá thị trường hiện tại, beta có đòn bẩy cho Disney là 1,14:</w:t>
      </w:r>
    </w:p>
    <w:p>
      <w:bookmarkStart w:id="3067" w:name="Levered_beta_Unlevered_beta_1_1"/>
      <w:pPr>
        <w:keepNext/>
        <w:pStyle w:val="Para 07"/>
        <w:keepLines w:val="on"/>
      </w:pPr>
      <w:r>
        <w:t>Beta có đòn bẩy = Beta không có đòn bẩy × [1 + (1 - thuế suất) × Nợ/Vốn cổ phần] = 0,947 × (1 + (1 − 0,25) × (50.391/183.649)) = 1,14</w:t>
      </w:r>
      <w:bookmarkEnd w:id="3067"/>
    </w:p>
    <w:p>
      <w:pPr>
        <w:pStyle w:val="Para 04"/>
        <w:keepLines w:val="on"/>
      </w:pPr>
      <w:r>
        <w:t>Lãi suất trái phiếu kho bạc tại thời điểm đó là 4,5%. Sử dụng phần bù rủi ro vốn cổ phần ước tính là 4,78%, dựa trên mức độ phơi nhiễm doanh thu theo địa lý của Disney, chúng ta ước tính chi phí vốn cổ phần cho Disney là 9,96%:</w:t>
      </w:r>
    </w:p>
    <w:p>
      <w:bookmarkStart w:id="3068" w:name="Cost_of_equity_4_5__1_14__4_78"/>
      <w:pPr>
        <w:keepNext/>
        <w:pStyle w:val="Para 07"/>
        <w:keepLines w:val="on"/>
      </w:pPr>
      <w:r>
        <w:t>Chi phí vốn chủ sở hữu = 4,5% + 1,14 (4,78%) = 9,96%</w:t>
      </w:r>
      <w:bookmarkEnd w:id="3068"/>
    </w:p>
    <w:p>
      <w:pPr>
        <w:pStyle w:val="Para 04"/>
        <w:keepLines w:val="on"/>
      </w:pPr>
      <w:r>
        <w:t>Xếp hạng trái phiếu của Disney vào tháng 5 năm 2024 là A−, và dựa trên xếp hạng này, mức chênh lệch vỡ nợ ước tính cho Disney là 1,21%, dẫn đến chi phí nợ trước thuế của Disney là 5,71%. Sử dụng thuế suất biên 25%, chúng tôi ước tính chi phí nợ sau thuế của Disney là 4,28%:</w:t>
      </w:r>
    </w:p>
    <w:p>
      <w:bookmarkStart w:id="3069" w:name="After_Tax_cost_of_debt_5_71___1"/>
      <w:pPr>
        <w:keepNext/>
        <w:pStyle w:val="Para 07"/>
        <w:keepLines w:val="on"/>
      </w:pPr>
      <w:r>
        <w:t>Chi phí nợ sau thuế = 5,71% (1−,25) = 4,28%</w:t>
      </w:r>
      <w:bookmarkEnd w:id="3069"/>
    </w:p>
    <w:p>
      <w:pPr>
        <w:pStyle w:val="Para 04"/>
        <w:keepLines w:val="on"/>
      </w:pPr>
      <w:r>
        <w:t>Chi phí vốn được tính toán bằng cách sử dụng các chi phí này và trọng số dựa trên giá trị thị trường:</w:t>
      </w:r>
    </w:p>
    <w:p>
      <w:bookmarkStart w:id="3070" w:name="Cost_of_capital_9_96____7846__4"/>
      <w:pPr>
        <w:keepNext/>
        <w:pStyle w:val="Para 07"/>
        <w:keepLines w:val="on"/>
      </w:pPr>
      <w:r>
        <w:t>Chi phí vốn = 9,96% (.7846) + 4,28% (.2154) = 8,73%</w:t>
      </w:r>
      <w:bookmarkEnd w:id="3070"/>
    </w:p>
    <w:p>
      <w:bookmarkStart w:id="3071" w:name="Disney_s_Cost_of_Equity_and_Leve"/>
      <w:bookmarkStart w:id="3072" w:name="Disney_s_Cost_of_Equity_and_Leve_1"/>
      <w:pPr>
        <w:keepNext/>
        <w:pStyle w:val="Para 36"/>
        <w:keepLines w:val="on"/>
      </w:pPr>
      <w:r>
        <w:t>Chi phí Vốn chủ sở hữu và Đòn bẩy của Disney</w:t>
      </w:r>
      <w:bookmarkEnd w:id="3071"/>
      <w:bookmarkEnd w:id="3072"/>
    </w:p>
    <w:p>
      <w:pPr>
        <w:pStyle w:val="Para 04"/>
        <w:keepLines w:val="on"/>
      </w:pPr>
      <w:r>
        <w:t>Chi phí vốn chủ sở hữu của Disney ở các tỷ lệ nợ khác nhau có thể được tính toán bằng cách sử dụng beta chưa đòn bẩy của công ty và tỷ lệ nợ trên vốn chủ sở hữu ở mỗi mức nợ. Chúng tôi sử dụng các beta có đòn bẩy xuất hiện để ước tính chi phí vốn chủ sở hữu.14 Bước đầu tiên trong quá trình này là tính toán beta có đòn bẩy ở mỗi tỷ lệ nợ, sử dụng beta chưa đòn bẩy và thuế suất biên 25% của Disney, trong Bảng 15.12.</w:t>
      </w:r>
    </w:p>
    <w:p>
      <w:pPr>
        <w:pStyle w:val="Para 25"/>
        <w:keepLines w:val="on"/>
      </w:pPr>
      <w:r>
        <w:t>Bảng 15.12</w:t>
      </w:r>
    </w:p>
    <w:p>
      <w:pPr>
        <w:keepNext/>
        <w:pStyle w:val="Para 24"/>
        <w:keepLines w:val="on"/>
      </w:pPr>
      <w:r>
        <w:t>Chi phí Vốn chủ sở hữu của Disney, theo Tỷ lệ Nợ</w:t>
      </w:r>
    </w:p>
    <w:tbl>
      <w:tblPr>
        <w:tblW w:type="auto" w:w="0"/>
      </w:tblPr>
      <w:tr>
        <w:tc>
          <w:tcPr>
            <w:tcW w:type="auto" w:w="0"/>
          </w:tcPr>
          <w:tbl>
            <w:tblPr>
              <w:tblW w:type="pct" w:w="5000"/>
            </w:tblPr>
            <w:tr>
              <w:tc>
                <w:tcPr>
                  <w:tcW w:type="auto" w:w="0"/>
                  <w:shd w:val="clear" w:color="auto" w:fill="F0F0F0"/>
                </w:tcPr>
                <w:p>
                  <w:pPr>
                    <w:pStyle w:val="Para 05"/>
                    <w:keepLines w:val="on"/>
                  </w:pPr>
                  <w:r>
                    <w:t>D/(D + E)</w:t>
                  </w:r>
                </w:p>
              </w:tc>
              <w:tc>
                <w:tcPr>
                  <w:tcW w:type="auto" w:w="0"/>
                  <w:shd w:val="clear" w:color="auto" w:fill="F0F0F0"/>
                </w:tcPr>
                <w:p>
                  <w:pPr>
                    <w:pStyle w:val="Para 05"/>
                    <w:keepLines w:val="on"/>
                  </w:pPr>
                  <w:r>
                    <w:t>D/E</w:t>
                  </w:r>
                </w:p>
              </w:tc>
              <w:tc>
                <w:tcPr>
                  <w:tcW w:type="auto" w:w="0"/>
                  <w:shd w:val="clear" w:color="auto" w:fill="F0F0F0"/>
                </w:tcPr>
                <w:p>
                  <w:pPr>
                    <w:pStyle w:val="Para 05"/>
                    <w:keepLines w:val="on"/>
                  </w:pPr>
                  <w:r>
                    <w:t>Beta</w:t>
                  </w:r>
                </w:p>
              </w:tc>
              <w:tc>
                <w:tcPr>
                  <w:tcW w:type="auto" w:w="0"/>
                  <w:shd w:val="clear" w:color="auto" w:fill="F0F0F0"/>
                </w:tcPr>
                <w:p>
                  <w:pPr>
                    <w:pStyle w:val="Para 05"/>
                    <w:keepLines w:val="on"/>
                  </w:pPr>
                  <w:r>
                    <w:t>Chi phí Vốn chủ sở hữu</w:t>
                  </w:r>
                </w:p>
              </w:tc>
            </w:tr>
            <w:tr>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0,95</w:t>
                  </w:r>
                </w:p>
              </w:tc>
              <w:tc>
                <w:tcPr>
                  <w:tcW w:type="auto" w:w="0"/>
                  <w:shd w:val="clear" w:color="auto" w:fill="F0F0F0"/>
                </w:tcPr>
                <w:p>
                  <w:pPr>
                    <w:pStyle w:val="Normal"/>
                    <w:keepLines w:val="on"/>
                  </w:pPr>
                  <w:r>
                    <w:t>9,02%</w:t>
                  </w:r>
                </w:p>
              </w:tc>
            </w:tr>
            <w:tr>
              <w:tc>
                <w:tcPr>
                  <w:tcW w:type="auto" w:w="0"/>
                  <w:shd w:val="clear" w:color="auto" w:fill="F0F0F0"/>
                </w:tcPr>
                <w:p>
                  <w:pPr>
                    <w:pStyle w:val="Normal"/>
                    <w:keepLines w:val="on"/>
                  </w:pPr>
                  <w:r>
                    <w:t>10,00%</w:t>
                  </w:r>
                </w:p>
              </w:tc>
              <w:tc>
                <w:tcPr>
                  <w:tcW w:type="auto" w:w="0"/>
                  <w:shd w:val="clear" w:color="auto" w:fill="F0F0F0"/>
                </w:tcPr>
                <w:p>
                  <w:pPr>
                    <w:pStyle w:val="Normal"/>
                    <w:keepLines w:val="on"/>
                  </w:pPr>
                  <w:r>
                    <w:t>11,11%</w:t>
                  </w:r>
                </w:p>
              </w:tc>
              <w:tc>
                <w:tcPr>
                  <w:tcW w:type="auto" w:w="0"/>
                  <w:shd w:val="clear" w:color="auto" w:fill="F0F0F0"/>
                </w:tcPr>
                <w:p>
                  <w:pPr>
                    <w:pStyle w:val="Normal"/>
                    <w:keepLines w:val="on"/>
                  </w:pPr>
                  <w:r>
                    <w:t>1,03</w:t>
                  </w:r>
                </w:p>
              </w:tc>
              <w:tc>
                <w:tcPr>
                  <w:tcW w:type="auto" w:w="0"/>
                  <w:shd w:val="clear" w:color="auto" w:fill="F0F0F0"/>
                </w:tcPr>
                <w:p>
                  <w:pPr>
                    <w:pStyle w:val="Normal"/>
                    <w:keepLines w:val="on"/>
                  </w:pPr>
                  <w:r>
                    <w:t>9,40%</w:t>
                  </w:r>
                </w:p>
              </w:tc>
            </w:tr>
            <w:tr>
              <w:tc>
                <w:tcPr>
                  <w:tcW w:type="auto" w:w="0"/>
                  <w:shd w:val="clear" w:color="auto" w:fill="F0F0F0"/>
                </w:tcPr>
                <w:p>
                  <w:pPr>
                    <w:pStyle w:val="Normal"/>
                    <w:keepLines w:val="on"/>
                  </w:pPr>
                  <w:r>
                    <w:t>20,00%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1,12</w:t>
                  </w:r>
                </w:p>
              </w:tc>
              <w:tc>
                <w:tcPr>
                  <w:tcW w:type="auto" w:w="0"/>
                  <w:shd w:val="clear" w:color="auto" w:fill="F0F0F0"/>
                </w:tcPr>
                <w:p>
                  <w:pPr>
                    <w:pStyle w:val="Normal"/>
                    <w:keepLines w:val="on"/>
                  </w:pPr>
                  <w:r>
                    <w:t>9,87%</w:t>
                  </w:r>
                </w:p>
              </w:tc>
            </w:tr>
            <w:tr>
              <w:tc>
                <w:tcPr>
                  <w:tcW w:type="auto" w:w="0"/>
                  <w:shd w:val="clear" w:color="auto" w:fill="F0F0F0"/>
                </w:tcPr>
                <w:p>
                  <w:pPr>
                    <w:pStyle w:val="Normal"/>
                    <w:keepLines w:val="on"/>
                  </w:pPr>
                  <w:r>
                    <w:t>30,00%</w:t>
                  </w:r>
                </w:p>
              </w:tc>
              <w:tc>
                <w:tcPr>
                  <w:tcW w:type="auto" w:w="0"/>
                  <w:shd w:val="clear" w:color="auto" w:fill="F0F0F0"/>
                </w:tcPr>
                <w:p>
                  <w:pPr>
                    <w:pStyle w:val="Normal"/>
                    <w:keepLines w:val="on"/>
                  </w:pPr>
                  <w:r>
                    <w:t>42,86%</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10,48%</w:t>
                  </w:r>
                </w:p>
              </w:tc>
            </w:tr>
            <w:tr>
              <w:tc>
                <w:tcPr>
                  <w:tcW w:type="auto" w:w="0"/>
                  <w:shd w:val="clear" w:color="auto" w:fill="F0F0F0"/>
                </w:tcPr>
                <w:p>
                  <w:pPr>
                    <w:pStyle w:val="Normal"/>
                    <w:keepLines w:val="on"/>
                  </w:pPr>
                  <w:r>
                    <w:t>40,00%</w:t>
                  </w:r>
                </w:p>
              </w:tc>
              <w:tc>
                <w:tcPr>
                  <w:tcW w:type="auto" w:w="0"/>
                  <w:shd w:val="clear" w:color="auto" w:fill="F0F0F0"/>
                </w:tcPr>
                <w:p>
                  <w:pPr>
                    <w:pStyle w:val="Normal"/>
                    <w:keepLines w:val="on"/>
                  </w:pPr>
                  <w:r>
                    <w:t>66,67%</w:t>
                  </w:r>
                </w:p>
              </w:tc>
              <w:tc>
                <w:tcPr>
                  <w:tcW w:type="auto" w:w="0"/>
                  <w:shd w:val="clear" w:color="auto" w:fill="F0F0F0"/>
                </w:tcPr>
                <w:p>
                  <w:pPr>
                    <w:pStyle w:val="Normal"/>
                    <w:keepLines w:val="on"/>
                  </w:pPr>
                  <w:r>
                    <w:t>1,42</w:t>
                  </w:r>
                </w:p>
              </w:tc>
              <w:tc>
                <w:tcPr>
                  <w:tcW w:type="auto" w:w="0"/>
                  <w:shd w:val="clear" w:color="auto" w:fill="F0F0F0"/>
                </w:tcPr>
                <w:p>
                  <w:pPr>
                    <w:pStyle w:val="Normal"/>
                    <w:keepLines w:val="on"/>
                  </w:pPr>
                  <w:r>
                    <w:t>11,29%</w:t>
                  </w:r>
                </w:p>
              </w:tc>
            </w:tr>
            <w:tr>
              <w:tc>
                <w:tcPr>
                  <w:tcW w:type="auto" w:w="0"/>
                  <w:shd w:val="clear" w:color="auto" w:fill="F0F0F0"/>
                </w:tcPr>
                <w:p>
                  <w:pPr>
                    <w:pStyle w:val="Normal"/>
                    <w:keepLines w:val="on"/>
                  </w:pPr>
                  <w:r>
                    <w:t>50,00%</w:t>
                  </w:r>
                </w:p>
              </w:tc>
              <w:tc>
                <w:tcPr>
                  <w:tcW w:type="auto" w:w="0"/>
                  <w:shd w:val="clear" w:color="auto" w:fill="F0F0F0"/>
                </w:tcPr>
                <w:p>
                  <w:pPr>
                    <w:pStyle w:val="Normal"/>
                    <w:keepLines w:val="on"/>
                  </w:pPr>
                  <w:r>
                    <w:t>100,00%</w:t>
                  </w:r>
                </w:p>
              </w:tc>
              <w:tc>
                <w:tcPr>
                  <w:tcW w:type="auto" w:w="0"/>
                  <w:shd w:val="clear" w:color="auto" w:fill="F0F0F0"/>
                </w:tcPr>
                <w:p>
                  <w:pPr>
                    <w:pStyle w:val="Normal"/>
                    <w:keepLines w:val="on"/>
                  </w:pPr>
                  <w:r>
                    <w:t>1,75</w:t>
                  </w:r>
                </w:p>
              </w:tc>
              <w:tc>
                <w:tcPr>
                  <w:tcW w:type="auto" w:w="0"/>
                  <w:shd w:val="clear" w:color="auto" w:fill="F0F0F0"/>
                </w:tcPr>
                <w:p>
                  <w:pPr>
                    <w:pStyle w:val="Normal"/>
                    <w:keepLines w:val="on"/>
                  </w:pPr>
                  <w:r>
                    <w:t>12,86%</w:t>
                  </w:r>
                </w:p>
              </w:tc>
            </w:tr>
            <w:tr>
              <w:tc>
                <w:tcPr>
                  <w:tcW w:type="auto" w:w="0"/>
                  <w:shd w:val="clear" w:color="auto" w:fill="F0F0F0"/>
                </w:tcPr>
                <w:p>
                  <w:pPr>
                    <w:pStyle w:val="Normal"/>
                    <w:keepLines w:val="on"/>
                  </w:pPr>
                  <w:r>
                    <w:t>60,00%</w:t>
                  </w:r>
                </w:p>
              </w:tc>
              <w:tc>
                <w:tcPr>
                  <w:tcW w:type="auto" w:w="0"/>
                  <w:shd w:val="clear" w:color="auto" w:fill="F0F0F0"/>
                </w:tcPr>
                <w:p>
                  <w:pPr>
                    <w:pStyle w:val="Normal"/>
                    <w:keepLines w:val="on"/>
                  </w:pPr>
                  <w:r>
                    <w:t>150,00%</w:t>
                  </w:r>
                </w:p>
              </w:tc>
              <w:tc>
                <w:tcPr>
                  <w:tcW w:type="auto" w:w="0"/>
                  <w:shd w:val="clear" w:color="auto" w:fill="F0F0F0"/>
                </w:tcPr>
                <w:p>
                  <w:pPr>
                    <w:pStyle w:val="Normal"/>
                    <w:keepLines w:val="on"/>
                  </w:pPr>
                  <w:r>
                    <w:t>2,20</w:t>
                  </w:r>
                </w:p>
              </w:tc>
              <w:tc>
                <w:tcPr>
                  <w:tcW w:type="auto" w:w="0"/>
                  <w:shd w:val="clear" w:color="auto" w:fill="F0F0F0"/>
                </w:tcPr>
                <w:p>
                  <w:pPr>
                    <w:pStyle w:val="Normal"/>
                    <w:keepLines w:val="on"/>
                  </w:pPr>
                  <w:r>
                    <w:t>15,02%</w:t>
                  </w:r>
                </w:p>
              </w:tc>
            </w:tr>
            <w:tr>
              <w:tc>
                <w:tcPr>
                  <w:tcW w:type="auto" w:w="0"/>
                  <w:shd w:val="clear" w:color="auto" w:fill="F0F0F0"/>
                </w:tcPr>
                <w:p>
                  <w:pPr>
                    <w:pStyle w:val="Normal"/>
                    <w:keepLines w:val="on"/>
                  </w:pPr>
                  <w:r>
                    <w:t>70,00%</w:t>
                  </w:r>
                </w:p>
              </w:tc>
              <w:tc>
                <w:tcPr>
                  <w:tcW w:type="auto" w:w="0"/>
                  <w:shd w:val="clear" w:color="auto" w:fill="F0F0F0"/>
                </w:tcPr>
                <w:p>
                  <w:pPr>
                    <w:pStyle w:val="Normal"/>
                    <w:keepLines w:val="on"/>
                  </w:pPr>
                  <w:r>
                    <w:t>233,33%</w:t>
                  </w:r>
                </w:p>
              </w:tc>
              <w:tc>
                <w:tcPr>
                  <w:tcW w:type="auto" w:w="0"/>
                  <w:shd w:val="clear" w:color="auto" w:fill="F0F0F0"/>
                </w:tcPr>
                <w:p>
                  <w:pPr>
                    <w:pStyle w:val="Normal"/>
                    <w:keepLines w:val="on"/>
                  </w:pPr>
                  <w:r>
                    <w:t>2,95</w:t>
                  </w:r>
                </w:p>
              </w:tc>
              <w:tc>
                <w:tcPr>
                  <w:tcW w:type="auto" w:w="0"/>
                  <w:shd w:val="clear" w:color="auto" w:fill="F0F0F0"/>
                </w:tcPr>
                <w:p>
                  <w:pPr>
                    <w:pStyle w:val="Normal"/>
                    <w:keepLines w:val="on"/>
                  </w:pPr>
                  <w:r>
                    <w:t>18,58%</w:t>
                  </w:r>
                </w:p>
              </w:tc>
            </w:tr>
            <w:tr>
              <w:tc>
                <w:tcPr>
                  <w:tcW w:type="auto" w:w="0"/>
                  <w:shd w:val="clear" w:color="auto" w:fill="F0F0F0"/>
                </w:tcPr>
                <w:p>
                  <w:pPr>
                    <w:pStyle w:val="Normal"/>
                    <w:keepLines w:val="on"/>
                  </w:pPr>
                  <w:r>
                    <w:t>80,00%</w:t>
                  </w:r>
                </w:p>
              </w:tc>
              <w:tc>
                <w:tcPr>
                  <w:tcW w:type="auto" w:w="0"/>
                  <w:shd w:val="clear" w:color="auto" w:fill="F0F0F0"/>
                </w:tcPr>
                <w:p>
                  <w:pPr>
                    <w:pStyle w:val="Normal"/>
                    <w:keepLines w:val="on"/>
                  </w:pPr>
                  <w:r>
                    <w:t>400,00%</w:t>
                  </w:r>
                </w:p>
              </w:tc>
              <w:tc>
                <w:tcPr>
                  <w:tcW w:type="auto" w:w="0"/>
                  <w:shd w:val="clear" w:color="auto" w:fill="F0F0F0"/>
                </w:tcPr>
                <w:p>
                  <w:pPr>
                    <w:pStyle w:val="Normal"/>
                    <w:keepLines w:val="on"/>
                  </w:pPr>
                  <w:r>
                    <w:t>4,43</w:t>
                  </w:r>
                </w:p>
              </w:tc>
              <w:tc>
                <w:tcPr>
                  <w:tcW w:type="auto" w:w="0"/>
                  <w:shd w:val="clear" w:color="auto" w:fill="F0F0F0"/>
                </w:tcPr>
                <w:p>
                  <w:pPr>
                    <w:pStyle w:val="Normal"/>
                    <w:keepLines w:val="on"/>
                  </w:pPr>
                  <w:r>
                    <w:t>25,68%</w:t>
                  </w:r>
                </w:p>
              </w:tc>
            </w:tr>
            <w:tr>
              <w:tc>
                <w:tcPr>
                  <w:tcW w:type="auto" w:w="0"/>
                  <w:shd w:val="clear" w:color="auto" w:fill="F0F0F0"/>
                </w:tcPr>
                <w:p>
                  <w:pPr>
                    <w:pStyle w:val="Normal"/>
                    <w:keepLines w:val="on"/>
                  </w:pPr>
                  <w:r>
                    <w:t>90,00%</w:t>
                  </w:r>
                </w:p>
              </w:tc>
              <w:tc>
                <w:tcPr>
                  <w:tcW w:type="auto" w:w="0"/>
                  <w:shd w:val="clear" w:color="auto" w:fill="F0F0F0"/>
                </w:tcPr>
                <w:p>
                  <w:pPr>
                    <w:pStyle w:val="Normal"/>
                    <w:keepLines w:val="on"/>
                  </w:pPr>
                  <w:r>
                    <w:t>900,00%</w:t>
                  </w:r>
                </w:p>
              </w:tc>
              <w:tc>
                <w:tcPr>
                  <w:tcW w:type="auto" w:w="0"/>
                  <w:shd w:val="clear" w:color="auto" w:fill="F0F0F0"/>
                </w:tcPr>
                <w:p>
                  <w:pPr>
                    <w:pStyle w:val="Normal"/>
                    <w:keepLines w:val="on"/>
                  </w:pPr>
                  <w:r>
                    <w:t>8,88</w:t>
                  </w:r>
                </w:p>
              </w:tc>
              <w:tc>
                <w:tcPr>
                  <w:tcW w:type="auto" w:w="0"/>
                  <w:shd w:val="clear" w:color="auto" w:fill="F0F0F0"/>
                </w:tcPr>
                <w:p>
                  <w:pPr>
                    <w:pStyle w:val="Normal"/>
                    <w:keepLines w:val="on"/>
                  </w:pPr>
                  <w:r>
                    <w:t>46,94%</w:t>
                  </w:r>
                </w:p>
              </w:tc>
            </w:tr>
          </w:tbl>
          <w:p/>
        </w:tc>
      </w:tr>
    </w:tbl>
    <w:p>
      <w:pPr>
        <w:pStyle w:val="Para 04"/>
        <w:keepLines w:val="on"/>
      </w:pPr>
      <w:r>
        <w:t>Chúng ta tiếp tục sử dụng lãi suất trái phiếu kho bạc 4,5% và phần bù rủi ro vốn cổ phần 4,78% để tính chi phí vốn cổ phần ở mỗi mức nợ. Khi tính beta có đòn bẩy trong bảng này, chúng ta giả định rằng toàn bộ rủi ro thị trường do các nhà đầu tư vốn cổ phần gánh chịu (điều này có thể không thực tế), đặc biệt là ở các mức nợ cao hơn, và rằng công ty sẽ có thể nhận được toàn bộ lợi ích thuế từ chi phí lãi vay ngay cả ở tỷ lệ nợ rất cao.</w:t>
      </w:r>
    </w:p>
    <w:p>
      <w:bookmarkStart w:id="3076" w:name="Disney_s_Cost_of_Debt_and_Levera"/>
      <w:bookmarkStart w:id="3077" w:name="Disney_s_Cost_of_Debt_and_Levera_1"/>
      <w:pPr>
        <w:keepNext/>
        <w:pStyle w:val="Para 36"/>
        <w:keepLines w:val="on"/>
      </w:pPr>
      <w:r>
        <w:t>Chi phí nợ và đòn bẩy của Disney</w:t>
      </w:r>
      <w:bookmarkEnd w:id="3076"/>
      <w:bookmarkEnd w:id="3077"/>
    </w:p>
    <w:p>
      <w:pPr>
        <w:pStyle w:val="Para 04"/>
        <w:keepLines w:val="on"/>
      </w:pPr>
      <w:r>
        <w:t>Có một số tỷ số tài chính tương quan với xếp hạng trái phiếu, và chúng ta đối mặt với hai lựa chọn. Một là xây dựng một mô hình bao gồm nhiều tỷ số tài chính để ước tính xếp hạng tổng hợp ở mỗi tỷ lệ nợ. Ngoài việc tốn nhiều công sức và dữ liệu hơn, cách tiếp cận này sẽ khiến quy trình xếp hạng kém minh bạch hơn và khó giải mã hơn. Hai là giữ nguyên cách tiếp cận đơn giản mà chúng ta đã phát triển ở Chương 8, đó là liên kết xếp hạng với tỷ số khả năng thanh toán lãi vay, với tỷ số được định nghĩa như sau:</w:t>
      </w:r>
    </w:p>
    <w:p>
      <w:bookmarkStart w:id="3078" w:name="Interest_coverage_ratio_Earnings"/>
      <w:pPr>
        <w:keepNext/>
        <w:pStyle w:val="Para 07"/>
        <w:keepLines w:val="on"/>
      </w:pPr>
      <w:r>
        <w:t>Tỷ số khả năng thanh toán lãi vay = Lợi nhuận trước lãi vay và thuế / Chi phí lãi vay</w:t>
      </w:r>
      <w:bookmarkEnd w:id="3078"/>
    </w:p>
    <w:p>
      <w:pPr>
        <w:pStyle w:val="Para 04"/>
        <w:keepLines w:val="on"/>
      </w:pPr>
      <w:r>
        <w:t>Chúng ta sẽ giữ cách tiếp cận đơn giản hơn vì ba lý do. Thứ nhất, chúng ta không nhắm đến độ chính xác tuyệt đối trong chi phí nợ, mà chỉ cần một con số gần đúng. Vì các cách tiếp cận phức tạp hơn cũng chỉ đưa ra con số gần đúng, chúng ta sẽ nghiêng về phía minh bạch. Thứ hai, có sự tương quan đáng kể không chỉ giữa tỷ số khả năng thanh toán lãi vay và xếp hạng trái phiếu mà còn giữa tỷ số khả năng thanh toán lãi vay và các tỷ số khác được dùng trong phân tích, chẳng hạn như tỷ số khả năng thanh toán nợ và các tỷ số dòng tiền. Nói cách khác, chúng ta có thể chỉ thêm được rất ít khi đưa thêm các tỷ số tương quan với tỷ số khả năng thanh toán lãi vay vào hỗn hợp, bao gồm cả EBITDA/chi phí cố định. Thứ ba, tỷ số khả năng thanh toán lãi vay thay đổi khi công ty thay đổi cơ cấu tài trợ và giảm xuống khi tỷ lệ nợ tăng lên, đây là một yêu cầu then chốt vì chúng ta cần chi phí nợ thay đổi khi tỷ lệ nợ thay đổi.</w:t>
      </w:r>
    </w:p>
    <w:p>
      <w:pPr>
        <w:pStyle w:val="Para 04"/>
        <w:keepLines w:val="on"/>
      </w:pPr>
      <w:r>
        <w:t>Để đưa ra ước tính về xếp hạng tổng hợp, chúng ta sẽ sử dụng bảng tra cứu mà chúng ta đã giới thiệu ở Chương 8 dành cho các công ty có vốn hóa thị trường lớn (vì vốn hóa thị trường của Disney lớn hơn 5 tỷ đô la), và sử dụng mức chênh lệch vỡ nợ từ đầu năm 2009 để ước tính chi phí nợ trước thuế. Bảng 15.13 tái hiện những con số đó:</w:t>
      </w:r>
    </w:p>
    <w:p>
      <w:pPr>
        <w:pStyle w:val="Para 25"/>
        <w:keepLines w:val="on"/>
      </w:pPr>
      <w:r>
        <w:t>Bảng 15.13</w:t>
      </w:r>
    </w:p>
    <w:p>
      <w:pPr>
        <w:keepNext/>
        <w:pStyle w:val="Para 24"/>
        <w:keepLines w:val="on"/>
      </w:pPr>
      <w:r>
        <w:t>Xếp hạng và mức chênh lệch vỡ nợ</w:t>
      </w:r>
    </w:p>
    <w:tbl>
      <w:tblPr>
        <w:tblW w:type="auto" w:w="0"/>
      </w:tblPr>
      <w:tr>
        <w:tc>
          <w:tcPr>
            <w:tcW w:type="auto" w:w="0"/>
          </w:tcPr>
          <w:tbl>
            <w:tblPr>
              <w:tblW w:type="auto" w:w="0"/>
            </w:tblPr>
            <w:tr>
              <w:tc>
                <w:tcPr>
                  <w:tcW w:type="auto" w:w="0"/>
                  <w:shd w:val="clear" w:color="auto" w:fill="F0F0F0"/>
                </w:tcPr>
                <w:p>
                  <w:pPr>
                    <w:pStyle w:val="Para 05"/>
                    <w:keepLines w:val="on"/>
                  </w:pPr>
                  <w:r>
                    <w:t>Tỷ số khả năng thanh toán lãi vay</w:t>
                  </w:r>
                </w:p>
              </w:tc>
              <w:tc>
                <w:tcPr>
                  <w:tcW w:type="auto" w:w="0"/>
                  <w:shd w:val="clear" w:color="auto" w:fill="F0F0F0"/>
                </w:tcPr>
                <w:p>
                  <w:pPr>
                    <w:pStyle w:val="Para 05"/>
                    <w:keepLines w:val="on"/>
                  </w:pPr>
                  <w:r>
                    <w:t>Xếp hạng</w:t>
                  </w:r>
                </w:p>
              </w:tc>
              <w:tc>
                <w:tcPr>
                  <w:tcW w:type="auto" w:w="0"/>
                  <w:shd w:val="clear" w:color="auto" w:fill="F0F0F0"/>
                </w:tcPr>
                <w:p>
                  <w:pPr>
                    <w:pStyle w:val="Para 05"/>
                    <w:keepLines w:val="on"/>
                  </w:pPr>
                  <w:r>
                    <w:t>Mức chênh lệch vỡ nợ điển hình</w:t>
                  </w:r>
                </w:p>
              </w:tc>
            </w:tr>
            <w:tr>
              <w:tc>
                <w:tcPr>
                  <w:tcW w:type="auto" w:w="0"/>
                  <w:shd w:val="clear" w:color="auto" w:fill="F0F0F0"/>
                </w:tcPr>
                <w:p>
                  <w:pPr>
                    <w:pStyle w:val="Normal"/>
                    <w:keepLines w:val="on"/>
                  </w:pPr>
                  <w:r>
                    <w:t>&gt;8,5</w:t>
                  </w:r>
                </w:p>
              </w:tc>
              <w:tc>
                <w:tcPr>
                  <w:tcW w:type="auto" w:w="0"/>
                  <w:shd w:val="clear" w:color="auto" w:fill="F0F0F0"/>
                </w:tcPr>
                <w:p>
                  <w:pPr>
                    <w:pStyle w:val="Normal"/>
                    <w:keepLines w:val="on"/>
                  </w:pPr>
                  <w:r>
                    <w:t>AAA</w:t>
                  </w:r>
                </w:p>
              </w:tc>
              <w:tc>
                <w:tcPr>
                  <w:tcW w:type="auto" w:w="0"/>
                  <w:shd w:val="clear" w:color="auto" w:fill="F0F0F0"/>
                </w:tcPr>
                <w:p>
                  <w:pPr>
                    <w:pStyle w:val="Normal"/>
                    <w:keepLines w:val="on"/>
                  </w:pPr>
                  <w:r>
                    <w:t>0,59%</w:t>
                  </w:r>
                </w:p>
              </w:tc>
            </w:tr>
            <w:tr>
              <w:tc>
                <w:tcPr>
                  <w:tcW w:type="auto" w:w="0"/>
                  <w:shd w:val="clear" w:color="auto" w:fill="F0F0F0"/>
                </w:tcPr>
                <w:p>
                  <w:pPr>
                    <w:pStyle w:val="Normal"/>
                    <w:keepLines w:val="on"/>
                  </w:pPr>
                  <w:r>
                    <w:t>6,5–8,5</w:t>
                  </w:r>
                </w:p>
              </w:tc>
              <w:tc>
                <w:tcPr>
                  <w:tcW w:type="auto" w:w="0"/>
                  <w:shd w:val="clear" w:color="auto" w:fill="F0F0F0"/>
                </w:tcPr>
                <w:p>
                  <w:pPr>
                    <w:pStyle w:val="Normal"/>
                    <w:keepLines w:val="on"/>
                  </w:pPr>
                  <w:r>
                    <w:t>AA</w:t>
                  </w:r>
                </w:p>
              </w:tc>
              <w:tc>
                <w:tcPr>
                  <w:tcW w:type="auto" w:w="0"/>
                  <w:shd w:val="clear" w:color="auto" w:fill="F0F0F0"/>
                </w:tcPr>
                <w:p>
                  <w:pPr>
                    <w:pStyle w:val="Normal"/>
                    <w:keepLines w:val="on"/>
                  </w:pPr>
                  <w:r>
                    <w:t>0,70%</w:t>
                  </w:r>
                </w:p>
              </w:tc>
            </w:tr>
            <w:tr>
              <w:tc>
                <w:tcPr>
                  <w:tcW w:type="auto" w:w="0"/>
                  <w:shd w:val="clear" w:color="auto" w:fill="F0F0F0"/>
                </w:tcPr>
                <w:p>
                  <w:pPr>
                    <w:pStyle w:val="Normal"/>
                    <w:keepLines w:val="on"/>
                  </w:pPr>
                  <w:r>
                    <w:t>5,5–6,5</w:t>
                  </w:r>
                </w:p>
              </w:tc>
              <w:tc>
                <w:tcPr>
                  <w:tcW w:type="auto" w:w="0"/>
                  <w:shd w:val="clear" w:color="auto" w:fill="F0F0F0"/>
                </w:tcPr>
                <w:p>
                  <w:pPr>
                    <w:pStyle w:val="Normal"/>
                    <w:keepLines w:val="on"/>
                  </w:pPr>
                  <w:r>
                    <w:t>A+</w:t>
                  </w:r>
                </w:p>
              </w:tc>
              <w:tc>
                <w:tcPr>
                  <w:tcW w:type="auto" w:w="0"/>
                  <w:shd w:val="clear" w:color="auto" w:fill="F0F0F0"/>
                </w:tcPr>
                <w:p>
                  <w:pPr>
                    <w:pStyle w:val="Normal"/>
                    <w:keepLines w:val="on"/>
                  </w:pPr>
                  <w:r>
                    <w:t>0,92%</w:t>
                  </w:r>
                </w:p>
              </w:tc>
            </w:tr>
            <w:tr>
              <w:tc>
                <w:tcPr>
                  <w:tcW w:type="auto" w:w="0"/>
                  <w:shd w:val="clear" w:color="auto" w:fill="F0F0F0"/>
                </w:tcPr>
                <w:p>
                  <w:pPr>
                    <w:pStyle w:val="Normal"/>
                    <w:keepLines w:val="on"/>
                  </w:pPr>
                  <w:r>
                    <w:t>4,25–5,5</w:t>
                  </w:r>
                </w:p>
              </w:tc>
              <w:tc>
                <w:tcPr>
                  <w:tcW w:type="auto" w:w="0"/>
                  <w:shd w:val="clear" w:color="auto" w:fill="F0F0F0"/>
                </w:tcPr>
                <w:p>
                  <w:pPr>
                    <w:pStyle w:val="Normal"/>
                    <w:keepLines w:val="on"/>
                  </w:pPr>
                  <w:r>
                    <w:t>A</w:t>
                  </w:r>
                </w:p>
              </w:tc>
              <w:tc>
                <w:tcPr>
                  <w:tcW w:type="auto" w:w="0"/>
                  <w:shd w:val="clear" w:color="auto" w:fill="F0F0F0"/>
                </w:tcPr>
                <w:p>
                  <w:pPr>
                    <w:pStyle w:val="Normal"/>
                    <w:keepLines w:val="on"/>
                  </w:pPr>
                  <w:r>
                    <w:t>1,07%</w:t>
                  </w:r>
                </w:p>
              </w:tc>
            </w:tr>
            <w:tr>
              <w:tc>
                <w:tcPr>
                  <w:tcW w:type="auto" w:w="0"/>
                  <w:shd w:val="clear" w:color="auto" w:fill="F0F0F0"/>
                </w:tcPr>
                <w:p>
                  <w:pPr>
                    <w:pStyle w:val="Normal"/>
                    <w:keepLines w:val="on"/>
                  </w:pPr>
                  <w:r>
                    <w:t>3,0–4,25</w:t>
                  </w:r>
                </w:p>
              </w:tc>
              <w:tc>
                <w:tcPr>
                  <w:tcW w:type="auto" w:w="0"/>
                  <w:shd w:val="clear" w:color="auto" w:fill="F0F0F0"/>
                </w:tcPr>
                <w:p>
                  <w:pPr>
                    <w:pStyle w:val="Normal"/>
                    <w:keepLines w:val="on"/>
                  </w:pPr>
                  <w:r>
                    <w:t>A−</w:t>
                  </w:r>
                </w:p>
              </w:tc>
              <w:tc>
                <w:tcPr>
                  <w:tcW w:type="auto" w:w="0"/>
                  <w:shd w:val="clear" w:color="auto" w:fill="F0F0F0"/>
                </w:tcPr>
                <w:p>
                  <w:pPr>
                    <w:pStyle w:val="Normal"/>
                    <w:keepLines w:val="on"/>
                  </w:pPr>
                  <w:r>
                    <w:t>1,21%</w:t>
                  </w:r>
                </w:p>
              </w:tc>
            </w:tr>
            <w:tr>
              <w:tc>
                <w:tcPr>
                  <w:tcW w:type="auto" w:w="0"/>
                  <w:shd w:val="clear" w:color="auto" w:fill="F0F0F0"/>
                </w:tcPr>
                <w:p>
                  <w:pPr>
                    <w:pStyle w:val="Normal"/>
                    <w:keepLines w:val="on"/>
                  </w:pPr>
                  <w:r>
                    <w:t>2,5–3,0</w:t>
                  </w:r>
                </w:p>
              </w:tc>
              <w:tc>
                <w:tcPr>
                  <w:tcW w:type="auto" w:w="0"/>
                  <w:shd w:val="clear" w:color="auto" w:fill="F0F0F0"/>
                </w:tcPr>
                <w:p>
                  <w:pPr>
                    <w:pStyle w:val="Normal"/>
                    <w:keepLines w:val="on"/>
                  </w:pPr>
                  <w:r>
                    <w:t>BBB</w:t>
                  </w:r>
                </w:p>
              </w:tc>
              <w:tc>
                <w:tcPr>
                  <w:tcW w:type="auto" w:w="0"/>
                  <w:shd w:val="clear" w:color="auto" w:fill="F0F0F0"/>
                </w:tcPr>
                <w:p>
                  <w:pPr>
                    <w:pStyle w:val="Normal"/>
                    <w:keepLines w:val="on"/>
                  </w:pPr>
                  <w:r>
                    <w:t>1,47%</w:t>
                  </w:r>
                </w:p>
              </w:tc>
            </w:tr>
            <w:tr>
              <w:tc>
                <w:tcPr>
                  <w:tcW w:type="auto" w:w="0"/>
                  <w:shd w:val="clear" w:color="auto" w:fill="F0F0F0"/>
                </w:tcPr>
                <w:p>
                  <w:pPr>
                    <w:pStyle w:val="Normal"/>
                    <w:keepLines w:val="on"/>
                  </w:pPr>
                  <w:r>
                    <w:t>2,25–2,5</w:t>
                  </w:r>
                </w:p>
              </w:tc>
              <w:tc>
                <w:tcPr>
                  <w:tcW w:type="auto" w:w="0"/>
                  <w:shd w:val="clear" w:color="auto" w:fill="F0F0F0"/>
                </w:tcPr>
                <w:p>
                  <w:pPr>
                    <w:pStyle w:val="Normal"/>
                    <w:keepLines w:val="on"/>
                  </w:pPr>
                  <w:r>
                    <w:t>BB+</w:t>
                  </w:r>
                </w:p>
              </w:tc>
              <w:tc>
                <w:tcPr>
                  <w:tcW w:type="auto" w:w="0"/>
                  <w:shd w:val="clear" w:color="auto" w:fill="F0F0F0"/>
                </w:tcPr>
                <w:p>
                  <w:pPr>
                    <w:pStyle w:val="Normal"/>
                    <w:keepLines w:val="on"/>
                  </w:pPr>
                  <w:r>
                    <w:t>1,74%</w:t>
                  </w:r>
                </w:p>
              </w:tc>
            </w:tr>
            <w:tr>
              <w:tc>
                <w:tcPr>
                  <w:tcW w:type="auto" w:w="0"/>
                  <w:shd w:val="clear" w:color="auto" w:fill="F0F0F0"/>
                </w:tcPr>
                <w:p>
                  <w:pPr>
                    <w:pStyle w:val="Normal"/>
                    <w:keepLines w:val="on"/>
                  </w:pPr>
                  <w:r>
                    <w:t>2,0–2,25</w:t>
                  </w:r>
                </w:p>
              </w:tc>
              <w:tc>
                <w:tcPr>
                  <w:tcW w:type="auto" w:w="0"/>
                  <w:shd w:val="clear" w:color="auto" w:fill="F0F0F0"/>
                </w:tcPr>
                <w:p>
                  <w:pPr>
                    <w:pStyle w:val="Normal"/>
                    <w:keepLines w:val="on"/>
                  </w:pPr>
                  <w:r>
                    <w:t>BB</w:t>
                  </w:r>
                </w:p>
              </w:tc>
              <w:tc>
                <w:tcPr>
                  <w:tcW w:type="auto" w:w="0"/>
                  <w:shd w:val="clear" w:color="auto" w:fill="F0F0F0"/>
                </w:tcPr>
                <w:p>
                  <w:pPr>
                    <w:pStyle w:val="Normal"/>
                    <w:keepLines w:val="on"/>
                  </w:pPr>
                  <w:r>
                    <w:t>2,21%</w:t>
                  </w:r>
                </w:p>
              </w:tc>
            </w:tr>
            <w:tr>
              <w:tc>
                <w:tcPr>
                  <w:tcW w:type="auto" w:w="0"/>
                  <w:shd w:val="clear" w:color="auto" w:fill="F0F0F0"/>
                </w:tcPr>
                <w:p>
                  <w:pPr>
                    <w:pStyle w:val="Normal"/>
                    <w:keepLines w:val="on"/>
                  </w:pPr>
                  <w:r>
                    <w:t>1,75–2,0</w:t>
                  </w:r>
                </w:p>
              </w:tc>
              <w:tc>
                <w:tcPr>
                  <w:tcW w:type="auto" w:w="0"/>
                  <w:shd w:val="clear" w:color="auto" w:fill="F0F0F0"/>
                </w:tcPr>
                <w:p>
                  <w:pPr>
                    <w:pStyle w:val="Normal"/>
                    <w:keepLines w:val="on"/>
                  </w:pPr>
                  <w:r>
                    <w:t>B+</w:t>
                  </w:r>
                </w:p>
              </w:tc>
              <w:tc>
                <w:tcPr>
                  <w:tcW w:type="auto" w:w="0"/>
                  <w:shd w:val="clear" w:color="auto" w:fill="F0F0F0"/>
                </w:tcPr>
                <w:p>
                  <w:pPr>
                    <w:pStyle w:val="Normal"/>
                    <w:keepLines w:val="on"/>
                  </w:pPr>
                  <w:r>
                    <w:t>3,14%</w:t>
                  </w:r>
                </w:p>
              </w:tc>
            </w:tr>
            <w:tr>
              <w:tc>
                <w:tcPr>
                  <w:tcW w:type="auto" w:w="0"/>
                  <w:shd w:val="clear" w:color="auto" w:fill="F0F0F0"/>
                </w:tcPr>
                <w:p>
                  <w:pPr>
                    <w:pStyle w:val="Normal"/>
                    <w:keepLines w:val="on"/>
                  </w:pPr>
                  <w:r>
                    <w:t>1,5–1,75</w:t>
                  </w:r>
                </w:p>
              </w:tc>
              <w:tc>
                <w:tcPr>
                  <w:tcW w:type="auto" w:w="0"/>
                  <w:shd w:val="clear" w:color="auto" w:fill="F0F0F0"/>
                </w:tcPr>
                <w:p>
                  <w:pPr>
                    <w:pStyle w:val="Normal"/>
                    <w:keepLines w:val="on"/>
                  </w:pPr>
                  <w:r>
                    <w:t>B</w:t>
                  </w:r>
                </w:p>
              </w:tc>
              <w:tc>
                <w:tcPr>
                  <w:tcW w:type="auto" w:w="0"/>
                  <w:shd w:val="clear" w:color="auto" w:fill="F0F0F0"/>
                </w:tcPr>
                <w:p>
                  <w:pPr>
                    <w:pStyle w:val="Normal"/>
                    <w:keepLines w:val="on"/>
                  </w:pPr>
                  <w:r>
                    <w:t>3,61%</w:t>
                  </w:r>
                </w:p>
              </w:tc>
            </w:tr>
            <w:tr>
              <w:tc>
                <w:tcPr>
                  <w:tcW w:type="auto" w:w="0"/>
                  <w:shd w:val="clear" w:color="auto" w:fill="F0F0F0"/>
                </w:tcPr>
                <w:p>
                  <w:pPr>
                    <w:pStyle w:val="Normal"/>
                    <w:keepLines w:val="on"/>
                  </w:pPr>
                  <w:r>
                    <w:t>1,25–1,5</w:t>
                  </w:r>
                </w:p>
              </w:tc>
              <w:tc>
                <w:tcPr>
                  <w:tcW w:type="auto" w:w="0"/>
                  <w:shd w:val="clear" w:color="auto" w:fill="F0F0F0"/>
                </w:tcPr>
                <w:p>
                  <w:pPr>
                    <w:pStyle w:val="Normal"/>
                    <w:keepLines w:val="on"/>
                  </w:pPr>
                  <w:r>
                    <w:t>B−</w:t>
                  </w:r>
                </w:p>
              </w:tc>
              <w:tc>
                <w:tcPr>
                  <w:tcW w:type="auto" w:w="0"/>
                  <w:shd w:val="clear" w:color="auto" w:fill="F0F0F0"/>
                </w:tcPr>
                <w:p>
                  <w:pPr>
                    <w:pStyle w:val="Normal"/>
                    <w:keepLines w:val="on"/>
                  </w:pPr>
                  <w:r>
                    <w:t>5,24%</w:t>
                  </w:r>
                </w:p>
              </w:tc>
            </w:tr>
            <w:tr>
              <w:tc>
                <w:tcPr>
                  <w:tcW w:type="auto" w:w="0"/>
                  <w:shd w:val="clear" w:color="auto" w:fill="F0F0F0"/>
                </w:tcPr>
                <w:p>
                  <w:pPr>
                    <w:pStyle w:val="Normal"/>
                    <w:keepLines w:val="on"/>
                  </w:pPr>
                  <w:r>
                    <w:t>0,8–1,25</w:t>
                  </w:r>
                </w:p>
              </w:tc>
              <w:tc>
                <w:tcPr>
                  <w:tcW w:type="auto" w:w="0"/>
                  <w:shd w:val="clear" w:color="auto" w:fill="F0F0F0"/>
                </w:tcPr>
                <w:p>
                  <w:pPr>
                    <w:pStyle w:val="Normal"/>
                    <w:keepLines w:val="on"/>
                  </w:pPr>
                  <w:r>
                    <w:t>CCC</w:t>
                  </w:r>
                </w:p>
              </w:tc>
              <w:tc>
                <w:tcPr>
                  <w:tcW w:type="auto" w:w="0"/>
                  <w:shd w:val="clear" w:color="auto" w:fill="F0F0F0"/>
                </w:tcPr>
                <w:p>
                  <w:pPr>
                    <w:pStyle w:val="Normal"/>
                    <w:keepLines w:val="on"/>
                  </w:pPr>
                  <w:r>
                    <w:t>8,51%</w:t>
                  </w:r>
                </w:p>
              </w:tc>
            </w:tr>
            <w:tr>
              <w:tc>
                <w:tcPr>
                  <w:tcW w:type="auto" w:w="0"/>
                  <w:shd w:val="clear" w:color="auto" w:fill="F0F0F0"/>
                </w:tcPr>
                <w:p>
                  <w:pPr>
                    <w:pStyle w:val="Normal"/>
                    <w:keepLines w:val="on"/>
                  </w:pPr>
                  <w:r>
                    <w:t>0,65–0,8</w:t>
                  </w:r>
                </w:p>
              </w:tc>
              <w:tc>
                <w:tcPr>
                  <w:tcW w:type="auto" w:w="0"/>
                  <w:shd w:val="clear" w:color="auto" w:fill="F0F0F0"/>
                </w:tcPr>
                <w:p>
                  <w:pPr>
                    <w:pStyle w:val="Normal"/>
                    <w:keepLines w:val="on"/>
                  </w:pPr>
                  <w:r>
                    <w:t>CC</w:t>
                  </w:r>
                </w:p>
              </w:tc>
              <w:tc>
                <w:tcPr>
                  <w:tcW w:type="auto" w:w="0"/>
                  <w:shd w:val="clear" w:color="auto" w:fill="F0F0F0"/>
                </w:tcPr>
                <w:p>
                  <w:pPr>
                    <w:pStyle w:val="Normal"/>
                    <w:keepLines w:val="on"/>
                  </w:pPr>
                  <w:r>
                    <w:t>11,78%</w:t>
                  </w:r>
                </w:p>
              </w:tc>
            </w:tr>
            <w:tr>
              <w:tc>
                <w:tcPr>
                  <w:tcW w:type="auto" w:w="0"/>
                  <w:shd w:val="clear" w:color="auto" w:fill="F0F0F0"/>
                </w:tcPr>
                <w:p>
                  <w:pPr>
                    <w:pStyle w:val="Normal"/>
                    <w:keepLines w:val="on"/>
                  </w:pPr>
                  <w:r>
                    <w:t>0,2–0,65</w:t>
                  </w:r>
                </w:p>
              </w:tc>
              <w:tc>
                <w:tcPr>
                  <w:tcW w:type="auto" w:w="0"/>
                  <w:shd w:val="clear" w:color="auto" w:fill="F0F0F0"/>
                </w:tcPr>
                <w:p>
                  <w:pPr>
                    <w:pStyle w:val="Normal"/>
                    <w:keepLines w:val="on"/>
                  </w:pPr>
                  <w:r>
                    <w:t>C</w:t>
                  </w:r>
                </w:p>
              </w:tc>
              <w:tc>
                <w:tcPr>
                  <w:tcW w:type="auto" w:w="0"/>
                  <w:shd w:val="clear" w:color="auto" w:fill="F0F0F0"/>
                </w:tcPr>
                <w:p>
                  <w:pPr>
                    <w:pStyle w:val="Normal"/>
                    <w:keepLines w:val="on"/>
                  </w:pPr>
                  <w:r>
                    <w:t>17,00%</w:t>
                  </w:r>
                </w:p>
              </w:tc>
            </w:tr>
            <w:tr>
              <w:tc>
                <w:tcPr>
                  <w:tcW w:type="auto" w:w="0"/>
                  <w:shd w:val="clear" w:color="auto" w:fill="F0F0F0"/>
                </w:tcPr>
                <w:p>
                  <w:pPr>
                    <w:pStyle w:val="Normal"/>
                    <w:keepLines w:val="on"/>
                  </w:pPr>
                  <w:r>
                    <w:t>&lt;0,2</w:t>
                  </w:r>
                </w:p>
              </w:tc>
              <w:tc>
                <w:tcPr>
                  <w:tcW w:type="auto" w:w="0"/>
                  <w:shd w:val="clear" w:color="auto" w:fill="F0F0F0"/>
                </w:tcPr>
                <w:p>
                  <w:pPr>
                    <w:pStyle w:val="Normal"/>
                    <w:keepLines w:val="on"/>
                  </w:pPr>
                  <w:r>
                    <w:t>D</w:t>
                  </w:r>
                </w:p>
              </w:tc>
              <w:tc>
                <w:tcPr>
                  <w:tcW w:type="auto" w:w="0"/>
                  <w:shd w:val="clear" w:color="auto" w:fill="F0F0F0"/>
                </w:tcPr>
                <w:p>
                  <w:pPr>
                    <w:pStyle w:val="Normal"/>
                    <w:keepLines w:val="on"/>
                  </w:pPr>
                  <w:r>
                    <w:t>20,00%</w:t>
                  </w:r>
                </w:p>
              </w:tc>
            </w:tr>
          </w:tbl>
          <w:p>
            <w:pPr>
              <w:pStyle w:val="Para 55"/>
              <w:keepLines w:val="on"/>
            </w:pPr>
            <w:r>
              <w:t>Nguồn: Capital IQ, NAIC.</w:t>
            </w:r>
          </w:p>
        </w:tc>
      </w:tr>
    </w:tbl>
    <w:p>
      <w:pPr>
        <w:pStyle w:val="Para 04"/>
        <w:keepLines w:val="on"/>
      </w:pPr>
      <w:r>
        <w:t>Dùng bảng này làm kim chỉ nam, một công ty có tỷ lệ bao phủ lãi vay (interest coverage ratio) là 2,75 sẽ được xếp hạng BBB và mức chênh lệch vỡ nợ (default spread) là 1,47%, cộng thêm trên lãi suất phi rủi ro (risk-free rate).</w:t>
      </w:r>
    </w:p>
    <w:p>
      <w:pPr>
        <w:pStyle w:val="Para 04"/>
        <w:keepLines w:val="on"/>
      </w:pPr>
      <w:r>
        <w:t>Khả năng vay nợ của Disney được quyết định bởi sức mạnh lợi nhuận của công ty, và chúng ta sẽ bắt đầu bằng việc xem xét các con số chủ chốt từ báo cáo thu nhập của công ty cho năm tài chính gần nhất (năm kết thúc ngày 20 tháng 9 năm 2023) và năm trước đó (năm kết thúc ngày 30 tháng 9 năm 2022) trong Bảng 15.14.</w:t>
      </w:r>
    </w:p>
    <w:p>
      <w:pPr>
        <w:pStyle w:val="Para 25"/>
        <w:keepLines w:val="on"/>
      </w:pPr>
      <w:r>
        <w:t>Bảng 15.14</w:t>
      </w:r>
    </w:p>
    <w:p>
      <w:pPr>
        <w:keepNext/>
        <w:pStyle w:val="Para 24"/>
        <w:keepLines w:val="on"/>
      </w:pPr>
      <w:r>
        <w:t>Các chỉ số hoạt động năm cơ sở của Disney</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Năm tài chính 2022 (10/2021–9/2022)</w:t>
                  </w:r>
                </w:p>
              </w:tc>
              <w:tc>
                <w:tcPr>
                  <w:tcW w:type="auto" w:w="0"/>
                  <w:shd w:val="clear" w:color="auto" w:fill="F0F0F0"/>
                </w:tcPr>
                <w:p>
                  <w:pPr>
                    <w:pStyle w:val="Para 05"/>
                    <w:keepLines w:val="on"/>
                  </w:pPr>
                  <w:r>
                    <w:t>Năm tài chính 2023 (10/2022–9/2023)</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$82.772</w:t>
                  </w:r>
                </w:p>
              </w:tc>
              <w:tc>
                <w:tcPr>
                  <w:tcW w:type="auto" w:w="0"/>
                  <w:shd w:val="clear" w:color="auto" w:fill="F0F0F0"/>
                </w:tcPr>
                <w:p>
                  <w:pPr>
                    <w:pStyle w:val="Normal"/>
                    <w:keepLines w:val="on"/>
                  </w:pPr>
                  <w:r>
                    <w:t>$88.898</w:t>
                  </w:r>
                </w:p>
              </w:tc>
            </w:tr>
            <w:tr>
              <w:tc>
                <w:tcPr>
                  <w:tcW w:type="auto" w:w="0"/>
                  <w:shd w:val="clear" w:color="auto" w:fill="F0F0F0"/>
                </w:tcPr>
                <w:p>
                  <w:pPr>
                    <w:pStyle w:val="Para 02"/>
                    <w:keepLines w:val="on"/>
                  </w:pPr>
                  <w:r>
                    <w:t>EBITDA</w:t>
                  </w:r>
                </w:p>
              </w:tc>
              <w:tc>
                <w:tcPr>
                  <w:tcW w:type="auto" w:w="0"/>
                  <w:shd w:val="clear" w:color="auto" w:fill="F0F0F0"/>
                </w:tcPr>
                <w:p>
                  <w:pPr>
                    <w:pStyle w:val="Normal"/>
                    <w:keepLines w:val="on"/>
                  </w:pPr>
                  <w:r>
                    <w:t>$11.995</w:t>
                  </w:r>
                </w:p>
              </w:tc>
              <w:tc>
                <w:tcPr>
                  <w:tcW w:type="auto" w:w="0"/>
                  <w:shd w:val="clear" w:color="auto" w:fill="F0F0F0"/>
                </w:tcPr>
                <w:p>
                  <w:pPr>
                    <w:pStyle w:val="Normal"/>
                    <w:keepLines w:val="on"/>
                  </w:pPr>
                  <w:r>
                    <w:t>$14.702</w:t>
                  </w:r>
                </w:p>
              </w:tc>
            </w:tr>
            <w:tr>
              <w:tc>
                <w:tcPr>
                  <w:tcW w:type="auto" w:w="0"/>
                  <w:shd w:val="clear" w:color="auto" w:fill="F0F0F0"/>
                </w:tcPr>
                <w:p>
                  <w:pPr>
                    <w:pStyle w:val="Para 02"/>
                    <w:keepLines w:val="on"/>
                  </w:pPr>
                  <w:r>
                    <w:t>Khấu hao và phân bổ</w:t>
                  </w:r>
                </w:p>
              </w:tc>
              <w:tc>
                <w:tcPr>
                  <w:tcW w:type="auto" w:w="0"/>
                  <w:shd w:val="clear" w:color="auto" w:fill="F0F0F0"/>
                </w:tcPr>
                <w:p>
                  <w:pPr>
                    <w:pStyle w:val="Normal"/>
                    <w:keepLines w:val="on"/>
                  </w:pPr>
                  <w:r>
                    <w:t>$5.163</w:t>
                  </w:r>
                </w:p>
              </w:tc>
              <w:tc>
                <w:tcPr>
                  <w:tcW w:type="auto" w:w="0"/>
                  <w:shd w:val="clear" w:color="auto" w:fill="F0F0F0"/>
                </w:tcPr>
                <w:p>
                  <w:pPr>
                    <w:pStyle w:val="Normal"/>
                    <w:keepLines w:val="on"/>
                  </w:pPr>
                  <w:r>
                    <w:t>$5.370</w:t>
                  </w:r>
                </w:p>
              </w:tc>
            </w:tr>
            <w:tr>
              <w:tc>
                <w:tcPr>
                  <w:tcW w:type="auto" w:w="0"/>
                  <w:shd w:val="clear" w:color="auto" w:fill="F0F0F0"/>
                </w:tcPr>
                <w:p>
                  <w:pPr>
                    <w:pStyle w:val="Para 02"/>
                    <w:keepLines w:val="on"/>
                  </w:pPr>
                  <w:r>
                    <w:t>EBIT</w:t>
                  </w:r>
                </w:p>
              </w:tc>
              <w:tc>
                <w:tcPr>
                  <w:tcW w:type="auto" w:w="0"/>
                  <w:shd w:val="clear" w:color="auto" w:fill="F0F0F0"/>
                </w:tcPr>
                <w:p>
                  <w:pPr>
                    <w:pStyle w:val="Normal"/>
                    <w:keepLines w:val="on"/>
                  </w:pPr>
                  <w:r>
                    <w:t>$6832</w:t>
                  </w:r>
                </w:p>
              </w:tc>
              <w:tc>
                <w:tcPr>
                  <w:tcW w:type="auto" w:w="0"/>
                  <w:shd w:val="clear" w:color="auto" w:fill="F0F0F0"/>
                </w:tcPr>
                <w:p>
                  <w:pPr>
                    <w:pStyle w:val="Normal"/>
                    <w:keepLines w:val="on"/>
                  </w:pPr>
                  <w:r>
                    <w:t>$9,332</w:t>
                  </w:r>
                </w:p>
              </w:tc>
            </w:tr>
            <w:tr>
              <w:tc>
                <w:tcPr>
                  <w:tcW w:type="auto" w:w="0"/>
                  <w:shd w:val="clear" w:color="auto" w:fill="F0F0F0"/>
                </w:tcPr>
                <w:p>
                  <w:pPr>
                    <w:pStyle w:val="Para 02"/>
                    <w:keepLines w:val="on"/>
                  </w:pPr>
                  <w:r>
                    <w:t>Chi phí lãi vay</w:t>
                  </w:r>
                </w:p>
              </w:tc>
              <w:tc>
                <w:tcPr>
                  <w:tcW w:type="auto" w:w="0"/>
                  <w:shd w:val="clear" w:color="auto" w:fill="F0F0F0"/>
                </w:tcPr>
                <w:p>
                  <w:pPr>
                    <w:pStyle w:val="Normal"/>
                    <w:keepLines w:val="on"/>
                  </w:pPr>
                  <w:r>
                    <w:t>$1,549</w:t>
                  </w:r>
                </w:p>
              </w:tc>
              <w:tc>
                <w:tcPr>
                  <w:tcW w:type="auto" w:w="0"/>
                  <w:shd w:val="clear" w:color="auto" w:fill="F0F0F0"/>
                </w:tcPr>
                <w:p>
                  <w:pPr>
                    <w:pStyle w:val="Normal"/>
                    <w:keepLines w:val="on"/>
                  </w:pPr>
                  <w:r>
                    <w:t>$1,973</w:t>
                  </w:r>
                </w:p>
              </w:tc>
            </w:tr>
            <w:tr>
              <w:tc>
                <w:tcPr>
                  <w:tcW w:type="auto" w:w="0"/>
                  <w:shd w:val="clear" w:color="auto" w:fill="F0F0F0"/>
                </w:tcPr>
                <w:p>
                  <w:pPr>
                    <w:pStyle w:val="Para 02"/>
                    <w:keepLines w:val="on"/>
                  </w:pPr>
                  <w:r>
                    <w:t>EBITDA (điều chỉnh cho thuê)</w:t>
                  </w:r>
                </w:p>
              </w:tc>
              <w:tc>
                <w:tcPr>
                  <w:tcW w:type="auto" w:w="0"/>
                  <w:shd w:val="clear" w:color="auto" w:fill="F0F0F0"/>
                </w:tcPr>
                <w:p>
                  <w:pPr>
                    <w:pStyle w:val="Normal"/>
                    <w:keepLines w:val="on"/>
                  </w:pPr>
                  <w:r>
                    <w:t>$13,102</w:t>
                  </w:r>
                </w:p>
              </w:tc>
              <w:tc>
                <w:tcPr>
                  <w:tcW w:type="auto" w:w="0"/>
                  <w:shd w:val="clear" w:color="auto" w:fill="F0F0F0"/>
                </w:tcPr>
                <w:p>
                  <w:pPr>
                    <w:pStyle w:val="Normal"/>
                    <w:keepLines w:val="on"/>
                  </w:pPr>
                  <w:r>
                    <w:t>$15,965</w:t>
                  </w:r>
                </w:p>
              </w:tc>
            </w:tr>
            <w:tr>
              <w:tc>
                <w:tcPr>
                  <w:tcW w:type="auto" w:w="0"/>
                  <w:shd w:val="clear" w:color="auto" w:fill="F0F0F0"/>
                </w:tcPr>
                <w:p>
                  <w:pPr>
                    <w:pStyle w:val="Para 02"/>
                    <w:keepLines w:val="on"/>
                  </w:pPr>
                  <w:r>
                    <w:t>EBIT (điều chỉnh cho thuê)</w:t>
                  </w:r>
                </w:p>
              </w:tc>
              <w:tc>
                <w:tcPr>
                  <w:tcW w:type="auto" w:w="0"/>
                  <w:shd w:val="clear" w:color="auto" w:fill="F0F0F0"/>
                </w:tcPr>
                <w:p>
                  <w:pPr>
                    <w:pStyle w:val="Normal"/>
                    <w:keepLines w:val="on"/>
                  </w:pPr>
                  <w:r>
                    <w:t>$7,750</w:t>
                  </w:r>
                </w:p>
              </w:tc>
              <w:tc>
                <w:tcPr>
                  <w:tcW w:type="auto" w:w="0"/>
                  <w:shd w:val="clear" w:color="auto" w:fill="F0F0F0"/>
                </w:tcPr>
                <w:p>
                  <w:pPr>
                    <w:pStyle w:val="Normal"/>
                    <w:keepLines w:val="on"/>
                  </w:pPr>
                  <w:r>
                    <w:t>$10,156</w:t>
                  </w:r>
                </w:p>
              </w:tc>
            </w:tr>
            <w:tr>
              <w:tc>
                <w:tcPr>
                  <w:tcW w:type="auto" w:w="0"/>
                  <w:shd w:val="clear" w:color="auto" w:fill="F0F0F0"/>
                </w:tcPr>
                <w:p>
                  <w:pPr>
                    <w:pStyle w:val="Para 02"/>
                    <w:keepLines w:val="on"/>
                  </w:pPr>
                  <w:r>
                    <w:t>Chi phí lãi vay (điều chỉnh cho thuê)</w:t>
                  </w:r>
                </w:p>
              </w:tc>
              <w:tc>
                <w:tcPr>
                  <w:tcW w:type="auto" w:w="0"/>
                  <w:shd w:val="clear" w:color="auto" w:fill="F0F0F0"/>
                </w:tcPr>
                <w:p>
                  <w:pPr>
                    <w:pStyle w:val="Normal"/>
                    <w:keepLines w:val="on"/>
                  </w:pPr>
                  <w:r>
                    <w:t>$1,705</w:t>
                  </w:r>
                </w:p>
              </w:tc>
              <w:tc>
                <w:tcPr>
                  <w:tcW w:type="auto" w:w="0"/>
                  <w:shd w:val="clear" w:color="auto" w:fill="F0F0F0"/>
                </w:tcPr>
                <w:p>
                  <w:pPr>
                    <w:pStyle w:val="Normal"/>
                    <w:keepLines w:val="on"/>
                  </w:pPr>
                  <w:r>
                    <w:t>$2,199</w:t>
                  </w:r>
                </w:p>
              </w:tc>
            </w:tr>
          </w:tbl>
          <w:p/>
        </w:tc>
      </w:tr>
    </w:tbl>
    <w:p>
      <w:pPr>
        <w:pStyle w:val="Para 04"/>
        <w:keepLines w:val="on"/>
      </w:pPr>
      <w:r>
        <w:t>Lưu ý rằng việc chuyển đổi các khoản thuê thành nợ ảnh hưởng đến cả thu nhập hoạt động và chi phí lãi vay; chi phí lãi vay ngầm định trên khoản nợ thuê được cộng vào cả thu nhập hoạt động và chi phí lãi vay.15 Vì các số liệu 12 tháng gần nhất đại diện cho thông tin mới hơn, chúng ta sẽ sử dụng những con số đó để đánh giá tỷ lệ nợ tối ưu của Disney. Dựa trên EBIT (điều chỉnh cho thuê) là $10,156 triệu và chi phí lãi vay là $2,199 triệu, Disney có tỷ lệ khả năng thanh toán lãi vay (interest coverage ratio) là 4.62, và xứng đáng được xếp hạng A, cao hơn một bậc so với xếp hạng thực tế của công ty là A−.</w:t>
      </w:r>
    </w:p>
    <w:p>
      <w:pPr>
        <w:pStyle w:val="Para 04"/>
        <w:keepLines w:val="on"/>
      </w:pPr>
      <w:r>
        <w:t>Để tính toán xếp hạng của Disney ở các mức nợ khác nhau, chúng ta bắt đầu bằng việc ước tính số nợ bằng đô la mà Disney sẽ cần phát hành để đạt được tỷ lệ nợ được chỉ định. Điều này có thể được thực hiện bằng cách nhân tổng giá trị doanh nghiệp (enterprise value) của công ty hiện nay với tỷ lệ nợ trên vốn mong muốn. Để minh họa, số nợ bằng đô la của Disney ở tỷ lệ nợ 10% sẽ là $22,242 triệu, được tính như sau:</w:t>
      </w:r>
    </w:p>
    <w:p>
      <w:pPr>
        <w:pStyle w:val="Para 59"/>
        <w:keepLines w:val="on"/>
      </w:pPr>
      <w:r>
        <w:rPr>
          <w:rStyle w:val="Text26"/>
        </w:rPr>
        <w:bookmarkStart w:id="3083" w:name="Page_475"/>
        <w:t/>
        <w:bookmarkEnd w:id="3083"/>
      </w:r>
      <w:r>
        <w:t xml:space="preserve"> </w:t>
      </w:r>
    </w:p>
    <w:p>
      <w:bookmarkStart w:id="3084" w:name="__Debt_at_10__Debt_to_Capital_Ra"/>
      <w:pPr>
        <w:keepNext/>
        <w:pStyle w:val="Para 07"/>
        <w:keepLines w:val="on"/>
      </w:pPr>
      <w:r>
        <w:t>Nợ bằng $ ở tỷ lệ nợ trên vốn 10%=(Vốn hóa thị trường+Tổng nợ (bao gồm thuê)-Tiền mặt)*.10 =($183,649+(46,491+3960)-11,615)*.10=$22,242 triệu</w:t>
      </w:r>
      <w:bookmarkEnd w:id="3084"/>
    </w:p>
    <w:p>
      <w:pPr>
        <w:pStyle w:val="Para 04"/>
        <w:keepLines w:val="on"/>
      </w:pPr>
      <w:r>
        <w:t>Bước thứ hai trong quy trình là tính chi phí lãi vay mà Disney sẽ có ở mức nợ này, bằng cách nhân số nợ bằng đô la với chi phí đi vay trước thuế ở tỷ lệ nợ đó. Chi phí lãi vay sau đó được sử dụng để tính tỷ lệ khả năng thanh toán lãi vay, và tỷ lệ này được dùng để tính xếp hạng tổng hợp (synthetic rating). Mức chênh lệch vỡ nợ (default spread) thu được dựa trên xếp hạng có thể được lấy từ Bảng 15.13, và cộng mức chênh lệch vỡ nợ vào lãi suất phi rủi ro sẽ cho ra chi phí đi vay trước thuế. Bảng 15.15 ước tính chi phí lãi vay, tỷ lệ khả năng thanh toán lãi vay và xếp hạng trái phiếu cho Disney ở tỷ lệ nợ 0% và 10%, tại mức thu nhập hoạt động hiện tại.</w:t>
      </w:r>
    </w:p>
    <w:p>
      <w:pPr>
        <w:pStyle w:val="Para 25"/>
        <w:keepLines w:val="on"/>
      </w:pPr>
      <w:r>
        <w:t>Bảng 15.15</w:t>
      </w:r>
    </w:p>
    <w:p>
      <w:pPr>
        <w:keepNext/>
        <w:pStyle w:val="Para 24"/>
        <w:keepLines w:val="on"/>
      </w:pPr>
      <w:r>
        <w:t>Chi phí nợ của Disney, theo tỷ lệ nợ</w:t>
      </w:r>
    </w:p>
    <w:tbl>
      <w:tblPr>
        <w:tblW w:type="auto" w:w="0"/>
      </w:tblPr>
      <w:tr>
        <w:tc>
          <w:tcPr>
            <w:tcW w:type="auto" w:w="0"/>
          </w:tcPr>
          <w:tbl>
            <w:tblPr>
              <w:tblW w:type="auto" w:w="0"/>
            </w:tblPr>
            <w:tr>
              <w:tc>
                <w:tcPr>
                  <w:tcW w:type="auto" w:w="0"/>
                  <w:shd w:val="clear" w:color="auto" w:fill="F0F0F0"/>
                  <w:vAlign w:val="bottom"/>
                </w:tcPr>
                <w:p>
                  <w:pPr>
                    <w:pStyle w:val="Para 05"/>
                    <w:keepLines w:val="on"/>
                  </w:pPr>
                  <w:r>
                    <w:t>D/(D + E)</w:t>
                  </w:r>
                </w:p>
              </w:tc>
              <w:tc>
                <w:tcPr>
                  <w:tcW w:type="auto" w:w="0"/>
                  <w:shd w:val="clear" w:color="auto" w:fill="F0F0F0"/>
                  <w:vAlign w:val="bottom"/>
                </w:tcPr>
                <w:p>
                  <w:pPr>
                    <w:pStyle w:val="Para 05"/>
                    <w:keepLines w:val="on"/>
                  </w:pPr>
                  <w:r>
                    <w:t>Nợ bằng $</w:t>
                  </w:r>
                </w:p>
              </w:tc>
              <w:tc>
                <w:tcPr>
                  <w:tcW w:type="auto" w:w="0"/>
                  <w:shd w:val="clear" w:color="auto" w:fill="F0F0F0"/>
                  <w:vAlign w:val="bottom"/>
                </w:tcPr>
                <w:p>
                  <w:pPr>
                    <w:pStyle w:val="Para 05"/>
                    <w:keepLines w:val="on"/>
                  </w:pPr>
                  <w:r>
                    <w:t>EBIT</w:t>
                  </w:r>
                </w:p>
              </w:tc>
              <w:tc>
                <w:tcPr>
                  <w:tcW w:type="auto" w:w="0"/>
                  <w:shd w:val="clear" w:color="auto" w:fill="F0F0F0"/>
                  <w:vAlign w:val="bottom"/>
                </w:tcPr>
                <w:p>
                  <w:pPr>
                    <w:pStyle w:val="Para 05"/>
                    <w:keepLines w:val="on"/>
                  </w:pPr>
                  <w:r>
                    <w:t>Chi phí lãi vay</w:t>
                  </w:r>
                </w:p>
              </w:tc>
              <w:tc>
                <w:tcPr>
                  <w:tcW w:type="auto" w:w="0"/>
                  <w:shd w:val="clear" w:color="auto" w:fill="F0F0F0"/>
                  <w:vAlign w:val="bottom"/>
                </w:tcPr>
                <w:p>
                  <w:pPr>
                    <w:pStyle w:val="Para 05"/>
                    <w:keepLines w:val="on"/>
                  </w:pPr>
                  <w:r>
                    <w:t>Khả năng chi trả lãi vay</w:t>
                  </w:r>
                </w:p>
              </w:tc>
              <w:tc>
                <w:tcPr>
                  <w:tcW w:type="auto" w:w="0"/>
                  <w:shd w:val="clear" w:color="auto" w:fill="F0F0F0"/>
                  <w:vAlign w:val="bottom"/>
                </w:tcPr>
                <w:p>
                  <w:pPr>
                    <w:pStyle w:val="Para 05"/>
                    <w:keepLines w:val="on"/>
                  </w:pPr>
                  <w:r>
                    <w:t>Xếp hạng dự kiến</w:t>
                  </w:r>
                </w:p>
              </w:tc>
              <w:tc>
                <w:tcPr>
                  <w:tcW w:type="auto" w:w="0"/>
                  <w:shd w:val="clear" w:color="auto" w:fill="F0F0F0"/>
                  <w:vAlign w:val="bottom"/>
                </w:tcPr>
                <w:p>
                  <w:pPr>
                    <w:pStyle w:val="Para 05"/>
                    <w:keepLines w:val="on"/>
                  </w:pPr>
                  <w:r>
                    <w:t>Chi phí nợ trước thuế</w:t>
                  </w:r>
                </w:p>
              </w:tc>
              <w:tc>
                <w:tcPr>
                  <w:tcW w:type="auto" w:w="0"/>
                  <w:shd w:val="clear" w:color="auto" w:fill="F0F0F0"/>
                  <w:vAlign w:val="bottom"/>
                </w:tcPr>
                <w:p>
                  <w:pPr>
                    <w:pStyle w:val="Para 05"/>
                    <w:keepLines w:val="on"/>
                  </w:pPr>
                  <w:r>
                    <w:t>Thuế suất điều chỉnh</w:t>
                  </w:r>
                </w:p>
              </w:tc>
              <w:tc>
                <w:tcPr>
                  <w:tcW w:type="auto" w:w="0"/>
                  <w:shd w:val="clear" w:color="auto" w:fill="F0F0F0"/>
                </w:tcPr>
                <w:p>
                  <w:pPr>
                    <w:pStyle w:val="Para 05"/>
                    <w:keepLines w:val="on"/>
                  </w:pPr>
                  <w:r>
                    <w:t>Chi phí nợ sau thuế</w:t>
                  </w:r>
                </w:p>
              </w:tc>
            </w:tr>
            <w:tr>
              <w:tc>
                <w:tcPr>
                  <w:tcW w:type="auto" w:w="0"/>
                  <w:shd w:val="clear" w:color="auto" w:fill="F0F0F0"/>
                </w:tcPr>
                <w:p>
                  <w:pPr>
                    <w:pStyle w:val="Normal"/>
                    <w:keepLines w:val="on"/>
                  </w:pPr>
                  <w:r>
                    <w:t>0,00%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$10.156</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w:t>
                  </w:r>
                </w:p>
              </w:tc>
              <w:tc>
                <w:tcPr>
                  <w:tcW w:type="auto" w:w="0"/>
                  <w:shd w:val="clear" w:color="auto" w:fill="F0F0F0"/>
                </w:tcPr>
                <w:p>
                  <w:pPr>
                    <w:pStyle w:val="Normal"/>
                    <w:keepLines w:val="on"/>
                  </w:pPr>
                  <w:r>
                    <w:t>Aaa/AAA</w:t>
                  </w:r>
                </w:p>
              </w:tc>
              <w:tc>
                <w:tcPr>
                  <w:tcW w:type="auto" w:w="0"/>
                  <w:shd w:val="clear" w:color="auto" w:fill="F0F0F0"/>
                </w:tcPr>
                <w:p>
                  <w:pPr>
                    <w:pStyle w:val="Normal"/>
                    <w:keepLines w:val="on"/>
                  </w:pPr>
                  <w:r>
                    <w:t>5,09%</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3,82%</w:t>
                  </w:r>
                </w:p>
              </w:tc>
            </w:tr>
            <w:tr>
              <w:tc>
                <w:tcPr>
                  <w:tcW w:type="auto" w:w="0"/>
                  <w:shd w:val="clear" w:color="auto" w:fill="F0F0F0"/>
                </w:tcPr>
                <w:p>
                  <w:pPr>
                    <w:pStyle w:val="Normal"/>
                    <w:keepLines w:val="on"/>
                  </w:pPr>
                  <w:r>
                    <w:t>10,00%</w:t>
                  </w:r>
                </w:p>
              </w:tc>
              <w:tc>
                <w:tcPr>
                  <w:tcW w:type="auto" w:w="0"/>
                  <w:shd w:val="clear" w:color="auto" w:fill="F0F0F0"/>
                </w:tcPr>
                <w:p>
                  <w:pPr>
                    <w:pStyle w:val="Normal"/>
                    <w:keepLines w:val="on"/>
                  </w:pPr>
                  <w:r>
                    <w:t>$22.242</w:t>
                  </w:r>
                </w:p>
              </w:tc>
              <w:tc>
                <w:tcPr>
                  <w:tcW w:type="auto" w:w="0"/>
                  <w:shd w:val="clear" w:color="auto" w:fill="F0F0F0"/>
                </w:tcPr>
                <w:p>
                  <w:pPr>
                    <w:pStyle w:val="Normal"/>
                    <w:keepLines w:val="on"/>
                  </w:pPr>
                  <w:r>
                    <w:t>$10.156</w:t>
                  </w:r>
                </w:p>
              </w:tc>
              <w:tc>
                <w:tcPr>
                  <w:tcW w:type="auto" w:w="0"/>
                  <w:shd w:val="clear" w:color="auto" w:fill="F0F0F0"/>
                </w:tcPr>
                <w:p>
                  <w:pPr>
                    <w:pStyle w:val="Normal"/>
                    <w:keepLines w:val="on"/>
                  </w:pPr>
                  <w:r>
                    <w:t>$945</w:t>
                  </w:r>
                </w:p>
              </w:tc>
              <w:tc>
                <w:tcPr>
                  <w:tcW w:type="auto" w:w="0"/>
                  <w:shd w:val="clear" w:color="auto" w:fill="F0F0F0"/>
                </w:tcPr>
                <w:p>
                  <w:pPr>
                    <w:pStyle w:val="Normal"/>
                    <w:keepLines w:val="on"/>
                  </w:pPr>
                  <w:r>
                    <w:t>10,75</w:t>
                  </w:r>
                </w:p>
              </w:tc>
              <w:tc>
                <w:tcPr>
                  <w:tcW w:type="auto" w:w="0"/>
                  <w:shd w:val="clear" w:color="auto" w:fill="F0F0F0"/>
                </w:tcPr>
                <w:p>
                  <w:pPr>
                    <w:pStyle w:val="Normal"/>
                    <w:keepLines w:val="on"/>
                  </w:pPr>
                  <w:r>
                    <w:t>Aaa/AAA</w:t>
                  </w:r>
                </w:p>
              </w:tc>
              <w:tc>
                <w:tcPr>
                  <w:tcW w:type="auto" w:w="0"/>
                  <w:shd w:val="clear" w:color="auto" w:fill="F0F0F0"/>
                </w:tcPr>
                <w:p>
                  <w:pPr>
                    <w:pStyle w:val="Normal"/>
                    <w:keepLines w:val="on"/>
                  </w:pPr>
                  <w:r>
                    <w:t>5,09%</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3,82%</w:t>
                  </w:r>
                </w:p>
              </w:tc>
            </w:tr>
            <w:tr>
              <w:tc>
                <w:tcPr>
                  <w:tcW w:type="auto" w:w="0"/>
                  <w:shd w:val="clear" w:color="auto" w:fill="F0F0F0"/>
                </w:tcPr>
                <w:p>
                  <w:pPr>
                    <w:pStyle w:val="Normal"/>
                    <w:keepLines w:val="on"/>
                  </w:pPr>
                  <w:r>
                    <w:t>20,00%</w:t>
                  </w:r>
                </w:p>
              </w:tc>
              <w:tc>
                <w:tcPr>
                  <w:tcW w:type="auto" w:w="0"/>
                  <w:shd w:val="clear" w:color="auto" w:fill="F0F0F0"/>
                </w:tcPr>
                <w:p>
                  <w:pPr>
                    <w:pStyle w:val="Normal"/>
                    <w:keepLines w:val="on"/>
                  </w:pPr>
                  <w:r>
                    <w:t>$44.485</w:t>
                  </w:r>
                </w:p>
              </w:tc>
              <w:tc>
                <w:tcPr>
                  <w:tcW w:type="auto" w:w="0"/>
                  <w:shd w:val="clear" w:color="auto" w:fill="F0F0F0"/>
                </w:tcPr>
                <w:p>
                  <w:pPr>
                    <w:pStyle w:val="Normal"/>
                    <w:keepLines w:val="on"/>
                  </w:pPr>
                  <w:r>
                    <w:t>$10,156</w:t>
                  </w:r>
                </w:p>
              </w:tc>
              <w:tc>
                <w:tcPr>
                  <w:tcW w:type="auto" w:w="0"/>
                  <w:shd w:val="clear" w:color="auto" w:fill="F0F0F0"/>
                </w:tcPr>
                <w:p>
                  <w:pPr>
                    <w:pStyle w:val="Normal"/>
                    <w:keepLines w:val="on"/>
                  </w:pPr>
                  <w:r>
                    <w:t>$1,890</w:t>
                  </w:r>
                </w:p>
              </w:tc>
              <w:tc>
                <w:tcPr>
                  <w:tcW w:type="auto" w:w="0"/>
                  <w:shd w:val="clear" w:color="auto" w:fill="F0F0F0"/>
                </w:tcPr>
                <w:p>
                  <w:pPr>
                    <w:pStyle w:val="Normal"/>
                    <w:keepLines w:val="on"/>
                  </w:pPr>
                  <w:r>
                    <w:t>5.37</w:t>
                  </w:r>
                </w:p>
              </w:tc>
              <w:tc>
                <w:tcPr>
                  <w:tcW w:type="auto" w:w="0"/>
                  <w:shd w:val="clear" w:color="auto" w:fill="F0F0F0"/>
                </w:tcPr>
                <w:p>
                  <w:pPr>
                    <w:pStyle w:val="Normal"/>
                    <w:keepLines w:val="on"/>
                  </w:pPr>
                  <w:r>
                    <w:t>A2/A</w:t>
                  </w:r>
                </w:p>
              </w:tc>
              <w:tc>
                <w:tcPr>
                  <w:tcW w:type="auto" w:w="0"/>
                  <w:shd w:val="clear" w:color="auto" w:fill="F0F0F0"/>
                </w:tcPr>
                <w:p>
                  <w:pPr>
                    <w:pStyle w:val="Normal"/>
                    <w:keepLines w:val="on"/>
                  </w:pPr>
                  <w:r>
                    <w:t>5.57%</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4.18%</w:t>
                  </w:r>
                </w:p>
              </w:tc>
            </w:tr>
            <w:tr>
              <w:tc>
                <w:tcPr>
                  <w:tcW w:type="auto" w:w="0"/>
                  <w:shd w:val="clear" w:color="auto" w:fill="F0F0F0"/>
                </w:tcPr>
                <w:p>
                  <w:pPr>
                    <w:pStyle w:val="Normal"/>
                    <w:keepLines w:val="on"/>
                  </w:pPr>
                  <w:r>
                    <w:t>30.00%</w:t>
                  </w:r>
                </w:p>
              </w:tc>
              <w:tc>
                <w:tcPr>
                  <w:tcW w:type="auto" w:w="0"/>
                  <w:shd w:val="clear" w:color="auto" w:fill="F0F0F0"/>
                </w:tcPr>
                <w:p>
                  <w:pPr>
                    <w:pStyle w:val="Normal"/>
                    <w:keepLines w:val="on"/>
                  </w:pPr>
                  <w:r>
                    <w:t>$66,727</w:t>
                  </w:r>
                </w:p>
              </w:tc>
              <w:tc>
                <w:tcPr>
                  <w:tcW w:type="auto" w:w="0"/>
                  <w:shd w:val="clear" w:color="auto" w:fill="F0F0F0"/>
                </w:tcPr>
                <w:p>
                  <w:pPr>
                    <w:pStyle w:val="Normal"/>
                    <w:keepLines w:val="on"/>
                  </w:pPr>
                  <w:r>
                    <w:t>$10,156</w:t>
                  </w:r>
                </w:p>
              </w:tc>
              <w:tc>
                <w:tcPr>
                  <w:tcW w:type="auto" w:w="0"/>
                  <w:shd w:val="clear" w:color="auto" w:fill="F0F0F0"/>
                </w:tcPr>
                <w:p>
                  <w:pPr>
                    <w:pStyle w:val="Normal"/>
                    <w:keepLines w:val="on"/>
                  </w:pPr>
                  <w:r>
                    <w:t>$3,132</w:t>
                  </w:r>
                </w:p>
              </w:tc>
              <w:tc>
                <w:tcPr>
                  <w:tcW w:type="auto" w:w="0"/>
                  <w:shd w:val="clear" w:color="auto" w:fill="F0F0F0"/>
                </w:tcPr>
                <w:p>
                  <w:pPr>
                    <w:pStyle w:val="Normal"/>
                    <w:keepLines w:val="on"/>
                  </w:pPr>
                  <w:r>
                    <w:t>3.24</w:t>
                  </w:r>
                </w:p>
              </w:tc>
              <w:tc>
                <w:tcPr>
                  <w:tcW w:type="auto" w:w="0"/>
                  <w:shd w:val="clear" w:color="auto" w:fill="F0F0F0"/>
                </w:tcPr>
                <w:p>
                  <w:pPr>
                    <w:pStyle w:val="Normal"/>
                    <w:keepLines w:val="on"/>
                  </w:pPr>
                  <w:r>
                    <w:t>A3/A−</w:t>
                  </w:r>
                </w:p>
              </w:tc>
              <w:tc>
                <w:tcPr>
                  <w:tcW w:type="auto" w:w="0"/>
                  <w:shd w:val="clear" w:color="auto" w:fill="F0F0F0"/>
                </w:tcPr>
                <w:p>
                  <w:pPr>
                    <w:pStyle w:val="Normal"/>
                    <w:keepLines w:val="on"/>
                  </w:pPr>
                  <w:r>
                    <w:t>5.71%</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4.28%</w:t>
                  </w:r>
                </w:p>
              </w:tc>
            </w:tr>
            <w:tr>
              <w:tc>
                <w:tcPr>
                  <w:tcW w:type="auto" w:w="0"/>
                  <w:shd w:val="clear" w:color="auto" w:fill="F0F0F0"/>
                </w:tcPr>
                <w:p>
                  <w:pPr>
                    <w:pStyle w:val="Normal"/>
                    <w:keepLines w:val="on"/>
                  </w:pPr>
                  <w:r>
                    <w:t>40.00%</w:t>
                  </w:r>
                </w:p>
              </w:tc>
              <w:tc>
                <w:tcPr>
                  <w:tcW w:type="auto" w:w="0"/>
                  <w:shd w:val="clear" w:color="auto" w:fill="F0F0F0"/>
                </w:tcPr>
                <w:p>
                  <w:pPr>
                    <w:pStyle w:val="Normal"/>
                    <w:keepLines w:val="on"/>
                  </w:pPr>
                  <w:r>
                    <w:t>$88,970</w:t>
                  </w:r>
                </w:p>
              </w:tc>
              <w:tc>
                <w:tcPr>
                  <w:tcW w:type="auto" w:w="0"/>
                  <w:shd w:val="clear" w:color="auto" w:fill="F0F0F0"/>
                </w:tcPr>
                <w:p>
                  <w:pPr>
                    <w:pStyle w:val="Normal"/>
                    <w:keepLines w:val="on"/>
                  </w:pPr>
                  <w:r>
                    <w:t>$10,156</w:t>
                  </w:r>
                </w:p>
              </w:tc>
              <w:tc>
                <w:tcPr>
                  <w:tcW w:type="auto" w:w="0"/>
                  <w:shd w:val="clear" w:color="auto" w:fill="F0F0F0"/>
                </w:tcPr>
                <w:p>
                  <w:pPr>
                    <w:pStyle w:val="Normal"/>
                    <w:keepLines w:val="on"/>
                  </w:pPr>
                  <w:r>
                    <w:t>$5,223</w:t>
                  </w:r>
                </w:p>
              </w:tc>
              <w:tc>
                <w:tcPr>
                  <w:tcW w:type="auto" w:w="0"/>
                  <w:shd w:val="clear" w:color="auto" w:fill="F0F0F0"/>
                </w:tcPr>
                <w:p>
                  <w:pPr>
                    <w:pStyle w:val="Normal"/>
                    <w:keepLines w:val="on"/>
                  </w:pPr>
                  <w:r>
                    <w:t>1.94</w:t>
                  </w:r>
                </w:p>
              </w:tc>
              <w:tc>
                <w:tcPr>
                  <w:tcW w:type="auto" w:w="0"/>
                  <w:shd w:val="clear" w:color="auto" w:fill="F0F0F0"/>
                </w:tcPr>
                <w:p>
                  <w:pPr>
                    <w:pStyle w:val="Normal"/>
                    <w:keepLines w:val="on"/>
                  </w:pPr>
                  <w:r>
                    <w:t>B1/B+</w:t>
                  </w:r>
                </w:p>
              </w:tc>
              <w:tc>
                <w:tcPr>
                  <w:tcW w:type="auto" w:w="0"/>
                  <w:shd w:val="clear" w:color="auto" w:fill="F0F0F0"/>
                </w:tcPr>
                <w:p>
                  <w:pPr>
                    <w:pStyle w:val="Normal"/>
                    <w:keepLines w:val="on"/>
                  </w:pPr>
                  <w:r>
                    <w:t>7.64%</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5.73%</w:t>
                  </w:r>
                </w:p>
              </w:tc>
            </w:tr>
            <w:tr>
              <w:tc>
                <w:tcPr>
                  <w:tcW w:type="auto" w:w="0"/>
                  <w:shd w:val="clear" w:color="auto" w:fill="F0F0F0"/>
                </w:tcPr>
                <w:p>
                  <w:pPr>
                    <w:pStyle w:val="Normal"/>
                    <w:keepLines w:val="on"/>
                  </w:pPr>
                  <w:r>
                    <w:t>50,00%</w:t>
                  </w:r>
                </w:p>
              </w:tc>
              <w:tc>
                <w:tcPr>
                  <w:tcW w:type="auto" w:w="0"/>
                  <w:shd w:val="clear" w:color="auto" w:fill="F0F0F0"/>
                </w:tcPr>
                <w:p>
                  <w:pPr>
                    <w:pStyle w:val="Normal"/>
                    <w:keepLines w:val="on"/>
                  </w:pPr>
                  <w:r>
                    <w:t>$111.212</w:t>
                  </w:r>
                </w:p>
              </w:tc>
              <w:tc>
                <w:tcPr>
                  <w:tcW w:type="auto" w:w="0"/>
                  <w:shd w:val="clear" w:color="auto" w:fill="F0F0F0"/>
                </w:tcPr>
                <w:p>
                  <w:pPr>
                    <w:pStyle w:val="Normal"/>
                    <w:keepLines w:val="on"/>
                  </w:pPr>
                  <w:r>
                    <w:t>$10.156</w:t>
                  </w:r>
                </w:p>
              </w:tc>
              <w:tc>
                <w:tcPr>
                  <w:tcW w:type="auto" w:w="0"/>
                  <w:shd w:val="clear" w:color="auto" w:fill="F0F0F0"/>
                </w:tcPr>
                <w:p>
                  <w:pPr>
                    <w:pStyle w:val="Normal"/>
                    <w:keepLines w:val="on"/>
                  </w:pPr>
                  <w:r>
                    <w:t>$15.901</w:t>
                  </w:r>
                </w:p>
              </w:tc>
              <w:tc>
                <w:tcPr>
                  <w:tcW w:type="auto" w:w="0"/>
                  <w:shd w:val="clear" w:color="auto" w:fill="F0F0F0"/>
                </w:tcPr>
                <w:p>
                  <w:pPr>
                    <w:pStyle w:val="Normal"/>
                    <w:keepLines w:val="on"/>
                  </w:pPr>
                  <w:r>
                    <w:t>0,64</w:t>
                  </w:r>
                </w:p>
              </w:tc>
              <w:tc>
                <w:tcPr>
                  <w:tcW w:type="auto" w:w="0"/>
                  <w:shd w:val="clear" w:color="auto" w:fill="F0F0F0"/>
                </w:tcPr>
                <w:p>
                  <w:pPr>
                    <w:pStyle w:val="Normal"/>
                    <w:keepLines w:val="on"/>
                  </w:pPr>
                  <w:r>
                    <w:t>C2/C</w:t>
                  </w:r>
                </w:p>
              </w:tc>
              <w:tc>
                <w:tcPr>
                  <w:tcW w:type="auto" w:w="0"/>
                  <w:shd w:val="clear" w:color="auto" w:fill="F0F0F0"/>
                </w:tcPr>
                <w:p>
                  <w:pPr>
                    <w:pStyle w:val="Normal"/>
                    <w:keepLines w:val="on"/>
                  </w:pPr>
                  <w:r>
                    <w:t>21,50%</w:t>
                  </w:r>
                </w:p>
              </w:tc>
              <w:tc>
                <w:tcPr>
                  <w:tcW w:type="auto" w:w="0"/>
                  <w:shd w:val="clear" w:color="auto" w:fill="F0F0F0"/>
                </w:tcPr>
                <w:p>
                  <w:pPr>
                    <w:pStyle w:val="Normal"/>
                    <w:keepLines w:val="on"/>
                  </w:pPr>
                  <w:r>
                    <w:t>15,97%</w:t>
                  </w:r>
                </w:p>
              </w:tc>
              <w:tc>
                <w:tcPr>
                  <w:tcW w:type="auto" w:w="0"/>
                  <w:shd w:val="clear" w:color="auto" w:fill="F0F0F0"/>
                </w:tcPr>
                <w:p>
                  <w:pPr>
                    <w:pStyle w:val="Normal"/>
                    <w:keepLines w:val="on"/>
                  </w:pPr>
                  <w:r>
                    <w:t>18,07%</w:t>
                  </w:r>
                </w:p>
              </w:tc>
            </w:tr>
            <w:tr>
              <w:tc>
                <w:tcPr>
                  <w:tcW w:type="auto" w:w="0"/>
                  <w:shd w:val="clear" w:color="auto" w:fill="F0F0F0"/>
                </w:tcPr>
                <w:p>
                  <w:pPr>
                    <w:pStyle w:val="Normal"/>
                    <w:keepLines w:val="on"/>
                  </w:pPr>
                  <w:r>
                    <w:t>60,00%</w:t>
                  </w:r>
                </w:p>
              </w:tc>
              <w:tc>
                <w:tcPr>
                  <w:tcW w:type="auto" w:w="0"/>
                  <w:shd w:val="clear" w:color="auto" w:fill="F0F0F0"/>
                </w:tcPr>
                <w:p>
                  <w:pPr>
                    <w:pStyle w:val="Normal"/>
                    <w:keepLines w:val="on"/>
                  </w:pPr>
                  <w:r>
                    <w:t>$133.455</w:t>
                  </w:r>
                </w:p>
              </w:tc>
              <w:tc>
                <w:tcPr>
                  <w:tcW w:type="auto" w:w="0"/>
                  <w:shd w:val="clear" w:color="auto" w:fill="F0F0F0"/>
                </w:tcPr>
                <w:p>
                  <w:pPr>
                    <w:pStyle w:val="Normal"/>
                    <w:keepLines w:val="on"/>
                  </w:pPr>
                  <w:r>
                    <w:t>$10.156</w:t>
                  </w:r>
                </w:p>
              </w:tc>
              <w:tc>
                <w:tcPr>
                  <w:tcW w:type="auto" w:w="0"/>
                  <w:shd w:val="clear" w:color="auto" w:fill="F0F0F0"/>
                </w:tcPr>
                <w:p>
                  <w:pPr>
                    <w:pStyle w:val="Normal"/>
                    <w:keepLines w:val="on"/>
                  </w:pPr>
                  <w:r>
                    <w:t>$20.683</w:t>
                  </w:r>
                </w:p>
              </w:tc>
              <w:tc>
                <w:tcPr>
                  <w:tcW w:type="auto" w:w="0"/>
                  <w:shd w:val="clear" w:color="auto" w:fill="F0F0F0"/>
                </w:tcPr>
                <w:p>
                  <w:pPr>
                    <w:pStyle w:val="Normal"/>
                    <w:keepLines w:val="on"/>
                  </w:pPr>
                  <w:r>
                    <w:t>0,49</w:t>
                  </w:r>
                </w:p>
              </w:tc>
              <w:tc>
                <w:tcPr>
                  <w:tcW w:type="auto" w:w="0"/>
                  <w:shd w:val="clear" w:color="auto" w:fill="F0F0F0"/>
                </w:tcPr>
                <w:p>
                  <w:pPr>
                    <w:pStyle w:val="Normal"/>
                    <w:keepLines w:val="on"/>
                  </w:pPr>
                  <w:r>
                    <w:t>C2/C</w:t>
                  </w:r>
                </w:p>
              </w:tc>
              <w:tc>
                <w:tcPr>
                  <w:tcW w:type="auto" w:w="0"/>
                  <w:shd w:val="clear" w:color="auto" w:fill="F0F0F0"/>
                </w:tcPr>
                <w:p>
                  <w:pPr>
                    <w:pStyle w:val="Normal"/>
                    <w:keepLines w:val="on"/>
                  </w:pPr>
                  <w:r>
                    <w:t>21,50%</w:t>
                  </w:r>
                </w:p>
              </w:tc>
              <w:tc>
                <w:tcPr>
                  <w:tcW w:type="auto" w:w="0"/>
                  <w:shd w:val="clear" w:color="auto" w:fill="F0F0F0"/>
                </w:tcPr>
                <w:p>
                  <w:pPr>
                    <w:pStyle w:val="Normal"/>
                    <w:keepLines w:val="on"/>
                  </w:pPr>
                  <w:r>
                    <w:t>12,28%</w:t>
                  </w:r>
                </w:p>
              </w:tc>
              <w:tc>
                <w:tcPr>
                  <w:tcW w:type="auto" w:w="0"/>
                  <w:shd w:val="clear" w:color="auto" w:fill="F0F0F0"/>
                </w:tcPr>
                <w:p>
                  <w:pPr>
                    <w:pStyle w:val="Normal"/>
                    <w:keepLines w:val="on"/>
                  </w:pPr>
                  <w:r>
                    <w:t>18,86%</w:t>
                  </w:r>
                </w:p>
              </w:tc>
            </w:tr>
            <w:tr>
              <w:tc>
                <w:tcPr>
                  <w:tcW w:type="auto" w:w="0"/>
                  <w:shd w:val="clear" w:color="auto" w:fill="F0F0F0"/>
                </w:tcPr>
                <w:p>
                  <w:pPr>
                    <w:pStyle w:val="Normal"/>
                    <w:keepLines w:val="on"/>
                  </w:pPr>
                  <w:r>
                    <w:t>70,00%</w:t>
                  </w:r>
                </w:p>
              </w:tc>
              <w:tc>
                <w:tcPr>
                  <w:tcW w:type="auto" w:w="0"/>
                  <w:shd w:val="clear" w:color="auto" w:fill="F0F0F0"/>
                </w:tcPr>
                <w:p>
                  <w:pPr>
                    <w:pStyle w:val="Normal"/>
                    <w:keepLines w:val="on"/>
                  </w:pPr>
                  <w:r>
                    <w:t>$155.697</w:t>
                  </w:r>
                </w:p>
              </w:tc>
              <w:tc>
                <w:tcPr>
                  <w:tcW w:type="auto" w:w="0"/>
                  <w:shd w:val="clear" w:color="auto" w:fill="F0F0F0"/>
                </w:tcPr>
                <w:p>
                  <w:pPr>
                    <w:pStyle w:val="Normal"/>
                    <w:keepLines w:val="on"/>
                  </w:pPr>
                  <w:r>
                    <w:t>$10.156</w:t>
                  </w:r>
                </w:p>
              </w:tc>
              <w:tc>
                <w:tcPr>
                  <w:tcW w:type="auto" w:w="0"/>
                  <w:shd w:val="clear" w:color="auto" w:fill="F0F0F0"/>
                </w:tcPr>
                <w:p>
                  <w:pPr>
                    <w:pStyle w:val="Normal"/>
                    <w:keepLines w:val="on"/>
                  </w:pPr>
                  <w:r>
                    <w:t>$25.465</w:t>
                  </w:r>
                </w:p>
              </w:tc>
              <w:tc>
                <w:tcPr>
                  <w:tcW w:type="auto" w:w="0"/>
                  <w:shd w:val="clear" w:color="auto" w:fill="F0F0F0"/>
                </w:tcPr>
                <w:p>
                  <w:pPr>
                    <w:pStyle w:val="Normal"/>
                    <w:keepLines w:val="on"/>
                  </w:pPr>
                  <w:r>
                    <w:t>0,40</w:t>
                  </w:r>
                </w:p>
              </w:tc>
              <w:tc>
                <w:tcPr>
                  <w:tcW w:type="auto" w:w="0"/>
                  <w:shd w:val="clear" w:color="auto" w:fill="F0F0F0"/>
                </w:tcPr>
                <w:p>
                  <w:pPr>
                    <w:pStyle w:val="Normal"/>
                    <w:keepLines w:val="on"/>
                  </w:pPr>
                  <w:r>
                    <w:t>C2/C</w:t>
                  </w:r>
                </w:p>
              </w:tc>
              <w:tc>
                <w:tcPr>
                  <w:tcW w:type="auto" w:w="0"/>
                  <w:shd w:val="clear" w:color="auto" w:fill="F0F0F0"/>
                </w:tcPr>
                <w:p>
                  <w:pPr>
                    <w:pStyle w:val="Normal"/>
                    <w:keepLines w:val="on"/>
                  </w:pPr>
                  <w:r>
                    <w:t>21,50%</w:t>
                  </w:r>
                </w:p>
              </w:tc>
              <w:tc>
                <w:tcPr>
                  <w:tcW w:type="auto" w:w="0"/>
                  <w:shd w:val="clear" w:color="auto" w:fill="F0F0F0"/>
                </w:tcPr>
                <w:p>
                  <w:pPr>
                    <w:pStyle w:val="Normal"/>
                    <w:keepLines w:val="on"/>
                  </w:pPr>
                  <w:r>
                    <w:t>9,97%</w:t>
                  </w:r>
                </w:p>
              </w:tc>
              <w:tc>
                <w:tcPr>
                  <w:tcW w:type="auto" w:w="0"/>
                  <w:shd w:val="clear" w:color="auto" w:fill="F0F0F0"/>
                </w:tcPr>
                <w:p>
                  <w:pPr>
                    <w:pStyle w:val="Normal"/>
                    <w:keepLines w:val="on"/>
                  </w:pPr>
                  <w:r>
                    <w:t>19,36%</w:t>
                  </w:r>
                </w:p>
              </w:tc>
            </w:tr>
            <w:tr>
              <w:tc>
                <w:tcPr>
                  <w:tcW w:type="auto" w:w="0"/>
                  <w:shd w:val="clear" w:color="auto" w:fill="F0F0F0"/>
                </w:tcPr>
                <w:p>
                  <w:pPr>
                    <w:pStyle w:val="Normal"/>
                    <w:keepLines w:val="on"/>
                  </w:pPr>
                  <w:r>
                    <w:t>80,00%</w:t>
                  </w:r>
                </w:p>
              </w:tc>
              <w:tc>
                <w:tcPr>
                  <w:tcW w:type="auto" w:w="0"/>
                  <w:shd w:val="clear" w:color="auto" w:fill="F0F0F0"/>
                </w:tcPr>
                <w:p>
                  <w:pPr>
                    <w:pStyle w:val="Normal"/>
                    <w:keepLines w:val="on"/>
                  </w:pPr>
                  <w:r>
                    <w:t>$177.940</w:t>
                  </w:r>
                </w:p>
              </w:tc>
              <w:tc>
                <w:tcPr>
                  <w:tcW w:type="auto" w:w="0"/>
                  <w:shd w:val="clear" w:color="auto" w:fill="F0F0F0"/>
                </w:tcPr>
                <w:p>
                  <w:pPr>
                    <w:pStyle w:val="Normal"/>
                    <w:keepLines w:val="on"/>
                  </w:pPr>
                  <w:r>
                    <w:t>$10.156</w:t>
                  </w:r>
                </w:p>
              </w:tc>
              <w:tc>
                <w:tcPr>
                  <w:tcW w:type="auto" w:w="0"/>
                  <w:shd w:val="clear" w:color="auto" w:fill="F0F0F0"/>
                </w:tcPr>
                <w:p>
                  <w:pPr>
                    <w:pStyle w:val="Normal"/>
                    <w:keepLines w:val="on"/>
                  </w:pPr>
                  <w:r>
                    <w:t>$30.247</w:t>
                  </w:r>
                </w:p>
              </w:tc>
              <w:tc>
                <w:tcPr>
                  <w:tcW w:type="auto" w:w="0"/>
                  <w:shd w:val="clear" w:color="auto" w:fill="F0F0F0"/>
                </w:tcPr>
                <w:p>
                  <w:pPr>
                    <w:pStyle w:val="Normal"/>
                    <w:keepLines w:val="on"/>
                  </w:pPr>
                  <w:r>
                    <w:t>0,34</w:t>
                  </w:r>
                </w:p>
              </w:tc>
              <w:tc>
                <w:tcPr>
                  <w:tcW w:type="auto" w:w="0"/>
                  <w:shd w:val="clear" w:color="auto" w:fill="F0F0F0"/>
                </w:tcPr>
                <w:p>
                  <w:pPr>
                    <w:pStyle w:val="Normal"/>
                    <w:keepLines w:val="on"/>
                  </w:pPr>
                  <w:r>
                    <w:t>C2/C</w:t>
                  </w:r>
                </w:p>
              </w:tc>
              <w:tc>
                <w:tcPr>
                  <w:tcW w:type="auto" w:w="0"/>
                  <w:shd w:val="clear" w:color="auto" w:fill="F0F0F0"/>
                </w:tcPr>
                <w:p>
                  <w:pPr>
                    <w:pStyle w:val="Normal"/>
                    <w:keepLines w:val="on"/>
                  </w:pPr>
                  <w:r>
                    <w:t>21,50%</w:t>
                  </w:r>
                </w:p>
              </w:tc>
              <w:tc>
                <w:tcPr>
                  <w:tcW w:type="auto" w:w="0"/>
                  <w:shd w:val="clear" w:color="auto" w:fill="F0F0F0"/>
                </w:tcPr>
                <w:p>
                  <w:pPr>
                    <w:pStyle w:val="Normal"/>
                    <w:keepLines w:val="on"/>
                  </w:pPr>
                  <w:r>
                    <w:t>8,39%</w:t>
                  </w:r>
                </w:p>
              </w:tc>
              <w:tc>
                <w:tcPr>
                  <w:tcW w:type="auto" w:w="0"/>
                  <w:shd w:val="clear" w:color="auto" w:fill="F0F0F0"/>
                </w:tcPr>
                <w:p>
                  <w:pPr>
                    <w:pStyle w:val="Normal"/>
                    <w:keepLines w:val="on"/>
                  </w:pPr>
                  <w:r>
                    <w:t>19,70%</w:t>
                  </w:r>
                </w:p>
              </w:tc>
            </w:tr>
            <w:tr>
              <w:tc>
                <w:tcPr>
                  <w:tcW w:type="auto" w:w="0"/>
                  <w:shd w:val="clear" w:color="auto" w:fill="F0F0F0"/>
                </w:tcPr>
                <w:p>
                  <w:pPr>
                    <w:pStyle w:val="Normal"/>
                    <w:keepLines w:val="on"/>
                  </w:pPr>
                  <w:r>
                    <w:t>90,00%</w:t>
                  </w:r>
                </w:p>
              </w:tc>
              <w:tc>
                <w:tcPr>
                  <w:tcW w:type="auto" w:w="0"/>
                  <w:shd w:val="clear" w:color="auto" w:fill="F0F0F0"/>
                </w:tcPr>
                <w:p>
                  <w:pPr>
                    <w:pStyle w:val="Normal"/>
                    <w:keepLines w:val="on"/>
                  </w:pPr>
                  <w:r>
                    <w:t>$200.182</w:t>
                  </w:r>
                </w:p>
              </w:tc>
              <w:tc>
                <w:tcPr>
                  <w:tcW w:type="auto" w:w="0"/>
                  <w:shd w:val="clear" w:color="auto" w:fill="F0F0F0"/>
                </w:tcPr>
                <w:p>
                  <w:pPr>
                    <w:pStyle w:val="Normal"/>
                    <w:keepLines w:val="on"/>
                  </w:pPr>
                  <w:r>
                    <w:t>$10.156</w:t>
                  </w:r>
                </w:p>
              </w:tc>
              <w:tc>
                <w:tcPr>
                  <w:tcW w:type="auto" w:w="0"/>
                  <w:shd w:val="clear" w:color="auto" w:fill="F0F0F0"/>
                </w:tcPr>
                <w:p>
                  <w:pPr>
                    <w:pStyle w:val="Normal"/>
                    <w:keepLines w:val="on"/>
                  </w:pPr>
                  <w:r>
                    <w:t>$35.030</w:t>
                  </w:r>
                </w:p>
              </w:tc>
              <w:tc>
                <w:tcPr>
                  <w:tcW w:type="auto" w:w="0"/>
                  <w:shd w:val="clear" w:color="auto" w:fill="F0F0F0"/>
                </w:tcPr>
                <w:p>
                  <w:pPr>
                    <w:pStyle w:val="Normal"/>
                    <w:keepLines w:val="on"/>
                  </w:pPr>
                  <w:r>
                    <w:t>0,29</w:t>
                  </w:r>
                </w:p>
              </w:tc>
              <w:tc>
                <w:tcPr>
                  <w:tcW w:type="auto" w:w="0"/>
                  <w:shd w:val="clear" w:color="auto" w:fill="F0F0F0"/>
                </w:tcPr>
                <w:p>
                  <w:pPr>
                    <w:pStyle w:val="Normal"/>
                    <w:keepLines w:val="on"/>
                  </w:pPr>
                  <w:r>
                    <w:t>C2/C</w:t>
                  </w:r>
                </w:p>
              </w:tc>
              <w:tc>
                <w:tcPr>
                  <w:tcW w:type="auto" w:w="0"/>
                  <w:shd w:val="clear" w:color="auto" w:fill="F0F0F0"/>
                </w:tcPr>
                <w:p>
                  <w:pPr>
                    <w:pStyle w:val="Normal"/>
                    <w:keepLines w:val="on"/>
                  </w:pPr>
                  <w:r>
                    <w:t>21,50%</w:t>
                  </w:r>
                </w:p>
              </w:tc>
              <w:tc>
                <w:tcPr>
                  <w:tcW w:type="auto" w:w="0"/>
                  <w:shd w:val="clear" w:color="auto" w:fill="F0F0F0"/>
                </w:tcPr>
                <w:p>
                  <w:pPr>
                    <w:pStyle w:val="Normal"/>
                    <w:keepLines w:val="on"/>
                  </w:pPr>
                  <w:r>
                    <w:t>7,25%</w:t>
                  </w:r>
                </w:p>
              </w:tc>
              <w:tc>
                <w:tcPr>
                  <w:tcW w:type="auto" w:w="0"/>
                  <w:shd w:val="clear" w:color="auto" w:fill="F0F0F0"/>
                </w:tcPr>
                <w:p>
                  <w:pPr>
                    <w:pStyle w:val="Normal"/>
                    <w:keepLines w:val="on"/>
                  </w:pPr>
                  <w:r>
                    <w:t>19,94%</w:t>
                  </w:r>
                </w:p>
              </w:tc>
            </w:tr>
          </w:tbl>
          <w:p/>
        </w:tc>
      </w:tr>
    </w:tbl>
    <w:p>
      <w:pPr>
        <w:pStyle w:val="Para 04"/>
        <w:keepLines w:val="on"/>
      </w:pPr>
      <w:r>
        <w:t>Khi đọc bảng này, cần lưu ý những điều sau:</w:t>
      </w:r>
    </w:p>
    <w:p>
      <w:pPr>
        <w:numPr>
          <w:ilvl w:val="0"/>
          <w:numId w:val="152"/>
        </w:numPr>
        <w:pStyle w:val="Para 18"/>
        <w:keepLines w:val="on"/>
      </w:pPr>
      <w:r>
        <w:t>EBITDA và EBIT vẫn giữ nguyên khi tỷ lệ nợ thay đổi. Chúng ta đảm bảo điều này bằng cách dùng số tiền thu được từ nợ để mua lại cổ phiếu, nhờ đó giữ nguyên tài sản hoạt động và tách biệt được tác động của việc thay đổi tỷ lệ nợ.</w:t>
      </w:r>
    </w:p>
    <w:p>
      <w:pPr>
        <w:numPr>
          <w:ilvl w:val="0"/>
          <w:numId w:val="152"/>
        </w:numPr>
        <w:pStyle w:val="Para 18"/>
        <w:keepLines w:val="on"/>
      </w:pPr>
      <w:r>
        <w:t>Có sự lập luận vòng tròn (circular reasoning) trong việc ước tính chi phí lãi vay. Cần có lãi suất để tính tỷ lệ bao phủ lãi vay (interest coverage ratio), và cần có tỷ lệ bao phủ để tính lãi suất. Để giải quyết vấn đề này, chúng ta dùng lãi suất từ mức nợ trước đó để bắt đầu rồi lặp lại (iterate) cho đến khi tìm ra lời giải.16</w:t>
      </w:r>
    </w:p>
    <w:p>
      <w:pPr>
        <w:numPr>
          <w:ilvl w:val="0"/>
          <w:numId w:val="152"/>
        </w:numPr>
        <w:pStyle w:val="Para 18"/>
        <w:keepLines w:val="on"/>
      </w:pPr>
      <w:r>
        <w:t>Chi phí lãi vay tăng nhanh hơn mức tương ứng khi nợ tăng, vì chi phí nợ tăng theo tỷ lệ nợ. Có ba điểm cần nói về những tính toán này. Thứ nhất, tại mỗi tỷ lệ nợ, chúng ta tính giá trị nợ bằng đô-la bằng cách nhân tỷ lệ nợ với giá trị doanh nghiệp hiện tại của công ty ($222.485 triệu). Trên thực tế, giá trị đó sẽ thay đổi khi chi phí vốn thay đổi, và lượng nợ bằng đô-la mà chúng ta cần để đạt một tỷ lệ nợ nhất định, ví dụ 30%, sẽ khác với các giá trị mà chúng ta đã ước tính. Thứ hai, chúng ta giả định rằng ở mọi mức nợ, toàn bộ nợ hiện có sẽ được tái cấp vốn (refinance) theo lãi suất mới sẽ thịnh hành sau khi thay đổi cấu trúc vốn. Chẳng hạn, khoản nợ hiện có của Disney, vốn có xếp hạng A−, được giả định là sẽ được tái cấp vốn theo lãi suất tương ứng với xếp hạng B+ khi Disney chuyển sang tỷ lệ nợ 40%.</w:t>
      </w:r>
    </w:p>
    <w:p>
      <w:pPr>
        <w:numPr>
          <w:ilvl w:val="0"/>
          <w:numId w:val="152"/>
        </w:numPr>
        <w:pStyle w:val="Para 18"/>
        <w:keepLines w:val="on"/>
      </w:pPr>
      <w:r>
        <w:t>Chừng nào chi phí lãi vay còn dưới $10.156 triệu, chi phí lãi vay vẫn được khấu trừ thuế hoàn toàn và mang lại lợi ích thuế 25%. Ví dụ, ở tỷ lệ nợ 40%, chi phí lãi vay là $5.223 triệu, và do đó lợi ích thuế là 25% của số này. Tuy nhiên, ở tỷ lệ nợ 50%, chi phí lãi vay phình lên tới $15.901 triệu, lớn hơn EBIT là $10.156 triệu. Chúng ta xét lợi ích thuế trên chi phí lãi vay chỉ tính đến mức này, dẫn đến thuế suất điều chỉnh là 15,97%:</w:t>
      </w:r>
    </w:p>
    <w:p>
      <w:bookmarkStart w:id="3088" w:name="Adjusted_Tax_Rate_at_50__Debt_to"/>
      <w:pPr>
        <w:keepNext/>
        <w:pStyle w:val="Para 07"/>
        <w:keepLines w:val="on"/>
      </w:pPr>
      <w:r>
        <w:t>Thuế suất điều chỉnh ở mức 50% nợ trên vốn = Thuế suất biên × EBITChi phí lãi vay = 25% × 10,15615,901 = 15.97%</w:t>
      </w:r>
      <w:bookmarkEnd w:id="3088"/>
    </w:p>
    <w:p>
      <w:pPr>
        <w:pStyle w:val="Para 04"/>
        <w:keepLines w:val="on"/>
      </w:pPr>
      <w:r>
        <w:t>Đây là một cách tiếp cận thận trọng vì lỗ có thể được chuyển sang kỳ sau. Xét rằng đây là một sự thay đổi vĩnh viễn về đòn bẩy, việc thận trọng là hợp lý. Chúng tôi đã dùng thuế suất này để tính lại beta có đòn bẩy ở tỷ lệ nợ 50%, nhằm phản ánh việc khoản tiết kiệm thuế từ lãi vay đã bị triệt tiêu.</w:t>
      </w:r>
    </w:p>
    <w:p>
      <w:bookmarkStart w:id="3089" w:name="Leverage_and_Cost_of_Capital"/>
      <w:bookmarkStart w:id="3090" w:name="Leverage_and_Cost_of_Capital__No"/>
      <w:pPr>
        <w:keepNext/>
        <w:pStyle w:val="Para 36"/>
        <w:keepLines w:val="on"/>
      </w:pPr>
      <w:r>
        <w:t>Đòn bẩy và Chi phí vốn</w:t>
      </w:r>
      <w:bookmarkEnd w:id="3089"/>
      <w:bookmarkEnd w:id="3090"/>
    </w:p>
    <w:p>
      <w:pPr>
        <w:pStyle w:val="Para 04"/>
        <w:keepLines w:val="on"/>
      </w:pPr>
      <w:r>
        <w:t>Giờ đây khi đã ước tính được chi phí vốn chủ sở hữu và chi phí nợ ở từng mức nợ, chúng ta có thể tính chi phí vốn của Disney. Việc này được thực hiện cho từng mức nợ trong Bảng 15.16. Chi phí vốn, vốn là 9.02% khi công ty không có đòn bẩy, sẽ giảm khi công ty bắt đầu thêm nợ, đạt mức tối thiểu 8.62% ở tỷ lệ nợ 30%, rồi sau đó bắt đầu tăng trở lại.</w:t>
      </w:r>
    </w:p>
    <w:p>
      <w:pPr>
        <w:pStyle w:val="Para 25"/>
        <w:keepLines w:val="on"/>
      </w:pPr>
      <w:r>
        <w:t>Bảng 15.16</w:t>
      </w:r>
    </w:p>
    <w:p>
      <w:pPr>
        <w:keepNext/>
        <w:pStyle w:val="Para 24"/>
        <w:keepLines w:val="on"/>
      </w:pPr>
      <w:r>
        <w:t>Chi phí vốn của Disney, theo Tỷ lệ Nợ</w:t>
      </w:r>
    </w:p>
    <w:tbl>
      <w:tblPr>
        <w:tblW w:type="auto" w:w="0"/>
      </w:tblPr>
      <w:tr>
        <w:tc>
          <w:tcPr>
            <w:tcW w:type="auto" w:w="0"/>
          </w:tcPr>
          <w:tbl>
            <w:tblPr>
              <w:tblW w:type="auto" w:w="0"/>
            </w:tblPr>
            <w:tr>
              <w:tc>
                <w:tcPr>
                  <w:tcW w:type="auto" w:w="0"/>
                  <w:shd w:val="clear" w:color="auto" w:fill="F0F0F0"/>
                </w:tcPr>
                <w:p>
                  <w:pPr>
                    <w:pStyle w:val="Para 05"/>
                    <w:keepLines w:val="on"/>
                  </w:pPr>
                  <w:r>
                    <w:t>Tỷ lệ Nợ</w:t>
                  </w:r>
                </w:p>
              </w:tc>
              <w:tc>
                <w:tcPr>
                  <w:tcW w:type="auto" w:w="0"/>
                  <w:shd w:val="clear" w:color="auto" w:fill="F0F0F0"/>
                </w:tcPr>
                <w:p>
                  <w:pPr>
                    <w:pStyle w:val="Para 05"/>
                    <w:keepLines w:val="on"/>
                  </w:pPr>
                  <w:r>
                    <w:t>Chi phí Vốn chủ sở hữu</w:t>
                  </w:r>
                </w:p>
              </w:tc>
              <w:tc>
                <w:tcPr>
                  <w:tcW w:type="auto" w:w="0"/>
                  <w:shd w:val="clear" w:color="auto" w:fill="F0F0F0"/>
                </w:tcPr>
                <w:p>
                  <w:pPr>
                    <w:pStyle w:val="Para 05"/>
                    <w:keepLines w:val="on"/>
                  </w:pPr>
                  <w:r>
                    <w:t>Chi phí Nợ (Sau thuế)</w:t>
                  </w:r>
                </w:p>
              </w:tc>
              <w:tc>
                <w:tcPr>
                  <w:tcW w:type="auto" w:w="0"/>
                  <w:shd w:val="clear" w:color="auto" w:fill="F0F0F0"/>
                </w:tcPr>
                <w:p>
                  <w:pPr>
                    <w:pStyle w:val="Para 05"/>
                    <w:keepLines w:val="on"/>
                  </w:pPr>
                  <w:r>
                    <w:t>Chi phí Vốn</w:t>
                  </w:r>
                </w:p>
              </w:tc>
            </w:tr>
            <w:tr>
              <w:tc>
                <w:tcPr>
                  <w:tcW w:type="auto" w:w="0"/>
                  <w:shd w:val="clear" w:color="auto" w:fill="F0F0F0"/>
                </w:tcPr>
                <w:p>
                  <w:pPr>
                    <w:pStyle w:val="Normal"/>
                    <w:keepLines w:val="on"/>
                  </w:pPr>
                  <w:r>
                    <w:t>0%</w:t>
                  </w:r>
                </w:p>
              </w:tc>
              <w:tc>
                <w:tcPr>
                  <w:tcW w:type="auto" w:w="0"/>
                  <w:shd w:val="clear" w:color="auto" w:fill="F0F0F0"/>
                </w:tcPr>
                <w:p>
                  <w:pPr>
                    <w:pStyle w:val="Normal"/>
                    <w:keepLines w:val="on"/>
                  </w:pPr>
                  <w:r>
                    <w:t>9.02%</w:t>
                  </w:r>
                </w:p>
              </w:tc>
              <w:tc>
                <w:tcPr>
                  <w:tcW w:type="auto" w:w="0"/>
                  <w:shd w:val="clear" w:color="auto" w:fill="F0F0F0"/>
                </w:tcPr>
                <w:p>
                  <w:pPr>
                    <w:pStyle w:val="Normal"/>
                    <w:keepLines w:val="on"/>
                  </w:pPr>
                  <w:r>
                    <w:t>3.82%</w:t>
                  </w:r>
                </w:p>
              </w:tc>
              <w:tc>
                <w:tcPr>
                  <w:tcW w:type="auto" w:w="0"/>
                  <w:shd w:val="clear" w:color="auto" w:fill="F0F0F0"/>
                </w:tcPr>
                <w:p>
                  <w:pPr>
                    <w:pStyle w:val="Normal"/>
                    <w:keepLines w:val="on"/>
                  </w:pPr>
                  <w:r>
                    <w:t>9.02%</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9.40%</w:t>
                  </w:r>
                </w:p>
              </w:tc>
              <w:tc>
                <w:tcPr>
                  <w:tcW w:type="auto" w:w="0"/>
                  <w:shd w:val="clear" w:color="auto" w:fill="F0F0F0"/>
                </w:tcPr>
                <w:p>
                  <w:pPr>
                    <w:pStyle w:val="Normal"/>
                    <w:keepLines w:val="on"/>
                  </w:pPr>
                  <w:r>
                    <w:t>3.82%</w:t>
                  </w:r>
                </w:p>
              </w:tc>
              <w:tc>
                <w:tcPr>
                  <w:tcW w:type="auto" w:w="0"/>
                  <w:shd w:val="clear" w:color="auto" w:fill="F0F0F0"/>
                </w:tcPr>
                <w:p>
                  <w:pPr>
                    <w:pStyle w:val="Normal"/>
                    <w:keepLines w:val="on"/>
                  </w:pPr>
                  <w:r>
                    <w:t>8.84%</w:t>
                  </w:r>
                </w:p>
              </w:tc>
            </w:tr>
            <w:tr>
              <w:tc>
                <w:tcPr>
                  <w:tcW w:type="auto" w:w="0"/>
                  <w:shd w:val="clear" w:color="auto" w:fill="F0F0F0"/>
                </w:tcPr>
                <w:p>
                  <w:pPr>
                    <w:pStyle w:val="Normal"/>
                    <w:keepLines w:val="on"/>
                  </w:pPr>
                  <w:r>
                    <w:t>20%</w:t>
                  </w:r>
                </w:p>
              </w:tc>
              <w:tc>
                <w:tcPr>
                  <w:tcW w:type="auto" w:w="0"/>
                  <w:shd w:val="clear" w:color="auto" w:fill="F0F0F0"/>
                </w:tcPr>
                <w:p>
                  <w:pPr>
                    <w:pStyle w:val="Normal"/>
                    <w:keepLines w:val="on"/>
                  </w:pPr>
                  <w:r>
                    <w:t>9.87%</w:t>
                  </w:r>
                </w:p>
              </w:tc>
              <w:tc>
                <w:tcPr>
                  <w:tcW w:type="auto" w:w="0"/>
                  <w:shd w:val="clear" w:color="auto" w:fill="F0F0F0"/>
                </w:tcPr>
                <w:p>
                  <w:pPr>
                    <w:pStyle w:val="Normal"/>
                    <w:keepLines w:val="on"/>
                  </w:pPr>
                  <w:r>
                    <w:t>4.18%</w:t>
                  </w:r>
                </w:p>
              </w:tc>
              <w:tc>
                <w:tcPr>
                  <w:tcW w:type="auto" w:w="0"/>
                  <w:shd w:val="clear" w:color="auto" w:fill="F0F0F0"/>
                </w:tcPr>
                <w:p>
                  <w:pPr>
                    <w:pStyle w:val="Normal"/>
                    <w:keepLines w:val="on"/>
                  </w:pPr>
                  <w:r>
                    <w:t>8.73%</w:t>
                  </w:r>
                </w:p>
              </w:tc>
            </w:tr>
            <w:tr>
              <w:tc>
                <w:tcPr>
                  <w:tcW w:type="auto" w:w="0"/>
                  <w:shd w:val="clear" w:color="auto" w:fill="F0F0F0"/>
                </w:tcPr>
                <w:p>
                  <w:pPr>
                    <w:pStyle w:val="Normal"/>
                    <w:keepLines w:val="on"/>
                  </w:pPr>
                  <w:r>
                    <w:t>30%</w:t>
                  </w:r>
                </w:p>
              </w:tc>
              <w:tc>
                <w:tcPr>
                  <w:tcW w:type="auto" w:w="0"/>
                  <w:shd w:val="clear" w:color="auto" w:fill="F0F0F0"/>
                </w:tcPr>
                <w:p>
                  <w:pPr>
                    <w:pStyle w:val="Normal"/>
                    <w:keepLines w:val="on"/>
                  </w:pPr>
                  <w:r>
                    <w:t>10.48%</w:t>
                  </w:r>
                </w:p>
              </w:tc>
              <w:tc>
                <w:tcPr>
                  <w:tcW w:type="auto" w:w="0"/>
                  <w:shd w:val="clear" w:color="auto" w:fill="F0F0F0"/>
                </w:tcPr>
                <w:p>
                  <w:pPr>
                    <w:pStyle w:val="Normal"/>
                    <w:keepLines w:val="on"/>
                  </w:pPr>
                  <w:r>
                    <w:t>4.28%</w:t>
                  </w:r>
                </w:p>
              </w:tc>
              <w:tc>
                <w:tcPr>
                  <w:tcW w:type="auto" w:w="0"/>
                  <w:shd w:val="clear" w:color="auto" w:fill="F0F0F0"/>
                </w:tcPr>
                <w:p>
                  <w:pPr>
                    <w:pStyle w:val="Normal"/>
                    <w:keepLines w:val="on"/>
                  </w:pPr>
                  <w:r>
                    <w:t>8,62%</w:t>
                  </w:r>
                </w:p>
              </w:tc>
            </w:tr>
            <w:tr>
              <w:tc>
                <w:tcPr>
                  <w:tcW w:type="auto" w:w="0"/>
                  <w:shd w:val="clear" w:color="auto" w:fill="F0F0F0"/>
                </w:tcPr>
                <w:p>
                  <w:pPr>
                    <w:pStyle w:val="Normal"/>
                    <w:keepLines w:val="on"/>
                  </w:pPr>
                  <w:r>
                    <w:t>40%</w:t>
                  </w:r>
                </w:p>
              </w:tc>
              <w:tc>
                <w:tcPr>
                  <w:tcW w:type="auto" w:w="0"/>
                  <w:shd w:val="clear" w:color="auto" w:fill="F0F0F0"/>
                </w:tcPr>
                <w:p>
                  <w:pPr>
                    <w:pStyle w:val="Normal"/>
                    <w:keepLines w:val="on"/>
                  </w:pPr>
                  <w:r>
                    <w:t>11,29%</w:t>
                  </w:r>
                </w:p>
              </w:tc>
              <w:tc>
                <w:tcPr>
                  <w:tcW w:type="auto" w:w="0"/>
                  <w:shd w:val="clear" w:color="auto" w:fill="F0F0F0"/>
                </w:tcPr>
                <w:p>
                  <w:pPr>
                    <w:pStyle w:val="Normal"/>
                    <w:keepLines w:val="on"/>
                  </w:pPr>
                  <w:r>
                    <w:t>5,73%</w:t>
                  </w:r>
                </w:p>
              </w:tc>
              <w:tc>
                <w:tcPr>
                  <w:tcW w:type="auto" w:w="0"/>
                  <w:shd w:val="clear" w:color="auto" w:fill="F0F0F0"/>
                </w:tcPr>
                <w:p>
                  <w:pPr>
                    <w:pStyle w:val="Normal"/>
                    <w:keepLines w:val="on"/>
                  </w:pPr>
                  <w:r>
                    <w:t>9,06%</w:t>
                  </w:r>
                </w:p>
              </w:tc>
            </w:tr>
            <w:tr>
              <w:tc>
                <w:tcPr>
                  <w:tcW w:type="auto" w:w="0"/>
                  <w:shd w:val="clear" w:color="auto" w:fill="F0F0F0"/>
                </w:tcPr>
                <w:p>
                  <w:pPr>
                    <w:pStyle w:val="Normal"/>
                    <w:keepLines w:val="on"/>
                  </w:pPr>
                  <w:r>
                    <w:t>50%</w:t>
                  </w:r>
                </w:p>
              </w:tc>
              <w:tc>
                <w:tcPr>
                  <w:tcW w:type="auto" w:w="0"/>
                  <w:shd w:val="clear" w:color="auto" w:fill="F0F0F0"/>
                </w:tcPr>
                <w:p>
                  <w:pPr>
                    <w:pStyle w:val="Normal"/>
                    <w:keepLines w:val="on"/>
                  </w:pPr>
                  <w:r>
                    <w:t>12,83%</w:t>
                  </w:r>
                </w:p>
              </w:tc>
              <w:tc>
                <w:tcPr>
                  <w:tcW w:type="auto" w:w="0"/>
                  <w:shd w:val="clear" w:color="auto" w:fill="F0F0F0"/>
                </w:tcPr>
                <w:p>
                  <w:pPr>
                    <w:pStyle w:val="Normal"/>
                    <w:keepLines w:val="on"/>
                  </w:pPr>
                  <w:r>
                    <w:t>18,07%</w:t>
                  </w:r>
                </w:p>
              </w:tc>
              <w:tc>
                <w:tcPr>
                  <w:tcW w:type="auto" w:w="0"/>
                  <w:shd w:val="clear" w:color="auto" w:fill="F0F0F0"/>
                </w:tcPr>
                <w:p>
                  <w:pPr>
                    <w:pStyle w:val="Normal"/>
                    <w:keepLines w:val="on"/>
                  </w:pPr>
                  <w:r>
                    <w:t>15,45%</w:t>
                  </w:r>
                </w:p>
              </w:tc>
            </w:tr>
            <w:tr>
              <w:tc>
                <w:tcPr>
                  <w:tcW w:type="auto" w:w="0"/>
                  <w:shd w:val="clear" w:color="auto" w:fill="F0F0F0"/>
                </w:tcPr>
                <w:p>
                  <w:pPr>
                    <w:pStyle w:val="Normal"/>
                    <w:keepLines w:val="on"/>
                  </w:pPr>
                  <w:r>
                    <w:t>60%</w:t>
                  </w:r>
                </w:p>
              </w:tc>
              <w:tc>
                <w:tcPr>
                  <w:tcW w:type="auto" w:w="0"/>
                  <w:shd w:val="clear" w:color="auto" w:fill="F0F0F0"/>
                </w:tcPr>
                <w:p>
                  <w:pPr>
                    <w:pStyle w:val="Normal"/>
                    <w:keepLines w:val="on"/>
                  </w:pPr>
                  <w:r>
                    <w:t>14,98%</w:t>
                  </w:r>
                </w:p>
              </w:tc>
              <w:tc>
                <w:tcPr>
                  <w:tcW w:type="auto" w:w="0"/>
                  <w:shd w:val="clear" w:color="auto" w:fill="F0F0F0"/>
                </w:tcPr>
                <w:p>
                  <w:pPr>
                    <w:pStyle w:val="Normal"/>
                    <w:keepLines w:val="on"/>
                  </w:pPr>
                  <w:r>
                    <w:t>18,86%</w:t>
                  </w:r>
                </w:p>
              </w:tc>
              <w:tc>
                <w:tcPr>
                  <w:tcW w:type="auto" w:w="0"/>
                  <w:shd w:val="clear" w:color="auto" w:fill="F0F0F0"/>
                </w:tcPr>
                <w:p>
                  <w:pPr>
                    <w:pStyle w:val="Normal"/>
                    <w:keepLines w:val="on"/>
                  </w:pPr>
                  <w:r>
                    <w:t>17,31%</w:t>
                  </w:r>
                </w:p>
              </w:tc>
            </w:tr>
            <w:tr>
              <w:tc>
                <w:tcPr>
                  <w:tcW w:type="auto" w:w="0"/>
                  <w:shd w:val="clear" w:color="auto" w:fill="F0F0F0"/>
                </w:tcPr>
                <w:p>
                  <w:pPr>
                    <w:pStyle w:val="Normal"/>
                    <w:keepLines w:val="on"/>
                  </w:pPr>
                  <w:r>
                    <w:t>70%</w:t>
                  </w:r>
                </w:p>
              </w:tc>
              <w:tc>
                <w:tcPr>
                  <w:tcW w:type="auto" w:w="0"/>
                  <w:shd w:val="clear" w:color="auto" w:fill="F0F0F0"/>
                </w:tcPr>
                <w:p>
                  <w:pPr>
                    <w:pStyle w:val="Normal"/>
                    <w:keepLines w:val="on"/>
                  </w:pPr>
                  <w:r>
                    <w:t>18,53%</w:t>
                  </w:r>
                </w:p>
              </w:tc>
              <w:tc>
                <w:tcPr>
                  <w:tcW w:type="auto" w:w="0"/>
                  <w:shd w:val="clear" w:color="auto" w:fill="F0F0F0"/>
                </w:tcPr>
                <w:p>
                  <w:pPr>
                    <w:pStyle w:val="Normal"/>
                    <w:keepLines w:val="on"/>
                  </w:pPr>
                  <w:r>
                    <w:t>19,36%</w:t>
                  </w:r>
                </w:p>
              </w:tc>
              <w:tc>
                <w:tcPr>
                  <w:tcW w:type="auto" w:w="0"/>
                  <w:shd w:val="clear" w:color="auto" w:fill="F0F0F0"/>
                </w:tcPr>
                <w:p>
                  <w:pPr>
                    <w:pStyle w:val="Normal"/>
                    <w:keepLines w:val="on"/>
                  </w:pPr>
                  <w:r>
                    <w:t>19,11%</w:t>
                  </w:r>
                </w:p>
              </w:tc>
            </w:tr>
            <w:tr>
              <w:tc>
                <w:tcPr>
                  <w:tcW w:type="auto" w:w="0"/>
                  <w:shd w:val="clear" w:color="auto" w:fill="F0F0F0"/>
                </w:tcPr>
                <w:p>
                  <w:pPr>
                    <w:pStyle w:val="Normal"/>
                    <w:keepLines w:val="on"/>
                  </w:pPr>
                  <w:r>
                    <w:t>80%</w:t>
                  </w:r>
                </w:p>
              </w:tc>
              <w:tc>
                <w:tcPr>
                  <w:tcW w:type="auto" w:w="0"/>
                  <w:shd w:val="clear" w:color="auto" w:fill="F0F0F0"/>
                </w:tcPr>
                <w:p>
                  <w:pPr>
                    <w:pStyle w:val="Normal"/>
                    <w:keepLines w:val="on"/>
                  </w:pPr>
                  <w:r>
                    <w:t>25,61%</w:t>
                  </w:r>
                </w:p>
              </w:tc>
              <w:tc>
                <w:tcPr>
                  <w:tcW w:type="auto" w:w="0"/>
                  <w:shd w:val="clear" w:color="auto" w:fill="F0F0F0"/>
                </w:tcPr>
                <w:p>
                  <w:pPr>
                    <w:pStyle w:val="Normal"/>
                    <w:keepLines w:val="on"/>
                  </w:pPr>
                  <w:r>
                    <w:t>19,70%</w:t>
                  </w:r>
                </w:p>
              </w:tc>
              <w:tc>
                <w:tcPr>
                  <w:tcW w:type="auto" w:w="0"/>
                  <w:shd w:val="clear" w:color="auto" w:fill="F0F0F0"/>
                </w:tcPr>
                <w:p>
                  <w:pPr>
                    <w:pStyle w:val="Normal"/>
                    <w:keepLines w:val="on"/>
                  </w:pPr>
                  <w:r>
                    <w:t>20,88%</w:t>
                  </w:r>
                </w:p>
              </w:tc>
            </w:tr>
            <w:tr>
              <w:tc>
                <w:tcPr>
                  <w:tcW w:type="auto" w:w="0"/>
                  <w:shd w:val="clear" w:color="auto" w:fill="F0F0F0"/>
                </w:tcPr>
                <w:p>
                  <w:pPr>
                    <w:pStyle w:val="Normal"/>
                    <w:keepLines w:val="on"/>
                  </w:pPr>
                  <w:r>
                    <w:t>90%</w:t>
                  </w:r>
                </w:p>
              </w:tc>
              <w:tc>
                <w:tcPr>
                  <w:tcW w:type="auto" w:w="0"/>
                  <w:shd w:val="clear" w:color="auto" w:fill="F0F0F0"/>
                </w:tcPr>
                <w:p>
                  <w:pPr>
                    <w:pStyle w:val="Normal"/>
                    <w:keepLines w:val="on"/>
                  </w:pPr>
                  <w:r>
                    <w:t>46,80%</w:t>
                  </w:r>
                </w:p>
              </w:tc>
              <w:tc>
                <w:tcPr>
                  <w:tcW w:type="auto" w:w="0"/>
                  <w:shd w:val="clear" w:color="auto" w:fill="F0F0F0"/>
                </w:tcPr>
                <w:p>
                  <w:pPr>
                    <w:pStyle w:val="Normal"/>
                    <w:keepLines w:val="on"/>
                  </w:pPr>
                  <w:r>
                    <w:t>19,94%</w:t>
                  </w:r>
                </w:p>
              </w:tc>
              <w:tc>
                <w:tcPr>
                  <w:tcW w:type="auto" w:w="0"/>
                  <w:shd w:val="clear" w:color="auto" w:fill="F0F0F0"/>
                </w:tcPr>
                <w:p>
                  <w:pPr>
                    <w:pStyle w:val="Normal"/>
                    <w:keepLines w:val="on"/>
                  </w:pPr>
                  <w:r>
                    <w:t>22,63%</w:t>
                  </w:r>
                </w:p>
              </w:tc>
            </w:tr>
          </w:tbl>
          <w:p/>
        </w:tc>
      </w:tr>
    </w:tbl>
    <w:p>
      <w:pPr>
        <w:pStyle w:val="Para 04"/>
        <w:keepLines w:val="on"/>
      </w:pPr>
      <w:r>
        <w:t>Lưu ý rằng chúng ta đang di chuyển theo từng bước 10% và chi phí vốn (cost of capital) đi ngang giữa mức 20% và 40%. Chúng ta có thể có được con số chính xác hơn về mức tối ưu bằng cách xem xét chi phí vốn thay đổi như thế nào giữa 20% và 40%, với các bước nhỏ hơn. Tuy nhiên, cũng đáng lưu ý rằng ít nhất thì lợi ích từ việc dịch chuyển đến tỷ lệ nợ tối ưu cũng khá nhỏ, ít nhất là đối với Disney.</w:t>
      </w:r>
    </w:p>
    <w:p>
      <w:pPr>
        <w:pStyle w:val="Para 11"/>
      </w:pPr>
      <w:r>
        <w:t xml:space="preserve"> </w:t>
      </w:r>
    </w:p>
    <w:p>
      <w:bookmarkStart w:id="3092" w:name="captstr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46"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3092"/>
    </w:p>
    <w:p>
      <w:pPr>
        <w:pStyle w:val="Para 31"/>
        <w:keepLines w:val="on"/>
      </w:pPr>
      <w:r>
        <w:t>captstr.xls: Bảng tính này cho phép bạn tính giá trị doanh nghiệp tối ưu theo tỷ lệ nợ cho bất kỳ doanh nghiệp nào, sử dụng cùng thông tin đã dùng cho Disney. Nó đã tích hợp sẵn các tỷ lệ bao phủ lãi vay (interest coverage ratios) và mức chênh lệch vỡ nợ (default spreads) được cập nhật.</w:t>
      </w:r>
    </w:p>
    <w:p>
      <w:pPr>
        <w:pStyle w:val="Para 11"/>
      </w:pPr>
      <w:r>
        <w:t xml:space="preserve"> </w:t>
      </w:r>
      <w:r>
        <w:rPr>
          <w:rStyle w:val="Text26"/>
        </w:rPr>
        <w:bookmarkStart w:id="3093" w:name="Page_477"/>
        <w:t/>
        <w:bookmarkEnd w:id="3093"/>
      </w:r>
      <w:r>
        <w:t xml:space="preserve"> </w:t>
      </w:r>
    </w:p>
    <w:p>
      <w:bookmarkStart w:id="3094" w:name="Default_Risk__Operating_Income_1"/>
      <w:bookmarkStart w:id="3095" w:name="Default_Risk__Operating_Income"/>
      <w:pPr>
        <w:keepNext/>
        <w:pStyle w:val="Para 27"/>
        <w:keepLines w:val="on"/>
      </w:pPr>
      <w:r>
        <w:t>Rủi ro vỡ nợ, Thu nhập hoạt động và Đòn bẩy tối ưu</w:t>
      </w:r>
      <w:bookmarkEnd w:id="3094"/>
      <w:bookmarkEnd w:id="3095"/>
    </w:p>
    <w:p>
      <w:pPr>
        <w:pStyle w:val="Para 16"/>
        <w:keepLines w:val="on"/>
      </w:pPr>
      <w:r>
        <w:t>Phân tích Disney vừa hoàn thành giả định rằng thu nhập hoạt động sẽ không đổi trong khi tỷ lệ nợ thay đổi. Mặc dù giả định này đơn giản hóa phân tích đáng kể, nó không thực tế. Thu nhập hoạt động, đối với nhiều doanh nghiệp, sẽ giảm khi rủi ro vỡ nợ tăng lên; đây thực chất chính là chi phí mà chúng ta gọi là chi phí phá sản gián tiếp (indirect bankruptcy cost). Mức giảm này có khả năng trở nên rõ rệt hơn khi rủi ro vỡ nợ xuống dưới mức chấp nhận được; ví dụ, xếp hạng trái phiếu dưới mức đầu tư (investment grade) có thể gây ra tổn thất đáng kể về doanh thu và gia tăng chi phí.</w:t>
      </w:r>
    </w:p>
    <w:p>
      <w:pPr>
        <w:pStyle w:val="Para 16"/>
        <w:keepLines w:val="on"/>
      </w:pPr>
      <w:r>
        <w:t>Một mô hình tổng quát cho cấu trúc vốn tối ưu sẽ cho phép cả thu nhập hoạt động lẫn chi phí vốn thay đổi khi tỷ lệ nợ thay đổi. Chúng ta đã mô tả cách ước tính chi phí vốn ở các tỷ lệ nợ khác nhau, nhưng chúng ta cũng có thể thử làm điều tương tự với thu nhập hoạt động. Ví dụ, chúng ta có thể ước tính thu nhập hoạt động của Disney sẽ thay đổi như thế nào khi tỷ lệ nợ và rủi ro vỡ nợ thay đổi bằng cách xem xét tác động của việc hạ xếp hạng tín nhiệm lên thu nhập hoạt động của các nhà bán lẻ khác.</w:t>
      </w:r>
    </w:p>
    <w:p>
      <w:pPr>
        <w:pStyle w:val="Para 16"/>
        <w:keepLines w:val="on"/>
      </w:pPr>
      <w:r>
        <w:t>Nếu cả thu nhập hoạt động lẫn chi phí vốn đều thay đổi, tỷ lệ nợ tối ưu có thể không còn là điểm mà tại đó chi phí vốn được tối thiểu hóa. Thay vào đó, tỷ lệ nợ tối ưu phải được định nghĩa là tỷ lệ nợ mà tại đó giá trị doanh nghiệp được tối đa hóa.</w:t>
      </w:r>
    </w:p>
    <w:p>
      <w:bookmarkStart w:id="3096" w:name="Conclusion_14"/>
      <w:bookmarkStart w:id="3097" w:name="Conclusion__This_chapter_develop"/>
      <w:pPr>
        <w:keepNext/>
        <w:pStyle w:val="Heading 2"/>
        <w:keepLines w:val="on"/>
      </w:pPr>
      <w:r>
        <w:t>Kết luận</w:t>
      </w:r>
      <w:bookmarkEnd w:id="3096"/>
      <w:bookmarkEnd w:id="3097"/>
    </w:p>
    <w:p>
      <w:pPr>
        <w:pStyle w:val="Para 03"/>
      </w:pPr>
      <w:r>
        <w:t>Chương này đã phát triển một cách tiếp cận thay thế cho định giá dòng tiền chiết khấu (discounted cash flow valuation). Dòng tiền cho doanh nghiệp được chiết khấu theo chi phí vốn bình quân gia quyền (weighted average cost of capital) để có được giá trị doanh nghiệp, và khi trừ đi giá trị thị trường của khoản nợ đang lưu hành sẽ cho ra giá trị vốn chủ sở hữu. Vì dòng tiền cho doanh nghiệp là dòng tiền trước khi thanh toán nợ, cách tiếp cận này dễ sử dụng hơn khi đòn bẩy thay đổi theo thời gian, mặc dù chi phí vốn bình quân gia quyền dùng để chiết khấu dòng tiền tự do cho doanh nghiệp phải được điều chỉnh theo những thay đổi của đòn bẩy. Cuối cùng, chi phí vốn có thể được ước tính ở các tỷ lệ nợ khác nhau và được dùng để ước tính tỷ lệ nợ tối ưu cho một doanh nghiệp.</w:t>
      </w:r>
    </w:p>
    <w:p>
      <w:pPr>
        <w:pStyle w:val="Para 03"/>
      </w:pPr>
      <w:r>
        <w:t>Cách tiếp cận thay thế cho định giá doanh nghiệp là phương pháp APV, trong đó tác động lên giá trị của khoản nợ (lợi ích thuế trừ đi chi phí phá sản) được cộng vào giá trị doanh nghiệp không có đòn bẩy (unlevered firm value). Cách tiếp cận này cũng có thể được dùng để ước tính tỷ lệ nợ tối ưu cho doanh nghiệp.</w:t>
      </w:r>
    </w:p>
    <w:p>
      <w:bookmarkStart w:id="3098" w:name="Questions_and_Short_Problems__In_9"/>
      <w:bookmarkStart w:id="3099" w:name="Questions_and_Short_Problems_15"/>
      <w:pPr>
        <w:keepNext/>
        <w:pStyle w:val="Heading 2"/>
        <w:keepLines w:val="on"/>
      </w:pPr>
      <w:r>
        <w:t>Câu hỏi và Bài tập ngắn</w:t>
      </w:r>
      <w:bookmarkEnd w:id="3098"/>
      <w:bookmarkEnd w:id="3099"/>
    </w:p>
    <w:p>
      <w:pPr>
        <w:pStyle w:val="Para 44"/>
      </w:pPr>
      <w:r>
        <w:t>Trong các bài tập sau đây, hãy sử dụng mức bù rủi ro vốn chủ sở hữu (equity risk premium) là 5,5 phần trăm nếu không có quy định nào khác.</w:t>
      </w:r>
    </w:p>
    <w:p>
      <w:pPr>
        <w:numPr>
          <w:ilvl w:val="0"/>
          <w:numId w:val="153"/>
        </w:numPr>
        <w:pStyle w:val="Para 01"/>
      </w:pPr>
      <w:r>
        <w:t>Hãy trả lời đúng hay sai cho các phát biểu sau đây về dòng tiền tự do cho doanh nghiệp (free cash flow to the firm):</w:t>
      </w:r>
    </w:p>
    <w:p>
      <w:pPr>
        <w:numPr>
          <w:ilvl w:val="1"/>
          <w:numId w:val="153"/>
        </w:numPr>
        <w:pStyle w:val="Para 01"/>
      </w:pPr>
      <w:r>
        <w:t>Dòng tiền tự do cho doanh nghiệp luôn cao hơn dòng tiền tự do cho vốn chủ sở hữu (free cash flow to equity).</w:t>
      </w:r>
    </w:p>
    <w:p>
      <w:pPr>
        <w:pStyle w:val="Para 03"/>
      </w:pPr>
      <w:r>
        <w:t>Đúng ____ Sai ____</w:t>
      </w:r>
    </w:p>
    <w:p>
      <w:pPr>
        <w:numPr>
          <w:ilvl w:val="1"/>
          <w:numId w:val="153"/>
        </w:numPr>
        <w:pStyle w:val="Para 01"/>
      </w:pPr>
      <w:r>
        <w:t>Dòng tiền tự do cho doanh nghiệp là dòng tiền tích lũy cho tất cả các nhà đầu tư trong doanh nghiệp, mặc dù hình thức các quyền đòi của họ có thể khác nhau.</w:t>
      </w:r>
    </w:p>
    <w:p>
      <w:pPr>
        <w:pStyle w:val="Para 03"/>
      </w:pPr>
      <w:r>
        <w:t>Đúng ____ Sai ____</w:t>
      </w:r>
    </w:p>
    <w:p>
      <w:pPr>
        <w:numPr>
          <w:ilvl w:val="1"/>
          <w:numId w:val="153"/>
        </w:numPr>
        <w:pStyle w:val="Para 01"/>
      </w:pPr>
      <w:r>
        <w:t>Dòng tiền tự do cho doanh nghiệp là dòng tiền trước nợ, trước thuế.</w:t>
      </w:r>
    </w:p>
    <w:p>
      <w:pPr>
        <w:pStyle w:val="Para 03"/>
      </w:pPr>
      <w:r>
        <w:t>Đúng ____ Sai ____</w:t>
      </w:r>
    </w:p>
    <w:p>
      <w:pPr>
        <w:numPr>
          <w:ilvl w:val="1"/>
          <w:numId w:val="153"/>
        </w:numPr>
        <w:pStyle w:val="Para 01"/>
      </w:pPr>
      <w:r>
        <w:t>Dòng tiền tự do cho doanh nghiệp là dòng tiền sau nợ, sau thuế.</w:t>
      </w:r>
    </w:p>
    <w:p>
      <w:pPr>
        <w:pStyle w:val="Para 03"/>
      </w:pPr>
      <w:r>
        <w:t>Đúng ____ Sai ____</w:t>
      </w:r>
    </w:p>
    <w:p>
      <w:pPr>
        <w:numPr>
          <w:ilvl w:val="1"/>
          <w:numId w:val="153"/>
        </w:numPr>
        <w:pStyle w:val="Para 01"/>
      </w:pPr>
      <w:r>
        <w:t>Không thể ước tính dòng tiền tự do cho doanh nghiệp đối với một doanh nghiệp có nợ mà không biết các khoản thanh toán lãi và gốc.</w:t>
      </w:r>
    </w:p>
    <w:p>
      <w:pPr>
        <w:pStyle w:val="Para 03"/>
      </w:pPr>
      <w:r>
        <w:t>Đúng ____ Sai ____</w:t>
      </w:r>
    </w:p>
    <w:p>
      <w:pPr>
        <w:numPr>
          <w:ilvl w:val="0"/>
          <w:numId w:val="153"/>
        </w:numPr>
        <w:pStyle w:val="Para 01"/>
      </w:pPr>
      <w:r>
        <w:t>Union Pacific Railroad báo cáo thu nhập ròng là 770 triệu đô la vào năm 1993 sau khi trừ chi phí lãi vay là 320 triệu đô la. (Thuế suất doanh nghiệp là 36%.) Công ty báo cáo khấu hao là 960 triệu đô la trong năm đó, và chi tiêu vốn là 1,2 tỷ đô la. Công ty cũng có 4 tỷ đô la nợ đang lưu hành trên sổ sách, được xếp hạng AA (có lợi suất đáo hạn là 8%) và đang giao dịch ngang mệnh giá (tăng từ 3,8 tỷ đô la vào cuối năm 1992). Beta của cổ phiếu là 1,05, và có 200 triệu cổ phiếu đang lưu hành (giao dịch ở mức 60 đô la mỗi cổ phiếu), với giá trị sổ sách là 5 tỷ đô la. Nhu cầu vốn lưu động của Union Pacific là không đáng kể. (Lãi suất trái phiếu kho bạc là 7%, và mức bù rủi ro là 5,5%.)</w:t>
      </w:r>
    </w:p>
    <w:p>
      <w:pPr>
        <w:numPr>
          <w:ilvl w:val="1"/>
          <w:numId w:val="153"/>
        </w:numPr>
        <w:pStyle w:val="Para 01"/>
      </w:pPr>
      <w:r>
        <w:t>Hãy ước tính dòng tiền tự do cho doanh nghiệp vào năm 1993.</w:t>
      </w:r>
    </w:p>
    <w:p>
      <w:pPr>
        <w:numPr>
          <w:ilvl w:val="1"/>
          <w:numId w:val="153"/>
        </w:numPr>
        <w:pStyle w:val="Para 01"/>
      </w:pPr>
      <w:r>
        <w:t>Hãy ước tính giá trị doanh nghiệp vào cuối năm 1993.</w:t>
      </w:r>
    </w:p>
    <w:p>
      <w:pPr>
        <w:numPr>
          <w:ilvl w:val="1"/>
          <w:numId w:val="153"/>
        </w:numPr>
        <w:pStyle w:val="Para 01"/>
      </w:pPr>
      <w:r>
        <w:t>Ước tính giá trị vốn chủ sở hữu (equity) vào cuối năm 1993, và giá trị trên mỗi cổ phần, bằng cách sử dụng phương pháp FCFF.</w:t>
      </w:r>
    </w:p>
    <w:p>
      <w:pPr>
        <w:numPr>
          <w:ilvl w:val="0"/>
          <w:numId w:val="153"/>
        </w:numPr>
        <w:pStyle w:val="Para 01"/>
      </w:pPr>
      <w:r>
        <w:t>Lockheed Corporation, một trong những nhà thầu quốc phòng lớn nhất tại Hoa Kỳ, báo cáo EBITDA là 1.290 triệu đô la vào năm 1993, trước chi phí lãi vay là 215 triệu đô la và chi phí khấu hao là 400 triệu đô la. Chi tiêu vốn (capital expenditures) trong năm 1993 lên tới 450 triệu đô la, và vốn lưu động (working capital) chiếm 7% doanh thu (vốn là 13.500 triệu đô la). Công ty có khoản nợ chưa thanh toán là 3,068 tỷ đô la (theo giá trị sổ sách), đang giao dịch ở mức giá trị thị trường là 3,2 tỷ đô la và có lợi suất lãi suất trước thuế là 8%. Có 62 triệu cổ phiếu đang lưu hành, giao dịch ở mức 64 đô la mỗi cổ phiếu, và hệ số beta gần nhất là 1,10. Thuế suất của công ty là 40%. (Lãi suất trái phiếu kho bạc là 7%, và phần bù rủi ro (risk premium) là 5,5%.)</w:t>
      </w:r>
    </w:p>
    <w:p>
      <w:pPr>
        <w:pStyle w:val="Para 03"/>
      </w:pPr>
      <w:r>
        <w:t>Công ty kỳ vọng doanh thu, thu nhập, chi tiêu vốn và khấu hao sẽ tăng trưởng 9,5% mỗi năm từ năm 1994 đến năm 1998, sau đó tốc độ tăng trưởng dự kiến sẽ giảm xuống còn 4%. (Chi tiêu vốn sẽ bằng 120% khấu hao trong giai đoạn ổn định.) Công ty cũng dự định giảm tỷ lệ nợ/vốn chủ sở hữu (debt/equity ratio) xuống còn 50% cho giai đoạn ổn định (điều này sẽ khiến lãi suất trước thuế giảm xuống còn 7,5%).</w:t>
      </w:r>
    </w:p>
    <w:p>
      <w:pPr>
        <w:numPr>
          <w:ilvl w:val="1"/>
          <w:numId w:val="153"/>
        </w:numPr>
        <w:pStyle w:val="Para 01"/>
      </w:pPr>
      <w:r>
        <w:t>Ước tính giá trị của công ty.</w:t>
      </w:r>
    </w:p>
    <w:p>
      <w:pPr>
        <w:numPr>
          <w:ilvl w:val="1"/>
          <w:numId w:val="153"/>
        </w:numPr>
        <w:pStyle w:val="Para 01"/>
      </w:pPr>
      <w:r>
        <w:t>Ước tính giá trị vốn chủ sở hữu của công ty và giá trị trên mỗi cổ phần.</w:t>
      </w:r>
    </w:p>
    <w:p>
      <w:pPr>
        <w:numPr>
          <w:ilvl w:val="0"/>
          <w:numId w:val="153"/>
        </w:numPr>
        <w:pStyle w:val="Para 01"/>
      </w:pPr>
      <w:r>
        <w:t>Trước những kết quả thu nhập đáng thất vọng và các cổ đông tổ chức ngày càng quyết liệt, Eastman Kodak đang cân nhắc một cuộc tái cấu trúc lớn vào năm 1993. Là một phần của cuộc tái cấu trúc này, công ty đang cân nhắc việc bán bộ phận y tế (health division) của mình, bộ phận này kiếm được 560 triệu đô la thu nhập trước lãi vay và thuế (EBIT) trong năm 1993, trên doanh thu 5,285 tỷ đô la. Tăng trưởng thu nhập dự kiến sẽ giảm tốc xuống còn 6% trong giai đoạn từ năm 1994 đến năm 1998 và còn 4% sau đó. Chi tiêu vốn trong bộ phận y tế lên tới 420 triệu đô la trong năm 1993, trong khi khấu hao là 350 triệu đô la. Cả hai đều được kỳ vọng sẽ tăng trưởng 4% mỗi năm trong dài hạn. Nhu cầu vốn lưu động là không đáng kể.</w:t>
      </w:r>
    </w:p>
    <w:p>
      <w:pPr>
        <w:pStyle w:val="Para 03"/>
      </w:pPr>
      <w:r>
        <w:t>Hệ số beta trung bình của các công ty cạnh tranh với bộ phận y tế của Eastman Kodak là 1,15. Trong khi Eastman Kodak có tỷ lệ nợ [D/(D + E)] là 50%, bộ phận y tế chỉ có thể duy trì tỷ lệ nợ [D/(D + E)] là 20%, tương tự như tỷ lệ nợ trung bình của các công ty cạnh tranh trong lĩnh vực y tế. Ở mức nợ này, bộ phận y tế có thể kỳ vọng trả 7,5% trên khoản nợ của mình trước thuế. (Thuế suất là 40%, lãi suất trái phiếu kho bạc là 7%, và phần bù rủi ro là 5,5%.)</w:t>
      </w:r>
    </w:p>
    <w:p>
      <w:pPr>
        <w:numPr>
          <w:ilvl w:val="1"/>
          <w:numId w:val="153"/>
        </w:numPr>
        <w:pStyle w:val="Para 01"/>
      </w:pPr>
      <w:r>
        <w:t>Ước tính chi phí vốn (cost of capital) cho bộ phận này.</w:t>
      </w:r>
    </w:p>
    <w:p>
      <w:pPr>
        <w:numPr>
          <w:ilvl w:val="1"/>
          <w:numId w:val="153"/>
        </w:numPr>
        <w:pStyle w:val="Para 01"/>
      </w:pPr>
      <w:r>
        <w:t>Ước tính giá trị của bộ phận này.</w:t>
      </w:r>
    </w:p>
    <w:p>
      <w:pPr>
        <w:numPr>
          <w:ilvl w:val="1"/>
          <w:numId w:val="153"/>
        </w:numPr>
        <w:pStyle w:val="Para 01"/>
      </w:pPr>
      <w:r>
        <w:t>Tại sao một người mua lại (acquirer) có thể trả nhiều hơn giá trị ước tính này cho bộ phận này?</w:t>
      </w:r>
    </w:p>
    <w:p>
      <w:pPr>
        <w:numPr>
          <w:ilvl w:val="0"/>
          <w:numId w:val="153"/>
        </w:numPr>
        <w:pStyle w:val="Para 01"/>
      </w:pPr>
      <w:r>
        <w:t>Bạn đang phân tích một bản định giá được thực hiện trên một công ty ổn định bởi một nhà phân tích nổi tiếng. Dựa trên dòng tiền tự do kỳ vọng của công ty (free cash flow to firm) vào năm tới là 30 triệu đô la và tốc độ tăng trưởng kỳ vọng là 5%, nhà phân tích đã ước tính giá trị là 750 triệu đô la. Tuy nhiên, ông đã mắc sai lầm khi sử dụng giá trị sổ sách của nợ và vốn chủ sở hữu trong tính toán của mình. Trong khi bạn không biết trọng số giá trị sổ sách mà ông đã sử dụng, bạn biết rằng công ty có chi phí vốn chủ sở hữu là 12% và chi phí nợ sau thuế là 6%. Bạn cũng biết rằng giá trị thị trường của vốn chủ sở hữu gấp ba lần giá trị sổ sách của vốn chủ sở hữu, trong khi giá trị thị trường của nợ bằng giá trị sổ sách của nợ. Hãy ước tính giá trị đúng cho công ty.</w:t>
      </w:r>
    </w:p>
    <w:p>
      <w:pPr>
        <w:numPr>
          <w:ilvl w:val="0"/>
          <w:numId w:val="153"/>
        </w:numPr>
        <w:pStyle w:val="Para 01"/>
      </w:pPr>
      <w:r>
        <w:t>Santa Fe Pacific, một nhà khai thác đường sắt lớn với các hoạt động đa dạng, có thu nhập trước lãi vay, thuế và khấu hao là 637 triệu đô la vào năm 1993, với khấu hao lên tới 235 triệu đô la (được bù đắp bởi chi tiêu vốn có giá trị tương đương). Công ty đang ở trạng thái ổn định và kỳ vọng tăng trưởng 6% mỗi năm vĩnh viễn. Santa Fe Pacific có hệ số beta là 1,25 vào năm 1993, và khoản nợ chưa thanh toán là 1,34 tỷ đô la. Giá cổ phiếu là 18,25 đô la vào cuối năm 1993, và có 183,1 triệu cổ phiếu đang lưu hành. Xếp hạng kỳ vọng và chi phí nợ ở các mức nợ khác nhau cho Santa Fe được thể hiện trong bảng sau:</w:t>
      </w:r>
    </w:p>
    <w:tbl>
      <w:tblPr>
        <w:tblW w:type="auto" w:w="0"/>
      </w:tblPr>
      <w:tr>
        <w:tc>
          <w:tcPr>
            <w:tcW w:type="auto" w:w="0"/>
          </w:tcPr>
          <w:tbl>
            <w:tblPr>
              <w:tblW w:type="auto" w:w="0"/>
            </w:tblPr>
            <w:tr>
              <w:tc>
                <w:tcPr>
                  <w:tcW w:type="auto" w:w="0"/>
                  <w:shd w:val="clear" w:color="auto" w:fill="F0F0F0"/>
                </w:tcPr>
                <w:p>
                  <w:pPr>
                    <w:pStyle w:val="Para 17"/>
                    <w:keepLines w:val="on"/>
                  </w:pPr>
                  <w:r>
                    <w:t>D/(D + E)</w:t>
                  </w:r>
                </w:p>
              </w:tc>
              <w:tc>
                <w:tcPr>
                  <w:tcW w:type="auto" w:w="0"/>
                  <w:shd w:val="clear" w:color="auto" w:fill="F0F0F0"/>
                </w:tcPr>
                <w:p>
                  <w:pPr>
                    <w:pStyle w:val="Para 17"/>
                    <w:keepLines w:val="on"/>
                  </w:pPr>
                  <w:r>
                    <w:t>Xếp hạng</w:t>
                  </w:r>
                </w:p>
              </w:tc>
              <w:tc>
                <w:tcPr>
                  <w:tcW w:type="auto" w:w="0"/>
                  <w:shd w:val="clear" w:color="auto" w:fill="F0F0F0"/>
                </w:tcPr>
                <w:p>
                  <w:pPr>
                    <w:pStyle w:val="Para 17"/>
                    <w:keepLines w:val="on"/>
                  </w:pPr>
                  <w:r>
                    <w:t>Chi phí nợ (trước thuế)</w:t>
                  </w:r>
                </w:p>
              </w:tc>
            </w:tr>
            <w:tr>
              <w:tc>
                <w:tcPr>
                  <w:tcW w:type="auto" w:w="0"/>
                  <w:shd w:val="clear" w:color="auto" w:fill="F0F0F0"/>
                </w:tcPr>
                <w:p>
                  <w:pPr>
                    <w:pStyle w:val="Normal"/>
                    <w:keepLines w:val="on"/>
                  </w:pPr>
                  <w:r>
                    <w:t>0%</w:t>
                  </w:r>
                </w:p>
              </w:tc>
              <w:tc>
                <w:tcPr>
                  <w:tcW w:type="auto" w:w="0"/>
                  <w:shd w:val="clear" w:color="auto" w:fill="F0F0F0"/>
                </w:tcPr>
                <w:p>
                  <w:pPr>
                    <w:pStyle w:val="Para 02"/>
                    <w:keepLines w:val="on"/>
                  </w:pPr>
                  <w:r>
                    <w:t>AAA</w:t>
                  </w:r>
                </w:p>
              </w:tc>
              <w:tc>
                <w:tcPr>
                  <w:tcW w:type="auto" w:w="0"/>
                  <w:shd w:val="clear" w:color="auto" w:fill="F0F0F0"/>
                </w:tcPr>
                <w:p>
                  <w:pPr>
                    <w:pStyle w:val="Normal"/>
                    <w:keepLines w:val="on"/>
                  </w:pPr>
                  <w:r>
                    <w:t>6,23%</w:t>
                  </w:r>
                </w:p>
              </w:tc>
            </w:tr>
            <w:tr>
              <w:tc>
                <w:tcPr>
                  <w:tcW w:type="auto" w:w="0"/>
                  <w:shd w:val="clear" w:color="auto" w:fill="F0F0F0"/>
                </w:tcPr>
                <w:p>
                  <w:pPr>
                    <w:pStyle w:val="Normal"/>
                    <w:keepLines w:val="on"/>
                  </w:pPr>
                  <w:r>
                    <w:t>10%</w:t>
                  </w:r>
                </w:p>
              </w:tc>
              <w:tc>
                <w:tcPr>
                  <w:tcW w:type="auto" w:w="0"/>
                  <w:shd w:val="clear" w:color="auto" w:fill="F0F0F0"/>
                </w:tcPr>
                <w:p>
                  <w:pPr>
                    <w:pStyle w:val="Para 02"/>
                    <w:keepLines w:val="on"/>
                  </w:pPr>
                  <w:r>
                    <w:t>AAA</w:t>
                  </w:r>
                </w:p>
              </w:tc>
              <w:tc>
                <w:tcPr>
                  <w:tcW w:type="auto" w:w="0"/>
                  <w:shd w:val="clear" w:color="auto" w:fill="F0F0F0"/>
                </w:tcPr>
                <w:p>
                  <w:pPr>
                    <w:pStyle w:val="Normal"/>
                    <w:keepLines w:val="on"/>
                  </w:pPr>
                  <w:r>
                    <w:t>6,23%</w:t>
                  </w:r>
                </w:p>
              </w:tc>
            </w:tr>
            <w:tr>
              <w:tc>
                <w:tcPr>
                  <w:tcW w:type="auto" w:w="0"/>
                  <w:shd w:val="clear" w:color="auto" w:fill="F0F0F0"/>
                </w:tcPr>
                <w:p>
                  <w:pPr>
                    <w:pStyle w:val="Normal"/>
                    <w:keepLines w:val="on"/>
                  </w:pPr>
                  <w:r>
                    <w:t>20%</w:t>
                  </w:r>
                </w:p>
              </w:tc>
              <w:tc>
                <w:tcPr>
                  <w:tcW w:type="auto" w:w="0"/>
                  <w:shd w:val="clear" w:color="auto" w:fill="F0F0F0"/>
                </w:tcPr>
                <w:p>
                  <w:pPr>
                    <w:pStyle w:val="Para 02"/>
                    <w:keepLines w:val="on"/>
                  </w:pPr>
                  <w:r>
                    <w:t>A+</w:t>
                  </w:r>
                </w:p>
              </w:tc>
              <w:tc>
                <w:tcPr>
                  <w:tcW w:type="auto" w:w="0"/>
                  <w:shd w:val="clear" w:color="auto" w:fill="F0F0F0"/>
                </w:tcPr>
                <w:p>
                  <w:pPr>
                    <w:pStyle w:val="Normal"/>
                    <w:keepLines w:val="on"/>
                  </w:pPr>
                  <w:r>
                    <w:t>6,93%</w:t>
                  </w:r>
                </w:p>
              </w:tc>
            </w:tr>
            <w:tr>
              <w:tc>
                <w:tcPr>
                  <w:tcW w:type="auto" w:w="0"/>
                  <w:shd w:val="clear" w:color="auto" w:fill="F0F0F0"/>
                </w:tcPr>
                <w:p>
                  <w:pPr>
                    <w:pStyle w:val="Normal"/>
                    <w:keepLines w:val="on"/>
                  </w:pPr>
                  <w:r>
                    <w:t>30%</w:t>
                  </w:r>
                </w:p>
              </w:tc>
              <w:tc>
                <w:tcPr>
                  <w:tcW w:type="auto" w:w="0"/>
                  <w:shd w:val="clear" w:color="auto" w:fill="F0F0F0"/>
                </w:tcPr>
                <w:p>
                  <w:pPr>
                    <w:pStyle w:val="Para 02"/>
                    <w:keepLines w:val="on"/>
                  </w:pPr>
                  <w:r>
                    <w:t>A−</w:t>
                  </w:r>
                </w:p>
              </w:tc>
              <w:tc>
                <w:tcPr>
                  <w:tcW w:type="auto" w:w="0"/>
                  <w:shd w:val="clear" w:color="auto" w:fill="F0F0F0"/>
                </w:tcPr>
                <w:p>
                  <w:pPr>
                    <w:pStyle w:val="Normal"/>
                    <w:keepLines w:val="on"/>
                  </w:pPr>
                  <w:r>
                    <w:t>7,43%</w:t>
                  </w:r>
                </w:p>
              </w:tc>
            </w:tr>
            <w:tr>
              <w:tc>
                <w:tcPr>
                  <w:tcW w:type="auto" w:w="0"/>
                  <w:shd w:val="clear" w:color="auto" w:fill="F0F0F0"/>
                </w:tcPr>
                <w:p>
                  <w:pPr>
                    <w:pStyle w:val="Normal"/>
                    <w:keepLines w:val="on"/>
                  </w:pPr>
                  <w:r>
                    <w:t>40%</w:t>
                  </w:r>
                </w:p>
              </w:tc>
              <w:tc>
                <w:tcPr>
                  <w:tcW w:type="auto" w:w="0"/>
                  <w:shd w:val="clear" w:color="auto" w:fill="F0F0F0"/>
                </w:tcPr>
                <w:p>
                  <w:pPr>
                    <w:pStyle w:val="Para 02"/>
                    <w:keepLines w:val="on"/>
                  </w:pPr>
                  <w:r>
                    <w:t>BB</w:t>
                  </w:r>
                </w:p>
              </w:tc>
              <w:tc>
                <w:tcPr>
                  <w:tcW w:type="auto" w:w="0"/>
                  <w:shd w:val="clear" w:color="auto" w:fill="F0F0F0"/>
                </w:tcPr>
                <w:p>
                  <w:pPr>
                    <w:pStyle w:val="Normal"/>
                    <w:keepLines w:val="on"/>
                  </w:pPr>
                  <w:r>
                    <w:t>8,43%</w:t>
                  </w:r>
                </w:p>
              </w:tc>
            </w:tr>
            <w:tr>
              <w:tc>
                <w:tcPr>
                  <w:tcW w:type="auto" w:w="0"/>
                  <w:shd w:val="clear" w:color="auto" w:fill="F0F0F0"/>
                </w:tcPr>
                <w:p>
                  <w:pPr>
                    <w:pStyle w:val="Normal"/>
                    <w:keepLines w:val="on"/>
                  </w:pPr>
                  <w:r>
                    <w:t>50%</w:t>
                  </w:r>
                </w:p>
              </w:tc>
              <w:tc>
                <w:tcPr>
                  <w:tcW w:type="auto" w:w="0"/>
                  <w:shd w:val="clear" w:color="auto" w:fill="F0F0F0"/>
                </w:tcPr>
                <w:p>
                  <w:pPr>
                    <w:pStyle w:val="Para 02"/>
                    <w:keepLines w:val="on"/>
                  </w:pPr>
                  <w:r>
                    <w:t>B+</w:t>
                  </w:r>
                </w:p>
              </w:tc>
              <w:tc>
                <w:tcPr>
                  <w:tcW w:type="auto" w:w="0"/>
                  <w:shd w:val="clear" w:color="auto" w:fill="F0F0F0"/>
                </w:tcPr>
                <w:p>
                  <w:pPr>
                    <w:pStyle w:val="Normal"/>
                    <w:keepLines w:val="on"/>
                  </w:pPr>
                  <w:r>
                    <w:t>8,93%</w:t>
                  </w:r>
                </w:p>
              </w:tc>
            </w:tr>
            <w:tr>
              <w:tc>
                <w:tcPr>
                  <w:tcW w:type="auto" w:w="0"/>
                  <w:shd w:val="clear" w:color="auto" w:fill="F0F0F0"/>
                </w:tcPr>
                <w:p>
                  <w:pPr>
                    <w:pStyle w:val="Normal"/>
                    <w:keepLines w:val="on"/>
                  </w:pPr>
                  <w:r>
                    <w:t>60%</w:t>
                  </w:r>
                </w:p>
              </w:tc>
              <w:tc>
                <w:tcPr>
                  <w:tcW w:type="auto" w:w="0"/>
                  <w:shd w:val="clear" w:color="auto" w:fill="F0F0F0"/>
                </w:tcPr>
                <w:p>
                  <w:pPr>
                    <w:pStyle w:val="Para 02"/>
                    <w:keepLines w:val="on"/>
                  </w:pPr>
                  <w:r>
                    <w:t>B−</w:t>
                  </w:r>
                </w:p>
              </w:tc>
              <w:tc>
                <w:tcPr>
                  <w:tcW w:type="auto" w:w="0"/>
                  <w:shd w:val="clear" w:color="auto" w:fill="F0F0F0"/>
                </w:tcPr>
                <w:p>
                  <w:pPr>
                    <w:pStyle w:val="Normal"/>
                    <w:keepLines w:val="on"/>
                  </w:pPr>
                  <w:r>
                    <w:t>10,93%</w:t>
                  </w:r>
                </w:p>
              </w:tc>
            </w:tr>
            <w:tr>
              <w:tc>
                <w:tcPr>
                  <w:tcW w:type="auto" w:w="0"/>
                  <w:shd w:val="clear" w:color="auto" w:fill="F0F0F0"/>
                </w:tcPr>
                <w:p>
                  <w:pPr>
                    <w:pStyle w:val="Normal"/>
                    <w:keepLines w:val="on"/>
                  </w:pPr>
                  <w:r>
                    <w:t>70%</w:t>
                  </w:r>
                </w:p>
              </w:tc>
              <w:tc>
                <w:tcPr>
                  <w:tcW w:type="auto" w:w="0"/>
                  <w:shd w:val="clear" w:color="auto" w:fill="F0F0F0"/>
                </w:tcPr>
                <w:p>
                  <w:pPr>
                    <w:pStyle w:val="Para 02"/>
                    <w:keepLines w:val="on"/>
                  </w:pPr>
                  <w:r>
                    <w:t>CCC</w:t>
                  </w:r>
                </w:p>
              </w:tc>
              <w:tc>
                <w:tcPr>
                  <w:tcW w:type="auto" w:w="0"/>
                  <w:shd w:val="clear" w:color="auto" w:fill="F0F0F0"/>
                </w:tcPr>
                <w:p>
                  <w:pPr>
                    <w:pStyle w:val="Normal"/>
                    <w:keepLines w:val="on"/>
                  </w:pPr>
                  <w:r>
                    <w:t>11,93%</w:t>
                  </w:r>
                </w:p>
              </w:tc>
            </w:tr>
            <w:tr>
              <w:tc>
                <w:tcPr>
                  <w:tcW w:type="auto" w:w="0"/>
                  <w:shd w:val="clear" w:color="auto" w:fill="F0F0F0"/>
                </w:tcPr>
                <w:p>
                  <w:pPr>
                    <w:pStyle w:val="Normal"/>
                    <w:keepLines w:val="on"/>
                  </w:pPr>
                  <w:r>
                    <w:t>80%</w:t>
                  </w:r>
                </w:p>
              </w:tc>
              <w:tc>
                <w:tcPr>
                  <w:tcW w:type="auto" w:w="0"/>
                  <w:shd w:val="clear" w:color="auto" w:fill="F0F0F0"/>
                </w:tcPr>
                <w:p>
                  <w:pPr>
                    <w:pStyle w:val="Para 02"/>
                    <w:keepLines w:val="on"/>
                  </w:pPr>
                  <w:r>
                    <w:t>CCC</w:t>
                  </w:r>
                </w:p>
              </w:tc>
              <w:tc>
                <w:tcPr>
                  <w:tcW w:type="auto" w:w="0"/>
                  <w:shd w:val="clear" w:color="auto" w:fill="F0F0F0"/>
                </w:tcPr>
                <w:p>
                  <w:pPr>
                    <w:pStyle w:val="Normal"/>
                    <w:keepLines w:val="on"/>
                  </w:pPr>
                  <w:r>
                    <w:t>11,93%</w:t>
                  </w:r>
                </w:p>
              </w:tc>
            </w:tr>
            <w:tr>
              <w:tc>
                <w:tcPr>
                  <w:tcW w:type="auto" w:w="0"/>
                  <w:shd w:val="clear" w:color="auto" w:fill="F0F0F0"/>
                </w:tcPr>
                <w:p>
                  <w:pPr>
                    <w:pStyle w:val="Normal"/>
                    <w:keepLines w:val="on"/>
                  </w:pPr>
                  <w:r>
                    <w:t>90%</w:t>
                  </w:r>
                </w:p>
              </w:tc>
              <w:tc>
                <w:tcPr>
                  <w:tcW w:type="auto" w:w="0"/>
                  <w:shd w:val="clear" w:color="auto" w:fill="F0F0F0"/>
                </w:tcPr>
                <w:p>
                  <w:pPr>
                    <w:pStyle w:val="Para 02"/>
                    <w:keepLines w:val="on"/>
                  </w:pPr>
                  <w:r>
                    <w:t>CC</w:t>
                  </w:r>
                </w:p>
              </w:tc>
              <w:tc>
                <w:tcPr>
                  <w:tcW w:type="auto" w:w="0"/>
                  <w:shd w:val="clear" w:color="auto" w:fill="F0F0F0"/>
                </w:tcPr>
                <w:p>
                  <w:pPr>
                    <w:pStyle w:val="Normal"/>
                    <w:keepLines w:val="on"/>
                  </w:pPr>
                  <w:r>
                    <w:t>13,43%</w:t>
                  </w:r>
                </w:p>
              </w:tc>
            </w:tr>
          </w:tbl>
          <w:p/>
        </w:tc>
      </w:tr>
    </w:tbl>
    <w:p>
      <w:pPr>
        <w:pStyle w:val="Para 03"/>
      </w:pPr>
      <w:r>
        <w:t>Lợi nhuận trước lãi vay và thuế (earnings before interest and taxes) được kỳ vọng sẽ tăng 3% mỗi năm mãi mãi, với chi phí đầu tư vốn (capital expenditures) được bù đắp bằng khấu hao. (Thuế suất là 40%, lãi suất trái phiếu kho bạc (Treasury bond rate) là 7% và phần bù rủi ro thị trường (market risk premium) là 5,5%.)</w:t>
      </w:r>
    </w:p>
    <w:p>
      <w:pPr>
        <w:numPr>
          <w:ilvl w:val="1"/>
          <w:numId w:val="153"/>
        </w:numPr>
        <w:pStyle w:val="Para 01"/>
      </w:pPr>
      <w:r>
        <w:t>Ước tính chi phí vốn (cost of capital) tại tỷ lệ nợ hiện tại.</w:t>
      </w:r>
    </w:p>
    <w:p>
      <w:pPr>
        <w:numPr>
          <w:ilvl w:val="1"/>
          <w:numId w:val="153"/>
        </w:numPr>
        <w:pStyle w:val="Para 01"/>
      </w:pPr>
      <w:r>
        <w:t>Ước tính chi phí vốn tại các tỷ lệ nợ từ 0% đến 90%.</w:t>
      </w:r>
    </w:p>
    <w:p>
      <w:pPr>
        <w:numPr>
          <w:ilvl w:val="1"/>
          <w:numId w:val="153"/>
        </w:numPr>
        <w:pStyle w:val="Para 01"/>
      </w:pPr>
      <w:r>
        <w:t>Ước tính giá trị của doanh nghiệp (value of the firm) tại các tỷ lệ nợ từ 0% đến 90%.</w:t>
      </w:r>
    </w:p>
    <w:p>
      <w:pPr>
        <w:numPr>
          <w:ilvl w:val="0"/>
          <w:numId w:val="153"/>
        </w:numPr>
        <w:pStyle w:val="Para 01"/>
      </w:pPr>
      <w:r>
        <w:t>Bạn được yêu cầu ước tính giá trị của Cavanaugh Motels, một chuỗi nhà nghỉ. Doanh nghiệp báo cáo lợi nhuận 200 triệu đô la trước lãi vay và thuế trong năm gần nhất và đã nộp 40% thu nhập chịu thuế của mình dưới dạng thuế. Giá trị sổ sách (book value) của vốn tại doanh nghiệp là 1,2 tỷ đô la, và doanh nghiệp kỳ vọng sẽ tăng trưởng 4% mỗi năm mãi mãi. Doanh nghiệp có beta là 1,2, chi phí nợ trước thuế (pretax cost of debt) là 6%, vốn chủ sở hữu (equity) có giá trị thị trường là 1 tỷ đô la, và nợ có giá trị thị trường là 500 triệu đô la. (Lãi suất phi rủi ro (risk-free rate) là 5%, và phần bù rủi ro thị trường (market risk premium) là 5,5%.)</w:t>
      </w:r>
    </w:p>
    <w:p>
      <w:pPr>
        <w:numPr>
          <w:ilvl w:val="1"/>
          <w:numId w:val="153"/>
        </w:numPr>
        <w:pStyle w:val="Para 01"/>
      </w:pPr>
      <w:r>
        <w:t>Ước tính giá trị của doanh nghiệp, sử dụng phương pháp chi phí vốn.</w:t>
      </w:r>
    </w:p>
    <w:p>
      <w:pPr>
        <w:numPr>
          <w:ilvl w:val="1"/>
          <w:numId w:val="153"/>
        </w:numPr>
        <w:pStyle w:val="Para 01"/>
      </w:pPr>
      <w:r>
        <w:t>Nếu bạn được cho biết xác suất vỡ nợ của doanh nghiệp này ở mức nợ hiện tại là 10% và chi phí phá sản là 25% giá trị doanh nghiệp không vay nợ, hãy ước tính giá trị của doanh nghiệp bằng phương pháp giá trị hiện tại điều chỉnh (adjusted present value).</w:t>
      </w:r>
    </w:p>
    <w:p>
      <w:pPr>
        <w:numPr>
          <w:ilvl w:val="1"/>
          <w:numId w:val="153"/>
        </w:numPr>
        <w:pStyle w:val="Para 01"/>
      </w:pPr>
      <w:r>
        <w:t>Bạn sẽ dung hòa hai ước tính giá trị này như thế nào?</w:t>
      </w:r>
    </w:p>
    <w:p>
      <w:pPr>
        <w:numPr>
          <w:ilvl w:val="0"/>
          <w:numId w:val="153"/>
        </w:numPr>
        <w:pStyle w:val="Para 01"/>
      </w:pPr>
      <w:r>
        <w:t>Bethlehem Steel, một trong những công ty thép lâu đời nhất và lớn nhất tại Hoa Kỳ, đang xem xét câu hỏi liệu công ty có năng lực vay nợ dư thừa hay không. Công ty có 527 triệu đô la giá trị thị trường của nợ đang lưu hành và 1,76 tỷ đô la giá trị thị trường của vốn chủ sở hữu. Công ty có thu nhập trước lãi vay và thuế là 131 triệu đô la, và chịu thuế suất doanh nghiệp là 36%. Trái phiếu của công ty được xếp hạng BBB, và chi phí nợ là 8%. Ở mức xếp hạng này, công ty có xác suất vỡ nợ là 2,3%, và chi phí phá sản được kỳ vọng là 30% giá trị doanh nghiệp.</w:t>
      </w:r>
    </w:p>
    <w:p>
      <w:pPr>
        <w:numPr>
          <w:ilvl w:val="1"/>
          <w:numId w:val="153"/>
        </w:numPr>
        <w:pStyle w:val="Para 01"/>
      </w:pPr>
      <w:r>
        <w:t>Ước tính giá trị không vay nợ của doanh nghiệp từ giá trị thị trường hiện tại của doanh nghiệp.</w:t>
      </w:r>
    </w:p>
    <w:p>
      <w:pPr>
        <w:numPr>
          <w:ilvl w:val="1"/>
          <w:numId w:val="153"/>
        </w:numPr>
        <w:pStyle w:val="Para 01"/>
      </w:pPr>
      <w:r>
        <w:t>Ước tính giá trị có vay nợ của doanh nghiệp, sử dụng phương pháp giá trị hiện tại điều chỉnh, ở tỷ lệ nợ 50%. Ở tỷ lệ nợ đó, xếp hạng trái phiếu của công ty sẽ là CCC, và xác suất vỡ nợ sẽ tăng lên 46,61% giá trị doanh nghiệp không vay nợ.</w:t>
      </w:r>
    </w:p>
    <w:p>
      <w:bookmarkStart w:id="3103" w:name="Notes_14"/>
      <w:bookmarkStart w:id="3104" w:name="Notes__1_The_equity_reinvestment"/>
      <w:pPr>
        <w:keepNext/>
        <w:pStyle w:val="Heading 2"/>
        <w:keepLines w:val="on"/>
      </w:pPr>
      <w:r>
        <w:t>Ghi chú</w:t>
      </w:r>
      <w:bookmarkEnd w:id="3103"/>
      <w:bookmarkEnd w:id="3104"/>
    </w:p>
    <w:p>
      <w:pPr>
        <w:pStyle w:val="Para 08"/>
      </w:pPr>
      <w:r>
        <w:t>1 Tỷ lệ tái đầu tư vốn chủ sở hữu và tỷ lệ tái đầu tư doanh nghiệp sẽ điều chỉnh để đảm bảo điều này xảy ra. Tỷ lệ tái đầu tư vốn chủ sở hữu sẽ là một con số thấp hơn tỷ lệ tái đầu tư doanh nghiệp trong tăng trưởng ổn định đối với bất kỳ doanh nghiệp có vay nợ nào.</w:t>
      </w:r>
    </w:p>
    <w:p>
      <w:pPr>
        <w:pStyle w:val="Para 08"/>
      </w:pPr>
      <w:r>
        <w:t>2 Vào giai đoạn đầu trong vòng đời của một công ty, doanh nghiệp có thể sử dụng tín dụng nhà cung cấp và các khoản phải trả như một nguồn vốn, dẫn đến vốn lưu động âm. Mặc dù mô hình tài trợ này thường không mở rộng quy mô, có một số doanh nghiệp lớn mà vốn lưu động vẫn tiếp tục âm. Ngay cả với những doanh nghiệp này, vốn lưu động phi tiền mặt tính theo phần trăm doanh thu cũng sẽ nhỏ dần (một con số ít âm hơn) theo thời gian.</w:t>
      </w:r>
    </w:p>
    <w:p>
      <w:pPr>
        <w:pStyle w:val="Para 08"/>
      </w:pPr>
      <w:r>
        <w:t>3 Trong Microsoft Excel, rất dễ để thiết lập quy trình này. Trước tiên bạn nên vào phần tùy chọn tính toán và đánh dấu vào ô lặp (iteration). Sau đó bạn có thể biến chi phí vốn thành một hàm của các giá trị nợ và vốn chủ sở hữu mà bạn ước tính.</w:t>
      </w:r>
    </w:p>
    <w:p>
      <w:pPr>
        <w:pStyle w:val="Para 08"/>
      </w:pPr>
      <w:r>
        <w:t>4 Nghiên cứu này chỉ ước tính tỷ lệ vỡ nợ trong 10 năm cho một số nhóm xếp hạng. Chúng tôi đã ngoại suy phần còn lại của các xếp hạng.</w:t>
      </w:r>
    </w:p>
    <w:p>
      <w:pPr>
        <w:pStyle w:val="Para 08"/>
      </w:pPr>
      <w:r>
        <w:t>5 Probit là một kỹ thuật thống kê có thể được sử dụng để ước tính xác suất của một sự kiện rời rạc (ví dụ: mua lại, vỡ nợ) bằng cách sử dụng dữ liệu lịch sử về những sự kiện đó, cùng với các biến mà bạn giả định là quyết định khả năng xảy ra của chúng. Do đó, bạn có thể xem xét các công ty đã vỡ nợ trong quá khứ và đối chiếu chúng với các công ty không vỡ nợ, sử dụng tỷ lệ nợ, độ biến động thu nhập và quy mô công ty làm các biến độc lập.</w:t>
      </w:r>
    </w:p>
    <w:p>
      <w:pPr>
        <w:pStyle w:val="Para 08"/>
      </w:pPr>
      <w:r>
        <w:t>6 Trong nghiên cứu năm 1977 của Warner về các vụ phá sản đường sắt, chi phí trực tiếp của phá sản dường như vào khoảng 5 phần trăm.</w:t>
      </w:r>
    </w:p>
    <w:p>
      <w:pPr>
        <w:pStyle w:val="Para 08"/>
      </w:pPr>
      <w:r>
        <w:t>7 Các doanh nghiệp có số dư tiền mặt lớn là những mục tiêu hấp dẫn, vì số dư tiền mặt có thể được dùng để bù đắp một phần chi phí thực hiện thương vụ mua lại.</w:t>
      </w:r>
    </w:p>
    <w:p>
      <w:pPr>
        <w:pStyle w:val="Para 08"/>
      </w:pPr>
      <w:r>
        <w:t>8 Điều này xuất phát từ giả định rằng các nhà quản lý đang trung thực. Nếu đúng như vậy, thông tin mà nhà đầu tư không có được sẽ có cơ hội như nhau là tin tốt và tin xấu. Do đó, với mỗi công ty phức tạp mà phát hiện ra thông tin làm giảm giá trị của nó, phải có một công ty phức tạp khác mà thông tin được đưa ra lại làm tăng giá trị. Trong một danh mục đa dạng hóa, những tác động này sẽ bình quân hóa về không.</w:t>
      </w:r>
    </w:p>
    <w:p>
      <w:pPr>
        <w:pStyle w:val="Para 08"/>
      </w:pPr>
      <w:r>
        <w:t>9 Villalonga, B., 1999, “Does diversification cause the diversification discount?” working paper, University of California, Los Angeles.</w:t>
      </w:r>
    </w:p>
    <w:p>
      <w:pPr>
        <w:pStyle w:val="Para 08"/>
      </w:pPr>
      <w:r>
        <w:t>10 Xem Damodaran, A., 2006, Damodaran on Valuation (Second Edition), John Wiley and Sons.</w:t>
      </w:r>
    </w:p>
    <w:p>
      <w:pPr>
        <w:pStyle w:val="Para 08"/>
      </w:pPr>
      <w:r>
        <w:t>11 Xem Berger, Philip G., và Eli Ofek, 1995, “Diversification’s effect on firm value,” Journal of Financial Economics 37, 39–65; Lang, Larry H. P. và Rene M. Stulz, 1994, “Tobin’s q, corporate diversification, and firm performance,” Journal of Political Economy 102, 1248–1280; Wernerfelt, Birger và Cynthia A. Montgomery, 1988, “Tobin’s q and the importance of focus in firm performance,” American Economic Review, 78: 246–250.</w:t>
      </w:r>
    </w:p>
    <w:p>
      <w:pPr>
        <w:pStyle w:val="Para 08"/>
      </w:pPr>
      <w:r>
        <w:t>12 Nói cách khác, giá trị của doanh nghiệp có thể không được tối đa hóa tại điểm mà chi phí vốn được tối thiểu hóa, nếu dòng tiền của doanh nghiệp thấp hơn nhiều ở mức đó.</w:t>
      </w:r>
    </w:p>
    <w:p>
      <w:pPr>
        <w:pStyle w:val="Para 08"/>
      </w:pPr>
      <w:r>
        <w:t>13 Mặc dù các kế toán viên của Disney báo cáo các hợp đồng thuê như là nợ, chúng tôi chọn tự thực hiện phép tính để đảm bảo rằng các điều chỉnh đầy đủ đã được thực hiện đối với thu nhập hoạt động và chi phí lãi vay.</w:t>
      </w:r>
    </w:p>
    <w:p>
      <w:pPr>
        <w:pStyle w:val="Para 08"/>
      </w:pPr>
      <w:r>
        <w:t>14 Khi tính toán các beta có vay nợ này, chúng tôi đã giả định rằng beta của nợ bằng không. Như chúng tôi đã lưu ý trong Chương 8, có một công thức thay thế cho beta có vay nợ cho phép beta của nợ khác không:</w:t>
      </w:r>
    </w:p>
    <w:p>
      <w:bookmarkStart w:id="3119" w:name="Levered_beta_bu__1__1_t__D_E__bd"/>
      <w:pPr>
        <w:keepNext/>
        <w:pStyle w:val="Para 53"/>
        <w:keepLines w:val="on"/>
      </w:pPr>
      <w:r>
        <w:t>Beta có vay nợ=βu (1+(1-t) D/E)-βdebt ((1-t) D/E)</w:t>
      </w:r>
      <w:bookmarkEnd w:id="3119"/>
    </w:p>
    <w:p>
      <w:pPr>
        <w:pStyle w:val="Para 03"/>
      </w:pPr>
      <w:r>
        <w:t>Sử dụng cách tiếp cận này sẽ làm giảm các beta có vay nợ, đặc biệt ở các mức nợ cao.</w:t>
      </w:r>
    </w:p>
    <w:p>
      <w:pPr>
        <w:pStyle w:val="Para 08"/>
      </w:pPr>
      <w:r>
        <w:t>15 Giá trị hiện tại của các hợp đồng thuê hoạt động (3.960 triệu đô la) được nhân với chi phí nợ trước thuế là 5,71% để có chi phí lãi vay là 226 triệu đô la, được cộng vào chi phí lãi vay. Thu nhập hoạt động được điều chỉnh bằng cách cộng lại chi phí thuê hoạt động và trừ đi khấu hao của tài sản đi thuê.</w:t>
      </w:r>
    </w:p>
    <w:p>
      <w:pPr>
        <w:pStyle w:val="Para 08"/>
      </w:pPr>
      <w:r>
        <w:t>16 Vì chi phí lãi vay tăng lên, có thể xếp hạng sẽ lại giảm xuống khi bạn lặp lại. Bạn phải tiếp tục lặp cho đến khi hội tụ về một lãi suất không thay đổi.</w:t>
      </w:r>
    </w:p>
    <w:p>
      <w:bookmarkStart w:id="3122" w:name="Top_of_c016_xhtml"/>
      <w:bookmarkStart w:id="3123" w:name="Chapter_16Estimating_Equity_Valu_1"/>
      <w:bookmarkStart w:id="3124" w:name="Chapter_16Estimating_Equity_Valu"/>
      <w:pPr>
        <w:keepNext/>
        <w:pStyle w:val="Heading 1"/>
        <w:pageBreakBefore w:val="on"/>
        <w:keepLines w:val="on"/>
      </w:pPr>
      <w:r>
        <w:t>CHƯƠNG 16</w:t>
      </w:r>
      <w:r>
        <w:br/>
      </w:r>
      <w:r>
        <w:t>Ước tính giá trị vốn chủ sở hữu trên mỗi cổ phần</w:t>
      </w:r>
      <w:bookmarkEnd w:id="3122"/>
      <w:bookmarkEnd w:id="3123"/>
      <w:bookmarkEnd w:id="3124"/>
    </w:p>
    <w:p>
      <w:pPr>
        <w:pStyle w:val="Para 03"/>
      </w:pPr>
      <w:r>
        <w:t>Chương 15 đã bàn về cách ước tính giá trị tài sản hoạt động của doanh nghiệp sao cho hợp lý nhất. Để đi từ giá trị đó đến giá trị doanh nghiệp, bạn phải tính đến giá trị của tiền mặt, chứng khoán thị trường và các tài sản phi hoạt động khác mà doanh nghiệp nắm giữ. Cụ thể, bạn phải định giá các khoản nắm giữ ở doanh nghiệp khác và xử lý đủ loại kỹ thuật kế toán dùng để ghi nhận những khoản nắm giữ đó. Để đi từ giá trị doanh nghiệp đến giá trị vốn chủ sở hữu, bạn phải xác định giá trị của các khoản khiếu nại không phải vốn chủ sở hữu trong doanh nghiệp để trừ ra.</w:t>
      </w:r>
    </w:p>
    <w:p>
      <w:pPr>
        <w:pStyle w:val="Para 03"/>
      </w:pPr>
      <w:r>
        <w:t>Khi đã định giá vốn chủ sở hữu của một doanh nghiệp, việc ước tính giá trị trên mỗi cổ phần có vẻ là một bài tập khá đơn giản. Có vẻ như bạn chỉ cần lấy giá trị vốn chủ sở hữu chia cho số cổ phần đang lưu hành. Nhưng với một số doanh nghiệp, ngay cả bài tập đơn giản này cũng có thể trở nên phức tạp vì sự hiện diện của quyền chọn dành cho ban quản lý và nhân viên. Chương này thảo luận về mức độ ảnh hưởng của lượng quyền chọn tồn đọng này lên việc định giá, rồi xem xét các cách đưa ảnh hưởng đó vào giá trị trên mỗi cổ phần.</w:t>
      </w:r>
    </w:p>
    <w:p>
      <w:bookmarkStart w:id="3126" w:name="Value_of_Nonoperating_Assets__Fi"/>
      <w:bookmarkStart w:id="3127" w:name="Value_of_Nonoperating_Assets"/>
      <w:pPr>
        <w:keepNext/>
        <w:pStyle w:val="Heading 2"/>
        <w:keepLines w:val="on"/>
      </w:pPr>
      <w:r>
        <w:t>Giá trị của tài sản phi hoạt động</w:t>
      </w:r>
      <w:bookmarkEnd w:id="3126"/>
      <w:bookmarkEnd w:id="3127"/>
    </w:p>
    <w:p>
      <w:pPr>
        <w:pStyle w:val="Para 03"/>
      </w:pPr>
      <w:r>
        <w:t>Doanh nghiệp có một số tài sản trên sổ sách có thể được xếp vào nhóm tài sản phi hoạt động. Đầu tiên và rõ ràng nhất là tiền mặt và các khoản đầu tư gần như tiền mặt — những khoản đầu tư vào tài sản phi rủi ro hoặc rủi ro rất thấp mà hầu hết công ty có số dư tiền mặt lớn đều thực hiện. Thứ hai là các khoản đầu tư vào cổ phiếu và trái phiếu của doanh nghiệp khác, đôi khi vì mục đích đầu tư và đôi khi vì mục đích chiến lược. Thứ ba là các khoản nắm giữ ở doanh nghiệp khác, dù tư nhân hay đại chúng, được kế toán viên phân loại theo nhiều cách khác nhau. Cuối cùng là những tài sản mà doanh nghiệp sở hữu nhưng không tạo ra dòng tiền, tuy vậy vẫn có thể có giá trị — ví dụ đất chưa phát triển ở New York City hay Tokyo.</w:t>
      </w:r>
    </w:p>
    <w:p>
      <w:bookmarkStart w:id="3128" w:name="Cash_and_Near_Cash_Investments_1"/>
      <w:bookmarkStart w:id="3129" w:name="Cash_and_Near_Cash_Investments"/>
      <w:pPr>
        <w:keepNext/>
        <w:pStyle w:val="Heading 3"/>
        <w:keepLines w:val="on"/>
      </w:pPr>
      <w:r>
        <w:t>Tiền mặt và các khoản đầu tư gần như tiền mặt</w:t>
      </w:r>
      <w:bookmarkEnd w:id="3128"/>
      <w:bookmarkEnd w:id="3129"/>
    </w:p>
    <w:p>
      <w:pPr>
        <w:pStyle w:val="Para 03"/>
      </w:pPr>
      <w:r>
        <w:t>Các khoản đầu tư vào chứng khoán chính phủ ngắn hạn hoặc thương phiếu, có thể chuyển thành tiền mặt nhanh chóng với chi phí rất thấp, được coi là các khoản đầu tư gần như tiền mặt. Phần này xem xét cách xử lý những khoản đầu tư này trong định giá sao cho hợp lý nhất.</w:t>
      </w:r>
    </w:p>
    <w:p>
      <w:bookmarkStart w:id="3130" w:name="Operating_Cash_Requirements__If"/>
      <w:bookmarkStart w:id="3131" w:name="Operating_Cash_Requirements"/>
      <w:pPr>
        <w:keepNext/>
        <w:pStyle w:val="Heading 4"/>
        <w:keepLines w:val="on"/>
      </w:pPr>
      <w:r>
        <w:t>Nhu cầu tiền mặt cho hoạt động</w:t>
      </w:r>
      <w:bookmarkEnd w:id="3130"/>
      <w:bookmarkEnd w:id="3131"/>
    </w:p>
    <w:p>
      <w:pPr>
        <w:pStyle w:val="Para 03"/>
      </w:pPr>
      <w:r>
        <w:t>Nếu một doanh nghiệp cần tiền mặt cho hoạt động của mình — một số dư tiền mặt hoạt động — và số tiền mặt này không sinh lời ở mức hợp lý theo thị trường, bạn nên coi khoản tiền mặt đó là một phần của nhu cầu vốn lưu động chứ không phải là nguồn giá trị tăng thêm. Khi đó, mọi khoản tiền mặt và đầu tư gần như tiền mặt vượt quá nhu cầu tiền mặt hoạt động có thể được xem là tài sản phi hoạt động và cộng vào giá trị tài sản hoạt động. Vậy một doanh nghiệp cần bao nhiêu tiền mặt cho hoạt động của mình? Câu trả lời phụ thuộc vào cả doanh nghiệp lẫn nền kinh tế mà doanh nghiệp hoạt động. Một doanh nghiệp bán lẻ nhỏ ở thị trường mới nổi, nơi giao dịch tiền mặt phổ biến hơn giao dịch thẻ tín dụng, có thể cần số dư tiền mặt hoạt động khá lớn. Ngược lại, một doanh nghiệp sản xuất ở thị trường phát triển có thể không cần chút tiền mặt hoạt động nào. Nếu tiền mặt mà doanh nghiệp nắm giữ có sinh lãi và tiền lãi thu được phản ánh mức sinh lời hợp lý theo thị trường,1 bạn sẽ không coi khoản tiền mặt đó là một phần của vốn lưu động. Thay vào đó, bạn coi nó là một phần của tài sản phi hoạt động và tách riêng khỏi việc định giá tài sản hoạt động.</w:t>
      </w:r>
    </w:p>
    <w:p>
      <w:bookmarkStart w:id="3134" w:name="Dealing_with_Nonoperating_Cash_H_1"/>
      <w:bookmarkStart w:id="3135" w:name="Dealing_with_Nonoperating_Cash_H"/>
      <w:pPr>
        <w:keepNext/>
        <w:pStyle w:val="Heading 4"/>
        <w:keepLines w:val="on"/>
      </w:pPr>
      <w:r>
        <w:t>Xử lý các khoản tiền mặt phi hoạt động</w:t>
      </w:r>
      <w:bookmarkEnd w:id="3134"/>
      <w:bookmarkEnd w:id="3135"/>
    </w:p>
    <w:p>
      <w:pPr>
        <w:pStyle w:val="Para 03"/>
      </w:pPr>
      <w:r>
        <w:t>Có hai cách để chúng ta xử lý tiền mặt và chứng khoán thị trường trong định giá. Một là gộp chúng vào tài sản hoạt động và định giá toàn bộ doanh nghiệp (hoặc vốn chủ sở hữu). Hai là định giá tài sản hoạt động và tiền mặt cùng chứng khoán thị trường một cách riêng rẽ.</w:t>
      </w:r>
    </w:p>
    <w:p>
      <w:bookmarkStart w:id="3136" w:name="Consolidated_Valuation__Is_it_po"/>
      <w:pPr>
        <w:pStyle w:val="Para 21"/>
      </w:pPr>
      <w:r>
        <w:t>Định giá hợp nhất</w:t>
      </w:r>
      <w:bookmarkEnd w:id="3136"/>
    </w:p>
    <w:p>
      <w:pPr>
        <w:pStyle w:val="Para 03"/>
      </w:pPr>
      <w:r>
        <w:t>Liệu có thể coi tiền mặt là một phần trong tổng tài sản của doanh nghiệp và định giá nó trên cơ sở hợp nhất không? Câu trả lời là có, và theo một nghĩa nào đó, đó chính là điều chúng ta làm khi dự báo tổng thu nhập ròng của một doanh nghiệp rồi ước tính cổ tức và dòng tiền tự do cho vốn chủ sở hữu từ những dự báo đó. Khi ấy, thu nhập ròng sẽ bao gồm thu nhập từ các khoản đầu tư vào chứng khoán chính phủ, trái phiếu doanh nghiệp và các khoản đầu tư cổ phần. Cách tiếp cận này có ưu điểm là đơn giản và có thể dùng khi các khoản đầu tư tài chính chỉ chiếm một tỷ lệ nhỏ trong tổng tài sản, nhưng nó trở nên khó dùng hơn nhiều khi các khoản đầu tư tài chính chiếm tỷ trọng lớn hơn trong tổng tài sản, vì hai lý do.</w:t>
      </w:r>
    </w:p>
    <w:p>
      <w:pPr>
        <w:pStyle w:val="Para 03"/>
      </w:pPr>
      <w:r>
        <w:t>Thứ nhất, chi phí vốn chủ sở hữu hay chi phí vốn dùng để chiết khấu dòng tiền phải được điều chỉnh liên tục cho phù hợp với tiền mặt. Cụ thể hơn, bạn sẽ cần dùng một beta không vay nợ (unlevered beta) đại diện cho mức bình quân gia quyền giữa beta không vay nợ của tài sản hoạt động trong doanh nghiệp và beta không vay nợ của tiền mặt cùng chứng khoán thị trường. Ví dụ, beta không vay nợ của một công ty thép mà tiền mặt chiếm 10% giá trị sẽ là bình quân gia quyền giữa beta không vay nợ của các công ty thép và beta của tiền mặt (thường bằng không). Nếu 10% đó được đầu tư vào chứng khoán rủi ro hơn, bạn sẽ cần điều chỉnh beta cho tương ứng. Việc này có thể làm được nếu bạn dùng beta từ dưới lên (bottom-up beta), nhưng bạn có thể thấy nó sẽ khó hơn nhiều nếu bạn lấy beta từ một hồi quy.2</w:t>
      </w:r>
    </w:p>
    <w:p>
      <w:pPr>
        <w:pStyle w:val="Para 03"/>
      </w:pPr>
      <w:r>
        <w:t>Thứ hai, khi doanh nghiệp tăng trưởng, tỷ trọng thu nhập đến từ tài sản hoạt động có khả năng thay đổi. Khi điều đó xảy ra, bạn phải điều chỉnh các đầu vào của mô hình định giá — dòng tiền, tốc độ tăng trưởng và tỷ lệ chiết khấu — để duy trì tính nhất quán.</w:t>
      </w:r>
    </w:p>
    <w:p>
      <w:pPr>
        <w:pStyle w:val="Para 03"/>
      </w:pPr>
      <w:r>
        <w:t>Điều gì sẽ xảy ra nếu bạn không thực hiện những điều chỉnh này? Bạn sẽ có xu hướng định giá sai các tài sản tài chính. Để thấy vì sao, giả sử bạn đang định giá công ty thép nói trên với 10% giá trị đến từ tiền mặt. Số tiền mặt này được đầu tư vào chứng khoán chính phủ và sinh lời ở mức phù hợp — giả sử 3%. Nếu thu nhập này được cộng vào thu nhập khác của doanh nghiệp rồi chiết khấu về hiện tại bằng chi phí vốn chủ sở hữu phù hợp với một công ty thép — giả sử 11% — thì giá trị của tiền mặt sẽ bị chiết khấu xuống. Chẳng hạn, một tỷ đô la tiền mặt sẽ được định giá chỉ còn 800 triệu đô la, vì tỷ lệ chiết khấu được dùng là sai.</w:t>
      </w:r>
    </w:p>
    <w:p>
      <w:bookmarkStart w:id="3139" w:name="Separate_Valuation__It_is_safer"/>
      <w:pPr>
        <w:pStyle w:val="Para 21"/>
      </w:pPr>
      <w:r>
        <w:t>Định giá riêng rẽ</w:t>
      </w:r>
      <w:bookmarkEnd w:id="3139"/>
    </w:p>
    <w:p>
      <w:pPr>
        <w:pStyle w:val="Para 03"/>
      </w:pPr>
      <w:r>
        <w:t>An toàn hơn là tách tiền mặt và chứng khoán thị trường ra khỏi tài sản hoạt động và định giá chúng riêng rẽ. Chúng ta hầu như luôn làm vậy khi dùng các phương pháp định giá doanh nghiệp đã mô tả ở chương trước. Đó là vì chúng ta dùng thu nhập hoạt động để ước tính dòng tiền tự do cho doanh nghiệp, và thu nhập hoạt động nói chung không bao gồm thu nhập từ tài sản tài chính. Tuy nhiên, nếu không phải vậy và một phần thu nhập đầu tư đã lọt vào thu nhập hoạt động, bạn sẽ cần loại nó ra trước khi định giá. Sau khi định giá tài sản hoạt động, bạn có thể cộng giá trị của tiền mặt và chứng khoán thị trường vào để ra giá trị doanh nghiệp.</w:t>
      </w:r>
    </w:p>
    <w:p>
      <w:pPr>
        <w:pStyle w:val="Para 03"/>
      </w:pPr>
      <w:r>
        <w:t>Chúng ta cũng tuân theo cách làm này với các mô hình FCFE ở Chương 14. Dù thu nhập ròng bao gồm thu nhập từ tài sản tài chính, chúng ta vẫn có thể tách tiền mặt và chứng khoán thị trường ra khỏi tài sản hoạt động nếu muốn. Để làm vậy, trước tiên chúng ta sẽ loại ra phần thu nhập ròng đại diện cho thu nhập từ các khoản đầu tư tài chính (lãi trái phiếu, cổ tức cổ phiếu), rồi dùng thu nhập ròng đã điều chỉnh này để ước tính dòng tiền tự do cho vốn chủ sở hữu. Những dòng tiền tự do cho vốn chủ sở hữu này sẽ được chiết khấu về hiện tại bằng chi phí vốn chủ sở hữu được ước tính dựa trên một beta chỉ phản ánh tài sản hoạt động. Sau khi đã định giá phần vốn chủ sở hữu trong tài sản hoạt động, bạn có thể cộng giá trị của tiền mặt và chứng khoán thị trường vào để ước tính tổng giá trị vốn chủ sở hữu.</w:t>
      </w:r>
    </w:p>
    <w:p>
      <w:pPr>
        <w:pStyle w:val="Para 11"/>
      </w:pPr>
      <w:r>
        <w:t xml:space="preserve"> </w:t>
      </w:r>
    </w:p>
    <w:p>
      <w:bookmarkStart w:id="3142" w:name="ILLUSTRATION_16_1___Consolidated"/>
      <w:bookmarkStart w:id="3143" w:name="ILLUSTRATION_16_1___Consolidated_1"/>
      <w:pPr>
        <w:keepNext/>
        <w:pStyle w:val="Para 19"/>
        <w:keepLines w:val="on"/>
      </w:pPr>
      <w:r>
        <w:t>MINH HỌA 16.1: Định giá hợp nhất so với định giá riêng rẽ</w:t>
      </w:r>
      <w:bookmarkEnd w:id="3142"/>
      <w:bookmarkEnd w:id="3143"/>
    </w:p>
    <w:p>
      <w:pPr>
        <w:pStyle w:val="Para 04"/>
        <w:keepLines w:val="on"/>
      </w:pPr>
      <w:r>
        <w:t>Để xem xét ảnh hưởng của số dư tiền mặt lên giá trị doanh nghiệp, hãy xét một doanh nghiệp có 1.200 triệu đô la đầu tư vào tài sản phi tiền mặt và 200 triệu đô la tiền mặt. Để đơn giản, giả sử như sau:</w:t>
      </w:r>
    </w:p>
    <w:p>
      <w:pPr>
        <w:numPr>
          <w:ilvl w:val="0"/>
          <w:numId w:val="154"/>
        </w:numPr>
        <w:pStyle w:val="Para 18"/>
        <w:keepLines w:val="on"/>
      </w:pPr>
      <w:r>
        <w:t>Tài sản phi tiền mặt có beta bằng 1, dự kiến sinh 120 triệu đô la thu nhập ròng mỗi năm mãi mãi, và không có nhu cầu tái đầu tư.</w:t>
      </w:r>
    </w:p>
    <w:p>
      <w:pPr>
        <w:numPr>
          <w:ilvl w:val="0"/>
          <w:numId w:val="154"/>
        </w:numPr>
        <w:pStyle w:val="Para 18"/>
        <w:keepLines w:val="on"/>
      </w:pPr>
      <w:r>
        <w:t>Tiền mặt được đầu tư ở lãi suất phi rủi ro, mà chúng ta giả định là 4,5%.</w:t>
      </w:r>
    </w:p>
    <w:p>
      <w:pPr>
        <w:numPr>
          <w:ilvl w:val="0"/>
          <w:numId w:val="154"/>
        </w:numPr>
        <w:pStyle w:val="Para 18"/>
        <w:keepLines w:val="on"/>
      </w:pPr>
      <w:r>
        <w:t>Phần bù rủi ro thị trường được giả định là 5,5%.</w:t>
      </w:r>
    </w:p>
    <w:p>
      <w:pPr>
        <w:pStyle w:val="Para 04"/>
        <w:keepLines w:val="on"/>
      </w:pPr>
      <w:r>
        <w:t>Với những điều kiện này, chúng ta có thể định giá vốn chủ sở hữu bằng cả cách tiếp cận hợp nhất lẫn cách tiếp cận riêng rẽ.</w:t>
      </w:r>
    </w:p>
    <w:p>
      <w:pPr>
        <w:pStyle w:val="Para 04"/>
        <w:keepLines w:val="on"/>
      </w:pPr>
      <w:r>
        <w:t>Đầu tiên, hãy cùng xem xét cách tiếp cận hợp nhất (consolidated approach). Ở đây, chúng ta sẽ ước tính chi phí vốn chủ sở hữu (cost of equity) cho toàn bộ tài sản (bao gồm cả tiền mặt) bằng cách tính beta bình quân gia quyền của tài sản phi tiền mặt và tài sản tiền mặt:</w:t>
      </w:r>
    </w:p>
    <w:p>
      <w:bookmarkStart w:id="3145" w:name="Beta_of_the_firm_Betaoperating_a"/>
      <w:pPr>
        <w:keepNext/>
        <w:pStyle w:val="Para 07"/>
        <w:keepLines w:val="on"/>
      </w:pPr>
      <w:r>
        <w:t>Beta của doanh nghiệp = Beta tài sản hoạt động × Tỷ trọng tài sản hoạt động + Beta tài sản tiền mặt × Tỷ trọng tài sản tiền mặt = 1,00 × (1200/1.400) + 0,00 × (200/1.400) = 0,8571
Chi phí vốn chủ sở hữu = 4,5% + 0,8571 × (5,5%) = 9,21%
Thu nhập kỳ vọng của doanh nghiệp = Thu nhập ròng từ tài sản hoạt động + Thu nhập lãi từ tiền mặt = (120 + 0,045 × 200) = 129 triệu USD (đây cũng chính là FCFE vì không có nhu cầu tái đầu tư)</w:t>
      </w:r>
      <w:bookmarkEnd w:id="3145"/>
    </w:p>
    <w:p>
      <w:bookmarkStart w:id="3146" w:name="Value_of_the_equity_FCFE_Cost_of"/>
      <w:pPr>
        <w:keepNext/>
        <w:pStyle w:val="Para 07"/>
        <w:keepLines w:val="on"/>
      </w:pPr>
      <w:r>
        <w:t>Giá trị vốn chủ sở hữu = FCFE / Chi phí vốn chủ sở hữu = 129 / 0,0921 = 1.400 triệu USD</w:t>
      </w:r>
      <w:bookmarkEnd w:id="3146"/>
    </w:p>
    <w:p>
      <w:pPr>
        <w:pStyle w:val="Para 04"/>
        <w:keepLines w:val="on"/>
      </w:pPr>
      <w:r>
        <w:t>Vốn chủ sở hữu có giá trị 1.400 triệu USD.</w:t>
      </w:r>
    </w:p>
    <w:p>
      <w:pPr>
        <w:pStyle w:val="Para 04"/>
        <w:keepLines w:val="on"/>
      </w:pPr>
      <w:r>
        <w:t>Giờ hãy thử định giá chúng riêng rẽ, bắt đầu với các khoản đầu tư phi tiền mặt:</w:t>
      </w:r>
    </w:p>
    <w:p>
      <w:bookmarkStart w:id="3147" w:name="Cost_of_equity_for_noncash_inves"/>
      <w:pPr>
        <w:keepNext/>
        <w:pStyle w:val="Para 07"/>
        <w:keepLines w:val="on"/>
      </w:pPr>
      <w:r>
        <w:t>Chi phí vốn chủ sở hữu cho các khoản đầu tư phi tiền mặt = Lãi suất phi rủi ro + Beta × Phần bù rủi ro = 4,5% + 1,00 × 5,5% = 10%
Thu nhập kỳ vọng từ tài sản hoạt động = 120 triệu USD, đây chính là FCFE từ các tài sản này
Giá trị tài sản phi tiền mặt = Thu nhập kỳ vọng / Chi phí vốn chủ sở hữu cho tài sản phi tiền mặt = 120 / 0,10 = 1.200 triệu USD</w:t>
      </w:r>
      <w:bookmarkEnd w:id="3147"/>
    </w:p>
    <w:p>
      <w:pPr>
        <w:pStyle w:val="Para 04"/>
        <w:keepLines w:val="on"/>
      </w:pPr>
      <w:r>
        <w:t>Cộng thêm giá trị tiền mặt là 200 triệu USD, ta có giá trị vốn chủ sở hữu là 1.400 triệu USD.</w:t>
      </w:r>
    </w:p>
    <w:p>
      <w:pPr>
        <w:pStyle w:val="Para 04"/>
        <w:keepLines w:val="on"/>
      </w:pPr>
      <w:r>
        <w:t>Để thấy được những rắc rối tiềm ẩn của cách tiếp cận hợp nhất, hãy lưu ý rằng nếu bạn chiết khấu tổng FCFE là 129 triệu USD theo chi phí vốn chủ sở hữu 10% (chỉ phản ánh tài sản hoạt động), bạn sẽ định giá doanh nghiệp ở mức 1.290 triệu USD. Khoản mất giá trị 110 triệu USD này bắt nguồn từ việc xử lý sai tiền mặt:</w:t>
      </w:r>
    </w:p>
    <w:p>
      <w:bookmarkStart w:id="3149" w:name="Interest_income_from_cash_4_5_x2"/>
      <w:pPr>
        <w:keepNext/>
        <w:pStyle w:val="Para 07"/>
        <w:keepLines w:val="on"/>
      </w:pPr>
      <w:r>
        <w:t>Thu nhập lãi từ tiền mặt = 4,5% × 200 = 9 triệu USD</w:t>
      </w:r>
      <w:bookmarkEnd w:id="3149"/>
    </w:p>
    <w:p>
      <w:pPr>
        <w:pStyle w:val="Para 04"/>
        <w:keepLines w:val="on"/>
      </w:pPr>
      <w:r>
        <w:t>Nếu bạn chiết khấu tiền mặt ở mức 10%, bạn sẽ định giá tiền mặt ở mức 90 triệu USD thay vì giá trị đúng là 200 triệu USD — do đó dẫn đến khoản mất giá trị 110 triệu USD.</w:t>
      </w:r>
    </w:p>
    <w:p>
      <w:bookmarkStart w:id="3150" w:name="Should_You_Ever_Discount_Cash"/>
      <w:bookmarkStart w:id="3151" w:name="Should_You_Ever_Discount_Cash_1"/>
      <w:pPr>
        <w:keepNext/>
        <w:pStyle w:val="Heading 4"/>
        <w:keepLines w:val="on"/>
      </w:pPr>
      <w:r>
        <w:t>Có bao giờ bạn nên chiết khấu tiền mặt không?</w:t>
      </w:r>
      <w:bookmarkEnd w:id="3150"/>
      <w:bookmarkEnd w:id="3151"/>
    </w:p>
    <w:p>
      <w:pPr>
        <w:pStyle w:val="Para 03"/>
      </w:pPr>
      <w:r>
        <w:t>Trong Minh họa 16.1, tiền mặt bị giảm giá trị vì lý do sai lầm — một dòng tiền phi rủi ro lại bị chiết khấu bằng tỷ lệ chiết khấu phản ánh các khoản đầu tư rủi ro. Tuy nhiên, có hai trường hợp mà bạn có thể áp dụng một mức chiết khấu cho số dư tiền mặt một cách hợp lý:</w:t>
      </w:r>
    </w:p>
    <w:p>
      <w:pPr>
        <w:numPr>
          <w:ilvl w:val="0"/>
          <w:numId w:val="155"/>
        </w:numPr>
        <w:pStyle w:val="Para 01"/>
      </w:pPr>
      <w:r>
        <w:t>Tiền mặt mà doanh nghiệp nắm giữ được đầu tư với lãi suất thấp hơn lãi suất thị trường, xét theo mức độ rủi ro của khoản đầu tư đó.</w:t>
      </w:r>
    </w:p>
    <w:p>
      <w:pPr>
        <w:numPr>
          <w:ilvl w:val="0"/>
          <w:numId w:val="155"/>
        </w:numPr>
        <w:pStyle w:val="Para 01"/>
      </w:pPr>
      <w:r>
        <w:t>Ban lãnh đạo không được tin tưởng khi nắm giữ số dư tiền mặt lớn, do thành tích đầu tư trong quá khứ của họ.</w:t>
      </w:r>
    </w:p>
    <w:p>
      <w:bookmarkStart w:id="3152" w:name="Cash_Invested_at_Below_Market_Ra"/>
      <w:pPr>
        <w:pStyle w:val="Para 21"/>
      </w:pPr>
      <w:r>
        <w:t>Tiền mặt được đầu tư với lãi suất dưới mức thị trường</w:t>
      </w:r>
      <w:bookmarkEnd w:id="3152"/>
    </w:p>
    <w:p>
      <w:pPr>
        <w:pStyle w:val="Para 03"/>
      </w:pPr>
      <w:r>
        <w:t>Trường hợp đầu tiên và rõ ràng nhất xảy ra khi phần lớn hoặc toàn bộ số dư tiền mặt không sinh lãi ở mức lãi suất thị trường. Nếu đúng như vậy, việc nắm giữ quá nhiều tiền mặt rõ ràng sẽ làm giảm giá trị của doanh nghiệp. Trong khi hầu hết các doanh nghiệp ở Hoa Kỳ ngày nay có thể dễ dàng đầu tư vào tín phiếu và trái phiếu chính phủ, thì các lựa chọn lại hạn chế hơn nhiều đối với doanh nghiệp ở nhiều thị trường mới nổi. Khi đó, một số dư tiền mặt lớn sinh lãi thấp hơn mức hợp lý có thể hủy hoại giá trị theo thời gian.</w:t>
      </w:r>
    </w:p>
    <w:p>
      <w:pPr>
        <w:pStyle w:val="Para 11"/>
      </w:pPr>
      <w:r>
        <w:t xml:space="preserve"> </w:t>
      </w:r>
    </w:p>
    <w:p>
      <w:bookmarkStart w:id="3154" w:name="ILLUSTRATION_16_2___Cash_Investe_1"/>
      <w:bookmarkStart w:id="3155" w:name="ILLUSTRATION_16_2___Cash_Investe"/>
      <w:pPr>
        <w:keepNext/>
        <w:pStyle w:val="Para 19"/>
        <w:keepLines w:val="on"/>
      </w:pPr>
      <w:r>
        <w:t>MINH HỌA 16.2: Tiền mặt được đầu tư với lãi suất dưới mức thị trường</w:t>
      </w:r>
      <w:bookmarkEnd w:id="3154"/>
      <w:bookmarkEnd w:id="3155"/>
    </w:p>
    <w:p>
      <w:pPr>
        <w:pStyle w:val="Para 04"/>
        <w:keepLines w:val="on"/>
      </w:pPr>
      <w:r>
        <w:t>Minh họa 16.1 giả định rằng tiền mặt được đầu tư ở lãi suất phi rủi ro. Thay vào đó, hãy giả sử doanh nghiệp chỉ có thể kiếm được 3% trên số dư tiền mặt, trong khi lãi suất phi rủi ro là 4,5%. Giá trị ước tính của số tiền mặt được giữ lại trong doanh nghiệp khi đó sẽ là:</w:t>
      </w:r>
    </w:p>
    <w:p>
      <w:bookmarkStart w:id="3157" w:name="Estimated_value_of_cash_invested"/>
      <w:pPr>
        <w:keepNext/>
        <w:pStyle w:val="Para 07"/>
        <w:keepLines w:val="on"/>
      </w:pPr>
      <w:r>
        <w:t>Giá trị ước tính của tiền mặt được đầu tư ở mức 3% = (0,03 × 200) / 0,045 = 133,33</w:t>
      </w:r>
      <w:bookmarkEnd w:id="3157"/>
    </w:p>
    <w:p>
      <w:pPr>
        <w:pStyle w:val="Para 04"/>
        <w:keepLines w:val="on"/>
      </w:pPr>
      <w:r>
        <w:t>Doanh nghiệp khi đó sẽ chỉ đáng giá 1.333 triệu USD thay vì 1.400 triệu USD. Số tiền mặt trả lại cho cổ đông sẽ có giá trị 200 triệu USD. Trong tình huống này, việc trả lại tiền mặt cho cổ đông sẽ mang lại cho họ giá trị thặng dư 66,67 triệu USD. Thực tế, việc thanh lý bất kỳ tài sản nào có lợi suất thấp hơn lợi suất yêu cầu cũng sẽ cho kết quả tương tự, miễn là toàn bộ khoản đầu tư có thể thu hồi được khi thanh lý.3</w:t>
      </w:r>
    </w:p>
    <w:p>
      <w:bookmarkStart w:id="3159" w:name="Distrust_of_Management__While_ma"/>
      <w:pPr>
        <w:pStyle w:val="Para 21"/>
      </w:pPr>
      <w:r>
        <w:t>Không tin tưởng ban lãnh đạo</w:t>
      </w:r>
      <w:bookmarkEnd w:id="3159"/>
    </w:p>
    <w:p>
      <w:pPr>
        <w:pStyle w:val="Para 03"/>
      </w:pPr>
      <w:r>
        <w:t>Trong khi việc đầu tư một khoản lớn vào các chứng khoán có thể bán được ít rủi ro hoặc không rủi ro tự nó là trung tính về giá trị, thì số dư tiền mặt ngày càng phình to có thể khiến các nhà quản lý bị cám dỗ chấp nhận những khoản đầu tư lớn hoặc thực hiện các thương vụ mua lại ngay cả khi những khoản đầu tư này chỉ sinh lợi dưới mức tiêu chuẩn. Trong một số trường hợp, các nhà quản lý có thể thực hiện những hành động này để ngăn doanh nghiệp trở thành mục tiêu thâu tóm.4 Trong chừng mực mà cổ đông dự đoán được những khoản đầu tư dưới chuẩn như vậy, giá trị hiện tại của doanh nghiệp sẽ phản ánh tiền mặt ở mức chiết khấu. Mức chiết khấu có khả năng lớn nhất ở những doanh nghiệp có ít cơ hội đầu tư và ban lãnh đạo kém, và sẽ không có chiết khấu ở những doanh nghiệp có nhiều cơ hội đầu tư đáng kể và ban lãnh đạo giỏi.</w:t>
      </w:r>
    </w:p>
    <w:p>
      <w:pPr>
        <w:pStyle w:val="Para 11"/>
      </w:pPr>
      <w:r>
        <w:t xml:space="preserve"> </w:t>
      </w:r>
    </w:p>
    <w:p>
      <w:bookmarkStart w:id="3163" w:name="ILLUSTRATION_16_3___Discount_for_1"/>
      <w:bookmarkStart w:id="3164" w:name="ILLUSTRATION_16_3___Discount_for"/>
      <w:pPr>
        <w:keepNext/>
        <w:pStyle w:val="Para 19"/>
        <w:keepLines w:val="on"/>
      </w:pPr>
      <w:r>
        <w:t>MINH HỌA 16.3: Chiết khấu cho những khoản đầu tư kém trong tương lai</w:t>
      </w:r>
      <w:bookmarkEnd w:id="3163"/>
      <w:bookmarkEnd w:id="3164"/>
    </w:p>
    <w:p>
      <w:pPr>
        <w:pStyle w:val="Para 04"/>
        <w:keepLines w:val="on"/>
      </w:pPr>
      <w:r>
        <w:t>Hãy quay lại doanh nghiệp được mô tả trong Minh họa 16.1, nơi tiền mặt được đầu tư ở lãi suất phi rủi ro 4,5%. Thông thường, chúng ta sẽ kỳ vọng doanh nghiệp này giao dịch ở tổng giá trị 1.400 triệu USD. Tuy nhiên, hãy giả sử rằng ban lãnh đạo của doanh nghiệp này có lịch sử mua lại kém cỏi, và việc có một số dư tiền mặt lớn làm tăng xác suất họ sẽ cố gắng thâu tóm một doanh nghiệp khác từ 0% lên 30%. Hơn nữa, hãy giả sử thị trường dự đoán rằng họ sẽ trả giá cao hơn giá trị thực 50 triệu USD trong thương vụ mua lại này. Khi đó tiền mặt sẽ được định giá ở mức 185 triệu USD, với mức chiết khấu được ước tính như sau:</w:t>
      </w:r>
    </w:p>
    <w:p>
      <w:bookmarkStart w:id="3166" w:name="Estimated_discount_on_cash_balan"/>
      <w:pPr>
        <w:keepNext/>
        <w:pStyle w:val="Para 07"/>
        <w:keepLines w:val="on"/>
      </w:pPr>
      <w:r>
        <w:t>Chiết khấu ước tính trên số dư tiền mặt = ΔXác suất mua lại × Mức trả giá cao hơn kỳ vọng trong thương vụ mua lại = 0,30 × 50 triệu USD = 15 triệu USD
Giá trị tiền mặt = Số dư tiền mặt − Chiết khấu ước tính = 200 triệu USD − 15 triệu USD = 185 triệu USD</w:t>
      </w:r>
      <w:bookmarkEnd w:id="3166"/>
    </w:p>
    <w:p>
      <w:pPr>
        <w:pStyle w:val="Para 04"/>
        <w:keepLines w:val="on"/>
      </w:pPr>
      <w:r>
        <w:t>Do đó, công ty sẽ được định giá ở mức 1.385 triệu đô la thay vì 1.400 triệu đô la. Hai yếu tố quyết định mức chiết khấu này—khả năng gia tăng của một khoản đầu tư kém hiệu quả và giá trị hiện tại ròng kỳ vọng của khoản đầu tư—có khả năng dựa trên đánh giá của nhà đầu tư về chất lượng ban lãnh đạo.</w:t>
      </w:r>
    </w:p>
    <w:p>
      <w:bookmarkStart w:id="3167" w:name="Cash_Held_in_Foreign_Markets__As"/>
      <w:pPr>
        <w:pStyle w:val="Para 21"/>
      </w:pPr>
      <w:r>
        <w:t>Tiền mặt Nắm giữ ở Thị trường Nước ngoài</w:t>
      </w:r>
      <w:bookmarkEnd w:id="3167"/>
    </w:p>
    <w:p>
      <w:pPr>
        <w:pStyle w:val="Para 03"/>
      </w:pPr>
      <w:r>
        <w:t>Khi các công ty Hoa Kỳ toàn cầu hóa, họ cũng tạo ra một phần đáng kể thu nhập của mình ở các thị trường nước ngoài, nhiều nơi có thuế suất thuế doanh nghiệp thấp hơn nhiều. Cho đến năm 2017, thu nhập này bị đánh thuế ở thị trường nước ngoài, và bị đánh thuế lần nữa khi hồi hương về Hoa Kỳ, tại thời điểm đó các công ty phải trả mức thuế chênh lệch (giữa thuế suất doanh nghiệp Hoa Kỳ và thuế suất doanh nghiệp nước ngoài). Không có gì ngạc nhiên khi nhiều công ty chọn để tiền mặt tích lũy ở thị trường nước ngoài và các công ty con, cố gắng trì hoãn và trong một số trường hợp là tránh tác động thuế. Số tiền mặt này được gọi là tiền mặt bị mắc kẹt (trapped cash) và lên tới gần 200 tỷ đô la tại Apple vào năm 2016. Cách tiếp cận thận trọng để định giá số tiền mặt bị mắc kẹt này là giả định rằng bạn sẽ phải trả mức thuế chênh lệch khi hồi hương và tính giá trị sau khi trừ thuế này. Do đó, nếu một công ty có 200 tỷ đô la tiền mặt bị mắc kẹt, mà bạn ước tính rằng việc hồi hương sẽ phải trả 20% thuế chênh lệch, thì giá trị của số tiền mặt đó chỉ là 160 tỷ đô la.</w:t>
      </w:r>
    </w:p>
    <w:p>
      <w:pPr>
        <w:pStyle w:val="Para 03"/>
      </w:pPr>
      <w:r>
        <w:t>Chúng ta đối mặt với hai vấn đề thực tế khi thực hiện điều chỉnh này. Thứ nhất là các công ty không minh bạch về việc bao nhiêu trong số dư tiền mặt mà họ thể hiện trên báo cáo tài chính bị ràng buộc ở các công ty con hoặc thị trường nước ngoài. Thứ hai là tác động thuế của việc hồi hương số tiền mặt này có thể rõ ràng trong ngắn hạn, nhưng không rõ ràng trong dài hạn vì (1) thuế suất Hoa Kỳ có thể thay đổi theo thời gian và (2) có khả năng Quốc hội có thể cho phép một kỳ nghỉ thuế (tax holiday), các công ty được ân hạn một lần và được phép mang tiền về mà không phải trả thuế hoặc trả mức thuế thấp hơn nhiều.</w:t>
      </w:r>
    </w:p>
    <w:p>
      <w:pPr>
        <w:pStyle w:val="Para 03"/>
      </w:pPr>
      <w:r>
        <w:t>Kể từ năm 2017, Hoa Kỳ đã tham gia cùng phần lớn phần còn lại của thế giới trong việc không đánh thuế thu nhập nước ngoài mà các công ty Hoa Kỳ kiếm được theo thuế suất Hoa Kỳ. Do đó, nếu một công ty đa quốc gia Hoa Kỳ kiếm được 6 tỷ đô la ở Hoa Kỳ, với thuế suất doanh nghiệp là 25%, và 4 tỷ đô la ở một quốc gia khác, với thuế suất chỉ 10%, thì tổng số thuế phải nộp sẽ là:</w:t>
      </w:r>
    </w:p>
    <w:p>
      <w:bookmarkStart w:id="3170" w:name="Tax_due__6x0_25__4x0_10__1_6"/>
      <w:pPr>
        <w:keepNext/>
        <w:pStyle w:val="Para 09"/>
        <w:keepLines w:val="on"/>
      </w:pPr>
      <w:r>
        <w:t>Thuế phải nộp=$6×0.25+$4×0.10=$1.6</w:t>
      </w:r>
      <w:bookmarkEnd w:id="3170"/>
    </w:p>
    <w:p>
      <w:pPr>
        <w:pStyle w:val="Para 03"/>
      </w:pPr>
      <w:r>
        <w:t>Do đó, công ty sẽ trả mức thuế suất hiệu dụng là 16% trên tổng thu nhập 10 tỷ đô la, và sẽ không có thuế hoãn lại hay thuế phải nộp.</w:t>
      </w:r>
    </w:p>
    <w:p>
      <w:bookmarkStart w:id="3171" w:name="Investments_in_Risky_Securities_1"/>
      <w:bookmarkStart w:id="3172" w:name="Investments_in_Risky_Securities"/>
      <w:pPr>
        <w:keepNext/>
        <w:pStyle w:val="Heading 3"/>
        <w:keepLines w:val="on"/>
      </w:pPr>
      <w:r>
        <w:t>Đầu tư vào Chứng khoán Rủi ro</w:t>
      </w:r>
      <w:bookmarkEnd w:id="3171"/>
      <w:bookmarkEnd w:id="3172"/>
    </w:p>
    <w:p>
      <w:pPr>
        <w:pStyle w:val="Para 03"/>
      </w:pPr>
      <w:r>
        <w:t>Cho đến nay, chương này đã xem xét cách định giá tiền mặt và các khoản đầu tư gần như tiền mặt. Trong một số trường hợp, các công ty đầu tư vào chứng khoán rủi ro, có thể từ trái phiếu xếp hạng đầu tư đến trái phiếu lợi suất cao đến cổ phần được giao dịch công khai ở các công ty khác. Phần này xem xét động cơ, hậu quả và kế toán của những khoản đầu tư như vậy.</w:t>
      </w:r>
    </w:p>
    <w:p>
      <w:bookmarkStart w:id="3173" w:name="Reasons_for_Holding_Risky_Securi_1"/>
      <w:bookmarkStart w:id="3174" w:name="Reasons_for_Holding_Risky_Securi"/>
      <w:pPr>
        <w:keepNext/>
        <w:pStyle w:val="Heading 4"/>
        <w:keepLines w:val="on"/>
      </w:pPr>
      <w:r>
        <w:t>Lý do Nắm giữ Chứng khoán Rủi ro</w:t>
      </w:r>
      <w:bookmarkEnd w:id="3173"/>
      <w:bookmarkEnd w:id="3174"/>
    </w:p>
    <w:p>
      <w:pPr>
        <w:pStyle w:val="Para 03"/>
      </w:pPr>
      <w:r>
        <w:t>Tại sao các công ty đầu tư vào chứng khoán rủi ro do các công ty khác phát hành? Một số làm vậy vì sức hấp dẫn của lợi nhuận cao hơn mà họ có thể kỳ vọng kiếm được khi đầu tư vào cổ phiếu và trái phiếu doanh nghiệp, so với tín phiếu kho bạc và thương phiếu. Trong những năm gần đây, cũng có xu hướng các công ty (đặc biệt là công nghệ) nắm giữ vị thế cổ phần ở các công ty khác để thúc đẩy lợi ích chiến lược của họ. Vẫn còn những công ty khác nắm giữ vị thế cổ phần ở những công ty mà họ cho là bị thị trường định giá thấp; và cuối cùng, đầu tư vào chứng khoán rủi ro là một phần của hoạt động kinh doanh đối với các ngân hàng, công ty bảo hiểm và các công ty dịch vụ tài chính khác.</w:t>
      </w:r>
    </w:p>
    <w:p>
      <w:bookmarkStart w:id="3175" w:name="To_Make_a_Higher_Return__Near_ca"/>
      <w:pPr>
        <w:pStyle w:val="Para 21"/>
      </w:pPr>
      <w:r>
        <w:t>Để Kiếm Lợi nhuận Cao hơn</w:t>
      </w:r>
      <w:bookmarkEnd w:id="3175"/>
    </w:p>
    <w:p>
      <w:pPr>
        <w:pStyle w:val="Para 03"/>
      </w:pPr>
      <w:r>
        <w:t>Các khoản đầu tư gần như tiền mặt như tín phiếu kho bạc và thương phiếu có tính thanh khoản cao và ít hoặc không có rủi ro, nhưng chúng cũng mang lại lợi nhuận thấp. Khi các công ty có số tiền đáng kể đầu tư vào chứng khoán thị trường, họ có thể kỳ vọng kiếm được lợi nhuận cao hơn đáng kể bằng cách đầu tư vào chứng khoán rủi ro hơn. Ví dụ, đầu tư vào trái phiếu doanh nghiệp sẽ mang lại lãi suất cao hơn đầu tư vào trái phiếu kho bạc, và lãi suất sẽ tăng theo mức độ rủi ro của khoản đầu tư. Đầu tư vào cổ phiếu sẽ mang lại lợi nhuận kỳ vọng thậm chí cao hơn, mặc dù không nhất thiết là lợi nhuận thực tế cao hơn, so với đầu tư vào trái phiếu doanh nghiệp. Hình 16.1 tóm tắt lợi nhuận của các khoản đầu tư rủi ro—trái phiếu doanh nghiệp Baa và cổ phần—và so sánh chúng với lợi nhuận của tín phiếu kho bạc (tín phiếu và trái phiếu) trong ba thập kỷ: 1991–2000, 2001–2010 và 2011–2020. Trong thập kỷ đầu tiên, cổ phiếu vượt xa trái phiếu doanh nghiệp và tín phiếu kho bạc; trong thập kỷ thứ hai, chúng kém hơn nhiều và trong thập kỷ thứ ba, chúng trở lại vị trí thống trị.</w:t>
      </w:r>
    </w:p>
    <w:p>
      <w:pPr>
        <w:pStyle w:val="Para 20"/>
      </w:pPr>
      <w:r>
        <w:rPr>
          <w:rStyle w:val="Text26"/>
        </w:rPr>
        <w:bookmarkStart w:id="3178" w:name="Page_487"/>
        <w:t/>
        <w:bookmarkEnd w:id="3178"/>
      </w:r>
      <w:r>
        <w:t xml:space="preserve"> </w:t>
      </w:r>
    </w:p>
    <w:p>
      <w:bookmarkStart w:id="3179" w:name="Figure_16_1_Returns_on_Investme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00300" cy="1739900"/>
            <wp:effectExtent l="0" r="0" t="0" b="0"/>
            <wp:wrapTopAndBottom/>
            <wp:docPr id="147" name="c16f001.png" descr="Multiple bar graph depicts the average annual return in percentage on stocks, bills, and bonds from 1991 to 2020."/>
            <wp:cNvGraphicFramePr>
              <a:graphicFrameLocks noChangeAspect="1"/>
            </wp:cNvGraphicFramePr>
            <a:graphic>
              <a:graphicData uri="http://schemas.openxmlformats.org/drawingml/2006/picture">
                <pic:pic>
                  <pic:nvPicPr>
                    <pic:cNvPr id="0" name="c16f001.png" descr="Multiple bar graph depicts the average annual return in percentage on stocks, bills, and bonds from 1991 to 2020."/>
                    <pic:cNvPicPr/>
                  </pic:nvPicPr>
                  <pic:blipFill>
                    <a:blip r:embed="rId104"/>
                    <a:stretch>
                      <a:fillRect/>
                    </a:stretch>
                  </pic:blipFill>
                  <pic:spPr>
                    <a:xfrm>
                      <a:off x="0" y="0"/>
                      <a:ext cx="2400300" cy="1739900"/>
                    </a:xfrm>
                    <a:prstGeom prst="rect">
                      <a:avLst/>
                    </a:prstGeom>
                  </pic:spPr>
                </pic:pic>
              </a:graphicData>
            </a:graphic>
          </wp:anchor>
        </w:drawing>
      </w:r>
      <w:bookmarkEnd w:id="3179"/>
    </w:p>
    <w:p>
      <w:pPr>
        <w:keepNext/>
        <w:pStyle w:val="Para 22"/>
        <w:keepLines w:val="on"/>
      </w:pPr>
      <w:r>
        <w:t>Hình 16.1 Lợi nhuận của các Nhóm Đầu tư: 1991–2020</w:t>
      </w:r>
    </w:p>
    <w:p>
      <w:pPr>
        <w:pStyle w:val="Para 03"/>
      </w:pPr>
      <w:r>
        <w:t>Mặc dù đầu tư vào các khoản đầu tư rủi ro hơn có thể mang lại lợi nhuận cao hơn cho công ty, nhưng nó không làm cho công ty có giá trị hơn. Trên thực tế, sử dụng cùng lý luận mà chúng ta đã dùng để phân tích các khoản đầu tư gần như tiền mặt, chúng ta có thể kết luận rằng đầu tư vào các khoản đầu tư rủi ro hơn và kiếm được lợi nhuận thị trường hợp lý (sẽ thưởng cho rủi ro đã chấp nhận) sẽ trung hòa về giá trị.</w:t>
      </w:r>
    </w:p>
    <w:p>
      <w:bookmarkStart w:id="3180" w:name="To_Invest_in_Undervalued_Securit"/>
      <w:pPr>
        <w:pStyle w:val="Para 21"/>
      </w:pPr>
      <w:r>
        <w:t>Để Đầu tư vào Chứng khoán Bị Định giá Thấp</w:t>
      </w:r>
      <w:bookmarkEnd w:id="3180"/>
    </w:p>
    <w:p>
      <w:pPr>
        <w:pStyle w:val="Para 03"/>
      </w:pPr>
      <w:r>
        <w:t>Một khoản đầu tư tốt là khoản đầu tư kiếm được lợi nhuận lớn hơn lợi nhuận yêu cầu của nó. Nguyên tắc đó, được phát triển trong bối cảnh đầu tư vào các dự án và tài sản, cũng áp dụng mạnh mẽ cho các khoản đầu tư tài chính. Một công ty đầu tư vào cổ phiếu bị định giá thấp đang chấp nhận các khoản đầu tư có giá trị hiện tại ròng dương, vì lợi nhuận mà nó sẽ kiếm được từ các khoản đầu tư cổ phần này sẽ vượt quá chi phí vốn cổ phần của các khoản đầu tư này. Tương tự, một công ty đầu tư vào trái phiếu doanh nghiệp bị định giá thấp cũng sẽ kiếm được lợi nhuận vượt trội và giá trị hiện tại ròng dương.</w:t>
      </w:r>
    </w:p>
    <w:p>
      <w:pPr>
        <w:pStyle w:val="Para 03"/>
      </w:pPr>
      <w:r>
        <w:t>Khả năng một công ty tìm thấy cổ phiếu và trái phiếu bị định giá thấp để đầu tư là bao nhiêu? Điều đó phụ thuộc vào mức độ hiệu quả của thị trường và mức độ giỏi của các nhà quản lý công ty trong việc tìm kiếm chứng khoán bị định giá thấp. Trong những trường hợp đặc biệt, một công ty có thể giỏi tìm kiếm các khoản đầu tư tốt trên thị trường tài chính hơn là cạnh tranh trên thị trường sản phẩm. Hãy xem xét trường hợp của Berkshire Hathaway, một công ty đã là phương tiện cho sự nhạy bén đầu tư của Warren Buffett trong vài thập kỷ qua. Vào cuối năm 2010, Berkshire Hathaway có hàng tỷ đô la đầu tư vào chứng khoán của các công ty khác. Trong số các khoản nắm giữ của nó có các khoản đầu tư vào Coca-Cola, American Express và Washington Post. Mặc dù Berkshire Hathaway cũng có các lợi ích kinh doanh thực sự, bao gồm quyền sở hữu một công ty bảo hiểm được đánh giá cao (GEICO), các nhà đầu tư vào công ty này nhận được một phần đáng kể giá trị của họ từ các khoản đầu tư cổ phần thụ động của công ty.</w:t>
      </w:r>
    </w:p>
    <w:p>
      <w:pPr>
        <w:pStyle w:val="Para 03"/>
      </w:pPr>
      <w:r>
        <w:t>Bất chấp thành công của Berkshire Hathaway, hầu hết các công ty ở Hoa Kỳ tránh tìm kiếm món hời trong các khoản đầu tư tài chính. Một phần lý do là họ nhận ra rằng rất khó tìm được chứng khoán bị định giá thấp trên thị trường tài chính. Một phần sự miễn cưỡng của các công ty trong việc thực hiện đầu tư cổ phần vào các công ty khác có thể bắt nguồn từ việc nhận ra rằng các nhà đầu tư vào những công ty như Procter &amp; Gamble và Coca-Cola đầu tư vào những công ty này vì lợi thế cạnh tranh của họ trên thị trường sản phẩm (ví dụ: tên thương hiệu, kỹ năng tiếp thị, v.v.) chứ không phải vì kỹ năng chọn cổ phiếu được cho là của họ.</w:t>
      </w:r>
    </w:p>
    <w:p>
      <w:bookmarkStart w:id="3183" w:name="Strategic_Investments__During_th"/>
      <w:pPr>
        <w:pStyle w:val="Para 21"/>
      </w:pPr>
      <w:r>
        <w:t>Đầu tư Chiến lược</w:t>
      </w:r>
      <w:bookmarkEnd w:id="3183"/>
    </w:p>
    <w:p>
      <w:pPr>
        <w:pStyle w:val="Para 03"/>
      </w:pPr>
      <w:r>
        <w:t>Trong những năm 1990, Microsoft tích lũy số dư tiền mặt vượt quá 40 tỷ đô la. Nó sử dụng số tiền mặt này để thực hiện một loạt các khoản đầu tư vào cổ phần của các công ty phần mềm, giải trí và liên quan đến Internet. Nó làm vậy vì một số lý do.5 Thứ nhất, đầu tư vào những công ty này cho Microsoft tiếng nói trong các sản phẩm và dịch vụ mà những công ty này đang phát triển và ngăn chặn các đối thủ cạnh tranh hình thành quan hệ đối tác với những công ty đó. Thứ hai, nó cho phép Microsoft làm việc trên các sản phẩm chung với những công ty này. Chỉ riêng trong năm 1998, Microsoft đã công bố đầu tư vào 14 công ty, bao gồm ShareWave, General Magic, RoadRunner và Qwest Communications. Trong một khoản đầu tư trước đó vào năm 1995, Microsoft đã đầu tư vào NBC để tạo ra mạng MSNBC nhằm tạo cho nó một chỗ đứng trong lĩnh vực truyền hình và giải trí.</w:t>
      </w:r>
    </w:p>
    <w:p>
      <w:pPr>
        <w:pStyle w:val="Para 03"/>
      </w:pPr>
      <w:r>
        <w:t>Các khoản đầu tư chiến lược có thể nâng cao giá trị không? Như với mọi khoản đầu tư, điều đó phụ thuộc vào việc đầu tư bao nhiêu và công ty nhận được gì như lợi ích đổi lại. Nếu những lợi ích phụ và hiệp lực được ca ngợi trong những khoản đầu tư này thực sự tồn tại, thì việc đầu tư vào cổ phần của các công ty khác có thể kiếm được lợi nhuận cao hơn nhiều so với tỷ lệ tối thiểu (hurdle rate) và có thể tạo ra giá trị. Rõ ràng đó là một lựa chọn rẻ hơn nhiều so với việc mua lại toàn bộ cổ phần của công ty. Tuy nhiên, đáng lưu ý rằng các khoản đầu tư của Microsoft vào các công ty khác mang lại cho nó rất ít về mặt giá trị gia tăng. Năm 2011, Microsoft tăng cường chiến lược này và công bố rằng họ sẽ mua Skype, công ty dịch vụ điện thoại Internet, với giá 8,5 tỷ đô la, với kết quả đáng ngờ.</w:t>
      </w:r>
    </w:p>
    <w:p>
      <w:bookmarkStart w:id="3186" w:name="Business_Investments__Some_firms"/>
      <w:pPr>
        <w:pStyle w:val="Para 21"/>
      </w:pPr>
      <w:r>
        <w:t>Đầu tư Kinh doanh</w:t>
      </w:r>
      <w:bookmarkEnd w:id="3186"/>
    </w:p>
    <w:p>
      <w:pPr>
        <w:pStyle w:val="Para 03"/>
      </w:pPr>
      <w:r>
        <w:t>Một số công ty nắm giữ chứng khoán thị trường không phải như các khoản đầu tư tùy ý mà vì đó là bản chất hoạt động kinh doanh của họ. Ví dụ, các công ty bảo hiểm và ngân hàng thường đầu tư vào chứng khoán thị trường trong quá trình kinh doanh của họ, công ty trước để trang trải các khoản nợ dự kiến từ yêu cầu bảo hiểm và công ty sau trong quá trình giao dịch. Mặc dù các công ty dịch vụ tài chính này có tài sản tài chính có giá trị đáng kể trên bảng cân đối kế toán của họ, những khoản nắm giữ này không thể so sánh với những khoản của các công ty được mô tả cho đến nay. Trên thực tế, chúng giống với nguyên liệu thô được các công ty sản xuất sử dụng hơn là các khoản đầu tư tài chính tùy ý.</w:t>
      </w:r>
    </w:p>
    <w:p>
      <w:bookmarkStart w:id="3188" w:name="Dealing_with_Marketable_Securiti_1"/>
      <w:bookmarkStart w:id="3189" w:name="Dealing_with_Marketable_Securiti"/>
      <w:pPr>
        <w:keepNext/>
        <w:pStyle w:val="Heading 4"/>
        <w:keepLines w:val="on"/>
      </w:pPr>
      <w:r>
        <w:t>Xử lý Chứng khoán Thị trường trong Định giá</w:t>
      </w:r>
      <w:bookmarkEnd w:id="3188"/>
      <w:bookmarkEnd w:id="3189"/>
    </w:p>
    <w:p>
      <w:pPr>
        <w:pStyle w:val="Para 03"/>
      </w:pPr>
      <w:r>
        <w:t>Chứng khoán có thể mua bán (marketable securities) có thể bao gồm trái phiếu doanh nghiệp, với rủi ro vỡ nợ (default risk) ẩn chứa bên trong chúng, và cổ phiếu được giao dịch, vốn còn mang nhiều rủi ro hơn nữa. Khi các chứng khoán có thể mua bán mà một công ty nắm giữ trở nên rủi ro hơn, các lựa chọn về cách xử lý chúng cũng trở nên phức tạp hơn. Bạn có ba cách để hạch toán các chứng khoán có thể mua bán:</w:t>
      </w:r>
    </w:p>
    <w:p>
      <w:pPr>
        <w:numPr>
          <w:ilvl w:val="0"/>
          <w:numId w:val="156"/>
        </w:numPr>
        <w:pStyle w:val="Para 01"/>
      </w:pPr>
      <w:r>
        <w:t>Cách đơn giản và trực tiếp nhất là ước tính giá trị thị trường hiện tại của các chứng khoán có thể mua bán này rồi cộng giá trị đó vào giá trị của tài sản hoạt động (operating assets). Đối với những công ty được định giá trên cơ sở hoạt động liên tục (going-concern basis), với nhiều khoản nắm giữ chứng khoán có thể mua bán, đây có thể là lựa chọn khả thi duy nhất.</w:t>
      </w:r>
    </w:p>
    <w:p>
      <w:pPr>
        <w:numPr>
          <w:ilvl w:val="0"/>
          <w:numId w:val="156"/>
        </w:numPr>
        <w:pStyle w:val="Para 01"/>
      </w:pPr>
      <w:r>
        <w:t>Cách thứ hai là ước tính giá trị thị trường hiện tại của các chứng khoán có thể mua bán rồi trừ đi ảnh hưởng của thuế lãi vốn (capital gains taxes) có thể phải nộp nếu những chứng khoán đó được bán ngay hôm nay. Khoản thuế lãi vốn phải cắn này phụ thuộc vào số tiền đã trả cho những tài sản này tại thời điểm mua và giá trị của chúng ngày hôm nay. Đây là cách tốt nhất để ước tính giá trị khi định giá một công ty trên cơ sở thanh lý (liquidation basis), hoặc khi công ty đã đưa ra dấu hiệu rõ ràng rằng họ có kế hoạch bán các khoản nắm giữ của mình.</w:t>
      </w:r>
    </w:p>
    <w:p>
      <w:pPr>
        <w:numPr>
          <w:ilvl w:val="0"/>
          <w:numId w:val="156"/>
        </w:numPr>
        <w:pStyle w:val="Para 01"/>
      </w:pPr>
      <w:r>
        <w:t>Cách thứ ba và cũng khó nhất để đưa giá trị của chứng khoán có thể mua bán vào giá trị công ty là định giá chính những công ty đã phát hành các chứng khoán này (bằng phương pháp chiết khấu dòng tiền - discounted cash flow) rồi ước tính giá trị của các chứng khoán đó. Cách này thường hiệu quả nhất với những công ty có tương đối ít nhưng nắm giữ những khoản lớn trong các công ty niêm yết khác.</w:t>
      </w:r>
    </w:p>
    <w:p>
      <w:pPr>
        <w:pStyle w:val="Para 11"/>
      </w:pPr>
      <w:r>
        <w:t xml:space="preserve"> </w:t>
      </w:r>
    </w:p>
    <w:p>
      <w:bookmarkStart w:id="3191" w:name="ILLUSTRATION_16_4___Microsoft_s_1"/>
      <w:bookmarkStart w:id="3192" w:name="ILLUSTRATION_16_4___Microsoft_s"/>
      <w:pPr>
        <w:keepNext/>
        <w:pStyle w:val="Para 19"/>
        <w:keepLines w:val="on"/>
      </w:pPr>
      <w:r>
        <w:t>VÍ DỤ MINH HỌA 16.4: Tiền mặt và chứng khoán có thể mua bán của Microsoft—2001</w:t>
      </w:r>
      <w:bookmarkEnd w:id="3191"/>
      <w:bookmarkEnd w:id="3192"/>
    </w:p>
    <w:p>
      <w:pPr>
        <w:pStyle w:val="Para 04"/>
        <w:keepLines w:val="on"/>
      </w:pPr>
      <w:r>
        <w:t>Trong suốt thập niên 1990, Microsoft tích lũy một khoản tiền mặt khổng lồ, phần lớn là do giữ lại dòng tiền tự do dành cho vốn chủ sở hữu (free cash flows to equity) mà lẽ ra có thể đã được trả cho cổ đông. Chẳng hạn, vào năm 1999 và 2000, công ty báo cáo các khoản đầu tư gần như tiền mặt sau đây (tính bằng triệu đô la), như có thể thấy trong Bảng 16.1:</w:t>
      </w:r>
    </w:p>
    <w:p>
      <w:pPr>
        <w:pStyle w:val="Para 25"/>
        <w:keepLines w:val="on"/>
      </w:pPr>
      <w:r>
        <w:t>Bảng 16.1</w:t>
      </w:r>
    </w:p>
    <w:p>
      <w:pPr>
        <w:keepNext/>
        <w:pStyle w:val="Para 24"/>
        <w:keepLines w:val="on"/>
      </w:pPr>
      <w:r>
        <w:t>Các khoản nắm giữ tiền mặt của Microsoft—1999 và 2000</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1999</w:t>
                  </w:r>
                </w:p>
              </w:tc>
              <w:tc>
                <w:tcPr>
                  <w:tcW w:type="auto" w:w="0"/>
                  <w:shd w:val="clear" w:color="auto" w:fill="F0F0F0"/>
                </w:tcPr>
                <w:p>
                  <w:pPr>
                    <w:pStyle w:val="Para 05"/>
                    <w:keepLines w:val="on"/>
                  </w:pPr>
                  <w:r>
                    <w:t>2000</w:t>
                  </w:r>
                </w:p>
              </w:tc>
            </w:tr>
            <w:tr>
              <w:tc>
                <w:tcPr>
                  <w:tcW w:type="auto" w:w="0"/>
                  <w:shd w:val="clear" w:color="auto" w:fill="F0F0F0"/>
                </w:tcPr>
                <w:p>
                  <w:pPr>
                    <w:pStyle w:val="Para 46"/>
                    <w:keepLines w:val="on"/>
                  </w:pPr>
                  <w:r>
                    <w:t>Tiền mặt và các khoản tương đương:</w:t>
                  </w:r>
                </w:p>
              </w:tc>
              <w:tc>
                <w:tcPr>
                  <w:tcW w:type="auto" w:w="0"/>
                  <w:shd w:val="clear" w:color="auto" w:fill="F0F0F0"/>
                </w:tcPr>
                <w:p>
                  <w:pPr>
                    <w:pStyle w:val="5 Block"/>
                    <w:keepLines w:val="on"/>
                  </w:pPr>
                </w:p>
              </w:tc>
              <w:tc>
                <w:tcPr>
                  <w:tcW w:type="auto" w:w="0"/>
                  <w:shd w:val="clear" w:color="auto" w:fill="F0F0F0"/>
                </w:tcPr>
                <w:p>
                  <w:pPr>
                    <w:pStyle w:val="5 Block"/>
                    <w:keepLines w:val="on"/>
                  </w:pPr>
                </w:p>
              </w:tc>
            </w:tr>
            <w:tr>
              <w:tc>
                <w:tcPr>
                  <w:tcW w:type="auto" w:w="0"/>
                  <w:shd w:val="clear" w:color="auto" w:fill="F0F0F0"/>
                </w:tcPr>
                <w:p>
                  <w:pPr>
                    <w:pStyle w:val="Para 02"/>
                    <w:keepLines w:val="on"/>
                  </w:pPr>
                  <w:r>
                    <w:t>Tiền mặt</w:t>
                  </w:r>
                </w:p>
              </w:tc>
              <w:tc>
                <w:tcPr>
                  <w:tcW w:type="auto" w:w="0"/>
                  <w:shd w:val="clear" w:color="auto" w:fill="F0F0F0"/>
                </w:tcPr>
                <w:p>
                  <w:pPr>
                    <w:pStyle w:val="Normal"/>
                    <w:keepLines w:val="on"/>
                  </w:pPr>
                  <w:r>
                    <w:t>$635</w:t>
                  </w:r>
                </w:p>
              </w:tc>
              <w:tc>
                <w:tcPr>
                  <w:tcW w:type="auto" w:w="0"/>
                  <w:shd w:val="clear" w:color="auto" w:fill="F0F0F0"/>
                </w:tcPr>
                <w:p>
                  <w:pPr>
                    <w:pStyle w:val="Normal"/>
                    <w:keepLines w:val="on"/>
                  </w:pPr>
                  <w:r>
                    <w:t>$849</w:t>
                  </w:r>
                </w:p>
              </w:tc>
            </w:tr>
            <w:tr>
              <w:tc>
                <w:tcPr>
                  <w:tcW w:type="auto" w:w="0"/>
                  <w:shd w:val="clear" w:color="auto" w:fill="F0F0F0"/>
                </w:tcPr>
                <w:p>
                  <w:pPr>
                    <w:pStyle w:val="Para 02"/>
                    <w:keepLines w:val="on"/>
                  </w:pPr>
                  <w:r>
                    <w:t>Thương phiếu (commercial paper)</w:t>
                  </w:r>
                </w:p>
              </w:tc>
              <w:tc>
                <w:tcPr>
                  <w:tcW w:type="auto" w:w="0"/>
                  <w:shd w:val="clear" w:color="auto" w:fill="F0F0F0"/>
                </w:tcPr>
                <w:p>
                  <w:pPr>
                    <w:pStyle w:val="Normal"/>
                    <w:keepLines w:val="on"/>
                  </w:pPr>
                  <w:r>
                    <w:t>$3,805</w:t>
                  </w:r>
                </w:p>
              </w:tc>
              <w:tc>
                <w:tcPr>
                  <w:tcW w:type="auto" w:w="0"/>
                  <w:shd w:val="clear" w:color="auto" w:fill="F0F0F0"/>
                </w:tcPr>
                <w:p>
                  <w:pPr>
                    <w:pStyle w:val="Normal"/>
                    <w:keepLines w:val="on"/>
                  </w:pPr>
                  <w:r>
                    <w:t>$1,986</w:t>
                  </w:r>
                </w:p>
              </w:tc>
            </w:tr>
            <w:tr>
              <w:tc>
                <w:tcPr>
                  <w:tcW w:type="auto" w:w="0"/>
                  <w:shd w:val="clear" w:color="auto" w:fill="F0F0F0"/>
                </w:tcPr>
                <w:p>
                  <w:pPr>
                    <w:pStyle w:val="Para 02"/>
                    <w:keepLines w:val="on"/>
                  </w:pPr>
                  <w:r>
                    <w:t>Chứng chỉ tiền gửi (certificates of deposit)</w:t>
                  </w:r>
                </w:p>
              </w:tc>
              <w:tc>
                <w:tcPr>
                  <w:tcW w:type="auto" w:w="0"/>
                  <w:shd w:val="clear" w:color="auto" w:fill="F0F0F0"/>
                </w:tcPr>
                <w:p>
                  <w:pPr>
                    <w:pStyle w:val="Normal"/>
                    <w:keepLines w:val="on"/>
                  </w:pPr>
                  <w:r>
                    <w:t>$522</w:t>
                  </w:r>
                </w:p>
              </w:tc>
              <w:tc>
                <w:tcPr>
                  <w:tcW w:type="auto" w:w="0"/>
                  <w:shd w:val="clear" w:color="auto" w:fill="F0F0F0"/>
                </w:tcPr>
                <w:p>
                  <w:pPr>
                    <w:pStyle w:val="Normal"/>
                    <w:keepLines w:val="on"/>
                  </w:pPr>
                  <w:r>
                    <w:t>$1,017</w:t>
                  </w:r>
                </w:p>
              </w:tc>
            </w:tr>
            <w:tr>
              <w:tc>
                <w:tcPr>
                  <w:tcW w:type="auto" w:w="0"/>
                  <w:shd w:val="clear" w:color="auto" w:fill="F0F0F0"/>
                </w:tcPr>
                <w:p>
                  <w:pPr>
                    <w:pStyle w:val="Para 02"/>
                    <w:keepLines w:val="on"/>
                  </w:pPr>
                  <w:r>
                    <w:t>Chứng khoán chính phủ và cơ quan liên bang Hoa Kỳ</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$729</w:t>
                  </w:r>
                </w:p>
              </w:tc>
            </w:tr>
            <w:tr>
              <w:tc>
                <w:tcPr>
                  <w:tcW w:type="auto" w:w="0"/>
                  <w:shd w:val="clear" w:color="auto" w:fill="F0F0F0"/>
                </w:tcPr>
                <w:p>
                  <w:pPr>
                    <w:pStyle w:val="Para 02"/>
                    <w:keepLines w:val="on"/>
                  </w:pPr>
                  <w:r>
                    <w:t>Giấy nợ và trái phiếu doanh nghiệp</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$265</w:t>
                  </w:r>
                </w:p>
              </w:tc>
            </w:tr>
            <w:tr>
              <w:tc>
                <w:tcPr>
                  <w:tcW w:type="auto" w:w="0"/>
                  <w:shd w:val="clear" w:color="auto" w:fill="F0F0F0"/>
                </w:tcPr>
                <w:p>
                  <w:pPr>
                    <w:pStyle w:val="Para 02"/>
                    <w:keepLines w:val="on"/>
                  </w:pPr>
                  <w:r>
                    <w:t>Cổ phiếu ưu đãi thị trường tiền tệ</w:t>
                  </w:r>
                </w:p>
              </w:tc>
              <w:tc>
                <w:tcPr>
                  <w:tcW w:type="auto" w:w="0"/>
                  <w:shd w:val="clear" w:color="auto" w:fill="F0F0F0"/>
                </w:tcPr>
                <w:p>
                  <w:pPr>
                    <w:pStyle w:val="Normal"/>
                    <w:keepLines w:val="on"/>
                  </w:pPr>
                  <w:r>
                    <w:t>$13</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Tổng tiền mặt và các khoản tương đương</w:t>
                  </w:r>
                </w:p>
              </w:tc>
              <w:tc>
                <w:tcPr>
                  <w:tcW w:type="auto" w:w="0"/>
                  <w:shd w:val="clear" w:color="auto" w:fill="F0F0F0"/>
                </w:tcPr>
                <w:p>
                  <w:pPr>
                    <w:pStyle w:val="Normal"/>
                    <w:keepLines w:val="on"/>
                  </w:pPr>
                  <w:r>
                    <w:t>$4,975</w:t>
                  </w:r>
                </w:p>
              </w:tc>
              <w:tc>
                <w:tcPr>
                  <w:tcW w:type="auto" w:w="0"/>
                  <w:shd w:val="clear" w:color="auto" w:fill="F0F0F0"/>
                </w:tcPr>
                <w:p>
                  <w:pPr>
                    <w:pStyle w:val="Normal"/>
                    <w:keepLines w:val="on"/>
                  </w:pPr>
                  <w:r>
                    <w:t>$4,846</w:t>
                  </w:r>
                </w:p>
              </w:tc>
            </w:tr>
            <w:tr>
              <w:tc>
                <w:tcPr>
                  <w:tcW w:type="auto" w:w="0"/>
                  <w:shd w:val="clear" w:color="auto" w:fill="F0F0F0"/>
                </w:tcPr>
                <w:p>
                  <w:pPr>
                    <w:pStyle w:val="Para 46"/>
                    <w:keepLines w:val="on"/>
                  </w:pPr>
                  <w:r>
                    <w:t>Các khoản đầu tư ngắn hạn:</w:t>
                  </w: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Thương phiếu</w:t>
                  </w:r>
                </w:p>
              </w:tc>
              <w:tc>
                <w:tcPr>
                  <w:tcW w:type="auto" w:w="0"/>
                  <w:shd w:val="clear" w:color="auto" w:fill="F0F0F0"/>
                </w:tcPr>
                <w:p>
                  <w:pPr>
                    <w:pStyle w:val="Normal"/>
                    <w:keepLines w:val="on"/>
                  </w:pPr>
                  <w:r>
                    <w:t>$1,026</w:t>
                  </w:r>
                </w:p>
              </w:tc>
              <w:tc>
                <w:tcPr>
                  <w:tcW w:type="auto" w:w="0"/>
                  <w:shd w:val="clear" w:color="auto" w:fill="F0F0F0"/>
                </w:tcPr>
                <w:p>
                  <w:pPr>
                    <w:pStyle w:val="Normal"/>
                    <w:keepLines w:val="on"/>
                  </w:pPr>
                  <w:r>
                    <w:t>$612</w:t>
                  </w:r>
                </w:p>
              </w:tc>
            </w:tr>
            <w:tr>
              <w:tc>
                <w:tcPr>
                  <w:tcW w:type="auto" w:w="0"/>
                  <w:shd w:val="clear" w:color="auto" w:fill="F0F0F0"/>
                </w:tcPr>
                <w:p>
                  <w:pPr>
                    <w:pStyle w:val="Para 02"/>
                    <w:keepLines w:val="on"/>
                  </w:pPr>
                  <w:r>
                    <w:t>Chứng khoán chính phủ và cơ quan chính phủ Hoa Kỳ</w:t>
                  </w:r>
                </w:p>
              </w:tc>
              <w:tc>
                <w:tcPr>
                  <w:tcW w:type="auto" w:w="0"/>
                  <w:shd w:val="clear" w:color="auto" w:fill="F0F0F0"/>
                </w:tcPr>
                <w:p>
                  <w:pPr>
                    <w:pStyle w:val="Normal"/>
                    <w:keepLines w:val="on"/>
                  </w:pPr>
                  <w:r>
                    <w:t>$3,592</w:t>
                  </w:r>
                </w:p>
              </w:tc>
              <w:tc>
                <w:tcPr>
                  <w:tcW w:type="auto" w:w="0"/>
                  <w:shd w:val="clear" w:color="auto" w:fill="F0F0F0"/>
                </w:tcPr>
                <w:p>
                  <w:pPr>
                    <w:pStyle w:val="Normal"/>
                    <w:keepLines w:val="on"/>
                  </w:pPr>
                  <w:r>
                    <w:t>$7,104</w:t>
                  </w:r>
                </w:p>
              </w:tc>
            </w:tr>
            <w:tr>
              <w:tc>
                <w:tcPr>
                  <w:tcW w:type="auto" w:w="0"/>
                  <w:shd w:val="clear" w:color="auto" w:fill="F0F0F0"/>
                </w:tcPr>
                <w:p>
                  <w:pPr>
                    <w:pStyle w:val="Para 02"/>
                    <w:keepLines w:val="on"/>
                  </w:pPr>
                  <w:r>
                    <w:t>Trái phiếu và kỳ phiếu doanh nghiệp</w:t>
                  </w:r>
                </w:p>
              </w:tc>
              <w:tc>
                <w:tcPr>
                  <w:tcW w:type="auto" w:w="0"/>
                  <w:shd w:val="clear" w:color="auto" w:fill="F0F0F0"/>
                </w:tcPr>
                <w:p>
                  <w:pPr>
                    <w:pStyle w:val="Normal"/>
                    <w:keepLines w:val="on"/>
                  </w:pPr>
                  <w:r>
                    <w:t>$6,996</w:t>
                  </w:r>
                </w:p>
              </w:tc>
              <w:tc>
                <w:tcPr>
                  <w:tcW w:type="auto" w:w="0"/>
                  <w:shd w:val="clear" w:color="auto" w:fill="F0F0F0"/>
                </w:tcPr>
                <w:p>
                  <w:pPr>
                    <w:pStyle w:val="Normal"/>
                    <w:keepLines w:val="on"/>
                  </w:pPr>
                  <w:r>
                    <w:t>$9,473</w:t>
                  </w:r>
                </w:p>
              </w:tc>
            </w:tr>
            <w:tr>
              <w:tc>
                <w:tcPr>
                  <w:tcW w:type="auto" w:w="0"/>
                  <w:shd w:val="clear" w:color="auto" w:fill="F0F0F0"/>
                </w:tcPr>
                <w:p>
                  <w:pPr>
                    <w:pStyle w:val="Para 02"/>
                    <w:keepLines w:val="on"/>
                  </w:pPr>
                  <w:r>
                    <w:t>Chứng khoán đô thị</w:t>
                  </w:r>
                </w:p>
              </w:tc>
              <w:tc>
                <w:tcPr>
                  <w:tcW w:type="auto" w:w="0"/>
                  <w:shd w:val="clear" w:color="auto" w:fill="F0F0F0"/>
                </w:tcPr>
                <w:p>
                  <w:pPr>
                    <w:pStyle w:val="Normal"/>
                    <w:keepLines w:val="on"/>
                  </w:pPr>
                  <w:r>
                    <w:t>$247</w:t>
                  </w:r>
                </w:p>
              </w:tc>
              <w:tc>
                <w:tcPr>
                  <w:tcW w:type="auto" w:w="0"/>
                  <w:shd w:val="clear" w:color="auto" w:fill="F0F0F0"/>
                </w:tcPr>
                <w:p>
                  <w:pPr>
                    <w:pStyle w:val="Normal"/>
                    <w:keepLines w:val="on"/>
                  </w:pPr>
                  <w:r>
                    <w:t>$1,113</w:t>
                  </w:r>
                </w:p>
              </w:tc>
            </w:tr>
            <w:tr>
              <w:tc>
                <w:tcPr>
                  <w:tcW w:type="auto" w:w="0"/>
                  <w:shd w:val="clear" w:color="auto" w:fill="F0F0F0"/>
                </w:tcPr>
                <w:p>
                  <w:pPr>
                    <w:pStyle w:val="Para 02"/>
                    <w:keepLines w:val="on"/>
                  </w:pPr>
                  <w:r>
                    <w:t>Chứng chỉ tiền gửi</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$650</w:t>
                  </w:r>
                </w:p>
              </w:tc>
            </w:tr>
            <w:tr>
              <w:tc>
                <w:tcPr>
                  <w:tcW w:type="auto" w:w="0"/>
                  <w:shd w:val="clear" w:color="auto" w:fill="F0F0F0"/>
                </w:tcPr>
                <w:p>
                  <w:pPr>
                    <w:pStyle w:val="Para 02"/>
                    <w:keepLines w:val="on"/>
                  </w:pPr>
                  <w:r>
                    <w:t>Tổng các khoản đầu tư ngắn hạn</w:t>
                  </w:r>
                </w:p>
              </w:tc>
              <w:tc>
                <w:tcPr>
                  <w:tcW w:type="auto" w:w="0"/>
                  <w:shd w:val="clear" w:color="auto" w:fill="F0F0F0"/>
                </w:tcPr>
                <w:p>
                  <w:pPr>
                    <w:pStyle w:val="Normal"/>
                    <w:keepLines w:val="on"/>
                  </w:pPr>
                  <w:r>
                    <w:t>$12,261</w:t>
                  </w:r>
                </w:p>
              </w:tc>
              <w:tc>
                <w:tcPr>
                  <w:tcW w:type="auto" w:w="0"/>
                  <w:shd w:val="clear" w:color="auto" w:fill="F0F0F0"/>
                </w:tcPr>
                <w:p>
                  <w:pPr>
                    <w:pStyle w:val="Normal"/>
                    <w:keepLines w:val="on"/>
                  </w:pPr>
                  <w:r>
                    <w:t>$18,952</w:t>
                  </w:r>
                </w:p>
              </w:tc>
            </w:tr>
            <w:tr>
              <w:tc>
                <w:tcPr>
                  <w:tcW w:type="auto" w:w="0"/>
                  <w:shd w:val="clear" w:color="auto" w:fill="F0F0F0"/>
                </w:tcPr>
                <w:p>
                  <w:pPr>
                    <w:pStyle w:val="Para 46"/>
                    <w:keepLines w:val="on"/>
                  </w:pPr>
                  <w:r>
                    <w:t>Tiền mặt và các khoản đầu tư ngắn hạn</w:t>
                  </w:r>
                </w:p>
              </w:tc>
              <w:tc>
                <w:tcPr>
                  <w:tcW w:type="auto" w:w="0"/>
                  <w:shd w:val="clear" w:color="auto" w:fill="F0F0F0"/>
                </w:tcPr>
                <w:p>
                  <w:pPr>
                    <w:pStyle w:val="Para 41"/>
                    <w:keepLines w:val="on"/>
                  </w:pPr>
                  <w:r>
                    <w:t>$17,236</w:t>
                  </w:r>
                </w:p>
              </w:tc>
              <w:tc>
                <w:tcPr>
                  <w:tcW w:type="auto" w:w="0"/>
                  <w:shd w:val="clear" w:color="auto" w:fill="F0F0F0"/>
                </w:tcPr>
                <w:p>
                  <w:pPr>
                    <w:pStyle w:val="Para 41"/>
                    <w:keepLines w:val="on"/>
                  </w:pPr>
                  <w:r>
                    <w:t>$23,798</w:t>
                  </w:r>
                </w:p>
              </w:tc>
            </w:tr>
          </w:tbl>
          <w:p/>
        </w:tc>
      </w:tr>
    </w:tbl>
    <w:p>
      <w:pPr>
        <w:pStyle w:val="Para 04"/>
        <w:keepLines w:val="on"/>
      </w:pPr>
      <w:r>
        <w:t>Khi định giá Microsoft vào năm 2000, rõ ràng chúng ta nên xem xét khoản đầu tư trị giá 23,798 tỷ đô la như một phần trong giá trị của công ty. Câu hỏi thú vị là liệu có nên có một khoản chiết khấu phản ánh nỗi lo của nhà đầu tư về những khoản đầu tư kém hiệu quả trong tương lai hay không. Tính đến năm 2000, Microsoft chưa từng bị trừng phạt vì việc nắm giữ tiền mặt, phần lớn là nhờ thành tích hoàn hảo của mình trong việc mang lại lợi nhuận ngày càng tăng ở một khía cạnh và lợi suất cổ phiếu cao ở khía cạnh khác. Dù năm 1999 và 2000 không phải là những năm tốt đẹp đối với công ty, các nhà đầu tư có lẽ vẫn dành cho công ty sự tin tưởng ít nhất là trong tương lai gần. Chúng ta sẽ cộng số dư tiền mặt theo giá trị danh nghĩa vào giá trị tài sản hoạt động của Microsoft.</w:t>
      </w:r>
    </w:p>
    <w:p>
      <w:pPr>
        <w:pStyle w:val="Para 04"/>
        <w:keepLines w:val="on"/>
      </w:pPr>
      <w:r>
        <w:t>Thành phần thú vị hơn là 17,7 tỷ đô la mà Microsoft thể hiện dưới dạng các khoản đầu tư vào chứng khoán rủi ro cao hơn trong năm 2000. Microsoft đã báo cáo thông tin sau đây về các khoản đầu tư này (tính bằng triệu đô la) trong Bảng 16.2:</w:t>
      </w:r>
    </w:p>
    <w:p>
      <w:pPr>
        <w:pStyle w:val="Para 25"/>
        <w:keepLines w:val="on"/>
      </w:pPr>
      <w:r>
        <w:t>Bảng 16.2</w:t>
      </w:r>
    </w:p>
    <w:p>
      <w:pPr>
        <w:keepNext/>
        <w:pStyle w:val="Para 24"/>
        <w:keepLines w:val="on"/>
      </w:pPr>
      <w:r>
        <w:t>Các khoản đầu tư của Microsoft vào chứng khoán rủi ro cao hơn</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Giá gốc</w:t>
                  </w:r>
                </w:p>
              </w:tc>
              <w:tc>
                <w:tcPr>
                  <w:tcW w:type="auto" w:w="0"/>
                  <w:shd w:val="clear" w:color="auto" w:fill="F0F0F0"/>
                </w:tcPr>
                <w:p>
                  <w:pPr>
                    <w:pStyle w:val="Para 05"/>
                    <w:keepLines w:val="on"/>
                  </w:pPr>
                  <w:r>
                    <w:t>Lãi chưa thực hiện</w:t>
                  </w:r>
                </w:p>
              </w:tc>
              <w:tc>
                <w:tcPr>
                  <w:tcW w:type="auto" w:w="0"/>
                  <w:shd w:val="clear" w:color="auto" w:fill="F0F0F0"/>
                </w:tcPr>
                <w:p>
                  <w:pPr>
                    <w:pStyle w:val="Para 05"/>
                    <w:keepLines w:val="on"/>
                  </w:pPr>
                  <w:r>
                    <w:t>Lỗ chưa thực hiện</w:t>
                  </w:r>
                </w:p>
              </w:tc>
              <w:tc>
                <w:tcPr>
                  <w:tcW w:type="auto" w:w="0"/>
                  <w:shd w:val="clear" w:color="auto" w:fill="F0F0F0"/>
                </w:tcPr>
                <w:p>
                  <w:pPr>
                    <w:pStyle w:val="Para 05"/>
                    <w:keepLines w:val="on"/>
                  </w:pPr>
                  <w:r>
                    <w:t>Giá trị ghi sổ</w:t>
                  </w:r>
                </w:p>
              </w:tc>
            </w:tr>
            <w:tr>
              <w:tc>
                <w:tcPr>
                  <w:tcW w:type="auto" w:w="0"/>
                  <w:shd w:val="clear" w:color="auto" w:fill="F0F0F0"/>
                </w:tcPr>
                <w:p>
                  <w:pPr>
                    <w:pStyle w:val="Para 46"/>
                    <w:keepLines w:val="on"/>
                  </w:pPr>
                  <w:r>
                    <w:t>Chứng khoán nợ theo giá thị trường</w:t>
                  </w: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r>
            <w:tr>
              <w:tc>
                <w:tcPr>
                  <w:tcW w:type="auto" w:w="0"/>
                  <w:shd w:val="clear" w:color="auto" w:fill="F0F0F0"/>
                </w:tcPr>
                <w:p>
                  <w:pPr>
                    <w:pStyle w:val="Para 02"/>
                    <w:keepLines w:val="on"/>
                  </w:pPr>
                  <w:r>
                    <w:t>Trong vòng 1 năm</w:t>
                  </w:r>
                </w:p>
              </w:tc>
              <w:tc>
                <w:tcPr>
                  <w:tcW w:type="auto" w:w="0"/>
                  <w:shd w:val="clear" w:color="auto" w:fill="F0F0F0"/>
                </w:tcPr>
                <w:p>
                  <w:pPr>
                    <w:pStyle w:val="Normal"/>
                    <w:keepLines w:val="on"/>
                  </w:pPr>
                  <w:r>
                    <w:t>$498</w:t>
                  </w:r>
                </w:p>
              </w:tc>
              <w:tc>
                <w:tcPr>
                  <w:tcW w:type="auto" w:w="0"/>
                  <w:shd w:val="clear" w:color="auto" w:fill="F0F0F0"/>
                </w:tcPr>
                <w:p>
                  <w:pPr>
                    <w:pStyle w:val="Normal"/>
                    <w:keepLines w:val="on"/>
                  </w:pPr>
                  <w:r>
                    <w:t>$27</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$525</w:t>
                  </w:r>
                </w:p>
              </w:tc>
            </w:tr>
            <w:tr>
              <w:tc>
                <w:tcPr>
                  <w:tcW w:type="auto" w:w="0"/>
                  <w:shd w:val="clear" w:color="auto" w:fill="F0F0F0"/>
                </w:tcPr>
                <w:p>
                  <w:pPr>
                    <w:pStyle w:val="Para 02"/>
                    <w:keepLines w:val="on"/>
                  </w:pPr>
                  <w:r>
                    <w:t>&gt;Từ 2 đến 10 năm</w:t>
                  </w:r>
                </w:p>
              </w:tc>
              <w:tc>
                <w:tcPr>
                  <w:tcW w:type="auto" w:w="0"/>
                  <w:shd w:val="clear" w:color="auto" w:fill="F0F0F0"/>
                </w:tcPr>
                <w:p>
                  <w:pPr>
                    <w:pStyle w:val="Normal"/>
                    <w:keepLines w:val="on"/>
                  </w:pPr>
                  <w:r>
                    <w:t>$388</w:t>
                  </w:r>
                </w:p>
              </w:tc>
              <w:tc>
                <w:tcPr>
                  <w:tcW w:type="auto" w:w="0"/>
                  <w:shd w:val="clear" w:color="auto" w:fill="F0F0F0"/>
                </w:tcPr>
                <w:p>
                  <w:pPr>
                    <w:pStyle w:val="Normal"/>
                    <w:keepLines w:val="on"/>
                  </w:pPr>
                  <w:r>
                    <w:t>$11</w:t>
                  </w:r>
                </w:p>
              </w:tc>
              <w:tc>
                <w:tcPr>
                  <w:tcW w:type="auto" w:w="0"/>
                  <w:shd w:val="clear" w:color="auto" w:fill="F0F0F0"/>
                </w:tcPr>
                <w:p>
                  <w:pPr>
                    <w:pStyle w:val="Normal"/>
                    <w:keepLines w:val="on"/>
                  </w:pPr>
                  <w:r>
                    <w:t>−$3</w:t>
                  </w:r>
                </w:p>
              </w:tc>
              <w:tc>
                <w:tcPr>
                  <w:tcW w:type="auto" w:w="0"/>
                  <w:shd w:val="clear" w:color="auto" w:fill="F0F0F0"/>
                </w:tcPr>
                <w:p>
                  <w:pPr>
                    <w:pStyle w:val="Normal"/>
                    <w:keepLines w:val="on"/>
                  </w:pPr>
                  <w:r>
                    <w:t>$396</w:t>
                  </w:r>
                </w:p>
              </w:tc>
            </w:tr>
            <w:tr>
              <w:tc>
                <w:tcPr>
                  <w:tcW w:type="auto" w:w="0"/>
                  <w:shd w:val="clear" w:color="auto" w:fill="F0F0F0"/>
                </w:tcPr>
                <w:p>
                  <w:pPr>
                    <w:pStyle w:val="Para 02"/>
                    <w:keepLines w:val="on"/>
                  </w:pPr>
                  <w:r>
                    <w:t>Từ 10 đến 15 năm</w:t>
                  </w:r>
                </w:p>
              </w:tc>
              <w:tc>
                <w:tcPr>
                  <w:tcW w:type="auto" w:w="0"/>
                  <w:shd w:val="clear" w:color="auto" w:fill="F0F0F0"/>
                </w:tcPr>
                <w:p>
                  <w:pPr>
                    <w:pStyle w:val="Normal"/>
                    <w:keepLines w:val="on"/>
                  </w:pPr>
                  <w:r>
                    <w:t>$774</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−$93</w:t>
                  </w:r>
                </w:p>
              </w:tc>
              <w:tc>
                <w:tcPr>
                  <w:tcW w:type="auto" w:w="0"/>
                  <w:shd w:val="clear" w:color="auto" w:fill="F0F0F0"/>
                </w:tcPr>
                <w:p>
                  <w:pPr>
                    <w:pStyle w:val="Normal"/>
                    <w:keepLines w:val="on"/>
                  </w:pPr>
                  <w:r>
                    <w:t>$695</w:t>
                  </w:r>
                </w:p>
              </w:tc>
            </w:tr>
            <w:tr>
              <w:tc>
                <w:tcPr>
                  <w:tcW w:type="auto" w:w="0"/>
                  <w:shd w:val="clear" w:color="auto" w:fill="F0F0F0"/>
                </w:tcPr>
                <w:p>
                  <w:pPr>
                    <w:pStyle w:val="Para 02"/>
                    <w:keepLines w:val="on"/>
                  </w:pPr>
                  <w:r>
                    <w:t>Hơn 15 năm</w:t>
                  </w:r>
                </w:p>
              </w:tc>
              <w:tc>
                <w:tcPr>
                  <w:tcW w:type="auto" w:w="0"/>
                  <w:shd w:val="clear" w:color="auto" w:fill="F0F0F0"/>
                </w:tcPr>
                <w:p>
                  <w:pPr>
                    <w:pStyle w:val="Normal"/>
                    <w:keepLines w:val="on"/>
                  </w:pPr>
                  <w:r>
                    <w:t>$4,745</w:t>
                  </w:r>
                </w:p>
              </w:tc>
              <w:tc>
                <w:tcPr>
                  <w:tcW w:type="auto" w:w="0"/>
                  <w:shd w:val="clear" w:color="auto" w:fill="F0F0F0"/>
                </w:tcPr>
                <w:p>
                  <w:pPr>
                    <w:pStyle w:val="7 Block"/>
                    <w:keepLines w:val="on"/>
                  </w:pPr>
                </w:p>
              </w:tc>
              <w:tc>
                <w:tcPr>
                  <w:tcW w:type="auto" w:w="0"/>
                  <w:shd w:val="clear" w:color="auto" w:fill="F0F0F0"/>
                </w:tcPr>
                <w:p>
                  <w:pPr>
                    <w:pStyle w:val="Normal"/>
                    <w:keepLines w:val="on"/>
                  </w:pPr>
                  <w:r>
                    <w:t>−$933</w:t>
                  </w:r>
                </w:p>
              </w:tc>
              <w:tc>
                <w:tcPr>
                  <w:tcW w:type="auto" w:w="0"/>
                  <w:shd w:val="clear" w:color="auto" w:fill="F0F0F0"/>
                </w:tcPr>
                <w:p>
                  <w:pPr>
                    <w:pStyle w:val="Normal"/>
                    <w:keepLines w:val="on"/>
                  </w:pPr>
                  <w:r>
                    <w:t>$3,812</w:t>
                  </w:r>
                </w:p>
              </w:tc>
            </w:tr>
            <w:tr>
              <w:tc>
                <w:tcPr>
                  <w:tcW w:type="auto" w:w="0"/>
                  <w:shd w:val="clear" w:color="auto" w:fill="F0F0F0"/>
                </w:tcPr>
                <w:p>
                  <w:pPr>
                    <w:pStyle w:val="Para 46"/>
                    <w:keepLines w:val="on"/>
                  </w:pPr>
                  <w:r>
                    <w:t>Tổng chứng khoán nợ theo giá thị trường Cổ phiếu:</w:t>
                  </w:r>
                </w:p>
              </w:tc>
              <w:tc>
                <w:tcPr>
                  <w:tcW w:type="auto" w:w="0"/>
                  <w:shd w:val="clear" w:color="auto" w:fill="F0F0F0"/>
                </w:tcPr>
                <w:p>
                  <w:pPr>
                    <w:pStyle w:val="Normal"/>
                    <w:keepLines w:val="on"/>
                  </w:pPr>
                  <w:r>
                    <w:t>$6,406</w:t>
                  </w:r>
                </w:p>
              </w:tc>
              <w:tc>
                <w:tcPr>
                  <w:tcW w:type="auto" w:w="0"/>
                  <w:shd w:val="clear" w:color="auto" w:fill="F0F0F0"/>
                </w:tcPr>
                <w:p>
                  <w:pPr>
                    <w:pStyle w:val="Normal"/>
                    <w:keepLines w:val="on"/>
                  </w:pPr>
                  <w:r>
                    <w:t>$52</w:t>
                  </w:r>
                </w:p>
              </w:tc>
              <w:tc>
                <w:tcPr>
                  <w:tcW w:type="auto" w:w="0"/>
                  <w:shd w:val="clear" w:color="auto" w:fill="F0F0F0"/>
                </w:tcPr>
                <w:p>
                  <w:pPr>
                    <w:pStyle w:val="Normal"/>
                    <w:keepLines w:val="on"/>
                  </w:pPr>
                  <w:r>
                    <w:t>−$1,029</w:t>
                  </w:r>
                </w:p>
              </w:tc>
              <w:tc>
                <w:tcPr>
                  <w:tcW w:type="auto" w:w="0"/>
                  <w:shd w:val="clear" w:color="auto" w:fill="F0F0F0"/>
                </w:tcPr>
                <w:p>
                  <w:pPr>
                    <w:pStyle w:val="Normal"/>
                    <w:keepLines w:val="on"/>
                  </w:pPr>
                  <w:r>
                    <w:t>$5,429</w:t>
                  </w:r>
                </w:p>
              </w:tc>
            </w:tr>
            <w:tr>
              <w:tc>
                <w:tcPr>
                  <w:tcW w:type="auto" w:w="0"/>
                  <w:shd w:val="clear" w:color="auto" w:fill="F0F0F0"/>
                </w:tcPr>
                <w:p>
                  <w:pPr>
                    <w:pStyle w:val="Para 02"/>
                    <w:keepLines w:val="on"/>
                  </w:pPr>
                  <w:r>
                    <w:t>Cổ phiếu phổ thông và chứng quyền</w:t>
                  </w:r>
                </w:p>
              </w:tc>
              <w:tc>
                <w:tcPr>
                  <w:tcW w:type="auto" w:w="0"/>
                  <w:shd w:val="clear" w:color="auto" w:fill="F0F0F0"/>
                </w:tcPr>
                <w:p>
                  <w:pPr>
                    <w:pStyle w:val="Normal"/>
                    <w:keepLines w:val="on"/>
                  </w:pPr>
                  <w:r>
                    <w:t>$5,815</w:t>
                  </w:r>
                </w:p>
              </w:tc>
              <w:tc>
                <w:tcPr>
                  <w:tcW w:type="auto" w:w="0"/>
                  <w:shd w:val="clear" w:color="auto" w:fill="F0F0F0"/>
                </w:tcPr>
                <w:p>
                  <w:pPr>
                    <w:pStyle w:val="Normal"/>
                    <w:keepLines w:val="on"/>
                  </w:pPr>
                  <w:r>
                    <w:t>$5,655</w:t>
                  </w:r>
                </w:p>
              </w:tc>
              <w:tc>
                <w:tcPr>
                  <w:tcW w:type="auto" w:w="0"/>
                  <w:shd w:val="clear" w:color="auto" w:fill="F0F0F0"/>
                </w:tcPr>
                <w:p>
                  <w:pPr>
                    <w:pStyle w:val="Normal"/>
                    <w:keepLines w:val="on"/>
                  </w:pPr>
                  <w:r>
                    <w:t>−$1,697</w:t>
                  </w:r>
                </w:p>
              </w:tc>
              <w:tc>
                <w:tcPr>
                  <w:tcW w:type="auto" w:w="0"/>
                  <w:shd w:val="clear" w:color="auto" w:fill="F0F0F0"/>
                </w:tcPr>
                <w:p>
                  <w:pPr>
                    <w:pStyle w:val="Normal"/>
                    <w:keepLines w:val="on"/>
                  </w:pPr>
                  <w:r>
                    <w:t>$9,773</w:t>
                  </w:r>
                </w:p>
              </w:tc>
            </w:tr>
            <w:tr>
              <w:tc>
                <w:tcPr>
                  <w:tcW w:type="auto" w:w="0"/>
                  <w:shd w:val="clear" w:color="auto" w:fill="F0F0F0"/>
                </w:tcPr>
                <w:p>
                  <w:pPr>
                    <w:pStyle w:val="Para 02"/>
                    <w:keepLines w:val="on"/>
                  </w:pPr>
                  <w:r>
                    <w:t>Cổ phiếu ưu đãi</w:t>
                  </w:r>
                </w:p>
              </w:tc>
              <w:tc>
                <w:tcPr>
                  <w:tcW w:type="auto" w:w="0"/>
                  <w:shd w:val="clear" w:color="auto" w:fill="F0F0F0"/>
                </w:tcPr>
                <w:p>
                  <w:pPr>
                    <w:pStyle w:val="Normal"/>
                    <w:keepLines w:val="on"/>
                  </w:pPr>
                  <w:r>
                    <w:t>$2,319</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$2,319</w:t>
                  </w:r>
                </w:p>
              </w:tc>
            </w:tr>
            <w:tr>
              <w:tc>
                <w:tcPr>
                  <w:tcW w:type="auto" w:w="0"/>
                  <w:shd w:val="clear" w:color="auto" w:fill="F0F0F0"/>
                </w:tcPr>
                <w:p>
                  <w:pPr>
                    <w:pStyle w:val="Para 02"/>
                    <w:keepLines w:val="on"/>
                  </w:pPr>
                  <w:r>
                    <w:t>Các khoản đầu tư khác</w:t>
                  </w:r>
                </w:p>
              </w:tc>
              <w:tc>
                <w:tcPr>
                  <w:tcW w:type="auto" w:w="0"/>
                  <w:shd w:val="clear" w:color="auto" w:fill="F0F0F0"/>
                </w:tcPr>
                <w:p>
                  <w:pPr>
                    <w:pStyle w:val="Normal"/>
                    <w:keepLines w:val="on"/>
                  </w:pPr>
                  <w:r>
                    <w:t>$205</w:t>
                  </w:r>
                </w:p>
              </w:tc>
              <w:tc>
                <w:tcPr>
                  <w:tcW w:type="auto" w:w="0"/>
                  <w:shd w:val="clear" w:color="auto" w:fill="F0F0F0"/>
                </w:tcPr>
                <w:p>
                  <w:pPr>
                    <w:pStyle w:val="7 Block"/>
                    <w:keepLines w:val="on"/>
                  </w:pPr>
                </w:p>
              </w:tc>
              <w:tc>
                <w:tcPr>
                  <w:tcW w:type="auto" w:w="0"/>
                  <w:shd w:val="clear" w:color="auto" w:fill="F0F0F0"/>
                </w:tcPr>
                <w:p>
                  <w:pPr>
                    <w:pStyle w:val="Normal"/>
                    <w:keepLines w:val="on"/>
                  </w:pPr>
                  <w:r>
                    <w:t>$205</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Cổ phiếu và các khoản đầu tư khác</w:t>
                  </w:r>
                </w:p>
              </w:tc>
              <w:tc>
                <w:tcPr>
                  <w:tcW w:type="auto" w:w="0"/>
                  <w:shd w:val="clear" w:color="auto" w:fill="F0F0F0"/>
                </w:tcPr>
                <w:p>
                  <w:pPr>
                    <w:pStyle w:val="Normal"/>
                    <w:keepLines w:val="on"/>
                  </w:pPr>
                  <w:r>
                    <w:t>$14,745</w:t>
                  </w:r>
                </w:p>
              </w:tc>
              <w:tc>
                <w:tcPr>
                  <w:tcW w:type="auto" w:w="0"/>
                  <w:shd w:val="clear" w:color="auto" w:fill="F0F0F0"/>
                </w:tcPr>
                <w:p>
                  <w:pPr>
                    <w:pStyle w:val="Normal"/>
                    <w:keepLines w:val="on"/>
                  </w:pPr>
                  <w:r>
                    <w:t>5.707 đô la</w:t>
                  </w:r>
                </w:p>
              </w:tc>
              <w:tc>
                <w:tcPr>
                  <w:tcW w:type="auto" w:w="0"/>
                  <w:shd w:val="clear" w:color="auto" w:fill="F0F0F0"/>
                </w:tcPr>
                <w:p>
                  <w:pPr>
                    <w:pStyle w:val="Normal"/>
                    <w:keepLines w:val="on"/>
                  </w:pPr>
                  <w:r>
                    <w:t>−2.726 đô la</w:t>
                  </w:r>
                </w:p>
              </w:tc>
              <w:tc>
                <w:tcPr>
                  <w:tcW w:type="auto" w:w="0"/>
                  <w:shd w:val="clear" w:color="auto" w:fill="F0F0F0"/>
                </w:tcPr>
                <w:p>
                  <w:pPr>
                    <w:pStyle w:val="Normal"/>
                    <w:keepLines w:val="on"/>
                  </w:pPr>
                  <w:r>
                    <w:t>17.726 đô la</w:t>
                  </w:r>
                </w:p>
              </w:tc>
            </w:tr>
          </w:tbl>
          <w:p/>
        </w:tc>
      </w:tr>
    </w:tbl>
    <w:p>
      <w:pPr>
        <w:pStyle w:val="Para 04"/>
        <w:keepLines w:val="on"/>
      </w:pPr>
      <w:r>
        <w:t>Microsoft đã tạo ra một khoản lợi nhuận trên giấy gần 3 tỷ đô la so với chi phí gốc 14,745 tỷ đô la và báo cáo giá trị hiện tại là 17,726 tỷ đô la. Hầu hết các khoản đầu tư này được giao dịch trên thị trường và ghi nhận theo giá trị thị trường. Cách dễ nhất để xử lý những khoản đầu tư này là cộng giá trị thị trường vào giá trị tài sản hoạt động của Microsoft để ra được giá trị doanh nghiệp. Khoản biến động mạnh nhất là khoản đầu tư vào cổ phiếu phổ thông của các công ty khác. Giá trị của những khoản nắm giữ này gần như đã tăng gấp đôi, thể hiện qua cơ sở ghi nhận 9.773 triệu đô la. Liệu chúng ta có nên phản ánh điều này theo giá trị thị trường hiện tại khi định giá Microsoft không? Câu trả lời nói chung là có. Tuy nhiên, nếu những khoản đầu tư này bị định giá quá cao, bạn có nguy cơ đưa luôn mức định giá quá cao đó vào định giá của mình. Giải pháp thay thế là định giá từng cổ phiếu mà công ty đã đầu tư, nhưng việc này sẽ ngày càng cồng kềnh khi số lượng khoản nắm giữ cổ phiếu tăng lên.</w:t>
      </w:r>
    </w:p>
    <w:p>
      <w:pPr>
        <w:pStyle w:val="Para 04"/>
        <w:keepLines w:val="on"/>
      </w:pPr>
      <w:r>
        <w:t>Tóm lại, bạn sẽ cộng giá trị của cả các khoản đầu tư gần như tiền mặt trị giá 23,798 tỷ đô la lẫn các khoản đầu tư cổ phần trị giá 17,726 tỷ đô la vào giá trị tài sản hoạt động của Microsoft năm 2000.</w:t>
      </w:r>
    </w:p>
    <w:p>
      <w:pPr>
        <w:pStyle w:val="Para 04"/>
        <w:keepLines w:val="on"/>
      </w:pPr>
      <w:r>
        <w:t>Hơn một thập kỷ sau, vào năm 2011, Microsoft vẫn có số dư tiền mặt lớn, đầu tư vào một hỗn hợp gồm các khoản gần như tiền mặt và chứng khoán có thể bán được. Tuy nhiên, giá cổ phiếu và hiệu quả hoạt động của Microsoft lại kém hơn thị trường và ngành trong giai đoạn 2000–2010. Khi định giá Microsoft năm 2011, bạn có thể áp một mức chiết khấu cho khoản tiền mặt nắm giữ.</w:t>
      </w:r>
    </w:p>
    <w:p>
      <w:bookmarkStart w:id="3197" w:name="Premiums_or_Discounts_on_Marketa_1"/>
      <w:bookmarkStart w:id="3198" w:name="Premiums_or_Discounts_on_Marketa"/>
      <w:pPr>
        <w:keepNext/>
        <w:pStyle w:val="Heading 4"/>
        <w:keepLines w:val="on"/>
      </w:pPr>
      <w:r>
        <w:t>Phần bù hay Chiết khấu đối với Chứng khoán có thể bán được?</w:t>
      </w:r>
      <w:bookmarkEnd w:id="3197"/>
      <w:bookmarkEnd w:id="3198"/>
    </w:p>
    <w:p>
      <w:pPr>
        <w:pStyle w:val="Para 03"/>
      </w:pPr>
      <w:r>
        <w:t>Nói chung, bạn không nên áp phần bù hay chiết khấu cho chứng khoán có thể bán được, trừ khi bạn sẵn sàng định giá nội tại các công ty cơ sở. Tuy nhiên, có một ngoại lệ cho quy tắc này, liên quan đến những công ty lấy việc mua bán tài sản tài chính làm hoạt động kinh doanh. Đó là các quỹ tương hỗ đóng (closed-end mutual funds), với vài trăm quỹ niêm yết trên các sàn chứng khoán Mỹ, và các công ty đầu tư như Fidelity và T. Rowe Price. Quỹ tương hỗ đóng bán cổ phần cho nhà đầu tư và dùng số tiền đó để đầu tư vào tài sản tài chính. Số lượng cổ phần trong một quỹ tương hỗ đóng là cố định, còn giá cổ phần thì thay đổi. Vì các khoản đầu tư của quỹ tương hỗ đóng nằm trong chứng khoán giao dịch công khai, điều này đôi khi tạo ra hiện tượng giá trị thị trường của cổ phần trong quỹ tương hỗ đóng lớn hơn hoặc nhỏ hơn giá trị thị trường của chứng khoán mà quỹ sở hữu. Với những công ty này, có thể thích hợp để áp một mức chiết khấu hoặc phần bù cho chứng khoán có thể bán được nhằm phản ánh khả năng tạo ra lợi nhuận vượt trội từ những khoản đầu tư này.</w:t>
      </w:r>
    </w:p>
    <w:p>
      <w:pPr>
        <w:pStyle w:val="Para 03"/>
      </w:pPr>
      <w:r>
        <w:t>Một quỹ tương hỗ đóng liên tục tìm được tài sản bị định giá thấp và mang lại lợi nhuận cao hơn nhiều so với kỳ vọng (xét theo rủi ro) nên được định giá với phần bù trên giá trị chứng khoán có thể bán được của quỹ. Mức phần bù sẽ phụ thuộc vào lợi nhuận vượt trội lớn đến đâu, và bạn kỳ vọng công ty tiếp tục tạo ra những khoản lợi nhuận vượt trội này trong bao lâu. Ngược lại, một quỹ tương hỗ đóng mang lại lợi nhuận thấp hơn nhiều so với kỳ vọng nên được giao dịch với mức chiết khấu trên giá trị chứng khoán có thể bán được mà quỹ nắm giữ. Các cổ đông trong quỹ này rõ ràng sẽ khá hơn nếu quỹ được giải thể, nhưng đó có thể không phải là lựa chọn khả thi.</w:t>
      </w:r>
    </w:p>
    <w:p>
      <w:pPr>
        <w:pStyle w:val="Para 11"/>
      </w:pPr>
      <w:r>
        <w:t xml:space="preserve"> </w:t>
      </w:r>
    </w:p>
    <w:p>
      <w:bookmarkStart w:id="3200" w:name="ILLUSTRATION_16_5___Valuing_a_Cl"/>
      <w:bookmarkStart w:id="3201" w:name="ILLUSTRATION_16_5___Valuing_a_Cl_1"/>
      <w:pPr>
        <w:keepNext/>
        <w:pStyle w:val="Para 19"/>
        <w:keepLines w:val="on"/>
      </w:pPr>
      <w:r>
        <w:t>VÍ DỤ 16.5: Định giá một Quỹ tương hỗ đóng</w:t>
      </w:r>
      <w:bookmarkEnd w:id="3200"/>
      <w:bookmarkEnd w:id="3201"/>
    </w:p>
    <w:p>
      <w:pPr>
        <w:pStyle w:val="Para 04"/>
        <w:keepLines w:val="on"/>
      </w:pPr>
      <w:r>
        <w:t>Quỹ Rising Asia là một quỹ tương hỗ đóng với các khoản đầu tư vào cổ phiếu châu Á được giao dịch, trị giá 4 tỷ đô la theo giá thị trường hiện tại. Quỹ đã đạt lợi nhuận 13% trong 10 năm qua, nhưng dựa trên mức độ rủi ro của các khoản đầu tư và diễn biến của thị trường châu Á trong giai đoạn đó, lẽ ra quỹ phải đạt 15%. Nhìn về tương lai, lợi nhuận kỳ vọng của bạn cho thị trường châu Á là 12%, nhưng bạn dự đoán quỹ Rising Asia sẽ tiếp tục kém hơn thị trường 2%.</w:t>
      </w:r>
    </w:p>
    <w:p>
      <w:pPr>
        <w:pStyle w:val="Para 04"/>
        <w:keepLines w:val="on"/>
      </w:pPr>
      <w:r>
        <w:t>Để ước tính mức chiết khấu mà bạn kỳ vọng thấy ở quỹ, hãy bắt đầu bằng giả định rằng quỹ sẽ tiếp tục vĩnh viễn với mức lợi nhuận thấp hơn lợi nhuận của chỉ số thị trường 2%. Khi đó mức chiết khấu sẽ là:</w:t>
      </w:r>
    </w:p>
    <w:p>
      <w:bookmarkStart w:id="3203" w:name="Estimated_discount_Excess_return"/>
      <w:pPr>
        <w:keepNext/>
        <w:pStyle w:val="Para 07"/>
        <w:keepLines w:val="on"/>
      </w:pPr>
      <w:r>
        <w:t>Chiết khấu ước tính = Lợi nhuận vượt trội × Giá trị quỹ / Lợi nhuận kỳ vọng của thị trường = .10−.124.000/.12 = 667 triệu đô la</w:t>
      </w:r>
      <w:bookmarkEnd w:id="3203"/>
    </w:p>
    <w:p>
      <w:pPr>
        <w:pStyle w:val="Para 04"/>
        <w:keepLines w:val="on"/>
      </w:pPr>
      <w:r>
        <w:t>Theo tỷ lệ phần trăm, mức chiết khấu này chiếm 16,67% giá trị thị trường của các khoản đầu tư.</w:t>
      </w:r>
    </w:p>
    <w:p>
      <w:pPr>
        <w:pStyle w:val="Para 04"/>
        <w:keepLines w:val="on"/>
      </w:pPr>
      <w:r>
        <w:t>Nếu bạn giả định rằng quỹ sẽ hoặc bị giải thể hoặc bắt đầu đạt lợi nhuận kỳ vọng tại một thời điểm nào đó trong tương lai—chẳng hạn 10 năm nữa—thì mức chiết khấu kỳ vọng sẽ nhỏ hơn.</w:t>
      </w:r>
    </w:p>
    <w:p>
      <w:bookmarkStart w:id="3204" w:name="Holdings_in_Other_Firms__In_this"/>
      <w:bookmarkStart w:id="3205" w:name="Holdings_in_Other_Firms"/>
      <w:pPr>
        <w:keepNext/>
        <w:pStyle w:val="Heading 3"/>
        <w:keepLines w:val="on"/>
      </w:pPr>
      <w:r>
        <w:t>Các khoản Nắm giữ ở Công ty Khác</w:t>
      </w:r>
      <w:bookmarkEnd w:id="3204"/>
      <w:bookmarkEnd w:id="3205"/>
    </w:p>
    <w:p>
      <w:pPr>
        <w:pStyle w:val="Para 03"/>
      </w:pPr>
      <w:r>
        <w:t>Trong mục này, chúng ta xem xét một nhóm rộng hơn gồm các tài sản phi hoạt động, cụ thể là các khoản nắm giữ ở công ty khác, cả công khai lẫn tư nhân. Chúng ta bắt đầu bằng việc xem xét sự khác biệt trong cách hạch toán các khoản nắm giữ khác nhau và cách hạch toán này có thể ảnh hưởng thế nào đến cách chúng được báo cáo trong báo cáo tài chính.</w:t>
      </w:r>
    </w:p>
    <w:p>
      <w:bookmarkStart w:id="3206" w:name="Accounting_Treatment__The_way_in"/>
      <w:bookmarkStart w:id="3207" w:name="Accounting_Treatment"/>
      <w:pPr>
        <w:keepNext/>
        <w:pStyle w:val="Heading 4"/>
        <w:keepLines w:val="on"/>
      </w:pPr>
      <w:r>
        <w:t>Cách hạch toán</w:t>
      </w:r>
      <w:bookmarkEnd w:id="3206"/>
      <w:bookmarkEnd w:id="3207"/>
    </w:p>
    <w:p>
      <w:pPr>
        <w:pStyle w:val="Para 03"/>
      </w:pPr>
      <w:r>
        <w:t>Cách định giá những tài sản này phụ thuộc vào cách phân loại khoản đầu tư và động cơ đằng sau khoản đầu tư đó. Nói chung, một khoản đầu tư vào chứng khoán của công ty khác có thể được phân loại là khoản đầu tư thiểu số thụ động, khoản đầu tư thiểu số chủ động, hoặc khoản đầu tư đa số chủ động, và các quy tắc kế toán sẽ khác nhau tùy theo cách phân loại.</w:t>
      </w:r>
    </w:p>
    <w:p>
      <w:bookmarkStart w:id="3209" w:name="Minority_Passive_Investments__If_1"/>
      <w:pPr>
        <w:pStyle w:val="Para 21"/>
      </w:pPr>
      <w:r>
        <w:t>Các khoản Đầu tư Thiểu số Thụ động</w:t>
      </w:r>
      <w:bookmarkEnd w:id="3209"/>
    </w:p>
    <w:p>
      <w:pPr>
        <w:pStyle w:val="Para 03"/>
      </w:pPr>
      <w:r>
        <w:t>Nếu chứng khoán hoặc tài sản sở hữu ở công ty khác chiếm dưới 20 phần trăm tổng quyền sở hữu của công ty đó, khoản đầu tư được xem là khoản đầu tư thiểu số thụ động. Những khoản đầu tư này có giá trị mua vào, thể hiện số tiền công ty đã trả ban đầu cho chứng khoán, và thường có giá trị thị trường. Các nguyên tắc kế toán yêu cầu phân loại những tài sản này vào một trong ba nhóm—các khoản đầu tư sẽ nắm giữ đến ngày đáo hạn, các khoản đầu tư sẵn sàng để bán, và các khoản đầu tư giao dịch. Nguyên tắc định giá khác nhau cho từng nhóm.</w:t>
      </w:r>
    </w:p>
    <w:p>
      <w:pPr>
        <w:numPr>
          <w:ilvl w:val="0"/>
          <w:numId w:val="157"/>
        </w:numPr>
        <w:pStyle w:val="Para 01"/>
      </w:pPr>
      <w:r>
        <w:t>Đối với các khoản đầu tư sẽ nắm giữ đến ngày đáo hạn, việc định giá theo nguyên giá lịch sử hay giá trị sổ sách, và lãi hoặc cổ tức từ khoản đầu tư này được thể hiện trên báo cáo kết quả kinh doanh.</w:t>
      </w:r>
    </w:p>
    <w:p>
      <w:pPr>
        <w:numPr>
          <w:ilvl w:val="0"/>
          <w:numId w:val="157"/>
        </w:numPr>
        <w:pStyle w:val="Para 01"/>
      </w:pPr>
      <w:r>
        <w:t>Đối với các khoản đầu tư sẵn sàng để bán, việc định giá theo giá trị thị trường, nhưng lãi hoặc lỗ chưa thực hiện được thể hiện như một phần của vốn chủ sở hữu trên bảng cân đối kế toán chứ không phải trên báo cáo kết quả kinh doanh. Do đó, lỗ chưa thực hiện làm giảm giá trị sổ sách của vốn chủ sở hữu trong công ty, và lãi chưa thực hiện làm tăng giá trị sổ sách của vốn chủ sở hữu.</w:t>
      </w:r>
    </w:p>
    <w:p>
      <w:pPr>
        <w:numPr>
          <w:ilvl w:val="0"/>
          <w:numId w:val="157"/>
        </w:numPr>
        <w:pStyle w:val="Para 01"/>
      </w:pPr>
      <w:r>
        <w:t>Đối với các khoản đầu tư giao dịch, việc định giá theo giá trị thị trường, và lãi hoặc lỗ chưa thực hiện được thể hiện trên báo cáo kết quả kinh doanh.</w:t>
      </w:r>
    </w:p>
    <w:p>
      <w:pPr>
        <w:pStyle w:val="Para 03"/>
      </w:pPr>
      <w:r>
        <w:t>Các công ty được phép có một mức độ tùy ý trong cách phân loại khoản đầu tư và qua lựa chọn đó là cách định giá những tài sản này. Cách phân loại này đảm bảo rằng những công ty như ngân hàng đầu tư, với tài sản chủ yếu là chứng khoán nắm giữ ở công ty khác nhằm mục đích giao dịch, sẽ định giá lại phần lớn những tài sản này theo mức thị trường mỗi kỳ. Điều này được gọi là đánh giá theo thị trường (marking to market) và là một trong số ít trường hợp mà giá trị thị trường lấn át giá trị sổ sách trong các báo cáo kế toán.</w:t>
      </w:r>
    </w:p>
    <w:p>
      <w:bookmarkStart w:id="3211" w:name="Minority_Active_Investments__If_1"/>
      <w:pPr>
        <w:pStyle w:val="Para 21"/>
      </w:pPr>
      <w:r>
        <w:t>Đầu tư chủ động thiểu số (Minority Active Investments)</w:t>
      </w:r>
      <w:bookmarkEnd w:id="3211"/>
    </w:p>
    <w:p>
      <w:pPr>
        <w:pStyle w:val="Para 03"/>
      </w:pPr>
      <w:r>
        <w:t>Nếu chứng khoán hoặc tài sản sở hữu trong một công ty khác chiếm từ 20 phần trăm đến 50 phần trăm quyền sở hữu tổng thể của công ty đó, khoản đầu tư được coi là đầu tư chủ động thiểu số (minority active investment). Mặc dù những khoản đầu tư này có giá trị mua ban đầu, một phần tương ứng (dựa trên tỷ lệ sở hữu) trong thu nhập ròng và lỗ của công ty mà khoản đầu tư được thực hiện sẽ được dùng để điều chỉnh chi phí mua. Ngoài ra, cổ tức nhận được từ khoản đầu tư sẽ làm giảm chi phí mua. Cách tiếp cận để định giá các khoản đầu tư này được gọi là phương pháp vốn chủ sở hữu (equity approach).</w:t>
      </w:r>
    </w:p>
    <w:p>
      <w:pPr>
        <w:pStyle w:val="Para 03"/>
      </w:pPr>
      <w:r>
        <w:t>Giá trị thị trường của những khoản đầu tư này không được xem xét cho đến khi khoản đầu tư được thanh lý, tại thời điểm đó khoản lãi hoặc lỗ từ việc bán so với chi phí mua đã điều chỉnh sẽ được thể hiện như một phần trong thu nhập của kỳ đó.</w:t>
      </w:r>
    </w:p>
    <w:p>
      <w:bookmarkStart w:id="3213" w:name="Majority_Active_Investments__If_1"/>
      <w:pPr>
        <w:pStyle w:val="Para 21"/>
      </w:pPr>
      <w:r>
        <w:t>Đầu tư chủ động đa số (Majority-Active Investments)</w:t>
      </w:r>
      <w:bookmarkEnd w:id="3213"/>
    </w:p>
    <w:p>
      <w:pPr>
        <w:pStyle w:val="Para 03"/>
      </w:pPr>
      <w:r>
        <w:t>Nếu chứng khoán hoặc tài sản sở hữu trong một công ty khác chiếm hơn 50 phần trăm quyền sở hữu tổng thể của công ty đó, khoản đầu tư được coi là đầu tư chủ động đa số (majority-active investment).6 Trong trường hợp này, khoản đầu tư không còn được thể hiện như một khoản đầu tư tài chính nữa mà thay vào đó được thay thế bằng tài sản và nợ phải trả của công ty mà khoản đầu tư được thực hiện. Cách tiếp cận này dẫn đến việc hợp nhất bảng cân đối kế toán của hai công ty, trong đó tài sản và nợ phải trả của hai công ty được hợp nhất và trình bày như một bảng cân đối kế toán duy nhất. Phần sở hữu của công ty thuộc về các nhà đầu tư khác được thể hiện như lợi ích thiểu số (minority interest) ở phía nợ phải trả của bảng cân đối kế toán. Việc hợp nhất tương tự cũng diễn ra trong các báo cáo tài chính khác của công ty, với báo cáo lưu chuyển tiền tệ phản ánh dòng tiền vào và ra lũy kế của công ty hợp nhất. Điều này trái ngược với phương pháp vốn chủ sở hữu, được dùng cho các khoản đầu tư chủ động thiểu số, trong đó chỉ cổ tức nhận được từ khoản đầu tư mới được thể hiện như dòng tiền vào trong báo cáo lưu chuyển tiền tệ.</w:t>
      </w:r>
    </w:p>
    <w:p>
      <w:pPr>
        <w:pStyle w:val="Para 03"/>
      </w:pPr>
      <w:r>
        <w:t>Ở đây cũng vậy, giá trị thị trường của khoản đầu tư này không được xem xét cho đến khi phần sở hữu được thanh lý. Tại thời điểm đó, chênh lệch giữa giá thị trường và giá trị ròng của phần vốn chủ sở hữu trong công ty được coi là khoản lãi hoặc lỗ của kỳ đó.</w:t>
      </w:r>
    </w:p>
    <w:p>
      <w:bookmarkStart w:id="3217" w:name="Valuing_Cross_Holdings_in_Other_1"/>
      <w:bookmarkStart w:id="3218" w:name="Valuing_Cross_Holdings_in_Other"/>
      <w:pPr>
        <w:keepNext/>
        <w:pStyle w:val="Heading 4"/>
        <w:keepLines w:val="on"/>
      </w:pPr>
      <w:r>
        <w:t>Định giá các khoản sở hữu chéo trong các công ty khác (Valuing Cross Holdings in Other Firms)</w:t>
      </w:r>
      <w:bookmarkEnd w:id="3217"/>
      <w:bookmarkEnd w:id="3218"/>
    </w:p>
    <w:p>
      <w:pPr>
        <w:pStyle w:val="Para 03"/>
      </w:pPr>
      <w:r>
        <w:t>Vì các khoản sở hữu trong các công ty khác có thể được hạch toán theo ba cách khác nhau, bạn xử lý từng cách như thế nào trong định giá? Cách tốt nhất để xử lý từng cách đều giống nhau. Bạn sẽ định giá vốn chủ sở hữu trong từng khoản sở hữu một cách riêng biệt và ước tính giá trị của phần sở hữu tương ứng. Giá trị này sau đó sẽ được cộng vào giá trị vốn chủ sở hữu của công ty mẹ. Như vậy, để định giá một công ty có các khoản sở hữu thiểu số trong ba công ty khác, bạn sẽ định giá vốn chủ sở hữu trong từng công ty này, lấy tỷ lệ phần trăm sở hữu vốn chủ sở hữu trong mỗi công ty, rồi cộng vào giá trị vốn chủ sở hữu của công ty mẹ.</w:t>
      </w:r>
    </w:p>
    <w:p>
      <w:pPr>
        <w:pStyle w:val="Para 03"/>
      </w:pPr>
      <w:r>
        <w:t>Khi báo cáo thu nhập được hợp nhất, trước tiên bạn cần loại bỏ thu nhập, tài sản và nợ của công ty con khỏi báo cáo tài chính của công ty mẹ trước khi thực hiện bất kỳ bước nào đã nêu ở trên. Nếu không làm vậy, bạn sẽ tính trùng giá trị của công ty con.</w:t>
      </w:r>
    </w:p>
    <w:p>
      <w:pPr>
        <w:pStyle w:val="Para 03"/>
      </w:pPr>
      <w:r>
        <w:t>Bạn có thể thắc mắc, tại sao chúng ta không định giá công ty hợp nhất? Bạn có thể làm vậy, và trong một số trường hợp do thiếu thông tin, bạn có thể buộc phải làm vậy. Lý do chúng tôi đề xuất định giá riêng biệt là vì công ty mẹ và các công ty con của nó có thể có những đặc điểm rất khác nhau—chi phí vốn, tốc độ tăng trưởng và tỷ lệ tái đầu tư. Định giá công ty hợp nhất trong những hoàn cảnh này sẽ cho ra kết quả sai lệch. Còn một lý do nữa: Một khi bạn đã định giá công ty hợp nhất, bạn sẽ phải trừ đi phần vốn chủ sở hữu trong công ty con mà công ty mẹ không sở hữu. Nếu bạn không định giá công ty con một cách riêng biệt, thì không rõ bạn sẽ làm điều này như thế nào. Lưu ý rằng thông lệ thông thường là loại trừ lợi ích thiểu số không đạt được điều này, vì lợi ích thiểu số phản ánh giá trị sổ sách chứ không phải giá trị thị trường.</w:t>
      </w:r>
    </w:p>
    <w:p>
      <w:pPr>
        <w:pStyle w:val="Para 03"/>
      </w:pPr>
      <w:r>
        <w:t>Khi số lượng các khoản sở hữu của một công ty trở nên nhiều hơn, việc ước tính giá trị của các khoản sở hữu sẽ trở nên nặng nề hơn. Nếu các khoản sở hữu được giao dịch công khai, việc thay thế giá trị ước tính bằng giá trị thị trường của các khoản sở hữu là một giải pháp thay thế đáng để cân nhắc. Mặc dù bạn có nguy cơ đưa vào định giá của mình bất kỳ sai lầm nào mà thị trường có thể đang mắc phải khi định giá những khoản sở hữu này, cách tiếp cận này tiết kiệm thời gian hơn.</w:t>
      </w:r>
    </w:p>
    <w:p>
      <w:pPr>
        <w:pStyle w:val="Para 11"/>
      </w:pPr>
      <w:r>
        <w:t xml:space="preserve"> </w:t>
      </w:r>
    </w:p>
    <w:p>
      <w:bookmarkStart w:id="3219" w:name="Estimating_the_Value_of_Holdings"/>
      <w:bookmarkStart w:id="3220" w:name="Estimating_the_Value_of_Holdings_1"/>
      <w:pPr>
        <w:keepNext/>
        <w:pStyle w:val="Para 27"/>
        <w:keepLines w:val="on"/>
      </w:pPr>
      <w:r>
        <w:t>Ước tính giá trị các khoản sở hữu trong các công ty tư nhân (Estimating the Value of Holdings in Private Companies)</w:t>
      </w:r>
      <w:bookmarkEnd w:id="3219"/>
      <w:bookmarkEnd w:id="3220"/>
    </w:p>
    <w:p>
      <w:pPr>
        <w:pStyle w:val="Para 16"/>
        <w:keepLines w:val="on"/>
      </w:pPr>
      <w:r>
        <w:t>Khi một công ty đại chúng có khoản sở hữu chéo trong một công ty tư nhân, thường rất khó để có được thông tin về công ty tư nhân đó và định giá nó. Do đó, bạn có thể phải đưa ra ước tính tốt nhất của mình về giá trị của khoản sở hữu này dựa trên thông tin hạn chế mà bạn có. Một cách để làm điều này là ước tính bội số giá trị sổ sách mà các công ty trong cùng ngành kinh doanh (như doanh nghiệp tư nhân mà bạn có khoản sở hữu) thường được giao dịch, rồi áp dụng bội số này cho giá trị sổ sách của khoản sở hữu trong doanh nghiệp tư nhân. Ví dụ, giả sử bạn đang cố gắng ước tính giá trị các khoản sở hữu của một công ty dược phẩm trong năm công ty công nghệ sinh học tư nhân, và những khoản sở hữu này cộng lại có giá trị sổ sách là 50 triệu đô la. Nếu các công ty công nghệ sinh học thường được giao dịch ở mức 10 lần giá trị sổ sách, thì giá trị thị trường ước tính của những khoản sở hữu này sẽ là 500 triệu đô la.</w:t>
      </w:r>
    </w:p>
    <w:p>
      <w:pPr>
        <w:pStyle w:val="Para 16"/>
        <w:keepLines w:val="on"/>
      </w:pPr>
      <w:r>
        <w:t>Trên thực tế, cách tiếp cận này có thể được khái quát hóa để ước tính giá trị của các khoản sở hữu phức tạp, khi bạn thiếu thông tin để ước tính giá trị cho từng khoản sở hữu, hoặc có quá nhiều khoản sở hữu như vậy. Ví dụ, bạn có thể đang định giá một công ty Nhật Bản với hàng chục khoản sở hữu chéo. Bạn có thể ước tính giá trị cho các khoản sở hữu chéo bằng cách áp dụng một bội số giá trị sổ sách cho giá trị sổ sách lũy kế của chúng.</w:t>
      </w:r>
    </w:p>
    <w:p>
      <w:pPr>
        <w:pStyle w:val="Para 11"/>
      </w:pPr>
      <w:r>
        <w:t xml:space="preserve"> </w:t>
      </w:r>
    </w:p>
    <w:p>
      <w:bookmarkStart w:id="3222" w:name="ILLUSTRATION_16_6___Valuing_Hold"/>
      <w:bookmarkStart w:id="3223" w:name="ILLUSTRATION_16_6___Valuing_Hold_1"/>
      <w:pPr>
        <w:keepNext/>
        <w:pStyle w:val="Para 19"/>
        <w:keepLines w:val="on"/>
      </w:pPr>
      <w:r>
        <w:t>MINH HỌA 16.6: Định giá các khoản sở hữu trong các công ty khác</w:t>
      </w:r>
      <w:bookmarkEnd w:id="3222"/>
      <w:bookmarkEnd w:id="3223"/>
    </w:p>
    <w:p>
      <w:pPr>
        <w:pStyle w:val="Para 04"/>
        <w:keepLines w:val="on"/>
      </w:pPr>
      <w:r>
        <w:t>Segovia Entertainment hoạt động trong nhiều lĩnh vực kinh doanh giải trí khác nhau. Công ty báo cáo 300 triệu đô la thu nhập hoạt động (EBIT) trên vốn đầu tư là 1.500 triệu đô la trong năm hiện tại; tổng nợ chưa thanh toán là 500 triệu đô la. Một phần của thu nhập hoạt động (100 triệu đô la), vốn đầu tư (400 triệu đô la) và nợ chưa thanh toán (150 triệu đô la) đại diện cho các khoản sở hữu của Segovia trong Seville Television, một đơn vị sở hữu đài truyền hình. Segovia chỉ sở hữu 51% của Seville, nhưng báo cáo tài chính của Seville được hợp nhất hoàn toàn với báo cáo tài chính của Segovia.7 Ngoài ra, Segovia sở hữu 15% của LatinWorks, một công ty đĩa hát và CD. Những khoản sở hữu này đã được phân loại là đầu tư thụ động thiểu số (minority passive investments), và cổ tức từ các khoản đầu tư được thể hiện như một phần trong thu nhập ròng của Segovia nhưng không phải là một phần trong thu nhập hoạt động của nó. LatinWorks báo cáo thu nhập hoạt động là 80 triệu đô la trên vốn đầu tư là 250 triệu đô la trong năm hiện tại; công ty có 100 triệu đô la nợ chưa thanh toán. Chúng ta sẽ giả định như sau:</w:t>
      </w:r>
    </w:p>
    <w:p>
      <w:pPr>
        <w:numPr>
          <w:ilvl w:val="0"/>
          <w:numId w:val="158"/>
        </w:numPr>
        <w:pStyle w:val="Para 18"/>
        <w:keepLines w:val="on"/>
      </w:pPr>
      <w:r>
        <w:t>Chi phí vốn của Segovia Entertainment, không tính đến các khoản sở hữu của nó trong Seville hoặc LatinWorks, là 10%. Công ty đang trong giai đoạn tăng trưởng ổn định, với thu nhập hoạt động (một lần nữa không tính các khoản sở hữu) tăng trưởng 5% mỗi năm mãi mãi.</w:t>
      </w:r>
    </w:p>
    <w:p>
      <w:pPr>
        <w:numPr>
          <w:ilvl w:val="0"/>
          <w:numId w:val="158"/>
        </w:numPr>
        <w:pStyle w:val="Para 18"/>
        <w:keepLines w:val="on"/>
      </w:pPr>
      <w:r>
        <w:t>Seville Television có chi phí vốn là 9% và đang trong giai đoạn tăng trưởng ổn định, với thu nhập hoạt động tăng trưởng 5% mỗi năm mãi mãi.</w:t>
      </w:r>
    </w:p>
    <w:p>
      <w:pPr>
        <w:numPr>
          <w:ilvl w:val="0"/>
          <w:numId w:val="158"/>
        </w:numPr>
        <w:pStyle w:val="Para 18"/>
        <w:keepLines w:val="on"/>
      </w:pPr>
      <w:r>
        <w:t>LatinWorks có chi phí vốn là 12% và đang trong giai đoạn tăng trưởng ổn định, với thu nhập hoạt động tăng trưởng 4,5% mỗi năm mãi mãi.</w:t>
      </w:r>
    </w:p>
    <w:p>
      <w:pPr>
        <w:numPr>
          <w:ilvl w:val="0"/>
          <w:numId w:val="158"/>
        </w:numPr>
        <w:pStyle w:val="Para 18"/>
        <w:keepLines w:val="on"/>
      </w:pPr>
      <w:r>
        <w:t>Không công ty nào có số dư tiền mặt và chứng khoán thị trường đáng kể.</w:t>
      </w:r>
    </w:p>
    <w:p>
      <w:pPr>
        <w:numPr>
          <w:ilvl w:val="0"/>
          <w:numId w:val="158"/>
        </w:numPr>
        <w:pStyle w:val="Para 18"/>
        <w:keepLines w:val="on"/>
      </w:pPr>
      <w:r>
        <w:t>Thuế suất cho tất cả các công ty này là 40%.</w:t>
      </w:r>
    </w:p>
    <w:p>
      <w:pPr>
        <w:pStyle w:val="Para 04"/>
        <w:keepLines w:val="on"/>
      </w:pPr>
      <w:r>
        <w:t>Chúng ta có thể định giá Segovia Entertainment theo ba bước:</w:t>
      </w:r>
    </w:p>
    <w:p>
      <w:bookmarkStart w:id="3226" w:name="Step_1__Value_the_equity_in_the"/>
      <w:bookmarkStart w:id="3227" w:name="Step_1__Value_the_equity_in_the_1"/>
      <w:pPr>
        <w:keepNext/>
        <w:pStyle w:val="Para 36"/>
        <w:keepLines w:val="on"/>
      </w:pPr>
      <w:r>
        <w:t>Bước 1: Định giá vốn chủ sở hữu trong các tài sản hoạt động của Segovia mà không tính bất kỳ khoản sở hữu nào. Để làm điều này, trước tiên chúng ta phải loại bỏ phần hợp nhất khỏi thu nhập hoạt động:</w:t>
      </w:r>
      <w:bookmarkEnd w:id="3226"/>
      <w:bookmarkEnd w:id="3227"/>
    </w:p>
    <w:p>
      <w:pPr>
        <w:pStyle w:val="Para 04"/>
        <w:keepLines w:val="on"/>
      </w:pPr>
      <w:r>
        <w:t>Thu nhập hoạt động từ tài sản hoạt động của Segovia = Thu nhập hợp nhất – Thu nhập từ</w:t>
      </w:r>
    </w:p>
    <w:p>
      <w:pPr>
        <w:pStyle w:val="Para 04"/>
        <w:keepLines w:val="on"/>
      </w:pPr>
      <w:r>
        <w:t>Seville = 300 − 100 = 200 triệu đô la</w:t>
      </w:r>
    </w:p>
    <w:p>
      <w:pPr>
        <w:pStyle w:val="Para 04"/>
        <w:keepLines w:val="on"/>
      </w:pPr>
      <w:r>
        <w:t>Vốn đầu tư vào tài sản hoạt động của Segovia = Vốn hợp nhất − Vốn từ Seville</w:t>
      </w:r>
    </w:p>
    <w:p>
      <w:pPr>
        <w:pStyle w:val="Para 04"/>
        <w:keepLines w:val="on"/>
      </w:pPr>
      <w:r>
        <w:t>= 1.500 − 400 = 1.100 triệu đô la</w:t>
      </w:r>
    </w:p>
    <w:p>
      <w:pPr>
        <w:pStyle w:val="Para 04"/>
        <w:keepLines w:val="on"/>
      </w:pPr>
      <w:r>
        <w:t>Nợ trong tài sản hoạt động của Segovia = Nợ hợp nhất − Nợ từ Seville</w:t>
      </w:r>
    </w:p>
    <w:p>
      <w:pPr>
        <w:pStyle w:val="Para 04"/>
        <w:keepLines w:val="on"/>
      </w:pPr>
      <w:r>
        <w:t>= 500 − 150 = 350 triệu đô la</w:t>
      </w:r>
    </w:p>
    <w:p>
      <w:pPr>
        <w:pStyle w:val="Para 04"/>
        <w:keepLines w:val="on"/>
      </w:pPr>
      <w:r>
        <w:t>Lợi nhuận trên vốn đầu tư vào tài sản hoạt động của Segovia = 200(1 − .4)/1.100 = 10,91%</w:t>
      </w:r>
    </w:p>
    <w:p>
      <w:pPr>
        <w:pStyle w:val="Para 04"/>
        <w:keepLines w:val="on"/>
      </w:pPr>
      <w:r>
        <w:t>Tỷ lệ tái đầu tư = g/ROC = 5%/10,91% = 45,83%</w:t>
      </w:r>
    </w:p>
    <w:p>
      <w:pPr>
        <w:pStyle w:val="Para 59"/>
        <w:keepLines w:val="on"/>
      </w:pPr>
      <w:r>
        <w:rPr>
          <w:rStyle w:val="Text26"/>
        </w:rPr>
        <w:bookmarkStart w:id="3228" w:name="Page_495"/>
        <w:t/>
        <w:bookmarkEnd w:id="3228"/>
      </w:r>
      <w:r>
        <w:t xml:space="preserve"> </w:t>
      </w:r>
    </w:p>
    <w:p>
      <w:bookmarkStart w:id="3229" w:name="Value_of_Segovia_s_operating_ass"/>
      <w:pPr>
        <w:keepNext/>
        <w:pStyle w:val="Para 07"/>
        <w:keepLines w:val="on"/>
      </w:pPr>
      <w:r>
        <w:t>Giá trị tài sản hoạt động của Segovia=EBIT (1−t)(1+g)(1−Tỷ lệ tái đầu tư)(Chi phí vốn−Tỷ lệ tăng trưởng kỳ vọng)=200(1−.4)(1,05)(1−.4583)(.10−.05)=1.365 triệu đô la</w:t>
      </w:r>
      <w:bookmarkEnd w:id="3229"/>
    </w:p>
    <w:p>
      <w:pPr>
        <w:pStyle w:val="Para 04"/>
        <w:keepLines w:val="on"/>
      </w:pPr>
      <w:r>
        <w:t>Giá trị vốn chủ sở hữu trong tài sản hoạt động của Segovia = Giá trị tài sản hoạt động − Giá trị nợ của Segovia = 1.365 − 350 = 1.015 triệu đô la</w:t>
      </w:r>
    </w:p>
    <w:p>
      <w:bookmarkStart w:id="3230" w:name="Step_2__Value_the_51__of_equity_1"/>
      <w:bookmarkStart w:id="3231" w:name="Step_2__Value_the_51__of_equity"/>
      <w:pPr>
        <w:keepNext/>
        <w:pStyle w:val="Para 36"/>
        <w:keepLines w:val="on"/>
      </w:pPr>
      <w:r>
        <w:t>Bước 2: Định giá 51% vốn chủ sở hữu trong Seville Enterprises:</w:t>
      </w:r>
      <w:bookmarkEnd w:id="3230"/>
      <w:bookmarkEnd w:id="3231"/>
    </w:p>
    <w:p>
      <w:pPr>
        <w:pStyle w:val="Para 04"/>
        <w:keepLines w:val="on"/>
      </w:pPr>
      <w:r>
        <w:t>Thu nhập hoạt động từ tài sản hoạt động của Seville = 100 triệu đô la</w:t>
      </w:r>
    </w:p>
    <w:p>
      <w:pPr>
        <w:pStyle w:val="Para 04"/>
        <w:keepLines w:val="on"/>
      </w:pPr>
      <w:r>
        <w:t>Vốn đầu tư vào tài sản hoạt động của Seville = 400 triệu đô la</w:t>
      </w:r>
    </w:p>
    <w:p>
      <w:pPr>
        <w:pStyle w:val="Para 04"/>
        <w:keepLines w:val="on"/>
      </w:pPr>
      <w:r>
        <w:t>Nợ phải trả tại Seville = 150 triệu đô la</w:t>
      </w:r>
    </w:p>
    <w:p>
      <w:pPr>
        <w:pStyle w:val="Para 04"/>
        <w:keepLines w:val="on"/>
      </w:pPr>
      <w:r>
        <w:t>Lợi nhuận trên vốn đầu tư vào tài sản hoạt động của Seville = 100(1 − .4)/400 = 15%</w:t>
      </w:r>
    </w:p>
    <w:p>
      <w:pPr>
        <w:pStyle w:val="Para 04"/>
        <w:keepLines w:val="on"/>
      </w:pPr>
      <w:r>
        <w:t>Tỷ lệ tái đầu tư = g/ROC = 5%/15% = 33,33%</w:t>
      </w:r>
    </w:p>
    <w:p>
      <w:bookmarkStart w:id="3232" w:name="Value_of_Seville_s_operating_ass"/>
      <w:pPr>
        <w:keepNext/>
        <w:pStyle w:val="Para 07"/>
        <w:keepLines w:val="on"/>
      </w:pPr>
      <w:r>
        <w:t>Giá trị tài sản hoạt động của Seville=EBIT (1−t)(1+g)(1−Tỷ lệ tái đầu tư)(Chi phí vốn−Tỷ lệ tăng trưởng kỳ vọng)=100(1−.4)(1,05)(1−.3333)(.09−.05)=1.050 triệu đô la</w:t>
      </w:r>
      <w:bookmarkEnd w:id="3232"/>
    </w:p>
    <w:p>
      <w:pPr>
        <w:pStyle w:val="Para 04"/>
        <w:keepLines w:val="on"/>
      </w:pPr>
      <w:r>
        <w:t>Giá trị vốn chủ sở hữu trong tài sản hoạt động của Seville = Giá trị tài sản hoạt động − Giá trị nợ của Seville = 1.050 − 150 = 900 triệu đô la</w:t>
      </w:r>
    </w:p>
    <w:p>
      <w:bookmarkStart w:id="3233" w:name="Value_of_Segovia_s_stake_in_Sevi"/>
      <w:pPr>
        <w:keepNext/>
        <w:pStyle w:val="Para 07"/>
        <w:keepLines w:val="on"/>
      </w:pPr>
      <w:r>
        <w:t>Giá trị phần vốn góp của Segovia tại Seville=.51900=459 triệu đô la</w:t>
      </w:r>
      <w:bookmarkEnd w:id="3233"/>
    </w:p>
    <w:p>
      <w:bookmarkStart w:id="3234" w:name="Step_3__Value_the_15__stake_in_L_1"/>
      <w:bookmarkStart w:id="3235" w:name="Step_3__Value_the_15__stake_in_L"/>
      <w:pPr>
        <w:keepNext/>
        <w:pStyle w:val="Para 36"/>
        <w:keepLines w:val="on"/>
      </w:pPr>
      <w:r>
        <w:t>Bước 3: Định giá 15% cổ phần tại LatinWorks:</w:t>
      </w:r>
      <w:bookmarkEnd w:id="3234"/>
      <w:bookmarkEnd w:id="3235"/>
    </w:p>
    <w:p>
      <w:pPr>
        <w:pStyle w:val="Para 04"/>
        <w:keepLines w:val="on"/>
      </w:pPr>
      <w:r>
        <w:t>Thu nhập hoạt động từ tài sản hoạt động của LatinWorks = 75 triệu đô la</w:t>
      </w:r>
    </w:p>
    <w:p>
      <w:pPr>
        <w:pStyle w:val="Para 04"/>
        <w:keepLines w:val="on"/>
      </w:pPr>
      <w:r>
        <w:t>Vốn đầu tư vào tài sản hoạt động của LatinWorks = 250 triệu đô la</w:t>
      </w:r>
    </w:p>
    <w:p>
      <w:pPr>
        <w:pStyle w:val="Para 04"/>
        <w:keepLines w:val="on"/>
      </w:pPr>
      <w:r>
        <w:t>Lợi nhuận trên vốn đầu tư vào tài sản hoạt động của LatinWorks = 75(1 − .4)/250 = 18%</w:t>
      </w:r>
    </w:p>
    <w:p>
      <w:pPr>
        <w:pStyle w:val="Para 04"/>
        <w:keepLines w:val="on"/>
      </w:pPr>
      <w:r>
        <w:t>Tỷ lệ tái đầu tư = g/ROC = 4,5%/18% = 25%</w:t>
      </w:r>
    </w:p>
    <w:p>
      <w:bookmarkStart w:id="3236" w:name="Value_of_LatinWorks_operating_as"/>
      <w:pPr>
        <w:keepNext/>
        <w:pStyle w:val="Para 07"/>
        <w:keepLines w:val="on"/>
      </w:pPr>
      <w:r>
        <w:t>Giá trị tài sản hoạt động của LatinWorks=EBIT (1−t)(1+g)(1−Tỷ lệ tái đầu tư)(Chi phí vốn−Tỷ lệ tăng trưởng kỳ vọng)=75(1−.4)(1,045)(1−.25)(.12−.045)=470,25 triệu đô la</w:t>
      </w:r>
      <w:bookmarkEnd w:id="3236"/>
    </w:p>
    <w:p>
      <w:pPr>
        <w:pStyle w:val="Para 04"/>
        <w:keepLines w:val="on"/>
      </w:pPr>
      <w:r>
        <w:t>Giá trị vốn chủ sở hữu của LatinWorks = Giá trị tài sản hoạt động của LatinWorks − Giá trị nợ của LatinWorks = 470,25 triệu đô la − 100 triệu đô la = 370,25 triệu đô la</w:t>
      </w:r>
    </w:p>
    <w:p>
      <w:pPr>
        <w:keepNext/>
        <w:pStyle w:val="Para 07"/>
        <w:keepLines w:val="on"/>
      </w:pPr>
      <w:r>
        <w:t>Giá trị phần vốn góp của Segovia tại LatinWorks =.15(370,25)=55 triệu đô la</w:t>
      </w:r>
    </w:p>
    <w:p>
      <w:pPr>
        <w:pStyle w:val="Para 04"/>
        <w:keepLines w:val="on"/>
      </w:pPr>
      <w:r>
        <w:t>Giá trị của Segovia với tư cách là một công ty giờ đây có thể được tính toán (giả sử rằng nó không có số dư tiền mặt):</w:t>
      </w:r>
    </w:p>
    <w:p>
      <w:bookmarkStart w:id="3237" w:name="Value_of_equity_in_Segovia_Value"/>
      <w:pPr>
        <w:keepNext/>
        <w:pStyle w:val="Para 07"/>
        <w:keepLines w:val="on"/>
      </w:pPr>
      <w:r>
        <w:t>Giá trị vốn chủ sở hữu của Segovia = Giá trị vốn chủ sở hữu của Segovia + 51% vốn chủ sở hữu của Seville + 15% vốn chủ sở hữu của LatinWorks = 1.015 + 459 + 55 = 1.529 triệu đô la</w:t>
      </w:r>
      <w:bookmarkEnd w:id="3237"/>
    </w:p>
    <w:p>
      <w:pPr>
        <w:pStyle w:val="Para 04"/>
        <w:keepLines w:val="on"/>
      </w:pPr>
      <w:r>
        <w:t>Theo quan điểm của chúng tôi, đây là ước tính tốt nhất về giá trị vốn chủ sở hữu của Segovia, ít nhất là xét về mặt giá trị nội tại.</w:t>
      </w:r>
    </w:p>
    <w:p>
      <w:pPr>
        <w:pStyle w:val="Para 04"/>
        <w:keepLines w:val="on"/>
      </w:pPr>
      <w:r>
        <w:t>Để tạo sự tương phản, hãy xem điều gì sẽ xảy ra nếu chúng ta sử dụng báo cáo thu nhập hợp nhất và chi phí vốn của Segovia để thực hiện định giá này, đồng thời sử dụng giá trị sổ sách của lợi ích cổ đông thiểu số và khoản nắm giữ thiểu số để điều chỉnh giá trị. Chúng ta sẽ định giá Segovia và Seville cùng nhau như sau:</w:t>
      </w:r>
    </w:p>
    <w:p>
      <w:pPr>
        <w:pStyle w:val="Para 04"/>
        <w:keepLines w:val="on"/>
      </w:pPr>
      <w:r>
        <w:t>Thu nhập hoạt động từ tài sản hợp nhất của Segovia = 300 triệu đô la</w:t>
      </w:r>
    </w:p>
    <w:p>
      <w:pPr>
        <w:pStyle w:val="Para 04"/>
        <w:keepLines w:val="on"/>
      </w:pPr>
      <w:r>
        <w:t>Vốn đầu tư vào tài sản hợp nhất của Segovia = 1.500 triệu đô la</w:t>
      </w:r>
    </w:p>
    <w:p>
      <w:pPr>
        <w:pStyle w:val="Para 04"/>
        <w:keepLines w:val="on"/>
      </w:pPr>
      <w:r>
        <w:t>Nợ hợp nhất = 500 triệu đô la</w:t>
      </w:r>
    </w:p>
    <w:p>
      <w:pPr>
        <w:pStyle w:val="Para 04"/>
        <w:keepLines w:val="on"/>
      </w:pPr>
      <w:r>
        <w:t>Tỷ suất sinh lợi trên vốn đầu tư vào tài sản hoạt động của Segovia = 300(1 − .4)/1.500 = 12%</w:t>
      </w:r>
    </w:p>
    <w:p>
      <w:pPr>
        <w:pStyle w:val="Para 04"/>
        <w:keepLines w:val="on"/>
      </w:pPr>
      <w:r>
        <w:t>Tỷ lệ tái đầu tư = g/ROC = 5%/12% = 41,67%</w:t>
      </w:r>
    </w:p>
    <w:p>
      <w:bookmarkStart w:id="3239" w:name="Value_of_Segovia_sconsolidated_o"/>
      <w:pPr>
        <w:keepNext/>
        <w:pStyle w:val="Para 07"/>
        <w:keepLines w:val="on"/>
      </w:pPr>
      <w:r>
        <w:t>Giá trị tài sản hoạt động hợp nhất của Segovia=EBIT(1−t)(1+g)(1−Tỷ lệ tái đầu tư)(Chi phí vốn−Tỷ lệ tăng trưởng kỳ vọng)=300(1−.4)(1,05)(1−.4167)(.10−.05)=2.205 triệu đô la.</w:t>
      </w:r>
      <w:bookmarkEnd w:id="3239"/>
    </w:p>
    <w:p>
      <w:pPr>
        <w:pStyle w:val="Para 04"/>
        <w:keepLines w:val="on"/>
      </w:pPr>
      <w:r>
        <w:t>Giá trị vốn chủ sở hữu của Segovia = Giá trị tài sản hoạt động hợp nhất − Nợ hợp nhất − Lợi ích cổ đông thiểu số trong Seville + Khoản nắm giữ thiểu số trong LatinWorks = 2.205 − 500 − 122,5 + 22,5 = 1.605 triệu đô la</w:t>
      </w:r>
    </w:p>
    <w:p>
      <w:pPr>
        <w:pStyle w:val="Para 04"/>
        <w:keepLines w:val="on"/>
      </w:pPr>
      <w:r>
        <w:t>Lưu ý rằng lợi ích cổ đông thiểu số trong Seville được tính bằng 49% giá trị sổ sách của vốn chủ sở hữu tại Seville.</w:t>
      </w:r>
    </w:p>
    <w:p>
      <w:bookmarkStart w:id="3240" w:name="Book_value_of_equity_in_Seville"/>
      <w:pPr>
        <w:keepNext/>
        <w:pStyle w:val="Para 07"/>
        <w:keepLines w:val="on"/>
      </w:pPr>
      <w:r>
        <w:t>Giá trị sổ sách của vốn chủ sở hữu tại Seville=Vốn đầu tư vào Seville−Nợ của Seville=400−150=250 triệu đô la</w:t>
      </w:r>
      <w:bookmarkEnd w:id="3240"/>
    </w:p>
    <w:p>
      <w:bookmarkStart w:id="3241" w:name="Minority_interest_value__1_Paren"/>
      <w:pPr>
        <w:keepNext/>
        <w:pStyle w:val="Para 07"/>
        <w:keepLines w:val="on"/>
      </w:pPr>
      <w:r>
        <w:t>Giá trị lợi ích cổ đông thiểu số=(1−Tỷ lệ nắm giữ của công ty mẹ)×Giá trị sổ sách của vốn chủ sở hữu=(1−.51)×250=122,5 triệu đô la</w:t>
      </w:r>
      <w:bookmarkEnd w:id="3241"/>
    </w:p>
    <w:p>
      <w:pPr>
        <w:pStyle w:val="Para 04"/>
        <w:keepLines w:val="on"/>
      </w:pPr>
      <w:r>
        <w:t>Các khoản nắm giữ thiểu số trong LatinWorks được tính bằng 15% giá trị sổ sách của vốn chủ sở hữu tại LatinWorks, tức là 250 triệu đô la (vốn đầu tư trừ đi nợ chưa thanh toán). Sẽ là hoàn toàn ngẫu nhiên nếu giá trị này bằng với giá trị thực của vốn chủ sở hữu, như ước tính ban đầu, là 1.529 triệu đô la.</w:t>
      </w:r>
    </w:p>
    <w:p>
      <w:pPr>
        <w:pStyle w:val="Para 04"/>
        <w:keepLines w:val="on"/>
      </w:pPr>
      <w:r>
        <w:t>Có một cách tiếp cận trung gian, trong đó bạn có thể bắt đầu với giá trị công ty hợp nhất (2.205 triệu đô la), và kết hợp giá trị thị trường (thay vì giá trị sổ sách) của vốn chủ sở hữu trong các lợi ích cổ đông thiểu số và khoản nắm giữ thiểu số đã tính trước đó, để đi đến giá trị vốn chủ sở hữu của Segovia:</w:t>
      </w:r>
    </w:p>
    <w:p>
      <w:bookmarkStart w:id="3242" w:name="Value_of_equity_in_Segovia__usin"/>
      <w:pPr>
        <w:keepNext/>
        <w:pStyle w:val="Para 07"/>
        <w:keepLines w:val="on"/>
      </w:pPr>
      <w:r>
        <w:t>Giá trị vốn chủ sở hữu của Segovia (sử dụng giá trị thị trường) = Giá trị tài sản hoạt động hợp nhất − Nợ hợp nhất − Giá trị thị trường của lợi ích cổ đông thiểu số trong Seville + Giá trị thị trường của khoản nắm giữ thiểu số trong LatinWorks = 2.205−500−.49(900)+.15(370,25)=1.320 triệu đô la</w:t>
      </w:r>
      <w:bookmarkEnd w:id="3242"/>
    </w:p>
    <w:p>
      <w:pPr>
        <w:pStyle w:val="Para 04"/>
        <w:keepLines w:val="on"/>
      </w:pPr>
      <w:r>
        <w:t>Sự khác biệt giữa giá trị này và giá trị được ước tính trước đó, sử dụng định giá độc lập của ba công ty, đến từ sự khác biệt về chi phí vốn và tăng trưởng kỳ vọng giữa các công ty này.</w:t>
      </w:r>
    </w:p>
    <w:p>
      <w:pPr>
        <w:pStyle w:val="Para 04"/>
        <w:keepLines w:val="on"/>
      </w:pPr>
      <w:r>
        <w:t>Bạn có thể thấy từ phần thảo luận rằng bạn cần một lượng thông tin đáng kể để định giá các khoản nắm giữ một cách chính xác. Thông tin này có thể khó có được khi các khoản nắm giữ thuộc về các công ty tư nhân.</w:t>
      </w:r>
    </w:p>
    <w:p>
      <w:pPr>
        <w:pStyle w:val="Para 11"/>
      </w:pPr>
      <w:r>
        <w:t xml:space="preserve"> </w:t>
      </w:r>
    </w:p>
    <w:p>
      <w:bookmarkStart w:id="3243" w:name="ILLUSTRATION_16_7___Valuing_Cros_1"/>
      <w:bookmarkStart w:id="3244" w:name="ILLUSTRATION_16_7___Valuing_Cros"/>
      <w:pPr>
        <w:keepNext/>
        <w:pStyle w:val="Para 19"/>
        <w:keepLines w:val="on"/>
      </w:pPr>
      <w:r>
        <w:t>MINH HỌA 16.7: Định giá các khoản nắm giữ chéo—Những lo ngại trong thực tế</w:t>
      </w:r>
      <w:bookmarkEnd w:id="3243"/>
      <w:bookmarkEnd w:id="3244"/>
    </w:p>
    <w:p>
      <w:pPr>
        <w:pStyle w:val="Para 04"/>
        <w:keepLines w:val="on"/>
      </w:pPr>
      <w:r>
        <w:t>Trong Minh họa 16.6, chúng ta đã có thể định giá từng khoản nắm giữ chéo một cách riêng biệt vì chúng ta có thể truy cập thông tin về từng công ty con. Điều đó có thể không phải lúc nào cũng khả thi hoặc thực tế trong thế giới thực. Để minh họa, chúng ta sẽ sử dụng hai ví dụ: Hyundai Heavy, một nhà đóng tàu Hàn Quốc, vào tháng 5 năm 2008, và Tata Motors vào tháng 5 năm 2010.</w:t>
      </w:r>
    </w:p>
    <w:p>
      <w:pPr>
        <w:pStyle w:val="Para 04"/>
        <w:keepLines w:val="on"/>
      </w:pPr>
      <w:r>
        <w:t>Hyundai Heavy, một phần của Tập đoàn Hyundai tại Hàn Quốc, có các khoản nắm giữ chéo trong bảy công ty khác thuộc Tập đoàn Hyundai, bốn trong số đó được giao dịch công khai và ba trong số đó thuộc sở hữu tư nhân. Công ty đã báo cáo giá trị sổ sách của các khoản nắm giữ trong các công ty con này trong báo cáo tài chính cho năm 2007 trong Bảng 16.3:</w:t>
      </w:r>
    </w:p>
    <w:p>
      <w:pPr>
        <w:pStyle w:val="Para 25"/>
        <w:keepLines w:val="on"/>
      </w:pPr>
      <w:r>
        <w:t>Bảng 16.3</w:t>
      </w:r>
    </w:p>
    <w:p>
      <w:pPr>
        <w:keepNext/>
        <w:pStyle w:val="Para 24"/>
        <w:keepLines w:val="on"/>
      </w:pPr>
      <w:r>
        <w:t>Các khoản nắm giữ chéo của Hyundai Heavy</w:t>
      </w:r>
    </w:p>
    <w:tbl>
      <w:tblPr>
        <w:tblW w:type="auto" w:w="0"/>
      </w:tblPr>
      <w:tr>
        <w:tc>
          <w:tcPr>
            <w:tcW w:type="auto" w:w="0"/>
          </w:tcPr>
          <w:tbl>
            <w:tblPr>
              <w:tblW w:type="auto" w:w="0"/>
            </w:tblPr>
            <w:tr>
              <w:tc>
                <w:tcPr>
                  <w:tcW w:type="auto" w:w="0"/>
                  <w:shd w:val="clear" w:color="auto" w:fill="F0F0F0"/>
                </w:tcPr>
                <w:p>
                  <w:pPr>
                    <w:pStyle w:val="Para 32"/>
                    <w:keepLines w:val="on"/>
                  </w:pPr>
                  <w:r>
                    <w:t>Khoản nắm giữ chéo</w:t>
                  </w:r>
                </w:p>
              </w:tc>
              <w:tc>
                <w:tcPr>
                  <w:tcW w:type="auto" w:w="0"/>
                  <w:shd w:val="clear" w:color="auto" w:fill="F0F0F0"/>
                </w:tcPr>
                <w:p>
                  <w:pPr>
                    <w:pStyle w:val="Para 05"/>
                    <w:keepLines w:val="on"/>
                  </w:pPr>
                  <w:r>
                    <w:t>Giá trị sổ sách (tính bằng tỷ won)</w:t>
                  </w:r>
                </w:p>
              </w:tc>
            </w:tr>
            <w:tr>
              <w:tc>
                <w:tcPr>
                  <w:tcW w:type="auto" w:w="0"/>
                  <w:shd w:val="clear" w:color="auto" w:fill="F0F0F0"/>
                </w:tcPr>
                <w:p>
                  <w:pPr>
                    <w:pStyle w:val="Para 02"/>
                    <w:keepLines w:val="on"/>
                  </w:pPr>
                  <w:r>
                    <w:t>Hyundai Merchant Marine</w:t>
                  </w:r>
                </w:p>
              </w:tc>
              <w:tc>
                <w:tcPr>
                  <w:tcW w:type="auto" w:w="0"/>
                  <w:shd w:val="clear" w:color="auto" w:fill="F0F0F0"/>
                </w:tcPr>
                <w:p>
                  <w:pPr>
                    <w:pStyle w:val="Normal"/>
                    <w:keepLines w:val="on"/>
                  </w:pPr>
                  <w:r>
                    <w:t>380,00</w:t>
                  </w:r>
                </w:p>
              </w:tc>
            </w:tr>
            <w:tr>
              <w:tc>
                <w:tcPr>
                  <w:tcW w:type="auto" w:w="0"/>
                  <w:shd w:val="clear" w:color="auto" w:fill="F0F0F0"/>
                </w:tcPr>
                <w:p>
                  <w:pPr>
                    <w:pStyle w:val="Para 02"/>
                    <w:keepLines w:val="on"/>
                  </w:pPr>
                  <w:r>
                    <w:t>Hyundai Motors</w:t>
                  </w:r>
                </w:p>
              </w:tc>
              <w:tc>
                <w:tcPr>
                  <w:tcW w:type="auto" w:w="0"/>
                  <w:shd w:val="clear" w:color="auto" w:fill="F0F0F0"/>
                </w:tcPr>
                <w:p>
                  <w:pPr>
                    <w:pStyle w:val="Normal"/>
                    <w:keepLines w:val="on"/>
                  </w:pPr>
                  <w:r>
                    <w:t>355,00</w:t>
                  </w:r>
                </w:p>
              </w:tc>
            </w:tr>
            <w:tr>
              <w:tc>
                <w:tcPr>
                  <w:tcW w:type="auto" w:w="0"/>
                  <w:shd w:val="clear" w:color="auto" w:fill="F0F0F0"/>
                </w:tcPr>
                <w:p>
                  <w:pPr>
                    <w:pStyle w:val="Para 02"/>
                    <w:keepLines w:val="on"/>
                  </w:pPr>
                  <w:r>
                    <w:t>Hyundai Elevator</w:t>
                  </w:r>
                </w:p>
              </w:tc>
              <w:tc>
                <w:tcPr>
                  <w:tcW w:type="auto" w:w="0"/>
                  <w:shd w:val="clear" w:color="auto" w:fill="F0F0F0"/>
                </w:tcPr>
                <w:p>
                  <w:pPr>
                    <w:pStyle w:val="Normal"/>
                    <w:keepLines w:val="on"/>
                  </w:pPr>
                  <w:r>
                    <w:t>9,20</w:t>
                  </w:r>
                </w:p>
              </w:tc>
            </w:tr>
            <w:tr>
              <w:tc>
                <w:tcPr>
                  <w:tcW w:type="auto" w:w="0"/>
                  <w:shd w:val="clear" w:color="auto" w:fill="F0F0F0"/>
                </w:tcPr>
                <w:p>
                  <w:pPr>
                    <w:pStyle w:val="Para 02"/>
                    <w:keepLines w:val="on"/>
                  </w:pPr>
                  <w:r>
                    <w:t>Hyundai Corp</w:t>
                  </w:r>
                </w:p>
              </w:tc>
              <w:tc>
                <w:tcPr>
                  <w:tcW w:type="auto" w:w="0"/>
                  <w:shd w:val="clear" w:color="auto" w:fill="F0F0F0"/>
                </w:tcPr>
                <w:p>
                  <w:pPr>
                    <w:pStyle w:val="Normal"/>
                    <w:keepLines w:val="on"/>
                  </w:pPr>
                  <w:r>
                    <w:t>2,00</w:t>
                  </w:r>
                </w:p>
              </w:tc>
            </w:tr>
            <w:tr>
              <w:tc>
                <w:tcPr>
                  <w:tcW w:type="auto" w:w="0"/>
                  <w:shd w:val="clear" w:color="auto" w:fill="F0F0F0"/>
                </w:tcPr>
                <w:p>
                  <w:pPr>
                    <w:pStyle w:val="Para 02"/>
                    <w:keepLines w:val="on"/>
                  </w:pPr>
                  <w:r>
                    <w:t>Hyundai Oil Bank</w:t>
                  </w:r>
                </w:p>
              </w:tc>
              <w:tc>
                <w:tcPr>
                  <w:tcW w:type="auto" w:w="0"/>
                  <w:shd w:val="clear" w:color="auto" w:fill="F0F0F0"/>
                </w:tcPr>
                <w:p>
                  <w:pPr>
                    <w:pStyle w:val="Normal"/>
                    <w:keepLines w:val="on"/>
                  </w:pPr>
                  <w:r>
                    <w:t>329,80</w:t>
                  </w:r>
                </w:p>
              </w:tc>
            </w:tr>
            <w:tr>
              <w:tc>
                <w:tcPr>
                  <w:tcW w:type="auto" w:w="0"/>
                  <w:shd w:val="clear" w:color="auto" w:fill="F0F0F0"/>
                </w:tcPr>
                <w:p>
                  <w:pPr>
                    <w:pStyle w:val="Para 02"/>
                    <w:keepLines w:val="on"/>
                  </w:pPr>
                  <w:r>
                    <w:t>Hyundai Samho</w:t>
                  </w:r>
                </w:p>
              </w:tc>
              <w:tc>
                <w:tcPr>
                  <w:tcW w:type="auto" w:w="0"/>
                  <w:shd w:val="clear" w:color="auto" w:fill="F0F0F0"/>
                </w:tcPr>
                <w:p>
                  <w:pPr>
                    <w:pStyle w:val="Normal"/>
                    <w:keepLines w:val="on"/>
                  </w:pPr>
                  <w:r>
                    <w:t>1.068,50</w:t>
                  </w:r>
                </w:p>
              </w:tc>
            </w:tr>
            <w:tr>
              <w:tc>
                <w:tcPr>
                  <w:tcW w:type="auto" w:w="0"/>
                  <w:shd w:val="clear" w:color="auto" w:fill="F0F0F0"/>
                </w:tcPr>
                <w:p>
                  <w:pPr>
                    <w:pStyle w:val="Para 02"/>
                    <w:keepLines w:val="on"/>
                  </w:pPr>
                  <w:r>
                    <w:t>Hyundai Finance</w:t>
                  </w:r>
                </w:p>
              </w:tc>
              <w:tc>
                <w:tcPr>
                  <w:tcW w:type="auto" w:w="0"/>
                  <w:shd w:val="clear" w:color="auto" w:fill="F0F0F0"/>
                </w:tcPr>
                <w:p>
                  <w:pPr>
                    <w:pStyle w:val="Normal"/>
                    <w:keepLines w:val="on"/>
                  </w:pPr>
                  <w:r>
                    <w:t>88,20</w:t>
                  </w:r>
                </w:p>
              </w:tc>
            </w:tr>
            <w:tr>
              <w:tc>
                <w:tcPr>
                  <w:tcW w:type="auto" w:w="0"/>
                  <w:shd w:val="clear" w:color="auto" w:fill="F0F0F0"/>
                </w:tcPr>
                <w:p>
                  <w:pPr>
                    <w:pStyle w:val="Para 02"/>
                    <w:keepLines w:val="on"/>
                  </w:pPr>
                  <w:r>
                    <w:t>Giá trị của các khoản sở hữu chéo</w:t>
                  </w:r>
                </w:p>
              </w:tc>
              <w:tc>
                <w:tcPr>
                  <w:tcW w:type="auto" w:w="0"/>
                  <w:shd w:val="clear" w:color="auto" w:fill="F0F0F0"/>
                </w:tcPr>
                <w:p>
                  <w:pPr>
                    <w:pStyle w:val="Normal"/>
                    <w:keepLines w:val="on"/>
                  </w:pPr>
                  <w:r>
                    <w:t>2.232,70</w:t>
                  </w:r>
                </w:p>
              </w:tc>
            </w:tr>
          </w:tbl>
          <w:p/>
        </w:tc>
      </w:tr>
    </w:tbl>
    <w:p>
      <w:pPr>
        <w:pStyle w:val="Para 04"/>
        <w:keepLines w:val="on"/>
      </w:pPr>
      <w:r>
        <w:t>Để ước tính giá trị thị trường của những khoản sở hữu này, chúng ta dùng hai cách tiếp cận. Với bốn công ty niêm yết công khai, chúng ta dùng giá trị thị trường của các công ty vào tháng 5 năm 2008 để ước tính giá trị của các khoản sở hữu. Với ba doanh nghiệp tư nhân, chúng ta dùng tỷ lệ giá trên giá trị sổ sách (price-to-book ratio) mà các công ty Hàn Quốc niêm yết công khai trong cùng ngành đang giao dịch để ước tính giá trị thị trường trong Bảng 16.4:</w:t>
      </w:r>
    </w:p>
    <w:p>
      <w:pPr>
        <w:pStyle w:val="Para 25"/>
        <w:keepLines w:val="on"/>
      </w:pPr>
      <w:r>
        <w:t>Bảng 16.4</w:t>
      </w:r>
    </w:p>
    <w:p>
      <w:pPr>
        <w:keepNext/>
        <w:pStyle w:val="Para 24"/>
        <w:keepLines w:val="on"/>
      </w:pPr>
      <w:r>
        <w:t>Định giá các khoản sở hữu chéo của Hyundai Heavy</w:t>
      </w:r>
    </w:p>
    <w:tbl>
      <w:tblPr>
        <w:tblW w:type="auto" w:w="0"/>
      </w:tblPr>
      <w:tr>
        <w:tc>
          <w:tcPr>
            <w:tcW w:type="auto" w:w="0"/>
          </w:tcPr>
          <w:tbl>
            <w:tblPr>
              <w:tblW w:type="auto" w:w="0"/>
            </w:tblPr>
            <w:tr>
              <w:tc>
                <w:tcPr>
                  <w:tcW w:type="auto" w:w="0"/>
                  <w:shd w:val="clear" w:color="auto" w:fill="F0F0F0"/>
                  <w:hMerge w:val="restart"/>
                </w:tcPr>
                <w:p>
                  <w:pPr>
                    <w:pStyle w:val="Para 05"/>
                    <w:keepLines w:val="on"/>
                  </w:pPr>
                  <w:r>
                    <w:t>Các khoản sở hữu chéo niêm yết công khai</w:t>
                  </w:r>
                </w:p>
              </w:tc>
              <w:tc>
                <w:tcPr>
                  <w:hMerge w:val="continue"/>
                </w:tcPr>
                <w:p/>
              </w:tc>
              <w:tc>
                <w:tcPr>
                  <w:hMerge w:val="continue"/>
                </w:tcPr>
                <w:p/>
              </w:tc>
              <w:tc>
                <w:tcPr>
                  <w:hMerge w:val="continue"/>
                </w:tcPr>
                <w:p/>
              </w:tc>
            </w:tr>
            <w:tr>
              <w:tc>
                <w:tcPr>
                  <w:tcW w:type="auto" w:w="0"/>
                  <w:shd w:val="clear" w:color="auto" w:fill="F0F0F0"/>
                </w:tcPr>
                <w:p>
                  <w:pPr>
                    <w:pStyle w:val="Para 02"/>
                    <w:keepLines w:val="on"/>
                  </w:pPr>
                  <w:r>
                    <w:t>Khoản sở hữu chéo</w:t>
                  </w:r>
                </w:p>
              </w:tc>
              <w:tc>
                <w:tcPr>
                  <w:tcW w:type="auto" w:w="0"/>
                  <w:shd w:val="clear" w:color="auto" w:fill="F0F0F0"/>
                </w:tcPr>
                <w:p>
                  <w:pPr>
                    <w:pStyle w:val="Normal"/>
                    <w:keepLines w:val="on"/>
                  </w:pPr>
                  <w:r>
                    <w:t>% cổ phần nắm giữ</w:t>
                  </w:r>
                </w:p>
              </w:tc>
              <w:tc>
                <w:tcPr>
                  <w:tcW w:type="auto" w:w="0"/>
                  <w:shd w:val="clear" w:color="auto" w:fill="F0F0F0"/>
                </w:tcPr>
                <w:p>
                  <w:pPr>
                    <w:pStyle w:val="Normal"/>
                    <w:keepLines w:val="on"/>
                  </w:pPr>
                  <w:r>
                    <w:t>Tổng vốn hóa thị trường</w:t>
                  </w:r>
                </w:p>
              </w:tc>
              <w:tc>
                <w:tcPr>
                  <w:tcW w:type="auto" w:w="0"/>
                  <w:shd w:val="clear" w:color="auto" w:fill="F0F0F0"/>
                </w:tcPr>
                <w:p>
                  <w:pPr>
                    <w:pStyle w:val="Normal"/>
                    <w:keepLines w:val="on"/>
                  </w:pPr>
                  <w:r>
                    <w:t>Giá trị của khoản sở hữu</w:t>
                  </w:r>
                </w:p>
              </w:tc>
            </w:tr>
            <w:tr>
              <w:tc>
                <w:tcPr>
                  <w:tcW w:type="auto" w:w="0"/>
                  <w:shd w:val="clear" w:color="auto" w:fill="F0F0F0"/>
                </w:tcPr>
                <w:p>
                  <w:pPr>
                    <w:pStyle w:val="Para 02"/>
                    <w:keepLines w:val="on"/>
                  </w:pPr>
                  <w:r>
                    <w:t>Hyundai Merchant Marine</w:t>
                  </w:r>
                </w:p>
              </w:tc>
              <w:tc>
                <w:tcPr>
                  <w:tcW w:type="auto" w:w="0"/>
                  <w:shd w:val="clear" w:color="auto" w:fill="F0F0F0"/>
                </w:tcPr>
                <w:p>
                  <w:pPr>
                    <w:pStyle w:val="Normal"/>
                    <w:keepLines w:val="on"/>
                  </w:pPr>
                  <w:r>
                    <w:t>17,60%</w:t>
                  </w:r>
                </w:p>
              </w:tc>
              <w:tc>
                <w:tcPr>
                  <w:tcW w:type="auto" w:w="0"/>
                  <w:shd w:val="clear" w:color="auto" w:fill="F0F0F0"/>
                </w:tcPr>
                <w:p>
                  <w:pPr>
                    <w:pStyle w:val="Normal"/>
                    <w:keepLines w:val="on"/>
                  </w:pPr>
                  <w:r>
                    <w:t>4.806,00</w:t>
                  </w:r>
                </w:p>
              </w:tc>
              <w:tc>
                <w:tcPr>
                  <w:tcW w:type="auto" w:w="0"/>
                  <w:shd w:val="clear" w:color="auto" w:fill="F0F0F0"/>
                </w:tcPr>
                <w:p>
                  <w:pPr>
                    <w:pStyle w:val="Normal"/>
                    <w:keepLines w:val="on"/>
                  </w:pPr>
                  <w:r>
                    <w:t>845,86</w:t>
                  </w:r>
                </w:p>
              </w:tc>
            </w:tr>
            <w:tr>
              <w:tc>
                <w:tcPr>
                  <w:tcW w:type="auto" w:w="0"/>
                  <w:shd w:val="clear" w:color="auto" w:fill="F0F0F0"/>
                </w:tcPr>
                <w:p>
                  <w:pPr>
                    <w:pStyle w:val="Para 02"/>
                    <w:keepLines w:val="on"/>
                  </w:pPr>
                  <w:r>
                    <w:t>Hyundai Motors</w:t>
                  </w:r>
                </w:p>
              </w:tc>
              <w:tc>
                <w:tcPr>
                  <w:tcW w:type="auto" w:w="0"/>
                  <w:shd w:val="clear" w:color="auto" w:fill="F0F0F0"/>
                </w:tcPr>
                <w:p>
                  <w:pPr>
                    <w:pStyle w:val="Normal"/>
                    <w:keepLines w:val="on"/>
                  </w:pPr>
                  <w:r>
                    <w:t>3,46%</w:t>
                  </w:r>
                </w:p>
              </w:tc>
              <w:tc>
                <w:tcPr>
                  <w:tcW w:type="auto" w:w="0"/>
                  <w:shd w:val="clear" w:color="auto" w:fill="F0F0F0"/>
                </w:tcPr>
                <w:p>
                  <w:pPr>
                    <w:pStyle w:val="Normal"/>
                    <w:keepLines w:val="on"/>
                  </w:pPr>
                  <w:r>
                    <w:t>17.540,00</w:t>
                  </w:r>
                </w:p>
              </w:tc>
              <w:tc>
                <w:tcPr>
                  <w:tcW w:type="auto" w:w="0"/>
                  <w:shd w:val="clear" w:color="auto" w:fill="F0F0F0"/>
                </w:tcPr>
                <w:p>
                  <w:pPr>
                    <w:pStyle w:val="Normal"/>
                    <w:keepLines w:val="on"/>
                  </w:pPr>
                  <w:r>
                    <w:t>606,88</w:t>
                  </w:r>
                </w:p>
              </w:tc>
            </w:tr>
            <w:tr>
              <w:tc>
                <w:tcPr>
                  <w:tcW w:type="auto" w:w="0"/>
                  <w:shd w:val="clear" w:color="auto" w:fill="F0F0F0"/>
                </w:tcPr>
                <w:p>
                  <w:pPr>
                    <w:pStyle w:val="Para 02"/>
                    <w:keepLines w:val="on"/>
                  </w:pPr>
                  <w:r>
                    <w:t>Hyundai Elevator</w:t>
                  </w:r>
                </w:p>
              </w:tc>
              <w:tc>
                <w:tcPr>
                  <w:tcW w:type="auto" w:w="0"/>
                  <w:shd w:val="clear" w:color="auto" w:fill="F0F0F0"/>
                </w:tcPr>
                <w:p>
                  <w:pPr>
                    <w:pStyle w:val="Normal"/>
                    <w:keepLines w:val="on"/>
                  </w:pPr>
                  <w:r>
                    <w:t>2,16%</w:t>
                  </w:r>
                </w:p>
              </w:tc>
              <w:tc>
                <w:tcPr>
                  <w:tcW w:type="auto" w:w="0"/>
                  <w:shd w:val="clear" w:color="auto" w:fill="F0F0F0"/>
                </w:tcPr>
                <w:p>
                  <w:pPr>
                    <w:pStyle w:val="Normal"/>
                    <w:keepLines w:val="on"/>
                  </w:pPr>
                  <w:r>
                    <w:t>688,00</w:t>
                  </w:r>
                </w:p>
              </w:tc>
              <w:tc>
                <w:tcPr>
                  <w:tcW w:type="auto" w:w="0"/>
                  <w:shd w:val="clear" w:color="auto" w:fill="F0F0F0"/>
                </w:tcPr>
                <w:p>
                  <w:pPr>
                    <w:pStyle w:val="Normal"/>
                    <w:keepLines w:val="on"/>
                  </w:pPr>
                  <w:r>
                    <w:t>14,86</w:t>
                  </w:r>
                </w:p>
              </w:tc>
            </w:tr>
            <w:tr>
              <w:tc>
                <w:tcPr>
                  <w:tcW w:type="auto" w:w="0"/>
                  <w:shd w:val="clear" w:color="auto" w:fill="F0F0F0"/>
                </w:tcPr>
                <w:p>
                  <w:pPr>
                    <w:pStyle w:val="Para 02"/>
                    <w:keepLines w:val="on"/>
                  </w:pPr>
                  <w:r>
                    <w:t>Hyundai Corp.</w:t>
                  </w:r>
                </w:p>
              </w:tc>
              <w:tc>
                <w:tcPr>
                  <w:tcW w:type="auto" w:w="0"/>
                  <w:shd w:val="clear" w:color="auto" w:fill="F0F0F0"/>
                </w:tcPr>
                <w:p>
                  <w:pPr>
                    <w:pStyle w:val="Normal"/>
                    <w:keepLines w:val="on"/>
                  </w:pPr>
                  <w:r>
                    <w:t>0,36%</w:t>
                  </w:r>
                </w:p>
              </w:tc>
              <w:tc>
                <w:tcPr>
                  <w:tcW w:type="auto" w:w="0"/>
                  <w:shd w:val="clear" w:color="auto" w:fill="F0F0F0"/>
                </w:tcPr>
                <w:p>
                  <w:pPr>
                    <w:pStyle w:val="Normal"/>
                    <w:keepLines w:val="on"/>
                  </w:pPr>
                  <w:r>
                    <w:t>602,00</w:t>
                  </w:r>
                </w:p>
              </w:tc>
              <w:tc>
                <w:tcPr>
                  <w:tcW w:type="auto" w:w="0"/>
                  <w:shd w:val="clear" w:color="auto" w:fill="F0F0F0"/>
                </w:tcPr>
                <w:p>
                  <w:pPr>
                    <w:pStyle w:val="Normal"/>
                    <w:keepLines w:val="on"/>
                  </w:pPr>
                  <w:r>
                    <w:t>2,17</w:t>
                  </w:r>
                </w:p>
              </w:tc>
            </w:tr>
            <w:tr>
              <w:tc>
                <w:tcPr>
                  <w:tcW w:type="auto" w:w="0"/>
                  <w:shd w:val="clear" w:color="auto" w:fill="F0F0F0"/>
                  <w:hMerge w:val="restart"/>
                </w:tcPr>
                <w:p>
                  <w:pPr>
                    <w:pStyle w:val="Para 41"/>
                    <w:keepLines w:val="on"/>
                  </w:pPr>
                  <w:r>
                    <w:t>Sở hữu chéo tư nhân</w:t>
                  </w:r>
                </w:p>
              </w:tc>
              <w:tc>
                <w:tcPr>
                  <w:hMerge w:val="continue"/>
                </w:tcPr>
                <w:p/>
              </w:tc>
              <w:tc>
                <w:tcPr>
                  <w:hMerge w:val="continue"/>
                </w:tcPr>
                <w:p/>
              </w:tc>
              <w:tc>
                <w:tcPr>
                  <w:hMerge w:val="continue"/>
                </w:tcPr>
                <w:p/>
              </w:tc>
            </w:tr>
            <w:tr>
              <w:tc>
                <w:tcPr>
                  <w:tcW w:type="auto" w:w="0"/>
                  <w:shd w:val="clear" w:color="auto" w:fill="F0F0F0"/>
                </w:tcPr>
                <w:p>
                  <w:pPr>
                    <w:pStyle w:val="7 Block"/>
                    <w:keepLines w:val="on"/>
                  </w:pPr>
                </w:p>
              </w:tc>
              <w:tc>
                <w:tcPr>
                  <w:tcW w:type="auto" w:w="0"/>
                  <w:shd w:val="clear" w:color="auto" w:fill="F0F0F0"/>
                </w:tcPr>
                <w:p>
                  <w:pPr>
                    <w:pStyle w:val="Normal"/>
                    <w:keepLines w:val="on"/>
                  </w:pPr>
                  <w:r>
                    <w:t>Giá trị sổ sách</w:t>
                  </w:r>
                </w:p>
              </w:tc>
              <w:tc>
                <w:tcPr>
                  <w:tcW w:type="auto" w:w="0"/>
                  <w:shd w:val="clear" w:color="auto" w:fill="F0F0F0"/>
                </w:tcPr>
                <w:p>
                  <w:pPr>
                    <w:pStyle w:val="Normal"/>
                    <w:keepLines w:val="on"/>
                  </w:pPr>
                  <w:r>
                    <w:t>Giá/Giá trị sổ sách theo ngành</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Hyundai Oil Bank</w:t>
                  </w:r>
                </w:p>
              </w:tc>
              <w:tc>
                <w:tcPr>
                  <w:tcW w:type="auto" w:w="0"/>
                  <w:shd w:val="clear" w:color="auto" w:fill="F0F0F0"/>
                </w:tcPr>
                <w:p>
                  <w:pPr>
                    <w:pStyle w:val="Normal"/>
                    <w:keepLines w:val="on"/>
                  </w:pPr>
                  <w:r>
                    <w:t>329,80</w:t>
                  </w:r>
                </w:p>
              </w:tc>
              <w:tc>
                <w:tcPr>
                  <w:tcW w:type="auto" w:w="0"/>
                  <w:shd w:val="clear" w:color="auto" w:fill="F0F0F0"/>
                </w:tcPr>
                <w:p>
                  <w:pPr>
                    <w:pStyle w:val="Normal"/>
                    <w:keepLines w:val="on"/>
                  </w:pPr>
                  <w:r>
                    <w:t>1,10</w:t>
                  </w:r>
                </w:p>
              </w:tc>
              <w:tc>
                <w:tcPr>
                  <w:tcW w:type="auto" w:w="0"/>
                  <w:shd w:val="clear" w:color="auto" w:fill="F0F0F0"/>
                </w:tcPr>
                <w:p>
                  <w:pPr>
                    <w:pStyle w:val="Normal"/>
                    <w:keepLines w:val="on"/>
                  </w:pPr>
                  <w:r>
                    <w:t>362,78</w:t>
                  </w:r>
                </w:p>
              </w:tc>
            </w:tr>
            <w:tr>
              <w:tc>
                <w:tcPr>
                  <w:tcW w:type="auto" w:w="0"/>
                  <w:shd w:val="clear" w:color="auto" w:fill="F0F0F0"/>
                </w:tcPr>
                <w:p>
                  <w:pPr>
                    <w:pStyle w:val="Para 02"/>
                    <w:keepLines w:val="on"/>
                  </w:pPr>
                  <w:r>
                    <w:t>Hyundai Samho</w:t>
                  </w:r>
                </w:p>
              </w:tc>
              <w:tc>
                <w:tcPr>
                  <w:tcW w:type="auto" w:w="0"/>
                  <w:shd w:val="clear" w:color="auto" w:fill="F0F0F0"/>
                </w:tcPr>
                <w:p>
                  <w:pPr>
                    <w:pStyle w:val="Normal"/>
                    <w:keepLines w:val="on"/>
                  </w:pPr>
                  <w:r>
                    <w:t>1.068,50</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1.923,30</w:t>
                  </w:r>
                </w:p>
              </w:tc>
            </w:tr>
            <w:tr>
              <w:tc>
                <w:tcPr>
                  <w:tcW w:type="auto" w:w="0"/>
                  <w:shd w:val="clear" w:color="auto" w:fill="F0F0F0"/>
                </w:tcPr>
                <w:p>
                  <w:pPr>
                    <w:pStyle w:val="Para 02"/>
                    <w:keepLines w:val="on"/>
                  </w:pPr>
                  <w:r>
                    <w:t>Hyundai Finance</w:t>
                  </w:r>
                </w:p>
              </w:tc>
              <w:tc>
                <w:tcPr>
                  <w:tcW w:type="auto" w:w="0"/>
                  <w:shd w:val="clear" w:color="auto" w:fill="F0F0F0"/>
                </w:tcPr>
                <w:p>
                  <w:pPr>
                    <w:pStyle w:val="Normal"/>
                    <w:keepLines w:val="on"/>
                  </w:pPr>
                  <w:r>
                    <w:t>88,20</w:t>
                  </w:r>
                </w:p>
              </w:tc>
              <w:tc>
                <w:tcPr>
                  <w:tcW w:type="auto" w:w="0"/>
                  <w:shd w:val="clear" w:color="auto" w:fill="F0F0F0"/>
                </w:tcPr>
                <w:p>
                  <w:pPr>
                    <w:pStyle w:val="Normal"/>
                    <w:keepLines w:val="on"/>
                  </w:pPr>
                  <w:r>
                    <w:t>1,10</w:t>
                  </w:r>
                </w:p>
              </w:tc>
              <w:tc>
                <w:tcPr>
                  <w:tcW w:type="auto" w:w="0"/>
                  <w:shd w:val="clear" w:color="auto" w:fill="F0F0F0"/>
                </w:tcPr>
                <w:p>
                  <w:pPr>
                    <w:pStyle w:val="Normal"/>
                    <w:keepLines w:val="on"/>
                  </w:pPr>
                  <w:r>
                    <w:t>97,02</w:t>
                  </w:r>
                </w:p>
              </w:tc>
            </w:tr>
            <w:tr>
              <w:tc>
                <w:tcPr>
                  <w:tcW w:type="auto" w:w="0"/>
                  <w:shd w:val="clear" w:color="auto" w:fill="F0F0F0"/>
                </w:tcPr>
                <w:p>
                  <w:pPr>
                    <w:pStyle w:val="Para 02"/>
                    <w:keepLines w:val="on"/>
                  </w:pPr>
                  <w:r>
                    <w:t>Giá trị của các khoản nắm giữ chéo</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3.852,87</w:t>
                  </w:r>
                </w:p>
              </w:tc>
            </w:tr>
          </w:tbl>
          <w:p/>
        </w:tc>
      </w:tr>
    </w:tbl>
    <w:p>
      <w:pPr>
        <w:pStyle w:val="Para 04"/>
        <w:keepLines w:val="on"/>
      </w:pPr>
      <w:r>
        <w:t>Như vậy, giá trị của các khoản nắm giữ chéo mà chúng ta cộng thêm vào giá trị chiết khấu dòng tiền cho tài sản hoạt động là 3.853 tỷ won Hàn Quốc, chứ không phải giá trị sổ sách là 2.233 tỷ won.</w:t>
      </w:r>
    </w:p>
    <w:p>
      <w:pPr>
        <w:pStyle w:val="Para 04"/>
        <w:keepLines w:val="on"/>
      </w:pPr>
      <w:r>
        <w:t>Đối với Tata Motors, các khoản nắm giữ chéo phổ biến hơn (hơn 20 công ty) và mờ ám hơn. Hai trong số các khoản nắm giữ này là ở các công ty niêm yết công khai, và chúng ta sử dụng giá trị thị trường cho những khoản đó: 13.527 triệu Rs ở Tata Steel, và 24,3 triệu Rs ở Tata Chemicals; tổng giá trị thị trường là 13.596 triệu Rs thay thế cho giá trị sổ sách 2.701 triệu Rs của các khoản nắm giữ này. Ngoài ra, Tata Motors còn báo cáo giá trị sổ sách 137.875 triệu Rs cho các khoản nắm giữ chéo khác, mà chúng ta không thể ước tính được giá trị thị trường. Do đó, tổng giá trị mà chúng ta ước tính cho các khoản nắm giữ chéo là 151.471 triệu Rs:</w:t>
      </w:r>
    </w:p>
    <w:p>
      <w:bookmarkStart w:id="3249" w:name="Value_of_Tata_Motors__cross_hold"/>
      <w:pPr>
        <w:keepNext/>
        <w:pStyle w:val="Para 07"/>
        <w:keepLines w:val="on"/>
      </w:pPr>
      <w:r>
        <w:t>Giá trị các khoản nắm giữ chéo của Tata Motors = 13.596 + 137.875 = 151.471 triệu Rs</w:t>
      </w:r>
      <w:bookmarkEnd w:id="3249"/>
    </w:p>
    <w:p>
      <w:pPr>
        <w:pStyle w:val="Para 04"/>
        <w:keepLines w:val="on"/>
      </w:pPr>
      <w:r>
        <w:t>Dù chúng ta không thấy thoải mái với giá trị này, chúng ta cũng chẳng có mấy lựa chọn, với thông tin hiện có về các khoản nắm giữ chéo. Điều càng khiến chúng ta lo lắng là những khoản nắm giữ chéo này chiếm tới gần 42% giá trị ước tính của chúng ta cho Tata Motors như một công ty; giá trị mà chúng ta có được cho tài sản hoạt động là 210.832 triệu Rs. Thực chất, mua cổ phiếu của Tata Motors là đầu tư vào công ty (58%) và vào Tập đoàn Tata (42%).</w:t>
      </w:r>
    </w:p>
    <w:p>
      <w:bookmarkStart w:id="3251" w:name="Other_Nonoperating_Assets"/>
      <w:bookmarkStart w:id="3252" w:name="Other_Nonoperating_Assets__Firms"/>
      <w:pPr>
        <w:keepNext/>
        <w:pStyle w:val="Heading 3"/>
        <w:keepLines w:val="on"/>
      </w:pPr>
      <w:r>
        <w:t>Các tài sản phi hoạt động khác</w:t>
      </w:r>
      <w:bookmarkEnd w:id="3251"/>
      <w:bookmarkEnd w:id="3252"/>
    </w:p>
    <w:p>
      <w:pPr>
        <w:pStyle w:val="Para 03"/>
      </w:pPr>
      <w:r>
        <w:t>Các công ty có thể có những tài sản phi hoạt động khác, nhưng chúng thường ít quan trọng hơn những tài sản đã liệt kê ở phần trước. Cụ thể, các công ty có thể có những tài sản chưa được sử dụng, không tạo ra dòng tiền và có giá trị sổ sách chẳng mấy liên quan đến giá trị thị trường. Một ví dụ là những bất động sản đắc địa đã tăng giá đáng kể kể từ khi công ty mua chúng nhưng lại tạo ra rất ít, nếu có, dòng tiền. Một câu hỏi mở cũng còn đó về các quỹ hưu trí được tài trợ vượt mức. Liệu số tiền dư thừa đó có thuộc về cổ đông không, và nếu có, bạn đưa ảnh hưởng của nó vào giá trị như thế nào?</w:t>
      </w:r>
    </w:p>
    <w:p>
      <w:pPr>
        <w:pStyle w:val="Para 11"/>
      </w:pPr>
      <w:r>
        <w:t xml:space="preserve"> </w:t>
      </w:r>
    </w:p>
    <w:p>
      <w:bookmarkStart w:id="3253" w:name="Value_of_Transparency"/>
      <w:bookmarkStart w:id="3254" w:name="Value_of_Transparency_The_diffic"/>
      <w:pPr>
        <w:keepNext/>
        <w:pStyle w:val="Para 27"/>
        <w:keepLines w:val="on"/>
      </w:pPr>
      <w:r>
        <w:t>Giá trị của sự minh bạch</w:t>
      </w:r>
      <w:bookmarkEnd w:id="3253"/>
      <w:bookmarkEnd w:id="3254"/>
    </w:p>
    <w:p>
      <w:pPr>
        <w:pStyle w:val="Para 16"/>
        <w:keepLines w:val="on"/>
      </w:pPr>
      <w:r>
        <w:t>Khó khăn mà chúng ta thường gặp trong việc nhận diện và định giá các khoản nắm giữ ở các công ty khác làm nổi bật một cái giá mà các công ty có cấu trúc nắm giữ chéo phức tạp và ít hoặc không nỗ lực giải thích cho nhà đầu tư biết mình sở hữu những gì phải trả. Thực tế, nhiều công ty dường như chọn chiến lược làm cho chính cổ đông của mình khó thấy được họ sở hữu những gì, e rằng sẽ bị chất vấn về tính khôn ngoan trong các lựa chọn của họ. Không ngạc nhiên khi giá trị thị trường của những công ty này thường đánh giá thấp giá trị của những khoản nắm giữ ẩn giấu đó.</w:t>
      </w:r>
    </w:p>
    <w:p>
      <w:pPr>
        <w:pStyle w:val="Para 16"/>
        <w:keepLines w:val="on"/>
      </w:pPr>
      <w:r>
        <w:t>Nhiều công ty ngoài Hoa Kỳ viện cớ rằng luật công bố thông tin ở nước họ không nghiêm ngặt như ở Hoa Kỳ, nhưng luật công bố thông tin chỉ đặt ra mức sàn cho thông tin phải tiết lộ ra thị trường chứ không phải mức trần. Ví dụ, InfoSys, một công ty phần mềm Ấn Độ, có một trong những báo cáo tài chính giàu thông tin nhất so với bất kỳ công ty nào trên thế giới. Thực tế, công ty này đã gặt hái được những phần thưởng tài chính đáng kể nhờ sự cởi mở của mình, vì nhà đầu tư có thể đánh giá tốt hơn tình hình công ty và có xu hướng sẵn lòng lắng nghe quan điểm của ban lãnh đạo hơn nhiều.</w:t>
      </w:r>
    </w:p>
    <w:p>
      <w:pPr>
        <w:pStyle w:val="Para 16"/>
        <w:keepLines w:val="on"/>
      </w:pPr>
      <w:r>
        <w:t>Vậy, những công ty bị định giá thấp có các khoản nắm giữ chéo có thể làm gì để cải thiện giá trị của mình? Thứ nhất, họ có thể phá bỏ những cấu trúc nắm giữ phức tạp gây cản trở sự hiểu biết và định giá. Thứ hai, họ có thể áp dụng chiến lược tiết lộ càng nhiều càng tốt cho nhà đầu tư về các khoản nắm giữ của mình — cả tư nhân lẫn công khai. Thứ ba, họ cần kiên trì với chiến lược này cả khi có tin xấu phải báo cáo. Một công ty hào phóng với thông tin tích cực mà keo kiệt với thông tin tiêu cực sẽ nhanh chóng mất uy tín như một nguồn thông tin. Cuối cùng, nếu mọi cách đều thất bại, họ có thể cân nhắc thoái vốn hoặc tách riêng các khoản nắm giữ của mình.</w:t>
      </w:r>
    </w:p>
    <w:p>
      <w:bookmarkStart w:id="3255" w:name="Unutilized_Assets"/>
      <w:bookmarkStart w:id="3256" w:name="Unutilized_Assets__The_strength"/>
      <w:pPr>
        <w:keepNext/>
        <w:pStyle w:val="Heading 4"/>
        <w:keepLines w:val="on"/>
      </w:pPr>
      <w:r>
        <w:t>Tài sản chưa được sử dụng</w:t>
      </w:r>
      <w:bookmarkEnd w:id="3255"/>
      <w:bookmarkEnd w:id="3256"/>
    </w:p>
    <w:p>
      <w:pPr>
        <w:pStyle w:val="Para 03"/>
      </w:pPr>
      <w:r>
        <w:t>Điểm mạnh của các mô hình chiết khấu dòng tiền là chúng ước tính giá trị tài sản dựa trên dòng tiền kỳ vọng mà những tài sản này tạo ra. Tuy nhiên, trong một số trường hợp, điều này có thể dẫn đến việc những tài sản có giá trị đáng kể bị bỏ qua trong định giá cuối cùng. Ví dụ, giả sử một công ty sở hữu một mảnh đất chưa được phát triển, và giá trị sổ sách của mảnh đất phản ánh giá mua ban đầu. Mảnh đất rõ ràng có giá trị thị trường đáng kể nhưng chưa tạo ra dòng tiền nào cho công ty. Nếu không có nỗ lực có ý thức đưa dòng tiền kỳ vọng từ việc phát triển mảnh đất vào định giá, giá trị của mảnh đất sẽ bị bỏ sót khỏi ước tính cuối cùng.</w:t>
      </w:r>
    </w:p>
    <w:p>
      <w:pPr>
        <w:pStyle w:val="Para 03"/>
      </w:pPr>
      <w:r>
        <w:t>Vậy bạn phản ánh giá trị của những tài sản như vậy vào giá trị công ty như thế nào? Kiểm kê tất cả những tài sản như vậy (hoặc ít nhất là những tài sản giá trị nhất) là bước đầu tiên, tiếp theo là ước tính giá trị thị trường cho từng tài sản. Những ước tính này có thể có được bằng cách xem xét những tài sản đó sẽ bán được giá nào trên thị trường hôm nay, hoặc bằng cách dự phóng dòng tiền có thể tạo ra nếu tài sản được phát triển và chiết khấu dòng tiền đó theo tỷ lệ chiết khấu phù hợp.</w:t>
      </w:r>
    </w:p>
    <w:p>
      <w:pPr>
        <w:pStyle w:val="Para 03"/>
      </w:pPr>
      <w:r>
        <w:t>Vấn đề khi đưa tài sản chưa được sử dụng vào giá trị công ty là vấn đề thông tin. Các công ty không tiết lộ tài sản chưa được sử dụng của mình trong báo cáo tài chính. Dù đôi khi nhà đầu tư và nhà phân tích có thể tìm ra những tài sản như vậy, khả năng cao hơn nhiều là chúng chỉ được phát hiện khi bạn có quyền truy cập thông tin về những gì công ty sở hữu và sử dụng.</w:t>
      </w:r>
    </w:p>
    <w:p>
      <w:bookmarkStart w:id="3258" w:name="Pension_Fund_Assets"/>
      <w:bookmarkStart w:id="3259" w:name="Pension_Fund_Assets__Firms_with"/>
      <w:pPr>
        <w:keepNext/>
        <w:pStyle w:val="Heading 4"/>
        <w:keepLines w:val="on"/>
      </w:pPr>
      <w:r>
        <w:t>Tài sản quỹ hưu trí</w:t>
      </w:r>
      <w:bookmarkEnd w:id="3258"/>
      <w:bookmarkEnd w:id="3259"/>
    </w:p>
    <w:p>
      <w:pPr>
        <w:pStyle w:val="Para 03"/>
      </w:pPr>
      <w:r>
        <w:t>Các công ty có nghĩa vụ hưu trí xác định đôi khi tích lũy tài sản quỹ hưu trí vượt quá nghĩa vụ đó. Dù phần dư thừa thuộc về cổ đông, họ thường phải chịu nghĩa vụ thuế nếu đòi nó. Nguyên tắc thận trọng khi xử lý các quỹ hưu trí được tài trợ vượt mức là giả định rằng chi phí xã hội và thuế để đòi lại số tiền dư thừa lớn đến mức ít công ty dám thử làm điều đó. Cách tiếp cận thực tế hơn là cộng phần sau thuế của số tiền dư thừa vào định giá.</w:t>
      </w:r>
    </w:p>
    <w:p>
      <w:pPr>
        <w:pStyle w:val="Para 03"/>
      </w:pPr>
      <w:r>
        <w:t>Để minh họa, hãy xem xét một công ty báo cáo tài sản quỹ hưu trí vượt nghĩa vụ của mình 1 tỷ đô la. Vì một công ty rút tài sản dư thừa khỏi quỹ hưu trí bị đánh thuế 50% trên số tiền rút ra (ở Hoa Kỳ), bạn sẽ cộng 500 triệu đô la vào giá trị ước tính của tài sản hoạt động của công ty. Điều này phản ánh 50% số tài sản dư thừa mà công ty sẽ còn lại sau khi nộp thuế.</w:t>
      </w:r>
    </w:p>
    <w:p>
      <w:bookmarkStart w:id="3260" w:name="No_Double_Counting"/>
      <w:bookmarkStart w:id="3261" w:name="No_Double_Counting__There_is_one"/>
      <w:pPr>
        <w:keepNext/>
        <w:pStyle w:val="Heading 4"/>
        <w:keepLines w:val="on"/>
      </w:pPr>
      <w:r>
        <w:t>Không Được Tính Trùng</w:t>
      </w:r>
      <w:bookmarkEnd w:id="3260"/>
      <w:bookmarkEnd w:id="3261"/>
    </w:p>
    <w:p>
      <w:pPr>
        <w:pStyle w:val="Para 03"/>
      </w:pPr>
      <w:r>
        <w:t>Có một nguyên tắc đơn giản cần tuân theo khi đưa các tài sản phi hoạt động vào giá trị, đó là bạn không thể tính trùng một tài sản, tức là vừa định giá dòng tiền phát sinh từ tài sản đó lại vừa cộng thêm giá trị của tài sản vào. Đó là lý do tại sao khi định giá một khách sạn, bạn không thể cộng giá trị bất động sản của khách sạn vào giá trị hiện tại của dòng tiền kỳ vọng từ việc vận hành khách sạn. Điều này tạo ra một tình huống đầy thách thức, đặc biệt trong các doanh nghiệp dựa trên bất động sản, nơi giá trị bất động sản có thể vượt qua giá trị mà bạn thu được từ doanh nghiệp bằng cách chiết khấu dòng tiền kỳ vọng về hiện tại theo tỷ lệ chiết khấu đã điều chỉnh rủi ro. Với tư cách là nhà đầu tư, khi có ít hoặc không có quyền kiểm soát cách tài sản được sử dụng, bạn có thể chọn theo giá trị sau, nhưng trong một thương vụ mua lại, bạn có thể chọn giá trị cao hơn trong hai giá trị, miễn là bạn thực hiện đúng bằng cách đóng cửa doanh nghiệp và bán bất động sản sau khi tiếp quản.</w:t>
      </w:r>
    </w:p>
    <w:p>
      <w:pPr>
        <w:pStyle w:val="Para 03"/>
      </w:pPr>
      <w:r>
        <w:t>Hệ quả của việc tuân theo nguyên tắc không tính trùng là hầu hết các tài sản kế toán đều là tài sản hoạt động. Do đó, việc cộng thêm các khoản như lợi thế thương mại (goodwill) hay các ước tính kế toán về giá trị thương hiệu vào một định giá nội tại là sai sót về kế toán, vì những tài sản này chính là thứ cho phép công ty tạo ra dòng tiền kỳ vọng của mình.</w:t>
      </w:r>
    </w:p>
    <w:p>
      <w:pPr>
        <w:pStyle w:val="Para 11"/>
      </w:pPr>
      <w:r>
        <w:t xml:space="preserve"> </w:t>
      </w:r>
    </w:p>
    <w:p>
      <w:bookmarkStart w:id="3262" w:name="cash_xls__This_dataset_on_the_w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48"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3262"/>
    </w:p>
    <w:p>
      <w:pPr>
        <w:pStyle w:val="Para 31"/>
        <w:keepLines w:val="on"/>
      </w:pPr>
      <w:r>
        <w:t>cash.xls: Bộ dữ liệu này trên web tóm tắt giá trị tiền mặt và chứng khoán thị trường theo nhóm ngành ở Hoa Kỳ cho quý gần nhất</w:t>
      </w:r>
    </w:p>
    <w:p>
      <w:pPr>
        <w:pStyle w:val="Para 03"/>
        <w:keepLines w:val="on"/>
      </w:pPr>
      <w:r>
        <w:t>.</w:t>
      </w:r>
    </w:p>
    <w:p>
      <w:pPr>
        <w:pStyle w:val="Para 20"/>
      </w:pPr>
      <w:r>
        <w:rPr>
          <w:rStyle w:val="Text26"/>
        </w:rPr>
        <w:bookmarkStart w:id="3263" w:name="Page_500"/>
        <w:t/>
        <w:bookmarkEnd w:id="3263"/>
      </w:r>
      <w:r>
        <w:t xml:space="preserve"> </w:t>
      </w:r>
    </w:p>
    <w:p>
      <w:bookmarkStart w:id="3264" w:name="Firm_Value_and_Equity_Value"/>
      <w:bookmarkStart w:id="3265" w:name="Firm_Value_and_Equity_Value__Onc"/>
      <w:pPr>
        <w:keepNext/>
        <w:pStyle w:val="Heading 2"/>
        <w:keepLines w:val="on"/>
      </w:pPr>
      <w:r>
        <w:t>Giá Trị Doanh Nghiệp và Giá Trị Vốn Chủ Sở Hữu</w:t>
      </w:r>
      <w:bookmarkEnd w:id="3264"/>
      <w:bookmarkEnd w:id="3265"/>
    </w:p>
    <w:p>
      <w:pPr>
        <w:pStyle w:val="Para 03"/>
      </w:pPr>
      <w:r>
        <w:t>Khi bạn đã có ước tính về giá trị của tài sản hoạt động, tiền mặt và chứng khoán thị trường, cùng các tài sản phi hoạt động khác mà một doanh nghiệp sở hữu, bạn có thể ước tính giá trị doanh nghiệp bằng tổng của ba thành phần này. Để đi từ giá trị doanh nghiệp đến giá trị vốn chủ sở hữu, bạn trừ đi các quyền đòi phi vốn chủ sở hữu đối với doanh nghiệp. Các quyền đòi phi vốn chủ sở hữu bao gồm nợ và cổ phiếu ưu đãi, mặc dù cổ phiếu ưu đãi thường được xem như vốn chủ sở hữu trong báo cáo tài chính.</w:t>
      </w:r>
    </w:p>
    <w:p>
      <w:bookmarkStart w:id="3266" w:name="What_Nonequity_Claims_Should_Be"/>
      <w:bookmarkStart w:id="3267" w:name="What_Nonequity_Claims_Should_Be_1"/>
      <w:pPr>
        <w:keepNext/>
        <w:pStyle w:val="Heading 3"/>
        <w:keepLines w:val="on"/>
      </w:pPr>
      <w:r>
        <w:t>Nên Trừ Đi Những Quyền Đòi Phi Vốn Chủ Sở Hữu Nào?</w:t>
      </w:r>
      <w:bookmarkEnd w:id="3266"/>
      <w:bookmarkEnd w:id="3267"/>
    </w:p>
    <w:p>
      <w:pPr>
        <w:pStyle w:val="Para 03"/>
      </w:pPr>
      <w:r>
        <w:t>Nguyên tắc chung bạn nên áp dụng là khoản nợ bạn trừ khỏi giá trị doanh nghiệp ít nhất phải bằng khoản nợ bạn dùng để tính chi phí vốn. Do đó, nếu bạn quyết định vốn hóa thuê hoạt động (operating leases) thành nợ để tính chi phí vốn, bạn nên trừ giá trị nợ của thuê hoạt động khỏi giá trị tài sản hoạt động để ước tính giá trị vốn chủ sở hữu. Nếu doanh nghiệp bạn đang định giá có cổ phiếu ưu đãi, bạn sẽ dùng giá trị thị trường của cổ phiếu đó (nếu được giao dịch) hoặc ước tính giá trị thị trường (nếu không được giao dịch)8, và trừ nó khỏi giá trị doanh nghiệp để ra giá trị vốn chủ sở hữu phổ thông:</w:t>
      </w:r>
    </w:p>
    <w:p>
      <w:pPr>
        <w:pStyle w:val="Para 03"/>
      </w:pPr>
      <w:r>
        <w:t>Có thể có những quyền đòi khác đối với doanh nghiệp không xuất hiện trong nợ mà bạn nên trừ khỏi giá trị doanh nghiệp:</w:t>
      </w:r>
    </w:p>
    <w:p>
      <w:pPr>
        <w:numPr>
          <w:ilvl w:val="0"/>
          <w:numId w:val="159"/>
        </w:numPr>
        <w:pStyle w:val="Para 01"/>
      </w:pPr>
      <w:r>
        <w:t>Các khoản nợ tiềm tàng từ kiện tụng. Bạn có thể đang phân tích một doanh nghiệp là bị đơn trong một vụ kiện, nơi nó có khả năng phải trả hàng chục triệu đô-la tiền bồi thường. Bạn nên ước tính xác suất điều này xảy ra và dùng xác suất đó để ước tính khoản nợ kỳ vọng. Do đó, nếu có 10 phần trăm khả năng bạn thua một vụ kiện mà bạn đang bào chữa, và mức bồi thường kỳ vọng là 1 tỷ đô-la, bạn sẽ giảm giá trị doanh nghiệp đi 100 triệu đô-la (xác suất × thiệt hại kỳ vọng). Nếu khoản nợ kỳ vọng này chưa đến hạn trong vài năm tới, bạn sẽ tính giá trị hiện tại của khoản thanh toán đó.</w:t>
      </w:r>
    </w:p>
    <w:p>
      <w:pPr>
        <w:numPr>
          <w:ilvl w:val="0"/>
          <w:numId w:val="159"/>
        </w:numPr>
        <w:pStyle w:val="Para 01"/>
      </w:pPr>
      <w:r>
        <w:t>Các nghĩa vụ lương hưu và chăm sóc sức khỏe chưa được cấp vốn. Nếu một doanh nghiệp đã cấp vốn thiếu đáng kể cho một kế hoạch lương hưu hoặc chăm sóc sức khỏe, nó sẽ cần để dành tiền mặt trong những năm tới để đáp ứng các nghĩa vụ này. Dù nó không được coi là nợ cho mục đích chi phí vốn, nó vẫn nên được trừ khỏi giá trị doanh nghiệp để ra giá trị vốn chủ sở hữu.</w:t>
      </w:r>
    </w:p>
    <w:p>
      <w:pPr>
        <w:numPr>
          <w:ilvl w:val="0"/>
          <w:numId w:val="159"/>
        </w:numPr>
        <w:pStyle w:val="Para 01"/>
      </w:pPr>
      <w:r>
        <w:t>Thuế thu nhập hoãn lại phải trả. Khoản thuế thu nhập hoãn lại phải trả xuất hiện trên báo cáo tài chính của nhiều doanh nghiệp phản ánh việc các doanh nghiệp thường dùng các chiến lược hoãn thuế để giảm thuế trong năm hiện tại trong khi tăng thuế trong những năm tới. Trong ba khoản được liệt kê ở đây, đây là khoản được xác định rõ ràng nhất, vì không rõ khi nào hoặc thậm chí liệu nghĩa vụ này có đến hạn hay không. Tuy nhiên, bỏ qua nó có thể là liều lĩnh, vì doanh nghiệp có thể thấy mình phải thực hiện các khoản thanh toán thuế này trong tương lai. Cách xử lý hợp lý nhất cho khoản này là coi nó như một nghĩa vụ, nhưng chỉ đến hạn khi tốc độ tăng trưởng của doanh nghiệp chậm lại. Do đó, nếu bạn kỳ vọng doanh nghiệp của mình sẽ ở giai đoạn tăng trưởng ổn định trong 10 năm, bạn sẽ chiết khấu khoản thuế thu nhập hoãn lại phải trả về 10 năm và trừ số tiền này khỏi giá trị doanh nghiệp để ra giá trị vốn chủ sở hữu.</w:t>
      </w:r>
    </w:p>
    <w:p>
      <w:pPr>
        <w:pStyle w:val="Para 20"/>
      </w:pPr>
      <w:r>
        <w:rPr>
          <w:rStyle w:val="Text26"/>
        </w:rPr>
        <w:bookmarkStart w:id="3269" w:name="Page_501"/>
        <w:t/>
        <w:bookmarkEnd w:id="3269"/>
      </w:r>
      <w:r>
        <w:t xml:space="preserve"> </w:t>
      </w:r>
    </w:p>
    <w:p>
      <w:bookmarkStart w:id="3270" w:name="What_about_Future_Claims"/>
      <w:bookmarkStart w:id="3271" w:name="What_about_Future_Claims___As_yo"/>
      <w:pPr>
        <w:keepNext/>
        <w:pStyle w:val="Heading 3"/>
        <w:keepLines w:val="on"/>
      </w:pPr>
      <w:r>
        <w:t>Còn Các Quyền Đòi Trong Tương Lai Thì Sao?</w:t>
      </w:r>
      <w:bookmarkEnd w:id="3270"/>
      <w:bookmarkEnd w:id="3271"/>
    </w:p>
    <w:p>
      <w:pPr>
        <w:pStyle w:val="Para 03"/>
      </w:pPr>
      <w:r>
        <w:t>Khi bạn dự báo tăng trưởng thu nhập cho doanh nghiệp của mình, bạn thường cũng giả định rằng doanh nghiệp sẽ tăng nợ khi tăng trưởng. Một câu hỏi đặt ra là liệu bạn có nên trừ giá trị của các đợt phát hành nợ trong tương lai này khi ước tính giá trị vốn chủ sở hữu ngày hôm nay hay không. Câu trả lời là không, vì giá trị vốn chủ sở hữu là giá trị hiện tại, và các quyền đòi trong tương lai này chưa tồn tại ngày hôm nay. Để minh họa, giả sử bạn có một doanh nghiệp không có nợ ngày hôm nay, và bạn giả định nó sẽ có tỷ lệ nợ 30 phần trăm trong giai đoạn tăng trưởng ổn định. Giả sử thêm rằng ước tính của bạn về giá trị kết thúc (terminal value) cho doanh nghiệp này là 10 tỷ đô-la trong năm năm. Bạn đang ngầm giả định rằng doanh nghiệp của mình sẽ vay 3 tỷ đô-la trong năm năm để nâng tỷ lệ nợ lên 30 phần trăm. Tỷ lệ nợ cao hơn này có thể ảnh hưởng đến giá trị doanh nghiệp của bạn ngày hôm nay, nhưng giá trị vốn chủ sở hữu ngày hôm nay là giá trị doanh nghiệp trừ đi khoản nợ hiện tại (bằng không).</w:t>
      </w:r>
    </w:p>
    <w:p>
      <w:bookmarkStart w:id="3272" w:name="Stock_Based_Compensation__Compan"/>
      <w:bookmarkStart w:id="3273" w:name="Stock_Based_Compensation"/>
      <w:pPr>
        <w:keepNext/>
        <w:pStyle w:val="Heading 2"/>
        <w:keepLines w:val="on"/>
      </w:pPr>
      <w:r>
        <w:t>Thù Lao Dựa Trên Cổ Phiếu</w:t>
      </w:r>
      <w:bookmarkEnd w:id="3272"/>
      <w:bookmarkEnd w:id="3273"/>
    </w:p>
    <w:p>
      <w:pPr>
        <w:pStyle w:val="Para 03"/>
      </w:pPr>
      <w:r>
        <w:t>Các công ty đôi khi trả lương cho nhân viên bằng cách cho họ quyền sở hữu vốn chủ sở hữu trong doanh nghiệp mà họ làm việc. Cho đến năm 2007, phần lớn khoản thù lao này dưới dạng quyền chọn (options), một phần vì các công ty không bắt buộc phải ghi nhận quyền chọn như chi phí, ít nhất là tại thời điểm cấp. Trong những năm sau đó, nhiều công ty đã chuyển từ quyền chọn sang cổ phiếu hạn chế (restricted stock), nơi nhân viên được cho cổ phần trong công ty, với các hạn chế về giao dịch những cổ phần đó trong một khoảng thời gian sau khi nhận. Với cả quyền chọn và cổ phiếu hạn chế, nhân viên phải làm việc trong một thời hạn nhất định, gọi là thời gian trao quyền (vesting period), trước khi có quyền đòi chúng. Trong phần này, chúng ta sẽ bắt đầu bằng việc xem xét cách xử lý các khoản cấp quyền chọn và cổ phiếu hạn chế trong quá khứ, trước khi xem xét cách đưa các khoản cấp tiếp diễn vào tương lai.</w:t>
      </w:r>
    </w:p>
    <w:p>
      <w:bookmarkStart w:id="3274" w:name="Employee_Options__Firms_use_opti"/>
      <w:bookmarkStart w:id="3275" w:name="Employee_Options"/>
      <w:pPr>
        <w:keepNext/>
        <w:pStyle w:val="Heading 3"/>
        <w:keepLines w:val="on"/>
      </w:pPr>
      <w:r>
        <w:t>Quyền Chọn Cho Nhân Viên</w:t>
      </w:r>
      <w:bookmarkEnd w:id="3274"/>
      <w:bookmarkEnd w:id="3275"/>
    </w:p>
    <w:p>
      <w:pPr>
        <w:pStyle w:val="Para 03"/>
      </w:pPr>
      <w:r>
        <w:t>Các doanh nghiệp dùng quyền chọn để thưởng cho quản lý cũng như nhân viên khác. Những quyền chọn này có hai tác động lên giá trị trên mỗi cổ phần. Một là do các quyền chọn đã được cấp. Những quyền chọn này, một số có giá thực hiện (exercise price) thấp hơn nhiều so với giá cổ phiếu, làm giảm giá trị vốn chủ sở hữu trên mỗi cổ phần, vì một phần vốn chủ sở hữu hiện có trong doanh nghiệp phải được để dành để đáp ứng các lần thực hiện quyền chọn cuối cùng này. Hai là khả năng các doanh nghiệp này sẽ tiếp tục dùng quyền chọn để thưởng hoặc trả thù lao cho nhân viên. Những khoản cấp quyền chọn kỳ vọng này làm giảm phần dòng tiền kỳ vọng trong tương lai thuộc về các cổ đông hiện hữu.</w:t>
      </w:r>
    </w:p>
    <w:p>
      <w:pPr>
        <w:pStyle w:val="Para 03"/>
      </w:pPr>
      <w:r>
        <w:t>Việc dùng quyền chọn trong các gói thù lao quản lý không phải là mới đối với các doanh nghiệp. Nhiều doanh nghiệp trong thập niên 1970 và 1980 đã khởi xướng các gói thù lao dựa trên quyền chọn để khiến các quản lý hàng đầu suy nghĩ như cổ đông trong việc ra quyết định. Tuy nhiên, trong hầu hết trường hợp, sự hao hụt giá trị do những quyền chọn này tạo ra đủ nhỏ để có thể bỏ qua mà không ảnh hưởng đáng kể đến giá trị trên mỗi cổ phần. Tuy nhiên, trong thập niên 1990, sự bùng nổ cả về số lượng lẫn giá trị của các doanh nghiệp công nghệ đã làm nổi bật tầm quan trọng của việc xử lý những quyền chọn này trong định giá.</w:t>
      </w:r>
    </w:p>
    <w:p>
      <w:pPr>
        <w:pStyle w:val="Para 03"/>
      </w:pPr>
      <w:r>
        <w:t>Điều gì khác biệt ở các doanh nghiệp công nghệ? Một là các hợp đồng quản lý tại những doanh nghiệp này nghiêng về quyền chọn nhiều hơn hẳn so với các doanh nghiệp khác. Hai là sự khan hiếm tiền mặt tại những doanh nghiệp này khiến quyền chọn được cấp không chỉ cho các quản lý hàng đầu mà cho cả nhân viên trong toàn tổ chức, làm cho tổng số quyền chọn được cấp lớn hơn nhiều. Ba là một số doanh nghiệp nhỏ hơn đã dùng quyền chọn để chi trả chi phí hoạt động và thanh toán vật tư.</w:t>
      </w:r>
    </w:p>
    <w:p>
      <w:pPr>
        <w:pStyle w:val="Para 20"/>
      </w:pPr>
      <w:r>
        <w:rPr>
          <w:rStyle w:val="Text26"/>
        </w:rPr>
        <w:bookmarkStart w:id="3276" w:name="Page_502"/>
        <w:t/>
        <w:bookmarkEnd w:id="3276"/>
      </w:r>
      <w:r>
        <w:t xml:space="preserve"> </w:t>
      </w:r>
    </w:p>
    <w:p>
      <w:bookmarkStart w:id="3277" w:name="Characteristics_of_Option_Grants"/>
      <w:bookmarkStart w:id="3278" w:name="Characteristics_of_Option_Grants_1"/>
      <w:pPr>
        <w:keepNext/>
        <w:pStyle w:val="Heading 4"/>
        <w:keepLines w:val="on"/>
      </w:pPr>
      <w:r>
        <w:t>Đặc Điểm Của Các Khoản Cấp Quyền Chọn</w:t>
      </w:r>
      <w:bookmarkEnd w:id="3277"/>
      <w:bookmarkEnd w:id="3278"/>
    </w:p>
    <w:p>
      <w:pPr>
        <w:pStyle w:val="Para 03"/>
      </w:pPr>
      <w:r>
        <w:t>Các doanh nghiệp dùng quyền chọn cho nhân viên thường hạn chế thời điểm và việc liệu những quyền chọn này có thể được thực hiện hay không. Chẳng hạn, thông thường các quyền chọn được cấp cho một nhân viên không thể được thực hiện cho đến khi chúng được trao quyền. Để điều này xảy ra, nhân viên thường phải ở lại trong một khoảng thời gian được quy định trong hợp đồng. Dù các doanh nghiệp làm điều này để giữ tỷ lệ thay đổi nhân sự thấp, nó cũng có hàm ý đối với giá trị của những quyền chọn này. Các doanh nghiệp phát hành quyền chọn thường không gặp hậu quả thuế nào trong năm họ phát hành. Tuy nhiên, khi quyền chọn được thực hiện, họ được phép coi phần chênh lệch giữa giá cổ phiếu và giá thực hiện như chi phí nhân viên và yêu cầu khấu trừ thuế cho khoản đó.</w:t>
      </w:r>
    </w:p>
    <w:p>
      <w:pPr>
        <w:pStyle w:val="Para 03"/>
      </w:pPr>
      <w:r>
        <w:t>Việc hạch toán quyền chọn cổ phiếu đã phát triển theo thời gian. Cho đến năm 2006, quyền chọn thường được ghi nhận chi phí tại thời điểm thực hiện, song song với cách xử lý thuế. Với việc ban hành FAS 123R vào năm 2006, các quy tắc đã thay đổi, và quyền chọn nay phải được ghi nhận chi phí tại thời điểm cấp, với giá trị dựa trên các mô hình định giá quyền chọn. Như chúng ta sẽ lưu ý sau trong phần này, điều này đã làm cho nhiệm vụ đưa các khoản cấp quyền chọn kỳ vọng trong tương lai vào trở nên dễ dàng hơn cho những người định giá công ty.</w:t>
      </w:r>
    </w:p>
    <w:p>
      <w:bookmarkStart w:id="3279" w:name="Existing_Options"/>
      <w:bookmarkStart w:id="3280" w:name="Existing_Options__Why_do_existin"/>
      <w:pPr>
        <w:keepNext/>
        <w:pStyle w:val="Heading 4"/>
        <w:keepLines w:val="on"/>
      </w:pPr>
      <w:r>
        <w:t>Quyền Chọn Hiện Có</w:t>
      </w:r>
      <w:bookmarkEnd w:id="3279"/>
      <w:bookmarkEnd w:id="3280"/>
    </w:p>
    <w:p>
      <w:pPr>
        <w:pStyle w:val="Para 03"/>
      </w:pPr>
      <w:r>
        <w:t>Tại sao các quyền chọn (option) hiện hữu lại ảnh hưởng đến giá trị trên mỗi cổ phần? Lưu ý rằng không phải tất cả các quyền chọn đều như vậy. Thực tế, các quyền chọn được phát hành và niêm yết bởi các sàn giao dịch quyền chọn không hề ảnh hưởng đến giá trị trên mỗi cổ phần của những công ty mà chúng được phát hành dựa trên. Còn các quyền chọn do chính công ty phát hành thì có ảnh hưởng đến giá trị trên mỗi cổ phần, vì có khả năng chúng sẽ được thực hiện trong tương lai gần hoặc xa. Vì những quyền chọn này trao cho cá nhân quyền mua cổ phiếu ở một mức giá cố định, chúng chỉ được thực hiện khi giá cổ phiếu tăng vượt mức giá thực hiện đó. Khi chúng được thực hiện, công ty có hai lựa chọn, và cả hai đều gây hậu quả tiêu cực cho các cổ đông hiện hữu. Công ty có thể phát hành thêm cổ phiếu để đáp ứng việc thực hiện quyền chọn. Nhưng điều này làm tăng số lượng cổ phiếu đang lưu hành và làm giảm giá trị trên mỗi cổ phần của các cổ đông hiện hữu.9 Hoặc công ty có thể dùng dòng tiền từ hoạt động kinh doanh để mua lại cổ phiếu trên thị trường mở, rồi dùng số cổ phiếu này để đáp ứng việc thực hiện quyền chọn. Cách này làm giảm dòng tiền sẵn có cho các nhà đầu tư cổ phần hiện tại trong các giai đoạn tương lai và khiến phần vốn cổ phần của họ kém giá trị hơn ở thời điểm hiện tại.</w:t>
      </w:r>
    </w:p>
    <w:p>
      <w:pPr>
        <w:pStyle w:val="Para 03"/>
      </w:pPr>
      <w:r>
        <w:t>Có bốn cách tiếp cận được dùng để đưa ảnh hưởng của các quyền chọn đang lưu hành vào giá trị trên mỗi cổ phần. Tuy nhiên, ba cách tiếp cận đầu tiên có thể dẫn đến những ước tính giá trị gây nhầm lẫn.</w:t>
      </w:r>
    </w:p>
    <w:p>
      <w:bookmarkStart w:id="3282" w:name="Use_Fully_Diluted_Number_of_Shar"/>
      <w:pPr>
        <w:pStyle w:val="Para 21"/>
      </w:pPr>
      <w:r>
        <w:t>Dùng số lượng cổ phiếu pha loãng hoàn toàn để ước tính giá trị trên mỗi cổ phần</w:t>
      </w:r>
      <w:bookmarkEnd w:id="3282"/>
    </w:p>
    <w:p>
      <w:pPr>
        <w:pStyle w:val="Para 03"/>
      </w:pPr>
      <w:r>
        <w:t>Cách đơn giản nhất để đưa ảnh hưởng của các quyền chọn đang lưu hành vào giá trị trên mỗi cổ phần là chia giá trị vốn cổ phần cho số lượng cổ phiếu sẽ đang lưu hành nếu tất cả quyền chọn được thực hiện ngay hôm nay — tức số lượng cổ phiếu pha loãng hoàn toàn (fully diluted number of shares). Dù cách tiếp cận này có ưu điểm là đơn giản, nó sẽ dẫn đến ước tính giá trị trên mỗi cổ phần quá thấp vì hai lý do:</w:t>
      </w:r>
    </w:p>
    <w:p>
      <w:pPr>
        <w:numPr>
          <w:ilvl w:val="0"/>
          <w:numId w:val="160"/>
        </w:numPr>
        <w:pStyle w:val="Para 01"/>
      </w:pPr>
      <w:r>
        <w:t>Nó tính đến tất cả quyền chọn đang lưu hành, chứ không chỉ những quyền chọn đang có lãi (in-the-money) và đã được trao quyền (vested). Công bằng mà nói, có những biến thể của cách tiếp cận này trong đó số lượng cổ phiếu đang lưu hành được điều chỉnh để chỉ phản ánh những quyền chọn đang có lãi và đã được trao quyền.</w:t>
      </w:r>
    </w:p>
    <w:p>
      <w:pPr>
        <w:numPr>
          <w:ilvl w:val="0"/>
          <w:numId w:val="160"/>
        </w:numPr>
        <w:pStyle w:val="Para 01"/>
      </w:pPr>
      <w:r>
        <w:t>Nó không tính đến khoản tiền thu được kỳ vọng từ việc thực hiện quyền chọn, vốn sẽ tạo ra một dòng tiền vào cho công ty.</w:t>
      </w:r>
    </w:p>
    <w:p>
      <w:pPr>
        <w:pStyle w:val="Para 03"/>
      </w:pPr>
      <w:r>
        <w:t>Cuối cùng, cách tiếp cận này không đưa phần bù thời gian (time premium) của các quyền chọn vào định giá.</w:t>
      </w:r>
    </w:p>
    <w:p>
      <w:bookmarkStart w:id="3285" w:name="Estimate_Expected_Option_Exercis"/>
      <w:pPr>
        <w:pStyle w:val="Para 21"/>
      </w:pPr>
      <w:r>
        <w:t>Ước tính việc thực hiện quyền chọn kỳ vọng trong tương lai và tính vào mức pha loãng kỳ vọng</w:t>
      </w:r>
      <w:bookmarkEnd w:id="3285"/>
    </w:p>
    <w:p>
      <w:pPr>
        <w:pStyle w:val="Para 03"/>
      </w:pPr>
      <w:r>
        <w:t>Theo cách tiếp cận này, bạn dự báo thời điểm các quyền chọn sẽ được thực hiện và tính vào các dòng tiền ra kỳ vọng gắn với việc thực hiện đó, bằng cách giả định rằng công ty sẽ mua lại cổ phiếu để đáp ứng việc thực hiện. Hạn chế lớn nhất của cách tiếp cận này là nó đòi hỏi phải ước tính giá cổ phiếu sẽ là bao nhiêu trong tương lai và thời điểm các quyền chọn trên cổ phiếu sẽ được thực hiện. Vì mục tiêu của bạn là xem xét liệu giá hiện tại có đúng hay không, việc dự báo giá tương lai để ước tính giá trị trên mỗi cổ phần hiện tại nghe có vẻ như lẩn quẩn. Nói chung, cách tiếp cận này vừa không thực tế vừa không đặc biệt hữu ích trong việc đưa ra những ước tính giá trị hợp lý.</w:t>
      </w:r>
    </w:p>
    <w:p>
      <w:bookmarkStart w:id="3287" w:name="Use_Treasury_Stock_Approach__Thi"/>
      <w:pPr>
        <w:pStyle w:val="Para 21"/>
      </w:pPr>
      <w:r>
        <w:t>Dùng cách tiếp cận cổ phiếu quỹ</w:t>
      </w:r>
      <w:bookmarkEnd w:id="3287"/>
    </w:p>
    <w:p>
      <w:pPr>
        <w:pStyle w:val="Para 03"/>
      </w:pPr>
      <w:r>
        <w:t>Cách tiếp cận này là một biến thể của cách tiếp cận pha loãng hoàn toàn. Ở đây, số lượng cổ phiếu được điều chỉnh để phản ánh các quyền chọn đang lưu hành, nhưng khoản tiền thu được kỳ vọng từ việc thực hiện (giá thực hiện nhân với số lượng quyền chọn) được cộng vào giá trị vốn cổ phần. Hạn chế của cách tiếp cận này là, giống như cách tiếp cận pha loãng hoàn toàn, nó không xét đến phần bù thời gian của các quyền chọn, và không có cách nào hiệu quả để xử lý vấn đề trao quyền. Nói chung, cách tiếp cận này, do đánh giá thấp giá trị của các quyền chọn được trao, sẽ đánh giá quá cao giá trị vốn cổ phần trên mỗi cổ phần.</w:t>
      </w:r>
    </w:p>
    <w:p>
      <w:pPr>
        <w:pStyle w:val="Para 03"/>
      </w:pPr>
      <w:r>
        <w:t>Ưu điểm lớn nhất của cách tiếp cận này là nó không đòi hỏi một giá trị trên mỗi cổ phần (hay giá cổ phiếu) để đưa giá trị quyền chọn vào giá trị trên mỗi cổ phần. Như bạn sẽ thấy với cách tiếp cận cuối cùng (và được khuyến nghị), có một sự lẩn quẩn được tạo ra khi giá cổ phiếu là một đầu vào khi ước tính giá trị trên mỗi cổ phần.</w:t>
      </w:r>
    </w:p>
    <w:p>
      <w:pPr>
        <w:pStyle w:val="Para 11"/>
      </w:pPr>
      <w:r>
        <w:t xml:space="preserve"> </w:t>
      </w:r>
    </w:p>
    <w:p>
      <w:bookmarkStart w:id="3289" w:name="ILLUSTRATION_16_8___The_Option_O"/>
      <w:bookmarkStart w:id="3290" w:name="ILLUSTRATION_16_8___The_Option_O_1"/>
      <w:pPr>
        <w:keepNext/>
        <w:pStyle w:val="Para 19"/>
        <w:keepLines w:val="on"/>
      </w:pPr>
      <w:r>
        <w:t>MINH HỌA 16.8: Lượng quyền chọn tồn đọng tại Cisco — Cách tiếp cận pha loãng hoàn toàn so với cách tiếp cận cổ phiếu quỹ</w:t>
      </w:r>
      <w:bookmarkEnd w:id="3289"/>
      <w:bookmarkEnd w:id="3290"/>
    </w:p>
    <w:p>
      <w:pPr>
        <w:pStyle w:val="Para 04"/>
        <w:keepLines w:val="on"/>
      </w:pPr>
      <w:r>
        <w:t>Cisco Systems đã sử dụng quyền chọn cho ban quản lý một cách thoải mái trong suốt vòng đời của mình để bổ sung cho các gói thù lao. Sau một thập kỷ đầy khó khăn với những thương vụ mua lại thất bại và giá cổ phiếu trì trệ, cổ phiếu của công ty đang giao dịch ở mức 16,26 đô la một cổ phần vào tháng 5 năm 2011. Vào thời điểm đó, công ty có 5.528 triệu cổ phiếu đang lưu hành, nhưng cũng báo cáo 732 triệu quyền chọn đang lưu hành, với phân tích chi tiết về giá thực hiện và thời gian đáo hạn như sau (xem Bảng 16.5):</w:t>
      </w:r>
    </w:p>
    <w:p>
      <w:pPr>
        <w:pStyle w:val="Para 25"/>
        <w:keepLines w:val="on"/>
      </w:pPr>
      <w:r>
        <w:t>Bảng 16.5</w:t>
      </w:r>
    </w:p>
    <w:p>
      <w:pPr>
        <w:keepNext/>
        <w:pStyle w:val="Para 24"/>
        <w:keepLines w:val="on"/>
      </w:pPr>
      <w:r>
        <w:t>Cisco—Các quyền chọn đang lưu hành</w:t>
      </w:r>
    </w:p>
    <w:tbl>
      <w:tblPr>
        <w:tblW w:type="auto" w:w="0"/>
      </w:tblPr>
      <w:tr>
        <w:tc>
          <w:tcPr>
            <w:tcW w:type="auto" w:w="0"/>
          </w:tcPr>
          <w:tbl>
            <w:tblPr>
              <w:tblW w:type="auto" w:w="0"/>
            </w:tblPr>
            <w:tr>
              <w:tc>
                <w:tcPr>
                  <w:tcW w:type="auto" w:w="0"/>
                  <w:shd w:val="clear" w:color="auto" w:fill="F0F0F0"/>
                  <w:vAlign w:val="bottom"/>
                </w:tcPr>
                <w:p>
                  <w:pPr>
                    <w:pStyle w:val="Para 32"/>
                    <w:keepLines w:val="on"/>
                  </w:pPr>
                  <w:r>
                    <w:t>Giá thực hiện</w:t>
                  </w:r>
                </w:p>
              </w:tc>
              <w:tc>
                <w:tcPr>
                  <w:tcW w:type="auto" w:w="0"/>
                  <w:shd w:val="clear" w:color="auto" w:fill="F0F0F0"/>
                  <w:vAlign w:val="bottom"/>
                </w:tcPr>
                <w:p>
                  <w:pPr>
                    <w:pStyle w:val="Para 05"/>
                    <w:keepLines w:val="on"/>
                  </w:pPr>
                  <w:r>
                    <w:t>Số lượng (triệu)</w:t>
                  </w:r>
                </w:p>
              </w:tc>
              <w:tc>
                <w:tcPr>
                  <w:tcW w:type="auto" w:w="0"/>
                  <w:shd w:val="clear" w:color="auto" w:fill="F0F0F0"/>
                  <w:vAlign w:val="bottom"/>
                </w:tcPr>
                <w:p>
                  <w:pPr>
                    <w:pStyle w:val="Para 05"/>
                    <w:keepLines w:val="on"/>
                  </w:pPr>
                  <w:r>
                    <w:t>Thời gian đáo hạn bình quân gia quyền</w:t>
                  </w:r>
                </w:p>
              </w:tc>
              <w:tc>
                <w:tcPr>
                  <w:tcW w:type="auto" w:w="0"/>
                  <w:shd w:val="clear" w:color="auto" w:fill="F0F0F0"/>
                </w:tcPr>
                <w:p>
                  <w:pPr>
                    <w:pStyle w:val="Para 05"/>
                    <w:keepLines w:val="on"/>
                  </w:pPr>
                  <w:r>
                    <w:t>Giá thực hiện bình quân gia quyền</w:t>
                  </w:r>
                </w:p>
              </w:tc>
            </w:tr>
            <w:tr>
              <w:tc>
                <w:tcPr>
                  <w:tcW w:type="auto" w:w="0"/>
                  <w:shd w:val="clear" w:color="auto" w:fill="F0F0F0"/>
                </w:tcPr>
                <w:p>
                  <w:pPr>
                    <w:pStyle w:val="Para 02"/>
                    <w:keepLines w:val="on"/>
                  </w:pPr>
                  <w:r>
                    <w:t>0,01–15,00 đô la</w:t>
                  </w:r>
                </w:p>
              </w:tc>
              <w:tc>
                <w:tcPr>
                  <w:tcW w:type="auto" w:w="0"/>
                  <w:shd w:val="clear" w:color="auto" w:fill="F0F0F0"/>
                </w:tcPr>
                <w:p>
                  <w:pPr>
                    <w:pStyle w:val="Normal"/>
                    <w:keepLines w:val="on"/>
                  </w:pPr>
                  <w:r>
                    <w:t>71</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10,62 đô la</w:t>
                  </w:r>
                </w:p>
              </w:tc>
            </w:tr>
            <w:tr>
              <w:tc>
                <w:tcPr>
                  <w:tcW w:type="auto" w:w="0"/>
                  <w:shd w:val="clear" w:color="auto" w:fill="F0F0F0"/>
                </w:tcPr>
                <w:p>
                  <w:pPr>
                    <w:pStyle w:val="Para 02"/>
                    <w:keepLines w:val="on"/>
                  </w:pPr>
                  <w:r>
                    <w:t>15,01–18,00 đô la</w:t>
                  </w:r>
                </w:p>
              </w:tc>
              <w:tc>
                <w:tcPr>
                  <w:tcW w:type="auto" w:w="0"/>
                  <w:shd w:val="clear" w:color="auto" w:fill="F0F0F0"/>
                </w:tcPr>
                <w:p>
                  <w:pPr>
                    <w:pStyle w:val="Normal"/>
                    <w:keepLines w:val="on"/>
                  </w:pPr>
                  <w:r>
                    <w:t>137</w:t>
                  </w:r>
                </w:p>
              </w:tc>
              <w:tc>
                <w:tcPr>
                  <w:tcW w:type="auto" w:w="0"/>
                  <w:shd w:val="clear" w:color="auto" w:fill="F0F0F0"/>
                </w:tcPr>
                <w:p>
                  <w:pPr>
                    <w:pStyle w:val="Normal"/>
                    <w:keepLines w:val="on"/>
                  </w:pPr>
                  <w:r>
                    <w:t>3,18</w:t>
                  </w:r>
                </w:p>
              </w:tc>
              <w:tc>
                <w:tcPr>
                  <w:tcW w:type="auto" w:w="0"/>
                  <w:shd w:val="clear" w:color="auto" w:fill="F0F0F0"/>
                </w:tcPr>
                <w:p>
                  <w:pPr>
                    <w:pStyle w:val="Normal"/>
                    <w:keepLines w:val="on"/>
                  </w:pPr>
                  <w:r>
                    <w:t>$17,38</w:t>
                  </w:r>
                </w:p>
              </w:tc>
            </w:tr>
            <w:tr>
              <w:tc>
                <w:tcPr>
                  <w:tcW w:type="auto" w:w="0"/>
                  <w:shd w:val="clear" w:color="auto" w:fill="F0F0F0"/>
                </w:tcPr>
                <w:p>
                  <w:pPr>
                    <w:pStyle w:val="Para 02"/>
                    <w:keepLines w:val="on"/>
                  </w:pPr>
                  <w:r>
                    <w:t>$18,01–$20,00</w:t>
                  </w:r>
                </w:p>
              </w:tc>
              <w:tc>
                <w:tcPr>
                  <w:tcW w:type="auto" w:w="0"/>
                  <w:shd w:val="clear" w:color="auto" w:fill="F0F0F0"/>
                </w:tcPr>
                <w:p>
                  <w:pPr>
                    <w:pStyle w:val="Normal"/>
                    <w:keepLines w:val="on"/>
                  </w:pPr>
                  <w:r>
                    <w:t>177</w:t>
                  </w:r>
                </w:p>
              </w:tc>
              <w:tc>
                <w:tcPr>
                  <w:tcW w:type="auto" w:w="0"/>
                  <w:shd w:val="clear" w:color="auto" w:fill="F0F0F0"/>
                </w:tcPr>
                <w:p>
                  <w:pPr>
                    <w:pStyle w:val="Normal"/>
                    <w:keepLines w:val="on"/>
                  </w:pPr>
                  <w:r>
                    <w:t>2,90</w:t>
                  </w:r>
                </w:p>
              </w:tc>
              <w:tc>
                <w:tcPr>
                  <w:tcW w:type="auto" w:w="0"/>
                  <w:shd w:val="clear" w:color="auto" w:fill="F0F0F0"/>
                </w:tcPr>
                <w:p>
                  <w:pPr>
                    <w:pStyle w:val="Normal"/>
                    <w:keepLines w:val="on"/>
                  </w:pPr>
                  <w:r>
                    <w:t>$19,29</w:t>
                  </w:r>
                </w:p>
              </w:tc>
            </w:tr>
            <w:tr>
              <w:tc>
                <w:tcPr>
                  <w:tcW w:type="auto" w:w="0"/>
                  <w:shd w:val="clear" w:color="auto" w:fill="F0F0F0"/>
                </w:tcPr>
                <w:p>
                  <w:pPr>
                    <w:pStyle w:val="Para 02"/>
                    <w:keepLines w:val="on"/>
                  </w:pPr>
                  <w:r>
                    <w:t>$20,01–$25,00</w:t>
                  </w:r>
                </w:p>
              </w:tc>
              <w:tc>
                <w:tcPr>
                  <w:tcW w:type="auto" w:w="0"/>
                  <w:shd w:val="clear" w:color="auto" w:fill="F0F0F0"/>
                </w:tcPr>
                <w:p>
                  <w:pPr>
                    <w:pStyle w:val="Normal"/>
                    <w:keepLines w:val="on"/>
                  </w:pPr>
                  <w:r>
                    <w:t>188</w:t>
                  </w:r>
                </w:p>
              </w:tc>
              <w:tc>
                <w:tcPr>
                  <w:tcW w:type="auto" w:w="0"/>
                  <w:shd w:val="clear" w:color="auto" w:fill="F0F0F0"/>
                </w:tcPr>
                <w:p>
                  <w:pPr>
                    <w:pStyle w:val="Normal"/>
                    <w:keepLines w:val="on"/>
                  </w:pPr>
                  <w:r>
                    <w:t>4,26</w:t>
                  </w:r>
                </w:p>
              </w:tc>
              <w:tc>
                <w:tcPr>
                  <w:tcW w:type="auto" w:w="0"/>
                  <w:shd w:val="clear" w:color="auto" w:fill="F0F0F0"/>
                </w:tcPr>
                <w:p>
                  <w:pPr>
                    <w:pStyle w:val="Normal"/>
                    <w:keepLines w:val="on"/>
                  </w:pPr>
                  <w:r>
                    <w:t>$22,48</w:t>
                  </w:r>
                </w:p>
              </w:tc>
            </w:tr>
            <w:tr>
              <w:tc>
                <w:tcPr>
                  <w:tcW w:type="auto" w:w="0"/>
                  <w:shd w:val="clear" w:color="auto" w:fill="F0F0F0"/>
                </w:tcPr>
                <w:p>
                  <w:pPr>
                    <w:pStyle w:val="Para 02"/>
                    <w:keepLines w:val="on"/>
                  </w:pPr>
                  <w:r>
                    <w:t>$25,01–$35,00</w:t>
                  </w:r>
                </w:p>
              </w:tc>
              <w:tc>
                <w:tcPr>
                  <w:tcW w:type="auto" w:w="0"/>
                  <w:shd w:val="clear" w:color="auto" w:fill="F0F0F0"/>
                </w:tcPr>
                <w:p>
                  <w:pPr>
                    <w:pStyle w:val="Normal"/>
                    <w:keepLines w:val="on"/>
                  </w:pPr>
                  <w:r>
                    <w:t>158</w:t>
                  </w:r>
                </w:p>
              </w:tc>
              <w:tc>
                <w:tcPr>
                  <w:tcW w:type="auto" w:w="0"/>
                  <w:shd w:val="clear" w:color="auto" w:fill="F0F0F0"/>
                </w:tcPr>
                <w:p>
                  <w:pPr>
                    <w:pStyle w:val="Normal"/>
                    <w:keepLines w:val="on"/>
                  </w:pPr>
                  <w:r>
                    <w:t>6,02</w:t>
                  </w:r>
                </w:p>
              </w:tc>
              <w:tc>
                <w:tcPr>
                  <w:tcW w:type="auto" w:w="0"/>
                  <w:shd w:val="clear" w:color="auto" w:fill="F0F0F0"/>
                </w:tcPr>
                <w:p>
                  <w:pPr>
                    <w:pStyle w:val="Normal"/>
                    <w:keepLines w:val="on"/>
                  </w:pPr>
                  <w:r>
                    <w:t>$30,63</w:t>
                  </w:r>
                </w:p>
              </w:tc>
            </w:tr>
            <w:tr>
              <w:tc>
                <w:tcPr>
                  <w:tcW w:type="auto" w:w="0"/>
                  <w:shd w:val="clear" w:color="auto" w:fill="F0F0F0"/>
                </w:tcPr>
                <w:p>
                  <w:pPr>
                    <w:pStyle w:val="Para 02"/>
                    <w:keepLines w:val="on"/>
                  </w:pPr>
                  <w:r>
                    <w:t>&gt;$35</w:t>
                  </w:r>
                </w:p>
              </w:tc>
              <w:tc>
                <w:tcPr>
                  <w:tcW w:type="auto" w:w="0"/>
                  <w:shd w:val="clear" w:color="auto" w:fill="F0F0F0"/>
                </w:tcPr>
                <w:p>
                  <w:pPr>
                    <w:pStyle w:val="Normal"/>
                    <w:keepLines w:val="on"/>
                  </w:pPr>
                  <w:r>
                    <w:t>1</w:t>
                  </w:r>
                </w:p>
              </w:tc>
              <w:tc>
                <w:tcPr>
                  <w:tcW w:type="auto" w:w="0"/>
                  <w:shd w:val="clear" w:color="auto" w:fill="F0F0F0"/>
                </w:tcPr>
                <w:p>
                  <w:pPr>
                    <w:pStyle w:val="Normal"/>
                    <w:keepLines w:val="on"/>
                  </w:pPr>
                  <w:r>
                    <w:t>0,61</w:t>
                  </w:r>
                </w:p>
              </w:tc>
              <w:tc>
                <w:tcPr>
                  <w:tcW w:type="auto" w:w="0"/>
                  <w:shd w:val="clear" w:color="auto" w:fill="F0F0F0"/>
                </w:tcPr>
                <w:p>
                  <w:pPr>
                    <w:pStyle w:val="Normal"/>
                    <w:keepLines w:val="on"/>
                  </w:pPr>
                  <w:r>
                    <w:t>$54,22</w:t>
                  </w:r>
                </w:p>
              </w:tc>
            </w:tr>
            <w:tr>
              <w:tc>
                <w:tcPr>
                  <w:tcW w:type="auto" w:w="0"/>
                  <w:shd w:val="clear" w:color="auto" w:fill="F0F0F0"/>
                </w:tcPr>
                <w:p>
                  <w:pPr>
                    <w:pStyle w:val="Para 02"/>
                    <w:keepLines w:val="on"/>
                  </w:pPr>
                  <w:r>
                    <w:t>Tổng cộng</w:t>
                  </w:r>
                </w:p>
              </w:tc>
              <w:tc>
                <w:tcPr>
                  <w:tcW w:type="auto" w:w="0"/>
                  <w:shd w:val="clear" w:color="auto" w:fill="F0F0F0"/>
                </w:tcPr>
                <w:p>
                  <w:pPr>
                    <w:pStyle w:val="Normal"/>
                    <w:keepLines w:val="on"/>
                  </w:pPr>
                  <w:r>
                    <w:t>732</w:t>
                  </w:r>
                </w:p>
              </w:tc>
              <w:tc>
                <w:tcPr>
                  <w:tcW w:type="auto" w:w="0"/>
                  <w:shd w:val="clear" w:color="auto" w:fill="F0F0F0"/>
                </w:tcPr>
                <w:p>
                  <w:pPr>
                    <w:pStyle w:val="Normal"/>
                    <w:keepLines w:val="on"/>
                  </w:pPr>
                  <w:r>
                    <w:t>3,94</w:t>
                  </w:r>
                </w:p>
              </w:tc>
              <w:tc>
                <w:tcPr>
                  <w:tcW w:type="auto" w:w="0"/>
                  <w:shd w:val="clear" w:color="auto" w:fill="F0F0F0"/>
                </w:tcPr>
                <w:p>
                  <w:pPr>
                    <w:pStyle w:val="Normal"/>
                    <w:keepLines w:val="on"/>
                  </w:pPr>
                  <w:r>
                    <w:t>$21,39</w:t>
                  </w:r>
                </w:p>
              </w:tc>
            </w:tr>
          </w:tbl>
          <w:p/>
        </w:tc>
      </w:tr>
    </w:tbl>
    <w:p>
      <w:pPr>
        <w:pStyle w:val="Para 04"/>
        <w:keepLines w:val="on"/>
      </w:pPr>
      <w:r>
        <w:t>Để định giá Cisco, trước tiên chúng ta định giá công ty bằng mô hình dòng tiền chiết khấu (discounted cash flow model) và ước tính tổng giá trị vốn chủ sở hữu là $113.331 triệu. Lưu ý rằng chính giá trị này phải được phân bổ cho hai nhóm người nắm quyền đòi nợ (claim-holders) – các chủ sở hữu cổ phiếu phổ thông và những người nắm giữ quyền chọn (option holders).</w:t>
      </w:r>
    </w:p>
    <w:p>
      <w:pPr>
        <w:pStyle w:val="Para 04"/>
        <w:keepLines w:val="on"/>
      </w:pPr>
      <w:r>
        <w:t>Để ước tính giá trị bằng phương pháp pha loãng hoàn toàn (fully diluted approach), chúng ta chia tổng giá trị vốn chủ sở hữu cho số lượng cổ phiếu pha loãng hoàn toàn:</w:t>
      </w:r>
    </w:p>
    <w:p>
      <w:bookmarkStart w:id="3294" w:name="Value_of_equity_Value_of_equity"/>
      <w:pPr>
        <w:keepNext/>
        <w:pStyle w:val="Para 07"/>
        <w:keepLines w:val="on"/>
      </w:pPr>
      <w:r>
        <w:t>Giá trị vốn chủ sở hữu = Giá trị vốn chủ sở hữu # cổ phiếu phổ thông + # quyền chọn = 113.331 (5.528 + 732) = 18,10 đô la/cổ phiếu</w:t>
      </w:r>
      <w:bookmarkEnd w:id="3294"/>
    </w:p>
    <w:p>
      <w:pPr>
        <w:pStyle w:val="Para 04"/>
        <w:keepLines w:val="on"/>
      </w:pPr>
      <w:r>
        <w:t>Lưu ý rằng đây là một ước tính cực kỳ thận trọng vì chúng ta không chỉ bỏ qua số tiền thu được từ việc thực hiện quyền chọn mà còn vì nhiều quyền chọn trong số này hiện đang ở trạng thái lỗ (out-of-the-money).</w:t>
      </w:r>
    </w:p>
    <w:p>
      <w:pPr>
        <w:pStyle w:val="Para 04"/>
        <w:keepLines w:val="on"/>
      </w:pPr>
      <w:r>
        <w:t>Với phương pháp cổ phiếu quỹ (treasury stock approach), thay vì cộng số tiền thu được từ việc thực hiện tất cả quyền chọn đang lưu hành, chúng ta chỉ tính đến 208 triệu quyền chọn đang có lãi (in-the-money) và cộng thêm 3.135 triệu đô la tiền thu được từ việc thực hiện các quyền chọn này (với giá thực hiện trung bình là 15,07 đô la).</w:t>
      </w:r>
    </w:p>
    <w:p>
      <w:bookmarkStart w:id="3295" w:name="Value_of_equity_Value_of_equity_1"/>
      <w:pPr>
        <w:keepNext/>
        <w:pStyle w:val="Para 07"/>
        <w:keepLines w:val="on"/>
      </w:pPr>
      <w:r>
        <w:t>Giá trị vốn chủ sở hữu = Giá trị vốn chủ sở hữu + Tiền thu được từ thực hiện quyền chọn # cổ phiếu phổ thông + # quyền chọn = 113.331 + 3.135 đô la (5.528 + 732) = 20,30 đô la/cổ phiếu</w:t>
      </w:r>
      <w:bookmarkEnd w:id="3295"/>
    </w:p>
    <w:p>
      <w:pPr>
        <w:pStyle w:val="Para 04"/>
        <w:keepLines w:val="on"/>
      </w:pPr>
      <w:r>
        <w:t>Lưu ý rằng phương pháp cổ phiếu quỹ bỏ qua phần phụ trội thời gian (time premium) trên các quyền chọn đang có lãi. Do đó, nó có khả năng đưa ra ước tính giá trị vốn chủ sở hữu trên mỗi cổ phiếu quá cao. (Thực tế, việc đưa các quyền chọn đang lỗ vào phương pháp cổ phiếu quỹ sẽ đẩy giá trị trên mỗi cổ phiếu lên cao hơn.)</w:t>
      </w:r>
    </w:p>
    <w:p>
      <w:bookmarkStart w:id="3296" w:name="Value_Options_Using_the_Option_P"/>
      <w:pPr>
        <w:pStyle w:val="Para 21"/>
      </w:pPr>
      <w:r>
        <w:t>Định giá quyền chọn bằng mô hình định giá quyền chọn</w:t>
      </w:r>
      <w:bookmarkEnd w:id="3296"/>
    </w:p>
    <w:p>
      <w:pPr>
        <w:pStyle w:val="Para 03"/>
      </w:pPr>
      <w:r>
        <w:t>Cách tiếp cận đúng đắn để xử lý quyền chọn là ước tính giá trị của quyền chọn ngày hôm nay, dựa trên giá trị trên mỗi cổ phiếu hiện tại và phần phụ trội thời gian của quyền chọn. Sau khi đã ước tính được giá trị này, ta trừ nó khỏi giá trị vốn chủ sở hữu, rồi chia cho số cổ phiếu đang lưu hành để ra giá trị trên mỗi cổ phiếu.</w:t>
      </w:r>
    </w:p>
    <w:p>
      <w:bookmarkStart w:id="3298" w:name="Value_of_equity_per_share_Aggreg"/>
      <w:pPr>
        <w:keepNext/>
        <w:pStyle w:val="Para 09"/>
        <w:keepLines w:val="on"/>
      </w:pPr>
      <w:r>
        <w:t>Giá trị vốn chủ sở hữu trên mỗi cổ phiếu = Tổng giá trị vốn chủ sở hữu − Giá trị quyền chọn của nhân viên Số cổ phiếu đang lưu hành</w:t>
      </w:r>
      <w:bookmarkEnd w:id="3298"/>
    </w:p>
    <w:p>
      <w:pPr>
        <w:pStyle w:val="Para 03"/>
      </w:pPr>
      <w:r>
        <w:t>Tuy nhiên, khi định giá các quyền chọn này, có bốn vấn đề về đo lường mà bạn phải đối mặt. Một là thực tế rằng không phải tất cả quyền chọn đang lưu hành đều đã được trao quyền (vested), và một số quyền chọn chưa được trao quyền có thể sẽ không bao giờ được trao quyền. Thứ hai liên quan đến giá cổ phiếu dùng để định giá các quyền chọn này. Như phần mô tả ở đoạn trước đã làm rõ, giá trị trên mỗi cổ phiếu vừa là đầu vào vừa là đầu ra của quá trình này. Vấn đề thứ ba là thuế. Vì các công ty được phép khấu trừ một phần chi phí liên quan đến việc thực hiện quyền chọn, nên có thể có khoản tiết kiệm thuế tiềm năng khi quyền chọn được thực hiện. Vấn đề cuối cùng liên quan đến các công ty tư nhân đang chuẩn bị phát hành cổ phiếu ra công chúng. Các đầu vào then chốt của mô hình định giá quyền chọn, bao gồm giá cổ phiếu và phương sai, không thể có được đối với những công ty này, nhưng dù sao thì các quyền chọn vẫn phải được định giá.</w:t>
      </w:r>
    </w:p>
    <w:p>
      <w:bookmarkStart w:id="3299" w:name="Dealing_with_Vesting__As_noted_e"/>
      <w:pPr>
        <w:pStyle w:val="Para 42"/>
      </w:pPr>
      <w:r>
        <w:t>Xử lý vấn đề trao quyền</w:t>
      </w:r>
      <w:bookmarkEnd w:id="3299"/>
    </w:p>
    <w:p>
      <w:pPr>
        <w:pStyle w:val="Para 03"/>
      </w:pPr>
      <w:r>
        <w:t>Như đã đề cập trước đó trong chương này, các công ty trao quyền chọn cho nhân viên thường yêu cầu nhân viên nhận quyền chọn phải ở lại công ty trong một khoảng thời gian nhất định để quyền chọn được trao quyền. Do đó, khi bạn xem xét các quyền chọn đang lưu hành tại một công ty, bạn đang nhìn vào một hỗn hợp các quyền chọn đã được trao quyền và chưa được trao quyền. Các quyền chọn chưa được trao quyền nên có giá trị thấp hơn các quyền chọn đã được trao quyền, nhưng xác suất được trao quyền sẽ phụ thuộc vào mức độ có lãi của quyền chọn và khoảng thời gian còn lại để nhân viên được trao quyền. Mặc dù đã có những nỗ lực phát triển các mô hình định giá quyền chọn cho phép khả năng nhân viên có thể rời công ty trước khi được trao quyền và mất đi giá trị quyền chọn của họ,10 nhưng khả năng xảy ra điều đó khi người quản lý nắm giữ một lượng lớn quyền chọn lẽ ra phải nhỏ. Carpenter (1998) đã phát triển một phần mở rộng đơn giản của mô hình định giá quyền chọn tiêu chuẩn để cho phép thực hiện sớm và mất quyền, và sử dụng nó để định giá quyền chọn của ban điều hành.</w:t>
      </w:r>
    </w:p>
    <w:p>
      <w:bookmarkStart w:id="3303" w:name="Which_Stock_Price___The_answer_t"/>
      <w:pPr>
        <w:pStyle w:val="Para 42"/>
      </w:pPr>
      <w:r>
        <w:t>Dùng giá cổ phiếu nào?</w:t>
      </w:r>
      <w:bookmarkEnd w:id="3303"/>
    </w:p>
    <w:p>
      <w:pPr>
        <w:pStyle w:val="Para 03"/>
      </w:pPr>
      <w:r>
        <w:t>Câu trả lời cho câu hỏi này có vẻ hiển nhiên. Vì cổ phiếu được giao dịch và bạn có thể tìm được giá cổ phiếu, có vẻ như bạn nên dùng giá cổ phiếu hiện tại để định giá quyền chọn. Tuy nhiên, bạn đang định giá các quyền chọn này để đưa ra một giá trị trên mỗi cổ phiếu mà sau đó bạn sẽ so sánh với giá thị trường để quyết định xem một cổ phiếu đang bị định giá thấp hay cao. Vì vậy, việc dùng giá thị trường hiện tại để tính ra giá trị của các quyền chọn, rồi lại dùng giá trị quyền chọn này để ước tính một giá trị trên mỗi cổ phiếu hoàn toàn khác có vẻ không nhất quán.</w:t>
      </w:r>
    </w:p>
    <w:p>
      <w:pPr>
        <w:pStyle w:val="Para 03"/>
      </w:pPr>
      <w:r>
        <w:t>Có một giải pháp. Bạn có thể định giá các quyền chọn bằng cách dùng giá trị ước tính trên mỗi cổ phiếu. Tuy nhiên, điều này tạo ra lập luận vòng tròn trong việc định giá của bạn. Nói cách khác, bạn cần giá trị quyền chọn để ước tính giá trị trên mỗi cổ phiếu, và cần giá trị trên mỗi cổ phiếu để ước tính giá trị quyền chọn. Chúng tôi khuyên bạn nên ước tính giá trị trên mỗi cổ phiếu ban đầu bằng phương pháp cổ phiếu quỹ, rồi sau đó hội tụ về giá trị trên mỗi cổ phiếu đúng đắn bằng cách lặp lại.11</w:t>
      </w:r>
    </w:p>
    <w:p>
      <w:pPr>
        <w:pStyle w:val="Para 03"/>
      </w:pPr>
      <w:r>
        <w:t>Có một vấn đề liên quan khác. Khi quyền chọn được thực hiện, chúng làm tăng số cổ phiếu đang lưu hành, và do đó có thể có ảnh hưởng đến giá cổ phiếu. Trong các mô hình định giá quyền chọn thông thường, việc thực hiện quyền chọn không ảnh hưởng đến giá cổ phiếu. Những mô hình này phải được điều chỉnh để cho phép tính đến hiệu ứng pha loãng (dilutive effect) của việc thực hiện quyền chọn. Điều này có thể được thực hiện đơn giản bằng cách điều chỉnh giá cổ phiếu hiện tại theo các hiệu ứng pha loãng dự kiến (như chúng ta đã làm với chứng quyền trong Chương 5).</w:t>
      </w:r>
    </w:p>
    <w:p>
      <w:pPr>
        <w:pStyle w:val="Para 11"/>
      </w:pPr>
      <w:r>
        <w:t xml:space="preserve"> </w:t>
      </w:r>
    </w:p>
    <w:p>
      <w:bookmarkStart w:id="3306" w:name="What_About_Other_Options__While"/>
      <w:bookmarkStart w:id="3307" w:name="What_About_Other_Options"/>
      <w:pPr>
        <w:keepNext/>
        <w:pStyle w:val="Para 27"/>
        <w:keepLines w:val="on"/>
      </w:pPr>
      <w:r>
        <w:t>Còn các quyền chọn khác thì sao?</w:t>
      </w:r>
      <w:bookmarkEnd w:id="3306"/>
      <w:bookmarkEnd w:id="3307"/>
    </w:p>
    <w:p>
      <w:pPr>
        <w:pStyle w:val="Para 16"/>
        <w:keepLines w:val="on"/>
      </w:pPr>
      <w:r>
        <w:t>Mặc dù trong phần này chúng ta đã xem xét cụ thể các hiệu ứng của quyền chọn dành cho ban điều hành, mọi điều đã nói ở đây về quyền chọn dành cho ban điều hành và nhân viên cũng áp dụng cho các quyền chọn vốn cổ phần khác do công ty phát hành. Cụ thể, chứng quyền (warrants) phát hành để huy động vốn cổ phần và quyền chọn chuyển đổi (conversion options) trong các chứng khoán chuyển đổi (trái phiếu và cổ phiếu ưu đãi) cũng làm pha loãng giá trị của cổ phiếu phổ thông trong một công ty. Do đó, bạn cũng sẽ cần giảm giá trị vốn chủ sở hữu đi giá trị của các quyền chọn này. Tuy nhiên, nói chung, chứng quyền và quyền chuyển đổi thường dễ định giá hơn quyền chọn dành cho ban điều hành vì chúng được giao dịch. Giá trị thị trường của chứng quyền và quyền chọn chuyển đổi có thể được dùng làm thước đo cho giá trị ước tính của chúng.</w:t>
      </w:r>
    </w:p>
    <w:p>
      <w:pPr>
        <w:pStyle w:val="Para 11"/>
      </w:pPr>
      <w:r>
        <w:t xml:space="preserve"> </w:t>
      </w:r>
    </w:p>
    <w:p>
      <w:bookmarkStart w:id="3308" w:name="ILLUSTRATION_16_9___Valuing_Mana"/>
      <w:bookmarkStart w:id="3309" w:name="ILLUSTRATION_16_9___Valuing_Mana_1"/>
      <w:pPr>
        <w:keepNext/>
        <w:pStyle w:val="Para 19"/>
        <w:keepLines w:val="on"/>
      </w:pPr>
      <w:r>
        <w:t>MINH HỌA 16.9: Định giá quyền chọn dành cho ban điều hành như quyền chọn: Cisco Systems</w:t>
      </w:r>
      <w:bookmarkEnd w:id="3308"/>
      <w:bookmarkEnd w:id="3309"/>
    </w:p>
    <w:p>
      <w:pPr>
        <w:pStyle w:val="Para 04"/>
        <w:keepLines w:val="on"/>
      </w:pPr>
      <w:r>
        <w:t>Trong Minh họa 16.8, chúng ta đã ước tính giá trị vốn chủ sở hữu trên mỗi cổ phiếu tại Cisco Systems bằng cả phương pháp pha loãng hoàn toàn (fully diluted approach), mà chúng ta lập luận sẽ cho giá trị trên mỗi cổ phiếu quá thấp, và phương pháp cổ phiếu quỹ, vốn cho giá trị quá cao. Để làm cho đúng, chúng ta đã định giá 732 triệu quyền chọn đang lưu hành như quyền chọn, dùng giá cổ phiếu thực tế (16,26 đô la), giá thực hiện trung bình là 21,39 đô la, thời gian đáo hạn bình quân gia quyền là 3,94 năm, và độ lệch chuẩn ước tính của giá cổ phiếu là 40%. Với những đầu vào này và dùng mô hình Black-Scholes đã điều chỉnh cho pha loãng, chúng ta đã đưa ra ước tính giá trị là 2,96 đô la mỗi quyền chọn và tổng giá trị là 2.165 triệu đô la cho 732 triệu quyền chọn. (Cisco có tỷ suất cổ tức là 1,48% mà chúng ta đã đưa vào mô hình; xem Chương 5 để biết chi tiết).</w:t>
      </w:r>
    </w:p>
    <w:p>
      <w:pPr>
        <w:pStyle w:val="Para 04"/>
        <w:keepLines w:val="on"/>
      </w:pPr>
      <w:r>
        <w:t>Giá trị vốn chủ sở hữu trên mỗi cổ phiếu giờ đây có thể được tính, dùng giá trị vốn chủ sở hữu ước tính là 113.331 triệu đô la mà chúng ta đã đưa ra bằng phương pháp chiết khấu dòng tiền:</w:t>
      </w:r>
    </w:p>
    <w:tbl>
      <w:tblPr>
        <w:tblW w:type="auto" w:w="0"/>
      </w:tblPr>
      <w:tr>
        <w:tc>
          <w:tcPr>
            <w:tcW w:type="auto" w:w="0"/>
          </w:tcPr>
          <w:tbl>
            <w:tblPr>
              <w:tblW w:type="auto" w:w="0"/>
            </w:tblPr>
            <w:tr>
              <w:tc>
                <w:tcPr>
                  <w:tcW w:type="auto" w:w="0"/>
                  <w:shd w:val="clear" w:color="auto" w:fill="F0F0F0"/>
                </w:tcPr>
                <w:p>
                  <w:pPr>
                    <w:pStyle w:val="Para 02"/>
                    <w:keepLines w:val="on"/>
                  </w:pPr>
                  <w:r>
                    <w:t>Giá trị vốn chủ sở hữu</w:t>
                  </w:r>
                </w:p>
              </w:tc>
              <w:tc>
                <w:tcPr>
                  <w:tcW w:type="auto" w:w="0"/>
                  <w:shd w:val="clear" w:color="auto" w:fill="F0F0F0"/>
                </w:tcPr>
                <w:p>
                  <w:pPr>
                    <w:pStyle w:val="Normal"/>
                    <w:keepLines w:val="on"/>
                  </w:pPr>
                  <w:r>
                    <w:t>113.331 đô la</w:t>
                  </w:r>
                </w:p>
              </w:tc>
            </w:tr>
            <w:tr>
              <w:tc>
                <w:tcPr>
                  <w:tcW w:type="auto" w:w="0"/>
                  <w:shd w:val="clear" w:color="auto" w:fill="F0F0F0"/>
                </w:tcPr>
                <w:p>
                  <w:pPr>
                    <w:pStyle w:val="Para 02"/>
                    <w:keepLines w:val="on"/>
                  </w:pPr>
                  <w:r>
                    <w:t>Giá trị quyền chọn</w:t>
                  </w:r>
                </w:p>
              </w:tc>
              <w:tc>
                <w:tcPr>
                  <w:tcW w:type="auto" w:w="0"/>
                  <w:shd w:val="clear" w:color="auto" w:fill="F0F0F0"/>
                </w:tcPr>
                <w:p>
                  <w:pPr>
                    <w:pStyle w:val="Normal"/>
                    <w:keepLines w:val="on"/>
                  </w:pPr>
                  <w:r>
                    <w:t>2.165 đô la</w:t>
                  </w:r>
                </w:p>
              </w:tc>
            </w:tr>
            <w:tr>
              <w:tc>
                <w:tcPr>
                  <w:tcW w:type="auto" w:w="0"/>
                  <w:shd w:val="clear" w:color="auto" w:fill="F0F0F0"/>
                </w:tcPr>
                <w:p>
                  <w:pPr>
                    <w:pStyle w:val="Para 02"/>
                    <w:keepLines w:val="on"/>
                  </w:pPr>
                  <w:r>
                    <w:t>Giá trị vốn chủ sở hữu trong cổ phiếu phổ thông</w:t>
                  </w:r>
                </w:p>
              </w:tc>
              <w:tc>
                <w:tcPr>
                  <w:tcW w:type="auto" w:w="0"/>
                  <w:shd w:val="clear" w:color="auto" w:fill="F0F0F0"/>
                </w:tcPr>
                <w:p>
                  <w:pPr>
                    <w:pStyle w:val="Normal"/>
                    <w:keepLines w:val="on"/>
                  </w:pPr>
                  <w:r>
                    <w:t>$111.166</w:t>
                  </w:r>
                </w:p>
              </w:tc>
            </w:tr>
            <w:tr>
              <w:tc>
                <w:tcPr>
                  <w:tcW w:type="auto" w:w="0"/>
                  <w:shd w:val="clear" w:color="auto" w:fill="F0F0F0"/>
                </w:tcPr>
                <w:p>
                  <w:pPr>
                    <w:pStyle w:val="Para 02"/>
                    <w:keepLines w:val="on"/>
                  </w:pPr>
                  <w:r>
                    <w:t>Số lượng cổ phiếu chính</w:t>
                  </w:r>
                </w:p>
              </w:tc>
              <w:tc>
                <w:tcPr>
                  <w:tcW w:type="auto" w:w="0"/>
                  <w:shd w:val="clear" w:color="auto" w:fill="F0F0F0"/>
                </w:tcPr>
                <w:p>
                  <w:pPr>
                    <w:pStyle w:val="Normal"/>
                    <w:keepLines w:val="on"/>
                  </w:pPr>
                  <w:r>
                    <w:t>5528</w:t>
                  </w:r>
                </w:p>
              </w:tc>
            </w:tr>
            <w:tr>
              <w:tc>
                <w:tcPr>
                  <w:tcW w:type="auto" w:w="0"/>
                  <w:shd w:val="clear" w:color="auto" w:fill="F0F0F0"/>
                </w:tcPr>
                <w:p>
                  <w:pPr>
                    <w:pStyle w:val="Para 02"/>
                    <w:keepLines w:val="on"/>
                  </w:pPr>
                  <w:r>
                    <w:t>Giá trị trên mỗi cổ phiếu</w:t>
                  </w:r>
                </w:p>
              </w:tc>
              <w:tc>
                <w:tcPr>
                  <w:tcW w:type="auto" w:w="0"/>
                  <w:shd w:val="clear" w:color="auto" w:fill="F0F0F0"/>
                </w:tcPr>
                <w:p>
                  <w:pPr>
                    <w:pStyle w:val="Normal"/>
                    <w:keepLines w:val="on"/>
                  </w:pPr>
                  <w:r>
                    <w:t>$20,10</w:t>
                  </w:r>
                </w:p>
              </w:tc>
            </w:tr>
          </w:tbl>
          <w:p/>
        </w:tc>
      </w:tr>
    </w:tbl>
    <w:p>
      <w:pPr>
        <w:pStyle w:val="Para 04"/>
        <w:keepLines w:val="on"/>
      </w:pPr>
      <w:r>
        <w:t>Như vậy, sau khi tính thêm giá trị quyền chọn, chúng ta có được giá trị trên mỗi cổ phiếu cao hơn mức ước tính theo phương pháp pha loãng hoàn toàn, và thấp hơn mức ước tính theo phương pháp cổ phiếu quỹ. Giá trị này ($20,10) vẫn cao hơn đáng kể so với mức giá $16,26 mà cổ phiếu đang được giao dịch vào tháng 5 năm 2011.</w:t>
      </w:r>
    </w:p>
    <w:p>
      <w:pPr>
        <w:pStyle w:val="Para 04"/>
        <w:keepLines w:val="on"/>
      </w:pPr>
      <w:r>
        <w:t>Khi định giá các quyền chọn của Cisco, chúng ta đã dùng giá cổ phiếu hiện tại thay vì giá trị ước tính trên mỗi cổ phiếu. Nếu thực sự dùng giá trị ước tính trên mỗi cổ phiếu, nó sẽ tạo ra một quy trình lặp — giá trị của quyền chọn ảnh hưởng đến giá trị trên mỗi cổ phiếu, và giá trị trên mỗi cổ phiếu lại ảnh hưởng đến giá trị của quyền chọn. Nếu áp dụng quy trình lặp này, giá trị sau thuế của các quyền chọn sẽ tăng lên $2.637 triệu, và giá trị trên mỗi cổ phiếu sẽ giảm xuống còn $20,00.</w:t>
      </w:r>
    </w:p>
    <w:p>
      <w:bookmarkStart w:id="3312" w:name="Future_Option_Grants"/>
      <w:bookmarkStart w:id="3313" w:name="Future_Option_Grants__Just_as_op"/>
      <w:pPr>
        <w:keepNext/>
        <w:pStyle w:val="Heading 4"/>
        <w:keepLines w:val="on"/>
      </w:pPr>
      <w:r>
        <w:t>Các đợt cấp quyền chọn trong tương lai</w:t>
      </w:r>
      <w:bookmarkEnd w:id="3312"/>
      <w:bookmarkEnd w:id="3313"/>
    </w:p>
    <w:p>
      <w:pPr>
        <w:pStyle w:val="Para 03"/>
      </w:pPr>
      <w:r>
        <w:t>Cũng giống như các quyền chọn đang lưu hành hiện nay đại diện cho khả năng pha loãng hoặc dòng tiền chi ra tiềm tàng đối với các nhà đầu tư vốn cổ phần hiện hữu, các đợt cấp quyền chọn dự kiến trong tương lai cũng sẽ ảnh hưởng đến giá trị trên mỗi cổ phiếu bằng cách làm tăng số lượng cổ phiếu đang lưu hành trong các kỳ tương lai. Cách đơn giản nhất để nghĩ về sự pha loãng dự kiến này là xem xét giá trị cuối kỳ (terminal value) trong mô hình chiết khấu dòng tiền. Như đã trình bày ở chương trước, giá trị cuối kỳ được chiết khấu về hiện tại và chia cho số cổ phiếu đang lưu hành hiện nay để ra giá trị trên mỗi cổ phiếu. Tuy nhiên, các đợt phát hành quyền chọn dự kiến trong tương lai sẽ làm tăng số lượng cổ phiếu đang lưu hành trong năm cuối kỳ, và do đó làm giảm phần giá trị cuối kỳ thuộc về các nhà đầu tư vốn cổ phần hiện hữu.</w:t>
      </w:r>
    </w:p>
    <w:p>
      <w:bookmarkStart w:id="3314" w:name="Future_Option_Grants_and_Value"/>
      <w:pPr>
        <w:pStyle w:val="Para 21"/>
      </w:pPr>
      <w:r>
        <w:t>Các đợt cấp quyền chọn trong tương lai và giá trị</w:t>
      </w:r>
      <w:bookmarkEnd w:id="3314"/>
    </w:p>
    <w:p>
      <w:pPr>
        <w:pStyle w:val="Para 03"/>
      </w:pPr>
      <w:r>
        <w:t>Cho đến năm 2006, khi các quy tắc kế toán về quyền chọn thay đổi, việc đưa ảnh hưởng của các đợt phát hành quyền chọn trong tương lai vào đòi hỏi phải điều chỉnh lại lợi nhuận hiện tại để phản ánh các đợt cấp quyền chọn như là chi phí. Vì hiện nay thực hành kế toán chuẩn là coi các đợt cấp quyền chọn như chi phí, điều đó không còn cần thiết nữa.</w:t>
      </w:r>
    </w:p>
    <w:p>
      <w:pPr>
        <w:pStyle w:val="Para 03"/>
      </w:pPr>
      <w:r>
        <w:t>Tuy nhiên, bạn vẫn phải dự báo chi phí quyền chọn sẽ biến đổi như thế nào theo thời gian khi dự báo lợi nhuận tương lai. Nói chung, khi các công ty còn non trẻ với doanh thu nhỏ, thù lao dựa trên cổ phiếu (stock-based compensation) sẽ chiếm một tỷ lệ doanh thu cao một cách bất tương xứng. Khi họ mở rộng quy mô và phát triển các mô hình kinh doanh đang vận hành, những công ty này thường chuyển từ thù lao dựa trên cổ phiếu sang thù lao bằng tiền mặt, và tổng chi phí thù lao sẽ trở thành một tỷ lệ doanh thu nhỏ hơn. Bạn có thể dựa vào mức trung bình ngành cho chi phí thù lao để đưa ra những phán đoán này, và các ảnh hưởng sẽ thể hiện ra trong biên lợi nhuận hoạt động mục tiêu của bạn.</w:t>
      </w:r>
    </w:p>
    <w:p>
      <w:pPr>
        <w:pStyle w:val="Para 03"/>
      </w:pPr>
      <w:r>
        <w:t>Kể từ năm 2007, các chuẩn mực kế toán của Hoa Kỳ và quốc tế đã hội tụ về cách hạch toán các đợt cấp quyền chọn. Cả hai đều yêu cầu quyền chọn phải được ghi nhận là chi phí khi được cấp, thay vì khi được thực hiện (đó là thực hành trước năm 2007). Kết quả là, chi phí hoạt động hiện tại của một công ty bao gồm giá trị của các quyền chọn được cấp trong năm hiện tại. Nếu sau đó chúng ta giữ nguyên biên lợi nhuận hoạt động hiện tại, chúng ta đang ngầm giả định rằng công ty sẽ tiếp tục cấp quyền chọn với cùng tốc độ (tính theo phần trăm doanh thu). Nếu chúng ta hội tụ về biên lợi nhuận ngành, chúng ta đang giả định rằng các đợt cấp quyền chọn của công ty sẽ hội tụ về mức trung bình ngành (tính theo phần trăm doanh thu). Trong định giá Cisco, chúng ta giả định rằng biên lợi nhuận hiện tại sẽ không đổi trong tương lai, qua đó cố định các đợt cấp quyền chọn ở mức phần trăm doanh thu hiện tại của chúng cho tương lai.</w:t>
      </w:r>
    </w:p>
    <w:p>
      <w:pPr>
        <w:pStyle w:val="Para 11"/>
      </w:pPr>
      <w:r>
        <w:t xml:space="preserve"> </w:t>
      </w:r>
    </w:p>
    <w:p>
      <w:bookmarkStart w:id="3317" w:name="warrants_xls__This_spreadsheet_a"/>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49"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3317"/>
    </w:p>
    <w:p>
      <w:pPr>
        <w:pStyle w:val="Para 31"/>
        <w:keepLines w:val="on"/>
      </w:pPr>
      <w:r>
        <w:t>warrants.xls: Bảng tính này cho phép bạn định giá các quyền chọn đang lưu hành trong một công ty, giúp thấy được hiệu ứng pha loãng</w:t>
      </w:r>
    </w:p>
    <w:p>
      <w:pPr>
        <w:pStyle w:val="Para 03"/>
        <w:keepLines w:val="on"/>
      </w:pPr>
      <w:r>
        <w:t>.</w:t>
      </w:r>
    </w:p>
    <w:p>
      <w:bookmarkStart w:id="3318" w:name="Restricted_Stock"/>
      <w:bookmarkStart w:id="3319" w:name="Restricted_Stock__The_change_in"/>
      <w:pPr>
        <w:keepNext/>
        <w:pStyle w:val="Heading 3"/>
        <w:keepLines w:val="on"/>
      </w:pPr>
      <w:r>
        <w:t>Cổ phiếu hạn chế</w:t>
      </w:r>
      <w:bookmarkEnd w:id="3318"/>
      <w:bookmarkEnd w:id="3319"/>
    </w:p>
    <w:p>
      <w:pPr>
        <w:pStyle w:val="Para 03"/>
      </w:pPr>
      <w:r>
        <w:t>Sự thay đổi trong các quy tắc kế toán về cấp quyền chọn vào năm 2006 cũng có ảnh hưởng đến cơ cấu thù lao dựa trên cổ phiếu. Trong khi các công ty, đặc biệt là những công ty non trẻ và đang tăng trưởng, vẫn tiếp tục dùng vốn cổ phần để trả thù lao cho nhân viên, họ đã chuyển dịch khỏi quyền chọn sang cổ phiếu hạn chế (restricted stock) (tức là cổ phần trong công ty có các hạn chế về giao dịch). Từ góc độ định giá, điều này là một may mắn, vì xử lý cổ phiếu hạn chế trong định giá đơn giản hơn nhiều so với xử lý quyền chọn cho nhân viên. Cũng như với quyền chọn, chúng ta sẽ chia phần thảo luận thành cổ phiếu hạn chế đã cấp trong quá khứ và các đợt phát hành cổ phiếu hạn chế dự kiến trong tương lai.</w:t>
      </w:r>
    </w:p>
    <w:p>
      <w:bookmarkStart w:id="3320" w:name="Past_Restricted_Stock_Issuance_1"/>
      <w:bookmarkStart w:id="3321" w:name="Past_Restricted_Stock_Issuance"/>
      <w:pPr>
        <w:keepNext/>
        <w:pStyle w:val="Heading 4"/>
        <w:keepLines w:val="on"/>
      </w:pPr>
      <w:r>
        <w:t>Các đợt phát hành cổ phiếu hạn chế trong quá khứ</w:t>
      </w:r>
      <w:bookmarkEnd w:id="3320"/>
      <w:bookmarkEnd w:id="3321"/>
    </w:p>
    <w:p>
      <w:pPr>
        <w:pStyle w:val="Para 03"/>
      </w:pPr>
      <w:r>
        <w:t>Các công ty đã coi việc phát hành cổ phiếu hạn chế cho nhân viên như một thông lệ sẽ tích lũy một số lượng cổ phiếu hạn chế này, với nhiều mốc trao quyền (vesting) khác nhau. Có ba chiến lược mà bạn có thể áp dụng khi định giá một công ty để xử lý những cổ phiếu hạn chế này:</w:t>
      </w:r>
    </w:p>
    <w:p>
      <w:pPr>
        <w:numPr>
          <w:ilvl w:val="0"/>
          <w:numId w:val="161"/>
        </w:numPr>
        <w:pStyle w:val="Para 01"/>
      </w:pPr>
      <w:r>
        <w:t>Chỉ tính cổ phiếu hạn chế đã được trao quyền: Sau khi đã định giá tổng giá trị vốn cổ phần của công ty, bạn có thể chia giá trị đó cho số lượng cổ phiếu chỉ bao gồm các cổ phiếu hạn chế đã được trao quyền:</w:t>
      </w:r>
    </w:p>
    <w:p>
      <w:bookmarkStart w:id="3323" w:name="Value_per_share_Value_of_equity"/>
      <w:pPr>
        <w:keepNext/>
        <w:pStyle w:val="Para 09"/>
        <w:keepLines w:val="on"/>
      </w:pPr>
      <w:r>
        <w:t>Giá trị trên mỗi cổ phiếu=Giá trị vốn cổ phần phổ thôngSố cổ phiếu chính+Cổ phiếu hạn chế đã được trao quyền</w:t>
      </w:r>
      <w:bookmarkEnd w:id="3323"/>
    </w:p>
    <w:p>
      <w:pPr>
        <w:pStyle w:val="Para 03"/>
      </w:pPr>
      <w:r>
        <w:t>Trong chừng mực bạn bỏ sót những cổ phiếu hạn chế có thể được trao quyền trong tương lai, bạn sẽ định giá cao quá mức cổ phiếu của công ty.</w:t>
      </w:r>
    </w:p>
    <w:p>
      <w:pPr>
        <w:numPr>
          <w:ilvl w:val="0"/>
          <w:numId w:val="161"/>
        </w:numPr>
        <w:pStyle w:val="Para 01"/>
      </w:pPr>
      <w:r>
        <w:t>Tất cả cổ phiếu hạn chế: Sau khi đã định giá tổng giá trị vốn cổ phần của công ty, bạn có thể chia giá trị đó cho số lượng cổ phiếu bao gồm tất cả cổ phiếu hạn chế:</w:t>
      </w:r>
    </w:p>
    <w:p>
      <w:bookmarkStart w:id="3324" w:name="Value_per_share_Value_of_equity_1"/>
      <w:pPr>
        <w:keepNext/>
        <w:pStyle w:val="Para 09"/>
        <w:keepLines w:val="on"/>
      </w:pPr>
      <w:r>
        <w:t>Giá trị trên mỗi cổ phiếu=Giá trị vốn cổ phần phổ thôngSố cổ phiếu chính+Tất cả cổ phiếu hạn chế</w:t>
      </w:r>
      <w:bookmarkEnd w:id="3324"/>
    </w:p>
    <w:p>
      <w:pPr>
        <w:pStyle w:val="Para 03"/>
      </w:pPr>
      <w:r>
        <w:t>Trong chừng mực bạn đang tính vào những cổ phiếu hạn chế có thể không được trao quyền trong tương lai, bạn sẽ định giá thấp quá mức cổ phiếu của công ty.</w:t>
      </w:r>
    </w:p>
    <w:p>
      <w:pPr>
        <w:numPr>
          <w:ilvl w:val="0"/>
          <w:numId w:val="161"/>
        </w:numPr>
        <w:pStyle w:val="Para 01"/>
      </w:pPr>
      <w:r>
        <w:t>Cổ phiếu hạn chế (restricted stock), với thời điểm vesting dự kiến: Sau khi bạn đã định giá tổng giá trị vốn cổ phần (equity) của công ty, bạn có thể chia giá trị đó cho số lượng cổ phiếu, bao gồm tất cả cổ phiếu hạn chế đã vesting và giá trị dự kiến của các cổ phiếu hạn chế hiện có sẽ được vesting trong tương lai:</w:t>
      </w:r>
    </w:p>
    <w:p>
      <w:bookmarkStart w:id="3325" w:name="Value_per_share_Value_of_equity_2"/>
      <w:pPr>
        <w:keepNext/>
        <w:pStyle w:val="Para 09"/>
        <w:keepLines w:val="on"/>
      </w:pPr>
      <w:r>
        <w:t>Giá trị mỗi cổ phiếu = Giá trị vốn cổ phần phổ thông / (Cổ phiếu chính + Cổ phiếu hạn chế dự kiến được vesting)</w:t>
      </w:r>
      <w:bookmarkEnd w:id="3325"/>
    </w:p>
    <w:p>
      <w:pPr>
        <w:pStyle w:val="Para 03"/>
      </w:pPr>
      <w:r>
        <w:t>Mặc dù đây là cách hợp lý và đầy đủ nhất để xử lý cổ phiếu hạn chế khi một phần đáng kể trong số đó chưa vesting, nó đòi hỏi bạn phải đưa ra phán đoán về việc liệu nhân viên có ở lại làm việc đủ lâu để được vesting hay không.</w:t>
      </w:r>
    </w:p>
    <w:p>
      <w:pPr>
        <w:pStyle w:val="Para 03"/>
      </w:pPr>
      <w:r>
        <w:t>Trong hầu hết các định giá, chúng ta chọn cách tiếp cận thứ hai và đếm tất cả cổ phiếu hạn chế, với giả định rằng những nhân viên nắm giữ lượng cổ phiếu hạn chế chưa vesting đáng kể sẽ ở lại để được vesting.</w:t>
      </w:r>
    </w:p>
    <w:p>
      <w:pPr>
        <w:pStyle w:val="Para 03"/>
      </w:pPr>
      <w:r>
        <w:t>Có một số nhà phân tích lập luận rằng nên áp dụng một khoản chiết khấu kém thanh khoản (illiquidity discount) cho cổ phiếu hạn chế, nhưng với các công ty niêm yết công khai, nơi nhân viên có thể tìm cách kiếm tiền từ cổ phần của mình sau khi vesting mà không cần bán cổ phiếu, chúng tôi cho rằng khoản chiết khấu này nên là không đáng kể.</w:t>
      </w:r>
    </w:p>
    <w:p>
      <w:bookmarkStart w:id="3326" w:name="Expected_Future_Restricted_Stock_1"/>
      <w:bookmarkStart w:id="3327" w:name="Expected_Future_Restricted_Stock"/>
      <w:pPr>
        <w:keepNext/>
        <w:pStyle w:val="Heading 4"/>
        <w:keepLines w:val="on"/>
      </w:pPr>
      <w:r>
        <w:t>Phát hành cổ phiếu hạn chế trong tương lai dự kiến</w:t>
      </w:r>
      <w:bookmarkEnd w:id="3326"/>
      <w:bookmarkEnd w:id="3327"/>
    </w:p>
    <w:p>
      <w:pPr>
        <w:pStyle w:val="Para 03"/>
      </w:pPr>
      <w:r>
        <w:t>Nếu bạn dự đoán một công ty sẽ tiếp tục cấp cổ phiếu hạn chế như một hình thức thù lao cho nhân viên trong các kỳ tương lai, bạn nên áp dụng một biến thể của cách tiếp cận được dùng để xử lý các khoản cấp quyền chọn (option) trong tương lai. Nói đơn giản, hãy nhận ra rằng với các quy tắc kế toán hiện hành, thu nhập trong kỳ gần nhất đã bao gồm ảnh hưởng của các khoản cấp cổ phiếu hạn chế trong kỳ đó.</w:t>
      </w:r>
    </w:p>
    <w:p>
      <w:pPr>
        <w:pStyle w:val="Para 03"/>
      </w:pPr>
      <w:r>
        <w:t>Khi dự báo ảnh hưởng của các khoản cấp cổ phiếu hạn chế trong tương lai lên thu nhập tương lai, chúng tôi gợi ý một lần nữa rằng bạn nên xem xét các công ty đang ở đâu trong vòng đời (life cycle). Với các công ty non trẻ, tỷ lệ cấp cổ phiếu hạn chế trên doanh thu sẽ giảm khi doanh thu tăng lên, giúp cải thiện biên lợi nhuận hoạt động. Với các công ty trưởng thành hơn, giả định rằng tổng chi phí thù lao sẽ duy trì ở mức hiện hành, tính theo tỷ lệ phần trăm doanh thu, là một giả định hợp lý, và những thay đổi trong cách chi trả thù lao (từ cổ phiếu sang tiền mặt) sẽ không ảnh hưởng đến giá trị.</w:t>
      </w:r>
    </w:p>
    <w:p>
      <w:pPr>
        <w:pStyle w:val="Para 11"/>
      </w:pPr>
      <w:r>
        <w:t xml:space="preserve"> </w:t>
      </w:r>
    </w:p>
    <w:p>
      <w:bookmarkStart w:id="3328" w:name="ILLUSTRATION_16_10___Valuation_w_1"/>
      <w:bookmarkStart w:id="3329" w:name="ILLUSTRATION_16_10___Valuation_w"/>
      <w:pPr>
        <w:keepNext/>
        <w:pStyle w:val="Para 19"/>
        <w:keepLines w:val="on"/>
      </w:pPr>
      <w:r>
        <w:t>MINH HỌA 16.10: Định giá với thù lao dựa trên cổ phiếu—Tesla vào tháng 1 năm 2024</w:t>
      </w:r>
      <w:bookmarkEnd w:id="3328"/>
      <w:bookmarkEnd w:id="3329"/>
    </w:p>
    <w:p>
      <w:pPr>
        <w:numPr>
          <w:ilvl w:val="0"/>
          <w:numId w:val="162"/>
        </w:numPr>
        <w:pStyle w:val="Para 18"/>
        <w:keepLines w:val="on"/>
      </w:pPr>
      <w:r>
        <w:t>Vào tháng 1 năm 2024, chúng tôi định giá vốn cổ phần của Tesla, tính tổng thể, đáng giá 635,32 tỷ đô la, dựa trên một câu chuyện tăng trưởng rộng lớn không chỉ trong lĩnh vực ô tô mà còn cả phần mềm và năng lượng.</w:t>
      </w:r>
    </w:p>
    <w:p>
      <w:pPr>
        <w:numPr>
          <w:ilvl w:val="0"/>
          <w:numId w:val="162"/>
        </w:numPr>
        <w:pStyle w:val="Para 18"/>
        <w:keepLines w:val="on"/>
      </w:pPr>
      <w:r>
        <w:t>Công ty có 3.174 triệu cổ phiếu phổ thông đang lưu hành tại thời điểm định giá, nhưng cũng có các khoản thưởng cổ phiếu hạn chế làm tăng thêm 19,1 triệu vào số lượng cổ phiếu.</w:t>
      </w:r>
    </w:p>
    <w:p>
      <w:pPr>
        <w:numPr>
          <w:ilvl w:val="0"/>
          <w:numId w:val="162"/>
        </w:numPr>
        <w:pStyle w:val="Para 18"/>
        <w:keepLines w:val="on"/>
      </w:pPr>
      <w:r>
        <w:t>Ngoài ra, công ty có 344 triệu quyền chọn đang lưu hành, với giá thực hiện trung bình là 35,11 đô la và thời gian đáo hạn còn lại là 4,31 năm. Sử dụng độ lệch chuẩn 40% trong giá cổ phiếu và mức giá thị trường hiện hành là 182,58 đô la, chúng tôi định giá các quyền chọn đang lưu hành ở mức 51,76 tỷ đô la.</w:t>
      </w:r>
    </w:p>
    <w:p>
      <w:pPr>
        <w:pStyle w:val="Para 04"/>
        <w:keepLines w:val="on"/>
      </w:pPr>
      <w:r>
        <w:t>Để ước tính giá trị vốn cổ phần trên mỗi cổ phiếu, chúng tôi đã điều chỉnh cho cả các quyền chọn đang lưu hành cũng như cổ phiếu hạn chế:</w:t>
      </w:r>
    </w:p>
    <w:p>
      <w:pPr>
        <w:pStyle w:val="Para 40"/>
        <w:keepLines w:val="on"/>
      </w:pPr>
      <w:r>
        <w:rPr>
          <w:rStyle w:val="Text26"/>
        </w:rPr>
        <w:bookmarkStart w:id="3331" w:name="Page_509"/>
        <w:t/>
        <w:bookmarkEnd w:id="3331"/>
      </w:r>
      <w:r>
        <w:t xml:space="preserve"> </w:t>
      </w:r>
    </w:p>
    <w:tbl>
      <w:tblPr>
        <w:tblW w:type="auto" w:w="0"/>
      </w:tblPr>
      <w:tr>
        <w:tc>
          <w:tcPr>
            <w:tcW w:type="auto" w:w="0"/>
          </w:tcPr>
          <w:tbl>
            <w:tblPr>
              <w:tblW w:type="auto" w:w="0"/>
            </w:tblPr>
            <w:tr>
              <w:tc>
                <w:tcPr>
                  <w:tcW w:type="auto" w:w="0"/>
                  <w:shd w:val="clear" w:color="auto" w:fill="F0F0F0"/>
                </w:tcPr>
                <w:p>
                  <w:pPr>
                    <w:pStyle w:val="Para 02"/>
                    <w:keepLines w:val="on"/>
                  </w:pPr>
                  <w:r>
                    <w:t>Giá trị vốn cổ phần (tổng thể)</w:t>
                  </w:r>
                </w:p>
              </w:tc>
              <w:tc>
                <w:tcPr>
                  <w:tcW w:type="auto" w:w="0"/>
                  <w:shd w:val="clear" w:color="auto" w:fill="F0F0F0"/>
                </w:tcPr>
                <w:p>
                  <w:pPr>
                    <w:pStyle w:val="Para 02"/>
                    <w:keepLines w:val="on"/>
                  </w:pPr>
                  <w:r>
                    <w:t>=</w:t>
                  </w:r>
                </w:p>
              </w:tc>
              <w:tc>
                <w:tcPr>
                  <w:tcW w:type="auto" w:w="0"/>
                  <w:shd w:val="clear" w:color="auto" w:fill="F0F0F0"/>
                </w:tcPr>
                <w:p>
                  <w:pPr>
                    <w:pStyle w:val="Para 02"/>
                    <w:keepLines w:val="on"/>
                  </w:pPr>
                  <w:r>
                    <w:t>635,32 tỷ đô la</w:t>
                  </w:r>
                </w:p>
              </w:tc>
            </w:tr>
            <w:tr>
              <w:tc>
                <w:tcPr>
                  <w:tcW w:type="auto" w:w="0"/>
                  <w:shd w:val="clear" w:color="auto" w:fill="F0F0F0"/>
                </w:tcPr>
                <w:p>
                  <w:pPr>
                    <w:pStyle w:val="Para 02"/>
                    <w:keepLines w:val="on"/>
                  </w:pPr>
                  <w:r>
                    <w:t>− Giá trị các quyền chọn đang lưu hành</w:t>
                  </w:r>
                </w:p>
              </w:tc>
              <w:tc>
                <w:tcPr>
                  <w:tcW w:type="auto" w:w="0"/>
                  <w:shd w:val="clear" w:color="auto" w:fill="F0F0F0"/>
                </w:tcPr>
                <w:p>
                  <w:pPr>
                    <w:pStyle w:val="Para 02"/>
                    <w:keepLines w:val="on"/>
                  </w:pPr>
                  <w:r>
                    <w:t>=</w:t>
                  </w:r>
                </w:p>
              </w:tc>
              <w:tc>
                <w:tcPr>
                  <w:tcW w:type="auto" w:w="0"/>
                  <w:shd w:val="clear" w:color="auto" w:fill="F0F0F0"/>
                </w:tcPr>
                <w:p>
                  <w:pPr>
                    <w:pStyle w:val="Para 02"/>
                    <w:keepLines w:val="on"/>
                  </w:pPr>
                  <w:r>
                    <w:t>51,76 tỷ đô la</w:t>
                  </w:r>
                </w:p>
              </w:tc>
            </w:tr>
            <w:tr>
              <w:tc>
                <w:tcPr>
                  <w:tcW w:type="auto" w:w="0"/>
                  <w:shd w:val="clear" w:color="auto" w:fill="F0F0F0"/>
                </w:tcPr>
                <w:p>
                  <w:pPr>
                    <w:pStyle w:val="Para 02"/>
                    <w:keepLines w:val="on"/>
                  </w:pPr>
                  <w:r>
                    <w:t>Giá trị vốn cổ phần phổ thông</w:t>
                  </w:r>
                </w:p>
              </w:tc>
              <w:tc>
                <w:tcPr>
                  <w:tcW w:type="auto" w:w="0"/>
                  <w:shd w:val="clear" w:color="auto" w:fill="F0F0F0"/>
                </w:tcPr>
                <w:p>
                  <w:pPr>
                    <w:pStyle w:val="Para 02"/>
                    <w:keepLines w:val="on"/>
                  </w:pPr>
                  <w:r>
                    <w:t>=</w:t>
                  </w:r>
                </w:p>
              </w:tc>
              <w:tc>
                <w:tcPr>
                  <w:tcW w:type="auto" w:w="0"/>
                  <w:shd w:val="clear" w:color="auto" w:fill="F0F0F0"/>
                </w:tcPr>
                <w:p>
                  <w:pPr>
                    <w:pStyle w:val="Para 02"/>
                    <w:keepLines w:val="on"/>
                  </w:pPr>
                  <w:r>
                    <w:t>583,56 tỷ đô la</w:t>
                  </w:r>
                </w:p>
              </w:tc>
            </w:tr>
            <w:tr>
              <w:tc>
                <w:tcPr>
                  <w:tcW w:type="auto" w:w="0"/>
                  <w:shd w:val="clear" w:color="auto" w:fill="F0F0F0"/>
                </w:tcPr>
                <w:p>
                  <w:pPr>
                    <w:pStyle w:val="Para 02"/>
                    <w:keepLines w:val="on"/>
                  </w:pPr>
                  <w:r>
                    <w:t>/ Số cổ phiếu đang lưu hành</w:t>
                  </w:r>
                </w:p>
              </w:tc>
              <w:tc>
                <w:tcPr>
                  <w:tcW w:type="auto" w:w="0"/>
                  <w:shd w:val="clear" w:color="auto" w:fill="F0F0F0"/>
                </w:tcPr>
                <w:p>
                  <w:pPr>
                    <w:pStyle w:val="Para 02"/>
                    <w:keepLines w:val="on"/>
                  </w:pPr>
                  <w:r>
                    <w:t>=</w:t>
                  </w:r>
                </w:p>
              </w:tc>
              <w:tc>
                <w:tcPr>
                  <w:tcW w:type="auto" w:w="0"/>
                  <w:shd w:val="clear" w:color="auto" w:fill="F0F0F0"/>
                </w:tcPr>
                <w:p>
                  <w:pPr>
                    <w:pStyle w:val="Para 02"/>
                    <w:keepLines w:val="on"/>
                  </w:pPr>
                  <w:r>
                    <w:t>3193,1 triệu</w:t>
                  </w:r>
                </w:p>
              </w:tc>
            </w:tr>
            <w:tr>
              <w:tc>
                <w:tcPr>
                  <w:tcW w:type="auto" w:w="0"/>
                  <w:shd w:val="clear" w:color="auto" w:fill="F0F0F0"/>
                </w:tcPr>
                <w:p>
                  <w:pPr>
                    <w:pStyle w:val="Para 02"/>
                    <w:keepLines w:val="on"/>
                  </w:pPr>
                  <w:r>
                    <w:t>Giá trị trên mỗi cổ phần</w:t>
                  </w:r>
                </w:p>
              </w:tc>
              <w:tc>
                <w:tcPr>
                  <w:tcW w:type="auto" w:w="0"/>
                  <w:shd w:val="clear" w:color="auto" w:fill="F0F0F0"/>
                </w:tcPr>
                <w:p>
                  <w:pPr>
                    <w:pStyle w:val="Para 02"/>
                    <w:keepLines w:val="on"/>
                  </w:pPr>
                  <w:r>
                    <w:t>=</w:t>
                  </w:r>
                </w:p>
              </w:tc>
              <w:tc>
                <w:tcPr>
                  <w:tcW w:type="auto" w:w="0"/>
                  <w:shd w:val="clear" w:color="auto" w:fill="F0F0F0"/>
                </w:tcPr>
                <w:p>
                  <w:pPr>
                    <w:pStyle w:val="Para 02"/>
                    <w:keepLines w:val="on"/>
                  </w:pPr>
                  <w:r>
                    <w:t>182,76 đô la</w:t>
                  </w:r>
                </w:p>
              </w:tc>
            </w:tr>
          </w:tbl>
          <w:p/>
        </w:tc>
      </w:tr>
    </w:tbl>
    <w:p>
      <w:pPr>
        <w:pStyle w:val="Para 04"/>
        <w:keepLines w:val="on"/>
      </w:pPr>
      <w:r>
        <w:t>Giá trị này chưa bao gồm phần quyền chọn (option) còn lại có thể phát sinh cho Elon Musk từ một gói quyền chọn khổng lồ mà ông nhận được vào năm 2017, và gói này có điều kiện là vốn hóa thị trường của công ty phải đạt các mục tiêu đề ra. Dù những quyền chọn đó có giá trị, một phán quyết của tòa án Delaware đã vô hiệu hóa gói quyền chọn này vào thời điểm định giá nói trên.</w:t>
      </w:r>
    </w:p>
    <w:p>
      <w:bookmarkStart w:id="3332" w:name="Gaming_Stock_based_Compensation_1"/>
      <w:bookmarkStart w:id="3333" w:name="Gaming_Stock_based_Compensation"/>
      <w:pPr>
        <w:keepNext/>
        <w:pStyle w:val="Heading 3"/>
        <w:keepLines w:val="on"/>
      </w:pPr>
      <w:r>
        <w:t>Trò chơi với thù lao dựa trên cổ phiếu</w:t>
      </w:r>
      <w:bookmarkEnd w:id="3332"/>
      <w:bookmarkEnd w:id="3333"/>
    </w:p>
    <w:p>
      <w:pPr>
        <w:pStyle w:val="Para 03"/>
      </w:pPr>
      <w:r>
        <w:t>Ngay cả khi các kế toán viên đã đưa ra quyết định đúng đắn về thù lao dựa trên cổ phiếu (stock-based compensation), yêu cầu rằng nó phải được ghi nhận là chi phí vào thời điểm cấp phát, theo giá trị quyền chọn chứ không phải giá trị thực hiện, thì các nhà phân tích và doanh nghiệp vẫn ra sức vô hiệu hóa điểm tích cực này bằng cách làm ngược lại điều mà kế toán viên đã làm.</w:t>
      </w:r>
    </w:p>
    <w:p>
      <w:pPr>
        <w:numPr>
          <w:ilvl w:val="0"/>
          <w:numId w:val="163"/>
        </w:numPr>
        <w:pStyle w:val="Para 01"/>
      </w:pPr>
      <w:r>
        <w:t>Các công ty thường xuyên cộng ngược khoản thù lao dựa trên cổ phiếu trở lại vào lợi nhuận để có được lợi nhuận điều chỉnh và EBITDA. Lý lẽ đưa ra là thù lao dựa trên cổ phiếu không phải là chi phí bằng tiền mặt, nên bạn cũng nên đối xử với nó giống như khấu hao và cộng ngược trở lại để tính dòng tiền tự do. Lập luận đó không đứng vững, bởi vì thù lao dựa trên cổ phiếu, khác với khấu hao, là một khoản chi phí bằng hiện vật (in-kind expense) chứ không phải chi phí phi tiền mặt. Việc đem các phần vốn chủ sở hữu của mình ra để trả thù lao chính là đang cho đi một thứ có giá trị, và thứ đó cần phải được trừ ra khỏi lợi nhuận. Thử tưởng tượng thế này: nếu một công ty lấy số quyền chọn và cổ phiếu hạn chế mà họ định trao cho nhân viên đem bán ra thị trường, rồi dùng tiền thu được để trả lương cho nhân viên, thì đó rõ ràng là một khoản chi phí bằng tiền mặt.</w:t>
      </w:r>
    </w:p>
    <w:p>
      <w:pPr>
        <w:numPr>
          <w:ilvl w:val="0"/>
          <w:numId w:val="163"/>
        </w:numPr>
        <w:pStyle w:val="Para 01"/>
      </w:pPr>
      <w:r>
        <w:t>Với quyền chọn, các nhà quản lý và nhà phân tích thường lập luận rằng không chắc quyền chọn có được thực hiện hay không, và việc tính chúng vào như một khoản làm giảm giá trị vốn chủ sở hữu là vội vàng. Lập luận này nhanh chóng sụp đổ, bởi vì giả định rằng những quyền chọn này chẳng đáng giá gì là một giả định nguy hiểm hơn nhiều so với việc dùng mô hình định giá quyền chọn để ước tính giá trị của chúng. Thực tế, các mô hình định giá quyền chọn phản ánh giá trị hiện tại đã điều chỉnh theo xác suất của khoản pha loãng mà nhà đầu tư vốn chủ sở hữu sẽ phải đối mặt trong tương lai.</w:t>
      </w:r>
    </w:p>
    <w:p>
      <w:pPr>
        <w:numPr>
          <w:ilvl w:val="0"/>
          <w:numId w:val="163"/>
        </w:numPr>
        <w:pStyle w:val="Para 01"/>
      </w:pPr>
      <w:r>
        <w:t>Lập luận thứ ba để phớt lờ quyền chọn, đặc biệt là quyền chọn, cho rằng bạn có thể điều chỉnh số lượng cổ phiếu trong những năm tới để phản ánh việc thực hiện quyền chọn, nhưng vấn đề của cách làm đó, trong định giá nội tại (intrinsic valuation), là nó đẩy bạn vào một vòng lặp vô tận, khi bạn phải ước tính giá trị nội tại vốn chủ sở hữu của mình trong những năm tới để ước tính giá trị nội tại ngày hôm nay.</w:t>
      </w:r>
    </w:p>
    <w:p>
      <w:pPr>
        <w:pStyle w:val="Para 03"/>
      </w:pPr>
      <w:r>
        <w:t>Nói đơn giản, việc thổi phồng lợi nhuận bằng cách cộng ngược thù lao dựa trên cổ phiếu trở lại thường sẽ khiến bạn định giá doanh nghiệp quá cao, và mức sai lệch đó sẽ chỉ càng lớn khi bạn định giá những công ty non trẻ. Mượn lời Warren Buffett một cách đại khái: nếu quyền chọn cho ban quản lý không phải là thù lao nhân viên, thì nó là gì? Và nếu thù lao nhân viên không phải là chi phí hoạt động, thì nó là gì?</w:t>
      </w:r>
    </w:p>
    <w:p>
      <w:pPr>
        <w:pStyle w:val="Para 20"/>
      </w:pPr>
      <w:r>
        <w:rPr>
          <w:rStyle w:val="Text26"/>
        </w:rPr>
        <w:bookmarkStart w:id="3334" w:name="Page_510"/>
        <w:t/>
        <w:bookmarkEnd w:id="3334"/>
      </w:r>
      <w:r>
        <w:t xml:space="preserve"> </w:t>
      </w:r>
    </w:p>
    <w:p>
      <w:bookmarkStart w:id="3335" w:name="Value_per_Share_When_Voting_Righ_1"/>
      <w:bookmarkStart w:id="3336" w:name="Value_per_Share_When_Voting_Righ"/>
      <w:pPr>
        <w:keepNext/>
        <w:pStyle w:val="Heading 2"/>
        <w:keepLines w:val="on"/>
      </w:pPr>
      <w:r>
        <w:t>Giá trị trên mỗi cổ phần khi quyền biểu quyết khác nhau</w:t>
      </w:r>
      <w:bookmarkEnd w:id="3335"/>
      <w:bookmarkEnd w:id="3336"/>
    </w:p>
    <w:p>
      <w:pPr>
        <w:pStyle w:val="Para 03"/>
      </w:pPr>
      <w:r>
        <w:t>Khi bạn chia giá trị vốn chủ sở hữu cho số lượng cổ phiếu đang lưu hành, bạn đang giả định rằng mọi cổ phiếu đều có quyền biểu quyết như nhau. Nếu các loại cổ phiếu khác nhau có quyền biểu quyết khác nhau, thì giá trị vốn chủ sở hữu trên mỗi cổ phần phải phản ánh những khác biệt đó, trong đó cổ phiếu có nhiều quyền biểu quyết hơn sẽ có giá trị cao hơn. Tuy nhiên, lưu ý rằng tổng giá trị vốn chủ sở hữu vẫn không thay đổi. Để minh họa, giả sử giá trị vốn chủ sở hữu của một công ty là 500 triệu đô la và có 50 triệu cổ phiếu đang lưu hành; 25 triệu cổ phiếu trong số này có quyền biểu quyết còn 25 triệu thì không. Hơn nữa, giả sử cổ phiếu có quyền biểu quyết sẽ có giá trị cao hơn 10% so với cổ phiếu không có quyền biểu quyết. Để ước tính giá trị trên mỗi cổ phần:</w:t>
      </w:r>
    </w:p>
    <w:p>
      <w:bookmarkStart w:id="3337" w:name="Value_per_nonvoting_share__500_m"/>
      <w:pPr>
        <w:keepNext/>
        <w:pStyle w:val="Para 09"/>
        <w:keepLines w:val="on"/>
      </w:pPr>
      <w:r>
        <w:t>Giá trị mỗi cổ phần không có quyền biểu quyết=500 triệu đô la(25 triệu×1,10+25 triệu)=500 triệu đô la52,5=9,52 đô laGiá trị mỗi cổ phần có quyền biểu quyết=9,52 đô la(1,10)=10,48 đô la</w:t>
      </w:r>
      <w:bookmarkEnd w:id="3337"/>
    </w:p>
    <w:p>
      <w:pPr>
        <w:pStyle w:val="Para 03"/>
      </w:pPr>
      <w:r>
        <w:t>Vậy vấn đề then chốt mà bạn gặp phải khi định giá là làm sao đưa ra được mức chiết khấu áp dụng cho cổ phiếu không có quyền biểu quyết, hoặc ngược lại, mức phụ trội (premium) gắn cho cổ phiếu có quyền biểu quyết.</w:t>
      </w:r>
    </w:p>
    <w:p>
      <w:bookmarkStart w:id="3338" w:name="Voting_Shares_Versus_Nonvoting_S"/>
      <w:bookmarkStart w:id="3339" w:name="Voting_Shares_Versus_Nonvoting_S_1"/>
      <w:pPr>
        <w:keepNext/>
        <w:pStyle w:val="Heading 3"/>
        <w:keepLines w:val="on"/>
      </w:pPr>
      <w:r>
        <w:t>Cổ phiếu có quyền biểu quyết so với cổ phiếu không có quyền biểu quyết</w:t>
      </w:r>
      <w:bookmarkEnd w:id="3338"/>
      <w:bookmarkEnd w:id="3339"/>
    </w:p>
    <w:p>
      <w:pPr>
        <w:pStyle w:val="Para 03"/>
      </w:pPr>
      <w:r>
        <w:t>Nên gán mức phụ trội bao nhiêu cho cổ phiếu có quyền biểu quyết? Bạn có hai lựa chọn. Một là xem các nghiên cứu khảo sát thực nghiệm về mức phụ trội dành cho quyền biểu quyết và gán mức phụ trội này cho tất cả cổ phiếu có quyền biểu quyết. Lease, McConnell và Mikkelson (1983) đã khảo sát 26 công ty có hai loại cổ phiếu phổ thông đang lưu hành, và họ kết luận rằng cổ phiếu có quyền biểu quyết được giao dịch với mức phụ trội so với cổ phiếu không có quyền biểu quyết.12 Mức phụ trội trung bình là 5,44%, và cổ phiếu có quyền biểu quyết được bán với giá cao hơn trong 88% số tháng có dữ liệu. Tuy nhiên, ở bốn công ty cũng có cổ phiếu ưu đãi có quyền biểu quyết, cổ phiếu phổ thông có quyền biểu quyết lại được giao dịch với mức chiết khấu khoảng 1,17% so với cổ phiếu không có quyền biểu quyết.</w:t>
      </w:r>
    </w:p>
    <w:p>
      <w:pPr>
        <w:pStyle w:val="Para 03"/>
      </w:pPr>
      <w:r>
        <w:t>Lựa chọn còn lại là phân biệt kỹ hơn và điều chỉnh mức phụ trội tùy theo công ty đang được định giá. Quyền biểu quyết có giá trị vì chúng cho cổ đông tiếng nói trong việc quản lý công ty. Trong chừng mực mà cổ phiếu có quyền biểu quyết có thể tạo ra khác biệt — bằng cách loại bỏ ban quản lý đương nhiệm, buộc ban quản lý thay đổi chính sách, hoặc bán cho một bên thâu tóm thù địch trong một thương vụ mua lại — thì giá của chúng sẽ phản ánh khả năng thay đổi cách điều hành công ty.13 Cổ đông không có quyền biểu quyết không tham gia vào những quyết định này.</w:t>
      </w:r>
    </w:p>
    <w:p>
      <w:pPr>
        <w:pStyle w:val="Para 03"/>
      </w:pPr>
      <w:r>
        <w:t>Để ước tính giá trị của cổ phiếu có quyền biểu quyết so với cổ phiếu không có quyền biểu quyết, chúng ta đi qua trình tự bốn bước sau:</w:t>
      </w:r>
    </w:p>
    <w:p>
      <w:pPr>
        <w:numPr>
          <w:ilvl w:val="0"/>
          <w:numId w:val="164"/>
        </w:numPr>
        <w:pStyle w:val="Para 01"/>
      </w:pPr>
      <w:r>
        <w:t>Định giá công ty dưới ban quản lý hiện tại (giá trị nguyên trạng - status quo value); giá trị này sẽ khóa chặt các chính sách đầu tư, tài trợ và cổ tức hiện hành, kể cả khi những chính sách này chưa tối ưu.</w:t>
      </w:r>
    </w:p>
    <w:p>
      <w:pPr>
        <w:numPr>
          <w:ilvl w:val="0"/>
          <w:numId w:val="164"/>
        </w:numPr>
        <w:pStyle w:val="Para 01"/>
      </w:pPr>
      <w:r>
        <w:t>Chia giá trị nguyên trạng cho tổng số cổ phiếu (có quyền biểu quyết và không có quyền biểu quyết) để có giá trị trên mỗi cổ phần không có quyền biểu quyết.</w:t>
      </w:r>
    </w:p>
    <w:p>
      <w:bookmarkStart w:id="3343" w:name="Value_per_nonvoting_share_Status"/>
      <w:pPr>
        <w:keepNext/>
        <w:pStyle w:val="Para 09"/>
        <w:keepLines w:val="on"/>
      </w:pPr>
      <w:r>
        <w:t>Giá trị mỗi cổ phần không có quyền biểu quyết=Giá trị nguyên trạng# cổ phiếu có quyền biểu quyết+# cổ phiếu không có quyền biểu quyết</w:t>
      </w:r>
      <w:bookmarkEnd w:id="3343"/>
    </w:p>
    <w:p>
      <w:pPr>
        <w:numPr>
          <w:ilvl w:val="0"/>
          <w:numId w:val="164"/>
        </w:numPr>
        <w:pStyle w:val="Para 01"/>
      </w:pPr>
      <w:r>
        <w:t>Định giá công ty dưới ban quản lý mới và có thể là tốt hơn (giá trị tối ưu - optimal value); việc này đòi hỏi phải đánh giá lại xem công ty đầu tư bao nhiêu và hiệu quả đến đâu, sử dụng bao nhiêu nợ trong cơ cấu vốn, và trả lại bao nhiêu tiền mặt cho cổ đông.</w:t>
      </w:r>
    </w:p>
    <w:p>
      <w:pPr>
        <w:numPr>
          <w:ilvl w:val="0"/>
          <w:numId w:val="164"/>
        </w:numPr>
        <w:pStyle w:val="Para 01"/>
      </w:pPr>
      <w:r>
        <w:t>Ước tính xác suất ban quản lý của công ty sẽ thay đổi (πchange) và chia giá trị kỳ vọng của việc thay đổi ban quản lý cho số cổ phiếu có quyền biểu quyết:</w:t>
      </w:r>
    </w:p>
    <w:p>
      <w:bookmarkStart w:id="3344" w:name="Control_premium_per_voting_share"/>
      <w:pPr>
        <w:keepNext/>
        <w:pStyle w:val="Para 09"/>
        <w:keepLines w:val="on"/>
      </w:pPr>
      <w:r>
        <w:t>Mức phụ trội quyền kiểm soát trên mỗi cổ phiếu có quyền biểu quyết=πchange(Giá trị tối ưu−Giá trị nguyên trạng)# cổ phiếu có quyền biểu quyết</w:t>
      </w:r>
      <w:bookmarkEnd w:id="3344"/>
    </w:p>
    <w:p>
      <w:pPr>
        <w:pStyle w:val="Para 03"/>
      </w:pPr>
      <w:r>
        <w:t>Giá trị trên mỗi cổ phiếu có quyền biểu quyết sẽ là tổng của giá trị cổ phiếu không có quyền biểu quyết và mức phụ trội quyền kiểm soát. Như vậy, giá trị trên mỗi cổ phiếu có quyền biểu quyết sẽ được quyết định bởi mức độ quản lý tồi tệ của công ty (công ty càng được điều hành kém, mức phụ trội càng lớn) và khả năng thay đổi ban quản lý (khả năng càng cao, mức phụ trội càng lớn).</w:t>
      </w:r>
    </w:p>
    <w:p>
      <w:pPr>
        <w:pStyle w:val="Para 11"/>
      </w:pPr>
      <w:r>
        <w:t xml:space="preserve"> </w:t>
      </w:r>
    </w:p>
    <w:p>
      <w:bookmarkStart w:id="3345" w:name="ILLUSTRATION_16_11___Estimating"/>
      <w:bookmarkStart w:id="3346" w:name="ILLUSTRATION_16_11___Estimating_1"/>
      <w:pPr>
        <w:keepNext/>
        <w:pStyle w:val="Para 19"/>
        <w:keepLines w:val="on"/>
      </w:pPr>
      <w:r>
        <w:t>MINH HỌA 16.11: Ước tính giá trị của cổ phiếu có quyền biểu quyết và không có quyền biểu quyết</w:t>
      </w:r>
      <w:bookmarkEnd w:id="3345"/>
      <w:bookmarkEnd w:id="3346"/>
    </w:p>
    <w:p>
      <w:pPr>
        <w:pStyle w:val="Para 04"/>
        <w:keepLines w:val="on"/>
      </w:pPr>
      <w:r>
        <w:t>Adris Grupa là một công ty thuốc lá có trụ sở tại Croatia, nắm giữ cổ phần trong các mảng kinh doanh khác. Vào tháng 6 năm 2010, chúng tôi đã ước tính giá trị hiện trạng (status quo) và giá trị tối ưu cho công ty:</w:t>
      </w:r>
    </w:p>
    <w:p>
      <w:pPr>
        <w:numPr>
          <w:ilvl w:val="0"/>
          <w:numId w:val="165"/>
        </w:numPr>
        <w:pStyle w:val="Para 18"/>
        <w:keepLines w:val="on"/>
      </w:pPr>
      <w:r>
        <w:t>Giá trị vốn chủ sở hữu theo hiện trạng là 5.484 triệu HRK. Để tính ra giá trị này, chúng tôi giả định rằng công ty sẽ tiếp tục tài trợ cho mình gần như hoàn toàn bằng vốn chủ sở hữu (tỷ lệ nợ năm 2010 là 2,6% và chi phí vốn là 10,55%), và sẽ tiếp tục chiến lược đầu tư mạnh mẽ (công ty tạo ra lợi nhuận trên vốn là 9,69% và tái đầu tư 70,83% thu nhập hoạt động vào năm 2009, dẫn đến tốc độ tăng trưởng 6,86%).</w:t>
      </w:r>
    </w:p>
    <w:p>
      <w:pPr>
        <w:numPr>
          <w:ilvl w:val="0"/>
          <w:numId w:val="165"/>
        </w:numPr>
        <w:pStyle w:val="Para 18"/>
        <w:keepLines w:val="on"/>
      </w:pPr>
      <w:r>
        <w:t>Giá trị tối ưu của vốn chủ sở hữu là 5.726 triệu HRK. Để đạt được giá trị này, chúng tôi giả định tỷ lệ nợ cao hơn (10%), dẫn đến chi phí vốn thấp hơn một chút (10,45%). Chúng tôi cũng giả định rằng công ty sẽ duy trì tỷ lệ tái đầu tư 70,83%, đồng thời đạt lợi nhuận trên vốn bằng với chi phí vốn (10,45%).</w:t>
      </w:r>
    </w:p>
    <w:p>
      <w:pPr>
        <w:pStyle w:val="Para 04"/>
        <w:keepLines w:val="on"/>
      </w:pPr>
      <w:r>
        <w:t>Công ty có 9,616 triệu cổ phiếu có quyền biểu quyết và 6,748 triệu cổ phiếu không có quyền biểu quyết. Giá trị của cổ phiếu không có quyền biểu quyết được tính bằng cách chia giá trị hiện trạng cho tổng số cổ phiếu:</w:t>
      </w:r>
    </w:p>
    <w:p>
      <w:bookmarkStart w:id="3348" w:name="Value_per_nonvoting_share_5_484"/>
      <w:pPr>
        <w:keepNext/>
        <w:pStyle w:val="Para 07"/>
        <w:keepLines w:val="on"/>
      </w:pPr>
      <w:r>
        <w:t>Giá trị mỗi cổ phiếu không có quyền biểu quyết = 5.484 / (9,616 + 6,748) = 335,13 HRK/cổ phiếu</w:t>
      </w:r>
      <w:bookmarkEnd w:id="3348"/>
    </w:p>
    <w:p>
      <w:pPr>
        <w:pStyle w:val="Para 04"/>
        <w:keepLines w:val="on"/>
      </w:pPr>
      <w:r>
        <w:t>Để ước tính giá trị mỗi cổ phiếu có quyền biểu quyết, chúng tôi ước tính phần phụ trội (premium), với xác suất 30% gắn với việc thay đổi ban điều hành. (Chúng tôi đánh giá khả năng ban điều hành thay đổi là thấp vì công ty do gia đình kiểm soát.):</w:t>
      </w:r>
    </w:p>
    <w:p>
      <w:bookmarkStart w:id="3349" w:name="Premium_per_voting_share__5_726"/>
      <w:pPr>
        <w:keepNext/>
        <w:pStyle w:val="Para 07"/>
        <w:keepLines w:val="on"/>
      </w:pPr>
      <w:r>
        <w:t>Phần phụ trội mỗi cổ phiếu có quyền biểu quyết = (5.726 − 5.484) × 0,30 / 9,616 = 7,55 HRK/cổ phiếu</w:t>
      </w:r>
      <w:bookmarkEnd w:id="3349"/>
    </w:p>
    <w:p>
      <w:bookmarkStart w:id="3350" w:name="Value_per_voting_share_335_13_7"/>
      <w:pPr>
        <w:keepNext/>
        <w:pStyle w:val="Para 07"/>
        <w:keepLines w:val="on"/>
      </w:pPr>
      <w:r>
        <w:t>Giá trị mỗi cổ phiếu có quyền biểu quyết = 335,13 + 7,55 = 342,68 HRK/cổ phiếu</w:t>
      </w:r>
      <w:bookmarkEnd w:id="3350"/>
    </w:p>
    <w:p>
      <w:pPr>
        <w:pStyle w:val="Para 20"/>
      </w:pPr>
      <w:r>
        <w:rPr>
          <w:rStyle w:val="Text26"/>
        </w:rPr>
        <w:bookmarkStart w:id="3351" w:name="Page_512"/>
        <w:t/>
        <w:bookmarkEnd w:id="3351"/>
      </w:r>
      <w:r>
        <w:t xml:space="preserve"> </w:t>
      </w:r>
    </w:p>
    <w:p>
      <w:bookmarkStart w:id="3352" w:name="Conclusion_15"/>
      <w:bookmarkStart w:id="3353" w:name="Conclusion__Incorporating_the_va"/>
      <w:pPr>
        <w:keepNext/>
        <w:pStyle w:val="Heading 2"/>
        <w:keepLines w:val="on"/>
      </w:pPr>
      <w:r>
        <w:t>Kết luận</w:t>
      </w:r>
      <w:bookmarkEnd w:id="3352"/>
      <w:bookmarkEnd w:id="3353"/>
    </w:p>
    <w:p>
      <w:pPr>
        <w:pStyle w:val="Para 03"/>
      </w:pPr>
      <w:r>
        <w:t>Việc đưa giá trị của các tài sản phi hoạt động vào giá trị công ty có thể rất đơn giản trong một số trường hợp — tiền mặt và các khoản đầu tư gần như tiền mặt — và rất phức tạp trong những trường hợp khác — cổ phần nắm giữ tại các công ty khác. Tuy nhiên, nguyên tắc vẫn phải giữ nguyên. Bạn muốn ước tính một giá trị hợp lý cho các tài sản phi hoạt động này và đưa chúng vào giá trị. Như đã lưu ý, thường thì tốt hơn là định giá tài sản phi hoạt động tách biệt với tài sản hoạt động, nhưng việc thiếu thông tin có thể cản trở quá trình này.</w:t>
      </w:r>
    </w:p>
    <w:p>
      <w:pPr>
        <w:pStyle w:val="Para 03"/>
      </w:pPr>
      <w:r>
        <w:t>Sự tồn tại của các quyền chọn (option) và khả năng cấp quyền chọn trong tương lai khiến việc đi từ giá trị vốn chủ sở hữu đến giá trị mỗi cổ phiếu trở thành một bài toán phức tạp. Để xử lý các quyền chọn đang lưu hành tại thời điểm định giá, có bốn cách tiếp cận. Cách đơn giản nhất là ước tính giá trị mỗi cổ phiếu bằng cách chia giá trị vốn chủ sở hữu cho số cổ phiếu đang lưu hành đã pha loãng hoàn toàn. Cách này bỏ qua cả khoản thu dự kiến từ việc thực hiện quyền chọn lẫn giá trị thời gian của quyền chọn. Cách tiếp cận thứ hai là dự báo việc thực hiện quyền chọn dự kiến trong tương lai và ước tính ảnh hưởng lên giá trị mỗi cổ phiếu — vừa tẻ nhạt vừa khó có thể hiệu quả. Trong cách tiếp cận cổ phiếu quỹ (treasury stock), bạn cộng khoản thu dự kiến từ việc thực hiện quyền chọn vào giá trị vốn chủ sở hữu rồi chia cho số cổ phiếu đang lưu hành đã pha loãng hoàn toàn. Mặc dù cách này có xét đến khoản thu dự kiến từ việc thực hiện quyền chọn, nó vẫn bỏ qua phần phụ trội thời gian của quyền chọn.</w:t>
      </w:r>
    </w:p>
    <w:p>
      <w:pPr>
        <w:pStyle w:val="Para 03"/>
      </w:pPr>
      <w:r>
        <w:t>Trong cách tiếp cận cuối cùng và được ưa chuộng nhất, các quyền chọn được định giá bằng một mô hình định giá quyền chọn, và giá trị đó được trừ ra khỏi giá trị vốn chủ sở hữu. Kết quả ước tính được chia cho số cổ phiếu chính đang lưu hành để ra giá trị vốn chủ sở hữu mỗi cổ phiếu. Mặc dù giá cổ phiếu hiện tại thường được dùng trong các mô hình định giá quyền chọn, giá trị mỗi cổ phiếu ước tính từ định giá dòng tiền chiết khấu (discounted cash flow) có thể được thay thế để đạt được một ước tính nhất quán hơn.</w:t>
      </w:r>
    </w:p>
    <w:p>
      <w:pPr>
        <w:pStyle w:val="Para 03"/>
      </w:pPr>
      <w:r>
        <w:t>Để xử lý việc cấp quyền chọn dự kiến trong tương lai, bạn phải ước tính các quyền chọn như một khoản chi phí, được xác định theo tỷ lệ phần trăm doanh thu. Một công ty dự kiến cấp nhiều quyền chọn hơn trong tương lai sẽ có thu nhập và dòng tiền thấp hơn, và do đó, giá trị thấp hơn.</w:t>
      </w:r>
    </w:p>
    <w:p>
      <w:pPr>
        <w:pStyle w:val="Para 03"/>
      </w:pPr>
      <w:r>
        <w:t>Sau khi đã ước tính giá trị vốn chủ sở hữu mỗi cổ phiếu, giá trị đó có thể cần được điều chỉnh cho sự khác biệt về quyền biểu quyết. Cổ phiếu có quyền biểu quyết cao một cách không cân xứng sẽ được bán với giá phụ trội so với cổ phiếu có quyền biểu quyết thấp hoặc không có quyền biểu quyết. Mức chênh lệch sẽ lớn hơn đối với các công ty được quản lý kém và nhỏ hơn đối với các công ty được quản lý tốt.</w:t>
      </w:r>
    </w:p>
    <w:p>
      <w:bookmarkStart w:id="3354" w:name="Questions_and_Short_Problems_16"/>
      <w:bookmarkStart w:id="3355" w:name="Questions_and_Short_Problems__In_10"/>
      <w:pPr>
        <w:keepNext/>
        <w:pStyle w:val="Heading 2"/>
        <w:keepLines w:val="on"/>
      </w:pPr>
      <w:r>
        <w:t>Câu hỏi và bài tập ngắn</w:t>
      </w:r>
      <w:bookmarkEnd w:id="3354"/>
      <w:bookmarkEnd w:id="3355"/>
    </w:p>
    <w:p>
      <w:pPr>
        <w:pStyle w:val="Para 44"/>
      </w:pPr>
      <w:r>
        <w:t>Trong các bài tập sau đây, hãy sử dụng phần bù rủi ro vốn chủ sở hữu (equity risk premium) là 5,5 phần trăm nếu không có quy định nào khác.</w:t>
      </w:r>
    </w:p>
    <w:p>
      <w:pPr>
        <w:numPr>
          <w:ilvl w:val="0"/>
          <w:numId w:val="166"/>
        </w:numPr>
        <w:pStyle w:val="Para 01"/>
      </w:pPr>
      <w:r>
        <w:t>ABV Inc. có thu nhập trước lãi vay và thuế là 250 triệu đô la, dự kiến tăng trưởng 5% mỗi năm mãi mãi, và thuế suất là 40%. Chi phí vốn là 10%, tỷ lệ tái đầu tư là 33,33%, và công ty có 200 triệu cổ phiếu đang lưu hành. Nếu công ty có 500 triệu đô la tiền mặt và chứng khoán thị trường và 750 triệu đô la nợ đang lưu hành, hãy ước tính giá trị vốn chủ sở hữu mỗi cổ phiếu.</w:t>
      </w:r>
    </w:p>
    <w:p>
      <w:pPr>
        <w:numPr>
          <w:ilvl w:val="0"/>
          <w:numId w:val="166"/>
        </w:numPr>
        <w:pStyle w:val="Para 01"/>
      </w:pPr>
      <w:r>
        <w:t>Câu trả lời của bạn cho bài tập trước sẽ thay đổi như thế nào nếu bạn được cho biết rằng ABV có các quyền chọn đang lưu hành cho 50 triệu cổ phiếu, và mỗi quyền chọn có giá trị là 5 đô la?</w:t>
      </w:r>
    </w:p>
    <w:p>
      <w:pPr>
        <w:numPr>
          <w:ilvl w:val="0"/>
          <w:numId w:val="166"/>
        </w:numPr>
        <w:pStyle w:val="Para 01"/>
      </w:pPr>
      <w:r>
        <w:t>Nếu bạn được cho biết rằng giá thực hiện trung bình của 50 triệu quyền chọn trong bài tập trước là 6 đô la, hãy ước tính giá trị mỗi cổ phiếu cho ABV bằng cách tiếp cận cổ phiếu quỹ.</w:t>
      </w:r>
    </w:p>
    <w:p>
      <w:pPr>
        <w:numPr>
          <w:ilvl w:val="0"/>
          <w:numId w:val="166"/>
        </w:numPr>
        <w:pStyle w:val="Para 01"/>
      </w:pPr>
      <w:r>
        <w:t>LSI Logic có 1 tỷ cổ phiếu đang lưu hành, giao dịch ở mức 25 đô la mỗi cổ phiếu. Công ty cũng có 5 tỷ đô la nợ đang lưu hành. Chi phí vốn chủ sở hữu là 12,5% và chi phí nợ, sau thuế, là 5%. Nếu công ty có 3 tỷ đô la tiền mặt đang lưu hành và được định giá hợp lý, hãy ước tính công ty đã kiếm được bao nhiêu thu nhập hoạt động trong năm hiện tại. (Lợi nhuận trên vốn là 15%, thuế suất là 30%, và thu nhập tăng trưởng 6% mỗi năm mãi mãi.)</w:t>
      </w:r>
    </w:p>
    <w:p>
      <w:pPr>
        <w:numPr>
          <w:ilvl w:val="0"/>
          <w:numId w:val="166"/>
        </w:numPr>
        <w:pStyle w:val="Para 01"/>
      </w:pPr>
      <w:r>
        <w:t>Lava Lamps Inc. có 800 triệu đô la thu nhập trước lãi vay và thuế trong năm ngoái. Công ty vừa mua lại 50% cổ phần của General Lamps Inc., công ty có 400 triệu đô la thu nhập trước lãi vay và thuế trong năm ngoái. Vì Lava Lamps có cổ phần chi phối đang hoạt động, công ty được yêu cầu hợp nhất báo cáo thu nhập của hai công ty trong năm ngoái.</w:t>
      </w:r>
    </w:p>
    <w:p>
      <w:pPr>
        <w:numPr>
          <w:ilvl w:val="1"/>
          <w:numId w:val="166"/>
        </w:numPr>
        <w:pStyle w:val="Para 01"/>
      </w:pPr>
      <w:r>
        <w:t>Thu nhập trước lãi vay và thuế mà bạn sẽ thấy trong báo cáo hợp nhất là bao nhiêu?</w:t>
      </w:r>
    </w:p>
    <w:p>
      <w:pPr>
        <w:numPr>
          <w:ilvl w:val="1"/>
          <w:numId w:val="166"/>
        </w:numPr>
        <w:pStyle w:val="Para 01"/>
      </w:pPr>
      <w:r>
        <w:t>Nếu cả hai công ty đều có tốc độ tăng trưởng ổn định 5%, chi phí vốn 10%, thuế suất 40%, và lợi nhuận trên vốn 11%, hãy ước tính giá trị vốn chủ sở hữu của Lava Lamps.</w:t>
      </w:r>
    </w:p>
    <w:p>
      <w:pPr>
        <w:numPr>
          <w:ilvl w:val="1"/>
          <w:numId w:val="166"/>
        </w:numPr>
        <w:pStyle w:val="Para 01"/>
      </w:pPr>
      <w:r>
        <w:t>Câu trả lời của bạn sẽ thay đổi như thế nào nếu bạn được cho biết rằng General Lamps có chi phí vốn 9% và lợi nhuận trên vốn 15%?</w:t>
      </w:r>
    </w:p>
    <w:p>
      <w:pPr>
        <w:numPr>
          <w:ilvl w:val="0"/>
          <w:numId w:val="166"/>
        </w:numPr>
        <w:pStyle w:val="Para 01"/>
      </w:pPr>
      <w:r>
        <w:t>Genome Sciences là một công ty công nghệ sinh học có thu nhập hoạt động sau thuế năm ngoái là 300 triệu đô la; thu nhập này được kỳ vọng sẽ tăng 6% mỗi năm mãi mãi, tỷ lệ tái đầu tư là 40%, và công ty có chi phí vốn là 12%. Genome cũng sở hữu 10% cổ phần của Gene Therapies Inc., một công ty niêm yết khác. Gene Therapies có 100 triệu cổ phiếu đang lưu hành, giao dịch ở mức 50 đô la mỗi cổ phiếu. Nếu Genome có 800 triệu đô la nợ chưa thanh toán, hãy ước tính giá trị vốn chủ sở hữu trên mỗi cổ phiếu của Genome Sciences. (Genome có 50 triệu cổ phiếu đang lưu hành.)</w:t>
      </w:r>
    </w:p>
    <w:p>
      <w:pPr>
        <w:numPr>
          <w:ilvl w:val="0"/>
          <w:numId w:val="166"/>
        </w:numPr>
        <w:pStyle w:val="Para 01"/>
      </w:pPr>
      <w:r>
        <w:t>Quỹ Fedders Asia Closed End là một quỹ cổ phần đóng nắm giữ các chứng khoán châu Á với giá trị thị trường là 1 tỷ đô la. Trong 10 năm qua, quỹ đã đạt lợi nhuận 9% mỗi năm, thấp hơn 3% so với lợi nhuận của các quỹ chỉ số đầu tư vào châu Á. Bạn kỳ vọng lợi nhuận hàng năm trong tương lai sẽ tương tự như lợi nhuận trong quá khứ, cả đối với quỹ của bạn và đối với các quỹ chỉ số nói chung.</w:t>
      </w:r>
    </w:p>
    <w:p>
      <w:pPr>
        <w:numPr>
          <w:ilvl w:val="1"/>
          <w:numId w:val="166"/>
        </w:numPr>
        <w:pStyle w:val="Para 01"/>
      </w:pPr>
      <w:r>
        <w:t>Giả sử không có tăng trưởng trong quỹ và đầu tư vĩnh viễn, hãy ước tính mức chiết khấu mà bạn kỳ vọng quỹ sẽ giao dịch.</w:t>
      </w:r>
    </w:p>
    <w:p>
      <w:pPr>
        <w:numPr>
          <w:ilvl w:val="1"/>
          <w:numId w:val="166"/>
        </w:numPr>
        <w:pStyle w:val="Para 01"/>
      </w:pPr>
      <w:r>
        <w:t>Câu trả lời của bạn sẽ thay đổi như thế nào nếu bạn kỳ vọng quỹ sẽ được thanh lý trong 10 năm?</w:t>
      </w:r>
    </w:p>
    <w:p>
      <w:pPr>
        <w:numPr>
          <w:ilvl w:val="0"/>
          <w:numId w:val="166"/>
        </w:numPr>
        <w:pStyle w:val="Para 01"/>
      </w:pPr>
      <w:r>
        <w:t>Bạn được yêu cầu xem xét định giá của một nhà phân tích khác về System Logic Inc., một công ty công nghệ. Nhà phân tích ước tính giá trị mỗi cổ phiếu là 11 đô la, trong khi cổ phiếu đang giao dịch ở mức 12,50 đô la mỗi cổ phiếu. Tuy nhiên, khi đưa ra ước tính này, nhà phân tích đã chia giá trị vốn chủ sở hữu cho 1,4 triệu cổ phiếu đang lưu hành được pha loãng hoàn toàn. Khi xem xét con số này, bạn phát hiện ra rằng công ty chỉ có 1 triệu cổ phiếu đang lưu hành, và 400.000 cổ phiếu còn lại đại diện cho các quyền chọn có thời gian đáo hạn trung bình là ba năm và giá thực hiện trung bình là 5 đô la.</w:t>
      </w:r>
    </w:p>
    <w:p>
      <w:pPr>
        <w:numPr>
          <w:ilvl w:val="1"/>
          <w:numId w:val="166"/>
        </w:numPr>
        <w:pStyle w:val="Para 01"/>
      </w:pPr>
      <w:r>
        <w:t>Hãy ước tính giá trị chính xác mỗi cổ phiếu, sử dụng phương pháp cổ phiếu quỹ.</w:t>
      </w:r>
    </w:p>
    <w:p>
      <w:pPr>
        <w:numPr>
          <w:ilvl w:val="1"/>
          <w:numId w:val="166"/>
        </w:numPr>
        <w:pStyle w:val="Para 01"/>
      </w:pPr>
      <w:r>
        <w:t>Nếu độ lệch chuẩn của giá cổ phiếu là 80%, hãy ước tính giá trị của các quyền chọn bằng mô hình định giá quyền chọn (và giá cổ phiếu hiện tại) và giá trị chính xác mỗi cổ phiếu.</w:t>
      </w:r>
    </w:p>
    <w:p>
      <w:pPr>
        <w:numPr>
          <w:ilvl w:val="1"/>
          <w:numId w:val="166"/>
        </w:numPr>
        <w:pStyle w:val="Para 01"/>
      </w:pPr>
      <w:r>
        <w:t>Giá trị mỗi cổ phiếu của bạn sẽ tăng hay giảm nếu bạn ước tính lại giá trị của các quyền chọn bằng cách sử dụng giá trị mỗi cổ phiếu ước tính của bạn?</w:t>
      </w:r>
    </w:p>
    <w:p>
      <w:bookmarkStart w:id="3358" w:name="Notes_15"/>
      <w:bookmarkStart w:id="3359" w:name="Notes__1_Note_that_if_the_cash_i"/>
      <w:pPr>
        <w:keepNext/>
        <w:pStyle w:val="Heading 2"/>
        <w:keepLines w:val="on"/>
      </w:pPr>
      <w:r>
        <w:t>Ghi chú</w:t>
      </w:r>
      <w:bookmarkEnd w:id="3358"/>
      <w:bookmarkEnd w:id="3359"/>
    </w:p>
    <w:p>
      <w:pPr>
        <w:pStyle w:val="Para 08"/>
      </w:pPr>
      <w:r>
        <w:t>1 Lưu ý rằng nếu tiền mặt được đầu tư vào các tài sản phi rủi ro như tín phiếu Kho bạc, thì lãi suất phi rủi ro là một tỷ lệ lợi nhuận hợp lý.</w:t>
      </w:r>
    </w:p>
    <w:p>
      <w:pPr>
        <w:pStyle w:val="Para 08"/>
      </w:pPr>
      <w:r>
        <w:t>2 Beta không đòn bẩy mà bạn có thể rút ra từ beta hồi quy phản ánh số dư tiền mặt trung bình (tính theo phần trăm giá trị công ty) trong giai đoạn hồi quy. Do đó, nếu một công ty duy trì tỷ lệ này ở mức không đổi, bạn có thể có thể đạt được beta không đòn bẩy chính xác.</w:t>
      </w:r>
    </w:p>
    <w:p>
      <w:pPr>
        <w:pStyle w:val="Para 08"/>
      </w:pPr>
      <w:r>
        <w:t>3 Mặc dù giả định này khá đơn giản với tiền mặt, nhưng nó ít đơn giản hơn với tài sản thực, nơi giá trị thanh lý có thể phản ánh khả năng sinh lời kém của tài sản. Do đó, thặng dư tiềm năng từ thanh lý có thể không dễ dàng được khẳng định.</w:t>
      </w:r>
    </w:p>
    <w:p>
      <w:pPr>
        <w:pStyle w:val="Para 08"/>
      </w:pPr>
      <w:r>
        <w:t>4 Các công ty có số dư tiền mặt lớn là những mục tiêu hấp dẫn, vì số dư tiền mặt làm giảm chi phí thực hiện thương vụ mua lại.</w:t>
      </w:r>
    </w:p>
    <w:p>
      <w:pPr>
        <w:pStyle w:val="Para 08"/>
      </w:pPr>
      <w:r>
        <w:t>5 Một trong những khoản đầu tư kỳ lạ nhất của Microsoft là vào một trong những đối thủ cạnh tranh chính của mình, Apple Computer, vào đầu năm 1998. Khoản đầu tư này có thể nhằm mục đích chống lại vụ kiện chống độc quyền do Bộ Tư pháp đưa ra chống lại Microsoft.</w:t>
      </w:r>
    </w:p>
    <w:p>
      <w:pPr>
        <w:pStyle w:val="Para 08"/>
      </w:pPr>
      <w:r>
        <w:t>6 Các công ty đã lách các yêu cầu hợp nhất bằng cách giữ tỷ lệ sở hữu của họ trong các công ty khác dưới 50 phần trăm.</w:t>
      </w:r>
    </w:p>
    <w:p>
      <w:pPr>
        <w:pStyle w:val="Para 08"/>
      </w:pPr>
      <w:r>
        <w:t>7 Việc hợp nhất ở Hoa Kỳ yêu cầu bạn phải xem xét 100 phần trăm của công ty con, ngay cả khi bạn sở hữu ít hơn. Có những thị trường khác trên thế giới nơi việc hợp nhất chỉ yêu cầu bạn xem xét phần của công ty mà bạn sở hữu.</w:t>
      </w:r>
    </w:p>
    <w:p>
      <w:pPr>
        <w:pStyle w:val="Para 08"/>
      </w:pPr>
      <w:r>
        <w:t>8 Ước tính giá trị thị trường cho cổ phiếu ưu đãi tương đối đơn giản. Cổ phiếu ưu đãi nói chung là vĩnh viễn, và giá trị thị trường ước tính của cổ phiếu ưu đãi do đó là:</w:t>
      </w:r>
    </w:p>
    <w:p>
      <w:bookmarkStart w:id="3368" w:name="Value_of_preferred_stock_Preferr"/>
      <w:pPr>
        <w:keepNext/>
        <w:pStyle w:val="Para 53"/>
        <w:keepLines w:val="on"/>
      </w:pPr>
      <w:r>
        <w:t>Giá trị cổ phiếu ưu đãi=Cổ tức ưu đãi/Chi phí cổ phiếu ưu đãi</w:t>
      </w:r>
      <w:bookmarkEnd w:id="3368"/>
    </w:p>
    <w:p>
      <w:pPr>
        <w:pStyle w:val="Para 03"/>
      </w:pPr>
      <w:r>
        <w:t>Chi phí cổ phiếu ưu đãi nên cao hơn chi phí nợ trước thuế, vì nợ có quyền đòi trước đối với dòng tiền và tài sản của công ty.</w:t>
      </w:r>
    </w:p>
    <w:p>
      <w:pPr>
        <w:pStyle w:val="Para 08"/>
      </w:pPr>
      <w:r>
        <w:t>9 Đây sẽ là pha loãng theo đúng nghĩa thực sự của từ này, chứ không phải thuật ngữ được sử dụng để mô tả bất kỳ sự gia tăng nào trong số lượng cổ phiếu đang lưu hành. Lý do có sự pha loãng là vì các cổ phiếu bổ sung chỉ được phát hành cho những người nắm giữ quyền chọn ở mức giá thấp hơn giá hiện tại. Ngược lại, sự pha loãng xảy ra trong một đợt phát hành quyền mua nơi mọi cổ đông đều có quyền mua thêm cổ phiếu ở mức giá thấp hơn là trung tính về giá trị. Cổ phiếu sẽ giao dịch ở mức giá thấp hơn, nhưng mọi người sẽ có nhiều cổ phiếu đang lưu hành hơn.</w:t>
      </w:r>
    </w:p>
    <w:p>
      <w:pPr>
        <w:pStyle w:val="Para 08"/>
      </w:pPr>
      <w:r>
        <w:t>10 Cuny và Jorion (1995) xem xét định giá quyền chọn khi có khả năng bị mất quyền.</w:t>
      </w:r>
    </w:p>
    <w:p>
      <w:pPr>
        <w:pStyle w:val="Para 08"/>
      </w:pPr>
      <w:r>
        <w:t>11 Giá trị mỗi cổ phiếu, thu được bằng phương pháp cổ phiếu quỹ, sẽ trở thành giá cổ phiếu trong mô hình định giá quyền chọn. Giá trị quyền chọn, là kết quả của việc sử dụng giá này, được sử dụng để tính toán một giá trị mỗi cổ phiếu mới, giá trị này lại được đưa trở lại mô hình định giá quyền chọn, và cứ tiếp tục như vậy.</w:t>
      </w:r>
    </w:p>
    <w:p>
      <w:pPr>
        <w:pStyle w:val="Para 08"/>
      </w:pPr>
      <w:r>
        <w:t>12 Hai loại cổ phiếu nhận được cùng một cổ tức.</w:t>
      </w:r>
    </w:p>
    <w:p>
      <w:pPr>
        <w:pStyle w:val="Para 08"/>
      </w:pPr>
      <w:r>
        <w:t>13 Trong một số trường hợp, quyền của các cổ đông không có quyền biểu quyết được bảo vệ trong trường hợp cụ thể của một thương vụ tiếp quản bằng cách buộc bên mua phải mua cả cổ phiếu không có quyền biểu quyết.</w:t>
      </w:r>
    </w:p>
    <w:p>
      <w:bookmarkStart w:id="3374" w:name="Top_of_c017_xhtml"/>
      <w:bookmarkStart w:id="3375" w:name="Chapter_17Fundamental_Principles"/>
      <w:bookmarkStart w:id="3376" w:name="Chapter_17Fundamental_Principles_1"/>
      <w:pPr>
        <w:keepNext/>
        <w:pStyle w:val="Heading 1"/>
        <w:pageBreakBefore w:val="on"/>
        <w:keepLines w:val="on"/>
      </w:pPr>
      <w:r>
        <w:t>CHƯƠNG 17</w:t>
      </w:r>
      <w:r>
        <w:br/>
      </w:r>
      <w:r>
        <w:t>Các Nguyên tắc Cơ bản của Định giá Tương đối</w:t>
      </w:r>
      <w:bookmarkEnd w:id="3374"/>
      <w:bookmarkEnd w:id="3375"/>
      <w:bookmarkEnd w:id="3376"/>
    </w:p>
    <w:p>
      <w:pPr>
        <w:pStyle w:val="Para 03"/>
      </w:pPr>
      <w:r>
        <w:t>Trong định giá dòng tiền chiết khấu (discounted cash flow valuation), mục tiêu là tìm ra giá trị của tài sản dựa trên dòng tiền, tốc độ tăng trưởng và đặc điểm rủi ro của chúng. Trong định giá tương đối (relative valuation), mục tiêu là định giá tài sản dựa trên cách các tài sản tương tự đang được định giá trên thị trường. Các bội số (multiples) tuy dễ dùng và trực quan, nhưng cũng rất dễ bị dùng sai. Vì vậy, trong chương này, một loạt các bài kiểm tra được xây dựng để có thể dùng nhằm kiểm tra xem các bội số có được sử dụng đúng cách hay không.</w:t>
      </w:r>
    </w:p>
    <w:p>
      <w:pPr>
        <w:pStyle w:val="Para 03"/>
      </w:pPr>
      <w:r>
        <w:t>Định giá tương đối gồm hai thành phần. Thứ nhất, để định giá tài sản theo cách tương đối, giá cả phải được chuẩn hóa, thường bằng cách chuyển giá thành các bội số của lợi nhuận, giá trị sổ sách hoặc doanh thu. Thứ hai là tìm ra những công ty tương tự, điều này khó thực hiện vì không có hai công ty nào hoàn toàn giống nhau và các công ty trong cùng ngành vẫn có thể khác nhau về rủi ro, tiềm năng tăng trưởng và dòng tiền. Câu hỏi làm thế nào để kiểm soát những khác biệt này khi so sánh giá cả giữa nhiều công ty trở thành một câu hỏi then chốt.</w:t>
      </w:r>
    </w:p>
    <w:p>
      <w:bookmarkStart w:id="3378" w:name="Use_of_Relative_Valuation__The_u"/>
      <w:bookmarkStart w:id="3379" w:name="Use_of_Relative_Valuation"/>
      <w:pPr>
        <w:keepNext/>
        <w:pStyle w:val="Heading 2"/>
        <w:keepLines w:val="on"/>
      </w:pPr>
      <w:r>
        <w:t>Việc sử dụng định giá tương đối</w:t>
      </w:r>
      <w:bookmarkEnd w:id="3378"/>
      <w:bookmarkEnd w:id="3379"/>
    </w:p>
    <w:p>
      <w:pPr>
        <w:pStyle w:val="Para 03"/>
      </w:pPr>
      <w:r>
        <w:t>Việc sử dụng định giá tương đối rất phổ biến. Hầu hết các báo cáo nghiên cứu cổ phiếu và nhiều định giá thương vụ mua bán đều dựa trên việc so sánh một công ty với các công ty có thể so sánh được (comparable firms), sử dụng một bội số như PE làm cơ sở. Thực tế, các công ty cùng ngành với công ty đang được định giá được gọi là "có thể so sánh được", mặc dù, như bạn sẽ thấy ở phần sau của chương này, điều đó không phải lúc nào cũng đúng. Trong phần này, trước tiên sẽ xem xét các lý do khiến định giá tương đối phổ biến đến vậy, sau đó là một số cạm bẫy tiềm ẩn.</w:t>
      </w:r>
    </w:p>
    <w:p>
      <w:bookmarkStart w:id="3380" w:name="Reasons_for_Popularity"/>
      <w:bookmarkStart w:id="3381" w:name="Reasons_for_Popularity__There_ar"/>
      <w:pPr>
        <w:keepNext/>
        <w:pStyle w:val="Heading 3"/>
        <w:keepLines w:val="on"/>
      </w:pPr>
      <w:r>
        <w:t>Lý do phổ biến</w:t>
      </w:r>
      <w:bookmarkEnd w:id="3380"/>
      <w:bookmarkEnd w:id="3381"/>
    </w:p>
    <w:p>
      <w:pPr>
        <w:pStyle w:val="Para 03"/>
      </w:pPr>
      <w:r>
        <w:t>Có nhiều lý do khiến định giá tương đối hay định giá theo giá thị trường (pricing) được sử dụng rộng rãi đến vậy. Thứ nhất, việc định giá dựa trên bội số và các công ty có thể so sánh được có thể hoàn thành với ít giả định rõ ràng hơn nhiều và nhanh hơn nhiều so với định giá dòng tiền chiết khấu. Thứ hai, định giá tương đối dễ hiểu hơn và dễ trình bày hơn cho khách hàng và người mua so với định giá dòng tiền chiết khấu. Nói cách khác, việc mô tả một tài sản là rẻ hay đắt bằng một bội số dễ hơn nhiều so với dùng định giá dòng tiền chiết khấu. Cuối cùng, định giá tương đối có nhiều khả năng phản ánh tâm lý hiện tại của thị trường hơn, vì nó là một nỗ lực đo lường giá trị tương đối chứ không phải giá trị nội tại. Do đó, trong một thị trường mà tất cả cổ phiếu mạng xã hội đều được đẩy giá lên, định giá tương đối có khả năng mang lại mức giá cao hơn cho những cổ phiếu này so với định giá dòng tiền chiết khấu. Thực tế, định giá tương đối nói chung sẽ cho ra những giá trị gần với giá thị trường hơn so với định giá dòng tiền chiết khấu đối với mọi công ty. Điều này đặc biệt quan trọng với những người mà công việc của họ là đưa ra phán đoán về giá trị tương đối, và bản thân họ cũng được đánh giá trên cơ sở tương đối. Hãy xem xét, ví dụ, các nhà quản lý quỹ tương hỗ tăng trưởng (growth mutual funds). Những nhà quản lý này sẽ được đánh giá dựa trên hiệu suất quỹ của họ so với các quỹ tăng trưởng khác. Do đó, họ sẽ được thưởng nếu họ chọn được những cổ phiếu tăng trưởng bị định giá thấp so với các cổ phiếu tăng trưởng khác, ngay cả khi tất cả cổ phiếu tăng trưởng đều đang bị định giá quá cao.</w:t>
      </w:r>
    </w:p>
    <w:p>
      <w:bookmarkStart w:id="3383" w:name="Potential_Pitfalls__The_strength"/>
      <w:bookmarkStart w:id="3384" w:name="Potential_Pitfalls"/>
      <w:pPr>
        <w:keepNext/>
        <w:pStyle w:val="Heading 3"/>
        <w:keepLines w:val="on"/>
      </w:pPr>
      <w:r>
        <w:t>Những cạm bẫy tiềm ẩn</w:t>
      </w:r>
      <w:bookmarkEnd w:id="3383"/>
      <w:bookmarkEnd w:id="3384"/>
    </w:p>
    <w:p>
      <w:pPr>
        <w:pStyle w:val="Para 03"/>
      </w:pPr>
      <w:r>
        <w:t>Những điểm mạnh của định giá tương đối cũng chính là điểm yếu của nó. Thứ nhất, sự dễ dàng trong việc lập một định giá tương đối, chỉ cần ghép một bội số với một nhóm công ty có thể so sánh được, cũng có thể dẫn đến những ước tính giá trị không nhất quán khi các biến số then chốt như rủi ro, tăng trưởng hay tiềm năng dòng tiền bị bỏ qua. Thứ hai, việc các bội số phản ánh tâm lý thị trường cũng ngụ ý rằng dùng định giá tương đối để ước tính giá trị của một tài sản có thể cho ra những giá trị quá cao khi thị trường đang định giá quá cao các công ty có thể so sánh được, hoặc quá thấp khi thị trường đang định giá thấp những công ty này. Thứ ba, dù bất kỳ kiểu định giá nào cũng có khả năng bị thiên lệch, nhưng việc thiếu minh bạch về các giả định cơ bản trong định giá tương đối khiến chúng đặc biệt dễ bị thao túng. Một nhà phân tích thiên vị, được phép chọn bội số làm cơ sở định giá và chọn các công ty có thể so sánh được, về cơ bản có thể đảm bảo rằng gần như bất kỳ giá trị nào cũng có thể được biện minh.</w:t>
      </w:r>
    </w:p>
    <w:p>
      <w:bookmarkStart w:id="3385" w:name="Standardized_Values_and_Multiple"/>
      <w:bookmarkStart w:id="3386" w:name="Standardized_Values_and_Multiple_1"/>
      <w:pPr>
        <w:keepNext/>
        <w:pStyle w:val="Heading 2"/>
        <w:keepLines w:val="on"/>
      </w:pPr>
      <w:r>
        <w:t>Giá trị chuẩn hóa và các bội số</w:t>
      </w:r>
      <w:bookmarkEnd w:id="3385"/>
      <w:bookmarkEnd w:id="3386"/>
    </w:p>
    <w:p>
      <w:pPr>
        <w:pStyle w:val="Para 03"/>
      </w:pPr>
      <w:r>
        <w:t>Giá của một cổ phiếu là hàm số của cả giá trị vốn chủ sở hữu trong một công ty lẫn số lượng cổ phiếu đang lưu hành của công ty đó. Do đó, việc chia tách cổ phiếu theo tỷ lệ 2-for-1, tức gấp đôi số lượng đơn vị, sẽ gần như giảm một nửa giá cổ phiếu. Vì giá cổ phiếu được quyết định bởi số lượng đơn vị vốn chủ sở hữu trong một công ty, nên giá cổ phiếu không thể so sánh giữa các công ty khác nhau. Để so sánh giá cả của những công ty tương tự nhau trên thị trường, bạn cần chuẩn hóa giá theo một cách nào đó. Giá trị của doanh nghiệp có thể được chuẩn hóa tương ứng với lợi nhuận tạo ra, với giá trị sổ sách hoặc giá trị thay thế của tài sản được sử dụng, với doanh thu tạo ra, hoặc với các thước đo đặc thù cho các công ty trong một ngành.</w:t>
      </w:r>
    </w:p>
    <w:p>
      <w:bookmarkStart w:id="3387" w:name="Earnings_Multiples__One_of_the_m"/>
      <w:bookmarkStart w:id="3388" w:name="Earnings_Multiples"/>
      <w:pPr>
        <w:keepNext/>
        <w:pStyle w:val="Heading 3"/>
        <w:keepLines w:val="on"/>
      </w:pPr>
      <w:r>
        <w:t>Bội số lợi nhuận</w:t>
      </w:r>
      <w:bookmarkEnd w:id="3387"/>
      <w:bookmarkEnd w:id="3388"/>
    </w:p>
    <w:p>
      <w:pPr>
        <w:pStyle w:val="Para 03"/>
      </w:pPr>
      <w:r>
        <w:t>Một trong những cách trực quan hơn để nghĩ về giá trị của bất kỳ tài sản nào là xem nó như một bội số của lợi nhuận mà tài sản đó tạo ra. Khi mua một cổ phiếu, người ta thường nhìn vào giá phải trả như một bội số của lợi nhuận trên mỗi cổ phiếu (earnings per share) mà công ty tạo ra. Bản thân lợi nhuận trên mỗi cổ phiếu có thể được ước tính trước hoặc sau các khoản mục bất thường, và có thể phản ánh những gì công ty kiếm được trong các kỳ trước hoặc một kỳ trong tương lai.</w:t>
      </w:r>
    </w:p>
    <w:p>
      <w:pPr>
        <w:pStyle w:val="Para 03"/>
      </w:pPr>
      <w:r>
        <w:t>Khi mua một doanh nghiệp, chứ không chỉ mua phần vốn chủ sở hữu trong doanh nghiệp đó, người ta thường xem xét giá trị của tài sản hoạt động của công ty (còn gọi là giá trị doanh nghiệp – enterprise value) như một bội số của thu nhập hoạt động hoặc lợi nhuận trước lãi vay, thuế, khấu hao và phân bổ (EBITDA). Trong khi, đối với người mua phần vốn chủ sở hữu hoặc tài sản hoạt động, bội số thấp hơn thì tốt hơn bội số cao hơn, những bội số này sẽ bị ảnh hưởng bởi tiềm năng tăng trưởng và rủi ro của doanh nghiệp đang được mua.</w:t>
      </w:r>
    </w:p>
    <w:p>
      <w:bookmarkStart w:id="3390" w:name="Book_Value_or_Replacement_Value"/>
      <w:bookmarkStart w:id="3391" w:name="Book_Value_or_Replacement_Value_1"/>
      <w:pPr>
        <w:keepNext/>
        <w:pStyle w:val="Heading 3"/>
        <w:keepLines w:val="on"/>
      </w:pPr>
      <w:r>
        <w:t>Bội số giá trị sổ sách hoặc giá trị thay thế</w:t>
      </w:r>
      <w:bookmarkEnd w:id="3390"/>
      <w:bookmarkEnd w:id="3391"/>
    </w:p>
    <w:p>
      <w:pPr>
        <w:pStyle w:val="Para 03"/>
      </w:pPr>
      <w:r>
        <w:t>Trong khi thị trường đưa ra một ước tính về giá trị của một doanh nghiệp, các kế toán viên thường đưa ra một ước tính rất khác về cùng doanh nghiệp đó. Ước tính giá trị sổ sách (book value) theo kế toán được xác định bởi các quy tắc kế toán, và chịu ảnh hưởng nặng nề từ giá gốc đã trả cho tài sản cùng mọi điều chỉnh kế toán (như khấu hao) được thực hiện kể từ đó. Các nhà đầu tư thường nhìn vào mối quan hệ giữa giá họ trả cho một cổ phiếu và giá trị sổ sách của vốn chủ sở hữu (hay giá trị ròng – net worth) như một thước đo xem cổ phiếu đó đang bị định giá quá cao hay quá thấp; tỷ lệ giá trên giá trị sổ sách (price–book value, PBV) thu được có thể dao động rất rộng giữa các ngành, một lần nữa lại phụ thuộc vào tiềm năng tăng trưởng và chất lượng của các khoản đầu tư trong mỗi ngành. Khi định giá doanh nghiệp, bạn ước tính tỷ lệ này bằng cách dùng giá trị doanh nghiệp tương ứng với giá trị sổ sách của toàn bộ vốn đã đầu tư (chứ không chỉ phần vốn chủ sở hữu). Với những người cho rằng giá trị sổ sách không phải là thước đo tốt cho giá trị thực của tài sản, một lựa chọn thay thế là dùng chi phí thay thế (replacement cost) của tài sản; tỷ lệ giữa giá trị của công ty và chi phí thay thế được gọi là Tobin's Q, sẽ được thảo luận ở Chương 19.</w:t>
      </w:r>
    </w:p>
    <w:p>
      <w:bookmarkStart w:id="3392" w:name="Revenue_Multiples__Both_earnings"/>
      <w:bookmarkStart w:id="3393" w:name="Revenue_Multiples"/>
      <w:pPr>
        <w:keepNext/>
        <w:pStyle w:val="Heading 3"/>
        <w:keepLines w:val="on"/>
      </w:pPr>
      <w:r>
        <w:t>Bội số doanh thu</w:t>
      </w:r>
      <w:bookmarkEnd w:id="3392"/>
      <w:bookmarkEnd w:id="3393"/>
    </w:p>
    <w:p>
      <w:pPr>
        <w:pStyle w:val="Para 03"/>
      </w:pPr>
      <w:r>
        <w:t>Cả lợi nhuận lẫn giá trị sổ sách đều là những thước đo kế toán và được quyết định bởi các quy tắc và nguyên tắc kế toán. Một thước đo thay thế, ít bị ảnh hưởng bởi các lựa chọn kế toán hơn nhiều, là doanh thu, và bạn có thể lấy nó làm mẫu số để chuẩn hóa giá trị vốn chủ sở hữu hoặc giá trị doanh nghiệp. Với nhà đầu tư vốn chủ sở hữu, tỷ lệ này là tỷ lệ giá trên doanh thu (price-sales, PS), trong đó giá trị thị trường của vốn chủ sở hữu được chia cho doanh thu. Với giá trị doanh nghiệp, tỷ lệ này có thể được điều chỉnh thành tỷ lệ giá trị trên doanh thu (value-sales, VS), trong đó tử số trở thành giá trị doanh nghiệp của công ty. Tỷ lệ này, một lần nữa, lại dao động rất rộng giữa các ngành, phần lớn là hàm số của biên lợi nhuận trong mỗi ngành. Tuy nhiên, lợi thế của việc dùng bội số doanh thu là việc so sánh các công ty ở những thị trường khác nhau, với các hệ thống kế toán khác nhau đang vận hành, trở nên dễ dàng hơn nhiều so với so sánh các bội số lợi nhuận hay giá trị sổ sách. Nó cũng hữu ích trong các ngành gồm nhiều công ty non trẻ, nơi hầu hết hoặc tất cả đều đang thua lỗ.</w:t>
      </w:r>
    </w:p>
    <w:p>
      <w:bookmarkStart w:id="3394" w:name="Sector_Specific_Multiples__While"/>
      <w:bookmarkStart w:id="3395" w:name="Sector_Specific_Multiples"/>
      <w:pPr>
        <w:keepNext/>
        <w:pStyle w:val="Heading 3"/>
        <w:keepLines w:val="on"/>
      </w:pPr>
      <w:r>
        <w:t>Bội số đặc thù theo ngành</w:t>
      </w:r>
      <w:bookmarkEnd w:id="3394"/>
      <w:bookmarkEnd w:id="3395"/>
    </w:p>
    <w:p>
      <w:pPr>
        <w:pStyle w:val="Para 03"/>
      </w:pPr>
      <w:r>
        <w:t>Trong khi các bội số lợi nhuận, giá trị sổ sách và doanh thu là những bội số có thể được tính cho các công ty trong bất kỳ ngành nào và trên toàn bộ thị trường, có một số bội số lại đặc thù cho một ngành. Ví dụ, khi các công ty dot-com lần đầu xuất hiện trên thị trường vào cuối những năm 1990, chúng có lợi nhuận âm và doanh thu cùng giá trị sổ sách không đáng kể. Các nhà phân tích đang tìm một bội số để định giá những công ty này đã chia giá trị thị trường của mỗi công ty cho số lượt truy cập (hits) mà website của công ty đó tạo ra. Những công ty có giá trị thị trường trên mỗi lượt truy cập thấp được xem là bị định giá thấp hơn. Gần đây hơn, các công ty mạng xã hội như Linkedin và Facebook được thị trường đánh giá bằng giá trị thị trường của vốn chủ sở hữu trên mỗi người đăng ký hoặc người dùng.</w:t>
      </w:r>
    </w:p>
    <w:p>
      <w:pPr>
        <w:pStyle w:val="Para 03"/>
      </w:pPr>
      <w:r>
        <w:t>Trong khi có những điều kiện mà bội số đặc thù theo ngành có thể được biện minh, và một vài điều kiện sẽ được thảo luận ở Chương 20, chúng nguy hiểm vì hai lý do. Thứ nhất, vì chúng không thể được tính cho các ngành khác hay cho toàn bộ thị trường, bội số đặc thù theo ngành có thể dẫn đến việc định giá quá cao hoặc quá thấp một cách dai dẳng đối với các ngành so với phần còn lại của thị trường. Do đó, những nhà đầu tư chẳng bao giờ nghĩ đến việc trả số tiền gấp 80 lần doanh thu cho một công ty lại có thể không hề e ngại khi trả 2.000 đô-la cho mỗi lượt truy cập trang (trên website), phần lớn là vì họ không có khái niệm gì về mức nào là cao, thấp hay trung bình trên thước đo này. Thứ hai, việc liên hệ các bội số đặc thù theo ngành với các yếu tố cơ bản (fundamentals) khó hơn nhiều, mà đó lại là một thành phần thiết yếu để sử dụng bội số một cách hiệu quả. Ví dụ, liệu một người truy cập website của công ty có chuyển hóa thành doanh thu và lợi nhuận cao hơn không? Và một người dùng thêm trên một trang mạng xã hội tạo ra bao nhiêu giá trị? Câu trả lời không chỉ khác nhau giữa các công ty mà còn khó ước tính khi nhìn về tương lai.</w:t>
      </w:r>
    </w:p>
    <w:p>
      <w:bookmarkStart w:id="3397" w:name="Four_Basic_Steps_to_Using_Multip"/>
      <w:bookmarkStart w:id="3398" w:name="Four_Basic_Steps_to_Using_Multip_1"/>
      <w:pPr>
        <w:keepNext/>
        <w:pStyle w:val="Heading 2"/>
        <w:keepLines w:val="on"/>
      </w:pPr>
      <w:r>
        <w:t>Bốn bước cơ bản để sử dụng bội số</w:t>
      </w:r>
      <w:bookmarkEnd w:id="3397"/>
      <w:bookmarkEnd w:id="3398"/>
    </w:p>
    <w:p>
      <w:pPr>
        <w:pStyle w:val="Para 03"/>
      </w:pPr>
      <w:r>
        <w:t>Bội số dễ dùng và cũng dễ bị dùng sai. Có bốn bước cơ bản để sử dụng bội số một cách khôn ngoan và để phát hiện việc dùng sai trong tay người khác. Bước thứ nhất là đảm bảo rằng bội số được định nghĩa nhất quán và được đo lường đồng nhất giữa các công ty đang được so sánh. Bước thứ hai là nhận thức được phân phối theo mặt cắt ngang (cross-sectional distribution) của bội số, không chỉ giữa các công ty trong ngành đang được phân tích mà còn trên toàn bộ thị trường. Bước thứ ba là phân tích bội số và hiểu không chỉ những yếu tố cơ bản nào quyết định bội số mà còn cả việc những thay đổi trong các yếu tố cơ bản này chuyển hóa thành những thay đổi trong bội số như thế nào. Bước cuối cùng là tìm ra những công ty phù hợp để dùng làm so sánh, và kiểm soát những khác biệt có thể vẫn tồn tại giữa các công ty này.</w:t>
      </w:r>
    </w:p>
    <w:p>
      <w:bookmarkStart w:id="3399" w:name="Definitional_Tests"/>
      <w:bookmarkStart w:id="3400" w:name="Definitional_Tests__Even_the_sim"/>
      <w:pPr>
        <w:keepNext/>
        <w:pStyle w:val="Heading 3"/>
        <w:keepLines w:val="on"/>
      </w:pPr>
      <w:r>
        <w:t>Các bài kiểm tra về định nghĩa</w:t>
      </w:r>
      <w:bookmarkEnd w:id="3399"/>
      <w:bookmarkEnd w:id="3400"/>
    </w:p>
    <w:p>
      <w:pPr>
        <w:pStyle w:val="Para 03"/>
      </w:pPr>
      <w:r>
        <w:t>Ngay cả những bội số đơn giản nhất cũng có thể được các nhà phân tích khác nhau định nghĩa theo cách khác nhau. Hãy xem xét, ví dụ, tỷ lệ giá trên lợi nhuận (price-earnings, PE). Hầu hết các nhà phân tích định nghĩa nó là giá thị trường chia cho lợi nhuận trên mỗi cổ phiếu, nhưng đó là nơi sự đồng thuận kết thúc. Có một số biến thể của tỷ lệ PE. Trong khi giá hiện tại thường được dùng ở tử số, có một số nhà phân tích dùng giá trung bình trong sáu tháng hoặc một năm trước đó. Lợi nhuận trên mỗi cổ phiếu ở mẫu số có thể là lợi nhuận trên mỗi cổ phiếu của năm tài chính gần nhất (cho ra PE hiện tại), lợi nhuận của bốn quý gần nhất (cho ra PE theo dõi – trailing PE), hoặc lợi nhuận trên mỗi cổ phiếu dự kiến trong năm tài chính tiếp theo (cho ra PE dự phóng – forward PE). Ngoài ra, lợi nhuận trên mỗi cổ phiếu có thể được tính dựa trên số cổ phiếu đang lưu hành cơ bản hoặc số cổ phiếu pha loãng hoàn toàn, và có thể bao gồm hoặc loại trừ các khoản mục bất thường. Hình 17.1 cung cấp các tỷ lệ PE của Nvidia vào tháng 5 năm 2024, sử dụng từng thước đo này.</w:t>
      </w:r>
    </w:p>
    <w:p>
      <w:bookmarkStart w:id="3402" w:name="Figure_17_1_PE_Ratios__Nvidia_i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27200" cy="1358900"/>
            <wp:effectExtent l="0" r="0" t="0" b="0"/>
            <wp:wrapTopAndBottom/>
            <wp:docPr id="150" name="c17f001.png" descr="Multiple bar graph depicts decrease in E P S: Last fiscal year, E P S: Trailing 12 month, Forward E P S (2024), Forward E P S (2025)."/>
            <wp:cNvGraphicFramePr>
              <a:graphicFrameLocks noChangeAspect="1"/>
            </wp:cNvGraphicFramePr>
            <a:graphic>
              <a:graphicData uri="http://schemas.openxmlformats.org/drawingml/2006/picture">
                <pic:pic>
                  <pic:nvPicPr>
                    <pic:cNvPr id="0" name="c17f001.png" descr="Multiple bar graph depicts decrease in E P S: Last fiscal year, E P S: Trailing 12 month, Forward E P S (2024), Forward E P S (2025)."/>
                    <pic:cNvPicPr/>
                  </pic:nvPicPr>
                  <pic:blipFill>
                    <a:blip r:embed="rId105"/>
                    <a:stretch>
                      <a:fillRect/>
                    </a:stretch>
                  </pic:blipFill>
                  <pic:spPr>
                    <a:xfrm>
                      <a:off x="0" y="0"/>
                      <a:ext cx="1727200" cy="1358900"/>
                    </a:xfrm>
                    <a:prstGeom prst="rect">
                      <a:avLst/>
                    </a:prstGeom>
                  </pic:spPr>
                </pic:pic>
              </a:graphicData>
            </a:graphic>
          </wp:anchor>
        </w:drawing>
      </w:r>
      <w:bookmarkEnd w:id="3402"/>
    </w:p>
    <w:p>
      <w:pPr>
        <w:keepNext/>
        <w:pStyle w:val="Para 22"/>
        <w:keepLines w:val="on"/>
      </w:pPr>
      <w:r>
        <w:t>Hình 17.1 Các tỷ lệ PE—Nvidia vào tháng 5 năm 2024</w:t>
      </w:r>
    </w:p>
    <w:p>
      <w:pPr>
        <w:pStyle w:val="Para 03"/>
      </w:pPr>
      <w:r>
        <w:t>Không chỉ những biến thể này của lợi suất thu nhập (earnings yield) có thể cho ra những giá trị tỷ số giá trên thu nhập (price-earnings ratio) rất khác nhau, mà cái nào được các nhà phân tích sử dụng còn phụ thuộc vào định kiến của họ. Ví dụ, trong giai đoạn thu nhập đang tăng, chỉ số PE dự phóng (forward PE) luôn cho giá trị thấp hơn chỉ số PE quá khứ (trailing PE), và chỉ số này lại thấp hơn chỉ số PE hiện tại (current PE). Một nhà phân tích lạc quan sẽ có xu hướng dùng chỉ số PE dự phóng để lập luận rằng cổ phiếu đang được giao dịch ở mức bội số thu nhập thấp, trong khi một nhà phân tích bi quan sẽ tập trung vào chỉ số PE hiện tại để lập luận rằng mức bội số đó quá cao. Bước đầu tiên khi thảo luận về định giá dựa trên một bội số (multiple) là phải đảm bảo rằng mọi người trong cuộc thảo luận đều đang dùng cùng một định nghĩa cho bội số đó.</w:t>
      </w:r>
    </w:p>
    <w:p>
      <w:pPr>
        <w:pStyle w:val="Para 20"/>
      </w:pPr>
      <w:r>
        <w:rPr>
          <w:rStyle w:val="Text26"/>
        </w:rPr>
        <w:bookmarkStart w:id="3403" w:name="Page_519"/>
        <w:t/>
        <w:bookmarkEnd w:id="3403"/>
      </w:r>
      <w:r>
        <w:t xml:space="preserve"> </w:t>
      </w:r>
    </w:p>
    <w:p>
      <w:bookmarkStart w:id="3404" w:name="Consistency__Every_multiple_has"/>
      <w:bookmarkStart w:id="3405" w:name="Consistency"/>
      <w:pPr>
        <w:keepNext/>
        <w:pStyle w:val="Heading 4"/>
        <w:keepLines w:val="on"/>
      </w:pPr>
      <w:r>
        <w:t>Tính nhất quán</w:t>
      </w:r>
      <w:bookmarkEnd w:id="3404"/>
      <w:bookmarkEnd w:id="3405"/>
    </w:p>
    <w:p>
      <w:pPr>
        <w:pStyle w:val="Para 03"/>
      </w:pPr>
      <w:r>
        <w:t>Mỗi bội số đều có một tử số và một mẫu số. Tử số có thể là giá trị vốn chủ sở hữu (equity value) — chẳng hạn như giá thị trường hay giá trị vốn chủ sở hữu — hoặc giá trị doanh nghiệp (firm value) — chẳng hạn như giá trị doanh nghiệp (enterprise value), tức là tổng giá trị nợ và vốn chủ sở hữu, trừ đi tiền mặt. Mẫu số có thể là một thước đo vốn chủ sở hữu (như thu nhập trên mỗi cổ phần, thu nhập ròng, hay giá trị sổ sách của vốn chủ sở hữu) hoặc một thước đo doanh nghiệp (như thu nhập hoạt động, EBITDA, hay giá trị sổ sách của vốn).</w:t>
      </w:r>
    </w:p>
    <w:p>
      <w:pPr>
        <w:pStyle w:val="Para 03"/>
      </w:pPr>
      <w:r>
        <w:t>Một trong những phép kiểm tra quan trọng cần thực hiện với một bội số là xem xét liệu tử số và mẫu số có được định nghĩa nhất quán với nhau hay không. Nếu tử số của một bội số là giá trị vốn chủ sở hữu, thì mẫu số cũng nên là giá trị vốn chủ sở hữu. Nếu tử số là giá trị doanh nghiệp, thì mẫu số cũng nên là giá trị doanh nghiệp. Để minh họa, tỷ số giá trên thu nhập là một bội số được định nghĩa nhất quán, vì tử số là giá trên mỗi cổ phần (một giá trị vốn chủ sở hữu) và mẫu số là thu nhập trên mỗi cổ phần (một thước đo thu nhập của vốn chủ sở hữu). Bội số giá trị doanh nghiệp trên EBITDA cũng vậy, vì cả tử số lẫn mẫu số đều là các thước đo tài sản hoạt động.</w:t>
      </w:r>
    </w:p>
    <w:p>
      <w:pPr>
        <w:pStyle w:val="Para 03"/>
      </w:pPr>
      <w:r>
        <w:t>Vậy có bội số nào đang được dùng mà lại được định nghĩa không nhất quán không? Hãy xét bội số Giá trên EBITDA (Price-to-EBITDA), một bội số đã có được vài người ủng hộ trong những năm gần đây. Tử số trong bội số này là một giá trị vốn chủ sở hữu, còn mẫu số lại là một thước đo thu nhập thuộc về doanh nghiệp. Những nhà phân tích dùng bội số này có lẽ sẽ lập luận rằng sự không nhất quán đó không quan trọng, vì bội số được tính theo cùng một cách cho tất cả các công ty so sánh; nhưng họ sẽ sai. Nếu một số công ty trong danh sách không có nợ, còn những công ty khác lại gánh một lượng nợ đáng kể, thì nhóm sau sẽ trông có vẻ rẻ theo chỉ số Giá trên EBITDA, trong khi thực tế chúng có thể đang bị định giá quá cao hoặc được định giá đúng.</w:t>
      </w:r>
    </w:p>
    <w:p>
      <w:bookmarkStart w:id="3406" w:name="Uniformity"/>
      <w:bookmarkStart w:id="3407" w:name="Uniformity__In_relative_valuatio"/>
      <w:pPr>
        <w:keepNext/>
        <w:pStyle w:val="Heading 4"/>
        <w:keepLines w:val="on"/>
      </w:pPr>
      <w:r>
        <w:t>Tính đồng nhất</w:t>
      </w:r>
      <w:bookmarkEnd w:id="3406"/>
      <w:bookmarkEnd w:id="3407"/>
    </w:p>
    <w:p>
      <w:pPr>
        <w:pStyle w:val="Para 03"/>
      </w:pPr>
      <w:r>
        <w:t>Trong định giá tương đối (relative valuation), bội số được tính cho tất cả các công ty trong một nhóm, rồi so sánh giữa các công ty này để đưa ra phán đoán xem công ty nào bị định giá quá cao và công ty nào bị định giá quá thấp. Để phép so sánh này có giá trị, bội số phải được định nghĩa đồng nhất trên tất cả các công ty trong nhóm. Vì vậy, nếu dùng chỉ số PE quá khứ cho một công ty, thì cũng phải dùng nó cho tất cả các công ty còn lại. Thực tế, một trong những vấn đề khi dùng chỉ số PE hiện tại để so sánh các công ty trong một nhóm là các công ty khác nhau có thể có ngày kết thúc năm tài chính khác nhau. Điều này có thể dẫn đến việc một số công ty lấy giá chia cho thu nhập từ tháng 7 đến tháng 6, trong khi những công ty khác lấy giá chia cho thu nhập từ tháng 1 đến tháng 12. Dù sự khác biệt có thể nhỏ trong các ngành trưởng thành, nơi thu nhập không nhảy vọt qua sáu tháng, nhưng chúng có thể rất lớn trong các ngành tăng trưởng cao.</w:t>
      </w:r>
    </w:p>
    <w:p>
      <w:pPr>
        <w:pStyle w:val="Para 03"/>
      </w:pPr>
      <w:r>
        <w:t>Với cả hai thước đo thu nhập và giá trị sổ sách, còn có một yếu tố khác cần lưu tâm, đó là các chuẩn mực kế toán được dùng để ước tính thu nhập và giá trị sổ sách. Sự khác biệt trong chuẩn mực kế toán có thể dẫn đến những con số thu nhập và giá trị sổ sách rất khác nhau đối với những công ty tương tự nhau. Điều này khiến việc so sánh các bội số giữa các công ty ở những thị trường khác nhau, với các chuẩn mực kế toán khác nhau, trở nên rất khó khăn. Ngay cả khi dùng cùng chuẩn mực kế toán, việc một số công ty áp dụng các quy tắc kế toán khác nhau (về khấu hao và ghi nhận chi phí) cho mục đích báo cáo và mục đích thuế, còn những công ty khác thì không, cũng có thể làm lệch các so sánh về bội số thu nhập.1</w:t>
      </w:r>
    </w:p>
    <w:p>
      <w:bookmarkStart w:id="3410" w:name="Descriptional_Tests"/>
      <w:bookmarkStart w:id="3411" w:name="Descriptional_Tests__When_using"/>
      <w:pPr>
        <w:keepNext/>
        <w:pStyle w:val="Heading 3"/>
        <w:keepLines w:val="on"/>
      </w:pPr>
      <w:r>
        <w:t>Các phép kiểm tra phân phối</w:t>
      </w:r>
      <w:bookmarkEnd w:id="3410"/>
      <w:bookmarkEnd w:id="3411"/>
    </w:p>
    <w:p>
      <w:pPr>
        <w:pStyle w:val="Para 03"/>
      </w:pPr>
      <w:r>
        <w:t>Khi dùng một bội số, việc nắm được thế nào là giá trị cao, giá trị thấp, hay giá trị điển hình của bội số đó trên thị trường luôn rất hữu ích. Nói cách khác, hiểu được các đặc điểm phân phối (distributional characteristics) của một bội số là một phần then chốt trong việc dùng bội số đó để nhận diện những công ty bị định giá thấp hoặc quá cao. Ngoài ra, bạn cần hiểu tác động của các giá trị ngoại lai (outliers) lên các giá trị trung bình và phát hiện những định kiến trong các giá trị này phát sinh trong quá trình ước tính bội số.</w:t>
      </w:r>
    </w:p>
    <w:p>
      <w:bookmarkStart w:id="3412" w:name="Distributional_Characteristics"/>
      <w:bookmarkStart w:id="3413" w:name="Distributional_Characteristics_1"/>
      <w:pPr>
        <w:keepNext/>
        <w:pStyle w:val="Heading 4"/>
        <w:keepLines w:val="on"/>
      </w:pPr>
      <w:r>
        <w:t>Đặc điểm phân phối</w:t>
      </w:r>
      <w:bookmarkEnd w:id="3412"/>
      <w:bookmarkEnd w:id="3413"/>
    </w:p>
    <w:p>
      <w:pPr>
        <w:pStyle w:val="Para 03"/>
      </w:pPr>
      <w:r>
        <w:t>Nhiều nhà phân tích dùng bội số thường tập trung vào một ngành và có cảm nhận về việc các công ty khác nhau trong ngành của họ xếp hạng thế nào theo những bội số cụ thể. Tuy nhiên, điều thường thiếu là cảm nhận về cách bội số đó được phân phối trên toàn bộ thị trường. Bạn có thể hỏi, tại sao một nhà phân tích phần mềm lại phải quan tâm đến tỷ số giá trên thu nhập của các cổ phiếu ngành tiện ích? Bởi vì cả cổ phiếu phần mềm lẫn cổ phiếu tiện ích đều đang cạnh tranh cho cùng một đồng vốn đầu tư, nên theo một nghĩa nào đó, chúng phải chơi theo cùng một luật. Hơn nữa, việc nhận biết các bội số biến đổi thế nào giữa các ngành có thể rất hữu ích trong việc phát hiện khi nào ngành bạn đang phân tích bị định giá quá cao hoặc quá thấp.</w:t>
      </w:r>
    </w:p>
    <w:p>
      <w:pPr>
        <w:pStyle w:val="Para 03"/>
      </w:pPr>
      <w:r>
        <w:t>Những đặc điểm phân phối nào là quan trọng? Các thống kê chuẩn — giá trị trung bình và độ lệch chuẩn — là nơi bạn nên bắt đầu, nhưng chúng chỉ là khởi điểm của quá trình khám phá. Việc các bội số như tỷ số giá trên thu nhập không bao giờ có thể nhỏ hơn không và không bị giới hạn về giá trị tối đa dẫn đến phân phối của những bội số này bị lệch về phía các giá trị dương. Do đó, giá trị trung bình của những bội số này sẽ cao hơn giá trị trung vị (median),2 và giá trị trung vị phản ánh đại diện hơn nhiều cho công ty điển hình trong nhóm. Trong khi giá trị lớn nhất và nhỏ nhất thường ít hữu ích, thì các giá trị phân vị (percentile) (phân vị thứ 10, thứ 25, thứ 75, thứ 90, v.v.) có thể hữu ích trong việc đánh giá thế nào là giá trị cao hay thấp của bội số trong nhóm.</w:t>
      </w:r>
    </w:p>
    <w:p>
      <w:bookmarkStart w:id="3416" w:name="Outliers_and_Averages"/>
      <w:bookmarkStart w:id="3417" w:name="Outliers_and_Averages__As_noted"/>
      <w:pPr>
        <w:keepNext/>
        <w:pStyle w:val="Heading 4"/>
        <w:keepLines w:val="on"/>
      </w:pPr>
      <w:r>
        <w:t>Giá trị ngoại lai và giá trị trung bình</w:t>
      </w:r>
      <w:bookmarkEnd w:id="3416"/>
      <w:bookmarkEnd w:id="3417"/>
    </w:p>
    <w:p>
      <w:pPr>
        <w:pStyle w:val="Para 03"/>
      </w:pPr>
      <w:r>
        <w:t>Như đã nói ở trên, các bội số không bị giới hạn ở phía trên, và các công ty có thể có tỷ số giá trên thu nhập là 500, 2.000, hay thậm chí 10.000. Điều này có thể xảy ra không chỉ vì giá cổ phiếu cao mà còn vì thu nhập của công ty đôi khi có thể giảm xuống chỉ còn một phần nhỏ của một xu. Những giá trị ngoại lai này sẽ khiến các giá trị trung bình không còn đại diện cho mẫu. Trong hầu hết các trường hợp, các dịch vụ tính toán và báo cáo giá trị trung bình cho các bội số hoặc loại bỏ những giá trị ngoại lai này khi tính trung bình, hoặc giới hạn các bội số ở mức nhỏ hơn hoặc bằng một con số cố định. Ví dụ, bất kỳ công ty nào có tỷ số giá trên thu nhập lớn hơn 500 có thể được gán cho tỷ số giá trên thu nhập là 500.</w:t>
      </w:r>
    </w:p>
    <w:p>
      <w:pPr>
        <w:pStyle w:val="Para 03"/>
      </w:pPr>
      <w:r>
        <w:t>Khi dùng các giá trị trung bình lấy từ một dịch vụ, điều quan trọng là bạn phải biết dịch vụ đó đã xử lý các giá trị ngoại lai như thế nào khi tính trung bình. Thực tế, mức độ nhạy cảm của giá trị trung bình ước tính đối với các giá trị ngoại lai là một lý do nữa để bạn nên xem xét giá trị trung vị của các bội số.</w:t>
      </w:r>
    </w:p>
    <w:p>
      <w:bookmarkStart w:id="3418" w:name="Biases_in_Estimating_Multiples_1"/>
      <w:bookmarkStart w:id="3419" w:name="Biases_in_Estimating_Multiples"/>
      <w:pPr>
        <w:keepNext/>
        <w:pStyle w:val="Heading 4"/>
        <w:keepLines w:val="on"/>
      </w:pPr>
      <w:r>
        <w:t>Định kiến trong việc ước tính bội số</w:t>
      </w:r>
      <w:bookmarkEnd w:id="3418"/>
      <w:bookmarkEnd w:id="3419"/>
    </w:p>
    <w:p>
      <w:pPr>
        <w:pStyle w:val="Para 03"/>
      </w:pPr>
      <w:r>
        <w:t>Với mỗi bội số, luôn có những công ty mà bội số đó không thể tính được. Hãy xét lại tỷ số giá trên thu nhập. Khi thu nhập trên mỗi cổ phần âm, tỷ số giá trên thu nhập của một công ty trở nên vô nghĩa và thường không được báo cáo. Khi xem xét tỷ số giá trên thu nhập trung bình của một nhóm công ty, tất cả các công ty có thu nhập âm sẽ bị loại khỏi mẫu vì không thể tính được tỷ số giá trên thu nhập. Tại sao điều này lại quan trọng khi mẫu lớn? Việc những công ty bị loại khỏi mẫu lại chính là những công ty đang thua lỗ tạo ra một định kiến trong quá trình chọn mẫu và làm lệch các thống kê.</w:t>
      </w:r>
    </w:p>
    <w:p>
      <w:pPr>
        <w:pStyle w:val="Para 03"/>
      </w:pPr>
      <w:r>
        <w:t>Có ba giải pháp cho vấn đề này. Thứ nhất là nhận biết định kiến đó và đưa nó vào phân tích. Trên thực tế, điều này có nghĩa là điều chỉnh chỉ số PE trung bình để phản ánh việc loại bỏ các công ty thua lỗ. Thứ hai là gộp giá trị thị trường của vốn chủ sở hữu và thu nhập ròng (hoặc lỗ ròng) của tất cả các công ty trong nhóm, kể cả những công ty thua lỗ, rồi tính tỷ số giá trên thu nhập bằng các giá trị gộp đó. Hình 17.2 tóm tắt tỷ số PE trung bình, tỷ số PE trung vị, và tỷ số PE dựa trên thu nhập gộp cho bốn nhóm ngành của các công ty Mỹ: phần mềm, hóa chất cơ bản, ngân hàng, và các công ty thuốc lá vào năm 2024. Trong khi các giá trị rất khác nhau đối với các công ty phần mềm, chúng lại rất giống nhau đối với các ngân hàng, chủ yếu vì ngành phần mềm có nhiều công ty có thu nhập âm và tỷ số PE cực đoan (cao). Tương tự, các công ty hóa chất cơ bản cho thấy ba chỉ số tỷ số PE hội tụ nhiều hơn so với các công ty thuốc lá, một lần nữa cho thấy sự hiện diện của các giá trị ngoại lai và các công ty có thu nhập âm trong nhóm sau. Lưu ý rằng tỷ số PE trung vị thấp hơn tỷ số PE trung bình ở ba trong bốn nhóm ngành nhưng lại cao hơn ở nhóm ngân hàng. Lựa chọn thứ ba là dùng một bội số có thể tính được cho tất cả các công ty trong nhóm. Nghịch đảo của tỷ số giá trên thu nhập, được gọi là lợi suất thu nhập (earnings yield), có thể tính được cho tất cả các công ty, kể cả những công ty đang thua lỗ.</w:t>
      </w:r>
    </w:p>
    <w:p>
      <w:bookmarkStart w:id="3421" w:name="Figure_17_2_PE_Ratio_in_2024__Av"/>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63800" cy="1854200"/>
            <wp:effectExtent l="0" r="0" t="0" b="0"/>
            <wp:wrapTopAndBottom/>
            <wp:docPr id="151" name="c17f002.png" descr="Multiple bar graph depicts fluctuations in average, median, and aggregate for 4 categories with values segregated in a table form below."/>
            <wp:cNvGraphicFramePr>
              <a:graphicFrameLocks noChangeAspect="1"/>
            </wp:cNvGraphicFramePr>
            <a:graphic>
              <a:graphicData uri="http://schemas.openxmlformats.org/drawingml/2006/picture">
                <pic:pic>
                  <pic:nvPicPr>
                    <pic:cNvPr id="0" name="c17f002.png" descr="Multiple bar graph depicts fluctuations in average, median, and aggregate for 4 categories with values segregated in a table form below."/>
                    <pic:cNvPicPr/>
                  </pic:nvPicPr>
                  <pic:blipFill>
                    <a:blip r:embed="rId106"/>
                    <a:stretch>
                      <a:fillRect/>
                    </a:stretch>
                  </pic:blipFill>
                  <pic:spPr>
                    <a:xfrm>
                      <a:off x="0" y="0"/>
                      <a:ext cx="2463800" cy="1854200"/>
                    </a:xfrm>
                    <a:prstGeom prst="rect">
                      <a:avLst/>
                    </a:prstGeom>
                  </pic:spPr>
                </pic:pic>
              </a:graphicData>
            </a:graphic>
          </wp:anchor>
        </w:drawing>
      </w:r>
      <w:bookmarkEnd w:id="3421"/>
    </w:p>
    <w:p>
      <w:pPr>
        <w:keepNext/>
        <w:pStyle w:val="Para 22"/>
        <w:keepLines w:val="on"/>
      </w:pPr>
      <w:r>
        <w:t>Hình 17.2 Tỷ số PE năm 2024: Trung bình, Trung vị, và Gộp vào tháng 5 năm 2024</w:t>
      </w:r>
    </w:p>
    <w:p>
      <w:bookmarkStart w:id="3422" w:name="Analytical_Tests__In_discussing"/>
      <w:bookmarkStart w:id="3423" w:name="Analytical_Tests"/>
      <w:pPr>
        <w:keepNext/>
        <w:pStyle w:val="Heading 3"/>
        <w:keepLines w:val="on"/>
      </w:pPr>
      <w:r>
        <w:t>Các phép kiểm tra phân tích</w:t>
      </w:r>
      <w:bookmarkEnd w:id="3422"/>
      <w:bookmarkEnd w:id="3423"/>
    </w:p>
    <w:p>
      <w:pPr>
        <w:pStyle w:val="Para 03"/>
      </w:pPr>
      <w:r>
        <w:t>Khi thảo luận về lý do tại sao các nhà phân tích lại thích dùng bội số đến vậy, người ta lập luận rằng định giá tương đối cần ít giả định hơn so với định giá dòng tiền chiết khấu (discounted cash flow valuation). Dù điều này đúng về mặt kỹ thuật, nhưng nó chỉ đúng trên bề mặt. Trên thực tế, bạn đưa ra số lượng giả định khi làm định giá tương đối cũng nhiều như khi làm định giá dòng tiền chiết khấu. Khác biệt là ở chỗ các giả định trong định giá tương đối là ngầm hiểu và không được nói ra, còn những giả định trong định giá dòng tiền chiết khấu thì rõ ràng, minh bạch. Hai câu hỏi chính mà bạn cần trả lời trước khi dùng một bội số là: Những yếu tố cơ bản nào quyết định một công ty nên được giao dịch ở mức bội số nào? Những thay đổi trong các yếu tố cơ bản ảnh hưởng đến bội số đó như thế nào?</w:t>
      </w:r>
    </w:p>
    <w:p>
      <w:bookmarkStart w:id="3425" w:name="Determinants__In_the_chapters_on"/>
      <w:bookmarkStart w:id="3426" w:name="Determinants"/>
      <w:pPr>
        <w:keepNext/>
        <w:pStyle w:val="Heading 4"/>
        <w:keepLines w:val="on"/>
      </w:pPr>
      <w:r>
        <w:t>Các yếu tố quyết định</w:t>
      </w:r>
      <w:bookmarkEnd w:id="3425"/>
      <w:bookmarkEnd w:id="3426"/>
    </w:p>
    <w:p>
      <w:pPr>
        <w:pStyle w:val="Para 03"/>
      </w:pPr>
      <w:r>
        <w:t>Trong các chương về định giá dòng tiền chiết khấu, chúng ta đã quan sát thấy rằng giá trị của một công ty là một hàm của ba biến số — khả năng tạo ra dòng tiền của nó, mức tăng trưởng kỳ vọng của những dòng tiền này, và sự bất định gắn liền với những dòng tiền này. Mỗi bội số, dù là của thu nhập, doanh thu, hay giá trị sổ sách, đều là một hàm của cùng ba biến số đó — rủi ro, tăng trưởng, và tiềm năng tạo ra dòng tiền. Về mặt trực giác, thì những công ty có tốc độ tăng trưởng cao hơn, ít rủi ro hơn, và tiềm năng tạo ra dòng tiền lớn hơn nên được giao dịch ở mức bội số cao hơn so với những công ty có tăng trưởng thấp hơn, rủi ro cao hơn, và tiềm năng dòng tiền ít hơn.</w:t>
      </w:r>
    </w:p>
    <w:p>
      <w:pPr>
        <w:pStyle w:val="Para 03"/>
      </w:pPr>
      <w:r>
        <w:t>Các thước đo cụ thể về tăng trưởng, rủi ro, và tiềm năng tạo ra dòng tiền được dùng sẽ thay đổi tùy theo từng bội số. Để nhìn "dưới nắp ca-pô", có thể nói như vậy, của các bội số vốn chủ sở hữu và giá trị doanh nghiệp, bạn có thể quay lại các mô hình dòng tiền chiết khấu đơn giản cho vốn chủ sở hữu và giá trị doanh nghiệp (enterprise value — EV) và dùng chúng để suy ra các bội số. Hình 17.3 tóm tắt quá trình này cho cả bội số vốn chủ sở hữu lẫn bội số giá trị doanh nghiệp, dùng tỷ số giá trên giá trị sổ sách (price-to-book ratio) (cho bội số vốn chủ sở hữu) và giá trị doanh nghiệp trên doanh thu (enterprise value to sales) (cho bội số giá trị doanh nghiệp) để minh họa quá trình này.</w:t>
      </w:r>
    </w:p>
    <w:p>
      <w:pPr>
        <w:pStyle w:val="Para 20"/>
      </w:pPr>
      <w:r>
        <w:rPr>
          <w:rStyle w:val="Text26"/>
        </w:rPr>
        <w:bookmarkStart w:id="3428" w:name="Page_523"/>
        <w:t/>
        <w:bookmarkEnd w:id="3428"/>
      </w:r>
      <w:r>
        <w:t xml:space="preserve"> </w:t>
      </w:r>
    </w:p>
    <w:p>
      <w:bookmarkStart w:id="3429" w:name="Figure_17_3_Analyzing_Multiple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1282700"/>
            <wp:effectExtent l="0" r="0" t="0" b="0"/>
            <wp:wrapTopAndBottom/>
            <wp:docPr id="152" name="c17f003.png" descr="Three steps depict basic intrinsic value model, divide both sides of the equation, and end up with an intrinsic version of your multiple."/>
            <wp:cNvGraphicFramePr>
              <a:graphicFrameLocks noChangeAspect="1"/>
            </wp:cNvGraphicFramePr>
            <a:graphic>
              <a:graphicData uri="http://schemas.openxmlformats.org/drawingml/2006/picture">
                <pic:pic>
                  <pic:nvPicPr>
                    <pic:cNvPr id="0" name="c17f003.png" descr="Three steps depict basic intrinsic value model, divide both sides of the equation, and end up with an intrinsic version of your multiple."/>
                    <pic:cNvPicPr/>
                  </pic:nvPicPr>
                  <pic:blipFill>
                    <a:blip r:embed="rId107"/>
                    <a:stretch>
                      <a:fillRect/>
                    </a:stretch>
                  </pic:blipFill>
                  <pic:spPr>
                    <a:xfrm>
                      <a:off x="0" y="0"/>
                      <a:ext cx="2451100" cy="1282700"/>
                    </a:xfrm>
                    <a:prstGeom prst="rect">
                      <a:avLst/>
                    </a:prstGeom>
                  </pic:spPr>
                </pic:pic>
              </a:graphicData>
            </a:graphic>
          </wp:anchor>
        </w:drawing>
      </w:r>
      <w:bookmarkEnd w:id="3429"/>
    </w:p>
    <w:p>
      <w:pPr>
        <w:keepNext/>
        <w:pStyle w:val="Para 22"/>
        <w:keepLines w:val="on"/>
      </w:pPr>
      <w:r>
        <w:t>HÌNH 17.3 Phân tích các bội số — Giá trị vốn chủ sở hữu và giá trị doanh nghiệp (dùng tỷ lệ Giá trên Giá trị sổ sách và EV trên Doanh thu làm ví dụ minh họa)</w:t>
      </w:r>
    </w:p>
    <w:p>
      <w:pPr>
        <w:pStyle w:val="Para 03"/>
      </w:pPr>
      <w:r>
        <w:t>Ví dụ, để ước lượng các yếu tố quyết định tỷ lệ PE, hãy bắt đầu với mô hình dòng tiền chiết khấu đơn giản nhất cho vốn chủ sở hữu, đó là mô hình chiết khấu cổ tức tăng trưởng ổn định, giá trị vốn chủ sở hữu là:</w:t>
      </w:r>
    </w:p>
    <w:p>
      <w:bookmarkStart w:id="3430" w:name="Value_of_equity_per_share_Expect"/>
      <w:pPr>
        <w:keepNext/>
        <w:pStyle w:val="Para 09"/>
        <w:keepLines w:val="on"/>
      </w:pPr>
      <w:r>
        <w:t>Giá trị vốn chủ sở hữu trên mỗi cổ phần=Cổ tức kỳ vọng trên mỗi cổ phần năm sauChi phí vốn chủ sở hữu−Tốc độ tăng trưởng kỳ vọng</w:t>
      </w:r>
      <w:bookmarkEnd w:id="3430"/>
    </w:p>
    <w:p>
      <w:pPr>
        <w:pStyle w:val="Para 03"/>
      </w:pPr>
      <w:r>
        <w:t>Chia cả hai vế cho thu nhập kỳ vọng trên mỗi cổ phần năm sau (thu nhập dự phóng), bạn thu được phương trình dòng tiền chiết khấu xác định tỷ lệ PE dự phóng cho một công ty tăng trưởng ổn định:</w:t>
      </w:r>
    </w:p>
    <w:p>
      <w:bookmarkStart w:id="3431" w:name="Value_per_shareEarnings_per_shar"/>
      <w:pPr>
        <w:keepNext/>
        <w:pStyle w:val="Para 09"/>
        <w:keepLines w:val="on"/>
      </w:pPr>
      <w:r>
        <w:t>Giá trị trên mỗi cổ phầnThu nhập trên mỗi cổ phần=PE=Cổ tức trên mỗi cổ phầnThu nhập trên mỗi cổ phần(Chi phí vốn chủ sở hữu−Tốc độ tăng trưởng kỳ vọng)=Tỷ lệ chi trả cổ tức(Chi phí vốn chủ sở hữu−Tốc độ tăng trưởng kỳ vọng)</w:t>
      </w:r>
      <w:bookmarkEnd w:id="3431"/>
    </w:p>
    <w:p>
      <w:pPr>
        <w:pStyle w:val="Para 03"/>
      </w:pPr>
      <w:r>
        <w:t>Phương trình có thể dễ dàng được điều chỉnh để cho ra tỷ lệ PE theo dữ liệu quá khứ:</w:t>
      </w:r>
    </w:p>
    <w:p>
      <w:bookmarkStart w:id="3432" w:name="Trailing_PE_Payout_ratio_1_gCost"/>
      <w:pPr>
        <w:keepNext/>
        <w:pStyle w:val="Para 09"/>
        <w:keepLines w:val="on"/>
      </w:pPr>
      <w:r>
        <w:t>PE theo dữ liệu quá khứ=Tỷ lệ chi trả cổ tức 1+gChi phí vốn chủ sở hữu−Tốc độ tăng trưởng kỳ vọng</w:t>
      </w:r>
      <w:bookmarkEnd w:id="3432"/>
    </w:p>
    <w:p>
      <w:pPr>
        <w:pStyle w:val="Para 03"/>
      </w:pPr>
      <w:r>
        <w:t>Chia cả hai vế cho giá trị sổ sách (BV) của vốn chủ sở hữu, bạn có thể ước lượng tỷ lệ giá trên giá trị sổ sách cho một công ty tăng trưởng ổn định:</w:t>
      </w:r>
    </w:p>
    <w:p>
      <w:bookmarkStart w:id="3434" w:name="Value_per_shareBV_of_equity_per"/>
      <w:pPr>
        <w:keepNext/>
        <w:pStyle w:val="Para 09"/>
        <w:keepLines w:val="on"/>
      </w:pPr>
      <w:r>
        <w:t>Giá trị trên mỗi cổ phầnBV vốn chủ sở hữu trên mỗi cổ phần= PBV=Cổ tức trên mỗi cổ phầnThu nhập trên mỗi cổ phần×Thu nhập trên mỗi cổ phầnBV vốn chủ sở hữu trên mỗi cổ phần(Chi phí vốn chủ sở hữu−Tốc độ tăng trưởng kỳ vọng)=Tỷ lệ chi trả cổ tức×Tỷ suất sinh lời trên vốn chủ sở hữu(Chi phí vốn chủ sở hữu−Tốc độ tăng trưởng kỳ vọng)</w:t>
      </w:r>
      <w:bookmarkEnd w:id="3434"/>
    </w:p>
    <w:p>
      <w:pPr>
        <w:pStyle w:val="Para 03"/>
      </w:pPr>
      <w:r>
        <w:t>Bạn có thể thực hiện phân tích tương tự để suy ra các bội số giá trị doanh nghiệp. Giá trị tài sản hoạt động của một công ty trong giai đoạn tăng trưởng ổn định có thể được viết như sau:</w:t>
      </w:r>
    </w:p>
    <w:p>
      <w:bookmarkStart w:id="3435" w:name="Value_of_operating_assets_enterp"/>
      <w:pPr>
        <w:keepNext/>
        <w:pStyle w:val="Para 09"/>
        <w:keepLines w:val="on"/>
      </w:pPr>
      <w:r>
        <w:t>Giá trị tài sản hoạt động giá trị doanh nghiệp=FCFF kỳ vọng năm sau(Chi phí vốn-Tốc độ tăng trưởng kỳ vọng)</w:t>
      </w:r>
      <w:bookmarkEnd w:id="3435"/>
    </w:p>
    <w:p>
      <w:pPr>
        <w:pStyle w:val="Para 03"/>
      </w:pPr>
      <w:r>
        <w:t>Chia cả hai vế cho dòng tiền tự do kỳ vọng của công ty, ta thu được bội số EV trên FCFF cho một công ty tăng trưởng ổn định:</w:t>
      </w:r>
    </w:p>
    <w:p>
      <w:bookmarkStart w:id="3436" w:name="EVFCFF_EV_to_FCFF_1Cost_of_capit"/>
      <w:pPr>
        <w:keepNext/>
        <w:pStyle w:val="Para 09"/>
        <w:keepLines w:val="on"/>
      </w:pPr>
      <w:r>
        <w:t>EVFCFF=EV trên FCFF=1Chi phí vốn−Tốc độ tăng trưởng kỳ vọng</w:t>
      </w:r>
      <w:bookmarkEnd w:id="3436"/>
    </w:p>
    <w:p>
      <w:pPr>
        <w:pStyle w:val="Para 03"/>
      </w:pPr>
      <w:r>
        <w:t>Vì dòng tiền tự do của công ty là thu nhập hoạt động sau thuế trừ đi chi tiêu vốn ròng và nhu cầu vốn lưu động ròng của công ty, nên các bội số của EBIT, EBIT sau thuế và EBITDA cũng có thể được ước lượng tương tự. Mô hình có thể được mở rộng để cho phép tăng trưởng cao và các yếu tố đầu vào thay đổi theo thời gian, mà không làm mất đi tính tổng quát.</w:t>
      </w:r>
    </w:p>
    <w:p>
      <w:pPr>
        <w:pStyle w:val="Para 03"/>
      </w:pPr>
      <w:r>
        <w:t>Mục đích của phân tích này không phải là gợi ý rằng bạn nên quay lại sử dụng định giá dòng tiền chiết khấu mà là để hiểu các biến số có thể khiến các bội số này thay đổi giữa các công ty trong cùng một ngành. Nếu bạn bỏ qua các biến số này, bạn có thể kết luận rằng một cổ phiếu có PE là 8 thì rẻ hơn một cổ phiếu có PE là 12, trong khi lý do thực sự có thể là cổ phiếu sau có tăng trưởng kỳ vọng cao hơn; hoặc bạn có thể quyết định rằng một cổ phiếu có tỷ lệ PBV là 0,7 thì rẻ hơn một cổ phiếu có tỷ lệ PBV là 1,5, trong khi lý do thực sự có thể là cổ phiếu sau có tỷ suất sinh lời trên vốn chủ sở hữu cao hơn nhiều.</w:t>
      </w:r>
    </w:p>
    <w:p>
      <w:bookmarkStart w:id="3437" w:name="Relationship__Knowing_the_fundam"/>
      <w:bookmarkStart w:id="3438" w:name="Relationship"/>
      <w:pPr>
        <w:keepNext/>
        <w:pStyle w:val="Heading 4"/>
        <w:keepLines w:val="on"/>
      </w:pPr>
      <w:r>
        <w:t>Mối quan hệ</w:t>
      </w:r>
      <w:bookmarkEnd w:id="3437"/>
      <w:bookmarkEnd w:id="3438"/>
    </w:p>
    <w:p>
      <w:pPr>
        <w:pStyle w:val="Para 03"/>
      </w:pPr>
      <w:r>
        <w:t>Biết được các yếu tố cơ bản quyết định một bội số là bước đầu hữu ích, nhưng hiểu được bội số thay đổi như thế nào khi các yếu tố cơ bản thay đổi cũng quan trọng không kém đối với việc sử dụng bội số. Để minh họa, việc biết rằng các công ty tăng trưởng cao có tỷ lệ PE cao hơn là chưa đủ sâu sắc, nếu bạn được yêu cầu phân tích liệu một công ty có tốc độ tăng trưởng cao gấp đôi tốc độ tăng trưởng trung bình của ngành thì có nên có tỷ lệ PE bằng 1,5 lần, 1,8 lần, hay 2 lần tỷ lệ giá trên thu nhập trung bình của ngành hay không. Để đưa ra phán đoán này, bạn cần biết tỷ lệ PE thay đổi như thế nào khi tốc độ tăng trưởng thay đổi.</w:t>
      </w:r>
    </w:p>
    <w:p>
      <w:pPr>
        <w:pStyle w:val="Para 03"/>
      </w:pPr>
      <w:r>
        <w:t>Một số lượng đáng ngạc nhiên các phân tích giả định rằng có một mối quan hệ tuyến tính giữa các bội số và các yếu tố cơ bản. Ví dụ, tỷ lệ giá trên thu nhập trên tăng trưởng (PEG), là tỷ lệ của PE so với tốc độ tăng trưởng kỳ vọng của một công ty và được sử dụng rộng rãi để phân tích các công ty tăng trưởng cao, ngầm giả định rằng tỷ lệ PE và tốc độ tăng trưởng kỳ vọng có quan hệ tuyến tính.</w:t>
      </w:r>
    </w:p>
    <w:p>
      <w:pPr>
        <w:pStyle w:val="Para 03"/>
      </w:pPr>
      <w:r>
        <w:t>Một trong những lợi thế của việc suy ra các bội số từ mô hình dòng tiền chiết khấu, như đã làm trong phần trước, là bạn có thể phân tích mối quan hệ giữa từng biến số cơ bản và bội số bằng cách giữ mọi thứ khác không đổi và thay đổi giá trị của biến số đó.</w:t>
      </w:r>
    </w:p>
    <w:p>
      <w:bookmarkStart w:id="3440" w:name="Companion_Variable__While_the_va"/>
      <w:bookmarkStart w:id="3441" w:name="Companion_Variable"/>
      <w:pPr>
        <w:keepNext/>
        <w:pStyle w:val="Heading 4"/>
        <w:keepLines w:val="on"/>
      </w:pPr>
      <w:r>
        <w:t>Biến số đồng hành</w:t>
      </w:r>
      <w:bookmarkEnd w:id="3440"/>
      <w:bookmarkEnd w:id="3441"/>
    </w:p>
    <w:p>
      <w:pPr>
        <w:pStyle w:val="Para 03"/>
      </w:pPr>
      <w:r>
        <w:t>Mặc dù các biến số quyết định một bội số có thể được trích xuất từ mô hình dòng tiền chiết khấu, và mối quan hệ giữa từng biến số và bội số có thể được phát triển bằng cách giữ mọi thứ khác không đổi và đặt các câu hỏi giả định, có một biến số chiếm ưu thế khi giải thích từng bội số. Biến số này, được gọi là biến số đồng hành, thường có thể được xác định bằng cách xem xét cách các bội số thay đổi giữa các công ty trong một ngành hoặc trên toàn bộ thị trường. Trong ba chương tiếp theo, các biến số đồng hành cho các bội số được sử dụng rộng rãi nhất từ tỷ lệ giá trên thu nhập đến các bội số giá trị trên doanh thu sẽ được xác định và sau đó được sử dụng trong phân tích.</w:t>
      </w:r>
    </w:p>
    <w:p>
      <w:bookmarkStart w:id="3442" w:name="Application_Tests"/>
      <w:bookmarkStart w:id="3443" w:name="Application_Tests__When_multiple"/>
      <w:pPr>
        <w:keepNext/>
        <w:pStyle w:val="Heading 3"/>
        <w:keepLines w:val="on"/>
      </w:pPr>
      <w:r>
        <w:t>Các bài kiểm tra ứng dụng</w:t>
      </w:r>
      <w:bookmarkEnd w:id="3442"/>
      <w:bookmarkEnd w:id="3443"/>
    </w:p>
    <w:p>
      <w:pPr>
        <w:pStyle w:val="Para 03"/>
      </w:pPr>
      <w:r>
        <w:t>Khi các bội số được sử dụng, chúng có xu hướng được dùng cùng với các công ty so sánh để xác định giá trị của một công ty hoặc vốn chủ sở hữu của nó. Nhưng thế nào là một công ty so sánh? Mặc dù thực tế thông thường là xem xét các công ty trong cùng ngành hoặc cùng lĩnh vực kinh doanh như các công ty so sánh, điều này không nhất thiết phải luôn là cách đúng đắn hoặc tốt nhất để xác định các công ty này. Ngoài ra, cho dù bạn chọn các công ty so sánh cẩn thận đến đâu, vẫn sẽ còn những khác biệt giữa công ty bạn đang định giá và các công ty so sánh. Việc tìm ra cách kiểm soát những khác biệt này là một phần quan trọng của định giá tương đối.</w:t>
      </w:r>
    </w:p>
    <w:p>
      <w:bookmarkStart w:id="3444" w:name="What_Is_a_Comparable_Firm___A_co"/>
      <w:bookmarkStart w:id="3445" w:name="What_Is_a_Comparable_Firm"/>
      <w:pPr>
        <w:keepNext/>
        <w:pStyle w:val="Heading 4"/>
        <w:keepLines w:val="on"/>
      </w:pPr>
      <w:r>
        <w:t>Thế nào là một công ty so sánh?</w:t>
      </w:r>
      <w:bookmarkEnd w:id="3444"/>
      <w:bookmarkEnd w:id="3445"/>
    </w:p>
    <w:p>
      <w:pPr>
        <w:pStyle w:val="Para 03"/>
      </w:pPr>
      <w:r>
        <w:t>Một công ty so sánh là công ty có dòng tiền, tiềm năng tăng trưởng và rủi ro tương tự như công ty đang được định giá. Sẽ là lý tưởng nếu bạn có thể định giá một công ty bằng cách xem xét cách một công ty hoàn toàn giống hệt—về rủi ro, tăng trưởng và dòng tiền—được định giá. Trong định nghĩa này không có thành phần nào liên quan đến ngành hoặc lĩnh vực mà một công ty thuộc về. Do đó, một công ty viễn thông có thể được so sánh với một công ty phần mềm nếu hai công ty giống hệt nhau về dòng tiền, tăng trưởng và rủi ro. Tuy nhiên, trong hầu hết các phân tích, các nhà phân tích định nghĩa các công ty so sánh là các công ty khác trong cùng lĩnh vực kinh doanh của công ty. Nếu có đủ công ty trong ngành để cho phép điều đó, danh sách này được thu gọn thêm bằng cách sử dụng các tiêu chí khác; ví dụ, chỉ những công ty có quy mô tương tự mới có thể được xem xét. Giả định ngầm ở đây là các công ty trong cùng một ngành có hồ sơ rủi ro, tăng trưởng và dòng tiền tương tự nhau, và do đó có thể được so sánh với độ tin cậy cao hơn nhiều.</w:t>
      </w:r>
    </w:p>
    <w:p>
      <w:pPr>
        <w:pStyle w:val="Para 03"/>
      </w:pPr>
      <w:r>
        <w:t>Câu hỏi then chốt mà bạn phải đối mặt khi lập danh sách các công ty so sánh (comparable firms) là bạn định nghĩa công ty so sánh hẹp đến mức nào. Nếu bạn định nghĩa nó là một công ty giống hệt công ty bạn đang định giá ở mọi khía cạnh (ví dụ: rủi ro, tăng trưởng và dòng tiền), bạn có thể chỉ tìm được một vài công ty so sánh. Nếu bạn định nghĩa rộng hơn và sẵn sàng chấp nhận sự khác biệt ở một hoặc tất cả các khía cạnh, danh sách công ty so sánh của bạn sẽ dài hơn. Nếu bạn có thể tìm ra cách kiểm soát sự khác biệt giữa các công ty (và phần tiếp theo sẽ trình bày một vài lựa chọn), bạn sẽ có được ước tính đáng tin cậy hơn về giá trị tương đối khi dùng một mẫu lớn hơn gồm các công ty ít tương đồng hơn, so với một mẫu rất nhỏ gồm các công ty tương đồng hơn.</w:t>
      </w:r>
    </w:p>
    <w:p>
      <w:pPr>
        <w:pStyle w:val="Para 03"/>
      </w:pPr>
      <w:r>
        <w:t>Với toàn cầu hóa, bạn phải đối mặt với một thách thức mới, khi các công ty trong cùng một ngành lại được thành lập và giao dịch ở những thị trường khác nhau. Chẳng hạn, trong ngành ô tô, bạn có thể có các công ty Mỹ, châu Âu và châu Á cùng cạnh tranh để giành thị phần trên toàn cầu. Vậy bạn có thể so sánh các công ty được niêm yết trên các thị trường khác nhau không? Được chứ, miễn là bạn nhận ra rằng những công ty này có thể có đặc điểm rủi ro, tăng trưởng và dòng tiền khác nhau. Ví dụ, các công ty ô tô châu Á có thể có tiềm năng tăng trưởng cao hơn và mức độ phơi nhiễm rủi ro lớn hơn so với các công ty châu Âu. Ngoài ra, sự khác biệt về chuẩn mực kế toán và đơn vị tiền tệ có thể bóp méo cả các con số thị trường lẫn con số kế toán, và phải được kiểm soát.</w:t>
      </w:r>
    </w:p>
    <w:p>
      <w:bookmarkStart w:id="3447" w:name="Sampling_Choices"/>
      <w:bookmarkStart w:id="3448" w:name="Sampling_Choices__In_creating_pe"/>
      <w:pPr>
        <w:keepNext/>
        <w:pStyle w:val="Heading 4"/>
        <w:keepLines w:val="on"/>
      </w:pPr>
      <w:r>
        <w:t>Các lựa chọn lấy mẫu</w:t>
      </w:r>
      <w:bookmarkEnd w:id="3447"/>
      <w:bookmarkEnd w:id="3448"/>
    </w:p>
    <w:p>
      <w:pPr>
        <w:pStyle w:val="Para 03"/>
      </w:pPr>
      <w:r>
        <w:t>Khi tạo nhóm so sánh (peer group) để định giá, chúng ta bị giằng xé giữa hai khuynh hướng, xét về việc có được mức định giá tốt hơn:</w:t>
      </w:r>
    </w:p>
    <w:p>
      <w:pPr>
        <w:numPr>
          <w:ilvl w:val="0"/>
          <w:numId w:val="167"/>
        </w:numPr>
        <w:pStyle w:val="Para 01"/>
      </w:pPr>
      <w:r>
        <w:t>Một là tìm những công ty giống công ty ta đang định giá ở mọi khía cạnh. Chẳng hạn, bạn có thể quyết định định giá một công ty phần mềm giải trí của Mỹ dựa trên các công ty phần mềm giải trí khác ở Mỹ có quy mô tương tự, và thậm chí có thể có tiềm năng tăng trưởng tương tự.</w:t>
      </w:r>
    </w:p>
    <w:p>
      <w:pPr>
        <w:numPr>
          <w:ilvl w:val="0"/>
          <w:numId w:val="167"/>
        </w:numPr>
        <w:pStyle w:val="Para 01"/>
      </w:pPr>
      <w:r>
        <w:t>Hai là có được một mẫu đủ lớn các công ty so sánh để quy luật số lớn (law of large numbers) phát huy tác dụng có lợi cho bạn, khi mà các sai sót sẽ bù trừ lẫn nhau.</w:t>
      </w:r>
    </w:p>
    <w:p>
      <w:pPr>
        <w:pStyle w:val="Para 03"/>
      </w:pPr>
      <w:r>
        <w:t>Hai khuynh hướng này xung đột với nhau, vì càng thêm nhiều tiêu chí để kiểm soát khi lập nhóm công ty so sánh thì mẫu càng nhỏ đi. Ở một thị trường lớn như Mỹ, và trong một ngành như phần mềm nơi có hàng trăm công ty niêm yết, bạn có thể vừa có bánh vừa ăn bánh. Ở những thị trường nhỏ hơn như Thổ Nhĩ Kỳ hay Indonesia, hoặc trong một nhóm ngành, việc thêm nhiều tiêu chí có thể nhanh chóng thu hẹp nhóm so sánh của bạn xuống còn một vài công ty. Hình 17.4 minh họa sự đánh đổi này trong các lựa chọn nhóm so sánh.</w:t>
      </w:r>
    </w:p>
    <w:p>
      <w:bookmarkStart w:id="3450" w:name="Figure_17_4_Peer_Group_Choic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19300" cy="622300"/>
            <wp:effectExtent l="0" r="0" t="0" b="0"/>
            <wp:wrapTopAndBottom/>
            <wp:docPr id="153" name="c17f004.png" descr="Timeline ranges from small sample of firms that are “just like” your firm to large sample of firms that are similar in some dimensions."/>
            <wp:cNvGraphicFramePr>
              <a:graphicFrameLocks noChangeAspect="1"/>
            </wp:cNvGraphicFramePr>
            <a:graphic>
              <a:graphicData uri="http://schemas.openxmlformats.org/drawingml/2006/picture">
                <pic:pic>
                  <pic:nvPicPr>
                    <pic:cNvPr id="0" name="c17f004.png" descr="Timeline ranges from small sample of firms that are “just like” your firm to large sample of firms that are similar in some dimensions."/>
                    <pic:cNvPicPr/>
                  </pic:nvPicPr>
                  <pic:blipFill>
                    <a:blip r:embed="rId108"/>
                    <a:stretch>
                      <a:fillRect/>
                    </a:stretch>
                  </pic:blipFill>
                  <pic:spPr>
                    <a:xfrm>
                      <a:off x="0" y="0"/>
                      <a:ext cx="2019300" cy="622300"/>
                    </a:xfrm>
                    <a:prstGeom prst="rect">
                      <a:avLst/>
                    </a:prstGeom>
                  </pic:spPr>
                </pic:pic>
              </a:graphicData>
            </a:graphic>
          </wp:anchor>
        </w:drawing>
      </w:r>
      <w:bookmarkEnd w:id="3450"/>
    </w:p>
    <w:p>
      <w:pPr>
        <w:keepNext/>
        <w:pStyle w:val="Para 22"/>
        <w:keepLines w:val="on"/>
      </w:pPr>
      <w:r>
        <w:t>Hình 17.4 Lựa chọn nhóm so sánh</w:t>
      </w:r>
    </w:p>
    <w:p>
      <w:pPr>
        <w:pStyle w:val="Para 03"/>
      </w:pPr>
      <w:r>
        <w:t>Nếu bạn đang chọn giữa một nhóm nhỏ các công ty tương tự công ty của bạn và một nhóm lớn hơn có thể bao gồm những công ty khác biệt về các yếu tố nền tảng (dòng tiền, tăng trưởng và rủi ro), thì lựa chọn của bạn sẽ phụ thuộc vào việc bạn định chỉ so sánh các chỉ số định giá của công ty mình với trung vị (hoặc trung bình) của nhóm so sánh, hay bạn có cơ chế để kiểm soát sự khác biệt. Trong phần tiếp theo, chúng ta sẽ phát triển các công cụ cho phép kiểm soát sự khác biệt, và với những công cụ này, việc chọn một nhóm so sánh lớn hơn — dù có khác biệt — sẽ tốt hơn một nhóm nhỏ hơn, đồng nhất hơn.</w:t>
      </w:r>
    </w:p>
    <w:p>
      <w:bookmarkStart w:id="3451" w:name="Controlling_for_Differences_Acro_1"/>
      <w:bookmarkStart w:id="3452" w:name="Controlling_for_Differences_Acro"/>
      <w:pPr>
        <w:keepNext/>
        <w:pStyle w:val="Heading 4"/>
        <w:keepLines w:val="on"/>
      </w:pPr>
      <w:r>
        <w:t>Kiểm soát sự khác biệt giữa các công ty</w:t>
      </w:r>
      <w:bookmarkEnd w:id="3451"/>
      <w:bookmarkEnd w:id="3452"/>
    </w:p>
    <w:p>
      <w:pPr>
        <w:pStyle w:val="Para 03"/>
      </w:pPr>
      <w:r>
        <w:t>Dù bạn có xây dựng danh sách công ty so sánh cẩn thận đến đâu, cuối cùng bạn vẫn sẽ có những công ty khác với công ty bạn đang định giá. Sự khác biệt có thể nhỏ ở một số biến và lớn ở những biến khác, và bạn sẽ phải kiểm soát những khác biệt này trong định giá tương đối. Có ba cách kiểm soát những khác biệt này: điều chỉnh chủ quan, bội số điều chỉnh, và hồi quy theo ngành hoặc theo thị trường.</w:t>
      </w:r>
    </w:p>
    <w:p>
      <w:pPr>
        <w:pStyle w:val="Para 20"/>
      </w:pPr>
      <w:r>
        <w:rPr>
          <w:rStyle w:val="Text26"/>
        </w:rPr>
        <w:bookmarkStart w:id="3453" w:name="Page_527"/>
        <w:t/>
        <w:bookmarkEnd w:id="3453"/>
      </w:r>
      <w:r>
        <w:t xml:space="preserve"> </w:t>
      </w:r>
    </w:p>
    <w:p>
      <w:bookmarkStart w:id="3454" w:name="Subjective_Adjustments__Relative"/>
      <w:pPr>
        <w:pStyle w:val="Para 21"/>
      </w:pPr>
      <w:r>
        <w:t>Điều chỉnh chủ quan</w:t>
      </w:r>
      <w:bookmarkEnd w:id="3454"/>
    </w:p>
    <w:p>
      <w:pPr>
        <w:pStyle w:val="Para 03"/>
      </w:pPr>
      <w:r>
        <w:t>Định giá tương đối bắt đầu với hai lựa chọn — bội số (multiple) dùng trong phân tích, và nhóm công ty tạo nên các công ty so sánh. Bội số được tính cho từng công ty so sánh, rồi tính giá trị trung bình. Để đánh giá một công ty riêng lẻ, bạn so sánh bội số mà nó đang giao dịch với giá trị trung bình đã tính; nếu khác biệt đáng kể, bạn đưa ra phán đoán chủ quan về việc liệu các đặc điểm riêng của công ty (tăng trưởng, rủi ro hoặc dòng tiền) có thể giải thích sự khác biệt đó hay không. Ví dụ, một công ty có thể có tỷ số PE là 22 trong một ngành mà PE trung bình chỉ là 15, nhưng bạn có thể kết luận rằng sự khác biệt này là hợp lý vì công ty có tiềm năng tăng trưởng cao hơn công ty trung bình trong ngành. Nếu theo phán đoán của bạn, sự khác biệt về bội số không thể được giải thích bằng các yếu tố nền tảng, thì công ty sẽ được xem là bị định giá quá cao (nếu bội số của nó cao hơn mức trung bình) hoặc bị định giá thấp (nếu bội số của nó thấp hơn mức trung bình).</w:t>
      </w:r>
    </w:p>
    <w:p>
      <w:pPr>
        <w:pStyle w:val="Para 03"/>
      </w:pPr>
      <w:r>
        <w:t>Điều này nghe có vẻ giống như một phần mở rộng của việc kể chuyện mà chúng ta đã mô tả ở Chương 13, như một bước tiền đề cần thiết cho một định giá nội tại tốt, nhưng có một khác biệt quan trọng. Khi chỉ dùng câu chuyện để biện minh cho việc định giá, dù là ở mức cao hơn hay thấp hơn, chúng không bị ràng buộc, cho phép nhà đầu tư và nhà phân tích xác nhận định kiến của mình. Chẳng hạn, vào tháng 5 năm 2024, Nvidia đang giao dịch với tỷ số PE theo dữ liệu quá khứ (trailing PE) hơn 100, cao hơn ba lần so với PE trung vị của một công ty bán dẫn vào thời điểm đó. Một nhà đầu tư muốn mua Nvidia có thể đã biện minh cho việc trả PE cao hơn, vì công ty có mức tăng trưởng lợi nhuận cao hơn, mà không cần phải xem xét liệu mức tăng trưởng cao hơn đó có biện minh cho mức giá cao hơn lớn đến vậy hay không.</w:t>
      </w:r>
    </w:p>
    <w:p>
      <w:bookmarkStart w:id="3456" w:name="Modified_Multiples__In_this_appr"/>
      <w:pPr>
        <w:pStyle w:val="Para 21"/>
      </w:pPr>
      <w:r>
        <w:t>Bội số điều chỉnh</w:t>
      </w:r>
      <w:bookmarkEnd w:id="3456"/>
    </w:p>
    <w:p>
      <w:pPr>
        <w:pStyle w:val="Para 03"/>
      </w:pPr>
      <w:r>
        <w:t>Theo cách tiếp cận này, bạn điều chỉnh bội số để tính đến biến quan trọng nhất quyết định nó — biến đồng hành (companion variable). Ví dụ, tỷ số PE được chia cho tốc độ tăng trưởng EPS kỳ vọng của một công ty để xác định tỷ số PE đã điều chỉnh theo tăng trưởng, hay tỷ số PEG. Những tỷ số đã điều chỉnh này sau đó được so sánh giữa các công ty trong một ngành. Giả định ngầm mà bạn đưa ra là các công ty này tương đồng ở mọi thước đo giá trị, ngoại trừ thước đo đang được kiểm soát. Ngoài ra, bạn đang giả định rằng mối quan hệ giữa các bội số và các yếu tố nền tảng là tuyến tính.</w:t>
      </w:r>
    </w:p>
    <w:p>
      <w:pPr>
        <w:pStyle w:val="Para 11"/>
      </w:pPr>
      <w:r>
        <w:t xml:space="preserve"> </w:t>
      </w:r>
    </w:p>
    <w:p>
      <w:bookmarkStart w:id="3458" w:name="ILLUSTRATION_17_1___Comparing_PE_1"/>
      <w:bookmarkStart w:id="3459" w:name="ILLUSTRATION_17_1___Comparing_PE"/>
      <w:pPr>
        <w:keepNext/>
        <w:pStyle w:val="Para 19"/>
        <w:keepLines w:val="on"/>
      </w:pPr>
      <w:r>
        <w:t>MINH HỌA 17.1: So sánh tỷ số PE và tốc độ tăng trưởng giữa các công ty: Các công ty đồ uống năm 2001</w:t>
      </w:r>
      <w:bookmarkEnd w:id="3458"/>
      <w:bookmarkEnd w:id="3459"/>
    </w:p>
    <w:p>
      <w:pPr>
        <w:pStyle w:val="Para 04"/>
        <w:keepLines w:val="on"/>
      </w:pPr>
      <w:r>
        <w:t>Tỷ số PE năm 2001 và tốc độ tăng trưởng EPS kỳ vọng trong năm năm tới (2002–2006), dựa trên ước tính đồng thuận của các nhà phân tích, cho các công ty được xếp vào nhóm công ty đồ uống được tóm tắt trong bảng sau:</w:t>
      </w:r>
    </w:p>
    <w:tbl>
      <w:tblPr>
        <w:tblW w:type="auto" w:w="0"/>
      </w:tblPr>
      <w:tr>
        <w:tc>
          <w:tcPr>
            <w:tcW w:type="auto" w:w="0"/>
          </w:tcPr>
          <w:tbl>
            <w:tblPr>
              <w:tblW w:type="auto" w:w="0"/>
            </w:tblPr>
            <w:tr>
              <w:tc>
                <w:tcPr>
                  <w:tcW w:type="auto" w:w="0"/>
                  <w:shd w:val="clear" w:color="auto" w:fill="F0F0F0"/>
                </w:tcPr>
                <w:p>
                  <w:pPr>
                    <w:pStyle w:val="Para 32"/>
                    <w:keepLines w:val="on"/>
                  </w:pPr>
                  <w:r>
                    <w:t>Tên công ty</w:t>
                  </w:r>
                </w:p>
              </w:tc>
              <w:tc>
                <w:tcPr>
                  <w:tcW w:type="auto" w:w="0"/>
                  <w:shd w:val="clear" w:color="auto" w:fill="F0F0F0"/>
                </w:tcPr>
                <w:p>
                  <w:pPr>
                    <w:pStyle w:val="Para 05"/>
                    <w:keepLines w:val="on"/>
                  </w:pPr>
                  <w:r>
                    <w:t>PE theo dữ liệu quá khứ</w:t>
                  </w:r>
                </w:p>
              </w:tc>
              <w:tc>
                <w:tcPr>
                  <w:tcW w:type="auto" w:w="0"/>
                  <w:shd w:val="clear" w:color="auto" w:fill="F0F0F0"/>
                </w:tcPr>
                <w:p>
                  <w:pPr>
                    <w:pStyle w:val="Para 05"/>
                    <w:keepLines w:val="on"/>
                  </w:pPr>
                  <w:r>
                    <w:t>Tăng trưởng kỳ vọng</w:t>
                  </w:r>
                </w:p>
              </w:tc>
              <w:tc>
                <w:tcPr>
                  <w:tcW w:type="auto" w:w="0"/>
                  <w:shd w:val="clear" w:color="auto" w:fill="F0F0F0"/>
                </w:tcPr>
                <w:p>
                  <w:pPr>
                    <w:pStyle w:val="Para 05"/>
                    <w:keepLines w:val="on"/>
                  </w:pPr>
                  <w:r>
                    <w:t>Độ lệch chuẩn</w:t>
                  </w:r>
                </w:p>
              </w:tc>
              <w:tc>
                <w:tcPr>
                  <w:tcW w:type="auto" w:w="0"/>
                  <w:shd w:val="clear" w:color="auto" w:fill="F0F0F0"/>
                </w:tcPr>
                <w:p>
                  <w:pPr>
                    <w:pStyle w:val="Para 05"/>
                    <w:keepLines w:val="on"/>
                  </w:pPr>
                  <w:r>
                    <w:t>PEG</w:t>
                  </w:r>
                </w:p>
              </w:tc>
            </w:tr>
            <w:tr>
              <w:tc>
                <w:tcPr>
                  <w:tcW w:type="auto" w:w="0"/>
                  <w:shd w:val="clear" w:color="auto" w:fill="F0F0F0"/>
                </w:tcPr>
                <w:p>
                  <w:pPr>
                    <w:pStyle w:val="Para 02"/>
                    <w:keepLines w:val="on"/>
                  </w:pPr>
                  <w:r>
                    <w:t>Coca-Cola Bottling</w:t>
                  </w:r>
                </w:p>
              </w:tc>
              <w:tc>
                <w:tcPr>
                  <w:tcW w:type="auto" w:w="0"/>
                  <w:shd w:val="clear" w:color="auto" w:fill="F0F0F0"/>
                </w:tcPr>
                <w:p>
                  <w:pPr>
                    <w:pStyle w:val="Normal"/>
                    <w:keepLines w:val="on"/>
                  </w:pPr>
                  <w:r>
                    <w:t>29,18</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20,58%</w:t>
                  </w:r>
                </w:p>
              </w:tc>
              <w:tc>
                <w:tcPr>
                  <w:tcW w:type="auto" w:w="0"/>
                  <w:shd w:val="clear" w:color="auto" w:fill="F0F0F0"/>
                </w:tcPr>
                <w:p>
                  <w:pPr>
                    <w:pStyle w:val="Normal"/>
                    <w:keepLines w:val="on"/>
                  </w:pPr>
                  <w:r>
                    <w:t>3,07</w:t>
                  </w:r>
                </w:p>
              </w:tc>
            </w:tr>
            <w:tr>
              <w:tc>
                <w:tcPr>
                  <w:tcW w:type="auto" w:w="0"/>
                  <w:shd w:val="clear" w:color="auto" w:fill="F0F0F0"/>
                </w:tcPr>
                <w:p>
                  <w:pPr>
                    <w:pStyle w:val="Para 02"/>
                    <w:keepLines w:val="on"/>
                  </w:pPr>
                  <w:r>
                    <w:t>Molson Inc. Ltd. “A”</w:t>
                  </w:r>
                </w:p>
              </w:tc>
              <w:tc>
                <w:tcPr>
                  <w:tcW w:type="auto" w:w="0"/>
                  <w:shd w:val="clear" w:color="auto" w:fill="F0F0F0"/>
                </w:tcPr>
                <w:p>
                  <w:pPr>
                    <w:pStyle w:val="Normal"/>
                    <w:keepLines w:val="on"/>
                  </w:pPr>
                  <w:r>
                    <w:t>43,65</w:t>
                  </w:r>
                </w:p>
              </w:tc>
              <w:tc>
                <w:tcPr>
                  <w:tcW w:type="auto" w:w="0"/>
                  <w:shd w:val="clear" w:color="auto" w:fill="F0F0F0"/>
                </w:tcPr>
                <w:p>
                  <w:pPr>
                    <w:pStyle w:val="Normal"/>
                    <w:keepLines w:val="on"/>
                  </w:pPr>
                  <w:r>
                    <w:t>15,50%</w:t>
                  </w:r>
                </w:p>
              </w:tc>
              <w:tc>
                <w:tcPr>
                  <w:tcW w:type="auto" w:w="0"/>
                  <w:shd w:val="clear" w:color="auto" w:fill="F0F0F0"/>
                </w:tcPr>
                <w:p>
                  <w:pPr>
                    <w:pStyle w:val="Normal"/>
                    <w:keepLines w:val="on"/>
                  </w:pPr>
                  <w:r>
                    <w:t>21,88%</w:t>
                  </w:r>
                </w:p>
              </w:tc>
              <w:tc>
                <w:tcPr>
                  <w:tcW w:type="auto" w:w="0"/>
                  <w:shd w:val="clear" w:color="auto" w:fill="F0F0F0"/>
                </w:tcPr>
                <w:p>
                  <w:pPr>
                    <w:pStyle w:val="Normal"/>
                    <w:keepLines w:val="on"/>
                  </w:pPr>
                  <w:r>
                    <w:t>2,82</w:t>
                  </w:r>
                </w:p>
              </w:tc>
            </w:tr>
            <w:tr>
              <w:tc>
                <w:tcPr>
                  <w:tcW w:type="auto" w:w="0"/>
                  <w:shd w:val="clear" w:color="auto" w:fill="F0F0F0"/>
                </w:tcPr>
                <w:p>
                  <w:pPr>
                    <w:pStyle w:val="Para 02"/>
                    <w:keepLines w:val="on"/>
                  </w:pPr>
                  <w:r>
                    <w:t>Anheuser-Busch</w:t>
                  </w:r>
                </w:p>
              </w:tc>
              <w:tc>
                <w:tcPr>
                  <w:tcW w:type="auto" w:w="0"/>
                  <w:shd w:val="clear" w:color="auto" w:fill="F0F0F0"/>
                </w:tcPr>
                <w:p>
                  <w:pPr>
                    <w:pStyle w:val="Normal"/>
                    <w:keepLines w:val="on"/>
                  </w:pPr>
                  <w:r>
                    <w:t>24,31</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22,92%</w:t>
                  </w:r>
                </w:p>
              </w:tc>
              <w:tc>
                <w:tcPr>
                  <w:tcW w:type="auto" w:w="0"/>
                  <w:shd w:val="clear" w:color="auto" w:fill="F0F0F0"/>
                </w:tcPr>
                <w:p>
                  <w:pPr>
                    <w:pStyle w:val="Normal"/>
                    <w:keepLines w:val="on"/>
                  </w:pPr>
                  <w:r>
                    <w:t>2,21</w:t>
                  </w:r>
                </w:p>
              </w:tc>
            </w:tr>
            <w:tr>
              <w:tc>
                <w:tcPr>
                  <w:tcW w:type="auto" w:w="0"/>
                  <w:shd w:val="clear" w:color="auto" w:fill="F0F0F0"/>
                </w:tcPr>
                <w:p>
                  <w:pPr>
                    <w:pStyle w:val="Para 02"/>
                    <w:keepLines w:val="on"/>
                  </w:pPr>
                  <w:r>
                    <w:t>Corby Distilleries Ltd.</w:t>
                  </w:r>
                </w:p>
              </w:tc>
              <w:tc>
                <w:tcPr>
                  <w:tcW w:type="auto" w:w="0"/>
                  <w:shd w:val="clear" w:color="auto" w:fill="F0F0F0"/>
                </w:tcPr>
                <w:p>
                  <w:pPr>
                    <w:pStyle w:val="Normal"/>
                    <w:keepLines w:val="on"/>
                  </w:pPr>
                  <w:r>
                    <w:t>16,24</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23,66%</w:t>
                  </w:r>
                </w:p>
              </w:tc>
              <w:tc>
                <w:tcPr>
                  <w:tcW w:type="auto" w:w="0"/>
                  <w:shd w:val="clear" w:color="auto" w:fill="F0F0F0"/>
                </w:tcPr>
                <w:p>
                  <w:pPr>
                    <w:pStyle w:val="Normal"/>
                    <w:keepLines w:val="on"/>
                  </w:pPr>
                  <w:r>
                    <w:t>2,16</w:t>
                  </w:r>
                </w:p>
              </w:tc>
            </w:tr>
            <w:tr>
              <w:tc>
                <w:tcPr>
                  <w:tcW w:type="auto" w:w="0"/>
                  <w:shd w:val="clear" w:color="auto" w:fill="F0F0F0"/>
                </w:tcPr>
                <w:p>
                  <w:pPr>
                    <w:pStyle w:val="Para 02"/>
                    <w:keepLines w:val="on"/>
                  </w:pPr>
                  <w:r>
                    <w:t>Chalone Wine Group Ltd.</w:t>
                  </w:r>
                </w:p>
              </w:tc>
              <w:tc>
                <w:tcPr>
                  <w:tcW w:type="auto" w:w="0"/>
                  <w:shd w:val="clear" w:color="auto" w:fill="F0F0F0"/>
                </w:tcPr>
                <w:p>
                  <w:pPr>
                    <w:pStyle w:val="Normal"/>
                    <w:keepLines w:val="on"/>
                  </w:pPr>
                  <w:r>
                    <w:t>21,76</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24,08%</w:t>
                  </w:r>
                </w:p>
              </w:tc>
              <w:tc>
                <w:tcPr>
                  <w:tcW w:type="auto" w:w="0"/>
                  <w:shd w:val="clear" w:color="auto" w:fill="F0F0F0"/>
                </w:tcPr>
                <w:p>
                  <w:pPr>
                    <w:pStyle w:val="Normal"/>
                    <w:keepLines w:val="on"/>
                  </w:pPr>
                  <w:r>
                    <w:t>1,55</w:t>
                  </w:r>
                </w:p>
              </w:tc>
            </w:tr>
            <w:tr>
              <w:tc>
                <w:tcPr>
                  <w:tcW w:type="auto" w:w="0"/>
                  <w:shd w:val="clear" w:color="auto" w:fill="F0F0F0"/>
                </w:tcPr>
                <w:p>
                  <w:pPr>
                    <w:pStyle w:val="Para 02"/>
                    <w:keepLines w:val="on"/>
                  </w:pPr>
                  <w:r>
                    <w:t>Andres Wines Ltd. “A”</w:t>
                  </w:r>
                </w:p>
              </w:tc>
              <w:tc>
                <w:tcPr>
                  <w:tcW w:type="auto" w:w="0"/>
                  <w:shd w:val="clear" w:color="auto" w:fill="F0F0F0"/>
                </w:tcPr>
                <w:p>
                  <w:pPr>
                    <w:pStyle w:val="Normal"/>
                    <w:keepLines w:val="on"/>
                  </w:pPr>
                  <w:r>
                    <w:t>8,96</w:t>
                  </w:r>
                </w:p>
              </w:tc>
              <w:tc>
                <w:tcPr>
                  <w:tcW w:type="auto" w:w="0"/>
                  <w:shd w:val="clear" w:color="auto" w:fill="F0F0F0"/>
                </w:tcPr>
                <w:p>
                  <w:pPr>
                    <w:pStyle w:val="Normal"/>
                    <w:keepLines w:val="on"/>
                  </w:pPr>
                  <w:r>
                    <w:t>3,50%</w:t>
                  </w:r>
                </w:p>
              </w:tc>
              <w:tc>
                <w:tcPr>
                  <w:tcW w:type="auto" w:w="0"/>
                  <w:shd w:val="clear" w:color="auto" w:fill="F0F0F0"/>
                </w:tcPr>
                <w:p>
                  <w:pPr>
                    <w:pStyle w:val="Normal"/>
                    <w:keepLines w:val="on"/>
                  </w:pPr>
                  <w:r>
                    <w:t>24,70%</w:t>
                  </w:r>
                </w:p>
              </w:tc>
              <w:tc>
                <w:tcPr>
                  <w:tcW w:type="auto" w:w="0"/>
                  <w:shd w:val="clear" w:color="auto" w:fill="F0F0F0"/>
                </w:tcPr>
                <w:p>
                  <w:pPr>
                    <w:pStyle w:val="Normal"/>
                    <w:keepLines w:val="on"/>
                  </w:pPr>
                  <w:r>
                    <w:t>2,56</w:t>
                  </w:r>
                </w:p>
              </w:tc>
            </w:tr>
            <w:tr>
              <w:tc>
                <w:tcPr>
                  <w:tcW w:type="auto" w:w="0"/>
                  <w:shd w:val="clear" w:color="auto" w:fill="F0F0F0"/>
                </w:tcPr>
                <w:p>
                  <w:pPr>
                    <w:pStyle w:val="Para 02"/>
                    <w:keepLines w:val="on"/>
                  </w:pPr>
                  <w:r>
                    <w:t>Todhunter Int’l.</w:t>
                  </w:r>
                </w:p>
              </w:tc>
              <w:tc>
                <w:tcPr>
                  <w:tcW w:type="auto" w:w="0"/>
                  <w:shd w:val="clear" w:color="auto" w:fill="F0F0F0"/>
                </w:tcPr>
                <w:p>
                  <w:pPr>
                    <w:pStyle w:val="Normal"/>
                    <w:keepLines w:val="on"/>
                  </w:pPr>
                  <w:r>
                    <w:t>8,94</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25,74%</w:t>
                  </w:r>
                </w:p>
              </w:tc>
              <w:tc>
                <w:tcPr>
                  <w:tcW w:type="auto" w:w="0"/>
                  <w:shd w:val="clear" w:color="auto" w:fill="F0F0F0"/>
                </w:tcPr>
                <w:p>
                  <w:pPr>
                    <w:pStyle w:val="Normal"/>
                    <w:keepLines w:val="on"/>
                  </w:pPr>
                  <w:r>
                    <w:t>2,98</w:t>
                  </w:r>
                </w:p>
              </w:tc>
            </w:tr>
            <w:tr>
              <w:tc>
                <w:tcPr>
                  <w:tcW w:type="auto" w:w="0"/>
                  <w:shd w:val="clear" w:color="auto" w:fill="F0F0F0"/>
                </w:tcPr>
                <w:p>
                  <w:pPr>
                    <w:pStyle w:val="Para 02"/>
                    <w:keepLines w:val="on"/>
                  </w:pPr>
                  <w:r>
                    <w:t>Brown-Forman “B”</w:t>
                  </w:r>
                </w:p>
              </w:tc>
              <w:tc>
                <w:tcPr>
                  <w:tcW w:type="auto" w:w="0"/>
                  <w:shd w:val="clear" w:color="auto" w:fill="F0F0F0"/>
                </w:tcPr>
                <w:p>
                  <w:pPr>
                    <w:pStyle w:val="Normal"/>
                    <w:keepLines w:val="on"/>
                  </w:pPr>
                  <w:r>
                    <w:t>10,07</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29,43%</w:t>
                  </w:r>
                </w:p>
              </w:tc>
              <w:tc>
                <w:tcPr>
                  <w:tcW w:type="auto" w:w="0"/>
                  <w:shd w:val="clear" w:color="auto" w:fill="F0F0F0"/>
                </w:tcPr>
                <w:p>
                  <w:pPr>
                    <w:pStyle w:val="Normal"/>
                    <w:keepLines w:val="on"/>
                  </w:pPr>
                  <w:r>
                    <w:t>0,88</w:t>
                  </w:r>
                </w:p>
              </w:tc>
            </w:tr>
            <w:tr>
              <w:tc>
                <w:tcPr>
                  <w:tcW w:type="auto" w:w="0"/>
                  <w:shd w:val="clear" w:color="auto" w:fill="F0F0F0"/>
                </w:tcPr>
                <w:p>
                  <w:pPr>
                    <w:pStyle w:val="Para 02"/>
                    <w:keepLines w:val="on"/>
                  </w:pPr>
                  <w:r>
                    <w:t>Coors (Adolph) “B”</w:t>
                  </w:r>
                </w:p>
              </w:tc>
              <w:tc>
                <w:tcPr>
                  <w:tcW w:type="auto" w:w="0"/>
                  <w:shd w:val="clear" w:color="auto" w:fill="F0F0F0"/>
                </w:tcPr>
                <w:p>
                  <w:pPr>
                    <w:pStyle w:val="Normal"/>
                    <w:keepLines w:val="on"/>
                  </w:pPr>
                  <w:r>
                    <w:t>23,02</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29,52%</w:t>
                  </w:r>
                </w:p>
              </w:tc>
              <w:tc>
                <w:tcPr>
                  <w:tcW w:type="auto" w:w="0"/>
                  <w:shd w:val="clear" w:color="auto" w:fill="F0F0F0"/>
                </w:tcPr>
                <w:p>
                  <w:pPr>
                    <w:pStyle w:val="Normal"/>
                    <w:keepLines w:val="on"/>
                  </w:pPr>
                  <w:r>
                    <w:t>2,30</w:t>
                  </w:r>
                </w:p>
              </w:tc>
            </w:tr>
            <w:tr>
              <w:tc>
                <w:tcPr>
                  <w:tcW w:type="auto" w:w="0"/>
                  <w:shd w:val="clear" w:color="auto" w:fill="F0F0F0"/>
                </w:tcPr>
                <w:p>
                  <w:pPr>
                    <w:pStyle w:val="Para 02"/>
                    <w:keepLines w:val="on"/>
                  </w:pPr>
                  <w:r>
                    <w:t>PepsiCo, Inc.</w:t>
                  </w:r>
                </w:p>
              </w:tc>
              <w:tc>
                <w:tcPr>
                  <w:tcW w:type="auto" w:w="0"/>
                  <w:shd w:val="clear" w:color="auto" w:fill="F0F0F0"/>
                </w:tcPr>
                <w:p>
                  <w:pPr>
                    <w:pStyle w:val="Normal"/>
                    <w:keepLines w:val="on"/>
                  </w:pPr>
                  <w:r>
                    <w:t>33,00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31,35%</w:t>
                  </w:r>
                </w:p>
              </w:tc>
              <w:tc>
                <w:tcPr>
                  <w:tcW w:type="auto" w:w="0"/>
                  <w:shd w:val="clear" w:color="auto" w:fill="F0F0F0"/>
                </w:tcPr>
                <w:p>
                  <w:pPr>
                    <w:pStyle w:val="Normal"/>
                    <w:keepLines w:val="on"/>
                  </w:pPr>
                  <w:r>
                    <w:t>3,14</w:t>
                  </w:r>
                </w:p>
              </w:tc>
            </w:tr>
            <w:tr>
              <w:tc>
                <w:tcPr>
                  <w:tcW w:type="auto" w:w="0"/>
                  <w:shd w:val="clear" w:color="auto" w:fill="F0F0F0"/>
                </w:tcPr>
                <w:p>
                  <w:pPr>
                    <w:pStyle w:val="Para 02"/>
                    <w:keepLines w:val="on"/>
                  </w:pPr>
                  <w:r>
                    <w:t>Coca-Cola</w:t>
                  </w:r>
                </w:p>
              </w:tc>
              <w:tc>
                <w:tcPr>
                  <w:tcW w:type="auto" w:w="0"/>
                  <w:shd w:val="clear" w:color="auto" w:fill="F0F0F0"/>
                </w:tcPr>
                <w:p>
                  <w:pPr>
                    <w:pStyle w:val="Normal"/>
                    <w:keepLines w:val="on"/>
                  </w:pPr>
                  <w:r>
                    <w:t>44,33</w:t>
                  </w:r>
                </w:p>
              </w:tc>
              <w:tc>
                <w:tcPr>
                  <w:tcW w:type="auto" w:w="0"/>
                  <w:shd w:val="clear" w:color="auto" w:fill="F0F0F0"/>
                </w:tcPr>
                <w:p>
                  <w:pPr>
                    <w:pStyle w:val="Normal"/>
                    <w:keepLines w:val="on"/>
                  </w:pPr>
                  <w:r>
                    <w:t>19,00%</w:t>
                  </w:r>
                </w:p>
              </w:tc>
              <w:tc>
                <w:tcPr>
                  <w:tcW w:type="auto" w:w="0"/>
                  <w:shd w:val="clear" w:color="auto" w:fill="F0F0F0"/>
                </w:tcPr>
                <w:p>
                  <w:pPr>
                    <w:pStyle w:val="Normal"/>
                    <w:keepLines w:val="on"/>
                  </w:pPr>
                  <w:r>
                    <w:t>35,51%</w:t>
                  </w:r>
                </w:p>
              </w:tc>
              <w:tc>
                <w:tcPr>
                  <w:tcW w:type="auto" w:w="0"/>
                  <w:shd w:val="clear" w:color="auto" w:fill="F0F0F0"/>
                </w:tcPr>
                <w:p>
                  <w:pPr>
                    <w:pStyle w:val="Normal"/>
                    <w:keepLines w:val="on"/>
                  </w:pPr>
                  <w:r>
                    <w:t>2,33</w:t>
                  </w:r>
                </w:p>
              </w:tc>
            </w:tr>
            <w:tr>
              <w:tc>
                <w:tcPr>
                  <w:tcW w:type="auto" w:w="0"/>
                  <w:shd w:val="clear" w:color="auto" w:fill="F0F0F0"/>
                </w:tcPr>
                <w:p>
                  <w:pPr>
                    <w:pStyle w:val="Para 02"/>
                    <w:keepLines w:val="on"/>
                  </w:pPr>
                  <w:r>
                    <w:t>Boston Beer “A”</w:t>
                  </w:r>
                </w:p>
              </w:tc>
              <w:tc>
                <w:tcPr>
                  <w:tcW w:type="auto" w:w="0"/>
                  <w:shd w:val="clear" w:color="auto" w:fill="F0F0F0"/>
                </w:tcPr>
                <w:p>
                  <w:pPr>
                    <w:pStyle w:val="Normal"/>
                    <w:keepLines w:val="on"/>
                  </w:pPr>
                  <w:r>
                    <w:t>10,59</w:t>
                  </w:r>
                </w:p>
              </w:tc>
              <w:tc>
                <w:tcPr>
                  <w:tcW w:type="auto" w:w="0"/>
                  <w:shd w:val="clear" w:color="auto" w:fill="F0F0F0"/>
                </w:tcPr>
                <w:p>
                  <w:pPr>
                    <w:pStyle w:val="Normal"/>
                    <w:keepLines w:val="on"/>
                  </w:pPr>
                  <w:r>
                    <w:t>17,13%</w:t>
                  </w:r>
                </w:p>
              </w:tc>
              <w:tc>
                <w:tcPr>
                  <w:tcW w:type="auto" w:w="0"/>
                  <w:shd w:val="clear" w:color="auto" w:fill="F0F0F0"/>
                </w:tcPr>
                <w:p>
                  <w:pPr>
                    <w:pStyle w:val="Normal"/>
                    <w:keepLines w:val="on"/>
                  </w:pPr>
                  <w:r>
                    <w:t>39,58%</w:t>
                  </w:r>
                </w:p>
              </w:tc>
              <w:tc>
                <w:tcPr>
                  <w:tcW w:type="auto" w:w="0"/>
                  <w:shd w:val="clear" w:color="auto" w:fill="F0F0F0"/>
                </w:tcPr>
                <w:p>
                  <w:pPr>
                    <w:pStyle w:val="Normal"/>
                    <w:keepLines w:val="on"/>
                  </w:pPr>
                  <w:r>
                    <w:t>0,62</w:t>
                  </w:r>
                </w:p>
              </w:tc>
            </w:tr>
            <w:tr>
              <w:tc>
                <w:tcPr>
                  <w:tcW w:type="auto" w:w="0"/>
                  <w:shd w:val="clear" w:color="auto" w:fill="F0F0F0"/>
                </w:tcPr>
                <w:p>
                  <w:pPr>
                    <w:pStyle w:val="Para 02"/>
                    <w:keepLines w:val="on"/>
                  </w:pPr>
                  <w:r>
                    <w:t>Whitman Corp.</w:t>
                  </w:r>
                </w:p>
              </w:tc>
              <w:tc>
                <w:tcPr>
                  <w:tcW w:type="auto" w:w="0"/>
                  <w:shd w:val="clear" w:color="auto" w:fill="F0F0F0"/>
                </w:tcPr>
                <w:p>
                  <w:pPr>
                    <w:pStyle w:val="Normal"/>
                    <w:keepLines w:val="on"/>
                  </w:pPr>
                  <w:r>
                    <w:t>25,19</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44,26%</w:t>
                  </w:r>
                </w:p>
              </w:tc>
              <w:tc>
                <w:tcPr>
                  <w:tcW w:type="auto" w:w="0"/>
                  <w:shd w:val="clear" w:color="auto" w:fill="F0F0F0"/>
                </w:tcPr>
                <w:p>
                  <w:pPr>
                    <w:pStyle w:val="Normal"/>
                    <w:keepLines w:val="on"/>
                  </w:pPr>
                  <w:r>
                    <w:t>2,19</w:t>
                  </w:r>
                </w:p>
              </w:tc>
            </w:tr>
            <w:tr>
              <w:tc>
                <w:tcPr>
                  <w:tcW w:type="auto" w:w="0"/>
                  <w:shd w:val="clear" w:color="auto" w:fill="F0F0F0"/>
                </w:tcPr>
                <w:p>
                  <w:pPr>
                    <w:pStyle w:val="Para 02"/>
                    <w:keepLines w:val="on"/>
                  </w:pPr>
                  <w:r>
                    <w:t>Mondavi (Robert) “A”</w:t>
                  </w:r>
                </w:p>
              </w:tc>
              <w:tc>
                <w:tcPr>
                  <w:tcW w:type="auto" w:w="0"/>
                  <w:shd w:val="clear" w:color="auto" w:fill="F0F0F0"/>
                </w:tcPr>
                <w:p>
                  <w:pPr>
                    <w:pStyle w:val="Normal"/>
                    <w:keepLines w:val="on"/>
                  </w:pPr>
                  <w:r>
                    <w:t>16,47</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45,84%</w:t>
                  </w:r>
                </w:p>
              </w:tc>
              <w:tc>
                <w:tcPr>
                  <w:tcW w:type="auto" w:w="0"/>
                  <w:shd w:val="clear" w:color="auto" w:fill="F0F0F0"/>
                </w:tcPr>
                <w:p>
                  <w:pPr>
                    <w:pStyle w:val="Normal"/>
                    <w:keepLines w:val="on"/>
                  </w:pPr>
                  <w:r>
                    <w:t>1,18</w:t>
                  </w:r>
                </w:p>
              </w:tc>
            </w:tr>
            <w:tr>
              <w:tc>
                <w:tcPr>
                  <w:tcW w:type="auto" w:w="0"/>
                  <w:shd w:val="clear" w:color="auto" w:fill="F0F0F0"/>
                </w:tcPr>
                <w:p>
                  <w:pPr>
                    <w:pStyle w:val="Para 02"/>
                    <w:keepLines w:val="on"/>
                  </w:pPr>
                  <w:r>
                    <w:t>Coca-Cola Enterprises</w:t>
                  </w:r>
                </w:p>
              </w:tc>
              <w:tc>
                <w:tcPr>
                  <w:tcW w:type="auto" w:w="0"/>
                  <w:shd w:val="clear" w:color="auto" w:fill="F0F0F0"/>
                </w:tcPr>
                <w:p>
                  <w:pPr>
                    <w:pStyle w:val="Normal"/>
                    <w:keepLines w:val="on"/>
                  </w:pPr>
                  <w:r>
                    <w:t>37,14</w:t>
                  </w:r>
                </w:p>
              </w:tc>
              <w:tc>
                <w:tcPr>
                  <w:tcW w:type="auto" w:w="0"/>
                  <w:shd w:val="clear" w:color="auto" w:fill="F0F0F0"/>
                </w:tcPr>
                <w:p>
                  <w:pPr>
                    <w:pStyle w:val="Normal"/>
                    <w:keepLines w:val="on"/>
                  </w:pPr>
                  <w:r>
                    <w:t>27,00%</w:t>
                  </w:r>
                </w:p>
              </w:tc>
              <w:tc>
                <w:tcPr>
                  <w:tcW w:type="auto" w:w="0"/>
                  <w:shd w:val="clear" w:color="auto" w:fill="F0F0F0"/>
                </w:tcPr>
                <w:p>
                  <w:pPr>
                    <w:pStyle w:val="Normal"/>
                    <w:keepLines w:val="on"/>
                  </w:pPr>
                  <w:r>
                    <w:t>51,34%</w:t>
                  </w:r>
                </w:p>
              </w:tc>
              <w:tc>
                <w:tcPr>
                  <w:tcW w:type="auto" w:w="0"/>
                  <w:shd w:val="clear" w:color="auto" w:fill="F0F0F0"/>
                </w:tcPr>
                <w:p>
                  <w:pPr>
                    <w:pStyle w:val="Normal"/>
                    <w:keepLines w:val="on"/>
                  </w:pPr>
                  <w:r>
                    <w:t>1,38</w:t>
                  </w:r>
                </w:p>
              </w:tc>
            </w:tr>
            <w:tr>
              <w:tc>
                <w:tcPr>
                  <w:tcW w:type="auto" w:w="0"/>
                  <w:shd w:val="clear" w:color="auto" w:fill="F0F0F0"/>
                </w:tcPr>
                <w:p>
                  <w:pPr>
                    <w:pStyle w:val="Para 02"/>
                    <w:keepLines w:val="on"/>
                  </w:pPr>
                  <w:r>
                    <w:t>Hansen Natural Corp.</w:t>
                  </w:r>
                </w:p>
              </w:tc>
              <w:tc>
                <w:tcPr>
                  <w:tcW w:type="auto" w:w="0"/>
                  <w:shd w:val="clear" w:color="auto" w:fill="F0F0F0"/>
                </w:tcPr>
                <w:p>
                  <w:pPr>
                    <w:pStyle w:val="Normal"/>
                    <w:keepLines w:val="on"/>
                  </w:pPr>
                  <w:r>
                    <w:t>9,70</w:t>
                  </w:r>
                </w:p>
              </w:tc>
              <w:tc>
                <w:tcPr>
                  <w:tcW w:type="auto" w:w="0"/>
                  <w:shd w:val="clear" w:color="auto" w:fill="F0F0F0"/>
                </w:tcPr>
                <w:p>
                  <w:pPr>
                    <w:pStyle w:val="Normal"/>
                    <w:keepLines w:val="on"/>
                  </w:pPr>
                  <w:r>
                    <w:t>17,00%</w:t>
                  </w:r>
                </w:p>
              </w:tc>
              <w:tc>
                <w:tcPr>
                  <w:tcW w:type="auto" w:w="0"/>
                  <w:shd w:val="clear" w:color="auto" w:fill="F0F0F0"/>
                </w:tcPr>
                <w:p>
                  <w:pPr>
                    <w:pStyle w:val="Normal"/>
                    <w:keepLines w:val="on"/>
                  </w:pPr>
                  <w:r>
                    <w:t>62,45%</w:t>
                  </w:r>
                </w:p>
              </w:tc>
              <w:tc>
                <w:tcPr>
                  <w:tcW w:type="auto" w:w="0"/>
                  <w:shd w:val="clear" w:color="auto" w:fill="F0F0F0"/>
                </w:tcPr>
                <w:p>
                  <w:pPr>
                    <w:pStyle w:val="Normal"/>
                    <w:keepLines w:val="on"/>
                  </w:pPr>
                  <w:r>
                    <w:t>0,57</w:t>
                  </w:r>
                </w:p>
              </w:tc>
            </w:tr>
            <w:tr>
              <w:tc>
                <w:tcPr>
                  <w:tcW w:type="auto" w:w="0"/>
                  <w:shd w:val="clear" w:color="auto" w:fill="F0F0F0"/>
                </w:tcPr>
                <w:p>
                  <w:pPr>
                    <w:pStyle w:val="Para 46"/>
                    <w:keepLines w:val="on"/>
                  </w:pPr>
                  <w:r>
                    <w:t>Trung bình</w:t>
                  </w:r>
                </w:p>
              </w:tc>
              <w:tc>
                <w:tcPr>
                  <w:tcW w:type="auto" w:w="0"/>
                  <w:shd w:val="clear" w:color="auto" w:fill="F0F0F0"/>
                </w:tcPr>
                <w:p>
                  <w:pPr>
                    <w:pStyle w:val="Para 41"/>
                    <w:keepLines w:val="on"/>
                  </w:pPr>
                  <w:r>
                    <w:t>22,66</w:t>
                  </w:r>
                </w:p>
              </w:tc>
              <w:tc>
                <w:tcPr>
                  <w:tcW w:type="auto" w:w="0"/>
                  <w:shd w:val="clear" w:color="auto" w:fill="F0F0F0"/>
                </w:tcPr>
                <w:p>
                  <w:pPr>
                    <w:pStyle w:val="Para 41"/>
                    <w:keepLines w:val="on"/>
                  </w:pPr>
                  <w:r>
                    <w:t>12,60%</w:t>
                  </w:r>
                </w:p>
              </w:tc>
              <w:tc>
                <w:tcPr>
                  <w:tcW w:type="auto" w:w="0"/>
                  <w:shd w:val="clear" w:color="auto" w:fill="F0F0F0"/>
                </w:tcPr>
                <w:p>
                  <w:pPr>
                    <w:pStyle w:val="Para 41"/>
                    <w:keepLines w:val="on"/>
                  </w:pPr>
                  <w:r>
                    <w:t>33,30%</w:t>
                  </w:r>
                </w:p>
              </w:tc>
              <w:tc>
                <w:tcPr>
                  <w:tcW w:type="auto" w:w="0"/>
                  <w:shd w:val="clear" w:color="auto" w:fill="F0F0F0"/>
                </w:tcPr>
                <w:p>
                  <w:pPr>
                    <w:pStyle w:val="Para 41"/>
                    <w:keepLines w:val="on"/>
                  </w:pPr>
                  <w:r>
                    <w:t>2,00</w:t>
                  </w:r>
                </w:p>
              </w:tc>
            </w:tr>
          </w:tbl>
          <w:p/>
        </w:tc>
      </w:tr>
    </w:tbl>
    <w:p>
      <w:pPr>
        <w:pStyle w:val="Para 04"/>
        <w:keepLines w:val="on"/>
      </w:pPr>
      <w:r>
        <w:t>Andres Wines bị định giá thấp trên cơ sở so sánh tương đối. Chỉ cần nhìn qua các chỉ số bội (multiple) là bạn sẽ đi đến kết luận này, bởi vì tỷ lệ PE của nó là 8,96, thấp hơn đáng kể so với mức trung bình của ngành.</w:t>
      </w:r>
    </w:p>
    <w:p>
      <w:pPr>
        <w:pStyle w:val="Para 04"/>
        <w:keepLines w:val="on"/>
      </w:pPr>
      <w:r>
        <w:t>Khi thực hiện so sánh này, chúng ta đang giả định rằng Andres Wines có đặc điểm tăng trưởng và rủi ro tương tự như mức trung bình của ngành. Một cách để đưa yếu tố tăng trưởng vào so sánh là tính tỷ lệ PEG, được báo cáo ở cột cuối cùng. Dựa trên tỷ lệ PEG trung bình của ngành là 2,00 và tốc độ tăng trưởng ước tính của Andres Wines, bạn thu được giá trị sau cho tỷ lệ PE của Andres:</w:t>
      </w:r>
    </w:p>
    <w:p>
      <w:bookmarkStart w:id="3462" w:name="PE_ratio_2_00x3_50__7_00"/>
      <w:pPr>
        <w:keepNext/>
        <w:pStyle w:val="Para 07"/>
        <w:keepLines w:val="on"/>
      </w:pPr>
      <w:r>
        <w:t>Tỷ lệ PE = 2,00 × 3,50% = 7,00</w:t>
      </w:r>
      <w:bookmarkEnd w:id="3462"/>
    </w:p>
    <w:p>
      <w:pPr>
        <w:pStyle w:val="Para 04"/>
        <w:keepLines w:val="on"/>
      </w:pPr>
      <w:r>
        <w:t>Dựa trên PE đã điều chỉnh này, Andres Wines trông có vẻ bị định giá cao mặc dù nó có tỷ lệ PE thấp. Mặc dù đây có vẻ như là một cách điều chỉnh dễ dàng để giải quyết vấn đề khác biệt giữa các công ty, kết luận chỉ đúng nếu các công ty này có mức rủi ro tương đương nhau. Một cách ngầm hiểu, phương pháp này cũng giả định mối quan hệ tuyến tính giữa tốc độ tăng trưởng và PE.</w:t>
      </w:r>
    </w:p>
    <w:p>
      <w:bookmarkStart w:id="3463" w:name="Regressions__When_firms_differ_o"/>
      <w:pPr>
        <w:pStyle w:val="Para 21"/>
      </w:pPr>
      <w:r>
        <w:t>Hồi quy (Regression)</w:t>
      </w:r>
      <w:bookmarkEnd w:id="3463"/>
    </w:p>
    <w:p>
      <w:pPr>
        <w:pStyle w:val="Para 03"/>
      </w:pPr>
      <w:r>
        <w:t>Khi các công ty khác nhau ở nhiều hơn một biến số, việc điều chỉnh chỉ số bội để tính đến sự khác biệt giữa các công ty trở nên khó khăn. Bạn có thể chạy hồi quy chỉ số bội, với tư cách là biến phụ thuộc, theo các biến mà bạn tin là quyết định chỉ số bội đó, rồi dùng hồi quy này để tìm giá trị dự đoán cho từng công ty. Phương pháp này hoạt động khá tốt khi số lượng công ty so sánh được lớn, và mối quan hệ giữa chỉ số bội và các biến số ổn định. Khi các điều kiện này không được thỏa mãn, một vài giá trị ngoại lai (outlier) có thể khiến các hệ số thay đổi mạnh mẽ và làm cho các dự đoán kém đáng tin cậy hơn nhiều.</w:t>
      </w:r>
    </w:p>
    <w:p>
      <w:pPr>
        <w:pStyle w:val="Para 03"/>
      </w:pPr>
      <w:r>
        <w:t>Khi chạy các hồi quy này, bạn phải tuân thủ các nguyên tắc thống kê cơ bản, và cân nhắc những điều sau:</w:t>
      </w:r>
    </w:p>
    <w:p>
      <w:pPr>
        <w:numPr>
          <w:ilvl w:val="0"/>
          <w:numId w:val="168"/>
        </w:numPr>
        <w:pStyle w:val="Para 01"/>
      </w:pPr>
      <w:r>
        <w:t>Kích thước mẫu của bạn phải đủ lớn để đáp ứng các số hạng trong hồi quy. Ví dụ, với hồi quy đơn giản, nơi bạn chỉ có một biến độc lập, bạn có thể chấp nhận kích thước mẫu nhỏ cỡ mười. Với hồi quy bội (multiple regression), bạn cần mẫu lớn hơn, với quy tắc ngón tay cái đơn giản là thêm mười công ty cho mỗi biến độc lập bổ sung trong hồi quy. Như vậy, bạn cần mẫu ít nhất hai mươi công ty với hai biến, ba mươi với ba biến, và cứ tiếp tục như vậy.</w:t>
      </w:r>
    </w:p>
    <w:p>
      <w:pPr>
        <w:numPr>
          <w:ilvl w:val="0"/>
          <w:numId w:val="168"/>
        </w:numPr>
        <w:pStyle w:val="Para 01"/>
      </w:pPr>
      <w:r>
        <w:t>Mỗi hồi quy đều đưa ra một giả định về bản chất mối quan hệ giữa biến phụ thuộc và biến độc lập của bạn. Hồi quy bình phương nhỏ nhất thông thường (ordinary least squares) tiêu chuẩn giả định rằng mối quan hệ giữa biến phụ thuộc và biến độc lập là tuyến tính, và nếu không phải vậy, có những biến thể thống kê mà bạn có thể dùng để đưa vào các mối quan hệ phi tuyến.</w:t>
      </w:r>
    </w:p>
    <w:p>
      <w:pPr>
        <w:numPr>
          <w:ilvl w:val="0"/>
          <w:numId w:val="168"/>
        </w:numPr>
        <w:pStyle w:val="Para 01"/>
      </w:pPr>
      <w:r>
        <w:t>Mặc dù có những thống kê (giá trị t, giá trị p) mà bạn có thể dùng để đo lường ý nghĩa thống kê của mối quan hệ giữa biến phụ thuộc và biến độc lập, và R-squared cao hơn cho thấy bạn có thể giải thích được nhiều hơn phần biến thiên của biến phụ thuộc bằng các biến độc lập, bạn vẫn có thể dùng một hồi quy có R-squared thấp. Các dự đoán bạn nhận được từ hồi quy này sẽ có khoảng rộng hơn, khiến việc bác bỏ giả thuyết rằng một cổ phiếu có tỷ lệ PE khác với giá trị dự đoán là bị định giá thấp hay cao trở nên khó khăn hơn.</w:t>
      </w:r>
    </w:p>
    <w:p>
      <w:pPr>
        <w:numPr>
          <w:ilvl w:val="0"/>
          <w:numId w:val="168"/>
        </w:numPr>
        <w:pStyle w:val="Para 01"/>
      </w:pPr>
      <w:r>
        <w:t>Cuối cùng, hồi quy là công cụ trong kho vũ khí của nhà phân tích, có thể dùng để kiểm định các giả thuyết về mối quan hệ giữa một chỉ số bội và các yếu tố cơ bản cũng như để bác bỏ hoặc chứng minh các quy tắc ngón tay cái.</w:t>
      </w:r>
    </w:p>
    <w:p>
      <w:pPr>
        <w:pStyle w:val="Para 11"/>
      </w:pPr>
      <w:r>
        <w:t xml:space="preserve"> </w:t>
      </w:r>
    </w:p>
    <w:p>
      <w:bookmarkStart w:id="3466" w:name="ILLUSTRATION_17_2___Revisiting_t"/>
      <w:bookmarkStart w:id="3467" w:name="ILLUSTRATION_17_2___Revisiting_t_1"/>
      <w:pPr>
        <w:keepNext/>
        <w:pStyle w:val="Para 19"/>
        <w:keepLines w:val="on"/>
      </w:pPr>
      <w:r>
        <w:t>MINH HỌA 17.2: Xem lại ngành Đồ uống năm 2001: Hồi quy theo ngành</w:t>
      </w:r>
      <w:bookmarkEnd w:id="3466"/>
      <w:bookmarkEnd w:id="3467"/>
    </w:p>
    <w:p>
      <w:pPr>
        <w:pStyle w:val="Para 04"/>
        <w:keepLines w:val="on"/>
      </w:pPr>
      <w:r>
        <w:t>Tỷ lệ giá trên thu nhập (price-earnings ratio) là một hàm của tốc độ tăng trưởng kỳ vọng, rủi ro, và tỷ lệ chi trả cổ tức (payout ratio). Mặc dù tỷ lệ chi trả cổ tức giữa các công ty đồ uống không có nhiều biến động, chúng khác nhau về rủi ro và tăng trưởng. Trong Minh họa 17.1, chúng ta đã xem xét các công ty đồ uống năm 2001, ước tính tỷ lệ PE cho các công ty này, cùng với tăng trưởng kỳ vọng của thu nhập trên mỗi cổ phần (trong năm năm tới) và một thước đo rủi ro (độ lệch chuẩn của giá cổ phiếu).</w:t>
      </w:r>
    </w:p>
    <w:p>
      <w:pPr>
        <w:pStyle w:val="Para 04"/>
        <w:keepLines w:val="on"/>
      </w:pPr>
      <w:r>
        <w:t>Vì các công ty này khác nhau ở cả rủi ro lẫn tăng trưởng kỳ vọng, một hồi quy của tỷ lệ PE theo cả hai biến được chạy:</w:t>
      </w:r>
    </w:p>
    <w:p>
      <w:bookmarkStart w:id="3469" w:name="PE_20_87___63_98_Standard_deviat"/>
      <w:pPr>
        <w:keepNext/>
        <w:pStyle w:val="Para 07"/>
        <w:keepLines w:val="on"/>
      </w:pPr>
      <w:r>
        <w:t>PE = 20,87 − 63,98 Độ lệch chuẩn + 183,24 Tăng trưởng kỳ vọng R2 = 51%           (3,01)    (2,63)                                         (3,66)</w:t>
      </w:r>
      <w:bookmarkEnd w:id="3469"/>
    </w:p>
    <w:p>
      <w:pPr>
        <w:pStyle w:val="Para 04"/>
        <w:keepLines w:val="on"/>
      </w:pPr>
      <w:r>
        <w:t>Các số trong ngoặc là giá trị t-statistics và cho thấy mối quan hệ giữa tỷ lệ PE và cả hai biến trong hồi quy đều có ý nghĩa thống kê. R-squared cho biết tỷ lệ phần trăm của sự khác biệt trong tỷ lệ PE được giải thích bởi các biến độc lập. Cuối cùng, bản thân hồi quy có thể được dùng để có được tỷ lệ PE dự đoán cho các công ty trong danh sách.3 Như vậy, tỷ lệ PE dự đoán cho Coca-Cola, dựa trên độ lệch chuẩn 35,51% và tốc độ tăng trưởng kỳ vọng 19%, sẽ là:</w:t>
      </w:r>
    </w:p>
    <w:p>
      <w:bookmarkStart w:id="3471" w:name="Predicted_PECoca_Cola_20_87___63"/>
      <w:pPr>
        <w:keepNext/>
        <w:pStyle w:val="Para 07"/>
        <w:keepLines w:val="on"/>
      </w:pPr>
      <w:r>
        <w:t>PE dự đoán của Coca-Cola = 20,87 − 63,98 × 0,3551 + 183,24 × 0,19 = 32,97</w:t>
      </w:r>
      <w:bookmarkEnd w:id="3471"/>
    </w:p>
    <w:p>
      <w:pPr>
        <w:pStyle w:val="Para 04"/>
        <w:keepLines w:val="on"/>
      </w:pPr>
      <w:r>
        <w:t>Vì tỷ lệ PE thực tế của Coca-Cola là 44,33, điều này cho thấy cổ phiếu đang bị định giá quá cao, xét theo cách định giá của phần còn lại trong ngành.</w:t>
      </w:r>
    </w:p>
    <w:p>
      <w:pPr>
        <w:pStyle w:val="Para 04"/>
        <w:keepLines w:val="on"/>
      </w:pPr>
      <w:r>
        <w:t>Nếu bạn cảm thấy không thoải mái với giả định rằng mối quan hệ giữa PE và tăng trưởng là tuyến tính — điều mà chúng ta đã giả định trong hồi quy trước đó — bạn có thể chạy hồi quy phi tuyến hoặc điều chỉnh các biến trong hồi quy để mối quan hệ trở nên tuyến tính hơn. Ví dụ, dùng ln (tốc độ tăng trưởng) thay vì tốc độ tăng trưởng trong hồi quy sẽ cho ra phần dư (residuals) có hành vi tốt hơn nhiều.</w:t>
      </w:r>
    </w:p>
    <w:p>
      <w:bookmarkStart w:id="3472" w:name="Market_Regressions__Searching_fo"/>
      <w:pPr>
        <w:pStyle w:val="Para 21"/>
      </w:pPr>
      <w:r>
        <w:t>Hồi quy theo thị trường</w:t>
      </w:r>
      <w:bookmarkEnd w:id="3472"/>
    </w:p>
    <w:p>
      <w:pPr>
        <w:pStyle w:val="Para 03"/>
      </w:pPr>
      <w:r>
        <w:t>Việc tìm kiếm các công ty tương đồng trong cùng ngành mà một công ty hoạt động khá hạn chế, đặc biệt khi ngành đó có tương đối ít công ty hoặc khi một công ty hoạt động trong nhiều ngành. Vì định nghĩa về công ty tương đồng không phải là công ty cùng ngành, mà là công ty có cùng đặc điểm về tăng trưởng, rủi ro và dòng tiền như công ty đang được phân tích, bạn không cần giới hạn lựa chọn công ty tương đồng trong cùng ngành. Phương pháp hồi quy được giới thiệu ở phần trước kiểm soát sự khác biệt ở những biến mà bạn cho rằng khiến các bội số (multiples) khác nhau giữa các công ty. Dựa trên các biến quyết định từng bội số, bạn có thể hồi quy bất kỳ bội số nào (PE, EV/EBITDA, PBV) theo các biến đó, sử dụng tất cả các công ty trên thị trường trong mẫu của bạn. Sau đó bạn có thể dùng hồi quy theo thị trường để có giá trị dự đoán cho từng công ty riêng lẻ. Một công ty giao dịch ở tỷ lệ PE thấp hơn (cao hơn) so với PE dự đoán từ hồi quy theo thị trường thì đang bị định giá thấp (định giá cao) so với thị trường.</w:t>
      </w:r>
    </w:p>
    <w:p>
      <w:pPr>
        <w:pStyle w:val="Para 03"/>
      </w:pPr>
      <w:r>
        <w:t>Ưu điểm đầu tiên của cách tiếp cận này so với việc so sánh chủ quan giữa các công ty trong cùng ngành là nó định lượng được, dựa trên dữ liệu thị trường thực tế, mức độ mà tăng trưởng hay rủi ro cao hơn nên ảnh hưởng đến các bội số. Đúng là những ước tính này có thể có sai số đi kèm, nhưng sai số này phản ánh thực tế mà nhiều nhà phân tích chọn cách không đối mặt khi đưa ra những đánh giá chủ quan. Thứ hai, bằng cách xem xét tất cả các công ty trên thị trường, cách tiếp cận này cho phép bạn so sánh có ý nghĩa hơn giữa các công ty hoạt động trong những ngành có tương đối ít công ty. Thứ ba, nó cho phép bạn kiểm tra xem liệu tất cả các công ty trong một ngành có đang bị định giá thấp hay cao hay không bằng cách ước tính giá trị của chúng so với các công ty khác trên thị trường.</w:t>
      </w:r>
    </w:p>
    <w:p>
      <w:bookmarkStart w:id="3475" w:name="Reconciling_Relative_and_Discoun_1"/>
      <w:bookmarkStart w:id="3476" w:name="Reconciling_Relative_and_Discoun"/>
      <w:pPr>
        <w:keepNext/>
        <w:pStyle w:val="Heading 2"/>
        <w:keepLines w:val="on"/>
      </w:pPr>
      <w:r>
        <w:t>Hòa giải giữa định giá tương đối và định giá dòng tiền chiết khấu</w:t>
      </w:r>
      <w:bookmarkEnd w:id="3475"/>
      <w:bookmarkEnd w:id="3476"/>
    </w:p>
    <w:p>
      <w:pPr>
        <w:pStyle w:val="Para 03"/>
      </w:pPr>
      <w:r>
        <w:t>Hai cách tiếp cận định giá — định giá dòng tiền chiết khấu (discounted cash flow valuation) và định giá tương đối (relative valuation) — thường sẽ cho ra những ước tính giá trị khác nhau cho cùng một công ty. Hơn nữa, ngay cả trong định giá tương đối, bạn cũng có thể đi đến những ước tính giá trị khác nhau, tùy thuộc vào bội số bạn dùng và vào việc bạn dựa trên những công ty nào để định giá tương đối.</w:t>
      </w:r>
    </w:p>
    <w:p>
      <w:pPr>
        <w:pStyle w:val="Para 03"/>
      </w:pPr>
      <w:r>
        <w:t>Sự khác biệt về giá trị giữa định giá dòng tiền chiết khấu và định giá tương đối đến từ những quan điểm khác nhau về hiệu quả thị trường, hay nói chính xác hơn, là về sự kém hiệu quả của thị trường (market inefficiency). Trong định giá dòng tiền chiết khấu, bạn giả định rằng thị trường mắc sai lầm, rằng chúng sẽ sửa chữa những sai lầm này theo thời gian, và rằng những sai lầm này thường có thể xảy ra trên toàn bộ ngành hoặc thậm chí toàn bộ thị trường. Trong định giá tương đối, bạn giả định rằng dù thị trường mắc sai lầm với từng cổ phiếu riêng lẻ, nhưng trung bình thì chúng đúng. Nói cách khác, khi bạn định giá Adobe Systems so với các công ty phần mềm khác, bạn đang giả định rằng thị trường đã định giá các công ty này đúng về mặt trung bình, dù nó có thể đã mắc sai lầm trong việc định giá từng công ty riêng lẻ. Do đó, một cổ phiếu có thể bị định giá cao trên cơ sở dòng tiền chiết khấu nhưng lại bị định giá thấp trên cơ sở tương đối, nếu các công ty được dùng trong định giá tương đối đều bị thị trường định giá cao. Điều ngược lại sẽ xảy ra nếu cả một ngành hoặc cả thị trường bị định giá thấp.</w:t>
      </w:r>
    </w:p>
    <w:p>
      <w:bookmarkStart w:id="3477" w:name="Conclusion_16"/>
      <w:bookmarkStart w:id="3478" w:name="Conclusion__In_relative_valuatio"/>
      <w:pPr>
        <w:keepNext/>
        <w:pStyle w:val="Heading 2"/>
        <w:keepLines w:val="on"/>
      </w:pPr>
      <w:r>
        <w:t>Kết luận</w:t>
      </w:r>
      <w:bookmarkEnd w:id="3477"/>
      <w:bookmarkEnd w:id="3478"/>
    </w:p>
    <w:p>
      <w:pPr>
        <w:pStyle w:val="Para 03"/>
      </w:pPr>
      <w:r>
        <w:t>Trong định giá tương đối, bạn ước tính giá trị của một tài sản bằng cách xem xét cách các tài sản tương tự được định giá. Để thực hiện so sánh này, bạn bắt đầu bằng việc chuyển đổi giá thành các bội số — chuẩn hóa giá — rồi so sánh các bội số này giữa những công ty mà bạn xác định là tương đồng. Giá có thể được chuẩn hóa dựa trên lợi nhuận, giá trị sổ sách, doanh thu, hoặc các biến đặc thù theo ngành.</w:t>
      </w:r>
    </w:p>
    <w:p>
      <w:pPr>
        <w:pStyle w:val="Para 03"/>
      </w:pPr>
      <w:r>
        <w:t>Dù sức hấp dẫn của các bội số vẫn nằm ở tính đơn giản, có bốn bước để sử dụng chúng một cách hợp lý. Thứ nhất, bạn phải định nghĩa bội số một cách nhất quán và đo lường nó đồng nhất giữa các công ty được so sánh. Thứ hai, bạn cần có cảm nhận về việc bội số thay đổi như thế nào giữa các công ty trên thị trường. Nói cách khác, bạn cần biết giá trị cao, giá trị thấp và giá trị điển hình của bội số đang xét là bao nhiêu. Thứ ba, bạn cần xác định các biến cơ bản quyết định từng bội số và cách những thay đổi ở các yếu tố cơ bản này ảnh hưởng đến giá trị của bội số. Cuối cùng, bạn cần tìm ra những công ty thực sự tương đồng và điều chỉnh cho sự khác biệt giữa các công ty về những đặc điểm cơ bản.</w:t>
      </w:r>
    </w:p>
    <w:p>
      <w:bookmarkStart w:id="3480" w:name="Questions_and_Short_Problems_17"/>
      <w:bookmarkStart w:id="3481" w:name="Questions_and_Short_Problems__In_11"/>
      <w:pPr>
        <w:keepNext/>
        <w:pStyle w:val="Heading 2"/>
        <w:keepLines w:val="on"/>
      </w:pPr>
      <w:r>
        <w:t>Câu hỏi và bài tập ngắn</w:t>
      </w:r>
      <w:bookmarkEnd w:id="3480"/>
      <w:bookmarkEnd w:id="3481"/>
    </w:p>
    <w:p>
      <w:pPr>
        <w:pStyle w:val="Para 44"/>
      </w:pPr>
      <w:r>
        <w:t>Trong các bài tập sau đây, hãy dùng mức bù rủi ro vốn cổ phần (equity risk premium) là 5,5 phần trăm nếu không có quy định nào khác.</w:t>
      </w:r>
    </w:p>
    <w:p>
      <w:pPr>
        <w:numPr>
          <w:ilvl w:val="0"/>
          <w:numId w:val="169"/>
        </w:numPr>
        <w:pStyle w:val="Para 01"/>
      </w:pPr>
      <w:r>
        <w:t>Bạn có thể tính tỷ lệ PE bằng cách dùng lợi nhuận hiện tại, lợi nhuận quá khứ (trailing earnings), và lợi nhuận dự phóng (forward earnings).</w:t>
      </w:r>
    </w:p>
    <w:p>
      <w:pPr>
        <w:numPr>
          <w:ilvl w:val="1"/>
          <w:numId w:val="169"/>
        </w:numPr>
        <w:pStyle w:val="Para 01"/>
      </w:pPr>
      <w:r>
        <w:t>Sự khác biệt giữa các tỷ lệ này là gì?</w:t>
      </w:r>
    </w:p>
    <w:p>
      <w:pPr>
        <w:numPr>
          <w:ilvl w:val="1"/>
          <w:numId w:val="169"/>
        </w:numPr>
        <w:pStyle w:val="Para 01"/>
      </w:pPr>
      <w:r>
        <w:t>Tỷ lệ nào có khả năng cho ra giá trị cao nhất và tại sao?</w:t>
      </w:r>
    </w:p>
    <w:p>
      <w:pPr>
        <w:numPr>
          <w:ilvl w:val="0"/>
          <w:numId w:val="169"/>
        </w:numPr>
        <w:pStyle w:val="Para 01"/>
      </w:pPr>
      <w:r>
        <w:t>Một nhà phân tích đã tính tỷ lệ giữa giá trị doanh nghiệp (mà ông định nghĩa là giá trị thị trường của vốn cổ phần cộng nợ dài hạn trừ tiền mặt) trên lợi nhuận sau tất cả chi phí lãi vay và thuế.</w:t>
      </w:r>
    </w:p>
    <w:p>
      <w:pPr>
        <w:numPr>
          <w:ilvl w:val="1"/>
          <w:numId w:val="169"/>
        </w:numPr>
        <w:pStyle w:val="Para 01"/>
      </w:pPr>
      <w:r>
        <w:t>Hãy giải thích tại sao tỷ lệ này không được ước tính một cách nhất quán.</w:t>
      </w:r>
    </w:p>
    <w:p>
      <w:pPr>
        <w:numPr>
          <w:ilvl w:val="1"/>
          <w:numId w:val="169"/>
        </w:numPr>
        <w:pStyle w:val="Para 01"/>
      </w:pPr>
      <w:r>
        <w:t>Hãy giải thích tại sao điều này có thể là vấn đề khi so sánh các công ty bằng bội số này.</w:t>
      </w:r>
    </w:p>
    <w:p>
      <w:pPr>
        <w:numPr>
          <w:ilvl w:val="0"/>
          <w:numId w:val="169"/>
        </w:numPr>
        <w:pStyle w:val="Para 01"/>
      </w:pPr>
      <w:r>
        <w:t>Chương này đã lưu ý rằng các bội số có phân phối lệch (skewed distributions).</w:t>
      </w:r>
    </w:p>
    <w:p>
      <w:pPr>
        <w:numPr>
          <w:ilvl w:val="1"/>
          <w:numId w:val="169"/>
        </w:numPr>
        <w:pStyle w:val="Para 01"/>
      </w:pPr>
      <w:r>
        <w:t>Phân phối lệch nghĩa là gì?</w:t>
      </w:r>
    </w:p>
    <w:p>
      <w:pPr>
        <w:numPr>
          <w:ilvl w:val="1"/>
          <w:numId w:val="169"/>
        </w:numPr>
        <w:pStyle w:val="Para 01"/>
      </w:pPr>
      <w:r>
        <w:t>Tại sao các bội số thường có phân phối lệch?</w:t>
      </w:r>
    </w:p>
    <w:p>
      <w:pPr>
        <w:numPr>
          <w:ilvl w:val="1"/>
          <w:numId w:val="169"/>
        </w:numPr>
        <w:pStyle w:val="Para 01"/>
      </w:pPr>
      <w:r>
        <w:t>Điều này có hàm ý gì đối với các nhà phân tích khi họ có thể dùng mức trung bình ngành để so sánh các công ty?</w:t>
      </w:r>
    </w:p>
    <w:p>
      <w:pPr>
        <w:numPr>
          <w:ilvl w:val="0"/>
          <w:numId w:val="169"/>
        </w:numPr>
        <w:pStyle w:val="Para 01"/>
      </w:pPr>
      <w:r>
        <w:t>Nói chung, chúng ta không thể tính tỷ lệ PE cho những công ty có lợi nhuận âm. Điều này có hàm ý gì đối với các thống kê như tỷ lệ PE trung bình ngành?</w:t>
      </w:r>
    </w:p>
    <w:p>
      <w:bookmarkStart w:id="3483" w:name="Notes__1_Firms_that_adopt_differ"/>
      <w:bookmarkStart w:id="3484" w:name="Notes_16"/>
      <w:pPr>
        <w:keepNext/>
        <w:pStyle w:val="Heading 2"/>
        <w:keepLines w:val="on"/>
      </w:pPr>
      <w:r>
        <w:t>Ghi chú</w:t>
      </w:r>
      <w:bookmarkEnd w:id="3483"/>
      <w:bookmarkEnd w:id="3484"/>
    </w:p>
    <w:p>
      <w:pPr>
        <w:pStyle w:val="Para 08"/>
      </w:pPr>
      <w:r>
        <w:t>1 Các công ty áp dụng những quy tắc khác nhau cho mục đích báo cáo và mục đích thuế thường báo cáo lợi nhuận cao hơn cho cổ đông so với mức họ báo cáo cho cơ quan thuế. Khi so sánh chúng trên cơ sở giá trên thu nhập (price-earnings) với những công ty không duy trì sổ sách báo cáo và sổ sách thuế khác nhau, chúng sẽ trông có vẻ rẻ hơn (PE thấp hơn).</w:t>
      </w:r>
    </w:p>
    <w:p>
      <w:pPr>
        <w:pStyle w:val="Para 08"/>
      </w:pPr>
      <w:r>
        <w:t>2 Với số trung vị (median), một nửa số công ty trong nhóm nằm dưới giá trị này và một nửa nằm trên.</w:t>
      </w:r>
    </w:p>
    <w:p>
      <w:pPr>
        <w:pStyle w:val="Para 08"/>
      </w:pPr>
      <w:r>
        <w:t>3 Cả hai cách tiếp cận được mô tả đều giả định rằng mối quan hệ giữa một bội số (multiple) và các biến số dẫn dắt giá trị là tuyến tính. Vì điều này không phải lúc nào cũng đúng, bạn có thể phải chạy các phiên bản phi tuyến tính của những hồi quy này.</w:t>
      </w:r>
    </w:p>
    <w:p>
      <w:bookmarkStart w:id="3488" w:name="Top_of_c018_xhtml"/>
      <w:bookmarkStart w:id="3489" w:name="Chapter_18Earnings_Multiples"/>
      <w:bookmarkStart w:id="3490" w:name="Chapter_18Earnings_Multiples__Ea"/>
      <w:pPr>
        <w:keepNext/>
        <w:pStyle w:val="Heading 1"/>
        <w:pageBreakBefore w:val="on"/>
        <w:keepLines w:val="on"/>
      </w:pPr>
      <w:r>
        <w:t>CHƯƠNG 18</w:t>
      </w:r>
      <w:r>
        <w:br/>
      </w:r>
      <w:r>
        <w:t>Bội số thu nhập</w:t>
      </w:r>
      <w:bookmarkEnd w:id="3488"/>
      <w:bookmarkEnd w:id="3489"/>
      <w:bookmarkEnd w:id="3490"/>
    </w:p>
    <w:p>
      <w:pPr>
        <w:pStyle w:val="Para 03"/>
      </w:pPr>
      <w:r>
        <w:t>Bội số thu nhập (earnings multiples) vẫn là thước đo được dùng nhiều nhất cho giá trị tương đối. Ngay cả những người mới bước vào thị trường cũng đã nghe nói đến tỷ số giá trên thu nhập (price earnings ratio), và nhiều nhà chiến lược thị trường đưa ra phán đoán về việc thị trường đang bị định giá thấp hay cao bằng cách nhìn vào tỷ số PE của thị trường so với lịch sử. Các nhà phân tích, khi định giá từng cổ phiếu riêng lẻ, thường dùng tỷ số giá trên thu nhập để lập luận rằng một cổ phiếu đang bị định giá thấp hay cao so với thị trường.</w:t>
      </w:r>
    </w:p>
    <w:p>
      <w:pPr>
        <w:pStyle w:val="Para 03"/>
      </w:pPr>
      <w:r>
        <w:t>Chương này bắt đầu bằng việc xem xét chi tiết tỷ số giá trên thu nhập, rồi chuyển sang xem xét các biến thể của bội số này—tỷ số PEG và PE tương đối. Chương cũng xem xét các bội số dòng tiền (cash flow multiples), và đặc biệt là bội số Giá trị doanh nghiệp trên EBITDA (Enterprise Value to EBITDA) ở phần cuối chương. Quy trình bốn bước được mô tả ở Chương 17 được dùng để xem xét từng bội số này.</w:t>
      </w:r>
    </w:p>
    <w:p>
      <w:bookmarkStart w:id="3492" w:name="Price_Earnings_Ratio"/>
      <w:bookmarkStart w:id="3493" w:name="Price_Earnings_Ratio__The_price"/>
      <w:pPr>
        <w:keepNext/>
        <w:pStyle w:val="Heading 2"/>
        <w:keepLines w:val="on"/>
      </w:pPr>
      <w:r>
        <w:t>Tỷ số giá trên thu nhập</w:t>
      </w:r>
      <w:bookmarkEnd w:id="3492"/>
      <w:bookmarkEnd w:id="3493"/>
    </w:p>
    <w:p>
      <w:pPr>
        <w:pStyle w:val="Para 03"/>
      </w:pPr>
      <w:r>
        <w:t>Bội số giá trên thu nhập (PE) là loại được dùng rộng rãi nhất và cũng bị lạm dụng nhiều nhất trong tất cả các bội số. Tính đơn giản của nó khiến nó trở thành lựa chọn hấp dẫn trong nhiều ứng dụng, từ định giá các đợt phát hành cổ phiếu lần đầu ra công chúng (IPO) đến đưa ra phán đoán về giá trị tương đối, nhưng mối quan hệ của nó với các yếu tố cơ bản về tài chính của một công ty thường bị bỏ qua, dẫn đến những sai sót đáng kể trong ứng dụng. Chương này cung cấp một số hiểu biết về các yếu tố quyết định tỷ số giá trên thu nhập và cách sử dụng chúng tốt nhất trong định giá.</w:t>
      </w:r>
    </w:p>
    <w:p>
      <w:bookmarkStart w:id="3494" w:name="Definitions_of_PE_Ratio__The_pri"/>
      <w:bookmarkStart w:id="3495" w:name="Definitions_of_PE_Ratio"/>
      <w:pPr>
        <w:keepNext/>
        <w:pStyle w:val="Heading 3"/>
        <w:keepLines w:val="on"/>
      </w:pPr>
      <w:r>
        <w:t>Định nghĩa tỷ số PE</w:t>
      </w:r>
      <w:bookmarkEnd w:id="3494"/>
      <w:bookmarkEnd w:id="3495"/>
    </w:p>
    <w:p>
      <w:pPr>
        <w:pStyle w:val="Para 03"/>
      </w:pPr>
      <w:r>
        <w:t>Tỷ số giá trên thu nhập là tỷ số giữa giá thị trường mỗi cổ phần và thu nhập trên mỗi cổ phần:</w:t>
      </w:r>
    </w:p>
    <w:p>
      <w:bookmarkStart w:id="3496" w:name="PE_Market_price_per_shareEarning"/>
      <w:pPr>
        <w:keepNext/>
        <w:pStyle w:val="Para 09"/>
        <w:keepLines w:val="on"/>
      </w:pPr>
      <w:r>
        <w:t>PE=Giá thị trường mỗi cổ phầnThu nhập trên mỗi cổ phần hoặc Giá trị vốn chủ sở hữu thị trườngLợi nhuận ròng</w:t>
      </w:r>
      <w:bookmarkEnd w:id="3496"/>
    </w:p>
    <w:p>
      <w:pPr>
        <w:pStyle w:val="Para 03"/>
      </w:pPr>
      <w:r>
        <w:t>Hai biến thể này sẽ cho ra cùng một giá trị, miễn là số lượng cổ phần dùng để tính các con số trên mỗi cổ phần và vốn hóa thị trường là như nhau. Tỷ số PE được định nghĩa nhất quán, với tử số là giá trị vốn chủ sở hữu trên mỗi cổ phần và mẫu số đo lường thu nhập trên mỗi cổ phần, vốn là thước đo thu nhập của vốn chủ sở hữu. Vấn đề lớn nhất với tỷ số PE là những biến thể của thu nhập trên mỗi cổ phần được dùng để tính bội số này. Ở Chương 17, chúng ta đã thấy rằng tỷ số PE có thể được tính bằng thu nhập trên mỗi cổ phần hiện tại, thu nhập trên mỗi cổ phần của giai đoạn trước (trailing), thu nhập trên mỗi cổ phần dự phóng (forward), thu nhập trên mỗi cổ phần pha loãng hoàn toàn (fully diluted) và thu nhập trên mỗi cổ phần cơ bản (primary).</w:t>
      </w:r>
    </w:p>
    <w:p>
      <w:pPr>
        <w:pStyle w:val="Para 03"/>
      </w:pPr>
      <w:r>
        <w:t>Đặc biệt với những công ty tăng trưởng cao (và rủi ro cao), tỷ số PE có thể rất khác nhau tùy thuộc vào việc dùng thước đo thu nhập trên mỗi cổ phần nào. Điều này có thể được giải thích bởi hai yếu tố:</w:t>
      </w:r>
    </w:p>
    <w:p>
      <w:pPr>
        <w:numPr>
          <w:ilvl w:val="0"/>
          <w:numId w:val="170"/>
        </w:numPr>
        <w:pStyle w:val="Para 01"/>
      </w:pPr>
      <w:r>
        <w:t>Sự biến động của thu nhập trên mỗi cổ phần ở những công ty này. Thu nhập trên mỗi cổ phần dự phóng có thể cao hơn (hoặc thấp hơn) đáng kể so với thu nhập trên mỗi cổ phần của giai đoạn trước, và đến lượt nó, lại có thể khác biệt đáng kể so với thu nhập trên mỗi cổ phần hiện tại.</w:t>
      </w:r>
    </w:p>
    <w:p>
      <w:pPr>
        <w:numPr>
          <w:ilvl w:val="0"/>
          <w:numId w:val="170"/>
        </w:numPr>
        <w:pStyle w:val="Para 01"/>
      </w:pPr>
      <w:r>
        <w:t>Quyền chọn của ban quản lý và cổ phiếu hạn chế. Vì các công ty tăng trưởng cao thường có nhiều quyền chọn cho nhân viên và cổ phiếu hạn chế đang lưu hành hơn hẳn so với số lượng cổ phần, nên sự khác biệt giữa thu nhập trên mỗi cổ phần pha loãng và cơ bản thường rất lớn.</w:t>
      </w:r>
    </w:p>
    <w:p>
      <w:pPr>
        <w:pStyle w:val="Para 03"/>
      </w:pPr>
      <w:r>
        <w:t>Khi so sánh tỷ số PE của các công ty, rất khó để đảm bảo rằng thu nhập trên mỗi cổ phần được ước tính một cách đồng nhất giữa các công ty vì những lý do sau:</w:t>
      </w:r>
    </w:p>
    <w:p>
      <w:pPr>
        <w:numPr>
          <w:ilvl w:val="0"/>
          <w:numId w:val="171"/>
        </w:numPr>
        <w:pStyle w:val="Para 01"/>
      </w:pPr>
      <w:r>
        <w:t>Các công ty thường tăng trưởng bằng cách mua lại các công ty khác, và họ không hạch toán các thương vụ mua lại theo cùng một cách. Mặc dù hiện nay tất cả các công ty đều phải dùng phương pháp hạch toán mua lại (purchase accounting) và ghi nhận lợi thế thương mại (goodwill) như một tài sản, nhưng vẫn có đủ mức độ tùy ý trong quá trình này để tạo ra khác biệt trọng yếu trong lợi nhuận được báo cáo. Những khác biệt này dẫn đến các thước đo thu nhập trên mỗi cổ phần khác nhau và các tỷ số PE khác nhau.</w:t>
      </w:r>
    </w:p>
    <w:p>
      <w:pPr>
        <w:numPr>
          <w:ilvl w:val="0"/>
          <w:numId w:val="171"/>
        </w:numPr>
        <w:pStyle w:val="Para 01"/>
      </w:pPr>
      <w:r>
        <w:t>Việc dùng thu nhập trên mỗi cổ phần pha loãng để ước tính tỷ số PE có thể đưa những cổ phần được bao phủ bởi quyền chọn của ban quản lý vào bội số, nhưng chúng lại đối xử với các quyền chọn đang lãi sâu (deep in-the-money) hay chỉ vừa mới có lãi (slightly in-the-money) như nhau.</w:t>
      </w:r>
    </w:p>
    <w:p>
      <w:pPr>
        <w:numPr>
          <w:ilvl w:val="0"/>
          <w:numId w:val="171"/>
        </w:numPr>
        <w:pStyle w:val="Para 01"/>
      </w:pPr>
      <w:r>
        <w:t>Các công ty thường có quyền tùy ý trong việc ghi nhận chi phí hay vốn hóa các khoản mục, ít nhất là cho mục đích báo cáo. Việc ghi nhận một khoản chi phí vốn (capital expense) như chi phí cho các công ty một cách để dịch chuyển lợi nhuận từ kỳ này sang kỳ khác và gây bất lợi cho những công ty đang tái đầu tư nhiều hơn.</w:t>
      </w:r>
    </w:p>
    <w:p>
      <w:bookmarkStart w:id="3498" w:name="Cross_Sectional_Distribution_of_1"/>
      <w:bookmarkStart w:id="3499" w:name="Cross_Sectional_Distribution_of"/>
      <w:pPr>
        <w:keepNext/>
        <w:pStyle w:val="Heading 3"/>
        <w:keepLines w:val="on"/>
      </w:pPr>
      <w:r>
        <w:t>Phân phối cắt ngang của các tỷ số PE</w:t>
      </w:r>
      <w:bookmarkEnd w:id="3498"/>
      <w:bookmarkEnd w:id="3499"/>
    </w:p>
    <w:p>
      <w:pPr>
        <w:pStyle w:val="Para 03"/>
      </w:pPr>
      <w:r>
        <w:t>Một bước quan trọng khi sử dụng tỷ số PE là hiểu được bội số cắt ngang (cross-sectional multiple) được phân phối như thế nào giữa các công ty trong ngành và trên thị trường. Trong phần này, phân phối của các tỷ số PE trên toàn bộ thị trường sẽ được xem xét.</w:t>
      </w:r>
    </w:p>
    <w:p>
      <w:bookmarkStart w:id="3500" w:name="Market_Distribution__Figure_18_1"/>
      <w:bookmarkStart w:id="3501" w:name="Market_Distribution"/>
      <w:pPr>
        <w:keepNext/>
        <w:pStyle w:val="Heading 4"/>
        <w:keepLines w:val="on"/>
      </w:pPr>
      <w:r>
        <w:t>Phân phối trên thị trường</w:t>
      </w:r>
      <w:bookmarkEnd w:id="3500"/>
      <w:bookmarkEnd w:id="3501"/>
    </w:p>
    <w:p>
      <w:pPr>
        <w:pStyle w:val="Para 03"/>
      </w:pPr>
      <w:r>
        <w:t>Hình 18.1 trình bày phân phối các tỷ số PE của cổ phiếu Mỹ vào tháng 1 năm 2024. Tỷ số PE hiện tại, PE của giai đoạn trước và PE dự phóng đều được trình bày trong hình này.</w:t>
      </w:r>
    </w:p>
    <w:p>
      <w:bookmarkStart w:id="3503" w:name="Figure_18_1_PE_Ratios_for_U_S__C"/>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76500" cy="1917700"/>
            <wp:effectExtent l="0" r="0" t="0" b="0"/>
            <wp:wrapTopAndBottom/>
            <wp:docPr id="154" name="c18f001.png" descr="Multiple bar graph plots increasing and decreasing trend of current P E, trailing P E, and forward P E for U S companies in January 2024."/>
            <wp:cNvGraphicFramePr>
              <a:graphicFrameLocks noChangeAspect="1"/>
            </wp:cNvGraphicFramePr>
            <a:graphic>
              <a:graphicData uri="http://schemas.openxmlformats.org/drawingml/2006/picture">
                <pic:pic>
                  <pic:nvPicPr>
                    <pic:cNvPr id="0" name="c18f001.png" descr="Multiple bar graph plots increasing and decreasing trend of current P E, trailing P E, and forward P E for U S companies in January 2024."/>
                    <pic:cNvPicPr/>
                  </pic:nvPicPr>
                  <pic:blipFill>
                    <a:blip r:embed="rId109"/>
                    <a:stretch>
                      <a:fillRect/>
                    </a:stretch>
                  </pic:blipFill>
                  <pic:spPr>
                    <a:xfrm>
                      <a:off x="0" y="0"/>
                      <a:ext cx="2476500" cy="1917700"/>
                    </a:xfrm>
                    <a:prstGeom prst="rect">
                      <a:avLst/>
                    </a:prstGeom>
                  </pic:spPr>
                </pic:pic>
              </a:graphicData>
            </a:graphic>
          </wp:anchor>
        </w:drawing>
      </w:r>
      <w:bookmarkEnd w:id="3503"/>
    </w:p>
    <w:p>
      <w:pPr>
        <w:keepNext/>
        <w:pStyle w:val="Para 22"/>
        <w:keepLines w:val="on"/>
      </w:pPr>
      <w:r>
        <w:t>Hình 18.1 Tỷ số PE của các công ty Mỹ—Tháng 1 năm 2024</w:t>
      </w:r>
    </w:p>
    <w:p>
      <w:pPr>
        <w:pStyle w:val="Para 03"/>
      </w:pPr>
      <w:r>
        <w:t>Bảng 18.1 trình bày các thống kê tóm tắt về cả ba thước đo của tỷ số giá trên thu nhập, bắt đầu với giá trị trung bình và trung vị, cùng các giá trị phân vị thứ 25 và thứ 75.</w:t>
      </w:r>
    </w:p>
    <w:p>
      <w:pPr>
        <w:pStyle w:val="Para 34"/>
        <w:keepLines w:val="on"/>
      </w:pPr>
      <w:r>
        <w:t>BẢNG 18.1</w:t>
      </w:r>
    </w:p>
    <w:p>
      <w:pPr>
        <w:keepNext/>
        <w:pStyle w:val="Para 35"/>
        <w:keepLines w:val="on"/>
      </w:pPr>
      <w:r>
        <w:t>Phân phối tỷ số PE — Các công ty Mỹ vào tháng 1 năm 2024</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17"/>
                    <w:keepLines w:val="on"/>
                  </w:pPr>
                  <w:r>
                    <w:t>PE hiện tại</w:t>
                  </w:r>
                </w:p>
              </w:tc>
              <w:tc>
                <w:tcPr>
                  <w:tcW w:type="auto" w:w="0"/>
                  <w:shd w:val="clear" w:color="auto" w:fill="F0F0F0"/>
                </w:tcPr>
                <w:p>
                  <w:pPr>
                    <w:pStyle w:val="Para 17"/>
                    <w:keepLines w:val="on"/>
                  </w:pPr>
                  <w:r>
                    <w:t>PE quá khứ</w:t>
                  </w:r>
                </w:p>
              </w:tc>
              <w:tc>
                <w:tcPr>
                  <w:tcW w:type="auto" w:w="0"/>
                  <w:shd w:val="clear" w:color="auto" w:fill="F0F0F0"/>
                </w:tcPr>
                <w:p>
                  <w:pPr>
                    <w:pStyle w:val="Para 17"/>
                    <w:keepLines w:val="on"/>
                  </w:pPr>
                  <w:r>
                    <w:t>PE dự phóng</w:t>
                  </w:r>
                </w:p>
              </w:tc>
            </w:tr>
            <w:tr>
              <w:tc>
                <w:tcPr>
                  <w:tcW w:type="auto" w:w="0"/>
                  <w:shd w:val="clear" w:color="auto" w:fill="F0F0F0"/>
                </w:tcPr>
                <w:p>
                  <w:pPr>
                    <w:pStyle w:val="Para 02"/>
                    <w:keepLines w:val="on"/>
                  </w:pPr>
                  <w:r>
                    <w:t>Trung bình</w:t>
                  </w:r>
                </w:p>
              </w:tc>
              <w:tc>
                <w:tcPr>
                  <w:tcW w:type="auto" w:w="0"/>
                  <w:shd w:val="clear" w:color="auto" w:fill="F0F0F0"/>
                </w:tcPr>
                <w:p>
                  <w:pPr>
                    <w:pStyle w:val="Normal"/>
                    <w:keepLines w:val="on"/>
                  </w:pPr>
                  <w:r>
                    <w:t>121,65</w:t>
                  </w:r>
                </w:p>
              </w:tc>
              <w:tc>
                <w:tcPr>
                  <w:tcW w:type="auto" w:w="0"/>
                  <w:shd w:val="clear" w:color="auto" w:fill="F0F0F0"/>
                </w:tcPr>
                <w:p>
                  <w:pPr>
                    <w:pStyle w:val="Normal"/>
                    <w:keepLines w:val="on"/>
                  </w:pPr>
                  <w:r>
                    <w:t>52,28</w:t>
                  </w:r>
                </w:p>
              </w:tc>
              <w:tc>
                <w:tcPr>
                  <w:tcW w:type="auto" w:w="0"/>
                  <w:shd w:val="clear" w:color="auto" w:fill="F0F0F0"/>
                </w:tcPr>
                <w:p>
                  <w:pPr>
                    <w:pStyle w:val="Normal"/>
                    <w:keepLines w:val="on"/>
                  </w:pPr>
                  <w:r>
                    <w:t>31,98</w:t>
                  </w:r>
                </w:p>
              </w:tc>
            </w:tr>
            <w:tr>
              <w:tc>
                <w:tcPr>
                  <w:tcW w:type="auto" w:w="0"/>
                  <w:shd w:val="clear" w:color="auto" w:fill="F0F0F0"/>
                </w:tcPr>
                <w:p>
                  <w:pPr>
                    <w:pStyle w:val="Para 02"/>
                    <w:keepLines w:val="on"/>
                  </w:pPr>
                  <w:r>
                    <w:t>Tứ phân vị thứ nhất</w:t>
                  </w:r>
                </w:p>
              </w:tc>
              <w:tc>
                <w:tcPr>
                  <w:tcW w:type="auto" w:w="0"/>
                  <w:shd w:val="clear" w:color="auto" w:fill="F0F0F0"/>
                </w:tcPr>
                <w:p>
                  <w:pPr>
                    <w:pStyle w:val="Normal"/>
                    <w:keepLines w:val="on"/>
                  </w:pPr>
                  <w:r>
                    <w:t>8,19</w:t>
                  </w:r>
                </w:p>
              </w:tc>
              <w:tc>
                <w:tcPr>
                  <w:tcW w:type="auto" w:w="0"/>
                  <w:shd w:val="clear" w:color="auto" w:fill="F0F0F0"/>
                </w:tcPr>
                <w:p>
                  <w:pPr>
                    <w:pStyle w:val="Normal"/>
                    <w:keepLines w:val="on"/>
                  </w:pPr>
                  <w:r>
                    <w:t>9,34</w:t>
                  </w:r>
                </w:p>
              </w:tc>
              <w:tc>
                <w:tcPr>
                  <w:tcW w:type="auto" w:w="0"/>
                  <w:shd w:val="clear" w:color="auto" w:fill="F0F0F0"/>
                </w:tcPr>
                <w:p>
                  <w:pPr>
                    <w:pStyle w:val="Normal"/>
                    <w:keepLines w:val="on"/>
                  </w:pPr>
                  <w:r>
                    <w:t>11,19</w:t>
                  </w:r>
                </w:p>
              </w:tc>
            </w:tr>
            <w:tr>
              <w:tc>
                <w:tcPr>
                  <w:tcW w:type="auto" w:w="0"/>
                  <w:shd w:val="clear" w:color="auto" w:fill="F0F0F0"/>
                </w:tcPr>
                <w:p>
                  <w:pPr>
                    <w:pStyle w:val="Para 02"/>
                    <w:keepLines w:val="on"/>
                  </w:pPr>
                  <w:r>
                    <w:t>Trung vị</w:t>
                  </w:r>
                </w:p>
              </w:tc>
              <w:tc>
                <w:tcPr>
                  <w:tcW w:type="auto" w:w="0"/>
                  <w:shd w:val="clear" w:color="auto" w:fill="F0F0F0"/>
                </w:tcPr>
                <w:p>
                  <w:pPr>
                    <w:pStyle w:val="Normal"/>
                    <w:keepLines w:val="on"/>
                  </w:pPr>
                  <w:r>
                    <w:t>14,95</w:t>
                  </w:r>
                </w:p>
              </w:tc>
              <w:tc>
                <w:tcPr>
                  <w:tcW w:type="auto" w:w="0"/>
                  <w:shd w:val="clear" w:color="auto" w:fill="F0F0F0"/>
                </w:tcPr>
                <w:p>
                  <w:pPr>
                    <w:pStyle w:val="Normal"/>
                    <w:keepLines w:val="on"/>
                  </w:pPr>
                  <w:r>
                    <w:t>17,08</w:t>
                  </w:r>
                </w:p>
              </w:tc>
              <w:tc>
                <w:tcPr>
                  <w:tcW w:type="auto" w:w="0"/>
                  <w:shd w:val="clear" w:color="auto" w:fill="F0F0F0"/>
                </w:tcPr>
                <w:p>
                  <w:pPr>
                    <w:pStyle w:val="Normal"/>
                    <w:keepLines w:val="on"/>
                  </w:pPr>
                  <w:r>
                    <w:t>16,85</w:t>
                  </w:r>
                </w:p>
              </w:tc>
            </w:tr>
            <w:tr>
              <w:tc>
                <w:tcPr>
                  <w:tcW w:type="auto" w:w="0"/>
                  <w:shd w:val="clear" w:color="auto" w:fill="F0F0F0"/>
                </w:tcPr>
                <w:p>
                  <w:pPr>
                    <w:pStyle w:val="Para 02"/>
                    <w:keepLines w:val="on"/>
                  </w:pPr>
                  <w:r>
                    <w:t>Tứ phân vị thứ ba</w:t>
                  </w:r>
                </w:p>
              </w:tc>
              <w:tc>
                <w:tcPr>
                  <w:tcW w:type="auto" w:w="0"/>
                  <w:shd w:val="clear" w:color="auto" w:fill="F0F0F0"/>
                </w:tcPr>
                <w:p>
                  <w:pPr>
                    <w:pStyle w:val="Normal"/>
                    <w:keepLines w:val="on"/>
                  </w:pPr>
                  <w:r>
                    <w:t>29,89</w:t>
                  </w:r>
                </w:p>
              </w:tc>
              <w:tc>
                <w:tcPr>
                  <w:tcW w:type="auto" w:w="0"/>
                  <w:shd w:val="clear" w:color="auto" w:fill="F0F0F0"/>
                </w:tcPr>
                <w:p>
                  <w:pPr>
                    <w:pStyle w:val="Normal"/>
                    <w:keepLines w:val="on"/>
                  </w:pPr>
                  <w:r>
                    <w:t>32,71</w:t>
                  </w:r>
                </w:p>
              </w:tc>
              <w:tc>
                <w:tcPr>
                  <w:tcW w:type="auto" w:w="0"/>
                  <w:shd w:val="clear" w:color="auto" w:fill="F0F0F0"/>
                </w:tcPr>
                <w:p>
                  <w:pPr>
                    <w:pStyle w:val="Normal"/>
                    <w:keepLines w:val="on"/>
                  </w:pPr>
                  <w:r>
                    <w:t>27,20</w:t>
                  </w:r>
                </w:p>
              </w:tc>
            </w:tr>
            <w:tr>
              <w:tc>
                <w:tcPr>
                  <w:tcW w:type="auto" w:w="0"/>
                  <w:shd w:val="clear" w:color="auto" w:fill="F0F0F0"/>
                </w:tcPr>
                <w:p>
                  <w:pPr>
                    <w:pStyle w:val="Para 02"/>
                    <w:keepLines w:val="on"/>
                  </w:pPr>
                  <w:r>
                    <w:t>Giá trị lớn nhất</w:t>
                  </w:r>
                </w:p>
              </w:tc>
              <w:tc>
                <w:tcPr>
                  <w:tcW w:type="auto" w:w="0"/>
                  <w:shd w:val="clear" w:color="auto" w:fill="F0F0F0"/>
                </w:tcPr>
                <w:p>
                  <w:pPr>
                    <w:pStyle w:val="Normal"/>
                    <w:keepLines w:val="on"/>
                  </w:pPr>
                  <w:r>
                    <w:t>103000,00</w:t>
                  </w:r>
                </w:p>
              </w:tc>
              <w:tc>
                <w:tcPr>
                  <w:tcW w:type="auto" w:w="0"/>
                  <w:shd w:val="clear" w:color="auto" w:fill="F0F0F0"/>
                </w:tcPr>
                <w:p>
                  <w:pPr>
                    <w:pStyle w:val="Normal"/>
                    <w:keepLines w:val="on"/>
                  </w:pPr>
                  <w:r>
                    <w:t>6471,43</w:t>
                  </w:r>
                </w:p>
              </w:tc>
              <w:tc>
                <w:tcPr>
                  <w:tcW w:type="auto" w:w="0"/>
                  <w:shd w:val="clear" w:color="auto" w:fill="F0F0F0"/>
                </w:tcPr>
                <w:p>
                  <w:pPr>
                    <w:pStyle w:val="Normal"/>
                    <w:keepLines w:val="on"/>
                  </w:pPr>
                  <w:r>
                    <w:t>2183,33</w:t>
                  </w:r>
                </w:p>
              </w:tc>
            </w:tr>
            <w:tr>
              <w:tc>
                <w:tcPr>
                  <w:tcW w:type="auto" w:w="0"/>
                  <w:shd w:val="clear" w:color="auto" w:fill="F0F0F0"/>
                </w:tcPr>
                <w:p>
                  <w:pPr>
                    <w:pStyle w:val="Para 02"/>
                    <w:keepLines w:val="on"/>
                  </w:pPr>
                  <w:r>
                    <w:t>Số lượng với PE</w:t>
                  </w:r>
                </w:p>
              </w:tc>
              <w:tc>
                <w:tcPr>
                  <w:tcW w:type="auto" w:w="0"/>
                  <w:shd w:val="clear" w:color="auto" w:fill="F0F0F0"/>
                </w:tcPr>
                <w:p>
                  <w:pPr>
                    <w:pStyle w:val="Normal"/>
                    <w:keepLines w:val="on"/>
                  </w:pPr>
                  <w:r>
                    <w:t>2817</w:t>
                  </w:r>
                </w:p>
              </w:tc>
              <w:tc>
                <w:tcPr>
                  <w:tcW w:type="auto" w:w="0"/>
                  <w:shd w:val="clear" w:color="auto" w:fill="F0F0F0"/>
                </w:tcPr>
                <w:p>
                  <w:pPr>
                    <w:pStyle w:val="Normal"/>
                    <w:keepLines w:val="on"/>
                  </w:pPr>
                  <w:r>
                    <w:t>2779</w:t>
                  </w:r>
                </w:p>
              </w:tc>
              <w:tc>
                <w:tcPr>
                  <w:tcW w:type="auto" w:w="0"/>
                  <w:shd w:val="clear" w:color="auto" w:fill="F0F0F0"/>
                </w:tcPr>
                <w:p>
                  <w:pPr>
                    <w:pStyle w:val="Normal"/>
                    <w:keepLines w:val="on"/>
                  </w:pPr>
                  <w:r>
                    <w:t>2363</w:t>
                  </w:r>
                </w:p>
              </w:tc>
            </w:tr>
            <w:tr>
              <w:tc>
                <w:tcPr>
                  <w:tcW w:type="auto" w:w="0"/>
                  <w:shd w:val="clear" w:color="auto" w:fill="F0F0F0"/>
                </w:tcPr>
                <w:p>
                  <w:pPr>
                    <w:pStyle w:val="Para 02"/>
                    <w:keepLines w:val="on"/>
                  </w:pPr>
                  <w:r>
                    <w:t>Số lượng bị thiếu</w:t>
                  </w:r>
                </w:p>
              </w:tc>
              <w:tc>
                <w:tcPr>
                  <w:tcW w:type="auto" w:w="0"/>
                  <w:shd w:val="clear" w:color="auto" w:fill="F0F0F0"/>
                </w:tcPr>
                <w:p>
                  <w:pPr>
                    <w:pStyle w:val="Normal"/>
                    <w:keepLines w:val="on"/>
                  </w:pPr>
                  <w:r>
                    <w:t>3601</w:t>
                  </w:r>
                </w:p>
              </w:tc>
              <w:tc>
                <w:tcPr>
                  <w:tcW w:type="auto" w:w="0"/>
                  <w:shd w:val="clear" w:color="auto" w:fill="F0F0F0"/>
                </w:tcPr>
                <w:p>
                  <w:pPr>
                    <w:pStyle w:val="Normal"/>
                    <w:keepLines w:val="on"/>
                  </w:pPr>
                  <w:r>
                    <w:t>3639</w:t>
                  </w:r>
                </w:p>
              </w:tc>
              <w:tc>
                <w:tcPr>
                  <w:tcW w:type="auto" w:w="0"/>
                  <w:shd w:val="clear" w:color="auto" w:fill="F0F0F0"/>
                </w:tcPr>
                <w:p>
                  <w:pPr>
                    <w:pStyle w:val="Normal"/>
                    <w:keepLines w:val="on"/>
                  </w:pPr>
                  <w:r>
                    <w:t>4055</w:t>
                  </w:r>
                </w:p>
              </w:tc>
            </w:tr>
          </w:tbl>
          <w:p/>
        </w:tc>
      </w:tr>
    </w:tbl>
    <w:p>
      <w:pPr>
        <w:pStyle w:val="Para 03"/>
      </w:pPr>
      <w:r>
        <w:t>Nhìn vào cả ba thước đo của tỷ lệ PE, giá trị trung bình luôn cao hơn trung vị, phản ánh thực tế rằng tỷ lệ PE có thể là những con số rất cao nhưng không thể nhỏ hơn không. Thực tế, với tỷ lệ PE hiện tại, có một công ty có tỷ lệ PE là 103.000, kéo giá trị trung bình lên cao. Tỷ lệ PE hiện tại cũng cao hơn tỷ lệ PE trailing (dựa trên thu nhập quá khứ), và đến lượt chúng, thường cao hơn tỷ lệ PE forward (dựa trên thu nhập dự báo), phản ánh thực tế rằng thu nhập dự báo được kỳ vọng sẽ cao hơn thu nhập quá khứ. Cuối cùng, hãy lưu ý số lượng công ty mà tỷ lệ PE không thể tính được. Với cả ba thước đo của tỷ lệ PE, các công ty có thu nhập trên mỗi cổ phần âm sẽ có tỷ lệ PE không có ý nghĩa. Sự sụt giảm thêm về số lượng công ty với tỷ lệ PE forward đến từ thực tế rằng những công ty không được các nhà phân tích theo dõi sẽ không có ước tính thu nhập dự báo.</w:t>
      </w:r>
    </w:p>
    <w:p>
      <w:pPr>
        <w:pStyle w:val="Para 03"/>
      </w:pPr>
      <w:r>
        <w:t>Trong khi các con số trong Hình 18.1 và bảng được dựa trên chỉ các công ty Hoa Kỳ vào đầu năm 2024, việc mở rộng phân tích để nhìn vào cổ phiếu toàn cầu không làm thay đổi các đặc điểm phân phối. Trong Hình 18.2, chúng ta xem xét phân phối tỷ lệ PE cho cổ phiếu toàn cầu, so với cổ phiếu Hoa Kỳ và thị trường mới nổi, và báo cáo các số liệu thống kê cho các khu vực địa lý:</w:t>
      </w:r>
    </w:p>
    <w:p>
      <w:bookmarkStart w:id="3508" w:name="Figure_18_2_PE_Ratios_for_Global"/>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866900"/>
            <wp:effectExtent l="0" r="0" t="0" b="0"/>
            <wp:wrapTopAndBottom/>
            <wp:docPr id="155" name="c18f002.png" descr="Multiple bar graph and table denote the data of P E ratios for global companies in January 2024."/>
            <wp:cNvGraphicFramePr>
              <a:graphicFrameLocks noChangeAspect="1"/>
            </wp:cNvGraphicFramePr>
            <a:graphic>
              <a:graphicData uri="http://schemas.openxmlformats.org/drawingml/2006/picture">
                <pic:pic>
                  <pic:nvPicPr>
                    <pic:cNvPr id="0" name="c18f002.png" descr="Multiple bar graph and table denote the data of P E ratios for global companies in January 2024."/>
                    <pic:cNvPicPr/>
                  </pic:nvPicPr>
                  <pic:blipFill>
                    <a:blip r:embed="rId110"/>
                    <a:stretch>
                      <a:fillRect/>
                    </a:stretch>
                  </pic:blipFill>
                  <pic:spPr>
                    <a:xfrm>
                      <a:off x="0" y="0"/>
                      <a:ext cx="2438400" cy="1866900"/>
                    </a:xfrm>
                    <a:prstGeom prst="rect">
                      <a:avLst/>
                    </a:prstGeom>
                  </pic:spPr>
                </pic:pic>
              </a:graphicData>
            </a:graphic>
          </wp:anchor>
        </w:drawing>
      </w:r>
      <w:bookmarkEnd w:id="3508"/>
    </w:p>
    <w:p>
      <w:pPr>
        <w:keepNext/>
        <w:pStyle w:val="Para 22"/>
        <w:keepLines w:val="on"/>
      </w:pPr>
      <w:r>
        <w:t>Hình 18.2 Tỷ lệ PE cho các công ty toàn cầu—Tháng 1 năm 2024</w:t>
      </w:r>
    </w:p>
    <w:p>
      <w:pPr>
        <w:pStyle w:val="Para 03"/>
      </w:pPr>
      <w:r>
        <w:t>Cả ba phân phối (Hoa Kỳ, toàn cầu, thị trường mới nổi) đều có cùng độ lệch—với đỉnh nằm về phía bên trái của phân phối và đuôi dương dài về phía bên phải. Các giá trị trung vị khác nhau giữa các khu vực địa lý, với cổ phiếu Đông Âu và Mỹ Latinh giao dịch ở bội số thu nhập thấp nhất, còn Trung Quốc và Ấn Độ giao dịch ở bội số cao nhất, nhóm trước có lẽ vì chúng được coi là rủi ro và nhóm sau vì tiềm năng tăng trưởng cao.</w:t>
      </w:r>
    </w:p>
    <w:p>
      <w:pPr>
        <w:pStyle w:val="Para 11"/>
      </w:pPr>
      <w:r>
        <w:t xml:space="preserve"> </w:t>
      </w:r>
    </w:p>
    <w:p>
      <w:bookmarkStart w:id="3509" w:name="pedata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56"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3509"/>
    </w:p>
    <w:p>
      <w:pPr>
        <w:pStyle w:val="Para 31"/>
        <w:keepLines w:val="on"/>
      </w:pPr>
      <w:r>
        <w:t>pedata.xls: Bộ dữ liệu này trên web tóm tắt tỷ lệ giá trên thu nhập và các yếu tố cơ bản theo nhóm ngành ở Hoa Kỳ cho năm gần nhất</w:t>
      </w:r>
    </w:p>
    <w:p>
      <w:pPr>
        <w:pStyle w:val="Para 03"/>
        <w:keepLines w:val="on"/>
      </w:pPr>
      <w:r>
        <w:t>.</w:t>
      </w:r>
    </w:p>
    <w:p>
      <w:pPr>
        <w:pStyle w:val="Para 20"/>
      </w:pPr>
      <w:r>
        <w:rPr>
          <w:rStyle w:val="Text26"/>
        </w:rPr>
        <w:bookmarkStart w:id="3510" w:name="Page_537"/>
        <w:t/>
        <w:bookmarkEnd w:id="3510"/>
      </w:r>
      <w:r>
        <w:t xml:space="preserve"> </w:t>
      </w:r>
    </w:p>
    <w:p>
      <w:bookmarkStart w:id="3511" w:name="Determinants_of_the_PE_Ratio__In"/>
      <w:bookmarkStart w:id="3512" w:name="Determinants_of_the_PE_Ratio"/>
      <w:pPr>
        <w:keepNext/>
        <w:pStyle w:val="Heading 3"/>
        <w:keepLines w:val="on"/>
      </w:pPr>
      <w:r>
        <w:t>Các yếu tố quyết định tỷ lệ PE</w:t>
      </w:r>
      <w:bookmarkEnd w:id="3511"/>
      <w:bookmarkEnd w:id="3512"/>
    </w:p>
    <w:p>
      <w:pPr>
        <w:pStyle w:val="Para 03"/>
      </w:pPr>
      <w:r>
        <w:t>Trong Chương 17, các yếu tố cơ bản quyết định bội số đã được rút ra bằng cách sử dụng mô hình dòng tiền chiết khấu (discounted cash flow)—một mô hình vốn cổ phần như mô hình chiết khấu cổ tức cho các bội số vốn cổ phần và một mô hình giá trị doanh nghiệp cho các bội số doanh nghiệp. Tỷ lệ giá trên thu nhập, là một bội số vốn cổ phần, có thể được phân tích bằng cách sử dụng mô hình định giá vốn cổ phần. Trong phần này, các yếu tố cơ bản quyết định tỷ lệ giá trên thu nhập cho một công ty tăng trưởng cao sẽ được phân tích.</w:t>
      </w:r>
    </w:p>
    <w:p>
      <w:bookmarkStart w:id="3513" w:name="Discounted_Cash_Flow_Model_Persp_1"/>
      <w:bookmarkStart w:id="3514" w:name="Discounted_Cash_Flow_Model_Persp"/>
      <w:pPr>
        <w:keepNext/>
        <w:pStyle w:val="Heading 4"/>
        <w:keepLines w:val="on"/>
      </w:pPr>
      <w:r>
        <w:t>Góc nhìn từ mô hình dòng tiền chiết khấu về tỷ lệ PE</w:t>
      </w:r>
      <w:bookmarkEnd w:id="3513"/>
      <w:bookmarkEnd w:id="3514"/>
    </w:p>
    <w:p>
      <w:pPr>
        <w:pStyle w:val="Para 03"/>
      </w:pPr>
      <w:r>
        <w:t>Trong Chương 17, chúng ta đã rút ra tỷ lệ PE cho một công ty tăng trưởng ổn định từ mô hình chiết khấu cổ tức tăng trưởng ổn định:</w:t>
      </w:r>
    </w:p>
    <w:p>
      <w:bookmarkStart w:id="3515" w:name="Trailing_PE_Payout_ratio__1_g__C"/>
      <w:pPr>
        <w:keepNext/>
        <w:pStyle w:val="Para 09"/>
        <w:keepLines w:val="on"/>
      </w:pPr>
      <w:r>
        <w:t>PE trailing=Tỷ lệ chi trả cổ tức (1+g)(Chi phí vốn cổ phần−Tỷ lệ tăng trưởng ổn định)</w:t>
      </w:r>
      <w:bookmarkEnd w:id="3515"/>
    </w:p>
    <w:p>
      <w:pPr>
        <w:pStyle w:val="Para 03"/>
      </w:pPr>
      <w:r>
        <w:t>Nếu tỷ lệ PE được biểu thị theo thu nhập dự kiến trong giai đoạn tiếp theo, điều này có thể được đơn giản hóa thành:</w:t>
      </w:r>
    </w:p>
    <w:p>
      <w:bookmarkStart w:id="3516" w:name="Forward_PE_Payout_ratio_Cost_of"/>
      <w:pPr>
        <w:keepNext/>
        <w:pStyle w:val="Para 09"/>
        <w:keepLines w:val="on"/>
      </w:pPr>
      <w:r>
        <w:t>PE forward=Tỷ lệ chi trả cổ tức(Chi phí vốn cổ phần−Tỷ lệ tăng trưởng ổn định)</w:t>
      </w:r>
      <w:bookmarkEnd w:id="3516"/>
    </w:p>
    <w:p>
      <w:pPr>
        <w:pStyle w:val="Para 03"/>
      </w:pPr>
      <w:r>
        <w:t>Tỷ lệ PE là một hàm tăng theo tỷ lệ chi trả cổ tức và tỷ lệ tăng trưởng, và là một hàm giảm theo mức độ rủi ro của công ty. Thực tế, chúng ta có thể biểu thị tỷ lệ chi trả cổ tức như một hàm của tỷ lệ tăng trưởng kỳ vọng (gn) và tỷ suất sinh lời trên vốn cổ phần (ROEn):</w:t>
      </w:r>
    </w:p>
    <w:p>
      <w:bookmarkStart w:id="3517" w:name="Payout_ratio_1_Stable_growth_rat"/>
      <w:pPr>
        <w:keepNext/>
        <w:pStyle w:val="Para 09"/>
        <w:keepLines w:val="on"/>
      </w:pPr>
      <w:r>
        <w:t>Tỷ lệ chi trả cổ tức=1−Tỷ lệ tăng trưởng ổn địnhTỷ suất sinh lời trên vốn cổ phần=1−gnROEn</w:t>
      </w:r>
      <w:bookmarkEnd w:id="3517"/>
    </w:p>
    <w:p>
      <w:pPr>
        <w:pStyle w:val="Para 03"/>
      </w:pPr>
      <w:r>
        <w:t>Thay thế trở lại vào phương trình,</w:t>
      </w:r>
    </w:p>
    <w:p>
      <w:bookmarkStart w:id="3518" w:name="Forward_PE_1___gnROEn_Cost_of_eq"/>
      <w:pPr>
        <w:keepNext/>
        <w:pStyle w:val="Para 09"/>
        <w:keepLines w:val="on"/>
      </w:pPr>
      <w:r>
        <w:t>PE forward=1−gnROEn(Chi phí vốn cổ phần−Tỷ lệ tăng trưởng ổn định)</w:t>
      </w:r>
      <w:bookmarkEnd w:id="3518"/>
    </w:p>
    <w:p>
      <w:pPr>
        <w:pStyle w:val="Para 03"/>
      </w:pPr>
      <w:r>
        <w:t>Tỷ số giá trên thu nhập (price-earnings ratio) của một công ty tăng trưởng cao cũng có thể được gắn với các yếu tố nền tảng. Dùng mô hình chiết khấu cổ tức hai giai đoạn (two-stage dividend discount model), mối quan hệ này có thể được thể hiện rõ ràng một cách đơn giản. Khi một công ty được kỳ vọng sẽ tăng trưởng cao trong n năm tới và tăng trưởng ổn định sau đó, mô hình chiết khấu cổ tức có thể được viết như sau:</w:t>
      </w:r>
    </w:p>
    <w:p>
      <w:pPr>
        <w:pStyle w:val="Para 20"/>
      </w:pPr>
      <w:r>
        <w:rPr>
          <w:rStyle w:val="Text26"/>
        </w:rPr>
        <w:bookmarkStart w:id="3519" w:name="Page_538"/>
        <w:t/>
        <w:bookmarkEnd w:id="3519"/>
      </w:r>
      <w:r>
        <w:t xml:space="preserve"> </w:t>
      </w:r>
    </w:p>
    <w:p>
      <w:bookmarkStart w:id="3520" w:name="Value_per_share0_EPS1xPayout_rat"/>
      <w:pPr>
        <w:keepNext/>
        <w:pStyle w:val="Para 09"/>
        <w:keepLines w:val="on"/>
      </w:pPr>
      <w:r>
        <w:t>Giá trị trên mỗi cổ phần0=EPS1×Tỷ lệ chi trả×(1−(1+g)n(1+ke,hg)n)(ke,hg−g)+ EPSn+1×Tỷ lệ chi trảst(ke,st−gst)(1+ke,hg)n</w:t>
      </w:r>
      <w:bookmarkEnd w:id="3520"/>
    </w:p>
    <w:p>
      <w:bookmarkStart w:id="3521" w:name="whereEPS0_Earnings_per_share_in"/>
      <w:pPr>
        <w:pStyle w:val="Para 39"/>
      </w:pPr>
      <w:r>
        <w:t>trong đóEPS0=Thu nhập trên mỗi cổ phần trong năm hiện tại (năm 0)g=Tốc độ tăng trưởng EPS trong n năm đầuke,hg =Chi phí vốn cổ phần trong giai đoạn tăng trưởng caoke,st=Chi phí vốn cổ phần trong giai đoạn tăng trưởng ổn định Payout=Tỷ lệ chi trả trong n năm đầugst=Tốc độ tăng trưởng ổn định Payoutst=Tỷ lệ chi trả trong giai đoạn tăng trưởng ổn định</w:t>
      </w:r>
      <w:bookmarkEnd w:id="3521"/>
    </w:p>
    <w:p>
      <w:pPr>
        <w:pStyle w:val="Para 03"/>
      </w:pPr>
      <w:r>
        <w:t>Đưa EPS0 sang vế trái của phương trình, ta có thể rút ra các phương trình giá trị nội tại (intrinsic value) cho cả tỷ số PE theo thu nhập quá khứ (trailing PE) và tỷ số PE theo thu nhập dự phóng (forward PE):</w:t>
      </w:r>
    </w:p>
    <w:p>
      <w:bookmarkStart w:id="3522" w:name="Trailing_PE_Payout_ratio__1_g_1"/>
      <w:pPr>
        <w:keepNext/>
        <w:pStyle w:val="Para 09"/>
        <w:keepLines w:val="on"/>
      </w:pPr>
      <w:r>
        <w:t>Trailing PE=Tỷ lệ chi trả (1+g)1−(1+g)n(1+ke,hg)nke,hg−g+(1+g)n1+gstTỷ lệ chi trảstke,st−gst(1+ke,hg)n</w:t>
      </w:r>
      <w:bookmarkEnd w:id="3522"/>
    </w:p>
    <w:p>
      <w:bookmarkStart w:id="3523" w:name="Forward_PE_Payout_ratio_1____1_g"/>
      <w:pPr>
        <w:keepNext/>
        <w:pStyle w:val="Para 09"/>
        <w:keepLines w:val="on"/>
      </w:pPr>
      <w:r>
        <w:t>Forward PE=Tỷ lệ chi trả(1−(1+g)n(1+ke,hg)n)(ke,hg−g)+(1+g)n−1(1+gst)Tỷ lệ chi trảst(ke,st−gst)(1+ke,hg)n</w:t>
      </w:r>
      <w:bookmarkEnd w:id="3523"/>
    </w:p>
    <w:p>
      <w:pPr>
        <w:pStyle w:val="Para 03"/>
      </w:pPr>
      <w:r>
        <w:t>Ở đây một lần nữa, ta có thể thay vào phương trình nền tảng liên hệ ROE với tỷ lệ chi trả:</w:t>
      </w:r>
    </w:p>
    <w:p>
      <w:bookmarkStart w:id="3524" w:name="Forward_PE__1___gROEhg__1____1_g"/>
      <w:pPr>
        <w:keepNext/>
        <w:pStyle w:val="Para 09"/>
        <w:keepLines w:val="on"/>
      </w:pPr>
      <w:r>
        <w:t>Forward PE=(1−gROEhg)(1−(1+g)n(1+ke,hg)n)(ke,hg−g)+(1+g)n−1(1+gst)(1−gstROEst)(ke,st−gst)(1+ke,hg)n</w:t>
      </w:r>
      <w:bookmarkEnd w:id="3524"/>
    </w:p>
    <w:p>
      <w:pPr>
        <w:pStyle w:val="Para 03"/>
      </w:pPr>
      <w:r>
        <w:t>trong đó ROEhg là lợi nhuận trên vốn cổ phần (return on equity) trong giai đoạn tăng trưởng cao, và ROEst là lợi nhuận trên vốn cổ phần trong giai đoạn tăng trưởng ổn định.</w:t>
      </w:r>
    </w:p>
    <w:p>
      <w:pPr>
        <w:pStyle w:val="Para 03"/>
      </w:pPr>
      <w:r>
        <w:t>Vế trái của phương trình là tỷ số giá trên thu nhập. Nó được quyết định bởi:</w:t>
      </w:r>
    </w:p>
    <w:p>
      <w:pPr>
        <w:numPr>
          <w:ilvl w:val="0"/>
          <w:numId w:val="172"/>
        </w:numPr>
        <w:pStyle w:val="Para 01"/>
      </w:pPr>
      <w:r>
        <w:t>Tỷ lệ chi trả (và lợi nhuận trên vốn cổ phần) trong giai đoạn tăng trưởng cao và trong giai đoạn ổn định. Tỷ số PE tăng khi tỷ lệ chi trả tăng, với bất kỳ tốc độ tăng trưởng nào cho trước. Một cách diễn đạt khác của cùng mệnh đề này là tỷ số PE tăng khi lợi nhuận trên vốn cổ phần tăng, với bất kỳ tốc độ tăng trưởng nào cho trước, và giảm khi lợi nhuận trên vốn cổ phần giảm.</w:t>
      </w:r>
    </w:p>
    <w:p>
      <w:pPr>
        <w:numPr>
          <w:ilvl w:val="0"/>
          <w:numId w:val="172"/>
        </w:numPr>
        <w:pStyle w:val="Para 01"/>
      </w:pPr>
      <w:r>
        <w:t>Mức độ rủi ro (thông qua tỷ lệ chiết khấu). Tỷ số PE trở nên thấp hơn khi mức độ rủi ro tăng lên. Nói cách khác, tỷ số PE sẽ cao hơn đối với một công ty có tăng trưởng dễ dự đoán và ổn định hơn so với một công ty tương tự về mọi mặt nhưng có tăng trưởng không ổn định.</w:t>
      </w:r>
    </w:p>
    <w:p>
      <w:pPr>
        <w:numPr>
          <w:ilvl w:val="0"/>
          <w:numId w:val="172"/>
        </w:numPr>
        <w:pStyle w:val="Para 01"/>
      </w:pPr>
      <w:r>
        <w:t>Tốc độ tăng trưởng thu nhập kỳ vọng trong cả hai giai đoạn tăng trưởng cao và ổn định. PE tăng khi tốc độ tăng trưởng tăng, giả định rằng ROE &gt; chi phí vốn cổ phần.</w:t>
      </w:r>
    </w:p>
    <w:p>
      <w:pPr>
        <w:pStyle w:val="Para 03"/>
      </w:pPr>
      <w:r>
        <w:t>Công thức này đủ tổng quát để áp dụng cho bất kỳ công ty nào, kể cả một công ty hiện không chi trả cổ tức. Trên thực tế, tỷ lệ FCFE trên thu nhập có thể được thay thế cho tỷ lệ chi trả đối với những công ty chi trả cổ tức ít hơn đáng kể so với khả năng của họ.</w:t>
      </w:r>
    </w:p>
    <w:p>
      <w:pPr>
        <w:pStyle w:val="Para 11"/>
      </w:pPr>
      <w:r>
        <w:t xml:space="preserve"> </w:t>
      </w:r>
      <w:r>
        <w:rPr>
          <w:rStyle w:val="Text26"/>
        </w:rPr>
        <w:bookmarkStart w:id="3525" w:name="Page_539"/>
        <w:t/>
        <w:bookmarkEnd w:id="3525"/>
      </w:r>
      <w:r>
        <w:t xml:space="preserve"> </w:t>
      </w:r>
    </w:p>
    <w:p>
      <w:bookmarkStart w:id="3526" w:name="ILLUSTRATION_18_1__Estimating_th_1"/>
      <w:bookmarkStart w:id="3527" w:name="ILLUSTRATION_18_1__Estimating_th"/>
      <w:pPr>
        <w:keepNext/>
        <w:pStyle w:val="Para 19"/>
        <w:keepLines w:val="on"/>
      </w:pPr>
      <w:r>
        <w:t>MINH HỌA 18.1: Ước tính tỷ số PE cho một công ty tăng trưởng cao trong mô hình hai giai đoạn</w:t>
      </w:r>
      <w:bookmarkEnd w:id="3526"/>
      <w:bookmarkEnd w:id="3527"/>
    </w:p>
    <w:p>
      <w:pPr>
        <w:pStyle w:val="Para 04"/>
        <w:keepLines w:val="on"/>
      </w:pPr>
      <w:r>
        <w:t>Giả sử bạn được yêu cầu ước tính tỷ số PE cho một công ty có các đặc điểm sau trong Bảng 18.2:</w:t>
      </w:r>
    </w:p>
    <w:p>
      <w:pPr>
        <w:pStyle w:val="Para 25"/>
        <w:keepLines w:val="on"/>
      </w:pPr>
      <w:r>
        <w:t>Bảng 18.2</w:t>
      </w:r>
    </w:p>
    <w:p>
      <w:pPr>
        <w:keepNext/>
        <w:pStyle w:val="Para 24"/>
        <w:keepLines w:val="on"/>
      </w:pPr>
      <w:r>
        <w:t>Công ty tăng trưởng cao—Các yếu tố nền tảng</w:t>
      </w:r>
    </w:p>
    <w:tbl>
      <w:tblPr>
        <w:tblW w:type="auto" w:w="0"/>
      </w:tblPr>
      <w:tr>
        <w:tc>
          <w:tcPr>
            <w:tcW w:type="auto" w:w="0"/>
          </w:tcPr>
          <w:tbl>
            <w:tblPr>
              <w:tblW w:type="auto" w:w="0"/>
            </w:tblPr>
            <w:tr>
              <w:tc>
                <w:tcPr>
                  <w:tcW w:type="auto" w:w="0"/>
                  <w:shd w:val="clear" w:color="auto" w:fill="F0F0F0"/>
                </w:tcPr>
                <w:p>
                  <w:pPr>
                    <w:pStyle w:val="Para 32"/>
                    <w:keepLines w:val="on"/>
                  </w:pPr>
                  <w:r>
                    <w:t>Thời gian tăng trưởng cao = năm năm</w:t>
                  </w:r>
                </w:p>
              </w:tc>
              <w:tc>
                <w:tcPr>
                  <w:tcW w:type="auto" w:w="0"/>
                  <w:shd w:val="clear" w:color="auto" w:fill="F0F0F0"/>
                </w:tcPr>
                <w:p>
                  <w:pPr>
                    <w:pStyle w:val="5 Block"/>
                    <w:keepLines w:val="on"/>
                  </w:pPr>
                </w:p>
              </w:tc>
            </w:tr>
            <w:tr>
              <w:tc>
                <w:tcPr>
                  <w:tcW w:type="auto" w:w="0"/>
                  <w:shd w:val="clear" w:color="auto" w:fill="F0F0F0"/>
                </w:tcPr>
                <w:p>
                  <w:pPr>
                    <w:pStyle w:val="Para 02"/>
                    <w:keepLines w:val="on"/>
                  </w:pPr>
                  <w:r>
                    <w:t>Tốc độ tăng trưởng trong năm năm đầu = 20%</w:t>
                  </w:r>
                </w:p>
              </w:tc>
              <w:tc>
                <w:tcPr>
                  <w:tcW w:type="auto" w:w="0"/>
                  <w:shd w:val="clear" w:color="auto" w:fill="F0F0F0"/>
                </w:tcPr>
                <w:p>
                  <w:pPr>
                    <w:pStyle w:val="Para 02"/>
                    <w:keepLines w:val="on"/>
                  </w:pPr>
                  <w:r>
                    <w:t>Tỷ lệ chi trả trong năm năm đầu = 20%</w:t>
                  </w:r>
                </w:p>
              </w:tc>
            </w:tr>
            <w:tr>
              <w:tc>
                <w:tcPr>
                  <w:tcW w:type="auto" w:w="0"/>
                  <w:shd w:val="clear" w:color="auto" w:fill="F0F0F0"/>
                </w:tcPr>
                <w:p>
                  <w:pPr>
                    <w:pStyle w:val="Para 02"/>
                    <w:keepLines w:val="on"/>
                  </w:pPr>
                  <w:r>
                    <w:t>Tốc độ tăng trưởng sau năm năm = 4%</w:t>
                  </w:r>
                </w:p>
              </w:tc>
              <w:tc>
                <w:tcPr>
                  <w:tcW w:type="auto" w:w="0"/>
                  <w:shd w:val="clear" w:color="auto" w:fill="F0F0F0"/>
                </w:tcPr>
                <w:p>
                  <w:pPr>
                    <w:pStyle w:val="Para 02"/>
                    <w:keepLines w:val="on"/>
                  </w:pPr>
                  <w:r>
                    <w:t>Tỷ lệ chi trả sau năm năm = 60%</w:t>
                  </w:r>
                </w:p>
              </w:tc>
            </w:tr>
            <w:tr>
              <w:tc>
                <w:tcPr>
                  <w:tcW w:type="auto" w:w="0"/>
                  <w:shd w:val="clear" w:color="auto" w:fill="F0F0F0"/>
                </w:tcPr>
                <w:p>
                  <w:pPr>
                    <w:pStyle w:val="Para 02"/>
                    <w:keepLines w:val="on"/>
                  </w:pPr>
                  <w:r>
                    <w:t>Beta = 1.0</w:t>
                  </w:r>
                </w:p>
              </w:tc>
              <w:tc>
                <w:tcPr>
                  <w:tcW w:type="auto" w:w="0"/>
                  <w:shd w:val="clear" w:color="auto" w:fill="F0F0F0"/>
                </w:tcPr>
                <w:p>
                  <w:pPr>
                    <w:pStyle w:val="Para 02"/>
                    <w:keepLines w:val="on"/>
                  </w:pPr>
                  <w:r>
                    <w:t>Lãi suất phi rủi ro = Lãi suất trái phiếu kho bạc = 4.5%</w:t>
                  </w:r>
                </w:p>
              </w:tc>
            </w:tr>
            <w:tr>
              <w:tc>
                <w:tcPr>
                  <w:tcW w:type="auto" w:w="0"/>
                  <w:shd w:val="clear" w:color="auto" w:fill="F0F0F0"/>
                </w:tcPr>
                <w:p>
                  <w:pPr>
                    <w:pStyle w:val="Para 02"/>
                    <w:keepLines w:val="on"/>
                  </w:pPr>
                  <w:r>
                    <w:t>Chi phí vốn chủ sở hữu1 = 4,5% + 1(5%) = 9,5%</w:t>
                  </w:r>
                </w:p>
              </w:tc>
              <w:tc>
                <w:tcPr>
                  <w:tcW w:type="auto" w:w="0"/>
                  <w:shd w:val="clear" w:color="auto" w:fill="F0F0F0"/>
                </w:tcPr>
                <w:p>
                  <w:pPr>
                    <w:pStyle w:val="Para 02"/>
                    <w:keepLines w:val="on"/>
                  </w:pPr>
                  <w:r>
                    <w:t>Phần bù rủi ro = 5%</w:t>
                  </w:r>
                </w:p>
              </w:tc>
            </w:tr>
          </w:tbl>
          <w:p/>
        </w:tc>
      </w:tr>
    </w:tbl>
    <w:p>
      <w:pPr>
        <w:pStyle w:val="Para 04"/>
        <w:keepLines w:val="on"/>
      </w:pPr>
      <w:r>
        <w:t>Thay các giá trị về tăng trưởng, tỷ lệ chi trả cổ tức và chi phí vốn chủ sở hữu vào phương trình PE nội tại cho một công ty tăng trưởng cao:</w:t>
      </w:r>
    </w:p>
    <w:p>
      <w:bookmarkStart w:id="3531" w:name="Trailing_PE_0_20_1_20_1____1_20"/>
      <w:pPr>
        <w:keepNext/>
        <w:pStyle w:val="Para 07"/>
        <w:keepLines w:val="on"/>
      </w:pPr>
      <w:r>
        <w:t>PE trailing=0,20 1,20(1−(1,20)5(1,095)5)(,095−,20)+(1,20)5 (1,04) (0,60),095−,04 (1,095)5=19,26</w:t>
      </w:r>
      <w:bookmarkEnd w:id="3531"/>
    </w:p>
    <w:p>
      <w:pPr>
        <w:pStyle w:val="Para 04"/>
        <w:keepLines w:val="on"/>
      </w:pPr>
      <w:r>
        <w:t>Tỷ lệ PE trailing ước tính cho công ty này là 19,26. Lưu ý rằng tỷ suất sinh lời trên vốn chủ sở hữu (return on equity) ẩn chứa trong các đầu vào này cũng có thể được tính như sau:</w:t>
      </w:r>
    </w:p>
    <w:p>
      <w:bookmarkStart w:id="3532" w:name="Return_on_equity_in_the_first_fi"/>
      <w:pPr>
        <w:pStyle w:val="Para 52"/>
        <w:keepLines w:val="on"/>
      </w:pPr>
      <w:r>
        <w:t>Tỷ suất sinh lời trên vốn chủ sở hữu trong năm năm đầu tiên=Tốc độ tăng trưởng cao1−Tỷ lệ chi trả cổ tức trong giai đoạn tăng trưởng cao=,201−,20=,25Tỷ suất sinh lời trên vốn chủ sở hữu trong giai đoạn tăng trưởng ổn định= Tốc độ tăng trưởng ổn định1−Tỷ lệ chi trả cổ tức trong giai đoạn tăng trưởng ổn định=,041−,60=,10</w:t>
      </w:r>
      <w:bookmarkEnd w:id="3532"/>
    </w:p>
    <w:p>
      <w:pPr>
        <w:pStyle w:val="Para 11"/>
      </w:pPr>
      <w:r>
        <w:t xml:space="preserve"> </w:t>
      </w:r>
    </w:p>
    <w:p>
      <w:bookmarkStart w:id="3533" w:name="ILLUSTRATION_18_2__Estimating_an"/>
      <w:bookmarkStart w:id="3534" w:name="ILLUSTRATION_18_2__Estimating_an_1"/>
      <w:pPr>
        <w:keepNext/>
        <w:pStyle w:val="Para 19"/>
        <w:keepLines w:val="on"/>
      </w:pPr>
      <w:r>
        <w:t>MINH HỌA 18.2: Ước tính tỷ lệ PE nội tại—P&amp;G vào tháng 5 năm 2011</w:t>
      </w:r>
      <w:bookmarkEnd w:id="3533"/>
      <w:bookmarkEnd w:id="3534"/>
    </w:p>
    <w:p>
      <w:pPr>
        <w:pStyle w:val="Para 04"/>
        <w:keepLines w:val="on"/>
      </w:pPr>
      <w:r>
        <w:t>Trong Chương 13, chúng ta đã định giá P&amp;G bằng mô hình chiết khấu cổ tức hai giai đoạn. Chúng ta tái hiện các đầu vào đã sử dụng trong định giá ở Bảng 18.3:</w:t>
      </w:r>
    </w:p>
    <w:p>
      <w:pPr>
        <w:pStyle w:val="Para 25"/>
        <w:keepLines w:val="on"/>
      </w:pPr>
      <w:r>
        <w:t>Bảng 18.3</w:t>
      </w:r>
    </w:p>
    <w:p>
      <w:pPr>
        <w:keepNext/>
        <w:pStyle w:val="Para 24"/>
        <w:keepLines w:val="on"/>
      </w:pPr>
      <w:r>
        <w:t>Các đầu vào cho tỷ lệ PE nội tại của P&amp;G</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Tăng trưởng cao</w:t>
                  </w:r>
                </w:p>
              </w:tc>
              <w:tc>
                <w:tcPr>
                  <w:tcW w:type="auto" w:w="0"/>
                  <w:shd w:val="clear" w:color="auto" w:fill="F0F0F0"/>
                </w:tcPr>
                <w:p>
                  <w:pPr>
                    <w:pStyle w:val="Para 05"/>
                    <w:keepLines w:val="on"/>
                  </w:pPr>
                  <w:r>
                    <w:t>Tăng trưởng ổn định</w:t>
                  </w:r>
                </w:p>
              </w:tc>
            </w:tr>
            <w:tr>
              <w:tc>
                <w:tcPr>
                  <w:tcW w:type="auto" w:w="0"/>
                  <w:shd w:val="clear" w:color="auto" w:fill="F0F0F0"/>
                </w:tcPr>
                <w:p>
                  <w:pPr>
                    <w:pStyle w:val="Para 02"/>
                    <w:keepLines w:val="on"/>
                  </w:pPr>
                  <w:r>
                    <w:t>Tỷ suất sinh lời trên vốn chủ sở hữu</w:t>
                  </w:r>
                </w:p>
              </w:tc>
              <w:tc>
                <w:tcPr>
                  <w:tcW w:type="auto" w:w="0"/>
                  <w:shd w:val="clear" w:color="auto" w:fill="F0F0F0"/>
                </w:tcPr>
                <w:p>
                  <w:pPr>
                    <w:pStyle w:val="Para 06"/>
                    <w:keepLines w:val="on"/>
                  </w:pPr>
                  <w:r>
                    <w:t>20%</w:t>
                  </w:r>
                </w:p>
              </w:tc>
              <w:tc>
                <w:tcPr>
                  <w:tcW w:type="auto" w:w="0"/>
                  <w:shd w:val="clear" w:color="auto" w:fill="F0F0F0"/>
                </w:tcPr>
                <w:p>
                  <w:pPr>
                    <w:pStyle w:val="Para 06"/>
                    <w:keepLines w:val="on"/>
                  </w:pPr>
                  <w:r>
                    <w:t>12%</w:t>
                  </w:r>
                </w:p>
              </w:tc>
            </w:tr>
            <w:tr>
              <w:tc>
                <w:tcPr>
                  <w:tcW w:type="auto" w:w="0"/>
                  <w:shd w:val="clear" w:color="auto" w:fill="F0F0F0"/>
                </w:tcPr>
                <w:p>
                  <w:pPr>
                    <w:pStyle w:val="Para 02"/>
                    <w:keepLines w:val="on"/>
                  </w:pPr>
                  <w:r>
                    <w:t>Thời gian tăng trưởng</w:t>
                  </w:r>
                </w:p>
              </w:tc>
              <w:tc>
                <w:tcPr>
                  <w:tcW w:type="auto" w:w="0"/>
                  <w:shd w:val="clear" w:color="auto" w:fill="F0F0F0"/>
                </w:tcPr>
                <w:p>
                  <w:pPr>
                    <w:pStyle w:val="Para 06"/>
                    <w:keepLines w:val="on"/>
                  </w:pPr>
                  <w:r>
                    <w:t>5 năm</w:t>
                  </w:r>
                </w:p>
              </w:tc>
              <w:tc>
                <w:tcPr>
                  <w:tcW w:type="auto" w:w="0"/>
                  <w:shd w:val="clear" w:color="auto" w:fill="F0F0F0"/>
                </w:tcPr>
                <w:p>
                  <w:pPr>
                    <w:pStyle w:val="Para 06"/>
                    <w:keepLines w:val="on"/>
                  </w:pPr>
                  <w:r>
                    <w:t>Sau năm thứ 5</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Para 06"/>
                    <w:keepLines w:val="on"/>
                  </w:pPr>
                  <w:r>
                    <w:t>10,00%</w:t>
                  </w:r>
                </w:p>
              </w:tc>
              <w:tc>
                <w:tcPr>
                  <w:tcW w:type="auto" w:w="0"/>
                  <w:shd w:val="clear" w:color="auto" w:fill="F0F0F0"/>
                </w:tcPr>
                <w:p>
                  <w:pPr>
                    <w:pStyle w:val="Para 06"/>
                    <w:keepLines w:val="on"/>
                  </w:pPr>
                  <w:r>
                    <w:t>3,00%</w:t>
                  </w:r>
                </w:p>
              </w:tc>
            </w:tr>
            <w:tr>
              <w:tc>
                <w:tcPr>
                  <w:tcW w:type="auto" w:w="0"/>
                  <w:shd w:val="clear" w:color="auto" w:fill="F0F0F0"/>
                </w:tcPr>
                <w:p>
                  <w:pPr>
                    <w:pStyle w:val="Para 02"/>
                    <w:keepLines w:val="on"/>
                  </w:pPr>
                  <w:r>
                    <w:t>Tỷ lệ chi trả cổ tức</w:t>
                  </w:r>
                </w:p>
              </w:tc>
              <w:tc>
                <w:tcPr>
                  <w:tcW w:type="auto" w:w="0"/>
                  <w:shd w:val="clear" w:color="auto" w:fill="F0F0F0"/>
                </w:tcPr>
                <w:p>
                  <w:pPr>
                    <w:pStyle w:val="Para 06"/>
                    <w:keepLines w:val="on"/>
                  </w:pPr>
                  <w:r>
                    <w:t>50,00%</w:t>
                  </w:r>
                </w:p>
              </w:tc>
              <w:tc>
                <w:tcPr>
                  <w:tcW w:type="auto" w:w="0"/>
                  <w:shd w:val="clear" w:color="auto" w:fill="F0F0F0"/>
                </w:tcPr>
                <w:p>
                  <w:pPr>
                    <w:pStyle w:val="Para 06"/>
                    <w:keepLines w:val="on"/>
                  </w:pPr>
                  <w:r>
                    <w:t>75,00%</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Para 06"/>
                    <w:keepLines w:val="on"/>
                  </w:pPr>
                  <w:r>
                    <w:t>8,00%</w:t>
                  </w:r>
                </w:p>
              </w:tc>
              <w:tc>
                <w:tcPr>
                  <w:tcW w:type="auto" w:w="0"/>
                  <w:shd w:val="clear" w:color="auto" w:fill="F0F0F0"/>
                </w:tcPr>
                <w:p>
                  <w:pPr>
                    <w:pStyle w:val="Para 06"/>
                    <w:keepLines w:val="on"/>
                  </w:pPr>
                  <w:r>
                    <w:t>8,50%</w:t>
                  </w:r>
                </w:p>
              </w:tc>
            </w:tr>
          </w:tbl>
          <w:p/>
        </w:tc>
      </w:tr>
    </w:tbl>
    <w:p>
      <w:pPr>
        <w:pStyle w:val="Para 04"/>
        <w:keepLines w:val="on"/>
      </w:pPr>
      <w:r>
        <w:t>Lưu ý rằng chúng ta đã suy ra tỷ lệ chi trả cổ tức trong giai đoạn tăng trưởng ổn định từ tốc độ tăng trưởng ổn định và ROE của giai đoạn ổn định:</w:t>
      </w:r>
    </w:p>
    <w:p>
      <w:bookmarkStart w:id="3537" w:name="Stable_payout_ratio_1_Stable_gro"/>
      <w:pPr>
        <w:keepNext/>
        <w:pStyle w:val="Para 07"/>
        <w:keepLines w:val="on"/>
      </w:pPr>
      <w:r>
        <w:t>Tỷ lệ chi trả cổ tức ổn định=1-Tốc độ tăng trưởng ổn định ROE giai đoạn ổn định=1-3%12%=75%</w:t>
      </w:r>
      <w:bookmarkEnd w:id="3537"/>
    </w:p>
    <w:p>
      <w:pPr>
        <w:pStyle w:val="Para 04"/>
        <w:keepLines w:val="on"/>
      </w:pPr>
      <w:r>
        <w:t>Chúng ta thay các giá trị này vào phương trình tỷ số PE hai giai đoạn:</w:t>
      </w:r>
    </w:p>
    <w:p>
      <w:bookmarkStart w:id="3539" w:name="Trailing_PE_0_501_10_1____1_10_5"/>
      <w:pPr>
        <w:keepNext/>
        <w:pStyle w:val="Para 07"/>
        <w:keepLines w:val="on"/>
      </w:pPr>
      <w:r>
        <w:t>PE theo EPS quá khứ=0,501,10(1−(1,10)5(1,08)5),08−,10+(1,10)5 (1,03) (0,75),08−,031,085=18,04</w:t>
      </w:r>
      <w:bookmarkEnd w:id="3539"/>
    </w:p>
    <w:p>
      <w:pPr>
        <w:pStyle w:val="Para 04"/>
        <w:keepLines w:val="on"/>
      </w:pPr>
      <w:r>
        <w:t>Dựa trên các yếu tố cơ bản của mình, chúng ta kỳ vọng P&amp;G sẽ giao dịch ở mức 18,04 lần thu nhập. Không có gì đáng ngạc nhiên, khi nhân tỷ số PE nội tại này với EPS quá khứ là 3,82 đô la, ta được 68,90 đô la, đúng bằng giá trị mà chúng ta đã ước tính bằng mô hình chiết khấu cổ tức hai giai đoạn trong Chương 13.</w:t>
      </w:r>
    </w:p>
    <w:p>
      <w:bookmarkStart w:id="3540" w:name="PE_Ratios_and_Expected_Extraordi"/>
      <w:bookmarkStart w:id="3541" w:name="PE_Ratios_and_Expected_Extraordi_1"/>
      <w:pPr>
        <w:keepNext/>
        <w:pStyle w:val="Heading 4"/>
        <w:keepLines w:val="on"/>
      </w:pPr>
      <w:r>
        <w:t>Tỷ số PE và Tăng trưởng Phi thường Kỳ vọng</w:t>
      </w:r>
      <w:bookmarkEnd w:id="3540"/>
      <w:bookmarkEnd w:id="3541"/>
    </w:p>
    <w:p>
      <w:pPr>
        <w:pStyle w:val="Para 03"/>
      </w:pPr>
      <w:r>
        <w:t>Tỷ số PE của một công ty tăng trưởng cao là một hàm số của tốc độ tăng trưởng phi thường kỳ vọng—tăng trưởng kỳ vọng càng cao thì tỷ số PE của công ty càng cao. Ví dụ trong Minh họa 18.1, tỷ số PE được ước tính là 19,26 với tốc độ tăng trưởng 20 phần trăm sẽ thay đổi khi tốc độ tăng trưởng kỳ vọng đó thay đổi. Hình 18.3 vẽ đồ thị tỷ số PE như một hàm số của tốc độ tăng trưởng kỳ vọng trong giai đoạn tăng trưởng cao. Khi tốc độ tăng trưởng kỳ vọng của công ty trong năm năm đầu giảm từ 25 phần trăm xuống 5 phần trăm, tỷ số PE của công ty cũng giảm từ 19,26 xuống chỉ còn hơn 11 một chút.</w:t>
      </w:r>
    </w:p>
    <w:p>
      <w:bookmarkStart w:id="3543" w:name="Figure_18_3_PE_Ratios_and_Expec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778000"/>
            <wp:effectExtent l="0" r="0" t="0" b="0"/>
            <wp:wrapTopAndBottom/>
            <wp:docPr id="157" name="c18f003.png" descr="Line graph plots an increase in growth rate in E P S for the next five years."/>
            <wp:cNvGraphicFramePr>
              <a:graphicFrameLocks noChangeAspect="1"/>
            </wp:cNvGraphicFramePr>
            <a:graphic>
              <a:graphicData uri="http://schemas.openxmlformats.org/drawingml/2006/picture">
                <pic:pic>
                  <pic:nvPicPr>
                    <pic:cNvPr id="0" name="c18f003.png" descr="Line graph plots an increase in growth rate in E P S for the next five years."/>
                    <pic:cNvPicPr/>
                  </pic:nvPicPr>
                  <pic:blipFill>
                    <a:blip r:embed="rId111"/>
                    <a:stretch>
                      <a:fillRect/>
                    </a:stretch>
                  </pic:blipFill>
                  <pic:spPr>
                    <a:xfrm>
                      <a:off x="0" y="0"/>
                      <a:ext cx="2438400" cy="1778000"/>
                    </a:xfrm>
                    <a:prstGeom prst="rect">
                      <a:avLst/>
                    </a:prstGeom>
                  </pic:spPr>
                </pic:pic>
              </a:graphicData>
            </a:graphic>
          </wp:anchor>
        </w:drawing>
      </w:r>
      <w:bookmarkEnd w:id="3543"/>
    </w:p>
    <w:p>
      <w:pPr>
        <w:keepNext/>
        <w:pStyle w:val="Para 22"/>
        <w:keepLines w:val="on"/>
      </w:pPr>
      <w:r>
        <w:t>Hình 18.3 Tỷ số PE và Tăng trưởng Kỳ vọng</w:t>
      </w:r>
    </w:p>
    <w:p>
      <w:pPr>
        <w:pStyle w:val="Para 03"/>
      </w:pPr>
      <w:r>
        <w:t>Tác động của những thay đổi trong tốc độ tăng trưởng kỳ vọng thay đổi tùy theo mức lãi suất. Trong Hình 18.4, các tỷ số PE được ước tính cho những tốc độ tăng trưởng kỳ vọng khác nhau tại bốn mức lãi suất phi rủi ro—2 phần trăm, 4 phần trăm, 6 phần trăm và 8 phần trăm.</w:t>
      </w:r>
    </w:p>
    <w:p>
      <w:pPr>
        <w:pStyle w:val="Para 20"/>
      </w:pPr>
      <w:r>
        <w:rPr>
          <w:rStyle w:val="Text26"/>
        </w:rPr>
        <w:bookmarkStart w:id="3545" w:name="Page_541"/>
        <w:t/>
        <w:bookmarkEnd w:id="3545"/>
      </w:r>
      <w:r>
        <w:t xml:space="preserve"> </w:t>
      </w:r>
    </w:p>
    <w:p>
      <w:bookmarkStart w:id="3546" w:name="Figure_18_4_PE_Ratios_and_Expec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87600" cy="1752600"/>
            <wp:effectExtent l="0" r="0" t="0" b="0"/>
            <wp:wrapTopAndBottom/>
            <wp:docPr id="158" name="c18f004.png" descr="Multiple bar graph depicts a decrease in risk free rates for changes in expected growth rates and intrinsic P E ratios."/>
            <wp:cNvGraphicFramePr>
              <a:graphicFrameLocks noChangeAspect="1"/>
            </wp:cNvGraphicFramePr>
            <a:graphic>
              <a:graphicData uri="http://schemas.openxmlformats.org/drawingml/2006/picture">
                <pic:pic>
                  <pic:nvPicPr>
                    <pic:cNvPr id="0" name="c18f004.png" descr="Multiple bar graph depicts a decrease in risk free rates for changes in expected growth rates and intrinsic P E ratios."/>
                    <pic:cNvPicPr/>
                  </pic:nvPicPr>
                  <pic:blipFill>
                    <a:blip r:embed="rId112"/>
                    <a:stretch>
                      <a:fillRect/>
                    </a:stretch>
                  </pic:blipFill>
                  <pic:spPr>
                    <a:xfrm>
                      <a:off x="0" y="0"/>
                      <a:ext cx="2387600" cy="1752600"/>
                    </a:xfrm>
                    <a:prstGeom prst="rect">
                      <a:avLst/>
                    </a:prstGeom>
                  </pic:spPr>
                </pic:pic>
              </a:graphicData>
            </a:graphic>
          </wp:anchor>
        </w:drawing>
      </w:r>
      <w:bookmarkEnd w:id="3546"/>
    </w:p>
    <w:p>
      <w:pPr>
        <w:keepNext/>
        <w:pStyle w:val="Para 22"/>
        <w:keepLines w:val="on"/>
      </w:pPr>
      <w:r>
        <w:t>Hình 18.4 Tỷ số PE và Tăng trưởng Kỳ vọng: Các Kịch bản Lãi suất</w:t>
      </w:r>
    </w:p>
    <w:p>
      <w:pPr>
        <w:pStyle w:val="Para 03"/>
      </w:pPr>
      <w:r>
        <w:t>Tỷ số PE nhạy cảm với những thay đổi trong tốc độ tăng trưởng kỳ vọng hơn nhiều khi lãi suất thấp so với khi lãi suất cao. Lý do rất đơn giản. Tăng trưởng tạo ra dòng tiền trong tương lai, và giá trị hiện tại của những dòng tiền này nhỏ hơn nhiều khi lãi suất cao. Do đó, tác động của những thay đổi trong tốc độ tăng trưởng lên giá trị hiện tại có xu hướng nhỏ hơn.</w:t>
      </w:r>
    </w:p>
    <w:p>
      <w:pPr>
        <w:pStyle w:val="Para 03"/>
      </w:pPr>
      <w:r>
        <w:t>Có một mối liên hệ khả dĩ giữa phát hiện này và cách thị trường phản ứng với những bất ngờ về thu nhập từ các công ty tăng trưởng cao. Khi công ty báo cáo thu nhập cao hơn đáng kể so với kỳ vọng (một bất ngờ tích cực) hoặc thấp hơn kỳ vọng (một bất ngờ tiêu cực), nhận thức của nhà đầu tư về tốc độ tăng trưởng kỳ vọng của công ty này có thể thay đổi đồng thời, dẫn đến một hiệu ứng giá trị. Bạn sẽ kỳ vọng thấy phản ứng giá lớn hơn nhiều đối với một bất ngờ thu nhập nhất định, dù tích cực hay tiêu cực, trong môi trường lãi suất thấp so với môi trường lãi suất cao.</w:t>
      </w:r>
    </w:p>
    <w:p>
      <w:bookmarkStart w:id="3547" w:name="PE_Ratios_and_Risk__The_PE_ratio"/>
      <w:bookmarkStart w:id="3548" w:name="PE_Ratios_and_Risk"/>
      <w:pPr>
        <w:keepNext/>
        <w:pStyle w:val="Heading 4"/>
        <w:keepLines w:val="on"/>
      </w:pPr>
      <w:r>
        <w:t>Tỷ số PE và Rủi ro</w:t>
      </w:r>
      <w:bookmarkEnd w:id="3547"/>
      <w:bookmarkEnd w:id="3548"/>
    </w:p>
    <w:p>
      <w:pPr>
        <w:pStyle w:val="Para 03"/>
      </w:pPr>
      <w:r>
        <w:t>Tỷ số PE là một hàm số của rủi ro được nhận thức của một công ty, và tác động này thể hiện qua chi phí vốn cổ phần. Một công ty có chi phí vốn cổ phần cao hơn sẽ giao dịch ở mức bội số thu nhập thấp hơn một công ty tương tự có chi phí vốn cổ phần thấp hơn.</w:t>
      </w:r>
    </w:p>
    <w:p>
      <w:pPr>
        <w:pStyle w:val="Para 03"/>
      </w:pPr>
      <w:r>
        <w:t>Một lần nữa, tác động của rủi ro cao hơn lên tỷ số PE có thể được thấy khi dùng công ty trong Minh họa 18.1. Nhớ lại rằng công ty này, với tốc độ tăng trưởng kỳ vọng 20 phần trăm trong năm năm tới và 4 phần trăm sau đó, có tỷ số PE ước tính là 19,26 nếu beta của nó được giả định là 1.</w:t>
      </w:r>
    </w:p>
    <w:p>
      <w:pPr>
        <w:pStyle w:val="Para 20"/>
      </w:pPr>
      <w:r>
        <w:rPr>
          <w:rStyle w:val="Text26"/>
        </w:rPr>
        <w:bookmarkStart w:id="3549" w:name="Page_542"/>
        <w:t/>
        <w:bookmarkEnd w:id="3549"/>
      </w:r>
      <w:r>
        <w:t xml:space="preserve"> </w:t>
      </w:r>
    </w:p>
    <w:p>
      <w:bookmarkStart w:id="3550" w:name="Trailing_PE__0_20__1_20__1____1"/>
      <w:pPr>
        <w:keepNext/>
        <w:pStyle w:val="Para 09"/>
        <w:keepLines w:val="on"/>
      </w:pPr>
      <w:r>
        <w:t>PE theo EPS quá khứ=(0,20)(1,20)(1−(1,20)5(1,095)5)(,095−,20)(1,20)5(1,04) (0,60)(,095−,04)(1,095)5=19,26</w:t>
      </w:r>
      <w:bookmarkEnd w:id="3550"/>
    </w:p>
    <w:p>
      <w:pPr>
        <w:pStyle w:val="Para 03"/>
      </w:pPr>
      <w:r>
        <w:t>Nếu bạn giả định beta là 1,5, chi phí vốn cổ phần tăng lên 12 phần trăm, dẫn đến tỷ số PE là 12,25:</w:t>
      </w:r>
    </w:p>
    <w:p>
      <w:bookmarkStart w:id="3551" w:name="Trailing_PE__0_20__1_20__1____1_1"/>
      <w:pPr>
        <w:keepNext/>
        <w:pStyle w:val="Para 09"/>
        <w:keepLines w:val="on"/>
      </w:pPr>
      <w:r>
        <w:t>PE theo EPS quá khứ=(0,20)(1,20)(1−(1,20)5(1,12)5)(,12−,20)(1,20)5(1,04)(0,60)(,12−,04)(1,12)5=12,25</w:t>
      </w:r>
      <w:bookmarkEnd w:id="3551"/>
    </w:p>
    <w:p>
      <w:pPr>
        <w:pStyle w:val="Para 03"/>
      </w:pPr>
      <w:r>
        <w:t>Chi phí vốn cổ phần cao hơn làm giảm giá trị được tạo ra bởi tăng trưởng kỳ vọng. Trong Hình 18.5, bạn có thể thấy tác động của việc thay đổi beta lên tỷ số giá trên thu nhập cho ba kịch bản tăng trưởng cao—0 phần trăm, 10 phần trăm và 20 phần trăm—trong năm năm tới.</w:t>
      </w:r>
    </w:p>
    <w:p>
      <w:bookmarkStart w:id="3553" w:name="Figure_18_5_PE_Ratios_and_Bet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33600" cy="1765300"/>
            <wp:effectExtent l="0" r="0" t="0" b="0"/>
            <wp:wrapTopAndBottom/>
            <wp:docPr id="159" name="c18f005.png" descr="Multiple bar graph depicts an increase in expected growth rates for beta and intrinsic trailing P E ratios."/>
            <wp:cNvGraphicFramePr>
              <a:graphicFrameLocks noChangeAspect="1"/>
            </wp:cNvGraphicFramePr>
            <a:graphic>
              <a:graphicData uri="http://schemas.openxmlformats.org/drawingml/2006/picture">
                <pic:pic>
                  <pic:nvPicPr>
                    <pic:cNvPr id="0" name="c18f005.png" descr="Multiple bar graph depicts an increase in expected growth rates for beta and intrinsic trailing P E ratios."/>
                    <pic:cNvPicPr/>
                  </pic:nvPicPr>
                  <pic:blipFill>
                    <a:blip r:embed="rId113"/>
                    <a:stretch>
                      <a:fillRect/>
                    </a:stretch>
                  </pic:blipFill>
                  <pic:spPr>
                    <a:xfrm>
                      <a:off x="0" y="0"/>
                      <a:ext cx="2133600" cy="1765300"/>
                    </a:xfrm>
                    <a:prstGeom prst="rect">
                      <a:avLst/>
                    </a:prstGeom>
                  </pic:spPr>
                </pic:pic>
              </a:graphicData>
            </a:graphic>
          </wp:anchor>
        </w:drawing>
      </w:r>
      <w:bookmarkEnd w:id="3553"/>
    </w:p>
    <w:p>
      <w:pPr>
        <w:keepNext/>
        <w:pStyle w:val="Para 22"/>
        <w:keepLines w:val="on"/>
      </w:pPr>
      <w:r>
        <w:t>Hình 18.5 Tỷ số PE và Beta: Các Kịch bản Tốc độ Tăng trưởng</w:t>
      </w:r>
    </w:p>
    <w:p>
      <w:pPr>
        <w:pStyle w:val="Para 03"/>
      </w:pPr>
      <w:r>
        <w:t>Khi beta tăng, tỷ số PE giảm trong cả bốn kịch bản. Tuy nhiên, sự khác biệt giữa các tỷ số PE giữa bốn nhóm tăng trưởng nhỏ hơn khi beta rất cao và tăng lên khi beta giảm. Điều này gợi ý rằng ở những mức rủi ro rất cao, tỷ số PE của một công ty có khả năng tăng nhiều hơn khi rủi ro giảm so với khi tăng trưởng tăng. Đối với nhiều công ty tăng trưởng cao được xem là vừa rất rủi ro vừa có tiềm năng tăng trưởng tốt, việc giảm rủi ro có thể làm tăng giá trị nhiều hơn so với việc tăng tăng trưởng kỳ vọng.</w:t>
      </w:r>
    </w:p>
    <w:p>
      <w:pPr>
        <w:pStyle w:val="Para 03"/>
      </w:pPr>
      <w:r>
        <w:t>Tác động của lãi suất cao hơn và beta cao hơn là làm tăng chi phí vốn cổ phần, nhưng tác động lên giá trị trên mỗi cổ phần và tỷ số PE đến từ những gì một công ty có thể tạo ra dưới dạng lợi nhuận vượt trội (tức là chênh lệch giữa tỷ suất sinh lời trên vốn cổ phần của nó so với chi phí vốn cổ phần). Ở giới hạn, nếu bạn đặt tỷ suất sinh lời trên vốn cổ phần bằng với chi phí vốn cổ phần, PE nội tại của nó sẽ không thay đổi khi tốc độ tăng trưởng thay đổi, vì lợi ích của tăng trưởng sẽ được bù đắp chính xác bởi chi phí của nó. Trong ví dụ giả định của chúng ta, tỷ suất sinh lời trên vốn cổ phần trong giai đoạn tăng trưởng cao là 25%, cao hơn hẳn chi phí vốn cổ phần, dẫn đến mối quan hệ thuận giữa tỷ số PE và tốc độ tăng trưởng kỳ vọng. Nếu chúng ta đặt tỷ suất sinh lời trên vốn cổ phần là 5% thay vào đó, tức là thấp hơn chi phí vốn cổ phần, thì tỷ số PE sẽ giảm khi tăng trưởng tăng.</w:t>
      </w:r>
    </w:p>
    <w:p>
      <w:pPr>
        <w:pStyle w:val="Para 11"/>
      </w:pPr>
      <w:r>
        <w:t xml:space="preserve"> </w:t>
      </w:r>
    </w:p>
    <w:p>
      <w:bookmarkStart w:id="3555" w:name="eqmult_xls__This_spreadsheet_al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60"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3555"/>
    </w:p>
    <w:p>
      <w:pPr>
        <w:pStyle w:val="Para 31"/>
        <w:keepLines w:val="on"/>
      </w:pPr>
      <w:r>
        <w:t>eqmult.xls: Bảng tính này cho phép bạn ước tính tỷ số giá trên thu nhập cho một công ty tăng trưởng ổn định hoặc tăng trưởng cao, dựa trên các yếu tố cơ bản của nó.</w:t>
      </w:r>
    </w:p>
    <w:p>
      <w:bookmarkStart w:id="3556" w:name="Using_the_PE_Ratio_for_Compariso"/>
      <w:bookmarkStart w:id="3557" w:name="Using_the_PE_Ratio_for_Compariso_1"/>
      <w:pPr>
        <w:keepNext/>
        <w:pStyle w:val="Heading 3"/>
        <w:keepLines w:val="on"/>
      </w:pPr>
      <w:r>
        <w:t>Sử dụng Tỷ số PE để So sánh</w:t>
      </w:r>
      <w:bookmarkEnd w:id="3556"/>
      <w:bookmarkEnd w:id="3557"/>
    </w:p>
    <w:p>
      <w:pPr>
        <w:pStyle w:val="Para 03"/>
      </w:pPr>
      <w:r>
        <w:t>Giờ thì chúng ta đã định nghĩa xong tỷ số PE, xem qua phân phối theo mặt cắt ngang, và xét các yếu tố cơ bản quyết định bội số này, chúng ta có thể dùng tỷ số PE để đưa ra phán đoán về định giá. Phần này bắt đầu bằng việc xem xét cách so sánh tỷ số PE của một thị trường theo thời gian sao cho hợp lý nhất, rồi tiếp đó so sánh tỷ số PE giữa các thị trường khác nhau. Cuối cùng, phần này dùng tỷ số PE để phân tích các công ty trong một ngành, rồi mở rộng phân tích ra toàn bộ thị trường. Khi làm vậy, hãy lưu ý rằng tỷ số PE nên thay đổi theo thời gian, thị trường, ngành và công ty vì có sự khác biệt về các yếu tố cơ bản — tăng trưởng cao hơn, rủi ro thấp hơn, và tỷ lệ chi trả cổ tức cao hơn thường dẫn đến tỷ số PE cao hơn. Khi thực hiện so sánh, bạn phải kiểm soát những khác biệt này về rủi ro, tốc độ tăng trưởng, và tỷ lệ chi trả cổ tức.</w:t>
      </w:r>
    </w:p>
    <w:p>
      <w:bookmarkStart w:id="3558" w:name="Comparing_a_Market_s_PE_Ratio_ac"/>
      <w:bookmarkStart w:id="3559" w:name="Comparing_a_Market_s_PE_Ratio_ac_1"/>
      <w:pPr>
        <w:keepNext/>
        <w:pStyle w:val="Heading 4"/>
        <w:keepLines w:val="on"/>
      </w:pPr>
      <w:r>
        <w:t>So sánh Tỷ số PE của một Thị trường theo Thời gian</w:t>
      </w:r>
      <w:bookmarkEnd w:id="3558"/>
      <w:bookmarkEnd w:id="3559"/>
    </w:p>
    <w:p>
      <w:pPr>
        <w:pStyle w:val="Para 03"/>
      </w:pPr>
      <w:r>
        <w:t>Các nhà phân tích và chiến lược gia thị trường thường so sánh tỷ số PE của một thị trường với mức trung bình lịch sử của nó để đưa ra phán đoán xem thị trường đang bị định giá thấp hay cao. Theo đó, một thị trường đang giao dịch ở tỷ số PE cao hơn nhiều so với chuẩn mực lịch sử thường được coi là bị định giá cao, trong khi một thị trường đang giao dịch ở tỷ số thấp hơn chuẩn mực lịch sử được coi là bị định giá thấp.</w:t>
      </w:r>
    </w:p>
    <w:p>
      <w:pPr>
        <w:pStyle w:val="Para 03"/>
      </w:pPr>
      <w:r>
        <w:t>Dù việc quay về chuẩn mực lịch sử vẫn là một lực rất mạnh trên các thị trường tài chính, bạn nên thận trọng đừng rút ra kết luận quá mạnh mẽ từ những so sánh như vậy. Khi các yếu tố cơ bản (lãi suất, phần bù rủi ro, tăng trưởng kỳ vọng, và tỷ lệ chi trả cổ tức) thay đổi theo thời gian, tỷ số PE của một thị trường cũng sẽ thay đổi. Ví dụ, nếu mọi thứ khác không đổi, bạn sẽ kỳ vọng những điều sau:</w:t>
      </w:r>
    </w:p>
    <w:p>
      <w:pPr>
        <w:numPr>
          <w:ilvl w:val="0"/>
          <w:numId w:val="173"/>
        </w:numPr>
        <w:pStyle w:val="Para 01"/>
      </w:pPr>
      <w:r>
        <w:t>Lãi suất tăng sẽ dẫn đến chi phí vốn cổ phần cao hơn cho thị trường và tỷ số PE thấp hơn.</w:t>
      </w:r>
    </w:p>
    <w:p>
      <w:pPr>
        <w:numPr>
          <w:ilvl w:val="0"/>
          <w:numId w:val="173"/>
        </w:numPr>
        <w:pStyle w:val="Para 01"/>
      </w:pPr>
      <w:r>
        <w:t>Nhà đầu tư sẵn sàng chấp nhận rủi ro hơn sẽ dẫn đến phần bù rủi ro vốn cổ phần thấp hơn và tỷ số PE cao hơn trên tất cả cổ phiếu.</w:t>
      </w:r>
    </w:p>
    <w:p>
      <w:pPr>
        <w:numPr>
          <w:ilvl w:val="0"/>
          <w:numId w:val="173"/>
        </w:numPr>
        <w:pStyle w:val="Para 01"/>
      </w:pPr>
      <w:r>
        <w:t>Tăng trưởng kỳ vọng về lợi nhuận của các công ty tăng lên sẽ dẫn đến tỷ số PE cao hơn cho thị trường.</w:t>
      </w:r>
    </w:p>
    <w:p>
      <w:pPr>
        <w:numPr>
          <w:ilvl w:val="0"/>
          <w:numId w:val="173"/>
        </w:numPr>
        <w:pStyle w:val="Para 01"/>
      </w:pPr>
      <w:r>
        <w:t>Tỷ suất sinh lời trên vốn cổ phần (ROE) của các công ty tăng lên sẽ dẫn đến tỷ lệ chi trả cổ tức cao hơn với bất kỳ tốc độ tăng trưởng nào [g = (1 − Tỷ lệ chi trả cổ tức) ROE] và tỷ số PE cao hơn cho tất cả công ty.</w:t>
      </w:r>
    </w:p>
    <w:p>
      <w:pPr>
        <w:pStyle w:val="Para 03"/>
      </w:pPr>
      <w:r>
        <w:t>Nói cách khác, thật khó để rút ra kết luận về tỷ số PE mà không xem xét những yếu tố cơ bản này. Do đó, một so sánh phù hợp hơn không phải là giữa các tỷ số PE qua thời gian, mà là giữa tỷ số PE thực tế và tỷ số PE dự đoán dựa trên các yếu tố cơ bản tồn tại vào thời điểm đó.</w:t>
      </w:r>
    </w:p>
    <w:p>
      <w:pPr>
        <w:pStyle w:val="Para 11"/>
      </w:pPr>
      <w:r>
        <w:t xml:space="preserve"> </w:t>
      </w:r>
      <w:r>
        <w:rPr>
          <w:rStyle w:val="Text26"/>
        </w:rPr>
        <w:bookmarkStart w:id="3560" w:name="Page_544"/>
        <w:t/>
        <w:bookmarkEnd w:id="3560"/>
      </w:r>
      <w:r>
        <w:t xml:space="preserve"> </w:t>
      </w:r>
    </w:p>
    <w:p>
      <w:bookmarkStart w:id="3561" w:name="ILLUSTRATION_18_3__PE_Ratios_Acr"/>
      <w:bookmarkStart w:id="3562" w:name="ILLUSTRATION_18_3__PE_Ratios_Acr_1"/>
      <w:pPr>
        <w:keepNext/>
        <w:pStyle w:val="Para 19"/>
        <w:keepLines w:val="on"/>
      </w:pPr>
      <w:r>
        <w:t>MINH HỌA 18.3: Tỷ số PE qua Thời gian</w:t>
      </w:r>
      <w:bookmarkEnd w:id="3561"/>
      <w:bookmarkEnd w:id="3562"/>
    </w:p>
    <w:p>
      <w:pPr>
        <w:pStyle w:val="Para 04"/>
        <w:keepLines w:val="on"/>
      </w:pPr>
      <w:r>
        <w:t>Bảng 18.4 tóm tắt các số liệu kinh tế tại hai thời điểm cho cùng một thị trường chứng khoán. Lãi suất trong giai đoạn thứ nhất cao hơn đáng kể so với lãi suất trong giai đoạn thứ hai.</w:t>
      </w:r>
    </w:p>
    <w:p>
      <w:pPr>
        <w:pStyle w:val="Para 25"/>
        <w:keepLines w:val="on"/>
      </w:pPr>
      <w:r>
        <w:t>Bảng 18.4</w:t>
      </w:r>
    </w:p>
    <w:p>
      <w:pPr>
        <w:keepNext/>
        <w:pStyle w:val="Para 24"/>
        <w:keepLines w:val="on"/>
      </w:pPr>
      <w:r>
        <w:t>Tỷ số PE và các Yếu tố Kinh tế Vĩ mô</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Giai đoạn 1</w:t>
                  </w:r>
                </w:p>
              </w:tc>
              <w:tc>
                <w:tcPr>
                  <w:tcW w:type="auto" w:w="0"/>
                  <w:shd w:val="clear" w:color="auto" w:fill="F0F0F0"/>
                </w:tcPr>
                <w:p>
                  <w:pPr>
                    <w:pStyle w:val="Para 05"/>
                    <w:keepLines w:val="on"/>
                  </w:pPr>
                  <w:r>
                    <w:t>Giai đoạn 2</w:t>
                  </w:r>
                </w:p>
              </w:tc>
            </w:tr>
            <w:tr>
              <w:tc>
                <w:tcPr>
                  <w:tcW w:type="auto" w:w="0"/>
                  <w:shd w:val="clear" w:color="auto" w:fill="F0F0F0"/>
                </w:tcPr>
                <w:p>
                  <w:pPr>
                    <w:pStyle w:val="Para 02"/>
                    <w:keepLines w:val="on"/>
                  </w:pPr>
                  <w:r>
                    <w:t>Lãi suất trái phiếu kho bạc</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6,00%</w:t>
                  </w:r>
                </w:p>
              </w:tc>
            </w:tr>
            <w:tr>
              <w:tc>
                <w:tcPr>
                  <w:tcW w:type="auto" w:w="0"/>
                  <w:shd w:val="clear" w:color="auto" w:fill="F0F0F0"/>
                </w:tcPr>
                <w:p>
                  <w:pPr>
                    <w:pStyle w:val="Para 02"/>
                    <w:keepLines w:val="on"/>
                  </w:pPr>
                  <w:r>
                    <w:t>Phần bù thị trường</w:t>
                  </w:r>
                </w:p>
              </w:tc>
              <w:tc>
                <w:tcPr>
                  <w:tcW w:type="auto" w:w="0"/>
                  <w:shd w:val="clear" w:color="auto" w:fill="F0F0F0"/>
                </w:tcPr>
                <w:p>
                  <w:pPr>
                    <w:pStyle w:val="Normal"/>
                    <w:keepLines w:val="on"/>
                  </w:pPr>
                  <w:r>
                    <w:t>5,50%</w:t>
                  </w:r>
                </w:p>
              </w:tc>
              <w:tc>
                <w:tcPr>
                  <w:tcW w:type="auto" w:w="0"/>
                  <w:shd w:val="clear" w:color="auto" w:fill="F0F0F0"/>
                </w:tcPr>
                <w:p>
                  <w:pPr>
                    <w:pStyle w:val="Normal"/>
                    <w:keepLines w:val="on"/>
                  </w:pPr>
                  <w:r>
                    <w:t>5,50%</w:t>
                  </w:r>
                </w:p>
              </w:tc>
            </w:tr>
            <w:tr>
              <w:tc>
                <w:tcPr>
                  <w:tcW w:type="auto" w:w="0"/>
                  <w:shd w:val="clear" w:color="auto" w:fill="F0F0F0"/>
                </w:tcPr>
                <w:p>
                  <w:pPr>
                    <w:pStyle w:val="Para 02"/>
                    <w:keepLines w:val="on"/>
                  </w:pPr>
                  <w:r>
                    <w:t>Lạm phát kỳ vọng</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4,00%</w:t>
                  </w:r>
                </w:p>
              </w:tc>
            </w:tr>
            <w:tr>
              <w:tc>
                <w:tcPr>
                  <w:tcW w:type="auto" w:w="0"/>
                  <w:shd w:val="clear" w:color="auto" w:fill="F0F0F0"/>
                </w:tcPr>
                <w:p>
                  <w:pPr>
                    <w:pStyle w:val="Para 02"/>
                    <w:keepLines w:val="on"/>
                  </w:pPr>
                  <w:r>
                    <w:t>Tăng trưởng kỳ vọng của GNP thực</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2,50%</w:t>
                  </w:r>
                </w:p>
              </w:tc>
            </w:tr>
            <w:tr>
              <w:tc>
                <w:tcPr>
                  <w:tcW w:type="auto" w:w="0"/>
                  <w:shd w:val="clear" w:color="auto" w:fill="F0F0F0"/>
                </w:tcPr>
                <w:p>
                  <w:pPr>
                    <w:pStyle w:val="Para 02"/>
                    <w:keepLines w:val="on"/>
                  </w:pPr>
                  <w:r>
                    <w:t>Tỷ lệ chi trả cổ tức bình quân</w:t>
                  </w:r>
                </w:p>
              </w:tc>
              <w:tc>
                <w:tcPr>
                  <w:tcW w:type="auto" w:w="0"/>
                  <w:shd w:val="clear" w:color="auto" w:fill="F0F0F0"/>
                </w:tcPr>
                <w:p>
                  <w:pPr>
                    <w:pStyle w:val="Normal"/>
                    <w:keepLines w:val="on"/>
                  </w:pPr>
                  <w:r>
                    <w:t>50%</w:t>
                  </w:r>
                </w:p>
              </w:tc>
              <w:tc>
                <w:tcPr>
                  <w:tcW w:type="auto" w:w="0"/>
                  <w:shd w:val="clear" w:color="auto" w:fill="F0F0F0"/>
                </w:tcPr>
                <w:p>
                  <w:pPr>
                    <w:pStyle w:val="Normal"/>
                    <w:keepLines w:val="on"/>
                  </w:pPr>
                  <w:r>
                    <w:t>50%</w:t>
                  </w:r>
                </w:p>
              </w:tc>
            </w:tr>
            <w:tr>
              <w:tc>
                <w:tcPr>
                  <w:tcW w:type="auto" w:w="0"/>
                  <w:shd w:val="clear" w:color="auto" w:fill="F0F0F0"/>
                </w:tcPr>
                <w:p>
                  <w:pPr>
                    <w:pStyle w:val="Para 02"/>
                    <w:keepLines w:val="on"/>
                  </w:pPr>
                  <w:r>
                    <w:t>Tỷ số PE kỳ vọng</w:t>
                  </w:r>
                </w:p>
              </w:tc>
              <w:tc>
                <w:tcPr>
                  <w:tcW w:type="auto" w:w="0"/>
                  <w:shd w:val="clear" w:color="auto" w:fill="F0F0F0"/>
                </w:tcPr>
                <w:p>
                  <w:pPr>
                    <w:pStyle w:val="Normal"/>
                    <w:keepLines w:val="on"/>
                  </w:pPr>
                  <w:r>
                    <w:t>(0,5 × 1,08)/(,165 − ,08) = 6,35</w:t>
                  </w:r>
                </w:p>
              </w:tc>
              <w:tc>
                <w:tcPr>
                  <w:tcW w:type="auto" w:w="0"/>
                  <w:shd w:val="clear" w:color="auto" w:fill="F0F0F0"/>
                </w:tcPr>
                <w:p>
                  <w:pPr>
                    <w:pStyle w:val="Normal"/>
                    <w:keepLines w:val="on"/>
                  </w:pPr>
                  <w:r>
                    <w:t>(0,5 × 1,065)/(,115 − ,065) = 10,65</w:t>
                  </w:r>
                </w:p>
              </w:tc>
            </w:tr>
          </w:tbl>
          <w:p/>
        </w:tc>
      </w:tr>
    </w:tbl>
    <w:p>
      <w:pPr>
        <w:pStyle w:val="Para 04"/>
        <w:keepLines w:val="on"/>
      </w:pPr>
      <w:r>
        <w:t>Tỷ số PE trong giai đoạn thứ hai cao hơn đáng kể so với tỷ số PE trong giai đoạn thứ nhất, phần lớn là do lãi suất thực giảm (lãi suất danh nghĩa – lạm phát kỳ vọng).</w:t>
      </w:r>
    </w:p>
    <w:p>
      <w:pPr>
        <w:pStyle w:val="Para 11"/>
      </w:pPr>
      <w:r>
        <w:t xml:space="preserve"> </w:t>
      </w:r>
    </w:p>
    <w:p>
      <w:bookmarkStart w:id="3565" w:name="ILLUSTRATION_18_4__PE_Ratios_acr_1"/>
      <w:bookmarkStart w:id="3566" w:name="ILLUSTRATION_18_4__PE_Ratios_acr"/>
      <w:pPr>
        <w:keepNext/>
        <w:pStyle w:val="Para 19"/>
        <w:keepLines w:val="on"/>
      </w:pPr>
      <w:r>
        <w:t>MINH HỌA 18.4: Tỷ số PE qua thời gian của S&amp;P 500</w:t>
      </w:r>
      <w:bookmarkEnd w:id="3565"/>
      <w:bookmarkEnd w:id="3566"/>
    </w:p>
    <w:p>
      <w:pPr>
        <w:pStyle w:val="Para 04"/>
        <w:keepLines w:val="on"/>
      </w:pPr>
      <w:r>
        <w:t>Hình 18.5 tóm tắt tỷ số thu nhập trên giá (EP – earnings-price) của S&amp;P 500 và lãi suất trái phiếu kho bạc vào cuối mỗi năm từ 1960 đến 2023. Có một mối quan hệ đồng biến mạnh mẽ giữa tỷ số EP và lãi suất trái phiếu kho bạc, thể hiện qua hệ số tương quan 0,689 giữa hai biến số này. Ngoài ra, cũng có bằng chứng cho thấy cấu trúc kỳ hạn cũng ảnh hưởng (hoặc như chúng ta sẽ thấy, đã từng ảnh hưởng) đến tỷ số PE, như có thể thấy trong ma trận tương quan dưới đây.</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Lợi suất thu nhập</w:t>
                  </w:r>
                </w:p>
              </w:tc>
              <w:tc>
                <w:tcPr>
                  <w:tcW w:type="auto" w:w="0"/>
                  <w:shd w:val="clear" w:color="auto" w:fill="F0F0F0"/>
                </w:tcPr>
                <w:p>
                  <w:pPr>
                    <w:pStyle w:val="Para 05"/>
                    <w:keepLines w:val="on"/>
                  </w:pPr>
                  <w:r>
                    <w:t>Lãi suất trái phiếu kho bạc</w:t>
                  </w:r>
                </w:p>
              </w:tc>
              <w:tc>
                <w:tcPr>
                  <w:tcW w:type="auto" w:w="0"/>
                  <w:shd w:val="clear" w:color="auto" w:fill="F0F0F0"/>
                </w:tcPr>
                <w:p>
                  <w:pPr>
                    <w:pStyle w:val="Para 32"/>
                    <w:keepLines w:val="on"/>
                  </w:pPr>
                  <w:r>
                    <w:t>Trái phiếu kho bạc – Tín phiếu kho bạc</w:t>
                  </w:r>
                </w:p>
              </w:tc>
            </w:tr>
            <w:tr>
              <w:tc>
                <w:tcPr>
                  <w:tcW w:type="auto" w:w="0"/>
                  <w:shd w:val="clear" w:color="auto" w:fill="F0F0F0"/>
                </w:tcPr>
                <w:p>
                  <w:pPr>
                    <w:pStyle w:val="Para 02"/>
                    <w:keepLines w:val="on"/>
                  </w:pPr>
                  <w:r>
                    <w:t>Lợi suất thu nhập</w:t>
                  </w:r>
                </w:p>
              </w:tc>
              <w:tc>
                <w:tcPr>
                  <w:tcW w:type="auto" w:w="0"/>
                  <w:shd w:val="clear" w:color="auto" w:fill="F0F0F0"/>
                </w:tcPr>
                <w:p>
                  <w:pPr>
                    <w:pStyle w:val="Normal"/>
                    <w:keepLines w:val="on"/>
                  </w:pPr>
                  <w:r>
                    <w:t>1,0000</w:t>
                  </w: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Lãi suất trái phiếu kho bạc</w:t>
                  </w:r>
                </w:p>
              </w:tc>
              <w:tc>
                <w:tcPr>
                  <w:tcW w:type="auto" w:w="0"/>
                  <w:shd w:val="clear" w:color="auto" w:fill="F0F0F0"/>
                </w:tcPr>
                <w:p>
                  <w:pPr>
                    <w:pStyle w:val="Normal"/>
                    <w:keepLines w:val="on"/>
                  </w:pPr>
                  <w:r>
                    <w:t>0,6876</w:t>
                  </w:r>
                </w:p>
              </w:tc>
              <w:tc>
                <w:tcPr>
                  <w:tcW w:type="auto" w:w="0"/>
                  <w:shd w:val="clear" w:color="auto" w:fill="F0F0F0"/>
                </w:tcPr>
                <w:p>
                  <w:pPr>
                    <w:pStyle w:val="Normal"/>
                    <w:keepLines w:val="on"/>
                  </w:pPr>
                  <w:r>
                    <w:t>1,0000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Trái phiếu kho bạc – Tín phiếu kho bạc</w:t>
                  </w:r>
                </w:p>
              </w:tc>
              <w:tc>
                <w:tcPr>
                  <w:tcW w:type="auto" w:w="0"/>
                  <w:shd w:val="clear" w:color="auto" w:fill="F0F0F0"/>
                </w:tcPr>
                <w:p>
                  <w:pPr>
                    <w:pStyle w:val="Normal"/>
                    <w:keepLines w:val="on"/>
                  </w:pPr>
                  <w:r>
                    <w:t>−0,0766</w:t>
                  </w:r>
                </w:p>
              </w:tc>
              <w:tc>
                <w:tcPr>
                  <w:tcW w:type="auto" w:w="0"/>
                  <w:shd w:val="clear" w:color="auto" w:fill="F0F0F0"/>
                </w:tcPr>
                <w:p>
                  <w:pPr>
                    <w:pStyle w:val="Normal"/>
                    <w:keepLines w:val="on"/>
                  </w:pPr>
                  <w:r>
                    <w:t>−0,0256</w:t>
                  </w:r>
                </w:p>
              </w:tc>
              <w:tc>
                <w:tcPr>
                  <w:tcW w:type="auto" w:w="0"/>
                  <w:shd w:val="clear" w:color="auto" w:fill="F0F0F0"/>
                </w:tcPr>
                <w:p>
                  <w:pPr>
                    <w:pStyle w:val="Normal"/>
                    <w:keepLines w:val="on"/>
                  </w:pPr>
                  <w:r>
                    <w:t>1,0000</w:t>
                  </w:r>
                </w:p>
              </w:tc>
            </w:tr>
          </w:tbl>
          <w:p/>
        </w:tc>
      </w:tr>
    </w:tbl>
    <w:p>
      <w:pPr>
        <w:pStyle w:val="Para 04"/>
        <w:keepLines w:val="on"/>
      </w:pPr>
      <w:r>
        <w:t>Trong Hình 18.6, chúng ta xem xét những biến động của lợi suất thu nhập (tỷ số thu nhập trên giá), lãi suất trái phiếu kho bạc kỳ hạn mười năm, và chênh lệch giữa lãi suất trái phiếu kho bạc và tín phiếu kho bạc trong giai đoạn từ 1960 đến 2023:</w:t>
      </w:r>
    </w:p>
    <w:p>
      <w:bookmarkStart w:id="3569" w:name="Figure_18_6_EP_Ratios_and_Intere"/>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97100" cy="1841500"/>
            <wp:effectExtent l="0" r="0" t="0" b="0"/>
            <wp:wrapTopAndBottom/>
            <wp:docPr id="161" name="c18f006.png" descr="Line graph plots the decrease in Earnings Yield, T. Bond Rate, and Bond-Bill from 1960 to 2023."/>
            <wp:cNvGraphicFramePr>
              <a:graphicFrameLocks noChangeAspect="1"/>
            </wp:cNvGraphicFramePr>
            <a:graphic>
              <a:graphicData uri="http://schemas.openxmlformats.org/drawingml/2006/picture">
                <pic:pic>
                  <pic:nvPicPr>
                    <pic:cNvPr id="0" name="c18f006.png" descr="Line graph plots the decrease in Earnings Yield, T. Bond Rate, and Bond-Bill from 1960 to 2023."/>
                    <pic:cNvPicPr/>
                  </pic:nvPicPr>
                  <pic:blipFill>
                    <a:blip r:embed="rId114"/>
                    <a:stretch>
                      <a:fillRect/>
                    </a:stretch>
                  </pic:blipFill>
                  <pic:spPr>
                    <a:xfrm>
                      <a:off x="0" y="0"/>
                      <a:ext cx="2197100" cy="1841500"/>
                    </a:xfrm>
                    <a:prstGeom prst="rect">
                      <a:avLst/>
                    </a:prstGeom>
                  </pic:spPr>
                </pic:pic>
              </a:graphicData>
            </a:graphic>
          </wp:anchor>
        </w:drawing>
      </w:r>
      <w:bookmarkEnd w:id="3569"/>
    </w:p>
    <w:p>
      <w:pPr>
        <w:keepNext/>
        <w:pStyle w:val="Para 38"/>
        <w:keepLines w:val="on"/>
      </w:pPr>
      <w:r>
        <w:t>HÌNH 18.6 Tỷ lệ EP và Lãi suất: 1960–2023</w:t>
      </w:r>
    </w:p>
    <w:p>
      <w:pPr>
        <w:pStyle w:val="Para 04"/>
        <w:keepLines w:val="on"/>
      </w:pPr>
      <w:r>
        <w:t>Như bạn thấy đấy, khi lãi suất dài hạn thấp, tỷ lệ thu nhập trên giá (EP ratio) có xu hướng thấp (tỷ lệ PE cao), có thể giải thích cho mức bội số thu nhập cao mà cổ phiếu được giao dịch trong phần lớn thập kỷ trước (2010–2020). Trong hồi quy sau đây, chúng ta hồi quy tỷ lệ EP theo mức lãi suất trái phiếu kho bạc (T-bond) kỳ hạn 10 năm và chênh lệch lợi suất (lãi suất trái phiếu kho bạc 10 năm trừ lãi suất tín phiếu kho bạc 3 tháng), sử dụng dữ liệu từ năm 1960 đến 2023.</w:t>
      </w:r>
    </w:p>
    <w:p>
      <w:bookmarkStart w:id="3570" w:name="EP_0_0350_0_5576_T_bond_rate___0"/>
      <w:pPr>
        <w:keepNext/>
        <w:pStyle w:val="Para 07"/>
        <w:keepLines w:val="on"/>
      </w:pPr>
      <w:r>
        <w:t>EP=0.0350+0.5576 T-bond rate−0.1161(T-bond rate−T-bill rate)  R2=0.478           (6.57)     (7.40)                           (−0.64)</w:t>
      </w:r>
      <w:bookmarkEnd w:id="3570"/>
    </w:p>
    <w:p>
      <w:pPr>
        <w:pStyle w:val="Para 04"/>
        <w:keepLines w:val="on"/>
      </w:pPr>
      <w:r>
        <w:t>Các yếu tố khác không đổi, hồi quy này gợi ý rằng:</w:t>
      </w:r>
    </w:p>
    <w:p>
      <w:pPr>
        <w:numPr>
          <w:ilvl w:val="0"/>
          <w:numId w:val="174"/>
        </w:numPr>
        <w:pStyle w:val="Para 18"/>
        <w:keepLines w:val="on"/>
      </w:pPr>
      <w:r>
        <w:t>Mỗi 1% tăng trong lãi suất trái phiếu kho bạc làm tăng tỷ lệ EP thêm 0.5576%. Điều này không có gì đáng ngạc nhiên, nhưng nó định lượng được tác động mà lãi suất cao hơn gây ra đối với tỷ lệ PE.</w:t>
      </w:r>
    </w:p>
    <w:p>
      <w:pPr>
        <w:numPr>
          <w:ilvl w:val="0"/>
          <w:numId w:val="174"/>
        </w:numPr>
        <w:pStyle w:val="Para 18"/>
        <w:keepLines w:val="on"/>
      </w:pPr>
      <w:r>
        <w:t>Mỗi 1% tăng trong chênh lệch giữa lãi suất trái phiếu kho bạc và tín phiếu kho bạc làm giảm tỷ lệ EP đi 0.1161%. Đường cong lợi suất kỳ hạn phẳng hơn hoặc dốc xuống dường như tương ứng với tỷ lệ PE thấp hơn, và đường cong lợi suất dốc lên tương ứng với tỷ lệ PE cao hơn. Thoạt nhìn, điều này có vẻ đáng ngạc nhiên, nhưng độ dốc của đường cong lợi suất, ít nhất là ở Hoa Kỳ, đã là một chỉ báo dẫn dắt về tăng trưởng kinh tế, với những đường cong dốc lên nhiều hơn đi kèm với tăng trưởng cao hơn. Dù vậy, dường như mối quan hệ này không có ý nghĩa thống kê, và đó là một sự khác biệt so với quá khứ. Ví dụ, khi chúng tôi chạy cùng một hồi quy vào năm 2008, chúng tôi thu được kết quả như sau:</w:t>
      </w:r>
    </w:p>
    <w:p>
      <w:bookmarkStart w:id="3572" w:name="EP_0_0256___0_7044_T_bond_rate"/>
      <w:pPr>
        <w:keepNext/>
        <w:pStyle w:val="Para 07"/>
        <w:keepLines w:val="on"/>
      </w:pPr>
      <w:r>
        <w:t>EP=0.0256 + 0.7044 T-bond rate−0.3289 (T-bond rate - T-bill rate)R2= 0.507           (4.71)      (7.10)                            (1.46)</w:t>
      </w:r>
      <w:bookmarkEnd w:id="3572"/>
    </w:p>
    <w:p>
      <w:pPr>
        <w:pStyle w:val="Para 04"/>
        <w:keepLines w:val="on"/>
      </w:pPr>
      <w:r>
        <w:t>Nói đơn giản, có vẻ như hiệu ứng đường cong lợi suất đã yếu đi trong vài thập kỷ qua, có lẽ vì lãi suất dài hạn đã chạm mức thấp nhất trong lịch sử trong giai đoạn đó.</w:t>
      </w:r>
    </w:p>
    <w:p>
      <w:pPr>
        <w:pStyle w:val="Para 04"/>
        <w:keepLines w:val="on"/>
      </w:pPr>
      <w:r>
        <w:t>Dựa trên hồi quy này, tỷ lệ EP dự đoán vào đầu năm 2024, với lãi suất tín phiếu kho bạc ở mức 4.61% và lãi suất trái phiếu kho bạc ở mức 3.88%, sẽ là:</w:t>
      </w:r>
    </w:p>
    <w:p>
      <w:bookmarkStart w:id="3573" w:name="Predicted_EP_0_0350_0_5576__0388"/>
      <w:pPr>
        <w:keepNext/>
        <w:pStyle w:val="Para 07"/>
        <w:keepLines w:val="on"/>
      </w:pPr>
      <w:r>
        <w:t>Predicted EP=0.0350+0.5576(.0388)−0.1161(.0388−.0461)=0.0575 or 5.75%Predicted PE=1/.0575=17.40</w:t>
      </w:r>
      <w:bookmarkEnd w:id="3573"/>
    </w:p>
    <w:p>
      <w:pPr>
        <w:pStyle w:val="Para 04"/>
        <w:keepLines w:val="on"/>
      </w:pPr>
      <w:r>
        <w:t>Vì S&amp;P 500 đang được giao dịch ở mức bội số 21.71 lần thu nhập vào đầu năm 2024, điều này sẽ cho thấy một thị trường bị định giá quá cao. Hồi quy này có thể được làm phong phú thêm bằng cách thêm các biến khác lẽ ra phải tương quan với tỷ lệ giá trên thu nhập, chẳng hạn như tăng trưởng kỳ vọng của tổng sản phẩm quốc dân (GNP) và tỷ lệ chi trả cổ tức làm biến độc lập. Thực tế, có thể lập luận rằng dòng cổ phiếu công nghệ đổ vào S&amp;P 500 trong hai thập kỷ qua, sự gia tăng tỷ suất sinh lời trên vốn chủ sở hữu (return on equity) tại các công ty Hoa Kỳ trong cùng giai đoạn, và sự sụt giảm của phần bù rủi ro (risk premium) đều có thể giải thích cho sự gia tăng tỷ lệ PE trong giai đoạn này.</w:t>
      </w:r>
    </w:p>
    <w:p>
      <w:pPr>
        <w:pStyle w:val="Para 20"/>
      </w:pPr>
      <w:r>
        <w:rPr>
          <w:rStyle w:val="Text26"/>
        </w:rPr>
        <w:bookmarkStart w:id="3574" w:name="Page_546"/>
        <w:t/>
        <w:bookmarkEnd w:id="3574"/>
      </w:r>
      <w:r>
        <w:t xml:space="preserve"> </w:t>
      </w:r>
    </w:p>
    <w:p>
      <w:bookmarkStart w:id="3575" w:name="Comparing_PE_Ratios_Across_Count"/>
      <w:bookmarkStart w:id="3576" w:name="Comparing_PE_Ratios_Across_Count_1"/>
      <w:pPr>
        <w:keepNext/>
        <w:pStyle w:val="Heading 4"/>
        <w:keepLines w:val="on"/>
      </w:pPr>
      <w:r>
        <w:t>So sánh tỷ lệ PE giữa các quốc gia</w:t>
      </w:r>
      <w:bookmarkEnd w:id="3575"/>
      <w:bookmarkEnd w:id="3576"/>
    </w:p>
    <w:p>
      <w:pPr>
        <w:pStyle w:val="Para 03"/>
      </w:pPr>
      <w:r>
        <w:t>Người ta thường so sánh tỷ lệ giá trên thu nhập giữa các quốc gia khác nhau với ý định tìm ra những thị trường bị định giá thấp và bị định giá quá cao. Những thị trường có tỷ lệ PE thấp hơn được xem là bị định giá thấp, và những thị trường có tỷ lệ PE cao hơn được coi là bị định giá quá cao. Với những khác biệt lớn tồn tại giữa các quốc gia về các yếu tố cơ bản, việc đưa ra những kết luận này là gây nhầm lẫn. Ví dụ, bạn sẽ kỳ vọng thấy những điều sau đây, với các yếu tố khác không đổi:</w:t>
      </w:r>
    </w:p>
    <w:p>
      <w:pPr>
        <w:numPr>
          <w:ilvl w:val="0"/>
          <w:numId w:val="175"/>
        </w:numPr>
        <w:pStyle w:val="Para 01"/>
      </w:pPr>
      <w:r>
        <w:t>Các quốc gia có lãi suất thực cao hơn nên có tỷ lệ PE thấp hơn các quốc gia có lãi suất thực thấp hơn.</w:t>
      </w:r>
    </w:p>
    <w:p>
      <w:pPr>
        <w:numPr>
          <w:ilvl w:val="0"/>
          <w:numId w:val="175"/>
        </w:numPr>
        <w:pStyle w:val="Para 01"/>
      </w:pPr>
      <w:r>
        <w:t>Các quốc gia có tăng trưởng thực kỳ vọng cao hơn nên có tỷ lệ PE cao hơn các quốc gia có tăng trưởng thực thấp hơn.</w:t>
      </w:r>
    </w:p>
    <w:p>
      <w:pPr>
        <w:numPr>
          <w:ilvl w:val="0"/>
          <w:numId w:val="175"/>
        </w:numPr>
        <w:pStyle w:val="Para 01"/>
      </w:pPr>
      <w:r>
        <w:t>Các quốc gia được xem là rủi ro hơn (và do đó đòi hỏi phần bù rủi ro cao hơn) nên có tỷ lệ PE thấp hơn các quốc gia an toàn hơn.</w:t>
      </w:r>
    </w:p>
    <w:p>
      <w:pPr>
        <w:numPr>
          <w:ilvl w:val="0"/>
          <w:numId w:val="175"/>
        </w:numPr>
        <w:pStyle w:val="Para 01"/>
      </w:pPr>
      <w:r>
        <w:t>Các quốc gia nơi các công ty đầu tư hiệu quả hơn (và kiếm được tỷ suất sinh lời trên vốn chủ sở hữu cao hơn từ những khoản đầu tư này) nên được giao dịch ở tỷ lệ PE cao hơn.</w:t>
      </w:r>
    </w:p>
    <w:p>
      <w:pPr>
        <w:pStyle w:val="Para 11"/>
      </w:pPr>
      <w:r>
        <w:t/>
        <w:t xml:space="preserve"> </w:t>
      </w:r>
    </w:p>
    <w:p>
      <w:bookmarkStart w:id="3577" w:name="ILLUSTRATION_18_5__PE_Ratios_in_1"/>
      <w:bookmarkStart w:id="3578" w:name="ILLUSTRATION_18_5__PE_Ratios_in"/>
      <w:pPr>
        <w:keepNext/>
        <w:pStyle w:val="Para 19"/>
        <w:keepLines w:val="on"/>
      </w:pPr>
      <w:r>
        <w:t>MINH HỌA 18.5: Tỷ lệ PE trong các thị trường có các yếu tố cơ bản khác nhau</w:t>
      </w:r>
      <w:bookmarkEnd w:id="3577"/>
      <w:bookmarkEnd w:id="3578"/>
    </w:p>
    <w:p>
      <w:pPr>
        <w:pStyle w:val="Para 04"/>
        <w:keepLines w:val="on"/>
      </w:pPr>
      <w:r>
        <w:t>Bảng 18.5 tóm tắt các số liệu thống kê kinh tế cho các thị trường chứng khoán ở hai quốc gia khác nhau—quốc gia 1 và quốc gia 2. Khác biệt chính giữa hai quốc gia là lãi suất thực ở quốc gia 1 cao hơn nhiều.</w:t>
      </w:r>
    </w:p>
    <w:p>
      <w:pPr>
        <w:pStyle w:val="Para 25"/>
        <w:keepLines w:val="on"/>
      </w:pPr>
      <w:r>
        <w:t>Bảng 18.5</w:t>
      </w:r>
    </w:p>
    <w:p>
      <w:pPr>
        <w:keepNext/>
        <w:pStyle w:val="Para 24"/>
        <w:keepLines w:val="on"/>
      </w:pPr>
      <w:r>
        <w:t>Tóm tắt các số liệu thống kê kinh tế vĩ mô</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Quốc gia 1</w:t>
                  </w:r>
                </w:p>
              </w:tc>
              <w:tc>
                <w:tcPr>
                  <w:tcW w:type="auto" w:w="0"/>
                  <w:shd w:val="clear" w:color="auto" w:fill="F0F0F0"/>
                </w:tcPr>
                <w:p>
                  <w:pPr>
                    <w:pStyle w:val="Para 05"/>
                    <w:keepLines w:val="on"/>
                  </w:pPr>
                  <w:r>
                    <w:t>Quốc gia 2</w:t>
                  </w:r>
                </w:p>
              </w:tc>
            </w:tr>
            <w:tr>
              <w:tc>
                <w:tcPr>
                  <w:tcW w:type="auto" w:w="0"/>
                  <w:shd w:val="clear" w:color="auto" w:fill="F0F0F0"/>
                </w:tcPr>
                <w:p>
                  <w:pPr>
                    <w:pStyle w:val="Para 02"/>
                    <w:keepLines w:val="on"/>
                  </w:pPr>
                  <w:r>
                    <w:t>Lãi suất trái phiếu kho bạc</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5,00%</w:t>
                  </w:r>
                </w:p>
              </w:tc>
            </w:tr>
            <w:tr>
              <w:tc>
                <w:tcPr>
                  <w:tcW w:type="auto" w:w="0"/>
                  <w:shd w:val="clear" w:color="auto" w:fill="F0F0F0"/>
                </w:tcPr>
                <w:p>
                  <w:pPr>
                    <w:pStyle w:val="Para 02"/>
                    <w:keepLines w:val="on"/>
                  </w:pPr>
                  <w:r>
                    <w:t>Phần bù thị trường</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5,50%</w:t>
                  </w:r>
                </w:p>
              </w:tc>
            </w:tr>
            <w:tr>
              <w:tc>
                <w:tcPr>
                  <w:tcW w:type="auto" w:w="0"/>
                  <w:shd w:val="clear" w:color="auto" w:fill="F0F0F0"/>
                </w:tcPr>
                <w:p>
                  <w:pPr>
                    <w:pStyle w:val="Para 02"/>
                    <w:keepLines w:val="on"/>
                  </w:pPr>
                  <w:r>
                    <w:t>Lạm phát kỳ vọng</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4,00%</w:t>
                  </w:r>
                </w:p>
              </w:tc>
            </w:tr>
            <w:tr>
              <w:tc>
                <w:tcPr>
                  <w:tcW w:type="auto" w:w="0"/>
                  <w:shd w:val="clear" w:color="auto" w:fill="F0F0F0"/>
                </w:tcPr>
                <w:p>
                  <w:pPr>
                    <w:pStyle w:val="Para 02"/>
                    <w:keepLines w:val="on"/>
                  </w:pPr>
                  <w:r>
                    <w:t>Tăng trưởng kỳ vọng của GNP thực</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3,00%</w:t>
                  </w:r>
                </w:p>
              </w:tc>
            </w:tr>
            <w:tr>
              <w:tc>
                <w:tcPr>
                  <w:tcW w:type="auto" w:w="0"/>
                  <w:shd w:val="clear" w:color="auto" w:fill="F0F0F0"/>
                </w:tcPr>
                <w:p>
                  <w:pPr>
                    <w:pStyle w:val="Para 02"/>
                    <w:keepLines w:val="on"/>
                  </w:pPr>
                  <w:r>
                    <w:t>Tỷ lệ chi trả cổ tức bình quân</w:t>
                  </w:r>
                </w:p>
              </w:tc>
              <w:tc>
                <w:tcPr>
                  <w:tcW w:type="auto" w:w="0"/>
                  <w:shd w:val="clear" w:color="auto" w:fill="F0F0F0"/>
                </w:tcPr>
                <w:p>
                  <w:pPr>
                    <w:pStyle w:val="Normal"/>
                    <w:keepLines w:val="on"/>
                  </w:pPr>
                  <w:r>
                    <w:t>50%</w:t>
                  </w:r>
                </w:p>
              </w:tc>
              <w:tc>
                <w:tcPr>
                  <w:tcW w:type="auto" w:w="0"/>
                  <w:shd w:val="clear" w:color="auto" w:fill="F0F0F0"/>
                </w:tcPr>
                <w:p>
                  <w:pPr>
                    <w:pStyle w:val="Normal"/>
                    <w:keepLines w:val="on"/>
                  </w:pPr>
                  <w:r>
                    <w:t>50%</w:t>
                  </w:r>
                </w:p>
              </w:tc>
            </w:tr>
            <w:tr>
              <w:tc>
                <w:tcPr>
                  <w:tcW w:type="auto" w:w="0"/>
                  <w:shd w:val="clear" w:color="auto" w:fill="F0F0F0"/>
                </w:tcPr>
                <w:p>
                  <w:pPr>
                    <w:pStyle w:val="Para 02"/>
                    <w:keepLines w:val="on"/>
                  </w:pPr>
                  <w:r>
                    <w:t>Tỷ số PE kỳ vọng</w:t>
                  </w:r>
                </w:p>
              </w:tc>
              <w:tc>
                <w:tcPr>
                  <w:tcW w:type="auto" w:w="0"/>
                  <w:shd w:val="clear" w:color="auto" w:fill="F0F0F0"/>
                </w:tcPr>
                <w:p>
                  <w:pPr>
                    <w:pStyle w:val="Normal"/>
                    <w:keepLines w:val="on"/>
                  </w:pPr>
                  <w:r>
                    <w:t>(0,5 × 1,06)/(,14 − ,06) = 6,625</w:t>
                  </w:r>
                </w:p>
              </w:tc>
              <w:tc>
                <w:tcPr>
                  <w:tcW w:type="auto" w:w="0"/>
                  <w:shd w:val="clear" w:color="auto" w:fill="F0F0F0"/>
                </w:tcPr>
                <w:p>
                  <w:pPr>
                    <w:pStyle w:val="Normal"/>
                    <w:keepLines w:val="on"/>
                  </w:pPr>
                  <w:r>
                    <w:t>(0,5 × 1,07)/(,105 − ,07) = 15,29</w:t>
                  </w:r>
                </w:p>
              </w:tc>
            </w:tr>
          </w:tbl>
          <w:p/>
        </w:tc>
      </w:tr>
    </w:tbl>
    <w:p>
      <w:pPr>
        <w:pStyle w:val="Para 04"/>
        <w:keepLines w:val="on"/>
      </w:pPr>
      <w:r>
        <w:t>Trong trường hợp này, tỷ số PE kỳ vọng ở quốc gia 2 cao hơn đáng kể so với tỷ số PE ở quốc gia 1, nhưng điều đó có thể được biện minh dựa trên sự khác biệt về các yếu tố cơ bản tài chính. (Lưu ý rằng tăng trưởng danh nghĩa = tốc độ tăng trưởng thực + lạm phát kỳ vọng.)</w:t>
      </w:r>
    </w:p>
    <w:p>
      <w:pPr>
        <w:pStyle w:val="Para 11"/>
      </w:pPr>
      <w:r>
        <w:t/>
        <w:t xml:space="preserve"> </w:t>
      </w:r>
    </w:p>
    <w:p>
      <w:bookmarkStart w:id="3581" w:name="ILLUSTRATION_18_6__Comparing_PE_1"/>
      <w:bookmarkStart w:id="3582" w:name="ILLUSTRATION_18_6__Comparing_PE"/>
      <w:pPr>
        <w:keepNext/>
        <w:pStyle w:val="Para 19"/>
        <w:keepLines w:val="on"/>
      </w:pPr>
      <w:r>
        <w:t>MINH HỌA 18.6: So sánh tỷ số PE giữa các thị trường—Tháng 7 năm 2000</w:t>
      </w:r>
      <w:bookmarkEnd w:id="3581"/>
      <w:bookmarkEnd w:id="3582"/>
    </w:p>
    <w:p>
      <w:pPr>
        <w:pStyle w:val="Para 04"/>
        <w:keepLines w:val="on"/>
      </w:pPr>
      <w:r>
        <w:t>Nguyên tắc này có thể được mở rộng để so sánh rộng hơn các tỷ số PE giữa các quốc gia. Bảng 18.6 tóm tắt tỷ số PE trên các thị trường phát triển khác nhau vào tháng 7 năm 2000, cùng với lợi suất cổ tức và lãi suất (ngắn hạn và dài hạn) tại thời điểm đó:</w:t>
      </w:r>
    </w:p>
    <w:p>
      <w:pPr>
        <w:pStyle w:val="Para 25"/>
        <w:keepLines w:val="on"/>
      </w:pPr>
      <w:r>
        <w:t>Bảng 18.6</w:t>
      </w:r>
    </w:p>
    <w:p>
      <w:pPr>
        <w:keepNext/>
        <w:pStyle w:val="Para 24"/>
        <w:keepLines w:val="on"/>
      </w:pPr>
      <w:r>
        <w:t>Đặc điểm thị trường—So sánh giữa các quốc gia</w:t>
      </w:r>
    </w:p>
    <w:tbl>
      <w:tblPr>
        <w:tblW w:type="auto" w:w="0"/>
      </w:tblPr>
      <w:tr>
        <w:tc>
          <w:tcPr>
            <w:tcW w:type="auto" w:w="0"/>
          </w:tcPr>
          <w:tbl>
            <w:tblPr>
              <w:tblW w:type="auto" w:w="0"/>
            </w:tblPr>
            <w:tr>
              <w:tc>
                <w:tcPr>
                  <w:tcW w:type="auto" w:w="0"/>
                  <w:shd w:val="clear" w:color="auto" w:fill="F0F0F0"/>
                </w:tcPr>
                <w:p>
                  <w:pPr>
                    <w:pStyle w:val="Para 32"/>
                    <w:keepLines w:val="on"/>
                  </w:pPr>
                  <w:r>
                    <w:t>Quốc gia</w:t>
                  </w:r>
                </w:p>
              </w:tc>
              <w:tc>
                <w:tcPr>
                  <w:tcW w:type="auto" w:w="0"/>
                  <w:shd w:val="clear" w:color="auto" w:fill="F0F0F0"/>
                </w:tcPr>
                <w:p>
                  <w:pPr>
                    <w:pStyle w:val="Para 05"/>
                    <w:keepLines w:val="on"/>
                  </w:pPr>
                  <w:r>
                    <w:t>PE</w:t>
                  </w:r>
                </w:p>
              </w:tc>
              <w:tc>
                <w:tcPr>
                  <w:tcW w:type="auto" w:w="0"/>
                  <w:shd w:val="clear" w:color="auto" w:fill="F0F0F0"/>
                </w:tcPr>
                <w:p>
                  <w:pPr>
                    <w:pStyle w:val="Para 05"/>
                    <w:keepLines w:val="on"/>
                  </w:pPr>
                  <w:r>
                    <w:t>Lợi suất cổ tức</w:t>
                  </w:r>
                </w:p>
              </w:tc>
              <w:tc>
                <w:tcPr>
                  <w:tcW w:type="auto" w:w="0"/>
                  <w:shd w:val="clear" w:color="auto" w:fill="F0F0F0"/>
                </w:tcPr>
                <w:p>
                  <w:pPr>
                    <w:pStyle w:val="Para 05"/>
                    <w:keepLines w:val="on"/>
                  </w:pPr>
                  <w:r>
                    <w:t>Lãi suất 2 năm</w:t>
                  </w:r>
                </w:p>
              </w:tc>
              <w:tc>
                <w:tcPr>
                  <w:tcW w:type="auto" w:w="0"/>
                  <w:shd w:val="clear" w:color="auto" w:fill="F0F0F0"/>
                </w:tcPr>
                <w:p>
                  <w:pPr>
                    <w:pStyle w:val="Para 05"/>
                    <w:keepLines w:val="on"/>
                  </w:pPr>
                  <w:r>
                    <w:t>Lãi suất kỳ hạn 10 năm</w:t>
                  </w:r>
                </w:p>
              </w:tc>
              <w:tc>
                <w:tcPr>
                  <w:tcW w:type="auto" w:w="0"/>
                  <w:shd w:val="clear" w:color="auto" w:fill="F0F0F0"/>
                </w:tcPr>
                <w:p>
                  <w:pPr>
                    <w:pStyle w:val="Para 05"/>
                    <w:keepLines w:val="on"/>
                  </w:pPr>
                  <w:r>
                    <w:t>Kỳ hạn 10 năm – Kỳ hạn 2 năm</w:t>
                  </w:r>
                </w:p>
              </w:tc>
            </w:tr>
            <w:tr>
              <w:tc>
                <w:tcPr>
                  <w:tcW w:type="auto" w:w="0"/>
                  <w:shd w:val="clear" w:color="auto" w:fill="F0F0F0"/>
                </w:tcPr>
                <w:p>
                  <w:pPr>
                    <w:pStyle w:val="Para 02"/>
                    <w:keepLines w:val="on"/>
                  </w:pPr>
                  <w:r>
                    <w:t>Vương quốc Anh</w:t>
                  </w:r>
                </w:p>
              </w:tc>
              <w:tc>
                <w:tcPr>
                  <w:tcW w:type="auto" w:w="0"/>
                  <w:shd w:val="clear" w:color="auto" w:fill="F0F0F0"/>
                </w:tcPr>
                <w:p>
                  <w:pPr>
                    <w:pStyle w:val="Normal"/>
                    <w:keepLines w:val="on"/>
                  </w:pPr>
                  <w:r>
                    <w:t>22,02</w:t>
                  </w:r>
                </w:p>
              </w:tc>
              <w:tc>
                <w:tcPr>
                  <w:tcW w:type="auto" w:w="0"/>
                  <w:shd w:val="clear" w:color="auto" w:fill="F0F0F0"/>
                </w:tcPr>
                <w:p>
                  <w:pPr>
                    <w:pStyle w:val="Normal"/>
                    <w:keepLines w:val="on"/>
                  </w:pPr>
                  <w:r>
                    <w:t>2,59%</w:t>
                  </w:r>
                </w:p>
              </w:tc>
              <w:tc>
                <w:tcPr>
                  <w:tcW w:type="auto" w:w="0"/>
                  <w:shd w:val="clear" w:color="auto" w:fill="F0F0F0"/>
                </w:tcPr>
                <w:p>
                  <w:pPr>
                    <w:pStyle w:val="Normal"/>
                    <w:keepLines w:val="on"/>
                  </w:pPr>
                  <w:r>
                    <w:t>5,93%</w:t>
                  </w:r>
                </w:p>
              </w:tc>
              <w:tc>
                <w:tcPr>
                  <w:tcW w:type="auto" w:w="0"/>
                  <w:shd w:val="clear" w:color="auto" w:fill="F0F0F0"/>
                </w:tcPr>
                <w:p>
                  <w:pPr>
                    <w:pStyle w:val="Normal"/>
                    <w:keepLines w:val="on"/>
                  </w:pPr>
                  <w:r>
                    <w:t>5,85%</w:t>
                  </w:r>
                </w:p>
              </w:tc>
              <w:tc>
                <w:tcPr>
                  <w:tcW w:type="auto" w:w="0"/>
                  <w:shd w:val="clear" w:color="auto" w:fill="F0F0F0"/>
                </w:tcPr>
                <w:p>
                  <w:pPr>
                    <w:pStyle w:val="Normal"/>
                    <w:keepLines w:val="on"/>
                  </w:pPr>
                  <w:r>
                    <w:t>−0,08%</w:t>
                  </w:r>
                </w:p>
              </w:tc>
            </w:tr>
            <w:tr>
              <w:tc>
                <w:tcPr>
                  <w:tcW w:type="auto" w:w="0"/>
                  <w:shd w:val="clear" w:color="auto" w:fill="F0F0F0"/>
                </w:tcPr>
                <w:p>
                  <w:pPr>
                    <w:pStyle w:val="Para 02"/>
                    <w:keepLines w:val="on"/>
                  </w:pPr>
                  <w:r>
                    <w:t>Đức</w:t>
                  </w:r>
                </w:p>
              </w:tc>
              <w:tc>
                <w:tcPr>
                  <w:tcW w:type="auto" w:w="0"/>
                  <w:shd w:val="clear" w:color="auto" w:fill="F0F0F0"/>
                </w:tcPr>
                <w:p>
                  <w:pPr>
                    <w:pStyle w:val="Normal"/>
                    <w:keepLines w:val="on"/>
                  </w:pPr>
                  <w:r>
                    <w:t>26,33</w:t>
                  </w:r>
                </w:p>
              </w:tc>
              <w:tc>
                <w:tcPr>
                  <w:tcW w:type="auto" w:w="0"/>
                  <w:shd w:val="clear" w:color="auto" w:fill="F0F0F0"/>
                </w:tcPr>
                <w:p>
                  <w:pPr>
                    <w:pStyle w:val="Normal"/>
                    <w:keepLines w:val="on"/>
                  </w:pPr>
                  <w:r>
                    <w:t>1,88%</w:t>
                  </w:r>
                </w:p>
              </w:tc>
              <w:tc>
                <w:tcPr>
                  <w:tcW w:type="auto" w:w="0"/>
                  <w:shd w:val="clear" w:color="auto" w:fill="F0F0F0"/>
                </w:tcPr>
                <w:p>
                  <w:pPr>
                    <w:pStyle w:val="Normal"/>
                    <w:keepLines w:val="on"/>
                  </w:pPr>
                  <w:r>
                    <w:t>5,06%</w:t>
                  </w:r>
                </w:p>
              </w:tc>
              <w:tc>
                <w:tcPr>
                  <w:tcW w:type="auto" w:w="0"/>
                  <w:shd w:val="clear" w:color="auto" w:fill="F0F0F0"/>
                </w:tcPr>
                <w:p>
                  <w:pPr>
                    <w:pStyle w:val="Normal"/>
                    <w:keepLines w:val="on"/>
                  </w:pPr>
                  <w:r>
                    <w:t>5,32%</w:t>
                  </w:r>
                </w:p>
              </w:tc>
              <w:tc>
                <w:tcPr>
                  <w:tcW w:type="auto" w:w="0"/>
                  <w:shd w:val="clear" w:color="auto" w:fill="F0F0F0"/>
                </w:tcPr>
                <w:p>
                  <w:pPr>
                    <w:pStyle w:val="Normal"/>
                    <w:keepLines w:val="on"/>
                  </w:pPr>
                  <w:r>
                    <w:t>0,26%</w:t>
                  </w:r>
                </w:p>
              </w:tc>
            </w:tr>
            <w:tr>
              <w:tc>
                <w:tcPr>
                  <w:tcW w:type="auto" w:w="0"/>
                  <w:shd w:val="clear" w:color="auto" w:fill="F0F0F0"/>
                </w:tcPr>
                <w:p>
                  <w:pPr>
                    <w:pStyle w:val="Para 02"/>
                    <w:keepLines w:val="on"/>
                  </w:pPr>
                  <w:r>
                    <w:t>Pháp</w:t>
                  </w:r>
                </w:p>
              </w:tc>
              <w:tc>
                <w:tcPr>
                  <w:tcW w:type="auto" w:w="0"/>
                  <w:shd w:val="clear" w:color="auto" w:fill="F0F0F0"/>
                </w:tcPr>
                <w:p>
                  <w:pPr>
                    <w:pStyle w:val="Normal"/>
                    <w:keepLines w:val="on"/>
                  </w:pPr>
                  <w:r>
                    <w:t>29,04</w:t>
                  </w:r>
                </w:p>
              </w:tc>
              <w:tc>
                <w:tcPr>
                  <w:tcW w:type="auto" w:w="0"/>
                  <w:shd w:val="clear" w:color="auto" w:fill="F0F0F0"/>
                </w:tcPr>
                <w:p>
                  <w:pPr>
                    <w:pStyle w:val="Normal"/>
                    <w:keepLines w:val="on"/>
                  </w:pPr>
                  <w:r>
                    <w:t>1,34%</w:t>
                  </w:r>
                </w:p>
              </w:tc>
              <w:tc>
                <w:tcPr>
                  <w:tcW w:type="auto" w:w="0"/>
                  <w:shd w:val="clear" w:color="auto" w:fill="F0F0F0"/>
                </w:tcPr>
                <w:p>
                  <w:pPr>
                    <w:pStyle w:val="Normal"/>
                    <w:keepLines w:val="on"/>
                  </w:pPr>
                  <w:r>
                    <w:t>5,11%</w:t>
                  </w:r>
                </w:p>
              </w:tc>
              <w:tc>
                <w:tcPr>
                  <w:tcW w:type="auto" w:w="0"/>
                  <w:shd w:val="clear" w:color="auto" w:fill="F0F0F0"/>
                </w:tcPr>
                <w:p>
                  <w:pPr>
                    <w:pStyle w:val="Normal"/>
                    <w:keepLines w:val="on"/>
                  </w:pPr>
                  <w:r>
                    <w:t>5,48%</w:t>
                  </w:r>
                </w:p>
              </w:tc>
              <w:tc>
                <w:tcPr>
                  <w:tcW w:type="auto" w:w="0"/>
                  <w:shd w:val="clear" w:color="auto" w:fill="F0F0F0"/>
                </w:tcPr>
                <w:p>
                  <w:pPr>
                    <w:pStyle w:val="Normal"/>
                    <w:keepLines w:val="on"/>
                  </w:pPr>
                  <w:r>
                    <w:t>0,37%</w:t>
                  </w:r>
                </w:p>
              </w:tc>
            </w:tr>
            <w:tr>
              <w:tc>
                <w:tcPr>
                  <w:tcW w:type="auto" w:w="0"/>
                  <w:shd w:val="clear" w:color="auto" w:fill="F0F0F0"/>
                </w:tcPr>
                <w:p>
                  <w:pPr>
                    <w:pStyle w:val="Para 02"/>
                    <w:keepLines w:val="on"/>
                  </w:pPr>
                  <w:r>
                    <w:t>Thụy Sĩ</w:t>
                  </w:r>
                </w:p>
              </w:tc>
              <w:tc>
                <w:tcPr>
                  <w:tcW w:type="auto" w:w="0"/>
                  <w:shd w:val="clear" w:color="auto" w:fill="F0F0F0"/>
                </w:tcPr>
                <w:p>
                  <w:pPr>
                    <w:pStyle w:val="Normal"/>
                    <w:keepLines w:val="on"/>
                  </w:pPr>
                  <w:r>
                    <w:t>19,60</w:t>
                  </w:r>
                </w:p>
              </w:tc>
              <w:tc>
                <w:tcPr>
                  <w:tcW w:type="auto" w:w="0"/>
                  <w:shd w:val="clear" w:color="auto" w:fill="F0F0F0"/>
                </w:tcPr>
                <w:p>
                  <w:pPr>
                    <w:pStyle w:val="Normal"/>
                    <w:keepLines w:val="on"/>
                  </w:pPr>
                  <w:r>
                    <w:t>1,42%</w:t>
                  </w:r>
                </w:p>
              </w:tc>
              <w:tc>
                <w:tcPr>
                  <w:tcW w:type="auto" w:w="0"/>
                  <w:shd w:val="clear" w:color="auto" w:fill="F0F0F0"/>
                </w:tcPr>
                <w:p>
                  <w:pPr>
                    <w:pStyle w:val="Normal"/>
                    <w:keepLines w:val="on"/>
                  </w:pPr>
                  <w:r>
                    <w:t>3,62%</w:t>
                  </w:r>
                </w:p>
              </w:tc>
              <w:tc>
                <w:tcPr>
                  <w:tcW w:type="auto" w:w="0"/>
                  <w:shd w:val="clear" w:color="auto" w:fill="F0F0F0"/>
                </w:tcPr>
                <w:p>
                  <w:pPr>
                    <w:pStyle w:val="Normal"/>
                    <w:keepLines w:val="on"/>
                  </w:pPr>
                  <w:r>
                    <w:t>3,83%</w:t>
                  </w:r>
                </w:p>
              </w:tc>
              <w:tc>
                <w:tcPr>
                  <w:tcW w:type="auto" w:w="0"/>
                  <w:shd w:val="clear" w:color="auto" w:fill="F0F0F0"/>
                </w:tcPr>
                <w:p>
                  <w:pPr>
                    <w:pStyle w:val="Normal"/>
                    <w:keepLines w:val="on"/>
                  </w:pPr>
                  <w:r>
                    <w:t>0,21%</w:t>
                  </w:r>
                </w:p>
              </w:tc>
            </w:tr>
            <w:tr>
              <w:tc>
                <w:tcPr>
                  <w:tcW w:type="auto" w:w="0"/>
                  <w:shd w:val="clear" w:color="auto" w:fill="F0F0F0"/>
                </w:tcPr>
                <w:p>
                  <w:pPr>
                    <w:pStyle w:val="Para 02"/>
                    <w:keepLines w:val="on"/>
                  </w:pPr>
                  <w:r>
                    <w:t>Bỉ</w:t>
                  </w:r>
                </w:p>
              </w:tc>
              <w:tc>
                <w:tcPr>
                  <w:tcW w:type="auto" w:w="0"/>
                  <w:shd w:val="clear" w:color="auto" w:fill="F0F0F0"/>
                </w:tcPr>
                <w:p>
                  <w:pPr>
                    <w:pStyle w:val="Normal"/>
                    <w:keepLines w:val="on"/>
                  </w:pPr>
                  <w:r>
                    <w:t>14,74</w:t>
                  </w:r>
                </w:p>
              </w:tc>
              <w:tc>
                <w:tcPr>
                  <w:tcW w:type="auto" w:w="0"/>
                  <w:shd w:val="clear" w:color="auto" w:fill="F0F0F0"/>
                </w:tcPr>
                <w:p>
                  <w:pPr>
                    <w:pStyle w:val="Normal"/>
                    <w:keepLines w:val="on"/>
                  </w:pPr>
                  <w:r>
                    <w:t>2,66%</w:t>
                  </w:r>
                </w:p>
              </w:tc>
              <w:tc>
                <w:tcPr>
                  <w:tcW w:type="auto" w:w="0"/>
                  <w:shd w:val="clear" w:color="auto" w:fill="F0F0F0"/>
                </w:tcPr>
                <w:p>
                  <w:pPr>
                    <w:pStyle w:val="Normal"/>
                    <w:keepLines w:val="on"/>
                  </w:pPr>
                  <w:r>
                    <w:t>5,15%</w:t>
                  </w:r>
                </w:p>
              </w:tc>
              <w:tc>
                <w:tcPr>
                  <w:tcW w:type="auto" w:w="0"/>
                  <w:shd w:val="clear" w:color="auto" w:fill="F0F0F0"/>
                </w:tcPr>
                <w:p>
                  <w:pPr>
                    <w:pStyle w:val="Normal"/>
                    <w:keepLines w:val="on"/>
                  </w:pPr>
                  <w:r>
                    <w:t>5,70%</w:t>
                  </w:r>
                </w:p>
              </w:tc>
              <w:tc>
                <w:tcPr>
                  <w:tcW w:type="auto" w:w="0"/>
                  <w:shd w:val="clear" w:color="auto" w:fill="F0F0F0"/>
                </w:tcPr>
                <w:p>
                  <w:pPr>
                    <w:pStyle w:val="Normal"/>
                    <w:keepLines w:val="on"/>
                  </w:pPr>
                  <w:r>
                    <w:t>0,55%</w:t>
                  </w:r>
                </w:p>
              </w:tc>
            </w:tr>
            <w:tr>
              <w:tc>
                <w:tcPr>
                  <w:tcW w:type="auto" w:w="0"/>
                  <w:shd w:val="clear" w:color="auto" w:fill="F0F0F0"/>
                </w:tcPr>
                <w:p>
                  <w:pPr>
                    <w:pStyle w:val="Para 02"/>
                    <w:keepLines w:val="on"/>
                  </w:pPr>
                  <w:r>
                    <w:t>Ý</w:t>
                  </w:r>
                </w:p>
              </w:tc>
              <w:tc>
                <w:tcPr>
                  <w:tcW w:type="auto" w:w="0"/>
                  <w:shd w:val="clear" w:color="auto" w:fill="F0F0F0"/>
                </w:tcPr>
                <w:p>
                  <w:pPr>
                    <w:pStyle w:val="Normal"/>
                    <w:keepLines w:val="on"/>
                  </w:pPr>
                  <w:r>
                    <w:t>28,23</w:t>
                  </w:r>
                </w:p>
              </w:tc>
              <w:tc>
                <w:tcPr>
                  <w:tcW w:type="auto" w:w="0"/>
                  <w:shd w:val="clear" w:color="auto" w:fill="F0F0F0"/>
                </w:tcPr>
                <w:p>
                  <w:pPr>
                    <w:pStyle w:val="Normal"/>
                    <w:keepLines w:val="on"/>
                  </w:pPr>
                  <w:r>
                    <w:t>1,76%</w:t>
                  </w:r>
                </w:p>
              </w:tc>
              <w:tc>
                <w:tcPr>
                  <w:tcW w:type="auto" w:w="0"/>
                  <w:shd w:val="clear" w:color="auto" w:fill="F0F0F0"/>
                </w:tcPr>
                <w:p>
                  <w:pPr>
                    <w:pStyle w:val="Normal"/>
                    <w:keepLines w:val="on"/>
                  </w:pPr>
                  <w:r>
                    <w:t>5,27%</w:t>
                  </w:r>
                </w:p>
              </w:tc>
              <w:tc>
                <w:tcPr>
                  <w:tcW w:type="auto" w:w="0"/>
                  <w:shd w:val="clear" w:color="auto" w:fill="F0F0F0"/>
                </w:tcPr>
                <w:p>
                  <w:pPr>
                    <w:pStyle w:val="Normal"/>
                    <w:keepLines w:val="on"/>
                  </w:pPr>
                  <w:r>
                    <w:t>5,70%</w:t>
                  </w:r>
                </w:p>
              </w:tc>
              <w:tc>
                <w:tcPr>
                  <w:tcW w:type="auto" w:w="0"/>
                  <w:shd w:val="clear" w:color="auto" w:fill="F0F0F0"/>
                </w:tcPr>
                <w:p>
                  <w:pPr>
                    <w:pStyle w:val="Normal"/>
                    <w:keepLines w:val="on"/>
                  </w:pPr>
                  <w:r>
                    <w:t>0,43%</w:t>
                  </w:r>
                </w:p>
              </w:tc>
            </w:tr>
            <w:tr>
              <w:tc>
                <w:tcPr>
                  <w:tcW w:type="auto" w:w="0"/>
                  <w:shd w:val="clear" w:color="auto" w:fill="F0F0F0"/>
                </w:tcPr>
                <w:p>
                  <w:pPr>
                    <w:pStyle w:val="Para 02"/>
                    <w:keepLines w:val="on"/>
                  </w:pPr>
                  <w:r>
                    <w:t>Thụy Điển</w:t>
                  </w:r>
                </w:p>
              </w:tc>
              <w:tc>
                <w:tcPr>
                  <w:tcW w:type="auto" w:w="0"/>
                  <w:shd w:val="clear" w:color="auto" w:fill="F0F0F0"/>
                </w:tcPr>
                <w:p>
                  <w:pPr>
                    <w:pStyle w:val="Normal"/>
                    <w:keepLines w:val="on"/>
                  </w:pPr>
                  <w:r>
                    <w:t>32,39</w:t>
                  </w:r>
                </w:p>
              </w:tc>
              <w:tc>
                <w:tcPr>
                  <w:tcW w:type="auto" w:w="0"/>
                  <w:shd w:val="clear" w:color="auto" w:fill="F0F0F0"/>
                </w:tcPr>
                <w:p>
                  <w:pPr>
                    <w:pStyle w:val="Normal"/>
                    <w:keepLines w:val="on"/>
                  </w:pPr>
                  <w:r>
                    <w:t>1,11%</w:t>
                  </w:r>
                </w:p>
              </w:tc>
              <w:tc>
                <w:tcPr>
                  <w:tcW w:type="auto" w:w="0"/>
                  <w:shd w:val="clear" w:color="auto" w:fill="F0F0F0"/>
                </w:tcPr>
                <w:p>
                  <w:pPr>
                    <w:pStyle w:val="Normal"/>
                    <w:keepLines w:val="on"/>
                  </w:pPr>
                  <w:r>
                    <w:t>4,67%</w:t>
                  </w:r>
                </w:p>
              </w:tc>
              <w:tc>
                <w:tcPr>
                  <w:tcW w:type="auto" w:w="0"/>
                  <w:shd w:val="clear" w:color="auto" w:fill="F0F0F0"/>
                </w:tcPr>
                <w:p>
                  <w:pPr>
                    <w:pStyle w:val="Normal"/>
                    <w:keepLines w:val="on"/>
                  </w:pPr>
                  <w:r>
                    <w:t>5,26%</w:t>
                  </w:r>
                </w:p>
              </w:tc>
              <w:tc>
                <w:tcPr>
                  <w:tcW w:type="auto" w:w="0"/>
                  <w:shd w:val="clear" w:color="auto" w:fill="F0F0F0"/>
                </w:tcPr>
                <w:p>
                  <w:pPr>
                    <w:pStyle w:val="Normal"/>
                    <w:keepLines w:val="on"/>
                  </w:pPr>
                  <w:r>
                    <w:t>0,59%</w:t>
                  </w:r>
                </w:p>
              </w:tc>
            </w:tr>
            <w:tr>
              <w:tc>
                <w:tcPr>
                  <w:tcW w:type="auto" w:w="0"/>
                  <w:shd w:val="clear" w:color="auto" w:fill="F0F0F0"/>
                </w:tcPr>
                <w:p>
                  <w:pPr>
                    <w:pStyle w:val="Para 02"/>
                    <w:keepLines w:val="on"/>
                  </w:pPr>
                  <w:r>
                    <w:t>Hà Lan</w:t>
                  </w:r>
                </w:p>
              </w:tc>
              <w:tc>
                <w:tcPr>
                  <w:tcW w:type="auto" w:w="0"/>
                  <w:shd w:val="clear" w:color="auto" w:fill="F0F0F0"/>
                </w:tcPr>
                <w:p>
                  <w:pPr>
                    <w:pStyle w:val="Normal"/>
                    <w:keepLines w:val="on"/>
                  </w:pPr>
                  <w:r>
                    <w:t>21,10</w:t>
                  </w:r>
                </w:p>
              </w:tc>
              <w:tc>
                <w:tcPr>
                  <w:tcW w:type="auto" w:w="0"/>
                  <w:shd w:val="clear" w:color="auto" w:fill="F0F0F0"/>
                </w:tcPr>
                <w:p>
                  <w:pPr>
                    <w:pStyle w:val="Normal"/>
                    <w:keepLines w:val="on"/>
                  </w:pPr>
                  <w:r>
                    <w:t>2,07%</w:t>
                  </w:r>
                </w:p>
              </w:tc>
              <w:tc>
                <w:tcPr>
                  <w:tcW w:type="auto" w:w="0"/>
                  <w:shd w:val="clear" w:color="auto" w:fill="F0F0F0"/>
                </w:tcPr>
                <w:p>
                  <w:pPr>
                    <w:pStyle w:val="Normal"/>
                    <w:keepLines w:val="on"/>
                  </w:pPr>
                  <w:r>
                    <w:t>5,10%</w:t>
                  </w:r>
                </w:p>
              </w:tc>
              <w:tc>
                <w:tcPr>
                  <w:tcW w:type="auto" w:w="0"/>
                  <w:shd w:val="clear" w:color="auto" w:fill="F0F0F0"/>
                </w:tcPr>
                <w:p>
                  <w:pPr>
                    <w:pStyle w:val="Normal"/>
                    <w:keepLines w:val="on"/>
                  </w:pPr>
                  <w:r>
                    <w:t>5,47%</w:t>
                  </w:r>
                </w:p>
              </w:tc>
              <w:tc>
                <w:tcPr>
                  <w:tcW w:type="auto" w:w="0"/>
                  <w:shd w:val="clear" w:color="auto" w:fill="F0F0F0"/>
                </w:tcPr>
                <w:p>
                  <w:pPr>
                    <w:pStyle w:val="Normal"/>
                    <w:keepLines w:val="on"/>
                  </w:pPr>
                  <w:r>
                    <w:t>0,37%</w:t>
                  </w:r>
                </w:p>
              </w:tc>
            </w:tr>
            <w:tr>
              <w:tc>
                <w:tcPr>
                  <w:tcW w:type="auto" w:w="0"/>
                  <w:shd w:val="clear" w:color="auto" w:fill="F0F0F0"/>
                </w:tcPr>
                <w:p>
                  <w:pPr>
                    <w:pStyle w:val="Para 02"/>
                    <w:keepLines w:val="on"/>
                  </w:pPr>
                  <w:r>
                    <w:t>Úc</w:t>
                  </w:r>
                </w:p>
              </w:tc>
              <w:tc>
                <w:tcPr>
                  <w:tcW w:type="auto" w:w="0"/>
                  <w:shd w:val="clear" w:color="auto" w:fill="F0F0F0"/>
                </w:tcPr>
                <w:p>
                  <w:pPr>
                    <w:pStyle w:val="Normal"/>
                    <w:keepLines w:val="on"/>
                  </w:pPr>
                  <w:r>
                    <w:t>21,69</w:t>
                  </w:r>
                </w:p>
              </w:tc>
              <w:tc>
                <w:tcPr>
                  <w:tcW w:type="auto" w:w="0"/>
                  <w:shd w:val="clear" w:color="auto" w:fill="F0F0F0"/>
                </w:tcPr>
                <w:p>
                  <w:pPr>
                    <w:pStyle w:val="Normal"/>
                    <w:keepLines w:val="on"/>
                  </w:pPr>
                  <w:r>
                    <w:t>3,12%</w:t>
                  </w:r>
                </w:p>
              </w:tc>
              <w:tc>
                <w:tcPr>
                  <w:tcW w:type="auto" w:w="0"/>
                  <w:shd w:val="clear" w:color="auto" w:fill="F0F0F0"/>
                </w:tcPr>
                <w:p>
                  <w:pPr>
                    <w:pStyle w:val="Normal"/>
                    <w:keepLines w:val="on"/>
                  </w:pPr>
                  <w:r>
                    <w:t>6,29%</w:t>
                  </w:r>
                </w:p>
              </w:tc>
              <w:tc>
                <w:tcPr>
                  <w:tcW w:type="auto" w:w="0"/>
                  <w:shd w:val="clear" w:color="auto" w:fill="F0F0F0"/>
                </w:tcPr>
                <w:p>
                  <w:pPr>
                    <w:pStyle w:val="Normal"/>
                    <w:keepLines w:val="on"/>
                  </w:pPr>
                  <w:r>
                    <w:t>6,25%</w:t>
                  </w:r>
                </w:p>
              </w:tc>
              <w:tc>
                <w:tcPr>
                  <w:tcW w:type="auto" w:w="0"/>
                  <w:shd w:val="clear" w:color="auto" w:fill="F0F0F0"/>
                </w:tcPr>
                <w:p>
                  <w:pPr>
                    <w:pStyle w:val="Normal"/>
                    <w:keepLines w:val="on"/>
                  </w:pPr>
                  <w:r>
                    <w:t>−0,04%</w:t>
                  </w:r>
                </w:p>
              </w:tc>
            </w:tr>
            <w:tr>
              <w:tc>
                <w:tcPr>
                  <w:tcW w:type="auto" w:w="0"/>
                  <w:shd w:val="clear" w:color="auto" w:fill="F0F0F0"/>
                </w:tcPr>
                <w:p>
                  <w:pPr>
                    <w:pStyle w:val="Para 02"/>
                    <w:keepLines w:val="on"/>
                  </w:pPr>
                  <w:r>
                    <w:t>Nhật Bản</w:t>
                  </w:r>
                </w:p>
              </w:tc>
              <w:tc>
                <w:tcPr>
                  <w:tcW w:type="auto" w:w="0"/>
                  <w:shd w:val="clear" w:color="auto" w:fill="F0F0F0"/>
                </w:tcPr>
                <w:p>
                  <w:pPr>
                    <w:pStyle w:val="Normal"/>
                    <w:keepLines w:val="on"/>
                  </w:pPr>
                  <w:r>
                    <w:t>52,25</w:t>
                  </w:r>
                </w:p>
              </w:tc>
              <w:tc>
                <w:tcPr>
                  <w:tcW w:type="auto" w:w="0"/>
                  <w:shd w:val="clear" w:color="auto" w:fill="F0F0F0"/>
                </w:tcPr>
                <w:p>
                  <w:pPr>
                    <w:pStyle w:val="Normal"/>
                    <w:keepLines w:val="on"/>
                  </w:pPr>
                  <w:r>
                    <w:t>0,71%</w:t>
                  </w:r>
                </w:p>
              </w:tc>
              <w:tc>
                <w:tcPr>
                  <w:tcW w:type="auto" w:w="0"/>
                  <w:shd w:val="clear" w:color="auto" w:fill="F0F0F0"/>
                </w:tcPr>
                <w:p>
                  <w:pPr>
                    <w:pStyle w:val="Normal"/>
                    <w:keepLines w:val="on"/>
                  </w:pPr>
                  <w:r>
                    <w:t>0,58%</w:t>
                  </w:r>
                </w:p>
              </w:tc>
              <w:tc>
                <w:tcPr>
                  <w:tcW w:type="auto" w:w="0"/>
                  <w:shd w:val="clear" w:color="auto" w:fill="F0F0F0"/>
                </w:tcPr>
                <w:p>
                  <w:pPr>
                    <w:pStyle w:val="Normal"/>
                    <w:keepLines w:val="on"/>
                  </w:pPr>
                  <w:r>
                    <w:t>1,85%</w:t>
                  </w:r>
                </w:p>
              </w:tc>
              <w:tc>
                <w:tcPr>
                  <w:tcW w:type="auto" w:w="0"/>
                  <w:shd w:val="clear" w:color="auto" w:fill="F0F0F0"/>
                </w:tcPr>
                <w:p>
                  <w:pPr>
                    <w:pStyle w:val="Normal"/>
                    <w:keepLines w:val="on"/>
                  </w:pPr>
                  <w:r>
                    <w:t>1,27%</w:t>
                  </w:r>
                </w:p>
              </w:tc>
            </w:tr>
            <w:tr>
              <w:tc>
                <w:tcPr>
                  <w:tcW w:type="auto" w:w="0"/>
                  <w:shd w:val="clear" w:color="auto" w:fill="F0F0F0"/>
                </w:tcPr>
                <w:p>
                  <w:pPr>
                    <w:pStyle w:val="Para 02"/>
                    <w:keepLines w:val="on"/>
                  </w:pPr>
                  <w:r>
                    <w:t>Hoa Kỳ</w:t>
                  </w:r>
                </w:p>
              </w:tc>
              <w:tc>
                <w:tcPr>
                  <w:tcW w:type="auto" w:w="0"/>
                  <w:shd w:val="clear" w:color="auto" w:fill="F0F0F0"/>
                </w:tcPr>
                <w:p>
                  <w:pPr>
                    <w:pStyle w:val="Normal"/>
                    <w:keepLines w:val="on"/>
                  </w:pPr>
                  <w:r>
                    <w:t>25,14</w:t>
                  </w:r>
                </w:p>
              </w:tc>
              <w:tc>
                <w:tcPr>
                  <w:tcW w:type="auto" w:w="0"/>
                  <w:shd w:val="clear" w:color="auto" w:fill="F0F0F0"/>
                </w:tcPr>
                <w:p>
                  <w:pPr>
                    <w:pStyle w:val="Normal"/>
                    <w:keepLines w:val="on"/>
                  </w:pPr>
                  <w:r>
                    <w:t>1,10%</w:t>
                  </w:r>
                </w:p>
              </w:tc>
              <w:tc>
                <w:tcPr>
                  <w:tcW w:type="auto" w:w="0"/>
                  <w:shd w:val="clear" w:color="auto" w:fill="F0F0F0"/>
                </w:tcPr>
                <w:p>
                  <w:pPr>
                    <w:pStyle w:val="Normal"/>
                    <w:keepLines w:val="on"/>
                  </w:pPr>
                  <w:r>
                    <w:t>6,05%</w:t>
                  </w:r>
                </w:p>
              </w:tc>
              <w:tc>
                <w:tcPr>
                  <w:tcW w:type="auto" w:w="0"/>
                  <w:shd w:val="clear" w:color="auto" w:fill="F0F0F0"/>
                </w:tcPr>
                <w:p>
                  <w:pPr>
                    <w:pStyle w:val="Normal"/>
                    <w:keepLines w:val="on"/>
                  </w:pPr>
                  <w:r>
                    <w:t>5,85%</w:t>
                  </w:r>
                </w:p>
              </w:tc>
              <w:tc>
                <w:tcPr>
                  <w:tcW w:type="auto" w:w="0"/>
                  <w:shd w:val="clear" w:color="auto" w:fill="F0F0F0"/>
                </w:tcPr>
                <w:p>
                  <w:pPr>
                    <w:pStyle w:val="Normal"/>
                    <w:keepLines w:val="on"/>
                  </w:pPr>
                  <w:r>
                    <w:t>−0,20%</w:t>
                  </w:r>
                </w:p>
              </w:tc>
            </w:tr>
            <w:tr>
              <w:tc>
                <w:tcPr>
                  <w:tcW w:type="auto" w:w="0"/>
                  <w:shd w:val="clear" w:color="auto" w:fill="F0F0F0"/>
                </w:tcPr>
                <w:p>
                  <w:pPr>
                    <w:pStyle w:val="Para 02"/>
                    <w:keepLines w:val="on"/>
                  </w:pPr>
                  <w:r>
                    <w:t>Canada</w:t>
                  </w:r>
                </w:p>
              </w:tc>
              <w:tc>
                <w:tcPr>
                  <w:tcW w:type="auto" w:w="0"/>
                  <w:shd w:val="clear" w:color="auto" w:fill="F0F0F0"/>
                </w:tcPr>
                <w:p>
                  <w:pPr>
                    <w:pStyle w:val="Normal"/>
                    <w:keepLines w:val="on"/>
                  </w:pPr>
                  <w:r>
                    <w:t>26,14</w:t>
                  </w:r>
                </w:p>
              </w:tc>
              <w:tc>
                <w:tcPr>
                  <w:tcW w:type="auto" w:w="0"/>
                  <w:shd w:val="clear" w:color="auto" w:fill="F0F0F0"/>
                </w:tcPr>
                <w:p>
                  <w:pPr>
                    <w:pStyle w:val="Normal"/>
                    <w:keepLines w:val="on"/>
                  </w:pPr>
                  <w:r>
                    <w:t>0,99%</w:t>
                  </w:r>
                </w:p>
              </w:tc>
              <w:tc>
                <w:tcPr>
                  <w:tcW w:type="auto" w:w="0"/>
                  <w:shd w:val="clear" w:color="auto" w:fill="F0F0F0"/>
                </w:tcPr>
                <w:p>
                  <w:pPr>
                    <w:pStyle w:val="Normal"/>
                    <w:keepLines w:val="on"/>
                  </w:pPr>
                  <w:r>
                    <w:t>5,70%</w:t>
                  </w:r>
                </w:p>
              </w:tc>
              <w:tc>
                <w:tcPr>
                  <w:tcW w:type="auto" w:w="0"/>
                  <w:shd w:val="clear" w:color="auto" w:fill="F0F0F0"/>
                </w:tcPr>
                <w:p>
                  <w:pPr>
                    <w:pStyle w:val="Normal"/>
                    <w:keepLines w:val="on"/>
                  </w:pPr>
                  <w:r>
                    <w:t>5,77%</w:t>
                  </w:r>
                </w:p>
              </w:tc>
              <w:tc>
                <w:tcPr>
                  <w:tcW w:type="auto" w:w="0"/>
                  <w:shd w:val="clear" w:color="auto" w:fill="F0F0F0"/>
                </w:tcPr>
                <w:p>
                  <w:pPr>
                    <w:pStyle w:val="Normal"/>
                    <w:keepLines w:val="on"/>
                  </w:pPr>
                  <w:r>
                    <w:t>0,07%</w:t>
                  </w:r>
                </w:p>
              </w:tc>
            </w:tr>
          </w:tbl>
          <w:p/>
        </w:tc>
      </w:tr>
    </w:tbl>
    <w:p>
      <w:pPr>
        <w:pStyle w:val="Para 04"/>
        <w:keepLines w:val="on"/>
      </w:pPr>
      <w:r>
        <w:t>Nếu chỉ so sánh một cách ngây thơ các tỷ số PE (giá trên thu nhập), ta sẽ nghĩ rằng cổ phiếu Nhật Bản với tỷ số PE là 52,25 đang bị định giá quá cao, còn cổ phiếu Bỉ với tỷ số PE là 14,74 thì đang bị định giá thấp. Tuy nhiên, có một mối tương quan nghịch khá mạnh giữa tỷ số PE và lãi suất 10 năm (−0,73), cùng một mối tương quan thuận giữa tỷ số PE và chênh lệch giữa lãi suất dài hạn và ngắn hạn (0,70). Một hồi quy chéo (cross-sectional regression) của tỷ số PE theo lãi suất và tốc độ tăng trưởng kỳ vọng cho ra kết quả như sau:</w:t>
      </w:r>
    </w:p>
    <w:p>
      <w:bookmarkStart w:id="3586" w:name="PE_ratio_42_62___360_9_10_year_r"/>
      <w:pPr>
        <w:keepNext/>
        <w:pStyle w:val="Para 07"/>
        <w:keepLines w:val="on"/>
      </w:pPr>
      <w:r>
        <w:t>PE ratio=42.62−360.9 lãi suất 10 năm+846.61(lãi suất 10 năm−lãi suất 2 năm)R2=59%[2.78]     [1.41]                          [1.08]</w:t>
      </w:r>
      <w:bookmarkEnd w:id="3586"/>
    </w:p>
    <w:p>
      <w:pPr>
        <w:pStyle w:val="Para 04"/>
        <w:keepLines w:val="on"/>
      </w:pPr>
      <w:r>
        <w:t>Các hệ số chỉ có ý nghĩa thống kê ở mức biên, một phần là do kích thước mẫu nhỏ. Dựa trên hồi quy còn nhiều nhiễu này, tỷ lệ PE dự đoán cho các quốc gia được thể hiện trong Bảng 18.7:</w:t>
      </w:r>
    </w:p>
    <w:p>
      <w:pPr>
        <w:pStyle w:val="Para 25"/>
        <w:keepLines w:val="on"/>
      </w:pPr>
      <w:r>
        <w:t>Bảng 18.7</w:t>
      </w:r>
    </w:p>
    <w:p>
      <w:pPr>
        <w:keepNext/>
        <w:pStyle w:val="Para 24"/>
        <w:keepLines w:val="on"/>
      </w:pPr>
      <w:r>
        <w:t>Tỷ lệ PE thực tế so với dự đoán</w:t>
      </w:r>
    </w:p>
    <w:tbl>
      <w:tblPr>
        <w:tblW w:type="auto" w:w="0"/>
      </w:tblPr>
      <w:tr>
        <w:tc>
          <w:tcPr>
            <w:tcW w:type="auto" w:w="0"/>
          </w:tcPr>
          <w:tbl>
            <w:tblPr>
              <w:tblW w:type="auto" w:w="0"/>
            </w:tblPr>
            <w:tr>
              <w:tc>
                <w:tcPr>
                  <w:tcW w:type="auto" w:w="0"/>
                  <w:shd w:val="clear" w:color="auto" w:fill="F0F0F0"/>
                  <w:vAlign w:val="bottom"/>
                </w:tcPr>
                <w:p>
                  <w:pPr>
                    <w:pStyle w:val="Para 32"/>
                    <w:keepLines w:val="on"/>
                  </w:pPr>
                  <w:r>
                    <w:t>Quốc gia</w:t>
                  </w:r>
                </w:p>
              </w:tc>
              <w:tc>
                <w:tcPr>
                  <w:tcW w:type="auto" w:w="0"/>
                  <w:shd w:val="clear" w:color="auto" w:fill="F0F0F0"/>
                  <w:vAlign w:val="bottom"/>
                </w:tcPr>
                <w:p>
                  <w:pPr>
                    <w:pStyle w:val="Para 05"/>
                    <w:keepLines w:val="on"/>
                  </w:pPr>
                  <w:r>
                    <w:t>PE thực tế</w:t>
                  </w:r>
                </w:p>
              </w:tc>
              <w:tc>
                <w:tcPr>
                  <w:tcW w:type="auto" w:w="0"/>
                  <w:shd w:val="clear" w:color="auto" w:fill="F0F0F0"/>
                  <w:vAlign w:val="bottom"/>
                </w:tcPr>
                <w:p>
                  <w:pPr>
                    <w:pStyle w:val="Para 05"/>
                    <w:keepLines w:val="on"/>
                  </w:pPr>
                  <w:r>
                    <w:t>PE dự đoán</w:t>
                  </w:r>
                </w:p>
              </w:tc>
              <w:tc>
                <w:tcPr>
                  <w:tcW w:type="auto" w:w="0"/>
                  <w:shd w:val="clear" w:color="auto" w:fill="F0F0F0"/>
                  <w:vAlign w:val="bottom"/>
                </w:tcPr>
                <w:p>
                  <w:pPr>
                    <w:pStyle w:val="Para 05"/>
                    <w:keepLines w:val="on"/>
                  </w:pPr>
                  <w:r>
                    <w:t>Định giá thấp hoặc cao</w:t>
                  </w:r>
                </w:p>
              </w:tc>
            </w:tr>
            <w:tr>
              <w:tc>
                <w:tcPr>
                  <w:tcW w:type="auto" w:w="0"/>
                  <w:shd w:val="clear" w:color="auto" w:fill="F0F0F0"/>
                </w:tcPr>
                <w:p>
                  <w:pPr>
                    <w:pStyle w:val="Para 02"/>
                    <w:keepLines w:val="on"/>
                  </w:pPr>
                  <w:r>
                    <w:t>United Kingdom</w:t>
                  </w:r>
                </w:p>
              </w:tc>
              <w:tc>
                <w:tcPr>
                  <w:tcW w:type="auto" w:w="0"/>
                  <w:shd w:val="clear" w:color="auto" w:fill="F0F0F0"/>
                </w:tcPr>
                <w:p>
                  <w:pPr>
                    <w:pStyle w:val="Normal"/>
                    <w:keepLines w:val="on"/>
                  </w:pPr>
                  <w:r>
                    <w:t>22.02</w:t>
                  </w:r>
                </w:p>
              </w:tc>
              <w:tc>
                <w:tcPr>
                  <w:tcW w:type="auto" w:w="0"/>
                  <w:shd w:val="clear" w:color="auto" w:fill="F0F0F0"/>
                </w:tcPr>
                <w:p>
                  <w:pPr>
                    <w:pStyle w:val="Normal"/>
                    <w:keepLines w:val="on"/>
                  </w:pPr>
                  <w:r>
                    <w:t>20.83</w:t>
                  </w:r>
                </w:p>
              </w:tc>
              <w:tc>
                <w:tcPr>
                  <w:tcW w:type="auto" w:w="0"/>
                  <w:shd w:val="clear" w:color="auto" w:fill="F0F0F0"/>
                </w:tcPr>
                <w:p>
                  <w:pPr>
                    <w:pStyle w:val="Normal"/>
                    <w:keepLines w:val="on"/>
                  </w:pPr>
                  <w:r>
                    <w:t>5.71%</w:t>
                  </w:r>
                </w:p>
              </w:tc>
            </w:tr>
            <w:tr>
              <w:tc>
                <w:tcPr>
                  <w:tcW w:type="auto" w:w="0"/>
                  <w:shd w:val="clear" w:color="auto" w:fill="F0F0F0"/>
                </w:tcPr>
                <w:p>
                  <w:pPr>
                    <w:pStyle w:val="Para 02"/>
                    <w:keepLines w:val="on"/>
                  </w:pPr>
                  <w:r>
                    <w:t>Germany</w:t>
                  </w:r>
                </w:p>
              </w:tc>
              <w:tc>
                <w:tcPr>
                  <w:tcW w:type="auto" w:w="0"/>
                  <w:shd w:val="clear" w:color="auto" w:fill="F0F0F0"/>
                </w:tcPr>
                <w:p>
                  <w:pPr>
                    <w:pStyle w:val="Normal"/>
                    <w:keepLines w:val="on"/>
                  </w:pPr>
                  <w:r>
                    <w:t>26.33</w:t>
                  </w:r>
                </w:p>
              </w:tc>
              <w:tc>
                <w:tcPr>
                  <w:tcW w:type="auto" w:w="0"/>
                  <w:shd w:val="clear" w:color="auto" w:fill="F0F0F0"/>
                </w:tcPr>
                <w:p>
                  <w:pPr>
                    <w:pStyle w:val="Normal"/>
                    <w:keepLines w:val="on"/>
                  </w:pPr>
                  <w:r>
                    <w:t>25.62</w:t>
                  </w:r>
                </w:p>
              </w:tc>
              <w:tc>
                <w:tcPr>
                  <w:tcW w:type="auto" w:w="0"/>
                  <w:shd w:val="clear" w:color="auto" w:fill="F0F0F0"/>
                </w:tcPr>
                <w:p>
                  <w:pPr>
                    <w:pStyle w:val="Normal"/>
                    <w:keepLines w:val="on"/>
                  </w:pPr>
                  <w:r>
                    <w:t>2.76%</w:t>
                  </w:r>
                </w:p>
              </w:tc>
            </w:tr>
            <w:tr>
              <w:tc>
                <w:tcPr>
                  <w:tcW w:type="auto" w:w="0"/>
                  <w:shd w:val="clear" w:color="auto" w:fill="F0F0F0"/>
                </w:tcPr>
                <w:p>
                  <w:pPr>
                    <w:pStyle w:val="Para 02"/>
                    <w:keepLines w:val="on"/>
                  </w:pPr>
                  <w:r>
                    <w:t>France</w:t>
                  </w:r>
                </w:p>
              </w:tc>
              <w:tc>
                <w:tcPr>
                  <w:tcW w:type="auto" w:w="0"/>
                  <w:shd w:val="clear" w:color="auto" w:fill="F0F0F0"/>
                </w:tcPr>
                <w:p>
                  <w:pPr>
                    <w:pStyle w:val="Normal"/>
                    <w:keepLines w:val="on"/>
                  </w:pPr>
                  <w:r>
                    <w:t>29.04</w:t>
                  </w:r>
                </w:p>
              </w:tc>
              <w:tc>
                <w:tcPr>
                  <w:tcW w:type="auto" w:w="0"/>
                  <w:shd w:val="clear" w:color="auto" w:fill="F0F0F0"/>
                </w:tcPr>
                <w:p>
                  <w:pPr>
                    <w:pStyle w:val="Normal"/>
                    <w:keepLines w:val="on"/>
                  </w:pPr>
                  <w:r>
                    <w:t>25.98</w:t>
                  </w:r>
                </w:p>
              </w:tc>
              <w:tc>
                <w:tcPr>
                  <w:tcW w:type="auto" w:w="0"/>
                  <w:shd w:val="clear" w:color="auto" w:fill="F0F0F0"/>
                </w:tcPr>
                <w:p>
                  <w:pPr>
                    <w:pStyle w:val="Normal"/>
                    <w:keepLines w:val="on"/>
                  </w:pPr>
                  <w:r>
                    <w:t>11.80%</w:t>
                  </w:r>
                </w:p>
              </w:tc>
            </w:tr>
            <w:tr>
              <w:tc>
                <w:tcPr>
                  <w:tcW w:type="auto" w:w="0"/>
                  <w:shd w:val="clear" w:color="auto" w:fill="F0F0F0"/>
                </w:tcPr>
                <w:p>
                  <w:pPr>
                    <w:pStyle w:val="Para 02"/>
                    <w:keepLines w:val="on"/>
                  </w:pPr>
                  <w:r>
                    <w:t>Switzerland</w:t>
                  </w:r>
                </w:p>
              </w:tc>
              <w:tc>
                <w:tcPr>
                  <w:tcW w:type="auto" w:w="0"/>
                  <w:shd w:val="clear" w:color="auto" w:fill="F0F0F0"/>
                </w:tcPr>
                <w:p>
                  <w:pPr>
                    <w:pStyle w:val="Normal"/>
                    <w:keepLines w:val="on"/>
                  </w:pPr>
                  <w:r>
                    <w:t>19.60</w:t>
                  </w:r>
                </w:p>
              </w:tc>
              <w:tc>
                <w:tcPr>
                  <w:tcW w:type="auto" w:w="0"/>
                  <w:shd w:val="clear" w:color="auto" w:fill="F0F0F0"/>
                </w:tcPr>
                <w:p>
                  <w:pPr>
                    <w:pStyle w:val="Normal"/>
                    <w:keepLines w:val="on"/>
                  </w:pPr>
                  <w:r>
                    <w:t>30.58</w:t>
                  </w:r>
                </w:p>
              </w:tc>
              <w:tc>
                <w:tcPr>
                  <w:tcW w:type="auto" w:w="0"/>
                  <w:shd w:val="clear" w:color="auto" w:fill="F0F0F0"/>
                </w:tcPr>
                <w:p>
                  <w:pPr>
                    <w:pStyle w:val="Normal"/>
                    <w:keepLines w:val="on"/>
                  </w:pPr>
                  <w:r>
                    <w:t>−35.90%</w:t>
                  </w:r>
                </w:p>
              </w:tc>
            </w:tr>
            <w:tr>
              <w:tc>
                <w:tcPr>
                  <w:tcW w:type="auto" w:w="0"/>
                  <w:shd w:val="clear" w:color="auto" w:fill="F0F0F0"/>
                </w:tcPr>
                <w:p>
                  <w:pPr>
                    <w:pStyle w:val="Para 02"/>
                    <w:keepLines w:val="on"/>
                  </w:pPr>
                  <w:r>
                    <w:t>Belgium</w:t>
                  </w:r>
                </w:p>
              </w:tc>
              <w:tc>
                <w:tcPr>
                  <w:tcW w:type="auto" w:w="0"/>
                  <w:shd w:val="clear" w:color="auto" w:fill="F0F0F0"/>
                </w:tcPr>
                <w:p>
                  <w:pPr>
                    <w:pStyle w:val="Normal"/>
                    <w:keepLines w:val="on"/>
                  </w:pPr>
                  <w:r>
                    <w:t>14,74</w:t>
                  </w:r>
                </w:p>
              </w:tc>
              <w:tc>
                <w:tcPr>
                  <w:tcW w:type="auto" w:w="0"/>
                  <w:shd w:val="clear" w:color="auto" w:fill="F0F0F0"/>
                </w:tcPr>
                <w:p>
                  <w:pPr>
                    <w:pStyle w:val="Normal"/>
                    <w:keepLines w:val="on"/>
                  </w:pPr>
                  <w:r>
                    <w:t>26,71</w:t>
                  </w:r>
                </w:p>
              </w:tc>
              <w:tc>
                <w:tcPr>
                  <w:tcW w:type="auto" w:w="0"/>
                  <w:shd w:val="clear" w:color="auto" w:fill="F0F0F0"/>
                </w:tcPr>
                <w:p>
                  <w:pPr>
                    <w:pStyle w:val="Normal"/>
                    <w:keepLines w:val="on"/>
                  </w:pPr>
                  <w:r>
                    <w:t>−44,81%</w:t>
                  </w:r>
                </w:p>
              </w:tc>
            </w:tr>
            <w:tr>
              <w:tc>
                <w:tcPr>
                  <w:tcW w:type="auto" w:w="0"/>
                  <w:shd w:val="clear" w:color="auto" w:fill="F0F0F0"/>
                </w:tcPr>
                <w:p>
                  <w:pPr>
                    <w:pStyle w:val="Para 02"/>
                    <w:keepLines w:val="on"/>
                  </w:pPr>
                  <w:r>
                    <w:t>Ý</w:t>
                  </w:r>
                </w:p>
              </w:tc>
              <w:tc>
                <w:tcPr>
                  <w:tcW w:type="auto" w:w="0"/>
                  <w:shd w:val="clear" w:color="auto" w:fill="F0F0F0"/>
                </w:tcPr>
                <w:p>
                  <w:pPr>
                    <w:pStyle w:val="Normal"/>
                    <w:keepLines w:val="on"/>
                  </w:pPr>
                  <w:r>
                    <w:t>28,23</w:t>
                  </w:r>
                </w:p>
              </w:tc>
              <w:tc>
                <w:tcPr>
                  <w:tcW w:type="auto" w:w="0"/>
                  <w:shd w:val="clear" w:color="auto" w:fill="F0F0F0"/>
                </w:tcPr>
                <w:p>
                  <w:pPr>
                    <w:pStyle w:val="Normal"/>
                    <w:keepLines w:val="on"/>
                  </w:pPr>
                  <w:r>
                    <w:t>25,69</w:t>
                  </w:r>
                </w:p>
              </w:tc>
              <w:tc>
                <w:tcPr>
                  <w:tcW w:type="auto" w:w="0"/>
                  <w:shd w:val="clear" w:color="auto" w:fill="F0F0F0"/>
                </w:tcPr>
                <w:p>
                  <w:pPr>
                    <w:pStyle w:val="Normal"/>
                    <w:keepLines w:val="on"/>
                  </w:pPr>
                  <w:r>
                    <w:t>9,89%</w:t>
                  </w:r>
                </w:p>
              </w:tc>
            </w:tr>
            <w:tr>
              <w:tc>
                <w:tcPr>
                  <w:tcW w:type="auto" w:w="0"/>
                  <w:shd w:val="clear" w:color="auto" w:fill="F0F0F0"/>
                </w:tcPr>
                <w:p>
                  <w:pPr>
                    <w:pStyle w:val="Para 02"/>
                    <w:keepLines w:val="on"/>
                  </w:pPr>
                  <w:r>
                    <w:t>Thụy Điển</w:t>
                  </w:r>
                </w:p>
              </w:tc>
              <w:tc>
                <w:tcPr>
                  <w:tcW w:type="auto" w:w="0"/>
                  <w:shd w:val="clear" w:color="auto" w:fill="F0F0F0"/>
                </w:tcPr>
                <w:p>
                  <w:pPr>
                    <w:pStyle w:val="Normal"/>
                    <w:keepLines w:val="on"/>
                  </w:pPr>
                  <w:r>
                    <w:t>32,39</w:t>
                  </w:r>
                </w:p>
              </w:tc>
              <w:tc>
                <w:tcPr>
                  <w:tcW w:type="auto" w:w="0"/>
                  <w:shd w:val="clear" w:color="auto" w:fill="F0F0F0"/>
                </w:tcPr>
                <w:p>
                  <w:pPr>
                    <w:pStyle w:val="Normal"/>
                    <w:keepLines w:val="on"/>
                  </w:pPr>
                  <w:r>
                    <w:t>28,63</w:t>
                  </w:r>
                </w:p>
              </w:tc>
              <w:tc>
                <w:tcPr>
                  <w:tcW w:type="auto" w:w="0"/>
                  <w:shd w:val="clear" w:color="auto" w:fill="F0F0F0"/>
                </w:tcPr>
                <w:p>
                  <w:pPr>
                    <w:pStyle w:val="Normal"/>
                    <w:keepLines w:val="on"/>
                  </w:pPr>
                  <w:r>
                    <w:t>13,12%</w:t>
                  </w:r>
                </w:p>
              </w:tc>
            </w:tr>
            <w:tr>
              <w:tc>
                <w:tcPr>
                  <w:tcW w:type="auto" w:w="0"/>
                  <w:shd w:val="clear" w:color="auto" w:fill="F0F0F0"/>
                </w:tcPr>
                <w:p>
                  <w:pPr>
                    <w:pStyle w:val="Para 02"/>
                    <w:keepLines w:val="on"/>
                  </w:pPr>
                  <w:r>
                    <w:t>Hà Lan</w:t>
                  </w:r>
                </w:p>
              </w:tc>
              <w:tc>
                <w:tcPr>
                  <w:tcW w:type="auto" w:w="0"/>
                  <w:shd w:val="clear" w:color="auto" w:fill="F0F0F0"/>
                </w:tcPr>
                <w:p>
                  <w:pPr>
                    <w:pStyle w:val="Normal"/>
                    <w:keepLines w:val="on"/>
                  </w:pPr>
                  <w:r>
                    <w:t>21,10</w:t>
                  </w:r>
                </w:p>
              </w:tc>
              <w:tc>
                <w:tcPr>
                  <w:tcW w:type="auto" w:w="0"/>
                  <w:shd w:val="clear" w:color="auto" w:fill="F0F0F0"/>
                </w:tcPr>
                <w:p>
                  <w:pPr>
                    <w:pStyle w:val="Normal"/>
                    <w:keepLines w:val="on"/>
                  </w:pPr>
                  <w:r>
                    <w:t>26,01</w:t>
                  </w:r>
                </w:p>
              </w:tc>
              <w:tc>
                <w:tcPr>
                  <w:tcW w:type="auto" w:w="0"/>
                  <w:shd w:val="clear" w:color="auto" w:fill="F0F0F0"/>
                </w:tcPr>
                <w:p>
                  <w:pPr>
                    <w:pStyle w:val="Normal"/>
                    <w:keepLines w:val="on"/>
                  </w:pPr>
                  <w:r>
                    <w:t>−18,88%</w:t>
                  </w:r>
                </w:p>
              </w:tc>
            </w:tr>
            <w:tr>
              <w:tc>
                <w:tcPr>
                  <w:tcW w:type="auto" w:w="0"/>
                  <w:shd w:val="clear" w:color="auto" w:fill="F0F0F0"/>
                </w:tcPr>
                <w:p>
                  <w:pPr>
                    <w:pStyle w:val="Para 02"/>
                    <w:keepLines w:val="on"/>
                  </w:pPr>
                  <w:r>
                    <w:t>Úc</w:t>
                  </w:r>
                </w:p>
              </w:tc>
              <w:tc>
                <w:tcPr>
                  <w:tcW w:type="auto" w:w="0"/>
                  <w:shd w:val="clear" w:color="auto" w:fill="F0F0F0"/>
                </w:tcPr>
                <w:p>
                  <w:pPr>
                    <w:pStyle w:val="Normal"/>
                    <w:keepLines w:val="on"/>
                  </w:pPr>
                  <w:r>
                    <w:t>21,69</w:t>
                  </w:r>
                </w:p>
              </w:tc>
              <w:tc>
                <w:tcPr>
                  <w:tcW w:type="auto" w:w="0"/>
                  <w:shd w:val="clear" w:color="auto" w:fill="F0F0F0"/>
                </w:tcPr>
                <w:p>
                  <w:pPr>
                    <w:pStyle w:val="Normal"/>
                    <w:keepLines w:val="on"/>
                  </w:pPr>
                  <w:r>
                    <w:t>19,73</w:t>
                  </w:r>
                </w:p>
              </w:tc>
              <w:tc>
                <w:tcPr>
                  <w:tcW w:type="auto" w:w="0"/>
                  <w:shd w:val="clear" w:color="auto" w:fill="F0F0F0"/>
                </w:tcPr>
                <w:p>
                  <w:pPr>
                    <w:pStyle w:val="Normal"/>
                    <w:keepLines w:val="on"/>
                  </w:pPr>
                  <w:r>
                    <w:t>9,96%</w:t>
                  </w:r>
                </w:p>
              </w:tc>
            </w:tr>
            <w:tr>
              <w:tc>
                <w:tcPr>
                  <w:tcW w:type="auto" w:w="0"/>
                  <w:shd w:val="clear" w:color="auto" w:fill="F0F0F0"/>
                </w:tcPr>
                <w:p>
                  <w:pPr>
                    <w:pStyle w:val="Para 02"/>
                    <w:keepLines w:val="on"/>
                  </w:pPr>
                  <w:r>
                    <w:t>Nhật Bản</w:t>
                  </w:r>
                </w:p>
              </w:tc>
              <w:tc>
                <w:tcPr>
                  <w:tcW w:type="auto" w:w="0"/>
                  <w:shd w:val="clear" w:color="auto" w:fill="F0F0F0"/>
                </w:tcPr>
                <w:p>
                  <w:pPr>
                    <w:pStyle w:val="Normal"/>
                    <w:keepLines w:val="on"/>
                  </w:pPr>
                  <w:r>
                    <w:t>52,25</w:t>
                  </w:r>
                </w:p>
              </w:tc>
              <w:tc>
                <w:tcPr>
                  <w:tcW w:type="auto" w:w="0"/>
                  <w:shd w:val="clear" w:color="auto" w:fill="F0F0F0"/>
                </w:tcPr>
                <w:p>
                  <w:pPr>
                    <w:pStyle w:val="Normal"/>
                    <w:keepLines w:val="on"/>
                  </w:pPr>
                  <w:r>
                    <w:t>46,70</w:t>
                  </w:r>
                </w:p>
              </w:tc>
              <w:tc>
                <w:tcPr>
                  <w:tcW w:type="auto" w:w="0"/>
                  <w:shd w:val="clear" w:color="auto" w:fill="F0F0F0"/>
                </w:tcPr>
                <w:p>
                  <w:pPr>
                    <w:pStyle w:val="Normal"/>
                    <w:keepLines w:val="on"/>
                  </w:pPr>
                  <w:r>
                    <w:t>11,89%</w:t>
                  </w:r>
                </w:p>
              </w:tc>
            </w:tr>
            <w:tr>
              <w:tc>
                <w:tcPr>
                  <w:tcW w:type="auto" w:w="0"/>
                  <w:shd w:val="clear" w:color="auto" w:fill="F0F0F0"/>
                </w:tcPr>
                <w:p>
                  <w:pPr>
                    <w:pStyle w:val="Para 02"/>
                    <w:keepLines w:val="on"/>
                  </w:pPr>
                  <w:r>
                    <w:t>Hoa Kỳ</w:t>
                  </w:r>
                </w:p>
              </w:tc>
              <w:tc>
                <w:tcPr>
                  <w:tcW w:type="auto" w:w="0"/>
                  <w:shd w:val="clear" w:color="auto" w:fill="F0F0F0"/>
                </w:tcPr>
                <w:p>
                  <w:pPr>
                    <w:pStyle w:val="Normal"/>
                    <w:keepLines w:val="on"/>
                  </w:pPr>
                  <w:r>
                    <w:t>25,14</w:t>
                  </w:r>
                </w:p>
              </w:tc>
              <w:tc>
                <w:tcPr>
                  <w:tcW w:type="auto" w:w="0"/>
                  <w:shd w:val="clear" w:color="auto" w:fill="F0F0F0"/>
                </w:tcPr>
                <w:p>
                  <w:pPr>
                    <w:pStyle w:val="Normal"/>
                    <w:keepLines w:val="on"/>
                  </w:pPr>
                  <w:r>
                    <w:t>19,81</w:t>
                  </w:r>
                </w:p>
              </w:tc>
              <w:tc>
                <w:tcPr>
                  <w:tcW w:type="auto" w:w="0"/>
                  <w:shd w:val="clear" w:color="auto" w:fill="F0F0F0"/>
                </w:tcPr>
                <w:p>
                  <w:pPr>
                    <w:pStyle w:val="Normal"/>
                    <w:keepLines w:val="on"/>
                  </w:pPr>
                  <w:r>
                    <w:t>26,88%</w:t>
                  </w:r>
                </w:p>
              </w:tc>
            </w:tr>
            <w:tr>
              <w:tc>
                <w:tcPr>
                  <w:tcW w:type="auto" w:w="0"/>
                  <w:shd w:val="clear" w:color="auto" w:fill="F0F0F0"/>
                </w:tcPr>
                <w:p>
                  <w:pPr>
                    <w:pStyle w:val="Para 02"/>
                    <w:keepLines w:val="on"/>
                  </w:pPr>
                  <w:r>
                    <w:t>Canada</w:t>
                  </w:r>
                </w:p>
              </w:tc>
              <w:tc>
                <w:tcPr>
                  <w:tcW w:type="auto" w:w="0"/>
                  <w:shd w:val="clear" w:color="auto" w:fill="F0F0F0"/>
                </w:tcPr>
                <w:p>
                  <w:pPr>
                    <w:pStyle w:val="Normal"/>
                    <w:keepLines w:val="on"/>
                  </w:pPr>
                  <w:r>
                    <w:t>26,14</w:t>
                  </w:r>
                </w:p>
              </w:tc>
              <w:tc>
                <w:tcPr>
                  <w:tcW w:type="auto" w:w="0"/>
                  <w:shd w:val="clear" w:color="auto" w:fill="F0F0F0"/>
                </w:tcPr>
                <w:p>
                  <w:pPr>
                    <w:pStyle w:val="Normal"/>
                    <w:keepLines w:val="on"/>
                  </w:pPr>
                  <w:r>
                    <w:t>22,39</w:t>
                  </w:r>
                </w:p>
              </w:tc>
              <w:tc>
                <w:tcPr>
                  <w:tcW w:type="auto" w:w="0"/>
                  <w:shd w:val="clear" w:color="auto" w:fill="F0F0F0"/>
                </w:tcPr>
                <w:p>
                  <w:pPr>
                    <w:pStyle w:val="Normal"/>
                    <w:keepLines w:val="on"/>
                  </w:pPr>
                  <w:r>
                    <w:t>16,75%</w:t>
                  </w:r>
                </w:p>
              </w:tc>
            </w:tr>
          </w:tbl>
          <w:p/>
        </w:tc>
      </w:tr>
    </w:tbl>
    <w:p>
      <w:pPr>
        <w:pStyle w:val="Para 04"/>
        <w:keepLines w:val="on"/>
      </w:pPr>
      <w:r>
        <w:t>Từ sự so sánh này, cổ phiếu Bỉ và Thụy Sĩ sẽ là những cổ phiếu bị định giá thấp nhất, trong khi cổ phiếu Mỹ sẽ là những cổ phiếu bị định giá cao nhất. Cần nhớ rằng chỉ số R-squared thấp trong hồi quy sẽ dẫn đến các khoảng giá trị dự đoán rộng.</w:t>
      </w:r>
    </w:p>
    <w:p>
      <w:pPr>
        <w:pStyle w:val="Para 11"/>
      </w:pPr>
      <w:r>
        <w:t/>
        <w:t xml:space="preserve"> </w:t>
      </w:r>
      <w:r>
        <w:rPr>
          <w:rStyle w:val="Text26"/>
        </w:rPr>
        <w:bookmarkStart w:id="3588" w:name="Page_548"/>
        <w:t/>
        <w:bookmarkEnd w:id="3588"/>
      </w:r>
      <w:r>
        <w:t xml:space="preserve"> </w:t>
      </w:r>
    </w:p>
    <w:p>
      <w:bookmarkStart w:id="3589" w:name="ILLUSTRATION_18_7__An_Example_wi_1"/>
      <w:bookmarkStart w:id="3590" w:name="ILLUSTRATION_18_7__An_Example_wi"/>
      <w:pPr>
        <w:keepNext/>
        <w:pStyle w:val="Para 19"/>
        <w:keepLines w:val="on"/>
      </w:pPr>
      <w:r>
        <w:t>MINH HỌA 18.7: Một ví dụ với các thị trường mới nổi—Cuối năm 2000</w:t>
      </w:r>
      <w:bookmarkEnd w:id="3589"/>
      <w:bookmarkEnd w:id="3590"/>
    </w:p>
    <w:p>
      <w:pPr>
        <w:pStyle w:val="Para 04"/>
        <w:keepLines w:val="on"/>
      </w:pPr>
      <w:r>
        <w:t>Ví dụ này được mở rộng để xem xét sự khác biệt về tỷ lệ PE giữa các thị trường mới nổi vào cuối năm 2000. Trong Bảng 18.8, yếu tố rủi ro quốc gia là yếu tố được Economist ước tính cho các thị trường mới nổi này, được chia theo thang điểm từ 0 (an toàn nhất) đến 100 (rủi ro nhất).</w:t>
      </w:r>
    </w:p>
    <w:p>
      <w:pPr>
        <w:pStyle w:val="Para 25"/>
        <w:keepLines w:val="on"/>
      </w:pPr>
      <w:r>
        <w:t>Bảng 18.8</w:t>
      </w:r>
    </w:p>
    <w:p>
      <w:pPr>
        <w:keepNext/>
        <w:pStyle w:val="Para 24"/>
        <w:keepLines w:val="on"/>
      </w:pPr>
      <w:r>
        <w:t>Thống kê kinh tế vĩ mô tóm tắt—Các thị trường mới nổi</w:t>
      </w:r>
    </w:p>
    <w:tbl>
      <w:tblPr>
        <w:tblW w:type="auto" w:w="0"/>
      </w:tblPr>
      <w:tr>
        <w:tc>
          <w:tcPr>
            <w:tcW w:type="auto" w:w="0"/>
          </w:tcPr>
          <w:tbl>
            <w:tblPr>
              <w:tblW w:type="auto" w:w="0"/>
            </w:tblPr>
            <w:tr>
              <w:tc>
                <w:tcPr>
                  <w:tcW w:type="auto" w:w="0"/>
                  <w:shd w:val="clear" w:color="auto" w:fill="F0F0F0"/>
                </w:tcPr>
                <w:p>
                  <w:pPr>
                    <w:pStyle w:val="Para 32"/>
                    <w:keepLines w:val="on"/>
                  </w:pPr>
                  <w:r>
                    <w:t>Quốc gia</w:t>
                  </w:r>
                </w:p>
              </w:tc>
              <w:tc>
                <w:tcPr>
                  <w:tcW w:type="auto" w:w="0"/>
                  <w:shd w:val="clear" w:color="auto" w:fill="F0F0F0"/>
                </w:tcPr>
                <w:p>
                  <w:pPr>
                    <w:pStyle w:val="Para 05"/>
                    <w:keepLines w:val="on"/>
                  </w:pPr>
                  <w:r>
                    <w:t>Tỷ lệ PE</w:t>
                  </w:r>
                </w:p>
              </w:tc>
              <w:tc>
                <w:tcPr>
                  <w:tcW w:type="auto" w:w="0"/>
                  <w:shd w:val="clear" w:color="auto" w:fill="F0F0F0"/>
                </w:tcPr>
                <w:p>
                  <w:pPr>
                    <w:pStyle w:val="Para 05"/>
                    <w:keepLines w:val="on"/>
                  </w:pPr>
                  <w:r>
                    <w:t>Lãi suất</w:t>
                  </w:r>
                </w:p>
              </w:tc>
              <w:tc>
                <w:tcPr>
                  <w:tcW w:type="auto" w:w="0"/>
                  <w:shd w:val="clear" w:color="auto" w:fill="F0F0F0"/>
                </w:tcPr>
                <w:p>
                  <w:pPr>
                    <w:pStyle w:val="Para 05"/>
                    <w:keepLines w:val="on"/>
                  </w:pPr>
                  <w:r>
                    <w:t>Tăng trưởng thực của GDP</w:t>
                  </w:r>
                </w:p>
              </w:tc>
              <w:tc>
                <w:tcPr>
                  <w:tcW w:type="auto" w:w="0"/>
                  <w:shd w:val="clear" w:color="auto" w:fill="F0F0F0"/>
                </w:tcPr>
                <w:p>
                  <w:pPr>
                    <w:pStyle w:val="Para 05"/>
                    <w:keepLines w:val="on"/>
                  </w:pPr>
                  <w:r>
                    <w:t>Rủi ro quốc gia</w:t>
                  </w:r>
                </w:p>
              </w:tc>
            </w:tr>
            <w:tr>
              <w:tc>
                <w:tcPr>
                  <w:tcW w:type="auto" w:w="0"/>
                  <w:shd w:val="clear" w:color="auto" w:fill="F0F0F0"/>
                </w:tcPr>
                <w:p>
                  <w:pPr>
                    <w:pStyle w:val="Para 02"/>
                    <w:keepLines w:val="on"/>
                  </w:pPr>
                  <w:r>
                    <w:t>Argentina</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45</w:t>
                  </w:r>
                </w:p>
              </w:tc>
            </w:tr>
            <w:tr>
              <w:tc>
                <w:tcPr>
                  <w:tcW w:type="auto" w:w="0"/>
                  <w:shd w:val="clear" w:color="auto" w:fill="F0F0F0"/>
                </w:tcPr>
                <w:p>
                  <w:pPr>
                    <w:pStyle w:val="Para 02"/>
                    <w:keepLines w:val="on"/>
                  </w:pPr>
                  <w:r>
                    <w:t>Brazil</w:t>
                  </w:r>
                </w:p>
              </w:tc>
              <w:tc>
                <w:tcPr>
                  <w:tcW w:type="auto" w:w="0"/>
                  <w:shd w:val="clear" w:color="auto" w:fill="F0F0F0"/>
                </w:tcPr>
                <w:p>
                  <w:pPr>
                    <w:pStyle w:val="Normal"/>
                    <w:keepLines w:val="on"/>
                  </w:pPr>
                  <w:r>
                    <w:t>21</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4,80%</w:t>
                  </w:r>
                </w:p>
              </w:tc>
              <w:tc>
                <w:tcPr>
                  <w:tcW w:type="auto" w:w="0"/>
                  <w:shd w:val="clear" w:color="auto" w:fill="F0F0F0"/>
                </w:tcPr>
                <w:p>
                  <w:pPr>
                    <w:pStyle w:val="Normal"/>
                    <w:keepLines w:val="on"/>
                  </w:pPr>
                  <w:r>
                    <w:t>35</w:t>
                  </w:r>
                </w:p>
              </w:tc>
            </w:tr>
            <w:tr>
              <w:tc>
                <w:tcPr>
                  <w:tcW w:type="auto" w:w="0"/>
                  <w:shd w:val="clear" w:color="auto" w:fill="F0F0F0"/>
                </w:tcPr>
                <w:p>
                  <w:pPr>
                    <w:pStyle w:val="Para 02"/>
                    <w:keepLines w:val="on"/>
                  </w:pPr>
                  <w:r>
                    <w:t>Chile</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5,50%</w:t>
                  </w:r>
                </w:p>
              </w:tc>
              <w:tc>
                <w:tcPr>
                  <w:tcW w:type="auto" w:w="0"/>
                  <w:shd w:val="clear" w:color="auto" w:fill="F0F0F0"/>
                </w:tcPr>
                <w:p>
                  <w:pPr>
                    <w:pStyle w:val="Normal"/>
                    <w:keepLines w:val="on"/>
                  </w:pPr>
                  <w:r>
                    <w:t>15</w:t>
                  </w:r>
                </w:p>
              </w:tc>
            </w:tr>
            <w:tr>
              <w:tc>
                <w:tcPr>
                  <w:tcW w:type="auto" w:w="0"/>
                  <w:shd w:val="clear" w:color="auto" w:fill="F0F0F0"/>
                </w:tcPr>
                <w:p>
                  <w:pPr>
                    <w:pStyle w:val="Para 02"/>
                    <w:keepLines w:val="on"/>
                  </w:pPr>
                  <w:r>
                    <w:t>Hồng Kông</w:t>
                  </w:r>
                </w:p>
              </w:tc>
              <w:tc>
                <w:tcPr>
                  <w:tcW w:type="auto" w:w="0"/>
                  <w:shd w:val="clear" w:color="auto" w:fill="F0F0F0"/>
                </w:tcPr>
                <w:p>
                  <w:pPr>
                    <w:pStyle w:val="Normal"/>
                    <w:keepLines w:val="on"/>
                  </w:pPr>
                  <w:r>
                    <w:t>20</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15</w:t>
                  </w:r>
                </w:p>
              </w:tc>
            </w:tr>
            <w:tr>
              <w:tc>
                <w:tcPr>
                  <w:tcW w:type="auto" w:w="0"/>
                  <w:shd w:val="clear" w:color="auto" w:fill="F0F0F0"/>
                </w:tcPr>
                <w:p>
                  <w:pPr>
                    <w:pStyle w:val="Para 02"/>
                    <w:keepLines w:val="on"/>
                  </w:pPr>
                  <w:r>
                    <w:t>Ấn Độ</w:t>
                  </w:r>
                </w:p>
              </w:tc>
              <w:tc>
                <w:tcPr>
                  <w:tcW w:type="auto" w:w="0"/>
                  <w:shd w:val="clear" w:color="auto" w:fill="F0F0F0"/>
                </w:tcPr>
                <w:p>
                  <w:pPr>
                    <w:pStyle w:val="Normal"/>
                    <w:keepLines w:val="on"/>
                  </w:pPr>
                  <w:r>
                    <w:t>17</w:t>
                  </w:r>
                </w:p>
              </w:tc>
              <w:tc>
                <w:tcPr>
                  <w:tcW w:type="auto" w:w="0"/>
                  <w:shd w:val="clear" w:color="auto" w:fill="F0F0F0"/>
                </w:tcPr>
                <w:p>
                  <w:pPr>
                    <w:pStyle w:val="Normal"/>
                    <w:keepLines w:val="on"/>
                  </w:pPr>
                  <w:r>
                    <w:t>11,48%</w:t>
                  </w:r>
                </w:p>
              </w:tc>
              <w:tc>
                <w:tcPr>
                  <w:tcW w:type="auto" w:w="0"/>
                  <w:shd w:val="clear" w:color="auto" w:fill="F0F0F0"/>
                </w:tcPr>
                <w:p>
                  <w:pPr>
                    <w:pStyle w:val="Normal"/>
                    <w:keepLines w:val="on"/>
                  </w:pPr>
                  <w:r>
                    <w:t>4,20%</w:t>
                  </w:r>
                </w:p>
              </w:tc>
              <w:tc>
                <w:tcPr>
                  <w:tcW w:type="auto" w:w="0"/>
                  <w:shd w:val="clear" w:color="auto" w:fill="F0F0F0"/>
                </w:tcPr>
                <w:p>
                  <w:pPr>
                    <w:pStyle w:val="Normal"/>
                    <w:keepLines w:val="on"/>
                  </w:pPr>
                  <w:r>
                    <w:t>25</w:t>
                  </w:r>
                </w:p>
              </w:tc>
            </w:tr>
            <w:tr>
              <w:tc>
                <w:tcPr>
                  <w:tcW w:type="auto" w:w="0"/>
                  <w:shd w:val="clear" w:color="auto" w:fill="F0F0F0"/>
                </w:tcPr>
                <w:p>
                  <w:pPr>
                    <w:pStyle w:val="Para 02"/>
                    <w:keepLines w:val="on"/>
                  </w:pPr>
                  <w:r>
                    <w:t>Indonesia</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21,00%</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50</w:t>
                  </w:r>
                </w:p>
              </w:tc>
            </w:tr>
            <w:tr>
              <w:tc>
                <w:tcPr>
                  <w:tcW w:type="auto" w:w="0"/>
                  <w:shd w:val="clear" w:color="auto" w:fill="F0F0F0"/>
                </w:tcPr>
                <w:p>
                  <w:pPr>
                    <w:pStyle w:val="Para 02"/>
                    <w:keepLines w:val="on"/>
                  </w:pPr>
                  <w:r>
                    <w:t>Malaysia</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5,67%</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40</w:t>
                  </w:r>
                </w:p>
              </w:tc>
            </w:tr>
            <w:tr>
              <w:tc>
                <w:tcPr>
                  <w:tcW w:type="auto" w:w="0"/>
                  <w:shd w:val="clear" w:color="auto" w:fill="F0F0F0"/>
                </w:tcPr>
                <w:p>
                  <w:pPr>
                    <w:pStyle w:val="Para 02"/>
                    <w:keepLines w:val="on"/>
                  </w:pPr>
                  <w:r>
                    <w:t>Mexico</w:t>
                  </w:r>
                </w:p>
              </w:tc>
              <w:tc>
                <w:tcPr>
                  <w:tcW w:type="auto" w:w="0"/>
                  <w:shd w:val="clear" w:color="auto" w:fill="F0F0F0"/>
                </w:tcPr>
                <w:p>
                  <w:pPr>
                    <w:pStyle w:val="Normal"/>
                    <w:keepLines w:val="on"/>
                  </w:pPr>
                  <w:r>
                    <w:t>19</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5,50%</w:t>
                  </w:r>
                </w:p>
              </w:tc>
              <w:tc>
                <w:tcPr>
                  <w:tcW w:type="auto" w:w="0"/>
                  <w:shd w:val="clear" w:color="auto" w:fill="F0F0F0"/>
                </w:tcPr>
                <w:p>
                  <w:pPr>
                    <w:pStyle w:val="Normal"/>
                    <w:keepLines w:val="on"/>
                  </w:pPr>
                  <w:r>
                    <w:t>30</w:t>
                  </w:r>
                </w:p>
              </w:tc>
            </w:tr>
            <w:tr>
              <w:tc>
                <w:tcPr>
                  <w:tcW w:type="auto" w:w="0"/>
                  <w:shd w:val="clear" w:color="auto" w:fill="F0F0F0"/>
                </w:tcPr>
                <w:p>
                  <w:pPr>
                    <w:pStyle w:val="Para 02"/>
                    <w:keepLines w:val="on"/>
                  </w:pPr>
                  <w:r>
                    <w:t>Pakistan</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19,00%</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45</w:t>
                  </w:r>
                </w:p>
              </w:tc>
            </w:tr>
            <w:tr>
              <w:tc>
                <w:tcPr>
                  <w:tcW w:type="auto" w:w="0"/>
                  <w:shd w:val="clear" w:color="auto" w:fill="F0F0F0"/>
                </w:tcPr>
                <w:p>
                  <w:pPr>
                    <w:pStyle w:val="Para 02"/>
                    <w:keepLines w:val="on"/>
                  </w:pPr>
                  <w:r>
                    <w:t>Peru</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4,90%</w:t>
                  </w:r>
                </w:p>
              </w:tc>
              <w:tc>
                <w:tcPr>
                  <w:tcW w:type="auto" w:w="0"/>
                  <w:shd w:val="clear" w:color="auto" w:fill="F0F0F0"/>
                </w:tcPr>
                <w:p>
                  <w:pPr>
                    <w:pStyle w:val="Normal"/>
                    <w:keepLines w:val="on"/>
                  </w:pPr>
                  <w:r>
                    <w:t>50</w:t>
                  </w:r>
                </w:p>
              </w:tc>
            </w:tr>
            <w:tr>
              <w:tc>
                <w:tcPr>
                  <w:tcW w:type="auto" w:w="0"/>
                  <w:shd w:val="clear" w:color="auto" w:fill="F0F0F0"/>
                </w:tcPr>
                <w:p>
                  <w:pPr>
                    <w:pStyle w:val="Para 02"/>
                    <w:keepLines w:val="on"/>
                  </w:pPr>
                  <w:r>
                    <w:t>Philippines</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17,00%</w:t>
                  </w:r>
                </w:p>
              </w:tc>
              <w:tc>
                <w:tcPr>
                  <w:tcW w:type="auto" w:w="0"/>
                  <w:shd w:val="clear" w:color="auto" w:fill="F0F0F0"/>
                </w:tcPr>
                <w:p>
                  <w:pPr>
                    <w:pStyle w:val="Normal"/>
                    <w:keepLines w:val="on"/>
                  </w:pPr>
                  <w:r>
                    <w:t>3,80%</w:t>
                  </w:r>
                </w:p>
              </w:tc>
              <w:tc>
                <w:tcPr>
                  <w:tcW w:type="auto" w:w="0"/>
                  <w:shd w:val="clear" w:color="auto" w:fill="F0F0F0"/>
                </w:tcPr>
                <w:p>
                  <w:pPr>
                    <w:pStyle w:val="Normal"/>
                    <w:keepLines w:val="on"/>
                  </w:pPr>
                  <w:r>
                    <w:t>45</w:t>
                  </w:r>
                </w:p>
              </w:tc>
            </w:tr>
            <w:tr>
              <w:tc>
                <w:tcPr>
                  <w:tcW w:type="auto" w:w="0"/>
                  <w:shd w:val="clear" w:color="auto" w:fill="F0F0F0"/>
                </w:tcPr>
                <w:p>
                  <w:pPr>
                    <w:pStyle w:val="Para 02"/>
                    <w:keepLines w:val="on"/>
                  </w:pPr>
                  <w:r>
                    <w:t>Singapore</w:t>
                  </w:r>
                </w:p>
              </w:tc>
              <w:tc>
                <w:tcPr>
                  <w:tcW w:type="auto" w:w="0"/>
                  <w:shd w:val="clear" w:color="auto" w:fill="F0F0F0"/>
                </w:tcPr>
                <w:p>
                  <w:pPr>
                    <w:pStyle w:val="Normal"/>
                    <w:keepLines w:val="on"/>
                  </w:pPr>
                  <w:r>
                    <w:t>24</w:t>
                  </w:r>
                </w:p>
              </w:tc>
              <w:tc>
                <w:tcPr>
                  <w:tcW w:type="auto" w:w="0"/>
                  <w:shd w:val="clear" w:color="auto" w:fill="F0F0F0"/>
                </w:tcPr>
                <w:p>
                  <w:pPr>
                    <w:pStyle w:val="Normal"/>
                    <w:keepLines w:val="on"/>
                  </w:pPr>
                  <w:r>
                    <w:t>6,50%</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5</w:t>
                  </w:r>
                </w:p>
              </w:tc>
            </w:tr>
            <w:tr>
              <w:tc>
                <w:tcPr>
                  <w:tcW w:type="auto" w:w="0"/>
                  <w:shd w:val="clear" w:color="auto" w:fill="F0F0F0"/>
                </w:tcPr>
                <w:p>
                  <w:pPr>
                    <w:pStyle w:val="Para 02"/>
                    <w:keepLines w:val="on"/>
                  </w:pPr>
                  <w:r>
                    <w:t>Hàn Quốc</w:t>
                  </w:r>
                </w:p>
              </w:tc>
              <w:tc>
                <w:tcPr>
                  <w:tcW w:type="auto" w:w="0"/>
                  <w:shd w:val="clear" w:color="auto" w:fill="F0F0F0"/>
                </w:tcPr>
                <w:p>
                  <w:pPr>
                    <w:pStyle w:val="Normal"/>
                    <w:keepLines w:val="on"/>
                  </w:pPr>
                  <w:r>
                    <w:t>21</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4,80%</w:t>
                  </w:r>
                </w:p>
              </w:tc>
              <w:tc>
                <w:tcPr>
                  <w:tcW w:type="auto" w:w="0"/>
                  <w:shd w:val="clear" w:color="auto" w:fill="F0F0F0"/>
                </w:tcPr>
                <w:p>
                  <w:pPr>
                    <w:pStyle w:val="Normal"/>
                    <w:keepLines w:val="on"/>
                  </w:pPr>
                  <w:r>
                    <w:t>25</w:t>
                  </w:r>
                </w:p>
              </w:tc>
            </w:tr>
            <w:tr>
              <w:tc>
                <w:tcPr>
                  <w:tcW w:type="auto" w:w="0"/>
                  <w:shd w:val="clear" w:color="auto" w:fill="F0F0F0"/>
                </w:tcPr>
                <w:p>
                  <w:pPr>
                    <w:pStyle w:val="Para 02"/>
                    <w:keepLines w:val="on"/>
                  </w:pPr>
                  <w:r>
                    <w:t>Thái Lan</w:t>
                  </w:r>
                </w:p>
              </w:tc>
              <w:tc>
                <w:tcPr>
                  <w:tcW w:type="auto" w:w="0"/>
                  <w:shd w:val="clear" w:color="auto" w:fill="F0F0F0"/>
                </w:tcPr>
                <w:p>
                  <w:pPr>
                    <w:pStyle w:val="Normal"/>
                    <w:keepLines w:val="on"/>
                  </w:pPr>
                  <w:r>
                    <w:t>21</w:t>
                  </w:r>
                </w:p>
              </w:tc>
              <w:tc>
                <w:tcPr>
                  <w:tcW w:type="auto" w:w="0"/>
                  <w:shd w:val="clear" w:color="auto" w:fill="F0F0F0"/>
                </w:tcPr>
                <w:p>
                  <w:pPr>
                    <w:pStyle w:val="Normal"/>
                    <w:keepLines w:val="on"/>
                  </w:pPr>
                  <w:r>
                    <w:t>12,75%</w:t>
                  </w:r>
                </w:p>
              </w:tc>
              <w:tc>
                <w:tcPr>
                  <w:tcW w:type="auto" w:w="0"/>
                  <w:shd w:val="clear" w:color="auto" w:fill="F0F0F0"/>
                </w:tcPr>
                <w:p>
                  <w:pPr>
                    <w:pStyle w:val="Normal"/>
                    <w:keepLines w:val="on"/>
                  </w:pPr>
                  <w:r>
                    <w:t>5,50%</w:t>
                  </w:r>
                </w:p>
              </w:tc>
              <w:tc>
                <w:tcPr>
                  <w:tcW w:type="auto" w:w="0"/>
                  <w:shd w:val="clear" w:color="auto" w:fill="F0F0F0"/>
                </w:tcPr>
                <w:p>
                  <w:pPr>
                    <w:pStyle w:val="Normal"/>
                    <w:keepLines w:val="on"/>
                  </w:pPr>
                  <w:r>
                    <w:t>25</w:t>
                  </w:r>
                </w:p>
              </w:tc>
            </w:tr>
            <w:tr>
              <w:tc>
                <w:tcPr>
                  <w:tcW w:type="auto" w:w="0"/>
                  <w:shd w:val="clear" w:color="auto" w:fill="F0F0F0"/>
                </w:tcPr>
                <w:p>
                  <w:pPr>
                    <w:pStyle w:val="Para 02"/>
                    <w:keepLines w:val="on"/>
                  </w:pPr>
                  <w:r>
                    <w:t>Thổ Nhĩ Kỳ</w:t>
                  </w:r>
                </w:p>
              </w:tc>
              <w:tc>
                <w:tcPr>
                  <w:tcW w:type="auto" w:w="0"/>
                  <w:shd w:val="clear" w:color="auto" w:fill="F0F0F0"/>
                </w:tcPr>
                <w:p>
                  <w:pPr>
                    <w:pStyle w:val="Normal"/>
                    <w:keepLines w:val="on"/>
                  </w:pPr>
                  <w:r>
                    <w:t>12</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35</w:t>
                  </w:r>
                </w:p>
              </w:tc>
            </w:tr>
            <w:tr>
              <w:tc>
                <w:tcPr>
                  <w:tcW w:type="auto" w:w="0"/>
                  <w:shd w:val="clear" w:color="auto" w:fill="F0F0F0"/>
                </w:tcPr>
                <w:p>
                  <w:pPr>
                    <w:pStyle w:val="Para 02"/>
                    <w:keepLines w:val="on"/>
                  </w:pPr>
                  <w:r>
                    <w:t>Venezuela</w:t>
                  </w:r>
                </w:p>
              </w:tc>
              <w:tc>
                <w:tcPr>
                  <w:tcW w:type="auto" w:w="0"/>
                  <w:shd w:val="clear" w:color="auto" w:fill="F0F0F0"/>
                </w:tcPr>
                <w:p>
                  <w:pPr>
                    <w:pStyle w:val="Normal"/>
                    <w:keepLines w:val="on"/>
                  </w:pPr>
                  <w:r>
                    <w:t>20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3,50%</w:t>
                  </w:r>
                </w:p>
              </w:tc>
              <w:tc>
                <w:tcPr>
                  <w:tcW w:type="auto" w:w="0"/>
                  <w:shd w:val="clear" w:color="auto" w:fill="F0F0F0"/>
                </w:tcPr>
                <w:p>
                  <w:pPr>
                    <w:pStyle w:val="Normal"/>
                    <w:keepLines w:val="on"/>
                  </w:pPr>
                  <w:r>
                    <w:t>45</w:t>
                  </w:r>
                </w:p>
              </w:tc>
            </w:tr>
          </w:tbl>
          <w:p/>
        </w:tc>
      </w:tr>
    </w:tbl>
    <w:p>
      <w:pPr>
        <w:pStyle w:val="Para 04"/>
        <w:keepLines w:val="on"/>
      </w:pPr>
      <w:r>
        <w:t>Việc hồi quy tỷ số PE theo các biến này cho ra kết quả như sau:</w:t>
      </w:r>
    </w:p>
    <w:p>
      <w:bookmarkStart w:id="3593" w:name="PE_16_16___7_94_Interest_rates_1"/>
      <w:pPr>
        <w:keepNext/>
        <w:pStyle w:val="Para 07"/>
        <w:keepLines w:val="on"/>
      </w:pPr>
      <w:r>
        <w:t>PE=16,16−7,94 Lãi suất+154,40 Tăng trưởng thực−0,112 Rủi ro quốc gia R2=74%           3,61    0,52                            2,38                               1,78</w:t>
      </w:r>
      <w:bookmarkEnd w:id="3593"/>
    </w:p>
    <w:p>
      <w:pPr>
        <w:pStyle w:val="Para 04"/>
        <w:keepLines w:val="on"/>
      </w:pPr>
      <w:r>
        <w:t>Những quốc gia có tăng trưởng thực cao hơn và rủi ro quốc gia thấp hơn thì có tỷ số PE cao hơn, nhưng mức lãi suất dường như chỉ có tác động không đáng kể. Có thể dùng phương trình hồi quy này để ước tính tỷ số giá trên thu nhập (price-earnings ratio) cho Thổ Nhĩ Kỳ:</w:t>
      </w:r>
    </w:p>
    <w:p>
      <w:bookmarkStart w:id="3594" w:name="Predicted_PE_for_Turkey_16_16"/>
      <w:pPr>
        <w:keepNext/>
        <w:pStyle w:val="Para 07"/>
        <w:keepLines w:val="on"/>
      </w:pPr>
      <w:r>
        <w:t>PE dự đoán cho Thổ Nhĩ Kỳ=16,16−7,94(0,25)+154,40(0,02)-0,112(35)=13,354</w:t>
      </w:r>
      <w:bookmarkEnd w:id="3594"/>
    </w:p>
    <w:p>
      <w:pPr>
        <w:pStyle w:val="Para 04"/>
        <w:keepLines w:val="on"/>
      </w:pPr>
      <w:r>
        <w:t>Với tỷ lệ PE là 12, thị trường sẽ được xem là hơi bị định giá thấp.</w:t>
      </w:r>
    </w:p>
    <w:p>
      <w:bookmarkStart w:id="3595" w:name="Comparing_PE_Ratios_across_Firms"/>
      <w:bookmarkStart w:id="3596" w:name="Comparing_PE_Ratios_across_Firms_1"/>
      <w:pPr>
        <w:keepNext/>
        <w:pStyle w:val="Heading 4"/>
        <w:keepLines w:val="on"/>
      </w:pPr>
      <w:r>
        <w:t>So sánh tỷ lệ PE giữa các công ty trong một ngành</w:t>
      </w:r>
      <w:bookmarkEnd w:id="3595"/>
      <w:bookmarkEnd w:id="3596"/>
    </w:p>
    <w:p>
      <w:pPr>
        <w:pStyle w:val="Para 03"/>
      </w:pPr>
      <w:r>
        <w:t>Cách tiếp cận phổ biến nhất để ước tính tỷ lệ PE cho một công ty là chọn một nhóm các công ty tương đồng, tính tỷ lệ PE trung bình cho nhóm này, rồi điều chỉnh một cách chủ quan mức trung bình đó cho những khác biệt giữa công ty đang được định giá và các công ty tương đồng. Cách tiếp cận này có một số vấn đề. Thứ nhất, định nghĩa về một công ty tương đồng về cơ bản mang tính chủ quan. Việc dùng các công ty khác trong cùng ngành làm nhóm đối chứng thường không phải là giải pháp, vì các công ty trong cùng một ngành có thể có cơ cấu kinh doanh, hồ sơ rủi ro và tăng trưởng rất khác nhau. Ngoài ra còn có rất nhiều khả năng thiên lệch. Một ví dụ rõ ràng là trong các thương vụ thâu tóm, khi tỷ lệ PE cao của công ty mục tiêu được biện minh bằng cách dùng tỷ lệ giá trên thu nhập của một nhóm đối chứng gồm các công ty khác đã từng bị thâu tóm. Nhóm này được thiết kế để đưa ra một ước tính bị thiên lệch lên trên cho tỷ lệ PE và các bội số khác. Thứ hai, ngay cả khi có thể xây dựng được một nhóm công ty tương đồng hợp lý, những khác biệt về các yếu tố nền tảng giữa công ty đang được định giá và nhóm này vẫn sẽ tiếp tục tồn tại. Rất khó để điều chỉnh một cách chủ quan cho những khác biệt giữa các công ty. Vì vậy, khi biết rằng một công ty có tiềm năng tăng trưởng cao hơn nhiều so với các công ty khác trong danh sách tương đồng, bạn sẽ kỳ vọng thấy tỷ lệ PE cao hơn cho công ty đó, nhưng cao hơn bao nhiêu thì vẫn là một câu hỏi bỏ ngỏ.</w:t>
      </w:r>
    </w:p>
    <w:p>
      <w:pPr>
        <w:pStyle w:val="Para 03"/>
      </w:pPr>
      <w:r>
        <w:t>Giải pháp thay thế cho việc điều chỉnh chủ quan là kiểm soát một cách tường minh một hoặc hai biến mà bạn tin rằng giải thích phần lớn sự khác biệt về tỷ lệ PE giữa các công ty trong ngành, thông qua một hồi quy. Phương trình hồi quy sau đó có thể được dùng để ước tính tỷ lệ PE dự báo cho từng công ty trong ngành, và những giá trị dự báo này có thể được so sánh với tỷ lệ PE thực tế để đưa ra phán đoán xem cổ phiếu đang bị định giá thấp hay cao.</w:t>
      </w:r>
    </w:p>
    <w:p>
      <w:pPr>
        <w:pStyle w:val="Para 11"/>
      </w:pPr>
      <w:r>
        <w:t/>
        <w:t xml:space="preserve"> </w:t>
      </w:r>
    </w:p>
    <w:p>
      <w:bookmarkStart w:id="3598" w:name="ILLUSTRATION_18_8__Comparing_PE"/>
      <w:bookmarkStart w:id="3599" w:name="ILLUSTRATION_18_8__Comparing_PE_1"/>
      <w:pPr>
        <w:keepNext/>
        <w:pStyle w:val="Para 19"/>
        <w:keepLines w:val="on"/>
      </w:pPr>
      <w:r>
        <w:t>MINH HỌA 18.8: So sánh tỷ lệ PE của các công ty viễn thông toàn cầu—Tháng 9 năm 2000</w:t>
      </w:r>
      <w:bookmarkEnd w:id="3598"/>
      <w:bookmarkEnd w:id="3599"/>
    </w:p>
    <w:p>
      <w:pPr>
        <w:pStyle w:val="Para 04"/>
        <w:keepLines w:val="on"/>
      </w:pPr>
      <w:r>
        <w:t>Bảng 18.9 tóm tắt tỷ lệ PE theo dõi (trailing PE) của các công ty viễn thông toàn cầu có chứng chỉ lưu ký Mỹ (ADR) niêm yết tại Hoa Kỳ vào tháng 9 năm 2000. Thu nhập trên mỗi cổ phần được sử dụng là thu nhập ước tính theo các nguyên tắc kế toán được chấp nhận phổ biến tại Hoa Kỳ, và do đó sẽ có thể so sánh trực tiếp hơn nhiều so với thu nhập mà các công ty này báo cáo tại thị trường bản địa của họ.</w:t>
      </w:r>
    </w:p>
    <w:p>
      <w:pPr>
        <w:pStyle w:val="Para 25"/>
        <w:keepLines w:val="on"/>
      </w:pPr>
      <w:r>
        <w:t>Bảng 18.9</w:t>
      </w:r>
    </w:p>
    <w:p>
      <w:pPr>
        <w:keepNext/>
        <w:pStyle w:val="Para 24"/>
        <w:keepLines w:val="on"/>
      </w:pPr>
      <w:r>
        <w:t>Định giá công ty viễn thông toàn cầu năm 2000</w:t>
      </w:r>
    </w:p>
    <w:tbl>
      <w:tblPr>
        <w:tblW w:type="auto" w:w="0"/>
      </w:tblPr>
      <w:tr>
        <w:tc>
          <w:tcPr>
            <w:tcW w:type="auto" w:w="0"/>
          </w:tcPr>
          <w:tbl>
            <w:tblPr>
              <w:tblW w:type="auto" w:w="0"/>
            </w:tblPr>
            <w:tr>
              <w:tc>
                <w:tcPr>
                  <w:tcW w:type="auto" w:w="0"/>
                  <w:shd w:val="clear" w:color="auto" w:fill="F0F0F0"/>
                  <w:vAlign w:val="bottom"/>
                </w:tcPr>
                <w:p>
                  <w:pPr>
                    <w:pStyle w:val="Para 32"/>
                    <w:keepLines w:val="on"/>
                  </w:pPr>
                  <w:r>
                    <w:t>Tên công ty</w:t>
                  </w:r>
                </w:p>
              </w:tc>
              <w:tc>
                <w:tcPr>
                  <w:tcW w:type="auto" w:w="0"/>
                  <w:shd w:val="clear" w:color="auto" w:fill="F0F0F0"/>
                  <w:vAlign w:val="bottom"/>
                </w:tcPr>
                <w:p>
                  <w:pPr>
                    <w:pStyle w:val="Para 05"/>
                    <w:keepLines w:val="on"/>
                  </w:pPr>
                  <w:r>
                    <w:t>PE theo dõi</w:t>
                  </w:r>
                </w:p>
              </w:tc>
              <w:tc>
                <w:tcPr>
                  <w:tcW w:type="auto" w:w="0"/>
                  <w:shd w:val="clear" w:color="auto" w:fill="F0F0F0"/>
                  <w:vAlign w:val="bottom"/>
                </w:tcPr>
                <w:p>
                  <w:pPr>
                    <w:pStyle w:val="Para 05"/>
                    <w:keepLines w:val="on"/>
                  </w:pPr>
                  <w:r>
                    <w:t>Tăng trưởng EPS kỳ vọng</w:t>
                  </w:r>
                </w:p>
              </w:tc>
              <w:tc>
                <w:tcPr>
                  <w:tcW w:type="auto" w:w="0"/>
                  <w:shd w:val="clear" w:color="auto" w:fill="F0F0F0"/>
                  <w:vAlign w:val="bottom"/>
                </w:tcPr>
                <w:p>
                  <w:pPr>
                    <w:pStyle w:val="Para 05"/>
                    <w:keepLines w:val="on"/>
                  </w:pPr>
                  <w:r>
                    <w:t>Biến giả thị trường mới nổi</w:t>
                  </w:r>
                </w:p>
              </w:tc>
            </w:tr>
            <w:tr>
              <w:tc>
                <w:tcPr>
                  <w:tcW w:type="auto" w:w="0"/>
                  <w:shd w:val="clear" w:color="auto" w:fill="F0F0F0"/>
                </w:tcPr>
                <w:p>
                  <w:pPr>
                    <w:pStyle w:val="Para 02"/>
                    <w:keepLines w:val="on"/>
                  </w:pPr>
                  <w:r>
                    <w:t>APT Satellite Holdings ADR</w:t>
                  </w:r>
                </w:p>
              </w:tc>
              <w:tc>
                <w:tcPr>
                  <w:tcW w:type="auto" w:w="0"/>
                  <w:shd w:val="clear" w:color="auto" w:fill="F0F0F0"/>
                </w:tcPr>
                <w:p>
                  <w:pPr>
                    <w:pStyle w:val="Normal"/>
                    <w:keepLines w:val="on"/>
                  </w:pPr>
                  <w:r>
                    <w:t>31,00</w:t>
                  </w:r>
                </w:p>
              </w:tc>
              <w:tc>
                <w:tcPr>
                  <w:tcW w:type="auto" w:w="0"/>
                  <w:shd w:val="clear" w:color="auto" w:fill="F0F0F0"/>
                </w:tcPr>
                <w:p>
                  <w:pPr>
                    <w:pStyle w:val="Normal"/>
                    <w:keepLines w:val="on"/>
                  </w:pPr>
                  <w:r>
                    <w:t>33,00%</w:t>
                  </w:r>
                </w:p>
              </w:tc>
              <w:tc>
                <w:tcPr>
                  <w:tcW w:type="auto" w:w="0"/>
                  <w:shd w:val="clear" w:color="auto" w:fill="F0F0F0"/>
                </w:tcPr>
                <w:p>
                  <w:pPr>
                    <w:pStyle w:val="Normal"/>
                    <w:keepLines w:val="on"/>
                  </w:pPr>
                  <w:r>
                    <w:t>1</w:t>
                  </w:r>
                </w:p>
              </w:tc>
            </w:tr>
            <w:tr>
              <w:tc>
                <w:tcPr>
                  <w:tcW w:type="auto" w:w="0"/>
                  <w:shd w:val="clear" w:color="auto" w:fill="F0F0F0"/>
                </w:tcPr>
                <w:p>
                  <w:pPr>
                    <w:pStyle w:val="Para 02"/>
                    <w:keepLines w:val="on"/>
                  </w:pPr>
                  <w:r>
                    <w:t>Asia Satellite Telecom Holdings ADR</w:t>
                  </w:r>
                </w:p>
              </w:tc>
              <w:tc>
                <w:tcPr>
                  <w:tcW w:type="auto" w:w="0"/>
                  <w:shd w:val="clear" w:color="auto" w:fill="F0F0F0"/>
                </w:tcPr>
                <w:p>
                  <w:pPr>
                    <w:pStyle w:val="Normal"/>
                    <w:keepLines w:val="on"/>
                  </w:pPr>
                  <w:r>
                    <w:t>19,60</w:t>
                  </w:r>
                </w:p>
              </w:tc>
              <w:tc>
                <w:tcPr>
                  <w:tcW w:type="auto" w:w="0"/>
                  <w:shd w:val="clear" w:color="auto" w:fill="F0F0F0"/>
                </w:tcPr>
                <w:p>
                  <w:pPr>
                    <w:pStyle w:val="Normal"/>
                    <w:keepLines w:val="on"/>
                  </w:pPr>
                  <w:r>
                    <w:t>16,00%</w:t>
                  </w:r>
                </w:p>
              </w:tc>
              <w:tc>
                <w:tcPr>
                  <w:tcW w:type="auto" w:w="0"/>
                  <w:shd w:val="clear" w:color="auto" w:fill="F0F0F0"/>
                </w:tcPr>
                <w:p>
                  <w:pPr>
                    <w:pStyle w:val="Normal"/>
                    <w:keepLines w:val="on"/>
                  </w:pPr>
                  <w:r>
                    <w:t>1</w:t>
                  </w:r>
                </w:p>
              </w:tc>
            </w:tr>
            <w:tr>
              <w:tc>
                <w:tcPr>
                  <w:tcW w:type="auto" w:w="0"/>
                  <w:shd w:val="clear" w:color="auto" w:fill="F0F0F0"/>
                </w:tcPr>
                <w:p>
                  <w:pPr>
                    <w:pStyle w:val="Para 02"/>
                    <w:keepLines w:val="on"/>
                  </w:pPr>
                  <w:r>
                    <w:t>British Telecommunications PLC ADR</w:t>
                  </w:r>
                </w:p>
              </w:tc>
              <w:tc>
                <w:tcPr>
                  <w:tcW w:type="auto" w:w="0"/>
                  <w:shd w:val="clear" w:color="auto" w:fill="F0F0F0"/>
                </w:tcPr>
                <w:p>
                  <w:pPr>
                    <w:pStyle w:val="Normal"/>
                    <w:keepLines w:val="on"/>
                  </w:pPr>
                  <w:r>
                    <w:t>25,70</w:t>
                  </w:r>
                </w:p>
              </w:tc>
              <w:tc>
                <w:tcPr>
                  <w:tcW w:type="auto" w:w="0"/>
                  <w:shd w:val="clear" w:color="auto" w:fill="F0F0F0"/>
                </w:tcPr>
                <w:p>
                  <w:pPr>
                    <w:pStyle w:val="Normal"/>
                    <w:keepLines w:val="on"/>
                  </w:pPr>
                  <w:r>
                    <w:t>7,00%</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Cable &amp; Wireless PLC ADR</w:t>
                  </w:r>
                </w:p>
              </w:tc>
              <w:tc>
                <w:tcPr>
                  <w:tcW w:type="auto" w:w="0"/>
                  <w:shd w:val="clear" w:color="auto" w:fill="F0F0F0"/>
                </w:tcPr>
                <w:p>
                  <w:pPr>
                    <w:pStyle w:val="Normal"/>
                    <w:keepLines w:val="on"/>
                  </w:pPr>
                  <w:r>
                    <w:t>29,80</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Deutsche Telekom AG ADR</w:t>
                  </w:r>
                </w:p>
              </w:tc>
              <w:tc>
                <w:tcPr>
                  <w:tcW w:type="auto" w:w="0"/>
                  <w:shd w:val="clear" w:color="auto" w:fill="F0F0F0"/>
                </w:tcPr>
                <w:p>
                  <w:pPr>
                    <w:pStyle w:val="Normal"/>
                    <w:keepLines w:val="on"/>
                  </w:pPr>
                  <w:r>
                    <w:t>24,60</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France Telecom SA ADR</w:t>
                  </w:r>
                </w:p>
              </w:tc>
              <w:tc>
                <w:tcPr>
                  <w:tcW w:type="auto" w:w="0"/>
                  <w:shd w:val="clear" w:color="auto" w:fill="F0F0F0"/>
                </w:tcPr>
                <w:p>
                  <w:pPr>
                    <w:pStyle w:val="Normal"/>
                    <w:keepLines w:val="on"/>
                  </w:pPr>
                  <w:r>
                    <w:t>45,20</w:t>
                  </w:r>
                </w:p>
              </w:tc>
              <w:tc>
                <w:tcPr>
                  <w:tcW w:type="auto" w:w="0"/>
                  <w:shd w:val="clear" w:color="auto" w:fill="F0F0F0"/>
                </w:tcPr>
                <w:p>
                  <w:pPr>
                    <w:pStyle w:val="Normal"/>
                    <w:keepLines w:val="on"/>
                  </w:pPr>
                  <w:r>
                    <w:t>19,00%</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Gilat Communications</w:t>
                  </w:r>
                </w:p>
              </w:tc>
              <w:tc>
                <w:tcPr>
                  <w:tcW w:type="auto" w:w="0"/>
                  <w:shd w:val="clear" w:color="auto" w:fill="F0F0F0"/>
                </w:tcPr>
                <w:p>
                  <w:pPr>
                    <w:pStyle w:val="Normal"/>
                    <w:keepLines w:val="on"/>
                  </w:pPr>
                  <w:r>
                    <w:t>22,70</w:t>
                  </w:r>
                </w:p>
              </w:tc>
              <w:tc>
                <w:tcPr>
                  <w:tcW w:type="auto" w:w="0"/>
                  <w:shd w:val="clear" w:color="auto" w:fill="F0F0F0"/>
                </w:tcPr>
                <w:p>
                  <w:pPr>
                    <w:pStyle w:val="Normal"/>
                    <w:keepLines w:val="on"/>
                  </w:pPr>
                  <w:r>
                    <w:t>31,00%</w:t>
                  </w:r>
                </w:p>
              </w:tc>
              <w:tc>
                <w:tcPr>
                  <w:tcW w:type="auto" w:w="0"/>
                  <w:shd w:val="clear" w:color="auto" w:fill="F0F0F0"/>
                </w:tcPr>
                <w:p>
                  <w:pPr>
                    <w:pStyle w:val="Normal"/>
                    <w:keepLines w:val="on"/>
                  </w:pPr>
                  <w:r>
                    <w:t>1</w:t>
                  </w:r>
                </w:p>
              </w:tc>
            </w:tr>
            <w:tr>
              <w:tc>
                <w:tcPr>
                  <w:tcW w:type="auto" w:w="0"/>
                  <w:shd w:val="clear" w:color="auto" w:fill="F0F0F0"/>
                </w:tcPr>
                <w:p>
                  <w:pPr>
                    <w:pStyle w:val="Para 02"/>
                    <w:keepLines w:val="on"/>
                  </w:pPr>
                  <w:r>
                    <w:t>Hellenic Telecommunication ADR</w:t>
                  </w:r>
                </w:p>
              </w:tc>
              <w:tc>
                <w:tcPr>
                  <w:tcW w:type="auto" w:w="0"/>
                  <w:shd w:val="clear" w:color="auto" w:fill="F0F0F0"/>
                </w:tcPr>
                <w:p>
                  <w:pPr>
                    <w:pStyle w:val="Normal"/>
                    <w:keepLines w:val="on"/>
                  </w:pPr>
                  <w:r>
                    <w:t>12,80</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1</w:t>
                  </w:r>
                </w:p>
              </w:tc>
            </w:tr>
            <w:tr>
              <w:tc>
                <w:tcPr>
                  <w:tcW w:type="auto" w:w="0"/>
                  <w:shd w:val="clear" w:color="auto" w:fill="F0F0F0"/>
                </w:tcPr>
                <w:p>
                  <w:pPr>
                    <w:pStyle w:val="Para 02"/>
                    <w:keepLines w:val="on"/>
                  </w:pPr>
                  <w:r>
                    <w:t>Korea Telecom ADR</w:t>
                  </w:r>
                </w:p>
              </w:tc>
              <w:tc>
                <w:tcPr>
                  <w:tcW w:type="auto" w:w="0"/>
                  <w:shd w:val="clear" w:color="auto" w:fill="F0F0F0"/>
                </w:tcPr>
                <w:p>
                  <w:pPr>
                    <w:pStyle w:val="Normal"/>
                    <w:keepLines w:val="on"/>
                  </w:pPr>
                  <w:r>
                    <w:t>71,30</w:t>
                  </w:r>
                </w:p>
              </w:tc>
              <w:tc>
                <w:tcPr>
                  <w:tcW w:type="auto" w:w="0"/>
                  <w:shd w:val="clear" w:color="auto" w:fill="F0F0F0"/>
                </w:tcPr>
                <w:p>
                  <w:pPr>
                    <w:pStyle w:val="Normal"/>
                    <w:keepLines w:val="on"/>
                  </w:pPr>
                  <w:r>
                    <w:t>44,00%</w:t>
                  </w:r>
                </w:p>
              </w:tc>
              <w:tc>
                <w:tcPr>
                  <w:tcW w:type="auto" w:w="0"/>
                  <w:shd w:val="clear" w:color="auto" w:fill="F0F0F0"/>
                </w:tcPr>
                <w:p>
                  <w:pPr>
                    <w:pStyle w:val="Normal"/>
                    <w:keepLines w:val="on"/>
                  </w:pPr>
                  <w:r>
                    <w:t>1</w:t>
                  </w:r>
                </w:p>
              </w:tc>
            </w:tr>
            <w:tr>
              <w:tc>
                <w:tcPr>
                  <w:tcW w:type="auto" w:w="0"/>
                  <w:shd w:val="clear" w:color="auto" w:fill="F0F0F0"/>
                </w:tcPr>
                <w:p>
                  <w:pPr>
                    <w:pStyle w:val="Para 02"/>
                    <w:keepLines w:val="on"/>
                  </w:pPr>
                  <w:r>
                    <w:t>Matav RT ADR</w:t>
                  </w:r>
                </w:p>
              </w:tc>
              <w:tc>
                <w:tcPr>
                  <w:tcW w:type="auto" w:w="0"/>
                  <w:shd w:val="clear" w:color="auto" w:fill="F0F0F0"/>
                </w:tcPr>
                <w:p>
                  <w:pPr>
                    <w:pStyle w:val="Normal"/>
                    <w:keepLines w:val="on"/>
                  </w:pPr>
                  <w:r>
                    <w:t>21,50</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1</w:t>
                  </w:r>
                </w:p>
              </w:tc>
            </w:tr>
            <w:tr>
              <w:tc>
                <w:tcPr>
                  <w:tcW w:type="auto" w:w="0"/>
                  <w:shd w:val="clear" w:color="auto" w:fill="F0F0F0"/>
                </w:tcPr>
                <w:p>
                  <w:pPr>
                    <w:pStyle w:val="Para 02"/>
                    <w:keepLines w:val="on"/>
                  </w:pPr>
                  <w:r>
                    <w:t>Nippon Telegraph &amp; Telephone ADR</w:t>
                  </w:r>
                </w:p>
              </w:tc>
              <w:tc>
                <w:tcPr>
                  <w:tcW w:type="auto" w:w="0"/>
                  <w:shd w:val="clear" w:color="auto" w:fill="F0F0F0"/>
                </w:tcPr>
                <w:p>
                  <w:pPr>
                    <w:pStyle w:val="Normal"/>
                    <w:keepLines w:val="on"/>
                  </w:pPr>
                  <w:r>
                    <w:t>44,30</w:t>
                  </w:r>
                </w:p>
              </w:tc>
              <w:tc>
                <w:tcPr>
                  <w:tcW w:type="auto" w:w="0"/>
                  <w:shd w:val="clear" w:color="auto" w:fill="F0F0F0"/>
                </w:tcPr>
                <w:p>
                  <w:pPr>
                    <w:pStyle w:val="Normal"/>
                    <w:keepLines w:val="on"/>
                  </w:pPr>
                  <w:r>
                    <w:t>20,00%</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Portugal Telecom SA ADR</w:t>
                  </w:r>
                </w:p>
              </w:tc>
              <w:tc>
                <w:tcPr>
                  <w:tcW w:type="auto" w:w="0"/>
                  <w:shd w:val="clear" w:color="auto" w:fill="F0F0F0"/>
                </w:tcPr>
                <w:p>
                  <w:pPr>
                    <w:pStyle w:val="Normal"/>
                    <w:keepLines w:val="on"/>
                  </w:pPr>
                  <w:r>
                    <w:t>20,80</w:t>
                  </w:r>
                </w:p>
              </w:tc>
              <w:tc>
                <w:tcPr>
                  <w:tcW w:type="auto" w:w="0"/>
                  <w:shd w:val="clear" w:color="auto" w:fill="F0F0F0"/>
                </w:tcPr>
                <w:p>
                  <w:pPr>
                    <w:pStyle w:val="Normal"/>
                    <w:keepLines w:val="on"/>
                  </w:pPr>
                  <w:r>
                    <w:t>13,00%</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PT Indosat ADR</w:t>
                  </w:r>
                </w:p>
              </w:tc>
              <w:tc>
                <w:tcPr>
                  <w:tcW w:type="auto" w:w="0"/>
                  <w:shd w:val="clear" w:color="auto" w:fill="F0F0F0"/>
                </w:tcPr>
                <w:p>
                  <w:pPr>
                    <w:pStyle w:val="Normal"/>
                    <w:keepLines w:val="on"/>
                  </w:pPr>
                  <w:r>
                    <w:t>7,80</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1</w:t>
                  </w:r>
                </w:p>
              </w:tc>
            </w:tr>
            <w:tr>
              <w:tc>
                <w:tcPr>
                  <w:tcW w:type="auto" w:w="0"/>
                  <w:shd w:val="clear" w:color="auto" w:fill="F0F0F0"/>
                </w:tcPr>
                <w:p>
                  <w:pPr>
                    <w:pStyle w:val="Para 02"/>
                    <w:keepLines w:val="on"/>
                  </w:pPr>
                  <w:r>
                    <w:t>Royal KPN NV ADR</w:t>
                  </w:r>
                </w:p>
              </w:tc>
              <w:tc>
                <w:tcPr>
                  <w:tcW w:type="auto" w:w="0"/>
                  <w:shd w:val="clear" w:color="auto" w:fill="F0F0F0"/>
                </w:tcPr>
                <w:p>
                  <w:pPr>
                    <w:pStyle w:val="Normal"/>
                    <w:keepLines w:val="on"/>
                  </w:pPr>
                  <w:r>
                    <w:t>35,70</w:t>
                  </w:r>
                </w:p>
              </w:tc>
              <w:tc>
                <w:tcPr>
                  <w:tcW w:type="auto" w:w="0"/>
                  <w:shd w:val="clear" w:color="auto" w:fill="F0F0F0"/>
                </w:tcPr>
                <w:p>
                  <w:pPr>
                    <w:pStyle w:val="Normal"/>
                    <w:keepLines w:val="on"/>
                  </w:pPr>
                  <w:r>
                    <w:t>13,00%</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Swisscom AG ADR</w:t>
                  </w:r>
                </w:p>
              </w:tc>
              <w:tc>
                <w:tcPr>
                  <w:tcW w:type="auto" w:w="0"/>
                  <w:shd w:val="clear" w:color="auto" w:fill="F0F0F0"/>
                </w:tcPr>
                <w:p>
                  <w:pPr>
                    <w:pStyle w:val="Normal"/>
                    <w:keepLines w:val="on"/>
                  </w:pPr>
                  <w:r>
                    <w:t>18,30</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Tele Danmark AS ADR</w:t>
                  </w:r>
                </w:p>
              </w:tc>
              <w:tc>
                <w:tcPr>
                  <w:tcW w:type="auto" w:w="0"/>
                  <w:shd w:val="clear" w:color="auto" w:fill="F0F0F0"/>
                </w:tcPr>
                <w:p>
                  <w:pPr>
                    <w:pStyle w:val="Normal"/>
                    <w:keepLines w:val="on"/>
                  </w:pPr>
                  <w:r>
                    <w:t>27,00</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Telebras ADR</w:t>
                  </w:r>
                </w:p>
              </w:tc>
            </w:tr>
            <w:tr>
              <w:tc>
                <w:tcPr>
                  <w:tcW w:type="auto" w:w="0"/>
                  <w:shd w:val="clear" w:color="auto" w:fill="F0F0F0"/>
                </w:tcPr>
                <w:p>
                  <w:pPr>
                    <w:pStyle w:val="Para 02"/>
                    <w:keepLines w:val="on"/>
                  </w:pPr>
                  <w:r>
                    <w:t>8,90</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1</w:t>
                  </w:r>
                </w:p>
              </w:tc>
              <w:tc>
                <w:tcPr>
                  <w:tcW w:type="auto" w:w="0"/>
                  <w:shd w:val="clear" w:color="auto" w:fill="F0F0F0"/>
                </w:tcPr>
                <w:p>
                  <w:pPr>
                    <w:pStyle w:val="Normal"/>
                    <w:keepLines w:val="on"/>
                  </w:pPr>
                  <w:r>
                    <w:t>Telecom Argentina ADR B</w:t>
                  </w:r>
                </w:p>
              </w:tc>
            </w:tr>
            <w:tr>
              <w:tc>
                <w:tcPr>
                  <w:tcW w:type="auto" w:w="0"/>
                  <w:shd w:val="clear" w:color="auto" w:fill="F0F0F0"/>
                </w:tcPr>
                <w:p>
                  <w:pPr>
                    <w:pStyle w:val="Para 02"/>
                    <w:keepLines w:val="on"/>
                  </w:pPr>
                  <w:r>
                    <w:t>12,50</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1</w:t>
                  </w:r>
                </w:p>
              </w:tc>
              <w:tc>
                <w:tcPr>
                  <w:tcW w:type="auto" w:w="0"/>
                  <w:shd w:val="clear" w:color="auto" w:fill="F0F0F0"/>
                </w:tcPr>
                <w:p>
                  <w:pPr>
                    <w:pStyle w:val="Normal"/>
                    <w:keepLines w:val="on"/>
                  </w:pPr>
                  <w:r>
                    <w:t>Telecom Corp of New Zealand ADR</w:t>
                  </w:r>
                </w:p>
              </w:tc>
            </w:tr>
            <w:tr>
              <w:tc>
                <w:tcPr>
                  <w:tcW w:type="auto" w:w="0"/>
                  <w:shd w:val="clear" w:color="auto" w:fill="F0F0F0"/>
                </w:tcPr>
                <w:p>
                  <w:pPr>
                    <w:pStyle w:val="Para 02"/>
                    <w:keepLines w:val="on"/>
                  </w:pPr>
                  <w:r>
                    <w:t>11,20</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Telecom Italia SPA ADR</w:t>
                  </w:r>
                </w:p>
              </w:tc>
            </w:tr>
            <w:tr>
              <w:tc>
                <w:tcPr>
                  <w:tcW w:type="auto" w:w="0"/>
                  <w:shd w:val="clear" w:color="auto" w:fill="F0F0F0"/>
                </w:tcPr>
                <w:p>
                  <w:pPr>
                    <w:pStyle w:val="Para 02"/>
                    <w:keepLines w:val="on"/>
                  </w:pPr>
                  <w:r>
                    <w:t>42,20</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Telecomunicaciones de Chile ADR</w:t>
                  </w:r>
                </w:p>
              </w:tc>
            </w:tr>
            <w:tr>
              <w:tc>
                <w:tcPr>
                  <w:tcW w:type="auto" w:w="0"/>
                  <w:shd w:val="clear" w:color="auto" w:fill="F0F0F0"/>
                </w:tcPr>
                <w:p>
                  <w:pPr>
                    <w:pStyle w:val="Para 02"/>
                    <w:keepLines w:val="on"/>
                  </w:pPr>
                  <w:r>
                    <w:t>16,60</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1</w:t>
                  </w:r>
                </w:p>
              </w:tc>
              <w:tc>
                <w:tcPr>
                  <w:tcW w:type="auto" w:w="0"/>
                  <w:shd w:val="clear" w:color="auto" w:fill="F0F0F0"/>
                </w:tcPr>
                <w:p>
                  <w:pPr>
                    <w:pStyle w:val="Normal"/>
                    <w:keepLines w:val="on"/>
                  </w:pPr>
                  <w:r>
                    <w:t>Telefonica SA ADR</w:t>
                  </w:r>
                </w:p>
              </w:tc>
            </w:tr>
            <w:tr>
              <w:tc>
                <w:tcPr>
                  <w:tcW w:type="auto" w:w="0"/>
                  <w:shd w:val="clear" w:color="auto" w:fill="F0F0F0"/>
                </w:tcPr>
                <w:p>
                  <w:pPr>
                    <w:pStyle w:val="Para 02"/>
                    <w:keepLines w:val="on"/>
                  </w:pPr>
                  <w:r>
                    <w:t>32,50</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p>
              </w:tc>
            </w:tr>
            <w:tr>
              <w:tc>
                <w:tcPr>
                  <w:tcW w:type="auto" w:w="0"/>
                  <w:shd w:val="clear" w:color="auto" w:fill="F0F0F0"/>
                </w:tcPr>
                <w:p>
                  <w:pPr>
                    <w:pStyle w:val="Para 02"/>
                    <w:keepLines w:val="on"/>
                  </w:pPr>
                  <w:r>
                    <w:t>Telefonos de Mexico ADR L</w:t>
                  </w:r>
                </w:p>
              </w:tc>
              <w:tc>
                <w:tcPr>
                  <w:tcW w:type="auto" w:w="0"/>
                  <w:shd w:val="clear" w:color="auto" w:fill="F0F0F0"/>
                </w:tcPr>
                <w:p>
                  <w:pPr>
                    <w:pStyle w:val="Normal"/>
                    <w:keepLines w:val="on"/>
                  </w:pPr>
                  <w:r>
                    <w:t>21,10</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1</w:t>
                  </w:r>
                </w:p>
              </w:tc>
            </w:tr>
            <w:tr>
              <w:tc>
                <w:tcPr>
                  <w:tcW w:type="auto" w:w="0"/>
                  <w:shd w:val="clear" w:color="auto" w:fill="F0F0F0"/>
                </w:tcPr>
                <w:p>
                  <w:pPr>
                    <w:pStyle w:val="Para 02"/>
                    <w:keepLines w:val="on"/>
                  </w:pPr>
                  <w:r>
                    <w:t>Telekomunikasi Indonesia ADR</w:t>
                  </w:r>
                </w:p>
              </w:tc>
              <w:tc>
                <w:tcPr>
                  <w:tcW w:type="auto" w:w="0"/>
                  <w:shd w:val="clear" w:color="auto" w:fill="F0F0F0"/>
                </w:tcPr>
                <w:p>
                  <w:pPr>
                    <w:pStyle w:val="Normal"/>
                    <w:keepLines w:val="on"/>
                  </w:pPr>
                  <w:r>
                    <w:t>28,40</w:t>
                  </w:r>
                </w:p>
              </w:tc>
              <w:tc>
                <w:tcPr>
                  <w:tcW w:type="auto" w:w="0"/>
                  <w:shd w:val="clear" w:color="auto" w:fill="F0F0F0"/>
                </w:tcPr>
                <w:p>
                  <w:pPr>
                    <w:pStyle w:val="Normal"/>
                    <w:keepLines w:val="on"/>
                  </w:pPr>
                  <w:r>
                    <w:t>32,00%</w:t>
                  </w:r>
                </w:p>
              </w:tc>
              <w:tc>
                <w:tcPr>
                  <w:tcW w:type="auto" w:w="0"/>
                  <w:shd w:val="clear" w:color="auto" w:fill="F0F0F0"/>
                </w:tcPr>
                <w:p>
                  <w:pPr>
                    <w:pStyle w:val="Normal"/>
                    <w:keepLines w:val="on"/>
                  </w:pPr>
                  <w:r>
                    <w:t>1</w:t>
                  </w:r>
                </w:p>
              </w:tc>
            </w:tr>
            <w:tr>
              <w:tc>
                <w:tcPr>
                  <w:tcW w:type="auto" w:w="0"/>
                  <w:shd w:val="clear" w:color="auto" w:fill="F0F0F0"/>
                </w:tcPr>
                <w:p>
                  <w:pPr>
                    <w:pStyle w:val="Para 02"/>
                    <w:keepLines w:val="on"/>
                  </w:pPr>
                  <w:r>
                    <w:t>Telstra ADR</w:t>
                  </w:r>
                </w:p>
              </w:tc>
              <w:tc>
                <w:tcPr>
                  <w:tcW w:type="auto" w:w="0"/>
                  <w:shd w:val="clear" w:color="auto" w:fill="F0F0F0"/>
                </w:tcPr>
                <w:p>
                  <w:pPr>
                    <w:pStyle w:val="Normal"/>
                    <w:keepLines w:val="on"/>
                  </w:pPr>
                  <w:r>
                    <w:t>21,70</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0</w:t>
                  </w:r>
                </w:p>
              </w:tc>
            </w:tr>
          </w:tbl>
          <w:p/>
        </w:tc>
      </w:tr>
    </w:tbl>
    <w:p>
      <w:pPr>
        <w:pStyle w:val="Para 04"/>
        <w:keepLines w:val="on"/>
      </w:pPr>
      <w:r>
        <w:t>Thu nhập trên mỗi cổ phần ở đây là thu nhập của 12 tháng gần nhất, và tỷ số giá trên thu nhập (price-earnings ratio, viết tắt là PE) của các công ty được báo cáo ở cột thứ hai. Ước tính của chuyên gia phân tích về mức tăng trưởng kỳ vọng của thu nhập trên mỗi cổ phần trong năm năm tới được thể hiện ở cột kế tiếp. Ở cột cuối cùng, chúng tôi đưa vào một biến giả (dummy variable) để cho biết công ty đến từ thị trường mới nổi hay thị trường phát triển, vì các công ty viễn thông ở thị trường mới nổi rất có thể phải đối mặt với rủi ro cao hơn nhiều. Không có gì ngạc nhiên khi những công ty có tỷ số PE thấp nhất, như Telebras và PT Indosat, đều đến từ các thị trường mới nổi.</w:t>
      </w:r>
    </w:p>
    <w:p>
      <w:pPr>
        <w:pStyle w:val="Para 04"/>
        <w:keepLines w:val="on"/>
      </w:pPr>
      <w:r>
        <w:t>Chạy hồi quy tỷ số PE của cả ngành theo tốc độ tăng trưởng kỳ vọng và biến giả thị trường mới nổi, ta thu được kết quả như sau:</w:t>
      </w:r>
    </w:p>
    <w:p>
      <w:bookmarkStart w:id="3603" w:name="PE_ratio_13_12_121_22_Expected_g"/>
      <w:pPr>
        <w:keepNext/>
        <w:pStyle w:val="Para 07"/>
        <w:keepLines w:val="on"/>
      </w:pPr>
      <w:r>
        <w:t>Tỷ số PE = 13,12 + 121,22 × Tăng trưởng kỳ vọng − 13,85 × Biến giả thị trường mới nổi    R² = 66%    3,78     6,29                                       3,84</w:t>
      </w:r>
      <w:bookmarkEnd w:id="3603"/>
    </w:p>
    <w:p>
      <w:pPr>
        <w:pStyle w:val="Para 04"/>
        <w:keepLines w:val="on"/>
      </w:pPr>
      <w:r>
        <w:t>Những công ty có mức tăng trưởng cao hơn có tỷ số PE cao hơn đáng kể so với những công ty có mức tăng trưởng kỳ vọng thấp hơn. Ngoài ra, hồi quy này còn cho thấy một công ty viễn thông ở thị trường mới nổi nên được giao dịch với tỷ số PE thấp hơn nhiều so với một công ty ở thị trường phát triển. Dùng hồi quy này để tính ra các giá trị dự đoán trong Bảng 18.10:</w:t>
      </w:r>
    </w:p>
    <w:p>
      <w:pPr>
        <w:pStyle w:val="Para 25"/>
        <w:keepLines w:val="on"/>
      </w:pPr>
      <w:r>
        <w:t>Bảng 18.10</w:t>
      </w:r>
    </w:p>
    <w:p>
      <w:pPr>
        <w:keepNext/>
        <w:pStyle w:val="Para 24"/>
        <w:keepLines w:val="on"/>
      </w:pPr>
      <w:r>
        <w:t>Tỷ số PE thực tế so với tỷ số PE dự đoán</w:t>
      </w:r>
    </w:p>
    <w:tbl>
      <w:tblPr>
        <w:tblW w:type="auto" w:w="0"/>
      </w:tblPr>
      <w:tr>
        <w:tc>
          <w:tcPr>
            <w:tcW w:type="auto" w:w="0"/>
          </w:tcPr>
          <w:tbl>
            <w:tblPr>
              <w:tblW w:type="auto" w:w="0"/>
            </w:tblPr>
            <w:tr>
              <w:tc>
                <w:tcPr>
                  <w:tcW w:type="auto" w:w="0"/>
                  <w:shd w:val="clear" w:color="auto" w:fill="F0F0F0"/>
                </w:tcPr>
                <w:p>
                  <w:pPr>
                    <w:pStyle w:val="Para 32"/>
                    <w:keepLines w:val="on"/>
                  </w:pPr>
                  <w:r>
                    <w:t>Tên công ty</w:t>
                  </w:r>
                </w:p>
              </w:tc>
              <w:tc>
                <w:tcPr>
                  <w:tcW w:type="auto" w:w="0"/>
                  <w:shd w:val="clear" w:color="auto" w:fill="F0F0F0"/>
                </w:tcPr>
                <w:p>
                  <w:pPr>
                    <w:pStyle w:val="Para 05"/>
                    <w:keepLines w:val="on"/>
                  </w:pPr>
                  <w:r>
                    <w:t>PE thực tế</w:t>
                  </w:r>
                </w:p>
              </w:tc>
              <w:tc>
                <w:tcPr>
                  <w:tcW w:type="auto" w:w="0"/>
                  <w:shd w:val="clear" w:color="auto" w:fill="F0F0F0"/>
                </w:tcPr>
                <w:p>
                  <w:pPr>
                    <w:pStyle w:val="Para 05"/>
                    <w:keepLines w:val="on"/>
                  </w:pPr>
                  <w:r>
                    <w:t>PE dự đoán</w:t>
                  </w:r>
                </w:p>
              </w:tc>
              <w:tc>
                <w:tcPr>
                  <w:tcW w:type="auto" w:w="0"/>
                  <w:shd w:val="clear" w:color="auto" w:fill="F0F0F0"/>
                </w:tcPr>
                <w:p>
                  <w:pPr>
                    <w:pStyle w:val="Para 05"/>
                    <w:keepLines w:val="on"/>
                  </w:pPr>
                  <w:r>
                    <w:t>Bị định giá thấp hay định giá cao</w:t>
                  </w:r>
                </w:p>
              </w:tc>
            </w:tr>
            <w:tr>
              <w:tc>
                <w:tcPr>
                  <w:tcW w:type="auto" w:w="0"/>
                  <w:shd w:val="clear" w:color="auto" w:fill="F0F0F0"/>
                </w:tcPr>
                <w:p>
                  <w:pPr>
                    <w:pStyle w:val="Para 02"/>
                    <w:keepLines w:val="on"/>
                  </w:pPr>
                  <w:r>
                    <w:t>APT Satellite Holdings ADR</w:t>
                  </w:r>
                </w:p>
              </w:tc>
              <w:tc>
                <w:tcPr>
                  <w:tcW w:type="auto" w:w="0"/>
                  <w:shd w:val="clear" w:color="auto" w:fill="F0F0F0"/>
                </w:tcPr>
                <w:p>
                  <w:pPr>
                    <w:pStyle w:val="Normal"/>
                    <w:keepLines w:val="on"/>
                  </w:pPr>
                  <w:r>
                    <w:t>31,00</w:t>
                  </w:r>
                </w:p>
              </w:tc>
              <w:tc>
                <w:tcPr>
                  <w:tcW w:type="auto" w:w="0"/>
                  <w:shd w:val="clear" w:color="auto" w:fill="F0F0F0"/>
                </w:tcPr>
                <w:p>
                  <w:pPr>
                    <w:pStyle w:val="Normal"/>
                    <w:keepLines w:val="on"/>
                  </w:pPr>
                  <w:r>
                    <w:t>39,27</w:t>
                  </w:r>
                </w:p>
              </w:tc>
              <w:tc>
                <w:tcPr>
                  <w:tcW w:type="auto" w:w="0"/>
                  <w:shd w:val="clear" w:color="auto" w:fill="F0F0F0"/>
                </w:tcPr>
                <w:p>
                  <w:pPr>
                    <w:pStyle w:val="Normal"/>
                    <w:keepLines w:val="on"/>
                  </w:pPr>
                  <w:r>
                    <w:t>−21,05%</w:t>
                  </w:r>
                </w:p>
              </w:tc>
            </w:tr>
            <w:tr>
              <w:tc>
                <w:tcPr>
                  <w:tcW w:type="auto" w:w="0"/>
                  <w:shd w:val="clear" w:color="auto" w:fill="F0F0F0"/>
                </w:tcPr>
                <w:p>
                  <w:pPr>
                    <w:pStyle w:val="Para 02"/>
                    <w:keepLines w:val="on"/>
                  </w:pPr>
                  <w:r>
                    <w:t>Asia Satellite Telecom Holdings ADR</w:t>
                  </w:r>
                </w:p>
              </w:tc>
              <w:tc>
                <w:tcPr>
                  <w:tcW w:type="auto" w:w="0"/>
                  <w:shd w:val="clear" w:color="auto" w:fill="F0F0F0"/>
                </w:tcPr>
                <w:p>
                  <w:pPr>
                    <w:pStyle w:val="Normal"/>
                    <w:keepLines w:val="on"/>
                  </w:pPr>
                  <w:r>
                    <w:t>19,60</w:t>
                  </w:r>
                </w:p>
              </w:tc>
              <w:tc>
                <w:tcPr>
                  <w:tcW w:type="auto" w:w="0"/>
                  <w:shd w:val="clear" w:color="auto" w:fill="F0F0F0"/>
                </w:tcPr>
                <w:p>
                  <w:pPr>
                    <w:pStyle w:val="Normal"/>
                    <w:keepLines w:val="on"/>
                  </w:pPr>
                  <w:r>
                    <w:t>18,66</w:t>
                  </w:r>
                </w:p>
              </w:tc>
              <w:tc>
                <w:tcPr>
                  <w:tcW w:type="auto" w:w="0"/>
                  <w:shd w:val="clear" w:color="auto" w:fill="F0F0F0"/>
                </w:tcPr>
                <w:p>
                  <w:pPr>
                    <w:pStyle w:val="Normal"/>
                    <w:keepLines w:val="on"/>
                  </w:pPr>
                  <w:r>
                    <w:t>5,05%</w:t>
                  </w:r>
                </w:p>
              </w:tc>
            </w:tr>
            <w:tr>
              <w:tc>
                <w:tcPr>
                  <w:tcW w:type="auto" w:w="0"/>
                  <w:shd w:val="clear" w:color="auto" w:fill="F0F0F0"/>
                </w:tcPr>
                <w:p>
                  <w:pPr>
                    <w:pStyle w:val="Para 02"/>
                    <w:keepLines w:val="on"/>
                  </w:pPr>
                  <w:r>
                    <w:t>British Telecommunications PLC ADR</w:t>
                  </w:r>
                </w:p>
              </w:tc>
              <w:tc>
                <w:tcPr>
                  <w:tcW w:type="auto" w:w="0"/>
                  <w:shd w:val="clear" w:color="auto" w:fill="F0F0F0"/>
                </w:tcPr>
                <w:p>
                  <w:pPr>
                    <w:pStyle w:val="Normal"/>
                    <w:keepLines w:val="on"/>
                  </w:pPr>
                  <w:r>
                    <w:t>25,70</w:t>
                  </w:r>
                </w:p>
              </w:tc>
              <w:tc>
                <w:tcPr>
                  <w:tcW w:type="auto" w:w="0"/>
                  <w:shd w:val="clear" w:color="auto" w:fill="F0F0F0"/>
                </w:tcPr>
                <w:p>
                  <w:pPr>
                    <w:pStyle w:val="Normal"/>
                    <w:keepLines w:val="on"/>
                  </w:pPr>
                  <w:r>
                    <w:t>21,60</w:t>
                  </w:r>
                </w:p>
              </w:tc>
              <w:tc>
                <w:tcPr>
                  <w:tcW w:type="auto" w:w="0"/>
                  <w:shd w:val="clear" w:color="auto" w:fill="F0F0F0"/>
                </w:tcPr>
                <w:p>
                  <w:pPr>
                    <w:pStyle w:val="Normal"/>
                    <w:keepLines w:val="on"/>
                  </w:pPr>
                  <w:r>
                    <w:t>18,98%</w:t>
                  </w:r>
                </w:p>
              </w:tc>
            </w:tr>
            <w:tr>
              <w:tc>
                <w:tcPr>
                  <w:tcW w:type="auto" w:w="0"/>
                  <w:shd w:val="clear" w:color="auto" w:fill="F0F0F0"/>
                </w:tcPr>
                <w:p>
                  <w:pPr>
                    <w:pStyle w:val="Para 02"/>
                    <w:keepLines w:val="on"/>
                  </w:pPr>
                  <w:r>
                    <w:t>Cable &amp; Wireless PLC ADR</w:t>
                  </w:r>
                </w:p>
              </w:tc>
              <w:tc>
                <w:tcPr>
                  <w:tcW w:type="auto" w:w="0"/>
                  <w:shd w:val="clear" w:color="auto" w:fill="F0F0F0"/>
                </w:tcPr>
                <w:p>
                  <w:pPr>
                    <w:pStyle w:val="Normal"/>
                    <w:keepLines w:val="on"/>
                  </w:pPr>
                  <w:r>
                    <w:t>29,80</w:t>
                  </w:r>
                </w:p>
              </w:tc>
              <w:tc>
                <w:tcPr>
                  <w:tcW w:type="auto" w:w="0"/>
                  <w:shd w:val="clear" w:color="auto" w:fill="F0F0F0"/>
                </w:tcPr>
                <w:p>
                  <w:pPr>
                    <w:pStyle w:val="Normal"/>
                    <w:keepLines w:val="on"/>
                  </w:pPr>
                  <w:r>
                    <w:t>30,09</w:t>
                  </w:r>
                </w:p>
              </w:tc>
              <w:tc>
                <w:tcPr>
                  <w:tcW w:type="auto" w:w="0"/>
                  <w:shd w:val="clear" w:color="auto" w:fill="F0F0F0"/>
                </w:tcPr>
                <w:p>
                  <w:pPr>
                    <w:pStyle w:val="Normal"/>
                    <w:keepLines w:val="on"/>
                  </w:pPr>
                  <w:r>
                    <w:t>−0,95%</w:t>
                  </w:r>
                </w:p>
              </w:tc>
            </w:tr>
            <w:tr>
              <w:tc>
                <w:tcPr>
                  <w:tcW w:type="auto" w:w="0"/>
                  <w:shd w:val="clear" w:color="auto" w:fill="F0F0F0"/>
                </w:tcPr>
                <w:p>
                  <w:pPr>
                    <w:pStyle w:val="Para 02"/>
                    <w:keepLines w:val="on"/>
                  </w:pPr>
                  <w:r>
                    <w:t>Deutsche Telekom AG ADR</w:t>
                  </w:r>
                </w:p>
              </w:tc>
              <w:tc>
                <w:tcPr>
                  <w:tcW w:type="auto" w:w="0"/>
                  <w:shd w:val="clear" w:color="auto" w:fill="F0F0F0"/>
                </w:tcPr>
                <w:p>
                  <w:pPr>
                    <w:pStyle w:val="Normal"/>
                    <w:keepLines w:val="on"/>
                  </w:pPr>
                  <w:r>
                    <w:t>24,60</w:t>
                  </w:r>
                </w:p>
              </w:tc>
              <w:tc>
                <w:tcPr>
                  <w:tcW w:type="auto" w:w="0"/>
                  <w:shd w:val="clear" w:color="auto" w:fill="F0F0F0"/>
                </w:tcPr>
                <w:p>
                  <w:pPr>
                    <w:pStyle w:val="Normal"/>
                    <w:keepLines w:val="on"/>
                  </w:pPr>
                  <w:r>
                    <w:t>26,45</w:t>
                  </w:r>
                </w:p>
              </w:tc>
              <w:tc>
                <w:tcPr>
                  <w:tcW w:type="auto" w:w="0"/>
                  <w:shd w:val="clear" w:color="auto" w:fill="F0F0F0"/>
                </w:tcPr>
                <w:p>
                  <w:pPr>
                    <w:pStyle w:val="Normal"/>
                    <w:keepLines w:val="on"/>
                  </w:pPr>
                  <w:r>
                    <w:t>−6,99%</w:t>
                  </w:r>
                </w:p>
              </w:tc>
            </w:tr>
            <w:tr>
              <w:tc>
                <w:tcPr>
                  <w:tcW w:type="auto" w:w="0"/>
                  <w:shd w:val="clear" w:color="auto" w:fill="F0F0F0"/>
                </w:tcPr>
                <w:p>
                  <w:pPr>
                    <w:pStyle w:val="Para 02"/>
                    <w:keepLines w:val="on"/>
                  </w:pPr>
                  <w:r>
                    <w:t>France Telecom SA ADR</w:t>
                  </w:r>
                </w:p>
              </w:tc>
              <w:tc>
                <w:tcPr>
                  <w:tcW w:type="auto" w:w="0"/>
                  <w:shd w:val="clear" w:color="auto" w:fill="F0F0F0"/>
                </w:tcPr>
                <w:p>
                  <w:pPr>
                    <w:pStyle w:val="Normal"/>
                    <w:keepLines w:val="on"/>
                  </w:pPr>
                  <w:r>
                    <w:t>45,20</w:t>
                  </w:r>
                </w:p>
              </w:tc>
              <w:tc>
                <w:tcPr>
                  <w:tcW w:type="auto" w:w="0"/>
                  <w:shd w:val="clear" w:color="auto" w:fill="F0F0F0"/>
                </w:tcPr>
                <w:p>
                  <w:pPr>
                    <w:pStyle w:val="Normal"/>
                    <w:keepLines w:val="on"/>
                  </w:pPr>
                  <w:r>
                    <w:t>36,15</w:t>
                  </w:r>
                </w:p>
              </w:tc>
              <w:tc>
                <w:tcPr>
                  <w:tcW w:type="auto" w:w="0"/>
                  <w:shd w:val="clear" w:color="auto" w:fill="F0F0F0"/>
                </w:tcPr>
                <w:p>
                  <w:pPr>
                    <w:pStyle w:val="Normal"/>
                    <w:keepLines w:val="on"/>
                  </w:pPr>
                  <w:r>
                    <w:t>25,04%</w:t>
                  </w:r>
                </w:p>
              </w:tc>
            </w:tr>
            <w:tr>
              <w:tc>
                <w:tcPr>
                  <w:tcW w:type="auto" w:w="0"/>
                  <w:shd w:val="clear" w:color="auto" w:fill="F0F0F0"/>
                </w:tcPr>
                <w:p>
                  <w:pPr>
                    <w:pStyle w:val="Para 02"/>
                    <w:keepLines w:val="on"/>
                  </w:pPr>
                  <w:r>
                    <w:t>Gilat Communications</w:t>
                  </w:r>
                </w:p>
              </w:tc>
              <w:tc>
                <w:tcPr>
                  <w:tcW w:type="auto" w:w="0"/>
                  <w:shd w:val="clear" w:color="auto" w:fill="F0F0F0"/>
                </w:tcPr>
                <w:p>
                  <w:pPr>
                    <w:pStyle w:val="Normal"/>
                    <w:keepLines w:val="on"/>
                  </w:pPr>
                  <w:r>
                    <w:t>22,70</w:t>
                  </w:r>
                </w:p>
              </w:tc>
              <w:tc>
                <w:tcPr>
                  <w:tcW w:type="auto" w:w="0"/>
                  <w:shd w:val="clear" w:color="auto" w:fill="F0F0F0"/>
                </w:tcPr>
                <w:p>
                  <w:pPr>
                    <w:pStyle w:val="Normal"/>
                    <w:keepLines w:val="on"/>
                  </w:pPr>
                  <w:r>
                    <w:t>36,84</w:t>
                  </w:r>
                </w:p>
              </w:tc>
              <w:tc>
                <w:tcPr>
                  <w:tcW w:type="auto" w:w="0"/>
                  <w:shd w:val="clear" w:color="auto" w:fill="F0F0F0"/>
                </w:tcPr>
                <w:p>
                  <w:pPr>
                    <w:pStyle w:val="Normal"/>
                    <w:keepLines w:val="on"/>
                  </w:pPr>
                  <w:r>
                    <w:t>−38,38%</w:t>
                  </w:r>
                </w:p>
              </w:tc>
            </w:tr>
            <w:tr>
              <w:tc>
                <w:tcPr>
                  <w:tcW w:type="auto" w:w="0"/>
                  <w:shd w:val="clear" w:color="auto" w:fill="F0F0F0"/>
                </w:tcPr>
                <w:p>
                  <w:pPr>
                    <w:pStyle w:val="Para 02"/>
                    <w:keepLines w:val="on"/>
                  </w:pPr>
                  <w:r>
                    <w:t>Hellenic Telecommunication SA ADR</w:t>
                  </w:r>
                </w:p>
              </w:tc>
              <w:tc>
                <w:tcPr>
                  <w:tcW w:type="auto" w:w="0"/>
                  <w:shd w:val="clear" w:color="auto" w:fill="F0F0F0"/>
                </w:tcPr>
                <w:p>
                  <w:pPr>
                    <w:pStyle w:val="Normal"/>
                    <w:keepLines w:val="on"/>
                  </w:pPr>
                  <w:r>
                    <w:t>12,80</w:t>
                  </w:r>
                </w:p>
              </w:tc>
              <w:tc>
                <w:tcPr>
                  <w:tcW w:type="auto" w:w="0"/>
                  <w:shd w:val="clear" w:color="auto" w:fill="F0F0F0"/>
                </w:tcPr>
                <w:p>
                  <w:pPr>
                    <w:pStyle w:val="Normal"/>
                    <w:keepLines w:val="on"/>
                  </w:pPr>
                  <w:r>
                    <w:t>13,81</w:t>
                  </w:r>
                </w:p>
              </w:tc>
              <w:tc>
                <w:tcPr>
                  <w:tcW w:type="auto" w:w="0"/>
                  <w:shd w:val="clear" w:color="auto" w:fill="F0F0F0"/>
                </w:tcPr>
                <w:p>
                  <w:pPr>
                    <w:pStyle w:val="Normal"/>
                    <w:keepLines w:val="on"/>
                  </w:pPr>
                  <w:r>
                    <w:t>−7,31%</w:t>
                  </w:r>
                </w:p>
              </w:tc>
            </w:tr>
            <w:tr>
              <w:tc>
                <w:tcPr>
                  <w:tcW w:type="auto" w:w="0"/>
                  <w:shd w:val="clear" w:color="auto" w:fill="F0F0F0"/>
                </w:tcPr>
                <w:p>
                  <w:pPr>
                    <w:pStyle w:val="Para 02"/>
                    <w:keepLines w:val="on"/>
                  </w:pPr>
                  <w:r>
                    <w:t>Korea Telecom ADR</w:t>
                  </w:r>
                </w:p>
              </w:tc>
              <w:tc>
                <w:tcPr>
                  <w:tcW w:type="auto" w:w="0"/>
                  <w:shd w:val="clear" w:color="auto" w:fill="F0F0F0"/>
                </w:tcPr>
                <w:p>
                  <w:pPr>
                    <w:pStyle w:val="Normal"/>
                    <w:keepLines w:val="on"/>
                  </w:pPr>
                  <w:r>
                    <w:t>71,30</w:t>
                  </w:r>
                </w:p>
              </w:tc>
              <w:tc>
                <w:tcPr>
                  <w:tcW w:type="auto" w:w="0"/>
                  <w:shd w:val="clear" w:color="auto" w:fill="F0F0F0"/>
                </w:tcPr>
                <w:p>
                  <w:pPr>
                    <w:pStyle w:val="Normal"/>
                    <w:keepLines w:val="on"/>
                  </w:pPr>
                  <w:r>
                    <w:t>52,60</w:t>
                  </w:r>
                </w:p>
              </w:tc>
              <w:tc>
                <w:tcPr>
                  <w:tcW w:type="auto" w:w="0"/>
                  <w:shd w:val="clear" w:color="auto" w:fill="F0F0F0"/>
                </w:tcPr>
                <w:p>
                  <w:pPr>
                    <w:pStyle w:val="Normal"/>
                    <w:keepLines w:val="on"/>
                  </w:pPr>
                  <w:r>
                    <w:t>35,55%</w:t>
                  </w:r>
                </w:p>
              </w:tc>
            </w:tr>
            <w:tr>
              <w:tc>
                <w:tcPr>
                  <w:tcW w:type="auto" w:w="0"/>
                  <w:shd w:val="clear" w:color="auto" w:fill="F0F0F0"/>
                </w:tcPr>
                <w:p>
                  <w:pPr>
                    <w:pStyle w:val="Para 02"/>
                    <w:keepLines w:val="on"/>
                  </w:pPr>
                  <w:r>
                    <w:t>Matav RT ADR</w:t>
                  </w:r>
                </w:p>
              </w:tc>
              <w:tc>
                <w:tcPr>
                  <w:tcW w:type="auto" w:w="0"/>
                  <w:shd w:val="clear" w:color="auto" w:fill="F0F0F0"/>
                </w:tcPr>
                <w:p>
                  <w:pPr>
                    <w:pStyle w:val="Normal"/>
                    <w:keepLines w:val="on"/>
                  </w:pPr>
                  <w:r>
                    <w:t>21,50</w:t>
                  </w:r>
                </w:p>
              </w:tc>
              <w:tc>
                <w:tcPr>
                  <w:tcW w:type="auto" w:w="0"/>
                  <w:shd w:val="clear" w:color="auto" w:fill="F0F0F0"/>
                </w:tcPr>
                <w:p>
                  <w:pPr>
                    <w:pStyle w:val="Normal"/>
                    <w:keepLines w:val="on"/>
                  </w:pPr>
                  <w:r>
                    <w:t>25,93</w:t>
                  </w:r>
                </w:p>
              </w:tc>
              <w:tc>
                <w:tcPr>
                  <w:tcW w:type="auto" w:w="0"/>
                  <w:shd w:val="clear" w:color="auto" w:fill="F0F0F0"/>
                </w:tcPr>
                <w:p>
                  <w:pPr>
                    <w:pStyle w:val="Normal"/>
                    <w:keepLines w:val="on"/>
                  </w:pPr>
                  <w:r>
                    <w:t>−17,09%</w:t>
                  </w:r>
                </w:p>
              </w:tc>
            </w:tr>
            <w:tr>
              <w:tc>
                <w:tcPr>
                  <w:tcW w:type="auto" w:w="0"/>
                  <w:shd w:val="clear" w:color="auto" w:fill="F0F0F0"/>
                </w:tcPr>
                <w:p>
                  <w:pPr>
                    <w:pStyle w:val="Para 02"/>
                    <w:keepLines w:val="on"/>
                  </w:pPr>
                  <w:r>
                    <w:t>Nippon Telegraph &amp; Telephone ADR</w:t>
                  </w:r>
                </w:p>
              </w:tc>
              <w:tc>
                <w:tcPr>
                  <w:tcW w:type="auto" w:w="0"/>
                  <w:shd w:val="clear" w:color="auto" w:fill="F0F0F0"/>
                </w:tcPr>
                <w:p>
                  <w:pPr>
                    <w:pStyle w:val="Normal"/>
                    <w:keepLines w:val="on"/>
                  </w:pPr>
                  <w:r>
                    <w:t>44,30</w:t>
                  </w:r>
                </w:p>
              </w:tc>
              <w:tc>
                <w:tcPr>
                  <w:tcW w:type="auto" w:w="0"/>
                  <w:shd w:val="clear" w:color="auto" w:fill="F0F0F0"/>
                </w:tcPr>
                <w:p>
                  <w:pPr>
                    <w:pStyle w:val="Normal"/>
                    <w:keepLines w:val="on"/>
                  </w:pPr>
                  <w:r>
                    <w:t>37,36</w:t>
                  </w:r>
                </w:p>
              </w:tc>
              <w:tc>
                <w:tcPr>
                  <w:tcW w:type="auto" w:w="0"/>
                  <w:shd w:val="clear" w:color="auto" w:fill="F0F0F0"/>
                </w:tcPr>
                <w:p>
                  <w:pPr>
                    <w:pStyle w:val="Normal"/>
                    <w:keepLines w:val="on"/>
                  </w:pPr>
                  <w:r>
                    <w:t>18,58%</w:t>
                  </w:r>
                </w:p>
              </w:tc>
            </w:tr>
            <w:tr>
              <w:tc>
                <w:tcPr>
                  <w:tcW w:type="auto" w:w="0"/>
                  <w:shd w:val="clear" w:color="auto" w:fill="F0F0F0"/>
                </w:tcPr>
                <w:p>
                  <w:pPr>
                    <w:pStyle w:val="Para 02"/>
                    <w:keepLines w:val="on"/>
                  </w:pPr>
                  <w:r>
                    <w:t>Portugal Telecom SA ADR</w:t>
                  </w:r>
                </w:p>
              </w:tc>
              <w:tc>
                <w:tcPr>
                  <w:tcW w:type="auto" w:w="0"/>
                  <w:shd w:val="clear" w:color="auto" w:fill="F0F0F0"/>
                </w:tcPr>
                <w:p>
                  <w:pPr>
                    <w:pStyle w:val="Normal"/>
                    <w:keepLines w:val="on"/>
                  </w:pPr>
                  <w:r>
                    <w:t>20,80</w:t>
                  </w:r>
                </w:p>
              </w:tc>
              <w:tc>
                <w:tcPr>
                  <w:tcW w:type="auto" w:w="0"/>
                  <w:shd w:val="clear" w:color="auto" w:fill="F0F0F0"/>
                </w:tcPr>
                <w:p>
                  <w:pPr>
                    <w:pStyle w:val="Normal"/>
                    <w:keepLines w:val="on"/>
                  </w:pPr>
                  <w:r>
                    <w:t>28,87</w:t>
                  </w:r>
                </w:p>
              </w:tc>
              <w:tc>
                <w:tcPr>
                  <w:tcW w:type="auto" w:w="0"/>
                  <w:shd w:val="clear" w:color="auto" w:fill="F0F0F0"/>
                </w:tcPr>
                <w:p>
                  <w:pPr>
                    <w:pStyle w:val="Normal"/>
                    <w:keepLines w:val="on"/>
                  </w:pPr>
                  <w:r>
                    <w:t>−27,96%</w:t>
                  </w:r>
                </w:p>
              </w:tc>
            </w:tr>
            <w:tr>
              <w:tc>
                <w:tcPr>
                  <w:tcW w:type="auto" w:w="0"/>
                  <w:shd w:val="clear" w:color="auto" w:fill="F0F0F0"/>
                </w:tcPr>
                <w:p>
                  <w:pPr>
                    <w:pStyle w:val="Para 02"/>
                    <w:keepLines w:val="on"/>
                  </w:pPr>
                  <w:r>
                    <w:t>PT Indosat ADR</w:t>
                  </w:r>
                </w:p>
              </w:tc>
              <w:tc>
                <w:tcPr>
                  <w:tcW w:type="auto" w:w="0"/>
                  <w:shd w:val="clear" w:color="auto" w:fill="F0F0F0"/>
                </w:tcPr>
                <w:p>
                  <w:pPr>
                    <w:pStyle w:val="Normal"/>
                    <w:keepLines w:val="on"/>
                  </w:pPr>
                  <w:r>
                    <w:t>7,80</w:t>
                  </w:r>
                </w:p>
              </w:tc>
              <w:tc>
                <w:tcPr>
                  <w:tcW w:type="auto" w:w="0"/>
                  <w:shd w:val="clear" w:color="auto" w:fill="F0F0F0"/>
                </w:tcPr>
                <w:p>
                  <w:pPr>
                    <w:pStyle w:val="Normal"/>
                    <w:keepLines w:val="on"/>
                  </w:pPr>
                  <w:r>
                    <w:t>6,54</w:t>
                  </w:r>
                </w:p>
              </w:tc>
              <w:tc>
                <w:tcPr>
                  <w:tcW w:type="auto" w:w="0"/>
                  <w:shd w:val="clear" w:color="auto" w:fill="F0F0F0"/>
                </w:tcPr>
                <w:p>
                  <w:pPr>
                    <w:pStyle w:val="Normal"/>
                    <w:keepLines w:val="on"/>
                  </w:pPr>
                  <w:r>
                    <w:t>19,35%</w:t>
                  </w:r>
                </w:p>
              </w:tc>
            </w:tr>
            <w:tr>
              <w:tc>
                <w:tcPr>
                  <w:tcW w:type="auto" w:w="0"/>
                  <w:shd w:val="clear" w:color="auto" w:fill="F0F0F0"/>
                </w:tcPr>
                <w:p>
                  <w:pPr>
                    <w:pStyle w:val="Para 02"/>
                    <w:keepLines w:val="on"/>
                  </w:pPr>
                  <w:r>
                    <w:t>Royal KPN NV ADR</w:t>
                  </w:r>
                </w:p>
              </w:tc>
              <w:tc>
                <w:tcPr>
                  <w:tcW w:type="auto" w:w="0"/>
                  <w:shd w:val="clear" w:color="auto" w:fill="F0F0F0"/>
                </w:tcPr>
                <w:p>
                  <w:pPr>
                    <w:pStyle w:val="Normal"/>
                    <w:keepLines w:val="on"/>
                  </w:pPr>
                  <w:r>
                    <w:t>35,70</w:t>
                  </w:r>
                </w:p>
              </w:tc>
              <w:tc>
                <w:tcPr>
                  <w:tcW w:type="auto" w:w="0"/>
                  <w:shd w:val="clear" w:color="auto" w:fill="F0F0F0"/>
                </w:tcPr>
                <w:p>
                  <w:pPr>
                    <w:pStyle w:val="Normal"/>
                    <w:keepLines w:val="on"/>
                  </w:pPr>
                  <w:r>
                    <w:t>28,87</w:t>
                  </w:r>
                </w:p>
              </w:tc>
              <w:tc>
                <w:tcPr>
                  <w:tcW w:type="auto" w:w="0"/>
                  <w:shd w:val="clear" w:color="auto" w:fill="F0F0F0"/>
                </w:tcPr>
                <w:p>
                  <w:pPr>
                    <w:pStyle w:val="Normal"/>
                    <w:keepLines w:val="on"/>
                  </w:pPr>
                  <w:r>
                    <w:t>23,64%</w:t>
                  </w:r>
                </w:p>
              </w:tc>
            </w:tr>
            <w:tr>
              <w:tc>
                <w:tcPr>
                  <w:tcW w:type="auto" w:w="0"/>
                  <w:shd w:val="clear" w:color="auto" w:fill="F0F0F0"/>
                </w:tcPr>
                <w:p>
                  <w:pPr>
                    <w:pStyle w:val="Para 02"/>
                    <w:keepLines w:val="on"/>
                  </w:pPr>
                  <w:r>
                    <w:t>Swisscom AG ADR</w:t>
                  </w:r>
                </w:p>
              </w:tc>
              <w:tc>
                <w:tcPr>
                  <w:tcW w:type="auto" w:w="0"/>
                  <w:shd w:val="clear" w:color="auto" w:fill="F0F0F0"/>
                </w:tcPr>
                <w:p>
                  <w:pPr>
                    <w:pStyle w:val="Normal"/>
                    <w:keepLines w:val="on"/>
                  </w:pPr>
                  <w:r>
                    <w:t>18,30</w:t>
                  </w:r>
                </w:p>
              </w:tc>
              <w:tc>
                <w:tcPr>
                  <w:tcW w:type="auto" w:w="0"/>
                  <w:shd w:val="clear" w:color="auto" w:fill="F0F0F0"/>
                </w:tcPr>
                <w:p>
                  <w:pPr>
                    <w:pStyle w:val="Normal"/>
                    <w:keepLines w:val="on"/>
                  </w:pPr>
                  <w:r>
                    <w:t>26,45</w:t>
                  </w:r>
                </w:p>
              </w:tc>
              <w:tc>
                <w:tcPr>
                  <w:tcW w:type="auto" w:w="0"/>
                  <w:shd w:val="clear" w:color="auto" w:fill="F0F0F0"/>
                </w:tcPr>
                <w:p>
                  <w:pPr>
                    <w:pStyle w:val="Normal"/>
                    <w:keepLines w:val="on"/>
                  </w:pPr>
                  <w:r>
                    <w:t>−30,81%</w:t>
                  </w:r>
                </w:p>
              </w:tc>
            </w:tr>
            <w:tr>
              <w:tc>
                <w:tcPr>
                  <w:tcW w:type="auto" w:w="0"/>
                  <w:shd w:val="clear" w:color="auto" w:fill="F0F0F0"/>
                </w:tcPr>
                <w:p>
                  <w:pPr>
                    <w:pStyle w:val="Para 02"/>
                    <w:keepLines w:val="on"/>
                  </w:pPr>
                  <w:r>
                    <w:t>Tele Danmark AS ADR</w:t>
                  </w:r>
                </w:p>
              </w:tc>
              <w:tc>
                <w:tcPr>
                  <w:tcW w:type="auto" w:w="0"/>
                  <w:shd w:val="clear" w:color="auto" w:fill="F0F0F0"/>
                </w:tcPr>
                <w:p>
                  <w:pPr>
                    <w:pStyle w:val="Normal"/>
                    <w:keepLines w:val="on"/>
                  </w:pPr>
                  <w:r>
                    <w:t>27,00</w:t>
                  </w:r>
                </w:p>
              </w:tc>
              <w:tc>
                <w:tcPr>
                  <w:tcW w:type="auto" w:w="0"/>
                  <w:shd w:val="clear" w:color="auto" w:fill="F0F0F0"/>
                </w:tcPr>
                <w:p>
                  <w:pPr>
                    <w:pStyle w:val="Normal"/>
                    <w:keepLines w:val="on"/>
                  </w:pPr>
                  <w:r>
                    <w:t>24,03</w:t>
                  </w:r>
                </w:p>
              </w:tc>
              <w:tc>
                <w:tcPr>
                  <w:tcW w:type="auto" w:w="0"/>
                  <w:shd w:val="clear" w:color="auto" w:fill="F0F0F0"/>
                </w:tcPr>
                <w:p>
                  <w:pPr>
                    <w:pStyle w:val="Normal"/>
                    <w:keepLines w:val="on"/>
                  </w:pPr>
                  <w:r>
                    <w:t>12,38%</w:t>
                  </w:r>
                </w:p>
              </w:tc>
            </w:tr>
            <w:tr>
              <w:tc>
                <w:tcPr>
                  <w:tcW w:type="auto" w:w="0"/>
                  <w:shd w:val="clear" w:color="auto" w:fill="F0F0F0"/>
                </w:tcPr>
                <w:p>
                  <w:pPr>
                    <w:pStyle w:val="Para 02"/>
                    <w:keepLines w:val="on"/>
                  </w:pPr>
                  <w:r>
                    <w:t>Telebras ADR</w:t>
                  </w:r>
                </w:p>
              </w:tc>
              <w:tc>
                <w:tcPr>
                  <w:tcW w:type="auto" w:w="0"/>
                  <w:shd w:val="clear" w:color="auto" w:fill="F0F0F0"/>
                </w:tcPr>
                <w:p>
                  <w:pPr>
                    <w:pStyle w:val="Normal"/>
                    <w:keepLines w:val="on"/>
                  </w:pPr>
                  <w:r>
                    <w:t>8,90</w:t>
                  </w:r>
                </w:p>
              </w:tc>
              <w:tc>
                <w:tcPr>
                  <w:tcW w:type="auto" w:w="0"/>
                  <w:shd w:val="clear" w:color="auto" w:fill="F0F0F0"/>
                </w:tcPr>
                <w:p>
                  <w:pPr>
                    <w:pStyle w:val="Normal"/>
                    <w:keepLines w:val="on"/>
                  </w:pPr>
                  <w:r>
                    <w:t>8,35</w:t>
                  </w:r>
                </w:p>
              </w:tc>
              <w:tc>
                <w:tcPr>
                  <w:tcW w:type="auto" w:w="0"/>
                  <w:shd w:val="clear" w:color="auto" w:fill="F0F0F0"/>
                </w:tcPr>
                <w:p>
                  <w:pPr>
                    <w:pStyle w:val="Normal"/>
                    <w:keepLines w:val="on"/>
                  </w:pPr>
                  <w:r>
                    <w:t>6,54%</w:t>
                  </w:r>
                </w:p>
              </w:tc>
            </w:tr>
            <w:tr>
              <w:tc>
                <w:tcPr>
                  <w:tcW w:type="auto" w:w="0"/>
                  <w:shd w:val="clear" w:color="auto" w:fill="F0F0F0"/>
                </w:tcPr>
                <w:p>
                  <w:pPr>
                    <w:pStyle w:val="Para 02"/>
                    <w:keepLines w:val="on"/>
                  </w:pPr>
                  <w:r>
                    <w:t>Telecom Argentina ADR B</w:t>
                  </w:r>
                </w:p>
              </w:tc>
              <w:tc>
                <w:tcPr>
                  <w:tcW w:type="auto" w:w="0"/>
                  <w:shd w:val="clear" w:color="auto" w:fill="F0F0F0"/>
                </w:tcPr>
                <w:p>
                  <w:pPr>
                    <w:pStyle w:val="Normal"/>
                    <w:keepLines w:val="on"/>
                  </w:pPr>
                  <w:r>
                    <w:t>12,50</w:t>
                  </w:r>
                </w:p>
              </w:tc>
              <w:tc>
                <w:tcPr>
                  <w:tcW w:type="auto" w:w="0"/>
                  <w:shd w:val="clear" w:color="auto" w:fill="F0F0F0"/>
                </w:tcPr>
                <w:p>
                  <w:pPr>
                    <w:pStyle w:val="Normal"/>
                    <w:keepLines w:val="on"/>
                  </w:pPr>
                  <w:r>
                    <w:t>8,96</w:t>
                  </w:r>
                </w:p>
              </w:tc>
              <w:tc>
                <w:tcPr>
                  <w:tcW w:type="auto" w:w="0"/>
                  <w:shd w:val="clear" w:color="auto" w:fill="F0F0F0"/>
                </w:tcPr>
                <w:p>
                  <w:pPr>
                    <w:pStyle w:val="Normal"/>
                    <w:keepLines w:val="on"/>
                  </w:pPr>
                  <w:r>
                    <w:t>39,51%</w:t>
                  </w:r>
                </w:p>
              </w:tc>
            </w:tr>
            <w:tr>
              <w:tc>
                <w:tcPr>
                  <w:tcW w:type="auto" w:w="0"/>
                  <w:shd w:val="clear" w:color="auto" w:fill="F0F0F0"/>
                </w:tcPr>
                <w:p>
                  <w:pPr>
                    <w:pStyle w:val="Para 02"/>
                    <w:keepLines w:val="on"/>
                  </w:pPr>
                  <w:r>
                    <w:t>Telecom Corp of New Zealand ADR</w:t>
                  </w:r>
                </w:p>
              </w:tc>
              <w:tc>
                <w:tcPr>
                  <w:tcW w:type="auto" w:w="0"/>
                  <w:shd w:val="clear" w:color="auto" w:fill="F0F0F0"/>
                </w:tcPr>
                <w:p>
                  <w:pPr>
                    <w:pStyle w:val="Normal"/>
                    <w:keepLines w:val="on"/>
                  </w:pPr>
                  <w:r>
                    <w:t>11,20</w:t>
                  </w:r>
                </w:p>
              </w:tc>
              <w:tc>
                <w:tcPr>
                  <w:tcW w:type="auto" w:w="0"/>
                  <w:shd w:val="clear" w:color="auto" w:fill="F0F0F0"/>
                </w:tcPr>
                <w:p>
                  <w:pPr>
                    <w:pStyle w:val="Normal"/>
                    <w:keepLines w:val="on"/>
                  </w:pPr>
                  <w:r>
                    <w:t>26,45</w:t>
                  </w:r>
                </w:p>
              </w:tc>
              <w:tc>
                <w:tcPr>
                  <w:tcW w:type="auto" w:w="0"/>
                  <w:shd w:val="clear" w:color="auto" w:fill="F0F0F0"/>
                </w:tcPr>
                <w:p>
                  <w:pPr>
                    <w:pStyle w:val="Normal"/>
                    <w:keepLines w:val="on"/>
                  </w:pPr>
                  <w:r>
                    <w:t>−57,66%</w:t>
                  </w:r>
                </w:p>
              </w:tc>
            </w:tr>
            <w:tr>
              <w:tc>
                <w:tcPr>
                  <w:tcW w:type="auto" w:w="0"/>
                  <w:shd w:val="clear" w:color="auto" w:fill="F0F0F0"/>
                </w:tcPr>
                <w:p>
                  <w:pPr>
                    <w:pStyle w:val="Para 02"/>
                    <w:keepLines w:val="on"/>
                  </w:pPr>
                  <w:r>
                    <w:t>Telecom Italia SPA ADR</w:t>
                  </w:r>
                </w:p>
              </w:tc>
              <w:tc>
                <w:tcPr>
                  <w:tcW w:type="auto" w:w="0"/>
                  <w:shd w:val="clear" w:color="auto" w:fill="F0F0F0"/>
                </w:tcPr>
                <w:p>
                  <w:pPr>
                    <w:pStyle w:val="Normal"/>
                    <w:keepLines w:val="on"/>
                  </w:pPr>
                  <w:r>
                    <w:t>42,20</w:t>
                  </w:r>
                </w:p>
              </w:tc>
              <w:tc>
                <w:tcPr>
                  <w:tcW w:type="auto" w:w="0"/>
                  <w:shd w:val="clear" w:color="auto" w:fill="F0F0F0"/>
                </w:tcPr>
                <w:p>
                  <w:pPr>
                    <w:pStyle w:val="Normal"/>
                    <w:keepLines w:val="on"/>
                  </w:pPr>
                  <w:r>
                    <w:t>30.09</w:t>
                  </w:r>
                </w:p>
              </w:tc>
              <w:tc>
                <w:tcPr>
                  <w:tcW w:type="auto" w:w="0"/>
                  <w:shd w:val="clear" w:color="auto" w:fill="F0F0F0"/>
                </w:tcPr>
                <w:p>
                  <w:pPr>
                    <w:pStyle w:val="Normal"/>
                    <w:keepLines w:val="on"/>
                  </w:pPr>
                  <w:r>
                    <w:t>40,26%</w:t>
                  </w:r>
                </w:p>
              </w:tc>
            </w:tr>
            <w:tr>
              <w:tc>
                <w:tcPr>
                  <w:tcW w:type="auto" w:w="0"/>
                  <w:shd w:val="clear" w:color="auto" w:fill="F0F0F0"/>
                </w:tcPr>
                <w:p>
                  <w:pPr>
                    <w:pStyle w:val="Para 02"/>
                    <w:keepLines w:val="on"/>
                  </w:pPr>
                  <w:r>
                    <w:t>Telecomunicaciones de Chile ADR</w:t>
                  </w:r>
                </w:p>
              </w:tc>
              <w:tc>
                <w:tcPr>
                  <w:tcW w:type="auto" w:w="0"/>
                  <w:shd w:val="clear" w:color="auto" w:fill="F0F0F0"/>
                </w:tcPr>
                <w:p>
                  <w:pPr>
                    <w:pStyle w:val="Normal"/>
                    <w:keepLines w:val="on"/>
                  </w:pPr>
                  <w:r>
                    <w:t>16,60</w:t>
                  </w:r>
                </w:p>
              </w:tc>
              <w:tc>
                <w:tcPr>
                  <w:tcW w:type="auto" w:w="0"/>
                  <w:shd w:val="clear" w:color="auto" w:fill="F0F0F0"/>
                </w:tcPr>
                <w:p>
                  <w:pPr>
                    <w:pStyle w:val="Normal"/>
                    <w:keepLines w:val="on"/>
                  </w:pPr>
                  <w:r>
                    <w:t>8,96</w:t>
                  </w:r>
                </w:p>
              </w:tc>
              <w:tc>
                <w:tcPr>
                  <w:tcW w:type="auto" w:w="0"/>
                  <w:shd w:val="clear" w:color="auto" w:fill="F0F0F0"/>
                </w:tcPr>
                <w:p>
                  <w:pPr>
                    <w:pStyle w:val="Normal"/>
                    <w:keepLines w:val="on"/>
                  </w:pPr>
                  <w:r>
                    <w:t>85,27%</w:t>
                  </w:r>
                </w:p>
              </w:tc>
            </w:tr>
            <w:tr>
              <w:tc>
                <w:tcPr>
                  <w:tcW w:type="auto" w:w="0"/>
                  <w:shd w:val="clear" w:color="auto" w:fill="F0F0F0"/>
                </w:tcPr>
                <w:p>
                  <w:pPr>
                    <w:pStyle w:val="Para 02"/>
                    <w:keepLines w:val="on"/>
                  </w:pPr>
                  <w:r>
                    <w:t>Telefonica SA ADR</w:t>
                  </w:r>
                </w:p>
              </w:tc>
              <w:tc>
                <w:tcPr>
                  <w:tcW w:type="auto" w:w="0"/>
                  <w:shd w:val="clear" w:color="auto" w:fill="F0F0F0"/>
                </w:tcPr>
                <w:p>
                  <w:pPr>
                    <w:pStyle w:val="Normal"/>
                    <w:keepLines w:val="on"/>
                  </w:pPr>
                  <w:r>
                    <w:t>32,50</w:t>
                  </w:r>
                </w:p>
              </w:tc>
              <w:tc>
                <w:tcPr>
                  <w:tcW w:type="auto" w:w="0"/>
                  <w:shd w:val="clear" w:color="auto" w:fill="F0F0F0"/>
                </w:tcPr>
                <w:p>
                  <w:pPr>
                    <w:pStyle w:val="Normal"/>
                    <w:keepLines w:val="on"/>
                  </w:pPr>
                  <w:r>
                    <w:t>34,94</w:t>
                  </w:r>
                </w:p>
              </w:tc>
              <w:tc>
                <w:tcPr>
                  <w:tcW w:type="auto" w:w="0"/>
                  <w:shd w:val="clear" w:color="auto" w:fill="F0F0F0"/>
                </w:tcPr>
                <w:p>
                  <w:pPr>
                    <w:pStyle w:val="Normal"/>
                    <w:keepLines w:val="on"/>
                  </w:pPr>
                  <w:r>
                    <w:t>−6,97%</w:t>
                  </w:r>
                </w:p>
              </w:tc>
            </w:tr>
            <w:tr>
              <w:tc>
                <w:tcPr>
                  <w:tcW w:type="auto" w:w="0"/>
                  <w:shd w:val="clear" w:color="auto" w:fill="F0F0F0"/>
                </w:tcPr>
                <w:p>
                  <w:pPr>
                    <w:pStyle w:val="Para 02"/>
                    <w:keepLines w:val="on"/>
                  </w:pPr>
                  <w:r>
                    <w:t>Telefonos de Mexico ADR L</w:t>
                  </w:r>
                </w:p>
              </w:tc>
              <w:tc>
                <w:tcPr>
                  <w:tcW w:type="auto" w:w="0"/>
                  <w:shd w:val="clear" w:color="auto" w:fill="F0F0F0"/>
                </w:tcPr>
                <w:p>
                  <w:pPr>
                    <w:pStyle w:val="Normal"/>
                    <w:keepLines w:val="on"/>
                  </w:pPr>
                  <w:r>
                    <w:t>21,10</w:t>
                  </w:r>
                </w:p>
              </w:tc>
              <w:tc>
                <w:tcPr>
                  <w:tcW w:type="auto" w:w="0"/>
                  <w:shd w:val="clear" w:color="auto" w:fill="F0F0F0"/>
                </w:tcPr>
                <w:p>
                  <w:pPr>
                    <w:pStyle w:val="Normal"/>
                    <w:keepLines w:val="on"/>
                  </w:pPr>
                  <w:r>
                    <w:t>16,23</w:t>
                  </w:r>
                </w:p>
              </w:tc>
              <w:tc>
                <w:tcPr>
                  <w:tcW w:type="auto" w:w="0"/>
                  <w:shd w:val="clear" w:color="auto" w:fill="F0F0F0"/>
                </w:tcPr>
                <w:p>
                  <w:pPr>
                    <w:pStyle w:val="Normal"/>
                    <w:keepLines w:val="on"/>
                  </w:pPr>
                  <w:r>
                    <w:t>29,98%</w:t>
                  </w:r>
                </w:p>
              </w:tc>
            </w:tr>
            <w:tr>
              <w:tc>
                <w:tcPr>
                  <w:tcW w:type="auto" w:w="0"/>
                  <w:shd w:val="clear" w:color="auto" w:fill="F0F0F0"/>
                </w:tcPr>
                <w:p>
                  <w:pPr>
                    <w:pStyle w:val="Para 02"/>
                    <w:keepLines w:val="on"/>
                  </w:pPr>
                  <w:r>
                    <w:t>Telekomunikasi Indonesia ADR</w:t>
                  </w:r>
                </w:p>
              </w:tc>
              <w:tc>
                <w:tcPr>
                  <w:tcW w:type="auto" w:w="0"/>
                  <w:shd w:val="clear" w:color="auto" w:fill="F0F0F0"/>
                </w:tcPr>
                <w:p>
                  <w:pPr>
                    <w:pStyle w:val="Normal"/>
                    <w:keepLines w:val="on"/>
                  </w:pPr>
                  <w:r>
                    <w:t>28,40</w:t>
                  </w:r>
                </w:p>
              </w:tc>
              <w:tc>
                <w:tcPr>
                  <w:tcW w:type="auto" w:w="0"/>
                  <w:shd w:val="clear" w:color="auto" w:fill="F0F0F0"/>
                </w:tcPr>
                <w:p>
                  <w:pPr>
                    <w:pStyle w:val="Normal"/>
                    <w:keepLines w:val="on"/>
                  </w:pPr>
                  <w:r>
                    <w:t>38,05</w:t>
                  </w:r>
                </w:p>
              </w:tc>
              <w:tc>
                <w:tcPr>
                  <w:tcW w:type="auto" w:w="0"/>
                  <w:shd w:val="clear" w:color="auto" w:fill="F0F0F0"/>
                </w:tcPr>
                <w:p>
                  <w:pPr>
                    <w:pStyle w:val="Normal"/>
                    <w:keepLines w:val="on"/>
                  </w:pPr>
                  <w:r>
                    <w:t>−25,37%</w:t>
                  </w:r>
                </w:p>
              </w:tc>
            </w:tr>
            <w:tr>
              <w:tc>
                <w:tcPr>
                  <w:tcW w:type="auto" w:w="0"/>
                  <w:shd w:val="clear" w:color="auto" w:fill="F0F0F0"/>
                </w:tcPr>
                <w:p>
                  <w:pPr>
                    <w:pStyle w:val="Para 02"/>
                    <w:keepLines w:val="on"/>
                  </w:pPr>
                  <w:r>
                    <w:t>Telstra ADR</w:t>
                  </w:r>
                </w:p>
              </w:tc>
              <w:tc>
                <w:tcPr>
                  <w:tcW w:type="auto" w:w="0"/>
                  <w:shd w:val="clear" w:color="auto" w:fill="F0F0F0"/>
                </w:tcPr>
                <w:p>
                  <w:pPr>
                    <w:pStyle w:val="Normal"/>
                    <w:keepLines w:val="on"/>
                  </w:pPr>
                  <w:r>
                    <w:t>21,70</w:t>
                  </w:r>
                </w:p>
              </w:tc>
              <w:tc>
                <w:tcPr>
                  <w:tcW w:type="auto" w:w="0"/>
                  <w:shd w:val="clear" w:color="auto" w:fill="F0F0F0"/>
                </w:tcPr>
                <w:p>
                  <w:pPr>
                    <w:pStyle w:val="Normal"/>
                    <w:keepLines w:val="on"/>
                  </w:pPr>
                  <w:r>
                    <w:t>27,66</w:t>
                  </w:r>
                </w:p>
              </w:tc>
              <w:tc>
                <w:tcPr>
                  <w:tcW w:type="auto" w:w="0"/>
                  <w:shd w:val="clear" w:color="auto" w:fill="F0F0F0"/>
                </w:tcPr>
                <w:p>
                  <w:pPr>
                    <w:pStyle w:val="Normal"/>
                    <w:keepLines w:val="on"/>
                  </w:pPr>
                  <w:r>
                    <w:t>−21,55%</w:t>
                  </w:r>
                </w:p>
              </w:tc>
            </w:tr>
          </w:tbl>
          <w:p/>
        </w:tc>
      </w:tr>
    </w:tbl>
    <w:p>
      <w:pPr>
        <w:pStyle w:val="Para 04"/>
        <w:keepLines w:val="on"/>
      </w:pPr>
      <w:r>
        <w:t>Dựa trên các tỷ số PE dự đoán, Telecom Corporation of New Zealand là công ty bị định giá thấp nhất trong nhóm này, còn Telecomunicaciones de Chile là công ty bị định giá cao nhất. Một nhà phân tích Chile có thể sẽ chỉ ra rằng điều này là do Chile, ít nhất là vào năm 2000, an toàn hơn nhiều so với các thị trường mới nổi khác — và điều đó có lý — nhưng đó chính là rủi ro khi dùng một biến giả (dummy variable) cho rủi ro này. Việc sử dụng điểm số rủi ro quốc gia (country risk scores) hoặc xếp hạng tín nhiệm quốc gia có thể giúp chúng ta phân biệt các quốc gia với nhau tốt hơn.</w:t>
      </w:r>
    </w:p>
    <w:p>
      <w:pPr>
        <w:pStyle w:val="Para 20"/>
      </w:pPr>
      <w:r>
        <w:rPr>
          <w:rStyle w:val="Text26"/>
        </w:rPr>
        <w:bookmarkStart w:id="3605" w:name="Page_551"/>
        <w:t/>
        <w:bookmarkEnd w:id="3605"/>
      </w:r>
      <w:r>
        <w:t xml:space="preserve"> </w:t>
      </w:r>
    </w:p>
    <w:p>
      <w:bookmarkStart w:id="3606" w:name="Comparing_PE_Ratios_across_Firms_3"/>
      <w:bookmarkStart w:id="3607" w:name="Comparing_PE_Ratios_across_Firms_2"/>
      <w:pPr>
        <w:keepNext/>
        <w:pStyle w:val="Heading 4"/>
        <w:keepLines w:val="on"/>
      </w:pPr>
      <w:r>
        <w:t>So sánh tỷ số PE giữa các công ty trong thị trường</w:t>
      </w:r>
      <w:bookmarkEnd w:id="3606"/>
      <w:bookmarkEnd w:id="3607"/>
    </w:p>
    <w:p>
      <w:pPr>
        <w:pStyle w:val="Para 03"/>
      </w:pPr>
      <w:r>
        <w:t>Ở phần trước, các công ty so sánh được (comparable firms) được định nghĩa hẹp là những công ty khác cùng ngành. Phần này xem xét các cách để mở rộng số lượng công ty so sánh bằng cách nhìn vào toàn bộ một lĩnh vực (sector) hoặc thậm chí cả thị trường. Làm như vậy có hai lợi ích. Thứ nhất là các ước tính có thể trở nên chính xác hơn khi số lượng công ty so sánh tăng lên. Thứ hai là nó cho phép bạn chỉ ra chính xác khi nào các công ty trong một nhóm nhỏ đang bị định giá thấp hoặc cao so với phần còn lại của lĩnh vực hoặc thị trường. Vì sự khác biệt giữa các công ty sẽ tăng lên khi bạn nới lỏng định nghĩa về công ty so sánh, bạn phải điều chỉnh cho những khác biệt này. Cách đơn giản nhất để làm điều đó là dùng hồi quy bội (multiple regression), với tỷ số PE là biến phụ thuộc, còn các biến đại diện (proxy) cho rủi ro, tăng trưởng và tỷ lệ chi trả cổ tức (payout) đóng vai trò biến độc lập.</w:t>
      </w:r>
    </w:p>
    <w:p>
      <w:bookmarkStart w:id="3608" w:name="Past_Studies__One_of_the_earlies"/>
      <w:pPr>
        <w:pStyle w:val="Para 21"/>
      </w:pPr>
      <w:r>
        <w:t>Các nghiên cứu trước đây</w:t>
      </w:r>
      <w:bookmarkEnd w:id="3608"/>
    </w:p>
    <w:p>
      <w:pPr>
        <w:pStyle w:val="Para 03"/>
      </w:pPr>
      <w:r>
        <w:t>Một trong những hồi quy sớm nhất về tỷ lệ PE dựa trên các yếu tố cơ bản trên toàn bộ thị trường được thực hiện bởi Kisor và Whitbeck vào năm (1963). Sử dụng dữ liệu từ Bank of New York tính đến tháng 6 năm 1962 cho 135 cổ phiếu, họ đã đưa ra hồi quy sau:</w:t>
      </w:r>
    </w:p>
    <w:p>
      <w:bookmarkStart w:id="3610" w:name="PE_8_2_1_5__Growth_rate_in_earni"/>
      <w:pPr>
        <w:keepNext/>
        <w:pStyle w:val="Para 09"/>
        <w:keepLines w:val="on"/>
      </w:pPr>
      <w:r>
        <w:t>PE=8.2+1.5 (Tốc độ tăng trưởng thu nhập)+6.7 (Tỷ lệ chi trả cổ tức)−.2 (Độ lệch chuẩn trong thay đổi EPS)</w:t>
      </w:r>
      <w:bookmarkEnd w:id="3610"/>
    </w:p>
    <w:p>
      <w:pPr>
        <w:pStyle w:val="Para 03"/>
      </w:pPr>
      <w:r>
        <w:t>Cragg và Malkiel tiếp nối bằng cách ước lượng các hệ số cho một hồi quy của tỷ lệ giá trên thu nhập dựa trên tốc độ tăng trưởng, tỷ lệ chi trả cổ tức và beta của cổ phiếu trong giai đoạn từ 1961 đến 1965, trong Bảng 18.11:</w:t>
      </w:r>
    </w:p>
    <w:p>
      <w:pPr>
        <w:pStyle w:val="Para 34"/>
        <w:keepLines w:val="on"/>
      </w:pPr>
      <w:r>
        <w:t>Bảng 18.11</w:t>
      </w:r>
    </w:p>
    <w:p>
      <w:pPr>
        <w:keepNext/>
        <w:pStyle w:val="Para 35"/>
        <w:keepLines w:val="on"/>
      </w:pPr>
      <w:r>
        <w:t>Hồi quy thị trường từ 1961 đến 1965</w:t>
      </w:r>
    </w:p>
    <w:tbl>
      <w:tblPr>
        <w:tblW w:type="auto" w:w="0"/>
      </w:tblPr>
      <w:tr>
        <w:tc>
          <w:tcPr>
            <w:tcW w:type="auto" w:w="0"/>
          </w:tcPr>
          <w:tbl>
            <w:tblPr>
              <w:tblW w:type="auto" w:w="0"/>
            </w:tblPr>
            <w:tr>
              <w:tc>
                <w:tcPr>
                  <w:tcW w:type="auto" w:w="0"/>
                  <w:shd w:val="clear" w:color="auto" w:fill="F0F0F0"/>
                </w:tcPr>
                <w:p>
                  <w:pPr>
                    <w:pStyle w:val="Para 29"/>
                    <w:keepLines w:val="on"/>
                  </w:pPr>
                  <w:r>
                    <w:t>Năm</w:t>
                  </w:r>
                </w:p>
              </w:tc>
              <w:tc>
                <w:tcPr>
                  <w:tcW w:type="auto" w:w="0"/>
                  <w:shd w:val="clear" w:color="auto" w:fill="F0F0F0"/>
                </w:tcPr>
                <w:p>
                  <w:pPr>
                    <w:pStyle w:val="Para 17"/>
                    <w:keepLines w:val="on"/>
                  </w:pPr>
                  <w:r>
                    <w:t>Phương trình</w:t>
                  </w:r>
                </w:p>
              </w:tc>
              <w:tc>
                <w:tcPr>
                  <w:tcW w:type="auto" w:w="0"/>
                  <w:shd w:val="clear" w:color="auto" w:fill="F0F0F0"/>
                </w:tcPr>
                <w:p>
                  <w:pPr>
                    <w:pStyle w:val="Para 17"/>
                    <w:keepLines w:val="on"/>
                  </w:pPr>
                  <w:r>
                    <w:t>R-Squared</w:t>
                  </w:r>
                </w:p>
              </w:tc>
            </w:tr>
            <w:tr>
              <w:tc>
                <w:tcPr>
                  <w:tcW w:type="auto" w:w="0"/>
                  <w:shd w:val="clear" w:color="auto" w:fill="F0F0F0"/>
                </w:tcPr>
                <w:p>
                  <w:pPr>
                    <w:pStyle w:val="Para 02"/>
                    <w:keepLines w:val="on"/>
                  </w:pPr>
                  <w:r>
                    <w:t>1961</w:t>
                  </w:r>
                </w:p>
              </w:tc>
              <w:tc>
                <w:tcPr>
                  <w:tcW w:type="auto" w:w="0"/>
                  <w:shd w:val="clear" w:color="auto" w:fill="F0F0F0"/>
                </w:tcPr>
                <w:p>
                  <w:pPr>
                    <w:pStyle w:val="Para 02"/>
                    <w:keepLines w:val="on"/>
                  </w:pPr>
                  <w:r>
                    <w:t>PE = 4.73 + 3.28 g + 2.05 π − 0.85 β</w:t>
                  </w:r>
                </w:p>
              </w:tc>
              <w:tc>
                <w:tcPr>
                  <w:tcW w:type="auto" w:w="0"/>
                  <w:shd w:val="clear" w:color="auto" w:fill="F0F0F0"/>
                </w:tcPr>
                <w:p>
                  <w:pPr>
                    <w:pStyle w:val="Normal"/>
                    <w:keepLines w:val="on"/>
                  </w:pPr>
                  <w:r>
                    <w:t>0.70</w:t>
                  </w:r>
                </w:p>
              </w:tc>
            </w:tr>
            <w:tr>
              <w:tc>
                <w:tcPr>
                  <w:tcW w:type="auto" w:w="0"/>
                  <w:shd w:val="clear" w:color="auto" w:fill="F0F0F0"/>
                </w:tcPr>
                <w:p>
                  <w:pPr>
                    <w:pStyle w:val="Para 02"/>
                    <w:keepLines w:val="on"/>
                  </w:pPr>
                  <w:r>
                    <w:t>1962</w:t>
                  </w:r>
                </w:p>
              </w:tc>
              <w:tc>
                <w:tcPr>
                  <w:tcW w:type="auto" w:w="0"/>
                  <w:shd w:val="clear" w:color="auto" w:fill="F0F0F0"/>
                </w:tcPr>
                <w:p>
                  <w:pPr>
                    <w:pStyle w:val="Para 02"/>
                    <w:keepLines w:val="on"/>
                  </w:pPr>
                  <w:r>
                    <w:t>PE = 11.06 + 1.75 g + 0.78 π − 1.61 β</w:t>
                  </w:r>
                </w:p>
              </w:tc>
              <w:tc>
                <w:tcPr>
                  <w:tcW w:type="auto" w:w="0"/>
                  <w:shd w:val="clear" w:color="auto" w:fill="F0F0F0"/>
                </w:tcPr>
                <w:p>
                  <w:pPr>
                    <w:pStyle w:val="Normal"/>
                    <w:keepLines w:val="on"/>
                  </w:pPr>
                  <w:r>
                    <w:t>0.70</w:t>
                  </w:r>
                </w:p>
              </w:tc>
            </w:tr>
            <w:tr>
              <w:tc>
                <w:tcPr>
                  <w:tcW w:type="auto" w:w="0"/>
                  <w:shd w:val="clear" w:color="auto" w:fill="F0F0F0"/>
                </w:tcPr>
                <w:p>
                  <w:pPr>
                    <w:pStyle w:val="Para 02"/>
                    <w:keepLines w:val="on"/>
                  </w:pPr>
                  <w:r>
                    <w:t>1963</w:t>
                  </w:r>
                </w:p>
              </w:tc>
              <w:tc>
                <w:tcPr>
                  <w:tcW w:type="auto" w:w="0"/>
                  <w:shd w:val="clear" w:color="auto" w:fill="F0F0F0"/>
                </w:tcPr>
                <w:p>
                  <w:pPr>
                    <w:pStyle w:val="Para 02"/>
                    <w:keepLines w:val="on"/>
                  </w:pPr>
                  <w:r>
                    <w:t>PE = 2.94 + 2.55 g + 7.62 π − 0.27 β</w:t>
                  </w:r>
                </w:p>
              </w:tc>
              <w:tc>
                <w:tcPr>
                  <w:tcW w:type="auto" w:w="0"/>
                  <w:shd w:val="clear" w:color="auto" w:fill="F0F0F0"/>
                </w:tcPr>
                <w:p>
                  <w:pPr>
                    <w:pStyle w:val="Normal"/>
                    <w:keepLines w:val="on"/>
                  </w:pPr>
                  <w:r>
                    <w:t>0.75</w:t>
                  </w:r>
                </w:p>
              </w:tc>
            </w:tr>
            <w:tr>
              <w:tc>
                <w:tcPr>
                  <w:tcW w:type="auto" w:w="0"/>
                  <w:shd w:val="clear" w:color="auto" w:fill="F0F0F0"/>
                </w:tcPr>
                <w:p>
                  <w:pPr>
                    <w:pStyle w:val="Para 02"/>
                    <w:keepLines w:val="on"/>
                  </w:pPr>
                  <w:r>
                    <w:t>1964</w:t>
                  </w:r>
                </w:p>
              </w:tc>
              <w:tc>
                <w:tcPr>
                  <w:tcW w:type="auto" w:w="0"/>
                  <w:shd w:val="clear" w:color="auto" w:fill="F0F0F0"/>
                </w:tcPr>
                <w:p>
                  <w:pPr>
                    <w:pStyle w:val="Para 02"/>
                    <w:keepLines w:val="on"/>
                  </w:pPr>
                  <w:r>
                    <w:t>PE = 6.71 + 2.05 g + 5.23 π − 0.89 β</w:t>
                  </w:r>
                </w:p>
              </w:tc>
              <w:tc>
                <w:tcPr>
                  <w:tcW w:type="auto" w:w="0"/>
                  <w:shd w:val="clear" w:color="auto" w:fill="F0F0F0"/>
                </w:tcPr>
                <w:p>
                  <w:pPr>
                    <w:pStyle w:val="Normal"/>
                    <w:keepLines w:val="on"/>
                  </w:pPr>
                  <w:r>
                    <w:t>0.75</w:t>
                  </w:r>
                </w:p>
              </w:tc>
            </w:tr>
            <w:tr>
              <w:tc>
                <w:tcPr>
                  <w:tcW w:type="auto" w:w="0"/>
                  <w:shd w:val="clear" w:color="auto" w:fill="F0F0F0"/>
                </w:tcPr>
                <w:p>
                  <w:pPr>
                    <w:pStyle w:val="Para 02"/>
                    <w:keepLines w:val="on"/>
                  </w:pPr>
                  <w:r>
                    <w:t>1965</w:t>
                  </w:r>
                </w:p>
              </w:tc>
              <w:tc>
                <w:tcPr>
                  <w:tcW w:type="auto" w:w="0"/>
                  <w:shd w:val="clear" w:color="auto" w:fill="F0F0F0"/>
                </w:tcPr>
                <w:p>
                  <w:pPr>
                    <w:pStyle w:val="Para 02"/>
                    <w:keepLines w:val="on"/>
                  </w:pPr>
                  <w:r>
                    <w:t>PE = 0.96 + 2.74 g + 5.01 π − 0.35 β</w:t>
                  </w:r>
                </w:p>
              </w:tc>
              <w:tc>
                <w:tcPr>
                  <w:tcW w:type="auto" w:w="0"/>
                  <w:shd w:val="clear" w:color="auto" w:fill="F0F0F0"/>
                </w:tcPr>
                <w:p>
                  <w:pPr>
                    <w:pStyle w:val="Normal"/>
                    <w:keepLines w:val="on"/>
                  </w:pPr>
                  <w:r>
                    <w:t>0.85</w:t>
                  </w:r>
                </w:p>
              </w:tc>
            </w:tr>
          </w:tbl>
          <w:p/>
        </w:tc>
      </w:tr>
    </w:tbl>
    <w:p>
      <w:bookmarkStart w:id="3612" w:name="wherePE_Price_earningsratioatthe"/>
      <w:pPr>
        <w:pStyle w:val="Para 39"/>
      </w:pPr>
      <w:r>
        <w:t>trong đó PE = Tỷ lệ giá trên thu nhập vào đầu năm g = Tốc độ tăng trưởng thu nhập π = Tỷ lệ chi trả cổ tức vào đầu năm β = Beta của cổ phiếu</w:t>
      </w:r>
      <w:bookmarkEnd w:id="3612"/>
    </w:p>
    <w:p>
      <w:pPr>
        <w:pStyle w:val="Para 03"/>
      </w:pPr>
      <w:r>
        <w:t>Họ kết luận rằng mặc dù những mô hình như vậy hữu ích trong việc giải thích tỷ lệ PE, chúng lại ít có giá trị trong việc dự đoán hiệu suất. Trong cả hai nghiên cứu này, ba biến số được sử dụng—tỷ lệ chi trả cổ tức (payout), rủi ro (risk), và tăng trưởng (growth)—đại diện cho ba biến số đã được xác định là các yếu tố quyết định tỷ lệ PE trong một phần trước đó.</w:t>
      </w:r>
    </w:p>
    <w:p>
      <w:pPr>
        <w:pStyle w:val="Para 03"/>
      </w:pPr>
      <w:r>
        <w:t>Các hồi quy đã được cập nhật từ năm 1987 đến 1991 trong ấn bản đầu tiên của cuốn sách này bằng cách sử dụng một mẫu cổ phiếu rộng hơn nhiều.2 Kết quả được tóm tắt trong Bảng 18.12.</w:t>
      </w:r>
    </w:p>
    <w:p>
      <w:pPr>
        <w:pStyle w:val="Para 20"/>
      </w:pPr>
      <w:r>
        <w:rPr>
          <w:rStyle w:val="Text26"/>
        </w:rPr>
        <w:bookmarkStart w:id="3615" w:name="Page_552"/>
        <w:t/>
        <w:bookmarkEnd w:id="3615"/>
      </w:r>
      <w:r>
        <w:t xml:space="preserve"> </w:t>
      </w:r>
    </w:p>
    <w:p>
      <w:pPr>
        <w:pStyle w:val="Para 34"/>
        <w:keepLines w:val="on"/>
      </w:pPr>
      <w:r>
        <w:t>Bảng 18.12</w:t>
      </w:r>
    </w:p>
    <w:p>
      <w:pPr>
        <w:keepNext/>
        <w:pStyle w:val="Para 35"/>
        <w:keepLines w:val="on"/>
      </w:pPr>
      <w:r>
        <w:t>Các hồi quy thị trường từ năm 1987 đến 1991</w:t>
      </w:r>
    </w:p>
    <w:tbl>
      <w:tblPr>
        <w:tblW w:type="auto" w:w="0"/>
      </w:tblPr>
      <w:tr>
        <w:tc>
          <w:tcPr>
            <w:tcW w:type="auto" w:w="0"/>
          </w:tcPr>
          <w:tbl>
            <w:tblPr>
              <w:tblW w:type="auto" w:w="0"/>
            </w:tblPr>
            <w:tr>
              <w:tc>
                <w:tcPr>
                  <w:tcW w:type="auto" w:w="0"/>
                  <w:shd w:val="clear" w:color="auto" w:fill="F0F0F0"/>
                </w:tcPr>
                <w:p>
                  <w:pPr>
                    <w:pStyle w:val="Para 29"/>
                    <w:keepLines w:val="on"/>
                  </w:pPr>
                  <w:r>
                    <w:t>Năm</w:t>
                  </w:r>
                </w:p>
              </w:tc>
              <w:tc>
                <w:tcPr>
                  <w:tcW w:type="auto" w:w="0"/>
                  <w:shd w:val="clear" w:color="auto" w:fill="F0F0F0"/>
                </w:tcPr>
                <w:p>
                  <w:pPr>
                    <w:pStyle w:val="Para 17"/>
                    <w:keepLines w:val="on"/>
                  </w:pPr>
                  <w:r>
                    <w:t>Hồi quy</w:t>
                  </w:r>
                </w:p>
              </w:tc>
              <w:tc>
                <w:tcPr>
                  <w:tcW w:type="auto" w:w="0"/>
                  <w:shd w:val="clear" w:color="auto" w:fill="F0F0F0"/>
                </w:tcPr>
                <w:p>
                  <w:pPr>
                    <w:pStyle w:val="Para 17"/>
                    <w:keepLines w:val="on"/>
                  </w:pPr>
                  <w:r>
                    <w:t>R-Squared</w:t>
                  </w:r>
                </w:p>
              </w:tc>
            </w:tr>
            <w:tr>
              <w:tc>
                <w:tcPr>
                  <w:tcW w:type="auto" w:w="0"/>
                  <w:shd w:val="clear" w:color="auto" w:fill="F0F0F0"/>
                </w:tcPr>
                <w:p>
                  <w:pPr>
                    <w:pStyle w:val="Para 02"/>
                    <w:keepLines w:val="on"/>
                  </w:pPr>
                  <w:r>
                    <w:t>1987</w:t>
                  </w:r>
                </w:p>
              </w:tc>
              <w:tc>
                <w:tcPr>
                  <w:tcW w:type="auto" w:w="0"/>
                  <w:shd w:val="clear" w:color="auto" w:fill="F0F0F0"/>
                </w:tcPr>
                <w:p>
                  <w:pPr>
                    <w:pStyle w:val="Para 02"/>
                    <w:keepLines w:val="on"/>
                  </w:pPr>
                  <w:r>
                    <w:t>PE = 7.1839 + 13.05 Payout − 0.6259 Beta + 6.5659 EGR</w:t>
                  </w:r>
                </w:p>
              </w:tc>
              <w:tc>
                <w:tcPr>
                  <w:tcW w:type="auto" w:w="0"/>
                  <w:shd w:val="clear" w:color="auto" w:fill="F0F0F0"/>
                </w:tcPr>
                <w:p>
                  <w:pPr>
                    <w:pStyle w:val="Normal"/>
                    <w:keepLines w:val="on"/>
                  </w:pPr>
                  <w:r>
                    <w:t>0.9287</w:t>
                  </w:r>
                </w:p>
              </w:tc>
            </w:tr>
            <w:tr>
              <w:tc>
                <w:tcPr>
                  <w:tcW w:type="auto" w:w="0"/>
                  <w:shd w:val="clear" w:color="auto" w:fill="F0F0F0"/>
                </w:tcPr>
                <w:p>
                  <w:pPr>
                    <w:pStyle w:val="Para 02"/>
                    <w:keepLines w:val="on"/>
                  </w:pPr>
                  <w:r>
                    <w:t>1988</w:t>
                  </w:r>
                </w:p>
              </w:tc>
              <w:tc>
                <w:tcPr>
                  <w:tcW w:type="auto" w:w="0"/>
                  <w:shd w:val="clear" w:color="auto" w:fill="F0F0F0"/>
                </w:tcPr>
                <w:p>
                  <w:pPr>
                    <w:pStyle w:val="Para 02"/>
                    <w:keepLines w:val="on"/>
                  </w:pPr>
                  <w:r>
                    <w:t>PE = 2.5848 + 29.91 Payout − 4.5157 Beta + 19.9143 EGR</w:t>
                  </w:r>
                </w:p>
              </w:tc>
              <w:tc>
                <w:tcPr>
                  <w:tcW w:type="auto" w:w="0"/>
                  <w:shd w:val="clear" w:color="auto" w:fill="F0F0F0"/>
                </w:tcPr>
                <w:p>
                  <w:pPr>
                    <w:pStyle w:val="Normal"/>
                    <w:keepLines w:val="on"/>
                  </w:pPr>
                  <w:r>
                    <w:t>0.9465</w:t>
                  </w:r>
                </w:p>
              </w:tc>
            </w:tr>
            <w:tr>
              <w:tc>
                <w:tcPr>
                  <w:tcW w:type="auto" w:w="0"/>
                  <w:shd w:val="clear" w:color="auto" w:fill="F0F0F0"/>
                </w:tcPr>
                <w:p>
                  <w:pPr>
                    <w:pStyle w:val="Para 02"/>
                    <w:keepLines w:val="on"/>
                  </w:pPr>
                  <w:r>
                    <w:t>1989</w:t>
                  </w:r>
                </w:p>
              </w:tc>
              <w:tc>
                <w:tcPr>
                  <w:tcW w:type="auto" w:w="0"/>
                  <w:shd w:val="clear" w:color="auto" w:fill="F0F0F0"/>
                </w:tcPr>
                <w:p>
                  <w:pPr>
                    <w:pStyle w:val="Para 02"/>
                    <w:keepLines w:val="on"/>
                  </w:pPr>
                  <w:r>
                    <w:t>PE = 4.6122 + 59.74 Payout − 0.7546 Beta + 9.0072 EGR</w:t>
                  </w:r>
                </w:p>
              </w:tc>
              <w:tc>
                <w:tcPr>
                  <w:tcW w:type="auto" w:w="0"/>
                  <w:shd w:val="clear" w:color="auto" w:fill="F0F0F0"/>
                </w:tcPr>
                <w:p>
                  <w:pPr>
                    <w:pStyle w:val="Normal"/>
                    <w:keepLines w:val="on"/>
                  </w:pPr>
                  <w:r>
                    <w:t>0.5613</w:t>
                  </w:r>
                </w:p>
              </w:tc>
            </w:tr>
            <w:tr>
              <w:tc>
                <w:tcPr>
                  <w:tcW w:type="auto" w:w="0"/>
                  <w:shd w:val="clear" w:color="auto" w:fill="F0F0F0"/>
                </w:tcPr>
                <w:p>
                  <w:pPr>
                    <w:pStyle w:val="Para 02"/>
                    <w:keepLines w:val="on"/>
                  </w:pPr>
                  <w:r>
                    <w:t>1990</w:t>
                  </w:r>
                </w:p>
              </w:tc>
              <w:tc>
                <w:tcPr>
                  <w:tcW w:type="auto" w:w="0"/>
                  <w:shd w:val="clear" w:color="auto" w:fill="F0F0F0"/>
                </w:tcPr>
                <w:p>
                  <w:pPr>
                    <w:pStyle w:val="Para 02"/>
                    <w:keepLines w:val="on"/>
                  </w:pPr>
                  <w:r>
                    <w:t>PE = 3.5955 + 10.88 Payout − 0.2801 Beta + 5.4573 EGR</w:t>
                  </w:r>
                </w:p>
              </w:tc>
              <w:tc>
                <w:tcPr>
                  <w:tcW w:type="auto" w:w="0"/>
                  <w:shd w:val="clear" w:color="auto" w:fill="F0F0F0"/>
                </w:tcPr>
                <w:p>
                  <w:pPr>
                    <w:pStyle w:val="Normal"/>
                    <w:keepLines w:val="on"/>
                  </w:pPr>
                  <w:r>
                    <w:t>0.3497</w:t>
                  </w:r>
                </w:p>
              </w:tc>
            </w:tr>
            <w:tr>
              <w:tc>
                <w:tcPr>
                  <w:tcW w:type="auto" w:w="0"/>
                  <w:shd w:val="clear" w:color="auto" w:fill="F0F0F0"/>
                </w:tcPr>
                <w:p>
                  <w:pPr>
                    <w:pStyle w:val="Para 02"/>
                    <w:keepLines w:val="on"/>
                  </w:pPr>
                  <w:r>
                    <w:t>1991</w:t>
                  </w:r>
                </w:p>
              </w:tc>
              <w:tc>
                <w:tcPr>
                  <w:tcW w:type="auto" w:w="0"/>
                  <w:shd w:val="clear" w:color="auto" w:fill="F0F0F0"/>
                </w:tcPr>
                <w:p>
                  <w:pPr>
                    <w:pStyle w:val="Para 02"/>
                    <w:keepLines w:val="on"/>
                  </w:pPr>
                  <w:r>
                    <w:t>PE = 2.7711 + 22.89 Payout − 0.1326 Beta + 13.8653 EGR</w:t>
                  </w:r>
                </w:p>
              </w:tc>
              <w:tc>
                <w:tcPr>
                  <w:tcW w:type="auto" w:w="0"/>
                  <w:shd w:val="clear" w:color="auto" w:fill="F0F0F0"/>
                </w:tcPr>
                <w:p>
                  <w:pPr>
                    <w:pStyle w:val="Normal"/>
                    <w:keepLines w:val="on"/>
                  </w:pPr>
                  <w:r>
                    <w:t>0.3217</w:t>
                  </w:r>
                </w:p>
              </w:tc>
            </w:tr>
          </w:tbl>
          <w:p/>
        </w:tc>
      </w:tr>
    </w:tbl>
    <w:p>
      <w:pPr>
        <w:pStyle w:val="Para 03"/>
      </w:pPr>
      <w:r>
        <w:t>trong đó EGR là tốc độ tăng trưởng lịch sử của EPS. Hãy lưu ý sự biến động của R-squared theo thời gian và sự thay đổi của các hệ số trên các biến độc lập. Ví dụ, R-squared trong các hồi quy được báo cáo giảm từ 0.93 vào năm 1987 xuống còn 0.32 vào năm 1991, và các hệ số thay đổi đáng kể theo thời gian. Một phần nguyên nhân của những thay đổi này là do thu nhập (earnings) biến động, và tỷ lệ giá trên thu nhập phản ánh sự biến động này. R-squared thấp của hồi quy năm 1991 có thể được quy cho ảnh hưởng của suy thoái kinh tế đối với thu nhập trong năm đó. Những hồi quy này rõ ràng không ổn định, và các giá trị dự đoán có khả năng sẽ nhiễu (noisy).</w:t>
      </w:r>
    </w:p>
    <w:p>
      <w:bookmarkStart w:id="3616" w:name="Updated_Market_Regressions__The"/>
      <w:pPr>
        <w:pStyle w:val="Para 21"/>
      </w:pPr>
      <w:r>
        <w:t>Các hồi quy thị trường được cập nhật</w:t>
      </w:r>
      <w:bookmarkEnd w:id="3616"/>
    </w:p>
    <w:p>
      <w:pPr>
        <w:pStyle w:val="Para 03"/>
      </w:pPr>
      <w:r>
        <w:t>Dữ liệu cần thiết để chạy các hồi quy thị trường ngày nay dễ tiếp cận hơn nhiều so với thời của những nghiên cứu trước đây. Trong phần này, kết quả của hai hồi quy được trình bày. Trong hồi quy đầu tiên, được chạy vào tháng 1 năm 2024, tỷ lệ PE được hồi quy theo tỷ lệ chi trả cổ tức, beta, và tăng trưởng kỳ vọng cho tất cả các công ty trên thị trường:3</w:t>
      </w:r>
    </w:p>
    <w:p>
      <w:bookmarkStart w:id="3619" w:name="PE____2_11_69_57__Expected_growt"/>
      <w:pPr>
        <w:keepNext/>
        <w:pStyle w:val="Para 09"/>
        <w:keepLines w:val="on"/>
      </w:pPr>
      <w:r>
        <w:t>PE=−2.11+69.57 (Tốc độ tăng trưởng kỳ vọng)+20.76 (Beta)+11.38 (Tỷ lệ chi trả cổ tức)[1.89]  [13.57] [13.83][7.87]R-squared=33.4%Số quan sát=1755</w:t>
      </w:r>
      <w:bookmarkEnd w:id="3619"/>
    </w:p>
    <w:p>
      <w:pPr>
        <w:pStyle w:val="Para 03"/>
      </w:pPr>
      <w:r>
        <w:t>Với kích thước mẫu gồm 1.755 công ty, hồi quy này đại diện cho thước đo giá trị tương đối rộng nhất. Hồi quy này có R-squared thấp, nhưng điều đó phản ánh nhiễu trong tỷ lệ PE nhiều hơn là phản ánh phương pháp hồi quy. Như bạn sẽ thấy, các hồi quy thị trường đối với giá trị sổ sách (price-to-book value) thường có hành vi tốt hơn và có R-squared cao hơn so với hồi quy tỷ lệ PE. Một phát hiện đáng lo ngại khác là các hệ số của các biến không phải lúc nào cũng có dấu như bạn mong đợi. Ví dụ, các cổ phiếu có rủi ro cao hơn (beta cao hơn) lại có tỷ lệ PE cao hơn, trong khi các yếu tố cơ bản sẽ khiến bạn kỳ vọng điều ngược lại.</w:t>
      </w:r>
    </w:p>
    <w:p>
      <w:pPr>
        <w:pStyle w:val="Para 03"/>
      </w:pPr>
      <w:r>
        <w:t>Hệ số của tốc độ tăng trưởng kỳ vọng trong các hồi quy mang lại một số hiểu biết hữu ích về cách thị trường định giá sự khác biệt về tăng trưởng giữa các cổ phiếu. Trong Bảng 18.13, chúng tôi báo cáo con số này vào cuối mỗi năm từ 2000 đến 2024, cùng với phần bù rủi ro vốn cổ phần ngụ ý (implied equity risk premiums) mà chúng tôi đã tính toán trong Chương 7 (như một mức giá của rủi ro).</w:t>
      </w:r>
    </w:p>
    <w:p>
      <w:pPr>
        <w:pStyle w:val="Para 34"/>
        <w:keepLines w:val="on"/>
      </w:pPr>
      <w:r>
        <w:t>Bảng 18.13</w:t>
      </w:r>
    </w:p>
    <w:p>
      <w:pPr>
        <w:keepNext/>
        <w:pStyle w:val="Para 35"/>
        <w:keepLines w:val="on"/>
      </w:pPr>
      <w:r>
        <w:t>ERP và Hệ số Tăng trưởng—2000–2024</w:t>
      </w:r>
    </w:p>
    <w:tbl>
      <w:tblPr>
        <w:tblW w:type="auto" w:w="0"/>
      </w:tblPr>
      <w:tr>
        <w:tc>
          <w:tcPr>
            <w:tcW w:type="auto" w:w="0"/>
          </w:tcPr>
          <w:tbl>
            <w:tblPr>
              <w:tblW w:type="auto" w:w="0"/>
            </w:tblPr>
            <w:tr>
              <w:tc>
                <w:tcPr>
                  <w:tcW w:type="auto" w:w="0"/>
                  <w:shd w:val="clear" w:color="auto" w:fill="F0F0F0"/>
                </w:tcPr>
                <w:p>
                  <w:pPr>
                    <w:pStyle w:val="Para 17"/>
                    <w:keepLines w:val="on"/>
                  </w:pPr>
                  <w:r>
                    <w:t>Đầu năm</w:t>
                  </w:r>
                </w:p>
              </w:tc>
              <w:tc>
                <w:tcPr>
                  <w:tcW w:type="auto" w:w="0"/>
                  <w:shd w:val="clear" w:color="auto" w:fill="F0F0F0"/>
                </w:tcPr>
                <w:p>
                  <w:pPr>
                    <w:pStyle w:val="Para 17"/>
                    <w:keepLines w:val="on"/>
                  </w:pPr>
                  <w:r>
                    <w:t>Hệ số g</w:t>
                  </w:r>
                </w:p>
              </w:tc>
              <w:tc>
                <w:tcPr>
                  <w:tcW w:type="auto" w:w="0"/>
                  <w:shd w:val="clear" w:color="auto" w:fill="F0F0F0"/>
                </w:tcPr>
                <w:p>
                  <w:pPr>
                    <w:pStyle w:val="Para 17"/>
                    <w:keepLines w:val="on"/>
                  </w:pPr>
                  <w:r>
                    <w:t>ERP</w:t>
                  </w:r>
                </w:p>
              </w:tc>
              <w:tc>
                <w:tcPr>
                  <w:tcW w:type="auto" w:w="0"/>
                  <w:shd w:val="clear" w:color="auto" w:fill="F0F0F0"/>
                </w:tcPr>
                <w:p>
                  <w:pPr>
                    <w:pStyle w:val="Para 17"/>
                    <w:keepLines w:val="on"/>
                  </w:pPr>
                  <w:r>
                    <w:t>Đầu năm</w:t>
                  </w:r>
                </w:p>
              </w:tc>
              <w:tc>
                <w:tcPr>
                  <w:tcW w:type="auto" w:w="0"/>
                  <w:shd w:val="clear" w:color="auto" w:fill="F0F0F0"/>
                </w:tcPr>
                <w:p>
                  <w:pPr>
                    <w:pStyle w:val="Para 17"/>
                    <w:keepLines w:val="on"/>
                  </w:pPr>
                  <w:r>
                    <w:t>Hệ số g</w:t>
                  </w:r>
                </w:p>
              </w:tc>
              <w:tc>
                <w:tcPr>
                  <w:tcW w:type="auto" w:w="0"/>
                  <w:shd w:val="clear" w:color="auto" w:fill="F0F0F0"/>
                </w:tcPr>
                <w:p>
                  <w:pPr>
                    <w:pStyle w:val="Para 17"/>
                    <w:keepLines w:val="on"/>
                  </w:pPr>
                  <w:r>
                    <w:t>ERP</w:t>
                  </w:r>
                </w:p>
              </w:tc>
            </w:tr>
            <w:tr>
              <w:tc>
                <w:tcPr>
                  <w:tcW w:type="auto" w:w="0"/>
                  <w:shd w:val="clear" w:color="auto" w:fill="F0F0F0"/>
                </w:tcPr>
                <w:p>
                  <w:pPr>
                    <w:pStyle w:val="Normal"/>
                    <w:keepLines w:val="on"/>
                  </w:pPr>
                  <w:r>
                    <w:t>2000</w:t>
                  </w:r>
                </w:p>
              </w:tc>
              <w:tc>
                <w:tcPr>
                  <w:tcW w:type="auto" w:w="0"/>
                  <w:shd w:val="clear" w:color="auto" w:fill="F0F0F0"/>
                </w:tcPr>
                <w:p>
                  <w:pPr>
                    <w:pStyle w:val="Normal"/>
                    <w:keepLines w:val="on"/>
                  </w:pPr>
                  <w:r>
                    <w:t>2.11</w:t>
                  </w:r>
                </w:p>
              </w:tc>
              <w:tc>
                <w:tcPr>
                  <w:tcW w:type="auto" w:w="0"/>
                  <w:shd w:val="clear" w:color="auto" w:fill="F0F0F0"/>
                </w:tcPr>
                <w:p>
                  <w:pPr>
                    <w:pStyle w:val="Normal"/>
                    <w:keepLines w:val="on"/>
                  </w:pPr>
                  <w:r>
                    <w:t>2.05%</w:t>
                  </w:r>
                </w:p>
              </w:tc>
              <w:tc>
                <w:tcPr>
                  <w:tcW w:type="auto" w:w="0"/>
                  <w:shd w:val="clear" w:color="auto" w:fill="F0F0F0"/>
                </w:tcPr>
                <w:p>
                  <w:pPr>
                    <w:pStyle w:val="Normal"/>
                    <w:keepLines w:val="on"/>
                  </w:pPr>
                  <w:r>
                    <w:t>2013</w:t>
                  </w:r>
                </w:p>
              </w:tc>
              <w:tc>
                <w:tcPr>
                  <w:tcW w:type="auto" w:w="0"/>
                  <w:shd w:val="clear" w:color="auto" w:fill="F0F0F0"/>
                </w:tcPr>
                <w:p>
                  <w:pPr>
                    <w:pStyle w:val="Normal"/>
                    <w:keepLines w:val="on"/>
                  </w:pPr>
                  <w:r>
                    <w:t>5.78%</w:t>
                  </w:r>
                </w:p>
              </w:tc>
              <w:tc>
                <w:tcPr>
                  <w:tcW w:type="auto" w:w="0"/>
                  <w:shd w:val="clear" w:color="auto" w:fill="F0F0F0"/>
                </w:tcPr>
                <w:p>
                  <w:pPr>
                    <w:pStyle w:val="Normal"/>
                    <w:keepLines w:val="on"/>
                  </w:pPr>
                  <w:r>
                    <w:t>0.58</w:t>
                  </w:r>
                </w:p>
              </w:tc>
            </w:tr>
            <w:tr>
              <w:tc>
                <w:tcPr>
                  <w:tcW w:type="auto" w:w="0"/>
                  <w:shd w:val="clear" w:color="auto" w:fill="F0F0F0"/>
                </w:tcPr>
                <w:p>
                  <w:pPr>
                    <w:pStyle w:val="Normal"/>
                    <w:keepLines w:val="on"/>
                  </w:pPr>
                  <w:r>
                    <w:t>2001</w:t>
                  </w:r>
                </w:p>
              </w:tc>
              <w:tc>
                <w:tcPr>
                  <w:tcW w:type="auto" w:w="0"/>
                  <w:shd w:val="clear" w:color="auto" w:fill="F0F0F0"/>
                </w:tcPr>
                <w:p>
                  <w:pPr>
                    <w:pStyle w:val="Normal"/>
                    <w:keepLines w:val="on"/>
                  </w:pPr>
                  <w:r>
                    <w:t>1.46</w:t>
                  </w:r>
                </w:p>
              </w:tc>
              <w:tc>
                <w:tcPr>
                  <w:tcW w:type="auto" w:w="0"/>
                  <w:shd w:val="clear" w:color="auto" w:fill="F0F0F0"/>
                </w:tcPr>
                <w:p>
                  <w:pPr>
                    <w:pStyle w:val="Normal"/>
                    <w:keepLines w:val="on"/>
                  </w:pPr>
                  <w:r>
                    <w:t>2.75%</w:t>
                  </w:r>
                </w:p>
              </w:tc>
              <w:tc>
                <w:tcPr>
                  <w:tcW w:type="auto" w:w="0"/>
                  <w:shd w:val="clear" w:color="auto" w:fill="F0F0F0"/>
                </w:tcPr>
                <w:p>
                  <w:pPr>
                    <w:pStyle w:val="Normal"/>
                    <w:keepLines w:val="on"/>
                  </w:pPr>
                  <w:r>
                    <w:t>2014</w:t>
                  </w:r>
                </w:p>
              </w:tc>
              <w:tc>
                <w:tcPr>
                  <w:tcW w:type="auto" w:w="0"/>
                  <w:shd w:val="clear" w:color="auto" w:fill="F0F0F0"/>
                </w:tcPr>
                <w:p>
                  <w:pPr>
                    <w:pStyle w:val="Normal"/>
                    <w:keepLines w:val="on"/>
                  </w:pPr>
                  <w:r>
                    <w:t>1.49</w:t>
                  </w:r>
                </w:p>
              </w:tc>
              <w:tc>
                <w:tcPr>
                  <w:tcW w:type="auto" w:w="0"/>
                  <w:shd w:val="clear" w:color="auto" w:fill="F0F0F0"/>
                </w:tcPr>
                <w:p>
                  <w:pPr>
                    <w:pStyle w:val="Normal"/>
                    <w:keepLines w:val="on"/>
                  </w:pPr>
                  <w:r>
                    <w:t>4.96%</w:t>
                  </w:r>
                </w:p>
              </w:tc>
            </w:tr>
            <w:tr>
              <w:tc>
                <w:tcPr>
                  <w:tcW w:type="auto" w:w="0"/>
                  <w:shd w:val="clear" w:color="auto" w:fill="F0F0F0"/>
                </w:tcPr>
                <w:p>
                  <w:pPr>
                    <w:pStyle w:val="Normal"/>
                    <w:keepLines w:val="on"/>
                  </w:pPr>
                  <w:r>
                    <w:t>2002</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3,62%</w:t>
                  </w:r>
                </w:p>
              </w:tc>
              <w:tc>
                <w:tcPr>
                  <w:tcW w:type="auto" w:w="0"/>
                  <w:shd w:val="clear" w:color="auto" w:fill="F0F0F0"/>
                </w:tcPr>
                <w:p>
                  <w:pPr>
                    <w:pStyle w:val="Normal"/>
                    <w:keepLines w:val="on"/>
                  </w:pPr>
                  <w:r>
                    <w:t>2015</w:t>
                  </w:r>
                </w:p>
              </w:tc>
              <w:tc>
                <w:tcPr>
                  <w:tcW w:type="auto" w:w="0"/>
                  <w:shd w:val="clear" w:color="auto" w:fill="F0F0F0"/>
                </w:tcPr>
                <w:p>
                  <w:pPr>
                    <w:pStyle w:val="Normal"/>
                    <w:keepLines w:val="on"/>
                  </w:pPr>
                  <w:r>
                    <w:t>0,99</w:t>
                  </w:r>
                </w:p>
              </w:tc>
              <w:tc>
                <w:tcPr>
                  <w:tcW w:type="auto" w:w="0"/>
                  <w:shd w:val="clear" w:color="auto" w:fill="F0F0F0"/>
                </w:tcPr>
                <w:p>
                  <w:pPr>
                    <w:pStyle w:val="Normal"/>
                    <w:keepLines w:val="on"/>
                  </w:pPr>
                  <w:r>
                    <w:t>5,78%</w:t>
                  </w:r>
                </w:p>
              </w:tc>
            </w:tr>
            <w:tr>
              <w:tc>
                <w:tcPr>
                  <w:tcW w:type="auto" w:w="0"/>
                  <w:shd w:val="clear" w:color="auto" w:fill="F0F0F0"/>
                </w:tcPr>
                <w:p>
                  <w:pPr>
                    <w:pStyle w:val="Normal"/>
                    <w:keepLines w:val="on"/>
                  </w:pPr>
                  <w:r>
                    <w:t>2003</w:t>
                  </w:r>
                </w:p>
              </w:tc>
              <w:tc>
                <w:tcPr>
                  <w:tcW w:type="auto" w:w="0"/>
                  <w:shd w:val="clear" w:color="auto" w:fill="F0F0F0"/>
                </w:tcPr>
                <w:p>
                  <w:pPr>
                    <w:pStyle w:val="Normal"/>
                    <w:keepLines w:val="on"/>
                  </w:pPr>
                  <w:r>
                    <w:t>2,62</w:t>
                  </w:r>
                </w:p>
              </w:tc>
              <w:tc>
                <w:tcPr>
                  <w:tcW w:type="auto" w:w="0"/>
                  <w:shd w:val="clear" w:color="auto" w:fill="F0F0F0"/>
                </w:tcPr>
                <w:p>
                  <w:pPr>
                    <w:pStyle w:val="Normal"/>
                    <w:keepLines w:val="on"/>
                  </w:pPr>
                  <w:r>
                    <w:t>4,10%</w:t>
                  </w:r>
                </w:p>
              </w:tc>
              <w:tc>
                <w:tcPr>
                  <w:tcW w:type="auto" w:w="0"/>
                  <w:shd w:val="clear" w:color="auto" w:fill="F0F0F0"/>
                </w:tcPr>
                <w:p>
                  <w:pPr>
                    <w:pStyle w:val="Normal"/>
                    <w:keepLines w:val="on"/>
                  </w:pPr>
                  <w:r>
                    <w:t>2016</w:t>
                  </w:r>
                </w:p>
              </w:tc>
              <w:tc>
                <w:tcPr>
                  <w:tcW w:type="auto" w:w="0"/>
                  <w:shd w:val="clear" w:color="auto" w:fill="F0F0F0"/>
                </w:tcPr>
                <w:p>
                  <w:pPr>
                    <w:pStyle w:val="Normal"/>
                    <w:keepLines w:val="on"/>
                  </w:pPr>
                  <w:r>
                    <w:t>0,75</w:t>
                  </w:r>
                </w:p>
              </w:tc>
              <w:tc>
                <w:tcPr>
                  <w:tcW w:type="auto" w:w="0"/>
                  <w:shd w:val="clear" w:color="auto" w:fill="F0F0F0"/>
                </w:tcPr>
                <w:p>
                  <w:pPr>
                    <w:pStyle w:val="Normal"/>
                    <w:keepLines w:val="on"/>
                  </w:pPr>
                  <w:r>
                    <w:t>6,12%</w:t>
                  </w:r>
                </w:p>
              </w:tc>
            </w:tr>
            <w:tr>
              <w:tc>
                <w:tcPr>
                  <w:tcW w:type="auto" w:w="0"/>
                  <w:shd w:val="clear" w:color="auto" w:fill="F0F0F0"/>
                </w:tcPr>
                <w:p>
                  <w:pPr>
                    <w:pStyle w:val="Normal"/>
                    <w:keepLines w:val="on"/>
                  </w:pPr>
                  <w:r>
                    <w:t>2004</w:t>
                  </w:r>
                </w:p>
              </w:tc>
              <w:tc>
                <w:tcPr>
                  <w:tcW w:type="auto" w:w="0"/>
                  <w:shd w:val="clear" w:color="auto" w:fill="F0F0F0"/>
                </w:tcPr>
                <w:p>
                  <w:pPr>
                    <w:pStyle w:val="Normal"/>
                    <w:keepLines w:val="on"/>
                  </w:pPr>
                  <w:r>
                    <w:t>0,81</w:t>
                  </w:r>
                </w:p>
              </w:tc>
              <w:tc>
                <w:tcPr>
                  <w:tcW w:type="auto" w:w="0"/>
                  <w:shd w:val="clear" w:color="auto" w:fill="F0F0F0"/>
                </w:tcPr>
                <w:p>
                  <w:pPr>
                    <w:pStyle w:val="Normal"/>
                    <w:keepLines w:val="on"/>
                  </w:pPr>
                  <w:r>
                    <w:t>3,69%</w:t>
                  </w:r>
                </w:p>
              </w:tc>
              <w:tc>
                <w:tcPr>
                  <w:tcW w:type="auto" w:w="0"/>
                  <w:shd w:val="clear" w:color="auto" w:fill="F0F0F0"/>
                </w:tcPr>
                <w:p>
                  <w:pPr>
                    <w:pStyle w:val="Normal"/>
                    <w:keepLines w:val="on"/>
                  </w:pPr>
                  <w:r>
                    <w:t>2017</w:t>
                  </w:r>
                </w:p>
              </w:tc>
              <w:tc>
                <w:tcPr>
                  <w:tcW w:type="auto" w:w="0"/>
                  <w:shd w:val="clear" w:color="auto" w:fill="F0F0F0"/>
                </w:tcPr>
                <w:p>
                  <w:pPr>
                    <w:pStyle w:val="Normal"/>
                    <w:keepLines w:val="on"/>
                  </w:pPr>
                  <w:r>
                    <w:t>1,71</w:t>
                  </w:r>
                </w:p>
              </w:tc>
              <w:tc>
                <w:tcPr>
                  <w:tcW w:type="auto" w:w="0"/>
                  <w:shd w:val="clear" w:color="auto" w:fill="F0F0F0"/>
                </w:tcPr>
                <w:p>
                  <w:pPr>
                    <w:pStyle w:val="Normal"/>
                    <w:keepLines w:val="on"/>
                  </w:pPr>
                  <w:r>
                    <w:t>5,69%</w:t>
                  </w:r>
                </w:p>
              </w:tc>
            </w:tr>
            <w:tr>
              <w:tc>
                <w:tcPr>
                  <w:tcW w:type="auto" w:w="0"/>
                  <w:shd w:val="clear" w:color="auto" w:fill="F0F0F0"/>
                </w:tcPr>
                <w:p>
                  <w:pPr>
                    <w:pStyle w:val="Normal"/>
                    <w:keepLines w:val="on"/>
                  </w:pPr>
                  <w:r>
                    <w:t>2005</w:t>
                  </w:r>
                </w:p>
              </w:tc>
              <w:tc>
                <w:tcPr>
                  <w:tcW w:type="auto" w:w="0"/>
                  <w:shd w:val="clear" w:color="auto" w:fill="F0F0F0"/>
                </w:tcPr>
                <w:p>
                  <w:pPr>
                    <w:pStyle w:val="Normal"/>
                    <w:keepLines w:val="on"/>
                  </w:pPr>
                  <w:r>
                    <w:t>0,91</w:t>
                  </w:r>
                </w:p>
              </w:tc>
              <w:tc>
                <w:tcPr>
                  <w:tcW w:type="auto" w:w="0"/>
                  <w:shd w:val="clear" w:color="auto" w:fill="F0F0F0"/>
                </w:tcPr>
                <w:p>
                  <w:pPr>
                    <w:pStyle w:val="Normal"/>
                    <w:keepLines w:val="on"/>
                  </w:pPr>
                  <w:r>
                    <w:t>3,65%</w:t>
                  </w:r>
                </w:p>
              </w:tc>
              <w:tc>
                <w:tcPr>
                  <w:tcW w:type="auto" w:w="0"/>
                  <w:shd w:val="clear" w:color="auto" w:fill="F0F0F0"/>
                </w:tcPr>
                <w:p>
                  <w:pPr>
                    <w:pStyle w:val="Normal"/>
                    <w:keepLines w:val="on"/>
                  </w:pPr>
                  <w:r>
                    <w:t>2018</w:t>
                  </w:r>
                </w:p>
              </w:tc>
              <w:tc>
                <w:tcPr>
                  <w:tcW w:type="auto" w:w="0"/>
                  <w:shd w:val="clear" w:color="auto" w:fill="F0F0F0"/>
                </w:tcPr>
                <w:p>
                  <w:pPr>
                    <w:pStyle w:val="Normal"/>
                    <w:keepLines w:val="on"/>
                  </w:pPr>
                  <w:r>
                    <w:t>1,14</w:t>
                  </w:r>
                </w:p>
              </w:tc>
              <w:tc>
                <w:tcPr>
                  <w:tcW w:type="auto" w:w="0"/>
                  <w:shd w:val="clear" w:color="auto" w:fill="F0F0F0"/>
                </w:tcPr>
                <w:p>
                  <w:pPr>
                    <w:pStyle w:val="Normal"/>
                    <w:keepLines w:val="on"/>
                  </w:pPr>
                  <w:r>
                    <w:t>5,08%</w:t>
                  </w:r>
                </w:p>
              </w:tc>
            </w:tr>
            <w:tr>
              <w:tc>
                <w:tcPr>
                  <w:tcW w:type="auto" w:w="0"/>
                  <w:shd w:val="clear" w:color="auto" w:fill="F0F0F0"/>
                </w:tcPr>
                <w:p>
                  <w:pPr>
                    <w:pStyle w:val="Normal"/>
                    <w:keepLines w:val="on"/>
                  </w:pPr>
                  <w:r>
                    <w:t>2006</w:t>
                  </w:r>
                </w:p>
              </w:tc>
              <w:tc>
                <w:tcPr>
                  <w:tcW w:type="auto" w:w="0"/>
                  <w:shd w:val="clear" w:color="auto" w:fill="F0F0F0"/>
                </w:tcPr>
                <w:p>
                  <w:pPr>
                    <w:pStyle w:val="Normal"/>
                    <w:keepLines w:val="on"/>
                  </w:pPr>
                  <w:r>
                    <w:t>1,13</w:t>
                  </w:r>
                </w:p>
              </w:tc>
              <w:tc>
                <w:tcPr>
                  <w:tcW w:type="auto" w:w="0"/>
                  <w:shd w:val="clear" w:color="auto" w:fill="F0F0F0"/>
                </w:tcPr>
                <w:p>
                  <w:pPr>
                    <w:pStyle w:val="Normal"/>
                    <w:keepLines w:val="on"/>
                  </w:pPr>
                  <w:r>
                    <w:t>4,07%</w:t>
                  </w:r>
                </w:p>
              </w:tc>
              <w:tc>
                <w:tcPr>
                  <w:tcW w:type="auto" w:w="0"/>
                  <w:shd w:val="clear" w:color="auto" w:fill="F0F0F0"/>
                </w:tcPr>
                <w:p>
                  <w:pPr>
                    <w:pStyle w:val="Normal"/>
                    <w:keepLines w:val="on"/>
                  </w:pPr>
                  <w:r>
                    <w:t>2019</w:t>
                  </w:r>
                </w:p>
              </w:tc>
              <w:tc>
                <w:tcPr>
                  <w:tcW w:type="auto" w:w="0"/>
                  <w:shd w:val="clear" w:color="auto" w:fill="F0F0F0"/>
                </w:tcPr>
                <w:p>
                  <w:pPr>
                    <w:pStyle w:val="Normal"/>
                    <w:keepLines w:val="on"/>
                  </w:pPr>
                  <w:r>
                    <w:t>1,40</w:t>
                  </w:r>
                </w:p>
              </w:tc>
              <w:tc>
                <w:tcPr>
                  <w:tcW w:type="auto" w:w="0"/>
                  <w:shd w:val="clear" w:color="auto" w:fill="F0F0F0"/>
                </w:tcPr>
                <w:p>
                  <w:pPr>
                    <w:pStyle w:val="Normal"/>
                    <w:keepLines w:val="on"/>
                  </w:pPr>
                  <w:r>
                    <w:t>5,96%</w:t>
                  </w:r>
                </w:p>
              </w:tc>
            </w:tr>
            <w:tr>
              <w:tc>
                <w:tcPr>
                  <w:tcW w:type="auto" w:w="0"/>
                  <w:shd w:val="clear" w:color="auto" w:fill="F0F0F0"/>
                </w:tcPr>
                <w:p>
                  <w:pPr>
                    <w:pStyle w:val="Normal"/>
                    <w:keepLines w:val="on"/>
                  </w:pPr>
                  <w:r>
                    <w:t>2007</w:t>
                  </w:r>
                </w:p>
              </w:tc>
              <w:tc>
                <w:tcPr>
                  <w:tcW w:type="auto" w:w="0"/>
                  <w:shd w:val="clear" w:color="auto" w:fill="F0F0F0"/>
                </w:tcPr>
                <w:p>
                  <w:pPr>
                    <w:pStyle w:val="Normal"/>
                    <w:keepLines w:val="on"/>
                  </w:pPr>
                  <w:r>
                    <w:t>1,18</w:t>
                  </w:r>
                </w:p>
              </w:tc>
              <w:tc>
                <w:tcPr>
                  <w:tcW w:type="auto" w:w="0"/>
                  <w:shd w:val="clear" w:color="auto" w:fill="F0F0F0"/>
                </w:tcPr>
                <w:p>
                  <w:pPr>
                    <w:pStyle w:val="Normal"/>
                    <w:keepLines w:val="on"/>
                  </w:pPr>
                  <w:r>
                    <w:t>4,16%</w:t>
                  </w:r>
                </w:p>
              </w:tc>
              <w:tc>
                <w:tcPr>
                  <w:tcW w:type="auto" w:w="0"/>
                  <w:shd w:val="clear" w:color="auto" w:fill="F0F0F0"/>
                </w:tcPr>
                <w:p>
                  <w:pPr>
                    <w:pStyle w:val="Normal"/>
                    <w:keepLines w:val="on"/>
                  </w:pPr>
                  <w:r>
                    <w:t>2020</w:t>
                  </w:r>
                </w:p>
              </w:tc>
              <w:tc>
                <w:tcPr>
                  <w:tcW w:type="auto" w:w="0"/>
                  <w:shd w:val="clear" w:color="auto" w:fill="F0F0F0"/>
                </w:tcPr>
                <w:p>
                  <w:pPr>
                    <w:pStyle w:val="Normal"/>
                    <w:keepLines w:val="on"/>
                  </w:pPr>
                  <w:r>
                    <w:t>1,37</w:t>
                  </w:r>
                </w:p>
              </w:tc>
              <w:tc>
                <w:tcPr>
                  <w:tcW w:type="auto" w:w="0"/>
                  <w:shd w:val="clear" w:color="auto" w:fill="F0F0F0"/>
                </w:tcPr>
                <w:p>
                  <w:pPr>
                    <w:pStyle w:val="Normal"/>
                    <w:keepLines w:val="on"/>
                  </w:pPr>
                  <w:r>
                    <w:t>5,20%</w:t>
                  </w:r>
                </w:p>
              </w:tc>
            </w:tr>
            <w:tr>
              <w:tc>
                <w:tcPr>
                  <w:tcW w:type="auto" w:w="0"/>
                  <w:shd w:val="clear" w:color="auto" w:fill="F0F0F0"/>
                </w:tcPr>
                <w:p>
                  <w:pPr>
                    <w:pStyle w:val="Normal"/>
                    <w:keepLines w:val="on"/>
                  </w:pPr>
                  <w:r>
                    <w:t>2008</w:t>
                  </w:r>
                </w:p>
              </w:tc>
              <w:tc>
                <w:tcPr>
                  <w:tcW w:type="auto" w:w="0"/>
                  <w:shd w:val="clear" w:color="auto" w:fill="F0F0F0"/>
                </w:tcPr>
                <w:p>
                  <w:pPr>
                    <w:pStyle w:val="Normal"/>
                    <w:keepLines w:val="on"/>
                  </w:pPr>
                  <w:r>
                    <w:t>1,43</w:t>
                  </w:r>
                </w:p>
              </w:tc>
              <w:tc>
                <w:tcPr>
                  <w:tcW w:type="auto" w:w="0"/>
                  <w:shd w:val="clear" w:color="auto" w:fill="F0F0F0"/>
                </w:tcPr>
                <w:p>
                  <w:pPr>
                    <w:pStyle w:val="Normal"/>
                    <w:keepLines w:val="on"/>
                  </w:pPr>
                  <w:r>
                    <w:t>4,37%</w:t>
                  </w:r>
                </w:p>
              </w:tc>
              <w:tc>
                <w:tcPr>
                  <w:tcW w:type="auto" w:w="0"/>
                  <w:shd w:val="clear" w:color="auto" w:fill="F0F0F0"/>
                </w:tcPr>
                <w:p>
                  <w:pPr>
                    <w:pStyle w:val="Normal"/>
                    <w:keepLines w:val="on"/>
                  </w:pPr>
                  <w:r>
                    <w:t>2021</w:t>
                  </w:r>
                </w:p>
              </w:tc>
              <w:tc>
                <w:tcPr>
                  <w:tcW w:type="auto" w:w="0"/>
                  <w:shd w:val="clear" w:color="auto" w:fill="F0F0F0"/>
                </w:tcPr>
                <w:p>
                  <w:pPr>
                    <w:pStyle w:val="Normal"/>
                    <w:keepLines w:val="on"/>
                  </w:pPr>
                  <w:r>
                    <w:t>2,28</w:t>
                  </w:r>
                </w:p>
              </w:tc>
              <w:tc>
                <w:tcPr>
                  <w:tcW w:type="auto" w:w="0"/>
                  <w:shd w:val="clear" w:color="auto" w:fill="F0F0F0"/>
                </w:tcPr>
                <w:p>
                  <w:pPr>
                    <w:pStyle w:val="Normal"/>
                    <w:keepLines w:val="on"/>
                  </w:pPr>
                  <w:r>
                    <w:t>4,72%</w:t>
                  </w:r>
                </w:p>
              </w:tc>
            </w:tr>
            <w:tr>
              <w:tc>
                <w:tcPr>
                  <w:tcW w:type="auto" w:w="0"/>
                  <w:shd w:val="clear" w:color="auto" w:fill="F0F0F0"/>
                </w:tcPr>
                <w:p>
                  <w:pPr>
                    <w:pStyle w:val="Normal"/>
                    <w:keepLines w:val="on"/>
                  </w:pPr>
                  <w:r>
                    <w:t>2009</w:t>
                  </w:r>
                </w:p>
              </w:tc>
              <w:tc>
                <w:tcPr>
                  <w:tcW w:type="auto" w:w="0"/>
                  <w:shd w:val="clear" w:color="auto" w:fill="F0F0F0"/>
                </w:tcPr>
                <w:p>
                  <w:pPr>
                    <w:pStyle w:val="Normal"/>
                    <w:keepLines w:val="on"/>
                  </w:pPr>
                  <w:r>
                    <w:t>0,78</w:t>
                  </w:r>
                </w:p>
              </w:tc>
              <w:tc>
                <w:tcPr>
                  <w:tcW w:type="auto" w:w="0"/>
                  <w:shd w:val="clear" w:color="auto" w:fill="F0F0F0"/>
                </w:tcPr>
                <w:p>
                  <w:pPr>
                    <w:pStyle w:val="Normal"/>
                    <w:keepLines w:val="on"/>
                  </w:pPr>
                  <w:r>
                    <w:t>6,43%</w:t>
                  </w:r>
                </w:p>
              </w:tc>
              <w:tc>
                <w:tcPr>
                  <w:tcW w:type="auto" w:w="0"/>
                  <w:shd w:val="clear" w:color="auto" w:fill="F0F0F0"/>
                </w:tcPr>
                <w:p>
                  <w:pPr>
                    <w:pStyle w:val="Normal"/>
                    <w:keepLines w:val="on"/>
                  </w:pPr>
                  <w:r>
                    <w:t>2022</w:t>
                  </w:r>
                </w:p>
              </w:tc>
              <w:tc>
                <w:tcPr>
                  <w:tcW w:type="auto" w:w="0"/>
                  <w:shd w:val="clear" w:color="auto" w:fill="F0F0F0"/>
                </w:tcPr>
                <w:p>
                  <w:pPr>
                    <w:pStyle w:val="Normal"/>
                    <w:keepLines w:val="on"/>
                  </w:pPr>
                  <w:r>
                    <w:t>0,49</w:t>
                  </w:r>
                </w:p>
              </w:tc>
              <w:tc>
                <w:tcPr>
                  <w:tcW w:type="auto" w:w="0"/>
                  <w:shd w:val="clear" w:color="auto" w:fill="F0F0F0"/>
                </w:tcPr>
                <w:p>
                  <w:pPr>
                    <w:pStyle w:val="Normal"/>
                    <w:keepLines w:val="on"/>
                  </w:pPr>
                  <w:r>
                    <w:t>4,24%</w:t>
                  </w:r>
                </w:p>
              </w:tc>
            </w:tr>
            <w:tr>
              <w:tc>
                <w:tcPr>
                  <w:tcW w:type="auto" w:w="0"/>
                  <w:shd w:val="clear" w:color="auto" w:fill="F0F0F0"/>
                </w:tcPr>
                <w:p>
                  <w:pPr>
                    <w:pStyle w:val="Normal"/>
                    <w:keepLines w:val="on"/>
                  </w:pPr>
                  <w:r>
                    <w:t>2010</w:t>
                  </w:r>
                </w:p>
              </w:tc>
              <w:tc>
                <w:tcPr>
                  <w:tcW w:type="auto" w:w="0"/>
                  <w:shd w:val="clear" w:color="auto" w:fill="F0F0F0"/>
                </w:tcPr>
                <w:p>
                  <w:pPr>
                    <w:pStyle w:val="Normal"/>
                    <w:keepLines w:val="on"/>
                  </w:pPr>
                  <w:r>
                    <w:t>0,55</w:t>
                  </w:r>
                </w:p>
              </w:tc>
              <w:tc>
                <w:tcPr>
                  <w:tcW w:type="auto" w:w="0"/>
                  <w:shd w:val="clear" w:color="auto" w:fill="F0F0F0"/>
                </w:tcPr>
                <w:p>
                  <w:pPr>
                    <w:pStyle w:val="Normal"/>
                    <w:keepLines w:val="on"/>
                  </w:pPr>
                  <w:r>
                    <w:t>4,36%</w:t>
                  </w:r>
                </w:p>
              </w:tc>
              <w:tc>
                <w:tcPr>
                  <w:tcW w:type="auto" w:w="0"/>
                  <w:shd w:val="clear" w:color="auto" w:fill="F0F0F0"/>
                </w:tcPr>
                <w:p>
                  <w:pPr>
                    <w:pStyle w:val="Normal"/>
                    <w:keepLines w:val="on"/>
                  </w:pPr>
                  <w:r>
                    <w:t>2023</w:t>
                  </w:r>
                </w:p>
              </w:tc>
              <w:tc>
                <w:tcPr>
                  <w:tcW w:type="auto" w:w="0"/>
                  <w:shd w:val="clear" w:color="auto" w:fill="F0F0F0"/>
                </w:tcPr>
                <w:p>
                  <w:pPr>
                    <w:pStyle w:val="Normal"/>
                    <w:keepLines w:val="on"/>
                  </w:pPr>
                  <w:r>
                    <w:t>0,46</w:t>
                  </w:r>
                </w:p>
              </w:tc>
              <w:tc>
                <w:tcPr>
                  <w:tcW w:type="auto" w:w="0"/>
                  <w:shd w:val="clear" w:color="auto" w:fill="F0F0F0"/>
                </w:tcPr>
                <w:p>
                  <w:pPr>
                    <w:pStyle w:val="Normal"/>
                    <w:keepLines w:val="on"/>
                  </w:pPr>
                  <w:r>
                    <w:t>5,94%</w:t>
                  </w:r>
                </w:p>
              </w:tc>
            </w:tr>
            <w:tr>
              <w:tc>
                <w:tcPr>
                  <w:tcW w:type="auto" w:w="0"/>
                  <w:shd w:val="clear" w:color="auto" w:fill="F0F0F0"/>
                </w:tcPr>
                <w:p>
                  <w:pPr>
                    <w:pStyle w:val="Normal"/>
                    <w:keepLines w:val="on"/>
                  </w:pPr>
                  <w:r>
                    <w:t>2011</w:t>
                  </w:r>
                </w:p>
              </w:tc>
              <w:tc>
                <w:tcPr>
                  <w:tcW w:type="auto" w:w="0"/>
                  <w:shd w:val="clear" w:color="auto" w:fill="F0F0F0"/>
                </w:tcPr>
                <w:p>
                  <w:pPr>
                    <w:pStyle w:val="Normal"/>
                    <w:keepLines w:val="on"/>
                  </w:pPr>
                  <w:r>
                    <w:t>0,84</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2024</w:t>
                  </w:r>
                </w:p>
              </w:tc>
              <w:tc>
                <w:tcPr>
                  <w:tcW w:type="auto" w:w="0"/>
                  <w:shd w:val="clear" w:color="auto" w:fill="F0F0F0"/>
                </w:tcPr>
                <w:p>
                  <w:pPr>
                    <w:pStyle w:val="Normal"/>
                    <w:keepLines w:val="on"/>
                  </w:pPr>
                  <w:r>
                    <w:t>0,70</w:t>
                  </w:r>
                </w:p>
              </w:tc>
              <w:tc>
                <w:tcPr>
                  <w:tcW w:type="auto" w:w="0"/>
                  <w:shd w:val="clear" w:color="auto" w:fill="F0F0F0"/>
                </w:tcPr>
                <w:p>
                  <w:pPr>
                    <w:pStyle w:val="Normal"/>
                    <w:keepLines w:val="on"/>
                  </w:pPr>
                  <w:r>
                    <w:t>4,60%</w:t>
                  </w:r>
                </w:p>
              </w:tc>
            </w:tr>
            <w:tr>
              <w:tc>
                <w:tcPr>
                  <w:tcW w:type="auto" w:w="0"/>
                  <w:shd w:val="clear" w:color="auto" w:fill="F0F0F0"/>
                </w:tcPr>
                <w:p>
                  <w:pPr>
                    <w:pStyle w:val="Normal"/>
                    <w:keepLines w:val="on"/>
                  </w:pPr>
                  <w:r>
                    <w:t>2012</w:t>
                  </w:r>
                </w:p>
              </w:tc>
              <w:tc>
                <w:tcPr>
                  <w:tcW w:type="auto" w:w="0"/>
                  <w:shd w:val="clear" w:color="auto" w:fill="F0F0F0"/>
                </w:tcPr>
                <w:p>
                  <w:pPr>
                    <w:pStyle w:val="Normal"/>
                    <w:keepLines w:val="on"/>
                  </w:pPr>
                  <w:r>
                    <w:t>0,41</w:t>
                  </w:r>
                </w:p>
              </w:tc>
              <w:tc>
                <w:tcPr>
                  <w:tcW w:type="auto" w:w="0"/>
                  <w:shd w:val="clear" w:color="auto" w:fill="F0F0F0"/>
                </w:tcPr>
                <w:p>
                  <w:pPr>
                    <w:pStyle w:val="Normal"/>
                    <w:keepLines w:val="on"/>
                  </w:pPr>
                  <w:r>
                    <w:t>6,04%</w:t>
                  </w:r>
                </w:p>
              </w:tc>
              <w:tc>
                <w:tcPr>
                  <w:tcW w:type="auto" w:w="0"/>
                  <w:shd w:val="clear" w:color="auto" w:fill="F0F0F0"/>
                </w:tcPr>
                <w:p>
                  <w:pPr>
                    <w:pStyle w:val="7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r>
          </w:tbl>
          <w:p/>
        </w:tc>
      </w:tr>
    </w:tbl>
    <w:p>
      <w:pPr>
        <w:pStyle w:val="Para 03"/>
      </w:pPr>
      <w:r>
        <w:t>Vào tháng 1 năm 2000, đúng đỉnh cao của cơn bùng nổ dot-com, thị trường đang trả một cái giá rất cao cho sự tăng trưởng, trong khi chỉ tính rất ít cho rủi ro; không có gì ngạc nhiên khi các công ty tăng trưởng cao, rủi ro cao được giao dịch với tỷ lệ PE cao ngất trời. Đến tháng 1 năm 2002, tâm lý đã thay đổi, khi cái giá cho sự tăng trưởng giảm hơn 50 phần trăm và cái giá của rủi ro tăng gần 80 phần trăm. Vào tháng 1 năm 2009, ngay sau cuộc khủng hoảng ngân hàng, cái giá thị trường cho rủi ro là 6,43 phần trăm (mức cao nhất trong 30 năm), và cái giá phải trả cho sự tăng trưởng thì thấp; hệ quả là tỷ lệ PE trung vị của các công ty Mỹ chỉ ở mức một chữ số. Như bạn có thể thấy, bảng này phản ánh cuộc chiến trên thị trường giữa lòng tham (thể hiện qua khát khao tăng trưởng) và nỗi sợ (thể hiện qua cái giá của rủi ro), với bên này thắng thế trong một số giai đoạn, và bên kia thắng thế trong những giai đoạn khác.</w:t>
      </w:r>
    </w:p>
    <w:p>
      <w:bookmarkStart w:id="3622" w:name="Global_Regressions__As_access_to"/>
      <w:pPr>
        <w:pStyle w:val="Para 21"/>
      </w:pPr>
      <w:r>
        <w:t>Hồi quy Toàn cầu</w:t>
      </w:r>
      <w:bookmarkEnd w:id="3622"/>
    </w:p>
    <w:p>
      <w:pPr>
        <w:pStyle w:val="Para 03"/>
      </w:pPr>
      <w:r>
        <w:t>Khi khả năng tiếp cận dữ liệu được cải thiện, chúng tôi đã bắt đầu chạy các hồi quy này trên khắp các thị trường toàn cầu. Trong bảng 18.14, chúng tôi tóm tắt kết quả hồi quy vào đầu năm 2024 cho các nhóm khu vực địa lý—Châu Âu, các thị trường mới nổi, Úc, New Zealand &amp; Canada, Nhật Bản và Hoa Kỳ, cũng như cho một tập hợp toàn cầu gồm các công ty. Kết quả được trình bày trong Bảng 18.14.</w:t>
      </w:r>
    </w:p>
    <w:p>
      <w:pPr>
        <w:pStyle w:val="Para 34"/>
        <w:keepLines w:val="on"/>
      </w:pPr>
      <w:r>
        <w:t>Bảng 18.14</w:t>
      </w:r>
    </w:p>
    <w:p>
      <w:pPr>
        <w:keepNext/>
        <w:pStyle w:val="Para 35"/>
        <w:keepLines w:val="on"/>
      </w:pPr>
      <w:r>
        <w:t>Hồi quy PE theo Thị trường—Đầu năm 2024</w:t>
      </w:r>
    </w:p>
    <w:tbl>
      <w:tblPr>
        <w:tblW w:type="auto" w:w="0"/>
      </w:tblPr>
      <w:tr>
        <w:tc>
          <w:tcPr>
            <w:tcW w:type="auto" w:w="0"/>
          </w:tcPr>
          <w:tbl>
            <w:tblPr>
              <w:tblW w:type="auto" w:w="0"/>
            </w:tblPr>
            <w:tr>
              <w:tc>
                <w:tcPr>
                  <w:tcW w:type="auto" w:w="0"/>
                  <w:shd w:val="clear" w:color="auto" w:fill="F0F0F0"/>
                </w:tcPr>
                <w:p>
                  <w:pPr>
                    <w:pStyle w:val="Para 29"/>
                    <w:keepLines w:val="on"/>
                  </w:pPr>
                  <w:r>
                    <w:t>Khu vực</w:t>
                  </w:r>
                </w:p>
              </w:tc>
              <w:tc>
                <w:tcPr>
                  <w:tcW w:type="auto" w:w="0"/>
                  <w:shd w:val="clear" w:color="auto" w:fill="F0F0F0"/>
                </w:tcPr>
                <w:p>
                  <w:pPr>
                    <w:pStyle w:val="Para 17"/>
                    <w:keepLines w:val="on"/>
                  </w:pPr>
                  <w:r>
                    <w:t>Hồi quy</w:t>
                  </w:r>
                </w:p>
              </w:tc>
              <w:tc>
                <w:tcPr>
                  <w:tcW w:type="auto" w:w="0"/>
                  <w:shd w:val="clear" w:color="auto" w:fill="F0F0F0"/>
                </w:tcPr>
                <w:p>
                  <w:pPr>
                    <w:pStyle w:val="Para 17"/>
                    <w:keepLines w:val="on"/>
                  </w:pPr>
                  <w:r>
                    <w:t>R-squared</w:t>
                  </w:r>
                </w:p>
              </w:tc>
            </w:tr>
            <w:tr>
              <w:tc>
                <w:tcPr>
                  <w:tcW w:type="auto" w:w="0"/>
                  <w:shd w:val="clear" w:color="auto" w:fill="F0F0F0"/>
                </w:tcPr>
                <w:p>
                  <w:pPr>
                    <w:pStyle w:val="Para 02"/>
                    <w:keepLines w:val="on"/>
                  </w:pPr>
                  <w:r>
                    <w:t>Hoa Kỳ</w:t>
                  </w:r>
                </w:p>
              </w:tc>
              <w:tc>
                <w:tcPr>
                  <w:tcW w:type="auto" w:w="0"/>
                  <w:shd w:val="clear" w:color="auto" w:fill="F0F0F0"/>
                </w:tcPr>
                <w:p>
                  <w:pPr>
                    <w:pStyle w:val="Para 02"/>
                    <w:keepLines w:val="on"/>
                  </w:pPr>
                  <w:r>
                    <w:t>PE = − 2,11 + 20,76 Beta + 69,57 gEPS + 11,38 Payout</w:t>
                  </w:r>
                </w:p>
              </w:tc>
              <w:tc>
                <w:tcPr>
                  <w:tcW w:type="auto" w:w="0"/>
                  <w:shd w:val="clear" w:color="auto" w:fill="F0F0F0"/>
                </w:tcPr>
                <w:p>
                  <w:pPr>
                    <w:pStyle w:val="Normal"/>
                    <w:keepLines w:val="on"/>
                  </w:pPr>
                  <w:r>
                    <w:t>33,6%</w:t>
                  </w:r>
                </w:p>
              </w:tc>
            </w:tr>
            <w:tr>
              <w:tc>
                <w:tcPr>
                  <w:tcW w:type="auto" w:w="0"/>
                  <w:shd w:val="clear" w:color="auto" w:fill="F0F0F0"/>
                </w:tcPr>
                <w:p>
                  <w:pPr>
                    <w:pStyle w:val="Para 02"/>
                    <w:keepLines w:val="on"/>
                  </w:pPr>
                  <w:r>
                    <w:t>Châu Âu</w:t>
                  </w:r>
                </w:p>
              </w:tc>
              <w:tc>
                <w:tcPr>
                  <w:tcW w:type="auto" w:w="0"/>
                  <w:shd w:val="clear" w:color="auto" w:fill="F0F0F0"/>
                </w:tcPr>
                <w:p>
                  <w:pPr>
                    <w:pStyle w:val="Para 02"/>
                    <w:keepLines w:val="on"/>
                  </w:pPr>
                  <w:r>
                    <w:t>PE = 11,89 + 1,47 Beta + 32,44 gEPS + 13,18 Payout</w:t>
                  </w:r>
                </w:p>
              </w:tc>
              <w:tc>
                <w:tcPr>
                  <w:tcW w:type="auto" w:w="0"/>
                  <w:shd w:val="clear" w:color="auto" w:fill="F0F0F0"/>
                </w:tcPr>
                <w:p>
                  <w:pPr>
                    <w:pStyle w:val="Normal"/>
                    <w:keepLines w:val="on"/>
                  </w:pPr>
                  <w:r>
                    <w:t>15,5%</w:t>
                  </w:r>
                </w:p>
              </w:tc>
            </w:tr>
            <w:tr>
              <w:tc>
                <w:tcPr>
                  <w:tcW w:type="auto" w:w="0"/>
                  <w:shd w:val="clear" w:color="auto" w:fill="F0F0F0"/>
                </w:tcPr>
                <w:p>
                  <w:pPr>
                    <w:pStyle w:val="Para 02"/>
                    <w:keepLines w:val="on"/>
                  </w:pPr>
                  <w:r>
                    <w:t>Nhật Bản</w:t>
                  </w:r>
                </w:p>
              </w:tc>
              <w:tc>
                <w:tcPr>
                  <w:tcW w:type="auto" w:w="0"/>
                  <w:shd w:val="clear" w:color="auto" w:fill="F0F0F0"/>
                </w:tcPr>
                <w:p>
                  <w:pPr>
                    <w:pStyle w:val="Para 02"/>
                    <w:keepLines w:val="on"/>
                  </w:pPr>
                  <w:r>
                    <w:t>PE = 4,65 + 6,94 Beta + 25,75 gEPS + 17,17 Payout</w:t>
                  </w:r>
                </w:p>
              </w:tc>
              <w:tc>
                <w:tcPr>
                  <w:tcW w:type="auto" w:w="0"/>
                  <w:shd w:val="clear" w:color="auto" w:fill="F0F0F0"/>
                </w:tcPr>
                <w:p>
                  <w:pPr>
                    <w:pStyle w:val="Normal"/>
                    <w:keepLines w:val="on"/>
                  </w:pPr>
                  <w:r>
                    <w:t>23,2%</w:t>
                  </w:r>
                </w:p>
              </w:tc>
            </w:tr>
            <w:tr>
              <w:tc>
                <w:tcPr>
                  <w:tcW w:type="auto" w:w="0"/>
                  <w:shd w:val="clear" w:color="auto" w:fill="F0F0F0"/>
                </w:tcPr>
                <w:p>
                  <w:pPr>
                    <w:pStyle w:val="Para 02"/>
                    <w:keepLines w:val="on"/>
                  </w:pPr>
                  <w:r>
                    <w:t>Úc, New Zealand &amp; Canada</w:t>
                  </w:r>
                </w:p>
              </w:tc>
              <w:tc>
                <w:tcPr>
                  <w:tcW w:type="auto" w:w="0"/>
                  <w:shd w:val="clear" w:color="auto" w:fill="F0F0F0"/>
                </w:tcPr>
                <w:p>
                  <w:pPr>
                    <w:pStyle w:val="Para 02"/>
                    <w:keepLines w:val="on"/>
                  </w:pPr>
                  <w:r>
                    <w:t>PE = 15,02 + 0,06 Beta + 41,70 gEPS + 3,71 Payout</w:t>
                  </w:r>
                </w:p>
              </w:tc>
              <w:tc>
                <w:tcPr>
                  <w:tcW w:type="auto" w:w="0"/>
                  <w:shd w:val="clear" w:color="auto" w:fill="F0F0F0"/>
                </w:tcPr>
                <w:p>
                  <w:pPr>
                    <w:pStyle w:val="Normal"/>
                    <w:keepLines w:val="on"/>
                  </w:pPr>
                  <w:r>
                    <w:t>24,8%</w:t>
                  </w:r>
                </w:p>
              </w:tc>
            </w:tr>
            <w:tr>
              <w:tc>
                <w:tcPr>
                  <w:tcW w:type="auto" w:w="0"/>
                  <w:shd w:val="clear" w:color="auto" w:fill="F0F0F0"/>
                </w:tcPr>
                <w:p>
                  <w:pPr>
                    <w:pStyle w:val="Para 02"/>
                    <w:keepLines w:val="on"/>
                  </w:pPr>
                  <w:r>
                    <w:t>Các thị trường mới nổi</w:t>
                  </w:r>
                </w:p>
              </w:tc>
              <w:tc>
                <w:tcPr>
                  <w:tcW w:type="auto" w:w="0"/>
                  <w:shd w:val="clear" w:color="auto" w:fill="F0F0F0"/>
                </w:tcPr>
                <w:p>
                  <w:pPr>
                    <w:pStyle w:val="Para 02"/>
                    <w:keepLines w:val="on"/>
                  </w:pPr>
                  <w:r>
                    <w:t>PE = 14,41 − 1,24 Beta + 92,94 gEPS + 7,49 Payout</w:t>
                  </w:r>
                </w:p>
              </w:tc>
              <w:tc>
                <w:tcPr>
                  <w:tcW w:type="auto" w:w="0"/>
                  <w:shd w:val="clear" w:color="auto" w:fill="F0F0F0"/>
                </w:tcPr>
                <w:p>
                  <w:pPr>
                    <w:pStyle w:val="Normal"/>
                    <w:keepLines w:val="on"/>
                  </w:pPr>
                  <w:r>
                    <w:t>24,8%</w:t>
                  </w:r>
                </w:p>
              </w:tc>
            </w:tr>
            <w:tr>
              <w:tc>
                <w:tcPr>
                  <w:tcW w:type="auto" w:w="0"/>
                  <w:shd w:val="clear" w:color="auto" w:fill="F0F0F0"/>
                </w:tcPr>
                <w:p>
                  <w:pPr>
                    <w:pStyle w:val="Para 02"/>
                    <w:keepLines w:val="on"/>
                  </w:pPr>
                  <w:r>
                    <w:t>Toàn cầu</w:t>
                  </w:r>
                </w:p>
              </w:tc>
              <w:tc>
                <w:tcPr>
                  <w:tcW w:type="auto" w:w="0"/>
                  <w:shd w:val="clear" w:color="auto" w:fill="F0F0F0"/>
                </w:tcPr>
                <w:p>
                  <w:pPr>
                    <w:pStyle w:val="Para 02"/>
                    <w:keepLines w:val="on"/>
                  </w:pPr>
                  <w:r>
                    <w:t>PE = 16,90 + 3,20 Beta + 51,53 gEPS + 2,68 Payout</w:t>
                  </w:r>
                </w:p>
              </w:tc>
              <w:tc>
                <w:tcPr>
                  <w:tcW w:type="auto" w:w="0"/>
                  <w:shd w:val="clear" w:color="auto" w:fill="F0F0F0"/>
                </w:tcPr>
                <w:p>
                  <w:pPr>
                    <w:pStyle w:val="Normal"/>
                    <w:keepLines w:val="on"/>
                  </w:pPr>
                  <w:r>
                    <w:t>17,2%</w:t>
                  </w:r>
                </w:p>
              </w:tc>
            </w:tr>
          </w:tbl>
          <w:p/>
        </w:tc>
      </w:tr>
    </w:tbl>
    <w:p>
      <w:pPr>
        <w:pStyle w:val="Para 03"/>
      </w:pPr>
      <w:r>
        <w:t>Rõ ràng có sự khác biệt giữa các thị trường cả về khả năng giải thích (R bình phương) lẫn mối quan hệ với các biến số (hệ số), nhưng cũng hãy để ý điểm chung giữa chúng. Ở mọi khu vực địa lý, tăng trưởng vẫn là biến số chi phối trong việc giải thích sự khác biệt về tỷ lệ PE của các công ty hoạt động trong khu vực đó.</w:t>
      </w:r>
    </w:p>
    <w:p>
      <w:pPr>
        <w:pStyle w:val="Para 20"/>
      </w:pPr>
      <w:r>
        <w:rPr>
          <w:rStyle w:val="Text26"/>
        </w:rPr>
        <w:bookmarkStart w:id="3625" w:name="Page_554"/>
        <w:t/>
        <w:bookmarkEnd w:id="3625"/>
      </w:r>
      <w:r>
        <w:t xml:space="preserve"> </w:t>
      </w:r>
    </w:p>
    <w:p>
      <w:bookmarkStart w:id="3626" w:name="Problems_with_the_Regression_Met"/>
      <w:pPr>
        <w:pStyle w:val="Para 21"/>
      </w:pPr>
      <w:r>
        <w:t>Những vấn đề với phương pháp hồi quy</w:t>
      </w:r>
      <w:bookmarkEnd w:id="3626"/>
    </w:p>
    <w:p>
      <w:pPr>
        <w:pStyle w:val="Para 03"/>
      </w:pPr>
      <w:r>
        <w:t>Phương pháp hồi quy mang lại một cách thuận tiện để nén một lượng lớn dữ liệu thành một phương trình duy nhất, nắm bắt mối quan hệ giữa tỷ lệ PE và các yếu tố cơ bản về tài chính. Nhưng nó cũng có những hạn chế nhất định. Thứ nhất, các biến độc lập có tương quan với nhau.4 Ví dụ, các công ty tăng trưởng cao thường có rủi ro cao và tỷ lệ chi trả cổ tức thấp, điều này thể hiện rõ qua Bảng 18.15, bảng tóm tắt mối tương quan giữa beta, tăng trưởng và tỷ lệ chi trả cổ tức của tất cả các công ty Mỹ. Hãy để ý mối tương quan âm giữa tỷ lệ chi trả cổ tức và tăng trưởng, cùng mối tương quan dương giữa beta và tăng trưởng. Hiện tượng đa cộng tuyến (multicollinearity) này khiến các hệ số của hồi quy không đáng tin cậy (sai số chuẩn tăng lên), và có thể giải thích cho những dấu sai ở các hệ số (chẳng hạn beta có hệ số dương) cũng như những thay đổi lớn của các hệ số này qua từng thời kỳ. Thứ hai, hồi quy dựa trên mối quan hệ tuyến tính giữa tỷ lệ PE và các yếu tố cơ bản, và điều đó có thể không phù hợp. Việc phân tích phần dư từ một hồi quy có thể gợi ý những phép biến đổi các biến độc lập (bình phương hoặc log tự nhiên) giúp giải thích tỷ lệ PE tốt hơn. Thứ ba, bản thân mối quan hệ cơ bản giữa tỷ lệ PE và các biến số tài chính không ổn định, và nếu nó thay đổi qua từng năm thì các dự đoán từ phương trình hồi quy có thể không đáng tin cậy trong những giai đoạn kéo dài. Vì tất cả những lý do này, phương pháp hồi quy là hữu ích, nhưng phải được xem như một công cụ nữa trong quá trình tìm kiếm giá trị thực.</w:t>
      </w:r>
    </w:p>
    <w:p>
      <w:pPr>
        <w:pStyle w:val="Para 34"/>
        <w:keepLines w:val="on"/>
      </w:pPr>
      <w:r>
        <w:t>Bảng 18.15</w:t>
      </w:r>
    </w:p>
    <w:p>
      <w:pPr>
        <w:keepNext/>
        <w:pStyle w:val="Para 35"/>
        <w:keepLines w:val="on"/>
      </w:pPr>
      <w:r>
        <w:t>Tương quan Pearson giữa các biến độc lập</w:t>
      </w:r>
    </w:p>
    <w:tbl>
      <w:tblPr>
        <w:tblW w:type="auto" w:w="0"/>
      </w:tblPr>
      <w:tr>
        <w:tc>
          <w:tcPr>
            <w:tcW w:type="auto" w:w="0"/>
          </w:tcPr>
          <w:tbl>
            <w:tblPr>
              <w:tblW w:type="auto" w:w="0"/>
            </w:tblPr>
            <w:tr>
              <w:tc>
                <w:tcPr>
                  <w:tcW w:type="auto" w:w="0"/>
                  <w:shd w:val="clear" w:color="auto" w:fill="F0F0F0"/>
                  <w:hMerge w:val="restart"/>
                </w:tcPr>
                <w:p>
                  <w:pPr>
                    <w:pStyle w:val="Para 68"/>
                    <w:keepLines w:val="on"/>
                  </w:pPr>
                  <w:r>
                    <w:t>Tương quana</w:t>
                  </w:r>
                </w:p>
              </w:tc>
              <w:tc>
                <w:tcPr>
                  <w:hMerge w:val="continue"/>
                </w:tcPr>
                <w:p/>
              </w:tc>
              <w:tc>
                <w:tcPr>
                  <w:hMerge w:val="continue"/>
                </w:tcPr>
                <w:p/>
              </w:tc>
              <w:tc>
                <w:tcPr>
                  <w:hMerge w:val="continue"/>
                </w:tcPr>
                <w:p/>
              </w:tc>
              <w:tc>
                <w:tcPr>
                  <w:hMerge w:val="continue"/>
                </w:tcPr>
                <w:p/>
              </w:tc>
              <w:tc>
                <w:tcPr>
                  <w:hMerge w:val="continue"/>
                </w:tcPr>
                <w:p/>
              </w:tc>
            </w:tr>
            <w:tr>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vAlign w:val="bottom"/>
                </w:tcPr>
                <w:p>
                  <w:pPr>
                    <w:pStyle w:val="Para 45"/>
                    <w:keepLines w:val="on"/>
                  </w:pPr>
                  <w:r>
                    <w:t>PE theo dữ liệu quá khứ</w:t>
                  </w:r>
                </w:p>
              </w:tc>
              <w:tc>
                <w:tcPr>
                  <w:tcW w:type="auto" w:w="0"/>
                  <w:shd w:val="clear" w:color="auto" w:fill="F0F0F0"/>
                  <w:vAlign w:val="bottom"/>
                </w:tcPr>
                <w:p>
                  <w:pPr>
                    <w:pStyle w:val="Para 45"/>
                    <w:keepLines w:val="on"/>
                  </w:pPr>
                  <w:r>
                    <w:t>Beta</w:t>
                  </w:r>
                </w:p>
              </w:tc>
              <w:tc>
                <w:tcPr>
                  <w:tcW w:type="auto" w:w="0"/>
                  <w:shd w:val="clear" w:color="auto" w:fill="F0F0F0"/>
                  <w:vAlign w:val="bottom"/>
                </w:tcPr>
                <w:p>
                  <w:pPr>
                    <w:pStyle w:val="Para 45"/>
                    <w:keepLines w:val="on"/>
                  </w:pPr>
                  <w:r>
                    <w:t>Tỷ lệ chi trả cổ tức</w:t>
                  </w:r>
                </w:p>
              </w:tc>
              <w:tc>
                <w:tcPr>
                  <w:tcW w:type="auto" w:w="0"/>
                  <w:shd w:val="clear" w:color="auto" w:fill="F0F0F0"/>
                  <w:vAlign w:val="bottom"/>
                </w:tcPr>
                <w:p>
                  <w:pPr>
                    <w:pStyle w:val="Para 45"/>
                    <w:keepLines w:val="on"/>
                  </w:pPr>
                  <w:r>
                    <w:t>Tốc độ tăng trưởng EPS kỳ vọng—5 năm tới</w:t>
                  </w:r>
                </w:p>
              </w:tc>
            </w:tr>
            <w:tr>
              <w:tc>
                <w:tcPr>
                  <w:tcW w:type="auto" w:w="0"/>
                  <w:shd w:val="clear" w:color="auto" w:fill="F0F0F0"/>
                </w:tcPr>
                <w:p>
                  <w:pPr>
                    <w:pStyle w:val="Para 02"/>
                    <w:keepLines w:val="on"/>
                  </w:pPr>
                  <w:r>
                    <w:t>PE theo dữ liệu quá khứ</w:t>
                  </w:r>
                </w:p>
              </w:tc>
              <w:tc>
                <w:tcPr>
                  <w:tcW w:type="auto" w:w="0"/>
                  <w:shd w:val="clear" w:color="auto" w:fill="F0F0F0"/>
                </w:tcPr>
                <w:p>
                  <w:pPr>
                    <w:pStyle w:val="Para 02"/>
                    <w:keepLines w:val="on"/>
                  </w:pPr>
                  <w:r>
                    <w:t>Tương quan</w:t>
                  </w:r>
                </w:p>
              </w:tc>
              <w:tc>
                <w:tcPr>
                  <w:tcW w:type="auto" w:w="0"/>
                  <w:shd w:val="clear" w:color="auto" w:fill="F0F0F0"/>
                </w:tcPr>
                <w:p>
                  <w:pPr>
                    <w:pStyle w:val="Para 06"/>
                    <w:keepLines w:val="on"/>
                  </w:pPr>
                  <w:r>
                    <w:t>1</w:t>
                  </w:r>
                </w:p>
              </w:tc>
              <w:tc>
                <w:tcPr>
                  <w:tcW w:type="auto" w:w="0"/>
                  <w:shd w:val="clear" w:color="auto" w:fill="F0F0F0"/>
                </w:tcPr>
                <w:p>
                  <w:pPr>
                    <w:pStyle w:val="Para 06"/>
                    <w:keepLines w:val="on"/>
                  </w:pPr>
                  <w:r>
                    <w:t>.116**</w:t>
                  </w:r>
                </w:p>
              </w:tc>
              <w:tc>
                <w:tcPr>
                  <w:tcW w:type="auto" w:w="0"/>
                  <w:shd w:val="clear" w:color="auto" w:fill="F0F0F0"/>
                </w:tcPr>
                <w:p>
                  <w:pPr>
                    <w:pStyle w:val="Para 06"/>
                    <w:keepLines w:val="on"/>
                  </w:pPr>
                  <w:r>
                    <w:t>.167**</w:t>
                  </w:r>
                </w:p>
              </w:tc>
              <w:tc>
                <w:tcPr>
                  <w:tcW w:type="auto" w:w="0"/>
                  <w:shd w:val="clear" w:color="auto" w:fill="F0F0F0"/>
                </w:tcPr>
                <w:p>
                  <w:pPr>
                    <w:pStyle w:val="Para 06"/>
                    <w:keepLines w:val="on"/>
                  </w:pPr>
                  <w:r>
                    <w:t>.091**</w:t>
                  </w:r>
                </w:p>
              </w:tc>
            </w:tr>
            <w:tr>
              <w:tc>
                <w:tcPr>
                  <w:tcW w:type="auto" w:w="0"/>
                  <w:shd w:val="clear" w:color="auto" w:fill="F0F0F0"/>
                </w:tcPr>
                <w:p>
                  <w:pPr>
                    <w:pStyle w:val="5 Block"/>
                    <w:keepLines w:val="on"/>
                  </w:pPr>
                </w:p>
              </w:tc>
              <w:tc>
                <w:tcPr>
                  <w:tcW w:type="auto" w:w="0"/>
                  <w:shd w:val="clear" w:color="auto" w:fill="F0F0F0"/>
                </w:tcPr>
                <w:p>
                  <w:pPr>
                    <w:pStyle w:val="Para 02"/>
                    <w:keepLines w:val="on"/>
                  </w:pPr>
                  <w:r>
                    <w:t>Sig. (2-tailed)</w:t>
                  </w:r>
                </w:p>
              </w:tc>
              <w:tc>
                <w:tcPr>
                  <w:tcW w:type="auto" w:w="0"/>
                  <w:shd w:val="clear" w:color="auto" w:fill="F0F0F0"/>
                </w:tcPr>
                <w:p>
                  <w:pPr>
                    <w:pStyle w:val="3 Block"/>
                    <w:keepLines w:val="on"/>
                  </w:pPr>
                </w:p>
              </w:tc>
              <w:tc>
                <w:tcPr>
                  <w:tcW w:type="auto" w:w="0"/>
                  <w:shd w:val="clear" w:color="auto" w:fill="F0F0F0"/>
                </w:tcPr>
                <w:p>
                  <w:pPr>
                    <w:pStyle w:val="Para 06"/>
                    <w:keepLines w:val="on"/>
                  </w:pPr>
                  <w:r>
                    <w:t>&lt;.001</w:t>
                  </w:r>
                </w:p>
              </w:tc>
              <w:tc>
                <w:tcPr>
                  <w:tcW w:type="auto" w:w="0"/>
                  <w:shd w:val="clear" w:color="auto" w:fill="F0F0F0"/>
                </w:tcPr>
                <w:p>
                  <w:pPr>
                    <w:pStyle w:val="Para 06"/>
                    <w:keepLines w:val="on"/>
                  </w:pPr>
                  <w:r>
                    <w:t>&lt;.001</w:t>
                  </w:r>
                </w:p>
              </w:tc>
              <w:tc>
                <w:tcPr>
                  <w:tcW w:type="auto" w:w="0"/>
                  <w:shd w:val="clear" w:color="auto" w:fill="F0F0F0"/>
                </w:tcPr>
                <w:p>
                  <w:pPr>
                    <w:pStyle w:val="Para 06"/>
                    <w:keepLines w:val="on"/>
                  </w:pPr>
                  <w:r>
                    <w:t>.002</w:t>
                  </w:r>
                </w:p>
              </w:tc>
            </w:tr>
            <w:tr>
              <w:tc>
                <w:tcPr>
                  <w:tcW w:type="auto" w:w="0"/>
                  <w:shd w:val="clear" w:color="auto" w:fill="F0F0F0"/>
                </w:tcPr>
                <w:p>
                  <w:pPr>
                    <w:pStyle w:val="5 Block"/>
                    <w:keepLines w:val="on"/>
                  </w:pPr>
                </w:p>
              </w:tc>
              <w:tc>
                <w:tcPr>
                  <w:tcW w:type="auto" w:w="0"/>
                  <w:shd w:val="clear" w:color="auto" w:fill="F0F0F0"/>
                </w:tcPr>
                <w:p>
                  <w:pPr>
                    <w:pStyle w:val="Para 02"/>
                    <w:keepLines w:val="on"/>
                  </w:pPr>
                  <w:r>
                    <w:t>N</w:t>
                  </w:r>
                </w:p>
              </w:tc>
              <w:tc>
                <w:tcPr>
                  <w:tcW w:type="auto" w:w="0"/>
                  <w:shd w:val="clear" w:color="auto" w:fill="F0F0F0"/>
                </w:tcPr>
                <w:p>
                  <w:pPr>
                    <w:pStyle w:val="Para 06"/>
                    <w:keepLines w:val="on"/>
                  </w:pPr>
                  <w:r>
                    <w:t>2607</w:t>
                  </w:r>
                </w:p>
              </w:tc>
              <w:tc>
                <w:tcPr>
                  <w:tcW w:type="auto" w:w="0"/>
                  <w:shd w:val="clear" w:color="auto" w:fill="F0F0F0"/>
                </w:tcPr>
                <w:p>
                  <w:pPr>
                    <w:pStyle w:val="Para 06"/>
                    <w:keepLines w:val="on"/>
                  </w:pPr>
                  <w:r>
                    <w:t>2481</w:t>
                  </w:r>
                </w:p>
              </w:tc>
              <w:tc>
                <w:tcPr>
                  <w:tcW w:type="auto" w:w="0"/>
                  <w:shd w:val="clear" w:color="auto" w:fill="F0F0F0"/>
                </w:tcPr>
                <w:p>
                  <w:pPr>
                    <w:pStyle w:val="Para 06"/>
                    <w:keepLines w:val="on"/>
                  </w:pPr>
                  <w:r>
                    <w:t>2586</w:t>
                  </w:r>
                </w:p>
              </w:tc>
              <w:tc>
                <w:tcPr>
                  <w:tcW w:type="auto" w:w="0"/>
                  <w:shd w:val="clear" w:color="auto" w:fill="F0F0F0"/>
                </w:tcPr>
                <w:p>
                  <w:pPr>
                    <w:pStyle w:val="Para 06"/>
                    <w:keepLines w:val="on"/>
                  </w:pPr>
                  <w:r>
                    <w:t>1114</w:t>
                  </w:r>
                </w:p>
              </w:tc>
            </w:tr>
            <w:tr>
              <w:tc>
                <w:tcPr>
                  <w:tcW w:type="auto" w:w="0"/>
                  <w:shd w:val="clear" w:color="auto" w:fill="F0F0F0"/>
                </w:tcPr>
                <w:p>
                  <w:pPr>
                    <w:pStyle w:val="Para 02"/>
                    <w:keepLines w:val="on"/>
                  </w:pPr>
                  <w:r>
                    <w:t>Beta</w:t>
                  </w:r>
                </w:p>
              </w:tc>
              <w:tc>
                <w:tcPr>
                  <w:tcW w:type="auto" w:w="0"/>
                  <w:shd w:val="clear" w:color="auto" w:fill="F0F0F0"/>
                </w:tcPr>
                <w:p>
                  <w:pPr>
                    <w:pStyle w:val="Para 02"/>
                    <w:keepLines w:val="on"/>
                  </w:pPr>
                  <w:r>
                    <w:t>Correlation</w:t>
                  </w:r>
                </w:p>
              </w:tc>
              <w:tc>
                <w:tcPr>
                  <w:tcW w:type="auto" w:w="0"/>
                  <w:shd w:val="clear" w:color="auto" w:fill="F0F0F0"/>
                </w:tcPr>
                <w:p>
                  <w:pPr>
                    <w:pStyle w:val="Para 06"/>
                    <w:keepLines w:val="on"/>
                  </w:pPr>
                  <w:r>
                    <w:t>.116**</w:t>
                  </w:r>
                </w:p>
              </w:tc>
              <w:tc>
                <w:tcPr>
                  <w:tcW w:type="auto" w:w="0"/>
                  <w:shd w:val="clear" w:color="auto" w:fill="F0F0F0"/>
                </w:tcPr>
                <w:p>
                  <w:pPr>
                    <w:pStyle w:val="Para 06"/>
                    <w:keepLines w:val="on"/>
                  </w:pPr>
                  <w:r>
                    <w:t>1</w:t>
                  </w:r>
                </w:p>
              </w:tc>
              <w:tc>
                <w:tcPr>
                  <w:tcW w:type="auto" w:w="0"/>
                  <w:shd w:val="clear" w:color="auto" w:fill="F0F0F0"/>
                </w:tcPr>
                <w:p>
                  <w:pPr>
                    <w:pStyle w:val="Para 06"/>
                    <w:keepLines w:val="on"/>
                  </w:pPr>
                  <w:r>
                    <w:t>−.005</w:t>
                  </w:r>
                </w:p>
              </w:tc>
              <w:tc>
                <w:tcPr>
                  <w:tcW w:type="auto" w:w="0"/>
                  <w:shd w:val="clear" w:color="auto" w:fill="F0F0F0"/>
                </w:tcPr>
                <w:p>
                  <w:pPr>
                    <w:pStyle w:val="Para 06"/>
                    <w:keepLines w:val="on"/>
                  </w:pPr>
                  <w:r>
                    <w:t>.140**</w:t>
                  </w:r>
                </w:p>
              </w:tc>
            </w:tr>
            <w:tr>
              <w:tc>
                <w:tcPr>
                  <w:tcW w:type="auto" w:w="0"/>
                  <w:shd w:val="clear" w:color="auto" w:fill="F0F0F0"/>
                </w:tcPr>
                <w:p>
                  <w:pPr>
                    <w:pStyle w:val="5 Block"/>
                    <w:keepLines w:val="on"/>
                  </w:pPr>
                </w:p>
              </w:tc>
              <w:tc>
                <w:tcPr>
                  <w:tcW w:type="auto" w:w="0"/>
                  <w:shd w:val="clear" w:color="auto" w:fill="F0F0F0"/>
                </w:tcPr>
                <w:p>
                  <w:pPr>
                    <w:pStyle w:val="Para 02"/>
                    <w:keepLines w:val="on"/>
                  </w:pPr>
                  <w:r>
                    <w:t>Sig. (2-tailed)</w:t>
                  </w:r>
                </w:p>
              </w:tc>
              <w:tc>
                <w:tcPr>
                  <w:tcW w:type="auto" w:w="0"/>
                  <w:shd w:val="clear" w:color="auto" w:fill="F0F0F0"/>
                </w:tcPr>
                <w:p>
                  <w:pPr>
                    <w:pStyle w:val="Para 06"/>
                    <w:keepLines w:val="on"/>
                  </w:pPr>
                  <w:r>
                    <w:t>&lt;.001</w:t>
                  </w:r>
                </w:p>
              </w:tc>
              <w:tc>
                <w:tcPr>
                  <w:tcW w:type="auto" w:w="0"/>
                  <w:shd w:val="clear" w:color="auto" w:fill="F0F0F0"/>
                </w:tcPr>
                <w:p>
                  <w:pPr>
                    <w:pStyle w:val="3 Block"/>
                    <w:keepLines w:val="on"/>
                  </w:pPr>
                </w:p>
              </w:tc>
              <w:tc>
                <w:tcPr>
                  <w:tcW w:type="auto" w:w="0"/>
                  <w:shd w:val="clear" w:color="auto" w:fill="F0F0F0"/>
                </w:tcPr>
                <w:p>
                  <w:pPr>
                    <w:pStyle w:val="Para 06"/>
                    <w:keepLines w:val="on"/>
                  </w:pPr>
                  <w:r>
                    <w:t>.797</w:t>
                  </w:r>
                </w:p>
              </w:tc>
              <w:tc>
                <w:tcPr>
                  <w:tcW w:type="auto" w:w="0"/>
                  <w:shd w:val="clear" w:color="auto" w:fill="F0F0F0"/>
                </w:tcPr>
                <w:p>
                  <w:pPr>
                    <w:pStyle w:val="Para 06"/>
                    <w:keepLines w:val="on"/>
                  </w:pPr>
                  <w:r>
                    <w:t>&lt;.001</w:t>
                  </w:r>
                </w:p>
              </w:tc>
            </w:tr>
            <w:tr>
              <w:tc>
                <w:tcPr>
                  <w:tcW w:type="auto" w:w="0"/>
                  <w:shd w:val="clear" w:color="auto" w:fill="F0F0F0"/>
                </w:tcPr>
                <w:p>
                  <w:pPr>
                    <w:pStyle w:val="5 Block"/>
                    <w:keepLines w:val="on"/>
                  </w:pPr>
                </w:p>
              </w:tc>
              <w:tc>
                <w:tcPr>
                  <w:tcW w:type="auto" w:w="0"/>
                  <w:shd w:val="clear" w:color="auto" w:fill="F0F0F0"/>
                </w:tcPr>
                <w:p>
                  <w:pPr>
                    <w:pStyle w:val="Para 02"/>
                    <w:keepLines w:val="on"/>
                  </w:pPr>
                  <w:r>
                    <w:t>N</w:t>
                  </w:r>
                </w:p>
              </w:tc>
              <w:tc>
                <w:tcPr>
                  <w:tcW w:type="auto" w:w="0"/>
                  <w:shd w:val="clear" w:color="auto" w:fill="F0F0F0"/>
                </w:tcPr>
                <w:p>
                  <w:pPr>
                    <w:pStyle w:val="Para 06"/>
                    <w:keepLines w:val="on"/>
                  </w:pPr>
                  <w:r>
                    <w:t>2481</w:t>
                  </w:r>
                </w:p>
              </w:tc>
              <w:tc>
                <w:tcPr>
                  <w:tcW w:type="auto" w:w="0"/>
                  <w:shd w:val="clear" w:color="auto" w:fill="F0F0F0"/>
                </w:tcPr>
                <w:p>
                  <w:pPr>
                    <w:pStyle w:val="Para 06"/>
                    <w:keepLines w:val="on"/>
                  </w:pPr>
                  <w:r>
                    <w:t>5634</w:t>
                  </w:r>
                </w:p>
              </w:tc>
              <w:tc>
                <w:tcPr>
                  <w:tcW w:type="auto" w:w="0"/>
                  <w:shd w:val="clear" w:color="auto" w:fill="F0F0F0"/>
                </w:tcPr>
                <w:p>
                  <w:pPr>
                    <w:pStyle w:val="Para 06"/>
                    <w:keepLines w:val="on"/>
                  </w:pPr>
                  <w:r>
                    <w:t>2589</w:t>
                  </w:r>
                </w:p>
              </w:tc>
              <w:tc>
                <w:tcPr>
                  <w:tcW w:type="auto" w:w="0"/>
                  <w:shd w:val="clear" w:color="auto" w:fill="F0F0F0"/>
                </w:tcPr>
                <w:p>
                  <w:pPr>
                    <w:pStyle w:val="Para 06"/>
                    <w:keepLines w:val="on"/>
                  </w:pPr>
                  <w:r>
                    <w:t>1444</w:t>
                  </w:r>
                </w:p>
              </w:tc>
            </w:tr>
            <w:tr>
              <w:tc>
                <w:tcPr>
                  <w:tcW w:type="auto" w:w="0"/>
                  <w:shd w:val="clear" w:color="auto" w:fill="F0F0F0"/>
                </w:tcPr>
                <w:p>
                  <w:pPr>
                    <w:pStyle w:val="Para 02"/>
                    <w:keepLines w:val="on"/>
                  </w:pPr>
                  <w:r>
                    <w:t>Tỷ lệ chi trả cổ tức</w:t>
                  </w:r>
                </w:p>
              </w:tc>
              <w:tc>
                <w:tcPr>
                  <w:tcW w:type="auto" w:w="0"/>
                  <w:shd w:val="clear" w:color="auto" w:fill="F0F0F0"/>
                </w:tcPr>
                <w:p>
                  <w:pPr>
                    <w:pStyle w:val="Para 02"/>
                    <w:keepLines w:val="on"/>
                  </w:pPr>
                  <w:r>
                    <w:t>Tương quan</w:t>
                  </w:r>
                </w:p>
              </w:tc>
              <w:tc>
                <w:tcPr>
                  <w:tcW w:type="auto" w:w="0"/>
                  <w:shd w:val="clear" w:color="auto" w:fill="F0F0F0"/>
                </w:tcPr>
                <w:p>
                  <w:pPr>
                    <w:pStyle w:val="Para 06"/>
                    <w:keepLines w:val="on"/>
                  </w:pPr>
                  <w:r>
                    <w:t>.167**</w:t>
                  </w:r>
                </w:p>
              </w:tc>
              <w:tc>
                <w:tcPr>
                  <w:tcW w:type="auto" w:w="0"/>
                  <w:shd w:val="clear" w:color="auto" w:fill="F0F0F0"/>
                </w:tcPr>
                <w:p>
                  <w:pPr>
                    <w:pStyle w:val="Para 06"/>
                    <w:keepLines w:val="on"/>
                  </w:pPr>
                  <w:r>
                    <w:t>−.005</w:t>
                  </w:r>
                </w:p>
              </w:tc>
              <w:tc>
                <w:tcPr>
                  <w:tcW w:type="auto" w:w="0"/>
                  <w:shd w:val="clear" w:color="auto" w:fill="F0F0F0"/>
                </w:tcPr>
                <w:p>
                  <w:pPr>
                    <w:pStyle w:val="Para 06"/>
                    <w:keepLines w:val="on"/>
                  </w:pPr>
                  <w:r>
                    <w:t>1</w:t>
                  </w:r>
                </w:p>
              </w:tc>
              <w:tc>
                <w:tcPr>
                  <w:tcW w:type="auto" w:w="0"/>
                  <w:shd w:val="clear" w:color="auto" w:fill="F0F0F0"/>
                </w:tcPr>
                <w:p>
                  <w:pPr>
                    <w:pStyle w:val="Para 06"/>
                    <w:keepLines w:val="on"/>
                  </w:pPr>
                  <w:r>
                    <w:t>−.154**</w:t>
                  </w:r>
                </w:p>
              </w:tc>
            </w:tr>
            <w:tr>
              <w:tc>
                <w:tcPr>
                  <w:tcW w:type="auto" w:w="0"/>
                  <w:shd w:val="clear" w:color="auto" w:fill="F0F0F0"/>
                </w:tcPr>
                <w:p>
                  <w:pPr>
                    <w:pStyle w:val="5 Block"/>
                    <w:keepLines w:val="on"/>
                  </w:pPr>
                </w:p>
              </w:tc>
              <w:tc>
                <w:tcPr>
                  <w:tcW w:type="auto" w:w="0"/>
                  <w:shd w:val="clear" w:color="auto" w:fill="F0F0F0"/>
                </w:tcPr>
                <w:p>
                  <w:pPr>
                    <w:pStyle w:val="Para 02"/>
                    <w:keepLines w:val="on"/>
                  </w:pPr>
                  <w:r>
                    <w:t>Sig. (2 phía)</w:t>
                  </w:r>
                </w:p>
              </w:tc>
              <w:tc>
                <w:tcPr>
                  <w:tcW w:type="auto" w:w="0"/>
                  <w:shd w:val="clear" w:color="auto" w:fill="F0F0F0"/>
                </w:tcPr>
                <w:p>
                  <w:pPr>
                    <w:pStyle w:val="Para 06"/>
                    <w:keepLines w:val="on"/>
                  </w:pPr>
                  <w:r>
                    <w:t>&lt;.001</w:t>
                  </w:r>
                </w:p>
              </w:tc>
              <w:tc>
                <w:tcPr>
                  <w:tcW w:type="auto" w:w="0"/>
                  <w:shd w:val="clear" w:color="auto" w:fill="F0F0F0"/>
                </w:tcPr>
                <w:p>
                  <w:pPr>
                    <w:pStyle w:val="Para 06"/>
                    <w:keepLines w:val="on"/>
                  </w:pPr>
                  <w:r>
                    <w:t>.797</w:t>
                  </w:r>
                </w:p>
              </w:tc>
              <w:tc>
                <w:tcPr>
                  <w:tcW w:type="auto" w:w="0"/>
                  <w:shd w:val="clear" w:color="auto" w:fill="F0F0F0"/>
                </w:tcPr>
                <w:p>
                  <w:pPr>
                    <w:pStyle w:val="3 Block"/>
                    <w:keepLines w:val="on"/>
                  </w:pPr>
                </w:p>
              </w:tc>
              <w:tc>
                <w:tcPr>
                  <w:tcW w:type="auto" w:w="0"/>
                  <w:shd w:val="clear" w:color="auto" w:fill="F0F0F0"/>
                </w:tcPr>
                <w:p>
                  <w:pPr>
                    <w:pStyle w:val="Para 06"/>
                    <w:keepLines w:val="on"/>
                  </w:pPr>
                  <w:r>
                    <w:t>&lt;.001</w:t>
                  </w:r>
                </w:p>
              </w:tc>
            </w:tr>
            <w:tr>
              <w:tc>
                <w:tcPr>
                  <w:tcW w:type="auto" w:w="0"/>
                  <w:shd w:val="clear" w:color="auto" w:fill="F0F0F0"/>
                </w:tcPr>
                <w:p>
                  <w:pPr>
                    <w:pStyle w:val="5 Block"/>
                    <w:keepLines w:val="on"/>
                  </w:pPr>
                </w:p>
              </w:tc>
              <w:tc>
                <w:tcPr>
                  <w:tcW w:type="auto" w:w="0"/>
                  <w:shd w:val="clear" w:color="auto" w:fill="F0F0F0"/>
                </w:tcPr>
                <w:p>
                  <w:pPr>
                    <w:pStyle w:val="Para 02"/>
                    <w:keepLines w:val="on"/>
                  </w:pPr>
                  <w:r>
                    <w:t>N</w:t>
                  </w:r>
                </w:p>
              </w:tc>
              <w:tc>
                <w:tcPr>
                  <w:tcW w:type="auto" w:w="0"/>
                  <w:shd w:val="clear" w:color="auto" w:fill="F0F0F0"/>
                </w:tcPr>
                <w:p>
                  <w:pPr>
                    <w:pStyle w:val="Para 06"/>
                    <w:keepLines w:val="on"/>
                  </w:pPr>
                  <w:r>
                    <w:t>2586</w:t>
                  </w:r>
                </w:p>
              </w:tc>
              <w:tc>
                <w:tcPr>
                  <w:tcW w:type="auto" w:w="0"/>
                  <w:shd w:val="clear" w:color="auto" w:fill="F0F0F0"/>
                </w:tcPr>
                <w:p>
                  <w:pPr>
                    <w:pStyle w:val="Para 06"/>
                    <w:keepLines w:val="on"/>
                  </w:pPr>
                  <w:r>
                    <w:t>2589</w:t>
                  </w:r>
                </w:p>
              </w:tc>
              <w:tc>
                <w:tcPr>
                  <w:tcW w:type="auto" w:w="0"/>
                  <w:shd w:val="clear" w:color="auto" w:fill="F0F0F0"/>
                </w:tcPr>
                <w:p>
                  <w:pPr>
                    <w:pStyle w:val="Para 06"/>
                    <w:keepLines w:val="on"/>
                  </w:pPr>
                  <w:r>
                    <w:t>2728</w:t>
                  </w:r>
                </w:p>
              </w:tc>
              <w:tc>
                <w:tcPr>
                  <w:tcW w:type="auto" w:w="0"/>
                  <w:shd w:val="clear" w:color="auto" w:fill="F0F0F0"/>
                </w:tcPr>
                <w:p>
                  <w:pPr>
                    <w:pStyle w:val="Para 06"/>
                    <w:keepLines w:val="on"/>
                  </w:pPr>
                  <w:r>
                    <w:t>1157</w:t>
                  </w:r>
                </w:p>
              </w:tc>
            </w:tr>
            <w:tr>
              <w:tc>
                <w:tcPr>
                  <w:tcW w:type="auto" w:w="0"/>
                  <w:shd w:val="clear" w:color="auto" w:fill="F0F0F0"/>
                </w:tcPr>
                <w:p>
                  <w:pPr>
                    <w:pStyle w:val="Para 02"/>
                    <w:keepLines w:val="on"/>
                  </w:pPr>
                  <w:r>
                    <w:t>Tốc độ tăng trưởng EPS kỳ vọng - 5 năm tới</w:t>
                  </w:r>
                </w:p>
              </w:tc>
              <w:tc>
                <w:tcPr>
                  <w:tcW w:type="auto" w:w="0"/>
                  <w:shd w:val="clear" w:color="auto" w:fill="F0F0F0"/>
                </w:tcPr>
                <w:p>
                  <w:pPr>
                    <w:pStyle w:val="Para 02"/>
                    <w:keepLines w:val="on"/>
                  </w:pPr>
                  <w:r>
                    <w:t>Tương quan</w:t>
                  </w:r>
                </w:p>
              </w:tc>
              <w:tc>
                <w:tcPr>
                  <w:tcW w:type="auto" w:w="0"/>
                  <w:shd w:val="clear" w:color="auto" w:fill="F0F0F0"/>
                </w:tcPr>
                <w:p>
                  <w:pPr>
                    <w:pStyle w:val="Para 06"/>
                    <w:keepLines w:val="on"/>
                  </w:pPr>
                  <w:r>
                    <w:t>.091**</w:t>
                  </w:r>
                </w:p>
              </w:tc>
              <w:tc>
                <w:tcPr>
                  <w:tcW w:type="auto" w:w="0"/>
                  <w:shd w:val="clear" w:color="auto" w:fill="F0F0F0"/>
                </w:tcPr>
                <w:p>
                  <w:pPr>
                    <w:pStyle w:val="Para 06"/>
                    <w:keepLines w:val="on"/>
                  </w:pPr>
                  <w:r>
                    <w:t>.140**</w:t>
                  </w:r>
                </w:p>
              </w:tc>
              <w:tc>
                <w:tcPr>
                  <w:tcW w:type="auto" w:w="0"/>
                  <w:shd w:val="clear" w:color="auto" w:fill="F0F0F0"/>
                </w:tcPr>
                <w:p>
                  <w:pPr>
                    <w:pStyle w:val="Para 06"/>
                    <w:keepLines w:val="on"/>
                  </w:pPr>
                  <w:r>
                    <w:t>−.154**</w:t>
                  </w:r>
                </w:p>
              </w:tc>
              <w:tc>
                <w:tcPr>
                  <w:tcW w:type="auto" w:w="0"/>
                  <w:shd w:val="clear" w:color="auto" w:fill="F0F0F0"/>
                </w:tcPr>
                <w:p>
                  <w:pPr>
                    <w:pStyle w:val="Para 06"/>
                    <w:keepLines w:val="on"/>
                  </w:pPr>
                  <w:r>
                    <w:t>1</w:t>
                  </w:r>
                </w:p>
              </w:tc>
            </w:tr>
            <w:tr>
              <w:tc>
                <w:tcPr>
                  <w:tcW w:type="auto" w:w="0"/>
                  <w:shd w:val="clear" w:color="auto" w:fill="F0F0F0"/>
                </w:tcPr>
                <w:p>
                  <w:pPr>
                    <w:pStyle w:val="5 Block"/>
                    <w:keepLines w:val="on"/>
                  </w:pPr>
                </w:p>
              </w:tc>
              <w:tc>
                <w:tcPr>
                  <w:tcW w:type="auto" w:w="0"/>
                  <w:shd w:val="clear" w:color="auto" w:fill="F0F0F0"/>
                </w:tcPr>
                <w:p>
                  <w:pPr>
                    <w:pStyle w:val="Para 02"/>
                    <w:keepLines w:val="on"/>
                  </w:pPr>
                  <w:r>
                    <w:t>Sig. (2 phía)</w:t>
                  </w:r>
                </w:p>
              </w:tc>
              <w:tc>
                <w:tcPr>
                  <w:tcW w:type="auto" w:w="0"/>
                  <w:shd w:val="clear" w:color="auto" w:fill="F0F0F0"/>
                </w:tcPr>
                <w:p>
                  <w:pPr>
                    <w:pStyle w:val="Para 06"/>
                    <w:keepLines w:val="on"/>
                  </w:pPr>
                  <w:r>
                    <w:t>.002</w:t>
                  </w:r>
                </w:p>
              </w:tc>
              <w:tc>
                <w:tcPr>
                  <w:tcW w:type="auto" w:w="0"/>
                  <w:shd w:val="clear" w:color="auto" w:fill="F0F0F0"/>
                </w:tcPr>
                <w:p>
                  <w:pPr>
                    <w:pStyle w:val="Para 06"/>
                    <w:keepLines w:val="on"/>
                  </w:pPr>
                  <w:r>
                    <w:t>&lt;.001</w:t>
                  </w:r>
                </w:p>
              </w:tc>
              <w:tc>
                <w:tcPr>
                  <w:tcW w:type="auto" w:w="0"/>
                  <w:shd w:val="clear" w:color="auto" w:fill="F0F0F0"/>
                </w:tcPr>
                <w:p>
                  <w:pPr>
                    <w:pStyle w:val="Para 06"/>
                    <w:keepLines w:val="on"/>
                  </w:pPr>
                  <w:r>
                    <w:t>&lt;.001</w:t>
                  </w:r>
                </w:p>
              </w:tc>
              <w:tc>
                <w:tcPr>
                  <w:tcW w:type="auto" w:w="0"/>
                  <w:shd w:val="clear" w:color="auto" w:fill="F0F0F0"/>
                </w:tcPr>
                <w:p>
                  <w:pPr>
                    <w:pStyle w:val="3 Block"/>
                    <w:keepLines w:val="on"/>
                  </w:pPr>
                </w:p>
              </w:tc>
            </w:tr>
            <w:tr>
              <w:tc>
                <w:tcPr>
                  <w:tcW w:type="auto" w:w="0"/>
                  <w:shd w:val="clear" w:color="auto" w:fill="F0F0F0"/>
                </w:tcPr>
                <w:p>
                  <w:pPr>
                    <w:pStyle w:val="5 Block"/>
                    <w:keepLines w:val="on"/>
                  </w:pPr>
                </w:p>
              </w:tc>
              <w:tc>
                <w:tcPr>
                  <w:tcW w:type="auto" w:w="0"/>
                  <w:shd w:val="clear" w:color="auto" w:fill="F0F0F0"/>
                </w:tcPr>
                <w:p>
                  <w:pPr>
                    <w:pStyle w:val="Para 02"/>
                    <w:keepLines w:val="on"/>
                  </w:pPr>
                  <w:r>
                    <w:t>N</w:t>
                  </w:r>
                </w:p>
              </w:tc>
              <w:tc>
                <w:tcPr>
                  <w:tcW w:type="auto" w:w="0"/>
                  <w:shd w:val="clear" w:color="auto" w:fill="F0F0F0"/>
                </w:tcPr>
                <w:p>
                  <w:pPr>
                    <w:pStyle w:val="Para 06"/>
                    <w:keepLines w:val="on"/>
                  </w:pPr>
                  <w:r>
                    <w:t>1114</w:t>
                  </w:r>
                </w:p>
              </w:tc>
              <w:tc>
                <w:tcPr>
                  <w:tcW w:type="auto" w:w="0"/>
                  <w:shd w:val="clear" w:color="auto" w:fill="F0F0F0"/>
                </w:tcPr>
                <w:p>
                  <w:pPr>
                    <w:pStyle w:val="Para 06"/>
                    <w:keepLines w:val="on"/>
                  </w:pPr>
                  <w:r>
                    <w:t>1444</w:t>
                  </w:r>
                </w:p>
              </w:tc>
              <w:tc>
                <w:tcPr>
                  <w:tcW w:type="auto" w:w="0"/>
                  <w:shd w:val="clear" w:color="auto" w:fill="F0F0F0"/>
                </w:tcPr>
                <w:p>
                  <w:pPr>
                    <w:pStyle w:val="Para 06"/>
                    <w:keepLines w:val="on"/>
                  </w:pPr>
                  <w:r>
                    <w:t>1157</w:t>
                  </w:r>
                </w:p>
              </w:tc>
              <w:tc>
                <w:tcPr>
                  <w:tcW w:type="auto" w:w="0"/>
                  <w:shd w:val="clear" w:color="auto" w:fill="F0F0F0"/>
                </w:tcPr>
                <w:p>
                  <w:pPr>
                    <w:pStyle w:val="Para 06"/>
                    <w:keepLines w:val="on"/>
                  </w:pPr>
                  <w:r>
                    <w:t>1462</w:t>
                  </w:r>
                </w:p>
              </w:tc>
            </w:tr>
          </w:tbl>
          <w:p>
            <w:pPr>
              <w:pStyle w:val="Para 55"/>
              <w:keepLines w:val="on"/>
            </w:pPr>
            <w:r>
              <w:t>**. Tương quan có ý nghĩa ở mức 0,01 (2 đuôi).</w:t>
            </w:r>
          </w:p>
          <w:p>
            <w:pPr>
              <w:pStyle w:val="Para 55"/>
              <w:keepLines w:val="on"/>
            </w:pPr>
            <w:r>
              <w:t>a. Nhóm rộng = Hoa Kỳ</w:t>
            </w:r>
          </w:p>
        </w:tc>
      </w:tr>
    </w:tbl>
    <w:p>
      <w:pPr>
        <w:pStyle w:val="Para 11"/>
      </w:pPr>
      <w:r>
        <w:t/>
        <w:t xml:space="preserve"> </w:t>
      </w:r>
      <w:r>
        <w:rPr>
          <w:rStyle w:val="Text26"/>
        </w:rPr>
        <w:bookmarkStart w:id="3630" w:name="Page_555"/>
        <w:t/>
        <w:bookmarkEnd w:id="3630"/>
      </w:r>
      <w:r>
        <w:t xml:space="preserve"> </w:t>
      </w:r>
    </w:p>
    <w:p>
      <w:bookmarkStart w:id="3631" w:name="ILLUSTRATION_18_9__Valuing_Proct_1"/>
      <w:bookmarkStart w:id="3632" w:name="ILLUSTRATION_18_9__Valuing_Proct"/>
      <w:pPr>
        <w:keepNext/>
        <w:pStyle w:val="Para 19"/>
        <w:keepLines w:val="on"/>
      </w:pPr>
      <w:r>
        <w:t>MINH HỌA 18.9: Định giá Procter &amp; Gamble (PG) bằng hồi quy thị trường năm 2024</w:t>
      </w:r>
      <w:bookmarkEnd w:id="3631"/>
      <w:bookmarkEnd w:id="3632"/>
    </w:p>
    <w:p>
      <w:pPr>
        <w:pStyle w:val="Para 04"/>
        <w:keepLines w:val="on"/>
      </w:pPr>
      <w:r>
        <w:t>Trong một minh họa trước đó, chúng ta đã ước tính tỷ lệ PE nội tại cho Procter and Gamble vào năm 2011, bằng cách dùng mô hình chiết khấu cổ tức 2 giai đoạn. Trong minh họa này, chúng ta sẽ định giá P&amp;G vào năm 2024 bằng hồi quy PE thị trường cho các cổ phiếu Hoa Kỳ vào tháng 1 năm 2024. Để định giá P&amp;G bằng hồi quy rộng hơn, trước tiên bạn phải ước tính các giá trị, đối với P&amp;G, của các biến độc lập trong hồi quy:</w:t>
      </w:r>
    </w:p>
    <w:p>
      <w:bookmarkStart w:id="3634" w:name="P_G_sbeta_0_65_P_G_spayoutratio"/>
      <w:pPr>
        <w:keepNext/>
        <w:pStyle w:val="Para 07"/>
        <w:keepLines w:val="on"/>
      </w:pPr>
      <w:r>
        <w:t>Beta của P&amp;G = 0,65 Tỷ lệ chi trả của P&amp;G = 61,48% Tốc độ tăng trưởng kỳ vọng của P&amp;G = 11,45%</w:t>
      </w:r>
      <w:bookmarkEnd w:id="3634"/>
    </w:p>
    <w:p>
      <w:pPr>
        <w:pStyle w:val="Para 04"/>
        <w:keepLines w:val="on"/>
      </w:pPr>
      <w:r>
        <w:t>Lưu ý rằng các biến này đã được định nghĩa nhất quán với các biến trong hồi quy. Như vậy, tốc độ tăng trưởng trong năm năm tới, beta trong năm năm qua, và tỷ lệ chi trả trong bốn quý gần nhất được dùng để đưa ra dự đoán. Dựa trên hồi quy tỷ lệ giá trên thu nhập cho tất cả cổ phiếu trên thị trường, bạn sẽ có tỷ lệ PE dự đoán là:</w:t>
      </w:r>
    </w:p>
    <w:p>
      <w:bookmarkStart w:id="3635" w:name="PE__2_11_20_76_0_65__69_57__1145"/>
      <w:pPr>
        <w:keepNext/>
        <w:pStyle w:val="Para 07"/>
        <w:keepLines w:val="on"/>
      </w:pPr>
      <w:r>
        <w:t>PE=-2,11+20,76(0,65)+69,57(.1145)+11,38(.6148)=26,35</w:t>
      </w:r>
      <w:bookmarkEnd w:id="3635"/>
    </w:p>
    <w:p>
      <w:pPr>
        <w:pStyle w:val="Para 04"/>
        <w:keepLines w:val="on"/>
      </w:pPr>
      <w:r>
        <w:t>Dựa trên hồi quy thị trường, bạn sẽ kỳ vọng P&amp;G đang giao dịch ở mức 26,35 lần thu nhập. Với tỷ lệ PE thực tế là 26,50, cổ phiếu này có vẻ gần với mức định giá hợp lý, so với thị trường.</w:t>
      </w:r>
    </w:p>
    <w:p>
      <w:pPr>
        <w:pStyle w:val="Para 11"/>
      </w:pPr>
      <w:r>
        <w:t/>
        <w:t xml:space="preserve"> </w:t>
      </w:r>
    </w:p>
    <w:p>
      <w:bookmarkStart w:id="3636" w:name="MReg_htm__This_dataset_on_the_w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62"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3636"/>
    </w:p>
    <w:p>
      <w:pPr>
        <w:pStyle w:val="Para 31"/>
        <w:keepLines w:val="on"/>
      </w:pPr>
      <w:r>
        <w:t>MReg.htm: Bộ dữ liệu này trên web báo cáo kết quả của hồi quy mới nhất của tỷ lệ PE dựa trên các yếu tố cơ bản, sử dụng tất cả các công ty trên thị trường.</w:t>
      </w:r>
    </w:p>
    <w:p>
      <w:pPr>
        <w:pStyle w:val="Para 11"/>
      </w:pPr>
      <w:r>
        <w:t/>
        <w:t xml:space="preserve"> </w:t>
      </w:r>
    </w:p>
    <w:p>
      <w:bookmarkStart w:id="3637" w:name="Normalizing_Earnings_for_PE_Rati"/>
      <w:bookmarkStart w:id="3638" w:name="Normalizing_Earnings_for_PE_Rati_1"/>
      <w:pPr>
        <w:keepNext/>
        <w:pStyle w:val="Para 27"/>
        <w:keepLines w:val="on"/>
      </w:pPr>
      <w:r>
        <w:t>Chuẩn hóa thu nhập cho tỷ lệ PE</w:t>
      </w:r>
      <w:bookmarkEnd w:id="3637"/>
      <w:bookmarkEnd w:id="3638"/>
    </w:p>
    <w:p>
      <w:pPr>
        <w:pStyle w:val="Para 16"/>
        <w:keepLines w:val="on"/>
      </w:pPr>
      <w:r>
        <w:t>Sự phụ thuộc của tỷ lệ PE vào thu nhập hiện tại khiến chúng đặc biệt dễ bị ảnh hưởng bởi những dao động từ năm này sang năm khác thường đặc trưng cho thu nhập được báo cáo. Do đó, khi so sánh, có thể hợp lý hơn nhiều khi dùng thu nhập đã chuẩn hóa. Quy trình dùng để chuẩn hóa thu nhập rất đa dạng, nhưng cách tiếp cận phổ biến nhất là lấy trung bình đơn giản thu nhập qua thời gian. Ví dụ, đối với một công ty mang tính chu kỳ, bạn sẽ lấy trung bình thu nhập trên mỗi cổ phiếu qua một chu kỳ. Khi làm vậy, bạn nên điều chỉnh theo lạm phát. Nếu bạn quyết định chuẩn hóa thu nhập cho công ty mà bạn đang định giá, tính nhất quán đòi hỏi bạn cũng phải chuẩn hóa chúng cho các công ty so sánh trong mẫu.</w:t>
      </w:r>
    </w:p>
    <w:p>
      <w:bookmarkStart w:id="3639" w:name="The_PEG_Ratio"/>
      <w:bookmarkStart w:id="3640" w:name="The_PEG_Ratio__Portfolio_manager"/>
      <w:pPr>
        <w:keepNext/>
        <w:pStyle w:val="Heading 2"/>
        <w:keepLines w:val="on"/>
      </w:pPr>
      <w:r>
        <w:t>Tỷ lệ PEG</w:t>
      </w:r>
      <w:bookmarkEnd w:id="3639"/>
      <w:bookmarkEnd w:id="3640"/>
    </w:p>
    <w:p>
      <w:pPr>
        <w:pStyle w:val="Para 03"/>
      </w:pPr>
      <w:r>
        <w:t>Các nhà quản lý danh mục và nhà phân tích đôi khi so sánh tỷ lệ PE với tốc độ tăng trưởng kỳ vọng để nhận diện các cổ phiếu bị định giá thấp và bị định giá cao. Ở dạng đơn giản nhất của cách tiếp cận này, các công ty có tỷ lệ PE nhỏ hơn tốc độ tăng trưởng kỳ vọng được xem là bị định giá thấp. Ở dạng tổng quát hơn, tỷ lệ của PE trên tăng trưởng (PEG) được dùng như một thước đo giá trị tương đối, với giá trị thấp hơn được cho là chỉ ra rằng một công ty đang bị định giá thấp. Đối với nhiều nhà phân tích, đặc biệt là những người theo dõi các công ty trong các lĩnh vực tăng trưởng cao, những cách tiếp cận này hứa hẹn một cách để kiểm soát sự khác biệt về tăng trưởng giữa các công ty, trong khi vẫn giữ được sự đơn giản vốn có của một bội số.</w:t>
      </w:r>
    </w:p>
    <w:p>
      <w:pPr>
        <w:pStyle w:val="Para 20"/>
      </w:pPr>
      <w:r>
        <w:rPr>
          <w:rStyle w:val="Text26"/>
        </w:rPr>
        <w:bookmarkStart w:id="3641" w:name="Page_556"/>
        <w:t/>
        <w:bookmarkEnd w:id="3641"/>
      </w:r>
      <w:r>
        <w:t xml:space="preserve"> </w:t>
      </w:r>
    </w:p>
    <w:p>
      <w:bookmarkStart w:id="3642" w:name="Definition_of_PEG_Ratio__The_PEG"/>
      <w:bookmarkStart w:id="3643" w:name="Definition_of_PEG_Ratio"/>
      <w:pPr>
        <w:keepNext/>
        <w:pStyle w:val="Heading 3"/>
        <w:keepLines w:val="on"/>
      </w:pPr>
      <w:r>
        <w:t>Định nghĩa tỷ lệ PEG</w:t>
      </w:r>
      <w:bookmarkEnd w:id="3642"/>
      <w:bookmarkEnd w:id="3643"/>
    </w:p>
    <w:p>
      <w:pPr>
        <w:pStyle w:val="Para 03"/>
      </w:pPr>
      <w:r>
        <w:t>Tỷ lệ PEG được định nghĩa là tỷ lệ giá trên thu nhập chia cho tốc độ tăng trưởng kỳ vọng của thu nhập trên mỗi cổ phiếu:</w:t>
      </w:r>
    </w:p>
    <w:p>
      <w:bookmarkStart w:id="3644" w:name="PEG_ratio_PE_ratioExpected_growt"/>
      <w:pPr>
        <w:keepNext/>
        <w:pStyle w:val="Para 09"/>
        <w:keepLines w:val="on"/>
      </w:pPr>
      <w:r>
        <w:t>Tỷ lệ PEG = Tỷ lệ PE / Tăng trưởng kỳ vọng của thu nhập trên mỗi cổ phiếu (theo giá trị tuyệt đối)</w:t>
      </w:r>
      <w:bookmarkEnd w:id="3644"/>
    </w:p>
    <w:p>
      <w:pPr>
        <w:pStyle w:val="Para 03"/>
      </w:pPr>
      <w:r>
        <w:t>Ví dụ, một công ty có tỷ lệ PE là 20 và tốc độ tăng trưởng là 10 phần trăm được ước tính có tỷ lệ PEG là 2. Tính nhất quán đòi hỏi rằng tốc độ tăng trưởng được dùng trong ước tính này phải là tốc độ tăng trưởng của thu nhập trên mỗi cổ phiếu chứ không phải thu nhập hoạt động, bởi vì tỷ lệ PEG là một bội số vốn chủ sở hữu.</w:t>
      </w:r>
    </w:p>
    <w:p>
      <w:pPr>
        <w:pStyle w:val="Para 03"/>
      </w:pPr>
      <w:r>
        <w:t>Với nhiều định nghĩa về tỷ lệ PE, bạn nên dùng định nghĩa nào để ước tính tỷ lệ PEG? Câu trả lời phụ thuộc vào cơ sở mà tốc độ tăng trưởng kỳ vọng được tính toán. Nếu tốc độ tăng trưởng kỳ vọng của thu nhập trên mỗi cổ phiếu dựa trên thu nhập của năm gần nhất (thu nhập hiện tại), tỷ lệ PE nên dùng là tỷ lệ PE hiện tại. Nếu nó dựa trên thu nhập quá khứ, tỷ lệ PE dùng nên là tỷ lệ PE quá khứ. Tỷ lệ PE kỳ hạn không bao giờ nên được dùng trong tính toán này, vì nó có thể dẫn đến việc tính trùng tăng trưởng. Để thấy tại sao, giả sử bạn có một công ty với giá hiện tại là 30 đô la và thu nhập trên mỗi cổ phiếu hiện tại là 1,50 đô la. Công ty được kỳ vọng sẽ tăng gấp đôi thu nhập trên mỗi cổ phiếu trong năm tới (thu nhập trên mỗi cổ phiếu kỳ hạn sẽ là 3,00 đô la), và sau đó có tăng trưởng thu nhập 5 phần trăm một năm trong bốn năm tiếp theo. Một nhà phân tích ước tính tăng trưởng thu nhập trên mỗi cổ phiếu cho công ty này, với thu nhập trên mỗi cổ phiếu hiện tại làm cơ sở, sẽ ước tính tốc độ tăng trưởng là 19,44%:</w:t>
      </w:r>
    </w:p>
    <w:p>
      <w:bookmarkStart w:id="3645" w:name="Expected_earnings_growth___1_Gro"/>
      <w:pPr>
        <w:keepNext/>
        <w:pStyle w:val="Para 09"/>
        <w:keepLines w:val="on"/>
      </w:pPr>
      <w:r>
        <w:t>Tăng trưởng thu nhập kỳ vọng=[(1+Tốc độ tăng trưởng năm 1)(1+Tốc độ tăng trưởng năm 2−5)4]1/5−1=[(1+1)(1.05)4]1/5−1=.1944</w:t>
      </w:r>
      <w:bookmarkEnd w:id="3645"/>
    </w:p>
    <w:p>
      <w:pPr>
        <w:pStyle w:val="Para 03"/>
      </w:pPr>
      <w:r>
        <w:t>Nếu bạn dùng tỷ số PE kỳ hạn (forward PE) và ước tính tăng trưởng thu nhập này để ước tính tỷ số PEG, bạn sẽ có:</w:t>
      </w:r>
    </w:p>
    <w:p>
      <w:bookmarkStart w:id="3646" w:name="PEG_ratio_based_on_forward_PE_Fo"/>
      <w:pPr>
        <w:keepNext/>
        <w:pStyle w:val="Para 09"/>
        <w:keepLines w:val="on"/>
      </w:pPr>
      <w:r>
        <w:t>Tỷ số PEG dựa trên PE kỳ hạn=PE kỳ hạn/Tăng trưởng kỳ vọng 5 năm tới=Giá/EPS kỳ hạn/Tăng trưởng kỳ vọng 5 năm tới=$30/$3/19.44=0.51</w:t>
      </w:r>
      <w:bookmarkEnd w:id="3646"/>
    </w:p>
    <w:p>
      <w:pPr>
        <w:pStyle w:val="Para 03"/>
      </w:pPr>
      <w:r>
        <w:t>Dựa trên cơ sở tỷ số PEG, công ty này có vẻ đang rẻ. Tuy nhiên, lưu ý rằng tăng trưởng trong năm đầu tiên đã bị tính hai lần—thu nhập kỳ hạn cao là do thu nhập tăng gấp đôi, dẫn đến tỷ số PE kỳ hạn thấp, và tốc độ tăng trưởng cũng cao vì lý do tương tự. Một ước tính nhất quán về tỷ số PEG sẽ đòi hỏi phải dùng PE hiện tại và tốc độ tăng trưởng kỳ vọng trong năm năm tới:</w:t>
      </w:r>
    </w:p>
    <w:p>
      <w:bookmarkStart w:id="3647" w:name="PEG_ratio_based_on_current_PE__P"/>
      <w:pPr>
        <w:keepNext/>
        <w:pStyle w:val="Para 09"/>
        <w:keepLines w:val="on"/>
      </w:pPr>
      <w:r>
        <w:t>Tỷ số PEG dựa trên PE hiện tại=(Giá/EPS hiện tại)/Tốc độ tăng trưởng kỳ vọng 5 năm tới=($30/$1.50)/19.44=1.03</w:t>
      </w:r>
      <w:bookmarkEnd w:id="3647"/>
    </w:p>
    <w:p>
      <w:pPr>
        <w:pStyle w:val="Para 03"/>
      </w:pPr>
      <w:r>
        <w:t>Hoặc, bạn có thể tính tỷ số PEG dựa trên thu nhập trên mỗi cổ phần kỳ hạn và tốc độ tăng trưởng từ năm 2 đến năm 5:</w:t>
      </w:r>
    </w:p>
    <w:p>
      <w:bookmarkStart w:id="3649" w:name="PEG_ratio_based_on_forward_PE__P"/>
      <w:pPr>
        <w:keepNext/>
        <w:pStyle w:val="Para 09"/>
        <w:keepLines w:val="on"/>
      </w:pPr>
      <w:r>
        <w:t>Tỷ số PEG dựa trên PE kỳ hạn=(Giá/EPS kỳ hạn)/Tăng trưởng kỳ vọng năm 2–5=($30/$3)/5=2.0</w:t>
      </w:r>
      <w:bookmarkEnd w:id="3649"/>
    </w:p>
    <w:p>
      <w:pPr>
        <w:pStyle w:val="Para 03"/>
      </w:pPr>
      <w:r>
        <w:t>Nếu áp dụng cách tiếp cận này, tỷ số PEG sẽ phải được ước tính một cách đồng nhất cho tất cả các công ty so sánh khác, sử dụng PE kỳ hạn và tốc độ tăng trưởng kỳ vọng từ năm 2 đến năm 5.</w:t>
      </w:r>
    </w:p>
    <w:p>
      <w:pPr>
        <w:pStyle w:val="Para 03"/>
      </w:pPr>
      <w:r>
        <w:t>Tiếp nối chủ đề về tính đồng nhất, tỷ số PEG nên được ước tính bằng cách sử dụng cùng các ước tính tăng trưởng cho tất cả các công ty trong mẫu. Chẳng hạn, bạn không nên dùng tốc độ tăng trưởng năm năm cho một số công ty và tốc độ tăng trưởng một năm cho những công ty khác. Một cách để đảm bảo tính đồng nhất là dùng cùng một nguồn cho các ước tính tăng trưởng thu nhập cho tất cả các công ty trong nhóm. Ví dụ, nhiều dịch vụ dữ liệu cung cấp ước tính đồng thuận từ các nhà phân tích về tăng trưởng thu nhập trên mỗi cổ phần trong năm năm tới cho hầu hết các công ty Mỹ. Hoặc, bạn có thể tự ước tính tốc độ tăng trưởng kỳ vọng cho từng công ty trong nhóm.</w:t>
      </w:r>
    </w:p>
    <w:p>
      <w:bookmarkStart w:id="3650" w:name="Cross_Sectional_Distribution_of_2"/>
      <w:bookmarkStart w:id="3651" w:name="Cross_Sectional_Distribution_of_3"/>
      <w:pPr>
        <w:keepNext/>
        <w:pStyle w:val="Heading 3"/>
        <w:keepLines w:val="on"/>
      </w:pPr>
      <w:r>
        <w:t>Phân phối theo mặt cắt ngang của các tỷ số PEG</w:t>
      </w:r>
      <w:bookmarkEnd w:id="3650"/>
      <w:bookmarkEnd w:id="3651"/>
    </w:p>
    <w:p>
      <w:pPr>
        <w:pStyle w:val="Para 03"/>
      </w:pPr>
      <w:r>
        <w:t>Giờ đây khi tỷ số PEG đã được định nghĩa, phân phối theo mặt cắt ngang của các tỷ số PEG trên các công ty Mỹ và toàn cầu, vào đầu năm 2024, được xem xét trong Hình 18.7. Khi ước tính các tỷ số PEG này, các ước tính về tăng trưởng thu nhập trên mỗi cổ phần trong năm năm tới được sử dụng cùng với các PE hiện tại. Phân phối của các tỷ số PEG ít lệch hơn phân phối của các tỷ số PE, với một lưu ý quan trọng. Tỷ số PEG chỉ có thể được tính cho những công ty có tốc độ tăng trưởng thu nhập kỳ vọng. Vì tốc độ tăng trưởng này thường được các nhà phân tích cung cấp, bất kỳ công ty nào không được các nhà phân tích theo dõi sẽ không có tỷ số PEG (ít nhất là trong mẫu của chúng ta). Vì các công ty nhỏ hơn, trẻ hơn thường không được các nhà phân tích theo dõi, điều này có thể tạo ra một thiên lệch chọn mẫu tinh tế trong mẫu.</w:t>
      </w:r>
    </w:p>
    <w:p>
      <w:bookmarkStart w:id="3654" w:name="Figure_18_7_PEG_Ratios_for_U_S_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11400" cy="1676400"/>
            <wp:effectExtent l="0" r="0" t="0" b="0"/>
            <wp:wrapTopAndBottom/>
            <wp:docPr id="163" name="c18f007.png" descr="Double bar graph plots the expected growth in E P S across global and U S firms in the next five years."/>
            <wp:cNvGraphicFramePr>
              <a:graphicFrameLocks noChangeAspect="1"/>
            </wp:cNvGraphicFramePr>
            <a:graphic>
              <a:graphicData uri="http://schemas.openxmlformats.org/drawingml/2006/picture">
                <pic:pic>
                  <pic:nvPicPr>
                    <pic:cNvPr id="0" name="c18f007.png" descr="Double bar graph plots the expected growth in E P S across global and U S firms in the next five years."/>
                    <pic:cNvPicPr/>
                  </pic:nvPicPr>
                  <pic:blipFill>
                    <a:blip r:embed="rId115"/>
                    <a:stretch>
                      <a:fillRect/>
                    </a:stretch>
                  </pic:blipFill>
                  <pic:spPr>
                    <a:xfrm>
                      <a:off x="0" y="0"/>
                      <a:ext cx="2311400" cy="1676400"/>
                    </a:xfrm>
                    <a:prstGeom prst="rect">
                      <a:avLst/>
                    </a:prstGeom>
                  </pic:spPr>
                </pic:pic>
              </a:graphicData>
            </a:graphic>
          </wp:anchor>
        </w:drawing>
      </w:r>
      <w:bookmarkEnd w:id="3654"/>
    </w:p>
    <w:p>
      <w:pPr>
        <w:keepNext/>
        <w:pStyle w:val="Para 22"/>
        <w:keepLines w:val="on"/>
      </w:pPr>
      <w:r>
        <w:t>Hình 18.7 Tỷ số PEG của các công ty Mỹ và toàn cầu—Tháng 1 năm 2024</w:t>
      </w:r>
    </w:p>
    <w:p>
      <w:pPr>
        <w:pStyle w:val="Para 03"/>
      </w:pPr>
      <w:r>
        <w:t>Các tỷ số PEG được sử dụng rộng rãi nhất trong việc phân tích các công ty công nghệ, nhưng chúng cần được sử dụng thận trọng, vì như chúng ta sẽ thấy trong phần tiếp theo, rủi ro là một yếu tố khó lường. Trong Bảng 18.16, chúng tôi liệt kê các tỷ số PEG cho các công ty phần mềm ở Hoa Kỳ vào đầu năm 2024, và đối chiếu chúng với tỷ số PEG của thị trường:</w:t>
      </w:r>
    </w:p>
    <w:p>
      <w:pPr>
        <w:pStyle w:val="Para 34"/>
        <w:keepLines w:val="on"/>
      </w:pPr>
      <w:r>
        <w:t>Bảng 18.16</w:t>
      </w:r>
    </w:p>
    <w:p>
      <w:pPr>
        <w:keepNext/>
        <w:pStyle w:val="Para 35"/>
        <w:keepLines w:val="on"/>
      </w:pPr>
      <w:r>
        <w:t>So sánh tỷ số PEG—Phần mềm so với Thị trường</w:t>
      </w:r>
    </w:p>
    <w:tbl>
      <w:tblPr>
        <w:tblW w:type="auto" w:w="0"/>
      </w:tblPr>
      <w:tr>
        <w:tc>
          <w:tcPr>
            <w:tcW w:type="auto" w:w="0"/>
          </w:tcPr>
          <w:tbl>
            <w:tblPr>
              <w:tblW w:type="auto" w:w="0"/>
            </w:tblPr>
            <w:tr>
              <w:tc>
                <w:tcPr>
                  <w:tcW w:type="auto" w:w="0"/>
                  <w:shd w:val="clear" w:color="auto" w:fill="F0F0F0"/>
                </w:tcPr>
                <w:p>
                  <w:pPr>
                    <w:pStyle w:val="Para 29"/>
                    <w:keepLines w:val="on"/>
                  </w:pPr>
                  <w:r>
                    <w:t>Tên ngành</w:t>
                  </w:r>
                </w:p>
              </w:tc>
              <w:tc>
                <w:tcPr>
                  <w:tcW w:type="auto" w:w="0"/>
                  <w:shd w:val="clear" w:color="auto" w:fill="F0F0F0"/>
                </w:tcPr>
                <w:p>
                  <w:pPr>
                    <w:pStyle w:val="Para 17"/>
                    <w:keepLines w:val="on"/>
                  </w:pPr>
                  <w:r>
                    <w:t>PE</w:t>
                  </w:r>
                </w:p>
              </w:tc>
              <w:tc>
                <w:tcPr>
                  <w:tcW w:type="auto" w:w="0"/>
                  <w:shd w:val="clear" w:color="auto" w:fill="F0F0F0"/>
                </w:tcPr>
                <w:p>
                  <w:pPr>
                    <w:pStyle w:val="Para 17"/>
                    <w:keepLines w:val="on"/>
                  </w:pPr>
                  <w:r>
                    <w:t>Tăng trưởng kỳ vọng—5 năm tới</w:t>
                  </w:r>
                </w:p>
              </w:tc>
              <w:tc>
                <w:tcPr>
                  <w:tcW w:type="auto" w:w="0"/>
                  <w:shd w:val="clear" w:color="auto" w:fill="F0F0F0"/>
                </w:tcPr>
                <w:p>
                  <w:pPr>
                    <w:pStyle w:val="Para 17"/>
                    <w:keepLines w:val="on"/>
                  </w:pPr>
                  <w:r>
                    <w:t>Tỷ số PEG</w:t>
                  </w:r>
                </w:p>
              </w:tc>
            </w:tr>
            <w:tr>
              <w:tc>
                <w:tcPr>
                  <w:tcW w:type="auto" w:w="0"/>
                  <w:shd w:val="clear" w:color="auto" w:fill="F0F0F0"/>
                </w:tcPr>
                <w:p>
                  <w:pPr>
                    <w:pStyle w:val="Para 02"/>
                    <w:keepLines w:val="on"/>
                  </w:pPr>
                  <w:r>
                    <w:t>Phần mềm (Giải trí)</w:t>
                  </w:r>
                </w:p>
              </w:tc>
              <w:tc>
                <w:tcPr>
                  <w:tcW w:type="auto" w:w="0"/>
                  <w:shd w:val="clear" w:color="auto" w:fill="F0F0F0"/>
                </w:tcPr>
                <w:p>
                  <w:pPr>
                    <w:pStyle w:val="Normal"/>
                    <w:keepLines w:val="on"/>
                  </w:pPr>
                  <w:r>
                    <w:t>27.58</w:t>
                  </w:r>
                </w:p>
              </w:tc>
              <w:tc>
                <w:tcPr>
                  <w:tcW w:type="auto" w:w="0"/>
                  <w:shd w:val="clear" w:color="auto" w:fill="F0F0F0"/>
                </w:tcPr>
                <w:p>
                  <w:pPr>
                    <w:pStyle w:val="Normal"/>
                    <w:keepLines w:val="on"/>
                  </w:pPr>
                  <w:r>
                    <w:t>31.53%</w:t>
                  </w:r>
                </w:p>
              </w:tc>
              <w:tc>
                <w:tcPr>
                  <w:tcW w:type="auto" w:w="0"/>
                  <w:shd w:val="clear" w:color="auto" w:fill="F0F0F0"/>
                </w:tcPr>
                <w:p>
                  <w:pPr>
                    <w:pStyle w:val="Normal"/>
                    <w:keepLines w:val="on"/>
                  </w:pPr>
                  <w:r>
                    <w:t>0.87</w:t>
                  </w:r>
                </w:p>
              </w:tc>
            </w:tr>
            <w:tr>
              <w:tc>
                <w:tcPr>
                  <w:tcW w:type="auto" w:w="0"/>
                  <w:shd w:val="clear" w:color="auto" w:fill="F0F0F0"/>
                </w:tcPr>
                <w:p>
                  <w:pPr>
                    <w:pStyle w:val="Para 02"/>
                    <w:keepLines w:val="on"/>
                  </w:pPr>
                  <w:r>
                    <w:t>Phần mềm (Internet)</w:t>
                  </w:r>
                </w:p>
              </w:tc>
              <w:tc>
                <w:tcPr>
                  <w:tcW w:type="auto" w:w="0"/>
                  <w:shd w:val="clear" w:color="auto" w:fill="F0F0F0"/>
                </w:tcPr>
                <w:p>
                  <w:pPr>
                    <w:pStyle w:val="Normal"/>
                    <w:keepLines w:val="on"/>
                  </w:pPr>
                  <w:r>
                    <w:t>33.60</w:t>
                  </w:r>
                </w:p>
              </w:tc>
              <w:tc>
                <w:tcPr>
                  <w:tcW w:type="auto" w:w="0"/>
                  <w:shd w:val="clear" w:color="auto" w:fill="F0F0F0"/>
                </w:tcPr>
                <w:p>
                  <w:pPr>
                    <w:pStyle w:val="Normal"/>
                    <w:keepLines w:val="on"/>
                  </w:pPr>
                  <w:r>
                    <w:t>37,52%</w:t>
                  </w:r>
                </w:p>
              </w:tc>
              <w:tc>
                <w:tcPr>
                  <w:tcW w:type="auto" w:w="0"/>
                  <w:shd w:val="clear" w:color="auto" w:fill="F0F0F0"/>
                </w:tcPr>
                <w:p>
                  <w:pPr>
                    <w:pStyle w:val="Normal"/>
                    <w:keepLines w:val="on"/>
                  </w:pPr>
                  <w:r>
                    <w:t>0,90</w:t>
                  </w:r>
                </w:p>
              </w:tc>
            </w:tr>
            <w:tr>
              <w:tc>
                <w:tcPr>
                  <w:tcW w:type="auto" w:w="0"/>
                  <w:shd w:val="clear" w:color="auto" w:fill="F0F0F0"/>
                </w:tcPr>
                <w:p>
                  <w:pPr>
                    <w:pStyle w:val="Para 02"/>
                    <w:keepLines w:val="on"/>
                  </w:pPr>
                  <w:r>
                    <w:t>Phần mềm (Hệ thống &amp; Ứng dụng)</w:t>
                  </w:r>
                </w:p>
              </w:tc>
              <w:tc>
                <w:tcPr>
                  <w:tcW w:type="auto" w:w="0"/>
                  <w:shd w:val="clear" w:color="auto" w:fill="F0F0F0"/>
                </w:tcPr>
                <w:p>
                  <w:pPr>
                    <w:pStyle w:val="Normal"/>
                    <w:keepLines w:val="on"/>
                  </w:pPr>
                  <w:r>
                    <w:t>42,07</w:t>
                  </w:r>
                </w:p>
              </w:tc>
              <w:tc>
                <w:tcPr>
                  <w:tcW w:type="auto" w:w="0"/>
                  <w:shd w:val="clear" w:color="auto" w:fill="F0F0F0"/>
                </w:tcPr>
                <w:p>
                  <w:pPr>
                    <w:pStyle w:val="Normal"/>
                    <w:keepLines w:val="on"/>
                  </w:pPr>
                  <w:r>
                    <w:t>24,30%</w:t>
                  </w:r>
                </w:p>
              </w:tc>
              <w:tc>
                <w:tcPr>
                  <w:tcW w:type="auto" w:w="0"/>
                  <w:shd w:val="clear" w:color="auto" w:fill="F0F0F0"/>
                </w:tcPr>
                <w:p>
                  <w:pPr>
                    <w:pStyle w:val="Normal"/>
                    <w:keepLines w:val="on"/>
                  </w:pPr>
                  <w:r>
                    <w:t>1,73</w:t>
                  </w:r>
                </w:p>
              </w:tc>
            </w:tr>
            <w:tr>
              <w:tc>
                <w:tcPr>
                  <w:tcW w:type="auto" w:w="0"/>
                  <w:shd w:val="clear" w:color="auto" w:fill="F0F0F0"/>
                </w:tcPr>
                <w:p>
                  <w:pPr>
                    <w:pStyle w:val="Para 02"/>
                    <w:keepLines w:val="on"/>
                  </w:pPr>
                  <w:r>
                    <w:t>Toàn thị trường</w:t>
                  </w:r>
                </w:p>
              </w:tc>
              <w:tc>
                <w:tcPr>
                  <w:tcW w:type="auto" w:w="0"/>
                  <w:shd w:val="clear" w:color="auto" w:fill="F0F0F0"/>
                </w:tcPr>
                <w:p>
                  <w:pPr>
                    <w:pStyle w:val="Normal"/>
                    <w:keepLines w:val="on"/>
                  </w:pPr>
                  <w:r>
                    <w:t>21,45</w:t>
                  </w:r>
                </w:p>
              </w:tc>
              <w:tc>
                <w:tcPr>
                  <w:tcW w:type="auto" w:w="0"/>
                  <w:shd w:val="clear" w:color="auto" w:fill="F0F0F0"/>
                </w:tcPr>
                <w:p>
                  <w:pPr>
                    <w:pStyle w:val="Normal"/>
                    <w:keepLines w:val="on"/>
                  </w:pPr>
                  <w:r>
                    <w:t>13,02%</w:t>
                  </w:r>
                </w:p>
              </w:tc>
              <w:tc>
                <w:tcPr>
                  <w:tcW w:type="auto" w:w="0"/>
                  <w:shd w:val="clear" w:color="auto" w:fill="F0F0F0"/>
                </w:tcPr>
                <w:p>
                  <w:pPr>
                    <w:pStyle w:val="Normal"/>
                    <w:keepLines w:val="on"/>
                  </w:pPr>
                  <w:r>
                    <w:t>1,65</w:t>
                  </w:r>
                </w:p>
              </w:tc>
            </w:tr>
          </w:tbl>
          <w:p/>
        </w:tc>
      </w:tr>
    </w:tbl>
    <w:p>
      <w:pPr>
        <w:pStyle w:val="Para 03"/>
      </w:pPr>
      <w:r>
        <w:t>Thoạt nhìn, có vẻ như các công ty giải trí và phần mềm internet đang là món hời, giao dịch với tỷ lệ PEG thấp hơn nhiều so với thị trường, nhưng điều đó có thể gây hiểu nhầm vì sự khác biệt về rủi ro.</w:t>
      </w:r>
    </w:p>
    <w:p>
      <w:pPr>
        <w:pStyle w:val="Para 11"/>
      </w:pPr>
      <w:r>
        <w:t/>
        <w:t xml:space="preserve"> </w:t>
      </w:r>
    </w:p>
    <w:p>
      <w:bookmarkStart w:id="3656" w:name="pedata_xls__This_dataset_on_the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64"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3656"/>
    </w:p>
    <w:p>
      <w:pPr>
        <w:pStyle w:val="Para 31"/>
        <w:keepLines w:val="on"/>
      </w:pPr>
      <w:r>
        <w:t>pedata.xls: Bộ dữ liệu trên web này tóm tắt tỷ lệ PEG theo ngành cho các công ty ở Hoa Kỳ.</w:t>
      </w:r>
    </w:p>
    <w:p>
      <w:bookmarkStart w:id="3657" w:name="Determinants_of_the_PEG_Ratio"/>
      <w:bookmarkStart w:id="3658" w:name="Determinants_of_the_PEG_Ratio__T"/>
      <w:pPr>
        <w:keepNext/>
        <w:pStyle w:val="Heading 3"/>
        <w:keepLines w:val="on"/>
      </w:pPr>
      <w:r>
        <w:t>Các yếu tố quyết định tỷ lệ PEG</w:t>
      </w:r>
      <w:bookmarkEnd w:id="3657"/>
      <w:bookmarkEnd w:id="3658"/>
    </w:p>
    <w:p>
      <w:pPr>
        <w:pStyle w:val="Para 03"/>
      </w:pPr>
      <w:r>
        <w:t>Các yếu tố quyết định tỷ lệ PEG có thể được rút ra bằng cách tiếp cận tương tự đã dùng để ước tính các yếu tố quyết định tỷ lệ PE. Thực tế, chúng ta sẽ bắt đầu với tỷ lệ PE nội tại (theo dõi) mà chúng ta đã rút ra cho một công ty tăng trưởng cao ở phần trước của chương này:</w:t>
      </w:r>
    </w:p>
    <w:p>
      <w:bookmarkStart w:id="3659" w:name="Trailing_PE_Payout_ratio__1_g"/>
      <w:pPr>
        <w:keepNext/>
        <w:pStyle w:val="Para 09"/>
        <w:keepLines w:val="on"/>
      </w:pPr>
      <w:r>
        <w:t>PE theo dõi=Tỷ lệ chi trả cổ tức (1+g) (1−(1+g)n(1+ke,hg)n)(ke,hg−g)+(1+g)n (1+gst) Tỷ lệ chi trả cổ tứcst(ke,st−gst)(1+ke,hg)n</w:t>
      </w:r>
      <w:bookmarkEnd w:id="3659"/>
    </w:p>
    <w:p>
      <w:pPr>
        <w:pStyle w:val="Para 03"/>
      </w:pPr>
      <w:r>
        <w:t>Chia cả hai vế của phương trình cho tốc độ tăng trưởng kỳ vọng trong giai đoạn tăng trưởng cao (g), bạn có thể ước tính tỷ lệ PEG:</w:t>
      </w:r>
    </w:p>
    <w:p>
      <w:bookmarkStart w:id="3660" w:name="PEG_Payout_ratio__1_g___1____1_g"/>
      <w:pPr>
        <w:keepNext/>
        <w:pStyle w:val="Para 09"/>
        <w:keepLines w:val="on"/>
      </w:pPr>
      <w:r>
        <w:t>PEG=Tỷ lệ chi trả cổ tức (1+g) (1−(1+g)n(1+ke,hg)n)(ke,hg−g)×g+(1+g)n (1+gst) Tỷ lệ chi trả cổ tứcstg×(ke,st−gst)(1+ke,hg)n</w:t>
      </w:r>
      <w:bookmarkEnd w:id="3660"/>
    </w:p>
    <w:p>
      <w:pPr>
        <w:pStyle w:val="Para 03"/>
      </w:pPr>
      <w:r>
        <w:t>Chỉ cần liếc qua phương trình này cũng đủ thấy rằng những nhà phân tích tin rằng việc dùng tỷ lệ PEG sẽ trung hòa ảnh hưởng của tăng trưởng đã nhầm. Thay vì biến mất, tốc độ tăng trưởng còn bị hòa lẫn sâu hơn vào bội số này. Thực tế, khi tốc độ tăng trưởng tăng lên, ảnh hưởng lên tỷ lệ PEG có thể vừa tích cực vừa tiêu cực và hiệu ứng ròng có thể thay đổi tùy theo mức tốc độ tăng trưởng.</w:t>
      </w:r>
    </w:p>
    <w:p>
      <w:pPr>
        <w:pStyle w:val="Para 11"/>
      </w:pPr>
      <w:r>
        <w:t/>
        <w:t xml:space="preserve"> </w:t>
      </w:r>
    </w:p>
    <w:p>
      <w:bookmarkStart w:id="3662" w:name="ILLUSTRATION_18_10__Estimating_t"/>
      <w:bookmarkStart w:id="3663" w:name="ILLUSTRATION_18_10__Estimating_t_1"/>
      <w:pPr>
        <w:keepNext/>
        <w:pStyle w:val="Para 19"/>
        <w:keepLines w:val="on"/>
      </w:pPr>
      <w:r>
        <w:t>MINH HỌA 18.10: Ước tính tỷ lệ PEG cho một công ty</w:t>
      </w:r>
      <w:bookmarkEnd w:id="3662"/>
      <w:bookmarkEnd w:id="3663"/>
    </w:p>
    <w:p>
      <w:pPr>
        <w:pStyle w:val="Para 04"/>
        <w:keepLines w:val="on"/>
      </w:pPr>
      <w:r>
        <w:t>Giả sử bạn được yêu cầu ước tính tỷ lệ PEG cho một công ty có cùng đặc điểm như công ty được mô tả trong Minh họa 18.1:</w:t>
      </w:r>
    </w:p>
    <w:tbl>
      <w:tblPr>
        <w:tblW w:type="auto" w:w="0"/>
      </w:tblPr>
      <w:tr>
        <w:tc>
          <w:tcPr>
            <w:tcW w:type="auto" w:w="0"/>
          </w:tcPr>
          <w:tbl>
            <w:tblPr>
              <w:tblW w:type="auto" w:w="0"/>
            </w:tblPr>
            <w:tr>
              <w:tc>
                <w:tcPr>
                  <w:tcW w:type="auto" w:w="0"/>
                  <w:shd w:val="clear" w:color="auto" w:fill="F0F0F0"/>
                </w:tcPr>
                <w:p>
                  <w:pPr>
                    <w:pStyle w:val="Para 02"/>
                    <w:keepLines w:val="on"/>
                  </w:pPr>
                  <w:r>
                    <w:t>Tốc độ tăng trưởng trong năm năm đầu = 20%</w:t>
                  </w:r>
                </w:p>
              </w:tc>
              <w:tc>
                <w:tcPr>
                  <w:tcW w:type="auto" w:w="0"/>
                  <w:shd w:val="clear" w:color="auto" w:fill="F0F0F0"/>
                </w:tcPr>
                <w:p>
                  <w:pPr>
                    <w:pStyle w:val="Para 02"/>
                    <w:keepLines w:val="on"/>
                  </w:pPr>
                  <w:r>
                    <w:t>Tỷ lệ chi trả cổ tức trong năm năm đầu = 20%</w:t>
                  </w:r>
                </w:p>
              </w:tc>
            </w:tr>
            <w:tr>
              <w:tc>
                <w:tcPr>
                  <w:tcW w:type="auto" w:w="0"/>
                  <w:shd w:val="clear" w:color="auto" w:fill="F0F0F0"/>
                </w:tcPr>
                <w:p>
                  <w:pPr>
                    <w:pStyle w:val="Para 02"/>
                    <w:keepLines w:val="on"/>
                  </w:pPr>
                  <w:r>
                    <w:t>Tốc độ tăng trưởng sau năm năm = 4%</w:t>
                  </w:r>
                </w:p>
              </w:tc>
              <w:tc>
                <w:tcPr>
                  <w:tcW w:type="auto" w:w="0"/>
                  <w:shd w:val="clear" w:color="auto" w:fill="F0F0F0"/>
                </w:tcPr>
                <w:p>
                  <w:pPr>
                    <w:pStyle w:val="Para 02"/>
                    <w:keepLines w:val="on"/>
                  </w:pPr>
                  <w:r>
                    <w:t>Tỷ lệ chi trả cổ tức sau năm năm = 60%</w:t>
                  </w:r>
                </w:p>
              </w:tc>
            </w:tr>
            <w:tr>
              <w:tc>
                <w:tcPr>
                  <w:tcW w:type="auto" w:w="0"/>
                  <w:shd w:val="clear" w:color="auto" w:fill="F0F0F0"/>
                </w:tcPr>
                <w:p>
                  <w:pPr>
                    <w:pStyle w:val="Para 02"/>
                    <w:keepLines w:val="on"/>
                  </w:pPr>
                  <w:r>
                    <w:t>Beta = 1,0</w:t>
                  </w:r>
                </w:p>
              </w:tc>
              <w:tc>
                <w:tcPr>
                  <w:tcW w:type="auto" w:w="0"/>
                  <w:shd w:val="clear" w:color="auto" w:fill="F0F0F0"/>
                </w:tcPr>
                <w:p>
                  <w:pPr>
                    <w:pStyle w:val="Para 02"/>
                    <w:keepLines w:val="on"/>
                  </w:pPr>
                  <w:r>
                    <w:t>Tỷ lệ phi rủi ro = Lãi suất trái phiếu chính phủ = 4,5%</w:t>
                  </w:r>
                </w:p>
              </w:tc>
            </w:tr>
            <w:tr>
              <w:tc>
                <w:tcPr>
                  <w:tcW w:type="auto" w:w="0"/>
                  <w:shd w:val="clear" w:color="auto" w:fill="F0F0F0"/>
                </w:tcPr>
                <w:p>
                  <w:pPr>
                    <w:pStyle w:val="Para 02"/>
                    <w:keepLines w:val="on"/>
                  </w:pPr>
                  <w:r>
                    <w:t>Tỷ suất sinh lợi yêu cầu = 4,5% + 1(5%) = 9,5%</w:t>
                  </w:r>
                </w:p>
              </w:tc>
              <w:tc>
                <w:tcPr>
                  <w:tcW w:type="auto" w:w="0"/>
                  <w:shd w:val="clear" w:color="auto" w:fill="F0F0F0"/>
                </w:tcPr>
                <w:p>
                  <w:pPr>
                    <w:pStyle w:val="Para 02"/>
                    <w:keepLines w:val="on"/>
                  </w:pPr>
                  <w:r>
                    <w:t>Phần bù rủi ro vốn cổ phần = 5%</w:t>
                  </w:r>
                </w:p>
              </w:tc>
            </w:tr>
          </w:tbl>
          <w:p/>
        </w:tc>
      </w:tr>
    </w:tbl>
    <w:p>
      <w:pPr>
        <w:pStyle w:val="Para 04"/>
        <w:keepLines w:val="on"/>
      </w:pPr>
      <w:r>
        <w:t>Tỷ lệ PEG có thể được ước tính như sau:</w:t>
      </w:r>
    </w:p>
    <w:p>
      <w:bookmarkStart w:id="3665" w:name="PEG_0_20__1_20___1____1_20_5_1_0"/>
      <w:pPr>
        <w:keepNext/>
        <w:pStyle w:val="Para 07"/>
        <w:keepLines w:val="on"/>
      </w:pPr>
      <w:r>
        <w:t>PEG=0.20 (1.20) (1−(1.20)5(1.095)5)(.095−.20)×(.20)+(1.20)5 (1.04) (0.60).20 (.095−.04)(1.095)5=0.96</w:t>
      </w:r>
      <w:bookmarkEnd w:id="3665"/>
    </w:p>
    <w:p>
      <w:pPr>
        <w:pStyle w:val="Para 04"/>
        <w:keepLines w:val="on"/>
      </w:pPr>
      <w:r>
        <w:t>Tỷ lệ PEG của công ty này, dựa trên các yếu tố cơ bản, là 0,96.</w:t>
      </w:r>
    </w:p>
    <w:p>
      <w:bookmarkStart w:id="3666" w:name="Exploring_the_Relationship_with_1"/>
      <w:bookmarkStart w:id="3667" w:name="Exploring_the_Relationship_with"/>
      <w:pPr>
        <w:keepNext/>
        <w:pStyle w:val="Para 36"/>
        <w:keepLines w:val="on"/>
      </w:pPr>
      <w:r>
        <w:t>Khám phá mối quan hệ với các yếu tố cơ bản</w:t>
      </w:r>
      <w:bookmarkEnd w:id="3666"/>
      <w:bookmarkEnd w:id="3667"/>
    </w:p>
    <w:p>
      <w:pPr>
        <w:pStyle w:val="Para 04"/>
        <w:keepLines w:val="on"/>
      </w:pPr>
      <w:r>
        <w:t>Trước tiên, hãy xem xét tác động của việc thay đổi tốc độ tăng trưởng trong giai đoạn tăng trưởng cao (năm năm tới) từ 20%. Hình 18.8 trình bày tỷ lệ PEG như một hàm số của tốc độ tăng trưởng kỳ vọng. Khi tốc độ tăng trưởng tăng lên, tỷ lệ PEG ban đầu giảm xuống, sau đó phẳng dần ở các mức tăng trưởng cao hơn, rồi lại bắt đầu tăng trở lại. Mối quan hệ phức tạp này giữa tỷ lệ PEG và tăng trưởng cho thấy rằng việc so sánh tỷ lệ PEG giữa các công ty có tốc độ tăng trưởng rất khác nhau có thể khá phức tạp.</w:t>
      </w:r>
    </w:p>
    <w:p>
      <w:bookmarkStart w:id="3670" w:name="Figure_18_8_PEG_Ratios__Expected"/>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74900" cy="1714500"/>
            <wp:effectExtent l="0" r="0" t="0" b="0"/>
            <wp:wrapTopAndBottom/>
            <wp:docPr id="165" name="c18f008.png" descr="Bar graph plots the decrease in P E G ratio over the next five years."/>
            <wp:cNvGraphicFramePr>
              <a:graphicFrameLocks noChangeAspect="1"/>
            </wp:cNvGraphicFramePr>
            <a:graphic>
              <a:graphicData uri="http://schemas.openxmlformats.org/drawingml/2006/picture">
                <pic:pic>
                  <pic:nvPicPr>
                    <pic:cNvPr id="0" name="c18f008.png" descr="Bar graph plots the decrease in P E G ratio over the next five years."/>
                    <pic:cNvPicPr/>
                  </pic:nvPicPr>
                  <pic:blipFill>
                    <a:blip r:embed="rId116"/>
                    <a:stretch>
                      <a:fillRect/>
                    </a:stretch>
                  </pic:blipFill>
                  <pic:spPr>
                    <a:xfrm>
                      <a:off x="0" y="0"/>
                      <a:ext cx="2374900" cy="1714500"/>
                    </a:xfrm>
                    <a:prstGeom prst="rect">
                      <a:avLst/>
                    </a:prstGeom>
                  </pic:spPr>
                </pic:pic>
              </a:graphicData>
            </a:graphic>
          </wp:anchor>
        </w:drawing>
      </w:r>
      <w:bookmarkEnd w:id="3670"/>
    </w:p>
    <w:p>
      <w:pPr>
        <w:keepNext/>
        <w:pStyle w:val="Para 38"/>
        <w:keepLines w:val="on"/>
      </w:pPr>
      <w:r>
        <w:t>Hình 18.8 Tỷ lệ PEG, tăng trưởng kỳ vọng và lãi suất</w:t>
      </w:r>
    </w:p>
    <w:p>
      <w:pPr>
        <w:pStyle w:val="Para 04"/>
        <w:keepLines w:val="on"/>
      </w:pPr>
      <w:r>
        <w:t>Tiếp theo, hãy xem xét tác động của việc thay đổi mức độ rủi ro (beta) của công ty này lên tỷ lệ PEG. Hình 18.9 trình bày tỷ lệ PEG như một hàm số của beta. Ở đây, mối quan hệ rất rõ ràng. Khi rủi ro tăng lên, tỷ lệ PEG của một công ty giảm xuống. Khi so sánh tỷ lệ PEG của các công ty có mức độ rủi ro khác nhau, ngay cả trong cùng một ngành, điều này cho thấy rằng các công ty rủi ro hơn nên có tỷ lệ PEG thấp hơn các công ty an toàn hơn.</w:t>
      </w:r>
    </w:p>
    <w:p>
      <w:bookmarkStart w:id="3672" w:name="Figure_18_9_PEG_Ratios_and_Beta"/>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87600" cy="1752600"/>
            <wp:effectExtent l="0" r="0" t="0" b="0"/>
            <wp:wrapTopAndBottom/>
            <wp:docPr id="166" name="c18f009.png" descr="Double bar graph depicts a decrease in growth rates for beta and P E G ratios."/>
            <wp:cNvGraphicFramePr>
              <a:graphicFrameLocks noChangeAspect="1"/>
            </wp:cNvGraphicFramePr>
            <a:graphic>
              <a:graphicData uri="http://schemas.openxmlformats.org/drawingml/2006/picture">
                <pic:pic>
                  <pic:nvPicPr>
                    <pic:cNvPr id="0" name="c18f009.png" descr="Double bar graph depicts a decrease in growth rates for beta and P E G ratios."/>
                    <pic:cNvPicPr/>
                  </pic:nvPicPr>
                  <pic:blipFill>
                    <a:blip r:embed="rId117"/>
                    <a:stretch>
                      <a:fillRect/>
                    </a:stretch>
                  </pic:blipFill>
                  <pic:spPr>
                    <a:xfrm>
                      <a:off x="0" y="0"/>
                      <a:ext cx="2387600" cy="1752600"/>
                    </a:xfrm>
                    <a:prstGeom prst="rect">
                      <a:avLst/>
                    </a:prstGeom>
                  </pic:spPr>
                </pic:pic>
              </a:graphicData>
            </a:graphic>
          </wp:anchor>
        </w:drawing>
      </w:r>
      <w:bookmarkEnd w:id="3672"/>
    </w:p>
    <w:p>
      <w:pPr>
        <w:keepNext/>
        <w:pStyle w:val="Para 38"/>
        <w:keepLines w:val="on"/>
      </w:pPr>
      <w:r>
        <w:t>Hình 18.9 Tỷ lệ PEG và beta: Các tốc độ tăng trưởng khác nhau</w:t>
      </w:r>
    </w:p>
    <w:p>
      <w:pPr>
        <w:pStyle w:val="Para 04"/>
        <w:keepLines w:val="on"/>
      </w:pPr>
      <w:r>
        <w:t>Cuối cùng, không phải mọi sự tăng trưởng đều giống nhau. Một công ty có khả năng tăng trưởng 20% mỗi năm trong khi chi trả 50% thu nhập cho cổ đông có chất lượng tăng trưởng cao hơn một công ty khác có cùng tốc độ tăng trưởng nhưng tái đầu tư toàn bộ thu nhập trở lại. Do đó, tỷ lệ PEG nên tăng lên khi tỷ lệ chi trả cổ tức tăng, với bất kỳ tốc độ tăng trưởng nào cho trước, như được thể hiện trong Hình 18.10.</w:t>
      </w:r>
    </w:p>
    <w:p>
      <w:bookmarkStart w:id="3674" w:name="Figure_18_10_PEG_Ratios_and_Payo"/>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87600" cy="1752600"/>
            <wp:effectExtent l="0" r="0" t="0" b="0"/>
            <wp:wrapTopAndBottom/>
            <wp:docPr id="167" name="c18f010.png" descr="Multiple bar graph plots an increase in payout ratios for two growth rates of 10 and 20 percent."/>
            <wp:cNvGraphicFramePr>
              <a:graphicFrameLocks noChangeAspect="1"/>
            </wp:cNvGraphicFramePr>
            <a:graphic>
              <a:graphicData uri="http://schemas.openxmlformats.org/drawingml/2006/picture">
                <pic:pic>
                  <pic:nvPicPr>
                    <pic:cNvPr id="0" name="c18f010.png" descr="Multiple bar graph plots an increase in payout ratios for two growth rates of 10 and 20 percent."/>
                    <pic:cNvPicPr/>
                  </pic:nvPicPr>
                  <pic:blipFill>
                    <a:blip r:embed="rId118"/>
                    <a:stretch>
                      <a:fillRect/>
                    </a:stretch>
                  </pic:blipFill>
                  <pic:spPr>
                    <a:xfrm>
                      <a:off x="0" y="0"/>
                      <a:ext cx="2387600" cy="1752600"/>
                    </a:xfrm>
                    <a:prstGeom prst="rect">
                      <a:avLst/>
                    </a:prstGeom>
                  </pic:spPr>
                </pic:pic>
              </a:graphicData>
            </a:graphic>
          </wp:anchor>
        </w:drawing>
      </w:r>
      <w:bookmarkEnd w:id="3674"/>
    </w:p>
    <w:p>
      <w:pPr>
        <w:keepNext/>
        <w:pStyle w:val="Para 38"/>
        <w:keepLines w:val="on"/>
      </w:pPr>
      <w:r>
        <w:t>Hình 18.10 Tỷ lệ PEG và tỷ lệ chi trả cổ tức</w:t>
      </w:r>
    </w:p>
    <w:p>
      <w:pPr>
        <w:pStyle w:val="Para 04"/>
        <w:keepLines w:val="on"/>
      </w:pPr>
      <w:r>
        <w:t>Tốc độ tăng trưởng và tỷ lệ chi trả cổ tức được liên kết với nhau thông qua tỷ suất sinh lợi trên vốn chủ sở hữu của công ty. Thực tế, tốc độ tăng trưởng kỳ vọng của một công ty có thể được viết như sau:</w:t>
      </w:r>
    </w:p>
    <w:p>
      <w:bookmarkStart w:id="3675" w:name="Expected_growth_rate_Return_on_e"/>
      <w:pPr>
        <w:keepNext/>
        <w:pStyle w:val="Para 07"/>
        <w:keepLines w:val="on"/>
      </w:pPr>
      <w:r>
        <w:t>Tốc độ tăng trưởng kỳ vọng = Tỷ suất sinh lợi trên vốn chủ sở hữu × (1 - Tỷ lệ chi trả cổ tức)</w:t>
      </w:r>
      <w:bookmarkEnd w:id="3675"/>
    </w:p>
    <w:p>
      <w:pPr>
        <w:pStyle w:val="Para 04"/>
        <w:keepLines w:val="on"/>
      </w:pPr>
      <w:r>
        <w:t>Do đó, tỷ lệ PEG nên cao hơn đối với các công ty có tỷ suất sinh lợi trên vốn chủ sở hữu cao hơn với một tốc độ tăng trưởng cho trước. Tóm lại, ngay cả khi được định giá hợp lý, bạn nên kỳ vọng thấy các công ty rủi ro hơn và các công ty có tỷ suất sinh lợi trên vốn chủ sở hữu thấp hơn được giao dịch với tỷ lệ PEG thấp hơn so với các công ty an toàn hơn tạo ra tỷ suất sinh lợi trên vốn chủ sở hữu cao hơn.</w:t>
      </w:r>
    </w:p>
    <w:p>
      <w:pPr>
        <w:pStyle w:val="Para 11"/>
      </w:pPr>
      <w:r>
        <w:t/>
        <w:t xml:space="preserve"> </w:t>
      </w:r>
    </w:p>
    <w:p>
      <w:bookmarkStart w:id="3677" w:name="eqmult_xls__This_spreadsheet_all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68"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3677"/>
    </w:p>
    <w:p>
      <w:pPr>
        <w:pStyle w:val="Para 31"/>
        <w:keepLines w:val="on"/>
      </w:pPr>
      <w:r>
        <w:t>eqmult.xls: Bảng tính này cho phép bạn ước tính tỷ lệ PEG cho một công ty tăng trưởng ổn định hoặc tăng trưởng cao, dựa trên các yếu tố cơ bản của nó.</w:t>
      </w:r>
    </w:p>
    <w:p>
      <w:bookmarkStart w:id="3678" w:name="Using_the_PEG_Ratio_for_Comparis_1"/>
      <w:bookmarkStart w:id="3679" w:name="Using_the_PEG_Ratio_for_Comparis"/>
      <w:pPr>
        <w:keepNext/>
        <w:pStyle w:val="Heading 3"/>
        <w:keepLines w:val="on"/>
      </w:pPr>
      <w:r>
        <w:t>Sử dụng tỷ lệ PEG để so sánh</w:t>
      </w:r>
      <w:bookmarkEnd w:id="3678"/>
      <w:bookmarkEnd w:id="3679"/>
    </w:p>
    <w:p>
      <w:pPr>
        <w:pStyle w:val="Para 03"/>
      </w:pPr>
      <w:r>
        <w:t>Giống như tỷ lệ PE, tỷ lệ PEG được sử dụng để so sánh định giá của các công ty cùng hoạt động trong một lĩnh vực kinh doanh. Như đã đề cập trong phần trước, tỷ lệ PEG là một hàm số của rủi ro, tiềm năng tăng trưởng và tỷ lệ chi trả cổ tức của một công ty. Phần này xem xét các cách sử dụng tỷ lệ PEG và xem xét một số vấn đề trong việc so sánh tỷ lệ PEG giữa các công ty.</w:t>
      </w:r>
    </w:p>
    <w:p>
      <w:bookmarkStart w:id="3680" w:name="Direct_Comparisons"/>
      <w:bookmarkStart w:id="3681" w:name="Direct_Comparisons__Most_analyst"/>
      <w:pPr>
        <w:keepNext/>
        <w:pStyle w:val="Heading 4"/>
        <w:keepLines w:val="on"/>
      </w:pPr>
      <w:r>
        <w:t>So sánh trực tiếp</w:t>
      </w:r>
      <w:bookmarkEnd w:id="3680"/>
      <w:bookmarkEnd w:id="3681"/>
    </w:p>
    <w:p>
      <w:pPr>
        <w:pStyle w:val="Para 03"/>
      </w:pPr>
      <w:r>
        <w:t>Hầu hết các nhà phân tích sử dụng tỷ lệ PEG đều tính toán chúng cho các công ty trong cùng một ngành (hoặc nhóm công ty tương đương) và so sánh các tỷ lệ này. Các công ty có tỷ lệ PEG thấp hơn thường được xem là bị định giá thấp, ngay cả khi tốc độ tăng trưởng khác nhau giữa các công ty được so sánh. Cách tiếp cận này dựa trên nhận thức không chính xác rằng tỷ lệ PEG kiểm soát được sự khác biệt về tăng trưởng. Thực tế, việc so sánh trực tiếp tỷ lệ PEG chỉ hiệu quả nếu các công ty tương đồng về tiềm năng tăng trưởng, rủi ro và tỷ lệ chi trả cổ tức (hoặc tỷ suất sinh lợi trên vốn chủ sở hữu). Tuy nhiên, nếu đúng như vậy, bạn cũng có thể dễ dàng so sánh tỷ lệ PE giữa các công ty.</w:t>
      </w:r>
    </w:p>
    <w:p>
      <w:pPr>
        <w:pStyle w:val="Para 03"/>
      </w:pPr>
      <w:r>
        <w:t>Khi tỷ lệ PEG được so sánh giữa các công ty có đặc điểm rủi ro, tăng trưởng, chi trả cổ tức khác nhau, và các đánh giá về định giá được đưa ra dựa trên sự so sánh này, bạn sẽ có xu hướng nhận thấy rằng:</w:t>
      </w:r>
    </w:p>
    <w:p>
      <w:pPr>
        <w:numPr>
          <w:ilvl w:val="0"/>
          <w:numId w:val="176"/>
        </w:numPr>
        <w:pStyle w:val="Para 01"/>
      </w:pPr>
      <w:r>
        <w:t>Mối quan hệ giữa tăng trưởng và tỷ lệ PEG là một mối quan hệ khó lường. Ban đầu, khi tăng trưởng tăng lên, tỷ lệ PEG giảm xuống, nhưng đến một điểm nào đó mối quan hệ này đảo ngược. Nói cách khác, các công ty có tốc độ tăng trưởng rất thấp hoặc rất cao sẽ có tỷ lệ PEG cao hơn các công ty có tốc độ tăng trưởng ở mức trung bình. (Xem Hình 18.8.)</w:t>
      </w:r>
    </w:p>
    <w:p>
      <w:pPr>
        <w:numPr>
          <w:ilvl w:val="0"/>
          <w:numId w:val="176"/>
        </w:numPr>
        <w:pStyle w:val="Para 01"/>
      </w:pPr>
      <w:r>
        <w:t>Các công ty rủi ro hơn sẽ có tỷ lệ PEG thấp hơn và trông có vẻ bị định giá thấp hơn so với các công ty ít rủi ro hơn, vì tỷ lệ PEG có xu hướng giảm khi rủi ro của công ty tăng lên (xem Hình 18.9).</w:t>
      </w:r>
    </w:p>
    <w:p>
      <w:pPr>
        <w:numPr>
          <w:ilvl w:val="0"/>
          <w:numId w:val="176"/>
        </w:numPr>
        <w:pStyle w:val="Para 01"/>
      </w:pPr>
      <w:r>
        <w:t>Các công ty có tỷ suất sinh lợi trên vốn chủ sở hữu thấp hơn (hoặc tỷ lệ chi trả cổ tức thấp hơn) sẽ có tỷ lệ PEG thấp hơn và trông có vẻ bị định giá thấp hơn so với các công ty có tỷ suất sinh lợi trên vốn chủ sở hữu cao hơn và tỷ lệ chi trả cổ tức cao hơn (xem Hình 18.10).</w:t>
      </w:r>
    </w:p>
    <w:p>
      <w:pPr>
        <w:pStyle w:val="Para 03"/>
      </w:pPr>
      <w:r>
        <w:t>Nói ngắn gọn, những công ty trông có vẻ bị định giá thấp khi so sánh trực tiếp các tỷ lệ PEG (tỷ lệ giá trên tăng trưởng) có thể thực chất là những công ty có rủi ro cao hơn hoặc lợi nhuận trên vốn chủ sở hữu thấp hơn, và thực tế lại đang được định giá đúng.</w:t>
      </w:r>
    </w:p>
    <w:p>
      <w:bookmarkStart w:id="3683" w:name="Controlled_Comparisons"/>
      <w:bookmarkStart w:id="3684" w:name="Controlled_Comparisons__When_com"/>
      <w:pPr>
        <w:keepNext/>
        <w:pStyle w:val="Heading 4"/>
        <w:keepLines w:val="on"/>
      </w:pPr>
      <w:r>
        <w:t>So sánh có kiểm soát</w:t>
      </w:r>
      <w:bookmarkEnd w:id="3683"/>
      <w:bookmarkEnd w:id="3684"/>
    </w:p>
    <w:p>
      <w:pPr>
        <w:pStyle w:val="Para 03"/>
      </w:pPr>
      <w:r>
        <w:t>Khi so sánh tỷ lệ PEG giữa các công ty, điều quan trọng là bạn phải kiểm soát sự khác biệt về rủi ro, tăng trưởng và tỷ lệ chi trả cổ tức khi thực hiện so sánh. Mặc dù bạn có thể cố gắng làm điều này một cách chủ quan, nhưng mối quan hệ phức tạp giữa tỷ lệ PEG và các yếu tố cơ bản này có thể là một thách thức. Một hướng đi hứa hẹn hơn nhiều là sử dụng phương pháp hồi quy (regression) đã được đề xuất cho tỷ lệ PE, và liên hệ tỷ lệ PEG của các công ty được so sánh với các thước đo về rủi ro, tiềm năng tăng trưởng và tỷ lệ chi trả cổ tức.</w:t>
      </w:r>
    </w:p>
    <w:p>
      <w:pPr>
        <w:pStyle w:val="Para 03"/>
      </w:pPr>
      <w:r>
        <w:t>Cũng như với tỷ lệ PE, các công ty so sánh trong phân tích này có thể được định nghĩa theo phạm vi hẹp (như những công ty khác trông giống hệt công ty bạn đang định giá), rộng hơn là các công ty trong cùng lĩnh vực, hoặc là tất cả các công ty trên thị trường. Khi chạy các hồi quy này, tất cả những lưu ý đã được trình bày cho hồi quy PE vẫn còn áp dụng. Các biến độc lập vẫn tương quan với nhau, và mối quan hệ vừa không ổn định vừa có khả năng phi tuyến. Thực tế, Hình 18.11, cung cấp biểu đồ phân tán của tỷ lệ PEG so với tốc độ tăng trưởng cho tất cả cổ phiếu Mỹ vào tháng 1 năm 2024, cho thấy mức độ phi tuyến.</w:t>
      </w:r>
    </w:p>
    <w:p>
      <w:pPr>
        <w:pStyle w:val="Para 20"/>
      </w:pPr>
      <w:r>
        <w:rPr>
          <w:rStyle w:val="Text26"/>
        </w:rPr>
        <w:bookmarkStart w:id="3686" w:name="Page_563"/>
        <w:t/>
        <w:bookmarkEnd w:id="3686"/>
      </w:r>
      <w:r>
        <w:t xml:space="preserve"> </w:t>
      </w:r>
    </w:p>
    <w:p>
      <w:bookmarkStart w:id="3687" w:name="Figure_18_11_PEG_Ratios_versus_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24100" cy="1320800"/>
            <wp:effectExtent l="0" r="0" t="0" b="0"/>
            <wp:wrapTopAndBottom/>
            <wp:docPr id="169" name="c18f011.png" descr="Scatterplot titled, Broad Group: United States, plots a cluster of data on P E G and expected growth rate in E P S−next 5 years axes."/>
            <wp:cNvGraphicFramePr>
              <a:graphicFrameLocks noChangeAspect="1"/>
            </wp:cNvGraphicFramePr>
            <a:graphic>
              <a:graphicData uri="http://schemas.openxmlformats.org/drawingml/2006/picture">
                <pic:pic>
                  <pic:nvPicPr>
                    <pic:cNvPr id="0" name="c18f011.png" descr="Scatterplot titled, Broad Group: United States, plots a cluster of data on P E G and expected growth rate in E P S−next 5 years axes."/>
                    <pic:cNvPicPr/>
                  </pic:nvPicPr>
                  <pic:blipFill>
                    <a:blip r:embed="rId119"/>
                    <a:stretch>
                      <a:fillRect/>
                    </a:stretch>
                  </pic:blipFill>
                  <pic:spPr>
                    <a:xfrm>
                      <a:off x="0" y="0"/>
                      <a:ext cx="2324100" cy="1320800"/>
                    </a:xfrm>
                    <a:prstGeom prst="rect">
                      <a:avLst/>
                    </a:prstGeom>
                  </pic:spPr>
                </pic:pic>
              </a:graphicData>
            </a:graphic>
          </wp:anchor>
        </w:drawing>
      </w:r>
      <w:bookmarkEnd w:id="3687"/>
    </w:p>
    <w:p>
      <w:pPr>
        <w:keepNext/>
        <w:pStyle w:val="Para 22"/>
        <w:keepLines w:val="on"/>
      </w:pPr>
      <w:r>
        <w:t>Hình 18.11 Tỷ lệ PEG so với tốc độ tăng trưởng kỳ vọng—Tháng 1 năm 2024</w:t>
      </w:r>
    </w:p>
    <w:p>
      <w:pPr>
        <w:pStyle w:val="Para 03"/>
      </w:pPr>
      <w:r>
        <w:t>Khi chạy hồi quy, đặc biệt khi mẫu chứa các công ty có mức tăng trưởng rất khác nhau, bạn có thể biến đổi tốc độ tăng trưởng để làm cho mối quan hệ trở nên tuyến tính hơn. Ví dụ, biểu đồ phân tán của tỷ lệ PEG so với logarit tự nhiên của tốc độ tăng trưởng kỳ vọng cho thấy một mối quan hệ tuyến tính hơn nhiều, như được chứng minh trong Hình 18.12.</w:t>
      </w:r>
    </w:p>
    <w:p>
      <w:bookmarkStart w:id="3689" w:name="Figure_18_12_PEG_Ratios_versus_l"/>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36800" cy="1320800"/>
            <wp:effectExtent l="0" r="0" t="0" b="0"/>
            <wp:wrapTopAndBottom/>
            <wp:docPr id="170" name="c18f012.png" descr="Scatterplot titled, Broad Group: United States, plots a cluster of data on P E G and ingrowth axes."/>
            <wp:cNvGraphicFramePr>
              <a:graphicFrameLocks noChangeAspect="1"/>
            </wp:cNvGraphicFramePr>
            <a:graphic>
              <a:graphicData uri="http://schemas.openxmlformats.org/drawingml/2006/picture">
                <pic:pic>
                  <pic:nvPicPr>
                    <pic:cNvPr id="0" name="c18f012.png" descr="Scatterplot titled, Broad Group: United States, plots a cluster of data on P E G and ingrowth axes."/>
                    <pic:cNvPicPr/>
                  </pic:nvPicPr>
                  <pic:blipFill>
                    <a:blip r:embed="rId120"/>
                    <a:stretch>
                      <a:fillRect/>
                    </a:stretch>
                  </pic:blipFill>
                  <pic:spPr>
                    <a:xfrm>
                      <a:off x="0" y="0"/>
                      <a:ext cx="2336800" cy="1320800"/>
                    </a:xfrm>
                    <a:prstGeom prst="rect">
                      <a:avLst/>
                    </a:prstGeom>
                  </pic:spPr>
                </pic:pic>
              </a:graphicData>
            </a:graphic>
          </wp:anchor>
        </w:drawing>
      </w:r>
      <w:bookmarkEnd w:id="3689"/>
    </w:p>
    <w:p>
      <w:pPr>
        <w:keepNext/>
        <w:pStyle w:val="Para 22"/>
        <w:keepLines w:val="on"/>
      </w:pPr>
      <w:r>
        <w:t>Hình 18.12 Tỷ lệ PEG so với ln(Tăng trưởng kỳ vọng)—Tháng 1 năm 2024</w:t>
      </w:r>
    </w:p>
    <w:p>
      <w:pPr>
        <w:pStyle w:val="Para 03"/>
      </w:pPr>
      <w:r>
        <w:t>Kết quả của hồi quy tỷ lệ PEG so với ln(tăng trưởng kỳ vọng), beta, và tỷ lệ chi trả cổ tức được báo cáo ở đây cho các thị trường, phân theo khu vực địa lý, vào tháng 1 năm 2024, được trình bày trong Bảng 18.17.</w:t>
      </w:r>
    </w:p>
    <w:p>
      <w:pPr>
        <w:pStyle w:val="Para 34"/>
        <w:keepLines w:val="on"/>
      </w:pPr>
      <w:r>
        <w:t>Bảng 18.17</w:t>
      </w:r>
    </w:p>
    <w:p>
      <w:pPr>
        <w:keepNext/>
        <w:pStyle w:val="Para 35"/>
        <w:keepLines w:val="on"/>
      </w:pPr>
      <w:r>
        <w:t>Hồi quy thị trường PEG—Đầu năm 2024</w:t>
      </w:r>
    </w:p>
    <w:tbl>
      <w:tblPr>
        <w:tblW w:type="auto" w:w="0"/>
      </w:tblPr>
      <w:tr>
        <w:tc>
          <w:tcPr>
            <w:tcW w:type="auto" w:w="0"/>
          </w:tcPr>
          <w:tbl>
            <w:tblPr>
              <w:tblW w:type="auto" w:w="0"/>
            </w:tblPr>
            <w:tr>
              <w:tc>
                <w:tcPr>
                  <w:tcW w:type="auto" w:w="0"/>
                  <w:shd w:val="clear" w:color="auto" w:fill="F0F0F0"/>
                </w:tcPr>
                <w:p>
                  <w:pPr>
                    <w:pStyle w:val="Para 29"/>
                    <w:keepLines w:val="on"/>
                  </w:pPr>
                  <w:r>
                    <w:t>Khu vực</w:t>
                  </w:r>
                </w:p>
              </w:tc>
              <w:tc>
                <w:tcPr>
                  <w:tcW w:type="auto" w:w="0"/>
                  <w:shd w:val="clear" w:color="auto" w:fill="F0F0F0"/>
                </w:tcPr>
                <w:p>
                  <w:pPr>
                    <w:pStyle w:val="Para 17"/>
                    <w:keepLines w:val="on"/>
                  </w:pPr>
                  <w:r>
                    <w:t>Hồi quy</w:t>
                  </w:r>
                </w:p>
              </w:tc>
              <w:tc>
                <w:tcPr>
                  <w:tcW w:type="auto" w:w="0"/>
                  <w:shd w:val="clear" w:color="auto" w:fill="F0F0F0"/>
                </w:tcPr>
                <w:p>
                  <w:pPr>
                    <w:pStyle w:val="Para 17"/>
                    <w:keepLines w:val="on"/>
                  </w:pPr>
                  <w:r>
                    <w:t>R-squared</w:t>
                  </w:r>
                </w:p>
              </w:tc>
            </w:tr>
            <w:tr>
              <w:tc>
                <w:tcPr>
                  <w:tcW w:type="auto" w:w="0"/>
                  <w:shd w:val="clear" w:color="auto" w:fill="F0F0F0"/>
                </w:tcPr>
                <w:p>
                  <w:pPr>
                    <w:pStyle w:val="Para 02"/>
                    <w:keepLines w:val="on"/>
                  </w:pPr>
                  <w:r>
                    <w:t>Hoa Kỳ</w:t>
                  </w:r>
                </w:p>
              </w:tc>
              <w:tc>
                <w:tcPr>
                  <w:tcW w:type="auto" w:w="0"/>
                  <w:shd w:val="clear" w:color="auto" w:fill="F0F0F0"/>
                </w:tcPr>
                <w:p>
                  <w:pPr>
                    <w:pStyle w:val="Para 02"/>
                    <w:keepLines w:val="on"/>
                  </w:pPr>
                  <w:r>
                    <w:t>PEG = 0.24 + 0.87 Payout − 0.58 ln(gEPS) − 1.28 Beta</w:t>
                  </w:r>
                </w:p>
              </w:tc>
              <w:tc>
                <w:tcPr>
                  <w:tcW w:type="auto" w:w="0"/>
                  <w:shd w:val="clear" w:color="auto" w:fill="F0F0F0"/>
                </w:tcPr>
                <w:p>
                  <w:pPr>
                    <w:pStyle w:val="Normal"/>
                    <w:keepLines w:val="on"/>
                  </w:pPr>
                  <w:r>
                    <w:t>8.6%</w:t>
                  </w:r>
                </w:p>
              </w:tc>
            </w:tr>
            <w:tr>
              <w:tc>
                <w:tcPr>
                  <w:tcW w:type="auto" w:w="0"/>
                  <w:shd w:val="clear" w:color="auto" w:fill="F0F0F0"/>
                </w:tcPr>
                <w:p>
                  <w:pPr>
                    <w:pStyle w:val="Para 02"/>
                    <w:keepLines w:val="on"/>
                  </w:pPr>
                  <w:r>
                    <w:t>Châu Âu</w:t>
                  </w:r>
                </w:p>
              </w:tc>
              <w:tc>
                <w:tcPr>
                  <w:tcW w:type="auto" w:w="0"/>
                  <w:shd w:val="clear" w:color="auto" w:fill="F0F0F0"/>
                </w:tcPr>
                <w:p>
                  <w:pPr>
                    <w:pStyle w:val="Para 02"/>
                    <w:keepLines w:val="on"/>
                  </w:pPr>
                  <w:r>
                    <w:t>PEG = 0.42 + 0.96 Payout − 0.92 ln(gEPS) − 0.12 Beta</w:t>
                  </w:r>
                </w:p>
              </w:tc>
              <w:tc>
                <w:tcPr>
                  <w:tcW w:type="auto" w:w="0"/>
                  <w:shd w:val="clear" w:color="auto" w:fill="F0F0F0"/>
                </w:tcPr>
                <w:p>
                  <w:pPr>
                    <w:pStyle w:val="Normal"/>
                    <w:keepLines w:val="on"/>
                  </w:pPr>
                  <w:r>
                    <w:t>19.5%</w:t>
                  </w:r>
                </w:p>
              </w:tc>
            </w:tr>
            <w:tr>
              <w:tc>
                <w:tcPr>
                  <w:tcW w:type="auto" w:w="0"/>
                  <w:shd w:val="clear" w:color="auto" w:fill="F0F0F0"/>
                </w:tcPr>
                <w:p>
                  <w:pPr>
                    <w:pStyle w:val="Para 02"/>
                    <w:keepLines w:val="on"/>
                  </w:pPr>
                  <w:r>
                    <w:t>Nhật Bản</w:t>
                  </w:r>
                </w:p>
              </w:tc>
              <w:tc>
                <w:tcPr>
                  <w:tcW w:type="auto" w:w="0"/>
                  <w:shd w:val="clear" w:color="auto" w:fill="F0F0F0"/>
                </w:tcPr>
                <w:p>
                  <w:pPr>
                    <w:pStyle w:val="Para 02"/>
                    <w:keepLines w:val="on"/>
                  </w:pPr>
                  <w:r>
                    <w:t>PEG = −0.31 Payout − 1.06 ln(gEPS) + 0.16 Beta</w:t>
                  </w:r>
                </w:p>
              </w:tc>
              <w:tc>
                <w:tcPr>
                  <w:tcW w:type="auto" w:w="0"/>
                  <w:shd w:val="clear" w:color="auto" w:fill="F0F0F0"/>
                </w:tcPr>
                <w:p>
                  <w:pPr>
                    <w:pStyle w:val="Normal"/>
                    <w:keepLines w:val="on"/>
                  </w:pPr>
                  <w:r>
                    <w:t>23.2%</w:t>
                  </w:r>
                </w:p>
              </w:tc>
            </w:tr>
            <w:tr>
              <w:tc>
                <w:tcPr>
                  <w:tcW w:type="auto" w:w="0"/>
                  <w:shd w:val="clear" w:color="auto" w:fill="F0F0F0"/>
                </w:tcPr>
                <w:p>
                  <w:pPr>
                    <w:pStyle w:val="Para 02"/>
                    <w:keepLines w:val="on"/>
                  </w:pPr>
                  <w:r>
                    <w:t>Úc, NZ, &amp; Canada</w:t>
                  </w:r>
                </w:p>
              </w:tc>
              <w:tc>
                <w:tcPr>
                  <w:tcW w:type="auto" w:w="0"/>
                  <w:shd w:val="clear" w:color="auto" w:fill="F0F0F0"/>
                </w:tcPr>
                <w:p>
                  <w:pPr>
                    <w:pStyle w:val="Para 02"/>
                    <w:keepLines w:val="on"/>
                  </w:pPr>
                  <w:r>
                    <w:t>PEG = 0.05 + 0.32 Payout − 1.64 ln(gEPS) − 0.54 Beta</w:t>
                  </w:r>
                </w:p>
              </w:tc>
              <w:tc>
                <w:tcPr>
                  <w:tcW w:type="auto" w:w="0"/>
                  <w:shd w:val="clear" w:color="auto" w:fill="F0F0F0"/>
                </w:tcPr>
                <w:p>
                  <w:pPr>
                    <w:pStyle w:val="Normal"/>
                    <w:keepLines w:val="on"/>
                  </w:pPr>
                  <w:r>
                    <w:t>46.2%</w:t>
                  </w:r>
                </w:p>
              </w:tc>
            </w:tr>
            <w:tr>
              <w:tc>
                <w:tcPr>
                  <w:tcW w:type="auto" w:w="0"/>
                  <w:shd w:val="clear" w:color="auto" w:fill="F0F0F0"/>
                </w:tcPr>
                <w:p>
                  <w:pPr>
                    <w:pStyle w:val="Para 02"/>
                    <w:keepLines w:val="on"/>
                  </w:pPr>
                  <w:r>
                    <w:t>Thị trường mới nổi</w:t>
                  </w:r>
                </w:p>
              </w:tc>
              <w:tc>
                <w:tcPr>
                  <w:tcW w:type="auto" w:w="0"/>
                  <w:shd w:val="clear" w:color="auto" w:fill="F0F0F0"/>
                </w:tcPr>
                <w:p>
                  <w:pPr>
                    <w:pStyle w:val="Para 02"/>
                    <w:keepLines w:val="on"/>
                  </w:pPr>
                  <w:r>
                    <w:t>PEG = 1.06 + 0.20 Payout − 0.43 ln(gEPS) − 0.12 Beta</w:t>
                  </w:r>
                </w:p>
              </w:tc>
              <w:tc>
                <w:tcPr>
                  <w:tcW w:type="auto" w:w="0"/>
                  <w:shd w:val="clear" w:color="auto" w:fill="F0F0F0"/>
                </w:tcPr>
                <w:p>
                  <w:pPr>
                    <w:pStyle w:val="Normal"/>
                    <w:keepLines w:val="on"/>
                  </w:pPr>
                  <w:r>
                    <w:t>9.0%</w:t>
                  </w:r>
                </w:p>
              </w:tc>
            </w:tr>
            <w:tr>
              <w:tc>
                <w:tcPr>
                  <w:tcW w:type="auto" w:w="0"/>
                  <w:shd w:val="clear" w:color="auto" w:fill="F0F0F0"/>
                </w:tcPr>
                <w:p>
                  <w:pPr>
                    <w:pStyle w:val="Para 02"/>
                    <w:keepLines w:val="on"/>
                  </w:pPr>
                  <w:r>
                    <w:t>Toàn cầu</w:t>
                  </w:r>
                </w:p>
              </w:tc>
              <w:tc>
                <w:tcPr>
                  <w:tcW w:type="auto" w:w="0"/>
                  <w:shd w:val="clear" w:color="auto" w:fill="F0F0F0"/>
                </w:tcPr>
                <w:p>
                  <w:pPr>
                    <w:pStyle w:val="Para 02"/>
                    <w:keepLines w:val="on"/>
                  </w:pPr>
                  <w:r>
                    <w:t>PEG = 1.21 + 0.17 Payout − 0.70 ln(gEPS) + 0.001 Beta</w:t>
                  </w:r>
                </w:p>
              </w:tc>
              <w:tc>
                <w:tcPr>
                  <w:tcW w:type="auto" w:w="0"/>
                  <w:shd w:val="clear" w:color="auto" w:fill="F0F0F0"/>
                </w:tcPr>
                <w:p>
                  <w:pPr>
                    <w:pStyle w:val="Normal"/>
                    <w:keepLines w:val="on"/>
                  </w:pPr>
                  <w:r>
                    <w:t>8.0%</w:t>
                  </w:r>
                </w:p>
              </w:tc>
            </w:tr>
          </w:tbl>
          <w:p/>
        </w:tc>
      </w:tr>
    </w:tbl>
    <w:p>
      <w:pPr>
        <w:pStyle w:val="Para 03"/>
      </w:pPr>
      <w:r>
        <w:t>Chỉ số R-squared thấp cho thấy những vấn đề tồn tại với bội số này và những khó khăn bạn sẽ gặp phải khi dùng nó để so sánh giữa các công ty. Thực tế, việc yêu cầu phải có tốc độ tăng trưởng thu nhập kỳ vọng dài hạn không chỉ làm giảm đáng kể kích thước mẫu, mà còn tạo ra sai lệch, bởi vì những công ty nhỏ hơn không được các nhà phân tích theo dõi và những công ty ở thị trường mới nổi ít được phân tích sẽ bị mất khỏi mẫu.</w:t>
      </w:r>
    </w:p>
    <w:p>
      <w:pPr>
        <w:pStyle w:val="Para 11"/>
      </w:pPr>
      <w:r>
        <w:t/>
        <w:t xml:space="preserve"> </w:t>
      </w:r>
      <w:r>
        <w:rPr>
          <w:rStyle w:val="Text26"/>
        </w:rPr>
        <w:bookmarkStart w:id="3691" w:name="Page_564"/>
        <w:t/>
        <w:bookmarkEnd w:id="3691"/>
      </w:r>
      <w:r>
        <w:t xml:space="preserve"> </w:t>
      </w:r>
    </w:p>
    <w:p>
      <w:bookmarkStart w:id="3692" w:name="ILLUSTRATION_18_11__Revisiting_t"/>
      <w:bookmarkStart w:id="3693" w:name="ILLUSTRATION_18_11__Revisiting_t_1"/>
      <w:pPr>
        <w:keepNext/>
        <w:pStyle w:val="Para 19"/>
        <w:keepLines w:val="on"/>
      </w:pPr>
      <w:r>
        <w:t>MINH HỌA 18.11: Xem lại Ngành Đồ uống năm 2001—Tỷ lệ PEG</w:t>
      </w:r>
      <w:bookmarkEnd w:id="3692"/>
      <w:bookmarkEnd w:id="3693"/>
    </w:p>
    <w:p>
      <w:pPr>
        <w:pStyle w:val="Para 04"/>
        <w:keepLines w:val="on"/>
      </w:pPr>
      <w:r>
        <w:t>Trong chương trước, chúng ta đã xem xét tỷ lệ PE của các công ty đồ uống và đánh giá liệu Andres Wine có rẻ hay không vì nó giao dịch ở tỷ lệ PE thấp. Vì có sự khác biệt đáng kể về tốc độ tăng trưởng kỳ vọng giữa các công ty trong ngành, trong Bảng 18.18, chúng ta đã tính tỷ lệ PEG cho các công ty và báo cáo chúng cùng với độ lệch chuẩn hàng năm của giá cổ phiếu trong hai năm trước đó:</w:t>
      </w:r>
    </w:p>
    <w:p>
      <w:pPr>
        <w:pStyle w:val="Para 25"/>
        <w:keepLines w:val="on"/>
      </w:pPr>
      <w:r>
        <w:t>Bảng 18.18</w:t>
      </w:r>
    </w:p>
    <w:p>
      <w:pPr>
        <w:keepNext/>
        <w:pStyle w:val="Para 24"/>
        <w:keepLines w:val="on"/>
      </w:pPr>
      <w:r>
        <w:t>Tỷ lệ PEG cho các công ty Đồ uống</w:t>
      </w:r>
    </w:p>
    <w:tbl>
      <w:tblPr>
        <w:tblW w:type="auto" w:w="0"/>
      </w:tblPr>
      <w:tr>
        <w:tc>
          <w:tcPr>
            <w:tcW w:type="auto" w:w="0"/>
          </w:tcPr>
          <w:tbl>
            <w:tblPr>
              <w:tblW w:type="auto" w:w="0"/>
            </w:tblPr>
            <w:tr>
              <w:tc>
                <w:tcPr>
                  <w:tcW w:type="auto" w:w="0"/>
                  <w:shd w:val="clear" w:color="auto" w:fill="F0F0F0"/>
                  <w:vAlign w:val="bottom"/>
                </w:tcPr>
                <w:p>
                  <w:pPr>
                    <w:pStyle w:val="Para 32"/>
                    <w:keepLines w:val="on"/>
                  </w:pPr>
                  <w:r>
                    <w:t>Tên công ty</w:t>
                  </w:r>
                </w:p>
              </w:tc>
              <w:tc>
                <w:tcPr>
                  <w:tcW w:type="auto" w:w="0"/>
                  <w:shd w:val="clear" w:color="auto" w:fill="F0F0F0"/>
                  <w:vAlign w:val="bottom"/>
                </w:tcPr>
                <w:p>
                  <w:pPr>
                    <w:pStyle w:val="Para 05"/>
                    <w:keepLines w:val="on"/>
                  </w:pPr>
                  <w:r>
                    <w:t>PE theo dõi</w:t>
                  </w:r>
                </w:p>
              </w:tc>
              <w:tc>
                <w:tcPr>
                  <w:tcW w:type="auto" w:w="0"/>
                  <w:shd w:val="clear" w:color="auto" w:fill="F0F0F0"/>
                  <w:vAlign w:val="bottom"/>
                </w:tcPr>
                <w:p>
                  <w:pPr>
                    <w:pStyle w:val="Para 05"/>
                    <w:keepLines w:val="on"/>
                  </w:pPr>
                  <w:r>
                    <w:t>Tăng trưởng kỳ vọng</w:t>
                  </w:r>
                </w:p>
              </w:tc>
              <w:tc>
                <w:tcPr>
                  <w:tcW w:type="auto" w:w="0"/>
                  <w:shd w:val="clear" w:color="auto" w:fill="F0F0F0"/>
                  <w:vAlign w:val="bottom"/>
                </w:tcPr>
                <w:p>
                  <w:pPr>
                    <w:pStyle w:val="Para 05"/>
                    <w:keepLines w:val="on"/>
                  </w:pPr>
                  <w:r>
                    <w:t>Độ lệch chuẩn</w:t>
                  </w:r>
                </w:p>
              </w:tc>
              <w:tc>
                <w:tcPr>
                  <w:tcW w:type="auto" w:w="0"/>
                  <w:shd w:val="clear" w:color="auto" w:fill="F0F0F0"/>
                  <w:vAlign w:val="bottom"/>
                </w:tcPr>
                <w:p>
                  <w:pPr>
                    <w:pStyle w:val="Para 05"/>
                    <w:keepLines w:val="on"/>
                  </w:pPr>
                  <w:r>
                    <w:t>PEG</w:t>
                  </w:r>
                </w:p>
              </w:tc>
            </w:tr>
            <w:tr>
              <w:tc>
                <w:tcPr>
                  <w:tcW w:type="auto" w:w="0"/>
                  <w:shd w:val="clear" w:color="auto" w:fill="F0F0F0"/>
                </w:tcPr>
                <w:p>
                  <w:pPr>
                    <w:pStyle w:val="Para 02"/>
                    <w:keepLines w:val="on"/>
                  </w:pPr>
                  <w:r>
                    <w:t>Coca-Cola Bottling</w:t>
                  </w:r>
                </w:p>
              </w:tc>
              <w:tc>
                <w:tcPr>
                  <w:tcW w:type="auto" w:w="0"/>
                  <w:shd w:val="clear" w:color="auto" w:fill="F0F0F0"/>
                </w:tcPr>
                <w:p>
                  <w:pPr>
                    <w:pStyle w:val="Normal"/>
                    <w:keepLines w:val="on"/>
                  </w:pPr>
                  <w:r>
                    <w:t>29.18</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20.58%</w:t>
                  </w:r>
                </w:p>
              </w:tc>
              <w:tc>
                <w:tcPr>
                  <w:tcW w:type="auto" w:w="0"/>
                  <w:shd w:val="clear" w:color="auto" w:fill="F0F0F0"/>
                </w:tcPr>
                <w:p>
                  <w:pPr>
                    <w:pStyle w:val="Normal"/>
                    <w:keepLines w:val="on"/>
                  </w:pPr>
                  <w:r>
                    <w:t>3.07</w:t>
                  </w:r>
                </w:p>
              </w:tc>
            </w:tr>
            <w:tr>
              <w:tc>
                <w:tcPr>
                  <w:tcW w:type="auto" w:w="0"/>
                  <w:shd w:val="clear" w:color="auto" w:fill="F0F0F0"/>
                </w:tcPr>
                <w:p>
                  <w:pPr>
                    <w:pStyle w:val="Para 02"/>
                    <w:keepLines w:val="on"/>
                  </w:pPr>
                  <w:r>
                    <w:t>Molson Inc. Ltd. “A”</w:t>
                  </w:r>
                </w:p>
              </w:tc>
              <w:tc>
                <w:tcPr>
                  <w:tcW w:type="auto" w:w="0"/>
                  <w:shd w:val="clear" w:color="auto" w:fill="F0F0F0"/>
                </w:tcPr>
                <w:p>
                  <w:pPr>
                    <w:pStyle w:val="Normal"/>
                    <w:keepLines w:val="on"/>
                  </w:pPr>
                  <w:r>
                    <w:t>43.65</w:t>
                  </w:r>
                </w:p>
              </w:tc>
              <w:tc>
                <w:tcPr>
                  <w:tcW w:type="auto" w:w="0"/>
                  <w:shd w:val="clear" w:color="auto" w:fill="F0F0F0"/>
                </w:tcPr>
                <w:p>
                  <w:pPr>
                    <w:pStyle w:val="Normal"/>
                    <w:keepLines w:val="on"/>
                  </w:pPr>
                  <w:r>
                    <w:t>15.50%</w:t>
                  </w:r>
                </w:p>
              </w:tc>
              <w:tc>
                <w:tcPr>
                  <w:tcW w:type="auto" w:w="0"/>
                  <w:shd w:val="clear" w:color="auto" w:fill="F0F0F0"/>
                </w:tcPr>
                <w:p>
                  <w:pPr>
                    <w:pStyle w:val="Normal"/>
                    <w:keepLines w:val="on"/>
                  </w:pPr>
                  <w:r>
                    <w:t>21.88%</w:t>
                  </w:r>
                </w:p>
              </w:tc>
              <w:tc>
                <w:tcPr>
                  <w:tcW w:type="auto" w:w="0"/>
                  <w:shd w:val="clear" w:color="auto" w:fill="F0F0F0"/>
                </w:tcPr>
                <w:p>
                  <w:pPr>
                    <w:pStyle w:val="Normal"/>
                    <w:keepLines w:val="on"/>
                  </w:pPr>
                  <w:r>
                    <w:t>2,82</w:t>
                  </w:r>
                </w:p>
              </w:tc>
            </w:tr>
            <w:tr>
              <w:tc>
                <w:tcPr>
                  <w:tcW w:type="auto" w:w="0"/>
                  <w:shd w:val="clear" w:color="auto" w:fill="F0F0F0"/>
                </w:tcPr>
                <w:p>
                  <w:pPr>
                    <w:pStyle w:val="Para 02"/>
                    <w:keepLines w:val="on"/>
                  </w:pPr>
                  <w:r>
                    <w:t>Anheuser-Busch 24.</w:t>
                  </w:r>
                </w:p>
              </w:tc>
              <w:tc>
                <w:tcPr>
                  <w:tcW w:type="auto" w:w="0"/>
                  <w:shd w:val="clear" w:color="auto" w:fill="F0F0F0"/>
                </w:tcPr>
                <w:p>
                  <w:pPr>
                    <w:pStyle w:val="Normal"/>
                    <w:keepLines w:val="on"/>
                  </w:pPr>
                  <w:r>
                    <w:t>31</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22,92%</w:t>
                  </w:r>
                </w:p>
              </w:tc>
              <w:tc>
                <w:tcPr>
                  <w:tcW w:type="auto" w:w="0"/>
                  <w:shd w:val="clear" w:color="auto" w:fill="F0F0F0"/>
                </w:tcPr>
                <w:p>
                  <w:pPr>
                    <w:pStyle w:val="Normal"/>
                    <w:keepLines w:val="on"/>
                  </w:pPr>
                  <w:r>
                    <w:t>2,21</w:t>
                  </w:r>
                </w:p>
              </w:tc>
            </w:tr>
            <w:tr>
              <w:tc>
                <w:tcPr>
                  <w:tcW w:type="auto" w:w="0"/>
                  <w:shd w:val="clear" w:color="auto" w:fill="F0F0F0"/>
                </w:tcPr>
                <w:p>
                  <w:pPr>
                    <w:pStyle w:val="Para 02"/>
                    <w:keepLines w:val="on"/>
                  </w:pPr>
                  <w:r>
                    <w:t>Corby Distilleries Ltd.</w:t>
                  </w:r>
                </w:p>
              </w:tc>
              <w:tc>
                <w:tcPr>
                  <w:tcW w:type="auto" w:w="0"/>
                  <w:shd w:val="clear" w:color="auto" w:fill="F0F0F0"/>
                </w:tcPr>
                <w:p>
                  <w:pPr>
                    <w:pStyle w:val="Normal"/>
                    <w:keepLines w:val="on"/>
                  </w:pPr>
                  <w:r>
                    <w:t>16,24</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23,66%</w:t>
                  </w:r>
                </w:p>
              </w:tc>
              <w:tc>
                <w:tcPr>
                  <w:tcW w:type="auto" w:w="0"/>
                  <w:shd w:val="clear" w:color="auto" w:fill="F0F0F0"/>
                </w:tcPr>
                <w:p>
                  <w:pPr>
                    <w:pStyle w:val="Normal"/>
                    <w:keepLines w:val="on"/>
                  </w:pPr>
                  <w:r>
                    <w:t>2,16</w:t>
                  </w:r>
                </w:p>
              </w:tc>
            </w:tr>
            <w:tr>
              <w:tc>
                <w:tcPr>
                  <w:tcW w:type="auto" w:w="0"/>
                  <w:shd w:val="clear" w:color="auto" w:fill="F0F0F0"/>
                </w:tcPr>
                <w:p>
                  <w:pPr>
                    <w:pStyle w:val="Para 02"/>
                    <w:keepLines w:val="on"/>
                  </w:pPr>
                  <w:r>
                    <w:t>Chalone Wine Group</w:t>
                  </w:r>
                </w:p>
              </w:tc>
              <w:tc>
                <w:tcPr>
                  <w:tcW w:type="auto" w:w="0"/>
                  <w:shd w:val="clear" w:color="auto" w:fill="F0F0F0"/>
                </w:tcPr>
                <w:p>
                  <w:pPr>
                    <w:pStyle w:val="Normal"/>
                    <w:keepLines w:val="on"/>
                  </w:pPr>
                  <w:r>
                    <w:t>21,76</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24,08%</w:t>
                  </w:r>
                </w:p>
              </w:tc>
              <w:tc>
                <w:tcPr>
                  <w:tcW w:type="auto" w:w="0"/>
                  <w:shd w:val="clear" w:color="auto" w:fill="F0F0F0"/>
                </w:tcPr>
                <w:p>
                  <w:pPr>
                    <w:pStyle w:val="Normal"/>
                    <w:keepLines w:val="on"/>
                  </w:pPr>
                  <w:r>
                    <w:t>1,55</w:t>
                  </w:r>
                </w:p>
              </w:tc>
            </w:tr>
            <w:tr>
              <w:tc>
                <w:tcPr>
                  <w:tcW w:type="auto" w:w="0"/>
                  <w:shd w:val="clear" w:color="auto" w:fill="F0F0F0"/>
                </w:tcPr>
                <w:p>
                  <w:pPr>
                    <w:pStyle w:val="Para 02"/>
                    <w:keepLines w:val="on"/>
                  </w:pPr>
                  <w:r>
                    <w:t>Andres Wines Ltd. “A”</w:t>
                  </w:r>
                </w:p>
              </w:tc>
              <w:tc>
                <w:tcPr>
                  <w:tcW w:type="auto" w:w="0"/>
                  <w:shd w:val="clear" w:color="auto" w:fill="F0F0F0"/>
                </w:tcPr>
                <w:p>
                  <w:pPr>
                    <w:pStyle w:val="Normal"/>
                    <w:keepLines w:val="on"/>
                  </w:pPr>
                  <w:r>
                    <w:t>8,96</w:t>
                  </w:r>
                </w:p>
              </w:tc>
              <w:tc>
                <w:tcPr>
                  <w:tcW w:type="auto" w:w="0"/>
                  <w:shd w:val="clear" w:color="auto" w:fill="F0F0F0"/>
                </w:tcPr>
                <w:p>
                  <w:pPr>
                    <w:pStyle w:val="Normal"/>
                    <w:keepLines w:val="on"/>
                  </w:pPr>
                  <w:r>
                    <w:t>3,50%</w:t>
                  </w:r>
                </w:p>
              </w:tc>
              <w:tc>
                <w:tcPr>
                  <w:tcW w:type="auto" w:w="0"/>
                  <w:shd w:val="clear" w:color="auto" w:fill="F0F0F0"/>
                </w:tcPr>
                <w:p>
                  <w:pPr>
                    <w:pStyle w:val="Normal"/>
                    <w:keepLines w:val="on"/>
                  </w:pPr>
                  <w:r>
                    <w:t>24,70%</w:t>
                  </w:r>
                </w:p>
              </w:tc>
              <w:tc>
                <w:tcPr>
                  <w:tcW w:type="auto" w:w="0"/>
                  <w:shd w:val="clear" w:color="auto" w:fill="F0F0F0"/>
                </w:tcPr>
                <w:p>
                  <w:pPr>
                    <w:pStyle w:val="Normal"/>
                    <w:keepLines w:val="on"/>
                  </w:pPr>
                  <w:r>
                    <w:t>2,56</w:t>
                  </w:r>
                </w:p>
              </w:tc>
            </w:tr>
            <w:tr>
              <w:tc>
                <w:tcPr>
                  <w:tcW w:type="auto" w:w="0"/>
                  <w:shd w:val="clear" w:color="auto" w:fill="F0F0F0"/>
                </w:tcPr>
                <w:p>
                  <w:pPr>
                    <w:pStyle w:val="Para 02"/>
                    <w:keepLines w:val="on"/>
                  </w:pPr>
                  <w:r>
                    <w:t>Todhunter Int’l</w:t>
                  </w:r>
                </w:p>
              </w:tc>
              <w:tc>
                <w:tcPr>
                  <w:tcW w:type="auto" w:w="0"/>
                  <w:shd w:val="clear" w:color="auto" w:fill="F0F0F0"/>
                </w:tcPr>
                <w:p>
                  <w:pPr>
                    <w:pStyle w:val="Normal"/>
                    <w:keepLines w:val="on"/>
                  </w:pPr>
                  <w:r>
                    <w:t>8,94</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25,74%</w:t>
                  </w:r>
                </w:p>
              </w:tc>
              <w:tc>
                <w:tcPr>
                  <w:tcW w:type="auto" w:w="0"/>
                  <w:shd w:val="clear" w:color="auto" w:fill="F0F0F0"/>
                </w:tcPr>
                <w:p>
                  <w:pPr>
                    <w:pStyle w:val="Normal"/>
                    <w:keepLines w:val="on"/>
                  </w:pPr>
                  <w:r>
                    <w:t>2.98</w:t>
                  </w:r>
                </w:p>
              </w:tc>
            </w:tr>
            <w:tr>
              <w:tc>
                <w:tcPr>
                  <w:tcW w:type="auto" w:w="0"/>
                  <w:shd w:val="clear" w:color="auto" w:fill="F0F0F0"/>
                </w:tcPr>
                <w:p>
                  <w:pPr>
                    <w:pStyle w:val="Para 02"/>
                    <w:keepLines w:val="on"/>
                  </w:pPr>
                  <w:r>
                    <w:t>Brown-Forman “B”</w:t>
                  </w:r>
                </w:p>
              </w:tc>
              <w:tc>
                <w:tcPr>
                  <w:tcW w:type="auto" w:w="0"/>
                  <w:shd w:val="clear" w:color="auto" w:fill="F0F0F0"/>
                </w:tcPr>
                <w:p>
                  <w:pPr>
                    <w:pStyle w:val="Normal"/>
                    <w:keepLines w:val="on"/>
                  </w:pPr>
                  <w:r>
                    <w:t>10.07</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29.43%</w:t>
                  </w:r>
                </w:p>
              </w:tc>
              <w:tc>
                <w:tcPr>
                  <w:tcW w:type="auto" w:w="0"/>
                  <w:shd w:val="clear" w:color="auto" w:fill="F0F0F0"/>
                </w:tcPr>
                <w:p>
                  <w:pPr>
                    <w:pStyle w:val="Normal"/>
                    <w:keepLines w:val="on"/>
                  </w:pPr>
                  <w:r>
                    <w:t>0.88</w:t>
                  </w:r>
                </w:p>
              </w:tc>
            </w:tr>
            <w:tr>
              <w:tc>
                <w:tcPr>
                  <w:tcW w:type="auto" w:w="0"/>
                  <w:shd w:val="clear" w:color="auto" w:fill="F0F0F0"/>
                </w:tcPr>
                <w:p>
                  <w:pPr>
                    <w:pStyle w:val="Para 02"/>
                    <w:keepLines w:val="on"/>
                  </w:pPr>
                  <w:r>
                    <w:t>Coors (Adolph) “B”</w:t>
                  </w:r>
                </w:p>
              </w:tc>
              <w:tc>
                <w:tcPr>
                  <w:tcW w:type="auto" w:w="0"/>
                  <w:shd w:val="clear" w:color="auto" w:fill="F0F0F0"/>
                </w:tcPr>
                <w:p>
                  <w:pPr>
                    <w:pStyle w:val="Normal"/>
                    <w:keepLines w:val="on"/>
                  </w:pPr>
                  <w:r>
                    <w:t>23.02</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29.52%</w:t>
                  </w:r>
                </w:p>
              </w:tc>
              <w:tc>
                <w:tcPr>
                  <w:tcW w:type="auto" w:w="0"/>
                  <w:shd w:val="clear" w:color="auto" w:fill="F0F0F0"/>
                </w:tcPr>
                <w:p>
                  <w:pPr>
                    <w:pStyle w:val="Normal"/>
                    <w:keepLines w:val="on"/>
                  </w:pPr>
                  <w:r>
                    <w:t>2.30</w:t>
                  </w:r>
                </w:p>
              </w:tc>
            </w:tr>
            <w:tr>
              <w:tc>
                <w:tcPr>
                  <w:tcW w:type="auto" w:w="0"/>
                  <w:shd w:val="clear" w:color="auto" w:fill="F0F0F0"/>
                </w:tcPr>
                <w:p>
                  <w:pPr>
                    <w:pStyle w:val="Para 02"/>
                    <w:keepLines w:val="on"/>
                  </w:pPr>
                  <w:r>
                    <w:t>PepsiCo, Inc.</w:t>
                  </w:r>
                </w:p>
              </w:tc>
              <w:tc>
                <w:tcPr>
                  <w:tcW w:type="auto" w:w="0"/>
                  <w:shd w:val="clear" w:color="auto" w:fill="F0F0F0"/>
                </w:tcPr>
                <w:p>
                  <w:pPr>
                    <w:pStyle w:val="Normal"/>
                    <w:keepLines w:val="on"/>
                  </w:pPr>
                  <w:r>
                    <w:t>33.00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31.35%</w:t>
                  </w:r>
                </w:p>
              </w:tc>
              <w:tc>
                <w:tcPr>
                  <w:tcW w:type="auto" w:w="0"/>
                  <w:shd w:val="clear" w:color="auto" w:fill="F0F0F0"/>
                </w:tcPr>
                <w:p>
                  <w:pPr>
                    <w:pStyle w:val="Normal"/>
                    <w:keepLines w:val="on"/>
                  </w:pPr>
                  <w:r>
                    <w:t>3.14</w:t>
                  </w:r>
                </w:p>
              </w:tc>
            </w:tr>
            <w:tr>
              <w:tc>
                <w:tcPr>
                  <w:tcW w:type="auto" w:w="0"/>
                  <w:shd w:val="clear" w:color="auto" w:fill="F0F0F0"/>
                </w:tcPr>
                <w:p>
                  <w:pPr>
                    <w:pStyle w:val="Para 02"/>
                    <w:keepLines w:val="on"/>
                  </w:pPr>
                  <w:r>
                    <w:t>Coco-Cola</w:t>
                  </w:r>
                </w:p>
              </w:tc>
              <w:tc>
                <w:tcPr>
                  <w:tcW w:type="auto" w:w="0"/>
                  <w:shd w:val="clear" w:color="auto" w:fill="F0F0F0"/>
                </w:tcPr>
                <w:p>
                  <w:pPr>
                    <w:pStyle w:val="Normal"/>
                    <w:keepLines w:val="on"/>
                  </w:pPr>
                  <w:r>
                    <w:t>44.33</w:t>
                  </w:r>
                </w:p>
              </w:tc>
              <w:tc>
                <w:tcPr>
                  <w:tcW w:type="auto" w:w="0"/>
                  <w:shd w:val="clear" w:color="auto" w:fill="F0F0F0"/>
                </w:tcPr>
                <w:p>
                  <w:pPr>
                    <w:pStyle w:val="Normal"/>
                    <w:keepLines w:val="on"/>
                  </w:pPr>
                  <w:r>
                    <w:t>19.00%</w:t>
                  </w:r>
                </w:p>
              </w:tc>
              <w:tc>
                <w:tcPr>
                  <w:tcW w:type="auto" w:w="0"/>
                  <w:shd w:val="clear" w:color="auto" w:fill="F0F0F0"/>
                </w:tcPr>
                <w:p>
                  <w:pPr>
                    <w:pStyle w:val="Normal"/>
                    <w:keepLines w:val="on"/>
                  </w:pPr>
                  <w:r>
                    <w:t>35.51%</w:t>
                  </w:r>
                </w:p>
              </w:tc>
              <w:tc>
                <w:tcPr>
                  <w:tcW w:type="auto" w:w="0"/>
                  <w:shd w:val="clear" w:color="auto" w:fill="F0F0F0"/>
                </w:tcPr>
                <w:p>
                  <w:pPr>
                    <w:pStyle w:val="Normal"/>
                    <w:keepLines w:val="on"/>
                  </w:pPr>
                  <w:r>
                    <w:t>2.33</w:t>
                  </w:r>
                </w:p>
              </w:tc>
            </w:tr>
            <w:tr>
              <w:tc>
                <w:tcPr>
                  <w:tcW w:type="auto" w:w="0"/>
                  <w:shd w:val="clear" w:color="auto" w:fill="F0F0F0"/>
                </w:tcPr>
                <w:p>
                  <w:pPr>
                    <w:pStyle w:val="Para 02"/>
                    <w:keepLines w:val="on"/>
                  </w:pPr>
                  <w:r>
                    <w:t>Boston Beer “A”</w:t>
                  </w:r>
                </w:p>
              </w:tc>
              <w:tc>
                <w:tcPr>
                  <w:tcW w:type="auto" w:w="0"/>
                  <w:shd w:val="clear" w:color="auto" w:fill="F0F0F0"/>
                </w:tcPr>
                <w:p>
                  <w:pPr>
                    <w:pStyle w:val="Normal"/>
                    <w:keepLines w:val="on"/>
                  </w:pPr>
                  <w:r>
                    <w:t>10.59</w:t>
                  </w:r>
                </w:p>
              </w:tc>
              <w:tc>
                <w:tcPr>
                  <w:tcW w:type="auto" w:w="0"/>
                  <w:shd w:val="clear" w:color="auto" w:fill="F0F0F0"/>
                </w:tcPr>
                <w:p>
                  <w:pPr>
                    <w:pStyle w:val="Normal"/>
                    <w:keepLines w:val="on"/>
                  </w:pPr>
                  <w:r>
                    <w:t>17.13%</w:t>
                  </w:r>
                </w:p>
              </w:tc>
              <w:tc>
                <w:tcPr>
                  <w:tcW w:type="auto" w:w="0"/>
                  <w:shd w:val="clear" w:color="auto" w:fill="F0F0F0"/>
                </w:tcPr>
                <w:p>
                  <w:pPr>
                    <w:pStyle w:val="Normal"/>
                    <w:keepLines w:val="on"/>
                  </w:pPr>
                  <w:r>
                    <w:t>39.58%</w:t>
                  </w:r>
                </w:p>
              </w:tc>
              <w:tc>
                <w:tcPr>
                  <w:tcW w:type="auto" w:w="0"/>
                  <w:shd w:val="clear" w:color="auto" w:fill="F0F0F0"/>
                </w:tcPr>
                <w:p>
                  <w:pPr>
                    <w:pStyle w:val="Normal"/>
                    <w:keepLines w:val="on"/>
                  </w:pPr>
                  <w:r>
                    <w:t>0,62</w:t>
                  </w:r>
                </w:p>
              </w:tc>
            </w:tr>
            <w:tr>
              <w:tc>
                <w:tcPr>
                  <w:tcW w:type="auto" w:w="0"/>
                  <w:shd w:val="clear" w:color="auto" w:fill="F0F0F0"/>
                </w:tcPr>
                <w:p>
                  <w:pPr>
                    <w:pStyle w:val="Para 02"/>
                    <w:keepLines w:val="on"/>
                  </w:pPr>
                  <w:r>
                    <w:t>Whitman Corp.</w:t>
                  </w:r>
                </w:p>
              </w:tc>
              <w:tc>
                <w:tcPr>
                  <w:tcW w:type="auto" w:w="0"/>
                  <w:shd w:val="clear" w:color="auto" w:fill="F0F0F0"/>
                </w:tcPr>
                <w:p>
                  <w:pPr>
                    <w:pStyle w:val="Normal"/>
                    <w:keepLines w:val="on"/>
                  </w:pPr>
                  <w:r>
                    <w:t>25,19</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44,26%</w:t>
                  </w:r>
                </w:p>
              </w:tc>
              <w:tc>
                <w:tcPr>
                  <w:tcW w:type="auto" w:w="0"/>
                  <w:shd w:val="clear" w:color="auto" w:fill="F0F0F0"/>
                </w:tcPr>
                <w:p>
                  <w:pPr>
                    <w:pStyle w:val="Normal"/>
                    <w:keepLines w:val="on"/>
                  </w:pPr>
                  <w:r>
                    <w:t>2,19</w:t>
                  </w:r>
                </w:p>
              </w:tc>
            </w:tr>
            <w:tr>
              <w:tc>
                <w:tcPr>
                  <w:tcW w:type="auto" w:w="0"/>
                  <w:shd w:val="clear" w:color="auto" w:fill="F0F0F0"/>
                </w:tcPr>
                <w:p>
                  <w:pPr>
                    <w:pStyle w:val="Para 02"/>
                    <w:keepLines w:val="on"/>
                  </w:pPr>
                  <w:r>
                    <w:t>Mondavi (Robert) “A”</w:t>
                  </w:r>
                </w:p>
              </w:tc>
              <w:tc>
                <w:tcPr>
                  <w:tcW w:type="auto" w:w="0"/>
                  <w:shd w:val="clear" w:color="auto" w:fill="F0F0F0"/>
                </w:tcPr>
                <w:p>
                  <w:pPr>
                    <w:pStyle w:val="Normal"/>
                    <w:keepLines w:val="on"/>
                  </w:pPr>
                  <w:r>
                    <w:t>16,47</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45,84%</w:t>
                  </w:r>
                </w:p>
              </w:tc>
              <w:tc>
                <w:tcPr>
                  <w:tcW w:type="auto" w:w="0"/>
                  <w:shd w:val="clear" w:color="auto" w:fill="F0F0F0"/>
                </w:tcPr>
                <w:p>
                  <w:pPr>
                    <w:pStyle w:val="Normal"/>
                    <w:keepLines w:val="on"/>
                  </w:pPr>
                  <w:r>
                    <w:t>1,18</w:t>
                  </w:r>
                </w:p>
              </w:tc>
            </w:tr>
            <w:tr>
              <w:tc>
                <w:tcPr>
                  <w:tcW w:type="auto" w:w="0"/>
                  <w:shd w:val="clear" w:color="auto" w:fill="F0F0F0"/>
                </w:tcPr>
                <w:p>
                  <w:pPr>
                    <w:pStyle w:val="Para 02"/>
                    <w:keepLines w:val="on"/>
                  </w:pPr>
                  <w:r>
                    <w:t>Coca-Cola Enterprises</w:t>
                  </w:r>
                </w:p>
              </w:tc>
              <w:tc>
                <w:tcPr>
                  <w:tcW w:type="auto" w:w="0"/>
                  <w:shd w:val="clear" w:color="auto" w:fill="F0F0F0"/>
                </w:tcPr>
                <w:p>
                  <w:pPr>
                    <w:pStyle w:val="Normal"/>
                    <w:keepLines w:val="on"/>
                  </w:pPr>
                  <w:r>
                    <w:t>37,14</w:t>
                  </w:r>
                </w:p>
              </w:tc>
              <w:tc>
                <w:tcPr>
                  <w:tcW w:type="auto" w:w="0"/>
                  <w:shd w:val="clear" w:color="auto" w:fill="F0F0F0"/>
                </w:tcPr>
                <w:p>
                  <w:pPr>
                    <w:pStyle w:val="Normal"/>
                    <w:keepLines w:val="on"/>
                  </w:pPr>
                  <w:r>
                    <w:t>27,00%</w:t>
                  </w:r>
                </w:p>
              </w:tc>
              <w:tc>
                <w:tcPr>
                  <w:tcW w:type="auto" w:w="0"/>
                  <w:shd w:val="clear" w:color="auto" w:fill="F0F0F0"/>
                </w:tcPr>
                <w:p>
                  <w:pPr>
                    <w:pStyle w:val="Normal"/>
                    <w:keepLines w:val="on"/>
                  </w:pPr>
                  <w:r>
                    <w:t>51,34%</w:t>
                  </w:r>
                </w:p>
              </w:tc>
              <w:tc>
                <w:tcPr>
                  <w:tcW w:type="auto" w:w="0"/>
                  <w:shd w:val="clear" w:color="auto" w:fill="F0F0F0"/>
                </w:tcPr>
                <w:p>
                  <w:pPr>
                    <w:pStyle w:val="Normal"/>
                    <w:keepLines w:val="on"/>
                  </w:pPr>
                  <w:r>
                    <w:t>1,38</w:t>
                  </w:r>
                </w:p>
              </w:tc>
            </w:tr>
            <w:tr>
              <w:tc>
                <w:tcPr>
                  <w:tcW w:type="auto" w:w="0"/>
                  <w:shd w:val="clear" w:color="auto" w:fill="F0F0F0"/>
                </w:tcPr>
                <w:p>
                  <w:pPr>
                    <w:pStyle w:val="Para 02"/>
                    <w:keepLines w:val="on"/>
                  </w:pPr>
                  <w:r>
                    <w:t>Hansen Natural Corp.</w:t>
                  </w:r>
                </w:p>
              </w:tc>
              <w:tc>
                <w:tcPr>
                  <w:tcW w:type="auto" w:w="0"/>
                  <w:shd w:val="clear" w:color="auto" w:fill="F0F0F0"/>
                </w:tcPr>
                <w:p>
                  <w:pPr>
                    <w:pStyle w:val="Normal"/>
                    <w:keepLines w:val="on"/>
                  </w:pPr>
                  <w:r>
                    <w:t>9,70</w:t>
                  </w:r>
                </w:p>
              </w:tc>
              <w:tc>
                <w:tcPr>
                  <w:tcW w:type="auto" w:w="0"/>
                  <w:shd w:val="clear" w:color="auto" w:fill="F0F0F0"/>
                </w:tcPr>
                <w:p>
                  <w:pPr>
                    <w:pStyle w:val="Normal"/>
                    <w:keepLines w:val="on"/>
                  </w:pPr>
                  <w:r>
                    <w:t>17,00%</w:t>
                  </w:r>
                </w:p>
              </w:tc>
              <w:tc>
                <w:tcPr>
                  <w:tcW w:type="auto" w:w="0"/>
                  <w:shd w:val="clear" w:color="auto" w:fill="F0F0F0"/>
                </w:tcPr>
                <w:p>
                  <w:pPr>
                    <w:pStyle w:val="Normal"/>
                    <w:keepLines w:val="on"/>
                  </w:pPr>
                  <w:r>
                    <w:t>62,45%</w:t>
                  </w:r>
                </w:p>
              </w:tc>
              <w:tc>
                <w:tcPr>
                  <w:tcW w:type="auto" w:w="0"/>
                  <w:shd w:val="clear" w:color="auto" w:fill="F0F0F0"/>
                </w:tcPr>
                <w:p>
                  <w:pPr>
                    <w:pStyle w:val="Normal"/>
                    <w:keepLines w:val="on"/>
                  </w:pPr>
                  <w:r>
                    <w:t>0,57</w:t>
                  </w:r>
                </w:p>
              </w:tc>
            </w:tr>
            <w:tr>
              <w:tc>
                <w:tcPr>
                  <w:tcW w:type="auto" w:w="0"/>
                  <w:shd w:val="clear" w:color="auto" w:fill="F0F0F0"/>
                </w:tcPr>
                <w:p>
                  <w:pPr>
                    <w:pStyle w:val="Para 02"/>
                    <w:keepLines w:val="on"/>
                  </w:pPr>
                  <w:r>
                    <w:t>Trung bình</w:t>
                  </w:r>
                </w:p>
              </w:tc>
              <w:tc>
                <w:tcPr>
                  <w:tcW w:type="auto" w:w="0"/>
                  <w:shd w:val="clear" w:color="auto" w:fill="F0F0F0"/>
                </w:tcPr>
                <w:p>
                  <w:pPr>
                    <w:pStyle w:val="Normal"/>
                    <w:keepLines w:val="on"/>
                  </w:pPr>
                  <w:r>
                    <w:t>22,66</w:t>
                  </w:r>
                </w:p>
              </w:tc>
              <w:tc>
                <w:tcPr>
                  <w:tcW w:type="auto" w:w="0"/>
                  <w:shd w:val="clear" w:color="auto" w:fill="F0F0F0"/>
                </w:tcPr>
                <w:p>
                  <w:pPr>
                    <w:pStyle w:val="Normal"/>
                    <w:keepLines w:val="on"/>
                  </w:pPr>
                  <w:r>
                    <w:t>13,00%</w:t>
                  </w:r>
                </w:p>
              </w:tc>
              <w:tc>
                <w:tcPr>
                  <w:tcW w:type="auto" w:w="0"/>
                  <w:shd w:val="clear" w:color="auto" w:fill="F0F0F0"/>
                </w:tcPr>
                <w:p>
                  <w:pPr>
                    <w:pStyle w:val="Normal"/>
                    <w:keepLines w:val="on"/>
                  </w:pPr>
                  <w:r>
                    <w:t>0,33%</w:t>
                  </w:r>
                </w:p>
              </w:tc>
              <w:tc>
                <w:tcPr>
                  <w:tcW w:type="auto" w:w="0"/>
                  <w:shd w:val="clear" w:color="auto" w:fill="F0F0F0"/>
                </w:tcPr>
                <w:p>
                  <w:pPr>
                    <w:pStyle w:val="Normal"/>
                    <w:keepLines w:val="on"/>
                  </w:pPr>
                  <w:r>
                    <w:t>2,00</w:t>
                  </w:r>
                </w:p>
              </w:tc>
            </w:tr>
          </w:tbl>
          <w:p/>
        </w:tc>
      </w:tr>
    </w:tbl>
    <w:p>
      <w:pPr>
        <w:pStyle w:val="Para 04"/>
        <w:keepLines w:val="on"/>
      </w:pPr>
      <w:r>
        <w:t>Lưu ý rằng Andres Wine không còn trông rẻ nữa, nếu bạn so sánh tỷ lệ PEG đó với mức trung bình; tốc độ tăng trưởng thấp của nó chuyển thành tỷ lệ PEG cao hơn. Hansen Natural vẫn trông như một món hời, giao dịch ở tỷ lệ PEG là 0,57, thấp hơn nhiều so với mức trung bình của ngành.</w:t>
      </w:r>
    </w:p>
    <w:p>
      <w:pPr>
        <w:pStyle w:val="Para 04"/>
        <w:keepLines w:val="on"/>
      </w:pPr>
      <w:r>
        <w:t>Hansen vẫn rủi ro hơn (độ lệch chuẩn của nó gần gấp đôi so với ngành) và có mức tăng trưởng cao hơn các công ty khác trong ngành, cả hai điều này đều có thể góp phần tạo ra tỷ lệ PEG thấp hơn. Hồi quy các tỷ lệ PEG cho các công ty trong ngành, chúng ta thu được kết quả sau:</w:t>
      </w:r>
    </w:p>
    <w:p>
      <w:bookmarkStart w:id="3696" w:name="PEG_3_61___2_86_Expected_growth"/>
      <w:pPr>
        <w:keepNext/>
        <w:pStyle w:val="Para 07"/>
        <w:keepLines w:val="on"/>
      </w:pPr>
      <w:r>
        <w:t>PEG=3,61−2,86 Tốc độ tăng trưởng kỳ vọng−3,38 (Độ lệch chuẩn) 6,86  0,75                    2,04</w:t>
      </w:r>
      <w:bookmarkEnd w:id="3696"/>
    </w:p>
    <w:p>
      <w:pPr>
        <w:pStyle w:val="Para 04"/>
        <w:keepLines w:val="on"/>
      </w:pPr>
      <w:r>
        <w:t>Sử dụng hồi quy này để có được giá trị dự đoán cho Hansen Natural, chúng ta có:</w:t>
      </w:r>
    </w:p>
    <w:p>
      <w:bookmarkStart w:id="3697" w:name="PEGHansen_3_61___2_86__1700__3_3"/>
      <w:pPr>
        <w:keepNext/>
        <w:pStyle w:val="Para 07"/>
        <w:keepLines w:val="on"/>
      </w:pPr>
      <w:r>
        <w:t>PEGHansen=3,61−2,86(.1700)-3,38(.6245)=1,01</w:t>
      </w:r>
      <w:bookmarkEnd w:id="3697"/>
    </w:p>
    <w:p>
      <w:pPr>
        <w:pStyle w:val="Para 04"/>
        <w:keepLines w:val="on"/>
      </w:pPr>
      <w:r>
        <w:t>Với tỷ lệ PEG là 0,57, công ty vẫn bị định giá thấp đáng kể.</w:t>
      </w:r>
    </w:p>
    <w:p>
      <w:pPr>
        <w:pStyle w:val="Para 11"/>
      </w:pPr>
      <w:r>
        <w:t/>
        <w:t xml:space="preserve"> </w:t>
      </w:r>
    </w:p>
    <w:p>
      <w:bookmarkStart w:id="3698" w:name="MReg_xls__This_dataset_on_the_w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71"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3698"/>
    </w:p>
    <w:p>
      <w:pPr>
        <w:pStyle w:val="Para 31"/>
        <w:keepLines w:val="on"/>
      </w:pPr>
      <w:r>
        <w:t>MReg.xls: Bộ dữ liệu này trên web tóm tắt kết quả của lần hồi quy</w:t>
      </w:r>
    </w:p>
    <w:p>
      <w:pPr>
        <w:pStyle w:val="Para 67"/>
        <w:keepLines w:val="on"/>
      </w:pPr>
      <w:r>
        <w:t>gần đây nhất của các tỷ lệ PEG dựa trên các yếu tố cơ bản đối với cổ phiếu Mỹ.</w:t>
      </w:r>
    </w:p>
    <w:p>
      <w:pPr>
        <w:pStyle w:val="Para 11"/>
      </w:pPr>
      <w:r>
        <w:t/>
        <w:t xml:space="preserve"> </w:t>
      </w:r>
      <w:r>
        <w:rPr>
          <w:rStyle w:val="Text26"/>
        </w:rPr>
        <w:bookmarkStart w:id="3699" w:name="Page_565"/>
        <w:t/>
        <w:bookmarkEnd w:id="3699"/>
      </w:r>
      <w:r>
        <w:t xml:space="preserve"> </w:t>
      </w:r>
    </w:p>
    <w:p>
      <w:bookmarkStart w:id="3700" w:name="Whose_Growth_Rate"/>
      <w:bookmarkStart w:id="3701" w:name="Whose_Growth_Rate__In_computing"/>
      <w:pPr>
        <w:keepNext/>
        <w:pStyle w:val="Para 27"/>
        <w:keepLines w:val="on"/>
      </w:pPr>
      <w:r>
        <w:t>Tốc độ tăng trưởng của ai?</w:t>
      </w:r>
      <w:bookmarkEnd w:id="3700"/>
      <w:bookmarkEnd w:id="3701"/>
    </w:p>
    <w:p>
      <w:pPr>
        <w:pStyle w:val="Para 16"/>
        <w:keepLines w:val="on"/>
      </w:pPr>
      <w:r>
        <w:t>Khi tính toán tỷ lệ PEG, chúng ta thường phải đối mặt với câu hỏi là chúng ta sẽ sử dụng tốc độ tăng trưởng của ai để ước tính tỷ lệ PEG. Nếu số lượng công ty trong mẫu ít, bạn có thể tự ước tính tốc độ tăng trưởng kỳ vọng cho từng công ty. Nếu số lượng công ty tăng lên, bạn sẽ không còn lựa chọn nào khác ngoài việc sử dụng ước tính của các nhà phân tích về tốc độ tăng trưởng kỳ vọng cho các công ty. Liệu điều này có khiến các phân tích của bạn phơi nhiễm với tất cả những thiên lệch trong các ước tính đó không? Không nhất thiết. Nếu thiên lệch là đồng nhất—ví dụ, các nhà phân tích đánh giá quá cao tốc độ tăng trưởng cho tất cả các công ty trong ngành—bạn vẫn có thể so sánh tỷ lệ PEG giữa các công ty và đưa ra những kết luận hợp lý.</w:t>
      </w:r>
    </w:p>
    <w:p>
      <w:bookmarkStart w:id="3702" w:name="Other_Variants_on_the_PE_Ratio"/>
      <w:bookmarkStart w:id="3703" w:name="Other_Variants_on_the_PE_Ratio_1"/>
      <w:pPr>
        <w:keepNext/>
        <w:pStyle w:val="Heading 2"/>
        <w:keepLines w:val="on"/>
      </w:pPr>
      <w:r>
        <w:t>Các biến thể khác của tỷ lệ PE</w:t>
      </w:r>
      <w:bookmarkEnd w:id="3702"/>
      <w:bookmarkEnd w:id="3703"/>
    </w:p>
    <w:p>
      <w:pPr>
        <w:pStyle w:val="Para 03"/>
      </w:pPr>
      <w:r>
        <w:t>Trong khi tỷ lệ PE và tỷ lệ PEG có thể là những bội số thu nhập được sử dụng rộng rãi nhất, vẫn có những bội số thu nhập vốn cổ phần khác cũng được các nhà phân tích sử dụng. Trong phần này, ba biến thể được xem xét. Đầu tiên là tỷ lệ PE tương đối, thứ hai là bội số của giá trên thu nhập trong một năm tương lai (giả sử 5 hoặc 10 năm kể từ bây giờ), và thứ ba là bội số của giá trên thu nhập trước chi phí R&amp;D (chủ yếu được sử dụng cho các công ty công nghệ).</w:t>
      </w:r>
    </w:p>
    <w:p>
      <w:bookmarkStart w:id="3704" w:name="Relative_PE_Ratios__Relative_pri"/>
      <w:bookmarkStart w:id="3705" w:name="Relative_PE_Ratios"/>
      <w:pPr>
        <w:keepNext/>
        <w:pStyle w:val="Heading 3"/>
        <w:keepLines w:val="on"/>
      </w:pPr>
      <w:r>
        <w:t>Tỷ lệ PE tương đối</w:t>
      </w:r>
      <w:bookmarkEnd w:id="3704"/>
      <w:bookmarkEnd w:id="3705"/>
    </w:p>
    <w:p>
      <w:pPr>
        <w:pStyle w:val="Para 03"/>
      </w:pPr>
      <w:r>
        <w:t>Tỷ lệ giá trên thu nhập tương đối đo lường tỷ lệ PE của một công ty so với mức trung bình của thị trường. Nó được tính bằng cách chia tỷ lệ PE hiện tại của một công ty cho mức trung bình của thị trường:</w:t>
      </w:r>
    </w:p>
    <w:p>
      <w:bookmarkStart w:id="3706" w:name="Relative_PE_ratio_Current_PE_rat"/>
      <w:pPr>
        <w:keepNext/>
        <w:pStyle w:val="Para 09"/>
        <w:keepLines w:val="on"/>
      </w:pPr>
      <w:r>
        <w:t>Tỷ lệ PE tương đối=Tỷ lệ PE hiện tại của công tyTỷ lệ PE hiện tại của thị trường</w:t>
      </w:r>
      <w:bookmarkEnd w:id="3706"/>
    </w:p>
    <w:p>
      <w:pPr>
        <w:pStyle w:val="Para 03"/>
      </w:pPr>
      <w:r>
        <w:t>Không có gì ngạc nhiên, phân phối của các tỷ lệ PE tương đối bắt chước phân phối của các tỷ lệ PE thực tế, với một điểm khác biệt—tỷ lệ PE tương đối trung bình là 1. Thước đo này có thể được tổng quát hóa và các tỷ lệ PE tương đối có thể được tính tương đối so với tỷ lệ PE của ngành mà công ty thuộc về hoặc thậm chí so với các tỷ lệ PE lịch sử của chính nó.</w:t>
      </w:r>
    </w:p>
    <w:p>
      <w:pPr>
        <w:pStyle w:val="Para 03"/>
      </w:pPr>
      <w:r>
        <w:t>Lưu ý rằng tỷ lệ PE tương đối là một hàm của tất cả các biến quyết định tỷ lệ PE—tốc độ tăng trưởng kỳ vọng, rủi ro của công ty, và tỷ lệ chi trả cổ tức—nhưng được phát biểu theo các giá trị tương đối so với thị trường. Do đó, tỷ lệ PE tương đối của một công ty là một hàm của tốc độ tăng trưởng tương đối của nó trong thu nhập trên mỗi cổ phiếu (tốc độ tăng trưởng của công ty/tốc độ tăng trưởng của thị trường), chi phí vốn cổ phần tương đối của nó (chi phí vốn cổ phần của công ty/chi phí vốn cổ phần của thị trường), và lợi nhuận trên vốn cổ phần tương đối của nó (ROE của công ty/ROE của thị trường). Các công ty có mức tăng trưởng tương đối cao hơn, chi phí vốn cổ phần tương đối thấp hơn, và lợi nhuận trên vốn cổ phần tương đối cao hơn nên giao dịch ở các tỷ lệ PE tương đối cao hơn.</w:t>
      </w:r>
    </w:p>
    <w:p>
      <w:pPr>
        <w:pStyle w:val="Para 03"/>
      </w:pPr>
      <w:r>
        <w:t>Có hai cách mà các tỷ lệ PE tương đối được sử dụng trong định giá. Một là so sánh tỷ lệ PE tương đối của một công ty với các chuẩn mực lịch sử của nó; ví dụ, Ford có thể được xem là bị định giá thấp vì tỷ lệ PE tương đối của nó ngày nay thấp hơn tỷ lệ PE tương đối mà nó đã từng giao dịch trong lịch sử. Cách còn lại là so sánh tỷ lệ PE tương đối của các công ty ở các thị trường khác nhau; điều này cho phép so sánh khi các tỷ lệ PE ở các thị trường khác nhau biến động đáng kể. Ví dụ, chúng ta có thể đã chia tỷ lệ PE cho mỗi công ty viễn thông trong Minh họa 18.8 cho tỷ lệ PE của thị trường mà công ty này giao dịch tại địa phương để ước tính các tỷ lệ PE tương đối và có thể đã so sánh những tỷ lệ đó.</w:t>
      </w:r>
    </w:p>
    <w:p>
      <w:pPr>
        <w:pStyle w:val="Para 11"/>
      </w:pPr>
      <w:r>
        <w:t/>
        <w:t xml:space="preserve"> </w:t>
      </w:r>
      <w:r>
        <w:rPr>
          <w:rStyle w:val="Text26"/>
        </w:rPr>
        <w:bookmarkStart w:id="3707" w:name="Page_566"/>
        <w:t/>
        <w:bookmarkEnd w:id="3707"/>
      </w:r>
      <w:r>
        <w:t xml:space="preserve"> </w:t>
      </w:r>
    </w:p>
    <w:p>
      <w:bookmarkStart w:id="3708" w:name="ILLUSTRATION_18_12__Relative_PE_1"/>
      <w:bookmarkStart w:id="3709" w:name="ILLUSTRATION_18_12__Relative_PE"/>
      <w:pPr>
        <w:keepNext/>
        <w:pStyle w:val="Para 19"/>
        <w:keepLines w:val="on"/>
      </w:pPr>
      <w:r>
        <w:t>MINH HỌA 18.12: Tỷ lệ PE tương đối—Cổ phiếu ô tô vào tháng 5 năm 2011</w:t>
      </w:r>
      <w:bookmarkEnd w:id="3708"/>
      <w:bookmarkEnd w:id="3709"/>
    </w:p>
    <w:p>
      <w:pPr>
        <w:pStyle w:val="Para 04"/>
        <w:keepLines w:val="on"/>
      </w:pPr>
      <w:r>
        <w:t>Trong Bảng 18.19, chúng tôi liệt kê tất cả các công ty ô tô có vốn hóa thị trường lớn hơn 10 tỷ đô la vào tháng 5 năm 2011. Vì các công ty này được niêm yết trên các thị trường khác nhau, chúng tôi chia tỷ lệ PE cho mỗi công ty cho tỷ lệ PE tổng hợp của thị trường chính mà mỗi công ty giao dịch.</w:t>
      </w:r>
    </w:p>
    <w:p>
      <w:pPr>
        <w:pStyle w:val="Para 25"/>
        <w:keepLines w:val="on"/>
      </w:pPr>
      <w:r>
        <w:t>Bảng 18.19</w:t>
      </w:r>
    </w:p>
    <w:p>
      <w:pPr>
        <w:keepNext/>
        <w:pStyle w:val="Para 24"/>
        <w:keepLines w:val="on"/>
      </w:pPr>
      <w:r>
        <w:t>Tỷ lệ PE tương đối cho các công ty ô tô năm 2011</w:t>
      </w:r>
    </w:p>
    <w:tbl>
      <w:tblPr>
        <w:tblW w:type="auto" w:w="0"/>
      </w:tblPr>
      <w:tr>
        <w:tc>
          <w:tcPr>
            <w:tcW w:type="auto" w:w="0"/>
          </w:tcPr>
          <w:tbl>
            <w:tblPr>
              <w:tblW w:type="auto" w:w="0"/>
            </w:tblPr>
            <w:tr>
              <w:tc>
                <w:tcPr>
                  <w:tcW w:type="auto" w:w="0"/>
                  <w:shd w:val="clear" w:color="auto" w:fill="F0F0F0"/>
                  <w:vAlign w:val="bottom"/>
                </w:tcPr>
                <w:p>
                  <w:pPr>
                    <w:pStyle w:val="Para 32"/>
                    <w:keepLines w:val="on"/>
                  </w:pPr>
                  <w:r>
                    <w:t>Công ty</w:t>
                  </w:r>
                </w:p>
              </w:tc>
              <w:tc>
                <w:tcPr>
                  <w:tcW w:type="auto" w:w="0"/>
                  <w:shd w:val="clear" w:color="auto" w:fill="F0F0F0"/>
                  <w:vAlign w:val="bottom"/>
                </w:tcPr>
                <w:p>
                  <w:pPr>
                    <w:pStyle w:val="Para 05"/>
                    <w:keepLines w:val="on"/>
                  </w:pPr>
                  <w:r>
                    <w:t>PE theo dõi</w:t>
                  </w:r>
                </w:p>
              </w:tc>
              <w:tc>
                <w:tcPr>
                  <w:tcW w:type="auto" w:w="0"/>
                  <w:shd w:val="clear" w:color="auto" w:fill="F0F0F0"/>
                  <w:vAlign w:val="bottom"/>
                </w:tcPr>
                <w:p>
                  <w:pPr>
                    <w:pStyle w:val="Para 05"/>
                    <w:keepLines w:val="on"/>
                  </w:pPr>
                  <w:r>
                    <w:t>Thị trường sơ cấp</w:t>
                  </w:r>
                </w:p>
              </w:tc>
              <w:tc>
                <w:tcPr>
                  <w:tcW w:type="auto" w:w="0"/>
                  <w:shd w:val="clear" w:color="auto" w:fill="F0F0F0"/>
                  <w:vAlign w:val="bottom"/>
                </w:tcPr>
                <w:p>
                  <w:pPr>
                    <w:pStyle w:val="Para 05"/>
                    <w:keepLines w:val="on"/>
                  </w:pPr>
                  <w:r>
                    <w:t>PE theo thị trường</w:t>
                  </w:r>
                </w:p>
              </w:tc>
              <w:tc>
                <w:tcPr>
                  <w:tcW w:type="auto" w:w="0"/>
                  <w:shd w:val="clear" w:color="auto" w:fill="F0F0F0"/>
                  <w:vAlign w:val="bottom"/>
                </w:tcPr>
                <w:p>
                  <w:pPr>
                    <w:pStyle w:val="Para 05"/>
                    <w:keepLines w:val="on"/>
                  </w:pPr>
                  <w:r>
                    <w:t>PE tương đối</w:t>
                  </w:r>
                </w:p>
              </w:tc>
            </w:tr>
            <w:tr>
              <w:tc>
                <w:tcPr>
                  <w:tcW w:type="auto" w:w="0"/>
                  <w:shd w:val="clear" w:color="auto" w:fill="F0F0F0"/>
                </w:tcPr>
                <w:p>
                  <w:pPr>
                    <w:pStyle w:val="Para 02"/>
                    <w:keepLines w:val="on"/>
                  </w:pPr>
                  <w:r>
                    <w:t>SAIC Motor Corporation</w:t>
                  </w:r>
                </w:p>
              </w:tc>
              <w:tc>
                <w:tcPr>
                  <w:tcW w:type="auto" w:w="0"/>
                  <w:shd w:val="clear" w:color="auto" w:fill="F0F0F0"/>
                </w:tcPr>
                <w:p>
                  <w:pPr>
                    <w:pStyle w:val="Normal"/>
                    <w:keepLines w:val="on"/>
                  </w:pPr>
                  <w:r>
                    <w:t>9,69</w:t>
                  </w:r>
                </w:p>
              </w:tc>
              <w:tc>
                <w:tcPr>
                  <w:tcW w:type="auto" w:w="0"/>
                  <w:shd w:val="clear" w:color="auto" w:fill="F0F0F0"/>
                </w:tcPr>
                <w:p>
                  <w:pPr>
                    <w:pStyle w:val="Para 02"/>
                    <w:keepLines w:val="on"/>
                  </w:pPr>
                  <w:r>
                    <w:t>Trung Quốc</w:t>
                  </w:r>
                </w:p>
              </w:tc>
              <w:tc>
                <w:tcPr>
                  <w:tcW w:type="auto" w:w="0"/>
                  <w:shd w:val="clear" w:color="auto" w:fill="F0F0F0"/>
                </w:tcPr>
                <w:p>
                  <w:pPr>
                    <w:pStyle w:val="Normal"/>
                    <w:keepLines w:val="on"/>
                  </w:pPr>
                  <w:r>
                    <w:t>20,66</w:t>
                  </w:r>
                </w:p>
              </w:tc>
              <w:tc>
                <w:tcPr>
                  <w:tcW w:type="auto" w:w="0"/>
                  <w:shd w:val="clear" w:color="auto" w:fill="F0F0F0"/>
                </w:tcPr>
                <w:p>
                  <w:pPr>
                    <w:pStyle w:val="Normal"/>
                    <w:keepLines w:val="on"/>
                  </w:pPr>
                  <w:r>
                    <w:t>0,47</w:t>
                  </w:r>
                </w:p>
              </w:tc>
            </w:tr>
            <w:tr>
              <w:tc>
                <w:tcPr>
                  <w:tcW w:type="auto" w:w="0"/>
                  <w:shd w:val="clear" w:color="auto" w:fill="F0F0F0"/>
                </w:tcPr>
                <w:p>
                  <w:pPr>
                    <w:pStyle w:val="Para 02"/>
                    <w:keepLines w:val="on"/>
                  </w:pPr>
                  <w:r>
                    <w:t>Dongfeng Motor Group Co.</w:t>
                  </w:r>
                </w:p>
              </w:tc>
              <w:tc>
                <w:tcPr>
                  <w:tcW w:type="auto" w:w="0"/>
                  <w:shd w:val="clear" w:color="auto" w:fill="F0F0F0"/>
                </w:tcPr>
                <w:p>
                  <w:pPr>
                    <w:pStyle w:val="Normal"/>
                    <w:keepLines w:val="on"/>
                  </w:pPr>
                  <w:r>
                    <w:t>9,01</w:t>
                  </w:r>
                </w:p>
              </w:tc>
              <w:tc>
                <w:tcPr>
                  <w:tcW w:type="auto" w:w="0"/>
                  <w:shd w:val="clear" w:color="auto" w:fill="F0F0F0"/>
                </w:tcPr>
                <w:p>
                  <w:pPr>
                    <w:pStyle w:val="Para 02"/>
                    <w:keepLines w:val="on"/>
                  </w:pPr>
                  <w:r>
                    <w:t>Trung Quốc</w:t>
                  </w:r>
                </w:p>
              </w:tc>
              <w:tc>
                <w:tcPr>
                  <w:tcW w:type="auto" w:w="0"/>
                  <w:shd w:val="clear" w:color="auto" w:fill="F0F0F0"/>
                </w:tcPr>
                <w:p>
                  <w:pPr>
                    <w:pStyle w:val="Normal"/>
                    <w:keepLines w:val="on"/>
                  </w:pPr>
                  <w:r>
                    <w:t>20,66</w:t>
                  </w:r>
                </w:p>
              </w:tc>
              <w:tc>
                <w:tcPr>
                  <w:tcW w:type="auto" w:w="0"/>
                  <w:shd w:val="clear" w:color="auto" w:fill="F0F0F0"/>
                </w:tcPr>
                <w:p>
                  <w:pPr>
                    <w:pStyle w:val="Normal"/>
                    <w:keepLines w:val="on"/>
                  </w:pPr>
                  <w:r>
                    <w:t>0,44</w:t>
                  </w:r>
                </w:p>
              </w:tc>
            </w:tr>
            <w:tr>
              <w:tc>
                <w:tcPr>
                  <w:tcW w:type="auto" w:w="0"/>
                  <w:shd w:val="clear" w:color="auto" w:fill="F0F0F0"/>
                </w:tcPr>
                <w:p>
                  <w:pPr>
                    <w:pStyle w:val="Para 02"/>
                    <w:keepLines w:val="on"/>
                  </w:pPr>
                  <w:r>
                    <w:t>Renault SA</w:t>
                  </w:r>
                </w:p>
              </w:tc>
              <w:tc>
                <w:tcPr>
                  <w:tcW w:type="auto" w:w="0"/>
                  <w:shd w:val="clear" w:color="auto" w:fill="F0F0F0"/>
                </w:tcPr>
                <w:p>
                  <w:pPr>
                    <w:pStyle w:val="Normal"/>
                    <w:keepLines w:val="on"/>
                  </w:pPr>
                  <w:r>
                    <w:t>3,25</w:t>
                  </w:r>
                </w:p>
              </w:tc>
              <w:tc>
                <w:tcPr>
                  <w:tcW w:type="auto" w:w="0"/>
                  <w:shd w:val="clear" w:color="auto" w:fill="F0F0F0"/>
                </w:tcPr>
                <w:p>
                  <w:pPr>
                    <w:pStyle w:val="Para 02"/>
                    <w:keepLines w:val="on"/>
                  </w:pPr>
                  <w:r>
                    <w:t>Pháp</w:t>
                  </w:r>
                </w:p>
              </w:tc>
              <w:tc>
                <w:tcPr>
                  <w:tcW w:type="auto" w:w="0"/>
                  <w:shd w:val="clear" w:color="auto" w:fill="F0F0F0"/>
                </w:tcPr>
                <w:p>
                  <w:pPr>
                    <w:pStyle w:val="Normal"/>
                    <w:keepLines w:val="on"/>
                  </w:pPr>
                  <w:r>
                    <w:t>15,86</w:t>
                  </w:r>
                </w:p>
              </w:tc>
              <w:tc>
                <w:tcPr>
                  <w:tcW w:type="auto" w:w="0"/>
                  <w:shd w:val="clear" w:color="auto" w:fill="F0F0F0"/>
                </w:tcPr>
                <w:p>
                  <w:pPr>
                    <w:pStyle w:val="Normal"/>
                    <w:keepLines w:val="on"/>
                  </w:pPr>
                  <w:r>
                    <w:t>0,21</w:t>
                  </w:r>
                </w:p>
              </w:tc>
            </w:tr>
            <w:tr>
              <w:tc>
                <w:tcPr>
                  <w:tcW w:type="auto" w:w="0"/>
                  <w:shd w:val="clear" w:color="auto" w:fill="F0F0F0"/>
                </w:tcPr>
                <w:p>
                  <w:pPr>
                    <w:pStyle w:val="Para 02"/>
                    <w:keepLines w:val="on"/>
                  </w:pPr>
                  <w:r>
                    <w:t>Volkswagen AG</w:t>
                  </w:r>
                </w:p>
              </w:tc>
              <w:tc>
                <w:tcPr>
                  <w:tcW w:type="auto" w:w="0"/>
                  <w:shd w:val="clear" w:color="auto" w:fill="F0F0F0"/>
                </w:tcPr>
                <w:p>
                  <w:pPr>
                    <w:pStyle w:val="Normal"/>
                    <w:keepLines w:val="on"/>
                  </w:pPr>
                  <w:r>
                    <w:t>6,71</w:t>
                  </w:r>
                </w:p>
              </w:tc>
              <w:tc>
                <w:tcPr>
                  <w:tcW w:type="auto" w:w="0"/>
                  <w:shd w:val="clear" w:color="auto" w:fill="F0F0F0"/>
                </w:tcPr>
                <w:p>
                  <w:pPr>
                    <w:pStyle w:val="Para 02"/>
                    <w:keepLines w:val="on"/>
                  </w:pPr>
                  <w:r>
                    <w:t>Đức</w:t>
                  </w:r>
                </w:p>
              </w:tc>
              <w:tc>
                <w:tcPr>
                  <w:tcW w:type="auto" w:w="0"/>
                  <w:shd w:val="clear" w:color="auto" w:fill="F0F0F0"/>
                </w:tcPr>
                <w:p>
                  <w:pPr>
                    <w:pStyle w:val="Normal"/>
                    <w:keepLines w:val="on"/>
                  </w:pPr>
                  <w:r>
                    <w:t>16,82</w:t>
                  </w:r>
                </w:p>
              </w:tc>
              <w:tc>
                <w:tcPr>
                  <w:tcW w:type="auto" w:w="0"/>
                  <w:shd w:val="clear" w:color="auto" w:fill="F0F0F0"/>
                </w:tcPr>
                <w:p>
                  <w:pPr>
                    <w:pStyle w:val="Normal"/>
                    <w:keepLines w:val="on"/>
                  </w:pPr>
                  <w:r>
                    <w:t>0,40</w:t>
                  </w:r>
                </w:p>
              </w:tc>
            </w:tr>
            <w:tr>
              <w:tc>
                <w:tcPr>
                  <w:tcW w:type="auto" w:w="0"/>
                  <w:shd w:val="clear" w:color="auto" w:fill="F0F0F0"/>
                </w:tcPr>
                <w:p>
                  <w:pPr>
                    <w:pStyle w:val="Para 02"/>
                    <w:keepLines w:val="on"/>
                  </w:pPr>
                  <w:r>
                    <w:t>Daimler AG</w:t>
                  </w:r>
                </w:p>
              </w:tc>
              <w:tc>
                <w:tcPr>
                  <w:tcW w:type="auto" w:w="0"/>
                  <w:shd w:val="clear" w:color="auto" w:fill="F0F0F0"/>
                </w:tcPr>
                <w:p>
                  <w:pPr>
                    <w:pStyle w:val="Normal"/>
                    <w:keepLines w:val="on"/>
                  </w:pPr>
                  <w:r>
                    <w:t>10,37</w:t>
                  </w:r>
                </w:p>
              </w:tc>
              <w:tc>
                <w:tcPr>
                  <w:tcW w:type="auto" w:w="0"/>
                  <w:shd w:val="clear" w:color="auto" w:fill="F0F0F0"/>
                </w:tcPr>
                <w:p>
                  <w:pPr>
                    <w:pStyle w:val="Para 02"/>
                    <w:keepLines w:val="on"/>
                  </w:pPr>
                  <w:r>
                    <w:t>Đức</w:t>
                  </w:r>
                </w:p>
              </w:tc>
              <w:tc>
                <w:tcPr>
                  <w:tcW w:type="auto" w:w="0"/>
                  <w:shd w:val="clear" w:color="auto" w:fill="F0F0F0"/>
                </w:tcPr>
                <w:p>
                  <w:pPr>
                    <w:pStyle w:val="Normal"/>
                    <w:keepLines w:val="on"/>
                  </w:pPr>
                  <w:r>
                    <w:t>16,82</w:t>
                  </w:r>
                </w:p>
              </w:tc>
              <w:tc>
                <w:tcPr>
                  <w:tcW w:type="auto" w:w="0"/>
                  <w:shd w:val="clear" w:color="auto" w:fill="F0F0F0"/>
                </w:tcPr>
                <w:p>
                  <w:pPr>
                    <w:pStyle w:val="Normal"/>
                    <w:keepLines w:val="on"/>
                  </w:pPr>
                  <w:r>
                    <w:t>0,62</w:t>
                  </w:r>
                </w:p>
              </w:tc>
            </w:tr>
            <w:tr>
              <w:tc>
                <w:tcPr>
                  <w:tcW w:type="auto" w:w="0"/>
                  <w:shd w:val="clear" w:color="auto" w:fill="F0F0F0"/>
                </w:tcPr>
                <w:p>
                  <w:pPr>
                    <w:pStyle w:val="Para 02"/>
                    <w:keepLines w:val="on"/>
                  </w:pPr>
                  <w:r>
                    <w:t>BMW Group</w:t>
                  </w:r>
                </w:p>
              </w:tc>
              <w:tc>
                <w:tcPr>
                  <w:tcW w:type="auto" w:w="0"/>
                  <w:shd w:val="clear" w:color="auto" w:fill="F0F0F0"/>
                </w:tcPr>
                <w:p>
                  <w:pPr>
                    <w:pStyle w:val="Normal"/>
                    <w:keepLines w:val="on"/>
                  </w:pPr>
                  <w:r>
                    <w:t>9,29</w:t>
                  </w:r>
                </w:p>
              </w:tc>
              <w:tc>
                <w:tcPr>
                  <w:tcW w:type="auto" w:w="0"/>
                  <w:shd w:val="clear" w:color="auto" w:fill="F0F0F0"/>
                </w:tcPr>
                <w:p>
                  <w:pPr>
                    <w:pStyle w:val="Para 02"/>
                    <w:keepLines w:val="on"/>
                  </w:pPr>
                  <w:r>
                    <w:t>Đức</w:t>
                  </w:r>
                </w:p>
              </w:tc>
              <w:tc>
                <w:tcPr>
                  <w:tcW w:type="auto" w:w="0"/>
                  <w:shd w:val="clear" w:color="auto" w:fill="F0F0F0"/>
                </w:tcPr>
                <w:p>
                  <w:pPr>
                    <w:pStyle w:val="Normal"/>
                    <w:keepLines w:val="on"/>
                  </w:pPr>
                  <w:r>
                    <w:t>16,82</w:t>
                  </w:r>
                </w:p>
              </w:tc>
              <w:tc>
                <w:tcPr>
                  <w:tcW w:type="auto" w:w="0"/>
                  <w:shd w:val="clear" w:color="auto" w:fill="F0F0F0"/>
                </w:tcPr>
                <w:p>
                  <w:pPr>
                    <w:pStyle w:val="Normal"/>
                    <w:keepLines w:val="on"/>
                  </w:pPr>
                  <w:r>
                    <w:t>0,55</w:t>
                  </w:r>
                </w:p>
              </w:tc>
            </w:tr>
            <w:tr>
              <w:tc>
                <w:tcPr>
                  <w:tcW w:type="auto" w:w="0"/>
                  <w:shd w:val="clear" w:color="auto" w:fill="F0F0F0"/>
                </w:tcPr>
                <w:p>
                  <w:pPr>
                    <w:pStyle w:val="Para 02"/>
                    <w:keepLines w:val="on"/>
                  </w:pPr>
                  <w:r>
                    <w:t>Porsche Automobile Holding SE</w:t>
                  </w:r>
                </w:p>
              </w:tc>
              <w:tc>
                <w:tcPr>
                  <w:tcW w:type="auto" w:w="0"/>
                  <w:shd w:val="clear" w:color="auto" w:fill="F0F0F0"/>
                </w:tcPr>
                <w:p>
                  <w:pPr>
                    <w:pStyle w:val="Normal"/>
                    <w:keepLines w:val="on"/>
                  </w:pPr>
                  <w:r>
                    <w:t>2,81</w:t>
                  </w:r>
                </w:p>
              </w:tc>
              <w:tc>
                <w:tcPr>
                  <w:tcW w:type="auto" w:w="0"/>
                  <w:shd w:val="clear" w:color="auto" w:fill="F0F0F0"/>
                </w:tcPr>
                <w:p>
                  <w:pPr>
                    <w:pStyle w:val="Para 02"/>
                    <w:keepLines w:val="on"/>
                  </w:pPr>
                  <w:r>
                    <w:t>Đức</w:t>
                  </w:r>
                </w:p>
              </w:tc>
              <w:tc>
                <w:tcPr>
                  <w:tcW w:type="auto" w:w="0"/>
                  <w:shd w:val="clear" w:color="auto" w:fill="F0F0F0"/>
                </w:tcPr>
                <w:p>
                  <w:pPr>
                    <w:pStyle w:val="Normal"/>
                    <w:keepLines w:val="on"/>
                  </w:pPr>
                  <w:r>
                    <w:t>16,82</w:t>
                  </w:r>
                </w:p>
              </w:tc>
              <w:tc>
                <w:tcPr>
                  <w:tcW w:type="auto" w:w="0"/>
                  <w:shd w:val="clear" w:color="auto" w:fill="F0F0F0"/>
                </w:tcPr>
                <w:p>
                  <w:pPr>
                    <w:pStyle w:val="Normal"/>
                    <w:keepLines w:val="on"/>
                  </w:pPr>
                  <w:r>
                    <w:t>0,17</w:t>
                  </w:r>
                </w:p>
              </w:tc>
            </w:tr>
            <w:tr>
              <w:tc>
                <w:tcPr>
                  <w:tcW w:type="auto" w:w="0"/>
                  <w:shd w:val="clear" w:color="auto" w:fill="F0F0F0"/>
                </w:tcPr>
                <w:p>
                  <w:pPr>
                    <w:pStyle w:val="Para 02"/>
                    <w:keepLines w:val="on"/>
                  </w:pPr>
                  <w:r>
                    <w:t>Audi AG</w:t>
                  </w:r>
                </w:p>
              </w:tc>
              <w:tc>
                <w:tcPr>
                  <w:tcW w:type="auto" w:w="0"/>
                  <w:shd w:val="clear" w:color="auto" w:fill="F0F0F0"/>
                </w:tcPr>
                <w:p>
                  <w:pPr>
                    <w:pStyle w:val="Normal"/>
                    <w:keepLines w:val="on"/>
                  </w:pPr>
                  <w:r>
                    <w:t>10,32</w:t>
                  </w:r>
                </w:p>
              </w:tc>
              <w:tc>
                <w:tcPr>
                  <w:tcW w:type="auto" w:w="0"/>
                  <w:shd w:val="clear" w:color="auto" w:fill="F0F0F0"/>
                </w:tcPr>
                <w:p>
                  <w:pPr>
                    <w:pStyle w:val="Para 02"/>
                    <w:keepLines w:val="on"/>
                  </w:pPr>
                  <w:r>
                    <w:t>Đức</w:t>
                  </w:r>
                </w:p>
              </w:tc>
              <w:tc>
                <w:tcPr>
                  <w:tcW w:type="auto" w:w="0"/>
                  <w:shd w:val="clear" w:color="auto" w:fill="F0F0F0"/>
                </w:tcPr>
                <w:p>
                  <w:pPr>
                    <w:pStyle w:val="Normal"/>
                    <w:keepLines w:val="on"/>
                  </w:pPr>
                  <w:r>
                    <w:t>16,82</w:t>
                  </w:r>
                </w:p>
              </w:tc>
              <w:tc>
                <w:tcPr>
                  <w:tcW w:type="auto" w:w="0"/>
                  <w:shd w:val="clear" w:color="auto" w:fill="F0F0F0"/>
                </w:tcPr>
                <w:p>
                  <w:pPr>
                    <w:pStyle w:val="Normal"/>
                    <w:keepLines w:val="on"/>
                  </w:pPr>
                  <w:r>
                    <w:t>0,61</w:t>
                  </w:r>
                </w:p>
              </w:tc>
            </w:tr>
            <w:tr>
              <w:tc>
                <w:tcPr>
                  <w:tcW w:type="auto" w:w="0"/>
                  <w:shd w:val="clear" w:color="auto" w:fill="F0F0F0"/>
                </w:tcPr>
                <w:p>
                  <w:pPr>
                    <w:pStyle w:val="Para 02"/>
                    <w:keepLines w:val="on"/>
                  </w:pPr>
                  <w:r>
                    <w:t>Astra International tbk PT</w:t>
                  </w:r>
                </w:p>
              </w:tc>
              <w:tc>
                <w:tcPr>
                  <w:tcW w:type="auto" w:w="0"/>
                  <w:shd w:val="clear" w:color="auto" w:fill="F0F0F0"/>
                </w:tcPr>
                <w:p>
                  <w:pPr>
                    <w:pStyle w:val="Normal"/>
                    <w:keepLines w:val="on"/>
                  </w:pPr>
                  <w:r>
                    <w:t>15,63</w:t>
                  </w:r>
                </w:p>
              </w:tc>
              <w:tc>
                <w:tcPr>
                  <w:tcW w:type="auto" w:w="0"/>
                  <w:shd w:val="clear" w:color="auto" w:fill="F0F0F0"/>
                </w:tcPr>
                <w:p>
                  <w:pPr>
                    <w:pStyle w:val="Para 02"/>
                    <w:keepLines w:val="on"/>
                  </w:pPr>
                  <w:r>
                    <w:t>Indonesia</w:t>
                  </w:r>
                </w:p>
              </w:tc>
              <w:tc>
                <w:tcPr>
                  <w:tcW w:type="auto" w:w="0"/>
                  <w:shd w:val="clear" w:color="auto" w:fill="F0F0F0"/>
                </w:tcPr>
                <w:p>
                  <w:pPr>
                    <w:pStyle w:val="Normal"/>
                    <w:keepLines w:val="on"/>
                  </w:pPr>
                  <w:r>
                    <w:t>21,82</w:t>
                  </w:r>
                </w:p>
              </w:tc>
              <w:tc>
                <w:tcPr>
                  <w:tcW w:type="auto" w:w="0"/>
                  <w:shd w:val="clear" w:color="auto" w:fill="F0F0F0"/>
                </w:tcPr>
                <w:p>
                  <w:pPr>
                    <w:pStyle w:val="Normal"/>
                    <w:keepLines w:val="on"/>
                  </w:pPr>
                  <w:r>
                    <w:t>0,72</w:t>
                  </w:r>
                </w:p>
              </w:tc>
            </w:tr>
            <w:tr>
              <w:tc>
                <w:tcPr>
                  <w:tcW w:type="auto" w:w="0"/>
                  <w:shd w:val="clear" w:color="auto" w:fill="F0F0F0"/>
                </w:tcPr>
                <w:p>
                  <w:pPr>
                    <w:pStyle w:val="Para 02"/>
                    <w:keepLines w:val="on"/>
                  </w:pPr>
                  <w:r>
                    <w:t>Fiat S.p.A</w:t>
                  </w:r>
                </w:p>
              </w:tc>
              <w:tc>
                <w:tcPr>
                  <w:tcW w:type="auto" w:w="0"/>
                  <w:shd w:val="clear" w:color="auto" w:fill="F0F0F0"/>
                </w:tcPr>
                <w:p>
                  <w:pPr>
                    <w:pStyle w:val="Normal"/>
                    <w:keepLines w:val="on"/>
                  </w:pPr>
                  <w:r>
                    <w:t>14,64</w:t>
                  </w:r>
                </w:p>
              </w:tc>
              <w:tc>
                <w:tcPr>
                  <w:tcW w:type="auto" w:w="0"/>
                  <w:shd w:val="clear" w:color="auto" w:fill="F0F0F0"/>
                </w:tcPr>
                <w:p>
                  <w:pPr>
                    <w:pStyle w:val="Para 02"/>
                    <w:keepLines w:val="on"/>
                  </w:pPr>
                  <w:r>
                    <w:t>Ý</w:t>
                  </w:r>
                </w:p>
              </w:tc>
              <w:tc>
                <w:tcPr>
                  <w:tcW w:type="auto" w:w="0"/>
                  <w:shd w:val="clear" w:color="auto" w:fill="F0F0F0"/>
                </w:tcPr>
                <w:p>
                  <w:pPr>
                    <w:pStyle w:val="Normal"/>
                    <w:keepLines w:val="on"/>
                  </w:pPr>
                  <w:r>
                    <w:t>15,02</w:t>
                  </w:r>
                </w:p>
              </w:tc>
              <w:tc>
                <w:tcPr>
                  <w:tcW w:type="auto" w:w="0"/>
                  <w:shd w:val="clear" w:color="auto" w:fill="F0F0F0"/>
                </w:tcPr>
                <w:p>
                  <w:pPr>
                    <w:pStyle w:val="Normal"/>
                    <w:keepLines w:val="on"/>
                  </w:pPr>
                  <w:r>
                    <w:t>0,97</w:t>
                  </w:r>
                </w:p>
              </w:tc>
            </w:tr>
            <w:tr>
              <w:tc>
                <w:tcPr>
                  <w:tcW w:type="auto" w:w="0"/>
                  <w:shd w:val="clear" w:color="auto" w:fill="F0F0F0"/>
                </w:tcPr>
                <w:p>
                  <w:pPr>
                    <w:pStyle w:val="Para 02"/>
                    <w:keepLines w:val="on"/>
                  </w:pPr>
                  <w:r>
                    <w:t>Honda Motor Co., Ltd.</w:t>
                  </w:r>
                </w:p>
              </w:tc>
              <w:tc>
                <w:tcPr>
                  <w:tcW w:type="auto" w:w="0"/>
                  <w:shd w:val="clear" w:color="auto" w:fill="F0F0F0"/>
                </w:tcPr>
                <w:p>
                  <w:pPr>
                    <w:pStyle w:val="Normal"/>
                    <w:keepLines w:val="on"/>
                  </w:pPr>
                  <w:r>
                    <w:t>10,55</w:t>
                  </w:r>
                </w:p>
              </w:tc>
              <w:tc>
                <w:tcPr>
                  <w:tcW w:type="auto" w:w="0"/>
                  <w:shd w:val="clear" w:color="auto" w:fill="F0F0F0"/>
                </w:tcPr>
                <w:p>
                  <w:pPr>
                    <w:pStyle w:val="Para 02"/>
                    <w:keepLines w:val="on"/>
                  </w:pPr>
                  <w:r>
                    <w:t>Nhật Bản</w:t>
                  </w:r>
                </w:p>
              </w:tc>
              <w:tc>
                <w:tcPr>
                  <w:tcW w:type="auto" w:w="0"/>
                  <w:shd w:val="clear" w:color="auto" w:fill="F0F0F0"/>
                </w:tcPr>
                <w:p>
                  <w:pPr>
                    <w:pStyle w:val="Normal"/>
                    <w:keepLines w:val="on"/>
                  </w:pPr>
                  <w:r>
                    <w:t>17,50</w:t>
                  </w:r>
                </w:p>
              </w:tc>
              <w:tc>
                <w:tcPr>
                  <w:tcW w:type="auto" w:w="0"/>
                  <w:shd w:val="clear" w:color="auto" w:fill="F0F0F0"/>
                </w:tcPr>
                <w:p>
                  <w:pPr>
                    <w:pStyle w:val="Normal"/>
                    <w:keepLines w:val="on"/>
                  </w:pPr>
                  <w:r>
                    <w:t>0,60</w:t>
                  </w:r>
                </w:p>
              </w:tc>
            </w:tr>
            <w:tr>
              <w:tc>
                <w:tcPr>
                  <w:tcW w:type="auto" w:w="0"/>
                  <w:shd w:val="clear" w:color="auto" w:fill="F0F0F0"/>
                </w:tcPr>
                <w:p>
                  <w:pPr>
                    <w:pStyle w:val="Para 02"/>
                    <w:keepLines w:val="on"/>
                  </w:pPr>
                  <w:r>
                    <w:t>Toyota Motor Corp.</w:t>
                  </w:r>
                </w:p>
              </w:tc>
              <w:tc>
                <w:tcPr>
                  <w:tcW w:type="auto" w:w="0"/>
                  <w:shd w:val="clear" w:color="auto" w:fill="F0F0F0"/>
                </w:tcPr>
                <w:p>
                  <w:pPr>
                    <w:pStyle w:val="Normal"/>
                    <w:keepLines w:val="on"/>
                  </w:pPr>
                  <w:r>
                    <w:t>26,10</w:t>
                  </w:r>
                </w:p>
              </w:tc>
              <w:tc>
                <w:tcPr>
                  <w:tcW w:type="auto" w:w="0"/>
                  <w:shd w:val="clear" w:color="auto" w:fill="F0F0F0"/>
                </w:tcPr>
                <w:p>
                  <w:pPr>
                    <w:pStyle w:val="Para 02"/>
                    <w:keepLines w:val="on"/>
                  </w:pPr>
                  <w:r>
                    <w:t>Nhật Bản</w:t>
                  </w:r>
                </w:p>
              </w:tc>
              <w:tc>
                <w:tcPr>
                  <w:tcW w:type="auto" w:w="0"/>
                  <w:shd w:val="clear" w:color="auto" w:fill="F0F0F0"/>
                </w:tcPr>
                <w:p>
                  <w:pPr>
                    <w:pStyle w:val="Normal"/>
                    <w:keepLines w:val="on"/>
                  </w:pPr>
                  <w:r>
                    <w:t>17,50</w:t>
                  </w:r>
                </w:p>
              </w:tc>
              <w:tc>
                <w:tcPr>
                  <w:tcW w:type="auto" w:w="0"/>
                  <w:shd w:val="clear" w:color="auto" w:fill="F0F0F0"/>
                </w:tcPr>
                <w:p>
                  <w:pPr>
                    <w:pStyle w:val="Normal"/>
                    <w:keepLines w:val="on"/>
                  </w:pPr>
                  <w:r>
                    <w:t>1,49</w:t>
                  </w:r>
                </w:p>
              </w:tc>
            </w:tr>
            <w:tr>
              <w:tc>
                <w:tcPr>
                  <w:tcW w:type="auto" w:w="0"/>
                  <w:shd w:val="clear" w:color="auto" w:fill="F0F0F0"/>
                </w:tcPr>
                <w:p>
                  <w:pPr>
                    <w:pStyle w:val="Para 02"/>
                    <w:keepLines w:val="on"/>
                  </w:pPr>
                  <w:r>
                    <w:t>Nissan Motor Co. Ltd.</w:t>
                  </w:r>
                </w:p>
              </w:tc>
              <w:tc>
                <w:tcPr>
                  <w:tcW w:type="auto" w:w="0"/>
                  <w:shd w:val="clear" w:color="auto" w:fill="F0F0F0"/>
                </w:tcPr>
                <w:p>
                  <w:pPr>
                    <w:pStyle w:val="Normal"/>
                    <w:keepLines w:val="on"/>
                  </w:pPr>
                  <w:r>
                    <w:t>10,63</w:t>
                  </w:r>
                </w:p>
              </w:tc>
              <w:tc>
                <w:tcPr>
                  <w:tcW w:type="auto" w:w="0"/>
                  <w:shd w:val="clear" w:color="auto" w:fill="F0F0F0"/>
                </w:tcPr>
                <w:p>
                  <w:pPr>
                    <w:pStyle w:val="Para 02"/>
                    <w:keepLines w:val="on"/>
                  </w:pPr>
                  <w:r>
                    <w:t>Nhật Bản</w:t>
                  </w:r>
                </w:p>
              </w:tc>
              <w:tc>
                <w:tcPr>
                  <w:tcW w:type="auto" w:w="0"/>
                  <w:shd w:val="clear" w:color="auto" w:fill="F0F0F0"/>
                </w:tcPr>
                <w:p>
                  <w:pPr>
                    <w:pStyle w:val="Normal"/>
                    <w:keepLines w:val="on"/>
                  </w:pPr>
                  <w:r>
                    <w:t>17,50</w:t>
                  </w:r>
                </w:p>
              </w:tc>
              <w:tc>
                <w:tcPr>
                  <w:tcW w:type="auto" w:w="0"/>
                  <w:shd w:val="clear" w:color="auto" w:fill="F0F0F0"/>
                </w:tcPr>
                <w:p>
                  <w:pPr>
                    <w:pStyle w:val="Normal"/>
                    <w:keepLines w:val="on"/>
                  </w:pPr>
                  <w:r>
                    <w:t>0,61</w:t>
                  </w:r>
                </w:p>
              </w:tc>
            </w:tr>
            <w:tr>
              <w:tc>
                <w:tcPr>
                  <w:tcW w:type="auto" w:w="0"/>
                  <w:shd w:val="clear" w:color="auto" w:fill="F0F0F0"/>
                </w:tcPr>
                <w:p>
                  <w:pPr>
                    <w:pStyle w:val="Para 02"/>
                    <w:keepLines w:val="on"/>
                  </w:pPr>
                  <w:r>
                    <w:t>Suzuki Motor Corp.</w:t>
                  </w:r>
                </w:p>
              </w:tc>
              <w:tc>
                <w:tcPr>
                  <w:tcW w:type="auto" w:w="0"/>
                  <w:shd w:val="clear" w:color="auto" w:fill="F0F0F0"/>
                </w:tcPr>
                <w:p>
                  <w:pPr>
                    <w:pStyle w:val="Normal"/>
                    <w:keepLines w:val="on"/>
                  </w:pPr>
                  <w:r>
                    <w:t>22,42</w:t>
                  </w:r>
                </w:p>
              </w:tc>
              <w:tc>
                <w:tcPr>
                  <w:tcW w:type="auto" w:w="0"/>
                  <w:shd w:val="clear" w:color="auto" w:fill="F0F0F0"/>
                </w:tcPr>
                <w:p>
                  <w:pPr>
                    <w:pStyle w:val="Para 02"/>
                    <w:keepLines w:val="on"/>
                  </w:pPr>
                  <w:r>
                    <w:t>Nhật Bản</w:t>
                  </w:r>
                </w:p>
              </w:tc>
              <w:tc>
                <w:tcPr>
                  <w:tcW w:type="auto" w:w="0"/>
                  <w:shd w:val="clear" w:color="auto" w:fill="F0F0F0"/>
                </w:tcPr>
                <w:p>
                  <w:pPr>
                    <w:pStyle w:val="Normal"/>
                    <w:keepLines w:val="on"/>
                  </w:pPr>
                  <w:r>
                    <w:t>17,50</w:t>
                  </w:r>
                </w:p>
              </w:tc>
              <w:tc>
                <w:tcPr>
                  <w:tcW w:type="auto" w:w="0"/>
                  <w:shd w:val="clear" w:color="auto" w:fill="F0F0F0"/>
                </w:tcPr>
                <w:p>
                  <w:pPr>
                    <w:pStyle w:val="Normal"/>
                    <w:keepLines w:val="on"/>
                  </w:pPr>
                  <w:r>
                    <w:t>1,28</w:t>
                  </w:r>
                </w:p>
              </w:tc>
            </w:tr>
            <w:tr>
              <w:tc>
                <w:tcPr>
                  <w:tcW w:type="auto" w:w="0"/>
                  <w:shd w:val="clear" w:color="auto" w:fill="F0F0F0"/>
                </w:tcPr>
                <w:p>
                  <w:pPr>
                    <w:pStyle w:val="Para 02"/>
                    <w:keepLines w:val="on"/>
                  </w:pPr>
                  <w:r>
                    <w:t>Hyundai Motor Co.</w:t>
                  </w:r>
                </w:p>
              </w:tc>
              <w:tc>
                <w:tcPr>
                  <w:tcW w:type="auto" w:w="0"/>
                  <w:shd w:val="clear" w:color="auto" w:fill="F0F0F0"/>
                </w:tcPr>
                <w:p>
                  <w:pPr>
                    <w:pStyle w:val="Normal"/>
                    <w:keepLines w:val="on"/>
                  </w:pPr>
                  <w:r>
                    <w:t>8,50</w:t>
                  </w:r>
                </w:p>
              </w:tc>
              <w:tc>
                <w:tcPr>
                  <w:tcW w:type="auto" w:w="0"/>
                  <w:shd w:val="clear" w:color="auto" w:fill="F0F0F0"/>
                </w:tcPr>
                <w:p>
                  <w:pPr>
                    <w:pStyle w:val="Para 02"/>
                    <w:keepLines w:val="on"/>
                  </w:pPr>
                  <w:r>
                    <w:t>Hàn Quốc</w:t>
                  </w:r>
                </w:p>
              </w:tc>
              <w:tc>
                <w:tcPr>
                  <w:tcW w:type="auto" w:w="0"/>
                  <w:shd w:val="clear" w:color="auto" w:fill="F0F0F0"/>
                </w:tcPr>
                <w:p>
                  <w:pPr>
                    <w:pStyle w:val="Normal"/>
                    <w:keepLines w:val="on"/>
                  </w:pPr>
                  <w:r>
                    <w:t>16,98</w:t>
                  </w:r>
                </w:p>
              </w:tc>
              <w:tc>
                <w:tcPr>
                  <w:tcW w:type="auto" w:w="0"/>
                  <w:shd w:val="clear" w:color="auto" w:fill="F0F0F0"/>
                </w:tcPr>
                <w:p>
                  <w:pPr>
                    <w:pStyle w:val="Normal"/>
                    <w:keepLines w:val="on"/>
                  </w:pPr>
                  <w:r>
                    <w:t>0,50</w:t>
                  </w:r>
                </w:p>
              </w:tc>
            </w:tr>
            <w:tr>
              <w:tc>
                <w:tcPr>
                  <w:tcW w:type="auto" w:w="0"/>
                  <w:shd w:val="clear" w:color="auto" w:fill="F0F0F0"/>
                </w:tcPr>
                <w:p>
                  <w:pPr>
                    <w:pStyle w:val="Para 02"/>
                    <w:keepLines w:val="on"/>
                  </w:pPr>
                  <w:r>
                    <w:t>Kia Motors Corp.</w:t>
                  </w:r>
                </w:p>
              </w:tc>
              <w:tc>
                <w:tcPr>
                  <w:tcW w:type="auto" w:w="0"/>
                  <w:shd w:val="clear" w:color="auto" w:fill="F0F0F0"/>
                </w:tcPr>
                <w:p>
                  <w:pPr>
                    <w:pStyle w:val="Normal"/>
                    <w:keepLines w:val="on"/>
                  </w:pPr>
                  <w:r>
                    <w:t>11,64</w:t>
                  </w:r>
                </w:p>
              </w:tc>
              <w:tc>
                <w:tcPr>
                  <w:tcW w:type="auto" w:w="0"/>
                  <w:shd w:val="clear" w:color="auto" w:fill="F0F0F0"/>
                </w:tcPr>
                <w:p>
                  <w:pPr>
                    <w:pStyle w:val="Para 02"/>
                    <w:keepLines w:val="on"/>
                  </w:pPr>
                  <w:r>
                    <w:t>Hàn Quốc</w:t>
                  </w:r>
                </w:p>
              </w:tc>
              <w:tc>
                <w:tcPr>
                  <w:tcW w:type="auto" w:w="0"/>
                  <w:shd w:val="clear" w:color="auto" w:fill="F0F0F0"/>
                </w:tcPr>
                <w:p>
                  <w:pPr>
                    <w:pStyle w:val="Normal"/>
                    <w:keepLines w:val="on"/>
                  </w:pPr>
                  <w:r>
                    <w:t>16,98</w:t>
                  </w:r>
                </w:p>
              </w:tc>
              <w:tc>
                <w:tcPr>
                  <w:tcW w:type="auto" w:w="0"/>
                  <w:shd w:val="clear" w:color="auto" w:fill="F0F0F0"/>
                </w:tcPr>
                <w:p>
                  <w:pPr>
                    <w:pStyle w:val="Normal"/>
                    <w:keepLines w:val="on"/>
                  </w:pPr>
                  <w:r>
                    <w:t>0,69</w:t>
                  </w:r>
                </w:p>
              </w:tc>
            </w:tr>
            <w:tr>
              <w:tc>
                <w:tcPr>
                  <w:tcW w:type="auto" w:w="0"/>
                  <w:shd w:val="clear" w:color="auto" w:fill="F0F0F0"/>
                </w:tcPr>
                <w:p>
                  <w:pPr>
                    <w:pStyle w:val="Para 02"/>
                    <w:keepLines w:val="on"/>
                  </w:pPr>
                  <w:r>
                    <w:t>General Motors Co.</w:t>
                  </w:r>
                </w:p>
              </w:tc>
              <w:tc>
                <w:tcPr>
                  <w:tcW w:type="auto" w:w="0"/>
                  <w:shd w:val="clear" w:color="auto" w:fill="F0F0F0"/>
                </w:tcPr>
                <w:p>
                  <w:pPr>
                    <w:pStyle w:val="Normal"/>
                    <w:keepLines w:val="on"/>
                  </w:pPr>
                  <w:r>
                    <w:t>5,65</w:t>
                  </w:r>
                </w:p>
              </w:tc>
              <w:tc>
                <w:tcPr>
                  <w:tcW w:type="auto" w:w="0"/>
                  <w:shd w:val="clear" w:color="auto" w:fill="F0F0F0"/>
                </w:tcPr>
                <w:p>
                  <w:pPr>
                    <w:pStyle w:val="Para 02"/>
                    <w:keepLines w:val="on"/>
                  </w:pPr>
                  <w:r>
                    <w:t>Mỹ</w:t>
                  </w:r>
                </w:p>
              </w:tc>
              <w:tc>
                <w:tcPr>
                  <w:tcW w:type="auto" w:w="0"/>
                  <w:shd w:val="clear" w:color="auto" w:fill="F0F0F0"/>
                </w:tcPr>
                <w:p>
                  <w:pPr>
                    <w:pStyle w:val="Normal"/>
                    <w:keepLines w:val="on"/>
                  </w:pPr>
                  <w:r>
                    <w:t>19,16</w:t>
                  </w:r>
                </w:p>
              </w:tc>
              <w:tc>
                <w:tcPr>
                  <w:tcW w:type="auto" w:w="0"/>
                  <w:shd w:val="clear" w:color="auto" w:fill="F0F0F0"/>
                </w:tcPr>
                <w:p>
                  <w:pPr>
                    <w:pStyle w:val="Normal"/>
                    <w:keepLines w:val="on"/>
                  </w:pPr>
                  <w:r>
                    <w:t>0,30</w:t>
                  </w:r>
                </w:p>
              </w:tc>
            </w:tr>
            <w:tr>
              <w:tc>
                <w:tcPr>
                  <w:tcW w:type="auto" w:w="0"/>
                  <w:shd w:val="clear" w:color="auto" w:fill="F0F0F0"/>
                </w:tcPr>
                <w:p>
                  <w:pPr>
                    <w:pStyle w:val="Para 02"/>
                    <w:keepLines w:val="on"/>
                  </w:pPr>
                  <w:r>
                    <w:t>Ford Motor Co.</w:t>
                  </w:r>
                </w:p>
              </w:tc>
              <w:tc>
                <w:tcPr>
                  <w:tcW w:type="auto" w:w="0"/>
                  <w:shd w:val="clear" w:color="auto" w:fill="F0F0F0"/>
                </w:tcPr>
                <w:p>
                  <w:pPr>
                    <w:pStyle w:val="Normal"/>
                    <w:keepLines w:val="on"/>
                  </w:pPr>
                  <w:r>
                    <w:t>7,87</w:t>
                  </w:r>
                </w:p>
              </w:tc>
              <w:tc>
                <w:tcPr>
                  <w:tcW w:type="auto" w:w="0"/>
                  <w:shd w:val="clear" w:color="auto" w:fill="F0F0F0"/>
                </w:tcPr>
                <w:p>
                  <w:pPr>
                    <w:pStyle w:val="Para 02"/>
                    <w:keepLines w:val="on"/>
                  </w:pPr>
                  <w:r>
                    <w:t>Mỹ</w:t>
                  </w:r>
                </w:p>
              </w:tc>
              <w:tc>
                <w:tcPr>
                  <w:tcW w:type="auto" w:w="0"/>
                  <w:shd w:val="clear" w:color="auto" w:fill="F0F0F0"/>
                </w:tcPr>
                <w:p>
                  <w:pPr>
                    <w:pStyle w:val="Normal"/>
                    <w:keepLines w:val="on"/>
                  </w:pPr>
                  <w:r>
                    <w:t>19,16</w:t>
                  </w:r>
                </w:p>
              </w:tc>
              <w:tc>
                <w:tcPr>
                  <w:tcW w:type="auto" w:w="0"/>
                  <w:shd w:val="clear" w:color="auto" w:fill="F0F0F0"/>
                </w:tcPr>
                <w:p>
                  <w:pPr>
                    <w:pStyle w:val="Normal"/>
                    <w:keepLines w:val="on"/>
                  </w:pPr>
                  <w:r>
                    <w:t>0,41</w:t>
                  </w:r>
                </w:p>
              </w:tc>
            </w:tr>
          </w:tbl>
          <w:p/>
        </w:tc>
      </w:tr>
    </w:tbl>
    <w:p>
      <w:pPr>
        <w:pStyle w:val="Para 04"/>
        <w:keepLines w:val="on"/>
      </w:pPr>
      <w:r>
        <w:t>Porsche và Renault vẫn là những công ty rẻ nhất xét trên cả tỷ lệ PE lẫn PE tương đối, còn Toyota và Suzuki là những công ty đắt đỏ nhất, trên cả hai phương diện PE và PE tương đối. Thực tế, sự khác biệt về tỷ lệ PE giữa các thị trường đủ nhỏ để thứ hạng theo PE tương đối rất gần với thứ hạng theo PE. Điều đó sẽ không đúng nếu cách đây một thập kỷ, khi cổ phiếu Nhật Bản được giao dịch với tỷ lệ PE cao hơn nhiều so với các công ty ở các thị trường khác.</w:t>
      </w:r>
    </w:p>
    <w:p>
      <w:pPr>
        <w:pStyle w:val="Para 04"/>
        <w:keepLines w:val="on"/>
      </w:pPr>
      <w:r>
        <w:t>PE tương đối trung bình của Ford (so với thị trường Mỹ) là 0,50 trong bốn thập kỷ qua. Với PE tương đối hiện tại là 0,41, Ford trông có vẻ rẻ. GM cũng trông rẻ khi thực hiện cùng kiểu so sánh như vậy, nhưng GM vào năm 2011, sau trải nghiệm cận kề cái chết năm 2009, là một công ty rất khác so với công ty từng tồn tại trong những thập kỷ trước.</w:t>
      </w:r>
    </w:p>
    <w:p>
      <w:bookmarkStart w:id="3712" w:name="Price_to_Future__Forward__Earnin"/>
      <w:bookmarkStart w:id="3713" w:name="Price_to_Future__Forward__Earnin_1"/>
      <w:pPr>
        <w:keepNext/>
        <w:pStyle w:val="Heading 3"/>
        <w:keepLines w:val="on"/>
      </w:pPr>
      <w:r>
        <w:t>Tỷ lệ Giá trên Thu nhập Tương lai (Kỳ hạn)</w:t>
      </w:r>
      <w:bookmarkEnd w:id="3712"/>
      <w:bookmarkEnd w:id="3713"/>
    </w:p>
    <w:p>
      <w:pPr>
        <w:pStyle w:val="Para 03"/>
      </w:pPr>
      <w:r>
        <w:t>Không thể ước tính tỷ lệ giá trên thu nhập đối với những công ty có thu nhập trên mỗi cổ phiếu âm. Mặc dù có những bội số khác như tỷ lệ giá trên doanh thu vẫn có thể ước tính được cho những công ty này, nhưng có những nhà phân tích thích dùng tỷ lệ PE quen thuộc hơn. Một cách để điều chỉnh tỷ lệ giá trên thu nhập cho phù hợp với những công ty này là sử dụng thu nhập trên mỗi cổ phiếu dự kiến trong một năm tương lai để tính tỷ lệ PE. Ví dụ, giả sử một công ty hiện có thu nhập trên mỗi cổ phiếu âm là −2,00 đô la nhưng được dự báo sẽ báo cáo thu nhập trên mỗi cổ phiếu là 1,50 đô la trong năm năm tới. Bạn có thể lấy giá hiện tại chia cho thu nhập trên mỗi cổ phiếu dự kiến trong năm năm tới để có được tỷ lệ PE.</w:t>
      </w:r>
    </w:p>
    <w:p>
      <w:pPr>
        <w:pStyle w:val="Para 03"/>
      </w:pPr>
      <w:r>
        <w:t>Vậy tỷ lệ PE như thế này sẽ được sử dụng như thế nào? Tỷ lệ PE của tất cả các công ty so sánh cũng sẽ phải được ước tính bằng cách sử dụng thu nhập trên mỗi cổ phiếu dự kiến trong năm năm tới, và các giá trị thu được có thể được so sánh giữa các công ty. Giả sử rằng tất cả các công ty trong mẫu đều có cùng đặc điểm về rủi ro, tăng trưởng và tỷ lệ chi trả cổ tức sau năm thứ 5, thì những công ty có tỷ lệ giá trên thu nhập tương lai thấp sẽ được coi là bị định giá thấp. Một cách tiếp cận khác là ước tính giá mục tiêu cho công ty có thu nhập âm trong năm năm tới, lấy giá đó chia cho thu nhập trong năm đó rồi so sánh tỷ lệ PE này với tỷ lệ PE của các công ty so sánh ở thời điểm hiện tại.</w:t>
      </w:r>
    </w:p>
    <w:p>
      <w:pPr>
        <w:pStyle w:val="Para 03"/>
      </w:pPr>
      <w:r>
        <w:t>Mặc dù phiên bản điều chỉnh này của tỷ lệ PE mở rộng phạm vi áp dụng của tỷ lệ PE để bao quát nhiều công ty hiện có thu nhập âm, nhưng rất khó kiểm soát sự khác biệt giữa công ty đang được định giá và các công ty so sánh, bởi vì bạn đang so sánh các công ty ở những thời điểm khác nhau.</w:t>
      </w:r>
    </w:p>
    <w:p>
      <w:pPr>
        <w:pStyle w:val="Para 11"/>
      </w:pPr>
      <w:r>
        <w:t/>
        <w:t xml:space="preserve"> </w:t>
      </w:r>
    </w:p>
    <w:p>
      <w:bookmarkStart w:id="3715" w:name="Relative_PE_Ratios_and_Market_Gr_1"/>
      <w:bookmarkStart w:id="3716" w:name="Relative_PE_Ratios_and_Market_Gr"/>
      <w:pPr>
        <w:keepNext/>
        <w:pStyle w:val="Para 27"/>
        <w:keepLines w:val="on"/>
      </w:pPr>
      <w:r>
        <w:t>Tỷ lệ PE Tương đối và Tăng trưởng Thị trường</w:t>
      </w:r>
      <w:bookmarkEnd w:id="3715"/>
      <w:bookmarkEnd w:id="3716"/>
    </w:p>
    <w:p>
      <w:pPr>
        <w:pStyle w:val="Para 16"/>
        <w:keepLines w:val="on"/>
      </w:pPr>
      <w:r>
        <w:t>Khi tốc độ tăng trưởng kỳ vọng của thị trường tăng lên, sự chênh lệch trong các tỷ số PE cũng tăng theo, dẫn đến biên độ của tỷ số PE tương đối (relative PE) rộng hơn. Điều này có thể được minh họa rất đơn giản, nếu bạn xét tỷ số PE tương đối của một công ty có tốc độ tăng trưởng chỉ bằng một nửa thị trường. Khi tốc độ tăng trưởng thị trường là 4 phần trăm, công ty này sẽ giao dịch ở mức PE xấp xỉ 80 phần trăm PE của thị trường. Khi tốc độ tăng trưởng thị trường tăng lên 10 phần trăm, công ty sẽ giao dịch ở mức PE bằng 60 phần trăm PE của thị trường.</w:t>
      </w:r>
    </w:p>
    <w:p>
      <w:pPr>
        <w:pStyle w:val="Para 16"/>
        <w:keepLines w:val="on"/>
      </w:pPr>
      <w:r>
        <w:t>Điều này có hệ quả đối với các nhà phân tích sử dụng tỷ số PE tương đối. Cổ phiếu của những công ty có lợi nhuận tăng trưởng thấp hơn nhiều so với tốc độ tăng trưởng thị trường thường trông có vẻ rẻ theo cơ sở PE tương đối khi tốc độ tăng trưởng thị trường cao, và trông có vẻ đắt khi tốc độ tăng trưởng thị trường thấp.</w:t>
      </w:r>
    </w:p>
    <w:p>
      <w:bookmarkStart w:id="3717" w:name="Price_to_Earnings_before_R_D_Exp"/>
      <w:bookmarkStart w:id="3718" w:name="Price_to_Earnings_before_R_D_Exp_1"/>
      <w:pPr>
        <w:keepNext/>
        <w:pStyle w:val="Heading 3"/>
        <w:keepLines w:val="on"/>
      </w:pPr>
      <w:r>
        <w:t>Tỷ số Giá trên Lợi nhuận trước Chi phí R&amp;D</w:t>
      </w:r>
      <w:bookmarkEnd w:id="3717"/>
      <w:bookmarkEnd w:id="3718"/>
    </w:p>
    <w:p>
      <w:pPr>
        <w:pStyle w:val="Para 03"/>
      </w:pPr>
      <w:r>
        <w:t>Trong phần thảo luận về dòng tiền và chi phí vốn ở Chương 4, có lập luận rằng chi phí nghiên cứu và phát triển (R&amp;D) nên được vốn hóa, vì chúng đại diện cho các khoản đầu tư cho tương lai. Vì các chuẩn mực kế toán yêu cầu R&amp;D phải được ghi nhận là chi phí thay vì vốn hóa, lợi nhuận của các công ty tăng trưởng cao với chi phí nghiên cứu đáng kể có khả năng bị ghi thấp hơn thực tế, và do đó tỷ số PE có khả năng bị ghi cao hơn thực tế. Điều này đặc biệt đúng nếu bạn đang so sánh các công ty công nghệ, vốn có chi phí nghiên cứu đáng kể, với các công ty phi công nghệ, thường không có. Ngay cả khi chỉ so sánh giữa các cổ phiếu công nghệ với nhau, những công ty tăng trưởng nhanh hơn với chi phí R&amp;D lớn hơn sẽ có lợi nhuận thấp hơn và tỷ số PE cao hơn so với các công ty ổn định hơn trong ngành có chi phí R&amp;D thấp hơn. Có một số nhà phân tích lập luận rằng tỷ số PE nên được ước tính bằng cách sử dụng lợi nhuận trước chi phí R&amp;D:</w:t>
      </w:r>
    </w:p>
    <w:p>
      <w:bookmarkStart w:id="3719" w:name="PEpre_R_D_Market_value_of_equity"/>
      <w:pPr>
        <w:keepNext/>
        <w:pStyle w:val="Para 09"/>
        <w:keepLines w:val="on"/>
      </w:pPr>
      <w:r>
        <w:t>PEpre-R&amp;D=Giá trị thị trường của vốn chủ sở hữu(Lợi nhuận ròng+ Chi phí R&amp;D)</w:t>
      </w:r>
      <w:bookmarkEnd w:id="3719"/>
    </w:p>
    <w:p>
      <w:pPr>
        <w:pStyle w:val="Para 03"/>
      </w:pPr>
      <w:r>
        <w:t>Các tỷ số PE thu được từ phép tính này có khả năng thấp hơn nhiều so với tỷ số PE sử dụng định nghĩa thông thường về thu nhập trên mỗi cổ phần.</w:t>
      </w:r>
    </w:p>
    <w:p>
      <w:pPr>
        <w:pStyle w:val="Para 03"/>
      </w:pPr>
      <w:r>
        <w:t>Mặc dù logic nền tảng đằng sau cách tiếp cận này là hợp lý, việc cộng lại R&amp;D vào lợi nhuận chỉ đại diện cho một điều chỉnh một phần. Để hoàn tất việc điều chỉnh, bạn sẽ cần vốn hóa chi phí R&amp;D và tính khấu hao của chi phí R&amp;D, như đã làm ở Chương 9. Tỷ số PE đã điều chỉnh khi đó sẽ là:</w:t>
      </w:r>
    </w:p>
    <w:p>
      <w:bookmarkStart w:id="3721" w:name="PEpre_R_D_Market_value_of_equity_1"/>
      <w:pPr>
        <w:keepNext/>
        <w:pStyle w:val="Para 09"/>
        <w:keepLines w:val="on"/>
      </w:pPr>
      <w:r>
        <w:t>PEpre-R&amp;D Giá trị thị trường của vốn chủ sở hữu(Lợi nhuận ròng+Chi phí R&amp;D-Khấu hao tài sản nghiên cứu)</w:t>
      </w:r>
      <w:bookmarkEnd w:id="3721"/>
    </w:p>
    <w:p>
      <w:pPr>
        <w:pStyle w:val="Para 03"/>
      </w:pPr>
      <w:r>
        <w:t>Các tỷ số PE đã điều chỉnh này sau đó có thể được tính toán cho các công ty trong mẫu.</w:t>
      </w:r>
    </w:p>
    <w:p>
      <w:pPr>
        <w:pStyle w:val="Para 03"/>
      </w:pPr>
      <w:r>
        <w:t>Việc điều chỉnh tỷ số PE này, dù giải quyết được một vấn đề—việc ghi nhận R&amp;D là chi phí—vẫn sẽ khiến bạn phải đối mặt với tất cả các vấn đề khác liên quan đến tỷ số PE. Lợi nhuận sẽ tiếp tục biến động và bị ảnh hưởng bởi các lựa chọn kế toán, và sự khác biệt về tăng trưởng, rủi ro và đặc điểm dòng tiền vẫn sẽ khiến tỷ số giá trên lợi nhuận khác nhau giữa các công ty. Ngoài ra, bạn cũng sẽ phải tự ước tính tăng trưởng kỳ vọng của lợi nhuận (trước R&amp;D), vì các ước tính đồng thuận từ các nhà phân tích sẽ không có sẵn cho sự tăng trưởng của biến số này.</w:t>
      </w:r>
    </w:p>
    <w:p>
      <w:pPr>
        <w:pStyle w:val="Para 11"/>
      </w:pPr>
      <w:r>
        <w:t/>
        <w:t xml:space="preserve"> </w:t>
      </w:r>
    </w:p>
    <w:p>
      <w:bookmarkStart w:id="3722" w:name="ILLUSTRATION_18_13__Forward_PE_R_1"/>
      <w:bookmarkStart w:id="3723" w:name="ILLUSTRATION_18_13__Forward_PE_R"/>
      <w:pPr>
        <w:keepNext/>
        <w:pStyle w:val="Para 19"/>
        <w:keepLines w:val="on"/>
      </w:pPr>
      <w:r>
        <w:t>MINH HỌA 18.13: Tỷ số PE kỳ hạn (Forward PE)—Amylin Pharmaceuticals vào tháng 5 năm 2011</w:t>
      </w:r>
      <w:bookmarkEnd w:id="3722"/>
      <w:bookmarkEnd w:id="3723"/>
    </w:p>
    <w:p>
      <w:pPr>
        <w:pStyle w:val="Para 04"/>
        <w:keepLines w:val="on"/>
      </w:pPr>
      <w:r>
        <w:t>Vào tháng 5 năm 2011, có hàng chục công ty công nghệ sinh học được giao dịch trên các sàn giao dịch của Mỹ, nhưng nhiều công ty trong số này đang báo lỗ, hoặc vì họ chưa có sản phẩm thương mại nào hoặc vì lợi nhuận bị chi phí R&amp;D đáng kể lấn át. Chúng ta xét một công ty như vậy: Amylin Pharmaceuticals, đang giao dịch ở mức 13,28 đô la vào tháng 5 năm 2011. Trong 12 tháng gần nhất tính đến thời điểm định giá, công ty báo lỗ −1,05 đô la và các nhà phân tích dự báo lỗ khoảng 90 xu một cổ phần cho cả năm 2011 và 2012.</w:t>
      </w:r>
    </w:p>
    <w:p>
      <w:pPr>
        <w:pStyle w:val="Para 04"/>
        <w:keepLines w:val="on"/>
      </w:pPr>
      <w:r>
        <w:t>Mặc dù không thể ước tính tỷ số PE thông thường với lợi nhuận âm, có hai cách để chúng ta vẫn có thể sử dụng tỷ số PE để phân tích Amylin:</w:t>
      </w:r>
    </w:p>
    <w:p>
      <w:pPr>
        <w:numPr>
          <w:ilvl w:val="0"/>
          <w:numId w:val="177"/>
        </w:numPr>
        <w:pStyle w:val="Para 18"/>
        <w:keepLines w:val="on"/>
      </w:pPr>
      <w:r>
        <w:t>PE kỳ hạn: Các nhà phân tích kỳ vọng các sản phẩm của công ty sẽ bắt đầu tạo ra lợi nhuận đáng kể vào năm 2013, và công ty sẽ tạo ra thu nhập trên mỗi cổ phần là 1,25 đô la vào năm 2016. Chia giá hiện tại cho thu nhập trên mỗi cổ phần kỳ vọng năm 2016 ta được giá trị 10,62:</w:t>
      </w:r>
    </w:p>
    <w:p>
      <w:bookmarkStart w:id="3725" w:name="Forward_PE_Price_today_EPS_in_20"/>
      <w:pPr>
        <w:keepNext/>
        <w:pStyle w:val="Para 07"/>
        <w:keepLines w:val="on"/>
      </w:pPr>
      <w:r>
        <w:t>PE kỳ hạn=Giá hiện tại/EPS năm 2016=$13,28/$1,25=10,62</w:t>
      </w:r>
      <w:bookmarkEnd w:id="3725"/>
    </w:p>
    <w:p>
      <w:pPr>
        <w:pStyle w:val="Para 04"/>
        <w:keepLines w:val="on"/>
      </w:pPr>
      <w:r>
        <w:t>Lưu ý rằng tỷ số PE này không thể so sánh với tỷ số PE hiện tại của các công ty niêm yết khác ngày hôm nay. Ví dụ, lập luận rằng Amylin rẻ vì PE kỳ hạn 10,62 thấp hơn PE hiện tại 12,42 của Amgen là không đứng vững khi xem xét kỹ, vì lợi nhuận của Amgen là vào năm 2010 chứ không phải năm 2016. Do đó, để sử dụng PE kỳ hạn, bạn sẽ phải thu thập EPS dự báo năm 2016 cho từng công ty trong ngành và tính PE kỳ hạn cho từng công ty. (Ví dụ, PE của Amgen dựa trên EPS dự báo năm 2016 là 7,45.)</w:t>
      </w:r>
    </w:p>
    <w:p>
      <w:pPr>
        <w:numPr>
          <w:ilvl w:val="0"/>
          <w:numId w:val="177"/>
        </w:numPr>
        <w:pStyle w:val="Para 18"/>
        <w:keepLines w:val="on"/>
      </w:pPr>
      <w:r>
        <w:t>P/E trước R&amp;D: Một lý do đáng kể cho khoản lỗ của Amylin là chi phí R&amp;D đáng kể mà công ty phải chịu. Nếu bạn cộng lại R&amp;D vào khoản lỗ ròng được báo cáo và tính giá trị trên mỗi cổ phần, bạn sẽ có thu nhập trên mỗi cổ phần trước R&amp;D khoảng 0,15 đô la. Tỷ số giá trên lợi nhuận có thể được tính bằng thu nhập trên mỗi cổ phần ước tính này:</w:t>
      </w:r>
    </w:p>
    <w:p>
      <w:bookmarkStart w:id="3726" w:name="Price_EPS_before_R_D__13_28__0_1"/>
      <w:pPr>
        <w:keepNext/>
        <w:pStyle w:val="Para 07"/>
        <w:keepLines w:val="on"/>
      </w:pPr>
      <w:r>
        <w:t>Giá/EPS trước R&amp;D=$13,28/$0,15=88,53</w:t>
      </w:r>
      <w:bookmarkEnd w:id="3726"/>
    </w:p>
    <w:p>
      <w:pPr>
        <w:pStyle w:val="Para 04"/>
        <w:keepLines w:val="on"/>
      </w:pPr>
      <w:r>
        <w:t>Ở đây một lần nữa, bạn phải nhất quán và tính tỷ số PE dựa trên thu nhập trên mỗi cổ phần trước chi phí R&amp;D cho tất cả các công ty trong ngành.</w:t>
      </w:r>
    </w:p>
    <w:p>
      <w:pPr>
        <w:pStyle w:val="Para 20"/>
      </w:pPr>
      <w:r>
        <w:rPr>
          <w:rStyle w:val="Text26"/>
        </w:rPr>
        <w:bookmarkStart w:id="3727" w:name="Page_569"/>
        <w:t/>
        <w:bookmarkEnd w:id="3727"/>
      </w:r>
      <w:r>
        <w:t xml:space="preserve"> </w:t>
      </w:r>
    </w:p>
    <w:p>
      <w:bookmarkStart w:id="3728" w:name="Enterprise_Value_to_EBITDA_Multi"/>
      <w:bookmarkStart w:id="3729" w:name="Enterprise_Value_to_EBITDA_Multi_1"/>
      <w:pPr>
        <w:keepNext/>
        <w:pStyle w:val="Heading 2"/>
        <w:keepLines w:val="on"/>
      </w:pPr>
      <w:r>
        <w:t>Tỷ số Giá trị Doanh nghiệp trên EBITDA (Enterprise Value to EBITDA Multiple)</w:t>
      </w:r>
      <w:bookmarkEnd w:id="3728"/>
      <w:bookmarkEnd w:id="3729"/>
    </w:p>
    <w:p>
      <w:pPr>
        <w:pStyle w:val="Para 03"/>
      </w:pPr>
      <w:r>
        <w:t>Không giống như các tỷ số lợi nhuận đã thảo luận từ đầu chương này, tỷ số giá trị doanh nghiệp trên EBITDA là một tỷ số giá trị doanh nghiệp (firm value multiple). Trong hai thập kỷ qua, tỷ số này đã thu hút được một số người ủng hộ trong giới phân tích vì một số lý do. Thứ nhất, số công ty có EBITDA âm ít hơn nhiều so với số công ty có thu nhập trên mỗi cổ phần âm, và do đó ít công ty bị loại khỏi phân tích hơn. Thứ hai, sự khác biệt về phương pháp khấu hao giữa các công ty khác nhau—một số có thể dùng phương pháp đường thẳng trong khi những công ty khác dùng khấu hao nhanh—có thể gây ra sự khác biệt về thu nhập hoạt động hoặc thu nhập ròng nhưng sẽ không ảnh hưởng đến EBITDA. Thứ ba, tỷ số này có thể được so sánh dễ dàng hơn nhiều so với các tỷ số lợi nhuận khác giữa các công ty có đòn bẩy tài chính khác nhau (tử số là giá trị doanh nghiệp và mẫu số là lợi nhuận trước nợ). Vì tất cả những lý do này, tỷ số này đặc biệt hữu ích cho các công ty trong những ngành đòi hỏi đầu tư lớn vào cơ sở hạ tầng với thời gian hoàn vốn dài. Các công ty viễn thông hoặc các công ty tham gia xây dựng sân bay hay đường thu phí sẽ là những ví dụ điển hình.</w:t>
      </w:r>
    </w:p>
    <w:p>
      <w:bookmarkStart w:id="3730" w:name="Definition"/>
      <w:bookmarkStart w:id="3731" w:name="Definition__The_enterprise_value"/>
      <w:pPr>
        <w:keepNext/>
        <w:pStyle w:val="Heading 3"/>
        <w:keepLines w:val="on"/>
      </w:pPr>
      <w:r>
        <w:t>Định nghĩa</w:t>
      </w:r>
      <w:bookmarkEnd w:id="3730"/>
      <w:bookmarkEnd w:id="3731"/>
    </w:p>
    <w:p>
      <w:pPr>
        <w:pStyle w:val="Para 03"/>
      </w:pPr>
      <w:r>
        <w:t>Tỷ số giá trị doanh nghiệp trên EBITDA liên hệ tổng giá trị thị trường của công ty, trừ đi tiền mặt, với lợi nhuận trước lãi vay, thuế, khấu hao và phân bổ của công ty:</w:t>
      </w:r>
    </w:p>
    <w:p>
      <w:bookmarkStart w:id="3732" w:name="EV_EBITDA__Market_value_of_equit"/>
      <w:pPr>
        <w:keepNext/>
        <w:pStyle w:val="Para 09"/>
        <w:keepLines w:val="on"/>
      </w:pPr>
      <w:r>
        <w:t>EV/EBITDA=(Giá trị thị trường của vốn chủ sở hữu+Giá trị thị trường của Nợ−Tiền mặt)EBITDA</w:t>
      </w:r>
      <w:bookmarkEnd w:id="3732"/>
    </w:p>
    <w:p>
      <w:pPr>
        <w:pStyle w:val="Para 03"/>
      </w:pPr>
      <w:r>
        <w:t>Trong thực tế, các nhà phân tích và nhà đầu tư sử dụng giá trị sổ sách của nợ như một đại diện cho giá trị thị trường của nợ, vì hai con số này có xu hướng tương tự nhau (ít nhất là đối với các công ty khỏe mạnh). Tại sao tiền mặt lại được trừ ra khỏi giá trị doanh nghiệp trong phép tính này? Vì thu nhập lãi từ tiền mặt không được tính là một phần của EBITDA, nếu không trừ tiền mặt ra sẽ dẫn đến việc ghi cao hơn thực tế tỷ số EV trên EBITDA.</w:t>
      </w:r>
    </w:p>
    <w:p>
      <w:pPr>
        <w:pStyle w:val="Para 03"/>
      </w:pPr>
      <w:r>
        <w:t>Bội số giá trị doanh nghiệp trên EBITDA (enterprise value to EBITDA multiple) có thể khó ước tính đối với những công ty có các khoản sở hữu chéo (cross holdings). Để hiểu vì sao, hãy lưu ý rằng sở hữu chéo có thể được phân loại thành sở hữu đa số đang hoạt động (majority-active), sở hữu thiểu số đang hoạt động (minority-active), hoặc sở hữu thiểu số thụ động (minority-passive). Khi một khoản sở hữu được xếp vào loại sở hữu thiểu số, thu nhập hoạt động (operating income) của công ty không phản ánh thu nhập từ khoản sở hữu đó. Trong khi đó, tử số lại bao gồm giá trị thị trường của vốn chủ sở hữu (market value of equity), vốn phải bao gồm cả giá trị của các khoản sở hữu thiểu số. Do đó, bội số EV trên EBITDA sẽ quá cao đối với những công ty này, khiến người quan sát hời hợt kết luận rằng chúng đang bị định giá quá cao. Khi một khoản sở hữu được xếp vào loại sở hữu đa số, lại nảy sinh một vấn đề khác. EBITDA bao gồm 100% EBITDA của khoản sở hữu đó, nhưng tử số chỉ phản ánh phần sở hữu thuộc về công ty. Vì vậy bội số EV trên EBITDA sẽ quá thấp, khiến cổ phiếu bị xếp vào loại bị định giá thấp.</w:t>
      </w:r>
    </w:p>
    <w:p>
      <w:pPr>
        <w:pStyle w:val="Para 03"/>
      </w:pPr>
      <w:r>
        <w:t>Việc điều chỉnh cho sở hữu chéo rất phiền phức và khó thực hiện khi các khoản sở hữu nằm trong những công ty tư nhân. Với sở hữu thiểu số, bạn có thể hoặc trừ giá trị ước tính của khoản sở hữu khỏi tử số, hoặc cộng phần EBITDA tương ứng của công ty con vào mẫu số. Với sở hữu hợp nhất (consolidated holdings), bạn có thể trừ phần giá trị tương ứng theo tỷ lệ sở hữu khỏi tử số và trừ toàn bộ EBITDA của khoản sở hữu đó khỏi mẫu số.</w:t>
      </w:r>
    </w:p>
    <w:p>
      <w:pPr>
        <w:pStyle w:val="Para 20"/>
      </w:pPr>
      <w:r>
        <w:rPr>
          <w:rStyle w:val="Text26"/>
        </w:rPr>
        <w:bookmarkStart w:id="3733" w:name="Page_570"/>
        <w:t/>
        <w:bookmarkEnd w:id="3733"/>
      </w:r>
      <w:r>
        <w:t xml:space="preserve"> </w:t>
      </w:r>
    </w:p>
    <w:p>
      <w:bookmarkStart w:id="3734" w:name="EV_EBITDAConsolidated__Market_va"/>
      <w:pPr>
        <w:keepNext/>
        <w:pStyle w:val="Para 09"/>
        <w:keepLines w:val="on"/>
      </w:pPr>
      <w:r>
        <w:t>EV/EBITDAHợp nhất=(Giá trị thị trường của vốn chủ sở hữu+NợHợp nhất+ Lợi ích cổ đông thiểu số−Sở hữu thiểu số−Tiền mặtHợp nhất)EBITDAHợp nhất</w:t>
      </w:r>
      <w:bookmarkEnd w:id="3734"/>
    </w:p>
    <w:p>
      <w:pPr>
        <w:pStyle w:val="Para 03"/>
      </w:pPr>
      <w:r>
        <w:t>Trong khi các nhà phân tích thực hiện những điều chỉnh này thường dùng giá trị sổ sách của các khoản sở hữu và lợi ích thiểu số, một điều chỉnh đúng đắn sẽ đòi hỏi chúng ta phải loại trừ giá trị thị trường của cả hai.</w:t>
      </w:r>
    </w:p>
    <w:p>
      <w:pPr>
        <w:pStyle w:val="Para 03"/>
      </w:pPr>
      <w:r>
        <w:t>Bạn cũng có thể loại bỏ hoàn toàn tất cả các khoản sở hữu chéo, dù là thiểu số hay đa số, và chỉ tính EV / EBITDA cho riêng công ty mẹ</w:t>
      </w:r>
    </w:p>
    <w:p>
      <w:bookmarkStart w:id="3735" w:name="EV_EBITDAParent__Market_value_of"/>
      <w:pPr>
        <w:keepNext/>
        <w:pStyle w:val="Para 09"/>
        <w:keepLines w:val="on"/>
      </w:pPr>
      <w:r>
        <w:t>EV/EBITDACông ty mẹ=(Giá trị thị trường của vốn chủ sở hữu+NợCông ty mẹ−Giá trị thị trường của các khoản sở hữu chéo−Tiền mặtCông ty mẹ)EBITDACông ty mẹ</w:t>
      </w:r>
      <w:bookmarkEnd w:id="3735"/>
    </w:p>
    <w:p>
      <w:pPr>
        <w:pStyle w:val="Para 03"/>
      </w:pPr>
      <w:r>
        <w:t>Như bạn thấy, sở hữu chéo là một nguồn đau đầu trong định giá nội tại (intrinsic valuation) và vẫn còn rắc rối khi định giá công ty.</w:t>
      </w:r>
    </w:p>
    <w:p>
      <w:pPr>
        <w:pStyle w:val="Para 11"/>
      </w:pPr>
      <w:r>
        <w:t/>
        <w:t xml:space="preserve"> </w:t>
      </w:r>
    </w:p>
    <w:p>
      <w:bookmarkStart w:id="3736" w:name="ILLUSTRATION_18_14__Estimating_V"/>
      <w:bookmarkStart w:id="3737" w:name="ILLUSTRATION_18_14__Estimating_V_1"/>
      <w:pPr>
        <w:keepNext/>
        <w:pStyle w:val="Para 19"/>
        <w:keepLines w:val="on"/>
      </w:pPr>
      <w:r>
        <w:t>MINH HỌA 18.14: Ước tính Giá trị trên EBITDA với Sở hữu chéo</w:t>
      </w:r>
      <w:bookmarkEnd w:id="3736"/>
      <w:bookmarkEnd w:id="3737"/>
    </w:p>
    <w:p>
      <w:pPr>
        <w:pStyle w:val="Para 04"/>
        <w:keepLines w:val="on"/>
      </w:pPr>
      <w:r>
        <w:t>Trong Minh họa 16.6, chúng ta đã ước tính giá trị chiết khấu dòng tiền (discounted cash flow value) cho Segovia, một công ty có hai khoản sở hữu—một phần 51% cổ phần trong Seville Televison và một phần 15% cổ phần của LatinWorks, một công ty đĩa nhạc và CD. Khoản sở hữu thứ nhất được xếp vào loại sở hữu đa số đang hoạt động (dẫn đến việc hợp nhất) và khoản thứ hai là sở hữu thiểu số thụ động. Ở đây, chúng ta sẽ thử ước tính bội số giá trị doanh nghiệp trên EBITDA cho Seville, sử dụng những thông tin sau:</w:t>
      </w:r>
    </w:p>
    <w:p>
      <w:pPr>
        <w:numPr>
          <w:ilvl w:val="0"/>
          <w:numId w:val="178"/>
        </w:numPr>
        <w:pStyle w:val="Para 18"/>
        <w:keepLines w:val="on"/>
      </w:pPr>
      <w:r>
        <w:t>Giá trị thị trường của vốn chủ sở hữu tại Segovia là 1.529 triệu đô la, và tổng nợ hợp nhất của công ty là 500 triệu đô la. Công ty báo cáo 500 triệu đô la EBITDA trên báo cáo thu nhập hợp nhất. Một phần của EBITDA (180 triệu đô la) và nợ chưa thanh toán (150 triệu đô la) đại diện cho các khoản sở hữu của Segovia trong Seville Televison.</w:t>
      </w:r>
    </w:p>
    <w:p>
      <w:pPr>
        <w:numPr>
          <w:ilvl w:val="0"/>
          <w:numId w:val="178"/>
        </w:numPr>
        <w:pStyle w:val="Para 18"/>
        <w:keepLines w:val="on"/>
      </w:pPr>
      <w:r>
        <w:t>Seville Television là một công ty niêm yết đại chúng với giá trị thị trường của vốn chủ sở hữu là 459 triệu đô la.</w:t>
      </w:r>
    </w:p>
    <w:p>
      <w:pPr>
        <w:numPr>
          <w:ilvl w:val="0"/>
          <w:numId w:val="178"/>
        </w:numPr>
        <w:pStyle w:val="Para 18"/>
        <w:keepLines w:val="on"/>
      </w:pPr>
      <w:r>
        <w:t>LatinWorks là một công ty tư nhân với EBITDA là 120 triệu đô la trên vốn đầu tư 250 triệu đô la trong năm hiện tại; công ty có 100 triệu đô la nợ chưa thanh toán.</w:t>
      </w:r>
    </w:p>
    <w:p>
      <w:pPr>
        <w:numPr>
          <w:ilvl w:val="0"/>
          <w:numId w:val="178"/>
        </w:numPr>
        <w:pStyle w:val="Para 18"/>
        <w:keepLines w:val="on"/>
      </w:pPr>
      <w:r>
        <w:t>Không công ty nào có số dư tiền mặt đáng kể.</w:t>
      </w:r>
    </w:p>
    <w:p>
      <w:pPr>
        <w:pStyle w:val="Para 04"/>
        <w:keepLines w:val="on"/>
      </w:pPr>
      <w:r>
        <w:t>Nếu chúng ta ước tính bội số giá trị doanh nghiệp trên EBITDA cho Segovia bằng cách sử dụng báo cáo tài chính hợp nhất của nó, chúng ta sẽ thu được kết quả sau:</w:t>
      </w:r>
    </w:p>
    <w:p>
      <w:bookmarkStart w:id="3739" w:name="EV_EBITDA_Market_value_of_equity"/>
      <w:pPr>
        <w:keepNext/>
        <w:pStyle w:val="Para 07"/>
        <w:keepLines w:val="on"/>
      </w:pPr>
      <w:r>
        <w:t>EV/EBITDA=Giá trị thị trường của vốn chủ sở hữu+Giá trị nợ−Tiền mặt/EBITDA=1.529+500−0/500=4,06</w:t>
      </w:r>
      <w:bookmarkEnd w:id="3739"/>
    </w:p>
    <w:p>
      <w:pPr>
        <w:pStyle w:val="Para 04"/>
        <w:keepLines w:val="on"/>
      </w:pPr>
      <w:r>
        <w:t>Bội số này bị pha tạp bởi các khoản sở hữu chéo. Có ba cách để bạn điều chỉnh cho những khoản sở hữu này. Một là loại trừ khỏi giá trị thị trường vốn chủ sở hữu của Segovia giá trị vốn chủ sở hữu trong các khoản sở hữu và nợ của khoản sở hữu hợp nhất khỏi nợ của Segovia, rồi chia cho EBITDA của riêng công ty mẹ. Để làm điều này, trước tiên bạn cần ước tính giá trị thị trường vốn chủ sở hữu trong LatinWorks, một công ty tư nhân. Chúng ta sẽ dùng ước tính giá trị vốn chủ sở hữu thu được trong Minh họa 16.6:</w:t>
      </w:r>
    </w:p>
    <w:p>
      <w:bookmarkStart w:id="3741" w:name="Value_of_equity_in_LatinWorks__3"/>
      <w:pPr>
        <w:keepNext/>
        <w:pStyle w:val="Para 07"/>
        <w:keepLines w:val="on"/>
      </w:pPr>
      <w:r>
        <w:t>Giá trị vốn chủ sở hữu trong LatinWorks=370,25 triệu đô la</w:t>
      </w:r>
      <w:bookmarkEnd w:id="3741"/>
    </w:p>
    <w:p>
      <w:bookmarkStart w:id="3742" w:name="EV_EBITDAparent__1_529____51x459"/>
      <w:pPr>
        <w:keepNext/>
        <w:pStyle w:val="Para 07"/>
        <w:keepLines w:val="on"/>
      </w:pPr>
      <w:r>
        <w:t>EV/EBITDacông ty mẹ=(1.529−,51×459−,15×370,25)+(500−150)(500−180)=5,70</w:t>
      </w:r>
      <w:bookmarkEnd w:id="3742"/>
    </w:p>
    <w:p>
      <w:pPr>
        <w:pStyle w:val="Para 04"/>
        <w:keepLines w:val="on"/>
      </w:pPr>
      <w:r>
        <w:t>Cách này sẽ cho ra EV/EBITDA cho riêng công ty mẹ. Giải pháp thay thế là chỉ điều chỉnh mẫu số để nó nhất quán với tử số. Nói cách khác, EBITDA chỉ nên bao gồm 51% EBITDA của khoản sở hữu đa số đang hoạt động và nên cộng thêm 15% EBITDA trong các khoản sở hữu thiểu số. Vì giờ đây bạn chỉ tính phần của mình trong khoản sở hữu hợp nhất, bạn nên loại trừ phần nợ của công ty hợp nhất không thuộc về bạn:</w:t>
      </w:r>
    </w:p>
    <w:p>
      <w:bookmarkStart w:id="3743" w:name="EV_EBITDAAdjusted_EBITDA_1_529_5"/>
      <w:pPr>
        <w:keepNext/>
        <w:pStyle w:val="Para 07"/>
        <w:keepLines w:val="on"/>
      </w:pPr>
      <w:r>
        <w:t>EV/EBITDAEBITDA điều chỉnh=1.529+500−150×,49500−,49×180+,15×120=4,55</w:t>
      </w:r>
      <w:bookmarkEnd w:id="3743"/>
    </w:p>
    <w:p>
      <w:pPr>
        <w:pStyle w:val="Para 04"/>
        <w:keepLines w:val="on"/>
      </w:pPr>
      <w:r>
        <w:t>Ở cách tiếp cận cuối cùng, bạn ước tính bội số EV trên EBITDA cho công ty hợp nhất, chỉ điều chỉnh cho khoản sở hữu thiểu số. Để làm được điều này, bạn cần cộng giá trị ước tính vốn chủ sở hữu trong công ty con mà bạn đã hợp nhất (vì giá trị thị trường vốn chủ sở hữu của công ty mẹ chỉ phản ánh 51% cổ phần của công ty con mà bạn sở hữu) vào tử số, và trừ giá trị ước tính vốn chủ sở hữu trong khoản sở hữu thiểu số ở Latin Works khỏi giá trị đó. Mẫu số có thể để nguyên vì nó đã bao gồm 100% EBITDA từ công ty con hợp nhất; lập luận tương tự cũng áp dụng cho các khoản tiền mặt và nợ trong Segovia:</w:t>
      </w:r>
    </w:p>
    <w:p>
      <w:bookmarkStart w:id="3744" w:name="EV_EBITDAConsolidated__1_529__49"/>
      <w:pPr>
        <w:keepNext/>
        <w:pStyle w:val="Para 07"/>
        <w:keepLines w:val="on"/>
      </w:pPr>
      <w:r>
        <w:t>EV/EBITDAHợp nhất=(1.529+,49×459−,15×370,25)+(500−150)500=3,40</w:t>
      </w:r>
      <w:bookmarkEnd w:id="3744"/>
    </w:p>
    <w:p>
      <w:pPr>
        <w:pStyle w:val="Para 04"/>
        <w:keepLines w:val="on"/>
      </w:pPr>
      <w:r>
        <w:t>Lưu ý rằng 49% giá trị thị trường vốn chủ sở hữu trong Seville được cộng trở lại vào tử số, để nhất quán với việc giá trị vốn chủ sở hữu được đo lường theo giá thị trường. Tuy nhiên, trên thực tế, nhiều nhà phân tích sẽ dùng lợi ích cổ đông thiểu số trên bảng cân đối kế toán của Segovia, tức là thước đo giá trị sổ sách của 49% cổ phần Seville, để đi đến giá trị doanh nghiệp. Dù điều này có thể tiện lợi, nó lại đưa vào một sự không nhất quán trong ước tính.</w:t>
      </w:r>
    </w:p>
    <w:p>
      <w:pPr>
        <w:pStyle w:val="Para 04"/>
        <w:keepLines w:val="on"/>
      </w:pPr>
      <w:r>
        <w:t>Vì các cách tiếp cận cho ra những giá trị rất khác nhau, bạn có thể thắc mắc cách nào mới đúng. Vì lý do duy nhất chúng ta tính bội số là để so sánh nó với các giá trị được tính cho những công ty tương tự, câu trả lời phụ thuộc vào sự so sánh đó. Nếu mỗi công ty trong ba công ty thuộc một lĩnh vực khác nhau, tốt nhất là dùng cách tiếp cận thứ nhất và tính bội số EV/EBITDA cho từng công ty riêng biệt rồi so sánh công ty đó với các công ty khác trong lĩnh vực của nó. Nếu bạn có thể tìm được những công ty hợp nhất trông giống hệt Segovia, cả về sở hữu thiểu số lẫn đa số, bạn có thể dùng cách tiếp cận thứ hai. Nếu cả Segovia và Seville đều thuộc cùng một lĩnh vực, bạn có thể dùng cách tiếp cận thứ ba, vì bạn có thể so sánh giá trị hợp nhất với các giá trị mà những công ty khác trong lĩnh vực đang được giao dịch.</w:t>
      </w:r>
    </w:p>
    <w:p>
      <w:bookmarkStart w:id="3745" w:name="Description__Figure_18_13_summar"/>
      <w:bookmarkStart w:id="3746" w:name="Description"/>
      <w:pPr>
        <w:keepNext/>
        <w:pStyle w:val="Heading 3"/>
        <w:keepLines w:val="on"/>
      </w:pPr>
      <w:r>
        <w:t>Mô tả</w:t>
      </w:r>
      <w:bookmarkEnd w:id="3745"/>
      <w:bookmarkEnd w:id="3746"/>
    </w:p>
    <w:p>
      <w:pPr>
        <w:pStyle w:val="Para 03"/>
      </w:pPr>
      <w:r>
        <w:t>Hình 18.13 tóm tắt bội số giá trị doanh nghiệp trên EBITDA (enterprise value to EBITDA) của các công ty Mỹ và toàn cầu vào tháng 1 năm 2024. Cũng giống như tỷ số giá trên thu nhập (price-earnings ratio), bạn sẽ thấy một phân phối bị lệch mạnh. Bội số EV/EBITDA trung vị của các công ty Mỹ vào tháng 1 năm 2024 là 14,05, còn các công ty châu Âu, thị trường mới nổi và Nhật Bản đều có phân phối lệch, với những giá trị ngoại lai dương đẩy giá trị trung bình lên cao hơn hẳn trung vị.</w:t>
      </w:r>
    </w:p>
    <w:p>
      <w:bookmarkStart w:id="3748" w:name="Figure_18_13_EV_EBITDA_Multiple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63800" cy="1981200"/>
            <wp:effectExtent l="0" r="0" t="0" b="0"/>
            <wp:wrapTopAndBottom/>
            <wp:docPr id="172" name="c18f013.png" descr="Multiple bar graph and table provide data on E V to trailing E B I T D A values for 2024."/>
            <wp:cNvGraphicFramePr>
              <a:graphicFrameLocks noChangeAspect="1"/>
            </wp:cNvGraphicFramePr>
            <a:graphic>
              <a:graphicData uri="http://schemas.openxmlformats.org/drawingml/2006/picture">
                <pic:pic>
                  <pic:nvPicPr>
                    <pic:cNvPr id="0" name="c18f013.png" descr="Multiple bar graph and table provide data on E V to trailing E B I T D A values for 2024."/>
                    <pic:cNvPicPr/>
                  </pic:nvPicPr>
                  <pic:blipFill>
                    <a:blip r:embed="rId121"/>
                    <a:stretch>
                      <a:fillRect/>
                    </a:stretch>
                  </pic:blipFill>
                  <pic:spPr>
                    <a:xfrm>
                      <a:off x="0" y="0"/>
                      <a:ext cx="2463800" cy="1981200"/>
                    </a:xfrm>
                    <a:prstGeom prst="rect">
                      <a:avLst/>
                    </a:prstGeom>
                  </pic:spPr>
                </pic:pic>
              </a:graphicData>
            </a:graphic>
          </wp:anchor>
        </w:drawing>
      </w:r>
      <w:bookmarkEnd w:id="3748"/>
    </w:p>
    <w:p>
      <w:pPr>
        <w:keepNext/>
        <w:pStyle w:val="Para 22"/>
        <w:keepLines w:val="on"/>
      </w:pPr>
      <w:r>
        <w:t>HÌNH 18.13 Bội số EV/EBITDA: Các công ty Mỹ vào tháng 1 năm 2024</w:t>
      </w:r>
    </w:p>
    <w:p>
      <w:pPr>
        <w:pStyle w:val="Para 03"/>
      </w:pPr>
      <w:r>
        <w:t>Phân phối này cho thấy vì sao những quy tắc kinh nghiệm dựa trên giá trị tuyệt đối sẽ gây hiểu nhầm ở nhiều thị trường và nhiều giai đoạn. Chẳng hạn, quy tắc kinh nghiệm mà nhiều nhà đầu tư cổ phần tư nhân (private equity) dùng vào thập niên 1980 — rằng bất kỳ công ty nào giao dịch dưới sáu lần EBITDA là rẻ — có thể còn đúng ở Mỹ vào năm 2024, nhưng sẽ không đúng vào năm 2010 khi giá trị trung vị là 6,25. Vào năm 2024, nó sẽ khiến bạn kết luận rằng gần một nửa số cổ phiếu Nhật Bản là rẻ, vì giá trị trung vị ở đó là 7,47.</w:t>
      </w:r>
    </w:p>
    <w:p>
      <w:bookmarkStart w:id="3750" w:name="Analysis"/>
      <w:bookmarkStart w:id="3751" w:name="Analysis__To_analyze_the_determi"/>
      <w:pPr>
        <w:keepNext/>
        <w:pStyle w:val="Heading 3"/>
        <w:keepLines w:val="on"/>
      </w:pPr>
      <w:r>
        <w:t>Phân tích</w:t>
      </w:r>
      <w:bookmarkEnd w:id="3750"/>
      <w:bookmarkEnd w:id="3751"/>
    </w:p>
    <w:p>
      <w:pPr>
        <w:pStyle w:val="Para 03"/>
      </w:pPr>
      <w:r>
        <w:t>Để phân tích các yếu tố quyết định bội số giá trị doanh nghiệp trên EBITDA, chúng ta sẽ quay lại mô hình định giá dòng tiền tự do của doanh nghiệp (free cash flow to the firm) mà chúng ta đã xây dựng ở Chương 15. Cụ thể, chúng ta ước tính giá trị tài sản hoạt động (hay giá trị doanh nghiệp) của một công ty là:</w:t>
      </w:r>
    </w:p>
    <w:p>
      <w:bookmarkStart w:id="3752" w:name="Value_of_operating_assets_EV_FCF"/>
      <w:pPr>
        <w:keepNext/>
        <w:pStyle w:val="Para 09"/>
        <w:keepLines w:val="on"/>
      </w:pPr>
      <w:r>
        <w:t>Giá trị tài sản hoạt động=EV=FCFF1(Chi phí vốn-Tốc độ tăng trưởng kỳ vọng)</w:t>
      </w:r>
      <w:bookmarkEnd w:id="3752"/>
    </w:p>
    <w:p>
      <w:pPr>
        <w:pStyle w:val="Para 03"/>
      </w:pPr>
      <w:r>
        <w:t>Chúng ta có thể viết dòng tiền tự do của doanh nghiệp theo EBITDA:</w:t>
      </w:r>
    </w:p>
    <w:p>
      <w:bookmarkStart w:id="3753" w:name="FCFF_EBIT_1___t_____Capex___DA"/>
      <w:pPr>
        <w:keepNext/>
        <w:pStyle w:val="Para 09"/>
        <w:keepLines w:val="on"/>
      </w:pPr>
      <w:r>
        <w:t>FCFF=EBIT(1−t)−(Capex−DA;+ΔVốn lưu động)=(EBITDA−DA)(1−t)−(Capex−DA+ΔVốn lưu động)=EBITDA(1−t)−DA(1−t)−Tái đầu tư</w:t>
      </w:r>
      <w:bookmarkEnd w:id="3753"/>
    </w:p>
    <w:p>
      <w:pPr>
        <w:pStyle w:val="Para 03"/>
      </w:pPr>
      <w:r>
        <w:t>Thay ngược trở lại vào phương trình, ta được:</w:t>
      </w:r>
    </w:p>
    <w:p>
      <w:bookmarkStart w:id="3755" w:name="EV_EBITDA11_t_DA_1_t_Reinvestmen"/>
      <w:pPr>
        <w:keepNext/>
        <w:pStyle w:val="Para 09"/>
        <w:keepLines w:val="on"/>
      </w:pPr>
      <w:r>
        <w:t>EV=EBITDA11-t-DA 1-t-Tái đầu tư(Chi phí vốn-Tốc độ tăng trưởng kỳ vọng)</w:t>
      </w:r>
      <w:bookmarkEnd w:id="3755"/>
    </w:p>
    <w:p>
      <w:pPr>
        <w:pStyle w:val="Para 03"/>
      </w:pPr>
      <w:r>
        <w:t>Chia cả hai vế cho EBITDA và bỏ các chỉ số dưới, ta được:</w:t>
      </w:r>
    </w:p>
    <w:p>
      <w:bookmarkStart w:id="3756" w:name="EVEBITDA__1___t____DAEBITDA__1"/>
      <w:pPr>
        <w:keepNext/>
        <w:pStyle w:val="Para 09"/>
        <w:keepLines w:val="on"/>
      </w:pPr>
      <w:r>
        <w:t>EVEBITDA=(1−t)−DAEBITDA (1−t)−Tái đầu tưEBITDA(Chi phí vốn−Tốc độ tăng trưởng kỳ vọng)</w:t>
      </w:r>
      <w:bookmarkEnd w:id="3756"/>
    </w:p>
    <w:p>
      <w:pPr>
        <w:pStyle w:val="Para 03"/>
      </w:pPr>
      <w:r>
        <w:t>Năm yếu tố quyết định bội số giá trị doanh nghiệp trên EBITDA được thể hiện rõ trong phương trình này:</w:t>
      </w:r>
    </w:p>
    <w:p>
      <w:pPr>
        <w:numPr>
          <w:ilvl w:val="0"/>
          <w:numId w:val="179"/>
        </w:numPr>
        <w:pStyle w:val="Para 01"/>
      </w:pPr>
      <w:r>
        <w:t>Thuế suất. Các yếu tố khác không đổi, những công ty có thuế suất thấp hơn nên có bội số giá trị doanh nghiệp trên EBITDA cao hơn so với những công ty tương tự nhưng có thuế suất cao hơn.</w:t>
      </w:r>
    </w:p>
    <w:p>
      <w:pPr>
        <w:numPr>
          <w:ilvl w:val="0"/>
          <w:numId w:val="179"/>
        </w:numPr>
        <w:pStyle w:val="Para 01"/>
      </w:pPr>
      <w:r>
        <w:t>Khấu hao và phân bổ. Các yếu tố khác không đổi, những công ty có phần EBITDA đến từ khấu hao và phân bổ lớn hơn nên giao dịch ở bội số EBITDA thấp hơn so với những công ty tương tự.</w:t>
      </w:r>
    </w:p>
    <w:p>
      <w:pPr>
        <w:numPr>
          <w:ilvl w:val="0"/>
          <w:numId w:val="179"/>
        </w:numPr>
        <w:pStyle w:val="Para 01"/>
      </w:pPr>
      <w:r>
        <w:t>Nhu cầu tái đầu tư. Các yếu tố khác không đổi, phần EBITDA cần được tái đầu tư để tạo ra tăng trưởng kỳ vọng càng lớn thì giá trị trên EBITDA của công ty càng thấp.</w:t>
      </w:r>
    </w:p>
    <w:p>
      <w:pPr>
        <w:numPr>
          <w:ilvl w:val="0"/>
          <w:numId w:val="179"/>
        </w:numPr>
        <w:pStyle w:val="Para 01"/>
      </w:pPr>
      <w:r>
        <w:t>Chi phí vốn. Các yếu tố khác không đổi, những công ty có chi phí vốn thấp hơn nên giao dịch ở bội số EBITDA cao hơn nhiều.</w:t>
      </w:r>
    </w:p>
    <w:p>
      <w:pPr>
        <w:numPr>
          <w:ilvl w:val="0"/>
          <w:numId w:val="179"/>
        </w:numPr>
        <w:pStyle w:val="Para 01"/>
      </w:pPr>
      <w:r>
        <w:t>Tăng trưởng kỳ vọng. Các yếu tố khác không đổi, những công ty có tăng trưởng kỳ vọng cao hơn nên giao dịch ở bội số EBITDA cao hơn nhiều.</w:t>
      </w:r>
    </w:p>
    <w:p>
      <w:pPr>
        <w:pStyle w:val="Para 03"/>
      </w:pPr>
      <w:r>
        <w:t>Điều này có thể được khái quát hóa để xét đến các công ty đang tăng trưởng cao. Các biến số sẽ không đổi nhưng sẽ cần được ước tính cho từng giai đoạn tăng trưởng.</w:t>
      </w:r>
    </w:p>
    <w:p>
      <w:pPr>
        <w:pStyle w:val="Para 11"/>
      </w:pPr>
      <w:r>
        <w:t/>
        <w:t xml:space="preserve"> </w:t>
      </w:r>
    </w:p>
    <w:p>
      <w:bookmarkStart w:id="3757" w:name="ILLUSTRATION_18_15___Analyzing_V_1"/>
      <w:bookmarkStart w:id="3758" w:name="ILLUSTRATION_18_15___Analyzing_V"/>
      <w:pPr>
        <w:keepNext/>
        <w:pStyle w:val="Para 19"/>
        <w:keepLines w:val="on"/>
      </w:pPr>
      <w:r>
        <w:t>MINH HỌA 18.15: Phân tích bội số giá trị trên EBITDA</w:t>
      </w:r>
      <w:bookmarkEnd w:id="3757"/>
      <w:bookmarkEnd w:id="3758"/>
    </w:p>
    <w:p>
      <w:pPr>
        <w:pStyle w:val="Para 04"/>
        <w:keepLines w:val="on"/>
      </w:pPr>
      <w:r>
        <w:t>Castillo Cable là một công ty cáp và không dây với các đặc điểm sau:</w:t>
      </w:r>
    </w:p>
    <w:p>
      <w:pPr>
        <w:numPr>
          <w:ilvl w:val="0"/>
          <w:numId w:val="180"/>
        </w:numPr>
        <w:pStyle w:val="Para 18"/>
        <w:keepLines w:val="on"/>
      </w:pPr>
      <w:r>
        <w:t>Công ty có chi phí vốn là 10% và chịu thuế suất 36% trên thu nhập hoạt động.</w:t>
      </w:r>
    </w:p>
    <w:p>
      <w:pPr>
        <w:numPr>
          <w:ilvl w:val="0"/>
          <w:numId w:val="180"/>
        </w:numPr>
        <w:pStyle w:val="Para 18"/>
        <w:keepLines w:val="on"/>
      </w:pPr>
      <w:r>
        <w:t>Công ty có chi tiêu vốn (capital expenditures) bằng 45% EBITDA và khấu hao bằng 20% EBITDA. Không có nhu cầu vốn lưu động.</w:t>
      </w:r>
    </w:p>
    <w:p>
      <w:pPr>
        <w:numPr>
          <w:ilvl w:val="0"/>
          <w:numId w:val="180"/>
        </w:numPr>
        <w:pStyle w:val="Para 18"/>
        <w:keepLines w:val="on"/>
      </w:pPr>
      <w:r>
        <w:t>Công ty đang ở giai đoạn tăng trưởng ổn định và thu nhập hoạt động của nó được kỳ vọng tăng 5% mỗi năm mãi mãi.</w:t>
      </w:r>
    </w:p>
    <w:p>
      <w:pPr>
        <w:pStyle w:val="Para 04"/>
        <w:keepLines w:val="on"/>
      </w:pPr>
      <w:r>
        <w:t>Để ước tính giá trị doanh nghiệp trên EBITDA, trước tiên chúng ta ước tính nhu cầu tái đầu tư theo phần trăm EBITDA:</w:t>
      </w:r>
    </w:p>
    <w:p>
      <w:bookmarkStart w:id="3760" w:name="Reinvestment_EBITDA_Cap_ex_EBITD"/>
      <w:pPr>
        <w:keepNext/>
        <w:pStyle w:val="Para 07"/>
        <w:keepLines w:val="on"/>
      </w:pPr>
      <w:r>
        <w:t>Tái đầu tư/EBITDA = Chi tiêu vốn/EBITDA − Khấu hao/EBITDA + Δ Vốn lưu động/EBITDA = .45 − .20 − 0 = .25</w:t>
      </w:r>
      <w:bookmarkEnd w:id="3760"/>
    </w:p>
    <w:p>
      <w:bookmarkStart w:id="3761" w:name="EVEBITDA_1____36_0_201____36_0_2"/>
      <w:pPr>
        <w:keepNext/>
        <w:pStyle w:val="Para 07"/>
        <w:keepLines w:val="on"/>
      </w:pPr>
      <w:r>
        <w:t>EV/EBITDA = (1 − .36 − 0.20) / (1 − .36 − 0.25) × (.10 − .05) = 5.24</w:t>
      </w:r>
      <w:bookmarkEnd w:id="3761"/>
    </w:p>
    <w:p>
      <w:pPr>
        <w:pStyle w:val="Para 04"/>
        <w:keepLines w:val="on"/>
      </w:pPr>
      <w:r>
        <w:t>Bội số này nhạy cảm với thuế suất, như được minh họa trong Hình 18.14. Nó cũng nhạy cảm với tỷ lệ tái đầu tư (được tính theo phần trăm của EBITDA), như thể hiện trong Hình 18.15.</w:t>
      </w:r>
    </w:p>
    <w:p>
      <w:bookmarkStart w:id="3766" w:name="Figure_18_14_EV_EBITDA_Multiples"/>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62200" cy="1701800"/>
            <wp:effectExtent l="0" r="0" t="0" b="0"/>
            <wp:wrapTopAndBottom/>
            <wp:docPr id="173" name="c18f014.png" descr="Bar graph plots a decrease in tax rates for E V to E B I T D A multiples."/>
            <wp:cNvGraphicFramePr>
              <a:graphicFrameLocks noChangeAspect="1"/>
            </wp:cNvGraphicFramePr>
            <a:graphic>
              <a:graphicData uri="http://schemas.openxmlformats.org/drawingml/2006/picture">
                <pic:pic>
                  <pic:nvPicPr>
                    <pic:cNvPr id="0" name="c18f014.png" descr="Bar graph plots a decrease in tax rates for E V to E B I T D A multiples."/>
                    <pic:cNvPicPr/>
                  </pic:nvPicPr>
                  <pic:blipFill>
                    <a:blip r:embed="rId122"/>
                    <a:stretch>
                      <a:fillRect/>
                    </a:stretch>
                  </pic:blipFill>
                  <pic:spPr>
                    <a:xfrm>
                      <a:off x="0" y="0"/>
                      <a:ext cx="2362200" cy="1701800"/>
                    </a:xfrm>
                    <a:prstGeom prst="rect">
                      <a:avLst/>
                    </a:prstGeom>
                  </pic:spPr>
                </pic:pic>
              </a:graphicData>
            </a:graphic>
          </wp:anchor>
        </w:drawing>
      </w:r>
      <w:bookmarkEnd w:id="3766"/>
    </w:p>
    <w:p>
      <w:pPr>
        <w:keepNext/>
        <w:pStyle w:val="Para 38"/>
        <w:keepLines w:val="on"/>
      </w:pPr>
      <w:r>
        <w:t>Hình 18.14 Bội số EV/EBITDA và Thuế suất</w:t>
      </w:r>
    </w:p>
    <w:p>
      <w:bookmarkStart w:id="3767" w:name="Figure_18_15_EV_EBITDA_and_Net_C"/>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62200" cy="1701800"/>
            <wp:effectExtent l="0" r="0" t="0" b="0"/>
            <wp:wrapTopAndBottom/>
            <wp:docPr id="174" name="c18f015.png" descr="Bar graph plots a decrease in net capital for E V or E B I T D A multiples."/>
            <wp:cNvGraphicFramePr>
              <a:graphicFrameLocks noChangeAspect="1"/>
            </wp:cNvGraphicFramePr>
            <a:graphic>
              <a:graphicData uri="http://schemas.openxmlformats.org/drawingml/2006/picture">
                <pic:pic>
                  <pic:nvPicPr>
                    <pic:cNvPr id="0" name="c18f015.png" descr="Bar graph plots a decrease in net capital for E V or E B I T D A multiples."/>
                    <pic:cNvPicPr/>
                  </pic:nvPicPr>
                  <pic:blipFill>
                    <a:blip r:embed="rId123"/>
                    <a:stretch>
                      <a:fillRect/>
                    </a:stretch>
                  </pic:blipFill>
                  <pic:spPr>
                    <a:xfrm>
                      <a:off x="0" y="0"/>
                      <a:ext cx="2362200" cy="1701800"/>
                    </a:xfrm>
                    <a:prstGeom prst="rect">
                      <a:avLst/>
                    </a:prstGeom>
                  </pic:spPr>
                </pic:pic>
              </a:graphicData>
            </a:graphic>
          </wp:anchor>
        </w:drawing>
      </w:r>
      <w:bookmarkEnd w:id="3767"/>
    </w:p>
    <w:p>
      <w:pPr>
        <w:keepNext/>
        <w:pStyle w:val="Para 38"/>
        <w:keepLines w:val="on"/>
      </w:pPr>
      <w:r>
        <w:t>Hình 18.15 EV/EBITDA và Tỷ lệ Chi tiêu vốn ròng</w:t>
      </w:r>
    </w:p>
    <w:p>
      <w:pPr>
        <w:pStyle w:val="Para 04"/>
        <w:keepLines w:val="on"/>
      </w:pPr>
      <w:r>
        <w:t>Tuy nhiên, thay đổi tỷ lệ tái đầu tư trong khi giữ nguyên tốc độ tăng trưởng cũng tương đương với việc thay đổi tỷ suất sinh lợi trên vốn. Thực tế, với tỷ lệ tái đầu tư và tốc độ tăng trưởng hiện tại, chúng ta đang giả định tỷ suất sinh lợi trên vốn là 10,24%, cao hơn một chút so với chi phí vốn là 10,00%. Hình 18.16 xem xét bội số giá trị doanh nghiệp trên EBITDA như một hàm số của tỷ suất sinh lợi vượt trội, tức là chênh lệch giữa tỷ suất sinh lợi trên vốn và chi phí vốn.</w:t>
      </w:r>
    </w:p>
    <w:p>
      <w:bookmarkStart w:id="3769" w:name="Figure_18_16_EV_EBITDA_and_Exces"/>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74900" cy="1701800"/>
            <wp:effectExtent l="0" r="0" t="0" b="0"/>
            <wp:wrapTopAndBottom/>
            <wp:docPr id="175" name="c18f016.png" descr="Bar graph plots an increase in return on invested capital for E V to E B I T D A multiples."/>
            <wp:cNvGraphicFramePr>
              <a:graphicFrameLocks noChangeAspect="1"/>
            </wp:cNvGraphicFramePr>
            <a:graphic>
              <a:graphicData uri="http://schemas.openxmlformats.org/drawingml/2006/picture">
                <pic:pic>
                  <pic:nvPicPr>
                    <pic:cNvPr id="0" name="c18f016.png" descr="Bar graph plots an increase in return on invested capital for E V to E B I T D A multiples."/>
                    <pic:cNvPicPr/>
                  </pic:nvPicPr>
                  <pic:blipFill>
                    <a:blip r:embed="rId124"/>
                    <a:stretch>
                      <a:fillRect/>
                    </a:stretch>
                  </pic:blipFill>
                  <pic:spPr>
                    <a:xfrm>
                      <a:off x="0" y="0"/>
                      <a:ext cx="2374900" cy="1701800"/>
                    </a:xfrm>
                    <a:prstGeom prst="rect">
                      <a:avLst/>
                    </a:prstGeom>
                  </pic:spPr>
                </pic:pic>
              </a:graphicData>
            </a:graphic>
          </wp:anchor>
        </w:drawing>
      </w:r>
      <w:bookmarkEnd w:id="3769"/>
    </w:p>
    <w:p>
      <w:pPr>
        <w:keepNext/>
        <w:pStyle w:val="Para 38"/>
        <w:keepLines w:val="on"/>
      </w:pPr>
      <w:r>
        <w:t>Hình 18.16 EV/EBITDA và Tỷ suất sinh lợi vượt trội</w:t>
      </w:r>
    </w:p>
    <w:p>
      <w:pPr>
        <w:pStyle w:val="Para 04"/>
        <w:keepLines w:val="on"/>
      </w:pPr>
      <w:r>
        <w:t>Tóm lại, những công ty có tỷ suất sinh lợi trên vốn thấp và tỷ lệ tái đầu tư cao nên được giao dịch ở bội số EBITDA thấp.</w:t>
      </w:r>
    </w:p>
    <w:p>
      <w:pPr>
        <w:pStyle w:val="Para 11"/>
      </w:pPr>
      <w:r>
        <w:t/>
        <w:t xml:space="preserve"> </w:t>
      </w:r>
    </w:p>
    <w:p>
      <w:bookmarkStart w:id="3770" w:name="firmmult_xls__This_spreadsheet_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76"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3770"/>
    </w:p>
    <w:p>
      <w:pPr>
        <w:pStyle w:val="Para 31"/>
        <w:keepLines w:val="on"/>
      </w:pPr>
      <w:r>
        <w:t>firmmult.xls: Bảng tính này cho phép bạn ước tính các bội số giá trị doanh nghiệp cho một công ty tăng trưởng ổn định</w:t>
      </w:r>
    </w:p>
    <w:p>
      <w:pPr>
        <w:pStyle w:val="Para 67"/>
        <w:keepLines w:val="on"/>
      </w:pPr>
      <w:r>
        <w:t>hoặc tăng trưởng cao, dựa trên các yếu tố cơ bản của nó.</w:t>
      </w:r>
    </w:p>
    <w:p>
      <w:bookmarkStart w:id="3771" w:name="Application"/>
      <w:bookmarkStart w:id="3772" w:name="Application__Having_established"/>
      <w:pPr>
        <w:keepNext/>
        <w:pStyle w:val="Heading 3"/>
        <w:keepLines w:val="on"/>
      </w:pPr>
      <w:r>
        <w:t>Ứng dụng</w:t>
      </w:r>
      <w:bookmarkEnd w:id="3771"/>
      <w:bookmarkEnd w:id="3772"/>
    </w:p>
    <w:p>
      <w:pPr>
        <w:pStyle w:val="Para 03"/>
      </w:pPr>
      <w:r>
        <w:t>Sau khi đã xác lập các yếu tố cơ bản quyết định bội số giá trị doanh nghiệp trên EBITDA, giờ chúng ta có thể xem xét cách áp dụng bội số này hiệu quả nhất. Bội số này được sử dụng rộng rãi nhất ở các công ty thâm dụng vốn với các khoản đầu tư hạ tầng lớn. Lý do được đưa ra để sử dụng bội số này — rằng EBITDA chính là dòng tiền hoạt động của công ty — thực ra không thực sự đứng vững, bởi vì nhiều công ty trong số này cũng thường có nhu cầu chi tiêu vốn làm hao hụt dòng tiền. Tuy nhiên, có những lý do chính đáng để sử dụng bội số này khi phương pháp khấu hao khác nhau đáng kể giữa các công ty và phần lớn khoản đầu tư vào hạ tầng đã được thực hiện rồi.</w:t>
      </w:r>
    </w:p>
    <w:p>
      <w:pPr>
        <w:pStyle w:val="Para 11"/>
      </w:pPr>
      <w:r>
        <w:t/>
        <w:t xml:space="preserve"> </w:t>
      </w:r>
    </w:p>
    <w:p>
      <w:bookmarkStart w:id="3774" w:name="ILLUSTRATION_18_16___Comparing_t_1"/>
      <w:bookmarkStart w:id="3775" w:name="ILLUSTRATION_18_16___Comparing_t"/>
      <w:pPr>
        <w:keepNext/>
        <w:pStyle w:val="Para 19"/>
        <w:keepLines w:val="on"/>
      </w:pPr>
      <w:r>
        <w:t>MINH HỌA 18.16: So sánh Bội số EV-trên-EBITDA: Các công ty thép năm 2001</w:t>
      </w:r>
      <w:bookmarkEnd w:id="3774"/>
      <w:bookmarkEnd w:id="3775"/>
    </w:p>
    <w:p>
      <w:pPr>
        <w:pStyle w:val="Para 04"/>
        <w:keepLines w:val="on"/>
      </w:pPr>
      <w:r>
        <w:t>Bảng 18.20 tóm tắt các bội số giá trị doanh nghiệp trên EBITDA cho các công ty thép ở Hoa Kỳ vào tháng 3 năm 2001:</w:t>
      </w:r>
    </w:p>
    <w:p>
      <w:pPr>
        <w:pStyle w:val="Para 25"/>
        <w:keepLines w:val="on"/>
      </w:pPr>
      <w:r>
        <w:t>Bảng 18.20</w:t>
      </w:r>
    </w:p>
    <w:p>
      <w:pPr>
        <w:keepNext/>
        <w:pStyle w:val="Para 24"/>
        <w:keepLines w:val="on"/>
      </w:pPr>
      <w:r>
        <w:t>Bội số EV/EBITDA cho các công ty thép năm 2001</w:t>
      </w:r>
    </w:p>
    <w:tbl>
      <w:tblPr>
        <w:tblW w:type="auto" w:w="0"/>
      </w:tblPr>
      <w:tr>
        <w:tc>
          <w:tcPr>
            <w:tcW w:type="auto" w:w="0"/>
          </w:tcPr>
          <w:tbl>
            <w:tblPr>
              <w:tblW w:type="auto" w:w="0"/>
            </w:tblPr>
            <w:tr>
              <w:tc>
                <w:tcPr>
                  <w:tcW w:type="auto" w:w="0"/>
                  <w:shd w:val="clear" w:color="auto" w:fill="F0F0F0"/>
                  <w:vAlign w:val="bottom"/>
                </w:tcPr>
                <w:p>
                  <w:pPr>
                    <w:pStyle w:val="Para 32"/>
                    <w:keepLines w:val="on"/>
                  </w:pPr>
                  <w:r>
                    <w:t>Tên công ty</w:t>
                  </w:r>
                </w:p>
              </w:tc>
              <w:tc>
                <w:tcPr>
                  <w:tcW w:type="auto" w:w="0"/>
                  <w:shd w:val="clear" w:color="auto" w:fill="F0F0F0"/>
                  <w:vAlign w:val="bottom"/>
                </w:tcPr>
                <w:p>
                  <w:pPr>
                    <w:pStyle w:val="Para 05"/>
                    <w:keepLines w:val="on"/>
                  </w:pPr>
                  <w:r>
                    <w:t>EV/EBITDA</w:t>
                  </w:r>
                </w:p>
              </w:tc>
              <w:tc>
                <w:tcPr>
                  <w:tcW w:type="auto" w:w="0"/>
                  <w:shd w:val="clear" w:color="auto" w:fill="F0F0F0"/>
                  <w:vAlign w:val="bottom"/>
                </w:tcPr>
                <w:p>
                  <w:pPr>
                    <w:pStyle w:val="Para 05"/>
                    <w:keepLines w:val="on"/>
                  </w:pPr>
                  <w:r>
                    <w:t>Thuế suất</w:t>
                  </w:r>
                </w:p>
              </w:tc>
              <w:tc>
                <w:tcPr>
                  <w:tcW w:type="auto" w:w="0"/>
                  <w:shd w:val="clear" w:color="auto" w:fill="F0F0F0"/>
                  <w:vAlign w:val="bottom"/>
                </w:tcPr>
                <w:p>
                  <w:pPr>
                    <w:pStyle w:val="Para 05"/>
                    <w:keepLines w:val="on"/>
                  </w:pPr>
                  <w:r>
                    <w:t>ROIC</w:t>
                  </w:r>
                </w:p>
              </w:tc>
              <w:tc>
                <w:tcPr>
                  <w:tcW w:type="auto" w:w="0"/>
                  <w:shd w:val="clear" w:color="auto" w:fill="F0F0F0"/>
                  <w:vAlign w:val="bottom"/>
                </w:tcPr>
                <w:p>
                  <w:pPr>
                    <w:pStyle w:val="Para 05"/>
                    <w:keepLines w:val="on"/>
                  </w:pPr>
                  <w:r>
                    <w:t>Chi tiêu vốn ròng % của EBITDA</w:t>
                  </w:r>
                </w:p>
              </w:tc>
              <w:tc>
                <w:tcPr>
                  <w:tcW w:type="auto" w:w="0"/>
                  <w:shd w:val="clear" w:color="auto" w:fill="F0F0F0"/>
                  <w:vAlign w:val="bottom"/>
                </w:tcPr>
                <w:p>
                  <w:pPr>
                    <w:pStyle w:val="Para 05"/>
                    <w:keepLines w:val="on"/>
                  </w:pPr>
                  <w:r>
                    <w:t>Khấu hao % của EBITDA</w:t>
                  </w:r>
                </w:p>
              </w:tc>
            </w:tr>
            <w:tr>
              <w:tc>
                <w:tcPr>
                  <w:tcW w:type="auto" w:w="0"/>
                  <w:shd w:val="clear" w:color="auto" w:fill="F0F0F0"/>
                </w:tcPr>
                <w:p>
                  <w:pPr>
                    <w:pStyle w:val="Para 02"/>
                    <w:keepLines w:val="on"/>
                  </w:pPr>
                  <w:r>
                    <w:t>Ampco-Pittsburgh</w:t>
                  </w:r>
                </w:p>
              </w:tc>
              <w:tc>
                <w:tcPr>
                  <w:tcW w:type="auto" w:w="0"/>
                  <w:shd w:val="clear" w:color="auto" w:fill="F0F0F0"/>
                </w:tcPr>
                <w:p>
                  <w:pPr>
                    <w:pStyle w:val="Normal"/>
                    <w:keepLines w:val="on"/>
                  </w:pPr>
                  <w:r>
                    <w:t>2,74</w:t>
                  </w:r>
                </w:p>
              </w:tc>
              <w:tc>
                <w:tcPr>
                  <w:tcW w:type="auto" w:w="0"/>
                  <w:shd w:val="clear" w:color="auto" w:fill="F0F0F0"/>
                </w:tcPr>
                <w:p>
                  <w:pPr>
                    <w:pStyle w:val="Normal"/>
                    <w:keepLines w:val="on"/>
                  </w:pPr>
                  <w:r>
                    <w:t>26,21%</w:t>
                  </w:r>
                </w:p>
              </w:tc>
              <w:tc>
                <w:tcPr>
                  <w:tcW w:type="auto" w:w="0"/>
                  <w:shd w:val="clear" w:color="auto" w:fill="F0F0F0"/>
                </w:tcPr>
                <w:p>
                  <w:pPr>
                    <w:pStyle w:val="Normal"/>
                    <w:keepLines w:val="on"/>
                  </w:pPr>
                  <w:r>
                    <w:t>12,15%</w:t>
                  </w:r>
                </w:p>
              </w:tc>
              <w:tc>
                <w:tcPr>
                  <w:tcW w:type="auto" w:w="0"/>
                  <w:shd w:val="clear" w:color="auto" w:fill="F0F0F0"/>
                </w:tcPr>
                <w:p>
                  <w:pPr>
                    <w:pStyle w:val="Normal"/>
                    <w:keepLines w:val="on"/>
                  </w:pPr>
                  <w:r>
                    <w:t>15,72%</w:t>
                  </w:r>
                </w:p>
              </w:tc>
              <w:tc>
                <w:tcPr>
                  <w:tcW w:type="auto" w:w="0"/>
                  <w:shd w:val="clear" w:color="auto" w:fill="F0F0F0"/>
                </w:tcPr>
                <w:p>
                  <w:pPr>
                    <w:pStyle w:val="Normal"/>
                    <w:keepLines w:val="on"/>
                  </w:pPr>
                  <w:r>
                    <w:t>20,05%</w:t>
                  </w:r>
                </w:p>
              </w:tc>
            </w:tr>
            <w:tr>
              <w:tc>
                <w:tcPr>
                  <w:tcW w:type="auto" w:w="0"/>
                  <w:shd w:val="clear" w:color="auto" w:fill="F0F0F0"/>
                </w:tcPr>
                <w:p>
                  <w:pPr>
                    <w:pStyle w:val="Para 02"/>
                    <w:keepLines w:val="on"/>
                  </w:pPr>
                  <w:r>
                    <w:t>Bayou Steel</w:t>
                  </w:r>
                </w:p>
              </w:tc>
              <w:tc>
                <w:tcPr>
                  <w:tcW w:type="auto" w:w="0"/>
                  <w:shd w:val="clear" w:color="auto" w:fill="F0F0F0"/>
                </w:tcPr>
                <w:p>
                  <w:pPr>
                    <w:pStyle w:val="Normal"/>
                    <w:keepLines w:val="on"/>
                  </w:pPr>
                  <w:r>
                    <w:t>5,21</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5,95%</w:t>
                  </w:r>
                </w:p>
              </w:tc>
              <w:tc>
                <w:tcPr>
                  <w:tcW w:type="auto" w:w="0"/>
                  <w:shd w:val="clear" w:color="auto" w:fill="F0F0F0"/>
                </w:tcPr>
                <w:p>
                  <w:pPr>
                    <w:pStyle w:val="Normal"/>
                    <w:keepLines w:val="on"/>
                  </w:pPr>
                  <w:r>
                    <w:t>12,90%</w:t>
                  </w:r>
                </w:p>
              </w:tc>
              <w:tc>
                <w:tcPr>
                  <w:tcW w:type="auto" w:w="0"/>
                  <w:shd w:val="clear" w:color="auto" w:fill="F0F0F0"/>
                </w:tcPr>
                <w:p>
                  <w:pPr>
                    <w:pStyle w:val="Normal"/>
                    <w:keepLines w:val="on"/>
                  </w:pPr>
                  <w:r>
                    <w:t>41,01%</w:t>
                  </w:r>
                </w:p>
              </w:tc>
            </w:tr>
            <w:tr>
              <w:tc>
                <w:tcPr>
                  <w:tcW w:type="auto" w:w="0"/>
                  <w:shd w:val="clear" w:color="auto" w:fill="F0F0F0"/>
                </w:tcPr>
                <w:p>
                  <w:pPr>
                    <w:pStyle w:val="Para 02"/>
                    <w:keepLines w:val="on"/>
                  </w:pPr>
                  <w:r>
                    <w:t>Birmingham Steel</w:t>
                  </w:r>
                </w:p>
              </w:tc>
              <w:tc>
                <w:tcPr>
                  <w:tcW w:type="auto" w:w="0"/>
                  <w:shd w:val="clear" w:color="auto" w:fill="F0F0F0"/>
                </w:tcPr>
                <w:p>
                  <w:pPr>
                    <w:pStyle w:val="Normal"/>
                    <w:keepLines w:val="on"/>
                  </w:pPr>
                  <w:r>
                    <w:t>5,60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6,89%</w:t>
                  </w:r>
                </w:p>
              </w:tc>
              <w:tc>
                <w:tcPr>
                  <w:tcW w:type="auto" w:w="0"/>
                  <w:shd w:val="clear" w:color="auto" w:fill="F0F0F0"/>
                </w:tcPr>
                <w:p>
                  <w:pPr>
                    <w:pStyle w:val="Normal"/>
                    <w:keepLines w:val="on"/>
                  </w:pPr>
                  <w:r>
                    <w:t>−28,64%</w:t>
                  </w:r>
                </w:p>
              </w:tc>
              <w:tc>
                <w:tcPr>
                  <w:tcW w:type="auto" w:w="0"/>
                  <w:shd w:val="clear" w:color="auto" w:fill="F0F0F0"/>
                </w:tcPr>
                <w:p>
                  <w:pPr>
                    <w:pStyle w:val="Normal"/>
                    <w:keepLines w:val="on"/>
                  </w:pPr>
                  <w:r>
                    <w:t>51,92%</w:t>
                  </w:r>
                </w:p>
              </w:tc>
            </w:tr>
            <w:tr>
              <w:tc>
                <w:tcPr>
                  <w:tcW w:type="auto" w:w="0"/>
                  <w:shd w:val="clear" w:color="auto" w:fill="F0F0F0"/>
                </w:tcPr>
                <w:p>
                  <w:pPr>
                    <w:pStyle w:val="Para 02"/>
                    <w:keepLines w:val="on"/>
                  </w:pPr>
                  <w:r>
                    <w:t>Carpenter Technology</w:t>
                  </w:r>
                </w:p>
              </w:tc>
              <w:tc>
                <w:tcPr>
                  <w:tcW w:type="auto" w:w="0"/>
                  <w:shd w:val="clear" w:color="auto" w:fill="F0F0F0"/>
                </w:tcPr>
                <w:p>
                  <w:pPr>
                    <w:pStyle w:val="Normal"/>
                    <w:keepLines w:val="on"/>
                  </w:pPr>
                  <w:r>
                    <w:t>5,05</w:t>
                  </w:r>
                </w:p>
              </w:tc>
              <w:tc>
                <w:tcPr>
                  <w:tcW w:type="auto" w:w="0"/>
                  <w:shd w:val="clear" w:color="auto" w:fill="F0F0F0"/>
                </w:tcPr>
                <w:p>
                  <w:pPr>
                    <w:pStyle w:val="Normal"/>
                    <w:keepLines w:val="on"/>
                  </w:pPr>
                  <w:r>
                    <w:t>33,29%</w:t>
                  </w:r>
                </w:p>
              </w:tc>
              <w:tc>
                <w:tcPr>
                  <w:tcW w:type="auto" w:w="0"/>
                  <w:shd w:val="clear" w:color="auto" w:fill="F0F0F0"/>
                </w:tcPr>
                <w:p>
                  <w:pPr>
                    <w:pStyle w:val="Normal"/>
                    <w:keepLines w:val="on"/>
                  </w:pPr>
                  <w:r>
                    <w:t>9,16%</w:t>
                  </w:r>
                </w:p>
              </w:tc>
              <w:tc>
                <w:tcPr>
                  <w:tcW w:type="auto" w:w="0"/>
                  <w:shd w:val="clear" w:color="auto" w:fill="F0F0F0"/>
                </w:tcPr>
                <w:p>
                  <w:pPr>
                    <w:pStyle w:val="Normal"/>
                    <w:keepLines w:val="on"/>
                  </w:pPr>
                  <w:r>
                    <w:t>15,51%</w:t>
                  </w:r>
                </w:p>
              </w:tc>
              <w:tc>
                <w:tcPr>
                  <w:tcW w:type="auto" w:w="0"/>
                  <w:shd w:val="clear" w:color="auto" w:fill="F0F0F0"/>
                </w:tcPr>
                <w:p>
                  <w:pPr>
                    <w:pStyle w:val="Normal"/>
                    <w:keepLines w:val="on"/>
                  </w:pPr>
                  <w:r>
                    <w:t>28,87%</w:t>
                  </w:r>
                </w:p>
              </w:tc>
            </w:tr>
            <w:tr>
              <w:tc>
                <w:tcPr>
                  <w:tcW w:type="auto" w:w="0"/>
                  <w:shd w:val="clear" w:color="auto" w:fill="F0F0F0"/>
                </w:tcPr>
                <w:p>
                  <w:pPr>
                    <w:pStyle w:val="Para 02"/>
                    <w:keepLines w:val="on"/>
                  </w:pPr>
                  <w:r>
                    <w:t>Castle (A.M.) &amp; Co.</w:t>
                  </w:r>
                </w:p>
              </w:tc>
              <w:tc>
                <w:tcPr>
                  <w:tcW w:type="auto" w:w="0"/>
                  <w:shd w:val="clear" w:color="auto" w:fill="F0F0F0"/>
                </w:tcPr>
                <w:p>
                  <w:pPr>
                    <w:pStyle w:val="Normal"/>
                    <w:keepLines w:val="on"/>
                  </w:pPr>
                  <w:r>
                    <w:t>9,26</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8,92%</w:t>
                  </w:r>
                </w:p>
              </w:tc>
              <w:tc>
                <w:tcPr>
                  <w:tcW w:type="auto" w:w="0"/>
                  <w:shd w:val="clear" w:color="auto" w:fill="F0F0F0"/>
                </w:tcPr>
                <w:p>
                  <w:pPr>
                    <w:pStyle w:val="Normal"/>
                    <w:keepLines w:val="on"/>
                  </w:pPr>
                  <w:r>
                    <w:t>9,44%</w:t>
                  </w:r>
                </w:p>
              </w:tc>
              <w:tc>
                <w:tcPr>
                  <w:tcW w:type="auto" w:w="0"/>
                  <w:shd w:val="clear" w:color="auto" w:fill="F0F0F0"/>
                </w:tcPr>
                <w:p>
                  <w:pPr>
                    <w:pStyle w:val="Normal"/>
                    <w:keepLines w:val="on"/>
                  </w:pPr>
                  <w:r>
                    <w:t>27,22%</w:t>
                  </w:r>
                </w:p>
              </w:tc>
            </w:tr>
            <w:tr>
              <w:tc>
                <w:tcPr>
                  <w:tcW w:type="auto" w:w="0"/>
                  <w:shd w:val="clear" w:color="auto" w:fill="F0F0F0"/>
                </w:tcPr>
                <w:p>
                  <w:pPr>
                    <w:pStyle w:val="Para 02"/>
                    <w:keepLines w:val="on"/>
                  </w:pPr>
                  <w:r>
                    <w:t>Cleveland-Cliffs</w:t>
                  </w:r>
                </w:p>
              </w:tc>
              <w:tc>
                <w:tcPr>
                  <w:tcW w:type="auto" w:w="0"/>
                  <w:shd w:val="clear" w:color="auto" w:fill="F0F0F0"/>
                </w:tcPr>
                <w:p>
                  <w:pPr>
                    <w:pStyle w:val="Normal"/>
                    <w:keepLines w:val="on"/>
                  </w:pPr>
                  <w:r>
                    <w:t>5,14</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7,65%</w:t>
                  </w:r>
                </w:p>
              </w:tc>
              <w:tc>
                <w:tcPr>
                  <w:tcW w:type="auto" w:w="0"/>
                  <w:shd w:val="clear" w:color="auto" w:fill="F0F0F0"/>
                </w:tcPr>
                <w:p>
                  <w:pPr>
                    <w:pStyle w:val="Normal"/>
                    <w:keepLines w:val="on"/>
                  </w:pPr>
                  <w:r>
                    <w:t>51,84%</w:t>
                  </w:r>
                </w:p>
              </w:tc>
              <w:tc>
                <w:tcPr>
                  <w:tcW w:type="auto" w:w="0"/>
                  <w:shd w:val="clear" w:color="auto" w:fill="F0F0F0"/>
                </w:tcPr>
                <w:p>
                  <w:pPr>
                    <w:pStyle w:val="Normal"/>
                    <w:keepLines w:val="on"/>
                  </w:pPr>
                  <w:r>
                    <w:t>26,33%</w:t>
                  </w:r>
                </w:p>
              </w:tc>
            </w:tr>
            <w:tr>
              <w:tc>
                <w:tcPr>
                  <w:tcW w:type="auto" w:w="0"/>
                  <w:shd w:val="clear" w:color="auto" w:fill="F0F0F0"/>
                </w:tcPr>
                <w:p>
                  <w:pPr>
                    <w:pStyle w:val="Para 02"/>
                    <w:keepLines w:val="on"/>
                  </w:pPr>
                  <w:r>
                    <w:t>Commercial Metals</w:t>
                  </w:r>
                </w:p>
              </w:tc>
              <w:tc>
                <w:tcPr>
                  <w:tcW w:type="auto" w:w="0"/>
                  <w:shd w:val="clear" w:color="auto" w:fill="F0F0F0"/>
                </w:tcPr>
                <w:p>
                  <w:pPr>
                    <w:pStyle w:val="Normal"/>
                    <w:keepLines w:val="on"/>
                  </w:pPr>
                  <w:r>
                    <w:t>2,40</w:t>
                  </w:r>
                </w:p>
              </w:tc>
              <w:tc>
                <w:tcPr>
                  <w:tcW w:type="auto" w:w="0"/>
                  <w:shd w:val="clear" w:color="auto" w:fill="F0F0F0"/>
                </w:tcPr>
                <w:p>
                  <w:pPr>
                    <w:pStyle w:val="Normal"/>
                    <w:keepLines w:val="on"/>
                  </w:pPr>
                  <w:r>
                    <w:t>36,86%</w:t>
                  </w:r>
                </w:p>
              </w:tc>
              <w:tc>
                <w:tcPr>
                  <w:tcW w:type="auto" w:w="0"/>
                  <w:shd w:val="clear" w:color="auto" w:fill="F0F0F0"/>
                </w:tcPr>
                <w:p>
                  <w:pPr>
                    <w:pStyle w:val="Normal"/>
                    <w:keepLines w:val="on"/>
                  </w:pPr>
                  <w:r>
                    <w:t>16,60%</w:t>
                  </w:r>
                </w:p>
              </w:tc>
              <w:tc>
                <w:tcPr>
                  <w:tcW w:type="auto" w:w="0"/>
                  <w:shd w:val="clear" w:color="auto" w:fill="F0F0F0"/>
                </w:tcPr>
                <w:p>
                  <w:pPr>
                    <w:pStyle w:val="Normal"/>
                    <w:keepLines w:val="on"/>
                  </w:pPr>
                  <w:r>
                    <w:t>1,19%</w:t>
                  </w:r>
                </w:p>
              </w:tc>
              <w:tc>
                <w:tcPr>
                  <w:tcW w:type="auto" w:w="0"/>
                  <w:shd w:val="clear" w:color="auto" w:fill="F0F0F0"/>
                </w:tcPr>
                <w:p>
                  <w:pPr>
                    <w:pStyle w:val="Normal"/>
                    <w:keepLines w:val="on"/>
                  </w:pPr>
                  <w:r>
                    <w:t>26,44%</w:t>
                  </w:r>
                </w:p>
              </w:tc>
            </w:tr>
            <w:tr>
              <w:tc>
                <w:tcPr>
                  <w:tcW w:type="auto" w:w="0"/>
                  <w:shd w:val="clear" w:color="auto" w:fill="F0F0F0"/>
                </w:tcPr>
                <w:p>
                  <w:pPr>
                    <w:pStyle w:val="Para 02"/>
                    <w:keepLines w:val="on"/>
                  </w:pPr>
                  <w:r>
                    <w:t>Harris Steel</w:t>
                  </w:r>
                </w:p>
              </w:tc>
              <w:tc>
                <w:tcPr>
                  <w:tcW w:type="auto" w:w="0"/>
                  <w:shd w:val="clear" w:color="auto" w:fill="F0F0F0"/>
                </w:tcPr>
                <w:p>
                  <w:pPr>
                    <w:pStyle w:val="Normal"/>
                    <w:keepLines w:val="on"/>
                  </w:pPr>
                  <w:r>
                    <w:t>4,26</w:t>
                  </w:r>
                </w:p>
              </w:tc>
              <w:tc>
                <w:tcPr>
                  <w:tcW w:type="auto" w:w="0"/>
                  <w:shd w:val="clear" w:color="auto" w:fill="F0F0F0"/>
                </w:tcPr>
                <w:p>
                  <w:pPr>
                    <w:pStyle w:val="Normal"/>
                    <w:keepLines w:val="on"/>
                  </w:pPr>
                  <w:r>
                    <w:t>37,18%</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3,23%</w:t>
                  </w:r>
                </w:p>
              </w:tc>
              <w:tc>
                <w:tcPr>
                  <w:tcW w:type="auto" w:w="0"/>
                  <w:shd w:val="clear" w:color="auto" w:fill="F0F0F0"/>
                </w:tcPr>
                <w:p>
                  <w:pPr>
                    <w:pStyle w:val="Normal"/>
                    <w:keepLines w:val="on"/>
                  </w:pPr>
                  <w:r>
                    <w:t>4,92%</w:t>
                  </w:r>
                </w:p>
              </w:tc>
            </w:tr>
            <w:tr>
              <w:tc>
                <w:tcPr>
                  <w:tcW w:type="auto" w:w="0"/>
                  <w:shd w:val="clear" w:color="auto" w:fill="F0F0F0"/>
                </w:tcPr>
                <w:p>
                  <w:pPr>
                    <w:pStyle w:val="Para 02"/>
                    <w:keepLines w:val="on"/>
                  </w:pPr>
                  <w:r>
                    <w:t>Huntco Inc.</w:t>
                  </w:r>
                </w:p>
              </w:tc>
              <w:tc>
                <w:tcPr>
                  <w:tcW w:type="auto" w:w="0"/>
                  <w:shd w:val="clear" w:color="auto" w:fill="F0F0F0"/>
                </w:tcPr>
                <w:p>
                  <w:pPr>
                    <w:pStyle w:val="Normal"/>
                    <w:keepLines w:val="on"/>
                  </w:pPr>
                  <w:r>
                    <w:t>5,40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4,82%</w:t>
                  </w:r>
                </w:p>
              </w:tc>
              <w:tc>
                <w:tcPr>
                  <w:tcW w:type="auto" w:w="0"/>
                  <w:shd w:val="clear" w:color="auto" w:fill="F0F0F0"/>
                </w:tcPr>
                <w:p>
                  <w:pPr>
                    <w:pStyle w:val="Normal"/>
                    <w:keepLines w:val="on"/>
                  </w:pPr>
                  <w:r>
                    <w:t>−48,84%</w:t>
                  </w:r>
                </w:p>
              </w:tc>
              <w:tc>
                <w:tcPr>
                  <w:tcW w:type="auto" w:w="0"/>
                  <w:shd w:val="clear" w:color="auto" w:fill="F0F0F0"/>
                </w:tcPr>
                <w:p>
                  <w:pPr>
                    <w:pStyle w:val="Normal"/>
                    <w:keepLines w:val="on"/>
                  </w:pPr>
                  <w:r>
                    <w:t>53,02%</w:t>
                  </w:r>
                </w:p>
              </w:tc>
            </w:tr>
            <w:tr>
              <w:tc>
                <w:tcPr>
                  <w:tcW w:type="auto" w:w="0"/>
                  <w:shd w:val="clear" w:color="auto" w:fill="F0F0F0"/>
                </w:tcPr>
                <w:p>
                  <w:pPr>
                    <w:pStyle w:val="Para 02"/>
                    <w:keepLines w:val="on"/>
                  </w:pPr>
                  <w:r>
                    <w:t>IPSCO Inc.</w:t>
                  </w:r>
                </w:p>
              </w:tc>
              <w:tc>
                <w:tcPr>
                  <w:tcW w:type="auto" w:w="0"/>
                  <w:shd w:val="clear" w:color="auto" w:fill="F0F0F0"/>
                </w:tcPr>
                <w:p>
                  <w:pPr>
                    <w:pStyle w:val="Normal"/>
                    <w:keepLines w:val="on"/>
                  </w:pPr>
                  <w:r>
                    <w:t>5,06</w:t>
                  </w:r>
                </w:p>
              </w:tc>
              <w:tc>
                <w:tcPr>
                  <w:tcW w:type="auto" w:w="0"/>
                  <w:shd w:val="clear" w:color="auto" w:fill="F0F0F0"/>
                </w:tcPr>
                <w:p>
                  <w:pPr>
                    <w:pStyle w:val="Normal"/>
                    <w:keepLines w:val="on"/>
                  </w:pPr>
                  <w:r>
                    <w:t>23,87%</w:t>
                  </w:r>
                </w:p>
              </w:tc>
              <w:tc>
                <w:tcPr>
                  <w:tcW w:type="auto" w:w="0"/>
                  <w:shd w:val="clear" w:color="auto" w:fill="F0F0F0"/>
                </w:tcPr>
                <w:p>
                  <w:pPr>
                    <w:pStyle w:val="Normal"/>
                    <w:keepLines w:val="on"/>
                  </w:pPr>
                  <w:r>
                    <w:t>9,22%</w:t>
                  </w:r>
                </w:p>
              </w:tc>
              <w:tc>
                <w:tcPr>
                  <w:tcW w:type="auto" w:w="0"/>
                  <w:shd w:val="clear" w:color="auto" w:fill="F0F0F0"/>
                </w:tcPr>
                <w:p>
                  <w:pPr>
                    <w:pStyle w:val="Normal"/>
                    <w:keepLines w:val="on"/>
                  </w:pPr>
                  <w:r>
                    <w:t>50,57%</w:t>
                  </w:r>
                </w:p>
              </w:tc>
              <w:tc>
                <w:tcPr>
                  <w:tcW w:type="auto" w:w="0"/>
                  <w:shd w:val="clear" w:color="auto" w:fill="F0F0F0"/>
                </w:tcPr>
                <w:p>
                  <w:pPr>
                    <w:pStyle w:val="Normal"/>
                    <w:keepLines w:val="on"/>
                  </w:pPr>
                  <w:r>
                    <w:t>16,88%</w:t>
                  </w:r>
                </w:p>
              </w:tc>
            </w:tr>
            <w:tr>
              <w:tc>
                <w:tcPr>
                  <w:tcW w:type="auto" w:w="0"/>
                  <w:shd w:val="clear" w:color="auto" w:fill="F0F0F0"/>
                </w:tcPr>
                <w:p>
                  <w:pPr>
                    <w:pStyle w:val="Para 02"/>
                    <w:keepLines w:val="on"/>
                  </w:pPr>
                  <w:r>
                    <w:t>Kentucky Elec. Steel Inc.</w:t>
                  </w:r>
                </w:p>
              </w:tc>
              <w:tc>
                <w:tcPr>
                  <w:tcW w:type="auto" w:w="0"/>
                  <w:shd w:val="clear" w:color="auto" w:fill="F0F0F0"/>
                </w:tcPr>
                <w:p>
                  <w:pPr>
                    <w:pStyle w:val="Normal"/>
                    <w:keepLines w:val="on"/>
                  </w:pPr>
                  <w:r>
                    <w:t>1,72</w:t>
                  </w:r>
                </w:p>
              </w:tc>
              <w:tc>
                <w:tcPr>
                  <w:tcW w:type="auto" w:w="0"/>
                  <w:shd w:val="clear" w:color="auto" w:fill="F0F0F0"/>
                </w:tcPr>
                <w:p>
                  <w:pPr>
                    <w:pStyle w:val="Normal"/>
                    <w:keepLines w:val="on"/>
                  </w:pPr>
                  <w:r>
                    <w:t>37,26%</w:t>
                  </w:r>
                </w:p>
              </w:tc>
              <w:tc>
                <w:tcPr>
                  <w:tcW w:type="auto" w:w="0"/>
                  <w:shd w:val="clear" w:color="auto" w:fill="F0F0F0"/>
                </w:tcPr>
                <w:p>
                  <w:pPr>
                    <w:pStyle w:val="Normal"/>
                    <w:keepLines w:val="on"/>
                  </w:pPr>
                  <w:r>
                    <w:t>6,75%</w:t>
                  </w:r>
                </w:p>
              </w:tc>
              <w:tc>
                <w:tcPr>
                  <w:tcW w:type="auto" w:w="0"/>
                  <w:shd w:val="clear" w:color="auto" w:fill="F0F0F0"/>
                </w:tcPr>
                <w:p>
                  <w:pPr>
                    <w:pStyle w:val="Normal"/>
                    <w:keepLines w:val="on"/>
                  </w:pPr>
                  <w:r>
                    <w:t>−25,51%</w:t>
                  </w:r>
                </w:p>
              </w:tc>
              <w:tc>
                <w:tcPr>
                  <w:tcW w:type="auto" w:w="0"/>
                  <w:shd w:val="clear" w:color="auto" w:fill="F0F0F0"/>
                </w:tcPr>
                <w:p>
                  <w:pPr>
                    <w:pStyle w:val="Normal"/>
                    <w:keepLines w:val="on"/>
                  </w:pPr>
                  <w:r>
                    <w:t>38,78%</w:t>
                  </w:r>
                </w:p>
              </w:tc>
            </w:tr>
            <w:tr>
              <w:tc>
                <w:tcPr>
                  <w:tcW w:type="auto" w:w="0"/>
                  <w:shd w:val="clear" w:color="auto" w:fill="F0F0F0"/>
                </w:tcPr>
                <w:p>
                  <w:pPr>
                    <w:pStyle w:val="Para 02"/>
                    <w:keepLines w:val="on"/>
                  </w:pPr>
                  <w:r>
                    <w:t>National Steel</w:t>
                  </w:r>
                </w:p>
              </w:tc>
              <w:tc>
                <w:tcPr>
                  <w:tcW w:type="auto" w:w="0"/>
                  <w:shd w:val="clear" w:color="auto" w:fill="F0F0F0"/>
                </w:tcPr>
                <w:p>
                  <w:pPr>
                    <w:pStyle w:val="Normal"/>
                    <w:keepLines w:val="on"/>
                  </w:pPr>
                  <w:r>
                    <w:t>2,30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8,46%</w:t>
                  </w:r>
                </w:p>
              </w:tc>
              <w:tc>
                <w:tcPr>
                  <w:tcW w:type="auto" w:w="0"/>
                  <w:shd w:val="clear" w:color="auto" w:fill="F0F0F0"/>
                </w:tcPr>
                <w:p>
                  <w:pPr>
                    <w:pStyle w:val="Normal"/>
                    <w:keepLines w:val="on"/>
                  </w:pPr>
                  <w:r>
                    <w:t>68,49%</w:t>
                  </w:r>
                </w:p>
              </w:tc>
              <w:tc>
                <w:tcPr>
                  <w:tcW w:type="auto" w:w="0"/>
                  <w:shd w:val="clear" w:color="auto" w:fill="F0F0F0"/>
                </w:tcPr>
                <w:p>
                  <w:pPr>
                    <w:pStyle w:val="Normal"/>
                    <w:keepLines w:val="on"/>
                  </w:pPr>
                  <w:r>
                    <w:t>53,84%</w:t>
                  </w:r>
                </w:p>
              </w:tc>
            </w:tr>
            <w:tr>
              <w:tc>
                <w:tcPr>
                  <w:tcW w:type="auto" w:w="0"/>
                  <w:shd w:val="clear" w:color="auto" w:fill="F0F0F0"/>
                </w:tcPr>
                <w:p>
                  <w:pPr>
                    <w:pStyle w:val="Para 02"/>
                    <w:keepLines w:val="on"/>
                  </w:pPr>
                  <w:r>
                    <w:t>NN Inc.</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34,35%</w:t>
                  </w:r>
                </w:p>
              </w:tc>
              <w:tc>
                <w:tcPr>
                  <w:tcW w:type="auto" w:w="0"/>
                  <w:shd w:val="clear" w:color="auto" w:fill="F0F0F0"/>
                </w:tcPr>
                <w:p>
                  <w:pPr>
                    <w:pStyle w:val="Normal"/>
                    <w:keepLines w:val="on"/>
                  </w:pPr>
                  <w:r>
                    <w:t>15,73%</w:t>
                  </w:r>
                </w:p>
              </w:tc>
              <w:tc>
                <w:tcPr>
                  <w:tcW w:type="auto" w:w="0"/>
                  <w:shd w:val="clear" w:color="auto" w:fill="F0F0F0"/>
                </w:tcPr>
                <w:p>
                  <w:pPr>
                    <w:pStyle w:val="Normal"/>
                    <w:keepLines w:val="on"/>
                  </w:pPr>
                  <w:r>
                    <w:t>−15,04%</w:t>
                  </w:r>
                </w:p>
              </w:tc>
              <w:tc>
                <w:tcPr>
                  <w:tcW w:type="auto" w:w="0"/>
                  <w:shd w:val="clear" w:color="auto" w:fill="F0F0F0"/>
                </w:tcPr>
                <w:p>
                  <w:pPr>
                    <w:pStyle w:val="Normal"/>
                    <w:keepLines w:val="on"/>
                  </w:pPr>
                  <w:r>
                    <w:t>24,80%</w:t>
                  </w:r>
                </w:p>
              </w:tc>
            </w:tr>
            <w:tr>
              <w:tc>
                <w:tcPr>
                  <w:tcW w:type="auto" w:w="0"/>
                  <w:shd w:val="clear" w:color="auto" w:fill="F0F0F0"/>
                </w:tcPr>
                <w:p>
                  <w:pPr>
                    <w:pStyle w:val="Para 02"/>
                    <w:keepLines w:val="on"/>
                  </w:pPr>
                  <w:r>
                    <w:t>Northwest Pipe Co.</w:t>
                  </w:r>
                </w:p>
              </w:tc>
              <w:tc>
                <w:tcPr>
                  <w:tcW w:type="auto" w:w="0"/>
                  <w:shd w:val="clear" w:color="auto" w:fill="F0F0F0"/>
                </w:tcPr>
                <w:p>
                  <w:pPr>
                    <w:pStyle w:val="Normal"/>
                    <w:keepLines w:val="on"/>
                  </w:pPr>
                  <w:r>
                    <w:t>5.14</w:t>
                  </w:r>
                </w:p>
              </w:tc>
              <w:tc>
                <w:tcPr>
                  <w:tcW w:type="auto" w:w="0"/>
                  <w:shd w:val="clear" w:color="auto" w:fill="F0F0F0"/>
                </w:tcPr>
                <w:p>
                  <w:pPr>
                    <w:pStyle w:val="Normal"/>
                    <w:keepLines w:val="on"/>
                  </w:pPr>
                  <w:r>
                    <w:t>39.47%</w:t>
                  </w:r>
                </w:p>
              </w:tc>
              <w:tc>
                <w:tcPr>
                  <w:tcW w:type="auto" w:w="0"/>
                  <w:shd w:val="clear" w:color="auto" w:fill="F0F0F0"/>
                </w:tcPr>
                <w:p>
                  <w:pPr>
                    <w:pStyle w:val="Normal"/>
                    <w:keepLines w:val="on"/>
                  </w:pPr>
                  <w:r>
                    <w:t>9.05%</w:t>
                  </w:r>
                </w:p>
              </w:tc>
              <w:tc>
                <w:tcPr>
                  <w:tcW w:type="auto" w:w="0"/>
                  <w:shd w:val="clear" w:color="auto" w:fill="F0F0F0"/>
                </w:tcPr>
                <w:p>
                  <w:pPr>
                    <w:pStyle w:val="Normal"/>
                    <w:keepLines w:val="on"/>
                  </w:pPr>
                  <w:r>
                    <w:t>8.73%</w:t>
                  </w:r>
                </w:p>
              </w:tc>
              <w:tc>
                <w:tcPr>
                  <w:tcW w:type="auto" w:w="0"/>
                  <w:shd w:val="clear" w:color="auto" w:fill="F0F0F0"/>
                </w:tcPr>
                <w:p>
                  <w:pPr>
                    <w:pStyle w:val="Normal"/>
                    <w:keepLines w:val="on"/>
                  </w:pPr>
                  <w:r>
                    <w:t>17.22%</w:t>
                  </w:r>
                </w:p>
              </w:tc>
            </w:tr>
            <w:tr>
              <w:tc>
                <w:tcPr>
                  <w:tcW w:type="auto" w:w="0"/>
                  <w:shd w:val="clear" w:color="auto" w:fill="F0F0F0"/>
                </w:tcPr>
                <w:p>
                  <w:pPr>
                    <w:pStyle w:val="Para 02"/>
                    <w:keepLines w:val="on"/>
                  </w:pPr>
                  <w:r>
                    <w:t>Nucor Corp.</w:t>
                  </w:r>
                </w:p>
              </w:tc>
              <w:tc>
                <w:tcPr>
                  <w:tcW w:type="auto" w:w="0"/>
                  <w:shd w:val="clear" w:color="auto" w:fill="F0F0F0"/>
                </w:tcPr>
                <w:p>
                  <w:pPr>
                    <w:pStyle w:val="Normal"/>
                    <w:keepLines w:val="on"/>
                  </w:pPr>
                  <w:r>
                    <w:t>3.88</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18.48%</w:t>
                  </w:r>
                </w:p>
              </w:tc>
              <w:tc>
                <w:tcPr>
                  <w:tcW w:type="auto" w:w="0"/>
                  <w:shd w:val="clear" w:color="auto" w:fill="F0F0F0"/>
                </w:tcPr>
                <w:p>
                  <w:pPr>
                    <w:pStyle w:val="Normal"/>
                    <w:keepLines w:val="on"/>
                  </w:pPr>
                  <w:r>
                    <w:t>15.66%</w:t>
                  </w:r>
                </w:p>
              </w:tc>
              <w:tc>
                <w:tcPr>
                  <w:tcW w:type="auto" w:w="0"/>
                  <w:shd w:val="clear" w:color="auto" w:fill="F0F0F0"/>
                </w:tcPr>
                <w:p>
                  <w:pPr>
                    <w:pStyle w:val="Normal"/>
                    <w:keepLines w:val="on"/>
                  </w:pPr>
                  <w:r>
                    <w:t>26.04%</w:t>
                  </w:r>
                </w:p>
              </w:tc>
            </w:tr>
            <w:tr>
              <w:tc>
                <w:tcPr>
                  <w:tcW w:type="auto" w:w="0"/>
                  <w:shd w:val="clear" w:color="auto" w:fill="F0F0F0"/>
                </w:tcPr>
                <w:p>
                  <w:pPr>
                    <w:pStyle w:val="Para 02"/>
                    <w:keepLines w:val="on"/>
                  </w:pPr>
                  <w:r>
                    <w:t>Olympic Steel Inc.</w:t>
                  </w:r>
                </w:p>
              </w:tc>
              <w:tc>
                <w:tcPr>
                  <w:tcW w:type="auto" w:w="0"/>
                  <w:shd w:val="clear" w:color="auto" w:fill="F0F0F0"/>
                </w:tcPr>
                <w:p>
                  <w:pPr>
                    <w:pStyle w:val="Normal"/>
                    <w:keepLines w:val="on"/>
                  </w:pPr>
                  <w:r>
                    <w:t>4.46</w:t>
                  </w:r>
                </w:p>
              </w:tc>
              <w:tc>
                <w:tcPr>
                  <w:tcW w:type="auto" w:w="0"/>
                  <w:shd w:val="clear" w:color="auto" w:fill="F0F0F0"/>
                </w:tcPr>
                <w:p>
                  <w:pPr>
                    <w:pStyle w:val="Normal"/>
                    <w:keepLines w:val="on"/>
                  </w:pPr>
                  <w:r>
                    <w:t>37.93%</w:t>
                  </w:r>
                </w:p>
              </w:tc>
              <w:tc>
                <w:tcPr>
                  <w:tcW w:type="auto" w:w="0"/>
                  <w:shd w:val="clear" w:color="auto" w:fill="F0F0F0"/>
                </w:tcPr>
                <w:p>
                  <w:pPr>
                    <w:pStyle w:val="Normal"/>
                    <w:keepLines w:val="on"/>
                  </w:pPr>
                  <w:r>
                    <w:t>5.80%</w:t>
                  </w:r>
                </w:p>
              </w:tc>
              <w:tc>
                <w:tcPr>
                  <w:tcW w:type="auto" w:w="0"/>
                  <w:shd w:val="clear" w:color="auto" w:fill="F0F0F0"/>
                </w:tcPr>
                <w:p>
                  <w:pPr>
                    <w:pStyle w:val="Normal"/>
                    <w:keepLines w:val="on"/>
                  </w:pPr>
                  <w:r>
                    <w:t>−3.75%</w:t>
                  </w:r>
                </w:p>
              </w:tc>
              <w:tc>
                <w:tcPr>
                  <w:tcW w:type="auto" w:w="0"/>
                  <w:shd w:val="clear" w:color="auto" w:fill="F0F0F0"/>
                </w:tcPr>
                <w:p>
                  <w:pPr>
                    <w:pStyle w:val="Normal"/>
                    <w:keepLines w:val="on"/>
                  </w:pPr>
                  <w:r>
                    <w:t>26.62%</w:t>
                  </w:r>
                </w:p>
              </w:tc>
            </w:tr>
            <w:tr>
              <w:tc>
                <w:tcPr>
                  <w:tcW w:type="auto" w:w="0"/>
                  <w:shd w:val="clear" w:color="auto" w:fill="F0F0F0"/>
                </w:tcPr>
                <w:p>
                  <w:pPr>
                    <w:pStyle w:val="Para 02"/>
                    <w:keepLines w:val="on"/>
                  </w:pPr>
                  <w:r>
                    <w:t>Oregon Steel Mills</w:t>
                  </w:r>
                </w:p>
              </w:tc>
              <w:tc>
                <w:tcPr>
                  <w:tcW w:type="auto" w:w="0"/>
                  <w:shd w:val="clear" w:color="auto" w:fill="F0F0F0"/>
                </w:tcPr>
                <w:p>
                  <w:pPr>
                    <w:pStyle w:val="Normal"/>
                    <w:keepLines w:val="on"/>
                  </w:pPr>
                  <w:r>
                    <w:t>5.32</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7.23%</w:t>
                  </w:r>
                </w:p>
              </w:tc>
              <w:tc>
                <w:tcPr>
                  <w:tcW w:type="auto" w:w="0"/>
                  <w:shd w:val="clear" w:color="auto" w:fill="F0F0F0"/>
                </w:tcPr>
                <w:p>
                  <w:pPr>
                    <w:pStyle w:val="Normal"/>
                    <w:keepLines w:val="on"/>
                  </w:pPr>
                  <w:r>
                    <w:t>−31.77%</w:t>
                  </w:r>
                </w:p>
              </w:tc>
              <w:tc>
                <w:tcPr>
                  <w:tcW w:type="auto" w:w="0"/>
                  <w:shd w:val="clear" w:color="auto" w:fill="F0F0F0"/>
                </w:tcPr>
                <w:p>
                  <w:pPr>
                    <w:pStyle w:val="Normal"/>
                    <w:keepLines w:val="on"/>
                  </w:pPr>
                  <w:r>
                    <w:t>49.57%</w:t>
                  </w:r>
                </w:p>
              </w:tc>
            </w:tr>
            <w:tr>
              <w:tc>
                <w:tcPr>
                  <w:tcW w:type="auto" w:w="0"/>
                  <w:shd w:val="clear" w:color="auto" w:fill="F0F0F0"/>
                </w:tcPr>
                <w:p>
                  <w:pPr>
                    <w:pStyle w:val="Para 02"/>
                    <w:keepLines w:val="on"/>
                  </w:pPr>
                  <w:r>
                    <w:t>Quanex Corp.</w:t>
                  </w:r>
                </w:p>
              </w:tc>
              <w:tc>
                <w:tcPr>
                  <w:tcW w:type="auto" w:w="0"/>
                  <w:shd w:val="clear" w:color="auto" w:fill="F0F0F0"/>
                </w:tcPr>
                <w:p>
                  <w:pPr>
                    <w:pStyle w:val="Normal"/>
                    <w:keepLines w:val="on"/>
                  </w:pPr>
                  <w:r>
                    <w:t>2,90</w:t>
                  </w:r>
                </w:p>
              </w:tc>
              <w:tc>
                <w:tcPr>
                  <w:tcW w:type="auto" w:w="0"/>
                  <w:shd w:val="clear" w:color="auto" w:fill="F0F0F0"/>
                </w:tcPr>
                <w:p>
                  <w:pPr>
                    <w:pStyle w:val="Normal"/>
                    <w:keepLines w:val="on"/>
                  </w:pPr>
                  <w:r>
                    <w:t>34,39%</w:t>
                  </w:r>
                </w:p>
              </w:tc>
              <w:tc>
                <w:tcPr>
                  <w:tcW w:type="auto" w:w="0"/>
                  <w:shd w:val="clear" w:color="auto" w:fill="F0F0F0"/>
                </w:tcPr>
                <w:p>
                  <w:pPr>
                    <w:pStyle w:val="Normal"/>
                    <w:keepLines w:val="on"/>
                  </w:pPr>
                  <w:r>
                    <w:t>16,38%</w:t>
                  </w:r>
                </w:p>
              </w:tc>
              <w:tc>
                <w:tcPr>
                  <w:tcW w:type="auto" w:w="0"/>
                  <w:shd w:val="clear" w:color="auto" w:fill="F0F0F0"/>
                </w:tcPr>
                <w:p>
                  <w:pPr>
                    <w:pStyle w:val="Normal"/>
                    <w:keepLines w:val="on"/>
                  </w:pPr>
                  <w:r>
                    <w:t>−3,45%</w:t>
                  </w:r>
                </w:p>
              </w:tc>
              <w:tc>
                <w:tcPr>
                  <w:tcW w:type="auto" w:w="0"/>
                  <w:shd w:val="clear" w:color="auto" w:fill="F0F0F0"/>
                </w:tcPr>
                <w:p>
                  <w:pPr>
                    <w:pStyle w:val="Normal"/>
                    <w:keepLines w:val="on"/>
                  </w:pPr>
                  <w:r>
                    <w:t>29,50%</w:t>
                  </w:r>
                </w:p>
              </w:tc>
            </w:tr>
            <w:tr>
              <w:tc>
                <w:tcPr>
                  <w:tcW w:type="auto" w:w="0"/>
                  <w:shd w:val="clear" w:color="auto" w:fill="F0F0F0"/>
                </w:tcPr>
                <w:p>
                  <w:pPr>
                    <w:pStyle w:val="Para 02"/>
                    <w:keepLines w:val="on"/>
                  </w:pPr>
                  <w:r>
                    <w:t>Ryerson Tull</w:t>
                  </w:r>
                </w:p>
              </w:tc>
              <w:tc>
                <w:tcPr>
                  <w:tcW w:type="auto" w:w="0"/>
                  <w:shd w:val="clear" w:color="auto" w:fill="F0F0F0"/>
                </w:tcPr>
                <w:p>
                  <w:pPr>
                    <w:pStyle w:val="Normal"/>
                    <w:keepLines w:val="on"/>
                  </w:pPr>
                  <w:r>
                    <w:t>7,73</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5,10%</w:t>
                  </w:r>
                </w:p>
              </w:tc>
              <w:tc>
                <w:tcPr>
                  <w:tcW w:type="auto" w:w="0"/>
                  <w:shd w:val="clear" w:color="auto" w:fill="F0F0F0"/>
                </w:tcPr>
                <w:p>
                  <w:pPr>
                    <w:pStyle w:val="Normal"/>
                    <w:keepLines w:val="on"/>
                  </w:pPr>
                  <w:r>
                    <w:t>3,50%</w:t>
                  </w:r>
                </w:p>
              </w:tc>
              <w:tc>
                <w:tcPr>
                  <w:tcW w:type="auto" w:w="0"/>
                  <w:shd w:val="clear" w:color="auto" w:fill="F0F0F0"/>
                </w:tcPr>
                <w:p>
                  <w:pPr>
                    <w:pStyle w:val="Normal"/>
                    <w:keepLines w:val="on"/>
                  </w:pPr>
                  <w:r>
                    <w:t>38,36%</w:t>
                  </w:r>
                </w:p>
              </w:tc>
            </w:tr>
            <w:tr>
              <w:tc>
                <w:tcPr>
                  <w:tcW w:type="auto" w:w="0"/>
                  <w:shd w:val="clear" w:color="auto" w:fill="F0F0F0"/>
                </w:tcPr>
                <w:p>
                  <w:pPr>
                    <w:pStyle w:val="Para 02"/>
                    <w:keepLines w:val="on"/>
                  </w:pPr>
                  <w:r>
                    <w:t>Samuel Manu-Tech Inc.</w:t>
                  </w:r>
                </w:p>
              </w:tc>
              <w:tc>
                <w:tcPr>
                  <w:tcW w:type="auto" w:w="0"/>
                  <w:shd w:val="clear" w:color="auto" w:fill="F0F0F0"/>
                </w:tcPr>
                <w:p>
                  <w:pPr>
                    <w:pStyle w:val="Normal"/>
                    <w:keepLines w:val="on"/>
                  </w:pPr>
                  <w:r>
                    <w:t>3,13</w:t>
                  </w:r>
                </w:p>
              </w:tc>
              <w:tc>
                <w:tcPr>
                  <w:tcW w:type="auto" w:w="0"/>
                  <w:shd w:val="clear" w:color="auto" w:fill="F0F0F0"/>
                </w:tcPr>
                <w:p>
                  <w:pPr>
                    <w:pStyle w:val="Normal"/>
                    <w:keepLines w:val="on"/>
                  </w:pPr>
                  <w:r>
                    <w:t>31,88%</w:t>
                  </w:r>
                </w:p>
              </w:tc>
              <w:tc>
                <w:tcPr>
                  <w:tcW w:type="auto" w:w="0"/>
                  <w:shd w:val="clear" w:color="auto" w:fill="F0F0F0"/>
                </w:tcPr>
                <w:p>
                  <w:pPr>
                    <w:pStyle w:val="Normal"/>
                    <w:keepLines w:val="on"/>
                  </w:pPr>
                  <w:r>
                    <w:t>14,90%</w:t>
                  </w:r>
                </w:p>
              </w:tc>
              <w:tc>
                <w:tcPr>
                  <w:tcW w:type="auto" w:w="0"/>
                  <w:shd w:val="clear" w:color="auto" w:fill="F0F0F0"/>
                </w:tcPr>
                <w:p>
                  <w:pPr>
                    <w:pStyle w:val="Normal"/>
                    <w:keepLines w:val="on"/>
                  </w:pPr>
                  <w:r>
                    <w:t>−2,91%</w:t>
                  </w:r>
                </w:p>
              </w:tc>
              <w:tc>
                <w:tcPr>
                  <w:tcW w:type="auto" w:w="0"/>
                  <w:shd w:val="clear" w:color="auto" w:fill="F0F0F0"/>
                </w:tcPr>
                <w:p>
                  <w:pPr>
                    <w:pStyle w:val="Normal"/>
                    <w:keepLines w:val="on"/>
                  </w:pPr>
                  <w:r>
                    <w:t>21,27%</w:t>
                  </w:r>
                </w:p>
              </w:tc>
            </w:tr>
            <w:tr>
              <w:tc>
                <w:tcPr>
                  <w:tcW w:type="auto" w:w="0"/>
                  <w:shd w:val="clear" w:color="auto" w:fill="F0F0F0"/>
                </w:tcPr>
                <w:p>
                  <w:pPr>
                    <w:pStyle w:val="Para 02"/>
                    <w:keepLines w:val="on"/>
                  </w:pPr>
                  <w:r>
                    <w:t>Schnitzer Steel Inds. “A”</w:t>
                  </w:r>
                </w:p>
              </w:tc>
              <w:tc>
                <w:tcPr>
                  <w:tcW w:type="auto" w:w="0"/>
                  <w:shd w:val="clear" w:color="auto" w:fill="F0F0F0"/>
                </w:tcPr>
                <w:p>
                  <w:pPr>
                    <w:pStyle w:val="Normal"/>
                    <w:keepLines w:val="on"/>
                  </w:pPr>
                  <w:r>
                    <w:t>4,60</w:t>
                  </w:r>
                </w:p>
              </w:tc>
              <w:tc>
                <w:tcPr>
                  <w:tcW w:type="auto" w:w="0"/>
                  <w:shd w:val="clear" w:color="auto" w:fill="F0F0F0"/>
                </w:tcPr>
                <w:p>
                  <w:pPr>
                    <w:pStyle w:val="Normal"/>
                    <w:keepLines w:val="on"/>
                  </w:pPr>
                  <w:r>
                    <w:t>8,70%</w:t>
                  </w:r>
                </w:p>
              </w:tc>
              <w:tc>
                <w:tcPr>
                  <w:tcW w:type="auto" w:w="0"/>
                  <w:shd w:val="clear" w:color="auto" w:fill="F0F0F0"/>
                </w:tcPr>
                <w:p>
                  <w:pPr>
                    <w:pStyle w:val="Normal"/>
                    <w:keepLines w:val="on"/>
                  </w:pPr>
                  <w:r>
                    <w:t>7,78%</w:t>
                  </w:r>
                </w:p>
              </w:tc>
              <w:tc>
                <w:tcPr>
                  <w:tcW w:type="auto" w:w="0"/>
                  <w:shd w:val="clear" w:color="auto" w:fill="F0F0F0"/>
                </w:tcPr>
                <w:p>
                  <w:pPr>
                    <w:pStyle w:val="Normal"/>
                    <w:keepLines w:val="on"/>
                  </w:pPr>
                  <w:r>
                    <w:t>−16,21%</w:t>
                  </w:r>
                </w:p>
              </w:tc>
              <w:tc>
                <w:tcPr>
                  <w:tcW w:type="auto" w:w="0"/>
                  <w:shd w:val="clear" w:color="auto" w:fill="F0F0F0"/>
                </w:tcPr>
                <w:p>
                  <w:pPr>
                    <w:pStyle w:val="Normal"/>
                    <w:keepLines w:val="on"/>
                  </w:pPr>
                  <w:r>
                    <w:t>38,74%</w:t>
                  </w:r>
                </w:p>
              </w:tc>
            </w:tr>
            <w:tr>
              <w:tc>
                <w:tcPr>
                  <w:tcW w:type="auto" w:w="0"/>
                  <w:shd w:val="clear" w:color="auto" w:fill="F0F0F0"/>
                </w:tcPr>
                <w:p>
                  <w:pPr>
                    <w:pStyle w:val="Para 02"/>
                    <w:keepLines w:val="on"/>
                  </w:pPr>
                  <w:r>
                    <w:t>Slater STL Inc.</w:t>
                  </w:r>
                </w:p>
              </w:tc>
              <w:tc>
                <w:tcPr>
                  <w:tcW w:type="auto" w:w="0"/>
                  <w:shd w:val="clear" w:color="auto" w:fill="F0F0F0"/>
                </w:tcPr>
                <w:p>
                  <w:pPr>
                    <w:pStyle w:val="Normal"/>
                    <w:keepLines w:val="on"/>
                  </w:pPr>
                  <w:r>
                    <w:t>4,48</w:t>
                  </w:r>
                </w:p>
              </w:tc>
              <w:tc>
                <w:tcPr>
                  <w:tcW w:type="auto" w:w="0"/>
                  <w:shd w:val="clear" w:color="auto" w:fill="F0F0F0"/>
                </w:tcPr>
                <w:p>
                  <w:pPr>
                    <w:pStyle w:val="Normal"/>
                    <w:keepLines w:val="on"/>
                  </w:pPr>
                  <w:r>
                    <w:t>26,00%</w:t>
                  </w:r>
                </w:p>
              </w:tc>
              <w:tc>
                <w:tcPr>
                  <w:tcW w:type="auto" w:w="0"/>
                  <w:shd w:val="clear" w:color="auto" w:fill="F0F0F0"/>
                </w:tcPr>
                <w:p>
                  <w:pPr>
                    <w:pStyle w:val="Normal"/>
                    <w:keepLines w:val="on"/>
                  </w:pPr>
                  <w:r>
                    <w:t>11,25%</w:t>
                  </w:r>
                </w:p>
              </w:tc>
              <w:tc>
                <w:tcPr>
                  <w:tcW w:type="auto" w:w="0"/>
                  <w:shd w:val="clear" w:color="auto" w:fill="F0F0F0"/>
                </w:tcPr>
                <w:p>
                  <w:pPr>
                    <w:pStyle w:val="Normal"/>
                    <w:keepLines w:val="on"/>
                  </w:pPr>
                  <w:r>
                    <w:t>0,80%</w:t>
                  </w:r>
                </w:p>
              </w:tc>
              <w:tc>
                <w:tcPr>
                  <w:tcW w:type="auto" w:w="0"/>
                  <w:shd w:val="clear" w:color="auto" w:fill="F0F0F0"/>
                </w:tcPr>
                <w:p>
                  <w:pPr>
                    <w:pStyle w:val="Normal"/>
                    <w:keepLines w:val="on"/>
                  </w:pPr>
                  <w:r>
                    <w:t>27,96%</w:t>
                  </w:r>
                </w:p>
              </w:tc>
            </w:tr>
            <w:tr>
              <w:tc>
                <w:tcPr>
                  <w:tcW w:type="auto" w:w="0"/>
                  <w:shd w:val="clear" w:color="auto" w:fill="F0F0F0"/>
                </w:tcPr>
                <w:p>
                  <w:pPr>
                    <w:pStyle w:val="Para 02"/>
                    <w:keepLines w:val="on"/>
                  </w:pPr>
                  <w:r>
                    <w:t>Steel Dynamics</w:t>
                  </w:r>
                </w:p>
              </w:tc>
              <w:tc>
                <w:tcPr>
                  <w:tcW w:type="auto" w:w="0"/>
                  <w:shd w:val="clear" w:color="auto" w:fill="F0F0F0"/>
                </w:tcPr>
                <w:p>
                  <w:pPr>
                    <w:pStyle w:val="Normal"/>
                    <w:keepLines w:val="on"/>
                  </w:pPr>
                  <w:r>
                    <w:t>5,83</w:t>
                  </w:r>
                </w:p>
              </w:tc>
              <w:tc>
                <w:tcPr>
                  <w:tcW w:type="auto" w:w="0"/>
                  <w:shd w:val="clear" w:color="auto" w:fill="F0F0F0"/>
                </w:tcPr>
                <w:p>
                  <w:pPr>
                    <w:pStyle w:val="Normal"/>
                    <w:keepLines w:val="on"/>
                  </w:pPr>
                  <w:r>
                    <w:t>36,33%</w:t>
                  </w:r>
                </w:p>
              </w:tc>
              <w:tc>
                <w:tcPr>
                  <w:tcW w:type="auto" w:w="0"/>
                  <w:shd w:val="clear" w:color="auto" w:fill="F0F0F0"/>
                </w:tcPr>
                <w:p>
                  <w:pPr>
                    <w:pStyle w:val="Normal"/>
                    <w:keepLines w:val="on"/>
                  </w:pPr>
                  <w:r>
                    <w:t>10,09%</w:t>
                  </w:r>
                </w:p>
              </w:tc>
              <w:tc>
                <w:tcPr>
                  <w:tcW w:type="auto" w:w="0"/>
                  <w:shd w:val="clear" w:color="auto" w:fill="F0F0F0"/>
                </w:tcPr>
                <w:p>
                  <w:pPr>
                    <w:pStyle w:val="Normal"/>
                    <w:keepLines w:val="on"/>
                  </w:pPr>
                  <w:r>
                    <w:t>33,13%</w:t>
                  </w:r>
                </w:p>
              </w:tc>
              <w:tc>
                <w:tcPr>
                  <w:tcW w:type="auto" w:w="0"/>
                  <w:shd w:val="clear" w:color="auto" w:fill="F0F0F0"/>
                </w:tcPr>
                <w:p>
                  <w:pPr>
                    <w:pStyle w:val="Normal"/>
                    <w:keepLines w:val="on"/>
                  </w:pPr>
                  <w:r>
                    <w:t>23,14%</w:t>
                  </w:r>
                </w:p>
              </w:tc>
            </w:tr>
            <w:tr>
              <w:tc>
                <w:tcPr>
                  <w:tcW w:type="auto" w:w="0"/>
                  <w:shd w:val="clear" w:color="auto" w:fill="F0F0F0"/>
                </w:tcPr>
                <w:p>
                  <w:pPr>
                    <w:pStyle w:val="Para 02"/>
                    <w:keepLines w:val="on"/>
                  </w:pPr>
                  <w:r>
                    <w:t>Steel Technologies</w:t>
                  </w:r>
                </w:p>
              </w:tc>
              <w:tc>
                <w:tcPr>
                  <w:tcW w:type="auto" w:w="0"/>
                  <w:shd w:val="clear" w:color="auto" w:fill="F0F0F0"/>
                </w:tcPr>
                <w:p>
                  <w:pPr>
                    <w:pStyle w:val="Normal"/>
                    <w:keepLines w:val="on"/>
                  </w:pPr>
                  <w:r>
                    <w:t>3,75</w:t>
                  </w:r>
                </w:p>
              </w:tc>
              <w:tc>
                <w:tcPr>
                  <w:tcW w:type="auto" w:w="0"/>
                  <w:shd w:val="clear" w:color="auto" w:fill="F0F0F0"/>
                </w:tcPr>
                <w:p>
                  <w:pPr>
                    <w:pStyle w:val="Normal"/>
                    <w:keepLines w:val="on"/>
                  </w:pPr>
                  <w:r>
                    <w:t>36,87%</w:t>
                  </w:r>
                </w:p>
              </w:tc>
              <w:tc>
                <w:tcPr>
                  <w:tcW w:type="auto" w:w="0"/>
                  <w:shd w:val="clear" w:color="auto" w:fill="F0F0F0"/>
                </w:tcPr>
                <w:p>
                  <w:pPr>
                    <w:pStyle w:val="Normal"/>
                    <w:keepLines w:val="on"/>
                  </w:pPr>
                  <w:r>
                    <w:t>9,22%</w:t>
                  </w:r>
                </w:p>
              </w:tc>
              <w:tc>
                <w:tcPr>
                  <w:tcW w:type="auto" w:w="0"/>
                  <w:shd w:val="clear" w:color="auto" w:fill="F0F0F0"/>
                </w:tcPr>
                <w:p>
                  <w:pPr>
                    <w:pStyle w:val="Normal"/>
                    <w:keepLines w:val="on"/>
                  </w:pPr>
                  <w:r>
                    <w:t>11,95%</w:t>
                  </w:r>
                </w:p>
              </w:tc>
              <w:tc>
                <w:tcPr>
                  <w:tcW w:type="auto" w:w="0"/>
                  <w:shd w:val="clear" w:color="auto" w:fill="F0F0F0"/>
                </w:tcPr>
                <w:p>
                  <w:pPr>
                    <w:pStyle w:val="Normal"/>
                    <w:keepLines w:val="on"/>
                  </w:pPr>
                  <w:r>
                    <w:t>27,69%</w:t>
                  </w:r>
                </w:p>
              </w:tc>
            </w:tr>
            <w:tr>
              <w:tc>
                <w:tcPr>
                  <w:tcW w:type="auto" w:w="0"/>
                  <w:shd w:val="clear" w:color="auto" w:fill="F0F0F0"/>
                </w:tcPr>
                <w:p>
                  <w:pPr>
                    <w:pStyle w:val="Para 02"/>
                    <w:keepLines w:val="on"/>
                  </w:pPr>
                  <w:r>
                    <w:t>Steel-General</w:t>
                  </w:r>
                </w:p>
              </w:tc>
              <w:tc>
                <w:tcPr>
                  <w:tcW w:type="auto" w:w="0"/>
                  <w:shd w:val="clear" w:color="auto" w:fill="F0F0F0"/>
                </w:tcPr>
                <w:p>
                  <w:pPr>
                    <w:pStyle w:val="Normal"/>
                    <w:keepLines w:val="on"/>
                  </w:pPr>
                  <w:r>
                    <w:t>4,14</w:t>
                  </w:r>
                </w:p>
              </w:tc>
              <w:tc>
                <w:tcPr>
                  <w:tcW w:type="auto" w:w="0"/>
                  <w:shd w:val="clear" w:color="auto" w:fill="F0F0F0"/>
                </w:tcPr>
                <w:p>
                  <w:pPr>
                    <w:pStyle w:val="Normal"/>
                    <w:keepLines w:val="on"/>
                  </w:pPr>
                  <w:r>
                    <w:t>38,37%</w:t>
                  </w:r>
                </w:p>
              </w:tc>
              <w:tc>
                <w:tcPr>
                  <w:tcW w:type="auto" w:w="0"/>
                  <w:shd w:val="clear" w:color="auto" w:fill="F0F0F0"/>
                </w:tcPr>
                <w:p>
                  <w:pPr>
                    <w:pStyle w:val="Normal"/>
                    <w:keepLines w:val="on"/>
                  </w:pPr>
                  <w:r>
                    <w:t>9,80%</w:t>
                  </w:r>
                </w:p>
              </w:tc>
              <w:tc>
                <w:tcPr>
                  <w:tcW w:type="auto" w:w="0"/>
                  <w:shd w:val="clear" w:color="auto" w:fill="F0F0F0"/>
                </w:tcPr>
                <w:p>
                  <w:pPr>
                    <w:pStyle w:val="Normal"/>
                    <w:keepLines w:val="on"/>
                  </w:pPr>
                  <w:r>
                    <w:t>21,69%</w:t>
                  </w:r>
                </w:p>
              </w:tc>
              <w:tc>
                <w:tcPr>
                  <w:tcW w:type="auto" w:w="0"/>
                  <w:shd w:val="clear" w:color="auto" w:fill="F0F0F0"/>
                </w:tcPr>
                <w:p>
                  <w:pPr>
                    <w:pStyle w:val="Normal"/>
                    <w:keepLines w:val="on"/>
                  </w:pPr>
                  <w:r>
                    <w:t>28,75%</w:t>
                  </w:r>
                </w:p>
              </w:tc>
            </w:tr>
            <w:tr>
              <w:tc>
                <w:tcPr>
                  <w:tcW w:type="auto" w:w="0"/>
                  <w:shd w:val="clear" w:color="auto" w:fill="F0F0F0"/>
                </w:tcPr>
                <w:p>
                  <w:pPr>
                    <w:pStyle w:val="Para 02"/>
                    <w:keepLines w:val="on"/>
                  </w:pPr>
                  <w:r>
                    <w:t>Unvl. Stainless &amp; Alloy Prods.</w:t>
                  </w:r>
                </w:p>
              </w:tc>
              <w:tc>
                <w:tcPr>
                  <w:tcW w:type="auto" w:w="0"/>
                  <w:shd w:val="clear" w:color="auto" w:fill="F0F0F0"/>
                </w:tcPr>
                <w:p>
                  <w:pPr>
                    <w:pStyle w:val="Normal"/>
                    <w:keepLines w:val="on"/>
                  </w:pPr>
                  <w:r>
                    <w:t>4,28</w:t>
                  </w:r>
                </w:p>
              </w:tc>
              <w:tc>
                <w:tcPr>
                  <w:tcW w:type="auto" w:w="0"/>
                  <w:shd w:val="clear" w:color="auto" w:fill="F0F0F0"/>
                </w:tcPr>
                <w:p>
                  <w:pPr>
                    <w:pStyle w:val="Normal"/>
                    <w:keepLines w:val="on"/>
                  </w:pPr>
                  <w:r>
                    <w:t>37,52%</w:t>
                  </w:r>
                </w:p>
              </w:tc>
              <w:tc>
                <w:tcPr>
                  <w:tcW w:type="auto" w:w="0"/>
                  <w:shd w:val="clear" w:color="auto" w:fill="F0F0F0"/>
                </w:tcPr>
                <w:p>
                  <w:pPr>
                    <w:pStyle w:val="Normal"/>
                    <w:keepLines w:val="on"/>
                  </w:pPr>
                  <w:r>
                    <w:t>14,51%</w:t>
                  </w:r>
                </w:p>
              </w:tc>
              <w:tc>
                <w:tcPr>
                  <w:tcW w:type="auto" w:w="0"/>
                  <w:shd w:val="clear" w:color="auto" w:fill="F0F0F0"/>
                </w:tcPr>
                <w:p>
                  <w:pPr>
                    <w:pStyle w:val="Normal"/>
                    <w:keepLines w:val="on"/>
                  </w:pPr>
                  <w:r>
                    <w:t>12,73%</w:t>
                  </w:r>
                </w:p>
              </w:tc>
              <w:tc>
                <w:tcPr>
                  <w:tcW w:type="auto" w:w="0"/>
                  <w:shd w:val="clear" w:color="auto" w:fill="F0F0F0"/>
                </w:tcPr>
                <w:p>
                  <w:pPr>
                    <w:pStyle w:val="Normal"/>
                    <w:keepLines w:val="on"/>
                  </w:pPr>
                  <w:r>
                    <w:t>15,15%</w:t>
                  </w:r>
                </w:p>
              </w:tc>
            </w:tr>
            <w:tr>
              <w:tc>
                <w:tcPr>
                  <w:tcW w:type="auto" w:w="0"/>
                  <w:shd w:val="clear" w:color="auto" w:fill="F0F0F0"/>
                </w:tcPr>
                <w:p>
                  <w:pPr>
                    <w:pStyle w:val="Para 02"/>
                    <w:keepLines w:val="on"/>
                  </w:pPr>
                  <w:r>
                    <w:t>Worthington Inds.</w:t>
                  </w:r>
                </w:p>
              </w:tc>
              <w:tc>
                <w:tcPr>
                  <w:tcW w:type="auto" w:w="0"/>
                  <w:shd w:val="clear" w:color="auto" w:fill="F0F0F0"/>
                </w:tcPr>
                <w:p>
                  <w:pPr>
                    <w:pStyle w:val="Normal"/>
                    <w:keepLines w:val="on"/>
                  </w:pPr>
                  <w:r>
                    <w:t>4,80</w:t>
                  </w:r>
                </w:p>
              </w:tc>
              <w:tc>
                <w:tcPr>
                  <w:tcW w:type="auto" w:w="0"/>
                  <w:shd w:val="clear" w:color="auto" w:fill="F0F0F0"/>
                </w:tcPr>
                <w:p>
                  <w:pPr>
                    <w:pStyle w:val="Normal"/>
                    <w:keepLines w:val="on"/>
                  </w:pPr>
                  <w:r>
                    <w:t>37,50%</w:t>
                  </w:r>
                </w:p>
              </w:tc>
              <w:tc>
                <w:tcPr>
                  <w:tcW w:type="auto" w:w="0"/>
                  <w:shd w:val="clear" w:color="auto" w:fill="F0F0F0"/>
                </w:tcPr>
                <w:p>
                  <w:pPr>
                    <w:pStyle w:val="Normal"/>
                    <w:keepLines w:val="on"/>
                  </w:pPr>
                  <w:r>
                    <w:t>12,54%</w:t>
                  </w:r>
                </w:p>
              </w:tc>
              <w:tc>
                <w:tcPr>
                  <w:tcW w:type="auto" w:w="0"/>
                  <w:shd w:val="clear" w:color="auto" w:fill="F0F0F0"/>
                </w:tcPr>
                <w:p>
                  <w:pPr>
                    <w:pStyle w:val="Normal"/>
                    <w:keepLines w:val="on"/>
                  </w:pPr>
                  <w:r>
                    <w:t>0,16%</w:t>
                  </w:r>
                </w:p>
              </w:tc>
              <w:tc>
                <w:tcPr>
                  <w:tcW w:type="auto" w:w="0"/>
                  <w:shd w:val="clear" w:color="auto" w:fill="F0F0F0"/>
                </w:tcPr>
                <w:p>
                  <w:pPr>
                    <w:pStyle w:val="Normal"/>
                    <w:keepLines w:val="on"/>
                  </w:pPr>
                  <w:r>
                    <w:t>22,79%</w:t>
                  </w:r>
                </w:p>
              </w:tc>
            </w:tr>
          </w:tbl>
          <w:p/>
        </w:tc>
      </w:tr>
    </w:tbl>
    <w:p>
      <w:pPr>
        <w:pStyle w:val="Para 04"/>
        <w:keepLines w:val="on"/>
      </w:pPr>
      <w:r>
        <w:t>Bội số giá trị doanh nghiệp trên EBITDA (EV/EBITDA) rất khác nhau giữa các công ty này, và nhiều công ty trong số đó có chi tiêu vốn ròng âm (khấu hao &gt; Chi tiêu vốn), một phần phản ánh sự trưởng thành của ngành và một phần phản ánh tính chất không đều của các khoản tái đầu tư. Nhiều công ty cũng không phải nộp thuế vì họ thua lỗ. Chúng tôi đã hồi quy bội số EV/EBITDA theo thuế suất và khấu hao tính theo phần trăm EBITDA:5</w:t>
      </w:r>
    </w:p>
    <w:p>
      <w:pPr>
        <w:pStyle w:val="Para 40"/>
        <w:keepLines w:val="on"/>
      </w:pPr>
      <w:r>
        <w:rPr>
          <w:rStyle w:val="Text26"/>
        </w:rPr>
        <w:bookmarkStart w:id="3779" w:name="Page_577"/>
        <w:t/>
        <w:bookmarkEnd w:id="3779"/>
      </w:r>
      <w:r>
        <w:t xml:space="preserve"> </w:t>
      </w:r>
    </w:p>
    <w:p>
      <w:bookmarkStart w:id="3780" w:name="EV_EBITDA_8_64___8_07_Tax_rate"/>
      <w:pPr>
        <w:keepNext/>
        <w:pStyle w:val="Para 07"/>
        <w:keepLines w:val="on"/>
      </w:pPr>
      <w:r>
        <w:t>EV/EBITDA=8,64−8,07 Thuế suất −7,19(DA EBITDA )R2=35,1%(6,36) (3,44)            (2,35)</w:t>
      </w:r>
      <w:bookmarkEnd w:id="3780"/>
    </w:p>
    <w:p>
      <w:pPr>
        <w:pStyle w:val="Para 04"/>
        <w:keepLines w:val="on"/>
      </w:pPr>
      <w:r>
        <w:t>Chúng tôi không sử dụng tăng trưởng kỳ vọng hay chi phí vốn làm biến độc lập vì chúng rất giống nhau giữa các công ty này. Sử dụng hồi quy này, bội số giá trị trên EBITDA dự đoán cho Birmingham Steel sẽ là:</w:t>
      </w:r>
    </w:p>
    <w:p>
      <w:bookmarkStart w:id="3781" w:name="Predicted_EV_EBITDABirmingham_St"/>
      <w:pPr>
        <w:keepNext/>
        <w:pStyle w:val="Para 07"/>
        <w:keepLines w:val="on"/>
      </w:pPr>
      <w:r>
        <w:t>EV/EBITDA dự đoán cho Birmingham Steel =8,64−8,07(0,00)-7,19(,5192)=4,91</w:t>
      </w:r>
      <w:bookmarkEnd w:id="3781"/>
    </w:p>
    <w:p>
      <w:pPr>
        <w:pStyle w:val="Para 04"/>
        <w:keepLines w:val="on"/>
      </w:pPr>
      <w:r>
        <w:t>Ở mức 5,60 lần EBITDA, công ty đang bị định giá cao hơn khoảng 14,26%.</w:t>
      </w:r>
    </w:p>
    <w:p>
      <w:pPr>
        <w:pStyle w:val="Para 11"/>
      </w:pPr>
      <w:r>
        <w:t/>
        <w:t xml:space="preserve"> </w:t>
      </w:r>
    </w:p>
    <w:p>
      <w:bookmarkStart w:id="3782" w:name="vebitda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77"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3782"/>
    </w:p>
    <w:p>
      <w:pPr>
        <w:pStyle w:val="Para 31"/>
        <w:keepLines w:val="on"/>
      </w:pPr>
      <w:r>
        <w:t>vebitda.xls: Bộ dữ liệu này trên web tóm tắt các bội số giá trị trên thu nhập và các yếu tố cơ bản theo nhóm ngành ở Hoa Kỳ cho năm gần nhất.</w:t>
      </w:r>
    </w:p>
    <w:p>
      <w:pPr>
        <w:pStyle w:val="Para 11"/>
      </w:pPr>
      <w:r>
        <w:t/>
        <w:t xml:space="preserve"> </w:t>
      </w:r>
    </w:p>
    <w:p>
      <w:bookmarkStart w:id="3783" w:name="Value_Multiples__Variants"/>
      <w:bookmarkStart w:id="3784" w:name="Value_Multiples__Variants_While"/>
      <w:pPr>
        <w:keepNext/>
        <w:pStyle w:val="Para 27"/>
        <w:keepLines w:val="on"/>
      </w:pPr>
      <w:r>
        <w:t>Bội số giá trị: Các biến thể</w:t>
      </w:r>
      <w:bookmarkEnd w:id="3783"/>
      <w:bookmarkEnd w:id="3784"/>
    </w:p>
    <w:p>
      <w:pPr>
        <w:pStyle w:val="Para 16"/>
        <w:keepLines w:val="on"/>
      </w:pPr>
      <w:r>
        <w:t>Trong khi giá trị doanh nghiệp trên EBITDA có thể là bội số giá trị được sử dụng rộng rãi nhất, vẫn có những biến thể gần giống đôi khi được các nhà phân tích sử dụng—EV/EBIT, EV/EBIT sau thuế, và EV/FCFF. Mỗi bội số này được quyết định bởi nhiều biến số giống như những biến số quyết định bội số EV/EBITDA, nhưng mối quan hệ thực tế có chút khác biệt. Cụ thể, lưu ý rằng đối với một công ty tăng trưởng ổn định, các bội số này có thể được viết như sau:</w:t>
      </w:r>
    </w:p>
    <w:p>
      <w:bookmarkStart w:id="3785" w:name="EV_FCFF_1__Cost_of_capital_____E"/>
      <w:pPr>
        <w:keepNext/>
        <w:pStyle w:val="Para 48"/>
        <w:keepLines w:val="on"/>
      </w:pPr>
      <w:r>
        <w:t>EV/FCFF=1/(Chi phí vốn − Tốc độ tăng trưởng kỳ vọng)EV/EBIT(1−t)=(1− RIR)/(Chi phí vốn − Tốc độ tăng trưởng kỳ vọng)EV/EBIT=(1−t)(1−RIR)/(Chi phí vốn− Tốc độ tăng trưởng kỳ vọng)</w:t>
      </w:r>
      <w:bookmarkEnd w:id="3785"/>
    </w:p>
    <w:p>
      <w:pPr>
        <w:pStyle w:val="Para 16"/>
        <w:keepLines w:val="on"/>
      </w:pPr>
      <w:r>
        <w:t>trong đó RIR là tỷ lệ tái đầu tư và t là thuế suất.</w:t>
      </w:r>
    </w:p>
    <w:p>
      <w:pPr>
        <w:pStyle w:val="Para 16"/>
        <w:keepLines w:val="on"/>
      </w:pPr>
      <w:r>
        <w:t>Nói cách khác, chi phí vốn cao hơn và tăng trưởng kỳ vọng thấp hơn sẽ làm giảm tất cả các bội số này. Tỷ lệ tái đầu tư cao hơn sẽ làm giảm hai bội số cuối nhưng không ảnh hưởng đến bội số của FCFF (vì FCFF đã là sau tái đầu tư). Thuế suất cao hơn sẽ chỉ ảnh hưởng đến bội số cuối cùng, vì hai bội số đầu xem xét thu nhập sau thuế.</w:t>
      </w:r>
    </w:p>
    <w:p>
      <w:bookmarkStart w:id="3786" w:name="Conclusion_17"/>
      <w:bookmarkStart w:id="3787" w:name="Conclusion__The_price_earnings_r"/>
      <w:pPr>
        <w:keepNext/>
        <w:pStyle w:val="Heading 2"/>
        <w:keepLines w:val="on"/>
      </w:pPr>
      <w:r>
        <w:t>Kết luận</w:t>
      </w:r>
      <w:bookmarkEnd w:id="3786"/>
      <w:bookmarkEnd w:id="3787"/>
    </w:p>
    <w:p>
      <w:pPr>
        <w:pStyle w:val="Para 03"/>
      </w:pPr>
      <w:r>
        <w:t>Tỷ lệ giá trên thu nhập và các bội số thu nhập khác, vốn được sử dụng rộng rãi trong định giá, có khả năng bị sử dụng sai. Những bội số này cuối cùng được quyết định bởi chính những yếu tố cơ bản quyết định giá trị của một công ty trong mô hình dòng tiền chiết khấu—tăng trưởng kỳ vọng, rủi ro, và tiềm năng dòng tiền. Các công ty có tăng trưởng cao hơn, rủi ro thấp hơn, và tỷ lệ chi trả cao hơn, trong điều kiện các yếu tố khác không đổi, nên được giao dịch ở bội số thu nhập cao hơn nhiều so với các công ty khác. Trong phạm vi có sự khác biệt về các yếu tố cơ bản giữa các quốc gia, qua thời gian, và giữa các công ty, các bội số cũng sẽ khác nhau. Việc không kiểm soát những khác biệt này trong các yếu tố cơ bản có thể dẫn đến những kết luận sai lầm chỉ dựa trên việc so sánh trực tiếp các bội số.</w:t>
      </w:r>
    </w:p>
    <w:p>
      <w:pPr>
        <w:pStyle w:val="Para 03"/>
      </w:pPr>
      <w:r>
        <w:t>Có nhiều cách để sử dụng bội số thu nhập trong định giá. Một cách là so sánh bội số thu nhập giữa một nhóm hẹp các công ty tương đồng và kiểm soát sự khác biệt về tăng trưởng, rủi ro, và dòng tiền một cách chủ quan. Một cách khác là mở rộng định nghĩa công ty tương đồng ra toàn bộ ngành (chẳng hạn như công nghệ) hoặc toàn thị trường, và kiểm soát sự khác biệt về các yếu tố cơ bản bằng các kỹ thuật thống kê.</w:t>
      </w:r>
    </w:p>
    <w:p>
      <w:pPr>
        <w:pStyle w:val="Para 03"/>
      </w:pPr>
      <w:r>
        <w:t>Trong phần cuối của chương, chúng ta đã chuyển sự chú ý từ các bội số vốn chủ sở hữu sang các bội số của thu nhập hoạt động và dòng tiền. Cũng như tỷ lệ PE, những bội số này là một hàm của tăng trưởng (trong thu nhập hoạt động), tái đầu tư, và rủi ro.</w:t>
      </w:r>
    </w:p>
    <w:p>
      <w:bookmarkStart w:id="3789" w:name="Questions_and_Short_Problems_18"/>
      <w:bookmarkStart w:id="3790" w:name="Questions_and_Short_Problems__In_12"/>
      <w:pPr>
        <w:keepNext/>
        <w:pStyle w:val="Heading 2"/>
        <w:keepLines w:val="on"/>
      </w:pPr>
      <w:r>
        <w:t>Câu hỏi và Bài tập ngắn</w:t>
      </w:r>
      <w:bookmarkEnd w:id="3789"/>
      <w:bookmarkEnd w:id="3790"/>
    </w:p>
    <w:p>
      <w:pPr>
        <w:pStyle w:val="Para 44"/>
      </w:pPr>
      <w:r>
        <w:t>Trong các bài toán sau đây, hãy sử dụng mức bù rủi ro vốn cổ phần (equity risk premium) là 5,5 phần trăm nếu không có quy định nào khác.</w:t>
      </w:r>
    </w:p>
    <w:p>
      <w:pPr>
        <w:numPr>
          <w:ilvl w:val="0"/>
          <w:numId w:val="181"/>
        </w:numPr>
        <w:pStyle w:val="Para 01"/>
      </w:pPr>
      <w:r>
        <w:t>National City Corporation, một công ty sở hữu ngân hàng, báo cáo thu nhập trên mỗi cổ phần là 2,40 đô la vào năm 1993, và trả cổ tức trên mỗi cổ phần là 1,06 đô la. Thu nhập đã tăng trưởng 7,5% mỗi năm trong năm năm trước đó, và được kỳ vọng sẽ tăng trưởng 6% mỗi năm trong dài hạn (bắt đầu từ năm 1994). Cổ phiếu có hệ số beta là 1,05 và được giao dịch ở mức 10 lần thu nhập. Lãi suất trái phiếu kho bạc là 7%, và mức bù rủi ro là 5,5%.</w:t>
      </w:r>
    </w:p>
    <w:p>
      <w:pPr>
        <w:numPr>
          <w:ilvl w:val="1"/>
          <w:numId w:val="181"/>
        </w:numPr>
        <w:pStyle w:val="Para 01"/>
      </w:pPr>
      <w:r>
        <w:t>Hãy ước tính tỷ lệ PE cho National City Corporation.</w:t>
      </w:r>
    </w:p>
    <w:p>
      <w:pPr>
        <w:numPr>
          <w:ilvl w:val="1"/>
          <w:numId w:val="181"/>
        </w:numPr>
        <w:pStyle w:val="Para 01"/>
      </w:pPr>
      <w:r>
        <w:t>Tốc độ tăng trưởng dài hạn nào được hàm ý trong tỷ lệ PE hiện tại của công ty?</w:t>
      </w:r>
    </w:p>
    <w:p>
      <w:pPr>
        <w:numPr>
          <w:ilvl w:val="0"/>
          <w:numId w:val="181"/>
        </w:numPr>
        <w:pStyle w:val="Para 01"/>
      </w:pPr>
      <w:r>
        <w:t>Vào ngày 11 tháng 3 năm 1994, Chỉ số Tổng hợp của Sở Giao dịch Chứng khoán New York đang được giao dịch ở mức 16,9 lần thu nhập, và tỷ suất cổ tức trung bình của các cổ phiếu trên sàn là 2,5%. Lãi suất trái phiếu kho bạc vào ngày đó là 6,95%. Nền kinh tế được kỳ vọng sẽ tăng trưởng 2,5% mỗi năm, tính theo giá trị thực, trong dài hạn, và ước tính đồng thuận cho lạm phát, trong dài hạn, là 3,5%. (Mức bù rủi ro thị trường là 5,5%.)</w:t>
      </w:r>
    </w:p>
    <w:p>
      <w:pPr>
        <w:numPr>
          <w:ilvl w:val="1"/>
          <w:numId w:val="181"/>
        </w:numPr>
        <w:pStyle w:val="Para 01"/>
      </w:pPr>
      <w:r>
        <w:t>Dựa trên những dữ liệu đầu vào này, hãy ước tính tỷ lệ PE phù hợp cho sàn giao dịch.</w:t>
      </w:r>
    </w:p>
    <w:p>
      <w:pPr>
        <w:numPr>
          <w:ilvl w:val="1"/>
          <w:numId w:val="181"/>
        </w:numPr>
        <w:pStyle w:val="Para 01"/>
      </w:pPr>
      <w:r>
        <w:t>Tốc độ tăng trưởng cổ tức/thu nhập nào sẽ biện minh cho tỷ lệ PE vào ngày 11 tháng 3 năm 1994?</w:t>
      </w:r>
    </w:p>
    <w:p>
      <w:pPr>
        <w:numPr>
          <w:ilvl w:val="1"/>
          <w:numId w:val="181"/>
        </w:numPr>
        <w:pStyle w:val="Para 01"/>
      </w:pPr>
      <w:r>
        <w:t>Liệu có quan trọng không nếu tốc độ tăng trưởng cao hơn này đến từ lạm phát cao hơn hay tăng trưởng thực cao hơn? Tại sao?</w:t>
      </w:r>
    </w:p>
    <w:p>
      <w:pPr>
        <w:numPr>
          <w:ilvl w:val="0"/>
          <w:numId w:val="181"/>
        </w:numPr>
        <w:pStyle w:val="Para 01"/>
      </w:pPr>
      <w:r>
        <w:t>International Flavors and Fragrances, một nhà sáng tạo và sản xuất hương liệu và nước hoa hàng đầu, đã chi trả cổ tức 0,91 đô la trên mỗi cổ phần dựa trên thu nhập trên mỗi cổ phần là 1,64 đô la vào năm 1992. Công ty được kỳ vọng sẽ có tỷ suất sinh lời trên vốn cổ phần (return on equity) là 20% trong giai đoạn từ 1993 đến 1997, sau đó công ty được kỳ vọng sẽ có tăng trưởng ổn định 6% mỗi năm. (Tỷ suất sinh lời trên vốn cổ phần được kỳ vọng sẽ giảm xuống 15% trong giai đoạn tăng trưởng ổn định.) Tỷ lệ chi trả cổ tức được kỳ vọng sẽ duy trì ở mức hiện tại từ năm 1993 đến 1997. Cổ phiếu có hệ số beta là 1,10, và dự kiến sẽ không thay đổi. Lãi suất trái phiếu kho bạc là 7%, và mức bù rủi ro là 5,5%.</w:t>
      </w:r>
    </w:p>
    <w:p>
      <w:pPr>
        <w:numPr>
          <w:ilvl w:val="1"/>
          <w:numId w:val="181"/>
        </w:numPr>
        <w:pStyle w:val="Para 01"/>
      </w:pPr>
      <w:r>
        <w:t>Hãy ước tính tỷ lệ PE cho International Flavors dựa trên các yếu tố cơ bản.</w:t>
      </w:r>
    </w:p>
    <w:p>
      <w:pPr>
        <w:numPr>
          <w:ilvl w:val="1"/>
          <w:numId w:val="181"/>
        </w:numPr>
        <w:pStyle w:val="Para 01"/>
      </w:pPr>
      <w:r>
        <w:t>Hãy ước tính xem bao nhiêu phần của tỷ lệ PE này có thể được quy cho sự tăng trưởng phi thường trong thu nhập mà công ty kỳ vọng sẽ đạt được từ năm 1993 đến 1997.</w:t>
      </w:r>
    </w:p>
    <w:p>
      <w:pPr>
        <w:numPr>
          <w:ilvl w:val="0"/>
          <w:numId w:val="181"/>
        </w:numPr>
        <w:pStyle w:val="Para 01"/>
      </w:pPr>
      <w:r>
        <w:t>Cracker Barrel, đơn vị vận hành các nhà hàng và cửa hàng quà tặng, đã báo cáo sự tăng trưởng ấn tượng về thu nhập và doanh thu từ năm 1983 đến 1992. Trong giai đoạn này, thu nhập đã tăng từ 0,08 đô la trên mỗi cổ phần vào năm 1983 lên 0,78 đô la trên mỗi cổ phần vào năm 1993. Cổ tức được trả vào năm 1993 chỉ lên tới 0,02 đô la trên mỗi cổ phần. Tốc độ tăng trưởng thu nhập được kỳ vọng sẽ giảm xuống 15% mỗi năm từ năm 1994 đến 1998, và xuống 6% mỗi năm sau đó. Tỷ lệ chi trả được kỳ vọng sẽ tăng lên 10% từ năm 1994 đến 1998, và lên 50% sau đó. Hệ số beta của cổ phiếu là 1,55, nhưng được kỳ vọng sẽ giảm xuống 1,25 cho giai đoạn 1994–1998 và xuống 1,10 sau đó. (Lãi suất trái phiếu kho bạc là 7%, và mức bù rủi ro là 5,5%.)</w:t>
      </w:r>
    </w:p>
    <w:p>
      <w:pPr>
        <w:numPr>
          <w:ilvl w:val="1"/>
          <w:numId w:val="181"/>
        </w:numPr>
        <w:pStyle w:val="Para 01"/>
      </w:pPr>
      <w:r>
        <w:t>Hãy ước tính tỷ lệ PE cho Cracker Barrel.</w:t>
      </w:r>
    </w:p>
    <w:p>
      <w:pPr>
        <w:numPr>
          <w:ilvl w:val="1"/>
          <w:numId w:val="181"/>
        </w:numPr>
        <w:pStyle w:val="Para 01"/>
      </w:pPr>
      <w:r>
        <w:t>Hãy ước tính tỷ lệ PE sẽ cao hơn bao nhiêu nếu công ty có thể duy trì tốc độ tăng trưởng thu nhập mà công ty đã đạt được từ năm 1983 đến 1993. (Giả định rằng các tỷ lệ chi trả cổ tức không bị ảnh hưởng.)</w:t>
      </w:r>
    </w:p>
    <w:p>
      <w:pPr>
        <w:numPr>
          <w:ilvl w:val="1"/>
          <w:numId w:val="181"/>
        </w:numPr>
        <w:pStyle w:val="Para 01"/>
      </w:pPr>
      <w:r>
        <w:t>Bây giờ giả sử rằng các báo cáo thu nhập đáng thất vọng trong tương lai gần sẽ làm giảm tốc độ tăng trưởng kỳ vọng từ năm 1994 đến 1998 xuống còn 10%. Hãy ước tính tỷ lệ PE. (Một lần nữa, giả định rằng tỷ lệ chi trả cổ tức không bị ảnh hưởng.)</w:t>
      </w:r>
    </w:p>
    <w:p>
      <w:pPr>
        <w:numPr>
          <w:ilvl w:val="0"/>
          <w:numId w:val="181"/>
        </w:numPr>
        <w:pStyle w:val="Para 01"/>
      </w:pPr>
      <w:r>
        <w:t>Chỉ số S&amp;P 500 đang được giao dịch ở mức 21,2 lần thu nhập vào ngày 31 tháng 12 năm 1993. Vào cùng ngày, tỷ suất cổ tức trên chỉ số là 2,74%, và lãi suất trái phiếu kho bạc là 6%. Tốc độ tăng trưởng kỳ vọng của GNP thực là 2,5%.</w:t>
      </w:r>
    </w:p>
    <w:p>
      <w:pPr>
        <w:numPr>
          <w:ilvl w:val="1"/>
          <w:numId w:val="181"/>
        </w:numPr>
        <w:pStyle w:val="Para 01"/>
      </w:pPr>
      <w:r>
        <w:t>Giả sử rằng chỉ số S&amp;P 500 được định giá chính xác, tỷ lệ lạm phát được hàm ý trong tỷ lệ PE là bao nhiêu? (Giả định tăng trưởng ổn định và mức bù rủi ro 5,5%.)</w:t>
      </w:r>
    </w:p>
    <w:p>
      <w:pPr>
        <w:numPr>
          <w:ilvl w:val="1"/>
          <w:numId w:val="181"/>
        </w:numPr>
        <w:pStyle w:val="Para 01"/>
      </w:pPr>
      <w:r>
        <w:t>Đến tháng 2 năm 1994, lãi suất trái phiếu kho bạc đã tăng lên 7%. Nếu tỷ lệ chi trả và tăng trưởng kỳ vọng không thay đổi, thì ảnh hưởng lên tỷ lệ PE sẽ là gì?</w:t>
      </w:r>
    </w:p>
    <w:p>
      <w:pPr>
        <w:numPr>
          <w:ilvl w:val="1"/>
          <w:numId w:val="181"/>
        </w:numPr>
        <w:pStyle w:val="Para 01"/>
      </w:pPr>
      <w:r>
        <w:t>Liệu việc tăng lãi suất có luôn hàm ý giá cả (và tỷ lệ PE) thấp hơn không?</w:t>
      </w:r>
    </w:p>
    <w:p>
      <w:pPr>
        <w:numPr>
          <w:ilvl w:val="0"/>
          <w:numId w:val="181"/>
        </w:numPr>
        <w:pStyle w:val="Para 01"/>
      </w:pPr>
      <w:r>
        <w:t>Sau đây là tỷ lệ PE của các công ty trong ngành hàng không/quốc phòng vào cuối tháng 12 năm 1993, kèm theo dữ liệu bổ sung về tăng trưởng kỳ vọng và rủi ro.</w:t>
      </w:r>
    </w:p>
    <w:tbl>
      <w:tblPr>
        <w:tblW w:type="auto" w:w="0"/>
      </w:tblPr>
      <w:tr>
        <w:tc>
          <w:tcPr>
            <w:tcW w:type="auto" w:w="0"/>
          </w:tcPr>
          <w:tbl>
            <w:tblPr>
              <w:tblW w:type="auto" w:w="0"/>
            </w:tblPr>
            <w:tr>
              <w:tc>
                <w:tcPr>
                  <w:tcW w:type="auto" w:w="0"/>
                  <w:shd w:val="clear" w:color="auto" w:fill="F0F0F0"/>
                </w:tcPr>
                <w:p>
                  <w:pPr>
                    <w:pStyle w:val="Para 29"/>
                    <w:keepLines w:val="on"/>
                  </w:pPr>
                  <w:r>
                    <w:t>Công ty</w:t>
                  </w:r>
                </w:p>
              </w:tc>
              <w:tc>
                <w:tcPr>
                  <w:tcW w:type="auto" w:w="0"/>
                  <w:shd w:val="clear" w:color="auto" w:fill="F0F0F0"/>
                </w:tcPr>
                <w:p>
                  <w:pPr>
                    <w:pStyle w:val="Para 17"/>
                    <w:keepLines w:val="on"/>
                  </w:pPr>
                  <w:r>
                    <w:t>Tỷ lệ PE</w:t>
                  </w:r>
                </w:p>
              </w:tc>
              <w:tc>
                <w:tcPr>
                  <w:tcW w:type="auto" w:w="0"/>
                  <w:shd w:val="clear" w:color="auto" w:fill="F0F0F0"/>
                </w:tcPr>
                <w:p>
                  <w:pPr>
                    <w:pStyle w:val="Para 17"/>
                    <w:keepLines w:val="on"/>
                  </w:pPr>
                  <w:r>
                    <w:t>Tăng trưởng</w:t>
                  </w:r>
                </w:p>
              </w:tc>
              <w:tc>
                <w:tcPr>
                  <w:tcW w:type="auto" w:w="0"/>
                  <w:shd w:val="clear" w:color="auto" w:fill="F0F0F0"/>
                </w:tcPr>
                <w:p>
                  <w:pPr>
                    <w:pStyle w:val="Para 17"/>
                    <w:keepLines w:val="on"/>
                  </w:pPr>
                  <w:r>
                    <w:t>Beta</w:t>
                  </w:r>
                </w:p>
              </w:tc>
              <w:tc>
                <w:tcPr>
                  <w:tcW w:type="auto" w:w="0"/>
                  <w:shd w:val="clear" w:color="auto" w:fill="F0F0F0"/>
                </w:tcPr>
                <w:p>
                  <w:pPr>
                    <w:pStyle w:val="Para 17"/>
                    <w:keepLines w:val="on"/>
                  </w:pPr>
                  <w:r>
                    <w:t>Tỷ lệ chi trả</w:t>
                  </w:r>
                </w:p>
              </w:tc>
            </w:tr>
            <w:tr>
              <w:tc>
                <w:tcPr>
                  <w:tcW w:type="auto" w:w="0"/>
                  <w:shd w:val="clear" w:color="auto" w:fill="F0F0F0"/>
                </w:tcPr>
                <w:p>
                  <w:pPr>
                    <w:pStyle w:val="Para 02"/>
                    <w:keepLines w:val="on"/>
                  </w:pPr>
                  <w:r>
                    <w:t>Boeing</w:t>
                  </w:r>
                </w:p>
              </w:tc>
              <w:tc>
                <w:tcPr>
                  <w:tcW w:type="auto" w:w="0"/>
                  <w:shd w:val="clear" w:color="auto" w:fill="F0F0F0"/>
                </w:tcPr>
                <w:p>
                  <w:pPr>
                    <w:pStyle w:val="Normal"/>
                    <w:keepLines w:val="on"/>
                  </w:pPr>
                  <w:r>
                    <w:t>17,3</w:t>
                  </w:r>
                </w:p>
              </w:tc>
              <w:tc>
                <w:tcPr>
                  <w:tcW w:type="auto" w:w="0"/>
                  <w:shd w:val="clear" w:color="auto" w:fill="F0F0F0"/>
                </w:tcPr>
                <w:p>
                  <w:pPr>
                    <w:pStyle w:val="Normal"/>
                    <w:keepLines w:val="on"/>
                  </w:pPr>
                  <w:r>
                    <w:t>3,5%</w:t>
                  </w:r>
                </w:p>
              </w:tc>
              <w:tc>
                <w:tcPr>
                  <w:tcW w:type="auto" w:w="0"/>
                  <w:shd w:val="clear" w:color="auto" w:fill="F0F0F0"/>
                </w:tcPr>
                <w:p>
                  <w:pPr>
                    <w:pStyle w:val="Normal"/>
                    <w:keepLines w:val="on"/>
                  </w:pPr>
                  <w:r>
                    <w:t>1,10</w:t>
                  </w:r>
                </w:p>
              </w:tc>
              <w:tc>
                <w:tcPr>
                  <w:tcW w:type="auto" w:w="0"/>
                  <w:shd w:val="clear" w:color="auto" w:fill="F0F0F0"/>
                </w:tcPr>
                <w:p>
                  <w:pPr>
                    <w:pStyle w:val="Normal"/>
                    <w:keepLines w:val="on"/>
                  </w:pPr>
                  <w:r>
                    <w:t>28%</w:t>
                  </w:r>
                </w:p>
              </w:tc>
            </w:tr>
            <w:tr>
              <w:tc>
                <w:tcPr>
                  <w:tcW w:type="auto" w:w="0"/>
                  <w:shd w:val="clear" w:color="auto" w:fill="F0F0F0"/>
                </w:tcPr>
                <w:p>
                  <w:pPr>
                    <w:pStyle w:val="Para 02"/>
                    <w:keepLines w:val="on"/>
                  </w:pPr>
                  <w:r>
                    <w:t>General Dynamics</w:t>
                  </w:r>
                </w:p>
              </w:tc>
              <w:tc>
                <w:tcPr>
                  <w:tcW w:type="auto" w:w="0"/>
                  <w:shd w:val="clear" w:color="auto" w:fill="F0F0F0"/>
                </w:tcPr>
                <w:p>
                  <w:pPr>
                    <w:pStyle w:val="Normal"/>
                    <w:keepLines w:val="on"/>
                  </w:pPr>
                  <w:r>
                    <w:t>15,5</w:t>
                  </w:r>
                </w:p>
              </w:tc>
              <w:tc>
                <w:tcPr>
                  <w:tcW w:type="auto" w:w="0"/>
                  <w:shd w:val="clear" w:color="auto" w:fill="F0F0F0"/>
                </w:tcPr>
                <w:p>
                  <w:pPr>
                    <w:pStyle w:val="Normal"/>
                    <w:keepLines w:val="on"/>
                  </w:pPr>
                  <w:r>
                    <w:t>11,5%</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40%</w:t>
                  </w:r>
                </w:p>
              </w:tc>
            </w:tr>
            <w:tr>
              <w:tc>
                <w:tcPr>
                  <w:tcW w:type="auto" w:w="0"/>
                  <w:shd w:val="clear" w:color="auto" w:fill="F0F0F0"/>
                </w:tcPr>
                <w:p>
                  <w:pPr>
                    <w:pStyle w:val="Para 02"/>
                    <w:keepLines w:val="on"/>
                  </w:pPr>
                  <w:r>
                    <w:t>General Motors—Hughes</w:t>
                  </w:r>
                </w:p>
              </w:tc>
              <w:tc>
                <w:tcPr>
                  <w:tcW w:type="auto" w:w="0"/>
                  <w:shd w:val="clear" w:color="auto" w:fill="F0F0F0"/>
                </w:tcPr>
                <w:p>
                  <w:pPr>
                    <w:pStyle w:val="Normal"/>
                    <w:keepLines w:val="on"/>
                  </w:pPr>
                  <w:r>
                    <w:t>16,5</w:t>
                  </w:r>
                </w:p>
              </w:tc>
              <w:tc>
                <w:tcPr>
                  <w:tcW w:type="auto" w:w="0"/>
                  <w:shd w:val="clear" w:color="auto" w:fill="F0F0F0"/>
                </w:tcPr>
                <w:p>
                  <w:pPr>
                    <w:pStyle w:val="Normal"/>
                    <w:keepLines w:val="on"/>
                  </w:pPr>
                  <w:r>
                    <w:t>13,0%</w:t>
                  </w:r>
                </w:p>
              </w:tc>
              <w:tc>
                <w:tcPr>
                  <w:tcW w:type="auto" w:w="0"/>
                  <w:shd w:val="clear" w:color="auto" w:fill="F0F0F0"/>
                </w:tcPr>
                <w:p>
                  <w:pPr>
                    <w:pStyle w:val="Normal"/>
                    <w:keepLines w:val="on"/>
                  </w:pPr>
                  <w:r>
                    <w:t>0,85</w:t>
                  </w:r>
                </w:p>
              </w:tc>
              <w:tc>
                <w:tcPr>
                  <w:tcW w:type="auto" w:w="0"/>
                  <w:shd w:val="clear" w:color="auto" w:fill="F0F0F0"/>
                </w:tcPr>
                <w:p>
                  <w:pPr>
                    <w:pStyle w:val="Normal"/>
                    <w:keepLines w:val="on"/>
                  </w:pPr>
                  <w:r>
                    <w:t>41%</w:t>
                  </w:r>
                </w:p>
              </w:tc>
            </w:tr>
            <w:tr>
              <w:tc>
                <w:tcPr>
                  <w:tcW w:type="auto" w:w="0"/>
                  <w:shd w:val="clear" w:color="auto" w:fill="F0F0F0"/>
                </w:tcPr>
                <w:p>
                  <w:pPr>
                    <w:pStyle w:val="Para 02"/>
                    <w:keepLines w:val="on"/>
                  </w:pPr>
                  <w:r>
                    <w:t>Grumman</w:t>
                  </w:r>
                </w:p>
              </w:tc>
              <w:tc>
                <w:tcPr>
                  <w:tcW w:type="auto" w:w="0"/>
                  <w:shd w:val="clear" w:color="auto" w:fill="F0F0F0"/>
                </w:tcPr>
                <w:p>
                  <w:pPr>
                    <w:pStyle w:val="Normal"/>
                    <w:keepLines w:val="on"/>
                  </w:pPr>
                  <w:r>
                    <w:t>11,4</w:t>
                  </w:r>
                </w:p>
              </w:tc>
              <w:tc>
                <w:tcPr>
                  <w:tcW w:type="auto" w:w="0"/>
                  <w:shd w:val="clear" w:color="auto" w:fill="F0F0F0"/>
                </w:tcPr>
                <w:p>
                  <w:pPr>
                    <w:pStyle w:val="Normal"/>
                    <w:keepLines w:val="on"/>
                  </w:pPr>
                  <w:r>
                    <w:t>10,5%</w:t>
                  </w:r>
                </w:p>
              </w:tc>
              <w:tc>
                <w:tcPr>
                  <w:tcW w:type="auto" w:w="0"/>
                  <w:shd w:val="clear" w:color="auto" w:fill="F0F0F0"/>
                </w:tcPr>
                <w:p>
                  <w:pPr>
                    <w:pStyle w:val="Normal"/>
                    <w:keepLines w:val="on"/>
                  </w:pPr>
                  <w:r>
                    <w:t>0,80</w:t>
                  </w:r>
                </w:p>
              </w:tc>
              <w:tc>
                <w:tcPr>
                  <w:tcW w:type="auto" w:w="0"/>
                  <w:shd w:val="clear" w:color="auto" w:fill="F0F0F0"/>
                </w:tcPr>
                <w:p>
                  <w:pPr>
                    <w:pStyle w:val="Normal"/>
                    <w:keepLines w:val="on"/>
                  </w:pPr>
                  <w:r>
                    <w:t>37%</w:t>
                  </w:r>
                </w:p>
              </w:tc>
            </w:tr>
            <w:tr>
              <w:tc>
                <w:tcPr>
                  <w:tcW w:type="auto" w:w="0"/>
                  <w:shd w:val="clear" w:color="auto" w:fill="F0F0F0"/>
                </w:tcPr>
                <w:p>
                  <w:pPr>
                    <w:pStyle w:val="Para 02"/>
                    <w:keepLines w:val="on"/>
                  </w:pPr>
                  <w:r>
                    <w:t>Lockheed Corporation</w:t>
                  </w:r>
                </w:p>
              </w:tc>
              <w:tc>
                <w:tcPr>
                  <w:tcW w:type="auto" w:w="0"/>
                  <w:shd w:val="clear" w:color="auto" w:fill="F0F0F0"/>
                </w:tcPr>
                <w:p>
                  <w:pPr>
                    <w:pStyle w:val="Normal"/>
                    <w:keepLines w:val="on"/>
                  </w:pPr>
                  <w:r>
                    <w:t>10,2</w:t>
                  </w:r>
                </w:p>
              </w:tc>
              <w:tc>
                <w:tcPr>
                  <w:tcW w:type="auto" w:w="0"/>
                  <w:shd w:val="clear" w:color="auto" w:fill="F0F0F0"/>
                </w:tcPr>
                <w:p>
                  <w:pPr>
                    <w:pStyle w:val="Normal"/>
                    <w:keepLines w:val="on"/>
                  </w:pPr>
                  <w:r>
                    <w:t>9,5%</w:t>
                  </w:r>
                </w:p>
              </w:tc>
              <w:tc>
                <w:tcPr>
                  <w:tcW w:type="auto" w:w="0"/>
                  <w:shd w:val="clear" w:color="auto" w:fill="F0F0F0"/>
                </w:tcPr>
                <w:p>
                  <w:pPr>
                    <w:pStyle w:val="Normal"/>
                    <w:keepLines w:val="on"/>
                  </w:pPr>
                  <w:r>
                    <w:t>0,85</w:t>
                  </w:r>
                </w:p>
              </w:tc>
              <w:tc>
                <w:tcPr>
                  <w:tcW w:type="auto" w:w="0"/>
                  <w:shd w:val="clear" w:color="auto" w:fill="F0F0F0"/>
                </w:tcPr>
                <w:p>
                  <w:pPr>
                    <w:pStyle w:val="Normal"/>
                    <w:keepLines w:val="on"/>
                  </w:pPr>
                  <w:r>
                    <w:t>37%</w:t>
                  </w:r>
                </w:p>
              </w:tc>
            </w:tr>
            <w:tr>
              <w:tc>
                <w:tcPr>
                  <w:tcW w:type="auto" w:w="0"/>
                  <w:shd w:val="clear" w:color="auto" w:fill="F0F0F0"/>
                </w:tcPr>
                <w:p>
                  <w:pPr>
                    <w:pStyle w:val="Para 02"/>
                    <w:keepLines w:val="on"/>
                  </w:pPr>
                  <w:r>
                    <w:t>Logicon</w:t>
                  </w:r>
                </w:p>
              </w:tc>
              <w:tc>
                <w:tcPr>
                  <w:tcW w:type="auto" w:w="0"/>
                  <w:shd w:val="clear" w:color="auto" w:fill="F0F0F0"/>
                </w:tcPr>
                <w:p>
                  <w:pPr>
                    <w:pStyle w:val="Normal"/>
                    <w:keepLines w:val="on"/>
                  </w:pPr>
                  <w:r>
                    <w:t>12,4</w:t>
                  </w:r>
                </w:p>
              </w:tc>
              <w:tc>
                <w:tcPr>
                  <w:tcW w:type="auto" w:w="0"/>
                  <w:shd w:val="clear" w:color="auto" w:fill="F0F0F0"/>
                </w:tcPr>
                <w:p>
                  <w:pPr>
                    <w:pStyle w:val="Normal"/>
                    <w:keepLines w:val="on"/>
                  </w:pPr>
                  <w:r>
                    <w:t>14,0%</w:t>
                  </w:r>
                </w:p>
              </w:tc>
              <w:tc>
                <w:tcPr>
                  <w:tcW w:type="auto" w:w="0"/>
                  <w:shd w:val="clear" w:color="auto" w:fill="F0F0F0"/>
                </w:tcPr>
                <w:p>
                  <w:pPr>
                    <w:pStyle w:val="Normal"/>
                    <w:keepLines w:val="on"/>
                  </w:pPr>
                  <w:r>
                    <w:t>0,85</w:t>
                  </w:r>
                </w:p>
              </w:tc>
              <w:tc>
                <w:tcPr>
                  <w:tcW w:type="auto" w:w="0"/>
                  <w:shd w:val="clear" w:color="auto" w:fill="F0F0F0"/>
                </w:tcPr>
                <w:p>
                  <w:pPr>
                    <w:pStyle w:val="Normal"/>
                    <w:keepLines w:val="on"/>
                  </w:pPr>
                  <w:r>
                    <w:t>11%</w:t>
                  </w:r>
                </w:p>
              </w:tc>
            </w:tr>
            <w:tr>
              <w:tc>
                <w:tcPr>
                  <w:tcW w:type="auto" w:w="0"/>
                  <w:shd w:val="clear" w:color="auto" w:fill="F0F0F0"/>
                </w:tcPr>
                <w:p>
                  <w:pPr>
                    <w:pStyle w:val="Para 02"/>
                    <w:keepLines w:val="on"/>
                  </w:pPr>
                  <w:r>
                    <w:t>Loral Corporation</w:t>
                  </w:r>
                </w:p>
              </w:tc>
              <w:tc>
                <w:tcPr>
                  <w:tcW w:type="auto" w:w="0"/>
                  <w:shd w:val="clear" w:color="auto" w:fill="F0F0F0"/>
                </w:tcPr>
                <w:p>
                  <w:pPr>
                    <w:pStyle w:val="Normal"/>
                    <w:keepLines w:val="on"/>
                  </w:pPr>
                  <w:r>
                    <w:t>13,3</w:t>
                  </w:r>
                </w:p>
              </w:tc>
              <w:tc>
                <w:tcPr>
                  <w:tcW w:type="auto" w:w="0"/>
                  <w:shd w:val="clear" w:color="auto" w:fill="F0F0F0"/>
                </w:tcPr>
                <w:p>
                  <w:pPr>
                    <w:pStyle w:val="Normal"/>
                    <w:keepLines w:val="on"/>
                  </w:pPr>
                  <w:r>
                    <w:t>16,5%</w:t>
                  </w:r>
                </w:p>
              </w:tc>
              <w:tc>
                <w:tcPr>
                  <w:tcW w:type="auto" w:w="0"/>
                  <w:shd w:val="clear" w:color="auto" w:fill="F0F0F0"/>
                </w:tcPr>
                <w:p>
                  <w:pPr>
                    <w:pStyle w:val="Normal"/>
                    <w:keepLines w:val="on"/>
                  </w:pPr>
                  <w:r>
                    <w:t>0,75</w:t>
                  </w:r>
                </w:p>
              </w:tc>
              <w:tc>
                <w:tcPr>
                  <w:tcW w:type="auto" w:w="0"/>
                  <w:shd w:val="clear" w:color="auto" w:fill="F0F0F0"/>
                </w:tcPr>
                <w:p>
                  <w:pPr>
                    <w:pStyle w:val="Normal"/>
                    <w:keepLines w:val="on"/>
                  </w:pPr>
                  <w:r>
                    <w:t>23%</w:t>
                  </w:r>
                </w:p>
              </w:tc>
            </w:tr>
            <w:tr>
              <w:tc>
                <w:tcPr>
                  <w:tcW w:type="auto" w:w="0"/>
                  <w:shd w:val="clear" w:color="auto" w:fill="F0F0F0"/>
                </w:tcPr>
                <w:p>
                  <w:pPr>
                    <w:pStyle w:val="Para 02"/>
                    <w:keepLines w:val="on"/>
                  </w:pPr>
                  <w:r>
                    <w:t>Martin Marietta</w:t>
                  </w:r>
                </w:p>
              </w:tc>
              <w:tc>
                <w:tcPr>
                  <w:tcW w:type="auto" w:w="0"/>
                  <w:shd w:val="clear" w:color="auto" w:fill="F0F0F0"/>
                </w:tcPr>
                <w:p>
                  <w:pPr>
                    <w:pStyle w:val="Normal"/>
                    <w:keepLines w:val="on"/>
                  </w:pPr>
                  <w:r>
                    <w:t>11,0</w:t>
                  </w:r>
                </w:p>
              </w:tc>
              <w:tc>
                <w:tcPr>
                  <w:tcW w:type="auto" w:w="0"/>
                  <w:shd w:val="clear" w:color="auto" w:fill="F0F0F0"/>
                </w:tcPr>
                <w:p>
                  <w:pPr>
                    <w:pStyle w:val="Normal"/>
                    <w:keepLines w:val="on"/>
                  </w:pPr>
                  <w:r>
                    <w:t>8,0%</w:t>
                  </w:r>
                </w:p>
              </w:tc>
              <w:tc>
                <w:tcPr>
                  <w:tcW w:type="auto" w:w="0"/>
                  <w:shd w:val="clear" w:color="auto" w:fill="F0F0F0"/>
                </w:tcPr>
                <w:p>
                  <w:pPr>
                    <w:pStyle w:val="Normal"/>
                    <w:keepLines w:val="on"/>
                  </w:pPr>
                  <w:r>
                    <w:t>0,85</w:t>
                  </w:r>
                </w:p>
              </w:tc>
              <w:tc>
                <w:tcPr>
                  <w:tcW w:type="auto" w:w="0"/>
                  <w:shd w:val="clear" w:color="auto" w:fill="F0F0F0"/>
                </w:tcPr>
                <w:p>
                  <w:pPr>
                    <w:pStyle w:val="Normal"/>
                    <w:keepLines w:val="on"/>
                  </w:pPr>
                  <w:r>
                    <w:t>22%</w:t>
                  </w:r>
                </w:p>
              </w:tc>
            </w:tr>
            <w:tr>
              <w:tc>
                <w:tcPr>
                  <w:tcW w:type="auto" w:w="0"/>
                  <w:shd w:val="clear" w:color="auto" w:fill="F0F0F0"/>
                </w:tcPr>
                <w:p>
                  <w:pPr>
                    <w:pStyle w:val="Para 02"/>
                    <w:keepLines w:val="on"/>
                  </w:pPr>
                  <w:r>
                    <w:t>McDonnell Douglas</w:t>
                  </w:r>
                </w:p>
              </w:tc>
              <w:tc>
                <w:tcPr>
                  <w:tcW w:type="auto" w:w="0"/>
                  <w:shd w:val="clear" w:color="auto" w:fill="F0F0F0"/>
                </w:tcPr>
                <w:p>
                  <w:pPr>
                    <w:pStyle w:val="Normal"/>
                    <w:keepLines w:val="on"/>
                  </w:pPr>
                  <w:r>
                    <w:t>22,6</w:t>
                  </w:r>
                </w:p>
              </w:tc>
              <w:tc>
                <w:tcPr>
                  <w:tcW w:type="auto" w:w="0"/>
                  <w:shd w:val="clear" w:color="auto" w:fill="F0F0F0"/>
                </w:tcPr>
                <w:p>
                  <w:pPr>
                    <w:pStyle w:val="Normal"/>
                    <w:keepLines w:val="on"/>
                  </w:pPr>
                  <w:r>
                    <w:t>13,0%</w:t>
                  </w:r>
                </w:p>
              </w:tc>
              <w:tc>
                <w:tcPr>
                  <w:tcW w:type="auto" w:w="0"/>
                  <w:shd w:val="clear" w:color="auto" w:fill="F0F0F0"/>
                </w:tcPr>
                <w:p>
                  <w:pPr>
                    <w:pStyle w:val="Normal"/>
                    <w:keepLines w:val="on"/>
                  </w:pPr>
                  <w:r>
                    <w:t>1,15</w:t>
                  </w:r>
                </w:p>
              </w:tc>
              <w:tc>
                <w:tcPr>
                  <w:tcW w:type="auto" w:w="0"/>
                  <w:shd w:val="clear" w:color="auto" w:fill="F0F0F0"/>
                </w:tcPr>
                <w:p>
                  <w:pPr>
                    <w:pStyle w:val="Normal"/>
                    <w:keepLines w:val="on"/>
                  </w:pPr>
                  <w:r>
                    <w:t>37%</w:t>
                  </w:r>
                </w:p>
              </w:tc>
            </w:tr>
            <w:tr>
              <w:tc>
                <w:tcPr>
                  <w:tcW w:type="auto" w:w="0"/>
                  <w:shd w:val="clear" w:color="auto" w:fill="F0F0F0"/>
                </w:tcPr>
                <w:p>
                  <w:pPr>
                    <w:pStyle w:val="Para 02"/>
                    <w:keepLines w:val="on"/>
                  </w:pPr>
                  <w:r>
                    <w:t>Northrop</w:t>
                  </w:r>
                </w:p>
              </w:tc>
              <w:tc>
                <w:tcPr>
                  <w:tcW w:type="auto" w:w="0"/>
                  <w:shd w:val="clear" w:color="auto" w:fill="F0F0F0"/>
                </w:tcPr>
                <w:p>
                  <w:pPr>
                    <w:pStyle w:val="Normal"/>
                    <w:keepLines w:val="on"/>
                  </w:pPr>
                  <w:r>
                    <w:t>9,5</w:t>
                  </w:r>
                </w:p>
              </w:tc>
              <w:tc>
                <w:tcPr>
                  <w:tcW w:type="auto" w:w="0"/>
                  <w:shd w:val="clear" w:color="auto" w:fill="F0F0F0"/>
                </w:tcPr>
                <w:p>
                  <w:pPr>
                    <w:pStyle w:val="Normal"/>
                    <w:keepLines w:val="on"/>
                  </w:pPr>
                  <w:r>
                    <w:t>9,0%</w:t>
                  </w:r>
                </w:p>
              </w:tc>
              <w:tc>
                <w:tcPr>
                  <w:tcW w:type="auto" w:w="0"/>
                  <w:shd w:val="clear" w:color="auto" w:fill="F0F0F0"/>
                </w:tcPr>
                <w:p>
                  <w:pPr>
                    <w:pStyle w:val="Normal"/>
                    <w:keepLines w:val="on"/>
                  </w:pPr>
                  <w:r>
                    <w:t>1,05</w:t>
                  </w:r>
                </w:p>
              </w:tc>
              <w:tc>
                <w:tcPr>
                  <w:tcW w:type="auto" w:w="0"/>
                  <w:shd w:val="clear" w:color="auto" w:fill="F0F0F0"/>
                </w:tcPr>
                <w:p>
                  <w:pPr>
                    <w:pStyle w:val="Normal"/>
                    <w:keepLines w:val="on"/>
                  </w:pPr>
                  <w:r>
                    <w:t>47%</w:t>
                  </w:r>
                </w:p>
              </w:tc>
            </w:tr>
            <w:tr>
              <w:tc>
                <w:tcPr>
                  <w:tcW w:type="auto" w:w="0"/>
                  <w:shd w:val="clear" w:color="auto" w:fill="F0F0F0"/>
                </w:tcPr>
                <w:p>
                  <w:pPr>
                    <w:pStyle w:val="Para 02"/>
                    <w:keepLines w:val="on"/>
                  </w:pPr>
                  <w:r>
                    <w:t>Raytheon</w:t>
                  </w:r>
                </w:p>
              </w:tc>
              <w:tc>
                <w:tcPr>
                  <w:tcW w:type="auto" w:w="0"/>
                  <w:shd w:val="clear" w:color="auto" w:fill="F0F0F0"/>
                </w:tcPr>
                <w:p>
                  <w:pPr>
                    <w:pStyle w:val="Normal"/>
                    <w:keepLines w:val="on"/>
                  </w:pPr>
                  <w:r>
                    <w:t>12.1</w:t>
                  </w:r>
                </w:p>
              </w:tc>
              <w:tc>
                <w:tcPr>
                  <w:tcW w:type="auto" w:w="0"/>
                  <w:shd w:val="clear" w:color="auto" w:fill="F0F0F0"/>
                </w:tcPr>
                <w:p>
                  <w:pPr>
                    <w:pStyle w:val="Normal"/>
                    <w:keepLines w:val="on"/>
                  </w:pPr>
                  <w:r>
                    <w:t>9.5%</w:t>
                  </w:r>
                </w:p>
              </w:tc>
              <w:tc>
                <w:tcPr>
                  <w:tcW w:type="auto" w:w="0"/>
                  <w:shd w:val="clear" w:color="auto" w:fill="F0F0F0"/>
                </w:tcPr>
                <w:p>
                  <w:pPr>
                    <w:pStyle w:val="Normal"/>
                    <w:keepLines w:val="on"/>
                  </w:pPr>
                  <w:r>
                    <w:t>0.75</w:t>
                  </w:r>
                </w:p>
              </w:tc>
              <w:tc>
                <w:tcPr>
                  <w:tcW w:type="auto" w:w="0"/>
                  <w:shd w:val="clear" w:color="auto" w:fill="F0F0F0"/>
                </w:tcPr>
                <w:p>
                  <w:pPr>
                    <w:pStyle w:val="Normal"/>
                    <w:keepLines w:val="on"/>
                  </w:pPr>
                  <w:r>
                    <w:t>28%</w:t>
                  </w:r>
                </w:p>
              </w:tc>
            </w:tr>
            <w:tr>
              <w:tc>
                <w:tcPr>
                  <w:tcW w:type="auto" w:w="0"/>
                  <w:shd w:val="clear" w:color="auto" w:fill="F0F0F0"/>
                </w:tcPr>
                <w:p>
                  <w:pPr>
                    <w:pStyle w:val="Para 02"/>
                    <w:keepLines w:val="on"/>
                  </w:pPr>
                  <w:r>
                    <w:t>Rockwell</w:t>
                  </w:r>
                </w:p>
              </w:tc>
              <w:tc>
                <w:tcPr>
                  <w:tcW w:type="auto" w:w="0"/>
                  <w:shd w:val="clear" w:color="auto" w:fill="F0F0F0"/>
                </w:tcPr>
                <w:p>
                  <w:pPr>
                    <w:pStyle w:val="Normal"/>
                    <w:keepLines w:val="on"/>
                  </w:pPr>
                  <w:r>
                    <w:t>13.9</w:t>
                  </w:r>
                </w:p>
              </w:tc>
              <w:tc>
                <w:tcPr>
                  <w:tcW w:type="auto" w:w="0"/>
                  <w:shd w:val="clear" w:color="auto" w:fill="F0F0F0"/>
                </w:tcPr>
                <w:p>
                  <w:pPr>
                    <w:pStyle w:val="Normal"/>
                    <w:keepLines w:val="on"/>
                  </w:pPr>
                  <w:r>
                    <w:t>11.5%</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38%</w:t>
                  </w:r>
                </w:p>
              </w:tc>
            </w:tr>
            <w:tr>
              <w:tc>
                <w:tcPr>
                  <w:tcW w:type="auto" w:w="0"/>
                  <w:shd w:val="clear" w:color="auto" w:fill="F0F0F0"/>
                </w:tcPr>
                <w:p>
                  <w:pPr>
                    <w:pStyle w:val="Para 02"/>
                    <w:keepLines w:val="on"/>
                  </w:pPr>
                  <w:r>
                    <w:t>Thiokol</w:t>
                  </w:r>
                </w:p>
              </w:tc>
              <w:tc>
                <w:tcPr>
                  <w:tcW w:type="auto" w:w="0"/>
                  <w:shd w:val="clear" w:color="auto" w:fill="F0F0F0"/>
                </w:tcPr>
                <w:p>
                  <w:pPr>
                    <w:pStyle w:val="Normal"/>
                    <w:keepLines w:val="on"/>
                  </w:pPr>
                  <w:r>
                    <w:t>8.7</w:t>
                  </w:r>
                </w:p>
              </w:tc>
              <w:tc>
                <w:tcPr>
                  <w:tcW w:type="auto" w:w="0"/>
                  <w:shd w:val="clear" w:color="auto" w:fill="F0F0F0"/>
                </w:tcPr>
                <w:p>
                  <w:pPr>
                    <w:pStyle w:val="Normal"/>
                    <w:keepLines w:val="on"/>
                  </w:pPr>
                  <w:r>
                    <w:t>5.5%</w:t>
                  </w:r>
                </w:p>
              </w:tc>
              <w:tc>
                <w:tcPr>
                  <w:tcW w:type="auto" w:w="0"/>
                  <w:shd w:val="clear" w:color="auto" w:fill="F0F0F0"/>
                </w:tcPr>
                <w:p>
                  <w:pPr>
                    <w:pStyle w:val="Normal"/>
                    <w:keepLines w:val="on"/>
                  </w:pPr>
                  <w:r>
                    <w:t>0.95</w:t>
                  </w:r>
                </w:p>
              </w:tc>
              <w:tc>
                <w:tcPr>
                  <w:tcW w:type="auto" w:w="0"/>
                  <w:shd w:val="clear" w:color="auto" w:fill="F0F0F0"/>
                </w:tcPr>
                <w:p>
                  <w:pPr>
                    <w:pStyle w:val="Normal"/>
                    <w:keepLines w:val="on"/>
                  </w:pPr>
                  <w:r>
                    <w:t>15%</w:t>
                  </w:r>
                </w:p>
              </w:tc>
            </w:tr>
            <w:tr>
              <w:tc>
                <w:tcPr>
                  <w:tcW w:type="auto" w:w="0"/>
                  <w:shd w:val="clear" w:color="auto" w:fill="F0F0F0"/>
                </w:tcPr>
                <w:p>
                  <w:pPr>
                    <w:pStyle w:val="Para 02"/>
                    <w:keepLines w:val="on"/>
                  </w:pPr>
                  <w:r>
                    <w:t>United Industrial</w:t>
                  </w:r>
                </w:p>
              </w:tc>
              <w:tc>
                <w:tcPr>
                  <w:tcW w:type="auto" w:w="0"/>
                  <w:shd w:val="clear" w:color="auto" w:fill="F0F0F0"/>
                </w:tcPr>
                <w:p>
                  <w:pPr>
                    <w:pStyle w:val="Normal"/>
                    <w:keepLines w:val="on"/>
                  </w:pPr>
                  <w:r>
                    <w:t>10.4</w:t>
                  </w:r>
                </w:p>
              </w:tc>
              <w:tc>
                <w:tcPr>
                  <w:tcW w:type="auto" w:w="0"/>
                  <w:shd w:val="clear" w:color="auto" w:fill="F0F0F0"/>
                </w:tcPr>
                <w:p>
                  <w:pPr>
                    <w:pStyle w:val="Normal"/>
                    <w:keepLines w:val="on"/>
                  </w:pPr>
                  <w:r>
                    <w:t>4.5%</w:t>
                  </w:r>
                </w:p>
              </w:tc>
              <w:tc>
                <w:tcPr>
                  <w:tcW w:type="auto" w:w="0"/>
                  <w:shd w:val="clear" w:color="auto" w:fill="F0F0F0"/>
                </w:tcPr>
                <w:p>
                  <w:pPr>
                    <w:pStyle w:val="Normal"/>
                    <w:keepLines w:val="on"/>
                  </w:pPr>
                  <w:r>
                    <w:t>0.70</w:t>
                  </w:r>
                </w:p>
              </w:tc>
              <w:tc>
                <w:tcPr>
                  <w:tcW w:type="auto" w:w="0"/>
                  <w:shd w:val="clear" w:color="auto" w:fill="F0F0F0"/>
                </w:tcPr>
                <w:p>
                  <w:pPr>
                    <w:pStyle w:val="Normal"/>
                    <w:keepLines w:val="on"/>
                  </w:pPr>
                  <w:r>
                    <w:t>50%</w:t>
                  </w:r>
                </w:p>
              </w:tc>
            </w:tr>
          </w:tbl>
          <w:p/>
        </w:tc>
      </w:tr>
    </w:tbl>
    <w:p>
      <w:pPr>
        <w:numPr>
          <w:ilvl w:val="1"/>
          <w:numId w:val="181"/>
        </w:numPr>
        <w:pStyle w:val="Para 01"/>
      </w:pPr>
      <w:r>
        <w:t>Hãy ước tính tỷ số PE trung bình và trung vị. Những giá trị trung bình này, nếu có, cho bạn biết điều gì?</w:t>
      </w:r>
    </w:p>
    <w:p>
      <w:pPr>
        <w:numPr>
          <w:ilvl w:val="1"/>
          <w:numId w:val="181"/>
        </w:numPr>
        <w:pStyle w:val="Para 01"/>
      </w:pPr>
      <w:r>
        <w:t>Một nhà phân tích kết luận rằng Thiokol đang bị định giá thấp, vì tỷ số PE của nó thấp hơn mức trung bình của ngành. Trong những điều kiện nào thì nhận định này đúng? Bạn có đồng ý với nó trong trường hợp này không?</w:t>
      </w:r>
    </w:p>
    <w:p>
      <w:pPr>
        <w:numPr>
          <w:ilvl w:val="1"/>
          <w:numId w:val="181"/>
        </w:numPr>
        <w:pStyle w:val="Para 01"/>
      </w:pPr>
      <w:r>
        <w:t>Sử dụng hồi quy, hãy kiểm soát sự khác biệt giữa các công ty về rủi ro, tăng trưởng và tỷ lệ chi trả cổ tức. Hãy trình bày cách bạn sẽ dùng hồi quy này để nhận diện các cổ phiếu bị định giá thấp và định giá cao. Những hạn chế của phương pháp này là gì?</w:t>
      </w:r>
    </w:p>
    <w:p>
      <w:pPr>
        <w:numPr>
          <w:ilvl w:val="0"/>
          <w:numId w:val="181"/>
        </w:numPr>
        <w:pStyle w:val="Para 01"/>
      </w:pPr>
      <w:r>
        <w:t>Sau đây là kết quả của một hồi quy tỷ số PE theo tốc độ tăng trưởng, hệ số beta và tỷ lệ chi trả cổ tức đối với các cổ phiếu được niêm yết trên Cơ sở dữ liệu Value Line vào tháng 4 năm 1993.</w:t>
      </w:r>
    </w:p>
    <w:p>
      <w:bookmarkStart w:id="3793" w:name="PE_18_69_0_0695Growth___0_5082Be"/>
      <w:pPr>
        <w:keepNext/>
        <w:pStyle w:val="Para 09"/>
        <w:keepLines w:val="on"/>
      </w:pPr>
      <w:r>
        <w:t>PE=18.69+0.0695Growth−0.5082Beta−0.4262Payout R2=0.35</w:t>
      </w:r>
      <w:bookmarkEnd w:id="3793"/>
    </w:p>
    <w:p>
      <w:pPr>
        <w:pStyle w:val="Para 03"/>
      </w:pPr>
      <w:r>
        <w:t>Vậy một cổ phiếu có tốc độ tăng trưởng lợi nhuận 20%, beta 1,15 và tỷ lệ chi trả cổ tức 40% sẽ có tỷ số PE kỳ vọng là:</w:t>
      </w:r>
    </w:p>
    <w:p>
      <w:bookmarkStart w:id="3794" w:name="PE_18_69_0_0695x20___0_5082_1_15"/>
      <w:pPr>
        <w:keepNext/>
        <w:pStyle w:val="Para 09"/>
        <w:keepLines w:val="on"/>
      </w:pPr>
      <w:r>
        <w:t>PE=18,69+0,0695×20−0,5082(1,15)-0,4262×0,40=19,33</w:t>
      </w:r>
      <w:bookmarkEnd w:id="3794"/>
    </w:p>
    <w:p>
      <w:pPr>
        <w:pStyle w:val="Para 03"/>
      </w:pPr>
      <w:r>
        <w:t>Bạn đang cố gắng định giá một công ty tư nhân với các đặc điểm sau:</w:t>
      </w:r>
    </w:p>
    <w:p>
      <w:pPr>
        <w:numPr>
          <w:ilvl w:val="1"/>
          <w:numId w:val="181"/>
        </w:numPr>
        <w:pStyle w:val="Para 01"/>
      </w:pPr>
      <w:r>
        <w:t>Công ty có lợi nhuận ròng 10 triệu đô la. Công ty không trả cổ tức, nhưng có khoản khấu hao 5 triệu đô la và chi tiêu vốn 12 triệu đô la trong năm gần nhất. Nhu cầu vốn lưu động không đáng kể.</w:t>
      </w:r>
    </w:p>
    <w:p>
      <w:pPr>
        <w:numPr>
          <w:ilvl w:val="1"/>
          <w:numId w:val="181"/>
        </w:numPr>
        <w:pStyle w:val="Para 01"/>
      </w:pPr>
      <w:r>
        <w:t>Lợi nhuận đã tăng 25% trong năm năm trước đó, và dự kiến sẽ tăng với tốc độ tương tự trong năm năm tới.</w:t>
      </w:r>
    </w:p>
    <w:p>
      <w:pPr>
        <w:numPr>
          <w:ilvl w:val="1"/>
          <w:numId w:val="181"/>
        </w:numPr>
        <w:pStyle w:val="Para 01"/>
      </w:pPr>
      <w:r>
        <w:t>Beta trung bình của các công ty niêm yết công khai trong cùng ngành là 1,15, và tỷ lệ nợ trên vốn chủ sở hữu trung bình của các công ty này là 25%. (Thuế suất là 40%.) Công ty tư nhân này được tài trợ hoàn toàn bằng vốn chủ sở hữu, không có nợ.</w:t>
      </w:r>
    </w:p>
    <w:p>
      <w:pPr>
        <w:numPr>
          <w:ilvl w:val="2"/>
          <w:numId w:val="181"/>
        </w:numPr>
        <w:pStyle w:val="Para 01"/>
      </w:pPr>
      <w:r>
        <w:t>Hãy ước tính tỷ số PE phù hợp cho công ty tư nhân này bằng cách sử dụng mô hình hồi quy.</w:t>
      </w:r>
    </w:p>
    <w:p>
      <w:pPr>
        <w:numPr>
          <w:ilvl w:val="2"/>
          <w:numId w:val="181"/>
        </w:numPr>
        <w:pStyle w:val="Para 01"/>
      </w:pPr>
      <w:r>
        <w:t>Một số lo ngại của bạn khi sử dụng mô hình hồi quy này trong định giá sẽ là gì?</w:t>
      </w:r>
    </w:p>
    <w:p>
      <w:bookmarkStart w:id="3795" w:name="Notes__1_For_purposes_of_simplic"/>
      <w:bookmarkStart w:id="3796" w:name="Notes_17"/>
      <w:pPr>
        <w:keepNext/>
        <w:pStyle w:val="Heading 2"/>
        <w:keepLines w:val="on"/>
      </w:pPr>
      <w:r>
        <w:t>Ghi chú</w:t>
      </w:r>
      <w:bookmarkEnd w:id="3795"/>
      <w:bookmarkEnd w:id="3796"/>
    </w:p>
    <w:p>
      <w:pPr>
        <w:pStyle w:val="Para 08"/>
      </w:pPr>
      <w:r>
        <w:t>1 Để đơn giản hóa, beta và chi phí vốn chủ sở hữu được ước tính là giống nhau trong cả giai đoạn tăng trưởng cao và giai đoạn tăng trưởng ổn định. Chúng có thể đã khác nhau.</w:t>
      </w:r>
    </w:p>
    <w:p>
      <w:pPr>
        <w:pStyle w:val="Para 08"/>
      </w:pPr>
      <w:r>
        <w:t>2 Các mô hình hồi quy này xem xét tất cả các cổ phiếu được niêm yết trên cơ sở dữ liệu Compustat. Tốc độ tăng trưởng trong năm năm trước đó được sử dụng làm tốc độ tăng trưởng kỳ vọng, và các beta được ước tính từ băng CRSP.</w:t>
      </w:r>
    </w:p>
    <w:p>
      <w:pPr>
        <w:pStyle w:val="Para 08"/>
      </w:pPr>
      <w:r>
        <w:t>3 Các thống kê t được báo cáo trong ngoặc dưới các hệ số.</w:t>
      </w:r>
    </w:p>
    <w:p>
      <w:pPr>
        <w:pStyle w:val="Para 08"/>
      </w:pPr>
      <w:r>
        <w:t>4 Trong một mô hình hồi quy bội, các biến độc lập nên độc lập với nhau.</w:t>
      </w:r>
    </w:p>
    <w:p>
      <w:pPr>
        <w:pStyle w:val="Para 08"/>
      </w:pPr>
      <w:r>
        <w:t>5 Khấu hao tính theo phần trăm EBITDA hoạt động như một đại diện cho nhu cầu tái đầu tư, và có vẻ hoạt động tốt hơn như một đại diện so với chi tiêu vốn hoặc chi tiêu vốn ròng tính theo phần trăm EBITDA; hai chỉ số sau không có ý nghĩa thống kê.</w:t>
      </w:r>
    </w:p>
    <w:p>
      <w:bookmarkStart w:id="3802" w:name="Chapter_19Book_Value_Multiples"/>
      <w:bookmarkStart w:id="3803" w:name="Chapter_19Book_Value_Multiples_1"/>
      <w:bookmarkStart w:id="3804" w:name="Top_of_c019_xhtml"/>
      <w:pPr>
        <w:keepNext/>
        <w:pStyle w:val="Heading 1"/>
        <w:pageBreakBefore w:val="on"/>
        <w:keepLines w:val="on"/>
      </w:pPr>
      <w:r>
        <w:t>CHƯƠNG 19</w:t>
      </w:r>
      <w:r>
        <w:br/>
      </w:r>
      <w:r>
        <w:t>Các bội số giá trị sổ sách</w:t>
      </w:r>
      <w:bookmarkEnd w:id="3802"/>
      <w:bookmarkEnd w:id="3803"/>
      <w:bookmarkEnd w:id="3804"/>
    </w:p>
    <w:p>
      <w:pPr>
        <w:pStyle w:val="Para 03"/>
      </w:pPr>
      <w:r>
        <w:t>Mối quan hệ giữa giá và giá trị sổ sách luôn thu hút sự chú ý của các nhà đầu tư. Những cổ phiếu được bán với giá thấp hơn nhiều so với giá trị sổ sách của vốn chủ sở hữu thường được coi là bị định giá thấp, trong khi những cổ phiếu được bán với giá cao hơn giá trị sổ sách được nhắm đến như là bị định giá quá cao. Chương này bắt đầu bằng việc xem xét tỷ số giá trên giá trị sổ sách (PBV) một cách chi tiết hơn, các yếu tố quyết định tỷ số này, và cách tốt nhất để đánh giá hoặc ước tính tỷ số này.</w:t>
      </w:r>
    </w:p>
    <w:p>
      <w:pPr>
        <w:pStyle w:val="Para 03"/>
      </w:pPr>
      <w:r>
        <w:t>Trong phần tiếp theo của chương, chúng ta chuyển sự chú ý sang các biến thể của tỷ số giá trên giá trị sổ sách. Cụ thể, chúng ta tập trung vào tỷ số giá trị trên giá trị sổ sách và Tobin's Q—một tỷ số giữa giá trị thị trường của tài sản so với chi phí thay thế của chúng.</w:t>
      </w:r>
    </w:p>
    <w:p>
      <w:bookmarkStart w:id="3806" w:name="Price_to_Book_Equity__The_market"/>
      <w:pPr>
        <w:pStyle w:val="2 Block"/>
      </w:pPr>
      <w:bookmarkEnd w:id="3806"/>
    </w:p>
    <w:p>
      <w:bookmarkStart w:id="3807" w:name="Price_to_Book_Equity"/>
      <w:pPr>
        <w:keepNext/>
        <w:pStyle w:val="Heading 2"/>
        <w:keepLines w:val="on"/>
      </w:pPr>
      <w:r>
        <w:t>Giá trên giá trị sổ sách vốn chủ sở hữu</w:t>
      </w:r>
      <w:bookmarkEnd w:id="3807"/>
    </w:p>
    <w:p>
      <w:pPr>
        <w:pStyle w:val="Para 03"/>
      </w:pPr>
      <w:r>
        <w:t>Giá trị thị trường của vốn chủ sở hữu trong một công ty phản ánh kỳ vọng của thị trường về khả năng sinh lời và dòng tiền của công ty. Giá trị sổ sách của vốn chủ sở hữu là chênh lệch giữa giá trị sổ sách của tài sản và giá trị sổ sách của nợ phải trả, một con số phần lớn được xác định bởi các quy ước kế toán. Ở Hoa Kỳ, giá trị sổ sách của tài sản là giá gốc đã trả cho tài sản trừ đi bất kỳ khoản khấu hao được phép nào trên tài sản đó. Do đó, giá trị sổ sách của một tài sản thường giảm đi khi nó già đi. Giá trị sổ sách của nợ phải trả cũng tương tự phản ánh giá trị tại thời điểm phát hành của các khoản nợ. Vì giá trị sổ sách của một tài sản phản ánh chi phí gốc của nó, nó có thể lệch đáng kể so với giá trị thị trường nếu khả năng sinh lời của tài sản đã tăng hoặc giảm đáng kể kể từ khi được mua.</w:t>
      </w:r>
    </w:p>
    <w:p>
      <w:bookmarkStart w:id="3808" w:name="Why_Analysts_Use_Book_Value_and_1"/>
      <w:bookmarkStart w:id="3809" w:name="Why_Analysts_Use_Book_Value_and"/>
      <w:pPr>
        <w:keepNext/>
        <w:pStyle w:val="Heading 3"/>
        <w:keepLines w:val="on"/>
      </w:pPr>
      <w:r>
        <w:t>Tại sao các nhà phân tích sử dụng giá trị sổ sách và những hạn chế</w:t>
      </w:r>
      <w:bookmarkEnd w:id="3808"/>
      <w:bookmarkEnd w:id="3809"/>
    </w:p>
    <w:p>
      <w:pPr>
        <w:pStyle w:val="Para 03"/>
      </w:pPr>
      <w:r>
        <w:t>Có một số lý do tại sao các nhà đầu tư thấy tỷ số giá trên giá trị sổ sách hữu ích trong phân tích đầu tư. Thứ nhất là giá trị sổ sách cung cấp một thước đo giá trị tương đối ổn định, trực quan có thể so sánh với giá thị trường. Đối với những nhà đầu tư theo bản năng không tin tưởng vào các ước tính giá trị từ chiết khấu dòng tiền, giá trị sổ sách là một chuẩn mực so sánh đơn giản hơn nhiều. Thứ hai là, với các chuẩn mực kế toán tương đối nhất quán giữa các công ty, tỷ số giá trên giá trị sổ sách có thể được so sánh giữa các công ty tương tự để tìm dấu hiệu bị định giá thấp hoặc quá cao. Cuối cùng, ngay cả những công ty có lợi nhuận âm, không thể định giá bằng tỷ số giá trên thu nhập, cũng có thể được đánh giá bằng tỷ số giá trên giá trị sổ sách; số công ty có giá trị sổ sách vốn chủ sở hữu âm ít hơn nhiều so với số công ty có lợi nhuận âm.</w:t>
      </w:r>
    </w:p>
    <w:p>
      <w:pPr>
        <w:pStyle w:val="Para 03"/>
      </w:pPr>
      <w:r>
        <w:t>Có một số nhược điểm liên quan đến việc đo lường và sử dụng tỷ số giá trên giá trị sổ sách. Thứ nhất, giá trị sổ sách, giống như lợi nhuận, bị ảnh hưởng bởi các quyết định kế toán về khấu hao và các biến số khác. Khi các chuẩn mực kế toán khác nhau rộng rãi giữa các công ty, tỷ số giá trên giá trị sổ sách có thể không so sánh được. Điều tương tự cũng có thể nói về việc so sánh tỷ số giá trên giá trị sổ sách giữa các quốc gia có chuẩn mực kế toán khác nhau. Thứ hai, giá trị sổ sách có thể không mang nhiều ý nghĩa đối với các công ty dịch vụ và công nghệ không có tài sản hữu hình đáng kể. Thứ ba, giá trị sổ sách của vốn chủ sở hữu có thể trở thành âm nếu một công ty có một chuỗi báo cáo lợi nhuận âm liên tục, dẫn đến tỷ số giá trên giá trị sổ sách âm.</w:t>
      </w:r>
    </w:p>
    <w:p>
      <w:bookmarkStart w:id="3811" w:name="Definition__The_price_to_book_ra"/>
      <w:bookmarkStart w:id="3812" w:name="Definition_1"/>
      <w:pPr>
        <w:keepNext/>
        <w:pStyle w:val="Heading 3"/>
        <w:keepLines w:val="on"/>
      </w:pPr>
      <w:r>
        <w:t>Định nghĩa</w:t>
      </w:r>
      <w:bookmarkEnd w:id="3811"/>
      <w:bookmarkEnd w:id="3812"/>
    </w:p>
    <w:p>
      <w:pPr>
        <w:pStyle w:val="Para 03"/>
      </w:pPr>
      <w:r>
        <w:t>Tỷ số giá trên giá trị sổ sách được tính bằng cách chia giá thị trường mỗi cổ phần cho giá trị sổ sách hiện tại của vốn chủ sở hữu trên mỗi cổ phần.</w:t>
      </w:r>
    </w:p>
    <w:p>
      <w:bookmarkStart w:id="3813" w:name="Price_to_book_Price_per_shareBoo"/>
      <w:pPr>
        <w:keepNext/>
        <w:pStyle w:val="Para 09"/>
        <w:keepLines w:val="on"/>
      </w:pPr>
      <w:r>
        <w:t>Giá trên giá trị sổ sách=Giá mỗi cổ phầnGiá trị sổ sách của vốn chủ sở hữu trên mỗi cổ phần</w:t>
      </w:r>
      <w:bookmarkEnd w:id="3813"/>
    </w:p>
    <w:p>
      <w:pPr>
        <w:pStyle w:val="Para 03"/>
      </w:pPr>
      <w:r>
        <w:t>Trong khi bội số này về cơ bản là nhất quán — cả tử số và mẫu số đều là giá trị vốn chủ sở hữu — vẫn có khả năng xảy ra sự không nhất quán nếu bạn không cẩn thận trong cách tính giá trị sổ sách của vốn chủ sở hữu trên mỗi cổ phần. Cụ thể là,</w:t>
      </w:r>
    </w:p>
    <w:p>
      <w:pPr>
        <w:numPr>
          <w:ilvl w:val="0"/>
          <w:numId w:val="182"/>
        </w:numPr>
        <w:pStyle w:val="Para 01"/>
      </w:pPr>
      <w:r>
        <w:t>Nếu có nhiều loại cổ phần đang lưu hành, giá mỗi cổ phần có thể khác nhau giữa các loại cổ phần khác nhau, và không rõ nên phân bổ vốn chủ sở hữu sổ sách giữa các cổ phần như thế nào.</w:t>
      </w:r>
    </w:p>
    <w:p>
      <w:pPr>
        <w:numPr>
          <w:ilvl w:val="0"/>
          <w:numId w:val="182"/>
        </w:numPr>
        <w:pStyle w:val="Para 01"/>
      </w:pPr>
      <w:r>
        <w:t>Bạn không nên tính phần vốn chủ sở hữu thuộc về cổ phiếu ưu đãi (preferred stock) vào giá trị sổ sách của vốn chủ sở hữu, vì giá trị thị trường của vốn chủ sở hữu chỉ đề cập đến vốn cổ phần phổ thông (common equity).</w:t>
      </w:r>
    </w:p>
    <w:p>
      <w:pPr>
        <w:pStyle w:val="Para 03"/>
      </w:pPr>
      <w:r>
        <w:t>Một số vấn đề có thể được giảm bớt bằng cách tính tỷ lệ giá trên giá trị sổ sách (price-to-book ratio) dựa trên tổng giá trị thị trường của vốn chủ sở hữu và giá trị sổ sách của vốn chủ sở hữu, thay vì dùng giá trị trên mỗi cổ phần.</w:t>
      </w:r>
    </w:p>
    <w:p>
      <w:bookmarkStart w:id="3814" w:name="Price_to_book_Market_capitalizat"/>
      <w:pPr>
        <w:keepNext/>
        <w:pStyle w:val="Para 09"/>
        <w:keepLines w:val="on"/>
      </w:pPr>
      <w:r>
        <w:t>Giá trên giá trị sổ sách=Vốn hóa thị trườngGiá trị sổ sách của vốn chủ sở hữu</w:t>
      </w:r>
      <w:bookmarkEnd w:id="3814"/>
    </w:p>
    <w:p>
      <w:pPr>
        <w:pStyle w:val="Para 03"/>
      </w:pPr>
      <w:r>
        <w:t>Cách an toàn nhất để đo tỷ lệ này khi có nhiều loại vốn chủ sở hữu là dùng giá trị thị trường tổng hợp của tất cả các loại cổ phiếu phổ thông ở tử số và giá trị sổ sách tổng hợp của vốn chủ sở hữu ở mẫu số — bạn vẫn sẽ bỏ qua cổ phiếu ưu đãi trong phép tính này.</w:t>
      </w:r>
    </w:p>
    <w:p>
      <w:pPr>
        <w:pStyle w:val="Para 03"/>
      </w:pPr>
      <w:r>
        <w:t>Có hai vấn đề đo lường khác mà bạn phải đối mặt khi tính bội số này. Vấn đề thứ nhất liên quan đến giá trị sổ sách của vốn chủ sở hữu, vốn là một thước đo kế toán được cập nhật không thường xuyên — mỗi quý một lần đối với hầu hết các công ty, và mỗi năm một lần đối với một số công ty. Trong khi hầu hết các nhà phân tích sử dụng giá trị sổ sách của vốn chủ sở hữu mới nhất, có một số người dùng giá trị trung bình của năm trước hoặc giá trị sổ sách của vốn chủ sở hữu vào cuối năm tài chính gần nhất. Tính nhất quán đòi hỏi bạn phải dùng cùng một thước đo vốn chủ sở hữu sổ sách cho tất cả các công ty trong mẫu của mình. Vấn đề thứ hai và khó hơn liên quan đến giá trị của các quyền chọn (options) đang lưu hành. Về mặt kỹ thuật, bạn sẽ cần tính giá trị thị trường ước tính của các quyền chọn dành cho ban quản lý và các quyền chọn chuyển đổi (trong trái phiếu và cổ phiếu ưu đãi) rồi cộng chúng vào giá trị thị trường của vốn chủ sở hữu trước khi tính tỷ lệ giá trên giá trị sổ sách.1 Nếu bạn có một mẫu nhỏ các công ty so sánh được và các quyền chọn chiếm một phần lớn và biến động trong giá trị vốn chủ sở hữu, bạn nên làm điều này. Với các mẫu lớn hơn và vấn đề quyền chọn ít quan trọng hơn, bạn có thể giữ cách đo lường thông thường của giá trị thị trường vốn chủ sở hữu.</w:t>
      </w:r>
    </w:p>
    <w:p>
      <w:pPr>
        <w:pStyle w:val="Para 03"/>
      </w:pPr>
      <w:r>
        <w:t>Các chuẩn mực kế toán có thể ảnh hưởng đến giá trị sổ sách của vốn chủ sở hữu và tỷ lệ giá trên giá trị sổ sách, đồng thời làm lệch các so sánh giữa các công ty. Ví dụ, giả sử bạn đang so sánh tỷ lệ giá trên giá trị sổ sách của các công ty công nghệ ở hai thị trường, và một trong hai thị trường cho phép vốn hóa chi phí nghiên cứu còn thị trường kia thì không. Bạn nên kỳ vọng thấy tỷ lệ giá trên giá trị sổ sách thấp hơn ở thị trường trước, vì giá trị sổ sách của vốn chủ sở hữu sẽ được tăng thêm bởi giá trị của tài sản nghiên cứu.</w:t>
      </w:r>
    </w:p>
    <w:p>
      <w:pPr>
        <w:pStyle w:val="Para 11"/>
      </w:pPr>
      <w:r>
        <w:t xml:space="preserve"> </w:t>
      </w:r>
    </w:p>
    <w:p>
      <w:bookmarkStart w:id="3817" w:name="Adjusting_Book_Equity_for_Buybac_1"/>
      <w:bookmarkStart w:id="3818" w:name="Adjusting_Book_Equity_for_Buybac"/>
      <w:pPr>
        <w:keepNext/>
        <w:pStyle w:val="Para 27"/>
        <w:keepLines w:val="on"/>
      </w:pPr>
      <w:r>
        <w:t>Điều chỉnh vốn chủ sở hữu sổ sách cho việc mua lại cổ phiếu và thâu tóm</w:t>
      </w:r>
      <w:bookmarkEnd w:id="3817"/>
      <w:bookmarkEnd w:id="3818"/>
    </w:p>
    <w:p>
      <w:pPr>
        <w:pStyle w:val="Para 16"/>
        <w:keepLines w:val="on"/>
      </w:pPr>
      <w:r>
        <w:t>Trong những năm gần đây, các công ty Mỹ ngày càng chuyển sang mua lại cổ phiếu như một cách để trả lại tiền mặt cho cổ đông. Khi một công ty mua lại cổ phiếu, vốn chủ sở hữu sổ sách của công ty giảm đi đúng bằng số tiền mua lại. Mặc dù điều này cũng xảy ra y hệt khi công ty trả cổ tức bằng tiền mặt, nhưng các đợt mua lại cổ phiếu thường lớn hơn nhiều so với cổ tức thông thường, và do đó có tác động lớn hơn đến vốn chủ sở hữu sổ sách. Để minh họa, giả sử bạn có một công ty với giá trị thị trường của vốn chủ sở hữu là 100 triệu đô la và giá trị sổ sách của vốn chủ sở hữu là 50 triệu đô la; tỷ lệ giá trên giá trị sổ sách của nó là 2,00. Nếu công ty vay 25 triệu đô la và mua lại cổ phiếu, cả vốn chủ sở hữu sổ sách lẫn vốn chủ sở hữu thị trường đều giảm đi 25 triệu đô la. Tỷ lệ giá trên giá trị sổ sách thu được là 3.</w:t>
      </w:r>
    </w:p>
    <w:p>
      <w:pPr>
        <w:pStyle w:val="Para 16"/>
        <w:keepLines w:val="on"/>
      </w:pPr>
      <w:r>
        <w:t>Với các thương vụ thâu tóm, tác động lên tỷ lệ giá trên giá trị sổ sách có thể thay đổi rất mạnh tùy thuộc vào cách hạch toán thương vụ đó. Trong khi tất cả các công ty hiện nay đều được yêu cầu thể hiện lợi thế thương mại (goodwill) như một tài sản, khi họ thực hiện thâu tóm, có một số quyền tùy ý trong cách phân bổ giá mua của thương vụ thâu tóm vào các tài sản của công ty mục tiêu. Hơn nữa, khoản mục lợi thế thương mại phải được xem xét lại trong các năm tiếp theo và bị giảm giá (impairment) nếu giá trị của công ty mục tiêu đã sụt giảm kể từ khi thâu tóm. Cả hai hành động này đều có thể ảnh hưởng đến giá trị sổ sách của vốn chủ sở hữu và tỷ lệ giá trên giá trị sổ sách.</w:t>
      </w:r>
    </w:p>
    <w:p>
      <w:pPr>
        <w:pStyle w:val="Para 16"/>
        <w:keepLines w:val="on"/>
      </w:pPr>
      <w:r>
        <w:t>Để so sánh tỷ lệ giá trên giá trị sổ sách giữa các công ty, khi một số công ty trong mẫu mua lại cổ phiếu còn một số thì không, hoặc khi có sự khác biệt lớn cả về quy mô lẫn cách hạch toán các thương vụ thâu tóm, điều đó có thể gây ra vấn đề. Một cách để điều chỉnh cho những khác biệt này là loại bỏ lợi thế thương mại từ các thương vụ thâu tóm và cộng lại giá trị thị trường của các đợt mua lại cổ phiếu vào vốn chủ sở hữu sổ sách để có được giá trị sổ sách của vốn chủ sở hữu đã điều chỉnh. Tỷ lệ giá trên giá trị sổ sách sau đó có thể được tính dựa trên giá trị sổ sách của vốn chủ sở hữu đã điều chỉnh này.</w:t>
      </w:r>
    </w:p>
    <w:p>
      <w:pPr>
        <w:pStyle w:val="Para 20"/>
      </w:pPr>
      <w:r>
        <w:rPr>
          <w:rStyle w:val="Text26"/>
        </w:rPr>
        <w:bookmarkStart w:id="3819" w:name="Page_584"/>
        <w:t/>
        <w:bookmarkEnd w:id="3819"/>
      </w:r>
      <w:r>
        <w:t xml:space="preserve"> </w:t>
      </w:r>
    </w:p>
    <w:p>
      <w:bookmarkStart w:id="3820" w:name="Description_1"/>
      <w:bookmarkStart w:id="3821" w:name="Description__To_get_a_sense_of_w"/>
      <w:pPr>
        <w:keepNext/>
        <w:pStyle w:val="Heading 3"/>
        <w:keepLines w:val="on"/>
      </w:pPr>
      <w:r>
        <w:t>Mô tả</w:t>
      </w:r>
      <w:bookmarkEnd w:id="3820"/>
      <w:bookmarkEnd w:id="3821"/>
    </w:p>
    <w:p>
      <w:pPr>
        <w:pStyle w:val="Para 03"/>
      </w:pPr>
      <w:r>
        <w:t>Để có cảm nhận về thế nào là tỷ lệ giá trên giá trị sổ sách cao, thấp hay trung bình, chúng tôi đã tính tỷ lệ này cho mọi công ty niêm yết tại Hoa Kỳ, và Hình 19.1 tóm tắt phân phối tỷ lệ giá trên giá trị sổ sách của các công ty Mỹ và toàn cầu vào tháng 1 năm 2024. Lưu ý rằng phân phối này bị lệch rất mạnh, thể hiện qua việc tỷ lệ giá trên giá trị sổ sách trung bình của các công ty Mỹ (toàn cầu) là 9,94 (6,15) trong khi tỷ lệ giá trên giá trị sổ sách trung vị thấp hơn nhiều, chỉ 1,62 (1,49).</w:t>
      </w:r>
    </w:p>
    <w:p>
      <w:bookmarkStart w:id="3823" w:name="Figure_19_1_Price_to_Book_Valu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00300" cy="1816100"/>
            <wp:effectExtent l="0" r="0" t="0" b="0"/>
            <wp:wrapTopAndBottom/>
            <wp:docPr id="178" name="c19f001.png" descr="Double bar graph plots the increase and decrease in price to book value for U S and global companies in 2024."/>
            <wp:cNvGraphicFramePr>
              <a:graphicFrameLocks noChangeAspect="1"/>
            </wp:cNvGraphicFramePr>
            <a:graphic>
              <a:graphicData uri="http://schemas.openxmlformats.org/drawingml/2006/picture">
                <pic:pic>
                  <pic:nvPicPr>
                    <pic:cNvPr id="0" name="c19f001.png" descr="Double bar graph plots the increase and decrease in price to book value for U S and global companies in 2024."/>
                    <pic:cNvPicPr/>
                  </pic:nvPicPr>
                  <pic:blipFill>
                    <a:blip r:embed="rId125"/>
                    <a:stretch>
                      <a:fillRect/>
                    </a:stretch>
                  </pic:blipFill>
                  <pic:spPr>
                    <a:xfrm>
                      <a:off x="0" y="0"/>
                      <a:ext cx="2400300" cy="1816100"/>
                    </a:xfrm>
                    <a:prstGeom prst="rect">
                      <a:avLst/>
                    </a:prstGeom>
                  </pic:spPr>
                </pic:pic>
              </a:graphicData>
            </a:graphic>
          </wp:anchor>
        </w:drawing>
      </w:r>
      <w:bookmarkEnd w:id="3823"/>
    </w:p>
    <w:p>
      <w:pPr>
        <w:keepNext/>
        <w:pStyle w:val="Para 22"/>
        <w:keepLines w:val="on"/>
      </w:pPr>
      <w:r>
        <w:t>Hình 19.1 Giá trên giá trị sổ sách — Các công ty Mỹ vào tháng 1 năm 2024.</w:t>
      </w:r>
    </w:p>
    <w:p>
      <w:pPr>
        <w:pStyle w:val="Para 03"/>
      </w:pPr>
      <w:r>
        <w:t>Một điểm nữa đáng nói về tỷ lệ giá trên giá trị sổ sách là có những công ty có giá trị sổ sách của vốn chủ sở hữu âm — kết quả của việc liên tục thua lỗ — mà với chúng thì không thể tính được tỷ lệ giá trên giá trị sổ sách. Trong mẫu gồm 6.481 công ty này, tại Hoa Kỳ, có gần 2.000 công ty rơi vào trường hợp đó. Những giá trị vốn chủ sở hữu sổ sách âm đó đôi khi có thể phản ánh các công ty đang gặp khó khăn, nhưng thường thì chúng là kết quả của các điều chỉnh kế toán đối với giá trị sổ sách của vốn chủ sở hữu cho việc mua lại cổ phiếu và xóa sổ tài sản.</w:t>
      </w:r>
    </w:p>
    <w:p>
      <w:pPr>
        <w:pStyle w:val="Para 11"/>
      </w:pPr>
      <w:r>
        <w:t xml:space="preserve"> </w:t>
      </w:r>
    </w:p>
    <w:p>
      <w:bookmarkStart w:id="3824" w:name="pbvdata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79"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3824"/>
    </w:p>
    <w:p>
      <w:pPr>
        <w:pStyle w:val="Para 31"/>
        <w:keepLines w:val="on"/>
      </w:pPr>
      <w:r>
        <w:t>pbvdata.xls: Bộ dữ liệu này trên web tóm tắt tỷ lệ giá trên giá trị sổ sách và các yếu tố cơ bản theo nhóm ngành tại Hoa Kỳ cho năm gần nhất</w:t>
      </w:r>
    </w:p>
    <w:p>
      <w:pPr>
        <w:pStyle w:val="Para 03"/>
        <w:keepLines w:val="on"/>
      </w:pPr>
      <w:r>
        <w:t>.</w:t>
      </w:r>
    </w:p>
    <w:p>
      <w:bookmarkStart w:id="3825" w:name="Analysis_1"/>
      <w:bookmarkStart w:id="3826" w:name="Analysis__The_price_book_value_r"/>
      <w:pPr>
        <w:keepNext/>
        <w:pStyle w:val="Heading 3"/>
        <w:keepLines w:val="on"/>
      </w:pPr>
      <w:r>
        <w:t>Phân tích</w:t>
      </w:r>
      <w:bookmarkEnd w:id="3825"/>
      <w:bookmarkEnd w:id="3826"/>
    </w:p>
    <w:p>
      <w:pPr>
        <w:pStyle w:val="Para 03"/>
      </w:pPr>
      <w:r>
        <w:t>Tỷ lệ giá trên giá trị sổ sách có thể được liên hệ với chính những yếu tố cơ bản quyết định giá trị trong các mô hình dòng tiền chiết khấu (discounted cash flow). Vì đây là một bội số vốn chủ sở hữu, chúng ta sẽ dùng một mô hình dòng tiền chiết khấu vốn chủ sở hữu — mô hình chiết khấu cổ tức (dividend discount model) — để khám phá các yếu tố quyết định. Giá trị vốn chủ sở hữu trong một mô hình chiết khấu cổ tức tăng trưởng ổn định có thể được viết là:</w:t>
      </w:r>
    </w:p>
    <w:p>
      <w:bookmarkStart w:id="3828" w:name="Value_of_equity_today_Expected_D"/>
      <w:pPr>
        <w:keepNext/>
        <w:pStyle w:val="Para 09"/>
        <w:keepLines w:val="on"/>
      </w:pPr>
      <w:r>
        <w:t>Giá trị vốn chủ sở hữu hôm nay=Cổ tức kỳ vọng năm sauChi phí vốn chủ sở hữu−Tốc độ tăng trưởng kỳ vọng</w:t>
      </w:r>
      <w:bookmarkEnd w:id="3828"/>
    </w:p>
    <w:p>
      <w:pPr>
        <w:pStyle w:val="Para 03"/>
      </w:pPr>
      <w:r>
        <w:t>Cổ tức kỳ vọng năm sau có thể được viết là tích của thu nhập ròng năm sau và tỷ lệ chi trả cổ tức (payout ratio).</w:t>
      </w:r>
    </w:p>
    <w:p>
      <w:pPr>
        <w:keepNext/>
        <w:pStyle w:val="Para 09"/>
        <w:keepLines w:val="on"/>
      </w:pPr>
      <w:r>
        <w:t>Cổ tức năm sau=Thu nhập ròng năm sau×Tỷ lệ chi trả cổ tức</w:t>
      </w:r>
    </w:p>
    <w:p>
      <w:pPr>
        <w:pStyle w:val="Para 03"/>
      </w:pPr>
      <w:r>
        <w:t>Giá trị vốn chủ sở hữu có thể được viết là:</w:t>
      </w:r>
    </w:p>
    <w:p>
      <w:pPr>
        <w:pStyle w:val="Para 03"/>
      </w:pPr>
      <w:r>
        <w:t>Định nghĩa tỷ suất sinh lời trên vốn chủ sở hữu (ROE) = Thu nhập ròng1/Giá trị sổ sách của vốn chủ sở hữu0, giá trị vốn chủ sở hữu có thể được viết là:</w:t>
      </w:r>
    </w:p>
    <w:p>
      <w:bookmarkStart w:id="3829" w:name="Value_of_equity_today_BV_of_equi"/>
      <w:pPr>
        <w:keepNext/>
        <w:pStyle w:val="Para 09"/>
        <w:keepLines w:val="on"/>
      </w:pPr>
      <w:r>
        <w:t>Giá trị vốn chủ sở hữu hôm nay = BV của vốn chủ sở hữu₀ × ROE × Tỷ lệ chi trả cổ tức / (Chi phí vốn chủ sở hữu − Tốc độ tăng trưởng kỳ vọng)</w:t>
      </w:r>
      <w:bookmarkEnd w:id="3829"/>
    </w:p>
    <w:p>
      <w:pPr>
        <w:pStyle w:val="Para 03"/>
      </w:pPr>
      <w:r>
        <w:t>Viết lại theo tỷ lệ PBV,</w:t>
      </w:r>
    </w:p>
    <w:p>
      <w:bookmarkStart w:id="3830" w:name="Value_of_equity_todayBook_value"/>
      <w:pPr>
        <w:keepNext/>
        <w:pStyle w:val="Para 09"/>
        <w:keepLines w:val="on"/>
      </w:pPr>
      <w:r>
        <w:t>Giá trị vốn chủ sở hữu hôm nay / Giá trị sổ sách vốn chủ sở hữu hôm nay = PBV = ROE × Tỷ lệ chi trả cổ tức / (Chi phí vốn chủ sở hữu − Tốc độ tăng trưởng kỳ vọng)</w:t>
      </w:r>
      <w:bookmarkEnd w:id="3830"/>
    </w:p>
    <w:p>
      <w:pPr>
        <w:pStyle w:val="Para 03"/>
      </w:pPr>
      <w:r>
        <w:t>Tỷ lệ PBV là một hàm đồng biến với lợi nhuận trên vốn chủ sở hữu, tỷ lệ chi trả cổ tức và tốc độ tăng trưởng, đồng thời là hàm nghịch biến với mức độ rủi ro của doanh nghiệp.</w:t>
      </w:r>
    </w:p>
    <w:p>
      <w:pPr>
        <w:pStyle w:val="Para 03"/>
      </w:pPr>
      <w:r>
        <w:t>Công thức này có thể được đơn giản hóa hơn nữa bằng cách liên hệ tăng trưởng với lợi nhuận trên vốn chủ sở hữu:</w:t>
      </w:r>
    </w:p>
    <w:p>
      <w:bookmarkStart w:id="3831" w:name="g_1___Payout_ratioxROE"/>
      <w:pPr>
        <w:keepNext/>
        <w:pStyle w:val="Para 09"/>
        <w:keepLines w:val="on"/>
      </w:pPr>
      <w:r>
        <w:t>g = (1 − Tỷ lệ chi trả cổ tức) × ROE</w:t>
      </w:r>
      <w:bookmarkEnd w:id="3831"/>
    </w:p>
    <w:p>
      <w:pPr>
        <w:pStyle w:val="Para 03"/>
      </w:pPr>
      <w:r>
        <w:t>Thay ngược trở lại vào phương trình PBV,</w:t>
      </w:r>
    </w:p>
    <w:p>
      <w:bookmarkStart w:id="3832" w:name="PBV__ROE___Expected_growth_rateC"/>
      <w:pPr>
        <w:keepNext/>
        <w:pStyle w:val="Para 09"/>
        <w:keepLines w:val="on"/>
      </w:pPr>
      <w:r>
        <w:t>PBV = (ROE − Tốc độ tăng trưởng kỳ vọng) / (Chi phí vốn chủ sở hữu − Tốc độ tăng trưởng kỳ vọng)</w:t>
      </w:r>
      <w:bookmarkEnd w:id="3832"/>
    </w:p>
    <w:p>
      <w:pPr>
        <w:pStyle w:val="Para 03"/>
      </w:pPr>
      <w:r>
        <w:t>Tỷ lệ giá trên giá trị sổ sách của một doanh nghiệp tăng trưởng ổn định được quyết định bởi mức chênh lệch giữa lợi nhuận trên vốn chủ sở hữu và chi phí vốn chủ sở hữu của nó. Nếu lợi nhuận trên vốn chủ sở hữu vượt chi phí vốn chủ sở hữu, giá sẽ cao hơn giá trị sổ sách của vốn chủ sở hữu; nếu lợi nhuận trên vốn chủ sở hữu thấp hơn chi phí vốn chủ sở hữu, giá sẽ thấp hơn giá trị sổ sách của vốn chủ sở hữu.</w:t>
      </w:r>
    </w:p>
    <w:p>
      <w:pPr>
        <w:pStyle w:val="Para 11"/>
      </w:pPr>
      <w:r>
        <w:t xml:space="preserve"> </w:t>
      </w:r>
    </w:p>
    <w:p>
      <w:bookmarkStart w:id="3833" w:name="ILLUSTRATION_19_1__Estimating_th_1"/>
      <w:bookmarkStart w:id="3834" w:name="ILLUSTRATION_19_1__Estimating_th"/>
      <w:pPr>
        <w:keepNext/>
        <w:pStyle w:val="Para 19"/>
        <w:keepLines w:val="on"/>
      </w:pPr>
      <w:r>
        <w:t>MINH HỌA 19.1: Ước tính tỷ lệ giá trên giá trị sổ sách nội tại — Doanh nghiệp trả cổ tức, tăng trưởng ổn định</w:t>
      </w:r>
      <w:bookmarkEnd w:id="3833"/>
      <w:bookmarkEnd w:id="3834"/>
    </w:p>
    <w:p>
      <w:pPr>
        <w:pStyle w:val="Para 04"/>
        <w:keepLines w:val="on"/>
      </w:pPr>
      <w:r>
        <w:t>Trong Chương 13, chúng ta đã định giá Vodafone bằng mô hình H, trong đó chúng ta giả định tốc độ tăng trưởng ban đầu cao hơn một chút rồi giảm dần theo các bước tuyến tính xuống tốc độ tăng trưởng ổn định. Trong minh họa này, chúng ta sẽ giả định rằng Vodafone đã ở giai đoạn tăng trưởng ổn định và ước tính tỷ lệ giá trên giá trị sổ sách cho doanh nghiệp. Vodafone đã chi trả 4.468 triệu BP cổ tức trên lợi nhuận ròng 7.968 triệu BP trong năm 2010, cho tỷ lệ chi trả cổ tức là 55,82%:</w:t>
      </w:r>
    </w:p>
    <w:p>
      <w:bookmarkStart w:id="3836" w:name="Payout_ratio_Dividends_Net_incom"/>
      <w:pPr>
        <w:keepNext/>
        <w:pStyle w:val="Para 07"/>
        <w:keepLines w:val="on"/>
      </w:pPr>
      <w:r>
        <w:t>Tỷ lệ chi trả cổ tức = Cổ tức / Lợi nhuận ròng = 4.468 / 7.968 = 55,82%</w:t>
      </w:r>
      <w:bookmarkEnd w:id="3836"/>
    </w:p>
    <w:p>
      <w:pPr>
        <w:pStyle w:val="Para 04"/>
        <w:keepLines w:val="on"/>
      </w:pPr>
      <w:r>
        <w:t>Dựa trên giá trị sổ sách vốn chủ sở hữu là 90.810 triệu BP vào cuối năm 2009, lợi nhuận trên vốn chủ sở hữu mà doanh nghiệp tạo ra trong năm 2010 là 8,77%:</w:t>
      </w:r>
    </w:p>
    <w:p>
      <w:bookmarkStart w:id="3838" w:name="Return_on_equity_Net_income2010B"/>
      <w:pPr>
        <w:keepNext/>
        <w:pStyle w:val="Para 07"/>
        <w:keepLines w:val="on"/>
      </w:pPr>
      <w:r>
        <w:t>Lợi nhuận trên vốn chủ sở hữu = Lợi nhuận ròng 2010 / Giá trị sổ sách vốn chủ sở hữu 2009 = 7.968 / 90.810 = 8,77%</w:t>
      </w:r>
      <w:bookmarkEnd w:id="3838"/>
    </w:p>
    <w:p>
      <w:pPr>
        <w:pStyle w:val="Para 04"/>
        <w:keepLines w:val="on"/>
      </w:pPr>
      <w:r>
        <w:t>Tốc độ tăng trưởng kỳ vọng, dựa trên việc duy trì tỷ lệ chi trả cổ tức và lợi nhuận trên vốn chủ sở hữu này, là 3,88%, và chúng ta sẽ giả định đây là tốc độ tăng trưởng mãi mãi. Để ước tính chi phí vốn chủ sở hữu, chúng ta sẽ sử dụng lãi suất phi rủi ro bằng bảng Anh (4%), phần bù rủi ro vốn chủ sở hữu là 5%, và giả định hệ số beta của công ty là 1:</w:t>
      </w:r>
    </w:p>
    <w:p>
      <w:bookmarkStart w:id="3839" w:name="Cost_of_equity_4__1_005__9_00"/>
      <w:pPr>
        <w:keepNext/>
        <w:pStyle w:val="Para 07"/>
        <w:keepLines w:val="on"/>
      </w:pPr>
      <w:r>
        <w:t>Chi phí vốn chủ sở hữu = 4% + 1,00 × 5% = 9,00%</w:t>
      </w:r>
      <w:bookmarkEnd w:id="3839"/>
    </w:p>
    <w:p>
      <w:pPr>
        <w:pStyle w:val="Para 04"/>
        <w:keepLines w:val="on"/>
      </w:pPr>
      <w:r>
        <w:t>Có hai cách để chúng ta ước tính tỷ lệ giá trên giá trị sổ sách cho doanh nghiệp, và cả hai đều cho cùng một kết quả:</w:t>
      </w:r>
    </w:p>
    <w:p>
      <w:bookmarkStart w:id="3840" w:name="PBV__ROExPayoutratio__Costofequi"/>
      <w:pPr>
        <w:keepNext/>
        <w:pStyle w:val="Para 07"/>
        <w:keepLines w:val="on"/>
      </w:pPr>
      <w:r>
        <w:t>PBV = (ROE × Tỷ lệ chi trả cổ tức) / (Chi phí vốn chủ sở hữu − Tốc độ tăng trưởng kỳ vọng) = (.0877 × .5582) / (.09 − .0388) = 0,96
PBV = (ROE − Tốc độ tăng trưởng kỳ vọng) / (Chi phí vốn chủ sở hữu − Tốc độ tăng trưởng kỳ vọng) = (.0877 − .0388) / (.09 − .0388) = 0,96</w:t>
      </w:r>
      <w:bookmarkEnd w:id="3840"/>
    </w:p>
    <w:p>
      <w:pPr>
        <w:pStyle w:val="Para 04"/>
        <w:keepLines w:val="on"/>
      </w:pPr>
      <w:r>
        <w:t>Cổ phiếu được kỳ vọng sẽ giao dịch hơi thấp hơn giá trị sổ sách, vì lợi nhuận trên vốn chủ sở hữu của nó thấp hơn chi phí vốn chủ sở hữu.</w:t>
      </w:r>
    </w:p>
    <w:p>
      <w:pPr>
        <w:pStyle w:val="Para 11"/>
      </w:pPr>
      <w:r>
        <w:t xml:space="preserve"> </w:t>
      </w:r>
    </w:p>
    <w:p>
      <w:bookmarkStart w:id="3841" w:name="ILLUSTRATION_19_2__Estimating_th"/>
      <w:bookmarkStart w:id="3842" w:name="ILLUSTRATION_19_2__Estimating_th_1"/>
      <w:pPr>
        <w:keepNext/>
        <w:pStyle w:val="Para 19"/>
        <w:keepLines w:val="on"/>
      </w:pPr>
      <w:r>
        <w:t>MINH HỌA 19.2: Ước tính tỷ lệ giá trên giá trị sổ sách cho một ứng viên tư nhân hóa: Jenapharm năm 1991</w:t>
      </w:r>
      <w:bookmarkEnd w:id="3841"/>
      <w:bookmarkEnd w:id="3842"/>
    </w:p>
    <w:p>
      <w:pPr>
        <w:pStyle w:val="Para 04"/>
        <w:keepLines w:val="on"/>
      </w:pPr>
      <w:r>
        <w:t>Một trong những sản phẩm phụ của việc nước Đức thống nhất là Treuhandanstalt, cơ quan tư nhân hóa của Đức được thành lập để bán hàng trăm doanh nghiệp Đông Đức cho các công ty Đức khác, các nhà đầu tư cá nhân và công chúng. Một trong số ít doanh nghiệp có vẻ là ứng viên khả thi cho việc tư nhân hóa là Jenapharm, nhà sản xuất dược phẩm được kính trọng nhất ở Đông Đức. Jenapharm, được kỳ vọng có doanh thu 230 triệu DM trong năm 1991, cũng được kỳ vọng báo cáo lợi nhuận ròng 9 triệu DM trong năm đó. Doanh nghiệp có giá trị sổ sách tài sản là 110 triệu DM và giá trị sổ sách vốn chủ sở hữu là 58 triệu DM vào cuối năm 1990.</w:t>
      </w:r>
    </w:p>
    <w:p>
      <w:pPr>
        <w:pStyle w:val="Para 04"/>
        <w:keepLines w:val="on"/>
      </w:pPr>
      <w:r>
        <w:t>Doanh nghiệp được kỳ vọng duy trì doanh số ở sản phẩm ngách của mình, một loại thuốc tránh thai, và tăng trưởng 5% mỗi năm trong dài hạn, chủ yếu bằng cách mở rộng sang thị trường thuốc gốc. Hệ số beta trung bình của các công ty dược phẩm niêm yết trên Sở Giao dịch Chứng khoán Frankfurt là 1,05, mặc dù nhiều công ty trong số này có danh mục sản phẩm đa dạng hơn nhiều và dòng tiền ít biến động hơn. Tính đến đòn bẩy và rủi ro cao hơn ở Jenapharm, hệ số beta 1,25 đã được sử dụng cho Jenapharm. Lãi suất trái phiếu kỳ hạn 10 năm bằng đồng Deutsche Mark tại thời điểm định giá này vào đầu năm 1991 là 7%, và phần bù rủi ro vốn chủ sở hữu được giả định là 3,5%.</w:t>
      </w:r>
    </w:p>
    <w:p>
      <w:bookmarkStart w:id="3844" w:name="Expected_net_income_9_million_DM"/>
      <w:pPr>
        <w:keepNext/>
        <w:pStyle w:val="Para 07"/>
        <w:keepLines w:val="on"/>
      </w:pPr>
      <w:r>
        <w:t>Lợi nhuận ròng kỳ vọng = 9 triệu DM
Lợi nhuận trên vốn chủ sở hữu = Lợi nhuận ròng kỳ vọng / Giá trị sổ sách vốn chủ sở hữu = 9 / 58 = 15,52%
Chi phí vốn chủ sở hữu = 7% + 1,25 × (3,5%) = 11,375%
Tỷ lệ giá trên giá trị sổ sách ước tính = (ROE − g) / (Chi phí vốn chủ sở hữu − g) = (.1552 − .05) / (.11375 − .05) = 1,65
Giá trị thị trường vốn chủ sở hữu ước tính = Tỷ lệ giá trên giá trị sổ sách ước tính × Vốn chủ sở hữu sổ sách = 58 × 1,65 = 95,70 triệu DM</w:t>
      </w:r>
      <w:bookmarkEnd w:id="3844"/>
    </w:p>
    <w:p>
      <w:pPr>
        <w:pStyle w:val="Para 20"/>
      </w:pPr>
      <w:r>
        <w:rPr>
          <w:rStyle w:val="Text26"/>
        </w:rPr>
        <w:bookmarkStart w:id="3845" w:name="Page_587"/>
        <w:t/>
        <w:bookmarkEnd w:id="3845"/>
      </w:r>
      <w:r>
        <w:t xml:space="preserve"> </w:t>
      </w:r>
    </w:p>
    <w:p>
      <w:bookmarkStart w:id="3846" w:name="PBV_Ratio_for_a_High_Growth_Firm"/>
      <w:bookmarkStart w:id="3847" w:name="PBV_Ratio_for_a_High_Growth_Firm_1"/>
      <w:pPr>
        <w:keepNext/>
        <w:pStyle w:val="Heading 4"/>
        <w:keepLines w:val="on"/>
      </w:pPr>
      <w:r>
        <w:t>Tỷ lệ PBV cho một doanh nghiệp tăng trưởng cao</w:t>
      </w:r>
      <w:bookmarkEnd w:id="3846"/>
      <w:bookmarkEnd w:id="3847"/>
    </w:p>
    <w:p>
      <w:pPr>
        <w:pStyle w:val="Para 03"/>
      </w:pPr>
      <w:r>
        <w:t>Tỷ lệ giá trên giá trị sổ sách cho một doanh nghiệp tăng trưởng cao cũng có thể được liên hệ với các yếu tố cơ bản. Trong trường hợp đặc biệt của mô hình chiết khấu cổ tức hai giai đoạn, mối quan hệ này có thể được thể hiện rõ ràng khá đơn giản. Giá trị vốn chủ sở hữu của một doanh nghiệp tăng trưởng cao trong mô hình chiết khấu cổ tức hai giai đoạn có thể được viết như sau:</w:t>
      </w:r>
    </w:p>
    <w:p>
      <w:bookmarkStart w:id="3848" w:name="Value_of_equity_Present_value_of"/>
      <w:pPr>
        <w:keepNext/>
        <w:pStyle w:val="Para 09"/>
        <w:keepLines w:val="on"/>
      </w:pPr>
      <w:r>
        <w:t>Giá trị vốn chủ sở hữu = Giá trị hiện tại của cổ tức kỳ vọng + Giá trị hiện tại của giá trị cuối kỳ của vốn chủ sở hữu</w:t>
      </w:r>
      <w:bookmarkEnd w:id="3848"/>
    </w:p>
    <w:p>
      <w:pPr>
        <w:pStyle w:val="Para 03"/>
      </w:pPr>
      <w:r>
        <w:t>Khi tốc độ tăng trưởng được giả định là không đổi sau giai đoạn tăng trưởng cao ban đầu, mô hình chiết khấu cổ tức có thể được viết như sau:</w:t>
      </w:r>
    </w:p>
    <w:p>
      <w:bookmarkStart w:id="3849" w:name="Value_per_share0_EPS1xPayout_rat_1"/>
      <w:pPr>
        <w:keepNext/>
        <w:pStyle w:val="Para 09"/>
        <w:keepLines w:val="on"/>
      </w:pPr>
      <w:r>
        <w:t>Giá trị mỗi cổ phần0=EPS1×Tỷ lệ chi trả×1−1+gn1+ke,hgnke,hg−g+EPSn+1×Tỷ lệ chi trảstke,st−gst(1+ke,hg)n</w:t>
      </w:r>
      <w:bookmarkEnd w:id="3849"/>
    </w:p>
    <w:p>
      <w:bookmarkStart w:id="3850" w:name="where____________g_Growth_rate_i"/>
      <w:pPr>
        <w:pStyle w:val="Para 39"/>
      </w:pPr>
      <w:r>
        <w:t>trong đó g=Tốc độ tăng trưởng trong n năm đầu tiênPayout=Tỷ lệ chi trả trong n năm đầu tiêngst=Tốc độ tăng trưởng sau n năm mãi mãi (tốc độ tăng trưởng ổn định)Payoutst=Tỷ lệ chi trả sau n năm đối với công ty ổn địnhke=Chi phí vốn chủ sở hữu (hg: giai đoạn tăng trưởng cao; st: giai đoạn tăng trưởng ổn định)</w:t>
      </w:r>
      <w:bookmarkEnd w:id="3850"/>
    </w:p>
    <w:p>
      <w:pPr>
        <w:pStyle w:val="Para 03"/>
      </w:pPr>
      <w:r>
        <w:t>Định nghĩa ROEhg là lợi nhuận trên vốn chủ sở hữu cho giai đoạn tăng trưởng cao, và viết lại EPS1 theo lợi nhuận trên vốn chủ sở hữu, ta có:</w:t>
      </w:r>
    </w:p>
    <w:p>
      <w:bookmarkStart w:id="3851" w:name="EPS1_BVofequity0xROEhg"/>
      <w:pPr>
        <w:keepNext/>
        <w:pStyle w:val="Para 09"/>
        <w:keepLines w:val="on"/>
      </w:pPr>
      <w:r>
        <w:t>EPS1=Giá trị sổ sách của vốn chủ sở hữu0×ROEhg</w:t>
      </w:r>
      <w:bookmarkEnd w:id="3851"/>
    </w:p>
    <w:p>
      <w:pPr>
        <w:pStyle w:val="Para 03"/>
      </w:pPr>
      <w:r>
        <w:t>Đưa BV0 sang vế trái của phương trình, ta có:</w:t>
      </w:r>
    </w:p>
    <w:p>
      <w:bookmarkStart w:id="3852" w:name="PriceBook_ROEhgx_Payout_ratio_x"/>
      <w:pPr>
        <w:keepNext/>
        <w:pStyle w:val="Para 09"/>
        <w:keepLines w:val="on"/>
      </w:pPr>
      <w:r>
        <w:t>GiáGiá trị sổ sách=ROEhg×[Tỷ lệ chi trả ×(1−(1+g)n(1+ke,hg)n)(ke,hg−g)+ (1+g)n−1 (1+gst) Tỷ lệ chi trảst(ke,st−gst)(1+ke,hg)n]</w:t>
      </w:r>
      <w:bookmarkEnd w:id="3852"/>
    </w:p>
    <w:p>
      <w:pPr>
        <w:pStyle w:val="Para 03"/>
      </w:pPr>
      <w:r>
        <w:t>trong đó ROEhg là lợi nhuận trên vốn chủ sở hữu trong giai đoạn tăng trưởng cao và ke là chi phí vốn chủ sở hữu.</w:t>
      </w:r>
    </w:p>
    <w:p>
      <w:pPr>
        <w:pStyle w:val="Para 03"/>
      </w:pPr>
      <w:r>
        <w:t>Vế trái của phương trình là tỷ lệ giá trên giá trị sổ sách. Nó được quyết định bởi:</w:t>
      </w:r>
    </w:p>
    <w:p>
      <w:pPr>
        <w:numPr>
          <w:ilvl w:val="0"/>
          <w:numId w:val="183"/>
        </w:numPr>
        <w:pStyle w:val="Para 01"/>
      </w:pPr>
      <w:r>
        <w:t>Lợi nhuận trên vốn chủ sở hữu. Tỷ lệ giá trên giá trị sổ sách là một hàm tăng theo lợi nhuận trên vốn chủ sở hữu.</w:t>
      </w:r>
    </w:p>
    <w:p>
      <w:pPr>
        <w:numPr>
          <w:ilvl w:val="0"/>
          <w:numId w:val="183"/>
        </w:numPr>
        <w:pStyle w:val="Para 01"/>
      </w:pPr>
      <w:r>
        <w:t>Tỷ lệ chi trả trong giai đoạn tăng trưởng cao và trong giai đoạn ổn định. Tỷ lệ PBV tăng khi tỷ lệ chi trả tăng, với bất kỳ tốc độ tăng trưởng nào cho trước.</w:t>
      </w:r>
    </w:p>
    <w:p>
      <w:pPr>
        <w:numPr>
          <w:ilvl w:val="0"/>
          <w:numId w:val="183"/>
        </w:numPr>
        <w:pStyle w:val="Para 01"/>
      </w:pPr>
      <w:r>
        <w:t>Mức độ rủi ro (thông qua tỷ lệ chiết khấu r). Tỷ lệ PBV trở nên thấp hơn khi mức độ rủi ro tăng lên; rủi ro tăng làm tăng chi phí vốn chủ sở hữu.</w:t>
      </w:r>
    </w:p>
    <w:p>
      <w:pPr>
        <w:numPr>
          <w:ilvl w:val="0"/>
          <w:numId w:val="183"/>
        </w:numPr>
        <w:pStyle w:val="Para 01"/>
      </w:pPr>
      <w:r>
        <w:t>Tốc độ tăng trưởng thu nhập, trong cả hai giai đoạn tăng trưởng cao và ổn định. PBV tăng khi tốc độ tăng trưởng tăng, trong cả hai giai đoạn, với tỷ lệ chi trả được giữ không đổi.</w:t>
      </w:r>
    </w:p>
    <w:p>
      <w:pPr>
        <w:pStyle w:val="Para 03"/>
      </w:pPr>
      <w:r>
        <w:t>Công thức này đủ tổng quát để áp dụng cho bất kỳ công ty nào, kể cả công ty hiện không trả cổ tức. Ngoài ra, lưu ý rằng các yếu tố cơ bản quyết định tỷ lệ giá trên giá trị sổ sách cũng giống như đối với một công ty tăng trưởng ổn định—tỷ lệ chi trả, lợi nhuận trên vốn chủ sở hữu, tốc độ tăng trưởng kỳ vọng, và chi phí vốn chủ sở hữu.</w:t>
      </w:r>
    </w:p>
    <w:p>
      <w:pPr>
        <w:pStyle w:val="Para 03"/>
      </w:pPr>
      <w:r>
        <w:t>Chương 14 đã lưu ý rằng các công ty có thể không phải lúc nào cũng chi trả những gì họ có khả năng chi trả và khuyến nghị rằng dòng tiền tự do cho vốn chủ sở hữu (free cash flows to equity) nên được thay thế cho cổ tức trong những trường hợp đó. Thực tế, bạn có thể sửa đổi phương trình để diễn đạt tỷ lệ giá trên giá trị sổ sách theo dòng tiền tự do cho vốn chủ sở hữu. Phép thay thế duy nhất mà chúng ta phải thực hiện trong phương trình là thay thế tỷ lệ chi trả bằng FCFE dưới dạng phần trăm của thu nhập.</w:t>
      </w:r>
    </w:p>
    <w:p>
      <w:pPr>
        <w:pStyle w:val="Para 11"/>
      </w:pPr>
      <w:r>
        <w:t xml:space="preserve"> </w:t>
      </w:r>
    </w:p>
    <w:p>
      <w:bookmarkStart w:id="3854" w:name="ILLUSTRATION_19_3__Estimating_th"/>
      <w:bookmarkStart w:id="3855" w:name="ILLUSTRATION_19_3__Estimating_th_1"/>
      <w:pPr>
        <w:keepNext/>
        <w:pStyle w:val="Para 19"/>
        <w:keepLines w:val="on"/>
      </w:pPr>
      <w:r>
        <w:t>MINH HỌA 19.3: Ước tính tỷ lệ PBV cho một công ty tăng trưởng cao trong mô hình hai giai đoạn</w:t>
      </w:r>
      <w:bookmarkEnd w:id="3854"/>
      <w:bookmarkEnd w:id="3855"/>
    </w:p>
    <w:p>
      <w:pPr>
        <w:pStyle w:val="Para 04"/>
        <w:keepLines w:val="on"/>
      </w:pPr>
      <w:r>
        <w:t>Giả sử bạn được yêu cầu ước tính tỷ lệ PBV cho một công ty được kỳ vọng sẽ tăng trưởng cao trong năm năm tới. Bảng 19.1 liệt kê các đặc điểm của công ty:</w:t>
      </w:r>
    </w:p>
    <w:p>
      <w:pPr>
        <w:pStyle w:val="Para 25"/>
        <w:keepLines w:val="on"/>
      </w:pPr>
      <w:r>
        <w:t>Bảng 19.1</w:t>
      </w:r>
    </w:p>
    <w:p>
      <w:pPr>
        <w:keepNext/>
        <w:pStyle w:val="Para 24"/>
        <w:keepLines w:val="on"/>
      </w:pPr>
      <w:r>
        <w:t>Đặc điểm công ty—Tăng trưởng cao và Tăng trưởng ổn định</w:t>
      </w:r>
    </w:p>
    <w:tbl>
      <w:tblPr>
        <w:tblW w:type="auto" w:w="0"/>
      </w:tblPr>
      <w:tr>
        <w:tc>
          <w:tcPr>
            <w:tcW w:type="auto" w:w="0"/>
          </w:tcPr>
          <w:tbl>
            <w:tblPr>
              <w:tblW w:type="pct" w:w="5000"/>
            </w:tblPr>
            <w:tr>
              <w:tc>
                <w:tcPr>
                  <w:tcW w:type="auto" w:w="0"/>
                  <w:shd w:val="clear" w:color="auto" w:fill="F0F0F0"/>
                </w:tcPr>
                <w:p>
                  <w:pPr>
                    <w:pStyle w:val="Para 02"/>
                    <w:keepLines w:val="on"/>
                  </w:pPr>
                  <w:r>
                    <w:t>Tốc độ tăng trưởng EPS trong năm năm đầu tiên = 20%</w:t>
                  </w:r>
                </w:p>
              </w:tc>
              <w:tc>
                <w:tcPr>
                  <w:tcW w:type="auto" w:w="0"/>
                  <w:shd w:val="clear" w:color="auto" w:fill="F0F0F0"/>
                </w:tcPr>
                <w:p>
                  <w:pPr>
                    <w:pStyle w:val="Para 02"/>
                    <w:keepLines w:val="on"/>
                  </w:pPr>
                  <w:r>
                    <w:t>Tỷ lệ chi trả trong năm năm đầu tiên = 20%</w:t>
                  </w:r>
                </w:p>
              </w:tc>
            </w:tr>
            <w:tr>
              <w:tc>
                <w:tcPr>
                  <w:tcW w:type="auto" w:w="0"/>
                  <w:shd w:val="clear" w:color="auto" w:fill="F0F0F0"/>
                </w:tcPr>
                <w:p>
                  <w:pPr>
                    <w:pStyle w:val="Para 02"/>
                    <w:keepLines w:val="on"/>
                  </w:pPr>
                  <w:r>
                    <w:t>Tốc độ tăng trưởng EPS sau năm năm = 4%</w:t>
                  </w:r>
                </w:p>
              </w:tc>
              <w:tc>
                <w:tcPr>
                  <w:tcW w:type="auto" w:w="0"/>
                  <w:shd w:val="clear" w:color="auto" w:fill="F0F0F0"/>
                </w:tcPr>
                <w:p>
                  <w:pPr>
                    <w:pStyle w:val="Para 02"/>
                    <w:keepLines w:val="on"/>
                  </w:pPr>
                  <w:r>
                    <w:t>Tỷ lệ chi trả sau năm năm = 60%</w:t>
                  </w:r>
                </w:p>
              </w:tc>
            </w:tr>
            <w:tr>
              <w:tc>
                <w:tcPr>
                  <w:tcW w:type="auto" w:w="0"/>
                  <w:shd w:val="clear" w:color="auto" w:fill="F0F0F0"/>
                </w:tcPr>
                <w:p>
                  <w:pPr>
                    <w:pStyle w:val="Para 02"/>
                    <w:keepLines w:val="on"/>
                  </w:pPr>
                  <w:r>
                    <w:t>Beta = 1.0</w:t>
                  </w:r>
                </w:p>
              </w:tc>
              <w:tc>
                <w:tcPr>
                  <w:tcW w:type="auto" w:w="0"/>
                  <w:shd w:val="clear" w:color="auto" w:fill="F0F0F0"/>
                </w:tcPr>
                <w:p>
                  <w:pPr>
                    <w:pStyle w:val="Para 02"/>
                    <w:keepLines w:val="on"/>
                  </w:pPr>
                  <w:r>
                    <w:t>Tỷ lệ phi rủi ro = Lãi suất trái phiếu chính phủ = 4,5%</w:t>
                  </w:r>
                </w:p>
              </w:tc>
            </w:tr>
            <w:tr>
              <w:tc>
                <w:tcPr>
                  <w:tcW w:type="auto" w:w="0"/>
                  <w:shd w:val="clear" w:color="auto" w:fill="F0F0F0"/>
                </w:tcPr>
                <w:p>
                  <w:pPr>
                    <w:pStyle w:val="Para 03"/>
                    <w:keepLines w:val="on"/>
                  </w:pPr>
                  <w:r>
                    <w:t>Tỷ suất sinh lời trên vốn chủ sở hữu giai đoạn tăng trưởng cao = 25%</w:t>
                  </w:r>
                </w:p>
                <w:p>
                  <w:pPr>
                    <w:pStyle w:val="Para 03"/>
                    <w:keepLines w:val="on"/>
                  </w:pPr>
                  <w:r>
                    <w:t>Tỷ suất sinh lời trên vốn chủ sở hữu giai đoạn ổn định = 10%</w:t>
                  </w:r>
                </w:p>
              </w:tc>
              <w:tc>
                <w:tcPr>
                  <w:tcW w:type="auto" w:w="0"/>
                  <w:shd w:val="clear" w:color="auto" w:fill="F0F0F0"/>
                </w:tcPr>
                <w:p>
                  <w:pPr>
                    <w:pStyle w:val="Para 02"/>
                    <w:keepLines w:val="on"/>
                  </w:pPr>
                  <w:r>
                    <w:t>Phần bù rủi ro vốn chủ sở hữu = 5%</w:t>
                  </w:r>
                </w:p>
              </w:tc>
            </w:tr>
            <w:tr>
              <w:tc>
                <w:tcPr>
                  <w:tcW w:type="auto" w:w="0"/>
                  <w:shd w:val="clear" w:color="auto" w:fill="F0F0F0"/>
                </w:tcPr>
                <w:p>
                  <w:pPr>
                    <w:pStyle w:val="Para 02"/>
                    <w:keepLines w:val="on"/>
                  </w:pPr>
                  <w:r>
                    <w:t>Chi phí vốn chủ sở hữu = 4,5% + 1(5%) = 9,5% (vĩnh viễn)</w:t>
                  </w:r>
                </w:p>
              </w:tc>
              <w:tc>
                <w:tcPr>
                  <w:tcW w:type="auto" w:w="0"/>
                  <w:shd w:val="clear" w:color="auto" w:fill="F0F0F0"/>
                </w:tcPr>
                <w:p>
                  <w:pPr>
                    <w:pStyle w:val="5 Block"/>
                    <w:keepLines w:val="on"/>
                  </w:pPr>
                </w:p>
              </w:tc>
            </w:tr>
          </w:tbl>
          <w:p/>
        </w:tc>
      </w:tr>
    </w:tbl>
    <w:p>
      <w:bookmarkStart w:id="3858" w:name="PriceBook_0_25x0_20x1___1_2051_0"/>
      <w:pPr>
        <w:keepNext/>
        <w:pStyle w:val="Para 07"/>
        <w:keepLines w:val="on"/>
      </w:pPr>
      <w:r>
        <w:t>PriceBook=0,25×0,20×1−1,2051,0955,095−,20+(1,20)4 1,04 0,60,095−,04(1,095)5=4,01</w:t>
      </w:r>
      <w:bookmarkEnd w:id="3858"/>
    </w:p>
    <w:p>
      <w:pPr>
        <w:pStyle w:val="Para 04"/>
        <w:keepLines w:val="on"/>
      </w:pPr>
      <w:r>
        <w:t>Tỷ lệ PBV ước tính cho công ty này là 4,01.2</w:t>
      </w:r>
    </w:p>
    <w:p>
      <w:pPr>
        <w:pStyle w:val="Para 11"/>
      </w:pPr>
      <w:r>
        <w:t xml:space="preserve"> </w:t>
      </w:r>
    </w:p>
    <w:p>
      <w:bookmarkStart w:id="3860" w:name="ILLUSTRATION_19_4__Estimating_th"/>
      <w:bookmarkStart w:id="3861" w:name="ILLUSTRATION_19_4__Estimating_th_1"/>
      <w:pPr>
        <w:keepNext/>
        <w:pStyle w:val="Para 19"/>
        <w:keepLines w:val="on"/>
      </w:pPr>
      <w:r>
        <w:t>MINH HỌA 19.4: Ước tính tỷ lệ Giá trên Giá trị sổ sách nội tại (với tăng trưởng cao)</w:t>
      </w:r>
      <w:bookmarkEnd w:id="3860"/>
      <w:bookmarkEnd w:id="3861"/>
    </w:p>
    <w:p>
      <w:pPr>
        <w:pStyle w:val="Para 04"/>
        <w:keepLines w:val="on"/>
      </w:pPr>
      <w:r>
        <w:t>Để mở rộng phạm vi của mô hình định giá nội tại, chúng ta sẽ sử dụng mô hình hai giai đoạn để ước tính tỷ lệ giá trên giá trị sổ sách cho Nestle, một công ty mà chúng ta đã định giá bằng mô hình FCFE hai giai đoạn trong Chương 14. Thay vì sử dụng cổ tức thực tế đã trả (và tỷ lệ chi trả cổ tức), chúng ta sẽ sử dụng FCFE như cổ tức tiềm năng và đo lường tỷ lệ chi trả tương ứng.</w:t>
      </w:r>
    </w:p>
    <w:p>
      <w:bookmarkStart w:id="3863" w:name="Expected_growth_rate_ROExEquity"/>
      <w:pPr>
        <w:keepNext/>
        <w:pStyle w:val="Para 07"/>
        <w:keepLines w:val="on"/>
      </w:pPr>
      <w:r>
        <w:t>Tốc độ tăng trưởng kỳ vọng=ROE×Tỷ lệ tái đầu tư vốn chủ sở hữu</w:t>
      </w:r>
      <w:bookmarkEnd w:id="3863"/>
    </w:p>
    <w:p>
      <w:pPr>
        <w:pStyle w:val="Para 04"/>
        <w:keepLines w:val="on"/>
      </w:pPr>
      <w:r>
        <w:t>Sử dụng minh họa trong Chương 14, chúng ta tóm tắt các thông số đầu vào cho Nestle trong Bảng 19.2:</w:t>
      </w:r>
    </w:p>
    <w:p>
      <w:pPr>
        <w:pStyle w:val="Para 25"/>
        <w:keepLines w:val="on"/>
      </w:pPr>
      <w:r>
        <w:t>Bảng 19.2</w:t>
      </w:r>
    </w:p>
    <w:p>
      <w:pPr>
        <w:keepNext/>
        <w:pStyle w:val="Para 24"/>
        <w:keepLines w:val="on"/>
      </w:pPr>
      <w:r>
        <w:t>Đặc điểm công ty—Nestle</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Tăng trưởng cao</w:t>
                  </w:r>
                </w:p>
              </w:tc>
              <w:tc>
                <w:tcPr>
                  <w:tcW w:type="auto" w:w="0"/>
                  <w:shd w:val="clear" w:color="auto" w:fill="F0F0F0"/>
                </w:tcPr>
                <w:p>
                  <w:pPr>
                    <w:pStyle w:val="Para 05"/>
                    <w:keepLines w:val="on"/>
                  </w:pPr>
                  <w:r>
                    <w:t>Tăng trưởng ổn định</w:t>
                  </w:r>
                </w:p>
              </w:tc>
            </w:tr>
            <w:tr>
              <w:tc>
                <w:tcPr>
                  <w:tcW w:type="auto" w:w="0"/>
                  <w:shd w:val="clear" w:color="auto" w:fill="F0F0F0"/>
                </w:tcPr>
                <w:p>
                  <w:pPr>
                    <w:pStyle w:val="Para 02"/>
                    <w:keepLines w:val="on"/>
                  </w:pPr>
                  <w:r>
                    <w:t>Thời gian tăng trưởng</w:t>
                  </w:r>
                </w:p>
              </w:tc>
              <w:tc>
                <w:tcPr>
                  <w:tcW w:type="auto" w:w="0"/>
                  <w:shd w:val="clear" w:color="auto" w:fill="F0F0F0"/>
                </w:tcPr>
                <w:p>
                  <w:pPr>
                    <w:pStyle w:val="Normal"/>
                    <w:keepLines w:val="on"/>
                  </w:pPr>
                  <w:r>
                    <w:t>5 năm</w:t>
                  </w:r>
                </w:p>
              </w:tc>
              <w:tc>
                <w:tcPr>
                  <w:tcW w:type="auto" w:w="0"/>
                  <w:shd w:val="clear" w:color="auto" w:fill="F0F0F0"/>
                </w:tcPr>
                <w:p>
                  <w:pPr>
                    <w:pStyle w:val="Normal"/>
                    <w:keepLines w:val="on"/>
                  </w:pPr>
                  <w:r>
                    <w:t>Mãi mãi</w:t>
                  </w:r>
                </w:p>
              </w:tc>
            </w:tr>
            <w:tr>
              <w:tc>
                <w:tcPr>
                  <w:tcW w:type="auto" w:w="0"/>
                  <w:shd w:val="clear" w:color="auto" w:fill="F0F0F0"/>
                </w:tcPr>
                <w:p>
                  <w:pPr>
                    <w:pStyle w:val="Para 02"/>
                    <w:keepLines w:val="on"/>
                  </w:pPr>
                  <w:r>
                    <w:t>ROE</w:t>
                  </w:r>
                </w:p>
              </w:tc>
              <w:tc>
                <w:tcPr>
                  <w:tcW w:type="auto" w:w="0"/>
                  <w:shd w:val="clear" w:color="auto" w:fill="F0F0F0"/>
                </w:tcPr>
                <w:p>
                  <w:pPr>
                    <w:pStyle w:val="Normal"/>
                    <w:keepLines w:val="on"/>
                  </w:pPr>
                  <w:r>
                    <w:t>21,35%</w:t>
                  </w:r>
                </w:p>
              </w:tc>
              <w:tc>
                <w:tcPr>
                  <w:tcW w:type="auto" w:w="0"/>
                  <w:shd w:val="clear" w:color="auto" w:fill="F0F0F0"/>
                </w:tcPr>
                <w:p>
                  <w:pPr>
                    <w:pStyle w:val="Normal"/>
                    <w:keepLines w:val="on"/>
                  </w:pPr>
                  <w:r>
                    <w:t>10%</w:t>
                  </w:r>
                </w:p>
              </w:tc>
            </w:tr>
            <w:tr>
              <w:tc>
                <w:tcPr>
                  <w:tcW w:type="auto" w:w="0"/>
                  <w:shd w:val="clear" w:color="auto" w:fill="F0F0F0"/>
                </w:tcPr>
                <w:p>
                  <w:pPr>
                    <w:pStyle w:val="Para 02"/>
                    <w:keepLines w:val="on"/>
                  </w:pPr>
                  <w:r>
                    <w:t>Tỷ lệ tái đầu tư vốn chủ sở hữu</w:t>
                  </w:r>
                </w:p>
              </w:tc>
              <w:tc>
                <w:tcPr>
                  <w:tcW w:type="auto" w:w="0"/>
                  <w:shd w:val="clear" w:color="auto" w:fill="F0F0F0"/>
                </w:tcPr>
                <w:p>
                  <w:pPr>
                    <w:pStyle w:val="Normal"/>
                    <w:keepLines w:val="on"/>
                  </w:pPr>
                  <w:r>
                    <w:t>37,17%</w:t>
                  </w:r>
                </w:p>
              </w:tc>
              <w:tc>
                <w:tcPr>
                  <w:tcW w:type="auto" w:w="0"/>
                  <w:shd w:val="clear" w:color="auto" w:fill="F0F0F0"/>
                </w:tcPr>
                <w:p>
                  <w:pPr>
                    <w:pStyle w:val="Normal"/>
                    <w:keepLines w:val="on"/>
                  </w:pPr>
                  <w:r>
                    <w:t>25,00%</w:t>
                  </w:r>
                </w:p>
              </w:tc>
            </w:tr>
            <w:tr>
              <w:tc>
                <w:tcPr>
                  <w:tcW w:type="auto" w:w="0"/>
                  <w:shd w:val="clear" w:color="auto" w:fill="F0F0F0"/>
                </w:tcPr>
                <w:p>
                  <w:pPr>
                    <w:pStyle w:val="Para 02"/>
                    <w:keepLines w:val="on"/>
                  </w:pPr>
                  <w:r>
                    <w:t>FCFE/Thu nhập ròng</w:t>
                  </w:r>
                </w:p>
              </w:tc>
              <w:tc>
                <w:tcPr>
                  <w:tcW w:type="auto" w:w="0"/>
                  <w:shd w:val="clear" w:color="auto" w:fill="F0F0F0"/>
                </w:tcPr>
                <w:p>
                  <w:pPr>
                    <w:pStyle w:val="Normal"/>
                    <w:keepLines w:val="on"/>
                  </w:pPr>
                  <w:r>
                    <w:t>62,83%</w:t>
                  </w:r>
                </w:p>
              </w:tc>
              <w:tc>
                <w:tcPr>
                  <w:tcW w:type="auto" w:w="0"/>
                  <w:shd w:val="clear" w:color="auto" w:fill="F0F0F0"/>
                </w:tcPr>
                <w:p>
                  <w:pPr>
                    <w:pStyle w:val="Normal"/>
                    <w:keepLines w:val="on"/>
                  </w:pPr>
                  <w:r>
                    <w:t>75,00%</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Normal"/>
                    <w:keepLines w:val="on"/>
                  </w:pPr>
                  <w:r>
                    <w:t>7,94%</w:t>
                  </w:r>
                </w:p>
              </w:tc>
              <w:tc>
                <w:tcPr>
                  <w:tcW w:type="auto" w:w="0"/>
                  <w:shd w:val="clear" w:color="auto" w:fill="F0F0F0"/>
                </w:tcPr>
                <w:p>
                  <w:pPr>
                    <w:pStyle w:val="Normal"/>
                    <w:keepLines w:val="on"/>
                  </w:pPr>
                  <w:r>
                    <w:t>2,50%</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Normal"/>
                    <w:keepLines w:val="on"/>
                  </w:pPr>
                  <w:r>
                    <w:t>6,90%</w:t>
                  </w:r>
                </w:p>
              </w:tc>
              <w:tc>
                <w:tcPr>
                  <w:tcW w:type="auto" w:w="0"/>
                  <w:shd w:val="clear" w:color="auto" w:fill="F0F0F0"/>
                </w:tcPr>
                <w:p>
                  <w:pPr>
                    <w:pStyle w:val="Normal"/>
                    <w:keepLines w:val="on"/>
                  </w:pPr>
                  <w:r>
                    <w:t>6,90%</w:t>
                  </w:r>
                </w:p>
              </w:tc>
            </w:tr>
          </w:tbl>
          <w:p/>
        </w:tc>
      </w:tr>
    </w:tbl>
    <w:p>
      <w:pPr>
        <w:pStyle w:val="Para 04"/>
        <w:keepLines w:val="on"/>
      </w:pPr>
      <w:r>
        <w:t>Thay ngược trở lại vào mô hình hai giai đoạn, ta được:</w:t>
      </w:r>
    </w:p>
    <w:p>
      <w:bookmarkStart w:id="3866" w:name="PriceBook_0_2135x0_6283x1___1_07"/>
      <w:pPr>
        <w:keepNext/>
        <w:pStyle w:val="Para 07"/>
        <w:keepLines w:val="on"/>
      </w:pPr>
      <w:r>
        <w:t>PriceBook=0.2135×0.6283×1−1.079451.0695.069−.0794 +(1.0794)4 1.025 0.75.069−.025(1.069)5=4.27</w:t>
      </w:r>
      <w:bookmarkEnd w:id="3866"/>
    </w:p>
    <w:p>
      <w:pPr>
        <w:pStyle w:val="Para 04"/>
        <w:keepLines w:val="on"/>
      </w:pPr>
      <w:r>
        <w:t>Trong ví dụ minh họa này, chúng ta giả định rằng ROE kỳ vọng của Nestle trong năm năm tới sẽ bằng với ROE hiện tại là 21,35%. Lưu ý rằng tỷ suất sinh lời trên vốn chủ sở hữu (return on equity – ROE) giai đoạn ổn định là 10% chỉ được dùng để tính tỷ lệ chi trả cổ tức (payout ratio) trong tăng trưởng ổn định, còn ROE giai đoạn tăng trưởng cao thì được dùng ở mọi chỗ khác. Việc hạ thấp ROE giai đoạn tăng trưởng cao này sẽ làm giảm tỷ lệ giá trên giá trị sổ sách (price-to-book ratio) của công ty.</w:t>
      </w:r>
    </w:p>
    <w:p>
      <w:bookmarkStart w:id="3867" w:name="PBV_Ratios_and_Return_on_Equity"/>
      <w:bookmarkStart w:id="3868" w:name="PBV_Ratios_and_Return_on_Equity_1"/>
      <w:pPr>
        <w:keepNext/>
        <w:pStyle w:val="Heading 4"/>
        <w:keepLines w:val="on"/>
      </w:pPr>
      <w:r>
        <w:t>Tỷ lệ PBV và tỷ suất sinh lời trên vốn chủ sở hữu</w:t>
      </w:r>
      <w:bookmarkEnd w:id="3867"/>
      <w:bookmarkEnd w:id="3868"/>
    </w:p>
    <w:p>
      <w:pPr>
        <w:pStyle w:val="Para 03"/>
      </w:pPr>
      <w:r>
        <w:t>Tỷ lệ giá trên giá trị sổ sách chịu ảnh hưởng mạnh mẽ từ tỷ suất sinh lời trên vốn chủ sở hữu. Một ROE thấp hơn sẽ ảnh hưởng đến tỷ lệ giá – giá trị sổ sách một cách trực tiếp thông qua công thức đã nêu ở phần trước, và ảnh hưởng gián tiếp bằng cách làm giảm tốc độ tăng trưởng kỳ vọng hoặc tỷ lệ chi trả cổ tức.</w:t>
      </w:r>
    </w:p>
    <w:p>
      <w:bookmarkStart w:id="3869" w:name="Expected_growth_rate_Retention_r_2"/>
      <w:pPr>
        <w:keepNext/>
        <w:pStyle w:val="Para 09"/>
        <w:keepLines w:val="on"/>
      </w:pPr>
      <w:r>
        <w:t>Tốc độ tăng trưởng kỳ vọng=Tỷ lệ giữ lại×Tỷ suất sinh lời trên vốn chủ sở hữu</w:t>
      </w:r>
      <w:bookmarkEnd w:id="3869"/>
    </w:p>
    <w:p>
      <w:pPr>
        <w:pStyle w:val="Para 03"/>
      </w:pPr>
      <w:r>
        <w:t>Có thể thấy tác động của việc ROE thấp hơn lên tỷ lệ giá – giá trị sổ sách bằng cách quay lại Ví dụ minh họa 19.3 và thay đổi ROE của công ty được định giá trong ví dụ đó.</w:t>
      </w:r>
    </w:p>
    <w:p>
      <w:pPr>
        <w:pStyle w:val="Para 11"/>
      </w:pPr>
      <w:r>
        <w:t xml:space="preserve"> </w:t>
      </w:r>
    </w:p>
    <w:p>
      <w:bookmarkStart w:id="3870" w:name="ILLUSTRATION_19_5__Return_on_Equ"/>
      <w:bookmarkStart w:id="3871" w:name="ILLUSTRATION_19_5__Return_on_Equ_1"/>
      <w:pPr>
        <w:keepNext/>
        <w:pStyle w:val="Para 19"/>
        <w:keepLines w:val="on"/>
      </w:pPr>
      <w:r>
        <w:t>VÍ DỤ MINH HỌA 19.5: Tỷ suất sinh lời trên vốn chủ sở hữu và tỷ lệ giá – giá trị sổ sách</w:t>
      </w:r>
      <w:bookmarkEnd w:id="3870"/>
      <w:bookmarkEnd w:id="3871"/>
    </w:p>
    <w:p>
      <w:pPr>
        <w:pStyle w:val="Para 04"/>
        <w:keepLines w:val="on"/>
      </w:pPr>
      <w:r>
        <w:t>Trong Ví dụ minh họa 19.3, chúng ta đã ước tính tỷ lệ giá trên giá trị sổ sách của công ty là 4,01, dựa trên ROE 25% trong năm năm tăng trưởng cao tiếp theo, và chính mức ROE này cho phép công ty đạt được tốc độ tăng trưởng 20% trong giai đoạn tăng trưởng cao. ROE kỳ vọng 10% sau năm thứ 5 duy trì tốc độ tăng trưởng ổn định 4% mãi mãi:</w:t>
      </w:r>
    </w:p>
    <w:p>
      <w:bookmarkStart w:id="3873" w:name="Growthrateinfirstfiveyears_Reten"/>
      <w:pPr>
        <w:keepNext/>
        <w:pStyle w:val="Para 07"/>
        <w:keepLines w:val="on"/>
      </w:pPr>
      <w:r>
        <w:t>Growthrateinfirstfiveyears=Retentionratio×ROE=0.8×25%=20%Growthrateafteryear5=Retentionratio×ROE=0.40×10%=4%</w:t>
      </w:r>
      <w:bookmarkEnd w:id="3873"/>
    </w:p>
    <w:p>
      <w:pPr>
        <w:pStyle w:val="Para 04"/>
        <w:keepLines w:val="on"/>
      </w:pPr>
      <w:r>
        <w:t>Nếu ROE của công ty trong năm năm tới giảm xuống còn 12%, tỷ lệ giá – giá trị sổ sách sẽ phản ánh mức giảm đó. ROE thấp hơn cũng sẽ làm giảm tốc độ tăng trưởng kỳ vọng trong giai đoạn tăng trưởng cao ban đầu:</w:t>
      </w:r>
    </w:p>
    <w:p>
      <w:bookmarkStart w:id="3874" w:name="Growthrateinfirstfiveyears_Reten_1"/>
      <w:pPr>
        <w:keepNext/>
        <w:pStyle w:val="Para 07"/>
        <w:keepLines w:val="on"/>
      </w:pPr>
      <w:r>
        <w:t>Growthrateinfirstfiveyears=Retentionratio×ROE=0.8×12%=9.6%</w:t>
      </w:r>
      <w:bookmarkEnd w:id="3874"/>
    </w:p>
    <w:p>
      <w:pPr>
        <w:pStyle w:val="Para 04"/>
        <w:keepLines w:val="on"/>
      </w:pPr>
      <w:r>
        <w:t>Giả sử ROE sau năm thứ 5 vẫn giữ ở mức 10%, tỷ lệ giá – giá trị sổ sách mới có thể được tính như sau:</w:t>
      </w:r>
    </w:p>
    <w:p>
      <w:bookmarkStart w:id="3876" w:name="PriceBook_0_12x0_20x1___1_09651"/>
      <w:pPr>
        <w:keepNext/>
        <w:pStyle w:val="Para 07"/>
        <w:keepLines w:val="on"/>
      </w:pPr>
      <w:r>
        <w:t>PriceBook=0.12×0.20×1−1.09651.0955.095−.096+(1.096)4 1.04 0.60.095−.04(1.095)5=1.36</w:t>
      </w:r>
      <w:bookmarkEnd w:id="3876"/>
    </w:p>
    <w:p>
      <w:pPr>
        <w:pStyle w:val="Para 04"/>
        <w:keepLines w:val="on"/>
      </w:pPr>
      <w:r>
        <w:t>Việc ROE giảm có tác động hai tầng. Thứ nhất, nó làm giảm tốc độ tăng trưởng lợi nhuận và/hoặc tỷ lệ chi trả cổ tức kỳ vọng, từ đó ảnh hưởng gián tiếp đến tỷ lệ PBV. Thứ hai, nó làm giảm trực tiếp tỷ lệ PBV.</w:t>
      </w:r>
    </w:p>
    <w:p>
      <w:pPr>
        <w:pStyle w:val="Para 03"/>
      </w:pPr>
      <w:r>
        <w:t>Tỷ lệ giá – giá trị sổ sách cũng chịu ảnh hưởng của chi phí vốn chủ sở hữu, với chi phí vốn chủ sở hữu cao hơn sẽ dẫn đến tỷ lệ giá – giá trị sổ sách thấp hơn. Có thể gộp ảnh hưởng của ROE và chi phí vốn chủ sở hữu vào một thước đo duy nhất bằng cách lấy hiệu của hai chỉ số này — một thước đo lợi nhuận vốn chủ sở hữu vượt trội (excess equity return). ROE càng lớn so với chi phí vốn chủ sở hữu thì tỷ lệ giá – giá trị sổ sách càng cao. Chẳng hạn, trong các Ví dụ minh họa 19.3 và 19.5, công ty có chi phí vốn chủ sở hữu 9,5 phần trăm đã đi từ chỗ có ROE cao hơn tỷ suất sinh lời yêu cầu tới 15,5 phần trăm xuống còn ROE chỉ cao hơn tỷ suất sinh lời yêu cầu 2,5 phần trăm. Kết quả là tỷ lệ giá – giá trị sổ sách của nó giảm từ 7,89 xuống 1,25. Hình 19.2 cho thấy tỷ lệ giá – giá trị sổ sách như một hàm số của chênh lệch giữa ROE và chi phí vốn chủ sở hữu. Lưu ý rằng khi ROE bằng với chi phí vốn chủ sở hữu, giá sẽ bằng giá trị sổ sách.</w:t>
      </w:r>
    </w:p>
    <w:p>
      <w:bookmarkStart w:id="3878" w:name="Figure_19_2_Price_Book_Value_a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1689100"/>
            <wp:effectExtent l="0" r="0" t="0" b="0"/>
            <wp:wrapTopAndBottom/>
            <wp:docPr id="180" name="c19f002.png" descr="Bar graph plots the increase in return on equity with an increase in price to book value ratio."/>
            <wp:cNvGraphicFramePr>
              <a:graphicFrameLocks noChangeAspect="1"/>
            </wp:cNvGraphicFramePr>
            <a:graphic>
              <a:graphicData uri="http://schemas.openxmlformats.org/drawingml/2006/picture">
                <pic:pic>
                  <pic:nvPicPr>
                    <pic:cNvPr id="0" name="c19f002.png" descr="Bar graph plots the increase in return on equity with an increase in price to book value ratio."/>
                    <pic:cNvPicPr/>
                  </pic:nvPicPr>
                  <pic:blipFill>
                    <a:blip r:embed="rId126"/>
                    <a:stretch>
                      <a:fillRect/>
                    </a:stretch>
                  </pic:blipFill>
                  <pic:spPr>
                    <a:xfrm>
                      <a:off x="0" y="0"/>
                      <a:ext cx="2451100" cy="1689100"/>
                    </a:xfrm>
                    <a:prstGeom prst="rect">
                      <a:avLst/>
                    </a:prstGeom>
                  </pic:spPr>
                </pic:pic>
              </a:graphicData>
            </a:graphic>
          </wp:anchor>
        </w:drawing>
      </w:r>
      <w:bookmarkEnd w:id="3878"/>
    </w:p>
    <w:p>
      <w:pPr>
        <w:keepNext/>
        <w:pStyle w:val="Para 22"/>
        <w:keepLines w:val="on"/>
      </w:pPr>
      <w:r>
        <w:t>Hình 19.2 Giá – giá trị sổ sách như một hàm số của chênh lệch tỷ suất sinh lời</w:t>
      </w:r>
    </w:p>
    <w:p>
      <w:pPr>
        <w:pStyle w:val="Para 20"/>
      </w:pPr>
      <w:r>
        <w:rPr>
          <w:rStyle w:val="Text26"/>
        </w:rPr>
        <w:bookmarkStart w:id="3879" w:name="Page_591"/>
        <w:t/>
        <w:bookmarkEnd w:id="3879"/>
      </w:r>
      <w:r>
        <w:t xml:space="preserve"> </w:t>
      </w:r>
    </w:p>
    <w:p>
      <w:bookmarkStart w:id="3880" w:name="Determinants_of_Return_on_Equity_2"/>
      <w:bookmarkStart w:id="3881" w:name="Determinants_of_Return_on_Equity_3"/>
      <w:pPr>
        <w:keepNext/>
        <w:pStyle w:val="Heading 4"/>
        <w:keepLines w:val="on"/>
      </w:pPr>
      <w:r>
        <w:t>Các yếu tố quyết định lợi nhuận trên vốn chủ sở hữu</w:t>
      </w:r>
      <w:bookmarkEnd w:id="3880"/>
      <w:bookmarkEnd w:id="3881"/>
    </w:p>
    <w:p>
      <w:pPr>
        <w:pStyle w:val="Para 03"/>
      </w:pPr>
      <w:r>
        <w:t>Sự khác biệt giữa lợi nhuận trên vốn chủ sở hữu (return on equity – ROE) và chi phí vốn chủ sở hữu (cost of equity) là thước đo khả năng của một doanh nghiệp trong việc kiếm được lợi nhuận vượt trội trong ngành kinh doanh mà nó hoạt động. Các nhà chiến lược doanh nghiệp đã xem xét những yếu tố quyết định quy mô và thời gian kỳ vọng của những khoản lợi nhuận vượt trội này (và ROE cao) bằng nhiều khung phân tích khác nhau. Một trong những khung được biết đến nhiều nhất là khung "các thế lực cạnh tranh" (forces of competition) do Porter (1980) phát triển. Trong cách tiếp cận của ông, cạnh tranh không chỉ đến từ những nhà sản xuất hiện hữu đang làm ra cùng một sản phẩm, mà còn từ những nhà cung cấp sản phẩm thay thế và từ những đối thủ tiềm năng mới gia nhập thị trường. Hình 19.3 tóm tắt năm thế lực cạnh tranh.</w:t>
      </w:r>
    </w:p>
    <w:p>
      <w:bookmarkStart w:id="3883" w:name="Figure_19_3_Five_Forces_of_Comp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47900" cy="1930400"/>
            <wp:effectExtent l="0" r="0" t="0" b="0"/>
            <wp:wrapTopAndBottom/>
            <wp:docPr id="181" name="c19f003.png" descr="Flowchart has 5 textboxes labeled, Supplier Power, Threat of Entry, Industry Competitiveness, Threat of Substitutes, and Buyer Power."/>
            <wp:cNvGraphicFramePr>
              <a:graphicFrameLocks noChangeAspect="1"/>
            </wp:cNvGraphicFramePr>
            <a:graphic>
              <a:graphicData uri="http://schemas.openxmlformats.org/drawingml/2006/picture">
                <pic:pic>
                  <pic:nvPicPr>
                    <pic:cNvPr id="0" name="c19f003.png" descr="Flowchart has 5 textboxes labeled, Supplier Power, Threat of Entry, Industry Competitiveness, Threat of Substitutes, and Buyer Power."/>
                    <pic:cNvPicPr/>
                  </pic:nvPicPr>
                  <pic:blipFill>
                    <a:blip r:embed="rId127"/>
                    <a:stretch>
                      <a:fillRect/>
                    </a:stretch>
                  </pic:blipFill>
                  <pic:spPr>
                    <a:xfrm>
                      <a:off x="0" y="0"/>
                      <a:ext cx="2247900" cy="1930400"/>
                    </a:xfrm>
                    <a:prstGeom prst="rect">
                      <a:avLst/>
                    </a:prstGeom>
                  </pic:spPr>
                </pic:pic>
              </a:graphicData>
            </a:graphic>
          </wp:anchor>
        </w:drawing>
      </w:r>
      <w:bookmarkEnd w:id="3883"/>
    </w:p>
    <w:p>
      <w:pPr>
        <w:pStyle w:val="Para 22"/>
        <w:keepLines w:val="on"/>
      </w:pPr>
      <w:r>
        <w:t>Hình 19.3 Năm thế lực cạnh tranh và lợi nhuận trên vốn chủ sở hữu</w:t>
      </w:r>
    </w:p>
    <w:p>
      <w:pPr>
        <w:keepNext/>
        <w:pStyle w:val="Para 22"/>
        <w:keepLines w:val="on"/>
      </w:pPr>
      <w:r>
        <w:t>Nguồn: Phỏng theo Porter, 1980.</w:t>
      </w:r>
    </w:p>
    <w:p>
      <w:pPr>
        <w:pStyle w:val="Para 03"/>
      </w:pPr>
      <w:r>
        <w:t>Trong khung của Porter, một doanh nghiệp có thể duy trì lợi nhuận trên vốn chủ sở hữu cao vì có những rào cản gia nhập đáng kể đối với các doanh nghiệp mới, hoặc vì doanh nghiệp đó có những lợi thế đáng kể so với đối thủ cạnh tranh. Việc phân tích lợi nhuận trên vốn chủ sở hữu của một doanh nghiệp sẽ trở nên phong phú và giàu thông tin hơn nhiều nếu ta xem xét môi trường cạnh tranh mà nó hoạt động. Phân tích này cũng có thể hé lộ manh mối về xu hướng tương lai của lợi nhuận trên vốn chủ sở hữu. Các nhà đầu tư giá trị có một biến thể riêng cho chủ đề này mà họ gọi là "hào nước" (moat). Một doanh nghiệp có lợi thế cạnh tranh mạnh mẽ và bền vững được coi là có hào nước vững chắc, và điều đó lại khiến nó trở nên có giá trị hơn. Trong khung phân tích được phát triển ở chương này, độ mạnh của hào nước được đo bằng mức ROE và khoảng thời gian có thể duy trì được mức đó.</w:t>
      </w:r>
    </w:p>
    <w:p>
      <w:pPr>
        <w:pStyle w:val="Para 11"/>
      </w:pPr>
      <w:r>
        <w:t xml:space="preserve"> </w:t>
      </w:r>
      <w:r>
        <w:rPr>
          <w:rStyle w:val="Text26"/>
        </w:rPr>
        <w:bookmarkStart w:id="3884" w:name="Page_592"/>
        <w:t/>
        <w:bookmarkEnd w:id="3884"/>
      </w:r>
      <w:r>
        <w:t xml:space="preserve"> </w:t>
      </w:r>
    </w:p>
    <w:p>
      <w:bookmarkStart w:id="3885" w:name="eqmult_xls__This_spreadsheet_ena"/>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82"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3885"/>
    </w:p>
    <w:p>
      <w:pPr>
        <w:pStyle w:val="Para 31"/>
        <w:keepLines w:val="on"/>
      </w:pPr>
      <w:r>
        <w:t>eqmult.xls: Bảng tính này cho phép bạn ước tính tỷ lệ giá trên thu nhập (price-earnings ratio) cho một doanh nghiệp tăng trưởng ổn định hoặc tăng trưởng cao, dựa trên các yếu tố nền tảng của nó.</w:t>
      </w:r>
    </w:p>
    <w:p>
      <w:bookmarkStart w:id="3886" w:name="Applications_of_Price_Book_Value_1"/>
      <w:bookmarkStart w:id="3887" w:name="Applications_of_Price_Book_Value"/>
      <w:pPr>
        <w:keepNext/>
        <w:pStyle w:val="Heading 3"/>
        <w:keepLines w:val="on"/>
      </w:pPr>
      <w:r>
        <w:t>Ứng dụng của tỷ lệ giá trên giá trị sổ sách</w:t>
      </w:r>
      <w:bookmarkEnd w:id="3886"/>
      <w:bookmarkEnd w:id="3887"/>
    </w:p>
    <w:p>
      <w:pPr>
        <w:pStyle w:val="Para 03"/>
      </w:pPr>
      <w:r>
        <w:t>Có nhiều ứng dụng tiềm năng cho những nguyên lý được trình bày ở phần trước, và trong phần này chúng ta sẽ xem xét ba ứng dụng. Đầu tiên, chúng ta sẽ xem điều gì khiến tỷ lệ giá trên giá trị sổ sách (price-to-book ratio) của toàn bộ thị trường thay đổi theo thời gian, và khi nào một tỷ lệ giá trên giá trị sổ sách thấp hoặc cao của một thị trường có thể được xem là dấu hiệu của việc bị định giá thấp (hoặc định giá quá cao). Tiếp theo, chúng ta sẽ so sánh tỷ lệ giá trên giá trị sổ sách của các doanh nghiệp trong cùng một ngành, rồi mở rộng ra xem xét các doanh nghiệp trên toàn thị trường và những gì bạn cần kiểm soát khi thực hiện những so sánh này. Cuối cùng, chúng ta sẽ xem xét những yếu tố khiến tỷ lệ giá trên giá trị sổ sách của một doanh nghiệp riêng lẻ thay đổi theo thời gian và cách sử dụng nó như một công cụ để phân tích các cuộc tái cấu trúc.</w:t>
      </w:r>
    </w:p>
    <w:p>
      <w:bookmarkStart w:id="3888" w:name="PBV_Ratios_for_a_Market__The_pri"/>
      <w:bookmarkStart w:id="3889" w:name="PBV_Ratios_for_a_Market"/>
      <w:pPr>
        <w:keepNext/>
        <w:pStyle w:val="Heading 4"/>
        <w:keepLines w:val="on"/>
      </w:pPr>
      <w:r>
        <w:t>Tỷ lệ PBV cho một thị trường</w:t>
      </w:r>
      <w:bookmarkEnd w:id="3888"/>
      <w:bookmarkEnd w:id="3889"/>
    </w:p>
    <w:p>
      <w:pPr>
        <w:pStyle w:val="Para 03"/>
      </w:pPr>
      <w:r>
        <w:t>Tỷ lệ giá trên giá trị sổ sách của toàn bộ một thị trường được quyết định bởi chính những biến số quyết định tỷ lệ giá trên giá trị sổ sách của một doanh nghiệp riêng lẻ. Khi mọi thứ khác không đổi, bạn sẽ kỳ vọng tỷ lệ giá trên giá trị sổ sách của một thị trường tăng lên khi mức chênh lệch lợi nhuận trên vốn chủ sở hữu (equity return spread – ROE trừ chi phí vốn chủ sở hữu) mà các doanh nghiệp trong thị trường đó kiếm được tăng lên. Ngược lại, bạn sẽ kỳ vọng tỷ lệ giá trên giá trị sổ sách của thị trường giảm xuống khi mức chênh lệch lợi nhuận trên vốn chủ sở hữu mà các doanh nghiệp kiếm được giảm đi.</w:t>
      </w:r>
    </w:p>
    <w:p>
      <w:pPr>
        <w:pStyle w:val="Para 03"/>
      </w:pPr>
      <w:r>
        <w:t>Chương 18 đã đề cập đến sự gia tăng của tỷ lệ giá trên thu nhập của chỉ số S&amp;P 500 từ năm 1960 đến năm 2023. Trong khoảng thời gian đó, tỷ lệ giá trên giá trị sổ sách của thị trường cũng tăng lên. Hình 19.4 trình bày về tỷ lệ giá trên giá trị sổ sách của S&amp;P 500 và lợi nhuận trên vốn chủ sở hữu của các doanh nghiệp thuộc S&amp;P 500.</w:t>
      </w:r>
    </w:p>
    <w:p>
      <w:bookmarkStart w:id="3891" w:name="Figure_19_4_Price_to_Book_Ratio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00300" cy="1765300"/>
            <wp:effectExtent l="0" r="0" t="0" b="0"/>
            <wp:wrapTopAndBottom/>
            <wp:docPr id="183" name="c19f004.png" descr="Line and bar graph plots the increase and decrease of P B V ratio and R O E from 1980 to 2023."/>
            <wp:cNvGraphicFramePr>
              <a:graphicFrameLocks noChangeAspect="1"/>
            </wp:cNvGraphicFramePr>
            <a:graphic>
              <a:graphicData uri="http://schemas.openxmlformats.org/drawingml/2006/picture">
                <pic:pic>
                  <pic:nvPicPr>
                    <pic:cNvPr id="0" name="c19f004.png" descr="Line and bar graph plots the increase and decrease of P B V ratio and R O E from 1980 to 2023."/>
                    <pic:cNvPicPr/>
                  </pic:nvPicPr>
                  <pic:blipFill>
                    <a:blip r:embed="rId128"/>
                    <a:stretch>
                      <a:fillRect/>
                    </a:stretch>
                  </pic:blipFill>
                  <pic:spPr>
                    <a:xfrm>
                      <a:off x="0" y="0"/>
                      <a:ext cx="2400300" cy="1765300"/>
                    </a:xfrm>
                    <a:prstGeom prst="rect">
                      <a:avLst/>
                    </a:prstGeom>
                  </pic:spPr>
                </pic:pic>
              </a:graphicData>
            </a:graphic>
          </wp:anchor>
        </w:drawing>
      </w:r>
      <w:bookmarkEnd w:id="3891"/>
    </w:p>
    <w:p>
      <w:pPr>
        <w:keepNext/>
        <w:pStyle w:val="Para 22"/>
        <w:keepLines w:val="on"/>
      </w:pPr>
      <w:r>
        <w:t>Hình 19.4 Tỷ lệ giá trên giá trị sổ sách và ROE—S&amp;P 500</w:t>
      </w:r>
    </w:p>
    <w:p>
      <w:pPr>
        <w:pStyle w:val="Para 03"/>
      </w:pPr>
      <w:r>
        <w:t>Hãy để ý sự gia tăng của tỷ lệ giá trên giá trị sổ sách trong giai đoạn 1980–2000, khi lợi nhuận trên vốn chủ sở hữu của chỉ số này tăng lên trong khoảng thời gian đó, một phần nhờ dòng cổ phiếu công nghệ đổ vào chỉ số. Trong giai đoạn 2001–2010, cả lợi nhuận trên vốn chủ sở hữu lẫn tỷ lệ giá trên giá trị sổ sách đều có xu hướng đi xuống, trước khi đảo chiều trong giai đoạn 2011–2021. Dù có thể hơi quá lời khi quy sự gia tăng của tỷ lệ giá trên giá trị sổ sách cho bất kỳ một yếu tố nào, không thể phủ nhận rằng lãi suất thấp hơn đã góp phần nâng tỷ lệ giá trên giá trị sổ sách lên trong thập kỷ qua, vì khi xây dựng dựa trên lãi suất trái phiếu kho bạc 2% thì chi phí vốn chủ sở hữu sẽ thấp hơn nhiều.</w:t>
      </w:r>
    </w:p>
    <w:p>
      <w:bookmarkStart w:id="3892" w:name="Comparisons_Across_Firms_in_a_Se"/>
      <w:bookmarkStart w:id="3893" w:name="Comparisons_Across_Firms_in_a_Se_1"/>
      <w:pPr>
        <w:keepNext/>
        <w:pStyle w:val="Heading 4"/>
        <w:keepLines w:val="on"/>
      </w:pPr>
      <w:r>
        <w:t>So sánh giữa các doanh nghiệp trong một ngành</w:t>
      </w:r>
      <w:bookmarkEnd w:id="3892"/>
      <w:bookmarkEnd w:id="3893"/>
    </w:p>
    <w:p>
      <w:pPr>
        <w:pStyle w:val="Para 03"/>
      </w:pPr>
      <w:r>
        <w:t>Tỷ lệ giá trên giá trị sổ sách khác nhau giữa các doanh nghiệp vì nhiều lý do—tăng trưởng kỳ vọng khác nhau, tỷ lệ chi trả cổ tức (payout ratio) khác nhau, mức độ rủi ro khác nhau, và quan trọng nhất là lợi nhuận trên vốn chủ sở hữu khác nhau. Việc so sánh tỷ lệ giá trên giá trị sổ sách giữa các doanh nghiệp mà không tính đến những khác biệt này rất dễ dẫn đến sai lầm.</w:t>
      </w:r>
    </w:p>
    <w:p>
      <w:pPr>
        <w:pStyle w:val="Para 03"/>
      </w:pPr>
      <w:r>
        <w:t>Cách tiếp cận phổ biến nhất để ước tính tỷ lệ PBV cho một doanh nghiệp là chọn một nhóm các doanh nghiệp tương đồng, tính tỷ lệ PBV trung bình của nhóm này, rồi dựa vào mức trung bình đó để ước tính tỷ lệ PBV cho doanh nghiệp đang xét. Những điều chỉnh nhằm phản ánh khác biệt về các yếu tố nền tảng giữa doanh nghiệp được định giá và nhóm tương đồng thường được thực hiện một cách chủ quan. Cách tiếp cận này có một số vấn đề. Thứ nhất, định nghĩa về một doanh nghiệp tương đồng về bản chất là chủ quan. Việc dùng các doanh nghiệp khác trong cùng ngành làm nhóm đối chứng thường không phải là giải pháp trọn vẹn, vì các doanh nghiệp trong cùng một ngành có thể có cơ cấu kinh doanh, hồ sơ rủi ro và tăng trưởng rất khác nhau. Ngoài ra còn có rất nhiều khả năng xảy ra thiên lệch. Thứ hai, ngay cả khi có thể xây dựng được một nhóm doanh nghiệp tương đồng hợp lý, những khác biệt về yếu tố nền tảng giữa doanh nghiệp được định giá và nhóm này vẫn sẽ tiếp tục tồn tại. Việc điều chỉnh cho những khác biệt đó một cách chủ quan không đưa ra được giải pháp thỏa đáng cho vấn đề này, vì những phán đoán đó chỉ tốt được bằng chính các nhà phân tích đưa ra chúng.</w:t>
      </w:r>
    </w:p>
    <w:p>
      <w:pPr>
        <w:pStyle w:val="Para 03"/>
      </w:pPr>
      <w:r>
        <w:t>Với mối quan hệ giữa tỷ lệ giá trên giá trị sổ sách và lợi nhuận trên vốn chủ sở hữu, không có gì đáng ngạc nhiên khi thấy những doanh nghiệp có lợi nhuận trên vốn chủ sở hữu cao được bán với giá cao hơn hẳn giá trị sổ sách, còn những doanh nghiệp có lợi nhuận trên vốn chủ sở hữu thấp được bán ngang hoặc dưới giá trị sổ sách. Những doanh nghiệp đáng thu hút sự chú ý của nhà đầu tư là những doanh nghiệp có sự lệch pha giữa tỷ lệ giá trên giá trị sổ sách và lợi nhuận trên vốn chủ sở hữu—tỷ lệ PBV thấp mà ROE cao, hoặc tỷ lệ PBV cao mà ROE thấp. Có hai cách để chúng ta làm nổi bật những sự lệch pha này—phương pháp ma trận và phương pháp hồi quy theo ngành.</w:t>
      </w:r>
    </w:p>
    <w:p>
      <w:bookmarkStart w:id="3895" w:name="Matrix_Approach"/>
      <w:bookmarkStart w:id="3896" w:name="Matrix_Approach__If_the_essence"/>
      <w:pPr>
        <w:keepNext/>
        <w:pStyle w:val="Heading 4"/>
        <w:keepLines w:val="on"/>
      </w:pPr>
      <w:r>
        <w:t>Phương pháp ma trận</w:t>
      </w:r>
      <w:bookmarkEnd w:id="3895"/>
      <w:bookmarkEnd w:id="3896"/>
    </w:p>
    <w:p>
      <w:pPr>
        <w:pStyle w:val="Para 03"/>
      </w:pPr>
      <w:r>
        <w:t>Nếu bản chất của việc định giá sai là tìm ra những doanh nghiệp có tỷ lệ giá trên giá trị sổ sách không tương xứng với mức chênh lệch lợi nhuận trên vốn chủ sở hữu của chúng, thì sự lệch pha đó có thể được làm nổi bật bằng cách vẽ đồ thị tỷ lệ giá trên giá trị sổ sách của các doanh nghiệp theo lợi nhuận vượt trội của chúng (tức là chênh lệch giữa lợi nhuận và chi phí vốn chủ sở hữu). Hình 19.5 trình bày một đồ thị như vậy.</w:t>
      </w:r>
    </w:p>
    <w:p>
      <w:pPr>
        <w:pStyle w:val="Para 20"/>
      </w:pPr>
      <w:r>
        <w:rPr>
          <w:rStyle w:val="Text26"/>
        </w:rPr>
        <w:bookmarkStart w:id="3898" w:name="Page_594"/>
        <w:t/>
        <w:bookmarkEnd w:id="3898"/>
      </w:r>
      <w:r>
        <w:t xml:space="preserve"> </w:t>
      </w:r>
    </w:p>
    <w:p>
      <w:bookmarkStart w:id="3899" w:name="Figure_19_5_Price_to_Book_Ratio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43100" cy="1955800"/>
            <wp:effectExtent l="0" r="0" t="0" b="0"/>
            <wp:wrapTopAndBottom/>
            <wp:docPr id="184" name="c19f005.png" descr="A 2 by 2 matrix depicts the overvaluation and undervaluation of price to book with that of equity return spread."/>
            <wp:cNvGraphicFramePr>
              <a:graphicFrameLocks noChangeAspect="1"/>
            </wp:cNvGraphicFramePr>
            <a:graphic>
              <a:graphicData uri="http://schemas.openxmlformats.org/drawingml/2006/picture">
                <pic:pic>
                  <pic:nvPicPr>
                    <pic:cNvPr id="0" name="c19f005.png" descr="A 2 by 2 matrix depicts the overvaluation and undervaluation of price to book with that of equity return spread."/>
                    <pic:cNvPicPr/>
                  </pic:nvPicPr>
                  <pic:blipFill>
                    <a:blip r:embed="rId129"/>
                    <a:stretch>
                      <a:fillRect/>
                    </a:stretch>
                  </pic:blipFill>
                  <pic:spPr>
                    <a:xfrm>
                      <a:off x="0" y="0"/>
                      <a:ext cx="1943100" cy="1955800"/>
                    </a:xfrm>
                    <a:prstGeom prst="rect">
                      <a:avLst/>
                    </a:prstGeom>
                  </pic:spPr>
                </pic:pic>
              </a:graphicData>
            </a:graphic>
          </wp:anchor>
        </w:drawing>
      </w:r>
      <w:bookmarkEnd w:id="3899"/>
    </w:p>
    <w:p>
      <w:pPr>
        <w:keepNext/>
        <w:pStyle w:val="Para 22"/>
        <w:keepLines w:val="on"/>
      </w:pPr>
      <w:r>
        <w:t>Hình 19.5 Tỷ lệ giá trên giá trị sổ sách và lợi nhuận trên vốn chủ sở hữu</w:t>
      </w:r>
    </w:p>
    <w:p>
      <w:pPr>
        <w:pStyle w:val="Para 03"/>
      </w:pPr>
      <w:r>
        <w:t>Nếu chúng ta giả định rằng các doanh nghiệp trong cùng một ngành có chi phí vốn chủ sở hữu tương tự nhau, chúng ta có thể thay mức chênh lệch lợi nhuận trên vốn chủ sở hữu bằng chính lợi nhuận trên vốn chủ sở hữu thô. Dù trong thực tế chúng ta thường dùng lợi nhuận trên vốn chủ sở hữu hiện tại, ma trận này được xây dựng dựa trên lợi nhuận trên vốn chủ sở hữu kỳ vọng trong tương lai.</w:t>
      </w:r>
    </w:p>
    <w:p>
      <w:bookmarkStart w:id="3900" w:name="Regression_Approach"/>
      <w:bookmarkStart w:id="3901" w:name="Regression_Approach__If_the_pric"/>
      <w:pPr>
        <w:keepNext/>
        <w:pStyle w:val="Heading 4"/>
        <w:keepLines w:val="on"/>
      </w:pPr>
      <w:r>
        <w:t>Phương pháp hồi quy</w:t>
      </w:r>
      <w:bookmarkEnd w:id="3900"/>
      <w:bookmarkEnd w:id="3901"/>
    </w:p>
    <w:p>
      <w:pPr>
        <w:pStyle w:val="Para 03"/>
      </w:pPr>
      <w:r>
        <w:t>Nếu tỷ lệ giá trên giá trị sổ sách phần lớn là một hàm số của lợi nhuận trên vốn chủ sở hữu, chúng ta có thể hồi quy biến trước theo biến sau:</w:t>
      </w:r>
    </w:p>
    <w:p>
      <w:bookmarkStart w:id="3902" w:name="Price_to_Book_a_b_Return_on_equi"/>
      <w:pPr>
        <w:keepNext/>
        <w:pStyle w:val="Para 09"/>
        <w:keepLines w:val="on"/>
      </w:pPr>
      <w:r>
        <w:t>Giá trên giá trị sổ sách = a + b × Lợi nhuận trên vốn chủ sở hữu</w:t>
      </w:r>
      <w:bookmarkEnd w:id="3902"/>
    </w:p>
    <w:p>
      <w:pPr>
        <w:pStyle w:val="Para 03"/>
      </w:pPr>
      <w:r>
        <w:t>Nếu mối quan hệ này mạnh và tuyến tính, chúng ta có thể dùng hồi quy này để thu được tỷ lệ giá trên giá trị sổ sách dự đoán cho tất cả các doanh nghiệp trong ngành, từ đó tách ra những doanh nghiệp bị định giá thấp khỏi những doanh nghiệp bị định giá quá cao.</w:t>
      </w:r>
    </w:p>
    <w:p>
      <w:pPr>
        <w:pStyle w:val="Para 03"/>
      </w:pPr>
      <w:r>
        <w:t>Có thể làm phong phú thêm mô hình hồi quy này theo hai cách. Cách thứ nhất là cho phép tồn tại mối quan hệ phi tuyến giữa tỷ lệ giá trên giá trị sổ sách (price-to-book) và tỷ suất sinh lời trên vốn chủ sở hữu (return on equity); điều này có thể thực hiện bằng cách biến đổi các biến số (ví dụ: logarit tự nhiên, hàm mũ, v.v.) hoặc bằng cách chạy hồi quy phi tuyến. Cách thứ hai là mở rộng mô hình hồi quy để bao gồm các biến độc lập khác như rủi ro và tăng trưởng.</w:t>
      </w:r>
    </w:p>
    <w:p>
      <w:pPr>
        <w:pStyle w:val="Para 11"/>
      </w:pPr>
      <w:r>
        <w:t xml:space="preserve"> </w:t>
      </w:r>
      <w:r>
        <w:rPr>
          <w:rStyle w:val="Text26"/>
        </w:rPr>
        <w:bookmarkStart w:id="3903" w:name="Page_595"/>
        <w:t/>
        <w:bookmarkEnd w:id="3903"/>
      </w:r>
      <w:r>
        <w:t xml:space="preserve"> </w:t>
      </w:r>
    </w:p>
    <w:p>
      <w:bookmarkStart w:id="3904" w:name="ILLUSTRATION_19_6__Comparing_Pri_1"/>
      <w:bookmarkStart w:id="3905" w:name="ILLUSTRATION_19_6__Comparing_Pri"/>
      <w:pPr>
        <w:keepNext/>
        <w:pStyle w:val="Para 19"/>
        <w:keepLines w:val="on"/>
      </w:pPr>
      <w:r>
        <w:t>MINH HỌA 19.6: So sánh tỷ lệ giá trên giá trị sổ sách: Các công ty may mặc châu Âu vào tháng 5 năm 2024</w:t>
      </w:r>
      <w:bookmarkEnd w:id="3904"/>
      <w:bookmarkEnd w:id="3905"/>
    </w:p>
    <w:p>
      <w:pPr>
        <w:pStyle w:val="Para 04"/>
        <w:keepLines w:val="on"/>
      </w:pPr>
      <w:r>
        <w:t>Bảng 19.3 báo cáo về tỷ lệ giá trên giá trị sổ sách của các công ty may mặc châu Âu có vốn hóa thị trường vượt 1 tỷ đô la vào tháng 5 năm 2024:</w:t>
      </w:r>
    </w:p>
    <w:p>
      <w:pPr>
        <w:pStyle w:val="Para 25"/>
        <w:keepLines w:val="on"/>
      </w:pPr>
      <w:r>
        <w:t>Bảng 19.3</w:t>
      </w:r>
    </w:p>
    <w:p>
      <w:pPr>
        <w:keepNext/>
        <w:pStyle w:val="Para 24"/>
        <w:keepLines w:val="on"/>
      </w:pPr>
      <w:r>
        <w:t>PBV và ROE của các công ty may mặc châu Âu</w:t>
      </w:r>
    </w:p>
    <w:tbl>
      <w:tblPr>
        <w:tblW w:type="auto" w:w="0"/>
      </w:tblPr>
      <w:tr>
        <w:tc>
          <w:tcPr>
            <w:tcW w:type="auto" w:w="0"/>
          </w:tcPr>
          <w:tbl>
            <w:tblPr>
              <w:tblW w:type="pct" w:w="5000"/>
            </w:tblPr>
            <w:tr>
              <w:tc>
                <w:tcPr>
                  <w:tcW w:type="auto" w:w="0"/>
                  <w:shd w:val="clear" w:color="auto" w:fill="F0F0F0"/>
                  <w:vAlign w:val="bottom"/>
                </w:tcPr>
                <w:p>
                  <w:pPr>
                    <w:pStyle w:val="Para 32"/>
                    <w:keepLines w:val="on"/>
                  </w:pPr>
                  <w:r>
                    <w:t>Tên công ty</w:t>
                  </w:r>
                </w:p>
              </w:tc>
              <w:tc>
                <w:tcPr>
                  <w:tcW w:type="auto" w:w="0"/>
                  <w:shd w:val="clear" w:color="auto" w:fill="F0F0F0"/>
                  <w:vAlign w:val="bottom"/>
                </w:tcPr>
                <w:p>
                  <w:pPr>
                    <w:pStyle w:val="Para 05"/>
                    <w:keepLines w:val="on"/>
                  </w:pPr>
                  <w:r>
                    <w:t>PBV</w:t>
                  </w:r>
                </w:p>
              </w:tc>
              <w:tc>
                <w:tcPr>
                  <w:tcW w:type="auto" w:w="0"/>
                  <w:shd w:val="clear" w:color="auto" w:fill="F0F0F0"/>
                  <w:vAlign w:val="bottom"/>
                </w:tcPr>
                <w:p>
                  <w:pPr>
                    <w:pStyle w:val="Para 05"/>
                    <w:keepLines w:val="on"/>
                  </w:pPr>
                  <w:r>
                    <w:t>ROE</w:t>
                  </w:r>
                </w:p>
              </w:tc>
              <w:tc>
                <w:tcPr>
                  <w:tcW w:type="auto" w:w="0"/>
                  <w:shd w:val="clear" w:color="auto" w:fill="F0F0F0"/>
                  <w:vAlign w:val="bottom"/>
                </w:tcPr>
                <w:p>
                  <w:pPr>
                    <w:pStyle w:val="Para 32"/>
                    <w:keepLines w:val="on"/>
                  </w:pPr>
                  <w:r>
                    <w:t>Tên công ty</w:t>
                  </w:r>
                </w:p>
              </w:tc>
              <w:tc>
                <w:tcPr>
                  <w:tcW w:type="auto" w:w="0"/>
                  <w:shd w:val="clear" w:color="auto" w:fill="F0F0F0"/>
                  <w:vAlign w:val="bottom"/>
                </w:tcPr>
                <w:p>
                  <w:pPr>
                    <w:pStyle w:val="Para 05"/>
                    <w:keepLines w:val="on"/>
                  </w:pPr>
                  <w:r>
                    <w:t>PBV</w:t>
                  </w:r>
                </w:p>
              </w:tc>
              <w:tc>
                <w:tcPr>
                  <w:tcW w:type="auto" w:w="0"/>
                  <w:shd w:val="clear" w:color="auto" w:fill="F0F0F0"/>
                  <w:vAlign w:val="bottom"/>
                </w:tcPr>
                <w:p>
                  <w:pPr>
                    <w:pStyle w:val="Para 05"/>
                    <w:keepLines w:val="on"/>
                  </w:pPr>
                  <w:r>
                    <w:t>ROE</w:t>
                  </w:r>
                </w:p>
              </w:tc>
              <w:tc>
                <w:tcPr>
                  <w:tcW w:type="auto" w:w="0"/>
                  <w:shd w:val="clear" w:color="auto" w:fill="F0F0F0"/>
                  <w:vAlign w:val="bottom"/>
                </w:tcPr>
                <w:p>
                  <w:pPr>
                    <w:pStyle w:val="Para 32"/>
                    <w:keepLines w:val="on"/>
                  </w:pPr>
                  <w:r>
                    <w:t>Tên công ty</w:t>
                  </w:r>
                </w:p>
              </w:tc>
              <w:tc>
                <w:tcPr>
                  <w:tcW w:type="auto" w:w="0"/>
                  <w:shd w:val="clear" w:color="auto" w:fill="F0F0F0"/>
                  <w:vAlign w:val="bottom"/>
                </w:tcPr>
                <w:p>
                  <w:pPr>
                    <w:pStyle w:val="Para 05"/>
                    <w:keepLines w:val="on"/>
                  </w:pPr>
                  <w:r>
                    <w:t>PBV</w:t>
                  </w:r>
                </w:p>
              </w:tc>
              <w:tc>
                <w:tcPr>
                  <w:tcW w:type="auto" w:w="0"/>
                  <w:shd w:val="clear" w:color="auto" w:fill="F0F0F0"/>
                  <w:vAlign w:val="bottom"/>
                </w:tcPr>
                <w:p>
                  <w:pPr>
                    <w:pStyle w:val="Para 05"/>
                    <w:keepLines w:val="on"/>
                  </w:pPr>
                  <w:r>
                    <w:t>ROE</w:t>
                  </w:r>
                </w:p>
              </w:tc>
            </w:tr>
            <w:tr>
              <w:tc>
                <w:tcPr>
                  <w:tcW w:type="auto" w:w="0"/>
                  <w:shd w:val="clear" w:color="auto" w:fill="F0F0F0"/>
                </w:tcPr>
                <w:p>
                  <w:pPr>
                    <w:pStyle w:val="Para 02"/>
                    <w:keepLines w:val="on"/>
                  </w:pPr>
                  <w:r>
                    <w:t>LVMH</w:t>
                  </w:r>
                </w:p>
              </w:tc>
              <w:tc>
                <w:tcPr>
                  <w:tcW w:type="auto" w:w="0"/>
                  <w:shd w:val="clear" w:color="auto" w:fill="F0F0F0"/>
                </w:tcPr>
                <w:p>
                  <w:pPr>
                    <w:pStyle w:val="Normal"/>
                    <w:keepLines w:val="on"/>
                  </w:pPr>
                  <w:r>
                    <w:t>5,88</w:t>
                  </w:r>
                </w:p>
              </w:tc>
              <w:tc>
                <w:tcPr>
                  <w:tcW w:type="auto" w:w="0"/>
                  <w:shd w:val="clear" w:color="auto" w:fill="F0F0F0"/>
                </w:tcPr>
                <w:p>
                  <w:pPr>
                    <w:pStyle w:val="Normal"/>
                    <w:keepLines w:val="on"/>
                  </w:pPr>
                  <w:r>
                    <w:t>24,87%</w:t>
                  </w:r>
                </w:p>
              </w:tc>
              <w:tc>
                <w:tcPr>
                  <w:tcW w:type="auto" w:w="0"/>
                  <w:shd w:val="clear" w:color="auto" w:fill="F0F0F0"/>
                </w:tcPr>
                <w:p>
                  <w:pPr>
                    <w:pStyle w:val="Para 02"/>
                    <w:keepLines w:val="on"/>
                  </w:pPr>
                  <w:r>
                    <w:t>Pandora A/S</w:t>
                  </w:r>
                </w:p>
              </w:tc>
              <w:tc>
                <w:tcPr>
                  <w:tcW w:type="auto" w:w="0"/>
                  <w:shd w:val="clear" w:color="auto" w:fill="F0F0F0"/>
                </w:tcPr>
                <w:p>
                  <w:pPr>
                    <w:pStyle w:val="Normal"/>
                    <w:keepLines w:val="on"/>
                  </w:pPr>
                  <w:r>
                    <w:t>23,11</w:t>
                  </w:r>
                </w:p>
              </w:tc>
              <w:tc>
                <w:tcPr>
                  <w:tcW w:type="auto" w:w="0"/>
                  <w:shd w:val="clear" w:color="auto" w:fill="F0F0F0"/>
                </w:tcPr>
                <w:p>
                  <w:pPr>
                    <w:pStyle w:val="Normal"/>
                    <w:keepLines w:val="on"/>
                  </w:pPr>
                  <w:r>
                    <w:t>121,57%</w:t>
                  </w:r>
                </w:p>
              </w:tc>
              <w:tc>
                <w:tcPr>
                  <w:tcW w:type="auto" w:w="0"/>
                  <w:shd w:val="clear" w:color="auto" w:fill="F0F0F0"/>
                </w:tcPr>
                <w:p>
                  <w:pPr>
                    <w:pStyle w:val="Para 02"/>
                    <w:keepLines w:val="on"/>
                  </w:pPr>
                  <w:r>
                    <w:t>Capri Holdings Limited</w:t>
                  </w:r>
                </w:p>
              </w:tc>
              <w:tc>
                <w:tcPr>
                  <w:tcW w:type="auto" w:w="0"/>
                  <w:shd w:val="clear" w:color="auto" w:fill="F0F0F0"/>
                </w:tcPr>
                <w:p>
                  <w:pPr>
                    <w:pStyle w:val="Normal"/>
                    <w:keepLines w:val="on"/>
                  </w:pPr>
                  <w:r>
                    <w:t>2,52</w:t>
                  </w:r>
                </w:p>
              </w:tc>
              <w:tc>
                <w:tcPr>
                  <w:tcW w:type="auto" w:w="0"/>
                  <w:shd w:val="clear" w:color="auto" w:fill="F0F0F0"/>
                </w:tcPr>
                <w:p>
                  <w:pPr>
                    <w:pStyle w:val="Normal"/>
                    <w:keepLines w:val="on"/>
                  </w:pPr>
                  <w:r>
                    <w:t>−14,32%</w:t>
                  </w:r>
                </w:p>
              </w:tc>
            </w:tr>
            <w:tr>
              <w:tc>
                <w:tcPr>
                  <w:tcW w:type="auto" w:w="0"/>
                  <w:shd w:val="clear" w:color="auto" w:fill="F0F0F0"/>
                </w:tcPr>
                <w:p>
                  <w:pPr>
                    <w:pStyle w:val="Para 02"/>
                    <w:keepLines w:val="on"/>
                  </w:pPr>
                  <w:r>
                    <w:t>Hermès International</w:t>
                  </w:r>
                </w:p>
              </w:tc>
              <w:tc>
                <w:tcPr>
                  <w:tcW w:type="auto" w:w="0"/>
                  <w:shd w:val="clear" w:color="auto" w:fill="F0F0F0"/>
                </w:tcPr>
                <w:p>
                  <w:pPr>
                    <w:pStyle w:val="Normal"/>
                    <w:keepLines w:val="on"/>
                  </w:pPr>
                  <w:r>
                    <w:t>14,71</w:t>
                  </w:r>
                </w:p>
              </w:tc>
              <w:tc>
                <w:tcPr>
                  <w:tcW w:type="auto" w:w="0"/>
                  <w:shd w:val="clear" w:color="auto" w:fill="F0F0F0"/>
                </w:tcPr>
                <w:p>
                  <w:pPr>
                    <w:pStyle w:val="Normal"/>
                    <w:keepLines w:val="on"/>
                  </w:pPr>
                  <w:r>
                    <w:t>28,36%</w:t>
                  </w:r>
                </w:p>
              </w:tc>
              <w:tc>
                <w:tcPr>
                  <w:tcW w:type="auto" w:w="0"/>
                  <w:shd w:val="clear" w:color="auto" w:fill="F0F0F0"/>
                </w:tcPr>
                <w:p>
                  <w:pPr>
                    <w:pStyle w:val="Para 02"/>
                    <w:keepLines w:val="on"/>
                  </w:pPr>
                  <w:r>
                    <w:t>Tập đoàn Swatch</w:t>
                  </w:r>
                </w:p>
              </w:tc>
              <w:tc>
                <w:tcPr>
                  <w:tcW w:type="auto" w:w="0"/>
                  <w:shd w:val="clear" w:color="auto" w:fill="F0F0F0"/>
                </w:tcPr>
                <w:p>
                  <w:pPr>
                    <w:pStyle w:val="Normal"/>
                    <w:keepLines w:val="on"/>
                  </w:pPr>
                  <w:r>
                    <w:t>0,76</w:t>
                  </w:r>
                </w:p>
              </w:tc>
              <w:tc>
                <w:tcPr>
                  <w:tcW w:type="auto" w:w="0"/>
                  <w:shd w:val="clear" w:color="auto" w:fill="F0F0F0"/>
                </w:tcPr>
                <w:p>
                  <w:pPr>
                    <w:pStyle w:val="Normal"/>
                    <w:keepLines w:val="on"/>
                  </w:pPr>
                  <w:r>
                    <w:t>7,12%</w:t>
                  </w:r>
                </w:p>
              </w:tc>
              <w:tc>
                <w:tcPr>
                  <w:tcW w:type="auto" w:w="0"/>
                  <w:shd w:val="clear" w:color="auto" w:fill="F0F0F0"/>
                </w:tcPr>
                <w:p>
                  <w:pPr>
                    <w:pStyle w:val="Para 02"/>
                    <w:keepLines w:val="on"/>
                  </w:pPr>
                  <w:r>
                    <w:t>Hugo Boss AG</w:t>
                  </w:r>
                </w:p>
              </w:tc>
              <w:tc>
                <w:tcPr>
                  <w:tcW w:type="auto" w:w="0"/>
                  <w:shd w:val="clear" w:color="auto" w:fill="F0F0F0"/>
                </w:tcPr>
                <w:p>
                  <w:pPr>
                    <w:pStyle w:val="Normal"/>
                    <w:keepLines w:val="on"/>
                  </w:pPr>
                  <w:r>
                    <w:t>2,54</w:t>
                  </w:r>
                </w:p>
              </w:tc>
              <w:tc>
                <w:tcPr>
                  <w:tcW w:type="auto" w:w="0"/>
                  <w:shd w:val="clear" w:color="auto" w:fill="F0F0F0"/>
                </w:tcPr>
                <w:p>
                  <w:pPr>
                    <w:pStyle w:val="Normal"/>
                    <w:keepLines w:val="on"/>
                  </w:pPr>
                  <w:r>
                    <w:t>19,61%</w:t>
                  </w:r>
                </w:p>
              </w:tc>
            </w:tr>
            <w:tr>
              <w:tc>
                <w:tcPr>
                  <w:tcW w:type="auto" w:w="0"/>
                  <w:shd w:val="clear" w:color="auto" w:fill="F0F0F0"/>
                </w:tcPr>
                <w:p>
                  <w:pPr>
                    <w:pStyle w:val="Para 02"/>
                    <w:keepLines w:val="on"/>
                  </w:pPr>
                  <w:r>
                    <w:t>Christian Dior</w:t>
                  </w:r>
                </w:p>
              </w:tc>
              <w:tc>
                <w:tcPr>
                  <w:tcW w:type="auto" w:w="0"/>
                  <w:shd w:val="clear" w:color="auto" w:fill="F0F0F0"/>
                </w:tcPr>
                <w:p>
                  <w:pPr>
                    <w:pStyle w:val="Normal"/>
                    <w:keepLines w:val="on"/>
                  </w:pPr>
                  <w:r>
                    <w:t>5,77</w:t>
                  </w:r>
                </w:p>
              </w:tc>
              <w:tc>
                <w:tcPr>
                  <w:tcW w:type="auto" w:w="0"/>
                  <w:shd w:val="clear" w:color="auto" w:fill="F0F0F0"/>
                </w:tcPr>
                <w:p>
                  <w:pPr>
                    <w:pStyle w:val="Normal"/>
                    <w:keepLines w:val="on"/>
                  </w:pPr>
                  <w:r>
                    <w:t>29,28%</w:t>
                  </w:r>
                </w:p>
              </w:tc>
              <w:tc>
                <w:tcPr>
                  <w:tcW w:type="auto" w:w="0"/>
                  <w:shd w:val="clear" w:color="auto" w:fill="F0F0F0"/>
                </w:tcPr>
                <w:p>
                  <w:pPr>
                    <w:pStyle w:val="Para 02"/>
                    <w:keepLines w:val="on"/>
                  </w:pPr>
                  <w:r>
                    <w:t>Birkenstock Holding</w:t>
                  </w:r>
                </w:p>
              </w:tc>
              <w:tc>
                <w:tcPr>
                  <w:tcW w:type="auto" w:w="0"/>
                  <w:shd w:val="clear" w:color="auto" w:fill="F0F0F0"/>
                </w:tcPr>
                <w:p>
                  <w:pPr>
                    <w:pStyle w:val="Normal"/>
                    <w:keepLines w:val="on"/>
                  </w:pPr>
                  <w:r>
                    <w:t>3,93</w:t>
                  </w:r>
                </w:p>
              </w:tc>
              <w:tc>
                <w:tcPr>
                  <w:tcW w:type="auto" w:w="0"/>
                  <w:shd w:val="clear" w:color="auto" w:fill="F0F0F0"/>
                </w:tcPr>
                <w:p>
                  <w:pPr>
                    <w:pStyle w:val="Normal"/>
                    <w:keepLines w:val="on"/>
                  </w:pPr>
                  <w:r>
                    <w:t>3,13%</w:t>
                  </w:r>
                </w:p>
              </w:tc>
              <w:tc>
                <w:tcPr>
                  <w:tcW w:type="auto" w:w="0"/>
                  <w:shd w:val="clear" w:color="auto" w:fill="F0F0F0"/>
                </w:tcPr>
                <w:p>
                  <w:pPr>
                    <w:pStyle w:val="Para 02"/>
                    <w:keepLines w:val="on"/>
                  </w:pPr>
                  <w:r>
                    <w:t>Ermenegildo Zegna N.V.</w:t>
                  </w:r>
                </w:p>
              </w:tc>
              <w:tc>
                <w:tcPr>
                  <w:tcW w:type="auto" w:w="0"/>
                  <w:shd w:val="clear" w:color="auto" w:fill="F0F0F0"/>
                </w:tcPr>
                <w:p>
                  <w:pPr>
                    <w:pStyle w:val="Normal"/>
                    <w:keepLines w:val="on"/>
                  </w:pPr>
                  <w:r>
                    <w:t>3,32</w:t>
                  </w:r>
                </w:p>
              </w:tc>
              <w:tc>
                <w:tcPr>
                  <w:tcW w:type="auto" w:w="0"/>
                  <w:shd w:val="clear" w:color="auto" w:fill="F0F0F0"/>
                </w:tcPr>
                <w:p>
                  <w:pPr>
                    <w:pStyle w:val="Normal"/>
                    <w:keepLines w:val="on"/>
                  </w:pPr>
                  <w:r>
                    <w:t>14,46%</w:t>
                  </w:r>
                </w:p>
              </w:tc>
            </w:tr>
            <w:tr>
              <w:tc>
                <w:tcPr>
                  <w:tcW w:type="auto" w:w="0"/>
                  <w:shd w:val="clear" w:color="auto" w:fill="F0F0F0"/>
                </w:tcPr>
                <w:p>
                  <w:pPr>
                    <w:pStyle w:val="Para 02"/>
                    <w:keepLines w:val="on"/>
                  </w:pPr>
                  <w:r>
                    <w:t>Compagnie Financière Richemont</w:t>
                  </w:r>
                </w:p>
              </w:tc>
              <w:tc>
                <w:tcPr>
                  <w:tcW w:type="auto" w:w="0"/>
                  <w:shd w:val="clear" w:color="auto" w:fill="F0F0F0"/>
                </w:tcPr>
                <w:p>
                  <w:pPr>
                    <w:pStyle w:val="Normal"/>
                    <w:keepLines w:val="on"/>
                  </w:pPr>
                  <w:r>
                    <w:t>4,25</w:t>
                  </w:r>
                </w:p>
              </w:tc>
              <w:tc>
                <w:tcPr>
                  <w:tcW w:type="auto" w:w="0"/>
                  <w:shd w:val="clear" w:color="auto" w:fill="F0F0F0"/>
                </w:tcPr>
                <w:p>
                  <w:pPr>
                    <w:pStyle w:val="Normal"/>
                    <w:keepLines w:val="on"/>
                  </w:pPr>
                  <w:r>
                    <w:t>11,51%</w:t>
                  </w:r>
                </w:p>
              </w:tc>
              <w:tc>
                <w:tcPr>
                  <w:tcW w:type="auto" w:w="0"/>
                  <w:shd w:val="clear" w:color="auto" w:fill="F0F0F0"/>
                </w:tcPr>
                <w:p>
                  <w:pPr>
                    <w:pStyle w:val="Para 02"/>
                    <w:keepLines w:val="on"/>
                  </w:pPr>
                  <w:r>
                    <w:t>LPP SA</w:t>
                  </w:r>
                </w:p>
              </w:tc>
              <w:tc>
                <w:tcPr>
                  <w:tcW w:type="auto" w:w="0"/>
                  <w:shd w:val="clear" w:color="auto" w:fill="F0F0F0"/>
                </w:tcPr>
                <w:p>
                  <w:pPr>
                    <w:pStyle w:val="Normal"/>
                    <w:keepLines w:val="on"/>
                  </w:pPr>
                  <w:r>
                    <w:t>6,91</w:t>
                  </w:r>
                </w:p>
              </w:tc>
              <w:tc>
                <w:tcPr>
                  <w:tcW w:type="auto" w:w="0"/>
                  <w:shd w:val="clear" w:color="auto" w:fill="F0F0F0"/>
                </w:tcPr>
                <w:p>
                  <w:pPr>
                    <w:pStyle w:val="Normal"/>
                    <w:keepLines w:val="on"/>
                  </w:pPr>
                  <w:r>
                    <w:t>34,10%</w:t>
                  </w:r>
                </w:p>
              </w:tc>
              <w:tc>
                <w:tcPr>
                  <w:tcW w:type="auto" w:w="0"/>
                  <w:shd w:val="clear" w:color="auto" w:fill="F0F0F0"/>
                </w:tcPr>
                <w:p>
                  <w:pPr>
                    <w:pStyle w:val="Para 02"/>
                    <w:keepLines w:val="on"/>
                  </w:pPr>
                  <w:r>
                    <w:t>CCC S.A.</w:t>
                  </w:r>
                </w:p>
              </w:tc>
              <w:tc>
                <w:tcPr>
                  <w:tcW w:type="auto" w:w="0"/>
                  <w:shd w:val="clear" w:color="auto" w:fill="F0F0F0"/>
                </w:tcPr>
                <w:p>
                  <w:pPr>
                    <w:pStyle w:val="Normal"/>
                    <w:keepLines w:val="on"/>
                  </w:pPr>
                  <w:r>
                    <w:t>11,07</w:t>
                  </w:r>
                </w:p>
              </w:tc>
              <w:tc>
                <w:tcPr>
                  <w:tcW w:type="auto" w:w="0"/>
                  <w:shd w:val="clear" w:color="auto" w:fill="F0F0F0"/>
                </w:tcPr>
                <w:p>
                  <w:pPr>
                    <w:pStyle w:val="Normal"/>
                    <w:keepLines w:val="on"/>
                  </w:pPr>
                  <w:r>
                    <w:t>−6,69%</w:t>
                  </w:r>
                </w:p>
              </w:tc>
            </w:tr>
            <w:tr>
              <w:tc>
                <w:tcPr>
                  <w:tcW w:type="auto" w:w="0"/>
                  <w:shd w:val="clear" w:color="auto" w:fill="F0F0F0"/>
                </w:tcPr>
                <w:p>
                  <w:pPr>
                    <w:pStyle w:val="Para 02"/>
                    <w:keepLines w:val="on"/>
                  </w:pPr>
                  <w:r>
                    <w:t>adidas AG</w:t>
                  </w:r>
                </w:p>
              </w:tc>
              <w:tc>
                <w:tcPr>
                  <w:tcW w:type="auto" w:w="0"/>
                  <w:shd w:val="clear" w:color="auto" w:fill="F0F0F0"/>
                </w:tcPr>
                <w:p>
                  <w:pPr>
                    <w:pStyle w:val="Normal"/>
                    <w:keepLines w:val="on"/>
                  </w:pPr>
                  <w:r>
                    <w:t>8,53</w:t>
                  </w:r>
                </w:p>
              </w:tc>
              <w:tc>
                <w:tcPr>
                  <w:tcW w:type="auto" w:w="0"/>
                  <w:shd w:val="clear" w:color="auto" w:fill="F0F0F0"/>
                </w:tcPr>
                <w:p>
                  <w:pPr>
                    <w:pStyle w:val="Normal"/>
                    <w:keepLines w:val="on"/>
                  </w:pPr>
                  <w:r>
                    <w:t>2,75%</w:t>
                  </w:r>
                </w:p>
              </w:tc>
              <w:tc>
                <w:tcPr>
                  <w:tcW w:type="auto" w:w="0"/>
                  <w:shd w:val="clear" w:color="auto" w:fill="F0F0F0"/>
                </w:tcPr>
                <w:p>
                  <w:pPr>
                    <w:pStyle w:val="Para 02"/>
                    <w:keepLines w:val="on"/>
                  </w:pPr>
                  <w:r>
                    <w:t>Amer Sports, Inc</w:t>
                  </w:r>
                </w:p>
              </w:tc>
              <w:tc>
                <w:tcPr>
                  <w:tcW w:type="auto" w:w="0"/>
                  <w:shd w:val="clear" w:color="auto" w:fill="F0F0F0"/>
                </w:tcPr>
                <w:p>
                  <w:pPr>
                    <w:pStyle w:val="Normal"/>
                    <w:keepLines w:val="on"/>
                  </w:pPr>
                  <w:r>
                    <w:t>1,93</w:t>
                  </w:r>
                </w:p>
              </w:tc>
              <w:tc>
                <w:tcPr>
                  <w:tcW w:type="auto" w:w="0"/>
                  <w:shd w:val="clear" w:color="auto" w:fill="F0F0F0"/>
                </w:tcPr>
                <w:p>
                  <w:pPr>
                    <w:pStyle w:val="Normal"/>
                    <w:keepLines w:val="on"/>
                  </w:pPr>
                  <w:r>
                    <w:t>−5,53%</w:t>
                  </w:r>
                </w:p>
              </w:tc>
              <w:tc>
                <w:tcPr>
                  <w:tcW w:type="auto" w:w="0"/>
                  <w:shd w:val="clear" w:color="auto" w:fill="F0F0F0"/>
                </w:tcPr>
                <w:p>
                  <w:pPr>
                    <w:pStyle w:val="Para 02"/>
                    <w:keepLines w:val="on"/>
                  </w:pPr>
                  <w:r>
                    <w:t>Coats Group plc</w:t>
                  </w:r>
                </w:p>
              </w:tc>
              <w:tc>
                <w:tcPr>
                  <w:tcW w:type="auto" w:w="0"/>
                  <w:shd w:val="clear" w:color="auto" w:fill="F0F0F0"/>
                </w:tcPr>
                <w:p>
                  <w:pPr>
                    <w:pStyle w:val="Normal"/>
                    <w:keepLines w:val="on"/>
                  </w:pPr>
                  <w:r>
                    <w:t>3,11</w:t>
                  </w:r>
                </w:p>
              </w:tc>
              <w:tc>
                <w:tcPr>
                  <w:tcW w:type="auto" w:w="0"/>
                  <w:shd w:val="clear" w:color="auto" w:fill="F0F0F0"/>
                </w:tcPr>
                <w:p>
                  <w:pPr>
                    <w:pStyle w:val="Normal"/>
                    <w:keepLines w:val="on"/>
                  </w:pPr>
                  <w:r>
                    <w:t>10,12%</w:t>
                  </w:r>
                </w:p>
              </w:tc>
            </w:tr>
            <w:tr>
              <w:tc>
                <w:tcPr>
                  <w:tcW w:type="auto" w:w="0"/>
                  <w:shd w:val="clear" w:color="auto" w:fill="F0F0F0"/>
                </w:tcPr>
                <w:p>
                  <w:pPr>
                    <w:pStyle w:val="Para 02"/>
                    <w:keepLines w:val="on"/>
                  </w:pPr>
                  <w:r>
                    <w:t>Kering SA</w:t>
                  </w:r>
                </w:p>
              </w:tc>
              <w:tc>
                <w:tcPr>
                  <w:tcW w:type="auto" w:w="0"/>
                  <w:shd w:val="clear" w:color="auto" w:fill="F0F0F0"/>
                </w:tcPr>
                <w:p>
                  <w:pPr>
                    <w:pStyle w:val="Normal"/>
                    <w:keepLines w:val="on"/>
                  </w:pPr>
                  <w:r>
                    <w:t>2,51</w:t>
                  </w:r>
                </w:p>
              </w:tc>
              <w:tc>
                <w:tcPr>
                  <w:tcW w:type="auto" w:w="0"/>
                  <w:shd w:val="clear" w:color="auto" w:fill="F0F0F0"/>
                </w:tcPr>
                <w:p>
                  <w:pPr>
                    <w:pStyle w:val="Normal"/>
                    <w:keepLines w:val="on"/>
                  </w:pPr>
                  <w:r>
                    <w:t>19,61%</w:t>
                  </w:r>
                </w:p>
              </w:tc>
              <w:tc>
                <w:tcPr>
                  <w:tcW w:type="auto" w:w="0"/>
                  <w:shd w:val="clear" w:color="auto" w:fill="F0F0F0"/>
                </w:tcPr>
                <w:p>
                  <w:pPr>
                    <w:pStyle w:val="Para 02"/>
                    <w:keepLines w:val="on"/>
                  </w:pPr>
                  <w:r>
                    <w:t>PUMA SE</w:t>
                  </w:r>
                </w:p>
              </w:tc>
              <w:tc>
                <w:tcPr>
                  <w:tcW w:type="auto" w:w="0"/>
                  <w:shd w:val="clear" w:color="auto" w:fill="F0F0F0"/>
                </w:tcPr>
                <w:p>
                  <w:pPr>
                    <w:pStyle w:val="Normal"/>
                    <w:keepLines w:val="on"/>
                  </w:pPr>
                  <w:r>
                    <w:t>2,59</w:t>
                  </w:r>
                </w:p>
              </w:tc>
              <w:tc>
                <w:tcPr>
                  <w:tcW w:type="auto" w:w="0"/>
                  <w:shd w:val="clear" w:color="auto" w:fill="F0F0F0"/>
                </w:tcPr>
                <w:p>
                  <w:pPr>
                    <w:pStyle w:val="Normal"/>
                    <w:keepLines w:val="on"/>
                  </w:pPr>
                  <w:r>
                    <w:t>9,94%</w:t>
                  </w:r>
                </w:p>
              </w:tc>
              <w:tc>
                <w:tcPr>
                  <w:tcW w:type="auto" w:w="0"/>
                  <w:shd w:val="clear" w:color="auto" w:fill="F0F0F0"/>
                </w:tcPr>
                <w:p>
                  <w:pPr>
                    <w:pStyle w:val="Para 02"/>
                    <w:keepLines w:val="on"/>
                  </w:pPr>
                  <w:r>
                    <w:t>Salvatore Ferragamo S.p.A.</w:t>
                  </w:r>
                </w:p>
              </w:tc>
              <w:tc>
                <w:tcPr>
                  <w:tcW w:type="auto" w:w="0"/>
                  <w:shd w:val="clear" w:color="auto" w:fill="F0F0F0"/>
                </w:tcPr>
                <w:p>
                  <w:pPr>
                    <w:pStyle w:val="Normal"/>
                    <w:keepLines w:val="on"/>
                  </w:pPr>
                  <w:r>
                    <w:t>2,10</w:t>
                  </w:r>
                </w:p>
              </w:tc>
              <w:tc>
                <w:tcPr>
                  <w:tcW w:type="auto" w:w="0"/>
                  <w:shd w:val="clear" w:color="auto" w:fill="F0F0F0"/>
                </w:tcPr>
                <w:p>
                  <w:pPr>
                    <w:pStyle w:val="Normal"/>
                    <w:keepLines w:val="on"/>
                  </w:pPr>
                  <w:r>
                    <w:t>3,61%</w:t>
                  </w:r>
                </w:p>
              </w:tc>
            </w:tr>
            <w:tr>
              <w:tc>
                <w:tcPr>
                  <w:tcW w:type="auto" w:w="0"/>
                  <w:shd w:val="clear" w:color="auto" w:fill="F0F0F0"/>
                </w:tcPr>
                <w:p>
                  <w:pPr>
                    <w:pStyle w:val="Para 02"/>
                    <w:keepLines w:val="on"/>
                  </w:pPr>
                  <w:r>
                    <w:t>Prada S.p.A.</w:t>
                  </w:r>
                </w:p>
              </w:tc>
              <w:tc>
                <w:tcPr>
                  <w:tcW w:type="auto" w:w="0"/>
                  <w:shd w:val="clear" w:color="auto" w:fill="F0F0F0"/>
                </w:tcPr>
                <w:p>
                  <w:pPr>
                    <w:pStyle w:val="Normal"/>
                    <w:keepLines w:val="on"/>
                  </w:pPr>
                  <w:r>
                    <w:t>4,95</w:t>
                  </w:r>
                </w:p>
              </w:tc>
              <w:tc>
                <w:tcPr>
                  <w:tcW w:type="auto" w:w="0"/>
                  <w:shd w:val="clear" w:color="auto" w:fill="F0F0F0"/>
                </w:tcPr>
                <w:p>
                  <w:pPr>
                    <w:pStyle w:val="Normal"/>
                    <w:keepLines w:val="on"/>
                  </w:pPr>
                  <w:r>
                    <w:t>17,41%</w:t>
                  </w:r>
                </w:p>
              </w:tc>
              <w:tc>
                <w:tcPr>
                  <w:tcW w:type="auto" w:w="0"/>
                  <w:shd w:val="clear" w:color="auto" w:fill="F0F0F0"/>
                </w:tcPr>
                <w:p>
                  <w:pPr>
                    <w:pStyle w:val="Para 02"/>
                    <w:keepLines w:val="on"/>
                  </w:pPr>
                  <w:r>
                    <w:t>Brunello Cucinelli S.p.A</w:t>
                  </w:r>
                </w:p>
              </w:tc>
              <w:tc>
                <w:tcPr>
                  <w:tcW w:type="auto" w:w="0"/>
                  <w:shd w:val="clear" w:color="auto" w:fill="F0F0F0"/>
                </w:tcPr>
                <w:p>
                  <w:pPr>
                    <w:pStyle w:val="Normal"/>
                    <w:keepLines w:val="on"/>
                  </w:pPr>
                  <w:r>
                    <w:t>13,94</w:t>
                  </w:r>
                </w:p>
              </w:tc>
              <w:tc>
                <w:tcPr>
                  <w:tcW w:type="auto" w:w="0"/>
                  <w:shd w:val="clear" w:color="auto" w:fill="F0F0F0"/>
                </w:tcPr>
                <w:p>
                  <w:pPr>
                    <w:pStyle w:val="Normal"/>
                    <w:keepLines w:val="on"/>
                  </w:pPr>
                  <w:r>
                    <w:t>25,95%</w:t>
                  </w:r>
                </w:p>
              </w:tc>
              <w:tc>
                <w:tcPr>
                  <w:tcW w:type="auto" w:w="0"/>
                  <w:shd w:val="clear" w:color="auto" w:fill="F0F0F0"/>
                </w:tcPr>
                <w:p>
                  <w:pPr>
                    <w:pStyle w:val="Para 02"/>
                    <w:keepLines w:val="on"/>
                  </w:pPr>
                  <w:r>
                    <w:t>TOD’S S.p.A.</w:t>
                  </w:r>
                </w:p>
              </w:tc>
              <w:tc>
                <w:tcPr>
                  <w:tcW w:type="auto" w:w="0"/>
                  <w:shd w:val="clear" w:color="auto" w:fill="F0F0F0"/>
                </w:tcPr>
                <w:p>
                  <w:pPr>
                    <w:pStyle w:val="Normal"/>
                    <w:keepLines w:val="on"/>
                  </w:pPr>
                  <w:r>
                    <w:t>1.28</w:t>
                  </w:r>
                </w:p>
              </w:tc>
              <w:tc>
                <w:tcPr>
                  <w:tcW w:type="auto" w:w="0"/>
                  <w:shd w:val="clear" w:color="auto" w:fill="F0F0F0"/>
                </w:tcPr>
                <w:p>
                  <w:pPr>
                    <w:pStyle w:val="Normal"/>
                    <w:keepLines w:val="on"/>
                  </w:pPr>
                  <w:r>
                    <w:t>4,59%</w:t>
                  </w:r>
                </w:p>
              </w:tc>
            </w:tr>
            <w:tr>
              <w:tc>
                <w:tcPr>
                  <w:tcW w:type="auto" w:w="0"/>
                  <w:shd w:val="clear" w:color="auto" w:fill="F0F0F0"/>
                </w:tcPr>
                <w:p>
                  <w:pPr>
                    <w:pStyle w:val="Para 02"/>
                    <w:keepLines w:val="on"/>
                  </w:pPr>
                  <w:r>
                    <w:t>Moncler S.p.A.</w:t>
                  </w:r>
                </w:p>
              </w:tc>
              <w:tc>
                <w:tcPr>
                  <w:tcW w:type="auto" w:w="0"/>
                  <w:shd w:val="clear" w:color="auto" w:fill="F0F0F0"/>
                </w:tcPr>
                <w:p>
                  <w:pPr>
                    <w:pStyle w:val="Normal"/>
                    <w:keepLines w:val="on"/>
                  </w:pPr>
                  <w:r>
                    <w:t>5,05</w:t>
                  </w:r>
                </w:p>
              </w:tc>
              <w:tc>
                <w:tcPr>
                  <w:tcW w:type="auto" w:w="0"/>
                  <w:shd w:val="clear" w:color="auto" w:fill="F0F0F0"/>
                </w:tcPr>
                <w:p>
                  <w:pPr>
                    <w:pStyle w:val="Normal"/>
                    <w:keepLines w:val="on"/>
                  </w:pPr>
                  <w:r>
                    <w:t>19,04%</w:t>
                  </w:r>
                </w:p>
              </w:tc>
              <w:tc>
                <w:tcPr>
                  <w:tcW w:type="auto" w:w="0"/>
                  <w:shd w:val="clear" w:color="auto" w:fill="F0F0F0"/>
                </w:tcPr>
                <w:p>
                  <w:pPr>
                    <w:pStyle w:val="Para 02"/>
                    <w:keepLines w:val="on"/>
                  </w:pPr>
                  <w:r>
                    <w:t>Burberry Group plc</w:t>
                  </w:r>
                </w:p>
              </w:tc>
              <w:tc>
                <w:tcPr>
                  <w:tcW w:type="auto" w:w="0"/>
                  <w:shd w:val="clear" w:color="auto" w:fill="F0F0F0"/>
                </w:tcPr>
                <w:p>
                  <w:pPr>
                    <w:pStyle w:val="Normal"/>
                    <w:keepLines w:val="on"/>
                  </w:pPr>
                  <w:r>
                    <w:t>3,24</w:t>
                  </w:r>
                </w:p>
              </w:tc>
              <w:tc>
                <w:tcPr>
                  <w:tcW w:type="auto" w:w="0"/>
                  <w:shd w:val="clear" w:color="auto" w:fill="F0F0F0"/>
                </w:tcPr>
                <w:p>
                  <w:pPr>
                    <w:pStyle w:val="Normal"/>
                    <w:keepLines w:val="on"/>
                  </w:pPr>
                  <w:r>
                    <w:t>23,54%</w:t>
                  </w:r>
                </w:p>
              </w:tc>
              <w:tc>
                <w:tcPr>
                  <w:tcW w:type="auto" w:w="0"/>
                  <w:shd w:val="clear" w:color="auto" w:fill="F0F0F0"/>
                </w:tcPr>
                <w:p>
                  <w:pPr>
                    <w:pStyle w:val="Para 02"/>
                    <w:keepLines w:val="on"/>
                  </w:pPr>
                  <w:r>
                    <w:t>New Wave Group AB (publ)</w:t>
                  </w:r>
                </w:p>
              </w:tc>
              <w:tc>
                <w:tcPr>
                  <w:tcW w:type="auto" w:w="0"/>
                  <w:shd w:val="clear" w:color="auto" w:fill="F0F0F0"/>
                </w:tcPr>
                <w:p>
                  <w:pPr>
                    <w:pStyle w:val="Normal"/>
                    <w:keepLines w:val="on"/>
                  </w:pPr>
                  <w:r>
                    <w:t>2,32</w:t>
                  </w:r>
                </w:p>
              </w:tc>
              <w:tc>
                <w:tcPr>
                  <w:tcW w:type="auto" w:w="0"/>
                  <w:shd w:val="clear" w:color="auto" w:fill="F0F0F0"/>
                </w:tcPr>
                <w:p>
                  <w:pPr>
                    <w:pStyle w:val="Normal"/>
                    <w:keepLines w:val="on"/>
                  </w:pPr>
                  <w:r>
                    <w:t>14,91%</w:t>
                  </w:r>
                </w:p>
              </w:tc>
            </w:tr>
            <w:tr>
              <w:tc>
                <w:tcPr>
                  <w:tcW w:type="auto" w:w="0"/>
                  <w:shd w:val="clear" w:color="auto" w:fill="F0F0F0"/>
                </w:tcPr>
                <w:p>
                  <w:pPr>
                    <w:pStyle w:val="Para 02"/>
                    <w:keepLines w:val="on"/>
                  </w:pPr>
                  <w:r>
                    <w:t>On Holding AG</w:t>
                  </w:r>
                </w:p>
              </w:tc>
              <w:tc>
                <w:tcPr>
                  <w:tcW w:type="auto" w:w="0"/>
                  <w:shd w:val="clear" w:color="auto" w:fill="F0F0F0"/>
                </w:tcPr>
                <w:p>
                  <w:pPr>
                    <w:pStyle w:val="Normal"/>
                    <w:keepLines w:val="on"/>
                  </w:pPr>
                  <w:r>
                    <w:t>10,34</w:t>
                  </w:r>
                </w:p>
              </w:tc>
              <w:tc>
                <w:tcPr>
                  <w:tcW w:type="auto" w:w="0"/>
                  <w:shd w:val="clear" w:color="auto" w:fill="F0F0F0"/>
                </w:tcPr>
                <w:p>
                  <w:pPr>
                    <w:pStyle w:val="Normal"/>
                    <w:keepLines w:val="on"/>
                  </w:pPr>
                  <w:r>
                    <w:t>10,70%</w:t>
                  </w:r>
                </w:p>
              </w:tc>
              <w:tc>
                <w:tcPr>
                  <w:tcW w:type="auto" w:w="0"/>
                  <w:shd w:val="clear" w:color="auto" w:fill="F0F0F0"/>
                </w:tcPr>
                <w:p>
                  <w:pPr>
                    <w:pStyle w:val="Para 02"/>
                    <w:keepLines w:val="on"/>
                  </w:pPr>
                  <w:r>
                    <w:t>Samsonite International S.A.</w:t>
                  </w:r>
                </w:p>
              </w:tc>
              <w:tc>
                <w:tcPr>
                  <w:tcW w:type="auto" w:w="0"/>
                  <w:shd w:val="clear" w:color="auto" w:fill="F0F0F0"/>
                </w:tcPr>
                <w:p>
                  <w:pPr>
                    <w:pStyle w:val="Normal"/>
                    <w:keepLines w:val="on"/>
                  </w:pPr>
                  <w:r>
                    <w:t>2,99</w:t>
                  </w:r>
                </w:p>
              </w:tc>
              <w:tc>
                <w:tcPr>
                  <w:tcW w:type="auto" w:w="0"/>
                  <w:shd w:val="clear" w:color="auto" w:fill="F0F0F0"/>
                </w:tcPr>
                <w:p>
                  <w:pPr>
                    <w:pStyle w:val="Normal"/>
                    <w:keepLines w:val="on"/>
                  </w:pPr>
                  <w:r>
                    <w:t>27,51%</w:t>
                  </w:r>
                </w:p>
              </w:tc>
              <w:tc>
                <w:tcPr>
                  <w:tcW w:type="auto" w:w="0"/>
                  <w:shd w:val="clear" w:color="auto" w:fill="F0F0F0"/>
                </w:tcPr>
                <w:p>
                  <w:pPr>
                    <w:pStyle w:val="Para 02"/>
                    <w:keepLines w:val="on"/>
                  </w:pPr>
                  <w:r>
                    <w:t>Dr. Martens plc</w:t>
                  </w:r>
                </w:p>
              </w:tc>
              <w:tc>
                <w:tcPr>
                  <w:tcW w:type="auto" w:w="0"/>
                  <w:shd w:val="clear" w:color="auto" w:fill="F0F0F0"/>
                </w:tcPr>
                <w:p>
                  <w:pPr>
                    <w:pStyle w:val="Normal"/>
                    <w:keepLines w:val="on"/>
                  </w:pPr>
                  <w:r>
                    <w:t>2,30</w:t>
                  </w:r>
                </w:p>
              </w:tc>
              <w:tc>
                <w:tcPr>
                  <w:tcW w:type="auto" w:w="0"/>
                  <w:shd w:val="clear" w:color="auto" w:fill="F0F0F0"/>
                </w:tcPr>
                <w:p>
                  <w:pPr>
                    <w:pStyle w:val="Normal"/>
                    <w:keepLines w:val="on"/>
                  </w:pPr>
                  <w:r>
                    <w:t>18,80%</w:t>
                  </w:r>
                </w:p>
              </w:tc>
            </w:tr>
          </w:tbl>
          <w:p/>
        </w:tc>
      </w:tr>
    </w:tbl>
    <w:p>
      <w:pPr>
        <w:pStyle w:val="Para 04"/>
        <w:keepLines w:val="on"/>
      </w:pPr>
      <w:r>
        <w:t>Tỷ lệ giá trên giá trị sổ sách (price-to-book ratio) trung bình (trung vị) của ngành là 5,63 (3,28), nhưng khoảng biến thiên của tỷ lệ giá trên giá trị sổ sách rất lớn, khi Swatch Group giao dịch ở mức 0,76 lần giá trị sổ sách còn Pandora AS giao dịch ở mức 23,11 lần giá trị sổ sách.</w:t>
      </w:r>
    </w:p>
    <w:p>
      <w:pPr>
        <w:pStyle w:val="Para 04"/>
        <w:keepLines w:val="on"/>
      </w:pPr>
      <w:r>
        <w:t>Chúng ta sẽ bắt đầu bằng việc vẽ đồ thị tỷ lệ giá trên giá trị sổ sách so với tỷ suất sinh lời trên vốn chủ sở hữu (return on equity) của các công ty này trong Hình 19.6. Pandora, với tỷ suất sinh lời trên vốn chủ sở hữu là 121,57% và tỷ lệ giá trên giá trị sổ sách là 23,11, chính là điểm dị biệt (outlier) trong phân bố.</w:t>
      </w:r>
    </w:p>
    <w:p>
      <w:bookmarkStart w:id="3909" w:name="Figure_19_6_Price_to_Book_versus"/>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97100" cy="1409700"/>
            <wp:effectExtent l="0" r="0" t="0" b="0"/>
            <wp:wrapTopAndBottom/>
            <wp:docPr id="185" name="c19f006.png" descr="Scatterplot plots a positive relationship between R O E and P B V for European Apparel firm."/>
            <wp:cNvGraphicFramePr>
              <a:graphicFrameLocks noChangeAspect="1"/>
            </wp:cNvGraphicFramePr>
            <a:graphic>
              <a:graphicData uri="http://schemas.openxmlformats.org/drawingml/2006/picture">
                <pic:pic>
                  <pic:nvPicPr>
                    <pic:cNvPr id="0" name="c19f006.png" descr="Scatterplot plots a positive relationship between R O E and P B V for European Apparel firm."/>
                    <pic:cNvPicPr/>
                  </pic:nvPicPr>
                  <pic:blipFill>
                    <a:blip r:embed="rId130"/>
                    <a:stretch>
                      <a:fillRect/>
                    </a:stretch>
                  </pic:blipFill>
                  <pic:spPr>
                    <a:xfrm>
                      <a:off x="0" y="0"/>
                      <a:ext cx="2197100" cy="1409700"/>
                    </a:xfrm>
                    <a:prstGeom prst="rect">
                      <a:avLst/>
                    </a:prstGeom>
                  </pic:spPr>
                </pic:pic>
              </a:graphicData>
            </a:graphic>
          </wp:anchor>
        </w:drawing>
      </w:r>
      <w:bookmarkEnd w:id="3909"/>
    </w:p>
    <w:p>
      <w:pPr>
        <w:keepNext/>
        <w:pStyle w:val="Para 38"/>
        <w:keepLines w:val="on"/>
      </w:pPr>
      <w:r>
        <w:t>Hình 19.6 Giá trên giá trị sổ sách so với tỷ suất sinh lời trên vốn chủ sở hữu: Ngành may mặc châu Âu</w:t>
      </w:r>
    </w:p>
    <w:p>
      <w:pPr>
        <w:pStyle w:val="Para 04"/>
        <w:keepLines w:val="on"/>
      </w:pPr>
      <w:r>
        <w:t>Trong khi biểu đồ phân tán cho thấy mối quan hệ đồng biến giữa PBV và tỷ suất sinh lời trên vốn chủ sở hữu, chúng ta mở rộng phân tích bằng cách hồi quy tỷ lệ giá trên giá trị sổ sách theo tỷ suất sinh lời trên vốn chủ sở hữu, và thu được kết quả như sau:</w:t>
      </w:r>
    </w:p>
    <w:p>
      <w:bookmarkStart w:id="3910" w:name="PBV_3_05_14_64Returnonequity_R2"/>
      <w:pPr>
        <w:keepNext/>
        <w:pStyle w:val="Para 07"/>
        <w:keepLines w:val="on"/>
      </w:pPr>
      <w:r>
        <w:t>PBV=3,05+14,64Returnonequity R2=47,0% (3,34) (4,71)</w:t>
      </w:r>
      <w:bookmarkEnd w:id="3910"/>
    </w:p>
    <w:p>
      <w:pPr>
        <w:pStyle w:val="Para 04"/>
        <w:keepLines w:val="on"/>
      </w:pPr>
      <w:r>
        <w:t>Nếu chúng ta mở rộng hồi quy này để bao gồm mức tăng trưởng kỳ vọng của thu nhập trên mỗi cổ phiếu (EPS: gEPS) như một thước đo rủi ro, chúng ta có:</w:t>
      </w:r>
    </w:p>
    <w:p>
      <w:bookmarkStart w:id="3911" w:name="PBV_1_66_14_44_Return_on_equity"/>
      <w:pPr>
        <w:keepNext/>
        <w:pStyle w:val="Para 07"/>
        <w:keepLines w:val="on"/>
      </w:pPr>
      <w:r>
        <w:t>PBV=1,66+14,44 Tỷ suất sinh lời trên vốn chủ sở hữu+11,73gEPSR2=58,9%(1,70)(5,17)(2,64)</w:t>
      </w:r>
      <w:bookmarkEnd w:id="3911"/>
    </w:p>
    <w:p>
      <w:pPr>
        <w:pStyle w:val="Para 04"/>
        <w:keepLines w:val="on"/>
      </w:pPr>
      <w:r>
        <w:t>Hồi quy sau có thể được dùng để ước tính tỷ lệ giá trên giá trị sổ sách dự đoán cho các công ty này trong Bảng 19.4:</w:t>
      </w:r>
    </w:p>
    <w:p>
      <w:pPr>
        <w:pStyle w:val="Para 25"/>
        <w:keepLines w:val="on"/>
      </w:pPr>
      <w:r>
        <w:t>Bảng 19.4</w:t>
      </w:r>
    </w:p>
    <w:p>
      <w:pPr>
        <w:keepNext/>
        <w:pStyle w:val="Para 24"/>
        <w:keepLines w:val="on"/>
      </w:pPr>
      <w:r>
        <w:t>PBV dự đoán của các công ty thời trang châu Âu</w:t>
      </w:r>
    </w:p>
    <w:tbl>
      <w:tblPr>
        <w:tblW w:type="auto" w:w="0"/>
      </w:tblPr>
      <w:tr>
        <w:tc>
          <w:tcPr>
            <w:tcW w:type="auto" w:w="0"/>
          </w:tcPr>
          <w:tbl>
            <w:tblPr>
              <w:tblW w:type="pct" w:w="5000"/>
            </w:tblPr>
            <w:tr>
              <w:tc>
                <w:tcPr>
                  <w:tcW w:type="auto" w:w="0"/>
                  <w:shd w:val="clear" w:color="auto" w:fill="F0F0F0"/>
                  <w:vAlign w:val="bottom"/>
                </w:tcPr>
                <w:p>
                  <w:pPr>
                    <w:pStyle w:val="Para 32"/>
                    <w:keepLines w:val="on"/>
                  </w:pPr>
                  <w:r>
                    <w:t>Tên công ty</w:t>
                  </w:r>
                </w:p>
              </w:tc>
              <w:tc>
                <w:tcPr>
                  <w:tcW w:type="auto" w:w="0"/>
                  <w:shd w:val="clear" w:color="auto" w:fill="F0F0F0"/>
                  <w:vAlign w:val="bottom"/>
                </w:tcPr>
                <w:p>
                  <w:pPr>
                    <w:pStyle w:val="Para 05"/>
                    <w:keepLines w:val="on"/>
                  </w:pPr>
                  <w:r>
                    <w:t>PBV</w:t>
                  </w:r>
                </w:p>
              </w:tc>
              <w:tc>
                <w:tcPr>
                  <w:tcW w:type="auto" w:w="0"/>
                  <w:shd w:val="clear" w:color="auto" w:fill="F0F0F0"/>
                  <w:vAlign w:val="bottom"/>
                </w:tcPr>
                <w:p>
                  <w:pPr>
                    <w:pStyle w:val="Para 05"/>
                    <w:keepLines w:val="on"/>
                  </w:pPr>
                  <w:r>
                    <w:t>ROE</w:t>
                  </w:r>
                </w:p>
              </w:tc>
              <w:tc>
                <w:tcPr>
                  <w:tcW w:type="auto" w:w="0"/>
                  <w:shd w:val="clear" w:color="auto" w:fill="F0F0F0"/>
                  <w:vAlign w:val="bottom"/>
                </w:tcPr>
                <w:p>
                  <w:pPr>
                    <w:pStyle w:val="Para 05"/>
                    <w:keepLines w:val="on"/>
                  </w:pPr>
                  <w:r>
                    <w:t>Tăng trưởng kỳ vọng của EPS</w:t>
                  </w:r>
                </w:p>
              </w:tc>
              <w:tc>
                <w:tcPr>
                  <w:tcW w:type="auto" w:w="0"/>
                  <w:shd w:val="clear" w:color="auto" w:fill="F0F0F0"/>
                  <w:vAlign w:val="bottom"/>
                </w:tcPr>
                <w:p>
                  <w:pPr>
                    <w:pStyle w:val="Para 05"/>
                    <w:keepLines w:val="on"/>
                  </w:pPr>
                  <w:r>
                    <w:t>PBV dự đoán</w:t>
                  </w:r>
                </w:p>
              </w:tc>
              <w:tc>
                <w:tcPr>
                  <w:tcW w:type="auto" w:w="0"/>
                  <w:shd w:val="clear" w:color="auto" w:fill="F0F0F0"/>
                  <w:vAlign w:val="bottom"/>
                </w:tcPr>
                <w:p>
                  <w:pPr>
                    <w:pStyle w:val="Para 05"/>
                    <w:keepLines w:val="on"/>
                  </w:pPr>
                  <w:r>
                    <w:t>Định giá thấp hay cao</w:t>
                  </w:r>
                </w:p>
              </w:tc>
            </w:tr>
            <w:tr>
              <w:tc>
                <w:tcPr>
                  <w:tcW w:type="auto" w:w="0"/>
                  <w:shd w:val="clear" w:color="auto" w:fill="F0F0F0"/>
                </w:tcPr>
                <w:p>
                  <w:pPr>
                    <w:pStyle w:val="Para 02"/>
                    <w:keepLines w:val="on"/>
                  </w:pPr>
                  <w:r>
                    <w:t>LVMH</w:t>
                  </w:r>
                </w:p>
              </w:tc>
              <w:tc>
                <w:tcPr>
                  <w:tcW w:type="auto" w:w="0"/>
                  <w:shd w:val="clear" w:color="auto" w:fill="F0F0F0"/>
                </w:tcPr>
                <w:p>
                  <w:pPr>
                    <w:pStyle w:val="Normal"/>
                    <w:keepLines w:val="on"/>
                  </w:pPr>
                  <w:r>
                    <w:t>5,88</w:t>
                  </w:r>
                </w:p>
              </w:tc>
              <w:tc>
                <w:tcPr>
                  <w:tcW w:type="auto" w:w="0"/>
                  <w:shd w:val="clear" w:color="auto" w:fill="F0F0F0"/>
                </w:tcPr>
                <w:p>
                  <w:pPr>
                    <w:pStyle w:val="Normal"/>
                    <w:keepLines w:val="on"/>
                  </w:pPr>
                  <w:r>
                    <w:t>24,87%</w:t>
                  </w:r>
                </w:p>
              </w:tc>
              <w:tc>
                <w:tcPr>
                  <w:tcW w:type="auto" w:w="0"/>
                  <w:shd w:val="clear" w:color="auto" w:fill="F0F0F0"/>
                </w:tcPr>
                <w:p>
                  <w:pPr>
                    <w:pStyle w:val="Normal"/>
                    <w:keepLines w:val="on"/>
                  </w:pPr>
                  <w:r>
                    <w:t>10,70%</w:t>
                  </w:r>
                </w:p>
              </w:tc>
              <w:tc>
                <w:tcPr>
                  <w:tcW w:type="auto" w:w="0"/>
                  <w:shd w:val="clear" w:color="auto" w:fill="F0F0F0"/>
                </w:tcPr>
                <w:p>
                  <w:pPr>
                    <w:pStyle w:val="Normal"/>
                    <w:keepLines w:val="on"/>
                  </w:pPr>
                  <w:r>
                    <w:t>6,51</w:t>
                  </w:r>
                </w:p>
              </w:tc>
              <w:tc>
                <w:tcPr>
                  <w:tcW w:type="auto" w:w="0"/>
                  <w:shd w:val="clear" w:color="auto" w:fill="F0F0F0"/>
                </w:tcPr>
                <w:p>
                  <w:pPr>
                    <w:pStyle w:val="Normal"/>
                    <w:keepLines w:val="on"/>
                  </w:pPr>
                  <w:r>
                    <w:t>−9,62%</w:t>
                  </w:r>
                </w:p>
              </w:tc>
            </w:tr>
            <w:tr>
              <w:tc>
                <w:tcPr>
                  <w:tcW w:type="auto" w:w="0"/>
                  <w:shd w:val="clear" w:color="auto" w:fill="F0F0F0"/>
                </w:tcPr>
                <w:p>
                  <w:pPr>
                    <w:pStyle w:val="Para 02"/>
                    <w:keepLines w:val="on"/>
                  </w:pPr>
                  <w:r>
                    <w:t>Hermès International</w:t>
                  </w:r>
                </w:p>
              </w:tc>
              <w:tc>
                <w:tcPr>
                  <w:tcW w:type="auto" w:w="0"/>
                  <w:shd w:val="clear" w:color="auto" w:fill="F0F0F0"/>
                </w:tcPr>
                <w:p>
                  <w:pPr>
                    <w:pStyle w:val="Normal"/>
                    <w:keepLines w:val="on"/>
                  </w:pPr>
                  <w:r>
                    <w:t>14,71</w:t>
                  </w:r>
                </w:p>
              </w:tc>
              <w:tc>
                <w:tcPr>
                  <w:tcW w:type="auto" w:w="0"/>
                  <w:shd w:val="clear" w:color="auto" w:fill="F0F0F0"/>
                </w:tcPr>
                <w:p>
                  <w:pPr>
                    <w:pStyle w:val="Normal"/>
                    <w:keepLines w:val="on"/>
                  </w:pPr>
                  <w:r>
                    <w:t>28,36%</w:t>
                  </w:r>
                </w:p>
              </w:tc>
              <w:tc>
                <w:tcPr>
                  <w:tcW w:type="auto" w:w="0"/>
                  <w:shd w:val="clear" w:color="auto" w:fill="F0F0F0"/>
                </w:tcPr>
                <w:p>
                  <w:pPr>
                    <w:pStyle w:val="Normal"/>
                    <w:keepLines w:val="on"/>
                  </w:pPr>
                  <w:r>
                    <w:t>10,80%</w:t>
                  </w:r>
                </w:p>
              </w:tc>
              <w:tc>
                <w:tcPr>
                  <w:tcW w:type="auto" w:w="0"/>
                  <w:shd w:val="clear" w:color="auto" w:fill="F0F0F0"/>
                </w:tcPr>
                <w:p>
                  <w:pPr>
                    <w:pStyle w:val="Normal"/>
                    <w:keepLines w:val="on"/>
                  </w:pPr>
                  <w:r>
                    <w:t>7,02</w:t>
                  </w:r>
                </w:p>
              </w:tc>
              <w:tc>
                <w:tcPr>
                  <w:tcW w:type="auto" w:w="0"/>
                  <w:shd w:val="clear" w:color="auto" w:fill="F0F0F0"/>
                </w:tcPr>
                <w:p>
                  <w:pPr>
                    <w:pStyle w:val="Normal"/>
                    <w:keepLines w:val="on"/>
                  </w:pPr>
                  <w:r>
                    <w:t>109,47%</w:t>
                  </w:r>
                </w:p>
              </w:tc>
            </w:tr>
            <w:tr>
              <w:tc>
                <w:tcPr>
                  <w:tcW w:type="auto" w:w="0"/>
                  <w:shd w:val="clear" w:color="auto" w:fill="F0F0F0"/>
                </w:tcPr>
                <w:p>
                  <w:pPr>
                    <w:pStyle w:val="Para 02"/>
                    <w:keepLines w:val="on"/>
                  </w:pPr>
                  <w:r>
                    <w:t>Christian Dior</w:t>
                  </w:r>
                </w:p>
              </w:tc>
              <w:tc>
                <w:tcPr>
                  <w:tcW w:type="auto" w:w="0"/>
                  <w:shd w:val="clear" w:color="auto" w:fill="F0F0F0"/>
                </w:tcPr>
                <w:p>
                  <w:pPr>
                    <w:pStyle w:val="Normal"/>
                    <w:keepLines w:val="on"/>
                  </w:pPr>
                  <w:r>
                    <w:t>5,77</w:t>
                  </w:r>
                </w:p>
              </w:tc>
              <w:tc>
                <w:tcPr>
                  <w:tcW w:type="auto" w:w="0"/>
                  <w:shd w:val="clear" w:color="auto" w:fill="F0F0F0"/>
                </w:tcPr>
                <w:p>
                  <w:pPr>
                    <w:pStyle w:val="Normal"/>
                    <w:keepLines w:val="on"/>
                  </w:pPr>
                  <w:r>
                    <w:t>29,28%</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5,89</w:t>
                  </w:r>
                </w:p>
              </w:tc>
              <w:tc>
                <w:tcPr>
                  <w:tcW w:type="auto" w:w="0"/>
                  <w:shd w:val="clear" w:color="auto" w:fill="F0F0F0"/>
                </w:tcPr>
                <w:p>
                  <w:pPr>
                    <w:pStyle w:val="Normal"/>
                    <w:keepLines w:val="on"/>
                  </w:pPr>
                  <w:r>
                    <w:t>−1,98%</w:t>
                  </w:r>
                </w:p>
              </w:tc>
            </w:tr>
            <w:tr>
              <w:tc>
                <w:tcPr>
                  <w:tcW w:type="auto" w:w="0"/>
                  <w:shd w:val="clear" w:color="auto" w:fill="F0F0F0"/>
                </w:tcPr>
                <w:p>
                  <w:pPr>
                    <w:pStyle w:val="Para 02"/>
                    <w:keepLines w:val="on"/>
                  </w:pPr>
                  <w:r>
                    <w:t>Compagnie Financière Richemont</w:t>
                  </w:r>
                </w:p>
              </w:tc>
              <w:tc>
                <w:tcPr>
                  <w:tcW w:type="auto" w:w="0"/>
                  <w:shd w:val="clear" w:color="auto" w:fill="F0F0F0"/>
                </w:tcPr>
                <w:p>
                  <w:pPr>
                    <w:pStyle w:val="Normal"/>
                    <w:keepLines w:val="on"/>
                  </w:pPr>
                  <w:r>
                    <w:t>4,25</w:t>
                  </w:r>
                </w:p>
              </w:tc>
              <w:tc>
                <w:tcPr>
                  <w:tcW w:type="auto" w:w="0"/>
                  <w:shd w:val="clear" w:color="auto" w:fill="F0F0F0"/>
                </w:tcPr>
                <w:p>
                  <w:pPr>
                    <w:pStyle w:val="Normal"/>
                    <w:keepLines w:val="on"/>
                  </w:pPr>
                  <w:r>
                    <w:t>11,51%</w:t>
                  </w:r>
                </w:p>
              </w:tc>
              <w:tc>
                <w:tcPr>
                  <w:tcW w:type="auto" w:w="0"/>
                  <w:shd w:val="clear" w:color="auto" w:fill="F0F0F0"/>
                </w:tcPr>
                <w:p>
                  <w:pPr>
                    <w:pStyle w:val="Normal"/>
                    <w:keepLines w:val="on"/>
                  </w:pPr>
                  <w:r>
                    <w:t>10,10%</w:t>
                  </w:r>
                </w:p>
              </w:tc>
              <w:tc>
                <w:tcPr>
                  <w:tcW w:type="auto" w:w="0"/>
                  <w:shd w:val="clear" w:color="auto" w:fill="F0F0F0"/>
                </w:tcPr>
                <w:p>
                  <w:pPr>
                    <w:pStyle w:val="Normal"/>
                    <w:keepLines w:val="on"/>
                  </w:pPr>
                  <w:r>
                    <w:t>4,51</w:t>
                  </w:r>
                </w:p>
              </w:tc>
              <w:tc>
                <w:tcPr>
                  <w:tcW w:type="auto" w:w="0"/>
                  <w:shd w:val="clear" w:color="auto" w:fill="F0F0F0"/>
                </w:tcPr>
                <w:p>
                  <w:pPr>
                    <w:pStyle w:val="Normal"/>
                    <w:keepLines w:val="on"/>
                  </w:pPr>
                  <w:r>
                    <w:t>−5,67%</w:t>
                  </w:r>
                </w:p>
              </w:tc>
            </w:tr>
            <w:tr>
              <w:tc>
                <w:tcPr>
                  <w:tcW w:type="auto" w:w="0"/>
                  <w:shd w:val="clear" w:color="auto" w:fill="F0F0F0"/>
                </w:tcPr>
                <w:p>
                  <w:pPr>
                    <w:pStyle w:val="Para 02"/>
                    <w:keepLines w:val="on"/>
                  </w:pPr>
                  <w:r>
                    <w:t>adidas AG</w:t>
                  </w:r>
                </w:p>
              </w:tc>
              <w:tc>
                <w:tcPr>
                  <w:tcW w:type="auto" w:w="0"/>
                  <w:shd w:val="clear" w:color="auto" w:fill="F0F0F0"/>
                </w:tcPr>
                <w:p>
                  <w:pPr>
                    <w:pStyle w:val="Normal"/>
                    <w:keepLines w:val="on"/>
                  </w:pPr>
                  <w:r>
                    <w:t>8,53</w:t>
                  </w:r>
                </w:p>
              </w:tc>
              <w:tc>
                <w:tcPr>
                  <w:tcW w:type="auto" w:w="0"/>
                  <w:shd w:val="clear" w:color="auto" w:fill="F0F0F0"/>
                </w:tcPr>
                <w:p>
                  <w:pPr>
                    <w:pStyle w:val="Normal"/>
                    <w:keepLines w:val="on"/>
                  </w:pPr>
                  <w:r>
                    <w:t>2,75%</w:t>
                  </w:r>
                </w:p>
              </w:tc>
              <w:tc>
                <w:tcPr>
                  <w:tcW w:type="auto" w:w="0"/>
                  <w:shd w:val="clear" w:color="auto" w:fill="F0F0F0"/>
                </w:tcPr>
                <w:p>
                  <w:pPr>
                    <w:pStyle w:val="Normal"/>
                    <w:keepLines w:val="on"/>
                  </w:pPr>
                  <w:r>
                    <w:t>59,50%</w:t>
                  </w:r>
                </w:p>
              </w:tc>
              <w:tc>
                <w:tcPr>
                  <w:tcW w:type="auto" w:w="0"/>
                  <w:shd w:val="clear" w:color="auto" w:fill="F0F0F0"/>
                </w:tcPr>
                <w:p>
                  <w:pPr>
                    <w:pStyle w:val="Normal"/>
                    <w:keepLines w:val="on"/>
                  </w:pPr>
                  <w:r>
                    <w:t>9,04</w:t>
                  </w:r>
                </w:p>
              </w:tc>
              <w:tc>
                <w:tcPr>
                  <w:tcW w:type="auto" w:w="0"/>
                  <w:shd w:val="clear" w:color="auto" w:fill="F0F0F0"/>
                </w:tcPr>
                <w:p>
                  <w:pPr>
                    <w:pStyle w:val="Normal"/>
                    <w:keepLines w:val="on"/>
                  </w:pPr>
                  <w:r>
                    <w:t>−5,61%</w:t>
                  </w:r>
                </w:p>
              </w:tc>
            </w:tr>
            <w:tr>
              <w:tc>
                <w:tcPr>
                  <w:tcW w:type="auto" w:w="0"/>
                  <w:shd w:val="clear" w:color="auto" w:fill="F0F0F0"/>
                </w:tcPr>
                <w:p>
                  <w:pPr>
                    <w:pStyle w:val="Para 02"/>
                    <w:keepLines w:val="on"/>
                  </w:pPr>
                  <w:r>
                    <w:t>Kering SA</w:t>
                  </w:r>
                </w:p>
              </w:tc>
              <w:tc>
                <w:tcPr>
                  <w:tcW w:type="auto" w:w="0"/>
                  <w:shd w:val="clear" w:color="auto" w:fill="F0F0F0"/>
                </w:tcPr>
                <w:p>
                  <w:pPr>
                    <w:pStyle w:val="Normal"/>
                    <w:keepLines w:val="on"/>
                  </w:pPr>
                  <w:r>
                    <w:t>2,51</w:t>
                  </w:r>
                </w:p>
              </w:tc>
              <w:tc>
                <w:tcPr>
                  <w:tcW w:type="auto" w:w="0"/>
                  <w:shd w:val="clear" w:color="auto" w:fill="F0F0F0"/>
                </w:tcPr>
                <w:p>
                  <w:pPr>
                    <w:pStyle w:val="Normal"/>
                    <w:keepLines w:val="on"/>
                  </w:pPr>
                  <w:r>
                    <w:t>19,61%</w:t>
                  </w:r>
                </w:p>
              </w:tc>
              <w:tc>
                <w:tcPr>
                  <w:tcW w:type="auto" w:w="0"/>
                  <w:shd w:val="clear" w:color="auto" w:fill="F0F0F0"/>
                </w:tcPr>
                <w:p>
                  <w:pPr>
                    <w:pStyle w:val="Normal"/>
                    <w:keepLines w:val="on"/>
                  </w:pPr>
                  <w:r>
                    <w:t>−0,81%</w:t>
                  </w:r>
                </w:p>
              </w:tc>
              <w:tc>
                <w:tcPr>
                  <w:tcW w:type="auto" w:w="0"/>
                  <w:shd w:val="clear" w:color="auto" w:fill="F0F0F0"/>
                </w:tcPr>
                <w:p>
                  <w:pPr>
                    <w:pStyle w:val="Normal"/>
                    <w:keepLines w:val="on"/>
                  </w:pPr>
                  <w:r>
                    <w:t>4,40</w:t>
                  </w:r>
                </w:p>
              </w:tc>
              <w:tc>
                <w:tcPr>
                  <w:tcW w:type="auto" w:w="0"/>
                  <w:shd w:val="clear" w:color="auto" w:fill="F0F0F0"/>
                </w:tcPr>
                <w:p>
                  <w:pPr>
                    <w:pStyle w:val="Normal"/>
                    <w:keepLines w:val="on"/>
                  </w:pPr>
                  <w:r>
                    <w:t>−42,96%</w:t>
                  </w:r>
                </w:p>
              </w:tc>
            </w:tr>
            <w:tr>
              <w:tc>
                <w:tcPr>
                  <w:tcW w:type="auto" w:w="0"/>
                  <w:shd w:val="clear" w:color="auto" w:fill="F0F0F0"/>
                </w:tcPr>
                <w:p>
                  <w:pPr>
                    <w:pStyle w:val="Para 02"/>
                    <w:keepLines w:val="on"/>
                  </w:pPr>
                  <w:r>
                    <w:t>Prada S.p.A.</w:t>
                  </w:r>
                </w:p>
              </w:tc>
              <w:tc>
                <w:tcPr>
                  <w:tcW w:type="auto" w:w="0"/>
                  <w:shd w:val="clear" w:color="auto" w:fill="F0F0F0"/>
                </w:tcPr>
                <w:p>
                  <w:pPr>
                    <w:pStyle w:val="Normal"/>
                    <w:keepLines w:val="on"/>
                  </w:pPr>
                  <w:r>
                    <w:t>4,95</w:t>
                  </w:r>
                </w:p>
              </w:tc>
              <w:tc>
                <w:tcPr>
                  <w:tcW w:type="auto" w:w="0"/>
                  <w:shd w:val="clear" w:color="auto" w:fill="F0F0F0"/>
                </w:tcPr>
                <w:p>
                  <w:pPr>
                    <w:pStyle w:val="Normal"/>
                    <w:keepLines w:val="on"/>
                  </w:pPr>
                  <w:r>
                    <w:t>17,41%</w:t>
                  </w:r>
                </w:p>
              </w:tc>
              <w:tc>
                <w:tcPr>
                  <w:tcW w:type="auto" w:w="0"/>
                  <w:shd w:val="clear" w:color="auto" w:fill="F0F0F0"/>
                </w:tcPr>
                <w:p>
                  <w:pPr>
                    <w:pStyle w:val="Normal"/>
                    <w:keepLines w:val="on"/>
                  </w:pPr>
                  <w:r>
                    <w:t>14,80%</w:t>
                  </w:r>
                </w:p>
              </w:tc>
              <w:tc>
                <w:tcPr>
                  <w:tcW w:type="auto" w:w="0"/>
                  <w:shd w:val="clear" w:color="auto" w:fill="F0F0F0"/>
                </w:tcPr>
                <w:p>
                  <w:pPr>
                    <w:pStyle w:val="Normal"/>
                    <w:keepLines w:val="on"/>
                  </w:pPr>
                  <w:r>
                    <w:t>5,91</w:t>
                  </w:r>
                </w:p>
              </w:tc>
              <w:tc>
                <w:tcPr>
                  <w:tcW w:type="auto" w:w="0"/>
                  <w:shd w:val="clear" w:color="auto" w:fill="F0F0F0"/>
                </w:tcPr>
                <w:p>
                  <w:pPr>
                    <w:pStyle w:val="Normal"/>
                    <w:keepLines w:val="on"/>
                  </w:pPr>
                  <w:r>
                    <w:t>−16,17%</w:t>
                  </w:r>
                </w:p>
              </w:tc>
            </w:tr>
            <w:tr>
              <w:tc>
                <w:tcPr>
                  <w:tcW w:type="auto" w:w="0"/>
                  <w:shd w:val="clear" w:color="auto" w:fill="F0F0F0"/>
                </w:tcPr>
                <w:p>
                  <w:pPr>
                    <w:pStyle w:val="Para 02"/>
                    <w:keepLines w:val="on"/>
                  </w:pPr>
                  <w:r>
                    <w:t>Moncler S.p.A.</w:t>
                  </w:r>
                </w:p>
              </w:tc>
              <w:tc>
                <w:tcPr>
                  <w:tcW w:type="auto" w:w="0"/>
                  <w:shd w:val="clear" w:color="auto" w:fill="F0F0F0"/>
                </w:tcPr>
                <w:p>
                  <w:pPr>
                    <w:pStyle w:val="Normal"/>
                    <w:keepLines w:val="on"/>
                  </w:pPr>
                  <w:r>
                    <w:t>5,05</w:t>
                  </w:r>
                </w:p>
              </w:tc>
              <w:tc>
                <w:tcPr>
                  <w:tcW w:type="auto" w:w="0"/>
                  <w:shd w:val="clear" w:color="auto" w:fill="F0F0F0"/>
                </w:tcPr>
                <w:p>
                  <w:pPr>
                    <w:pStyle w:val="Normal"/>
                    <w:keepLines w:val="on"/>
                  </w:pPr>
                  <w:r>
                    <w:t>19,04%</w:t>
                  </w:r>
                </w:p>
              </w:tc>
              <w:tc>
                <w:tcPr>
                  <w:tcW w:type="auto" w:w="0"/>
                  <w:shd w:val="clear" w:color="auto" w:fill="F0F0F0"/>
                </w:tcPr>
                <w:p>
                  <w:pPr>
                    <w:pStyle w:val="Normal"/>
                    <w:keepLines w:val="on"/>
                  </w:pPr>
                  <w:r>
                    <w:t>10,20%</w:t>
                  </w:r>
                </w:p>
              </w:tc>
              <w:tc>
                <w:tcPr>
                  <w:tcW w:type="auto" w:w="0"/>
                  <w:shd w:val="clear" w:color="auto" w:fill="F0F0F0"/>
                </w:tcPr>
                <w:p>
                  <w:pPr>
                    <w:pStyle w:val="Normal"/>
                    <w:keepLines w:val="on"/>
                  </w:pPr>
                  <w:r>
                    <w:t>5,61</w:t>
                  </w:r>
                </w:p>
              </w:tc>
              <w:tc>
                <w:tcPr>
                  <w:tcW w:type="auto" w:w="0"/>
                  <w:shd w:val="clear" w:color="auto" w:fill="F0F0F0"/>
                </w:tcPr>
                <w:p>
                  <w:pPr>
                    <w:pStyle w:val="Normal"/>
                    <w:keepLines w:val="on"/>
                  </w:pPr>
                  <w:r>
                    <w:t>−9,86%</w:t>
                  </w:r>
                </w:p>
              </w:tc>
            </w:tr>
            <w:tr>
              <w:tc>
                <w:tcPr>
                  <w:tcW w:type="auto" w:w="0"/>
                  <w:shd w:val="clear" w:color="auto" w:fill="F0F0F0"/>
                </w:tcPr>
                <w:p>
                  <w:pPr>
                    <w:pStyle w:val="Para 02"/>
                    <w:keepLines w:val="on"/>
                  </w:pPr>
                  <w:r>
                    <w:t>On Holding AG</w:t>
                  </w:r>
                </w:p>
              </w:tc>
              <w:tc>
                <w:tcPr>
                  <w:tcW w:type="auto" w:w="0"/>
                  <w:shd w:val="clear" w:color="auto" w:fill="F0F0F0"/>
                </w:tcPr>
                <w:p>
                  <w:pPr>
                    <w:pStyle w:val="Normal"/>
                    <w:keepLines w:val="on"/>
                  </w:pPr>
                  <w:r>
                    <w:t>10,34</w:t>
                  </w:r>
                </w:p>
              </w:tc>
              <w:tc>
                <w:tcPr>
                  <w:tcW w:type="auto" w:w="0"/>
                  <w:shd w:val="clear" w:color="auto" w:fill="F0F0F0"/>
                </w:tcPr>
                <w:p>
                  <w:pPr>
                    <w:pStyle w:val="Normal"/>
                    <w:keepLines w:val="on"/>
                  </w:pPr>
                  <w:r>
                    <w:t>10,70%</w:t>
                  </w:r>
                </w:p>
              </w:tc>
              <w:tc>
                <w:tcPr>
                  <w:tcW w:type="auto" w:w="0"/>
                  <w:shd w:val="clear" w:color="auto" w:fill="F0F0F0"/>
                </w:tcPr>
                <w:p>
                  <w:pPr>
                    <w:pStyle w:val="Normal"/>
                    <w:keepLines w:val="on"/>
                  </w:pPr>
                  <w:r>
                    <w:t>54,20%</w:t>
                  </w:r>
                </w:p>
              </w:tc>
              <w:tc>
                <w:tcPr>
                  <w:tcW w:type="auto" w:w="0"/>
                  <w:shd w:val="clear" w:color="auto" w:fill="F0F0F0"/>
                </w:tcPr>
                <w:p>
                  <w:pPr>
                    <w:pStyle w:val="Normal"/>
                    <w:keepLines w:val="on"/>
                  </w:pPr>
                  <w:r>
                    <w:t>9,56</w:t>
                  </w:r>
                </w:p>
              </w:tc>
              <w:tc>
                <w:tcPr>
                  <w:tcW w:type="auto" w:w="0"/>
                  <w:shd w:val="clear" w:color="auto" w:fill="F0F0F0"/>
                </w:tcPr>
                <w:p>
                  <w:pPr>
                    <w:pStyle w:val="Normal"/>
                    <w:keepLines w:val="on"/>
                  </w:pPr>
                  <w:r>
                    <w:t>8,15%</w:t>
                  </w:r>
                </w:p>
              </w:tc>
            </w:tr>
            <w:tr>
              <w:tc>
                <w:tcPr>
                  <w:tcW w:type="auto" w:w="0"/>
                  <w:shd w:val="clear" w:color="auto" w:fill="F0F0F0"/>
                </w:tcPr>
                <w:p>
                  <w:pPr>
                    <w:pStyle w:val="Para 02"/>
                    <w:keepLines w:val="on"/>
                  </w:pPr>
                  <w:r>
                    <w:t>Pandora A/S</w:t>
                  </w:r>
                </w:p>
              </w:tc>
              <w:tc>
                <w:tcPr>
                  <w:tcW w:type="auto" w:w="0"/>
                  <w:shd w:val="clear" w:color="auto" w:fill="F0F0F0"/>
                </w:tcPr>
                <w:p>
                  <w:pPr>
                    <w:pStyle w:val="Normal"/>
                    <w:keepLines w:val="on"/>
                  </w:pPr>
                  <w:r>
                    <w:t>23,11</w:t>
                  </w:r>
                </w:p>
              </w:tc>
              <w:tc>
                <w:tcPr>
                  <w:tcW w:type="auto" w:w="0"/>
                  <w:shd w:val="clear" w:color="auto" w:fill="F0F0F0"/>
                </w:tcPr>
                <w:p>
                  <w:pPr>
                    <w:pStyle w:val="Normal"/>
                    <w:keepLines w:val="on"/>
                  </w:pPr>
                  <w:r>
                    <w:t>121,57%</w:t>
                  </w:r>
                </w:p>
              </w:tc>
              <w:tc>
                <w:tcPr>
                  <w:tcW w:type="auto" w:w="0"/>
                  <w:shd w:val="clear" w:color="auto" w:fill="F0F0F0"/>
                </w:tcPr>
                <w:p>
                  <w:pPr>
                    <w:pStyle w:val="Normal"/>
                    <w:keepLines w:val="on"/>
                  </w:pPr>
                  <w:r>
                    <w:t>16,80%</w:t>
                  </w:r>
                </w:p>
              </w:tc>
              <w:tc>
                <w:tcPr>
                  <w:tcW w:type="auto" w:w="0"/>
                  <w:shd w:val="clear" w:color="auto" w:fill="F0F0F0"/>
                </w:tcPr>
                <w:p>
                  <w:pPr>
                    <w:pStyle w:val="Normal"/>
                    <w:keepLines w:val="on"/>
                  </w:pPr>
                  <w:r>
                    <w:t>21,19</w:t>
                  </w:r>
                </w:p>
              </w:tc>
              <w:tc>
                <w:tcPr>
                  <w:tcW w:type="auto" w:w="0"/>
                  <w:shd w:val="clear" w:color="auto" w:fill="F0F0F0"/>
                </w:tcPr>
                <w:p>
                  <w:pPr>
                    <w:pStyle w:val="Normal"/>
                    <w:keepLines w:val="on"/>
                  </w:pPr>
                  <w:r>
                    <w:t>9,10%</w:t>
                  </w:r>
                </w:p>
              </w:tc>
            </w:tr>
            <w:tr>
              <w:tc>
                <w:tcPr>
                  <w:tcW w:type="auto" w:w="0"/>
                  <w:shd w:val="clear" w:color="auto" w:fill="F0F0F0"/>
                </w:tcPr>
                <w:p>
                  <w:pPr>
                    <w:pStyle w:val="Para 02"/>
                    <w:keepLines w:val="on"/>
                  </w:pPr>
                  <w:r>
                    <w:t>The Swatch Group</w:t>
                  </w:r>
                </w:p>
              </w:tc>
              <w:tc>
                <w:tcPr>
                  <w:tcW w:type="auto" w:w="0"/>
                  <w:shd w:val="clear" w:color="auto" w:fill="F0F0F0"/>
                </w:tcPr>
                <w:p>
                  <w:pPr>
                    <w:pStyle w:val="Normal"/>
                    <w:keepLines w:val="on"/>
                  </w:pPr>
                  <w:r>
                    <w:t>0,76</w:t>
                  </w:r>
                </w:p>
              </w:tc>
              <w:tc>
                <w:tcPr>
                  <w:tcW w:type="auto" w:w="0"/>
                  <w:shd w:val="clear" w:color="auto" w:fill="F0F0F0"/>
                </w:tcPr>
                <w:p>
                  <w:pPr>
                    <w:pStyle w:val="Normal"/>
                    <w:keepLines w:val="on"/>
                  </w:pPr>
                  <w:r>
                    <w:t>7,12%</w:t>
                  </w:r>
                </w:p>
              </w:tc>
              <w:tc>
                <w:tcPr>
                  <w:tcW w:type="auto" w:w="0"/>
                  <w:shd w:val="clear" w:color="auto" w:fill="F0F0F0"/>
                </w:tcPr>
                <w:p>
                  <w:pPr>
                    <w:pStyle w:val="Normal"/>
                    <w:keepLines w:val="on"/>
                  </w:pPr>
                  <w:r>
                    <w:t>4,18%</w:t>
                  </w:r>
                </w:p>
              </w:tc>
              <w:tc>
                <w:tcPr>
                  <w:tcW w:type="auto" w:w="0"/>
                  <w:shd w:val="clear" w:color="auto" w:fill="F0F0F0"/>
                </w:tcPr>
                <w:p>
                  <w:pPr>
                    <w:pStyle w:val="Normal"/>
                    <w:keepLines w:val="on"/>
                  </w:pPr>
                  <w:r>
                    <w:t>3.18</w:t>
                  </w:r>
                </w:p>
              </w:tc>
              <w:tc>
                <w:tcPr>
                  <w:tcW w:type="auto" w:w="0"/>
                  <w:shd w:val="clear" w:color="auto" w:fill="F0F0F0"/>
                </w:tcPr>
                <w:p>
                  <w:pPr>
                    <w:pStyle w:val="Normal"/>
                    <w:keepLines w:val="on"/>
                  </w:pPr>
                  <w:r>
                    <w:t>−76,20%</w:t>
                  </w:r>
                </w:p>
              </w:tc>
            </w:tr>
            <w:tr>
              <w:tc>
                <w:tcPr>
                  <w:tcW w:type="auto" w:w="0"/>
                  <w:shd w:val="clear" w:color="auto" w:fill="F0F0F0"/>
                </w:tcPr>
                <w:p>
                  <w:pPr>
                    <w:pStyle w:val="Para 02"/>
                    <w:keepLines w:val="on"/>
                  </w:pPr>
                  <w:r>
                    <w:t>Birkenstock Holding</w:t>
                  </w:r>
                </w:p>
              </w:tc>
              <w:tc>
                <w:tcPr>
                  <w:tcW w:type="auto" w:w="0"/>
                  <w:shd w:val="clear" w:color="auto" w:fill="F0F0F0"/>
                </w:tcPr>
                <w:p>
                  <w:pPr>
                    <w:pStyle w:val="Normal"/>
                    <w:keepLines w:val="on"/>
                  </w:pPr>
                  <w:r>
                    <w:t>3,93</w:t>
                  </w:r>
                </w:p>
              </w:tc>
              <w:tc>
                <w:tcPr>
                  <w:tcW w:type="auto" w:w="0"/>
                  <w:shd w:val="clear" w:color="auto" w:fill="F0F0F0"/>
                </w:tcPr>
                <w:p>
                  <w:pPr>
                    <w:pStyle w:val="Normal"/>
                    <w:keepLines w:val="on"/>
                  </w:pPr>
                  <w:r>
                    <w:t>3,13%</w:t>
                  </w:r>
                </w:p>
              </w:tc>
              <w:tc>
                <w:tcPr>
                  <w:tcW w:type="auto" w:w="0"/>
                  <w:shd w:val="clear" w:color="auto" w:fill="F0F0F0"/>
                </w:tcPr>
                <w:p>
                  <w:pPr>
                    <w:pStyle w:val="Normal"/>
                    <w:keepLines w:val="on"/>
                  </w:pPr>
                  <w:r>
                    <w:t>21,80%</w:t>
                  </w:r>
                </w:p>
              </w:tc>
              <w:tc>
                <w:tcPr>
                  <w:tcW w:type="auto" w:w="0"/>
                  <w:shd w:val="clear" w:color="auto" w:fill="F0F0F0"/>
                </w:tcPr>
                <w:p>
                  <w:pPr>
                    <w:pStyle w:val="Normal"/>
                    <w:keepLines w:val="on"/>
                  </w:pPr>
                  <w:r>
                    <w:t>4,67</w:t>
                  </w:r>
                </w:p>
              </w:tc>
              <w:tc>
                <w:tcPr>
                  <w:tcW w:type="auto" w:w="0"/>
                  <w:shd w:val="clear" w:color="auto" w:fill="F0F0F0"/>
                </w:tcPr>
                <w:p>
                  <w:pPr>
                    <w:pStyle w:val="Normal"/>
                    <w:keepLines w:val="on"/>
                  </w:pPr>
                  <w:r>
                    <w:t>−15,74%</w:t>
                  </w:r>
                </w:p>
              </w:tc>
            </w:tr>
            <w:tr>
              <w:tc>
                <w:tcPr>
                  <w:tcW w:type="auto" w:w="0"/>
                  <w:shd w:val="clear" w:color="auto" w:fill="F0F0F0"/>
                </w:tcPr>
                <w:p>
                  <w:pPr>
                    <w:pStyle w:val="Para 02"/>
                    <w:keepLines w:val="on"/>
                  </w:pPr>
                  <w:r>
                    <w:t>LPP SA</w:t>
                  </w:r>
                </w:p>
              </w:tc>
              <w:tc>
                <w:tcPr>
                  <w:tcW w:type="auto" w:w="0"/>
                  <w:shd w:val="clear" w:color="auto" w:fill="F0F0F0"/>
                </w:tcPr>
                <w:p>
                  <w:pPr>
                    <w:pStyle w:val="Normal"/>
                    <w:keepLines w:val="on"/>
                  </w:pPr>
                  <w:r>
                    <w:t>6,91</w:t>
                  </w:r>
                </w:p>
              </w:tc>
              <w:tc>
                <w:tcPr>
                  <w:tcW w:type="auto" w:w="0"/>
                  <w:shd w:val="clear" w:color="auto" w:fill="F0F0F0"/>
                </w:tcPr>
                <w:p>
                  <w:pPr>
                    <w:pStyle w:val="Normal"/>
                    <w:keepLines w:val="on"/>
                  </w:pPr>
                  <w:r>
                    <w:t>34,10%</w:t>
                  </w:r>
                </w:p>
              </w:tc>
              <w:tc>
                <w:tcPr>
                  <w:tcW w:type="auto" w:w="0"/>
                  <w:shd w:val="clear" w:color="auto" w:fill="F0F0F0"/>
                </w:tcPr>
                <w:p>
                  <w:pPr>
                    <w:pStyle w:val="Normal"/>
                    <w:keepLines w:val="on"/>
                  </w:pPr>
                  <w:r>
                    <w:t>19,70%</w:t>
                  </w:r>
                </w:p>
              </w:tc>
              <w:tc>
                <w:tcPr>
                  <w:tcW w:type="auto" w:w="0"/>
                  <w:shd w:val="clear" w:color="auto" w:fill="F0F0F0"/>
                </w:tcPr>
                <w:p>
                  <w:pPr>
                    <w:pStyle w:val="Normal"/>
                    <w:keepLines w:val="on"/>
                  </w:pPr>
                  <w:r>
                    <w:t>8,89</w:t>
                  </w:r>
                </w:p>
              </w:tc>
              <w:tc>
                <w:tcPr>
                  <w:tcW w:type="auto" w:w="0"/>
                  <w:shd w:val="clear" w:color="auto" w:fill="F0F0F0"/>
                </w:tcPr>
                <w:p>
                  <w:pPr>
                    <w:pStyle w:val="Normal"/>
                    <w:keepLines w:val="on"/>
                  </w:pPr>
                  <w:r>
                    <w:t>−22,29%</w:t>
                  </w:r>
                </w:p>
              </w:tc>
            </w:tr>
            <w:tr>
              <w:tc>
                <w:tcPr>
                  <w:tcW w:type="auto" w:w="0"/>
                  <w:shd w:val="clear" w:color="auto" w:fill="F0F0F0"/>
                </w:tcPr>
                <w:p>
                  <w:pPr>
                    <w:pStyle w:val="Para 02"/>
                    <w:keepLines w:val="on"/>
                  </w:pPr>
                  <w:r>
                    <w:t>Amer Sports, Inc</w:t>
                  </w:r>
                </w:p>
              </w:tc>
              <w:tc>
                <w:tcPr>
                  <w:tcW w:type="auto" w:w="0"/>
                  <w:shd w:val="clear" w:color="auto" w:fill="F0F0F0"/>
                </w:tcPr>
                <w:p>
                  <w:pPr>
                    <w:pStyle w:val="Normal"/>
                    <w:keepLines w:val="on"/>
                  </w:pPr>
                  <w:r>
                    <w:t>1,93</w:t>
                  </w:r>
                </w:p>
              </w:tc>
              <w:tc>
                <w:tcPr>
                  <w:tcW w:type="auto" w:w="0"/>
                  <w:shd w:val="clear" w:color="auto" w:fill="F0F0F0"/>
                </w:tcPr>
                <w:p>
                  <w:pPr>
                    <w:pStyle w:val="Normal"/>
                    <w:keepLines w:val="on"/>
                  </w:pPr>
                  <w:r>
                    <w:t>−5,53%</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0,86</w:t>
                  </w:r>
                </w:p>
              </w:tc>
              <w:tc>
                <w:tcPr>
                  <w:tcW w:type="auto" w:w="0"/>
                  <w:shd w:val="clear" w:color="auto" w:fill="F0F0F0"/>
                </w:tcPr>
                <w:p>
                  <w:pPr>
                    <w:pStyle w:val="Normal"/>
                    <w:keepLines w:val="on"/>
                  </w:pPr>
                  <w:r>
                    <w:t>124,37%</w:t>
                  </w:r>
                </w:p>
              </w:tc>
            </w:tr>
            <w:tr>
              <w:tc>
                <w:tcPr>
                  <w:tcW w:type="auto" w:w="0"/>
                  <w:shd w:val="clear" w:color="auto" w:fill="F0F0F0"/>
                </w:tcPr>
                <w:p>
                  <w:pPr>
                    <w:pStyle w:val="Para 02"/>
                    <w:keepLines w:val="on"/>
                  </w:pPr>
                  <w:r>
                    <w:t>PUMA SE</w:t>
                  </w:r>
                </w:p>
              </w:tc>
              <w:tc>
                <w:tcPr>
                  <w:tcW w:type="auto" w:w="0"/>
                  <w:shd w:val="clear" w:color="auto" w:fill="F0F0F0"/>
                </w:tcPr>
                <w:p>
                  <w:pPr>
                    <w:pStyle w:val="Normal"/>
                    <w:keepLines w:val="on"/>
                  </w:pPr>
                  <w:r>
                    <w:t>2,59</w:t>
                  </w:r>
                </w:p>
              </w:tc>
              <w:tc>
                <w:tcPr>
                  <w:tcW w:type="auto" w:w="0"/>
                  <w:shd w:val="clear" w:color="auto" w:fill="F0F0F0"/>
                </w:tcPr>
                <w:p>
                  <w:pPr>
                    <w:pStyle w:val="Normal"/>
                    <w:keepLines w:val="on"/>
                  </w:pPr>
                  <w:r>
                    <w:t>9,94%</w:t>
                  </w:r>
                </w:p>
              </w:tc>
              <w:tc>
                <w:tcPr>
                  <w:tcW w:type="auto" w:w="0"/>
                  <w:shd w:val="clear" w:color="auto" w:fill="F0F0F0"/>
                </w:tcPr>
                <w:p>
                  <w:pPr>
                    <w:pStyle w:val="Normal"/>
                    <w:keepLines w:val="on"/>
                  </w:pPr>
                  <w:r>
                    <w:t>19,50%</w:t>
                  </w:r>
                </w:p>
              </w:tc>
              <w:tc>
                <w:tcPr>
                  <w:tcW w:type="auto" w:w="0"/>
                  <w:shd w:val="clear" w:color="auto" w:fill="F0F0F0"/>
                </w:tcPr>
                <w:p>
                  <w:pPr>
                    <w:pStyle w:val="Normal"/>
                    <w:keepLines w:val="on"/>
                  </w:pPr>
                  <w:r>
                    <w:t>5,38</w:t>
                  </w:r>
                </w:p>
              </w:tc>
              <w:tc>
                <w:tcPr>
                  <w:tcW w:type="auto" w:w="0"/>
                  <w:shd w:val="clear" w:color="auto" w:fill="F0F0F0"/>
                </w:tcPr>
                <w:p>
                  <w:pPr>
                    <w:pStyle w:val="Normal"/>
                    <w:keepLines w:val="on"/>
                  </w:pPr>
                  <w:r>
                    <w:t>−51,88%</w:t>
                  </w:r>
                </w:p>
              </w:tc>
            </w:tr>
            <w:tr>
              <w:tc>
                <w:tcPr>
                  <w:tcW w:type="auto" w:w="0"/>
                  <w:shd w:val="clear" w:color="auto" w:fill="F0F0F0"/>
                </w:tcPr>
                <w:p>
                  <w:pPr>
                    <w:pStyle w:val="Para 02"/>
                    <w:keepLines w:val="on"/>
                  </w:pPr>
                  <w:r>
                    <w:t>Brunello Cucinelli S.p.A</w:t>
                  </w:r>
                </w:p>
              </w:tc>
              <w:tc>
                <w:tcPr>
                  <w:tcW w:type="auto" w:w="0"/>
                  <w:shd w:val="clear" w:color="auto" w:fill="F0F0F0"/>
                </w:tcPr>
                <w:p>
                  <w:pPr>
                    <w:pStyle w:val="Normal"/>
                    <w:keepLines w:val="on"/>
                  </w:pPr>
                  <w:r>
                    <w:t>13,94</w:t>
                  </w:r>
                </w:p>
              </w:tc>
              <w:tc>
                <w:tcPr>
                  <w:tcW w:type="auto" w:w="0"/>
                  <w:shd w:val="clear" w:color="auto" w:fill="F0F0F0"/>
                </w:tcPr>
                <w:p>
                  <w:pPr>
                    <w:pStyle w:val="Normal"/>
                    <w:keepLines w:val="on"/>
                  </w:pPr>
                  <w:r>
                    <w:t>25,95%</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7,99</w:t>
                  </w:r>
                </w:p>
              </w:tc>
              <w:tc>
                <w:tcPr>
                  <w:tcW w:type="auto" w:w="0"/>
                  <w:shd w:val="clear" w:color="auto" w:fill="F0F0F0"/>
                </w:tcPr>
                <w:p>
                  <w:pPr>
                    <w:pStyle w:val="Normal"/>
                    <w:keepLines w:val="on"/>
                  </w:pPr>
                  <w:r>
                    <w:t>74,56%</w:t>
                  </w:r>
                </w:p>
              </w:tc>
            </w:tr>
            <w:tr>
              <w:tc>
                <w:tcPr>
                  <w:tcW w:type="auto" w:w="0"/>
                  <w:shd w:val="clear" w:color="auto" w:fill="F0F0F0"/>
                </w:tcPr>
                <w:p>
                  <w:pPr>
                    <w:pStyle w:val="Para 02"/>
                    <w:keepLines w:val="on"/>
                  </w:pPr>
                  <w:r>
                    <w:t>Burberry Group plc</w:t>
                  </w:r>
                </w:p>
              </w:tc>
              <w:tc>
                <w:tcPr>
                  <w:tcW w:type="auto" w:w="0"/>
                  <w:shd w:val="clear" w:color="auto" w:fill="F0F0F0"/>
                </w:tcPr>
                <w:p>
                  <w:pPr>
                    <w:pStyle w:val="Normal"/>
                    <w:keepLines w:val="on"/>
                  </w:pPr>
                  <w:r>
                    <w:t>3,24</w:t>
                  </w:r>
                </w:p>
              </w:tc>
              <w:tc>
                <w:tcPr>
                  <w:tcW w:type="auto" w:w="0"/>
                  <w:shd w:val="clear" w:color="auto" w:fill="F0F0F0"/>
                </w:tcPr>
                <w:p>
                  <w:pPr>
                    <w:pStyle w:val="Normal"/>
                    <w:keepLines w:val="on"/>
                  </w:pPr>
                  <w:r>
                    <w:t>23,54%</w:t>
                  </w:r>
                </w:p>
              </w:tc>
              <w:tc>
                <w:tcPr>
                  <w:tcW w:type="auto" w:w="0"/>
                  <w:shd w:val="clear" w:color="auto" w:fill="F0F0F0"/>
                </w:tcPr>
                <w:p>
                  <w:pPr>
                    <w:pStyle w:val="Normal"/>
                    <w:keepLines w:val="on"/>
                  </w:pPr>
                  <w:r>
                    <w:t>−3,05%</w:t>
                  </w:r>
                </w:p>
              </w:tc>
              <w:tc>
                <w:tcPr>
                  <w:tcW w:type="auto" w:w="0"/>
                  <w:shd w:val="clear" w:color="auto" w:fill="F0F0F0"/>
                </w:tcPr>
                <w:p>
                  <w:pPr>
                    <w:pStyle w:val="Normal"/>
                    <w:keepLines w:val="on"/>
                  </w:pPr>
                  <w:r>
                    <w:t>4,70</w:t>
                  </w:r>
                </w:p>
              </w:tc>
              <w:tc>
                <w:tcPr>
                  <w:tcW w:type="auto" w:w="0"/>
                  <w:shd w:val="clear" w:color="auto" w:fill="F0F0F0"/>
                </w:tcPr>
                <w:p>
                  <w:pPr>
                    <w:pStyle w:val="Normal"/>
                    <w:keepLines w:val="on"/>
                  </w:pPr>
                  <w:r>
                    <w:t>−31,11%</w:t>
                  </w:r>
                </w:p>
              </w:tc>
            </w:tr>
            <w:tr>
              <w:tc>
                <w:tcPr>
                  <w:tcW w:type="auto" w:w="0"/>
                  <w:shd w:val="clear" w:color="auto" w:fill="F0F0F0"/>
                </w:tcPr>
                <w:p>
                  <w:pPr>
                    <w:pStyle w:val="Para 02"/>
                    <w:keepLines w:val="on"/>
                  </w:pPr>
                  <w:r>
                    <w:t>Samsonite International S.A.</w:t>
                  </w:r>
                </w:p>
              </w:tc>
              <w:tc>
                <w:tcPr>
                  <w:tcW w:type="auto" w:w="0"/>
                  <w:shd w:val="clear" w:color="auto" w:fill="F0F0F0"/>
                </w:tcPr>
                <w:p>
                  <w:pPr>
                    <w:pStyle w:val="Normal"/>
                    <w:keepLines w:val="on"/>
                  </w:pPr>
                  <w:r>
                    <w:t>2,99</w:t>
                  </w:r>
                </w:p>
              </w:tc>
              <w:tc>
                <w:tcPr>
                  <w:tcW w:type="auto" w:w="0"/>
                  <w:shd w:val="clear" w:color="auto" w:fill="F0F0F0"/>
                </w:tcPr>
                <w:p>
                  <w:pPr>
                    <w:pStyle w:val="Normal"/>
                    <w:keepLines w:val="on"/>
                  </w:pPr>
                  <w:r>
                    <w:t>27,51%</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5,63</w:t>
                  </w:r>
                </w:p>
              </w:tc>
              <w:tc>
                <w:tcPr>
                  <w:tcW w:type="auto" w:w="0"/>
                  <w:shd w:val="clear" w:color="auto" w:fill="F0F0F0"/>
                </w:tcPr>
                <w:p>
                  <w:pPr>
                    <w:pStyle w:val="Normal"/>
                    <w:keepLines w:val="on"/>
                  </w:pPr>
                  <w:r>
                    <w:t>−46,88%</w:t>
                  </w:r>
                </w:p>
              </w:tc>
            </w:tr>
            <w:tr>
              <w:tc>
                <w:tcPr>
                  <w:tcW w:type="auto" w:w="0"/>
                  <w:shd w:val="clear" w:color="auto" w:fill="F0F0F0"/>
                </w:tcPr>
                <w:p>
                  <w:pPr>
                    <w:pStyle w:val="Para 02"/>
                    <w:keepLines w:val="on"/>
                  </w:pPr>
                  <w:r>
                    <w:t>Capri Holdings Limited</w:t>
                  </w:r>
                </w:p>
              </w:tc>
              <w:tc>
                <w:tcPr>
                  <w:tcW w:type="auto" w:w="0"/>
                  <w:shd w:val="clear" w:color="auto" w:fill="F0F0F0"/>
                </w:tcPr>
                <w:p>
                  <w:pPr>
                    <w:pStyle w:val="Normal"/>
                    <w:keepLines w:val="on"/>
                  </w:pPr>
                  <w:r>
                    <w:t>2,52</w:t>
                  </w:r>
                </w:p>
              </w:tc>
              <w:tc>
                <w:tcPr>
                  <w:tcW w:type="auto" w:w="0"/>
                  <w:shd w:val="clear" w:color="auto" w:fill="F0F0F0"/>
                </w:tcPr>
                <w:p>
                  <w:pPr>
                    <w:pStyle w:val="Normal"/>
                    <w:keepLines w:val="on"/>
                  </w:pPr>
                  <w:r>
                    <w:t>−14,32%</w:t>
                  </w:r>
                </w:p>
              </w:tc>
              <w:tc>
                <w:tcPr>
                  <w:tcW w:type="auto" w:w="0"/>
                  <w:shd w:val="clear" w:color="auto" w:fill="F0F0F0"/>
                </w:tcPr>
                <w:p>
                  <w:pPr>
                    <w:pStyle w:val="Normal"/>
                    <w:keepLines w:val="on"/>
                  </w:pPr>
                  <w:r>
                    <w:t>7,43%</w:t>
                  </w:r>
                </w:p>
              </w:tc>
              <w:tc>
                <w:tcPr>
                  <w:tcW w:type="auto" w:w="0"/>
                  <w:shd w:val="clear" w:color="auto" w:fill="F0F0F0"/>
                </w:tcPr>
                <w:p>
                  <w:pPr>
                    <w:pStyle w:val="Normal"/>
                    <w:keepLines w:val="on"/>
                  </w:pPr>
                  <w:r>
                    <w:t>0,46</w:t>
                  </w:r>
                </w:p>
              </w:tc>
              <w:tc>
                <w:tcPr>
                  <w:tcW w:type="auto" w:w="0"/>
                  <w:shd w:val="clear" w:color="auto" w:fill="F0F0F0"/>
                </w:tcPr>
                <w:p>
                  <w:pPr>
                    <w:pStyle w:val="Normal"/>
                    <w:keepLines w:val="on"/>
                  </w:pPr>
                  <w:r>
                    <w:t>443,76%</w:t>
                  </w:r>
                </w:p>
              </w:tc>
            </w:tr>
            <w:tr>
              <w:tc>
                <w:tcPr>
                  <w:tcW w:type="auto" w:w="0"/>
                  <w:shd w:val="clear" w:color="auto" w:fill="F0F0F0"/>
                </w:tcPr>
                <w:p>
                  <w:pPr>
                    <w:pStyle w:val="Para 02"/>
                    <w:keepLines w:val="on"/>
                  </w:pPr>
                  <w:r>
                    <w:t>Hugo Boss AG</w:t>
                  </w:r>
                </w:p>
              </w:tc>
              <w:tc>
                <w:tcPr>
                  <w:tcW w:type="auto" w:w="0"/>
                  <w:shd w:val="clear" w:color="auto" w:fill="F0F0F0"/>
                </w:tcPr>
                <w:p>
                  <w:pPr>
                    <w:pStyle w:val="Normal"/>
                    <w:keepLines w:val="on"/>
                  </w:pPr>
                  <w:r>
                    <w:t>2,54</w:t>
                  </w:r>
                </w:p>
              </w:tc>
              <w:tc>
                <w:tcPr>
                  <w:tcW w:type="auto" w:w="0"/>
                  <w:shd w:val="clear" w:color="auto" w:fill="F0F0F0"/>
                </w:tcPr>
                <w:p>
                  <w:pPr>
                    <w:pStyle w:val="Normal"/>
                    <w:keepLines w:val="on"/>
                  </w:pPr>
                  <w:r>
                    <w:t>19,61%</w:t>
                  </w:r>
                </w:p>
              </w:tc>
              <w:tc>
                <w:tcPr>
                  <w:tcW w:type="auto" w:w="0"/>
                  <w:shd w:val="clear" w:color="auto" w:fill="F0F0F0"/>
                </w:tcPr>
                <w:p>
                  <w:pPr>
                    <w:pStyle w:val="Normal"/>
                    <w:keepLines w:val="on"/>
                  </w:pPr>
                  <w:r>
                    <w:t>17,00%</w:t>
                  </w:r>
                </w:p>
              </w:tc>
              <w:tc>
                <w:tcPr>
                  <w:tcW w:type="auto" w:w="0"/>
                  <w:shd w:val="clear" w:color="auto" w:fill="F0F0F0"/>
                </w:tcPr>
                <w:p>
                  <w:pPr>
                    <w:pStyle w:val="Normal"/>
                    <w:keepLines w:val="on"/>
                  </w:pPr>
                  <w:r>
                    <w:t>6,49</w:t>
                  </w:r>
                </w:p>
              </w:tc>
              <w:tc>
                <w:tcPr>
                  <w:tcW w:type="auto" w:w="0"/>
                  <w:shd w:val="clear" w:color="auto" w:fill="F0F0F0"/>
                </w:tcPr>
                <w:p>
                  <w:pPr>
                    <w:pStyle w:val="Normal"/>
                    <w:keepLines w:val="on"/>
                  </w:pPr>
                  <w:r>
                    <w:t>−60,91%</w:t>
                  </w:r>
                </w:p>
              </w:tc>
            </w:tr>
            <w:tr>
              <w:tc>
                <w:tcPr>
                  <w:tcW w:type="auto" w:w="0"/>
                  <w:shd w:val="clear" w:color="auto" w:fill="F0F0F0"/>
                </w:tcPr>
                <w:p>
                  <w:pPr>
                    <w:pStyle w:val="Para 02"/>
                    <w:keepLines w:val="on"/>
                  </w:pPr>
                  <w:r>
                    <w:t>Ermenegildo Zegna</w:t>
                  </w:r>
                </w:p>
              </w:tc>
              <w:tc>
                <w:tcPr>
                  <w:tcW w:type="auto" w:w="0"/>
                  <w:shd w:val="clear" w:color="auto" w:fill="F0F0F0"/>
                </w:tcPr>
                <w:p>
                  <w:pPr>
                    <w:pStyle w:val="Normal"/>
                    <w:keepLines w:val="on"/>
                  </w:pPr>
                  <w:r>
                    <w:t>3,32</w:t>
                  </w:r>
                </w:p>
              </w:tc>
              <w:tc>
                <w:tcPr>
                  <w:tcW w:type="auto" w:w="0"/>
                  <w:shd w:val="clear" w:color="auto" w:fill="F0F0F0"/>
                </w:tcPr>
                <w:p>
                  <w:pPr>
                    <w:pStyle w:val="Normal"/>
                    <w:keepLines w:val="on"/>
                  </w:pPr>
                  <w:r>
                    <w:t>14,46%</w:t>
                  </w:r>
                </w:p>
              </w:tc>
              <w:tc>
                <w:tcPr>
                  <w:tcW w:type="auto" w:w="0"/>
                  <w:shd w:val="clear" w:color="auto" w:fill="F0F0F0"/>
                </w:tcPr>
                <w:p>
                  <w:pPr>
                    <w:pStyle w:val="Normal"/>
                    <w:keepLines w:val="on"/>
                  </w:pPr>
                  <w:r>
                    <w:t>9,86%</w:t>
                  </w:r>
                </w:p>
              </w:tc>
              <w:tc>
                <w:tcPr>
                  <w:tcW w:type="auto" w:w="0"/>
                  <w:shd w:val="clear" w:color="auto" w:fill="F0F0F0"/>
                </w:tcPr>
                <w:p>
                  <w:pPr>
                    <w:pStyle w:val="Normal"/>
                    <w:keepLines w:val="on"/>
                  </w:pPr>
                  <w:r>
                    <w:t>4,90</w:t>
                  </w:r>
                </w:p>
              </w:tc>
              <w:tc>
                <w:tcPr>
                  <w:tcW w:type="auto" w:w="0"/>
                  <w:shd w:val="clear" w:color="auto" w:fill="F0F0F0"/>
                </w:tcPr>
                <w:p>
                  <w:pPr>
                    <w:pStyle w:val="Normal"/>
                    <w:keepLines w:val="on"/>
                  </w:pPr>
                  <w:r>
                    <w:t>−32,30%</w:t>
                  </w:r>
                </w:p>
              </w:tc>
            </w:tr>
            <w:tr>
              <w:tc>
                <w:tcPr>
                  <w:tcW w:type="auto" w:w="0"/>
                  <w:shd w:val="clear" w:color="auto" w:fill="F0F0F0"/>
                </w:tcPr>
                <w:p>
                  <w:pPr>
                    <w:pStyle w:val="Para 02"/>
                    <w:keepLines w:val="on"/>
                  </w:pPr>
                  <w:r>
                    <w:t>CCC S.A.</w:t>
                  </w:r>
                </w:p>
              </w:tc>
              <w:tc>
                <w:tcPr>
                  <w:tcW w:type="auto" w:w="0"/>
                  <w:shd w:val="clear" w:color="auto" w:fill="F0F0F0"/>
                </w:tcPr>
                <w:p>
                  <w:pPr>
                    <w:pStyle w:val="Normal"/>
                    <w:keepLines w:val="on"/>
                  </w:pPr>
                  <w:r>
                    <w:t>NA</w:t>
                  </w:r>
                </w:p>
              </w:tc>
              <w:tc>
                <w:tcPr>
                  <w:tcW w:type="auto" w:w="0"/>
                  <w:shd w:val="clear" w:color="auto" w:fill="F0F0F0"/>
                </w:tcPr>
                <w:p>
                  <w:pPr>
                    <w:pStyle w:val="Normal"/>
                    <w:keepLines w:val="on"/>
                  </w:pPr>
                  <w:r>
                    <w:t>−6,69%</w:t>
                  </w:r>
                </w:p>
              </w:tc>
              <w:tc>
                <w:tcPr>
                  <w:tcW w:type="auto" w:w="0"/>
                  <w:shd w:val="clear" w:color="auto" w:fill="F0F0F0"/>
                </w:tcPr>
                <w:p>
                  <w:pPr>
                    <w:pStyle w:val="Normal"/>
                    <w:keepLines w:val="on"/>
                  </w:pPr>
                  <w:r>
                    <w:t>NA</w:t>
                  </w:r>
                </w:p>
              </w:tc>
              <w:tc>
                <w:tcPr>
                  <w:tcW w:type="auto" w:w="0"/>
                  <w:shd w:val="clear" w:color="auto" w:fill="F0F0F0"/>
                </w:tcPr>
                <w:p>
                  <w:pPr>
                    <w:pStyle w:val="Normal"/>
                    <w:keepLines w:val="on"/>
                  </w:pPr>
                  <w:r>
                    <w:t>0,69</w:t>
                  </w:r>
                </w:p>
              </w:tc>
              <w:tc>
                <w:tcPr>
                  <w:tcW w:type="auto" w:w="0"/>
                  <w:shd w:val="clear" w:color="auto" w:fill="F0F0F0"/>
                </w:tcPr>
                <w:p>
                  <w:pPr>
                    <w:pStyle w:val="Normal"/>
                    <w:keepLines w:val="on"/>
                  </w:pPr>
                  <w:r>
                    <w:t>NA</w:t>
                  </w:r>
                </w:p>
              </w:tc>
            </w:tr>
            <w:tr>
              <w:tc>
                <w:tcPr>
                  <w:tcW w:type="auto" w:w="0"/>
                  <w:shd w:val="clear" w:color="auto" w:fill="F0F0F0"/>
                </w:tcPr>
                <w:p>
                  <w:pPr>
                    <w:pStyle w:val="Para 02"/>
                    <w:keepLines w:val="on"/>
                  </w:pPr>
                  <w:r>
                    <w:t>Coats Group plc</w:t>
                  </w:r>
                </w:p>
              </w:tc>
              <w:tc>
                <w:tcPr>
                  <w:tcW w:type="auto" w:w="0"/>
                  <w:shd w:val="clear" w:color="auto" w:fill="F0F0F0"/>
                </w:tcPr>
                <w:p>
                  <w:pPr>
                    <w:pStyle w:val="Normal"/>
                    <w:keepLines w:val="on"/>
                  </w:pPr>
                  <w:r>
                    <w:t>3,11</w:t>
                  </w:r>
                </w:p>
              </w:tc>
              <w:tc>
                <w:tcPr>
                  <w:tcW w:type="auto" w:w="0"/>
                  <w:shd w:val="clear" w:color="auto" w:fill="F0F0F0"/>
                </w:tcPr>
                <w:p>
                  <w:pPr>
                    <w:pStyle w:val="Normal"/>
                    <w:keepLines w:val="on"/>
                  </w:pPr>
                  <w:r>
                    <w:t>10,12%</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4,35</w:t>
                  </w:r>
                </w:p>
              </w:tc>
              <w:tc>
                <w:tcPr>
                  <w:tcW w:type="auto" w:w="0"/>
                  <w:shd w:val="clear" w:color="auto" w:fill="F0F0F0"/>
                </w:tcPr>
                <w:p>
                  <w:pPr>
                    <w:pStyle w:val="Normal"/>
                    <w:keepLines w:val="on"/>
                  </w:pPr>
                  <w:r>
                    <w:t>−28,57%</w:t>
                  </w:r>
                </w:p>
              </w:tc>
            </w:tr>
            <w:tr>
              <w:tc>
                <w:tcPr>
                  <w:tcW w:type="auto" w:w="0"/>
                  <w:shd w:val="clear" w:color="auto" w:fill="F0F0F0"/>
                </w:tcPr>
                <w:p>
                  <w:pPr>
                    <w:pStyle w:val="Para 02"/>
                    <w:keepLines w:val="on"/>
                  </w:pPr>
                  <w:r>
                    <w:t>Salvatore Ferragamo S.p.A.</w:t>
                  </w:r>
                </w:p>
              </w:tc>
              <w:tc>
                <w:tcPr>
                  <w:tcW w:type="auto" w:w="0"/>
                  <w:shd w:val="clear" w:color="auto" w:fill="F0F0F0"/>
                </w:tcPr>
                <w:p>
                  <w:pPr>
                    <w:pStyle w:val="Normal"/>
                    <w:keepLines w:val="on"/>
                  </w:pPr>
                  <w:r>
                    <w:t>2,10</w:t>
                  </w:r>
                </w:p>
              </w:tc>
              <w:tc>
                <w:tcPr>
                  <w:tcW w:type="auto" w:w="0"/>
                  <w:shd w:val="clear" w:color="auto" w:fill="F0F0F0"/>
                </w:tcPr>
                <w:p>
                  <w:pPr>
                    <w:pStyle w:val="Normal"/>
                    <w:keepLines w:val="on"/>
                  </w:pPr>
                  <w:r>
                    <w:t>3,61%</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2,18</w:t>
                  </w:r>
                </w:p>
              </w:tc>
              <w:tc>
                <w:tcPr>
                  <w:tcW w:type="auto" w:w="0"/>
                  <w:shd w:val="clear" w:color="auto" w:fill="F0F0F0"/>
                </w:tcPr>
                <w:p>
                  <w:pPr>
                    <w:pStyle w:val="Normal"/>
                    <w:keepLines w:val="on"/>
                  </w:pPr>
                  <w:r>
                    <w:t>−3,59%</w:t>
                  </w:r>
                </w:p>
              </w:tc>
            </w:tr>
            <w:tr>
              <w:tc>
                <w:tcPr>
                  <w:tcW w:type="auto" w:w="0"/>
                  <w:shd w:val="clear" w:color="auto" w:fill="F0F0F0"/>
                </w:tcPr>
                <w:p>
                  <w:pPr>
                    <w:pStyle w:val="Para 02"/>
                    <w:keepLines w:val="on"/>
                  </w:pPr>
                  <w:r>
                    <w:t>TOD’S S.p.A.</w:t>
                  </w:r>
                </w:p>
              </w:tc>
              <w:tc>
                <w:tcPr>
                  <w:tcW w:type="auto" w:w="0"/>
                  <w:shd w:val="clear" w:color="auto" w:fill="F0F0F0"/>
                </w:tcPr>
                <w:p>
                  <w:pPr>
                    <w:pStyle w:val="Normal"/>
                    <w:keepLines w:val="on"/>
                  </w:pPr>
                  <w:r>
                    <w:t>1,28</w:t>
                  </w:r>
                </w:p>
              </w:tc>
              <w:tc>
                <w:tcPr>
                  <w:tcW w:type="auto" w:w="0"/>
                  <w:shd w:val="clear" w:color="auto" w:fill="F0F0F0"/>
                </w:tcPr>
                <w:p>
                  <w:pPr>
                    <w:pStyle w:val="Normal"/>
                    <w:keepLines w:val="on"/>
                  </w:pPr>
                  <w:r>
                    <w:t>4,59%</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2,32</w:t>
                  </w:r>
                </w:p>
              </w:tc>
              <w:tc>
                <w:tcPr>
                  <w:tcW w:type="auto" w:w="0"/>
                  <w:shd w:val="clear" w:color="auto" w:fill="F0F0F0"/>
                </w:tcPr>
                <w:p>
                  <w:pPr>
                    <w:pStyle w:val="Normal"/>
                    <w:keepLines w:val="on"/>
                  </w:pPr>
                  <w:r>
                    <w:t>−44,98%</w:t>
                  </w:r>
                </w:p>
              </w:tc>
            </w:tr>
            <w:tr>
              <w:tc>
                <w:tcPr>
                  <w:tcW w:type="auto" w:w="0"/>
                  <w:shd w:val="clear" w:color="auto" w:fill="F0F0F0"/>
                </w:tcPr>
                <w:p>
                  <w:pPr>
                    <w:pStyle w:val="Para 02"/>
                    <w:keepLines w:val="on"/>
                  </w:pPr>
                  <w:r>
                    <w:t>New Wave Group AB</w:t>
                  </w:r>
                </w:p>
              </w:tc>
              <w:tc>
                <w:tcPr>
                  <w:tcW w:type="auto" w:w="0"/>
                  <w:shd w:val="clear" w:color="auto" w:fill="F0F0F0"/>
                </w:tcPr>
                <w:p>
                  <w:pPr>
                    <w:pStyle w:val="Normal"/>
                    <w:keepLines w:val="on"/>
                  </w:pPr>
                  <w:r>
                    <w:t>2,32</w:t>
                  </w:r>
                </w:p>
              </w:tc>
              <w:tc>
                <w:tcPr>
                  <w:tcW w:type="auto" w:w="0"/>
                  <w:shd w:val="clear" w:color="auto" w:fill="F0F0F0"/>
                </w:tcPr>
                <w:p>
                  <w:pPr>
                    <w:pStyle w:val="Normal"/>
                    <w:keepLines w:val="on"/>
                  </w:pPr>
                  <w:r>
                    <w:t>14,91%</w:t>
                  </w:r>
                </w:p>
              </w:tc>
              <w:tc>
                <w:tcPr>
                  <w:tcW w:type="auto" w:w="0"/>
                  <w:shd w:val="clear" w:color="auto" w:fill="F0F0F0"/>
                </w:tcPr>
                <w:p>
                  <w:pPr>
                    <w:pStyle w:val="Normal"/>
                    <w:keepLines w:val="on"/>
                  </w:pPr>
                  <w:r>
                    <w:t>11,70%</w:t>
                  </w:r>
                </w:p>
              </w:tc>
              <w:tc>
                <w:tcPr>
                  <w:tcW w:type="auto" w:w="0"/>
                  <w:shd w:val="clear" w:color="auto" w:fill="F0F0F0"/>
                </w:tcPr>
                <w:p>
                  <w:pPr>
                    <w:pStyle w:val="Normal"/>
                    <w:keepLines w:val="on"/>
                  </w:pPr>
                  <w:r>
                    <w:t>5,19</w:t>
                  </w:r>
                </w:p>
              </w:tc>
              <w:tc>
                <w:tcPr>
                  <w:tcW w:type="auto" w:w="0"/>
                  <w:shd w:val="clear" w:color="auto" w:fill="F0F0F0"/>
                </w:tcPr>
                <w:p>
                  <w:pPr>
                    <w:pStyle w:val="Normal"/>
                    <w:keepLines w:val="on"/>
                  </w:pPr>
                  <w:r>
                    <w:t>−55,29%</w:t>
                  </w:r>
                </w:p>
              </w:tc>
            </w:tr>
            <w:tr>
              <w:tc>
                <w:tcPr>
                  <w:tcW w:type="auto" w:w="0"/>
                  <w:shd w:val="clear" w:color="auto" w:fill="F0F0F0"/>
                </w:tcPr>
                <w:p>
                  <w:pPr>
                    <w:pStyle w:val="Para 02"/>
                    <w:keepLines w:val="on"/>
                  </w:pPr>
                  <w:r>
                    <w:t>Dr. Martens</w:t>
                  </w:r>
                </w:p>
              </w:tc>
              <w:tc>
                <w:tcPr>
                  <w:tcW w:type="auto" w:w="0"/>
                  <w:shd w:val="clear" w:color="auto" w:fill="F0F0F0"/>
                </w:tcPr>
                <w:p>
                  <w:pPr>
                    <w:pStyle w:val="Normal"/>
                    <w:keepLines w:val="on"/>
                  </w:pPr>
                  <w:r>
                    <w:t>2,30</w:t>
                  </w:r>
                </w:p>
              </w:tc>
              <w:tc>
                <w:tcPr>
                  <w:tcW w:type="auto" w:w="0"/>
                  <w:shd w:val="clear" w:color="auto" w:fill="F0F0F0"/>
                </w:tcPr>
                <w:p>
                  <w:pPr>
                    <w:pStyle w:val="Normal"/>
                    <w:keepLines w:val="on"/>
                  </w:pPr>
                  <w:r>
                    <w:t>18,80%</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4,49</w:t>
                  </w:r>
                </w:p>
              </w:tc>
              <w:tc>
                <w:tcPr>
                  <w:tcW w:type="auto" w:w="0"/>
                  <w:shd w:val="clear" w:color="auto" w:fill="F0F0F0"/>
                </w:tcPr>
                <w:p>
                  <w:pPr>
                    <w:pStyle w:val="Normal"/>
                    <w:keepLines w:val="on"/>
                  </w:pPr>
                  <w:r>
                    <w:t>−48,78%</w:t>
                  </w:r>
                </w:p>
              </w:tc>
            </w:tr>
          </w:tbl>
          <w:p/>
        </w:tc>
      </w:tr>
    </w:tbl>
    <w:p>
      <w:pPr>
        <w:pStyle w:val="Para 04"/>
        <w:keepLines w:val="on"/>
      </w:pPr>
      <w:r>
        <w:t>Công ty bị định giá thấp nhất, tính theo tỷ lệ phần trăm, trong nhóm là Swatch, với tỷ lệ giá trên giá trị sổ sách (price-to-book ratio) thực tế là 0,76 và tỷ lệ giá trên giá trị sổ sách dự đoán là 3,18; còn công ty bị định giá cao nhất, cũng tính theo tỷ lệ phần trăm, là Capri Holdings, với tỷ lệ giá trên giá trị sổ sách thực tế là 2,52 và tỷ lệ giá trên giá trị sổ sách dự đoán là 0,46.</w:t>
      </w:r>
    </w:p>
    <w:p>
      <w:bookmarkStart w:id="3915" w:name="Comparing_Firms_Across_the_Marke_1"/>
      <w:bookmarkStart w:id="3916" w:name="Comparing_Firms_Across_the_Marke"/>
      <w:pPr>
        <w:keepNext/>
        <w:pStyle w:val="Heading 4"/>
        <w:keepLines w:val="on"/>
      </w:pPr>
      <w:r>
        <w:t>So sánh các công ty trên toàn thị trường</w:t>
      </w:r>
      <w:bookmarkEnd w:id="3915"/>
      <w:bookmarkEnd w:id="3916"/>
    </w:p>
    <w:p>
      <w:pPr>
        <w:pStyle w:val="Para 03"/>
      </w:pPr>
      <w:r>
        <w:t>Ngược lại với cách tiếp cận so sánh công ty tương đồng, bạn có thể nhìn vào cách các công ty được định giá trên toàn bộ thị trường để dự đoán tỷ lệ PBV cho từng công ty riêng lẻ. Cách đơn giản nhất để tóm tắt thông tin này là dùng hồi quy bội (multiple regression), với tỷ lệ PBV là biến phụ thuộc, và các biến đại diện cho rủi ro, tăng trưởng, lợi nhuận trên vốn chủ sở hữu (return on equity) và tỷ lệ chi trả cổ tức (payout) đóng vai trò biến độc lập.</w:t>
      </w:r>
    </w:p>
    <w:p>
      <w:bookmarkStart w:id="3917" w:name="Past_Studies_1"/>
      <w:bookmarkStart w:id="3918" w:name="Past_Studies__The_relationship_b"/>
      <w:pPr>
        <w:keepNext/>
        <w:pStyle w:val="Heading 4"/>
        <w:keepLines w:val="on"/>
      </w:pPr>
      <w:r>
        <w:t>Các nghiên cứu trước đây</w:t>
      </w:r>
      <w:bookmarkEnd w:id="3917"/>
      <w:bookmarkEnd w:id="3918"/>
    </w:p>
    <w:p>
      <w:pPr>
        <w:pStyle w:val="Para 03"/>
      </w:pPr>
      <w:r>
        <w:t>Mối quan hệ giữa tỷ lệ giá trên giá trị sổ sách (price–book value ratio) và lợi nhuận trên vốn chủ sở hữu đã được làm nổi bật trong các nghiên cứu khác. Wilcox (1984) đưa ra giả thuyết về mối quan hệ mạnh mẽ giữa tỷ lệ giá trên giá trị sổ sách (được vẽ trên thang logarit) và lợi nhuận trên vốn chủ sở hữu. Sử dụng dữ liệu năm 1981 cho 949 cổ phiếu Value Line, ông đã đưa ra phương trình sau:</w:t>
      </w:r>
    </w:p>
    <w:p>
      <w:bookmarkStart w:id="3919" w:name="Log__Price_to_Book_value_____1_0"/>
      <w:pPr>
        <w:keepNext/>
        <w:pStyle w:val="Para 09"/>
        <w:keepLines w:val="on"/>
      </w:pPr>
      <w:r>
        <w:t>Log (Giá trên giá trị sổ sách) = −1.00 + 7.51 (Lợi nhuận trên vốn chủ sở hữu)</w:t>
      </w:r>
      <w:bookmarkEnd w:id="3919"/>
    </w:p>
    <w:p>
      <w:pPr>
        <w:pStyle w:val="Para 03"/>
      </w:pPr>
      <w:r>
        <w:t>Ông cũng phát hiện rằng hồi quy này có sai số bình phương trung bình (mean squared error) nhỏ hơn nhiều so với các mô hình cạnh tranh sử dụng tỷ lệ giá trên thu nhập (price-earnings ratios) và/hoặc tốc độ tăng trưởng.</w:t>
      </w:r>
    </w:p>
    <w:p>
      <w:pPr>
        <w:pStyle w:val="Para 03"/>
      </w:pPr>
      <w:r>
        <w:t>Các hồi quy tỷ lệ PBV này đã được cập nhật trong ấn bản đầu tiên của cuốn sách này bằng dữ liệu từ năm 1987 đến 1991. Cơ sở dữ liệu Compustat được sử dụng để trích xuất thông tin về tỷ lệ giá trên giá trị sổ sách, lợi nhuận trên vốn chủ sở hữu, tỷ lệ chi trả cổ tức và tốc độ tăng trưởng thu nhập (trong năm năm trước đó) cho tất cả các công ty trên NYSE và AMEX có dữ liệu sẵn có trong mỗi năm. Hệ số beta được lấy từ băng CRSP cho mỗi năm. Tất cả các công ty có giá trị sổ sách âm đều bị loại khỏi mẫu, và hồi quy PBV trên các biến độc lập cho ra kết quả sau cho mỗi năm (trong Bảng 19.5):</w:t>
      </w:r>
    </w:p>
    <w:p>
      <w:pPr>
        <w:pStyle w:val="Para 34"/>
        <w:keepLines w:val="on"/>
      </w:pPr>
      <w:r>
        <w:t>Bảng 19.5</w:t>
      </w:r>
    </w:p>
    <w:p>
      <w:pPr>
        <w:keepNext/>
        <w:pStyle w:val="Para 35"/>
        <w:keepLines w:val="on"/>
      </w:pPr>
      <w:r>
        <w:t>Các hồi quy PBV theo thị trường—1987 đến 1991</w:t>
      </w:r>
    </w:p>
    <w:tbl>
      <w:tblPr>
        <w:tblW w:type="auto" w:w="0"/>
      </w:tblPr>
      <w:tr>
        <w:tc>
          <w:tcPr>
            <w:tcW w:type="auto" w:w="0"/>
          </w:tcPr>
          <w:tbl>
            <w:tblPr>
              <w:tblW w:type="pct" w:w="5000"/>
            </w:tblPr>
            <w:tr>
              <w:tc>
                <w:tcPr>
                  <w:tcW w:type="auto" w:w="0"/>
                  <w:shd w:val="clear" w:color="auto" w:fill="F0F0F0"/>
                </w:tcPr>
                <w:p>
                  <w:pPr>
                    <w:pStyle w:val="Para 17"/>
                    <w:keepLines w:val="on"/>
                  </w:pPr>
                  <w:r>
                    <w:t>Năm</w:t>
                  </w:r>
                </w:p>
              </w:tc>
              <w:tc>
                <w:tcPr>
                  <w:tcW w:type="auto" w:w="0"/>
                  <w:shd w:val="clear" w:color="auto" w:fill="F0F0F0"/>
                </w:tcPr>
                <w:p>
                  <w:pPr>
                    <w:pStyle w:val="Para 17"/>
                    <w:keepLines w:val="on"/>
                  </w:pPr>
                  <w:r>
                    <w:t>Hồi quy</w:t>
                  </w:r>
                </w:p>
              </w:tc>
              <w:tc>
                <w:tcPr>
                  <w:tcW w:type="auto" w:w="0"/>
                  <w:shd w:val="clear" w:color="auto" w:fill="F0F0F0"/>
                </w:tcPr>
                <w:p>
                  <w:pPr>
                    <w:pStyle w:val="Para 17"/>
                    <w:keepLines w:val="on"/>
                  </w:pPr>
                  <w:r>
                    <w:t>R bình phương</w:t>
                  </w:r>
                </w:p>
              </w:tc>
            </w:tr>
            <w:tr>
              <w:tc>
                <w:tcPr>
                  <w:tcW w:type="auto" w:w="0"/>
                  <w:shd w:val="clear" w:color="auto" w:fill="F0F0F0"/>
                </w:tcPr>
                <w:p>
                  <w:pPr>
                    <w:pStyle w:val="Normal"/>
                    <w:keepLines w:val="on"/>
                  </w:pPr>
                  <w:r>
                    <w:t>1987</w:t>
                  </w:r>
                </w:p>
              </w:tc>
              <w:tc>
                <w:tcPr>
                  <w:tcW w:type="auto" w:w="0"/>
                  <w:shd w:val="clear" w:color="auto" w:fill="F0F0F0"/>
                </w:tcPr>
                <w:p>
                  <w:pPr>
                    <w:pStyle w:val="Para 02"/>
                    <w:keepLines w:val="on"/>
                  </w:pPr>
                  <w:r>
                    <w:t>PBV = 0.1841 + 2.00 Payout − 0.3940 Beta + 133.89 EGR + 9.35 ROE</w:t>
                  </w:r>
                </w:p>
              </w:tc>
              <w:tc>
                <w:tcPr>
                  <w:tcW w:type="auto" w:w="0"/>
                  <w:shd w:val="clear" w:color="auto" w:fill="F0F0F0"/>
                </w:tcPr>
                <w:p>
                  <w:pPr>
                    <w:pStyle w:val="Normal"/>
                    <w:keepLines w:val="on"/>
                  </w:pPr>
                  <w:r>
                    <w:t>0.8617</w:t>
                  </w:r>
                </w:p>
              </w:tc>
            </w:tr>
            <w:tr>
              <w:tc>
                <w:tcPr>
                  <w:tcW w:type="auto" w:w="0"/>
                  <w:shd w:val="clear" w:color="auto" w:fill="F0F0F0"/>
                </w:tcPr>
                <w:p>
                  <w:pPr>
                    <w:pStyle w:val="Normal"/>
                    <w:keepLines w:val="on"/>
                  </w:pPr>
                  <w:r>
                    <w:t>1988</w:t>
                  </w:r>
                </w:p>
              </w:tc>
              <w:tc>
                <w:tcPr>
                  <w:tcW w:type="auto" w:w="0"/>
                  <w:shd w:val="clear" w:color="auto" w:fill="F0F0F0"/>
                </w:tcPr>
                <w:p>
                  <w:pPr>
                    <w:pStyle w:val="Para 02"/>
                    <w:keepLines w:val="on"/>
                  </w:pPr>
                  <w:r>
                    <w:t>PBV = 0.7113 + 0.007 Payout − 0.5082 Beta + 46.05 EGR + 6.9374 ROE</w:t>
                  </w:r>
                </w:p>
              </w:tc>
              <w:tc>
                <w:tcPr>
                  <w:tcW w:type="auto" w:w="0"/>
                  <w:shd w:val="clear" w:color="auto" w:fill="F0F0F0"/>
                </w:tcPr>
                <w:p>
                  <w:pPr>
                    <w:pStyle w:val="Normal"/>
                    <w:keepLines w:val="on"/>
                  </w:pPr>
                  <w:r>
                    <w:t>0.8405</w:t>
                  </w:r>
                </w:p>
              </w:tc>
            </w:tr>
            <w:tr>
              <w:tc>
                <w:tcPr>
                  <w:tcW w:type="auto" w:w="0"/>
                  <w:shd w:val="clear" w:color="auto" w:fill="F0F0F0"/>
                </w:tcPr>
                <w:p>
                  <w:pPr>
                    <w:pStyle w:val="Normal"/>
                    <w:keepLines w:val="on"/>
                  </w:pPr>
                  <w:r>
                    <w:t>1989</w:t>
                  </w:r>
                </w:p>
              </w:tc>
              <w:tc>
                <w:tcPr>
                  <w:tcW w:type="auto" w:w="0"/>
                  <w:shd w:val="clear" w:color="auto" w:fill="F0F0F0"/>
                </w:tcPr>
                <w:p>
                  <w:pPr>
                    <w:pStyle w:val="Para 02"/>
                    <w:keepLines w:val="on"/>
                  </w:pPr>
                  <w:r>
                    <w:t>PBV = 0.4119 + 0.63 Payout − 0.6406 Beta + 100.38 EGR + 9.55 ROE</w:t>
                  </w:r>
                </w:p>
              </w:tc>
              <w:tc>
                <w:tcPr>
                  <w:tcW w:type="auto" w:w="0"/>
                  <w:shd w:val="clear" w:color="auto" w:fill="F0F0F0"/>
                </w:tcPr>
                <w:p>
                  <w:pPr>
                    <w:pStyle w:val="Normal"/>
                    <w:keepLines w:val="on"/>
                  </w:pPr>
                  <w:r>
                    <w:t>0.8851</w:t>
                  </w:r>
                </w:p>
              </w:tc>
            </w:tr>
            <w:tr>
              <w:tc>
                <w:tcPr>
                  <w:tcW w:type="auto" w:w="0"/>
                  <w:shd w:val="clear" w:color="auto" w:fill="F0F0F0"/>
                </w:tcPr>
                <w:p>
                  <w:pPr>
                    <w:pStyle w:val="Normal"/>
                    <w:keepLines w:val="on"/>
                  </w:pPr>
                  <w:r>
                    <w:t>1990</w:t>
                  </w:r>
                </w:p>
              </w:tc>
              <w:tc>
                <w:tcPr>
                  <w:tcW w:type="auto" w:w="0"/>
                  <w:shd w:val="clear" w:color="auto" w:fill="F0F0F0"/>
                </w:tcPr>
                <w:p>
                  <w:pPr>
                    <w:pStyle w:val="Para 02"/>
                    <w:keepLines w:val="on"/>
                  </w:pPr>
                  <w:r>
                    <w:t>PBV = 0.8124 + 0.99 Payout − 0.1857 Beta + 111.30 EGR + 6.61 ROE</w:t>
                  </w:r>
                </w:p>
              </w:tc>
              <w:tc>
                <w:tcPr>
                  <w:tcW w:type="auto" w:w="0"/>
                  <w:shd w:val="clear" w:color="auto" w:fill="F0F0F0"/>
                </w:tcPr>
                <w:p>
                  <w:pPr>
                    <w:pStyle w:val="Normal"/>
                    <w:keepLines w:val="on"/>
                  </w:pPr>
                  <w:r>
                    <w:t>0.8846</w:t>
                  </w:r>
                </w:p>
              </w:tc>
            </w:tr>
            <w:tr>
              <w:tc>
                <w:tcPr>
                  <w:tcW w:type="auto" w:w="0"/>
                  <w:shd w:val="clear" w:color="auto" w:fill="F0F0F0"/>
                </w:tcPr>
                <w:p>
                  <w:pPr>
                    <w:pStyle w:val="Normal"/>
                    <w:keepLines w:val="on"/>
                  </w:pPr>
                  <w:r>
                    <w:t>1991</w:t>
                  </w:r>
                </w:p>
              </w:tc>
              <w:tc>
                <w:tcPr>
                  <w:tcW w:type="auto" w:w="0"/>
                  <w:shd w:val="clear" w:color="auto" w:fill="F0F0F0"/>
                </w:tcPr>
                <w:p>
                  <w:pPr>
                    <w:pStyle w:val="Para 02"/>
                    <w:keepLines w:val="on"/>
                  </w:pPr>
                  <w:r>
                    <w:t>PBV = 1.1065 + 35.05 Payout − 0.6471 Beta + 100.87 EGR + 10.51 ROE</w:t>
                  </w:r>
                </w:p>
              </w:tc>
              <w:tc>
                <w:tcPr>
                  <w:tcW w:type="auto" w:w="0"/>
                  <w:shd w:val="clear" w:color="auto" w:fill="F0F0F0"/>
                </w:tcPr>
                <w:p>
                  <w:pPr>
                    <w:pStyle w:val="Normal"/>
                    <w:keepLines w:val="on"/>
                  </w:pPr>
                  <w:r>
                    <w:t>0,8601</w:t>
                  </w:r>
                </w:p>
              </w:tc>
            </w:tr>
          </w:tbl>
          <w:p/>
        </w:tc>
      </w:tr>
    </w:tbl>
    <w:p>
      <w:pPr>
        <w:pStyle w:val="Para 20"/>
      </w:pPr>
      <w:r>
        <w:rPr>
          <w:rStyle w:val="Text26"/>
        </w:rPr>
        <w:bookmarkStart w:id="3921" w:name="Page_598"/>
        <w:t/>
        <w:bookmarkEnd w:id="3921"/>
      </w:r>
      <w:r>
        <w:t xml:space="preserve"> </w:t>
      </w:r>
    </w:p>
    <w:p>
      <w:bookmarkStart w:id="3922" w:name="where______PBV_Price_book_value"/>
      <w:pPr>
        <w:pStyle w:val="Para 39"/>
      </w:pPr>
      <w:r>
        <w:t>trong đó      PBV = Tỷ lệ giá trên giá trị sổ sách (Price–book value ratio) vào cuối nămPayout = Tỷ lệ chi trả cổ tức (Dividend payout ratio) vào cuối nămBeta = Beta của cổ phiếuEGR = Tốc độ tăng trưởng thu nhập trong năm năm trước đóROE = Tỷ suất sinh lời trên vốn chủ sở hữu (Return on equity) = Thu nhập ròng/Giá trị sổ sách của vốn chủ sở hữu</w:t>
      </w:r>
      <w:bookmarkEnd w:id="3922"/>
    </w:p>
    <w:p>
      <w:bookmarkStart w:id="3923" w:name="Updated_Regressions__In_January"/>
      <w:pPr>
        <w:pStyle w:val="Para 21"/>
      </w:pPr>
      <w:r>
        <w:t>Các hồi quy cập nhật</w:t>
      </w:r>
      <w:bookmarkEnd w:id="3923"/>
    </w:p>
    <w:p>
      <w:pPr>
        <w:pStyle w:val="Para 03"/>
      </w:pPr>
      <w:r>
        <w:t>Vào tháng 1 năm 2024, chúng tôi hồi quy tỷ lệ giá trên giá trị sổ sách dựa trên các yếu tố cơ bản đã được xác định trong phần trước—tỷ suất sinh lời trên vốn chủ sở hữu, tỷ lệ chi trả cổ tức, beta và tốc độ tăng trưởng kỳ vọng trong năm năm tới (từ dự báo của các nhà phân tích) đối với các cổ phiếu được phân chia theo khu vực địa lý. Bảng 19.6 chứa các kết quả:</w:t>
      </w:r>
    </w:p>
    <w:p>
      <w:pPr>
        <w:pStyle w:val="Para 34"/>
        <w:keepLines w:val="on"/>
      </w:pPr>
      <w:r>
        <w:t>Bảng 19.6</w:t>
      </w:r>
    </w:p>
    <w:p>
      <w:pPr>
        <w:keepNext/>
        <w:pStyle w:val="Para 35"/>
        <w:keepLines w:val="on"/>
      </w:pPr>
      <w:r>
        <w:t>Các hồi quy thị trường PBV—Đầu năm 2024</w:t>
      </w:r>
    </w:p>
    <w:tbl>
      <w:tblPr>
        <w:tblW w:type="auto" w:w="0"/>
      </w:tblPr>
      <w:tr>
        <w:tc>
          <w:tcPr>
            <w:tcW w:type="auto" w:w="0"/>
          </w:tcPr>
          <w:tbl>
            <w:tblPr>
              <w:tblW w:type="pct" w:w="5000"/>
            </w:tblPr>
            <w:tr>
              <w:tc>
                <w:tcPr>
                  <w:tcW w:type="auto" w:w="0"/>
                  <w:shd w:val="clear" w:color="auto" w:fill="F0F0F0"/>
                </w:tcPr>
                <w:p>
                  <w:pPr>
                    <w:pStyle w:val="Para 29"/>
                    <w:keepLines w:val="on"/>
                  </w:pPr>
                  <w:r>
                    <w:t>Khu vực</w:t>
                  </w:r>
                </w:p>
              </w:tc>
              <w:tc>
                <w:tcPr>
                  <w:tcW w:type="auto" w:w="0"/>
                  <w:shd w:val="clear" w:color="auto" w:fill="F0F0F0"/>
                </w:tcPr>
                <w:p>
                  <w:pPr>
                    <w:pStyle w:val="Para 17"/>
                    <w:keepLines w:val="on"/>
                  </w:pPr>
                  <w:r>
                    <w:t>Hồi quy</w:t>
                  </w:r>
                </w:p>
              </w:tc>
              <w:tc>
                <w:tcPr>
                  <w:tcW w:type="auto" w:w="0"/>
                  <w:shd w:val="clear" w:color="auto" w:fill="F0F0F0"/>
                </w:tcPr>
                <w:p>
                  <w:pPr>
                    <w:pStyle w:val="Para 17"/>
                    <w:keepLines w:val="on"/>
                  </w:pPr>
                  <w:r>
                    <w:t>R-squared</w:t>
                  </w:r>
                </w:p>
              </w:tc>
            </w:tr>
            <w:tr>
              <w:tc>
                <w:tcPr>
                  <w:tcW w:type="auto" w:w="0"/>
                  <w:shd w:val="clear" w:color="auto" w:fill="F0F0F0"/>
                </w:tcPr>
                <w:p>
                  <w:pPr>
                    <w:pStyle w:val="Para 02"/>
                    <w:keepLines w:val="on"/>
                  </w:pPr>
                  <w:r>
                    <w:t>Hoa Kỳ</w:t>
                  </w:r>
                </w:p>
              </w:tc>
              <w:tc>
                <w:tcPr>
                  <w:tcW w:type="auto" w:w="0"/>
                  <w:shd w:val="clear" w:color="auto" w:fill="F0F0F0"/>
                </w:tcPr>
                <w:p>
                  <w:pPr>
                    <w:pStyle w:val="Para 02"/>
                    <w:keepLines w:val="on"/>
                  </w:pPr>
                  <w:r>
                    <w:t>PBV = 2,10 + 6,07 gEPS + 0,69 Beta + 5,09 ROE − 0,33 Payout</w:t>
                  </w:r>
                </w:p>
              </w:tc>
              <w:tc>
                <w:tcPr>
                  <w:tcW w:type="auto" w:w="0"/>
                  <w:shd w:val="clear" w:color="auto" w:fill="F0F0F0"/>
                </w:tcPr>
                <w:p>
                  <w:pPr>
                    <w:pStyle w:val="Normal"/>
                    <w:keepLines w:val="on"/>
                  </w:pPr>
                  <w:r>
                    <w:t>21,9%</w:t>
                  </w:r>
                </w:p>
              </w:tc>
            </w:tr>
            <w:tr>
              <w:tc>
                <w:tcPr>
                  <w:tcW w:type="auto" w:w="0"/>
                  <w:shd w:val="clear" w:color="auto" w:fill="F0F0F0"/>
                </w:tcPr>
                <w:p>
                  <w:pPr>
                    <w:pStyle w:val="Para 02"/>
                    <w:keepLines w:val="on"/>
                  </w:pPr>
                  <w:r>
                    <w:t>Châu Âu</w:t>
                  </w:r>
                </w:p>
              </w:tc>
              <w:tc>
                <w:tcPr>
                  <w:tcW w:type="auto" w:w="0"/>
                  <w:shd w:val="clear" w:color="auto" w:fill="F0F0F0"/>
                </w:tcPr>
                <w:p>
                  <w:pPr>
                    <w:pStyle w:val="Para 02"/>
                    <w:keepLines w:val="on"/>
                  </w:pPr>
                  <w:r>
                    <w:t>PBV = 1,20 + 3,25 gEPS + 0,06 Beta + 5,78 ROE + 1,36 Payout</w:t>
                  </w:r>
                </w:p>
              </w:tc>
              <w:tc>
                <w:tcPr>
                  <w:tcW w:type="auto" w:w="0"/>
                  <w:shd w:val="clear" w:color="auto" w:fill="F0F0F0"/>
                </w:tcPr>
                <w:p>
                  <w:pPr>
                    <w:pStyle w:val="Normal"/>
                    <w:keepLines w:val="on"/>
                  </w:pPr>
                  <w:r>
                    <w:t>17,1%</w:t>
                  </w:r>
                </w:p>
              </w:tc>
            </w:tr>
            <w:tr>
              <w:tc>
                <w:tcPr>
                  <w:tcW w:type="auto" w:w="0"/>
                  <w:shd w:val="clear" w:color="auto" w:fill="F0F0F0"/>
                </w:tcPr>
                <w:p>
                  <w:pPr>
                    <w:pStyle w:val="Para 02"/>
                    <w:keepLines w:val="on"/>
                  </w:pPr>
                  <w:r>
                    <w:t>Nhật Bản</w:t>
                  </w:r>
                </w:p>
              </w:tc>
              <w:tc>
                <w:tcPr>
                  <w:tcW w:type="auto" w:w="0"/>
                  <w:shd w:val="clear" w:color="auto" w:fill="F0F0F0"/>
                </w:tcPr>
                <w:p>
                  <w:pPr>
                    <w:pStyle w:val="Para 02"/>
                    <w:keepLines w:val="on"/>
                  </w:pPr>
                  <w:r>
                    <w:t>PBV = 0,05 + 0,48 gEPS + 0,78 Beta + 10,30 ROE + 0,10 Payout</w:t>
                  </w:r>
                </w:p>
              </w:tc>
              <w:tc>
                <w:tcPr>
                  <w:tcW w:type="auto" w:w="0"/>
                  <w:shd w:val="clear" w:color="auto" w:fill="F0F0F0"/>
                </w:tcPr>
                <w:p>
                  <w:pPr>
                    <w:pStyle w:val="Normal"/>
                    <w:keepLines w:val="on"/>
                  </w:pPr>
                  <w:r>
                    <w:t>34,9%</w:t>
                  </w:r>
                </w:p>
              </w:tc>
            </w:tr>
            <w:tr>
              <w:tc>
                <w:tcPr>
                  <w:tcW w:type="auto" w:w="0"/>
                  <w:shd w:val="clear" w:color="auto" w:fill="F0F0F0"/>
                </w:tcPr>
                <w:p>
                  <w:pPr>
                    <w:pStyle w:val="Para 02"/>
                    <w:keepLines w:val="on"/>
                  </w:pPr>
                  <w:r>
                    <w:t>Úc, NZ và Canada</w:t>
                  </w:r>
                </w:p>
              </w:tc>
              <w:tc>
                <w:tcPr>
                  <w:tcW w:type="auto" w:w="0"/>
                  <w:shd w:val="clear" w:color="auto" w:fill="F0F0F0"/>
                </w:tcPr>
                <w:p>
                  <w:pPr>
                    <w:pStyle w:val="Para 02"/>
                    <w:keepLines w:val="on"/>
                  </w:pPr>
                  <w:r>
                    <w:t>PBV = 3,07 + 1,60 gEPS − 1,49 Beta + 9,50 ROE + 1,80 Payout</w:t>
                  </w:r>
                </w:p>
              </w:tc>
              <w:tc>
                <w:tcPr>
                  <w:tcW w:type="auto" w:w="0"/>
                  <w:shd w:val="clear" w:color="auto" w:fill="F0F0F0"/>
                </w:tcPr>
                <w:p>
                  <w:pPr>
                    <w:pStyle w:val="Normal"/>
                    <w:keepLines w:val="on"/>
                  </w:pPr>
                  <w:r>
                    <w:t>32,9%</w:t>
                  </w:r>
                </w:p>
              </w:tc>
            </w:tr>
            <w:tr>
              <w:tc>
                <w:tcPr>
                  <w:tcW w:type="auto" w:w="0"/>
                  <w:shd w:val="clear" w:color="auto" w:fill="F0F0F0"/>
                </w:tcPr>
                <w:p>
                  <w:pPr>
                    <w:pStyle w:val="Para 02"/>
                    <w:keepLines w:val="on"/>
                  </w:pPr>
                  <w:r>
                    <w:t>Các thị trường mới nổi</w:t>
                  </w:r>
                </w:p>
              </w:tc>
              <w:tc>
                <w:tcPr>
                  <w:tcW w:type="auto" w:w="0"/>
                  <w:shd w:val="clear" w:color="auto" w:fill="F0F0F0"/>
                </w:tcPr>
                <w:p>
                  <w:pPr>
                    <w:pStyle w:val="Para 02"/>
                    <w:keepLines w:val="on"/>
                  </w:pPr>
                  <w:r>
                    <w:t>PBV = 0,99 + 1,80 gEPS − 0,13 Beta + 5,52 ROE − 0,09 Payout</w:t>
                  </w:r>
                </w:p>
              </w:tc>
              <w:tc>
                <w:tcPr>
                  <w:tcW w:type="auto" w:w="0"/>
                  <w:shd w:val="clear" w:color="auto" w:fill="F0F0F0"/>
                </w:tcPr>
                <w:p>
                  <w:pPr>
                    <w:pStyle w:val="Normal"/>
                    <w:keepLines w:val="on"/>
                  </w:pPr>
                  <w:r>
                    <w:t>36,9%</w:t>
                  </w:r>
                </w:p>
              </w:tc>
            </w:tr>
            <w:tr>
              <w:tc>
                <w:tcPr>
                  <w:tcW w:type="auto" w:w="0"/>
                  <w:shd w:val="clear" w:color="auto" w:fill="F0F0F0"/>
                </w:tcPr>
                <w:p>
                  <w:pPr>
                    <w:pStyle w:val="Para 02"/>
                    <w:keepLines w:val="on"/>
                  </w:pPr>
                  <w:r>
                    <w:t>Toàn cầu</w:t>
                  </w:r>
                </w:p>
              </w:tc>
              <w:tc>
                <w:tcPr>
                  <w:tcW w:type="auto" w:w="0"/>
                  <w:shd w:val="clear" w:color="auto" w:fill="F0F0F0"/>
                </w:tcPr>
                <w:p>
                  <w:pPr>
                    <w:pStyle w:val="Para 02"/>
                    <w:keepLines w:val="on"/>
                  </w:pPr>
                  <w:r>
                    <w:t>PBV = 2,29 + 3,12 gEPS − 0,16 Beta + 6,61 ROE − 0,29 Payout</w:t>
                  </w:r>
                </w:p>
              </w:tc>
              <w:tc>
                <w:tcPr>
                  <w:tcW w:type="auto" w:w="0"/>
                  <w:shd w:val="clear" w:color="auto" w:fill="F0F0F0"/>
                </w:tcPr>
                <w:p>
                  <w:pPr>
                    <w:pStyle w:val="Normal"/>
                    <w:keepLines w:val="on"/>
                  </w:pPr>
                  <w:r>
                    <w:t>19,8%</w:t>
                  </w:r>
                </w:p>
              </w:tc>
            </w:tr>
          </w:tbl>
          <w:p/>
        </w:tc>
      </w:tr>
    </w:tbl>
    <w:p>
      <w:pPr>
        <w:pStyle w:val="Para 03"/>
      </w:pPr>
      <w:r>
        <w:t>Mối quan hệ thuận mạnh mẽ giữa tỷ lệ giá trên giá trị sổ sách (price-to-book ratio) và lợi nhuận trên vốn chủ sở hữu (return on equity) không chỉ riêng có ở Hoa Kỳ. Thực tế, như bạn thấy trong bảng, lợi nhuận trên vốn chủ sở hữu vẫn là biến giải thích quan trọng nhất cho tỷ lệ giá trên giá trị sổ sách trên toàn thế giới, dù với các hệ số khác nhau.</w:t>
      </w:r>
    </w:p>
    <w:p>
      <w:pPr>
        <w:pStyle w:val="Para 11"/>
      </w:pPr>
      <w:r>
        <w:t xml:space="preserve"> </w:t>
      </w:r>
    </w:p>
    <w:p>
      <w:bookmarkStart w:id="3926" w:name="ILLUSTRATION_19_7__Valuing_Nike_1"/>
      <w:bookmarkStart w:id="3927" w:name="ILLUSTRATION_19_7__Valuing_Nike"/>
      <w:pPr>
        <w:keepNext/>
        <w:pStyle w:val="Para 19"/>
        <w:keepLines w:val="on"/>
      </w:pPr>
      <w:r>
        <w:t>MINH HỌA 19.7: Định giá Nike bằng các hồi quy cắt ngang</w:t>
      </w:r>
      <w:bookmarkEnd w:id="3926"/>
      <w:bookmarkEnd w:id="3927"/>
    </w:p>
    <w:p>
      <w:pPr>
        <w:pStyle w:val="Para 04"/>
        <w:keepLines w:val="on"/>
      </w:pPr>
      <w:r>
        <w:t>Giả sử bạn được yêu cầu định giá Nike vào đầu tháng 1 năm 2024, và bạn đã thu thập được những dữ liệu sau về công ty:</w:t>
      </w:r>
    </w:p>
    <w:p>
      <w:bookmarkStart w:id="3929" w:name="Book_value_of_equity__14_004_mil"/>
      <w:pPr>
        <w:pStyle w:val="Para 52"/>
        <w:keepLines w:val="on"/>
      </w:pPr>
      <w:r>
        <w:t>Giá trị sổ sách của vốn chủ sở hữu = 14.004 triệu đô laPayout = 41,76 %Tốc độ tăng trưởng lợi nhuận = 12,37 %Lợi nhuận trên vốn chủ sở hữu = 36,38%Beta = 1,06</w:t>
      </w:r>
      <w:bookmarkEnd w:id="3929"/>
    </w:p>
    <w:p>
      <w:pPr>
        <w:pStyle w:val="Para 04"/>
        <w:keepLines w:val="on"/>
      </w:pPr>
      <w:r>
        <w:t>Thay vào hồi quy thị trường Hoa Kỳ, ta được:</w:t>
      </w:r>
    </w:p>
    <w:p>
      <w:bookmarkStart w:id="3930" w:name="Predictedprice_bookvalueratio_2"/>
      <w:pPr>
        <w:keepNext/>
        <w:pStyle w:val="Para 07"/>
        <w:keepLines w:val="on"/>
      </w:pPr>
      <w:r>
        <w:t>Tỷ lệ giá trên giá trị sổ sách dự đoán = 2,10 + 6,07(.1237) + 0,69(1,06) + 5,09(.3638) − 0,33(.4176) = 5,30</w:t>
      </w:r>
      <w:bookmarkEnd w:id="3930"/>
    </w:p>
    <w:p>
      <w:pPr>
        <w:pStyle w:val="Para 04"/>
        <w:keepLines w:val="on"/>
      </w:pPr>
      <w:r>
        <w:t>Với hồi quy toàn cầu, ta được:</w:t>
      </w:r>
    </w:p>
    <w:p>
      <w:bookmarkStart w:id="3932" w:name="Predictedprice_bookvalueratio_2_1"/>
      <w:pPr>
        <w:keepNext/>
        <w:pStyle w:val="Para 07"/>
        <w:keepLines w:val="on"/>
      </w:pPr>
      <w:r>
        <w:t>Tỷ lệ giá trên giá trị sổ sách dự đoán = 2,29 + 3,12(.1237) − 0,16(1,06) + 6,61(.3638) − 0,29(.4176) = 4,79</w:t>
      </w:r>
      <w:bookmarkEnd w:id="3932"/>
    </w:p>
    <w:p>
      <w:pPr>
        <w:pStyle w:val="Para 04"/>
        <w:keepLines w:val="on"/>
      </w:pPr>
      <w:r>
        <w:t>Cổ phiếu đang được giao dịch ở tỷ lệ giá trên giá trị sổ sách là 11,10, cho thấy nó đang bị định giá quá cao, xét theo các yếu tố cơ bản của nó, trên cả thị trường Hoa Kỳ lẫn toàn cầu.</w:t>
      </w:r>
    </w:p>
    <w:p>
      <w:pPr>
        <w:pStyle w:val="Para 11"/>
      </w:pPr>
      <w:r>
        <w:t xml:space="preserve"> </w:t>
      </w:r>
    </w:p>
    <w:p>
      <w:bookmarkStart w:id="3933" w:name="MReg_xls__This_dataset_on_the_we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86"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3933"/>
    </w:p>
    <w:p>
      <w:pPr>
        <w:pStyle w:val="Para 31"/>
        <w:keepLines w:val="on"/>
      </w:pPr>
      <w:r>
        <w:t>MReg.xls: Bộ dữ liệu này trên web báo cáo kết quả của hồi quy mới nhất về tỷ lệ PBV dựa trên các yếu tố cơ bản, sử dụng tất cả các công ty trên thị trường.</w:t>
      </w:r>
    </w:p>
    <w:p>
      <w:pPr>
        <w:pStyle w:val="Para 11"/>
      </w:pPr>
      <w:r>
        <w:t xml:space="preserve"> </w:t>
      </w:r>
    </w:p>
    <w:p>
      <w:bookmarkStart w:id="3934" w:name="Current_versus_Expected_Returns"/>
      <w:bookmarkStart w:id="3935" w:name="Current_versus_Expected_Returns_1"/>
      <w:pPr>
        <w:keepNext/>
        <w:pStyle w:val="Para 27"/>
        <w:keepLines w:val="on"/>
      </w:pPr>
      <w:r>
        <w:t>Lợi nhuận trên vốn chủ sở hữu hiện tại so với kỳ vọng</w:t>
      </w:r>
      <w:bookmarkEnd w:id="3934"/>
      <w:bookmarkEnd w:id="3935"/>
    </w:p>
    <w:p>
      <w:pPr>
        <w:pStyle w:val="Para 16"/>
        <w:keepLines w:val="on"/>
      </w:pPr>
      <w:r>
        <w:t>Trong tất cả các so sánh mà chúng ta đã thực hiện trong phần này, chúng ta đã dùng lợi nhuận trên vốn chủ sở hữu hiện tại của một công ty để đưa ra phán đoán về định giá. Dù việc tập trung vào con số hiện tại này rất tiện lợi, giá trị thị trường của vốn chủ sở hữu lại được quyết định bởi kỳ vọng về lợi nhuận trên vốn chủ sở hữu trong tương lai.</w:t>
      </w:r>
    </w:p>
    <w:p>
      <w:pPr>
        <w:pStyle w:val="Para 16"/>
        <w:keepLines w:val="on"/>
      </w:pPr>
      <w:r>
        <w:t>Trong chừng mực có mối tương quan thuận mạnh mẽ giữa ROE hiện tại và ROE tương lai, việc dùng lợi nhuận trên vốn chủ sở hữu hiện tại để nhận diện các công ty bị định giá thấp hoặc quá cao là hợp lý. Tuy nhiên, tập trung vào ROE hiện tại có thể nguy hiểm khi môi trường cạnh tranh đang thay đổi, vì nó có thể dẫn đến những sai sót đáng kể trong định giá. Trong những trường hợp như vậy, bạn nên dùng lợi nhuận trên vốn chủ sở hữu dự báo, vốn có thể rất khác với lợi nhuận trên vốn chủ sở hữu hiện tại. Có hai cách để có được dự báo này:</w:t>
      </w:r>
    </w:p>
    <w:p>
      <w:pPr>
        <w:numPr>
          <w:ilvl w:val="0"/>
          <w:numId w:val="184"/>
        </w:numPr>
        <w:pStyle w:val="Para 33"/>
        <w:keepLines w:val="on"/>
      </w:pPr>
      <w:r>
        <w:t>Tính mức trung bình lịch sử (trong ba hoặc năm năm qua) của lợi nhuận trên vốn chủ sở hữu mà công ty đạt được và thay giá trị này vào chỗ lợi nhuận trên vốn chủ sở hữu hiện tại khi con số sau biến động thất thường.</w:t>
      </w:r>
    </w:p>
    <w:p>
      <w:pPr>
        <w:numPr>
          <w:ilvl w:val="0"/>
          <w:numId w:val="184"/>
        </w:numPr>
        <w:pStyle w:val="Para 33"/>
        <w:keepLines w:val="on"/>
      </w:pPr>
      <w:r>
        <w:t>Kéo lợi nhuận trên vốn chủ sở hữu hiện tại của công ty về phía mức trung bình của ngành để phản ánh áp lực cạnh tranh. Ví dụ, giả sử bạn đang phân tích một công ty phần mềm máy tính có lợi nhuận trên vốn chủ sở hữu hiện tại là 35 phần trăm và mức trung bình của ngành là 20 phần trăm. Lợi nhuận trên vốn chủ sở hữu dự báo cho công ty này sẽ là mức trung bình có trọng số của 20 phần trăm và 35 phần trăm, với trọng số dành cho mức trung bình ngành tăng lên theo tốc độ mà bạn kỳ vọng lợi nhuận của công ty sẽ hội tụ về chuẩn mực của ngành.</w:t>
      </w:r>
    </w:p>
    <w:p>
      <w:bookmarkStart w:id="3936" w:name="Comparing_a_Firm_s_Price_to_Book"/>
      <w:bookmarkStart w:id="3937" w:name="Comparing_a_Firm_s_Price_to_Book_1"/>
      <w:pPr>
        <w:keepNext/>
        <w:pStyle w:val="Heading 4"/>
        <w:keepLines w:val="on"/>
      </w:pPr>
      <w:r>
        <w:t>So sánh tỷ lệ giá trên giá trị sổ sách của một công ty qua thời gian</w:t>
      </w:r>
      <w:bookmarkEnd w:id="3936"/>
      <w:bookmarkEnd w:id="3937"/>
    </w:p>
    <w:p>
      <w:pPr>
        <w:pStyle w:val="Para 03"/>
      </w:pPr>
      <w:r>
        <w:t>Khi lợi nhuận trên vốn chủ sở hữu của một công ty thay đổi theo thời gian, bạn sẽ kỳ vọng tỷ lệ giá trên giá trị sổ sách của nó cũng thay đổi. Cụ thể, những công ty gia tăng lợi nhuận trên vốn chủ sở hữu nên gia tăng tỷ lệ giá trên giá trị sổ sách, và những công ty có lợi nhuận trên vốn chủ sở hữu suy giảm cũng nên chứng kiến tỷ lệ giá trên giá trị sổ sách giảm xuống. Một cách khác để nghĩ về điều này là qua ma trận được trình bày trong Hình 19.5, nơi chúng ta lập luận rằng những công ty có lợi nhuận trên vốn chủ sở hữu thấp (hoặc cao) nên có tỷ lệ giá trên giá trị sổ sách thấp (hoặc cao). Do đó, một cách để đo lường tác động của việc tái cấu trúc một công ty hoạt động kém hiệu quả (với lợi nhuận trên vốn chủ sở hữu thấp và tỷ lệ giá trên giá trị sổ sách thấp) là xem nó di chuyển đến đâu trên ma trận. Nếu nó thành công trong nỗ lực của mình, nó nên di chuyển từ góc phần tư PBV thấp/ROE thấp về phía góc phần tư PBV cao/ROE cao. (Xem Hình 19.7.)</w:t>
      </w:r>
    </w:p>
    <w:p>
      <w:bookmarkStart w:id="3940" w:name="Figure_19_7_Changes_in_ROE_and_C"/>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30400" cy="1943100"/>
            <wp:effectExtent l="0" r="0" t="0" b="0"/>
            <wp:wrapTopAndBottom/>
            <wp:docPr id="187" name="c19f007.png" descr="A 2 by 2 matrix depicts the increasing and decreasing R O E of price to book with that of equity return spread."/>
            <wp:cNvGraphicFramePr>
              <a:graphicFrameLocks noChangeAspect="1"/>
            </wp:cNvGraphicFramePr>
            <a:graphic>
              <a:graphicData uri="http://schemas.openxmlformats.org/drawingml/2006/picture">
                <pic:pic>
                  <pic:nvPicPr>
                    <pic:cNvPr id="0" name="c19f007.png" descr="A 2 by 2 matrix depicts the increasing and decreasing R O E of price to book with that of equity return spread."/>
                    <pic:cNvPicPr/>
                  </pic:nvPicPr>
                  <pic:blipFill>
                    <a:blip r:embed="rId131"/>
                    <a:stretch>
                      <a:fillRect/>
                    </a:stretch>
                  </pic:blipFill>
                  <pic:spPr>
                    <a:xfrm>
                      <a:off x="0" y="0"/>
                      <a:ext cx="1930400" cy="1943100"/>
                    </a:xfrm>
                    <a:prstGeom prst="rect">
                      <a:avLst/>
                    </a:prstGeom>
                  </pic:spPr>
                </pic:pic>
              </a:graphicData>
            </a:graphic>
          </wp:anchor>
        </w:drawing>
      </w:r>
      <w:bookmarkEnd w:id="3940"/>
    </w:p>
    <w:p>
      <w:pPr>
        <w:keepNext/>
        <w:pStyle w:val="Para 22"/>
        <w:keepLines w:val="on"/>
      </w:pPr>
      <w:r>
        <w:t>Hình 19.7 Những thay đổi trong ROE và những thay đổi trong tỷ lệ PBV</w:t>
      </w:r>
    </w:p>
    <w:p>
      <w:pPr>
        <w:pStyle w:val="Para 11"/>
      </w:pPr>
      <w:r>
        <w:t xml:space="preserve"> </w:t>
      </w:r>
    </w:p>
    <w:p>
      <w:bookmarkStart w:id="3941" w:name="ILLUSTRATION_19_8__ROE_and_PBV_R"/>
      <w:bookmarkStart w:id="3942" w:name="ILLUSTRATION_19_8__ROE_and_PBV_R_1"/>
      <w:pPr>
        <w:keepNext/>
        <w:pStyle w:val="Para 19"/>
        <w:keepLines w:val="on"/>
      </w:pPr>
      <w:r>
        <w:t>MINH HỌA 19.8: Tỷ lệ ROE và PBV: Trường hợp của IBM</w:t>
      </w:r>
      <w:bookmarkEnd w:id="3941"/>
      <w:bookmarkEnd w:id="3942"/>
    </w:p>
    <w:p>
      <w:pPr>
        <w:pStyle w:val="Para 04"/>
        <w:keepLines w:val="on"/>
      </w:pPr>
      <w:r>
        <w:t>IBM là một ví dụ kinh điển về tác động của lợi nhuận trên vốn chủ sở hữu lên tỷ lệ giá trên giá trị sổ sách. Năm 1983, IBM được giao dịch ở mức ba lần giá trị sổ sách, một trong những bội số giá trên giá trị sổ sách cao nhất trong số các cổ phiếu Dow 30 vào thời điểm đó. Đến năm 1992, cổ phiếu được giao dịch ở khoảng giá trị sổ sách, thấp hơn đáng kể so với tỷ lệ trung bình của các cổ phiếu Dow 30. Sự sụt giảm này trong tỷ lệ giá trên giá trị sổ sách được gây ra bởi sự sụt giảm lợi nhuận trên vốn chủ sở hữu tại IBM, từ 25% năm 1983 xuống các giá trị âm vào năm 1992 và 1993. Trong những năm sau khi Lou Gerstner trở thành CEO, công ty đã phục hồi mạnh mẽ và được giao dịch ở mức chín lần giá trị sổ sách vào năm 1999. Ngay cả sau vụ sụp đổ dot-com, IBM vẫn duy trì được thành tích mạnh mẽ với ROE cao và tỷ lệ giá trên giá trị sổ sách cao từ năm 2001 đến năm 2010. Hình 19.8 minh họa cả PBV lẫn ROE của IBM từ năm 1983 đến năm 2010.</w:t>
      </w:r>
    </w:p>
    <w:p>
      <w:bookmarkStart w:id="3945" w:name="Figure_19_8_IBM__The_Fall_and_Ri"/>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511300"/>
            <wp:effectExtent l="0" r="0" t="0" b="0"/>
            <wp:wrapTopAndBottom/>
            <wp:docPr id="188" name="c19f008.png" descr="Line and bar graph plots the increase and decease of P B V and R O E for I B M from 1983 to 2010."/>
            <wp:cNvGraphicFramePr>
              <a:graphicFrameLocks noChangeAspect="1"/>
            </wp:cNvGraphicFramePr>
            <a:graphic>
              <a:graphicData uri="http://schemas.openxmlformats.org/drawingml/2006/picture">
                <pic:pic>
                  <pic:nvPicPr>
                    <pic:cNvPr id="0" name="c19f008.png" descr="Line and bar graph plots the increase and decease of P B V and R O E for I B M from 1983 to 2010."/>
                    <pic:cNvPicPr/>
                  </pic:nvPicPr>
                  <pic:blipFill>
                    <a:blip r:embed="rId132"/>
                    <a:stretch>
                      <a:fillRect/>
                    </a:stretch>
                  </pic:blipFill>
                  <pic:spPr>
                    <a:xfrm>
                      <a:off x="0" y="0"/>
                      <a:ext cx="2438400" cy="1511300"/>
                    </a:xfrm>
                    <a:prstGeom prst="rect">
                      <a:avLst/>
                    </a:prstGeom>
                  </pic:spPr>
                </pic:pic>
              </a:graphicData>
            </a:graphic>
          </wp:anchor>
        </w:drawing>
      </w:r>
      <w:bookmarkEnd w:id="3945"/>
    </w:p>
    <w:p>
      <w:pPr>
        <w:keepNext/>
        <w:pStyle w:val="Para 38"/>
        <w:keepLines w:val="on"/>
      </w:pPr>
      <w:r>
        <w:t>Hình 19.8 IBM: Sụp đổ và trỗi dậy trở lại</w:t>
      </w:r>
    </w:p>
    <w:p>
      <w:pPr>
        <w:pStyle w:val="Para 04"/>
        <w:keepLines w:val="on"/>
      </w:pPr>
      <w:r>
        <w:t>Một nhà đầu tư mua IBM ở điểm thấp nhất sẽ có được một cổ phiếu với tỷ lệ giá trên giá trị sổ sách thấp và lợi nhuận trên vốn chủ sở hữu thấp, nhưng cược này sẽ sinh lời. Khi lợi nhuận trên vốn chủ sở hữu được cải thiện, IBM đã di chuyển từ góc phần tư dưới bên trái lên góc phần tư trên bên phải trong ma trận. Khi tỷ lệ giá trên giá trị sổ sách của nó được cải thiện, nhà đầu tư sẽ thấy giá tăng đáng kể và có lợi nhuận.</w:t>
      </w:r>
    </w:p>
    <w:p>
      <w:pPr>
        <w:pStyle w:val="Para 40"/>
        <w:keepLines w:val="on"/>
      </w:pPr>
      <w:r>
        <w:rPr>
          <w:rStyle w:val="Text26"/>
        </w:rPr>
        <w:bookmarkStart w:id="3946" w:name="Page_601"/>
        <w:t/>
        <w:bookmarkEnd w:id="3946"/>
      </w:r>
      <w:r>
        <w:t xml:space="preserve"> </w:t>
      </w:r>
    </w:p>
    <w:p>
      <w:bookmarkStart w:id="3947" w:name="Tangible_and_Non_Cash_Price_to_B"/>
      <w:pPr>
        <w:pStyle w:val="Para 83"/>
        <w:keepLines w:val="on"/>
      </w:pPr>
      <w:r>
        <w:t>Tỷ lệ giá trên giá trị sổ sách hữu hình và phi tiền mặt</w:t>
      </w:r>
      <w:bookmarkEnd w:id="3947"/>
    </w:p>
    <w:p>
      <w:pPr>
        <w:pStyle w:val="Para 04"/>
        <w:keepLines w:val="on"/>
      </w:pPr>
      <w:r>
        <w:t>Trong một số giới đầu tư giá trị, chỉ số mà giá trị thị trường của vốn chủ sở hữu nên được so sánh không phải là giá trị sổ sách của vốn chủ sở hữu, mà chỉ là giá trị sổ sách hữu hình của vốn chủ sở hữu. Sự thận trọng này có cơ sở, bắt nguồn từ sự hiện diện của lợi thế thương mại (goodwill) như một tài sản trên bảng cân đối kế toán — một khoản mà chúng ta đã lập luận trước đó trong cuốn sách này rằng nó mang tính giá trị gắn thêm (phản ánh chênh lệch giữa giá trả để mua lại một công ty và giá trị sổ sách vốn chủ sở hữu của nó). Vì vậy, phiên bản đơn giản nhất của tỷ lệ giá trên giá trị sổ sách hữu hình chỉ đơn thuần loại bỏ lợi thế thương mại khỏi vốn đầu tư:</w:t>
      </w:r>
    </w:p>
    <w:p>
      <w:bookmarkStart w:id="3949" w:name="Price_to_tangible_book_Market_ca"/>
      <w:pPr>
        <w:keepNext/>
        <w:pStyle w:val="Para 07"/>
        <w:keepLines w:val="on"/>
      </w:pPr>
      <w:r>
        <w:t>Giá trên giá trị sổ sách hữu hình = Vốn hóa thị trường / (Giá trị sổ sách vốn chủ sở hữu − Lợi thế thương mại)</w:t>
      </w:r>
      <w:bookmarkEnd w:id="3949"/>
    </w:p>
    <w:p>
      <w:pPr>
        <w:pStyle w:val="Para 04"/>
        <w:keepLines w:val="on"/>
      </w:pPr>
      <w:r>
        <w:t>Sự điều chỉnh đó thay đổi rất ít trong đánh giá của chúng ta về tỷ lệ giá trên giá trị sổ sách vốn chủ sở hữu, và mọi điều chúng ta đã nói trong bối cảnh tỷ lệ giá trên giá trị sổ sách cũng áp dụng cho tỷ lệ giá trên giá trị sổ sách hữu hình, với lưu ý rằng lợi nhuận trên vốn chủ sở hữu — yếu tố then chốt dẫn dắt tỷ lệ giá trên giá trị sổ sách — cần được tính lại chỉ trên vốn chủ sở hữu hữu hình:</w:t>
      </w:r>
    </w:p>
    <w:p>
      <w:bookmarkStart w:id="3950" w:name="Return_on_tangible_equity_Net_In"/>
      <w:pPr>
        <w:keepNext/>
        <w:pStyle w:val="Para 07"/>
        <w:keepLines w:val="on"/>
      </w:pPr>
      <w:r>
        <w:t>Lợi nhuận trên vốn chủ sở hữu hữu hình = Thu nhập ròng / (Giá trị sổ sách vốn chủ sở hữu − Lợi thế thương mại)</w:t>
      </w:r>
      <w:bookmarkEnd w:id="3950"/>
    </w:p>
    <w:p>
      <w:pPr>
        <w:pStyle w:val="Para 04"/>
        <w:keepLines w:val="on"/>
      </w:pPr>
      <w:r>
        <w:t>Đối với những công ty tăng trưởng chủ yếu qua mua lại, việc điều chỉnh giá trị sổ sách vốn chủ sở hữu cho lợi thế thương mại sẽ làm tăng lợi nhuận trên vốn chủ sở hữu và nâng cao tỷ lệ giá trên giá trị sổ sách, nhưng đây là một điều chỉnh không hoàn hảo. Suy cho cùng, lợi thế thương mại phản ánh nhiều động cơ mua lại bao gồm quyền kiểm soát và hiệu ứng cộng hưởng, nhưng nó cũng là nơi chứa đựng việc trả giá quá cao. Nếu bạn đang cố ước tính một công ty kiếm được gì trên vốn chủ sở hữu của mình, dưới dạng lợi nhuận trên vốn chủ sở hữu, bạn nên đưa khoản trả giá quá cao vào giá trị sổ sách vốn chủ sở hữu, và hạ thấp lợi nhuận trên vốn chủ sở hữu, vì việc liên tục trả giá quá cao khi mua lại sẽ khiến vốn chủ sở hữu của bạn kém giá trị hơn theo thời gian.</w:t>
      </w:r>
    </w:p>
    <w:p>
      <w:pPr>
        <w:pStyle w:val="Para 20"/>
      </w:pPr>
      <w:r>
        <w:rPr>
          <w:rStyle w:val="Text26"/>
        </w:rPr>
        <w:bookmarkStart w:id="3951" w:name="Page_602"/>
        <w:t/>
        <w:bookmarkEnd w:id="3951"/>
      </w:r>
      <w:r>
        <w:t xml:space="preserve"> </w:t>
      </w:r>
    </w:p>
    <w:p>
      <w:bookmarkStart w:id="3952" w:name="Use_in_Investment_Strategies"/>
      <w:bookmarkStart w:id="3953" w:name="Use_in_Investment_Strategies__In"/>
      <w:pPr>
        <w:keepNext/>
        <w:pStyle w:val="Heading 3"/>
        <w:keepLines w:val="on"/>
      </w:pPr>
      <w:r>
        <w:t>Sử dụng trong các chiến lược đầu tư</w:t>
      </w:r>
      <w:bookmarkEnd w:id="3952"/>
      <w:bookmarkEnd w:id="3953"/>
    </w:p>
    <w:p>
      <w:pPr>
        <w:pStyle w:val="Para 03"/>
      </w:pPr>
      <w:r>
        <w:t>Các nhà đầu tư đã sử dụng mối quan hệ giữa giá và giá trị sổ sách trong nhiều chiến lược đầu tư, từ đơn giản đến tinh vi. Một số dùng tỷ lệ giá trên giá trị sổ sách thấp như một bộ lọc để chọn cổ phiếu bị định giá thấp. Những người khác kết hợp tỷ lệ giá trên giá trị sổ sách với các yếu tố cơ bản khác để đưa ra cùng một phán đoán. Cuối cùng, sự bền bỉ đơn thuần của lợi nhuận cao hơn mà cổ phiếu có tỷ lệ giá trên giá trị sổ sách thấp mang lại được một số người xem như dấu hiệu cho thấy tỷ lệ giá trên giá trị sổ sách là một đại diện cho rủi ro vốn chủ sở hữu.</w:t>
      </w:r>
    </w:p>
    <w:p>
      <w:bookmarkStart w:id="3954" w:name="The_Link_to_Excess_Returns"/>
      <w:bookmarkStart w:id="3955" w:name="The_Link_to_Excess_Returns__Seve"/>
      <w:pPr>
        <w:keepNext/>
        <w:pStyle w:val="Heading 4"/>
        <w:keepLines w:val="on"/>
      </w:pPr>
      <w:r>
        <w:t>Mối liên hệ với lợi nhuận vượt trội</w:t>
      </w:r>
      <w:bookmarkEnd w:id="3954"/>
      <w:bookmarkEnd w:id="3955"/>
    </w:p>
    <w:p>
      <w:pPr>
        <w:pStyle w:val="Para 03"/>
      </w:pPr>
      <w:r>
        <w:t>Một số nghiên cứu đã thiết lập mối quan hệ giữa tỷ lệ giá trên giá trị sổ sách và lợi nhuận vượt trội. Rosenberg, Reid và Lanstein (1985) phát hiện rằng lợi nhuận trung bình của cổ phiếu Mỹ có tương quan thuận với tỷ lệ giá trị sổ sách trên giá trị thị trường của một công ty. Từ năm 1973 đến 1984, chiến lược chọn cổ phiếu có tỷ lệ giá trị sổ sách trên giá cao (giá trên giá trị sổ sách thấp) mang lại lợi nhuận vượt trội 36 điểm cơ bản mỗi tháng. Fama và French (1992), khi xem xét mặt cắt ngang của lợi nhuận cổ phiếu kỳ vọng từ năm 1963 đến 1990, đã xác lập rằng mối quan hệ thuận giữa tỷ lệ giá trị sổ sách trên giá và lợi nhuận trung bình vẫn tồn tại trong cả các kiểm định đơn biến lẫn đa biến, và thậm chí còn mạnh hơn hiệu ứng công ty nhỏ trong việc giải thích lợi nhuận. Khi họ phân loại các công ty dựa trên tỷ lệ giá trị sổ sách trên giá thành 12 danh mục, các công ty thuộc nhóm có tỷ lệ giá trị sổ sách trên giá thấp nhất (PBV cao nhất) kiếm được lợi nhuận trung bình hàng tháng là 0,30 phần trăm, trong khi các công ty thuộc nhóm có tỷ lệ giá trị sổ sách trên giá cao nhất (PBV thấp nhất) kiếm được lợi nhuận trung bình hàng tháng là 1,83 phần trăm trong giai đoạn 1963–1990.</w:t>
      </w:r>
    </w:p>
    <w:p>
      <w:pPr>
        <w:pStyle w:val="Para 03"/>
      </w:pPr>
      <w:r>
        <w:t>Chan, Hamao và Lakonishok (1991) phát hiện rằng tỷ lệ giá trị sổ sách trên giá thị trường có vai trò mạnh mẽ trong việc giải thích mặt cắt ngang của lợi nhuận trung bình trên cổ phiếu Nhật Bản. Capaul, Rowley và Sharpe (1993) mở rộng phân tích tỷ lệ giá trên giá trị sổ sách sang các thị trường quốc tế khác trong giai đoạn 1981 đến 1992, và kết luận rằng cổ phiếu giá trị (cổ phiếu có tỷ lệ giá trên giá trị sổ sách thấp) mang lại lợi nhuận vượt trội ở mọi thị trường mà họ phân tích. Ước tính hàng năm của họ về chênh lệch lợi nhuận mà cổ phiếu có tỷ lệ giá trên giá trị sổ sách thấp kiếm được so với chỉ số thị trường được tóm tắt trong Bảng 19.7:</w:t>
      </w:r>
    </w:p>
    <w:p>
      <w:pPr>
        <w:pStyle w:val="Para 34"/>
        <w:keepLines w:val="on"/>
      </w:pPr>
      <w:r>
        <w:t>Bảng 19.7</w:t>
      </w:r>
    </w:p>
    <w:p>
      <w:pPr>
        <w:keepNext/>
        <w:pStyle w:val="Para 35"/>
        <w:keepLines w:val="on"/>
      </w:pPr>
      <w:r>
        <w:t>Lợi nhuận vượt trội theo PBV của từng quốc gia</w:t>
      </w:r>
    </w:p>
    <w:tbl>
      <w:tblPr>
        <w:tblW w:type="auto" w:w="0"/>
      </w:tblPr>
      <w:tr>
        <w:tc>
          <w:tcPr>
            <w:tcW w:type="auto" w:w="0"/>
          </w:tcPr>
          <w:tbl>
            <w:tblPr>
              <w:tblW w:type="pct" w:w="5000"/>
            </w:tblPr>
            <w:tr>
              <w:tc>
                <w:tcPr>
                  <w:tcW w:type="auto" w:w="0"/>
                  <w:shd w:val="clear" w:color="auto" w:fill="F0F0F0"/>
                </w:tcPr>
                <w:p>
                  <w:pPr>
                    <w:pStyle w:val="Para 29"/>
                    <w:keepLines w:val="on"/>
                  </w:pPr>
                  <w:r>
                    <w:t>Quốc gia</w:t>
                  </w:r>
                </w:p>
              </w:tc>
              <w:tc>
                <w:tcPr>
                  <w:tcW w:type="auto" w:w="0"/>
                  <w:shd w:val="clear" w:color="auto" w:fill="F0F0F0"/>
                </w:tcPr>
                <w:p>
                  <w:pPr>
                    <w:pStyle w:val="Para 17"/>
                    <w:keepLines w:val="on"/>
                  </w:pPr>
                  <w:r>
                    <w:t>Lợi nhuận gia tăng cho danh mục PBV thấp</w:t>
                  </w:r>
                </w:p>
              </w:tc>
            </w:tr>
            <w:tr>
              <w:tc>
                <w:tcPr>
                  <w:tcW w:type="auto" w:w="0"/>
                  <w:shd w:val="clear" w:color="auto" w:fill="F0F0F0"/>
                </w:tcPr>
                <w:p>
                  <w:pPr>
                    <w:pStyle w:val="Para 02"/>
                    <w:keepLines w:val="on"/>
                  </w:pPr>
                  <w:r>
                    <w:t>Pháp</w:t>
                  </w:r>
                </w:p>
              </w:tc>
              <w:tc>
                <w:tcPr>
                  <w:tcW w:type="auto" w:w="0"/>
                  <w:shd w:val="clear" w:color="auto" w:fill="F0F0F0"/>
                </w:tcPr>
                <w:p>
                  <w:pPr>
                    <w:pStyle w:val="Normal"/>
                    <w:keepLines w:val="on"/>
                  </w:pPr>
                  <w:r>
                    <w:t>3,26%</w:t>
                  </w:r>
                </w:p>
              </w:tc>
            </w:tr>
            <w:tr>
              <w:tc>
                <w:tcPr>
                  <w:tcW w:type="auto" w:w="0"/>
                  <w:shd w:val="clear" w:color="auto" w:fill="F0F0F0"/>
                </w:tcPr>
                <w:p>
                  <w:pPr>
                    <w:pStyle w:val="Para 02"/>
                    <w:keepLines w:val="on"/>
                  </w:pPr>
                  <w:r>
                    <w:t>Đức</w:t>
                  </w:r>
                </w:p>
              </w:tc>
              <w:tc>
                <w:tcPr>
                  <w:tcW w:type="auto" w:w="0"/>
                  <w:shd w:val="clear" w:color="auto" w:fill="F0F0F0"/>
                </w:tcPr>
                <w:p>
                  <w:pPr>
                    <w:pStyle w:val="Normal"/>
                    <w:keepLines w:val="on"/>
                  </w:pPr>
                  <w:r>
                    <w:t>1,39%</w:t>
                  </w:r>
                </w:p>
              </w:tc>
            </w:tr>
            <w:tr>
              <w:tc>
                <w:tcPr>
                  <w:tcW w:type="auto" w:w="0"/>
                  <w:shd w:val="clear" w:color="auto" w:fill="F0F0F0"/>
                </w:tcPr>
                <w:p>
                  <w:pPr>
                    <w:pStyle w:val="Para 02"/>
                    <w:keepLines w:val="on"/>
                  </w:pPr>
                  <w:r>
                    <w:t>Thụy Sĩ</w:t>
                  </w:r>
                </w:p>
              </w:tc>
              <w:tc>
                <w:tcPr>
                  <w:tcW w:type="auto" w:w="0"/>
                  <w:shd w:val="clear" w:color="auto" w:fill="F0F0F0"/>
                </w:tcPr>
                <w:p>
                  <w:pPr>
                    <w:pStyle w:val="Normal"/>
                    <w:keepLines w:val="on"/>
                  </w:pPr>
                  <w:r>
                    <w:t>1,17%</w:t>
                  </w:r>
                </w:p>
              </w:tc>
            </w:tr>
            <w:tr>
              <w:tc>
                <w:tcPr>
                  <w:tcW w:type="auto" w:w="0"/>
                  <w:shd w:val="clear" w:color="auto" w:fill="F0F0F0"/>
                </w:tcPr>
                <w:p>
                  <w:pPr>
                    <w:pStyle w:val="Para 02"/>
                    <w:keepLines w:val="on"/>
                  </w:pPr>
                  <w:r>
                    <w:t>Vương quốc Anh</w:t>
                  </w:r>
                </w:p>
              </w:tc>
              <w:tc>
                <w:tcPr>
                  <w:tcW w:type="auto" w:w="0"/>
                  <w:shd w:val="clear" w:color="auto" w:fill="F0F0F0"/>
                </w:tcPr>
                <w:p>
                  <w:pPr>
                    <w:pStyle w:val="Normal"/>
                    <w:keepLines w:val="on"/>
                  </w:pPr>
                  <w:r>
                    <w:t>1,09%</w:t>
                  </w:r>
                </w:p>
              </w:tc>
            </w:tr>
            <w:tr>
              <w:tc>
                <w:tcPr>
                  <w:tcW w:type="auto" w:w="0"/>
                  <w:shd w:val="clear" w:color="auto" w:fill="F0F0F0"/>
                </w:tcPr>
                <w:p>
                  <w:pPr>
                    <w:pStyle w:val="Para 02"/>
                    <w:keepLines w:val="on"/>
                  </w:pPr>
                  <w:r>
                    <w:t>Nhật Bản</w:t>
                  </w:r>
                </w:p>
              </w:tc>
              <w:tc>
                <w:tcPr>
                  <w:tcW w:type="auto" w:w="0"/>
                  <w:shd w:val="clear" w:color="auto" w:fill="F0F0F0"/>
                </w:tcPr>
                <w:p>
                  <w:pPr>
                    <w:pStyle w:val="Normal"/>
                    <w:keepLines w:val="on"/>
                  </w:pPr>
                  <w:r>
                    <w:t>3,43%</w:t>
                  </w:r>
                </w:p>
              </w:tc>
            </w:tr>
            <w:tr>
              <w:tc>
                <w:tcPr>
                  <w:tcW w:type="auto" w:w="0"/>
                  <w:shd w:val="clear" w:color="auto" w:fill="F0F0F0"/>
                </w:tcPr>
                <w:p>
                  <w:pPr>
                    <w:pStyle w:val="Para 02"/>
                    <w:keepLines w:val="on"/>
                  </w:pPr>
                  <w:r>
                    <w:t>Hoa Kỳ</w:t>
                  </w:r>
                </w:p>
              </w:tc>
              <w:tc>
                <w:tcPr>
                  <w:tcW w:type="auto" w:w="0"/>
                  <w:shd w:val="clear" w:color="auto" w:fill="F0F0F0"/>
                </w:tcPr>
                <w:p>
                  <w:pPr>
                    <w:pStyle w:val="Normal"/>
                    <w:keepLines w:val="on"/>
                  </w:pPr>
                  <w:r>
                    <w:t>1,06%</w:t>
                  </w:r>
                </w:p>
              </w:tc>
            </w:tr>
            <w:tr>
              <w:tc>
                <w:tcPr>
                  <w:tcW w:type="auto" w:w="0"/>
                  <w:shd w:val="clear" w:color="auto" w:fill="F0F0F0"/>
                </w:tcPr>
                <w:p>
                  <w:pPr>
                    <w:pStyle w:val="Para 02"/>
                    <w:keepLines w:val="on"/>
                  </w:pPr>
                  <w:r>
                    <w:t>Châu Âu</w:t>
                  </w:r>
                </w:p>
              </w:tc>
              <w:tc>
                <w:tcPr>
                  <w:tcW w:type="auto" w:w="0"/>
                  <w:shd w:val="clear" w:color="auto" w:fill="F0F0F0"/>
                </w:tcPr>
                <w:p>
                  <w:pPr>
                    <w:pStyle w:val="Normal"/>
                    <w:keepLines w:val="on"/>
                  </w:pPr>
                  <w:r>
                    <w:t>1,30%</w:t>
                  </w:r>
                </w:p>
              </w:tc>
            </w:tr>
            <w:tr>
              <w:tc>
                <w:tcPr>
                  <w:tcW w:type="auto" w:w="0"/>
                  <w:shd w:val="clear" w:color="auto" w:fill="F0F0F0"/>
                </w:tcPr>
                <w:p>
                  <w:pPr>
                    <w:pStyle w:val="Para 02"/>
                    <w:keepLines w:val="on"/>
                  </w:pPr>
                  <w:r>
                    <w:t>Toàn cầu</w:t>
                  </w:r>
                </w:p>
              </w:tc>
              <w:tc>
                <w:tcPr>
                  <w:tcW w:type="auto" w:w="0"/>
                  <w:shd w:val="clear" w:color="auto" w:fill="F0F0F0"/>
                </w:tcPr>
                <w:p>
                  <w:pPr>
                    <w:pStyle w:val="Normal"/>
                    <w:keepLines w:val="on"/>
                  </w:pPr>
                  <w:r>
                    <w:t>1,88%</w:t>
                  </w:r>
                </w:p>
              </w:tc>
            </w:tr>
          </w:tbl>
          <w:p/>
        </w:tc>
      </w:tr>
    </w:tbl>
    <w:p>
      <w:pPr>
        <w:pStyle w:val="Para 03"/>
      </w:pPr>
      <w:r>
        <w:t>Mặc dù nghiên cứu này đã cũ, nhưng kết luận rằng các cổ phiếu có tỷ lệ giá trên giá trị sổ sách (price-to-book) thấp mang lại lợi nhuận cao hơn so với các cổ phiếu có tỷ lệ giá trên giá trị sổ sách cao vẫn tỏ ra vững chắc.</w:t>
      </w:r>
    </w:p>
    <w:p>
      <w:bookmarkStart w:id="3957" w:name="Using_Price_Book_Value_Ratios_as"/>
      <w:bookmarkStart w:id="3958" w:name="Using_Price_Book_Value_Ratios_as_1"/>
      <w:pPr>
        <w:keepNext/>
        <w:pStyle w:val="Heading 4"/>
        <w:keepLines w:val="on"/>
      </w:pPr>
      <w:r>
        <w:t>Sử dụng tỷ lệ Giá – Giá trị sổ sách làm bộ lọc đầu tư</w:t>
      </w:r>
      <w:bookmarkEnd w:id="3957"/>
      <w:bookmarkEnd w:id="3958"/>
    </w:p>
    <w:p>
      <w:pPr>
        <w:pStyle w:val="Para 03"/>
      </w:pPr>
      <w:r>
        <w:t>Lợi nhuận vượt trội mà các công ty có tỷ lệ giá – giá trị sổ sách thấp kiếm được đã được khai thác bởi các chiến lược đầu tư sử dụng tỷ lệ giá – giá trị sổ sách như một bộ lọc. Chẳng hạn, Benjamin Graham, trong cuốn sách kinh điển về phân tích chứng khoán của mình, đã liệt kê tiêu chí giá thấp hơn hai phần ba giá trị sổ sách như một trong những tiêu chí để chọn cổ phiếu.</w:t>
      </w:r>
    </w:p>
    <w:p>
      <w:pPr>
        <w:pStyle w:val="Para 03"/>
      </w:pPr>
      <w:r>
        <w:t>Phần thảo luận ở mục trước đã nhấn mạnh tầm quan trọng của tỷ suất sinh lời trên vốn chủ sở hữu (return on equity) trong việc xác định tỷ lệ giá – giá trị sổ sách, và lưu ý rằng chỉ những công ty có tỷ suất sinh lời trên vốn chủ sở hữu cao và tỷ lệ giá – giá trị sổ sách thấp mới có thể được coi là bị định giá thấp.</w:t>
      </w:r>
    </w:p>
    <w:p>
      <w:bookmarkStart w:id="3960" w:name="Price_to_Book_as_a_Proxy_for_Ris_1"/>
      <w:bookmarkStart w:id="3961" w:name="Price_to_Book_as_a_Proxy_for_Ris"/>
      <w:pPr>
        <w:keepNext/>
        <w:pStyle w:val="Heading 4"/>
        <w:keepLines w:val="on"/>
      </w:pPr>
      <w:r>
        <w:t>Giá trên Giá trị sổ sách như một đại diện cho rủi ro</w:t>
      </w:r>
      <w:bookmarkEnd w:id="3960"/>
      <w:bookmarkEnd w:id="3961"/>
    </w:p>
    <w:p>
      <w:pPr>
        <w:pStyle w:val="Para 03"/>
      </w:pPr>
      <w:r>
        <w:t>Sự dai dẳng của lợi nhuận vượt trội mà các công ty có tỷ lệ giá trên giá trị sổ sách thấp kiếm được cho thấy hoặc là thị trường kém hiệu quả, hoặc là tỷ lệ giá trên giá trị sổ sách là một đại diện cho rủi ro vốn chủ sở hữu. Nói cách khác, nếu các cổ phiếu có tỷ lệ giá trên giá trị sổ sách thấp được thị trường nhìn nhận là rủi ro hơn so với các công ty có tỷ lệ giá trên giá trị sổ sách cao, thì lợi nhuận cao hơn mà những cổ phiếu này mang lại sẽ là phần thưởng xứng đáng cho rủi ro đó. Thực tế, đây chính là kết luận mà Fama và French (1992) đưa ra sau khi xem xét lợi nhuận của các cổ phiếu có tỷ lệ giá trên giá trị sổ sách thấp.</w:t>
      </w:r>
    </w:p>
    <w:p>
      <w:pPr>
        <w:pStyle w:val="Para 03"/>
      </w:pPr>
      <w:r>
        <w:t>Dù bạn không thể bác bỏ giả thuyết này một cách dễ dàng, bạn vẫn cần phải kiểm nghiệm nó. Rủi ro bổ sung mà các cổ phiếu có tỷ lệ giá trên giá trị sổ sách thấp phải đối mặt là gì? Đúng là một số công ty có tỷ lệ giá trên giá trị sổ sách thấp sử dụng đòn bẩy cao và có thể không duy trì được hoạt động kinh doanh. Tuy nhiên, phần lớn thì một danh mục gồm các cổ phiếu có tỷ lệ giá trên giá trị sổ sách thấp dường như không rủi ro hơn một danh mục gồm các cổ phiếu có tỷ lệ giá trên giá trị sổ sách cao — đòn bẩy và mức biến động thu nhập của chúng tương tự nhau.</w:t>
      </w:r>
    </w:p>
    <w:p>
      <w:bookmarkStart w:id="3962" w:name="Value_to_Book_Ratios__Instead_of"/>
      <w:pPr>
        <w:pStyle w:val="2 Block"/>
      </w:pPr>
      <w:bookmarkEnd w:id="3962"/>
    </w:p>
    <w:p>
      <w:bookmarkStart w:id="3963" w:name="Value_to_Book_Ratios"/>
      <w:pPr>
        <w:keepNext/>
        <w:pStyle w:val="Heading 2"/>
        <w:keepLines w:val="on"/>
      </w:pPr>
      <w:r>
        <w:t>Tỷ lệ Giá trị trên Giá trị sổ sách</w:t>
      </w:r>
      <w:bookmarkEnd w:id="3963"/>
    </w:p>
    <w:p>
      <w:pPr>
        <w:pStyle w:val="Para 03"/>
      </w:pPr>
      <w:r>
        <w:t>Thay vì liên hệ giá trị thị trường của vốn chủ sở hữu với giá trị sổ sách của vốn chủ sở hữu, tỷ lệ giá trị trên giá trị sổ sách liên hệ giá trị của doanh nghiệp với giá trị sổ sách của vốn đầu tư vào doanh nghiệp đó. Do đó, nó có thể được xem như phiên bản tương tự của tỷ lệ giá trên giá trị sổ sách nhưng dành cho toàn bộ giá trị doanh nghiệp.</w:t>
      </w:r>
    </w:p>
    <w:p>
      <w:bookmarkStart w:id="3964" w:name="Definition_2"/>
      <w:bookmarkStart w:id="3965" w:name="Definition__The_value_to_book_ra"/>
      <w:pPr>
        <w:keepNext/>
        <w:pStyle w:val="Heading 3"/>
        <w:keepLines w:val="on"/>
      </w:pPr>
      <w:r>
        <w:t>Định nghĩa</w:t>
      </w:r>
      <w:bookmarkEnd w:id="3964"/>
      <w:bookmarkEnd w:id="3965"/>
    </w:p>
    <w:p>
      <w:pPr>
        <w:pStyle w:val="Para 03"/>
      </w:pPr>
      <w:r>
        <w:t>Tỷ lệ giá trị trên giá trị sổ sách được tính bằng cách chia giá trị thị trường của cả nợ và vốn chủ sở hữu cho giá trị sổ sách của vốn đầu tư vào doanh nghiệp:</w:t>
      </w:r>
    </w:p>
    <w:p>
      <w:bookmarkStart w:id="3966" w:name="Firm_Value_to_book_Market_value"/>
      <w:pPr>
        <w:keepNext/>
        <w:pStyle w:val="Para 09"/>
        <w:keepLines w:val="on"/>
      </w:pPr>
      <w:r>
        <w:t>Giá trị doanh nghiệp trên giá trị sổ sách=Giá trị thị trường của vốn chủ sở hữu+Giá trị thị trường của nợGiá trị sổ sách của vốn chủ sở hữu+Giá trị sổ sách của nợ</w:t>
      </w:r>
      <w:bookmarkEnd w:id="3966"/>
    </w:p>
    <w:p>
      <w:pPr>
        <w:pStyle w:val="Para 03"/>
      </w:pPr>
      <w:r>
        <w:t>Nếu không có giá trị thị trường của nợ, có thể dùng giá trị sổ sách của nợ ở tử số. Đương nhiên, nợ phải được định nghĩa nhất quán ở cả tử số và mẫu số. Ví dụ, nếu bạn chọn chuyển đổi các hợp đồng thuê hoạt động (operating leases) thành nợ để tính giá trị thị trường của nợ, thì bạn cũng phải cộng giá trị hiện tại của các hợp đồng thuê hoạt động đó vào giá trị sổ sách của nợ.</w:t>
      </w:r>
    </w:p>
    <w:p>
      <w:pPr>
        <w:pStyle w:val="Para 03"/>
      </w:pPr>
      <w:r>
        <w:t>Có hai biến thể phổ biến của bội số này không đáp ứng được yêu cầu nhất quán. Một biến thể sử dụng giá trị sổ sách của tài sản, vốn thường lớn hơn giá trị sổ sách của vốn đầu tư đúng bằng mức nợ ngắn hạn, ở mẫu số. Điều này sẽ khiến tỷ lệ giá trị trên giá trị sổ sách bị thiên lệch xuống thấp đối với các công ty có nợ ngắn hạn đáng kể. Biến thể còn lại sử dụng giá trị doanh nghiệp (enterprise value) ở tử số, với tiền mặt được trừ ra khỏi giá trị thị trường của nợ và vốn chủ sở hữu. Vì giá trị sổ sách của vốn chủ sở hữu đã bao gồm lượng tiền mặt nắm giữ của công ty, điều này cũng sẽ khiến bội số bị thiên lệch xuống thấp. Nếu bạn quyết định dùng giá trị doanh nghiệp ở tử số, thì bạn cũng nên trừ tiền mặt ra khỏi mẫu số. Việc trừ tiền mặt ra khỏi vốn sổ sách tạo ra một chỉ số gọi là vốn đầu tư (invested capital):</w:t>
      </w:r>
    </w:p>
    <w:p>
      <w:bookmarkStart w:id="3968" w:name="Invested_capital_Market_value_of"/>
      <w:pPr>
        <w:keepNext/>
        <w:pStyle w:val="Para 09"/>
        <w:keepLines w:val="on"/>
      </w:pPr>
      <w:r>
        <w:t>Vốn đầu tư=Giá trị thị trường của vốn chủ sở hữu+Giá trị thị trường của nợ−Tiền mặt</w:t>
      </w:r>
      <w:bookmarkEnd w:id="3968"/>
    </w:p>
    <w:p>
      <w:pPr>
        <w:pStyle w:val="Para 03"/>
      </w:pPr>
      <w:r>
        <w:t>Trên thực tế, khi không có sẵn giá trị thị trường của nợ, các nhà phân tích thường dùng giá trị sổ sách như một đại diện, và tiền mặt bao gồm cả các chứng khoán có thể bán được (marketable securities).</w:t>
      </w:r>
    </w:p>
    <w:p>
      <w:bookmarkStart w:id="3969" w:name="EV_to_IC_Market_value_of_equity"/>
      <w:pPr>
        <w:keepNext/>
        <w:pStyle w:val="Para 09"/>
        <w:keepLines w:val="on"/>
      </w:pPr>
      <w:r>
        <w:t>EV trên IC=Giá trị thị trường của vốn chủ sở hữu+Giá trị thị trường của nợ−Tiền mặtGiá trị sổ sách của vốn chủ sở hữu+Giá trị sổ sách của nợ−Tiền mặt</w:t>
      </w:r>
      <w:bookmarkEnd w:id="3969"/>
    </w:p>
    <w:p>
      <w:pPr>
        <w:pStyle w:val="Para 03"/>
      </w:pPr>
      <w:r>
        <w:t>Ngoài ra, bội số này có thể cần được điều chỉnh cho các khoản sở hữu chéo (cross holdings) của công ty, giống như cách điều chỉnh bội số EV/EBITDA. Việc điều chỉnh đã được mô tả chi tiết cho bội số giá trị doanh nghiệp trên EBITDA ở Chương 18, và sẽ yêu cầu bạn trừ ra phần giá trị thị trường và giá trị sổ sách của vốn chủ sở hữu thuộc về các công ty con.</w:t>
      </w:r>
    </w:p>
    <w:p>
      <w:bookmarkStart w:id="3970" w:name="Description_2"/>
      <w:bookmarkStart w:id="3971" w:name="Description__The_distribution_of"/>
      <w:pPr>
        <w:keepNext/>
        <w:pStyle w:val="Heading 3"/>
        <w:keepLines w:val="on"/>
      </w:pPr>
      <w:r>
        <w:t>Mô tả</w:t>
      </w:r>
      <w:bookmarkEnd w:id="3970"/>
      <w:bookmarkEnd w:id="3971"/>
    </w:p>
    <w:p>
      <w:pPr>
        <w:pStyle w:val="Para 03"/>
      </w:pPr>
      <w:r>
        <w:t>Phân phối của tỷ lệ EV trên giá trị sổ sách tương tự như phân phối của tỷ lệ giá trên giá trị sổ sách. Hình 19.9 trình bày phân phối của EV/vốn đầu tư cho các công ty Mỹ và toàn cầu vào tháng 1 năm 2024. Giống như các bội số khác, nó bị lệch mạnh và giá trị trung bình cao hơn nhiều so với trung vị: Trung vị EV/vốn đầu tư của các công ty Mỹ (toàn cầu) vào tháng 1 năm 2024 là 1,97 (1,54), và có những công ty mà giá trị doanh nghiệp âm (vì tiền mặt vượt quá tổng giá trị thị trường của nợ và vốn chủ sở hữu).</w:t>
      </w:r>
    </w:p>
    <w:p>
      <w:bookmarkStart w:id="3974" w:name="Figure_19_9_EV_Invested_Capital"/>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00300" cy="1790700"/>
            <wp:effectExtent l="0" r="0" t="0" b="0"/>
            <wp:wrapTopAndBottom/>
            <wp:docPr id="189" name="c19f009.png" descr="Double bar graph plots the increase and decrease in invested capital for U S and global companies in January 2024."/>
            <wp:cNvGraphicFramePr>
              <a:graphicFrameLocks noChangeAspect="1"/>
            </wp:cNvGraphicFramePr>
            <a:graphic>
              <a:graphicData uri="http://schemas.openxmlformats.org/drawingml/2006/picture">
                <pic:pic>
                  <pic:nvPicPr>
                    <pic:cNvPr id="0" name="c19f009.png" descr="Double bar graph plots the increase and decrease in invested capital for U S and global companies in January 2024."/>
                    <pic:cNvPicPr/>
                  </pic:nvPicPr>
                  <pic:blipFill>
                    <a:blip r:embed="rId133"/>
                    <a:stretch>
                      <a:fillRect/>
                    </a:stretch>
                  </pic:blipFill>
                  <pic:spPr>
                    <a:xfrm>
                      <a:off x="0" y="0"/>
                      <a:ext cx="2400300" cy="1790700"/>
                    </a:xfrm>
                    <a:prstGeom prst="rect">
                      <a:avLst/>
                    </a:prstGeom>
                  </pic:spPr>
                </pic:pic>
              </a:graphicData>
            </a:graphic>
          </wp:anchor>
        </w:drawing>
      </w:r>
      <w:bookmarkEnd w:id="3974"/>
    </w:p>
    <w:p>
      <w:pPr>
        <w:keepNext/>
        <w:pStyle w:val="Para 22"/>
        <w:keepLines w:val="on"/>
      </w:pPr>
      <w:r>
        <w:t>HÌNH 19.9 EV/Vốn đầu tư: Các công ty Mỹ và toàn cầu vào tháng 1 năm 2024</w:t>
      </w:r>
    </w:p>
    <w:p>
      <w:pPr>
        <w:pStyle w:val="Para 03"/>
      </w:pPr>
      <w:r>
        <w:t>Một trong những lợi ích thú vị khi chuyển từ tỷ lệ giá trên giá trị sổ sách sang tỷ lệ giá trị trên giá trị sổ sách là chúng ta mất rất ít công ty trong mẫu với cách tính sau. Việc các công ty có vốn đầu tư âm hiếm khi xảy ra hơn so với việc chúng có giá trị sổ sách của vốn chủ sở hữu âm.</w:t>
      </w:r>
    </w:p>
    <w:p>
      <w:pPr>
        <w:pStyle w:val="Para 11"/>
      </w:pPr>
      <w:r>
        <w:t xml:space="preserve"> </w:t>
      </w:r>
    </w:p>
    <w:p>
      <w:bookmarkStart w:id="3975" w:name="pbvdata_xls__This_dataset_on_the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90"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3975"/>
    </w:p>
    <w:p>
      <w:pPr>
        <w:pStyle w:val="Para 31"/>
        <w:keepLines w:val="on"/>
      </w:pPr>
      <w:r>
        <w:t>pbvdata.xls: Bộ dữ liệu này trên web tóm tắt các bội số giá trị trên giá trị sổ sách và các yếu tố cơ bản theo nhóm ngành ở Hoa Kỳ cho năm gần nhất.</w:t>
      </w:r>
    </w:p>
    <w:p>
      <w:bookmarkStart w:id="3976" w:name="Analysis_2"/>
      <w:bookmarkStart w:id="3977" w:name="Analysis__The_value_to_book_rati"/>
      <w:pPr>
        <w:keepNext/>
        <w:pStyle w:val="Heading 3"/>
        <w:keepLines w:val="on"/>
      </w:pPr>
      <w:r>
        <w:t>Phân tích</w:t>
      </w:r>
      <w:bookmarkEnd w:id="3976"/>
      <w:bookmarkEnd w:id="3977"/>
    </w:p>
    <w:p>
      <w:pPr>
        <w:pStyle w:val="Para 03"/>
      </w:pPr>
      <w:r>
        <w:t>Tỷ lệ giá trị trên giá trị sổ sách là một bội số giá trị doanh nghiệp. Để phân tích nó, chúng ta quay lại mô hình định giá dòng tiền tự do của doanh nghiệp (free cash flow to the firm), và sử dụng nó để định giá một doanh nghiệp tăng trưởng ổn định:</w:t>
      </w:r>
    </w:p>
    <w:p>
      <w:bookmarkStart w:id="3978" w:name="Enterprise_value_FCFF1Cost_of_ca"/>
      <w:pPr>
        <w:keepNext/>
        <w:pStyle w:val="Para 09"/>
        <w:keepLines w:val="on"/>
      </w:pPr>
      <w:r>
        <w:t>Giá trị doanh nghiệp=FCFF1Chi phí vốn−Tốc độ tăng trưởng kỳ vọng</w:t>
      </w:r>
      <w:bookmarkEnd w:id="3978"/>
    </w:p>
    <w:p>
      <w:pPr>
        <w:pStyle w:val="Para 03"/>
      </w:pPr>
      <w:r>
        <w:t>Thay FCFF = EBIT (1 − t) (1 - Tỷ lệ tái đầu tư) vào phương trình, ta được:</w:t>
      </w:r>
    </w:p>
    <w:p>
      <w:bookmarkStart w:id="3979" w:name="Enterprise_value_EBIT11___tReinv"/>
      <w:pPr>
        <w:keepNext/>
        <w:pStyle w:val="Para 09"/>
        <w:keepLines w:val="on"/>
      </w:pPr>
      <w:r>
        <w:t>Giá trị doanh nghiệp=EBIT11−tTỷ lệ tái đầu tưChi phí vốn−Tốc độ tăng trưởng kỳ vọng</w:t>
      </w:r>
      <w:bookmarkEnd w:id="3979"/>
    </w:p>
    <w:p>
      <w:pPr>
        <w:pStyle w:val="Para 03"/>
      </w:pPr>
      <w:r>
        <w:t>Chia cả hai vế cho vốn đầu tư, ta đi đến phương trình giá trị nội tại cho EV trên vốn đầu tư đối với một doanh nghiệp tăng trưởng ổn định:3</w:t>
      </w:r>
    </w:p>
    <w:p>
      <w:bookmarkStart w:id="3981" w:name="Enterprise_valueInvested_capital"/>
      <w:pPr>
        <w:keepNext/>
        <w:pStyle w:val="Para 09"/>
        <w:keepLines w:val="on"/>
      </w:pPr>
      <w:r>
        <w:t>Giá trị doanh nghiệpVốn đầu tư=ROIC×Tỷ lệ tái đầu tưChi phí vốn−Tốc độ tăng trưởng kỳ vọng</w:t>
      </w:r>
      <w:bookmarkEnd w:id="3981"/>
    </w:p>
    <w:p>
      <w:pPr>
        <w:pStyle w:val="Para 03"/>
      </w:pPr>
      <w:r>
        <w:t>Tỷ lệ EV trên vốn đầu tư về cơ bản được quyết định bởi lợi nhuận trên vốn của nó—các doanh nghiệp có lợi nhuận trên vốn cao thường có tỷ lệ EV trên vốn đầu tư cao. Thực tế, các yếu tố quyết định của giá trị trên giá trị sổ sách phản ánh các yếu tố quyết định của giá trên giá trị sổ sách của vốn chủ sở hữu, nhưng chúng ta thay thế các thước đo vốn chủ sở hữu bằng các thước đo giá trị doanh nghiệp—ROE bằng ROC, chi phí vốn chủ sở hữu bằng chi phí vốn, và tỷ lệ chi trả bằng (1 – Tỷ lệ tái đầu tư). Thực tế, nếu chúng ta thay vào phương trình cơ bản cho tỷ lệ tái đầu tư:</w:t>
      </w:r>
    </w:p>
    <w:p>
      <w:bookmarkStart w:id="3982" w:name="Reinvestment_rate_Expected_growt"/>
      <w:pPr>
        <w:keepNext/>
        <w:pStyle w:val="Para 09"/>
        <w:keepLines w:val="on"/>
      </w:pPr>
      <w:r>
        <w:t>Tỷ lệ tái đầu tư=Tốc độ tăng trưởng kỳ vọng/ROIC</w:t>
      </w:r>
      <w:bookmarkEnd w:id="3982"/>
    </w:p>
    <w:p>
      <w:bookmarkStart w:id="3983" w:name="Enterprise_valueInvested_capital_1"/>
      <w:pPr>
        <w:keepNext/>
        <w:pStyle w:val="Para 09"/>
        <w:keepLines w:val="on"/>
      </w:pPr>
      <w:r>
        <w:t>Giá trị doanh nghiệpVốn đầu tư=ROIC−Tốc độ tăng trưởng kỳ vọngChi phí vốn−Tốc độ tăng trưởng kỳ vọng</w:t>
      </w:r>
      <w:bookmarkEnd w:id="3983"/>
    </w:p>
    <w:p>
      <w:pPr>
        <w:pStyle w:val="Para 03"/>
      </w:pPr>
      <w:r>
        <w:t>Phân tích có thể được mở rộng để bao quát các doanh nghiệp tăng trưởng cao, với tỷ lệ giá trị trên vốn sổ sách được quyết định bởi lợi nhuận trên vốn, chi phí vốn, tốc độ tăng trưởng và tái đầu tư—trong giai đoạn tăng trưởng cao và giai đoạn tăng trưởng ổn định:</w:t>
      </w:r>
    </w:p>
    <w:p>
      <w:bookmarkStart w:id="3985" w:name="EVIC_ROIChgx1___RIRhgx1___1_gn1"/>
      <w:pPr>
        <w:keepNext/>
        <w:pStyle w:val="Para 09"/>
        <w:keepLines w:val="on"/>
      </w:pPr>
      <w:r>
        <w:t>EVIC=ROIChg×1−RIRhg×1−1+gn1+kc,hgnkc,hg−g+(1+g)n−1 1+gst 1−RIRstkc,st−gst(1+kc,hg)n</w:t>
      </w:r>
      <w:bookmarkEnd w:id="3985"/>
    </w:p>
    <w:p>
      <w:bookmarkStart w:id="3986" w:name="whereROC_Returnoncapital_hg_high"/>
      <w:pPr>
        <w:pStyle w:val="Para 39"/>
      </w:pPr>
      <w:r>
        <w:t>trong đóROC=Lợinhuậntrênvốn(hg:giaiđoạntăngtrưởngcao;st:giaiđoạntăngtrưởngổnđịnh)RIR=Tỷlệtáiđầutư(hg:giaiđoạntăngtrưởngcao;st:giaiđoạntăngtrưởngổnđịnh)kc=Chiphívốn(hg:giaiđoạntăngtrưởngcao;st:giaiđoạntăngtrưởngổnđịnh)</w:t>
      </w:r>
      <w:bookmarkEnd w:id="3986"/>
    </w:p>
    <w:p>
      <w:pPr>
        <w:pStyle w:val="Para 11"/>
      </w:pPr>
      <w:r>
        <w:t xml:space="preserve"> </w:t>
      </w:r>
    </w:p>
    <w:p>
      <w:bookmarkStart w:id="3987" w:name="firmmult_xls__This_spreadsheet_e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91"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3987"/>
    </w:p>
    <w:p>
      <w:pPr>
        <w:pStyle w:val="Para 31"/>
        <w:keepLines w:val="on"/>
      </w:pPr>
      <w:r>
        <w:t>firmmult.xls: Bảng tính này cho phép bạn ước tính các bội số giá trị doanh nghiệp cho một doanh nghiệp tăng trưởng ổn định hoặc tăng trưởng cao, dựa trên các yếu tố cơ bản của nó.</w:t>
      </w:r>
    </w:p>
    <w:p>
      <w:pPr>
        <w:pStyle w:val="Para 11"/>
      </w:pPr>
      <w:r>
        <w:t xml:space="preserve"> </w:t>
      </w:r>
    </w:p>
    <w:p>
      <w:bookmarkStart w:id="3988" w:name="ROC__ROIC__ROA__and_ROE"/>
      <w:bookmarkStart w:id="3989" w:name="ROC__ROIC__ROA__and_ROE_We_have"/>
      <w:pPr>
        <w:keepNext/>
        <w:pStyle w:val="Para 27"/>
        <w:keepLines w:val="on"/>
      </w:pPr>
      <w:r>
        <w:t>ROC, ROIC, ROA và ROE</w:t>
      </w:r>
      <w:bookmarkEnd w:id="3988"/>
      <w:bookmarkEnd w:id="3989"/>
    </w:p>
    <w:p>
      <w:pPr>
        <w:pStyle w:val="Para 16"/>
        <w:keepLines w:val="on"/>
      </w:pPr>
      <w:r>
        <w:t>Chúng ta đã nhấn mạnh tầm quan trọng của việc đo lường lợi nhuận mà một doanh nghiệp tạo ra trên các khoản đầu tư của mình thông qua cả phần DCF và phần định giá tương đối, nhưng chúng ta đã sử dụng các thước đo khác nhau về lợi nhuận kế toán: lợi nhuận trên vốn chủ sở hữu, lợi nhuận trên vốn, và lợi nhuận trên vốn đầu tư. Thực tế, có nhiều người cũng tính lợi nhuận trên tài sản như một thước đo. Vậy chúng liên quan với nhau như thế nào, và bạn nên dùng cái nào?</w:t>
      </w:r>
    </w:p>
    <w:p>
      <w:pPr>
        <w:pStyle w:val="Para 16"/>
        <w:keepLines w:val="on"/>
      </w:pPr>
      <w:r>
        <w:t>Hãy bắt đầu với điểm chung của chúng. Tất cả đều liên hệ thu nhập hiện tại ở tử số với giá trị sổ sách ở mẫu số, nhưng chúng đo lường thu nhập và giá trị sổ sách theo những cách khác nhau.</w:t>
      </w:r>
    </w:p>
    <w:p>
      <w:pPr>
        <w:numPr>
          <w:ilvl w:val="0"/>
          <w:numId w:val="185"/>
        </w:numPr>
        <w:pStyle w:val="Para 33"/>
        <w:keepLines w:val="on"/>
      </w:pPr>
      <w:r>
        <w:t>Với lợi nhuận trên vốn chủ sở hữu, chúng ta chia thu nhập cho các nhà đầu tư vốn chủ sở hữu (thu nhập ròng) cho giá trị sổ sách của vốn chủ sở hữu để có được thước đo về mức lợi nhuận mà các nhà đầu tư vốn chủ sở hữu đang kiếm được. Đây là thước đo chúng ta sử dụng khi chỉ số so sánh của chúng ta là chi phí vốn chủ sở hữu và để có được tốc độ tăng trưởng trong thu nhập vốn chủ sở hữu (cho các mô hình chiết khấu cổ tức và FCFE).</w:t>
      </w:r>
    </w:p>
    <w:p>
      <w:pPr>
        <w:numPr>
          <w:ilvl w:val="0"/>
          <w:numId w:val="185"/>
        </w:numPr>
        <w:pStyle w:val="Para 33"/>
        <w:keepLines w:val="on"/>
      </w:pPr>
      <w:r>
        <w:t>Chúng ta sử dụng lợi nhuận trên vốn (ROC) và lợi nhuận trên vốn đầu tư (ROIC) thay thế cho nhau và có được chúng bằng cách chia thu nhập hoạt động cho giá trị sổ sách của vốn đầu tư; đây là tổng giá trị sổ sách của nợ và vốn chủ sở hữu với tiền mặt được trừ ra. Chúng ta so sánh lợi nhuận này với chi phí vốn và để suy ra tốc độ tăng trưởng trong thu nhập hoạt động (cho các tính toán FCFF).</w:t>
      </w:r>
    </w:p>
    <w:p>
      <w:pPr>
        <w:numPr>
          <w:ilvl w:val="0"/>
          <w:numId w:val="185"/>
        </w:numPr>
        <w:pStyle w:val="Para 33"/>
        <w:keepLines w:val="on"/>
      </w:pPr>
      <w:r>
        <w:t>Lợi nhuận trên tài sản là một thước đo hỗn hợp thực sự không phù hợp lắm. Vì nó được tính bằng cách chia thu nhập ròng hoặc thu nhập hoạt động cho tổng tài sản, nó không thể so sánh trực tiếp với chi phí vốn chủ sở hữu hay chi phí vốn. Chúng tôi đề xuất rằng nó không nên được sử dụng trong định giá.</w:t>
      </w:r>
    </w:p>
    <w:p>
      <w:pPr>
        <w:pStyle w:val="Para 16"/>
        <w:keepLines w:val="on"/>
      </w:pPr>
      <w:r>
        <w:t>Cuối cùng, chúng tôi thích tính tất cả các lợi nhuận này bằng cách lấy thu nhập trong một năm nhất định và chia nó cho giá trị sổ sách vào cuối năm trước. Có những người khác thích sử dụng mức trung bình trong năm, và nếu đó là cách làm, nó nên được tuân theo một cách nhất quán.</w:t>
      </w:r>
    </w:p>
    <w:p>
      <w:bookmarkStart w:id="3991" w:name="Application__The_value_to_book_r"/>
      <w:bookmarkStart w:id="3992" w:name="Application_1"/>
      <w:pPr>
        <w:keepNext/>
        <w:pStyle w:val="Heading 3"/>
        <w:keepLines w:val="on"/>
      </w:pPr>
      <w:r>
        <w:t>Ứng dụng</w:t>
      </w:r>
      <w:bookmarkEnd w:id="3991"/>
      <w:bookmarkEnd w:id="3992"/>
    </w:p>
    <w:p>
      <w:pPr>
        <w:pStyle w:val="Para 03"/>
      </w:pPr>
      <w:r>
        <w:t>Các tỷ lệ giá trị trên giá sổ sách (value-to-book ratios) có thể được so sánh giữa các công ty giống như cách so sánh tỷ lệ giá trên giá trị sổ sách của vốn chủ sở hữu (price-to-book value of equity ratio) ở phần trước. Biến số then chốt cần kiểm soát khi thực hiện so sánh này là tỷ suất sinh lời trên vốn đầu tư (return on capital). Ma trận giá trị được xây dựng cho các tỷ lệ giá trên giá sổ sách có thể được điều chỉnh để áp dụng cho tỷ lệ giá trị trên giá sổ sách trong Hình 19.10. Những công ty có tỷ suất sinh lời trên vốn cao sẽ có xu hướng có tỷ lệ giá trị trên giá sổ sách cao, trong khi những công ty có tỷ suất sinh lời trên vốn thấp thường sẽ có tỷ lệ giá trị trên giá sổ sách thấp hơn.</w:t>
      </w:r>
    </w:p>
    <w:p>
      <w:bookmarkStart w:id="3994" w:name="Figure_19_10_Valuation_Matrix__V"/>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17700" cy="1930400"/>
            <wp:effectExtent l="0" r="0" t="0" b="0"/>
            <wp:wrapTopAndBottom/>
            <wp:docPr id="192" name="c19f010.png" descr="A 2 by 2 matrix depicts the overvaluation and undervaluation of value to book with that of return spread."/>
            <wp:cNvGraphicFramePr>
              <a:graphicFrameLocks noChangeAspect="1"/>
            </wp:cNvGraphicFramePr>
            <a:graphic>
              <a:graphicData uri="http://schemas.openxmlformats.org/drawingml/2006/picture">
                <pic:pic>
                  <pic:nvPicPr>
                    <pic:cNvPr id="0" name="c19f010.png" descr="A 2 by 2 matrix depicts the overvaluation and undervaluation of value to book with that of return spread."/>
                    <pic:cNvPicPr/>
                  </pic:nvPicPr>
                  <pic:blipFill>
                    <a:blip r:embed="rId134"/>
                    <a:stretch>
                      <a:fillRect/>
                    </a:stretch>
                  </pic:blipFill>
                  <pic:spPr>
                    <a:xfrm>
                      <a:off x="0" y="0"/>
                      <a:ext cx="1917700" cy="1930400"/>
                    </a:xfrm>
                    <a:prstGeom prst="rect">
                      <a:avLst/>
                    </a:prstGeom>
                  </pic:spPr>
                </pic:pic>
              </a:graphicData>
            </a:graphic>
          </wp:anchor>
        </w:drawing>
      </w:r>
      <w:bookmarkEnd w:id="3994"/>
    </w:p>
    <w:p>
      <w:pPr>
        <w:keepNext/>
        <w:pStyle w:val="Para 22"/>
        <w:keepLines w:val="on"/>
      </w:pPr>
      <w:r>
        <w:t>Hình 19.10 Ma trận định giá: Giá trị trên giá sổ sách và Lợi nhuận vượt trội</w:t>
      </w:r>
    </w:p>
    <w:p>
      <w:pPr>
        <w:pStyle w:val="Para 03"/>
      </w:pPr>
      <w:r>
        <w:t>Ma trận này cũng mang lại một mối liên hệ thú vị với một thước đo gia tăng giá trị được sử dụng rộng rãi — giá trị kinh tế gia tăng (economic value added, EVA). Một trong những điểm bán hàng hấp dẫn nhất của EVA, được tính bằng tích của chênh lệch tỷ suất sinh lời (ROC trừ chi phí vốn) và vốn đầu tư, chính là mối tương quan cao của nó với giá trị thị trường gia tăng (market value added, MVA), được định nghĩa là chênh lệch giữa giá trị thị trường và giá trị sổ sách của vốn. Điều này không có gì đáng ngạc nhiên, vì MVA là một biến thể của tỷ lệ giá trị trên giá sổ sách và EVA là một biến thể của chênh lệch tỷ suất sinh lời.</w:t>
      </w:r>
    </w:p>
    <w:p>
      <w:pPr>
        <w:pStyle w:val="Para 03"/>
      </w:pPr>
      <w:r>
        <w:t>Liệu mối liên hệ giữa giá trị trên giá sổ sách và tỷ suất sinh lời trên vốn mạnh hơn hay yếu hơn so với mối liên hệ giữa giá trên giá sổ sách và tỷ suất sinh lời trên vốn chủ sở hữu? Để xem xét câu hỏi này, chúng tôi đã hồi quy EV/vốn đầu tư (invested capital, IC) theo tỷ suất sinh lời trên vốn sử dụng dữ liệu của tất cả các công ty vào tháng 1 năm 2024, được phân chia theo khu vực địa lý trong Bảng 19.8, trong đó DFR = tỷ lệ nợ trên vốn (giá trị thị trường). Kết quả hồi quy tương tự như những gì thu được đối với các tỷ lệ giá trên giá sổ sách, với tỷ suất sinh lời trên vốn đầu tư là yếu tố chính dẫn đến sự khác biệt trong các tỷ lệ giá trị doanh nghiệp trên vốn đầu tư.</w:t>
      </w:r>
    </w:p>
    <w:p>
      <w:pPr>
        <w:pStyle w:val="Para 20"/>
      </w:pPr>
      <w:r>
        <w:rPr>
          <w:rStyle w:val="Text26"/>
        </w:rPr>
        <w:bookmarkStart w:id="3996" w:name="Page_608"/>
        <w:t/>
        <w:bookmarkEnd w:id="3996"/>
      </w:r>
      <w:r>
        <w:t xml:space="preserve"> </w:t>
      </w:r>
    </w:p>
    <w:p>
      <w:pPr>
        <w:pStyle w:val="Para 34"/>
        <w:keepLines w:val="on"/>
      </w:pPr>
      <w:r>
        <w:t>Bảng 19.8</w:t>
      </w:r>
    </w:p>
    <w:p>
      <w:pPr>
        <w:keepNext/>
        <w:pStyle w:val="Para 35"/>
        <w:keepLines w:val="on"/>
      </w:pPr>
      <w:r>
        <w:t>Hồi quy thị trường EV-trên-IC — Đầu năm 2024</w:t>
      </w:r>
    </w:p>
    <w:tbl>
      <w:tblPr>
        <w:tblW w:type="auto" w:w="0"/>
      </w:tblPr>
      <w:tr>
        <w:tc>
          <w:tcPr>
            <w:tcW w:type="auto" w:w="0"/>
          </w:tcPr>
          <w:tbl>
            <w:tblPr>
              <w:tblW w:type="pct" w:w="5000"/>
            </w:tblPr>
            <w:tr>
              <w:tc>
                <w:tcPr>
                  <w:tcW w:type="auto" w:w="0"/>
                  <w:shd w:val="clear" w:color="auto" w:fill="F0F0F0"/>
                </w:tcPr>
                <w:p>
                  <w:pPr>
                    <w:pStyle w:val="Para 29"/>
                    <w:keepLines w:val="on"/>
                  </w:pPr>
                  <w:r>
                    <w:t>Khu vực</w:t>
                  </w:r>
                </w:p>
              </w:tc>
              <w:tc>
                <w:tcPr>
                  <w:tcW w:type="auto" w:w="0"/>
                  <w:shd w:val="clear" w:color="auto" w:fill="F0F0F0"/>
                </w:tcPr>
                <w:p>
                  <w:pPr>
                    <w:pStyle w:val="Para 17"/>
                    <w:keepLines w:val="on"/>
                  </w:pPr>
                  <w:r>
                    <w:t>Hồi quy</w:t>
                  </w:r>
                </w:p>
              </w:tc>
              <w:tc>
                <w:tcPr>
                  <w:tcW w:type="auto" w:w="0"/>
                  <w:shd w:val="clear" w:color="auto" w:fill="F0F0F0"/>
                </w:tcPr>
                <w:p>
                  <w:pPr>
                    <w:pStyle w:val="Para 17"/>
                    <w:keepLines w:val="on"/>
                  </w:pPr>
                  <w:r>
                    <w:t>R bình phương</w:t>
                  </w:r>
                </w:p>
              </w:tc>
            </w:tr>
            <w:tr>
              <w:tc>
                <w:tcPr>
                  <w:tcW w:type="auto" w:w="0"/>
                  <w:shd w:val="clear" w:color="auto" w:fill="F0F0F0"/>
                </w:tcPr>
                <w:p>
                  <w:pPr>
                    <w:pStyle w:val="Para 02"/>
                    <w:keepLines w:val="on"/>
                  </w:pPr>
                  <w:r>
                    <w:t>Hoa Kỳ</w:t>
                  </w:r>
                </w:p>
              </w:tc>
              <w:tc>
                <w:tcPr>
                  <w:tcW w:type="auto" w:w="0"/>
                  <w:shd w:val="clear" w:color="auto" w:fill="F0F0F0"/>
                </w:tcPr>
                <w:p>
                  <w:pPr>
                    <w:pStyle w:val="Para 02"/>
                    <w:keepLines w:val="on"/>
                  </w:pPr>
                  <w:r>
                    <w:t>EV/IC= 5.78 + 0.66 gRevenue + 0.57 ROIC − 6.20 DFR</w:t>
                  </w:r>
                </w:p>
              </w:tc>
              <w:tc>
                <w:tcPr>
                  <w:tcW w:type="auto" w:w="0"/>
                  <w:shd w:val="clear" w:color="auto" w:fill="F0F0F0"/>
                </w:tcPr>
                <w:p>
                  <w:pPr>
                    <w:pStyle w:val="Normal"/>
                    <w:keepLines w:val="on"/>
                  </w:pPr>
                  <w:r>
                    <w:t>44.2%</w:t>
                  </w:r>
                </w:p>
              </w:tc>
            </w:tr>
            <w:tr>
              <w:tc>
                <w:tcPr>
                  <w:tcW w:type="auto" w:w="0"/>
                  <w:shd w:val="clear" w:color="auto" w:fill="F0F0F0"/>
                </w:tcPr>
                <w:p>
                  <w:pPr>
                    <w:pStyle w:val="Para 02"/>
                    <w:keepLines w:val="on"/>
                  </w:pPr>
                  <w:r>
                    <w:t>Châu Âu</w:t>
                  </w:r>
                </w:p>
              </w:tc>
              <w:tc>
                <w:tcPr>
                  <w:tcW w:type="auto" w:w="0"/>
                  <w:shd w:val="clear" w:color="auto" w:fill="F0F0F0"/>
                </w:tcPr>
                <w:p>
                  <w:pPr>
                    <w:pStyle w:val="Para 02"/>
                    <w:keepLines w:val="on"/>
                  </w:pPr>
                  <w:r>
                    <w:t>EV/IC= 3.56 + 2.82 gRevenue + 4.10 ROIC − 3.54 DFR</w:t>
                  </w:r>
                </w:p>
              </w:tc>
              <w:tc>
                <w:tcPr>
                  <w:tcW w:type="auto" w:w="0"/>
                  <w:shd w:val="clear" w:color="auto" w:fill="F0F0F0"/>
                </w:tcPr>
                <w:p>
                  <w:pPr>
                    <w:pStyle w:val="Normal"/>
                    <w:keepLines w:val="on"/>
                  </w:pPr>
                  <w:r>
                    <w:t>51.7%</w:t>
                  </w:r>
                </w:p>
              </w:tc>
            </w:tr>
            <w:tr>
              <w:tc>
                <w:tcPr>
                  <w:tcW w:type="auto" w:w="0"/>
                  <w:shd w:val="clear" w:color="auto" w:fill="F0F0F0"/>
                </w:tcPr>
                <w:p>
                  <w:pPr>
                    <w:pStyle w:val="Para 02"/>
                    <w:keepLines w:val="on"/>
                  </w:pPr>
                  <w:r>
                    <w:t>Nhật Bản</w:t>
                  </w:r>
                </w:p>
              </w:tc>
              <w:tc>
                <w:tcPr>
                  <w:tcW w:type="auto" w:w="0"/>
                  <w:shd w:val="clear" w:color="auto" w:fill="F0F0F0"/>
                </w:tcPr>
                <w:p>
                  <w:pPr>
                    <w:pStyle w:val="Para 02"/>
                    <w:keepLines w:val="on"/>
                  </w:pPr>
                  <w:r>
                    <w:t>EV/IC= 3.55 + 1.22 gRevenue + 0.64 ROIC − 4.30 DFR</w:t>
                  </w:r>
                </w:p>
              </w:tc>
              <w:tc>
                <w:tcPr>
                  <w:tcW w:type="auto" w:w="0"/>
                  <w:shd w:val="clear" w:color="auto" w:fill="F0F0F0"/>
                </w:tcPr>
                <w:p>
                  <w:pPr>
                    <w:pStyle w:val="Normal"/>
                    <w:keepLines w:val="on"/>
                  </w:pPr>
                  <w:r>
                    <w:t>41.1%</w:t>
                  </w:r>
                </w:p>
              </w:tc>
            </w:tr>
            <w:tr>
              <w:tc>
                <w:tcPr>
                  <w:tcW w:type="auto" w:w="0"/>
                  <w:shd w:val="clear" w:color="auto" w:fill="F0F0F0"/>
                </w:tcPr>
                <w:p>
                  <w:pPr>
                    <w:pStyle w:val="Para 02"/>
                    <w:keepLines w:val="on"/>
                  </w:pPr>
                  <w:r>
                    <w:t>Úc, New Zealand &amp; Canada</w:t>
                  </w:r>
                </w:p>
              </w:tc>
              <w:tc>
                <w:tcPr>
                  <w:tcW w:type="auto" w:w="0"/>
                  <w:shd w:val="clear" w:color="auto" w:fill="F0F0F0"/>
                </w:tcPr>
                <w:p>
                  <w:pPr>
                    <w:pStyle w:val="Para 02"/>
                    <w:keepLines w:val="on"/>
                  </w:pPr>
                  <w:r>
                    <w:t>EV/IC= 2.38 + 0.71 gRevenue + 4.62 ROIC − 2.06 DFR</w:t>
                  </w:r>
                </w:p>
              </w:tc>
              <w:tc>
                <w:tcPr>
                  <w:tcW w:type="auto" w:w="0"/>
                  <w:shd w:val="clear" w:color="auto" w:fill="F0F0F0"/>
                </w:tcPr>
                <w:p>
                  <w:pPr>
                    <w:pStyle w:val="Normal"/>
                    <w:keepLines w:val="on"/>
                  </w:pPr>
                  <w:r>
                    <w:t>44.4%</w:t>
                  </w:r>
                </w:p>
              </w:tc>
            </w:tr>
            <w:tr>
              <w:tc>
                <w:tcPr>
                  <w:tcW w:type="auto" w:w="0"/>
                  <w:shd w:val="clear" w:color="auto" w:fill="F0F0F0"/>
                </w:tcPr>
                <w:p>
                  <w:pPr>
                    <w:pStyle w:val="Para 02"/>
                    <w:keepLines w:val="on"/>
                  </w:pPr>
                  <w:r>
                    <w:t>Các thị trường mới nổi</w:t>
                  </w:r>
                </w:p>
              </w:tc>
              <w:tc>
                <w:tcPr>
                  <w:tcW w:type="auto" w:w="0"/>
                  <w:shd w:val="clear" w:color="auto" w:fill="F0F0F0"/>
                </w:tcPr>
                <w:p>
                  <w:pPr>
                    <w:pStyle w:val="Para 02"/>
                    <w:keepLines w:val="on"/>
                  </w:pPr>
                  <w:r>
                    <w:t>EV/IC= 3.29 + 1.25 gRevenue + 0.96 ROIC − 3.76 DFR</w:t>
                  </w:r>
                </w:p>
              </w:tc>
              <w:tc>
                <w:tcPr>
                  <w:tcW w:type="auto" w:w="0"/>
                  <w:shd w:val="clear" w:color="auto" w:fill="F0F0F0"/>
                </w:tcPr>
                <w:p>
                  <w:pPr>
                    <w:pStyle w:val="Normal"/>
                    <w:keepLines w:val="on"/>
                  </w:pPr>
                  <w:r>
                    <w:t>50.1%</w:t>
                  </w:r>
                </w:p>
              </w:tc>
            </w:tr>
            <w:tr>
              <w:tc>
                <w:tcPr>
                  <w:tcW w:type="auto" w:w="0"/>
                  <w:shd w:val="clear" w:color="auto" w:fill="F0F0F0"/>
                </w:tcPr>
                <w:p>
                  <w:pPr>
                    <w:pStyle w:val="Para 02"/>
                    <w:keepLines w:val="on"/>
                  </w:pPr>
                  <w:r>
                    <w:t>Toàn cầu</w:t>
                  </w:r>
                </w:p>
              </w:tc>
              <w:tc>
                <w:tcPr>
                  <w:tcW w:type="auto" w:w="0"/>
                  <w:shd w:val="clear" w:color="auto" w:fill="F0F0F0"/>
                </w:tcPr>
                <w:p>
                  <w:pPr>
                    <w:pStyle w:val="Para 02"/>
                    <w:keepLines w:val="on"/>
                  </w:pPr>
                  <w:r>
                    <w:t>EV/IC= 4.70 + 0.70 gRevenue + 0.86 ROIC − 5.00 DFR</w:t>
                  </w:r>
                </w:p>
              </w:tc>
              <w:tc>
                <w:tcPr>
                  <w:tcW w:type="auto" w:w="0"/>
                  <w:shd w:val="clear" w:color="auto" w:fill="F0F0F0"/>
                </w:tcPr>
                <w:p>
                  <w:pPr>
                    <w:pStyle w:val="Normal"/>
                    <w:keepLines w:val="on"/>
                  </w:pPr>
                  <w:r>
                    <w:t>44,3%</w:t>
                  </w:r>
                </w:p>
              </w:tc>
            </w:tr>
          </w:tbl>
          <w:p/>
        </w:tc>
      </w:tr>
    </w:tbl>
    <w:p>
      <w:pPr>
        <w:pStyle w:val="Para 03"/>
      </w:pPr>
      <w:r>
        <w:t>Nếu kết quả từ việc sử dụng tỷ số giá trị trên giá trị sổ sách (value-to-book) và tỷ số giá trên giá trị sổ sách (price-to-book) song hành với nhau, thì tại sao bạn lại chọn dùng tỷ số này thay vì tỷ số kia? Lý lẽ ủng hộ việc dùng tỷ số giá trị trên giá trị sổ sách mạnh hơn đối với những công ty có đòn bẩy cao và/hoặc biến động. Các công ty có thể dùng đòn bẩy để tăng lợi nhuận trên vốn chủ sở hữu (return on equity), nhưng trong quá trình đó họ cũng làm tăng mức biến động của chỉ số này: vào thời kỳ thuận lợi họ báo cáo lợi nhuận trên vốn chủ sở hữu rất cao, còn vào thời kỳ khó khăn thì rất thấp hoặc âm. Với những công ty như vậy, tỷ số giá trị trên giá trị sổ sách cùng với lợi nhuận trên vốn đi kèm sẽ đưa ra những ước tính ổn định và đáng tin cậy hơn về giá trị tương đối. Ngoài ra, tỷ số giá trị trên giá trị sổ sách còn có thể được tính ngay cả với những công ty có giá trị sổ sách của vốn chủ sở hữu âm, và do đó ít có khả năng bị sai lệch hơn.</w:t>
      </w:r>
    </w:p>
    <w:p>
      <w:pPr>
        <w:pStyle w:val="Para 11"/>
      </w:pPr>
      <w:r>
        <w:t xml:space="preserve"> </w:t>
      </w:r>
    </w:p>
    <w:p>
      <w:bookmarkStart w:id="3997" w:name="MReg_xls__This_dataset_on_the_we_2"/>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93"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3997"/>
    </w:p>
    <w:p>
      <w:pPr>
        <w:pStyle w:val="Para 31"/>
        <w:keepLines w:val="on"/>
      </w:pPr>
      <w:r>
        <w:t>MReg.xls: Bộ dữ liệu này trên web báo cáo kết quả của lần hồi quy mới nhất của các tỷ số giá trị sổ sách dựa trên các yếu tố cơ bản, sử dụng tất cả các công ty trên thị trường.</w:t>
      </w:r>
    </w:p>
    <w:p>
      <w:bookmarkStart w:id="3998" w:name="Tobin_S_Q__Market_Value_Replacem"/>
      <w:bookmarkStart w:id="3999" w:name="Tobin_S_Q__Market_Value_Replacem_1"/>
      <w:pPr>
        <w:keepNext/>
        <w:pStyle w:val="Heading 2"/>
        <w:keepLines w:val="on"/>
      </w:pPr>
      <w:r>
        <w:t>Q của Tobin: Giá trị thị trường/Chi phí thay thế</w:t>
      </w:r>
      <w:bookmarkEnd w:id="3998"/>
      <w:bookmarkEnd w:id="3999"/>
    </w:p>
    <w:p>
      <w:pPr>
        <w:pStyle w:val="Para 03"/>
      </w:pPr>
      <w:r>
        <w:t>James Tobin đã đưa ra một giải pháp thay thế cho các thước đo giá trị tài chính truyền thống bằng cách so sánh giá trị thị trường của một tài sản với chi phí thay thế nó. Thước đo của ông, được gọi là Q của Tobin, có một số người ủng hộ trong giới học thuật nhưng vẫn chưa đột phá được vào ứng dụng thực tế, phần lớn là do những khó khăn trong việc thu thập thông tin cần thiết.</w:t>
      </w:r>
    </w:p>
    <w:p>
      <w:bookmarkStart w:id="4000" w:name="Definition_3"/>
      <w:bookmarkStart w:id="4001" w:name="Definition__Tobin_s_Q_is_estimat"/>
      <w:pPr>
        <w:keepNext/>
        <w:pStyle w:val="Heading 3"/>
        <w:keepLines w:val="on"/>
      </w:pPr>
      <w:r>
        <w:t>Định nghĩa</w:t>
      </w:r>
      <w:bookmarkEnd w:id="4000"/>
      <w:bookmarkEnd w:id="4001"/>
    </w:p>
    <w:p>
      <w:pPr>
        <w:pStyle w:val="Para 03"/>
      </w:pPr>
      <w:r>
        <w:t>Q của Tobin được ước tính bằng cách lấy giá trị thị trường của tài sản của một công ty chia cho chi phí thay thế những tài sản đó.</w:t>
      </w:r>
    </w:p>
    <w:p>
      <w:bookmarkStart w:id="4002" w:name="Tobin_s_Q_Market_value_of_assets"/>
      <w:pPr>
        <w:keepNext/>
        <w:pStyle w:val="Para 09"/>
        <w:keepLines w:val="on"/>
      </w:pPr>
      <w:r>
        <w:t>Q của Tobin=Giá trị thị trường của tài sản hiện cóChi phí thay thế của tài sản hiện có</w:t>
      </w:r>
      <w:bookmarkEnd w:id="4002"/>
    </w:p>
    <w:p>
      <w:pPr>
        <w:pStyle w:val="Para 03"/>
      </w:pPr>
      <w:r>
        <w:t>Trong những trường hợp lạm phát đã đẩy chi phí thay thế tài sản lên cao, hoặc khi công nghệ đã làm giảm chi phí tài sản, thước đo này có thể cung cấp một thước đo giá trị tài sản được cập nhật hơn so với giá trị sổ sách kế toán. Lý do cho thước đo này rất đơn giản. Những công ty kiếm được lợi nhuận vượt trội âm và không sử dụng tài sản của mình một cách hiệu quả sẽ có Q của Tobin nhỏ hơn 1. Những công ty sử dụng tài sản của mình hiệu quả hơn sẽ được giao dịch ở mức Q của Tobin lớn hơn 1.</w:t>
      </w:r>
    </w:p>
    <w:p>
      <w:pPr>
        <w:pStyle w:val="Para 03"/>
      </w:pPr>
      <w:r>
        <w:t>Mặc dù thước đo này có một số ưu điểm về mặt lý thuyết, nó cũng có một số vấn đề thực tế. Thứ nhất là giá trị thay thế của một số tài sản có thể khó ước tính, đặc biệt nếu tài sản không được giao dịch trên thị trường. Thứ hai là ngay cả khi có sẵn giá trị thay thế, cần nhiều thông tin hơn đáng kể để xây dựng thước đo này so với tỷ số giá trên giá trị sổ sách truyền thống. Trong thực tế, các nhà phân tích thường dùng những cách tắt để tính ra Q của Tobin, sử dụng giá trị sổ sách của tài sản làm đại diện cho giá trị thay thế và giá trị thị trường của nợ và vốn chủ sở hữu làm đại diện cho giá trị thị trường của tài sản. Trong những trường hợp này, Q của Tobin giống với tỷ số giá trị trên giá trị sổ sách đã mô tả ở phần trước.</w:t>
      </w:r>
    </w:p>
    <w:p>
      <w:bookmarkStart w:id="4004" w:name="Description_3"/>
      <w:bookmarkStart w:id="4005" w:name="Description__If_we_use_the_stric"/>
      <w:pPr>
        <w:keepNext/>
        <w:pStyle w:val="Heading 3"/>
        <w:keepLines w:val="on"/>
      </w:pPr>
      <w:r>
        <w:t>Mô tả</w:t>
      </w:r>
      <w:bookmarkEnd w:id="4004"/>
      <w:bookmarkEnd w:id="4005"/>
    </w:p>
    <w:p>
      <w:pPr>
        <w:pStyle w:val="Para 03"/>
      </w:pPr>
      <w:r>
        <w:t>Nếu chúng ta dùng định nghĩa chặt chẽ của Q của Tobin, chúng ta không thể có được phân phối cắt ngang của tỷ số này vì thông tin để ước tính nó không dễ tiếp cận, thậm chí không có sẵn. Đây là một trở ngại nghiêm trọng đối với việc sử dụng tỷ số này trong định giá, bởi vì chúng ta không biết một con số cao, thấp hay trung bình cho tỷ số này sẽ là bao nhiêu. Ví dụ, giả sử bạn tìm thấy một công ty đang giao dịch ở mức 1,2 lần chi phí thay thế tài sản. Bạn sẽ không có cách nào biết mình đang trả quá nhiều hay quá ít cho công ty này nếu không biết các thống kê tóm tắt của thị trường.</w:t>
      </w:r>
    </w:p>
    <w:p>
      <w:bookmarkStart w:id="4006" w:name="Analysis__The_value_obtained_fro"/>
      <w:bookmarkStart w:id="4007" w:name="Analysis_3"/>
      <w:pPr>
        <w:keepNext/>
        <w:pStyle w:val="Heading 3"/>
        <w:keepLines w:val="on"/>
      </w:pPr>
      <w:r>
        <w:t>Phân tích</w:t>
      </w:r>
      <w:bookmarkEnd w:id="4006"/>
      <w:bookmarkEnd w:id="4007"/>
    </w:p>
    <w:p>
      <w:pPr>
        <w:pStyle w:val="Para 03"/>
      </w:pPr>
      <w:r>
        <w:t>Giá trị thu được từ Q của Tobin được quyết định bởi hai biến số—giá trị thị trường của công ty và chi phí thay thế tài sản hiện có. Trong thời kỳ lạm phát, khi chi phí thay thế tài sản tăng dần theo thời gian, Q của Tobin nói chung sẽ thấp hơn tỷ số giá trên giá trị sổ sách chưa điều chỉnh, và mức chênh lệch sẽ tăng lên với những công ty có tài sản cũ hơn. Ngược lại, nếu chi phí thay thế tài sản giảm nhanh hơn nhiều so với giá trị sổ sách (do thay đổi công nghệ), Q của Tobin nói chung sẽ cao hơn tỷ số giá trên giá trị sổ sách chưa điều chỉnh.</w:t>
      </w:r>
    </w:p>
    <w:p>
      <w:pPr>
        <w:pStyle w:val="Para 03"/>
      </w:pPr>
      <w:r>
        <w:t>Q của Tobin cũng được quyết định bởi mức độ hiệu quả mà một công ty quản lý tài sản của mình và khai thác giá trị từ chúng so với người trả giá tốt thứ hai. Để thấy tại sao, hãy lưu ý rằng giá trị thị trường của một tài sản sẽ bằng chi phí thay thế của nó khi tài sản kiếm được lợi nhuận yêu cầu. (Nếu lợi nhuận trên vốn kiếm được bằng chi phí vốn, các khoản đầu tư có giá trị hiện tại ròng bằng không, và giá trị hiện tại của dòng tiền từ khoản đầu tư sẽ bằng chi phí thay thế.) Tiếp tục logic này, Q của Tobin sẽ nhỏ hơn 1 nếu một công ty kiếm được ít hơn lợi nhuận yêu cầu trên các khoản đầu tư, và lớn hơn 1 nếu nó kiếm được lợi nhuận vượt trội dương.</w:t>
      </w:r>
    </w:p>
    <w:p>
      <w:bookmarkStart w:id="4008" w:name="Applications__Tobin_s_Q_is_a_pra"/>
      <w:bookmarkStart w:id="4009" w:name="Applications"/>
      <w:pPr>
        <w:keepNext/>
        <w:pStyle w:val="Heading 3"/>
        <w:keepLines w:val="on"/>
      </w:pPr>
      <w:r>
        <w:t>Ứng dụng</w:t>
      </w:r>
      <w:bookmarkEnd w:id="4008"/>
      <w:bookmarkEnd w:id="4009"/>
    </w:p>
    <w:p>
      <w:pPr>
        <w:pStyle w:val="Para 03"/>
      </w:pPr>
      <w:r>
        <w:t>Q của Tobin là một thước đo giá trị thực tế cho một công ty trưởng thành với phần lớn hoặc toàn bộ tài sản hiện có, khi chi phí thay thế có thể được ước tính cho các tài sản đó. Ví dụ, hãy xem xét một công ty thép với ít hoặc không có tiềm năng tăng trưởng. Giá trị thị trường của công ty này có thể được dùng làm đại diện cho giá trị thị trường của tài sản, và bạn có thể điều chỉnh giá trị sổ sách của tài sản mà công ty sở hữu theo lạm phát. Ngược lại, việc ước tính giá trị thị trường của tài sản sở hữu sẽ khó khăn đối với một công ty tăng trưởng cao, vì giá trị thị trường của vốn chủ sở hữu của công ty này sẽ bao gồm một khoản phụ trội cho tăng trưởng trong tương lai.</w:t>
      </w:r>
    </w:p>
    <w:p>
      <w:pPr>
        <w:pStyle w:val="Para 03"/>
      </w:pPr>
      <w:r>
        <w:t>Q của Tobin là một thước đo về chất lượng được nhận thức của ban lãnh đạo công ty hơn là về việc định giá sai, với những công ty được quản lý kém giao dịch ở mức giá trị thị trường thấp hơn chi phí thay thế của tài sản mà họ sở hữu. Trên thực tế, một số nghiên cứu đã xem xét liệu những công ty như vậy có nhiều khả năng bị thâu tóm hơn không. Lang, Stulz, và Walkling (1991) kết luận rằng những công ty có Q của Tobin thấp có nhiều khả năng bị thâu tóm hơn với mục đích tái cấu trúc và gia tăng giá trị. Họ cũng phát hiện rằng cổ đông của những bên chào mua có Q của Tobin cao được hưởng lợi nhiều hơn đáng kể từ các đề nghị mua thắng lợi so với cổ đông của những bên chào mua có Q của Tobin thấp.</w:t>
      </w:r>
    </w:p>
    <w:p>
      <w:bookmarkStart w:id="4011" w:name="Conclusion_18"/>
      <w:bookmarkStart w:id="4012" w:name="Conclusion__The_relationship_bet"/>
      <w:pPr>
        <w:keepNext/>
        <w:pStyle w:val="Heading 2"/>
        <w:keepLines w:val="on"/>
      </w:pPr>
      <w:r>
        <w:t>Kết luận</w:t>
      </w:r>
      <w:bookmarkEnd w:id="4011"/>
      <w:bookmarkEnd w:id="4012"/>
    </w:p>
    <w:p>
      <w:pPr>
        <w:pStyle w:val="Para 03"/>
      </w:pPr>
      <w:r>
        <w:t>Mối quan hệ giữa giá và giá trị sổ sách phức tạp hơn nhiều so với điều mà hầu hết nhà đầu tư nhận ra. Tỷ số giá trên giá trị sổ sách của một công ty được quyết định bởi tỷ lệ chi trả cổ tức kỳ vọng, tốc độ tăng trưởng lợi nhuận kỳ vọng, và mức độ rủi ro của nó. Tuy nhiên, yếu tố quyết định quan trọng nhất là lợi nhuận trên vốn chủ sở hữu mà công ty kiếm được—lợi nhuận cao hơn dẫn đến tỷ số giá trên giá trị sổ sách cao hơn, và lợi nhuận thấp hơn dẫn đến tỷ số PBV thấp hơn. Sự không khớp lệch đáng để nhà đầu tư chú ý là sự không khớp giữa lợi nhuận trên vốn chủ sở hữu và tỷ số giá trên giá trị sổ sách—tỷ số giá trên giá trị sổ sách cao với lợi nhuận trên vốn chủ sở hữu thấp (định giá quá cao) và tỷ số giá trên giá trị sổ sách thấp với lợi nhuận trên vốn chủ sở hữu cao (định giá thấp).</w:t>
      </w:r>
    </w:p>
    <w:p>
      <w:pPr>
        <w:pStyle w:val="Para 03"/>
      </w:pPr>
      <w:r>
        <w:t>Tỷ số giá trị trên giá trị sổ sách là phiên bản tương tự của tỷ số giá trên giá trị sổ sách nhưng dành cho giá trị công ty, và nó là một hàm của lợi nhuận trên vốn mà công ty kiếm được, chi phí vốn của nó, và tỷ lệ tái đầu tư. Tuy nhiên, một lần nữa, những công ty có tỷ số giá trị trên giá trị sổ sách thấp và lợi nhuận trên vốn kỳ vọng cao có thể được xem là bị định giá thấp.</w:t>
      </w:r>
    </w:p>
    <w:p>
      <w:bookmarkStart w:id="4013" w:name="Questions_and_Short_Problems_19"/>
      <w:bookmarkStart w:id="4014" w:name="Questions_and_Short_Problems__In_13"/>
      <w:pPr>
        <w:keepNext/>
        <w:pStyle w:val="Heading 2"/>
        <w:keepLines w:val="on"/>
      </w:pPr>
      <w:r>
        <w:t>Câu hỏi và Bài tập ngắn</w:t>
      </w:r>
      <w:bookmarkEnd w:id="4013"/>
      <w:bookmarkEnd w:id="4014"/>
    </w:p>
    <w:p>
      <w:pPr>
        <w:pStyle w:val="Para 44"/>
      </w:pPr>
      <w:r>
        <w:t>Trong các bài tập sau đây, hãy sử dụng mức phụ trội rủi ro vốn chủ sở hữu là 5,5 phần trăm nếu không có quy định nào khác.</w:t>
      </w:r>
    </w:p>
    <w:p>
      <w:pPr>
        <w:numPr>
          <w:ilvl w:val="0"/>
          <w:numId w:val="186"/>
        </w:numPr>
        <w:pStyle w:val="Para 01"/>
      </w:pPr>
      <w:r>
        <w:t>Hãy trả lời đúng hay sai cho các phát biểu sau đây, kèm theo một giải thích ngắn.</w:t>
      </w:r>
    </w:p>
    <w:p>
      <w:pPr>
        <w:numPr>
          <w:ilvl w:val="1"/>
          <w:numId w:val="186"/>
        </w:numPr>
        <w:pStyle w:val="Para 01"/>
      </w:pPr>
      <w:r>
        <w:t>Một cổ phiếu bán với giá thấp hơn giá trị sổ sách là đang bị định giá thấp.</w:t>
      </w:r>
    </w:p>
    <w:p>
      <w:pPr>
        <w:pStyle w:val="Para 03"/>
      </w:pPr>
      <w:r>
        <w:t>Đúng ___ Sai ___</w:t>
      </w:r>
    </w:p>
    <w:p>
      <w:pPr>
        <w:numPr>
          <w:ilvl w:val="1"/>
          <w:numId w:val="186"/>
        </w:numPr>
        <w:pStyle w:val="Para 01"/>
      </w:pPr>
      <w:r>
        <w:t>Nếu tỷ suất sinh lợi trên vốn chủ sở hữu (return on equity) của một công ty giảm, thì tỷ lệ giá trên giá trị sổ sách (price–book value ratio) của nó nói chung sẽ giảm nhiều hơn mức tương ứng (ví dụ, nếu tỷ suất sinh lợi trên vốn chủ sở hữu giảm một nửa, thì tỷ lệ giá trên giá trị sổ sách sẽ giảm hơn một nửa).</w:t>
      </w:r>
    </w:p>
    <w:p>
      <w:pPr>
        <w:pStyle w:val="Para 03"/>
      </w:pPr>
      <w:r>
        <w:t>Đúng ___ Sai ___</w:t>
      </w:r>
    </w:p>
    <w:p>
      <w:pPr>
        <w:numPr>
          <w:ilvl w:val="1"/>
          <w:numId w:val="186"/>
        </w:numPr>
        <w:pStyle w:val="Para 01"/>
      </w:pPr>
      <w:r>
        <w:t>Sự kết hợp giữa tỷ lệ giá trên giá trị sổ sách thấp và tỷ suất sinh lợi trên vốn chủ sở hữu kỳ vọng cao cho thấy một cổ phiếu đang bị định giá thấp.</w:t>
      </w:r>
    </w:p>
    <w:p>
      <w:pPr>
        <w:pStyle w:val="Para 03"/>
      </w:pPr>
      <w:r>
        <w:t>Đúng ___ Sai ___</w:t>
      </w:r>
    </w:p>
    <w:p>
      <w:pPr>
        <w:numPr>
          <w:ilvl w:val="1"/>
          <w:numId w:val="186"/>
        </w:numPr>
        <w:pStyle w:val="Para 01"/>
      </w:pPr>
      <w:r>
        <w:t>Các yếu tố khác giữ nguyên, một cổ phiếu có mức tăng trưởng cao hơn sẽ có tỷ lệ giá trên giá trị sổ sách cao hơn một cổ phiếu có mức tăng trưởng thấp hơn.</w:t>
      </w:r>
    </w:p>
    <w:p>
      <w:pPr>
        <w:pStyle w:val="Para 03"/>
      </w:pPr>
      <w:r>
        <w:t>Đúng ___ Sai ___</w:t>
      </w:r>
    </w:p>
    <w:p>
      <w:pPr>
        <w:numPr>
          <w:ilvl w:val="1"/>
          <w:numId w:val="186"/>
        </w:numPr>
        <w:pStyle w:val="Para 01"/>
      </w:pPr>
      <w:r>
        <w:t>Trong mô hình tăng trưởng Gordon (Gordon growth model), các công ty có tỷ lệ chi trả cổ tức (dividend payout ratio) cao hơn sẽ có tỷ lệ giá trên giá trị sổ sách cao hơn.</w:t>
      </w:r>
    </w:p>
    <w:p>
      <w:pPr>
        <w:pStyle w:val="Para 03"/>
      </w:pPr>
      <w:r>
        <w:t>Đúng ___ Sai ___</w:t>
      </w:r>
    </w:p>
    <w:p>
      <w:pPr>
        <w:numPr>
          <w:ilvl w:val="0"/>
          <w:numId w:val="186"/>
        </w:numPr>
        <w:pStyle w:val="Para 01"/>
      </w:pPr>
      <w:r>
        <w:t>NCH Corporation, công ty kinh doanh hóa chất tẩy rửa, thuốc diệt côn trùng và các sản phẩm khác, đã trả cổ tức 2 đô la mỗi cổ phần vào năm 1993 trên mức thu nhập 4 đô la mỗi cổ phần. Giá trị sổ sách của vốn chủ sở hữu trên mỗi cổ phần là 40 đô la, và thu nhập được kỳ vọng tăng 6% mỗi năm trong dài hạn. Cổ phiếu có hệ số beta là 0,85 và đang được bán với giá 60 đô la mỗi cổ phần. (Lãi suất trái phiếu kho bạc là 7%, và phần bù rủi ro thị trường là 5,5%.)</w:t>
      </w:r>
    </w:p>
    <w:p>
      <w:pPr>
        <w:numPr>
          <w:ilvl w:val="1"/>
          <w:numId w:val="186"/>
        </w:numPr>
        <w:pStyle w:val="Para 01"/>
      </w:pPr>
      <w:r>
        <w:t>Dựa trên những dữ liệu đầu vào này, hãy ước tính tỷ lệ giá trên giá trị sổ sách cho NCH.</w:t>
      </w:r>
    </w:p>
    <w:p>
      <w:pPr>
        <w:numPr>
          <w:ilvl w:val="1"/>
          <w:numId w:val="186"/>
        </w:numPr>
        <w:pStyle w:val="Para 01"/>
      </w:pPr>
      <w:r>
        <w:t>Tỷ suất sinh lợi trên vốn chủ sở hữu sẽ phải tăng thêm bao nhiêu để biện minh cho tỷ lệ giá trên giá trị sổ sách mà NCH đang được bán vào năm 1993?</w:t>
      </w:r>
    </w:p>
    <w:p>
      <w:pPr>
        <w:numPr>
          <w:ilvl w:val="0"/>
          <w:numId w:val="186"/>
        </w:numPr>
        <w:pStyle w:val="Para 01"/>
      </w:pPr>
      <w:r>
        <w:t>Bạn đang phân tích tỷ lệ giá trên giá trị sổ sách của các công ty trong ngành vận tải đường bộ, so với tỷ suất sinh lợi trên vốn chủ sở hữu và tỷ suất sinh lợi yêu cầu. Dữ liệu về các công ty như sau:</w:t>
      </w:r>
    </w:p>
    <w:tbl>
      <w:tblPr>
        <w:tblW w:type="auto" w:w="0"/>
      </w:tblPr>
      <w:tr>
        <w:tc>
          <w:tcPr>
            <w:tcW w:type="auto" w:w="0"/>
          </w:tcPr>
          <w:tbl>
            <w:tblPr>
              <w:tblW w:type="pct" w:w="5000"/>
            </w:tblPr>
            <w:tr>
              <w:tc>
                <w:tcPr>
                  <w:tcW w:type="auto" w:w="0"/>
                  <w:shd w:val="clear" w:color="auto" w:fill="F0F0F0"/>
                </w:tcPr>
                <w:p>
                  <w:pPr>
                    <w:pStyle w:val="Para 29"/>
                    <w:keepLines w:val="on"/>
                  </w:pPr>
                  <w:r>
                    <w:t>Công ty</w:t>
                  </w:r>
                </w:p>
              </w:tc>
              <w:tc>
                <w:tcPr>
                  <w:tcW w:type="auto" w:w="0"/>
                  <w:shd w:val="clear" w:color="auto" w:fill="F0F0F0"/>
                </w:tcPr>
                <w:p>
                  <w:pPr>
                    <w:pStyle w:val="Para 17"/>
                    <w:keepLines w:val="on"/>
                  </w:pPr>
                  <w:r>
                    <w:t>PBV</w:t>
                  </w:r>
                </w:p>
              </w:tc>
              <w:tc>
                <w:tcPr>
                  <w:tcW w:type="auto" w:w="0"/>
                  <w:shd w:val="clear" w:color="auto" w:fill="F0F0F0"/>
                </w:tcPr>
                <w:p>
                  <w:pPr>
                    <w:pStyle w:val="Para 17"/>
                    <w:keepLines w:val="on"/>
                  </w:pPr>
                  <w:r>
                    <w:t>ROE</w:t>
                  </w:r>
                </w:p>
              </w:tc>
              <w:tc>
                <w:tcPr>
                  <w:tcW w:type="auto" w:w="0"/>
                  <w:shd w:val="clear" w:color="auto" w:fill="F0F0F0"/>
                </w:tcPr>
                <w:p>
                  <w:pPr>
                    <w:pStyle w:val="Para 17"/>
                    <w:keepLines w:val="on"/>
                  </w:pPr>
                  <w:r>
                    <w:t>Beta</w:t>
                  </w:r>
                </w:p>
              </w:tc>
            </w:tr>
            <w:tr>
              <w:tc>
                <w:tcPr>
                  <w:tcW w:type="auto" w:w="0"/>
                  <w:shd w:val="clear" w:color="auto" w:fill="F0F0F0"/>
                </w:tcPr>
                <w:p>
                  <w:pPr>
                    <w:pStyle w:val="Para 02"/>
                    <w:keepLines w:val="on"/>
                  </w:pPr>
                  <w:r>
                    <w:t>Builders Transport</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11,5%</w:t>
                  </w:r>
                </w:p>
              </w:tc>
              <w:tc>
                <w:tcPr>
                  <w:tcW w:type="auto" w:w="0"/>
                  <w:shd w:val="clear" w:color="auto" w:fill="F0F0F0"/>
                </w:tcPr>
                <w:p>
                  <w:pPr>
                    <w:pStyle w:val="Normal"/>
                    <w:keepLines w:val="on"/>
                  </w:pPr>
                  <w:r>
                    <w:t>1,00</w:t>
                  </w:r>
                </w:p>
              </w:tc>
            </w:tr>
            <w:tr>
              <w:tc>
                <w:tcPr>
                  <w:tcW w:type="auto" w:w="0"/>
                  <w:shd w:val="clear" w:color="auto" w:fill="F0F0F0"/>
                </w:tcPr>
                <w:p>
                  <w:pPr>
                    <w:pStyle w:val="Para 02"/>
                    <w:keepLines w:val="on"/>
                  </w:pPr>
                  <w:r>
                    <w:t>Carolina Freight</w:t>
                  </w:r>
                </w:p>
              </w:tc>
              <w:tc>
                <w:tcPr>
                  <w:tcW w:type="auto" w:w="0"/>
                  <w:shd w:val="clear" w:color="auto" w:fill="F0F0F0"/>
                </w:tcPr>
                <w:p>
                  <w:pPr>
                    <w:pStyle w:val="Normal"/>
                    <w:keepLines w:val="on"/>
                  </w:pPr>
                  <w:r>
                    <w:t>0,60</w:t>
                  </w:r>
                </w:p>
              </w:tc>
              <w:tc>
                <w:tcPr>
                  <w:tcW w:type="auto" w:w="0"/>
                  <w:shd w:val="clear" w:color="auto" w:fill="F0F0F0"/>
                </w:tcPr>
                <w:p>
                  <w:pPr>
                    <w:pStyle w:val="Normal"/>
                    <w:keepLines w:val="on"/>
                  </w:pPr>
                  <w:r>
                    <w:t>5,5%</w:t>
                  </w:r>
                </w:p>
              </w:tc>
              <w:tc>
                <w:tcPr>
                  <w:tcW w:type="auto" w:w="0"/>
                  <w:shd w:val="clear" w:color="auto" w:fill="F0F0F0"/>
                </w:tcPr>
                <w:p>
                  <w:pPr>
                    <w:pStyle w:val="Normal"/>
                    <w:keepLines w:val="on"/>
                  </w:pPr>
                  <w:r>
                    <w:t>1.20</w:t>
                  </w:r>
                </w:p>
              </w:tc>
            </w:tr>
            <w:tr>
              <w:tc>
                <w:tcPr>
                  <w:tcW w:type="auto" w:w="0"/>
                  <w:shd w:val="clear" w:color="auto" w:fill="F0F0F0"/>
                </w:tcPr>
                <w:p>
                  <w:pPr>
                    <w:pStyle w:val="Para 02"/>
                    <w:keepLines w:val="on"/>
                  </w:pPr>
                  <w:r>
                    <w:t>Consolidated Freight</w:t>
                  </w:r>
                </w:p>
              </w:tc>
              <w:tc>
                <w:tcPr>
                  <w:tcW w:type="auto" w:w="0"/>
                  <w:shd w:val="clear" w:color="auto" w:fill="F0F0F0"/>
                </w:tcPr>
                <w:p>
                  <w:pPr>
                    <w:pStyle w:val="Normal"/>
                    <w:keepLines w:val="on"/>
                  </w:pPr>
                  <w:r>
                    <w:t>2.60</w:t>
                  </w:r>
                </w:p>
              </w:tc>
              <w:tc>
                <w:tcPr>
                  <w:tcW w:type="auto" w:w="0"/>
                  <w:shd w:val="clear" w:color="auto" w:fill="F0F0F0"/>
                </w:tcPr>
                <w:p>
                  <w:pPr>
                    <w:pStyle w:val="Normal"/>
                    <w:keepLines w:val="on"/>
                  </w:pPr>
                  <w:r>
                    <w:t>12.0%</w:t>
                  </w:r>
                </w:p>
              </w:tc>
              <w:tc>
                <w:tcPr>
                  <w:tcW w:type="auto" w:w="0"/>
                  <w:shd w:val="clear" w:color="auto" w:fill="F0F0F0"/>
                </w:tcPr>
                <w:p>
                  <w:pPr>
                    <w:pStyle w:val="Normal"/>
                    <w:keepLines w:val="on"/>
                  </w:pPr>
                  <w:r>
                    <w:t>1.15</w:t>
                  </w:r>
                </w:p>
              </w:tc>
            </w:tr>
            <w:tr>
              <w:tc>
                <w:tcPr>
                  <w:tcW w:type="auto" w:w="0"/>
                  <w:shd w:val="clear" w:color="auto" w:fill="F0F0F0"/>
                </w:tcPr>
                <w:p>
                  <w:pPr>
                    <w:pStyle w:val="Para 02"/>
                    <w:keepLines w:val="on"/>
                  </w:pPr>
                  <w:r>
                    <w:t>J.B. Hunt</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14.5%</w:t>
                  </w:r>
                </w:p>
              </w:tc>
              <w:tc>
                <w:tcPr>
                  <w:tcW w:type="auto" w:w="0"/>
                  <w:shd w:val="clear" w:color="auto" w:fill="F0F0F0"/>
                </w:tcPr>
                <w:p>
                  <w:pPr>
                    <w:pStyle w:val="Normal"/>
                    <w:keepLines w:val="on"/>
                  </w:pPr>
                  <w:r>
                    <w:t>1.00</w:t>
                  </w:r>
                </w:p>
              </w:tc>
            </w:tr>
            <w:tr>
              <w:tc>
                <w:tcPr>
                  <w:tcW w:type="auto" w:w="0"/>
                  <w:shd w:val="clear" w:color="auto" w:fill="F0F0F0"/>
                </w:tcPr>
                <w:p>
                  <w:pPr>
                    <w:pStyle w:val="Para 02"/>
                    <w:keepLines w:val="on"/>
                  </w:pPr>
                  <w:r>
                    <w:t>M.S. Carriers</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1.15</w:t>
                  </w:r>
                </w:p>
              </w:tc>
            </w:tr>
            <w:tr>
              <w:tc>
                <w:tcPr>
                  <w:tcW w:type="auto" w:w="0"/>
                  <w:shd w:val="clear" w:color="auto" w:fill="F0F0F0"/>
                </w:tcPr>
                <w:p>
                  <w:pPr>
                    <w:pStyle w:val="Para 02"/>
                    <w:keepLines w:val="on"/>
                  </w:pPr>
                  <w:r>
                    <w:t>Roadway Services</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14.0%</w:t>
                  </w:r>
                </w:p>
              </w:tc>
              <w:tc>
                <w:tcPr>
                  <w:tcW w:type="auto" w:w="0"/>
                  <w:shd w:val="clear" w:color="auto" w:fill="F0F0F0"/>
                </w:tcPr>
                <w:p>
                  <w:pPr>
                    <w:pStyle w:val="Normal"/>
                    <w:keepLines w:val="on"/>
                  </w:pPr>
                  <w:r>
                    <w:t>1.15</w:t>
                  </w:r>
                </w:p>
              </w:tc>
            </w:tr>
            <w:tr>
              <w:tc>
                <w:tcPr>
                  <w:tcW w:type="auto" w:w="0"/>
                  <w:shd w:val="clear" w:color="auto" w:fill="F0F0F0"/>
                </w:tcPr>
                <w:p>
                  <w:pPr>
                    <w:pStyle w:val="Para 02"/>
                    <w:keepLines w:val="on"/>
                  </w:pPr>
                  <w:r>
                    <w:t>Ryder System</w:t>
                  </w:r>
                </w:p>
              </w:tc>
              <w:tc>
                <w:tcPr>
                  <w:tcW w:type="auto" w:w="0"/>
                  <w:shd w:val="clear" w:color="auto" w:fill="F0F0F0"/>
                </w:tcPr>
                <w:p>
                  <w:pPr>
                    <w:pStyle w:val="Normal"/>
                    <w:keepLines w:val="on"/>
                  </w:pPr>
                  <w:r>
                    <w:t>2.25</w:t>
                  </w:r>
                </w:p>
              </w:tc>
              <w:tc>
                <w:tcPr>
                  <w:tcW w:type="auto" w:w="0"/>
                  <w:shd w:val="clear" w:color="auto" w:fill="F0F0F0"/>
                </w:tcPr>
                <w:p>
                  <w:pPr>
                    <w:pStyle w:val="Normal"/>
                    <w:keepLines w:val="on"/>
                  </w:pPr>
                  <w:r>
                    <w:t>13.0%</w:t>
                  </w:r>
                </w:p>
              </w:tc>
              <w:tc>
                <w:tcPr>
                  <w:tcW w:type="auto" w:w="0"/>
                  <w:shd w:val="clear" w:color="auto" w:fill="F0F0F0"/>
                </w:tcPr>
                <w:p>
                  <w:pPr>
                    <w:pStyle w:val="Normal"/>
                    <w:keepLines w:val="on"/>
                  </w:pPr>
                  <w:r>
                    <w:t>1.05</w:t>
                  </w:r>
                </w:p>
              </w:tc>
            </w:tr>
            <w:tr>
              <w:tc>
                <w:tcPr>
                  <w:tcW w:type="auto" w:w="0"/>
                  <w:shd w:val="clear" w:color="auto" w:fill="F0F0F0"/>
                </w:tcPr>
                <w:p>
                  <w:pPr>
                    <w:pStyle w:val="Para 02"/>
                    <w:keepLines w:val="on"/>
                  </w:pPr>
                  <w:r>
                    <w:t>Xtra Corporation</w:t>
                  </w:r>
                </w:p>
              </w:tc>
              <w:tc>
                <w:tcPr>
                  <w:tcW w:type="auto" w:w="0"/>
                  <w:shd w:val="clear" w:color="auto" w:fill="F0F0F0"/>
                </w:tcPr>
                <w:p>
                  <w:pPr>
                    <w:pStyle w:val="Normal"/>
                    <w:keepLines w:val="on"/>
                  </w:pPr>
                  <w:r>
                    <w:t>2.80</w:t>
                  </w:r>
                </w:p>
              </w:tc>
              <w:tc>
                <w:tcPr>
                  <w:tcW w:type="auto" w:w="0"/>
                  <w:shd w:val="clear" w:color="auto" w:fill="F0F0F0"/>
                </w:tcPr>
                <w:p>
                  <w:pPr>
                    <w:pStyle w:val="Normal"/>
                    <w:keepLines w:val="on"/>
                  </w:pPr>
                  <w:r>
                    <w:t>16.5%</w:t>
                  </w:r>
                </w:p>
              </w:tc>
              <w:tc>
                <w:tcPr>
                  <w:tcW w:type="auto" w:w="0"/>
                  <w:shd w:val="clear" w:color="auto" w:fill="F0F0F0"/>
                </w:tcPr>
                <w:p>
                  <w:pPr>
                    <w:pStyle w:val="Normal"/>
                    <w:keepLines w:val="on"/>
                  </w:pPr>
                  <w:r>
                    <w:t>1.10</w:t>
                  </w:r>
                </w:p>
              </w:tc>
            </w:tr>
          </w:tbl>
          <w:p/>
        </w:tc>
      </w:tr>
    </w:tbl>
    <w:p>
      <w:pPr>
        <w:pStyle w:val="Para 03"/>
      </w:pPr>
      <w:r>
        <w:t>Tỷ lệ trái phiếu Kho bạc là 7%, và phần bù rủi ro thị trường là 5,5%.</w:t>
      </w:r>
    </w:p>
    <w:p>
      <w:pPr>
        <w:numPr>
          <w:ilvl w:val="1"/>
          <w:numId w:val="186"/>
        </w:numPr>
        <w:pStyle w:val="Para 01"/>
      </w:pPr>
      <w:r>
        <w:t>Tính tỷ lệ PBV trung bình, lợi nhuận trên vốn chủ sở hữu (return on equity) và beta cho ngành.</w:t>
      </w:r>
    </w:p>
    <w:p>
      <w:pPr>
        <w:numPr>
          <w:ilvl w:val="1"/>
          <w:numId w:val="186"/>
        </w:numPr>
        <w:pStyle w:val="Para 01"/>
      </w:pPr>
      <w:r>
        <w:t>Dựa trên các mức trung bình này, các cổ phiếu trong ngành đang bị định giá thấp hay cao so với giá trị sổ sách?</w:t>
      </w:r>
    </w:p>
    <w:p>
      <w:pPr>
        <w:numPr>
          <w:ilvl w:val="0"/>
          <w:numId w:val="186"/>
        </w:numPr>
        <w:pStyle w:val="Para 01"/>
      </w:pPr>
      <w:r>
        <w:t>United Healthcare, một tổ chức duy trì sức khỏe, được kỳ vọng có mức tăng trưởng thu nhập 30% trong năm năm tới và 6% sau đó. Tỷ lệ chi trả cổ tức sẽ chỉ là 10% trong giai đoạn tăng trưởng cao nhưng sẽ tăng lên 60% ở trạng thái ổn định. Cổ phiếu hiện có beta là 1,65, nhưng beta được kỳ vọng sẽ giảm xuống 1,10 ở trạng thái ổn định. (Tỷ lệ trái phiếu Kho bạc là 7,25%.)</w:t>
      </w:r>
    </w:p>
    <w:p>
      <w:pPr>
        <w:numPr>
          <w:ilvl w:val="1"/>
          <w:numId w:val="186"/>
        </w:numPr>
        <w:pStyle w:val="Para 01"/>
      </w:pPr>
      <w:r>
        <w:t>Ước tính tỷ lệ giá trên giá trị sổ sách (price–book value ratio) cho United Healthcare, với các dữ liệu đầu vào như đã cho.</w:t>
      </w:r>
    </w:p>
    <w:p>
      <w:pPr>
        <w:numPr>
          <w:ilvl w:val="1"/>
          <w:numId w:val="186"/>
        </w:numPr>
        <w:pStyle w:val="Para 01"/>
      </w:pPr>
      <w:r>
        <w:t>Tỷ lệ giá trên giá trị sổ sách nhạy cảm như thế nào với các ước tính về tăng trưởng trong giai đoạn tăng trưởng cao?</w:t>
      </w:r>
    </w:p>
    <w:p>
      <w:pPr>
        <w:numPr>
          <w:ilvl w:val="1"/>
          <w:numId w:val="186"/>
        </w:numPr>
        <w:pStyle w:val="Para 01"/>
      </w:pPr>
      <w:r>
        <w:t>United Healthcare giao dịch ở tỷ lệ giá trên giá trị sổ sách là 7,00. Tăng trưởng phi thường sẽ phải kéo dài bao lâu (ở mức 30% mỗi năm) để biện minh cho tỷ lệ PBV này?</w:t>
      </w:r>
    </w:p>
    <w:p>
      <w:pPr>
        <w:numPr>
          <w:ilvl w:val="0"/>
          <w:numId w:val="186"/>
        </w:numPr>
        <w:pStyle w:val="Para 01"/>
      </w:pPr>
      <w:r>
        <w:t>Johnson &amp; Johnson, một nhà sản xuất hàng đầu các sản phẩm chăm sóc sức khỏe, có lợi nhuận trên vốn chủ sở hữu là 31,5% vào năm 1993, và chi trả 37% thu nhập của mình dưới dạng cổ tức. Cổ phiếu có beta là 1,25. (Tỷ lệ trái phiếu Kho bạc là 6%, và phần bù rủi ro là 5,5%.) Tăng trưởng phi thường được kỳ vọng sẽ kéo dài trong 10 năm, sau đó tốc độ tăng trưởng được kỳ vọng sẽ giảm xuống 6% và lợi nhuận trên vốn chủ sở hữu xuống 15% (beta sẽ chuyển về 1.)</w:t>
      </w:r>
    </w:p>
    <w:p>
      <w:pPr>
        <w:numPr>
          <w:ilvl w:val="1"/>
          <w:numId w:val="186"/>
        </w:numPr>
        <w:pStyle w:val="Para 01"/>
      </w:pPr>
      <w:r>
        <w:t>Giả sử lợi nhuận trên vốn chủ sở hữu và tỷ lệ chi trả cổ tức tiếp tục ở mức hiện tại trong giai đoạn tăng trưởng cao, hãy ước tính tỷ lệ PBV cho Johnson &amp; Johnson.</w:t>
      </w:r>
    </w:p>
    <w:p>
      <w:pPr>
        <w:numPr>
          <w:ilvl w:val="1"/>
          <w:numId w:val="186"/>
        </w:numPr>
        <w:pStyle w:val="Para 01"/>
      </w:pPr>
      <w:r>
        <w:t>Nếu cải cách chăm sóc sức khỏe được thông qua, người ta tin rằng lợi nhuận trên vốn chủ sở hữu của Johnson &amp; Johnson sẽ giảm xuống 20% trong giai đoạn tăng trưởng cao. Nếu công ty chọn duy trì tỷ lệ chi trả cổ tức hiện có, hãy ước tính tỷ lệ PBV mới cho Johnson &amp; Johnson. (Bạn có thể giả định rằng các dữ liệu đầu vào cho giai đoạn trạng thái ổn định không bị ảnh hưởng.)</w:t>
      </w:r>
    </w:p>
    <w:p>
      <w:pPr>
        <w:numPr>
          <w:ilvl w:val="0"/>
          <w:numId w:val="186"/>
        </w:numPr>
        <w:pStyle w:val="Para 01"/>
      </w:pPr>
      <w:r>
        <w:t>Giả sử bạn đã thực hiện một hồi quy các tỷ lệ PBV cho tất cả các công ty trên Sở Giao dịch Chứng khoán New York, và thu được kết quả sau:</w:t>
      </w:r>
    </w:p>
    <w:p>
      <w:bookmarkStart w:id="4017" w:name="PBV_0_88_0_82Payout_7_79Growth"/>
      <w:pPr>
        <w:keepNext/>
        <w:pStyle w:val="Para 09"/>
        <w:keepLines w:val="on"/>
      </w:pPr>
      <w:r>
        <w:t>PBV=0,88+0,82Payout+7,79Growth−0,41Beta+13,81ROER2=0,65</w:t>
      </w:r>
      <w:bookmarkEnd w:id="4017"/>
    </w:p>
    <w:p>
      <w:bookmarkStart w:id="4018" w:name="where____Payout_Dividendpayoutra"/>
      <w:pPr>
        <w:pStyle w:val="Para 39"/>
      </w:pPr>
      <w:r>
        <w:t>trong đó    Payout=Tỷ lệ chi trả cổ tức trong giai đoạn gần nhấtGrowth=Tốc độ tăng trưởng dự kiến của thu nhập trong năm năm tớiBeta=Beta của cổ phiếu trong giai đoạn hiện tại</w:t>
      </w:r>
      <w:bookmarkEnd w:id="4018"/>
    </w:p>
    <w:p>
      <w:pPr>
        <w:pStyle w:val="Para 03"/>
      </w:pPr>
      <w:r>
        <w:t>Để minh họa, một công ty có tỷ lệ chi trả cổ tức là 40%, beta là 1,25, ROE là 25%, và tốc độ tăng trưởng kỳ vọng là 15% sẽ có tỷ lệ giá trên giá trị sổ sách là:</w:t>
      </w:r>
    </w:p>
    <w:p>
      <w:bookmarkStart w:id="4019" w:name="PBV_0_88_0_820_4_7_79_15___0_411"/>
      <w:pPr>
        <w:keepNext/>
        <w:pStyle w:val="Para 09"/>
        <w:keepLines w:val="on"/>
      </w:pPr>
      <w:r>
        <w:t>PBV=0,88+0,820,4+7,79.15−0,411,25+13,81.25=5,3165</w:t>
      </w:r>
      <w:bookmarkEnd w:id="4019"/>
    </w:p>
    <w:p>
      <w:pPr>
        <w:numPr>
          <w:ilvl w:val="1"/>
          <w:numId w:val="186"/>
        </w:numPr>
        <w:pStyle w:val="Para 01"/>
      </w:pPr>
      <w:r>
        <w:t>Bạn sẽ sử dụng R-squared của hồi quy vào việc gì, nếu có?</w:t>
      </w:r>
    </w:p>
    <w:p>
      <w:pPr>
        <w:numPr>
          <w:ilvl w:val="1"/>
          <w:numId w:val="186"/>
        </w:numPr>
        <w:pStyle w:val="Para 01"/>
      </w:pPr>
      <w:r>
        <w:t>Giả sử bạn cũng đã chạy một hồi quy theo ngành cho một công ty và ước tính tỷ lệ giá trên giá trị sổ sách dựa trên hồi quy đó. Tại sao kết quả của bạn từ hồi quy thị trường lại có thể cho ra kết quả khác với hồi quy theo ngành?</w:t>
      </w:r>
    </w:p>
    <w:p>
      <w:pPr>
        <w:numPr>
          <w:ilvl w:val="0"/>
          <w:numId w:val="186"/>
        </w:numPr>
        <w:pStyle w:val="Para 01"/>
      </w:pPr>
      <w:r>
        <w:t>SoftSoap Corporation là một công ty sản phẩm tiêu dùng lớn, báo cáo thu nhập hoạt động sau thuế là 600 triệu đô la trong năm tài chính gần nhất. Vào đầu năm, công ty báo cáo giá trị sổ sách của vốn chủ sở hữu là 4 tỷ đô la và giá trị sổ sách của nợ là 1 tỷ đô la. Giá trị thị trường của vốn chủ sở hữu là 8 tỷ đô la, giá trị thị trường của nợ là 1 tỷ đô la, và công ty có chi phí vốn chủ sở hữu là 11% và chi phí nợ sau thuế là 4%. Nếu công ty đang ở trạng thái tăng trưởng ổn định, kỳ vọng tăng trưởng 4% mỗi năm mãi mãi, hãy ước tính tỷ lệ giá trị trên giá trị sổ sách chính xác cho công ty.</w:t>
      </w:r>
    </w:p>
    <w:p>
      <w:pPr>
        <w:numPr>
          <w:ilvl w:val="0"/>
          <w:numId w:val="186"/>
        </w:numPr>
        <w:pStyle w:val="Para 01"/>
      </w:pPr>
      <w:r>
        <w:t>Lyondell Inc. là một tập đoàn có tỷ lệ giá trị trên giá trị sổ sách của vốn là 2,0. Nếu công ty đang ở trạng thái tăng trưởng ổn định, kỳ vọng tăng trưởng 4% mỗi năm mãi mãi, và có chi phí vốn là 10%, thị trường đang giả định lợi nhuận trên vốn là bao nhiêu mãi mãi cho Lyondell?</w:t>
      </w:r>
    </w:p>
    <w:p>
      <w:pPr>
        <w:numPr>
          <w:ilvl w:val="0"/>
          <w:numId w:val="186"/>
        </w:numPr>
        <w:pStyle w:val="Para 01"/>
      </w:pPr>
      <w:r>
        <w:t>Ước tính tỷ lệ giá trị trên giá trị sổ sách của vốn cho Zapata Enterprises, một công ty giao dịch đang trong giai đoạn tăng trưởng cao, với các đặc điểm sau:</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17"/>
                    <w:keepLines w:val="on"/>
                  </w:pPr>
                  <w:r>
                    <w:t>Tăng trưởng cao</w:t>
                  </w:r>
                </w:p>
              </w:tc>
              <w:tc>
                <w:tcPr>
                  <w:tcW w:type="auto" w:w="0"/>
                  <w:shd w:val="clear" w:color="auto" w:fill="F0F0F0"/>
                </w:tcPr>
                <w:p>
                  <w:pPr>
                    <w:pStyle w:val="Para 17"/>
                    <w:keepLines w:val="on"/>
                  </w:pPr>
                  <w:r>
                    <w:t>Tăng trưởng ổn định</w:t>
                  </w:r>
                </w:p>
              </w:tc>
            </w:tr>
            <w:tr>
              <w:tc>
                <w:tcPr>
                  <w:tcW w:type="auto" w:w="0"/>
                  <w:shd w:val="clear" w:color="auto" w:fill="F0F0F0"/>
                </w:tcPr>
                <w:p>
                  <w:pPr>
                    <w:pStyle w:val="Para 02"/>
                    <w:keepLines w:val="on"/>
                  </w:pPr>
                  <w:r>
                    <w:t>Lợi nhuận trên vốn sau thuế</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12%</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Normal"/>
                    <w:keepLines w:val="on"/>
                  </w:pPr>
                  <w:r>
                    <w:t>12%</w:t>
                  </w:r>
                </w:p>
              </w:tc>
              <w:tc>
                <w:tcPr>
                  <w:tcW w:type="auto" w:w="0"/>
                  <w:shd w:val="clear" w:color="auto" w:fill="F0F0F0"/>
                </w:tcPr>
                <w:p>
                  <w:pPr>
                    <w:pStyle w:val="Normal"/>
                    <w:keepLines w:val="on"/>
                  </w:pPr>
                  <w:r>
                    <w:t>4%</w:t>
                  </w:r>
                </w:p>
              </w:tc>
            </w:tr>
            <w:tr>
              <w:tc>
                <w:tcPr>
                  <w:tcW w:type="auto" w:w="0"/>
                  <w:shd w:val="clear" w:color="auto" w:fill="F0F0F0"/>
                </w:tcPr>
                <w:p>
                  <w:pPr>
                    <w:pStyle w:val="Para 02"/>
                    <w:keepLines w:val="on"/>
                  </w:pPr>
                  <w:r>
                    <w:t>Chi phí vốn</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9%</w:t>
                  </w:r>
                </w:p>
              </w:tc>
            </w:tr>
          </w:tbl>
          <w:p/>
        </w:tc>
      </w:tr>
    </w:tbl>
    <w:p>
      <w:pPr>
        <w:pStyle w:val="Para 03"/>
      </w:pPr>
      <w:r>
        <w:t>Nếu mức tăng trưởng cao được kỳ vọng kéo dài 10 năm, hãy ước tính tỷ lệ giá trị trên giá trị sổ sách (value-to-book ratio) chính xác cho Zapata.</w:t>
      </w:r>
    </w:p>
    <w:p>
      <w:pPr>
        <w:numPr>
          <w:ilvl w:val="0"/>
          <w:numId w:val="186"/>
        </w:numPr>
        <w:pStyle w:val="Para 01"/>
      </w:pPr>
      <w:r>
        <w:t>Nếu Tobin's Q được tính bằng cách chia giá trị thị trường của vốn chủ sở hữu và nợ đang giao dịch cho giá trị sổ sách của tài sản, bạn sẽ ước tính quá cao giá trị của các công ty tăng trưởng cao. Hãy giải thích tại sao.</w:t>
      </w:r>
    </w:p>
    <w:p>
      <w:bookmarkStart w:id="4020" w:name="Notes__1_If_you_do_not_do_this_a"/>
      <w:bookmarkStart w:id="4021" w:name="Notes_18"/>
      <w:pPr>
        <w:keepNext/>
        <w:pStyle w:val="Heading 2"/>
        <w:keepLines w:val="on"/>
      </w:pPr>
      <w:r>
        <w:t>Ghi chú</w:t>
      </w:r>
      <w:bookmarkEnd w:id="4020"/>
      <w:bookmarkEnd w:id="4021"/>
    </w:p>
    <w:p>
      <w:pPr>
        <w:pStyle w:val="Para 08"/>
      </w:pPr>
      <w:r>
        <w:t>1 Nếu bạn không làm điều này mà so sánh tỷ lệ giá trên giá trị sổ sách (price-to-book ratio) giữa các công ty có lượng quyền chọn đang lưu hành rất khác nhau, bạn có thể xác định nhầm các công ty có nhiều quyền chọn đang lưu hành hơn là bị định giá thấp—giá trị thị trường của cổ phiếu phổ thông đang giao dịch tại những công ty này sẽ thấp hơn do lượng quyền chọn tồn đọng.</w:t>
      </w:r>
    </w:p>
    <w:p>
      <w:pPr>
        <w:pStyle w:val="Para 08"/>
      </w:pPr>
      <w:r>
        <w:t>2 Bạn có thể thắc mắc về việc tỷ suất sinh lời trên vốn chủ sở hữu (return on equity) trong giai đoạn tăng trưởng ổn định không ảnh hưởng trực tiếp đến tỷ lệ giá trên giá trị sổ sách, nhưng nó ảnh hưởng gián tiếp bằng cách quyết định tỷ lệ chi trả cổ tức (payout ratio) trong giai đoạn tăng trưởng ổn định. Ví dụ, nếu tỷ suất sinh lời trên vốn chủ sở hữu giữ ở mức 25% vĩnh viễn, tỷ lệ chi trả cổ tức ổn định sẽ trở thành 68%, và tỷ lệ PBV nội tại sẽ cao hơn, ở mức 4,99.</w:t>
      </w:r>
    </w:p>
    <w:p>
      <w:pPr>
        <w:pStyle w:val="Para 08"/>
      </w:pPr>
      <w:r>
        <w:t>3 Cũng như tỷ suất sinh lời trên vốn chủ sở hữu, nếu tỷ suất sinh lời trên vốn (return on capital) được định nghĩa theo thu nhập cùng kỳ (ROIC = EBIT0/Vốn sổ sách), sẽ có thêm một (1 + g) ở tử số.</w:t>
      </w:r>
    </w:p>
    <w:p>
      <w:bookmarkStart w:id="4025" w:name="Chapter_20Revenue_Multiples_and"/>
      <w:bookmarkStart w:id="4026" w:name="Chapter_20Revenue_Multiples_and_1"/>
      <w:bookmarkStart w:id="4027" w:name="Top_of_c020_xhtml"/>
      <w:pPr>
        <w:keepNext/>
        <w:pStyle w:val="Heading 1"/>
        <w:pageBreakBefore w:val="on"/>
        <w:keepLines w:val="on"/>
      </w:pPr>
      <w:r>
        <w:t>CHƯƠNG 20</w:t>
      </w:r>
      <w:r>
        <w:br/>
      </w:r>
      <w:r>
        <w:t>Bội số doanh thu và bội số đặc thù theo ngành</w:t>
      </w:r>
      <w:bookmarkEnd w:id="4025"/>
      <w:bookmarkEnd w:id="4026"/>
      <w:bookmarkEnd w:id="4027"/>
    </w:p>
    <w:p>
      <w:pPr>
        <w:pStyle w:val="Para 03"/>
      </w:pPr>
      <w:r>
        <w:t>Trong khi các bội số thu nhập và giá trị sổ sách vừa trực quan vừa được sử dụng rộng rãi, các nhà phân tích trong những năm gần đây ngày càng chuyển sang các bội số thay thế để định giá công ty. Đối với các công ty non trẻ có thu nhập âm, bội số doanh thu đã thay thế bội số thu nhập. Ngoài ra, những công ty này đang được định giá dựa trên bội số của các chỉ số đặc thù theo ngành, chẳng hạn như số lượng khách hàng, số người đăng ký, hoặc các yếu tố thúc đẩy doanh thu khác. Trong chương này, trước tiên sẽ xem xét lý do việc sử dụng bội số doanh thu ngày càng tăng, tiếp theo là phân tích các yếu tố quyết định những bội số này và cách sử dụng chúng tốt nhất trong định giá. Sau đó là một thảo luận ngắn về các bội số đặc thù theo ngành, những nguy hiểm liên quan đến việc sử dụng chúng và những điều chỉnh có thể cần thiết để chúng phát huy hiệu quả.</w:t>
      </w:r>
    </w:p>
    <w:p>
      <w:bookmarkStart w:id="4029" w:name="Revenue_Multiples_1"/>
      <w:bookmarkStart w:id="4030" w:name="Revenue_Multiples__A_revenue_mul"/>
      <w:pPr>
        <w:keepNext/>
        <w:pStyle w:val="Heading 2"/>
        <w:keepLines w:val="on"/>
      </w:pPr>
      <w:r>
        <w:t>Bội số doanh thu</w:t>
      </w:r>
      <w:bookmarkEnd w:id="4029"/>
      <w:bookmarkEnd w:id="4030"/>
    </w:p>
    <w:p>
      <w:pPr>
        <w:pStyle w:val="Para 03"/>
      </w:pPr>
      <w:r>
        <w:t>Bội số doanh thu đo lường giá trị của vốn chủ sở hữu hoặc một doanh nghiệp so với doanh thu mà nó tạo ra. Cũng như các bội số khác, trong điều kiện mọi thứ khác không đổi, các công ty giao dịch ở bội số doanh thu thấp được xem là rẻ so với các công ty giao dịch ở bội số doanh thu cao.</w:t>
      </w:r>
    </w:p>
    <w:p>
      <w:pPr>
        <w:pStyle w:val="Para 03"/>
      </w:pPr>
      <w:r>
        <w:t>Bội số doanh thu đã chứng tỏ sức hấp dẫn đối với các nhà phân tích vì một số lý do. Thứ nhất, không giống như các tỷ lệ thu nhập và giá trị sổ sách, vốn có thể trở thành âm đối với nhiều công ty và do đó không có ý nghĩa, bội số doanh thu vẫn có sẵn ngay cả đối với những công ty gặp khó khăn nhất và những công ty rất non trẻ. Do đó, khả năng sai lệch do loại bỏ các công ty trong mẫu thấp hơn nhiều. Thứ hai, không giống như thu nhập và giá trị sổ sách, vốn chịu ảnh hưởng nặng nề bởi các quyết định kế toán về khấu hao, hàng tồn kho, nghiên cứu và phát triển (R&amp;D), kế toán mua lại và các khoản phí bất thường, doanh thu tương đối khó bị thao túng. Thứ ba, bội số doanh thu không biến động mạnh như bội số thu nhập, và do đó ít có khả năng bị ảnh hưởng bởi những dao động từ năm này sang năm khác trong vận mệnh của một công ty. Ví dụ, tỷ lệ giá trên thu nhập (price-earnings ratio) của một công ty mang tính chu kỳ thay đổi nhiều hơn tỷ lệ giá trên doanh thu (price-sales ratio) của nó, bởi vì thu nhập nhạy cảm với những thay đổi kinh tế hơn nhiều so với doanh thu.</w:t>
      </w:r>
    </w:p>
    <w:p>
      <w:pPr>
        <w:pStyle w:val="Para 03"/>
      </w:pPr>
      <w:r>
        <w:t>Bất lợi lớn nhất của việc tập trung vào doanh thu là nó có thể ru ngủ bạn để gán giá trị cao cho những công ty đang tạo ra tăng trưởng doanh thu cao trong khi lỗ một khoản tiền đáng kể. Suy cho cùng, một công ty phải tạo ra thu nhập và dòng tiền thì mới có giá trị. Trong khi việc sử dụng bội số doanh thu để định giá các công ty có thu nhập và giá trị sổ sách âm là điều hấp dẫn, việc không kiểm soát được sự khác biệt giữa các công ty về chi phí và biên lợi nhuận có thể dẫn đến những định giá sai lệch.</w:t>
      </w:r>
    </w:p>
    <w:p>
      <w:bookmarkStart w:id="4032" w:name="Definition_of_Revenue_Multiple"/>
      <w:bookmarkStart w:id="4033" w:name="Definition_of_Revenue_Multiple_1"/>
      <w:pPr>
        <w:keepNext/>
        <w:pStyle w:val="Heading 3"/>
        <w:keepLines w:val="on"/>
      </w:pPr>
      <w:r>
        <w:t>Định nghĩa bội số doanh thu</w:t>
      </w:r>
      <w:bookmarkEnd w:id="4032"/>
      <w:bookmarkEnd w:id="4033"/>
    </w:p>
    <w:p>
      <w:pPr>
        <w:pStyle w:val="Para 03"/>
      </w:pPr>
      <w:r>
        <w:t>Có hai bội số doanh thu cơ bản đang được sử dụng. Bội số thứ nhất, và phổ biến hơn, là bội số của giá trị thị trường vốn chủ sở hữu so với doanh thu của một công ty; đây được gọi là tỷ lệ giá trên doanh thu (price-to-sales ratio). Bội số thứ hai, và vững chắc hơn, là bội số của giá trị tài sản hoạt động so với doanh thu; đây là tỷ lệ EV trên doanh thu (EV-to-sales ratio).</w:t>
      </w:r>
    </w:p>
    <w:p>
      <w:bookmarkStart w:id="4034" w:name="Price_to_sales_ratio_Market_valu"/>
      <w:pPr>
        <w:keepNext/>
        <w:pStyle w:val="Para 09"/>
        <w:keepLines w:val="on"/>
      </w:pPr>
      <w:r>
        <w:t>Tỷ lệ giá trên doanh thu = Giá trị thị trường vốn chủ sở hữu / Doanh thu
Tỷ lệ EV trên doanh thu = (Giá trị thị trường vốn chủ sở hữu + Giá trị thị trường nợ − Tiền mặt) / Doanh thu</w:t>
      </w:r>
      <w:bookmarkEnd w:id="4034"/>
    </w:p>
    <w:p>
      <w:pPr>
        <w:pStyle w:val="Para 03"/>
      </w:pPr>
      <w:r>
        <w:t>Cũng như bội số EV-to-EBITDA, chúng ta trừ tiền mặt ra khỏi giá trị doanh nghiệp, bởi vì thu nhập từ tiền mặt không phải là một phần của doanh thu. Tỷ lệ giá trị doanh nghiệp trên doanh thu (enterprise value-to-sales ratio) là một bội số vững chắc hơn tỷ lệ giá trên doanh thu vì nó nhất quán về mặt nội tại. Nó chia tổng giá trị tài sản hoạt động cho doanh thu được tạo ra bởi những tài sản đó. Tỷ lệ giá trên doanh thu chia giá trị vốn chủ sở hữu cho doanh thu được tạo ra cho công ty. Do đó, nó sẽ mang lại giá trị thấp hơn cho các công ty có đòn bẩy cao hơn và có thể dẫn đến những kết luận sai lệch khi so sánh tỷ lệ giá trên doanh thu giữa các công ty trong một ngành có mức độ đòn bẩy khác nhau.</w:t>
      </w:r>
    </w:p>
    <w:p>
      <w:pPr>
        <w:pStyle w:val="Para 03"/>
      </w:pPr>
      <w:r>
        <w:t>Các chuẩn mực kế toán giữa các ngành và thị trường khác nhau khá tương đồng khi nói đến cách ghi nhận doanh thu. Tuy nhiên, trong những năm gần đây đã có những công ty sử dụng các thực hành kế toán đáng ngờ trong việc ghi nhận doanh số trả góp và các giao dịch nội bộ công ty để làm cho doanh thu của họ cao hơn. Bất chấp những vấn đề này, bội số doanh thu ít bị ảnh hưởng bởi sự khác biệt trong cách xử lý kế toán giữa các công ty hơn nhiều so với các bội số khác.</w:t>
      </w:r>
    </w:p>
    <w:p>
      <w:bookmarkStart w:id="4035" w:name="Cross_Sectional_Distribution__As"/>
      <w:bookmarkStart w:id="4036" w:name="Cross_Sectional_Distribution"/>
      <w:pPr>
        <w:keepNext/>
        <w:pStyle w:val="Heading 3"/>
        <w:keepLines w:val="on"/>
      </w:pPr>
      <w:r>
        <w:t>Phân phối theo mặt cắt ngang</w:t>
      </w:r>
      <w:bookmarkEnd w:id="4035"/>
      <w:bookmarkEnd w:id="4036"/>
    </w:p>
    <w:p>
      <w:pPr>
        <w:pStyle w:val="Para 03"/>
      </w:pPr>
      <w:r>
        <w:t>Cũng như các bội số thu nhập và giá trị sổ sách, nơi để bắt đầu việc xem xét bội số doanh thu là phân phối theo mặt cắt ngang của tỷ lệ giá trên doanh thu và tỷ lệ giá trị doanh nghiệp trên doanh thu giữa các công ty ở Hoa Kỳ. Hình 20.1 tóm tắt phân phối này vào tháng 1 năm 2024.</w:t>
      </w:r>
    </w:p>
    <w:p>
      <w:bookmarkStart w:id="4038" w:name="Figure_20_1_Revenue_Multiples__U"/>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87600" cy="1803400"/>
            <wp:effectExtent l="0" r="0" t="0" b="0"/>
            <wp:wrapTopAndBottom/>
            <wp:docPr id="194" name="c20f001.png" descr="Double bar graph plots the increase and decrease in price to sales, and E V to sales for U S firms in January 2024."/>
            <wp:cNvGraphicFramePr>
              <a:graphicFrameLocks noChangeAspect="1"/>
            </wp:cNvGraphicFramePr>
            <a:graphic>
              <a:graphicData uri="http://schemas.openxmlformats.org/drawingml/2006/picture">
                <pic:pic>
                  <pic:nvPicPr>
                    <pic:cNvPr id="0" name="c20f001.png" descr="Double bar graph plots the increase and decrease in price to sales, and E V to sales for U S firms in January 2024."/>
                    <pic:cNvPicPr/>
                  </pic:nvPicPr>
                  <pic:blipFill>
                    <a:blip r:embed="rId135"/>
                    <a:stretch>
                      <a:fillRect/>
                    </a:stretch>
                  </pic:blipFill>
                  <pic:spPr>
                    <a:xfrm>
                      <a:off x="0" y="0"/>
                      <a:ext cx="2387600" cy="1803400"/>
                    </a:xfrm>
                    <a:prstGeom prst="rect">
                      <a:avLst/>
                    </a:prstGeom>
                  </pic:spPr>
                </pic:pic>
              </a:graphicData>
            </a:graphic>
          </wp:anchor>
        </w:drawing>
      </w:r>
      <w:bookmarkEnd w:id="4038"/>
    </w:p>
    <w:p>
      <w:pPr>
        <w:keepNext/>
        <w:pStyle w:val="Para 22"/>
        <w:keepLines w:val="on"/>
      </w:pPr>
      <w:r>
        <w:t>HÌNH 20.1 Bội số doanh thu—Các công ty Hoa Kỳ vào tháng 1 năm 2024</w:t>
      </w:r>
    </w:p>
    <w:p>
      <w:pPr>
        <w:pStyle w:val="Para 03"/>
      </w:pPr>
      <w:r>
        <w:t>Có hai điều đáng lưu ý trong phân phối này. Thứ nhất, bội số doanh thu không bị lệch (skewed) như bội số thu nhập hay giá trị sổ sách, và rất khác biệt giữa các công ty; không có giá trị trung tâm hay trung vị nào mà chúng tập trung quanh đó. Thứ hai, tỷ lệ giá trên doanh thu (price-to-sales ratio) nhìn chung thấp hơn tỷ lệ EV trên doanh thu (EV-to-sales ratio), điều này không có gì đáng ngạc nhiên vì tỷ lệ trước chỉ bao gồm vốn chủ sở hữu còn tỷ lệ sau xét đến giá trị doanh nghiệp (enterprise value). Với những công ty có nợ lớn, giá trị doanh nghiệp nhìn chung sẽ cao hơn giá trị thị trường của riêng vốn chủ sở hữu.</w:t>
      </w:r>
    </w:p>
    <w:p>
      <w:pPr>
        <w:pStyle w:val="Para 03"/>
      </w:pPr>
      <w:r>
        <w:t>BẢNG 20.1 cung cấp các thống kê tóm tắt về cả tỷ lệ giá trên doanh thu và tỷ lệ giá trị trên doanh thu. Giá trị trung bình của cả hai bội số đều cao hơn nhiều so với giá trị trung vị, phần lớn là do các giá trị ngoại lai (outliers)—có những công ty được giao dịch ở bội số vượt quá 1.000 hoặc hơn.</w:t>
      </w:r>
    </w:p>
    <w:p>
      <w:pPr>
        <w:pStyle w:val="Para 34"/>
        <w:keepLines w:val="on"/>
      </w:pPr>
      <w:r>
        <w:t>BẢNG 20.1</w:t>
      </w:r>
    </w:p>
    <w:p>
      <w:pPr>
        <w:keepNext/>
        <w:pStyle w:val="Para 35"/>
        <w:keepLines w:val="on"/>
      </w:pPr>
      <w:r>
        <w:t>Bội số Giá trên doanh thu và EV/Doanh thu: Thống kê phân phối cho các công ty Hoa Kỳ vào tháng 1 năm 2024</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68"/>
                    <w:keepLines w:val="on"/>
                  </w:pPr>
                  <w:r>
                    <w:t>Tỷ lệ PS</w:t>
                  </w:r>
                </w:p>
              </w:tc>
              <w:tc>
                <w:tcPr>
                  <w:tcW w:type="auto" w:w="0"/>
                  <w:shd w:val="clear" w:color="auto" w:fill="F0F0F0"/>
                </w:tcPr>
                <w:p>
                  <w:pPr>
                    <w:pStyle w:val="Para 68"/>
                    <w:keepLines w:val="on"/>
                  </w:pPr>
                  <w:r>
                    <w:t>Tỷ lệ EV/Doanh thu</w:t>
                  </w:r>
                </w:p>
              </w:tc>
            </w:tr>
            <w:tr>
              <w:tc>
                <w:tcPr>
                  <w:tcW w:type="auto" w:w="0"/>
                  <w:shd w:val="clear" w:color="auto" w:fill="F0F0F0"/>
                </w:tcPr>
                <w:p>
                  <w:pPr>
                    <w:pStyle w:val="Para 02"/>
                    <w:keepLines w:val="on"/>
                  </w:pPr>
                  <w:r>
                    <w:t>Số lượng công ty</w:t>
                  </w:r>
                </w:p>
              </w:tc>
              <w:tc>
                <w:tcPr>
                  <w:tcW w:type="auto" w:w="0"/>
                  <w:shd w:val="clear" w:color="auto" w:fill="F0F0F0"/>
                </w:tcPr>
                <w:p>
                  <w:pPr>
                    <w:pStyle w:val="Normal"/>
                    <w:keepLines w:val="on"/>
                  </w:pPr>
                  <w:r>
                    <w:t>4761</w:t>
                  </w:r>
                </w:p>
              </w:tc>
              <w:tc>
                <w:tcPr>
                  <w:tcW w:type="auto" w:w="0"/>
                  <w:shd w:val="clear" w:color="auto" w:fill="F0F0F0"/>
                </w:tcPr>
                <w:p>
                  <w:pPr>
                    <w:pStyle w:val="Normal"/>
                    <w:keepLines w:val="on"/>
                  </w:pPr>
                  <w:r>
                    <w:t>4637</w:t>
                  </w:r>
                </w:p>
              </w:tc>
            </w:tr>
            <w:tr>
              <w:tc>
                <w:tcPr>
                  <w:tcW w:type="auto" w:w="0"/>
                  <w:shd w:val="clear" w:color="auto" w:fill="F0F0F0"/>
                </w:tcPr>
                <w:p>
                  <w:pPr>
                    <w:pStyle w:val="Para 02"/>
                    <w:keepLines w:val="on"/>
                  </w:pPr>
                  <w:r>
                    <w:t>Trung bình</w:t>
                  </w:r>
                </w:p>
              </w:tc>
              <w:tc>
                <w:tcPr>
                  <w:tcW w:type="auto" w:w="0"/>
                  <w:shd w:val="clear" w:color="auto" w:fill="F0F0F0"/>
                </w:tcPr>
                <w:p>
                  <w:pPr>
                    <w:pStyle w:val="Normal"/>
                    <w:keepLines w:val="on"/>
                  </w:pPr>
                  <w:r>
                    <w:t>217,88</w:t>
                  </w:r>
                </w:p>
              </w:tc>
              <w:tc>
                <w:tcPr>
                  <w:tcW w:type="auto" w:w="0"/>
                  <w:shd w:val="clear" w:color="auto" w:fill="F0F0F0"/>
                </w:tcPr>
                <w:p>
                  <w:pPr>
                    <w:pStyle w:val="Normal"/>
                    <w:keepLines w:val="on"/>
                  </w:pPr>
                  <w:r>
                    <w:t>230,53</w:t>
                  </w:r>
                </w:p>
              </w:tc>
            </w:tr>
            <w:tr>
              <w:tc>
                <w:tcPr>
                  <w:tcW w:type="auto" w:w="0"/>
                  <w:shd w:val="clear" w:color="auto" w:fill="F0F0F0"/>
                </w:tcPr>
                <w:p>
                  <w:pPr>
                    <w:pStyle w:val="Para 02"/>
                    <w:keepLines w:val="on"/>
                  </w:pPr>
                  <w:r>
                    <w:t>Trung vị</w:t>
                  </w:r>
                </w:p>
              </w:tc>
              <w:tc>
                <w:tcPr>
                  <w:tcW w:type="auto" w:w="0"/>
                  <w:shd w:val="clear" w:color="auto" w:fill="F0F0F0"/>
                </w:tcPr>
                <w:p>
                  <w:pPr>
                    <w:pStyle w:val="Normal"/>
                    <w:keepLines w:val="on"/>
                  </w:pPr>
                  <w:r>
                    <w:t>1,95</w:t>
                  </w:r>
                </w:p>
              </w:tc>
              <w:tc>
                <w:tcPr>
                  <w:tcW w:type="auto" w:w="0"/>
                  <w:shd w:val="clear" w:color="auto" w:fill="F0F0F0"/>
                </w:tcPr>
                <w:p>
                  <w:pPr>
                    <w:pStyle w:val="Normal"/>
                    <w:keepLines w:val="on"/>
                  </w:pPr>
                  <w:r>
                    <w:t>2,56</w:t>
                  </w:r>
                </w:p>
              </w:tc>
            </w:tr>
            <w:tr>
              <w:tc>
                <w:tcPr>
                  <w:tcW w:type="auto" w:w="0"/>
                  <w:shd w:val="clear" w:color="auto" w:fill="F0F0F0"/>
                </w:tcPr>
                <w:p>
                  <w:pPr>
                    <w:pStyle w:val="Para 02"/>
                    <w:keepLines w:val="on"/>
                  </w:pPr>
                  <w:r>
                    <w:t>Bách phân vị thứ 25</w:t>
                  </w:r>
                </w:p>
              </w:tc>
              <w:tc>
                <w:tcPr>
                  <w:tcW w:type="auto" w:w="0"/>
                  <w:shd w:val="clear" w:color="auto" w:fill="F0F0F0"/>
                </w:tcPr>
                <w:p>
                  <w:pPr>
                    <w:pStyle w:val="Normal"/>
                    <w:keepLines w:val="on"/>
                  </w:pPr>
                  <w:r>
                    <w:t>0,73</w:t>
                  </w:r>
                </w:p>
              </w:tc>
              <w:tc>
                <w:tcPr>
                  <w:tcW w:type="auto" w:w="0"/>
                  <w:shd w:val="clear" w:color="auto" w:fill="F0F0F0"/>
                </w:tcPr>
                <w:p>
                  <w:pPr>
                    <w:pStyle w:val="Normal"/>
                    <w:keepLines w:val="on"/>
                  </w:pPr>
                  <w:r>
                    <w:t>1,05</w:t>
                  </w:r>
                </w:p>
              </w:tc>
            </w:tr>
            <w:tr>
              <w:tc>
                <w:tcPr>
                  <w:tcW w:type="auto" w:w="0"/>
                  <w:shd w:val="clear" w:color="auto" w:fill="F0F0F0"/>
                </w:tcPr>
                <w:p>
                  <w:pPr>
                    <w:pStyle w:val="Para 02"/>
                    <w:keepLines w:val="on"/>
                  </w:pPr>
                  <w:r>
                    <w:t>Bách phân vị thứ 75</w:t>
                  </w:r>
                </w:p>
              </w:tc>
              <w:tc>
                <w:tcPr>
                  <w:tcW w:type="auto" w:w="0"/>
                  <w:shd w:val="clear" w:color="auto" w:fill="F0F0F0"/>
                </w:tcPr>
                <w:p>
                  <w:pPr>
                    <w:pStyle w:val="Normal"/>
                    <w:keepLines w:val="on"/>
                  </w:pPr>
                  <w:r>
                    <w:t>4,59</w:t>
                  </w:r>
                </w:p>
              </w:tc>
              <w:tc>
                <w:tcPr>
                  <w:tcW w:type="auto" w:w="0"/>
                  <w:shd w:val="clear" w:color="auto" w:fill="F0F0F0"/>
                </w:tcPr>
                <w:p>
                  <w:pPr>
                    <w:pStyle w:val="Normal"/>
                    <w:keepLines w:val="on"/>
                  </w:pPr>
                  <w:r>
                    <w:t>6,32</w:t>
                  </w:r>
                </w:p>
              </w:tc>
            </w:tr>
          </w:tbl>
          <w:p/>
        </w:tc>
      </w:tr>
    </w:tbl>
    <w:p>
      <w:pPr>
        <w:pStyle w:val="Para 03"/>
      </w:pPr>
      <w:r>
        <w:t>Vì có 6.481 công ty trong mẫu, bạn có thể thắc mắc tại sao lại mất bớt công ty khi tính bội số doanh thu. Thứ nhất, ở hầu hết các công ty dịch vụ tài chính, như ngân hàng, công ty bảo hiểm và ngân hàng đầu tư, doanh thu không dễ định nghĩa, và do đó được để là không có ý nghĩa (not meaningful). Thứ hai, vẫn còn 124 công ty có giá trị doanh nghiệp âm, vì tiền mặt vượt quá tổng giá trị thị trường của vốn chủ sở hữu và nợ.</w:t>
      </w:r>
    </w:p>
    <w:p>
      <w:pPr>
        <w:pStyle w:val="Para 11"/>
      </w:pPr>
      <w:r>
        <w:t/>
        <w:t xml:space="preserve"> </w:t>
      </w:r>
    </w:p>
    <w:p>
      <w:bookmarkStart w:id="4041" w:name="psdata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195"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4041"/>
    </w:p>
    <w:p>
      <w:pPr>
        <w:pStyle w:val="Para 31"/>
        <w:keepLines w:val="on"/>
      </w:pPr>
      <w:r>
        <w:t>psdata.xls: Bộ dữ liệu này trên web tóm tắt tỷ lệ giá trên doanh thu và tỷ lệ giá trị trên doanh thu cùng các yếu tố cơ bản theo nhóm ngành ở Hoa Kỳ cho năm gần nhất</w:t>
      </w:r>
    </w:p>
    <w:p>
      <w:pPr>
        <w:pStyle w:val="Para 03"/>
        <w:keepLines w:val="on"/>
      </w:pPr>
      <w:r>
        <w:t>.</w:t>
      </w:r>
    </w:p>
    <w:p>
      <w:pPr>
        <w:pStyle w:val="Para 20"/>
      </w:pPr>
      <w:r>
        <w:rPr>
          <w:rStyle w:val="Text26"/>
        </w:rPr>
        <w:bookmarkStart w:id="4042" w:name="Page_616"/>
        <w:t/>
        <w:bookmarkEnd w:id="4042"/>
      </w:r>
      <w:r>
        <w:t xml:space="preserve"> </w:t>
      </w:r>
    </w:p>
    <w:p>
      <w:bookmarkStart w:id="4043" w:name="Analysis_of_Revenue_Multiples"/>
      <w:bookmarkStart w:id="4044" w:name="Analysis_of_Revenue_Multiples__T"/>
      <w:pPr>
        <w:keepNext/>
        <w:pStyle w:val="Heading 3"/>
        <w:keepLines w:val="on"/>
      </w:pPr>
      <w:r>
        <w:t>Phân tích các bội số doanh thu</w:t>
      </w:r>
      <w:bookmarkEnd w:id="4043"/>
      <w:bookmarkEnd w:id="4044"/>
    </w:p>
    <w:p>
      <w:pPr>
        <w:pStyle w:val="Para 03"/>
      </w:pPr>
      <w:r>
        <w:t>Các biến số quyết định bội số doanh thu có thể được rút ra bằng cách quay lại các mô hình dòng tiền chiết khấu (discounted cash flow) phù hợp — mô hình chiết khấu cổ tức (hay mô hình định giá FCFE) cho tỷ lệ giá trên doanh thu, và mô hình định giá doanh nghiệp cho tỷ lệ giá trị trên doanh thu.</w:t>
      </w:r>
    </w:p>
    <w:p>
      <w:bookmarkStart w:id="4045" w:name="Price_to_Sales_Ratios__The_price"/>
      <w:bookmarkStart w:id="4046" w:name="Price_to_Sales_Ratios"/>
      <w:pPr>
        <w:keepNext/>
        <w:pStyle w:val="Heading 4"/>
        <w:keepLines w:val="on"/>
      </w:pPr>
      <w:r>
        <w:t>Tỷ lệ giá trên doanh thu</w:t>
      </w:r>
      <w:bookmarkEnd w:id="4045"/>
      <w:bookmarkEnd w:id="4046"/>
    </w:p>
    <w:p>
      <w:pPr>
        <w:pStyle w:val="Para 03"/>
      </w:pPr>
      <w:r>
        <w:t>Tỷ lệ giá trên doanh thu của một doanh nghiệp tăng trưởng ổn định có thể được rút ra từ mô hình chiết khấu cổ tức tăng trưởng ổn định:</w:t>
      </w:r>
    </w:p>
    <w:p>
      <w:bookmarkStart w:id="4047" w:name="Value_of_equity_Dividends1_Cost"/>
      <w:pPr>
        <w:keepNext/>
        <w:pStyle w:val="Para 09"/>
        <w:keepLines w:val="on"/>
      </w:pPr>
      <w:r>
        <w:t>Giá trị vốn chủ sở hữu = Cổ tức₁ / (Chi phí vốn chủ sở hữu − Tỷ lệ tăng trưởng ổn định)</w:t>
      </w:r>
      <w:bookmarkEnd w:id="4047"/>
    </w:p>
    <w:p>
      <w:bookmarkStart w:id="4048" w:name="whereP0_Value_of_equityDividends"/>
      <w:pPr>
        <w:pStyle w:val="Para 39"/>
      </w:pPr>
      <w:r>
        <w:t>trong đó P₀ = Giá trị vốn chủ sở hữu; Cổ tức₁ = Cổ tức kỳ vọng năm tới</w:t>
      </w:r>
      <w:bookmarkEnd w:id="4048"/>
    </w:p>
    <w:p>
      <w:pPr>
        <w:pStyle w:val="Para 03"/>
      </w:pPr>
      <w:r>
        <w:t>Thay thế DPS₁ = EPS₁ × (Tỷ lệ chi trả cổ tức), giá trị vốn chủ sở hữu có thể được viết lại thành:</w:t>
      </w:r>
    </w:p>
    <w:p>
      <w:bookmarkStart w:id="4049" w:name="Value_of_equity_Net_Income1xPayo"/>
      <w:pPr>
        <w:keepNext/>
        <w:pStyle w:val="Para 09"/>
        <w:keepLines w:val="on"/>
      </w:pPr>
      <w:r>
        <w:t>Giá trị vốn chủ sở hữu = Thu nhập ròng₁ × Tỷ lệ chi trả cổ tức / (Chi phí vốn chủ sở hữu − Tỷ lệ tăng trưởng ổn định)</w:t>
      </w:r>
      <w:bookmarkEnd w:id="4049"/>
    </w:p>
    <w:p>
      <w:pPr>
        <w:pStyle w:val="Para 03"/>
      </w:pPr>
      <w:r>
        <w:t>Định nghĩa biên lợi nhuận ròng = EPS₀ / Doanh thu trên mỗi cổ phần, giá trị vốn chủ sở hữu có thể được viết lại thành:</w:t>
      </w:r>
    </w:p>
    <w:p>
      <w:bookmarkStart w:id="4050" w:name="Value_of_equity_Sales1xNet_margi"/>
      <w:pPr>
        <w:keepNext/>
        <w:pStyle w:val="Para 09"/>
        <w:keepLines w:val="on"/>
      </w:pPr>
      <w:r>
        <w:t>Giá trị vốn chủ sở hữu = Doanh thu₁ × Biên lợi nhuận ròng × Tỷ lệ chi trả cổ tức / (Chi phí vốn chủ sở hữu − Tỷ lệ tăng trưởng ổn định)</w:t>
      </w:r>
      <w:bookmarkEnd w:id="4050"/>
    </w:p>
    <w:p>
      <w:pPr>
        <w:pStyle w:val="Para 03"/>
      </w:pPr>
      <w:r>
        <w:t>Viết lại theo tỷ lệ giá trên doanh thu kỳ vọng (forward sales ratio),</w:t>
      </w:r>
    </w:p>
    <w:p>
      <w:bookmarkStart w:id="4051" w:name="Value_of_equitySales1_Net_margin"/>
      <w:pPr>
        <w:keepNext/>
        <w:pStyle w:val="Para 09"/>
        <w:keepLines w:val="on"/>
      </w:pPr>
      <w:r>
        <w:t>Giá trị vốn chủ sở hữu / Doanh thu₁ = Biên lợi nhuận ròng × Tỷ lệ chi trả cổ tức / (Chi phí vốn chủ sở hữu − Tỷ lệ tăng trưởng ổn định)</w:t>
      </w:r>
      <w:bookmarkEnd w:id="4051"/>
    </w:p>
    <w:p>
      <w:pPr>
        <w:pStyle w:val="Para 03"/>
      </w:pPr>
      <w:r>
        <w:t>Nếu bội số doanh thu được tính so với doanh thu hiện tại,</w:t>
      </w:r>
    </w:p>
    <w:p>
      <w:bookmarkStart w:id="4052" w:name="Value_of_equitySales0_Net_margin"/>
      <w:pPr>
        <w:keepNext/>
        <w:pStyle w:val="Para 09"/>
        <w:keepLines w:val="on"/>
      </w:pPr>
      <w:r>
        <w:t>Giá trị vốn chủ sở hữu / Doanh thu₀ = Biên lợi nhuận ròng × Tỷ lệ chi trả cổ tức × (1 + Tỷ lệ tăng trưởng ổn định) / (Chi phí vốn chủ sở hữu − Tỷ lệ tăng trưởng ổn định)</w:t>
      </w:r>
      <w:bookmarkEnd w:id="4052"/>
    </w:p>
    <w:p>
      <w:pPr>
        <w:pStyle w:val="Para 03"/>
      </w:pPr>
      <w:r>
        <w:t>Tỷ lệ PS là một hàm đồng biến với biên lợi nhuận, tỷ lệ chi trả cổ tức và tỷ lệ tăng trưởng, và là hàm nghịch biến với mức độ rủi ro của doanh nghiệp. Giống như tỷ lệ giá trên thu nhập và giá trên giá trị sổ sách, tỷ lệ giá trên doanh thu kỳ vọng có thể được ước tính cho một doanh nghiệp tăng trưởng cao:</w:t>
      </w:r>
    </w:p>
    <w:p>
      <w:bookmarkStart w:id="4053" w:name="PriceForward_Sales_Net_marginhgx"/>
      <w:pPr>
        <w:keepNext/>
        <w:pStyle w:val="Para 09"/>
        <w:keepLines w:val="on"/>
      </w:pPr>
      <w:r>
        <w:t>Giá / Doanh thu kỳ vọng = Biên lợi nhuận ròng_hg × [Tỷ lệ chi trả cổ tức_hg × (1 − (1+g)ⁿ / (1+ke,hg)ⁿ) / (ke,hg − g) + (1+g)ⁿ⁻¹ × (1+gst) × Tỷ lệ chi trả cổ tức_st / ((ke,st − gst) × (1+ke,hg)ⁿ)]</w:t>
      </w:r>
      <w:bookmarkEnd w:id="4053"/>
    </w:p>
    <w:p>
      <w:pPr>
        <w:pStyle w:val="Para 03"/>
      </w:pPr>
      <w:r>
        <w:t>Vế trái của phương trình là tỷ lệ giá trên doanh thu. Giữ nguyên mọi yếu tố khác, nó được quyết định bởi:</w:t>
      </w:r>
    </w:p>
    <w:p>
      <w:pPr>
        <w:numPr>
          <w:ilvl w:val="0"/>
          <w:numId w:val="187"/>
        </w:numPr>
        <w:pStyle w:val="Para 01"/>
      </w:pPr>
      <w:r>
        <w:t>Biên lợi nhuận ròng: thu nhập ròng / doanh thu. Tỷ lệ giá trên doanh thu (PS) là một hàm đồng biến với biên lợi nhuận ròng. Những doanh nghiệp có biên lợi nhuận ròng cao hơn, khi mọi thứ khác không đổi, nên được giao dịch ở tỷ lệ giá trên doanh thu cao hơn.¹</w:t>
      </w:r>
    </w:p>
    <w:p>
      <w:pPr>
        <w:numPr>
          <w:ilvl w:val="0"/>
          <w:numId w:val="187"/>
        </w:numPr>
        <w:pStyle w:val="Para 01"/>
      </w:pPr>
      <w:r>
        <w:t>Tỷ lệ chi trả cổ tức. Tỷ lệ PS tăng khi tỷ lệ chi trả cổ tức tăng, với bất kỳ tỷ lệ tăng trưởng nào cho trước; chi trả nhiều hơn dưới dạng cổ tức, với bất kỳ tỷ lệ tăng trưởng nào cho trước, ngụ ý rằng bạn tạo ra tăng trưởng hiệu quả hơn và do đó nên được định giá cao hơn.</w:t>
      </w:r>
    </w:p>
    <w:p>
      <w:pPr>
        <w:numPr>
          <w:ilvl w:val="0"/>
          <w:numId w:val="187"/>
        </w:numPr>
        <w:pStyle w:val="Para 01"/>
      </w:pPr>
      <w:r>
        <w:t>Mức độ rủi ro (thông qua tỷ lệ chiết khấu). Tỷ lệ PS trở nên thấp hơn khi rủi ro tăng lên vì rủi ro cao hơn đồng nghĩa với chi phí vốn chủ sở hữu cao hơn.</w:t>
      </w:r>
    </w:p>
    <w:p>
      <w:pPr>
        <w:numPr>
          <w:ilvl w:val="0"/>
          <w:numId w:val="187"/>
        </w:numPr>
        <w:pStyle w:val="Para 01"/>
      </w:pPr>
      <w:r>
        <w:t>Tỷ lệ tăng trưởng thu nhập kỳ vọng, ở cả giai đoạn tăng trưởng cao lẫn giai đoạn ổn định. Tỷ lệ PS tăng khi tỷ lệ tăng trưởng tăng, ở cả hai giai đoạn tăng trưởng cao và tăng trưởng ổn định.</w:t>
      </w:r>
    </w:p>
    <w:p>
      <w:pPr>
        <w:pStyle w:val="Para 03"/>
      </w:pPr>
      <w:r>
        <w:t>Giống như tỷ lệ giá trên giá trị sổ sách, bạn có thể thay thế dòng tiền tự do cho vốn chủ sở hữu (free cash flows to equity) vào vị trí cổ tức khi thực hiện ước tính này. Làm như vậy sẽ cho ra một ước tính hợp lý hơn về tỷ lệ giá trên doanh thu đối với những doanh nghiệp chi trả cổ tức thấp hơn nhiều so với khả năng chi trả của họ. Cũng giống như tỷ lệ giá trên giá trị sổ sách, doanh nghiệp có thể có biên lợi nhuận ròng khác nhau trong giai đoạn tăng trưởng ổn định. Tuy nhiên, biên lợi nhuận đó sẽ chỉ ảnh hưởng đến tỷ lệ chi trả cổ tức trong giai đoạn ổn định.</w:t>
      </w:r>
    </w:p>
    <w:p>
      <w:pPr>
        <w:pStyle w:val="Para 11"/>
      </w:pPr>
      <w:r>
        <w:t/>
        <w:t xml:space="preserve"> </w:t>
      </w:r>
    </w:p>
    <w:p>
      <w:bookmarkStart w:id="4056" w:name="ILLUSTRATION_20_1__Estimating_th_1"/>
      <w:bookmarkStart w:id="4057" w:name="ILLUSTRATION_20_1__Estimating_th"/>
      <w:pPr>
        <w:keepNext/>
        <w:pStyle w:val="Para 19"/>
        <w:keepLines w:val="on"/>
      </w:pPr>
      <w:r>
        <w:t>MINH HỌA 20.1: Ước tính tỷ lệ giá trên doanh thu cho một doanh nghiệp tăng trưởng cao trong mô hình hai giai đoạn</w:t>
      </w:r>
      <w:bookmarkEnd w:id="4056"/>
      <w:bookmarkEnd w:id="4057"/>
    </w:p>
    <w:p>
      <w:pPr>
        <w:pStyle w:val="Para 04"/>
        <w:keepLines w:val="on"/>
      </w:pPr>
      <w:r>
        <w:t>Giả sử bạn được yêu cầu ước tính tỷ lệ PS cho một doanh nghiệp dự kiến sẽ tăng trưởng cao trong năm năm tới. Bảng 20.2 tóm tắt các thông số đầu vào cho việc định giá:</w:t>
      </w:r>
    </w:p>
    <w:p>
      <w:pPr>
        <w:pStyle w:val="Para 25"/>
        <w:keepLines w:val="on"/>
      </w:pPr>
      <w:r>
        <w:t>Bảng 20.2</w:t>
      </w:r>
    </w:p>
    <w:p>
      <w:pPr>
        <w:keepNext/>
        <w:pStyle w:val="Para 24"/>
        <w:keepLines w:val="on"/>
      </w:pPr>
      <w:r>
        <w:t>Đặc điểm của một công ty tăng trưởng cao</w:t>
      </w:r>
    </w:p>
    <w:tbl>
      <w:tblPr>
        <w:tblW w:type="auto" w:w="0"/>
      </w:tblPr>
      <w:tr>
        <w:tc>
          <w:tcPr>
            <w:tcW w:type="auto" w:w="0"/>
          </w:tcPr>
          <w:tbl>
            <w:tblPr>
              <w:tblW w:type="pct" w:w="5000"/>
            </w:tblPr>
            <w:tr>
              <w:tc>
                <w:tcPr>
                  <w:tcW w:type="auto" w:w="0"/>
                  <w:shd w:val="clear" w:color="auto" w:fill="F0F0F0"/>
                </w:tcPr>
                <w:p>
                  <w:pPr>
                    <w:pStyle w:val="Para 02"/>
                    <w:keepLines w:val="on"/>
                  </w:pPr>
                  <w:r>
                    <w:t>Tốc độ tăng trưởng trong năm năm đầu = 20%</w:t>
                  </w:r>
                </w:p>
              </w:tc>
              <w:tc>
                <w:tcPr>
                  <w:tcW w:type="auto" w:w="0"/>
                  <w:shd w:val="clear" w:color="auto" w:fill="F0F0F0"/>
                </w:tcPr>
                <w:p>
                  <w:pPr>
                    <w:pStyle w:val="Para 02"/>
                    <w:keepLines w:val="on"/>
                  </w:pPr>
                  <w:r>
                    <w:t>Chi phí vốn chủ sở hữu = 4,5% + 1(5%) = 9,5%</w:t>
                  </w:r>
                </w:p>
              </w:tc>
            </w:tr>
            <w:tr>
              <w:tc>
                <w:tcPr>
                  <w:tcW w:type="auto" w:w="0"/>
                  <w:shd w:val="clear" w:color="auto" w:fill="F0F0F0"/>
                </w:tcPr>
                <w:p>
                  <w:pPr>
                    <w:pStyle w:val="Para 02"/>
                    <w:keepLines w:val="on"/>
                  </w:pPr>
                  <w:r>
                    <w:t>Tốc độ tăng trưởng sau năm năm = 4%</w:t>
                  </w:r>
                </w:p>
              </w:tc>
              <w:tc>
                <w:tcPr>
                  <w:tcW w:type="auto" w:w="0"/>
                  <w:shd w:val="clear" w:color="auto" w:fill="F0F0F0"/>
                </w:tcPr>
                <w:p>
                  <w:pPr>
                    <w:pStyle w:val="Para 02"/>
                    <w:keepLines w:val="on"/>
                  </w:pPr>
                  <w:r>
                    <w:t>Tỷ lệ chi trả cổ tức trong năm năm đầu = 20%</w:t>
                  </w:r>
                </w:p>
              </w:tc>
            </w:tr>
            <w:tr>
              <w:tc>
                <w:tcPr>
                  <w:tcW w:type="auto" w:w="0"/>
                  <w:shd w:val="clear" w:color="auto" w:fill="F0F0F0"/>
                </w:tcPr>
                <w:p>
                  <w:pPr>
                    <w:pStyle w:val="Para 02"/>
                    <w:keepLines w:val="on"/>
                  </w:pPr>
                  <w:r>
                    <w:t>Beta = 1,0</w:t>
                  </w:r>
                </w:p>
              </w:tc>
              <w:tc>
                <w:tcPr>
                  <w:tcW w:type="auto" w:w="0"/>
                  <w:shd w:val="clear" w:color="auto" w:fill="F0F0F0"/>
                </w:tcPr>
                <w:p>
                  <w:pPr>
                    <w:pStyle w:val="Para 02"/>
                    <w:keepLines w:val="on"/>
                  </w:pPr>
                  <w:r>
                    <w:t>Tỷ lệ chi trả cổ tức sau năm năm = 60%</w:t>
                  </w:r>
                </w:p>
              </w:tc>
            </w:tr>
            <w:tr>
              <w:tc>
                <w:tcPr>
                  <w:tcW w:type="auto" w:w="0"/>
                  <w:shd w:val="clear" w:color="auto" w:fill="F0F0F0"/>
                </w:tcPr>
                <w:p>
                  <w:pPr>
                    <w:pStyle w:val="Para 02"/>
                    <w:keepLines w:val="on"/>
                  </w:pPr>
                  <w:r>
                    <w:t>Biên lợi nhuận ròng = 10%</w:t>
                  </w:r>
                </w:p>
              </w:tc>
              <w:tc>
                <w:tcPr>
                  <w:tcW w:type="auto" w:w="0"/>
                  <w:shd w:val="clear" w:color="auto" w:fill="F0F0F0"/>
                </w:tcPr>
                <w:p>
                  <w:pPr>
                    <w:pStyle w:val="Para 02"/>
                    <w:keepLines w:val="on"/>
                  </w:pPr>
                  <w:r>
                    <w:t>Lãi suất phi rủi ro = Lãi suất trái phiếu chính phủ = 4,5%</w:t>
                  </w:r>
                </w:p>
              </w:tc>
            </w:tr>
            <w:tr>
              <w:tc>
                <w:tcPr>
                  <w:tcW w:type="auto" w:w="0"/>
                  <w:shd w:val="clear" w:color="auto" w:fill="F0F0F0"/>
                </w:tcPr>
                <w:p>
                  <w:pPr>
                    <w:pStyle w:val="5 Block"/>
                    <w:keepLines w:val="on"/>
                  </w:pPr>
                </w:p>
              </w:tc>
              <w:tc>
                <w:tcPr>
                  <w:tcW w:type="auto" w:w="0"/>
                  <w:shd w:val="clear" w:color="auto" w:fill="F0F0F0"/>
                </w:tcPr>
                <w:p>
                  <w:pPr>
                    <w:pStyle w:val="Para 02"/>
                    <w:keepLines w:val="on"/>
                  </w:pPr>
                  <w:r>
                    <w:t>Phần bù rủi ro vốn chủ sở hữu = 5%</w:t>
                  </w:r>
                </w:p>
              </w:tc>
            </w:tr>
          </w:tbl>
          <w:p/>
        </w:tc>
      </w:tr>
    </w:tbl>
    <w:p>
      <w:pPr>
        <w:pStyle w:val="Para 04"/>
        <w:keepLines w:val="on"/>
      </w:pPr>
      <w:r>
        <w:t>Tỷ lệ giá trên doanh thu kỳ vọng (price-to-forward-sales ratio) của công ty này có thể được ước tính như sau:</w:t>
      </w:r>
    </w:p>
    <w:p>
      <w:bookmarkStart w:id="4060" w:name="PriceForwardSales_0_10x_0_20x_1"/>
      <w:pPr>
        <w:keepNext/>
        <w:pStyle w:val="Para 07"/>
        <w:keepLines w:val="on"/>
      </w:pPr>
      <w:r>
        <w:t>PriceForwardSales=0,10×[0,20×(1−(1,20)5(1,095)5)(,095−,20)+(1,20)4(1,04)(0,60)(,095−,04)(1,095)5]=1,61</w:t>
      </w:r>
      <w:bookmarkEnd w:id="4060"/>
    </w:p>
    <w:p>
      <w:pPr>
        <w:pStyle w:val="Para 04"/>
        <w:keepLines w:val="on"/>
      </w:pPr>
      <w:r>
        <w:t>Tỷ lệ giá trên doanh thu quá khứ (price-to-trailing-sales ratio) có thể được tính đơn giản như sau:</w:t>
      </w:r>
    </w:p>
    <w:p>
      <w:bookmarkStart w:id="4062" w:name="PriceTrailing_Sales_Forward_Pric"/>
      <w:pPr>
        <w:keepNext/>
        <w:pStyle w:val="Para 07"/>
        <w:keepLines w:val="on"/>
      </w:pPr>
      <w:r>
        <w:t>PriceTrailing Sales=Forward Price to sales(1+Expected growth rate)=1,61×1,20=1,93</w:t>
      </w:r>
      <w:bookmarkEnd w:id="4062"/>
    </w:p>
    <w:p>
      <w:pPr>
        <w:pStyle w:val="Para 04"/>
        <w:keepLines w:val="on"/>
      </w:pPr>
      <w:r>
        <w:t>Dựa trên các yếu tố cơ bản của công ty này, bạn có thể kỳ vọng cổ phần của nó sẽ giao dịch ở mức 1,61 (3,21) lần doanh thu quá khứ (kỳ vọng).</w:t>
      </w:r>
    </w:p>
    <w:p>
      <w:pPr>
        <w:pStyle w:val="Para 11"/>
      </w:pPr>
      <w:r>
        <w:t/>
        <w:t xml:space="preserve"> </w:t>
      </w:r>
    </w:p>
    <w:p>
      <w:bookmarkStart w:id="4063" w:name="ILLUSTRATION_20_2__Estimating_th_1"/>
      <w:bookmarkStart w:id="4064" w:name="ILLUSTRATION_20_2__Estimating_th"/>
      <w:pPr>
        <w:keepNext/>
        <w:pStyle w:val="Para 19"/>
        <w:keepLines w:val="on"/>
      </w:pPr>
      <w:r>
        <w:t>MINH HỌA 20.2: Ước tính tỷ lệ giá trên doanh thu nội tại cho một công ty tăng trưởng cao: Whole Foods Markets vào tháng 5 năm 2011</w:t>
      </w:r>
      <w:bookmarkEnd w:id="4063"/>
      <w:bookmarkEnd w:id="4064"/>
    </w:p>
    <w:p>
      <w:pPr>
        <w:pStyle w:val="Para 04"/>
        <w:keepLines w:val="on"/>
      </w:pPr>
      <w:r>
        <w:t>Whole Foods Markets được thành lập như một chuỗi cửa hàng tạp hóa được thiết kế để cung cấp các lựa chọn thay thế cho những người mua sắm quan tâm đến sức khỏe, sẵn sàng trả giá cao hơn cho thực phẩm hữu cơ. Nhà bán lẻ này đã tăng trưởng đáng kể từ năm 2005 đến năm 2010 và có hơn 300 cửa hàng hoạt động vào tháng 5 năm 2011. Công ty báo cáo thu nhập ròng là 246 triệu đô la vào năm 2010 trên doanh thu 9.006 triệu đô la, mang lại biên lợi nhuận ròng là 2,73%:</w:t>
      </w:r>
    </w:p>
    <w:p>
      <w:bookmarkStart w:id="4066" w:name="Net_profit_margin_Net_income_Sal"/>
      <w:pPr>
        <w:keepNext/>
        <w:pStyle w:val="Para 07"/>
        <w:keepLines w:val="on"/>
      </w:pPr>
      <w:r>
        <w:t>Biên lợi nhuận ròng=Thu nhập ròng/Doanh thu=$246/$9.006 triệu=2,73%</w:t>
      </w:r>
      <w:bookmarkEnd w:id="4066"/>
    </w:p>
    <w:p>
      <w:pPr>
        <w:pStyle w:val="Para 04"/>
        <w:keepLines w:val="on"/>
      </w:pPr>
      <w:r>
        <w:t>Dựa trên giá trị sổ sách của vốn chủ sở hữu là 1.628 triệu đô la vào cuối năm 2009, công ty đã tạo ra lợi nhuận trên vốn chủ sở hữu là 15,11%:</w:t>
      </w:r>
    </w:p>
    <w:p>
      <w:bookmarkStart w:id="4067" w:name="Return_on_equity_Net_income2010B_1"/>
      <w:pPr>
        <w:keepNext/>
        <w:pStyle w:val="Para 07"/>
        <w:keepLines w:val="on"/>
      </w:pPr>
      <w:r>
        <w:t>Lợi nhuận trên vốn chủ sở hữu=Thu nhập ròng2010Giá trị sổ sách của vốn chủ sở hữu2009=2461628=15,11%</w:t>
      </w:r>
      <w:bookmarkEnd w:id="4067"/>
    </w:p>
    <w:p>
      <w:pPr>
        <w:pStyle w:val="Para 04"/>
        <w:keepLines w:val="on"/>
      </w:pPr>
      <w:r>
        <w:t>Chúng ta sẽ giả định rằng công ty sẽ có thể duy trì tốc độ tăng trưởng thu nhập ròng là 10% mỗi năm trong 10 năm tới, đồng thời giữ nguyên biên lợi nhuận ròng và lợi nhuận trên vốn chủ sở hữu hiện tại. Sau năm thứ mười, chúng ta sẽ giả định rằng công ty sẽ ở trong giai đoạn tăng trưởng ổn định, tăng trưởng 3% mỗi năm mãi mãi, với biên lợi nhuận ròng là 2,5% và lợi nhuận trên vốn chủ sở hữu là 10%. Để ước tính chi phí vốn chủ sở hữu, chúng ta sẽ giả định rằng công ty có beta là 1,00 trong giai đoạn tăng trưởng cao và 0,90 trong giai đoạn tăng trưởng ổn định; lãi suất phi rủi ro là 3,5% và phần bù rủi ro vốn chủ sở hữu là 5%. Các thông số đầu vào được sử dụng trong ước tính được tóm tắt trong Bảng 20.3:</w:t>
      </w:r>
    </w:p>
    <w:p>
      <w:pPr>
        <w:pStyle w:val="Para 25"/>
        <w:keepLines w:val="on"/>
      </w:pPr>
      <w:r>
        <w:t>Bảng 20.3</w:t>
      </w:r>
    </w:p>
    <w:p>
      <w:pPr>
        <w:keepNext/>
        <w:pStyle w:val="Para 24"/>
        <w:keepLines w:val="on"/>
      </w:pPr>
      <w:r>
        <w:t>Các thông số đầu vào định giá—Công ty tăng trưởng cao</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Tăng trưởng cao</w:t>
                  </w:r>
                </w:p>
              </w:tc>
              <w:tc>
                <w:tcPr>
                  <w:tcW w:type="auto" w:w="0"/>
                  <w:shd w:val="clear" w:color="auto" w:fill="F0F0F0"/>
                </w:tcPr>
                <w:p>
                  <w:pPr>
                    <w:pStyle w:val="Para 05"/>
                    <w:keepLines w:val="on"/>
                  </w:pPr>
                  <w:r>
                    <w:t>Tăng trưởng ổn định</w:t>
                  </w:r>
                </w:p>
              </w:tc>
            </w:tr>
            <w:tr>
              <w:tc>
                <w:tcPr>
                  <w:tcW w:type="auto" w:w="0"/>
                  <w:shd w:val="clear" w:color="auto" w:fill="F0F0F0"/>
                </w:tcPr>
                <w:p>
                  <w:pPr>
                    <w:pStyle w:val="Para 02"/>
                    <w:keepLines w:val="on"/>
                  </w:pPr>
                  <w:r>
                    <w:t>Độ dài tăng trưởng</w:t>
                  </w:r>
                </w:p>
              </w:tc>
              <w:tc>
                <w:tcPr>
                  <w:tcW w:type="auto" w:w="0"/>
                  <w:shd w:val="clear" w:color="auto" w:fill="F0F0F0"/>
                </w:tcPr>
                <w:p>
                  <w:pPr>
                    <w:pStyle w:val="Para 02"/>
                    <w:keepLines w:val="on"/>
                  </w:pPr>
                  <w:r>
                    <w:t>10 năm</w:t>
                  </w:r>
                </w:p>
              </w:tc>
              <w:tc>
                <w:tcPr>
                  <w:tcW w:type="auto" w:w="0"/>
                  <w:shd w:val="clear" w:color="auto" w:fill="F0F0F0"/>
                </w:tcPr>
                <w:p>
                  <w:pPr>
                    <w:pStyle w:val="Para 02"/>
                    <w:keepLines w:val="on"/>
                  </w:pPr>
                  <w:r>
                    <w:t>Mãi mãi</w:t>
                  </w:r>
                </w:p>
              </w:tc>
            </w:tr>
            <w:tr>
              <w:tc>
                <w:tcPr>
                  <w:tcW w:type="auto" w:w="0"/>
                  <w:shd w:val="clear" w:color="auto" w:fill="F0F0F0"/>
                </w:tcPr>
                <w:p>
                  <w:pPr>
                    <w:pStyle w:val="Para 02"/>
                    <w:keepLines w:val="on"/>
                  </w:pPr>
                  <w:r>
                    <w:t>Biên lợi nhuận ròng</w:t>
                  </w:r>
                </w:p>
              </w:tc>
              <w:tc>
                <w:tcPr>
                  <w:tcW w:type="auto" w:w="0"/>
                  <w:shd w:val="clear" w:color="auto" w:fill="F0F0F0"/>
                </w:tcPr>
                <w:p>
                  <w:pPr>
                    <w:pStyle w:val="Para 02"/>
                    <w:keepLines w:val="on"/>
                  </w:pPr>
                  <w:r>
                    <w:t>2,73%</w:t>
                  </w:r>
                </w:p>
              </w:tc>
              <w:tc>
                <w:tcPr>
                  <w:tcW w:type="auto" w:w="0"/>
                  <w:shd w:val="clear" w:color="auto" w:fill="F0F0F0"/>
                </w:tcPr>
                <w:p>
                  <w:pPr>
                    <w:pStyle w:val="Para 02"/>
                    <w:keepLines w:val="on"/>
                  </w:pPr>
                  <w:r>
                    <w:t>2,50%</w:t>
                  </w:r>
                </w:p>
              </w:tc>
            </w:tr>
            <w:tr>
              <w:tc>
                <w:tcPr>
                  <w:tcW w:type="auto" w:w="0"/>
                  <w:shd w:val="clear" w:color="auto" w:fill="F0F0F0"/>
                </w:tcPr>
                <w:p>
                  <w:pPr>
                    <w:pStyle w:val="Para 02"/>
                    <w:keepLines w:val="on"/>
                  </w:pPr>
                  <w:r>
                    <w:t>Doanh thu/Giá trị sổ sách của vốn chủ sở hữu</w:t>
                  </w:r>
                </w:p>
              </w:tc>
              <w:tc>
                <w:tcPr>
                  <w:tcW w:type="auto" w:w="0"/>
                  <w:shd w:val="clear" w:color="auto" w:fill="F0F0F0"/>
                </w:tcPr>
                <w:p>
                  <w:pPr>
                    <w:pStyle w:val="Para 02"/>
                    <w:keepLines w:val="on"/>
                  </w:pPr>
                  <w:r>
                    <w:t>5,53</w:t>
                  </w:r>
                </w:p>
              </w:tc>
              <w:tc>
                <w:tcPr>
                  <w:tcW w:type="auto" w:w="0"/>
                  <w:shd w:val="clear" w:color="auto" w:fill="F0F0F0"/>
                </w:tcPr>
                <w:p>
                  <w:pPr>
                    <w:pStyle w:val="Para 02"/>
                    <w:keepLines w:val="on"/>
                  </w:pPr>
                  <w:r>
                    <w:t>4,00</w:t>
                  </w:r>
                </w:p>
              </w:tc>
            </w:tr>
            <w:tr>
              <w:tc>
                <w:tcPr>
                  <w:tcW w:type="auto" w:w="0"/>
                  <w:shd w:val="clear" w:color="auto" w:fill="F0F0F0"/>
                </w:tcPr>
                <w:p>
                  <w:pPr>
                    <w:pStyle w:val="Para 02"/>
                    <w:keepLines w:val="on"/>
                  </w:pPr>
                  <w:r>
                    <w:t>ROE</w:t>
                  </w:r>
                </w:p>
              </w:tc>
              <w:tc>
                <w:tcPr>
                  <w:tcW w:type="auto" w:w="0"/>
                  <w:shd w:val="clear" w:color="auto" w:fill="F0F0F0"/>
                </w:tcPr>
                <w:p>
                  <w:pPr>
                    <w:pStyle w:val="Para 02"/>
                    <w:keepLines w:val="on"/>
                  </w:pPr>
                  <w:r>
                    <w:t>15,11%</w:t>
                  </w:r>
                </w:p>
              </w:tc>
              <w:tc>
                <w:tcPr>
                  <w:tcW w:type="auto" w:w="0"/>
                  <w:shd w:val="clear" w:color="auto" w:fill="F0F0F0"/>
                </w:tcPr>
                <w:p>
                  <w:pPr>
                    <w:pStyle w:val="Para 02"/>
                    <w:keepLines w:val="on"/>
                  </w:pPr>
                  <w:r>
                    <w:t>10,00%</w:t>
                  </w:r>
                </w:p>
              </w:tc>
            </w:tr>
            <w:tr>
              <w:tc>
                <w:tcPr>
                  <w:tcW w:type="auto" w:w="0"/>
                  <w:shd w:val="clear" w:color="auto" w:fill="F0F0F0"/>
                </w:tcPr>
                <w:p>
                  <w:pPr>
                    <w:pStyle w:val="Para 02"/>
                    <w:keepLines w:val="on"/>
                  </w:pPr>
                  <w:r>
                    <w:t>Tỷ lệ chi trả cổ tức</w:t>
                  </w:r>
                </w:p>
              </w:tc>
              <w:tc>
                <w:tcPr>
                  <w:tcW w:type="auto" w:w="0"/>
                  <w:shd w:val="clear" w:color="auto" w:fill="F0F0F0"/>
                </w:tcPr>
                <w:p>
                  <w:pPr>
                    <w:pStyle w:val="Para 02"/>
                    <w:keepLines w:val="on"/>
                  </w:pPr>
                  <w:r>
                    <w:t>1 − 10%/15,11% = 33,82%</w:t>
                  </w:r>
                </w:p>
              </w:tc>
              <w:tc>
                <w:tcPr>
                  <w:tcW w:type="auto" w:w="0"/>
                  <w:shd w:val="clear" w:color="auto" w:fill="F0F0F0"/>
                </w:tcPr>
                <w:p>
                  <w:pPr>
                    <w:pStyle w:val="Para 02"/>
                    <w:keepLines w:val="on"/>
                  </w:pPr>
                  <w:r>
                    <w:t>1 − 3%/10% = 70%</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Para 02"/>
                    <w:keepLines w:val="on"/>
                  </w:pPr>
                  <w:r>
                    <w:t>10,00%</w:t>
                  </w:r>
                </w:p>
              </w:tc>
              <w:tc>
                <w:tcPr>
                  <w:tcW w:type="auto" w:w="0"/>
                  <w:shd w:val="clear" w:color="auto" w:fill="F0F0F0"/>
                </w:tcPr>
                <w:p>
                  <w:pPr>
                    <w:pStyle w:val="Para 02"/>
                    <w:keepLines w:val="on"/>
                  </w:pPr>
                  <w:r>
                    <w:t>3,00%</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Para 02"/>
                    <w:keepLines w:val="on"/>
                  </w:pPr>
                  <w:r>
                    <w:t>3,5% + 1(5%) = 8,50%</w:t>
                  </w:r>
                </w:p>
              </w:tc>
              <w:tc>
                <w:tcPr>
                  <w:tcW w:type="auto" w:w="0"/>
                  <w:shd w:val="clear" w:color="auto" w:fill="F0F0F0"/>
                </w:tcPr>
                <w:p>
                  <w:pPr>
                    <w:pStyle w:val="Para 02"/>
                    <w:keepLines w:val="on"/>
                  </w:pPr>
                  <w:r>
                    <w:t>3,5% + 0,9(5%) = 8,00%</w:t>
                  </w:r>
                </w:p>
              </w:tc>
            </w:tr>
          </w:tbl>
          <w:p/>
        </w:tc>
      </w:tr>
    </w:tbl>
    <w:p>
      <w:pPr>
        <w:pStyle w:val="Para 04"/>
        <w:keepLines w:val="on"/>
      </w:pPr>
      <w:r>
        <w:t>Lưu ý rằng chúng ta đang suy ra tỷ lệ chi trả cổ tức từ tốc độ tăng trưởng kỳ vọng và ROE, thay vì dùng cổ tức thực tế đã chi trả. Do đó, chúng ta đang thực chất sử dụng FCFE thay vì cổ tức thực tế. Tỷ lệ giá trên doanh thu, dựa trên những dữ liệu đầu vào này, được ước tính ở đây.</w:t>
      </w:r>
    </w:p>
    <w:p>
      <w:pPr>
        <w:pStyle w:val="Para 40"/>
        <w:keepLines w:val="on"/>
      </w:pPr>
      <w:r>
        <w:rPr>
          <w:rStyle w:val="Text26"/>
        </w:rPr>
        <w:bookmarkStart w:id="4069" w:name="Page_619"/>
        <w:t/>
        <w:bookmarkEnd w:id="4069"/>
      </w:r>
      <w:r>
        <w:t xml:space="preserve"> </w:t>
      </w:r>
    </w:p>
    <w:p>
      <w:bookmarkStart w:id="4070" w:name="PriceForward_Sales_0_0273x_0_338"/>
      <w:pPr>
        <w:keepNext/>
        <w:pStyle w:val="Para 07"/>
        <w:keepLines w:val="on"/>
      </w:pPr>
      <w:r>
        <w:t>PriceForward Sales=0,0273×[0,3382×(1−(1,10)10(1,085)10)(0,085−0,10)+(1,10)9 (1,03)(0,70)(0,08−0,03)(1,085)10]=0,50PriceTrailing Sales=0,50(1,10)=0,55</w:t>
      </w:r>
      <w:bookmarkEnd w:id="4070"/>
    </w:p>
    <w:p>
      <w:pPr>
        <w:pStyle w:val="Para 04"/>
        <w:keepLines w:val="on"/>
      </w:pPr>
      <w:r>
        <w:t>Whole Foods đang được giao dịch với tỷ lệ giá trên doanh thu là 1,11 vào tháng 5 năm 2011, khiến nó bị định giá cao một cách đáng kể.</w:t>
      </w:r>
    </w:p>
    <w:p>
      <w:bookmarkStart w:id="4071" w:name="Enterprise_Value_to_Sales_Ratios_1"/>
      <w:bookmarkStart w:id="4072" w:name="Enterprise_Value_to_Sales_Ratios"/>
      <w:pPr>
        <w:keepNext/>
        <w:pStyle w:val="Heading 4"/>
        <w:keepLines w:val="on"/>
      </w:pPr>
      <w:r>
        <w:t>Tỷ lệ Giá trị doanh nghiệp trên Doanh thu</w:t>
      </w:r>
      <w:bookmarkEnd w:id="4071"/>
      <w:bookmarkEnd w:id="4072"/>
    </w:p>
    <w:p>
      <w:pPr>
        <w:pStyle w:val="Para 03"/>
      </w:pPr>
      <w:r>
        <w:t>Để phân tích mối quan hệ giữa giá trị và doanh thu, hãy xem xét giá trị của một doanh nghiệp tăng trưởng ổn định:</w:t>
      </w:r>
    </w:p>
    <w:p>
      <w:bookmarkStart w:id="4073" w:name="Enterprise_value_EBIT_1_t_1_Rein"/>
      <w:pPr>
        <w:keepNext/>
        <w:pStyle w:val="Para 09"/>
        <w:keepLines w:val="on"/>
      </w:pPr>
      <w:r>
        <w:t>Giá trị doanh nghiệp = EBIT 1-t(1-Tỷ lệ tái đầu tư)(Chi phí vốn-Tỷ lệ tăng trưởng kỳ vọng)</w:t>
      </w:r>
      <w:bookmarkEnd w:id="4073"/>
    </w:p>
    <w:p>
      <w:pPr>
        <w:pStyle w:val="Para 03"/>
      </w:pPr>
      <w:r>
        <w:t>Chia cả hai vế cho doanh thu, bạn được:</w:t>
      </w:r>
    </w:p>
    <w:p>
      <w:bookmarkStart w:id="4074" w:name="Enterprise_valueSales_EBIT__1"/>
      <w:pPr>
        <w:keepNext/>
        <w:pStyle w:val="Para 09"/>
        <w:keepLines w:val="on"/>
      </w:pPr>
      <w:r>
        <w:t>Giá trị doanh nghiệpDoanh thu=EBIT (1−t)Doanh thu×(1−Tỷ lệ tái đầu tư)(Chi phí vốn−Tỷ lệ tăng trưởng kỳ vọng)Giá trị doanh nghiệpDoanh thu=Biên lợi nhuận hoạt động sau thuế×(1−Tỷ lệ tái đầu tư)(Chi phí vốn−Tỷ lệ tăng trưởng kỳ vọng)</w:t>
      </w:r>
      <w:bookmarkEnd w:id="4074"/>
    </w:p>
    <w:p>
      <w:pPr>
        <w:pStyle w:val="Para 03"/>
      </w:pPr>
      <w:r>
        <w:t>Cũng giống như tỷ lệ giá trên doanh thu được quyết định bởi biên lợi nhuận ròng, tỷ lệ chi trả cổ tức và chi phí vốn cổ phần, tỷ lệ giá trị trên doanh thu được quyết định bởi biên lợi nhuận hoạt động sau thuế, tỷ lệ tái đầu tư và chi phí vốn. Những doanh nghiệp có biên lợi nhuận hoạt động sau thuế (ATOM) cao hơn, tỷ lệ tái đầu tư thấp hơn (với bất kỳ tốc độ tăng trưởng nào cho trước) và chi phí vốn thấp hơn sẽ được giao dịch ở bội số giá trị trên doanh thu cao hơn.</w:t>
      </w:r>
    </w:p>
    <w:p>
      <w:pPr>
        <w:pStyle w:val="Para 03"/>
      </w:pPr>
      <w:r>
        <w:t>Phương trình này có thể được mở rộng để bao quát một doanh nghiệp đang tăng trưởng cao bằng cách sử dụng mô hình định giá doanh nghiệp hai giai đoạn:</w:t>
      </w:r>
    </w:p>
    <w:p>
      <w:bookmarkStart w:id="4075" w:name="EVForwardSales_ATOMhgx__1___RIRh"/>
      <w:pPr>
        <w:keepNext/>
        <w:pStyle w:val="Para 09"/>
        <w:keepLines w:val="on"/>
      </w:pPr>
      <w:r>
        <w:t>EVDoanh thu kỳ tới=ATOMhg×[(1−RIRhg)×(1−(1+g)n(1+kc,hg)n)(kc,hg−g)+ (1+g)n−1(1+gst)(1−RIRst)(kc,st−gst)(1+kc,hg)n]</w:t>
      </w:r>
      <w:bookmarkEnd w:id="4075"/>
    </w:p>
    <w:p>
      <w:bookmarkStart w:id="4076" w:name="where_ATOM_After_tax_operating_m"/>
      <w:pPr>
        <w:pStyle w:val="Para 39"/>
      </w:pPr>
      <w:r>
        <w:t>trong đó ATOM=Biên lợi nhuận hoạt động sau thuế=EBIT(1−t)/Doanh thuRIR=Tỷ lệ tái đầu tư(RIRn dành cho giai đoạn tăng trưởng ổn định)kc=Chi phí vốn(hg: tăng trưởng cao và st: giai đoạn tăng trưởng ổn định)g=Tỷ lệ tăng trưởng thu nhập hoạt động trong giai đoạn tăng trưởng caogst=Tỷ lệ tăng trưởng thu nhập hoạt động trong giai đoạn tăng trưởng ổn định</w:t>
      </w:r>
      <w:bookmarkEnd w:id="4076"/>
    </w:p>
    <w:p>
      <w:pPr>
        <w:pStyle w:val="Para 03"/>
      </w:pPr>
      <w:r>
        <w:t>Lưu ý rằng các yếu tố quyết định tỷ lệ EV trên doanh thu vẫn giữ nguyên như trong mô hình tăng trưởng ổn định—tỷ lệ tăng trưởng, tỷ lệ tái đầu tư, biên lợi nhuận hoạt động và chi phí vốn—nhưng số lượng ước tính tăng lên để phản ánh sự tồn tại của một giai đoạn tăng trưởng cao.</w:t>
      </w:r>
    </w:p>
    <w:p>
      <w:pPr>
        <w:pStyle w:val="Para 11"/>
      </w:pPr>
      <w:r>
        <w:t/>
        <w:t xml:space="preserve"> </w:t>
      </w:r>
    </w:p>
    <w:p>
      <w:bookmarkStart w:id="4078" w:name="ILLUSTRATION_20_3__Estimating_th"/>
      <w:bookmarkStart w:id="4079" w:name="ILLUSTRATION_20_3__Estimating_th_1"/>
      <w:pPr>
        <w:keepNext/>
        <w:pStyle w:val="Para 19"/>
        <w:keepLines w:val="on"/>
      </w:pPr>
      <w:r>
        <w:t>MINH HỌA 20.3: Ước tính tỷ lệ EV trên doanh thu nội tại cho một doanh nghiệp tăng trưởng cao: Coca-Cola vào tháng 5 năm 2011</w:t>
      </w:r>
      <w:bookmarkEnd w:id="4078"/>
      <w:bookmarkEnd w:id="4079"/>
    </w:p>
    <w:p>
      <w:pPr>
        <w:pStyle w:val="Para 04"/>
        <w:keepLines w:val="on"/>
      </w:pPr>
      <w:r>
        <w:t>Coca-Cola đã thành công trong việc đạt được mức tăng trưởng cao với biên lợi nhuận ấn tượng trong nhiều thập kỷ. Năm 2010, Coca-Cola báo cáo thu nhập hoạt động trước thuế là 8.449 triệu đô la trên doanh thu 35.119 triệu đô la; thuế suất của công ty vào khoảng 40%. Vào cuối năm 2009, doanh nghiệp có tổng vốn đầu tư là 31.679 triệu đô la, dẫn đến các thông số đầu vào sau:</w:t>
      </w:r>
    </w:p>
    <w:p>
      <w:bookmarkStart w:id="4081" w:name="Invested_capital_BV_of_equity_BV"/>
      <w:pPr>
        <w:keepNext/>
        <w:pStyle w:val="Para 07"/>
        <w:keepLines w:val="on"/>
      </w:pPr>
      <w:r>
        <w:t>Vốn đầu tư=Giá trị sổ sách của vốn cổ phần+Giá trị sổ sách của nợ−Tiền mặt=24.799+11.859−4.979=31.679 triệu đô la</w:t>
      </w:r>
      <w:bookmarkEnd w:id="4081"/>
    </w:p>
    <w:p>
      <w:bookmarkStart w:id="4082" w:name="After_tax_operating_margin_Opera"/>
      <w:pPr>
        <w:keepNext/>
        <w:pStyle w:val="Para 07"/>
        <w:keepLines w:val="on"/>
      </w:pPr>
      <w:r>
        <w:t>Biên lợi nhuận hoạt động sau thuế=Thu nhập hoạt động(1−t)Doanh thu=8.449(1−.40)35.119=14,43%</w:t>
      </w:r>
      <w:bookmarkEnd w:id="4082"/>
    </w:p>
    <w:p>
      <w:bookmarkStart w:id="4083" w:name="Salescapital__35_119_31_169_1_11"/>
      <w:pPr>
        <w:keepNext/>
        <w:pStyle w:val="Para 07"/>
        <w:keepLines w:val="on"/>
      </w:pPr>
      <w:r>
        <w:t>Doanh thuVốn=$35.119$31.169=1,11</w:t>
      </w:r>
      <w:bookmarkEnd w:id="4083"/>
    </w:p>
    <w:p>
      <w:bookmarkStart w:id="4084" w:name="Return_on_invested_capital_After"/>
      <w:pPr>
        <w:keepNext/>
        <w:pStyle w:val="Para 07"/>
        <w:keepLines w:val="on"/>
      </w:pPr>
      <w:r>
        <w:t>Lợi nhuận trên vốn đầu tư=Biên lợi nhuận hoạt động sau thuế×Doanh thuVốn=14,43%×1,11=16%</w:t>
      </w:r>
      <w:bookmarkEnd w:id="4084"/>
    </w:p>
    <w:p>
      <w:pPr>
        <w:pStyle w:val="Para 04"/>
        <w:keepLines w:val="on"/>
      </w:pPr>
      <w:r>
        <w:t>Chúng ta sẽ giả định rằng doanh nghiệp sẽ có thể duy trì biên lợi nhuận và lợi nhuận trên vốn hiện tại trong 10 năm tới, đồng thời tái đầu tư 60% thu nhập hoạt động sau thuế trở lại vào hoạt động kinh doanh (mức trung bình trong năm năm qua). Trong giai đoạn này, chúng ta cũng giả định rằng Coca-Cola sẽ có beta là 0,90 và chi phí nợ trước thuế là 4,50%, và rằng công ty sẽ duy trì ở tỷ lệ nợ trên vốn hiện tại là 7,23%, dẫn đến chi phí vốn là 8,03% (phần bù rủi ro vốn cổ phần 5,5% phản ánh mức độ tiếp xúc của Coca-Cola với các thị trường mới nổi):</w:t>
      </w:r>
    </w:p>
    <w:p>
      <w:bookmarkStart w:id="4085" w:name="Cost_of_equity_Risk_free_rate_Be"/>
      <w:pPr>
        <w:keepNext/>
        <w:pStyle w:val="Para 07"/>
        <w:keepLines w:val="on"/>
      </w:pPr>
      <w:r>
        <w:t>Chi phí vốn cổ phần=Tỷ lệ phi rủi ro+Beta(Phần bù rủi ro vốn cổ phần)=3,5%+.9(5,5%)=8,45%Chi phí vốn=8,45%(1−.0723)+4,5%(1−.40)(.0723)=8,03%</w:t>
      </w:r>
      <w:bookmarkEnd w:id="4085"/>
    </w:p>
    <w:p>
      <w:pPr>
        <w:pStyle w:val="Para 04"/>
        <w:keepLines w:val="on"/>
      </w:pPr>
      <w:r>
        <w:t>Sau năm thứ 10, chúng ta giả định rằng Coca-Cola sẽ ở giai đoạn tăng trưởng ổn định, tăng trưởng 3,5% mỗi năm, và rằng biên lợi nhuận hoạt động và tỷ lệ doanh thu trên vốn của công ty sẽ giảm trở lại mức trung bình ngành (nhưng không giảm hết mức) (biên lợi nhuận hoạt động sau thuế sẽ là 12% và tỷ lệ doanh thu trên vốn sẽ hội tụ về 1). Trong giai đoạn tăng trưởng ổn định, chúng ta cũng giả định rằng beta của công ty sẽ là 1 và tỷ lệ nợ sẽ tăng lên 20%.</w:t>
      </w:r>
    </w:p>
    <w:p>
      <w:bookmarkStart w:id="4086" w:name="Cost_of_equity_3_5__1_5_5___9_Co"/>
      <w:pPr>
        <w:keepNext/>
        <w:pStyle w:val="Para 07"/>
        <w:keepLines w:val="on"/>
      </w:pPr>
      <w:r>
        <w:t>Chi phí vốn cổ phần=3,5%+1(5,5%)=9%Chi phí vốn=9%(.80)+4,5%(1−.4)(.20)=7,74%</w:t>
      </w:r>
      <w:bookmarkEnd w:id="4086"/>
    </w:p>
    <w:p>
      <w:pPr>
        <w:pStyle w:val="Para 04"/>
        <w:keepLines w:val="on"/>
      </w:pPr>
      <w:r>
        <w:t>Các thông số đầu vào mà chúng ta sẽ sử dụng để ước tính tỷ lệ EV/Doanh thu cho Coca-Cola được liệt kê trong Bảng 20.4:</w:t>
      </w:r>
    </w:p>
    <w:p>
      <w:pPr>
        <w:pStyle w:val="Para 25"/>
        <w:keepLines w:val="on"/>
      </w:pPr>
      <w:r>
        <w:t>Bảng 20.4</w:t>
      </w:r>
    </w:p>
    <w:p>
      <w:pPr>
        <w:keepNext/>
        <w:pStyle w:val="Para 24"/>
        <w:keepLines w:val="on"/>
      </w:pPr>
      <w:r>
        <w:t>Các thông số đầu vào định giá—Coca Cola</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Tăng trưởng cao</w:t>
                  </w:r>
                </w:p>
              </w:tc>
              <w:tc>
                <w:tcPr>
                  <w:tcW w:type="auto" w:w="0"/>
                  <w:shd w:val="clear" w:color="auto" w:fill="F0F0F0"/>
                </w:tcPr>
                <w:p>
                  <w:pPr>
                    <w:pStyle w:val="Para 05"/>
                    <w:keepLines w:val="on"/>
                  </w:pPr>
                  <w:r>
                    <w:t>Tăng trưởng ổn định</w:t>
                  </w:r>
                </w:p>
              </w:tc>
            </w:tr>
            <w:tr>
              <w:tc>
                <w:tcPr>
                  <w:tcW w:type="auto" w:w="0"/>
                  <w:shd w:val="clear" w:color="auto" w:fill="F0F0F0"/>
                </w:tcPr>
                <w:p>
                  <w:pPr>
                    <w:pStyle w:val="Para 02"/>
                    <w:keepLines w:val="on"/>
                  </w:pPr>
                  <w:r>
                    <w:t>Độ dài giai đoạn</w:t>
                  </w:r>
                </w:p>
              </w:tc>
              <w:tc>
                <w:tcPr>
                  <w:tcW w:type="auto" w:w="0"/>
                  <w:shd w:val="clear" w:color="auto" w:fill="F0F0F0"/>
                </w:tcPr>
                <w:p>
                  <w:pPr>
                    <w:pStyle w:val="Para 06"/>
                    <w:keepLines w:val="on"/>
                  </w:pPr>
                  <w:r>
                    <w:t>10</w:t>
                  </w:r>
                </w:p>
              </w:tc>
              <w:tc>
                <w:tcPr>
                  <w:tcW w:type="auto" w:w="0"/>
                  <w:shd w:val="clear" w:color="auto" w:fill="F0F0F0"/>
                </w:tcPr>
                <w:p>
                  <w:pPr>
                    <w:pStyle w:val="Para 06"/>
                    <w:keepLines w:val="on"/>
                  </w:pPr>
                  <w:r>
                    <w:t>Sau năm thứ 5</w:t>
                  </w:r>
                </w:p>
              </w:tc>
            </w:tr>
            <w:tr>
              <w:tc>
                <w:tcPr>
                  <w:tcW w:type="auto" w:w="0"/>
                  <w:shd w:val="clear" w:color="auto" w:fill="F0F0F0"/>
                </w:tcPr>
                <w:p>
                  <w:pPr>
                    <w:pStyle w:val="Para 02"/>
                    <w:keepLines w:val="on"/>
                  </w:pPr>
                  <w:r>
                    <w:t>Biên lợi nhuận hoạt động sau thuế</w:t>
                  </w:r>
                </w:p>
              </w:tc>
              <w:tc>
                <w:tcPr>
                  <w:tcW w:type="auto" w:w="0"/>
                  <w:shd w:val="clear" w:color="auto" w:fill="F0F0F0"/>
                </w:tcPr>
                <w:p>
                  <w:pPr>
                    <w:pStyle w:val="Para 06"/>
                    <w:keepLines w:val="on"/>
                  </w:pPr>
                  <w:r>
                    <w:t>14,43%</w:t>
                  </w:r>
                </w:p>
              </w:tc>
              <w:tc>
                <w:tcPr>
                  <w:tcW w:type="auto" w:w="0"/>
                  <w:shd w:val="clear" w:color="auto" w:fill="F0F0F0"/>
                </w:tcPr>
                <w:p>
                  <w:pPr>
                    <w:pStyle w:val="Para 06"/>
                    <w:keepLines w:val="on"/>
                  </w:pPr>
                  <w:r>
                    <w:t>12,00%</w:t>
                  </w:r>
                </w:p>
              </w:tc>
            </w:tr>
            <w:tr>
              <w:tc>
                <w:tcPr>
                  <w:tcW w:type="auto" w:w="0"/>
                  <w:shd w:val="clear" w:color="auto" w:fill="F0F0F0"/>
                </w:tcPr>
                <w:p>
                  <w:pPr>
                    <w:pStyle w:val="Para 02"/>
                    <w:keepLines w:val="on"/>
                  </w:pPr>
                  <w:r>
                    <w:t>Doanh thu/vốn</w:t>
                  </w:r>
                </w:p>
              </w:tc>
              <w:tc>
                <w:tcPr>
                  <w:tcW w:type="auto" w:w="0"/>
                  <w:shd w:val="clear" w:color="auto" w:fill="F0F0F0"/>
                </w:tcPr>
                <w:p>
                  <w:pPr>
                    <w:pStyle w:val="Para 06"/>
                    <w:keepLines w:val="on"/>
                  </w:pPr>
                  <w:r>
                    <w:t>1,11</w:t>
                  </w:r>
                </w:p>
              </w:tc>
              <w:tc>
                <w:tcPr>
                  <w:tcW w:type="auto" w:w="0"/>
                  <w:shd w:val="clear" w:color="auto" w:fill="F0F0F0"/>
                </w:tcPr>
                <w:p>
                  <w:pPr>
                    <w:pStyle w:val="Para 06"/>
                    <w:keepLines w:val="on"/>
                  </w:pPr>
                  <w:r>
                    <w:t>1,00</w:t>
                  </w:r>
                </w:p>
              </w:tc>
            </w:tr>
            <w:tr>
              <w:tc>
                <w:tcPr>
                  <w:tcW w:type="auto" w:w="0"/>
                  <w:shd w:val="clear" w:color="auto" w:fill="F0F0F0"/>
                </w:tcPr>
                <w:p>
                  <w:pPr>
                    <w:pStyle w:val="Para 02"/>
                    <w:keepLines w:val="on"/>
                  </w:pPr>
                  <w:r>
                    <w:t>Tỷ suất sinh lời trên vốn</w:t>
                  </w:r>
                </w:p>
              </w:tc>
              <w:tc>
                <w:tcPr>
                  <w:tcW w:type="auto" w:w="0"/>
                  <w:shd w:val="clear" w:color="auto" w:fill="F0F0F0"/>
                </w:tcPr>
                <w:p>
                  <w:pPr>
                    <w:pStyle w:val="Para 06"/>
                    <w:keepLines w:val="on"/>
                  </w:pPr>
                  <w:r>
                    <w:t>16,00%</w:t>
                  </w:r>
                </w:p>
              </w:tc>
              <w:tc>
                <w:tcPr>
                  <w:tcW w:type="auto" w:w="0"/>
                  <w:shd w:val="clear" w:color="auto" w:fill="F0F0F0"/>
                </w:tcPr>
                <w:p>
                  <w:pPr>
                    <w:pStyle w:val="Para 06"/>
                    <w:keepLines w:val="on"/>
                  </w:pPr>
                  <w:r>
                    <w:t>12,00%</w:t>
                  </w:r>
                </w:p>
              </w:tc>
            </w:tr>
            <w:tr>
              <w:tc>
                <w:tcPr>
                  <w:tcW w:type="auto" w:w="0"/>
                  <w:shd w:val="clear" w:color="auto" w:fill="F0F0F0"/>
                </w:tcPr>
                <w:p>
                  <w:pPr>
                    <w:pStyle w:val="Para 02"/>
                    <w:keepLines w:val="on"/>
                  </w:pPr>
                  <w:r>
                    <w:t>Tỷ lệ tái đầu tư</w:t>
                  </w:r>
                </w:p>
              </w:tc>
              <w:tc>
                <w:tcPr>
                  <w:tcW w:type="auto" w:w="0"/>
                  <w:shd w:val="clear" w:color="auto" w:fill="F0F0F0"/>
                </w:tcPr>
                <w:p>
                  <w:pPr>
                    <w:pStyle w:val="Para 06"/>
                    <w:keepLines w:val="on"/>
                  </w:pPr>
                  <w:r>
                    <w:t>60%</w:t>
                  </w:r>
                </w:p>
              </w:tc>
              <w:tc>
                <w:tcPr>
                  <w:tcW w:type="auto" w:w="0"/>
                  <w:shd w:val="clear" w:color="auto" w:fill="F0F0F0"/>
                </w:tcPr>
                <w:p>
                  <w:pPr>
                    <w:pStyle w:val="Para 06"/>
                    <w:keepLines w:val="on"/>
                  </w:pPr>
                  <w:r>
                    <w:t>3,5%/12% = 29,17%</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Para 06"/>
                    <w:keepLines w:val="on"/>
                  </w:pPr>
                  <w:r>
                    <w:t>9,60%</w:t>
                  </w:r>
                </w:p>
              </w:tc>
              <w:tc>
                <w:tcPr>
                  <w:tcW w:type="auto" w:w="0"/>
                  <w:shd w:val="clear" w:color="auto" w:fill="F0F0F0"/>
                </w:tcPr>
                <w:p>
                  <w:pPr>
                    <w:pStyle w:val="Para 06"/>
                    <w:keepLines w:val="on"/>
                  </w:pPr>
                  <w:r>
                    <w:t>3,50%</w:t>
                  </w:r>
                </w:p>
              </w:tc>
            </w:tr>
            <w:tr>
              <w:tc>
                <w:tcPr>
                  <w:tcW w:type="auto" w:w="0"/>
                  <w:shd w:val="clear" w:color="auto" w:fill="F0F0F0"/>
                </w:tcPr>
                <w:p>
                  <w:pPr>
                    <w:pStyle w:val="Para 02"/>
                    <w:keepLines w:val="on"/>
                  </w:pPr>
                  <w:r>
                    <w:t>Chi phí vốn</w:t>
                  </w:r>
                </w:p>
              </w:tc>
              <w:tc>
                <w:tcPr>
                  <w:tcW w:type="auto" w:w="0"/>
                  <w:shd w:val="clear" w:color="auto" w:fill="F0F0F0"/>
                </w:tcPr>
                <w:p>
                  <w:pPr>
                    <w:pStyle w:val="Para 06"/>
                    <w:keepLines w:val="on"/>
                  </w:pPr>
                  <w:r>
                    <w:t>8,03%</w:t>
                  </w:r>
                </w:p>
              </w:tc>
              <w:tc>
                <w:tcPr>
                  <w:tcW w:type="auto" w:w="0"/>
                  <w:shd w:val="clear" w:color="auto" w:fill="F0F0F0"/>
                </w:tcPr>
                <w:p>
                  <w:pPr>
                    <w:pStyle w:val="Para 06"/>
                    <w:keepLines w:val="on"/>
                  </w:pPr>
                  <w:r>
                    <w:t>7,74%</w:t>
                  </w:r>
                </w:p>
              </w:tc>
            </w:tr>
          </w:tbl>
          <w:p/>
        </w:tc>
      </w:tr>
    </w:tbl>
    <w:p>
      <w:pPr>
        <w:pStyle w:val="Para 04"/>
        <w:keepLines w:val="on"/>
      </w:pPr>
      <w:r>
        <w:t>Thay những con số này vào phương trình EV/Sales hai giai đoạn, ta được:</w:t>
      </w:r>
    </w:p>
    <w:p>
      <w:bookmarkStart w:id="4089" w:name="Enterprise_valueForward_Sales_0"/>
      <w:pPr>
        <w:keepNext/>
        <w:pStyle w:val="Para 07"/>
        <w:keepLines w:val="on"/>
      </w:pPr>
      <w:r>
        <w:t>Giá trị doanh nghiệpDoanh thu kỳ tới=0,1443×[(1−,60)×(1−(1,096)10(1,0803)10)(,0803−,096)+(1,096)9 (1,035)(1−,2917)(,0774−,035)(1,0803)10]=3,20Giá trị doanh nghiệpDoanh thu hiện tại=Giá trị doanh nghiệpDoanh thu kỳ tới×(1,096)=3,51</w:t>
      </w:r>
      <w:bookmarkEnd w:id="4089"/>
    </w:p>
    <w:p>
      <w:pPr>
        <w:pStyle w:val="Para 04"/>
        <w:keepLines w:val="on"/>
      </w:pPr>
      <w:r>
        <w:t>Dựa trên các giả định đầu vào của chúng ta, giá trị doanh nghiệp của Coca-Cola nên là 3,51 lần doanh thu hiện tại:</w:t>
      </w:r>
    </w:p>
    <w:p>
      <w:bookmarkStart w:id="4090" w:name="Expected_enterprise_value__35_11"/>
      <w:pPr>
        <w:keepNext/>
        <w:pStyle w:val="Para 07"/>
        <w:keepLines w:val="on"/>
      </w:pPr>
      <w:r>
        <w:t>Giá trị doanh nghiệp kỳ vọng=$35.119×3,51=$123.197 triệu</w:t>
      </w:r>
      <w:bookmarkEnd w:id="4090"/>
    </w:p>
    <w:p>
      <w:pPr>
        <w:pStyle w:val="Para 04"/>
        <w:keepLines w:val="on"/>
      </w:pPr>
      <w:r>
        <w:t>Vào tháng 5 năm 2011, vốn hóa thị trường của Coca-Cola là 152.200 triệu USD. Cộng thêm khoản nợ đang lưu hành (11.859 triệu USD) và số dư tiền mặt (4.979 triệu USD) sẽ cho ra giá trị doanh nghiệp là:</w:t>
      </w:r>
    </w:p>
    <w:p>
      <w:bookmarkStart w:id="4091" w:name="Actual_enterprise_value__152_200"/>
      <w:pPr>
        <w:keepNext/>
        <w:pStyle w:val="Para 07"/>
        <w:keepLines w:val="on"/>
      </w:pPr>
      <w:r>
        <w:t>Giá trị doanh nghiệp thực tế = $152.200 + $11.859 - $4.979 = $159.080 triệu</w:t>
      </w:r>
      <w:bookmarkEnd w:id="4091"/>
    </w:p>
    <w:p>
      <w:pPr>
        <w:pStyle w:val="Para 04"/>
        <w:keepLines w:val="on"/>
      </w:pPr>
      <w:r>
        <w:t>Dựa trên các giả định của chúng ta, công ty có vẻ đang bị định giá cao hơn khoảng 23%.</w:t>
      </w:r>
    </w:p>
    <w:p>
      <w:pPr>
        <w:pStyle w:val="Para 11"/>
      </w:pPr>
      <w:r>
        <w:t/>
        <w:t xml:space="preserve"> </w:t>
      </w:r>
    </w:p>
    <w:p>
      <w:bookmarkStart w:id="4092" w:name="firmmult_xls__This_spreadsheet_e_2"/>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196"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4092"/>
    </w:p>
    <w:p>
      <w:pPr>
        <w:pStyle w:val="Para 31"/>
        <w:keepLines w:val="on"/>
      </w:pPr>
      <w:r>
        <w:t>firmmult.xls: Bảng tính này cho phép bạn ước tính tỷ lệ giá trị trên doanh thu (value-to-sales ratio) cho một công ty tăng trưởng ổn định hoặc tăng trưởng cao, dựa trên các yếu tố nền tảng của nó.</w:t>
      </w:r>
    </w:p>
    <w:p>
      <w:bookmarkStart w:id="4093" w:name="Revenue_Multiples_and_Profit_Mar"/>
      <w:pPr>
        <w:pStyle w:val="Para 21"/>
      </w:pPr>
      <w:r>
        <w:t>Bội số doanh thu và Biên lợi nhuận</w:t>
      </w:r>
      <w:bookmarkEnd w:id="4093"/>
    </w:p>
    <w:p>
      <w:pPr>
        <w:pStyle w:val="Para 03"/>
      </w:pPr>
      <w:r>
        <w:t>Yếu tố quyết định chính của bội số doanh thu (revenue multiples) là biên lợi nhuận (profit margin) — biên lợi nhuận ròng đối với tỷ lệ giá trên doanh thu (price-to-sales ratio) và biên lợi nhuận hoạt động đối với tỷ lệ giá trị trên doanh thu (value-to-sales ratio). Những công ty hoạt động trong các ngành có biên lợi nhuận cao có thể kỳ vọng được bán với bội số doanh thu cao. Tuy nhiên, sự sụt giảm biên lợi nhuận có tác động gấp đôi. Thứ nhất, việc giảm biên lợi nhuận làm giảm trực tiếp bội số doanh thu. Thứ hai, biên lợi nhuận thấp hơn có thể dẫn đến tăng trưởng thấp hơn, và do đó dẫn đến bội số doanh thu thậm chí còn thấp hơn nữa.</w:t>
      </w:r>
    </w:p>
    <w:p>
      <w:pPr>
        <w:pStyle w:val="Para 03"/>
      </w:pPr>
      <w:r>
        <w:t>Biên lợi nhuận có thể được liên kết với tăng trưởng kỳ vọng khá dễ dàng nếu ta định nghĩa thêm một số hạng nữa — tỷ lệ doanh thu trên giá trị sổ sách (BV), còn được gọi là tỷ lệ vòng quay (turnover ratio). Tỷ lệ vòng quay này có thể được định nghĩa theo vốn chủ sở hữu sổ sách (vòng quay vốn chủ sở hữu = Doanh thu/Giá trị sổ sách của vốn chủ sở hữu) hoặc vốn sổ sách (vòng quay vốn = Doanh thu/Giá trị sổ sách của vốn). Sử dụng mối quan hệ được xây dựng giữa tốc độ tăng trưởng và các yếu tố nền tảng, tốc độ tăng trưởng kỳ vọng của thu nhập vốn chủ sở hữu có thể được viết dưới dạng hàm của biên lợi nhuận ròng và tỷ lệ vòng quay:</w:t>
      </w:r>
    </w:p>
    <w:p>
      <w:bookmarkStart w:id="4096" w:name="Expected_growthNet_income_Retent"/>
      <w:pPr>
        <w:keepNext/>
        <w:pStyle w:val="Para 09"/>
        <w:keepLines w:val="on"/>
      </w:pPr>
      <w:r>
        <w:t>Tăng trưởng kỳ vọng của thu nhập ròng = Tỷ lệ giữ lại × Lợi nhuận trên vốn chủ sở hữu = Tỷ lệ giữ lại × (Lợi nhuận ròng/Doanh thu) × (Doanh thu/BV của vốn chủ sở hữu) = Tỷ lệ giữ lại × Biên lợi nhuận ròng × Doanh thu/BV của vốn chủ sở hữu</w:t>
      </w:r>
      <w:bookmarkEnd w:id="4096"/>
    </w:p>
    <w:p>
      <w:pPr>
        <w:pStyle w:val="Para 03"/>
      </w:pPr>
      <w:r>
        <w:t>Ví dụ, trong định giá Whole Foods ở Minh họa 20.2, lợi nhuận trên vốn chủ sở hữu kỳ vọng là 15,11%. Lợi nhuận trên vốn chủ sở hữu này có thể được suy ra từ biên lợi nhuận ròng của Whole Foods (2,73%) và tỷ lệ doanh thu trên giá trị sổ sách của vốn chủ sở hữu (5,53):</w:t>
      </w:r>
    </w:p>
    <w:p>
      <w:bookmarkStart w:id="4097" w:name="Net_margin_2_73_Sales_BV_of_equi"/>
      <w:pPr>
        <w:keepNext/>
        <w:pStyle w:val="Para 09"/>
        <w:keepLines w:val="on"/>
      </w:pPr>
      <w:r>
        <w:t>Biên lợi nhuận ròng = 2,73% Doanh thu/BV của vốn chủ sở hữu = $9.006/$1.628 = 5,53 Lợi nhuận trên vốn chủ sở hữu = 2,73% × 5,53 = 15,11%</w:t>
      </w:r>
      <w:bookmarkEnd w:id="4097"/>
    </w:p>
    <w:p>
      <w:pPr>
        <w:pStyle w:val="Para 03"/>
      </w:pPr>
      <w:r>
        <w:t>Đối với tăng trưởng thu nhập hoạt động, phương trình phải được viết lại theo tỷ lệ tái đầu tư (thay vì tỷ lệ giữ lại) và lợi nhuận trên vốn (thay vì lợi nhuận trên vốn chủ sở hữu):</w:t>
      </w:r>
    </w:p>
    <w:p>
      <w:bookmarkStart w:id="4098" w:name="Expected_growthOperating_income"/>
      <w:pPr>
        <w:keepNext/>
        <w:pStyle w:val="Para 09"/>
        <w:keepLines w:val="on"/>
      </w:pPr>
      <w:r>
        <w:t>Tăng trưởng kỳ vọng của thu nhập hoạt động = Tỷ lệ tái đầu tư × Lợi nhuận trên vốn = Tỷ lệ tái đầu tư × EBIT(1-t)/Doanh thu × Doanh thu/Vốn đầu tư = Tỷ lệ tái đầu tư × Biên lợi nhuận hoạt động sau thuế × Doanh thu trên Vốn</w:t>
      </w:r>
      <w:bookmarkEnd w:id="4098"/>
    </w:p>
    <w:p>
      <w:pPr>
        <w:pStyle w:val="Para 03"/>
      </w:pPr>
      <w:r>
        <w:t>Trong định giá Coca-Cola ở Minh họa 20.3, lợi nhuận trên vốn là 16%. Lợi nhuận trên vốn này có thể được suy ra từ biên lợi nhuận hoạt động sau thuế của Coca-Cola (14,43%) và tỷ lệ doanh thu/vốn (1,11):</w:t>
      </w:r>
    </w:p>
    <w:p>
      <w:bookmarkStart w:id="4099" w:name="After_tax_operating_margin_14_43"/>
      <w:pPr>
        <w:keepNext/>
        <w:pStyle w:val="Para 09"/>
        <w:keepLines w:val="on"/>
      </w:pPr>
      <w:r>
        <w:t>Biên lợi nhuận hoạt động sau thuế = 14,43% Doanh thu/vốn đầu tư = $35.119/$31.679 = 1,11 Lợi nhuận trên vốn = 14,43% × 1,11 = 16%</w:t>
      </w:r>
      <w:bookmarkEnd w:id="4099"/>
    </w:p>
    <w:p>
      <w:pPr>
        <w:pStyle w:val="Para 03"/>
      </w:pPr>
      <w:r>
        <w:t>Khi biên lợi nhuận bị giảm, lợi nhuận kỳ vọng trên vốn chủ sở hữu và trên vốn sẽ giảm, nếu doanh thu không tăng tương ứng.</w:t>
      </w:r>
    </w:p>
    <w:p>
      <w:pPr>
        <w:pStyle w:val="Para 11"/>
      </w:pPr>
      <w:r>
        <w:t/>
        <w:t xml:space="preserve"> </w:t>
      </w:r>
    </w:p>
    <w:p>
      <w:bookmarkStart w:id="4100" w:name="ILLUSTRATION_20_4__Estimating_th"/>
      <w:bookmarkStart w:id="4101" w:name="ILLUSTRATION_20_4__Estimating_th_1"/>
      <w:pPr>
        <w:keepNext/>
        <w:pStyle w:val="Para 19"/>
        <w:keepLines w:val="on"/>
      </w:pPr>
      <w:r>
        <w:t>MINH HỌA 20.4: Ước tính ảnh hưởng của biên lợi nhuận thấp hơn lên tỷ lệ giá trên doanh thu</w:t>
      </w:r>
      <w:bookmarkEnd w:id="4100"/>
      <w:bookmarkEnd w:id="4101"/>
    </w:p>
    <w:p>
      <w:pPr>
        <w:pStyle w:val="Para 04"/>
        <w:keepLines w:val="on"/>
      </w:pPr>
      <w:r>
        <w:t>Hãy xem xét lại công ty được phân tích ở Minh họa 20.1. Nếu biên lợi nhuận ròng của công ty giảm, và tổng doanh thu không đổi, tỷ lệ giá trên doanh thu của công ty sẽ giảm theo. Ví dụ, nếu biên lợi nhuận của công ty giảm từ 10% xuống 5% và tỷ lệ doanh thu/BV không đổi:</w:t>
      </w:r>
    </w:p>
    <w:p>
      <w:bookmarkStart w:id="4103" w:name="New_growth_rate_in_first_five_ye"/>
      <w:pPr>
        <w:keepNext/>
        <w:pStyle w:val="Para 07"/>
        <w:keepLines w:val="on"/>
      </w:pPr>
      <w:r>
        <w:t>Tốc độ tăng trưởng mới trong năm năm đầu = Tỷ lệ giữ lại × Biên lợi nhuận × Doanh thu/BV = 0,8 × 0,05 × 2,50 = 10%</w:t>
      </w:r>
      <w:bookmarkEnd w:id="4103"/>
    </w:p>
    <w:p>
      <w:pPr>
        <w:pStyle w:val="Para 40"/>
        <w:keepLines w:val="on"/>
      </w:pPr>
      <w:r>
        <w:rPr>
          <w:rStyle w:val="Text26"/>
        </w:rPr>
        <w:bookmarkStart w:id="4104" w:name="Page_623"/>
        <w:t/>
        <w:bookmarkEnd w:id="4104"/>
      </w:r>
      <w:r>
        <w:t xml:space="preserve"> </w:t>
      </w:r>
    </w:p>
    <w:p>
      <w:bookmarkStart w:id="4105" w:name="New_return_on_equity_Net_Profit"/>
      <w:pPr>
        <w:keepNext/>
        <w:pStyle w:val="Para 07"/>
        <w:keepLines w:val="on"/>
      </w:pPr>
      <w:r>
        <w:t>Lợi nhuận mới trên vốn chủ sở hữu = Biên lợi nhuận ròng × Doanh thu/BV của vốn chủ sở hữu = 0,05 × 2,5 = 12,5%</w:t>
      </w:r>
      <w:bookmarkEnd w:id="4105"/>
    </w:p>
    <w:p>
      <w:pPr>
        <w:pStyle w:val="Para 04"/>
        <w:keepLines w:val="on"/>
      </w:pPr>
      <w:r>
        <w:t>Tỷ lệ giá trên doanh thu mới sau đó có thể được tính như sau:</w:t>
      </w:r>
    </w:p>
    <w:p>
      <w:bookmarkStart w:id="4106" w:name="PriceForward_Sales_0_05x0_20x1"/>
      <w:pPr>
        <w:keepNext/>
        <w:pStyle w:val="Para 07"/>
        <w:keepLines w:val="on"/>
      </w:pPr>
      <w:r>
        <w:t>Giá/Doanh thu kỳ vọng = 0,05 × 0,20 × (1-(1,10)^5/(1,095)^5)/(0,095−0,10) + (1,10)^4 × 1,04 × (0,60) × (0,095−0,04) × (1,095)^5 = 0,57</w:t>
      </w:r>
      <w:bookmarkEnd w:id="4106"/>
    </w:p>
    <w:p>
      <w:pPr>
        <w:pStyle w:val="Para 04"/>
        <w:keepLines w:val="on"/>
      </w:pPr>
      <w:r>
        <w:t>Mối quan hệ giữa biên lợi nhuận và tỷ lệ giá trên doanh thu được minh họa toàn diện hơn ở Hình 20.2. Tỷ lệ giá trên doanh thu được ước tính như một hàm của biên lợi nhuận, giữ tỷ lệ doanh thu/giá trị sổ sách của vốn chủ sở hữu cố định. Mối liên kết giữa tỷ lệ giá trên doanh thu và biên lợi nhuận này có thể được sử dụng để phân tích ảnh hưởng giá trị của những thay đổi trong chiến lược công ty cũng như giá trị của một thương hiệu.</w:t>
      </w:r>
    </w:p>
    <w:p>
      <w:bookmarkStart w:id="4108" w:name="Figure_20_2_Price_to_Sales_Ratio"/>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74900" cy="1752600"/>
            <wp:effectExtent l="0" r="0" t="0" b="0"/>
            <wp:wrapTopAndBottom/>
            <wp:docPr id="197" name="c20f002.png" descr="Double bar graph plots the increase in trailing P S, and forward P S for price to sales ratio."/>
            <wp:cNvGraphicFramePr>
              <a:graphicFrameLocks noChangeAspect="1"/>
            </wp:cNvGraphicFramePr>
            <a:graphic>
              <a:graphicData uri="http://schemas.openxmlformats.org/drawingml/2006/picture">
                <pic:pic>
                  <pic:nvPicPr>
                    <pic:cNvPr id="0" name="c20f002.png" descr="Double bar graph plots the increase in trailing P S, and forward P S for price to sales ratio."/>
                    <pic:cNvPicPr/>
                  </pic:nvPicPr>
                  <pic:blipFill>
                    <a:blip r:embed="rId136"/>
                    <a:stretch>
                      <a:fillRect/>
                    </a:stretch>
                  </pic:blipFill>
                  <pic:spPr>
                    <a:xfrm>
                      <a:off x="0" y="0"/>
                      <a:ext cx="2374900" cy="1752600"/>
                    </a:xfrm>
                    <a:prstGeom prst="rect">
                      <a:avLst/>
                    </a:prstGeom>
                  </pic:spPr>
                </pic:pic>
              </a:graphicData>
            </a:graphic>
          </wp:anchor>
        </w:drawing>
      </w:r>
      <w:bookmarkEnd w:id="4108"/>
    </w:p>
    <w:p>
      <w:pPr>
        <w:keepNext/>
        <w:pStyle w:val="Para 38"/>
        <w:keepLines w:val="on"/>
      </w:pPr>
      <w:r>
        <w:t>Hình 20.2 Tỷ lệ giá trên doanh thu và Biên lợi nhuận</w:t>
      </w:r>
    </w:p>
    <w:p>
      <w:pPr>
        <w:pStyle w:val="Para 03"/>
      </w:pPr>
      <w:r>
        <w:t>Lưu ý rằng tỷ lệ giá trên doanh thu giảm (và tăng) nhiều hơn mức tương ứng khi biên lợi nhuận ròng giảm (tăng).</w:t>
      </w:r>
    </w:p>
    <w:p>
      <w:pPr>
        <w:pStyle w:val="Para 11"/>
      </w:pPr>
      <w:r>
        <w:t/>
        <w:t xml:space="preserve"> </w:t>
      </w:r>
    </w:p>
    <w:p>
      <w:bookmarkStart w:id="4109" w:name="Multiples_and_Companion_Variable_1"/>
      <w:bookmarkStart w:id="4110" w:name="Multiples_and_Companion_Variable"/>
      <w:pPr>
        <w:keepNext/>
        <w:pStyle w:val="Para 27"/>
        <w:keepLines w:val="on"/>
      </w:pPr>
      <w:r>
        <w:t>Bội số và các biến số đồng hành</w:t>
      </w:r>
      <w:bookmarkEnd w:id="4109"/>
      <w:bookmarkEnd w:id="4110"/>
    </w:p>
    <w:p>
      <w:pPr>
        <w:pStyle w:val="Para 16"/>
        <w:keepLines w:val="on"/>
      </w:pPr>
      <w:r>
        <w:t>Đến thời điểm này trong phần thảo luận về định giá tương đối, quá trình phân tích bội số không còn là điều bí ẩn nữa. Thực tế, với mỗi bội số, trong khi chúng ta đã làm nổi bật nhiều biến số ảnh hưởng đến giá trị của nó, có một biến số đóng vai trò là yếu tố dẫn dắt chính. Chúng ta gọi biến số này là biến số đồng hành (companion variable), và Bảng 20.5 liệt kê nó cho từng bội số:</w:t>
      </w:r>
    </w:p>
    <w:p>
      <w:pPr>
        <w:pStyle w:val="Para 84"/>
        <w:keepLines w:val="on"/>
      </w:pPr>
      <w:r>
        <w:t>BẢNG 20.5</w:t>
      </w:r>
    </w:p>
    <w:p>
      <w:pPr>
        <w:keepNext/>
        <w:pStyle w:val="Para 85"/>
        <w:keepLines w:val="on"/>
      </w:pPr>
      <w:r>
        <w:t>Các bội số định giá và biến số đồng hành</w:t>
      </w:r>
    </w:p>
    <w:tbl>
      <w:tblPr>
        <w:tblW w:type="auto" w:w="0"/>
      </w:tblPr>
      <w:tr>
        <w:tc>
          <w:tcPr>
            <w:tcW w:type="auto" w:w="0"/>
          </w:tcPr>
          <w:tbl>
            <w:tblPr>
              <w:tblW w:type="auto" w:w="0"/>
            </w:tblPr>
            <w:tr>
              <w:tc>
                <w:tcPr>
                  <w:tcW w:type="auto" w:w="0"/>
                  <w:shd w:val="clear" w:color="auto" w:fill="F0F0F0"/>
                </w:tcPr>
                <w:p>
                  <w:pPr>
                    <w:pStyle w:val="Para 29"/>
                    <w:keepLines w:val="on"/>
                  </w:pPr>
                  <w:r>
                    <w:t>Bội số</w:t>
                  </w:r>
                </w:p>
              </w:tc>
              <w:tc>
                <w:tcPr>
                  <w:tcW w:type="auto" w:w="0"/>
                  <w:shd w:val="clear" w:color="auto" w:fill="F0F0F0"/>
                </w:tcPr>
                <w:p>
                  <w:pPr>
                    <w:pStyle w:val="Para 29"/>
                    <w:keepLines w:val="on"/>
                  </w:pPr>
                  <w:r>
                    <w:t>Biến số đồng hành</w:t>
                  </w:r>
                </w:p>
              </w:tc>
            </w:tr>
            <w:tr>
              <w:tc>
                <w:tcPr>
                  <w:tcW w:type="auto" w:w="0"/>
                  <w:shd w:val="clear" w:color="auto" w:fill="FCFCFC"/>
                </w:tcPr>
                <w:p>
                  <w:pPr>
                    <w:pStyle w:val="Para 02"/>
                    <w:keepLines w:val="on"/>
                  </w:pPr>
                  <w:r>
                    <w:t>Tỷ lệ PE</w:t>
                  </w:r>
                </w:p>
              </w:tc>
              <w:tc>
                <w:tcPr>
                  <w:tcW w:type="auto" w:w="0"/>
                  <w:shd w:val="clear" w:color="auto" w:fill="FCFCFC"/>
                </w:tcPr>
                <w:p>
                  <w:pPr>
                    <w:pStyle w:val="Para 02"/>
                    <w:keepLines w:val="on"/>
                  </w:pPr>
                  <w:r>
                    <w:t>Tốc độ tăng trưởng kỳ vọng của EPS</w:t>
                  </w:r>
                </w:p>
              </w:tc>
            </w:tr>
            <w:tr>
              <w:tc>
                <w:tcPr>
                  <w:tcW w:type="auto" w:w="0"/>
                  <w:shd w:val="clear" w:color="auto" w:fill="FCFCFC"/>
                </w:tcPr>
                <w:p>
                  <w:pPr>
                    <w:pStyle w:val="Para 02"/>
                    <w:keepLines w:val="on"/>
                  </w:pPr>
                  <w:r>
                    <w:t>PBV</w:t>
                  </w:r>
                </w:p>
              </w:tc>
              <w:tc>
                <w:tcPr>
                  <w:tcW w:type="auto" w:w="0"/>
                  <w:shd w:val="clear" w:color="auto" w:fill="FCFCFC"/>
                </w:tcPr>
                <w:p>
                  <w:pPr>
                    <w:pStyle w:val="Para 02"/>
                    <w:keepLines w:val="on"/>
                  </w:pPr>
                  <w:r>
                    <w:t>Tỷ suất sinh lời trên vốn chủ sở hữu</w:t>
                  </w:r>
                </w:p>
              </w:tc>
            </w:tr>
            <w:tr>
              <w:tc>
                <w:tcPr>
                  <w:tcW w:type="auto" w:w="0"/>
                  <w:shd w:val="clear" w:color="auto" w:fill="FCFCFC"/>
                </w:tcPr>
                <w:p>
                  <w:pPr>
                    <w:pStyle w:val="Para 02"/>
                    <w:keepLines w:val="on"/>
                  </w:pPr>
                  <w:r>
                    <w:t>PS</w:t>
                  </w:r>
                </w:p>
              </w:tc>
              <w:tc>
                <w:tcPr>
                  <w:tcW w:type="auto" w:w="0"/>
                  <w:shd w:val="clear" w:color="auto" w:fill="FCFCFC"/>
                </w:tcPr>
                <w:p>
                  <w:pPr>
                    <w:pStyle w:val="Para 02"/>
                    <w:keepLines w:val="on"/>
                  </w:pPr>
                  <w:r>
                    <w:t>Biên lợi nhuận ròng</w:t>
                  </w:r>
                </w:p>
              </w:tc>
            </w:tr>
            <w:tr>
              <w:tc>
                <w:tcPr>
                  <w:tcW w:type="auto" w:w="0"/>
                  <w:shd w:val="clear" w:color="auto" w:fill="FCFCFC"/>
                </w:tcPr>
                <w:p>
                  <w:pPr>
                    <w:pStyle w:val="Para 02"/>
                    <w:keepLines w:val="on"/>
                  </w:pPr>
                  <w:r>
                    <w:t>EV/EBITDA</w:t>
                  </w:r>
                </w:p>
              </w:tc>
              <w:tc>
                <w:tcPr>
                  <w:tcW w:type="auto" w:w="0"/>
                  <w:shd w:val="clear" w:color="auto" w:fill="FCFCFC"/>
                </w:tcPr>
                <w:p>
                  <w:pPr>
                    <w:pStyle w:val="Para 02"/>
                    <w:keepLines w:val="on"/>
                  </w:pPr>
                  <w:r>
                    <w:t>Tỷ lệ tái đầu tư</w:t>
                  </w:r>
                </w:p>
              </w:tc>
            </w:tr>
            <w:tr>
              <w:tc>
                <w:tcPr>
                  <w:tcW w:type="auto" w:w="0"/>
                  <w:shd w:val="clear" w:color="auto" w:fill="FCFCFC"/>
                </w:tcPr>
                <w:p>
                  <w:pPr>
                    <w:pStyle w:val="Para 02"/>
                    <w:keepLines w:val="on"/>
                  </w:pPr>
                  <w:r>
                    <w:t>EV/Vốn đầu tư</w:t>
                  </w:r>
                </w:p>
              </w:tc>
              <w:tc>
                <w:tcPr>
                  <w:tcW w:type="auto" w:w="0"/>
                  <w:shd w:val="clear" w:color="auto" w:fill="FCFCFC"/>
                </w:tcPr>
                <w:p>
                  <w:pPr>
                    <w:pStyle w:val="Para 02"/>
                    <w:keepLines w:val="on"/>
                  </w:pPr>
                  <w:r>
                    <w:t>Tỷ suất sinh lời trên vốn đầu tư</w:t>
                  </w:r>
                </w:p>
              </w:tc>
            </w:tr>
            <w:tr>
              <w:tc>
                <w:tcPr>
                  <w:tcW w:type="auto" w:w="0"/>
                  <w:shd w:val="clear" w:color="auto" w:fill="FCFCFC"/>
                </w:tcPr>
                <w:p>
                  <w:pPr>
                    <w:pStyle w:val="Para 02"/>
                    <w:keepLines w:val="on"/>
                  </w:pPr>
                  <w:r>
                    <w:t>EV/doanh thu</w:t>
                  </w:r>
                </w:p>
              </w:tc>
              <w:tc>
                <w:tcPr>
                  <w:tcW w:type="auto" w:w="0"/>
                  <w:shd w:val="clear" w:color="auto" w:fill="FCFCFC"/>
                </w:tcPr>
                <w:p>
                  <w:pPr>
                    <w:pStyle w:val="Para 02"/>
                    <w:keepLines w:val="on"/>
                  </w:pPr>
                  <w:r>
                    <w:t>Biên lợi nhuận hoạt động sau thuế</w:t>
                  </w:r>
                </w:p>
              </w:tc>
            </w:tr>
          </w:tbl>
          <w:p/>
        </w:tc>
      </w:tr>
    </w:tbl>
    <w:p>
      <w:pPr>
        <w:pStyle w:val="Para 16"/>
        <w:keepLines w:val="on"/>
      </w:pPr>
      <w:r>
        <w:t>Những biến số này quan trọng vì hai lý do. Thứ nhất, những thay đổi trong các biến số này có ảnh hưởng lớn đến các bội số mà chúng gắn liền. Thứ hai, khi một cổ phiếu trông có vẻ rẻ vì nó có giá trị thấp trên một bội số nào đó, điều đầu tiên cần kiểm tra chính là biến số đồng hành. Vì vậy, nếu một cổ phiếu đang giao dịch với tỷ lệ giá trên giá trị sổ sách thấp, bạn nên kiểm tra tỷ suất sinh lời trên vốn chủ sở hữu của nó; hầu hết các cổ phiếu có giá trên giá trị sổ sách thấp đều có tỷ suất sinh lời trên vốn chủ sở hữu thấp hoặc âm.</w:t>
      </w:r>
    </w:p>
    <w:p>
      <w:pPr>
        <w:pStyle w:val="Para 16"/>
        <w:keepLines w:val="on"/>
      </w:pPr>
      <w:r>
        <w:t>Làm thế nào để bạn tìm ra biến số đồng hành cho một bội số? Một cách là chạy hồi quy thị trường cho bội số đó với tất cả các biến độc lập lẽ ra quyết định nó. Biến có ý nghĩa thống kê cao nhất (thống kê t cao nhất) hầu như luôn là biến số đồng hành. Cách còn lại, trực quan hơn, là làm như sau: Nếu đang xử lý một bội số vốn chủ sở hữu, hãy chia thu nhập ròng cho mẫu số của bội số để có biến số đồng hành. Ví dụ với tỷ lệ giá trên giá trị sổ sách của vốn chủ sở hữu, dùng cách này sẽ đòi hỏi chia thu nhập ròng cho giá trị sổ sách của vốn chủ sở hữu, kết quả là tỷ suất sinh lời trên vốn chủ sở hữu. Với các bội số giá trị doanh nghiệp, chia thu nhập hoạt động sau thuế cho mẫu số sẽ cho ra biến số đồng hành. Ví dụ với EV trên doanh thu, chia thu nhập hoạt động sau thuế cho doanh thu sẽ cho ra biên lợi nhuận hoạt động sau thuế.</w:t>
      </w:r>
    </w:p>
    <w:p>
      <w:bookmarkStart w:id="4113" w:name="Marketing_Strategy_and_Value__At"/>
      <w:pPr>
        <w:pStyle w:val="Para 21"/>
      </w:pPr>
      <w:r>
        <w:t>Chiến lược tiếp thị và giá trị</w:t>
      </w:r>
      <w:bookmarkEnd w:id="4113"/>
    </w:p>
    <w:p>
      <w:pPr>
        <w:pStyle w:val="Para 03"/>
      </w:pPr>
      <w:r>
        <w:t>Với nguy cơ đơn giản hóa quá mức chiến lược định giá, bạn có thể lập luận rằng mọi công ty đều phải quyết định xem mình muốn theo đuổi chiến lược giá thấp, khối lượng lớn (kẻ dẫn đầu về khối lượng) hay chiến lược giá cao, khối lượng thấp hơn (kẻ dẫn đầu về giá). Xét theo các biến số liên kết tăng trưởng với giá trị, lựa chọn này sẽ quyết định biên lợi nhuận và tỷ lệ vòng quay được dùng trong định giá.</w:t>
      </w:r>
    </w:p>
    <w:p>
      <w:pPr>
        <w:pStyle w:val="Para 03"/>
      </w:pPr>
      <w:r>
        <w:t>Bạn có thể phân tích các chiến lược định giá thay thế mà một công ty có thể áp dụng bằng cách xem xét tác động của mỗi chiến lược lên biên lợi nhuận và vòng quay, rồi định giá công ty theo từng chiến lược. Chiến lược mang lại giá trị cao nhất cho công ty, theo một nghĩa nào đó, chính là chiến lược tối ưu.</w:t>
      </w:r>
    </w:p>
    <w:p>
      <w:pPr>
        <w:pStyle w:val="Para 03"/>
      </w:pPr>
      <w:r>
        <w:t>Lưu ý rằng tác động của thay đổi giá lên tỷ lệ vòng quay sẽ phụ thuộc phần lớn vào mức độ co giãn hay không co giãn của nhu cầu đối với sản phẩm của công ty. Việc tăng giá một sản phẩm sẽ có ảnh hưởng tối thiểu lên tỷ lệ vòng quay nếu nhu cầu không co giãn. Trong trường hợp này, giá trị công ty nói chung sẽ cao hơn với chiến lược dẫn đầu về giá. Ngược lại, tỷ lệ vòng quay có thể giảm nhiều hơn mức tương ứng nếu giá sản phẩm tăng và nhu cầu co giãn. Trong trường hợp này, giá trị công ty sẽ tăng với chiến lược dẫn đầu về khối lượng.</w:t>
      </w:r>
    </w:p>
    <w:p>
      <w:pPr>
        <w:pStyle w:val="Para 11"/>
      </w:pPr>
      <w:r>
        <w:t/>
        <w:t xml:space="preserve"> </w:t>
      </w:r>
    </w:p>
    <w:p>
      <w:bookmarkStart w:id="4116" w:name="ILLUSTRATION_20_5__Choosing_betw"/>
      <w:bookmarkStart w:id="4117" w:name="ILLUSTRATION_20_5__Choosing_betw_1"/>
      <w:pPr>
        <w:keepNext/>
        <w:pStyle w:val="Para 19"/>
        <w:keepLines w:val="on"/>
      </w:pPr>
      <w:r>
        <w:t>MINH HỌA 20.5: Lựa chọn giữa chiến lược biên lợi nhuận cao và biên lợi nhuận thấp</w:t>
      </w:r>
      <w:bookmarkEnd w:id="4116"/>
      <w:bookmarkEnd w:id="4117"/>
    </w:p>
    <w:p>
      <w:pPr>
        <w:pStyle w:val="Para 04"/>
        <w:keepLines w:val="on"/>
      </w:pPr>
      <w:r>
        <w:t>Giả sử một công ty phải chọn giữa hai chiến lược định giá. Ở chiến lược thứ nhất, công ty sẽ tính giá cao hơn (dẫn đến biên lợi nhuận hoạt động cao hơn) và bán ít hơn (dẫn đến tỷ lệ vòng quay thấp hơn). Ở chiến lược thứ hai, công ty sẽ tính giá thấp hơn và bán nhiều hơn. Giả sử công ty đã thực hiện nghiên cứu thị trường và đưa ra các dữ liệu đầu vào sau:</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Biên lợi nhuận cao, khối lượng thấp</w:t>
                  </w:r>
                </w:p>
              </w:tc>
              <w:tc>
                <w:tcPr>
                  <w:tcW w:type="auto" w:w="0"/>
                  <w:shd w:val="clear" w:color="auto" w:fill="F0F0F0"/>
                </w:tcPr>
                <w:p>
                  <w:pPr>
                    <w:pStyle w:val="Para 05"/>
                    <w:keepLines w:val="on"/>
                  </w:pPr>
                  <w:r>
                    <w:t>Biên lợi nhuận thấp, khối lượng lớn</w:t>
                  </w:r>
                </w:p>
              </w:tc>
            </w:tr>
            <w:tr>
              <w:tc>
                <w:tcPr>
                  <w:tcW w:type="auto" w:w="0"/>
                  <w:shd w:val="clear" w:color="auto" w:fill="F0F0F0"/>
                </w:tcPr>
                <w:p>
                  <w:pPr>
                    <w:pStyle w:val="Para 02"/>
                    <w:keepLines w:val="on"/>
                  </w:pPr>
                  <w:r>
                    <w:t>Biên lợi nhuận hoạt động</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5%</w:t>
                  </w:r>
                </w:p>
              </w:tc>
            </w:tr>
            <w:tr>
              <w:tc>
                <w:tcPr>
                  <w:tcW w:type="auto" w:w="0"/>
                  <w:shd w:val="clear" w:color="auto" w:fill="F0F0F0"/>
                </w:tcPr>
                <w:p>
                  <w:pPr>
                    <w:pStyle w:val="Para 02"/>
                    <w:keepLines w:val="on"/>
                  </w:pPr>
                  <w:r>
                    <w:t>Doanh số/giá trị sổ sách của vốn đầu tư</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5,0</w:t>
                  </w:r>
                </w:p>
              </w:tc>
            </w:tr>
          </w:tbl>
          <w:p/>
        </w:tc>
      </w:tr>
    </w:tbl>
    <w:p>
      <w:pPr>
        <w:pStyle w:val="Para 04"/>
        <w:keepLines w:val="on"/>
      </w:pPr>
      <w:r>
        <w:t>Giả sử thêm rằng công ty dự kiến sẽ tái đầu tư 80% lợi nhuận hoạt động sau thuế trong 5 năm tới, và 40% lợi nhuận sau đó, và những con số này sẽ không bị ảnh hưởng bởi chiến lược biên lợi nhuận được áp dụng. Tốc độ tăng trưởng sau năm thứ 5 dự kiến là 4%. Giá trị sổ sách của vốn chủ sở hữu trên mỗi cổ phiếu là 10 đô la. Chi phí vốn của công ty là 8%.</w:t>
      </w:r>
    </w:p>
    <w:p>
      <w:bookmarkStart w:id="4119" w:name="High_Margin_Strategy"/>
      <w:bookmarkStart w:id="4120" w:name="High_Margin_Strategy__Expected_g"/>
      <w:pPr>
        <w:keepNext/>
        <w:pStyle w:val="Para 36"/>
        <w:keepLines w:val="on"/>
      </w:pPr>
      <w:r>
        <w:t>Chiến lược biên lợi nhuận cao</w:t>
      </w:r>
      <w:bookmarkEnd w:id="4119"/>
      <w:bookmarkEnd w:id="4120"/>
    </w:p>
    <w:p>
      <w:bookmarkStart w:id="4121" w:name="Expected_growth_rate_in_first_5"/>
      <w:pPr>
        <w:keepNext/>
        <w:pStyle w:val="Para 07"/>
        <w:keepLines w:val="on"/>
      </w:pPr>
      <w:r>
        <w:t>Tốc độ tăng trưởng dự kiến trong 5 năm đầu tiên = Biên lợi nhuận hoạt động sau thuế × Doanh số/Giá trị sổ sách của vốn × Tỷ lệ tái đầu tư = .10 × 2,5 × .80 = 20%</w:t>
      </w:r>
      <w:bookmarkEnd w:id="4121"/>
    </w:p>
    <w:p>
      <w:bookmarkStart w:id="4122" w:name="Enterprise_valueForward_Sales_0_1"/>
      <w:pPr>
        <w:keepNext/>
        <w:pStyle w:val="Para 07"/>
        <w:keepLines w:val="on"/>
      </w:pPr>
      <w:r>
        <w:t>Giá trị doanh nghiệp/Doanh số kỳ hạn = 0,10 × [(1−.80) × (1− (1,20)5(1,08)5)(.08−.20) + (1,20)4(1,04)(1−.40)(.08−.04)(1,08)5] = 2,32</w:t>
      </w:r>
      <w:bookmarkEnd w:id="4122"/>
    </w:p>
    <w:p>
      <w:bookmarkStart w:id="4123" w:name="Low_Margin_Strategy"/>
      <w:bookmarkStart w:id="4124" w:name="Low_Margin_Strategy__Expected_gr"/>
      <w:pPr>
        <w:keepNext/>
        <w:pStyle w:val="Para 36"/>
        <w:keepLines w:val="on"/>
      </w:pPr>
      <w:r>
        <w:t>Chiến lược biên lợi nhuận thấp</w:t>
      </w:r>
      <w:bookmarkEnd w:id="4123"/>
      <w:bookmarkEnd w:id="4124"/>
    </w:p>
    <w:p>
      <w:bookmarkStart w:id="4125" w:name="Expected_growth_rate_in_first_5_1"/>
      <w:pPr>
        <w:keepNext/>
        <w:pStyle w:val="Para 07"/>
        <w:keepLines w:val="on"/>
      </w:pPr>
      <w:r>
        <w:t>Tốc độ tăng trưởng dự kiến trong 5 năm đầu tiên = Biên lợi nhuận hoạt động sau thuế × Doanh số/Giá trị sổ sách của vốn × Tỷ lệ tái đầu tư = .05 × 4,0 × .80 = 16%</w:t>
      </w:r>
      <w:bookmarkEnd w:id="4125"/>
    </w:p>
    <w:p>
      <w:bookmarkStart w:id="4126" w:name="Enterprise_valueForward_Sales_0_2"/>
      <w:pPr>
        <w:keepNext/>
        <w:pStyle w:val="Para 07"/>
        <w:keepLines w:val="on"/>
      </w:pPr>
      <w:r>
        <w:t>Giá trị doanh nghiệp/Doanh số kỳ hạn = 0,05 × [(1−.80) × (1−(1,16)5(1,08)5)(.08−.16) + (1,16)4(1,04)(1−.40)(.08−.04)(1,08)5] = 1,01</w:t>
      </w:r>
      <w:bookmarkEnd w:id="4126"/>
    </w:p>
    <w:p>
      <w:pPr>
        <w:pStyle w:val="Para 04"/>
        <w:keepLines w:val="on"/>
      </w:pPr>
      <w:r>
        <w:t>Giữ vốn đầu tư không đổi, và tính đến thực tế rằng chiến lược biên lợi nhuận thấp cho phép doanh thu cao hơn 60%, chúng ta vẫn thu được giá trị doanh nghiệp cao hơn từ chiến lược biên lợi nhuận cao:</w:t>
      </w:r>
    </w:p>
    <w:p>
      <w:bookmarkStart w:id="4127" w:name="Enterprise_valueHigh_margin_EVSa"/>
      <w:pPr>
        <w:keepNext/>
        <w:pStyle w:val="Para 07"/>
        <w:keepLines w:val="on"/>
      </w:pPr>
      <w:r>
        <w:t>Giá trị doanh nghiệp biên lợi nhuận cao = EV/Sales × Sales = 2,32 × 2,5 = 5,80 Giá trị doanh nghiệp biên lợi nhuận thấp = 1,01 × 4 = 4,04</w:t>
      </w:r>
      <w:bookmarkEnd w:id="4127"/>
    </w:p>
    <w:p>
      <w:pPr>
        <w:pStyle w:val="Para 04"/>
        <w:keepLines w:val="on"/>
      </w:pPr>
      <w:r>
        <w:t>Chiến lược biên lợi nhuận cao là chiến lược tốt hơn để theo đuổi ở đây, nếu mục tiêu là tối đa hóa giá trị.</w:t>
      </w:r>
    </w:p>
    <w:p>
      <w:pPr>
        <w:pStyle w:val="Para 11"/>
      </w:pPr>
      <w:r>
        <w:t/>
        <w:t xml:space="preserve"> </w:t>
      </w:r>
      <w:r>
        <w:rPr>
          <w:rStyle w:val="Text26"/>
        </w:rPr>
        <w:bookmarkStart w:id="4128" w:name="Page_626"/>
        <w:t/>
        <w:bookmarkEnd w:id="4128"/>
      </w:r>
      <w:r>
        <w:t xml:space="preserve"> </w:t>
      </w:r>
    </w:p>
    <w:p>
      <w:bookmarkStart w:id="4129" w:name="ILLUSTRATION_20_6__Effects_of_Ch"/>
      <w:bookmarkStart w:id="4130" w:name="ILLUSTRATION_20_6__Effects_of_Ch_1"/>
      <w:pPr>
        <w:keepNext/>
        <w:pStyle w:val="Para 19"/>
        <w:keepLines w:val="on"/>
      </w:pPr>
      <w:r>
        <w:t>MINH HỌA 20.6: Ảnh hưởng của việc thay đổi chiến lược định giá: Whole Foods vào tháng 5 năm 2011</w:t>
      </w:r>
      <w:bookmarkEnd w:id="4129"/>
      <w:bookmarkEnd w:id="4130"/>
    </w:p>
    <w:p>
      <w:pPr>
        <w:pStyle w:val="Para 04"/>
        <w:keepLines w:val="on"/>
      </w:pPr>
      <w:r>
        <w:t>Trong Minh họa 20.2, chúng tôi đã ước tính tỷ lệ giá trên doanh số kỳ hạn nội tại là 0,50 cho Whole Foods. Khi đưa ra ước tính 0,50, chúng tôi giả định rằng Whole Foods sẽ có thể duy trì biên lợi nhuận ròng là 2,73% và doanh số trên giá trị sổ sách của vốn chủ sở hữu là 5,53.</w:t>
      </w:r>
    </w:p>
    <w:p>
      <w:pPr>
        <w:pStyle w:val="Para 04"/>
        <w:keepLines w:val="on"/>
      </w:pPr>
      <w:r>
        <w:t>Giả sử bây giờ rằng lo ngại về việc xói mòn doanh số nếu công ty tiếp tục với chiến lược định giá cao cấp của mình, Whole Foods đang xem xét giảm giá để giành lại thị phần. Nếu công ty giảm giá 10%, biên lợi nhuận ròng của nó sẽ giảm xuống 2,5% nhưng giả sử rằng doanh số của các cửa hàng cùng kỳ sẽ tăng vọt 7,5%, nâng doanh thu dự kiến năm tới từ 10 tỷ đô la lên 10,75 tỷ đô la và tăng tỷ lệ doanh số trên giá trị sổ sách lên 6,36 (5,53 × 1,075). Giả sử rằng các yếu tố đầu vào tăng trưởng ổn định vẫn không thay đổi (tốc độ tăng trưởng = 3%; ROE = 10%), ảnh hưởng của việc thay đổi chiến lược đối với tỷ lệ giá trên doanh số, và quan trọng hơn là đối với giá trị vốn chủ sở hữu, có thể được tóm tắt trong Bảng 20.6:</w:t>
      </w:r>
    </w:p>
    <w:p>
      <w:pPr>
        <w:pStyle w:val="Para 25"/>
        <w:keepLines w:val="on"/>
      </w:pPr>
      <w:r>
        <w:t>Bảng 20.6</w:t>
      </w:r>
    </w:p>
    <w:p>
      <w:pPr>
        <w:keepNext/>
        <w:pStyle w:val="Para 24"/>
        <w:keepLines w:val="on"/>
      </w:pPr>
      <w:r>
        <w:t>Các yếu tố đầu vào định giá cho các chiến lược định giá</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Chiến lược giá cao cấp (hiện tại)</w:t>
                  </w:r>
                </w:p>
              </w:tc>
              <w:tc>
                <w:tcPr>
                  <w:tcW w:type="auto" w:w="0"/>
                  <w:shd w:val="clear" w:color="auto" w:fill="F0F0F0"/>
                </w:tcPr>
                <w:p>
                  <w:pPr>
                    <w:pStyle w:val="Para 05"/>
                    <w:keepLines w:val="on"/>
                  </w:pPr>
                  <w:r>
                    <w:t>Chiến lược giá thấp hơn</w:t>
                  </w:r>
                </w:p>
              </w:tc>
            </w:tr>
            <w:tr>
              <w:tc>
                <w:tcPr>
                  <w:tcW w:type="auto" w:w="0"/>
                  <w:shd w:val="clear" w:color="auto" w:fill="F0F0F0"/>
                </w:tcPr>
                <w:p>
                  <w:pPr>
                    <w:pStyle w:val="Para 02"/>
                    <w:keepLines w:val="on"/>
                  </w:pPr>
                  <w:r>
                    <w:t>Doanh thu dự kiến (triệu đô la)</w:t>
                  </w:r>
                </w:p>
              </w:tc>
              <w:tc>
                <w:tcPr>
                  <w:tcW w:type="auto" w:w="0"/>
                  <w:shd w:val="clear" w:color="auto" w:fill="F0F0F0"/>
                </w:tcPr>
                <w:p>
                  <w:pPr>
                    <w:pStyle w:val="Para 06"/>
                    <w:keepLines w:val="on"/>
                  </w:pPr>
                  <w:r>
                    <w:t>$10.000</w:t>
                  </w:r>
                </w:p>
              </w:tc>
              <w:tc>
                <w:tcPr>
                  <w:tcW w:type="auto" w:w="0"/>
                  <w:shd w:val="clear" w:color="auto" w:fill="F0F0F0"/>
                </w:tcPr>
                <w:p>
                  <w:pPr>
                    <w:pStyle w:val="Para 06"/>
                    <w:keepLines w:val="on"/>
                  </w:pPr>
                  <w:r>
                    <w:t>$10,750</w:t>
                  </w:r>
                </w:p>
              </w:tc>
            </w:tr>
            <w:tr>
              <w:tc>
                <w:tcPr>
                  <w:tcW w:type="auto" w:w="0"/>
                  <w:shd w:val="clear" w:color="auto" w:fill="F0F0F0"/>
                </w:tcPr>
                <w:p>
                  <w:pPr>
                    <w:pStyle w:val="Para 02"/>
                    <w:keepLines w:val="on"/>
                  </w:pPr>
                  <w:r>
                    <w:t>Biên lợi nhuận ròng kỳ vọng</w:t>
                  </w:r>
                </w:p>
              </w:tc>
              <w:tc>
                <w:tcPr>
                  <w:tcW w:type="auto" w:w="0"/>
                  <w:shd w:val="clear" w:color="auto" w:fill="F0F0F0"/>
                </w:tcPr>
                <w:p>
                  <w:pPr>
                    <w:pStyle w:val="Para 06"/>
                    <w:keepLines w:val="on"/>
                  </w:pPr>
                  <w:r>
                    <w:t>2,73%</w:t>
                  </w:r>
                </w:p>
              </w:tc>
              <w:tc>
                <w:tcPr>
                  <w:tcW w:type="auto" w:w="0"/>
                  <w:shd w:val="clear" w:color="auto" w:fill="F0F0F0"/>
                </w:tcPr>
                <w:p>
                  <w:pPr>
                    <w:pStyle w:val="Para 06"/>
                    <w:keepLines w:val="on"/>
                  </w:pPr>
                  <w:r>
                    <w:t>2,50%</w:t>
                  </w:r>
                </w:p>
              </w:tc>
            </w:tr>
            <w:tr>
              <w:tc>
                <w:tcPr>
                  <w:tcW w:type="auto" w:w="0"/>
                  <w:shd w:val="clear" w:color="auto" w:fill="F0F0F0"/>
                </w:tcPr>
                <w:p>
                  <w:pPr>
                    <w:pStyle w:val="Para 02"/>
                    <w:keepLines w:val="on"/>
                  </w:pPr>
                  <w:r>
                    <w:t>Doanh thu/vốn kỳ vọng</w:t>
                  </w:r>
                </w:p>
              </w:tc>
              <w:tc>
                <w:tcPr>
                  <w:tcW w:type="auto" w:w="0"/>
                  <w:shd w:val="clear" w:color="auto" w:fill="F0F0F0"/>
                </w:tcPr>
                <w:p>
                  <w:pPr>
                    <w:pStyle w:val="Para 06"/>
                    <w:keepLines w:val="on"/>
                  </w:pPr>
                  <w:r>
                    <w:t>5,53</w:t>
                  </w:r>
                </w:p>
              </w:tc>
              <w:tc>
                <w:tcPr>
                  <w:tcW w:type="auto" w:w="0"/>
                  <w:shd w:val="clear" w:color="auto" w:fill="F0F0F0"/>
                </w:tcPr>
                <w:p>
                  <w:pPr>
                    <w:pStyle w:val="Para 06"/>
                    <w:keepLines w:val="on"/>
                  </w:pPr>
                  <w:r>
                    <w:t>6,36</w:t>
                  </w:r>
                </w:p>
              </w:tc>
            </w:tr>
            <w:tr>
              <w:tc>
                <w:tcPr>
                  <w:tcW w:type="auto" w:w="0"/>
                  <w:shd w:val="clear" w:color="auto" w:fill="F0F0F0"/>
                </w:tcPr>
                <w:p>
                  <w:pPr>
                    <w:pStyle w:val="Para 02"/>
                    <w:keepLines w:val="on"/>
                  </w:pPr>
                  <w:r>
                    <w:t>ROE kỳ vọng</w:t>
                  </w:r>
                </w:p>
              </w:tc>
              <w:tc>
                <w:tcPr>
                  <w:tcW w:type="auto" w:w="0"/>
                  <w:shd w:val="clear" w:color="auto" w:fill="F0F0F0"/>
                </w:tcPr>
                <w:p>
                  <w:pPr>
                    <w:pStyle w:val="Para 06"/>
                    <w:keepLines w:val="on"/>
                  </w:pPr>
                  <w:r>
                    <w:t>15,11%</w:t>
                  </w:r>
                </w:p>
              </w:tc>
              <w:tc>
                <w:tcPr>
                  <w:tcW w:type="auto" w:w="0"/>
                  <w:shd w:val="clear" w:color="auto" w:fill="F0F0F0"/>
                </w:tcPr>
                <w:p>
                  <w:pPr>
                    <w:pStyle w:val="Para 06"/>
                    <w:keepLines w:val="on"/>
                  </w:pPr>
                  <w:r>
                    <w:t>15,90%</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Para 06"/>
                    <w:keepLines w:val="on"/>
                  </w:pPr>
                  <w:r>
                    <w:t>10,00%</w:t>
                  </w:r>
                </w:p>
              </w:tc>
              <w:tc>
                <w:tcPr>
                  <w:tcW w:type="auto" w:w="0"/>
                  <w:shd w:val="clear" w:color="auto" w:fill="F0F0F0"/>
                </w:tcPr>
                <w:p>
                  <w:pPr>
                    <w:pStyle w:val="Para 06"/>
                    <w:keepLines w:val="on"/>
                  </w:pPr>
                  <w:r>
                    <w:t>10,00%</w:t>
                  </w:r>
                </w:p>
              </w:tc>
            </w:tr>
            <w:tr>
              <w:tc>
                <w:tcPr>
                  <w:tcW w:type="auto" w:w="0"/>
                  <w:shd w:val="clear" w:color="auto" w:fill="F0F0F0"/>
                </w:tcPr>
                <w:p>
                  <w:pPr>
                    <w:pStyle w:val="Para 02"/>
                    <w:keepLines w:val="on"/>
                  </w:pPr>
                  <w:r>
                    <w:t>Tỷ lệ chi trả cổ tức</w:t>
                  </w:r>
                </w:p>
              </w:tc>
              <w:tc>
                <w:tcPr>
                  <w:tcW w:type="auto" w:w="0"/>
                  <w:shd w:val="clear" w:color="auto" w:fill="F0F0F0"/>
                </w:tcPr>
                <w:p>
                  <w:pPr>
                    <w:pStyle w:val="Para 06"/>
                    <w:keepLines w:val="on"/>
                  </w:pPr>
                  <w:r>
                    <w:t>33,82%</w:t>
                  </w:r>
                </w:p>
              </w:tc>
              <w:tc>
                <w:tcPr>
                  <w:tcW w:type="auto" w:w="0"/>
                  <w:shd w:val="clear" w:color="auto" w:fill="F0F0F0"/>
                </w:tcPr>
                <w:p>
                  <w:pPr>
                    <w:pStyle w:val="Para 06"/>
                    <w:keepLines w:val="on"/>
                  </w:pPr>
                  <w:r>
                    <w:t>37,10%</w:t>
                  </w:r>
                </w:p>
              </w:tc>
            </w:tr>
            <w:tr>
              <w:tc>
                <w:tcPr>
                  <w:tcW w:type="auto" w:w="0"/>
                  <w:shd w:val="clear" w:color="auto" w:fill="F0F0F0"/>
                </w:tcPr>
                <w:p>
                  <w:pPr>
                    <w:pStyle w:val="Para 02"/>
                    <w:keepLines w:val="on"/>
                  </w:pPr>
                  <w:r>
                    <w:t>Giá trên doanh thu kỳ hạn</w:t>
                  </w:r>
                </w:p>
              </w:tc>
              <w:tc>
                <w:tcPr>
                  <w:tcW w:type="auto" w:w="0"/>
                  <w:shd w:val="clear" w:color="auto" w:fill="F0F0F0"/>
                </w:tcPr>
                <w:p>
                  <w:pPr>
                    <w:pStyle w:val="Para 06"/>
                    <w:keepLines w:val="on"/>
                  </w:pPr>
                  <w:r>
                    <w:t>0,50</w:t>
                  </w:r>
                </w:p>
              </w:tc>
              <w:tc>
                <w:tcPr>
                  <w:tcW w:type="auto" w:w="0"/>
                  <w:shd w:val="clear" w:color="auto" w:fill="F0F0F0"/>
                </w:tcPr>
                <w:p>
                  <w:pPr>
                    <w:pStyle w:val="Para 06"/>
                    <w:keepLines w:val="on"/>
                  </w:pPr>
                  <w:r>
                    <w:t>0,47</w:t>
                  </w:r>
                </w:p>
              </w:tc>
            </w:tr>
            <w:tr>
              <w:tc>
                <w:tcPr>
                  <w:tcW w:type="auto" w:w="0"/>
                  <w:shd w:val="clear" w:color="auto" w:fill="F0F0F0"/>
                </w:tcPr>
                <w:p>
                  <w:pPr>
                    <w:pStyle w:val="Para 02"/>
                    <w:keepLines w:val="on"/>
                  </w:pPr>
                  <w:r>
                    <w:t>Giá trị vốn chủ sở hữu (triệu $)</w:t>
                  </w:r>
                </w:p>
              </w:tc>
              <w:tc>
                <w:tcPr>
                  <w:tcW w:type="auto" w:w="0"/>
                  <w:shd w:val="clear" w:color="auto" w:fill="F0F0F0"/>
                </w:tcPr>
                <w:p>
                  <w:pPr>
                    <w:pStyle w:val="Para 06"/>
                    <w:keepLines w:val="on"/>
                  </w:pPr>
                  <w:r>
                    <w:t>$5.000</w:t>
                  </w:r>
                </w:p>
              </w:tc>
              <w:tc>
                <w:tcPr>
                  <w:tcW w:type="auto" w:w="0"/>
                  <w:shd w:val="clear" w:color="auto" w:fill="F0F0F0"/>
                </w:tcPr>
                <w:p>
                  <w:pPr>
                    <w:pStyle w:val="Para 06"/>
                    <w:keepLines w:val="on"/>
                  </w:pPr>
                  <w:r>
                    <w:t>$5.053</w:t>
                  </w:r>
                </w:p>
              </w:tc>
            </w:tr>
          </w:tbl>
          <w:p/>
        </w:tc>
      </w:tr>
    </w:tbl>
    <w:p>
      <w:pPr>
        <w:pStyle w:val="Para 04"/>
        <w:keepLines w:val="on"/>
      </w:pPr>
      <w:r>
        <w:t>Tỷ lệ giá trên doanh thu mới được tính bằng cùng mô hình hai giai đoạn mà chúng ta đã dùng trong Minh họa 20.2:</w:t>
      </w:r>
    </w:p>
    <w:p>
      <w:bookmarkStart w:id="4133" w:name="PriceForward_Sales_0_025x0_3710x"/>
      <w:pPr>
        <w:keepNext/>
        <w:pStyle w:val="Para 07"/>
        <w:keepLines w:val="on"/>
      </w:pPr>
      <w:r>
        <w:t>GiáDoanh thu kỳ hạn=0,025×0,3710×1-(1,10)10(1,085)10(,085−,10)+(1,10)91,03(0,70)(,08−,03)(1,085)10=0,47</w:t>
      </w:r>
      <w:bookmarkEnd w:id="4133"/>
    </w:p>
    <w:p>
      <w:pPr>
        <w:pStyle w:val="Para 04"/>
        <w:keepLines w:val="on"/>
      </w:pPr>
      <w:r>
        <w:t>Lưu ý rằng doanh thu kỳ vọng tăng 7,5% từ mức hiện tại 10.000 triệu đô la lên 10.750 triệu đô la. Trong khi tác động ròng lên tỷ số giá trên doanh thu (price-to-sales ratio) là rất nhỏ (giảm từ 0,50 xuống 0,47), giá trị vốn chủ sở hữu lại tăng nhẹ từ 5 tỷ đô la lên 5,05 tỷ đô la.</w:t>
      </w:r>
    </w:p>
    <w:p>
      <w:bookmarkStart w:id="4134" w:name="Value_of_a_Brand_Name__One_of_th"/>
      <w:pPr>
        <w:pStyle w:val="Para 21"/>
      </w:pPr>
      <w:r>
        <w:t>Giá trị của một thương hiệu</w:t>
      </w:r>
      <w:bookmarkEnd w:id="4134"/>
    </w:p>
    <w:p>
      <w:pPr>
        <w:pStyle w:val="Para 03"/>
      </w:pPr>
      <w:r>
        <w:t>Một trong những lời chỉ trích đối với phương pháp định giá truyền thống là nó không xem xét đến giá trị của các thương hiệu và những tài sản vô hình khác. Hiroyumi Itami, trong cuốn sách năm 1987 của ông có tựa đề Mobilizing Invisible Assets (Huy động các tài sản vô hình), đã tóm tắt lời chỉ trích này. Ông nói:</w:t>
      </w:r>
    </w:p>
    <w:p>
      <w:bookmarkStart w:id="4136" w:name="Analysts_have_tended_to_define_a"/>
      <w:pPr>
        <w:pStyle w:val="Para 44"/>
        <w:keepLines w:val="on"/>
      </w:pPr>
      <w:r>
        <w:t>Các nhà phân tích thường có xu hướng định nghĩa tài sản quá hẹp, chỉ nhận diện những thứ có thể đo lường được, chẳng hạn như nhà máy và thiết bị. Tuy nhiên, những tài sản vô hình, như một công nghệ cụ thể, thông tin người tiêu dùng tích lũy được, tên thương hiệu, danh tiếng và văn hóa doanh nghiệp, lại vô cùng quý giá đối với sức cạnh tranh của công ty. Thực tế, những tài sản vô hình này chính là nguồn lợi thế cạnh tranh duy nhất thực sự có thể duy trì được theo thời gian.</w:t>
      </w:r>
      <w:bookmarkEnd w:id="4136"/>
    </w:p>
    <w:p>
      <w:pPr>
        <w:pStyle w:val="Para 03"/>
      </w:pPr>
      <w:r>
        <w:t>Dù lời chỉ trích này rõ ràng là có phần cường điệu, các phương pháp mà nhà phân tích sử dụng để định giá thương hiệu thường mang tính tùy nghi và có thể đánh giá quá cao hoặc quá thấp giá trị của chúng một cách đáng kể. Những công ty sở hữu thương hiệu nổi tiếng thường được bán với bội số cao hơn so với những công ty ít tên tuổi hơn. Thói quen cộng thêm một "khoản phụ trội thương hiệu" (brand name premium), thường được đặt ra một cách tùy tiện, vào giá trị dòng tiền chiết khấu (discounted cash flow value) có thể dẫn đến những ước tính sai lệch. Thay vào đó, giá trị của một thương hiệu có thể được ước tính bằng cách sử dụng phương pháp liên kết biên lợi nhuận (profit margin) với tỷ số giá trên doanh thu (price-sales ratio).</w:t>
      </w:r>
    </w:p>
    <w:p>
      <w:pPr>
        <w:pStyle w:val="Para 03"/>
      </w:pPr>
      <w:r>
        <w:t>Một trong những lợi ích của việc sở hữu một thương hiệu nổi tiếng và được tôn trọng là chủ sở hữu có thể tính giá cao hơn cho cùng một sản phẩm, dẫn đến biên lợi nhuận cao hơn, và do đó tỷ số giá trên doanh thu và giá trị công ty cũng cao hơn. Mức phụ trội giá mà công ty có thể tính càng lớn thì giá trị thương hiệu càng cao. Nói chung, giá trị của một thương hiệu có thể được viết như sau:</w:t>
      </w:r>
    </w:p>
    <w:p>
      <w:bookmarkStart w:id="4138" w:name="Value_of_brand_name__EV_Salesbra"/>
      <w:pPr>
        <w:keepNext/>
        <w:pStyle w:val="Para 09"/>
        <w:keepLines w:val="on"/>
      </w:pPr>
      <w:r>
        <w:t>Giá trị thương hiệu=(EV/Salesbrand-EV/Salesgeneric)×Sales</w:t>
      </w:r>
      <w:bookmarkEnd w:id="4138"/>
    </w:p>
    <w:p>
      <w:bookmarkStart w:id="4139" w:name="where__EV_Salesbrand_EV_sales_ra"/>
      <w:pPr>
        <w:pStyle w:val="Para 39"/>
      </w:pPr>
      <w:r>
        <w:t>trong đó EV/Salesbrand = tỷ số EV-doanh thu của công ty có thương hiệu, EV/Salesgeneric = tỷ số EV-doanh thu của cùng công ty đó với sản phẩm không có thương hiệu (generic)</w:t>
      </w:r>
      <w:bookmarkEnd w:id="4139"/>
    </w:p>
    <w:p>
      <w:pPr>
        <w:pStyle w:val="Para 11"/>
      </w:pPr>
      <w:r>
        <w:t/>
        <w:t xml:space="preserve"> </w:t>
      </w:r>
    </w:p>
    <w:p>
      <w:bookmarkStart w:id="4140" w:name="Pricing_Strategy__Market_Share_1"/>
      <w:bookmarkStart w:id="4141" w:name="Pricing_Strategy__Market_Share"/>
      <w:pPr>
        <w:keepNext/>
        <w:pStyle w:val="Para 27"/>
        <w:keepLines w:val="on"/>
      </w:pPr>
      <w:r>
        <w:t>Chiến lược định giá, thị phần và động lực cạnh tranh</w:t>
      </w:r>
      <w:bookmarkEnd w:id="4140"/>
      <w:bookmarkEnd w:id="4141"/>
    </w:p>
    <w:p>
      <w:pPr>
        <w:pStyle w:val="Para 16"/>
        <w:keepLines w:val="on"/>
      </w:pPr>
      <w:r>
        <w:t>Rất thường xuyên, các công ty phân tích tác động của việc thay đổi giá trong một bối cảnh tĩnh, nơi chỉ có công ty hành động còn đối thủ cạnh tranh thì đứng yên. Vấn đề là ở chỗ, mọi hành động (đặc biệt là khi liên quan đến định giá) đều tạo ra phản ứng từ phía đối thủ cạnh tranh, và tác động ròng có thể không lường trước được.</w:t>
      </w:r>
    </w:p>
    <w:p>
      <w:pPr>
        <w:pStyle w:val="Para 16"/>
        <w:keepLines w:val="on"/>
      </w:pPr>
      <w:r>
        <w:t>Ví dụ, hãy xem xét một công ty giảm giá, hy vọng tăng thị phần và doanh số. Nếu đối thủ cạnh tranh không làm gì, công ty có thể đạt được mục tiêu của mình. Ngược lại, nếu đối thủ cạnh tranh cũng phản ứng bằng cách giảm giá, công ty có thể thấy mình có biên lợi nhuận thấp hơn và tỷ số vòng quay (turnover ratio) vẫn như trước khi giảm giá — một công thức dẫn đến giá trị công ty thấp hơn. Trong các ngành có tính cạnh tranh cao, bạn phải giả định rằng kịch bản sau sẽ xảy ra và lập kế hoạch cho phù hợp.</w:t>
      </w:r>
    </w:p>
    <w:p>
      <w:pPr>
        <w:pStyle w:val="Para 16"/>
        <w:keepLines w:val="on"/>
      </w:pPr>
      <w:r>
        <w:t>Có một số công ty tập trung vào việc tối đa hóa thị phần như mục tiêu chính của mình. Mối liên hệ giữa việc tăng thị phần và giá trị thị trường là khá mong manh, và có thể được xem xét bằng cách sử dụng khung biên lợi nhuận/bội số doanh thu đã được phát triển ở phần trước. Nếu việc tăng thị phần dẫn đến biên lợi nhuận cao hơn, hoặc là nhờ lợi thế kinh tế theo quy mô (economies of scale) giúp giảm chi phí, hoặc là nhờ sức mạnh thị trường gia tăng giúp đẩy lùi đối thủ cạnh tranh, thì nó sẽ dẫn đến giá trị cao hơn. Nếu việc tăng thị phần đi kèm với giá và biên lợi nhuận thấp hơn, thì tác động ròng lên giá trị có thể là tiêu cực.</w:t>
      </w:r>
    </w:p>
    <w:p>
      <w:pPr>
        <w:pStyle w:val="Para 11"/>
      </w:pPr>
      <w:r>
        <w:t/>
        <w:t xml:space="preserve"> </w:t>
      </w:r>
    </w:p>
    <w:p>
      <w:bookmarkStart w:id="4142" w:name="ILLUSTRATION_20_7__Valuing_a_Bra"/>
      <w:bookmarkStart w:id="4143" w:name="ILLUSTRATION_20_7__Valuing_a_Bra_1"/>
      <w:pPr>
        <w:keepNext/>
        <w:pStyle w:val="Para 19"/>
        <w:keepLines w:val="on"/>
      </w:pPr>
      <w:r>
        <w:t>MINH HỌA 20.7: Định giá một thương hiệu bằng cách sử dụng tỷ số Giá trị doanh nghiệp trên Doanh thu</w:t>
      </w:r>
      <w:bookmarkEnd w:id="4142"/>
      <w:bookmarkEnd w:id="4143"/>
    </w:p>
    <w:p>
      <w:pPr>
        <w:pStyle w:val="Para 04"/>
        <w:keepLines w:val="on"/>
      </w:pPr>
      <w:r>
        <w:t>Hãy xem xét hai công ty sản xuất những sản phẩm tương tự nhau và cạnh tranh trên cùng một thị trường: Famous Inc. có một thương hiệu nổi tiếng và có biên lợi nhuận hoạt động sau thuế là 10%, trong khi NoFrills Inc. sản xuất một phiên bản không có thương hiệu (generic) và có biên lợi nhuận hoạt động sau thuế là 5%. Cả hai công ty đều có cùng tỷ số doanh thu trên vốn sổ sách (sales-book capital ratio) là 2,50 và chi phí vốn (cost of capital) là 9%. Ngoài ra, cả hai công ty đều được kỳ vọng sẽ tái đầu tư 80% thu nhập hoạt động của mình trong năm năm tới và 40% lợi nhuận sau đó. Tốc độ tăng trưởng sau năm thứ 5, đối với cả hai công ty, là 4%. Cả hai công ty đều được kỳ vọng có tổng doanh thu là 2,5 tỷ đô la vào năm tới.</w:t>
      </w:r>
    </w:p>
    <w:p>
      <w:bookmarkStart w:id="4146" w:name="Valuing_Famous"/>
      <w:bookmarkStart w:id="4147" w:name="Valuing_Famous__Expected_return"/>
      <w:pPr>
        <w:keepNext/>
        <w:pStyle w:val="Para 36"/>
        <w:keepLines w:val="on"/>
      </w:pPr>
      <w:r>
        <w:t>Định giá Famous</w:t>
      </w:r>
      <w:bookmarkEnd w:id="4146"/>
      <w:bookmarkEnd w:id="4147"/>
    </w:p>
    <w:p>
      <w:bookmarkStart w:id="4148" w:name="Expected_return_on_invested_capi"/>
      <w:pPr>
        <w:keepNext/>
        <w:pStyle w:val="Para 07"/>
        <w:keepLines w:val="on"/>
      </w:pPr>
      <w:r>
        <w:t>Tỷ suất sinh lợi kỳ vọng trên vốn đầu tư=Biên lợi nhuận hoạt động sau thuế×Tỷ lệ tái đầu tư=10%×2,5=25%Tốc độ tăng trưởng kỳ vọng=Tỷ suất sinh lợi trên vốn đầu tư×Tỷ lệ tái đầu tư=25%×,80=20%</w:t>
      </w:r>
      <w:bookmarkEnd w:id="4148"/>
    </w:p>
    <w:p>
      <w:pPr>
        <w:pStyle w:val="Para 04"/>
        <w:keepLines w:val="on"/>
      </w:pPr>
      <w:r>
        <w:t>Sử dụng những dữ liệu đầu vào này, bạn có thể ước tính tỷ số giá trị doanh nghiệp trên doanh thu:</w:t>
      </w:r>
    </w:p>
    <w:p>
      <w:bookmarkStart w:id="4149" w:name="Enterprise_valueForward_Sales_0_3"/>
      <w:pPr>
        <w:keepNext/>
        <w:pStyle w:val="Para 07"/>
        <w:keepLines w:val="on"/>
      </w:pPr>
      <w:r>
        <w:t>Giá trị doanh nghiệpDoanh thu kỳ vọng=0,10×[(1−,80)×(1−(1,20)5(1,09)5)(,09−,20)+(1,20)4(1,04)(1−,40)(,09−,04)(1,09)5]=1,79</w:t>
      </w:r>
      <w:bookmarkEnd w:id="4149"/>
    </w:p>
    <w:p>
      <w:bookmarkStart w:id="4150" w:name="Valuing_No_Frills"/>
      <w:bookmarkStart w:id="4151" w:name="Valuing_No_Frills__Expected_retu"/>
      <w:pPr>
        <w:keepNext/>
        <w:pStyle w:val="Para 36"/>
        <w:keepLines w:val="on"/>
      </w:pPr>
      <w:r>
        <w:t>Định giá No Frills</w:t>
      </w:r>
      <w:bookmarkEnd w:id="4150"/>
      <w:bookmarkEnd w:id="4151"/>
    </w:p>
    <w:p>
      <w:bookmarkStart w:id="4152" w:name="Expected_return_on_invested_capi_1"/>
      <w:pPr>
        <w:keepNext/>
        <w:pStyle w:val="Para 07"/>
        <w:keepLines w:val="on"/>
      </w:pPr>
      <w:r>
        <w:t>Tỷ suất sinh lợi kỳ vọng trên vốn đầu tư=Biên lợi nhuận hoạt động sau thuế×Tỷ lệ tái đầu tư=5%×2,5=12,5%Tốc độ tăng trưởng kỳ vọng=Tỷ suất sinh lợi trên vốn đầu tư×Tỷ lệ tái đầu tư=12,5%×,80=10%</w:t>
      </w:r>
      <w:bookmarkEnd w:id="4152"/>
    </w:p>
    <w:p>
      <w:pPr>
        <w:pStyle w:val="Para 04"/>
        <w:keepLines w:val="on"/>
      </w:pPr>
      <w:r>
        <w:t>Với những dữ liệu đầu vào này, tỷ số giá trị doanh nghiệp trên doanh thu có thể được tính toán:</w:t>
      </w:r>
    </w:p>
    <w:p>
      <w:bookmarkStart w:id="4153" w:name="Enterprise_valueForward_Sales_0_4"/>
      <w:pPr>
        <w:keepNext/>
        <w:pStyle w:val="Para 07"/>
        <w:keepLines w:val="on"/>
      </w:pPr>
      <w:r>
        <w:t>Giá trị doanh nghiệpDoanh thu kỳ vọng=0,10×[(1−,80)×(1−(1,10)5(1,09)5)(,09−,10)+(1,10)4 (1,04)(1−,40)(,09−,04)(1,09)5]=0,64</w:t>
      </w:r>
      <w:bookmarkEnd w:id="4153"/>
    </w:p>
    <w:p>
      <w:bookmarkStart w:id="4154" w:name="Value_of_brand_name__EV_to_Sales"/>
      <w:pPr>
        <w:keepNext/>
        <w:pStyle w:val="Para 07"/>
        <w:keepLines w:val="on"/>
      </w:pPr>
      <w:r>
        <w:t>Giá trị thương hiệu=(EV trên Doanh thu có thương hiệu-EV trên Doanh thu không thương hiệu)× Doanh thu kỳ vọng năm tới=(1,79−0,64)×2.000=2,3 tỷ đô la</w:t>
      </w:r>
      <w:bookmarkEnd w:id="4154"/>
    </w:p>
    <w:p>
      <w:pPr>
        <w:pStyle w:val="Para 11"/>
      </w:pPr>
      <w:r>
        <w:t/>
        <w:t xml:space="preserve"> </w:t>
      </w:r>
    </w:p>
    <w:p>
      <w:bookmarkStart w:id="4155" w:name="ILLUSTRATION_20_8__Valuing_a_Bra_1"/>
      <w:bookmarkStart w:id="4156" w:name="ILLUSTRATION_20_8__Valuing_a_Bra"/>
      <w:pPr>
        <w:keepNext/>
        <w:pStyle w:val="Para 19"/>
        <w:keepLines w:val="on"/>
      </w:pPr>
      <w:r>
        <w:t>MINH HỌA 20.8: Định giá một thương hiệu: Coca-Cola vào tháng 5 năm 2011</w:t>
      </w:r>
      <w:bookmarkEnd w:id="4155"/>
      <w:bookmarkEnd w:id="4156"/>
    </w:p>
    <w:p>
      <w:pPr>
        <w:pStyle w:val="Para 04"/>
        <w:keepLines w:val="on"/>
      </w:pPr>
      <w:r>
        <w:t>Chúng tôi đã ước tính tỷ số giá trị doanh nghiệp trên doanh thu là 3,20 (3,51) lần doanh thu kỳ vọng (doanh thu quá khứ) 3,51 đối với Coca-Cola vào tháng 5 năm 2011 trong Minh họa 20.3, dựa trên biên lợi nhuận hoạt động mạnh mẽ và tỷ suất sinh lợi trên vốn của công ty. Không thể phủ nhận rằng Coca-Cola sở hữu một trong những thương hiệu dễ nhận biết và có giá trị nhất trên thế giới, nhưng có hai câu hỏi then chốt cần được trả lời:</w:t>
      </w:r>
    </w:p>
    <w:p>
      <w:pPr>
        <w:numPr>
          <w:ilvl w:val="0"/>
          <w:numId w:val="188"/>
        </w:numPr>
        <w:pStyle w:val="Para 18"/>
        <w:keepLines w:val="on"/>
      </w:pPr>
      <w:r>
        <w:t>Chúng ta có nên cộng thêm phần bù (premium) vào tỷ lệ EV/doanh thu ước tính vì sức mạnh của tên thương hiệu không?</w:t>
      </w:r>
    </w:p>
    <w:p>
      <w:pPr>
        <w:numPr>
          <w:ilvl w:val="0"/>
          <w:numId w:val="188"/>
        </w:numPr>
        <w:pStyle w:val="Para 18"/>
        <w:keepLines w:val="on"/>
      </w:pPr>
      <w:r>
        <w:t>Tên thương hiệu đóng góp bao nhiêu vào tổng giá trị của Coca-Cola?</w:t>
      </w:r>
    </w:p>
    <w:p>
      <w:pPr>
        <w:pStyle w:val="Para 04"/>
        <w:keepLines w:val="on"/>
      </w:pPr>
      <w:r>
        <w:t>Câu trả lời cho câu hỏi đầu tiên là không. Suy cho cùng, chính sức mạnh của tên thương hiệu đã giúp Coca-Cola đạt được biên lợi nhuận hoạt động sau thuế là 14,43% và tỷ suất sinh lời trên vốn (return on capital) là 16%. Cộng thêm phần bù vào giá trị ước tính sẽ là tính trùng (double-counting). Câu trả lời cho câu hỏi thứ hai thì phức tạp hơn. Một phần của giá trị doanh nghiệp ước tính có thể được quy cho tên thương hiệu mạnh mẽ, và vấn đề là phải tách riêng được tác động của nó.</w:t>
      </w:r>
    </w:p>
    <w:p>
      <w:pPr>
        <w:pStyle w:val="Para 04"/>
        <w:keepLines w:val="on"/>
      </w:pPr>
      <w:r>
        <w:t>Bước đầu tiên để ước tính giá trị gia tăng từ tên thương hiệu là tìm hiểu xem Coca-Cola tạo ra lợi thế khác biệt (differential advantage) lớn đến mức nào nhờ tên thương hiệu của mình. Trong quá trình này, chúng tôi may mắn tìm được một nhà sản xuất hàng nhái (generics) là Cott Corporation đang được giao dịch đại chúng. Trong bảng 20.7, chúng tôi tóm tắt các giá trị của Coca-Cola và Cott vào năm 2010 (giá trị đô-la tính theo đơn vị triệu):</w:t>
      </w:r>
    </w:p>
    <w:p>
      <w:pPr>
        <w:pStyle w:val="Para 25"/>
        <w:keepLines w:val="on"/>
      </w:pPr>
      <w:r>
        <w:t>Bảng 20.7</w:t>
      </w:r>
    </w:p>
    <w:p>
      <w:pPr>
        <w:keepNext/>
        <w:pStyle w:val="Para 24"/>
        <w:keepLines w:val="on"/>
      </w:pPr>
      <w:r>
        <w:t>Các thông số định giá đầu vào—Coca Cola và Cott</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Coca-Cola</w:t>
                  </w:r>
                </w:p>
              </w:tc>
              <w:tc>
                <w:tcPr>
                  <w:tcW w:type="auto" w:w="0"/>
                  <w:shd w:val="clear" w:color="auto" w:fill="F0F0F0"/>
                </w:tcPr>
                <w:p>
                  <w:pPr>
                    <w:pStyle w:val="Para 05"/>
                    <w:keepLines w:val="on"/>
                  </w:pPr>
                  <w:r>
                    <w:t>Cott</w:t>
                  </w:r>
                </w:p>
              </w:tc>
            </w:tr>
            <w:tr>
              <w:tc>
                <w:tcPr>
                  <w:tcW w:type="auto" w:w="0"/>
                  <w:shd w:val="clear" w:color="auto" w:fill="F0F0F0"/>
                </w:tcPr>
                <w:p>
                  <w:pPr>
                    <w:pStyle w:val="Para 02"/>
                    <w:keepLines w:val="on"/>
                  </w:pPr>
                  <w:r>
                    <w:t>Giá trị thị trường của vốn chủ sở hữu</w:t>
                  </w:r>
                </w:p>
              </w:tc>
              <w:tc>
                <w:tcPr>
                  <w:tcW w:type="auto" w:w="0"/>
                  <w:shd w:val="clear" w:color="auto" w:fill="F0F0F0"/>
                </w:tcPr>
                <w:p>
                  <w:pPr>
                    <w:pStyle w:val="Para 06"/>
                    <w:keepLines w:val="on"/>
                  </w:pPr>
                  <w:r>
                    <w:t>$152.200</w:t>
                  </w:r>
                </w:p>
              </w:tc>
              <w:tc>
                <w:tcPr>
                  <w:tcW w:type="auto" w:w="0"/>
                  <w:shd w:val="clear" w:color="auto" w:fill="F0F0F0"/>
                </w:tcPr>
                <w:p>
                  <w:pPr>
                    <w:pStyle w:val="Para 06"/>
                    <w:keepLines w:val="on"/>
                  </w:pPr>
                  <w:r>
                    <w:t>$809</w:t>
                  </w:r>
                </w:p>
              </w:tc>
            </w:tr>
            <w:tr>
              <w:tc>
                <w:tcPr>
                  <w:tcW w:type="auto" w:w="0"/>
                  <w:shd w:val="clear" w:color="auto" w:fill="F0F0F0"/>
                </w:tcPr>
                <w:p>
                  <w:pPr>
                    <w:pStyle w:val="Para 02"/>
                    <w:keepLines w:val="on"/>
                  </w:pPr>
                  <w:r>
                    <w:t>Nợ</w:t>
                  </w:r>
                </w:p>
              </w:tc>
              <w:tc>
                <w:tcPr>
                  <w:tcW w:type="auto" w:w="0"/>
                  <w:shd w:val="clear" w:color="auto" w:fill="F0F0F0"/>
                </w:tcPr>
                <w:p>
                  <w:pPr>
                    <w:pStyle w:val="Para 06"/>
                    <w:keepLines w:val="on"/>
                  </w:pPr>
                  <w:r>
                    <w:t>$11.859</w:t>
                  </w:r>
                </w:p>
              </w:tc>
              <w:tc>
                <w:tcPr>
                  <w:tcW w:type="auto" w:w="0"/>
                  <w:shd w:val="clear" w:color="auto" w:fill="F0F0F0"/>
                </w:tcPr>
                <w:p>
                  <w:pPr>
                    <w:pStyle w:val="Para 06"/>
                    <w:keepLines w:val="on"/>
                  </w:pPr>
                  <w:r>
                    <w:t>$345</w:t>
                  </w:r>
                </w:p>
              </w:tc>
            </w:tr>
            <w:tr>
              <w:tc>
                <w:tcPr>
                  <w:tcW w:type="auto" w:w="0"/>
                  <w:shd w:val="clear" w:color="auto" w:fill="F0F0F0"/>
                </w:tcPr>
                <w:p>
                  <w:pPr>
                    <w:pStyle w:val="Para 02"/>
                    <w:keepLines w:val="on"/>
                  </w:pPr>
                  <w:r>
                    <w:t>Tiền mặt</w:t>
                  </w:r>
                </w:p>
              </w:tc>
              <w:tc>
                <w:tcPr>
                  <w:tcW w:type="auto" w:w="0"/>
                  <w:shd w:val="clear" w:color="auto" w:fill="F0F0F0"/>
                </w:tcPr>
                <w:p>
                  <w:pPr>
                    <w:pStyle w:val="Para 06"/>
                    <w:keepLines w:val="on"/>
                  </w:pPr>
                  <w:r>
                    <w:t>$4.979</w:t>
                  </w:r>
                </w:p>
              </w:tc>
              <w:tc>
                <w:tcPr>
                  <w:tcW w:type="auto" w:w="0"/>
                  <w:shd w:val="clear" w:color="auto" w:fill="F0F0F0"/>
                </w:tcPr>
                <w:p>
                  <w:pPr>
                    <w:pStyle w:val="Para 06"/>
                    <w:keepLines w:val="on"/>
                  </w:pPr>
                  <w:r>
                    <w:t>$27</w:t>
                  </w:r>
                </w:p>
              </w:tc>
            </w:tr>
            <w:tr>
              <w:tc>
                <w:tcPr>
                  <w:tcW w:type="auto" w:w="0"/>
                  <w:shd w:val="clear" w:color="auto" w:fill="F0F0F0"/>
                </w:tcPr>
                <w:p>
                  <w:pPr>
                    <w:pStyle w:val="Para 02"/>
                    <w:keepLines w:val="on"/>
                  </w:pPr>
                  <w:r>
                    <w:t>Giá trị doanh nghiệp</w:t>
                  </w:r>
                </w:p>
              </w:tc>
              <w:tc>
                <w:tcPr>
                  <w:tcW w:type="auto" w:w="0"/>
                  <w:shd w:val="clear" w:color="auto" w:fill="F0F0F0"/>
                </w:tcPr>
                <w:p>
                  <w:pPr>
                    <w:pStyle w:val="Para 06"/>
                    <w:keepLines w:val="on"/>
                  </w:pPr>
                  <w:r>
                    <w:t>$159.080</w:t>
                  </w:r>
                </w:p>
              </w:tc>
              <w:tc>
                <w:tcPr>
                  <w:tcW w:type="auto" w:w="0"/>
                  <w:shd w:val="clear" w:color="auto" w:fill="F0F0F0"/>
                </w:tcPr>
                <w:p>
                  <w:pPr>
                    <w:pStyle w:val="Para 06"/>
                    <w:keepLines w:val="on"/>
                  </w:pPr>
                  <w:r>
                    <w:t>$1.127</w:t>
                  </w:r>
                </w:p>
              </w:tc>
            </w:tr>
            <w:tr>
              <w:tc>
                <w:tcPr>
                  <w:tcW w:type="auto" w:w="0"/>
                  <w:shd w:val="clear" w:color="auto" w:fill="F0F0F0"/>
                </w:tcPr>
                <w:p>
                  <w:pPr>
                    <w:pStyle w:val="Para 02"/>
                    <w:keepLines w:val="on"/>
                  </w:pPr>
                  <w:r>
                    <w:t>Doanh thu</w:t>
                  </w:r>
                </w:p>
              </w:tc>
              <w:tc>
                <w:tcPr>
                  <w:tcW w:type="auto" w:w="0"/>
                  <w:shd w:val="clear" w:color="auto" w:fill="F0F0F0"/>
                </w:tcPr>
                <w:p>
                  <w:pPr>
                    <w:pStyle w:val="Para 06"/>
                    <w:keepLines w:val="on"/>
                  </w:pPr>
                  <w:r>
                    <w:t>$35.119</w:t>
                  </w:r>
                </w:p>
              </w:tc>
              <w:tc>
                <w:tcPr>
                  <w:tcW w:type="auto" w:w="0"/>
                  <w:shd w:val="clear" w:color="auto" w:fill="F0F0F0"/>
                </w:tcPr>
                <w:p>
                  <w:pPr>
                    <w:pStyle w:val="Para 06"/>
                    <w:keepLines w:val="on"/>
                  </w:pPr>
                  <w:r>
                    <w:t>$1.803</w:t>
                  </w:r>
                </w:p>
              </w:tc>
            </w:tr>
            <w:tr>
              <w:tc>
                <w:tcPr>
                  <w:tcW w:type="auto" w:w="0"/>
                  <w:shd w:val="clear" w:color="auto" w:fill="F0F0F0"/>
                </w:tcPr>
                <w:p>
                  <w:pPr>
                    <w:pStyle w:val="Para 02"/>
                    <w:keepLines w:val="on"/>
                  </w:pPr>
                  <w:r>
                    <w:t>Thu nhập hoạt động trước thuế</w:t>
                  </w:r>
                </w:p>
              </w:tc>
              <w:tc>
                <w:tcPr>
                  <w:tcW w:type="auto" w:w="0"/>
                  <w:shd w:val="clear" w:color="auto" w:fill="F0F0F0"/>
                </w:tcPr>
                <w:p>
                  <w:pPr>
                    <w:pStyle w:val="Para 06"/>
                    <w:keepLines w:val="on"/>
                  </w:pPr>
                  <w:r>
                    <w:t>$8.449</w:t>
                  </w:r>
                </w:p>
              </w:tc>
              <w:tc>
                <w:tcPr>
                  <w:tcW w:type="auto" w:w="0"/>
                  <w:shd w:val="clear" w:color="auto" w:fill="F0F0F0"/>
                </w:tcPr>
                <w:p>
                  <w:pPr>
                    <w:pStyle w:val="Para 06"/>
                    <w:keepLines w:val="on"/>
                  </w:pPr>
                  <w:r>
                    <w:t>$99</w:t>
                  </w:r>
                </w:p>
              </w:tc>
            </w:tr>
            <w:tr>
              <w:tc>
                <w:tcPr>
                  <w:tcW w:type="auto" w:w="0"/>
                  <w:shd w:val="clear" w:color="auto" w:fill="F0F0F0"/>
                </w:tcPr>
                <w:p>
                  <w:pPr>
                    <w:pStyle w:val="Para 02"/>
                    <w:keepLines w:val="on"/>
                  </w:pPr>
                  <w:r>
                    <w:t>EBITDA</w:t>
                  </w:r>
                </w:p>
              </w:tc>
              <w:tc>
                <w:tcPr>
                  <w:tcW w:type="auto" w:w="0"/>
                  <w:shd w:val="clear" w:color="auto" w:fill="F0F0F0"/>
                </w:tcPr>
                <w:p>
                  <w:pPr>
                    <w:pStyle w:val="Para 06"/>
                    <w:keepLines w:val="on"/>
                  </w:pPr>
                  <w:r>
                    <w:t>$9,892</w:t>
                  </w:r>
                </w:p>
              </w:tc>
              <w:tc>
                <w:tcPr>
                  <w:tcW w:type="auto" w:w="0"/>
                  <w:shd w:val="clear" w:color="auto" w:fill="F0F0F0"/>
                </w:tcPr>
                <w:p>
                  <w:pPr>
                    <w:pStyle w:val="Para 06"/>
                    <w:keepLines w:val="on"/>
                  </w:pPr>
                  <w:r>
                    <w:t>$173</w:t>
                  </w:r>
                </w:p>
              </w:tc>
            </w:tr>
            <w:tr>
              <w:tc>
                <w:tcPr>
                  <w:tcW w:type="auto" w:w="0"/>
                  <w:shd w:val="clear" w:color="auto" w:fill="F0F0F0"/>
                </w:tcPr>
                <w:p>
                  <w:pPr>
                    <w:pStyle w:val="Para 02"/>
                    <w:keepLines w:val="on"/>
                  </w:pPr>
                  <w:r>
                    <w:t>Vốn đầu tư</w:t>
                  </w:r>
                </w:p>
              </w:tc>
              <w:tc>
                <w:tcPr>
                  <w:tcW w:type="auto" w:w="0"/>
                  <w:shd w:val="clear" w:color="auto" w:fill="F0F0F0"/>
                </w:tcPr>
                <w:p>
                  <w:pPr>
                    <w:pStyle w:val="Para 06"/>
                    <w:keepLines w:val="on"/>
                  </w:pPr>
                  <w:r>
                    <w:t>$31,679</w:t>
                  </w:r>
                </w:p>
              </w:tc>
              <w:tc>
                <w:tcPr>
                  <w:tcW w:type="auto" w:w="0"/>
                  <w:shd w:val="clear" w:color="auto" w:fill="F0F0F0"/>
                </w:tcPr>
                <w:p>
                  <w:pPr>
                    <w:pStyle w:val="Para 06"/>
                    <w:keepLines w:val="on"/>
                  </w:pPr>
                  <w:r>
                    <w:t>$626</w:t>
                  </w:r>
                </w:p>
              </w:tc>
            </w:tr>
            <w:tr>
              <w:tc>
                <w:tcPr>
                  <w:tcW w:type="auto" w:w="0"/>
                  <w:shd w:val="clear" w:color="auto" w:fill="F0F0F0"/>
                </w:tcPr>
                <w:p>
                  <w:pPr>
                    <w:pStyle w:val="Para 02"/>
                    <w:keepLines w:val="on"/>
                  </w:pPr>
                  <w:r>
                    <w:t>Thuế suất</w:t>
                  </w:r>
                </w:p>
              </w:tc>
              <w:tc>
                <w:tcPr>
                  <w:tcW w:type="auto" w:w="0"/>
                  <w:shd w:val="clear" w:color="auto" w:fill="F0F0F0"/>
                </w:tcPr>
                <w:p>
                  <w:pPr>
                    <w:pStyle w:val="Para 06"/>
                    <w:keepLines w:val="on"/>
                  </w:pPr>
                  <w:r>
                    <w:t>40%</w:t>
                  </w:r>
                </w:p>
              </w:tc>
              <w:tc>
                <w:tcPr>
                  <w:tcW w:type="auto" w:w="0"/>
                  <w:shd w:val="clear" w:color="auto" w:fill="F0F0F0"/>
                </w:tcPr>
                <w:p>
                  <w:pPr>
                    <w:pStyle w:val="Para 06"/>
                    <w:keepLines w:val="on"/>
                  </w:pPr>
                  <w:r>
                    <w:t>40%</w:t>
                  </w:r>
                </w:p>
              </w:tc>
            </w:tr>
            <w:tr>
              <w:tc>
                <w:tcPr>
                  <w:tcW w:type="auto" w:w="0"/>
                  <w:shd w:val="clear" w:color="auto" w:fill="F0F0F0"/>
                </w:tcPr>
                <w:p>
                  <w:pPr>
                    <w:pStyle w:val="Para 02"/>
                    <w:keepLines w:val="on"/>
                  </w:pPr>
                  <w:r>
                    <w:t>Beta—Tăng trưởng cao</w:t>
                  </w:r>
                </w:p>
              </w:tc>
              <w:tc>
                <w:tcPr>
                  <w:tcW w:type="auto" w:w="0"/>
                  <w:shd w:val="clear" w:color="auto" w:fill="F0F0F0"/>
                </w:tcPr>
                <w:p>
                  <w:pPr>
                    <w:pStyle w:val="Para 06"/>
                    <w:keepLines w:val="on"/>
                  </w:pPr>
                  <w:r>
                    <w:t>0.9</w:t>
                  </w:r>
                </w:p>
              </w:tc>
              <w:tc>
                <w:tcPr>
                  <w:tcW w:type="auto" w:w="0"/>
                  <w:shd w:val="clear" w:color="auto" w:fill="F0F0F0"/>
                </w:tcPr>
                <w:p>
                  <w:pPr>
                    <w:pStyle w:val="Para 06"/>
                    <w:keepLines w:val="on"/>
                  </w:pPr>
                  <w:r>
                    <w:t>1.25</w:t>
                  </w:r>
                </w:p>
              </w:tc>
            </w:tr>
            <w:tr>
              <w:tc>
                <w:tcPr>
                  <w:tcW w:type="auto" w:w="0"/>
                  <w:shd w:val="clear" w:color="auto" w:fill="F0F0F0"/>
                </w:tcPr>
                <w:p>
                  <w:pPr>
                    <w:pStyle w:val="Para 02"/>
                    <w:keepLines w:val="on"/>
                  </w:pPr>
                  <w:r>
                    <w:t>Chi phí nợ trước thuế</w:t>
                  </w:r>
                </w:p>
              </w:tc>
              <w:tc>
                <w:tcPr>
                  <w:tcW w:type="auto" w:w="0"/>
                  <w:shd w:val="clear" w:color="auto" w:fill="F0F0F0"/>
                </w:tcPr>
                <w:p>
                  <w:pPr>
                    <w:pStyle w:val="Para 06"/>
                    <w:keepLines w:val="on"/>
                  </w:pPr>
                  <w:r>
                    <w:t>4.50%</w:t>
                  </w:r>
                </w:p>
              </w:tc>
              <w:tc>
                <w:tcPr>
                  <w:tcW w:type="auto" w:w="0"/>
                  <w:shd w:val="clear" w:color="auto" w:fill="F0F0F0"/>
                </w:tcPr>
                <w:p>
                  <w:pPr>
                    <w:pStyle w:val="Para 06"/>
                    <w:keepLines w:val="on"/>
                  </w:pPr>
                  <w:r>
                    <w:t>6%</w:t>
                  </w:r>
                </w:p>
              </w:tc>
            </w:tr>
            <w:tr>
              <w:tc>
                <w:tcPr>
                  <w:tcW w:type="auto" w:w="0"/>
                  <w:shd w:val="clear" w:color="auto" w:fill="F0F0F0"/>
                </w:tcPr>
                <w:p>
                  <w:pPr>
                    <w:pStyle w:val="Para 51"/>
                    <w:keepLines w:val="on"/>
                  </w:pPr>
                  <w:r>
                    <w:t>Giá trị tính toán</w:t>
                  </w:r>
                </w:p>
              </w:tc>
              <w:tc>
                <w:tcPr>
                  <w:tcW w:type="auto" w:w="0"/>
                  <w:shd w:val="clear" w:color="auto" w:fill="F0F0F0"/>
                </w:tcPr>
                <w:p>
                  <w:pPr>
                    <w:pStyle w:val="3 Block"/>
                    <w:keepLines w:val="on"/>
                  </w:pPr>
                </w:p>
              </w:tc>
              <w:tc>
                <w:tcPr>
                  <w:tcW w:type="auto" w:w="0"/>
                  <w:shd w:val="clear" w:color="auto" w:fill="F0F0F0"/>
                </w:tcPr>
                <w:p>
                  <w:pPr>
                    <w:pStyle w:val="3 Block"/>
                    <w:keepLines w:val="on"/>
                  </w:pPr>
                </w:p>
              </w:tc>
            </w:tr>
            <w:tr>
              <w:tc>
                <w:tcPr>
                  <w:tcW w:type="auto" w:w="0"/>
                  <w:shd w:val="clear" w:color="auto" w:fill="F0F0F0"/>
                </w:tcPr>
                <w:p>
                  <w:pPr>
                    <w:pStyle w:val="Para 02"/>
                    <w:keepLines w:val="on"/>
                  </w:pPr>
                  <w:r>
                    <w:t>Biên lợi nhuận hoạt động sau thuế</w:t>
                  </w:r>
                </w:p>
              </w:tc>
              <w:tc>
                <w:tcPr>
                  <w:tcW w:type="auto" w:w="0"/>
                  <w:shd w:val="clear" w:color="auto" w:fill="F0F0F0"/>
                </w:tcPr>
                <w:p>
                  <w:pPr>
                    <w:pStyle w:val="Para 06"/>
                    <w:keepLines w:val="on"/>
                  </w:pPr>
                  <w:r>
                    <w:t>14.43%</w:t>
                  </w:r>
                </w:p>
              </w:tc>
              <w:tc>
                <w:tcPr>
                  <w:tcW w:type="auto" w:w="0"/>
                  <w:shd w:val="clear" w:color="auto" w:fill="F0F0F0"/>
                </w:tcPr>
                <w:p>
                  <w:pPr>
                    <w:pStyle w:val="Para 06"/>
                    <w:keepLines w:val="on"/>
                  </w:pPr>
                  <w:r>
                    <w:t>3.29%</w:t>
                  </w:r>
                </w:p>
              </w:tc>
            </w:tr>
            <w:tr>
              <w:tc>
                <w:tcPr>
                  <w:tcW w:type="auto" w:w="0"/>
                  <w:shd w:val="clear" w:color="auto" w:fill="F0F0F0"/>
                </w:tcPr>
                <w:p>
                  <w:pPr>
                    <w:pStyle w:val="Para 02"/>
                    <w:keepLines w:val="on"/>
                  </w:pPr>
                  <w:r>
                    <w:t>Doanh số trên vốn đầu tư</w:t>
                  </w:r>
                </w:p>
              </w:tc>
              <w:tc>
                <w:tcPr>
                  <w:tcW w:type="auto" w:w="0"/>
                  <w:shd w:val="clear" w:color="auto" w:fill="F0F0F0"/>
                </w:tcPr>
                <w:p>
                  <w:pPr>
                    <w:pStyle w:val="Para 06"/>
                    <w:keepLines w:val="on"/>
                  </w:pPr>
                  <w:r>
                    <w:t>1.11</w:t>
                  </w:r>
                </w:p>
              </w:tc>
              <w:tc>
                <w:tcPr>
                  <w:tcW w:type="auto" w:w="0"/>
                  <w:shd w:val="clear" w:color="auto" w:fill="F0F0F0"/>
                </w:tcPr>
                <w:p>
                  <w:pPr>
                    <w:pStyle w:val="Para 06"/>
                    <w:keepLines w:val="on"/>
                  </w:pPr>
                  <w:r>
                    <w:t>2.88</w:t>
                  </w:r>
                </w:p>
              </w:tc>
            </w:tr>
            <w:tr>
              <w:tc>
                <w:tcPr>
                  <w:tcW w:type="auto" w:w="0"/>
                  <w:shd w:val="clear" w:color="auto" w:fill="F0F0F0"/>
                </w:tcPr>
                <w:p>
                  <w:pPr>
                    <w:pStyle w:val="Para 02"/>
                    <w:keepLines w:val="on"/>
                  </w:pPr>
                  <w:r>
                    <w:t>Lợi nhuận trên vốn</w:t>
                  </w:r>
                </w:p>
              </w:tc>
              <w:tc>
                <w:tcPr>
                  <w:tcW w:type="auto" w:w="0"/>
                  <w:shd w:val="clear" w:color="auto" w:fill="F0F0F0"/>
                </w:tcPr>
                <w:p>
                  <w:pPr>
                    <w:pStyle w:val="Para 06"/>
                    <w:keepLines w:val="on"/>
                  </w:pPr>
                  <w:r>
                    <w:t>16.00%</w:t>
                  </w:r>
                </w:p>
              </w:tc>
              <w:tc>
                <w:tcPr>
                  <w:tcW w:type="auto" w:w="0"/>
                  <w:shd w:val="clear" w:color="auto" w:fill="F0F0F0"/>
                </w:tcPr>
                <w:p>
                  <w:pPr>
                    <w:pStyle w:val="Para 06"/>
                    <w:keepLines w:val="on"/>
                  </w:pPr>
                  <w:r>
                    <w:t>9,49%</w:t>
                  </w:r>
                </w:p>
              </w:tc>
            </w:tr>
            <w:tr>
              <w:tc>
                <w:tcPr>
                  <w:tcW w:type="auto" w:w="0"/>
                  <w:shd w:val="clear" w:color="auto" w:fill="F0F0F0"/>
                </w:tcPr>
                <w:p>
                  <w:pPr>
                    <w:pStyle w:val="Para 02"/>
                    <w:keepLines w:val="on"/>
                  </w:pPr>
                  <w:r>
                    <w:t>Chi phí vốn</w:t>
                  </w:r>
                </w:p>
              </w:tc>
              <w:tc>
                <w:tcPr>
                  <w:tcW w:type="auto" w:w="0"/>
                  <w:shd w:val="clear" w:color="auto" w:fill="F0F0F0"/>
                </w:tcPr>
                <w:p>
                  <w:pPr>
                    <w:pStyle w:val="Para 06"/>
                    <w:keepLines w:val="on"/>
                  </w:pPr>
                  <w:r>
                    <w:t>8,03%</w:t>
                  </w:r>
                </w:p>
              </w:tc>
              <w:tc>
                <w:tcPr>
                  <w:tcW w:type="auto" w:w="0"/>
                  <w:shd w:val="clear" w:color="auto" w:fill="F0F0F0"/>
                </w:tcPr>
                <w:p>
                  <w:pPr>
                    <w:pStyle w:val="Para 06"/>
                    <w:keepLines w:val="on"/>
                  </w:pPr>
                  <w:r>
                    <w:t>8,35%</w:t>
                  </w:r>
                </w:p>
              </w:tc>
            </w:tr>
            <w:tr>
              <w:tc>
                <w:tcPr>
                  <w:tcW w:type="auto" w:w="0"/>
                  <w:shd w:val="clear" w:color="auto" w:fill="F0F0F0"/>
                </w:tcPr>
                <w:p>
                  <w:pPr>
                    <w:pStyle w:val="Para 02"/>
                    <w:keepLines w:val="on"/>
                  </w:pPr>
                  <w:r>
                    <w:t>Lợi nhuận vượt trội</w:t>
                  </w:r>
                </w:p>
              </w:tc>
              <w:tc>
                <w:tcPr>
                  <w:tcW w:type="auto" w:w="0"/>
                  <w:shd w:val="clear" w:color="auto" w:fill="F0F0F0"/>
                </w:tcPr>
                <w:p>
                  <w:pPr>
                    <w:pStyle w:val="Para 06"/>
                    <w:keepLines w:val="on"/>
                  </w:pPr>
                  <w:r>
                    <w:t>7,97%</w:t>
                  </w:r>
                </w:p>
              </w:tc>
              <w:tc>
                <w:tcPr>
                  <w:tcW w:type="auto" w:w="0"/>
                  <w:shd w:val="clear" w:color="auto" w:fill="F0F0F0"/>
                </w:tcPr>
                <w:p>
                  <w:pPr>
                    <w:pStyle w:val="Para 06"/>
                    <w:keepLines w:val="on"/>
                  </w:pPr>
                  <w:r>
                    <w:t>1,14%</w:t>
                  </w:r>
                </w:p>
              </w:tc>
            </w:tr>
          </w:tbl>
          <w:p/>
        </w:tc>
      </w:tr>
    </w:tbl>
    <w:p>
      <w:pPr>
        <w:pStyle w:val="Para 04"/>
        <w:keepLines w:val="on"/>
      </w:pPr>
      <w:r>
        <w:t>Lưu ý rằng Cott nhỏ hơn Coca-Cola rất nhiều và có biên lợi nhuận yếu hơn, lợi nhuận trên vốn thấp hơn, và chi phí vốn cao hơn. Mặc dù sự khác biệt về quy mô khiến việc so sánh trực tiếp giữa hai công ty trở nên khó khăn, chúng ta sẽ sử dụng thông tin thu thập được từ Cott để định giá tên thương hiệu của Coca-Cola.</w:t>
      </w:r>
    </w:p>
    <w:p>
      <w:bookmarkStart w:id="4160" w:name="Option_1__Brand_Name_Affects_Onl_1"/>
      <w:bookmarkStart w:id="4161" w:name="Option_1__Brand_Name_Affects_Onl"/>
      <w:pPr>
        <w:keepNext/>
        <w:pStyle w:val="Para 36"/>
        <w:keepLines w:val="on"/>
      </w:pPr>
      <w:r>
        <w:t>Phương án 1: Tên thương hiệu chỉ ảnh hưởng đến sức mạnh định giá</w:t>
      </w:r>
      <w:bookmarkEnd w:id="4160"/>
      <w:bookmarkEnd w:id="4161"/>
    </w:p>
    <w:p>
      <w:pPr>
        <w:pStyle w:val="Para 04"/>
        <w:keepLines w:val="on"/>
      </w:pPr>
      <w:r>
        <w:t>Trong phiên bản đầu tiên và đơn giản nhất của việc định giá tên thương hiệu, chúng ta giả định rằng tên thương hiệu chỉ ảnh hưởng đến sức mạnh định giá (pricing power) và thông qua đó, ảnh hưởng đến biên lợi nhuận hoạt động. Trên thực tế, chúng ta định giá Coca-Cola với tất cả các đặc điểm khác còn nguyên vẹn nhưng gán cho nó biên lợi nhuận hoạt động sau thuế của Cott. Trong giai đoạn tăng trưởng ổn định, chúng ta giả định rằng Coca-Cola sẽ chỉ kiếm được đúng chi phí vốn của mình nếu mất đi lợi thế tên thương hiệu. Bảng 20.8 tóm tắt các tác động.</w:t>
      </w:r>
    </w:p>
    <w:p>
      <w:pPr>
        <w:pStyle w:val="Para 25"/>
        <w:keepLines w:val="on"/>
      </w:pPr>
      <w:r>
        <w:t>Bảng 20.8</w:t>
      </w:r>
    </w:p>
    <w:p>
      <w:pPr>
        <w:keepNext/>
        <w:pStyle w:val="Para 24"/>
        <w:keepLines w:val="on"/>
      </w:pPr>
      <w:r>
        <w:t>Giá trị tên thương hiệu Coca-Cola—Sức mạnh định giá</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Coca-Cola</w:t>
                  </w:r>
                </w:p>
              </w:tc>
              <w:tc>
                <w:tcPr>
                  <w:tcW w:type="auto" w:w="0"/>
                  <w:shd w:val="clear" w:color="auto" w:fill="F0F0F0"/>
                </w:tcPr>
                <w:p>
                  <w:pPr>
                    <w:pStyle w:val="Para 05"/>
                    <w:keepLines w:val="on"/>
                  </w:pPr>
                  <w:r>
                    <w:t>Coca-Cola với biên lợi nhuận của Cott</w:t>
                  </w:r>
                </w:p>
              </w:tc>
            </w:tr>
            <w:tr>
              <w:tc>
                <w:tcPr>
                  <w:tcW w:type="auto" w:w="0"/>
                  <w:shd w:val="clear" w:color="auto" w:fill="F0F0F0"/>
                </w:tcPr>
                <w:p>
                  <w:pPr>
                    <w:pStyle w:val="Para 02"/>
                    <w:keepLines w:val="on"/>
                  </w:pPr>
                  <w:r>
                    <w:t>Thuế suất hiện tại</w:t>
                  </w:r>
                </w:p>
              </w:tc>
              <w:tc>
                <w:tcPr>
                  <w:tcW w:type="auto" w:w="0"/>
                  <w:shd w:val="clear" w:color="auto" w:fill="F0F0F0"/>
                </w:tcPr>
                <w:p>
                  <w:pPr>
                    <w:pStyle w:val="Para 06"/>
                    <w:keepLines w:val="on"/>
                  </w:pPr>
                  <w:r>
                    <w:t>40,00%</w:t>
                  </w:r>
                </w:p>
              </w:tc>
              <w:tc>
                <w:tcPr>
                  <w:tcW w:type="auto" w:w="0"/>
                  <w:shd w:val="clear" w:color="auto" w:fill="F0F0F0"/>
                </w:tcPr>
                <w:p>
                  <w:pPr>
                    <w:pStyle w:val="Para 06"/>
                    <w:keepLines w:val="on"/>
                  </w:pPr>
                  <w:r>
                    <w:t>40,00%</w:t>
                  </w:r>
                </w:p>
              </w:tc>
            </w:tr>
            <w:tr>
              <w:tc>
                <w:tcPr>
                  <w:tcW w:type="auto" w:w="0"/>
                  <w:shd w:val="clear" w:color="auto" w:fill="F0F0F0"/>
                </w:tcPr>
                <w:p>
                  <w:pPr>
                    <w:pStyle w:val="Para 02"/>
                    <w:keepLines w:val="on"/>
                  </w:pPr>
                  <w:r>
                    <w:t>Doanh thu hiện tại</w:t>
                  </w:r>
                </w:p>
              </w:tc>
              <w:tc>
                <w:tcPr>
                  <w:tcW w:type="auto" w:w="0"/>
                  <w:shd w:val="clear" w:color="auto" w:fill="F0F0F0"/>
                </w:tcPr>
                <w:p>
                  <w:pPr>
                    <w:pStyle w:val="Para 06"/>
                    <w:keepLines w:val="on"/>
                  </w:pPr>
                  <w:r>
                    <w:t>$35.119</w:t>
                  </w:r>
                </w:p>
              </w:tc>
              <w:tc>
                <w:tcPr>
                  <w:tcW w:type="auto" w:w="0"/>
                  <w:shd w:val="clear" w:color="auto" w:fill="F0F0F0"/>
                </w:tcPr>
                <w:p>
                  <w:pPr>
                    <w:pStyle w:val="Para 06"/>
                    <w:keepLines w:val="on"/>
                  </w:pPr>
                  <w:r>
                    <w:t>$35.119</w:t>
                  </w:r>
                </w:p>
              </w:tc>
            </w:tr>
            <w:tr>
              <w:tc>
                <w:tcPr>
                  <w:tcW w:type="auto" w:w="0"/>
                  <w:shd w:val="clear" w:color="auto" w:fill="F0F0F0"/>
                  <w:hMerge w:val="restart"/>
                </w:tcPr>
                <w:p>
                  <w:pPr>
                    <w:pStyle w:val="Para 46"/>
                    <w:keepLines w:val="on"/>
                  </w:pPr>
                  <w:r>
                    <w:t>Giai đoạn tăng trưởng cao</w:t>
                  </w:r>
                </w:p>
              </w:tc>
              <w:tc>
                <w:tcPr>
                  <w:hMerge w:val="continue"/>
                </w:tcPr>
                <w:p/>
              </w:tc>
              <w:tc>
                <w:tcPr>
                  <w:hMerge w:val="continue"/>
                </w:tcPr>
                <w:p/>
              </w:tc>
            </w:tr>
            <w:tr>
              <w:tc>
                <w:tcPr>
                  <w:tcW w:type="auto" w:w="0"/>
                  <w:shd w:val="clear" w:color="auto" w:fill="F0F0F0"/>
                </w:tcPr>
                <w:p>
                  <w:pPr>
                    <w:pStyle w:val="Para 02"/>
                    <w:keepLines w:val="on"/>
                  </w:pPr>
                  <w:r>
                    <w:t>Độ dài giai đoạn tăng trưởng cao (n)</w:t>
                  </w:r>
                </w:p>
              </w:tc>
              <w:tc>
                <w:tcPr>
                  <w:tcW w:type="auto" w:w="0"/>
                  <w:shd w:val="clear" w:color="auto" w:fill="F0F0F0"/>
                </w:tcPr>
                <w:p>
                  <w:pPr>
                    <w:pStyle w:val="Para 06"/>
                    <w:keepLines w:val="on"/>
                  </w:pPr>
                  <w:r>
                    <w:t>10</w:t>
                  </w:r>
                </w:p>
              </w:tc>
              <w:tc>
                <w:tcPr>
                  <w:tcW w:type="auto" w:w="0"/>
                  <w:shd w:val="clear" w:color="auto" w:fill="F0F0F0"/>
                </w:tcPr>
                <w:p>
                  <w:pPr>
                    <w:pStyle w:val="Para 06"/>
                    <w:keepLines w:val="on"/>
                  </w:pPr>
                  <w:r>
                    <w:t>10</w:t>
                  </w:r>
                </w:p>
              </w:tc>
            </w:tr>
            <w:tr>
              <w:tc>
                <w:tcPr>
                  <w:tcW w:type="auto" w:w="0"/>
                  <w:shd w:val="clear" w:color="auto" w:fill="F0F0F0"/>
                </w:tcPr>
                <w:p>
                  <w:pPr>
                    <w:pStyle w:val="Para 02"/>
                    <w:keepLines w:val="on"/>
                  </w:pPr>
                  <w:r>
                    <w:t>Tỷ lệ tái đầu tư</w:t>
                  </w:r>
                </w:p>
              </w:tc>
              <w:tc>
                <w:tcPr>
                  <w:tcW w:type="auto" w:w="0"/>
                  <w:shd w:val="clear" w:color="auto" w:fill="F0F0F0"/>
                </w:tcPr>
                <w:p>
                  <w:pPr>
                    <w:pStyle w:val="Para 06"/>
                    <w:keepLines w:val="on"/>
                  </w:pPr>
                  <w:r>
                    <w:t>60%</w:t>
                  </w:r>
                </w:p>
              </w:tc>
              <w:tc>
                <w:tcPr>
                  <w:tcW w:type="auto" w:w="0"/>
                  <w:shd w:val="clear" w:color="auto" w:fill="F0F0F0"/>
                </w:tcPr>
                <w:p>
                  <w:pPr>
                    <w:pStyle w:val="Para 06"/>
                    <w:keepLines w:val="on"/>
                  </w:pPr>
                  <w:r>
                    <w:t>60%</w:t>
                  </w:r>
                </w:p>
              </w:tc>
            </w:tr>
            <w:tr>
              <w:tc>
                <w:tcPr>
                  <w:tcW w:type="auto" w:w="0"/>
                  <w:shd w:val="clear" w:color="auto" w:fill="F0F0F0"/>
                </w:tcPr>
                <w:p>
                  <w:pPr>
                    <w:pStyle w:val="Para 02"/>
                    <w:keepLines w:val="on"/>
                  </w:pPr>
                  <w:r>
                    <w:t>Biên lợi nhuận hoạt động sau thuế</w:t>
                  </w:r>
                </w:p>
              </w:tc>
              <w:tc>
                <w:tcPr>
                  <w:tcW w:type="auto" w:w="0"/>
                  <w:shd w:val="clear" w:color="auto" w:fill="F0F0F0"/>
                </w:tcPr>
                <w:p>
                  <w:pPr>
                    <w:pStyle w:val="Para 06"/>
                    <w:keepLines w:val="on"/>
                  </w:pPr>
                  <w:r>
                    <w:t>14,43%</w:t>
                  </w:r>
                </w:p>
              </w:tc>
              <w:tc>
                <w:tcPr>
                  <w:tcW w:type="auto" w:w="0"/>
                  <w:shd w:val="clear" w:color="auto" w:fill="F0F0F0"/>
                </w:tcPr>
                <w:p>
                  <w:pPr>
                    <w:pStyle w:val="Para 06"/>
                    <w:keepLines w:val="on"/>
                  </w:pPr>
                  <w:r>
                    <w:t>3,29%</w:t>
                  </w:r>
                </w:p>
              </w:tc>
            </w:tr>
            <w:tr>
              <w:tc>
                <w:tcPr>
                  <w:tcW w:type="auto" w:w="0"/>
                  <w:shd w:val="clear" w:color="auto" w:fill="F0F0F0"/>
                </w:tcPr>
                <w:p>
                  <w:pPr>
                    <w:pStyle w:val="Para 02"/>
                    <w:keepLines w:val="on"/>
                  </w:pPr>
                  <w:r>
                    <w:t>Doanh thu/Vốn đầu tư</w:t>
                  </w:r>
                </w:p>
              </w:tc>
              <w:tc>
                <w:tcPr>
                  <w:tcW w:type="auto" w:w="0"/>
                  <w:shd w:val="clear" w:color="auto" w:fill="F0F0F0"/>
                </w:tcPr>
                <w:p>
                  <w:pPr>
                    <w:pStyle w:val="Para 06"/>
                    <w:keepLines w:val="on"/>
                  </w:pPr>
                  <w:r>
                    <w:t>1,11</w:t>
                  </w:r>
                </w:p>
              </w:tc>
              <w:tc>
                <w:tcPr>
                  <w:tcW w:type="auto" w:w="0"/>
                  <w:shd w:val="clear" w:color="auto" w:fill="F0F0F0"/>
                </w:tcPr>
                <w:p>
                  <w:pPr>
                    <w:pStyle w:val="Para 06"/>
                    <w:keepLines w:val="on"/>
                  </w:pPr>
                  <w:r>
                    <w:t>1,11</w:t>
                  </w:r>
                </w:p>
              </w:tc>
            </w:tr>
            <w:tr>
              <w:tc>
                <w:tcPr>
                  <w:tcW w:type="auto" w:w="0"/>
                  <w:shd w:val="clear" w:color="auto" w:fill="F0F0F0"/>
                </w:tcPr>
                <w:p>
                  <w:pPr>
                    <w:pStyle w:val="Para 02"/>
                    <w:keepLines w:val="on"/>
                  </w:pPr>
                  <w:r>
                    <w:t>Tỷ suất sinh lời trên vốn</w:t>
                  </w:r>
                </w:p>
              </w:tc>
              <w:tc>
                <w:tcPr>
                  <w:tcW w:type="auto" w:w="0"/>
                  <w:shd w:val="clear" w:color="auto" w:fill="F0F0F0"/>
                </w:tcPr>
                <w:p>
                  <w:pPr>
                    <w:pStyle w:val="Para 06"/>
                    <w:keepLines w:val="on"/>
                  </w:pPr>
                  <w:r>
                    <w:t>16,00%</w:t>
                  </w:r>
                </w:p>
              </w:tc>
              <w:tc>
                <w:tcPr>
                  <w:tcW w:type="auto" w:w="0"/>
                  <w:shd w:val="clear" w:color="auto" w:fill="F0F0F0"/>
                </w:tcPr>
                <w:p>
                  <w:pPr>
                    <w:pStyle w:val="Para 06"/>
                    <w:keepLines w:val="on"/>
                  </w:pPr>
                  <w:r>
                    <w:t>3,65%</w:t>
                  </w:r>
                </w:p>
              </w:tc>
            </w:tr>
            <w:tr>
              <w:tc>
                <w:tcPr>
                  <w:tcW w:type="auto" w:w="0"/>
                  <w:shd w:val="clear" w:color="auto" w:fill="F0F0F0"/>
                </w:tcPr>
                <w:p>
                  <w:pPr>
                    <w:pStyle w:val="Para 02"/>
                    <w:keepLines w:val="on"/>
                  </w:pPr>
                  <w:r>
                    <w:t>Tốc độ tăng trưởng trong kỳ (g)</w:t>
                  </w:r>
                </w:p>
              </w:tc>
              <w:tc>
                <w:tcPr>
                  <w:tcW w:type="auto" w:w="0"/>
                  <w:shd w:val="clear" w:color="auto" w:fill="F0F0F0"/>
                </w:tcPr>
                <w:p>
                  <w:pPr>
                    <w:pStyle w:val="Para 06"/>
                    <w:keepLines w:val="on"/>
                  </w:pPr>
                  <w:r>
                    <w:t>9,60%</w:t>
                  </w:r>
                </w:p>
              </w:tc>
              <w:tc>
                <w:tcPr>
                  <w:tcW w:type="auto" w:w="0"/>
                  <w:shd w:val="clear" w:color="auto" w:fill="F0F0F0"/>
                </w:tcPr>
                <w:p>
                  <w:pPr>
                    <w:pStyle w:val="Para 06"/>
                    <w:keepLines w:val="on"/>
                  </w:pPr>
                  <w:r>
                    <w:t>2,19%</w:t>
                  </w:r>
                </w:p>
              </w:tc>
            </w:tr>
            <w:tr>
              <w:tc>
                <w:tcPr>
                  <w:tcW w:type="auto" w:w="0"/>
                  <w:shd w:val="clear" w:color="auto" w:fill="F0F0F0"/>
                </w:tcPr>
                <w:p>
                  <w:pPr>
                    <w:pStyle w:val="Para 02"/>
                    <w:keepLines w:val="on"/>
                  </w:pPr>
                  <w:r>
                    <w:t>Chi phí vốn trong kỳ</w:t>
                  </w:r>
                </w:p>
              </w:tc>
              <w:tc>
                <w:tcPr>
                  <w:tcW w:type="auto" w:w="0"/>
                  <w:shd w:val="clear" w:color="auto" w:fill="F0F0F0"/>
                </w:tcPr>
                <w:p>
                  <w:pPr>
                    <w:pStyle w:val="Para 06"/>
                    <w:keepLines w:val="on"/>
                  </w:pPr>
                  <w:r>
                    <w:t>8,03%</w:t>
                  </w:r>
                </w:p>
              </w:tc>
              <w:tc>
                <w:tcPr>
                  <w:tcW w:type="auto" w:w="0"/>
                  <w:shd w:val="clear" w:color="auto" w:fill="F0F0F0"/>
                </w:tcPr>
                <w:p>
                  <w:pPr>
                    <w:pStyle w:val="Para 06"/>
                    <w:keepLines w:val="on"/>
                  </w:pPr>
                  <w:r>
                    <w:t>8,03%</w:t>
                  </w:r>
                </w:p>
              </w:tc>
            </w:tr>
            <w:tr>
              <w:tc>
                <w:tcPr>
                  <w:tcW w:type="auto" w:w="0"/>
                  <w:shd w:val="clear" w:color="auto" w:fill="F0F0F0"/>
                </w:tcPr>
                <w:p>
                  <w:pPr>
                    <w:pStyle w:val="Para 46"/>
                    <w:keepLines w:val="on"/>
                  </w:pPr>
                  <w:r>
                    <w:t>Giai đoạn tăng trưởng ổn định</w:t>
                  </w:r>
                </w:p>
              </w:tc>
              <w:tc>
                <w:tcPr>
                  <w:tcW w:type="auto" w:w="0"/>
                  <w:shd w:val="clear" w:color="auto" w:fill="F0F0F0"/>
                </w:tcPr>
                <w:p>
                  <w:pPr>
                    <w:pStyle w:val="3 Block"/>
                    <w:keepLines w:val="on"/>
                  </w:pPr>
                </w:p>
              </w:tc>
              <w:tc>
                <w:tcPr>
                  <w:tcW w:type="auto" w:w="0"/>
                  <w:shd w:val="clear" w:color="auto" w:fill="F0F0F0"/>
                </w:tcPr>
                <w:p>
                  <w:pPr>
                    <w:pStyle w:val="3 Block"/>
                    <w:keepLines w:val="on"/>
                  </w:pPr>
                </w:p>
              </w:tc>
            </w:tr>
            <w:tr>
              <w:tc>
                <w:tcPr>
                  <w:tcW w:type="auto" w:w="0"/>
                  <w:shd w:val="clear" w:color="auto" w:fill="F0F0F0"/>
                </w:tcPr>
                <w:p>
                  <w:pPr>
                    <w:pStyle w:val="Para 02"/>
                    <w:keepLines w:val="on"/>
                  </w:pPr>
                  <w:r>
                    <w:t>Tốc độ tăng trưởng ở trạng thái ổn định</w:t>
                  </w:r>
                </w:p>
              </w:tc>
              <w:tc>
                <w:tcPr>
                  <w:tcW w:type="auto" w:w="0"/>
                  <w:shd w:val="clear" w:color="auto" w:fill="F0F0F0"/>
                </w:tcPr>
                <w:p>
                  <w:pPr>
                    <w:pStyle w:val="Para 06"/>
                    <w:keepLines w:val="on"/>
                  </w:pPr>
                  <w:r>
                    <w:t>3,50%</w:t>
                  </w:r>
                </w:p>
              </w:tc>
              <w:tc>
                <w:tcPr>
                  <w:tcW w:type="auto" w:w="0"/>
                  <w:shd w:val="clear" w:color="auto" w:fill="F0F0F0"/>
                </w:tcPr>
                <w:p>
                  <w:pPr>
                    <w:pStyle w:val="Para 06"/>
                    <w:keepLines w:val="on"/>
                  </w:pPr>
                  <w:r>
                    <w:t>3,50%</w:t>
                  </w:r>
                </w:p>
              </w:tc>
            </w:tr>
            <w:tr>
              <w:tc>
                <w:tcPr>
                  <w:tcW w:type="auto" w:w="0"/>
                  <w:shd w:val="clear" w:color="auto" w:fill="F0F0F0"/>
                </w:tcPr>
                <w:p>
                  <w:pPr>
                    <w:pStyle w:val="Para 02"/>
                    <w:keepLines w:val="on"/>
                  </w:pPr>
                  <w:r>
                    <w:t>Tỷ suất sinh lời trên vốn ở trạng thái ổn định</w:t>
                  </w:r>
                </w:p>
              </w:tc>
              <w:tc>
                <w:tcPr>
                  <w:tcW w:type="auto" w:w="0"/>
                  <w:shd w:val="clear" w:color="auto" w:fill="F0F0F0"/>
                </w:tcPr>
                <w:p>
                  <w:pPr>
                    <w:pStyle w:val="Para 06"/>
                    <w:keepLines w:val="on"/>
                  </w:pPr>
                  <w:r>
                    <w:t>12,00%</w:t>
                  </w:r>
                </w:p>
              </w:tc>
              <w:tc>
                <w:tcPr>
                  <w:tcW w:type="auto" w:w="0"/>
                  <w:shd w:val="clear" w:color="auto" w:fill="F0F0F0"/>
                </w:tcPr>
                <w:p>
                  <w:pPr>
                    <w:pStyle w:val="Para 06"/>
                    <w:keepLines w:val="on"/>
                  </w:pPr>
                  <w:r>
                    <w:t>7,74%</w:t>
                  </w:r>
                </w:p>
              </w:tc>
            </w:tr>
            <w:tr>
              <w:tc>
                <w:tcPr>
                  <w:tcW w:type="auto" w:w="0"/>
                  <w:shd w:val="clear" w:color="auto" w:fill="F0F0F0"/>
                </w:tcPr>
                <w:p>
                  <w:pPr>
                    <w:pStyle w:val="Para 02"/>
                    <w:keepLines w:val="on"/>
                  </w:pPr>
                  <w:r>
                    <w:t>Tỷ lệ tái đầu tư trong giai đoạn tăng trưởng ổn định</w:t>
                  </w:r>
                </w:p>
              </w:tc>
              <w:tc>
                <w:tcPr>
                  <w:tcW w:type="auto" w:w="0"/>
                  <w:shd w:val="clear" w:color="auto" w:fill="F0F0F0"/>
                </w:tcPr>
                <w:p>
                  <w:pPr>
                    <w:pStyle w:val="Para 06"/>
                    <w:keepLines w:val="on"/>
                  </w:pPr>
                  <w:r>
                    <w:t>29,17%</w:t>
                  </w:r>
                </w:p>
              </w:tc>
              <w:tc>
                <w:tcPr>
                  <w:tcW w:type="auto" w:w="0"/>
                  <w:shd w:val="clear" w:color="auto" w:fill="F0F0F0"/>
                </w:tcPr>
                <w:p>
                  <w:pPr>
                    <w:pStyle w:val="Para 06"/>
                    <w:keepLines w:val="on"/>
                  </w:pPr>
                  <w:r>
                    <w:t>45,22%</w:t>
                  </w:r>
                </w:p>
              </w:tc>
            </w:tr>
            <w:tr>
              <w:tc>
                <w:tcPr>
                  <w:tcW w:type="auto" w:w="0"/>
                  <w:shd w:val="clear" w:color="auto" w:fill="F0F0F0"/>
                </w:tcPr>
                <w:p>
                  <w:pPr>
                    <w:pStyle w:val="Para 02"/>
                    <w:keepLines w:val="on"/>
                  </w:pPr>
                  <w:r>
                    <w:t>Chi phí vốn ở trạng thái ổn định</w:t>
                  </w:r>
                </w:p>
              </w:tc>
              <w:tc>
                <w:tcPr>
                  <w:tcW w:type="auto" w:w="0"/>
                  <w:shd w:val="clear" w:color="auto" w:fill="F0F0F0"/>
                </w:tcPr>
                <w:p>
                  <w:pPr>
                    <w:pStyle w:val="Para 06"/>
                    <w:keepLines w:val="on"/>
                  </w:pPr>
                  <w:r>
                    <w:t>7,74%</w:t>
                  </w:r>
                </w:p>
              </w:tc>
              <w:tc>
                <w:tcPr>
                  <w:tcW w:type="auto" w:w="0"/>
                  <w:shd w:val="clear" w:color="auto" w:fill="F0F0F0"/>
                </w:tcPr>
                <w:p>
                  <w:pPr>
                    <w:pStyle w:val="Para 06"/>
                    <w:keepLines w:val="on"/>
                  </w:pPr>
                  <w:r>
                    <w:t>7,74%</w:t>
                  </w:r>
                </w:p>
              </w:tc>
            </w:tr>
            <w:tr>
              <w:tc>
                <w:tcPr>
                  <w:tcW w:type="auto" w:w="0"/>
                  <w:shd w:val="clear" w:color="auto" w:fill="F0F0F0"/>
                </w:tcPr>
                <w:p>
                  <w:pPr>
                    <w:pStyle w:val="Para 02"/>
                    <w:keepLines w:val="on"/>
                  </w:pPr>
                  <w:r>
                    <w:t>EV/Doanh thu gần nhất</w:t>
                  </w:r>
                </w:p>
              </w:tc>
              <w:tc>
                <w:tcPr>
                  <w:tcW w:type="auto" w:w="0"/>
                  <w:shd w:val="clear" w:color="auto" w:fill="F0F0F0"/>
                </w:tcPr>
                <w:p>
                  <w:pPr>
                    <w:pStyle w:val="Para 06"/>
                    <w:keepLines w:val="on"/>
                  </w:pPr>
                  <w:r>
                    <w:t>3,51</w:t>
                  </w:r>
                </w:p>
              </w:tc>
              <w:tc>
                <w:tcPr>
                  <w:tcW w:type="auto" w:w="0"/>
                  <w:shd w:val="clear" w:color="auto" w:fill="F0F0F0"/>
                </w:tcPr>
                <w:p>
                  <w:pPr>
                    <w:pStyle w:val="Para 06"/>
                    <w:keepLines w:val="on"/>
                  </w:pPr>
                  <w:r>
                    <w:t>0,35</w:t>
                  </w:r>
                </w:p>
              </w:tc>
            </w:tr>
            <w:tr>
              <w:tc>
                <w:tcPr>
                  <w:tcW w:type="auto" w:w="0"/>
                  <w:shd w:val="clear" w:color="auto" w:fill="F0F0F0"/>
                </w:tcPr>
                <w:p>
                  <w:pPr>
                    <w:pStyle w:val="Para 02"/>
                    <w:keepLines w:val="on"/>
                  </w:pPr>
                  <w:r>
                    <w:t>Giá trị doanh nghiệp</w:t>
                  </w:r>
                </w:p>
              </w:tc>
              <w:tc>
                <w:tcPr>
                  <w:tcW w:type="auto" w:w="0"/>
                  <w:shd w:val="clear" w:color="auto" w:fill="F0F0F0"/>
                </w:tcPr>
                <w:p>
                  <w:pPr>
                    <w:pStyle w:val="Para 06"/>
                    <w:keepLines w:val="on"/>
                  </w:pPr>
                  <w:r>
                    <w:t>$123.199</w:t>
                  </w:r>
                </w:p>
              </w:tc>
              <w:tc>
                <w:tcPr>
                  <w:tcW w:type="auto" w:w="0"/>
                  <w:shd w:val="clear" w:color="auto" w:fill="F0F0F0"/>
                </w:tcPr>
                <w:p>
                  <w:pPr>
                    <w:pStyle w:val="Para 06"/>
                    <w:keepLines w:val="on"/>
                  </w:pPr>
                  <w:r>
                    <w:t>$12.291</w:t>
                  </w:r>
                </w:p>
              </w:tc>
            </w:tr>
          </w:tbl>
          <w:p/>
        </w:tc>
      </w:tr>
    </w:tbl>
    <w:p>
      <w:pPr>
        <w:pStyle w:val="Para 04"/>
        <w:keepLines w:val="on"/>
      </w:pPr>
      <w:r>
        <w:t>Lưu ý rằng việc giảm biên lợi nhuận trong khi giữ nguyên tỷ lệ doanh thu trên vốn sẽ làm giảm lợi nhuận trên vốn xuống còn 3,65%. Tỷ lệ EV/Doanh thu của Coca-Cola giảm xuống còn 0,35 nếu công ty chỉ kiếm được biên lợi nhuận như Cott, trong khi vẫn giữ nguyên mọi đặc điểm khác của chính mình cho các biến số còn lại. Giá trị doanh nghiệp ước tính giảm xuống còn 12,3 tỷ đô la, và giá trị thương hiệu chiếm gần 90% giá trị ước tính của Coca-Cola:</w:t>
      </w:r>
    </w:p>
    <w:p>
      <w:bookmarkStart w:id="4165" w:name="Value_of_brand_name__123_199__12"/>
      <w:pPr>
        <w:keepNext/>
        <w:pStyle w:val="Para 07"/>
        <w:keepLines w:val="on"/>
      </w:pPr>
      <w:r>
        <w:t>Giá trị thương hiệu=$123.199-$12.291=$110.908 triệu</w:t>
      </w:r>
      <w:bookmarkEnd w:id="4165"/>
    </w:p>
    <w:p>
      <w:bookmarkStart w:id="4166" w:name="Option_2__Brand_Name_Affects_Pri"/>
      <w:bookmarkStart w:id="4167" w:name="Option_2__Brand_Name_Affects_Pri_1"/>
      <w:pPr>
        <w:keepNext/>
        <w:pStyle w:val="Para 36"/>
        <w:keepLines w:val="on"/>
      </w:pPr>
      <w:r>
        <w:t>Phương án 2: Thương hiệu ảnh hưởng đến sức mạnh định giá và vòng quay doanh thu</w:t>
      </w:r>
      <w:bookmarkEnd w:id="4166"/>
      <w:bookmarkEnd w:id="4167"/>
    </w:p>
    <w:p>
      <w:pPr>
        <w:pStyle w:val="Para 04"/>
        <w:keepLines w:val="on"/>
      </w:pPr>
      <w:r>
        <w:t>Các công ty phổ thông theo đuổi chiến lược khối lượng lớn có thể tạo ra nhiều doanh thu hơn trên mỗi đô la vốn đầu tư. Để nắm bắt hiệu ứng này, chúng ta giả định rằng Coca-Cola, nếu mất đi thương hiệu, sẽ có biên lợi nhuận và tỷ lệ doanh thu trên vốn của Cott. Trên thực tế, điều này sẽ mang lại cho Coca-Cola mức lợi nhuận trên vốn mà Cott tạo ra (xem Bảng 20.9):</w:t>
      </w:r>
    </w:p>
    <w:p>
      <w:pPr>
        <w:pStyle w:val="Para 25"/>
        <w:keepLines w:val="on"/>
      </w:pPr>
      <w:r>
        <w:t>Bảng 20.9</w:t>
      </w:r>
    </w:p>
    <w:p>
      <w:pPr>
        <w:keepNext/>
        <w:pStyle w:val="Para 24"/>
        <w:keepLines w:val="on"/>
      </w:pPr>
      <w:r>
        <w:t>Giá trị thương hiệu Coca Cola—Sức mạnh định giá &amp; Vòng quay</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Coca-Cola</w:t>
                  </w:r>
                </w:p>
              </w:tc>
              <w:tc>
                <w:tcPr>
                  <w:tcW w:type="auto" w:w="0"/>
                  <w:shd w:val="clear" w:color="auto" w:fill="F0F0F0"/>
                </w:tcPr>
                <w:p>
                  <w:pPr>
                    <w:pStyle w:val="Para 05"/>
                    <w:keepLines w:val="on"/>
                  </w:pPr>
                  <w:r>
                    <w:t>Coca-Cola với ROIC của Cott</w:t>
                  </w:r>
                </w:p>
              </w:tc>
            </w:tr>
            <w:tr>
              <w:tc>
                <w:tcPr>
                  <w:tcW w:type="auto" w:w="0"/>
                  <w:shd w:val="clear" w:color="auto" w:fill="F0F0F0"/>
                </w:tcPr>
                <w:p>
                  <w:pPr>
                    <w:pStyle w:val="Para 02"/>
                    <w:keepLines w:val="on"/>
                  </w:pPr>
                  <w:r>
                    <w:t>Thuế suất hiện tại</w:t>
                  </w:r>
                </w:p>
              </w:tc>
              <w:tc>
                <w:tcPr>
                  <w:tcW w:type="auto" w:w="0"/>
                  <w:shd w:val="clear" w:color="auto" w:fill="F0F0F0"/>
                </w:tcPr>
                <w:p>
                  <w:pPr>
                    <w:pStyle w:val="Para 06"/>
                    <w:keepLines w:val="on"/>
                  </w:pPr>
                  <w:r>
                    <w:t>40,00%</w:t>
                  </w:r>
                </w:p>
              </w:tc>
              <w:tc>
                <w:tcPr>
                  <w:tcW w:type="auto" w:w="0"/>
                  <w:shd w:val="clear" w:color="auto" w:fill="F0F0F0"/>
                </w:tcPr>
                <w:p>
                  <w:pPr>
                    <w:pStyle w:val="Para 06"/>
                    <w:keepLines w:val="on"/>
                  </w:pPr>
                  <w:r>
                    <w:t>40,00%</w:t>
                  </w:r>
                </w:p>
              </w:tc>
            </w:tr>
            <w:tr>
              <w:tc>
                <w:tcPr>
                  <w:tcW w:type="auto" w:w="0"/>
                  <w:shd w:val="clear" w:color="auto" w:fill="F0F0F0"/>
                </w:tcPr>
                <w:p>
                  <w:pPr>
                    <w:pStyle w:val="Para 02"/>
                    <w:keepLines w:val="on"/>
                  </w:pPr>
                  <w:r>
                    <w:t>Doanh thu hiện tại</w:t>
                  </w:r>
                </w:p>
              </w:tc>
              <w:tc>
                <w:tcPr>
                  <w:tcW w:type="auto" w:w="0"/>
                  <w:shd w:val="clear" w:color="auto" w:fill="F0F0F0"/>
                </w:tcPr>
                <w:p>
                  <w:pPr>
                    <w:pStyle w:val="Para 06"/>
                    <w:keepLines w:val="on"/>
                  </w:pPr>
                  <w:r>
                    <w:t>$35.119</w:t>
                  </w:r>
                </w:p>
              </w:tc>
              <w:tc>
                <w:tcPr>
                  <w:tcW w:type="auto" w:w="0"/>
                  <w:shd w:val="clear" w:color="auto" w:fill="F0F0F0"/>
                </w:tcPr>
                <w:p>
                  <w:pPr>
                    <w:pStyle w:val="Para 06"/>
                    <w:keepLines w:val="on"/>
                  </w:pPr>
                  <w:r>
                    <w:t>$35.119</w:t>
                  </w:r>
                </w:p>
              </w:tc>
            </w:tr>
            <w:tr>
              <w:tc>
                <w:tcPr>
                  <w:tcW w:type="auto" w:w="0"/>
                  <w:shd w:val="clear" w:color="auto" w:fill="F0F0F0"/>
                </w:tcPr>
                <w:p>
                  <w:pPr>
                    <w:pStyle w:val="Para 02"/>
                    <w:keepLines w:val="on"/>
                  </w:pPr>
                  <w:r>
                    <w:t>Vốn đầu tư (giá trị sổ sách của nợ và vốn chủ sở hữu)</w:t>
                  </w:r>
                </w:p>
              </w:tc>
              <w:tc>
                <w:tcPr>
                  <w:tcW w:type="auto" w:w="0"/>
                  <w:shd w:val="clear" w:color="auto" w:fill="F0F0F0"/>
                </w:tcPr>
                <w:p>
                  <w:pPr>
                    <w:pStyle w:val="Para 06"/>
                    <w:keepLines w:val="on"/>
                  </w:pPr>
                  <w:r>
                    <w:t>$31,679</w:t>
                  </w:r>
                </w:p>
              </w:tc>
              <w:tc>
                <w:tcPr>
                  <w:tcW w:type="auto" w:w="0"/>
                  <w:shd w:val="clear" w:color="auto" w:fill="F0F0F0"/>
                </w:tcPr>
                <w:p>
                  <w:pPr>
                    <w:pStyle w:val="Para 06"/>
                    <w:keepLines w:val="on"/>
                  </w:pPr>
                  <w:r>
                    <w:t>$31,679</w:t>
                  </w:r>
                </w:p>
              </w:tc>
            </w:tr>
            <w:tr>
              <w:tc>
                <w:tcPr>
                  <w:tcW w:type="auto" w:w="0"/>
                  <w:shd w:val="clear" w:color="auto" w:fill="F0F0F0"/>
                  <w:hMerge w:val="restart"/>
                </w:tcPr>
                <w:p>
                  <w:pPr>
                    <w:pStyle w:val="Para 46"/>
                    <w:keepLines w:val="on"/>
                  </w:pPr>
                  <w:r>
                    <w:t>Giai đoạn tăng trưởng cao</w:t>
                  </w:r>
                </w:p>
              </w:tc>
              <w:tc>
                <w:tcPr>
                  <w:hMerge w:val="continue"/>
                </w:tcPr>
                <w:p/>
              </w:tc>
              <w:tc>
                <w:tcPr>
                  <w:hMerge w:val="continue"/>
                </w:tcPr>
                <w:p/>
              </w:tc>
            </w:tr>
            <w:tr>
              <w:tc>
                <w:tcPr>
                  <w:tcW w:type="auto" w:w="0"/>
                  <w:shd w:val="clear" w:color="auto" w:fill="F0F0F0"/>
                </w:tcPr>
                <w:p>
                  <w:pPr>
                    <w:pStyle w:val="Para 02"/>
                    <w:keepLines w:val="on"/>
                  </w:pPr>
                  <w:r>
                    <w:t>Độ dài giai đoạn tăng trưởng cao (n)</w:t>
                  </w:r>
                </w:p>
              </w:tc>
              <w:tc>
                <w:tcPr>
                  <w:tcW w:type="auto" w:w="0"/>
                  <w:shd w:val="clear" w:color="auto" w:fill="F0F0F0"/>
                </w:tcPr>
                <w:p>
                  <w:pPr>
                    <w:pStyle w:val="Para 06"/>
                    <w:keepLines w:val="on"/>
                  </w:pPr>
                  <w:r>
                    <w:t>10</w:t>
                  </w:r>
                </w:p>
              </w:tc>
              <w:tc>
                <w:tcPr>
                  <w:tcW w:type="auto" w:w="0"/>
                  <w:shd w:val="clear" w:color="auto" w:fill="F0F0F0"/>
                </w:tcPr>
                <w:p>
                  <w:pPr>
                    <w:pStyle w:val="Para 06"/>
                    <w:keepLines w:val="on"/>
                  </w:pPr>
                  <w:r>
                    <w:t>10</w:t>
                  </w:r>
                </w:p>
              </w:tc>
            </w:tr>
            <w:tr>
              <w:tc>
                <w:tcPr>
                  <w:tcW w:type="auto" w:w="0"/>
                  <w:shd w:val="clear" w:color="auto" w:fill="F0F0F0"/>
                </w:tcPr>
                <w:p>
                  <w:pPr>
                    <w:pStyle w:val="Para 02"/>
                    <w:keepLines w:val="on"/>
                  </w:pPr>
                  <w:r>
                    <w:t>Tỷ lệ tái đầu tư</w:t>
                  </w:r>
                </w:p>
              </w:tc>
              <w:tc>
                <w:tcPr>
                  <w:tcW w:type="auto" w:w="0"/>
                  <w:shd w:val="clear" w:color="auto" w:fill="F0F0F0"/>
                </w:tcPr>
                <w:p>
                  <w:pPr>
                    <w:pStyle w:val="Para 06"/>
                    <w:keepLines w:val="on"/>
                  </w:pPr>
                  <w:r>
                    <w:t>60.00%</w:t>
                  </w:r>
                </w:p>
              </w:tc>
              <w:tc>
                <w:tcPr>
                  <w:tcW w:type="auto" w:w="0"/>
                  <w:shd w:val="clear" w:color="auto" w:fill="F0F0F0"/>
                </w:tcPr>
                <w:p>
                  <w:pPr>
                    <w:pStyle w:val="Para 06"/>
                    <w:keepLines w:val="on"/>
                  </w:pPr>
                  <w:r>
                    <w:t>60%</w:t>
                  </w:r>
                </w:p>
              </w:tc>
            </w:tr>
            <w:tr>
              <w:tc>
                <w:tcPr>
                  <w:tcW w:type="auto" w:w="0"/>
                  <w:shd w:val="clear" w:color="auto" w:fill="F0F0F0"/>
                </w:tcPr>
                <w:p>
                  <w:pPr>
                    <w:pStyle w:val="Para 02"/>
                    <w:keepLines w:val="on"/>
                  </w:pPr>
                  <w:r>
                    <w:t>Biên lợi nhuận hoạt động sau thuế</w:t>
                  </w:r>
                </w:p>
              </w:tc>
              <w:tc>
                <w:tcPr>
                  <w:tcW w:type="auto" w:w="0"/>
                  <w:shd w:val="clear" w:color="auto" w:fill="F0F0F0"/>
                </w:tcPr>
                <w:p>
                  <w:pPr>
                    <w:pStyle w:val="Para 06"/>
                    <w:keepLines w:val="on"/>
                  </w:pPr>
                  <w:r>
                    <w:t>14.43%</w:t>
                  </w:r>
                </w:p>
              </w:tc>
              <w:tc>
                <w:tcPr>
                  <w:tcW w:type="auto" w:w="0"/>
                  <w:shd w:val="clear" w:color="auto" w:fill="F0F0F0"/>
                </w:tcPr>
                <w:p>
                  <w:pPr>
                    <w:pStyle w:val="Para 06"/>
                    <w:keepLines w:val="on"/>
                  </w:pPr>
                  <w:r>
                    <w:t>3.29%</w:t>
                  </w:r>
                </w:p>
              </w:tc>
            </w:tr>
            <w:tr>
              <w:tc>
                <w:tcPr>
                  <w:tcW w:type="auto" w:w="0"/>
                  <w:shd w:val="clear" w:color="auto" w:fill="F0F0F0"/>
                </w:tcPr>
                <w:p>
                  <w:pPr>
                    <w:pStyle w:val="Para 02"/>
                    <w:keepLines w:val="on"/>
                  </w:pPr>
                  <w:r>
                    <w:t>Doanh số/Vốn đầu tư</w:t>
                  </w:r>
                </w:p>
              </w:tc>
              <w:tc>
                <w:tcPr>
                  <w:tcW w:type="auto" w:w="0"/>
                  <w:shd w:val="clear" w:color="auto" w:fill="F0F0F0"/>
                </w:tcPr>
                <w:p>
                  <w:pPr>
                    <w:pStyle w:val="Para 06"/>
                    <w:keepLines w:val="on"/>
                  </w:pPr>
                  <w:r>
                    <w:t>1.11</w:t>
                  </w:r>
                </w:p>
              </w:tc>
              <w:tc>
                <w:tcPr>
                  <w:tcW w:type="auto" w:w="0"/>
                  <w:shd w:val="clear" w:color="auto" w:fill="F0F0F0"/>
                </w:tcPr>
                <w:p>
                  <w:pPr>
                    <w:pStyle w:val="Para 06"/>
                    <w:keepLines w:val="on"/>
                  </w:pPr>
                  <w:r>
                    <w:t>2.88</w:t>
                  </w:r>
                </w:p>
              </w:tc>
            </w:tr>
            <w:tr>
              <w:tc>
                <w:tcPr>
                  <w:tcW w:type="auto" w:w="0"/>
                  <w:shd w:val="clear" w:color="auto" w:fill="F0F0F0"/>
                </w:tcPr>
                <w:p>
                  <w:pPr>
                    <w:pStyle w:val="Para 02"/>
                    <w:keepLines w:val="on"/>
                  </w:pPr>
                  <w:r>
                    <w:t>Lợi nhuận trên vốn</w:t>
                  </w:r>
                </w:p>
              </w:tc>
              <w:tc>
                <w:tcPr>
                  <w:tcW w:type="auto" w:w="0"/>
                  <w:shd w:val="clear" w:color="auto" w:fill="F0F0F0"/>
                </w:tcPr>
                <w:p>
                  <w:pPr>
                    <w:pStyle w:val="Para 06"/>
                    <w:keepLines w:val="on"/>
                  </w:pPr>
                  <w:r>
                    <w:t>16.00%</w:t>
                  </w:r>
                </w:p>
              </w:tc>
              <w:tc>
                <w:tcPr>
                  <w:tcW w:type="auto" w:w="0"/>
                  <w:shd w:val="clear" w:color="auto" w:fill="F0F0F0"/>
                </w:tcPr>
                <w:p>
                  <w:pPr>
                    <w:pStyle w:val="Para 06"/>
                    <w:keepLines w:val="on"/>
                  </w:pPr>
                  <w:r>
                    <w:t>9.49%</w:t>
                  </w:r>
                </w:p>
              </w:tc>
            </w:tr>
            <w:tr>
              <w:tc>
                <w:tcPr>
                  <w:tcW w:type="auto" w:w="0"/>
                  <w:shd w:val="clear" w:color="auto" w:fill="F0F0F0"/>
                </w:tcPr>
                <w:p>
                  <w:pPr>
                    <w:pStyle w:val="Para 02"/>
                    <w:keepLines w:val="on"/>
                  </w:pPr>
                  <w:r>
                    <w:t>Tốc độ tăng trưởng trong giai đoạn (g)</w:t>
                  </w:r>
                </w:p>
              </w:tc>
              <w:tc>
                <w:tcPr>
                  <w:tcW w:type="auto" w:w="0"/>
                  <w:shd w:val="clear" w:color="auto" w:fill="F0F0F0"/>
                </w:tcPr>
                <w:p>
                  <w:pPr>
                    <w:pStyle w:val="Para 06"/>
                    <w:keepLines w:val="on"/>
                  </w:pPr>
                  <w:r>
                    <w:t>9.60%</w:t>
                  </w:r>
                </w:p>
              </w:tc>
              <w:tc>
                <w:tcPr>
                  <w:tcW w:type="auto" w:w="0"/>
                  <w:shd w:val="clear" w:color="auto" w:fill="F0F0F0"/>
                </w:tcPr>
                <w:p>
                  <w:pPr>
                    <w:pStyle w:val="Para 06"/>
                    <w:keepLines w:val="on"/>
                  </w:pPr>
                  <w:r>
                    <w:t>5.69%</w:t>
                  </w:r>
                </w:p>
              </w:tc>
            </w:tr>
            <w:tr>
              <w:tc>
                <w:tcPr>
                  <w:tcW w:type="auto" w:w="0"/>
                  <w:shd w:val="clear" w:color="auto" w:fill="F0F0F0"/>
                </w:tcPr>
                <w:p>
                  <w:pPr>
                    <w:pStyle w:val="Para 02"/>
                    <w:keepLines w:val="on"/>
                  </w:pPr>
                  <w:r>
                    <w:t>Chi phí vốn trong giai đoạn</w:t>
                  </w:r>
                </w:p>
              </w:tc>
              <w:tc>
                <w:tcPr>
                  <w:tcW w:type="auto" w:w="0"/>
                  <w:shd w:val="clear" w:color="auto" w:fill="F0F0F0"/>
                </w:tcPr>
                <w:p>
                  <w:pPr>
                    <w:pStyle w:val="Para 06"/>
                    <w:keepLines w:val="on"/>
                  </w:pPr>
                  <w:r>
                    <w:t>8.03%</w:t>
                  </w:r>
                </w:p>
              </w:tc>
              <w:tc>
                <w:tcPr>
                  <w:tcW w:type="auto" w:w="0"/>
                  <w:shd w:val="clear" w:color="auto" w:fill="F0F0F0"/>
                </w:tcPr>
                <w:p>
                  <w:pPr>
                    <w:pStyle w:val="Para 06"/>
                    <w:keepLines w:val="on"/>
                  </w:pPr>
                  <w:r>
                    <w:t>8.03%</w:t>
                  </w:r>
                </w:p>
              </w:tc>
            </w:tr>
            <w:tr>
              <w:tc>
                <w:tcPr>
                  <w:tcW w:type="auto" w:w="0"/>
                  <w:shd w:val="clear" w:color="auto" w:fill="F0F0F0"/>
                  <w:hMerge w:val="restart"/>
                </w:tcPr>
                <w:p>
                  <w:pPr>
                    <w:pStyle w:val="Para 46"/>
                    <w:keepLines w:val="on"/>
                  </w:pPr>
                  <w:r>
                    <w:t>Giai đoạn tăng trưởng ổn định</w:t>
                  </w:r>
                </w:p>
              </w:tc>
              <w:tc>
                <w:tcPr>
                  <w:hMerge w:val="continue"/>
                </w:tcPr>
                <w:p/>
              </w:tc>
              <w:tc>
                <w:tcPr>
                  <w:hMerge w:val="continue"/>
                </w:tcPr>
                <w:p/>
              </w:tc>
            </w:tr>
            <w:tr>
              <w:tc>
                <w:tcPr>
                  <w:tcW w:type="auto" w:w="0"/>
                  <w:shd w:val="clear" w:color="auto" w:fill="F0F0F0"/>
                </w:tcPr>
                <w:p>
                  <w:pPr>
                    <w:pStyle w:val="Para 02"/>
                    <w:keepLines w:val="on"/>
                  </w:pPr>
                  <w:r>
                    <w:t>Tốc độ tăng trưởng ở trạng thái ổn định</w:t>
                  </w:r>
                </w:p>
              </w:tc>
              <w:tc>
                <w:tcPr>
                  <w:tcW w:type="auto" w:w="0"/>
                  <w:shd w:val="clear" w:color="auto" w:fill="F0F0F0"/>
                </w:tcPr>
                <w:p>
                  <w:pPr>
                    <w:pStyle w:val="Para 06"/>
                    <w:keepLines w:val="on"/>
                  </w:pPr>
                  <w:r>
                    <w:t>3,50%</w:t>
                  </w:r>
                </w:p>
              </w:tc>
              <w:tc>
                <w:tcPr>
                  <w:tcW w:type="auto" w:w="0"/>
                  <w:shd w:val="clear" w:color="auto" w:fill="F0F0F0"/>
                </w:tcPr>
                <w:p>
                  <w:pPr>
                    <w:pStyle w:val="Para 06"/>
                    <w:keepLines w:val="on"/>
                  </w:pPr>
                  <w:r>
                    <w:t>3,50%</w:t>
                  </w:r>
                </w:p>
              </w:tc>
            </w:tr>
            <w:tr>
              <w:tc>
                <w:tcPr>
                  <w:tcW w:type="auto" w:w="0"/>
                  <w:shd w:val="clear" w:color="auto" w:fill="F0F0F0"/>
                </w:tcPr>
                <w:p>
                  <w:pPr>
                    <w:pStyle w:val="Para 02"/>
                    <w:keepLines w:val="on"/>
                  </w:pPr>
                  <w:r>
                    <w:t>Tỷ suất sinh lời trên vốn ở trạng thái ổn định</w:t>
                  </w:r>
                </w:p>
              </w:tc>
              <w:tc>
                <w:tcPr>
                  <w:tcW w:type="auto" w:w="0"/>
                  <w:shd w:val="clear" w:color="auto" w:fill="F0F0F0"/>
                </w:tcPr>
                <w:p>
                  <w:pPr>
                    <w:pStyle w:val="Para 06"/>
                    <w:keepLines w:val="on"/>
                  </w:pPr>
                  <w:r>
                    <w:t>12,00%</w:t>
                  </w:r>
                </w:p>
              </w:tc>
              <w:tc>
                <w:tcPr>
                  <w:tcW w:type="auto" w:w="0"/>
                  <w:shd w:val="clear" w:color="auto" w:fill="F0F0F0"/>
                </w:tcPr>
                <w:p>
                  <w:pPr>
                    <w:pStyle w:val="Para 06"/>
                    <w:keepLines w:val="on"/>
                  </w:pPr>
                  <w:r>
                    <w:t>7,74%</w:t>
                  </w:r>
                </w:p>
              </w:tc>
            </w:tr>
            <w:tr>
              <w:tc>
                <w:tcPr>
                  <w:tcW w:type="auto" w:w="0"/>
                  <w:shd w:val="clear" w:color="auto" w:fill="F0F0F0"/>
                </w:tcPr>
                <w:p>
                  <w:pPr>
                    <w:pStyle w:val="Para 02"/>
                    <w:keepLines w:val="on"/>
                  </w:pPr>
                  <w:r>
                    <w:t>Tỷ lệ tái đầu tư trong giai đoạn tăng trưởng ổn định</w:t>
                  </w:r>
                </w:p>
              </w:tc>
              <w:tc>
                <w:tcPr>
                  <w:tcW w:type="auto" w:w="0"/>
                  <w:shd w:val="clear" w:color="auto" w:fill="F0F0F0"/>
                </w:tcPr>
                <w:p>
                  <w:pPr>
                    <w:pStyle w:val="Para 06"/>
                    <w:keepLines w:val="on"/>
                  </w:pPr>
                  <w:r>
                    <w:t>29,17%</w:t>
                  </w:r>
                </w:p>
              </w:tc>
              <w:tc>
                <w:tcPr>
                  <w:tcW w:type="auto" w:w="0"/>
                  <w:shd w:val="clear" w:color="auto" w:fill="F0F0F0"/>
                </w:tcPr>
                <w:p>
                  <w:pPr>
                    <w:pStyle w:val="Para 06"/>
                    <w:keepLines w:val="on"/>
                  </w:pPr>
                  <w:r>
                    <w:t>45,22%</w:t>
                  </w:r>
                </w:p>
              </w:tc>
            </w:tr>
            <w:tr>
              <w:tc>
                <w:tcPr>
                  <w:tcW w:type="auto" w:w="0"/>
                  <w:shd w:val="clear" w:color="auto" w:fill="F0F0F0"/>
                </w:tcPr>
                <w:p>
                  <w:pPr>
                    <w:pStyle w:val="Para 02"/>
                    <w:keepLines w:val="on"/>
                  </w:pPr>
                  <w:r>
                    <w:t>Chi phí vốn ở trạng thái ổn định</w:t>
                  </w:r>
                </w:p>
              </w:tc>
              <w:tc>
                <w:tcPr>
                  <w:tcW w:type="auto" w:w="0"/>
                  <w:shd w:val="clear" w:color="auto" w:fill="F0F0F0"/>
                </w:tcPr>
                <w:p>
                  <w:pPr>
                    <w:pStyle w:val="Para 06"/>
                    <w:keepLines w:val="on"/>
                  </w:pPr>
                  <w:r>
                    <w:t>7,74%</w:t>
                  </w:r>
                </w:p>
              </w:tc>
              <w:tc>
                <w:tcPr>
                  <w:tcW w:type="auto" w:w="0"/>
                  <w:shd w:val="clear" w:color="auto" w:fill="F0F0F0"/>
                </w:tcPr>
                <w:p>
                  <w:pPr>
                    <w:pStyle w:val="Para 06"/>
                    <w:keepLines w:val="on"/>
                  </w:pPr>
                  <w:r>
                    <w:t>7,74%</w:t>
                  </w:r>
                </w:p>
              </w:tc>
            </w:tr>
            <w:tr>
              <w:tc>
                <w:tcPr>
                  <w:tcW w:type="auto" w:w="0"/>
                  <w:shd w:val="clear" w:color="auto" w:fill="F0F0F0"/>
                </w:tcPr>
                <w:p>
                  <w:pPr>
                    <w:pStyle w:val="Para 02"/>
                    <w:keepLines w:val="on"/>
                  </w:pPr>
                  <w:r>
                    <w:t>Chi phí nợ sau thuế</w:t>
                  </w:r>
                </w:p>
              </w:tc>
              <w:tc>
                <w:tcPr>
                  <w:tcW w:type="auto" w:w="0"/>
                  <w:shd w:val="clear" w:color="auto" w:fill="F0F0F0"/>
                </w:tcPr>
                <w:p>
                  <w:pPr>
                    <w:pStyle w:val="Para 06"/>
                    <w:keepLines w:val="on"/>
                  </w:pPr>
                  <w:r>
                    <w:t>2,70%</w:t>
                  </w:r>
                </w:p>
              </w:tc>
              <w:tc>
                <w:tcPr>
                  <w:tcW w:type="auto" w:w="0"/>
                  <w:shd w:val="clear" w:color="auto" w:fill="F0F0F0"/>
                </w:tcPr>
                <w:p>
                  <w:pPr>
                    <w:pStyle w:val="Para 06"/>
                    <w:keepLines w:val="on"/>
                  </w:pPr>
                  <w:r>
                    <w:t>2,70%</w:t>
                  </w:r>
                </w:p>
              </w:tc>
            </w:tr>
            <w:tr>
              <w:tc>
                <w:tcPr>
                  <w:tcW w:type="auto" w:w="0"/>
                  <w:shd w:val="clear" w:color="auto" w:fill="F0F0F0"/>
                </w:tcPr>
                <w:p>
                  <w:pPr>
                    <w:pStyle w:val="Para 02"/>
                    <w:keepLines w:val="on"/>
                  </w:pPr>
                  <w:r>
                    <w:t>Tỷ lệ nợ D/(D + E)</w:t>
                  </w:r>
                </w:p>
              </w:tc>
              <w:tc>
                <w:tcPr>
                  <w:tcW w:type="auto" w:w="0"/>
                  <w:shd w:val="clear" w:color="auto" w:fill="F0F0F0"/>
                </w:tcPr>
                <w:p>
                  <w:pPr>
                    <w:pStyle w:val="Para 06"/>
                    <w:keepLines w:val="on"/>
                  </w:pPr>
                  <w:r>
                    <w:t>20,00%</w:t>
                  </w:r>
                </w:p>
              </w:tc>
              <w:tc>
                <w:tcPr>
                  <w:tcW w:type="auto" w:w="0"/>
                  <w:shd w:val="clear" w:color="auto" w:fill="F0F0F0"/>
                </w:tcPr>
                <w:p>
                  <w:pPr>
                    <w:pStyle w:val="Para 06"/>
                    <w:keepLines w:val="on"/>
                  </w:pPr>
                  <w:r>
                    <w:t>20,00%</w:t>
                  </w:r>
                </w:p>
              </w:tc>
            </w:tr>
            <w:tr>
              <w:tc>
                <w:tcPr>
                  <w:tcW w:type="auto" w:w="0"/>
                  <w:shd w:val="clear" w:color="auto" w:fill="F0F0F0"/>
                </w:tcPr>
                <w:p>
                  <w:pPr>
                    <w:pStyle w:val="Para 02"/>
                    <w:keepLines w:val="on"/>
                  </w:pPr>
                  <w:r>
                    <w:t>EV/doanh thu</w:t>
                  </w:r>
                </w:p>
              </w:tc>
              <w:tc>
                <w:tcPr>
                  <w:tcW w:type="auto" w:w="0"/>
                  <w:shd w:val="clear" w:color="auto" w:fill="F0F0F0"/>
                </w:tcPr>
                <w:p>
                  <w:pPr>
                    <w:pStyle w:val="Para 06"/>
                    <w:keepLines w:val="on"/>
                  </w:pPr>
                  <w:r>
                    <w:t>3,51</w:t>
                  </w:r>
                </w:p>
              </w:tc>
              <w:tc>
                <w:tcPr>
                  <w:tcW w:type="auto" w:w="0"/>
                  <w:shd w:val="clear" w:color="auto" w:fill="F0F0F0"/>
                </w:tcPr>
                <w:p>
                  <w:pPr>
                    <w:pStyle w:val="Para 06"/>
                    <w:keepLines w:val="on"/>
                  </w:pPr>
                  <w:r>
                    <w:t>0,47</w:t>
                  </w:r>
                </w:p>
              </w:tc>
            </w:tr>
            <w:tr>
              <w:tc>
                <w:tcPr>
                  <w:tcW w:type="auto" w:w="0"/>
                  <w:shd w:val="clear" w:color="auto" w:fill="F0F0F0"/>
                </w:tcPr>
                <w:p>
                  <w:pPr>
                    <w:pStyle w:val="Para 02"/>
                    <w:keepLines w:val="on"/>
                  </w:pPr>
                  <w:r>
                    <w:t>Giá trị doanh nghiệp</w:t>
                  </w:r>
                </w:p>
              </w:tc>
              <w:tc>
                <w:tcPr>
                  <w:tcW w:type="auto" w:w="0"/>
                  <w:shd w:val="clear" w:color="auto" w:fill="F0F0F0"/>
                </w:tcPr>
                <w:p>
                  <w:pPr>
                    <w:pStyle w:val="Para 06"/>
                    <w:keepLines w:val="on"/>
                  </w:pPr>
                  <w:r>
                    <w:t>$123.199</w:t>
                  </w:r>
                </w:p>
              </w:tc>
              <w:tc>
                <w:tcPr>
                  <w:tcW w:type="auto" w:w="0"/>
                  <w:shd w:val="clear" w:color="auto" w:fill="F0F0F0"/>
                </w:tcPr>
                <w:p>
                  <w:pPr>
                    <w:pStyle w:val="Para 06"/>
                    <w:keepLines w:val="on"/>
                  </w:pPr>
                  <w:r>
                    <w:t>$16.506</w:t>
                  </w:r>
                </w:p>
              </w:tc>
            </w:tr>
          </w:tbl>
          <w:p/>
        </w:tc>
      </w:tr>
    </w:tbl>
    <w:p>
      <w:pPr>
        <w:pStyle w:val="Para 04"/>
        <w:keepLines w:val="on"/>
      </w:pPr>
      <w:r>
        <w:t>Có sự sụt giảm giá trị, nhưng mức giảm không dốc bằng phương án 1, vì lợi nhuận trên vốn, ngay cả trong kịch bản không có tên thương hiệu, vẫn là 9,49%, cao hơn chi phí vốn trong giai đoạn tăng trưởng cao. Với tỷ lệ giá trị doanh nghiệp trên doanh thu là 0,47, giá trị của tên thương hiệu vẫn đáng kể ở mức 106,69 tỷ USD:</w:t>
      </w:r>
    </w:p>
    <w:p>
      <w:bookmarkStart w:id="4169" w:name="Value_of_brand_name__123_199__16"/>
      <w:pPr>
        <w:keepNext/>
        <w:pStyle w:val="Para 07"/>
        <w:keepLines w:val="on"/>
      </w:pPr>
      <w:r>
        <w:t>Giá trị tên thương hiệu = $123.199 - $16.506 = $106.693 triệu</w:t>
      </w:r>
      <w:bookmarkEnd w:id="4169"/>
    </w:p>
    <w:p>
      <w:bookmarkStart w:id="4170" w:name="Option_3__All_Excess_Returns_Ear_1"/>
      <w:bookmarkStart w:id="4171" w:name="Option_3__All_Excess_Returns_Ear"/>
      <w:pPr>
        <w:keepNext/>
        <w:pStyle w:val="Para 36"/>
        <w:keepLines w:val="on"/>
      </w:pPr>
      <w:r>
        <w:t>Phương án 3: Toàn bộ lợi nhuận vượt trội đều nhờ vào tên thương hiệu</w:t>
      </w:r>
      <w:bookmarkEnd w:id="4170"/>
      <w:bookmarkEnd w:id="4171"/>
    </w:p>
    <w:p>
      <w:pPr>
        <w:pStyle w:val="Para 04"/>
        <w:keepLines w:val="on"/>
      </w:pPr>
      <w:r>
        <w:t>Hai phương án đầu tiên giả định sự tồn tại của một đối thủ cạnh tranh phổ thông có báo cáo tài chính có thể tiếp cận được. Trong nhiều trường hợp, không có lựa chọn thay thế thực sự phổ thông nào, hoặc ngay cả khi có tồn tại, nó cũng không được công khai. Nếu đúng như vậy, việc định giá một tên thương hiệu trở nên khó khăn hơn. Một lựa chọn thay thế là giả định rằng tên thương hiệu là lợi thế cạnh tranh duy nhất và toàn bộ lợi nhuận vượt trội (lợi nhuận vượt trên chi phí vốn) đều có thể quy cho tên thương hiệu. Sử dụng cách tiếp cận đó trong Bảng 20.10 cho Coca-Cola, chúng ta có:</w:t>
      </w:r>
    </w:p>
    <w:p>
      <w:pPr>
        <w:pStyle w:val="Para 25"/>
        <w:keepLines w:val="on"/>
      </w:pPr>
      <w:r>
        <w:t>Bảng 20.10</w:t>
      </w:r>
    </w:p>
    <w:p>
      <w:pPr>
        <w:keepNext/>
        <w:pStyle w:val="Para 24"/>
        <w:keepLines w:val="on"/>
      </w:pPr>
      <w:r>
        <w:t>Giá trị tên thương hiệu Coca-Cola—Toàn bộ lợi nhuận vượt trội</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Coca-Cola</w:t>
                  </w:r>
                </w:p>
              </w:tc>
              <w:tc>
                <w:tcPr>
                  <w:tcW w:type="auto" w:w="0"/>
                  <w:shd w:val="clear" w:color="auto" w:fill="F0F0F0"/>
                </w:tcPr>
                <w:p>
                  <w:pPr>
                    <w:pStyle w:val="Para 05"/>
                    <w:keepLines w:val="on"/>
                  </w:pPr>
                  <w:r>
                    <w:t>Coca-Cola—Không có lợi nhuận vượt trội</w:t>
                  </w:r>
                </w:p>
              </w:tc>
            </w:tr>
            <w:tr>
              <w:tc>
                <w:tcPr>
                  <w:tcW w:type="auto" w:w="0"/>
                  <w:shd w:val="clear" w:color="auto" w:fill="F0F0F0"/>
                </w:tcPr>
                <w:p>
                  <w:pPr>
                    <w:pStyle w:val="Para 02"/>
                    <w:keepLines w:val="on"/>
                  </w:pPr>
                  <w:r>
                    <w:t>Thuế suất hiện hành</w:t>
                  </w:r>
                </w:p>
              </w:tc>
              <w:tc>
                <w:tcPr>
                  <w:tcW w:type="auto" w:w="0"/>
                  <w:shd w:val="clear" w:color="auto" w:fill="F0F0F0"/>
                </w:tcPr>
                <w:p>
                  <w:pPr>
                    <w:pStyle w:val="Para 06"/>
                    <w:keepLines w:val="on"/>
                  </w:pPr>
                  <w:r>
                    <w:t>40,00%</w:t>
                  </w:r>
                </w:p>
              </w:tc>
              <w:tc>
                <w:tcPr>
                  <w:tcW w:type="auto" w:w="0"/>
                  <w:shd w:val="clear" w:color="auto" w:fill="F0F0F0"/>
                </w:tcPr>
                <w:p>
                  <w:pPr>
                    <w:pStyle w:val="Para 06"/>
                    <w:keepLines w:val="on"/>
                  </w:pPr>
                  <w:r>
                    <w:t>40,00%</w:t>
                  </w:r>
                </w:p>
              </w:tc>
            </w:tr>
            <w:tr>
              <w:tc>
                <w:tcPr>
                  <w:tcW w:type="auto" w:w="0"/>
                  <w:shd w:val="clear" w:color="auto" w:fill="F0F0F0"/>
                </w:tcPr>
                <w:p>
                  <w:pPr>
                    <w:pStyle w:val="Para 02"/>
                    <w:keepLines w:val="on"/>
                  </w:pPr>
                  <w:r>
                    <w:t>Doanh thu hiện tại</w:t>
                  </w:r>
                </w:p>
              </w:tc>
              <w:tc>
                <w:tcPr>
                  <w:tcW w:type="auto" w:w="0"/>
                  <w:shd w:val="clear" w:color="auto" w:fill="F0F0F0"/>
                </w:tcPr>
                <w:p>
                  <w:pPr>
                    <w:pStyle w:val="Para 06"/>
                    <w:keepLines w:val="on"/>
                  </w:pPr>
                  <w:r>
                    <w:t>$35.119,00</w:t>
                  </w:r>
                </w:p>
              </w:tc>
              <w:tc>
                <w:tcPr>
                  <w:tcW w:type="auto" w:w="0"/>
                  <w:shd w:val="clear" w:color="auto" w:fill="F0F0F0"/>
                </w:tcPr>
                <w:p>
                  <w:pPr>
                    <w:pStyle w:val="Para 06"/>
                    <w:keepLines w:val="on"/>
                  </w:pPr>
                  <w:r>
                    <w:t>$35.119,00</w:t>
                  </w:r>
                </w:p>
              </w:tc>
            </w:tr>
            <w:tr>
              <w:tc>
                <w:tcPr>
                  <w:tcW w:type="auto" w:w="0"/>
                  <w:shd w:val="clear" w:color="auto" w:fill="F0F0F0"/>
                </w:tcPr>
                <w:p>
                  <w:pPr>
                    <w:pStyle w:val="Para 02"/>
                    <w:keepLines w:val="on"/>
                  </w:pPr>
                  <w:r>
                    <w:t>Vốn đầu tư</w:t>
                  </w:r>
                </w:p>
              </w:tc>
              <w:tc>
                <w:tcPr>
                  <w:tcW w:type="auto" w:w="0"/>
                  <w:shd w:val="clear" w:color="auto" w:fill="F0F0F0"/>
                </w:tcPr>
                <w:p>
                  <w:pPr>
                    <w:pStyle w:val="Para 06"/>
                    <w:keepLines w:val="on"/>
                  </w:pPr>
                  <w:r>
                    <w:t>$31.679,00</w:t>
                  </w:r>
                </w:p>
              </w:tc>
              <w:tc>
                <w:tcPr>
                  <w:tcW w:type="auto" w:w="0"/>
                  <w:shd w:val="clear" w:color="auto" w:fill="F0F0F0"/>
                </w:tcPr>
                <w:p>
                  <w:pPr>
                    <w:pStyle w:val="Para 06"/>
                    <w:keepLines w:val="on"/>
                  </w:pPr>
                  <w:r>
                    <w:t>$31.679,00</w:t>
                  </w:r>
                </w:p>
              </w:tc>
            </w:tr>
            <w:tr>
              <w:tc>
                <w:tcPr>
                  <w:tcW w:type="auto" w:w="0"/>
                  <w:shd w:val="clear" w:color="auto" w:fill="F0F0F0"/>
                  <w:hMerge w:val="restart"/>
                </w:tcPr>
                <w:p>
                  <w:pPr>
                    <w:pStyle w:val="Para 46"/>
                    <w:keepLines w:val="on"/>
                  </w:pPr>
                  <w:r>
                    <w:t>Giai đoạn tăng trưởng cao</w:t>
                  </w:r>
                </w:p>
              </w:tc>
              <w:tc>
                <w:tcPr>
                  <w:hMerge w:val="continue"/>
                </w:tcPr>
                <w:p/>
              </w:tc>
              <w:tc>
                <w:tcPr>
                  <w:hMerge w:val="continue"/>
                </w:tcPr>
                <w:p/>
              </w:tc>
            </w:tr>
            <w:tr>
              <w:tc>
                <w:tcPr>
                  <w:tcW w:type="auto" w:w="0"/>
                  <w:shd w:val="clear" w:color="auto" w:fill="F0F0F0"/>
                </w:tcPr>
                <w:p>
                  <w:pPr>
                    <w:pStyle w:val="Para 02"/>
                    <w:keepLines w:val="on"/>
                  </w:pPr>
                  <w:r>
                    <w:t>Độ dài giai đoạn tăng trưởng cao (n)</w:t>
                  </w:r>
                </w:p>
              </w:tc>
              <w:tc>
                <w:tcPr>
                  <w:tcW w:type="auto" w:w="0"/>
                  <w:shd w:val="clear" w:color="auto" w:fill="F0F0F0"/>
                </w:tcPr>
                <w:p>
                  <w:pPr>
                    <w:pStyle w:val="Para 06"/>
                    <w:keepLines w:val="on"/>
                  </w:pPr>
                  <w:r>
                    <w:t>10</w:t>
                  </w:r>
                </w:p>
              </w:tc>
              <w:tc>
                <w:tcPr>
                  <w:tcW w:type="auto" w:w="0"/>
                  <w:shd w:val="clear" w:color="auto" w:fill="F0F0F0"/>
                </w:tcPr>
                <w:p>
                  <w:pPr>
                    <w:pStyle w:val="Para 06"/>
                    <w:keepLines w:val="on"/>
                  </w:pPr>
                  <w:r>
                    <w:t>10</w:t>
                  </w:r>
                </w:p>
              </w:tc>
            </w:tr>
            <w:tr>
              <w:tc>
                <w:tcPr>
                  <w:tcW w:type="auto" w:w="0"/>
                  <w:shd w:val="clear" w:color="auto" w:fill="F0F0F0"/>
                </w:tcPr>
                <w:p>
                  <w:pPr>
                    <w:pStyle w:val="Para 02"/>
                    <w:keepLines w:val="on"/>
                  </w:pPr>
                  <w:r>
                    <w:t>Tỷ lệ tái đầu tư</w:t>
                  </w:r>
                </w:p>
              </w:tc>
              <w:tc>
                <w:tcPr>
                  <w:tcW w:type="auto" w:w="0"/>
                  <w:shd w:val="clear" w:color="auto" w:fill="F0F0F0"/>
                </w:tcPr>
                <w:p>
                  <w:pPr>
                    <w:pStyle w:val="Para 06"/>
                    <w:keepLines w:val="on"/>
                  </w:pPr>
                  <w:r>
                    <w:t>60%</w:t>
                  </w:r>
                </w:p>
              </w:tc>
              <w:tc>
                <w:tcPr>
                  <w:tcW w:type="auto" w:w="0"/>
                  <w:shd w:val="clear" w:color="auto" w:fill="F0F0F0"/>
                </w:tcPr>
                <w:p>
                  <w:pPr>
                    <w:pStyle w:val="Para 06"/>
                    <w:keepLines w:val="on"/>
                  </w:pPr>
                  <w:r>
                    <w:t>60%</w:t>
                  </w:r>
                </w:p>
              </w:tc>
            </w:tr>
            <w:tr>
              <w:tc>
                <w:tcPr>
                  <w:tcW w:type="auto" w:w="0"/>
                  <w:shd w:val="clear" w:color="auto" w:fill="F0F0F0"/>
                </w:tcPr>
                <w:p>
                  <w:pPr>
                    <w:pStyle w:val="Para 02"/>
                    <w:keepLines w:val="on"/>
                  </w:pPr>
                  <w:r>
                    <w:t>Lợi nhuận trên vốn</w:t>
                  </w:r>
                </w:p>
              </w:tc>
              <w:tc>
                <w:tcPr>
                  <w:tcW w:type="auto" w:w="0"/>
                  <w:shd w:val="clear" w:color="auto" w:fill="F0F0F0"/>
                </w:tcPr>
                <w:p>
                  <w:pPr>
                    <w:pStyle w:val="Para 06"/>
                    <w:keepLines w:val="on"/>
                  </w:pPr>
                  <w:r>
                    <w:t>16,00%</w:t>
                  </w:r>
                </w:p>
              </w:tc>
              <w:tc>
                <w:tcPr>
                  <w:tcW w:type="auto" w:w="0"/>
                  <w:shd w:val="clear" w:color="auto" w:fill="F0F0F0"/>
                </w:tcPr>
                <w:p>
                  <w:pPr>
                    <w:pStyle w:val="Para 06"/>
                    <w:keepLines w:val="on"/>
                  </w:pPr>
                  <w:r>
                    <w:t>8,03%</w:t>
                  </w:r>
                </w:p>
              </w:tc>
            </w:tr>
            <w:tr>
              <w:tc>
                <w:tcPr>
                  <w:tcW w:type="auto" w:w="0"/>
                  <w:shd w:val="clear" w:color="auto" w:fill="F0F0F0"/>
                </w:tcPr>
                <w:p>
                  <w:pPr>
                    <w:pStyle w:val="Para 02"/>
                    <w:keepLines w:val="on"/>
                  </w:pPr>
                  <w:r>
                    <w:t>Tốc độ tăng trưởng trong kỳ (g)</w:t>
                  </w:r>
                </w:p>
              </w:tc>
              <w:tc>
                <w:tcPr>
                  <w:tcW w:type="auto" w:w="0"/>
                  <w:shd w:val="clear" w:color="auto" w:fill="F0F0F0"/>
                </w:tcPr>
                <w:p>
                  <w:pPr>
                    <w:pStyle w:val="Para 06"/>
                    <w:keepLines w:val="on"/>
                  </w:pPr>
                  <w:r>
                    <w:t>9,60%</w:t>
                  </w:r>
                </w:p>
              </w:tc>
              <w:tc>
                <w:tcPr>
                  <w:tcW w:type="auto" w:w="0"/>
                  <w:shd w:val="clear" w:color="auto" w:fill="F0F0F0"/>
                </w:tcPr>
                <w:p>
                  <w:pPr>
                    <w:pStyle w:val="Para 06"/>
                    <w:keepLines w:val="on"/>
                  </w:pPr>
                  <w:r>
                    <w:t>4,82%</w:t>
                  </w:r>
                </w:p>
              </w:tc>
            </w:tr>
            <w:tr>
              <w:tc>
                <w:tcPr>
                  <w:tcW w:type="auto" w:w="0"/>
                  <w:shd w:val="clear" w:color="auto" w:fill="F0F0F0"/>
                </w:tcPr>
                <w:p>
                  <w:pPr>
                    <w:pStyle w:val="Para 02"/>
                    <w:keepLines w:val="on"/>
                  </w:pPr>
                  <w:r>
                    <w:t>Chi phí vốn trong kỳ</w:t>
                  </w:r>
                </w:p>
              </w:tc>
              <w:tc>
                <w:tcPr>
                  <w:tcW w:type="auto" w:w="0"/>
                  <w:shd w:val="clear" w:color="auto" w:fill="F0F0F0"/>
                </w:tcPr>
                <w:p>
                  <w:pPr>
                    <w:pStyle w:val="Para 06"/>
                    <w:keepLines w:val="on"/>
                  </w:pPr>
                  <w:r>
                    <w:t>8,03%</w:t>
                  </w:r>
                </w:p>
              </w:tc>
              <w:tc>
                <w:tcPr>
                  <w:tcW w:type="auto" w:w="0"/>
                  <w:shd w:val="clear" w:color="auto" w:fill="F0F0F0"/>
                </w:tcPr>
                <w:p>
                  <w:pPr>
                    <w:pStyle w:val="Para 06"/>
                    <w:keepLines w:val="on"/>
                  </w:pPr>
                  <w:r>
                    <w:t>8,03%</w:t>
                  </w:r>
                </w:p>
              </w:tc>
            </w:tr>
            <w:tr>
              <w:tc>
                <w:tcPr>
                  <w:tcW w:type="auto" w:w="0"/>
                  <w:shd w:val="clear" w:color="auto" w:fill="F0F0F0"/>
                  <w:hMerge w:val="restart"/>
                </w:tcPr>
                <w:p>
                  <w:pPr>
                    <w:pStyle w:val="Para 46"/>
                    <w:keepLines w:val="on"/>
                  </w:pPr>
                  <w:r>
                    <w:t>Giai đoạn tăng trưởng ổn định</w:t>
                  </w:r>
                </w:p>
              </w:tc>
              <w:tc>
                <w:tcPr>
                  <w:hMerge w:val="continue"/>
                </w:tcPr>
                <w:p/>
              </w:tc>
              <w:tc>
                <w:tcPr>
                  <w:hMerge w:val="continue"/>
                </w:tcPr>
                <w:p/>
              </w:tc>
            </w:tr>
            <w:tr>
              <w:tc>
                <w:tcPr>
                  <w:tcW w:type="auto" w:w="0"/>
                  <w:shd w:val="clear" w:color="auto" w:fill="F0F0F0"/>
                </w:tcPr>
                <w:p>
                  <w:pPr>
                    <w:pStyle w:val="Para 02"/>
                    <w:keepLines w:val="on"/>
                  </w:pPr>
                  <w:r>
                    <w:t>Tốc độ tăng trưởng ở trạng thái ổn định</w:t>
                  </w:r>
                </w:p>
              </w:tc>
              <w:tc>
                <w:tcPr>
                  <w:tcW w:type="auto" w:w="0"/>
                  <w:shd w:val="clear" w:color="auto" w:fill="F0F0F0"/>
                </w:tcPr>
                <w:p>
                  <w:pPr>
                    <w:pStyle w:val="Para 06"/>
                    <w:keepLines w:val="on"/>
                  </w:pPr>
                  <w:r>
                    <w:t>3,50%</w:t>
                  </w:r>
                </w:p>
              </w:tc>
              <w:tc>
                <w:tcPr>
                  <w:tcW w:type="auto" w:w="0"/>
                  <w:shd w:val="clear" w:color="auto" w:fill="F0F0F0"/>
                </w:tcPr>
                <w:p>
                  <w:pPr>
                    <w:pStyle w:val="Para 06"/>
                    <w:keepLines w:val="on"/>
                  </w:pPr>
                  <w:r>
                    <w:t>3,50%</w:t>
                  </w:r>
                </w:p>
              </w:tc>
            </w:tr>
            <w:tr>
              <w:tc>
                <w:tcPr>
                  <w:tcW w:type="auto" w:w="0"/>
                  <w:shd w:val="clear" w:color="auto" w:fill="F0F0F0"/>
                </w:tcPr>
                <w:p>
                  <w:pPr>
                    <w:pStyle w:val="Para 02"/>
                    <w:keepLines w:val="on"/>
                  </w:pPr>
                  <w:r>
                    <w:t>Tỷ suất sinh lời trên vốn ở trạng thái ổn định</w:t>
                  </w:r>
                </w:p>
              </w:tc>
              <w:tc>
                <w:tcPr>
                  <w:tcW w:type="auto" w:w="0"/>
                  <w:shd w:val="clear" w:color="auto" w:fill="F0F0F0"/>
                </w:tcPr>
                <w:p>
                  <w:pPr>
                    <w:pStyle w:val="Para 06"/>
                    <w:keepLines w:val="on"/>
                  </w:pPr>
                  <w:r>
                    <w:t>12,00%</w:t>
                  </w:r>
                </w:p>
              </w:tc>
              <w:tc>
                <w:tcPr>
                  <w:tcW w:type="auto" w:w="0"/>
                  <w:shd w:val="clear" w:color="auto" w:fill="F0F0F0"/>
                </w:tcPr>
                <w:p>
                  <w:pPr>
                    <w:pStyle w:val="Para 06"/>
                    <w:keepLines w:val="on"/>
                  </w:pPr>
                  <w:r>
                    <w:t>7,74%</w:t>
                  </w:r>
                </w:p>
              </w:tc>
            </w:tr>
            <w:tr>
              <w:tc>
                <w:tcPr>
                  <w:tcW w:type="auto" w:w="0"/>
                  <w:shd w:val="clear" w:color="auto" w:fill="F0F0F0"/>
                </w:tcPr>
                <w:p>
                  <w:pPr>
                    <w:pStyle w:val="Para 02"/>
                    <w:keepLines w:val="on"/>
                  </w:pPr>
                  <w:r>
                    <w:t>Tỷ lệ tái đầu tư</w:t>
                  </w:r>
                </w:p>
              </w:tc>
              <w:tc>
                <w:tcPr>
                  <w:tcW w:type="auto" w:w="0"/>
                  <w:shd w:val="clear" w:color="auto" w:fill="F0F0F0"/>
                </w:tcPr>
                <w:p>
                  <w:pPr>
                    <w:pStyle w:val="Para 06"/>
                    <w:keepLines w:val="on"/>
                  </w:pPr>
                  <w:r>
                    <w:t>29,17%</w:t>
                  </w:r>
                </w:p>
              </w:tc>
              <w:tc>
                <w:tcPr>
                  <w:tcW w:type="auto" w:w="0"/>
                  <w:shd w:val="clear" w:color="auto" w:fill="F0F0F0"/>
                </w:tcPr>
                <w:p>
                  <w:pPr>
                    <w:pStyle w:val="Para 06"/>
                    <w:keepLines w:val="on"/>
                  </w:pPr>
                  <w:r>
                    <w:t>45,22%</w:t>
                  </w:r>
                </w:p>
              </w:tc>
            </w:tr>
            <w:tr>
              <w:tc>
                <w:tcPr>
                  <w:tcW w:type="auto" w:w="0"/>
                  <w:shd w:val="clear" w:color="auto" w:fill="F0F0F0"/>
                </w:tcPr>
                <w:p>
                  <w:pPr>
                    <w:pStyle w:val="Para 02"/>
                    <w:keepLines w:val="on"/>
                  </w:pPr>
                  <w:r>
                    <w:t>Chi phí vốn ở trạng thái ổn định</w:t>
                  </w:r>
                </w:p>
              </w:tc>
              <w:tc>
                <w:tcPr>
                  <w:tcW w:type="auto" w:w="0"/>
                  <w:shd w:val="clear" w:color="auto" w:fill="F0F0F0"/>
                </w:tcPr>
                <w:p>
                  <w:pPr>
                    <w:pStyle w:val="Para 06"/>
                    <w:keepLines w:val="on"/>
                  </w:pPr>
                  <w:r>
                    <w:t>7,74%</w:t>
                  </w:r>
                </w:p>
              </w:tc>
              <w:tc>
                <w:tcPr>
                  <w:tcW w:type="auto" w:w="0"/>
                  <w:shd w:val="clear" w:color="auto" w:fill="F0F0F0"/>
                </w:tcPr>
                <w:p>
                  <w:pPr>
                    <w:pStyle w:val="Para 06"/>
                    <w:keepLines w:val="on"/>
                  </w:pPr>
                  <w:r>
                    <w:t>7,74%</w:t>
                  </w:r>
                </w:p>
              </w:tc>
            </w:tr>
            <w:tr>
              <w:tc>
                <w:tcPr>
                  <w:tcW w:type="auto" w:w="0"/>
                  <w:shd w:val="clear" w:color="auto" w:fill="F0F0F0"/>
                </w:tcPr>
                <w:p>
                  <w:pPr>
                    <w:pStyle w:val="Para 02"/>
                    <w:keepLines w:val="on"/>
                  </w:pPr>
                  <w:r>
                    <w:t>EV/Doanh thu gần nhất</w:t>
                  </w:r>
                </w:p>
              </w:tc>
              <w:tc>
                <w:tcPr>
                  <w:tcW w:type="auto" w:w="0"/>
                  <w:shd w:val="clear" w:color="auto" w:fill="F0F0F0"/>
                </w:tcPr>
                <w:p>
                  <w:pPr>
                    <w:pStyle w:val="Para 06"/>
                    <w:keepLines w:val="on"/>
                  </w:pPr>
                  <w:r>
                    <w:t>3,51</w:t>
                  </w:r>
                </w:p>
              </w:tc>
              <w:tc>
                <w:tcPr>
                  <w:tcW w:type="auto" w:w="0"/>
                  <w:shd w:val="clear" w:color="auto" w:fill="F0F0F0"/>
                </w:tcPr>
                <w:p>
                  <w:pPr>
                    <w:pStyle w:val="Para 06"/>
                    <w:keepLines w:val="on"/>
                  </w:pPr>
                  <w:r>
                    <w:t>0,44</w:t>
                  </w:r>
                </w:p>
              </w:tc>
            </w:tr>
            <w:tr>
              <w:tc>
                <w:tcPr>
                  <w:tcW w:type="auto" w:w="0"/>
                  <w:shd w:val="clear" w:color="auto" w:fill="F0F0F0"/>
                </w:tcPr>
                <w:p>
                  <w:pPr>
                    <w:pStyle w:val="Para 51"/>
                    <w:keepLines w:val="on"/>
                  </w:pPr>
                  <w:r>
                    <w:t>Giá trị doanh nghiệp</w:t>
                  </w:r>
                </w:p>
              </w:tc>
              <w:tc>
                <w:tcPr>
                  <w:tcW w:type="auto" w:w="0"/>
                  <w:shd w:val="clear" w:color="auto" w:fill="F0F0F0"/>
                </w:tcPr>
                <w:p>
                  <w:pPr>
                    <w:pStyle w:val="Para 06"/>
                    <w:keepLines w:val="on"/>
                  </w:pPr>
                  <w:r>
                    <w:t>$123,199</w:t>
                  </w:r>
                </w:p>
              </w:tc>
              <w:tc>
                <w:tcPr>
                  <w:tcW w:type="auto" w:w="0"/>
                  <w:shd w:val="clear" w:color="auto" w:fill="F0F0F0"/>
                </w:tcPr>
                <w:p>
                  <w:pPr>
                    <w:pStyle w:val="Para 06"/>
                    <w:keepLines w:val="on"/>
                  </w:pPr>
                  <w:r>
                    <w:t>$15,452</w:t>
                  </w:r>
                </w:p>
              </w:tc>
            </w:tr>
          </w:tbl>
          <w:p/>
        </w:tc>
      </w:tr>
    </w:tbl>
    <w:p>
      <w:pPr>
        <w:pStyle w:val="Para 04"/>
        <w:keepLines w:val="on"/>
      </w:pPr>
      <w:r>
        <w:t>Nếu chúng ta loại bỏ phần lợi nhuận vượt trội mà Coca-Cola tạo ra, giữ nguyên mọi thứ khác, thì tỷ lệ giá trị doanh nghiệp trên doanh thu sẽ giảm xuống còn 0,96, và giá trị của tên thương hiệu sẽ trở thành 117,74 tỷ đô la.</w:t>
      </w:r>
    </w:p>
    <w:p>
      <w:bookmarkStart w:id="4174" w:name="Value_of_brand_name__123_199__15"/>
      <w:pPr>
        <w:keepNext/>
        <w:pStyle w:val="Para 07"/>
        <w:keepLines w:val="on"/>
      </w:pPr>
      <w:r>
        <w:t>Giá trị của tên thương hiệu = $123,199 - $15,452 = $107,747 triệu</w:t>
      </w:r>
      <w:bookmarkEnd w:id="4174"/>
    </w:p>
    <w:p>
      <w:pPr>
        <w:pStyle w:val="Para 04"/>
        <w:keepLines w:val="on"/>
      </w:pPr>
      <w:r>
        <w:t>Ba cách tiếp cận này đưa ra một khoảng giá trị cho tên thương hiệu từ 106,7 tỷ đô la đến 110,9 tỷ đô la. Nói ngắn gọn, dù bạn dùng cách nào đi nữa, phần lớn giá trị của Coca-Cola đều đến từ tên thương hiệu của nó.</w:t>
      </w:r>
    </w:p>
    <w:p>
      <w:pPr>
        <w:pStyle w:val="Para 11"/>
      </w:pPr>
      <w:r>
        <w:t/>
        <w:t xml:space="preserve"> </w:t>
      </w:r>
    </w:p>
    <w:p>
      <w:bookmarkStart w:id="4175" w:name="An_Aside_on_Brand_Name_Value_It"/>
      <w:bookmarkStart w:id="4176" w:name="An_Aside_on_Brand_Name_Value"/>
      <w:pPr>
        <w:keepNext/>
        <w:pStyle w:val="Para 27"/>
        <w:keepLines w:val="on"/>
      </w:pPr>
      <w:r>
        <w:t>Đôi điều bên lề về giá trị tên thương hiệu</w:t>
      </w:r>
      <w:bookmarkEnd w:id="4175"/>
      <w:bookmarkEnd w:id="4176"/>
    </w:p>
    <w:p>
      <w:pPr>
        <w:pStyle w:val="Para 16"/>
        <w:keepLines w:val="on"/>
      </w:pPr>
      <w:r>
        <w:t>Người ta thường thấy việc cộng thêm phần phụ trội (premium) cho tên thương hiệu vào các định giá dòng tiền chiết khấu (discounted cash flow). Như bạn có thể thấy từ ví dụ trên, đây là một sai lầm. Nếu làm đúng, giá trị của một tên thương hiệu đã được tính sẵn vào định giá ở nhiều chỗ rồi — biên lợi nhuận hoạt động cao hơn, vòng quay tài sản cao hơn, và do đó lợi nhuận trên vốn cũng cao hơn. Những điều này lại tạo ra hiệu ứng lan tỏa, làm tăng tốc độ tăng trưởng kỳ vọng và giá trị. Cộng thêm phần phụ trội tên thương hiệu vào giá trị này sẽ là tính trùng hai lần.</w:t>
      </w:r>
    </w:p>
    <w:p>
      <w:pPr>
        <w:pStyle w:val="Para 16"/>
        <w:keepLines w:val="on"/>
      </w:pPr>
      <w:r>
        <w:t>Còn những công ty không khai thác được một tên thương hiệu giá trị thì sao? Bạn có thể cộng thêm phần phụ trội vào giá trị của những công ty này, nhưng phần phụ trội đó không phải dành cho tên thương hiệu mà là dành cho quyền kiểm soát. Thực ra, bạn có thể ước tính những phần phụ trội tương tự cho bất kỳ tài sản nào bị sử dụng kém hiệu quả hoặc bị quản lý yếu kém, nhưng bạn chỉ trả phần phụ trội đó nếu bạn có thể nắm được quyền kiểm soát công ty.</w:t>
      </w:r>
    </w:p>
    <w:p>
      <w:bookmarkStart w:id="4177" w:name="Using_Revenue_Multiples_in_Inves"/>
      <w:bookmarkStart w:id="4178" w:name="Using_Revenue_Multiples_in_Inves_1"/>
      <w:pPr>
        <w:keepNext/>
        <w:pStyle w:val="Heading 3"/>
        <w:keepLines w:val="on"/>
      </w:pPr>
      <w:r>
        <w:t>Sử dụng bội số doanh thu trong phân tích đầu tư</w:t>
      </w:r>
      <w:bookmarkEnd w:id="4177"/>
      <w:bookmarkEnd w:id="4178"/>
    </w:p>
    <w:p>
      <w:pPr>
        <w:pStyle w:val="Para 03"/>
      </w:pPr>
      <w:r>
        <w:t>Các yếu tố quyết định chính của bội số doanh thu (revenue multiple) của một công ty là biên lợi nhuận kỳ vọng (ròng và hoạt động), rủi ro, dòng tiền và đặc điểm tăng trưởng. Để sử dụng bội số doanh thu trong phân tích và so sánh giữa các công ty, bạn cần kiểm soát sự khác biệt ở những đặc điểm này. Phần này xem xét các cách khác nhau để so sánh bội số doanh thu giữa các công ty.</w:t>
      </w:r>
    </w:p>
    <w:p>
      <w:bookmarkStart w:id="4179" w:name="Looking_for_Mismatches__While_gr"/>
      <w:bookmarkStart w:id="4180" w:name="Looking_for_Mismatches"/>
      <w:pPr>
        <w:keepNext/>
        <w:pStyle w:val="Heading 4"/>
        <w:keepLines w:val="on"/>
      </w:pPr>
      <w:r>
        <w:t>Tìm kiếm sự không khớp</w:t>
      </w:r>
      <w:bookmarkEnd w:id="4179"/>
      <w:bookmarkEnd w:id="4180"/>
    </w:p>
    <w:p>
      <w:pPr>
        <w:pStyle w:val="Para 03"/>
      </w:pPr>
      <w:r>
        <w:t>Mặc dù đặc điểm tăng trưởng, rủi ro và dòng tiền có ảnh hưởng đến bội số doanh thu, nhưng yếu tố quyết định chính của bội số doanh thu lại là biên lợi nhuận — biên lợi nhuận ròng đối với bội số vốn chủ sở hữu (equity multiple) và biên lợi nhuận hoạt động đối với bội số giá trị doanh nghiệp (firm value multiple). Vì vậy, không có gì ngạc nhiên khi thấy những công ty có biên lợi nhuận thấp và bội số doanh thu thấp, và những công ty có biên lợi nhuận cao và bội số doanh thu cao. Tuy nhiên, những công ty có bội số doanh thu cao nhưng biên lợi nhuận thấp, cũng như những công ty có bội số doanh thu thấp nhưng biên lợi nhuận cao, nên thu hút sự chú ý của nhà đầu tư vì có khả năng lần lượt là chứng khoán bị định giá quá cao và bị định giá quá thấp. Trong Hình 20.3, điều này được trình bày dưới dạng một ma trận. Bạn có thể nhận diện những công ty bị định giá quá thấp hoặc quá cao trong một lĩnh vực hay ngành bằng cách vẽ chúng lên ma trận này và tìm kiếm sự không khớp tiềm ẩn giữa biên lợi nhuận và bội số doanh thu.</w:t>
      </w:r>
    </w:p>
    <w:p>
      <w:bookmarkStart w:id="4183" w:name="Figure_20_3_Value_Sales_and_Marg"/>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536700" cy="1549400"/>
            <wp:effectExtent l="0" r="0" t="0" b="0"/>
            <wp:wrapTopAndBottom/>
            <wp:docPr id="198" name="c20f003.png" descr="The 2 by 2 matrix depicts the overvaluation and undervaluation of value to sales with that of high or low margin."/>
            <wp:cNvGraphicFramePr>
              <a:graphicFrameLocks noChangeAspect="1"/>
            </wp:cNvGraphicFramePr>
            <a:graphic>
              <a:graphicData uri="http://schemas.openxmlformats.org/drawingml/2006/picture">
                <pic:pic>
                  <pic:nvPicPr>
                    <pic:cNvPr id="0" name="c20f003.png" descr="The 2 by 2 matrix depicts the overvaluation and undervaluation of value to sales with that of high or low margin."/>
                    <pic:cNvPicPr/>
                  </pic:nvPicPr>
                  <pic:blipFill>
                    <a:blip r:embed="rId137"/>
                    <a:stretch>
                      <a:fillRect/>
                    </a:stretch>
                  </pic:blipFill>
                  <pic:spPr>
                    <a:xfrm>
                      <a:off x="0" y="0"/>
                      <a:ext cx="1536700" cy="1549400"/>
                    </a:xfrm>
                    <a:prstGeom prst="rect">
                      <a:avLst/>
                    </a:prstGeom>
                  </pic:spPr>
                </pic:pic>
              </a:graphicData>
            </a:graphic>
          </wp:anchor>
        </w:drawing>
      </w:r>
      <w:bookmarkEnd w:id="4183"/>
    </w:p>
    <w:p>
      <w:pPr>
        <w:keepNext/>
        <w:pStyle w:val="Para 22"/>
        <w:keepLines w:val="on"/>
      </w:pPr>
      <w:r>
        <w:t>Hình 20.3 Giá trị/Doanh thu và Biên lợi nhuận</w:t>
      </w:r>
    </w:p>
    <w:p>
      <w:pPr>
        <w:pStyle w:val="Para 03"/>
      </w:pPr>
      <w:r>
        <w:t>Dù nghe có vẻ hấp dẫn về mặt trực giác, nhưng có ít nhất ba vấn đề thực tế gắn với cách tiếp cận này. Thứ nhất là dữ liệu về biên lợi nhuận trong quá khứ (hiện tại) dễ có sẵn hơn so với biên lợi nhuận kỳ vọng. Nếu biên lợi nhuận hiện tại của một công ty có tương quan cao với biên lợi nhuận tương lai (một công ty đã có biên lợi nhuận cao trong quá khứ sẽ tiếp tục như vậy, và một công ty đã có biên lợi nhuận thấp trong quá khứ cũng sẽ tiếp tục như vậy), thì việc dùng biên lợi nhuận hiện tại và bội số doanh thu hiện tại để nhận diện chứng khoán bị định giá quá thấp hoặc quá cao là hợp lý. Nếu biên lợi nhuận hiện tại của các công ty không tương quan cao với biên lợi nhuận kỳ vọng trong tương lai, thì không còn phù hợp để lập luận rằng một công ty bị định giá quá cao chỉ vì nó có biên lợi nhuận hiện tại thấp và đang giao dịch ở tỷ lệ giá trên doanh thu cao. Vấn đề thứ hai của cách tiếp cận này là nó giả định bội số doanh thu có quan hệ tuyến tính với biên lợi nhuận. Nói cách khác, khi biên lợi nhuận tăng gấp đôi, bạn sẽ kỳ vọng bội số doanh thu cũng tăng gấp đôi. Vấn đề thứ ba là nó bỏ qua sự khác biệt ở các yếu tố cơ bản khác, đặc biệt là rủi ro. Do đó, một công ty trông có vẻ bị định giá quá thấp vì có biên lợi nhuận hiện tại cao và đang giao dịch ở bội số doanh thu thấp, thực ra có thể là một công ty được định giá hợp lý với rủi ro rất cao.</w:t>
      </w:r>
    </w:p>
    <w:p>
      <w:pPr>
        <w:pStyle w:val="Para 11"/>
      </w:pPr>
      <w:r>
        <w:t/>
        <w:t xml:space="preserve"> </w:t>
      </w:r>
      <w:r>
        <w:rPr>
          <w:rStyle w:val="Text26"/>
        </w:rPr>
        <w:bookmarkStart w:id="4184" w:name="Page_634"/>
        <w:t/>
        <w:bookmarkEnd w:id="4184"/>
      </w:r>
      <w:r>
        <w:t xml:space="preserve"> </w:t>
      </w:r>
    </w:p>
    <w:p>
      <w:bookmarkStart w:id="4185" w:name="ILLUSTRATION_20_9__Revenue_Multi_1"/>
      <w:bookmarkStart w:id="4186" w:name="ILLUSTRATION_20_9__Revenue_Multi"/>
      <w:pPr>
        <w:keepNext/>
        <w:pStyle w:val="Para 19"/>
        <w:keepLines w:val="on"/>
      </w:pPr>
      <w:r>
        <w:t>MINH HỌA 20.9: Bội số doanh thu và Biên lợi nhuận: Các nhà bán lẻ chuyên ngành vào tháng 7 năm 2000</w:t>
      </w:r>
      <w:bookmarkEnd w:id="4185"/>
      <w:bookmarkEnd w:id="4186"/>
    </w:p>
    <w:p>
      <w:pPr>
        <w:pStyle w:val="Para 04"/>
        <w:keepLines w:val="on"/>
      </w:pPr>
      <w:r>
        <w:t>Trong so sánh đầu tiên, chúng ta xem xét các nhà bán lẻ chuyên ngành ở Hoa Kỳ. Trong Hình 20.4, tỷ lệ EV trên doanh thu gần nhất (EV-to-trailing-sales) của những công ty này được vẽ đối chiếu với biên lợi nhuận hoạt động của chúng vào tháng 7 năm 2000 (với ký hiệu cổ phiếu của mỗi công ty nằm cạnh mỗi điểm quan sát).</w:t>
      </w:r>
    </w:p>
    <w:p>
      <w:bookmarkStart w:id="4189" w:name="Figure_20_4_Enterprise_Value_to"/>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1892300"/>
            <wp:effectExtent l="0" r="0" t="0" b="0"/>
            <wp:wrapTopAndBottom/>
            <wp:docPr id="199" name="c20f004.png" descr="Scatterplot depicts that operating margins of firms is directly proportional to value-to-sales ratios."/>
            <wp:cNvGraphicFramePr>
              <a:graphicFrameLocks noChangeAspect="1"/>
            </wp:cNvGraphicFramePr>
            <a:graphic>
              <a:graphicData uri="http://schemas.openxmlformats.org/drawingml/2006/picture">
                <pic:pic>
                  <pic:nvPicPr>
                    <pic:cNvPr id="0" name="c20f004.png" descr="Scatterplot depicts that operating margins of firms is directly proportional to value-to-sales ratios."/>
                    <pic:cNvPicPr/>
                  </pic:nvPicPr>
                  <pic:blipFill>
                    <a:blip r:embed="rId138"/>
                    <a:stretch>
                      <a:fillRect/>
                    </a:stretch>
                  </pic:blipFill>
                  <pic:spPr>
                    <a:xfrm>
                      <a:off x="0" y="0"/>
                      <a:ext cx="2451100" cy="1892300"/>
                    </a:xfrm>
                    <a:prstGeom prst="rect">
                      <a:avLst/>
                    </a:prstGeom>
                  </pic:spPr>
                </pic:pic>
              </a:graphicData>
            </a:graphic>
          </wp:anchor>
        </w:drawing>
      </w:r>
      <w:bookmarkEnd w:id="4189"/>
    </w:p>
    <w:p>
      <w:pPr>
        <w:keepNext/>
        <w:pStyle w:val="Para 38"/>
        <w:keepLines w:val="on"/>
      </w:pPr>
      <w:r>
        <w:t>Hình 20.4 Tỷ lệ Giá trị doanh nghiệp trên Doanh thu và Biên lợi nhuận hoạt động</w:t>
      </w:r>
    </w:p>
    <w:p>
      <w:pPr>
        <w:pStyle w:val="Para 04"/>
        <w:keepLines w:val="on"/>
      </w:pPr>
      <w:r>
        <w:t>Những công ty có biên lợi nhuận hoạt động cao hơn thường có tỷ lệ EV trên doanh thu cao hơn, trong khi những công ty có biên lợi nhuận thấp hơn thì có tỷ lệ EV trên doanh thu thấp hơn. Tuy nhiên, lưu ý rằng có khá nhiều nhiễu ngay cả trong tập hợp con các công ty này khi xét mối quan hệ giữa tỷ lệ giá trị trên doanh thu và biên lợi nhuận hoạt động.</w:t>
      </w:r>
    </w:p>
    <w:p>
      <w:pPr>
        <w:pStyle w:val="Para 11"/>
      </w:pPr>
      <w:r>
        <w:t/>
        <w:t xml:space="preserve"> </w:t>
      </w:r>
    </w:p>
    <w:p>
      <w:bookmarkStart w:id="4190" w:name="ILLUSTRATION_20_10__Revenue_Mult_1"/>
      <w:bookmarkStart w:id="4191" w:name="ILLUSTRATION_20_10__Revenue_Mult"/>
      <w:pPr>
        <w:keepNext/>
        <w:pStyle w:val="Para 19"/>
        <w:keepLines w:val="on"/>
      </w:pPr>
      <w:r>
        <w:t>MINH HỌA 20.10: Bội số doanh thu và Biên lợi nhuận: Các nhà bán lẻ Internet vào tháng 7 năm 2000</w:t>
      </w:r>
      <w:bookmarkEnd w:id="4190"/>
      <w:bookmarkEnd w:id="4191"/>
    </w:p>
    <w:p>
      <w:pPr>
        <w:pStyle w:val="Para 04"/>
        <w:keepLines w:val="on"/>
      </w:pPr>
      <w:r>
        <w:t>Trong so sánh thứ hai, tỷ lệ giá trị doanh nghiệp trên doanh thu gần nhất vào tháng 7 năm 2000 của các nhà bán lẻ Internet được vẽ đối chiếu với biên lợi nhuận ròng mà những công ty này kiếm được trong năm gần nhất trong Hình 20.5.</w:t>
      </w:r>
    </w:p>
    <w:p>
      <w:bookmarkStart w:id="4194" w:name="Figure_20_5_EV_to_Sales_Ratios_v"/>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587500"/>
            <wp:effectExtent l="0" r="0" t="0" b="0"/>
            <wp:wrapTopAndBottom/>
            <wp:docPr id="200" name="c20f005.png" descr="Scatterplot depicts a constrained relationship between E V to sales ratio with that of operating margins of a firm."/>
            <wp:cNvGraphicFramePr>
              <a:graphicFrameLocks noChangeAspect="1"/>
            </wp:cNvGraphicFramePr>
            <a:graphic>
              <a:graphicData uri="http://schemas.openxmlformats.org/drawingml/2006/picture">
                <pic:pic>
                  <pic:nvPicPr>
                    <pic:cNvPr id="0" name="c20f005.png" descr="Scatterplot depicts a constrained relationship between E V to sales ratio with that of operating margins of a firm."/>
                    <pic:cNvPicPr/>
                  </pic:nvPicPr>
                  <pic:blipFill>
                    <a:blip r:embed="rId139"/>
                    <a:stretch>
                      <a:fillRect/>
                    </a:stretch>
                  </pic:blipFill>
                  <pic:spPr>
                    <a:xfrm>
                      <a:off x="0" y="0"/>
                      <a:ext cx="2438400" cy="1587500"/>
                    </a:xfrm>
                    <a:prstGeom prst="rect">
                      <a:avLst/>
                    </a:prstGeom>
                  </pic:spPr>
                </pic:pic>
              </a:graphicData>
            </a:graphic>
          </wp:anchor>
        </w:drawing>
      </w:r>
      <w:bookmarkEnd w:id="4194"/>
    </w:p>
    <w:p>
      <w:pPr>
        <w:keepNext/>
        <w:pStyle w:val="Para 38"/>
        <w:keepLines w:val="on"/>
      </w:pPr>
      <w:r>
        <w:t>Hình 20.5 Tỷ lệ EV trên Doanh thu so với Biên lợi nhuận hoạt động: Cổ phiếu Internet</w:t>
      </w:r>
    </w:p>
    <w:p>
      <w:pPr>
        <w:pStyle w:val="Para 04"/>
        <w:keepLines w:val="on"/>
      </w:pPr>
      <w:r>
        <w:t>Ở đây, dường như gần như không có mối quan hệ nào giữa tỷ lệ giá trị doanh nghiệp trên doanh thu và biên lợi nhuận hoạt động. Điều này không có gì đáng ngạc nhiên. Hầu hết các công ty Internet đều có thu nhập hoạt động và biên lợi nhuận hoạt động âm. Giá trị thị trường của những công ty này không dựa trên những gì chúng kiếm được hiện tại mà dựa trên những gì chúng được kỳ vọng sẽ kiếm được trong tương lai, và có rất ít tương quan giữa biên lợi nhuận hiện tại và biên lợi nhuận kỳ vọng trong tương lai.</w:t>
      </w:r>
    </w:p>
    <w:p>
      <w:pPr>
        <w:pStyle w:val="Para 20"/>
      </w:pPr>
      <w:r>
        <w:rPr>
          <w:rStyle w:val="Text26"/>
        </w:rPr>
        <w:bookmarkStart w:id="4195" w:name="Page_635"/>
        <w:t/>
        <w:bookmarkEnd w:id="4195"/>
      </w:r>
      <w:r>
        <w:t xml:space="preserve"> </w:t>
      </w:r>
    </w:p>
    <w:p>
      <w:bookmarkStart w:id="4196" w:name="Statistical_Approaches"/>
      <w:bookmarkStart w:id="4197" w:name="Statistical_Approaches__When_ana"/>
      <w:pPr>
        <w:keepNext/>
        <w:pStyle w:val="Heading 4"/>
        <w:keepLines w:val="on"/>
      </w:pPr>
      <w:r>
        <w:t>Các cách tiếp cận thống kê</w:t>
      </w:r>
      <w:bookmarkEnd w:id="4196"/>
      <w:bookmarkEnd w:id="4197"/>
    </w:p>
    <w:p>
      <w:pPr>
        <w:pStyle w:val="Para 03"/>
      </w:pPr>
      <w:r>
        <w:t>Khi phân tích tỷ lệ giá trên thu nhập (price-earnings) và tỷ lệ giá trên giá trị sổ sách (price-to-book value), chúng ta đã dùng hồi quy (regression) để kiểm soát sự khác biệt về rủi ro, tăng trưởng và tỷ lệ chi trả (payout ratio) giữa các công ty. Chúng ta cũng có thể dùng hồi quy để kiểm soát sự khác biệt giữa các công ty nhằm phân tích bội số doanh thu. Trong phần này, chúng ta bắt đầu bằng việc áp dụng cách tiếp cận này cho các công ty so sánh được định nghĩa hẹp là những công ty trong cùng một ngành kinh doanh, rồi sau đó mở rộng ra toàn bộ lĩnh vực và toàn thị trường.</w:t>
      </w:r>
    </w:p>
    <w:p>
      <w:bookmarkStart w:id="4198" w:name="Comparable_Firms_in_the_Same_Bus"/>
      <w:pPr>
        <w:pStyle w:val="Para 21"/>
      </w:pPr>
      <w:r>
        <w:t>Các công ty so sánh trong cùng một ngành kinh doanh</w:t>
      </w:r>
      <w:bookmarkEnd w:id="4198"/>
    </w:p>
    <w:p>
      <w:pPr>
        <w:pStyle w:val="Para 03"/>
      </w:pPr>
      <w:r>
        <w:t>Trong phần trước, chúng ta đã xem xét các công ty cùng ngành để tìm ra sự chênh lệch — những công ty có biên lợi nhuận cao nhưng bội số doanh thu thấp được xem là bị định giá thấp. Trong một mở rộng đơn giản của cách tiếp cận này, chúng ta có thể hồi quy bội số doanh thu theo biên lợi nhuận trên toàn bộ các công ty trong một ngành:</w:t>
      </w:r>
    </w:p>
    <w:p>
      <w:bookmarkStart w:id="4200" w:name="Price_to_sales_ratio_a_b__Net_pr"/>
      <w:pPr>
        <w:keepNext/>
        <w:pStyle w:val="Para 09"/>
        <w:keepLines w:val="on"/>
      </w:pPr>
      <w:r>
        <w:t>Tỷ lệ giá trên doanh thu = a + b (Biên lợi nhuận ròng) Tỷ lệ EV trên doanh thu = a + b (Biên lợi nhuận hoạt động sau thuế)</w:t>
      </w:r>
      <w:bookmarkEnd w:id="4200"/>
    </w:p>
    <w:p>
      <w:pPr>
        <w:pStyle w:val="Para 03"/>
      </w:pPr>
      <w:r>
        <w:t>Những hồi quy này có thể được dùng để ước tính giá trị dự đoán cho các công ty trong mẫu, giúp nhận diện những công ty bị định giá thấp và bị định giá cao.</w:t>
      </w:r>
    </w:p>
    <w:p>
      <w:pPr>
        <w:pStyle w:val="Para 03"/>
      </w:pPr>
      <w:r>
        <w:t>Nếu số lượng công ty trong mẫu đủ lớn để cho phép, hồi quy này có thể được mở rộng để thêm các biến độc lập khác. Ví dụ, độ lệch chuẩn của giá cổ phiếu hoặc beta có thể được dùng làm biến độc lập để nắm bắt sự khác biệt về rủi ro, và ước tính của chuyên gia phân tích về tăng trưởng kỳ vọng có thể kiểm soát sự khác biệt về tăng trưởng. Hồi quy cũng có thể được điều chỉnh để tính đến các mối quan hệ phi tuyến giữa bội số doanh thu và bất kỳ hoặc tất cả các biến này.</w:t>
      </w:r>
    </w:p>
    <w:p>
      <w:pPr>
        <w:pStyle w:val="Para 03"/>
      </w:pPr>
      <w:r>
        <w:t>Liệu cách tiếp cận này có thể được dùng cho những ngành như Internet, nơi dường như có rất ít hoặc không có mối quan hệ giữa bội số doanh thu và các yếu tố cơ bản? Có thể, nhưng chỉ khi bạn điều chỉnh nó để xem xét các yếu tố quyết định giá trị trong những ngành này.</w:t>
      </w:r>
    </w:p>
    <w:p>
      <w:pPr>
        <w:pStyle w:val="Para 11"/>
      </w:pPr>
      <w:r>
        <w:t/>
        <w:t xml:space="preserve"> </w:t>
      </w:r>
    </w:p>
    <w:p>
      <w:bookmarkStart w:id="4202" w:name="ILLUSTRATION_20_11__Regression_A_1"/>
      <w:bookmarkStart w:id="4203" w:name="ILLUSTRATION_20_11__Regression_A"/>
      <w:pPr>
        <w:keepNext/>
        <w:pStyle w:val="Para 19"/>
        <w:keepLines w:val="on"/>
      </w:pPr>
      <w:r>
        <w:t>MINH HỌA 20.11: Cách tiếp cận hồi quy — Các nhà bán lẻ chuyên biệt vào tháng 7 năm 2000</w:t>
      </w:r>
      <w:bookmarkEnd w:id="4202"/>
      <w:bookmarkEnd w:id="4203"/>
    </w:p>
    <w:p>
      <w:pPr>
        <w:pStyle w:val="Para 04"/>
        <w:keepLines w:val="on"/>
      </w:pPr>
      <w:r>
        <w:t>Hãy xem lại biểu đồ phân tán của tỷ lệ giá trị trên doanh thu và biên lợi nhuận hoạt động cho các nhà bán lẻ trong Minh họa 20.9. Rõ ràng có một mối quan hệ thuận, và hồi quy tỷ lệ giá trị doanh nghiệp trên doanh thu theo biên lợi nhuận hoạt động cho các nhà bán lẻ chuyên biệt cho kết quả như sau:</w:t>
      </w:r>
    </w:p>
    <w:p>
      <w:bookmarkStart w:id="4205" w:name="EV_to_sales_0_0563_6_6287_After"/>
      <w:pPr>
        <w:keepNext/>
        <w:pStyle w:val="Para 07"/>
        <w:keepLines w:val="on"/>
      </w:pPr>
      <w:r>
        <w:t>EV trên doanh thu = 0,0563 + 6,6287 Biên lợi nhuận hoạt động sau thuế  R2 = 39,9% (0,72) (10,39)</w:t>
      </w:r>
      <w:bookmarkEnd w:id="4205"/>
    </w:p>
    <w:p>
      <w:pPr>
        <w:pStyle w:val="Para 04"/>
        <w:keepLines w:val="on"/>
      </w:pPr>
      <w:r>
        <w:t>Hồi quy này có 162 quan sát, và các thống kê t được báo cáo trong ngoặc. Để ước tính tỷ lệ giá trị trên doanh thu dự đoán cho Talbots, một trong những nhà bán lẻ chuyên biệt trong nhóm, với biên lợi nhuận hoạt động sau thuế là 11,22%:</w:t>
      </w:r>
    </w:p>
    <w:p>
      <w:bookmarkStart w:id="4206" w:name="Predicted_EV_to_sales_ratio_0_05"/>
      <w:pPr>
        <w:keepNext/>
        <w:pStyle w:val="Para 07"/>
        <w:keepLines w:val="on"/>
      </w:pPr>
      <w:r>
        <w:t>Tỷ lệ EV trên doanh thu dự đoán = 0,0563 + 6,6287(0,1122) = 0,80</w:t>
      </w:r>
      <w:bookmarkEnd w:id="4206"/>
    </w:p>
    <w:p>
      <w:pPr>
        <w:pStyle w:val="Para 04"/>
        <w:keepLines w:val="on"/>
      </w:pPr>
      <w:r>
        <w:t>Với tỷ lệ EV trên doanh thu thực tế là 1,27, Talbots được xem là bị định giá cao.</w:t>
      </w:r>
    </w:p>
    <w:p>
      <w:pPr>
        <w:pStyle w:val="Para 04"/>
        <w:keepLines w:val="on"/>
      </w:pPr>
      <w:r>
        <w:t>Hồi quy này có thể được điều chỉnh theo hai cách. Một là hồi quy tỷ lệ EV trên doanh thu theo ln(Biên lợi nhuận hoạt động) để cho phép mối quan hệ phi tuyến giữa hai biến:</w:t>
      </w:r>
    </w:p>
    <w:p>
      <w:bookmarkStart w:id="4207" w:name="EV_to_sales_1_8313_0_4339_lnAfte"/>
      <w:pPr>
        <w:keepNext/>
        <w:pStyle w:val="Para 07"/>
        <w:keepLines w:val="on"/>
      </w:pPr>
      <w:r>
        <w:t>EV trên doanh thu = 1,8313 + 0,4339 ln Biên lợi nhuận hoạt động sau thuế R2 = 22,40% (10,76) (6,89)</w:t>
      </w:r>
      <w:bookmarkEnd w:id="4207"/>
    </w:p>
    <w:p>
      <w:pPr>
        <w:pStyle w:val="Para 04"/>
        <w:keepLines w:val="on"/>
      </w:pPr>
      <w:r>
        <w:t>Cách còn lại là mở rộng hồi quy để bao gồm một biến đại diện cho tăng trưởng:</w:t>
      </w:r>
    </w:p>
    <w:p>
      <w:bookmarkStart w:id="4208" w:name="EV_to_sales__0_1488_0_2494_Opera"/>
      <w:pPr>
        <w:keepNext/>
        <w:pStyle w:val="Para 07"/>
        <w:keepLines w:val="on"/>
      </w:pPr>
      <w:r>
        <w:t>EV trên doanh thu = -0,1488 + 0,2494 Biên lợi nhuận hoạt động + 1,545 Tăng trưởng R2 = 45,4% (1,62) (10,09)</w:t>
      </w:r>
      <w:bookmarkEnd w:id="4208"/>
    </w:p>
    <w:p>
      <w:bookmarkStart w:id="4209" w:name="where_______Operating_Margin_Aft"/>
      <w:pPr>
        <w:pStyle w:val="Para 52"/>
        <w:keepLines w:val="on"/>
      </w:pPr>
      <w:r>
        <w:t>trong đó Biên lợi nhuận hoạt động = Biên lợi nhuận hoạt động sau thuế trong năm gần nhất Tăng trưởng = Tốc độ tăng trưởng kỳ vọng của thu nhập trong năm năm tới</w:t>
      </w:r>
      <w:bookmarkEnd w:id="4209"/>
    </w:p>
    <w:p>
      <w:pPr>
        <w:pStyle w:val="Para 04"/>
        <w:keepLines w:val="on"/>
      </w:pPr>
      <w:r>
        <w:t>Hồi quy này có ít quan sát hơn (124) so với hai hồi quy trước nhưng có R bình phương cao hơn là 45,4%. Tỷ lệ giá trị doanh nghiệp trên doanh thu dự đoán cho Talbots bằng hồi quy này là:</w:t>
      </w:r>
    </w:p>
    <w:p>
      <w:bookmarkStart w:id="4210" w:name="Predicted_EV_to_sales_ratio__0_1"/>
      <w:pPr>
        <w:keepNext/>
        <w:pStyle w:val="Para 07"/>
        <w:keepLines w:val="on"/>
      </w:pPr>
      <w:r>
        <w:t>Tỷ lệ EV trên doanh thu dự đoán = -0,1488 + 0,2494(0,1122) + 1,545(0,225) = 0,90</w:t>
      </w:r>
      <w:bookmarkEnd w:id="4210"/>
    </w:p>
    <w:p>
      <w:pPr>
        <w:pStyle w:val="Para 04"/>
        <w:keepLines w:val="on"/>
      </w:pPr>
      <w:r>
        <w:t>Talbots vẫn bị định giá cao ngay cả sau khi điều chỉnh sự khác biệt về tăng trưởng.</w:t>
      </w:r>
    </w:p>
    <w:p>
      <w:pPr>
        <w:pStyle w:val="Para 11"/>
      </w:pPr>
      <w:r>
        <w:t/>
        <w:t xml:space="preserve"> </w:t>
      </w:r>
    </w:p>
    <w:p>
      <w:bookmarkStart w:id="4211" w:name="ILLUSTRATION_20_12__Regression_A_1"/>
      <w:bookmarkStart w:id="4212" w:name="ILLUSTRATION_20_12__Regression_A"/>
      <w:pPr>
        <w:keepNext/>
        <w:pStyle w:val="Para 19"/>
        <w:keepLines w:val="on"/>
      </w:pPr>
      <w:r>
        <w:t>MINH HỌA 20.12: Cách tiếp cận hồi quy — Các nhà bán lẻ Internet vào tháng 7 năm 2000</w:t>
      </w:r>
      <w:bookmarkEnd w:id="4211"/>
      <w:bookmarkEnd w:id="4212"/>
    </w:p>
    <w:p>
      <w:pPr>
        <w:pStyle w:val="Para 04"/>
        <w:keepLines w:val="on"/>
      </w:pPr>
      <w:r>
        <w:t>Trong trường hợp các cổ phiếu Internet được vẽ đồ thị trong Minh họa 20.10, hồi quy tỷ lệ giá trị doanh nghiệp trên doanh thu theo biên lợi nhuận hoạt động cho kết quả như sau:</w:t>
      </w:r>
    </w:p>
    <w:p>
      <w:bookmarkStart w:id="4214" w:name="Price_to_sales_ratio_18_4015___8"/>
      <w:pPr>
        <w:keepNext/>
        <w:pStyle w:val="Para 07"/>
        <w:keepLines w:val="on"/>
      </w:pPr>
      <w:r>
        <w:t>Tỷ lệ giá trên doanh thu = 18,4015 − 8,5823 Biên lợi nhuận hoạt động R2 = 1,27% (4,27) (1,21)</w:t>
      </w:r>
      <w:bookmarkEnd w:id="4214"/>
    </w:p>
    <w:p>
      <w:pPr>
        <w:pStyle w:val="Para 04"/>
        <w:keepLines w:val="on"/>
      </w:pPr>
      <w:r>
        <w:t>Không chỉ R bình phương gần bằng không, mà mối quan hệ giữa biên lợi nhuận hoạt động hiện tại và tỷ lệ EV trên doanh thu còn là nghịch. Vì vậy, có rất ít mối quan hệ giữa giá của những cổ phiếu này và khả năng sinh lời hiện tại của chúng.</w:t>
      </w:r>
    </w:p>
    <w:p>
      <w:pPr>
        <w:pStyle w:val="Para 04"/>
        <w:keepLines w:val="on"/>
      </w:pPr>
      <w:r>
        <w:t>Những biến nào có thể giải thích tốt hơn sự khác biệt về tỷ lệ giá trên doanh thu giữa các cổ phiếu Internet? Hãy xem xét những đề xuất sau:</w:t>
      </w:r>
    </w:p>
    <w:p>
      <w:pPr>
        <w:numPr>
          <w:ilvl w:val="0"/>
          <w:numId w:val="189"/>
        </w:numPr>
        <w:pStyle w:val="Para 18"/>
        <w:keepLines w:val="on"/>
      </w:pPr>
      <w:r>
        <w:t>Vì mẫu này chứa một số công ty có doanh thu rất ít và những công ty khác có doanh thu cao hơn nhiều, bạn sẽ kỳ vọng các công ty có doanh thu ít hơn sẽ được giao dịch ở bội số doanh thu cao hơn nhiều so với các công ty có doanh thu cao hơn. Do đó, Amazon, với doanh thu gần 2 tỷ đô la, có thể được kỳ vọng giao dịch ở bội số của giá trị này thấp hơn so với iVillage với doanh thu dưới 60 triệu đô la.</w:t>
      </w:r>
    </w:p>
    <w:p>
      <w:pPr>
        <w:numPr>
          <w:ilvl w:val="0"/>
          <w:numId w:val="189"/>
        </w:numPr>
        <w:pStyle w:val="Para 18"/>
        <w:keepLines w:val="on"/>
      </w:pPr>
      <w:r>
        <w:t>Có khả năng cao rằng một số hoặc nhiều công ty Internet này sẽ không tồn tại được vì họ sẽ cạn kiệt tiền mặt. Một thước đo được sử dụng rộng rãi cho khả năng gặp vấn đề tiền mặt này là tỷ lệ đốt tiền (cash burn ratio), tức tỷ lệ giữa số dư tiền mặt và giá trị tuyệt đối của EBITDA (thường là một số âm). Những công ty có tỷ lệ đốt tiền thấp có nguy cơ rơi vào tình trạng thiếu hụt tiền mặt cao hơn và nên được giao dịch ở các bội số doanh thu thấp hơn.</w:t>
      </w:r>
    </w:p>
    <w:p>
      <w:pPr>
        <w:numPr>
          <w:ilvl w:val="0"/>
          <w:numId w:val="189"/>
        </w:numPr>
        <w:pStyle w:val="Para 18"/>
        <w:keepLines w:val="on"/>
      </w:pPr>
      <w:r>
        <w:t>Tăng trưởng doanh thu là yếu tố quyết định then chốt đối với giá trị của những công ty này. Những công ty có doanh thu tăng trưởng nhanh hơn có khả năng đạt được lợi nhuận sớm hơn, với các yếu tố khác không đổi.</w:t>
      </w:r>
    </w:p>
    <w:p>
      <w:pPr>
        <w:pStyle w:val="Para 04"/>
        <w:keepLines w:val="on"/>
      </w:pPr>
      <w:r>
        <w:t>Hồi quy sau đây liên hệ tỷ lệ giá trên doanh thu (price-to-sales ratio) với mức doanh thu [ln(Doanh thu)], tỷ lệ đốt tiền (giá trị tuyệt đối của Tiền mặt/EBITDA) và tăng trưởng doanh thu trong năm qua đối với các công ty Internet:</w:t>
      </w:r>
    </w:p>
    <w:p>
      <w:bookmarkStart w:id="4216" w:name="EV_to_sales_29_23___2_46_ln_Reve"/>
      <w:pPr>
        <w:keepNext/>
        <w:pStyle w:val="Para 07"/>
        <w:keepLines w:val="on"/>
      </w:pPr>
      <w:r>
        <w:t>EV trên doanh thu=29,23−2,46 ln(Doanh thu)+0,48(Tiền mặt/EBITDA)+9,34 Tăng trưởngdoanh thu(1,45) (0,54) (2,70) (1,18)</w:t>
      </w:r>
      <w:bookmarkEnd w:id="4216"/>
    </w:p>
    <w:p>
      <w:pPr>
        <w:pStyle w:val="Para 04"/>
        <w:keepLines w:val="on"/>
      </w:pPr>
      <w:r>
        <w:t>Hồi quy này có 116 quan sát và R-squared là 8,23%. Các hệ số đều có dấu đúng nhưng chỉ có ý nghĩa thống kê ở mức biên. Bạn có thể tính được tỷ lệ EV trên doanh thu dự đoán cho Amazon.com vào tháng 7 năm 2000 bằng cách sử dụng hồi quy này:</w:t>
      </w:r>
    </w:p>
    <w:p>
      <w:bookmarkStart w:id="4217" w:name="EV_to_SalesAmazon_com_29_23___2"/>
      <w:pPr>
        <w:keepNext/>
        <w:pStyle w:val="Para 07"/>
        <w:keepLines w:val="on"/>
      </w:pPr>
      <w:r>
        <w:t>EV trên Doanh thuAmazon.com=29,23−2,46 ln(1.920)+0,48(2,12)+9,34(1,4810)=25,48</w:t>
      </w:r>
      <w:bookmarkEnd w:id="4217"/>
    </w:p>
    <w:p>
      <w:pPr>
        <w:pStyle w:val="Para 04"/>
        <w:keepLines w:val="on"/>
      </w:pPr>
      <w:r>
        <w:t>Với tỷ lệ EV trên doanh thu thực tế là 6,69, Amazon trông có vẻ bị định giá thấp đáng kể so với các công ty Internet khác.</w:t>
      </w:r>
    </w:p>
    <w:p>
      <w:pPr>
        <w:pStyle w:val="Para 04"/>
        <w:keepLines w:val="on"/>
      </w:pPr>
      <w:r>
        <w:t>Dù sao đi nữa, các hồi quy này quá nhiễu để có thể đặt nhiều trọng lượng vào các dự đoán. Thực tế, khả năng giải thích thấp với các yếu tố cơ bản và sự khác biệt khổng lồ trong các thước đo giá trị tương đối nên là một lời cảnh báo về việc sử dụng các bội số trong những lĩnh vực như thế này, nơi các công ty đang trong giai đoạn chuyển đổi và thay đổi mạnh mẽ qua từng thời kỳ.</w:t>
      </w:r>
    </w:p>
    <w:p>
      <w:pPr>
        <w:pStyle w:val="Para 11"/>
      </w:pPr>
      <w:r>
        <w:t/>
        <w:t xml:space="preserve"> </w:t>
      </w:r>
    </w:p>
    <w:p>
      <w:bookmarkStart w:id="4218" w:name="ILLUSTRATION_20_13__Revenue_Mult"/>
      <w:bookmarkStart w:id="4219" w:name="ILLUSTRATION_20_13__Revenue_Mult_1"/>
      <w:pPr>
        <w:keepNext/>
        <w:pStyle w:val="Para 19"/>
        <w:keepLines w:val="on"/>
      </w:pPr>
      <w:r>
        <w:t>MINH HỌA 20.13: Bội số doanh thu và biên lợi nhuận: Whole Foods và ngành tạp hóa theo thời gian</w:t>
      </w:r>
      <w:bookmarkEnd w:id="4218"/>
      <w:bookmarkEnd w:id="4219"/>
    </w:p>
    <w:p>
      <w:pPr>
        <w:pStyle w:val="Para 04"/>
        <w:keepLines w:val="on"/>
      </w:pPr>
      <w:r>
        <w:t>Nếu bản chất của việc tìm kiếm cổ phiếu rẻ trong định giá tương đối là phát hiện những sự không khớp, thì việc kiếm tiền từ những cổ phiếu này chỉ có thể thực hiện được nếu những sự không khớp đó được điều chỉnh theo thời gian. Nói cách khác, bạn có thể mua một cổ phiếu có biên lợi nhuận cao đang giao dịch ở bội số doanh thu thấp, nhưng bạn cần bội số doanh thu tăng lên để khớp với biên lợi nhuận cao đó thì mới kiếm được tiền từ cổ phiếu này.</w:t>
      </w:r>
    </w:p>
    <w:p>
      <w:pPr>
        <w:pStyle w:val="Para 04"/>
        <w:keepLines w:val="on"/>
      </w:pPr>
      <w:r>
        <w:t>Để minh họa quá trình này, chúng ta sẽ theo dõi Whole Foods từ tháng 1 năm 2007 đến tháng 5 năm 2011. Chúng ta sẽ bắt đầu bằng việc vẽ biểu đồ Whole Foods vào tháng 1 năm 2007 trong Hình 20.6, so với các công ty còn lại trong ngành tạp hóa; đường hồi quy cho tỷ lệ giá trên doanh thu cũng được thể hiện trên biểu đồ.2 Như biểu đồ phân tán của giá trên doanh thu so với biên lợi nhuận ròng của ngành cho thấy, Whole Foods nổi bật với tỷ lệ giá trên doanh thu cao nhất (1,40) và biên lợi nhuận hoạt động cao thứ hai (3,41%) trong ngành.</w:t>
      </w:r>
    </w:p>
    <w:p>
      <w:bookmarkStart w:id="4223" w:name="Figure_20_6_Price_to_Sales_Ratio"/>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295400" cy="1384300"/>
            <wp:effectExtent l="0" r="0" t="0" b="0"/>
            <wp:wrapTopAndBottom/>
            <wp:docPr id="201" name="c20f006.png" descr="Increase in price to sales ratio for grocery sectors in 2007. Lower ratio indicate cheap stocks and higher ratio indicate overpriced stocks."/>
            <wp:cNvGraphicFramePr>
              <a:graphicFrameLocks noChangeAspect="1"/>
            </wp:cNvGraphicFramePr>
            <a:graphic>
              <a:graphicData uri="http://schemas.openxmlformats.org/drawingml/2006/picture">
                <pic:pic>
                  <pic:nvPicPr>
                    <pic:cNvPr id="0" name="c20f006.png" descr="Increase in price to sales ratio for grocery sectors in 2007. Lower ratio indicate cheap stocks and higher ratio indicate overpriced stocks."/>
                    <pic:cNvPicPr/>
                  </pic:nvPicPr>
                  <pic:blipFill>
                    <a:blip r:embed="rId140"/>
                    <a:stretch>
                      <a:fillRect/>
                    </a:stretch>
                  </pic:blipFill>
                  <pic:spPr>
                    <a:xfrm>
                      <a:off x="0" y="0"/>
                      <a:ext cx="1295400" cy="1384300"/>
                    </a:xfrm>
                    <a:prstGeom prst="rect">
                      <a:avLst/>
                    </a:prstGeom>
                  </pic:spPr>
                </pic:pic>
              </a:graphicData>
            </a:graphic>
          </wp:anchor>
        </w:drawing>
      </w:r>
      <w:bookmarkEnd w:id="4223"/>
    </w:p>
    <w:p>
      <w:pPr>
        <w:keepNext/>
        <w:pStyle w:val="Para 38"/>
        <w:keepLines w:val="on"/>
      </w:pPr>
      <w:r>
        <w:t>Hình 20.6 Tỷ lệ giá trên doanh thu và biên lợi nhuận ròng: Ngành tạp hóa vào tháng 1 năm 2007</w:t>
      </w:r>
    </w:p>
    <w:p>
      <w:pPr>
        <w:pStyle w:val="Para 04"/>
        <w:keepLines w:val="on"/>
      </w:pPr>
      <w:r>
        <w:t>Để xem liệu biên lợi nhuận cao hơn mà Whole Foods kiếm được có nên biện minh cho tỷ lệ giá trên doanh thu là 1,41 hay không, chúng tôi đã hồi quy tỷ lệ giá trên doanh thu theo biên lợi nhuận ròng của ngành:</w:t>
      </w:r>
    </w:p>
    <w:p>
      <w:pPr>
        <w:pStyle w:val="Para 40"/>
        <w:keepLines w:val="on"/>
      </w:pPr>
      <w:r>
        <w:rPr>
          <w:rStyle w:val="Text26"/>
        </w:rPr>
        <w:bookmarkStart w:id="4224" w:name="Page_638"/>
        <w:t/>
        <w:bookmarkEnd w:id="4224"/>
      </w:r>
      <w:r>
        <w:t xml:space="preserve"> </w:t>
      </w:r>
    </w:p>
    <w:p>
      <w:bookmarkStart w:id="4225" w:name="PS__0_16_33_26_Net_profit_margin"/>
      <w:pPr>
        <w:keepNext/>
        <w:pStyle w:val="Para 07"/>
        <w:keepLines w:val="on"/>
      </w:pPr>
      <w:r>
        <w:t>PS=-0,16+33,26(Biên lợi nhuận ròng)</w:t>
      </w:r>
      <w:bookmarkEnd w:id="4225"/>
    </w:p>
    <w:p>
      <w:pPr>
        <w:pStyle w:val="Para 04"/>
        <w:keepLines w:val="on"/>
      </w:pPr>
      <w:r>
        <w:t>Thay biên lợi nhuận ròng của Whole Foods vào hồi quy, chúng ta có:</w:t>
      </w:r>
    </w:p>
    <w:p>
      <w:bookmarkStart w:id="4227" w:name="PSWFM__0_16_33_26__0341___97"/>
      <w:pPr>
        <w:keepNext/>
        <w:pStyle w:val="Para 07"/>
        <w:keepLines w:val="on"/>
      </w:pPr>
      <w:r>
        <w:t>PSWFM=-0,16+33,26(,0341)=,97</w:t>
      </w:r>
      <w:bookmarkEnd w:id="4227"/>
    </w:p>
    <w:p>
      <w:pPr>
        <w:pStyle w:val="Para 04"/>
        <w:keepLines w:val="on"/>
      </w:pPr>
      <w:r>
        <w:t>Ngay cả sau khi kiểm soát biên lợi nhuận cao hơn, Whole Foods trông có vẻ bị định giá cao đáng kể ở mức 1,41 lần doanh thu.</w:t>
      </w:r>
    </w:p>
    <w:p>
      <w:pPr>
        <w:pStyle w:val="Para 04"/>
        <w:keepLines w:val="on"/>
      </w:pPr>
      <w:r>
        <w:t>Vào tháng 1 năm 2009, chúng tôi đã xem xét lại ngành tạp hóa và vẽ biểu đồ tỷ lệ giá trên doanh thu so với biên lợi nhuận ròng (xem Hình 20.7). Trong hai năm xen giữa, Whole Foods dường như đã mất thiện cảm với các nhà đầu tư. Khi biên lợi nhuận ròng của nó giảm xuống còn 2,77%, tỷ lệ giá trên doanh thu của nó cũng giảm mạnh hơn xuống còn 0,31.</w:t>
      </w:r>
    </w:p>
    <w:p>
      <w:bookmarkStart w:id="4229" w:name="Figure_20_7_Price_to_Sales_Ratio"/>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917700"/>
            <wp:effectExtent l="0" r="0" t="0" b="0"/>
            <wp:wrapTopAndBottom/>
            <wp:docPr id="202" name="c20f007.png" descr="Increase in price to sales ratio for grocery sectors in 2009. Lower ratio indicate cheap stocks and higher ratio indicate overpriced stocks."/>
            <wp:cNvGraphicFramePr>
              <a:graphicFrameLocks noChangeAspect="1"/>
            </wp:cNvGraphicFramePr>
            <a:graphic>
              <a:graphicData uri="http://schemas.openxmlformats.org/drawingml/2006/picture">
                <pic:pic>
                  <pic:nvPicPr>
                    <pic:cNvPr id="0" name="c20f007.png" descr="Increase in price to sales ratio for grocery sectors in 2009. Lower ratio indicate cheap stocks and higher ratio indicate overpriced stocks."/>
                    <pic:cNvPicPr/>
                  </pic:nvPicPr>
                  <pic:blipFill>
                    <a:blip r:embed="rId141"/>
                    <a:stretch>
                      <a:fillRect/>
                    </a:stretch>
                  </pic:blipFill>
                  <pic:spPr>
                    <a:xfrm>
                      <a:off x="0" y="0"/>
                      <a:ext cx="2438400" cy="1917700"/>
                    </a:xfrm>
                    <a:prstGeom prst="rect">
                      <a:avLst/>
                    </a:prstGeom>
                  </pic:spPr>
                </pic:pic>
              </a:graphicData>
            </a:graphic>
          </wp:anchor>
        </w:drawing>
      </w:r>
      <w:bookmarkEnd w:id="4229"/>
    </w:p>
    <w:p>
      <w:pPr>
        <w:keepNext/>
        <w:pStyle w:val="Para 38"/>
        <w:keepLines w:val="on"/>
      </w:pPr>
      <w:r>
        <w:t>Hình 20.7 Tỷ lệ giá trên doanh thu và biên lợi nhuận ròng: Ngành tạp hóa vào tháng 1 năm 2009</w:t>
      </w:r>
    </w:p>
    <w:p>
      <w:pPr>
        <w:pStyle w:val="Para 04"/>
        <w:keepLines w:val="on"/>
      </w:pPr>
      <w:r>
        <w:t>Để đánh giá liệu thị trường có phản ứng thái quá với sự sụt giảm biên lợi nhuận hay không, chúng tôi đã hồi quy tỷ lệ giá trên doanh thu theo biên lợi nhuận ròng và thu được kết quả sau:</w:t>
      </w:r>
    </w:p>
    <w:p>
      <w:bookmarkStart w:id="4230" w:name="PS_0_07_10_49_Net_profit_margin"/>
      <w:pPr>
        <w:keepNext/>
        <w:pStyle w:val="Para 07"/>
        <w:keepLines w:val="on"/>
      </w:pPr>
      <w:r>
        <w:t>PS=0,07+10,49 Biên lợi nhuận ròng</w:t>
      </w:r>
      <w:bookmarkEnd w:id="4230"/>
    </w:p>
    <w:p>
      <w:pPr>
        <w:pStyle w:val="Para 04"/>
        <w:keepLines w:val="on"/>
      </w:pPr>
      <w:r>
        <w:t>Thay biên lợi nhuận ròng của Whole Foods vào hồi quy, chúng ta có:</w:t>
      </w:r>
    </w:p>
    <w:p>
      <w:bookmarkStart w:id="4231" w:name="PSWFM_0_07_10_49__0277__0_36"/>
      <w:pPr>
        <w:keepNext/>
        <w:pStyle w:val="Para 07"/>
        <w:keepLines w:val="on"/>
      </w:pPr>
      <w:r>
        <w:t>PSWFM=0,07+10,49(,0277)=0,36</w:t>
      </w:r>
      <w:bookmarkEnd w:id="4231"/>
    </w:p>
    <w:p>
      <w:pPr>
        <w:pStyle w:val="Para 04"/>
        <w:keepLines w:val="on"/>
      </w:pPr>
      <w:r>
        <w:t>Whole Foods giờ đây trông có vẻ bị định giá thấp ở mức 0,31 lần doanh thu, dù nó chỉ nằm ngay trên giới hạn dưới của ý nghĩa thống kê.</w:t>
      </w:r>
    </w:p>
    <w:p>
      <w:pPr>
        <w:pStyle w:val="Para 04"/>
        <w:keepLines w:val="on"/>
      </w:pPr>
      <w:r>
        <w:t>Tiến thêm một năm đến tháng 1 năm 2010, chúng tôi lại vẽ biểu đồ tỷ lệ giá trên doanh thu so với biên lợi nhuận ròng của các cửa hàng tạp hóa. Trong khi biên lợi nhuận ròng của Whole Foods giảm xuống còn 1,44% trong năm, tỷ lệ giá trên doanh thu của nó lại tăng lên 0,50, đưa nó vào đúng vị trí giữa nhóm (xem Hình 20.8).</w:t>
      </w:r>
    </w:p>
    <w:p>
      <w:bookmarkStart w:id="4234" w:name="Figure_20_8_Price_to_Sales_Ratio"/>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13000" cy="2273300"/>
            <wp:effectExtent l="0" r="0" t="0" b="0"/>
            <wp:wrapTopAndBottom/>
            <wp:docPr id="203" name="c20f008.png" descr="Increase in price to sales ratio for grocery sectors in 2010. Lower ratio indicate cheap stocks and higher ratio indicate overpriced stocks."/>
            <wp:cNvGraphicFramePr>
              <a:graphicFrameLocks noChangeAspect="1"/>
            </wp:cNvGraphicFramePr>
            <a:graphic>
              <a:graphicData uri="http://schemas.openxmlformats.org/drawingml/2006/picture">
                <pic:pic>
                  <pic:nvPicPr>
                    <pic:cNvPr id="0" name="c20f008.png" descr="Increase in price to sales ratio for grocery sectors in 2010. Lower ratio indicate cheap stocks and higher ratio indicate overpriced stocks."/>
                    <pic:cNvPicPr/>
                  </pic:nvPicPr>
                  <pic:blipFill>
                    <a:blip r:embed="rId142"/>
                    <a:stretch>
                      <a:fillRect/>
                    </a:stretch>
                  </pic:blipFill>
                  <pic:spPr>
                    <a:xfrm>
                      <a:off x="0" y="0"/>
                      <a:ext cx="2413000" cy="2273300"/>
                    </a:xfrm>
                    <a:prstGeom prst="rect">
                      <a:avLst/>
                    </a:prstGeom>
                  </pic:spPr>
                </pic:pic>
              </a:graphicData>
            </a:graphic>
          </wp:anchor>
        </w:drawing>
      </w:r>
      <w:bookmarkEnd w:id="4234"/>
    </w:p>
    <w:p>
      <w:pPr>
        <w:keepNext/>
        <w:pStyle w:val="Para 38"/>
        <w:keepLines w:val="on"/>
      </w:pPr>
      <w:r>
        <w:t>HÌNH 20.8 Tỷ lệ Giá trên Doanh thu và Biên lợi nhuận ròng: Ngành tạp hóa tháng 1 năm 2010</w:t>
      </w:r>
    </w:p>
    <w:p>
      <w:pPr>
        <w:pStyle w:val="Para 04"/>
        <w:keepLines w:val="on"/>
      </w:pPr>
      <w:r>
        <w:t>Một lần nữa, chúng tôi hồi quy tỷ lệ giá trên doanh thu (price-to-sales ratio) theo biên lợi nhuận ròng (net margin) của ngành:</w:t>
      </w:r>
    </w:p>
    <w:p>
      <w:bookmarkStart w:id="4235" w:name="PS_0_06_11_43_Net_profit_margin"/>
      <w:pPr>
        <w:keepNext/>
        <w:pStyle w:val="Para 07"/>
        <w:keepLines w:val="on"/>
      </w:pPr>
      <w:r>
        <w:t>PS = 0,06 + 11,43 Biên lợi nhuận ròng</w:t>
      </w:r>
      <w:bookmarkEnd w:id="4235"/>
    </w:p>
    <w:p>
      <w:pPr>
        <w:pStyle w:val="Para 04"/>
        <w:keepLines w:val="on"/>
      </w:pPr>
      <w:r>
        <w:t>Thay biên lợi nhuận ròng của Whole Foods vào phương trình hồi quy, ta được:</w:t>
      </w:r>
    </w:p>
    <w:p>
      <w:bookmarkStart w:id="4236" w:name="PSWFM_0_06_11_43__0144__0_22"/>
      <w:pPr>
        <w:keepNext/>
        <w:pStyle w:val="Para 07"/>
        <w:keepLines w:val="on"/>
      </w:pPr>
      <w:r>
        <w:t>PSWFM = 0,06 + 11,43 (0,0144) = 0,22</w:t>
      </w:r>
      <w:bookmarkEnd w:id="4236"/>
    </w:p>
    <w:p>
      <w:pPr>
        <w:pStyle w:val="Para 04"/>
        <w:keepLines w:val="on"/>
      </w:pPr>
      <w:r>
        <w:t>Whole Foods quay trở lại trạng thái bị định giá quá cao vào năm 2010, và nó chỉ nằm ngay trên ngưỡng trên của mức ý nghĩa thống kê.</w:t>
      </w:r>
    </w:p>
    <w:p>
      <w:pPr>
        <w:pStyle w:val="Para 04"/>
        <w:keepLines w:val="on"/>
      </w:pPr>
      <w:r>
        <w:t>Cuối cùng, chúng tôi xem xét lại ngành này vào tháng 5 năm 2011 và vẽ biểu đồ tỷ lệ giá trên doanh thu theo biên lợi nhuận ròng của các công ty trong ngành. Như đã lưu ý trong các minh họa trước, Whole Foods đã lấy lại vị thế cao cấp về mặt định giá, giao dịch ở mức 1,11 lần doanh thu, và biên lợi nhuận ròng của nó đã tăng lên 2,73%. (Xem Hình 20.9.)</w:t>
      </w:r>
    </w:p>
    <w:p>
      <w:bookmarkStart w:id="4238" w:name="Figure_20_9_Price_to_Sales_Ratio"/>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2273300"/>
            <wp:effectExtent l="0" r="0" t="0" b="0"/>
            <wp:wrapTopAndBottom/>
            <wp:docPr id="204" name="c20f009.png" descr="Increase in price to sales ratio for grocery sectors in 2011. Lower ratio indicate cheap stocks and higher ratio indicate overpriced stocks."/>
            <wp:cNvGraphicFramePr>
              <a:graphicFrameLocks noChangeAspect="1"/>
            </wp:cNvGraphicFramePr>
            <a:graphic>
              <a:graphicData uri="http://schemas.openxmlformats.org/drawingml/2006/picture">
                <pic:pic>
                  <pic:nvPicPr>
                    <pic:cNvPr id="0" name="c20f009.png" descr="Increase in price to sales ratio for grocery sectors in 2011. Lower ratio indicate cheap stocks and higher ratio indicate overpriced stocks."/>
                    <pic:cNvPicPr/>
                  </pic:nvPicPr>
                  <pic:blipFill>
                    <a:blip r:embed="rId143"/>
                    <a:stretch>
                      <a:fillRect/>
                    </a:stretch>
                  </pic:blipFill>
                  <pic:spPr>
                    <a:xfrm>
                      <a:off x="0" y="0"/>
                      <a:ext cx="2425700" cy="2273300"/>
                    </a:xfrm>
                    <a:prstGeom prst="rect">
                      <a:avLst/>
                    </a:prstGeom>
                  </pic:spPr>
                </pic:pic>
              </a:graphicData>
            </a:graphic>
          </wp:anchor>
        </w:drawing>
      </w:r>
      <w:bookmarkEnd w:id="4238"/>
    </w:p>
    <w:p>
      <w:pPr>
        <w:keepNext/>
        <w:pStyle w:val="Para 38"/>
        <w:keepLines w:val="on"/>
      </w:pPr>
      <w:r>
        <w:t>HÌNH 20.9 Tỷ lệ Giá trên Doanh thu và Biên lợi nhuận ròng: Ngành tạp hóa tháng 5 năm 2011</w:t>
      </w:r>
    </w:p>
    <w:p>
      <w:pPr>
        <w:pStyle w:val="Para 04"/>
        <w:keepLines w:val="on"/>
      </w:pPr>
      <w:r>
        <w:t>Hồi quy tỷ lệ giá trên doanh thu theo biên lợi nhuận ròng, ta được:</w:t>
      </w:r>
    </w:p>
    <w:p>
      <w:bookmarkStart w:id="4240" w:name="PS_0_304_0_126_Net_profit_margin"/>
      <w:pPr>
        <w:keepNext/>
        <w:pStyle w:val="Para 07"/>
        <w:keepLines w:val="on"/>
      </w:pPr>
      <w:r>
        <w:t>PS = 0,304 + 0,126 Biên lợi nhuận ròng</w:t>
      </w:r>
      <w:bookmarkEnd w:id="4240"/>
    </w:p>
    <w:p>
      <w:pPr>
        <w:pStyle w:val="Para 04"/>
        <w:keepLines w:val="on"/>
      </w:pPr>
      <w:r>
        <w:t>Thay biên lợi nhuận ròng của Whole Foods vào phương trình hồi quy, ta được:</w:t>
      </w:r>
    </w:p>
    <w:p>
      <w:bookmarkStart w:id="4241" w:name="PSWFM_0_304_12_60__0273__0_65"/>
      <w:pPr>
        <w:keepNext/>
        <w:pStyle w:val="Para 07"/>
        <w:keepLines w:val="on"/>
      </w:pPr>
      <w:r>
        <w:t>PSWFM = 0,304 + 12,60 (0,0273) = 0,65</w:t>
      </w:r>
      <w:bookmarkEnd w:id="4241"/>
    </w:p>
    <w:p>
      <w:pPr>
        <w:pStyle w:val="Para 04"/>
        <w:keepLines w:val="on"/>
      </w:pPr>
      <w:r>
        <w:t>Whole Foods có vẻ bị định giá quá cao đáng kể vào tháng 5 năm 2011.</w:t>
      </w:r>
    </w:p>
    <w:p>
      <w:pPr>
        <w:pStyle w:val="Para 04"/>
        <w:keepLines w:val="on"/>
      </w:pPr>
      <w:r>
        <w:t>Nhìn lại thì những phương trình hồi quy này sẽ gợi ý bán khống (sell short) cổ phiếu Whole Foods vào tháng 1 năm 2007, mua lại cổ phiếu vào tháng 1 năm 2009, và quay lại bán khống vào tháng 1 năm 2010. Hai hành động đầu tiên sẽ tạo ra lợi nhuận đáng kể, nhưng hành động cuối cùng sẽ lỗ vì cổ phiếu này còn bị định giá quá cao hơn nữa từ năm 2010 đến năm 2011.</w:t>
      </w:r>
    </w:p>
    <w:p>
      <w:bookmarkStart w:id="4242" w:name="Market_Regressions__If_you_can_c"/>
      <w:pPr>
        <w:pStyle w:val="Para 21"/>
      </w:pPr>
      <w:r>
        <w:t>Hồi quy Thị trường</w:t>
      </w:r>
      <w:bookmarkEnd w:id="4242"/>
    </w:p>
    <w:p>
      <w:pPr>
        <w:pStyle w:val="Para 03"/>
      </w:pPr>
      <w:r>
        <w:t>Nếu bạn có thể kiểm soát sự khác biệt giữa các công ty bằng một phương trình hồi quy, bạn có thể mở rộng cách tiếp cận này để xem xét các nhóm công ty rộng hơn nhiều. Ở đây, dữ liệu chéo (cross-sectional data) được dùng để ước lượng tỷ lệ giá trên doanh thu như một hàm của các biến cơ bản—biên lợi nhuận, tỷ lệ chi trả cổ tức (dividend payout), beta, và tốc độ tăng trưởng thu nhập.</w:t>
      </w:r>
    </w:p>
    <w:p>
      <w:pPr>
        <w:pStyle w:val="Para 03"/>
      </w:pPr>
      <w:r>
        <w:t>Cách tiếp cận này có thể được mở rộng để bao quát toàn bộ thị trường. Trong ấn bản đầu tiên của cuốn sách này, các phương trình hồi quy tỷ lệ giá trên doanh thu theo các yếu tố cơ bản—tỷ lệ chi trả cổ tức, tốc độ tăng trưởng thu nhập, biên lợi nhuận, và beta—đã được chạy cho từng năm từ 1987 đến 1991 trong Bảng 20.11:</w:t>
      </w:r>
    </w:p>
    <w:p>
      <w:pPr>
        <w:pStyle w:val="Para 34"/>
        <w:keepLines w:val="on"/>
      </w:pPr>
      <w:r>
        <w:t>BẢNG 20.11</w:t>
      </w:r>
    </w:p>
    <w:p>
      <w:pPr>
        <w:keepNext/>
        <w:pStyle w:val="Para 35"/>
        <w:keepLines w:val="on"/>
      </w:pPr>
      <w:r>
        <w:t>Hồi quy Thị trường cho Giá trên Doanh thu—1987–1991</w:t>
      </w:r>
    </w:p>
    <w:tbl>
      <w:tblPr>
        <w:tblW w:type="auto" w:w="0"/>
      </w:tblPr>
      <w:tr>
        <w:tc>
          <w:tcPr>
            <w:tcW w:type="auto" w:w="0"/>
          </w:tcPr>
          <w:tbl>
            <w:tblPr>
              <w:tblW w:type="auto" w:w="0"/>
            </w:tblPr>
            <w:tr>
              <w:tc>
                <w:tcPr>
                  <w:tcW w:type="auto" w:w="0"/>
                  <w:shd w:val="clear" w:color="auto" w:fill="F0F0F0"/>
                </w:tcPr>
                <w:p>
                  <w:pPr>
                    <w:pStyle w:val="Para 17"/>
                    <w:keepLines w:val="on"/>
                  </w:pPr>
                  <w:r>
                    <w:t>Năm</w:t>
                  </w:r>
                </w:p>
              </w:tc>
              <w:tc>
                <w:tcPr>
                  <w:tcW w:type="auto" w:w="0"/>
                  <w:shd w:val="clear" w:color="auto" w:fill="F0F0F0"/>
                </w:tcPr>
                <w:p>
                  <w:pPr>
                    <w:pStyle w:val="Para 17"/>
                    <w:keepLines w:val="on"/>
                  </w:pPr>
                  <w:r>
                    <w:t>Phương trình hồi quy</w:t>
                  </w:r>
                </w:p>
              </w:tc>
              <w:tc>
                <w:tcPr>
                  <w:tcW w:type="auto" w:w="0"/>
                  <w:shd w:val="clear" w:color="auto" w:fill="F0F0F0"/>
                </w:tcPr>
                <w:p>
                  <w:pPr>
                    <w:pStyle w:val="Para 17"/>
                    <w:keepLines w:val="on"/>
                  </w:pPr>
                  <w:r>
                    <w:t>R bình phương</w:t>
                  </w:r>
                </w:p>
              </w:tc>
            </w:tr>
            <w:tr>
              <w:tc>
                <w:tcPr>
                  <w:tcW w:type="auto" w:w="0"/>
                  <w:shd w:val="clear" w:color="auto" w:fill="F0F0F0"/>
                </w:tcPr>
                <w:p>
                  <w:pPr>
                    <w:pStyle w:val="Normal"/>
                    <w:keepLines w:val="on"/>
                  </w:pPr>
                  <w:r>
                    <w:t>1987</w:t>
                  </w:r>
                </w:p>
              </w:tc>
              <w:tc>
                <w:tcPr>
                  <w:tcW w:type="auto" w:w="0"/>
                  <w:shd w:val="clear" w:color="auto" w:fill="F0F0F0"/>
                </w:tcPr>
                <w:p>
                  <w:pPr>
                    <w:pStyle w:val="Para 02"/>
                    <w:keepLines w:val="on"/>
                  </w:pPr>
                  <w:r>
                    <w:t>PS = 0,7894 + 0,0008 Payout – 0,2734 Beta + 0,5022 EGR + 6,46 Margin</w:t>
                  </w:r>
                </w:p>
              </w:tc>
              <w:tc>
                <w:tcPr>
                  <w:tcW w:type="auto" w:w="0"/>
                  <w:shd w:val="clear" w:color="auto" w:fill="F0F0F0"/>
                </w:tcPr>
                <w:p>
                  <w:pPr>
                    <w:pStyle w:val="Normal"/>
                    <w:keepLines w:val="on"/>
                  </w:pPr>
                  <w:r>
                    <w:t>0,4434</w:t>
                  </w:r>
                </w:p>
              </w:tc>
            </w:tr>
            <w:tr>
              <w:tc>
                <w:tcPr>
                  <w:tcW w:type="auto" w:w="0"/>
                  <w:shd w:val="clear" w:color="auto" w:fill="F0F0F0"/>
                </w:tcPr>
                <w:p>
                  <w:pPr>
                    <w:pStyle w:val="Normal"/>
                    <w:keepLines w:val="on"/>
                  </w:pPr>
                  <w:r>
                    <w:t>1988</w:t>
                  </w:r>
                </w:p>
              </w:tc>
              <w:tc>
                <w:tcPr>
                  <w:tcW w:type="auto" w:w="0"/>
                  <w:shd w:val="clear" w:color="auto" w:fill="F0F0F0"/>
                </w:tcPr>
                <w:p>
                  <w:pPr>
                    <w:pStyle w:val="Para 02"/>
                    <w:keepLines w:val="on"/>
                  </w:pPr>
                  <w:r>
                    <w:t>PS = 0.1660 + .0006 Payout – 0.0692 Beta + 0.5504 EGR + 10.31 Margin</w:t>
                  </w:r>
                </w:p>
              </w:tc>
              <w:tc>
                <w:tcPr>
                  <w:tcW w:type="auto" w:w="0"/>
                  <w:shd w:val="clear" w:color="auto" w:fill="F0F0F0"/>
                </w:tcPr>
                <w:p>
                  <w:pPr>
                    <w:pStyle w:val="Normal"/>
                    <w:keepLines w:val="on"/>
                  </w:pPr>
                  <w:r>
                    <w:t>0.7856</w:t>
                  </w:r>
                </w:p>
              </w:tc>
            </w:tr>
            <w:tr>
              <w:tc>
                <w:tcPr>
                  <w:tcW w:type="auto" w:w="0"/>
                  <w:shd w:val="clear" w:color="auto" w:fill="F0F0F0"/>
                </w:tcPr>
                <w:p>
                  <w:pPr>
                    <w:pStyle w:val="Normal"/>
                    <w:keepLines w:val="on"/>
                  </w:pPr>
                  <w:r>
                    <w:t>1989</w:t>
                  </w:r>
                </w:p>
              </w:tc>
              <w:tc>
                <w:tcPr>
                  <w:tcW w:type="auto" w:w="0"/>
                  <w:shd w:val="clear" w:color="auto" w:fill="F0F0F0"/>
                </w:tcPr>
                <w:p>
                  <w:pPr>
                    <w:pStyle w:val="Para 02"/>
                    <w:keepLines w:val="on"/>
                  </w:pPr>
                  <w:r>
                    <w:t>PS = 0.4911 + .0393 Payout – 0.0282 Beta + 0.2836 EGR + 10.25 Margin</w:t>
                  </w:r>
                </w:p>
              </w:tc>
              <w:tc>
                <w:tcPr>
                  <w:tcW w:type="auto" w:w="0"/>
                  <w:shd w:val="clear" w:color="auto" w:fill="F0F0F0"/>
                </w:tcPr>
                <w:p>
                  <w:pPr>
                    <w:pStyle w:val="Normal"/>
                    <w:keepLines w:val="on"/>
                  </w:pPr>
                  <w:r>
                    <w:t>0.4601</w:t>
                  </w:r>
                </w:p>
              </w:tc>
            </w:tr>
            <w:tr>
              <w:tc>
                <w:tcPr>
                  <w:tcW w:type="auto" w:w="0"/>
                  <w:shd w:val="clear" w:color="auto" w:fill="F0F0F0"/>
                </w:tcPr>
                <w:p>
                  <w:pPr>
                    <w:pStyle w:val="Normal"/>
                    <w:keepLines w:val="on"/>
                  </w:pPr>
                  <w:r>
                    <w:t>1990</w:t>
                  </w:r>
                </w:p>
              </w:tc>
              <w:tc>
                <w:tcPr>
                  <w:tcW w:type="auto" w:w="0"/>
                  <w:shd w:val="clear" w:color="auto" w:fill="F0F0F0"/>
                </w:tcPr>
                <w:p>
                  <w:pPr>
                    <w:pStyle w:val="Para 02"/>
                    <w:keepLines w:val="on"/>
                  </w:pPr>
                  <w:r>
                    <w:t>PS = 0.0826 + .0105 Payout – 0.1073 Beta + 0.5449 EGR + 10.36 Margin</w:t>
                  </w:r>
                </w:p>
              </w:tc>
              <w:tc>
                <w:tcPr>
                  <w:tcW w:type="auto" w:w="0"/>
                  <w:shd w:val="clear" w:color="auto" w:fill="F0F0F0"/>
                </w:tcPr>
                <w:p>
                  <w:pPr>
                    <w:pStyle w:val="Normal"/>
                    <w:keepLines w:val="on"/>
                  </w:pPr>
                  <w:r>
                    <w:t>0.8885</w:t>
                  </w:r>
                </w:p>
              </w:tc>
            </w:tr>
            <w:tr>
              <w:tc>
                <w:tcPr>
                  <w:tcW w:type="auto" w:w="0"/>
                  <w:shd w:val="clear" w:color="auto" w:fill="F0F0F0"/>
                </w:tcPr>
                <w:p>
                  <w:pPr>
                    <w:pStyle w:val="Normal"/>
                    <w:keepLines w:val="on"/>
                  </w:pPr>
                  <w:r>
                    <w:t>1991</w:t>
                  </w:r>
                </w:p>
              </w:tc>
              <w:tc>
                <w:tcPr>
                  <w:tcW w:type="auto" w:w="0"/>
                  <w:shd w:val="clear" w:color="auto" w:fill="F0F0F0"/>
                </w:tcPr>
                <w:p>
                  <w:pPr>
                    <w:pStyle w:val="Para 02"/>
                    <w:keepLines w:val="on"/>
                  </w:pPr>
                  <w:r>
                    <w:t>PS = 0.5189 + 0.2749 Payout – 0.2485 Beta + 0.4948 EGR + 8.17 Margin</w:t>
                  </w:r>
                </w:p>
              </w:tc>
              <w:tc>
                <w:tcPr>
                  <w:tcW w:type="auto" w:w="0"/>
                  <w:shd w:val="clear" w:color="auto" w:fill="F0F0F0"/>
                </w:tcPr>
                <w:p>
                  <w:pPr>
                    <w:pStyle w:val="Normal"/>
                    <w:keepLines w:val="on"/>
                  </w:pPr>
                  <w:r>
                    <w:t>0.4853</w:t>
                  </w:r>
                </w:p>
              </w:tc>
            </w:tr>
          </w:tbl>
          <w:p/>
        </w:tc>
      </w:tr>
    </w:tbl>
    <w:p>
      <w:bookmarkStart w:id="4245" w:name="where__________PS_Price_sales_ra"/>
      <w:pPr>
        <w:pStyle w:val="Para 39"/>
      </w:pPr>
      <w:r>
        <w:t>trong đó PS = Tỷ lệ giá trên doanh thu (Price-sales ratio) vào cuối nămPayout = Tỷ lệ chi trả cổ tức (Payout ratio) = Cổ tức/Lợi nhuận vào cuối nămBeta = Beta của cổ phiếuMargin = Biên lợi nhuận (Profit margin) trong năm = Thu nhập ròng/Doanh thu trong năm (tính theo %)EGR = Tốc độ tăng trưởng lợi nhuận (Earnings growth rate) trong năm năm trước đó</w:t>
      </w:r>
      <w:bookmarkEnd w:id="4245"/>
    </w:p>
    <w:p>
      <w:pPr>
        <w:pStyle w:val="Para 03"/>
      </w:pPr>
      <w:r>
        <w:t>Các hồi quy này đã được cập nhật trong Bảng 20.12 vào tháng 1 năm 2024 cho tỷ lệ EV/Doanh thu (EV/Sales) của các công ty niêm yết đại chúng, được phân chia theo khu vực địa lý:</w:t>
      </w:r>
    </w:p>
    <w:p>
      <w:pPr>
        <w:pStyle w:val="Para 34"/>
        <w:keepLines w:val="on"/>
      </w:pPr>
      <w:r>
        <w:t>Bảng 20.12</w:t>
      </w:r>
    </w:p>
    <w:p>
      <w:pPr>
        <w:keepNext/>
        <w:pStyle w:val="Para 35"/>
        <w:keepLines w:val="on"/>
      </w:pPr>
      <w:r>
        <w:t>Hồi quy thị trường cho EV trên Doanh thu — Đầu năm 2024</w:t>
      </w:r>
    </w:p>
    <w:tbl>
      <w:tblPr>
        <w:tblW w:type="auto" w:w="0"/>
      </w:tblPr>
      <w:tr>
        <w:tc>
          <w:tcPr>
            <w:tcW w:type="auto" w:w="0"/>
          </w:tcPr>
          <w:tbl>
            <w:tblPr>
              <w:tblW w:type="auto" w:w="0"/>
            </w:tblPr>
            <w:tr>
              <w:tc>
                <w:tcPr>
                  <w:tcW w:type="auto" w:w="0"/>
                  <w:shd w:val="clear" w:color="auto" w:fill="F0F0F0"/>
                </w:tcPr>
                <w:p>
                  <w:pPr>
                    <w:pStyle w:val="Para 29"/>
                    <w:keepLines w:val="on"/>
                  </w:pPr>
                  <w:r>
                    <w:t>Khu vực</w:t>
                  </w:r>
                </w:p>
              </w:tc>
              <w:tc>
                <w:tcPr>
                  <w:tcW w:type="auto" w:w="0"/>
                  <w:shd w:val="clear" w:color="auto" w:fill="F0F0F0"/>
                </w:tcPr>
                <w:p>
                  <w:pPr>
                    <w:pStyle w:val="Para 17"/>
                    <w:keepLines w:val="on"/>
                  </w:pPr>
                  <w:r>
                    <w:t>Hồi quy</w:t>
                  </w:r>
                </w:p>
              </w:tc>
              <w:tc>
                <w:tcPr>
                  <w:tcW w:type="auto" w:w="0"/>
                  <w:shd w:val="clear" w:color="auto" w:fill="F0F0F0"/>
                </w:tcPr>
                <w:p>
                  <w:pPr>
                    <w:pStyle w:val="Para 17"/>
                    <w:keepLines w:val="on"/>
                  </w:pPr>
                  <w:r>
                    <w:t>R bình phương</w:t>
                  </w:r>
                </w:p>
              </w:tc>
            </w:tr>
            <w:tr>
              <w:tc>
                <w:tcPr>
                  <w:tcW w:type="auto" w:w="0"/>
                  <w:shd w:val="clear" w:color="auto" w:fill="F0F0F0"/>
                </w:tcPr>
                <w:p>
                  <w:pPr>
                    <w:pStyle w:val="Para 02"/>
                    <w:keepLines w:val="on"/>
                  </w:pPr>
                  <w:r>
                    <w:t>Hoa Kỳ</w:t>
                  </w:r>
                </w:p>
              </w:tc>
              <w:tc>
                <w:tcPr>
                  <w:tcW w:type="auto" w:w="0"/>
                  <w:shd w:val="clear" w:color="auto" w:fill="F0F0F0"/>
                </w:tcPr>
                <w:p>
                  <w:pPr>
                    <w:pStyle w:val="Para 02"/>
                    <w:keepLines w:val="on"/>
                  </w:pPr>
                  <w:r>
                    <w:t>EV/S = 0.81 + 9.86 g + 8.19 OM − 1.60 DFR− 5.88 Thuế suất</w:t>
                  </w:r>
                </w:p>
              </w:tc>
              <w:tc>
                <w:tcPr>
                  <w:tcW w:type="auto" w:w="0"/>
                  <w:shd w:val="clear" w:color="auto" w:fill="F0F0F0"/>
                </w:tcPr>
                <w:p>
                  <w:pPr>
                    <w:pStyle w:val="Normal"/>
                    <w:keepLines w:val="on"/>
                  </w:pPr>
                  <w:r>
                    <w:t>36.0%</w:t>
                  </w:r>
                </w:p>
              </w:tc>
            </w:tr>
            <w:tr>
              <w:tc>
                <w:tcPr>
                  <w:tcW w:type="auto" w:w="0"/>
                  <w:shd w:val="clear" w:color="auto" w:fill="F0F0F0"/>
                </w:tcPr>
                <w:p>
                  <w:pPr>
                    <w:pStyle w:val="Para 02"/>
                    <w:keepLines w:val="on"/>
                  </w:pPr>
                  <w:r>
                    <w:t>Châu Âu</w:t>
                  </w:r>
                </w:p>
              </w:tc>
              <w:tc>
                <w:tcPr>
                  <w:tcW w:type="auto" w:w="0"/>
                  <w:shd w:val="clear" w:color="auto" w:fill="F0F0F0"/>
                </w:tcPr>
                <w:p>
                  <w:pPr>
                    <w:pStyle w:val="Para 02"/>
                    <w:keepLines w:val="on"/>
                  </w:pPr>
                  <w:r>
                    <w:t>EV/S = 1.52 + 5.96 g + 6.13 OM − 2.04 DFR− 0.15 Thuế suất</w:t>
                  </w:r>
                </w:p>
              </w:tc>
              <w:tc>
                <w:tcPr>
                  <w:tcW w:type="auto" w:w="0"/>
                  <w:shd w:val="clear" w:color="auto" w:fill="F0F0F0"/>
                </w:tcPr>
                <w:p>
                  <w:pPr>
                    <w:pStyle w:val="Normal"/>
                    <w:keepLines w:val="on"/>
                  </w:pPr>
                  <w:r>
                    <w:t>14.3%</w:t>
                  </w:r>
                </w:p>
              </w:tc>
            </w:tr>
            <w:tr>
              <w:tc>
                <w:tcPr>
                  <w:tcW w:type="auto" w:w="0"/>
                  <w:shd w:val="clear" w:color="auto" w:fill="F0F0F0"/>
                </w:tcPr>
                <w:p>
                  <w:pPr>
                    <w:pStyle w:val="Para 02"/>
                    <w:keepLines w:val="on"/>
                  </w:pPr>
                  <w:r>
                    <w:t>Nhật Bản</w:t>
                  </w:r>
                </w:p>
              </w:tc>
              <w:tc>
                <w:tcPr>
                  <w:tcW w:type="auto" w:w="0"/>
                  <w:shd w:val="clear" w:color="auto" w:fill="F0F0F0"/>
                </w:tcPr>
                <w:p>
                  <w:pPr>
                    <w:pStyle w:val="Para 02"/>
                    <w:keepLines w:val="on"/>
                  </w:pPr>
                  <w:r>
                    <w:t>EV/S = 1,13 + 3,82 g + 8,97 OM + 0,33 DFR− 1,59 Thuế suất</w:t>
                  </w:r>
                </w:p>
              </w:tc>
              <w:tc>
                <w:tcPr>
                  <w:tcW w:type="auto" w:w="0"/>
                  <w:shd w:val="clear" w:color="auto" w:fill="F0F0F0"/>
                </w:tcPr>
                <w:p>
                  <w:pPr>
                    <w:pStyle w:val="Normal"/>
                    <w:keepLines w:val="on"/>
                  </w:pPr>
                  <w:r>
                    <w:t>29,1%</w:t>
                  </w:r>
                </w:p>
              </w:tc>
            </w:tr>
            <w:tr>
              <w:tc>
                <w:tcPr>
                  <w:tcW w:type="auto" w:w="0"/>
                  <w:shd w:val="clear" w:color="auto" w:fill="F0F0F0"/>
                </w:tcPr>
                <w:p>
                  <w:pPr>
                    <w:pStyle w:val="Para 02"/>
                    <w:keepLines w:val="on"/>
                  </w:pPr>
                  <w:r>
                    <w:t>Úc, New Zealand &amp; Canada</w:t>
                  </w:r>
                </w:p>
              </w:tc>
              <w:tc>
                <w:tcPr>
                  <w:tcW w:type="auto" w:w="0"/>
                  <w:shd w:val="clear" w:color="auto" w:fill="F0F0F0"/>
                </w:tcPr>
                <w:p>
                  <w:pPr>
                    <w:pStyle w:val="Para 02"/>
                    <w:keepLines w:val="on"/>
                  </w:pPr>
                  <w:r>
                    <w:t>EV/S = 1,39 + 3,02 g + 4,31 OM + 1,21 DFR+ 3,18 Thuế suất</w:t>
                  </w:r>
                </w:p>
              </w:tc>
              <w:tc>
                <w:tcPr>
                  <w:tcW w:type="auto" w:w="0"/>
                  <w:shd w:val="clear" w:color="auto" w:fill="F0F0F0"/>
                </w:tcPr>
                <w:p>
                  <w:pPr>
                    <w:pStyle w:val="Normal"/>
                    <w:keepLines w:val="on"/>
                  </w:pPr>
                  <w:r>
                    <w:t>14,7%</w:t>
                  </w:r>
                </w:p>
              </w:tc>
            </w:tr>
            <w:tr>
              <w:tc>
                <w:tcPr>
                  <w:tcW w:type="auto" w:w="0"/>
                  <w:shd w:val="clear" w:color="auto" w:fill="F0F0F0"/>
                </w:tcPr>
                <w:p>
                  <w:pPr>
                    <w:pStyle w:val="Para 02"/>
                    <w:keepLines w:val="on"/>
                  </w:pPr>
                  <w:r>
                    <w:t>Các thị trường mới nổi</w:t>
                  </w:r>
                </w:p>
              </w:tc>
              <w:tc>
                <w:tcPr>
                  <w:tcW w:type="auto" w:w="0"/>
                  <w:shd w:val="clear" w:color="auto" w:fill="F0F0F0"/>
                </w:tcPr>
                <w:p>
                  <w:pPr>
                    <w:pStyle w:val="Para 02"/>
                    <w:keepLines w:val="on"/>
                  </w:pPr>
                  <w:r>
                    <w:t>EV/S = 3,07 + 1,48 g + 4,29 OM − 0,24 DFR- 2,22 Thuế suất</w:t>
                  </w:r>
                </w:p>
              </w:tc>
              <w:tc>
                <w:tcPr>
                  <w:tcW w:type="auto" w:w="0"/>
                  <w:shd w:val="clear" w:color="auto" w:fill="F0F0F0"/>
                </w:tcPr>
                <w:p>
                  <w:pPr>
                    <w:pStyle w:val="Normal"/>
                    <w:keepLines w:val="on"/>
                  </w:pPr>
                  <w:r>
                    <w:t>8,9%</w:t>
                  </w:r>
                </w:p>
              </w:tc>
            </w:tr>
            <w:tr>
              <w:tc>
                <w:tcPr>
                  <w:tcW w:type="auto" w:w="0"/>
                  <w:shd w:val="clear" w:color="auto" w:fill="F0F0F0"/>
                </w:tcPr>
                <w:p>
                  <w:pPr>
                    <w:pStyle w:val="Para 02"/>
                    <w:keepLines w:val="on"/>
                  </w:pPr>
                  <w:r>
                    <w:t>Toàn cầu</w:t>
                  </w:r>
                </w:p>
              </w:tc>
              <w:tc>
                <w:tcPr>
                  <w:tcW w:type="auto" w:w="0"/>
                  <w:shd w:val="clear" w:color="auto" w:fill="F0F0F0"/>
                </w:tcPr>
                <w:p>
                  <w:pPr>
                    <w:pStyle w:val="Para 02"/>
                    <w:keepLines w:val="on"/>
                  </w:pPr>
                  <w:r>
                    <w:t>EV/S= 3,35 + 3,36 g + 6,45 OM - 0,52 DFR− 3,82 Thuế suất</w:t>
                  </w:r>
                </w:p>
              </w:tc>
              <w:tc>
                <w:tcPr>
                  <w:tcW w:type="auto" w:w="0"/>
                  <w:shd w:val="clear" w:color="auto" w:fill="F0F0F0"/>
                </w:tcPr>
                <w:p>
                  <w:pPr>
                    <w:pStyle w:val="Normal"/>
                    <w:keepLines w:val="on"/>
                  </w:pPr>
                  <w:r>
                    <w:t>18,0%</w:t>
                  </w:r>
                </w:p>
              </w:tc>
            </w:tr>
          </w:tbl>
          <w:p/>
        </w:tc>
      </w:tr>
    </w:tbl>
    <w:p>
      <w:bookmarkStart w:id="4248" w:name="where__________g_Expected_growth"/>
      <w:pPr>
        <w:pStyle w:val="Para 39"/>
      </w:pPr>
      <w:r>
        <w:t>trong đó g = Tốc độ tăng trưởng kỳ vọng của thu nhập trên mỗi cổ phiếu (5 năm tới)OM = Thu nhập hoạt động gần nhất/Doanh thuDFR = Nợ/(Nợ+Vốn chủ sở hữu) theo giá trị thị trườngThuế suất = Thuế suất thực tế trong năm gần nhất</w:t>
      </w:r>
      <w:bookmarkEnd w:id="4248"/>
    </w:p>
    <w:p>
      <w:pPr>
        <w:pStyle w:val="Para 03"/>
      </w:pPr>
      <w:r>
        <w:t>Sự khác biệt trong các bội số doanh thu được giải thích rõ nhất bởi sự biến động của biên lợi nhuận hoạt động, mặc dù mức độ giải thích thay đổi rất nhiều trên khắp thế giới.</w:t>
      </w:r>
    </w:p>
    <w:p>
      <w:pPr>
        <w:pStyle w:val="Para 11"/>
      </w:pPr>
      <w:r>
        <w:t/>
        <w:t xml:space="preserve"> </w:t>
      </w:r>
    </w:p>
    <w:p>
      <w:bookmarkStart w:id="4249" w:name="ILLUSTRATION_20_14__Pricing_Cost_1"/>
      <w:bookmarkStart w:id="4250" w:name="ILLUSTRATION_20_14__Pricing_Cost"/>
      <w:pPr>
        <w:keepNext/>
        <w:pStyle w:val="Para 19"/>
        <w:keepLines w:val="on"/>
      </w:pPr>
      <w:r>
        <w:t>VÍ DỤ MINH HỌA 20.14: Định giá Costco và Tesco</w:t>
      </w:r>
      <w:bookmarkEnd w:id="4249"/>
      <w:bookmarkEnd w:id="4250"/>
    </w:p>
    <w:p>
      <w:pPr>
        <w:pStyle w:val="Para 04"/>
        <w:keepLines w:val="on"/>
      </w:pPr>
      <w:r>
        <w:t>Chúng ta sẽ thử ước tính bội số EV-tren-doanh thu (EV-to-sales) cho Costco (một nhà bán lẻ đại siêu thị của Mỹ, với mô hình đăng ký hội viên) và Tesco (một nhà bán lẻ có trụ sở tại Anh) vào tháng 5 năm 2024, dựa trên các hồi quy thị trường trước đó.</w:t>
      </w:r>
    </w:p>
    <w:p>
      <w:pPr>
        <w:pStyle w:val="Para 04"/>
        <w:keepLines w:val="on"/>
      </w:pPr>
      <w:r>
        <w:t>Đầu tiên, chúng ta đưa các con số của Costco vào hồi quy EV-tren-doanh thu của Mỹ, với các đầu vào sau:</w:t>
      </w:r>
    </w:p>
    <w:p>
      <w:bookmarkStart w:id="4252" w:name="Costco_s_operating_margin_3_76_C"/>
      <w:pPr>
        <w:keepNext/>
        <w:pStyle w:val="Para 07"/>
        <w:keepLines w:val="on"/>
      </w:pPr>
      <w:r>
        <w:t>Biên lợi nhuận hoạt động của Costco = 3,76%Tốc độ tăng trưởng doanh thu kỳ vọng của Costco = 7,20%Tỷ lệ nợ trên vốn của Costco = 3,00%Thuế suất của Costco = 22,15%</w:t>
      </w:r>
      <w:bookmarkEnd w:id="4252"/>
    </w:p>
    <w:p>
      <w:pPr>
        <w:pStyle w:val="Para 04"/>
        <w:keepLines w:val="on"/>
      </w:pPr>
      <w:r>
        <w:t>Kết quả định giá, sử dụng hồi quy thị trường Mỹ, là:</w:t>
      </w:r>
    </w:p>
    <w:p>
      <w:bookmarkStart w:id="4253" w:name="US_Regression__EV_S__1_81_9_86_g"/>
      <w:pPr>
        <w:keepNext/>
        <w:pStyle w:val="Para 07"/>
        <w:keepLines w:val="on"/>
      </w:pPr>
      <w:r>
        <w:t>Hồi quy Mỹ: EV/S =1,81+9,86(g)+8,19(OM)-1,60(DFR)-5,88(Thuế suất)EV/Doanh thu của Costco =1,81+9,86(.072)+8,19(.0376)-1,60(.03)-5,88(.2215)=1,48</w:t>
      </w:r>
      <w:bookmarkEnd w:id="4253"/>
    </w:p>
    <w:p>
      <w:pPr>
        <w:pStyle w:val="Para 04"/>
        <w:keepLines w:val="on"/>
      </w:pPr>
      <w:r>
        <w:t>Con số này cao hơn tỷ lệ giá-tren-doanh thu (price-to-sales) thực tế của Costco, là 1,31, vào tháng 5 năm 2024; cổ phiếu có vẻ đang bị định giá thấp, xét theo cách phần còn lại của thị trường đang được định giá.</w:t>
      </w:r>
    </w:p>
    <w:p>
      <w:pPr>
        <w:pStyle w:val="Para 04"/>
        <w:keepLines w:val="on"/>
      </w:pPr>
      <w:r>
        <w:t>Tiếp theo, chúng ta ước tính tỷ lệ EV-tren-doanh thu cho Tesco, sử dụng hồi quy EV-tren-doanh thu của châu Âu. Các đầu vào sau:</w:t>
      </w:r>
    </w:p>
    <w:p>
      <w:bookmarkStart w:id="4254" w:name="Tesco_s_operating_margin__OM__4"/>
      <w:pPr>
        <w:keepNext/>
        <w:pStyle w:val="Para 07"/>
        <w:keepLines w:val="on"/>
      </w:pPr>
      <w:r>
        <w:t>Biên lợi nhuận hoạt động của Tesco (OM) = 4,11%Tốc độ tăng trưởng doanh thu kỳ vọng của Tesco (g) = 1,5%Tỷ lệ nợ trên vốn của Tesco (DFR) = 40,35%Thuế suất của Tesco = 18,5%</w:t>
      </w:r>
      <w:bookmarkEnd w:id="4254"/>
    </w:p>
    <w:p>
      <w:pPr>
        <w:pStyle w:val="Para 04"/>
        <w:keepLines w:val="on"/>
      </w:pPr>
      <w:r>
        <w:t>Kết quả định giá, sử dụng hồi quy thị trường Mỹ, là:</w:t>
      </w:r>
    </w:p>
    <w:p>
      <w:bookmarkStart w:id="4255" w:name="Europe_Regression__EV_Sales_1_52"/>
      <w:pPr>
        <w:keepNext/>
        <w:pStyle w:val="Para 07"/>
        <w:keepLines w:val="on"/>
      </w:pPr>
      <w:r>
        <w:t>Hồi quy châu Âu: EV/Doanh thu =1,52+5,96 g+6,13 OM−2,04 DFR−0,15 Thuế suấtCủa Tesco: EV/Doanh thu =1,52+5,96(.015)+6,13(.0411)−2,04(.4035)−0,15(.185)=1,01</w:t>
      </w:r>
      <w:bookmarkEnd w:id="4255"/>
    </w:p>
    <w:p>
      <w:pPr>
        <w:pStyle w:val="Para 04"/>
        <w:keepLines w:val="on"/>
      </w:pPr>
      <w:r>
        <w:t>Tesco đang giao dịch ở mức 0,47 lần doanh thu trong 12 tháng gần nhất vào tháng 5 năm 2024, khiến nó bị định giá thấp đáng kể.</w:t>
      </w:r>
    </w:p>
    <w:p>
      <w:pPr>
        <w:pStyle w:val="Para 20"/>
      </w:pPr>
      <w:r>
        <w:rPr>
          <w:rStyle w:val="Text26"/>
        </w:rPr>
        <w:bookmarkStart w:id="4256" w:name="Page_643"/>
        <w:t/>
        <w:bookmarkEnd w:id="4256"/>
      </w:r>
      <w:r>
        <w:t xml:space="preserve"> </w:t>
      </w:r>
    </w:p>
    <w:p>
      <w:bookmarkStart w:id="4257" w:name="Multiples_of_Revenues_in_Future_1"/>
      <w:bookmarkStart w:id="4258" w:name="Multiples_of_Revenues_in_Future"/>
      <w:pPr>
        <w:keepNext/>
        <w:pStyle w:val="Heading 4"/>
        <w:keepLines w:val="on"/>
      </w:pPr>
      <w:r>
        <w:t>Bội số của Doanh thu trong Những năm Tương lai</w:t>
      </w:r>
      <w:bookmarkEnd w:id="4257"/>
      <w:bookmarkEnd w:id="4258"/>
    </w:p>
    <w:p>
      <w:pPr>
        <w:pStyle w:val="Para 03"/>
      </w:pPr>
      <w:r>
        <w:t>Chương 18 đã xem xét việc sử dụng giá trị thị trường của vốn chủ sở hữu như một bội số của thu nhập trong một năm tương lai. Bội số doanh thu cũng có thể được đo lường dựa trên doanh thu tương lai. Vì vậy, bạn có thể ước tính giá trị như một bội số của doanh thu năm năm kể từ bây giờ. Có một số lợi thế khi làm điều này:</w:t>
      </w:r>
    </w:p>
    <w:p>
      <w:pPr>
        <w:numPr>
          <w:ilvl w:val="0"/>
          <w:numId w:val="190"/>
        </w:numPr>
        <w:pStyle w:val="Para 01"/>
      </w:pPr>
      <w:r>
        <w:t>Đối với những công ty hiện có ít doanh thu nhưng được kỳ vọng sẽ tăng trưởng nhanh chóng theo thời gian, doanh thu trong tương lai—giả sử năm năm kể từ bây giờ—có khả năng phản ánh tiềm năng thực sự của công ty tốt hơn so với doanh thu hiện tại.</w:t>
      </w:r>
    </w:p>
    <w:p>
      <w:pPr>
        <w:numPr>
          <w:ilvl w:val="0"/>
          <w:numId w:val="190"/>
        </w:numPr>
        <w:pStyle w:val="Para 01"/>
      </w:pPr>
      <w:r>
        <w:t>Việc ước tính bội số doanh thu sẽ dễ dàng hơn khi tốc độ tăng trưởng đã ổn định và hồ sơ rủi ro của công ty đã ổn định. Điều này có nhiều khả năng xảy ra năm năm kể từ bây giờ hơn là hiện tại đối với các công ty tăng trưởng trẻ.</w:t>
      </w:r>
    </w:p>
    <w:p>
      <w:pPr>
        <w:pStyle w:val="Para 03"/>
      </w:pPr>
      <w:r>
        <w:t>Giả sử rằng doanh thu năm năm kể từ bây giờ sẽ được sử dụng để ước tính giá trị, vậy nên sử dụng bội số nào trên doanh thu này? Bạn có ba lựa chọn. Một là sử dụng bội số trung bình của giá trị (hiện tại) so với doanh thu hiện tại của các công ty tương đương để ước tính giá trị năm năm kể từ bây giờ, rồi chiết khấu giá trị đó về hiện tại. Ví dụ, hãy xem Tesla vào năm 2010, khi doanh thu hiện tại chỉ là 117 triệu đô la, nhưng chúng ta kỳ vọng sẽ tăng lên 4.877 tỷ đô la trong 10 năm. Nếu tỷ lệ EV-to-sales (giá trị doanh nghiệp trên doanh thu) trung bình của các hãng ô tô trưởng thành hơn là 0,82, giá trị ước tính của Tesla có thể được ước tính như sau:</w:t>
      </w:r>
    </w:p>
    <w:p>
      <w:bookmarkStart w:id="4259" w:name="Revenues_at_Tesla_Motors_in_10_y"/>
      <w:pPr>
        <w:keepNext/>
        <w:pStyle w:val="Para 09"/>
        <w:keepLines w:val="on"/>
      </w:pPr>
      <w:r>
        <w:t>Doanh thu tại Tesla Motors trong 10 năm = 4.877 triệu đô la EV ước tính cho Tesla Motors trong 10 năm = $4.877 × 0,82 = $3.999 triệu</w:t>
      </w:r>
      <w:bookmarkEnd w:id="4259"/>
    </w:p>
    <w:p>
      <w:pPr>
        <w:pStyle w:val="Para 03"/>
      </w:pPr>
      <w:r>
        <w:t>Nếu chi phí vốn của Tesla trong mười năm tới được kỳ vọng là 12%, bạn có thể ước tính giá trị doanh nghiệp hiện tại:</w:t>
      </w:r>
    </w:p>
    <w:p>
      <w:bookmarkStart w:id="4260" w:name="Value_of_firm_today_Estimated_EV"/>
      <w:pPr>
        <w:keepNext/>
        <w:pStyle w:val="Para 09"/>
        <w:keepLines w:val="on"/>
      </w:pPr>
      <w:r>
        <w:t>Giá trị công ty hiện tại = EV ước tính trong mười năm / (1 + Chi phí vốn)^10 = $3.999 / (1,12)^10 = $1.288 triệu</w:t>
      </w:r>
      <w:bookmarkEnd w:id="4260"/>
    </w:p>
    <w:p>
      <w:pPr>
        <w:pStyle w:val="Para 03"/>
      </w:pPr>
      <w:r>
        <w:t>Chúng ta đang bỏ qua các dòng tiền trong 10 năm tới trong tính toán này. Cộng thêm số dư tiền mặt hiện tại (196 triệu đô la), trừ đi nợ chưa thanh toán (106 triệu đô la), trừ đi giá trị quyền chọn của ban quản lý (152 triệu đô la), và chia cho số lượng cổ phiếu (94,908 triệu) sẽ cho ra giá trị mỗi cổ phiếu là $12,91:</w:t>
      </w:r>
    </w:p>
    <w:p>
      <w:bookmarkStart w:id="4261" w:name="Value_per_share_1_288_196___106"/>
      <w:pPr>
        <w:keepNext/>
        <w:pStyle w:val="Para 09"/>
        <w:keepLines w:val="on"/>
      </w:pPr>
      <w:r>
        <w:t>Giá trị mỗi cổ phiếu = (1.288 + 196 − 106 − 152) / 94,908 = $12,91</w:t>
      </w:r>
      <w:bookmarkEnd w:id="4261"/>
    </w:p>
    <w:p>
      <w:pPr>
        <w:pStyle w:val="Para 03"/>
      </w:pPr>
      <w:r>
        <w:t>Cách tiếp cận thứ hai là dự báo doanh thu kỳ vọng trong mười năm cho mỗi công ty tương đương, và chia giá trị hiện tại của mỗi công ty cho doanh thu này. Bội số của giá trị hiện tại so với doanh thu tương lai này có thể được sử dụng để ước tính giá trị hiện tại. Để minh họa, nếu giá trị hiện tại bằng 0,4 lần doanh thu trong 10 năm đối với các hãng ô tô khác, giá trị của Tesla Motors có thể được ước tính như sau:</w:t>
      </w:r>
    </w:p>
    <w:p>
      <w:bookmarkStart w:id="4262" w:name="Revenues_at_Tesla_in_10_years__4"/>
      <w:pPr>
        <w:keepNext/>
        <w:pStyle w:val="Para 09"/>
        <w:keepLines w:val="on"/>
      </w:pPr>
      <w:r>
        <w:t>Doanh thu tại Tesla trong 10 năm = 4.877 triệu đô la</w:t>
      </w:r>
      <w:bookmarkEnd w:id="4262"/>
    </w:p>
    <w:p>
      <w:bookmarkStart w:id="4263" w:name="Enterprise_value_today_Revenues"/>
      <w:pPr>
        <w:keepNext/>
        <w:pStyle w:val="Para 09"/>
        <w:keepLines w:val="on"/>
      </w:pPr>
      <w:r>
        <w:t>Giá trị doanh nghiệp hiện tại = Doanh thu trong 10 năm × (EV hiện tại / Doanh thu năm thứ 10) = $4.877 × (0,4) = $1.951 triệu</w:t>
      </w:r>
      <w:bookmarkEnd w:id="4263"/>
    </w:p>
    <w:p>
      <w:pPr>
        <w:pStyle w:val="Para 03"/>
      </w:pPr>
      <w:r>
        <w:t>Trong cách tiếp cận thứ ba, bạn có thể điều chỉnh bội số của doanh thu tương lai cho sự khác biệt về biên lợi nhuận hoạt động, tăng trưởng và rủi ro giữa công ty và các công ty tương đương. Ví dụ, Tesla Motors, 10 năm kể từ bây giờ sẽ có biên lợi nhuận hoạt động kỳ vọng là 10%, và tốc độ tăng trưởng kỳ vọng là 3,5% trong những năm tiếp theo.</w:t>
      </w:r>
    </w:p>
    <w:p>
      <w:pPr>
        <w:pStyle w:val="Para 03"/>
      </w:pPr>
      <w:r>
        <w:t>Bạn có thể chạy một hồi quy của tỷ lệ EV/sales so với tốc độ tăng trưởng kỳ vọng và biên lợi nhuận hoạt động tại các công ty ô tô hiện nay, rồi thay các giá trị của Tesla Motors vào hồi quy để có được tỷ lệ EV-to-sales dự đoán cho công ty trong 10 năm. EV dự đoán đó sẽ được sử dụng thay vì mức trung bình ngành để ước tính giá trị tương lai.</w:t>
      </w:r>
    </w:p>
    <w:p>
      <w:bookmarkStart w:id="4265" w:name="Sector_Specific_Multiples_1"/>
      <w:bookmarkStart w:id="4266" w:name="Sector_Specific_Multiples__The_v"/>
      <w:pPr>
        <w:keepNext/>
        <w:pStyle w:val="Heading 2"/>
        <w:keepLines w:val="on"/>
      </w:pPr>
      <w:r>
        <w:t>Bội số Đặc thù theo Ngành</w:t>
      </w:r>
      <w:bookmarkEnd w:id="4265"/>
      <w:bookmarkEnd w:id="4266"/>
    </w:p>
    <w:p>
      <w:pPr>
        <w:pStyle w:val="Para 03"/>
      </w:pPr>
      <w:r>
        <w:t>Giá trị của một công ty có thể được chuẩn hóa bằng cách sử dụng một số bội số đặc thù theo ngành. Giá trị của các công ty thép có thể được so sánh dựa trên giá trị thị trường trên mỗi tấn thép sản xuất, và giá trị của các nhà máy phát điện có thể được tính dựa trên kilowatt giờ (kwh) điện năng sản xuất. Trong vài năm qua, các nhà phân tích theo dõi các công ty công nghệ mới đã trở nên đặc biệt sáng tạo với các bội số, từ giá trị trên mỗi thuê bao đối với các nhà cung cấp dịch vụ trực tuyến, đến giá trị trên mỗi khách truy cập trang web đối với các cổng thông tin Internet, đến giá trị trên mỗi thành viên đối với các công ty truyền thông xã hội.</w:t>
      </w:r>
    </w:p>
    <w:p>
      <w:bookmarkStart w:id="4267" w:name="Why_Analysts_Use_Sector_Specific_1"/>
      <w:bookmarkStart w:id="4268" w:name="Why_Analysts_Use_Sector_Specific"/>
      <w:pPr>
        <w:keepNext/>
        <w:pStyle w:val="Heading 3"/>
        <w:keepLines w:val="on"/>
      </w:pPr>
      <w:r>
        <w:t>Tại sao các Nhà phân tích Sử dụng Bội số Đặc thù theo Ngành</w:t>
      </w:r>
      <w:bookmarkEnd w:id="4267"/>
      <w:bookmarkEnd w:id="4268"/>
    </w:p>
    <w:p>
      <w:pPr>
        <w:pStyle w:val="Para 03"/>
      </w:pPr>
      <w:r>
        <w:t>Sự gia tăng trong việc sử dụng các bội số đặc thù theo ngành trong vài năm qua đã mở ra một cuộc tranh luận về việc liệu chúng có đưa ra ước tính tốt về giá trị tương đối hay không. Có một số lý do tại sao các nhà phân tích sử dụng bội số đặc thù theo ngành:</w:t>
      </w:r>
    </w:p>
    <w:p>
      <w:pPr>
        <w:numPr>
          <w:ilvl w:val="0"/>
          <w:numId w:val="191"/>
        </w:numPr>
        <w:pStyle w:val="Para 01"/>
      </w:pPr>
      <w:r>
        <w:t>Chúng liên kết giá trị công ty với các chi tiết hoạt động và sản lượng. Đối với các nhà phân tích bắt đầu với những dự báo này—ví dụ, số lượng thuê bao dự đoán hoặc số lượng thành viên trang truyền thông xã hội—chúng cung cấp một cách ước tính giá trị trực quan hơn nhiều.</w:t>
      </w:r>
    </w:p>
    <w:p>
      <w:pPr>
        <w:numPr>
          <w:ilvl w:val="0"/>
          <w:numId w:val="191"/>
        </w:numPr>
        <w:pStyle w:val="Para 01"/>
      </w:pPr>
      <w:r>
        <w:t>Các bội số đặc thù theo ngành thường có thể được tính toán mà không cần tham chiếu đến báo cáo kế toán hay các thước đo kế toán. Do đó, chúng có thể được ước tính cho những công ty mà báo cáo kế toán không tồn tại, không đáng tin cậy, hoặc đơn giản là không thể so sánh được. Vì vậy, bạn có thể tính giá trị trên mỗi kwh bán ra cho các công ty điện lực Mỹ Latinh mà không phải lo lắng về sự khác biệt kế toán giữa các quốc gia này.</w:t>
      </w:r>
    </w:p>
    <w:p>
      <w:pPr>
        <w:numPr>
          <w:ilvl w:val="0"/>
          <w:numId w:val="191"/>
        </w:numPr>
        <w:pStyle w:val="Para 01"/>
      </w:pPr>
      <w:r>
        <w:t>Mặc dù điều này thường không được thừa nhận, các bội số đặc thù theo ngành đôi khi được sử dụng trong tình thế tuyệt vọng vì không có bội số nào khác có thể được ước tính hoặc sử dụng. Ví dụ, một động lực thúc đẩy việc sử dụng các bội số đặc thù theo ngành cho các công ty dot-com vào cuối những năm 1990 là chúng thường có thu nhập âm và ít giá trị sổ sách hoặc doanh thu.</w:t>
      </w:r>
    </w:p>
    <w:p>
      <w:bookmarkStart w:id="4269" w:name="Limitations__Though_it_is_unders"/>
      <w:bookmarkStart w:id="4270" w:name="Limitations_2"/>
      <w:pPr>
        <w:keepNext/>
        <w:pStyle w:val="Heading 3"/>
        <w:keepLines w:val="on"/>
      </w:pPr>
      <w:r>
        <w:t>Hạn chế</w:t>
      </w:r>
      <w:bookmarkEnd w:id="4269"/>
      <w:bookmarkEnd w:id="4270"/>
    </w:p>
    <w:p>
      <w:pPr>
        <w:pStyle w:val="Para 03"/>
      </w:pPr>
      <w:r>
        <w:t>Mặc dù có thể hiểu được rằng các nhà phân tích đôi khi chuyển sang sử dụng bội số đặc thù theo ngành, có hai vấn đề đáng kể liên quan đến việc sử dụng chúng:</w:t>
      </w:r>
    </w:p>
    <w:p>
      <w:pPr>
        <w:numPr>
          <w:ilvl w:val="0"/>
          <w:numId w:val="192"/>
        </w:numPr>
        <w:pStyle w:val="Para 01"/>
      </w:pPr>
      <w:r>
        <w:t>Chúng góp phần tạo nên lối nhìn hạn hẹp vốn là căn bệnh cố hữu của các nhà phân tích chỉ tập trung vào một ngành, và vì thế chúng khiến cả một ngành trở nên bị định giá quá cao. Một công ty dịch vụ đang giao dịch ở mức 50 đô-la cho mỗi thuê bao có thể trông rẻ khi đặt cạnh một công ty khác giao dịch ở mức 125 đô-la cho mỗi thuê bao, nhưng hoàn toàn có thể cả hai đều đang bị định giá quá cao hoặc quá thấp.</w:t>
      </w:r>
    </w:p>
    <w:p>
      <w:pPr>
        <w:numPr>
          <w:ilvl w:val="0"/>
          <w:numId w:val="192"/>
        </w:numPr>
        <w:pStyle w:val="Para 01"/>
      </w:pPr>
      <w:r>
        <w:t>Như sẽ được trình bày ở phần sau của chương này, mối quan hệ giữa các bội số đặc thù theo ngành (sector-specific multiples) với các yếu tố cơ bản là phức tạp, và do đó rất khó để kiểm soát những khác biệt giữa các công ty khi so sánh chúng bằng những bội số này.</w:t>
      </w:r>
    </w:p>
    <w:p>
      <w:bookmarkStart w:id="4272" w:name="Definitions_of_Sector_Specific_M_1"/>
      <w:bookmarkStart w:id="4273" w:name="Definitions_of_Sector_Specific_M"/>
      <w:pPr>
        <w:keepNext/>
        <w:pStyle w:val="Heading 3"/>
        <w:keepLines w:val="on"/>
      </w:pPr>
      <w:r>
        <w:t>Định nghĩa các bội số đặc thù theo ngành</w:t>
      </w:r>
      <w:bookmarkEnd w:id="4272"/>
      <w:bookmarkEnd w:id="4273"/>
    </w:p>
    <w:p>
      <w:pPr>
        <w:pStyle w:val="Para 03"/>
      </w:pPr>
      <w:r>
        <w:t>Bản chất của các bội số đặc thù theo ngành là cách đo lường chúng thay đổi tùy theo từng ngành. Tuy nhiên, nhìn chung chúng có chung một số đặc điểm sau:</w:t>
      </w:r>
    </w:p>
    <w:p>
      <w:pPr>
        <w:numPr>
          <w:ilvl w:val="0"/>
          <w:numId w:val="193"/>
        </w:numPr>
        <w:pStyle w:val="Para 01"/>
      </w:pPr>
      <w:r>
        <w:t>Tử số thường là giá trị doanh nghiệp (enterprise value) — tức giá trị thị trường của cả nợ lẫn vốn chủ sở hữu sau khi trừ đi tiền mặt và các chứng khoán có thể bán được.</w:t>
      </w:r>
    </w:p>
    <w:p>
      <w:pPr>
        <w:numPr>
          <w:ilvl w:val="0"/>
          <w:numId w:val="193"/>
        </w:numPr>
        <w:pStyle w:val="Para 01"/>
      </w:pPr>
      <w:r>
        <w:t>Mẫu số được định nghĩa dựa trên các đơn vị hoạt động tạo ra doanh thu và lợi nhuận cho công ty.</w:t>
      </w:r>
    </w:p>
    <w:p>
      <w:pPr>
        <w:pStyle w:val="Para 03"/>
      </w:pPr>
      <w:r>
        <w:t>Đối với các công ty hàng hóa như nhà máy lọc dầu và công ty khai thác vàng, nơi doanh thu được tạo ra bằng việc bán các đơn vị hàng hóa, giá trị thị trường có thể được chuẩn hóa bằng cách chia cho giá trị trữ lượng hàng hóa mà những công ty này nắm giữ:</w:t>
      </w:r>
    </w:p>
    <w:p>
      <w:bookmarkStart w:id="4274" w:name="Value_per_commodity_unit_in_rese"/>
      <w:pPr>
        <w:keepNext/>
        <w:pStyle w:val="Para 09"/>
        <w:keepLines w:val="on"/>
      </w:pPr>
      <w:r>
        <w:t>Giá trị trên mỗi đơn vị hàng hóa dự trữ=Giá trị doanh nghiệpSố đơn vị hàng hóa trong trữ lượng</w:t>
      </w:r>
      <w:bookmarkEnd w:id="4274"/>
    </w:p>
    <w:p>
      <w:pPr>
        <w:pStyle w:val="Para 03"/>
      </w:pPr>
      <w:r>
        <w:t>Các công ty dầu khí có thể được so sánh dựa trên giá trị doanh nghiệp trên mỗi thùng dầu trong trữ lượng, và các công ty khai thác vàng dựa trên giá trị doanh nghiệp trên mỗi ounce vàng trong trữ lượng.</w:t>
      </w:r>
    </w:p>
    <w:p>
      <w:pPr>
        <w:pStyle w:val="Para 03"/>
      </w:pPr>
      <w:r>
        <w:t>Đối với các công ty sản xuất tạo ra một sản phẩm đồng nhất (về chất lượng và đơn vị), giá trị thị trường có thể được chuẩn hóa bằng cách chia cho số đơn vị sản phẩm mà công ty sản xuất ra hoặc có năng lực sản xuất:</w:t>
      </w:r>
    </w:p>
    <w:p>
      <w:bookmarkStart w:id="4275" w:name="Value_per_commodity_unit_produce"/>
      <w:pPr>
        <w:keepNext/>
        <w:pStyle w:val="Para 09"/>
        <w:keepLines w:val="on"/>
      </w:pPr>
      <w:r>
        <w:t>Giá trị trên mỗi đơn vị hàng hóa sản xuất=Giá trị doanh nghiệpSố đơn vị được sản xuất</w:t>
      </w:r>
      <w:bookmarkEnd w:id="4275"/>
    </w:p>
    <w:p>
      <w:pPr>
        <w:pStyle w:val="Para 03"/>
      </w:pPr>
      <w:r>
        <w:t>Chẳng hạn, các công ty thép có thể được so sánh dựa trên giá trị doanh nghiệp trên mỗi tấn thép sản xuất ra hoặc theo năng lực sản xuất, và các công ty ô tô dựa trên giá trị doanh nghiệp trên mỗi chiếc ô tô bán ra.</w:t>
      </w:r>
    </w:p>
    <w:p>
      <w:pPr>
        <w:pStyle w:val="Para 03"/>
      </w:pPr>
      <w:r>
        <w:t>Đối với các công ty dựa trên thuê bao như công ty truyền hình cáp, nhà cung cấp dịch vụ trực tuyến và nhà cung cấp thông tin, doanh thu đến từ số lượng thuê bao của dịch vụ cơ bản được cung cấp. Ở đây, giá trị của một công ty có thể được diễn đạt theo số lượng thuê bao:</w:t>
      </w:r>
    </w:p>
    <w:p>
      <w:bookmarkStart w:id="4276" w:name="Enterprise_Value_per_subscriber"/>
      <w:pPr>
        <w:keepNext/>
        <w:pStyle w:val="Para 09"/>
        <w:keepLines w:val="on"/>
      </w:pPr>
      <w:r>
        <w:t>Giá trị doanh nghiệp trên mỗi thuê bao=Giá trị doanh nghiệpSố lượng thuê bao</w:t>
      </w:r>
      <w:bookmarkEnd w:id="4276"/>
    </w:p>
    <w:p>
      <w:pPr>
        <w:pStyle w:val="Para 03"/>
      </w:pPr>
      <w:r>
        <w:t>Trong mỗi trường hợp chúng ta đã thảo luận, bạn có thể lập luận cho việc sử dụng một bội số đặc thù theo ngành vì các đơn vị (dù là thùng dầu, kWh điện, hay thuê bao) tạo ra doanh thu tương tự nhau. Các bội số theo ngành trở nên rắc rối hơn nhiều khi các đơn vị được dùng để quy đổi giá trị không đồng nhất. Hãy xem xét hai ví dụ.</w:t>
      </w:r>
    </w:p>
    <w:p>
      <w:pPr>
        <w:pStyle w:val="Para 03"/>
      </w:pPr>
      <w:r>
        <w:t>Đối với các nhà bán lẻ tạo ra doanh thu từ khách hàng mua sắm tại cửa hàng hoặc trang web của họ, giá trị của công ty có thể được diễn đạt theo số lượng khách hàng thường xuyên:</w:t>
      </w:r>
    </w:p>
    <w:p>
      <w:bookmarkStart w:id="4278" w:name="Enterprise_Value_per_customers_E"/>
      <w:pPr>
        <w:keepNext/>
        <w:pStyle w:val="Para 09"/>
        <w:keepLines w:val="on"/>
      </w:pPr>
      <w:r>
        <w:t>Giá trị doanh nghiệp trên mỗi khách hàng=Giá trị doanh nghiệpSố lượng khách hàng trả tiền</w:t>
      </w:r>
      <w:bookmarkEnd w:id="4278"/>
    </w:p>
    <w:p>
      <w:pPr>
        <w:pStyle w:val="Para 03"/>
      </w:pPr>
      <w:r>
        <w:t>Vấn đề ở đây là số tiền chi tiêu có thể chênh lệch rất lớn giữa các khách hàng, nên không rõ rằng một công ty trông có vẻ rẻ theo tiêu chí này thực sự đang bị định giá thấp.</w:t>
      </w:r>
    </w:p>
    <w:p>
      <w:pPr>
        <w:pStyle w:val="Para 03"/>
      </w:pPr>
      <w:r>
        <w:t>Đối với các cổng thông tin trực tuyến hoặc mạng xã hội tạo ra doanh thu từ quảng cáo dựa trên lưu lượng truy cập vào các trang, doanh thu có thể được diễn đạt theo số lượng người dùng của trang:</w:t>
      </w:r>
    </w:p>
    <w:p>
      <w:bookmarkStart w:id="4279" w:name="Enterprise_Value_per_user_Enterp"/>
      <w:pPr>
        <w:keepNext/>
        <w:pStyle w:val="Para 09"/>
        <w:keepLines w:val="on"/>
      </w:pPr>
      <w:r>
        <w:t>Giá trị doanh nghiệp trên mỗi người dùng=Giá trị doanh nghiệpSố lượng người dùng của trang mạng xã hội</w:t>
      </w:r>
      <w:bookmarkEnd w:id="4279"/>
    </w:p>
    <w:p>
      <w:pPr>
        <w:pStyle w:val="Para 03"/>
      </w:pPr>
      <w:r>
        <w:t>Ở đây, một lần nữa, mối liên hệ giữa người truy cập và doanh thu quảng cáo vừa không được thiết lập rõ ràng vừa không hiển nhiên. Chẳng hạn vào năm 2024, có những trang mạng xã hội như Meta thu được doanh thu quảng cáo khổng lồ từ những người truy cập vào các trang của mình (Facebook, Instagram), và có những trang khác (SnapChat và Twitter) nơi việc kiếm tiền từ người dùng khó khăn hơn nhiều.</w:t>
      </w:r>
    </w:p>
    <w:p>
      <w:bookmarkStart w:id="4280" w:name="Determinants_of_User_Subscriber"/>
      <w:bookmarkStart w:id="4281" w:name="Determinants_of_User_Subscriber_1"/>
      <w:pPr>
        <w:keepNext/>
        <w:pStyle w:val="Heading 4"/>
        <w:keepLines w:val="on"/>
      </w:pPr>
      <w:r>
        <w:t>Các yếu tố quyết định giá trị người dùng/thuê bao</w:t>
      </w:r>
      <w:bookmarkEnd w:id="4280"/>
      <w:bookmarkEnd w:id="4281"/>
    </w:p>
    <w:p>
      <w:pPr>
        <w:pStyle w:val="Para 03"/>
      </w:pPr>
      <w:r>
        <w:t>Đâu là các yếu tố quyết định giá trị đối với những bội số đặc thù theo ngành này? Không có gì ngạc nhiên, chúng cũng chính là các yếu tố quyết định giá trị đối với các bội số khác — dòng tiền, tăng trưởng và rủi ro — dù mối quan hệ có thể phức tạp. Nếu bạn là một công ty dựa trên người dùng hoặc thuê bao với một người dùng (hay thuê bao) hiện hữu, thì người dùng/thuê bao đó có giá trị đối với bạn vì bạn kỳ vọng sẽ tạo ra dòng tiền từ những tương tác của họ với bạn. Nói một cách tổng quát, có ba cách (hay mô hình doanh thu) để bạn tạo ra những dòng tiền này:</w:t>
      </w:r>
    </w:p>
    <w:p>
      <w:pPr>
        <w:numPr>
          <w:ilvl w:val="0"/>
          <w:numId w:val="194"/>
        </w:numPr>
        <w:pStyle w:val="Para 01"/>
      </w:pPr>
      <w:r>
        <w:t>Phí thuê bao: Người dùng hoặc thuê bao trả một khoản phí, thường là cố định, mỗi kỳ để sử dụng dịch vụ của bạn. Khoản phí đó có thể giống nhau cho mọi thuê bao hoặc được chia theo bậc, với mức phí khác nhau cho các cấp độ dịch vụ khác nhau, và nhìn chung sẽ tiếp tục cho đến khi thuê bao hủy dịch vụ. Netflix, Office 365 của Microsoft và Creative Cloud của Adobe đều là những mô hình dựa trên phí thuê bao.</w:t>
      </w:r>
    </w:p>
    <w:p>
      <w:pPr>
        <w:numPr>
          <w:ilvl w:val="0"/>
          <w:numId w:val="194"/>
        </w:numPr>
        <w:pStyle w:val="Para 01"/>
      </w:pPr>
      <w:r>
        <w:t>Quảng cáo: Với mô hình này, người dùng không phải trả gì khi ở trên dịch vụ của bạn, nhưng các doanh nghiệp khác bị thu hút bởi tệp người dùng của bạn (quy mô và sự tập trung của nó) để cố gắng bán cho họ sản phẩm và dịch vụ. Facebook, Twitter, Snap và Google đều là những công ty dựa trên người dùng, tạo ra doanh thu bằng cách bán quyền tiếp cận tệp người dùng của mình cho các công ty khác dưới hình thức quảng cáo.</w:t>
      </w:r>
    </w:p>
    <w:p>
      <w:pPr>
        <w:numPr>
          <w:ilvl w:val="0"/>
          <w:numId w:val="194"/>
        </w:numPr>
        <w:pStyle w:val="Para 01"/>
      </w:pPr>
      <w:r>
        <w:t>Giao dịch: Với mô hình dựa trên giao dịch (transaction-based model), người dùng hoặc thuê bao thực hiện giao dịch với bạn hoặc thông qua bạn, và bạn tạo ra lợi nhuận từ giao dịch đó. Uber chẳng hạn, cho phép tải ứng dụng của mình miễn phí, nhưng chỉ tạo ra doanh thu khi bạn dùng ứng dụng để gọi xe hoặc giao hàng, và chia sẻ phần doanh thu từ giao dịch đó.</w:t>
      </w:r>
    </w:p>
    <w:p>
      <w:pPr>
        <w:pStyle w:val="Para 03"/>
      </w:pPr>
      <w:r>
        <w:t>Như bạn thấy đấy, có những phiên bản lai (hybrid) kết hợp nhiều hơn một mô hình trong số này. LinkedIn vừa có mô hình cao cấp dựa trên thuê bao (subscription-based premium model) dành cho người dùng muốn khai thác mạng lưới của mình nhiều hơn, vừa có mô hình miễn phí, nơi nó tạo doanh thu từ quảng cáo trực tuyến. Amazon Prime thu phí thuê bao hằng năm từ các thành viên, nhưng cũng tạo ra doanh thu (và chi phí đi kèm) khi thành viên Prime mua sản phẩm trên cổng thông tin Amazon.</w:t>
      </w:r>
    </w:p>
    <w:p>
      <w:pPr>
        <w:pStyle w:val="Para 03"/>
      </w:pPr>
      <w:r>
        <w:t>Dù bạn dùng mô hình doanh thu nào, giá trị của một người dùng hay một thuê bao chính là giá trị hiện tại (present value) của dòng tiền sau thuế kỳ vọng mà bạn sẽ tạo ra từ người dùng/thuê bao đó trong khoảng thời gian bạn kỳ vọng họ còn ở lại trên nền tảng của bạn. Để tính ra giá trị này, bạn sẽ cần những thông tin sau:</w:t>
      </w:r>
    </w:p>
    <w:p>
      <w:pPr>
        <w:numPr>
          <w:ilvl w:val="0"/>
          <w:numId w:val="195"/>
        </w:numPr>
        <w:pStyle w:val="Para 01"/>
      </w:pPr>
      <w:r>
        <w:t>Vòng đời người dùng (user life): Dù người dùng của bạn là cá nhân hay doanh nghiệp, vòng đời của người dùng đó đối với bạn sẽ là hữu hạn, do yếu tố sinh tử. Tuy nhiên, trong hầu hết trường hợp, bạn sẽ dùng một vòng đời ngắn hơn nhiều so với phần đời còn lại của người dùng, bởi công nghệ của bạn có thể có vòng đời hạn chế hơn, và/hoặc sở thích của người dùng với một thương hiệu có thể thay đổi theo thời gian. Nói chung, sản phẩm hay dịch vụ của bạn càng gắn chặt với một công nghệ cụ thể bao nhiêu, vòng đời người dùng sẽ càng ngắn bấy nhiêu.</w:t>
      </w:r>
    </w:p>
    <w:p>
      <w:pPr>
        <w:numPr>
          <w:ilvl w:val="0"/>
          <w:numId w:val="195"/>
        </w:numPr>
        <w:pStyle w:val="Para 01"/>
      </w:pPr>
      <w:r>
        <w:t>Tỷ lệ gia hạn người dùng (user renewal rate): Nếu người dùng của bạn gia hạn 100% số lần, mọi người dùng sẽ ở lại suốt cả vòng đời của họ, và bạn có thể tin chắc vào dòng tiền mỗi năm trong khoảng thời gian đó. Nếu tỷ lệ gia hạn thấp hơn 100%, dòng tiền kỳ vọng trong những năm tới phải phản ánh xác suất sống sót của khách hàng đó. Ví dụ, nếu bạn có tỷ lệ gia hạn hằng năm là 90%, xác suất một khách hàng còn ở lại vào năm thứ 8 của vòng đời mười lăm năm chỉ là 43% (tỷ lệ sống sót đến năm thứ 10 = .98 = 0.43). Thực tế, nếu bạn có dữ liệu đủ phong phú, bạn có thể ước tính tỷ lệ gia hạn theo từng năm cho toàn bộ tập khách hàng, vì việc tỷ lệ gia hạn thay đổi theo thời gian không chỉ có thể xảy ra mà còn rất dễ xảy ra, thường là từ mức thấp trong những năm đầu lên mức cao hơn trong những năm sau. Cũng đáng lưu ý rằng tỷ lệ gia hạn, ngay cả khi được các công ty báo cáo, vẫn có thể khó khái quát hóa, vì một số thuê bao có thể hủy đăng ký rồi gia hạn lại nhiều lần trong một khoảng thời gian. Cuối cùng, tầm quan trọng của tỷ lệ gia hạn đối với giá trị lớn hơn nhiều ở các công ty dựa trên thuê bao, nơi việc không gia hạn dẫn đến mất thu nhập, so với các công ty dựa trên giao dịch, nơi bạn chỉ thu được giá trị từ người dùng nếu có giao dịch xảy ra. Nếu người dùng và thành viên ngừng giao dịch hoặc giao dịch với tần suất thấp hơn, điều đó sẽ thể hiện qua doanh thu và dòng tiền trên mỗi người dùng thấp hơn. Do đó, giả định về tỷ lệ gia hạn sẽ có hệ quả lớn hơn nhiều trong việc định giá Netflix so với định giá Uber, còn Amazon Prime nằm đâu đó ở giữa.</w:t>
      </w:r>
    </w:p>
    <w:p>
      <w:pPr>
        <w:numPr>
          <w:ilvl w:val="0"/>
          <w:numId w:val="195"/>
        </w:numPr>
        <w:pStyle w:val="Para 01"/>
      </w:pPr>
      <w:r>
        <w:t>Dòng tiền người dùng (hiện tại): Dòng tiền hiện tại trên mỗi người dùng của bạn không chỉ là doanh thu bạn kỳ vọng tạo ra từ người dùng đó — bạn phải trừ đi chi phí phục vụ người dùng đó. Vậy nên, nếu Netflix tạo ra 120 đô-la/thuê bao mỗi năm và chi 30 đô-la để cung cấp dịch vụ trực tiếp cho thuê bao đó, dòng tiền năm cơ sở của Netflix sẽ là 90 đô-la mỗi thuê bao trước thuế, và có lẽ chỉ còn 72 đô-la mỗi thuê bao, nếu công ty chịu thuế suất thực tế là 20%. Với một công ty dựa trên quảng cáo, đây là con số khó ước tính hơn và phân tán hơn, nhưng lấy tổng doanh thu quảng cáo trong kỳ gần nhất chia cho số người dùng bạn có trong kỳ có thể là điểm khởi đầu hợp lý cho doanh thu, tuy nhiên bạn vẫn cần trừ đi chi phí.</w:t>
      </w:r>
    </w:p>
    <w:p>
      <w:pPr>
        <w:numPr>
          <w:ilvl w:val="0"/>
          <w:numId w:val="195"/>
        </w:numPr>
        <w:pStyle w:val="Para 01"/>
      </w:pPr>
      <w:r>
        <w:t>Tăng trưởng dòng tiền trên mỗi người dùng: Sau khi đã có được một người dùng, bạn có thể bán thêm cho người dùng đó những sản phẩm và dịch vụ khác trong tương lai, dẫn đến tăng trưởng doanh thu trên mỗi người dùng, và nếu một số chi phí dịch vụ của bạn là cố định, lợi nhuận hoạt động trên mỗi người dùng của bạn sẽ còn tăng nhanh hơn nữa. Tuy nhiên, mức tăng trưởng đó sẽ phụ thuộc vào mô hình kinh doanh của bạn. Với Netflix, với mô hình thuê bao hằng tháng, có những giới hạn về mức độ công ty có thể tăng giá thuê bao theo thời gian. Với Amazon Prime, tiềm năng tăng trưởng lớn hơn nhiều, vì một thành viên Prime có thể được nhắm đến với các sản phẩm và dịch vụ mới. Một hệ quả từ việc Amazon mua lại Whole Foods năm 2017, chẳng hạn, là công ty có thể cung cấp bữa ăn chế biến sẵn cho các thành viên Prime như một sản phẩm bổ sung.</w:t>
      </w:r>
    </w:p>
    <w:p>
      <w:pPr>
        <w:numPr>
          <w:ilvl w:val="0"/>
          <w:numId w:val="195"/>
        </w:numPr>
        <w:pStyle w:val="Para 01"/>
      </w:pPr>
      <w:r>
        <w:t>Rủi ro trong dòng tiền: Vì rủi ro mất người dùng đã được tính vào dòng tiền kỳ vọng, rủi ro chính ở đây đến từ cả sự biến động của tỷ lệ gia hạn theo thời gian lẫn mức dòng tiền bạn có thể tạo ra từ mỗi người dùng. Một lần nữa, mô hình doanh thu của bạn lại quan trọng, với các mô hình dựa trên thuê bao mang lại doanh thu dễ dự đoán hơn so với các mô hình dựa trên giao dịch, và tỷ lệ chiết khấu (discount rate) bạn dùng để định giá dòng tiền phải phản ánh những khác biệt về rủi ro đó.</w:t>
      </w:r>
    </w:p>
    <w:p>
      <w:pPr>
        <w:pStyle w:val="Para 03"/>
      </w:pPr>
      <w:r>
        <w:t>Hình 20.10 gom tất cả những biến số này lại thành một bức tranh, gắn giá trị người dùng với các thông số đầu vào chính về người dùng.</w:t>
      </w:r>
    </w:p>
    <w:p>
      <w:bookmarkStart w:id="4285" w:name="Figure_20_10_Value_of_an_Existi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63800" cy="965200"/>
            <wp:effectExtent l="0" r="0" t="0" b="0"/>
            <wp:wrapTopAndBottom/>
            <wp:docPr id="205" name="c20f010.png" descr="Diagram depicts the user profitability and user stickiness and loyalty for services provided over a period of time."/>
            <wp:cNvGraphicFramePr>
              <a:graphicFrameLocks noChangeAspect="1"/>
            </wp:cNvGraphicFramePr>
            <a:graphic>
              <a:graphicData uri="http://schemas.openxmlformats.org/drawingml/2006/picture">
                <pic:pic>
                  <pic:nvPicPr>
                    <pic:cNvPr id="0" name="c20f010.png" descr="Diagram depicts the user profitability and user stickiness and loyalty for services provided over a period of time."/>
                    <pic:cNvPicPr/>
                  </pic:nvPicPr>
                  <pic:blipFill>
                    <a:blip r:embed="rId144"/>
                    <a:stretch>
                      <a:fillRect/>
                    </a:stretch>
                  </pic:blipFill>
                  <pic:spPr>
                    <a:xfrm>
                      <a:off x="0" y="0"/>
                      <a:ext cx="2463800" cy="965200"/>
                    </a:xfrm>
                    <a:prstGeom prst="rect">
                      <a:avLst/>
                    </a:prstGeom>
                  </pic:spPr>
                </pic:pic>
              </a:graphicData>
            </a:graphic>
          </wp:anchor>
        </w:drawing>
      </w:r>
      <w:bookmarkEnd w:id="4285"/>
    </w:p>
    <w:p>
      <w:pPr>
        <w:keepNext/>
        <w:pStyle w:val="Para 22"/>
        <w:keepLines w:val="on"/>
      </w:pPr>
      <w:r>
        <w:t>Hình 20.10 Giá trị của một người dùng/thuê bao hiện hữu</w:t>
      </w:r>
    </w:p>
    <w:p>
      <w:pPr>
        <w:pStyle w:val="Para 03"/>
      </w:pPr>
      <w:r>
        <w:t>Khi nhìn vào những thông tin bạn cần để tính ra giá trị này, bạn có lẽ cũng nhận ra rằng việc công bố thông tin mà chúng ta có được từ các công ty dựa trên người dùng đang thiếu hụt nghiêm trọng. Dù chúng ta sẽ cố gắng vá víu để định giá một người dùng trong ví dụ ở cuối phần này, chúng tôi tin rằng con đường phía trước nhất định phải bao gồm thông tin liên quan đến người dùng đầy đủ hơn từ các công ty.</w:t>
      </w:r>
    </w:p>
    <w:p>
      <w:pPr>
        <w:pStyle w:val="Para 11"/>
      </w:pPr>
      <w:r>
        <w:t/>
        <w:t xml:space="preserve"> </w:t>
      </w:r>
    </w:p>
    <w:p>
      <w:bookmarkStart w:id="4286" w:name="ILLUSTRATION_20_15__Estimating_S"/>
      <w:bookmarkStart w:id="4287" w:name="ILLUSTRATION_20_15__Estimating_S_1"/>
      <w:pPr>
        <w:keepNext/>
        <w:pStyle w:val="Para 19"/>
        <w:keepLines w:val="on"/>
      </w:pPr>
      <w:r>
        <w:t>MINH HỌA 20.15: Ước tính giá trị thuê bao: Netflix vào tháng 4 năm 2018</w:t>
      </w:r>
      <w:bookmarkEnd w:id="4286"/>
      <w:bookmarkEnd w:id="4287"/>
    </w:p>
    <w:p>
      <w:pPr>
        <w:pStyle w:val="Para 04"/>
        <w:keepLines w:val="on"/>
      </w:pPr>
      <w:r>
        <w:t>Kể từ khi lên sàn năm 2002, Netflix đã làm đảo lộn hai ngành kinh doanh. Thứ nhất, nó thay thế ngành cho thuê băng đĩa truyền thống, vốn bị Blockbuster thống trị, bằng mô hình thuê bao gửi đĩa qua bưu điện. Thứ hai, bắt đầu từ năm 2012, nó đột nhập vào ngành giải trí, cả về phía nội dung khi chi những khoản tiền khổng lồ cho nội dung gốc, lẫn về phía khách hàng khi thay đổi cách chúng ta xem truyền hình. Trong quá trình đó, nó đã xây dựng một doanh nghiệp với hơn một trăm triệu thuê bao trên toàn cầu, những người không chỉ trả trung bình hơn một trăm đô-la để xem nội dung Netflix, mà còn cung cấp dữ liệu về thói quen xem của họ cho công ty, để công ty dùng vào việc tạo nội dung mới.</w:t>
      </w:r>
    </w:p>
    <w:p>
      <w:pPr>
        <w:pStyle w:val="Para 04"/>
        <w:keepLines w:val="on"/>
      </w:pPr>
      <w:r>
        <w:t>Mô tả Netflix như một công ty phát trực tuyến (streaming company) là bỏ sót sự phức tạp của nó, vì nó đã vượt qua cái nhãn đó từ lâu rồi. Nó đúng là kiếm doanh thu từ các thuê bao trả phí hằng tháng hoặc hằng năm để xem các nội dung của mình, nhưng nội dung của nó giờ đây có khả năng là do tự sản xuất ngang với việc thuê từ các hãng phim. Hình 20.11 phân tích mô hình kinh doanh của Netflix, ít nhất là tính đến tháng 4 năm 2018.</w:t>
      </w:r>
    </w:p>
    <w:p>
      <w:pPr>
        <w:pStyle w:val="Para 40"/>
        <w:keepLines w:val="on"/>
      </w:pPr>
      <w:r>
        <w:rPr>
          <w:rStyle w:val="Text26"/>
        </w:rPr>
        <w:bookmarkStart w:id="4290" w:name="Page_649"/>
        <w:t/>
        <w:bookmarkEnd w:id="4290"/>
      </w:r>
      <w:r>
        <w:t xml:space="preserve"> </w:t>
      </w:r>
    </w:p>
    <w:p>
      <w:bookmarkStart w:id="4291" w:name="Figure_20_11_Netflix_Business_Mo"/>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13000" cy="1155700"/>
            <wp:effectExtent l="0" r="0" t="0" b="0"/>
            <wp:wrapTopAndBottom/>
            <wp:docPr id="206" name="c20f011.png" descr="Diagram depicts the strategy Netflix uses to acquire a member and pay subscription fees annually to access online content."/>
            <wp:cNvGraphicFramePr>
              <a:graphicFrameLocks noChangeAspect="1"/>
            </wp:cNvGraphicFramePr>
            <a:graphic>
              <a:graphicData uri="http://schemas.openxmlformats.org/drawingml/2006/picture">
                <pic:pic>
                  <pic:nvPicPr>
                    <pic:cNvPr id="0" name="c20f011.png" descr="Diagram depicts the strategy Netflix uses to acquire a member and pay subscription fees annually to access online content."/>
                    <pic:cNvPicPr/>
                  </pic:nvPicPr>
                  <pic:blipFill>
                    <a:blip r:embed="rId145"/>
                    <a:stretch>
                      <a:fillRect/>
                    </a:stretch>
                  </pic:blipFill>
                  <pic:spPr>
                    <a:xfrm>
                      <a:off x="0" y="0"/>
                      <a:ext cx="2413000" cy="1155700"/>
                    </a:xfrm>
                    <a:prstGeom prst="rect">
                      <a:avLst/>
                    </a:prstGeom>
                  </pic:spPr>
                </pic:pic>
              </a:graphicData>
            </a:graphic>
          </wp:anchor>
        </w:drawing>
      </w:r>
      <w:bookmarkEnd w:id="4291"/>
    </w:p>
    <w:p>
      <w:pPr>
        <w:keepNext/>
        <w:pStyle w:val="Para 38"/>
        <w:keepLines w:val="on"/>
      </w:pPr>
      <w:r>
        <w:t>Hình 20.11 Mô hình kinh doanh của Netflix</w:t>
      </w:r>
    </w:p>
    <w:p>
      <w:pPr>
        <w:pStyle w:val="Para 04"/>
        <w:keepLines w:val="on"/>
      </w:pPr>
      <w:r>
        <w:t>Lưu ý rằng trong khi khoản chi lớn nhất của Netflix, việc tạo và cấp phép nội dung, rõ ràng là nhằm giữ chân và thu hút thuê bao. Đồng thời, nó không liên quan trực tiếp đến số lượng người dùng, và điều này sẽ có hệ quả quan trọng đối với giá trị.</w:t>
      </w:r>
    </w:p>
    <w:p>
      <w:pPr>
        <w:pStyle w:val="Para 04"/>
        <w:keepLines w:val="on"/>
      </w:pPr>
      <w:r>
        <w:t>Để định giá Netflix, chúng ta bắt đầu bằng việc chia chi phí của Netflix thành ba phần: những chi phí gắn với (a) phục vụ các thuê bao hiện hữu, (2) thu hút thuê bao mới, và (3) chi phí doanh nghiệp, không liên quan trực tiếp đến số lượng người dùng. Sau đó chúng ta định giá công ty bằng cách định giá riêng từng phần trong ba phần này.</w:t>
      </w:r>
    </w:p>
    <w:p>
      <w:bookmarkStart w:id="4292" w:name="Deconstructing_the_Financials"/>
      <w:bookmarkStart w:id="4293" w:name="Deconstructing_the_Financials__N"/>
      <w:pPr>
        <w:keepNext/>
        <w:pStyle w:val="Para 36"/>
        <w:keepLines w:val="on"/>
      </w:pPr>
      <w:r>
        <w:t>Phân tách các số liệu tài chính</w:t>
      </w:r>
      <w:bookmarkEnd w:id="4292"/>
      <w:bookmarkEnd w:id="4293"/>
    </w:p>
    <w:p>
      <w:pPr>
        <w:pStyle w:val="Para 04"/>
        <w:keepLines w:val="on"/>
      </w:pPr>
      <w:r>
        <w:t>Netflix báo cáo 838 triệu đô-la lợi nhuận hoạt động năm 2017, trên doanh thu 11,693 tỷ đô-la, đồng thời báo cáo số người dùng tăng vọt từ 93,8 triệu lên 117,6 triệu. Dùng thông tin trong báo cáo tài chính, chúng tôi bắt đầu bằng việc phân tách tổng chi phí hoạt động của công ty, thể hiện trong hình 20.12, thành chi phí gắn với việc phục vụ các thuê bao hiện hữu (chi phí G&amp;A và 20% chi phí nội dung đã ghi nhận), chi phí thu hút thuê bao mới (chi phí nội dung được vốn hóa và chi phí marketing) và chi phí doanh nghiệp (công nghệ và phát triển cùng 80% chi phí nội dung đã ghi nhận). Hình 20.12 tóm tắt việc phân tách các số liệu tài chính.</w:t>
      </w:r>
    </w:p>
    <w:p>
      <w:bookmarkStart w:id="4295" w:name="Figure_20_12_Netflix_Finances_De"/>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914400"/>
            <wp:effectExtent l="0" r="0" t="0" b="0"/>
            <wp:wrapTopAndBottom/>
            <wp:docPr id="207" name="c20f012.png" descr="Table provides statistical data of Netflix subscribers for the year 2017."/>
            <wp:cNvGraphicFramePr>
              <a:graphicFrameLocks noChangeAspect="1"/>
            </wp:cNvGraphicFramePr>
            <a:graphic>
              <a:graphicData uri="http://schemas.openxmlformats.org/drawingml/2006/picture">
                <pic:pic>
                  <pic:nvPicPr>
                    <pic:cNvPr id="0" name="c20f012.png" descr="Table provides statistical data of Netflix subscribers for the year 2017."/>
                    <pic:cNvPicPr/>
                  </pic:nvPicPr>
                  <pic:blipFill>
                    <a:blip r:embed="rId146"/>
                    <a:stretch>
                      <a:fillRect/>
                    </a:stretch>
                  </pic:blipFill>
                  <pic:spPr>
                    <a:xfrm>
                      <a:off x="0" y="0"/>
                      <a:ext cx="2438400" cy="914400"/>
                    </a:xfrm>
                    <a:prstGeom prst="rect">
                      <a:avLst/>
                    </a:prstGeom>
                  </pic:spPr>
                </pic:pic>
              </a:graphicData>
            </a:graphic>
          </wp:anchor>
        </w:drawing>
      </w:r>
      <w:bookmarkEnd w:id="4295"/>
    </w:p>
    <w:p>
      <w:pPr>
        <w:keepNext/>
        <w:pStyle w:val="Para 38"/>
        <w:keepLines w:val="on"/>
      </w:pPr>
      <w:r>
        <w:t>Hình 20.12 Tài chính của Netflix được phân tách</w:t>
      </w:r>
    </w:p>
    <w:p>
      <w:pPr>
        <w:pStyle w:val="Para 04"/>
        <w:keepLines w:val="on"/>
      </w:pPr>
      <w:r>
        <w:t>Việc phân bổ chi phí nội dung giữa thuê bao hiện hữu, thuê bao mới và chi phí doanh nghiệp phản ánh đánh giá chủ quan của chúng tôi, nhưng trong bối cảnh không có thông tin rõ ràng từ Netflix, chúng tôi không có lựa chọn nào khác. Dựa trên các ước tính của mình, chi phí thu hút một thuê bao mới là 111,01 đô-la, thấp hơn mức 143,87 đô-la trong năm gần nhất, và chi phí phục vụ một thuê bao hiện hữu là 21,39 đô-la.</w:t>
      </w:r>
    </w:p>
    <w:p>
      <w:pPr>
        <w:pStyle w:val="Para 40"/>
        <w:keepLines w:val="on"/>
      </w:pPr>
      <w:r>
        <w:rPr>
          <w:rStyle w:val="Text26"/>
        </w:rPr>
        <w:bookmarkStart w:id="4296" w:name="Page_650"/>
        <w:t/>
        <w:bookmarkEnd w:id="4296"/>
      </w:r>
      <w:r>
        <w:t xml:space="preserve"> </w:t>
      </w:r>
    </w:p>
    <w:p>
      <w:bookmarkStart w:id="4297" w:name="Valuing_Existing_Subscribers__In"/>
      <w:bookmarkStart w:id="4298" w:name="Valuing_Existing_Subscribers"/>
      <w:pPr>
        <w:keepNext/>
        <w:pStyle w:val="Para 36"/>
        <w:keepLines w:val="on"/>
      </w:pPr>
      <w:r>
        <w:t>Định giá các thuê bao hiện hữu</w:t>
      </w:r>
      <w:bookmarkEnd w:id="4297"/>
      <w:bookmarkEnd w:id="4298"/>
    </w:p>
    <w:p>
      <w:pPr>
        <w:pStyle w:val="Para 04"/>
        <w:keepLines w:val="on"/>
      </w:pPr>
      <w:r>
        <w:t>Năm 2017, Netflix báo cáo rằng công ty tạo ra 113,16 đô-la mỗi thuê bao mỗi năm, phản ánh cơ cấu thuê bao theo địa lý của mình. Trừ đi 21,39 đô-la, chi phí phục vụ một thuê bao mỗi năm, ta được lợi nhuận hoạt động 91,77 đô-la mỗi thuê bao trước thuế, và 68,83 đô-la mỗi thuê bao sau thuế. Trong Hình 20.13, chúng tôi ước tính giá trị của các thuê bao hiện hữu tại Netflix, đồng thời xét đến chi phí vốn của Netflix và vòng đời trung bình của các thuê bao Netflix.</w:t>
      </w:r>
    </w:p>
    <w:p>
      <w:bookmarkStart w:id="4300" w:name="Figure_20_13_Value_of_Netflix_s"/>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63800" cy="889000"/>
            <wp:effectExtent l="0" r="0" t="0" b="0"/>
            <wp:wrapTopAndBottom/>
            <wp:docPr id="208" name="c20f013.png" descr="Table provides data for the value generated by existing subscribers of Netflix over 15 years."/>
            <wp:cNvGraphicFramePr>
              <a:graphicFrameLocks noChangeAspect="1"/>
            </wp:cNvGraphicFramePr>
            <a:graphic>
              <a:graphicData uri="http://schemas.openxmlformats.org/drawingml/2006/picture">
                <pic:pic>
                  <pic:nvPicPr>
                    <pic:cNvPr id="0" name="c20f013.png" descr="Table provides data for the value generated by existing subscribers of Netflix over 15 years."/>
                    <pic:cNvPicPr/>
                  </pic:nvPicPr>
                  <pic:blipFill>
                    <a:blip r:embed="rId147"/>
                    <a:stretch>
                      <a:fillRect/>
                    </a:stretch>
                  </pic:blipFill>
                  <pic:spPr>
                    <a:xfrm>
                      <a:off x="0" y="0"/>
                      <a:ext cx="2463800" cy="889000"/>
                    </a:xfrm>
                    <a:prstGeom prst="rect">
                      <a:avLst/>
                    </a:prstGeom>
                  </pic:spPr>
                </pic:pic>
              </a:graphicData>
            </a:graphic>
          </wp:anchor>
        </w:drawing>
      </w:r>
      <w:bookmarkEnd w:id="4300"/>
    </w:p>
    <w:p>
      <w:pPr>
        <w:keepNext/>
        <w:pStyle w:val="Para 38"/>
        <w:keepLines w:val="on"/>
      </w:pPr>
      <w:r>
        <w:t>Hình 20.13 Giá trị các thuê bao hiện hữu của Netflix</w:t>
      </w:r>
    </w:p>
    <w:p>
      <w:pPr>
        <w:pStyle w:val="Para 04"/>
        <w:keepLines w:val="on"/>
      </w:pPr>
      <w:r>
        <w:t>Giả định rằng Netflix có quyền định giá và có thể tăng phí thuê bao 5% mỗi năm, trong khi giữ chi phí nội dung chỉ tăng 2% mỗi năm, dẫn đến thu nhập hoạt động cao hơn theo thời gian. Cuối cùng, kết hợp thêm một điểm mạnh khác của Netflix, tỷ lệ gia hạn cao 92,5%,3 và chiết khấu ngược về hiện tại với chi phí vốn của Netflix là 7,95%, phản ánh cơ cấu kinh doanh và tỷ lệ nợ của công ty, chúng ta đi đến giá trị 508,89 đô-la mỗi người dùng và tổng giá trị 59,8 tỷ đô-la cho toàn bộ 117 triệu thuê bao.</w:t>
      </w:r>
    </w:p>
    <w:p>
      <w:bookmarkStart w:id="4302" w:name="Valuing_New_Subscribers__To_valu"/>
      <w:bookmarkStart w:id="4303" w:name="Valuing_New_Subscribers"/>
      <w:pPr>
        <w:keepNext/>
        <w:pStyle w:val="Para 36"/>
        <w:keepLines w:val="on"/>
      </w:pPr>
      <w:r>
        <w:t>Định giá Người đăng ký Mới</w:t>
      </w:r>
      <w:bookmarkEnd w:id="4302"/>
      <w:bookmarkEnd w:id="4303"/>
    </w:p>
    <w:p>
      <w:pPr>
        <w:pStyle w:val="Para 04"/>
        <w:keepLines w:val="on"/>
      </w:pPr>
      <w:r>
        <w:t>Để định giá người đăng ký mới, chúng ta bắt đầu với giá trị của một người đăng ký hiện hữu là 508,89 đô la, được tính ở phần trước, rồi trừ đi chi phí 111,01 đô la để có được một người đăng ký mới, từ đó ra được giá trị mỗi người đăng ký mới là 397,88 đô la theo giá trị đồng tiền ngày hôm nay. Trong Hình 20.14, chúng ta định giá người đăng ký mới tại Netflix.</w:t>
      </w:r>
    </w:p>
    <w:p>
      <w:bookmarkStart w:id="4305" w:name="Figure_20_14_Valuing_New_Subscri"/>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838200"/>
            <wp:effectExtent l="0" r="0" t="0" b="0"/>
            <wp:wrapTopAndBottom/>
            <wp:docPr id="209" name="c20f014.png" descr="Table provides data for the increase in value of new subscribers on Netflix over 10 years."/>
            <wp:cNvGraphicFramePr>
              <a:graphicFrameLocks noChangeAspect="1"/>
            </wp:cNvGraphicFramePr>
            <a:graphic>
              <a:graphicData uri="http://schemas.openxmlformats.org/drawingml/2006/picture">
                <pic:pic>
                  <pic:nvPicPr>
                    <pic:cNvPr id="0" name="c20f014.png" descr="Table provides data for the increase in value of new subscribers on Netflix over 10 years."/>
                    <pic:cNvPicPr/>
                  </pic:nvPicPr>
                  <pic:blipFill>
                    <a:blip r:embed="rId148"/>
                    <a:stretch>
                      <a:fillRect/>
                    </a:stretch>
                  </pic:blipFill>
                  <pic:spPr>
                    <a:xfrm>
                      <a:off x="0" y="0"/>
                      <a:ext cx="2451100" cy="838200"/>
                    </a:xfrm>
                    <a:prstGeom prst="rect">
                      <a:avLst/>
                    </a:prstGeom>
                  </pic:spPr>
                </pic:pic>
              </a:graphicData>
            </a:graphic>
          </wp:anchor>
        </w:drawing>
      </w:r>
      <w:bookmarkEnd w:id="4305"/>
    </w:p>
    <w:p>
      <w:pPr>
        <w:keepNext/>
        <w:pStyle w:val="Para 38"/>
        <w:keepLines w:val="on"/>
      </w:pPr>
      <w:r>
        <w:t>Hình 20.14 Định giá Người đăng ký Mới tại Netflix</w:t>
      </w:r>
    </w:p>
    <w:p>
      <w:pPr>
        <w:pStyle w:val="Para 04"/>
        <w:keepLines w:val="on"/>
      </w:pPr>
      <w:r>
        <w:t>Để hoàn tất quá trình này, chúng ta giả định rằng cơ sở người đăng ký ròng sẽ tăng 15% mỗi năm trong năm năm tới và 10% mỗi năm từ năm thứ sáu đến năm thứ mười, trước khi giảm dần xuống mức tăng trưởng 1% mỗi năm sau đó.4 Đồng thời cho phép giá trị của một người đăng ký mới tăng theo tỷ lệ lạm phát 2%, và chiết khấu ngược lại theo chi phí vốn của Netflix là 7,95%, ta thu được giá trị 137,3 tỷ đô la cho người dùng mới.</w:t>
      </w:r>
    </w:p>
    <w:p>
      <w:bookmarkStart w:id="4307" w:name="The_Corporate_Cost_Drag"/>
      <w:bookmarkStart w:id="4308" w:name="The_Corporate_Cost_Drag__The_fin"/>
      <w:pPr>
        <w:keepNext/>
        <w:pStyle w:val="Para 36"/>
        <w:keepLines w:val="on"/>
      </w:pPr>
      <w:r>
        <w:t>Gánh nặng Chi phí Doanh nghiệp</w:t>
      </w:r>
      <w:bookmarkEnd w:id="4307"/>
      <w:bookmarkEnd w:id="4308"/>
    </w:p>
    <w:p>
      <w:pPr>
        <w:pStyle w:val="Para 04"/>
        <w:keepLines w:val="on"/>
      </w:pPr>
      <w:r>
        <w:t>Thành phần cuối cùng của phân tích này là thành phần nặng ký nhất, ít nhất là đối với Netflix, vì nó bao gồm 1.053 triệu đô la chi phí công nghệ và phát triển, cùng 6.128 triệu đô la chi phí nội dung. Nếu những chi phí này tăng theo số lượng người đăng ký và doanh thu, Netflix sẽ chết chìm trong những khoản chi phí này. Trong Hình 20.15, chúng ta giả định rằng một khi Netflix vượt qua giai đoạn tăng trưởng trước mắt, họ sẽ tìm ra cách kiểm soát những chi phí này.</w:t>
      </w:r>
    </w:p>
    <w:p>
      <w:bookmarkStart w:id="4311" w:name="Figure_20_15_The_Corporate_Drag"/>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609600"/>
            <wp:effectExtent l="0" r="0" t="0" b="0"/>
            <wp:wrapTopAndBottom/>
            <wp:docPr id="210" name="c20f015.png" descr="Table provides data for the increase in technology and development costs, content costs, and global tax rate on Netflix for 10 years."/>
            <wp:cNvGraphicFramePr>
              <a:graphicFrameLocks noChangeAspect="1"/>
            </wp:cNvGraphicFramePr>
            <a:graphic>
              <a:graphicData uri="http://schemas.openxmlformats.org/drawingml/2006/picture">
                <pic:pic>
                  <pic:nvPicPr>
                    <pic:cNvPr id="0" name="c20f015.png" descr="Table provides data for the increase in technology and development costs, content costs, and global tax rate on Netflix for 10 years."/>
                    <pic:cNvPicPr/>
                  </pic:nvPicPr>
                  <pic:blipFill>
                    <a:blip r:embed="rId149"/>
                    <a:stretch>
                      <a:fillRect/>
                    </a:stretch>
                  </pic:blipFill>
                  <pic:spPr>
                    <a:xfrm>
                      <a:off x="0" y="0"/>
                      <a:ext cx="2425700" cy="609600"/>
                    </a:xfrm>
                    <a:prstGeom prst="rect">
                      <a:avLst/>
                    </a:prstGeom>
                  </pic:spPr>
                </pic:pic>
              </a:graphicData>
            </a:graphic>
          </wp:anchor>
        </w:drawing>
      </w:r>
      <w:bookmarkEnd w:id="4311"/>
    </w:p>
    <w:p>
      <w:pPr>
        <w:keepNext/>
        <w:pStyle w:val="Para 38"/>
        <w:keepLines w:val="on"/>
      </w:pPr>
      <w:r>
        <w:t>Hình 20.15 Gánh nặng Doanh nghiệp tại Netflix</w:t>
      </w:r>
    </w:p>
    <w:p>
      <w:pPr>
        <w:pStyle w:val="Para 04"/>
        <w:keepLines w:val="on"/>
      </w:pPr>
      <w:r>
        <w:t>Ngay cả khi chi phí nội dung chỉ tăng 3% mỗi năm, giá trị của gánh nặng chi phí doanh nghiệp vẫn làm giảm giá trị của Netflix đi 111,3 tỷ đô la.</w:t>
      </w:r>
    </w:p>
    <w:p>
      <w:bookmarkStart w:id="4312" w:name="Valuing_Netflix__With_the_value"/>
      <w:bookmarkStart w:id="4313" w:name="Valuing_Netflix"/>
      <w:pPr>
        <w:keepNext/>
        <w:pStyle w:val="Para 36"/>
        <w:keepLines w:val="on"/>
      </w:pPr>
      <w:r>
        <w:t>Định giá Netflix</w:t>
      </w:r>
      <w:bookmarkEnd w:id="4312"/>
      <w:bookmarkEnd w:id="4313"/>
    </w:p>
    <w:p>
      <w:pPr>
        <w:pStyle w:val="Para 04"/>
        <w:keepLines w:val="on"/>
      </w:pPr>
      <w:r>
        <w:t>Với giá trị của người đăng ký hiện hữu và người đăng ký mới trong tay, cùng với gánh nặng chi phí doanh nghiệp, chúng ta có thể ước tính giá trị của Netflix với tư cách là một công ty, trong bảng 20.13.</w:t>
      </w:r>
    </w:p>
    <w:p>
      <w:pPr>
        <w:pStyle w:val="Para 25"/>
        <w:keepLines w:val="on"/>
      </w:pPr>
      <w:r>
        <w:t>Bảng 20.13</w:t>
      </w:r>
    </w:p>
    <w:p>
      <w:pPr>
        <w:keepNext/>
        <w:pStyle w:val="Para 24"/>
        <w:keepLines w:val="on"/>
      </w:pPr>
      <w:r>
        <w:t>Giá trị của Netflix vào ngày 16 tháng 4 năm 2018</w:t>
      </w:r>
    </w:p>
    <w:tbl>
      <w:tblPr>
        <w:tblW w:type="auto" w:w="0"/>
      </w:tblPr>
      <w:tr>
        <w:tc>
          <w:tcPr>
            <w:tcW w:type="auto" w:w="0"/>
          </w:tcPr>
          <w:tbl>
            <w:tblPr>
              <w:tblW w:type="auto" w:w="0"/>
            </w:tblPr>
            <w:tr>
              <w:tc>
                <w:tcPr>
                  <w:tcW w:type="auto" w:w="0"/>
                  <w:shd w:val="clear" w:color="auto" w:fill="F0F0F0"/>
                  <w:hMerge w:val="restart"/>
                </w:tcPr>
                <w:p>
                  <w:pPr>
                    <w:pStyle w:val="Para 05"/>
                    <w:keepLines w:val="on"/>
                  </w:pPr>
                  <w:r>
                    <w:t>Định giá Netflix</w:t>
                  </w:r>
                </w:p>
              </w:tc>
              <w:tc>
                <w:tcPr>
                  <w:hMerge w:val="continue"/>
                </w:tcPr>
                <w:p/>
              </w:tc>
            </w:tr>
            <w:tr>
              <w:tc>
                <w:tcPr>
                  <w:tcW w:type="auto" w:w="0"/>
                  <w:shd w:val="clear" w:color="auto" w:fill="F0F0F0"/>
                </w:tcPr>
                <w:p>
                  <w:pPr>
                    <w:pStyle w:val="Para 02"/>
                    <w:keepLines w:val="on"/>
                  </w:pPr>
                  <w:r>
                    <w:t>Giá trị của Người đăng ký Hiện hữu</w:t>
                  </w:r>
                </w:p>
              </w:tc>
              <w:tc>
                <w:tcPr>
                  <w:tcW w:type="auto" w:w="0"/>
                  <w:shd w:val="clear" w:color="auto" w:fill="F0F0F0"/>
                </w:tcPr>
                <w:p>
                  <w:pPr>
                    <w:pStyle w:val="Normal"/>
                    <w:keepLines w:val="on"/>
                  </w:pPr>
                  <w:r>
                    <w:t>59.845,86 đô la</w:t>
                  </w:r>
                </w:p>
              </w:tc>
            </w:tr>
            <w:tr>
              <w:tc>
                <w:tcPr>
                  <w:tcW w:type="auto" w:w="0"/>
                  <w:shd w:val="clear" w:color="auto" w:fill="F0F0F0"/>
                </w:tcPr>
                <w:p>
                  <w:pPr>
                    <w:pStyle w:val="Para 02"/>
                    <w:keepLines w:val="on"/>
                  </w:pPr>
                  <w:r>
                    <w:t>+ Giá trị của Người đăng ký Mới</w:t>
                  </w:r>
                </w:p>
              </w:tc>
              <w:tc>
                <w:tcPr>
                  <w:tcW w:type="auto" w:w="0"/>
                  <w:shd w:val="clear" w:color="auto" w:fill="F0F0F0"/>
                </w:tcPr>
                <w:p>
                  <w:pPr>
                    <w:pStyle w:val="Normal"/>
                    <w:keepLines w:val="on"/>
                  </w:pPr>
                  <w:r>
                    <w:t>137.276,49 đô la</w:t>
                  </w:r>
                </w:p>
              </w:tc>
            </w:tr>
            <w:tr>
              <w:tc>
                <w:tcPr>
                  <w:tcW w:type="auto" w:w="0"/>
                  <w:shd w:val="clear" w:color="auto" w:fill="F0F0F0"/>
                </w:tcPr>
                <w:p>
                  <w:pPr>
                    <w:pStyle w:val="Para 02"/>
                    <w:keepLines w:val="on"/>
                  </w:pPr>
                  <w:r>
                    <w:t>− Giá trị hiện tại của Gánh nặng Doanh nghiệp</w:t>
                  </w:r>
                </w:p>
              </w:tc>
              <w:tc>
                <w:tcPr>
                  <w:tcW w:type="auto" w:w="0"/>
                  <w:shd w:val="clear" w:color="auto" w:fill="F0F0F0"/>
                </w:tcPr>
                <w:p>
                  <w:pPr>
                    <w:pStyle w:val="Normal"/>
                    <w:keepLines w:val="on"/>
                  </w:pPr>
                  <w:r>
                    <w:t>111.251,70 đô la</w:t>
                  </w:r>
                </w:p>
              </w:tc>
            </w:tr>
            <w:tr>
              <w:tc>
                <w:tcPr>
                  <w:tcW w:type="auto" w:w="0"/>
                  <w:shd w:val="clear" w:color="auto" w:fill="F0F0F0"/>
                </w:tcPr>
                <w:p>
                  <w:pPr>
                    <w:pStyle w:val="Para 02"/>
                    <w:keepLines w:val="on"/>
                  </w:pPr>
                  <w:r>
                    <w:t>= Giá trị của Tài sản Hoạt động</w:t>
                  </w:r>
                </w:p>
              </w:tc>
              <w:tc>
                <w:tcPr>
                  <w:tcW w:type="auto" w:w="0"/>
                  <w:shd w:val="clear" w:color="auto" w:fill="F0F0F0"/>
                </w:tcPr>
                <w:p>
                  <w:pPr>
                    <w:pStyle w:val="Normal"/>
                    <w:keepLines w:val="on"/>
                  </w:pPr>
                  <w:r>
                    <w:t>85.870,65 đô la</w:t>
                  </w:r>
                </w:p>
              </w:tc>
            </w:tr>
            <w:tr>
              <w:tc>
                <w:tcPr>
                  <w:tcW w:type="auto" w:w="0"/>
                  <w:shd w:val="clear" w:color="auto" w:fill="F0F0F0"/>
                </w:tcPr>
                <w:p>
                  <w:pPr>
                    <w:pStyle w:val="Para 02"/>
                    <w:keepLines w:val="on"/>
                  </w:pPr>
                  <w:r>
                    <w:t>+ Tiền mặt &amp; Các khoản Nắm giữ Chéo</w:t>
                  </w:r>
                </w:p>
              </w:tc>
              <w:tc>
                <w:tcPr>
                  <w:tcW w:type="auto" w:w="0"/>
                  <w:shd w:val="clear" w:color="auto" w:fill="F0F0F0"/>
                </w:tcPr>
                <w:p>
                  <w:pPr>
                    <w:pStyle w:val="Normal"/>
                    <w:keepLines w:val="on"/>
                  </w:pPr>
                  <w:r>
                    <w:t>2.823,00 đô la</w:t>
                  </w:r>
                </w:p>
              </w:tc>
            </w:tr>
            <w:tr>
              <w:tc>
                <w:tcPr>
                  <w:tcW w:type="auto" w:w="0"/>
                  <w:shd w:val="clear" w:color="auto" w:fill="F0F0F0"/>
                </w:tcPr>
                <w:p>
                  <w:pPr>
                    <w:pStyle w:val="Para 02"/>
                    <w:keepLines w:val="on"/>
                  </w:pPr>
                  <w:r>
                    <w:t>− Nợ</w:t>
                  </w:r>
                </w:p>
              </w:tc>
              <w:tc>
                <w:tcPr>
                  <w:tcW w:type="auto" w:w="0"/>
                  <w:shd w:val="clear" w:color="auto" w:fill="F0F0F0"/>
                </w:tcPr>
                <w:p>
                  <w:pPr>
                    <w:pStyle w:val="Normal"/>
                    <w:keepLines w:val="on"/>
                  </w:pPr>
                  <w:r>
                    <w:t>6.500,00 đô la</w:t>
                  </w:r>
                </w:p>
              </w:tc>
            </w:tr>
            <w:tr>
              <w:tc>
                <w:tcPr>
                  <w:tcW w:type="auto" w:w="0"/>
                  <w:shd w:val="clear" w:color="auto" w:fill="F0F0F0"/>
                </w:tcPr>
                <w:p>
                  <w:pPr>
                    <w:pStyle w:val="Para 51"/>
                    <w:keepLines w:val="on"/>
                  </w:pPr>
                  <w:r>
                    <w:t>Giá trị vốn chủ sở hữu</w:t>
                  </w:r>
                </w:p>
              </w:tc>
              <w:tc>
                <w:tcPr>
                  <w:tcW w:type="auto" w:w="0"/>
                  <w:shd w:val="clear" w:color="auto" w:fill="F0F0F0"/>
                </w:tcPr>
                <w:p>
                  <w:pPr>
                    <w:pStyle w:val="Para 47"/>
                    <w:keepLines w:val="on"/>
                  </w:pPr>
                  <w:r>
                    <w:t>$82.193,65</w:t>
                  </w:r>
                </w:p>
              </w:tc>
            </w:tr>
            <w:tr>
              <w:tc>
                <w:tcPr>
                  <w:tcW w:type="auto" w:w="0"/>
                  <w:shd w:val="clear" w:color="auto" w:fill="F0F0F0"/>
                </w:tcPr>
                <w:p>
                  <w:pPr>
                    <w:pStyle w:val="Para 02"/>
                    <w:keepLines w:val="on"/>
                  </w:pPr>
                  <w:r>
                    <w:t>− Giá trị các quyền chọn vốn chủ sở hữu</w:t>
                  </w:r>
                </w:p>
              </w:tc>
              <w:tc>
                <w:tcPr>
                  <w:tcW w:type="auto" w:w="0"/>
                  <w:shd w:val="clear" w:color="auto" w:fill="F0F0F0"/>
                </w:tcPr>
                <w:p>
                  <w:pPr>
                    <w:pStyle w:val="Normal"/>
                    <w:keepLines w:val="on"/>
                  </w:pPr>
                  <w:r>
                    <w:t>$4.978,00</w:t>
                  </w:r>
                </w:p>
              </w:tc>
            </w:tr>
            <w:tr>
              <w:tc>
                <w:tcPr>
                  <w:tcW w:type="auto" w:w="0"/>
                  <w:shd w:val="clear" w:color="auto" w:fill="F0F0F0"/>
                </w:tcPr>
                <w:p>
                  <w:pPr>
                    <w:pStyle w:val="Para 51"/>
                    <w:keepLines w:val="on"/>
                  </w:pPr>
                  <w:r>
                    <w:t>Giá trị vốn chủ sở hữu của cổ phiếu phổ thông</w:t>
                  </w:r>
                </w:p>
              </w:tc>
              <w:tc>
                <w:tcPr>
                  <w:tcW w:type="auto" w:w="0"/>
                  <w:shd w:val="clear" w:color="auto" w:fill="F0F0F0"/>
                </w:tcPr>
                <w:p>
                  <w:pPr>
                    <w:pStyle w:val="Para 47"/>
                    <w:keepLines w:val="on"/>
                  </w:pPr>
                  <w:r>
                    <w:t>$77.215,65</w:t>
                  </w:r>
                </w:p>
              </w:tc>
            </w:tr>
            <w:tr>
              <w:tc>
                <w:tcPr>
                  <w:tcW w:type="auto" w:w="0"/>
                  <w:shd w:val="clear" w:color="auto" w:fill="F0F0F0"/>
                </w:tcPr>
                <w:p>
                  <w:pPr>
                    <w:pStyle w:val="Para 02"/>
                    <w:keepLines w:val="on"/>
                  </w:pPr>
                  <w:r>
                    <w:t>Số lượng cổ phiếu</w:t>
                  </w:r>
                </w:p>
              </w:tc>
              <w:tc>
                <w:tcPr>
                  <w:tcW w:type="auto" w:w="0"/>
                  <w:shd w:val="clear" w:color="auto" w:fill="F0F0F0"/>
                </w:tcPr>
                <w:p>
                  <w:pPr>
                    <w:pStyle w:val="Normal"/>
                    <w:keepLines w:val="on"/>
                  </w:pPr>
                  <w:r>
                    <w:t>446,81</w:t>
                  </w:r>
                </w:p>
              </w:tc>
            </w:tr>
            <w:tr>
              <w:tc>
                <w:tcPr>
                  <w:tcW w:type="auto" w:w="0"/>
                  <w:shd w:val="clear" w:color="auto" w:fill="F0F0F0"/>
                </w:tcPr>
                <w:p>
                  <w:pPr>
                    <w:pStyle w:val="Para 51"/>
                    <w:keepLines w:val="on"/>
                  </w:pPr>
                  <w:r>
                    <w:t>Giá trị trên mỗi cổ phiếu</w:t>
                  </w:r>
                </w:p>
              </w:tc>
              <w:tc>
                <w:tcPr>
                  <w:tcW w:type="auto" w:w="0"/>
                  <w:shd w:val="clear" w:color="auto" w:fill="F0F0F0"/>
                </w:tcPr>
                <w:p>
                  <w:pPr>
                    <w:pStyle w:val="Normal"/>
                    <w:keepLines w:val="on"/>
                  </w:pPr>
                  <w:r>
                    <w:t>$172,82</w:t>
                  </w:r>
                </w:p>
              </w:tc>
            </w:tr>
          </w:tbl>
          <w:p/>
        </w:tc>
      </w:tr>
    </w:tbl>
    <w:p>
      <w:pPr>
        <w:pStyle w:val="Para 04"/>
        <w:keepLines w:val="on"/>
      </w:pPr>
      <w:r>
        <w:t>Giá trị tài sản hoạt động là 85,9 tỷ đô la được cộng thêm với lượng tiền mặt nắm giữ của Netflix là 2,8 tỷ đô la và trừ đi khoản nợ của Netflix là 6,5 tỷ đô la, cho ra giá trị vốn chủ sở hữu là 82,2 tỷ đô la. Sau khi trừ đi giá trị các quyền chọn quản lý đang lưu hành vào cuối năm 2017, và chia cho số cổ phiếu đang lưu hành vào ngày đó, ta có giá trị trên mỗi cổ phiếu là $172,82 vào ngày 16 tháng 4 năm 2018. Cổ phiếu đang được giao dịch ở mức $280 một cổ phiếu, cho thấy hoặc là chúng ta đã quá bi quan về triển vọng của Netflix, hoặc là thị trường đang định giá công ty quá cao.</w:t>
      </w:r>
    </w:p>
    <w:p>
      <w:bookmarkStart w:id="4316" w:name="Analysis_Using_Sector_Specific_M"/>
      <w:bookmarkStart w:id="4317" w:name="Analysis_Using_Sector_Specific_M_1"/>
      <w:pPr>
        <w:keepNext/>
        <w:pStyle w:val="Heading 3"/>
        <w:keepLines w:val="on"/>
      </w:pPr>
      <w:r>
        <w:t>Phân tích bằng các bội số đặc thù theo ngành</w:t>
      </w:r>
      <w:bookmarkEnd w:id="4316"/>
      <w:bookmarkEnd w:id="4317"/>
    </w:p>
    <w:p>
      <w:pPr>
        <w:pStyle w:val="Para 03"/>
      </w:pPr>
      <w:r>
        <w:t>Để phân tích các công ty bằng các bội số đặc thù theo ngành, bạn phải kiểm soát sự khác biệt giữa các công ty ở bất kỳ hoặc tất cả các yếu tố nền tảng mà bạn đã xác định là có ảnh hưởng đến các bội số này trong phần trước.</w:t>
      </w:r>
    </w:p>
    <w:p>
      <w:pPr>
        <w:pStyle w:val="Para 03"/>
      </w:pPr>
      <w:r>
        <w:t>Ví dụ với giá trị trên mỗi thuê bao, bạn phải kiểm soát sự khác biệt về giá trị mà mỗi thuê bao tạo ra. Cụ thể là:</w:t>
      </w:r>
    </w:p>
    <w:p>
      <w:pPr>
        <w:numPr>
          <w:ilvl w:val="0"/>
          <w:numId w:val="196"/>
        </w:numPr>
        <w:pStyle w:val="Para 01"/>
      </w:pPr>
      <w:r>
        <w:t>Những công ty hiệu quả hơn trong việc cung cấp dịch vụ với một mức giá thuê bao nhất định (dẫn đến chi phí thấp hơn) nên được giao dịch ở mức giá trị trên mỗi thuê bao cao hơn so với các công ty tương đương. Điều này cũng đúng nếu một công ty có lợi thế kinh tế theo quy mô đáng kể. Trong Minh họa 20.13, giá trị trên mỗi thuê bao sẽ cao hơn nếu mỗi thuê bao hiện hữu tạo ra $120 dòng tiền ròng cho công ty mỗi năm, thay vì $100.</w:t>
      </w:r>
    </w:p>
    <w:p>
      <w:pPr>
        <w:numPr>
          <w:ilvl w:val="0"/>
          <w:numId w:val="196"/>
        </w:numPr>
        <w:pStyle w:val="Para 01"/>
      </w:pPr>
      <w:r>
        <w:t>Những công ty có thể thêm thuê bao mới với chi phí thấp hơn (thông qua quảng cáo và khuyến mãi) nên được giao dịch ở mức giá trị trên mỗi thuê bao cao hơn so với các công ty tương đương.</w:t>
      </w:r>
    </w:p>
    <w:p>
      <w:pPr>
        <w:numPr>
          <w:ilvl w:val="0"/>
          <w:numId w:val="196"/>
        </w:numPr>
        <w:pStyle w:val="Para 01"/>
      </w:pPr>
      <w:r>
        <w:t>Những công ty có mức tăng trưởng kỳ vọng cao hơn trong tệp thuê bao (theo tỷ lệ phần trăm) nên được giao dịch ở mức giá trị trên mỗi thuê bao cao hơn so với các công ty tương đương.</w:t>
      </w:r>
    </w:p>
    <w:p>
      <w:pPr>
        <w:pStyle w:val="Para 03"/>
      </w:pPr>
      <w:r>
        <w:t>Bạn cũng có thể đưa ra những nhận định tương tự về giá trị trên mỗi khách hàng.</w:t>
      </w:r>
    </w:p>
    <w:p>
      <w:pPr>
        <w:pStyle w:val="Para 11"/>
      </w:pPr>
      <w:r>
        <w:t/>
        <w:t xml:space="preserve"> </w:t>
      </w:r>
    </w:p>
    <w:p>
      <w:bookmarkStart w:id="4318" w:name="ILLUSTRATION_20_16__Cascading_Va"/>
      <w:bookmarkStart w:id="4319" w:name="ILLUSTRATION_20_16__Cascading_Va_1"/>
      <w:pPr>
        <w:keepNext/>
        <w:pStyle w:val="Para 19"/>
        <w:keepLines w:val="on"/>
      </w:pPr>
      <w:r>
        <w:t>MINH HỌA 20.16: Các giá trị tầng bậc: Giá trị trên mỗi thành viên và các công ty truyền thông xã hội</w:t>
      </w:r>
      <w:bookmarkEnd w:id="4318"/>
      <w:bookmarkEnd w:id="4319"/>
    </w:p>
    <w:p>
      <w:pPr>
        <w:pStyle w:val="Para 04"/>
        <w:keepLines w:val="on"/>
      </w:pPr>
      <w:r>
        <w:t>Vào tháng 5 năm 2011, Linkedin trở thành công ty truyền thông xã hội lớn đầu tiên niêm yết công khai và nhận được phản hồi cuồng nhiệt: Giá cổ phiếu tăng gấp đôi trong ngày chào bán và công ty được định giá khoảng 10 tỷ đô la, dù chỉ có doanh thu 243 triệu đô la. Cùng khoảng thời gian đó, Microsoft mua lại Skype với giá 8,5 tỷ đô la, dù Skype báo cáo lỗ hoạt động 7 triệu đô la trong năm trước đó. Facebook và Twitter, dù chưa niêm yết, cũng có mức định giá cao ngất trong các thị trường tư nhân cho cổ phần của các công ty này.</w:t>
      </w:r>
    </w:p>
    <w:p>
      <w:pPr>
        <w:pStyle w:val="Para 04"/>
        <w:keepLines w:val="on"/>
      </w:pPr>
      <w:r>
        <w:t>Một lý do biện minh cho các mức định giá cao là số lượng thành viên/người dùng của các nguồn lực mà những công ty này cung cấp. Bảng 20.14 liệt kê bốn công ty truyền thông xã hội này, giá trị thị trường (hoặc ước tính) của các công ty này, giá trị trên mỗi người dùng/thành viên, và một bội số EV/doanh thu truyền thống hơn:</w:t>
      </w:r>
    </w:p>
    <w:p>
      <w:pPr>
        <w:pStyle w:val="Para 25"/>
        <w:keepLines w:val="on"/>
      </w:pPr>
      <w:r>
        <w:t>Bảng 20.14</w:t>
      </w:r>
    </w:p>
    <w:p>
      <w:pPr>
        <w:keepNext/>
        <w:pStyle w:val="Para 24"/>
        <w:keepLines w:val="on"/>
      </w:pPr>
      <w:r>
        <w:t>Dữ liệu người dùng cho các công ty truyền thông xã hội</w:t>
      </w:r>
    </w:p>
    <w:tbl>
      <w:tblPr>
        <w:tblW w:type="auto" w:w="0"/>
      </w:tblPr>
      <w:tr>
        <w:tc>
          <w:tcPr>
            <w:tcW w:type="auto" w:w="0"/>
          </w:tcPr>
          <w:tbl>
            <w:tblPr>
              <w:tblW w:type="auto" w:w="0"/>
            </w:tblPr>
            <w:tr>
              <w:tc>
                <w:tcPr>
                  <w:tcW w:type="auto" w:w="0"/>
                  <w:shd w:val="clear" w:color="auto" w:fill="F0F0F0"/>
                </w:tcPr>
                <w:p>
                  <w:pPr>
                    <w:pStyle w:val="Para 32"/>
                    <w:keepLines w:val="on"/>
                  </w:pPr>
                  <w:r>
                    <w:t>Công ty</w:t>
                  </w:r>
                </w:p>
              </w:tc>
              <w:tc>
                <w:tcPr>
                  <w:tcW w:type="auto" w:w="0"/>
                  <w:shd w:val="clear" w:color="auto" w:fill="F0F0F0"/>
                </w:tcPr>
                <w:p>
                  <w:pPr>
                    <w:pStyle w:val="Para 05"/>
                    <w:keepLines w:val="on"/>
                  </w:pPr>
                  <w:r>
                    <w:t>Người dùng (triệu)</w:t>
                  </w:r>
                </w:p>
              </w:tc>
              <w:tc>
                <w:tcPr>
                  <w:tcW w:type="auto" w:w="0"/>
                  <w:shd w:val="clear" w:color="auto" w:fill="F0F0F0"/>
                </w:tcPr>
                <w:p>
                  <w:pPr>
                    <w:pStyle w:val="Para 05"/>
                    <w:keepLines w:val="on"/>
                  </w:pPr>
                  <w:r>
                    <w:t>Giá trị doanh nghiệp (EV) (triệu)</w:t>
                  </w:r>
                </w:p>
              </w:tc>
              <w:tc>
                <w:tcPr>
                  <w:tcW w:type="auto" w:w="0"/>
                  <w:shd w:val="clear" w:color="auto" w:fill="F0F0F0"/>
                </w:tcPr>
                <w:p>
                  <w:pPr>
                    <w:pStyle w:val="Para 05"/>
                    <w:keepLines w:val="on"/>
                  </w:pPr>
                  <w:r>
                    <w:t>EV/người dùng (người dùng)</w:t>
                  </w:r>
                </w:p>
              </w:tc>
              <w:tc>
                <w:tcPr>
                  <w:tcW w:type="auto" w:w="0"/>
                  <w:shd w:val="clear" w:color="auto" w:fill="F0F0F0"/>
                </w:tcPr>
                <w:p>
                  <w:pPr>
                    <w:pStyle w:val="Para 05"/>
                    <w:keepLines w:val="on"/>
                  </w:pPr>
                  <w:r>
                    <w:t>Doanh thu (triệu)</w:t>
                  </w:r>
                </w:p>
              </w:tc>
              <w:tc>
                <w:tcPr>
                  <w:tcW w:type="auto" w:w="0"/>
                  <w:shd w:val="clear" w:color="auto" w:fill="F0F0F0"/>
                </w:tcPr>
                <w:p>
                  <w:pPr>
                    <w:pStyle w:val="Para 05"/>
                    <w:keepLines w:val="on"/>
                  </w:pPr>
                  <w:r>
                    <w:t>EV/Doanh thu</w:t>
                  </w:r>
                </w:p>
              </w:tc>
            </w:tr>
            <w:tr>
              <w:tc>
                <w:tcPr>
                  <w:tcW w:type="auto" w:w="0"/>
                  <w:shd w:val="clear" w:color="auto" w:fill="F0F0F0"/>
                </w:tcPr>
                <w:p>
                  <w:pPr>
                    <w:pStyle w:val="Para 02"/>
                    <w:keepLines w:val="on"/>
                  </w:pPr>
                  <w:r>
                    <w:t>Facebook</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$50,000*</w:t>
                  </w:r>
                </w:p>
              </w:tc>
              <w:tc>
                <w:tcPr>
                  <w:tcW w:type="auto" w:w="0"/>
                  <w:shd w:val="clear" w:color="auto" w:fill="F0F0F0"/>
                </w:tcPr>
                <w:p>
                  <w:pPr>
                    <w:pStyle w:val="Normal"/>
                    <w:keepLines w:val="on"/>
                  </w:pPr>
                  <w:r>
                    <w:t>$100.00</w:t>
                  </w:r>
                </w:p>
              </w:tc>
              <w:tc>
                <w:tcPr>
                  <w:tcW w:type="auto" w:w="0"/>
                  <w:shd w:val="clear" w:color="auto" w:fill="F0F0F0"/>
                </w:tcPr>
                <w:p>
                  <w:pPr>
                    <w:pStyle w:val="Normal"/>
                    <w:keepLines w:val="on"/>
                  </w:pPr>
                  <w:r>
                    <w:t>$710.00</w:t>
                  </w:r>
                </w:p>
              </w:tc>
              <w:tc>
                <w:tcPr>
                  <w:tcW w:type="auto" w:w="0"/>
                  <w:shd w:val="clear" w:color="auto" w:fill="F0F0F0"/>
                </w:tcPr>
                <w:p>
                  <w:pPr>
                    <w:pStyle w:val="Normal"/>
                    <w:keepLines w:val="on"/>
                  </w:pPr>
                  <w:r>
                    <w:t>70.42</w:t>
                  </w:r>
                </w:p>
              </w:tc>
            </w:tr>
            <w:tr>
              <w:tc>
                <w:tcPr>
                  <w:tcW w:type="auto" w:w="0"/>
                  <w:shd w:val="clear" w:color="auto" w:fill="F0F0F0"/>
                </w:tcPr>
                <w:p>
                  <w:pPr>
                    <w:pStyle w:val="Para 02"/>
                    <w:keepLines w:val="on"/>
                  </w:pPr>
                  <w:r>
                    <w:t>Twitter</w:t>
                  </w:r>
                </w:p>
              </w:tc>
              <w:tc>
                <w:tcPr>
                  <w:tcW w:type="auto" w:w="0"/>
                  <w:shd w:val="clear" w:color="auto" w:fill="F0F0F0"/>
                </w:tcPr>
                <w:p>
                  <w:pPr>
                    <w:pStyle w:val="Normal"/>
                    <w:keepLines w:val="on"/>
                  </w:pPr>
                  <w:r>
                    <w:t>175</w:t>
                  </w:r>
                </w:p>
              </w:tc>
              <w:tc>
                <w:tcPr>
                  <w:tcW w:type="auto" w:w="0"/>
                  <w:shd w:val="clear" w:color="auto" w:fill="F0F0F0"/>
                </w:tcPr>
                <w:p>
                  <w:pPr>
                    <w:pStyle w:val="Normal"/>
                    <w:keepLines w:val="on"/>
                  </w:pPr>
                  <w:r>
                    <w:t>$6,000*</w:t>
                  </w:r>
                </w:p>
              </w:tc>
              <w:tc>
                <w:tcPr>
                  <w:tcW w:type="auto" w:w="0"/>
                  <w:shd w:val="clear" w:color="auto" w:fill="F0F0F0"/>
                </w:tcPr>
                <w:p>
                  <w:pPr>
                    <w:pStyle w:val="Normal"/>
                    <w:keepLines w:val="on"/>
                  </w:pPr>
                  <w:r>
                    <w:t>$34.29</w:t>
                  </w:r>
                </w:p>
              </w:tc>
              <w:tc>
                <w:tcPr>
                  <w:tcW w:type="auto" w:w="0"/>
                  <w:shd w:val="clear" w:color="auto" w:fill="F0F0F0"/>
                </w:tcPr>
                <w:p>
                  <w:pPr>
                    <w:pStyle w:val="Normal"/>
                    <w:keepLines w:val="on"/>
                  </w:pPr>
                  <w:r>
                    <w:t>$1.30</w:t>
                  </w:r>
                </w:p>
              </w:tc>
              <w:tc>
                <w:tcPr>
                  <w:tcW w:type="auto" w:w="0"/>
                  <w:shd w:val="clear" w:color="auto" w:fill="F0F0F0"/>
                </w:tcPr>
                <w:p>
                  <w:pPr>
                    <w:pStyle w:val="Normal"/>
                    <w:keepLines w:val="on"/>
                  </w:pPr>
                  <w:r>
                    <w:t>4615.38</w:t>
                  </w:r>
                </w:p>
              </w:tc>
            </w:tr>
            <w:tr>
              <w:tc>
                <w:tcPr>
                  <w:tcW w:type="auto" w:w="0"/>
                  <w:shd w:val="clear" w:color="auto" w:fill="F0F0F0"/>
                </w:tcPr>
                <w:p>
                  <w:pPr>
                    <w:pStyle w:val="Para 02"/>
                    <w:keepLines w:val="on"/>
                  </w:pPr>
                  <w:r>
                    <w:t>Skype</w:t>
                  </w:r>
                </w:p>
              </w:tc>
              <w:tc>
                <w:tcPr>
                  <w:tcW w:type="auto" w:w="0"/>
                  <w:shd w:val="clear" w:color="auto" w:fill="F0F0F0"/>
                </w:tcPr>
                <w:p>
                  <w:pPr>
                    <w:pStyle w:val="Normal"/>
                    <w:keepLines w:val="on"/>
                  </w:pPr>
                  <w:r>
                    <w:t>170</w:t>
                  </w:r>
                </w:p>
              </w:tc>
              <w:tc>
                <w:tcPr>
                  <w:tcW w:type="auto" w:w="0"/>
                  <w:shd w:val="clear" w:color="auto" w:fill="F0F0F0"/>
                </w:tcPr>
                <w:p>
                  <w:pPr>
                    <w:pStyle w:val="Normal"/>
                    <w:keepLines w:val="on"/>
                  </w:pPr>
                  <w:r>
                    <w:t>$8,500</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$860.00</w:t>
                  </w:r>
                </w:p>
              </w:tc>
              <w:tc>
                <w:tcPr>
                  <w:tcW w:type="auto" w:w="0"/>
                  <w:shd w:val="clear" w:color="auto" w:fill="F0F0F0"/>
                </w:tcPr>
                <w:p>
                  <w:pPr>
                    <w:pStyle w:val="Normal"/>
                    <w:keepLines w:val="on"/>
                  </w:pPr>
                  <w:r>
                    <w:t>9.88</w:t>
                  </w:r>
                </w:p>
              </w:tc>
            </w:tr>
            <w:tr>
              <w:tc>
                <w:tcPr>
                  <w:tcW w:type="auto" w:w="0"/>
                  <w:shd w:val="clear" w:color="auto" w:fill="F0F0F0"/>
                </w:tcPr>
                <w:p>
                  <w:pPr>
                    <w:pStyle w:val="Para 02"/>
                    <w:keepLines w:val="on"/>
                  </w:pPr>
                  <w:r>
                    <w:t>Linkedin</w:t>
                  </w:r>
                </w:p>
              </w:tc>
              <w:tc>
                <w:tcPr>
                  <w:tcW w:type="auto" w:w="0"/>
                  <w:shd w:val="clear" w:color="auto" w:fill="F0F0F0"/>
                </w:tcPr>
                <w:p>
                  <w:pPr>
                    <w:pStyle w:val="Normal"/>
                    <w:keepLines w:val="on"/>
                  </w:pPr>
                  <w:r>
                    <w:t>75</w:t>
                  </w:r>
                </w:p>
              </w:tc>
              <w:tc>
                <w:tcPr>
                  <w:tcW w:type="auto" w:w="0"/>
                  <w:shd w:val="clear" w:color="auto" w:fill="F0F0F0"/>
                </w:tcPr>
                <w:p>
                  <w:pPr>
                    <w:pStyle w:val="Normal"/>
                    <w:keepLines w:val="on"/>
                  </w:pPr>
                  <w:r>
                    <w:t>$10,000</w:t>
                  </w:r>
                </w:p>
              </w:tc>
              <w:tc>
                <w:tcPr>
                  <w:tcW w:type="auto" w:w="0"/>
                  <w:shd w:val="clear" w:color="auto" w:fill="F0F0F0"/>
                </w:tcPr>
                <w:p>
                  <w:pPr>
                    <w:pStyle w:val="Normal"/>
                    <w:keepLines w:val="on"/>
                  </w:pPr>
                  <w:r>
                    <w:t>133,33 đô la</w:t>
                  </w:r>
                </w:p>
              </w:tc>
              <w:tc>
                <w:tcPr>
                  <w:tcW w:type="auto" w:w="0"/>
                  <w:shd w:val="clear" w:color="auto" w:fill="F0F0F0"/>
                </w:tcPr>
                <w:p>
                  <w:pPr>
                    <w:pStyle w:val="Normal"/>
                    <w:keepLines w:val="on"/>
                  </w:pPr>
                  <w:r>
                    <w:t>243,00 đô la</w:t>
                  </w:r>
                </w:p>
              </w:tc>
              <w:tc>
                <w:tcPr>
                  <w:tcW w:type="auto" w:w="0"/>
                  <w:shd w:val="clear" w:color="auto" w:fill="F0F0F0"/>
                </w:tcPr>
                <w:p>
                  <w:pPr>
                    <w:pStyle w:val="Normal"/>
                    <w:keepLines w:val="on"/>
                  </w:pPr>
                  <w:r>
                    <w:t>41,15</w:t>
                  </w:r>
                </w:p>
              </w:tc>
            </w:tr>
          </w:tbl>
          <w:p/>
        </w:tc>
      </w:tr>
    </w:tbl>
    <w:p>
      <w:pPr>
        <w:pStyle w:val="Para 04"/>
        <w:keepLines w:val="on"/>
      </w:pPr>
      <w:r>
        <w:t>Lưu ý rằng các giá trị của Skype và LinkedIn đại diện cho các giao dịch công khai, trong khi các giá trị ước tính của Facebook và Twitter dựa trên các giao dịch tư nhân. Cả bốn công ty đều trông có vẻ bị định giá quá cao một cách vô vọng theo bội số EV/doanh thu (EV/sales), với Twitter đang giao dịch ở mức 4.615 lần doanh thu vào năm 2010. Tuy nhiên, trên khía cạnh giá trị/thành viên, Twitter trông lại rẻ, và Microsoft dường như đã mua Skype với một mức giá hời.</w:t>
      </w:r>
    </w:p>
    <w:p>
      <w:pPr>
        <w:pStyle w:val="Para 04"/>
        <w:keepLines w:val="on"/>
      </w:pPr>
      <w:r>
        <w:t>Tuy nhiên, khi thực hiện những so sánh này, hãy lưu ý rằng chúng ta đang giả định mô hình doanh thu của cả bốn công ty là tương tự nhau và sẽ tạo ra giá trị gần như tương đương trên mỗi thành viên (người dùng). Có thể LinkedIn, với tư cách là một trang web chuyên nghiệp, hướng đến doanh nghiệp, có thể tạo ra giá trị cao hơn trên mỗi thành viên và rằng Twitter sẽ khó thương mại hóa trang web của mình hơn, nhưng ở giai đoạn này của quá trình, điều đó hoàn toàn chỉ là suy đoán.</w:t>
      </w:r>
    </w:p>
    <w:p>
      <w:bookmarkStart w:id="4323" w:name="Conclusion_19"/>
      <w:bookmarkStart w:id="4324" w:name="Conclusion__The_price_to_sales_m"/>
      <w:pPr>
        <w:keepNext/>
        <w:pStyle w:val="Heading 2"/>
        <w:keepLines w:val="on"/>
      </w:pPr>
      <w:r>
        <w:t>Kết luận</w:t>
      </w:r>
      <w:bookmarkEnd w:id="4323"/>
      <w:bookmarkEnd w:id="4324"/>
    </w:p>
    <w:p>
      <w:pPr>
        <w:pStyle w:val="Para 03"/>
      </w:pPr>
      <w:r>
        <w:t>Bội số giá trên doanh thu (price-to-sales multiple) và tỷ lệ giá trị trên doanh thu (value-to-sales ratio) được sử dụng rộng rãi để định giá các công ty công nghệ và để so sánh giá trị giữa các công ty này. Một phân tích về các yếu tố cơ bản làm nổi bật tầm quan trọng của biên lợi nhuận (profit margin) trong việc xác định các bội số này, bên cạnh các biến số tiêu chuẩn—tỷ lệ chi trả cổ tức (dividend payout ratio), chi phí vốn cổ phần (cost of equity), và tốc độ tăng trưởng kỳ vọng của thu nhập ròng đối với giá trên doanh thu, cùng tỷ lệ tái đầu tư (reinvestment rate), chi phí vốn (cost of capital), và tăng trưởng thu nhập từ tài sản đối với giá trị trên doanh thu. Việc so sánh các bội số doanh thu giữa các công ty phải tính đến sự khác biệt về biên lợi nhuận. Một cách tiếp cận là tìm kiếm sự không khớp—biên lợi nhuận thấp và bội số doanh thu cao gợi ý những công ty bị định giá quá cao, còn biên lợi nhuận cao và bội số doanh thu thấp gợi ý những công ty bị định giá thấp. Một cách tiếp cận khác kiểm soát sự khác biệt về các yếu tố cơ bản là phương pháp hồi quy cắt ngang (cross-sectional regression), trong đó các bội số doanh thu được hồi quy dựa trên các yếu tố cơ bản giữa các công ty trong một ngành kinh doanh, toàn bộ một lĩnh vực, hoặc toàn thị trường.</w:t>
      </w:r>
    </w:p>
    <w:p>
      <w:pPr>
        <w:pStyle w:val="Para 03"/>
      </w:pPr>
      <w:r>
        <w:t>Các bội số đặc thù theo lĩnh vực (sector-specific multiples) liên hệ giá trị với các biến số đặc thù của lĩnh vực, nhưng chúng phải được sử dụng một cách thận trọng. Thường rất khó để so sánh các bội số này giữa các công ty mà không đưa ra những giả định nghiêm ngặt về hoạt động và tiềm năng tăng trưởng của chúng.</w:t>
      </w:r>
    </w:p>
    <w:p>
      <w:bookmarkStart w:id="4325" w:name="Questions_and_Short_Problems_20"/>
      <w:bookmarkStart w:id="4326" w:name="Questions_and_Short_Problems__In_14"/>
      <w:pPr>
        <w:keepNext/>
        <w:pStyle w:val="Heading 2"/>
        <w:keepLines w:val="on"/>
      </w:pPr>
      <w:r>
        <w:t>Câu hỏi và Bài tập ngắn</w:t>
      </w:r>
      <w:bookmarkEnd w:id="4325"/>
      <w:bookmarkEnd w:id="4326"/>
    </w:p>
    <w:p>
      <w:pPr>
        <w:pStyle w:val="Para 44"/>
      </w:pPr>
      <w:r>
        <w:t>Trong các bài tập sau đây, hãy sử dụng mức bù rủi ro vốn cổ phần (equity risk premium) là 5,5 phần trăm nếu không có quy định nào khác.</w:t>
      </w:r>
    </w:p>
    <w:p>
      <w:pPr>
        <w:numPr>
          <w:ilvl w:val="0"/>
          <w:numId w:val="197"/>
        </w:numPr>
        <w:pStyle w:val="Para 01"/>
      </w:pPr>
      <w:r>
        <w:t>Longs Drug Stores, một chuỗi cửa hàng thuốc lớn của Hoa Kỳ hoạt động chủ yếu ở Bắc California, có doanh thu trên mỗi cổ phần là 122 đô la vào năm 1993, trên đó công ty báo cáo thu nhập trên mỗi cổ phần là 2,45 đô la và trả cổ tức trên mỗi cổ phần là 1,12 đô la. Công ty được kỳ vọng tăng trưởng 6% trong dài hạn và có beta là 0,90. Lãi suất trái phiếu kho bạc (T-bond rate) hiện tại là 7%, và mức bù rủi ro thị trường (market risk premium) là 5,5%.</w:t>
      </w:r>
    </w:p>
    <w:p>
      <w:pPr>
        <w:numPr>
          <w:ilvl w:val="1"/>
          <w:numId w:val="197"/>
        </w:numPr>
        <w:pStyle w:val="Para 01"/>
      </w:pPr>
      <w:r>
        <w:t>Hãy ước tính bội số giá-doanh thu (price-sales multiple) phù hợp cho Longs Drug.</w:t>
      </w:r>
    </w:p>
    <w:p>
      <w:pPr>
        <w:numPr>
          <w:ilvl w:val="1"/>
          <w:numId w:val="197"/>
        </w:numPr>
        <w:pStyle w:val="Para 01"/>
      </w:pPr>
      <w:r>
        <w:t>Cổ phiếu hiện đang giao dịch ở mức 34 đô la mỗi cổ phần. Giả sử tốc độ tăng trưởng được ước tính chính xác, biên lợi nhuận cần phải là bao nhiêu để biện minh cho mức giá này trên mỗi cổ phần?</w:t>
      </w:r>
    </w:p>
    <w:p>
      <w:pPr>
        <w:numPr>
          <w:ilvl w:val="0"/>
          <w:numId w:val="197"/>
        </w:numPr>
        <w:pStyle w:val="Para 01"/>
      </w:pPr>
      <w:r>
        <w:t>Bạn đang xem xét những khác biệt lớn về tỷ lệ giá-doanh thu (price-sales ratios) mà bạn có thể quan sát thấy giữa các công ty trong ngành bán lẻ, và đang cố gắng đưa ra một lý giải để giải thích những khác biệt này:</w:t>
      </w:r>
    </w:p>
    <w:tbl>
      <w:tblPr>
        <w:tblW w:type="auto" w:w="0"/>
      </w:tblPr>
      <w:tr>
        <w:tc>
          <w:tcPr>
            <w:tcW w:type="auto" w:w="0"/>
          </w:tcPr>
          <w:tbl>
            <w:tblPr>
              <w:tblW w:type="auto" w:w="0"/>
            </w:tblPr>
            <w:tr>
              <w:tc>
                <w:tcPr>
                  <w:tcW w:type="auto" w:w="0"/>
                  <w:shd w:val="clear" w:color="auto" w:fill="F0F0F0"/>
                </w:tcPr>
                <w:p>
                  <w:pPr>
                    <w:pStyle w:val="Para 29"/>
                    <w:keepLines w:val="on"/>
                  </w:pPr>
                  <w:r>
                    <w:t>Công ty</w:t>
                  </w:r>
                </w:p>
              </w:tc>
              <w:tc>
                <w:tcPr>
                  <w:tcW w:type="auto" w:w="0"/>
                  <w:shd w:val="clear" w:color="auto" w:fill="F0F0F0"/>
                </w:tcPr>
                <w:p>
                  <w:pPr>
                    <w:pStyle w:val="Para 17"/>
                    <w:keepLines w:val="on"/>
                  </w:pPr>
                  <w:r>
                    <w:t>Giá</w:t>
                  </w:r>
                </w:p>
              </w:tc>
              <w:tc>
                <w:tcPr>
                  <w:tcW w:type="auto" w:w="0"/>
                  <w:shd w:val="clear" w:color="auto" w:fill="F0F0F0"/>
                </w:tcPr>
                <w:p>
                  <w:pPr>
                    <w:pStyle w:val="Para 17"/>
                    <w:keepLines w:val="on"/>
                  </w:pPr>
                  <w:r>
                    <w:t>Doanh thu</w:t>
                  </w:r>
                </w:p>
              </w:tc>
              <w:tc>
                <w:tcPr>
                  <w:tcW w:type="auto" w:w="0"/>
                  <w:shd w:val="clear" w:color="auto" w:fill="F0F0F0"/>
                </w:tcPr>
                <w:p>
                  <w:pPr>
                    <w:pStyle w:val="Para 17"/>
                    <w:keepLines w:val="on"/>
                  </w:pPr>
                  <w:r>
                    <w:t>Thu nhập</w:t>
                  </w:r>
                </w:p>
              </w:tc>
              <w:tc>
                <w:tcPr>
                  <w:tcW w:type="auto" w:w="0"/>
                  <w:shd w:val="clear" w:color="auto" w:fill="F0F0F0"/>
                </w:tcPr>
                <w:p>
                  <w:pPr>
                    <w:pStyle w:val="Para 17"/>
                    <w:keepLines w:val="on"/>
                  </w:pPr>
                  <w:r>
                    <w:t>Tăng trưởng</w:t>
                  </w:r>
                </w:p>
              </w:tc>
              <w:tc>
                <w:tcPr>
                  <w:tcW w:type="auto" w:w="0"/>
                  <w:shd w:val="clear" w:color="auto" w:fill="F0F0F0"/>
                </w:tcPr>
                <w:p>
                  <w:pPr>
                    <w:pStyle w:val="Para 17"/>
                    <w:keepLines w:val="on"/>
                  </w:pPr>
                  <w:r>
                    <w:t>Beta</w:t>
                  </w:r>
                </w:p>
              </w:tc>
              <w:tc>
                <w:tcPr>
                  <w:tcW w:type="auto" w:w="0"/>
                  <w:shd w:val="clear" w:color="auto" w:fill="F0F0F0"/>
                </w:tcPr>
                <w:p>
                  <w:pPr>
                    <w:pStyle w:val="Para 17"/>
                    <w:keepLines w:val="on"/>
                  </w:pPr>
                  <w:r>
                    <w:t>Tỷ lệ chi trả</w:t>
                  </w:r>
                </w:p>
              </w:tc>
            </w:tr>
            <w:tr>
              <w:tc>
                <w:tcPr>
                  <w:tcW w:type="auto" w:w="0"/>
                  <w:shd w:val="clear" w:color="auto" w:fill="F0F0F0"/>
                </w:tcPr>
                <w:p>
                  <w:pPr>
                    <w:pStyle w:val="Para 02"/>
                    <w:keepLines w:val="on"/>
                  </w:pPr>
                  <w:r>
                    <w:t>Bombay Co.</w:t>
                  </w:r>
                </w:p>
              </w:tc>
              <w:tc>
                <w:tcPr>
                  <w:tcW w:type="auto" w:w="0"/>
                  <w:shd w:val="clear" w:color="auto" w:fill="F0F0F0"/>
                </w:tcPr>
                <w:p>
                  <w:pPr>
                    <w:pStyle w:val="Normal"/>
                    <w:keepLines w:val="on"/>
                  </w:pPr>
                  <w:r>
                    <w:t>38 đô la</w:t>
                  </w:r>
                </w:p>
              </w:tc>
              <w:tc>
                <w:tcPr>
                  <w:tcW w:type="auto" w:w="0"/>
                  <w:shd w:val="clear" w:color="auto" w:fill="F0F0F0"/>
                </w:tcPr>
                <w:p>
                  <w:pPr>
                    <w:pStyle w:val="Normal"/>
                    <w:keepLines w:val="on"/>
                  </w:pPr>
                  <w:r>
                    <w:t>9,70 đô la</w:t>
                  </w:r>
                </w:p>
              </w:tc>
              <w:tc>
                <w:tcPr>
                  <w:tcW w:type="auto" w:w="0"/>
                  <w:shd w:val="clear" w:color="auto" w:fill="F0F0F0"/>
                </w:tcPr>
                <w:p>
                  <w:pPr>
                    <w:pStyle w:val="Normal"/>
                    <w:keepLines w:val="on"/>
                  </w:pPr>
                  <w:r>
                    <w:t>0,68 đô la</w:t>
                  </w:r>
                </w:p>
              </w:tc>
              <w:tc>
                <w:tcPr>
                  <w:tcW w:type="auto" w:w="0"/>
                  <w:shd w:val="clear" w:color="auto" w:fill="F0F0F0"/>
                </w:tcPr>
                <w:p>
                  <w:pPr>
                    <w:pStyle w:val="Normal"/>
                    <w:keepLines w:val="on"/>
                  </w:pPr>
                  <w:r>
                    <w:t>29,00%</w:t>
                  </w:r>
                </w:p>
              </w:tc>
              <w:tc>
                <w:tcPr>
                  <w:tcW w:type="auto" w:w="0"/>
                  <w:shd w:val="clear" w:color="auto" w:fill="F0F0F0"/>
                </w:tcPr>
                <w:p>
                  <w:pPr>
                    <w:pStyle w:val="Normal"/>
                    <w:keepLines w:val="on"/>
                  </w:pPr>
                  <w:r>
                    <w:t>1,45</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Bradlees</w:t>
                  </w:r>
                </w:p>
              </w:tc>
              <w:tc>
                <w:tcPr>
                  <w:tcW w:type="auto" w:w="0"/>
                  <w:shd w:val="clear" w:color="auto" w:fill="F0F0F0"/>
                </w:tcPr>
                <w:p>
                  <w:pPr>
                    <w:pStyle w:val="Normal"/>
                    <w:keepLines w:val="on"/>
                  </w:pPr>
                  <w:r>
                    <w:t>15 đô la</w:t>
                  </w:r>
                </w:p>
              </w:tc>
              <w:tc>
                <w:tcPr>
                  <w:tcW w:type="auto" w:w="0"/>
                  <w:shd w:val="clear" w:color="auto" w:fill="F0F0F0"/>
                </w:tcPr>
                <w:p>
                  <w:pPr>
                    <w:pStyle w:val="Normal"/>
                    <w:keepLines w:val="on"/>
                  </w:pPr>
                  <w:r>
                    <w:t>168,60 đô la</w:t>
                  </w:r>
                </w:p>
              </w:tc>
              <w:tc>
                <w:tcPr>
                  <w:tcW w:type="auto" w:w="0"/>
                  <w:shd w:val="clear" w:color="auto" w:fill="F0F0F0"/>
                </w:tcPr>
                <w:p>
                  <w:pPr>
                    <w:pStyle w:val="Normal"/>
                    <w:keepLines w:val="on"/>
                  </w:pPr>
                  <w:r>
                    <w:t>1,75 đô la</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1,15</w:t>
                  </w:r>
                </w:p>
              </w:tc>
              <w:tc>
                <w:tcPr>
                  <w:tcW w:type="auto" w:w="0"/>
                  <w:shd w:val="clear" w:color="auto" w:fill="F0F0F0"/>
                </w:tcPr>
                <w:p>
                  <w:pPr>
                    <w:pStyle w:val="Normal"/>
                    <w:keepLines w:val="on"/>
                  </w:pPr>
                  <w:r>
                    <w:t>34%</w:t>
                  </w:r>
                </w:p>
              </w:tc>
            </w:tr>
            <w:tr>
              <w:tc>
                <w:tcPr>
                  <w:tcW w:type="auto" w:w="0"/>
                  <w:shd w:val="clear" w:color="auto" w:fill="F0F0F0"/>
                </w:tcPr>
                <w:p>
                  <w:pPr>
                    <w:pStyle w:val="Para 02"/>
                    <w:keepLines w:val="on"/>
                  </w:pPr>
                  <w:r>
                    <w:t>Caldor</w:t>
                  </w:r>
                </w:p>
              </w:tc>
              <w:tc>
                <w:tcPr>
                  <w:tcW w:type="auto" w:w="0"/>
                  <w:shd w:val="clear" w:color="auto" w:fill="F0F0F0"/>
                </w:tcPr>
                <w:p>
                  <w:pPr>
                    <w:pStyle w:val="Normal"/>
                    <w:keepLines w:val="on"/>
                  </w:pPr>
                  <w:r>
                    <w:t>32 đô la</w:t>
                  </w:r>
                </w:p>
              </w:tc>
              <w:tc>
                <w:tcPr>
                  <w:tcW w:type="auto" w:w="0"/>
                  <w:shd w:val="clear" w:color="auto" w:fill="F0F0F0"/>
                </w:tcPr>
                <w:p>
                  <w:pPr>
                    <w:pStyle w:val="Normal"/>
                    <w:keepLines w:val="on"/>
                  </w:pPr>
                  <w:r>
                    <w:t>147,45 đô la</w:t>
                  </w:r>
                </w:p>
              </w:tc>
              <w:tc>
                <w:tcPr>
                  <w:tcW w:type="auto" w:w="0"/>
                  <w:shd w:val="clear" w:color="auto" w:fill="F0F0F0"/>
                </w:tcPr>
                <w:p>
                  <w:pPr>
                    <w:pStyle w:val="Normal"/>
                    <w:keepLines w:val="on"/>
                  </w:pPr>
                  <w:r>
                    <w:t>2,70 đô la</w:t>
                  </w:r>
                </w:p>
              </w:tc>
              <w:tc>
                <w:tcPr>
                  <w:tcW w:type="auto" w:w="0"/>
                  <w:shd w:val="clear" w:color="auto" w:fill="F0F0F0"/>
                </w:tcPr>
                <w:p>
                  <w:pPr>
                    <w:pStyle w:val="Normal"/>
                    <w:keepLines w:val="on"/>
                  </w:pPr>
                  <w:r>
                    <w:t>12,50%</w:t>
                  </w:r>
                </w:p>
              </w:tc>
              <w:tc>
                <w:tcPr>
                  <w:tcW w:type="auto" w:w="0"/>
                  <w:shd w:val="clear" w:color="auto" w:fill="F0F0F0"/>
                </w:tcPr>
                <w:p>
                  <w:pPr>
                    <w:pStyle w:val="Normal"/>
                    <w:keepLines w:val="on"/>
                  </w:pPr>
                  <w:r>
                    <w:t>1,55</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Consolidated</w:t>
                  </w:r>
                </w:p>
              </w:tc>
              <w:tc>
                <w:tcPr>
                  <w:tcW w:type="auto" w:w="0"/>
                  <w:shd w:val="clear" w:color="auto" w:fill="F0F0F0"/>
                </w:tcPr>
                <w:p>
                  <w:pPr>
                    <w:pStyle w:val="Normal"/>
                    <w:keepLines w:val="on"/>
                  </w:pPr>
                  <w:r>
                    <w:t>21 đô la</w:t>
                  </w:r>
                </w:p>
              </w:tc>
              <w:tc>
                <w:tcPr>
                  <w:tcW w:type="auto" w:w="0"/>
                  <w:shd w:val="clear" w:color="auto" w:fill="F0F0F0"/>
                </w:tcPr>
                <w:p>
                  <w:pPr>
                    <w:pStyle w:val="Normal"/>
                    <w:keepLines w:val="on"/>
                  </w:pPr>
                  <w:r>
                    <w:t>23,00 đô la</w:t>
                  </w:r>
                </w:p>
              </w:tc>
              <w:tc>
                <w:tcPr>
                  <w:tcW w:type="auto" w:w="0"/>
                  <w:shd w:val="clear" w:color="auto" w:fill="F0F0F0"/>
                </w:tcPr>
                <w:p>
                  <w:pPr>
                    <w:pStyle w:val="Normal"/>
                    <w:keepLines w:val="on"/>
                  </w:pPr>
                  <w:r>
                    <w:t>0,95 đô la</w:t>
                  </w:r>
                </w:p>
              </w:tc>
              <w:tc>
                <w:tcPr>
                  <w:tcW w:type="auto" w:w="0"/>
                  <w:shd w:val="clear" w:color="auto" w:fill="F0F0F0"/>
                </w:tcPr>
                <w:p>
                  <w:pPr>
                    <w:pStyle w:val="Normal"/>
                    <w:keepLines w:val="on"/>
                  </w:pPr>
                  <w:r>
                    <w:t>26,50%</w:t>
                  </w:r>
                </w:p>
              </w:tc>
              <w:tc>
                <w:tcPr>
                  <w:tcW w:type="auto" w:w="0"/>
                  <w:shd w:val="clear" w:color="auto" w:fill="F0F0F0"/>
                </w:tcPr>
                <w:p>
                  <w:pPr>
                    <w:pStyle w:val="Normal"/>
                    <w:keepLines w:val="on"/>
                  </w:pPr>
                  <w:r>
                    <w:t>1,35</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Dayton Hudson</w:t>
                  </w:r>
                </w:p>
              </w:tc>
              <w:tc>
                <w:tcPr>
                  <w:tcW w:type="auto" w:w="0"/>
                  <w:shd w:val="clear" w:color="auto" w:fill="F0F0F0"/>
                </w:tcPr>
                <w:p>
                  <w:pPr>
                    <w:pStyle w:val="Normal"/>
                    <w:keepLines w:val="on"/>
                  </w:pPr>
                  <w:r>
                    <w:t>$73</w:t>
                  </w:r>
                </w:p>
              </w:tc>
              <w:tc>
                <w:tcPr>
                  <w:tcW w:type="auto" w:w="0"/>
                  <w:shd w:val="clear" w:color="auto" w:fill="F0F0F0"/>
                </w:tcPr>
                <w:p>
                  <w:pPr>
                    <w:pStyle w:val="Normal"/>
                    <w:keepLines w:val="on"/>
                  </w:pPr>
                  <w:r>
                    <w:t>$272,90</w:t>
                  </w:r>
                </w:p>
              </w:tc>
              <w:tc>
                <w:tcPr>
                  <w:tcW w:type="auto" w:w="0"/>
                  <w:shd w:val="clear" w:color="auto" w:fill="F0F0F0"/>
                </w:tcPr>
                <w:p>
                  <w:pPr>
                    <w:pStyle w:val="Normal"/>
                    <w:keepLines w:val="on"/>
                  </w:pPr>
                  <w:r>
                    <w:t>$4,65</w:t>
                  </w:r>
                </w:p>
              </w:tc>
              <w:tc>
                <w:tcPr>
                  <w:tcW w:type="auto" w:w="0"/>
                  <w:shd w:val="clear" w:color="auto" w:fill="F0F0F0"/>
                </w:tcPr>
                <w:p>
                  <w:pPr>
                    <w:pStyle w:val="Normal"/>
                    <w:keepLines w:val="on"/>
                  </w:pPr>
                  <w:r>
                    <w:t>12,50%</w:t>
                  </w:r>
                </w:p>
              </w:tc>
              <w:tc>
                <w:tcPr>
                  <w:tcW w:type="auto" w:w="0"/>
                  <w:shd w:val="clear" w:color="auto" w:fill="F0F0F0"/>
                </w:tcPr>
                <w:p>
                  <w:pPr>
                    <w:pStyle w:val="Normal"/>
                    <w:keepLines w:val="on"/>
                  </w:pPr>
                  <w:r>
                    <w:t>1,30</w:t>
                  </w:r>
                </w:p>
              </w:tc>
              <w:tc>
                <w:tcPr>
                  <w:tcW w:type="auto" w:w="0"/>
                  <w:shd w:val="clear" w:color="auto" w:fill="F0F0F0"/>
                </w:tcPr>
                <w:p>
                  <w:pPr>
                    <w:pStyle w:val="Normal"/>
                    <w:keepLines w:val="on"/>
                  </w:pPr>
                  <w:r>
                    <w:t>38%</w:t>
                  </w:r>
                </w:p>
              </w:tc>
            </w:tr>
            <w:tr>
              <w:tc>
                <w:tcPr>
                  <w:tcW w:type="auto" w:w="0"/>
                  <w:shd w:val="clear" w:color="auto" w:fill="F0F0F0"/>
                </w:tcPr>
                <w:p>
                  <w:pPr>
                    <w:pStyle w:val="Para 02"/>
                    <w:keepLines w:val="on"/>
                  </w:pPr>
                  <w:r>
                    <w:t>Federated</w:t>
                  </w:r>
                </w:p>
              </w:tc>
              <w:tc>
                <w:tcPr>
                  <w:tcW w:type="auto" w:w="0"/>
                  <w:shd w:val="clear" w:color="auto" w:fill="F0F0F0"/>
                </w:tcPr>
                <w:p>
                  <w:pPr>
                    <w:pStyle w:val="Normal"/>
                    <w:keepLines w:val="on"/>
                  </w:pPr>
                  <w:r>
                    <w:t>$22</w:t>
                  </w:r>
                </w:p>
              </w:tc>
              <w:tc>
                <w:tcPr>
                  <w:tcW w:type="auto" w:w="0"/>
                  <w:shd w:val="clear" w:color="auto" w:fill="F0F0F0"/>
                </w:tcPr>
                <w:p>
                  <w:pPr>
                    <w:pStyle w:val="Normal"/>
                    <w:keepLines w:val="on"/>
                  </w:pPr>
                  <w:r>
                    <w:t>$58,90</w:t>
                  </w:r>
                </w:p>
              </w:tc>
              <w:tc>
                <w:tcPr>
                  <w:tcW w:type="auto" w:w="0"/>
                  <w:shd w:val="clear" w:color="auto" w:fill="F0F0F0"/>
                </w:tcPr>
                <w:p>
                  <w:pPr>
                    <w:pStyle w:val="Normal"/>
                    <w:keepLines w:val="on"/>
                  </w:pPr>
                  <w:r>
                    <w:t>$1,40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1,45</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Kmart</w:t>
                  </w:r>
                </w:p>
              </w:tc>
              <w:tc>
                <w:tcPr>
                  <w:tcW w:type="auto" w:w="0"/>
                  <w:shd w:val="clear" w:color="auto" w:fill="F0F0F0"/>
                </w:tcPr>
                <w:p>
                  <w:pPr>
                    <w:pStyle w:val="Normal"/>
                    <w:keepLines w:val="on"/>
                  </w:pPr>
                  <w:r>
                    <w:t>$23</w:t>
                  </w:r>
                </w:p>
              </w:tc>
              <w:tc>
                <w:tcPr>
                  <w:tcW w:type="auto" w:w="0"/>
                  <w:shd w:val="clear" w:color="auto" w:fill="F0F0F0"/>
                </w:tcPr>
                <w:p>
                  <w:pPr>
                    <w:pStyle w:val="Normal"/>
                    <w:keepLines w:val="on"/>
                  </w:pPr>
                  <w:r>
                    <w:t>$101,45</w:t>
                  </w:r>
                </w:p>
              </w:tc>
              <w:tc>
                <w:tcPr>
                  <w:tcW w:type="auto" w:w="0"/>
                  <w:shd w:val="clear" w:color="auto" w:fill="F0F0F0"/>
                </w:tcPr>
                <w:p>
                  <w:pPr>
                    <w:pStyle w:val="Normal"/>
                    <w:keepLines w:val="on"/>
                  </w:pPr>
                  <w:r>
                    <w:t>$1,75</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1,30</w:t>
                  </w:r>
                </w:p>
              </w:tc>
              <w:tc>
                <w:tcPr>
                  <w:tcW w:type="auto" w:w="0"/>
                  <w:shd w:val="clear" w:color="auto" w:fill="F0F0F0"/>
                </w:tcPr>
                <w:p>
                  <w:pPr>
                    <w:pStyle w:val="Normal"/>
                    <w:keepLines w:val="on"/>
                  </w:pPr>
                  <w:r>
                    <w:t>59%</w:t>
                  </w:r>
                </w:p>
              </w:tc>
            </w:tr>
            <w:tr>
              <w:tc>
                <w:tcPr>
                  <w:tcW w:type="auto" w:w="0"/>
                  <w:shd w:val="clear" w:color="auto" w:fill="F0F0F0"/>
                </w:tcPr>
                <w:p>
                  <w:pPr>
                    <w:pStyle w:val="Para 02"/>
                    <w:keepLines w:val="on"/>
                  </w:pPr>
                  <w:r>
                    <w:t>Nordstrom</w:t>
                  </w:r>
                </w:p>
              </w:tc>
              <w:tc>
                <w:tcPr>
                  <w:tcW w:type="auto" w:w="0"/>
                  <w:shd w:val="clear" w:color="auto" w:fill="F0F0F0"/>
                </w:tcPr>
                <w:p>
                  <w:pPr>
                    <w:pStyle w:val="Normal"/>
                    <w:keepLines w:val="on"/>
                  </w:pPr>
                  <w:r>
                    <w:t>$36</w:t>
                  </w:r>
                </w:p>
              </w:tc>
              <w:tc>
                <w:tcPr>
                  <w:tcW w:type="auto" w:w="0"/>
                  <w:shd w:val="clear" w:color="auto" w:fill="F0F0F0"/>
                </w:tcPr>
                <w:p>
                  <w:pPr>
                    <w:pStyle w:val="Normal"/>
                    <w:keepLines w:val="on"/>
                  </w:pPr>
                  <w:r>
                    <w:t>$43,85</w:t>
                  </w:r>
                </w:p>
              </w:tc>
              <w:tc>
                <w:tcPr>
                  <w:tcW w:type="auto" w:w="0"/>
                  <w:shd w:val="clear" w:color="auto" w:fill="F0F0F0"/>
                </w:tcPr>
                <w:p>
                  <w:pPr>
                    <w:pStyle w:val="Normal"/>
                    <w:keepLines w:val="on"/>
                  </w:pPr>
                  <w:r>
                    <w:t>$1,60</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1,45</w:t>
                  </w:r>
                </w:p>
              </w:tc>
              <w:tc>
                <w:tcPr>
                  <w:tcW w:type="auto" w:w="0"/>
                  <w:shd w:val="clear" w:color="auto" w:fill="F0F0F0"/>
                </w:tcPr>
                <w:p>
                  <w:pPr>
                    <w:pStyle w:val="Normal"/>
                    <w:keepLines w:val="on"/>
                  </w:pPr>
                  <w:r>
                    <w:t>20%</w:t>
                  </w:r>
                </w:p>
              </w:tc>
            </w:tr>
            <w:tr>
              <w:tc>
                <w:tcPr>
                  <w:tcW w:type="auto" w:w="0"/>
                  <w:shd w:val="clear" w:color="auto" w:fill="F0F0F0"/>
                </w:tcPr>
                <w:p>
                  <w:pPr>
                    <w:pStyle w:val="Para 02"/>
                    <w:keepLines w:val="on"/>
                  </w:pPr>
                  <w:r>
                    <w:t>Penney</w:t>
                  </w:r>
                </w:p>
              </w:tc>
              <w:tc>
                <w:tcPr>
                  <w:tcW w:type="auto" w:w="0"/>
                  <w:shd w:val="clear" w:color="auto" w:fill="F0F0F0"/>
                </w:tcPr>
                <w:p>
                  <w:pPr>
                    <w:pStyle w:val="Normal"/>
                    <w:keepLines w:val="on"/>
                  </w:pPr>
                  <w:r>
                    <w:t>$54</w:t>
                  </w:r>
                </w:p>
              </w:tc>
              <w:tc>
                <w:tcPr>
                  <w:tcW w:type="auto" w:w="0"/>
                  <w:shd w:val="clear" w:color="auto" w:fill="F0F0F0"/>
                </w:tcPr>
                <w:p>
                  <w:pPr>
                    <w:pStyle w:val="Normal"/>
                    <w:keepLines w:val="on"/>
                  </w:pPr>
                  <w:r>
                    <w:t>$81,05</w:t>
                  </w:r>
                </w:p>
              </w:tc>
              <w:tc>
                <w:tcPr>
                  <w:tcW w:type="auto" w:w="0"/>
                  <w:shd w:val="clear" w:color="auto" w:fill="F0F0F0"/>
                </w:tcPr>
                <w:p>
                  <w:pPr>
                    <w:pStyle w:val="Normal"/>
                    <w:keepLines w:val="on"/>
                  </w:pPr>
                  <w:r>
                    <w:t>$3,50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1,10</w:t>
                  </w:r>
                </w:p>
              </w:tc>
              <w:tc>
                <w:tcPr>
                  <w:tcW w:type="auto" w:w="0"/>
                  <w:shd w:val="clear" w:color="auto" w:fill="F0F0F0"/>
                </w:tcPr>
                <w:p>
                  <w:pPr>
                    <w:pStyle w:val="Normal"/>
                    <w:keepLines w:val="on"/>
                  </w:pPr>
                  <w:r>
                    <w:t>41%</w:t>
                  </w:r>
                </w:p>
              </w:tc>
            </w:tr>
            <w:tr>
              <w:tc>
                <w:tcPr>
                  <w:tcW w:type="auto" w:w="0"/>
                  <w:shd w:val="clear" w:color="auto" w:fill="F0F0F0"/>
                </w:tcPr>
                <w:p>
                  <w:pPr>
                    <w:pStyle w:val="Para 02"/>
                    <w:keepLines w:val="on"/>
                  </w:pPr>
                  <w:r>
                    <w:t>Sears</w:t>
                  </w:r>
                </w:p>
              </w:tc>
              <w:tc>
                <w:tcPr>
                  <w:tcW w:type="auto" w:w="0"/>
                  <w:shd w:val="clear" w:color="auto" w:fill="F0F0F0"/>
                </w:tcPr>
                <w:p>
                  <w:pPr>
                    <w:pStyle w:val="Normal"/>
                    <w:keepLines w:val="on"/>
                  </w:pPr>
                  <w:r>
                    <w:t>$57</w:t>
                  </w:r>
                </w:p>
              </w:tc>
              <w:tc>
                <w:tcPr>
                  <w:tcW w:type="auto" w:w="0"/>
                  <w:shd w:val="clear" w:color="auto" w:fill="F0F0F0"/>
                </w:tcPr>
                <w:p>
                  <w:pPr>
                    <w:pStyle w:val="Normal"/>
                    <w:keepLines w:val="on"/>
                  </w:pPr>
                  <w:r>
                    <w:t>$150,00</w:t>
                  </w:r>
                </w:p>
              </w:tc>
              <w:tc>
                <w:tcPr>
                  <w:tcW w:type="auto" w:w="0"/>
                  <w:shd w:val="clear" w:color="auto" w:fill="F0F0F0"/>
                </w:tcPr>
                <w:p>
                  <w:pPr>
                    <w:pStyle w:val="Normal"/>
                    <w:keepLines w:val="on"/>
                  </w:pPr>
                  <w:r>
                    <w:t>$4,55</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1,35</w:t>
                  </w:r>
                </w:p>
              </w:tc>
              <w:tc>
                <w:tcPr>
                  <w:tcW w:type="auto" w:w="0"/>
                  <w:shd w:val="clear" w:color="auto" w:fill="F0F0F0"/>
                </w:tcPr>
                <w:p>
                  <w:pPr>
                    <w:pStyle w:val="Normal"/>
                    <w:keepLines w:val="on"/>
                  </w:pPr>
                  <w:r>
                    <w:t>36%</w:t>
                  </w:r>
                </w:p>
              </w:tc>
            </w:tr>
            <w:tr>
              <w:tc>
                <w:tcPr>
                  <w:tcW w:type="auto" w:w="0"/>
                  <w:shd w:val="clear" w:color="auto" w:fill="F0F0F0"/>
                </w:tcPr>
                <w:p>
                  <w:pPr>
                    <w:pStyle w:val="Para 02"/>
                    <w:keepLines w:val="on"/>
                  </w:pPr>
                  <w:r>
                    <w:t>Tiffany</w:t>
                  </w:r>
                </w:p>
              </w:tc>
              <w:tc>
                <w:tcPr>
                  <w:tcW w:type="auto" w:w="0"/>
                  <w:shd w:val="clear" w:color="auto" w:fill="F0F0F0"/>
                </w:tcPr>
                <w:p>
                  <w:pPr>
                    <w:pStyle w:val="Normal"/>
                    <w:keepLines w:val="on"/>
                  </w:pPr>
                  <w:r>
                    <w:t>$32</w:t>
                  </w:r>
                </w:p>
              </w:tc>
              <w:tc>
                <w:tcPr>
                  <w:tcW w:type="auto" w:w="0"/>
                  <w:shd w:val="clear" w:color="auto" w:fill="F0F0F0"/>
                </w:tcPr>
                <w:p>
                  <w:pPr>
                    <w:pStyle w:val="Normal"/>
                    <w:keepLines w:val="on"/>
                  </w:pPr>
                  <w:r>
                    <w:t>$35,65</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19%</w:t>
                  </w:r>
                </w:p>
              </w:tc>
            </w:tr>
            <w:tr>
              <w:tc>
                <w:tcPr>
                  <w:tcW w:type="auto" w:w="0"/>
                  <w:shd w:val="clear" w:color="auto" w:fill="F0F0F0"/>
                </w:tcPr>
                <w:p>
                  <w:pPr>
                    <w:pStyle w:val="Para 02"/>
                    <w:keepLines w:val="on"/>
                  </w:pPr>
                  <w:r>
                    <w:t>Wal-Mart</w:t>
                  </w:r>
                </w:p>
              </w:tc>
              <w:tc>
                <w:tcPr>
                  <w:tcW w:type="auto" w:w="0"/>
                  <w:shd w:val="clear" w:color="auto" w:fill="F0F0F0"/>
                </w:tcPr>
                <w:p>
                  <w:pPr>
                    <w:pStyle w:val="Normal"/>
                    <w:keepLines w:val="on"/>
                  </w:pPr>
                  <w:r>
                    <w:t>$30</w:t>
                  </w:r>
                </w:p>
              </w:tc>
              <w:tc>
                <w:tcPr>
                  <w:tcW w:type="auto" w:w="0"/>
                  <w:shd w:val="clear" w:color="auto" w:fill="F0F0F0"/>
                </w:tcPr>
                <w:p>
                  <w:pPr>
                    <w:pStyle w:val="Normal"/>
                    <w:keepLines w:val="on"/>
                  </w:pPr>
                  <w:r>
                    <w:t>$29,35</w:t>
                  </w:r>
                </w:p>
              </w:tc>
              <w:tc>
                <w:tcPr>
                  <w:tcW w:type="auto" w:w="0"/>
                  <w:shd w:val="clear" w:color="auto" w:fill="F0F0F0"/>
                </w:tcPr>
                <w:p>
                  <w:pPr>
                    <w:pStyle w:val="Normal"/>
                    <w:keepLines w:val="on"/>
                  </w:pPr>
                  <w:r>
                    <w:t>$1,05</w:t>
                  </w:r>
                </w:p>
              </w:tc>
              <w:tc>
                <w:tcPr>
                  <w:tcW w:type="auto" w:w="0"/>
                  <w:shd w:val="clear" w:color="auto" w:fill="F0F0F0"/>
                </w:tcPr>
                <w:p>
                  <w:pPr>
                    <w:pStyle w:val="Normal"/>
                    <w:keepLines w:val="on"/>
                  </w:pPr>
                  <w:r>
                    <w:t>18,50%</w:t>
                  </w:r>
                </w:p>
              </w:tc>
              <w:tc>
                <w:tcPr>
                  <w:tcW w:type="auto" w:w="0"/>
                  <w:shd w:val="clear" w:color="auto" w:fill="F0F0F0"/>
                </w:tcPr>
                <w:p>
                  <w:pPr>
                    <w:pStyle w:val="Normal"/>
                    <w:keepLines w:val="on"/>
                  </w:pPr>
                  <w:r>
                    <w:t>1,30</w:t>
                  </w:r>
                </w:p>
              </w:tc>
              <w:tc>
                <w:tcPr>
                  <w:tcW w:type="auto" w:w="0"/>
                  <w:shd w:val="clear" w:color="auto" w:fill="F0F0F0"/>
                </w:tcPr>
                <w:p>
                  <w:pPr>
                    <w:pStyle w:val="Normal"/>
                    <w:keepLines w:val="on"/>
                  </w:pPr>
                  <w:r>
                    <w:t>11%</w:t>
                  </w:r>
                </w:p>
              </w:tc>
            </w:tr>
            <w:tr>
              <w:tc>
                <w:tcPr>
                  <w:tcW w:type="auto" w:w="0"/>
                  <w:shd w:val="clear" w:color="auto" w:fill="F0F0F0"/>
                </w:tcPr>
                <w:p>
                  <w:pPr>
                    <w:pStyle w:val="Para 02"/>
                    <w:keepLines w:val="on"/>
                  </w:pPr>
                  <w:r>
                    <w:t>Woolworth</w:t>
                  </w:r>
                </w:p>
              </w:tc>
              <w:tc>
                <w:tcPr>
                  <w:tcW w:type="auto" w:w="0"/>
                  <w:shd w:val="clear" w:color="auto" w:fill="F0F0F0"/>
                </w:tcPr>
                <w:p>
                  <w:pPr>
                    <w:pStyle w:val="Normal"/>
                    <w:keepLines w:val="on"/>
                  </w:pPr>
                  <w:r>
                    <w:t>$23</w:t>
                  </w:r>
                </w:p>
              </w:tc>
              <w:tc>
                <w:tcPr>
                  <w:tcW w:type="auto" w:w="0"/>
                  <w:shd w:val="clear" w:color="auto" w:fill="F0F0F0"/>
                </w:tcPr>
                <w:p>
                  <w:pPr>
                    <w:pStyle w:val="Normal"/>
                    <w:keepLines w:val="on"/>
                  </w:pPr>
                  <w:r>
                    <w:t>$74,15</w:t>
                  </w:r>
                </w:p>
              </w:tc>
              <w:tc>
                <w:tcPr>
                  <w:tcW w:type="auto" w:w="0"/>
                  <w:shd w:val="clear" w:color="auto" w:fill="F0F0F0"/>
                </w:tcPr>
                <w:p>
                  <w:pPr>
                    <w:pStyle w:val="Normal"/>
                    <w:keepLines w:val="on"/>
                  </w:pPr>
                  <w:r>
                    <w:t>$1,35</w:t>
                  </w:r>
                </w:p>
              </w:tc>
              <w:tc>
                <w:tcPr>
                  <w:tcW w:type="auto" w:w="0"/>
                  <w:shd w:val="clear" w:color="auto" w:fill="F0F0F0"/>
                </w:tcPr>
                <w:p>
                  <w:pPr>
                    <w:pStyle w:val="Normal"/>
                    <w:keepLines w:val="on"/>
                  </w:pPr>
                  <w:r>
                    <w:t>13,00%</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65%</w:t>
                  </w:r>
                </w:p>
              </w:tc>
            </w:tr>
          </w:tbl>
          <w:p/>
        </w:tc>
      </w:tr>
    </w:tbl>
    <w:p>
      <w:pPr>
        <w:numPr>
          <w:ilvl w:val="1"/>
          <w:numId w:val="197"/>
        </w:numPr>
        <w:pStyle w:val="Para 01"/>
      </w:pPr>
      <w:r>
        <w:t>Có hai công ty được bán với giá cao hơn doanh thu, đó là Bombay Company và Wal-Mart. Tại sao?</w:t>
      </w:r>
    </w:p>
    <w:p>
      <w:pPr>
        <w:numPr>
          <w:ilvl w:val="1"/>
          <w:numId w:val="197"/>
        </w:numPr>
        <w:pStyle w:val="Para 01"/>
      </w:pPr>
      <w:r>
        <w:t>Biến số nào có tương quan cao nhất với tỷ lệ giá trên doanh thu (price-sales ratio)?</w:t>
      </w:r>
    </w:p>
    <w:p>
      <w:pPr>
        <w:numPr>
          <w:ilvl w:val="1"/>
          <w:numId w:val="197"/>
        </w:numPr>
        <w:pStyle w:val="Para 01"/>
      </w:pPr>
      <w:r>
        <w:t>Công ty nào trong số này có khả năng bị định giá quá cao hoặc quá thấp nhất? Bạn đưa ra nhận định này dựa trên cơ sở nào?</w:t>
      </w:r>
    </w:p>
    <w:p>
      <w:pPr>
        <w:numPr>
          <w:ilvl w:val="0"/>
          <w:numId w:val="197"/>
        </w:numPr>
        <w:pStyle w:val="Para 01"/>
      </w:pPr>
      <w:r>
        <w:t>Walgreen, một chuỗi cửa hàng bán thuốc bán lẻ lớn tại Hoa Kỳ, báo cáo thu nhập ròng là 221 triệu đô la vào năm 1993 trên doanh thu 8.298 triệu đô la. Công ty đã chi trả 31% lợi nhuận của mình dưới dạng cổ tức, một tỷ lệ chi trả (payout ratio) mà công ty được kỳ vọng sẽ duy trì trong giai đoạn từ 1994 đến 1998, trong khoảng thời gian đó tăng trưởng lợi nhuận được kỳ vọng là 13,5%. Sau năm 1998, tăng trưởng lợi nhuận được kỳ vọng sẽ giảm xuống còn 6%, và tỷ lệ chi trả cổ tức được kỳ vọng sẽ tăng lên 60%. Hệ số beta là 1,15 và được kỳ vọng sẽ không thay đổi. Lãi suất trái phiếu kho bạc (Treasury bond rate) là 7%, và phần bù rủi ro (risk premium) là 5,5%.</w:t>
      </w:r>
    </w:p>
    <w:p>
      <w:pPr>
        <w:numPr>
          <w:ilvl w:val="1"/>
          <w:numId w:val="197"/>
        </w:numPr>
        <w:pStyle w:val="Para 01"/>
      </w:pPr>
      <w:r>
        <w:t>Ước tính tỷ lệ giá trên doanh thu (price/sales ratio) cho Walgreens, giả định rằng biên lợi nhuận (profit margin) của công ty không thay đổi ở mức của năm 1993.</w:t>
      </w:r>
    </w:p>
    <w:p>
      <w:pPr>
        <w:numPr>
          <w:ilvl w:val="1"/>
          <w:numId w:val="197"/>
        </w:numPr>
        <w:pStyle w:val="Para 01"/>
      </w:pPr>
      <w:r>
        <w:t>Bao nhiêu phần của tỷ lệ giá trên doanh thu này có thể được quy cho sự tăng trưởng phi thường (extraordinary growth)?</w:t>
      </w:r>
    </w:p>
    <w:p>
      <w:pPr>
        <w:numPr>
          <w:ilvl w:val="0"/>
          <w:numId w:val="197"/>
        </w:numPr>
        <w:pStyle w:val="Para 01"/>
      </w:pPr>
      <w:r>
        <w:t>Tambrands, một nhà sản xuất băng vệ sinh hàng đầu, báo cáo thu nhập ròng là 122 triệu đô la trên doanh thu 684 triệu đô la vào năm 1992. Tăng trưởng lợi nhuận được dự kiến là 11% trong năm năm tới, sau đó được kỳ vọng là 6%. Công ty đã chi trả 45% lợi nhuận của mình dưới dạng cổ tức vào năm 1992, và tỷ lệ chi trả này được kỳ vọng sẽ tăng lên 60% trong giai đoạn ổn định. Hệ số beta của cổ phiếu là 1,00. Trong suốt năm 1993, sự xói mòn lòng trung thành với thương hiệu và sự cạnh tranh ngày càng tăng từ các thương hiệu generic đã dẫn đến việc thu nhập ròng giảm xuống còn 100 triệu đô la trên doanh thu 700 triệu đô la. Tỷ lệ doanh thu trên giá trị sổ sách (sales/book value ratio) tương đương với mức của năm 1992. (Lãi suất trái phiếu kho bạc vào năm 1992 và 1993 là 7%, và phần bù rủi ro là 5,5%.)</w:t>
      </w:r>
    </w:p>
    <w:p>
      <w:pPr>
        <w:numPr>
          <w:ilvl w:val="1"/>
          <w:numId w:val="197"/>
        </w:numPr>
        <w:pStyle w:val="Para 01"/>
      </w:pPr>
      <w:r>
        <w:t>Ước tính tỷ lệ giá trên doanh thu (price-sales ratio), dựa trên biên lợi nhuận của năm 1992 và tăng trưởng kỳ vọng.</w:t>
      </w:r>
    </w:p>
    <w:p>
      <w:pPr>
        <w:numPr>
          <w:ilvl w:val="1"/>
          <w:numId w:val="197"/>
        </w:numPr>
        <w:pStyle w:val="Para 01"/>
      </w:pPr>
      <w:r>
        <w:t>Ước tính tỷ lệ giá trên doanh thu, dựa trên biên lợi nhuận của năm 1993 và tăng trưởng kỳ vọng. (Giả định rằng giai đoạn tăng trưởng phi thường vẫn kéo dài năm năm, nhưng tốc độ tăng trưởng sẽ bị ảnh hưởng bởi biên lợi nhuận thấp hơn.)</w:t>
      </w:r>
    </w:p>
    <w:p>
      <w:pPr>
        <w:numPr>
          <w:ilvl w:val="0"/>
          <w:numId w:val="197"/>
        </w:numPr>
        <w:pStyle w:val="Para 01"/>
      </w:pPr>
      <w:r>
        <w:t>Gillette Inc. đã phải đối mặt với một quyết định chiến lược quan trọng của công ty vào đầu năm 1994 về việc liệu công ty sẽ tiếp tục chiến lược biên lợi nhuận cao của mình, hay chuyển sang biên lợi nhuận thấp hơn để tăng doanh thu bán hàng trước sự cạnh tranh gay gắt từ các thương hiệu generic. Hai chiến lược đang được xem xét như sau:</w:t>
      </w:r>
    </w:p>
    <w:p>
      <w:pPr>
        <w:pStyle w:val="Para 44"/>
      </w:pPr>
      <w:r>
        <w:t>Chiến lược giữ nguyên hiện trạng với biên lợi nhuận cao (Status Quo High-Margin Strategy)</w:t>
      </w:r>
    </w:p>
    <w:p>
      <w:pPr>
        <w:numPr>
          <w:ilvl w:val="1"/>
          <w:numId w:val="197"/>
        </w:numPr>
        <w:pStyle w:val="Para 01"/>
      </w:pPr>
      <w:r>
        <w:t>Duy trì biên lợi nhuận ở mức của năm 1993 từ năm 1994 đến năm 2003. (Vào năm 1993, thu nhập ròng là 575 triệu đô la trên doanh thu 5.750 triệu đô la.)</w:t>
      </w:r>
    </w:p>
    <w:p>
      <w:pPr>
        <w:numPr>
          <w:ilvl w:val="1"/>
          <w:numId w:val="197"/>
        </w:numPr>
        <w:pStyle w:val="Para 01"/>
      </w:pPr>
      <w:r>
        <w:t>Tỷ lệ doanh thu trên giá trị sổ sách (sales/book value ratio), vốn là 3 vào năm 1993, sau đó có thể được kỳ vọng sẽ giảm xuống còn 2,5 trong giai đoạn từ năm 1994 đến năm 2003.</w:t>
      </w:r>
    </w:p>
    <w:p>
      <w:pPr>
        <w:pStyle w:val="Para 44"/>
      </w:pPr>
      <w:r>
        <w:t>Chiến lược biên lợi nhuận thấp nhưng doanh số cao hơn</w:t>
      </w:r>
    </w:p>
    <w:p>
      <w:pPr>
        <w:numPr>
          <w:ilvl w:val="1"/>
          <w:numId w:val="197"/>
        </w:numPr>
        <w:pStyle w:val="Para 01"/>
      </w:pPr>
      <w:r>
        <w:t>Giảm biên lợi nhuận ròng xuống 8% từ năm 1994 đến 2003.</w:t>
      </w:r>
    </w:p>
    <w:p>
      <w:pPr>
        <w:numPr>
          <w:ilvl w:val="1"/>
          <w:numId w:val="197"/>
        </w:numPr>
        <w:pStyle w:val="Para 01"/>
      </w:pPr>
      <w:r>
        <w:t>Khi đó, tỷ lệ doanh số trên giá trị sổ sách sẽ giữ nguyên ở mức của năm 1993 từ năm 1994 đến 2003.</w:t>
      </w:r>
    </w:p>
    <w:p>
      <w:pPr>
        <w:pStyle w:val="Para 03"/>
      </w:pPr>
      <w:r>
        <w:t>Giá trị sổ sách trên mỗi cổ phần vào cuối năm 1993 là 9,75 đô la. Tỷ lệ chi trả cổ tức, vốn là 33% vào năm 1993, được kỳ vọng sẽ không thay đổi từ năm 1994 đến 2003 theo cả hai chiến lược, cũng như hệ số beta, vốn là 1,30 vào năm 1993. (Lãi suất trái phiếu kho bạc là 7%, và phần bù rủi ro là 5,5%.) Sau năm 2003, tốc độ tăng trưởng thu nhập được kỳ vọng sẽ giảm xuống còn 6%, và tỷ lệ chi trả cổ tức được kỳ vọng là 60% theo cả hai chiến lược. Hệ số beta sẽ giảm xuống còn 1,0.</w:t>
      </w:r>
    </w:p>
    <w:p>
      <w:pPr>
        <w:numPr>
          <w:ilvl w:val="1"/>
          <w:numId w:val="197"/>
        </w:numPr>
        <w:pStyle w:val="Para 01"/>
      </w:pPr>
      <w:r>
        <w:t>Ước tính tỷ lệ giá trên doanh số theo chiến lược giữ nguyên hiện trạng.</w:t>
      </w:r>
    </w:p>
    <w:p>
      <w:pPr>
        <w:numPr>
          <w:ilvl w:val="1"/>
          <w:numId w:val="197"/>
        </w:numPr>
        <w:pStyle w:val="Para 01"/>
      </w:pPr>
      <w:r>
        <w:t>Ước tính tỷ lệ giá trên doanh số theo chiến lược biên lợi nhuận thấp.</w:t>
      </w:r>
    </w:p>
    <w:p>
      <w:pPr>
        <w:numPr>
          <w:ilvl w:val="1"/>
          <w:numId w:val="197"/>
        </w:numPr>
        <w:pStyle w:val="Para 01"/>
      </w:pPr>
      <w:r>
        <w:t>Bạn sẽ đề xuất chiến lược nào và tại sao?</w:t>
      </w:r>
    </w:p>
    <w:p>
      <w:pPr>
        <w:numPr>
          <w:ilvl w:val="1"/>
          <w:numId w:val="197"/>
        </w:numPr>
        <w:pStyle w:val="Para 01"/>
      </w:pPr>
      <w:r>
        <w:t>Doanh số sẽ phải giảm bao nhiêu theo chiến lược giữ nguyên hiện trạng để hai chiến lược trở nên tương đương nhau?</w:t>
      </w:r>
    </w:p>
    <w:p>
      <w:pPr>
        <w:numPr>
          <w:ilvl w:val="0"/>
          <w:numId w:val="197"/>
        </w:numPr>
        <w:pStyle w:val="Para 01"/>
      </w:pPr>
      <w:r>
        <w:t>Bạn đã hồi quy tỷ lệ giá trên doanh số dựa trên các yếu tố cơ bản của các cổ phiếu trên NYSE vào năm 1994 và thu được phương trình hồi quy sau:</w:t>
      </w:r>
    </w:p>
    <w:p>
      <w:bookmarkStart w:id="4329" w:name="PS_0_42_0_33_Payout_0_73_Growth"/>
      <w:pPr>
        <w:keepNext/>
        <w:pStyle w:val="Para 09"/>
        <w:keepLines w:val="on"/>
      </w:pPr>
      <w:r>
        <w:t>PS=0,42+0,33 Payout+0,73 Growth-0,43 Beta+7,91 Margin</w:t>
      </w:r>
      <w:bookmarkEnd w:id="4329"/>
    </w:p>
    <w:p>
      <w:pPr>
        <w:pStyle w:val="Para 03"/>
      </w:pPr>
      <w:r>
        <w:t>Ví dụ, một công ty có tỷ lệ chi trả cổ tức 35%, tốc độ tăng trưởng 15%, hệ số beta 1,25 và biên lợi nhuận 10% sẽ có tỷ lệ giá trên doanh số là:</w:t>
      </w:r>
    </w:p>
    <w:p>
      <w:bookmarkStart w:id="4330" w:name="PS_0_42_0_33x0_35_0_73x0_15___0"/>
      <w:pPr>
        <w:keepNext/>
        <w:pStyle w:val="Para 09"/>
        <w:keepLines w:val="on"/>
      </w:pPr>
      <w:r>
        <w:t>PS=0,42+0,33×0,35+0,73×0,15−0,43×1,25+7,91×0,10=0,8985</w:t>
      </w:r>
      <w:bookmarkEnd w:id="4330"/>
    </w:p>
    <w:p>
      <w:pPr>
        <w:numPr>
          <w:ilvl w:val="1"/>
          <w:numId w:val="197"/>
        </w:numPr>
        <w:pStyle w:val="Para 01"/>
      </w:pPr>
      <w:r>
        <w:t>Các hệ số trong phương trình hồi quy này cho bạn biết điều gì về mối quan hệ giữa biến độc lập và biến phụ thuộc? Bạn có thể có những lo ngại về mặt thống kê nào với phương trình hồi quy này?</w:t>
      </w:r>
    </w:p>
    <w:p>
      <w:pPr>
        <w:numPr>
          <w:ilvl w:val="1"/>
          <w:numId w:val="197"/>
        </w:numPr>
        <w:pStyle w:val="Para 01"/>
      </w:pPr>
      <w:r>
        <w:t>Ước tính tỷ lệ giá trên doanh số cho tất cả các chuỗi bán lẻ được mô tả trong câu hỏi 2. Tại sao câu trả lời này có thể khác với câu trả lời thu được từ phương trình hồi quy chỉ dựa trên các công ty bán lẻ? Bạn sẽ coi câu trả lời nào là đáng tin cậy hơn và tại sao?</w:t>
      </w:r>
    </w:p>
    <w:p>
      <w:pPr>
        <w:numPr>
          <w:ilvl w:val="0"/>
          <w:numId w:val="197"/>
        </w:numPr>
        <w:pStyle w:val="Para 01"/>
      </w:pPr>
      <w:r>
        <w:t>Ulysses Inc. là một công ty bán lẻ đã báo cáo thu nhập hoạt động sau thuế là 1,5 tỷ đô la trên doanh thu 15 tỷ đô la trong năm tài chính vừa kết thúc; công ty cũng có tỷ lệ vòng quay vốn là 1,5. Chi phí vốn của công ty là 10%.</w:t>
      </w:r>
    </w:p>
    <w:p>
      <w:pPr>
        <w:numPr>
          <w:ilvl w:val="1"/>
          <w:numId w:val="197"/>
        </w:numPr>
        <w:pStyle w:val="Para 01"/>
      </w:pPr>
      <w:r>
        <w:t>Nếu bạn kỳ vọng thu nhập hoạt động sẽ tăng 5% mỗi năm mãi mãi, hãy ước tính tỷ lệ giá trị trên doanh số cho công ty.</w:t>
      </w:r>
    </w:p>
    <w:p>
      <w:pPr>
        <w:numPr>
          <w:ilvl w:val="1"/>
          <w:numId w:val="197"/>
        </w:numPr>
        <w:pStyle w:val="Para 01"/>
      </w:pPr>
      <w:r>
        <w:t>Câu trả lời của bạn sẽ thay đổi như thế nào nếu bạn được cho biết rằng thu nhập hoạt động sẽ tăng 10% mỗi năm trong năm năm tới, và sau đó tăng 5% mãi mãi?</w:t>
      </w:r>
    </w:p>
    <w:p>
      <w:pPr>
        <w:numPr>
          <w:ilvl w:val="0"/>
          <w:numId w:val="197"/>
        </w:numPr>
        <w:pStyle w:val="Para 01"/>
      </w:pPr>
      <w:r>
        <w:t>Bạn đã chạy một phương trình hồi quy tỷ lệ giá trị doanh nghiệp trên doanh số dựa trên biên lợi nhuận hoạt động cho các công ty mỹ phẩm:</w:t>
      </w:r>
    </w:p>
    <w:p>
      <w:bookmarkStart w:id="4331" w:name="Enterprise_Value_Sales_0_45_8_5"/>
      <w:pPr>
        <w:keepNext/>
        <w:pStyle w:val="Para 09"/>
        <w:keepLines w:val="on"/>
      </w:pPr>
      <w:r>
        <w:t>Giá trị doanh nghiệp/Doanh số=0,45+8,5(Biên lợi nhuận hoạt động sau thuế)</w:t>
      </w:r>
      <w:bookmarkEnd w:id="4331"/>
    </w:p>
    <w:p>
      <w:pPr>
        <w:pStyle w:val="Para 03"/>
      </w:pPr>
      <w:r>
        <w:t>Bạn đang cố gắng ước tính giá trị thương hiệu của Estée Lauder. Công ty đã kiếm được 80 triệu đô la sau lãi vay và sau thuế trên doanh thu 500 triệu đô la. Ngược lại, GenCosmetics, một nhà sản xuất mỹ phẩm không có thương hiệu, có biên lợi nhuận hoạt động sau thuế là 5%. Hãy ước tính giá trị thương hiệu cho Estée Lauder.</w:t>
      </w:r>
    </w:p>
    <w:p>
      <w:pPr>
        <w:numPr>
          <w:ilvl w:val="0"/>
          <w:numId w:val="197"/>
        </w:numPr>
        <w:pStyle w:val="Para 01"/>
      </w:pPr>
      <w:r>
        <w:t>Bạn đang cố gắng ước tính giá trị thương hiệu cho Steinway, một trong những nhà sản xuất piano nổi tiếng nhất thế giới. Công ty đã báo cáo thu nhập hoạt động là 30 triệu đô la trên doanh thu 100 triệu đô la trong năm gần nhất; thuế suất là 40%. Giá trị sổ sách của vốn tại công ty là 90 triệu đô la, và chi phí vốn là 10%. Công ty đang ở giai đoạn tăng trưởng ổn định và kỳ vọng sẽ tăng trưởng 5% mỗi năm mãi mãi.</w:t>
      </w:r>
    </w:p>
    <w:p>
      <w:pPr>
        <w:numPr>
          <w:ilvl w:val="1"/>
          <w:numId w:val="197"/>
        </w:numPr>
        <w:pStyle w:val="Para 01"/>
      </w:pPr>
      <w:r>
        <w:t>Ước tính tỷ lệ giá trị trên doanh số cho công ty này.</w:t>
      </w:r>
    </w:p>
    <w:p>
      <w:pPr>
        <w:numPr>
          <w:ilvl w:val="1"/>
          <w:numId w:val="197"/>
        </w:numPr>
        <w:pStyle w:val="Para 01"/>
      </w:pPr>
      <w:r>
        <w:t>Bây giờ giả sử rằng biên lợi nhuận hoạt động (EBIT/doanh số) của các nhà sản xuất piano không có thương hiệu bằng một nửa biên lợi nhuận hoạt động của Steinway. Giả sử các nhà sản xuất piano không có thương hiệu có cùng tốc độ tăng trưởng ổn định, tỷ lệ vòng quay vốn và chi phí vốn như Steinway, giá trị thương hiệu Steinway là bao nhiêu?</w:t>
      </w:r>
    </w:p>
    <w:p>
      <w:bookmarkStart w:id="4333" w:name="Notes_19"/>
      <w:bookmarkStart w:id="4334" w:name="Notes__1_If_the_net_margin_chang"/>
      <w:pPr>
        <w:keepNext/>
        <w:pStyle w:val="Heading 2"/>
        <w:keepLines w:val="on"/>
      </w:pPr>
      <w:r>
        <w:t>Ghi chú</w:t>
      </w:r>
      <w:bookmarkEnd w:id="4333"/>
      <w:bookmarkEnd w:id="4334"/>
    </w:p>
    <w:p>
      <w:pPr>
        <w:pStyle w:val="Para 08"/>
      </w:pPr>
      <w:r>
        <w:t>1 Nếu biên lợi nhuận ròng thay đổi, nhưng chỉ trong giai đoạn tăng trưởng ổn định, phương trình sẽ có một lỗi, vì nó giả định rằng thu nhập trong năm kết thúc bằng thu nhập trong năm cuối của giai đoạn tăng trưởng cao được nhân lên một năm theo tốc độ tăng trưởng ổn định. Nếu biên lợi nhuận thay đổi trong năm kết thúc, thì phải có hoặc là một sự thay đổi một lần trong thu nhập trong năm đó để phù hợp với sự thay đổi đó, hoặc là một sự sụt giảm một lần trong doanh thu. Nếu bạn giả định trường hợp sau, phương trình vẫn đúng. Nếu bạn giả định trường hợp trước, giá trị kết thúc phải được điều chỉnh tăng lên.</w:t>
      </w:r>
    </w:p>
    <w:p>
      <w:pPr>
        <w:pStyle w:val="Para 08"/>
      </w:pPr>
      <w:r>
        <w:t>2 Ở thời điểm phân tích này, các cửa hàng tạp hóa có tỷ lệ nợ tương tự nhau, với khoản nợ dưới dạng hợp đồng thuê cửa hàng. Nếu chúng ta làm lại phân tích vào năm 2024, khi sự khác biệt về đòn bẩy giữa các công ty tạp hóa đã trở nên đáng kể hơn, chúng ta sẽ dùng tỷ lệ giá trị doanh nghiệp trên doanh thu (enterprise value to sales ratios), kết hợp với biên lợi nhuận hoạt động (operating margins).</w:t>
      </w:r>
    </w:p>
    <w:p>
      <w:pPr>
        <w:pStyle w:val="Para 08"/>
      </w:pPr>
      <w:r>
        <w:t>3 Tỷ lệ gia hạn là con số then chốt ở đây, và chúng tôi đã thử dùng cách tiếp cận tinh vi hơn mà McCarthy và Fader đề xuất để có giá trị chính xác hơn nhưng nhanh chóng vấp phải những hạn chế về dữ liệu.</w:t>
      </w:r>
    </w:p>
    <w:p>
      <w:pPr>
        <w:pStyle w:val="Para 08"/>
      </w:pPr>
      <w:r>
        <w:t>4 Lưu ý rằng để số thuê bao ròng tăng 15% một năm, Netflix phải thêm nhiều hơn con số đó số thuê bao mới, bởi vì tỷ lệ gia hạn của họ là 92,5%. Để minh họa, chúng ta bắt đầu năm đầu tiên với 117,6 triệu thành viên nhưng sẽ mất 7,5% số thành viên đó do không gia hạn. Để có thể tăng cơ sở thuê bao ròng thêm 15%, bạn sẽ phải thêm đủ thành viên để bù đắp cả phần không gia hạn, khiến tổng số thêm vào là 26,46 triệu thành viên trong năm 1.</w:t>
      </w:r>
    </w:p>
    <w:p>
      <w:bookmarkStart w:id="4339" w:name="New_Subscribers_in_year_1_117_6"/>
      <w:pPr>
        <w:keepNext/>
        <w:pStyle w:val="Para 53"/>
        <w:keepLines w:val="on"/>
      </w:pPr>
      <w:r>
        <w:t>Thuê bao mới trong năm 1 = 117,6 (.15) + 117,6 (1−.925) = 26,46 triệu</w:t>
      </w:r>
      <w:bookmarkEnd w:id="4339"/>
    </w:p>
    <w:p>
      <w:pPr>
        <w:pStyle w:val="Para 03"/>
      </w:pPr>
      <w:r>
        <w:t>Chúng ta lặp lại quy trình này mỗi năm.</w:t>
      </w:r>
    </w:p>
    <w:p>
      <w:bookmarkStart w:id="4340" w:name="Chapter_21Valuing_Financial_Serv"/>
      <w:bookmarkStart w:id="4341" w:name="Top_of_c021_xhtml"/>
      <w:bookmarkStart w:id="4342" w:name="Chapter_21Valuing_Financial_Serv_1"/>
      <w:pPr>
        <w:keepNext/>
        <w:pStyle w:val="Heading 1"/>
        <w:pageBreakBefore w:val="on"/>
        <w:keepLines w:val="on"/>
      </w:pPr>
      <w:r>
        <w:t>CHƯƠNG 21</w:t>
      </w:r>
      <w:r>
        <w:br/>
      </w:r>
      <w:r>
        <w:t>Định giá các công ty dịch vụ tài chính</w:t>
      </w:r>
      <w:bookmarkEnd w:id="4340"/>
      <w:bookmarkEnd w:id="4341"/>
      <w:bookmarkEnd w:id="4342"/>
    </w:p>
    <w:p>
      <w:pPr>
        <w:pStyle w:val="Para 03"/>
      </w:pPr>
      <w:r>
        <w:t>Các ngân hàng, công ty bảo hiểm và những công ty dịch vụ tài chính khác đặt ra những thách thức riêng cho nhà phân tích đang cố định giá chúng vì hai lý do. Thứ nhất là bản chất hoạt động kinh doanh của chúng khiến việc xác định cả nợ lẫn tái đầu tư trở nên khó khăn, làm cho việc ước tính dòng tiền trở nên lộn xộn hơn nhiều. Lý do còn lại là chúng thường bị quản lý chặt chẽ, và tác động của các yêu cầu pháp lý lên giá trị phải được xem xét đến.</w:t>
      </w:r>
    </w:p>
    <w:p>
      <w:pPr>
        <w:pStyle w:val="Para 03"/>
      </w:pPr>
      <w:r>
        <w:t>Chương này bắt đầu bằng việc xem xét điều gì khiến các công ty dịch vụ tài chính trở nên độc đáo và những cách xử lý sự khác biệt đó. Sau đó, chương xem xét cách tốt nhất để chúng ta điều chỉnh các mô hình chiết khấu dòng tiền (discounted cash flow models) nhằm định giá các công ty dịch vụ tài chính, và xem xét ba lựa chọn thay thế—một mô hình chiết khấu cổ tức truyền thống (traditional dividend discount model), một mô hình chiết khấu dòng tiền vào vốn chủ sở hữu (cash flow to equity discount model), và một mô hình lợi nhuận vượt trội (excess return model). Với mỗi mô hình, chúng ta xem xét nhiều ví dụ khác nhau từ lĩnh vực dịch vụ tài chính. Chúng ta chuyển sang xem xét cách định giá tương đối (relative valuation) vận hành với các công ty dịch vụ tài chính, và những bội số (multiples) nào có thể phù hợp nhất với những công ty này.</w:t>
      </w:r>
    </w:p>
    <w:p>
      <w:pPr>
        <w:pStyle w:val="Para 03"/>
      </w:pPr>
      <w:r>
        <w:t>Phần cuối của chương xem xét một loạt vấn đề mà, nếu không đặc thù riêng cho các công ty dịch vụ tài chính, thì cũng được nhấn mạnh ở những công ty này, từ tác động của những thay đổi trong yêu cầu pháp lý lên rủi ro và giá trị, cho đến cách xem xét tốt nhất chất lượng các danh mục cho vay tại các ngân hàng.</w:t>
      </w:r>
    </w:p>
    <w:p>
      <w:bookmarkStart w:id="4344" w:name="Categories_of_Financial_Service_1"/>
      <w:bookmarkStart w:id="4345" w:name="Categories_of_Financial_Service"/>
      <w:pPr>
        <w:keepNext/>
        <w:pStyle w:val="Heading 2"/>
        <w:keepLines w:val="on"/>
      </w:pPr>
      <w:r>
        <w:t>Các nhóm công ty dịch vụ tài chính</w:t>
      </w:r>
      <w:bookmarkEnd w:id="4344"/>
      <w:bookmarkEnd w:id="4345"/>
    </w:p>
    <w:p>
      <w:pPr>
        <w:pStyle w:val="Para 03"/>
      </w:pPr>
      <w:r>
        <w:t>Bất kỳ công ty nào cung cấp sản phẩm và dịch vụ tài chính cho cá nhân hoặc cho các công ty khác đều có thể được xếp vào nhóm công ty dịch vụ tài chính. Chúng ta sẽ chia các doanh nghiệp dịch vụ tài chính thành bốn nhóm từ góc độ cách chúng kiếm tiền. Một ngân hàng kiếm tiền từ chênh lệch giữa lãi suất nó trả cho những người mà nó huy động vốn, và lãi suất nó thu từ những người vay tiền của nó, cùng với các dịch vụ khác mà nó cung cấp cho người gửi tiền và người vay. Các công ty bảo hiểm kiếm thu nhập theo hai cách. Một là thông qua phí bảo hiểm (premiums) họ nhận được từ những người mua các quyền yêu cầu bồi thường từ họ, và hai là thu nhập từ các danh mục đầu tư mà họ duy trì để phục vụ những quyền yêu cầu bồi thường này. Một ngân hàng đầu tư cung cấp tư vấn và các sản phẩm hỗ trợ cho các công ty phi dịch vụ tài chính đang muốn huy động vốn hoặc thực hiện các thương vụ như mua bán sáp nhập hay thoái vốn. Các công ty đầu tư cung cấp tư vấn đầu tư hoặc quản lý danh mục cho khách hàng. Thu nhập của họ đến từ phí tư vấn cho lời khuyên, và phí quản lý cùng phí bán cho các danh mục đầu tư.</w:t>
      </w:r>
    </w:p>
    <w:p>
      <w:pPr>
        <w:pStyle w:val="Para 03"/>
      </w:pPr>
      <w:r>
        <w:t>Với sự hợp nhất trong lĩnh vực dịch vụ tài chính, ngày càng nhiều công ty hoạt động trong hơn một mảng kinh doanh trong số này. Ví dụ, hầu hết các ngân hàng trung tâm tiền tệ lớn ở Hoa Kỳ hoạt động trong ít nhất ba mảng trong số này. Tuy nhiên, đồng thời vẫn còn một số lượng lớn các ngân hàng nhỏ, ngân hàng đầu tư boutique, và các công ty bảo hiểm chuyên biệt vẫn thu phần lớn thu nhập từ một nguồn duy nhất.</w:t>
      </w:r>
    </w:p>
    <w:p>
      <w:pPr>
        <w:pStyle w:val="Para 03"/>
      </w:pPr>
      <w:r>
        <w:t>Ở các thị trường mới nổi, các công ty dịch vụ tài chính có xu hướng nổi bật hơn nữa và chiếm tỷ trọng lớn hơn trong tổng giá trị thị trường so với ở Hoa Kỳ. Nếu đưa những công ty này vào hỗn hợp, rõ ràng là không có một khuôn mẫu nào có thể định giá được tất cả các công ty dịch vụ tài chính, và chúng ta phải có khả năng linh hoạt trong thiết kế mô hình để phù hợp với mọi loại công ty dịch vụ tài chính.</w:t>
      </w:r>
    </w:p>
    <w:p>
      <w:bookmarkStart w:id="4347" w:name="What_Is_Unique_About_Financial_S_1"/>
      <w:bookmarkStart w:id="4348" w:name="What_Is_Unique_About_Financial_S"/>
      <w:pPr>
        <w:keepNext/>
        <w:pStyle w:val="Heading 2"/>
        <w:keepLines w:val="on"/>
      </w:pPr>
      <w:r>
        <w:t>Điều gì khiến các công ty dịch vụ tài chính trở nên độc đáo?</w:t>
      </w:r>
      <w:bookmarkEnd w:id="4347"/>
      <w:bookmarkEnd w:id="4348"/>
    </w:p>
    <w:p>
      <w:pPr>
        <w:pStyle w:val="Para 03"/>
      </w:pPr>
      <w:r>
        <w:t>Các công ty dịch vụ tài chính có nhiều điểm chung với các công ty phi dịch vụ tài chính. Chúng phải cân nhắc đánh đổi giữa lợi nhuận và rủi ro, phải lo lắng về cạnh tranh, và muốn tăng trưởng nhanh chóng theo thời gian. Nếu được niêm yết công khai, chúng được đánh giá qua tổng lợi nhuận mà chúng mang lại cho cổ đông, giống như các công ty khác. Tuy nhiên, phần này tập trung vào những khía cạnh khiến các công ty dịch vụ tài chính khác biệt với các công ty khác và xem xét những hàm ý đối với việc định giá.</w:t>
      </w:r>
    </w:p>
    <w:p>
      <w:bookmarkStart w:id="4349" w:name="Debt__Raw_Material_or_Source_of_1"/>
      <w:bookmarkStart w:id="4350" w:name="Debt__Raw_Material_or_Source_of"/>
      <w:pPr>
        <w:keepNext/>
        <w:pStyle w:val="Heading 3"/>
        <w:keepLines w:val="on"/>
      </w:pPr>
      <w:r>
        <w:t>Nợ: Nguyên liệu thô hay Nguồn vốn</w:t>
      </w:r>
      <w:bookmarkEnd w:id="4349"/>
      <w:bookmarkEnd w:id="4350"/>
    </w:p>
    <w:p>
      <w:pPr>
        <w:pStyle w:val="Para 03"/>
      </w:pPr>
      <w:r>
        <w:t>Khi nói về vốn của các công ty phi dịch vụ tài chính, chúng ta thường nói về cả nợ lẫn vốn chủ sở hữu. Một công ty huy động vốn từ cả nhà đầu tư vốn chủ sở hữu lẫn trái chủ (và ngân hàng) và dùng những khoản vốn này để thực hiện các khoản đầu tư của mình. Khi định giá công ty, chúng ta định giá các tài sản mà công ty sở hữu, chứ không chỉ định giá vốn chủ sở hữu của nó.</w:t>
      </w:r>
    </w:p>
    <w:p>
      <w:pPr>
        <w:pStyle w:val="Para 03"/>
      </w:pPr>
      <w:r>
        <w:t>Với một công ty dịch vụ tài chính, nợ mang một ý nghĩa khác. Thay vì xem nợ là một nguồn vốn, hầu hết các công ty dịch vụ tài chính xem nó là nguyên liệu thô. Nói cách khác, nợ đối với một ngân hàng giống như thép đối với một công ty ô tô—thứ để được nặn thành những sản phẩm tài chính khác, rồi có thể được bán với giá cao hơn và mang lại lợi nhuận. Do đó, vốn tại các công ty dịch vụ tài chính được định nghĩa hẹp hơn, chỉ bao gồm vốn chủ sở hữu. Định nghĩa vốn này được các cơ quan quản lý củng cố khi họ chỉ tính vốn chủ sở hữu hoặc nguồn tài chính tương tự vốn chủ sở hữu vào vốn pháp định (regulatory capital).</w:t>
      </w:r>
    </w:p>
    <w:p>
      <w:pPr>
        <w:pStyle w:val="Para 03"/>
      </w:pPr>
      <w:r>
        <w:t>Định nghĩa về cái gì cấu thành nợ cũng mơ hồ hơn với một công ty dịch vụ tài chính so với một công ty phi dịch vụ tài chính. Chẳng hạn, tiền gửi của khách hàng vào tài khoản vãng lai tại một ngân hàng có nên được ngân hàng đó coi là nợ không? Đặc biệt với tiền gửi có lãi, có rất ít khác biệt giữa một khoản tiền gửi và một khoản nợ do ngân hàng phát hành. Nếu chúng ta xếp loại khoản này là nợ, thì thu nhập hoạt động của một ngân hàng nên được đo trước khi trả lãi cho người gửi tiền, điều này sẽ có vấn đề vì chi phí lãi thường là khoản chi phí đơn lẻ lớn nhất của một ngân hàng.</w:t>
      </w:r>
    </w:p>
    <w:p>
      <w:bookmarkStart w:id="4351" w:name="The_Regulatory_Overlay"/>
      <w:bookmarkStart w:id="4352" w:name="The_Regulatory_Overlay__Financia"/>
      <w:pPr>
        <w:keepNext/>
        <w:pStyle w:val="Heading 3"/>
        <w:keepLines w:val="on"/>
      </w:pPr>
      <w:r>
        <w:t>Lớp phủ pháp lý</w:t>
      </w:r>
      <w:bookmarkEnd w:id="4351"/>
      <w:bookmarkEnd w:id="4352"/>
    </w:p>
    <w:p>
      <w:pPr>
        <w:pStyle w:val="Para 03"/>
      </w:pPr>
      <w:r>
        <w:t>Các công ty dịch vụ tài chính bị quản lý chặt chẽ trên toàn thế giới, dù mức độ quản lý khác nhau giữa các quốc gia. Nói chung, những quy định này có ba hình thức. Thứ nhất, các ngân hàng và công ty bảo hiểm được yêu cầu duy trì tỷ lệ vốn (capital ratios) để đảm bảo rằng chúng không mở rộng vượt quá khả năng của mình và đặt người có quyền yêu cầu hoặc người gửi tiền vào vòng rủi ro. Thứ hai, các công ty dịch vụ tài chính thường bị hạn chế về việc chúng có thể đầu tư vốn vào đâu. Chẳng hạn, Đạo luật Glass-Steagall ở Hoa Kỳ đã hạn chế các ngân hàng thương mại không được tham gia hoạt động ngân hàng đầu tư và không được nắm giữ vị thế cổ phần chủ động trong các công ty sản xuất suốt nhiều thập kỷ sau Đại Suy thoái. Thứ ba, việc các công ty mới gia nhập ngành thường bị cơ quan quản lý hạn chế, cũng như các thương vụ sáp nhập giữa các công ty hiện hữu.</w:t>
      </w:r>
    </w:p>
    <w:p>
      <w:pPr>
        <w:pStyle w:val="Para 03"/>
      </w:pPr>
      <w:r>
        <w:t>Tại sao điều này lại quan trọng? Từ góc độ định giá, các giả định về tăng trưởng gắn liền với các giả định về tái đầu tư. Với các công ty dịch vụ tài chính, những giả định này phải được soi xét kỹ để đảm bảo chúng vượt qua được các ràng buộc pháp lý. Cũng có thể có những hàm ý đối với cách chúng ta đo lường rủi ro tại các công ty dịch vụ tài chính. Nếu các hạn chế pháp lý đang thay đổi hoặc được kỳ vọng sẽ thay đổi, điều đó thêm một lớp bất định cho tương lai, và có thể ảnh hưởng đến giá trị.</w:t>
      </w:r>
    </w:p>
    <w:p>
      <w:bookmarkStart w:id="4354" w:name="Reinvestment_at_Financial_Servic"/>
      <w:bookmarkStart w:id="4355" w:name="Reinvestment_at_Financial_Servic_1"/>
      <w:pPr>
        <w:keepNext/>
        <w:pStyle w:val="Heading 3"/>
        <w:keepLines w:val="on"/>
      </w:pPr>
      <w:r>
        <w:t>Tái đầu tư tại các công ty dịch vụ tài chính</w:t>
      </w:r>
      <w:bookmarkEnd w:id="4354"/>
      <w:bookmarkEnd w:id="4355"/>
    </w:p>
    <w:p>
      <w:pPr>
        <w:pStyle w:val="Para 03"/>
      </w:pPr>
      <w:r>
        <w:t>Phần trước đã lưu ý rằng các công ty dịch vụ tài chính thường bị hạn chế cả về nơi họ đầu tư vốn lẫn số vốn họ đầu tư. Nếu chúng ta định nghĩa tái đầu tư, như đã làm xuyên suốt cuốn sách này, là cần thiết cho tăng trưởng trong tương lai, thì có những vấn đề khác liên quan đến việc đo lường tái đầu tư tại các công ty dịch vụ tài chính. Lưu ý rằng Chương 10 xem xét hai hạng mục trong tái đầu tư—chi tiêu vốn ròng (net capital expenditures) và vốn lưu động (working capital). Đáng tiếc là việc đo lường một trong hai hạng mục này tại một công ty dịch vụ tài chính đều có thể gặp vấn đề.</w:t>
      </w:r>
    </w:p>
    <w:p>
      <w:pPr>
        <w:pStyle w:val="Para 03"/>
      </w:pPr>
      <w:r>
        <w:t>Trước tiên hãy xem xét chi tiêu vốn ròng. Khác với các công ty sản xuất đầu tư vào nhà máy, thiết bị và các tài sản cố định khác, các công ty dịch vụ tài chính đầu tư vào tài sản vô hình như tên thương hiệu và vốn nhân lực của họ. Do đó, các khoản đầu tư cho tăng trưởng trong tương lai của họ thường được xếp vào chi phí hoạt động trong báo cáo kế toán. Không ngạc nhiên khi báo cáo lưu chuyển tiền tệ của một ngân hàng cho thấy rất ít hoặc không có chi tiêu vốn và khấu hao tương ứng cũng thấp. Với vốn lưu động, chúng ta gặp một vấn đề khác. Nếu chúng ta định nghĩa vốn lưu động là chênh lệch giữa tài sản ngắn hạn và nợ ngắn hạn, thì một tỷ lệ lớn bảng cân đối kế toán của một ngân hàng sẽ rơi vào một trong hai loại này. Những thay đổi trong con số này có thể vừa lớn vừa biến động mạnh, và có thể không có mối liên hệ nào với việc tái đầu tư cho tăng trưởng trong tương lai.</w:t>
      </w:r>
    </w:p>
    <w:p>
      <w:pPr>
        <w:pStyle w:val="Para 03"/>
      </w:pPr>
      <w:r>
        <w:t>Vì khó khăn trong việc đo lường tái đầu tư này, chúng ta gặp phải hai vấn đề thực tiễn khi định giá những công ty này. Thứ nhất, chúng ta không thể ước tính dòng tiền nếu không ước tính tái đầu tư. Nói cách khác, nếu không xác định được chi tiêu vốn ròng và thay đổi vốn lưu động, thì chúng ta cũng không thể ước tính dòng tiền. Thứ hai, việc ước tính tăng trưởng kỳ vọng trong tương lai trở nên khó khăn hơn nếu không đo lường được tỷ lệ tái đầu tư.</w:t>
      </w:r>
    </w:p>
    <w:p>
      <w:bookmarkStart w:id="4356" w:name="General_Framework_for_Valuation_1"/>
      <w:bookmarkStart w:id="4357" w:name="General_Framework_for_Valuation"/>
      <w:pPr>
        <w:keepNext/>
        <w:pStyle w:val="Heading 2"/>
        <w:keepLines w:val="on"/>
      </w:pPr>
      <w:r>
        <w:t>Khung tổng quát để định giá</w:t>
      </w:r>
      <w:bookmarkEnd w:id="4356"/>
      <w:bookmarkEnd w:id="4357"/>
    </w:p>
    <w:p>
      <w:pPr>
        <w:pStyle w:val="Para 03"/>
      </w:pPr>
      <w:r>
        <w:t>Với vai trò đặc thù của nợ tại các công ty dịch vụ tài chính, những hạn chế về quy định mà chúng phải tuân theo, và khó khăn trong việc xác định tái đầu tư tại những công ty này, làm sao chúng ta có thể định giá chúng? Trong phần này, chúng tôi đề xuất một số nguyên tắc chung có thể giúp chúng ta xử lý những vấn đề đó. Thứ nhất, việc định giá trực tiếp vốn chủ sở hữu (equity) tại các công ty dịch vụ tài chính hợp lý hơn nhiều so với định giá toàn bộ công ty. Thứ hai, chúng ta hoặc cần một thước đo dòng tiền không đòi hỏi phải ước tính nhu cầu tái đầu tư, hoặc cần định nghĩa lại tái đầu tư để nó có ý nghĩa hơn đối với một công ty dịch vụ tài chính.</w:t>
      </w:r>
    </w:p>
    <w:p>
      <w:pPr>
        <w:pStyle w:val="Para 20"/>
      </w:pPr>
      <w:r>
        <w:rPr>
          <w:rStyle w:val="Text26"/>
        </w:rPr>
        <w:bookmarkStart w:id="4358" w:name="Page_660"/>
        <w:t/>
        <w:bookmarkEnd w:id="4358"/>
      </w:r>
      <w:r>
        <w:t xml:space="preserve"> </w:t>
      </w:r>
    </w:p>
    <w:p>
      <w:bookmarkStart w:id="4359" w:name="Equity_versus_Firm__Early_in_thi"/>
      <w:bookmarkStart w:id="4360" w:name="Equity_versus_Firm"/>
      <w:pPr>
        <w:keepNext/>
        <w:pStyle w:val="Heading 3"/>
        <w:keepLines w:val="on"/>
      </w:pPr>
      <w:r>
        <w:t>Vốn chủ sở hữu so với toàn công ty</w:t>
      </w:r>
      <w:bookmarkEnd w:id="4359"/>
      <w:bookmarkEnd w:id="4360"/>
    </w:p>
    <w:p>
      <w:pPr>
        <w:pStyle w:val="Para 03"/>
      </w:pPr>
      <w:r>
        <w:t>Đầu cuốn sách này, chúng ta đã lưu ý sự khác biệt giữa định giá một công ty và định giá vốn chủ sở hữu trong công ty đó. Chúng ta định giá công ty bằng cách chiết khấu dòng tiền kỳ vọng trước các khoản thanh toán nợ theo chi phí vốn bình quân gia quyền (weighted average cost of capital). Chúng ta định giá vốn chủ sở hữu bằng cách chiết khấu dòng tiền dành cho nhà đầu tư vốn chủ sở hữu theo chi phí vốn chủ sở hữu (cost of equity).</w:t>
      </w:r>
    </w:p>
    <w:p>
      <w:pPr>
        <w:pStyle w:val="Para 03"/>
      </w:pPr>
      <w:r>
        <w:t>Việc ước tính dòng tiền trước các khoản thanh toán nợ hoặc chi phí vốn bình quân gia quyền là vấn đề nan giải khi nợ và các khoản thanh toán nợ không thể được xác định dễ dàng, mà như chúng tôi đã lập luận trước đó, đây chính là trường hợp của các công ty dịch vụ tài chính. Tuy nhiên, vốn chủ sở hữu có thể được định giá trực tiếp bằng cách chiết khấu dòng tiền dành cho vốn chủ sở hữu theo chi phí vốn chủ sở hữu. Do đó, chúng tôi nghiêng về cách tiếp cận thứ hai cho các công ty dịch vụ tài chính. Chúng tôi cũng mở rộng lập luận này cho các bội số (multiples). Các bội số vốn chủ sở hữu, như tỷ lệ giá trên thu nhập (price-to-earnings) hay tỷ lệ giá trên giá trị sổ sách (price-to-book), phù hợp hơn nhiều với các công ty dịch vụ tài chính so với các bội số giá trị như EV trên EBITDA.</w:t>
      </w:r>
    </w:p>
    <w:p>
      <w:bookmarkStart w:id="4361" w:name="Estimating_Cash_Flows__To_value"/>
      <w:bookmarkStart w:id="4362" w:name="Estimating_Cash_Flows"/>
      <w:pPr>
        <w:keepNext/>
        <w:pStyle w:val="Heading 3"/>
        <w:keepLines w:val="on"/>
      </w:pPr>
      <w:r>
        <w:t>Ước tính dòng tiền</w:t>
      </w:r>
      <w:bookmarkEnd w:id="4361"/>
      <w:bookmarkEnd w:id="4362"/>
    </w:p>
    <w:p>
      <w:pPr>
        <w:pStyle w:val="Para 03"/>
      </w:pPr>
      <w:r>
        <w:t>Để định giá vốn chủ sở hữu trong một công ty, chúng ta thường ước tính dòng tiền tự do dành cho vốn chủ sở hữu (free cash flow to equity). Trong Chương 10, chúng ta đã định nghĩa dòng tiền tự do dành cho vốn chủ sở hữu như sau:</w:t>
      </w:r>
    </w:p>
    <w:p>
      <w:bookmarkStart w:id="4363" w:name="Free_cash_flow_to_equity_Net_inc_2"/>
      <w:pPr>
        <w:keepNext/>
        <w:pStyle w:val="Para 09"/>
        <w:keepLines w:val="on"/>
      </w:pPr>
      <w:r>
        <w:t>Dòng tiền tự do dành cho vốn chủ sở hữu = Thu nhập ròng − Chi tiêu vốn ròng − Thay đổi vốn lưu động phi tiền mặt − Nợ đã trả − Nợ mới phát hành</w:t>
      </w:r>
      <w:bookmarkEnd w:id="4363"/>
    </w:p>
    <w:p>
      <w:pPr>
        <w:pStyle w:val="Para 03"/>
      </w:pPr>
      <w:r>
        <w:t>Nếu không thể ước tính chi tiêu vốn ròng hay vốn lưu động phi tiền mặt, rõ ràng chúng ta không thể ước tính dòng tiền tự do dành cho vốn chủ sở hữu. Vì đây là trường hợp của các công ty dịch vụ tài chính, chúng ta có hai lựa chọn. Thứ nhất là dùng cổ tức làm dòng tiền dành cho vốn chủ sở hữu và giả định rằng theo thời gian, các công ty chi trả dòng tiền tự do dành cho vốn chủ sở hữu dưới dạng cổ tức. Vì cổ tức có thể quan sát được, chúng ta không phải đối mặt với câu hỏi các công ty tái đầu tư bao nhiêu. Thứ hai là điều chỉnh thước đo dòng tiền tự do dành cho vốn chủ sở hữu để phù hợp với các kiểu tái đầu tư của công ty dịch vụ tài chính. Chẳng hạn, vì các ngân hàng hoạt động dưới ràng buộc về tỷ lệ vốn theo quy định, có thể lập luận rằng những công ty này phải tái đầu tư vào vốn theo quy định để có thể tăng trưởng trong tương lai.</w:t>
      </w:r>
    </w:p>
    <w:p>
      <w:bookmarkStart w:id="4364" w:name="Discounted_Cash_Flow_Valuation"/>
      <w:bookmarkStart w:id="4365" w:name="Discounted_Cash_Flow_Valuation_1"/>
      <w:pPr>
        <w:keepNext/>
        <w:pStyle w:val="Heading 2"/>
        <w:keepLines w:val="on"/>
      </w:pPr>
      <w:r>
        <w:t>Định giá theo dòng tiền chiết khấu</w:t>
      </w:r>
      <w:bookmarkEnd w:id="4364"/>
      <w:bookmarkEnd w:id="4365"/>
    </w:p>
    <w:p>
      <w:pPr>
        <w:pStyle w:val="Para 03"/>
      </w:pPr>
      <w:r>
        <w:t>Trong mô hình dòng tiền chiết khấu (discounted cash flow), chúng ta coi giá trị của một tài sản là giá trị hiện tại của dòng tiền kỳ vọng mà tài sản đó tạo ra. Trong phần này, trước tiên chúng ta sẽ xem xét việc sử dụng các mô hình chiết khấu cổ tức (dividend discount models) để định giá ngân hàng và các công ty dịch vụ tài chính khác, sau đó chuyển sang phân tích các mô hình dòng tiền dành cho vốn chủ sở hữu, và kết thúc bằng việc xem xét các mô hình lợi nhuận vượt trội (excess return models).</w:t>
      </w:r>
    </w:p>
    <w:p>
      <w:bookmarkStart w:id="4366" w:name="Dividend_Discount_Models"/>
      <w:bookmarkStart w:id="4367" w:name="Dividend_Discount_Models__Chapte"/>
      <w:pPr>
        <w:keepNext/>
        <w:pStyle w:val="Heading 3"/>
        <w:keepLines w:val="on"/>
      </w:pPr>
      <w:r>
        <w:t>Mô hình chiết khấu cổ tức</w:t>
      </w:r>
      <w:bookmarkEnd w:id="4366"/>
      <w:bookmarkEnd w:id="4367"/>
    </w:p>
    <w:p>
      <w:pPr>
        <w:pStyle w:val="Para 03"/>
      </w:pPr>
      <w:r>
        <w:t>Chương 13 đã xem xét cách định giá vốn chủ sở hữu trong một công ty dựa trên các mô hình chiết khấu cổ tức. Dùng lập luận rằng dòng tiền duy nhất mà một cổ đông trong công ty niêm yết nhận được là cổ tức, chúng ta định giá vốn chủ sở hữu là giá trị hiện tại của cổ tức kỳ vọng. Chúng ta đã xem xét nhiều mô hình chiết khấu cổ tức, từ tăng trưởng ổn định đến tăng trưởng cao, và cân nhắc cách ước tính các thông số đầu vào tốt nhất. Dù phần lớn những gì được trình bày trong chương đó cũng áp dụng ở đây, trong phần này chúng ta sẽ xem xét một số khía cạnh đặc thù của các công ty dịch vụ tài chính.</w:t>
      </w:r>
    </w:p>
    <w:p>
      <w:bookmarkStart w:id="4369" w:name="Basic_Models__In_the_basic_divid"/>
      <w:bookmarkStart w:id="4370" w:name="Basic_Models"/>
      <w:pPr>
        <w:keepNext/>
        <w:pStyle w:val="Heading 4"/>
        <w:keepLines w:val="on"/>
      </w:pPr>
      <w:r>
        <w:t>Các mô hình cơ bản</w:t>
      </w:r>
      <w:bookmarkEnd w:id="4369"/>
      <w:bookmarkEnd w:id="4370"/>
    </w:p>
    <w:p>
      <w:pPr>
        <w:pStyle w:val="Para 03"/>
      </w:pPr>
      <w:r>
        <w:t>Trong mô hình chiết khấu cổ tức cơ bản, giá trị của một cổ phiếu là giá trị hiện tại của cổ tức kỳ vọng trên cổ phiếu đó. Giả định rằng vốn chủ sở hữu trong một công ty niêm yết có vòng đời vô hạn, chúng ta đi đến:</w:t>
      </w:r>
    </w:p>
    <w:p>
      <w:bookmarkStart w:id="4371" w:name="Value_of_equity____t_1t____Divid"/>
      <w:pPr>
        <w:keepNext/>
        <w:pStyle w:val="Para 09"/>
        <w:keepLines w:val="on"/>
      </w:pPr>
      <w:r>
        <w:t>Giá trị vốn chủ sở hữu = ∑t=1t=∞ Cổ tứct(1+ke)t</w:t>
      </w:r>
      <w:bookmarkEnd w:id="4371"/>
    </w:p>
    <w:p>
      <w:bookmarkStart w:id="4372" w:name="where___DPSt_Expected_dividend_p"/>
      <w:pPr>
        <w:pStyle w:val="Para 39"/>
      </w:pPr>
      <w:r>
        <w:t>trong đó DPSt = Cổ tức kỳ vọng trên mỗi cổ phần trong kỳ t, ke = Chi phí vốn chủ sở hữu</w:t>
      </w:r>
      <w:bookmarkEnd w:id="4372"/>
    </w:p>
    <w:p>
      <w:pPr>
        <w:pStyle w:val="Para 03"/>
      </w:pPr>
      <w:r>
        <w:t>Như chúng ta đã thấy trong Chương 14, trong trường hợp đặc biệt khi tốc độ tăng trưởng cổ tức kỳ vọng có thể duy trì mãi mãi, mô hình này thu gọn thành mô hình tăng trưởng Gordon:</w:t>
      </w:r>
    </w:p>
    <w:p>
      <w:bookmarkStart w:id="4373" w:name="Value_of_equity_Expected_dividen"/>
      <w:pPr>
        <w:keepNext/>
        <w:pStyle w:val="Para 09"/>
        <w:keepLines w:val="on"/>
      </w:pPr>
      <w:r>
        <w:t>Giá trị vốn chủ sở hữu = Cổ tức kỳ vọng kỳ tới(Chi phí vốn chủ sở hữu - Tốc độ tăng trưởng ổn định)</w:t>
      </w:r>
      <w:bookmarkEnd w:id="4373"/>
    </w:p>
    <w:p>
      <w:pPr>
        <w:pStyle w:val="Para 03"/>
      </w:pPr>
      <w:r>
        <w:t>Trong trường hợp tổng quát hơn, khi cổ tức tăng trưởng ở mức được cho là không thể duy trì hay không đổi mãi mãi trong một khoảng thời gian (gọi là giai đoạn tăng trưởng phi thường), chúng ta vẫn có thể giả định rằng tốc độ tăng trưởng sẽ không đổi mãi mãi tại một thời điểm nào đó trong tương lai. Điều này cho phép chúng ta ước tính giá trị của một cổ phiếu, trong mô hình chiết khấu cổ tức, bằng tổng của giá trị hiện tại của cổ tức trong giai đoạn tăng trưởng phi thường và giá trị hiện tại của giá cuối kỳ, mà bản thân nó được ước tính bằng mô hình tăng trưởng Gordon.</w:t>
      </w:r>
    </w:p>
    <w:p>
      <w:bookmarkStart w:id="4374" w:name="Value_of_equity____t_1t_nDividen"/>
      <w:pPr>
        <w:keepNext/>
        <w:pStyle w:val="Para 09"/>
        <w:keepLines w:val="on"/>
      </w:pPr>
      <w:r>
        <w:t>Giá trị vốn chủ sở hữu = ∑t=1t=n Cổ tứct(1+ke,hg)t + Cổ tứcn+1(ke,st−gn)(1+ke,hg)n</w:t>
      </w:r>
      <w:bookmarkEnd w:id="4374"/>
    </w:p>
    <w:p>
      <w:pPr>
        <w:pStyle w:val="Para 03"/>
      </w:pPr>
      <w:r>
        <w:t>Tăng trưởng phi thường được kỳ vọng kéo dài n năm, gn là tốc độ tăng trưởng kỳ vọng sau n năm, và ke là chi phí vốn chủ sở hữu (hg: giai đoạn tăng trưởng cao và st: giai đoạn tăng trưởng ổn định).</w:t>
      </w:r>
    </w:p>
    <w:p>
      <w:bookmarkStart w:id="4375" w:name="Inputs_to_Model__This_section_wi"/>
      <w:bookmarkStart w:id="4376" w:name="Inputs_to_Model"/>
      <w:pPr>
        <w:keepNext/>
        <w:pStyle w:val="Heading 4"/>
        <w:keepLines w:val="on"/>
      </w:pPr>
      <w:r>
        <w:t>Các thông số đầu vào của mô hình</w:t>
      </w:r>
      <w:bookmarkEnd w:id="4375"/>
      <w:bookmarkEnd w:id="4376"/>
    </w:p>
    <w:p>
      <w:pPr>
        <w:pStyle w:val="Para 03"/>
      </w:pPr>
      <w:r>
        <w:t>Phần này sẽ tập trung thuần túy vào các vấn đề ước tính liên quan đến công ty dịch vụ tài chính, khi nói đến các thông số đầu vào của những mô hình này. Nói chung, để định giá một cổ phiếu bằng mô hình chiết khấu cổ tức, chúng ta cần ước tính chi phí vốn chủ sở hữu, tỷ lệ chi trả kỳ vọng, và tốc độ tăng trưởng kỳ vọng của thu nhập trên mỗi cổ phần theo thời gian.</w:t>
      </w:r>
    </w:p>
    <w:p>
      <w:bookmarkStart w:id="4377" w:name="Cost_of_Equity__In_keeping_with"/>
      <w:pPr>
        <w:pStyle w:val="Para 21"/>
      </w:pPr>
      <w:r>
        <w:t>Chi phí vốn chủ sở hữu (Cost of Equity)</w:t>
      </w:r>
      <w:bookmarkEnd w:id="4377"/>
    </w:p>
    <w:p>
      <w:pPr>
        <w:pStyle w:val="Para 03"/>
      </w:pPr>
      <w:r>
        <w:t>Để nhất quán với cách chúng ta đã ước tính chi phí vốn chủ sở hữu cho các công ty từ trước đến nay trong cuốn sách này, chi phí vốn chủ sở hữu cho một công ty dịch vụ tài chính phải phản ánh phần rủi ro trong vốn chủ sở hữu mà nhà đầu tư cận biên (marginal investor) của cổ phiếu không thể đa dạng hóa được. Rủi ro này được ước tính bằng hệ số beta (trong mô hình định giá tài sản vốn – capital asset pricing model) hoặc các hệ số beta (trong mô hình đa nhân tố hoặc mô hình định giá chênh lệch – arbitrage pricing model).</w:t>
      </w:r>
    </w:p>
    <w:p>
      <w:pPr>
        <w:pStyle w:val="Para 03"/>
      </w:pPr>
      <w:r>
        <w:t>Trong các phần thảo luận trước đây về hệ số beta, chúng ta đã phản đối việc sử dụng beta từ hồi quy (regression beta) vì độ nhiễu trong các ước tính (sai số chuẩn – standard errors) và khả năng công ty đã thay đổi trong suốt giai đoạn hồi quy. Vậy những lập luận này có còn phù hợp với các công ty dịch vụ tài chính không? Nếu các hạn chế về quy định vẫn không thay đổi trong suốt giai đoạn đó và được kỳ vọng sẽ không thay đổi trong tương lai, thì đây có thể là một trong số ít lĩnh vực mà beta từ hồi quy vẫn có thể tiếp tục được sử dụng với chút ít độ tin cậy. Trong những giai đoạn mà các quy tắc đang thay đổi và môi trường pháp lý đang dịch chuyển, lưu ý về việc không nên dùng beta từ hồi quy vẫn còn nguyên giá trị.</w:t>
      </w:r>
    </w:p>
    <w:p>
      <w:pPr>
        <w:pStyle w:val="Para 03"/>
      </w:pPr>
      <w:r>
        <w:t>Có một điểm khác biệt thứ hai. Khi ước tính beta cho các công ty phi tài chính, chúng ta đã nhấn mạnh tầm quan trọng của việc "gỡ đòn bẩy" beta (unlevering beta) – dù là beta lịch sử hay beta trung bình ngành – rồi sau đó "gắn lại đòn bẩy" (relevering) bằng tỷ lệ nợ trên vốn chủ sở hữu hiện tại của công ty. Với các công ty dịch vụ tài chính, chúng ta sẽ bỏ qua bước này vì hai lý do. Thứ nhất, các công ty dịch vụ tài chính có xu hướng đồng nhất hơn nhiều về cấu trúc vốn – chúng đều có xu hướng sử dụng đòn bẩy rất cao. Thứ hai, và đây là điểm đã được đề cập trước đó, nợ rất khó đo lường đối với các công ty dịch vụ tài chính. Trên thực tế, điều này có nghĩa là chúng ta sẽ dùng beta trung bình đã gắn đòn bẩy của các công ty so sánh làm beta từ dưới lên (bottom-up beta) cho công ty đang được phân tích.</w:t>
      </w:r>
    </w:p>
    <w:p>
      <w:bookmarkStart w:id="4380" w:name="Payout_Ratios__The_expected_divi"/>
      <w:pPr>
        <w:pStyle w:val="Para 21"/>
      </w:pPr>
      <w:r>
        <w:t>Tỷ lệ chi trả cổ tức (Payout Ratios)</w:t>
      </w:r>
      <w:bookmarkEnd w:id="4380"/>
    </w:p>
    <w:p>
      <w:pPr>
        <w:pStyle w:val="Para 03"/>
      </w:pPr>
      <w:r>
        <w:t>Cổ tức kỳ vọng trên mỗi cổ phần trong một giai đoạn tương lai có thể được viết dưới dạng tích của thu nhập kỳ vọng trên mỗi cổ phần trong giai đoạn đó và tỷ lệ chi trả cổ tức kỳ vọng. Có hai lợi thế khi suy ra cổ tức từ thu nhập kỳ vọng. Thứ nhất, nó cho phép chúng ta tập trung vào tăng trưởng thu nhập kỳ vọng, vốn gắn chặt với các yếu tố cơ bản của công ty hơn là cổ tức. Thứ hai, tỷ lệ chi trả cổ tức có thể được thay đổi theo thời gian để phản ánh những thay đổi trong tăng trưởng và cơ hội đầu tư.</w:t>
      </w:r>
    </w:p>
    <w:p>
      <w:pPr>
        <w:pStyle w:val="Para 03"/>
      </w:pPr>
      <w:r>
        <w:t>Tỷ lệ chi trả cổ tức của một ngân hàng, cũng như của bất kỳ công ty nào khác, là cổ tức chia cho thu nhập. Dù vậy, theo thông lệ, các công ty dịch vụ tài chính đã chi trả cổ tức nhiều hơn hầu hết các công ty khác trên thị trường. Tỷ lệ chi trả cổ tức và tỷ suất cổ tức (dividend yield) của các ngân hàng, công ty bảo hiểm, ngân hàng đầu tư và công ty đầu tư đều cao hơn nhiều so với các chỉ số tương tự của phần còn lại của thị trường.</w:t>
      </w:r>
    </w:p>
    <w:p>
      <w:pPr>
        <w:pStyle w:val="Para 03"/>
      </w:pPr>
      <w:r>
        <w:t>Tại sao các công ty dịch vụ tài chính lại chi trả cổ tức nhiều hơn các công ty khác? Một câu trả lời hiển nhiên là vì chúng hoạt động trong những ngành kinh doanh trưởng thành hơn nhiều so với các công ty trong những lĩnh vực như công nghệ, nhưng đó chỉ là một phần của câu chuyện. Ngay cả khi chúng ta kiểm soát được sự khác biệt về tốc độ tăng trưởng kỳ vọng, các công ty dịch vụ tài chính vẫn chi trả cổ tức nhiều hơn hẳn các công ty khác vì hai lý do. Một là các ngân hàng và công ty bảo hiểm có nhu cầu tái đầu tư ít hơn các công ty khác. Điều này lại có nghĩa là phần lớn hơn nhiều trong thu nhập ròng của các công ty này có thể được chi trả dưới dạng cổ tức so với một công ty sản xuất. Yếu tố thứ hai là lịch sử. Các ngân hàng và công ty bảo hiểm đã tạo dựng được danh tiếng là những đơn vị chi trả cổ tức cao đáng tin cậy. Theo thời gian, chúng đã thu hút được những nhà đầu tư ưa thích cổ tức, khiến chúng khó có thể thay đổi chính sách cổ tức.</w:t>
      </w:r>
    </w:p>
    <w:p>
      <w:pPr>
        <w:pStyle w:val="Para 03"/>
      </w:pPr>
      <w:r>
        <w:t>Trong những năm gần đây, song hành với một xu hướng cũng thấy rõ ở các lĩnh vực khác, các công ty dịch vụ tài chính đã gia tăng việc mua lại cổ phiếu (stock buybacks) như một cách để trả lại tiền mặt cho cổ đông. Trong bối cảnh này, việc chỉ tập trung vào cổ tức đã chi trả có thể đưa ra một bức tranh gây nhầm lẫn về lượng tiền mặt được trả lại cho cổ đông. Một giải pháp hiển nhiên là cộng số tiền mua lại cổ phiếu mỗi năm vào cổ tức đã chi trả và tính ra tỷ lệ chi trả tổng hợp (composite payout ratio). Tuy nhiên, nếu làm vậy, chúng ta nên nhìn vào con số trong nhiều năm, vì việc mua lại cổ phiếu biến động rất mạnh theo thời gian – chẳng hạn, một đợt mua lại hàng tỷ đô trong một năm có thể được tiếp nối bằng ba năm mua lại khá khiêm tốn hoặc không mua lại gì cả.</w:t>
      </w:r>
    </w:p>
    <w:p>
      <w:pPr>
        <w:pStyle w:val="Para 20"/>
      </w:pPr>
      <w:r>
        <w:rPr>
          <w:rStyle w:val="Text26"/>
        </w:rPr>
        <w:bookmarkStart w:id="4382" w:name="Page_663"/>
        <w:t/>
        <w:bookmarkEnd w:id="4382"/>
      </w:r>
      <w:r>
        <w:t xml:space="preserve"> </w:t>
      </w:r>
    </w:p>
    <w:p>
      <w:bookmarkStart w:id="4383" w:name="Expected_Growth__If_dividends_ar"/>
      <w:pPr>
        <w:pStyle w:val="Para 21"/>
      </w:pPr>
      <w:r>
        <w:t>Tăng trưởng kỳ vọng (Expected Growth)</w:t>
      </w:r>
      <w:bookmarkEnd w:id="4383"/>
    </w:p>
    <w:p>
      <w:pPr>
        <w:pStyle w:val="Para 03"/>
      </w:pPr>
      <w:r>
        <w:t>Nếu cổ tức được dựa trên thu nhập, thì tốc độ tăng trưởng kỳ vọng quyết định giá trị chính là tốc độ tăng trưởng thu nhập kỳ vọng. Đối với các công ty dịch vụ tài chính, cũng như với các công ty khác, tăng trưởng thu nhập có thể được ước tính theo một trong ba cách:</w:t>
      </w:r>
    </w:p>
    <w:p>
      <w:pPr>
        <w:numPr>
          <w:ilvl w:val="0"/>
          <w:numId w:val="198"/>
        </w:numPr>
        <w:pStyle w:val="Para 01"/>
      </w:pPr>
      <w:r>
        <w:t>Tăng trưởng thu nhập trong quá khứ. Nhiều ngân hàng và công ty bảo hiểm có lịch sử rất dài, và việc ước tính tăng trưởng trong quá khứ thường là khả thi. Hơn nữa, mối tương quan giữa tăng trưởng thu nhập trong quá khứ và tăng trưởng kỳ vọng trong tương lai từng cao hơn nhiều đối với các công ty dịch vụ tài chính so với các công ty khác.</w:t>
      </w:r>
    </w:p>
    <w:p>
      <w:pPr>
        <w:pStyle w:val="Para 03"/>
      </w:pPr>
      <w:r>
        <w:t>Điều này gợi ý rằng tăng trưởng thu nhập trong quá khứ là một chỉ báo dự đoán thu nhập tương lai tốt hơn nhiều ở những công ty này. Tuy nhiên, nếu môi trường pháp lý đang thay đổi, bạn phải thận trọng khi chiếu tăng trưởng trong quá khứ vào tương lai.</w:t>
      </w:r>
    </w:p>
    <w:p>
      <w:pPr>
        <w:numPr>
          <w:ilvl w:val="0"/>
          <w:numId w:val="198"/>
        </w:numPr>
        <w:pStyle w:val="Para 01"/>
      </w:pPr>
      <w:r>
        <w:t>Ước tính của chuyên gia phân tích về tăng trưởng thu nhập. Các chuyên gia phân tích ước tính tốc độ tăng trưởng thu nhập kỳ vọng cho nhiều công ty niêm yết, dù mức độ bao phủ rất khác nhau. Nhiều ngân hàng và công ty bảo hiểm lớn được theo dõi rộng rãi, cho phép bạn có được những ước tính này về tăng trưởng tương lai. Như đã lưu ý ở Chương 11, vẫn còn là một câu hỏi mở liệu các dự báo dài hạn từ chuyên gia phân tích có tốt hơn tăng trưởng trong quá khứ trong việc ước tính tăng trưởng tương lai hay không.</w:t>
      </w:r>
    </w:p>
    <w:p>
      <w:pPr>
        <w:numPr>
          <w:ilvl w:val="0"/>
          <w:numId w:val="198"/>
        </w:numPr>
        <w:pStyle w:val="Para 01"/>
      </w:pPr>
      <w:r>
        <w:t>Tăng trưởng cơ bản (Fundamental growth). Ở Chương 11, chúng tôi đã đề xuất rằng tăng trưởng kỳ vọng trong thu nhập trên mỗi cổ phần được viết dưới dạng một hàm số của tỷ lệ giữ lại (retention ratio) và lợi nhuận trên vốn chủ sở hữu (return on equity – ROE):</w:t>
      </w:r>
    </w:p>
    <w:p>
      <w:bookmarkStart w:id="4385" w:name="Expected_growthEPS_1___Payout_ra"/>
      <w:pPr>
        <w:keepNext/>
        <w:pStyle w:val="Para 09"/>
        <w:keepLines w:val="on"/>
      </w:pPr>
      <w:r>
        <w:t>Tăng trưởng kỳ vọngEPS=1−Tỷ lệ chi trả cổ tức×ROE =Tỷ lệ giữ lại×ROE</w:t>
      </w:r>
      <w:bookmarkEnd w:id="4385"/>
    </w:p>
    <w:p>
      <w:pPr>
        <w:pStyle w:val="Para 03"/>
      </w:pPr>
      <w:r>
        <w:t>Phương trình này cho phép bạn ước tính tốc độ tăng trưởng kỳ vọng cho các công ty có lợi nhuận trên vốn chủ sở hữu ổn định. Nếu bạn xem xét cả việc mua lại cổ phiếu lẫn cổ tức khi nhìn vào tỷ lệ chi trả, thì tỷ lệ giữ lại cũng nên được định nghĩa một cách nhất quán.</w:t>
      </w:r>
    </w:p>
    <w:p>
      <w:pPr>
        <w:pStyle w:val="Para 03"/>
      </w:pPr>
      <w:r>
        <w:t>Nếu lợi nhuận trên vốn chủ sở hữu được kỳ vọng sẽ thay đổi theo thời gian, thì tốc độ tăng trưởng kỳ vọng trong thu nhập trên mỗi cổ phần có thể được viết như sau:</w:t>
      </w:r>
    </w:p>
    <w:p>
      <w:bookmarkStart w:id="4386" w:name="Expected_growthEPS_Retention_rat"/>
      <w:pPr>
        <w:keepNext/>
        <w:pStyle w:val="Para 09"/>
        <w:keepLines w:val="on"/>
      </w:pPr>
      <w:r>
        <w:t>Tăng trưởng kỳ vọngEPS=Tỷ lệ giữ lại×ROEt+1 +ROEt+1 −ROEt/ROEt</w:t>
      </w:r>
      <w:bookmarkEnd w:id="4386"/>
    </w:p>
    <w:p>
      <w:pPr>
        <w:pStyle w:val="Para 03"/>
      </w:pPr>
      <w:r>
        <w:t>Trong cả hai công thức, tốc độ tăng trưởng kỳ vọng là một hàm số của tỷ lệ giữ lại – đo lường số lượng tái đầu tư – và lợi nhuận trên vốn chủ sở hữu – đo lường chất lượng của việc tái đầu tư đó. Vậy các mô hình tăng trưởng cơ bản hoạt động tốt đến đâu đối với các công ty dịch vụ tài chính? Tốt một cách đáng ngạc nhiên. Tỷ lệ giữ lại ở một ngân hàng đo lường phần vốn chủ sở hữu được tái đầu tư trở lại vào công ty, và đến lượt nó, với sự tập trung của quy định vào các tỷ lệ vốn, quyết định phần lớn mức độ mà các công ty này có thể mở rộng trong tương lai. Lợi nhuận trên vốn chủ sở hữu cũng là một thước đo có ý nghĩa hơn về chất lượng đầu tư, vì các tài sản tài chính có nhiều khả năng được đánh giá lại theo giá thị trường (marked up to market) hơn.</w:t>
      </w:r>
    </w:p>
    <w:p>
      <w:bookmarkStart w:id="4387" w:name="Stable_Growth__To_get_closure_wi"/>
      <w:pPr>
        <w:pStyle w:val="Para 21"/>
      </w:pPr>
      <w:r>
        <w:t>Tăng trưởng ổn định (Stable Growth)</w:t>
      </w:r>
      <w:bookmarkEnd w:id="4387"/>
    </w:p>
    <w:p>
      <w:pPr>
        <w:pStyle w:val="Para 03"/>
      </w:pPr>
      <w:r>
        <w:t>Để khép lại với các mô hình chiết khấu cổ tức (dividend discount models), bạn phải giả định rằng các công ty dịch vụ tài chính mà bạn đang định giá sẽ đạt trạng thái tăng trưởng ổn định tại một thời điểm nào đó trong tương lai, trong đó tăng trưởng ổn định được định nghĩa là mức tăng trưởng nhỏ hơn hoặc bằng tốc độ tăng trưởng của nền kinh tế (hoặc lãi suất phi rủi ro). Trong một số trường hợp, đặc biệt với những công ty lớn hơn trong các ngành kinh doanh trưởng thành hơn, tốc độ tăng trưởng kỳ vọng hiện tại có thể đã là một tốc độ tăng trưởng ổn định.</w:t>
      </w:r>
    </w:p>
    <w:p>
      <w:pPr>
        <w:pStyle w:val="Para 20"/>
      </w:pPr>
      <w:r>
        <w:rPr>
          <w:rStyle w:val="Text26"/>
        </w:rPr>
        <w:bookmarkStart w:id="4389" w:name="Page_664"/>
        <w:t/>
        <w:bookmarkEnd w:id="4389"/>
      </w:r>
      <w:r>
        <w:t xml:space="preserve"> </w:t>
      </w:r>
    </w:p>
    <w:p>
      <w:pPr>
        <w:pStyle w:val="Para 03"/>
      </w:pPr>
      <w:r>
        <w:t>Khi đưa ra phán đoán về thời điểm một công ty dịch vụ tài chính sẽ trở thành một công ty tăng trưởng ổn định, bạn phải xem xét ba yếu tố.</w:t>
      </w:r>
    </w:p>
    <w:p>
      <w:pPr>
        <w:numPr>
          <w:ilvl w:val="0"/>
          <w:numId w:val="199"/>
        </w:numPr>
        <w:pStyle w:val="Para 01"/>
      </w:pPr>
      <w:r>
        <w:t>Yếu tố thứ nhất là quy mô của công ty so với thị trường mà nó phục vụ. Các công ty dịch vụ tài chính lớn hơn sẽ thấy khó duy trì tăng trưởng cao trong thời gian dài hơn, đặc biệt là trong các thị trường trưởng thành.</w:t>
      </w:r>
    </w:p>
    <w:p>
      <w:pPr>
        <w:numPr>
          <w:ilvl w:val="0"/>
          <w:numId w:val="199"/>
        </w:numPr>
        <w:pStyle w:val="Para 01"/>
      </w:pPr>
      <w:r>
        <w:t>Yếu tố thứ hai là bản chất của sự cạnh tranh. Nếu cạnh tranh gay gắt, tăng trưởng ổn định sẽ đến sớm hơn là muộn. Nếu cạnh tranh bị hạn chế, tăng trưởng cao và lợi nhuận vượt trội có thể kéo dài lâu hơn nhiều.</w:t>
      </w:r>
    </w:p>
    <w:p>
      <w:pPr>
        <w:numPr>
          <w:ilvl w:val="0"/>
          <w:numId w:val="199"/>
        </w:numPr>
        <w:pStyle w:val="Para 01"/>
      </w:pPr>
      <w:r>
        <w:t>Cuối cùng, cách mà các công ty dịch vụ tài chính được quản lý có thể ảnh hưởng đến việc hội tụ về tăng trưởng ổn định, vì quy định có thể vừa là trợ lực vừa là rào cản. Bằng cách hạn chế các đối thủ mới gia nhập, quy định có thể giúp các công ty dịch vụ tài chính duy trì tăng trưởng cao trong thời gian dài. Đồng thời, các hạn chế về quy định cũng có thể ngăn cản các công ty tham gia vào những mảng kinh doanh mới và tiềm năng sinh lời cao, từ đó rút ngắn giai đoạn tăng trưởng cao.</w:t>
      </w:r>
    </w:p>
    <w:p>
      <w:pPr>
        <w:pStyle w:val="Para 03"/>
      </w:pPr>
      <w:r>
        <w:t>Như đã đề cập ở các chương trước, không chỉ tốc độ tăng trưởng thay đổi trong giai đoạn tăng trưởng ổn định. Tỷ lệ chi trả cổ tức (payout ratio) cũng phải điều chỉnh để phản ánh tốc độ tăng trưởng ổn định (g), và có thể được ước tính từ tỷ lệ chi trả cổ tức:</w:t>
      </w:r>
    </w:p>
    <w:p>
      <w:bookmarkStart w:id="4390" w:name="Payout_ratio_in_stable_growth_1"/>
      <w:pPr>
        <w:keepNext/>
        <w:pStyle w:val="Para 09"/>
        <w:keepLines w:val="on"/>
      </w:pPr>
      <w:r>
        <w:t>Tỷ lệ chi trả cổ tức trong tăng trưởng ổn định=1-Tốc độ tăng trưởng ổn địnhTỷ suất sinh lời trên vốn chủ sở hữu ổn định</w:t>
      </w:r>
      <w:bookmarkEnd w:id="4390"/>
    </w:p>
    <w:p>
      <w:pPr>
        <w:pStyle w:val="Para 03"/>
      </w:pPr>
      <w:r>
        <w:t>Rủi ro của công ty cũng nên được điều chỉnh để phản ánh giả định tăng trưởng ổn định. Cụ thể, nếu hệ số beta được dùng để ước tính chi phí vốn chủ sở hữu (cost of equity), thì chúng nên hội tụ về mức 1 trong giai đoạn tăng trưởng ổn định.</w:t>
      </w:r>
    </w:p>
    <w:p>
      <w:pPr>
        <w:pStyle w:val="Para 11"/>
      </w:pPr>
      <w:r>
        <w:t/>
        <w:t xml:space="preserve"> </w:t>
      </w:r>
    </w:p>
    <w:p>
      <w:bookmarkStart w:id="4391" w:name="ILLUSTRATION_21_1__Valuing_HSBC_1"/>
      <w:bookmarkStart w:id="4392" w:name="ILLUSTRATION_21_1__Valuing_HSBC"/>
      <w:pPr>
        <w:keepNext/>
        <w:pStyle w:val="Para 19"/>
        <w:keepLines w:val="on"/>
      </w:pPr>
      <w:r>
        <w:t>VÍ DỤ MINH HỌA 21.1: Định giá HSBC theo Mô hình Chiết khấu Cổ tức với Tăng trưởng Ổn định</w:t>
      </w:r>
      <w:bookmarkEnd w:id="4391"/>
      <w:bookmarkEnd w:id="4392"/>
    </w:p>
    <w:p>
      <w:pPr>
        <w:pStyle w:val="Para 04"/>
        <w:keepLines w:val="on"/>
      </w:pPr>
      <w:r>
        <w:t>Được thành lập tại Hồng Kông và hiện có trụ sở chính tại London, HSBC là một trong những ngân hàng thương mại lớn nhất thế giới. Năm 2010, công ty báo cáo thu nhập trên mỗi cổ phần (EPS) là 74,8 pence/cổ phần và chi trả cổ tức 36 pence/cổ phần, dẫn đến tỷ lệ chi trả cổ tức là 48,13%:</w:t>
      </w:r>
    </w:p>
    <w:p>
      <w:bookmarkStart w:id="4393" w:name="Payout_ratio_Dividends_per_share"/>
      <w:pPr>
        <w:keepNext/>
        <w:pStyle w:val="Para 07"/>
        <w:keepLines w:val="on"/>
      </w:pPr>
      <w:r>
        <w:t>Tỷ lệ chi trả cổ tức=Cổ tức trên mỗi cổ phầnThu nhập trên mỗi cổ phần=3674,8=48,13%</w:t>
      </w:r>
      <w:bookmarkEnd w:id="4393"/>
    </w:p>
    <w:p>
      <w:pPr>
        <w:pStyle w:val="Para 04"/>
        <w:keepLines w:val="on"/>
      </w:pPr>
      <w:r>
        <w:t>Công ty được giả định có hệ số beta là 1,00, và chi phí vốn chủ sở hữu được tính bằng đồng bảng Anh, với lãi suất phi rủi ro là 4% và phần bù rủi ro vốn chủ sở hữu (equity risk premium) là 5,5% (bao gồm phần bù rủi ro thị trường trưởng thành là 5% và phần bù rủi ro quốc gia bổ sung là 0,5% để phản ánh mức độ hiện diện đáng kể của HSBC tại châu Á). Chi phí vốn chủ sở hữu được tính là 9,5%:</w:t>
      </w:r>
    </w:p>
    <w:p>
      <w:bookmarkStart w:id="4394" w:name="Cost_of_equity_Riskless_rate_Bet"/>
      <w:pPr>
        <w:keepNext/>
        <w:pStyle w:val="Para 07"/>
        <w:keepLines w:val="on"/>
      </w:pPr>
      <w:r>
        <w:t>Chi phí vốn chủ sở hữu=Lãi suất phi rủi ro+Beta(Phần bù rủi ro vốn chủ sở hữu)=4%+1(5,5%)=9,5%</w:t>
      </w:r>
      <w:bookmarkEnd w:id="4394"/>
    </w:p>
    <w:p>
      <w:pPr>
        <w:pStyle w:val="Para 04"/>
        <w:keepLines w:val="on"/>
      </w:pPr>
      <w:r>
        <w:t>Chúng ta sẽ giả định rằng công ty đang trong giai đoạn tăng trưởng ổn định, với tốc độ tăng trưởng 3,5% vĩnh viễn, dẫn đến giá trị trên mỗi cổ phần là 621 pence/cổ phần:</w:t>
      </w:r>
    </w:p>
    <w:p>
      <w:bookmarkStart w:id="4395" w:name="Value_per_share_Expected_dividen_1"/>
      <w:pPr>
        <w:keepNext/>
        <w:pStyle w:val="Para 07"/>
        <w:keepLines w:val="on"/>
      </w:pPr>
      <w:r>
        <w:t>Giá trị trên mỗi cổ phần=Cổ tức kỳ vọng năm sau(Chi phí vốn chủ sở hữu-Tốc độ tăng trưởng ổn định)=36(1,035)(,095−,035)= 621 pence mỗi cổ phần</w:t>
      </w:r>
      <w:bookmarkEnd w:id="4395"/>
    </w:p>
    <w:p>
      <w:pPr>
        <w:pStyle w:val="Para 04"/>
        <w:keepLines w:val="on"/>
      </w:pPr>
      <w:r>
        <w:t>Cổ phiếu đang được giao dịch ở mức 635 pence/cổ phần, gần với mức định giá hợp lý. Dù vậy, đây là một ước tính thận trọng về giá trị trên mỗi cổ phần của HSBC, vì chúng ta đang giả định tốc độ tăng trưởng 3,5% và tỷ lệ chi trả cổ tức 48,13%, ngầm dẫn đến tỷ suất sinh lời trên vốn chủ sở hữu (ROE) là 6,75% (3,5%/(1-,4813)), thấp hơn chi phí vốn chủ sở hữu 9,5%. Nếu HSBC có thể duy trì ROE bằng với chi phí vốn chủ sở hữu 9,5%, công ty sẽ có thể chi trả cổ tức nhiều hơn đáng kể mà vẫn đạt được cùng tốc độ tăng trưởng kỳ vọng:</w:t>
      </w:r>
    </w:p>
    <w:p>
      <w:bookmarkStart w:id="4397" w:name="Payout_ratio_assuming_ROE_is_9_5"/>
      <w:pPr>
        <w:keepNext/>
        <w:pStyle w:val="Para 07"/>
        <w:keepLines w:val="on"/>
      </w:pPr>
      <w:r>
        <w:t>Tỷ lệ chi trả cổ tức giả định ROE là 9,5%=1-(,035)(,095)=63,16%</w:t>
      </w:r>
      <w:bookmarkEnd w:id="4397"/>
    </w:p>
    <w:p>
      <w:pPr>
        <w:pStyle w:val="Para 04"/>
        <w:keepLines w:val="on"/>
      </w:pPr>
      <w:r>
        <w:t>Áp dụng tỷ lệ chi trả cổ tức này cho thu nhập năm 2010 sẽ dẫn đến cổ tức cao hơn (47,24 pence thay vì 36 pence) và giá trị trên mỗi cổ phần là 815 pence/cổ phần:</w:t>
      </w:r>
    </w:p>
    <w:p>
      <w:bookmarkStart w:id="4398" w:name="Value_per_share_Expected_earning"/>
      <w:pPr>
        <w:keepNext/>
        <w:pStyle w:val="Para 07"/>
        <w:keepLines w:val="on"/>
      </w:pPr>
      <w:r>
        <w:t>Giá trị trên mỗi cổ phần=Thu nhập kỳ vọng năm sau×Tỷ lệ chi trả cổ tức bền vững(Chi phí vốn chủ sở hữu−Tốc độ tăng trưởng ổn định)=74,8×1,035×,6316(,095−,035)=815 pence mỗi cổ phần</w:t>
      </w:r>
      <w:bookmarkEnd w:id="4398"/>
    </w:p>
    <w:p>
      <w:pPr>
        <w:pStyle w:val="Para 11"/>
      </w:pPr>
      <w:r>
        <w:t/>
        <w:t xml:space="preserve"> </w:t>
      </w:r>
    </w:p>
    <w:p>
      <w:bookmarkStart w:id="4399" w:name="ILLUSTRATION_21_2__A_High_Growth_1"/>
      <w:bookmarkStart w:id="4400" w:name="ILLUSTRATION_21_2__A_High_Growth"/>
      <w:pPr>
        <w:keepNext/>
        <w:pStyle w:val="Para 19"/>
        <w:keepLines w:val="on"/>
      </w:pPr>
      <w:r>
        <w:t>VÍ DỤ MINH HỌA 21.2: Mô hình Chiết khấu Cổ tức cho Tăng trưởng Cao: State Bank of India năm 2001</w:t>
      </w:r>
      <w:bookmarkEnd w:id="4399"/>
      <w:bookmarkEnd w:id="4400"/>
    </w:p>
    <w:p>
      <w:pPr>
        <w:pStyle w:val="Para 04"/>
        <w:keepLines w:val="on"/>
      </w:pPr>
      <w:r>
        <w:t>State Bank of India là một trong những ngân hàng lớn nhất của Ấn Độ, được thành lập sau khi tất cả các ngân hàng ở Ấn Độ bị quốc hữu hóa vào năm 1971. Trong hai thập kỷ sau đó, ngân hàng hoạt động như một thế lực độc quyền và hoàn toàn thuộc sở hữu nhà nước. Vào những năm 1990, chính phủ Ấn Độ đã tư nhân hóa một phần ngân hàng này trong khi vẫn giữ quyền kiểm soát bộ máy quản lý và hoạt động của ngân hàng.</w:t>
      </w:r>
    </w:p>
    <w:p>
      <w:pPr>
        <w:pStyle w:val="Para 04"/>
        <w:keepLines w:val="on"/>
      </w:pPr>
      <w:r>
        <w:t>Năm 1999, State Bank of India kiếm được 205 triệu rupee Ấn Độ trên giá trị sổ sách của vốn chủ sở hữu là 1.042 triệu rupee (vào đầu năm 1999), dẫn đến tỷ suất sinh lời trên vốn chủ sở hữu là 19,72%. Ngân hàng cũng chi trả cổ tức 2,50 Rs mỗi cổ phần từ thu nhập trên mỗi cổ phần là 38,98 Rs; điều này mang lại tỷ lệ chi trả cổ tức là 6,41%. Tỷ lệ giữ lại cao cho thấy công ty đang đầu tư số tiền đáng kể với kỳ vọng tăng trưởng cao trong tương lai. Chúng ta sẽ phân tích giá trị của ngân hàng qua ba giai đoạn—một giai đoạn đầu tăng trưởng cao bền vững, một giai đoạn chuyển tiếp khi tăng trưởng giảm dần về mức ổn định, và một giai đoạn tăng trưởng ổn định.</w:t>
      </w:r>
    </w:p>
    <w:p>
      <w:bookmarkStart w:id="4401" w:name="High_Growth_Phase"/>
      <w:bookmarkStart w:id="4402" w:name="High_Growth_Phase_If_State_Bank"/>
      <w:pPr>
        <w:keepNext/>
        <w:pStyle w:val="Para 36"/>
        <w:keepLines w:val="on"/>
      </w:pPr>
      <w:r>
        <w:t>Giai đoạn Tăng trưởng Cao</w:t>
      </w:r>
      <w:bookmarkEnd w:id="4401"/>
      <w:bookmarkEnd w:id="4402"/>
    </w:p>
    <w:p>
      <w:pPr>
        <w:pStyle w:val="Para 04"/>
        <w:keepLines w:val="on"/>
      </w:pPr>
      <w:r>
        <w:t>Nếu State Bank of India có thể duy trì tỷ suất sinh lời trên vốn chủ sở hữu hiện tại là 19,72% và tỷ lệ chi trả cổ tức là 6,41%, tốc độ tăng trưởng kỳ vọng của thu nhập trên mỗi cổ phần sẽ là 18,46%:</w:t>
      </w:r>
    </w:p>
    <w:p>
      <w:bookmarkStart w:id="4403" w:name="Expected_growth_rate_ROExRetenti"/>
      <w:pPr>
        <w:keepNext/>
        <w:pStyle w:val="Para 07"/>
        <w:keepLines w:val="on"/>
      </w:pPr>
      <w:r>
        <w:t>Tốc độ tăng trưởng kỳ vọng=ROE×Tỷ lệ giữ lại=19,72%×(1−,0641)=18,46%</w:t>
      </w:r>
      <w:bookmarkEnd w:id="4403"/>
    </w:p>
    <w:p>
      <w:pPr>
        <w:pStyle w:val="Para 04"/>
        <w:keepLines w:val="on"/>
      </w:pPr>
      <w:r>
        <w:t>Câu hỏi then chốt là ngân hàng có thể duy trì mức tăng trưởng này trong bao lâu. Với quy mô tiềm năng lớn của thị trường Ấn Độ, chúng ta giả định rằng mức tăng trưởng này sẽ tiếp tục trong bốn năm. Trong giai đoạn này, chúng ta cũng tính đến việc sẽ có rủi ro đáng kể gắn với nền kinh tế Ấn Độ bằng cách cho phép một phần bù rủi ro quốc gia khi ước tính chi phí vốn chủ sở hữu. Sử dụng cách tiếp cận đã được phát triển trước đó trong cuốn sách, chúng ta ước tính phần bù rủi ro cho Ấn Độ dựa trên xếp hạng BB+ của nước này vào năm 2001 và mức biến động tương đối của thị trường vốn chủ sở hữu Ấn Độ.</w:t>
      </w:r>
    </w:p>
    <w:p>
      <w:bookmarkStart w:id="4404" w:name="Country_risk_premium_for_India_C"/>
      <w:pPr>
        <w:keepNext/>
        <w:pStyle w:val="Para 07"/>
        <w:keepLines w:val="on"/>
      </w:pPr>
      <w:r>
        <w:t>Phần bù rủi ro quốc gia cho Ấn Độ=Chênh lệch lãi suất vỡ nợ quốc gia×Biến động tương đối của thị trường vốn chủ sở hữu=3,00%×2,1433=6,43%</w:t>
      </w:r>
      <w:bookmarkEnd w:id="4404"/>
    </w:p>
    <w:p>
      <w:pPr>
        <w:pStyle w:val="Para 04"/>
        <w:keepLines w:val="on"/>
      </w:pPr>
      <w:r>
        <w:t>Để ước tính chi phí vốn chủ sở hữu trong giai đoạn tăng trưởng cao—bốn năm tới—chúng ta ước tính hệ số beta trung bình cho các ngân hàng thương mại châu Á là 0,80, và giả định rằng State Bank of India sẽ có hệ số beta tương tự. Kết hợp với lãi suất phi rủi ro bằng rupee Ấn Độ là 12,00%, chúng ta ước tính chi phí vốn chủ sở hữu là 20,34%.</w:t>
      </w:r>
    </w:p>
    <w:p>
      <w:pPr>
        <w:pStyle w:val="Para 59"/>
        <w:keepLines w:val="on"/>
      </w:pPr>
      <w:r>
        <w:rPr>
          <w:rStyle w:val="Text26"/>
        </w:rPr>
        <w:bookmarkStart w:id="4405" w:name="Page_666"/>
        <w:t/>
        <w:bookmarkEnd w:id="4405"/>
      </w:r>
      <w:r>
        <w:t xml:space="preserve"> </w:t>
      </w:r>
    </w:p>
    <w:p>
      <w:bookmarkStart w:id="4406" w:name="Cost_of_equity_Risk_free_rate_Be_1"/>
      <w:pPr>
        <w:keepNext/>
        <w:pStyle w:val="Para 07"/>
        <w:keepLines w:val="on"/>
      </w:pPr>
      <w:r>
        <w:t>Chi phí vốn chủ sở hữu=Lãi suất phi rủi ro+Beta×(Phần bù rủi ro thị trường trưởng thành+Phần bù rủi ro quốc gia)=12,00%+0,80×(4,00%+6,43%)=20,34%</w:t>
      </w:r>
      <w:bookmarkEnd w:id="4406"/>
    </w:p>
    <w:p>
      <w:pPr>
        <w:pStyle w:val="Para 04"/>
        <w:keepLines w:val="on"/>
      </w:pPr>
      <w:r>
        <w:t>Với những ước tính về tốc độ tăng trưởng kỳ vọng, tỷ lệ chi trả cổ tức và chi phí vốn chủ sở hữu này, chúng ta có thể ước tính giá trị hiện tại của cổ tức kỳ vọng trên mỗi cổ phần trong bốn năm tới trong Bảng 21.1:</w:t>
      </w:r>
    </w:p>
    <w:p>
      <w:pPr>
        <w:pStyle w:val="Para 25"/>
        <w:keepLines w:val="on"/>
      </w:pPr>
      <w:r>
        <w:t>Bảng 21.1</w:t>
      </w:r>
    </w:p>
    <w:p>
      <w:pPr>
        <w:keepNext/>
        <w:pStyle w:val="Para 24"/>
        <w:keepLines w:val="on"/>
      </w:pPr>
      <w:r>
        <w:t>Cổ tức kỳ vọng trong các năm 1 đến 4</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Para 06"/>
                    <w:keepLines w:val="on"/>
                  </w:pPr>
                  <w:r>
                    <w:t>18,46%</w:t>
                  </w:r>
                </w:p>
              </w:tc>
              <w:tc>
                <w:tcPr>
                  <w:tcW w:type="auto" w:w="0"/>
                  <w:shd w:val="clear" w:color="auto" w:fill="F0F0F0"/>
                </w:tcPr>
                <w:p>
                  <w:pPr>
                    <w:pStyle w:val="Para 06"/>
                    <w:keepLines w:val="on"/>
                  </w:pPr>
                  <w:r>
                    <w:t>18,46%</w:t>
                  </w:r>
                </w:p>
              </w:tc>
              <w:tc>
                <w:tcPr>
                  <w:tcW w:type="auto" w:w="0"/>
                  <w:shd w:val="clear" w:color="auto" w:fill="F0F0F0"/>
                </w:tcPr>
                <w:p>
                  <w:pPr>
                    <w:pStyle w:val="Para 06"/>
                    <w:keepLines w:val="on"/>
                  </w:pPr>
                  <w:r>
                    <w:t>18,46%</w:t>
                  </w:r>
                </w:p>
              </w:tc>
              <w:tc>
                <w:tcPr>
                  <w:tcW w:type="auto" w:w="0"/>
                  <w:shd w:val="clear" w:color="auto" w:fill="F0F0F0"/>
                </w:tcPr>
                <w:p>
                  <w:pPr>
                    <w:pStyle w:val="Para 06"/>
                    <w:keepLines w:val="on"/>
                  </w:pPr>
                  <w:r>
                    <w:t>18,46%</w:t>
                  </w:r>
                </w:p>
              </w:tc>
            </w:tr>
            <w:tr>
              <w:tc>
                <w:tcPr>
                  <w:tcW w:type="auto" w:w="0"/>
                  <w:shd w:val="clear" w:color="auto" w:fill="F0F0F0"/>
                </w:tcPr>
                <w:p>
                  <w:pPr>
                    <w:pStyle w:val="Para 02"/>
                    <w:keepLines w:val="on"/>
                  </w:pPr>
                  <w:r>
                    <w:t>Thu nhập trên mỗi cổ phần</w:t>
                  </w:r>
                </w:p>
              </w:tc>
              <w:tc>
                <w:tcPr>
                  <w:tcW w:type="auto" w:w="0"/>
                  <w:shd w:val="clear" w:color="auto" w:fill="F0F0F0"/>
                </w:tcPr>
                <w:p>
                  <w:pPr>
                    <w:pStyle w:val="Para 06"/>
                    <w:keepLines w:val="on"/>
                  </w:pPr>
                  <w:r>
                    <w:t>₹46,17</w:t>
                  </w:r>
                </w:p>
              </w:tc>
              <w:tc>
                <w:tcPr>
                  <w:tcW w:type="auto" w:w="0"/>
                  <w:shd w:val="clear" w:color="auto" w:fill="F0F0F0"/>
                </w:tcPr>
                <w:p>
                  <w:pPr>
                    <w:pStyle w:val="Para 06"/>
                    <w:keepLines w:val="on"/>
                  </w:pPr>
                  <w:r>
                    <w:t>₹54,70</w:t>
                  </w:r>
                </w:p>
              </w:tc>
              <w:tc>
                <w:tcPr>
                  <w:tcW w:type="auto" w:w="0"/>
                  <w:shd w:val="clear" w:color="auto" w:fill="F0F0F0"/>
                </w:tcPr>
                <w:p>
                  <w:pPr>
                    <w:pStyle w:val="Para 06"/>
                    <w:keepLines w:val="on"/>
                  </w:pPr>
                  <w:r>
                    <w:t>₹64,79</w:t>
                  </w:r>
                </w:p>
              </w:tc>
              <w:tc>
                <w:tcPr>
                  <w:tcW w:type="auto" w:w="0"/>
                  <w:shd w:val="clear" w:color="auto" w:fill="F0F0F0"/>
                </w:tcPr>
                <w:p>
                  <w:pPr>
                    <w:pStyle w:val="Para 06"/>
                    <w:keepLines w:val="on"/>
                  </w:pPr>
                  <w:r>
                    <w:t>₹76,75</w:t>
                  </w:r>
                </w:p>
              </w:tc>
            </w:tr>
            <w:tr>
              <w:tc>
                <w:tcPr>
                  <w:tcW w:type="auto" w:w="0"/>
                  <w:shd w:val="clear" w:color="auto" w:fill="F0F0F0"/>
                </w:tcPr>
                <w:p>
                  <w:pPr>
                    <w:pStyle w:val="Para 02"/>
                    <w:keepLines w:val="on"/>
                  </w:pPr>
                  <w:r>
                    <w:t>Tỷ lệ chi trả cổ tức</w:t>
                  </w:r>
                </w:p>
              </w:tc>
              <w:tc>
                <w:tcPr>
                  <w:tcW w:type="auto" w:w="0"/>
                  <w:shd w:val="clear" w:color="auto" w:fill="F0F0F0"/>
                </w:tcPr>
                <w:p>
                  <w:pPr>
                    <w:pStyle w:val="Para 06"/>
                    <w:keepLines w:val="on"/>
                  </w:pPr>
                  <w:r>
                    <w:t>6,41%</w:t>
                  </w:r>
                </w:p>
              </w:tc>
              <w:tc>
                <w:tcPr>
                  <w:tcW w:type="auto" w:w="0"/>
                  <w:shd w:val="clear" w:color="auto" w:fill="F0F0F0"/>
                </w:tcPr>
                <w:p>
                  <w:pPr>
                    <w:pStyle w:val="Para 06"/>
                    <w:keepLines w:val="on"/>
                  </w:pPr>
                  <w:r>
                    <w:t>6,41%</w:t>
                  </w:r>
                </w:p>
              </w:tc>
              <w:tc>
                <w:tcPr>
                  <w:tcW w:type="auto" w:w="0"/>
                  <w:shd w:val="clear" w:color="auto" w:fill="F0F0F0"/>
                </w:tcPr>
                <w:p>
                  <w:pPr>
                    <w:pStyle w:val="Para 06"/>
                    <w:keepLines w:val="on"/>
                  </w:pPr>
                  <w:r>
                    <w:t>6,41%</w:t>
                  </w:r>
                </w:p>
              </w:tc>
              <w:tc>
                <w:tcPr>
                  <w:tcW w:type="auto" w:w="0"/>
                  <w:shd w:val="clear" w:color="auto" w:fill="F0F0F0"/>
                </w:tcPr>
                <w:p>
                  <w:pPr>
                    <w:pStyle w:val="Para 06"/>
                    <w:keepLines w:val="on"/>
                  </w:pPr>
                  <w:r>
                    <w:t>6,41%</w:t>
                  </w:r>
                </w:p>
              </w:tc>
            </w:tr>
            <w:tr>
              <w:tc>
                <w:tcPr>
                  <w:tcW w:type="auto" w:w="0"/>
                  <w:shd w:val="clear" w:color="auto" w:fill="F0F0F0"/>
                </w:tcPr>
                <w:p>
                  <w:pPr>
                    <w:pStyle w:val="Para 02"/>
                    <w:keepLines w:val="on"/>
                  </w:pPr>
                  <w:r>
                    <w:t>Cổ tức trên mỗi cổ phần</w:t>
                  </w:r>
                </w:p>
              </w:tc>
              <w:tc>
                <w:tcPr>
                  <w:tcW w:type="auto" w:w="0"/>
                  <w:shd w:val="clear" w:color="auto" w:fill="F0F0F0"/>
                </w:tcPr>
                <w:p>
                  <w:pPr>
                    <w:pStyle w:val="Para 06"/>
                    <w:keepLines w:val="on"/>
                  </w:pPr>
                  <w:r>
                    <w:t>₹2,96</w:t>
                  </w:r>
                </w:p>
              </w:tc>
              <w:tc>
                <w:tcPr>
                  <w:tcW w:type="auto" w:w="0"/>
                  <w:shd w:val="clear" w:color="auto" w:fill="F0F0F0"/>
                </w:tcPr>
                <w:p>
                  <w:pPr>
                    <w:pStyle w:val="Para 06"/>
                    <w:keepLines w:val="on"/>
                  </w:pPr>
                  <w:r>
                    <w:t>₹3,51</w:t>
                  </w:r>
                </w:p>
              </w:tc>
              <w:tc>
                <w:tcPr>
                  <w:tcW w:type="auto" w:w="0"/>
                  <w:shd w:val="clear" w:color="auto" w:fill="F0F0F0"/>
                </w:tcPr>
                <w:p>
                  <w:pPr>
                    <w:pStyle w:val="Para 06"/>
                    <w:keepLines w:val="on"/>
                  </w:pPr>
                  <w:r>
                    <w:t>₹4,16</w:t>
                  </w:r>
                </w:p>
              </w:tc>
              <w:tc>
                <w:tcPr>
                  <w:tcW w:type="auto" w:w="0"/>
                  <w:shd w:val="clear" w:color="auto" w:fill="F0F0F0"/>
                </w:tcPr>
                <w:p>
                  <w:pPr>
                    <w:pStyle w:val="Para 06"/>
                    <w:keepLines w:val="on"/>
                  </w:pPr>
                  <w:r>
                    <w:t>₹4,92</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Para 06"/>
                    <w:keepLines w:val="on"/>
                  </w:pPr>
                  <w:r>
                    <w:t>20,34%</w:t>
                  </w:r>
                </w:p>
              </w:tc>
              <w:tc>
                <w:tcPr>
                  <w:tcW w:type="auto" w:w="0"/>
                  <w:shd w:val="clear" w:color="auto" w:fill="F0F0F0"/>
                </w:tcPr>
                <w:p>
                  <w:pPr>
                    <w:pStyle w:val="Para 06"/>
                    <w:keepLines w:val="on"/>
                  </w:pPr>
                  <w:r>
                    <w:t>20,34%</w:t>
                  </w:r>
                </w:p>
              </w:tc>
              <w:tc>
                <w:tcPr>
                  <w:tcW w:type="auto" w:w="0"/>
                  <w:shd w:val="clear" w:color="auto" w:fill="F0F0F0"/>
                </w:tcPr>
                <w:p>
                  <w:pPr>
                    <w:pStyle w:val="Para 06"/>
                    <w:keepLines w:val="on"/>
                  </w:pPr>
                  <w:r>
                    <w:t>20,34%</w:t>
                  </w:r>
                </w:p>
              </w:tc>
              <w:tc>
                <w:tcPr>
                  <w:tcW w:type="auto" w:w="0"/>
                  <w:shd w:val="clear" w:color="auto" w:fill="F0F0F0"/>
                </w:tcPr>
                <w:p>
                  <w:pPr>
                    <w:pStyle w:val="Para 06"/>
                    <w:keepLines w:val="on"/>
                  </w:pPr>
                  <w:r>
                    <w:t>20,34%</w:t>
                  </w:r>
                </w:p>
              </w:tc>
            </w:tr>
            <w:tr>
              <w:tc>
                <w:tcPr>
                  <w:tcW w:type="auto" w:w="0"/>
                  <w:shd w:val="clear" w:color="auto" w:fill="F0F0F0"/>
                </w:tcPr>
                <w:p>
                  <w:pPr>
                    <w:pStyle w:val="Para 02"/>
                    <w:keepLines w:val="on"/>
                  </w:pPr>
                  <w:r>
                    <w:t>Giá trị hiện tại</w:t>
                  </w:r>
                </w:p>
              </w:tc>
              <w:tc>
                <w:tcPr>
                  <w:tcW w:type="auto" w:w="0"/>
                  <w:shd w:val="clear" w:color="auto" w:fill="F0F0F0"/>
                </w:tcPr>
                <w:p>
                  <w:pPr>
                    <w:pStyle w:val="Para 06"/>
                    <w:keepLines w:val="on"/>
                  </w:pPr>
                  <w:r>
                    <w:t>₹2,46</w:t>
                  </w:r>
                </w:p>
              </w:tc>
              <w:tc>
                <w:tcPr>
                  <w:tcW w:type="auto" w:w="0"/>
                  <w:shd w:val="clear" w:color="auto" w:fill="F0F0F0"/>
                </w:tcPr>
                <w:p>
                  <w:pPr>
                    <w:pStyle w:val="Para 06"/>
                    <w:keepLines w:val="on"/>
                  </w:pPr>
                  <w:r>
                    <w:t>₹2,42</w:t>
                  </w:r>
                </w:p>
              </w:tc>
              <w:tc>
                <w:tcPr>
                  <w:tcW w:type="auto" w:w="0"/>
                  <w:shd w:val="clear" w:color="auto" w:fill="F0F0F0"/>
                </w:tcPr>
                <w:p>
                  <w:pPr>
                    <w:pStyle w:val="Para 06"/>
                    <w:keepLines w:val="on"/>
                  </w:pPr>
                  <w:r>
                    <w:t>₹2,38</w:t>
                  </w:r>
                </w:p>
              </w:tc>
              <w:tc>
                <w:tcPr>
                  <w:tcW w:type="auto" w:w="0"/>
                  <w:shd w:val="clear" w:color="auto" w:fill="F0F0F0"/>
                </w:tcPr>
                <w:p>
                  <w:pPr>
                    <w:pStyle w:val="Para 06"/>
                    <w:keepLines w:val="on"/>
                  </w:pPr>
                  <w:r>
                    <w:t>₹2,35</w:t>
                  </w:r>
                </w:p>
              </w:tc>
            </w:tr>
          </w:tbl>
          <w:p/>
        </w:tc>
      </w:tr>
    </w:tbl>
    <w:p>
      <w:bookmarkStart w:id="4408" w:name="Transition_Phase_We_expect_State"/>
      <w:bookmarkStart w:id="4409" w:name="Transition_Phase"/>
      <w:pPr>
        <w:keepNext/>
        <w:pStyle w:val="Para 36"/>
        <w:keepLines w:val="on"/>
      </w:pPr>
      <w:r>
        <w:t>Giai đoạn chuyển tiếp</w:t>
      </w:r>
      <w:bookmarkEnd w:id="4408"/>
      <w:bookmarkEnd w:id="4409"/>
    </w:p>
    <w:p>
      <w:pPr>
        <w:pStyle w:val="Para 04"/>
        <w:keepLines w:val="on"/>
      </w:pPr>
      <w:r>
        <w:t>Chúng tôi kỳ vọng State Bank sẽ tiếp tục tăng trưởng vượt qua năm thứ 4 nhưng với tốc độ giảm dần. Mỗi năm, chúng tôi giảm tốc độ tăng trưởng kỳ vọng theo tuyến tính từ 18,46% xuống mức tăng trưởng ổn định là 10,00%—các tốc độ tăng trưởng này đều tính bằng rupee danh nghĩa. Khi tốc độ tăng trưởng giảm, chúng tôi cho phép tỷ suất sinh lời trên vốn chủ sở hữu (return on equity) giảm xuống (do cạnh tranh gia tăng) còn 18% và tỷ lệ chi trả cổ tức (payout ratio) tăng lên để phản ánh nhu cầu tái đầu tư ít hơn.1 Để minh họa, tỷ lệ chi trả cổ tức vào năm thứ 8, khi tốc độ tăng trưởng kỳ vọng là 10%, có thể được tính như sau:</w:t>
      </w:r>
    </w:p>
    <w:p>
      <w:bookmarkStart w:id="4411" w:name="Payout_ratio_in_year_8_1_Expecte"/>
      <w:pPr>
        <w:keepNext/>
        <w:pStyle w:val="Para 07"/>
        <w:keepLines w:val="on"/>
      </w:pPr>
      <w:r>
        <w:t>Tỷ lệ chi trả cổ tức năm 8=1-Tốc độ tăng trưởng kỳ vọngTỷ suất sinh lời trên vốn chủ sở hữu=1-,10,18=0,4444 hay 44,44%</w:t>
      </w:r>
      <w:bookmarkEnd w:id="4411"/>
    </w:p>
    <w:p>
      <w:pPr>
        <w:pStyle w:val="Para 04"/>
        <w:keepLines w:val="on"/>
      </w:pPr>
      <w:r>
        <w:t>Chúng tôi cũng điều chỉnh giảm phần bù rủi ro quốc gia (country risk premium) từ 6,43% xuống 3,00% để phản ánh kỳ vọng rằng sẽ có ít rủi ro hơn khi đầu tư vào Ấn Độ khi nền kinh tế của quốc gia này trưởng thành hơn. Bảng 21.2 tóm tắt cổ tức kỳ vọng trong giai đoạn chuyển tiếp:</w:t>
      </w:r>
    </w:p>
    <w:p>
      <w:pPr>
        <w:pStyle w:val="Para 25"/>
        <w:keepLines w:val="on"/>
      </w:pPr>
      <w:r>
        <w:t>Bảng 21.2</w:t>
      </w:r>
    </w:p>
    <w:p>
      <w:pPr>
        <w:keepNext/>
        <w:pStyle w:val="Para 24"/>
        <w:keepLines w:val="on"/>
      </w:pPr>
      <w:r>
        <w:t>Cổ tức kỳ vọng trong các năm 1 đến 4</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5</w:t>
                  </w:r>
                </w:p>
              </w:tc>
              <w:tc>
                <w:tcPr>
                  <w:tcW w:type="auto" w:w="0"/>
                  <w:shd w:val="clear" w:color="auto" w:fill="F0F0F0"/>
                </w:tcPr>
                <w:p>
                  <w:pPr>
                    <w:pStyle w:val="Para 05"/>
                    <w:keepLines w:val="on"/>
                  </w:pPr>
                  <w:r>
                    <w:t>6</w:t>
                  </w:r>
                </w:p>
              </w:tc>
              <w:tc>
                <w:tcPr>
                  <w:tcW w:type="auto" w:w="0"/>
                  <w:shd w:val="clear" w:color="auto" w:fill="F0F0F0"/>
                </w:tcPr>
                <w:p>
                  <w:pPr>
                    <w:pStyle w:val="Para 05"/>
                    <w:keepLines w:val="on"/>
                  </w:pPr>
                  <w:r>
                    <w:t>7</w:t>
                  </w:r>
                </w:p>
              </w:tc>
              <w:tc>
                <w:tcPr>
                  <w:tcW w:type="auto" w:w="0"/>
                  <w:shd w:val="clear" w:color="auto" w:fill="F0F0F0"/>
                </w:tcPr>
                <w:p>
                  <w:pPr>
                    <w:pStyle w:val="Para 05"/>
                    <w:keepLines w:val="on"/>
                  </w:pPr>
                  <w:r>
                    <w:t>8</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Para 06"/>
                    <w:keepLines w:val="on"/>
                  </w:pPr>
                  <w:r>
                    <w:t>16,34%</w:t>
                  </w:r>
                </w:p>
              </w:tc>
              <w:tc>
                <w:tcPr>
                  <w:tcW w:type="auto" w:w="0"/>
                  <w:shd w:val="clear" w:color="auto" w:fill="F0F0F0"/>
                </w:tcPr>
                <w:p>
                  <w:pPr>
                    <w:pStyle w:val="Para 06"/>
                    <w:keepLines w:val="on"/>
                  </w:pPr>
                  <w:r>
                    <w:t>14,23%</w:t>
                  </w:r>
                </w:p>
              </w:tc>
              <w:tc>
                <w:tcPr>
                  <w:tcW w:type="auto" w:w="0"/>
                  <w:shd w:val="clear" w:color="auto" w:fill="F0F0F0"/>
                </w:tcPr>
                <w:p>
                  <w:pPr>
                    <w:pStyle w:val="Para 06"/>
                    <w:keepLines w:val="on"/>
                  </w:pPr>
                  <w:r>
                    <w:t>12,11%</w:t>
                  </w:r>
                </w:p>
              </w:tc>
              <w:tc>
                <w:tcPr>
                  <w:tcW w:type="auto" w:w="0"/>
                  <w:shd w:val="clear" w:color="auto" w:fill="F0F0F0"/>
                </w:tcPr>
                <w:p>
                  <w:pPr>
                    <w:pStyle w:val="Para 06"/>
                    <w:keepLines w:val="on"/>
                  </w:pPr>
                  <w:r>
                    <w:t>10,00%</w:t>
                  </w:r>
                </w:p>
              </w:tc>
            </w:tr>
            <w:tr>
              <w:tc>
                <w:tcPr>
                  <w:tcW w:type="auto" w:w="0"/>
                  <w:shd w:val="clear" w:color="auto" w:fill="F0F0F0"/>
                </w:tcPr>
                <w:p>
                  <w:pPr>
                    <w:pStyle w:val="Para 02"/>
                    <w:keepLines w:val="on"/>
                  </w:pPr>
                  <w:r>
                    <w:t>Thu nhập trên mỗi cổ phiếu</w:t>
                  </w:r>
                </w:p>
              </w:tc>
              <w:tc>
                <w:tcPr>
                  <w:tcW w:type="auto" w:w="0"/>
                  <w:shd w:val="clear" w:color="auto" w:fill="F0F0F0"/>
                </w:tcPr>
                <w:p>
                  <w:pPr>
                    <w:pStyle w:val="Para 06"/>
                    <w:keepLines w:val="on"/>
                  </w:pPr>
                  <w:r>
                    <w:t>₹89,29</w:t>
                  </w:r>
                </w:p>
              </w:tc>
              <w:tc>
                <w:tcPr>
                  <w:tcW w:type="auto" w:w="0"/>
                  <w:shd w:val="clear" w:color="auto" w:fill="F0F0F0"/>
                </w:tcPr>
                <w:p>
                  <w:pPr>
                    <w:pStyle w:val="Para 06"/>
                    <w:keepLines w:val="on"/>
                  </w:pPr>
                  <w:r>
                    <w:t>₹102,00</w:t>
                  </w:r>
                </w:p>
              </w:tc>
              <w:tc>
                <w:tcPr>
                  <w:tcW w:type="auto" w:w="0"/>
                  <w:shd w:val="clear" w:color="auto" w:fill="F0F0F0"/>
                </w:tcPr>
                <w:p>
                  <w:pPr>
                    <w:pStyle w:val="Para 06"/>
                    <w:keepLines w:val="on"/>
                  </w:pPr>
                  <w:r>
                    <w:t>₹114,35</w:t>
                  </w:r>
                </w:p>
              </w:tc>
              <w:tc>
                <w:tcPr>
                  <w:tcW w:type="auto" w:w="0"/>
                  <w:shd w:val="clear" w:color="auto" w:fill="F0F0F0"/>
                </w:tcPr>
                <w:p>
                  <w:pPr>
                    <w:pStyle w:val="Para 06"/>
                    <w:keepLines w:val="on"/>
                  </w:pPr>
                  <w:r>
                    <w:t>₹125,79</w:t>
                  </w:r>
                </w:p>
              </w:tc>
            </w:tr>
            <w:tr>
              <w:tc>
                <w:tcPr>
                  <w:tcW w:type="auto" w:w="0"/>
                  <w:shd w:val="clear" w:color="auto" w:fill="F0F0F0"/>
                </w:tcPr>
                <w:p>
                  <w:pPr>
                    <w:pStyle w:val="Para 02"/>
                    <w:keepLines w:val="on"/>
                  </w:pPr>
                  <w:r>
                    <w:t>Tỷ lệ chi trả cổ tức</w:t>
                  </w:r>
                </w:p>
              </w:tc>
              <w:tc>
                <w:tcPr>
                  <w:tcW w:type="auto" w:w="0"/>
                  <w:shd w:val="clear" w:color="auto" w:fill="F0F0F0"/>
                </w:tcPr>
                <w:p>
                  <w:pPr>
                    <w:pStyle w:val="Para 06"/>
                    <w:keepLines w:val="on"/>
                  </w:pPr>
                  <w:r>
                    <w:t>15,92%</w:t>
                  </w:r>
                </w:p>
              </w:tc>
              <w:tc>
                <w:tcPr>
                  <w:tcW w:type="auto" w:w="0"/>
                  <w:shd w:val="clear" w:color="auto" w:fill="F0F0F0"/>
                </w:tcPr>
                <w:p>
                  <w:pPr>
                    <w:pStyle w:val="Para 06"/>
                    <w:keepLines w:val="on"/>
                  </w:pPr>
                  <w:r>
                    <w:t>25,43%</w:t>
                  </w:r>
                </w:p>
              </w:tc>
              <w:tc>
                <w:tcPr>
                  <w:tcW w:type="auto" w:w="0"/>
                  <w:shd w:val="clear" w:color="auto" w:fill="F0F0F0"/>
                </w:tcPr>
                <w:p>
                  <w:pPr>
                    <w:pStyle w:val="Para 06"/>
                    <w:keepLines w:val="on"/>
                  </w:pPr>
                  <w:r>
                    <w:t>34,94%</w:t>
                  </w:r>
                </w:p>
              </w:tc>
              <w:tc>
                <w:tcPr>
                  <w:tcW w:type="auto" w:w="0"/>
                  <w:shd w:val="clear" w:color="auto" w:fill="F0F0F0"/>
                </w:tcPr>
                <w:p>
                  <w:pPr>
                    <w:pStyle w:val="Para 06"/>
                    <w:keepLines w:val="on"/>
                  </w:pPr>
                  <w:r>
                    <w:t>44,44%</w:t>
                  </w:r>
                </w:p>
              </w:tc>
            </w:tr>
            <w:tr>
              <w:tc>
                <w:tcPr>
                  <w:tcW w:type="auto" w:w="0"/>
                  <w:shd w:val="clear" w:color="auto" w:fill="F0F0F0"/>
                </w:tcPr>
                <w:p>
                  <w:pPr>
                    <w:pStyle w:val="Para 02"/>
                    <w:keepLines w:val="on"/>
                  </w:pPr>
                  <w:r>
                    <w:t>Cổ tức trên mỗi cổ phiếu</w:t>
                  </w:r>
                </w:p>
              </w:tc>
              <w:tc>
                <w:tcPr>
                  <w:tcW w:type="auto" w:w="0"/>
                  <w:shd w:val="clear" w:color="auto" w:fill="F0F0F0"/>
                </w:tcPr>
                <w:p>
                  <w:pPr>
                    <w:pStyle w:val="Para 06"/>
                    <w:keepLines w:val="on"/>
                  </w:pPr>
                  <w:r>
                    <w:t>₹14,22</w:t>
                  </w:r>
                </w:p>
              </w:tc>
              <w:tc>
                <w:tcPr>
                  <w:tcW w:type="auto" w:w="0"/>
                  <w:shd w:val="clear" w:color="auto" w:fill="F0F0F0"/>
                </w:tcPr>
                <w:p>
                  <w:pPr>
                    <w:pStyle w:val="Para 06"/>
                    <w:keepLines w:val="on"/>
                  </w:pPr>
                  <w:r>
                    <w:t>₹25,94</w:t>
                  </w:r>
                </w:p>
              </w:tc>
              <w:tc>
                <w:tcPr>
                  <w:tcW w:type="auto" w:w="0"/>
                  <w:shd w:val="clear" w:color="auto" w:fill="F0F0F0"/>
                </w:tcPr>
                <w:p>
                  <w:pPr>
                    <w:pStyle w:val="Para 06"/>
                    <w:keepLines w:val="on"/>
                  </w:pPr>
                  <w:r>
                    <w:t>₹39,95</w:t>
                  </w:r>
                </w:p>
              </w:tc>
              <w:tc>
                <w:tcPr>
                  <w:tcW w:type="auto" w:w="0"/>
                  <w:shd w:val="clear" w:color="auto" w:fill="F0F0F0"/>
                </w:tcPr>
                <w:p>
                  <w:pPr>
                    <w:pStyle w:val="Para 06"/>
                    <w:keepLines w:val="on"/>
                  </w:pPr>
                  <w:r>
                    <w:t>₹55,91</w:t>
                  </w:r>
                </w:p>
              </w:tc>
            </w:tr>
            <w:tr>
              <w:tc>
                <w:tcPr>
                  <w:tcW w:type="auto" w:w="0"/>
                  <w:shd w:val="clear" w:color="auto" w:fill="F0F0F0"/>
                </w:tcPr>
                <w:p>
                  <w:pPr>
                    <w:pStyle w:val="Para 02"/>
                    <w:keepLines w:val="on"/>
                  </w:pPr>
                  <w:r>
                    <w:t>Chi phí vốn cổ phần</w:t>
                  </w:r>
                </w:p>
              </w:tc>
              <w:tc>
                <w:tcPr>
                  <w:tcW w:type="auto" w:w="0"/>
                  <w:shd w:val="clear" w:color="auto" w:fill="F0F0F0"/>
                </w:tcPr>
                <w:p>
                  <w:pPr>
                    <w:pStyle w:val="Para 06"/>
                    <w:keepLines w:val="on"/>
                  </w:pPr>
                  <w:r>
                    <w:t>19,66%</w:t>
                  </w:r>
                </w:p>
              </w:tc>
              <w:tc>
                <w:tcPr>
                  <w:tcW w:type="auto" w:w="0"/>
                  <w:shd w:val="clear" w:color="auto" w:fill="F0F0F0"/>
                </w:tcPr>
                <w:p>
                  <w:pPr>
                    <w:pStyle w:val="Para 06"/>
                    <w:keepLines w:val="on"/>
                  </w:pPr>
                  <w:r>
                    <w:t>18,97%</w:t>
                  </w:r>
                </w:p>
              </w:tc>
              <w:tc>
                <w:tcPr>
                  <w:tcW w:type="auto" w:w="0"/>
                  <w:shd w:val="clear" w:color="auto" w:fill="F0F0F0"/>
                </w:tcPr>
                <w:p>
                  <w:pPr>
                    <w:pStyle w:val="Para 06"/>
                    <w:keepLines w:val="on"/>
                  </w:pPr>
                  <w:r>
                    <w:t>18,29%</w:t>
                  </w:r>
                </w:p>
              </w:tc>
              <w:tc>
                <w:tcPr>
                  <w:tcW w:type="auto" w:w="0"/>
                  <w:shd w:val="clear" w:color="auto" w:fill="F0F0F0"/>
                </w:tcPr>
                <w:p>
                  <w:pPr>
                    <w:pStyle w:val="Para 06"/>
                    <w:keepLines w:val="on"/>
                  </w:pPr>
                  <w:r>
                    <w:t>17,60%</w:t>
                  </w:r>
                </w:p>
              </w:tc>
            </w:tr>
            <w:tr>
              <w:tc>
                <w:tcPr>
                  <w:tcW w:type="auto" w:w="0"/>
                  <w:shd w:val="clear" w:color="auto" w:fill="F0F0F0"/>
                </w:tcPr>
                <w:p>
                  <w:pPr>
                    <w:pStyle w:val="Para 02"/>
                    <w:keepLines w:val="on"/>
                  </w:pPr>
                  <w:r>
                    <w:t>Chi phí vốn cổ phần lũy kế</w:t>
                  </w:r>
                </w:p>
              </w:tc>
              <w:tc>
                <w:tcPr>
                  <w:tcW w:type="auto" w:w="0"/>
                  <w:shd w:val="clear" w:color="auto" w:fill="F0F0F0"/>
                </w:tcPr>
                <w:p>
                  <w:pPr>
                    <w:pStyle w:val="Para 06"/>
                    <w:keepLines w:val="on"/>
                  </w:pPr>
                  <w:r>
                    <w:t>2,5098</w:t>
                  </w:r>
                </w:p>
              </w:tc>
              <w:tc>
                <w:tcPr>
                  <w:tcW w:type="auto" w:w="0"/>
                  <w:shd w:val="clear" w:color="auto" w:fill="F0F0F0"/>
                </w:tcPr>
                <w:p>
                  <w:pPr>
                    <w:pStyle w:val="Para 06"/>
                    <w:keepLines w:val="on"/>
                  </w:pPr>
                  <w:r>
                    <w:t>2,9860</w:t>
                  </w:r>
                </w:p>
              </w:tc>
              <w:tc>
                <w:tcPr>
                  <w:tcW w:type="auto" w:w="0"/>
                  <w:shd w:val="clear" w:color="auto" w:fill="F0F0F0"/>
                </w:tcPr>
                <w:p>
                  <w:pPr>
                    <w:pStyle w:val="Para 06"/>
                    <w:keepLines w:val="on"/>
                  </w:pPr>
                  <w:r>
                    <w:t>3.5320</w:t>
                  </w:r>
                </w:p>
              </w:tc>
              <w:tc>
                <w:tcPr>
                  <w:tcW w:type="auto" w:w="0"/>
                  <w:shd w:val="clear" w:color="auto" w:fill="F0F0F0"/>
                </w:tcPr>
                <w:p>
                  <w:pPr>
                    <w:pStyle w:val="Para 06"/>
                    <w:keepLines w:val="on"/>
                  </w:pPr>
                  <w:r>
                    <w:t>4.1536</w:t>
                  </w:r>
                </w:p>
              </w:tc>
            </w:tr>
            <w:tr>
              <w:tc>
                <w:tcPr>
                  <w:tcW w:type="auto" w:w="0"/>
                  <w:shd w:val="clear" w:color="auto" w:fill="F0F0F0"/>
                </w:tcPr>
                <w:p>
                  <w:pPr>
                    <w:pStyle w:val="Para 02"/>
                    <w:keepLines w:val="on"/>
                  </w:pPr>
                  <w:r>
                    <w:t>Giá trị hiện tại</w:t>
                  </w:r>
                </w:p>
              </w:tc>
              <w:tc>
                <w:tcPr>
                  <w:tcW w:type="auto" w:w="0"/>
                  <w:shd w:val="clear" w:color="auto" w:fill="F0F0F0"/>
                </w:tcPr>
                <w:p>
                  <w:pPr>
                    <w:pStyle w:val="Para 06"/>
                    <w:keepLines w:val="on"/>
                  </w:pPr>
                  <w:r>
                    <w:t>₹5.66</w:t>
                  </w:r>
                </w:p>
              </w:tc>
              <w:tc>
                <w:tcPr>
                  <w:tcW w:type="auto" w:w="0"/>
                  <w:shd w:val="clear" w:color="auto" w:fill="F0F0F0"/>
                </w:tcPr>
                <w:p>
                  <w:pPr>
                    <w:pStyle w:val="Para 06"/>
                    <w:keepLines w:val="on"/>
                  </w:pPr>
                  <w:r>
                    <w:t>₹8.69</w:t>
                  </w:r>
                </w:p>
              </w:tc>
              <w:tc>
                <w:tcPr>
                  <w:tcW w:type="auto" w:w="0"/>
                  <w:shd w:val="clear" w:color="auto" w:fill="F0F0F0"/>
                </w:tcPr>
                <w:p>
                  <w:pPr>
                    <w:pStyle w:val="Para 06"/>
                    <w:keepLines w:val="on"/>
                  </w:pPr>
                  <w:r>
                    <w:t>₹11.31</w:t>
                  </w:r>
                </w:p>
              </w:tc>
              <w:tc>
                <w:tcPr>
                  <w:tcW w:type="auto" w:w="0"/>
                  <w:shd w:val="clear" w:color="auto" w:fill="F0F0F0"/>
                </w:tcPr>
                <w:p>
                  <w:pPr>
                    <w:pStyle w:val="Para 06"/>
                    <w:keepLines w:val="on"/>
                  </w:pPr>
                  <w:r>
                    <w:t>Rs13.46</w:t>
                  </w:r>
                </w:p>
              </w:tc>
            </w:tr>
          </w:tbl>
          <w:p/>
        </w:tc>
      </w:tr>
    </w:tbl>
    <w:p>
      <w:pPr>
        <w:pStyle w:val="Para 04"/>
        <w:keepLines w:val="on"/>
      </w:pPr>
      <w:r>
        <w:t>Lưu ý rằng chi phí vốn chủ sở hữu (cost of equity) vào năm thứ 8 phản ánh mức bù rủi ro quốc gia (country risk premium) thấp hơn:</w:t>
      </w:r>
    </w:p>
    <w:p>
      <w:bookmarkStart w:id="4414" w:name="Cost_of_equity_in_year_8_12_00"/>
      <w:pPr>
        <w:keepNext/>
        <w:pStyle w:val="Para 07"/>
        <w:keepLines w:val="on"/>
      </w:pPr>
      <w:r>
        <w:t>Chi phí vốn chủ sở hữu năm thứ 8 = 12,00% + 0,80 × (4,00% + 3,00%) = 17,60%</w:t>
      </w:r>
      <w:bookmarkEnd w:id="4414"/>
    </w:p>
    <w:p>
      <w:pPr>
        <w:pStyle w:val="Para 04"/>
        <w:keepLines w:val="on"/>
      </w:pPr>
      <w:r>
        <w:t>Hệ số beta và mức bù rủi ro thị trường trưởng thành (mature market risk premium) 4% được giữ nguyên không đổi. Để tính giá trị hiện tại của cổ tức kỳ vọng trong giai đoạn chuyển tiếp, ta lũy kế chi phí vốn chủ sở hữu và chiết khấu các dòng tiền.2</w:t>
      </w:r>
    </w:p>
    <w:p>
      <w:bookmarkStart w:id="4416" w:name="Stable_Growth_1"/>
      <w:bookmarkStart w:id="4417" w:name="Stable_Growth_In_stable_growth"/>
      <w:pPr>
        <w:keepNext/>
        <w:pStyle w:val="Para 36"/>
        <w:keepLines w:val="on"/>
      </w:pPr>
      <w:r>
        <w:t>Tăng trưởng ổn định</w:t>
      </w:r>
      <w:bookmarkEnd w:id="4416"/>
      <w:bookmarkEnd w:id="4417"/>
    </w:p>
    <w:p>
      <w:pPr>
        <w:pStyle w:val="Para 04"/>
        <w:keepLines w:val="on"/>
      </w:pPr>
      <w:r>
        <w:t>Trong giai đoạn tăng trưởng ổn định, ta giả định rằng thu nhập và cổ tức của State Bank sẽ tăng trưởng vĩnh viễn ở mức 10% mỗi năm, và chiết khấu chúng theo chi phí vốn chủ sở hữu của giai đoạn ổn định là 17,60%. Giá trị hiện tại của cổ tức vĩnh viễn này, tạo ra giá trị cuối kỳ (terminal price) trên mỗi cổ phần, có thể được tính như sau:</w:t>
      </w:r>
    </w:p>
    <w:p>
      <w:bookmarkStart w:id="4418" w:name="Terminal_price_per_share_Expecte"/>
      <w:pPr>
        <w:keepNext/>
        <w:pStyle w:val="Para 07"/>
        <w:keepLines w:val="on"/>
      </w:pPr>
      <w:r>
        <w:t>Giá trị cuối kỳ trên mỗi cổ phần = EPS kỳ vọng năm thứ 9 × Tỷ lệ chi trả cổ tức năm thứ 9 / (Chi phí vốn chủ sở hữu − Tỷ lệ tăng trưởng ổn định) = 125,79 (1,10)(0,4444) / (0,176 − 0,10) = ₹809,18</w:t>
      </w:r>
      <w:bookmarkEnd w:id="4418"/>
    </w:p>
    <w:p>
      <w:bookmarkStart w:id="4419" w:name="Final_Valuation_The_final_value"/>
      <w:bookmarkStart w:id="4420" w:name="Final_Valuation"/>
      <w:pPr>
        <w:keepNext/>
        <w:pStyle w:val="Para 36"/>
        <w:keepLines w:val="on"/>
      </w:pPr>
      <w:r>
        <w:t>Định giá cuối cùng</w:t>
      </w:r>
      <w:bookmarkEnd w:id="4419"/>
      <w:bookmarkEnd w:id="4420"/>
    </w:p>
    <w:p>
      <w:pPr>
        <w:pStyle w:val="Para 04"/>
        <w:keepLines w:val="on"/>
      </w:pPr>
      <w:r>
        <w:t>Giá trị cuối cùng trên mỗi cổ phần của State Bank có thể được tính bằng cách cộng giá trị hiện tại của cổ tức trong giai đoạn tăng trưởng cao, cổ tức trong giai đoạn chuyển tiếp, và giá trị cuối kỳ vào cuối giai đoạn chuyển tiếp, được chiết khấu ngược lại tám năm bằng chi phí vốn chủ sở hữu lũy kế.</w:t>
      </w:r>
    </w:p>
    <w:p>
      <w:bookmarkStart w:id="4421" w:name="Value_per_share_PV_of_dividends"/>
      <w:pPr>
        <w:pStyle w:val="Para 52"/>
        <w:keepLines w:val="on"/>
      </w:pPr>
      <w:r>
        <w:t>Giá trị trên mỗi cổ phần = PV cổ tức: tăng trưởng cao + PV cổ tức: giai đoạn chuyển tiếp + PV giá trị cuối kỳ = 2,46 + 2,42 + 2,38 + 2,35 + 5,66 + 8,69 + 11,31 + 13,46 + 809,18 / 4,1536 = ₹243,55</w:t>
      </w:r>
      <w:bookmarkEnd w:id="4421"/>
    </w:p>
    <w:p>
      <w:pPr>
        <w:pStyle w:val="Para 04"/>
        <w:keepLines w:val="on"/>
      </w:pPr>
      <w:r>
        <w:t>Lưu ý rằng giá trị cuối kỳ được chiết khấu ngược lại theo chi phí vốn chủ sở hữu lũy kế cho năm thứ tám. Vào tháng 1 năm 2001, tại thời điểm định giá này, State Bank đang giao dịch ở mức ₹235 mỗi cổ phần.</w:t>
      </w:r>
    </w:p>
    <w:p>
      <w:bookmarkStart w:id="4422" w:name="Valuing_a_Non_dividend_Paying_Fi_1"/>
      <w:bookmarkStart w:id="4423" w:name="Valuing_a_Non_dividend_Paying_Fi"/>
      <w:pPr>
        <w:keepNext/>
        <w:pStyle w:val="Heading 4"/>
        <w:keepLines w:val="on"/>
      </w:pPr>
      <w:r>
        <w:t>Định giá một công ty dịch vụ tài chính không trả cổ tức</w:t>
      </w:r>
      <w:bookmarkEnd w:id="4422"/>
      <w:bookmarkEnd w:id="4423"/>
    </w:p>
    <w:p>
      <w:pPr>
        <w:pStyle w:val="Para 03"/>
      </w:pPr>
      <w:r>
        <w:t>Mặc dù nhiều công ty dịch vụ tài chính có trả cổ tức, nhưng trong những năm gần đây, một số lượng lớn các công ty dịch vụ tài chính trẻ đang tăng trưởng cao đã chọn không trả cổ tức và tái đầu tư toàn bộ thu nhập trở lại vào hoạt động kinh doanh. Thực tế, một số công ty trong số này còn thua lỗ. Mặc dù có vẻ không phù hợp khi sử dụng mô hình chiết khấu cổ tức (dividend discount model) để định giá những công ty như vậy, chúng tôi sẽ lập luận rằng mô hình này đủ linh hoạt để xử lý chúng. Vậy nếu cổ tức bằng không, làm sao ta có thể có được giá trị dương cho một cổ phần? Câu trả lời rất đơn giản, ít nhất là đối với những công ty hiện đang có thu nhập dương. Mặc dù cổ tức hiện tại bằng không và được kỳ vọng sẽ bằng không trong tương lai gần khi công ty đang tăng trưởng, nhưng tăng trưởng cuối cùng sẽ chậm lại. Khi tăng trưởng giảm xuống, khả năng chi trả cổ tức của công ty sẽ tăng lên. Thực tế, sử dụng phương trình cơ bản về tăng trưởng từ phần trước, ta có thể ước tính tỷ lệ chi trả cổ tức kỳ vọng trong các giai đoạn tương lai như sau:</w:t>
      </w:r>
    </w:p>
    <w:p>
      <w:bookmarkStart w:id="4425" w:name="Expected_payout_ratio_1_g_ROE"/>
      <w:pPr>
        <w:keepNext/>
        <w:pStyle w:val="Para 09"/>
        <w:keepLines w:val="on"/>
      </w:pPr>
      <w:r>
        <w:t>Tỷ lệ chi trả cổ tức kỳ vọng = 1 - g/ROE</w:t>
      </w:r>
      <w:bookmarkEnd w:id="4425"/>
    </w:p>
    <w:p>
      <w:pPr>
        <w:pStyle w:val="Para 03"/>
      </w:pPr>
      <w:r>
        <w:t>Vốn chủ sở hữu sẽ lấy giá trị của nó từ cổ tức kỳ vọng trong tương lai.</w:t>
      </w:r>
    </w:p>
    <w:p>
      <w:pPr>
        <w:pStyle w:val="Para 03"/>
      </w:pPr>
      <w:r>
        <w:t>Nếu thu nhập hiện tại âm, cơ chế sẽ phức tạp hơn một chút. Đầu tiên ta phải ước tính thu nhập trong các giai đoạn tương lai. Có thể giả định rằng ta sẽ kỳ vọng thu nhập trở nên dương trong một giai đoạn nào đó trong tương lai. (Nếu không, giá trị vốn chủ sở hữu sẽ bằng không, và việc định giá sẽ là không cần thiết.) Một khi thu nhập trở nên dương, phần còn lại của phân tích sẽ giống như những gì ta đã làm trước đó.</w:t>
      </w:r>
    </w:p>
    <w:p>
      <w:bookmarkStart w:id="4426" w:name="Cash_Flow_to_Equity_Models__At_t"/>
      <w:bookmarkStart w:id="4427" w:name="Cash_Flow_to_Equity_Models"/>
      <w:pPr>
        <w:keepNext/>
        <w:pStyle w:val="Heading 3"/>
        <w:keepLines w:val="on"/>
      </w:pPr>
      <w:r>
        <w:t>Mô hình dòng tiền cho vốn chủ sở hữu</w:t>
      </w:r>
      <w:bookmarkEnd w:id="4426"/>
      <w:bookmarkEnd w:id="4427"/>
    </w:p>
    <w:p>
      <w:pPr>
        <w:pStyle w:val="Para 03"/>
      </w:pPr>
      <w:r>
        <w:t>Ở đầu phần thảo luận này, chúng tôi đã lưu ý về khó khăn trong việc ước tính dòng tiền khi chi tiêu vốn ròng (net capital expenditures) và vốn lưu động phi tiền mặt (noncash working capital) không thể được xác định dễ dàng. Tuy nhiên, có thể ước tính dòng tiền cho vốn chủ sở hữu ngay cả đối với các công ty dịch vụ tài chính nếu ta định nghĩa việc tái đầu tư theo cách khác.</w:t>
      </w:r>
    </w:p>
    <w:p>
      <w:bookmarkStart w:id="4428" w:name="Defining_Cash_Flow_to_Equity"/>
      <w:bookmarkStart w:id="4429" w:name="Defining_Cash_Flow_to_Equity__Th"/>
      <w:pPr>
        <w:keepNext/>
        <w:pStyle w:val="Heading 4"/>
        <w:keepLines w:val="on"/>
      </w:pPr>
      <w:r>
        <w:t>Định nghĩa dòng tiền cho vốn chủ sở hữu</w:t>
      </w:r>
      <w:bookmarkEnd w:id="4428"/>
      <w:bookmarkEnd w:id="4429"/>
    </w:p>
    <w:p>
      <w:pPr>
        <w:pStyle w:val="Para 03"/>
      </w:pPr>
      <w:r>
        <w:t>Dòng tiền cho vốn chủ sở hữu (cash flow to equity) là dòng tiền còn lại cho nhà đầu tư vốn chủ sở hữu sau khi đã thanh toán các khoản nợ và đáp ứng nhu cầu tái đầu tư. Với các công ty dịch vụ tài chính, việc tái đầu tư thường không diễn ra dưới dạng nhà xưởng, thiết bị hay tài sản cố định khác. Thay vào đó, khoản đầu tư nằm ở vốn con người (human capital) và vốn theo quy định (regulatory capital); loại vốn sau là vốn được định nghĩa bởi các cơ quan quản lý, và đến lượt nó, quyết định giới hạn cho sự tăng trưởng trong tương lai. Có nhiều cách để chúng ta có thể đưa cả hai yếu tố này vào phần tái đầu tư.</w:t>
      </w:r>
    </w:p>
    <w:p>
      <w:bookmarkStart w:id="4430" w:name="Capitalize_Training_and_Employee"/>
      <w:pPr>
        <w:pStyle w:val="Para 21"/>
      </w:pPr>
      <w:r>
        <w:t>Vốn hóa chi phí đào tạo và phát triển nhân viên</w:t>
      </w:r>
      <w:bookmarkEnd w:id="4430"/>
    </w:p>
    <w:p>
      <w:pPr>
        <w:pStyle w:val="Para 03"/>
      </w:pPr>
      <w:r>
        <w:t>Nếu vốn con người là một nhân tố lớn quyết định sự thành công hay thất bại của một công ty dịch vụ tài chính, chúng ta có thể vốn hóa các khoản chi phí gắn với việc phát triển nguồn vốn này. Quy trình thực hiện điều đó gần như tương đồng với quy trình vốn hóa chi phí nghiên cứu và phát triển (R&amp;D) của các công ty công nghệ, và bao gồm năm bước sau:</w:t>
      </w:r>
    </w:p>
    <w:p>
      <w:pPr>
        <w:numPr>
          <w:ilvl w:val="0"/>
          <w:numId w:val="200"/>
        </w:numPr>
        <w:pStyle w:val="Para 01"/>
      </w:pPr>
      <w:r>
        <w:t>Xác định thời gian phân bổ của tài sản. Để xác định khoảng thời gian mà các khoản chi phí này sẽ được ghi giảm, chúng ta phải bắt đầu từ việc một nhân viên điển hình mà công ty đã đầu tư nguồn lực vào sẽ gắn bó với công ty trong bao lâu.</w:t>
      </w:r>
    </w:p>
    <w:p>
      <w:pPr>
        <w:numPr>
          <w:ilvl w:val="0"/>
          <w:numId w:val="200"/>
        </w:numPr>
        <w:pStyle w:val="Para 01"/>
      </w:pPr>
      <w:r>
        <w:t>Thu thập thông tin về chi phí nhân viên trong các năm trước. Số tiền công ty chi cho việc đào tạo và phát triển nhân viên trong các năm trước được thu thập, với số năm khớp với thời gian phân bổ đã xác định ở bước đầu tiên.</w:t>
      </w:r>
    </w:p>
    <w:p>
      <w:pPr>
        <w:numPr>
          <w:ilvl w:val="0"/>
          <w:numId w:val="200"/>
        </w:numPr>
        <w:pStyle w:val="Para 01"/>
      </w:pPr>
      <w:r>
        <w:t>Tính chi phí phân bổ của năm hiện tại. Chi phí trong mỗi năm trước đó được phân bổ. Với lịch phân bổ tuyến tính, chi phí sẽ được trải đều trong suốt thời gian phân bổ. Tổng cộng của việc phân bổ tất cả các khoản chi phí trong những năm trước sẽ trở thành chi phí phân bổ của năm hiện tại.</w:t>
      </w:r>
    </w:p>
    <w:p>
      <w:pPr>
        <w:numPr>
          <w:ilvl w:val="0"/>
          <w:numId w:val="200"/>
        </w:numPr>
        <w:pStyle w:val="Para 01"/>
      </w:pPr>
      <w:r>
        <w:t>Điều chỉnh thu nhập ròng của công ty. Thu nhập ròng của công ty được điều chỉnh cho việc vốn hóa chi phí nhân viên:</w:t>
      </w:r>
    </w:p>
    <w:p>
      <w:bookmarkStart w:id="4432" w:name="Adjusted_net_income_Reported_net"/>
      <w:pPr>
        <w:keepNext/>
        <w:pStyle w:val="Para 09"/>
        <w:keepLines w:val="on"/>
      </w:pPr>
      <w:r>
        <w:t>Thu nhập ròng điều chỉnh = Thu nhập ròng báo cáo + Chi phí phát triển nhân viên trong năm hiện tại - Phân bổ chi phí nhân viên (từ bước 3)</w:t>
      </w:r>
      <w:bookmarkEnd w:id="4432"/>
    </w:p>
    <w:p>
      <w:pPr>
        <w:numPr>
          <w:ilvl w:val="0"/>
          <w:numId w:val="200"/>
        </w:numPr>
        <w:pStyle w:val="Para 01"/>
      </w:pPr>
      <w:r>
        <w:t>Tính giá trị của vốn con người. Giá trị vốn con người trong công ty có thể được tính bằng cách cộng phần chưa phân bổ của chi phí phát triển nhân viên trong mỗi năm trước đó.</w:t>
      </w:r>
    </w:p>
    <w:p>
      <w:pPr>
        <w:pStyle w:val="Para 03"/>
      </w:pPr>
      <w:r>
        <w:t>Chi phí phát triển nhân viên khó vốn hóa hơn chi phí nghiên cứu và phát triển vì hai lý do. Thứ nhất, trong khi chi phí nghiên cứu thường được hợp nhất và báo cáo thành một khoản mục trên báo cáo tài chính, thì chi phí phát triển nhân viên lại có xu hướng phân tán rộng khắp công ty và có thể nằm trong nhiều khoản mục khác nhau trên báo cáo kết quả kinh doanh. Việc tách bạch những chi phí này khỏi lương và phúc lợi của nhân viên có thể rất khó thực hiện. Thứ hai, các bằng sáng chế và giấy phép phát sinh từ R&amp;D thuộc về công ty, và thường mang lại cho công ty quyền độc quyền trong việc sử dụng thương mại. Ngược lại, nhân viên của một công ty lại có thể di chuyển và có thể, và thường xuyên, chuyển sang các đối thủ cạnh tranh, những nơi đưa ra điều kiện tốt hơn cho họ.</w:t>
      </w:r>
    </w:p>
    <w:p>
      <w:pPr>
        <w:pStyle w:val="Para 03"/>
      </w:pPr>
      <w:r>
        <w:t>Giả sử rằng chúng ta có thể vượt qua những khó khăn thực tế này trong việc định giá vốn con người, hãy cùng xem xét các nhân tố quyết định giá trị mà vốn con người mang lại cho một công ty. Thứ nhất là tỷ lệ luân chuyển nhân viên (employee turnover ratio); khi tỷ lệ này tăng lên, thời gian phân bổ cho chi phí nhân viên sẽ giảm xuống, và kéo theo đó, giá trị vốn con người cũng giảm. Thứ hai liên quan đến nguồn lực mà công ty chi cho việc phát triển và đào tạo nhân viên; nguồn lực càng lớn thì giá trị gán cho vốn con người càng cao.</w:t>
      </w:r>
    </w:p>
    <w:p>
      <w:pPr>
        <w:pStyle w:val="Para 03"/>
      </w:pPr>
      <w:r>
        <w:t>Còn có một nhân tố thứ ba, và thường bị bỏ qua. Nếu chúng ta coi vốn con người như một tài sản, thì chính những khoản lợi nhuận vượt trội (excess returns) mà chúng ta tạo ra trên tài sản đó mới tạo nên giá trị. Để tạo ra lợi nhuận vượt trội, công ty sẽ phải trả cho một nhân viên ít hơn giá trị mà người đó tạo ra cho công ty. Để minh họa, một ngân hàng đầu tư sẽ chỉ tạo ra giá trị từ một nhà giao dịch trái phiếu làm việc cho mình nếu ngân hàng trả cho nhà giao dịch đó ít hơn lợi nhuận mà người đó tạo ra cho công ty. Tại sao nhà giao dịch đó lại chấp nhận mức thấp hơn? Một lý do có thể là ngân hàng đầu tư sở hữu một năng lực độc đáo nào đó giúp nhà giao dịch kiếm được những khoản lợi nhuận này; năng lực độc đáo đó có thể đến từ thông tin độc quyền, danh sách khách hàng, hoặc vị thế thị trường. Một lý do khác có thể mang tính phi kinh tế; nhà giao dịch có thể có đủ thiện chí với ngân hàng đầu tư đến mức sẵn sàng từ bỏ mức thù lao cao hơn ở nơi khác. Những công ty đối xử tốt với nhân viên và trung thành với họ trong lúc khó khăn thường dễ giành được thiện chí này hơn và nhờ đó có giá trị cao hơn.</w:t>
      </w:r>
    </w:p>
    <w:p>
      <w:bookmarkStart w:id="4434" w:name="Investments_in_Regulatory_Capita"/>
      <w:pPr>
        <w:pStyle w:val="Para 21"/>
      </w:pPr>
      <w:r>
        <w:t>Đầu tư vào vốn theo quy định</w:t>
      </w:r>
      <w:bookmarkEnd w:id="4434"/>
    </w:p>
    <w:p>
      <w:pPr>
        <w:pStyle w:val="Para 03"/>
      </w:pPr>
      <w:r>
        <w:t>Đối với một công ty dịch vụ tài chính được quản lý dựa trên các tỷ lệ vốn, phần thu nhập từ vốn chủ sở hữu không được chi trả sẽ làm tăng vốn chủ sở hữu của công ty và cho phép công ty mở rộng hoạt động. Ví dụ, một ngân hàng có tỷ lệ vốn chủ sở hữu 5% có thể cho vay 100 đô la cho mỗi 5 đô la vốn chủ sở hữu. Khi ngân hàng này báo cáo thu nhập ròng 15 triệu đô la và chỉ chi trả 5 triệu đô la, nó làm tăng vốn chủ sở hữu thêm 10 triệu đô la. Điều này, đến lượt nó, sẽ cho phép ngân hàng cho vay thêm 200 triệu đô la và có lẽ làm tăng tốc độ tăng trưởng của nó trong các giai đoạn tương lai.</w:t>
      </w:r>
    </w:p>
    <w:p>
      <w:pPr>
        <w:pStyle w:val="Para 03"/>
      </w:pPr>
      <w:r>
        <w:t>Dựa trên lập luận này, phần thu nhập ròng không được chi trả, dù dưới dạng cổ tức hay mua lại cổ phiếu, có thể được xem như khoản tái đầu tư. Tuy nhiên, điều đó chỉ đúng nếu công ty tận dụng được nền tảng vốn lớn hơn của mình và tăng trưởng. Nếu không, phần vốn chủ sở hữu được giữ lại giống như tiền mặt tích lũy trong công ty hơn là tái đầu tư. Một công ty báo cáo tỷ lệ vốn chủ sở hữu tăng lên theo thời gian, cao hơn hẳn giới hạn quy định, là công ty đang không sử dụng vốn chủ sở hữu của mình để tăng trưởng.</w:t>
      </w:r>
    </w:p>
    <w:p>
      <w:pPr>
        <w:pStyle w:val="Para 03"/>
      </w:pPr>
      <w:r>
        <w:t>Phần thu nhập ròng không được chi trả cho cổ đông cũng chính là lợi nhuận giữ lại, và nó cũng tích lũy vào giá trị sổ sách của vốn chủ sở hữu của công ty. Do đó, vốn theo quy định, ít nhất theo cách định nghĩa trong mô hình này, và giá trị sổ sách của vốn chủ sở hữu sẽ biến động đồng bộ trong mô hình này. Chính vì lý do này mà chúng tôi khuyến nghị sử dụng các thước đo hẹp nhất của vốn theo quy định; vốn cấp 1 (tier 1 capital), phần lớn được cấu thành từ vốn chủ sở hữu, phù hợp hơn vì lý do này so với vốn cấp 2 hoặc cấp 3.3</w:t>
      </w:r>
    </w:p>
    <w:p>
      <w:pPr>
        <w:pStyle w:val="Para 11"/>
      </w:pPr>
      <w:r>
        <w:t/>
        <w:t xml:space="preserve"> </w:t>
      </w:r>
    </w:p>
    <w:p>
      <w:bookmarkStart w:id="4438" w:name="ILLUSTRATION_21_3__Valuing_Deuts_1"/>
      <w:bookmarkStart w:id="4439" w:name="ILLUSTRATION_21_3__Valuing_Deuts"/>
      <w:pPr>
        <w:keepNext/>
        <w:pStyle w:val="Para 19"/>
        <w:keepLines w:val="on"/>
      </w:pPr>
      <w:r>
        <w:t>MINH HỌA 21.3: Định giá Deutsche Bank vào đầu năm 2009 bằng mô hình FCFE</w:t>
      </w:r>
      <w:bookmarkEnd w:id="4438"/>
      <w:bookmarkEnd w:id="4439"/>
    </w:p>
    <w:p>
      <w:pPr>
        <w:pStyle w:val="Para 04"/>
        <w:keepLines w:val="on"/>
      </w:pPr>
      <w:r>
        <w:t>Trong phần lớn thế kỷ trước, Deutsche Bank là một ngân hàng thương mại có lợi nhuận. Trong năm 2008, bối cảnh của các công ty dịch vụ tài chính đã thay đổi khi các ngân hàng bước vào chế độ khủng hoảng và thị trường tài chính sụp đổ. Sau khi ghi giảm hàng tỷ đô la, Deutsche Bank báo cáo khoản lỗ 3.835 triệu euro cho năm 2008 và cắt giảm cổ tức xuống còn 285 triệu euro. Mặc dù cả hai con số này đều không đại diện cho một điểm khởi đầu ổn định, chúng tôi đã đưa ra bốn giả định sau để định giá Deutsche Bank:</w:t>
      </w:r>
    </w:p>
    <w:p>
      <w:pPr>
        <w:numPr>
          <w:ilvl w:val="0"/>
          <w:numId w:val="201"/>
        </w:numPr>
        <w:pStyle w:val="Para 18"/>
        <w:keepLines w:val="on"/>
      </w:pPr>
      <w:r>
        <w:t>Thu nhập ròng phục hồi. Chúng tôi sẽ giả định rằng thu nhập ròng sẽ phục hồi lên 3,147 tỷ euro trong năm 2009, và dựa giả định này trên mức thu nhập được cải thiện của quý đầu tiên năm 2009 mà Deutsche Bank báo cáo (1,12 tỷ euro lợi nhuận quý) và mức thu nhập ròng trung bình giai đoạn 2003–2007 (khoảng 3,95 tỷ euro).</w:t>
      </w:r>
    </w:p>
    <w:p>
      <w:pPr>
        <w:numPr>
          <w:ilvl w:val="0"/>
          <w:numId w:val="201"/>
        </w:numPr>
        <w:pStyle w:val="Para 18"/>
        <w:keepLines w:val="on"/>
      </w:pPr>
      <w:r>
        <w:t>Nền tảng tài sản và ROE mục tiêu. Chúng tôi sẽ giả định rằng nền tảng tài sản hiện tại của công ty (312.882 triệu euro) sẽ tăng trưởng 4% mỗi năm trong năm năm tới, và rằng tỷ suất sinh lời trên vốn chủ sở hữu (return on equity) sẽ cải thiện lên 10% trong giai đoạn này.</w:t>
      </w:r>
    </w:p>
    <w:p>
      <w:pPr>
        <w:numPr>
          <w:ilvl w:val="0"/>
          <w:numId w:val="201"/>
        </w:numPr>
        <w:pStyle w:val="Para 18"/>
        <w:keepLines w:val="on"/>
      </w:pPr>
      <w:r>
        <w:t>Cổ tức tiềm năng. Thay vì tập trung vào cổ tức hiện tại, vốn đã bị cắt giảm mạnh, chúng tôi ước tính cổ tức tiềm năng, dựa trên giả định rằng công ty sẽ tiến tới tỷ lệ vốn theo quy định mục tiêu là 10%, giảm nhẹ so với tỷ lệ vốn theo quy định hiện tại là 10,20%.</w:t>
      </w:r>
    </w:p>
    <w:p>
      <w:pPr>
        <w:numPr>
          <w:ilvl w:val="0"/>
          <w:numId w:val="201"/>
        </w:numPr>
        <w:pStyle w:val="Para 18"/>
        <w:keepLines w:val="on"/>
      </w:pPr>
      <w:r>
        <w:t>Chi phí vốn chủ sở hữu. Để đi đến chi phí vốn chủ sở hữu, chúng tôi sử dụng beta từ dưới lên (bottom-up beta) là 1,162, phản ánh mức độ tiếp xúc của Deutsche Bank trong các mảng ngân hàng đầu tư và ngân hàng thương mại, kết hợp với lãi suất phi rủi ro bằng euro là 3,6% vào đầu năm 2009, và phần bù rủi ro vốn chủ sở hữu (equity risk premium) là 6% cho các thị trường phát triển.</w:t>
      </w:r>
    </w:p>
    <w:p>
      <w:bookmarkStart w:id="4440" w:name="Cost_of_equity_Risk_free_rate_Be_2"/>
      <w:pPr>
        <w:keepNext/>
        <w:pStyle w:val="Para 07"/>
        <w:keepLines w:val="on"/>
      </w:pPr>
      <w:r>
        <w:t>Chi phí vốn chủ sở hữu = Lãi suất phi rủi ro + Beta × (Phần bù rủi ro vốn chủ sở hữu) = 3,6% + 1,162 × (6%) = 10,572%</w:t>
      </w:r>
      <w:bookmarkEnd w:id="4440"/>
    </w:p>
    <w:p>
      <w:pPr>
        <w:pStyle w:val="Para 04"/>
        <w:keepLines w:val="on"/>
      </w:pPr>
      <w:r>
        <w:t>Bảng 21.3 tóm tắt các ước tính về thu nhập ròng, cổ tức tiềm năng, và giá trị hiện tại của những cổ tức này trong năm năm tới:</w:t>
      </w:r>
    </w:p>
    <w:p>
      <w:pPr>
        <w:pStyle w:val="Para 25"/>
        <w:keepLines w:val="on"/>
      </w:pPr>
      <w:r>
        <w:t>Bảng 21.3</w:t>
      </w:r>
    </w:p>
    <w:p>
      <w:pPr>
        <w:keepNext/>
        <w:pStyle w:val="Para 24"/>
        <w:keepLines w:val="on"/>
      </w:pPr>
      <w:r>
        <w:t>Cổ tức tiềm năng dự kiến (tính bằng triệu euro) trong Năm năm tới—Deutsche Bank năm 2009</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Hiện tại</w:t>
                  </w: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r>
            <w:tr>
              <w:tc>
                <w:tcPr>
                  <w:tcW w:type="auto" w:w="0"/>
                  <w:shd w:val="clear" w:color="auto" w:fill="F0F0F0"/>
                </w:tcPr>
                <w:p>
                  <w:pPr>
                    <w:pStyle w:val="Para 02"/>
                    <w:keepLines w:val="on"/>
                  </w:pPr>
                  <w:r>
                    <w:t>Cơ sở tài sản</w:t>
                  </w:r>
                </w:p>
              </w:tc>
              <w:tc>
                <w:tcPr>
                  <w:tcW w:type="auto" w:w="0"/>
                  <w:shd w:val="clear" w:color="auto" w:fill="F0F0F0"/>
                </w:tcPr>
                <w:p>
                  <w:pPr>
                    <w:pStyle w:val="Para 06"/>
                    <w:keepLines w:val="on"/>
                  </w:pPr>
                  <w:r>
                    <w:t>312.882</w:t>
                  </w:r>
                </w:p>
              </w:tc>
              <w:tc>
                <w:tcPr>
                  <w:tcW w:type="auto" w:w="0"/>
                  <w:shd w:val="clear" w:color="auto" w:fill="F0F0F0"/>
                </w:tcPr>
                <w:p>
                  <w:pPr>
                    <w:pStyle w:val="Para 06"/>
                    <w:keepLines w:val="on"/>
                  </w:pPr>
                  <w:r>
                    <w:t>325.398</w:t>
                  </w:r>
                </w:p>
              </w:tc>
              <w:tc>
                <w:tcPr>
                  <w:tcW w:type="auto" w:w="0"/>
                  <w:shd w:val="clear" w:color="auto" w:fill="F0F0F0"/>
                </w:tcPr>
                <w:p>
                  <w:pPr>
                    <w:pStyle w:val="Para 06"/>
                    <w:keepLines w:val="on"/>
                  </w:pPr>
                  <w:r>
                    <w:t>338.414</w:t>
                  </w:r>
                </w:p>
              </w:tc>
              <w:tc>
                <w:tcPr>
                  <w:tcW w:type="auto" w:w="0"/>
                  <w:shd w:val="clear" w:color="auto" w:fill="F0F0F0"/>
                </w:tcPr>
                <w:p>
                  <w:pPr>
                    <w:pStyle w:val="Para 06"/>
                    <w:keepLines w:val="on"/>
                  </w:pPr>
                  <w:r>
                    <w:t>351.950</w:t>
                  </w:r>
                </w:p>
              </w:tc>
              <w:tc>
                <w:tcPr>
                  <w:tcW w:type="auto" w:w="0"/>
                  <w:shd w:val="clear" w:color="auto" w:fill="F0F0F0"/>
                </w:tcPr>
                <w:p>
                  <w:pPr>
                    <w:pStyle w:val="Para 06"/>
                    <w:keepLines w:val="on"/>
                  </w:pPr>
                  <w:r>
                    <w:t>366.028</w:t>
                  </w:r>
                </w:p>
              </w:tc>
              <w:tc>
                <w:tcPr>
                  <w:tcW w:type="auto" w:w="0"/>
                  <w:shd w:val="clear" w:color="auto" w:fill="F0F0F0"/>
                </w:tcPr>
                <w:p>
                  <w:pPr>
                    <w:pStyle w:val="Para 06"/>
                    <w:keepLines w:val="on"/>
                  </w:pPr>
                  <w:r>
                    <w:t>380.669</w:t>
                  </w:r>
                </w:p>
              </w:tc>
            </w:tr>
            <w:tr>
              <w:tc>
                <w:tcPr>
                  <w:tcW w:type="auto" w:w="0"/>
                  <w:shd w:val="clear" w:color="auto" w:fill="F0F0F0"/>
                </w:tcPr>
                <w:p>
                  <w:pPr>
                    <w:pStyle w:val="Para 02"/>
                    <w:keepLines w:val="on"/>
                  </w:pPr>
                  <w:r>
                    <w:t>Tỷ lệ vốn</w:t>
                  </w:r>
                </w:p>
              </w:tc>
              <w:tc>
                <w:tcPr>
                  <w:tcW w:type="auto" w:w="0"/>
                  <w:shd w:val="clear" w:color="auto" w:fill="F0F0F0"/>
                </w:tcPr>
                <w:p>
                  <w:pPr>
                    <w:pStyle w:val="Para 06"/>
                    <w:keepLines w:val="on"/>
                  </w:pPr>
                  <w:r>
                    <w:t>10,20%</w:t>
                  </w:r>
                </w:p>
              </w:tc>
              <w:tc>
                <w:tcPr>
                  <w:tcW w:type="auto" w:w="0"/>
                  <w:shd w:val="clear" w:color="auto" w:fill="F0F0F0"/>
                </w:tcPr>
                <w:p>
                  <w:pPr>
                    <w:pStyle w:val="Para 06"/>
                    <w:keepLines w:val="on"/>
                  </w:pPr>
                  <w:r>
                    <w:t>10,16%</w:t>
                  </w:r>
                </w:p>
              </w:tc>
              <w:tc>
                <w:tcPr>
                  <w:tcW w:type="auto" w:w="0"/>
                  <w:shd w:val="clear" w:color="auto" w:fill="F0F0F0"/>
                </w:tcPr>
                <w:p>
                  <w:pPr>
                    <w:pStyle w:val="Para 06"/>
                    <w:keepLines w:val="on"/>
                  </w:pPr>
                  <w:r>
                    <w:t>10,12%</w:t>
                  </w:r>
                </w:p>
              </w:tc>
              <w:tc>
                <w:tcPr>
                  <w:tcW w:type="auto" w:w="0"/>
                  <w:shd w:val="clear" w:color="auto" w:fill="F0F0F0"/>
                </w:tcPr>
                <w:p>
                  <w:pPr>
                    <w:pStyle w:val="Para 06"/>
                    <w:keepLines w:val="on"/>
                  </w:pPr>
                  <w:r>
                    <w:t>10,08%</w:t>
                  </w:r>
                </w:p>
              </w:tc>
              <w:tc>
                <w:tcPr>
                  <w:tcW w:type="auto" w:w="0"/>
                  <w:shd w:val="clear" w:color="auto" w:fill="F0F0F0"/>
                </w:tcPr>
                <w:p>
                  <w:pPr>
                    <w:pStyle w:val="Para 06"/>
                    <w:keepLines w:val="on"/>
                  </w:pPr>
                  <w:r>
                    <w:t>10,04%</w:t>
                  </w:r>
                </w:p>
              </w:tc>
              <w:tc>
                <w:tcPr>
                  <w:tcW w:type="auto" w:w="0"/>
                  <w:shd w:val="clear" w:color="auto" w:fill="F0F0F0"/>
                </w:tcPr>
                <w:p>
                  <w:pPr>
                    <w:pStyle w:val="Para 06"/>
                    <w:keepLines w:val="on"/>
                  </w:pPr>
                  <w:r>
                    <w:t>10,00%</w:t>
                  </w:r>
                </w:p>
              </w:tc>
            </w:tr>
            <w:tr>
              <w:tc>
                <w:tcPr>
                  <w:tcW w:type="auto" w:w="0"/>
                  <w:shd w:val="clear" w:color="auto" w:fill="F0F0F0"/>
                </w:tcPr>
                <w:p>
                  <w:pPr>
                    <w:pStyle w:val="Para 02"/>
                    <w:keepLines w:val="on"/>
                  </w:pPr>
                  <w:r>
                    <w:t>Vốn theo quy định</w:t>
                  </w:r>
                </w:p>
              </w:tc>
              <w:tc>
                <w:tcPr>
                  <w:tcW w:type="auto" w:w="0"/>
                  <w:shd w:val="clear" w:color="auto" w:fill="F0F0F0"/>
                </w:tcPr>
                <w:p>
                  <w:pPr>
                    <w:pStyle w:val="Para 06"/>
                    <w:keepLines w:val="on"/>
                  </w:pPr>
                  <w:r>
                    <w:t>31.914</w:t>
                  </w:r>
                </w:p>
              </w:tc>
              <w:tc>
                <w:tcPr>
                  <w:tcW w:type="auto" w:w="0"/>
                  <w:shd w:val="clear" w:color="auto" w:fill="F0F0F0"/>
                </w:tcPr>
                <w:p>
                  <w:pPr>
                    <w:pStyle w:val="Para 06"/>
                    <w:keepLines w:val="on"/>
                  </w:pPr>
                  <w:r>
                    <w:t>33.060</w:t>
                  </w:r>
                </w:p>
              </w:tc>
              <w:tc>
                <w:tcPr>
                  <w:tcW w:type="auto" w:w="0"/>
                  <w:shd w:val="clear" w:color="auto" w:fill="F0F0F0"/>
                </w:tcPr>
                <w:p>
                  <w:pPr>
                    <w:pStyle w:val="Para 06"/>
                    <w:keepLines w:val="on"/>
                  </w:pPr>
                  <w:r>
                    <w:t>34.247</w:t>
                  </w:r>
                </w:p>
              </w:tc>
              <w:tc>
                <w:tcPr>
                  <w:tcW w:type="auto" w:w="0"/>
                  <w:shd w:val="clear" w:color="auto" w:fill="F0F0F0"/>
                </w:tcPr>
                <w:p>
                  <w:pPr>
                    <w:pStyle w:val="Para 06"/>
                    <w:keepLines w:val="on"/>
                  </w:pPr>
                  <w:r>
                    <w:t>35.477</w:t>
                  </w:r>
                </w:p>
              </w:tc>
              <w:tc>
                <w:tcPr>
                  <w:tcW w:type="auto" w:w="0"/>
                  <w:shd w:val="clear" w:color="auto" w:fill="F0F0F0"/>
                </w:tcPr>
                <w:p>
                  <w:pPr>
                    <w:pStyle w:val="Para 06"/>
                    <w:keepLines w:val="on"/>
                  </w:pPr>
                  <w:r>
                    <w:t>36.749</w:t>
                  </w:r>
                </w:p>
              </w:tc>
              <w:tc>
                <w:tcPr>
                  <w:tcW w:type="auto" w:w="0"/>
                  <w:shd w:val="clear" w:color="auto" w:fill="F0F0F0"/>
                </w:tcPr>
                <w:p>
                  <w:pPr>
                    <w:pStyle w:val="Para 06"/>
                    <w:keepLines w:val="on"/>
                  </w:pPr>
                  <w:r>
                    <w:t>38.067</w:t>
                  </w:r>
                </w:p>
              </w:tc>
            </w:tr>
            <w:tr>
              <w:tc>
                <w:tcPr>
                  <w:tcW w:type="auto" w:w="0"/>
                  <w:shd w:val="clear" w:color="auto" w:fill="F0F0F0"/>
                </w:tcPr>
                <w:p>
                  <w:pPr>
                    <w:pStyle w:val="Para 02"/>
                    <w:keepLines w:val="on"/>
                  </w:pPr>
                  <w:r>
                    <w:t>Thay đổi vốn điều lệ</w:t>
                  </w:r>
                </w:p>
              </w:tc>
              <w:tc>
                <w:tcPr>
                  <w:tcW w:type="auto" w:w="0"/>
                  <w:shd w:val="clear" w:color="auto" w:fill="F0F0F0"/>
                </w:tcPr>
                <w:p>
                  <w:pPr>
                    <w:pStyle w:val="3 Block"/>
                    <w:keepLines w:val="on"/>
                  </w:pPr>
                </w:p>
              </w:tc>
              <w:tc>
                <w:tcPr>
                  <w:tcW w:type="auto" w:w="0"/>
                  <w:shd w:val="clear" w:color="auto" w:fill="F0F0F0"/>
                </w:tcPr>
                <w:p>
                  <w:pPr>
                    <w:pStyle w:val="Para 06"/>
                    <w:keepLines w:val="on"/>
                  </w:pPr>
                  <w:r>
                    <w:t>1.146</w:t>
                  </w:r>
                </w:p>
              </w:tc>
              <w:tc>
                <w:tcPr>
                  <w:tcW w:type="auto" w:w="0"/>
                  <w:shd w:val="clear" w:color="auto" w:fill="F0F0F0"/>
                </w:tcPr>
                <w:p>
                  <w:pPr>
                    <w:pStyle w:val="Para 06"/>
                    <w:keepLines w:val="on"/>
                  </w:pPr>
                  <w:r>
                    <w:t>1.187</w:t>
                  </w:r>
                </w:p>
              </w:tc>
              <w:tc>
                <w:tcPr>
                  <w:tcW w:type="auto" w:w="0"/>
                  <w:shd w:val="clear" w:color="auto" w:fill="F0F0F0"/>
                </w:tcPr>
                <w:p>
                  <w:pPr>
                    <w:pStyle w:val="Para 06"/>
                    <w:keepLines w:val="on"/>
                  </w:pPr>
                  <w:r>
                    <w:t>1.229</w:t>
                  </w:r>
                </w:p>
              </w:tc>
              <w:tc>
                <w:tcPr>
                  <w:tcW w:type="auto" w:w="0"/>
                  <w:shd w:val="clear" w:color="auto" w:fill="F0F0F0"/>
                </w:tcPr>
                <w:p>
                  <w:pPr>
                    <w:pStyle w:val="Para 06"/>
                    <w:keepLines w:val="on"/>
                  </w:pPr>
                  <w:r>
                    <w:t>1.273</w:t>
                  </w:r>
                </w:p>
              </w:tc>
              <w:tc>
                <w:tcPr>
                  <w:tcW w:type="auto" w:w="0"/>
                  <w:shd w:val="clear" w:color="auto" w:fill="F0F0F0"/>
                </w:tcPr>
                <w:p>
                  <w:pPr>
                    <w:pStyle w:val="Para 06"/>
                    <w:keepLines w:val="on"/>
                  </w:pPr>
                  <w:r>
                    <w:t>1.318</w:t>
                  </w:r>
                </w:p>
              </w:tc>
            </w:tr>
            <w:tr>
              <w:tc>
                <w:tcPr>
                  <w:tcW w:type="auto" w:w="0"/>
                  <w:shd w:val="clear" w:color="auto" w:fill="F0F0F0"/>
                </w:tcPr>
                <w:p>
                  <w:pPr>
                    <w:pStyle w:val="Para 02"/>
                    <w:keepLines w:val="on"/>
                  </w:pPr>
                  <w:r>
                    <w:t>ROE</w:t>
                  </w:r>
                </w:p>
              </w:tc>
              <w:tc>
                <w:tcPr>
                  <w:tcW w:type="auto" w:w="0"/>
                  <w:shd w:val="clear" w:color="auto" w:fill="F0F0F0"/>
                </w:tcPr>
                <w:p>
                  <w:pPr>
                    <w:pStyle w:val="Para 06"/>
                    <w:keepLines w:val="on"/>
                  </w:pPr>
                  <w:r>
                    <w:t>9,40%</w:t>
                  </w:r>
                </w:p>
              </w:tc>
              <w:tc>
                <w:tcPr>
                  <w:tcW w:type="auto" w:w="0"/>
                  <w:shd w:val="clear" w:color="auto" w:fill="F0F0F0"/>
                </w:tcPr>
                <w:p>
                  <w:pPr>
                    <w:pStyle w:val="Para 06"/>
                    <w:keepLines w:val="on"/>
                  </w:pPr>
                  <w:r>
                    <w:t>9,52%</w:t>
                  </w:r>
                </w:p>
              </w:tc>
              <w:tc>
                <w:tcPr>
                  <w:tcW w:type="auto" w:w="0"/>
                  <w:shd w:val="clear" w:color="auto" w:fill="F0F0F0"/>
                </w:tcPr>
                <w:p>
                  <w:pPr>
                    <w:pStyle w:val="Para 06"/>
                    <w:keepLines w:val="on"/>
                  </w:pPr>
                  <w:r>
                    <w:t>9,64%</w:t>
                  </w:r>
                </w:p>
              </w:tc>
              <w:tc>
                <w:tcPr>
                  <w:tcW w:type="auto" w:w="0"/>
                  <w:shd w:val="clear" w:color="auto" w:fill="F0F0F0"/>
                </w:tcPr>
                <w:p>
                  <w:pPr>
                    <w:pStyle w:val="Para 06"/>
                    <w:keepLines w:val="on"/>
                  </w:pPr>
                  <w:r>
                    <w:t>9,76%</w:t>
                  </w:r>
                </w:p>
              </w:tc>
              <w:tc>
                <w:tcPr>
                  <w:tcW w:type="auto" w:w="0"/>
                  <w:shd w:val="clear" w:color="auto" w:fill="F0F0F0"/>
                </w:tcPr>
                <w:p>
                  <w:pPr>
                    <w:pStyle w:val="Para 06"/>
                    <w:keepLines w:val="on"/>
                  </w:pPr>
                  <w:r>
                    <w:t>9,88%</w:t>
                  </w:r>
                </w:p>
              </w:tc>
              <w:tc>
                <w:tcPr>
                  <w:tcW w:type="auto" w:w="0"/>
                  <w:shd w:val="clear" w:color="auto" w:fill="F0F0F0"/>
                </w:tcPr>
                <w:p>
                  <w:pPr>
                    <w:pStyle w:val="Para 06"/>
                    <w:keepLines w:val="on"/>
                  </w:pPr>
                  <w:r>
                    <w:t>10,00%</w:t>
                  </w:r>
                </w:p>
              </w:tc>
            </w:tr>
            <w:tr>
              <w:tc>
                <w:tcPr>
                  <w:tcW w:type="auto" w:w="0"/>
                  <w:shd w:val="clear" w:color="auto" w:fill="F0F0F0"/>
                </w:tcPr>
                <w:p>
                  <w:pPr>
                    <w:pStyle w:val="Para 02"/>
                    <w:keepLines w:val="on"/>
                  </w:pPr>
                  <w:r>
                    <w:t>Thu nhập ròng</w:t>
                  </w:r>
                </w:p>
              </w:tc>
              <w:tc>
                <w:tcPr>
                  <w:tcW w:type="auto" w:w="0"/>
                  <w:shd w:val="clear" w:color="auto" w:fill="F0F0F0"/>
                </w:tcPr>
                <w:p>
                  <w:pPr>
                    <w:pStyle w:val="Para 06"/>
                    <w:keepLines w:val="on"/>
                  </w:pPr>
                  <w:r>
                    <w:t>3.000</w:t>
                  </w:r>
                </w:p>
              </w:tc>
              <w:tc>
                <w:tcPr>
                  <w:tcW w:type="auto" w:w="0"/>
                  <w:shd w:val="clear" w:color="auto" w:fill="F0F0F0"/>
                </w:tcPr>
                <w:p>
                  <w:pPr>
                    <w:pStyle w:val="Para 06"/>
                    <w:keepLines w:val="on"/>
                  </w:pPr>
                  <w:r>
                    <w:t>3.147</w:t>
                  </w:r>
                </w:p>
              </w:tc>
              <w:tc>
                <w:tcPr>
                  <w:tcW w:type="auto" w:w="0"/>
                  <w:shd w:val="clear" w:color="auto" w:fill="F0F0F0"/>
                </w:tcPr>
                <w:p>
                  <w:pPr>
                    <w:pStyle w:val="Para 06"/>
                    <w:keepLines w:val="on"/>
                  </w:pPr>
                  <w:r>
                    <w:t>3.302</w:t>
                  </w:r>
                </w:p>
              </w:tc>
              <w:tc>
                <w:tcPr>
                  <w:tcW w:type="auto" w:w="0"/>
                  <w:shd w:val="clear" w:color="auto" w:fill="F0F0F0"/>
                </w:tcPr>
                <w:p>
                  <w:pPr>
                    <w:pStyle w:val="Para 06"/>
                    <w:keepLines w:val="on"/>
                  </w:pPr>
                  <w:r>
                    <w:t>3.463</w:t>
                  </w:r>
                </w:p>
              </w:tc>
              <w:tc>
                <w:tcPr>
                  <w:tcW w:type="auto" w:w="0"/>
                  <w:shd w:val="clear" w:color="auto" w:fill="F0F0F0"/>
                </w:tcPr>
                <w:p>
                  <w:pPr>
                    <w:pStyle w:val="Para 06"/>
                    <w:keepLines w:val="on"/>
                  </w:pPr>
                  <w:r>
                    <w:t>3.631</w:t>
                  </w:r>
                </w:p>
              </w:tc>
              <w:tc>
                <w:tcPr>
                  <w:tcW w:type="auto" w:w="0"/>
                  <w:shd w:val="clear" w:color="auto" w:fill="F0F0F0"/>
                </w:tcPr>
                <w:p>
                  <w:pPr>
                    <w:pStyle w:val="Para 06"/>
                    <w:keepLines w:val="on"/>
                  </w:pPr>
                  <w:r>
                    <w:t>3.807</w:t>
                  </w:r>
                </w:p>
              </w:tc>
            </w:tr>
            <w:tr>
              <w:tc>
                <w:tcPr>
                  <w:tcW w:type="auto" w:w="0"/>
                  <w:shd w:val="clear" w:color="auto" w:fill="F0F0F0"/>
                </w:tcPr>
                <w:p>
                  <w:pPr>
                    <w:pStyle w:val="Para 02"/>
                    <w:keepLines w:val="on"/>
                  </w:pPr>
                  <w:r>
                    <w:t>–Đầu tư vào vốn điều lệ</w:t>
                  </w:r>
                </w:p>
              </w:tc>
              <w:tc>
                <w:tcPr>
                  <w:tcW w:type="auto" w:w="0"/>
                  <w:shd w:val="clear" w:color="auto" w:fill="F0F0F0"/>
                </w:tcPr>
                <w:p>
                  <w:pPr>
                    <w:pStyle w:val="3 Block"/>
                    <w:keepLines w:val="on"/>
                  </w:pPr>
                </w:p>
              </w:tc>
              <w:tc>
                <w:tcPr>
                  <w:tcW w:type="auto" w:w="0"/>
                  <w:shd w:val="clear" w:color="auto" w:fill="F0F0F0"/>
                </w:tcPr>
                <w:p>
                  <w:pPr>
                    <w:pStyle w:val="Para 06"/>
                    <w:keepLines w:val="on"/>
                  </w:pPr>
                  <w:r>
                    <w:t>1.146</w:t>
                  </w:r>
                </w:p>
              </w:tc>
              <w:tc>
                <w:tcPr>
                  <w:tcW w:type="auto" w:w="0"/>
                  <w:shd w:val="clear" w:color="auto" w:fill="F0F0F0"/>
                </w:tcPr>
                <w:p>
                  <w:pPr>
                    <w:pStyle w:val="Para 06"/>
                    <w:keepLines w:val="on"/>
                  </w:pPr>
                  <w:r>
                    <w:t>1.187</w:t>
                  </w:r>
                </w:p>
              </w:tc>
              <w:tc>
                <w:tcPr>
                  <w:tcW w:type="auto" w:w="0"/>
                  <w:shd w:val="clear" w:color="auto" w:fill="F0F0F0"/>
                </w:tcPr>
                <w:p>
                  <w:pPr>
                    <w:pStyle w:val="Para 06"/>
                    <w:keepLines w:val="on"/>
                  </w:pPr>
                  <w:r>
                    <w:t>1.229</w:t>
                  </w:r>
                </w:p>
              </w:tc>
              <w:tc>
                <w:tcPr>
                  <w:tcW w:type="auto" w:w="0"/>
                  <w:shd w:val="clear" w:color="auto" w:fill="F0F0F0"/>
                </w:tcPr>
                <w:p>
                  <w:pPr>
                    <w:pStyle w:val="Para 06"/>
                    <w:keepLines w:val="on"/>
                  </w:pPr>
                  <w:r>
                    <w:t>1.273</w:t>
                  </w:r>
                </w:p>
              </w:tc>
              <w:tc>
                <w:tcPr>
                  <w:tcW w:type="auto" w:w="0"/>
                  <w:shd w:val="clear" w:color="auto" w:fill="F0F0F0"/>
                </w:tcPr>
                <w:p>
                  <w:pPr>
                    <w:pStyle w:val="Para 06"/>
                    <w:keepLines w:val="on"/>
                  </w:pPr>
                  <w:r>
                    <w:t>1.318</w:t>
                  </w:r>
                </w:p>
              </w:tc>
            </w:tr>
            <w:tr>
              <w:tc>
                <w:tcPr>
                  <w:tcW w:type="auto" w:w="0"/>
                  <w:shd w:val="clear" w:color="auto" w:fill="F0F0F0"/>
                </w:tcPr>
                <w:p>
                  <w:pPr>
                    <w:pStyle w:val="Para 02"/>
                    <w:keepLines w:val="on"/>
                  </w:pPr>
                  <w:r>
                    <w:t>FCFE (cổ tức tiềm năng)</w:t>
                  </w:r>
                </w:p>
              </w:tc>
              <w:tc>
                <w:tcPr>
                  <w:tcW w:type="auto" w:w="0"/>
                  <w:shd w:val="clear" w:color="auto" w:fill="F0F0F0"/>
                </w:tcPr>
                <w:p>
                  <w:pPr>
                    <w:pStyle w:val="3 Block"/>
                    <w:keepLines w:val="on"/>
                  </w:pPr>
                </w:p>
              </w:tc>
              <w:tc>
                <w:tcPr>
                  <w:tcW w:type="auto" w:w="0"/>
                  <w:shd w:val="clear" w:color="auto" w:fill="F0F0F0"/>
                </w:tcPr>
                <w:p>
                  <w:pPr>
                    <w:pStyle w:val="Para 06"/>
                    <w:keepLines w:val="on"/>
                  </w:pPr>
                  <w:r>
                    <w:t>2.001</w:t>
                  </w:r>
                </w:p>
              </w:tc>
              <w:tc>
                <w:tcPr>
                  <w:tcW w:type="auto" w:w="0"/>
                  <w:shd w:val="clear" w:color="auto" w:fill="F0F0F0"/>
                </w:tcPr>
                <w:p>
                  <w:pPr>
                    <w:pStyle w:val="Para 06"/>
                    <w:keepLines w:val="on"/>
                  </w:pPr>
                  <w:r>
                    <w:t>2.114</w:t>
                  </w:r>
                </w:p>
              </w:tc>
              <w:tc>
                <w:tcPr>
                  <w:tcW w:type="auto" w:w="0"/>
                  <w:shd w:val="clear" w:color="auto" w:fill="F0F0F0"/>
                </w:tcPr>
                <w:p>
                  <w:pPr>
                    <w:pStyle w:val="Para 06"/>
                    <w:keepLines w:val="on"/>
                  </w:pPr>
                  <w:r>
                    <w:t>2.233</w:t>
                  </w:r>
                </w:p>
              </w:tc>
              <w:tc>
                <w:tcPr>
                  <w:tcW w:type="auto" w:w="0"/>
                  <w:shd w:val="clear" w:color="auto" w:fill="F0F0F0"/>
                </w:tcPr>
                <w:p>
                  <w:pPr>
                    <w:pStyle w:val="Para 06"/>
                    <w:keepLines w:val="on"/>
                  </w:pPr>
                  <w:r>
                    <w:t>2.358</w:t>
                  </w:r>
                </w:p>
              </w:tc>
              <w:tc>
                <w:tcPr>
                  <w:tcW w:type="auto" w:w="0"/>
                  <w:shd w:val="clear" w:color="auto" w:fill="F0F0F0"/>
                </w:tcPr>
                <w:p>
                  <w:pPr>
                    <w:pStyle w:val="Para 06"/>
                    <w:keepLines w:val="on"/>
                  </w:pPr>
                  <w:r>
                    <w:t>2.489</w:t>
                  </w:r>
                </w:p>
              </w:tc>
            </w:tr>
            <w:tr>
              <w:tc>
                <w:tcPr>
                  <w:tcW w:type="auto" w:w="0"/>
                  <w:shd w:val="clear" w:color="auto" w:fill="F0F0F0"/>
                </w:tcPr>
                <w:p>
                  <w:pPr>
                    <w:pStyle w:val="Para 02"/>
                    <w:keepLines w:val="on"/>
                  </w:pPr>
                  <w:r>
                    <w:t>Giá trị hiện tại @ 10,572%</w:t>
                  </w:r>
                </w:p>
              </w:tc>
              <w:tc>
                <w:tcPr>
                  <w:tcW w:type="auto" w:w="0"/>
                  <w:shd w:val="clear" w:color="auto" w:fill="F0F0F0"/>
                </w:tcPr>
                <w:p>
                  <w:pPr>
                    <w:pStyle w:val="3 Block"/>
                    <w:keepLines w:val="on"/>
                  </w:pPr>
                </w:p>
              </w:tc>
              <w:tc>
                <w:tcPr>
                  <w:tcW w:type="auto" w:w="0"/>
                  <w:shd w:val="clear" w:color="auto" w:fill="F0F0F0"/>
                </w:tcPr>
                <w:p>
                  <w:pPr>
                    <w:pStyle w:val="Para 06"/>
                    <w:keepLines w:val="on"/>
                  </w:pPr>
                  <w:r>
                    <w:t>1.810</w:t>
                  </w:r>
                </w:p>
              </w:tc>
              <w:tc>
                <w:tcPr>
                  <w:tcW w:type="auto" w:w="0"/>
                  <w:shd w:val="clear" w:color="auto" w:fill="F0F0F0"/>
                </w:tcPr>
                <w:p>
                  <w:pPr>
                    <w:pStyle w:val="Para 06"/>
                    <w:keepLines w:val="on"/>
                  </w:pPr>
                  <w:r>
                    <w:t>1.729</w:t>
                  </w:r>
                </w:p>
              </w:tc>
              <w:tc>
                <w:tcPr>
                  <w:tcW w:type="auto" w:w="0"/>
                  <w:shd w:val="clear" w:color="auto" w:fill="F0F0F0"/>
                </w:tcPr>
                <w:p>
                  <w:pPr>
                    <w:pStyle w:val="Para 06"/>
                    <w:keepLines w:val="on"/>
                  </w:pPr>
                  <w:r>
                    <w:t>1.652</w:t>
                  </w:r>
                </w:p>
              </w:tc>
              <w:tc>
                <w:tcPr>
                  <w:tcW w:type="auto" w:w="0"/>
                  <w:shd w:val="clear" w:color="auto" w:fill="F0F0F0"/>
                </w:tcPr>
                <w:p>
                  <w:pPr>
                    <w:pStyle w:val="Para 06"/>
                    <w:keepLines w:val="on"/>
                  </w:pPr>
                  <w:r>
                    <w:t>1.578</w:t>
                  </w:r>
                </w:p>
              </w:tc>
              <w:tc>
                <w:tcPr>
                  <w:tcW w:type="auto" w:w="0"/>
                  <w:shd w:val="clear" w:color="auto" w:fill="F0F0F0"/>
                </w:tcPr>
                <w:p>
                  <w:pPr>
                    <w:pStyle w:val="Para 06"/>
                    <w:keepLines w:val="on"/>
                  </w:pPr>
                  <w:r>
                    <w:t>1.506</w:t>
                  </w:r>
                </w:p>
              </w:tc>
            </w:tr>
          </w:tbl>
          <w:p/>
        </w:tc>
      </w:tr>
    </w:tbl>
    <w:p>
      <w:pPr>
        <w:pStyle w:val="Para 04"/>
        <w:keepLines w:val="on"/>
      </w:pPr>
      <w:r>
        <w:t>Tổng giá trị hiện tại của cổ tức tiềm năng trong giai đoạn năm năm là 8.275 triệu euro. Vào cuối năm thứ 5, chúng ta giả định rằng công ty sẽ bước vào giai đoạn tăng trưởng ổn định, tăng 3% mỗi năm mãi mãi. Ngoài ra, chúng ta cũng sẽ giả định rằng beta sẽ giảm xuống còn 1, khiến chi phí vốn chủ sở hữu giảm xuống còn 9,60%.</w:t>
      </w:r>
    </w:p>
    <w:p>
      <w:bookmarkStart w:id="4443" w:name="Cost_of_equity_Risk_free_rate_Be_3"/>
      <w:pPr>
        <w:keepNext/>
        <w:pStyle w:val="Para 07"/>
        <w:keepLines w:val="on"/>
      </w:pPr>
      <w:r>
        <w:t>Chi phí vốn chủ sở hữu = Lãi suất phi rủi ro + Beta × Phần bù rủi ro vốn chủ sở hữu = 3,6% + 1 × (6%) = 9,60%</w:t>
      </w:r>
      <w:bookmarkEnd w:id="4443"/>
    </w:p>
    <w:p>
      <w:pPr>
        <w:pStyle w:val="Para 04"/>
        <w:keepLines w:val="on"/>
      </w:pPr>
      <w:r>
        <w:t>Tỷ suất sinh lời trên vốn chủ sở hữu sau năm thứ 5 sẽ bằng chi phí vốn chủ sở hữu của giai đoạn ổn định là 9,60%.</w:t>
      </w:r>
    </w:p>
    <w:p>
      <w:pPr>
        <w:pStyle w:val="Para 04"/>
        <w:keepLines w:val="on"/>
      </w:pPr>
      <w:r>
        <w:t>Với tốc độ tăng trưởng kỳ vọng 3% sau năm thứ năm và ROE ổn định là 9,60%, tỷ lệ chi trả tiền mặt tiềm năng trong giai đoạn tăng trưởng ổn định là 68,75%.</w:t>
      </w:r>
    </w:p>
    <w:p>
      <w:bookmarkStart w:id="4444" w:name="Stable_payout_ratio__1__Stable_g"/>
      <w:pPr>
        <w:keepNext/>
        <w:pStyle w:val="Para 07"/>
        <w:keepLines w:val="on"/>
      </w:pPr>
      <w:r>
        <w:t>Tỷ lệ chi trả ổn định = 1 - Tốc độ tăng trưởng ổn định / ROE ổn định = 1 - 0,03 / 0,096 = 68,75%</w:t>
      </w:r>
      <w:bookmarkEnd w:id="4444"/>
    </w:p>
    <w:p>
      <w:pPr>
        <w:pStyle w:val="Para 04"/>
        <w:keepLines w:val="on"/>
      </w:pPr>
      <w:r>
        <w:t>Giá trị vốn chủ sở hữu vào cuối năm thứ 5 có thể được ước tính như sau:</w:t>
      </w:r>
    </w:p>
    <w:p>
      <w:bookmarkStart w:id="4445" w:name="Terminal_value_of_equity_Expecte"/>
      <w:pPr>
        <w:keepNext/>
        <w:pStyle w:val="Para 07"/>
        <w:keepLines w:val="on"/>
      </w:pPr>
      <w:r>
        <w:t>Giá trị kết thúc của vốn chủ sở hữu = Thu nhập kỳ vọng năm 6 × Tỷ lệ chi trả ổn định / (Chi phí vốn chủ sở hữu - Tốc độ tăng trưởng ổn định) = 3.807 × 1,03 × 0,6875 / (0,096 - 0,03) = 39.728 triệu euro</w:t>
      </w:r>
      <w:bookmarkEnd w:id="4445"/>
    </w:p>
    <w:p>
      <w:pPr>
        <w:pStyle w:val="Para 04"/>
        <w:keepLines w:val="on"/>
      </w:pPr>
      <w:r>
        <w:t>Chiết khấu giá trị kết thúc về hiện tại theo chi phí vốn chủ sở hữu của giai đoạn tăng trưởng cao:</w:t>
      </w:r>
    </w:p>
    <w:p>
      <w:bookmarkStart w:id="4446" w:name="PV_of_terminal_value___Terminal"/>
      <w:pPr>
        <w:keepNext/>
        <w:pStyle w:val="Para 07"/>
        <w:keepLines w:val="on"/>
      </w:pPr>
      <w:r>
        <w:t>PV của giá trị kết thúc = Giá trị kết thúc vào năm n / (1 + Chi phí vốn chủ sở hữu giai đoạn tăng trưởng cao)^n = 39.728 / (1,10572)^5 = 24.036 triệu euro</w:t>
      </w:r>
      <w:bookmarkEnd w:id="4446"/>
    </w:p>
    <w:p>
      <w:pPr>
        <w:pStyle w:val="Para 04"/>
        <w:keepLines w:val="on"/>
      </w:pPr>
      <w:r>
        <w:t>Cộng thêm giá trị hiện tại của cổ tức vào con số này sẽ cho ra giá trị vốn chủ sở hữu của Deutsche Bank vào đầu năm 2009:</w:t>
      </w:r>
    </w:p>
    <w:p>
      <w:bookmarkStart w:id="4447" w:name="Value_of_equity___EU8_275_millio"/>
      <w:pPr>
        <w:keepNext/>
        <w:pStyle w:val="Para 07"/>
        <w:keepLines w:val="on"/>
      </w:pPr>
      <w:r>
        <w:t>Giá trị vốn chủ sở hữu = 8.275 triệu euro + 24.036 triệu euro = 32.311 triệu euro</w:t>
      </w:r>
      <w:bookmarkEnd w:id="4447"/>
    </w:p>
    <w:p>
      <w:pPr>
        <w:pStyle w:val="Para 04"/>
        <w:keepLines w:val="on"/>
      </w:pPr>
      <w:r>
        <w:t>Chia cho số cổ phiếu đang lưu hành vào đầu năm 2009 (581,85 triệu cổ phiếu), ta có thể tính được giá trị vốn chủ sở hữu trên mỗi cổ phiếu:</w:t>
      </w:r>
    </w:p>
    <w:p>
      <w:bookmarkStart w:id="4448" w:name="Value_of_equity_per_share___Valu"/>
      <w:pPr>
        <w:keepNext/>
        <w:pStyle w:val="Para 07"/>
        <w:keepLines w:val="on"/>
      </w:pPr>
      <w:r>
        <w:t>Giá trị vốn chủ sở hữu trên mỗi cổ phiếu = Giá trị vốn chủ sở hữu / Số cổ phiếu = 32.311 / 581,85 = 55,53 euro/cổ phiếu</w:t>
      </w:r>
      <w:bookmarkEnd w:id="4448"/>
    </w:p>
    <w:p>
      <w:pPr>
        <w:pStyle w:val="Para 04"/>
        <w:keepLines w:val="on"/>
      </w:pPr>
      <w:r>
        <w:t>Vào tháng 6 năm 2009, Deutsche Bank đang giao dịch ở mức 48,06 euro mỗi cổ phiếu và có vẻ hơi bị định giá thấp.</w:t>
      </w:r>
    </w:p>
    <w:p>
      <w:pPr>
        <w:pStyle w:val="Para 11"/>
      </w:pPr>
      <w:r>
        <w:t/>
        <w:t xml:space="preserve"> </w:t>
      </w:r>
    </w:p>
    <w:p>
      <w:bookmarkStart w:id="4449" w:name="Why_Earnings_Are_Not_Cash_Flows_1"/>
      <w:bookmarkStart w:id="4450" w:name="Why_Earnings_Are_Not_Cash_Flows"/>
      <w:pPr>
        <w:keepNext/>
        <w:pStyle w:val="Para 27"/>
        <w:keepLines w:val="on"/>
      </w:pPr>
      <w:r>
        <w:t>Vì sao lợi nhuận không phải là dòng tiền</w:t>
      </w:r>
      <w:bookmarkEnd w:id="4449"/>
      <w:bookmarkEnd w:id="4450"/>
    </w:p>
    <w:p>
      <w:pPr>
        <w:pStyle w:val="Para 16"/>
        <w:keepLines w:val="on"/>
      </w:pPr>
      <w:r>
        <w:t>Có một số nhà phân tích định giá ngân hàng bằng cách chiết khấu lợi nhuận của chúng về hiện tại. Họ lập luận rằng các ngân hàng có rất ít hoặc không có nhu cầu chi tiêu vốn ròng, và nhu cầu vốn lưu động (ví dụ: hàng tồn kho, khoản phải thu, v.v.) là không tồn tại. Vấn đề nằm ở chỗ, họ lại ghép việc chiết khấu lợi nhuận với một tốc độ tăng trưởng kỳ vọng của chính khoản lợi nhuận đó. Điều này rõ ràng là không nhất quán.</w:t>
      </w:r>
    </w:p>
    <w:p>
      <w:pPr>
        <w:pStyle w:val="Para 16"/>
        <w:keepLines w:val="on"/>
      </w:pPr>
      <w:r>
        <w:t>Để thấy vì sao, hãy xét một ngân hàng chi trả 100 phần trăm lợi nhuận của mình dưới dạng cổ tức. Nếu công ty này không phát hành thêm vốn chủ sở hữu, vốn chủ sở hữu trên sổ sách của nó sẽ mãi mãi đóng băng ở mức hiện tại. Nếu ngân hàng này tiếp tục mở rộng danh mục cho vay, sớm muộn gì nó cũng sẽ rơi vào tình trạng tỷ lệ vốn thấp hơn mức tối thiểu theo quy định.</w:t>
      </w:r>
    </w:p>
    <w:p>
      <w:pPr>
        <w:pStyle w:val="Para 16"/>
        <w:keepLines w:val="on"/>
      </w:pPr>
      <w:r>
        <w:t>Đó là lý do vì sao việc tái đầu tư phải bao gồm các khoản đầu tư vào vốn theo quy định, các thương vụ mua lại và những khoản đầu tư tương tự khác mà ngân hàng cần thực hiện để tiếp tục tăng trưởng. Đó cũng là lý do vì sao ngay cả những ngân hàng đã trưởng thành với tốc độ tăng trưởng thấp cũng không thể chi trả 100 phần trăm lợi nhuận của mình dưới dạng cổ tức.</w:t>
      </w:r>
    </w:p>
    <w:p>
      <w:bookmarkStart w:id="4452" w:name="Excess_Return_Models__The_third"/>
      <w:bookmarkStart w:id="4453" w:name="Excess_Return_Models"/>
      <w:pPr>
        <w:keepNext/>
        <w:pStyle w:val="Heading 3"/>
        <w:keepLines w:val="on"/>
      </w:pPr>
      <w:r>
        <w:t>Mô hình lợi nhuận vượt trội</w:t>
      </w:r>
      <w:bookmarkEnd w:id="4452"/>
      <w:bookmarkEnd w:id="4453"/>
    </w:p>
    <w:p>
      <w:pPr>
        <w:pStyle w:val="Para 03"/>
      </w:pPr>
      <w:r>
        <w:t>Cách tiếp cận thứ ba để định giá các công ty dịch vụ tài chính là sử dụng mô hình lợi nhuận vượt trội (excess return model). Trong mô hình này, giá trị của một công ty có thể được viết dưới dạng tổng của vốn đã đầu tư hiện tại vào công ty và giá trị hiện tại của những khoản lợi nhuận vượt trội bằng đồng mà công ty kỳ vọng đạt được trong tương lai. Phần này sẽ xem xét cách áp dụng mô hình này để định giá vốn chủ sở hữu của một ngân hàng.</w:t>
      </w:r>
    </w:p>
    <w:p>
      <w:bookmarkStart w:id="4454" w:name="Basic_Model"/>
      <w:bookmarkStart w:id="4455" w:name="Basic_Model__Given_the_difficult"/>
      <w:pPr>
        <w:keepNext/>
        <w:pStyle w:val="Heading 4"/>
        <w:keepLines w:val="on"/>
      </w:pPr>
      <w:r>
        <w:t>Mô hình cơ bản</w:t>
      </w:r>
      <w:bookmarkEnd w:id="4454"/>
      <w:bookmarkEnd w:id="4455"/>
    </w:p>
    <w:p>
      <w:pPr>
        <w:pStyle w:val="Para 03"/>
      </w:pPr>
      <w:r>
        <w:t>Do khó khăn trong việc xác định tổng vốn của một công ty dịch vụ tài chính, sẽ hợp lý hơn nhiều nếu chỉ tập trung vào vốn chủ sở hữu khi dùng mô hình lợi nhuận vượt trội để định giá một công ty dịch vụ tài chính. Giá trị vốn chủ sở hữu của một công ty có thể được viết dưới dạng tổng của vốn chủ sở hữu đã đầu tư vào các khoản đầu tư hiện tại của công ty và lợi nhuận vượt trội kỳ vọng dành cho các nhà đầu tư vốn chủ sở hữu từ những khoản đầu tư này và các khoản đầu tư trong tương lai.</w:t>
      </w:r>
    </w:p>
    <w:p>
      <w:bookmarkStart w:id="4456" w:name="Value_of_equity_Current_equity_c"/>
      <w:pPr>
        <w:keepNext/>
        <w:pStyle w:val="Para 09"/>
        <w:keepLines w:val="on"/>
      </w:pPr>
      <w:r>
        <w:t>Giá trị vốn chủ sở hữu = Vốn chủ sở hữu hiện tại + Giá trị hiện tại của lợi nhuận vượt trội kỳ vọng dành cho nhà đầu tư vốn chủ sở hữu</w:t>
      </w:r>
      <w:bookmarkEnd w:id="4456"/>
    </w:p>
    <w:p>
      <w:pPr>
        <w:pStyle w:val="Para 03"/>
      </w:pPr>
      <w:r>
        <w:t>Khía cạnh thú vị nhất của mô hình này là nó tập trung vào lợi nhuận vượt trội. Một công ty đầu tư vốn chủ sở hữu của mình và chỉ kiếm được tỷ suất sinh lợi đúng bằng mức hợp lý trên thị trường từ những khoản đầu tư đó sẽ thấy giá trị thị trường vốn chủ sở hữu của mình hội tụ về mức vốn chủ sở hữu hiện đang được đầu tư vào công ty. Một công ty kiếm được tỷ suất sinh lợi dưới mức thị trường từ các khoản đầu tư vốn chủ sở hữu của mình sẽ thấy giá trị thị trường vốn chủ sở hữu của mình tụt xuống dưới mức vốn chủ sở hữu hiện đang được đầu tư.</w:t>
      </w:r>
    </w:p>
    <w:p>
      <w:pPr>
        <w:pStyle w:val="Para 03"/>
      </w:pPr>
      <w:r>
        <w:t>Điểm khác cần nhấn mạnh là mô hình này cũng xét đến các khoản đầu tư kỳ vọng trong tương lai. Vì vậy, nhà phân tích sử dụng mô hình phải dự báo không chỉ nơi công ty dịch vụ tài chính sẽ hướng các khoản đầu tư tương lai của mình, mà còn cả tỷ suất sinh lợi mà nó sẽ đạt được từ những khoản đầu tư đó.</w:t>
      </w:r>
    </w:p>
    <w:p>
      <w:bookmarkStart w:id="4457" w:name="Inputs_to_Model_1"/>
      <w:bookmarkStart w:id="4458" w:name="Inputs_to_Model__There_are_two_i"/>
      <w:pPr>
        <w:keepNext/>
        <w:pStyle w:val="Heading 4"/>
        <w:keepLines w:val="on"/>
      </w:pPr>
      <w:r>
        <w:t>Các đầu vào của mô hình</w:t>
      </w:r>
      <w:bookmarkEnd w:id="4457"/>
      <w:bookmarkEnd w:id="4458"/>
    </w:p>
    <w:p>
      <w:pPr>
        <w:pStyle w:val="Para 03"/>
      </w:pPr>
      <w:r>
        <w:t>Có hai đầu vào cần thiết để định giá vốn chủ sở hữu trong mô hình lợi nhuận vượt trội. Thứ nhất là thước đo vốn chủ sở hữu hiện đang được đầu tư vào công ty. Thứ hai và khó hơn là lợi nhuận vượt trội kỳ vọng dành cho các nhà đầu tư vốn chủ sở hữu trong các giai đoạn tương lai.</w:t>
      </w:r>
    </w:p>
    <w:p>
      <w:pPr>
        <w:pStyle w:val="Para 03"/>
      </w:pPr>
      <w:r>
        <w:t>Vốn chủ sở hữu hiện đang được đầu tư vào một công ty thường được đo bằng giá trị sổ sách của vốn chủ sở hữu trong công ty. Mặc dù giá trị sổ sách của vốn chủ sở hữu là một thước đo kế toán và chịu ảnh hưởng của các quyết định kế toán, nó vẫn nên là một thước đo đáng tin cậy hơn nhiều về vốn chủ sở hữu được đầu tư vào một công ty dịch vụ tài chính so với một công ty sản xuất, vì hai lý do. Thứ nhất là tài sản của một công ty dịch vụ tài chính thường là các tài sản tài chính được đánh giá lại theo giá thị trường; tài sản của các công ty sản xuất là tài sản thực, và chênh lệch giữa giá trị sổ sách và giá trị thị trường thường lớn hơn nhiều. Thứ hai là khấu hao, vốn có thể là một yếu tố lớn trong việc xác định giá trị sổ sách của các công ty sản xuất, thường không đáng kể ở các công ty dịch vụ tài chính. Dù vậy, giá trị sổ sách của vốn chủ sở hữu vẫn có thể bị ảnh hưởng bởi việc mua lại cổ phiếu và các khoản phí bất thường hoặc một lần. Giá trị sổ sách của vốn chủ sở hữu đối với các công ty dịch vụ tài chính mua lại cổ phiếu hoặc gánh chịu các khoản phí bất thường có thể phản ánh thấp hơn mức vốn chủ sở hữu thực sự được đầu tư vào công ty.</w:t>
      </w:r>
    </w:p>
    <w:p>
      <w:pPr>
        <w:pStyle w:val="Para 03"/>
      </w:pPr>
      <w:r>
        <w:t>Lợi nhuận vượt trội, được định nghĩa theo góc độ vốn chủ sở hữu, có thể được diễn đạt thông qua tỷ suất sinh lợi trên vốn chủ sở hữu và chi phí vốn chủ sở hữu:</w:t>
      </w:r>
    </w:p>
    <w:p>
      <w:bookmarkStart w:id="4460" w:name="Excess_equity_return_Return_on_e"/>
      <w:pPr>
        <w:keepNext/>
        <w:pStyle w:val="Para 09"/>
        <w:keepLines w:val="on"/>
      </w:pPr>
      <w:r>
        <w:t>Lợi nhuận vượt trội trên vốn chủ sở hữu = (Tỷ suất sinh lợi trên vốn chủ sở hữu − Chi phí vốn chủ sở hữu) × Vốn chủ sở hữu đã đầu tư</w:t>
      </w:r>
      <w:bookmarkEnd w:id="4460"/>
    </w:p>
    <w:p>
      <w:pPr>
        <w:pStyle w:val="Para 03"/>
      </w:pPr>
      <w:r>
        <w:t>Ở đây một lần nữa, chúng ta giả định rằng tỷ suất sinh lợi trên vốn chủ sở hữu là một thước đo tốt cho tỷ suất sinh lợi kinh tế kiếm được từ các khoản đầu tư vốn chủ sở hữu. Khi phân tích một công ty dịch vụ tài chính, chúng ta có thể lấy tỷ suất sinh lợi trên vốn chủ sở hữu từ giai đoạn hiện tại và các giai đoạn trước, nhưng tỷ suất sinh lợi trên vốn chủ sở hữu cần thiết là tỷ suất sinh lợi kỳ vọng trong tương lai. Điều này đòi hỏi phải phân tích các điểm mạnh và điểm yếu của công ty, cũng như sự cạnh tranh mà công ty phải đối mặt và những thay đổi trong yêu cầu vốn theo quy định.</w:t>
      </w:r>
    </w:p>
    <w:p>
      <w:pPr>
        <w:pStyle w:val="Para 03"/>
      </w:pPr>
      <w:r>
        <w:t>Khi đưa ra các ước tính về chênh lệch tỷ suất sinh lợi vốn chủ sở hữu kỳ vọng, chúng ta phải tính đến việc sự hiện diện của những khoản lợi nhuận vượt trội lớn có khả năng sẽ thu hút cạnh tranh. Những khoản lợi nhuận vượt trội này sẽ mờ dần theo thời gian, và điều này cần được phản ánh trong các dự báo.</w:t>
      </w:r>
    </w:p>
    <w:p>
      <w:pPr>
        <w:pStyle w:val="Para 11"/>
      </w:pPr>
      <w:r>
        <w:t/>
        <w:t xml:space="preserve"> </w:t>
      </w:r>
    </w:p>
    <w:p>
      <w:bookmarkStart w:id="4461" w:name="ILLUSTRATION_21_4__Valuing_Goldm"/>
      <w:bookmarkStart w:id="4462" w:name="ILLUSTRATION_21_4__Valuing_Goldm_1"/>
      <w:pPr>
        <w:keepNext/>
        <w:pStyle w:val="Para 19"/>
        <w:keepLines w:val="on"/>
      </w:pPr>
      <w:r>
        <w:t>MINH HỌA 21.4: Định giá Goldman Sachs bằng mô hình lợi nhuận vượt trội—tháng 5 năm 2011</w:t>
      </w:r>
      <w:bookmarkEnd w:id="4461"/>
      <w:bookmarkEnd w:id="4462"/>
    </w:p>
    <w:p>
      <w:pPr>
        <w:pStyle w:val="Para 04"/>
        <w:keepLines w:val="on"/>
      </w:pPr>
      <w:r>
        <w:t>Vào tháng 5 năm 2011, Goldman Sachs, khi đó được coi là có lẽ là ngân hàng đầu tư tốt nhất thế giới, đang giao dịch với vốn hóa thị trường vốn chủ sở hữu là 75,4 tỷ đô la, chỉ thấp hơn một chút so với giá trị sổ sách vốn chủ sở hữu của nó là 78,228 tỷ đô la (tính đến cuối năm 2010).</w:t>
      </w:r>
    </w:p>
    <w:p>
      <w:pPr>
        <w:pStyle w:val="Para 04"/>
        <w:keepLines w:val="on"/>
      </w:pPr>
      <w:r>
        <w:t>Để định giá Goldman Sachs, chúng ta bắt đầu với chi phí vốn chủ sở hữu hiện tại. Sử dụng beta trung bình là 1,20, được các ngân hàng đầu tư báo cáo vào năm 2010, kết hợp với lãi suất trái phiếu kho bạc 3,5% và phần bù rủi ro vốn chủ sở hữu 5%, ta có chi phí vốn chủ sở hữu của công ty là 9,5%:</w:t>
      </w:r>
    </w:p>
    <w:p>
      <w:bookmarkStart w:id="4463" w:name="Cost_of_equity_3_5__1_2x5__9_5"/>
      <w:pPr>
        <w:keepNext/>
        <w:pStyle w:val="Para 07"/>
        <w:keepLines w:val="on"/>
      </w:pPr>
      <w:r>
        <w:t>Chi phí vốn chủ sở hữu = 3,5% + 1,2 × 5% = 9,5%</w:t>
      </w:r>
      <w:bookmarkEnd w:id="4463"/>
    </w:p>
    <w:p>
      <w:pPr>
        <w:pStyle w:val="Para 04"/>
        <w:keepLines w:val="on"/>
      </w:pPr>
      <w:r>
        <w:t>Năm 2010, Goldman kiếm được thu nhập ròng 8.354 triệu đô la, kết hợp với giá trị sổ sách của vốn chủ sở hữu là 71.674 triệu đô la vào cuối năm 2009, tạo ra tỷ suất sinh lời trên vốn chủ sở hữu (return on equity) là 11,66%:</w:t>
      </w:r>
    </w:p>
    <w:p>
      <w:bookmarkStart w:id="4464" w:name="Return_on_equity___Net_income201"/>
      <w:pPr>
        <w:keepNext/>
        <w:pStyle w:val="Para 07"/>
        <w:keepLines w:val="on"/>
      </w:pPr>
      <w:r>
        <w:t>Tỷ suất sinh lời trên vốn chủ sở hữu = Thu nhập ròng 2010 / Giá trị sổ sách của vốn chủ sở hữu 2009 = $8.354 / $71.674 = 11,66%</w:t>
      </w:r>
      <w:bookmarkEnd w:id="4464"/>
    </w:p>
    <w:p>
      <w:pPr>
        <w:pStyle w:val="Para 04"/>
        <w:keepLines w:val="on"/>
      </w:pPr>
      <w:r>
        <w:t>Lưu ý rằng đây là mức sụt giảm mạnh so với tỷ suất sinh lời trên vốn chủ sở hữu mà Goldman đạt được trong những năm trước cuộc khủng hoảng ngân hàng năm 2008. Trong năm 2010, Goldman Sachs cũng chi trả cổ tức 1,40 đô la mỗi cổ phiếu trên thu nhập mỗi cổ phiếu là 13,99 đô la, dẫn đến tỷ lệ chi trả cổ tức (payout ratio) là 10%. Giả sử Goldman có thể duy trì tỷ suất sinh lời trên vốn chủ sở hữu, tỷ lệ chi trả cổ tức và chi phí vốn chủ sở hữu ở mức hiện tại trong năm năm tới, lợi nhuận vượt trội (excess returns) và giá trị hiện tại được tóm tắt trong Bảng 21.4:</w:t>
      </w:r>
    </w:p>
    <w:p>
      <w:pPr>
        <w:pStyle w:val="Para 25"/>
        <w:keepLines w:val="on"/>
      </w:pPr>
      <w:r>
        <w:t>Bảng 21.4</w:t>
      </w:r>
    </w:p>
    <w:p>
      <w:pPr>
        <w:keepNext/>
        <w:pStyle w:val="Para 24"/>
        <w:keepLines w:val="on"/>
      </w:pPr>
      <w:r>
        <w:t>Lợi nhuận vượt trội dự kiến—Goldman Sachs</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r>
            <w:tr>
              <w:tc>
                <w:tcPr>
                  <w:tcW w:type="auto" w:w="0"/>
                  <w:shd w:val="clear" w:color="auto" w:fill="F0F0F0"/>
                </w:tcPr>
                <w:p>
                  <w:pPr>
                    <w:pStyle w:val="Para 02"/>
                    <w:keepLines w:val="on"/>
                  </w:pPr>
                  <w:r>
                    <w:t>Thu nhập ròng</w:t>
                  </w:r>
                </w:p>
              </w:tc>
              <w:tc>
                <w:tcPr>
                  <w:tcW w:type="auto" w:w="0"/>
                  <w:shd w:val="clear" w:color="auto" w:fill="F0F0F0"/>
                </w:tcPr>
                <w:p>
                  <w:pPr>
                    <w:pStyle w:val="Normal"/>
                    <w:keepLines w:val="on"/>
                  </w:pPr>
                  <w:r>
                    <w:t>$9.118</w:t>
                  </w:r>
                </w:p>
              </w:tc>
              <w:tc>
                <w:tcPr>
                  <w:tcW w:type="auto" w:w="0"/>
                  <w:shd w:val="clear" w:color="auto" w:fill="F0F0F0"/>
                </w:tcPr>
                <w:p>
                  <w:pPr>
                    <w:pStyle w:val="Normal"/>
                    <w:keepLines w:val="on"/>
                  </w:pPr>
                  <w:r>
                    <w:t>$10.074</w:t>
                  </w:r>
                </w:p>
              </w:tc>
              <w:tc>
                <w:tcPr>
                  <w:tcW w:type="auto" w:w="0"/>
                  <w:shd w:val="clear" w:color="auto" w:fill="F0F0F0"/>
                </w:tcPr>
                <w:p>
                  <w:pPr>
                    <w:pStyle w:val="Normal"/>
                    <w:keepLines w:val="on"/>
                  </w:pPr>
                  <w:r>
                    <w:t>$11.131</w:t>
                  </w:r>
                </w:p>
              </w:tc>
              <w:tc>
                <w:tcPr>
                  <w:tcW w:type="auto" w:w="0"/>
                  <w:shd w:val="clear" w:color="auto" w:fill="F0F0F0"/>
                </w:tcPr>
                <w:p>
                  <w:pPr>
                    <w:pStyle w:val="Normal"/>
                    <w:keepLines w:val="on"/>
                  </w:pPr>
                  <w:r>
                    <w:t>$12.299</w:t>
                  </w:r>
                </w:p>
              </w:tc>
              <w:tc>
                <w:tcPr>
                  <w:tcW w:type="auto" w:w="0"/>
                  <w:shd w:val="clear" w:color="auto" w:fill="F0F0F0"/>
                </w:tcPr>
                <w:p>
                  <w:pPr>
                    <w:pStyle w:val="Normal"/>
                    <w:keepLines w:val="on"/>
                  </w:pPr>
                  <w:r>
                    <w:t>$13.589</w:t>
                  </w:r>
                </w:p>
              </w:tc>
            </w:tr>
            <w:tr>
              <w:tc>
                <w:tcPr>
                  <w:tcW w:type="auto" w:w="0"/>
                  <w:shd w:val="clear" w:color="auto" w:fill="F0F0F0"/>
                </w:tcPr>
                <w:p>
                  <w:pPr>
                    <w:pStyle w:val="Para 02"/>
                    <w:keepLines w:val="on"/>
                  </w:pPr>
                  <w:r>
                    <w:t>– Chi phí vốn chủ sở hữu (xem bên dưới)</w:t>
                  </w:r>
                </w:p>
              </w:tc>
              <w:tc>
                <w:tcPr>
                  <w:tcW w:type="auto" w:w="0"/>
                  <w:shd w:val="clear" w:color="auto" w:fill="F0F0F0"/>
                </w:tcPr>
                <w:p>
                  <w:pPr>
                    <w:pStyle w:val="Normal"/>
                    <w:keepLines w:val="on"/>
                  </w:pPr>
                  <w:r>
                    <w:t>$7.432</w:t>
                  </w:r>
                </w:p>
              </w:tc>
              <w:tc>
                <w:tcPr>
                  <w:tcW w:type="auto" w:w="0"/>
                  <w:shd w:val="clear" w:color="auto" w:fill="F0F0F0"/>
                </w:tcPr>
                <w:p>
                  <w:pPr>
                    <w:pStyle w:val="Normal"/>
                    <w:keepLines w:val="on"/>
                  </w:pPr>
                  <w:r>
                    <w:t>$8.211</w:t>
                  </w:r>
                </w:p>
              </w:tc>
              <w:tc>
                <w:tcPr>
                  <w:tcW w:type="auto" w:w="0"/>
                  <w:shd w:val="clear" w:color="auto" w:fill="F0F0F0"/>
                </w:tcPr>
                <w:p>
                  <w:pPr>
                    <w:pStyle w:val="Normal"/>
                    <w:keepLines w:val="on"/>
                  </w:pPr>
                  <w:r>
                    <w:t>$9.073</w:t>
                  </w:r>
                </w:p>
              </w:tc>
              <w:tc>
                <w:tcPr>
                  <w:tcW w:type="auto" w:w="0"/>
                  <w:shd w:val="clear" w:color="auto" w:fill="F0F0F0"/>
                </w:tcPr>
                <w:p>
                  <w:pPr>
                    <w:pStyle w:val="Normal"/>
                    <w:keepLines w:val="on"/>
                  </w:pPr>
                  <w:r>
                    <w:t>$10.024</w:t>
                  </w:r>
                </w:p>
              </w:tc>
              <w:tc>
                <w:tcPr>
                  <w:tcW w:type="auto" w:w="0"/>
                  <w:shd w:val="clear" w:color="auto" w:fill="F0F0F0"/>
                </w:tcPr>
                <w:p>
                  <w:pPr>
                    <w:pStyle w:val="Normal"/>
                    <w:keepLines w:val="on"/>
                  </w:pPr>
                  <w:r>
                    <w:t>$11.076</w:t>
                  </w:r>
                </w:p>
              </w:tc>
            </w:tr>
            <w:tr>
              <w:tc>
                <w:tcPr>
                  <w:tcW w:type="auto" w:w="0"/>
                  <w:shd w:val="clear" w:color="auto" w:fill="F0F0F0"/>
                </w:tcPr>
                <w:p>
                  <w:pPr>
                    <w:pStyle w:val="Para 51"/>
                    <w:keepLines w:val="on"/>
                  </w:pPr>
                  <w:r>
                    <w:t>Lợi nhuận vượt trội trên vốn chủ sở hữu</w:t>
                  </w:r>
                </w:p>
              </w:tc>
              <w:tc>
                <w:tcPr>
                  <w:tcW w:type="auto" w:w="0"/>
                  <w:shd w:val="clear" w:color="auto" w:fill="F0F0F0"/>
                </w:tcPr>
                <w:p>
                  <w:pPr>
                    <w:pStyle w:val="Para 47"/>
                    <w:keepLines w:val="on"/>
                  </w:pPr>
                  <w:r>
                    <w:t>$1,686</w:t>
                  </w:r>
                </w:p>
              </w:tc>
              <w:tc>
                <w:tcPr>
                  <w:tcW w:type="auto" w:w="0"/>
                  <w:shd w:val="clear" w:color="auto" w:fill="F0F0F0"/>
                </w:tcPr>
                <w:p>
                  <w:pPr>
                    <w:pStyle w:val="Para 47"/>
                    <w:keepLines w:val="on"/>
                  </w:pPr>
                  <w:r>
                    <w:t>$1,863</w:t>
                  </w:r>
                </w:p>
              </w:tc>
              <w:tc>
                <w:tcPr>
                  <w:tcW w:type="auto" w:w="0"/>
                  <w:shd w:val="clear" w:color="auto" w:fill="F0F0F0"/>
                </w:tcPr>
                <w:p>
                  <w:pPr>
                    <w:pStyle w:val="Para 47"/>
                    <w:keepLines w:val="on"/>
                  </w:pPr>
                  <w:r>
                    <w:t>$2,059</w:t>
                  </w:r>
                </w:p>
              </w:tc>
              <w:tc>
                <w:tcPr>
                  <w:tcW w:type="auto" w:w="0"/>
                  <w:shd w:val="clear" w:color="auto" w:fill="F0F0F0"/>
                </w:tcPr>
                <w:p>
                  <w:pPr>
                    <w:pStyle w:val="Para 47"/>
                    <w:keepLines w:val="on"/>
                  </w:pPr>
                  <w:r>
                    <w:t>$2,275</w:t>
                  </w:r>
                </w:p>
              </w:tc>
              <w:tc>
                <w:tcPr>
                  <w:tcW w:type="auto" w:w="0"/>
                  <w:shd w:val="clear" w:color="auto" w:fill="F0F0F0"/>
                </w:tcPr>
                <w:p>
                  <w:pPr>
                    <w:pStyle w:val="Para 47"/>
                    <w:keepLines w:val="on"/>
                  </w:pPr>
                  <w:r>
                    <w:t>$2,513</w:t>
                  </w:r>
                </w:p>
              </w:tc>
            </w:tr>
            <w:tr>
              <w:tc>
                <w:tcPr>
                  <w:tcW w:type="auto" w:w="0"/>
                  <w:shd w:val="clear" w:color="auto" w:fill="F0F0F0"/>
                </w:tcPr>
                <w:p>
                  <w:pPr>
                    <w:pStyle w:val="Para 51"/>
                    <w:keepLines w:val="on"/>
                  </w:pPr>
                  <w:r>
                    <w:t>Giá trị hiện tại</w:t>
                  </w:r>
                </w:p>
              </w:tc>
              <w:tc>
                <w:tcPr>
                  <w:tcW w:type="auto" w:w="0"/>
                  <w:shd w:val="clear" w:color="auto" w:fill="F0F0F0"/>
                </w:tcPr>
                <w:p>
                  <w:pPr>
                    <w:pStyle w:val="Para 47"/>
                    <w:keepLines w:val="on"/>
                  </w:pPr>
                  <w:r>
                    <w:t>$1,540</w:t>
                  </w:r>
                </w:p>
              </w:tc>
              <w:tc>
                <w:tcPr>
                  <w:tcW w:type="auto" w:w="0"/>
                  <w:shd w:val="clear" w:color="auto" w:fill="F0F0F0"/>
                </w:tcPr>
                <w:p>
                  <w:pPr>
                    <w:pStyle w:val="Para 47"/>
                    <w:keepLines w:val="on"/>
                  </w:pPr>
                  <w:r>
                    <w:t>$1,554</w:t>
                  </w:r>
                </w:p>
              </w:tc>
              <w:tc>
                <w:tcPr>
                  <w:tcW w:type="auto" w:w="0"/>
                  <w:shd w:val="clear" w:color="auto" w:fill="F0F0F0"/>
                </w:tcPr>
                <w:p>
                  <w:pPr>
                    <w:pStyle w:val="Para 47"/>
                    <w:keepLines w:val="on"/>
                  </w:pPr>
                  <w:r>
                    <w:t>$1,568</w:t>
                  </w:r>
                </w:p>
              </w:tc>
              <w:tc>
                <w:tcPr>
                  <w:tcW w:type="auto" w:w="0"/>
                  <w:shd w:val="clear" w:color="auto" w:fill="F0F0F0"/>
                </w:tcPr>
                <w:p>
                  <w:pPr>
                    <w:pStyle w:val="Para 47"/>
                    <w:keepLines w:val="on"/>
                  </w:pPr>
                  <w:r>
                    <w:t>$1,582</w:t>
                  </w:r>
                </w:p>
              </w:tc>
              <w:tc>
                <w:tcPr>
                  <w:tcW w:type="auto" w:w="0"/>
                  <w:shd w:val="clear" w:color="auto" w:fill="F0F0F0"/>
                </w:tcPr>
                <w:p>
                  <w:pPr>
                    <w:pStyle w:val="Para 47"/>
                    <w:keepLines w:val="on"/>
                  </w:pPr>
                  <w:r>
                    <w:t>$1,596</w:t>
                  </w:r>
                </w:p>
              </w:tc>
            </w:tr>
            <w:tr>
              <w:tc>
                <w:tcPr>
                  <w:tcW w:type="auto" w:w="0"/>
                  <w:shd w:val="clear" w:color="auto" w:fill="F0F0F0"/>
                </w:tcPr>
                <w:p>
                  <w:pPr>
                    <w:pStyle w:val="Para 02"/>
                    <w:keepLines w:val="on"/>
                  </w:pPr>
                  <w:r>
                    <w:t>Giá trị sổ sách đầu kỳ của vốn chủ sở hữu</w:t>
                  </w:r>
                </w:p>
              </w:tc>
              <w:tc>
                <w:tcPr>
                  <w:tcW w:type="auto" w:w="0"/>
                  <w:shd w:val="clear" w:color="auto" w:fill="F0F0F0"/>
                </w:tcPr>
                <w:p>
                  <w:pPr>
                    <w:pStyle w:val="Normal"/>
                    <w:keepLines w:val="on"/>
                  </w:pPr>
                  <w:r>
                    <w:t>$78,228</w:t>
                  </w:r>
                </w:p>
              </w:tc>
              <w:tc>
                <w:tcPr>
                  <w:tcW w:type="auto" w:w="0"/>
                  <w:shd w:val="clear" w:color="auto" w:fill="F0F0F0"/>
                </w:tcPr>
                <w:p>
                  <w:pPr>
                    <w:pStyle w:val="Normal"/>
                    <w:keepLines w:val="on"/>
                  </w:pPr>
                  <w:r>
                    <w:t>$86,434</w:t>
                  </w:r>
                </w:p>
              </w:tc>
              <w:tc>
                <w:tcPr>
                  <w:tcW w:type="auto" w:w="0"/>
                  <w:shd w:val="clear" w:color="auto" w:fill="F0F0F0"/>
                </w:tcPr>
                <w:p>
                  <w:pPr>
                    <w:pStyle w:val="Normal"/>
                    <w:keepLines w:val="on"/>
                  </w:pPr>
                  <w:r>
                    <w:t>$95,501</w:t>
                  </w:r>
                </w:p>
              </w:tc>
              <w:tc>
                <w:tcPr>
                  <w:tcW w:type="auto" w:w="0"/>
                  <w:shd w:val="clear" w:color="auto" w:fill="F0F0F0"/>
                </w:tcPr>
                <w:p>
                  <w:pPr>
                    <w:pStyle w:val="Normal"/>
                    <w:keepLines w:val="on"/>
                  </w:pPr>
                  <w:r>
                    <w:t>$105,519</w:t>
                  </w:r>
                </w:p>
              </w:tc>
              <w:tc>
                <w:tcPr>
                  <w:tcW w:type="auto" w:w="0"/>
                  <w:shd w:val="clear" w:color="auto" w:fill="F0F0F0"/>
                </w:tcPr>
                <w:p>
                  <w:pPr>
                    <w:pStyle w:val="Normal"/>
                    <w:keepLines w:val="on"/>
                  </w:pPr>
                  <w:r>
                    <w:t>$116,588</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9,50%</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Normal"/>
                    <w:keepLines w:val="on"/>
                  </w:pPr>
                  <w:r>
                    <w:t>$7,432</w:t>
                  </w:r>
                </w:p>
              </w:tc>
              <w:tc>
                <w:tcPr>
                  <w:tcW w:type="auto" w:w="0"/>
                  <w:shd w:val="clear" w:color="auto" w:fill="F0F0F0"/>
                </w:tcPr>
                <w:p>
                  <w:pPr>
                    <w:pStyle w:val="Normal"/>
                    <w:keepLines w:val="on"/>
                  </w:pPr>
                  <w:r>
                    <w:t>$8,211</w:t>
                  </w:r>
                </w:p>
              </w:tc>
              <w:tc>
                <w:tcPr>
                  <w:tcW w:type="auto" w:w="0"/>
                  <w:shd w:val="clear" w:color="auto" w:fill="F0F0F0"/>
                </w:tcPr>
                <w:p>
                  <w:pPr>
                    <w:pStyle w:val="Normal"/>
                    <w:keepLines w:val="on"/>
                  </w:pPr>
                  <w:r>
                    <w:t>$9,073</w:t>
                  </w:r>
                </w:p>
              </w:tc>
              <w:tc>
                <w:tcPr>
                  <w:tcW w:type="auto" w:w="0"/>
                  <w:shd w:val="clear" w:color="auto" w:fill="F0F0F0"/>
                </w:tcPr>
                <w:p>
                  <w:pPr>
                    <w:pStyle w:val="Normal"/>
                    <w:keepLines w:val="on"/>
                  </w:pPr>
                  <w:r>
                    <w:t>$10,024</w:t>
                  </w:r>
                </w:p>
              </w:tc>
              <w:tc>
                <w:tcPr>
                  <w:tcW w:type="auto" w:w="0"/>
                  <w:shd w:val="clear" w:color="auto" w:fill="F0F0F0"/>
                </w:tcPr>
                <w:p>
                  <w:pPr>
                    <w:pStyle w:val="Normal"/>
                    <w:keepLines w:val="on"/>
                  </w:pPr>
                  <w:r>
                    <w:t>$11,076</w:t>
                  </w:r>
                </w:p>
              </w:tc>
            </w:tr>
            <w:tr>
              <w:tc>
                <w:tcPr>
                  <w:tcW w:type="auto" w:w="0"/>
                  <w:shd w:val="clear" w:color="auto" w:fill="F0F0F0"/>
                </w:tcPr>
                <w:p>
                  <w:pPr>
                    <w:pStyle w:val="Para 02"/>
                    <w:keepLines w:val="on"/>
                  </w:pPr>
                  <w:r>
                    <w:t>Tỷ suất sinh lời trên vốn chủ sở hữu</w:t>
                  </w:r>
                </w:p>
              </w:tc>
              <w:tc>
                <w:tcPr>
                  <w:tcW w:type="auto" w:w="0"/>
                  <w:shd w:val="clear" w:color="auto" w:fill="F0F0F0"/>
                </w:tcPr>
                <w:p>
                  <w:pPr>
                    <w:pStyle w:val="Normal"/>
                    <w:keepLines w:val="on"/>
                  </w:pPr>
                  <w:r>
                    <w:t>11,66%</w:t>
                  </w:r>
                </w:p>
              </w:tc>
              <w:tc>
                <w:tcPr>
                  <w:tcW w:type="auto" w:w="0"/>
                  <w:shd w:val="clear" w:color="auto" w:fill="F0F0F0"/>
                </w:tcPr>
                <w:p>
                  <w:pPr>
                    <w:pStyle w:val="Normal"/>
                    <w:keepLines w:val="on"/>
                  </w:pPr>
                  <w:r>
                    <w:t>11,66%</w:t>
                  </w:r>
                </w:p>
              </w:tc>
              <w:tc>
                <w:tcPr>
                  <w:tcW w:type="auto" w:w="0"/>
                  <w:shd w:val="clear" w:color="auto" w:fill="F0F0F0"/>
                </w:tcPr>
                <w:p>
                  <w:pPr>
                    <w:pStyle w:val="Normal"/>
                    <w:keepLines w:val="on"/>
                  </w:pPr>
                  <w:r>
                    <w:t>11,66%</w:t>
                  </w:r>
                </w:p>
              </w:tc>
              <w:tc>
                <w:tcPr>
                  <w:tcW w:type="auto" w:w="0"/>
                  <w:shd w:val="clear" w:color="auto" w:fill="F0F0F0"/>
                </w:tcPr>
                <w:p>
                  <w:pPr>
                    <w:pStyle w:val="Normal"/>
                    <w:keepLines w:val="on"/>
                  </w:pPr>
                  <w:r>
                    <w:t>11,66%</w:t>
                  </w:r>
                </w:p>
              </w:tc>
              <w:tc>
                <w:tcPr>
                  <w:tcW w:type="auto" w:w="0"/>
                  <w:shd w:val="clear" w:color="auto" w:fill="F0F0F0"/>
                </w:tcPr>
                <w:p>
                  <w:pPr>
                    <w:pStyle w:val="Normal"/>
                    <w:keepLines w:val="on"/>
                  </w:pPr>
                  <w:r>
                    <w:t>11,66%</w:t>
                  </w:r>
                </w:p>
              </w:tc>
            </w:tr>
            <w:tr>
              <w:tc>
                <w:tcPr>
                  <w:tcW w:type="auto" w:w="0"/>
                  <w:shd w:val="clear" w:color="auto" w:fill="F0F0F0"/>
                </w:tcPr>
                <w:p>
                  <w:pPr>
                    <w:pStyle w:val="Para 02"/>
                    <w:keepLines w:val="on"/>
                  </w:pPr>
                  <w:r>
                    <w:t>Thu nhập ròng</w:t>
                  </w:r>
                </w:p>
              </w:tc>
              <w:tc>
                <w:tcPr>
                  <w:tcW w:type="auto" w:w="0"/>
                  <w:shd w:val="clear" w:color="auto" w:fill="F0F0F0"/>
                </w:tcPr>
                <w:p>
                  <w:pPr>
                    <w:pStyle w:val="Normal"/>
                    <w:keepLines w:val="on"/>
                  </w:pPr>
                  <w:r>
                    <w:t>$9,118</w:t>
                  </w:r>
                </w:p>
              </w:tc>
              <w:tc>
                <w:tcPr>
                  <w:tcW w:type="auto" w:w="0"/>
                  <w:shd w:val="clear" w:color="auto" w:fill="F0F0F0"/>
                </w:tcPr>
                <w:p>
                  <w:pPr>
                    <w:pStyle w:val="Normal"/>
                    <w:keepLines w:val="on"/>
                  </w:pPr>
                  <w:r>
                    <w:t>$10,074</w:t>
                  </w:r>
                </w:p>
              </w:tc>
              <w:tc>
                <w:tcPr>
                  <w:tcW w:type="auto" w:w="0"/>
                  <w:shd w:val="clear" w:color="auto" w:fill="F0F0F0"/>
                </w:tcPr>
                <w:p>
                  <w:pPr>
                    <w:pStyle w:val="Normal"/>
                    <w:keepLines w:val="on"/>
                  </w:pPr>
                  <w:r>
                    <w:t>$11,131</w:t>
                  </w:r>
                </w:p>
              </w:tc>
              <w:tc>
                <w:tcPr>
                  <w:tcW w:type="auto" w:w="0"/>
                  <w:shd w:val="clear" w:color="auto" w:fill="F0F0F0"/>
                </w:tcPr>
                <w:p>
                  <w:pPr>
                    <w:pStyle w:val="Normal"/>
                    <w:keepLines w:val="on"/>
                  </w:pPr>
                  <w:r>
                    <w:t>$12,299</w:t>
                  </w:r>
                </w:p>
              </w:tc>
              <w:tc>
                <w:tcPr>
                  <w:tcW w:type="auto" w:w="0"/>
                  <w:shd w:val="clear" w:color="auto" w:fill="F0F0F0"/>
                </w:tcPr>
                <w:p>
                  <w:pPr>
                    <w:pStyle w:val="Normal"/>
                    <w:keepLines w:val="on"/>
                  </w:pPr>
                  <w:r>
                    <w:t>$13,589</w:t>
                  </w:r>
                </w:p>
              </w:tc>
            </w:tr>
            <w:tr>
              <w:tc>
                <w:tcPr>
                  <w:tcW w:type="auto" w:w="0"/>
                  <w:shd w:val="clear" w:color="auto" w:fill="F0F0F0"/>
                </w:tcPr>
                <w:p>
                  <w:pPr>
                    <w:pStyle w:val="Para 02"/>
                    <w:keepLines w:val="on"/>
                  </w:pPr>
                  <w:r>
                    <w:t>Tỷ lệ chi trả cổ tức</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r>
            <w:tr>
              <w:tc>
                <w:tcPr>
                  <w:tcW w:type="auto" w:w="0"/>
                  <w:shd w:val="clear" w:color="auto" w:fill="F0F0F0"/>
                </w:tcPr>
                <w:p>
                  <w:pPr>
                    <w:pStyle w:val="Para 02"/>
                    <w:keepLines w:val="on"/>
                  </w:pPr>
                  <w:r>
                    <w:t>Cổ tức đã trả</w:t>
                  </w:r>
                </w:p>
              </w:tc>
              <w:tc>
                <w:tcPr>
                  <w:tcW w:type="auto" w:w="0"/>
                  <w:shd w:val="clear" w:color="auto" w:fill="F0F0F0"/>
                </w:tcPr>
                <w:p>
                  <w:pPr>
                    <w:pStyle w:val="Normal"/>
                    <w:keepLines w:val="on"/>
                  </w:pPr>
                  <w:r>
                    <w:t>$912</w:t>
                  </w:r>
                </w:p>
              </w:tc>
              <w:tc>
                <w:tcPr>
                  <w:tcW w:type="auto" w:w="0"/>
                  <w:shd w:val="clear" w:color="auto" w:fill="F0F0F0"/>
                </w:tcPr>
                <w:p>
                  <w:pPr>
                    <w:pStyle w:val="Normal"/>
                    <w:keepLines w:val="on"/>
                  </w:pPr>
                  <w:r>
                    <w:t>$1,007</w:t>
                  </w:r>
                </w:p>
              </w:tc>
              <w:tc>
                <w:tcPr>
                  <w:tcW w:type="auto" w:w="0"/>
                  <w:shd w:val="clear" w:color="auto" w:fill="F0F0F0"/>
                </w:tcPr>
                <w:p>
                  <w:pPr>
                    <w:pStyle w:val="Normal"/>
                    <w:keepLines w:val="on"/>
                  </w:pPr>
                  <w:r>
                    <w:t>$1,113</w:t>
                  </w:r>
                </w:p>
              </w:tc>
              <w:tc>
                <w:tcPr>
                  <w:tcW w:type="auto" w:w="0"/>
                  <w:shd w:val="clear" w:color="auto" w:fill="F0F0F0"/>
                </w:tcPr>
                <w:p>
                  <w:pPr>
                    <w:pStyle w:val="Normal"/>
                    <w:keepLines w:val="on"/>
                  </w:pPr>
                  <w:r>
                    <w:t>$1,230</w:t>
                  </w:r>
                </w:p>
              </w:tc>
              <w:tc>
                <w:tcPr>
                  <w:tcW w:type="auto" w:w="0"/>
                  <w:shd w:val="clear" w:color="auto" w:fill="F0F0F0"/>
                </w:tcPr>
                <w:p>
                  <w:pPr>
                    <w:pStyle w:val="Normal"/>
                    <w:keepLines w:val="on"/>
                  </w:pPr>
                  <w:r>
                    <w:t>$1,359</w:t>
                  </w:r>
                </w:p>
              </w:tc>
            </w:tr>
            <w:tr>
              <w:tc>
                <w:tcPr>
                  <w:tcW w:type="auto" w:w="0"/>
                  <w:shd w:val="clear" w:color="auto" w:fill="F0F0F0"/>
                </w:tcPr>
                <w:p>
                  <w:pPr>
                    <w:pStyle w:val="Para 02"/>
                    <w:keepLines w:val="on"/>
                  </w:pPr>
                  <w:r>
                    <w:t>Lợi nhuận giữ lại</w:t>
                  </w:r>
                </w:p>
              </w:tc>
              <w:tc>
                <w:tcPr>
                  <w:tcW w:type="auto" w:w="0"/>
                  <w:shd w:val="clear" w:color="auto" w:fill="F0F0F0"/>
                </w:tcPr>
                <w:p>
                  <w:pPr>
                    <w:pStyle w:val="Normal"/>
                    <w:keepLines w:val="on"/>
                  </w:pPr>
                  <w:r>
                    <w:t>$8,206</w:t>
                  </w:r>
                </w:p>
              </w:tc>
              <w:tc>
                <w:tcPr>
                  <w:tcW w:type="auto" w:w="0"/>
                  <w:shd w:val="clear" w:color="auto" w:fill="F0F0F0"/>
                </w:tcPr>
                <w:p>
                  <w:pPr>
                    <w:pStyle w:val="Normal"/>
                    <w:keepLines w:val="on"/>
                  </w:pPr>
                  <w:r>
                    <w:t>$9,067</w:t>
                  </w:r>
                </w:p>
              </w:tc>
              <w:tc>
                <w:tcPr>
                  <w:tcW w:type="auto" w:w="0"/>
                  <w:shd w:val="clear" w:color="auto" w:fill="F0F0F0"/>
                </w:tcPr>
                <w:p>
                  <w:pPr>
                    <w:pStyle w:val="Normal"/>
                    <w:keepLines w:val="on"/>
                  </w:pPr>
                  <w:r>
                    <w:t>$10,018</w:t>
                  </w:r>
                </w:p>
              </w:tc>
              <w:tc>
                <w:tcPr>
                  <w:tcW w:type="auto" w:w="0"/>
                  <w:shd w:val="clear" w:color="auto" w:fill="F0F0F0"/>
                </w:tcPr>
                <w:p>
                  <w:pPr>
                    <w:pStyle w:val="Normal"/>
                    <w:keepLines w:val="on"/>
                  </w:pPr>
                  <w:r>
                    <w:t>$11,069</w:t>
                  </w:r>
                </w:p>
              </w:tc>
              <w:tc>
                <w:tcPr>
                  <w:tcW w:type="auto" w:w="0"/>
                  <w:shd w:val="clear" w:color="auto" w:fill="F0F0F0"/>
                </w:tcPr>
                <w:p>
                  <w:pPr>
                    <w:pStyle w:val="Normal"/>
                    <w:keepLines w:val="on"/>
                  </w:pPr>
                  <w:r>
                    <w:t>$12,230</w:t>
                  </w:r>
                </w:p>
              </w:tc>
            </w:tr>
          </w:tbl>
          <w:p/>
        </w:tc>
      </w:tr>
    </w:tbl>
    <w:p>
      <w:pPr>
        <w:pStyle w:val="Para 04"/>
        <w:keepLines w:val="on"/>
      </w:pPr>
      <w:r>
        <w:t>Thu nhập ròng mỗi năm được tính bằng cách nhân tỷ suất sinh lời trên vốn chủ sở hữu (return on equity) trong năm đó với giá trị sổ sách của vốn chủ sở hữu vào đầu năm. Giá trị sổ sách của vốn chủ sở hữu mỗi năm sẽ được tăng thêm bằng phần lợi nhuận không được chi trả dưới dạng cổ tức.</w:t>
      </w:r>
    </w:p>
    <w:p>
      <w:pPr>
        <w:pStyle w:val="Para 04"/>
        <w:keepLines w:val="on"/>
      </w:pPr>
      <w:r>
        <w:t>Để khép lại phần định giá này, chúng ta phải đưa ra các giả định về lợi nhuận vượt trội (excess returns) sau năm thứ 5. Chúng ta giả định rằng thu nhập ròng sẽ tăng 3% mỗi năm sau năm thứ 5, và hệ số beta của cổ phiếu sẽ không đổi ở mức 1,20. Đối với Goldman Sachs, chúng ta sẽ giả định rằng tỷ suất sinh lời trên vốn chủ sở hữu sau năm thứ 5 sẽ là 9,50%, được đặt bằng với chi phí vốn chủ sở hữu (cost of equity). Vì công ty kiếm được đúng bằng chi phí vốn chủ sở hữu sau năm thứ 5, nên không có giá trị nào được tạo thêm hay mất đi sau năm đó. Giá trị vốn chủ sở hữu sau đó có thể được tính bằng tổng của ba thành phần — giá trị sổ sách của vốn chủ sở hữu được đầu tư hiện tại, giá trị hiện tại của lợi nhuận vượt trội trên vốn chủ sở hữu trong năm năm tới, và giá trị hiện tại của giá trị cuối kỳ (terminal value) của vốn chủ sở hữu.</w:t>
      </w:r>
    </w:p>
    <w:tbl>
      <w:tblPr>
        <w:tblW w:type="auto" w:w="0"/>
      </w:tblPr>
      <w:tr>
        <w:tc>
          <w:tcPr>
            <w:tcW w:type="auto" w:w="0"/>
          </w:tcPr>
          <w:tbl>
            <w:tblPr>
              <w:tblW w:type="auto" w:w="0"/>
            </w:tblPr>
            <w:tr>
              <w:tc>
                <w:tcPr>
                  <w:tcW w:type="auto" w:w="0"/>
                  <w:shd w:val="clear" w:color="auto" w:fill="F0F0F0"/>
                </w:tcPr>
                <w:p>
                  <w:pPr>
                    <w:pStyle w:val="Para 02"/>
                    <w:keepLines w:val="on"/>
                  </w:pPr>
                  <w:r>
                    <w:t>Giá trị sổ sách của vốn chủ sở hữu được đầu tư hiện tại</w:t>
                  </w:r>
                </w:p>
              </w:tc>
              <w:tc>
                <w:tcPr>
                  <w:tcW w:type="auto" w:w="0"/>
                  <w:shd w:val="clear" w:color="auto" w:fill="F0F0F0"/>
                </w:tcPr>
                <w:p>
                  <w:pPr>
                    <w:pStyle w:val="Normal"/>
                    <w:keepLines w:val="on"/>
                  </w:pPr>
                  <w:r>
                    <w:t>$78,228</w:t>
                  </w:r>
                </w:p>
              </w:tc>
            </w:tr>
            <w:tr>
              <w:tc>
                <w:tcPr>
                  <w:tcW w:type="auto" w:w="0"/>
                  <w:shd w:val="clear" w:color="auto" w:fill="F0F0F0"/>
                </w:tcPr>
                <w:p>
                  <w:pPr>
                    <w:pStyle w:val="Para 02"/>
                    <w:keepLines w:val="on"/>
                  </w:pPr>
                  <w:r>
                    <w:t>Giá trị hiện tại của lợi nhuận vượt trội trên vốn chủ sở hữu — năm năm tới</w:t>
                  </w:r>
                </w:p>
              </w:tc>
              <w:tc>
                <w:tcPr>
                  <w:tcW w:type="auto" w:w="0"/>
                  <w:shd w:val="clear" w:color="auto" w:fill="F0F0F0"/>
                </w:tcPr>
                <w:p>
                  <w:pPr>
                    <w:pStyle w:val="Normal"/>
                    <w:keepLines w:val="on"/>
                  </w:pPr>
                  <w:r>
                    <w:t>$7,880</w:t>
                  </w:r>
                </w:p>
              </w:tc>
            </w:tr>
            <w:tr>
              <w:tc>
                <w:tcPr>
                  <w:tcW w:type="auto" w:w="0"/>
                  <w:shd w:val="clear" w:color="auto" w:fill="F0F0F0"/>
                </w:tcPr>
                <w:p>
                  <w:pPr>
                    <w:pStyle w:val="Para 02"/>
                    <w:keepLines w:val="on"/>
                  </w:pPr>
                  <w:r>
                    <w:t>Giá trị hiện tại của giá trị cuối kỳ của lợi nhuận vượt trội</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Giá trị vốn chủ sở hữu</w:t>
                  </w:r>
                </w:p>
              </w:tc>
              <w:tc>
                <w:tcPr>
                  <w:tcW w:type="auto" w:w="0"/>
                  <w:shd w:val="clear" w:color="auto" w:fill="F0F0F0"/>
                </w:tcPr>
                <w:p>
                  <w:pPr>
                    <w:pStyle w:val="Normal"/>
                    <w:keepLines w:val="on"/>
                  </w:pPr>
                  <w:r>
                    <w:t>$86,068</w:t>
                  </w:r>
                </w:p>
              </w:tc>
            </w:tr>
            <w:tr>
              <w:tc>
                <w:tcPr>
                  <w:tcW w:type="auto" w:w="0"/>
                  <w:shd w:val="clear" w:color="auto" w:fill="F0F0F0"/>
                </w:tcPr>
                <w:p>
                  <w:pPr>
                    <w:pStyle w:val="Para 02"/>
                    <w:keepLines w:val="on"/>
                  </w:pPr>
                  <w:r>
                    <w:t>Số lượng cổ phiếu</w:t>
                  </w:r>
                </w:p>
              </w:tc>
              <w:tc>
                <w:tcPr>
                  <w:tcW w:type="auto" w:w="0"/>
                  <w:shd w:val="clear" w:color="auto" w:fill="F0F0F0"/>
                </w:tcPr>
                <w:p>
                  <w:pPr>
                    <w:pStyle w:val="Normal"/>
                    <w:keepLines w:val="on"/>
                  </w:pPr>
                  <w:r>
                    <w:t>517,735</w:t>
                  </w:r>
                </w:p>
              </w:tc>
            </w:tr>
            <w:tr>
              <w:tc>
                <w:tcPr>
                  <w:tcW w:type="auto" w:w="0"/>
                  <w:shd w:val="clear" w:color="auto" w:fill="F0F0F0"/>
                </w:tcPr>
                <w:p>
                  <w:pPr>
                    <w:pStyle w:val="Para 02"/>
                    <w:keepLines w:val="on"/>
                  </w:pPr>
                  <w:r>
                    <w:t>Giá trị trên mỗi cổ phiếu</w:t>
                  </w:r>
                </w:p>
              </w:tc>
              <w:tc>
                <w:tcPr>
                  <w:tcW w:type="auto" w:w="0"/>
                  <w:shd w:val="clear" w:color="auto" w:fill="F0F0F0"/>
                </w:tcPr>
                <w:p>
                  <w:pPr>
                    <w:pStyle w:val="Normal"/>
                    <w:keepLines w:val="on"/>
                  </w:pPr>
                  <w:r>
                    <w:t>$166,24</w:t>
                  </w:r>
                </w:p>
              </w:tc>
            </w:tr>
          </w:tbl>
          <w:p/>
        </w:tc>
      </w:tr>
    </w:tbl>
    <w:p>
      <w:pPr>
        <w:pStyle w:val="Para 04"/>
        <w:keepLines w:val="on"/>
      </w:pPr>
      <w:r>
        <w:t>Vào thời điểm định giá này vào tháng 5 năm 2011, Goldman Sachs đang giao dịch ở mức $140,63 một cổ phiếu, khiến nó bị định giá thấp hơn khoảng 18%.</w:t>
      </w:r>
    </w:p>
    <w:p>
      <w:bookmarkStart w:id="4467" w:name="Asset_Based_Valuation"/>
      <w:bookmarkStart w:id="4468" w:name="Asset_Based_Valuation__In_asset"/>
      <w:pPr>
        <w:keepNext/>
        <w:pStyle w:val="Heading 3"/>
        <w:keepLines w:val="on"/>
      </w:pPr>
      <w:r>
        <w:t>Định giá dựa trên tài sản (Asset-Based Valuation)</w:t>
      </w:r>
      <w:bookmarkEnd w:id="4467"/>
      <w:bookmarkEnd w:id="4468"/>
    </w:p>
    <w:p>
      <w:pPr>
        <w:pStyle w:val="Para 03"/>
      </w:pPr>
      <w:r>
        <w:t>Trong định giá dựa trên tài sản, chúng ta định giá các tài sản hiện có của một công ty dịch vụ tài chính, trừ đi nợ và các nghĩa vụ chưa thanh toán khác, rồi ghi nhận phần chênh lệch là giá trị vốn chủ sở hữu. Ví dụ, với một ngân hàng, điều này đòi hỏi phải định giá danh mục cho vay của ngân hàng (vốn là tài sản của nó) và trừ đi khoản nợ chưa thanh toán để ước tính giá trị vốn chủ sở hữu. Với một công ty bảo hiểm, bạn sẽ định giá các hợp đồng bảo hiểm mà công ty đang có hiệu lực, rồi trừ đi các yêu cầu bồi thường dự kiến phát sinh từ những hợp đồng này cùng các khoản nợ chưa thanh toán khác để ước tính giá trị vốn chủ sở hữu của công ty.</w:t>
      </w:r>
    </w:p>
    <w:p>
      <w:pPr>
        <w:pStyle w:val="Para 03"/>
      </w:pPr>
      <w:r>
        <w:t>Vậy bạn sẽ định giá danh mục cho vay của một ngân hàng hay các hợp đồng bảo hiểm của một công ty bảo hiểm như thế nào? Một cách tiếp cận là ước tính mức giá mà danh mục cho vay có thể được bán cho một công ty dịch vụ tài chính khác, nhưng cách làm tốt hơn là định giá nó dựa trên dòng tiền kỳ vọng. Lấy ví dụ, một ngân hàng có danh mục cho vay trị giá 1 tỷ đô-la với kỳ đáo hạn bình quân gia quyền là tám năm, mang lại thu nhập lãi là 70 triệu đô-la. Hơn nữa, giả sử rủi ro vỡ nợ của các khoản vay đến mức lãi suất thị trường hợp lý cho các khoản vay này sẽ là 6,50 phần trăm; lãi suất thị trường hợp lý này có thể được ước tính bằng cách để một tổ chức xếp hạng tín nhiệm đánh giá danh mục cho vay, hoặc bằng cách đo lường tiềm năng rủi ro vỡ nợ trong danh mục. Giá trị của các khoản vay có thể được ước tính như sau:</w:t>
      </w:r>
    </w:p>
    <w:p>
      <w:bookmarkStart w:id="4470" w:name="Value_of_loans__70_million_PV_of"/>
      <w:pPr>
        <w:keepNext/>
        <w:pStyle w:val="Para 09"/>
        <w:keepLines w:val="on"/>
      </w:pPr>
      <w:r>
        <w:t>Giá trị các khoản vay = 70 triệu đô-la (PV của niên kim, 8 năm, 6,5%) + 1.000 triệu đô-la/1,0658 = 1.030 triệu đô-la</w:t>
      </w:r>
      <w:bookmarkEnd w:id="4470"/>
    </w:p>
    <w:p>
      <w:pPr>
        <w:pStyle w:val="Para 03"/>
      </w:pPr>
      <w:r>
        <w:t>Danh mục cho vay này có giá trị thị trường hợp lý vượt giá trị sổ sách vì ngân hàng đang tính lãi suất cao hơn lãi suất thị trường. Điều ngược lại sẽ đúng nếu ngân hàng tính lãi suất thấp hơn lãi suất thị trường. Để định giá vốn chủ sở hữu trong sổ sách này, bạn sẽ trừ đi các khoản tiền gửi, nợ và các nghĩa vụ khác đối với ngân hàng.</w:t>
      </w:r>
    </w:p>
    <w:p>
      <w:pPr>
        <w:pStyle w:val="Para 03"/>
      </w:pPr>
      <w:r>
        <w:t>Cách tiếp cận này có giá trị nếu bạn đang định giá một ngân hàng hoặc công ty bảo hiểm đã trưởng thành với ít hoặc không có tiềm năng tăng trưởng, nhưng nó có hai hạn chế đáng kể. Thứ nhất, nó không gán bất kỳ giá trị nào cho tăng trưởng kỳ vọng trong tương lai và những khoản lợi nhuận vượt trội chảy ra từ sự tăng trưởng đó. Chẳng hạn, một ngân hàng liên tục có khả năng cho vay ở mức lãi suất cao hơn mức hợp lý so với rủi ro vỡ nợ cũng nên có khả năng thu hoạch giá trị từ các khoản cho vay trong tương lai. Thứ hai, rất khó áp dụng khi một công ty dịch vụ tài chính tham gia vào nhiều mảng kinh doanh. Một công ty như Citigroup hoạt động trong nhiều mảng kinh doanh sẽ rất khó định giá vì tài sản trong mỗi mảng kinh doanh—bảo hiểm, ngân hàng thương mại, ngân hàng đầu tư, quản lý danh mục đầu tư—sẽ cần được định giá riêng biệt, với các dòng thu nhập khác nhau và các tỷ lệ chiết khấu khác nhau.</w:t>
      </w:r>
    </w:p>
    <w:p>
      <w:bookmarkStart w:id="4471" w:name="Relative_Valuation"/>
      <w:bookmarkStart w:id="4472" w:name="Relative_Valuation__The_chapters"/>
      <w:pPr>
        <w:keepNext/>
        <w:pStyle w:val="Heading 2"/>
        <w:keepLines w:val="on"/>
      </w:pPr>
      <w:r>
        <w:t>Định giá tương đối</w:t>
      </w:r>
      <w:bookmarkEnd w:id="4471"/>
      <w:bookmarkEnd w:id="4472"/>
    </w:p>
    <w:p>
      <w:pPr>
        <w:pStyle w:val="Para 03"/>
      </w:pPr>
      <w:r>
        <w:t>Các chương về định giá tương đối đã xem xét một loạt các bội số được dùng để định giá công ty, từ bội số thu nhập đến bội số giá trị sổ sách đến bội số doanh thu. Phần này xem xét cách định giá tương đối có thể được sử dụng cho các công ty dịch vụ tài chính.</w:t>
      </w:r>
    </w:p>
    <w:p>
      <w:bookmarkStart w:id="4473" w:name="Choices_in_Multiples"/>
      <w:bookmarkStart w:id="4474" w:name="Choices_in_Multiples__Firm_value"/>
      <w:pPr>
        <w:keepNext/>
        <w:pStyle w:val="Heading 3"/>
        <w:keepLines w:val="on"/>
      </w:pPr>
      <w:r>
        <w:t>Các lựa chọn về bội số</w:t>
      </w:r>
      <w:bookmarkEnd w:id="4473"/>
      <w:bookmarkEnd w:id="4474"/>
    </w:p>
    <w:p>
      <w:pPr>
        <w:pStyle w:val="Para 03"/>
      </w:pPr>
      <w:r>
        <w:t>Các bội số giá trị doanh nghiệp, như EV-to-EBITDA hay EV-to-EBIT, không thể dễ dàng được điều chỉnh để định giá các công ty dịch vụ tài chính, vì cả giá trị doanh nghiệp lẫn thu nhập hoạt động đều không thể dễ dàng ước tính cho các ngân hàng hay công ty bảo hiểm. Để phù hợp với trọng tâm của chúng ta là định giá vốn chủ sở hữu cho các công ty dịch vụ tài chính, các bội số mà chúng ta sẽ sử dụng để phân tích các công ty dịch vụ tài chính là các bội số vốn chủ sở hữu. Ba bội số vốn chủ sở hữu được sử dụng rộng rãi nhất là tỷ lệ giá trên thu nhập, tỷ lệ giá trên giá trị sổ sách và tỷ lệ giá trên doanh thu. Vì doanh thu hay doanh số không thực sự đo lường được đối với các công ty dịch vụ tài chính, nên tỷ lệ giá trên doanh thu không thể được ước tính hay sử dụng cho các công ty này. Phần này xem xét việc sử dụng tỷ lệ giá trên thu nhập và tỷ lệ giá trên giá trị sổ sách để định giá các công ty dịch vụ tài chính.</w:t>
      </w:r>
    </w:p>
    <w:p>
      <w:bookmarkStart w:id="4475" w:name="Price_Earnings_Ratios_1"/>
      <w:bookmarkStart w:id="4476" w:name="Price_Earnings_Ratios__The_price"/>
      <w:pPr>
        <w:keepNext/>
        <w:pStyle w:val="Heading 4"/>
        <w:keepLines w:val="on"/>
      </w:pPr>
      <w:r>
        <w:t>Tỷ lệ giá trên thu nhập</w:t>
      </w:r>
      <w:bookmarkEnd w:id="4475"/>
      <w:bookmarkEnd w:id="4476"/>
    </w:p>
    <w:p>
      <w:pPr>
        <w:pStyle w:val="Para 03"/>
      </w:pPr>
      <w:r>
        <w:t>Tỷ lệ giá trên thu nhập của một ngân hàng hay một công ty bảo hiểm được đo lường theo cách gần giống như đối với bất kỳ công ty nào khác.</w:t>
      </w:r>
    </w:p>
    <w:p>
      <w:bookmarkStart w:id="4477" w:name="PE_ratio_Market_capitalizationNe"/>
      <w:pPr>
        <w:keepNext/>
        <w:pStyle w:val="Para 09"/>
        <w:keepLines w:val="on"/>
      </w:pPr>
      <w:r>
        <w:t>Tỷ lệ PE = Vốn hóa thị trường / Thu nhập ròng</w:t>
      </w:r>
      <w:bookmarkEnd w:id="4477"/>
    </w:p>
    <w:p>
      <w:pPr>
        <w:pStyle w:val="Para 03"/>
      </w:pPr>
      <w:r>
        <w:t>Chương 18 đã lưu ý rằng tỷ lệ giá trên thu nhập là một hàm của ba biến số—tốc độ tăng trưởng kỳ vọng của thu nhập, tỷ lệ chi trả cổ tức và chi phí vốn chủ sở hữu. Như với các công ty khác, tỷ lệ giá trên thu nhập nên cao hơn đối với các công ty dịch vụ tài chính có tốc độ tăng trưởng thu nhập kỳ vọng cao hơn, tỷ lệ chi trả cổ tức cao hơn và chi phí vốn chủ sở hữu thấp hơn.</w:t>
      </w:r>
    </w:p>
    <w:p>
      <w:pPr>
        <w:pStyle w:val="Para 03"/>
      </w:pPr>
      <w:r>
        <w:t>Một vấn đề đặc thù của các công ty dịch vụ tài chính là việc sử dụng các khoản dự phòng cho chi phí kỳ vọng. Chẳng hạn, các ngân hàng thường xuyên trích lập dự phòng cho các khoản nợ xấu. Những khoản dự phòng này làm giảm thu nhập được báo cáo và ảnh hưởng đến tỷ lệ giá trên thu nhập được báo cáo. Do đó, các ngân hàng thận trọng hơn trong việc phân loại nợ xấu sẽ báo cáo thu nhập thấp hơn và có tỷ lệ giá trên thu nhập cao hơn, trong khi các ngân hàng kém thận trọng hơn sẽ báo cáo thu nhập cao hơn và tỷ lệ giá trên thu nhập thấp hơn.</w:t>
      </w:r>
    </w:p>
    <w:p>
      <w:pPr>
        <w:pStyle w:val="Para 03"/>
      </w:pPr>
      <w:r>
        <w:t>Một cân nhắc khác trong việc sử dụng các bội số thu nhập là sự đa dạng hóa của các công ty dịch vụ tài chính sang nhiều mảng kinh doanh. Bội số mà một nhà đầu tư sẵn sàng trả cho một đô-la thu nhập từ hoạt động cho vay thương mại nên rất khác với bội số mà cùng nhà đầu tư đó sẵn sàng trả cho một đô-la thu nhập từ hoạt động giao dịch tự doanh. Khi một công ty hoạt động trong nhiều mảng kinh doanh với các đặc điểm rủi ro, tăng trưởng và lợi nhuận khác nhau, thì rất khó tìm được những công ty thực sự có thể so sánh được và so sánh các bội số thu nhập được trả giữa các công ty. Trong trường hợp như vậy, việc phân tách thu nhập của công ty theo từng mảng kinh doanh và đánh giá giá trị của từng mảng kinh doanh riêng biệt hợp lý hơn nhiều.</w:t>
      </w:r>
    </w:p>
    <w:p>
      <w:pPr>
        <w:pStyle w:val="Para 11"/>
      </w:pPr>
      <w:r>
        <w:t/>
        <w:t xml:space="preserve"> </w:t>
      </w:r>
    </w:p>
    <w:p>
      <w:bookmarkStart w:id="4479" w:name="ILLUSTRATION_21_5__Comparing_PE_1"/>
      <w:bookmarkStart w:id="4480" w:name="ILLUSTRATION_21_5__Comparing_PE"/>
      <w:pPr>
        <w:keepNext/>
        <w:pStyle w:val="Para 19"/>
        <w:keepLines w:val="on"/>
      </w:pPr>
      <w:r>
        <w:t>MINH HỌA 21.5: So sánh tỷ lệ PE—Các công ty bảo hiểm Hoa Kỳ vào tháng 5 năm 2011</w:t>
      </w:r>
      <w:bookmarkEnd w:id="4479"/>
      <w:bookmarkEnd w:id="4480"/>
    </w:p>
    <w:p>
      <w:pPr>
        <w:pStyle w:val="Para 04"/>
        <w:keepLines w:val="on"/>
      </w:pPr>
      <w:r>
        <w:t>Bảng 21.5 tóm tắt các tỷ lệ giá trên thu nhập và các yếu tố cơ bản liên quan (ước tính của các nhà phân tích về tăng trưởng EPS kỳ vọng trong năm năm tới, tỷ lệ chi trả cổ tức, lợi nhuận trên vốn chủ sở hữu và beta) cho các công ty bảo hiểm Hoa Kỳ có vốn hóa thị trường vượt 1 tỷ đô-la.</w:t>
      </w:r>
    </w:p>
    <w:p>
      <w:pPr>
        <w:pStyle w:val="Para 25"/>
        <w:keepLines w:val="on"/>
      </w:pPr>
      <w:r>
        <w:t>Bảng 21.5</w:t>
      </w:r>
    </w:p>
    <w:p>
      <w:pPr>
        <w:keepNext/>
        <w:pStyle w:val="Para 24"/>
        <w:keepLines w:val="on"/>
      </w:pPr>
      <w:r>
        <w:t>Tỷ lệ PE và các yếu tố cơ bản—Các công ty bảo hiểm Hoa Kỳ</w:t>
      </w:r>
    </w:p>
    <w:tbl>
      <w:tblPr>
        <w:tblW w:type="auto" w:w="0"/>
      </w:tblPr>
      <w:tr>
        <w:tc>
          <w:tcPr>
            <w:tcW w:type="auto" w:w="0"/>
          </w:tcPr>
          <w:tbl>
            <w:tblPr>
              <w:tblW w:type="auto" w:w="0"/>
            </w:tblPr>
            <w:tr>
              <w:tc>
                <w:tcPr>
                  <w:tcW w:type="auto" w:w="0"/>
                  <w:shd w:val="clear" w:color="auto" w:fill="F0F0F0"/>
                </w:tcPr>
                <w:p>
                  <w:pPr>
                    <w:pStyle w:val="Para 32"/>
                    <w:keepLines w:val="on"/>
                  </w:pPr>
                  <w:r>
                    <w:t>Công ty</w:t>
                  </w:r>
                </w:p>
              </w:tc>
              <w:tc>
                <w:tcPr>
                  <w:tcW w:type="auto" w:w="0"/>
                  <w:shd w:val="clear" w:color="auto" w:fill="F0F0F0"/>
                </w:tcPr>
                <w:p>
                  <w:pPr>
                    <w:pStyle w:val="Para 05"/>
                    <w:keepLines w:val="on"/>
                  </w:pPr>
                  <w:r>
                    <w:t>PE</w:t>
                  </w:r>
                </w:p>
              </w:tc>
              <w:tc>
                <w:tcPr>
                  <w:tcW w:type="auto" w:w="0"/>
                  <w:shd w:val="clear" w:color="auto" w:fill="F0F0F0"/>
                </w:tcPr>
                <w:p>
                  <w:pPr>
                    <w:pStyle w:val="Para 05"/>
                    <w:keepLines w:val="on"/>
                  </w:pPr>
                  <w:r>
                    <w:t>Tỷ lệ chi trả cổ tức</w:t>
                  </w:r>
                </w:p>
              </w:tc>
              <w:tc>
                <w:tcPr>
                  <w:tcW w:type="auto" w:w="0"/>
                  <w:shd w:val="clear" w:color="auto" w:fill="F0F0F0"/>
                </w:tcPr>
                <w:p>
                  <w:pPr>
                    <w:pStyle w:val="Para 05"/>
                    <w:keepLines w:val="on"/>
                  </w:pPr>
                  <w:r>
                    <w:t>ROE</w:t>
                  </w:r>
                </w:p>
              </w:tc>
              <w:tc>
                <w:tcPr>
                  <w:tcW w:type="auto" w:w="0"/>
                  <w:shd w:val="clear" w:color="auto" w:fill="F0F0F0"/>
                </w:tcPr>
                <w:p>
                  <w:pPr>
                    <w:pStyle w:val="Para 05"/>
                    <w:keepLines w:val="on"/>
                  </w:pPr>
                  <w:r>
                    <w:t>Tăng trưởng</w:t>
                  </w:r>
                </w:p>
              </w:tc>
              <w:tc>
                <w:tcPr>
                  <w:tcW w:type="auto" w:w="0"/>
                  <w:shd w:val="clear" w:color="auto" w:fill="F0F0F0"/>
                </w:tcPr>
                <w:p>
                  <w:pPr>
                    <w:pStyle w:val="Para 05"/>
                    <w:keepLines w:val="on"/>
                  </w:pPr>
                  <w:r>
                    <w:t>Beta</w:t>
                  </w:r>
                </w:p>
              </w:tc>
            </w:tr>
            <w:tr>
              <w:tc>
                <w:tcPr>
                  <w:tcW w:type="auto" w:w="0"/>
                  <w:shd w:val="clear" w:color="auto" w:fill="F0F0F0"/>
                </w:tcPr>
                <w:p>
                  <w:pPr>
                    <w:pStyle w:val="Para 02"/>
                    <w:keepLines w:val="on"/>
                  </w:pPr>
                  <w:r>
                    <w:t>CNO Financial Group, Inc. (NYSE:CNO)</w:t>
                  </w:r>
                </w:p>
              </w:tc>
              <w:tc>
                <w:tcPr>
                  <w:tcW w:type="auto" w:w="0"/>
                  <w:shd w:val="clear" w:color="auto" w:fill="F0F0F0"/>
                </w:tcPr>
                <w:p>
                  <w:pPr>
                    <w:pStyle w:val="Normal"/>
                    <w:keepLines w:val="on"/>
                  </w:pPr>
                  <w:r>
                    <w:t>6,31</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7,04%</w:t>
                  </w:r>
                </w:p>
              </w:tc>
              <w:tc>
                <w:tcPr>
                  <w:tcW w:type="auto" w:w="0"/>
                  <w:shd w:val="clear" w:color="auto" w:fill="F0F0F0"/>
                </w:tcPr>
                <w:p>
                  <w:pPr>
                    <w:pStyle w:val="Normal"/>
                    <w:keepLines w:val="on"/>
                  </w:pPr>
                  <w:r>
                    <w:t>13,00%</w:t>
                  </w:r>
                </w:p>
              </w:tc>
              <w:tc>
                <w:tcPr>
                  <w:tcW w:type="auto" w:w="0"/>
                  <w:shd w:val="clear" w:color="auto" w:fill="F0F0F0"/>
                </w:tcPr>
                <w:p>
                  <w:pPr>
                    <w:pStyle w:val="Normal"/>
                    <w:keepLines w:val="on"/>
                  </w:pPr>
                  <w:r>
                    <w:t>2,91</w:t>
                  </w:r>
                </w:p>
              </w:tc>
            </w:tr>
            <w:tr>
              <w:tc>
                <w:tcPr>
                  <w:tcW w:type="auto" w:w="0"/>
                  <w:shd w:val="clear" w:color="auto" w:fill="F0F0F0"/>
                </w:tcPr>
                <w:p>
                  <w:pPr>
                    <w:pStyle w:val="Para 02"/>
                    <w:keepLines w:val="on"/>
                  </w:pPr>
                  <w:r>
                    <w:t>Hartford Financial Services Group Inc. (NYSE:HIG)</w:t>
                  </w:r>
                </w:p>
              </w:tc>
              <w:tc>
                <w:tcPr>
                  <w:tcW w:type="auto" w:w="0"/>
                  <w:shd w:val="clear" w:color="auto" w:fill="F0F0F0"/>
                </w:tcPr>
                <w:p>
                  <w:pPr>
                    <w:pStyle w:val="Normal"/>
                    <w:keepLines w:val="on"/>
                  </w:pPr>
                  <w:r>
                    <w:t>6,31</w:t>
                  </w:r>
                </w:p>
              </w:tc>
              <w:tc>
                <w:tcPr>
                  <w:tcW w:type="auto" w:w="0"/>
                  <w:shd w:val="clear" w:color="auto" w:fill="F0F0F0"/>
                </w:tcPr>
                <w:p>
                  <w:pPr>
                    <w:pStyle w:val="Normal"/>
                    <w:keepLines w:val="on"/>
                  </w:pPr>
                  <w:r>
                    <w:t>4,49%</w:t>
                  </w:r>
                </w:p>
              </w:tc>
              <w:tc>
                <w:tcPr>
                  <w:tcW w:type="auto" w:w="0"/>
                  <w:shd w:val="clear" w:color="auto" w:fill="F0F0F0"/>
                </w:tcPr>
                <w:p>
                  <w:pPr>
                    <w:pStyle w:val="Normal"/>
                    <w:keepLines w:val="on"/>
                  </w:pPr>
                  <w:r>
                    <w:t>9,48%</w:t>
                  </w:r>
                </w:p>
              </w:tc>
              <w:tc>
                <w:tcPr>
                  <w:tcW w:type="auto" w:w="0"/>
                  <w:shd w:val="clear" w:color="auto" w:fill="F0F0F0"/>
                </w:tcPr>
                <w:p>
                  <w:pPr>
                    <w:pStyle w:val="Normal"/>
                    <w:keepLines w:val="on"/>
                  </w:pPr>
                  <w:r>
                    <w:t>7,95%</w:t>
                  </w:r>
                </w:p>
              </w:tc>
              <w:tc>
                <w:tcPr>
                  <w:tcW w:type="auto" w:w="0"/>
                  <w:shd w:val="clear" w:color="auto" w:fill="F0F0F0"/>
                </w:tcPr>
                <w:p>
                  <w:pPr>
                    <w:pStyle w:val="Normal"/>
                    <w:keepLines w:val="on"/>
                  </w:pPr>
                  <w:r>
                    <w:t>2,78</w:t>
                  </w:r>
                </w:p>
              </w:tc>
            </w:tr>
            <w:tr>
              <w:tc>
                <w:tcPr>
                  <w:tcW w:type="auto" w:w="0"/>
                  <w:shd w:val="clear" w:color="auto" w:fill="F0F0F0"/>
                </w:tcPr>
                <w:p>
                  <w:pPr>
                    <w:pStyle w:val="Para 02"/>
                    <w:keepLines w:val="on"/>
                  </w:pPr>
                  <w:r>
                    <w:t>Reinsurance Group of America Inc. (NYSE:RGA)</w:t>
                  </w:r>
                </w:p>
              </w:tc>
              <w:tc>
                <w:tcPr>
                  <w:tcW w:type="auto" w:w="0"/>
                  <w:shd w:val="clear" w:color="auto" w:fill="F0F0F0"/>
                </w:tcPr>
                <w:p>
                  <w:pPr>
                    <w:pStyle w:val="Normal"/>
                    <w:keepLines w:val="on"/>
                  </w:pPr>
                  <w:r>
                    <w:t>7,53</w:t>
                  </w:r>
                </w:p>
              </w:tc>
              <w:tc>
                <w:tcPr>
                  <w:tcW w:type="auto" w:w="0"/>
                  <w:shd w:val="clear" w:color="auto" w:fill="F0F0F0"/>
                </w:tcPr>
                <w:p>
                  <w:pPr>
                    <w:pStyle w:val="Normal"/>
                    <w:keepLines w:val="on"/>
                  </w:pPr>
                  <w:r>
                    <w:t>5,74%</w:t>
                  </w:r>
                </w:p>
              </w:tc>
              <w:tc>
                <w:tcPr>
                  <w:tcW w:type="auto" w:w="0"/>
                  <w:shd w:val="clear" w:color="auto" w:fill="F0F0F0"/>
                </w:tcPr>
                <w:p>
                  <w:pPr>
                    <w:pStyle w:val="Normal"/>
                    <w:keepLines w:val="on"/>
                  </w:pPr>
                  <w:r>
                    <w:t>12,16%</w:t>
                  </w:r>
                </w:p>
              </w:tc>
              <w:tc>
                <w:tcPr>
                  <w:tcW w:type="auto" w:w="0"/>
                  <w:shd w:val="clear" w:color="auto" w:fill="F0F0F0"/>
                </w:tcPr>
                <w:p>
                  <w:pPr>
                    <w:pStyle w:val="Normal"/>
                    <w:keepLines w:val="on"/>
                  </w:pPr>
                  <w:r>
                    <w:t>12,20%</w:t>
                  </w:r>
                </w:p>
              </w:tc>
              <w:tc>
                <w:tcPr>
                  <w:tcW w:type="auto" w:w="0"/>
                  <w:shd w:val="clear" w:color="auto" w:fill="F0F0F0"/>
                </w:tcPr>
                <w:p>
                  <w:pPr>
                    <w:pStyle w:val="Normal"/>
                    <w:keepLines w:val="on"/>
                  </w:pPr>
                  <w:r>
                    <w:t>1,33</w:t>
                  </w:r>
                </w:p>
              </w:tc>
            </w:tr>
            <w:tr>
              <w:tc>
                <w:tcPr>
                  <w:tcW w:type="auto" w:w="0"/>
                  <w:shd w:val="clear" w:color="auto" w:fill="F0F0F0"/>
                </w:tcPr>
                <w:p>
                  <w:pPr>
                    <w:pStyle w:val="Para 02"/>
                    <w:keepLines w:val="on"/>
                  </w:pPr>
                  <w:r>
                    <w:t>Travelers Companies, Inc. (NYSE:TRV)</w:t>
                  </w:r>
                </w:p>
              </w:tc>
              <w:tc>
                <w:tcPr>
                  <w:tcW w:type="auto" w:w="0"/>
                  <w:shd w:val="clear" w:color="auto" w:fill="F0F0F0"/>
                </w:tcPr>
                <w:p>
                  <w:pPr>
                    <w:pStyle w:val="Normal"/>
                    <w:keepLines w:val="on"/>
                  </w:pPr>
                  <w:r>
                    <w:t>7,56</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13,41%</w:t>
                  </w:r>
                </w:p>
              </w:tc>
              <w:tc>
                <w:tcPr>
                  <w:tcW w:type="auto" w:w="0"/>
                  <w:shd w:val="clear" w:color="auto" w:fill="F0F0F0"/>
                </w:tcPr>
                <w:p>
                  <w:pPr>
                    <w:pStyle w:val="Normal"/>
                    <w:keepLines w:val="on"/>
                  </w:pPr>
                  <w:r>
                    <w:t>8,60%</w:t>
                  </w:r>
                </w:p>
              </w:tc>
              <w:tc>
                <w:tcPr>
                  <w:tcW w:type="auto" w:w="0"/>
                  <w:shd w:val="clear" w:color="auto" w:fill="F0F0F0"/>
                </w:tcPr>
                <w:p>
                  <w:pPr>
                    <w:pStyle w:val="Normal"/>
                    <w:keepLines w:val="on"/>
                  </w:pPr>
                  <w:r>
                    <w:t>0,65</w:t>
                  </w:r>
                </w:p>
              </w:tc>
            </w:tr>
            <w:tr>
              <w:tc>
                <w:tcPr>
                  <w:tcW w:type="auto" w:w="0"/>
                  <w:shd w:val="clear" w:color="auto" w:fill="F0F0F0"/>
                </w:tcPr>
                <w:p>
                  <w:pPr>
                    <w:pStyle w:val="Para 02"/>
                    <w:keepLines w:val="on"/>
                  </w:pPr>
                  <w:r>
                    <w:t>Protective Life Corp. (NYSE:PL)</w:t>
                  </w:r>
                </w:p>
              </w:tc>
              <w:tc>
                <w:tcPr>
                  <w:tcW w:type="auto" w:w="0"/>
                  <w:shd w:val="clear" w:color="auto" w:fill="F0F0F0"/>
                </w:tcPr>
                <w:p>
                  <w:pPr>
                    <w:pStyle w:val="Normal"/>
                    <w:keepLines w:val="on"/>
                  </w:pPr>
                  <w:r>
                    <w:t>8.01</w:t>
                  </w:r>
                </w:p>
              </w:tc>
              <w:tc>
                <w:tcPr>
                  <w:tcW w:type="auto" w:w="0"/>
                  <w:shd w:val="clear" w:color="auto" w:fill="F0F0F0"/>
                </w:tcPr>
                <w:p>
                  <w:pPr>
                    <w:pStyle w:val="Normal"/>
                    <w:keepLines w:val="on"/>
                  </w:pPr>
                  <w:r>
                    <w:t>18,60%</w:t>
                  </w:r>
                </w:p>
              </w:tc>
              <w:tc>
                <w:tcPr>
                  <w:tcW w:type="auto" w:w="0"/>
                  <w:shd w:val="clear" w:color="auto" w:fill="F0F0F0"/>
                </w:tcPr>
                <w:p>
                  <w:pPr>
                    <w:pStyle w:val="Normal"/>
                    <w:keepLines w:val="on"/>
                  </w:pPr>
                  <w:r>
                    <w:t>7,75%</w:t>
                  </w:r>
                </w:p>
              </w:tc>
              <w:tc>
                <w:tcPr>
                  <w:tcW w:type="auto" w:w="0"/>
                  <w:shd w:val="clear" w:color="auto" w:fill="F0F0F0"/>
                </w:tcPr>
                <w:p>
                  <w:pPr>
                    <w:pStyle w:val="Normal"/>
                    <w:keepLines w:val="on"/>
                  </w:pPr>
                  <w:r>
                    <w:t>10,30%</w:t>
                  </w:r>
                </w:p>
              </w:tc>
              <w:tc>
                <w:tcPr>
                  <w:tcW w:type="auto" w:w="0"/>
                  <w:shd w:val="clear" w:color="auto" w:fill="F0F0F0"/>
                </w:tcPr>
                <w:p>
                  <w:pPr>
                    <w:pStyle w:val="Normal"/>
                    <w:keepLines w:val="on"/>
                  </w:pPr>
                  <w:r>
                    <w:t>2,28</w:t>
                  </w:r>
                </w:p>
              </w:tc>
            </w:tr>
            <w:tr>
              <w:tc>
                <w:tcPr>
                  <w:tcW w:type="auto" w:w="0"/>
                  <w:shd w:val="clear" w:color="auto" w:fill="F0F0F0"/>
                </w:tcPr>
                <w:p>
                  <w:pPr>
                    <w:pStyle w:val="Para 02"/>
                    <w:keepLines w:val="on"/>
                  </w:pPr>
                  <w:r>
                    <w:t>American Financial Group Inc. (NYSE:AFG)</w:t>
                  </w:r>
                </w:p>
              </w:tc>
              <w:tc>
                <w:tcPr>
                  <w:tcW w:type="auto" w:w="0"/>
                  <w:shd w:val="clear" w:color="auto" w:fill="F0F0F0"/>
                </w:tcPr>
                <w:p>
                  <w:pPr>
                    <w:pStyle w:val="Normal"/>
                    <w:keepLines w:val="on"/>
                  </w:pPr>
                  <w:r>
                    <w:t>8.03</w:t>
                  </w:r>
                </w:p>
              </w:tc>
              <w:tc>
                <w:tcPr>
                  <w:tcW w:type="auto" w:w="0"/>
                  <w:shd w:val="clear" w:color="auto" w:fill="F0F0F0"/>
                </w:tcPr>
                <w:p>
                  <w:pPr>
                    <w:pStyle w:val="Normal"/>
                    <w:keepLines w:val="on"/>
                  </w:pPr>
                  <w:r>
                    <w:t>14,04%</w:t>
                  </w:r>
                </w:p>
              </w:tc>
              <w:tc>
                <w:tcPr>
                  <w:tcW w:type="auto" w:w="0"/>
                  <w:shd w:val="clear" w:color="auto" w:fill="F0F0F0"/>
                </w:tcPr>
                <w:p>
                  <w:pPr>
                    <w:pStyle w:val="Normal"/>
                    <w:keepLines w:val="on"/>
                  </w:pPr>
                  <w:r>
                    <w:t>10,20%</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1,00</w:t>
                  </w:r>
                </w:p>
              </w:tc>
            </w:tr>
            <w:tr>
              <w:tc>
                <w:tcPr>
                  <w:tcW w:type="auto" w:w="0"/>
                  <w:shd w:val="clear" w:color="auto" w:fill="F0F0F0"/>
                </w:tcPr>
                <w:p>
                  <w:pPr>
                    <w:pStyle w:val="Para 02"/>
                    <w:keepLines w:val="on"/>
                  </w:pPr>
                  <w:r>
                    <w:t>Delphi Financial Group, Inc. (NYSE:DFG)</w:t>
                  </w:r>
                </w:p>
              </w:tc>
              <w:tc>
                <w:tcPr>
                  <w:tcW w:type="auto" w:w="0"/>
                  <w:shd w:val="clear" w:color="auto" w:fill="F0F0F0"/>
                </w:tcPr>
                <w:p>
                  <w:pPr>
                    <w:pStyle w:val="Normal"/>
                    <w:keepLines w:val="on"/>
                  </w:pPr>
                  <w:r>
                    <w:t>8,44</w:t>
                  </w:r>
                </w:p>
              </w:tc>
              <w:tc>
                <w:tcPr>
                  <w:tcW w:type="auto" w:w="0"/>
                  <w:shd w:val="clear" w:color="auto" w:fill="F0F0F0"/>
                </w:tcPr>
                <w:p>
                  <w:pPr>
                    <w:pStyle w:val="Normal"/>
                    <w:keepLines w:val="on"/>
                  </w:pPr>
                  <w:r>
                    <w:t>12,79%</w:t>
                  </w:r>
                </w:p>
              </w:tc>
              <w:tc>
                <w:tcPr>
                  <w:tcW w:type="auto" w:w="0"/>
                  <w:shd w:val="clear" w:color="auto" w:fill="F0F0F0"/>
                </w:tcPr>
                <w:p>
                  <w:pPr>
                    <w:pStyle w:val="Normal"/>
                    <w:keepLines w:val="on"/>
                  </w:pPr>
                  <w:r>
                    <w:t>11,72%</w:t>
                  </w:r>
                </w:p>
              </w:tc>
              <w:tc>
                <w:tcPr>
                  <w:tcW w:type="auto" w:w="0"/>
                  <w:shd w:val="clear" w:color="auto" w:fill="F0F0F0"/>
                </w:tcPr>
                <w:p>
                  <w:pPr>
                    <w:pStyle w:val="Normal"/>
                    <w:keepLines w:val="on"/>
                  </w:pPr>
                  <w:r>
                    <w:t>10,30%</w:t>
                  </w:r>
                </w:p>
              </w:tc>
              <w:tc>
                <w:tcPr>
                  <w:tcW w:type="auto" w:w="0"/>
                  <w:shd w:val="clear" w:color="auto" w:fill="F0F0F0"/>
                </w:tcPr>
                <w:p>
                  <w:pPr>
                    <w:pStyle w:val="Normal"/>
                    <w:keepLines w:val="on"/>
                  </w:pPr>
                  <w:r>
                    <w:t>1,68</w:t>
                  </w:r>
                </w:p>
              </w:tc>
            </w:tr>
            <w:tr>
              <w:tc>
                <w:tcPr>
                  <w:tcW w:type="auto" w:w="0"/>
                  <w:shd w:val="clear" w:color="auto" w:fill="F0F0F0"/>
                </w:tcPr>
                <w:p>
                  <w:pPr>
                    <w:pStyle w:val="Para 02"/>
                    <w:keepLines w:val="on"/>
                  </w:pPr>
                  <w:r>
                    <w:t>Chubb Corporation (NYSE:CB)</w:t>
                  </w:r>
                </w:p>
              </w:tc>
              <w:tc>
                <w:tcPr>
                  <w:tcW w:type="auto" w:w="0"/>
                  <w:shd w:val="clear" w:color="auto" w:fill="F0F0F0"/>
                </w:tcPr>
                <w:p>
                  <w:pPr>
                    <w:pStyle w:val="Normal"/>
                    <w:keepLines w:val="on"/>
                  </w:pPr>
                  <w:r>
                    <w:t>8,56</w:t>
                  </w:r>
                </w:p>
              </w:tc>
              <w:tc>
                <w:tcPr>
                  <w:tcW w:type="auto" w:w="0"/>
                  <w:shd w:val="clear" w:color="auto" w:fill="F0F0F0"/>
                </w:tcPr>
                <w:p>
                  <w:pPr>
                    <w:pStyle w:val="Normal"/>
                    <w:keepLines w:val="on"/>
                  </w:pPr>
                  <w:r>
                    <w:t>21,00%</w:t>
                  </w:r>
                </w:p>
              </w:tc>
              <w:tc>
                <w:tcPr>
                  <w:tcW w:type="auto" w:w="0"/>
                  <w:shd w:val="clear" w:color="auto" w:fill="F0F0F0"/>
                </w:tcPr>
                <w:p>
                  <w:pPr>
                    <w:pStyle w:val="Normal"/>
                    <w:keepLines w:val="on"/>
                  </w:pPr>
                  <w:r>
                    <w:t>14,29%</w:t>
                  </w:r>
                </w:p>
              </w:tc>
              <w:tc>
                <w:tcPr>
                  <w:tcW w:type="auto" w:w="0"/>
                  <w:shd w:val="clear" w:color="auto" w:fill="F0F0F0"/>
                </w:tcPr>
                <w:p>
                  <w:pPr>
                    <w:pStyle w:val="Normal"/>
                    <w:keepLines w:val="on"/>
                  </w:pPr>
                  <w:r>
                    <w:t>9,33%</w:t>
                  </w:r>
                </w:p>
              </w:tc>
              <w:tc>
                <w:tcPr>
                  <w:tcW w:type="auto" w:w="0"/>
                  <w:shd w:val="clear" w:color="auto" w:fill="F0F0F0"/>
                </w:tcPr>
                <w:p>
                  <w:pPr>
                    <w:pStyle w:val="Normal"/>
                    <w:keepLines w:val="on"/>
                  </w:pPr>
                  <w:r>
                    <w:t>0,80</w:t>
                  </w:r>
                </w:p>
              </w:tc>
            </w:tr>
            <w:tr>
              <w:tc>
                <w:tcPr>
                  <w:tcW w:type="auto" w:w="0"/>
                  <w:shd w:val="clear" w:color="auto" w:fill="F0F0F0"/>
                </w:tcPr>
                <w:p>
                  <w:pPr>
                    <w:pStyle w:val="Para 02"/>
                    <w:keepLines w:val="on"/>
                  </w:pPr>
                  <w:r>
                    <w:t>American International Group, Inc. (NYSE:AIG)</w:t>
                  </w:r>
                </w:p>
              </w:tc>
              <w:tc>
                <w:tcPr>
                  <w:tcW w:type="auto" w:w="0"/>
                  <w:shd w:val="clear" w:color="auto" w:fill="F0F0F0"/>
                </w:tcPr>
                <w:p>
                  <w:pPr>
                    <w:pStyle w:val="Normal"/>
                    <w:keepLines w:val="on"/>
                  </w:pPr>
                  <w:r>
                    <w:t>8,73</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17,26%</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2,48</w:t>
                  </w:r>
                </w:p>
              </w:tc>
            </w:tr>
            <w:tr>
              <w:tc>
                <w:tcPr>
                  <w:tcW w:type="auto" w:w="0"/>
                  <w:shd w:val="clear" w:color="auto" w:fill="F0F0F0"/>
                </w:tcPr>
                <w:p>
                  <w:pPr>
                    <w:pStyle w:val="Para 02"/>
                    <w:keepLines w:val="on"/>
                  </w:pPr>
                  <w:r>
                    <w:t>Lincoln National Corp. (NYSE:LNC)</w:t>
                  </w:r>
                </w:p>
              </w:tc>
              <w:tc>
                <w:tcPr>
                  <w:tcW w:type="auto" w:w="0"/>
                  <w:shd w:val="clear" w:color="auto" w:fill="F0F0F0"/>
                </w:tcPr>
                <w:p>
                  <w:pPr>
                    <w:pStyle w:val="Normal"/>
                    <w:keepLines w:val="on"/>
                  </w:pPr>
                  <w:r>
                    <w:t>8,74</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8,09%</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2,48</w:t>
                  </w:r>
                </w:p>
              </w:tc>
            </w:tr>
            <w:tr>
              <w:tc>
                <w:tcPr>
                  <w:tcW w:type="auto" w:w="0"/>
                  <w:shd w:val="clear" w:color="auto" w:fill="F0F0F0"/>
                </w:tcPr>
                <w:p>
                  <w:pPr>
                    <w:pStyle w:val="Para 02"/>
                    <w:keepLines w:val="on"/>
                  </w:pPr>
                  <w:r>
                    <w:t>ProAssurance Corporation (NYSE:PRA)</w:t>
                  </w:r>
                </w:p>
              </w:tc>
              <w:tc>
                <w:tcPr>
                  <w:tcW w:type="auto" w:w="0"/>
                  <w:shd w:val="clear" w:color="auto" w:fill="F0F0F0"/>
                </w:tcPr>
                <w:p>
                  <w:pPr>
                    <w:pStyle w:val="Normal"/>
                    <w:keepLines w:val="on"/>
                  </w:pPr>
                  <w:r>
                    <w:t>8,82</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13,00%</w:t>
                  </w:r>
                </w:p>
              </w:tc>
              <w:tc>
                <w:tcPr>
                  <w:tcW w:type="auto" w:w="0"/>
                  <w:shd w:val="clear" w:color="auto" w:fill="F0F0F0"/>
                </w:tcPr>
                <w:p>
                  <w:pPr>
                    <w:pStyle w:val="Normal"/>
                    <w:keepLines w:val="on"/>
                  </w:pPr>
                  <w:r>
                    <w:t>10,30%</w:t>
                  </w:r>
                </w:p>
              </w:tc>
              <w:tc>
                <w:tcPr>
                  <w:tcW w:type="auto" w:w="0"/>
                  <w:shd w:val="clear" w:color="auto" w:fill="F0F0F0"/>
                </w:tcPr>
                <w:p>
                  <w:pPr>
                    <w:pStyle w:val="Normal"/>
                    <w:keepLines w:val="on"/>
                  </w:pPr>
                  <w:r>
                    <w:t>0,83</w:t>
                  </w:r>
                </w:p>
              </w:tc>
            </w:tr>
            <w:tr>
              <w:tc>
                <w:tcPr>
                  <w:tcW w:type="auto" w:w="0"/>
                  <w:shd w:val="clear" w:color="auto" w:fill="F0F0F0"/>
                </w:tcPr>
                <w:p>
                  <w:pPr>
                    <w:pStyle w:val="Para 02"/>
                    <w:keepLines w:val="on"/>
                  </w:pPr>
                  <w:r>
                    <w:t>AmTrust Financial Services, Inc. (NasdaqGS:AFSI)</w:t>
                  </w:r>
                </w:p>
              </w:tc>
              <w:tc>
                <w:tcPr>
                  <w:tcW w:type="auto" w:w="0"/>
                  <w:shd w:val="clear" w:color="auto" w:fill="F0F0F0"/>
                </w:tcPr>
                <w:p>
                  <w:pPr>
                    <w:pStyle w:val="Normal"/>
                    <w:keepLines w:val="on"/>
                  </w:pPr>
                  <w:r>
                    <w:t>8,90</w:t>
                  </w:r>
                </w:p>
              </w:tc>
              <w:tc>
                <w:tcPr>
                  <w:tcW w:type="auto" w:w="0"/>
                  <w:shd w:val="clear" w:color="auto" w:fill="F0F0F0"/>
                </w:tcPr>
                <w:p>
                  <w:pPr>
                    <w:pStyle w:val="Normal"/>
                    <w:keepLines w:val="on"/>
                  </w:pPr>
                  <w:r>
                    <w:t>11,95%</w:t>
                  </w:r>
                </w:p>
              </w:tc>
              <w:tc>
                <w:tcPr>
                  <w:tcW w:type="auto" w:w="0"/>
                  <w:shd w:val="clear" w:color="auto" w:fill="F0F0F0"/>
                </w:tcPr>
                <w:p>
                  <w:pPr>
                    <w:pStyle w:val="Normal"/>
                    <w:keepLines w:val="on"/>
                  </w:pPr>
                  <w:r>
                    <w:t>20,78%</w:t>
                  </w:r>
                </w:p>
              </w:tc>
              <w:tc>
                <w:tcPr>
                  <w:tcW w:type="auto" w:w="0"/>
                  <w:shd w:val="clear" w:color="auto" w:fill="F0F0F0"/>
                </w:tcPr>
                <w:p>
                  <w:pPr>
                    <w:pStyle w:val="Normal"/>
                    <w:keepLines w:val="on"/>
                  </w:pPr>
                  <w:r>
                    <w:t>13,00%</w:t>
                  </w:r>
                </w:p>
              </w:tc>
              <w:tc>
                <w:tcPr>
                  <w:tcW w:type="auto" w:w="0"/>
                  <w:shd w:val="clear" w:color="auto" w:fill="F0F0F0"/>
                </w:tcPr>
                <w:p>
                  <w:pPr>
                    <w:pStyle w:val="Normal"/>
                    <w:keepLines w:val="on"/>
                  </w:pPr>
                  <w:r>
                    <w:t>0,98</w:t>
                  </w:r>
                </w:p>
              </w:tc>
            </w:tr>
            <w:tr>
              <w:tc>
                <w:tcPr>
                  <w:tcW w:type="auto" w:w="0"/>
                  <w:shd w:val="clear" w:color="auto" w:fill="F0F0F0"/>
                </w:tcPr>
                <w:p>
                  <w:pPr>
                    <w:pStyle w:val="Para 02"/>
                    <w:keepLines w:val="on"/>
                  </w:pPr>
                  <w:r>
                    <w:t>Fidelity National Financial, Inc. (NYSE:FNF)</w:t>
                  </w:r>
                </w:p>
              </w:tc>
              <w:tc>
                <w:tcPr>
                  <w:tcW w:type="auto" w:w="0"/>
                  <w:shd w:val="clear" w:color="auto" w:fill="F0F0F0"/>
                </w:tcPr>
                <w:p>
                  <w:pPr>
                    <w:pStyle w:val="Normal"/>
                    <w:keepLines w:val="on"/>
                  </w:pPr>
                  <w:r>
                    <w:t>8,91</w:t>
                  </w:r>
                </w:p>
              </w:tc>
              <w:tc>
                <w:tcPr>
                  <w:tcW w:type="auto" w:w="0"/>
                  <w:shd w:val="clear" w:color="auto" w:fill="F0F0F0"/>
                </w:tcPr>
                <w:p>
                  <w:pPr>
                    <w:pStyle w:val="Normal"/>
                    <w:keepLines w:val="on"/>
                  </w:pPr>
                  <w:r>
                    <w:t>37,57%</w:t>
                  </w:r>
                </w:p>
              </w:tc>
              <w:tc>
                <w:tcPr>
                  <w:tcW w:type="auto" w:w="0"/>
                  <w:shd w:val="clear" w:color="auto" w:fill="F0F0F0"/>
                </w:tcPr>
                <w:p>
                  <w:pPr>
                    <w:pStyle w:val="Normal"/>
                    <w:keepLines w:val="on"/>
                  </w:pPr>
                  <w:r>
                    <w:t>11,56%</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0,81</w:t>
                  </w:r>
                </w:p>
              </w:tc>
            </w:tr>
            <w:tr>
              <w:tc>
                <w:tcPr>
                  <w:tcW w:type="auto" w:w="0"/>
                  <w:shd w:val="clear" w:color="auto" w:fill="F0F0F0"/>
                </w:tcPr>
                <w:p>
                  <w:pPr>
                    <w:pStyle w:val="Para 02"/>
                    <w:keepLines w:val="on"/>
                  </w:pPr>
                  <w:r>
                    <w:t>Unum Group (NYSE:UNM)</w:t>
                  </w:r>
                </w:p>
              </w:tc>
              <w:tc>
                <w:tcPr>
                  <w:tcW w:type="auto" w:w="0"/>
                  <w:shd w:val="clear" w:color="auto" w:fill="F0F0F0"/>
                </w:tcPr>
                <w:p>
                  <w:pPr>
                    <w:pStyle w:val="Normal"/>
                    <w:keepLines w:val="on"/>
                  </w:pPr>
                  <w:r>
                    <w:t>9,11</w:t>
                  </w:r>
                </w:p>
              </w:tc>
              <w:tc>
                <w:tcPr>
                  <w:tcW w:type="auto" w:w="0"/>
                  <w:shd w:val="clear" w:color="auto" w:fill="F0F0F0"/>
                </w:tcPr>
                <w:p>
                  <w:pPr>
                    <w:pStyle w:val="Normal"/>
                    <w:keepLines w:val="on"/>
                  </w:pPr>
                  <w:r>
                    <w:t>13,27%</w:t>
                  </w:r>
                </w:p>
              </w:tc>
              <w:tc>
                <w:tcPr>
                  <w:tcW w:type="auto" w:w="0"/>
                  <w:shd w:val="clear" w:color="auto" w:fill="F0F0F0"/>
                </w:tcPr>
                <w:p>
                  <w:pPr>
                    <w:pStyle w:val="Normal"/>
                    <w:keepLines w:val="on"/>
                  </w:pPr>
                  <w:r>
                    <w:t>9,86%</w:t>
                  </w:r>
                </w:p>
              </w:tc>
              <w:tc>
                <w:tcPr>
                  <w:tcW w:type="auto" w:w="0"/>
                  <w:shd w:val="clear" w:color="auto" w:fill="F0F0F0"/>
                </w:tcPr>
                <w:p>
                  <w:pPr>
                    <w:pStyle w:val="Normal"/>
                    <w:keepLines w:val="on"/>
                  </w:pPr>
                  <w:r>
                    <w:t>12,30%</w:t>
                  </w:r>
                </w:p>
              </w:tc>
              <w:tc>
                <w:tcPr>
                  <w:tcW w:type="auto" w:w="0"/>
                  <w:shd w:val="clear" w:color="auto" w:fill="F0F0F0"/>
                </w:tcPr>
                <w:p>
                  <w:pPr>
                    <w:pStyle w:val="Normal"/>
                    <w:keepLines w:val="on"/>
                  </w:pPr>
                  <w:r>
                    <w:t>1,50</w:t>
                  </w:r>
                </w:p>
              </w:tc>
            </w:tr>
            <w:tr>
              <w:tc>
                <w:tcPr>
                  <w:tcW w:type="auto" w:w="0"/>
                  <w:shd w:val="clear" w:color="auto" w:fill="F0F0F0"/>
                </w:tcPr>
                <w:p>
                  <w:pPr>
                    <w:pStyle w:val="Para 02"/>
                    <w:keepLines w:val="on"/>
                  </w:pPr>
                  <w:r>
                    <w:t>Unitrin Inc. (NYSE:UTR)</w:t>
                  </w:r>
                </w:p>
              </w:tc>
              <w:tc>
                <w:tcPr>
                  <w:tcW w:type="auto" w:w="0"/>
                  <w:shd w:val="clear" w:color="auto" w:fill="F0F0F0"/>
                </w:tcPr>
                <w:p>
                  <w:pPr>
                    <w:pStyle w:val="Normal"/>
                    <w:keepLines w:val="on"/>
                  </w:pPr>
                  <w:r>
                    <w:t>9,48</w:t>
                  </w:r>
                </w:p>
              </w:tc>
              <w:tc>
                <w:tcPr>
                  <w:tcW w:type="auto" w:w="0"/>
                  <w:shd w:val="clear" w:color="auto" w:fill="F0F0F0"/>
                </w:tcPr>
                <w:p>
                  <w:pPr>
                    <w:pStyle w:val="Normal"/>
                    <w:keepLines w:val="on"/>
                  </w:pPr>
                  <w:r>
                    <w:t>29,19%</w:t>
                  </w:r>
                </w:p>
              </w:tc>
              <w:tc>
                <w:tcPr>
                  <w:tcW w:type="auto" w:w="0"/>
                  <w:shd w:val="clear" w:color="auto" w:fill="F0F0F0"/>
                </w:tcPr>
                <w:p>
                  <w:pPr>
                    <w:pStyle w:val="Normal"/>
                    <w:keepLines w:val="on"/>
                  </w:pPr>
                  <w:r>
                    <w:t>9,01%</w:t>
                  </w:r>
                </w:p>
              </w:tc>
              <w:tc>
                <w:tcPr>
                  <w:tcW w:type="auto" w:w="0"/>
                  <w:shd w:val="clear" w:color="auto" w:fill="F0F0F0"/>
                </w:tcPr>
                <w:p>
                  <w:pPr>
                    <w:pStyle w:val="Normal"/>
                    <w:keepLines w:val="on"/>
                  </w:pPr>
                  <w:r>
                    <w:t>7,00%</w:t>
                  </w:r>
                </w:p>
              </w:tc>
              <w:tc>
                <w:tcPr>
                  <w:tcW w:type="auto" w:w="0"/>
                  <w:shd w:val="clear" w:color="auto" w:fill="F0F0F0"/>
                </w:tcPr>
                <w:p>
                  <w:pPr>
                    <w:pStyle w:val="Normal"/>
                    <w:keepLines w:val="on"/>
                  </w:pPr>
                  <w:r>
                    <w:t>1,72</w:t>
                  </w:r>
                </w:p>
              </w:tc>
            </w:tr>
            <w:tr>
              <w:tc>
                <w:tcPr>
                  <w:tcW w:type="auto" w:w="0"/>
                  <w:shd w:val="clear" w:color="auto" w:fill="F0F0F0"/>
                </w:tcPr>
                <w:p>
                  <w:pPr>
                    <w:pStyle w:val="Para 02"/>
                    <w:keepLines w:val="on"/>
                  </w:pPr>
                  <w:r>
                    <w:t>RLI Corp. (NYSE:RLI)</w:t>
                  </w:r>
                </w:p>
              </w:tc>
              <w:tc>
                <w:tcPr>
                  <w:tcW w:type="auto" w:w="0"/>
                  <w:shd w:val="clear" w:color="auto" w:fill="F0F0F0"/>
                </w:tcPr>
                <w:p>
                  <w:pPr>
                    <w:pStyle w:val="Normal"/>
                    <w:keepLines w:val="on"/>
                  </w:pPr>
                  <w:r>
                    <w:t>9,71</w:t>
                  </w:r>
                </w:p>
              </w:tc>
              <w:tc>
                <w:tcPr>
                  <w:tcW w:type="auto" w:w="0"/>
                  <w:shd w:val="clear" w:color="auto" w:fill="F0F0F0"/>
                </w:tcPr>
                <w:p>
                  <w:pPr>
                    <w:pStyle w:val="Normal"/>
                    <w:keepLines w:val="on"/>
                  </w:pPr>
                  <w:r>
                    <w:t>23,36%</w:t>
                  </w:r>
                </w:p>
              </w:tc>
              <w:tc>
                <w:tcPr>
                  <w:tcW w:type="auto" w:w="0"/>
                  <w:shd w:val="clear" w:color="auto" w:fill="F0F0F0"/>
                </w:tcPr>
                <w:p>
                  <w:pPr>
                    <w:pStyle w:val="Normal"/>
                    <w:keepLines w:val="on"/>
                  </w:pPr>
                  <w:r>
                    <w:t>16,39%</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0,76</w:t>
                  </w:r>
                </w:p>
              </w:tc>
            </w:tr>
            <w:tr>
              <w:tc>
                <w:tcPr>
                  <w:tcW w:type="auto" w:w="0"/>
                  <w:shd w:val="clear" w:color="auto" w:fill="F0F0F0"/>
                </w:tcPr>
                <w:p>
                  <w:pPr>
                    <w:pStyle w:val="Para 02"/>
                    <w:keepLines w:val="on"/>
                  </w:pPr>
                  <w:r>
                    <w:t>Prudential Financial, Inc. (NYSE:PRU)</w:t>
                  </w:r>
                </w:p>
              </w:tc>
              <w:tc>
                <w:tcPr>
                  <w:tcW w:type="auto" w:w="0"/>
                  <w:shd w:val="clear" w:color="auto" w:fill="F0F0F0"/>
                </w:tcPr>
                <w:p>
                  <w:pPr>
                    <w:pStyle w:val="Normal"/>
                    <w:keepLines w:val="on"/>
                  </w:pPr>
                  <w:r>
                    <w:t>9,92</w:t>
                  </w:r>
                </w:p>
              </w:tc>
              <w:tc>
                <w:tcPr>
                  <w:tcW w:type="auto" w:w="0"/>
                  <w:shd w:val="clear" w:color="auto" w:fill="F0F0F0"/>
                </w:tcPr>
                <w:p>
                  <w:pPr>
                    <w:pStyle w:val="Normal"/>
                    <w:keepLines w:val="on"/>
                  </w:pPr>
                  <w:r>
                    <w:t>18,74%</w:t>
                  </w:r>
                </w:p>
              </w:tc>
              <w:tc>
                <w:tcPr>
                  <w:tcW w:type="auto" w:w="0"/>
                  <w:shd w:val="clear" w:color="auto" w:fill="F0F0F0"/>
                </w:tcPr>
                <w:p>
                  <w:pPr>
                    <w:pStyle w:val="Normal"/>
                    <w:keepLines w:val="on"/>
                  </w:pPr>
                  <w:r>
                    <w:t>9,58%</w:t>
                  </w:r>
                </w:p>
              </w:tc>
              <w:tc>
                <w:tcPr>
                  <w:tcW w:type="auto" w:w="0"/>
                  <w:shd w:val="clear" w:color="auto" w:fill="F0F0F0"/>
                </w:tcPr>
                <w:p>
                  <w:pPr>
                    <w:pStyle w:val="Normal"/>
                    <w:keepLines w:val="on"/>
                  </w:pPr>
                  <w:r>
                    <w:t>12,90%</w:t>
                  </w:r>
                </w:p>
              </w:tc>
              <w:tc>
                <w:tcPr>
                  <w:tcW w:type="auto" w:w="0"/>
                  <w:shd w:val="clear" w:color="auto" w:fill="F0F0F0"/>
                </w:tcPr>
                <w:p>
                  <w:pPr>
                    <w:pStyle w:val="Normal"/>
                    <w:keepLines w:val="on"/>
                  </w:pPr>
                  <w:r>
                    <w:t>2,22</w:t>
                  </w:r>
                </w:p>
              </w:tc>
            </w:tr>
            <w:tr>
              <w:tc>
                <w:tcPr>
                  <w:tcW w:type="auto" w:w="0"/>
                  <w:shd w:val="clear" w:color="auto" w:fill="F0F0F0"/>
                </w:tcPr>
                <w:p>
                  <w:pPr>
                    <w:pStyle w:val="Para 02"/>
                    <w:keepLines w:val="on"/>
                  </w:pPr>
                  <w:r>
                    <w:t>Torchmark Corp. (NYSE:TMK)</w:t>
                  </w:r>
                </w:p>
              </w:tc>
              <w:tc>
                <w:tcPr>
                  <w:tcW w:type="auto" w:w="0"/>
                  <w:shd w:val="clear" w:color="auto" w:fill="F0F0F0"/>
                </w:tcPr>
                <w:p>
                  <w:pPr>
                    <w:pStyle w:val="Normal"/>
                    <w:keepLines w:val="on"/>
                  </w:pPr>
                  <w:r>
                    <w:t>10,01</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12,47%</w:t>
                  </w:r>
                </w:p>
              </w:tc>
              <w:tc>
                <w:tcPr>
                  <w:tcW w:type="auto" w:w="0"/>
                  <w:shd w:val="clear" w:color="auto" w:fill="F0F0F0"/>
                </w:tcPr>
                <w:p>
                  <w:pPr>
                    <w:pStyle w:val="Normal"/>
                    <w:keepLines w:val="on"/>
                  </w:pPr>
                  <w:r>
                    <w:t>10,10%</w:t>
                  </w:r>
                </w:p>
              </w:tc>
              <w:tc>
                <w:tcPr>
                  <w:tcW w:type="auto" w:w="0"/>
                  <w:shd w:val="clear" w:color="auto" w:fill="F0F0F0"/>
                </w:tcPr>
                <w:p>
                  <w:pPr>
                    <w:pStyle w:val="Normal"/>
                    <w:keepLines w:val="on"/>
                  </w:pPr>
                  <w:r>
                    <w:t>1,62</w:t>
                  </w:r>
                </w:p>
              </w:tc>
            </w:tr>
            <w:tr>
              <w:tc>
                <w:tcPr>
                  <w:tcW w:type="auto" w:w="0"/>
                  <w:shd w:val="clear" w:color="auto" w:fill="F0F0F0"/>
                </w:tcPr>
                <w:p>
                  <w:pPr>
                    <w:pStyle w:val="Para 02"/>
                    <w:keepLines w:val="on"/>
                  </w:pPr>
                  <w:r>
                    <w:t>W.R. Berkley Corporation (NYSE:WRB)</w:t>
                  </w:r>
                </w:p>
              </w:tc>
              <w:tc>
                <w:tcPr>
                  <w:tcW w:type="auto" w:w="0"/>
                  <w:shd w:val="clear" w:color="auto" w:fill="F0F0F0"/>
                </w:tcPr>
                <w:p>
                  <w:pPr>
                    <w:pStyle w:val="Normal"/>
                    <w:keepLines w:val="on"/>
                  </w:pPr>
                  <w:r>
                    <w:t>10,39</w:t>
                  </w:r>
                </w:p>
              </w:tc>
              <w:tc>
                <w:tcPr>
                  <w:tcW w:type="auto" w:w="0"/>
                  <w:shd w:val="clear" w:color="auto" w:fill="F0F0F0"/>
                </w:tcPr>
                <w:p>
                  <w:pPr>
                    <w:pStyle w:val="Normal"/>
                    <w:keepLines w:val="on"/>
                  </w:pPr>
                  <w:r>
                    <w:t>9,06%</w:t>
                  </w:r>
                </w:p>
              </w:tc>
              <w:tc>
                <w:tcPr>
                  <w:tcW w:type="auto" w:w="0"/>
                  <w:shd w:val="clear" w:color="auto" w:fill="F0F0F0"/>
                </w:tcPr>
                <w:p>
                  <w:pPr>
                    <w:pStyle w:val="Normal"/>
                    <w:keepLines w:val="on"/>
                  </w:pPr>
                  <w:r>
                    <w:t>12,08%</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0,58</w:t>
                  </w:r>
                </w:p>
              </w:tc>
            </w:tr>
            <w:tr>
              <w:tc>
                <w:tcPr>
                  <w:tcW w:type="auto" w:w="0"/>
                  <w:shd w:val="clear" w:color="auto" w:fill="F0F0F0"/>
                </w:tcPr>
                <w:p>
                  <w:pPr>
                    <w:pStyle w:val="Para 02"/>
                    <w:keepLines w:val="on"/>
                  </w:pPr>
                  <w:r>
                    <w:t>AFLAC Inc. (NYSE:AFL)</w:t>
                  </w:r>
                </w:p>
              </w:tc>
              <w:tc>
                <w:tcPr>
                  <w:tcW w:type="auto" w:w="0"/>
                  <w:shd w:val="clear" w:color="auto" w:fill="F0F0F0"/>
                </w:tcPr>
                <w:p>
                  <w:pPr>
                    <w:pStyle w:val="Normal"/>
                    <w:keepLines w:val="on"/>
                  </w:pPr>
                  <w:r>
                    <w:t>10,68</w:t>
                  </w:r>
                </w:p>
              </w:tc>
              <w:tc>
                <w:tcPr>
                  <w:tcW w:type="auto" w:w="0"/>
                  <w:shd w:val="clear" w:color="auto" w:fill="F0F0F0"/>
                </w:tcPr>
                <w:p>
                  <w:pPr>
                    <w:pStyle w:val="Normal"/>
                    <w:keepLines w:val="on"/>
                  </w:pPr>
                  <w:r>
                    <w:t>25,63%</w:t>
                  </w:r>
                </w:p>
              </w:tc>
              <w:tc>
                <w:tcPr>
                  <w:tcW w:type="auto" w:w="0"/>
                  <w:shd w:val="clear" w:color="auto" w:fill="F0F0F0"/>
                </w:tcPr>
                <w:p>
                  <w:pPr>
                    <w:pStyle w:val="Normal"/>
                    <w:keepLines w:val="on"/>
                  </w:pPr>
                  <w:r>
                    <w:t>19,02%</w:t>
                  </w:r>
                </w:p>
              </w:tc>
              <w:tc>
                <w:tcPr>
                  <w:tcW w:type="auto" w:w="0"/>
                  <w:shd w:val="clear" w:color="auto" w:fill="F0F0F0"/>
                </w:tcPr>
                <w:p>
                  <w:pPr>
                    <w:pStyle w:val="Normal"/>
                    <w:keepLines w:val="on"/>
                  </w:pPr>
                  <w:r>
                    <w:t>11,90%</w:t>
                  </w:r>
                </w:p>
              </w:tc>
              <w:tc>
                <w:tcPr>
                  <w:tcW w:type="auto" w:w="0"/>
                  <w:shd w:val="clear" w:color="auto" w:fill="F0F0F0"/>
                </w:tcPr>
                <w:p>
                  <w:pPr>
                    <w:pStyle w:val="Normal"/>
                    <w:keepLines w:val="on"/>
                  </w:pPr>
                  <w:r>
                    <w:t>1,87</w:t>
                  </w:r>
                </w:p>
              </w:tc>
            </w:tr>
            <w:tr>
              <w:tc>
                <w:tcPr>
                  <w:tcW w:type="auto" w:w="0"/>
                  <w:shd w:val="clear" w:color="auto" w:fill="F0F0F0"/>
                </w:tcPr>
                <w:p>
                  <w:pPr>
                    <w:pStyle w:val="Para 02"/>
                    <w:keepLines w:val="on"/>
                  </w:pPr>
                  <w:r>
                    <w:t>StanCorp Financial Group Inc. (NYSE:SFG)</w:t>
                  </w:r>
                </w:p>
              </w:tc>
              <w:tc>
                <w:tcPr>
                  <w:tcW w:type="auto" w:w="0"/>
                  <w:shd w:val="clear" w:color="auto" w:fill="F0F0F0"/>
                </w:tcPr>
                <w:p>
                  <w:pPr>
                    <w:pStyle w:val="Normal"/>
                    <w:keepLines w:val="on"/>
                  </w:pPr>
                  <w:r>
                    <w:t>11,19</w:t>
                  </w:r>
                </w:p>
              </w:tc>
              <w:tc>
                <w:tcPr>
                  <w:tcW w:type="auto" w:w="0"/>
                  <w:shd w:val="clear" w:color="auto" w:fill="F0F0F0"/>
                </w:tcPr>
                <w:p>
                  <w:pPr>
                    <w:pStyle w:val="Normal"/>
                    <w:keepLines w:val="on"/>
                  </w:pPr>
                  <w:r>
                    <w:t>22,89%</w:t>
                  </w:r>
                </w:p>
              </w:tc>
              <w:tc>
                <w:tcPr>
                  <w:tcW w:type="auto" w:w="0"/>
                  <w:shd w:val="clear" w:color="auto" w:fill="F0F0F0"/>
                </w:tcPr>
                <w:p>
                  <w:pPr>
                    <w:pStyle w:val="Normal"/>
                    <w:keepLines w:val="on"/>
                  </w:pPr>
                  <w:r>
                    <w:t>9,05%</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1,42</w:t>
                  </w:r>
                </w:p>
              </w:tc>
            </w:tr>
            <w:tr>
              <w:tc>
                <w:tcPr>
                  <w:tcW w:type="auto" w:w="0"/>
                  <w:shd w:val="clear" w:color="auto" w:fill="F0F0F0"/>
                </w:tcPr>
                <w:p>
                  <w:pPr>
                    <w:pStyle w:val="Para 02"/>
                    <w:keepLines w:val="on"/>
                  </w:pPr>
                  <w:r>
                    <w:t>HCC Insurance Holdings Inc. (NYSE:HCC)</w:t>
                  </w:r>
                </w:p>
              </w:tc>
              <w:tc>
                <w:tcPr>
                  <w:tcW w:type="auto" w:w="0"/>
                  <w:shd w:val="clear" w:color="auto" w:fill="F0F0F0"/>
                </w:tcPr>
                <w:p>
                  <w:pPr>
                    <w:pStyle w:val="Normal"/>
                    <w:keepLines w:val="on"/>
                  </w:pPr>
                  <w:r>
                    <w:t>11,62</w:t>
                  </w:r>
                </w:p>
              </w:tc>
              <w:tc>
                <w:tcPr>
                  <w:tcW w:type="auto" w:w="0"/>
                  <w:shd w:val="clear" w:color="auto" w:fill="F0F0F0"/>
                </w:tcPr>
                <w:p>
                  <w:pPr>
                    <w:pStyle w:val="Normal"/>
                    <w:keepLines w:val="on"/>
                  </w:pPr>
                  <w:r>
                    <w:t>20,11%</w:t>
                  </w:r>
                </w:p>
              </w:tc>
              <w:tc>
                <w:tcPr>
                  <w:tcW w:type="auto" w:w="0"/>
                  <w:shd w:val="clear" w:color="auto" w:fill="F0F0F0"/>
                </w:tcPr>
                <w:p>
                  <w:pPr>
                    <w:pStyle w:val="Normal"/>
                    <w:keepLines w:val="on"/>
                  </w:pPr>
                  <w:r>
                    <w:t>9,73%</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0,76</w:t>
                  </w:r>
                </w:p>
              </w:tc>
            </w:tr>
            <w:tr>
              <w:tc>
                <w:tcPr>
                  <w:tcW w:type="auto" w:w="0"/>
                  <w:shd w:val="clear" w:color="auto" w:fill="F0F0F0"/>
                </w:tcPr>
                <w:p>
                  <w:pPr>
                    <w:pStyle w:val="Para 02"/>
                    <w:keepLines w:val="on"/>
                  </w:pPr>
                  <w:r>
                    <w:t>CNA Financial Corporation (NYSE:CNA)</w:t>
                  </w:r>
                </w:p>
              </w:tc>
              <w:tc>
                <w:tcPr>
                  <w:tcW w:type="auto" w:w="0"/>
                  <w:shd w:val="clear" w:color="auto" w:fill="F0F0F0"/>
                </w:tcPr>
                <w:p>
                  <w:pPr>
                    <w:pStyle w:val="Normal"/>
                    <w:keepLines w:val="on"/>
                  </w:pPr>
                  <w:r>
                    <w:t>12,10</w:t>
                  </w:r>
                </w:p>
              </w:tc>
              <w:tc>
                <w:tcPr>
                  <w:tcW w:type="auto" w:w="0"/>
                  <w:shd w:val="clear" w:color="auto" w:fill="F0F0F0"/>
                </w:tcPr>
                <w:p>
                  <w:pPr>
                    <w:pStyle w:val="Normal"/>
                    <w:keepLines w:val="on"/>
                  </w:pPr>
                  <w:r>
                    <w:t>4,04%</w:t>
                  </w:r>
                </w:p>
              </w:tc>
              <w:tc>
                <w:tcPr>
                  <w:tcW w:type="auto" w:w="0"/>
                  <w:shd w:val="clear" w:color="auto" w:fill="F0F0F0"/>
                </w:tcPr>
                <w:p>
                  <w:pPr>
                    <w:pStyle w:val="Normal"/>
                    <w:keepLines w:val="on"/>
                  </w:pPr>
                  <w:r>
                    <w:t>6,10%</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1,69</w:t>
                  </w:r>
                </w:p>
              </w:tc>
            </w:tr>
            <w:tr>
              <w:tc>
                <w:tcPr>
                  <w:tcW w:type="auto" w:w="0"/>
                  <w:shd w:val="clear" w:color="auto" w:fill="F0F0F0"/>
                </w:tcPr>
                <w:p>
                  <w:pPr>
                    <w:pStyle w:val="Para 02"/>
                    <w:keepLines w:val="on"/>
                  </w:pPr>
                  <w:r>
                    <w:t>Allstate Corporation (NYSE:ALL)</w:t>
                  </w:r>
                </w:p>
              </w:tc>
              <w:tc>
                <w:tcPr>
                  <w:tcW w:type="auto" w:w="0"/>
                  <w:shd w:val="clear" w:color="auto" w:fill="F0F0F0"/>
                </w:tcPr>
                <w:p>
                  <w:pPr>
                    <w:pStyle w:val="Normal"/>
                    <w:keepLines w:val="on"/>
                  </w:pPr>
                  <w:r>
                    <w:t>12,29</w:t>
                  </w:r>
                </w:p>
              </w:tc>
              <w:tc>
                <w:tcPr>
                  <w:tcW w:type="auto" w:w="0"/>
                  <w:shd w:val="clear" w:color="auto" w:fill="F0F0F0"/>
                </w:tcPr>
                <w:p>
                  <w:pPr>
                    <w:pStyle w:val="Normal"/>
                    <w:keepLines w:val="on"/>
                  </w:pPr>
                  <w:r>
                    <w:t>32,40%</w:t>
                  </w:r>
                </w:p>
              </w:tc>
              <w:tc>
                <w:tcPr>
                  <w:tcW w:type="auto" w:w="0"/>
                  <w:shd w:val="clear" w:color="auto" w:fill="F0F0F0"/>
                </w:tcPr>
                <w:p>
                  <w:pPr>
                    <w:pStyle w:val="Normal"/>
                    <w:keepLines w:val="on"/>
                  </w:pPr>
                  <w:r>
                    <w:t>6,98%</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0,98</w:t>
                  </w:r>
                </w:p>
              </w:tc>
            </w:tr>
            <w:tr>
              <w:tc>
                <w:tcPr>
                  <w:tcW w:type="auto" w:w="0"/>
                  <w:shd w:val="clear" w:color="auto" w:fill="F0F0F0"/>
                </w:tcPr>
                <w:p>
                  <w:pPr>
                    <w:pStyle w:val="Para 02"/>
                    <w:keepLines w:val="on"/>
                  </w:pPr>
                  <w:r>
                    <w:t>Progressive Corp. (NYSE:PGR)</w:t>
                  </w:r>
                </w:p>
              </w:tc>
              <w:tc>
                <w:tcPr>
                  <w:tcW w:type="auto" w:w="0"/>
                  <w:shd w:val="clear" w:color="auto" w:fill="F0F0F0"/>
                </w:tcPr>
                <w:p>
                  <w:pPr>
                    <w:pStyle w:val="Normal"/>
                    <w:keepLines w:val="on"/>
                  </w:pPr>
                  <w:r>
                    <w:t>12,42</w:t>
                  </w:r>
                </w:p>
              </w:tc>
              <w:tc>
                <w:tcPr>
                  <w:tcW w:type="auto" w:w="0"/>
                  <w:shd w:val="clear" w:color="auto" w:fill="F0F0F0"/>
                </w:tcPr>
                <w:p>
                  <w:pPr>
                    <w:pStyle w:val="Normal"/>
                    <w:keepLines w:val="on"/>
                  </w:pPr>
                  <w:r>
                    <w:t>22,53%</w:t>
                  </w:r>
                </w:p>
              </w:tc>
              <w:tc>
                <w:tcPr>
                  <w:tcW w:type="auto" w:w="0"/>
                  <w:shd w:val="clear" w:color="auto" w:fill="F0F0F0"/>
                </w:tcPr>
                <w:p>
                  <w:pPr>
                    <w:pStyle w:val="Normal"/>
                    <w:keepLines w:val="on"/>
                  </w:pPr>
                  <w:r>
                    <w:t>18,77%</w:t>
                  </w:r>
                </w:p>
              </w:tc>
              <w:tc>
                <w:tcPr>
                  <w:tcW w:type="auto" w:w="0"/>
                  <w:shd w:val="clear" w:color="auto" w:fill="F0F0F0"/>
                </w:tcPr>
                <w:p>
                  <w:pPr>
                    <w:pStyle w:val="Normal"/>
                    <w:keepLines w:val="on"/>
                  </w:pPr>
                  <w:r>
                    <w:t>8,20%</w:t>
                  </w:r>
                </w:p>
              </w:tc>
              <w:tc>
                <w:tcPr>
                  <w:tcW w:type="auto" w:w="0"/>
                  <w:shd w:val="clear" w:color="auto" w:fill="F0F0F0"/>
                </w:tcPr>
                <w:p>
                  <w:pPr>
                    <w:pStyle w:val="Normal"/>
                    <w:keepLines w:val="on"/>
                  </w:pPr>
                  <w:r>
                    <w:t>0,79</w:t>
                  </w:r>
                </w:p>
              </w:tc>
            </w:tr>
            <w:tr>
              <w:tc>
                <w:tcPr>
                  <w:tcW w:type="auto" w:w="0"/>
                  <w:shd w:val="clear" w:color="auto" w:fill="F0F0F0"/>
                </w:tcPr>
                <w:p>
                  <w:pPr>
                    <w:pStyle w:val="Para 02"/>
                    <w:keepLines w:val="on"/>
                  </w:pPr>
                  <w:r>
                    <w:t>Hanover Insurance Group Inc. (NYSE:THG)</w:t>
                  </w:r>
                </w:p>
              </w:tc>
              <w:tc>
                <w:tcPr>
                  <w:tcW w:type="auto" w:w="0"/>
                  <w:shd w:val="clear" w:color="auto" w:fill="F0F0F0"/>
                </w:tcPr>
                <w:p>
                  <w:pPr>
                    <w:pStyle w:val="Normal"/>
                    <w:keepLines w:val="on"/>
                  </w:pPr>
                  <w:r>
                    <w:t>13.15</w:t>
                  </w:r>
                </w:p>
              </w:tc>
              <w:tc>
                <w:tcPr>
                  <w:tcW w:type="auto" w:w="0"/>
                  <w:shd w:val="clear" w:color="auto" w:fill="F0F0F0"/>
                </w:tcPr>
                <w:p>
                  <w:pPr>
                    <w:pStyle w:val="Normal"/>
                    <w:keepLines w:val="on"/>
                  </w:pPr>
                  <w:r>
                    <w:t>33.31%</w:t>
                  </w:r>
                </w:p>
              </w:tc>
              <w:tc>
                <w:tcPr>
                  <w:tcW w:type="auto" w:w="0"/>
                  <w:shd w:val="clear" w:color="auto" w:fill="F0F0F0"/>
                </w:tcPr>
                <w:p>
                  <w:pPr>
                    <w:pStyle w:val="Normal"/>
                    <w:keepLines w:val="on"/>
                  </w:pPr>
                  <w:r>
                    <w:t>5.78%</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0.76</w:t>
                  </w:r>
                </w:p>
              </w:tc>
            </w:tr>
            <w:tr>
              <w:tc>
                <w:tcPr>
                  <w:tcW w:type="auto" w:w="0"/>
                  <w:shd w:val="clear" w:color="auto" w:fill="F0F0F0"/>
                </w:tcPr>
                <w:p>
                  <w:pPr>
                    <w:pStyle w:val="Para 02"/>
                    <w:keepLines w:val="on"/>
                  </w:pPr>
                  <w:r>
                    <w:t>Cincinnati Financial Corp. (NasdaqGS:CINF)</w:t>
                  </w:r>
                </w:p>
              </w:tc>
              <w:tc>
                <w:tcPr>
                  <w:tcW w:type="auto" w:w="0"/>
                  <w:shd w:val="clear" w:color="auto" w:fill="F0F0F0"/>
                </w:tcPr>
                <w:p>
                  <w:pPr>
                    <w:pStyle w:val="Normal"/>
                    <w:keepLines w:val="on"/>
                  </w:pPr>
                  <w:r>
                    <w:t>13.22</w:t>
                  </w:r>
                </w:p>
              </w:tc>
              <w:tc>
                <w:tcPr>
                  <w:tcW w:type="auto" w:w="0"/>
                  <w:shd w:val="clear" w:color="auto" w:fill="F0F0F0"/>
                </w:tcPr>
                <w:p>
                  <w:pPr>
                    <w:pStyle w:val="Normal"/>
                    <w:keepLines w:val="on"/>
                  </w:pPr>
                  <w:r>
                    <w:t>68.19%</w:t>
                  </w:r>
                </w:p>
              </w:tc>
              <w:tc>
                <w:tcPr>
                  <w:tcW w:type="auto" w:w="0"/>
                  <w:shd w:val="clear" w:color="auto" w:fill="F0F0F0"/>
                </w:tcPr>
                <w:p>
                  <w:pPr>
                    <w:pStyle w:val="Normal"/>
                    <w:keepLines w:val="on"/>
                  </w:pPr>
                  <w:r>
                    <w:t>7.37%</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0.97</w:t>
                  </w:r>
                </w:p>
              </w:tc>
            </w:tr>
            <w:tr>
              <w:tc>
                <w:tcPr>
                  <w:tcW w:type="auto" w:w="0"/>
                  <w:shd w:val="clear" w:color="auto" w:fill="F0F0F0"/>
                </w:tcPr>
                <w:p>
                  <w:pPr>
                    <w:pStyle w:val="Para 02"/>
                    <w:keepLines w:val="on"/>
                  </w:pPr>
                  <w:r>
                    <w:t>Assurant Inc. (NYSE:AIZ)</w:t>
                  </w:r>
                </w:p>
              </w:tc>
              <w:tc>
                <w:tcPr>
                  <w:tcW w:type="auto" w:w="0"/>
                  <w:shd w:val="clear" w:color="auto" w:fill="F0F0F0"/>
                </w:tcPr>
                <w:p>
                  <w:pPr>
                    <w:pStyle w:val="Normal"/>
                    <w:keepLines w:val="on"/>
                  </w:pPr>
                  <w:r>
                    <w:t>13.57</w:t>
                  </w:r>
                </w:p>
              </w:tc>
              <w:tc>
                <w:tcPr>
                  <w:tcW w:type="auto" w:w="0"/>
                  <w:shd w:val="clear" w:color="auto" w:fill="F0F0F0"/>
                </w:tcPr>
                <w:p>
                  <w:pPr>
                    <w:pStyle w:val="Normal"/>
                    <w:keepLines w:val="on"/>
                  </w:pPr>
                  <w:r>
                    <w:t>25.86%</w:t>
                  </w:r>
                </w:p>
              </w:tc>
              <w:tc>
                <w:tcPr>
                  <w:tcW w:type="auto" w:w="0"/>
                  <w:shd w:val="clear" w:color="auto" w:fill="F0F0F0"/>
                </w:tcPr>
                <w:p>
                  <w:pPr>
                    <w:pStyle w:val="Normal"/>
                    <w:keepLines w:val="on"/>
                  </w:pPr>
                  <w:r>
                    <w:t>5.52%</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1.07</w:t>
                  </w:r>
                </w:p>
              </w:tc>
            </w:tr>
            <w:tr>
              <w:tc>
                <w:tcPr>
                  <w:tcW w:type="auto" w:w="0"/>
                  <w:shd w:val="clear" w:color="auto" w:fill="F0F0F0"/>
                </w:tcPr>
                <w:p>
                  <w:pPr>
                    <w:pStyle w:val="Para 02"/>
                    <w:keepLines w:val="on"/>
                  </w:pPr>
                  <w:r>
                    <w:t>Principal Financial Group Inc. (NYSE:PFG)</w:t>
                  </w:r>
                </w:p>
              </w:tc>
              <w:tc>
                <w:tcPr>
                  <w:tcW w:type="auto" w:w="0"/>
                  <w:shd w:val="clear" w:color="auto" w:fill="F0F0F0"/>
                </w:tcPr>
                <w:p>
                  <w:pPr>
                    <w:pStyle w:val="Normal"/>
                    <w:keepLines w:val="on"/>
                  </w:pPr>
                  <w:r>
                    <w:t>14.12</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7.25%</w:t>
                  </w:r>
                </w:p>
              </w:tc>
              <w:tc>
                <w:tcPr>
                  <w:tcW w:type="auto" w:w="0"/>
                  <w:shd w:val="clear" w:color="auto" w:fill="F0F0F0"/>
                </w:tcPr>
                <w:p>
                  <w:pPr>
                    <w:pStyle w:val="Normal"/>
                    <w:keepLines w:val="on"/>
                  </w:pPr>
                  <w:r>
                    <w:t>11.40%</w:t>
                  </w:r>
                </w:p>
              </w:tc>
              <w:tc>
                <w:tcPr>
                  <w:tcW w:type="auto" w:w="0"/>
                  <w:shd w:val="clear" w:color="auto" w:fill="F0F0F0"/>
                </w:tcPr>
                <w:p>
                  <w:pPr>
                    <w:pStyle w:val="Normal"/>
                    <w:keepLines w:val="on"/>
                  </w:pPr>
                  <w:r>
                    <w:t>2.44</w:t>
                  </w:r>
                </w:p>
              </w:tc>
            </w:tr>
            <w:tr>
              <w:tc>
                <w:tcPr>
                  <w:tcW w:type="auto" w:w="0"/>
                  <w:shd w:val="clear" w:color="auto" w:fill="F0F0F0"/>
                </w:tcPr>
                <w:p>
                  <w:pPr>
                    <w:pStyle w:val="Para 02"/>
                    <w:keepLines w:val="on"/>
                  </w:pPr>
                  <w:r>
                    <w:t>Transatlantic Holdings Inc. (NYSE:TRH)</w:t>
                  </w:r>
                </w:p>
              </w:tc>
              <w:tc>
                <w:tcPr>
                  <w:tcW w:type="auto" w:w="0"/>
                  <w:shd w:val="clear" w:color="auto" w:fill="F0F0F0"/>
                </w:tcPr>
                <w:p>
                  <w:pPr>
                    <w:pStyle w:val="Normal"/>
                    <w:keepLines w:val="on"/>
                  </w:pPr>
                  <w:r>
                    <w:t>14,76</w:t>
                  </w:r>
                </w:p>
              </w:tc>
              <w:tc>
                <w:tcPr>
                  <w:tcW w:type="auto" w:w="0"/>
                  <w:shd w:val="clear" w:color="auto" w:fill="F0F0F0"/>
                </w:tcPr>
                <w:p>
                  <w:pPr>
                    <w:pStyle w:val="Normal"/>
                    <w:keepLines w:val="on"/>
                  </w:pPr>
                  <w:r>
                    <w:t>26,71%</w:t>
                  </w:r>
                </w:p>
              </w:tc>
              <w:tc>
                <w:tcPr>
                  <w:tcW w:type="auto" w:w="0"/>
                  <w:shd w:val="clear" w:color="auto" w:fill="F0F0F0"/>
                </w:tcPr>
                <w:p>
                  <w:pPr>
                    <w:pStyle w:val="Normal"/>
                    <w:keepLines w:val="on"/>
                  </w:pPr>
                  <w:r>
                    <w:t>4,58%</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0,78</w:t>
                  </w:r>
                </w:p>
              </w:tc>
            </w:tr>
            <w:tr>
              <w:tc>
                <w:tcPr>
                  <w:tcW w:type="auto" w:w="0"/>
                  <w:shd w:val="clear" w:color="auto" w:fill="F0F0F0"/>
                </w:tcPr>
                <w:p>
                  <w:pPr>
                    <w:pStyle w:val="Para 02"/>
                    <w:keepLines w:val="on"/>
                  </w:pPr>
                  <w:r>
                    <w:t>Mercury General Corporation (NYSE:MCY)</w:t>
                  </w:r>
                </w:p>
              </w:tc>
              <w:tc>
                <w:tcPr>
                  <w:tcW w:type="auto" w:w="0"/>
                  <w:shd w:val="clear" w:color="auto" w:fill="F0F0F0"/>
                </w:tcPr>
                <w:p>
                  <w:pPr>
                    <w:pStyle w:val="Normal"/>
                    <w:keepLines w:val="on"/>
                  </w:pPr>
                  <w:r>
                    <w:t>15,17</w:t>
                  </w:r>
                </w:p>
              </w:tc>
              <w:tc>
                <w:tcPr>
                  <w:tcW w:type="auto" w:w="0"/>
                  <w:shd w:val="clear" w:color="auto" w:fill="F0F0F0"/>
                </w:tcPr>
                <w:p>
                  <w:pPr>
                    <w:pStyle w:val="Normal"/>
                    <w:keepLines w:val="on"/>
                  </w:pPr>
                  <w:r>
                    <w:t>87,40%</w:t>
                  </w:r>
                </w:p>
              </w:tc>
              <w:tc>
                <w:tcPr>
                  <w:tcW w:type="auto" w:w="0"/>
                  <w:shd w:val="clear" w:color="auto" w:fill="F0F0F0"/>
                </w:tcPr>
                <w:p>
                  <w:pPr>
                    <w:pStyle w:val="Normal"/>
                    <w:keepLines w:val="on"/>
                  </w:pPr>
                  <w:r>
                    <w:t>8,31%</w:t>
                  </w:r>
                </w:p>
              </w:tc>
              <w:tc>
                <w:tcPr>
                  <w:tcW w:type="auto" w:w="0"/>
                  <w:shd w:val="clear" w:color="auto" w:fill="F0F0F0"/>
                </w:tcPr>
                <w:p>
                  <w:pPr>
                    <w:pStyle w:val="Normal"/>
                    <w:keepLines w:val="on"/>
                  </w:pPr>
                  <w:r>
                    <w:t>7,30%</w:t>
                  </w:r>
                </w:p>
              </w:tc>
              <w:tc>
                <w:tcPr>
                  <w:tcW w:type="auto" w:w="0"/>
                  <w:shd w:val="clear" w:color="auto" w:fill="F0F0F0"/>
                </w:tcPr>
                <w:p>
                  <w:pPr>
                    <w:pStyle w:val="Normal"/>
                    <w:keepLines w:val="on"/>
                  </w:pPr>
                  <w:r>
                    <w:t>0,67</w:t>
                  </w:r>
                </w:p>
              </w:tc>
            </w:tr>
            <w:tr>
              <w:tc>
                <w:tcPr>
                  <w:tcW w:type="auto" w:w="0"/>
                  <w:shd w:val="clear" w:color="auto" w:fill="F0F0F0"/>
                </w:tcPr>
                <w:p>
                  <w:pPr>
                    <w:pStyle w:val="Para 02"/>
                    <w:keepLines w:val="on"/>
                  </w:pPr>
                  <w:r>
                    <w:t>MetLife, Inc. (NYSE:MET)</w:t>
                  </w:r>
                </w:p>
              </w:tc>
              <w:tc>
                <w:tcPr>
                  <w:tcW w:type="auto" w:w="0"/>
                  <w:shd w:val="clear" w:color="auto" w:fill="F0F0F0"/>
                </w:tcPr>
                <w:p>
                  <w:pPr>
                    <w:pStyle w:val="Normal"/>
                    <w:keepLines w:val="on"/>
                  </w:pPr>
                  <w:r>
                    <w:t>15,62</w:t>
                  </w:r>
                </w:p>
              </w:tc>
              <w:tc>
                <w:tcPr>
                  <w:tcW w:type="auto" w:w="0"/>
                  <w:shd w:val="clear" w:color="auto" w:fill="F0F0F0"/>
                </w:tcPr>
                <w:p>
                  <w:pPr>
                    <w:pStyle w:val="Normal"/>
                    <w:keepLines w:val="on"/>
                  </w:pPr>
                  <w:r>
                    <w:t>26,48%</w:t>
                  </w:r>
                </w:p>
              </w:tc>
              <w:tc>
                <w:tcPr>
                  <w:tcW w:type="auto" w:w="0"/>
                  <w:shd w:val="clear" w:color="auto" w:fill="F0F0F0"/>
                </w:tcPr>
                <w:p>
                  <w:pPr>
                    <w:pStyle w:val="Normal"/>
                    <w:keepLines w:val="on"/>
                  </w:pPr>
                  <w:r>
                    <w:t>6,09%</w:t>
                  </w:r>
                </w:p>
              </w:tc>
              <w:tc>
                <w:tcPr>
                  <w:tcW w:type="auto" w:w="0"/>
                  <w:shd w:val="clear" w:color="auto" w:fill="F0F0F0"/>
                </w:tcPr>
                <w:p>
                  <w:pPr>
                    <w:pStyle w:val="Normal"/>
                    <w:keepLines w:val="on"/>
                  </w:pPr>
                  <w:r>
                    <w:t>12,70%</w:t>
                  </w:r>
                </w:p>
              </w:tc>
              <w:tc>
                <w:tcPr>
                  <w:tcW w:type="auto" w:w="0"/>
                  <w:shd w:val="clear" w:color="auto" w:fill="F0F0F0"/>
                </w:tcPr>
                <w:p>
                  <w:pPr>
                    <w:pStyle w:val="Normal"/>
                    <w:keepLines w:val="on"/>
                  </w:pPr>
                  <w:r>
                    <w:t>1,80</w:t>
                  </w:r>
                </w:p>
              </w:tc>
            </w:tr>
            <w:tr>
              <w:tc>
                <w:tcPr>
                  <w:tcW w:type="auto" w:w="0"/>
                  <w:shd w:val="clear" w:color="auto" w:fill="F0F0F0"/>
                </w:tcPr>
                <w:p>
                  <w:pPr>
                    <w:pStyle w:val="Para 02"/>
                    <w:keepLines w:val="on"/>
                  </w:pPr>
                  <w:r>
                    <w:t>Markel Corp. (NYSE:MKL)</w:t>
                  </w:r>
                </w:p>
              </w:tc>
              <w:tc>
                <w:tcPr>
                  <w:tcW w:type="auto" w:w="0"/>
                  <w:shd w:val="clear" w:color="auto" w:fill="F0F0F0"/>
                </w:tcPr>
                <w:p>
                  <w:pPr>
                    <w:pStyle w:val="Normal"/>
                    <w:keepLines w:val="on"/>
                  </w:pPr>
                  <w:r>
                    <w:t>17,26</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7,33%</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0,74</w:t>
                  </w:r>
                </w:p>
              </w:tc>
            </w:tr>
            <w:tr>
              <w:tc>
                <w:tcPr>
                  <w:tcW w:type="auto" w:w="0"/>
                  <w:shd w:val="clear" w:color="auto" w:fill="F0F0F0"/>
                </w:tcPr>
                <w:p>
                  <w:pPr>
                    <w:pStyle w:val="Para 02"/>
                    <w:keepLines w:val="on"/>
                  </w:pPr>
                  <w:r>
                    <w:t>Marsh &amp; McLennan Companies, Inc. (NYSE:MMC)</w:t>
                  </w:r>
                </w:p>
              </w:tc>
              <w:tc>
                <w:tcPr>
                  <w:tcW w:type="auto" w:w="0"/>
                  <w:shd w:val="clear" w:color="auto" w:fill="F0F0F0"/>
                </w:tcPr>
                <w:p>
                  <w:pPr>
                    <w:pStyle w:val="Normal"/>
                    <w:keepLines w:val="on"/>
                  </w:pPr>
                  <w:r>
                    <w:t>18,08</w:t>
                  </w:r>
                </w:p>
              </w:tc>
              <w:tc>
                <w:tcPr>
                  <w:tcW w:type="auto" w:w="0"/>
                  <w:shd w:val="clear" w:color="auto" w:fill="F0F0F0"/>
                </w:tcPr>
                <w:p>
                  <w:pPr>
                    <w:pStyle w:val="Normal"/>
                    <w:keepLines w:val="on"/>
                  </w:pPr>
                  <w:r>
                    <w:t>49,36%</w:t>
                  </w:r>
                </w:p>
              </w:tc>
              <w:tc>
                <w:tcPr>
                  <w:tcW w:type="auto" w:w="0"/>
                  <w:shd w:val="clear" w:color="auto" w:fill="F0F0F0"/>
                </w:tcPr>
                <w:p>
                  <w:pPr>
                    <w:pStyle w:val="Normal"/>
                    <w:keepLines w:val="on"/>
                  </w:pPr>
                  <w:r>
                    <w:t>14,64%</w:t>
                  </w:r>
                </w:p>
              </w:tc>
              <w:tc>
                <w:tcPr>
                  <w:tcW w:type="auto" w:w="0"/>
                  <w:shd w:val="clear" w:color="auto" w:fill="F0F0F0"/>
                </w:tcPr>
                <w:p>
                  <w:pPr>
                    <w:pStyle w:val="Normal"/>
                    <w:keepLines w:val="on"/>
                  </w:pPr>
                  <w:r>
                    <w:t>9,25%</w:t>
                  </w:r>
                </w:p>
              </w:tc>
              <w:tc>
                <w:tcPr>
                  <w:tcW w:type="auto" w:w="0"/>
                  <w:shd w:val="clear" w:color="auto" w:fill="F0F0F0"/>
                </w:tcPr>
                <w:p>
                  <w:pPr>
                    <w:pStyle w:val="Normal"/>
                    <w:keepLines w:val="on"/>
                  </w:pPr>
                  <w:r>
                    <w:t>0,85</w:t>
                  </w:r>
                </w:p>
              </w:tc>
            </w:tr>
            <w:tr>
              <w:tc>
                <w:tcPr>
                  <w:tcW w:type="auto" w:w="0"/>
                  <w:shd w:val="clear" w:color="auto" w:fill="F0F0F0"/>
                </w:tcPr>
                <w:p>
                  <w:pPr>
                    <w:pStyle w:val="Para 02"/>
                    <w:keepLines w:val="on"/>
                  </w:pPr>
                  <w:r>
                    <w:t>Arthur J. Gallagher &amp; Co. (NYSE:AJG)</w:t>
                  </w:r>
                </w:p>
              </w:tc>
              <w:tc>
                <w:tcPr>
                  <w:tcW w:type="auto" w:w="0"/>
                  <w:shd w:val="clear" w:color="auto" w:fill="F0F0F0"/>
                </w:tcPr>
                <w:p>
                  <w:pPr>
                    <w:pStyle w:val="Normal"/>
                    <w:keepLines w:val="on"/>
                  </w:pPr>
                  <w:r>
                    <w:t>19,75</w:t>
                  </w:r>
                </w:p>
              </w:tc>
              <w:tc>
                <w:tcPr>
                  <w:tcW w:type="auto" w:w="0"/>
                  <w:shd w:val="clear" w:color="auto" w:fill="F0F0F0"/>
                </w:tcPr>
                <w:p>
                  <w:pPr>
                    <w:pStyle w:val="Normal"/>
                    <w:keepLines w:val="on"/>
                  </w:pPr>
                  <w:r>
                    <w:t>84,57%</w:t>
                  </w:r>
                </w:p>
              </w:tc>
              <w:tc>
                <w:tcPr>
                  <w:tcW w:type="auto" w:w="0"/>
                  <w:shd w:val="clear" w:color="auto" w:fill="F0F0F0"/>
                </w:tcPr>
                <w:p>
                  <w:pPr>
                    <w:pStyle w:val="Normal"/>
                    <w:keepLines w:val="on"/>
                  </w:pPr>
                  <w:r>
                    <w:t>14,47%</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0,70</w:t>
                  </w:r>
                </w:p>
              </w:tc>
            </w:tr>
            <w:tr>
              <w:tc>
                <w:tcPr>
                  <w:tcW w:type="auto" w:w="0"/>
                  <w:shd w:val="clear" w:color="auto" w:fill="F0F0F0"/>
                </w:tcPr>
                <w:p>
                  <w:pPr>
                    <w:pStyle w:val="Para 02"/>
                    <w:keepLines w:val="on"/>
                  </w:pPr>
                  <w:r>
                    <w:t>Aon Corporation (NYSE:AON)</w:t>
                  </w:r>
                </w:p>
              </w:tc>
              <w:tc>
                <w:tcPr>
                  <w:tcW w:type="auto" w:w="0"/>
                  <w:shd w:val="clear" w:color="auto" w:fill="F0F0F0"/>
                </w:tcPr>
                <w:p>
                  <w:pPr>
                    <w:pStyle w:val="Normal"/>
                    <w:keepLines w:val="on"/>
                  </w:pPr>
                  <w:r>
                    <w:t>21,94</w:t>
                  </w:r>
                </w:p>
              </w:tc>
              <w:tc>
                <w:tcPr>
                  <w:tcW w:type="auto" w:w="0"/>
                  <w:shd w:val="clear" w:color="auto" w:fill="F0F0F0"/>
                </w:tcPr>
                <w:p>
                  <w:pPr>
                    <w:pStyle w:val="Normal"/>
                    <w:keepLines w:val="on"/>
                  </w:pPr>
                  <w:r>
                    <w:t>23,90%</w:t>
                  </w:r>
                </w:p>
              </w:tc>
              <w:tc>
                <w:tcPr>
                  <w:tcW w:type="auto" w:w="0"/>
                  <w:shd w:val="clear" w:color="auto" w:fill="F0F0F0"/>
                </w:tcPr>
                <w:p>
                  <w:pPr>
                    <w:pStyle w:val="Normal"/>
                    <w:keepLines w:val="on"/>
                  </w:pPr>
                  <w:r>
                    <w:t>9,38%</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0,61</w:t>
                  </w:r>
                </w:p>
              </w:tc>
            </w:tr>
            <w:tr>
              <w:tc>
                <w:tcPr>
                  <w:tcW w:type="auto" w:w="0"/>
                  <w:shd w:val="clear" w:color="auto" w:fill="F0F0F0"/>
                </w:tcPr>
                <w:p>
                  <w:pPr>
                    <w:pStyle w:val="Para 02"/>
                    <w:keepLines w:val="on"/>
                  </w:pPr>
                  <w:r>
                    <w:t>Brown &amp; Brown Inc. (NYSE:BRO)</w:t>
                  </w:r>
                </w:p>
              </w:tc>
              <w:tc>
                <w:tcPr>
                  <w:tcW w:type="auto" w:w="0"/>
                  <w:shd w:val="clear" w:color="auto" w:fill="F0F0F0"/>
                </w:tcPr>
                <w:p>
                  <w:pPr>
                    <w:pStyle w:val="Normal"/>
                    <w:keepLines w:val="on"/>
                  </w:pPr>
                  <w:r>
                    <w:t>22,74</w:t>
                  </w:r>
                </w:p>
              </w:tc>
              <w:tc>
                <w:tcPr>
                  <w:tcW w:type="auto" w:w="0"/>
                  <w:shd w:val="clear" w:color="auto" w:fill="F0F0F0"/>
                </w:tcPr>
                <w:p>
                  <w:pPr>
                    <w:pStyle w:val="Normal"/>
                    <w:keepLines w:val="on"/>
                  </w:pPr>
                  <w:r>
                    <w:t>27,39%</w:t>
                  </w:r>
                </w:p>
              </w:tc>
              <w:tc>
                <w:tcPr>
                  <w:tcW w:type="auto" w:w="0"/>
                  <w:shd w:val="clear" w:color="auto" w:fill="F0F0F0"/>
                </w:tcPr>
                <w:p>
                  <w:pPr>
                    <w:pStyle w:val="Normal"/>
                    <w:keepLines w:val="on"/>
                  </w:pPr>
                  <w:r>
                    <w:t>10,88%</w:t>
                  </w:r>
                </w:p>
              </w:tc>
              <w:tc>
                <w:tcPr>
                  <w:tcW w:type="auto" w:w="0"/>
                  <w:shd w:val="clear" w:color="auto" w:fill="F0F0F0"/>
                </w:tcPr>
                <w:p>
                  <w:pPr>
                    <w:pStyle w:val="Normal"/>
                    <w:keepLines w:val="on"/>
                  </w:pPr>
                  <w:r>
                    <w:t>11,60%</w:t>
                  </w:r>
                </w:p>
              </w:tc>
              <w:tc>
                <w:tcPr>
                  <w:tcW w:type="auto" w:w="0"/>
                  <w:shd w:val="clear" w:color="auto" w:fill="F0F0F0"/>
                </w:tcPr>
                <w:p>
                  <w:pPr>
                    <w:pStyle w:val="Normal"/>
                    <w:keepLines w:val="on"/>
                  </w:pPr>
                  <w:r>
                    <w:t>0,60</w:t>
                  </w:r>
                </w:p>
              </w:tc>
            </w:tr>
            <w:tr>
              <w:tc>
                <w:tcPr>
                  <w:tcW w:type="auto" w:w="0"/>
                  <w:shd w:val="clear" w:color="auto" w:fill="F0F0F0"/>
                </w:tcPr>
                <w:p>
                  <w:pPr>
                    <w:pStyle w:val="Para 02"/>
                    <w:keepLines w:val="on"/>
                  </w:pPr>
                  <w:r>
                    <w:t>Erie Indemnity Co. (NasdaqGS:ERIE)</w:t>
                  </w:r>
                </w:p>
              </w:tc>
              <w:tc>
                <w:tcPr>
                  <w:tcW w:type="auto" w:w="0"/>
                  <w:shd w:val="clear" w:color="auto" w:fill="F0F0F0"/>
                </w:tcPr>
                <w:p>
                  <w:pPr>
                    <w:pStyle w:val="Normal"/>
                    <w:keepLines w:val="on"/>
                  </w:pPr>
                  <w:r>
                    <w:t>24,74</w:t>
                  </w:r>
                </w:p>
              </w:tc>
              <w:tc>
                <w:tcPr>
                  <w:tcW w:type="auto" w:w="0"/>
                  <w:shd w:val="clear" w:color="auto" w:fill="F0F0F0"/>
                </w:tcPr>
                <w:p>
                  <w:pPr>
                    <w:pStyle w:val="Normal"/>
                    <w:keepLines w:val="on"/>
                  </w:pPr>
                  <w:r>
                    <w:t>62,26%</w:t>
                  </w:r>
                </w:p>
              </w:tc>
              <w:tc>
                <w:tcPr>
                  <w:tcW w:type="auto" w:w="0"/>
                  <w:shd w:val="clear" w:color="auto" w:fill="F0F0F0"/>
                </w:tcPr>
                <w:p>
                  <w:pPr>
                    <w:pStyle w:val="Normal"/>
                    <w:keepLines w:val="on"/>
                  </w:pPr>
                  <w:r>
                    <w:t>17,43%</w:t>
                  </w:r>
                </w:p>
              </w:tc>
              <w:tc>
                <w:tcPr>
                  <w:tcW w:type="auto" w:w="0"/>
                  <w:shd w:val="clear" w:color="auto" w:fill="F0F0F0"/>
                </w:tcPr>
                <w:p>
                  <w:pPr>
                    <w:pStyle w:val="Normal"/>
                    <w:keepLines w:val="on"/>
                  </w:pPr>
                  <w:r>
                    <w:t>7,00%</w:t>
                  </w:r>
                </w:p>
              </w:tc>
              <w:tc>
                <w:tcPr>
                  <w:tcW w:type="auto" w:w="0"/>
                  <w:shd w:val="clear" w:color="auto" w:fill="F0F0F0"/>
                </w:tcPr>
                <w:p>
                  <w:pPr>
                    <w:pStyle w:val="Normal"/>
                    <w:keepLines w:val="on"/>
                  </w:pPr>
                  <w:r>
                    <w:t>0,58</w:t>
                  </w:r>
                </w:p>
              </w:tc>
            </w:tr>
            <w:tr>
              <w:tc>
                <w:tcPr>
                  <w:tcW w:type="auto" w:w="0"/>
                  <w:shd w:val="clear" w:color="auto" w:fill="F0F0F0"/>
                </w:tcPr>
                <w:p>
                  <w:pPr>
                    <w:pStyle w:val="Para 02"/>
                    <w:keepLines w:val="on"/>
                  </w:pPr>
                  <w:r>
                    <w:t>Genworth Financial Inc. (NYSE:GNW)</w:t>
                  </w:r>
                </w:p>
              </w:tc>
              <w:tc>
                <w:tcPr>
                  <w:tcW w:type="auto" w:w="0"/>
                  <w:shd w:val="clear" w:color="auto" w:fill="F0F0F0"/>
                </w:tcPr>
                <w:p>
                  <w:pPr>
                    <w:pStyle w:val="Normal"/>
                    <w:keepLines w:val="on"/>
                  </w:pPr>
                  <w:r>
                    <w:t>118,27</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0,33%</w:t>
                  </w:r>
                </w:p>
              </w:tc>
              <w:tc>
                <w:tcPr>
                  <w:tcW w:type="auto" w:w="0"/>
                  <w:shd w:val="clear" w:color="auto" w:fill="F0F0F0"/>
                </w:tcPr>
                <w:p>
                  <w:pPr>
                    <w:pStyle w:val="Normal"/>
                    <w:keepLines w:val="on"/>
                  </w:pPr>
                  <w:r>
                    <w:t>17,00%</w:t>
                  </w:r>
                </w:p>
              </w:tc>
              <w:tc>
                <w:tcPr>
                  <w:tcW w:type="auto" w:w="0"/>
                  <w:shd w:val="clear" w:color="auto" w:fill="F0F0F0"/>
                </w:tcPr>
                <w:p>
                  <w:pPr>
                    <w:pStyle w:val="Normal"/>
                    <w:keepLines w:val="on"/>
                  </w:pPr>
                  <w:r>
                    <w:t>3,31</w:t>
                  </w:r>
                </w:p>
              </w:tc>
            </w:tr>
          </w:tbl>
          <w:p/>
        </w:tc>
      </w:tr>
    </w:tbl>
    <w:p>
      <w:pPr>
        <w:pStyle w:val="Para 04"/>
        <w:keepLines w:val="on"/>
      </w:pPr>
      <w:r>
        <w:t>Nhìn vào tỷ lệ PE (giá trên thu nhập), CNO Financial và Hartford trông có vẻ rẻ, nhưng chúng cũng cực kỳ rủi ro và có tỷ lệ chi trả cổ tức rất thấp. Chúng tôi đã hồi quy tỷ lệ PE theo tăng trưởng kỳ vọng, tỷ lệ chi trả cổ tức và beta nhưng đã loại bỏ tăng trưởng kỳ vọng khỏi danh sách, vì nó không có ý nghĩa thống kê. Kết quả hồi quy tỷ lệ PE theo tăng trưởng kỳ vọng và tỷ lệ chi trả cổ tức như sau:</w:t>
      </w:r>
    </w:p>
    <w:p>
      <w:bookmarkStart w:id="4483" w:name="PE_12_311___1_953_Beta_9_70_Payo"/>
      <w:pPr>
        <w:keepNext/>
        <w:pStyle w:val="Para 07"/>
        <w:keepLines w:val="on"/>
      </w:pPr>
      <w:r>
        <w:t>PE=12,311−1,953 Beta+9,70 Tỷ lệ chi trả cổ tức        R2= 37,6%[7,04][2,08][3,21]</w:t>
      </w:r>
      <w:bookmarkEnd w:id="4483"/>
    </w:p>
    <w:p>
      <w:pPr>
        <w:pStyle w:val="Para 04"/>
        <w:keepLines w:val="on"/>
      </w:pPr>
      <w:r>
        <w:t>Thay các giá trị của CNO Financial vào phương trình hồi quy này, ta được tỷ lệ PE dự đoán là 6,63:</w:t>
      </w:r>
    </w:p>
    <w:p>
      <w:bookmarkStart w:id="4484" w:name="PE_12_311___1_953_2_91__9_70_0"/>
      <w:pPr>
        <w:keepNext/>
        <w:pStyle w:val="Para 07"/>
        <w:keepLines w:val="on"/>
      </w:pPr>
      <w:r>
        <w:t>PE=12,311−1,953(2,91)+9,70(0)=6,63</w:t>
      </w:r>
      <w:bookmarkEnd w:id="4484"/>
    </w:p>
    <w:p>
      <w:pPr>
        <w:pStyle w:val="Para 04"/>
        <w:keepLines w:val="on"/>
      </w:pPr>
      <w:r>
        <w:t>Với mức 6,31 lần thu nhập, CNO Financial có vẻ gần với giá trị hợp lý. Ngược lại, tỷ lệ PE dự đoán cho Aon Corporation là:</w:t>
      </w:r>
    </w:p>
    <w:p>
      <w:bookmarkStart w:id="4485" w:name="PE_12_311___1_953_2_91__9_70__23"/>
      <w:pPr>
        <w:keepNext/>
        <w:pStyle w:val="Para 07"/>
        <w:keepLines w:val="on"/>
      </w:pPr>
      <w:r>
        <w:t>PE=12,311−1,953(2,91)+9,70(0,239)=13,44</w:t>
      </w:r>
      <w:bookmarkEnd w:id="4485"/>
    </w:p>
    <w:p>
      <w:pPr>
        <w:pStyle w:val="Para 04"/>
        <w:keepLines w:val="on"/>
      </w:pPr>
      <w:r>
        <w:t>Với mức 21,94 lần thu nhập, Aon có vẻ bị định giá quá cao.</w:t>
      </w:r>
    </w:p>
    <w:p>
      <w:pPr>
        <w:pStyle w:val="Para 11"/>
      </w:pPr>
      <w:r>
        <w:rPr>
          <w:rStyle w:val="Text26"/>
        </w:rPr>
        <w:bookmarkStart w:id="4486" w:name="Page_678"/>
        <w:t/>
        <w:bookmarkEnd w:id="4486"/>
      </w:r>
      <w:r>
        <w:t xml:space="preserve"> </w:t>
      </w:r>
    </w:p>
    <w:p>
      <w:pPr>
        <w:pStyle w:val="Para 11"/>
      </w:pPr>
      <w:r>
        <w:t/>
        <w:t xml:space="preserve"> </w:t>
      </w:r>
    </w:p>
    <w:p>
      <w:bookmarkStart w:id="4487" w:name="ILLUSTRATION_21_6__Pricing_a_Com"/>
      <w:bookmarkStart w:id="4488" w:name="ILLUSTRATION_21_6__Pricing_a_Com_1"/>
      <w:pPr>
        <w:keepNext/>
        <w:pStyle w:val="Para 19"/>
        <w:keepLines w:val="on"/>
      </w:pPr>
      <w:r>
        <w:t>MINH HỌA 21.6: Định giá một công ty dựa trên các đơn vị kinh doanh: JP Morgan Chase vào tháng 5 năm 2011</w:t>
      </w:r>
      <w:bookmarkEnd w:id="4487"/>
      <w:bookmarkEnd w:id="4488"/>
    </w:p>
    <w:p>
      <w:pPr>
        <w:pStyle w:val="Para 04"/>
        <w:keepLines w:val="on"/>
      </w:pPr>
      <w:r>
        <w:t>JP Morgan Chase hoạt động trong nhiều lĩnh vực kinh doanh và phân tách lợi nhuận ròng của mình theo từng mảng kinh doanh. Bảng 21.6 liệt kê lợi nhuận ròng được báo cáo trong năm 2010 theo từng mảng kinh doanh, và áp dụng tỷ lệ PE dựa trên các công ty khác hoạt động chủ yếu hoặc chỉ trong phân khúc đó:</w:t>
      </w:r>
    </w:p>
    <w:p>
      <w:pPr>
        <w:pStyle w:val="Para 25"/>
        <w:keepLines w:val="on"/>
      </w:pPr>
      <w:r>
        <w:t>Bảng 21.6</w:t>
      </w:r>
    </w:p>
    <w:p>
      <w:pPr>
        <w:keepNext/>
        <w:pStyle w:val="Para 24"/>
        <w:keepLines w:val="on"/>
      </w:pPr>
      <w:r>
        <w:t>Định giá JP Morgan Chase, theo phân khúc</w:t>
      </w:r>
    </w:p>
    <w:tbl>
      <w:tblPr>
        <w:tblW w:type="auto" w:w="0"/>
      </w:tblPr>
      <w:tr>
        <w:tc>
          <w:tcPr>
            <w:tcW w:type="auto" w:w="0"/>
          </w:tcPr>
          <w:tbl>
            <w:tblPr>
              <w:tblW w:type="auto" w:w="0"/>
            </w:tblPr>
            <w:tr>
              <w:tc>
                <w:tcPr>
                  <w:tcW w:type="auto" w:w="0"/>
                  <w:shd w:val="clear" w:color="auto" w:fill="F0F0F0"/>
                </w:tcPr>
                <w:p>
                  <w:pPr>
                    <w:pStyle w:val="Para 32"/>
                    <w:keepLines w:val="on"/>
                  </w:pPr>
                  <w:r>
                    <w:t>Mảng kinh doanh</w:t>
                  </w:r>
                </w:p>
              </w:tc>
              <w:tc>
                <w:tcPr>
                  <w:tcW w:type="auto" w:w="0"/>
                  <w:shd w:val="clear" w:color="auto" w:fill="F0F0F0"/>
                </w:tcPr>
                <w:p>
                  <w:pPr>
                    <w:pStyle w:val="Para 05"/>
                    <w:keepLines w:val="on"/>
                  </w:pPr>
                  <w:r>
                    <w:t>Thu nhập ròng</w:t>
                  </w:r>
                </w:p>
              </w:tc>
              <w:tc>
                <w:tcPr>
                  <w:tcW w:type="auto" w:w="0"/>
                  <w:shd w:val="clear" w:color="auto" w:fill="F0F0F0"/>
                </w:tcPr>
                <w:p>
                  <w:pPr>
                    <w:pStyle w:val="Para 05"/>
                    <w:keepLines w:val="on"/>
                  </w:pPr>
                  <w:r>
                    <w:t>PE của ngành</w:t>
                  </w:r>
                </w:p>
              </w:tc>
              <w:tc>
                <w:tcPr>
                  <w:tcW w:type="auto" w:w="0"/>
                  <w:shd w:val="clear" w:color="auto" w:fill="F0F0F0"/>
                </w:tcPr>
                <w:p>
                  <w:pPr>
                    <w:pStyle w:val="Para 05"/>
                    <w:keepLines w:val="on"/>
                  </w:pPr>
                  <w:r>
                    <w:t>Giá trị vốn chủ sở hữu ước tính</w:t>
                  </w:r>
                </w:p>
              </w:tc>
            </w:tr>
            <w:tr>
              <w:tc>
                <w:tcPr>
                  <w:tcW w:type="auto" w:w="0"/>
                  <w:shd w:val="clear" w:color="auto" w:fill="F0F0F0"/>
                </w:tcPr>
                <w:p>
                  <w:pPr>
                    <w:pStyle w:val="Para 02"/>
                    <w:keepLines w:val="on"/>
                  </w:pPr>
                  <w:r>
                    <w:t>Ngân hàng đầu tư</w:t>
                  </w:r>
                </w:p>
              </w:tc>
              <w:tc>
                <w:tcPr>
                  <w:tcW w:type="auto" w:w="0"/>
                  <w:shd w:val="clear" w:color="auto" w:fill="F0F0F0"/>
                </w:tcPr>
                <w:p>
                  <w:pPr>
                    <w:pStyle w:val="Normal"/>
                    <w:keepLines w:val="on"/>
                  </w:pPr>
                  <w:r>
                    <w:t>$6,639</w:t>
                  </w:r>
                </w:p>
              </w:tc>
              <w:tc>
                <w:tcPr>
                  <w:tcW w:type="auto" w:w="0"/>
                  <w:shd w:val="clear" w:color="auto" w:fill="F0F0F0"/>
                </w:tcPr>
                <w:p>
                  <w:pPr>
                    <w:pStyle w:val="Normal"/>
                    <w:keepLines w:val="on"/>
                  </w:pPr>
                  <w:r>
                    <w:t>12.15</w:t>
                  </w:r>
                </w:p>
              </w:tc>
              <w:tc>
                <w:tcPr>
                  <w:tcW w:type="auto" w:w="0"/>
                  <w:shd w:val="clear" w:color="auto" w:fill="F0F0F0"/>
                </w:tcPr>
                <w:p>
                  <w:pPr>
                    <w:pStyle w:val="Normal"/>
                    <w:keepLines w:val="on"/>
                  </w:pPr>
                  <w:r>
                    <w:t>$80,664</w:t>
                  </w:r>
                </w:p>
              </w:tc>
            </w:tr>
            <w:tr>
              <w:tc>
                <w:tcPr>
                  <w:tcW w:type="auto" w:w="0"/>
                  <w:shd w:val="clear" w:color="auto" w:fill="F0F0F0"/>
                </w:tcPr>
                <w:p>
                  <w:pPr>
                    <w:pStyle w:val="Para 02"/>
                    <w:keepLines w:val="on"/>
                  </w:pPr>
                  <w:r>
                    <w:t>Dịch vụ Tài chính Bán lẻ</w:t>
                  </w:r>
                </w:p>
              </w:tc>
              <w:tc>
                <w:tcPr>
                  <w:tcW w:type="auto" w:w="0"/>
                  <w:shd w:val="clear" w:color="auto" w:fill="F0F0F0"/>
                </w:tcPr>
                <w:p>
                  <w:pPr>
                    <w:pStyle w:val="Normal"/>
                    <w:keepLines w:val="on"/>
                  </w:pPr>
                  <w:r>
                    <w:t>$2,526</w:t>
                  </w:r>
                </w:p>
              </w:tc>
              <w:tc>
                <w:tcPr>
                  <w:tcW w:type="auto" w:w="0"/>
                  <w:shd w:val="clear" w:color="auto" w:fill="F0F0F0"/>
                </w:tcPr>
                <w:p>
                  <w:pPr>
                    <w:pStyle w:val="Normal"/>
                    <w:keepLines w:val="on"/>
                  </w:pPr>
                  <w:r>
                    <w:t>14.8</w:t>
                  </w:r>
                </w:p>
              </w:tc>
              <w:tc>
                <w:tcPr>
                  <w:tcW w:type="auto" w:w="0"/>
                  <w:shd w:val="clear" w:color="auto" w:fill="F0F0F0"/>
                </w:tcPr>
                <w:p>
                  <w:pPr>
                    <w:pStyle w:val="Normal"/>
                    <w:keepLines w:val="on"/>
                  </w:pPr>
                  <w:r>
                    <w:t>$37,385</w:t>
                  </w:r>
                </w:p>
              </w:tc>
            </w:tr>
            <w:tr>
              <w:tc>
                <w:tcPr>
                  <w:tcW w:type="auto" w:w="0"/>
                  <w:shd w:val="clear" w:color="auto" w:fill="F0F0F0"/>
                </w:tcPr>
                <w:p>
                  <w:pPr>
                    <w:pStyle w:val="Para 02"/>
                    <w:keepLines w:val="on"/>
                  </w:pPr>
                  <w:r>
                    <w:t>Dịch vụ Thẻ Tín dụng</w:t>
                  </w:r>
                </w:p>
              </w:tc>
              <w:tc>
                <w:tcPr>
                  <w:tcW w:type="auto" w:w="0"/>
                  <w:shd w:val="clear" w:color="auto" w:fill="F0F0F0"/>
                </w:tcPr>
                <w:p>
                  <w:pPr>
                    <w:pStyle w:val="Normal"/>
                    <w:keepLines w:val="on"/>
                  </w:pPr>
                  <w:r>
                    <w:t>$2,074</w:t>
                  </w:r>
                </w:p>
              </w:tc>
              <w:tc>
                <w:tcPr>
                  <w:tcW w:type="auto" w:w="0"/>
                  <w:shd w:val="clear" w:color="auto" w:fill="F0F0F0"/>
                </w:tcPr>
                <w:p>
                  <w:pPr>
                    <w:pStyle w:val="Normal"/>
                    <w:keepLines w:val="on"/>
                  </w:pPr>
                  <w:r>
                    <w:t>14.8</w:t>
                  </w:r>
                </w:p>
              </w:tc>
              <w:tc>
                <w:tcPr>
                  <w:tcW w:type="auto" w:w="0"/>
                  <w:shd w:val="clear" w:color="auto" w:fill="F0F0F0"/>
                </w:tcPr>
                <w:p>
                  <w:pPr>
                    <w:pStyle w:val="Normal"/>
                    <w:keepLines w:val="on"/>
                  </w:pPr>
                  <w:r>
                    <w:t>$30,695</w:t>
                  </w:r>
                </w:p>
              </w:tc>
            </w:tr>
            <w:tr>
              <w:tc>
                <w:tcPr>
                  <w:tcW w:type="auto" w:w="0"/>
                  <w:shd w:val="clear" w:color="auto" w:fill="F0F0F0"/>
                </w:tcPr>
                <w:p>
                  <w:pPr>
                    <w:pStyle w:val="Para 02"/>
                    <w:keepLines w:val="on"/>
                  </w:pPr>
                  <w:r>
                    <w:t>Ngân hàng Thương mại</w:t>
                  </w:r>
                </w:p>
              </w:tc>
              <w:tc>
                <w:tcPr>
                  <w:tcW w:type="auto" w:w="0"/>
                  <w:shd w:val="clear" w:color="auto" w:fill="F0F0F0"/>
                </w:tcPr>
                <w:p>
                  <w:pPr>
                    <w:pStyle w:val="Normal"/>
                    <w:keepLines w:val="on"/>
                  </w:pPr>
                  <w:r>
                    <w:t>$2,084</w:t>
                  </w:r>
                </w:p>
              </w:tc>
              <w:tc>
                <w:tcPr>
                  <w:tcW w:type="auto" w:w="0"/>
                  <w:shd w:val="clear" w:color="auto" w:fill="F0F0F0"/>
                </w:tcPr>
                <w:p>
                  <w:pPr>
                    <w:pStyle w:val="Normal"/>
                    <w:keepLines w:val="on"/>
                  </w:pPr>
                  <w:r>
                    <w:t>10.8</w:t>
                  </w:r>
                </w:p>
              </w:tc>
              <w:tc>
                <w:tcPr>
                  <w:tcW w:type="auto" w:w="0"/>
                  <w:shd w:val="clear" w:color="auto" w:fill="F0F0F0"/>
                </w:tcPr>
                <w:p>
                  <w:pPr>
                    <w:pStyle w:val="Normal"/>
                    <w:keepLines w:val="on"/>
                  </w:pPr>
                  <w:r>
                    <w:t>$22,507</w:t>
                  </w:r>
                </w:p>
              </w:tc>
            </w:tr>
            <w:tr>
              <w:tc>
                <w:tcPr>
                  <w:tcW w:type="auto" w:w="0"/>
                  <w:shd w:val="clear" w:color="auto" w:fill="F0F0F0"/>
                </w:tcPr>
                <w:p>
                  <w:pPr>
                    <w:pStyle w:val="Para 02"/>
                    <w:keepLines w:val="on"/>
                  </w:pPr>
                  <w:r>
                    <w:t>Dịch vụ Kho bạc &amp; Chứng khoán</w:t>
                  </w:r>
                </w:p>
              </w:tc>
              <w:tc>
                <w:tcPr>
                  <w:tcW w:type="auto" w:w="0"/>
                  <w:shd w:val="clear" w:color="auto" w:fill="F0F0F0"/>
                </w:tcPr>
                <w:p>
                  <w:pPr>
                    <w:pStyle w:val="Normal"/>
                    <w:keepLines w:val="on"/>
                  </w:pPr>
                  <w:r>
                    <w:t>$1,079</w:t>
                  </w:r>
                </w:p>
              </w:tc>
              <w:tc>
                <w:tcPr>
                  <w:tcW w:type="auto" w:w="0"/>
                  <w:shd w:val="clear" w:color="auto" w:fill="F0F0F0"/>
                </w:tcPr>
                <w:p>
                  <w:pPr>
                    <w:pStyle w:val="Normal"/>
                    <w:keepLines w:val="on"/>
                  </w:pPr>
                  <w:r>
                    <w:t>10.8</w:t>
                  </w:r>
                </w:p>
              </w:tc>
              <w:tc>
                <w:tcPr>
                  <w:tcW w:type="auto" w:w="0"/>
                  <w:shd w:val="clear" w:color="auto" w:fill="F0F0F0"/>
                </w:tcPr>
                <w:p>
                  <w:pPr>
                    <w:pStyle w:val="Normal"/>
                    <w:keepLines w:val="on"/>
                  </w:pPr>
                  <w:r>
                    <w:t>$11,653</w:t>
                  </w:r>
                </w:p>
              </w:tc>
            </w:tr>
            <w:tr>
              <w:tc>
                <w:tcPr>
                  <w:tcW w:type="auto" w:w="0"/>
                  <w:shd w:val="clear" w:color="auto" w:fill="F0F0F0"/>
                </w:tcPr>
                <w:p>
                  <w:pPr>
                    <w:pStyle w:val="Para 02"/>
                    <w:keepLines w:val="on"/>
                  </w:pPr>
                  <w:r>
                    <w:t>Quản lý Tài sản</w:t>
                  </w:r>
                </w:p>
              </w:tc>
              <w:tc>
                <w:tcPr>
                  <w:tcW w:type="auto" w:w="0"/>
                  <w:shd w:val="clear" w:color="auto" w:fill="F0F0F0"/>
                </w:tcPr>
                <w:p>
                  <w:pPr>
                    <w:pStyle w:val="Normal"/>
                    <w:keepLines w:val="on"/>
                  </w:pPr>
                  <w:r>
                    <w:t>$1,710</w:t>
                  </w:r>
                </w:p>
              </w:tc>
              <w:tc>
                <w:tcPr>
                  <w:tcW w:type="auto" w:w="0"/>
                  <w:shd w:val="clear" w:color="auto" w:fill="F0F0F0"/>
                </w:tcPr>
                <w:p>
                  <w:pPr>
                    <w:pStyle w:val="Normal"/>
                    <w:keepLines w:val="on"/>
                  </w:pPr>
                  <w:r>
                    <w:t>15.67</w:t>
                  </w:r>
                </w:p>
              </w:tc>
              <w:tc>
                <w:tcPr>
                  <w:tcW w:type="auto" w:w="0"/>
                  <w:shd w:val="clear" w:color="auto" w:fill="F0F0F0"/>
                </w:tcPr>
                <w:p>
                  <w:pPr>
                    <w:pStyle w:val="Normal"/>
                    <w:keepLines w:val="on"/>
                  </w:pPr>
                  <w:r>
                    <w:t>$26,796</w:t>
                  </w:r>
                </w:p>
              </w:tc>
            </w:tr>
            <w:tr>
              <w:tc>
                <w:tcPr>
                  <w:tcW w:type="auto" w:w="0"/>
                  <w:shd w:val="clear" w:color="auto" w:fill="F0F0F0"/>
                </w:tcPr>
                <w:p>
                  <w:pPr>
                    <w:pStyle w:val="Para 02"/>
                    <w:keepLines w:val="on"/>
                  </w:pPr>
                  <w:r>
                    <w:t>Vốn cổ phần tư nhân</w:t>
                  </w:r>
                </w:p>
              </w:tc>
              <w:tc>
                <w:tcPr>
                  <w:tcW w:type="auto" w:w="0"/>
                  <w:shd w:val="clear" w:color="auto" w:fill="F0F0F0"/>
                </w:tcPr>
                <w:p>
                  <w:pPr>
                    <w:pStyle w:val="Normal"/>
                    <w:keepLines w:val="on"/>
                  </w:pPr>
                  <w:r>
                    <w:t>$1,258</w:t>
                  </w:r>
                </w:p>
              </w:tc>
              <w:tc>
                <w:tcPr>
                  <w:tcW w:type="auto" w:w="0"/>
                  <w:shd w:val="clear" w:color="auto" w:fill="F0F0F0"/>
                </w:tcPr>
                <w:p>
                  <w:pPr>
                    <w:pStyle w:val="Normal"/>
                    <w:keepLines w:val="on"/>
                  </w:pPr>
                  <w:r>
                    <w:t>8,08</w:t>
                  </w:r>
                </w:p>
              </w:tc>
              <w:tc>
                <w:tcPr>
                  <w:tcW w:type="auto" w:w="0"/>
                  <w:shd w:val="clear" w:color="auto" w:fill="F0F0F0"/>
                </w:tcPr>
                <w:p>
                  <w:pPr>
                    <w:pStyle w:val="Normal"/>
                    <w:keepLines w:val="on"/>
                  </w:pPr>
                  <w:r>
                    <w:t>10.165 đô la</w:t>
                  </w:r>
                </w:p>
              </w:tc>
            </w:tr>
            <w:tr>
              <w:tc>
                <w:tcPr>
                  <w:tcW w:type="auto" w:w="0"/>
                  <w:shd w:val="clear" w:color="auto" w:fill="F0F0F0"/>
                </w:tcPr>
                <w:p>
                  <w:pPr>
                    <w:pStyle w:val="Para 02"/>
                    <w:keepLines w:val="on"/>
                  </w:pPr>
                  <w:r>
                    <w:t>J.P. Morgan</w:t>
                  </w:r>
                </w:p>
              </w:tc>
              <w:tc>
                <w:tcPr>
                  <w:tcW w:type="auto" w:w="0"/>
                  <w:shd w:val="clear" w:color="auto" w:fill="F0F0F0"/>
                </w:tcPr>
                <w:p>
                  <w:pPr>
                    <w:pStyle w:val="Normal"/>
                    <w:keepLines w:val="on"/>
                  </w:pPr>
                  <w:r>
                    <w:t>17.370 đô la</w:t>
                  </w:r>
                </w:p>
              </w:tc>
              <w:tc>
                <w:tcPr>
                  <w:tcW w:type="auto" w:w="0"/>
                  <w:shd w:val="clear" w:color="auto" w:fill="F0F0F0"/>
                </w:tcPr>
                <w:p>
                  <w:pPr>
                    <w:pStyle w:val="7 Block"/>
                    <w:keepLines w:val="on"/>
                  </w:pPr>
                </w:p>
              </w:tc>
              <w:tc>
                <w:tcPr>
                  <w:tcW w:type="auto" w:w="0"/>
                  <w:shd w:val="clear" w:color="auto" w:fill="F0F0F0"/>
                </w:tcPr>
                <w:p>
                  <w:pPr>
                    <w:pStyle w:val="Normal"/>
                    <w:keepLines w:val="on"/>
                  </w:pPr>
                  <w:r>
                    <w:t>219.864,59 đô la</w:t>
                  </w:r>
                </w:p>
              </w:tc>
            </w:tr>
          </w:tbl>
          <w:p/>
        </w:tc>
      </w:tr>
    </w:tbl>
    <w:p>
      <w:pPr>
        <w:pStyle w:val="Para 04"/>
        <w:keepLines w:val="on"/>
      </w:pPr>
      <w:r>
        <w:t>Lưu ý rằng với một số mảng kinh doanh, chẳng hạn như dịch vụ kho bạc và chứng khoán, nơi không có đối thủ cạnh tranh độc lập, chúng tôi đã sử dụng PE trung bình của các công ty cung cấp sản phẩm hoặc dịch vụ đó. Cộng dồn giá trị vốn chủ sở hữu (equity value) của các mảng kinh doanh lại, chúng ta thu được giá trị vốn chủ sở hữu của JP Morgan Chase là 219,865 tỷ đô la. Vào tháng 5 năm 2011, công ty có vốn hóa thị trường (market capitalization) là 168,29 tỷ đô la, tức là đang bị định giá thấp hơn khoảng 30%.</w:t>
      </w:r>
    </w:p>
    <w:p>
      <w:bookmarkStart w:id="4490" w:name="Price_to_Book_Value_Ratios"/>
      <w:bookmarkStart w:id="4491" w:name="Price_to_Book_Value_Ratios__The"/>
      <w:pPr>
        <w:keepNext/>
        <w:pStyle w:val="Heading 4"/>
        <w:keepLines w:val="on"/>
      </w:pPr>
      <w:r>
        <w:t>Tỷ lệ Giá trên Giá trị Sổ sách</w:t>
      </w:r>
      <w:bookmarkEnd w:id="4490"/>
      <w:bookmarkEnd w:id="4491"/>
    </w:p>
    <w:p>
      <w:pPr>
        <w:pStyle w:val="Para 03"/>
      </w:pPr>
      <w:r>
        <w:t>Tỷ lệ giá trên giá trị sổ sách (price-to-book value ratio) của một công ty dịch vụ tài chính là tỷ lệ giữa vốn hóa thị trường (hoặc giá mỗi cổ phiếu) và giá trị sổ sách của vốn chủ sở hữu (hoặc giá trị sổ sách của vốn chủ sở hữu trên mỗi cổ phiếu).</w:t>
      </w:r>
    </w:p>
    <w:p>
      <w:bookmarkStart w:id="4492" w:name="Price_to_book_Market_capitalizat_1"/>
      <w:pPr>
        <w:keepNext/>
        <w:pStyle w:val="Para 09"/>
        <w:keepLines w:val="on"/>
      </w:pPr>
      <w:r>
        <w:t>Giá trên giá trị sổ sách = Vốn hóa thị trường / Giá trị sổ sách của vốn chủ sở hữu</w:t>
      </w:r>
      <w:bookmarkEnd w:id="4492"/>
    </w:p>
    <w:p>
      <w:pPr>
        <w:pStyle w:val="Para 03"/>
      </w:pPr>
      <w:r>
        <w:t>Định nghĩa này giống hệt định nghĩa đã trình bày ở Chương 19, và nó được quyết định bởi các biến số đã nêu trong chương đó — tốc độ tăng trưởng kỳ vọng của thu nhập trên mỗi cổ phiếu (earnings per share), tỷ lệ chi trả cổ tức (dividend payout ratio), chi phí vốn chủ sở hữu (cost of equity), và tỷ suất sinh lời trên vốn chủ sở hữu (return on equity). Trong điều kiện mọi thứ khác không đổi, tốc độ tăng trưởng thu nhập cao hơn, tỷ lệ chi trả cao hơn, chi phí vốn chủ sở hữu thấp hơn, và tỷ suất sinh lời trên vốn chủ sở hữu cao hơn đều sẽ dẫn đến tỷ lệ giá trên giá trị sổ sách cao hơn. Trong bốn biến số này, tỷ suất sinh lời trên vốn chủ sở hữu có tác động lớn nhất đến tỷ lệ giá trên giá trị sổ sách, khiến chúng tôi xác định nó là biến số đồng hành (companion variable) của tỷ lệ này.</w:t>
      </w:r>
    </w:p>
    <w:p>
      <w:pPr>
        <w:pStyle w:val="Para 03"/>
      </w:pPr>
      <w:r>
        <w:t>Nếu có gì thì mối quan hệ giữa tỷ lệ giá trên giá trị sổ sách và tỷ suất sinh lời trên vốn chủ sở hữu ở các công ty dịch vụ tài chính còn mạnh mẽ hơn so với các công ty khác, bởi vì giá trị sổ sách của vốn chủ sở hữu có nhiều khả năng phản ánh sát hơn giá trị thị trường của vốn chủ sở hữu được đầu tư vào các tài sản hiện hữu. Tương tự, tỷ suất sinh lời trên vốn chủ sở hữu cũng ít có khả năng bị ảnh hưởng bởi các quyết định kế toán hơn. Có thể thấy rõ sức mạnh của mối quan hệ giữa tỷ lệ giá trên giá trị sổ sách và tỷ suất sinh lời trên vốn chủ sở hữu khi chúng ta vẽ hai chỉ số này trên biểu đồ phân tán (scatter plot) cho các ngân hàng thương mại vào tháng 5 năm 2024 tại Hoa Kỳ, trong Hình 21.1.</w:t>
      </w:r>
    </w:p>
    <w:p>
      <w:pPr>
        <w:pStyle w:val="Para 20"/>
      </w:pPr>
      <w:r>
        <w:rPr>
          <w:rStyle w:val="Text26"/>
        </w:rPr>
        <w:bookmarkStart w:id="4494" w:name="Page_679"/>
        <w:t/>
        <w:bookmarkEnd w:id="4494"/>
      </w:r>
      <w:r>
        <w:t xml:space="preserve"> </w:t>
      </w:r>
    </w:p>
    <w:p>
      <w:bookmarkStart w:id="4495" w:name="Figure_21_1_PBV_Ratios_and_RO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89200" cy="1752600"/>
            <wp:effectExtent l="0" r="0" t="0" b="0"/>
            <wp:wrapTopAndBottom/>
            <wp:docPr id="211" name="c21f001.png" descr="Graph plots an upward line with points above line denoting P B V ratios are too high; points below line denoting P B V ratios are too low."/>
            <wp:cNvGraphicFramePr>
              <a:graphicFrameLocks noChangeAspect="1"/>
            </wp:cNvGraphicFramePr>
            <a:graphic>
              <a:graphicData uri="http://schemas.openxmlformats.org/drawingml/2006/picture">
                <pic:pic>
                  <pic:nvPicPr>
                    <pic:cNvPr id="0" name="c21f001.png" descr="Graph plots an upward line with points above line denoting P B V ratios are too high; points below line denoting P B V ratios are too low."/>
                    <pic:cNvPicPr/>
                  </pic:nvPicPr>
                  <pic:blipFill>
                    <a:blip r:embed="rId150"/>
                    <a:stretch>
                      <a:fillRect/>
                    </a:stretch>
                  </pic:blipFill>
                  <pic:spPr>
                    <a:xfrm>
                      <a:off x="0" y="0"/>
                      <a:ext cx="2489200" cy="1752600"/>
                    </a:xfrm>
                    <a:prstGeom prst="rect">
                      <a:avLst/>
                    </a:prstGeom>
                  </pic:spPr>
                </pic:pic>
              </a:graphicData>
            </a:graphic>
          </wp:anchor>
        </w:drawing>
      </w:r>
      <w:bookmarkEnd w:id="4495"/>
    </w:p>
    <w:p>
      <w:pPr>
        <w:keepNext/>
        <w:pStyle w:val="Para 22"/>
        <w:keepLines w:val="on"/>
      </w:pPr>
      <w:r>
        <w:t>Hình 21.1 Tỷ lệ PBV và ROE — Các ngân hàng Hoa Kỳ vào tháng 5 năm 2024</w:t>
      </w:r>
    </w:p>
    <w:p>
      <w:pPr>
        <w:pStyle w:val="Para 03"/>
      </w:pPr>
      <w:r>
        <w:t>Như bạn có thể thấy, các ngân hàng có tỷ suất sinh lời trên vốn chủ sở hữu cao hơn có xu hướng được giao dịch với tỷ lệ giá trên giá trị sổ sách cao hơn, nhưng mối quan hệ này có khá nhiều nhiễu (noise), phản ánh sự khác biệt ở các yếu tố nền tảng khác. Chẳng hạn, các ngân hàng khác nhau về mức độ rủi ro, và chúng ta kỳ vọng rằng với bất kỳ mức tỷ suất sinh lời trên vốn chủ sở hữu nào, các ngân hàng rủi ro hơn sẽ có tỷ lệ giá trên giá trị sổ sách thấp hơn. Tương tự, các ngân hàng có tiềm năng tăng trưởng lớn hơn nhiều sẽ có tỷ lệ giá trên giá trị sổ sách cao hơn nhiều, với bất kỳ mức nào của các yếu tố nền tảng khác.</w:t>
      </w:r>
    </w:p>
    <w:p>
      <w:pPr>
        <w:pStyle w:val="Para 11"/>
      </w:pPr>
      <w:r>
        <w:t/>
        <w:t xml:space="preserve"> </w:t>
      </w:r>
    </w:p>
    <w:p>
      <w:bookmarkStart w:id="4496" w:name="ILLUSTRATION_21_7__PBV_and_ROE_f"/>
      <w:bookmarkStart w:id="4497" w:name="ILLUSTRATION_21_7__PBV_and_ROE_f_1"/>
      <w:pPr>
        <w:keepNext/>
        <w:pStyle w:val="Para 19"/>
        <w:keepLines w:val="on"/>
      </w:pPr>
      <w:r>
        <w:t>VÍ DỤ 21.7: PBV và ROE của các ngân hàng châu Âu vào tháng 5 năm 2024</w:t>
      </w:r>
      <w:bookmarkEnd w:id="4496"/>
      <w:bookmarkEnd w:id="4497"/>
    </w:p>
    <w:p>
      <w:pPr>
        <w:pStyle w:val="Para 04"/>
        <w:keepLines w:val="on"/>
      </w:pPr>
      <w:r>
        <w:t>Vào tháng 5 năm 2024, có bảy mươi ngân hàng châu Âu niêm yết đại chúng, với thông tin về tỷ lệ vốn theo quy định (regulatory capital ratios) được công bố. Bảng 21.7 tóm tắt tỷ lệ giá trên giá trị sổ sách, tỷ suất sinh lời trên vốn chủ sở hữu và tỷ lệ vốn cấp 1 (tier 1 capital ratios) (tính theo phần trăm vốn theo quy định) của các ngân hàng:</w:t>
      </w:r>
    </w:p>
    <w:p>
      <w:pPr>
        <w:pStyle w:val="Para 25"/>
        <w:keepLines w:val="on"/>
      </w:pPr>
      <w:r>
        <w:t>Bảng 21.7</w:t>
      </w:r>
    </w:p>
    <w:p>
      <w:pPr>
        <w:keepNext/>
        <w:pStyle w:val="Para 24"/>
        <w:keepLines w:val="on"/>
      </w:pPr>
      <w:r>
        <w:t>Giá trên Giá trị Sổ sách và các Yếu tố Nền tảng — Các ngân hàng châu Âu</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Trung bình</w:t>
                  </w:r>
                </w:p>
              </w:tc>
              <w:tc>
                <w:tcPr>
                  <w:tcW w:type="auto" w:w="0"/>
                  <w:shd w:val="clear" w:color="auto" w:fill="F0F0F0"/>
                </w:tcPr>
                <w:p>
                  <w:pPr>
                    <w:pStyle w:val="Para 05"/>
                    <w:keepLines w:val="on"/>
                  </w:pPr>
                  <w:r>
                    <w:t>Tứ phân vị thứ nhất</w:t>
                  </w:r>
                </w:p>
              </w:tc>
              <w:tc>
                <w:tcPr>
                  <w:tcW w:type="auto" w:w="0"/>
                  <w:shd w:val="clear" w:color="auto" w:fill="F0F0F0"/>
                </w:tcPr>
                <w:p>
                  <w:pPr>
                    <w:pStyle w:val="Para 05"/>
                    <w:keepLines w:val="on"/>
                  </w:pPr>
                  <w:r>
                    <w:t>Trung vị</w:t>
                  </w:r>
                </w:p>
              </w:tc>
              <w:tc>
                <w:tcPr>
                  <w:tcW w:type="auto" w:w="0"/>
                  <w:shd w:val="clear" w:color="auto" w:fill="F0F0F0"/>
                </w:tcPr>
                <w:p>
                  <w:pPr>
                    <w:pStyle w:val="Para 05"/>
                    <w:keepLines w:val="on"/>
                  </w:pPr>
                  <w:r>
                    <w:t>Tứ phân vị thứ ba</w:t>
                  </w:r>
                </w:p>
              </w:tc>
            </w:tr>
            <w:tr>
              <w:tc>
                <w:tcPr>
                  <w:tcW w:type="auto" w:w="0"/>
                  <w:shd w:val="clear" w:color="auto" w:fill="F0F0F0"/>
                </w:tcPr>
                <w:p>
                  <w:pPr>
                    <w:pStyle w:val="Para 02"/>
                    <w:keepLines w:val="on"/>
                  </w:pPr>
                  <w:r>
                    <w:t>Giá trên giá trị sổ sách</w:t>
                  </w:r>
                </w:p>
              </w:tc>
              <w:tc>
                <w:tcPr>
                  <w:tcW w:type="auto" w:w="0"/>
                  <w:shd w:val="clear" w:color="auto" w:fill="F0F0F0"/>
                </w:tcPr>
                <w:p>
                  <w:pPr>
                    <w:pStyle w:val="Normal"/>
                    <w:keepLines w:val="on"/>
                  </w:pPr>
                  <w:r>
                    <w:t>0,89</w:t>
                  </w:r>
                </w:p>
              </w:tc>
              <w:tc>
                <w:tcPr>
                  <w:tcW w:type="auto" w:w="0"/>
                  <w:shd w:val="clear" w:color="auto" w:fill="F0F0F0"/>
                </w:tcPr>
                <w:p>
                  <w:pPr>
                    <w:pStyle w:val="Normal"/>
                    <w:keepLines w:val="on"/>
                  </w:pPr>
                  <w:r>
                    <w:t>0,55</w:t>
                  </w:r>
                </w:p>
              </w:tc>
              <w:tc>
                <w:tcPr>
                  <w:tcW w:type="auto" w:w="0"/>
                  <w:shd w:val="clear" w:color="auto" w:fill="F0F0F0"/>
                </w:tcPr>
                <w:p>
                  <w:pPr>
                    <w:pStyle w:val="Normal"/>
                    <w:keepLines w:val="on"/>
                  </w:pPr>
                  <w:r>
                    <w:t>0,77</w:t>
                  </w:r>
                </w:p>
              </w:tc>
              <w:tc>
                <w:tcPr>
                  <w:tcW w:type="auto" w:w="0"/>
                  <w:shd w:val="clear" w:color="auto" w:fill="F0F0F0"/>
                </w:tcPr>
                <w:p>
                  <w:pPr>
                    <w:pStyle w:val="Normal"/>
                    <w:keepLines w:val="on"/>
                  </w:pPr>
                  <w:r>
                    <w:t>1,09</w:t>
                  </w:r>
                </w:p>
              </w:tc>
            </w:tr>
            <w:tr>
              <w:tc>
                <w:tcPr>
                  <w:tcW w:type="auto" w:w="0"/>
                  <w:shd w:val="clear" w:color="auto" w:fill="F0F0F0"/>
                </w:tcPr>
                <w:p>
                  <w:pPr>
                    <w:pStyle w:val="Para 02"/>
                    <w:keepLines w:val="on"/>
                  </w:pPr>
                  <w:r>
                    <w:t>Lợi nhuận trên vốn chủ sở hữu</w:t>
                  </w:r>
                </w:p>
              </w:tc>
              <w:tc>
                <w:tcPr>
                  <w:tcW w:type="auto" w:w="0"/>
                  <w:shd w:val="clear" w:color="auto" w:fill="F0F0F0"/>
                </w:tcPr>
                <w:p>
                  <w:pPr>
                    <w:pStyle w:val="Normal"/>
                    <w:keepLines w:val="on"/>
                  </w:pPr>
                  <w:r>
                    <w:t>15,22%</w:t>
                  </w:r>
                </w:p>
              </w:tc>
              <w:tc>
                <w:tcPr>
                  <w:tcW w:type="auto" w:w="0"/>
                  <w:shd w:val="clear" w:color="auto" w:fill="F0F0F0"/>
                </w:tcPr>
                <w:p>
                  <w:pPr>
                    <w:pStyle w:val="Normal"/>
                    <w:keepLines w:val="on"/>
                  </w:pPr>
                  <w:r>
                    <w:t>11,04%</w:t>
                  </w:r>
                </w:p>
              </w:tc>
              <w:tc>
                <w:tcPr>
                  <w:tcW w:type="auto" w:w="0"/>
                  <w:shd w:val="clear" w:color="auto" w:fill="F0F0F0"/>
                </w:tcPr>
                <w:p>
                  <w:pPr>
                    <w:pStyle w:val="Normal"/>
                    <w:keepLines w:val="on"/>
                  </w:pPr>
                  <w:r>
                    <w:t>13,99%</w:t>
                  </w:r>
                </w:p>
              </w:tc>
              <w:tc>
                <w:tcPr>
                  <w:tcW w:type="auto" w:w="0"/>
                  <w:shd w:val="clear" w:color="auto" w:fill="F0F0F0"/>
                </w:tcPr>
                <w:p>
                  <w:pPr>
                    <w:pStyle w:val="Normal"/>
                    <w:keepLines w:val="on"/>
                  </w:pPr>
                  <w:r>
                    <w:t>17,69%</w:t>
                  </w:r>
                </w:p>
              </w:tc>
            </w:tr>
            <w:tr>
              <w:tc>
                <w:tcPr>
                  <w:tcW w:type="auto" w:w="0"/>
                  <w:shd w:val="clear" w:color="auto" w:fill="F0F0F0"/>
                </w:tcPr>
                <w:p>
                  <w:pPr>
                    <w:pStyle w:val="Para 02"/>
                    <w:keepLines w:val="on"/>
                  </w:pPr>
                  <w:r>
                    <w:t>Tỷ lệ vốn cấp 1</w:t>
                  </w:r>
                </w:p>
              </w:tc>
              <w:tc>
                <w:tcPr>
                  <w:tcW w:type="auto" w:w="0"/>
                  <w:shd w:val="clear" w:color="auto" w:fill="F0F0F0"/>
                </w:tcPr>
                <w:p>
                  <w:pPr>
                    <w:pStyle w:val="Normal"/>
                    <w:keepLines w:val="on"/>
                  </w:pPr>
                  <w:r>
                    <w:t>17,78%</w:t>
                  </w:r>
                </w:p>
              </w:tc>
              <w:tc>
                <w:tcPr>
                  <w:tcW w:type="auto" w:w="0"/>
                  <w:shd w:val="clear" w:color="auto" w:fill="F0F0F0"/>
                </w:tcPr>
                <w:p>
                  <w:pPr>
                    <w:pStyle w:val="Normal"/>
                    <w:keepLines w:val="on"/>
                  </w:pPr>
                  <w:r>
                    <w:t>15,38%</w:t>
                  </w:r>
                </w:p>
              </w:tc>
              <w:tc>
                <w:tcPr>
                  <w:tcW w:type="auto" w:w="0"/>
                  <w:shd w:val="clear" w:color="auto" w:fill="F0F0F0"/>
                </w:tcPr>
                <w:p>
                  <w:pPr>
                    <w:pStyle w:val="Normal"/>
                    <w:keepLines w:val="on"/>
                  </w:pPr>
                  <w:r>
                    <w:t>16,97%</w:t>
                  </w:r>
                </w:p>
              </w:tc>
              <w:tc>
                <w:tcPr>
                  <w:tcW w:type="auto" w:w="0"/>
                  <w:shd w:val="clear" w:color="auto" w:fill="F0F0F0"/>
                </w:tcPr>
                <w:p>
                  <w:pPr>
                    <w:pStyle w:val="Normal"/>
                    <w:keepLines w:val="on"/>
                  </w:pPr>
                  <w:r>
                    <w:t>19,51%</w:t>
                  </w:r>
                </w:p>
              </w:tc>
            </w:tr>
          </w:tbl>
          <w:p/>
        </w:tc>
      </w:tr>
    </w:tbl>
    <w:p>
      <w:pPr>
        <w:pStyle w:val="Para 40"/>
        <w:keepLines w:val="on"/>
      </w:pPr>
      <w:r>
        <w:rPr>
          <w:rStyle w:val="Text26"/>
        </w:rPr>
        <w:bookmarkStart w:id="4499" w:name="Page_680"/>
        <w:t/>
        <w:bookmarkEnd w:id="4499"/>
      </w:r>
      <w:r>
        <w:t xml:space="preserve"> </w:t>
      </w:r>
    </w:p>
    <w:p>
      <w:pPr>
        <w:pStyle w:val="Para 04"/>
        <w:keepLines w:val="on"/>
      </w:pPr>
      <w:r>
        <w:t>Trong khi 50 trong số 70 ngân hàng đang giao dịch dưới giá trị sổ sách, nhiều công ty trong số này có lợi nhuận trên vốn chủ sở hữu thấp và tăng trưởng kỳ vọng thấp. Để kiểm soát sự khác biệt về các yếu tố cơ bản, chúng ta hồi quy tỷ lệ giá trên giá trị sổ sách (price-to-book) theo lợi nhuận trên vốn chủ sở hữu và vốn cấp 1 tính theo phần trăm tài sản điều chỉnh theo rủi ro:</w:t>
      </w:r>
    </w:p>
    <w:p>
      <w:bookmarkStart w:id="4500" w:name="Price_to_book__0_4063_3_4563_ROE"/>
      <w:pPr>
        <w:keepNext/>
        <w:pStyle w:val="Para 07"/>
        <w:keepLines w:val="on"/>
      </w:pPr>
      <w:r>
        <w:t>Giá trên giá trị sổ sách = -0,4063 + 3,4563 ROE + 4,3595 Tỷ lệ vốn cấp 1 R2 = 37,45% (1,48)(4,65)(2,72)</w:t>
      </w:r>
      <w:bookmarkEnd w:id="4500"/>
    </w:p>
    <w:p>
      <w:pPr>
        <w:pStyle w:val="Para 04"/>
        <w:keepLines w:val="on"/>
      </w:pPr>
      <w:r>
        <w:t>Một phần đáng kể sự khác biệt về lợi nhuận trên vốn chủ sở hữu giữa các ngân hàng châu Âu vào tháng 5 năm 2024 có thể được giải thích bằng sự khác biệt về lợi nhuận trên vốn chủ sở hữu và tỷ lệ vốn cấp 1, với những công ty có lợi nhuận trên vốn chủ sở hữu cao hơn và tỷ lệ vốn cấp 1 lành mạnh hơn (cao hơn) đang giao dịch ở mức bội số giá trị sổ sách cao hơn nhiều.</w:t>
      </w:r>
    </w:p>
    <w:p>
      <w:pPr>
        <w:pStyle w:val="Para 04"/>
        <w:keepLines w:val="on"/>
      </w:pPr>
      <w:r>
        <w:t>Để minh họa việc sử dụng hồi quy này, hãy xem xét Banco Santander, ngân hàng Tây Ban Nha, với lợi nhuận trên vốn chủ sở hữu là 12,86% và tỷ lệ vốn cấp 1 là 13,75%, đang giao dịch ở mức 0,63 lần giá trị sổ sách. Thay các con số của công ty vào hồi quy:</w:t>
      </w:r>
    </w:p>
    <w:p>
      <w:bookmarkStart w:id="4501" w:name="Price_to_book__0_4063_3_4563__0"/>
      <w:pPr>
        <w:keepNext/>
        <w:pStyle w:val="Para 07"/>
        <w:keepLines w:val="on"/>
      </w:pPr>
      <w:r>
        <w:t>Giá trên giá trị sổ sách = -0,4063 + 3,4563 (0,1286) + 4,3595 (0,1375) = 0,64</w:t>
      </w:r>
      <w:bookmarkEnd w:id="4501"/>
    </w:p>
    <w:p>
      <w:pPr>
        <w:pStyle w:val="Para 04"/>
        <w:keepLines w:val="on"/>
      </w:pPr>
      <w:r>
        <w:t>Xét cách các ngân hàng châu Âu khác được định giá vào tháng 5 năm 2024, Banco Santander đang ở gần mức định giá hợp lý.</w:t>
      </w:r>
    </w:p>
    <w:p>
      <w:bookmarkStart w:id="4502" w:name="The_Crisis_Effect"/>
      <w:bookmarkStart w:id="4503" w:name="The_Crisis_Effect__Banks_have_be"/>
      <w:pPr>
        <w:keepNext/>
        <w:pStyle w:val="Heading 2"/>
        <w:keepLines w:val="on"/>
      </w:pPr>
      <w:r>
        <w:t>Hiệu ứng khủng hoảng</w:t>
      </w:r>
      <w:bookmarkEnd w:id="4502"/>
      <w:bookmarkEnd w:id="4503"/>
    </w:p>
    <w:p>
      <w:pPr>
        <w:pStyle w:val="Para 03"/>
      </w:pPr>
      <w:r>
        <w:t>Các ngân hàng đã là một phần không thể tách rời của hoạt động kinh doanh trong nhiều thế kỷ, và trong khi chúng ta được hưởng lợi từ sự hiện diện của họ, chúng ta cũng đã định kỳ bị đặt vào vòng nguy hiểm khi các ngân hàng vượt quá giới hạn hoặc gặp rắc rối, với khả năng tạo ra những chi phí mà phần còn lại của chúng ta phải gánh chịu. Sau mỗi cuộc khủng hoảng ngân hàng, các quy tắc mới được đưa ra để giảm thiểu hoặc hạn chế tối đa những rủi ro này đối với hệ thống kinh tế, nhưng bất chấp những quy tắc này, hoặc đôi khi chính vì chúng, lại có những cuộc khủng hoảng mới. Để hiểu nguồn gốc của những rắc rối ngân hàng, điều quan trọng là chúng ta phải hiểu cách hoạt động kinh doanh ngân hàng vận hành, với mục đích tạo ra các tiêu chí mà chúng ta có thể sử dụng để phân biệt ngân hàng tốt với ngân hàng trung bình hoặc tồi.</w:t>
      </w:r>
    </w:p>
    <w:p>
      <w:bookmarkStart w:id="4504" w:name="The_Banking_Business_Model__The"/>
      <w:bookmarkStart w:id="4505" w:name="The_Banking_Business_Model"/>
      <w:pPr>
        <w:keepNext/>
        <w:pStyle w:val="Heading 3"/>
        <w:keepLines w:val="on"/>
      </w:pPr>
      <w:r>
        <w:t>Mô hình kinh doanh ngân hàng</w:t>
      </w:r>
      <w:bookmarkEnd w:id="4504"/>
      <w:bookmarkEnd w:id="4505"/>
    </w:p>
    <w:p>
      <w:pPr>
        <w:pStyle w:val="Para 03"/>
      </w:pPr>
      <w:r>
        <w:t>Hoạt động kinh doanh ngân hàng, khi bóc tách về những điều cơ bản, là một hoạt động đơn giản. Một ngân hàng thu nhận tiền gửi từ khách hàng, đưa ra sự đánh đổi (quid pro quo) là sự tiện lợi, an toàn, và đôi khi là thu nhập lãi (đối với những khoản tiền gửi có lãi suất hấp dẫn), rồi cho người đi vay (cá nhân và doanh nghiệp) vay lại số tiền này, tính mức lãi suất đủ cao để bù đắp các khoản vỡ nợ và để lại lợi nhuận thặng dư cho ngân hàng. Ngoài ra, các ngân hàng cũng có thể đầu tư một phần tiền mặt vào chứng khoán, thường là thu nhập cố định (fixed-income), với các kỳ hạn khác nhau và mức độ rủi ro vỡ nợ khác nhau, một lần nữa kiếm thu nhập từ những khoản nắm giữ này. Khả năng sinh lời của một ngân hàng dựa trên chênh lệch giữa thu nhập lãi (từ các khoản cho vay và đầu tư tài chính) và chi phí lãi (đối với tiền gửi và nợ), với những khoản rò rỉ từ chênh lệch đó để bù đắp các khoản cho vay bị vỡ nợ và lỗ từ chứng khoán đầu tư. Hình 21.2 mô tả những tác động này. Để đảm bảo một ngân hàng tồn tại được, chủ sở hữu của nó phải nắm giữ đủ vốn chủ sở hữu để làm đệm chống lại những khoản vỡ nợ hoặc thua lỗ bất ngờ.</w:t>
      </w:r>
    </w:p>
    <w:p>
      <w:pPr>
        <w:pStyle w:val="Para 20"/>
      </w:pPr>
      <w:r>
        <w:rPr>
          <w:rStyle w:val="Text26"/>
        </w:rPr>
        <w:bookmarkStart w:id="4507" w:name="Page_681"/>
        <w:t/>
        <w:bookmarkEnd w:id="4507"/>
      </w:r>
      <w:r>
        <w:t xml:space="preserve"> </w:t>
      </w:r>
    </w:p>
    <w:p>
      <w:bookmarkStart w:id="4508" w:name="Figure_21_2_The_Banking_Busines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346200"/>
            <wp:effectExtent l="0" r="0" t="0" b="0"/>
            <wp:wrapTopAndBottom/>
            <wp:docPr id="212" name="c21f002.png" descr="Model on banking lists key metrics, assets, liabilities and equity, and value drivers as a buffer against losses."/>
            <wp:cNvGraphicFramePr>
              <a:graphicFrameLocks noChangeAspect="1"/>
            </wp:cNvGraphicFramePr>
            <a:graphic>
              <a:graphicData uri="http://schemas.openxmlformats.org/drawingml/2006/picture">
                <pic:pic>
                  <pic:nvPicPr>
                    <pic:cNvPr id="0" name="c21f002.png" descr="Model on banking lists key metrics, assets, liabilities and equity, and value drivers as a buffer against losses."/>
                    <pic:cNvPicPr/>
                  </pic:nvPicPr>
                  <pic:blipFill>
                    <a:blip r:embed="rId151"/>
                    <a:stretch>
                      <a:fillRect/>
                    </a:stretch>
                  </pic:blipFill>
                  <pic:spPr>
                    <a:xfrm>
                      <a:off x="0" y="0"/>
                      <a:ext cx="2438400" cy="1346200"/>
                    </a:xfrm>
                    <a:prstGeom prst="rect">
                      <a:avLst/>
                    </a:prstGeom>
                  </pic:spPr>
                </pic:pic>
              </a:graphicData>
            </a:graphic>
          </wp:anchor>
        </w:drawing>
      </w:r>
      <w:bookmarkEnd w:id="4508"/>
    </w:p>
    <w:p>
      <w:pPr>
        <w:keepNext/>
        <w:pStyle w:val="Para 22"/>
        <w:keepLines w:val="on"/>
      </w:pPr>
      <w:r>
        <w:t>Hình 21.2 Mô hình kinh doanh ngân hàng</w:t>
      </w:r>
    </w:p>
    <w:p>
      <w:bookmarkStart w:id="4509" w:name="The_Banking_Regulators__If_you_a"/>
      <w:bookmarkStart w:id="4510" w:name="The_Banking_Regulators"/>
      <w:pPr>
        <w:keepNext/>
        <w:pStyle w:val="Heading 3"/>
        <w:keepLines w:val="on"/>
      </w:pPr>
      <w:r>
        <w:t>Các cơ quan quản lý ngân hàng</w:t>
      </w:r>
      <w:bookmarkEnd w:id="4509"/>
      <w:bookmarkEnd w:id="4510"/>
    </w:p>
    <w:p>
      <w:pPr>
        <w:pStyle w:val="Para 03"/>
      </w:pPr>
      <w:r>
        <w:t>Nếu bạn đang thắc mắc không biết các cơ quan quản lý ngân hàng bước vào mô hình kinh doanh này từ đâu, thì đáng nhớ rằng các ngân hàng đã tồn tại trước cả các cơ quan quản lý, và trong nhiều thế kỷ đã tự quản lý (tức là tự chịu trách nhiệm đảm bảo rằng họ có đủ vốn chủ sở hữu để bù đắp những thua lỗ bất ngờ). Có thể đoán trước được rằng, các cuộc tháo chạy ngân hàng (bank run) đã diễn ra thường xuyên, và những ngân hàng tồn tại và phát triển thịnh vượng đã tách mình khỏi những ngân hàng khác bằng cách có vốn hóa tốt hơn và đánh giá rủi ro vỡ nợ tốt hơn so với đối thủ cạnh tranh. Ở Hoa Kỳ, chính trong thời kỳ nội chiến, Đạo luật Ngân hàng Quốc gia (National Banking Act) đã được thông qua, đặt nền móng cho việc cấp phép thành lập ngân hàng và yêu cầu họ duy trì các khoản dự trữ an toàn. Sau cuộc hoảng loạn ngân hàng năm 1907 khi J.P. Morgan và các chủ ngân hàng giàu có khác phải đứng ra cứu hệ thống, Ngân hàng Dự trữ Liên bang (Federal Reserve Bank) được thành lập vào năm 1913. Cuộc Đại Suy thoái đã dẫn đến Đạo luật Glass-Steagall năm 1933, hạn chế các ngân hàng chỉ được hoạt động ngân hàng thương mại, với mục đích ngăn họ đầu tư tiền gửi vào những hoạt động kinh doanh rủi ro hơn. Khái niệm vốn quy định (regulatory capital) luôn là một phần của quy định ngân hàng, với FDIC định nghĩa "đủ vốn" (capital adequacy) là có đủ vốn chủ sở hữu để bù đắp một phần mười tài sản. Trong những thập kỷ tiếp theo, các tỷ lệ đủ vốn này được tinh chỉnh để cho phép có sự khác biệt về rủi ro giữa các ngân hàng, với logic rằng tài sản rủi ro hơn cần nhiều vốn hỗ trợ hơn tài sản an toàn hơn. Những nhu cầu vốn quy định này được chính thức hóa và toàn cầu hóa sau khi các nước G-10 thành lập Ủy ban Basel về Giám sát Ngân hàng (Basel Committee on Banking Supervision) và tạo ra một cách rõ ràng các khái niệm "tài sản có trọng số rủi ro" (risk-weighted assets) và "vốn cấp 1" (Tier 1 capital) bao gồm vốn chủ sở hữu và các công cụ giống vốn chủ sở hữu, cũng như quy định các tỷ lệ vốn tối thiểu mà các ngân hàng phải đáp ứng để tiếp tục hoạt động. Các cơ quan quản lý được trao quyền trừng phạt, từ hạn chế thù lao ban điều hành và các thương vụ mua lại tại những ngân hàng rơi xuống dưới các mức vốn hóa cao nhất, cho đến đưa những ngân hàng thiếu vốn vào diện bị tiếp quản (receivership).</w:t>
      </w:r>
    </w:p>
    <w:p>
      <w:pPr>
        <w:pStyle w:val="Para 20"/>
      </w:pPr>
      <w:r>
        <w:rPr>
          <w:rStyle w:val="Text26"/>
        </w:rPr>
        <w:bookmarkStart w:id="4511" w:name="Page_682"/>
        <w:t/>
        <w:bookmarkEnd w:id="4511"/>
      </w:r>
      <w:r>
        <w:t xml:space="preserve"> </w:t>
      </w:r>
    </w:p>
    <w:p>
      <w:pPr>
        <w:pStyle w:val="Para 03"/>
      </w:pPr>
      <w:r>
        <w:t>Hiệp ước Basel và các quy tắc mới về vốn quy định phần lớn đã định hình hoạt động ngân hàng trong vài thập kỷ qua, và trong khi chúng cung cấp một mạng lưới an toàn cho người gửi tiền, chúng cũng làm nảy sinh một trò chơi nguy hiểm, nơi một số ngân hàng đi đến kết luận méo mó rằng mục tiêu cuối cùng của họ là khai thác các lỗ hổng trong các quy tắc vốn quy định, thay vì xây dựng những hoạt động kinh doanh ngân hàng vững chắc. Nói ngắn gọn, những ngân hàng này tìm ra cách đầu tư vào tài sản rủi ro mà các cơ quan quản lý không nhận diện là rủi ro, hoặc vì chúng mới hoặc vì chúng đến trong những gói phức tạp, và sử dụng vốn không phải vốn chủ sở hữu (nợ và tiền gửi), đồng thời khiến số vốn đó được phân loại là vốn chủ sở hữu hoặc giống vốn chủ sở hữu cho mục đích quy định. Cuộc khủng hoảng năm 2008 đã phơi bày tính phổ biến và hậu quả của trò chơi vốn quy định này, nhưng với cái giá rất đắt cho nền kinh tế và người đóng thuế, khi chương trình cứu trợ tài sản gặp khó khăn (TARP) đầu tư 426 tỷ đô la vào cổ phiếu ngân hàng và chứng khoán đảm bảo bằng thế chấp để chống đỡ chủ yếu là các ngân hàng trung tâm tiền tệ lớn, chứ không phải các ngân hàng nhỏ hoặc khu vực, những ngân hàng đã vượt quá giới hạn. Cụm từ "quá lớn để sụp đổ" (too big to fail) đã bị dùng quá nhiều, nhưng đó là lý do đằng sau TARP, và có thể ảnh hưởng đến cách chúng ta định giá các ngân hàng lớn hơn so với các ngân hàng nhỏ hơn.</w:t>
      </w:r>
    </w:p>
    <w:p>
      <w:bookmarkStart w:id="4512" w:name="Good_and_Bad_Banks"/>
      <w:bookmarkStart w:id="4513" w:name="Good_and_Bad_Banks__If_the_banki"/>
      <w:pPr>
        <w:keepNext/>
        <w:pStyle w:val="Heading 3"/>
        <w:keepLines w:val="on"/>
      </w:pPr>
      <w:r>
        <w:t>Ngân hàng tốt và ngân hàng xấu</w:t>
      </w:r>
      <w:bookmarkEnd w:id="4512"/>
      <w:bookmarkEnd w:id="4513"/>
    </w:p>
    <w:p>
      <w:pPr>
        <w:pStyle w:val="Para 03"/>
      </w:pPr>
      <w:r>
        <w:t>Nếu kinh doanh ngân hàng đơn giản như vậy, thì điều gì phân biệt ngân hàng tốt với ngân hàng xấu? Nếu bạn nhìn lại Hình 21.2, bạn có thể thấy tôi đã làm nổi bật các chỉ số then chốt ở các ngân hàng, giúp đánh giá không chỉ rủi ro hiện tại mà còn cả mức độ phơi nhiễm với rủi ro trong tương lai của họ.</w:t>
      </w:r>
    </w:p>
    <w:p>
      <w:pPr>
        <w:numPr>
          <w:ilvl w:val="0"/>
          <w:numId w:val="202"/>
        </w:numPr>
        <w:pStyle w:val="Para 01"/>
      </w:pPr>
      <w:r>
        <w:t>Tiền gửi: Mọi ngân hàng đều được xây dựng xoay quanh một cơ sở tiền gửi (deposit base), và có những đặc điểm của cơ sở tiền gửi quyết định rõ ràng mức độ phơi nhiễm rủi ro. Thứ nhất, ở mức độ mà một số khoản tiền gửi không chịu lãi (như trường hợp của hầu hết tài khoản vãng lai), những ngân hàng có tỷ lệ tiền gửi không chịu lãi cao hơn sẽ khởi đầu với lợi thế, giúp hạ lãi suất trung bình phải trả cho tiền gửi. Thứ hai, vì một cơ sở tiền gửi lớn có thể rất nhanh chóng trở thành nhỏ nếu người gửi tiền bỏ đi, nên có một cơ sở tiền gửi "dính" hơn (stickier) mang lại lợi thế cho ngân hàng. Về các yếu tố quyết định độ "dính" này, có nhiều nhân tố tác động, bao gồm quy mô tiền gửi (những người gửi tiền lớn hơn và giàu có hơn thường nhạy cảm hơn với những tin đồn về rủi ro và với chênh lệch lãi suất so với người gửi nhỏ hơn), tính đồng nhất của người gửi tiền (cơ sở người gửi đa dạng hơn thường ít có khả năng rơi vào tư duy bầy đàn hơn), và thời gian gửi (những người gửi tiền đã gắn bó với ngân hàng lâu hơn thì "dính" hơn). Ngoài những đặc điểm riêng của từng ngân hàng này, còn có hai lực lượng khác đang định hình độ "dính" của tiền gửi trong năm 2023. Một là những hành động được thực hiện để bảo vệ các ngân hàng lớn nhất sau năm 2008 cũng đã nghiêng cán cân "dính" về phía họ, vì nhận thức — dù công bằng hay không — của người gửi tiền rằng tiền của bạn an toàn hơn tại Chase hay Citi so với tại một ngân hàng khu vực. Hai là sự trỗi dậy của mạng xã hội và tin tức trực tuyến đã làm cho tiền gửi trở nên kém "dính" hơn trên toàn bộ hệ thống, vì tin đồn (dù dựa trên sự thật hay không) giờ đây có thể lan truyền nhanh hơn nhiều so với vài thập kỷ trước.</w:t>
      </w:r>
    </w:p>
    <w:p>
      <w:pPr>
        <w:numPr>
          <w:ilvl w:val="0"/>
          <w:numId w:val="202"/>
        </w:numPr>
        <w:pStyle w:val="Para 01"/>
      </w:pPr>
      <w:r>
        <w:t>Vốn chủ sở hữu và vốn pháp định: Những ngân hàng có nhiều vốn chủ sở hữu trên sổ sách (book equity) và vốn cấp 1 (Tier 1 capital) hơn đã xây dựng được vùng đệm lớn hơn để chống lại các cú sốc so với những ngân hàng không có những vùng đệm đó. Trong số các ngân hàng đã tích lũy được lượng vốn pháp định cao, chúng tôi cho rằng những ngân hàng có toàn bộ hoặc phần lớn vốn đến từ vốn chủ sở hữu thì an toàn hơn những ngân hàng đã tạo ra các công cụ giống vốn chủ sở hữu nhưng lại được tính là vốn chủ sở hữu.</w:t>
      </w:r>
    </w:p>
    <w:p>
      <w:pPr>
        <w:numPr>
          <w:ilvl w:val="0"/>
          <w:numId w:val="202"/>
        </w:numPr>
        <w:pStyle w:val="Para 01"/>
      </w:pPr>
      <w:r>
        <w:t>Các khoản cho vay: Trong khi bản năng đầu tiên của bạn về các khoản cho vay ngân hàng là tìm những ngân hàng đã cho vay với những người đi vay an toàn hơn (ít rủi ro vỡ nợ hơn), thì đó không hẳn là lựa chọn đúng khi đo lường chất lượng ngân hàng. Một ngân hàng cho vay với những người đi vay an toàn nhưng tính lãi suất quá thấp cho họ, ngay cả khi xét đến tình trạng an toàn hơn của họ, thì đang làm xói mòn giá trị của chính mình; trong khi một ngân hàng cho vay với những người đi vay rủi ro hơn nhưng tính lãi suất đã bao gồm cả rủi ro đó và hơn thế nữa, thì đang tạo ra giá trị. Nói ngắn gọn, để đánh giá chất lượng danh mục cho vay của một ngân hàng, bạn cần xem xét lãi suất thu được trên các khoản cho vay cùng với tổn thất cho vay dự kiến trên danh mục đó, trong đó sự kết hợp giữa lãi suất cho vay cao (thấp) và tổn thất cho vay thấp (cao) đặc trưng cho ngân hàng tốt (xấu). Ngoài ra, những ngân hàng cho vay với tập khách hàng đa dạng hơn (nhỏ và lớn, thuộc nhiều ngành nghề khác nhau) thì ít phơi nhiễm rủi ro hơn những ngân hàng cho vay với tập khách hàng đồng nhất (có hồ sơ tương tự hoặc hoạt động trong cùng một ngành), vì các vấn đề vỡ nợ thường xuất hiện thành từng cụm.</w:t>
      </w:r>
    </w:p>
    <w:p>
      <w:pPr>
        <w:numPr>
          <w:ilvl w:val="0"/>
          <w:numId w:val="202"/>
        </w:numPr>
        <w:pStyle w:val="Para 01"/>
      </w:pPr>
      <w:r>
        <w:t>Chứng khoán đầu tư: Sau hậu quả của cuộc khủng hoảng năm 2008, khi các ngân hàng bị thiệt hại nặng vì nắm giữ chứng khoán bảo đảm bằng thế chấp (mortgage-backed securities) rủi ro hơn, các cơ quan quản lý đã thúc đẩy yêu cầu an toàn hơn đối với chứng khoán đầu tư mà ngân hàng nắm giữ, với "an toàn" được định nghĩa xoay quanh rủi ro vỡ nợ và rủi ro thanh khoản. Trong khi sự thúc đẩy đó là chính đáng và những ngân hàng có danh mục nắm giữ an toàn hơn, thanh khoản hơn thì an toàn hơn những ngân hàng có danh mục rủi ro hơn, kém thanh khoản hơn, thì còn có hai thành tố khác cũng quyết định mức độ phơi nhiễm rủi ro. Thứ nhất là kỳ hạn (duration) của những chứng khoán này so với kỳ hạn của cơ sở tiền gửi, với sự chênh lệch càng lớn thì rủi ro càng cao. Một ngân hàng được tài trợ chủ yếu bằng tiền gửi không kỳ hạn (demand deposits), nhưng lại đầu tư vào trái phiếu kỳ hạn 10 năm, thì phơi nhiễm rủi ro nhiều hơn so với việc đầu tư vào thương phiếu (commercial paper) hay tín phiếu kho bạc (treasury bills). Thứ hai là liệu những chứng khoán này, như được báo cáo trên bảng cân đối kế toán, có được đánh giá theo giá thị trường (marked to market) hay không, một lựa chọn được quyết định (ít nhất là hiện tại) bởi cách ngân hàng phân loại những khoản nắm giữ này, với tài sản nắm giữ đến ngày đáo hạn (held to maturity) được giữ nguyên theo giá gốc và tài sản nắm giữ để giao dịch (held for trading) được đánh giá theo giá thị trường. Với tư cách nhà đầu tư, bạn có được sự minh bạch hơn về giá trị những gì công ty nắm giữ và, kéo theo đó, về vốn chủ sở hữu và vốn cấp 1 của nó, khi chứng khoán được đánh giá theo giá thị trường, so với khi chúng không được đánh giá như vậy.</w:t>
      </w:r>
    </w:p>
    <w:p>
      <w:pPr>
        <w:pStyle w:val="Para 03"/>
      </w:pPr>
      <w:r>
        <w:t>Với nguy cơ đơn giản hóa quá mức cuộc thảo luận, Hình 21.3 dưới đây phác họa sự tương phản giữa ngân hàng tốt và ngân hàng xấu, dựa trên những gì đã bàn ở trên:</w:t>
      </w:r>
    </w:p>
    <w:p>
      <w:bookmarkStart w:id="4516" w:name="Figure_21_3_Good_and_Bad_Bank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63800" cy="1562100"/>
            <wp:effectExtent l="0" r="0" t="0" b="0"/>
            <wp:wrapTopAndBottom/>
            <wp:docPr id="213" name="c21f003.png" descr="Comparison of good and bad banks on the basis of deposits, equity or regulatory capital, loans, and investment securities."/>
            <wp:cNvGraphicFramePr>
              <a:graphicFrameLocks noChangeAspect="1"/>
            </wp:cNvGraphicFramePr>
            <a:graphic>
              <a:graphicData uri="http://schemas.openxmlformats.org/drawingml/2006/picture">
                <pic:pic>
                  <pic:nvPicPr>
                    <pic:cNvPr id="0" name="c21f003.png" descr="Comparison of good and bad banks on the basis of deposits, equity or regulatory capital, loans, and investment securities."/>
                    <pic:cNvPicPr/>
                  </pic:nvPicPr>
                  <pic:blipFill>
                    <a:blip r:embed="rId152"/>
                    <a:stretch>
                      <a:fillRect/>
                    </a:stretch>
                  </pic:blipFill>
                  <pic:spPr>
                    <a:xfrm>
                      <a:off x="0" y="0"/>
                      <a:ext cx="2463800" cy="1562100"/>
                    </a:xfrm>
                    <a:prstGeom prst="rect">
                      <a:avLst/>
                    </a:prstGeom>
                  </pic:spPr>
                </pic:pic>
              </a:graphicData>
            </a:graphic>
          </wp:anchor>
        </w:drawing>
      </w:r>
      <w:bookmarkEnd w:id="4516"/>
    </w:p>
    <w:p>
      <w:pPr>
        <w:keepNext/>
        <w:pStyle w:val="Para 22"/>
        <w:keepLines w:val="on"/>
      </w:pPr>
      <w:r>
        <w:t>Hình 21.3 Ngân hàng tốt và ngân hàng xấu</w:t>
      </w:r>
    </w:p>
    <w:p>
      <w:pPr>
        <w:pStyle w:val="Para 03"/>
      </w:pPr>
      <w:r>
        <w:t>Những ngân hàng có tiền gửi "dính", mà họ trả lãi suất thấp cho số tiền đó (vì tỷ lệ cao là không chịu lãi) và có vùng đệm lớn về vốn chủ sở hữu và vốn cấp 1, đồng thời cũng kiếm được "lãi suất hợp lý" xét theo rủi ro vỡ nợ của các khoản cho vay và đầu tư mà họ thực hiện, thì tạo ra nhiều giá trị hơn và thường an toàn hơn những ngân hàng có cơ sở người gửi tiền nhạy cảm với nhận thức rủi ro và lãi suất phải trả, đồng thời kiếm được ít hơn mức đáng ra phải kiếm được từ các khoản cho vay và đầu tư, xét theo rủi ro vỡ nợ của chúng.</w:t>
      </w:r>
    </w:p>
    <w:p>
      <w:bookmarkStart w:id="4518" w:name="Macro_Stressors"/>
      <w:bookmarkStart w:id="4519" w:name="Macro_Stressors__While_we_can_di"/>
      <w:pPr>
        <w:keepNext/>
        <w:pStyle w:val="Heading 3"/>
        <w:keepLines w:val="on"/>
      </w:pPr>
      <w:r>
        <w:t>Các yếu tố gây căng thẳng vĩ mô</w:t>
      </w:r>
      <w:bookmarkEnd w:id="4518"/>
      <w:bookmarkEnd w:id="4519"/>
    </w:p>
    <w:p>
      <w:pPr>
        <w:pStyle w:val="Para 03"/>
      </w:pPr>
      <w:r>
        <w:t>Trong khi chúng ta có thể phân biệt giữa ngân hàng tốt và ngân hàng xấu, và một số khác biệt này được thúc đẩy bởi những lựa chọn mà ngân hàng đưa ra về cách xây dựng cơ sở tiền gửi cũng như các khoản cho vay và đầu tư mà họ thực hiện bằng số tiền gửi đó, thì những khác biệt này thường bị nhà đầu tư và cơ quan quản lý bỏ qua hoặc xem nhẹ trong thời kỳ tốt đẹp. Thường phải có một cuộc khủng hoảng thì cả hai nhóm mới tỉnh ngộ và phản ứng, và những cuộc khủng hoảng này thường do vĩ mô dẫn dắt:</w:t>
      </w:r>
    </w:p>
    <w:p>
      <w:pPr>
        <w:numPr>
          <w:ilvl w:val="0"/>
          <w:numId w:val="203"/>
        </w:numPr>
        <w:pStyle w:val="Para 01"/>
      </w:pPr>
      <w:r>
        <w:t>Suy thoái: Xuyên suốt lịch sử ngân hàng, chính nền kinh tế là yếu tố gây căng thẳng lớn nhất cho hệ thống ngân hàng, vì suy thoái làm gia tăng vỡ nợ trên toàn bộ hệ thống, nhưng nhiều hơn ở những người đi vay và chứng khoán đầu tư dễ vỡ nợ nhất. Vì các yêu cầu về vốn pháp định được tạo ra để đối phó với một trong những cuộc suy thoái nghiêm trọng nhất trong lịch sử (Đại Suy thoái), không có gì ngạc nhiên khi các quy tắc vốn pháp định có lẽ là hiệu quả nhất trong việc xử lý bài kiểm tra căng thẳng này.</w:t>
      </w:r>
    </w:p>
    <w:p>
      <w:pPr>
        <w:numPr>
          <w:ilvl w:val="0"/>
          <w:numId w:val="203"/>
        </w:numPr>
        <w:pStyle w:val="Para 01"/>
      </w:pPr>
      <w:r>
        <w:t>Các lớp tài sản bị định giá quá cao: Trong khi ngân hàng nên cho vay dựa trên khả năng sinh lời của người đi vay như tài sản bảo đảm, thì thực tế là nhiều nhân viên ngân hàng cho vay dựa trên giá trị tài sản, chứ không phải khả năng sinh lời của chúng. Lời biện hộ mà nhân viên ngân hàng đưa ra là những tài sản này có thể được bán, nếu người đi vay vỡ nợ, và số tiền thu được dùng để trang trải các khoản nợ chưa trả. Logic đó sụp đổ khi các lớp tài sản bị định giá quá cao, vì những khoản cho vay dựa trên tài sản đó không còn được bảo đảm bằng việc bán những tài sản này nếu giá điều chỉnh giảm. Chu kỳ bùng nổ và phá sản này từ lâu đã đặc trưng cho hoạt động cho vay trong lĩnh vực bất động sản, nhưng đã trở thành nền tảng cho cuộc khủng hoảng năm 2008, khi giá nhà lao dốc trên khắp cả nước, kéo đổ không chỉ những người cho vay mà cả những người nắm giữ chứng khoán dựa trên bất động sản. Nói ngắn gọn, khi những đợt điều chỉnh này xảy ra, bất kể lớp tài sản liên quan là gì, những ngân hàng phơi nhiễm quá mức với lớp tài sản đó sẽ chịu tổn thất lớn hơn và có thể đối mặt với nguy cơ sụp đổ.</w:t>
      </w:r>
    </w:p>
    <w:p>
      <w:pPr>
        <w:numPr>
          <w:ilvl w:val="0"/>
          <w:numId w:val="203"/>
        </w:numPr>
        <w:pStyle w:val="Para 01"/>
      </w:pPr>
      <w:r>
        <w:t>Lạm phát và lãi suất: Lạm phát và lãi suất gia tăng là một điều vừa may vừa rủi cho các ngân hàng. Một mặt, khi lãi suất tăng, các khoản cho vay dài hạn và chứng khoán dài hạn sẽ trở nên ít giá trị hơn, gây ra tổn thất. Suy cho cùng, giá thị trường của ngay cả một trái phiếu không có rủi ro vỡ nợ cũng sẽ thay đổi khi lãi suất thay đổi, và những trái phiếu được mua khi lãi suất còn thấp sẽ trở nên ít giá trị hơn khi lãi suất tăng.</w:t>
      </w:r>
    </w:p>
    <w:p>
      <w:pPr>
        <w:pStyle w:val="Para 11"/>
      </w:pPr>
      <w:r>
        <w:t/>
        <w:t xml:space="preserve"> </w:t>
      </w:r>
    </w:p>
    <w:p>
      <w:bookmarkStart w:id="4520" w:name="ILLUSTRATION_21_8__U_S__Banks_in"/>
      <w:bookmarkStart w:id="4521" w:name="ILLUSTRATION_21_8__U_S__Banks_in_1"/>
      <w:pPr>
        <w:keepNext/>
        <w:pStyle w:val="Para 19"/>
        <w:keepLines w:val="on"/>
      </w:pPr>
      <w:r>
        <w:t>MINH HỌA 21.8: Các ngân hàng Mỹ trong khủng hoảng — Sự sụp đổ của Silicon Valley Bank vào tháng 3 năm 2023</w:t>
      </w:r>
      <w:bookmarkEnd w:id="4520"/>
      <w:bookmarkEnd w:id="4521"/>
    </w:p>
    <w:p>
      <w:pPr>
        <w:pStyle w:val="Para 04"/>
        <w:keepLines w:val="on"/>
      </w:pPr>
      <w:r>
        <w:t>Khi lãi suất thay đổi, những thay đổi đó sẽ ảnh hưởng đến giá trị của chứng khoán thu nhập cố định, với tác động tăng lên đối với các kỳ hạn dài hơn. Trong hầu hết các năm, những thay đổi lãi suất đó, ít nhất là ở các thị trường phát triển như Hoa Kỳ, đủ nhỏ để gây ít thiệt hại. Tuy nhiên, năm 2022 là một năm hiếm gặp, khi lãi suất trái phiếu kho bạc tăng từ 1,51% lên 3,88%, khiến giá của một trái phiếu kho bạc kỳ hạn 10 năm giảm hơn 19%. Nói đơn giản, mọi ngân hàng nắm giữ trái phiếu kho bạc kỳ hạn 10 năm trong năm 2022 đều sẽ chứng kiến giá trị của những khoản nắm giữ này bị giảm giá 19% trong năm, nhưng với tư cách nhà đầu tư, bạn chỉ thấy sự sụt giảm giá trị đó ở một vài ngân hàng đã phân loại những khoản nắm giữ này là để bán. Nỗi đau đó còn tồi tệ hơn với những trái phiếu có rủi ro vỡ nợ, khi trái phiếu doanh nghiệp xếp hạng Baa (hạng đầu tư) mất 27% giá trị. Mặt khác, những ngân hàng có tỷ lệ tiền gửi không chịu lãi cao hơn sẽ được hưởng lợi từ việc tiếp cận những khoản tiền gửi không lãi này trong một thế giới lãi suất cao. Hiệu ứng ròng sẽ quyết định việc lãi suất tăng tác động thế nào đến giá trị ngân hàng, và có thể giải thích tại sao thiệt hại từ cuộc khủng hoảng lại khác nhau giữa các ngân hàng Mỹ trong năm 2023. Đáng lưu ý là tất cả nỗi đau lẽ ra phải đến từ việc giảm giá các khoản nắm giữ chứng khoán đầu tư tại các ngân hàng, do lãi suất tăng vọt, đã hiển hiện rõ ràng vào đầu năm 2023, nhưng không hề có ai nói về một cuộc khủng hoảng ngân hàng. Niềm tin ngầm định là các ngân hàng sẽ có thể dần dần thực hiện hoặc ít nhất là ghi nhận những khoản lỗ này trên sổ sách, rồi dùng thời gian đó để khắc phục sự sụt giảm vốn chủ sở hữu và vốn pháp định đi kèm.</w:t>
      </w:r>
    </w:p>
    <w:p>
      <w:pPr>
        <w:pStyle w:val="Para 04"/>
        <w:keepLines w:val="on"/>
      </w:pPr>
      <w:r>
        <w:t>Giả định rằng thời gian là đồng minh đã bị thách thức bởi sự sụp đổ của Silicon Valley Bank vào tháng 3 năm 2023, khi chỉ trong vòng một tuần, một ngân hàng lớn đã thực sự bị xóa sổ khỏi tồn tại. Để hiểu tại sao Silicon Valley Bank (SVB) lại đặc biệt phơi nhiễm, hãy quay lại và nhìn nó qua lăng kính ngân hàng tốt/xấu ở phần trước:</w:t>
      </w:r>
    </w:p>
    <w:p>
      <w:pPr>
        <w:numPr>
          <w:ilvl w:val="0"/>
          <w:numId w:val="204"/>
        </w:numPr>
        <w:pStyle w:val="Para 18"/>
        <w:keepLines w:val="on"/>
      </w:pPr>
      <w:r>
        <w:t>Một cơ sở tiền gửi cực kỳ nhạy cảm: SVB là một ngân hàng được thiết kế cho Thung lũng Silicon (những nhà sáng lập, các quỹ đầu tư mạo hiểm VC, nhân viên) và nó đã thành công trong sứ mệnh đó, với tiền gửi gần như tăng gấp đôi trong năm 2021. Thành công đó tạo ra một cơ sở tiền gửi hoàn toàn không "dính", nhạy cảm với tin đồn về rắc rối, với những người gửi tiền kết nối lan truyền rút ra từ một nguồn chung, và những người gửi tiền lớn có vị thế thuận lợi để chuyển tiền nhanh chóng sang các tổ chức khác.</w:t>
      </w:r>
    </w:p>
    <w:p>
      <w:pPr>
        <w:numPr>
          <w:ilvl w:val="0"/>
          <w:numId w:val="204"/>
        </w:numPr>
        <w:pStyle w:val="Para 18"/>
        <w:keepLines w:val="on"/>
      </w:pPr>
      <w:r>
        <w:t>Vốn chủ sở hữu và vốn cấp 1 bị phóng đại: Trong khi vốn chủ sở hữu và vốn cấp 1 của SVB trông có vẻ vững chắc vào đầu năm 2023, vẻ ngoài đó là lừa dối vì nó không phản ánh khoản giảm giá chứng khoán đầu tư đang looming. Trong khi SVB chia sẻ vấn đề này với các ngân hàng khác, mức độ phơi nhiễm của SVB lớn hơn hầu hết các ngân hàng (xem phần sau để hiểu tại sao), và điều đó giải thích nỗ lực của nó nhằm huy động thêm vốn chủ sở hữu để bù đắp khoản thiếu hụt sắp tới.</w:t>
      </w:r>
    </w:p>
    <w:p>
      <w:pPr>
        <w:numPr>
          <w:ilvl w:val="0"/>
          <w:numId w:val="204"/>
        </w:numPr>
        <w:pStyle w:val="Para 18"/>
        <w:keepLines w:val="on"/>
      </w:pPr>
      <w:r>
        <w:t>Các khoản cho vay: Một phần lớn danh mục cho vay của SVB bao gồm nợ đầu tư mạo hiểm (venture debt) (tức là cho vay đối với các công ty chưa có doanh thu và đang thua lỗ), được bảo đảm bằng kỳ vọng về dòng tiền vào từ các vòng gọi vốn VC trong tương lai. Vì các vòng VC được kỳ vọng phụ thuộc vào việc những công ty non trẻ này được định giá lại ở mức giá ngày càng cao theo thời gian, nên nợ đầu tư mạo hiểm cực kỳ nhạy cảm với việc định giá các công ty non trẻ. Trong năm 2022, vốn rủi ro rút lui khỏi thị trường, và khi các khoản đầu tư vốn mạo hiểm cạn kiệt và các vòng gọi vốn giảm giá (down rounds) lan rộng, nợ đầu tư mạo hiểm bị tổn thất.</w:t>
      </w:r>
    </w:p>
    <w:p>
      <w:pPr>
        <w:numPr>
          <w:ilvl w:val="0"/>
          <w:numId w:val="204"/>
        </w:numPr>
        <w:pStyle w:val="Para 18"/>
        <w:keepLines w:val="on"/>
      </w:pPr>
      <w:r>
        <w:t>Chứng khoán đầu tư: Mọi ngân hàng đều đặt một phần tiền của mình vào chứng khoán đầu tư, nhưng SVB là một trường hợp ngoại lệ về việc có bao nhiêu phần tài sản của nó (55–60%) được đầu tư vào trái phiếu kho bạc và chứng khoán bảo đảm bằng thế chấp. Một phần lý do là sự gia tăng tiền gửi trong năm 2021, khi các nhà đầu tư mạo hiểm rút lui khỏi việc đầu tư và gửi tiền vào SVB, và với nhu cầu nợ đầu tư mạo hiểm thấp, SVB không còn lựa chọn nào khác ngoài việc đầu tư vào chứng khoán. Dù vậy, lựa chọn đầu tư vào chứng khoán dài hạn là một lựa chọn được SVB đưa ra một cách có ý thức và bị thúc đẩy bởi môi trường lãi suất năm 2021 và đầu năm 2022, khi lãi suất ngắn hạn gần bằng không và lãi suất dài hạn thấp (1,5–2%) nhưng vẫn cao hơn mức SVB phải trả cho người gửi tiền. Nếu có một tội lỗi nguyên thủy trong câu chuyện này, thì đó chính là sự chênh lệch kỳ hạn này, thứ đã khiến SVB sụp đổ.</w:t>
      </w:r>
    </w:p>
    <w:p>
      <w:pPr>
        <w:pStyle w:val="Para 04"/>
        <w:keepLines w:val="on"/>
      </w:pPr>
      <w:r>
        <w:t>Nói ngắn gọn, nếu bạn đang xây dựng một ngân hàng dễ bị nổ tung vì lãi suất tăng, thì SVB sẽ đáp ứng đủ tiêu chuẩn, nhưng sự sụp đổ của nó đã mở ra cánh cửa để nhà đầu tư và người gửi tiền đánh giá lại rủi ro tại các ngân hàng đúng vào thời điểm mà hầu hết ngân hàng không muốn việc đánh giá lại đó diễn ra.</w:t>
      </w:r>
    </w:p>
    <w:p>
      <w:pPr>
        <w:pStyle w:val="Para 04"/>
        <w:keepLines w:val="on"/>
      </w:pPr>
      <w:r>
        <w:t>Sau sự sụp đổ của SVB, Signature Bank bị đóng cửa trong những tuần sau đó và First Republic cũng nối gót, và câu hỏi về việc những ngân hàng này có điểm gì chung là điều phải được trả lời, không chỉ vì tò mò trí tuệ, bởi vì</w:t>
      </w:r>
    </w:p>
    <w:p>
      <w:pPr>
        <w:numPr>
          <w:ilvl w:val="0"/>
          <w:numId w:val="205"/>
        </w:numPr>
        <w:pStyle w:val="Para 18"/>
        <w:keepLines w:val="on"/>
      </w:pPr>
    </w:p>
    <w:p>
      <w:pPr>
        <w:numPr>
          <w:ilvl w:val="0"/>
          <w:numId w:val="205"/>
        </w:numPr>
        <w:pStyle w:val="Para 18"/>
        <w:keepLines w:val="on"/>
      </w:pPr>
    </w:p>
    <w:p>
      <w:pPr>
        <w:pStyle w:val="Para 04"/>
        <w:keepLines w:val="on"/>
      </w:pPr>
      <w:r>
        <w:t>Nói ngắn gọn, chính tính "dính" của tiền gửi mới là dấu hiệu lớn nhất cho thấy ngân hàng gặp rắc rối, chứ không phải cơ cấu danh mục cho vay hay thậm chí bản chất các chứng khoán đầu tư của họ, dù việc đầu tư tỷ trọng cao hơn vào chứng khoán dài hạn khiến bạn dễ bị tổn thương hơn trong bối cảnh lãi suất hiện tại.</w:t>
      </w:r>
    </w:p>
    <w:p>
      <w:pPr>
        <w:pStyle w:val="Para 04"/>
        <w:keepLines w:val="on"/>
      </w:pPr>
      <w:r>
        <w:t>Thêm vào đó, các ngân hàng Mỹ đồng loạt chịu áp lực bán tháo sau cuộc khủng hoảng của Silicon Valley Bank, và chúng tôi đã xem xét định giá của 25 ngân hàng Mỹ lớn nhất, với mục đích tìm ra những ngân hàng bị định giá thấp và định giá cao. Ghi nhớ phần thảo luận về rủi ro và khả năng sinh lời ở trên, đây là những gì bạn muốn thấy ở một ngân hàng bị định giá thấp, trong Bảng 21.8:</w:t>
      </w:r>
    </w:p>
    <w:p>
      <w:pPr>
        <w:pStyle w:val="Para 25"/>
        <w:keepLines w:val="on"/>
      </w:pPr>
      <w:r>
        <w:t>Bảng 21.8</w:t>
      </w:r>
    </w:p>
    <w:p>
      <w:pPr>
        <w:keepNext/>
        <w:pStyle w:val="Para 24"/>
        <w:keepLines w:val="on"/>
      </w:pPr>
      <w:r>
        <w:t>Các chỉ báo cho thấy ngân hàng rẻ</w:t>
      </w:r>
    </w:p>
    <w:tbl>
      <w:tblPr>
        <w:tblW w:type="auto" w:w="0"/>
      </w:tblPr>
      <w:tr>
        <w:tc>
          <w:tcPr>
            <w:tcW w:type="auto" w:w="0"/>
          </w:tcPr>
          <w:tbl>
            <w:tblPr>
              <w:tblW w:type="auto" w:w="0"/>
            </w:tblPr>
            <w:tr>
              <w:tc>
                <w:tcPr>
                  <w:tcW w:type="auto" w:w="0"/>
                  <w:shd w:val="clear" w:color="auto" w:fill="F0F0F0"/>
                  <w:vAlign w:val="bottom"/>
                </w:tcPr>
                <w:p>
                  <w:pPr>
                    <w:pStyle w:val="Para 32"/>
                    <w:keepLines w:val="on"/>
                  </w:pPr>
                  <w:r>
                    <w:t>Chỉ số</w:t>
                  </w:r>
                </w:p>
              </w:tc>
              <w:tc>
                <w:tcPr>
                  <w:tcW w:type="auto" w:w="0"/>
                  <w:shd w:val="clear" w:color="auto" w:fill="F0F0F0"/>
                  <w:vAlign w:val="bottom"/>
                </w:tcPr>
                <w:p>
                  <w:pPr>
                    <w:pStyle w:val="Para 05"/>
                    <w:keepLines w:val="on"/>
                  </w:pPr>
                  <w:r>
                    <w:t>Đo lường điều gì</w:t>
                  </w:r>
                </w:p>
              </w:tc>
              <w:tc>
                <w:tcPr>
                  <w:tcW w:type="auto" w:w="0"/>
                  <w:shd w:val="clear" w:color="auto" w:fill="F0F0F0"/>
                  <w:vAlign w:val="bottom"/>
                </w:tcPr>
                <w:p>
                  <w:pPr>
                    <w:pStyle w:val="Para 05"/>
                    <w:keepLines w:val="on"/>
                  </w:pPr>
                  <w:r>
                    <w:t>Dấu hiệu bị định giá thấp</w:t>
                  </w:r>
                </w:p>
              </w:tc>
            </w:tr>
            <w:tr>
              <w:tc>
                <w:tcPr>
                  <w:tcW w:type="auto" w:w="0"/>
                  <w:shd w:val="clear" w:color="auto" w:fill="F0F0F0"/>
                </w:tcPr>
                <w:p>
                  <w:pPr>
                    <w:pStyle w:val="Para 02"/>
                    <w:keepLines w:val="on"/>
                  </w:pPr>
                  <w:r>
                    <w:t>Tỷ lệ Giá trên Giá trị sổ sách (Price-to-Book ratio)</w:t>
                  </w:r>
                </w:p>
              </w:tc>
              <w:tc>
                <w:tcPr>
                  <w:tcW w:type="auto" w:w="0"/>
                  <w:shd w:val="clear" w:color="auto" w:fill="F0F0F0"/>
                </w:tcPr>
                <w:p>
                  <w:pPr>
                    <w:pStyle w:val="Para 02"/>
                    <w:keepLines w:val="on"/>
                  </w:pPr>
                  <w:r>
                    <w:t>Mức độ rẻ của cổ phiếu, đo bằng cách lấy vốn hóa thị trường chia cho giá trị sổ sách kế toán.</w:t>
                  </w:r>
                </w:p>
              </w:tc>
              <w:tc>
                <w:tcPr>
                  <w:tcW w:type="auto" w:w="0"/>
                  <w:shd w:val="clear" w:color="auto" w:fill="F0F0F0"/>
                </w:tcPr>
                <w:p>
                  <w:pPr>
                    <w:pStyle w:val="Normal"/>
                    <w:keepLines w:val="on"/>
                  </w:pPr>
                  <w:r>
                    <w:t>Thấp</w:t>
                  </w:r>
                </w:p>
              </w:tc>
            </w:tr>
            <w:tr>
              <w:tc>
                <w:tcPr>
                  <w:tcW w:type="auto" w:w="0"/>
                  <w:shd w:val="clear" w:color="auto" w:fill="F0F0F0"/>
                </w:tcPr>
                <w:p>
                  <w:pPr>
                    <w:pStyle w:val="Para 02"/>
                    <w:keepLines w:val="on"/>
                  </w:pPr>
                  <w:r>
                    <w:t>Tỷ suất sinh lời trên vốn chủ sở hữu (Return on Equity)</w:t>
                  </w:r>
                </w:p>
              </w:tc>
              <w:tc>
                <w:tcPr>
                  <w:tcW w:type="auto" w:w="0"/>
                  <w:shd w:val="clear" w:color="auto" w:fill="F0F0F0"/>
                </w:tcPr>
                <w:p>
                  <w:pPr>
                    <w:pStyle w:val="Para 02"/>
                    <w:keepLines w:val="on"/>
                  </w:pPr>
                  <w:r>
                    <w:t>Khả năng sinh lời, đo bằng cách lấy lợi nhuận chia cho vốn chủ sở hữu của cổ đông</w:t>
                  </w:r>
                </w:p>
              </w:tc>
              <w:tc>
                <w:tcPr>
                  <w:tcW w:type="auto" w:w="0"/>
                  <w:shd w:val="clear" w:color="auto" w:fill="F0F0F0"/>
                </w:tcPr>
                <w:p>
                  <w:pPr>
                    <w:pStyle w:val="Normal"/>
                    <w:keepLines w:val="on"/>
                  </w:pPr>
                  <w:r>
                    <w:t>Cao</w:t>
                  </w:r>
                </w:p>
              </w:tc>
            </w:tr>
            <w:tr>
              <w:tc>
                <w:tcPr>
                  <w:tcW w:type="auto" w:w="0"/>
                  <w:shd w:val="clear" w:color="auto" w:fill="F0F0F0"/>
                </w:tcPr>
                <w:p>
                  <w:pPr>
                    <w:pStyle w:val="Para 02"/>
                    <w:keepLines w:val="on"/>
                  </w:pPr>
                  <w:r>
                    <w:t>Chênh lệch lãi suất (Interest spread)</w:t>
                  </w:r>
                </w:p>
              </w:tc>
              <w:tc>
                <w:tcPr>
                  <w:tcW w:type="auto" w:w="0"/>
                  <w:shd w:val="clear" w:color="auto" w:fill="F0F0F0"/>
                </w:tcPr>
                <w:p>
                  <w:pPr>
                    <w:pStyle w:val="Para 02"/>
                    <w:keepLines w:val="on"/>
                  </w:pPr>
                  <w:r>
                    <w:t>Khả năng sinh lời của mô hình ngân hàng, đo bằng chênh lệch giữa lãi thu được từ cho vay và đầu tư với lãi phải trả cho tiền gửi</w:t>
                  </w:r>
                </w:p>
              </w:tc>
              <w:tc>
                <w:tcPr>
                  <w:tcW w:type="auto" w:w="0"/>
                  <w:shd w:val="clear" w:color="auto" w:fill="F0F0F0"/>
                </w:tcPr>
                <w:p>
                  <w:pPr>
                    <w:pStyle w:val="Normal"/>
                    <w:keepLines w:val="on"/>
                  </w:pPr>
                  <w:r>
                    <w:t>Cao</w:t>
                  </w:r>
                </w:p>
              </w:tc>
            </w:tr>
            <w:tr>
              <w:tc>
                <w:tcPr>
                  <w:tcW w:type="auto" w:w="0"/>
                  <w:shd w:val="clear" w:color="auto" w:fill="F0F0F0"/>
                </w:tcPr>
                <w:p>
                  <w:pPr>
                    <w:pStyle w:val="Para 02"/>
                    <w:keepLines w:val="on"/>
                  </w:pPr>
                  <w:r>
                    <w:t>Tăng trưởng tiền gửi (Deposit growth)</w:t>
                  </w:r>
                </w:p>
              </w:tc>
              <w:tc>
                <w:tcPr>
                  <w:tcW w:type="auto" w:w="0"/>
                  <w:shd w:val="clear" w:color="auto" w:fill="F0F0F0"/>
                </w:tcPr>
                <w:p>
                  <w:pPr>
                    <w:pStyle w:val="Para 02"/>
                    <w:keepLines w:val="on"/>
                  </w:pPr>
                  <w:r>
                    <w:t>Mức tăng trưởng của cơ sở tiền gửi ngân hàng, đại diện cho tính "dính", với tăng trưởng cao hơn -&gt; tính "dính" cao hơn</w:t>
                  </w:r>
                </w:p>
              </w:tc>
              <w:tc>
                <w:tcPr>
                  <w:tcW w:type="auto" w:w="0"/>
                  <w:shd w:val="clear" w:color="auto" w:fill="F0F0F0"/>
                </w:tcPr>
                <w:p>
                  <w:pPr>
                    <w:pStyle w:val="Normal"/>
                    <w:keepLines w:val="on"/>
                  </w:pPr>
                  <w:r>
                    <w:t>Thấp</w:t>
                  </w:r>
                </w:p>
              </w:tc>
            </w:tr>
            <w:tr>
              <w:tc>
                <w:tcPr>
                  <w:tcW w:type="auto" w:w="0"/>
                  <w:shd w:val="clear" w:color="auto" w:fill="F0F0F0"/>
                </w:tcPr>
                <w:p>
                  <w:pPr>
                    <w:pStyle w:val="Para 02"/>
                    <w:keepLines w:val="on"/>
                  </w:pPr>
                  <w:r>
                    <w:t>Tỷ lệ vốn cấp 1 (Tier 1 Capital Ratio)</w:t>
                  </w:r>
                </w:p>
              </w:tc>
              <w:tc>
                <w:tcPr>
                  <w:tcW w:type="auto" w:w="0"/>
                  <w:shd w:val="clear" w:color="auto" w:fill="F0F0F0"/>
                </w:tcPr>
                <w:p>
                  <w:pPr>
                    <w:pStyle w:val="Para 02"/>
                    <w:keepLines w:val="on"/>
                  </w:pPr>
                  <w:r>
                    <w:t>Rủi ro từ vốn hóa, với tỷ lệ vốn cấp 1 cao hơn cho thấy vùng đệm và độ an toàn lớn hơn</w:t>
                  </w:r>
                </w:p>
              </w:tc>
              <w:tc>
                <w:tcPr>
                  <w:tcW w:type="auto" w:w="0"/>
                  <w:shd w:val="clear" w:color="auto" w:fill="F0F0F0"/>
                </w:tcPr>
                <w:p>
                  <w:pPr>
                    <w:pStyle w:val="Normal"/>
                    <w:keepLines w:val="on"/>
                  </w:pPr>
                  <w:r>
                    <w:t>Cao</w:t>
                  </w:r>
                </w:p>
              </w:tc>
            </w:tr>
            <w:tr>
              <w:tc>
                <w:tcPr>
                  <w:tcW w:type="auto" w:w="0"/>
                  <w:shd w:val="clear" w:color="auto" w:fill="F0F0F0"/>
                </w:tcPr>
                <w:p>
                  <w:pPr>
                    <w:pStyle w:val="Para 02"/>
                    <w:keepLines w:val="on"/>
                  </w:pPr>
                  <w:r>
                    <w:t>% chứng khoán nắm giữ đến ngày đáo hạn</w:t>
                  </w:r>
                </w:p>
              </w:tc>
              <w:tc>
                <w:tcPr>
                  <w:tcW w:type="auto" w:w="0"/>
                  <w:shd w:val="clear" w:color="auto" w:fill="F0F0F0"/>
                </w:tcPr>
                <w:p>
                  <w:pPr>
                    <w:pStyle w:val="Para 02"/>
                    <w:keepLines w:val="on"/>
                  </w:pPr>
                  <w:r>
                    <w:t>Rủi ro từ việc giảm giá trị không được công bố do lãi suất cao hơn, vì chứng khoán nắm giữ đến ngày đáo hạn không được đánh giá theo giá thị trường</w:t>
                  </w:r>
                </w:p>
              </w:tc>
              <w:tc>
                <w:tcPr>
                  <w:tcW w:type="auto" w:w="0"/>
                  <w:shd w:val="clear" w:color="auto" w:fill="F0F0F0"/>
                </w:tcPr>
                <w:p>
                  <w:pPr>
                    <w:pStyle w:val="Normal"/>
                    <w:keepLines w:val="on"/>
                  </w:pPr>
                  <w:r>
                    <w:t>Thấp</w:t>
                  </w:r>
                </w:p>
              </w:tc>
            </w:tr>
            <w:tr>
              <w:tc>
                <w:tcPr>
                  <w:tcW w:type="auto" w:w="0"/>
                  <w:shd w:val="clear" w:color="auto" w:fill="F0F0F0"/>
                </w:tcPr>
                <w:p>
                  <w:pPr>
                    <w:pStyle w:val="Para 02"/>
                    <w:keepLines w:val="on"/>
                  </w:pPr>
                  <w:r>
                    <w:t>Lợi suất cổ tức</w:t>
                  </w:r>
                </w:p>
              </w:tc>
              <w:tc>
                <w:tcPr>
                  <w:tcW w:type="auto" w:w="0"/>
                  <w:shd w:val="clear" w:color="auto" w:fill="F0F0F0"/>
                </w:tcPr>
                <w:p>
                  <w:pPr>
                    <w:pStyle w:val="Para 02"/>
                    <w:keepLines w:val="on"/>
                  </w:pPr>
                  <w:r>
                    <w:t>Lợi suất tiền mặt trên cổ phiếu, được tính bằng cổ tức chia cho vốn hóa thị trường</w:t>
                  </w:r>
                </w:p>
              </w:tc>
              <w:tc>
                <w:tcPr>
                  <w:tcW w:type="auto" w:w="0"/>
                  <w:shd w:val="clear" w:color="auto" w:fill="F0F0F0"/>
                </w:tcPr>
                <w:p>
                  <w:pPr>
                    <w:pStyle w:val="Normal"/>
                    <w:keepLines w:val="on"/>
                  </w:pPr>
                  <w:r>
                    <w:t>Cao</w:t>
                  </w:r>
                </w:p>
              </w:tc>
            </w:tr>
          </w:tbl>
          <w:p/>
        </w:tc>
      </w:tr>
    </w:tbl>
    <w:p>
      <w:pPr>
        <w:pStyle w:val="Para 04"/>
        <w:keepLines w:val="on"/>
      </w:pPr>
      <w:r>
        <w:t>Áp dụng cách tiếp cận này cho 25 ngân hàng lớn nhất, chẳng hạn, chúng tôi đã tính giá trị trung vị cho từng biến số này đối với 25 ngân hàng lớn nhất của Mỹ, xét theo vốn hóa thị trường, và dùng nó làm ranh giới phân định tốt và xấu cho mỗi biến số. Như vậy, tỷ suất sinh lời trên vốn chủ sở hữu (ROE) cao hơn mức trung vị 12% được coi là tốt (và tô màu xanh), còn thấp hơn 12% được coi là xấu (và tô màu đỏ). Bảng 21.9 trình bày các số liệu thống kê cho 25 ngân hàng lớn nhất của Mỹ.</w:t>
      </w:r>
    </w:p>
    <w:p>
      <w:pPr>
        <w:pStyle w:val="Para 25"/>
        <w:keepLines w:val="on"/>
      </w:pPr>
      <w:r>
        <w:t>Bảng 21.9</w:t>
      </w:r>
    </w:p>
    <w:p>
      <w:pPr>
        <w:keepNext/>
        <w:pStyle w:val="Para 24"/>
        <w:keepLines w:val="on"/>
      </w:pPr>
      <w:r>
        <w:t>Các bộ lọc "hàng rẻ" cho các ngân hàng lớn của Mỹ</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vAlign w:val="bottom"/>
                  <w:hMerge w:val="restart"/>
                </w:tcPr>
                <w:p>
                  <w:pPr>
                    <w:pStyle w:val="Para 32"/>
                    <w:keepLines w:val="on"/>
                  </w:pPr>
                  <w:r>
                    <w:t>Độ rẻ</w:t>
                  </w:r>
                </w:p>
              </w:tc>
              <w:tc>
                <w:tcPr>
                  <w:hMerge w:val="continue"/>
                </w:tcPr>
                <w:p/>
              </w:tc>
              <w:tc>
                <w:tcPr>
                  <w:tcW w:type="auto" w:w="0"/>
                  <w:shd w:val="clear" w:color="auto" w:fill="F0F0F0"/>
                  <w:vAlign w:val="bottom"/>
                  <w:hMerge w:val="restart"/>
                </w:tcPr>
                <w:p>
                  <w:pPr>
                    <w:pStyle w:val="Para 05"/>
                    <w:keepLines w:val="on"/>
                  </w:pPr>
                  <w:r>
                    <w:t>Khả năng sinh lời</w:t>
                  </w:r>
                </w:p>
              </w:tc>
              <w:tc>
                <w:tcPr>
                  <w:hMerge w:val="continue"/>
                </w:tcPr>
                <w:p/>
              </w:tc>
              <w:tc>
                <w:tcPr>
                  <w:hMerge w:val="continue"/>
                </w:tcPr>
                <w:p/>
              </w:tc>
              <w:tc>
                <w:tcPr>
                  <w:tcW w:type="auto" w:w="0"/>
                  <w:shd w:val="clear" w:color="auto" w:fill="F0F0F0"/>
                  <w:vAlign w:val="bottom"/>
                </w:tcPr>
                <w:p>
                  <w:pPr>
                    <w:pStyle w:val="Para 05"/>
                    <w:keepLines w:val="on"/>
                  </w:pPr>
                  <w:r>
                    <w:t>Độ bám dính</w:t>
                  </w:r>
                </w:p>
              </w:tc>
              <w:tc>
                <w:tcPr>
                  <w:tcW w:type="auto" w:w="0"/>
                  <w:shd w:val="clear" w:color="auto" w:fill="F0F0F0"/>
                  <w:vAlign w:val="bottom"/>
                  <w:hMerge w:val="restart"/>
                </w:tcPr>
                <w:p>
                  <w:pPr>
                    <w:pStyle w:val="Para 05"/>
                    <w:keepLines w:val="on"/>
                  </w:pPr>
                  <w:r>
                    <w:t>Mức độ rủi ro</w:t>
                  </w:r>
                </w:p>
              </w:tc>
              <w:tc>
                <w:tcPr>
                  <w:hMerge w:val="continue"/>
                </w:tcPr>
                <w:p/>
              </w:tc>
              <w:tc>
                <w:tcPr>
                  <w:tcW w:type="auto" w:w="0"/>
                  <w:shd w:val="clear" w:color="auto" w:fill="F0F0F0"/>
                  <w:vAlign w:val="bottom"/>
                </w:tcPr>
                <w:p>
                  <w:pPr>
                    <w:pStyle w:val="Para 05"/>
                    <w:keepLines w:val="on"/>
                  </w:pPr>
                  <w:r>
                    <w:t>Lợi suất tiền mặt</w:t>
                  </w:r>
                </w:p>
              </w:tc>
            </w:tr>
            <w:tr>
              <w:tc>
                <w:tcPr>
                  <w:tcW w:type="auto" w:w="0"/>
                  <w:shd w:val="clear" w:color="auto" w:fill="F0F0F0"/>
                  <w:vAlign w:val="bottom"/>
                </w:tcPr>
                <w:p>
                  <w:pPr>
                    <w:pStyle w:val="Para 32"/>
                    <w:keepLines w:val="on"/>
                  </w:pPr>
                  <w:r>
                    <w:t>Tên công ty</w:t>
                  </w:r>
                </w:p>
              </w:tc>
              <w:tc>
                <w:tcPr>
                  <w:tcW w:type="auto" w:w="0"/>
                  <w:shd w:val="clear" w:color="auto" w:fill="F0F0F0"/>
                  <w:vAlign w:val="bottom"/>
                </w:tcPr>
                <w:p>
                  <w:pPr>
                    <w:pStyle w:val="Para 05"/>
                    <w:keepLines w:val="on"/>
                  </w:pPr>
                  <w:r>
                    <w:t>Sàn giao dịch: Mã cổ phiếu</w:t>
                  </w:r>
                </w:p>
              </w:tc>
              <w:tc>
                <w:tcPr>
                  <w:tcW w:type="auto" w:w="0"/>
                  <w:shd w:val="clear" w:color="auto" w:fill="F0F0F0"/>
                  <w:vAlign w:val="bottom"/>
                </w:tcPr>
                <w:p>
                  <w:pPr>
                    <w:pStyle w:val="Para 05"/>
                    <w:keepLines w:val="on"/>
                  </w:pPr>
                  <w:r>
                    <w:t>Giá trên giá trị sổ sách (Price to Book)</w:t>
                  </w:r>
                </w:p>
              </w:tc>
              <w:tc>
                <w:tcPr>
                  <w:tcW w:type="auto" w:w="0"/>
                  <w:shd w:val="clear" w:color="auto" w:fill="F0F0F0"/>
                  <w:vAlign w:val="bottom"/>
                </w:tcPr>
                <w:p>
                  <w:pPr>
                    <w:pStyle w:val="Para 05"/>
                    <w:keepLines w:val="on"/>
                  </w:pPr>
                  <w:r>
                    <w:t>Tỷ suất sinh lời trên vốn chủ sở hữu (ROE) (2022)</w:t>
                  </w:r>
                </w:p>
              </w:tc>
              <w:tc>
                <w:tcPr>
                  <w:tcW w:type="auto" w:w="0"/>
                  <w:shd w:val="clear" w:color="auto" w:fill="F0F0F0"/>
                  <w:vAlign w:val="bottom"/>
                </w:tcPr>
                <w:p>
                  <w:pPr>
                    <w:pStyle w:val="Para 05"/>
                    <w:keepLines w:val="on"/>
                  </w:pPr>
                  <w:r>
                    <w:t>ROE trung bình (2018–22)</w:t>
                  </w:r>
                </w:p>
              </w:tc>
              <w:tc>
                <w:tcPr>
                  <w:tcW w:type="auto" w:w="0"/>
                  <w:shd w:val="clear" w:color="auto" w:fill="F0F0F0"/>
                  <w:vAlign w:val="bottom"/>
                </w:tcPr>
                <w:p>
                  <w:pPr>
                    <w:pStyle w:val="Para 05"/>
                    <w:keepLines w:val="on"/>
                  </w:pPr>
                  <w:r>
                    <w:t>Chênh lệch lãi suất (Interest Spread) (2022)</w:t>
                  </w:r>
                </w:p>
              </w:tc>
              <w:tc>
                <w:tcPr>
                  <w:tcW w:type="auto" w:w="0"/>
                  <w:shd w:val="clear" w:color="auto" w:fill="F0F0F0"/>
                  <w:vAlign w:val="bottom"/>
                </w:tcPr>
                <w:p>
                  <w:pPr>
                    <w:pStyle w:val="Para 05"/>
                    <w:keepLines w:val="on"/>
                  </w:pPr>
                  <w:r>
                    <w:t>Tăng trưởng tiền gửi: 5 năm gần nhất</w:t>
                  </w:r>
                </w:p>
              </w:tc>
              <w:tc>
                <w:tcPr>
                  <w:tcW w:type="auto" w:w="0"/>
                  <w:shd w:val="clear" w:color="auto" w:fill="F0F0F0"/>
                  <w:vAlign w:val="bottom"/>
                </w:tcPr>
                <w:p>
                  <w:pPr>
                    <w:pStyle w:val="Para 05"/>
                    <w:keepLines w:val="on"/>
                  </w:pPr>
                  <w:r>
                    <w:t>Tỷ lệ vốn cấp 1 (Tier 1 Capital Ratio)</w:t>
                  </w:r>
                </w:p>
              </w:tc>
              <w:tc>
                <w:tcPr>
                  <w:tcW w:type="auto" w:w="0"/>
                  <w:shd w:val="clear" w:color="auto" w:fill="F0F0F0"/>
                  <w:vAlign w:val="bottom"/>
                </w:tcPr>
                <w:p>
                  <w:pPr>
                    <w:pStyle w:val="Para 05"/>
                    <w:keepLines w:val="on"/>
                  </w:pPr>
                  <w:r>
                    <w:t>% chứng khoán nắm giữ đến ngày đáo hạn</w:t>
                  </w:r>
                </w:p>
              </w:tc>
              <w:tc>
                <w:tcPr>
                  <w:tcW w:type="auto" w:w="0"/>
                  <w:shd w:val="clear" w:color="auto" w:fill="F0F0F0"/>
                  <w:vAlign w:val="bottom"/>
                </w:tcPr>
                <w:p>
                  <w:pPr>
                    <w:pStyle w:val="Para 05"/>
                    <w:keepLines w:val="on"/>
                  </w:pPr>
                  <w:r>
                    <w:t>Lợi suất cổ tức</w:t>
                  </w:r>
                </w:p>
              </w:tc>
            </w:tr>
            <w:tr>
              <w:tc>
                <w:tcPr>
                  <w:tcW w:type="auto" w:w="0"/>
                  <w:shd w:val="clear" w:color="auto" w:fill="F0F0F0"/>
                </w:tcPr>
                <w:p>
                  <w:pPr>
                    <w:pStyle w:val="Para 02"/>
                    <w:keepLines w:val="on"/>
                  </w:pPr>
                  <w:r>
                    <w:t>Citigroup Inc. (NYSE:C)</w:t>
                  </w:r>
                </w:p>
              </w:tc>
              <w:tc>
                <w:tcPr>
                  <w:tcW w:type="auto" w:w="0"/>
                  <w:shd w:val="clear" w:color="auto" w:fill="F0F0F0"/>
                </w:tcPr>
                <w:p>
                  <w:pPr>
                    <w:pStyle w:val="Para 02"/>
                    <w:keepLines w:val="on"/>
                  </w:pPr>
                  <w:r>
                    <w:t>NYSE:C</w:t>
                  </w:r>
                </w:p>
              </w:tc>
              <w:tc>
                <w:tcPr>
                  <w:tcW w:type="auto" w:w="0"/>
                  <w:shd w:val="clear" w:color="auto" w:fill="F0F0F0"/>
                  <w:tcMar>
                    <w:right w:type="dxa" w:w="320"/>
                  </w:tcMar>
                </w:tcPr>
                <w:p>
                  <w:pPr>
                    <w:pStyle w:val="Para 28"/>
                    <w:keepLines w:val="on"/>
                  </w:pPr>
                  <w:r>
                    <w:t>0.50</w:t>
                  </w:r>
                </w:p>
              </w:tc>
              <w:tc>
                <w:tcPr>
                  <w:tcW w:type="auto" w:w="0"/>
                  <w:shd w:val="clear" w:color="auto" w:fill="F0F0F0"/>
                  <w:tcMar>
                    <w:right w:type="dxa" w:w="960"/>
                  </w:tcMar>
                </w:tcPr>
                <w:p>
                  <w:pPr>
                    <w:pStyle w:val="Para 26"/>
                    <w:keepLines w:val="on"/>
                  </w:pPr>
                  <w:r>
                    <w:t>8.11%</w:t>
                  </w:r>
                </w:p>
              </w:tc>
              <w:tc>
                <w:tcPr>
                  <w:tcW w:type="auto" w:w="0"/>
                  <w:shd w:val="clear" w:color="auto" w:fill="F0F0F0"/>
                  <w:tcMar>
                    <w:right w:type="dxa" w:w="960"/>
                  </w:tcMar>
                </w:tcPr>
                <w:p>
                  <w:pPr>
                    <w:pStyle w:val="Para 26"/>
                    <w:keepLines w:val="on"/>
                  </w:pPr>
                  <w:r>
                    <w:t>9,50%</w:t>
                  </w:r>
                </w:p>
              </w:tc>
              <w:tc>
                <w:tcPr>
                  <w:tcW w:type="auto" w:w="0"/>
                  <w:shd w:val="clear" w:color="auto" w:fill="F0F0F0"/>
                  <w:tcMar>
                    <w:right w:type="dxa" w:w="640"/>
                  </w:tcMar>
                </w:tcPr>
                <w:p>
                  <w:pPr>
                    <w:pStyle w:val="Para 28"/>
                    <w:keepLines w:val="on"/>
                  </w:pPr>
                  <w:r>
                    <w:t>9,39%</w:t>
                  </w:r>
                </w:p>
              </w:tc>
              <w:tc>
                <w:tcPr>
                  <w:tcW w:type="auto" w:w="0"/>
                  <w:shd w:val="clear" w:color="auto" w:fill="F0F0F0"/>
                  <w:tcMar>
                    <w:right w:type="dxa" w:w="640"/>
                  </w:tcMar>
                </w:tcPr>
                <w:p>
                  <w:pPr>
                    <w:pStyle w:val="Para 28"/>
                    <w:keepLines w:val="on"/>
                  </w:pPr>
                  <w:r>
                    <w:t>3,74%</w:t>
                  </w:r>
                </w:p>
              </w:tc>
              <w:tc>
                <w:tcPr>
                  <w:tcW w:type="auto" w:w="0"/>
                  <w:shd w:val="clear" w:color="auto" w:fill="F0F0F0"/>
                  <w:tcMar>
                    <w:right w:type="dxa" w:w="640"/>
                  </w:tcMar>
                </w:tcPr>
                <w:p>
                  <w:pPr>
                    <w:pStyle w:val="Para 28"/>
                    <w:keepLines w:val="on"/>
                  </w:pPr>
                  <w:r>
                    <w:t>14,80%</w:t>
                  </w:r>
                </w:p>
              </w:tc>
              <w:tc>
                <w:tcPr>
                  <w:tcW w:type="auto" w:w="0"/>
                  <w:shd w:val="clear" w:color="auto" w:fill="F0F0F0"/>
                  <w:tcMar>
                    <w:right w:type="dxa" w:w="1280"/>
                  </w:tcMar>
                </w:tcPr>
                <w:p>
                  <w:pPr>
                    <w:pStyle w:val="Para 26"/>
                    <w:keepLines w:val="on"/>
                  </w:pPr>
                  <w:r>
                    <w:t>51,85%</w:t>
                  </w:r>
                </w:p>
              </w:tc>
              <w:tc>
                <w:tcPr>
                  <w:tcW w:type="auto" w:w="0"/>
                  <w:shd w:val="clear" w:color="auto" w:fill="F0F0F0"/>
                  <w:tcMar>
                    <w:right w:type="dxa" w:w="320"/>
                  </w:tcMar>
                </w:tcPr>
                <w:p>
                  <w:pPr>
                    <w:pStyle w:val="Para 28"/>
                    <w:keepLines w:val="on"/>
                  </w:pPr>
                  <w:r>
                    <w:t>4,40%</w:t>
                  </w:r>
                </w:p>
              </w:tc>
            </w:tr>
            <w:tr>
              <w:tc>
                <w:tcPr>
                  <w:tcW w:type="auto" w:w="0"/>
                  <w:shd w:val="clear" w:color="auto" w:fill="F0F0F0"/>
                </w:tcPr>
                <w:p>
                  <w:pPr>
                    <w:pStyle w:val="Para 02"/>
                    <w:keepLines w:val="on"/>
                  </w:pPr>
                  <w:r>
                    <w:t>Citizens Financial Group, Inc.</w:t>
                  </w:r>
                </w:p>
              </w:tc>
              <w:tc>
                <w:tcPr>
                  <w:tcW w:type="auto" w:w="0"/>
                  <w:shd w:val="clear" w:color="auto" w:fill="F0F0F0"/>
                </w:tcPr>
                <w:p>
                  <w:pPr>
                    <w:pStyle w:val="Para 02"/>
                    <w:keepLines w:val="on"/>
                  </w:pPr>
                  <w:r>
                    <w:t>NYSE:CFG</w:t>
                  </w:r>
                </w:p>
              </w:tc>
              <w:tc>
                <w:tcPr>
                  <w:tcW w:type="auto" w:w="0"/>
                  <w:shd w:val="clear" w:color="auto" w:fill="F0F0F0"/>
                  <w:tcMar>
                    <w:right w:type="dxa" w:w="320"/>
                  </w:tcMar>
                </w:tcPr>
                <w:p>
                  <w:pPr>
                    <w:pStyle w:val="Para 28"/>
                    <w:keepLines w:val="on"/>
                  </w:pPr>
                  <w:r>
                    <w:t>0,69</w:t>
                  </w:r>
                </w:p>
              </w:tc>
              <w:tc>
                <w:tcPr>
                  <w:tcW w:type="auto" w:w="0"/>
                  <w:shd w:val="clear" w:color="auto" w:fill="F0F0F0"/>
                  <w:tcMar>
                    <w:right w:type="dxa" w:w="960"/>
                  </w:tcMar>
                </w:tcPr>
                <w:p>
                  <w:pPr>
                    <w:pStyle w:val="Para 26"/>
                    <w:keepLines w:val="on"/>
                  </w:pPr>
                  <w:r>
                    <w:t>9,68%</w:t>
                  </w:r>
                </w:p>
              </w:tc>
              <w:tc>
                <w:tcPr>
                  <w:tcW w:type="auto" w:w="0"/>
                  <w:shd w:val="clear" w:color="auto" w:fill="F0F0F0"/>
                  <w:tcMar>
                    <w:right w:type="dxa" w:w="960"/>
                  </w:tcMar>
                </w:tcPr>
                <w:p>
                  <w:pPr>
                    <w:pStyle w:val="Para 26"/>
                    <w:keepLines w:val="on"/>
                  </w:pPr>
                  <w:r>
                    <w:t>8,72%</w:t>
                  </w:r>
                </w:p>
              </w:tc>
              <w:tc>
                <w:tcPr>
                  <w:tcW w:type="auto" w:w="0"/>
                  <w:shd w:val="clear" w:color="auto" w:fill="F0F0F0"/>
                  <w:tcMar>
                    <w:right w:type="dxa" w:w="640"/>
                  </w:tcMar>
                </w:tcPr>
                <w:p>
                  <w:pPr>
                    <w:pStyle w:val="Para 26"/>
                    <w:keepLines w:val="on"/>
                  </w:pPr>
                  <w:r>
                    <w:t>3,57%</w:t>
                  </w:r>
                </w:p>
              </w:tc>
              <w:tc>
                <w:tcPr>
                  <w:tcW w:type="auto" w:w="0"/>
                  <w:shd w:val="clear" w:color="auto" w:fill="F0F0F0"/>
                  <w:tcMar>
                    <w:right w:type="dxa" w:w="640"/>
                  </w:tcMar>
                </w:tcPr>
                <w:p>
                  <w:pPr>
                    <w:pStyle w:val="Para 28"/>
                    <w:keepLines w:val="on"/>
                  </w:pPr>
                  <w:r>
                    <w:t>9,20%</w:t>
                  </w:r>
                </w:p>
              </w:tc>
              <w:tc>
                <w:tcPr>
                  <w:tcW w:type="auto" w:w="0"/>
                  <w:shd w:val="clear" w:color="auto" w:fill="F0F0F0"/>
                  <w:tcMar>
                    <w:right w:type="dxa" w:w="640"/>
                  </w:tcMar>
                </w:tcPr>
                <w:p>
                  <w:pPr>
                    <w:pStyle w:val="Para 26"/>
                    <w:keepLines w:val="on"/>
                  </w:pPr>
                  <w:r>
                    <w:t>11,12%</w:t>
                  </w:r>
                </w:p>
              </w:tc>
              <w:tc>
                <w:tcPr>
                  <w:tcW w:type="auto" w:w="0"/>
                  <w:shd w:val="clear" w:color="auto" w:fill="F0F0F0"/>
                  <w:tcMar>
                    <w:right w:type="dxa" w:w="1280"/>
                  </w:tcMar>
                </w:tcPr>
                <w:p>
                  <w:pPr>
                    <w:pStyle w:val="Para 28"/>
                    <w:keepLines w:val="on"/>
                  </w:pPr>
                  <w:r>
                    <w:t>29,06%</w:t>
                  </w:r>
                </w:p>
              </w:tc>
              <w:tc>
                <w:tcPr>
                  <w:tcW w:type="auto" w:w="0"/>
                  <w:shd w:val="clear" w:color="auto" w:fill="F0F0F0"/>
                  <w:tcMar>
                    <w:right w:type="dxa" w:w="320"/>
                  </w:tcMar>
                </w:tcPr>
                <w:p>
                  <w:pPr>
                    <w:pStyle w:val="Para 28"/>
                    <w:keepLines w:val="on"/>
                  </w:pPr>
                  <w:r>
                    <w:t>3,47%</w:t>
                  </w:r>
                </w:p>
              </w:tc>
            </w:tr>
            <w:tr>
              <w:tc>
                <w:tcPr>
                  <w:tcW w:type="auto" w:w="0"/>
                  <w:shd w:val="clear" w:color="auto" w:fill="F0F0F0"/>
                </w:tcPr>
                <w:p>
                  <w:pPr>
                    <w:pStyle w:val="Para 02"/>
                    <w:keepLines w:val="on"/>
                  </w:pPr>
                  <w:r>
                    <w:t>Valley National Bancorp</w:t>
                  </w:r>
                </w:p>
              </w:tc>
              <w:tc>
                <w:tcPr>
                  <w:tcW w:type="auto" w:w="0"/>
                  <w:shd w:val="clear" w:color="auto" w:fill="F0F0F0"/>
                </w:tcPr>
                <w:p>
                  <w:pPr>
                    <w:pStyle w:val="Para 02"/>
                    <w:keepLines w:val="on"/>
                  </w:pPr>
                  <w:r>
                    <w:t>NasdaqGS:VLY</w:t>
                  </w:r>
                </w:p>
              </w:tc>
              <w:tc>
                <w:tcPr>
                  <w:tcW w:type="auto" w:w="0"/>
                  <w:shd w:val="clear" w:color="auto" w:fill="F0F0F0"/>
                  <w:tcMar>
                    <w:right w:type="dxa" w:w="320"/>
                  </w:tcMar>
                </w:tcPr>
                <w:p>
                  <w:pPr>
                    <w:pStyle w:val="Para 28"/>
                    <w:keepLines w:val="on"/>
                  </w:pPr>
                  <w:r>
                    <w:t>0,77</w:t>
                  </w:r>
                </w:p>
              </w:tc>
              <w:tc>
                <w:tcPr>
                  <w:tcW w:type="auto" w:w="0"/>
                  <w:shd w:val="clear" w:color="auto" w:fill="F0F0F0"/>
                  <w:tcMar>
                    <w:right w:type="dxa" w:w="960"/>
                  </w:tcMar>
                </w:tcPr>
                <w:p>
                  <w:pPr>
                    <w:pStyle w:val="Para 26"/>
                    <w:keepLines w:val="on"/>
                  </w:pPr>
                  <w:r>
                    <w:t>11,67%</w:t>
                  </w:r>
                </w:p>
              </w:tc>
              <w:tc>
                <w:tcPr>
                  <w:tcW w:type="auto" w:w="0"/>
                  <w:shd w:val="clear" w:color="auto" w:fill="F0F0F0"/>
                  <w:tcMar>
                    <w:right w:type="dxa" w:w="960"/>
                  </w:tcMar>
                </w:tcPr>
                <w:p>
                  <w:pPr>
                    <w:pStyle w:val="Para 26"/>
                    <w:keepLines w:val="on"/>
                  </w:pPr>
                  <w:r>
                    <w:t>10,61%</w:t>
                  </w:r>
                </w:p>
              </w:tc>
              <w:tc>
                <w:tcPr>
                  <w:tcW w:type="auto" w:w="0"/>
                  <w:shd w:val="clear" w:color="auto" w:fill="F0F0F0"/>
                  <w:tcMar>
                    <w:right w:type="dxa" w:w="640"/>
                  </w:tcMar>
                </w:tcPr>
                <w:p>
                  <w:pPr>
                    <w:pStyle w:val="Para 26"/>
                    <w:keepLines w:val="on"/>
                  </w:pPr>
                  <w:r>
                    <w:t>3,38%</w:t>
                  </w:r>
                </w:p>
              </w:tc>
              <w:tc>
                <w:tcPr>
                  <w:tcW w:type="auto" w:w="0"/>
                  <w:shd w:val="clear" w:color="auto" w:fill="F0F0F0"/>
                  <w:tcMar>
                    <w:right w:type="dxa" w:w="640"/>
                  </w:tcMar>
                </w:tcPr>
                <w:p>
                  <w:pPr>
                    <w:pStyle w:val="Para 26"/>
                    <w:keepLines w:val="on"/>
                  </w:pPr>
                  <w:r>
                    <w:t>21,21%</w:t>
                  </w:r>
                </w:p>
              </w:tc>
              <w:tc>
                <w:tcPr>
                  <w:tcW w:type="auto" w:w="0"/>
                  <w:shd w:val="clear" w:color="auto" w:fill="F0F0F0"/>
                  <w:tcMar>
                    <w:right w:type="dxa" w:w="640"/>
                  </w:tcMar>
                </w:tcPr>
                <w:p>
                  <w:pPr>
                    <w:pStyle w:val="Para 26"/>
                    <w:keepLines w:val="on"/>
                  </w:pPr>
                  <w:r>
                    <w:t>9,46%</w:t>
                  </w:r>
                </w:p>
              </w:tc>
              <w:tc>
                <w:tcPr>
                  <w:tcW w:type="auto" w:w="0"/>
                  <w:shd w:val="clear" w:color="auto" w:fill="F0F0F0"/>
                  <w:tcMar>
                    <w:right w:type="dxa" w:w="1280"/>
                  </w:tcMar>
                </w:tcPr>
                <w:p>
                  <w:pPr>
                    <w:pStyle w:val="Para 26"/>
                    <w:keepLines w:val="on"/>
                  </w:pPr>
                  <w:r>
                    <w:t>75,21%</w:t>
                  </w:r>
                </w:p>
              </w:tc>
              <w:tc>
                <w:tcPr>
                  <w:tcW w:type="auto" w:w="0"/>
                  <w:shd w:val="clear" w:color="auto" w:fill="F0F0F0"/>
                  <w:tcMar>
                    <w:right w:type="dxa" w:w="320"/>
                  </w:tcMar>
                </w:tcPr>
                <w:p>
                  <w:pPr>
                    <w:pStyle w:val="Para 28"/>
                    <w:keepLines w:val="on"/>
                  </w:pPr>
                  <w:r>
                    <w:t>3,11%</w:t>
                  </w:r>
                </w:p>
              </w:tc>
            </w:tr>
            <w:tr>
              <w:tc>
                <w:tcPr>
                  <w:tcW w:type="auto" w:w="0"/>
                  <w:shd w:val="clear" w:color="auto" w:fill="F0F0F0"/>
                </w:tcPr>
                <w:p>
                  <w:pPr>
                    <w:pStyle w:val="Para 02"/>
                    <w:keepLines w:val="on"/>
                  </w:pPr>
                  <w:r>
                    <w:t>Truist Financial Corporation</w:t>
                  </w:r>
                </w:p>
              </w:tc>
              <w:tc>
                <w:tcPr>
                  <w:tcW w:type="auto" w:w="0"/>
                  <w:shd w:val="clear" w:color="auto" w:fill="F0F0F0"/>
                </w:tcPr>
                <w:p>
                  <w:pPr>
                    <w:pStyle w:val="Para 02"/>
                    <w:keepLines w:val="on"/>
                  </w:pPr>
                  <w:r>
                    <w:t>NYSE:TFC</w:t>
                  </w:r>
                </w:p>
              </w:tc>
              <w:tc>
                <w:tcPr>
                  <w:tcW w:type="auto" w:w="0"/>
                  <w:shd w:val="clear" w:color="auto" w:fill="F0F0F0"/>
                  <w:tcMar>
                    <w:right w:type="dxa" w:w="320"/>
                  </w:tcMar>
                </w:tcPr>
                <w:p>
                  <w:pPr>
                    <w:pStyle w:val="Para 28"/>
                    <w:keepLines w:val="on"/>
                  </w:pPr>
                  <w:r>
                    <w:t>0,81</w:t>
                  </w:r>
                </w:p>
              </w:tc>
              <w:tc>
                <w:tcPr>
                  <w:tcW w:type="auto" w:w="0"/>
                  <w:shd w:val="clear" w:color="auto" w:fill="F0F0F0"/>
                  <w:tcMar>
                    <w:right w:type="dxa" w:w="960"/>
                  </w:tcMar>
                </w:tcPr>
                <w:p>
                  <w:pPr>
                    <w:pStyle w:val="Para 26"/>
                    <w:keepLines w:val="on"/>
                  </w:pPr>
                  <w:r>
                    <w:t>10,00%</w:t>
                  </w:r>
                </w:p>
              </w:tc>
              <w:tc>
                <w:tcPr>
                  <w:tcW w:type="auto" w:w="0"/>
                  <w:shd w:val="clear" w:color="auto" w:fill="F0F0F0"/>
                  <w:tcMar>
                    <w:right w:type="dxa" w:w="960"/>
                  </w:tcMar>
                </w:tcPr>
                <w:p>
                  <w:pPr>
                    <w:pStyle w:val="Para 26"/>
                    <w:keepLines w:val="on"/>
                  </w:pPr>
                  <w:r>
                    <w:t>9,84%</w:t>
                  </w:r>
                </w:p>
              </w:tc>
              <w:tc>
                <w:tcPr>
                  <w:tcW w:type="auto" w:w="0"/>
                  <w:shd w:val="clear" w:color="auto" w:fill="F0F0F0"/>
                  <w:tcMar>
                    <w:right w:type="dxa" w:w="640"/>
                  </w:tcMar>
                </w:tcPr>
                <w:p>
                  <w:pPr>
                    <w:pStyle w:val="Para 26"/>
                    <w:keepLines w:val="on"/>
                  </w:pPr>
                  <w:r>
                    <w:t>3,84%</w:t>
                  </w:r>
                </w:p>
              </w:tc>
              <w:tc>
                <w:tcPr>
                  <w:tcW w:type="auto" w:w="0"/>
                  <w:shd w:val="clear" w:color="auto" w:fill="F0F0F0"/>
                  <w:tcMar>
                    <w:right w:type="dxa" w:w="640"/>
                  </w:tcMar>
                </w:tcPr>
                <w:p>
                  <w:pPr>
                    <w:pStyle w:val="Para 26"/>
                    <w:keepLines w:val="on"/>
                  </w:pPr>
                  <w:r>
                    <w:t>21,23%</w:t>
                  </w:r>
                </w:p>
              </w:tc>
              <w:tc>
                <w:tcPr>
                  <w:tcW w:type="auto" w:w="0"/>
                  <w:shd w:val="clear" w:color="auto" w:fill="F0F0F0"/>
                  <w:tcMar>
                    <w:right w:type="dxa" w:w="640"/>
                  </w:tcMar>
                </w:tcPr>
                <w:p>
                  <w:pPr>
                    <w:pStyle w:val="Para 26"/>
                    <w:keepLines w:val="on"/>
                  </w:pPr>
                  <w:r>
                    <w:t>10,54%</w:t>
                  </w:r>
                </w:p>
              </w:tc>
              <w:tc>
                <w:tcPr>
                  <w:tcW w:type="auto" w:w="0"/>
                  <w:shd w:val="clear" w:color="auto" w:fill="F0F0F0"/>
                  <w:tcMar>
                    <w:right w:type="dxa" w:w="1280"/>
                  </w:tcMar>
                </w:tcPr>
                <w:p>
                  <w:pPr>
                    <w:pStyle w:val="Para 26"/>
                    <w:keepLines w:val="on"/>
                  </w:pPr>
                  <w:r>
                    <w:t>44,56%</w:t>
                  </w:r>
                </w:p>
              </w:tc>
              <w:tc>
                <w:tcPr>
                  <w:tcW w:type="auto" w:w="0"/>
                  <w:shd w:val="clear" w:color="auto" w:fill="F0F0F0"/>
                  <w:tcMar>
                    <w:right w:type="dxa" w:w="320"/>
                  </w:tcMar>
                </w:tcPr>
                <w:p>
                  <w:pPr>
                    <w:pStyle w:val="Para 28"/>
                    <w:keepLines w:val="on"/>
                  </w:pPr>
                  <w:r>
                    <w:t>4,25%</w:t>
                  </w:r>
                </w:p>
              </w:tc>
            </w:tr>
            <w:tr>
              <w:tc>
                <w:tcPr>
                  <w:tcW w:type="auto" w:w="0"/>
                  <w:shd w:val="clear" w:color="auto" w:fill="F0F0F0"/>
                </w:tcPr>
                <w:p>
                  <w:pPr>
                    <w:pStyle w:val="Para 02"/>
                    <w:keepLines w:val="on"/>
                  </w:pPr>
                  <w:r>
                    <w:t>Webster Financial Corporation</w:t>
                  </w:r>
                </w:p>
              </w:tc>
              <w:tc>
                <w:tcPr>
                  <w:tcW w:type="auto" w:w="0"/>
                  <w:shd w:val="clear" w:color="auto" w:fill="F0F0F0"/>
                </w:tcPr>
                <w:p>
                  <w:pPr>
                    <w:pStyle w:val="Para 02"/>
                    <w:keepLines w:val="on"/>
                  </w:pPr>
                  <w:r>
                    <w:t>NYSE:WBS</w:t>
                  </w:r>
                </w:p>
              </w:tc>
              <w:tc>
                <w:tcPr>
                  <w:tcW w:type="auto" w:w="0"/>
                  <w:shd w:val="clear" w:color="auto" w:fill="F0F0F0"/>
                  <w:tcMar>
                    <w:right w:type="dxa" w:w="320"/>
                  </w:tcMar>
                </w:tcPr>
                <w:p>
                  <w:pPr>
                    <w:pStyle w:val="Para 28"/>
                    <w:keepLines w:val="on"/>
                  </w:pPr>
                  <w:r>
                    <w:t>0,84</w:t>
                  </w:r>
                </w:p>
              </w:tc>
              <w:tc>
                <w:tcPr>
                  <w:tcW w:type="auto" w:w="0"/>
                  <w:shd w:val="clear" w:color="auto" w:fill="F0F0F0"/>
                  <w:tcMar>
                    <w:right w:type="dxa" w:w="960"/>
                  </w:tcMar>
                </w:tcPr>
                <w:p>
                  <w:pPr>
                    <w:pStyle w:val="Para 28"/>
                    <w:keepLines w:val="on"/>
                  </w:pPr>
                  <w:r>
                    <w:t>19,56%</w:t>
                  </w:r>
                </w:p>
              </w:tc>
              <w:tc>
                <w:tcPr>
                  <w:tcW w:type="auto" w:w="0"/>
                  <w:shd w:val="clear" w:color="auto" w:fill="F0F0F0"/>
                  <w:tcMar>
                    <w:right w:type="dxa" w:w="960"/>
                  </w:tcMar>
                </w:tcPr>
                <w:p>
                  <w:pPr>
                    <w:pStyle w:val="Para 28"/>
                    <w:keepLines w:val="on"/>
                  </w:pPr>
                  <w:r>
                    <w:t>13,68%</w:t>
                  </w:r>
                </w:p>
              </w:tc>
              <w:tc>
                <w:tcPr>
                  <w:tcW w:type="auto" w:w="0"/>
                  <w:shd w:val="clear" w:color="auto" w:fill="F0F0F0"/>
                  <w:tcMar>
                    <w:right w:type="dxa" w:w="640"/>
                  </w:tcMar>
                </w:tcPr>
                <w:p>
                  <w:pPr>
                    <w:pStyle w:val="Para 26"/>
                    <w:keepLines w:val="on"/>
                  </w:pPr>
                  <w:r>
                    <w:t>3,69%</w:t>
                  </w:r>
                </w:p>
              </w:tc>
              <w:tc>
                <w:tcPr>
                  <w:tcW w:type="auto" w:w="0"/>
                  <w:shd w:val="clear" w:color="auto" w:fill="F0F0F0"/>
                  <w:tcMar>
                    <w:right w:type="dxa" w:w="640"/>
                  </w:tcMar>
                </w:tcPr>
                <w:p>
                  <w:pPr>
                    <w:pStyle w:val="Para 26"/>
                    <w:keepLines w:val="on"/>
                  </w:pPr>
                  <w:r>
                    <w:t>20,62%</w:t>
                  </w:r>
                </w:p>
              </w:tc>
              <w:tc>
                <w:tcPr>
                  <w:tcW w:type="auto" w:w="0"/>
                  <w:shd w:val="clear" w:color="auto" w:fill="F0F0F0"/>
                  <w:tcMar>
                    <w:right w:type="dxa" w:w="640"/>
                  </w:tcMar>
                </w:tcPr>
                <w:p>
                  <w:pPr>
                    <w:pStyle w:val="Para 28"/>
                    <w:keepLines w:val="on"/>
                  </w:pPr>
                  <w:r>
                    <w:t>11,23%</w:t>
                  </w:r>
                </w:p>
              </w:tc>
              <w:tc>
                <w:tcPr>
                  <w:tcW w:type="auto" w:w="0"/>
                  <w:shd w:val="clear" w:color="auto" w:fill="F0F0F0"/>
                  <w:tcMar>
                    <w:right w:type="dxa" w:w="1280"/>
                  </w:tcMar>
                </w:tcPr>
                <w:p>
                  <w:pPr>
                    <w:pStyle w:val="Para 26"/>
                    <w:keepLines w:val="on"/>
                  </w:pPr>
                  <w:r>
                    <w:t>45,41%</w:t>
                  </w:r>
                </w:p>
              </w:tc>
              <w:tc>
                <w:tcPr>
                  <w:tcW w:type="auto" w:w="0"/>
                  <w:shd w:val="clear" w:color="auto" w:fill="F0F0F0"/>
                  <w:tcMar>
                    <w:right w:type="dxa" w:w="320"/>
                  </w:tcMar>
                </w:tcPr>
                <w:p>
                  <w:pPr>
                    <w:pStyle w:val="Para 26"/>
                    <w:keepLines w:val="on"/>
                  </w:pPr>
                  <w:r>
                    <w:t>1,76%</w:t>
                  </w:r>
                </w:p>
              </w:tc>
            </w:tr>
            <w:tr>
              <w:tc>
                <w:tcPr>
                  <w:tcW w:type="auto" w:w="0"/>
                  <w:shd w:val="clear" w:color="auto" w:fill="F0F0F0"/>
                </w:tcPr>
                <w:p>
                  <w:pPr>
                    <w:pStyle w:val="Para 02"/>
                    <w:keepLines w:val="on"/>
                  </w:pPr>
                  <w:r>
                    <w:t>Prosperity Bancshares, Inc.</w:t>
                  </w:r>
                </w:p>
              </w:tc>
              <w:tc>
                <w:tcPr>
                  <w:tcW w:type="auto" w:w="0"/>
                  <w:shd w:val="clear" w:color="auto" w:fill="F0F0F0"/>
                </w:tcPr>
                <w:p>
                  <w:pPr>
                    <w:pStyle w:val="Para 02"/>
                    <w:keepLines w:val="on"/>
                  </w:pPr>
                  <w:r>
                    <w:t>NYSE:PB</w:t>
                  </w:r>
                </w:p>
              </w:tc>
              <w:tc>
                <w:tcPr>
                  <w:tcW w:type="auto" w:w="0"/>
                  <w:shd w:val="clear" w:color="auto" w:fill="F0F0F0"/>
                  <w:tcMar>
                    <w:right w:type="dxa" w:w="320"/>
                  </w:tcMar>
                </w:tcPr>
                <w:p>
                  <w:pPr>
                    <w:pStyle w:val="Para 28"/>
                    <w:keepLines w:val="on"/>
                  </w:pPr>
                  <w:r>
                    <w:t>0,85</w:t>
                  </w:r>
                </w:p>
              </w:tc>
              <w:tc>
                <w:tcPr>
                  <w:tcW w:type="auto" w:w="0"/>
                  <w:shd w:val="clear" w:color="auto" w:fill="F0F0F0"/>
                  <w:tcMar>
                    <w:right w:type="dxa" w:w="960"/>
                  </w:tcMar>
                </w:tcPr>
                <w:p>
                  <w:pPr>
                    <w:pStyle w:val="Para 26"/>
                    <w:keepLines w:val="on"/>
                  </w:pPr>
                  <w:r>
                    <w:t>8,16%</w:t>
                  </w:r>
                </w:p>
              </w:tc>
              <w:tc>
                <w:tcPr>
                  <w:tcW w:type="auto" w:w="0"/>
                  <w:shd w:val="clear" w:color="auto" w:fill="F0F0F0"/>
                  <w:tcMar>
                    <w:right w:type="dxa" w:w="960"/>
                  </w:tcMar>
                </w:tcPr>
                <w:p>
                  <w:pPr>
                    <w:pStyle w:val="Para 26"/>
                    <w:keepLines w:val="on"/>
                  </w:pPr>
                  <w:r>
                    <w:t>8,43%</w:t>
                  </w:r>
                </w:p>
              </w:tc>
              <w:tc>
                <w:tcPr>
                  <w:tcW w:type="auto" w:w="0"/>
                  <w:shd w:val="clear" w:color="auto" w:fill="F0F0F0"/>
                  <w:tcMar>
                    <w:right w:type="dxa" w:w="640"/>
                  </w:tcMar>
                </w:tcPr>
                <w:p>
                  <w:pPr>
                    <w:pStyle w:val="Para 28"/>
                    <w:keepLines w:val="on"/>
                  </w:pPr>
                  <w:r>
                    <w:t>4,24%</w:t>
                  </w:r>
                </w:p>
              </w:tc>
              <w:tc>
                <w:tcPr>
                  <w:tcW w:type="auto" w:w="0"/>
                  <w:shd w:val="clear" w:color="auto" w:fill="F0F0F0"/>
                  <w:tcMar>
                    <w:right w:type="dxa" w:w="640"/>
                  </w:tcMar>
                </w:tcPr>
                <w:p>
                  <w:pPr>
                    <w:pStyle w:val="Para 28"/>
                    <w:keepLines w:val="on"/>
                  </w:pPr>
                  <w:r>
                    <w:t>9,39%</w:t>
                  </w:r>
                </w:p>
              </w:tc>
              <w:tc>
                <w:tcPr>
                  <w:tcW w:type="auto" w:w="0"/>
                  <w:shd w:val="clear" w:color="auto" w:fill="F0F0F0"/>
                  <w:tcMar>
                    <w:right w:type="dxa" w:w="640"/>
                  </w:tcMar>
                </w:tcPr>
                <w:p>
                  <w:pPr>
                    <w:pStyle w:val="Para 28"/>
                    <w:keepLines w:val="on"/>
                  </w:pPr>
                  <w:r>
                    <w:t>15,88%</w:t>
                  </w:r>
                </w:p>
              </w:tc>
              <w:tc>
                <w:tcPr>
                  <w:tcW w:type="auto" w:w="0"/>
                  <w:shd w:val="clear" w:color="auto" w:fill="F0F0F0"/>
                  <w:tcMar>
                    <w:right w:type="dxa" w:w="1280"/>
                  </w:tcMar>
                </w:tcPr>
                <w:p>
                  <w:pPr>
                    <w:pStyle w:val="Para 26"/>
                    <w:keepLines w:val="on"/>
                  </w:pPr>
                  <w:r>
                    <w:t>96,85%</w:t>
                  </w:r>
                </w:p>
              </w:tc>
              <w:tc>
                <w:tcPr>
                  <w:tcW w:type="auto" w:w="0"/>
                  <w:shd w:val="clear" w:color="auto" w:fill="F0F0F0"/>
                  <w:tcMar>
                    <w:right w:type="dxa" w:w="320"/>
                  </w:tcMar>
                </w:tcPr>
                <w:p>
                  <w:pPr>
                    <w:pStyle w:val="Para 26"/>
                    <w:keepLines w:val="on"/>
                  </w:pPr>
                  <w:r>
                    <w:t>2,62%</w:t>
                  </w:r>
                </w:p>
              </w:tc>
            </w:tr>
            <w:tr>
              <w:tc>
                <w:tcPr>
                  <w:tcW w:type="auto" w:w="0"/>
                  <w:shd w:val="clear" w:color="auto" w:fill="F0F0F0"/>
                </w:tcPr>
                <w:p>
                  <w:pPr>
                    <w:pStyle w:val="Para 02"/>
                    <w:keepLines w:val="on"/>
                  </w:pPr>
                  <w:r>
                    <w:t>M&amp;T Bank Corporation</w:t>
                  </w:r>
                </w:p>
              </w:tc>
              <w:tc>
                <w:tcPr>
                  <w:tcW w:type="auto" w:w="0"/>
                  <w:shd w:val="clear" w:color="auto" w:fill="F0F0F0"/>
                </w:tcPr>
                <w:p>
                  <w:pPr>
                    <w:pStyle w:val="Para 02"/>
                    <w:keepLines w:val="on"/>
                  </w:pPr>
                  <w:r>
                    <w:t>NYSE:MTB</w:t>
                  </w:r>
                </w:p>
              </w:tc>
              <w:tc>
                <w:tcPr>
                  <w:tcW w:type="auto" w:w="0"/>
                  <w:shd w:val="clear" w:color="auto" w:fill="F0F0F0"/>
                  <w:tcMar>
                    <w:right w:type="dxa" w:w="320"/>
                  </w:tcMar>
                </w:tcPr>
                <w:p>
                  <w:pPr>
                    <w:pStyle w:val="Para 28"/>
                    <w:keepLines w:val="on"/>
                  </w:pPr>
                  <w:r>
                    <w:t>0,90</w:t>
                  </w:r>
                </w:p>
              </w:tc>
              <w:tc>
                <w:tcPr>
                  <w:tcW w:type="auto" w:w="0"/>
                  <w:shd w:val="clear" w:color="auto" w:fill="F0F0F0"/>
                  <w:tcMar>
                    <w:right w:type="dxa" w:w="960"/>
                  </w:tcMar>
                </w:tcPr>
                <w:p>
                  <w:pPr>
                    <w:pStyle w:val="Para 28"/>
                    <w:keepLines w:val="on"/>
                  </w:pPr>
                  <w:r>
                    <w:t>12,33%</w:t>
                  </w:r>
                </w:p>
              </w:tc>
              <w:tc>
                <w:tcPr>
                  <w:tcW w:type="auto" w:w="0"/>
                  <w:shd w:val="clear" w:color="auto" w:fill="F0F0F0"/>
                  <w:tcMar>
                    <w:right w:type="dxa" w:w="960"/>
                  </w:tcMar>
                </w:tcPr>
                <w:p>
                  <w:pPr>
                    <w:pStyle w:val="Para 26"/>
                    <w:keepLines w:val="on"/>
                  </w:pPr>
                  <w:r>
                    <w:t>12,10%</w:t>
                  </w:r>
                </w:p>
              </w:tc>
              <w:tc>
                <w:tcPr>
                  <w:tcW w:type="auto" w:w="0"/>
                  <w:shd w:val="clear" w:color="auto" w:fill="F0F0F0"/>
                  <w:tcMar>
                    <w:right w:type="dxa" w:w="640"/>
                  </w:tcMar>
                </w:tcPr>
                <w:p>
                  <w:pPr>
                    <w:pStyle w:val="Para 28"/>
                    <w:keepLines w:val="on"/>
                  </w:pPr>
                  <w:r>
                    <w:t>3,86%</w:t>
                  </w:r>
                </w:p>
              </w:tc>
              <w:tc>
                <w:tcPr>
                  <w:tcW w:type="auto" w:w="0"/>
                  <w:shd w:val="clear" w:color="auto" w:fill="F0F0F0"/>
                  <w:tcMar>
                    <w:right w:type="dxa" w:w="640"/>
                  </w:tcMar>
                </w:tcPr>
                <w:p>
                  <w:pPr>
                    <w:pStyle w:val="Para 26"/>
                    <w:keepLines w:val="on"/>
                  </w:pPr>
                  <w:r>
                    <w:t>11,94%</w:t>
                  </w:r>
                </w:p>
              </w:tc>
              <w:tc>
                <w:tcPr>
                  <w:tcW w:type="auto" w:w="0"/>
                  <w:shd w:val="clear" w:color="auto" w:fill="F0F0F0"/>
                  <w:tcMar>
                    <w:right w:type="dxa" w:w="640"/>
                  </w:tcMar>
                </w:tcPr>
                <w:p>
                  <w:pPr>
                    <w:pStyle w:val="Para 28"/>
                    <w:keepLines w:val="on"/>
                  </w:pPr>
                  <w:r>
                    <w:t>11,79%</w:t>
                  </w:r>
                </w:p>
              </w:tc>
              <w:tc>
                <w:tcPr>
                  <w:tcW w:type="auto" w:w="0"/>
                  <w:shd w:val="clear" w:color="auto" w:fill="F0F0F0"/>
                  <w:tcMar>
                    <w:right w:type="dxa" w:w="1280"/>
                  </w:tcMar>
                </w:tcPr>
                <w:p>
                  <w:pPr>
                    <w:pStyle w:val="Para 26"/>
                    <w:keepLines w:val="on"/>
                  </w:pPr>
                  <w:r>
                    <w:t>55,73%</w:t>
                  </w:r>
                </w:p>
              </w:tc>
              <w:tc>
                <w:tcPr>
                  <w:tcW w:type="auto" w:w="0"/>
                  <w:shd w:val="clear" w:color="auto" w:fill="F0F0F0"/>
                  <w:tcMar>
                    <w:right w:type="dxa" w:w="320"/>
                  </w:tcMar>
                </w:tcPr>
                <w:p>
                  <w:pPr>
                    <w:pStyle w:val="Para 26"/>
                    <w:keepLines w:val="on"/>
                  </w:pPr>
                  <w:r>
                    <w:t>2,27%</w:t>
                  </w:r>
                </w:p>
              </w:tc>
            </w:tr>
            <w:tr>
              <w:tc>
                <w:tcPr>
                  <w:tcW w:type="auto" w:w="0"/>
                  <w:shd w:val="clear" w:color="auto" w:fill="F0F0F0"/>
                </w:tcPr>
                <w:p>
                  <w:pPr>
                    <w:pStyle w:val="Para 02"/>
                    <w:keepLines w:val="on"/>
                  </w:pPr>
                  <w:r>
                    <w:t>New York Community Bancorp, Inc.</w:t>
                  </w:r>
                </w:p>
              </w:tc>
              <w:tc>
                <w:tcPr>
                  <w:tcW w:type="auto" w:w="0"/>
                  <w:shd w:val="clear" w:color="auto" w:fill="F0F0F0"/>
                </w:tcPr>
                <w:p>
                  <w:pPr>
                    <w:pStyle w:val="Para 02"/>
                    <w:keepLines w:val="on"/>
                  </w:pPr>
                  <w:r>
                    <w:t>NYSE:NYCB</w:t>
                  </w:r>
                </w:p>
              </w:tc>
              <w:tc>
                <w:tcPr>
                  <w:tcW w:type="auto" w:w="0"/>
                  <w:shd w:val="clear" w:color="auto" w:fill="F0F0F0"/>
                  <w:tcMar>
                    <w:right w:type="dxa" w:w="320"/>
                  </w:tcMar>
                </w:tcPr>
                <w:p>
                  <w:pPr>
                    <w:pStyle w:val="Para 28"/>
                    <w:keepLines w:val="on"/>
                  </w:pPr>
                  <w:r>
                    <w:t>0,93</w:t>
                  </w:r>
                </w:p>
              </w:tc>
              <w:tc>
                <w:tcPr>
                  <w:tcW w:type="auto" w:w="0"/>
                  <w:shd w:val="clear" w:color="auto" w:fill="F0F0F0"/>
                  <w:tcMar>
                    <w:right w:type="dxa" w:w="960"/>
                  </w:tcMar>
                </w:tcPr>
                <w:p>
                  <w:pPr>
                    <w:pStyle w:val="Para 26"/>
                    <w:keepLines w:val="on"/>
                  </w:pPr>
                  <w:r>
                    <w:t>9,94%</w:t>
                  </w:r>
                </w:p>
              </w:tc>
              <w:tc>
                <w:tcPr>
                  <w:tcW w:type="auto" w:w="0"/>
                  <w:shd w:val="clear" w:color="auto" w:fill="F0F0F0"/>
                  <w:tcMar>
                    <w:right w:type="dxa" w:w="960"/>
                  </w:tcMar>
                </w:tcPr>
                <w:p>
                  <w:pPr>
                    <w:pStyle w:val="Para 26"/>
                    <w:keepLines w:val="on"/>
                  </w:pPr>
                  <w:r>
                    <w:t>8,16%</w:t>
                  </w:r>
                </w:p>
              </w:tc>
              <w:tc>
                <w:tcPr>
                  <w:tcW w:type="auto" w:w="0"/>
                  <w:shd w:val="clear" w:color="auto" w:fill="F0F0F0"/>
                  <w:tcMar>
                    <w:right w:type="dxa" w:w="640"/>
                  </w:tcMar>
                </w:tcPr>
                <w:p>
                  <w:pPr>
                    <w:pStyle w:val="Para 26"/>
                    <w:keepLines w:val="on"/>
                  </w:pPr>
                  <w:r>
                    <w:t>2,00%</w:t>
                  </w:r>
                </w:p>
              </w:tc>
              <w:tc>
                <w:tcPr>
                  <w:tcW w:type="auto" w:w="0"/>
                  <w:shd w:val="clear" w:color="auto" w:fill="F0F0F0"/>
                  <w:tcMar>
                    <w:right w:type="dxa" w:w="640"/>
                  </w:tcMar>
                </w:tcPr>
                <w:p>
                  <w:pPr>
                    <w:pStyle w:val="Para 26"/>
                    <w:keepLines w:val="on"/>
                  </w:pPr>
                  <w:r>
                    <w:t>13,56%</w:t>
                  </w:r>
                </w:p>
              </w:tc>
              <w:tc>
                <w:tcPr>
                  <w:tcW w:type="auto" w:w="0"/>
                  <w:shd w:val="clear" w:color="auto" w:fill="F0F0F0"/>
                  <w:tcMar>
                    <w:right w:type="dxa" w:w="640"/>
                  </w:tcMar>
                </w:tcPr>
                <w:p>
                  <w:pPr>
                    <w:pStyle w:val="Para 26"/>
                    <w:keepLines w:val="on"/>
                  </w:pPr>
                  <w:r>
                    <w:t>9,78%</w:t>
                  </w:r>
                </w:p>
              </w:tc>
              <w:tc>
                <w:tcPr>
                  <w:tcW w:type="auto" w:w="0"/>
                  <w:shd w:val="clear" w:color="auto" w:fill="F0F0F0"/>
                  <w:tcMar>
                    <w:right w:type="dxa" w:w="1280"/>
                  </w:tcMar>
                </w:tcPr>
                <w:p>
                  <w:pPr>
                    <w:pStyle w:val="Para 28"/>
                    <w:keepLines w:val="on"/>
                  </w:pPr>
                  <w:r>
                    <w:t>0,00%</w:t>
                  </w:r>
                </w:p>
              </w:tc>
              <w:tc>
                <w:tcPr>
                  <w:tcW w:type="auto" w:w="0"/>
                  <w:shd w:val="clear" w:color="auto" w:fill="F0F0F0"/>
                  <w:tcMar>
                    <w:right w:type="dxa" w:w="320"/>
                  </w:tcMar>
                </w:tcPr>
                <w:p>
                  <w:pPr>
                    <w:pStyle w:val="Para 28"/>
                    <w:keepLines w:val="on"/>
                  </w:pPr>
                  <w:r>
                    <w:t>5,39%</w:t>
                  </w:r>
                </w:p>
              </w:tc>
            </w:tr>
            <w:tr>
              <w:tc>
                <w:tcPr>
                  <w:tcW w:type="auto" w:w="0"/>
                  <w:shd w:val="clear" w:color="auto" w:fill="F0F0F0"/>
                </w:tcPr>
                <w:p>
                  <w:pPr>
                    <w:pStyle w:val="Para 02"/>
                    <w:keepLines w:val="on"/>
                  </w:pPr>
                  <w:r>
                    <w:t>Wells Fargo &amp; Company</w:t>
                  </w:r>
                </w:p>
              </w:tc>
              <w:tc>
                <w:tcPr>
                  <w:tcW w:type="auto" w:w="0"/>
                  <w:shd w:val="clear" w:color="auto" w:fill="F0F0F0"/>
                </w:tcPr>
                <w:p>
                  <w:pPr>
                    <w:pStyle w:val="Para 02"/>
                    <w:keepLines w:val="on"/>
                  </w:pPr>
                  <w:r>
                    <w:t>NYSE:WFC</w:t>
                  </w:r>
                </w:p>
              </w:tc>
              <w:tc>
                <w:tcPr>
                  <w:tcW w:type="auto" w:w="0"/>
                  <w:shd w:val="clear" w:color="auto" w:fill="F0F0F0"/>
                  <w:tcMar>
                    <w:right w:type="dxa" w:w="320"/>
                  </w:tcMar>
                </w:tcPr>
                <w:p>
                  <w:pPr>
                    <w:pStyle w:val="Para 28"/>
                    <w:keepLines w:val="on"/>
                  </w:pPr>
                  <w:r>
                    <w:t>0,93</w:t>
                  </w:r>
                </w:p>
              </w:tc>
              <w:tc>
                <w:tcPr>
                  <w:tcW w:type="auto" w:w="0"/>
                  <w:shd w:val="clear" w:color="auto" w:fill="F0F0F0"/>
                  <w:tcMar>
                    <w:right w:type="dxa" w:w="960"/>
                  </w:tcMar>
                </w:tcPr>
                <w:p>
                  <w:pPr>
                    <w:pStyle w:val="Para 26"/>
                    <w:keepLines w:val="on"/>
                  </w:pPr>
                  <w:r>
                    <w:t>7,84%</w:t>
                  </w:r>
                </w:p>
              </w:tc>
              <w:tc>
                <w:tcPr>
                  <w:tcW w:type="auto" w:w="0"/>
                  <w:shd w:val="clear" w:color="auto" w:fill="F0F0F0"/>
                  <w:tcMar>
                    <w:right w:type="dxa" w:w="960"/>
                  </w:tcMar>
                </w:tcPr>
                <w:p>
                  <w:pPr>
                    <w:pStyle w:val="Para 26"/>
                    <w:keepLines w:val="on"/>
                  </w:pPr>
                  <w:r>
                    <w:t>9,36%</w:t>
                  </w:r>
                </w:p>
              </w:tc>
              <w:tc>
                <w:tcPr>
                  <w:tcW w:type="auto" w:w="0"/>
                  <w:shd w:val="clear" w:color="auto" w:fill="F0F0F0"/>
                  <w:tcMar>
                    <w:right w:type="dxa" w:w="640"/>
                  </w:tcMar>
                </w:tcPr>
                <w:p>
                  <w:pPr>
                    <w:pStyle w:val="Para 28"/>
                    <w:keepLines w:val="on"/>
                  </w:pPr>
                  <w:r>
                    <w:t>3,88%</w:t>
                  </w:r>
                </w:p>
              </w:tc>
              <w:tc>
                <w:tcPr>
                  <w:tcW w:type="auto" w:w="0"/>
                  <w:shd w:val="clear" w:color="auto" w:fill="F0F0F0"/>
                  <w:tcMar>
                    <w:right w:type="dxa" w:w="640"/>
                  </w:tcMar>
                </w:tcPr>
                <w:p>
                  <w:pPr>
                    <w:pStyle w:val="Para 28"/>
                    <w:keepLines w:val="on"/>
                  </w:pPr>
                  <w:r>
                    <w:t>1,60%</w:t>
                  </w:r>
                </w:p>
              </w:tc>
              <w:tc>
                <w:tcPr>
                  <w:tcW w:type="auto" w:w="0"/>
                  <w:shd w:val="clear" w:color="auto" w:fill="F0F0F0"/>
                  <w:tcMar>
                    <w:right w:type="dxa" w:w="640"/>
                  </w:tcMar>
                </w:tcPr>
                <w:p>
                  <w:pPr>
                    <w:pStyle w:val="Para 28"/>
                    <w:keepLines w:val="on"/>
                  </w:pPr>
                  <w:r>
                    <w:t>12,11%</w:t>
                  </w:r>
                </w:p>
              </w:tc>
              <w:tc>
                <w:tcPr>
                  <w:tcW w:type="auto" w:w="0"/>
                  <w:shd w:val="clear" w:color="auto" w:fill="F0F0F0"/>
                  <w:tcMar>
                    <w:right w:type="dxa" w:w="1280"/>
                  </w:tcMar>
                </w:tcPr>
                <w:p>
                  <w:pPr>
                    <w:pStyle w:val="Para 26"/>
                    <w:keepLines w:val="on"/>
                  </w:pPr>
                  <w:r>
                    <w:t>72,34%</w:t>
                  </w:r>
                </w:p>
              </w:tc>
              <w:tc>
                <w:tcPr>
                  <w:tcW w:type="auto" w:w="0"/>
                  <w:shd w:val="clear" w:color="auto" w:fill="F0F0F0"/>
                  <w:tcMar>
                    <w:right w:type="dxa" w:w="320"/>
                  </w:tcMar>
                </w:tcPr>
                <w:p>
                  <w:pPr>
                    <w:pStyle w:val="Para 28"/>
                    <w:keepLines w:val="on"/>
                  </w:pPr>
                  <w:r>
                    <w:t>3,08%</w:t>
                  </w:r>
                </w:p>
              </w:tc>
            </w:tr>
            <w:tr>
              <w:tc>
                <w:tcPr>
                  <w:tcW w:type="auto" w:w="0"/>
                  <w:shd w:val="clear" w:color="auto" w:fill="F0F0F0"/>
                </w:tcPr>
                <w:p>
                  <w:pPr>
                    <w:pStyle w:val="Para 02"/>
                    <w:keepLines w:val="on"/>
                  </w:pPr>
                  <w:r>
                    <w:t>Bank of America Corporation</w:t>
                  </w:r>
                </w:p>
              </w:tc>
              <w:tc>
                <w:tcPr>
                  <w:tcW w:type="auto" w:w="0"/>
                  <w:shd w:val="clear" w:color="auto" w:fill="F0F0F0"/>
                </w:tcPr>
                <w:p>
                  <w:pPr>
                    <w:pStyle w:val="Para 02"/>
                    <w:keepLines w:val="on"/>
                  </w:pPr>
                  <w:r>
                    <w:t>NYSE:BAC</w:t>
                  </w:r>
                </w:p>
              </w:tc>
              <w:tc>
                <w:tcPr>
                  <w:tcW w:type="auto" w:w="0"/>
                  <w:shd w:val="clear" w:color="auto" w:fill="F0F0F0"/>
                  <w:tcMar>
                    <w:right w:type="dxa" w:w="320"/>
                  </w:tcMar>
                </w:tcPr>
                <w:p>
                  <w:pPr>
                    <w:pStyle w:val="Para 28"/>
                    <w:keepLines w:val="on"/>
                  </w:pPr>
                  <w:r>
                    <w:t>0,95</w:t>
                  </w:r>
                </w:p>
              </w:tc>
              <w:tc>
                <w:tcPr>
                  <w:tcW w:type="auto" w:w="0"/>
                  <w:shd w:val="clear" w:color="auto" w:fill="F0F0F0"/>
                  <w:tcMar>
                    <w:right w:type="dxa" w:w="960"/>
                  </w:tcMar>
                </w:tcPr>
                <w:p>
                  <w:pPr>
                    <w:pStyle w:val="Para 26"/>
                    <w:keepLines w:val="on"/>
                  </w:pPr>
                  <w:r>
                    <w:t>11,22%</w:t>
                  </w:r>
                </w:p>
              </w:tc>
              <w:tc>
                <w:tcPr>
                  <w:tcW w:type="auto" w:w="0"/>
                  <w:shd w:val="clear" w:color="auto" w:fill="F0F0F0"/>
                  <w:tcMar>
                    <w:right w:type="dxa" w:w="960"/>
                  </w:tcMar>
                </w:tcPr>
                <w:p>
                  <w:pPr>
                    <w:pStyle w:val="Para 26"/>
                    <w:keepLines w:val="on"/>
                  </w:pPr>
                  <w:r>
                    <w:t>10,87%</w:t>
                  </w:r>
                </w:p>
              </w:tc>
              <w:tc>
                <w:tcPr>
                  <w:tcW w:type="auto" w:w="0"/>
                  <w:shd w:val="clear" w:color="auto" w:fill="F0F0F0"/>
                  <w:tcMar>
                    <w:right w:type="dxa" w:w="640"/>
                  </w:tcMar>
                </w:tcPr>
                <w:p>
                  <w:pPr>
                    <w:pStyle w:val="Para 28"/>
                    <w:keepLines w:val="on"/>
                  </w:pPr>
                  <w:r>
                    <w:t>5,98%</w:t>
                  </w:r>
                </w:p>
              </w:tc>
              <w:tc>
                <w:tcPr>
                  <w:tcW w:type="auto" w:w="0"/>
                  <w:shd w:val="clear" w:color="auto" w:fill="F0F0F0"/>
                  <w:tcMar>
                    <w:right w:type="dxa" w:w="640"/>
                  </w:tcMar>
                </w:tcPr>
                <w:p>
                  <w:pPr>
                    <w:pStyle w:val="Para 28"/>
                    <w:keepLines w:val="on"/>
                  </w:pPr>
                  <w:r>
                    <w:t>8,75%</w:t>
                  </w:r>
                </w:p>
              </w:tc>
              <w:tc>
                <w:tcPr>
                  <w:tcW w:type="auto" w:w="0"/>
                  <w:shd w:val="clear" w:color="auto" w:fill="F0F0F0"/>
                  <w:tcMar>
                    <w:right w:type="dxa" w:w="640"/>
                  </w:tcMar>
                </w:tcPr>
                <w:p>
                  <w:pPr>
                    <w:pStyle w:val="Para 28"/>
                    <w:keepLines w:val="on"/>
                  </w:pPr>
                  <w:r>
                    <w:t>12,99%</w:t>
                  </w:r>
                </w:p>
              </w:tc>
              <w:tc>
                <w:tcPr>
                  <w:tcW w:type="auto" w:w="0"/>
                  <w:shd w:val="clear" w:color="auto" w:fill="F0F0F0"/>
                  <w:tcMar>
                    <w:right w:type="dxa" w:w="1280"/>
                  </w:tcMar>
                </w:tcPr>
                <w:p>
                  <w:pPr>
                    <w:pStyle w:val="Para 26"/>
                    <w:keepLines w:val="on"/>
                  </w:pPr>
                  <w:r>
                    <w:t>100,00%</w:t>
                  </w:r>
                </w:p>
              </w:tc>
              <w:tc>
                <w:tcPr>
                  <w:tcW w:type="auto" w:w="0"/>
                  <w:shd w:val="clear" w:color="auto" w:fill="F0F0F0"/>
                  <w:tcMar>
                    <w:right w:type="dxa" w:w="320"/>
                  </w:tcMar>
                </w:tcPr>
                <w:p>
                  <w:pPr>
                    <w:pStyle w:val="Para 28"/>
                    <w:keepLines w:val="on"/>
                  </w:pPr>
                  <w:r>
                    <w:t>3,18%</w:t>
                  </w:r>
                </w:p>
              </w:tc>
            </w:tr>
            <w:tr>
              <w:tc>
                <w:tcPr>
                  <w:tcW w:type="auto" w:w="0"/>
                  <w:shd w:val="clear" w:color="auto" w:fill="F0F0F0"/>
                </w:tcPr>
                <w:p>
                  <w:pPr>
                    <w:pStyle w:val="Para 02"/>
                    <w:keepLines w:val="on"/>
                  </w:pPr>
                  <w:r>
                    <w:t>KeyCorp</w:t>
                  </w:r>
                </w:p>
              </w:tc>
              <w:tc>
                <w:tcPr>
                  <w:tcW w:type="auto" w:w="0"/>
                  <w:shd w:val="clear" w:color="auto" w:fill="F0F0F0"/>
                </w:tcPr>
                <w:p>
                  <w:pPr>
                    <w:pStyle w:val="Para 02"/>
                    <w:keepLines w:val="on"/>
                  </w:pPr>
                  <w:r>
                    <w:t>NYSE:KEY</w:t>
                  </w:r>
                </w:p>
              </w:tc>
              <w:tc>
                <w:tcPr>
                  <w:tcW w:type="auto" w:w="0"/>
                  <w:shd w:val="clear" w:color="auto" w:fill="F0F0F0"/>
                  <w:tcMar>
                    <w:right w:type="dxa" w:w="320"/>
                  </w:tcMar>
                </w:tcPr>
                <w:p>
                  <w:pPr>
                    <w:pStyle w:val="Para 28"/>
                    <w:keepLines w:val="on"/>
                  </w:pPr>
                  <w:r>
                    <w:t>0,96</w:t>
                  </w:r>
                </w:p>
              </w:tc>
              <w:tc>
                <w:tcPr>
                  <w:tcW w:type="auto" w:w="0"/>
                  <w:shd w:val="clear" w:color="auto" w:fill="F0F0F0"/>
                  <w:tcMar>
                    <w:right w:type="dxa" w:w="960"/>
                  </w:tcMar>
                </w:tcPr>
                <w:p>
                  <w:pPr>
                    <w:pStyle w:val="Para 28"/>
                    <w:keepLines w:val="on"/>
                  </w:pPr>
                  <w:r>
                    <w:t>12,35%</w:t>
                  </w:r>
                </w:p>
              </w:tc>
              <w:tc>
                <w:tcPr>
                  <w:tcW w:type="auto" w:w="0"/>
                  <w:shd w:val="clear" w:color="auto" w:fill="F0F0F0"/>
                  <w:tcMar>
                    <w:right w:type="dxa" w:w="960"/>
                  </w:tcMar>
                </w:tcPr>
                <w:p>
                  <w:pPr>
                    <w:pStyle w:val="Para 28"/>
                    <w:keepLines w:val="on"/>
                  </w:pPr>
                  <w:r>
                    <w:t>12,64%</w:t>
                  </w:r>
                </w:p>
              </w:tc>
              <w:tc>
                <w:tcPr>
                  <w:tcW w:type="auto" w:w="0"/>
                  <w:shd w:val="clear" w:color="auto" w:fill="F0F0F0"/>
                  <w:tcMar>
                    <w:right w:type="dxa" w:w="640"/>
                  </w:tcMar>
                </w:tcPr>
                <w:p>
                  <w:pPr>
                    <w:pStyle w:val="Para 26"/>
                    <w:keepLines w:val="on"/>
                  </w:pPr>
                  <w:r>
                    <w:t>3,44%</w:t>
                  </w:r>
                </w:p>
              </w:tc>
              <w:tc>
                <w:tcPr>
                  <w:tcW w:type="auto" w:w="0"/>
                  <w:shd w:val="clear" w:color="auto" w:fill="F0F0F0"/>
                  <w:tcMar>
                    <w:right w:type="dxa" w:w="640"/>
                  </w:tcMar>
                </w:tcPr>
                <w:p>
                  <w:pPr>
                    <w:pStyle w:val="Para 28"/>
                    <w:keepLines w:val="on"/>
                  </w:pPr>
                  <w:r>
                    <w:t>7,45%</w:t>
                  </w:r>
                </w:p>
              </w:tc>
              <w:tc>
                <w:tcPr>
                  <w:tcW w:type="auto" w:w="0"/>
                  <w:shd w:val="clear" w:color="auto" w:fill="F0F0F0"/>
                  <w:tcMar>
                    <w:right w:type="dxa" w:w="640"/>
                  </w:tcMar>
                </w:tcPr>
                <w:p>
                  <w:pPr>
                    <w:pStyle w:val="Para 26"/>
                    <w:keepLines w:val="on"/>
                  </w:pPr>
                  <w:r>
                    <w:t>10,60%</w:t>
                  </w:r>
                </w:p>
              </w:tc>
              <w:tc>
                <w:tcPr>
                  <w:tcW w:type="auto" w:w="0"/>
                  <w:shd w:val="clear" w:color="auto" w:fill="F0F0F0"/>
                  <w:tcMar>
                    <w:right w:type="dxa" w:w="1280"/>
                  </w:tcMar>
                </w:tcPr>
                <w:p>
                  <w:pPr>
                    <w:pStyle w:val="Para 28"/>
                    <w:keepLines w:val="on"/>
                  </w:pPr>
                  <w:r>
                    <w:t>18,21%</w:t>
                  </w:r>
                </w:p>
              </w:tc>
              <w:tc>
                <w:tcPr>
                  <w:tcW w:type="auto" w:w="0"/>
                  <w:shd w:val="clear" w:color="auto" w:fill="F0F0F0"/>
                  <w:tcMar>
                    <w:right w:type="dxa" w:w="320"/>
                  </w:tcMar>
                </w:tcPr>
                <w:p>
                  <w:pPr>
                    <w:pStyle w:val="Para 28"/>
                    <w:keepLines w:val="on"/>
                  </w:pPr>
                  <w:r>
                    <w:t>4,45%</w:t>
                  </w:r>
                </w:p>
              </w:tc>
            </w:tr>
            <w:tr>
              <w:tc>
                <w:tcPr>
                  <w:tcW w:type="auto" w:w="0"/>
                  <w:shd w:val="clear" w:color="auto" w:fill="F0F0F0"/>
                </w:tcPr>
                <w:p>
                  <w:pPr>
                    <w:pStyle w:val="Para 02"/>
                    <w:keepLines w:val="on"/>
                  </w:pPr>
                  <w:r>
                    <w:t>SouthState Corporation</w:t>
                  </w:r>
                </w:p>
              </w:tc>
              <w:tc>
                <w:tcPr>
                  <w:tcW w:type="auto" w:w="0"/>
                  <w:shd w:val="clear" w:color="auto" w:fill="F0F0F0"/>
                </w:tcPr>
                <w:p>
                  <w:pPr>
                    <w:pStyle w:val="Para 02"/>
                    <w:keepLines w:val="on"/>
                  </w:pPr>
                  <w:r>
                    <w:t>NasdaqGS:SSB</w:t>
                  </w:r>
                </w:p>
              </w:tc>
              <w:tc>
                <w:tcPr>
                  <w:tcW w:type="auto" w:w="0"/>
                  <w:shd w:val="clear" w:color="auto" w:fill="F0F0F0"/>
                  <w:tcMar>
                    <w:right w:type="dxa" w:w="320"/>
                  </w:tcMar>
                </w:tcPr>
                <w:p>
                  <w:pPr>
                    <w:pStyle w:val="Para 28"/>
                    <w:keepLines w:val="on"/>
                  </w:pPr>
                  <w:r>
                    <w:t>1,03</w:t>
                  </w:r>
                </w:p>
              </w:tc>
              <w:tc>
                <w:tcPr>
                  <w:tcW w:type="auto" w:w="0"/>
                  <w:shd w:val="clear" w:color="auto" w:fill="F0F0F0"/>
                  <w:tcMar>
                    <w:right w:type="dxa" w:w="960"/>
                  </w:tcMar>
                </w:tcPr>
                <w:p>
                  <w:pPr>
                    <w:pStyle w:val="Para 26"/>
                    <w:keepLines w:val="on"/>
                  </w:pPr>
                  <w:r>
                    <w:t>10,33%</w:t>
                  </w:r>
                </w:p>
              </w:tc>
              <w:tc>
                <w:tcPr>
                  <w:tcW w:type="auto" w:w="0"/>
                  <w:shd w:val="clear" w:color="auto" w:fill="F0F0F0"/>
                  <w:tcMar>
                    <w:right w:type="dxa" w:w="960"/>
                  </w:tcMar>
                </w:tcPr>
                <w:p>
                  <w:pPr>
                    <w:pStyle w:val="Para 26"/>
                    <w:keepLines w:val="on"/>
                  </w:pPr>
                  <w:r>
                    <w:t>8,83%</w:t>
                  </w:r>
                </w:p>
              </w:tc>
              <w:tc>
                <w:tcPr>
                  <w:tcW w:type="auto" w:w="0"/>
                  <w:shd w:val="clear" w:color="auto" w:fill="F0F0F0"/>
                  <w:tcMar>
                    <w:right w:type="dxa" w:w="640"/>
                  </w:tcMar>
                </w:tcPr>
                <w:p>
                  <w:pPr>
                    <w:pStyle w:val="Para 26"/>
                    <w:keepLines w:val="on"/>
                  </w:pPr>
                  <w:r>
                    <w:t>3,85%</w:t>
                  </w:r>
                </w:p>
              </w:tc>
              <w:tc>
                <w:tcPr>
                  <w:tcW w:type="auto" w:w="0"/>
                  <w:shd w:val="clear" w:color="auto" w:fill="F0F0F0"/>
                  <w:tcMar>
                    <w:right w:type="dxa" w:w="640"/>
                  </w:tcMar>
                </w:tcPr>
                <w:p>
                  <w:pPr>
                    <w:pStyle w:val="Para 26"/>
                    <w:keepLines w:val="on"/>
                  </w:pPr>
                  <w:r>
                    <w:t>26,19%</w:t>
                  </w:r>
                </w:p>
              </w:tc>
              <w:tc>
                <w:tcPr>
                  <w:tcW w:type="auto" w:w="0"/>
                  <w:shd w:val="clear" w:color="auto" w:fill="F0F0F0"/>
                  <w:tcMar>
                    <w:right w:type="dxa" w:w="640"/>
                  </w:tcMar>
                </w:tcPr>
                <w:p>
                  <w:pPr>
                    <w:pStyle w:val="Para 26"/>
                    <w:keepLines w:val="on"/>
                  </w:pPr>
                  <w:r>
                    <w:t>10,96%</w:t>
                  </w:r>
                </w:p>
              </w:tc>
              <w:tc>
                <w:tcPr>
                  <w:tcW w:type="auto" w:w="0"/>
                  <w:shd w:val="clear" w:color="auto" w:fill="F0F0F0"/>
                  <w:tcMar>
                    <w:right w:type="dxa" w:w="1280"/>
                  </w:tcMar>
                </w:tcPr>
                <w:p>
                  <w:pPr>
                    <w:pStyle w:val="Para 28"/>
                    <w:keepLines w:val="on"/>
                  </w:pPr>
                  <w:r>
                    <w:t>33,50%</w:t>
                  </w:r>
                </w:p>
              </w:tc>
              <w:tc>
                <w:tcPr>
                  <w:tcW w:type="auto" w:w="0"/>
                  <w:shd w:val="clear" w:color="auto" w:fill="F0F0F0"/>
                  <w:tcMar>
                    <w:right w:type="dxa" w:w="320"/>
                  </w:tcMar>
                </w:tcPr>
                <w:p>
                  <w:pPr>
                    <w:pStyle w:val="Para 26"/>
                    <w:keepLines w:val="on"/>
                  </w:pPr>
                  <w:r>
                    <w:t>1,70%</w:t>
                  </w:r>
                </w:p>
              </w:tc>
            </w:tr>
            <w:tr>
              <w:tc>
                <w:tcPr>
                  <w:tcW w:type="auto" w:w="0"/>
                  <w:shd w:val="clear" w:color="auto" w:fill="F0F0F0"/>
                </w:tcPr>
                <w:p>
                  <w:pPr>
                    <w:pStyle w:val="Para 02"/>
                    <w:keepLines w:val="on"/>
                  </w:pPr>
                  <w:r>
                    <w:t>Huntington Bancshares Incorporated</w:t>
                  </w:r>
                </w:p>
              </w:tc>
              <w:tc>
                <w:tcPr>
                  <w:tcW w:type="auto" w:w="0"/>
                  <w:shd w:val="clear" w:color="auto" w:fill="F0F0F0"/>
                </w:tcPr>
                <w:p>
                  <w:pPr>
                    <w:pStyle w:val="Para 02"/>
                    <w:keepLines w:val="on"/>
                  </w:pPr>
                  <w:r>
                    <w:t>NasdaqGS:HBAN</w:t>
                  </w:r>
                </w:p>
              </w:tc>
              <w:tc>
                <w:tcPr>
                  <w:tcW w:type="auto" w:w="0"/>
                  <w:shd w:val="clear" w:color="auto" w:fill="F0F0F0"/>
                  <w:tcMar>
                    <w:right w:type="dxa" w:w="320"/>
                  </w:tcMar>
                </w:tcPr>
                <w:p>
                  <w:pPr>
                    <w:pStyle w:val="Para 26"/>
                    <w:keepLines w:val="on"/>
                  </w:pPr>
                  <w:r>
                    <w:t>1,04</w:t>
                  </w:r>
                </w:p>
              </w:tc>
              <w:tc>
                <w:tcPr>
                  <w:tcW w:type="auto" w:w="0"/>
                  <w:shd w:val="clear" w:color="auto" w:fill="F0F0F0"/>
                  <w:tcMar>
                    <w:right w:type="dxa" w:w="960"/>
                  </w:tcMar>
                </w:tcPr>
                <w:p>
                  <w:pPr>
                    <w:pStyle w:val="Para 28"/>
                    <w:keepLines w:val="on"/>
                  </w:pPr>
                  <w:r>
                    <w:t>13,06%</w:t>
                  </w:r>
                </w:p>
              </w:tc>
              <w:tc>
                <w:tcPr>
                  <w:tcW w:type="auto" w:w="0"/>
                  <w:shd w:val="clear" w:color="auto" w:fill="F0F0F0"/>
                  <w:tcMar>
                    <w:right w:type="dxa" w:w="960"/>
                  </w:tcMar>
                </w:tcPr>
                <w:p>
                  <w:pPr>
                    <w:pStyle w:val="Para 28"/>
                    <w:keepLines w:val="on"/>
                  </w:pPr>
                  <w:r>
                    <w:t>12,30%</w:t>
                  </w:r>
                </w:p>
              </w:tc>
              <w:tc>
                <w:tcPr>
                  <w:tcW w:type="auto" w:w="0"/>
                  <w:shd w:val="clear" w:color="auto" w:fill="F0F0F0"/>
                  <w:tcMar>
                    <w:right w:type="dxa" w:w="640"/>
                  </w:tcMar>
                </w:tcPr>
                <w:p>
                  <w:pPr>
                    <w:pStyle w:val="Para 26"/>
                    <w:keepLines w:val="on"/>
                  </w:pPr>
                  <w:r>
                    <w:t>3,86%</w:t>
                  </w:r>
                </w:p>
              </w:tc>
              <w:tc>
                <w:tcPr>
                  <w:tcW w:type="auto" w:w="0"/>
                  <w:shd w:val="clear" w:color="auto" w:fill="F0F0F0"/>
                  <w:tcMar>
                    <w:right w:type="dxa" w:w="640"/>
                  </w:tcMar>
                </w:tcPr>
                <w:p>
                  <w:pPr>
                    <w:pStyle w:val="Para 26"/>
                    <w:keepLines w:val="on"/>
                  </w:pPr>
                  <w:r>
                    <w:t>13,97%</w:t>
                  </w:r>
                </w:p>
              </w:tc>
              <w:tc>
                <w:tcPr>
                  <w:tcW w:type="auto" w:w="0"/>
                  <w:shd w:val="clear" w:color="auto" w:fill="F0F0F0"/>
                  <w:tcMar>
                    <w:right w:type="dxa" w:w="640"/>
                  </w:tcMar>
                </w:tcPr>
                <w:p>
                  <w:pPr>
                    <w:pStyle w:val="Para 26"/>
                    <w:keepLines w:val="on"/>
                  </w:pPr>
                  <w:r>
                    <w:t>10,90%</w:t>
                  </w:r>
                </w:p>
              </w:tc>
              <w:tc>
                <w:tcPr>
                  <w:tcW w:type="auto" w:w="0"/>
                  <w:shd w:val="clear" w:color="auto" w:fill="F0F0F0"/>
                  <w:tcMar>
                    <w:right w:type="dxa" w:w="1280"/>
                  </w:tcMar>
                </w:tcPr>
                <w:p>
                  <w:pPr>
                    <w:pStyle w:val="Para 26"/>
                    <w:keepLines w:val="on"/>
                  </w:pPr>
                  <w:r>
                    <w:t>42,13%</w:t>
                  </w:r>
                </w:p>
              </w:tc>
              <w:tc>
                <w:tcPr>
                  <w:tcW w:type="auto" w:w="0"/>
                  <w:shd w:val="clear" w:color="auto" w:fill="F0F0F0"/>
                  <w:tcMar>
                    <w:right w:type="dxa" w:w="320"/>
                  </w:tcMar>
                </w:tcPr>
                <w:p>
                  <w:pPr>
                    <w:pStyle w:val="Para 26"/>
                    <w:keepLines w:val="on"/>
                  </w:pPr>
                  <w:r>
                    <w:t>3,02%</w:t>
                  </w:r>
                </w:p>
              </w:tc>
            </w:tr>
            <w:tr>
              <w:tc>
                <w:tcPr>
                  <w:tcW w:type="auto" w:w="0"/>
                  <w:shd w:val="clear" w:color="auto" w:fill="F0F0F0"/>
                </w:tcPr>
                <w:p>
                  <w:pPr>
                    <w:pStyle w:val="Para 02"/>
                    <w:keepLines w:val="on"/>
                  </w:pPr>
                  <w:r>
                    <w:t>Fifth Third Bancorp</w:t>
                  </w:r>
                </w:p>
              </w:tc>
              <w:tc>
                <w:tcPr>
                  <w:tcW w:type="auto" w:w="0"/>
                  <w:shd w:val="clear" w:color="auto" w:fill="F0F0F0"/>
                </w:tcPr>
                <w:p>
                  <w:pPr>
                    <w:pStyle w:val="Para 02"/>
                    <w:keepLines w:val="on"/>
                  </w:pPr>
                  <w:r>
                    <w:t>NasdaqGS:FITB</w:t>
                  </w:r>
                </w:p>
              </w:tc>
              <w:tc>
                <w:tcPr>
                  <w:tcW w:type="auto" w:w="0"/>
                  <w:shd w:val="clear" w:color="auto" w:fill="F0F0F0"/>
                  <w:tcMar>
                    <w:right w:type="dxa" w:w="320"/>
                  </w:tcMar>
                </w:tcPr>
                <w:p>
                  <w:pPr>
                    <w:pStyle w:val="Para 26"/>
                    <w:keepLines w:val="on"/>
                  </w:pPr>
                  <w:r>
                    <w:t>1,17</w:t>
                  </w:r>
                </w:p>
              </w:tc>
              <w:tc>
                <w:tcPr>
                  <w:tcW w:type="auto" w:w="0"/>
                  <w:shd w:val="clear" w:color="auto" w:fill="F0F0F0"/>
                  <w:tcMar>
                    <w:right w:type="dxa" w:w="960"/>
                  </w:tcMar>
                </w:tcPr>
                <w:p>
                  <w:pPr>
                    <w:pStyle w:val="Para 28"/>
                    <w:keepLines w:val="on"/>
                  </w:pPr>
                  <w:r>
                    <w:t>12,17%</w:t>
                  </w:r>
                </w:p>
              </w:tc>
              <w:tc>
                <w:tcPr>
                  <w:tcW w:type="auto" w:w="0"/>
                  <w:shd w:val="clear" w:color="auto" w:fill="F0F0F0"/>
                  <w:tcMar>
                    <w:right w:type="dxa" w:w="960"/>
                  </w:tcMar>
                </w:tcPr>
                <w:p>
                  <w:pPr>
                    <w:pStyle w:val="Para 28"/>
                    <w:keepLines w:val="on"/>
                  </w:pPr>
                  <w:r>
                    <w:t>12,57%</w:t>
                  </w:r>
                </w:p>
              </w:tc>
              <w:tc>
                <w:tcPr>
                  <w:tcW w:type="auto" w:w="0"/>
                  <w:shd w:val="clear" w:color="auto" w:fill="F0F0F0"/>
                  <w:tcMar>
                    <w:right w:type="dxa" w:w="640"/>
                  </w:tcMar>
                </w:tcPr>
                <w:p>
                  <w:pPr>
                    <w:pStyle w:val="Para 28"/>
                    <w:keepLines w:val="on"/>
                  </w:pPr>
                  <w:r>
                    <w:t>3,87%</w:t>
                  </w:r>
                </w:p>
              </w:tc>
              <w:tc>
                <w:tcPr>
                  <w:tcW w:type="auto" w:w="0"/>
                  <w:shd w:val="clear" w:color="auto" w:fill="F0F0F0"/>
                  <w:tcMar>
                    <w:right w:type="dxa" w:w="640"/>
                  </w:tcMar>
                </w:tcPr>
                <w:p>
                  <w:pPr>
                    <w:pStyle w:val="Para 28"/>
                    <w:keepLines w:val="on"/>
                  </w:pPr>
                  <w:r>
                    <w:t>9,75%</w:t>
                  </w:r>
                </w:p>
              </w:tc>
              <w:tc>
                <w:tcPr>
                  <w:tcW w:type="auto" w:w="0"/>
                  <w:shd w:val="clear" w:color="auto" w:fill="F0F0F0"/>
                  <w:tcMar>
                    <w:right w:type="dxa" w:w="640"/>
                  </w:tcMar>
                </w:tcPr>
                <w:p>
                  <w:pPr>
                    <w:pStyle w:val="Para 26"/>
                    <w:keepLines w:val="on"/>
                  </w:pPr>
                  <w:r>
                    <w:t>10,53%</w:t>
                  </w:r>
                </w:p>
              </w:tc>
              <w:tc>
                <w:tcPr>
                  <w:tcW w:type="auto" w:w="0"/>
                  <w:shd w:val="clear" w:color="auto" w:fill="F0F0F0"/>
                  <w:tcMar>
                    <w:right w:type="dxa" w:w="1280"/>
                  </w:tcMar>
                </w:tcPr>
                <w:p>
                  <w:pPr>
                    <w:pStyle w:val="Para 28"/>
                    <w:keepLines w:val="on"/>
                  </w:pPr>
                  <w:r>
                    <w:t>0,01%</w:t>
                  </w:r>
                </w:p>
              </w:tc>
              <w:tc>
                <w:tcPr>
                  <w:tcW w:type="auto" w:w="0"/>
                  <w:shd w:val="clear" w:color="auto" w:fill="F0F0F0"/>
                  <w:tcMar>
                    <w:right w:type="dxa" w:w="320"/>
                  </w:tcMar>
                </w:tcPr>
                <w:p>
                  <w:pPr>
                    <w:pStyle w:val="Para 28"/>
                    <w:keepLines w:val="on"/>
                  </w:pPr>
                  <w:r>
                    <w:t>5,30%</w:t>
                  </w:r>
                </w:p>
              </w:tc>
            </w:tr>
            <w:tr>
              <w:tc>
                <w:tcPr>
                  <w:tcW w:type="auto" w:w="0"/>
                  <w:shd w:val="clear" w:color="auto" w:fill="F0F0F0"/>
                </w:tcPr>
                <w:p>
                  <w:pPr>
                    <w:pStyle w:val="Para 02"/>
                    <w:keepLines w:val="on"/>
                  </w:pPr>
                  <w:r>
                    <w:t>Comerica Incorporated</w:t>
                  </w:r>
                </w:p>
              </w:tc>
              <w:tc>
                <w:tcPr>
                  <w:tcW w:type="auto" w:w="0"/>
                  <w:shd w:val="clear" w:color="auto" w:fill="F0F0F0"/>
                </w:tcPr>
                <w:p>
                  <w:pPr>
                    <w:pStyle w:val="Para 02"/>
                    <w:keepLines w:val="on"/>
                  </w:pPr>
                  <w:r>
                    <w:t>NYSE:CMA</w:t>
                  </w:r>
                </w:p>
              </w:tc>
              <w:tc>
                <w:tcPr>
                  <w:tcW w:type="auto" w:w="0"/>
                  <w:shd w:val="clear" w:color="auto" w:fill="F0F0F0"/>
                  <w:tcMar>
                    <w:right w:type="dxa" w:w="320"/>
                  </w:tcMar>
                </w:tcPr>
                <w:p>
                  <w:pPr>
                    <w:pStyle w:val="Para 26"/>
                    <w:keepLines w:val="on"/>
                  </w:pPr>
                  <w:r>
                    <w:t>1,19</w:t>
                  </w:r>
                </w:p>
              </w:tc>
              <w:tc>
                <w:tcPr>
                  <w:tcW w:type="auto" w:w="0"/>
                  <w:shd w:val="clear" w:color="auto" w:fill="F0F0F0"/>
                  <w:tcMar>
                    <w:right w:type="dxa" w:w="960"/>
                  </w:tcMar>
                </w:tcPr>
                <w:p>
                  <w:pPr>
                    <w:pStyle w:val="Para 28"/>
                    <w:keepLines w:val="on"/>
                  </w:pPr>
                  <w:r>
                    <w:t>15,34%</w:t>
                  </w:r>
                </w:p>
              </w:tc>
              <w:tc>
                <w:tcPr>
                  <w:tcW w:type="auto" w:w="0"/>
                  <w:shd w:val="clear" w:color="auto" w:fill="F0F0F0"/>
                  <w:tcMar>
                    <w:right w:type="dxa" w:w="960"/>
                  </w:tcMar>
                </w:tcPr>
                <w:p>
                  <w:pPr>
                    <w:pStyle w:val="Para 28"/>
                    <w:keepLines w:val="on"/>
                  </w:pPr>
                  <w:r>
                    <w:t>13,84%</w:t>
                  </w:r>
                </w:p>
              </w:tc>
              <w:tc>
                <w:tcPr>
                  <w:tcW w:type="auto" w:w="0"/>
                  <w:shd w:val="clear" w:color="auto" w:fill="F0F0F0"/>
                  <w:tcMar>
                    <w:right w:type="dxa" w:w="640"/>
                  </w:tcMar>
                </w:tcPr>
                <w:p>
                  <w:pPr>
                    <w:pStyle w:val="Para 28"/>
                    <w:keepLines w:val="on"/>
                  </w:pPr>
                  <w:r>
                    <w:t>3,93%</w:t>
                  </w:r>
                </w:p>
              </w:tc>
              <w:tc>
                <w:tcPr>
                  <w:tcW w:type="auto" w:w="0"/>
                  <w:shd w:val="clear" w:color="auto" w:fill="F0F0F0"/>
                  <w:tcMar>
                    <w:right w:type="dxa" w:w="640"/>
                  </w:tcMar>
                </w:tcPr>
                <w:p>
                  <w:pPr>
                    <w:pStyle w:val="Para 28"/>
                    <w:keepLines w:val="on"/>
                  </w:pPr>
                  <w:r>
                    <w:t>4,34%</w:t>
                  </w:r>
                </w:p>
              </w:tc>
              <w:tc>
                <w:tcPr>
                  <w:tcW w:type="auto" w:w="0"/>
                  <w:shd w:val="clear" w:color="auto" w:fill="F0F0F0"/>
                  <w:tcMar>
                    <w:right w:type="dxa" w:w="640"/>
                  </w:tcMar>
                </w:tcPr>
                <w:p>
                  <w:pPr>
                    <w:pStyle w:val="Para 26"/>
                    <w:keepLines w:val="on"/>
                  </w:pPr>
                  <w:r>
                    <w:t>10,50%</w:t>
                  </w:r>
                </w:p>
              </w:tc>
              <w:tc>
                <w:tcPr>
                  <w:tcW w:type="auto" w:w="0"/>
                  <w:shd w:val="clear" w:color="auto" w:fill="F0F0F0"/>
                  <w:tcMar>
                    <w:right w:type="dxa" w:w="1280"/>
                  </w:tcMar>
                </w:tcPr>
                <w:p>
                  <w:pPr>
                    <w:pStyle w:val="Para 28"/>
                    <w:keepLines w:val="on"/>
                  </w:pPr>
                  <w:r>
                    <w:t>0,00%</w:t>
                  </w:r>
                </w:p>
              </w:tc>
              <w:tc>
                <w:tcPr>
                  <w:tcW w:type="auto" w:w="0"/>
                  <w:shd w:val="clear" w:color="auto" w:fill="F0F0F0"/>
                  <w:tcMar>
                    <w:right w:type="dxa" w:w="320"/>
                  </w:tcMar>
                </w:tcPr>
                <w:p>
                  <w:pPr>
                    <w:pStyle w:val="Para 28"/>
                    <w:keepLines w:val="on"/>
                  </w:pPr>
                  <w:r>
                    <w:t>4,28%</w:t>
                  </w:r>
                </w:p>
              </w:tc>
            </w:tr>
            <w:tr>
              <w:tc>
                <w:tcPr>
                  <w:tcW w:type="auto" w:w="0"/>
                  <w:shd w:val="clear" w:color="auto" w:fill="F0F0F0"/>
                </w:tcPr>
                <w:p>
                  <w:pPr>
                    <w:pStyle w:val="Para 02"/>
                    <w:keepLines w:val="on"/>
                  </w:pPr>
                  <w:r>
                    <w:t>Regions Financial Corporation</w:t>
                  </w:r>
                </w:p>
              </w:tc>
              <w:tc>
                <w:tcPr>
                  <w:tcW w:type="auto" w:w="0"/>
                  <w:shd w:val="clear" w:color="auto" w:fill="F0F0F0"/>
                </w:tcPr>
                <w:p>
                  <w:pPr>
                    <w:pStyle w:val="Para 02"/>
                    <w:keepLines w:val="on"/>
                  </w:pPr>
                  <w:r>
                    <w:t>NYSE:RF</w:t>
                  </w:r>
                </w:p>
              </w:tc>
              <w:tc>
                <w:tcPr>
                  <w:tcW w:type="auto" w:w="0"/>
                  <w:shd w:val="clear" w:color="auto" w:fill="F0F0F0"/>
                  <w:tcMar>
                    <w:right w:type="dxa" w:w="320"/>
                  </w:tcMar>
                </w:tcPr>
                <w:p>
                  <w:pPr>
                    <w:pStyle w:val="Para 26"/>
                    <w:keepLines w:val="on"/>
                  </w:pPr>
                  <w:r>
                    <w:t>1,19</w:t>
                  </w:r>
                </w:p>
              </w:tc>
              <w:tc>
                <w:tcPr>
                  <w:tcW w:type="auto" w:w="0"/>
                  <w:shd w:val="clear" w:color="auto" w:fill="F0F0F0"/>
                  <w:tcMar>
                    <w:right w:type="dxa" w:w="960"/>
                  </w:tcMar>
                </w:tcPr>
                <w:p>
                  <w:pPr>
                    <w:pStyle w:val="Para 28"/>
                    <w:keepLines w:val="on"/>
                  </w:pPr>
                  <w:r>
                    <w:t>13,47%</w:t>
                  </w:r>
                </w:p>
              </w:tc>
              <w:tc>
                <w:tcPr>
                  <w:tcW w:type="auto" w:w="0"/>
                  <w:shd w:val="clear" w:color="auto" w:fill="F0F0F0"/>
                  <w:tcMar>
                    <w:right w:type="dxa" w:w="960"/>
                  </w:tcMar>
                </w:tcPr>
                <w:p>
                  <w:pPr>
                    <w:pStyle w:val="Para 26"/>
                    <w:keepLines w:val="on"/>
                  </w:pPr>
                  <w:r>
                    <w:t>11,83%</w:t>
                  </w:r>
                </w:p>
              </w:tc>
              <w:tc>
                <w:tcPr>
                  <w:tcW w:type="auto" w:w="0"/>
                  <w:shd w:val="clear" w:color="auto" w:fill="F0F0F0"/>
                  <w:tcMar>
                    <w:right w:type="dxa" w:w="640"/>
                  </w:tcMar>
                </w:tcPr>
                <w:p>
                  <w:pPr>
                    <w:pStyle w:val="Para 28"/>
                    <w:keepLines w:val="on"/>
                  </w:pPr>
                  <w:r>
                    <w:t>4,17%</w:t>
                  </w:r>
                </w:p>
              </w:tc>
              <w:tc>
                <w:tcPr>
                  <w:tcW w:type="auto" w:w="0"/>
                  <w:shd w:val="clear" w:color="auto" w:fill="F0F0F0"/>
                  <w:tcMar>
                    <w:right w:type="dxa" w:w="640"/>
                  </w:tcMar>
                </w:tcPr>
                <w:p>
                  <w:pPr>
                    <w:pStyle w:val="Para 28"/>
                    <w:keepLines w:val="on"/>
                  </w:pPr>
                  <w:r>
                    <w:t>6,88%</w:t>
                  </w:r>
                </w:p>
              </w:tc>
              <w:tc>
                <w:tcPr>
                  <w:tcW w:type="auto" w:w="0"/>
                  <w:shd w:val="clear" w:color="auto" w:fill="F0F0F0"/>
                  <w:tcMar>
                    <w:right w:type="dxa" w:w="640"/>
                  </w:tcMar>
                </w:tcPr>
                <w:p>
                  <w:pPr>
                    <w:pStyle w:val="Para 26"/>
                    <w:keepLines w:val="on"/>
                  </w:pPr>
                  <w:r>
                    <w:t>10,91%</w:t>
                  </w:r>
                </w:p>
              </w:tc>
              <w:tc>
                <w:tcPr>
                  <w:tcW w:type="auto" w:w="0"/>
                  <w:shd w:val="clear" w:color="auto" w:fill="F0F0F0"/>
                  <w:tcMar>
                    <w:right w:type="dxa" w:w="1280"/>
                  </w:tcMar>
                </w:tcPr>
                <w:p>
                  <w:pPr>
                    <w:pStyle w:val="Para 28"/>
                    <w:keepLines w:val="on"/>
                  </w:pPr>
                  <w:r>
                    <w:t>2,79%</w:t>
                  </w:r>
                </w:p>
              </w:tc>
              <w:tc>
                <w:tcPr>
                  <w:tcW w:type="auto" w:w="0"/>
                  <w:shd w:val="clear" w:color="auto" w:fill="F0F0F0"/>
                  <w:tcMar>
                    <w:right w:type="dxa" w:w="320"/>
                  </w:tcMar>
                </w:tcPr>
                <w:p>
                  <w:pPr>
                    <w:pStyle w:val="Para 26"/>
                    <w:keepLines w:val="on"/>
                  </w:pPr>
                  <w:r>
                    <w:t>2,95%</w:t>
                  </w:r>
                </w:p>
              </w:tc>
            </w:tr>
            <w:tr>
              <w:tc>
                <w:tcPr>
                  <w:tcW w:type="auto" w:w="0"/>
                  <w:shd w:val="clear" w:color="auto" w:fill="F0F0F0"/>
                </w:tcPr>
                <w:p>
                  <w:pPr>
                    <w:pStyle w:val="Para 02"/>
                    <w:keepLines w:val="on"/>
                  </w:pPr>
                  <w:r>
                    <w:t>U.S. Bancorp</w:t>
                  </w:r>
                </w:p>
              </w:tc>
              <w:tc>
                <w:tcPr>
                  <w:tcW w:type="auto" w:w="0"/>
                  <w:shd w:val="clear" w:color="auto" w:fill="F0F0F0"/>
                </w:tcPr>
                <w:p>
                  <w:pPr>
                    <w:pStyle w:val="Para 02"/>
                    <w:keepLines w:val="on"/>
                  </w:pPr>
                  <w:r>
                    <w:t>NYSE:USB</w:t>
                  </w:r>
                </w:p>
              </w:tc>
              <w:tc>
                <w:tcPr>
                  <w:tcW w:type="auto" w:w="0"/>
                  <w:shd w:val="clear" w:color="auto" w:fill="F0F0F0"/>
                  <w:tcMar>
                    <w:right w:type="dxa" w:w="320"/>
                  </w:tcMar>
                </w:tcPr>
                <w:p>
                  <w:pPr>
                    <w:pStyle w:val="Para 26"/>
                    <w:keepLines w:val="on"/>
                  </w:pPr>
                  <w:r>
                    <w:t>1,20</w:t>
                  </w:r>
                </w:p>
              </w:tc>
              <w:tc>
                <w:tcPr>
                  <w:tcW w:type="auto" w:w="0"/>
                  <w:shd w:val="clear" w:color="auto" w:fill="F0F0F0"/>
                  <w:tcMar>
                    <w:right w:type="dxa" w:w="960"/>
                  </w:tcMar>
                </w:tcPr>
                <w:p>
                  <w:pPr>
                    <w:pStyle w:val="Para 26"/>
                    <w:keepLines w:val="on"/>
                  </w:pPr>
                  <w:r>
                    <w:t>12,00%</w:t>
                  </w:r>
                </w:p>
              </w:tc>
              <w:tc>
                <w:tcPr>
                  <w:tcW w:type="auto" w:w="0"/>
                  <w:shd w:val="clear" w:color="auto" w:fill="F0F0F0"/>
                  <w:tcMar>
                    <w:right w:type="dxa" w:w="960"/>
                  </w:tcMar>
                </w:tcPr>
                <w:p>
                  <w:pPr>
                    <w:pStyle w:val="Para 28"/>
                    <w:keepLines w:val="on"/>
                  </w:pPr>
                  <w:r>
                    <w:t>14,23%</w:t>
                  </w:r>
                </w:p>
              </w:tc>
              <w:tc>
                <w:tcPr>
                  <w:tcW w:type="auto" w:w="0"/>
                  <w:shd w:val="clear" w:color="auto" w:fill="F0F0F0"/>
                  <w:tcMar>
                    <w:right w:type="dxa" w:w="640"/>
                  </w:tcMar>
                </w:tcPr>
                <w:p>
                  <w:pPr>
                    <w:pStyle w:val="Para 26"/>
                    <w:keepLines w:val="on"/>
                  </w:pPr>
                  <w:r>
                    <w:t>3,26%</w:t>
                  </w:r>
                </w:p>
              </w:tc>
              <w:tc>
                <w:tcPr>
                  <w:tcW w:type="auto" w:w="0"/>
                  <w:shd w:val="clear" w:color="auto" w:fill="F0F0F0"/>
                  <w:tcMar>
                    <w:right w:type="dxa" w:w="640"/>
                  </w:tcMar>
                </w:tcPr>
                <w:p>
                  <w:pPr>
                    <w:pStyle w:val="Para 28"/>
                    <w:keepLines w:val="on"/>
                  </w:pPr>
                  <w:r>
                    <w:t>9,82%</w:t>
                  </w:r>
                </w:p>
              </w:tc>
              <w:tc>
                <w:tcPr>
                  <w:tcW w:type="auto" w:w="0"/>
                  <w:shd w:val="clear" w:color="auto" w:fill="F0F0F0"/>
                  <w:tcMar>
                    <w:right w:type="dxa" w:w="640"/>
                  </w:tcMar>
                </w:tcPr>
                <w:p>
                  <w:pPr>
                    <w:pStyle w:val="Para 26"/>
                    <w:keepLines w:val="on"/>
                  </w:pPr>
                  <w:r>
                    <w:t>9,83%</w:t>
                  </w:r>
                </w:p>
              </w:tc>
              <w:tc>
                <w:tcPr>
                  <w:tcW w:type="auto" w:w="0"/>
                  <w:shd w:val="clear" w:color="auto" w:fill="F0F0F0"/>
                  <w:tcMar>
                    <w:right w:type="dxa" w:w="1280"/>
                  </w:tcMar>
                </w:tcPr>
                <w:p>
                  <w:pPr>
                    <w:pStyle w:val="Para 26"/>
                    <w:keepLines w:val="on"/>
                  </w:pPr>
                  <w:r>
                    <w:t>54,90%</w:t>
                  </w:r>
                </w:p>
              </w:tc>
              <w:tc>
                <w:tcPr>
                  <w:tcW w:type="auto" w:w="0"/>
                  <w:shd w:val="clear" w:color="auto" w:fill="F0F0F0"/>
                  <w:tcMar>
                    <w:right w:type="dxa" w:w="320"/>
                  </w:tcMar>
                </w:tcPr>
                <w:p>
                  <w:pPr>
                    <w:pStyle w:val="Para 28"/>
                    <w:keepLines w:val="on"/>
                  </w:pPr>
                  <w:r>
                    <w:t>3,82%</w:t>
                  </w:r>
                </w:p>
              </w:tc>
            </w:tr>
            <w:tr>
              <w:tc>
                <w:tcPr>
                  <w:tcW w:type="auto" w:w="0"/>
                  <w:shd w:val="clear" w:color="auto" w:fill="F0F0F0"/>
                </w:tcPr>
                <w:p>
                  <w:pPr>
                    <w:pStyle w:val="Para 02"/>
                    <w:keepLines w:val="on"/>
                  </w:pPr>
                  <w:r>
                    <w:t>BOK Financial Corporation</w:t>
                  </w:r>
                </w:p>
              </w:tc>
              <w:tc>
                <w:tcPr>
                  <w:tcW w:type="auto" w:w="0"/>
                  <w:shd w:val="clear" w:color="auto" w:fill="F0F0F0"/>
                </w:tcPr>
                <w:p>
                  <w:pPr>
                    <w:pStyle w:val="Para 02"/>
                    <w:keepLines w:val="on"/>
                  </w:pPr>
                  <w:r>
                    <w:t>NasdaqGS:BOKF</w:t>
                  </w:r>
                </w:p>
              </w:tc>
              <w:tc>
                <w:tcPr>
                  <w:tcW w:type="auto" w:w="0"/>
                  <w:shd w:val="clear" w:color="auto" w:fill="F0F0F0"/>
                  <w:tcMar>
                    <w:right w:type="dxa" w:w="320"/>
                  </w:tcMar>
                </w:tcPr>
                <w:p>
                  <w:pPr>
                    <w:pStyle w:val="Para 26"/>
                    <w:keepLines w:val="on"/>
                  </w:pPr>
                  <w:r>
                    <w:t>1,20</w:t>
                  </w:r>
                </w:p>
              </w:tc>
              <w:tc>
                <w:tcPr>
                  <w:tcW w:type="auto" w:w="0"/>
                  <w:shd w:val="clear" w:color="auto" w:fill="F0F0F0"/>
                  <w:tcMar>
                    <w:right w:type="dxa" w:w="960"/>
                  </w:tcMar>
                </w:tcPr>
                <w:p>
                  <w:pPr>
                    <w:pStyle w:val="Para 26"/>
                    <w:keepLines w:val="on"/>
                  </w:pPr>
                  <w:r>
                    <w:t>9,70%</w:t>
                  </w:r>
                </w:p>
              </w:tc>
              <w:tc>
                <w:tcPr>
                  <w:tcW w:type="auto" w:w="0"/>
                  <w:shd w:val="clear" w:color="auto" w:fill="F0F0F0"/>
                  <w:tcMar>
                    <w:right w:type="dxa" w:w="960"/>
                  </w:tcMar>
                </w:tcPr>
                <w:p>
                  <w:pPr>
                    <w:pStyle w:val="Para 26"/>
                    <w:keepLines w:val="on"/>
                  </w:pPr>
                  <w:r>
                    <w:t>10,76%</w:t>
                  </w:r>
                </w:p>
              </w:tc>
              <w:tc>
                <w:tcPr>
                  <w:tcW w:type="auto" w:w="0"/>
                  <w:shd w:val="clear" w:color="auto" w:fill="F0F0F0"/>
                  <w:tcMar>
                    <w:right w:type="dxa" w:w="640"/>
                  </w:tcMar>
                </w:tcPr>
                <w:p>
                  <w:pPr>
                    <w:pStyle w:val="Para 28"/>
                    <w:keepLines w:val="on"/>
                  </w:pPr>
                  <w:r>
                    <w:t>4,04%</w:t>
                  </w:r>
                </w:p>
              </w:tc>
              <w:tc>
                <w:tcPr>
                  <w:tcW w:type="auto" w:w="0"/>
                  <w:shd w:val="clear" w:color="auto" w:fill="F0F0F0"/>
                  <w:tcMar>
                    <w:right w:type="dxa" w:w="640"/>
                  </w:tcMar>
                </w:tcPr>
                <w:p>
                  <w:pPr>
                    <w:pStyle w:val="Para 26"/>
                    <w:keepLines w:val="on"/>
                  </w:pPr>
                  <w:r>
                    <w:t>10,66%</w:t>
                  </w:r>
                </w:p>
              </w:tc>
              <w:tc>
                <w:tcPr>
                  <w:tcW w:type="auto" w:w="0"/>
                  <w:shd w:val="clear" w:color="auto" w:fill="F0F0F0"/>
                  <w:tcMar>
                    <w:right w:type="dxa" w:w="640"/>
                  </w:tcMar>
                </w:tcPr>
                <w:p>
                  <w:pPr>
                    <w:pStyle w:val="Para 28"/>
                    <w:keepLines w:val="on"/>
                  </w:pPr>
                  <w:r>
                    <w:t>11,71%</w:t>
                  </w:r>
                </w:p>
              </w:tc>
              <w:tc>
                <w:tcPr>
                  <w:tcW w:type="auto" w:w="0"/>
                  <w:shd w:val="clear" w:color="auto" w:fill="F0F0F0"/>
                  <w:tcMar>
                    <w:right w:type="dxa" w:w="1280"/>
                  </w:tcMar>
                </w:tcPr>
                <w:p>
                  <w:pPr>
                    <w:pStyle w:val="Para 28"/>
                    <w:keepLines w:val="on"/>
                  </w:pPr>
                  <w:r>
                    <w:t>0,00%</w:t>
                  </w:r>
                </w:p>
              </w:tc>
              <w:tc>
                <w:tcPr>
                  <w:tcW w:type="auto" w:w="0"/>
                  <w:shd w:val="clear" w:color="auto" w:fill="F0F0F0"/>
                  <w:tcMar>
                    <w:right w:type="dxa" w:w="320"/>
                  </w:tcMar>
                </w:tcPr>
                <w:p>
                  <w:pPr>
                    <w:pStyle w:val="Para 26"/>
                    <w:keepLines w:val="on"/>
                  </w:pPr>
                  <w:r>
                    <w:t>2,07%</w:t>
                  </w:r>
                </w:p>
              </w:tc>
            </w:tr>
            <w:tr>
              <w:tc>
                <w:tcPr>
                  <w:tcW w:type="auto" w:w="0"/>
                  <w:shd w:val="clear" w:color="auto" w:fill="F0F0F0"/>
                </w:tcPr>
                <w:p>
                  <w:pPr>
                    <w:pStyle w:val="Para 02"/>
                    <w:keepLines w:val="on"/>
                  </w:pPr>
                  <w:r>
                    <w:t>East West Bancorp, Inc.</w:t>
                  </w:r>
                </w:p>
              </w:tc>
              <w:tc>
                <w:tcPr>
                  <w:tcW w:type="auto" w:w="0"/>
                  <w:shd w:val="clear" w:color="auto" w:fill="F0F0F0"/>
                </w:tcPr>
                <w:p>
                  <w:pPr>
                    <w:pStyle w:val="Para 02"/>
                    <w:keepLines w:val="on"/>
                  </w:pPr>
                  <w:r>
                    <w:t>NasdaqGS:EWBC</w:t>
                  </w:r>
                </w:p>
              </w:tc>
              <w:tc>
                <w:tcPr>
                  <w:tcW w:type="auto" w:w="0"/>
                  <w:shd w:val="clear" w:color="auto" w:fill="F0F0F0"/>
                  <w:tcMar>
                    <w:right w:type="dxa" w:w="320"/>
                  </w:tcMar>
                </w:tcPr>
                <w:p>
                  <w:pPr>
                    <w:pStyle w:val="Para 26"/>
                    <w:keepLines w:val="on"/>
                  </w:pPr>
                  <w:r>
                    <w:t>1,22</w:t>
                  </w:r>
                </w:p>
              </w:tc>
              <w:tc>
                <w:tcPr>
                  <w:tcW w:type="auto" w:w="0"/>
                  <w:shd w:val="clear" w:color="auto" w:fill="F0F0F0"/>
                  <w:tcMar>
                    <w:right w:type="dxa" w:w="960"/>
                  </w:tcMar>
                </w:tcPr>
                <w:p>
                  <w:pPr>
                    <w:pStyle w:val="Para 28"/>
                    <w:keepLines w:val="on"/>
                  </w:pPr>
                  <w:r>
                    <w:t>19,33%</w:t>
                  </w:r>
                </w:p>
              </w:tc>
              <w:tc>
                <w:tcPr>
                  <w:tcW w:type="auto" w:w="0"/>
                  <w:shd w:val="clear" w:color="auto" w:fill="F0F0F0"/>
                  <w:tcMar>
                    <w:right w:type="dxa" w:w="960"/>
                  </w:tcMar>
                </w:tcPr>
                <w:p>
                  <w:pPr>
                    <w:pStyle w:val="Para 28"/>
                    <w:keepLines w:val="on"/>
                  </w:pPr>
                  <w:r>
                    <w:t>16,18%</w:t>
                  </w:r>
                </w:p>
              </w:tc>
              <w:tc>
                <w:tcPr>
                  <w:tcW w:type="auto" w:w="0"/>
                  <w:shd w:val="clear" w:color="auto" w:fill="F0F0F0"/>
                  <w:tcMar>
                    <w:right w:type="dxa" w:w="640"/>
                  </w:tcMar>
                </w:tcPr>
                <w:p>
                  <w:pPr>
                    <w:pStyle w:val="Para 26"/>
                    <w:keepLines w:val="on"/>
                  </w:pPr>
                  <w:r>
                    <w:t>3,85%</w:t>
                  </w:r>
                </w:p>
              </w:tc>
              <w:tc>
                <w:tcPr>
                  <w:tcW w:type="auto" w:w="0"/>
                  <w:shd w:val="clear" w:color="auto" w:fill="F0F0F0"/>
                  <w:tcMar>
                    <w:right w:type="dxa" w:w="640"/>
                  </w:tcMar>
                </w:tcPr>
                <w:p>
                  <w:pPr>
                    <w:pStyle w:val="Para 26"/>
                    <w:keepLines w:val="on"/>
                  </w:pPr>
                  <w:r>
                    <w:t>15,57%</w:t>
                  </w:r>
                </w:p>
              </w:tc>
              <w:tc>
                <w:tcPr>
                  <w:tcW w:type="auto" w:w="0"/>
                  <w:shd w:val="clear" w:color="auto" w:fill="F0F0F0"/>
                  <w:tcMar>
                    <w:right w:type="dxa" w:w="640"/>
                  </w:tcMar>
                </w:tcPr>
                <w:p>
                  <w:pPr>
                    <w:pStyle w:val="Para 28"/>
                    <w:keepLines w:val="on"/>
                  </w:pPr>
                  <w:r>
                    <w:t>12,68%</w:t>
                  </w:r>
                </w:p>
              </w:tc>
              <w:tc>
                <w:tcPr>
                  <w:tcW w:type="auto" w:w="0"/>
                  <w:shd w:val="clear" w:color="auto" w:fill="F0F0F0"/>
                  <w:tcMar>
                    <w:right w:type="dxa" w:w="1280"/>
                  </w:tcMar>
                </w:tcPr>
                <w:p>
                  <w:pPr>
                    <w:pStyle w:val="Para 28"/>
                    <w:keepLines w:val="on"/>
                  </w:pPr>
                  <w:r>
                    <w:t>33,22%</w:t>
                  </w:r>
                </w:p>
              </w:tc>
              <w:tc>
                <w:tcPr>
                  <w:tcW w:type="auto" w:w="0"/>
                  <w:shd w:val="clear" w:color="auto" w:fill="F0F0F0"/>
                  <w:tcMar>
                    <w:right w:type="dxa" w:w="320"/>
                  </w:tcMar>
                </w:tcPr>
                <w:p>
                  <w:pPr>
                    <w:pStyle w:val="Para 26"/>
                    <w:keepLines w:val="on"/>
                  </w:pPr>
                  <w:r>
                    <w:t>1,70%</w:t>
                  </w:r>
                </w:p>
              </w:tc>
            </w:tr>
            <w:tr>
              <w:tc>
                <w:tcPr>
                  <w:tcW w:type="auto" w:w="0"/>
                  <w:shd w:val="clear" w:color="auto" w:fill="F0F0F0"/>
                </w:tcPr>
                <w:p>
                  <w:pPr>
                    <w:pStyle w:val="Para 02"/>
                    <w:keepLines w:val="on"/>
                  </w:pPr>
                  <w:r>
                    <w:t>The PNC Financial Services Group, Inc.</w:t>
                  </w:r>
                </w:p>
              </w:tc>
              <w:tc>
                <w:tcPr>
                  <w:tcW w:type="auto" w:w="0"/>
                  <w:shd w:val="clear" w:color="auto" w:fill="F0F0F0"/>
                </w:tcPr>
                <w:p>
                  <w:pPr>
                    <w:pStyle w:val="Para 02"/>
                    <w:keepLines w:val="on"/>
                  </w:pPr>
                  <w:r>
                    <w:t>NYSE:PNC</w:t>
                  </w:r>
                </w:p>
              </w:tc>
              <w:tc>
                <w:tcPr>
                  <w:tcW w:type="auto" w:w="0"/>
                  <w:shd w:val="clear" w:color="auto" w:fill="F0F0F0"/>
                  <w:tcMar>
                    <w:right w:type="dxa" w:w="320"/>
                  </w:tcMar>
                </w:tcPr>
                <w:p>
                  <w:pPr>
                    <w:pStyle w:val="Para 26"/>
                    <w:keepLines w:val="on"/>
                  </w:pPr>
                  <w:r>
                    <w:t>1,30</w:t>
                  </w:r>
                </w:p>
              </w:tc>
              <w:tc>
                <w:tcPr>
                  <w:tcW w:type="auto" w:w="0"/>
                  <w:shd w:val="clear" w:color="auto" w:fill="F0F0F0"/>
                  <w:tcMar>
                    <w:right w:type="dxa" w:w="960"/>
                  </w:tcMar>
                </w:tcPr>
                <w:p>
                  <w:pPr>
                    <w:pStyle w:val="Para 26"/>
                    <w:keepLines w:val="on"/>
                  </w:pPr>
                  <w:r>
                    <w:t>11,92%</w:t>
                  </w:r>
                </w:p>
              </w:tc>
              <w:tc>
                <w:tcPr>
                  <w:tcW w:type="auto" w:w="0"/>
                  <w:shd w:val="clear" w:color="auto" w:fill="F0F0F0"/>
                  <w:tcMar>
                    <w:right w:type="dxa" w:w="960"/>
                  </w:tcMar>
                </w:tcPr>
                <w:p>
                  <w:pPr>
                    <w:pStyle w:val="Para 28"/>
                    <w:keepLines w:val="on"/>
                  </w:pPr>
                  <w:r>
                    <w:t>12,79%</w:t>
                  </w:r>
                </w:p>
              </w:tc>
              <w:tc>
                <w:tcPr>
                  <w:tcW w:type="auto" w:w="0"/>
                  <w:shd w:val="clear" w:color="auto" w:fill="F0F0F0"/>
                  <w:tcMar>
                    <w:right w:type="dxa" w:w="640"/>
                  </w:tcMar>
                </w:tcPr>
                <w:p>
                  <w:pPr>
                    <w:pStyle w:val="Para 26"/>
                    <w:keepLines w:val="on"/>
                  </w:pPr>
                  <w:r>
                    <w:t>3,38%</w:t>
                  </w:r>
                </w:p>
              </w:tc>
              <w:tc>
                <w:tcPr>
                  <w:tcW w:type="auto" w:w="0"/>
                  <w:shd w:val="clear" w:color="auto" w:fill="F0F0F0"/>
                  <w:tcMar>
                    <w:right w:type="dxa" w:w="640"/>
                  </w:tcMar>
                </w:tcPr>
                <w:p>
                  <w:pPr>
                    <w:pStyle w:val="Para 26"/>
                    <w:keepLines w:val="on"/>
                  </w:pPr>
                  <w:r>
                    <w:t>11,20%</w:t>
                  </w:r>
                </w:p>
              </w:tc>
              <w:tc>
                <w:tcPr>
                  <w:tcW w:type="auto" w:w="0"/>
                  <w:shd w:val="clear" w:color="auto" w:fill="F0F0F0"/>
                  <w:tcMar>
                    <w:right w:type="dxa" w:w="640"/>
                  </w:tcMar>
                </w:tcPr>
                <w:p>
                  <w:pPr>
                    <w:pStyle w:val="Para 26"/>
                    <w:keepLines w:val="on"/>
                  </w:pPr>
                  <w:r>
                    <w:t>10,43%</w:t>
                  </w:r>
                </w:p>
              </w:tc>
              <w:tc>
                <w:tcPr>
                  <w:tcW w:type="auto" w:w="0"/>
                  <w:shd w:val="clear" w:color="auto" w:fill="F0F0F0"/>
                  <w:tcMar>
                    <w:right w:type="dxa" w:w="1280"/>
                  </w:tcMar>
                </w:tcPr>
                <w:p>
                  <w:pPr>
                    <w:pStyle w:val="Para 26"/>
                    <w:keepLines w:val="on"/>
                  </w:pPr>
                  <w:r>
                    <w:t>68,31%</w:t>
                  </w:r>
                </w:p>
              </w:tc>
              <w:tc>
                <w:tcPr>
                  <w:tcW w:type="auto" w:w="0"/>
                  <w:shd w:val="clear" w:color="auto" w:fill="F0F0F0"/>
                  <w:tcMar>
                    <w:right w:type="dxa" w:w="320"/>
                  </w:tcMar>
                </w:tcPr>
                <w:p>
                  <w:pPr>
                    <w:pStyle w:val="Para 28"/>
                    <w:keepLines w:val="on"/>
                  </w:pPr>
                  <w:r>
                    <w:t>3,11%</w:t>
                  </w:r>
                </w:p>
              </w:tc>
            </w:tr>
            <w:tr>
              <w:tc>
                <w:tcPr>
                  <w:tcW w:type="auto" w:w="0"/>
                  <w:shd w:val="clear" w:color="auto" w:fill="F0F0F0"/>
                </w:tcPr>
                <w:p>
                  <w:pPr>
                    <w:pStyle w:val="Para 02"/>
                    <w:keepLines w:val="on"/>
                  </w:pPr>
                  <w:r>
                    <w:t>First Horizon Corporation</w:t>
                  </w:r>
                </w:p>
              </w:tc>
              <w:tc>
                <w:tcPr>
                  <w:tcW w:type="auto" w:w="0"/>
                  <w:shd w:val="clear" w:color="auto" w:fill="F0F0F0"/>
                </w:tcPr>
                <w:p>
                  <w:pPr>
                    <w:pStyle w:val="Para 02"/>
                    <w:keepLines w:val="on"/>
                  </w:pPr>
                  <w:r>
                    <w:t>NYSE:FHN</w:t>
                  </w:r>
                </w:p>
              </w:tc>
              <w:tc>
                <w:tcPr>
                  <w:tcW w:type="auto" w:w="0"/>
                  <w:shd w:val="clear" w:color="auto" w:fill="F0F0F0"/>
                  <w:tcMar>
                    <w:right w:type="dxa" w:w="320"/>
                  </w:tcMar>
                </w:tcPr>
                <w:p>
                  <w:pPr>
                    <w:pStyle w:val="Para 26"/>
                    <w:keepLines w:val="on"/>
                  </w:pPr>
                  <w:r>
                    <w:t>1,30</w:t>
                  </w:r>
                </w:p>
              </w:tc>
              <w:tc>
                <w:tcPr>
                  <w:tcW w:type="auto" w:w="0"/>
                  <w:shd w:val="clear" w:color="auto" w:fill="F0F0F0"/>
                  <w:tcMar>
                    <w:right w:type="dxa" w:w="960"/>
                  </w:tcMar>
                </w:tcPr>
                <w:p>
                  <w:pPr>
                    <w:pStyle w:val="Para 26"/>
                    <w:keepLines w:val="on"/>
                  </w:pPr>
                  <w:r>
                    <w:t>11,72%</w:t>
                  </w:r>
                </w:p>
              </w:tc>
              <w:tc>
                <w:tcPr>
                  <w:tcW w:type="auto" w:w="0"/>
                  <w:shd w:val="clear" w:color="auto" w:fill="F0F0F0"/>
                  <w:tcMar>
                    <w:right w:type="dxa" w:w="960"/>
                  </w:tcMar>
                </w:tcPr>
                <w:p>
                  <w:pPr>
                    <w:pStyle w:val="Para 28"/>
                    <w:keepLines w:val="on"/>
                  </w:pPr>
                  <w:r>
                    <w:t>13,09%</w:t>
                  </w:r>
                </w:p>
              </w:tc>
              <w:tc>
                <w:tcPr>
                  <w:tcW w:type="auto" w:w="0"/>
                  <w:shd w:val="clear" w:color="auto" w:fill="F0F0F0"/>
                  <w:tcMar>
                    <w:right w:type="dxa" w:w="640"/>
                  </w:tcMar>
                </w:tcPr>
                <w:p>
                  <w:pPr>
                    <w:pStyle w:val="Para 26"/>
                    <w:keepLines w:val="on"/>
                  </w:pPr>
                  <w:r>
                    <w:t>3,77%</w:t>
                  </w:r>
                </w:p>
              </w:tc>
              <w:tc>
                <w:tcPr>
                  <w:tcW w:type="auto" w:w="0"/>
                  <w:shd w:val="clear" w:color="auto" w:fill="F0F0F0"/>
                  <w:tcMar>
                    <w:right w:type="dxa" w:w="640"/>
                  </w:tcMar>
                </w:tcPr>
                <w:p>
                  <w:pPr>
                    <w:pStyle w:val="Para 26"/>
                    <w:keepLines w:val="on"/>
                  </w:pPr>
                  <w:r>
                    <w:t>15,36%</w:t>
                  </w:r>
                </w:p>
              </w:tc>
              <w:tc>
                <w:tcPr>
                  <w:tcW w:type="auto" w:w="0"/>
                  <w:shd w:val="clear" w:color="auto" w:fill="F0F0F0"/>
                  <w:tcMar>
                    <w:right w:type="dxa" w:w="640"/>
                  </w:tcMar>
                </w:tcPr>
                <w:p>
                  <w:pPr>
                    <w:pStyle w:val="Para 28"/>
                    <w:keepLines w:val="on"/>
                  </w:pPr>
                  <w:r>
                    <w:t>11,92%</w:t>
                  </w:r>
                </w:p>
              </w:tc>
              <w:tc>
                <w:tcPr>
                  <w:tcW w:type="auto" w:w="0"/>
                  <w:shd w:val="clear" w:color="auto" w:fill="F0F0F0"/>
                  <w:tcMar>
                    <w:right w:type="dxa" w:w="1280"/>
                  </w:tcMar>
                </w:tcPr>
                <w:p>
                  <w:pPr>
                    <w:pStyle w:val="Para 28"/>
                    <w:keepLines w:val="on"/>
                  </w:pPr>
                  <w:r>
                    <w:t>13,43%</w:t>
                  </w:r>
                </w:p>
              </w:tc>
              <w:tc>
                <w:tcPr>
                  <w:tcW w:type="auto" w:w="0"/>
                  <w:shd w:val="clear" w:color="auto" w:fill="F0F0F0"/>
                  <w:tcMar>
                    <w:right w:type="dxa" w:w="320"/>
                  </w:tcMar>
                </w:tcPr>
                <w:p>
                  <w:pPr>
                    <w:pStyle w:val="Para 26"/>
                    <w:keepLines w:val="on"/>
                  </w:pPr>
                  <w:r>
                    <w:t>1,69%</w:t>
                  </w:r>
                </w:p>
              </w:tc>
            </w:tr>
            <w:tr>
              <w:tc>
                <w:tcPr>
                  <w:tcW w:type="auto" w:w="0"/>
                  <w:shd w:val="clear" w:color="auto" w:fill="F0F0F0"/>
                </w:tcPr>
                <w:p>
                  <w:pPr>
                    <w:pStyle w:val="Para 02"/>
                    <w:keepLines w:val="on"/>
                  </w:pPr>
                  <w:r>
                    <w:t>JPMorgan Chase &amp; Co.</w:t>
                  </w:r>
                </w:p>
              </w:tc>
              <w:tc>
                <w:tcPr>
                  <w:tcW w:type="auto" w:w="0"/>
                  <w:shd w:val="clear" w:color="auto" w:fill="F0F0F0"/>
                </w:tcPr>
                <w:p>
                  <w:pPr>
                    <w:pStyle w:val="Para 02"/>
                    <w:keepLines w:val="on"/>
                  </w:pPr>
                  <w:r>
                    <w:t>NYSE:JPM</w:t>
                  </w:r>
                </w:p>
              </w:tc>
              <w:tc>
                <w:tcPr>
                  <w:tcW w:type="auto" w:w="0"/>
                  <w:shd w:val="clear" w:color="auto" w:fill="F0F0F0"/>
                  <w:tcMar>
                    <w:right w:type="dxa" w:w="320"/>
                  </w:tcMar>
                </w:tcPr>
                <w:p>
                  <w:pPr>
                    <w:pStyle w:val="Para 26"/>
                    <w:keepLines w:val="on"/>
                  </w:pPr>
                  <w:r>
                    <w:t>1,53</w:t>
                  </w:r>
                </w:p>
              </w:tc>
              <w:tc>
                <w:tcPr>
                  <w:tcW w:type="auto" w:w="0"/>
                  <w:shd w:val="clear" w:color="auto" w:fill="F0F0F0"/>
                  <w:tcMar>
                    <w:right w:type="dxa" w:w="960"/>
                  </w:tcMar>
                </w:tcPr>
                <w:p>
                  <w:pPr>
                    <w:pStyle w:val="Para 28"/>
                    <w:keepLines w:val="on"/>
                  </w:pPr>
                  <w:r>
                    <w:t>14,53%</w:t>
                  </w:r>
                </w:p>
              </w:tc>
              <w:tc>
                <w:tcPr>
                  <w:tcW w:type="auto" w:w="0"/>
                  <w:shd w:val="clear" w:color="auto" w:fill="F0F0F0"/>
                  <w:tcMar>
                    <w:right w:type="dxa" w:w="960"/>
                  </w:tcMar>
                </w:tcPr>
                <w:p>
                  <w:pPr>
                    <w:pStyle w:val="Para 28"/>
                    <w:keepLines w:val="on"/>
                  </w:pPr>
                  <w:r>
                    <w:t>15,30%</w:t>
                  </w:r>
                </w:p>
              </w:tc>
              <w:tc>
                <w:tcPr>
                  <w:tcW w:type="auto" w:w="0"/>
                  <w:shd w:val="clear" w:color="auto" w:fill="F0F0F0"/>
                  <w:tcMar>
                    <w:right w:type="dxa" w:w="640"/>
                  </w:tcMar>
                </w:tcPr>
                <w:p>
                  <w:pPr>
                    <w:pStyle w:val="Para 28"/>
                    <w:keepLines w:val="on"/>
                  </w:pPr>
                  <w:r>
                    <w:t>6,80%</w:t>
                  </w:r>
                </w:p>
              </w:tc>
              <w:tc>
                <w:tcPr>
                  <w:tcW w:type="auto" w:w="0"/>
                  <w:shd w:val="clear" w:color="auto" w:fill="F0F0F0"/>
                  <w:tcMar>
                    <w:right w:type="dxa" w:w="640"/>
                  </w:tcMar>
                </w:tcPr>
                <w:p>
                  <w:pPr>
                    <w:pStyle w:val="Para 28"/>
                    <w:keepLines w:val="on"/>
                  </w:pPr>
                  <w:r>
                    <w:t>9,69%</w:t>
                  </w:r>
                </w:p>
              </w:tc>
              <w:tc>
                <w:tcPr>
                  <w:tcW w:type="auto" w:w="0"/>
                  <w:shd w:val="clear" w:color="auto" w:fill="F0F0F0"/>
                  <w:tcMar>
                    <w:right w:type="dxa" w:w="640"/>
                  </w:tcMar>
                </w:tcPr>
                <w:p>
                  <w:pPr>
                    <w:pStyle w:val="Para 28"/>
                    <w:keepLines w:val="on"/>
                  </w:pPr>
                  <w:r>
                    <w:t>14,85%</w:t>
                  </w:r>
                </w:p>
              </w:tc>
              <w:tc>
                <w:tcPr>
                  <w:tcW w:type="auto" w:w="0"/>
                  <w:shd w:val="clear" w:color="auto" w:fill="F0F0F0"/>
                  <w:tcMar>
                    <w:right w:type="dxa" w:w="1280"/>
                  </w:tcMar>
                </w:tcPr>
                <w:p>
                  <w:pPr>
                    <w:pStyle w:val="Para 26"/>
                    <w:keepLines w:val="on"/>
                  </w:pPr>
                  <w:r>
                    <w:t>67,38%</w:t>
                  </w:r>
                </w:p>
              </w:tc>
              <w:tc>
                <w:tcPr>
                  <w:tcW w:type="auto" w:w="0"/>
                  <w:shd w:val="clear" w:color="auto" w:fill="F0F0F0"/>
                  <w:tcMar>
                    <w:right w:type="dxa" w:w="320"/>
                  </w:tcMar>
                </w:tcPr>
                <w:p>
                  <w:pPr>
                    <w:pStyle w:val="Para 26"/>
                    <w:keepLines w:val="on"/>
                  </w:pPr>
                  <w:r>
                    <w:t>2,93%</w:t>
                  </w:r>
                </w:p>
              </w:tc>
            </w:tr>
            <w:tr>
              <w:tc>
                <w:tcPr>
                  <w:tcW w:type="auto" w:w="0"/>
                  <w:shd w:val="clear" w:color="auto" w:fill="F0F0F0"/>
                </w:tcPr>
                <w:p>
                  <w:pPr>
                    <w:pStyle w:val="Para 02"/>
                    <w:keepLines w:val="on"/>
                  </w:pPr>
                  <w:r>
                    <w:t>First Citizens BancShares, Inc</w:t>
                  </w:r>
                </w:p>
              </w:tc>
              <w:tc>
                <w:tcPr>
                  <w:tcW w:type="auto" w:w="0"/>
                  <w:shd w:val="clear" w:color="auto" w:fill="F0F0F0"/>
                </w:tcPr>
                <w:p>
                  <w:pPr>
                    <w:pStyle w:val="Para 02"/>
                    <w:keepLines w:val="on"/>
                  </w:pPr>
                  <w:r>
                    <w:t>NasdaqGS:FCNC</w:t>
                  </w:r>
                </w:p>
              </w:tc>
              <w:tc>
                <w:tcPr>
                  <w:tcW w:type="auto" w:w="0"/>
                  <w:shd w:val="clear" w:color="auto" w:fill="F0F0F0"/>
                  <w:tcMar>
                    <w:right w:type="dxa" w:w="320"/>
                  </w:tcMar>
                </w:tcPr>
                <w:p>
                  <w:pPr>
                    <w:pStyle w:val="Para 26"/>
                    <w:keepLines w:val="on"/>
                  </w:pPr>
                  <w:r>
                    <w:t>1,65</w:t>
                  </w:r>
                </w:p>
              </w:tc>
              <w:tc>
                <w:tcPr>
                  <w:tcW w:type="auto" w:w="0"/>
                  <w:shd w:val="clear" w:color="auto" w:fill="F0F0F0"/>
                  <w:tcMar>
                    <w:right w:type="dxa" w:w="960"/>
                  </w:tcMar>
                </w:tcPr>
                <w:p>
                  <w:pPr>
                    <w:pStyle w:val="Para 28"/>
                    <w:keepLines w:val="on"/>
                  </w:pPr>
                  <w:r>
                    <w:t>24,97%</w:t>
                  </w:r>
                </w:p>
              </w:tc>
              <w:tc>
                <w:tcPr>
                  <w:tcW w:type="auto" w:w="0"/>
                  <w:shd w:val="clear" w:color="auto" w:fill="F0F0F0"/>
                  <w:tcMar>
                    <w:right w:type="dxa" w:w="960"/>
                  </w:tcMar>
                </w:tcPr>
                <w:p>
                  <w:pPr>
                    <w:pStyle w:val="Para 28"/>
                    <w:keepLines w:val="on"/>
                  </w:pPr>
                  <w:r>
                    <w:t>16,02%</w:t>
                  </w:r>
                </w:p>
              </w:tc>
              <w:tc>
                <w:tcPr>
                  <w:tcW w:type="auto" w:w="0"/>
                  <w:shd w:val="clear" w:color="auto" w:fill="F0F0F0"/>
                  <w:tcMar>
                    <w:right w:type="dxa" w:w="640"/>
                  </w:tcMar>
                </w:tcPr>
                <w:p>
                  <w:pPr>
                    <w:pStyle w:val="Para 26"/>
                    <w:keepLines w:val="on"/>
                  </w:pPr>
                  <w:r>
                    <w:t>3,84%</w:t>
                  </w:r>
                </w:p>
              </w:tc>
              <w:tc>
                <w:tcPr>
                  <w:tcW w:type="auto" w:w="0"/>
                  <w:shd w:val="clear" w:color="auto" w:fill="F0F0F0"/>
                  <w:tcMar>
                    <w:right w:type="dxa" w:w="640"/>
                  </w:tcMar>
                </w:tcPr>
                <w:p>
                  <w:pPr>
                    <w:pStyle w:val="Para 26"/>
                    <w:keepLines w:val="on"/>
                  </w:pPr>
                  <w:r>
                    <w:t>24,77%</w:t>
                  </w:r>
                </w:p>
              </w:tc>
              <w:tc>
                <w:tcPr>
                  <w:tcW w:type="auto" w:w="0"/>
                  <w:shd w:val="clear" w:color="auto" w:fill="F0F0F0"/>
                  <w:tcMar>
                    <w:right w:type="dxa" w:w="640"/>
                  </w:tcMar>
                </w:tcPr>
                <w:p>
                  <w:pPr>
                    <w:pStyle w:val="Para 26"/>
                    <w:keepLines w:val="on"/>
                  </w:pPr>
                  <w:r>
                    <w:t>11,06%</w:t>
                  </w:r>
                </w:p>
              </w:tc>
              <w:tc>
                <w:tcPr>
                  <w:tcW w:type="auto" w:w="0"/>
                  <w:shd w:val="clear" w:color="auto" w:fill="F0F0F0"/>
                  <w:tcMar>
                    <w:right w:type="dxa" w:w="1280"/>
                  </w:tcMar>
                </w:tcPr>
                <w:p>
                  <w:pPr>
                    <w:pStyle w:val="Para 26"/>
                    <w:keepLines w:val="on"/>
                  </w:pPr>
                  <w:r>
                    <w:t>53,33%</w:t>
                  </w:r>
                </w:p>
              </w:tc>
              <w:tc>
                <w:tcPr>
                  <w:tcW w:type="auto" w:w="0"/>
                  <w:shd w:val="clear" w:color="auto" w:fill="F0F0F0"/>
                  <w:tcMar>
                    <w:right w:type="dxa" w:w="320"/>
                  </w:tcMar>
                </w:tcPr>
                <w:p>
                  <w:pPr>
                    <w:pStyle w:val="Para 26"/>
                    <w:keepLines w:val="on"/>
                  </w:pPr>
                  <w:r>
                    <w:t>0,15%</w:t>
                  </w:r>
                </w:p>
              </w:tc>
            </w:tr>
            <w:tr>
              <w:tc>
                <w:tcPr>
                  <w:tcW w:type="auto" w:w="0"/>
                  <w:shd w:val="clear" w:color="auto" w:fill="F0F0F0"/>
                </w:tcPr>
                <w:p>
                  <w:pPr>
                    <w:pStyle w:val="Para 02"/>
                    <w:keepLines w:val="on"/>
                  </w:pPr>
                  <w:r>
                    <w:t>Cullen/Frost Bankers, Inc.</w:t>
                  </w:r>
                </w:p>
              </w:tc>
              <w:tc>
                <w:tcPr>
                  <w:tcW w:type="auto" w:w="0"/>
                  <w:shd w:val="clear" w:color="auto" w:fill="F0F0F0"/>
                </w:tcPr>
                <w:p>
                  <w:pPr>
                    <w:pStyle w:val="Para 02"/>
                    <w:keepLines w:val="on"/>
                  </w:pPr>
                  <w:r>
                    <w:t>NYSE:CFR</w:t>
                  </w:r>
                </w:p>
              </w:tc>
              <w:tc>
                <w:tcPr>
                  <w:tcW w:type="auto" w:w="0"/>
                  <w:shd w:val="clear" w:color="auto" w:fill="F0F0F0"/>
                  <w:tcMar>
                    <w:right w:type="dxa" w:w="320"/>
                  </w:tcMar>
                </w:tcPr>
                <w:p>
                  <w:pPr>
                    <w:pStyle w:val="Para 26"/>
                    <w:keepLines w:val="on"/>
                  </w:pPr>
                  <w:r>
                    <w:t>2,37</w:t>
                  </w:r>
                </w:p>
              </w:tc>
              <w:tc>
                <w:tcPr>
                  <w:tcW w:type="auto" w:w="0"/>
                  <w:shd w:val="clear" w:color="auto" w:fill="F0F0F0"/>
                  <w:tcMar>
                    <w:right w:type="dxa" w:w="960"/>
                  </w:tcMar>
                </w:tcPr>
                <w:p>
                  <w:pPr>
                    <w:pStyle w:val="Para 28"/>
                    <w:keepLines w:val="on"/>
                  </w:pPr>
                  <w:r>
                    <w:t>13,49%</w:t>
                  </w:r>
                </w:p>
              </w:tc>
              <w:tc>
                <w:tcPr>
                  <w:tcW w:type="auto" w:w="0"/>
                  <w:shd w:val="clear" w:color="auto" w:fill="F0F0F0"/>
                  <w:tcMar>
                    <w:right w:type="dxa" w:w="960"/>
                  </w:tcMar>
                </w:tcPr>
                <w:p>
                  <w:pPr>
                    <w:pStyle w:val="Para 26"/>
                    <w:keepLines w:val="on"/>
                  </w:pPr>
                  <w:r>
                    <w:t>12,12%</w:t>
                  </w:r>
                </w:p>
              </w:tc>
              <w:tc>
                <w:tcPr>
                  <w:tcW w:type="auto" w:w="0"/>
                  <w:shd w:val="clear" w:color="auto" w:fill="F0F0F0"/>
                  <w:tcMar>
                    <w:right w:type="dxa" w:w="640"/>
                  </w:tcMar>
                </w:tcPr>
                <w:p>
                  <w:pPr>
                    <w:pStyle w:val="Para 28"/>
                    <w:keepLines w:val="on"/>
                  </w:pPr>
                  <w:r>
                    <w:t>4,24%</w:t>
                  </w:r>
                </w:p>
              </w:tc>
              <w:tc>
                <w:tcPr>
                  <w:tcW w:type="auto" w:w="0"/>
                  <w:shd w:val="clear" w:color="auto" w:fill="F0F0F0"/>
                  <w:tcMar>
                    <w:right w:type="dxa" w:w="640"/>
                  </w:tcMar>
                </w:tcPr>
                <w:p>
                  <w:pPr>
                    <w:pStyle w:val="Para 26"/>
                    <w:keepLines w:val="on"/>
                  </w:pPr>
                  <w:r>
                    <w:t>10,73%</w:t>
                  </w:r>
                </w:p>
              </w:tc>
              <w:tc>
                <w:tcPr>
                  <w:tcW w:type="auto" w:w="0"/>
                  <w:shd w:val="clear" w:color="auto" w:fill="F0F0F0"/>
                  <w:tcMar>
                    <w:right w:type="dxa" w:w="640"/>
                  </w:tcMar>
                </w:tcPr>
                <w:p>
                  <w:pPr>
                    <w:pStyle w:val="Para 26"/>
                    <w:keepLines w:val="on"/>
                  </w:pPr>
                  <w:r>
                    <w:t>13,35%</w:t>
                  </w:r>
                </w:p>
              </w:tc>
              <w:tc>
                <w:tcPr>
                  <w:tcW w:type="auto" w:w="0"/>
                  <w:shd w:val="clear" w:color="auto" w:fill="F0F0F0"/>
                  <w:tcMar>
                    <w:right w:type="dxa" w:w="1280"/>
                  </w:tcMar>
                </w:tcPr>
                <w:p>
                  <w:pPr>
                    <w:pStyle w:val="Para 28"/>
                    <w:keepLines w:val="on"/>
                  </w:pPr>
                  <w:r>
                    <w:t>12,64%</w:t>
                  </w:r>
                </w:p>
              </w:tc>
              <w:tc>
                <w:tcPr>
                  <w:tcW w:type="auto" w:w="0"/>
                  <w:shd w:val="clear" w:color="auto" w:fill="F0F0F0"/>
                  <w:tcMar>
                    <w:right w:type="dxa" w:w="320"/>
                  </w:tcMar>
                </w:tcPr>
                <w:p>
                  <w:pPr>
                    <w:pStyle w:val="Para 26"/>
                    <w:keepLines w:val="on"/>
                  </w:pPr>
                  <w:r>
                    <w:t>2,10%</w:t>
                  </w:r>
                </w:p>
              </w:tc>
            </w:tr>
            <w:tr>
              <w:tc>
                <w:tcPr>
                  <w:tcW w:type="auto" w:w="0"/>
                  <w:shd w:val="clear" w:color="auto" w:fill="F0F0F0"/>
                </w:tcPr>
                <w:p>
                  <w:pPr>
                    <w:pStyle w:val="Para 02"/>
                    <w:keepLines w:val="on"/>
                  </w:pPr>
                  <w:r>
                    <w:t>Commerce Bancshares, Inc.</w:t>
                  </w:r>
                </w:p>
              </w:tc>
              <w:tc>
                <w:tcPr>
                  <w:tcW w:type="auto" w:w="0"/>
                  <w:shd w:val="clear" w:color="auto" w:fill="F0F0F0"/>
                </w:tcPr>
                <w:p>
                  <w:pPr>
                    <w:pStyle w:val="Para 02"/>
                    <w:keepLines w:val="on"/>
                  </w:pPr>
                  <w:r>
                    <w:t>NasdaqGS:CBSH</w:t>
                  </w:r>
                </w:p>
              </w:tc>
              <w:tc>
                <w:tcPr>
                  <w:tcW w:type="auto" w:w="0"/>
                  <w:shd w:val="clear" w:color="auto" w:fill="F0F0F0"/>
                  <w:tcMar>
                    <w:right w:type="dxa" w:w="320"/>
                  </w:tcMar>
                </w:tcPr>
                <w:p>
                  <w:pPr>
                    <w:pStyle w:val="Para 26"/>
                    <w:keepLines w:val="on"/>
                  </w:pPr>
                  <w:r>
                    <w:t>2,83</w:t>
                  </w:r>
                </w:p>
              </w:tc>
              <w:tc>
                <w:tcPr>
                  <w:tcW w:type="auto" w:w="0"/>
                  <w:shd w:val="clear" w:color="auto" w:fill="F0F0F0"/>
                  <w:tcMar>
                    <w:right w:type="dxa" w:w="960"/>
                  </w:tcMar>
                </w:tcPr>
                <w:p>
                  <w:pPr>
                    <w:pStyle w:val="Para 28"/>
                    <w:keepLines w:val="on"/>
                  </w:pPr>
                  <w:r>
                    <w:t>14,21%</w:t>
                  </w:r>
                </w:p>
              </w:tc>
              <w:tc>
                <w:tcPr>
                  <w:tcW w:type="auto" w:w="0"/>
                  <w:shd w:val="clear" w:color="auto" w:fill="F0F0F0"/>
                  <w:tcMar>
                    <w:right w:type="dxa" w:w="960"/>
                  </w:tcMar>
                </w:tcPr>
                <w:p>
                  <w:pPr>
                    <w:pStyle w:val="Para 28"/>
                    <w:keepLines w:val="on"/>
                  </w:pPr>
                  <w:r>
                    <w:t>14,67%</w:t>
                  </w:r>
                </w:p>
              </w:tc>
              <w:tc>
                <w:tcPr>
                  <w:tcW w:type="auto" w:w="0"/>
                  <w:shd w:val="clear" w:color="auto" w:fill="F0F0F0"/>
                  <w:tcMar>
                    <w:right w:type="dxa" w:w="640"/>
                  </w:tcMar>
                </w:tcPr>
                <w:p>
                  <w:pPr>
                    <w:pStyle w:val="Para 28"/>
                    <w:keepLines w:val="on"/>
                  </w:pPr>
                  <w:r>
                    <w:t>3,89%</w:t>
                  </w:r>
                </w:p>
              </w:tc>
              <w:tc>
                <w:tcPr>
                  <w:tcW w:type="auto" w:w="0"/>
                  <w:shd w:val="clear" w:color="auto" w:fill="F0F0F0"/>
                  <w:tcMar>
                    <w:right w:type="dxa" w:w="640"/>
                  </w:tcMar>
                </w:tcPr>
                <w:p>
                  <w:pPr>
                    <w:pStyle w:val="Para 28"/>
                    <w:keepLines w:val="on"/>
                  </w:pPr>
                  <w:r>
                    <w:t>5,80%</w:t>
                  </w:r>
                </w:p>
              </w:tc>
              <w:tc>
                <w:tcPr>
                  <w:tcW w:type="auto" w:w="0"/>
                  <w:shd w:val="clear" w:color="auto" w:fill="F0F0F0"/>
                  <w:tcMar>
                    <w:right w:type="dxa" w:w="640"/>
                  </w:tcMar>
                </w:tcPr>
                <w:p>
                  <w:pPr>
                    <w:pStyle w:val="Para 28"/>
                    <w:keepLines w:val="on"/>
                  </w:pPr>
                  <w:r>
                    <w:t>14,13%</w:t>
                  </w:r>
                </w:p>
              </w:tc>
              <w:tc>
                <w:tcPr>
                  <w:tcW w:type="auto" w:w="0"/>
                  <w:shd w:val="clear" w:color="auto" w:fill="F0F0F0"/>
                  <w:tcMar>
                    <w:right w:type="dxa" w:w="1280"/>
                  </w:tcMar>
                </w:tcPr>
                <w:p>
                  <w:pPr>
                    <w:pStyle w:val="Para 28"/>
                    <w:keepLines w:val="on"/>
                  </w:pPr>
                  <w:r>
                    <w:t>0,00%</w:t>
                  </w:r>
                </w:p>
              </w:tc>
              <w:tc>
                <w:tcPr>
                  <w:tcW w:type="auto" w:w="0"/>
                  <w:shd w:val="clear" w:color="auto" w:fill="F0F0F0"/>
                  <w:tcMar>
                    <w:right w:type="dxa" w:w="320"/>
                  </w:tcMar>
                </w:tcPr>
                <w:p>
                  <w:pPr>
                    <w:pStyle w:val="Para 26"/>
                    <w:keepLines w:val="on"/>
                  </w:pPr>
                  <w:r>
                    <w:t>1,42%</w:t>
                  </w:r>
                </w:p>
              </w:tc>
            </w:tr>
            <w:tr>
              <w:tc>
                <w:tcPr>
                  <w:tcW w:type="auto" w:w="0"/>
                  <w:shd w:val="clear" w:color="auto" w:fill="F0F0F0"/>
                </w:tcPr>
                <w:p>
                  <w:pPr>
                    <w:pStyle w:val="Para 02"/>
                    <w:keepLines w:val="on"/>
                  </w:pPr>
                  <w:r>
                    <w:t>Trung vị</w:t>
                  </w:r>
                </w:p>
              </w:tc>
              <w:tc>
                <w:tcPr>
                  <w:tcW w:type="auto" w:w="0"/>
                  <w:shd w:val="clear" w:color="auto" w:fill="F0F0F0"/>
                </w:tcPr>
                <w:p>
                  <w:pPr>
                    <w:pStyle w:val="5 Block"/>
                    <w:keepLines w:val="on"/>
                  </w:pPr>
                </w:p>
              </w:tc>
              <w:tc>
                <w:tcPr>
                  <w:tcW w:type="auto" w:w="0"/>
                  <w:shd w:val="clear" w:color="auto" w:fill="F0F0F0"/>
                  <w:tcMar>
                    <w:right w:type="dxa" w:w="320"/>
                  </w:tcMar>
                </w:tcPr>
                <w:p>
                  <w:pPr>
                    <w:pStyle w:val="Para 06"/>
                    <w:keepLines w:val="on"/>
                  </w:pPr>
                  <w:r>
                    <w:t>1,04</w:t>
                  </w:r>
                </w:p>
              </w:tc>
              <w:tc>
                <w:tcPr>
                  <w:tcW w:type="auto" w:w="0"/>
                  <w:shd w:val="clear" w:color="auto" w:fill="F0F0F0"/>
                  <w:tcMar>
                    <w:right w:type="dxa" w:w="960"/>
                  </w:tcMar>
                </w:tcPr>
                <w:p>
                  <w:pPr>
                    <w:pStyle w:val="Para 06"/>
                    <w:keepLines w:val="on"/>
                  </w:pPr>
                  <w:r>
                    <w:t>12,00%</w:t>
                  </w:r>
                </w:p>
              </w:tc>
              <w:tc>
                <w:tcPr>
                  <w:tcW w:type="auto" w:w="0"/>
                  <w:shd w:val="clear" w:color="auto" w:fill="F0F0F0"/>
                  <w:tcMar>
                    <w:right w:type="dxa" w:w="960"/>
                  </w:tcMar>
                </w:tcPr>
                <w:p>
                  <w:pPr>
                    <w:pStyle w:val="Para 06"/>
                    <w:keepLines w:val="on"/>
                  </w:pPr>
                  <w:r>
                    <w:t>12,12%</w:t>
                  </w:r>
                </w:p>
              </w:tc>
              <w:tc>
                <w:tcPr>
                  <w:tcW w:type="auto" w:w="0"/>
                  <w:shd w:val="clear" w:color="auto" w:fill="F0F0F0"/>
                  <w:tcMar>
                    <w:right w:type="dxa" w:w="640"/>
                  </w:tcMar>
                </w:tcPr>
                <w:p>
                  <w:pPr>
                    <w:pStyle w:val="Para 06"/>
                    <w:keepLines w:val="on"/>
                  </w:pPr>
                  <w:r>
                    <w:t>3,86%</w:t>
                  </w:r>
                </w:p>
              </w:tc>
              <w:tc>
                <w:tcPr>
                  <w:tcW w:type="auto" w:w="0"/>
                  <w:shd w:val="clear" w:color="auto" w:fill="F0F0F0"/>
                  <w:tcMar>
                    <w:right w:type="dxa" w:w="640"/>
                  </w:tcMar>
                </w:tcPr>
                <w:p>
                  <w:pPr>
                    <w:pStyle w:val="Para 06"/>
                    <w:keepLines w:val="on"/>
                  </w:pPr>
                  <w:r>
                    <w:t>10,66%</w:t>
                  </w:r>
                </w:p>
              </w:tc>
              <w:tc>
                <w:tcPr>
                  <w:tcW w:type="auto" w:w="0"/>
                  <w:shd w:val="clear" w:color="auto" w:fill="F0F0F0"/>
                  <w:tcMar>
                    <w:right w:type="dxa" w:w="640"/>
                  </w:tcMar>
                </w:tcPr>
                <w:p>
                  <w:pPr>
                    <w:pStyle w:val="Para 06"/>
                    <w:keepLines w:val="on"/>
                  </w:pPr>
                  <w:r>
                    <w:t>11,12%</w:t>
                  </w:r>
                </w:p>
              </w:tc>
              <w:tc>
                <w:tcPr>
                  <w:tcW w:type="auto" w:w="0"/>
                  <w:shd w:val="clear" w:color="auto" w:fill="F0F0F0"/>
                  <w:tcMar>
                    <w:right w:type="dxa" w:w="1280"/>
                  </w:tcMar>
                </w:tcPr>
                <w:p>
                  <w:pPr>
                    <w:pStyle w:val="Para 06"/>
                    <w:keepLines w:val="on"/>
                  </w:pPr>
                  <w:r>
                    <w:t>42,13%</w:t>
                  </w:r>
                </w:p>
              </w:tc>
              <w:tc>
                <w:tcPr>
                  <w:tcW w:type="auto" w:w="0"/>
                  <w:shd w:val="clear" w:color="auto" w:fill="F0F0F0"/>
                  <w:tcMar>
                    <w:right w:type="dxa" w:w="320"/>
                  </w:tcMar>
                </w:tcPr>
                <w:p>
                  <w:pPr>
                    <w:pStyle w:val="Para 06"/>
                    <w:keepLines w:val="on"/>
                  </w:pPr>
                  <w:r>
                    <w:t>3,02%</w:t>
                  </w:r>
                </w:p>
              </w:tc>
            </w:tr>
          </w:tbl>
          <w:p/>
        </w:tc>
      </w:tr>
    </w:tbl>
    <w:p>
      <w:pPr>
        <w:pStyle w:val="Para 04"/>
        <w:keepLines w:val="on"/>
      </w:pPr>
      <w:r>
        <w:t>Nói một cách đơn giản, bạn đang tìm kiếm sự áp đảo của những con số in đậm đối với các ngân hàng bị định giá thấp của mình, và mặc dù không có ngân hàng nào in đậm toàn bộ, vẫn có những ngân hàng nổi bật, theo cả hai hướng.</w:t>
      </w:r>
    </w:p>
    <w:p>
      <w:pPr>
        <w:numPr>
          <w:ilvl w:val="0"/>
          <w:numId w:val="206"/>
        </w:numPr>
        <w:pStyle w:val="Para 18"/>
        <w:keepLines w:val="on"/>
      </w:pPr>
      <w:r>
        <w:t>Citi là cái tên tiệm cận nhất với các tiêu chí kiểm tra, đạt điểm cao về rủi ro (với tỷ lệ vốn cấp 1 cao hơn mức trung vị, và tỷ lệ chứng khoán nắm giữ đến ngày đáo hạn thấp hơn trong số năm ngân hàng lớn nhất), về độ dính của tiền gửi (với mức tăng trưởng tiền gửi thấp), và giao dịch ở mức bằng một nửa giá trị sổ sách (tỷ lệ giá trên giá trị sổ sách thấp nhất). Điểm yếu nhất của nó là tỷ suất sinh lời trên vốn chủ sở hữu (ROE) ở mức 8,11% (năm 2022) và 9,50% (trung bình giai đoạn 2018–2022), thấp hơn mức trung vị của các ngân hàng Mỹ, và mặc dù điều đó sẽ gợi ý một tỷ lệ giá trên giá trị sổ sách thấp hơn mức trung vị, mức chiết khấu của Citi lại vượt quá kỳ vọng đó. Mảng ngân hàng của Citi, dù tăng trưởng chậm, vẫn sinh lời cao nhờ mức chênh lệch lãi suất cao hơn trong mẫu này.</w:t>
      </w:r>
    </w:p>
    <w:p>
      <w:pPr>
        <w:numPr>
          <w:ilvl w:val="0"/>
          <w:numId w:val="206"/>
        </w:numPr>
        <w:pStyle w:val="Para 18"/>
        <w:keepLines w:val="on"/>
      </w:pPr>
      <w:r>
        <w:t>Ở đầu kia của thang kỳ vọng, JP Morgan Chase đạt điểm cao về các chỉ số hoạt động, với ROE cao, tăng trưởng tiền gửi thấp, và tỷ lệ vốn cấp 1 cao, nhưng nó giao dịch ở mức tỷ lệ giá trên giá trị sổ sách cao hơn nhiều so với các ngân hàng khác và với tỷ suất cổ tức thấp hơn.</w:t>
      </w:r>
    </w:p>
    <w:p>
      <w:pPr>
        <w:pStyle w:val="Para 04"/>
        <w:keepLines w:val="on"/>
      </w:pPr>
      <w:r>
        <w:t>Với tư cách là một nhà đầu tư giá trị, chúng ta sẽ không thoải mái khi đưa ra quyết định đầu tư vào Citi chỉ dựa trên phân tích định giá này, và chính vì lý do đó mà chúng ta sẽ thực hiện định giá nội tại (intrinsic valuation) của ngân hàng trước khi đưa ra quyết định mua. Điều đó củng cố một quan điểm tổng quát hơn rằng ngay cả những nhà đầu tư thực sự tin vào định giá cũng có thể hưởng lợi từ việc hiểu và sử dụng định giá thị trường (pricing), cũng như các nhà giao dịch, những người chơi trò chơi định giá thị trường, có thể hưởng lợi từ việc hiểu các nguyên tắc cốt lõi của định giá nội tại.</w:t>
      </w:r>
    </w:p>
    <w:p>
      <w:pPr>
        <w:pStyle w:val="Para 11"/>
      </w:pPr>
      <w:r>
        <w:t/>
        <w:t xml:space="preserve"> </w:t>
      </w:r>
    </w:p>
    <w:p>
      <w:bookmarkStart w:id="4528" w:name="Deposit_Insurance_and_Bank_Value_1"/>
      <w:bookmarkStart w:id="4529" w:name="Deposit_Insurance_and_Bank_Value"/>
      <w:pPr>
        <w:keepNext/>
        <w:pStyle w:val="Para 27"/>
        <w:keepLines w:val="on"/>
      </w:pPr>
      <w:r>
        <w:t>Bảo hiểm tiền gửi và giá trị ngân hàng</w:t>
      </w:r>
      <w:bookmarkEnd w:id="4528"/>
      <w:bookmarkEnd w:id="4529"/>
    </w:p>
    <w:p>
      <w:pPr>
        <w:pStyle w:val="Para 16"/>
        <w:keepLines w:val="on"/>
      </w:pPr>
      <w:r>
        <w:t>Ở hầu hết các quốc gia, nhà nước cung cấp bảo hiểm cho người gửi tiền tại ngân hàng bằng cách bảo đảm tiền gửi đến một hạn mức nhất định. Vậy bảo hiểm tiền gửi như vậy sẽ có tác động gì đến giá trị? Nếu các ngân hàng được tính một mức giá hợp lý cho bảo hiểm, nó sẽ không có tác động đến giá trị. Tuy nhiên trên thực tế, bảo hiểm tiền gửi có thể bóp méo giá trị theo hai cách:</w:t>
      </w:r>
    </w:p>
    <w:p>
      <w:pPr>
        <w:numPr>
          <w:ilvl w:val="0"/>
          <w:numId w:val="207"/>
        </w:numPr>
        <w:pStyle w:val="Para 33"/>
        <w:keepLines w:val="on"/>
      </w:pPr>
      <w:r>
        <w:t>Ở nhiều quốc gia, bao gồm cả Hoa Kỳ, mức phí bảo hiểm tiền gửi không thay đổi giữa các ngân hàng. Do đó, các ngân hàng có danh mục cho vay an toàn bị tính cùng mức phí như các ngân hàng có danh mục cho vay rủi ro. Nếu mức phí được đặt dựa trên mức vỡ nợ trung bình, điều này sẽ dẫn đến việc nhóm ngân hàng trước bị tính phí quá cao và nhóm sau bị tính phí quá thấp. Nó cũng tạo ra một hệ thống khuyến khích để các ngân hàng chấp nhận ngày càng nhiều rủi ro. Thực tế, bạn có thể coi bảo hiểm tiền gửi như một quyền chọn bán (put option) được cung cấp cho ngân hàng—ngân hàng có thể "bán" các khoản nợ tiền gửi của mình cho cơ quan bảo hiểm nếu giá trị danh mục cho vay của nó giảm xuống dưới giá trị các khoản nợ. Nếu giá của quyền chọn bán không thay đổi theo mức biến động trong giá trị danh mục cho vay, các ngân hàng có danh mục rủi ro hơn sẽ trở nên có giá trị hơn (giá trị của quyền chọn bán sẽ vượt quá mức giá đã trả), và các ngân hàng có danh mục an toàn hơn sẽ trở nên ít giá trị hơn.</w:t>
      </w:r>
    </w:p>
    <w:p>
      <w:pPr>
        <w:numPr>
          <w:ilvl w:val="0"/>
          <w:numId w:val="207"/>
        </w:numPr>
        <w:pStyle w:val="Para 33"/>
        <w:keepLines w:val="on"/>
      </w:pPr>
      <w:r>
        <w:t>Ngay cả khi mức phí bảo hiểm tiền gửi thay đổi giữa các ngân hàng, giá của bảo hiểm có thể không phản ánh đầy đủ rủi ro của tài sản ngân hàng vì hai lý do. Thứ nhất là rủi ro có thể thay đổi theo từng thời kỳ và việc định giá có thể không theo kịp. Thứ hai là bảo hiểm có thể được trợ cấp bởi người nộp thuế, trong trường hợp đó tất cả các ngân hàng sẽ trở nên có giá trị hơn nhờ bảo hiểm.</w:t>
      </w:r>
    </w:p>
    <w:p>
      <w:bookmarkStart w:id="4530" w:name="Nonbank_Financial_Service_Firms"/>
      <w:bookmarkStart w:id="4531" w:name="Nonbank_Financial_Service_Firms_1"/>
      <w:pPr>
        <w:keepNext/>
        <w:pStyle w:val="Heading 2"/>
        <w:keepLines w:val="on"/>
      </w:pPr>
      <w:r>
        <w:t>Các công ty dịch vụ tài chính phi ngân hàng</w:t>
      </w:r>
      <w:bookmarkEnd w:id="4530"/>
      <w:bookmarkEnd w:id="4531"/>
    </w:p>
    <w:p>
      <w:pPr>
        <w:pStyle w:val="Para 03"/>
      </w:pPr>
      <w:r>
        <w:t>Trong phần lớn chương này, chúng ta đã tập trung vào các ngân hàng, vì chúng là một phân khúc chiếm ưu thế trong ngành dịch vụ tài chính. Dù vậy, vẫn có những phân khúc dịch vụ tài chính khác không chứa một số phức tạp vốn gây khó khăn cho việc định giá ngân hàng nhưng vẫn cần được định giá và định giá thị trường.</w:t>
      </w:r>
    </w:p>
    <w:p>
      <w:pPr>
        <w:pStyle w:val="Para 20"/>
      </w:pPr>
      <w:r>
        <w:rPr>
          <w:rStyle w:val="Text26"/>
        </w:rPr>
        <w:bookmarkStart w:id="4532" w:name="Page_689"/>
        <w:t/>
        <w:bookmarkEnd w:id="4532"/>
      </w:r>
      <w:r>
        <w:t xml:space="preserve"> </w:t>
      </w:r>
    </w:p>
    <w:p>
      <w:bookmarkStart w:id="4533" w:name="Asset_Management_Companies__Asse"/>
      <w:bookmarkStart w:id="4534" w:name="Asset_Management_Companies"/>
      <w:pPr>
        <w:keepNext/>
        <w:pStyle w:val="Heading 3"/>
        <w:keepLines w:val="on"/>
      </w:pPr>
      <w:r>
        <w:t>Các công ty quản lý tài sản</w:t>
      </w:r>
      <w:bookmarkEnd w:id="4533"/>
      <w:bookmarkEnd w:id="4534"/>
    </w:p>
    <w:p>
      <w:pPr>
        <w:pStyle w:val="Para 03"/>
      </w:pPr>
      <w:r>
        <w:t>Các công ty quản lý tài sản tạo ra giá trị từ việc quản lý tiền của khách hàng đầu tư vào cổ phiếu, thu nhập cố định và các tài sản khác. Chúng bao gồm các quỹ tương hỗ (mutual funds), thường đầu tư tiền của khách hàng, cũng như các công ty tư vấn định hướng việc đầu tư nhưng thường không trực tiếp đầu tư.</w:t>
      </w:r>
    </w:p>
    <w:p>
      <w:pPr>
        <w:numPr>
          <w:ilvl w:val="0"/>
          <w:numId w:val="208"/>
        </w:numPr>
        <w:pStyle w:val="Para 01"/>
      </w:pPr>
      <w:r>
        <w:t>Các yếu tố thúc đẩy khả năng sinh lời: Có ba yếu tố then chốt thúc đẩy khả năng sinh lời tại các công ty quản lý tài sản. Thứ nhất, và có lẽ là quan trọng nhất, là tài sản đang quản lý (assets under management - AUM), phản ánh tổng giá trị tài sản mà khách hàng đang đầu tư thông qua bạn. Thứ hai là mức phí, nơi công ty quản lý tài sản được trả thù lao, và mặc dù mức phí đó thường là một tỷ lệ phần trăm của tài sản đang quản lý, vẫn có nhiều biến thể, từ phí cố định theo từng khách hàng đến các cấu trúc phí trong đó công ty quản lý tài sản nhận được một phần lợi nhuận tăng thêm (các quỹ đầu cơ lấy 2% tài sản đang quản lý và 20% phần lợi nhuận tăng thêm).4 Thứ ba là các chi phí mà công ty quản lý tài sản phải chịu để quản lý AUM, sẽ thay đổi tùy theo dịch vụ được cung cấp. Đối với một nhà quản lý tiền chủ động, các chi phí này sẽ bao gồm chi phí trả lương cho các chuyên viên phân tích và quản lý danh mục, và đối với quản lý tài sản cá nhân (wealth management), đó là tiền lương và hoa hồng của các chuyên viên quản lý tài sản cá nhân phụ trách mạng lưới khách hàng của họ.</w:t>
      </w:r>
    </w:p>
    <w:p>
      <w:pPr>
        <w:numPr>
          <w:ilvl w:val="0"/>
          <w:numId w:val="208"/>
        </w:numPr>
        <w:pStyle w:val="Para 01"/>
      </w:pPr>
      <w:r>
        <w:t>Tái đầu tư: Bài học rằng tăng trưởng đòi hỏi tái đầu tư áp dụng cho các nhà quản lý tài sản cũng đúng như với bất kỳ công ty nào khác, nhưng bản chất của việc tái đầu tư có thể khiến việc xác định và tách riêng khoản chi tiêu trở nên khó khăn. Ví dụ, trong một công ty quản lý tài sản cá nhân, một phần công việc của mỗi chuyên viên quản lý tài sản cá nhân có thể là tìm kiếm và ký kết khách hàng mới, nhưng chi phí đó thường không được tách riêng ra. Tuy nhiên, nhìn chung, quản lý tài sản không phải là một ngành thâm dụng vốn, và các nhà quản lý tài sản thành công sẽ có thể đạt được tỷ suất sinh lời trên vốn chủ sở hữu cao.</w:t>
      </w:r>
    </w:p>
    <w:p>
      <w:pPr>
        <w:numPr>
          <w:ilvl w:val="0"/>
          <w:numId w:val="208"/>
        </w:numPr>
        <w:pStyle w:val="Para 01"/>
      </w:pPr>
      <w:r>
        <w:t>Rủi ro: Có hai nhóm rủi ro mà các nhà quản lý tài sản phải đối mặt, và chúng đòi hỏi cách xử lý khác nhau. Thứ nhất, loại tài sản mà bạn quản lý (cổ phiếu, trái phiếu, bất động sản) có thể hoạt động kém trong một giai đoạn, kéo giảm giá trị tài sản đang quản lý và phí. Thứ hai, trong chừng mực dòng tiền chạy theo thành công, một nhà quản lý tài sản hoạt động kém hơn nhóm ngang hàng có thể thấy tài sản đang quản lý của mình co lại sau đó. Dùng ngôn ngữ về độ dính mà chúng ta đã giới thiệu với các ngân hàng, các nhà quản lý tài sản có khách hàng dính hơn sẽ có giá trị hơn các nhà quản lý tài sản có khách hàng thay đổi thất thường hơn, và độ dính đó có thể đến từ nhiều yếu tố.</w:t>
      </w:r>
    </w:p>
    <w:p>
      <w:pPr>
        <w:pStyle w:val="Para 03"/>
      </w:pPr>
      <w:r>
        <w:t>Mặc dù chúng ta có thể tranh luận về những ưu và nhược điểm của việc quản lý tiền chủ động, không thể phủ nhận rằng ngành này đã trở nên khó tạo ra giá trị hơn vì nhiều lý do. Thứ nhất, khách hàng không chỉ có thể dễ dàng tìm hiểu thêm về hiệu suất của các nhà quản lý tài sản của mình mà còn có thể làm điều đó một cách kịp thời hơn nhiều. Thứ hai, sự phát triển của các phương tiện đầu tư thụ động (quỹ giao dịch hoán đổi - exchange traded funds và quỹ chỉ số - index funds) đã gây áp lực lên cấu trúc phí của các nhà quản lý tài sản nói chung, và sự trỗi dậy của các cố vấn robot (robot advisors) cùng các nền tảng đầu tư công nghệ tài chính (fin-tech) càng làm tăng thêm áp lực đó. Thứ ba, công nghệ đã cho khách hàng quyền truy cập vào thông tin và các nền tảng giao dịch mà chỉ vài thập kỷ trước đây chỉ các nhà giao dịch chuyên nghiệp và tổ chức đầu tư mới có thể tiếp cận, khiến việc tự đầu tư trở thành một lựa chọn khả thi hơn với nhiều người. Tóm lại, thế giới đầu tư đã trở nên phẳng hơn, và giá trị của các công ty quản lý tài sản phản ánh sự phát triển đó.</w:t>
      </w:r>
    </w:p>
    <w:p>
      <w:bookmarkStart w:id="4537" w:name="Transaction_and_Payment_Processo_1"/>
      <w:bookmarkStart w:id="4538" w:name="Transaction_and_Payment_Processo"/>
      <w:pPr>
        <w:keepNext/>
        <w:pStyle w:val="Heading 3"/>
        <w:keepLines w:val="on"/>
      </w:pPr>
      <w:r>
        <w:t>Các công ty xử lý giao dịch và thanh toán</w:t>
      </w:r>
      <w:bookmarkEnd w:id="4537"/>
      <w:bookmarkEnd w:id="4538"/>
    </w:p>
    <w:p>
      <w:pPr>
        <w:pStyle w:val="Para 03"/>
      </w:pPr>
      <w:r>
        <w:t>Các công ty xử lý giao dịch và thanh toán tạo ra giá trị từ việc ăn một phần nhỏ trong các giao dịch diễn ra trên nền tảng của họ. Mặc dù sự trỗi dậy của các công ty xử lý thanh toán công nghệ tài chính như Paypal và Venmo đã mang lại sự chú ý cho các doanh nghiệp này, chúng đã là một nhân tố trên thị trường trong nhiều thập kỷ. Thực tế, Mastercard, Visa và American Express đã thu được những phần đáng kể giá trị của mình từ các giao dịch thẻ tín dụng mà họ hỗ trợ.</w:t>
      </w:r>
    </w:p>
    <w:p>
      <w:pPr>
        <w:numPr>
          <w:ilvl w:val="0"/>
          <w:numId w:val="209"/>
        </w:numPr>
        <w:pStyle w:val="Para 01"/>
      </w:pPr>
      <w:r>
        <w:t>Các yếu tố thúc đẩy khả năng sinh lời: Có ba yếu tố then chốt thúc đẩy khả năng sinh lời tại các công ty xử lý thanh toán. Thứ nhất là tổng giá trị giao dịch (gross transaction value), phản ánh tổng giá trị của tất cả các giao dịch diễn ra trên một nền tảng giao dịch. Thứ hai là tỷ lệ thu phí (take rate) (tức là tỷ lệ phần trăm giá trị giao dịch mà công ty xử lý thanh toán được hưởng). Thứ ba là các chi phí mà công ty phải chịu để duy trì nền tảng, bao gồm dịch vụ xử lý cho khách hàng và người bán cùng công nghệ.</w:t>
      </w:r>
    </w:p>
    <w:p>
      <w:pPr>
        <w:numPr>
          <w:ilvl w:val="0"/>
          <w:numId w:val="209"/>
        </w:numPr>
        <w:pStyle w:val="Para 01"/>
      </w:pPr>
      <w:r>
        <w:t>Tái đầu tư: Sự tăng trưởng của tổng giá trị giao dịch theo thời gian được thúc đẩy bởi hai lực lượng, trong đó thứ nhất là số lượng khách hàng trên nền tảng và thứ hai là giá trị giao dịch trên mỗi khách hàng. Dùng ngôn ngữ đã giới thiệu trong Chương 20 cho các công ty dựa trên người dùng và người đăng ký, số tiền mà các công ty xử lý thanh toán chi ra để ký kết người bán mới và thu hút khách hàng mới sẽ là khoản tái đầu tư chính của họ, với lưu ý rằng việc mua lại một công ty xử lý thanh toán khác có thể mang lại cả hai điều đó một cách nhanh chóng.</w:t>
      </w:r>
    </w:p>
    <w:p>
      <w:pPr>
        <w:numPr>
          <w:ilvl w:val="0"/>
          <w:numId w:val="209"/>
        </w:numPr>
        <w:pStyle w:val="Para 01"/>
      </w:pPr>
      <w:r>
        <w:t>Rủi ro: Rủi ro vĩ mô của một công ty xử lý thanh toán đến từ nền kinh tế, vì con người chi tiêu nhiều hơn khi nền kinh tế mạnh so với thời kỳ suy thoái. Các rủi ro riêng của công ty có thể ảnh hưởng đến lợi nhuận và dòng tiền của công ty bao gồm rủi ro gian lận trên nền tảng — thứ mà công ty phải gánh chịu — cũng như khả năng phát sinh nợ xấu nếu khách hàng không thực hiện đầy đủ nghĩa vụ tài chính của mình.</w:t>
      </w:r>
    </w:p>
    <w:p>
      <w:pPr>
        <w:pStyle w:val="Para 03"/>
      </w:pPr>
      <w:r>
        <w:t>Sau nhiều thập kỷ thống trị, khi các công ty thẻ tín dụng lớn tận dụng lợi thế mạng lưới để tăng trưởng và giành thị phần, sự xuất hiện của thanh toán kỹ thuật số đã mở cửa cho những người mới — không chỉ những cái tên mới như Venmo và Paytm mà còn cả các công ty công nghệ như Apple và Google đang phát huy sức mạnh nền tảng của mình.</w:t>
      </w:r>
    </w:p>
    <w:p>
      <w:bookmarkStart w:id="4539" w:name="Brokerage_Firms"/>
      <w:bookmarkStart w:id="4540" w:name="Brokerage_Firms__As_long_as_mark"/>
      <w:pPr>
        <w:keepNext/>
        <w:pStyle w:val="Heading 3"/>
        <w:keepLines w:val="on"/>
      </w:pPr>
      <w:r>
        <w:t>Các công ty môi giới chứng khoán</w:t>
      </w:r>
      <w:bookmarkEnd w:id="4539"/>
      <w:bookmarkEnd w:id="4540"/>
    </w:p>
    <w:p>
      <w:pPr>
        <w:pStyle w:val="Para 03"/>
      </w:pPr>
      <w:r>
        <w:t>Từ khi thị trường còn tồn tại, đã có những doanh nghiệp tạo ra giá trị nhờ vai trò trung gian, ăn một phần từ các giao dịch diễn ra trên thị trường. Từ môi giới bất động sản, đến trung gian thị trường chứng khoán, cho đến cả những người buôn đồ cổ — giá trị đều đến từ các giao dịch trong những loại tài sản này và phí giao dịch của chúng.</w:t>
      </w:r>
    </w:p>
    <w:p>
      <w:pPr>
        <w:numPr>
          <w:ilvl w:val="0"/>
          <w:numId w:val="210"/>
        </w:numPr>
        <w:pStyle w:val="Para 01"/>
      </w:pPr>
      <w:r>
        <w:t>Các động lực tạo nên sức mạnh lợi nhuận: Có ba động lực chính tạo nên sức mạnh lợi nhuận tại các công ty quản lý tài sản. Thứ nhất là giá trị giao dịch, phản ánh tổng giá trị của tất cả các giao dịch được môi giới. Thứ hai là hoa hồng của nhà giao dịch và môi giới (tỷ lệ phần trăm giá trị giao dịch thuộc về người môi giới). Thứ ba là các chi phí mà công ty môi giới phải bỏ ra để cung cấp dịch vụ môi giới, bao gồm chi phí thông tin, pháp lý và giám sát.</w:t>
      </w:r>
    </w:p>
    <w:p>
      <w:pPr>
        <w:numPr>
          <w:ilvl w:val="0"/>
          <w:numId w:val="210"/>
        </w:numPr>
        <w:pStyle w:val="Para 01"/>
      </w:pPr>
      <w:r>
        <w:t>Tái đầu tư: Sự tăng trưởng doanh thu môi giới đến từ việc có nhiều giao dịch hơn — thường đòi hỏi phải thuê thêm nhiều nhà môi giới — hoặc từ việc đầu tư vào một nền tảng mạnh mẽ hơn, rộng khắp hơn để cho phép thực hiện nhiều giao dịch hơn.</w:t>
      </w:r>
    </w:p>
    <w:p>
      <w:pPr>
        <w:numPr>
          <w:ilvl w:val="0"/>
          <w:numId w:val="210"/>
        </w:numPr>
        <w:pStyle w:val="Para 01"/>
      </w:pPr>
      <w:r>
        <w:t>Rủi ro: Rủi ro vĩ mô của một công ty môi giới đến từ chính lĩnh vực mà họ làm trung gian, khi doanh thu môi giới bất động sản lên xuống theo giao dịch bất động sản, còn môi giới thị trường chứng khoán thăng trầm cùng thị trường cổ phiếu. Mở rộng sang lĩnh vực tiền mã hóa, Coinbase — trung gian hàng đầu trong các giao dịch crypto — đã có kết quả hoạt động biến động theo giá Bitcoin. Các rủi ro riêng của công ty có thể ảnh hưởng đến lợi nhuận và dòng tiền bao gồm rủi ro về quy định và pháp lý.</w:t>
      </w:r>
    </w:p>
    <w:p>
      <w:pPr>
        <w:pStyle w:val="Para 03"/>
      </w:pPr>
      <w:r>
        <w:t>Sự trỗi dậy của công nghệ đã gây sức ép lên doanh thu trung gian, và điều này đặc biệt rõ ở thị trường cổ phiếu, nơi chênh lệch giá mua–giá bán (bid-ask spread) và hoa hồng môi giới đã lao dốc. Doanh thu môi giới giảm chậm hơn ở các thị trường khác, và đặc biệt là ở bất động sản, nơi hoa hồng gần như không nhúc nhích, ngay cả khi những đối thủ công nghệ như Zillow và Redfin đã xuất hiện.</w:t>
      </w:r>
    </w:p>
    <w:p>
      <w:bookmarkStart w:id="4542" w:name="Conclusion__The_basic_principles"/>
      <w:bookmarkStart w:id="4543" w:name="Conclusion_20"/>
      <w:pPr>
        <w:keepNext/>
        <w:pStyle w:val="Heading 2"/>
        <w:keepLines w:val="on"/>
      </w:pPr>
      <w:r>
        <w:t>Kết luận</w:t>
      </w:r>
      <w:bookmarkEnd w:id="4542"/>
      <w:bookmarkEnd w:id="4543"/>
    </w:p>
    <w:p>
      <w:pPr>
        <w:pStyle w:val="Para 03"/>
      </w:pPr>
      <w:r>
        <w:t>Các nguyên tắc định giá cơ bản áp dụng cho các công ty dịch vụ tài chính cũng giống như cho các công ty khác. Tuy nhiên, có một vài khía cạnh liên quan đến công ty dịch vụ tài chính có thể ảnh hưởng đến cách định giá chúng. Thứ nhất, nợ của một công ty dịch vụ tài chính rất khó định nghĩa và đo lường, khiến việc ước tính giá trị doanh nghiệp hay chi phí vốn trở nên khó khăn. Do đó, việc định giá trực tiếp vốn chủ sở hữu (equity) của một công ty dịch vụ tài chính bằng cách chiết khấu dòng tiền về vốn chủ sở hữu theo chi phí vốn chủ sở hữu sẽ dễ dàng hơn nhiều. Thứ hai, chi tiêu vốn (capital expenditures) và vốn lưu động (working capital) — những đầu vào cần thiết để ước tính dòng tiền — thường không dễ ước tính ở các công ty dịch vụ tài chính. Trên thực tế, phần lớn việc tái đầu tư diễn ra tại những công ty này được xếp vào chi phí hoạt động. Vì vậy, để ước tính dòng tiền về vốn chủ sở hữu, chúng ta phải hoặc là dùng cổ tức (và giả định rằng phần không chi trả dưới dạng cổ tức chính là phần tái đầu tư), hoặc là điều chỉnh định nghĩa về tái đầu tư để xem xét các khoản đầu tư vào vốn điều lệ theo quy định (regulatory capital).</w:t>
      </w:r>
    </w:p>
    <w:p>
      <w:pPr>
        <w:pStyle w:val="Para 03"/>
      </w:pPr>
      <w:r>
        <w:t>Ngay cả khi chọn dùng các bội số (multiples), chúng ta cũng gặp phải nhiều vấn đề tương tự. Những khó khăn liên quan đến việc định nghĩa nợ khiến các bội số vốn chủ sở hữu như tỷ lệ giá trên thu nhập (price-earnings) hay giá trên giá trị sổ sách (price-to-book value) phù hợp hơn để so sánh các công ty dịch vụ tài chính so với các bội số giá trị doanh nghiệp. Khi thực hiện những so sánh này, chúng ta phải kiểm soát sự khác biệt về các yếu tố nền tảng — rủi ro, tăng trưởng, dòng tiền, chất lượng khoản vay — những thứ ảnh hưởng đến giá trị.</w:t>
      </w:r>
    </w:p>
    <w:p>
      <w:pPr>
        <w:pStyle w:val="Para 03"/>
      </w:pPr>
      <w:r>
        <w:t>Cuối cùng, các cân nhắc và ràng buộc về quy định bao trùm lên việc định giá công ty tài chính. Trong một số trường hợp, những hạn chế về quy định đối với cạnh tranh cho phép các công ty dịch vụ tài chính kiếm được lợi nhuận vượt trội và gia tăng giá trị. Trong những trường hợp khác, chính các cơ quan quản lý đó lại có thể hạn chế mức lợi nhuận vượt trội mà một công ty có thể kiếm được bằng cách ngăn công ty đó tham gia vào một lĩnh vực kinh doanh nào đó.</w:t>
      </w:r>
    </w:p>
    <w:p>
      <w:pPr>
        <w:pStyle w:val="Para 20"/>
      </w:pPr>
      <w:r>
        <w:rPr>
          <w:rStyle w:val="Text26"/>
        </w:rPr>
        <w:bookmarkStart w:id="4544" w:name="Page_692"/>
        <w:t/>
        <w:bookmarkEnd w:id="4544"/>
      </w:r>
      <w:r>
        <w:t xml:space="preserve"> </w:t>
      </w:r>
    </w:p>
    <w:p>
      <w:bookmarkStart w:id="4545" w:name="Questions_and_Short_Problems_21"/>
      <w:bookmarkStart w:id="4546" w:name="Questions_and_Short_Problems__In_15"/>
      <w:pPr>
        <w:keepNext/>
        <w:pStyle w:val="Heading 2"/>
        <w:keepLines w:val="on"/>
      </w:pPr>
      <w:r>
        <w:t>Câu hỏi và bài tập ngắn</w:t>
      </w:r>
      <w:bookmarkEnd w:id="4545"/>
      <w:bookmarkEnd w:id="4546"/>
    </w:p>
    <w:p>
      <w:pPr>
        <w:pStyle w:val="Para 44"/>
      </w:pPr>
      <w:r>
        <w:t>Trong các bài tập sau đây, hãy sử dụng phần bù rủi ro vốn chủ sở hữu (equity risk premium) là 5,5 phần trăm nếu không có quy định nào khác.</w:t>
      </w:r>
    </w:p>
    <w:p>
      <w:pPr>
        <w:numPr>
          <w:ilvl w:val="0"/>
          <w:numId w:val="211"/>
        </w:numPr>
        <w:pStyle w:val="Para 01"/>
      </w:pPr>
      <w:r>
        <w:t>Bạn được yêu cầu đánh giá giá trị trên mỗi cổ phần của Secure Savings, một công ty tiết kiệm và cho vay đã trưởng thành. Công ty có thu nhập trên mỗi cổ phần trong năm tài chính vừa kết thúc là 4 đô la một cổ phần và đã trả cổ tức 2,40 đô la một cổ phần. Giá trị sổ sách của vốn chủ sở hữu vào đầu năm là 40 đô la một cổ phần. Beta của cổ phiếu là 0,90, lãi suất phi rủi ro là 6%, và phần bù rủi ro thị trường là 4%.</w:t>
      </w:r>
    </w:p>
    <w:p>
      <w:pPr>
        <w:numPr>
          <w:ilvl w:val="1"/>
          <w:numId w:val="211"/>
        </w:numPr>
        <w:pStyle w:val="Para 01"/>
      </w:pPr>
      <w:r>
        <w:t>Giả sử công ty sẽ tiếp tục kiếm được tỷ suất sinh lời trên vốn chủ sở hữu (return on equity) hiện tại mãi mãi và duy trì tỷ lệ chi trả cổ tức hiện tại, hãy ước tính giá trị trên mỗi cổ phần.</w:t>
      </w:r>
    </w:p>
    <w:p>
      <w:pPr>
        <w:numPr>
          <w:ilvl w:val="1"/>
          <w:numId w:val="211"/>
        </w:numPr>
        <w:pStyle w:val="Para 01"/>
      </w:pPr>
      <w:r>
        <w:t>Nếu cổ phiếu đang giao dịch ở mức 40 đô la một cổ phần, hãy ước tính tốc độ tăng trưởng ngụ ý (implied growth rate).</w:t>
      </w:r>
    </w:p>
    <w:p>
      <w:pPr>
        <w:numPr>
          <w:ilvl w:val="0"/>
          <w:numId w:val="211"/>
        </w:numPr>
        <w:pStyle w:val="Para 01"/>
      </w:pPr>
      <w:r>
        <w:t>Bây giờ bạn đang định giá Southwest Bank, một ngân hàng nhỏ đang tăng trưởng nhanh. Ngân hàng báo cáo thu nhập trên mỗi cổ phần là 2 đô la trong năm tài chính vừa kết thúc và đã chi trả cổ tức 0,20 đô la một cổ phần. Giá trị sổ sách của vốn chủ sở hữu vào đầu năm là 14 đô la. Beta của cổ phiếu là 1,10, lãi suất phi rủi ro là 6% và phần bù rủi ro là 4%.</w:t>
      </w:r>
    </w:p>
    <w:p>
      <w:pPr>
        <w:numPr>
          <w:ilvl w:val="1"/>
          <w:numId w:val="211"/>
        </w:numPr>
        <w:pStyle w:val="Para 01"/>
      </w:pPr>
      <w:r>
        <w:t>Giả sử ngân hàng sẽ duy trì tỷ suất sinh lời trên vốn chủ sở hữu và tỷ lệ chi trả cổ tức hiện tại trong năm năm tới, hãy ước tính tốc độ tăng trưởng kỳ vọng của thu nhập trên mỗi cổ phần.</w:t>
      </w:r>
    </w:p>
    <w:p>
      <w:pPr>
        <w:numPr>
          <w:ilvl w:val="1"/>
          <w:numId w:val="211"/>
        </w:numPr>
        <w:pStyle w:val="Para 01"/>
      </w:pPr>
      <w:r>
        <w:t>Giả sử công ty sẽ bắt đầu tăng trưởng với tốc độ không đổi 5% một năm sau thời điểm đó, hãy ước tính giá trị trên mỗi cổ phần ở thời điểm hiện tại. (Bạn có thể giả định rằng tỷ suất sinh lời trên vốn chủ sở hữu sẽ giảm xuống còn 12% trong giai đoạn tăng trưởng ổn định, và beta sẽ trở thành 1.)</w:t>
      </w:r>
    </w:p>
    <w:p>
      <w:pPr>
        <w:numPr>
          <w:ilvl w:val="0"/>
          <w:numId w:val="211"/>
        </w:numPr>
        <w:pStyle w:val="Para 01"/>
      </w:pPr>
      <w:r>
        <w:t>Bạn được yêu cầu phân tích công ty LongLife Insurance, một công ty đang ở giai đoạn tăng trưởng ổn định, với thu nhập kỳ vọng tăng 4% trong dài hạn. Công ty đang giao dịch ở mức bội số 1,4 lần giá trị sổ sách và có chi phí vốn chủ sở hữu là 11%.</w:t>
      </w:r>
    </w:p>
    <w:p>
      <w:pPr>
        <w:numPr>
          <w:ilvl w:val="1"/>
          <w:numId w:val="211"/>
        </w:numPr>
        <w:pStyle w:val="Para 01"/>
      </w:pPr>
      <w:r>
        <w:t>Nếu thị trường đang định giá cổ phiếu một cách chính xác, hãy ước tính tỷ suất sinh lời trên vốn chủ sở hữu mà LongLife được kỳ vọng sẽ kiếm được mãi mãi.</w:t>
      </w:r>
    </w:p>
    <w:p>
      <w:pPr>
        <w:numPr>
          <w:ilvl w:val="1"/>
          <w:numId w:val="211"/>
        </w:numPr>
        <w:pStyle w:val="Para 01"/>
      </w:pPr>
      <w:r>
        <w:t>Nếu cơ quan quản lý buộc LongLife phải kiếm được tỷ suất sinh lời trên vốn chủ sở hữu bằng với chi phí vốn chủ sở hữu của nó, bạn kỳ vọng tỷ lệ giá trên giá trị sổ sách sẽ là bao nhiêu?</w:t>
      </w:r>
    </w:p>
    <w:p>
      <w:pPr>
        <w:numPr>
          <w:ilvl w:val="0"/>
          <w:numId w:val="211"/>
        </w:numPr>
        <w:pStyle w:val="Para 01"/>
      </w:pPr>
      <w:r>
        <w:t>Bây giờ giả sử bạn đang so sánh tỷ lệ giá trên giá trị sổ sách của 13 ngân hàng lớn nhất ở Hoa Kỳ vào năm 2000. Bảng sau đây tóm tắt tỷ lệ giá trên giá trị sổ sách và tỷ suất sinh lời trên vốn chủ sở hữu mà các công ty này kiếm được:</w:t>
      </w:r>
    </w:p>
    <w:tbl>
      <w:tblPr>
        <w:tblW w:type="auto" w:w="0"/>
      </w:tblPr>
      <w:tr>
        <w:tc>
          <w:tcPr>
            <w:tcW w:type="auto" w:w="0"/>
          </w:tcPr>
          <w:tbl>
            <w:tblPr>
              <w:tblW w:type="auto" w:w="0"/>
            </w:tblPr>
            <w:tr>
              <w:tc>
                <w:tcPr>
                  <w:tcW w:type="auto" w:w="0"/>
                  <w:shd w:val="clear" w:color="auto" w:fill="F0F0F0"/>
                </w:tcPr>
                <w:p>
                  <w:pPr>
                    <w:pStyle w:val="Para 29"/>
                    <w:keepLines w:val="on"/>
                  </w:pPr>
                  <w:r>
                    <w:t>Tên công ty</w:t>
                  </w:r>
                </w:p>
              </w:tc>
              <w:tc>
                <w:tcPr>
                  <w:tcW w:type="auto" w:w="0"/>
                  <w:shd w:val="clear" w:color="auto" w:fill="F0F0F0"/>
                </w:tcPr>
                <w:p>
                  <w:pPr>
                    <w:pStyle w:val="Para 17"/>
                    <w:keepLines w:val="on"/>
                  </w:pPr>
                  <w:r>
                    <w:t>PBV</w:t>
                  </w:r>
                </w:p>
              </w:tc>
              <w:tc>
                <w:tcPr>
                  <w:tcW w:type="auto" w:w="0"/>
                  <w:shd w:val="clear" w:color="auto" w:fill="F0F0F0"/>
                </w:tcPr>
                <w:p>
                  <w:pPr>
                    <w:pStyle w:val="Para 17"/>
                    <w:keepLines w:val="on"/>
                  </w:pPr>
                  <w:r>
                    <w:t>ROE</w:t>
                  </w:r>
                </w:p>
              </w:tc>
            </w:tr>
            <w:tr>
              <w:tc>
                <w:tcPr>
                  <w:tcW w:type="auto" w:w="0"/>
                  <w:shd w:val="clear" w:color="auto" w:fill="F0F0F0"/>
                </w:tcPr>
                <w:p>
                  <w:pPr>
                    <w:pStyle w:val="Para 02"/>
                    <w:keepLines w:val="on"/>
                  </w:pPr>
                  <w:r>
                    <w:t>Wachovia Corp.</w:t>
                  </w:r>
                </w:p>
              </w:tc>
              <w:tc>
                <w:tcPr>
                  <w:tcW w:type="auto" w:w="0"/>
                  <w:shd w:val="clear" w:color="auto" w:fill="F0F0F0"/>
                </w:tcPr>
                <w:p>
                  <w:pPr>
                    <w:pStyle w:val="Normal"/>
                    <w:keepLines w:val="on"/>
                  </w:pPr>
                  <w:r>
                    <w:t>2.05</w:t>
                  </w:r>
                </w:p>
              </w:tc>
              <w:tc>
                <w:tcPr>
                  <w:tcW w:type="auto" w:w="0"/>
                  <w:shd w:val="clear" w:color="auto" w:fill="F0F0F0"/>
                </w:tcPr>
                <w:p>
                  <w:pPr>
                    <w:pStyle w:val="Normal"/>
                    <w:keepLines w:val="on"/>
                  </w:pPr>
                  <w:r>
                    <w:t>18.47%</w:t>
                  </w:r>
                </w:p>
              </w:tc>
            </w:tr>
            <w:tr>
              <w:tc>
                <w:tcPr>
                  <w:tcW w:type="auto" w:w="0"/>
                  <w:shd w:val="clear" w:color="auto" w:fill="F0F0F0"/>
                </w:tcPr>
                <w:p>
                  <w:pPr>
                    <w:pStyle w:val="Para 02"/>
                    <w:keepLines w:val="on"/>
                  </w:pPr>
                  <w:r>
                    <w:t>PNC Financial Serv.</w:t>
                  </w:r>
                </w:p>
              </w:tc>
              <w:tc>
                <w:tcPr>
                  <w:tcW w:type="auto" w:w="0"/>
                  <w:shd w:val="clear" w:color="auto" w:fill="F0F0F0"/>
                </w:tcPr>
                <w:p>
                  <w:pPr>
                    <w:pStyle w:val="Normal"/>
                    <w:keepLines w:val="on"/>
                  </w:pPr>
                  <w:r>
                    <w:t>2.54</w:t>
                  </w:r>
                </w:p>
              </w:tc>
              <w:tc>
                <w:tcPr>
                  <w:tcW w:type="auto" w:w="0"/>
                  <w:shd w:val="clear" w:color="auto" w:fill="F0F0F0"/>
                </w:tcPr>
                <w:p>
                  <w:pPr>
                    <w:pStyle w:val="Normal"/>
                    <w:keepLines w:val="on"/>
                  </w:pPr>
                  <w:r>
                    <w:t>21.56%</w:t>
                  </w:r>
                </w:p>
              </w:tc>
            </w:tr>
            <w:tr>
              <w:tc>
                <w:tcPr>
                  <w:tcW w:type="auto" w:w="0"/>
                  <w:shd w:val="clear" w:color="auto" w:fill="F0F0F0"/>
                </w:tcPr>
                <w:p>
                  <w:pPr>
                    <w:pStyle w:val="Para 02"/>
                    <w:keepLines w:val="on"/>
                  </w:pPr>
                  <w:r>
                    <w:t>SunTrust Banks</w:t>
                  </w:r>
                </w:p>
              </w:tc>
              <w:tc>
                <w:tcPr>
                  <w:tcW w:type="auto" w:w="0"/>
                  <w:shd w:val="clear" w:color="auto" w:fill="F0F0F0"/>
                </w:tcPr>
                <w:p>
                  <w:pPr>
                    <w:pStyle w:val="Normal"/>
                    <w:keepLines w:val="on"/>
                  </w:pPr>
                  <w:r>
                    <w:t>1.91</w:t>
                  </w:r>
                </w:p>
              </w:tc>
              <w:tc>
                <w:tcPr>
                  <w:tcW w:type="auto" w:w="0"/>
                  <w:shd w:val="clear" w:color="auto" w:fill="F0F0F0"/>
                </w:tcPr>
                <w:p>
                  <w:pPr>
                    <w:pStyle w:val="Normal"/>
                    <w:keepLines w:val="on"/>
                  </w:pPr>
                  <w:r>
                    <w:t>15.35%</w:t>
                  </w:r>
                </w:p>
              </w:tc>
            </w:tr>
            <w:tr>
              <w:tc>
                <w:tcPr>
                  <w:tcW w:type="auto" w:w="0"/>
                  <w:shd w:val="clear" w:color="auto" w:fill="F0F0F0"/>
                </w:tcPr>
                <w:p>
                  <w:pPr>
                    <w:pStyle w:val="Para 02"/>
                    <w:keepLines w:val="on"/>
                  </w:pPr>
                  <w:r>
                    <w:t>State Street Corp.</w:t>
                  </w:r>
                </w:p>
              </w:tc>
              <w:tc>
                <w:tcPr>
                  <w:tcW w:type="auto" w:w="0"/>
                  <w:shd w:val="clear" w:color="auto" w:fill="F0F0F0"/>
                </w:tcPr>
                <w:p>
                  <w:pPr>
                    <w:pStyle w:val="Normal"/>
                    <w:keepLines w:val="on"/>
                  </w:pPr>
                  <w:r>
                    <w:t>6.63</w:t>
                  </w:r>
                </w:p>
              </w:tc>
              <w:tc>
                <w:tcPr>
                  <w:tcW w:type="auto" w:w="0"/>
                  <w:shd w:val="clear" w:color="auto" w:fill="F0F0F0"/>
                </w:tcPr>
                <w:p>
                  <w:pPr>
                    <w:pStyle w:val="Normal"/>
                    <w:keepLines w:val="on"/>
                  </w:pPr>
                  <w:r>
                    <w:t>19.52%</w:t>
                  </w:r>
                </w:p>
              </w:tc>
            </w:tr>
            <w:tr>
              <w:tc>
                <w:tcPr>
                  <w:tcW w:type="auto" w:w="0"/>
                  <w:shd w:val="clear" w:color="auto" w:fill="F0F0F0"/>
                </w:tcPr>
                <w:p>
                  <w:pPr>
                    <w:pStyle w:val="Para 02"/>
                    <w:keepLines w:val="on"/>
                  </w:pPr>
                  <w:r>
                    <w:t>Mellon Financial Corp.</w:t>
                  </w:r>
                </w:p>
              </w:tc>
              <w:tc>
                <w:tcPr>
                  <w:tcW w:type="auto" w:w="0"/>
                  <w:shd w:val="clear" w:color="auto" w:fill="F0F0F0"/>
                </w:tcPr>
                <w:p>
                  <w:pPr>
                    <w:pStyle w:val="Normal"/>
                    <w:keepLines w:val="on"/>
                  </w:pPr>
                  <w:r>
                    <w:t>4.59</w:t>
                  </w:r>
                </w:p>
              </w:tc>
              <w:tc>
                <w:tcPr>
                  <w:tcW w:type="auto" w:w="0"/>
                  <w:shd w:val="clear" w:color="auto" w:fill="F0F0F0"/>
                </w:tcPr>
                <w:p>
                  <w:pPr>
                    <w:pStyle w:val="Normal"/>
                    <w:keepLines w:val="on"/>
                  </w:pPr>
                  <w:r>
                    <w:t>23.95%</w:t>
                  </w:r>
                </w:p>
              </w:tc>
            </w:tr>
            <w:tr>
              <w:tc>
                <w:tcPr>
                  <w:tcW w:type="auto" w:w="0"/>
                  <w:shd w:val="clear" w:color="auto" w:fill="F0F0F0"/>
                </w:tcPr>
                <w:p>
                  <w:pPr>
                    <w:pStyle w:val="Para 02"/>
                    <w:keepLines w:val="on"/>
                  </w:pPr>
                  <w:r>
                    <w:t>Morgan (J.P.) &amp; Co.</w:t>
                  </w:r>
                </w:p>
              </w:tc>
              <w:tc>
                <w:tcPr>
                  <w:tcW w:type="auto" w:w="0"/>
                  <w:shd w:val="clear" w:color="auto" w:fill="F0F0F0"/>
                </w:tcPr>
                <w:p>
                  <w:pPr>
                    <w:pStyle w:val="Normal"/>
                    <w:keepLines w:val="on"/>
                  </w:pPr>
                  <w:r>
                    <w:t>1.74</w:t>
                  </w:r>
                </w:p>
              </w:tc>
              <w:tc>
                <w:tcPr>
                  <w:tcW w:type="auto" w:w="0"/>
                  <w:shd w:val="clear" w:color="auto" w:fill="F0F0F0"/>
                </w:tcPr>
                <w:p>
                  <w:pPr>
                    <w:pStyle w:val="Normal"/>
                    <w:keepLines w:val="on"/>
                  </w:pPr>
                  <w:r>
                    <w:t>19.39%</w:t>
                  </w:r>
                </w:p>
              </w:tc>
            </w:tr>
            <w:tr>
              <w:tc>
                <w:tcPr>
                  <w:tcW w:type="auto" w:w="0"/>
                  <w:shd w:val="clear" w:color="auto" w:fill="F0F0F0"/>
                </w:tcPr>
                <w:p>
                  <w:pPr>
                    <w:pStyle w:val="Para 02"/>
                    <w:keepLines w:val="on"/>
                  </w:pPr>
                  <w:r>
                    <w:t>First Union Corp.</w:t>
                  </w:r>
                </w:p>
              </w:tc>
              <w:tc>
                <w:tcPr>
                  <w:tcW w:type="auto" w:w="0"/>
                  <w:shd w:val="clear" w:color="auto" w:fill="F0F0F0"/>
                </w:tcPr>
                <w:p>
                  <w:pPr>
                    <w:pStyle w:val="Normal"/>
                    <w:keepLines w:val="on"/>
                  </w:pPr>
                  <w:r>
                    <w:t>1.52</w:t>
                  </w:r>
                </w:p>
              </w:tc>
              <w:tc>
                <w:tcPr>
                  <w:tcW w:type="auto" w:w="0"/>
                  <w:shd w:val="clear" w:color="auto" w:fill="F0F0F0"/>
                </w:tcPr>
                <w:p>
                  <w:pPr>
                    <w:pStyle w:val="Normal"/>
                    <w:keepLines w:val="on"/>
                  </w:pPr>
                  <w:r>
                    <w:t>19.66%</w:t>
                  </w:r>
                </w:p>
              </w:tc>
            </w:tr>
            <w:tr>
              <w:tc>
                <w:tcPr>
                  <w:tcW w:type="auto" w:w="0"/>
                  <w:shd w:val="clear" w:color="auto" w:fill="F0F0F0"/>
                </w:tcPr>
                <w:p>
                  <w:pPr>
                    <w:pStyle w:val="Para 02"/>
                    <w:keepLines w:val="on"/>
                  </w:pPr>
                  <w:r>
                    <w:t>FleetBoston Fin’l.</w:t>
                  </w:r>
                </w:p>
              </w:tc>
              <w:tc>
                <w:tcPr>
                  <w:tcW w:type="auto" w:w="0"/>
                  <w:shd w:val="clear" w:color="auto" w:fill="F0F0F0"/>
                </w:tcPr>
                <w:p>
                  <w:pPr>
                    <w:pStyle w:val="Normal"/>
                    <w:keepLines w:val="on"/>
                  </w:pPr>
                  <w:r>
                    <w:t>2.25</w:t>
                  </w:r>
                </w:p>
              </w:tc>
              <w:tc>
                <w:tcPr>
                  <w:tcW w:type="auto" w:w="0"/>
                  <w:shd w:val="clear" w:color="auto" w:fill="F0F0F0"/>
                </w:tcPr>
                <w:p>
                  <w:pPr>
                    <w:pStyle w:val="Normal"/>
                    <w:keepLines w:val="on"/>
                  </w:pPr>
                  <w:r>
                    <w:t>20,15%</w:t>
                  </w:r>
                </w:p>
              </w:tc>
            </w:tr>
            <w:tr>
              <w:tc>
                <w:tcPr>
                  <w:tcW w:type="auto" w:w="0"/>
                  <w:shd w:val="clear" w:color="auto" w:fill="F0F0F0"/>
                </w:tcPr>
                <w:p>
                  <w:pPr>
                    <w:pStyle w:val="Para 02"/>
                    <w:keepLines w:val="on"/>
                  </w:pPr>
                  <w:r>
                    <w:t>Bank of New York</w:t>
                  </w:r>
                </w:p>
              </w:tc>
              <w:tc>
                <w:tcPr>
                  <w:tcW w:type="auto" w:w="0"/>
                  <w:shd w:val="clear" w:color="auto" w:fill="F0F0F0"/>
                </w:tcPr>
                <w:p>
                  <w:pPr>
                    <w:pStyle w:val="Normal"/>
                    <w:keepLines w:val="on"/>
                  </w:pPr>
                  <w:r>
                    <w:t>7,01</w:t>
                  </w:r>
                </w:p>
              </w:tc>
              <w:tc>
                <w:tcPr>
                  <w:tcW w:type="auto" w:w="0"/>
                  <w:shd w:val="clear" w:color="auto" w:fill="F0F0F0"/>
                </w:tcPr>
                <w:p>
                  <w:pPr>
                    <w:pStyle w:val="Normal"/>
                    <w:keepLines w:val="on"/>
                  </w:pPr>
                  <w:r>
                    <w:t>25,36%</w:t>
                  </w:r>
                </w:p>
              </w:tc>
            </w:tr>
            <w:tr>
              <w:tc>
                <w:tcPr>
                  <w:tcW w:type="auto" w:w="0"/>
                  <w:shd w:val="clear" w:color="auto" w:fill="F0F0F0"/>
                </w:tcPr>
                <w:p>
                  <w:pPr>
                    <w:pStyle w:val="Para 02"/>
                    <w:keepLines w:val="on"/>
                  </w:pPr>
                  <w:r>
                    <w:t>Chase Manhattan Corp.</w:t>
                  </w:r>
                </w:p>
              </w:tc>
              <w:tc>
                <w:tcPr>
                  <w:tcW w:type="auto" w:w="0"/>
                  <w:shd w:val="clear" w:color="auto" w:fill="F0F0F0"/>
                </w:tcPr>
                <w:p>
                  <w:pPr>
                    <w:pStyle w:val="Normal"/>
                    <w:keepLines w:val="on"/>
                  </w:pPr>
                  <w:r>
                    <w:t>2,60</w:t>
                  </w:r>
                </w:p>
              </w:tc>
              <w:tc>
                <w:tcPr>
                  <w:tcW w:type="auto" w:w="0"/>
                  <w:shd w:val="clear" w:color="auto" w:fill="F0F0F0"/>
                </w:tcPr>
                <w:p>
                  <w:pPr>
                    <w:pStyle w:val="Normal"/>
                    <w:keepLines w:val="on"/>
                  </w:pPr>
                  <w:r>
                    <w:t>24,60%</w:t>
                  </w:r>
                </w:p>
              </w:tc>
            </w:tr>
            <w:tr>
              <w:tc>
                <w:tcPr>
                  <w:tcW w:type="auto" w:w="0"/>
                  <w:shd w:val="clear" w:color="auto" w:fill="F0F0F0"/>
                </w:tcPr>
                <w:p>
                  <w:pPr>
                    <w:pStyle w:val="Para 02"/>
                    <w:keepLines w:val="on"/>
                  </w:pPr>
                  <w:r>
                    <w:t>Wells Fargo</w:t>
                  </w:r>
                </w:p>
              </w:tc>
              <w:tc>
                <w:tcPr>
                  <w:tcW w:type="auto" w:w="0"/>
                  <w:shd w:val="clear" w:color="auto" w:fill="F0F0F0"/>
                </w:tcPr>
                <w:p>
                  <w:pPr>
                    <w:pStyle w:val="Normal"/>
                    <w:keepLines w:val="on"/>
                  </w:pPr>
                  <w:r>
                    <w:t>3,07</w:t>
                  </w:r>
                </w:p>
              </w:tc>
              <w:tc>
                <w:tcPr>
                  <w:tcW w:type="auto" w:w="0"/>
                  <w:shd w:val="clear" w:color="auto" w:fill="F0F0F0"/>
                </w:tcPr>
                <w:p>
                  <w:pPr>
                    <w:pStyle w:val="Normal"/>
                    <w:keepLines w:val="on"/>
                  </w:pPr>
                  <w:r>
                    <w:t>17,72%</w:t>
                  </w:r>
                </w:p>
              </w:tc>
            </w:tr>
            <w:tr>
              <w:tc>
                <w:tcPr>
                  <w:tcW w:type="auto" w:w="0"/>
                  <w:shd w:val="clear" w:color="auto" w:fill="F0F0F0"/>
                </w:tcPr>
                <w:p>
                  <w:pPr>
                    <w:pStyle w:val="Para 02"/>
                    <w:keepLines w:val="on"/>
                  </w:pPr>
                  <w:r>
                    <w:t>Bank of America</w:t>
                  </w:r>
                </w:p>
              </w:tc>
              <w:tc>
                <w:tcPr>
                  <w:tcW w:type="auto" w:w="0"/>
                  <w:shd w:val="clear" w:color="auto" w:fill="F0F0F0"/>
                </w:tcPr>
                <w:p>
                  <w:pPr>
                    <w:pStyle w:val="Normal"/>
                    <w:keepLines w:val="on"/>
                  </w:pPr>
                  <w:r>
                    <w:t>1,69</w:t>
                  </w:r>
                </w:p>
              </w:tc>
              <w:tc>
                <w:tcPr>
                  <w:tcW w:type="auto" w:w="0"/>
                  <w:shd w:val="clear" w:color="auto" w:fill="F0F0F0"/>
                </w:tcPr>
                <w:p>
                  <w:pPr>
                    <w:pStyle w:val="Normal"/>
                    <w:keepLines w:val="on"/>
                  </w:pPr>
                  <w:r>
                    <w:t>19,31%</w:t>
                  </w:r>
                </w:p>
              </w:tc>
            </w:tr>
            <w:tr>
              <w:tc>
                <w:tcPr>
                  <w:tcW w:type="auto" w:w="0"/>
                  <w:shd w:val="clear" w:color="auto" w:fill="F0F0F0"/>
                </w:tcPr>
                <w:p>
                  <w:pPr>
                    <w:pStyle w:val="Para 02"/>
                    <w:keepLines w:val="on"/>
                  </w:pPr>
                  <w:r>
                    <w:t>Bank of Montreal</w:t>
                  </w:r>
                </w:p>
              </w:tc>
              <w:tc>
                <w:tcPr>
                  <w:tcW w:type="auto" w:w="0"/>
                  <w:shd w:val="clear" w:color="auto" w:fill="F0F0F0"/>
                </w:tcPr>
                <w:p>
                  <w:pPr>
                    <w:pStyle w:val="Normal"/>
                    <w:keepLines w:val="on"/>
                  </w:pPr>
                  <w:r>
                    <w:t>1,23</w:t>
                  </w:r>
                </w:p>
              </w:tc>
              <w:tc>
                <w:tcPr>
                  <w:tcW w:type="auto" w:w="0"/>
                  <w:shd w:val="clear" w:color="auto" w:fill="F0F0F0"/>
                </w:tcPr>
                <w:p>
                  <w:pPr>
                    <w:pStyle w:val="Normal"/>
                    <w:keepLines w:val="on"/>
                  </w:pPr>
                  <w:r>
                    <w:t>18,08%</w:t>
                  </w:r>
                </w:p>
              </w:tc>
            </w:tr>
          </w:tbl>
          <w:p/>
        </w:tc>
      </w:tr>
    </w:tbl>
    <w:p>
      <w:pPr>
        <w:numPr>
          <w:ilvl w:val="1"/>
          <w:numId w:val="211"/>
        </w:numPr>
        <w:pStyle w:val="Para 01"/>
      </w:pPr>
      <w:r>
        <w:t>Nếu bạn đang định giá SunTrust Banks so với các công ty này, bạn có kỳ vọng nó có tỷ lệ giá trên giá trị sổ sách (price-to-book ratio) cao hơn hay thấp hơn mức trung bình của nhóm không? Giải thích lý do.</w:t>
      </w:r>
    </w:p>
    <w:p>
      <w:pPr>
        <w:numPr>
          <w:ilvl w:val="1"/>
          <w:numId w:val="211"/>
        </w:numPr>
        <w:pStyle w:val="Para 01"/>
      </w:pPr>
      <w:r>
        <w:t>Nếu bạn hồi quy tỷ lệ giá trên giá trị sổ sách theo lợi nhuận trên vốn chủ sở hữu (return on equity), tỷ lệ giá trên giá trị sổ sách dự đoán của bạn cho mỗi công ty này sẽ là bao nhiêu?</w:t>
      </w:r>
    </w:p>
    <w:p>
      <w:pPr>
        <w:numPr>
          <w:ilvl w:val="0"/>
          <w:numId w:val="211"/>
        </w:numPr>
        <w:pStyle w:val="Para 01"/>
      </w:pPr>
      <w:r>
        <w:t>Signet Bank đã nhờ bạn ước tính giá trị danh mục cho vay của ngân hàng. Ngân hàng có 1 tỷ đô la dư nợ cho vay, với kỳ đáo hạn trung bình là sáu năm, và thu nhập lãi dự kiến là 75 triệu đô la một năm. Bạn đã có thể có được xếp hạng tổng hợp (synthetic rating) là A cho toàn bộ danh mục cho vay, và lãi suất thị trường hiện tại đối với trái phiếu xếp hạng A là 6,5%.</w:t>
      </w:r>
    </w:p>
    <w:p>
      <w:pPr>
        <w:numPr>
          <w:ilvl w:val="1"/>
          <w:numId w:val="211"/>
        </w:numPr>
        <w:pStyle w:val="Para 01"/>
      </w:pPr>
      <w:r>
        <w:t>Ước tính giá trị của danh mục cho vay.</w:t>
      </w:r>
    </w:p>
    <w:p>
      <w:pPr>
        <w:numPr>
          <w:ilvl w:val="1"/>
          <w:numId w:val="211"/>
        </w:numPr>
        <w:pStyle w:val="Para 01"/>
      </w:pPr>
      <w:r>
        <w:t>Nếu Signet Bank có 800 triệu đô la dư nợ, hãy ước tính giá trị vốn chủ sở hữu của ngân hàng dựa trên các khoản cho vay mà ngân hàng đang có.</w:t>
      </w:r>
    </w:p>
    <w:p>
      <w:pPr>
        <w:numPr>
          <w:ilvl w:val="0"/>
          <w:numId w:val="211"/>
        </w:numPr>
        <w:pStyle w:val="Para 01"/>
      </w:pPr>
      <w:r>
        <w:t>Loomis Capital là một ngân hàng đầu tư boutique đã báo cáo lợi nhuận trên vốn chủ sở hữu là 20% trên vốn chủ sở hữu sổ sách là 100 triệu đô la trong năm tài chính vừa kết thúc. Beta của ngân hàng là 1,20, lãi suất phi rủi ro là 5,2%, và phần bù rủi ro là 4%. Bạn giả định rằng lợi nhuận trên vốn chủ sở hữu hiện tại và chi phí vốn chủ sở hữu sẽ tiếp tục không đổi trong 10 năm tới, và sẽ không có lợi nhuận vượt trội (excess returns) sau năm thứ 10. Tỷ lệ chi trả cổ tức (payout ratio) của công ty là 30%.</w:t>
      </w:r>
    </w:p>
    <w:p>
      <w:pPr>
        <w:numPr>
          <w:ilvl w:val="1"/>
          <w:numId w:val="211"/>
        </w:numPr>
        <w:pStyle w:val="Para 01"/>
      </w:pPr>
      <w:r>
        <w:t>Ước tính lợi nhuận vượt trội trên vốn chủ sở hữu bằng đô la mỗi năm trong 10 năm tới.</w:t>
      </w:r>
    </w:p>
    <w:p>
      <w:pPr>
        <w:numPr>
          <w:ilvl w:val="1"/>
          <w:numId w:val="211"/>
        </w:numPr>
        <w:pStyle w:val="Para 01"/>
      </w:pPr>
      <w:r>
        <w:t>Ước tính giá trị vốn chủ sở hữu ngày hôm nay, sử dụng phương pháp lợi nhuận vượt trội (excess return approach).</w:t>
      </w:r>
    </w:p>
    <w:p>
      <w:pPr>
        <w:numPr>
          <w:ilvl w:val="1"/>
          <w:numId w:val="211"/>
        </w:numPr>
        <w:pStyle w:val="Para 01"/>
      </w:pPr>
      <w:r>
        <w:t>Câu trả lời của bạn cho phần (b) sẽ thay đổi như thế nào nếu bạn được cho biết rằng lợi nhuận trên vốn chủ sở hữu sẽ giảm xuống 15% sau năm thứ 10 và duy trì ở mức đó mãi mãi?</w:t>
      </w:r>
    </w:p>
    <w:p>
      <w:bookmarkStart w:id="4548" w:name="Notes__1__The_adjustment_in_the"/>
      <w:bookmarkStart w:id="4549" w:name="Notes_20"/>
      <w:pPr>
        <w:keepNext/>
        <w:pStyle w:val="Heading 2"/>
        <w:keepLines w:val="on"/>
      </w:pPr>
      <w:r>
        <w:t>Ghi chú</w:t>
      </w:r>
      <w:bookmarkEnd w:id="4548"/>
      <w:bookmarkEnd w:id="4549"/>
    </w:p>
    <w:p>
      <w:pPr>
        <w:pStyle w:val="Para 08"/>
      </w:pPr>
      <w:r>
        <w:t>1. Việc điều chỉnh tỷ lệ chi trả (payout ratio) là tuyến tính. Tỷ lệ chi trả hiện tại là 6,41% và tỷ lệ chi trả thời kỳ ổn định là 44,44%. Chia chênh lệch 38,03% cho bốn năm, ta được mức tăng tỷ lệ chi trả là 9,51% mỗi năm.</w:t>
      </w:r>
    </w:p>
    <w:p>
      <w:pPr>
        <w:pStyle w:val="Para 08"/>
      </w:pPr>
      <w:r>
        <w:t>2. Như ở các chương trước, khi chi phí vốn chủ sở hữu (cost of equity) hoặc chi phí vốn (cost of capital) thay đổi, bạn phải tính chi phí vốn chủ sở hữu lũy kế (cumulated cost of equity). Cách tính chi phí vốn chủ sở hữu lũy kế cho năm thứ 7 được trình bày ở đây:</w:t>
      </w:r>
    </w:p>
    <w:p>
      <w:bookmarkStart w:id="4552" w:name="Cumulated_cost_of_equity_discoun"/>
      <w:pPr>
        <w:keepNext/>
        <w:pStyle w:val="Para 53"/>
        <w:keepLines w:val="on"/>
      </w:pPr>
      <w:r>
        <w:t>Hệ số chiết khấu chi phí vốn chủ sở hữu lũy kế=(1,2034)41,19661,1897(1,1829)=3,5320</w:t>
      </w:r>
      <w:bookmarkEnd w:id="4552"/>
    </w:p>
    <w:p>
      <w:pPr>
        <w:pStyle w:val="Para 08"/>
      </w:pPr>
      <w:r>
        <w:t>3. Vốn cấp 1 (Tier 1 capital), ít nhất theo định nghĩa của hiệp ước Basel, được xây dựng xoay quanh vốn chủ sở hữu (equity capital). Dù vậy, định nghĩa vốn chủ sở hữu trong ngành ngân hàng không phải lúc nào cũng tương ứng với vốn chủ sở hữu phổ thông (common equity) theo cách các kế toán viên định nghĩa.</w:t>
      </w:r>
    </w:p>
    <w:p>
      <w:pPr>
        <w:pStyle w:val="Para 08"/>
      </w:pPr>
      <w:r>
        <w:t>4. Nếu bạn thấy những nhà quản lý tài sản (asset manager) dường như cung cấp dịch vụ miễn phí, thì thường là họ có những cơ chế khác để tạo ra lợi nhuận, và một số trong đó khá đáng ngờ.</w:t>
      </w:r>
    </w:p>
    <w:p>
      <w:bookmarkStart w:id="4556" w:name="Chapter_22Valuing_Money_Losing_F"/>
      <w:bookmarkStart w:id="4557" w:name="Top_of_c022_xhtml"/>
      <w:bookmarkStart w:id="4558" w:name="Chapter_22Valuing_Money_Losing_F_1"/>
      <w:pPr>
        <w:keepNext/>
        <w:pStyle w:val="Heading 1"/>
        <w:pageBreakBefore w:val="on"/>
        <w:keepLines w:val="on"/>
      </w:pPr>
      <w:r>
        <w:t>CHƯƠNG 22</w:t>
      </w:r>
      <w:r>
        <w:br/>
      </w:r>
      <w:r>
        <w:t>Định giá các công ty thua lỗ</w:t>
      </w:r>
      <w:bookmarkEnd w:id="4556"/>
      <w:bookmarkEnd w:id="4557"/>
      <w:bookmarkEnd w:id="4558"/>
    </w:p>
    <w:p>
      <w:pPr>
        <w:pStyle w:val="Para 03"/>
      </w:pPr>
      <w:r>
        <w:t>Trong hầu hết các phần định giá từ đầu cuốn sách đến giờ, chúng ta đã xem xét những công ty có lợi nhuận dương. Trong chương này, ta xét một nhóm nhỏ các công ty có lợi nhuận âm hoặc lợi nhuận thấp bất thường và tìm hiểu cách định giá chúng tốt nhất. Chúng ta bắt đầu bằng việc xem tại sao các công ty lại có lợi nhuận âm ngay từ đầu, rồi sau đó xem xét những cách mà phương pháp định giá phải được điều chỉnh để phản ánh các nguyên nhân gốc rễ đó.</w:t>
      </w:r>
    </w:p>
    <w:p>
      <w:pPr>
        <w:pStyle w:val="Para 03"/>
      </w:pPr>
      <w:r>
        <w:t>Với những công ty gặp vấn đề tạm thời — ví dụ như bị đình công hay phải thu hồi sản phẩm — chúng tôi cho rằng quá trình điều chỉnh khá đơn giản: ta loại ra khỏi lợi nhuận hiện tại phần chi phí gắn với những vấn đề tạm thời đó. Với một công ty có một khoản đầu tư hạ tầng đơn lẻ, thời gian hoàn vốn dài (ví dụ đường thu phí, một con đập), ta xem cách xử lý tốt nhất các mô hình dòng tiền phát sinh. Với các công ty mang tính chu kỳ (cyclical), nơi lợi nhuận âm là do nền kinh tế tổng thể suy thoái, và với các công ty hàng hóa (commodity), nơi những biến động chu kỳ của giá hàng hóa có thể ảnh hưởng đến lợi nhuận, chúng tôi cho rằng nên dùng lợi nhuận chuẩn hóa (normalized earnings) trong định giá. Với những công ty có vấn đề chiến lược hoặc vận hành dài hạn (ví dụ nhà máy lạc hậu, lực lượng lao động được đào tạo kém, hay những khoản đầu tư tồi trong quá khứ), quá trình định giá trở nên phức tạp hơn vì ta phải đưa ra giả định về việc liệu công ty có thể vượt qua được các vấn đề của mình và tái cấu trúc hay không. Cuối cùng, ta xem xét những công ty có lợi nhuận âm vì đã vay quá nhiều, và cân nhắc cách xử lý tốt nhất khả năng vỡ nợ (default).</w:t>
      </w:r>
    </w:p>
    <w:p>
      <w:pPr>
        <w:pStyle w:val="Para 03"/>
      </w:pPr>
      <w:r>
        <w:t>Còn một nhóm công ty cuối cùng (tức là các start-up và công ty non trẻ, một số trong đó có thể có tiềm năng khổng lồ), nơi lợi nhuận âm là vì họ chưa tìm ra mô hình kinh doanh khả thi (hoặc trong một số trường hợp, chưa có sản phẩm hay dịch vụ có thể tiếp thị được), hoặc vì họ vẫn đang trong quá trình mở rộng quy mô. Chúng ta sẽ xem xét những công ty này ở Chương 23.</w:t>
      </w:r>
    </w:p>
    <w:p>
      <w:bookmarkStart w:id="4560" w:name="Negative_Earnings__Consequences"/>
      <w:bookmarkStart w:id="4561" w:name="Negative_Earnings__Consequences_1"/>
      <w:pPr>
        <w:keepNext/>
        <w:pStyle w:val="Heading 2"/>
        <w:keepLines w:val="on"/>
      </w:pPr>
      <w:r>
        <w:t>Lợi nhuận âm: Hệ quả và Nguyên nhân</w:t>
      </w:r>
      <w:bookmarkEnd w:id="4560"/>
      <w:bookmarkEnd w:id="4561"/>
    </w:p>
    <w:p>
      <w:pPr>
        <w:pStyle w:val="Para 03"/>
      </w:pPr>
      <w:r>
        <w:t>Một công ty có lợi nhuận âm hoặc lợi nhuận thấp bất thường thì khó định giá hơn một công ty có lợi nhuận dương. Phần này xem xét tại sao những công ty như vậy lại gây khó khăn cho các nhà phân tích ngay từ đầu, rồi tiếp đó xem xét các nguyên nhân dẫn đến lợi nhuận âm.</w:t>
      </w:r>
    </w:p>
    <w:p>
      <w:pPr>
        <w:pStyle w:val="Para 20"/>
      </w:pPr>
      <w:r>
        <w:rPr>
          <w:rStyle w:val="Text26"/>
        </w:rPr>
        <w:bookmarkStart w:id="4562" w:name="Page_696"/>
        <w:t/>
        <w:bookmarkEnd w:id="4562"/>
      </w:r>
      <w:r>
        <w:t xml:space="preserve"> </w:t>
      </w:r>
    </w:p>
    <w:p>
      <w:bookmarkStart w:id="4563" w:name="Consequences_of_Negative_or_Abno_1"/>
      <w:bookmarkStart w:id="4564" w:name="Consequences_of_Negative_or_Abno"/>
      <w:pPr>
        <w:keepNext/>
        <w:pStyle w:val="Heading 3"/>
        <w:keepLines w:val="on"/>
      </w:pPr>
      <w:r>
        <w:t>Hệ quả của lợi nhuận âm hoặc thấp bất thường</w:t>
      </w:r>
      <w:bookmarkEnd w:id="4563"/>
      <w:bookmarkEnd w:id="4564"/>
    </w:p>
    <w:p>
      <w:pPr>
        <w:pStyle w:val="Para 03"/>
      </w:pPr>
      <w:r>
        <w:t>Những công ty đang thua lỗ hiện tại tạo ra một số vấn đề cho các nhà phân tích đang cố định giá chúng. Dù không vấn đề nào mang tính khái niệm, chúng đều đáng kể xét về mặt đo lường:</w:t>
      </w:r>
    </w:p>
    <w:p>
      <w:pPr>
        <w:numPr>
          <w:ilvl w:val="0"/>
          <w:numId w:val="212"/>
        </w:numPr>
        <w:pStyle w:val="Para 01"/>
      </w:pPr>
      <w:r>
        <w:t>Không thể ước tính hay sử dụng tốc độ tăng trưởng lợi nhuận trong định giá. Vấn đề đầu tiên và rõ ràng nhất là ta không còn có thể ước tính tốc độ tăng trưởng kỳ vọng của lợi nhuận rồi áp dụng nó vào lợi nhuận hiện tại để ước tính lợi nhuận tương lai. Khi lợi nhuận hiện tại âm, áp dụng một tốc độ tăng trưởng chỉ khiến nó âm thêm. Thực tế, ngay cả việc ước tính tốc độ tăng trưởng lợi nhuận cũng trở nên khó khăn, dù ta dùng tăng trưởng lịch sử, dự báo của nhà phân tích, hay các yếu tố cơ bản.</w:t>
      </w:r>
    </w:p>
    <w:p>
      <w:pPr>
        <w:numPr>
          <w:ilvl w:val="1"/>
          <w:numId w:val="212"/>
        </w:numPr>
        <w:pStyle w:val="Para 01"/>
      </w:pPr>
      <w:r>
        <w:t>Ước tính tăng trưởng lịch sử khi lợi nhuận hiện tại âm là khó, và các con số, kể cả khi ước tính được, thường vô nghĩa. Để thấy tại sao, giả sử lợi nhuận hoạt động của một công ty đã đi từ –200 triệu đô la năm ngoái xuống –100 triệu đô la trong năm nay. Công thức tăng trưởng lịch sử truyền thống cho ra kết quả như sau:</w:t>
      </w:r>
    </w:p>
    <w:p>
      <w:bookmarkStart w:id="4565" w:name="Earnings_growth_rate__100_200_1"/>
      <w:pPr>
        <w:keepNext/>
        <w:pStyle w:val="Para 09"/>
        <w:keepLines w:val="on"/>
      </w:pPr>
      <w:r>
        <w:t>Tốc độ tăng trưởng lợi nhuận=-100-200-1=-50%</w:t>
      </w:r>
      <w:bookmarkEnd w:id="4565"/>
    </w:p>
    <w:p>
      <w:pPr>
        <w:pStyle w:val="Para 03"/>
      </w:pPr>
      <w:r>
        <w:t>Điều này rõ ràng không hợp lý vì công ty này đã cải thiện lợi nhuận trong kỳ. Thực ra, chúng ta đã xem xét vấn đề này ở Chương 11.</w:t>
      </w:r>
    </w:p>
    <w:p>
      <w:pPr>
        <w:numPr>
          <w:ilvl w:val="1"/>
          <w:numId w:val="212"/>
        </w:numPr>
        <w:pStyle w:val="Para 01"/>
      </w:pPr>
      <w:r>
        <w:t>Một cách tiếp cận khác để ước tính tăng trưởng lợi nhuận là dùng ước tính của các nhà phân tích về tăng trưởng lợi nhuận dự báo, đặc biệt là trong năm năm tới. Ước tính đồng thuận về tốc độ tăng trưởng này từ tất cả các nhà phân tích theo dõi một cổ phiếu thường có sẵn như thông tin công khai với nhiều công ty Mỹ, và thường được dùng làm tốc độ tăng trưởng kỳ vọng trong định giá. Với những công ty có lợi nhuận âm trong kỳ hiện tại, ước tính tốc độ tăng trưởng này sẽ không có sẵn hoặc không có ý nghĩa.</w:t>
      </w:r>
    </w:p>
    <w:p>
      <w:pPr>
        <w:numPr>
          <w:ilvl w:val="1"/>
          <w:numId w:val="212"/>
        </w:numPr>
        <w:pStyle w:val="Para 01"/>
      </w:pPr>
      <w:r>
        <w:t>Cách tiếp cận thứ ba để ước tính tăng trưởng lợi nhuận là dùng các yếu tố cơ bản. Cách này cũng khó áp dụng cho những công ty có lợi nhuận âm, vì hai yếu tố đầu vào cơ bản — lợi suất thu được trên các khoản đầu tư (lợi nhuận trên vốn chủ sở hữu hoặc trên vốn) và tỷ lệ tái đầu tư (hay tỷ lệ giữ lại) — thường được tính bằng lợi nhuận hiện tại. Khi lợi nhuận hiện tại âm, cả hai yếu tố đầu vào này đều trở nên vô nghĩa xét từ góc độ ước tính tăng trưởng kỳ vọng.</w:t>
      </w:r>
    </w:p>
    <w:p>
      <w:pPr>
        <w:numPr>
          <w:ilvl w:val="0"/>
          <w:numId w:val="212"/>
        </w:numPr>
        <w:pStyle w:val="Para 01"/>
      </w:pPr>
      <w:r>
        <w:t>Việc tính thuế trở nên phức tạp hơn. Cách tiếp cận chuẩn để ước tính thuế là áp dụng thuế suất biên (marginal tax rate) lên lợi nhuận hoạt động trước thuế để ra lợi nhuận hoạt động sau thuế:</w:t>
      </w:r>
    </w:p>
    <w:p>
      <w:bookmarkStart w:id="4566" w:name="After_tax_operating_income_Preta"/>
      <w:pPr>
        <w:keepNext/>
        <w:pStyle w:val="Para 09"/>
        <w:keepLines w:val="on"/>
      </w:pPr>
      <w:r>
        <w:t>Lợi nhuận hoạt động sau thuế=Lợi nhuận hoạt động trước thuế(1-Thuế suất)</w:t>
      </w:r>
      <w:bookmarkEnd w:id="4566"/>
    </w:p>
    <w:p>
      <w:pPr>
        <w:pStyle w:val="Para 03"/>
      </w:pPr>
      <w:r>
        <w:t>Cách tính này giả định rằng lợi nhuận tạo ra nghĩa vụ thuế trong kỳ hiện tại. Dù điều này nhìn chung đúng, những công ty đang thua lỗ có thể mang các khoản lỗ này sang các kỳ sau và áp dụng chúng vào lợi nhuận trong những kỳ tương lai. Vì vậy, các nhà phân tích định giá những công ty có lợi nhuận âm phải theo dõi các khoản lỗ hoạt động ròng (net operating losses) của những công ty này, và nhớ dùng chúng để che chắn thu nhập trong các kỳ tương lai khỏi thuế.</w:t>
      </w:r>
    </w:p>
    <w:p>
      <w:pPr>
        <w:numPr>
          <w:ilvl w:val="0"/>
          <w:numId w:val="212"/>
        </w:numPr>
        <w:pStyle w:val="Para 01"/>
      </w:pPr>
      <w:r>
        <w:t>Giả định hoạt động liên tục (going concern) có thể không còn đúng. Vấn đề cuối cùng gắn với việc định giá các công ty có lợi nhuận âm là khả năng rất thực tế rằng những công ty này sẽ phá sản nếu lợi nhuận cứ tiếp tục âm, và giả định về vòng đời vô hạn làm nền tảng cho việc ước tính giá trị cuối kỳ (terminal value) có thể không còn đúng trong những trường hợp này.</w:t>
      </w:r>
    </w:p>
    <w:p>
      <w:pPr>
        <w:pStyle w:val="Para 03"/>
      </w:pPr>
      <w:r>
        <w:t>Những vấn đề này ít lộ rõ hơn nhưng vẫn tồn tại với các công ty có lợi nhuận thấp bất thường; tức là lợi nhuận hiện tại của công ty thấp hơn nhiều so với mức công ty từng kiếm được trong quá khứ. Dù bạn có thể tính tăng trưởng lịch sử và tăng trưởng cơ bản cho những công ty này, chúng cũng có khả năng vô nghĩa vì lợi nhuận hiện tại đang bị kìm hãm. Tốc độ tăng trưởng lợi nhuận lịch sử sẽ âm, và các yếu tố cơ bản sẽ cho ra những ước tính rất thấp về tăng trưởng kỳ vọng.</w:t>
      </w:r>
    </w:p>
    <w:p>
      <w:bookmarkStart w:id="4568" w:name="Causes_of_Negative_Earnings__The"/>
      <w:bookmarkStart w:id="4569" w:name="Causes_of_Negative_Earnings"/>
      <w:pPr>
        <w:keepNext/>
        <w:pStyle w:val="Heading 3"/>
        <w:keepLines w:val="on"/>
      </w:pPr>
      <w:r>
        <w:t>Nguyên nhân dẫn đến lợi nhuận âm</w:t>
      </w:r>
      <w:bookmarkEnd w:id="4568"/>
      <w:bookmarkEnd w:id="4569"/>
    </w:p>
    <w:p>
      <w:pPr>
        <w:pStyle w:val="Para 03"/>
      </w:pPr>
      <w:r>
        <w:t>Có nhiều lý do khiến các doanh nghiệp có lợi nhuận âm hoặc thấp bất thường, một số có thể được xem là tạm thời, một số là dài hạn, và một số liên quan đến vị trí của doanh nghiệp trong vòng đời phát triển.</w:t>
      </w:r>
    </w:p>
    <w:p>
      <w:bookmarkStart w:id="4570" w:name="Temporary_Problems__For_some_fir"/>
      <w:bookmarkStart w:id="4571" w:name="Temporary_Problems"/>
      <w:pPr>
        <w:keepNext/>
        <w:pStyle w:val="Heading 4"/>
        <w:keepLines w:val="on"/>
      </w:pPr>
      <w:r>
        <w:t>Vấn đề tạm thời</w:t>
      </w:r>
      <w:bookmarkEnd w:id="4570"/>
      <w:bookmarkEnd w:id="4571"/>
    </w:p>
    <w:p>
      <w:pPr>
        <w:pStyle w:val="Para 03"/>
      </w:pPr>
      <w:r>
        <w:t>Đối với một số doanh nghiệp, lợi nhuận âm là kết quả của những vấn đề tạm thời, đôi khi chỉ ảnh hưởng đến riêng doanh nghiệp đó, đôi khi ảnh hưởng đến cả một ngành, và đôi khi là kết quả của sự suy thoái kinh tế:</w:t>
      </w:r>
    </w:p>
    <w:p>
      <w:pPr>
        <w:numPr>
          <w:ilvl w:val="0"/>
          <w:numId w:val="213"/>
        </w:numPr>
        <w:pStyle w:val="Para 01"/>
      </w:pPr>
      <w:r>
        <w:t>Những lý do riêng của từng doanh nghiệp dẫn đến lợi nhuận âm có thể bao gồm việc nhân viên đình công, một đợt thu hồi sản phẩm tốn kém, hoặc một phán quyết bồi thường lớn trong vụ kiện chống lại doanh nghiệp. Mặc dù những điều này chắc chắn sẽ làm giảm lợi nhuận, nhưng tác động thường chỉ xảy ra một lần và không ảnh hưởng đến lợi nhuận trong tương lai.</w:t>
      </w:r>
    </w:p>
    <w:p>
      <w:pPr>
        <w:numPr>
          <w:ilvl w:val="0"/>
          <w:numId w:val="213"/>
        </w:numPr>
        <w:pStyle w:val="Para 01"/>
      </w:pPr>
      <w:r>
        <w:t>Những lý do mang tính toàn ngành dẫn đến lợi nhuận âm có thể bao gồm sự sụt giảm giá của một loại hàng hóa đối với doanh nghiệp sản xuất loại hàng hóa đó. Chẳng hạn, các doanh nghiệp giấy và bột giấy thường trải qua các chu kỳ giá giấy cao (và lợi nhuận cao), tiếp theo là giá giấy thấp (và thua lỗ). Trong một số trường hợp, lợi nhuận âm có thể phát sinh từ việc gián đoạn nguồn cung cấp chung cho một nguyên liệu thô thiết yếu hoặc giá nguyên liệu đó tăng vọt. Ví dụ, giá dầu tăng sẽ ảnh hưởng tiêu cực đến lợi nhuận của tất cả các hãng hàng không.</w:t>
      </w:r>
    </w:p>
    <w:p>
      <w:pPr>
        <w:numPr>
          <w:ilvl w:val="0"/>
          <w:numId w:val="213"/>
        </w:numPr>
        <w:pStyle w:val="Para 01"/>
      </w:pPr>
      <w:r>
        <w:t>Đối với các doanh nghiệp mang tính chu kỳ, suy thoái kinh tế sẽ ảnh hưởng đến doanh thu và lợi nhuận. Do đó, không có gì ngạc nhiên khi các công ty ô tô báo cáo lợi nhuận thấp hoặc âm trong thời kỳ kinh tế khó khăn.</w:t>
      </w:r>
    </w:p>
    <w:p>
      <w:pPr>
        <w:pStyle w:val="Para 03"/>
      </w:pPr>
      <w:r>
        <w:t>Điểm chung của tất cả các doanh nghiệp này là chúng ta kỳ vọng lợi nhuận sẽ phục hồi sớm hơn là muộn khi vấn đề qua đi. Vì vậy, chúng ta kỳ vọng lợi nhuận của một doanh nghiệp mang tính chu kỳ sẽ bật trở lại khi nền kinh tế hồi phục, và lợi nhuận của một hãng hàng không sẽ cải thiện khi giá dầu ổn định trở lại.</w:t>
      </w:r>
    </w:p>
    <w:p>
      <w:bookmarkStart w:id="4572" w:name="Infrastructure_Firms__The_nature"/>
      <w:bookmarkStart w:id="4573" w:name="Infrastructure_Firms"/>
      <w:pPr>
        <w:keepNext/>
        <w:pStyle w:val="Heading 4"/>
        <w:keepLines w:val="on"/>
      </w:pPr>
      <w:r>
        <w:t>Các doanh nghiệp hạ tầng</w:t>
      </w:r>
      <w:bookmarkEnd w:id="4572"/>
      <w:bookmarkEnd w:id="4573"/>
    </w:p>
    <w:p>
      <w:pPr>
        <w:pStyle w:val="Para 03"/>
      </w:pPr>
      <w:r>
        <w:t>Bản chất của các khoản đầu tư hạ tầng là chúng không chỉ đòi hỏi lượng vốn đầu tư lớn ban đầu, mà còn phải chờ đợi vài năm hoặc nhiều năm trước khi khoản đầu tư bắt đầu mang lại kết quả hoạt động. Với một công ty hạ tầng đã trưởng thành, điều này thường không phải là vấn đề lớn vì công ty sở hữu một danh mục các dự án hạ tầng ở nhiều giai đoạn khác nhau trong chu kỳ, và lợi nhuận cùng dòng tiền sẽ phản ánh danh mục đa dạng đó.</w:t>
      </w:r>
    </w:p>
    <w:p>
      <w:pPr>
        <w:pStyle w:val="Para 20"/>
      </w:pPr>
      <w:r>
        <w:rPr>
          <w:rStyle w:val="Text26"/>
        </w:rPr>
        <w:bookmarkStart w:id="4574" w:name="Page_698"/>
        <w:t/>
        <w:bookmarkEnd w:id="4574"/>
      </w:r>
      <w:r>
        <w:t xml:space="preserve"> </w:t>
      </w:r>
    </w:p>
    <w:p>
      <w:pPr>
        <w:pStyle w:val="Para 03"/>
      </w:pPr>
      <w:r>
        <w:t>Tuy nhiên, có những trường hợp một công ty được thành lập chỉ để thực hiện một khoản đầu tư hạ tầng duy nhất, chẳng hạn như xây dựng một sân bay hoặc một con đường thu phí, với chỉ chi phí đầu tư phát sinh trong ngắn hạn khi hạ tầng được xây dựng, và tiềm năng thu lợi từ khoản đầu tư này thông qua phí và doanh thu trong những năm sau đó. Hình 22.1 tóm tắt thách thức này.</w:t>
      </w:r>
    </w:p>
    <w:p>
      <w:bookmarkStart w:id="4576" w:name="Figure_22_1_Infrastructure_Inve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13000" cy="596900"/>
            <wp:effectExtent l="0" r="0" t="0" b="0"/>
            <wp:wrapTopAndBottom/>
            <wp:docPr id="214" name="c22f001.png" descr="Timeline with construction period has negative cash flow and operating period has cash flows generated from infrastructure investment."/>
            <wp:cNvGraphicFramePr>
              <a:graphicFrameLocks noChangeAspect="1"/>
            </wp:cNvGraphicFramePr>
            <a:graphic>
              <a:graphicData uri="http://schemas.openxmlformats.org/drawingml/2006/picture">
                <pic:pic>
                  <pic:nvPicPr>
                    <pic:cNvPr id="0" name="c22f001.png" descr="Timeline with construction period has negative cash flow and operating period has cash flows generated from infrastructure investment."/>
                    <pic:cNvPicPr/>
                  </pic:nvPicPr>
                  <pic:blipFill>
                    <a:blip r:embed="rId153"/>
                    <a:stretch>
                      <a:fillRect/>
                    </a:stretch>
                  </pic:blipFill>
                  <pic:spPr>
                    <a:xfrm>
                      <a:off x="0" y="0"/>
                      <a:ext cx="2413000" cy="596900"/>
                    </a:xfrm>
                    <a:prstGeom prst="rect">
                      <a:avLst/>
                    </a:prstGeom>
                  </pic:spPr>
                </pic:pic>
              </a:graphicData>
            </a:graphic>
          </wp:anchor>
        </w:drawing>
      </w:r>
      <w:bookmarkEnd w:id="4576"/>
    </w:p>
    <w:p>
      <w:pPr>
        <w:keepNext/>
        <w:pStyle w:val="Para 22"/>
        <w:keepLines w:val="on"/>
      </w:pPr>
      <w:r>
        <w:t>Hình 22.1 Đầu tư hạ tầng — Hồ sơ dòng tiền</w:t>
      </w:r>
    </w:p>
    <w:p>
      <w:pPr>
        <w:pStyle w:val="Para 03"/>
      </w:pPr>
      <w:r>
        <w:t>Bản thân dòng tiền này không có gì đặc biệt, nhưng có những câu hỏi về định giá cần được trả lời, đặc biệt khi bạn định giá nó trước hoặc trong giai đoạn đầu của quá trình xây dựng, bao gồm cả những câu hỏi mà chúng ta sẽ xem xét câu trả lời ở phần sau của chương này.</w:t>
      </w:r>
    </w:p>
    <w:p>
      <w:pPr>
        <w:pStyle w:val="Para 03"/>
      </w:pPr>
      <w:r>
        <w:t>Nếu ngành kinh doanh mà doanh nghiệp đang hoạt động đòi hỏi các khoản đầu tư hạ tầng lớn ngay từ giai đoạn đầu của vòng đời và doanh nghiệp phải chờ đợi một thời gian dài trước khi có thể tạo ra lợi nhuận, thì hoàn toàn có khả năng doanh nghiệp sẽ báo cáo thua lỗ lớn trong những giai đoạn đầu khi các khoản đầu tư được thực hiện. Trên thực tế, như một sự phức tạp thêm, nhiều doanh nghiệp trong số này phải vay một lượng lớn để tài trợ cho các khoản đầu tư hạ tầng của mình, tạo ra một sự kết hợp khá độc hại — lợi nhuận âm và đòn bẩy cao.</w:t>
      </w:r>
    </w:p>
    <w:p>
      <w:pPr>
        <w:pStyle w:val="Para 03"/>
      </w:pPr>
      <w:r>
        <w:t>Với sự kết hợp giữa thua lỗ kéo dài và gánh nặng nợ cao như vậy, làm sao một doanh nghiệp hạ tầng — một công ty viễn thông hay công ty truyền hình cáp — có thể có giá trị? Hãy xem xét một con đường dẫn đến thành công. Một doanh nghiệp vay tiền và đầu tư lớn vào hạ tầng. Sau khi thực hiện những khoản đầu tư này, doanh nghiệp có một thị trường an toàn nơi việc gia nhập của đối thủ cạnh tranh là cực kỳ tốn kém. Trong một số trường hợp, doanh nghiệp có thể có độc quyền được pháp luật cho phép để cung cấp dịch vụ. Không cần thêm các khoản đầu tư hạ tầng lớn nào nữa, nhưng khấu hao trên các khoản đầu tư hiện có tiếp tục tạo ra lợi ích thuế lớn. Kết quả ròng là doanh nghiệp sẽ ngồi trên một cỗ máy tiền mặt cho phép không chỉ trả hết nợ mà còn sẵn sàng cho thế hệ đầu tư tiếp theo. Theo một nghĩa nào đó, các công ty điện thoại và công ty điện lực, cũng như một số công ty truyền hình cáp và di động, đã đi theo con đường thành công này trong thế kỷ trước.</w:t>
      </w:r>
    </w:p>
    <w:p>
      <w:pPr>
        <w:pStyle w:val="Para 03"/>
      </w:pPr>
      <w:r>
        <w:t>Vào những năm 1990, chúng ta chứng kiến sự bùng nổ cả về số lượng công ty viễn thông lẫn vốn huy động được của các công ty này cho nhiều dự án khác nhau. Mặc dù họ đi theo con đường quen thuộc với nợ cao và đầu tư hạ tầng lớn ban đầu do các thế hệ tiền bối vạch ra, chúng tôi tin rằng có hai yếu tố then chốt đã thiếu vắng ở thế hệ doanh nghiệp này. Thứ nhất là công nghệ đã trở thành một ẩn số, và các khoản đầu tư lớn vào hạ tầng không đảm bảo khả năng sinh lời trong tương lai, thậm chí không đảm bảo rằng một thị trường sẽ tồn tại. Thứ hai là sự bảo vệ khỏi cạnh tranh — thứ cho phép các doanh nghiệp hạ tầng thời xưa tạo ra lợi nhuận lớn và có thể dự đoán được — khó có thể tồn tại đối với thế hệ doanh nghiệp mới này. Kết quả là, nhiều doanh nghiệp trong số này đã tự đẩy mình vào tình trạng vỡ nợ và phá sản.</w:t>
      </w:r>
    </w:p>
    <w:p>
      <w:pPr>
        <w:pStyle w:val="Para 20"/>
      </w:pPr>
      <w:r>
        <w:rPr>
          <w:rStyle w:val="Text26"/>
        </w:rPr>
        <w:bookmarkStart w:id="4577" w:name="Page_699"/>
        <w:t/>
        <w:bookmarkEnd w:id="4577"/>
      </w:r>
      <w:r>
        <w:t xml:space="preserve"> </w:t>
      </w:r>
    </w:p>
    <w:p>
      <w:bookmarkStart w:id="4578" w:name="Long_Term_Problems__Negative_ear"/>
      <w:bookmarkStart w:id="4579" w:name="Long_Term_Problems"/>
      <w:pPr>
        <w:keepNext/>
        <w:pStyle w:val="Heading 4"/>
        <w:keepLines w:val="on"/>
      </w:pPr>
      <w:r>
        <w:t>Vấn đề dài hạn</w:t>
      </w:r>
      <w:bookmarkEnd w:id="4578"/>
      <w:bookmarkEnd w:id="4579"/>
    </w:p>
    <w:p>
      <w:pPr>
        <w:pStyle w:val="Para 03"/>
      </w:pPr>
      <w:r>
        <w:t>Lợi nhuận âm đôi khi là sự phản ánh những vấn đề sâu xa và mang tính dài hạn hơn nhiều của một doanh nghiệp. Một số là kết quả của những lựa chọn chiến lược tồi tệ trong quá khứ, một số phản ánh sự kém hiệu quả trong vận hành, và một số thuần túy mang tính tài chính, là kết quả của việc doanh nghiệp vay nhiều hơn mức mà dòng tiền hiện có của mình có thể chống đỡ.</w:t>
      </w:r>
    </w:p>
    <w:p>
      <w:pPr>
        <w:numPr>
          <w:ilvl w:val="0"/>
          <w:numId w:val="214"/>
        </w:numPr>
        <w:pStyle w:val="Para 01"/>
      </w:pPr>
      <w:r>
        <w:t>Lợi nhuận của một doanh nghiệp có thể âm vì các lựa chọn chiến lược của nó về cơ cấu sản phẩm hoặc chính sách tiếp thị có thể đã phản tác dụng. Đối với một doanh nghiệp như vậy, sức khỏe tài chính thường không ở ngay trước mắt và sẽ đòi hỏi một cuộc cải tổ lớn, và thường là cả ban lãnh đạo mới.</w:t>
      </w:r>
    </w:p>
    <w:p>
      <w:pPr>
        <w:numPr>
          <w:ilvl w:val="0"/>
          <w:numId w:val="214"/>
        </w:numPr>
        <w:pStyle w:val="Para 01"/>
      </w:pPr>
      <w:r>
        <w:t>Một doanh nghiệp có thể có lợi nhuận âm vì hoạt động kém hiệu quả. Ví dụ, nhà máy và thiết bị của doanh nghiệp có thể đã lỗi thời hoặc lực lượng lao động của nó có thể được đào tạo kém. Lợi nhuận âm cũng có thể phản ánh những quyết định tồi tệ trong quá khứ của ban lãnh đạo và những chi phí tiếp diễn gắn liền với những quyết định đó. Chẳng hạn, những doanh nghiệp đã lao vào mua thâu tóm ồ ạt và trả giá quá cao cho một loạt thương vụ có thể phải đối mặt với nhiều năm lợi nhuận kém cỏi như một hệ quả.</w:t>
      </w:r>
    </w:p>
    <w:p>
      <w:pPr>
        <w:numPr>
          <w:ilvl w:val="0"/>
          <w:numId w:val="214"/>
        </w:numPr>
        <w:pStyle w:val="Para 01"/>
      </w:pPr>
      <w:r>
        <w:t>Trong một số trường hợp, một doanh nghiệp nhìn chung có hoạt động kinh doanh lành mạnh có thể rơi vào tình trạng lợi nhuận vốn chủ sở hữu âm vì nó đã chọn sử dụng quá nhiều nợ để tài trợ cho hoạt động của mình.</w:t>
      </w:r>
    </w:p>
    <w:p>
      <w:pPr>
        <w:pStyle w:val="Para 11"/>
      </w:pPr>
      <w:r>
        <w:t/>
        <w:t xml:space="preserve"> </w:t>
      </w:r>
    </w:p>
    <w:p>
      <w:bookmarkStart w:id="4580" w:name="Making_the_Call__Short_Term_Vers_1"/>
      <w:bookmarkStart w:id="4581" w:name="Making_the_Call__Short_Term_Vers"/>
      <w:pPr>
        <w:keepNext/>
        <w:pStyle w:val="Para 27"/>
        <w:keepLines w:val="on"/>
      </w:pPr>
      <w:r>
        <w:t>Đưa ra phán đoán: Vấn đề ngắn hạn so với dài hạn</w:t>
      </w:r>
      <w:bookmarkEnd w:id="4580"/>
      <w:bookmarkEnd w:id="4581"/>
    </w:p>
    <w:p>
      <w:pPr>
        <w:pStyle w:val="Para 16"/>
        <w:keepLines w:val="on"/>
      </w:pPr>
      <w:r>
        <w:t>Trên thực tế, thường rất khó để tách bạch những vấn đề tạm thời hay ngắn hạn khỏi những vấn đề dài hạn. Không có quy tắc ngón tay cái đơn giản nào hiệu quả, và các báo cáo kế toán không phải lúc nào cũng tiết lộ rõ bản chất của các vấn đề. Hầu hết các doanh nghiệp, khi báo cáo lợi nhuận âm, sẽ khẳng định rằng vấn đề của họ chỉ là tạm thời và sự phục hồi đang ở ngay trước mắt. Các nhà phân tích phải tự đưa ra phán đoán xem điều đó có đúng hay không, và họ nên cân nhắc những điều sau:</w:t>
      </w:r>
    </w:p>
    <w:p>
      <w:pPr>
        <w:numPr>
          <w:ilvl w:val="0"/>
          <w:numId w:val="215"/>
        </w:numPr>
        <w:pStyle w:val="Para 33"/>
        <w:keepLines w:val="on"/>
      </w:pPr>
      <w:r>
        <w:t>Độ tin cậy của ban lãnh đạo đưa ra tuyên bố. Ban lãnh đạo của một số doanh nghiệp thẳng thắn hơn nhiều so với những doanh nghiệp khác trong việc tiết lộ vấn đề và thừa nhận sai lầm của mình, và những tuyên bố của họ nên được tin tưởng hơn nhiều.</w:t>
      </w:r>
    </w:p>
    <w:p>
      <w:pPr>
        <w:numPr>
          <w:ilvl w:val="0"/>
          <w:numId w:val="215"/>
        </w:numPr>
        <w:pStyle w:val="Para 33"/>
        <w:keepLines w:val="on"/>
      </w:pPr>
      <w:r>
        <w:t>Lượng thông tin và tính kịp thời của thông tin đi kèm với tuyên bố. Một doanh nghiệp cung cấp thông tin chi tiết để chống đỡ cho tuyên bố rằng vấn đề chỉ là tạm thời thì đáng tin hơn một doanh nghiệp không cung cấp thông tin như vậy. Ngoài ra, một doanh nghiệp tiết lộ vấn đề của mình ngay lập tức thì đáng tin hơn một doanh nghiệp trì hoãn việc báo cáo vấn đề cho đến khi bị buộc phải làm vậy.</w:t>
      </w:r>
    </w:p>
    <w:p>
      <w:pPr>
        <w:numPr>
          <w:ilvl w:val="0"/>
          <w:numId w:val="215"/>
        </w:numPr>
        <w:pStyle w:val="Para 33"/>
        <w:keepLines w:val="on"/>
      </w:pPr>
      <w:r>
        <w:t>Xác nhận báo cáo từ các công ty khác trong ngành. Một công ty có tính chu kỳ tuyên bố rằng lợi nhuận của mình giảm vì suy thoái kinh tế sẽ đáng tin hơn nếu các công ty khác trong ngành cũng báo cáo mức suy giảm tương tự.</w:t>
      </w:r>
    </w:p>
    <w:p>
      <w:pPr>
        <w:numPr>
          <w:ilvl w:val="0"/>
          <w:numId w:val="215"/>
        </w:numPr>
        <w:pStyle w:val="Para 33"/>
        <w:keepLines w:val="on"/>
      </w:pPr>
      <w:r>
        <w:t>Tính dai dẳng của vấn đề. Nếu lợi nhuận kém cứ tiếp diễn qua nhiều kỳ, khả năng cao là công ty đang đối mặt với một vấn đề dài hạn. Vì vậy, một chuỗi các khoản chi phí tái cấu trúc nên bị nhìn với con mắt nghi ngờ.</w:t>
      </w:r>
    </w:p>
    <w:p>
      <w:pPr>
        <w:pStyle w:val="Para 20"/>
      </w:pPr>
      <w:r>
        <w:rPr>
          <w:rStyle w:val="Text26"/>
        </w:rPr>
        <w:bookmarkStart w:id="4582" w:name="Page_700"/>
        <w:t/>
        <w:bookmarkEnd w:id="4582"/>
      </w:r>
      <w:r>
        <w:t xml:space="preserve"> </w:t>
      </w:r>
    </w:p>
    <w:p>
      <w:bookmarkStart w:id="4583" w:name="Valuing_Money_Losing_Firms"/>
      <w:bookmarkStart w:id="4584" w:name="Valuing_Money_Losing_Firms__The"/>
      <w:pPr>
        <w:keepNext/>
        <w:pStyle w:val="Heading 2"/>
        <w:keepLines w:val="on"/>
      </w:pPr>
      <w:r>
        <w:t>Định giá các công ty thua lỗ</w:t>
      </w:r>
      <w:bookmarkEnd w:id="4583"/>
      <w:bookmarkEnd w:id="4584"/>
    </w:p>
    <w:p>
      <w:pPr>
        <w:pStyle w:val="Para 03"/>
      </w:pPr>
      <w:r>
        <w:t>Cách chúng ta xử lý lợi nhuận âm sẽ phụ thuộc vào lý do tại sao công ty có lợi nhuận âm ngay từ đầu. Phần này sẽ khám phá các phương án sẵn có để làm việc với những công ty có lợi nhuận âm.</w:t>
      </w:r>
    </w:p>
    <w:p>
      <w:bookmarkStart w:id="4585" w:name="Firms_with_Temporary_Problems"/>
      <w:bookmarkStart w:id="4586" w:name="Firms_with_Temporary_Problems__W"/>
      <w:pPr>
        <w:keepNext/>
        <w:pStyle w:val="Heading 3"/>
        <w:keepLines w:val="on"/>
      </w:pPr>
      <w:r>
        <w:t>Các công ty gặp vấn đề tạm thời</w:t>
      </w:r>
      <w:bookmarkEnd w:id="4585"/>
      <w:bookmarkEnd w:id="4586"/>
    </w:p>
    <w:p>
      <w:pPr>
        <w:pStyle w:val="Para 03"/>
      </w:pPr>
      <w:r>
        <w:t>Khi lợi nhuận âm là do những vấn đề tạm thời hoặc ngắn hạn, kỳ vọng là lợi nhuận sẽ phục hồi trong ngắn hạn. Do đó, các giải pháp chúng ta đưa ra sẽ khá đơn giản, phần lớn là thay thế lợi nhuận hiện tại (đang âm) bằng lợi nhuận chuẩn hóa (sẽ dương). Cách chúng ta chuẩn hóa lợi nhuận sẽ khác nhau tùy theo bản chất của vấn đề.</w:t>
      </w:r>
    </w:p>
    <w:p>
      <w:bookmarkStart w:id="4587" w:name="Firm_Specific_Problems"/>
      <w:bookmarkStart w:id="4588" w:name="Firm_Specific_Problems__A_firm_c"/>
      <w:pPr>
        <w:keepNext/>
        <w:pStyle w:val="Heading 4"/>
        <w:keepLines w:val="on"/>
      </w:pPr>
      <w:r>
        <w:t>Các vấn đề riêng của từng công ty</w:t>
      </w:r>
      <w:bookmarkEnd w:id="4587"/>
      <w:bookmarkEnd w:id="4588"/>
    </w:p>
    <w:p>
      <w:pPr>
        <w:pStyle w:val="Para 03"/>
      </w:pPr>
      <w:r>
        <w:t>Một công ty có thể có một năm tồi tệ về lợi nhuận, nhưng các vấn đề có thể chỉ giới hạn ở công ty đó và mang tính ngắn hạn. Nếu khoản lỗ có thể quy cho một sự kiện cụ thể — chẳng hạn như một cuộc đình công hay một phán quyết kiện tụng — và báo cáo kế toán có ghi rõ chi phí liên quan đến sự kiện đó, thì giải pháp rất đơn giản. Bạn nên ước tính lợi nhuận trước các chi phí này, và dùng lợi nhuận đó không chỉ để ước tính dòng tiền mà còn để tính các chỉ số cơ bản như lợi nhuận trên vốn (return on capital). Tuy nhiên, khi thực hiện những ước tính này, lưu ý rằng bạn không chỉ loại bỏ khoản chi phí, mà còn phải loại bỏ tất cả lợi ích thuế được tạo ra bởi khoản chi phí đó, giả định rằng nó được khấu trừ thuế.</w:t>
      </w:r>
    </w:p>
    <w:p>
      <w:pPr>
        <w:pStyle w:val="Para 03"/>
      </w:pPr>
      <w:r>
        <w:t>Nếu nguyên nhân gây lỗ lan tỏa hơn hoặc nếu chi phí của sự kiện gây lỗ không được tách riêng khỏi các chi phí khác, bạn sẽ đối mặt với một nhiệm vụ khó hơn. Đầu tiên, bạn phải đảm bảo rằng khoản lỗ thực sự là tạm thời chứ không phải là triệu chứng của những vấn đề dài hạn tại công ty. Tiếp theo, bạn phải ước tính lợi nhuận bình thường của công ty. Cách đơn giản và trực tiếp nhất để làm điều này là so sánh từng khoản mục chi phí của công ty trong năm hiện tại với cùng khoản mục đó trong các năm trước, được quy theo doanh thu. Bất kỳ khoản mục nào có vẻ cao bất thường so với các năm trước đều nên được chuẩn hóa (bằng cách dùng mức trung bình của các năm trước). Hoặc, bạn có thể áp dụng biên lợi nhuận hoạt động mà công ty kiếm được trong các năm trước cho doanh thu của năm hiện tại và ước tính một khoản lợi nhuận hoạt động để dùng trong định giá.</w:t>
      </w:r>
    </w:p>
    <w:p>
      <w:pPr>
        <w:pStyle w:val="Para 03"/>
      </w:pPr>
      <w:r>
        <w:t>Nói chung, bạn sẽ phải cân nhắc điều chỉnh lợi nhuận của các công ty sau những năm họ thực hiện các thương vụ mua lại lớn, vì báo cáo kế toán trong những năm này sẽ bị bóp méo bởi các khoản mục lớn thường không lặp lại và có liên quan đến thương vụ mua lại.</w:t>
      </w:r>
    </w:p>
    <w:p>
      <w:pPr>
        <w:pStyle w:val="Para 11"/>
      </w:pPr>
      <w:r>
        <w:t/>
        <w:t xml:space="preserve"> </w:t>
      </w:r>
    </w:p>
    <w:p>
      <w:bookmarkStart w:id="4589" w:name="ILLUSTRATION_22_1_Normalizing_Ea_1"/>
      <w:bookmarkStart w:id="4590" w:name="ILLUSTRATION_22_1_Normalizing_Ea"/>
      <w:pPr>
        <w:keepNext/>
        <w:pStyle w:val="Para 19"/>
        <w:keepLines w:val="on"/>
      </w:pPr>
      <w:r>
        <w:t>MINH HỌA 22.1: Chuẩn hóa lợi nhuận cho một công ty sau một năm tồi tệ: Daimler-Benz năm 1995</w:t>
      </w:r>
      <w:bookmarkEnd w:id="4589"/>
      <w:bookmarkEnd w:id="4590"/>
    </w:p>
    <w:p>
      <w:pPr>
        <w:pStyle w:val="Para 04"/>
        <w:keepLines w:val="on"/>
      </w:pPr>
      <w:r>
        <w:t>Năm 1995, Daimler-Benz báo cáo khoản lỗ hoạt động 2.016 triệu DM và khoản lỗ ròng 5.674 triệu DM. Phần lớn khoản lỗ có thể quy cho những vấn đề riêng của công ty, bao gồm một khoản xóa sổ lớn từ khoản đầu tư thất bại vào Fokker Aerospace, một nhà sản xuất máy bay. Để ước tính lợi nhuận chuẩn hóa tại Daimler-Benz, chúng tôi đã loại bỏ tất cả các khoản chi phí liên quan đến những mục này và ước tính lợi nhuận hoạt động trước thuế là 5.693 triệu DM. Để hoàn tất việc định giá, chúng tôi đưa ra các giả định bổ sung sau:</w:t>
      </w:r>
    </w:p>
    <w:p>
      <w:pPr>
        <w:numPr>
          <w:ilvl w:val="0"/>
          <w:numId w:val="216"/>
        </w:numPr>
        <w:pStyle w:val="Para 18"/>
        <w:keepLines w:val="on"/>
      </w:pPr>
      <w:r>
        <w:t>Doanh thu tại Daimler đã tăng trưởng 3% đến 5% mỗi năm trước năm 1995, và chúng tôi dự đoán rằng tốc độ tăng trưởng dài hạn sẽ là 5% cho cả doanh thu và lợi nhuận hoạt động.</w:t>
      </w:r>
    </w:p>
    <w:p>
      <w:pPr>
        <w:numPr>
          <w:ilvl w:val="0"/>
          <w:numId w:val="216"/>
        </w:numPr>
        <w:pStyle w:val="Para 18"/>
        <w:keepLines w:val="on"/>
      </w:pPr>
      <w:r>
        <w:t>Công ty có giá trị sổ sách của vốn đầu tư là 43.558 triệu DM vào đầu năm 1995, và được kỳ vọng duy trì lợi nhuận trên vốn của mình (dựa trên lợi nhuận hoạt động đã điều chỉnh là 5.693 triệu DM).</w:t>
      </w:r>
    </w:p>
    <w:p>
      <w:pPr>
        <w:numPr>
          <w:ilvl w:val="0"/>
          <w:numId w:val="216"/>
        </w:numPr>
        <w:pStyle w:val="Para 18"/>
        <w:keepLines w:val="on"/>
      </w:pPr>
      <w:r>
        <w:t>Thuế suất của công ty là 44%.</w:t>
      </w:r>
    </w:p>
    <w:p>
      <w:pPr>
        <w:pStyle w:val="Para 40"/>
        <w:keepLines w:val="on"/>
      </w:pPr>
      <w:r>
        <w:rPr>
          <w:rStyle w:val="Text26"/>
        </w:rPr>
        <w:bookmarkStart w:id="4591" w:name="Page_701"/>
        <w:t/>
        <w:bookmarkEnd w:id="4591"/>
      </w:r>
      <w:r>
        <w:t xml:space="preserve"> </w:t>
      </w:r>
    </w:p>
    <w:p>
      <w:pPr>
        <w:pStyle w:val="Para 04"/>
        <w:keepLines w:val="on"/>
      </w:pPr>
      <w:r>
        <w:t>Để định giá Daimler, trước tiên chúng tôi ước tính lợi nhuận trên vốn đầu tư tại công ty, sử dụng lợi nhuận hoạt động đã điều chỉnh:</w:t>
      </w:r>
    </w:p>
    <w:p>
      <w:bookmarkStart w:id="4592" w:name="Return_on_invested_capital_EBIT"/>
      <w:pPr>
        <w:keepNext/>
        <w:pStyle w:val="Para 07"/>
        <w:keepLines w:val="on"/>
      </w:pPr>
      <w:r>
        <w:t>Lợi nhuận trên vốn đầu tư=EBIT 1−tVốn đầu tư=5,693 1−.4443,558=7.32%</w:t>
      </w:r>
      <w:bookmarkEnd w:id="4592"/>
    </w:p>
    <w:p>
      <w:pPr>
        <w:pStyle w:val="Para 04"/>
        <w:keepLines w:val="on"/>
      </w:pPr>
      <w:r>
        <w:t>Dựa trên tốc độ tăng trưởng kỳ vọng 5%, điều này sẽ đòi hỏi tỷ lệ tái đầu tư là 68,31%:</w:t>
      </w:r>
    </w:p>
    <w:p>
      <w:bookmarkStart w:id="4593" w:name="Reinvestment_rate_g_ROC_5__7_32"/>
      <w:pPr>
        <w:keepNext/>
        <w:pStyle w:val="Para 07"/>
        <w:keepLines w:val="on"/>
      </w:pPr>
      <w:r>
        <w:t>Tỷ lệ tái đầu tư=g/ROC=5%/7.32%=68.31%</w:t>
      </w:r>
      <w:bookmarkEnd w:id="4593"/>
    </w:p>
    <w:p>
      <w:pPr>
        <w:pStyle w:val="Para 04"/>
        <w:keepLines w:val="on"/>
      </w:pPr>
      <w:r>
        <w:t>Với những giả định này, chúng tôi có thể tính được dòng tiền tự do kỳ vọng của Daimler trong năm 1996:</w:t>
      </w:r>
    </w:p>
    <w:p>
      <w:bookmarkStart w:id="4594" w:name="EBIT__1___t____5_693_1_05__1"/>
      <w:pPr>
        <w:pStyle w:val="Para 89"/>
        <w:keepLines w:val="on"/>
      </w:pPr>
      <w:r>
        <w:t/>
      </w:r>
      <w:bookmarkEnd w:id="4594"/>
    </w:p>
    <w:tbl>
      <w:tblPr>
        <w:tblW w:type="auto" w:w="0"/>
        <w:jc w:val="center"/>
      </w:tblPr>
      <w:tr>
        <w:tc>
          <w:tcPr>
            <w:tcW w:type="auto" w:w="0"/>
          </w:tcPr>
          <w:p>
            <w:pPr>
              <w:pStyle w:val="Para 02"/>
              <w:keepLines w:val="on"/>
            </w:pPr>
            <w:r>
              <w:t>EBIT (1 – t) = 5,693(1.05)(1 – .44) =</w:t>
            </w:r>
          </w:p>
        </w:tc>
        <w:tc>
          <w:tcPr>
            <w:tcW w:type="auto" w:w="0"/>
          </w:tcPr>
          <w:p>
            <w:pPr>
              <w:pStyle w:val="Para 02"/>
              <w:keepLines w:val="on"/>
            </w:pPr>
            <w:r>
              <w:t>3.347,48 triệu DM</w:t>
            </w:r>
          </w:p>
        </w:tc>
      </w:tr>
      <w:tr>
        <w:tc>
          <w:tcPr>
            <w:tcW w:type="auto" w:w="0"/>
          </w:tcPr>
          <w:p>
            <w:pPr>
              <w:pStyle w:val="Para 02"/>
              <w:keepLines w:val="on"/>
            </w:pPr>
            <w:r>
              <w:t>− Tái đầu tư = 5,693(1.05)(1−.44)(.6831) =</w:t>
            </w:r>
          </w:p>
        </w:tc>
        <w:tc>
          <w:tcPr>
            <w:tcW w:type="auto" w:w="0"/>
          </w:tcPr>
          <w:p>
            <w:pPr>
              <w:pStyle w:val="Para 02"/>
              <w:keepLines w:val="on"/>
            </w:pPr>
            <w:r>
              <w:t>2.286,66 triệu DM</w:t>
            </w:r>
          </w:p>
        </w:tc>
      </w:tr>
      <w:tr>
        <w:tc>
          <w:tcPr>
            <w:tcW w:type="auto" w:w="0"/>
          </w:tcPr>
          <w:p>
            <w:pPr>
              <w:pStyle w:val="Para 02"/>
              <w:keepLines w:val="on"/>
            </w:pPr>
            <w:r>
              <w:t>Dòng tiền tự do cho doanh nghiệp</w:t>
            </w:r>
          </w:p>
        </w:tc>
        <w:tc>
          <w:tcPr>
            <w:tcW w:type="auto" w:w="0"/>
          </w:tcPr>
          <w:p>
            <w:pPr>
              <w:pStyle w:val="Para 02"/>
              <w:keepLines w:val="on"/>
            </w:pPr>
            <w:r>
              <w:t>DM 1.060,82 triệu</w:t>
            </w:r>
          </w:p>
        </w:tc>
      </w:tr>
    </w:tbl>
    <w:p>
      <w:pPr>
        <w:pStyle w:val="Para 04"/>
        <w:keepLines w:val="on"/>
      </w:pPr>
      <w:r>
        <w:t>Để tính chi phí vốn, chúng tôi đã sử dụng beta từ dưới lên (bottom-up beta) là 0,95, được ước tính dựa trên các hãng xe hơi niêm yết trên toàn cầu. Lãi suất trái phiếu dài hạn (trên trái phiếu chính phủ Đức mệnh giá bằng DM) là 6%, và Daimler-Benz có thể vay dài hạn ở mức 6,1%. Chúng tôi giả định mức bù rủi ro thị trường (market risk premium) là 4%. Giá trị thị trường của vốn chủ sở hữu là 50.000 triệu DM, và có 26.281 triệu DM nợ chưa thanh toán vào cuối năm 1995.</w:t>
      </w:r>
    </w:p>
    <w:p>
      <w:bookmarkStart w:id="4595" w:name="Cost_of_equity_6__0_95_4___9_8_C"/>
      <w:pPr>
        <w:keepNext/>
        <w:pStyle w:val="Para 07"/>
        <w:keepLines w:val="on"/>
      </w:pPr>
      <w:r>
        <w:t>Chi phí vốn chủ sở hữu = 6% + 0,95(4%) = 9,8% Chi phí nợ = 6,1% (1 - 0,44) = 3,42% Tỷ lệ nợ = 26.281/(50.000 + 26.281) = 34,45% Chi phí vốn = 9,8%(0,6555) + 3,42%(0,3445) = 7,60%</w:t>
      </w:r>
      <w:bookmarkEnd w:id="4595"/>
    </w:p>
    <w:p>
      <w:pPr>
        <w:pStyle w:val="Para 04"/>
        <w:keepLines w:val="on"/>
      </w:pPr>
      <w:r>
        <w:t>Lưu ý rằng tất cả các chi phí đều được tính bằng đơn vị DM, để nhất quán với dòng tiền của chúng ta. Cũng lưu ý rằng chúng ta đang giả định Daimler sẽ tạo ra tỷ suất sinh lời trên vốn (7,32%) thấp hơn chi phí vốn của nó mãi mãi. Mặc dù việc hủy hoại giá trị trong dài hạn nghe có vẻ không hợp lý, nhưng cấu trúc hệ thống quản trị doanh nghiệp tại Daimler khiến chúng ta không còn nhiều lựa chọn. Giá trị doanh nghiệp giờ đây có thể được tính, nếu chúng ta giả định rằng thu nhập và dòng tiền sẽ tăng trưởng 5% mỗi năm mãi mãi:</w:t>
      </w:r>
    </w:p>
    <w:p>
      <w:bookmarkStart w:id="4596" w:name="Value_of_operating_assets_at_end"/>
      <w:pPr>
        <w:keepNext/>
        <w:pStyle w:val="Para 07"/>
        <w:keepLines w:val="on"/>
      </w:pPr>
      <w:r>
        <w:t>Giá trị tài sản hoạt động cuối năm 1995 = FCFF kỳ vọng năm 1996 / (Chi phí vốn - Tốc độ tăng trưởng kỳ vọng) = 1.060,82 / (0,076 - 0,05) = 40.787 triệu DM</w:t>
      </w:r>
      <w:bookmarkEnd w:id="4596"/>
    </w:p>
    <w:p>
      <w:pPr>
        <w:pStyle w:val="Para 04"/>
        <w:keepLines w:val="on"/>
      </w:pPr>
      <w:r>
        <w:t>Cộng thêm vào đó là giá trị tiền mặt và chứng khoán khả mại (DM 13.500 triệu) mà Daimler nắm giữ tại thời điểm định giá này, và trừ đi giá trị thị trường của nợ (26.281 DM) sẽ cho ra giá trị ước tính là 28.006 triệu DM cho vốn chủ sở hữu, thấp hơn đáng kể so với giá trị thị trường 50.000 triệu DM.</w:t>
      </w:r>
    </w:p>
    <w:p>
      <w:bookmarkStart w:id="4597" w:name="Value_of_equity_Value_of_operati_1"/>
      <w:pPr>
        <w:keepNext/>
        <w:pStyle w:val="Para 07"/>
        <w:keepLines w:val="on"/>
      </w:pPr>
      <w:r>
        <w:t>Giá trị vốn chủ sở hữu = Giá trị tài sản hoạt động + Tiền mặt và chứng khoán khả mại - Nợ = 40.787 + 13.500 - 26.281 = 28.006 triệu DM</w:t>
      </w:r>
      <w:bookmarkEnd w:id="4597"/>
    </w:p>
    <w:p>
      <w:pPr>
        <w:pStyle w:val="Para 04"/>
        <w:keepLines w:val="on"/>
      </w:pPr>
      <w:r>
        <w:t>Như trong mọi định giá doanh nghiệp, có một yếu tố lập luận vòng tròn (circular reasoning) liên quan trong việc định giá này.1</w:t>
      </w:r>
    </w:p>
    <w:p>
      <w:pPr>
        <w:pStyle w:val="Para 11"/>
      </w:pPr>
      <w:r>
        <w:rPr>
          <w:rStyle w:val="Text26"/>
        </w:rPr>
        <w:bookmarkStart w:id="4599" w:name="Page_702"/>
        <w:t/>
        <w:bookmarkEnd w:id="4599"/>
      </w:r>
      <w:r>
        <w:t xml:space="preserve"> </w:t>
      </w:r>
    </w:p>
    <w:p>
      <w:bookmarkStart w:id="4600" w:name="Sector_Wide_or_Market_Driven_Pro_1"/>
      <w:bookmarkStart w:id="4601" w:name="Sector_Wide_or_Market_Driven_Pro"/>
      <w:pPr>
        <w:keepNext/>
        <w:pStyle w:val="Heading 4"/>
        <w:keepLines w:val="on"/>
      </w:pPr>
      <w:r>
        <w:t>Các vấn đề mang tính toàn ngành hoặc do thị trường chi phối</w:t>
      </w:r>
      <w:bookmarkEnd w:id="4600"/>
      <w:bookmarkEnd w:id="4601"/>
    </w:p>
    <w:p>
      <w:pPr>
        <w:pStyle w:val="Para 03"/>
      </w:pPr>
      <w:r>
        <w:t>Thu nhập của các doanh nghiệp có tính chu kỳ (cyclical firms), theo định nghĩa, là biến động và phụ thuộc vào tình trạng nền kinh tế. Trong thời kỳ kinh tế bùng nổ, thu nhập của những doanh nghiệp này có khả năng tăng lên, trong khi vào thời kỳ suy thoái, thu nhập sẽ bị giảm sút. Điều tương tự cũng có thể nói về các doanh nghiệp hàng hóa (commodity firms) trải qua các chu kỳ giá, nơi những giai đoạn giá hàng hóa cao thường được theo sau bởi giá thấp. Trong cả hai trường hợp, bạn có thể nhận được những ước tính giá trị sai lệch nếu bạn dùng thu nhập của năm hiện tại làm thu nhập năm cơ sở (base year earnings).</w:t>
      </w:r>
    </w:p>
    <w:p>
      <w:bookmarkStart w:id="4602" w:name="Valuing_Cyclical_Firms__Cyclical"/>
      <w:pPr>
        <w:pStyle w:val="Para 21"/>
      </w:pPr>
      <w:r>
        <w:t>Định giá các doanh nghiệp có tính chu kỳ</w:t>
      </w:r>
      <w:bookmarkEnd w:id="4602"/>
    </w:p>
    <w:p>
      <w:pPr>
        <w:pStyle w:val="Para 03"/>
      </w:pPr>
      <w:r>
        <w:t>Việc định giá doanh nghiệp có tính chu kỳ có thể bị ảnh hưởng đáng kể bởi mức thu nhập năm cơ sở. Có hai giải pháp tiềm năng: Một là điều chỉnh tốc độ tăng trưởng kỳ vọng trong các giai đoạn gần để phản ánh những thay đổi mang tính chu kỳ, và hai là định giá doanh nghiệp dựa trên thu nhập chuẩn hóa (normalized earnings) thay vì thu nhập hiện tại.</w:t>
      </w:r>
    </w:p>
    <w:p>
      <w:bookmarkStart w:id="4604" w:name="Adjust_Expected_Growth__Cyclical"/>
      <w:pPr>
        <w:pStyle w:val="Para 42"/>
      </w:pPr>
      <w:r>
        <w:t>Điều chỉnh tăng trưởng kỳ vọng</w:t>
      </w:r>
      <w:bookmarkEnd w:id="4604"/>
    </w:p>
    <w:p>
      <w:pPr>
        <w:pStyle w:val="Para 03"/>
      </w:pPr>
      <w:r>
        <w:t>Các doanh nghiệp có tính chu kỳ thường báo cáo thu nhập thấp ở đáy của chu kỳ kinh tế, nhưng thu nhập phục hồi nhanh chóng khi nền kinh tế hồi phục. Một giải pháp, nếu thu nhập không âm, là điều chỉnh tốc độ tăng trưởng kỳ vọng của thu nhập, đặc biệt là trong ngắn hạn, để phản ánh những thay đổi kỳ vọng trong chu kỳ kinh tế. Điều này ngụ ý sử dụng tốc độ tăng trưởng cao hơn trong một hoặc hai năm tới, nếu cả thu nhập của doanh nghiệp lẫn nền kinh tế hiện đang suy yếu nhưng được kỳ vọng sẽ phục hồi nhanh chóng. Chiến lược này sẽ đảo ngược nếu thu nhập hiện tại đang bị thổi phồng (do nền kinh tế bùng nổ), và nếu nền kinh tế được kỳ vọng sẽ chậm lại. Nhược điểm của cách tiếp cận này là nó gắn độ chính xác của ước tính giá trị cho một doanh nghiệp có tính chu kỳ với độ chính xác của các dự đoán kinh tế vĩ mô của nhà phân tích thực hiện định giá. Tuy nhiên, lời chỉ trích này có thể không thể tránh khỏi vì rất khó định giá một doanh nghiệp có tính chu kỳ mà không đưa ra các giả định về tăng trưởng kinh tế trong tương lai. Tốc độ tăng trưởng thực tế của thu nhập trong các năm bước ngoặt (những năm nền kinh tế bước vào hoặc thoát ra khỏi suy thoái) có thể được ước tính bằng cách xem xét kinh nghiệm của doanh nghiệp này (hoặc các doanh nghiệp tương tự) trong các cuộc suy thoái trước đây.</w:t>
      </w:r>
    </w:p>
    <w:p>
      <w:pPr>
        <w:pStyle w:val="Para 11"/>
      </w:pPr>
      <w:r>
        <w:t/>
        <w:t xml:space="preserve"> </w:t>
      </w:r>
    </w:p>
    <w:p>
      <w:bookmarkStart w:id="4606" w:name="ILLUSTRATION_22_2_Valuing_a_Cycl_1"/>
      <w:bookmarkStart w:id="4607" w:name="ILLUSTRATION_22_2_Valuing_a_Cycl"/>
      <w:pPr>
        <w:keepNext/>
        <w:pStyle w:val="Para 19"/>
        <w:keepLines w:val="on"/>
      </w:pPr>
      <w:r>
        <w:t>MINH HỌA 22.2: Định giá một công ty có tính chu kỳ bằng cách sử dụng tốc độ tăng trưởng cao hơn—Dana Corporation vào tháng 5 năm 2011</w:t>
      </w:r>
      <w:bookmarkEnd w:id="4606"/>
      <w:bookmarkEnd w:id="4607"/>
    </w:p>
    <w:p>
      <w:pPr>
        <w:pStyle w:val="Para 04"/>
        <w:keepLines w:val="on"/>
      </w:pPr>
      <w:r>
        <w:t>Dana sản xuất các linh kiện và hệ thống ô tô và đã bị tổn thất nặng nề bởi cuộc suy thoái toàn cầu năm 2008 và 2009; công ty báo cáo lỗ hoạt động 123 triệu đô la năm 2008 và 141 triệu đô la năm 2009. Mặc dù công ty báo cáo lợi nhuận hoạt động 196 triệu đô la năm 2010, biên lợi nhuận hoạt động cho cả năm chỉ đạt 3,21%. Mặc dù công ty đã trưởng thành, người ta dự đoán rằng khi nền kinh tế tiếp tục cải thiện, lợi nhuận hoạt động sẽ tăng 15% mỗi năm trong giai đoạn 2011–2015 khi biên lợi nhuận cải thiện. Sau năm 2015, doanh nghiệp được kỳ vọng sẽ trở lại tăng trưởng ổn định, với doanh thu và thu nhập hoạt động tăng 3% mỗi năm mãi mãi, và doanh nghiệp đạt tỷ suất sinh lời trên vốn bằng chi phí vốn của nó mãi mãi.</w:t>
      </w:r>
    </w:p>
    <w:p>
      <w:pPr>
        <w:pStyle w:val="Para 04"/>
        <w:keepLines w:val="on"/>
      </w:pPr>
      <w:r>
        <w:t>Doanh nghiệp được kỳ vọng có beta là 1,20 mãi mãi và duy trì tỷ lệ nợ trên vốn hiện tại là 26,32%. Tuy nhiên, trong khi chi phí nợ trước thuế cho giai đoạn 2011–2015 sẽ giữ nguyên ở mức hiện tại là 6,85% (dựa trên xếp hạng trái phiếu của nó), chúng tôi giả định nó sẽ giảm xuống 5% sau năm 2015. Sử dụng thuế suất biên 40%, lãi suất phi rủi ro 3,5%, và mức bù rủi ro vốn chủ sở hữu 5%, chúng tôi ước tính chi phí vốn cho Dana trong cả giai đoạn tăng trưởng cao và tăng trưởng ổn định:</w:t>
      </w:r>
    </w:p>
    <w:p>
      <w:bookmarkStart w:id="4608" w:name="Costofcapitalhighgrowth_Costofeq"/>
      <w:pPr>
        <w:keepNext/>
        <w:pStyle w:val="Para 07"/>
        <w:keepLines w:val="on"/>
      </w:pPr>
      <w:r>
        <w:t>Chi phí vốn tăng trưởng cao = Chi phí vốn chủ sở hữu (E/(D+E)) + Chi phí nợ (1-t)(D/(D+E)) = (3,5% + 1,2(5%))(1 - 0,2632) + 6,85%(1 - 0,4)(0,2632) = 8,08% Chi phí vốn tăng trưởng ổn định = (3,5% + 1,2(5%))(1 - 0,2632) + 5%(1 - 0,4)(0,2632) = 7,79%</w:t>
      </w:r>
      <w:bookmarkEnd w:id="4608"/>
    </w:p>
    <w:p>
      <w:pPr>
        <w:pStyle w:val="Para 40"/>
        <w:keepLines w:val="on"/>
      </w:pPr>
      <w:r>
        <w:rPr>
          <w:rStyle w:val="Text26"/>
        </w:rPr>
        <w:bookmarkStart w:id="4609" w:name="Page_703"/>
        <w:t/>
        <w:bookmarkEnd w:id="4609"/>
      </w:r>
      <w:r>
        <w:t xml:space="preserve"> </w:t>
      </w:r>
    </w:p>
    <w:p>
      <w:pPr>
        <w:pStyle w:val="Para 04"/>
        <w:keepLines w:val="on"/>
      </w:pPr>
      <w:r>
        <w:t>Trong Bảng 22.1, chúng tôi ước tính dòng tiền tự do cho doanh nghiệp (free cash flows to the firm) cho giai đoạn 2011–2015 và chiết khấu chúng trở lại theo chi phí vốn 8,08%:</w:t>
      </w:r>
    </w:p>
    <w:p>
      <w:pPr>
        <w:pStyle w:val="Para 25"/>
        <w:keepLines w:val="on"/>
      </w:pPr>
      <w:r>
        <w:t>Bảng 22.1</w:t>
      </w:r>
    </w:p>
    <w:p>
      <w:pPr>
        <w:keepNext/>
        <w:pStyle w:val="Para 24"/>
        <w:keepLines w:val="on"/>
      </w:pPr>
      <w:r>
        <w:t>Thu nhập và dòng tiền kỳ vọng—Dana Corp</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Hiện tại</w:t>
                  </w: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r>
            <w:tr>
              <w:tc>
                <w:tcPr>
                  <w:tcW w:type="auto" w:w="0"/>
                  <w:shd w:val="clear" w:color="auto" w:fill="F0F0F0"/>
                </w:tcPr>
                <w:p>
                  <w:pPr>
                    <w:pStyle w:val="Para 02"/>
                    <w:keepLines w:val="on"/>
                  </w:pPr>
                  <w:r>
                    <w:t>Tốc độ tăng trưởng dự kiến</w:t>
                  </w:r>
                </w:p>
              </w:tc>
              <w:tc>
                <w:tcPr>
                  <w:tcW w:type="auto" w:w="0"/>
                  <w:shd w:val="clear" w:color="auto" w:fill="F0F0F0"/>
                </w:tcPr>
                <w:p>
                  <w:pPr>
                    <w:pStyle w:val="7 Block"/>
                    <w:keepLines w:val="on"/>
                  </w:pP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15,00%</w:t>
                  </w:r>
                </w:p>
              </w:tc>
            </w:tr>
            <w:tr>
              <w:tc>
                <w:tcPr>
                  <w:tcW w:type="auto" w:w="0"/>
                  <w:shd w:val="clear" w:color="auto" w:fill="F0F0F0"/>
                </w:tcPr>
                <w:p>
                  <w:pPr>
                    <w:pStyle w:val="Para 02"/>
                    <w:keepLines w:val="on"/>
                  </w:pPr>
                  <w:r>
                    <w:t>EBIT × (1 − Thuế suất)</w:t>
                  </w:r>
                </w:p>
              </w:tc>
              <w:tc>
                <w:tcPr>
                  <w:tcW w:type="auto" w:w="0"/>
                  <w:shd w:val="clear" w:color="auto" w:fill="F0F0F0"/>
                </w:tcPr>
                <w:p>
                  <w:pPr>
                    <w:pStyle w:val="Normal"/>
                    <w:keepLines w:val="on"/>
                  </w:pPr>
                  <w:r>
                    <w:t>$117,60</w:t>
                  </w:r>
                </w:p>
              </w:tc>
              <w:tc>
                <w:tcPr>
                  <w:tcW w:type="auto" w:w="0"/>
                  <w:shd w:val="clear" w:color="auto" w:fill="F0F0F0"/>
                </w:tcPr>
                <w:p>
                  <w:pPr>
                    <w:pStyle w:val="Normal"/>
                    <w:keepLines w:val="on"/>
                  </w:pPr>
                  <w:r>
                    <w:t>$135,24</w:t>
                  </w:r>
                </w:p>
              </w:tc>
              <w:tc>
                <w:tcPr>
                  <w:tcW w:type="auto" w:w="0"/>
                  <w:shd w:val="clear" w:color="auto" w:fill="F0F0F0"/>
                </w:tcPr>
                <w:p>
                  <w:pPr>
                    <w:pStyle w:val="Normal"/>
                    <w:keepLines w:val="on"/>
                  </w:pPr>
                  <w:r>
                    <w:t>$155,53</w:t>
                  </w:r>
                </w:p>
              </w:tc>
              <w:tc>
                <w:tcPr>
                  <w:tcW w:type="auto" w:w="0"/>
                  <w:shd w:val="clear" w:color="auto" w:fill="F0F0F0"/>
                </w:tcPr>
                <w:p>
                  <w:pPr>
                    <w:pStyle w:val="Normal"/>
                    <w:keepLines w:val="on"/>
                  </w:pPr>
                  <w:r>
                    <w:t>$178,85</w:t>
                  </w:r>
                </w:p>
              </w:tc>
              <w:tc>
                <w:tcPr>
                  <w:tcW w:type="auto" w:w="0"/>
                  <w:shd w:val="clear" w:color="auto" w:fill="F0F0F0"/>
                </w:tcPr>
                <w:p>
                  <w:pPr>
                    <w:pStyle w:val="Normal"/>
                    <w:keepLines w:val="on"/>
                  </w:pPr>
                  <w:r>
                    <w:t>$205,68</w:t>
                  </w:r>
                </w:p>
              </w:tc>
              <w:tc>
                <w:tcPr>
                  <w:tcW w:type="auto" w:w="0"/>
                  <w:shd w:val="clear" w:color="auto" w:fill="F0F0F0"/>
                </w:tcPr>
                <w:p>
                  <w:pPr>
                    <w:pStyle w:val="Normal"/>
                    <w:keepLines w:val="on"/>
                  </w:pPr>
                  <w:r>
                    <w:t>$236,54</w:t>
                  </w:r>
                </w:p>
              </w:tc>
            </w:tr>
            <w:tr>
              <w:tc>
                <w:tcPr>
                  <w:tcW w:type="auto" w:w="0"/>
                  <w:shd w:val="clear" w:color="auto" w:fill="F0F0F0"/>
                </w:tcPr>
                <w:p>
                  <w:pPr>
                    <w:pStyle w:val="Para 02"/>
                    <w:keepLines w:val="on"/>
                  </w:pPr>
                  <w:r>
                    <w:t>− (Capex – Khấu hao)</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$12,72</w:t>
                  </w:r>
                </w:p>
              </w:tc>
              <w:tc>
                <w:tcPr>
                  <w:tcW w:type="auto" w:w="0"/>
                  <w:shd w:val="clear" w:color="auto" w:fill="F0F0F0"/>
                </w:tcPr>
                <w:p>
                  <w:pPr>
                    <w:pStyle w:val="Normal"/>
                    <w:keepLines w:val="on"/>
                  </w:pPr>
                  <w:r>
                    <w:t>$14,63</w:t>
                  </w:r>
                </w:p>
              </w:tc>
              <w:tc>
                <w:tcPr>
                  <w:tcW w:type="auto" w:w="0"/>
                  <w:shd w:val="clear" w:color="auto" w:fill="F0F0F0"/>
                </w:tcPr>
                <w:p>
                  <w:pPr>
                    <w:pStyle w:val="Normal"/>
                    <w:keepLines w:val="on"/>
                  </w:pPr>
                  <w:r>
                    <w:t>$16,83</w:t>
                  </w:r>
                </w:p>
              </w:tc>
              <w:tc>
                <w:tcPr>
                  <w:tcW w:type="auto" w:w="0"/>
                  <w:shd w:val="clear" w:color="auto" w:fill="F0F0F0"/>
                </w:tcPr>
                <w:p>
                  <w:pPr>
                    <w:pStyle w:val="Normal"/>
                    <w:keepLines w:val="on"/>
                  </w:pPr>
                  <w:r>
                    <w:t>$19,35</w:t>
                  </w:r>
                </w:p>
              </w:tc>
              <w:tc>
                <w:tcPr>
                  <w:tcW w:type="auto" w:w="0"/>
                  <w:shd w:val="clear" w:color="auto" w:fill="F0F0F0"/>
                </w:tcPr>
                <w:p>
                  <w:pPr>
                    <w:pStyle w:val="Normal"/>
                    <w:keepLines w:val="on"/>
                  </w:pPr>
                  <w:r>
                    <w:t>$22,25</w:t>
                  </w:r>
                </w:p>
              </w:tc>
            </w:tr>
            <w:tr>
              <w:tc>
                <w:tcPr>
                  <w:tcW w:type="auto" w:w="0"/>
                  <w:shd w:val="clear" w:color="auto" w:fill="F0F0F0"/>
                </w:tcPr>
                <w:p>
                  <w:pPr>
                    <w:pStyle w:val="Para 02"/>
                    <w:keepLines w:val="on"/>
                  </w:pPr>
                  <w:r>
                    <w:t>− Thay đổi trong WC</w:t>
                  </w:r>
                </w:p>
              </w:tc>
              <w:tc>
                <w:tcPr>
                  <w:tcW w:type="auto" w:w="0"/>
                  <w:shd w:val="clear" w:color="auto" w:fill="F0F0F0"/>
                </w:tcPr>
                <w:p>
                  <w:pPr>
                    <w:pStyle w:val="Normal"/>
                    <w:keepLines w:val="on"/>
                  </w:pPr>
                  <w:r>
                    <w:t>$16,00</w:t>
                  </w:r>
                </w:p>
              </w:tc>
              <w:tc>
                <w:tcPr>
                  <w:tcW w:type="auto" w:w="0"/>
                  <w:shd w:val="clear" w:color="auto" w:fill="F0F0F0"/>
                </w:tcPr>
                <w:p>
                  <w:pPr>
                    <w:pStyle w:val="Normal"/>
                    <w:keepLines w:val="on"/>
                  </w:pPr>
                  <w:r>
                    <w:t>$18,33</w:t>
                  </w:r>
                </w:p>
              </w:tc>
              <w:tc>
                <w:tcPr>
                  <w:tcW w:type="auto" w:w="0"/>
                  <w:shd w:val="clear" w:color="auto" w:fill="F0F0F0"/>
                </w:tcPr>
                <w:p>
                  <w:pPr>
                    <w:pStyle w:val="Normal"/>
                    <w:keepLines w:val="on"/>
                  </w:pPr>
                  <w:r>
                    <w:t>$21,08</w:t>
                  </w:r>
                </w:p>
              </w:tc>
              <w:tc>
                <w:tcPr>
                  <w:tcW w:type="auto" w:w="0"/>
                  <w:shd w:val="clear" w:color="auto" w:fill="F0F0F0"/>
                </w:tcPr>
                <w:p>
                  <w:pPr>
                    <w:pStyle w:val="Normal"/>
                    <w:keepLines w:val="on"/>
                  </w:pPr>
                  <w:r>
                    <w:t>$24,24</w:t>
                  </w:r>
                </w:p>
              </w:tc>
              <w:tc>
                <w:tcPr>
                  <w:tcW w:type="auto" w:w="0"/>
                  <w:shd w:val="clear" w:color="auto" w:fill="F0F0F0"/>
                </w:tcPr>
                <w:p>
                  <w:pPr>
                    <w:pStyle w:val="Normal"/>
                    <w:keepLines w:val="on"/>
                  </w:pPr>
                  <w:r>
                    <w:t>$27,87</w:t>
                  </w:r>
                </w:p>
              </w:tc>
              <w:tc>
                <w:tcPr>
                  <w:tcW w:type="auto" w:w="0"/>
                  <w:shd w:val="clear" w:color="auto" w:fill="F0F0F0"/>
                </w:tcPr>
                <w:p>
                  <w:pPr>
                    <w:pStyle w:val="Normal"/>
                    <w:keepLines w:val="on"/>
                  </w:pPr>
                  <w:r>
                    <w:t>$32,05</w:t>
                  </w:r>
                </w:p>
              </w:tc>
            </w:tr>
            <w:tr>
              <w:tc>
                <w:tcPr>
                  <w:tcW w:type="auto" w:w="0"/>
                  <w:shd w:val="clear" w:color="auto" w:fill="F0F0F0"/>
                </w:tcPr>
                <w:p>
                  <w:pPr>
                    <w:pStyle w:val="Para 02"/>
                    <w:keepLines w:val="on"/>
                  </w:pPr>
                  <w:r>
                    <w:t>Dòng tiền tự do cho doanh nghiệp</w:t>
                  </w:r>
                </w:p>
              </w:tc>
              <w:tc>
                <w:tcPr>
                  <w:tcW w:type="auto" w:w="0"/>
                  <w:shd w:val="clear" w:color="auto" w:fill="F0F0F0"/>
                </w:tcPr>
                <w:p>
                  <w:pPr>
                    <w:pStyle w:val="Normal"/>
                    <w:keepLines w:val="on"/>
                  </w:pPr>
                  <w:r>
                    <w:t>$90,60</w:t>
                  </w:r>
                </w:p>
              </w:tc>
              <w:tc>
                <w:tcPr>
                  <w:tcW w:type="auto" w:w="0"/>
                  <w:shd w:val="clear" w:color="auto" w:fill="F0F0F0"/>
                </w:tcPr>
                <w:p>
                  <w:pPr>
                    <w:pStyle w:val="Normal"/>
                    <w:keepLines w:val="on"/>
                  </w:pPr>
                  <w:r>
                    <w:t>$104,19</w:t>
                  </w:r>
                </w:p>
              </w:tc>
              <w:tc>
                <w:tcPr>
                  <w:tcW w:type="auto" w:w="0"/>
                  <w:shd w:val="clear" w:color="auto" w:fill="F0F0F0"/>
                </w:tcPr>
                <w:p>
                  <w:pPr>
                    <w:pStyle w:val="Normal"/>
                    <w:keepLines w:val="on"/>
                  </w:pPr>
                  <w:r>
                    <w:t>$119,82</w:t>
                  </w:r>
                </w:p>
              </w:tc>
              <w:tc>
                <w:tcPr>
                  <w:tcW w:type="auto" w:w="0"/>
                  <w:shd w:val="clear" w:color="auto" w:fill="F0F0F0"/>
                </w:tcPr>
                <w:p>
                  <w:pPr>
                    <w:pStyle w:val="Normal"/>
                    <w:keepLines w:val="on"/>
                  </w:pPr>
                  <w:r>
                    <w:t>$137,79</w:t>
                  </w:r>
                </w:p>
              </w:tc>
              <w:tc>
                <w:tcPr>
                  <w:tcW w:type="auto" w:w="0"/>
                  <w:shd w:val="clear" w:color="auto" w:fill="F0F0F0"/>
                </w:tcPr>
                <w:p>
                  <w:pPr>
                    <w:pStyle w:val="Normal"/>
                    <w:keepLines w:val="on"/>
                  </w:pPr>
                  <w:r>
                    <w:t>$158,46</w:t>
                  </w:r>
                </w:p>
              </w:tc>
              <w:tc>
                <w:tcPr>
                  <w:tcW w:type="auto" w:w="0"/>
                  <w:shd w:val="clear" w:color="auto" w:fill="F0F0F0"/>
                </w:tcPr>
                <w:p>
                  <w:pPr>
                    <w:pStyle w:val="Normal"/>
                    <w:keepLines w:val="on"/>
                  </w:pPr>
                  <w:r>
                    <w:t>$182,23</w:t>
                  </w:r>
                </w:p>
              </w:tc>
            </w:tr>
            <w:tr>
              <w:tc>
                <w:tcPr>
                  <w:tcW w:type="auto" w:w="0"/>
                  <w:shd w:val="clear" w:color="auto" w:fill="F0F0F0"/>
                </w:tcPr>
                <w:p>
                  <w:pPr>
                    <w:pStyle w:val="Para 02"/>
                    <w:keepLines w:val="on"/>
                  </w:pPr>
                  <w:r>
                    <w:t>Chi phí vốn</w:t>
                  </w:r>
                </w:p>
              </w:tc>
              <w:tc>
                <w:tcPr>
                  <w:tcW w:type="auto" w:w="0"/>
                  <w:shd w:val="clear" w:color="auto" w:fill="F0F0F0"/>
                </w:tcPr>
                <w:p>
                  <w:pPr>
                    <w:pStyle w:val="7 Block"/>
                    <w:keepLines w:val="on"/>
                  </w:pPr>
                </w:p>
              </w:tc>
              <w:tc>
                <w:tcPr>
                  <w:tcW w:type="auto" w:w="0"/>
                  <w:shd w:val="clear" w:color="auto" w:fill="F0F0F0"/>
                </w:tcPr>
                <w:p>
                  <w:pPr>
                    <w:pStyle w:val="Normal"/>
                    <w:keepLines w:val="on"/>
                  </w:pPr>
                  <w:r>
                    <w:t>8,08%</w:t>
                  </w:r>
                </w:p>
              </w:tc>
              <w:tc>
                <w:tcPr>
                  <w:tcW w:type="auto" w:w="0"/>
                  <w:shd w:val="clear" w:color="auto" w:fill="F0F0F0"/>
                </w:tcPr>
                <w:p>
                  <w:pPr>
                    <w:pStyle w:val="Normal"/>
                    <w:keepLines w:val="on"/>
                  </w:pPr>
                  <w:r>
                    <w:t>8,08%</w:t>
                  </w:r>
                </w:p>
              </w:tc>
              <w:tc>
                <w:tcPr>
                  <w:tcW w:type="auto" w:w="0"/>
                  <w:shd w:val="clear" w:color="auto" w:fill="F0F0F0"/>
                </w:tcPr>
                <w:p>
                  <w:pPr>
                    <w:pStyle w:val="Normal"/>
                    <w:keepLines w:val="on"/>
                  </w:pPr>
                  <w:r>
                    <w:t>8,08%</w:t>
                  </w:r>
                </w:p>
              </w:tc>
              <w:tc>
                <w:tcPr>
                  <w:tcW w:type="auto" w:w="0"/>
                  <w:shd w:val="clear" w:color="auto" w:fill="F0F0F0"/>
                </w:tcPr>
                <w:p>
                  <w:pPr>
                    <w:pStyle w:val="Normal"/>
                    <w:keepLines w:val="on"/>
                  </w:pPr>
                  <w:r>
                    <w:t>8,08%</w:t>
                  </w:r>
                </w:p>
              </w:tc>
              <w:tc>
                <w:tcPr>
                  <w:tcW w:type="auto" w:w="0"/>
                  <w:shd w:val="clear" w:color="auto" w:fill="F0F0F0"/>
                </w:tcPr>
                <w:p>
                  <w:pPr>
                    <w:pStyle w:val="Normal"/>
                    <w:keepLines w:val="on"/>
                  </w:pPr>
                  <w:r>
                    <w:t>8,08%</w:t>
                  </w:r>
                </w:p>
              </w:tc>
            </w:tr>
            <w:tr>
              <w:tc>
                <w:tcPr>
                  <w:tcW w:type="auto" w:w="0"/>
                  <w:shd w:val="clear" w:color="auto" w:fill="F0F0F0"/>
                </w:tcPr>
                <w:p>
                  <w:pPr>
                    <w:pStyle w:val="Para 02"/>
                    <w:keepLines w:val="on"/>
                  </w:pPr>
                  <w:r>
                    <w:t>Giá trị hiện tại @8,08%</w:t>
                  </w:r>
                </w:p>
              </w:tc>
              <w:tc>
                <w:tcPr>
                  <w:tcW w:type="auto" w:w="0"/>
                  <w:shd w:val="clear" w:color="auto" w:fill="F0F0F0"/>
                </w:tcPr>
                <w:p>
                  <w:pPr>
                    <w:pStyle w:val="7 Block"/>
                    <w:keepLines w:val="on"/>
                  </w:pPr>
                </w:p>
              </w:tc>
              <w:tc>
                <w:tcPr>
                  <w:tcW w:type="auto" w:w="0"/>
                  <w:shd w:val="clear" w:color="auto" w:fill="F0F0F0"/>
                </w:tcPr>
                <w:p>
                  <w:pPr>
                    <w:pStyle w:val="Normal"/>
                    <w:keepLines w:val="on"/>
                  </w:pPr>
                  <w:r>
                    <w:t>$96,40</w:t>
                  </w:r>
                </w:p>
              </w:tc>
              <w:tc>
                <w:tcPr>
                  <w:tcW w:type="auto" w:w="0"/>
                  <w:shd w:val="clear" w:color="auto" w:fill="F0F0F0"/>
                </w:tcPr>
                <w:p>
                  <w:pPr>
                    <w:pStyle w:val="Normal"/>
                    <w:keepLines w:val="on"/>
                  </w:pPr>
                  <w:r>
                    <w:t>$102,57</w:t>
                  </w:r>
                </w:p>
              </w:tc>
              <w:tc>
                <w:tcPr>
                  <w:tcW w:type="auto" w:w="0"/>
                  <w:shd w:val="clear" w:color="auto" w:fill="F0F0F0"/>
                </w:tcPr>
                <w:p>
                  <w:pPr>
                    <w:pStyle w:val="Normal"/>
                    <w:keepLines w:val="on"/>
                  </w:pPr>
                  <w:r>
                    <w:t>$109,14</w:t>
                  </w:r>
                </w:p>
              </w:tc>
              <w:tc>
                <w:tcPr>
                  <w:tcW w:type="auto" w:w="0"/>
                  <w:shd w:val="clear" w:color="auto" w:fill="F0F0F0"/>
                </w:tcPr>
                <w:p>
                  <w:pPr>
                    <w:pStyle w:val="Normal"/>
                    <w:keepLines w:val="on"/>
                  </w:pPr>
                  <w:r>
                    <w:t>$116,12</w:t>
                  </w:r>
                </w:p>
              </w:tc>
              <w:tc>
                <w:tcPr>
                  <w:tcW w:type="auto" w:w="0"/>
                  <w:shd w:val="clear" w:color="auto" w:fill="F0F0F0"/>
                </w:tcPr>
                <w:p>
                  <w:pPr>
                    <w:pStyle w:val="Normal"/>
                    <w:keepLines w:val="on"/>
                  </w:pPr>
                  <w:r>
                    <w:t>$123,55</w:t>
                  </w:r>
                </w:p>
              </w:tc>
            </w:tr>
          </w:tbl>
          <w:p/>
        </w:tc>
      </w:tr>
    </w:tbl>
    <w:p>
      <w:pPr>
        <w:pStyle w:val="Para 04"/>
        <w:keepLines w:val="on"/>
      </w:pPr>
      <w:r>
        <w:t>Tổng các khoản giá trị hiện tại lên tới 547,78 triệu đô la. Lưu ý rằng chúng ta đã giả định rằng chi tiêu vốn ròng (net cap ex) và thay đổi vốn lưu động (change in working capital) sẽ tăng trưởng cùng tốc độ với thu nhập hoạt động (operating income).</w:t>
      </w:r>
    </w:p>
    <w:p>
      <w:pPr>
        <w:pStyle w:val="Para 04"/>
        <w:keepLines w:val="on"/>
      </w:pPr>
      <w:r>
        <w:t>Để ước tính giá trị vào cuối giai đoạn tăng trưởng cao, chúng ta ước tính tỷ lệ tái đầu tư (reinvestment rate) dựa trên tốc độ tăng trưởng ổn định (stable growth rate) và lợi nhuận trên vốn (return on capital):</w:t>
      </w:r>
    </w:p>
    <w:p>
      <w:bookmarkStart w:id="4611" w:name="Stablegrowthrate_3_Stablereturno"/>
      <w:pPr>
        <w:keepNext/>
        <w:pStyle w:val="Para 07"/>
        <w:keepLines w:val="on"/>
      </w:pPr>
      <w:r>
        <w:t>Tốc độ tăng trưởng ổn định = 3% Tỷ suất sinh lời trên vốn ổn định = 7,79% bằng chi phí vốn trong giai đoạn tăng trưởng ổn định Tỷ lệ tái đầu tư ổn định = g/ROC = 3%/7,79% = 38,51%</w:t>
      </w:r>
      <w:bookmarkEnd w:id="4611"/>
    </w:p>
    <w:p>
      <w:bookmarkStart w:id="4612" w:name="Terminalvalue_EBIT51_gstable1"/>
      <w:pPr>
        <w:keepNext/>
        <w:pStyle w:val="Para 07"/>
        <w:keepLines w:val="on"/>
      </w:pPr>
      <w:r>
        <w:t>Giá trị cuối kỳ = EBIT5 × (1 + g ổn định) × (1 − Tỷ lệ tái đầu tư) / (Chi phí vốn − g ổn định) = 236,54 × 1,03 × (1 − 0,385) / (0,0779 − 0,03) = 3.127,69 đô la</w:t>
      </w:r>
      <w:bookmarkEnd w:id="4612"/>
    </w:p>
    <w:p>
      <w:pPr>
        <w:pStyle w:val="Para 04"/>
        <w:keepLines w:val="on"/>
      </w:pPr>
      <w:r>
        <w:t>Chiết khấu giá trị cuối kỳ về hiện tại với tỷ lệ 8,08% trong năm năm rồi cộng vào giá trị hiện tại của dòng tiền trong năm năm đó sẽ cho ra giá trị tài sản hoạt động là 2.668 triệu đô la:</w:t>
      </w:r>
    </w:p>
    <w:p>
      <w:bookmarkStart w:id="4613" w:name="Valueofoperatingassets__547_78"/>
      <w:pPr>
        <w:keepNext/>
        <w:pStyle w:val="Para 07"/>
        <w:keepLines w:val="on"/>
      </w:pPr>
      <w:r>
        <w:t>Giá trị tài sản hoạt động = 547,78 + 3.127,69 / 1,0808^5 = 2.668 triệu đô la</w:t>
      </w:r>
      <w:bookmarkEnd w:id="4613"/>
    </w:p>
    <w:p>
      <w:pPr>
        <w:pStyle w:val="Para 04"/>
        <w:keepLines w:val="on"/>
      </w:pPr>
      <w:r>
        <w:t>Cộng thêm số dư tiền mặt 1.134 triệu đô la, trừ đi khoản nợ chưa thanh toán 947 triệu đô la và chia cho số cổ phiếu đang lưu hành (146,26 triệu cổ phiếu) sẽ cho ra giá trị mỗi cổ phiếu là 19,52 đô la.</w:t>
      </w:r>
    </w:p>
    <w:p>
      <w:bookmarkStart w:id="4614" w:name="Value_of_equity_per_share_2668_1"/>
      <w:pPr>
        <w:keepNext/>
        <w:pStyle w:val="Para 07"/>
        <w:keepLines w:val="on"/>
      </w:pPr>
      <w:r>
        <w:t>Giá trị vốn chủ sở hữu mỗi cổ phiếu = (2.668 + 1.134 − 947) / 146,26 = 19,52 đô la/cổ phiếu</w:t>
      </w:r>
      <w:bookmarkEnd w:id="4614"/>
    </w:p>
    <w:p>
      <w:pPr>
        <w:pStyle w:val="Para 04"/>
        <w:keepLines w:val="on"/>
      </w:pPr>
      <w:r>
        <w:t>Con số này cao hơn khoảng 8% so với giá cổ phiếu 18,13 đô la vào cuối tháng 5 năm 2011.</w:t>
      </w:r>
    </w:p>
    <w:p>
      <w:bookmarkStart w:id="4615" w:name="Normalize_Earnings__For_cyclical"/>
      <w:pPr>
        <w:pStyle w:val="Para 42"/>
      </w:pPr>
      <w:r>
        <w:t>Chuẩn hóa lợi nhuận</w:t>
      </w:r>
      <w:bookmarkEnd w:id="4615"/>
    </w:p>
    <w:p>
      <w:pPr>
        <w:pStyle w:val="Para 03"/>
      </w:pPr>
      <w:r>
        <w:t>Đối với các công ty mang tính chu kỳ, giải pháp dễ nhất cho vấn đề lợi nhuận biến động thất thường theo thời gian và lợi nhuận âm trong kỳ cơ sở chính là chuẩn hóa lợi nhuận. Khi chuẩn hóa lợi nhuận cho một công ty có lợi nhuận âm, đơn giản là chúng ta đang cố gắng trả lời câu hỏi: "Công ty này sẽ kiếm được bao nhiêu trong một năm bình thường?" Ẩn chứa trong câu nói này là giả định rằng năm hiện tại không phải là một năm bình thường, và lợi nhuận sẽ nhanh chóng phục hồi về mức bình thường. Do đó, cách tiếp cận này phù hợp nhất với các công ty mang tính chu kỳ trong những ngành kinh doanh đã trưởng thành. Có một số cách để chuẩn hóa lợi nhuận:</w:t>
      </w:r>
    </w:p>
    <w:p>
      <w:pPr>
        <w:numPr>
          <w:ilvl w:val="0"/>
          <w:numId w:val="217"/>
        </w:numPr>
        <w:pStyle w:val="Para 01"/>
      </w:pPr>
      <w:r>
        <w:t>Lấy bình quân lợi nhuận bằng đô la của công ty qua các giai đoạn trước. Cách đơn giản nhất để chuẩn hóa lợi nhuận là sử dụng lợi nhuận bình quân qua các giai đoạn trước. Vậy bạn nên nhìn lại bao nhiêu giai đoạn? Đối với các công ty mang tính chu kỳ, bạn nên nhìn lại đủ xa để bao quát trọn một chu kỳ kinh tế — từ 5 đến 10 năm. Tuy cách này đơn giản, nó phù hợp nhất với những công ty không thay đổi về quy mô (hay kích cỡ) trong suốt giai đoạn đó. Nếu áp dụng cho một công ty đã trở nên lớn hơn hoặc nhỏ hơn (xét theo số lượng sản phẩm bán ra hoặc tổng doanh thu) theo thời gian, nó sẽ cho ra một ước tính chuẩn hóa không chính xác.</w:t>
      </w:r>
    </w:p>
    <w:p>
      <w:pPr>
        <w:numPr>
          <w:ilvl w:val="0"/>
          <w:numId w:val="217"/>
        </w:numPr>
        <w:pStyle w:val="Para 01"/>
      </w:pPr>
      <w:r>
        <w:t>Lấy bình quân tỷ suất sinh lời trên vốn đầu tư hoặc biên lợi nhuận của công ty qua các giai đoạn trước. Cách này tương tự cách thứ nhất, nhưng việc lấy bình quân được thực hiện trên lợi nhuận đã quy đổi theo quy mô (biên lợi nhuận hoạt động hoặc tỷ suất sinh lời trên vốn) thay vì lợi nhuận bằng đô la. Ưu điểm của cách này là nó cho phép ước tính lợi nhuận chuẩn hóa phản ánh được quy mô hiện tại của công ty. Như vậy, một công ty có tỷ suất sinh lời trên vốn bình quân là 12 phần trăm qua các giai đoạn trước và vốn đầu tư hiện tại là 1.000 triệu đô la sẽ có thu nhập hoạt động chuẩn hóa là 120 triệu đô la. Sử dụng tỷ suất sinh lời trên vốn chủ sở hữu bình quân và giá trị sổ sách của vốn chủ sở hữu sẽ cho ra thu nhập ròng chuẩn hóa. Một biến thể gần giống của cách này là ước tính biên lợi nhuận hoạt động hoặc biên lợi nhuận ròng bình quân trong các giai đoạn trước rồi áp dụng biên lợi nhuận này cho doanh thu hiện tại để ra thu nhập hoạt động hoặc thu nhập ròng chuẩn hóa. Ưu điểm của việc làm việc với doanh thu là chúng ít bị thao túng bởi kế toán hơn.</w:t>
      </w:r>
    </w:p>
    <w:p>
      <w:pPr>
        <w:pStyle w:val="Para 03"/>
      </w:pPr>
      <w:r>
        <w:t>Còn một câu hỏi cuối cùng mà chúng ta phải giải quyết khi chuẩn hóa lợi nhuận, và nó liên quan đến thời điểm lợi nhuận sẽ được chuẩn hóa. Việc thay thế lợi nhuận hiện tại bằng lợi nhuận chuẩn hóa về cơ bản tương đương với giả định rằng việc chuẩn hóa sẽ diễn ra nhanh chóng (tức là ngay trong giai đoạn đầu tiên của quá trình định giá). Nếu lợi nhuận không trở về mức chuẩn hóa trong vài giai đoạn, giá trị thu được từ việc chuẩn hóa lợi nhuận hiện tại sẽ quá cao. Một cách điều chỉnh đơn giản có thể áp dụng là chiết khấu giá trị đó về hiện tại theo số giai đoạn cần thiết để lợi nhuận được chuẩn hóa.</w:t>
      </w:r>
    </w:p>
    <w:p>
      <w:pPr>
        <w:pStyle w:val="Para 11"/>
      </w:pPr>
      <w:r>
        <w:t/>
        <w:t xml:space="preserve"> </w:t>
      </w:r>
    </w:p>
    <w:p>
      <w:bookmarkStart w:id="4618" w:name="ILLUSTRATION_22_3_Valuing_a_Cycl_1"/>
      <w:bookmarkStart w:id="4619" w:name="ILLUSTRATION_22_3_Valuing_a_Cycl"/>
      <w:pPr>
        <w:keepNext/>
        <w:pStyle w:val="Para 19"/>
        <w:keepLines w:val="on"/>
      </w:pPr>
      <w:r>
        <w:t>MINH HỌA 22.3: Định giá một công ty mang tính chu kỳ bằng lợi nhuận chuẩn hóa: Toyota Motor Corporation vào tháng 3 năm 2009</w:t>
      </w:r>
      <w:bookmarkEnd w:id="4618"/>
      <w:bookmarkEnd w:id="4619"/>
    </w:p>
    <w:p>
      <w:pPr>
        <w:pStyle w:val="Para 04"/>
        <w:keepLines w:val="on"/>
      </w:pPr>
      <w:r>
        <w:t>Trong những năm trước 2008, Toyota Motor Corporation đã gây dựng được danh tiếng về hiệu quả và sự đổi mới. Tuy nhiên, cuộc khủng hoảng ngân hàng năm 2008 và sự suy giảm của nền kinh tế toàn cầu đã khiến Toyota báo lỗ trong quý cuối năm 2008, một dấu hiệu báo trước cho mức lợi nhuận thấp hơn nhiều trong năm tài chính 2008–2009 (kéo dài từ tháng 4 năm 2008 đến tháng 3 năm 2009). Để chuẩn hóa thu nhập hoạt động của Toyota, chúng tôi đã xem xét kết quả hoạt động của hãng từ 1998 đến 2008 trong Bảng 22.2:</w:t>
      </w:r>
    </w:p>
    <w:p>
      <w:pPr>
        <w:pStyle w:val="Para 25"/>
        <w:keepLines w:val="on"/>
      </w:pPr>
      <w:r>
        <w:t>Bảng 22.2</w:t>
      </w:r>
    </w:p>
    <w:p>
      <w:pPr>
        <w:keepNext/>
        <w:pStyle w:val="Para 24"/>
        <w:keepLines w:val="on"/>
      </w:pPr>
      <w:r>
        <w:t>Lợi nhuận và dòng tiền kỳ vọng—Toyota</w:t>
      </w:r>
    </w:p>
    <w:tbl>
      <w:tblPr>
        <w:tblW w:type="auto" w:w="0"/>
      </w:tblPr>
      <w:tr>
        <w:tc>
          <w:tcPr>
            <w:tcW w:type="auto" w:w="0"/>
          </w:tcPr>
          <w:tbl>
            <w:tblPr>
              <w:tblW w:type="auto" w:w="0"/>
            </w:tblPr>
            <w:tr>
              <w:tc>
                <w:tcPr>
                  <w:tcW w:type="auto" w:w="0"/>
                  <w:shd w:val="clear" w:color="auto" w:fill="F0F0F0"/>
                  <w:vAlign w:val="bottom"/>
                </w:tcPr>
                <w:p>
                  <w:pPr>
                    <w:pStyle w:val="Para 32"/>
                    <w:keepLines w:val="on"/>
                  </w:pPr>
                  <w:r>
                    <w:t>Năm</w:t>
                  </w:r>
                </w:p>
              </w:tc>
              <w:tc>
                <w:tcPr>
                  <w:tcW w:type="auto" w:w="0"/>
                  <w:shd w:val="clear" w:color="auto" w:fill="F0F0F0"/>
                  <w:vAlign w:val="bottom"/>
                </w:tcPr>
                <w:p>
                  <w:pPr>
                    <w:pStyle w:val="Para 05"/>
                    <w:keepLines w:val="on"/>
                  </w:pPr>
                  <w:r>
                    <w:t>Doanh thu (triệu)</w:t>
                  </w:r>
                </w:p>
              </w:tc>
              <w:tc>
                <w:tcPr>
                  <w:tcW w:type="auto" w:w="0"/>
                  <w:shd w:val="clear" w:color="auto" w:fill="F0F0F0"/>
                  <w:vAlign w:val="bottom"/>
                </w:tcPr>
                <w:p>
                  <w:pPr>
                    <w:pStyle w:val="Para 05"/>
                    <w:keepLines w:val="on"/>
                  </w:pPr>
                  <w:r>
                    <w:t>Thu nhập hoạt động (triệu)</w:t>
                  </w:r>
                </w:p>
              </w:tc>
              <w:tc>
                <w:tcPr>
                  <w:tcW w:type="auto" w:w="0"/>
                  <w:shd w:val="clear" w:color="auto" w:fill="F0F0F0"/>
                  <w:vAlign w:val="bottom"/>
                </w:tcPr>
                <w:p>
                  <w:pPr>
                    <w:pStyle w:val="Para 05"/>
                    <w:keepLines w:val="on"/>
                  </w:pPr>
                  <w:r>
                    <w:t>EBITDA</w:t>
                  </w:r>
                </w:p>
              </w:tc>
              <w:tc>
                <w:tcPr>
                  <w:tcW w:type="auto" w:w="0"/>
                  <w:shd w:val="clear" w:color="auto" w:fill="F0F0F0"/>
                  <w:vAlign w:val="bottom"/>
                </w:tcPr>
                <w:p>
                  <w:pPr>
                    <w:pStyle w:val="Para 05"/>
                    <w:keepLines w:val="on"/>
                  </w:pPr>
                  <w:r>
                    <w:t>Biên lợi nhuận hoạt động</w:t>
                  </w:r>
                </w:p>
              </w:tc>
              <w:tc>
                <w:tcPr>
                  <w:tcW w:type="auto" w:w="0"/>
                  <w:shd w:val="clear" w:color="auto" w:fill="F0F0F0"/>
                  <w:vAlign w:val="bottom"/>
                </w:tcPr>
                <w:p>
                  <w:pPr>
                    <w:pStyle w:val="Para 05"/>
                    <w:keepLines w:val="on"/>
                  </w:pPr>
                  <w:r>
                    <w:t>Biên lợi nhuận EBITDA</w:t>
                  </w:r>
                </w:p>
              </w:tc>
            </w:tr>
            <w:tr>
              <w:tc>
                <w:tcPr>
                  <w:tcW w:type="auto" w:w="0"/>
                  <w:shd w:val="clear" w:color="auto" w:fill="F0F0F0"/>
                </w:tcPr>
                <w:p>
                  <w:pPr>
                    <w:pStyle w:val="Para 02"/>
                    <w:keepLines w:val="on"/>
                  </w:pPr>
                  <w:r>
                    <w:t>1998</w:t>
                  </w:r>
                </w:p>
              </w:tc>
              <w:tc>
                <w:tcPr>
                  <w:tcW w:type="auto" w:w="0"/>
                  <w:shd w:val="clear" w:color="auto" w:fill="F0F0F0"/>
                </w:tcPr>
                <w:p>
                  <w:pPr>
                    <w:pStyle w:val="Normal"/>
                    <w:keepLines w:val="on"/>
                  </w:pPr>
                  <w:r>
                    <w:t>¥11.678.400</w:t>
                  </w:r>
                </w:p>
              </w:tc>
              <w:tc>
                <w:tcPr>
                  <w:tcW w:type="auto" w:w="0"/>
                  <w:shd w:val="clear" w:color="auto" w:fill="F0F0F0"/>
                </w:tcPr>
                <w:p>
                  <w:pPr>
                    <w:pStyle w:val="Normal"/>
                    <w:keepLines w:val="on"/>
                  </w:pPr>
                  <w:r>
                    <w:t>¥779.800</w:t>
                  </w:r>
                </w:p>
              </w:tc>
              <w:tc>
                <w:tcPr>
                  <w:tcW w:type="auto" w:w="0"/>
                  <w:shd w:val="clear" w:color="auto" w:fill="F0F0F0"/>
                </w:tcPr>
                <w:p>
                  <w:pPr>
                    <w:pStyle w:val="Normal"/>
                    <w:keepLines w:val="on"/>
                  </w:pPr>
                  <w:r>
                    <w:t>¥1,382,950</w:t>
                  </w:r>
                </w:p>
              </w:tc>
              <w:tc>
                <w:tcPr>
                  <w:tcW w:type="auto" w:w="0"/>
                  <w:shd w:val="clear" w:color="auto" w:fill="F0F0F0"/>
                </w:tcPr>
                <w:p>
                  <w:pPr>
                    <w:pStyle w:val="Normal"/>
                    <w:keepLines w:val="on"/>
                  </w:pPr>
                  <w:r>
                    <w:t>6,68%</w:t>
                  </w:r>
                </w:p>
              </w:tc>
              <w:tc>
                <w:tcPr>
                  <w:tcW w:type="auto" w:w="0"/>
                  <w:shd w:val="clear" w:color="auto" w:fill="F0F0F0"/>
                </w:tcPr>
                <w:p>
                  <w:pPr>
                    <w:pStyle w:val="Normal"/>
                    <w:keepLines w:val="on"/>
                  </w:pPr>
                  <w:r>
                    <w:t>11,84%</w:t>
                  </w:r>
                </w:p>
              </w:tc>
            </w:tr>
            <w:tr>
              <w:tc>
                <w:tcPr>
                  <w:tcW w:type="auto" w:w="0"/>
                  <w:shd w:val="clear" w:color="auto" w:fill="F0F0F0"/>
                </w:tcPr>
                <w:p>
                  <w:pPr>
                    <w:pStyle w:val="Para 02"/>
                    <w:keepLines w:val="on"/>
                  </w:pPr>
                  <w:r>
                    <w:t>1999</w:t>
                  </w:r>
                </w:p>
              </w:tc>
              <w:tc>
                <w:tcPr>
                  <w:tcW w:type="auto" w:w="0"/>
                  <w:shd w:val="clear" w:color="auto" w:fill="F0F0F0"/>
                </w:tcPr>
                <w:p>
                  <w:pPr>
                    <w:pStyle w:val="Normal"/>
                    <w:keepLines w:val="on"/>
                  </w:pPr>
                  <w:r>
                    <w:t>¥12.749.010</w:t>
                  </w:r>
                </w:p>
              </w:tc>
              <w:tc>
                <w:tcPr>
                  <w:tcW w:type="auto" w:w="0"/>
                  <w:shd w:val="clear" w:color="auto" w:fill="F0F0F0"/>
                </w:tcPr>
                <w:p>
                  <w:pPr>
                    <w:pStyle w:val="Normal"/>
                    <w:keepLines w:val="on"/>
                  </w:pPr>
                  <w:r>
                    <w:t>¥774.947</w:t>
                  </w:r>
                </w:p>
              </w:tc>
              <w:tc>
                <w:tcPr>
                  <w:tcW w:type="auto" w:w="0"/>
                  <w:shd w:val="clear" w:color="auto" w:fill="F0F0F0"/>
                </w:tcPr>
                <w:p>
                  <w:pPr>
                    <w:pStyle w:val="Normal"/>
                    <w:keepLines w:val="on"/>
                  </w:pPr>
                  <w:r>
                    <w:t>¥1.415.997</w:t>
                  </w:r>
                </w:p>
              </w:tc>
              <w:tc>
                <w:tcPr>
                  <w:tcW w:type="auto" w:w="0"/>
                  <w:shd w:val="clear" w:color="auto" w:fill="F0F0F0"/>
                </w:tcPr>
                <w:p>
                  <w:pPr>
                    <w:pStyle w:val="Normal"/>
                    <w:keepLines w:val="on"/>
                  </w:pPr>
                  <w:r>
                    <w:t>6,08%</w:t>
                  </w:r>
                </w:p>
              </w:tc>
              <w:tc>
                <w:tcPr>
                  <w:tcW w:type="auto" w:w="0"/>
                  <w:shd w:val="clear" w:color="auto" w:fill="F0F0F0"/>
                </w:tcPr>
                <w:p>
                  <w:pPr>
                    <w:pStyle w:val="Normal"/>
                    <w:keepLines w:val="on"/>
                  </w:pPr>
                  <w:r>
                    <w:t>11,11%</w:t>
                  </w:r>
                </w:p>
              </w:tc>
            </w:tr>
            <w:tr>
              <w:tc>
                <w:tcPr>
                  <w:tcW w:type="auto" w:w="0"/>
                  <w:shd w:val="clear" w:color="auto" w:fill="F0F0F0"/>
                </w:tcPr>
                <w:p>
                  <w:pPr>
                    <w:pStyle w:val="Para 02"/>
                    <w:keepLines w:val="on"/>
                  </w:pPr>
                  <w:r>
                    <w:t>2000</w:t>
                  </w:r>
                </w:p>
              </w:tc>
              <w:tc>
                <w:tcPr>
                  <w:tcW w:type="auto" w:w="0"/>
                  <w:shd w:val="clear" w:color="auto" w:fill="F0F0F0"/>
                </w:tcPr>
                <w:p>
                  <w:pPr>
                    <w:pStyle w:val="Normal"/>
                    <w:keepLines w:val="on"/>
                  </w:pPr>
                  <w:r>
                    <w:t>¥12.879.560</w:t>
                  </w:r>
                </w:p>
              </w:tc>
              <w:tc>
                <w:tcPr>
                  <w:tcW w:type="auto" w:w="0"/>
                  <w:shd w:val="clear" w:color="auto" w:fill="F0F0F0"/>
                </w:tcPr>
                <w:p>
                  <w:pPr>
                    <w:pStyle w:val="Normal"/>
                    <w:keepLines w:val="on"/>
                  </w:pPr>
                  <w:r>
                    <w:t>¥775.982</w:t>
                  </w:r>
                </w:p>
              </w:tc>
              <w:tc>
                <w:tcPr>
                  <w:tcW w:type="auto" w:w="0"/>
                  <w:shd w:val="clear" w:color="auto" w:fill="F0F0F0"/>
                </w:tcPr>
                <w:p>
                  <w:pPr>
                    <w:pStyle w:val="Normal"/>
                    <w:keepLines w:val="on"/>
                  </w:pPr>
                  <w:r>
                    <w:t>¥1.430.982</w:t>
                  </w:r>
                </w:p>
              </w:tc>
              <w:tc>
                <w:tcPr>
                  <w:tcW w:type="auto" w:w="0"/>
                  <w:shd w:val="clear" w:color="auto" w:fill="F0F0F0"/>
                </w:tcPr>
                <w:p>
                  <w:pPr>
                    <w:pStyle w:val="Normal"/>
                    <w:keepLines w:val="on"/>
                  </w:pPr>
                  <w:r>
                    <w:t>6,02%</w:t>
                  </w:r>
                </w:p>
              </w:tc>
              <w:tc>
                <w:tcPr>
                  <w:tcW w:type="auto" w:w="0"/>
                  <w:shd w:val="clear" w:color="auto" w:fill="F0F0F0"/>
                </w:tcPr>
                <w:p>
                  <w:pPr>
                    <w:pStyle w:val="Normal"/>
                    <w:keepLines w:val="on"/>
                  </w:pPr>
                  <w:r>
                    <w:t>11,11%</w:t>
                  </w:r>
                </w:p>
              </w:tc>
            </w:tr>
            <w:tr>
              <w:tc>
                <w:tcPr>
                  <w:tcW w:type="auto" w:w="0"/>
                  <w:shd w:val="clear" w:color="auto" w:fill="F0F0F0"/>
                </w:tcPr>
                <w:p>
                  <w:pPr>
                    <w:pStyle w:val="Para 02"/>
                    <w:keepLines w:val="on"/>
                  </w:pPr>
                  <w:r>
                    <w:t>2001</w:t>
                  </w:r>
                </w:p>
              </w:tc>
              <w:tc>
                <w:tcPr>
                  <w:tcW w:type="auto" w:w="0"/>
                  <w:shd w:val="clear" w:color="auto" w:fill="F0F0F0"/>
                </w:tcPr>
                <w:p>
                  <w:pPr>
                    <w:pStyle w:val="Normal"/>
                    <w:keepLines w:val="on"/>
                  </w:pPr>
                  <w:r>
                    <w:t>¥13.424.420</w:t>
                  </w:r>
                </w:p>
              </w:tc>
              <w:tc>
                <w:tcPr>
                  <w:tcW w:type="auto" w:w="0"/>
                  <w:shd w:val="clear" w:color="auto" w:fill="F0F0F0"/>
                </w:tcPr>
                <w:p>
                  <w:pPr>
                    <w:pStyle w:val="Normal"/>
                    <w:keepLines w:val="on"/>
                  </w:pPr>
                  <w:r>
                    <w:t>¥870.131</w:t>
                  </w:r>
                </w:p>
              </w:tc>
              <w:tc>
                <w:tcPr>
                  <w:tcW w:type="auto" w:w="0"/>
                  <w:shd w:val="clear" w:color="auto" w:fill="F0F0F0"/>
                </w:tcPr>
                <w:p>
                  <w:pPr>
                    <w:pStyle w:val="Normal"/>
                    <w:keepLines w:val="on"/>
                  </w:pPr>
                  <w:r>
                    <w:t>¥1.542.631</w:t>
                  </w:r>
                </w:p>
              </w:tc>
              <w:tc>
                <w:tcPr>
                  <w:tcW w:type="auto" w:w="0"/>
                  <w:shd w:val="clear" w:color="auto" w:fill="F0F0F0"/>
                </w:tcPr>
                <w:p>
                  <w:pPr>
                    <w:pStyle w:val="Normal"/>
                    <w:keepLines w:val="on"/>
                  </w:pPr>
                  <w:r>
                    <w:t>6,48%</w:t>
                  </w:r>
                </w:p>
              </w:tc>
              <w:tc>
                <w:tcPr>
                  <w:tcW w:type="auto" w:w="0"/>
                  <w:shd w:val="clear" w:color="auto" w:fill="F0F0F0"/>
                </w:tcPr>
                <w:p>
                  <w:pPr>
                    <w:pStyle w:val="Normal"/>
                    <w:keepLines w:val="on"/>
                  </w:pPr>
                  <w:r>
                    <w:t>11,49%</w:t>
                  </w:r>
                </w:p>
              </w:tc>
            </w:tr>
            <w:tr>
              <w:tc>
                <w:tcPr>
                  <w:tcW w:type="auto" w:w="0"/>
                  <w:shd w:val="clear" w:color="auto" w:fill="F0F0F0"/>
                </w:tcPr>
                <w:p>
                  <w:pPr>
                    <w:pStyle w:val="Para 02"/>
                    <w:keepLines w:val="on"/>
                  </w:pPr>
                  <w:r>
                    <w:t>2002</w:t>
                  </w:r>
                </w:p>
              </w:tc>
              <w:tc>
                <w:tcPr>
                  <w:tcW w:type="auto" w:w="0"/>
                  <w:shd w:val="clear" w:color="auto" w:fill="F0F0F0"/>
                </w:tcPr>
                <w:p>
                  <w:pPr>
                    <w:pStyle w:val="Normal"/>
                    <w:keepLines w:val="on"/>
                  </w:pPr>
                  <w:r>
                    <w:t>¥15.106.300</w:t>
                  </w:r>
                </w:p>
              </w:tc>
              <w:tc>
                <w:tcPr>
                  <w:tcW w:type="auto" w:w="0"/>
                  <w:shd w:val="clear" w:color="auto" w:fill="F0F0F0"/>
                </w:tcPr>
                <w:p>
                  <w:pPr>
                    <w:pStyle w:val="Normal"/>
                    <w:keepLines w:val="on"/>
                  </w:pPr>
                  <w:r>
                    <w:t>¥1.123.475</w:t>
                  </w:r>
                </w:p>
              </w:tc>
              <w:tc>
                <w:tcPr>
                  <w:tcW w:type="auto" w:w="0"/>
                  <w:shd w:val="clear" w:color="auto" w:fill="F0F0F0"/>
                </w:tcPr>
                <w:p>
                  <w:pPr>
                    <w:pStyle w:val="Normal"/>
                    <w:keepLines w:val="on"/>
                  </w:pPr>
                  <w:r>
                    <w:t>¥1.822.975</w:t>
                  </w:r>
                </w:p>
              </w:tc>
              <w:tc>
                <w:tcPr>
                  <w:tcW w:type="auto" w:w="0"/>
                  <w:shd w:val="clear" w:color="auto" w:fill="F0F0F0"/>
                </w:tcPr>
                <w:p>
                  <w:pPr>
                    <w:pStyle w:val="Normal"/>
                    <w:keepLines w:val="on"/>
                  </w:pPr>
                  <w:r>
                    <w:t>7,44%</w:t>
                  </w:r>
                </w:p>
              </w:tc>
              <w:tc>
                <w:tcPr>
                  <w:tcW w:type="auto" w:w="0"/>
                  <w:shd w:val="clear" w:color="auto" w:fill="F0F0F0"/>
                </w:tcPr>
                <w:p>
                  <w:pPr>
                    <w:pStyle w:val="Normal"/>
                    <w:keepLines w:val="on"/>
                  </w:pPr>
                  <w:r>
                    <w:t>12,07%</w:t>
                  </w:r>
                </w:p>
              </w:tc>
            </w:tr>
            <w:tr>
              <w:tc>
                <w:tcPr>
                  <w:tcW w:type="auto" w:w="0"/>
                  <w:shd w:val="clear" w:color="auto" w:fill="F0F0F0"/>
                </w:tcPr>
                <w:p>
                  <w:pPr>
                    <w:pStyle w:val="Para 02"/>
                    <w:keepLines w:val="on"/>
                  </w:pPr>
                  <w:r>
                    <w:t>2003</w:t>
                  </w:r>
                </w:p>
              </w:tc>
              <w:tc>
                <w:tcPr>
                  <w:tcW w:type="auto" w:w="0"/>
                  <w:shd w:val="clear" w:color="auto" w:fill="F0F0F0"/>
                </w:tcPr>
                <w:p>
                  <w:pPr>
                    <w:pStyle w:val="Normal"/>
                    <w:keepLines w:val="on"/>
                  </w:pPr>
                  <w:r>
                    <w:t>¥16.054.290</w:t>
                  </w:r>
                </w:p>
              </w:tc>
              <w:tc>
                <w:tcPr>
                  <w:tcW w:type="auto" w:w="0"/>
                  <w:shd w:val="clear" w:color="auto" w:fill="F0F0F0"/>
                </w:tcPr>
                <w:p>
                  <w:pPr>
                    <w:pStyle w:val="Normal"/>
                    <w:keepLines w:val="on"/>
                  </w:pPr>
                  <w:r>
                    <w:t>¥1.363.680</w:t>
                  </w:r>
                </w:p>
              </w:tc>
              <w:tc>
                <w:tcPr>
                  <w:tcW w:type="auto" w:w="0"/>
                  <w:shd w:val="clear" w:color="auto" w:fill="F0F0F0"/>
                </w:tcPr>
                <w:p>
                  <w:pPr>
                    <w:pStyle w:val="Normal"/>
                    <w:keepLines w:val="on"/>
                  </w:pPr>
                  <w:r>
                    <w:t>¥2.101.780</w:t>
                  </w:r>
                </w:p>
              </w:tc>
              <w:tc>
                <w:tcPr>
                  <w:tcW w:type="auto" w:w="0"/>
                  <w:shd w:val="clear" w:color="auto" w:fill="F0F0F0"/>
                </w:tcPr>
                <w:p>
                  <w:pPr>
                    <w:pStyle w:val="Normal"/>
                    <w:keepLines w:val="on"/>
                  </w:pPr>
                  <w:r>
                    <w:t>8,49%</w:t>
                  </w:r>
                </w:p>
              </w:tc>
              <w:tc>
                <w:tcPr>
                  <w:tcW w:type="auto" w:w="0"/>
                  <w:shd w:val="clear" w:color="auto" w:fill="F0F0F0"/>
                </w:tcPr>
                <w:p>
                  <w:pPr>
                    <w:pStyle w:val="Normal"/>
                    <w:keepLines w:val="on"/>
                  </w:pPr>
                  <w:r>
                    <w:t>13,09%</w:t>
                  </w:r>
                </w:p>
              </w:tc>
            </w:tr>
            <w:tr>
              <w:tc>
                <w:tcPr>
                  <w:tcW w:type="auto" w:w="0"/>
                  <w:shd w:val="clear" w:color="auto" w:fill="F0F0F0"/>
                </w:tcPr>
                <w:p>
                  <w:pPr>
                    <w:pStyle w:val="Para 02"/>
                    <w:keepLines w:val="on"/>
                  </w:pPr>
                  <w:r>
                    <w:t>2004</w:t>
                  </w:r>
                </w:p>
              </w:tc>
              <w:tc>
                <w:tcPr>
                  <w:tcW w:type="auto" w:w="0"/>
                  <w:shd w:val="clear" w:color="auto" w:fill="F0F0F0"/>
                </w:tcPr>
                <w:p>
                  <w:pPr>
                    <w:pStyle w:val="Normal"/>
                    <w:keepLines w:val="on"/>
                  </w:pPr>
                  <w:r>
                    <w:t>¥17.294.760</w:t>
                  </w:r>
                </w:p>
              </w:tc>
              <w:tc>
                <w:tcPr>
                  <w:tcW w:type="auto" w:w="0"/>
                  <w:shd w:val="clear" w:color="auto" w:fill="F0F0F0"/>
                </w:tcPr>
                <w:p>
                  <w:pPr>
                    <w:pStyle w:val="Normal"/>
                    <w:keepLines w:val="on"/>
                  </w:pPr>
                  <w:r>
                    <w:t>¥1.666.894</w:t>
                  </w:r>
                </w:p>
              </w:tc>
              <w:tc>
                <w:tcPr>
                  <w:tcW w:type="auto" w:w="0"/>
                  <w:shd w:val="clear" w:color="auto" w:fill="F0F0F0"/>
                </w:tcPr>
                <w:p>
                  <w:pPr>
                    <w:pStyle w:val="Normal"/>
                    <w:keepLines w:val="on"/>
                  </w:pPr>
                  <w:r>
                    <w:t>¥2.454.994</w:t>
                  </w:r>
                </w:p>
              </w:tc>
              <w:tc>
                <w:tcPr>
                  <w:tcW w:type="auto" w:w="0"/>
                  <w:shd w:val="clear" w:color="auto" w:fill="F0F0F0"/>
                </w:tcPr>
                <w:p>
                  <w:pPr>
                    <w:pStyle w:val="Normal"/>
                    <w:keepLines w:val="on"/>
                  </w:pPr>
                  <w:r>
                    <w:t>9,64%</w:t>
                  </w:r>
                </w:p>
              </w:tc>
              <w:tc>
                <w:tcPr>
                  <w:tcW w:type="auto" w:w="0"/>
                  <w:shd w:val="clear" w:color="auto" w:fill="F0F0F0"/>
                </w:tcPr>
                <w:p>
                  <w:pPr>
                    <w:pStyle w:val="Normal"/>
                    <w:keepLines w:val="on"/>
                  </w:pPr>
                  <w:r>
                    <w:t>14,20%</w:t>
                  </w:r>
                </w:p>
              </w:tc>
            </w:tr>
            <w:tr>
              <w:tc>
                <w:tcPr>
                  <w:tcW w:type="auto" w:w="0"/>
                  <w:shd w:val="clear" w:color="auto" w:fill="F0F0F0"/>
                </w:tcPr>
                <w:p>
                  <w:pPr>
                    <w:pStyle w:val="Para 02"/>
                    <w:keepLines w:val="on"/>
                  </w:pPr>
                  <w:r>
                    <w:t>2005</w:t>
                  </w:r>
                </w:p>
              </w:tc>
              <w:tc>
                <w:tcPr>
                  <w:tcW w:type="auto" w:w="0"/>
                  <w:shd w:val="clear" w:color="auto" w:fill="F0F0F0"/>
                </w:tcPr>
                <w:p>
                  <w:pPr>
                    <w:pStyle w:val="Normal"/>
                    <w:keepLines w:val="on"/>
                  </w:pPr>
                  <w:r>
                    <w:t>¥18.551.530</w:t>
                  </w:r>
                </w:p>
              </w:tc>
              <w:tc>
                <w:tcPr>
                  <w:tcW w:type="auto" w:w="0"/>
                  <w:shd w:val="clear" w:color="auto" w:fill="F0F0F0"/>
                </w:tcPr>
                <w:p>
                  <w:pPr>
                    <w:pStyle w:val="Normal"/>
                    <w:keepLines w:val="on"/>
                  </w:pPr>
                  <w:r>
                    <w:t>¥1.672.187</w:t>
                  </w:r>
                </w:p>
              </w:tc>
              <w:tc>
                <w:tcPr>
                  <w:tcW w:type="auto" w:w="0"/>
                  <w:shd w:val="clear" w:color="auto" w:fill="F0F0F0"/>
                </w:tcPr>
                <w:p>
                  <w:pPr>
                    <w:pStyle w:val="Normal"/>
                    <w:keepLines w:val="on"/>
                  </w:pPr>
                  <w:r>
                    <w:t>¥2.447.987</w:t>
                  </w:r>
                </w:p>
              </w:tc>
              <w:tc>
                <w:tcPr>
                  <w:tcW w:type="auto" w:w="0"/>
                  <w:shd w:val="clear" w:color="auto" w:fill="F0F0F0"/>
                </w:tcPr>
                <w:p>
                  <w:pPr>
                    <w:pStyle w:val="Normal"/>
                    <w:keepLines w:val="on"/>
                  </w:pPr>
                  <w:r>
                    <w:t>9,01%</w:t>
                  </w:r>
                </w:p>
              </w:tc>
              <w:tc>
                <w:tcPr>
                  <w:tcW w:type="auto" w:w="0"/>
                  <w:shd w:val="clear" w:color="auto" w:fill="F0F0F0"/>
                </w:tcPr>
                <w:p>
                  <w:pPr>
                    <w:pStyle w:val="Normal"/>
                    <w:keepLines w:val="on"/>
                  </w:pPr>
                  <w:r>
                    <w:t>13,20%</w:t>
                  </w:r>
                </w:p>
              </w:tc>
            </w:tr>
            <w:tr>
              <w:tc>
                <w:tcPr>
                  <w:tcW w:type="auto" w:w="0"/>
                  <w:shd w:val="clear" w:color="auto" w:fill="F0F0F0"/>
                </w:tcPr>
                <w:p>
                  <w:pPr>
                    <w:pStyle w:val="Para 02"/>
                    <w:keepLines w:val="on"/>
                  </w:pPr>
                  <w:r>
                    <w:t>2006</w:t>
                  </w:r>
                </w:p>
              </w:tc>
              <w:tc>
                <w:tcPr>
                  <w:tcW w:type="auto" w:w="0"/>
                  <w:shd w:val="clear" w:color="auto" w:fill="F0F0F0"/>
                </w:tcPr>
                <w:p>
                  <w:pPr>
                    <w:pStyle w:val="Normal"/>
                    <w:keepLines w:val="on"/>
                  </w:pPr>
                  <w:r>
                    <w:t>¥21.036.910</w:t>
                  </w:r>
                </w:p>
              </w:tc>
              <w:tc>
                <w:tcPr>
                  <w:tcW w:type="auto" w:w="0"/>
                  <w:shd w:val="clear" w:color="auto" w:fill="F0F0F0"/>
                </w:tcPr>
                <w:p>
                  <w:pPr>
                    <w:pStyle w:val="Normal"/>
                    <w:keepLines w:val="on"/>
                  </w:pPr>
                  <w:r>
                    <w:t>¥1.878.342</w:t>
                  </w:r>
                </w:p>
              </w:tc>
              <w:tc>
                <w:tcPr>
                  <w:tcW w:type="auto" w:w="0"/>
                  <w:shd w:val="clear" w:color="auto" w:fill="F0F0F0"/>
                </w:tcPr>
                <w:p>
                  <w:pPr>
                    <w:pStyle w:val="Normal"/>
                    <w:keepLines w:val="on"/>
                  </w:pPr>
                  <w:r>
                    <w:t>¥2.769.742</w:t>
                  </w:r>
                </w:p>
              </w:tc>
              <w:tc>
                <w:tcPr>
                  <w:tcW w:type="auto" w:w="0"/>
                  <w:shd w:val="clear" w:color="auto" w:fill="F0F0F0"/>
                </w:tcPr>
                <w:p>
                  <w:pPr>
                    <w:pStyle w:val="Normal"/>
                    <w:keepLines w:val="on"/>
                  </w:pPr>
                  <w:r>
                    <w:t>8,93%</w:t>
                  </w:r>
                </w:p>
              </w:tc>
              <w:tc>
                <w:tcPr>
                  <w:tcW w:type="auto" w:w="0"/>
                  <w:shd w:val="clear" w:color="auto" w:fill="F0F0F0"/>
                </w:tcPr>
                <w:p>
                  <w:pPr>
                    <w:pStyle w:val="Normal"/>
                    <w:keepLines w:val="on"/>
                  </w:pPr>
                  <w:r>
                    <w:t>13,17%</w:t>
                  </w:r>
                </w:p>
              </w:tc>
            </w:tr>
            <w:tr>
              <w:tc>
                <w:tcPr>
                  <w:tcW w:type="auto" w:w="0"/>
                  <w:shd w:val="clear" w:color="auto" w:fill="F0F0F0"/>
                </w:tcPr>
                <w:p>
                  <w:pPr>
                    <w:pStyle w:val="Para 02"/>
                    <w:keepLines w:val="on"/>
                  </w:pPr>
                  <w:r>
                    <w:t>2007</w:t>
                  </w:r>
                </w:p>
              </w:tc>
              <w:tc>
                <w:tcPr>
                  <w:tcW w:type="auto" w:w="0"/>
                  <w:shd w:val="clear" w:color="auto" w:fill="F0F0F0"/>
                </w:tcPr>
                <w:p>
                  <w:pPr>
                    <w:pStyle w:val="Normal"/>
                    <w:keepLines w:val="on"/>
                  </w:pPr>
                  <w:r>
                    <w:t>¥23.948.090</w:t>
                  </w:r>
                </w:p>
              </w:tc>
              <w:tc>
                <w:tcPr>
                  <w:tcW w:type="auto" w:w="0"/>
                  <w:shd w:val="clear" w:color="auto" w:fill="F0F0F0"/>
                </w:tcPr>
                <w:p>
                  <w:pPr>
                    <w:pStyle w:val="Normal"/>
                    <w:keepLines w:val="on"/>
                  </w:pPr>
                  <w:r>
                    <w:t>¥2.238.683</w:t>
                  </w:r>
                </w:p>
              </w:tc>
              <w:tc>
                <w:tcPr>
                  <w:tcW w:type="auto" w:w="0"/>
                  <w:shd w:val="clear" w:color="auto" w:fill="F0F0F0"/>
                </w:tcPr>
                <w:p>
                  <w:pPr>
                    <w:pStyle w:val="Normal"/>
                    <w:keepLines w:val="on"/>
                  </w:pPr>
                  <w:r>
                    <w:t>¥3.185.683</w:t>
                  </w:r>
                </w:p>
              </w:tc>
              <w:tc>
                <w:tcPr>
                  <w:tcW w:type="auto" w:w="0"/>
                  <w:shd w:val="clear" w:color="auto" w:fill="F0F0F0"/>
                </w:tcPr>
                <w:p>
                  <w:pPr>
                    <w:pStyle w:val="Normal"/>
                    <w:keepLines w:val="on"/>
                  </w:pPr>
                  <w:r>
                    <w:t>9,35%</w:t>
                  </w:r>
                </w:p>
              </w:tc>
              <w:tc>
                <w:tcPr>
                  <w:tcW w:type="auto" w:w="0"/>
                  <w:shd w:val="clear" w:color="auto" w:fill="F0F0F0"/>
                </w:tcPr>
                <w:p>
                  <w:pPr>
                    <w:pStyle w:val="Normal"/>
                    <w:keepLines w:val="on"/>
                  </w:pPr>
                  <w:r>
                    <w:t>13,30%</w:t>
                  </w:r>
                </w:p>
              </w:tc>
            </w:tr>
            <w:tr>
              <w:tc>
                <w:tcPr>
                  <w:tcW w:type="auto" w:w="0"/>
                  <w:shd w:val="clear" w:color="auto" w:fill="F0F0F0"/>
                </w:tcPr>
                <w:p>
                  <w:pPr>
                    <w:pStyle w:val="Para 02"/>
                    <w:keepLines w:val="on"/>
                  </w:pPr>
                  <w:r>
                    <w:t>2008</w:t>
                  </w:r>
                </w:p>
              </w:tc>
              <w:tc>
                <w:tcPr>
                  <w:tcW w:type="auto" w:w="0"/>
                  <w:shd w:val="clear" w:color="auto" w:fill="F0F0F0"/>
                </w:tcPr>
                <w:p>
                  <w:pPr>
                    <w:pStyle w:val="Normal"/>
                    <w:keepLines w:val="on"/>
                  </w:pPr>
                  <w:r>
                    <w:t>¥26.289.240</w:t>
                  </w:r>
                </w:p>
              </w:tc>
              <w:tc>
                <w:tcPr>
                  <w:tcW w:type="auto" w:w="0"/>
                  <w:shd w:val="clear" w:color="auto" w:fill="F0F0F0"/>
                </w:tcPr>
                <w:p>
                  <w:pPr>
                    <w:pStyle w:val="Normal"/>
                    <w:keepLines w:val="on"/>
                  </w:pPr>
                  <w:r>
                    <w:t>¥2.270.375</w:t>
                  </w:r>
                </w:p>
              </w:tc>
              <w:tc>
                <w:tcPr>
                  <w:tcW w:type="auto" w:w="0"/>
                  <w:shd w:val="clear" w:color="auto" w:fill="F0F0F0"/>
                </w:tcPr>
                <w:p>
                  <w:pPr>
                    <w:pStyle w:val="Normal"/>
                    <w:keepLines w:val="on"/>
                  </w:pPr>
                  <w:r>
                    <w:t>¥3.312.775</w:t>
                  </w:r>
                </w:p>
              </w:tc>
              <w:tc>
                <w:tcPr>
                  <w:tcW w:type="auto" w:w="0"/>
                  <w:shd w:val="clear" w:color="auto" w:fill="F0F0F0"/>
                </w:tcPr>
                <w:p>
                  <w:pPr>
                    <w:pStyle w:val="Normal"/>
                    <w:keepLines w:val="on"/>
                  </w:pPr>
                  <w:r>
                    <w:t>8,64%</w:t>
                  </w:r>
                </w:p>
              </w:tc>
              <w:tc>
                <w:tcPr>
                  <w:tcW w:type="auto" w:w="0"/>
                  <w:shd w:val="clear" w:color="auto" w:fill="F0F0F0"/>
                </w:tcPr>
                <w:p>
                  <w:pPr>
                    <w:pStyle w:val="Normal"/>
                    <w:keepLines w:val="on"/>
                  </w:pPr>
                  <w:r>
                    <w:t>12,60%</w:t>
                  </w:r>
                </w:p>
              </w:tc>
            </w:tr>
            <w:tr>
              <w:tc>
                <w:tcPr>
                  <w:tcW w:type="auto" w:w="0"/>
                  <w:shd w:val="clear" w:color="auto" w:fill="F0F0F0"/>
                </w:tcPr>
                <w:p>
                  <w:pPr>
                    <w:pStyle w:val="Para 02"/>
                    <w:keepLines w:val="on"/>
                  </w:pPr>
                  <w:r>
                    <w:t>2009 (ước tính)</w:t>
                  </w:r>
                </w:p>
              </w:tc>
              <w:tc>
                <w:tcPr>
                  <w:tcW w:type="auto" w:w="0"/>
                  <w:shd w:val="clear" w:color="auto" w:fill="F0F0F0"/>
                </w:tcPr>
                <w:p>
                  <w:pPr>
                    <w:pStyle w:val="Normal"/>
                    <w:keepLines w:val="on"/>
                  </w:pPr>
                  <w:r>
                    <w:t>¥22.661.325</w:t>
                  </w:r>
                </w:p>
              </w:tc>
              <w:tc>
                <w:tcPr>
                  <w:tcW w:type="auto" w:w="0"/>
                  <w:shd w:val="clear" w:color="auto" w:fill="F0F0F0"/>
                </w:tcPr>
                <w:p>
                  <w:pPr>
                    <w:pStyle w:val="Normal"/>
                    <w:keepLines w:val="on"/>
                  </w:pPr>
                  <w:r>
                    <w:t>¥267.904</w:t>
                  </w:r>
                </w:p>
              </w:tc>
              <w:tc>
                <w:tcPr>
                  <w:tcW w:type="auto" w:w="0"/>
                  <w:shd w:val="clear" w:color="auto" w:fill="F0F0F0"/>
                </w:tcPr>
                <w:p>
                  <w:pPr>
                    <w:pStyle w:val="Normal"/>
                    <w:keepLines w:val="on"/>
                  </w:pPr>
                  <w:r>
                    <w:t>¥1.310.304</w:t>
                  </w:r>
                </w:p>
              </w:tc>
              <w:tc>
                <w:tcPr>
                  <w:tcW w:type="auto" w:w="0"/>
                  <w:shd w:val="clear" w:color="auto" w:fill="F0F0F0"/>
                </w:tcPr>
                <w:p>
                  <w:pPr>
                    <w:pStyle w:val="Normal"/>
                    <w:keepLines w:val="on"/>
                  </w:pPr>
                  <w:r>
                    <w:t>1,18%</w:t>
                  </w:r>
                </w:p>
              </w:tc>
              <w:tc>
                <w:tcPr>
                  <w:tcW w:type="auto" w:w="0"/>
                  <w:shd w:val="clear" w:color="auto" w:fill="F0F0F0"/>
                </w:tcPr>
                <w:p>
                  <w:pPr>
                    <w:pStyle w:val="Normal"/>
                    <w:keepLines w:val="on"/>
                  </w:pPr>
                  <w:r>
                    <w:t>5,78%</w:t>
                  </w:r>
                </w:p>
              </w:tc>
            </w:tr>
            <w:tr>
              <w:tc>
                <w:tcPr>
                  <w:tcW w:type="auto" w:w="0"/>
                  <w:shd w:val="clear" w:color="auto" w:fill="F0F0F0"/>
                </w:tcPr>
                <w:p>
                  <w:pPr>
                    <w:pStyle w:val="Para 02"/>
                    <w:keepLines w:val="on"/>
                  </w:pPr>
                  <w:r>
                    <w:t>Trung bình</w:t>
                  </w:r>
                </w:p>
              </w:tc>
              <w:tc>
                <w:tcPr>
                  <w:tcW w:type="auto" w:w="0"/>
                  <w:shd w:val="clear" w:color="auto" w:fill="F0F0F0"/>
                </w:tcPr>
                <w:p>
                  <w:pPr>
                    <w:pStyle w:val="7 Block"/>
                    <w:keepLines w:val="on"/>
                  </w:pPr>
                </w:p>
              </w:tc>
              <w:tc>
                <w:tcPr>
                  <w:tcW w:type="auto" w:w="0"/>
                  <w:shd w:val="clear" w:color="auto" w:fill="F0F0F0"/>
                </w:tcPr>
                <w:p>
                  <w:pPr>
                    <w:pStyle w:val="Normal"/>
                    <w:keepLines w:val="on"/>
                  </w:pPr>
                  <w:r>
                    <w:t>¥1.306.867</w:t>
                  </w:r>
                </w:p>
              </w:tc>
              <w:tc>
                <w:tcPr>
                  <w:tcW w:type="auto" w:w="0"/>
                  <w:shd w:val="clear" w:color="auto" w:fill="F0F0F0"/>
                </w:tcPr>
                <w:p>
                  <w:pPr>
                    <w:pStyle w:val="7 Block"/>
                    <w:keepLines w:val="on"/>
                  </w:pPr>
                </w:p>
              </w:tc>
              <w:tc>
                <w:tcPr>
                  <w:tcW w:type="auto" w:w="0"/>
                  <w:shd w:val="clear" w:color="auto" w:fill="F0F0F0"/>
                </w:tcPr>
                <w:p>
                  <w:pPr>
                    <w:pStyle w:val="Normal"/>
                    <w:keepLines w:val="on"/>
                  </w:pPr>
                  <w:r>
                    <w:t>7,33%</w:t>
                  </w:r>
                </w:p>
              </w:tc>
              <w:tc>
                <w:tcPr>
                  <w:tcW w:type="auto" w:w="0"/>
                  <w:shd w:val="clear" w:color="auto" w:fill="F0F0F0"/>
                </w:tcPr>
                <w:p>
                  <w:pPr>
                    <w:pStyle w:val="7 Block"/>
                    <w:keepLines w:val="on"/>
                  </w:pPr>
                </w:p>
              </w:tc>
            </w:tr>
          </w:tbl>
          <w:p/>
        </w:tc>
      </w:tr>
    </w:tbl>
    <w:p>
      <w:pPr>
        <w:pStyle w:val="Para 04"/>
        <w:keepLines w:val="on"/>
      </w:pPr>
      <w:r>
        <w:t>Chúng tôi đã xem xét ba kỹ thuật chuẩn hóa (normalization) khác nhau:</w:t>
      </w:r>
    </w:p>
    <w:p>
      <w:pPr>
        <w:numPr>
          <w:ilvl w:val="0"/>
          <w:numId w:val="218"/>
        </w:numPr>
        <w:pStyle w:val="Para 18"/>
        <w:keepLines w:val="on"/>
      </w:pPr>
      <w:r>
        <w:t>Thu nhập bình quân: Lấy bình quân thu nhập hoạt động (operating income) từ năm 1998 đến 2008 cho ra giá trị 1.306,9 tỷ yên. Vì doanh thu trong giai đoạn này đã tăng hơn gấp đôi, con số này sẽ đánh giá thấp thu nhập hoạt động đã chuẩn hóa của công ty.</w:t>
      </w:r>
    </w:p>
    <w:p>
      <w:pPr>
        <w:numPr>
          <w:ilvl w:val="0"/>
          <w:numId w:val="218"/>
        </w:numPr>
        <w:pStyle w:val="Para 18"/>
        <w:keepLines w:val="on"/>
      </w:pPr>
      <w:r>
        <w:t>Biên lợi nhuận bình quân ngành: Biên lợi nhuận hoạt động trước thuế bình quân của các hãng xe hơi (toàn cầu) trong cùng giai đoạn (1998–2008) là khoảng 6%. Tuy nhiên, vào năm 2009, nhiều hãng trong số này đang trong tình trạng tồi tệ hơn Toyota rất nhiều, và nhiều hãng có khả năng sẽ báo lỗ lớn. Dù chúng ta có thể áp dụng biên lợi nhuận bình quân ngành cho doanh thu năm 2009 của Toyota để ước tính thu nhập hoạt động đã chuẩn hóa (6% của 22.661 tỷ yên = 1.360 tỷ yên), cách này sẽ đánh giá thấp thu nhập hoạt động đã chuẩn hóa, vì nó không phản ánh được sự thật rằng Toyota là một trong những công ty có lợi nhuận cao nhất trong ngành.</w:t>
      </w:r>
    </w:p>
    <w:p>
      <w:pPr>
        <w:numPr>
          <w:ilvl w:val="0"/>
          <w:numId w:val="218"/>
        </w:numPr>
        <w:pStyle w:val="Para 18"/>
        <w:keepLines w:val="on"/>
      </w:pPr>
      <w:r>
        <w:t>Lịch sử biên lợi nhuận: Lấy trung bình biên lợi nhuận hoạt động trước thuế từ năm 1998 đến 2008, ta được biên lợi nhuận hoạt động trung bình là 7,33%. Áp dụng biên lợi nhuận này cho doanh thu năm 2009, ta có thu nhập hoạt động chuẩn hóa là 1.660,7 tỷ yên (7,33% của 22.661 tỷ yên), một ước tính phản ánh cả quy mô lớn hơn của công ty ngày nay lẫn thành công của công ty trong mảng kinh doanh này. Chúng ta sẽ dùng giá trị này làm thu nhập hoạt động chuẩn hóa.</w:t>
      </w:r>
    </w:p>
    <w:p>
      <w:pPr>
        <w:pStyle w:val="Para 04"/>
        <w:keepLines w:val="on"/>
      </w:pPr>
      <w:r>
        <w:t>Để định giá công ty, chúng ta đưa ra các giả định sau.</w:t>
      </w:r>
    </w:p>
    <w:p>
      <w:pPr>
        <w:numPr>
          <w:ilvl w:val="0"/>
          <w:numId w:val="219"/>
        </w:numPr>
        <w:pStyle w:val="Para 18"/>
        <w:keepLines w:val="on"/>
      </w:pPr>
      <w:r>
        <w:t>Để ước tính chi phí vốn chủ sở hữu của Toyota, chúng ta dùng beta từ dưới lên (bottom-up beta, ước tính từ lĩnh vực ô tô) là 1,10. Dùng lãi suất trái phiếu chính phủ Nhật Bản kỳ hạn 10 năm là 1,50% làm lãi suất phi rủi ro và phần bù rủi ro vốn chủ sở hữu là 6,5% (phản ánh phần bù thị trường trưởng thành 6% vào đầu năm 2009 và thêm 0,50% cho mức độ tiếp xúc của Toyota với rủi ro thị trường mới nổi), chúng ta tính được chi phí vốn chủ sở hữu là 8,65%.</w:t>
      </w:r>
    </w:p>
    <w:p>
      <w:bookmarkStart w:id="4622" w:name="Costofequity_Risk_freerate_Betax"/>
      <w:pPr>
        <w:keepNext/>
        <w:pStyle w:val="Para 07"/>
        <w:keepLines w:val="on"/>
      </w:pPr>
      <w:r>
        <w:t>Chiphívốnchủsởhữu=Lãisuấtphirủiro+Beta×Phầnbùrủirovốnchủsởhữu=1,50%+1,10×6,5%=8,65%</w:t>
      </w:r>
      <w:bookmarkEnd w:id="4622"/>
    </w:p>
    <w:p>
      <w:pPr>
        <w:numPr>
          <w:ilvl w:val="0"/>
          <w:numId w:val="220"/>
        </w:numPr>
        <w:pStyle w:val="Para 18"/>
        <w:keepLines w:val="on"/>
      </w:pPr>
      <w:r>
        <w:t>Vào đầu năm 2009, Toyota có 11.862 tỷ yên nợ chưa thanh toán, và giá trị thị trường vốn chủ sở hữu của công ty là 10.551 tỷ yên (3,448 tỷ cổ phiếu đang lưu hành ở mức 3.060 yên/cổ phiếu). Dùng xếp hạng AA và mức chênh lệch vỡ nợ (default spread) tương ứng là 1,75% so với lãi suất phi rủi ro, chúng ta ước tính chi phí nợ trước thuế là 3,25%. Giả định rằng tỷ lệ nợ hiện tại là bền vững, chúng ta ước tính chi phí vốn là 5,09%; thuế suất biên của Nhật Bản năm 2009 là 40,7%.</w:t>
      </w:r>
    </w:p>
    <w:p>
      <w:bookmarkStart w:id="4623" w:name="Debtratio_11_862_11_862_10_551_5"/>
      <w:pPr>
        <w:keepNext/>
        <w:pStyle w:val="Para 07"/>
        <w:keepLines w:val="on"/>
      </w:pPr>
      <w:r>
        <w:t>Tỷlệnợ=11.862/11.862+10.551=52,9%Chiphívốn=8,65%.471+3,25%1−.407.529=5,09%</w:t>
      </w:r>
      <w:bookmarkEnd w:id="4623"/>
    </w:p>
    <w:p>
      <w:pPr>
        <w:numPr>
          <w:ilvl w:val="0"/>
          <w:numId w:val="221"/>
        </w:numPr>
        <w:pStyle w:val="Para 18"/>
        <w:keepLines w:val="on"/>
      </w:pPr>
      <w:r>
        <w:t>Chúng ta ước tính chi phí vốn của Toyota qua thời gian, và vì cả tỷ lệ nợ lẫn chi phí vốn đều không thay đổi đáng kể theo thời gian, chúng ta sẽ dùng giá trị này làm chi phí vốn chuẩn hóa.</w:t>
      </w:r>
    </w:p>
    <w:p>
      <w:pPr>
        <w:numPr>
          <w:ilvl w:val="0"/>
          <w:numId w:val="221"/>
        </w:numPr>
        <w:pStyle w:val="Para 18"/>
        <w:keepLines w:val="on"/>
      </w:pPr>
      <w:r>
        <w:t>Vì Toyota đã là hãng ô tô lớn nhất thế giới về thị phần, chúng ta giả định công ty đang ở giai đoạn tăng trưởng ổn định, tăng trưởng 1,50% (giới hạn ở mức lãi suất phi rủi ro) mãi mãi. Chúng ta cũng giả định công ty sẽ có thể tạo ra lợi nhuận trên vốn bằng với chi phí vốn cho các khoản đầu tư của mình. Tỷ lệ tái đầu tư rút ra từ hai giả định này là 29,46%:</w:t>
      </w:r>
    </w:p>
    <w:p>
      <w:bookmarkStart w:id="4626" w:name="Stableperiodreinvestmentrate_gRO"/>
      <w:pPr>
        <w:keepNext/>
        <w:pStyle w:val="Para 07"/>
        <w:keepLines w:val="on"/>
      </w:pPr>
      <w:r>
        <w:t>Tỷlệtáiđầutưthờikỳổnđịnh=gROIC=.015.0509 =.2946</w:t>
      </w:r>
      <w:bookmarkEnd w:id="4626"/>
    </w:p>
    <w:p>
      <w:pPr>
        <w:pStyle w:val="Para 04"/>
        <w:keepLines w:val="on"/>
      </w:pPr>
      <w:r>
        <w:t>Kết hợp thu nhập hoạt động chuẩn hóa (1.660,7 tỷ yên), thuế suất biên của Nhật Bản (40,7%), tỷ lệ tái đầu tư (29,46%), tốc độ tăng trưởng ổn định 1,5% và chi phí vốn 5,09%, chúng ta ước tính giá trị tài sản hoạt động của Toyota:</w:t>
      </w:r>
    </w:p>
    <w:p>
      <w:bookmarkStart w:id="4627" w:name="Valueoperatingassets_Operating_i"/>
      <w:pPr>
        <w:keepNext/>
        <w:pStyle w:val="Para 07"/>
        <w:keepLines w:val="on"/>
      </w:pPr>
      <w:r>
        <w:t>Giátrịtàisảnhoạtđộng=Thunhập hoạt động 1+g1−thuếsuất1−TỷlệtáiđầutưChiphívốn−g=1.660,7 1.0151−0.4071−.29460.0509−0.015=19.640tỷyên</w:t>
      </w:r>
      <w:bookmarkEnd w:id="4627"/>
    </w:p>
    <w:p>
      <w:pPr>
        <w:pStyle w:val="Para 04"/>
        <w:keepLines w:val="on"/>
      </w:pPr>
      <w:r>
        <w:t>Cộng thêm tiền mặt (2.288 tỷ yên) và tài sản phi hoạt động (6.845 tỷ yên), trừ đi nợ (11.862 tỷ yên) và lợi ích cổ đông thiểu số trong các công ty con hợp nhất (583 tỷ yên), rồi chia cho số cổ phiếu (3,448 tỷ), ta được giá trị mỗi cổ phiếu là 4.735 yên/cổ phiếu.</w:t>
      </w:r>
    </w:p>
    <w:p>
      <w:bookmarkStart w:id="4628" w:name="Valuepershare_Operatingassets_Ca"/>
      <w:pPr>
        <w:keepNext/>
        <w:pStyle w:val="Para 07"/>
        <w:keepLines w:val="on"/>
      </w:pPr>
      <w:r>
        <w:t>Giátrịmỗicổphiếu=Tàisảnhoạtđộng+Tiềnmặt+Tàisảnphihoạtđộng−Nợ−Lợiíchcổđôngthiểusố Sốcổphiếu=19640+2288+6845−11862−5833.448=4735yên/cổphiếu</w:t>
      </w:r>
      <w:bookmarkEnd w:id="4628"/>
    </w:p>
    <w:p>
      <w:pPr>
        <w:pStyle w:val="Para 04"/>
        <w:keepLines w:val="on"/>
      </w:pPr>
      <w:r>
        <w:t>Dựa trên thu nhập chuẩn hóa, Toyota có vẻ bị định giá thấp đáng kể ở mức giá cổ phiếu 3.060 yên/cổ phiếu vào đầu năm 2009.</w:t>
      </w:r>
    </w:p>
    <w:p>
      <w:pPr>
        <w:pStyle w:val="Para 11"/>
      </w:pPr>
      <w:r>
        <w:t/>
        <w:t xml:space="preserve"> </w:t>
      </w:r>
    </w:p>
    <w:p>
      <w:bookmarkStart w:id="4629" w:name="normearn_xls__This_spreadsheet_a"/>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15"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4629"/>
    </w:p>
    <w:p>
      <w:pPr>
        <w:pStyle w:val="Para 31"/>
        <w:keepLines w:val="on"/>
      </w:pPr>
      <w:r>
        <w:t>normearn.xls: Bảng tính này cho phép bạn chuẩn hóa thu nhập của một công ty, sử dụng nhiều cách tiếp cận khác nhau.</w:t>
      </w:r>
    </w:p>
    <w:p>
      <w:bookmarkStart w:id="4630" w:name="Valuing_Commodity_and_Natural_Re"/>
      <w:pPr>
        <w:pStyle w:val="Para 21"/>
      </w:pPr>
      <w:r>
        <w:t>Định giá các công ty hàng hóa và tài nguyên thiên nhiên</w:t>
      </w:r>
      <w:bookmarkEnd w:id="4630"/>
    </w:p>
    <w:p>
      <w:pPr>
        <w:pStyle w:val="Para 03"/>
      </w:pPr>
      <w:r>
        <w:t>Giá hàng hóa không chỉ biến động mà còn trải qua các chu kỳ—giai đoạn giá cao rồi tiếp nối bằng giai đoạn giá thấp hơn. Một số công ty tài nguyên thiên nhiên làm phẳng thu nhập của mình bằng hợp đồng tương lai và quyền chọn, nhưng nhiều công ty để thay đổi giá chảy thẳng vào lợi nhuận cuối cùng. Kết quả là thu nhập của các công ty hàng hóa thường lên xuống theo giá hàng hóa. Để định giá các công ty tài nguyên thiên nhiên—nhóm này không chỉ gồm các hãng dầu khí và khai khoáng mà còn cả các công ty lâm sản (như gỗ) và doanh nghiệp nông nghiệp—bạn có ba lựa chọn:</w:t>
      </w:r>
    </w:p>
    <w:p>
      <w:pPr>
        <w:numPr>
          <w:ilvl w:val="0"/>
          <w:numId w:val="222"/>
        </w:numPr>
        <w:pStyle w:val="Para 01"/>
      </w:pPr>
      <w:r>
        <w:t>Một là cố gắng dự báo giá hàng hóa tương lai—chu kỳ giá hàng hóa—và đưa các dự báo này vào doanh thu kỳ vọng trong những năm tới. Việc này không chỉ khó làm vì các chu kỳ không thể đoán trước mà còn nguy hiểm, vì giá trị bạn thu được sẽ là kết quả kết hợp giữa đánh giá của bạn về công ty và quan điểm của bạn về giá hàng hóa. Nói đơn giản, nếu bạn định giá Royal Dutch với giả định giá dầu sẽ tăng gấp đôi trong năm năm tới, bạn gần như chắc chắn sẽ thấy nó bị định giá thấp, nhưng phần lớn là do quan điểm của bạn về giá dầu.</w:t>
      </w:r>
    </w:p>
    <w:p>
      <w:pPr>
        <w:numPr>
          <w:ilvl w:val="0"/>
          <w:numId w:val="222"/>
        </w:numPr>
        <w:pStyle w:val="Para 01"/>
      </w:pPr>
      <w:r>
        <w:t>Bạn có thể định giá các công ty bằng một mức giá hàng hóa chuẩn hóa, ước tính bằng cách nhìn vào giá trung bình của hàng hóa đó qua một chu kỳ. Như vậy, giá cà phê trung bình trong thập kỷ qua có thể được dùng để ước tính giá trị của một đồn điền cà phê. Tất nhiên, nguy hiểm là giá cà phê có thể duy trì trên hoặc dưới mức giá trung bình này trong một thời gian dài, làm sai lệch các ước tính giá trị.</w:t>
      </w:r>
    </w:p>
    <w:p>
      <w:pPr>
        <w:numPr>
          <w:ilvl w:val="0"/>
          <w:numId w:val="222"/>
        </w:numPr>
        <w:pStyle w:val="Para 01"/>
      </w:pPr>
      <w:r>
        <w:t>Bạn có thể định giá sản lượng hiện tại của công ty bằng giá thị trường có thể quan sát được của hàng hóa đó, trên thị trường giao ngay và kỳ hạn, kể cả khi những mức giá này đang ở mức thấp hoặc cao lịch sử, rồi dùng mô phỏng để đưa vào tác động của các dao động giá hàng hóa.</w:t>
      </w:r>
    </w:p>
    <w:p>
      <w:pPr>
        <w:pStyle w:val="Para 03"/>
      </w:pPr>
      <w:r>
        <w:t>Khi chọn giữa các cách tiếp cận này, hãy nhận ra rằng bạn đang ngầm đưa ra các giả định về giá hàng hóa tương lai trong hai cách đầu tiên, và điều đó có thể nguy hiểm. Nếu câu trả lời của bạn là thế mạnh của bạn nằm ở việc đưa ra quan điểm về giá hàng hóa, bạn có thể tận dụng thế mạnh đó bằng cách mua hoặc bán hợp đồng tương lai/quyền chọn hàng hóa, thay vì thông qua các công ty hàng hóa.</w:t>
      </w:r>
    </w:p>
    <w:p>
      <w:pPr>
        <w:pStyle w:val="Para 11"/>
      </w:pPr>
      <w:r>
        <w:t/>
        <w:t xml:space="preserve"> </w:t>
      </w:r>
    </w:p>
    <w:p>
      <w:bookmarkStart w:id="4633" w:name="Macroeconomic_Views_and_Valuatio"/>
      <w:bookmarkStart w:id="4634" w:name="Macroeconomic_Views_and_Valuatio_1"/>
      <w:pPr>
        <w:keepNext/>
        <w:pStyle w:val="Para 27"/>
        <w:keepLines w:val="on"/>
      </w:pPr>
      <w:r>
        <w:t>Quan điểm kinh tế vĩ mô và định giá</w:t>
      </w:r>
      <w:bookmarkEnd w:id="4633"/>
      <w:bookmarkEnd w:id="4634"/>
    </w:p>
    <w:p>
      <w:pPr>
        <w:pStyle w:val="Para 16"/>
        <w:keepLines w:val="on"/>
      </w:pPr>
      <w:r>
        <w:t>Thu nhập của các công ty chu kỳ thường biến động, với mức biến động gắn liền với việc nền kinh tế đang hoạt động tốt hay xấu. Một cách để đưa những tác động này vào giá trị là đưa kỳ vọng về thời điểm các cuộc suy thoái và phục hồi trong tương lai sẽ xảy ra vào dòng tiền. Việc này đầy rẫy nguy hiểm, vì sai số trong những dự đoán như vậy có khả năng rất lớn. Các nhà kinh tế hiếm khi đồng thuận về thời điểm một cuộc phục hồi sắp đến, và hầu hết các phân loại suy thoái đều diễn ra sau khi sự việc đã xảy ra. Hơn nữa, một định giá dựa trên các dự báo kinh tế vĩ mô cụ thể khiến người dùng khó tách bạch được bao nhiêu phần trong khuyến nghị cuối cùng (tức là công ty bị định giá thấp hay cao) đến từ việc công ty bị định giá sai và bao nhiêu phản ánh sự lạc quan hay bi quan của nhà phân tích về nền kinh tế nói chung.</w:t>
      </w:r>
    </w:p>
    <w:p>
      <w:pPr>
        <w:pStyle w:val="Para 16"/>
        <w:keepLines w:val="on"/>
      </w:pPr>
      <w:r>
        <w:t>Cách khác để đưa mức biến động thu nhập vào định giá là thông qua tỷ lệ chiết khấu—các công ty chu kỳ thường rủi ro hơn và đòi hỏi tỷ lệ chiết khấu cao hơn. Đây là điều chúng ta làm khi dùng beta không vay nợ (unlevered beta) và/hoặc chi phí nợ cao hơn cho các công ty chu kỳ.</w:t>
      </w:r>
    </w:p>
    <w:p>
      <w:pPr>
        <w:pStyle w:val="Para 11"/>
      </w:pPr>
      <w:r>
        <w:t/>
        <w:t xml:space="preserve"> </w:t>
      </w:r>
    </w:p>
    <w:p>
      <w:bookmarkStart w:id="4635" w:name="ILLUSTRATION_22_4__A_Commodity_P"/>
      <w:bookmarkStart w:id="4636" w:name="ILLUSTRATION_22_4__A_Commodity_P_1"/>
      <w:pPr>
        <w:keepNext/>
        <w:pStyle w:val="Para 19"/>
        <w:keepLines w:val="on"/>
      </w:pPr>
      <w:r>
        <w:t>MINH HỌA 22.4: Định giá trung lập với giá hàng hóa cho một công ty hàng hóa: Exxon Mobil năm 2009</w:t>
      </w:r>
      <w:bookmarkEnd w:id="4635"/>
      <w:bookmarkEnd w:id="4636"/>
    </w:p>
    <w:p>
      <w:pPr>
        <w:pStyle w:val="Para 04"/>
        <w:keepLines w:val="on"/>
      </w:pPr>
      <w:r>
        <w:t>Exxon Mobil có thể là công ty dầu khí lớn nhất, với hoạt động đa dạng ở nhiều địa điểm, nhưng nó vẫn phụ thuộc vào giá dầu chẳng khác gì các công ty khác trong ngành. Hình 22.2 cho thấy thu nhập hoạt động của Exxon như một hàm số của giá dầu trung bình mỗi năm từ 1985 đến 2008.</w:t>
      </w:r>
    </w:p>
    <w:p>
      <w:bookmarkStart w:id="4638" w:name="Figure_22_2_Exxon_Mobil___Operat"/>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13000" cy="1968500"/>
            <wp:effectExtent l="0" r="0" t="0" b="0"/>
            <wp:wrapTopAndBottom/>
            <wp:docPr id="216" name="c22f002.png" descr="Line and bar graph depicts that the operating income of Exxon is directly proportional to the oil price for years 1985 through 2008."/>
            <wp:cNvGraphicFramePr>
              <a:graphicFrameLocks noChangeAspect="1"/>
            </wp:cNvGraphicFramePr>
            <a:graphic>
              <a:graphicData uri="http://schemas.openxmlformats.org/drawingml/2006/picture">
                <pic:pic>
                  <pic:nvPicPr>
                    <pic:cNvPr id="0" name="c22f002.png" descr="Line and bar graph depicts that the operating income of Exxon is directly proportional to the oil price for years 1985 through 2008."/>
                    <pic:cNvPicPr/>
                  </pic:nvPicPr>
                  <pic:blipFill>
                    <a:blip r:embed="rId154"/>
                    <a:stretch>
                      <a:fillRect/>
                    </a:stretch>
                  </pic:blipFill>
                  <pic:spPr>
                    <a:xfrm>
                      <a:off x="0" y="0"/>
                      <a:ext cx="2413000" cy="1968500"/>
                    </a:xfrm>
                    <a:prstGeom prst="rect">
                      <a:avLst/>
                    </a:prstGeom>
                  </pic:spPr>
                </pic:pic>
              </a:graphicData>
            </a:graphic>
          </wp:anchor>
        </w:drawing>
      </w:r>
      <w:bookmarkEnd w:id="4638"/>
    </w:p>
    <w:p>
      <w:pPr>
        <w:keepNext/>
        <w:pStyle w:val="Para 38"/>
        <w:keepLines w:val="on"/>
      </w:pPr>
      <w:r>
        <w:t>Hình 22.2 Exxon Mobil – Thu nhập hoạt động so với giá dầu—1985 đến 2008</w:t>
      </w:r>
    </w:p>
    <w:p>
      <w:pPr>
        <w:pStyle w:val="Para 04"/>
        <w:keepLines w:val="on"/>
      </w:pPr>
      <w:r>
        <w:t>Thu nhập hoạt động rõ ràng tăng (hoặc giảm) khi giá dầu tăng (hoặc giảm). Chúng ta hồi quy thu nhập hoạt động theo giá dầu mỗi thùng trong giai đoạn này và thu được kết quả sau:</w:t>
      </w:r>
    </w:p>
    <w:p>
      <w:pPr>
        <w:pStyle w:val="Para 40"/>
        <w:keepLines w:val="on"/>
      </w:pPr>
      <w:r>
        <w:rPr>
          <w:rStyle w:val="Text26"/>
        </w:rPr>
        <w:bookmarkStart w:id="4639" w:name="Page_708"/>
        <w:t/>
        <w:bookmarkEnd w:id="4639"/>
      </w:r>
      <w:r>
        <w:t xml:space="preserve"> </w:t>
      </w:r>
    </w:p>
    <w:p>
      <w:bookmarkStart w:id="4640" w:name="OperatingIncome____6_395_911_32A"/>
      <w:pPr>
        <w:keepNext/>
        <w:pStyle w:val="Para 07"/>
        <w:keepLines w:val="on"/>
      </w:pPr>
      <w:r>
        <w:t>OperatingIncome=−6,395+911.32AverageOilPriceR2=90.2%2.9514.59</w:t>
      </w:r>
      <w:bookmarkEnd w:id="4640"/>
    </w:p>
    <w:p>
      <w:pPr>
        <w:pStyle w:val="Para 04"/>
        <w:keepLines w:val="on"/>
      </w:pPr>
      <w:r>
        <w:t>Nói cách khác, thu nhập hoạt động của Exxon Mobil tăng khoảng 9,11 tỷ USD cho mỗi 10 USD tăng lên trong giá mỗi thùng dầu, và 90% sự biến động trong lợi nhuận của Exxon theo thời gian đến từ những dao động của giá dầu.2</w:t>
      </w:r>
    </w:p>
    <w:p>
      <w:pPr>
        <w:pStyle w:val="Para 04"/>
        <w:keepLines w:val="on"/>
      </w:pPr>
      <w:r>
        <w:t>Để đi từ thu nhập hoạt động đến giá trị vốn chủ sở hữu tại Exxon, chúng ta đưa ra các giả định sau:</w:t>
      </w:r>
    </w:p>
    <w:p>
      <w:pPr>
        <w:numPr>
          <w:ilvl w:val="0"/>
          <w:numId w:val="223"/>
        </w:numPr>
        <w:pStyle w:val="Para 18"/>
        <w:keepLines w:val="on"/>
      </w:pPr>
      <w:r>
        <w:t>Chúng ta ước tính beta từ dưới lên là 0,90 cho Exxon Mobil. Sau đó chúng ta dùng lãi suất trái phiếu kho bạc 2,5% và phần bù rủi ro vốn chủ sở hữu 6,5% để ước tính chi phí vốn chủ sở hữu:</w:t>
      </w:r>
    </w:p>
    <w:p>
      <w:bookmarkStart w:id="4642" w:name="CostofEquity_2_5__0_906_5__8_35"/>
      <w:pPr>
        <w:keepNext/>
        <w:pStyle w:val="Para 07"/>
        <w:keepLines w:val="on"/>
      </w:pPr>
      <w:r>
        <w:t>CostofEquity=2.5%+0.906.5%=8.35%</w:t>
      </w:r>
      <w:bookmarkEnd w:id="4642"/>
    </w:p>
    <w:p>
      <w:pPr>
        <w:pStyle w:val="Para 04"/>
        <w:keepLines w:val="on"/>
      </w:pPr>
      <w:r>
        <w:t>Exxon có 9,4 tỷ USD nợ chưa thanh toán và vốn hóa thị trường 320,4 tỷ USD (4.941,63 triệu cổ phiếu, giao dịch ở mức 64,83 USD mỗi cổ phiếu), dẫn đến tỷ lệ nợ là 2,85%. Là một công ty được xếp hạng AAA, chi phí nợ của nó được kỳ vọng là 3,75%, phản ánh mức chênh lệch vỡ nợ 1,25% so với lãi suất phi rủi ro. Sử dụng thuế suất biên 38% (thay vì thuế suất hiệu dụng), chúng ta ước tính chi phí vốn của công ty là 8,18%:</w:t>
      </w:r>
    </w:p>
    <w:p>
      <w:bookmarkStart w:id="4644" w:name="CostofCapital_8_35__9715_3_75_1"/>
      <w:pPr>
        <w:keepNext/>
        <w:pStyle w:val="Para 07"/>
        <w:keepLines w:val="on"/>
      </w:pPr>
      <w:r>
        <w:t>CostofCapital=8.35%.9715+3.75%1−.38.0285=8.18%</w:t>
      </w:r>
      <w:bookmarkEnd w:id="4644"/>
    </w:p>
    <w:p>
      <w:pPr>
        <w:numPr>
          <w:ilvl w:val="0"/>
          <w:numId w:val="223"/>
        </w:numPr>
        <w:pStyle w:val="Para 18"/>
        <w:keepLines w:val="on"/>
      </w:pPr>
      <w:r>
        <w:t>Exxon Mobil đang ở giai đoạn tăng trưởng ổn định, với thu nhập hoạt động tăng 2% mỗi năm mãi mãi. Các khoản đầu tư mới được kỳ vọng sẽ tạo ra tỷ suất sinh lời trên vốn phản ánh thu nhập hoạt động đã chuẩn hóa và vốn đầu tư hiện tại. Tỷ suất sinh lời trên vốn này được dùng để tính tỷ lệ tái đầu tư.</w:t>
      </w:r>
    </w:p>
    <w:p>
      <w:pPr>
        <w:pStyle w:val="Para 04"/>
        <w:keepLines w:val="on"/>
      </w:pPr>
      <w:r>
        <w:t>Exxon báo cáo thu nhập hoạt động trước thuế vượt 60 tỷ USD trong năm 2008, nhưng điều đó phản ánh việc giá dầu trung bình trong năm là 86,55 USD. Đến tháng 3 năm 2009, giá mỗi thùng dầu đã giảm xuống còn 45 USD, và thu nhập hoạt động cho năm tới sẽ thấp hơn nhiều. Sử dụng kết quả hồi quy, thu nhập hoạt động kỳ vọng ở mức giá dầu này là 34.614 tỷ USD:</w:t>
      </w:r>
    </w:p>
    <w:p>
      <w:bookmarkStart w:id="4645" w:name="OperatingIncomegivencurrentoilpr"/>
      <w:pPr>
        <w:keepNext/>
        <w:pStyle w:val="Para 07"/>
        <w:keepLines w:val="on"/>
      </w:pPr>
      <w:r>
        <w:t>OperatingIncomegivencurrentoilprice=−6,395+911.32$45=$34,614</w:t>
      </w:r>
      <w:bookmarkEnd w:id="4645"/>
    </w:p>
    <w:p>
      <w:pPr>
        <w:pStyle w:val="Para 04"/>
        <w:keepLines w:val="on"/>
      </w:pPr>
      <w:r>
        <w:t>Thu nhập hoạt động này chuyển thành tỷ suất sinh lời trên vốn khoảng 21% và tỷ lệ tái đầu tư 9,52%, dựa trên tốc độ tăng trưởng 2%3:</w:t>
      </w:r>
    </w:p>
    <w:p>
      <w:bookmarkStart w:id="4647" w:name="Returnoninvestedcapital_34_614_1"/>
      <w:pPr>
        <w:keepNext/>
        <w:pStyle w:val="Para 07"/>
        <w:keepLines w:val="on"/>
      </w:pPr>
      <w:r>
        <w:t>Returnoninvestedcapital=34,614 1−.38101,629=21.11%</w:t>
      </w:r>
      <w:bookmarkEnd w:id="4647"/>
    </w:p>
    <w:p>
      <w:bookmarkStart w:id="4648" w:name="Reinvestment_Rate_Stable_growth"/>
      <w:pPr>
        <w:keepNext/>
        <w:pStyle w:val="Para 07"/>
        <w:keepLines w:val="on"/>
      </w:pPr>
      <w:r>
        <w:t>Reinvestment Rate=Stable growth rateROIC=2.00%21.11%=9.52%</w:t>
      </w:r>
      <w:bookmarkEnd w:id="4648"/>
    </w:p>
    <w:p>
      <w:bookmarkStart w:id="4649" w:name="Value_of_Operating_Assets_Operat"/>
      <w:pPr>
        <w:keepNext/>
        <w:pStyle w:val="Para 07"/>
        <w:keepLines w:val="on"/>
      </w:pPr>
      <w:r>
        <w:t>Value of Operating Assets=Operating income (1−tax rate)(1+Stablegrowthrate) (1−ReinvestmentRate)(Cost of capital−Stable growth rate)=34,614×(1−.38)×(1.02)(1−.0952)(.0818−.02)=$320,472 million(withrounding)</w:t>
      </w:r>
      <w:bookmarkEnd w:id="4649"/>
    </w:p>
    <w:p>
      <w:pPr>
        <w:pStyle w:val="Para 04"/>
        <w:keepLines w:val="on"/>
      </w:pPr>
      <w:r>
        <w:t>Cộng thêm số dư tiền mặt hiện tại (32.007 triệu USD), trừ đi nợ (9.400 triệu USD), và chia cho số lượng cổ phiếu (4.941,63 triệu) ta được giá trị mỗi cổ phiếu:</w:t>
      </w:r>
    </w:p>
    <w:p>
      <w:bookmarkStart w:id="4650" w:name="Valuepershare_Operatingassets_Ca_1"/>
      <w:pPr>
        <w:keepNext/>
        <w:pStyle w:val="Para 07"/>
        <w:keepLines w:val="on"/>
      </w:pPr>
      <w:r>
        <w:t>Valuepershare=Operatingassets+Cash−DebtNumberofshares=320472+32007−94004941.63=$69.43</w:t>
      </w:r>
      <w:bookmarkEnd w:id="4650"/>
    </w:p>
    <w:p>
      <w:pPr>
        <w:pStyle w:val="Para 04"/>
        <w:keepLines w:val="on"/>
      </w:pPr>
      <w:r>
        <w:t>Với mức giá cổ phiếu 64,83 USD vào năm 2009, cổ phiếu này có vẻ hơi bị định giá thấp, ở mức giá dầu hiện hành là 45 USD/thùng. Hình 22.3 cho thấy giá trị của Exxon Mobil như một hàm số của giá dầu.</w:t>
      </w:r>
    </w:p>
    <w:p>
      <w:pPr>
        <w:pStyle w:val="Para 40"/>
        <w:keepLines w:val="on"/>
      </w:pPr>
      <w:r>
        <w:rPr>
          <w:rStyle w:val="Text26"/>
        </w:rPr>
        <w:bookmarkStart w:id="4652" w:name="Page_710"/>
        <w:t/>
        <w:bookmarkEnd w:id="4652"/>
      </w:r>
      <w:r>
        <w:t xml:space="preserve"> </w:t>
      </w:r>
    </w:p>
    <w:p>
      <w:bookmarkStart w:id="4653" w:name="Figure_22_3_Oil_Price_and_Value"/>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514600" cy="1651000"/>
            <wp:effectExtent l="0" r="0" t="0" b="0"/>
            <wp:wrapTopAndBottom/>
            <wp:docPr id="217" name="c22f003.png" descr="Bar graph depicts the dependency of normalized oil price on the share value of Exxon."/>
            <wp:cNvGraphicFramePr>
              <a:graphicFrameLocks noChangeAspect="1"/>
            </wp:cNvGraphicFramePr>
            <a:graphic>
              <a:graphicData uri="http://schemas.openxmlformats.org/drawingml/2006/picture">
                <pic:pic>
                  <pic:nvPicPr>
                    <pic:cNvPr id="0" name="c22f003.png" descr="Bar graph depicts the dependency of normalized oil price on the share value of Exxon."/>
                    <pic:cNvPicPr/>
                  </pic:nvPicPr>
                  <pic:blipFill>
                    <a:blip r:embed="rId155"/>
                    <a:stretch>
                      <a:fillRect/>
                    </a:stretch>
                  </pic:blipFill>
                  <pic:spPr>
                    <a:xfrm>
                      <a:off x="0" y="0"/>
                      <a:ext cx="2514600" cy="1651000"/>
                    </a:xfrm>
                    <a:prstGeom prst="rect">
                      <a:avLst/>
                    </a:prstGeom>
                  </pic:spPr>
                </pic:pic>
              </a:graphicData>
            </a:graphic>
          </wp:anchor>
        </w:drawing>
      </w:r>
      <w:bookmarkEnd w:id="4653"/>
    </w:p>
    <w:p>
      <w:pPr>
        <w:keepNext/>
        <w:pStyle w:val="Para 38"/>
        <w:keepLines w:val="on"/>
      </w:pPr>
      <w:r>
        <w:t>Hình 22.3 Giá dầu và giá trị mỗi cổ phiếu của Exxon Mobil</w:t>
      </w:r>
    </w:p>
    <w:p>
      <w:pPr>
        <w:pStyle w:val="Para 04"/>
        <w:keepLines w:val="on"/>
      </w:pPr>
      <w:r>
        <w:t>Khi giá dầu thay đổi, thu nhập hoạt động và tỷ suất sinh lời trên vốn cũng thay đổi. Chúng ta giữ nguyên con số vốn đầu tư và ước tính lại tỷ suất sinh lời trên vốn với thu nhập hoạt động ước tính. Nếu giá dầu là 42,52 USD, giá trị mỗi cổ phiếu là 64,83 USD, bằng với giá cổ phiếu hiện tại. Nói cách khác, bất kỳ nhà đầu tư nào tin rằng giá dầu sẽ ổn định trên mức này sẽ thấy Exxon Mobil đang bị định giá thấp. Vì giá trị mỗi cổ phiếu phụ thuộc quá nhiều vào giá dầu, sẽ hợp lý hơn nếu cho phép giá dầu thay đổi và định giá công ty như một hàm số của giá này. Trong Chương 33, chúng ta sẽ quay lại xem xét việc định giá này, sử dụng mô phỏng để xem xét tác động của giá dầu không chắc chắn lên giá trị ước tính.</w:t>
      </w:r>
    </w:p>
    <w:p>
      <w:bookmarkStart w:id="4654" w:name="Infrastructure_Investments__Firm"/>
      <w:bookmarkStart w:id="4655" w:name="Infrastructure_Investments__Firm_1"/>
      <w:pPr>
        <w:keepNext/>
        <w:pStyle w:val="Heading 4"/>
        <w:keepLines w:val="on"/>
      </w:pPr>
      <w:r>
        <w:t>Đầu tư cơ sở hạ tầng (Các công ty)</w:t>
      </w:r>
      <w:bookmarkEnd w:id="4654"/>
      <w:bookmarkEnd w:id="4655"/>
    </w:p>
    <w:p>
      <w:pPr>
        <w:pStyle w:val="Para 03"/>
      </w:pPr>
      <w:r>
        <w:t>Như chúng ta đã lưu ý ở đầu chương này, một công ty cơ sở hạ tầng trưởng thành nắm giữ một danh mục các khoản đầu tư cơ sở hạ tầng, ở các giai đoạn khác nhau trong chu kỳ đầu tư, có thể được định giá bằng các phương pháp thông thường, vì các mô hình dòng tiền theo thời gian (một giai đoạn kéo dài ban đầu với dòng tiền âm, tiếp theo là một giai đoạn dài với dòng tiền dương) sẽ được san bằng trên toàn danh mục. Trong phần này, chúng ta sẽ tập trung vào tình huống khó hơn là một công ty chỉ có một khoản đầu tư cơ sở hạ tầng duy nhất, với việc định giá diễn ra vào thời điểm bắt đầu giai đoạn đầu tư.</w:t>
      </w:r>
    </w:p>
    <w:p>
      <w:bookmarkStart w:id="4656" w:name="Investment_Cash__out_Flows__The"/>
      <w:pPr>
        <w:pStyle w:val="Para 21"/>
      </w:pPr>
      <w:r>
        <w:t>Dòng tiền đầu tư (ra)</w:t>
      </w:r>
      <w:bookmarkEnd w:id="4656"/>
    </w:p>
    <w:p>
      <w:pPr>
        <w:pStyle w:val="Para 03"/>
      </w:pPr>
      <w:r>
        <w:t>Điểm đặc trưng khiến các khoản đầu tư vào cơ sở hạ tầng (infrastructure) khác biệt là chúng thường đòi hỏi vốn đầu tư lớn ngay từ đầu, và bạn phải chờ đợi rất lâu trước khi những khoản đầu tư này đi vào hoạt động (tức là bạn có thể tạo ra doanh thu và lợi nhuận). Xây một sân bay mới có thể mất cả thập kỷ hoặc hơn, một phần vì sự phức tạp của việc thi công, một phần vì những rào cản pháp lý và quy định phải vượt qua. Sân bay quốc tế Dubai, được hoàn thành trong mười năm, từng được xem là hình mẫu về đúng tiến độ. Việc xây một con đường thu phí cũng có thể mất nhiều năm, cũng với những thách thức pháp lý phải vượt qua. Con đường thu phí đầu tiên trên thế giới, Lancaster turnpike, nối Philadelphia với Lancaster, được khởi công năm 1795, được tài trợ bằng phát hành cổ phần, và đi vào hoạt động năm 1797. Mumbai Trans Harbor Link, một con đường thu phí dài 23 dặm nối Mumbai với Navi Mumbai, được đề xuất năm 2012, khởi công năm 2016, và đi vào hoạt động năm 2024.</w:t>
      </w:r>
    </w:p>
    <w:p>
      <w:pPr>
        <w:pStyle w:val="Para 03"/>
      </w:pPr>
      <w:r>
        <w:t>Trong giai đoạn thi công, dòng tiền không chỉ âm mà còn thường được cấu trúc quanh các thỏa thuận hợp đồng, nơi có những khoản thanh toán bằng tiền đến hạn cho nhiều nhà thầu khác nhau. Hiểu được điều đó là chìa khóa để đánh giá cách xử lý những dòng tiền này trong định giá, vì quy tắc cốt lõi khi chiết khấu là tỷ lệ chiết khấu phải phản ánh rủi ro trong dòng tiền. Nói ngắn gọn, vì dòng tiền đầu tư ban đầu không phải là dòng tiền hoạt động mà là những nghĩa vụ theo hợp đồng, chúng nên được chiết khấu về hiện tại bằng một tỷ lệ "thấp hơn". Trên thực tế, và giả sử bạn đã ký hợp đồng để chi những dòng tiền này, tỷ lệ chiết khấu đúng nên là chi phí nợ (cost of debt) của công ty đầu tư.</w:t>
      </w:r>
    </w:p>
    <w:p>
      <w:pPr>
        <w:pStyle w:val="Para 03"/>
      </w:pPr>
      <w:r>
        <w:t>Xét như một khoản đầu tư độc lập, việc không có doanh thu mà chỉ có chi phí trong giai đoạn đầu tư hàm ý rằng không có khoản tiết kiệm thuế nào cho những chi phí này tại thời điểm chúng phát sinh, dù bạn vẫn phải theo dõi các khoản lỗ hoạt động ròng để chuyển sang giai đoạn vận hành.</w:t>
      </w:r>
    </w:p>
    <w:p>
      <w:bookmarkStart w:id="4659" w:name="Operating_Cashflows__Once_an_inf"/>
      <w:pPr>
        <w:pStyle w:val="Para 21"/>
      </w:pPr>
      <w:r>
        <w:t>Dòng tiền hoạt động</w:t>
      </w:r>
      <w:bookmarkEnd w:id="4659"/>
    </w:p>
    <w:p>
      <w:pPr>
        <w:pStyle w:val="Para 03"/>
      </w:pPr>
      <w:r>
        <w:t>Khi một khoản đầu tư cơ sở hạ tầng đi vào hoạt động, bạn có thể bắt đầu tạo ra doanh thu và thậm chí cả lợi nhuận, dù mức biến động của những dòng tiền này sẽ phụ thuộc phần lớn vào cách khoản đầu tư cơ sở hạ tầng đó được kiếm tiền.</w:t>
      </w:r>
    </w:p>
    <w:p>
      <w:pPr>
        <w:numPr>
          <w:ilvl w:val="0"/>
          <w:numId w:val="224"/>
        </w:numPr>
        <w:pStyle w:val="Para 01"/>
      </w:pPr>
      <w:r>
        <w:t>Phí cố định: Nếu dòng tiền được tạo ra từ khoản đầu tư cơ sở hạ tầng là cố định và được ấn định theo hợp đồng, chúng thường có rủi ro thấp hơn, và tỷ lệ chiết khấu đúng để áp dụng cho những dòng tiền này sẽ là tỷ lệ phản ánh rủi ro vỡ nợ của bên bảo lãnh. Do đó, nếu chủ sở hữu sân bay được nhận những khoản thanh toán ấn định theo hợp đồng từ chính phủ, tỷ lệ chiết khấu sẽ là lãi suất trái phiếu chính phủ, còn nếu các khoản thanh toán đến từ các hãng hàng không sẽ sử dụng sân bay, tỷ lệ chiết khấu sẽ là chi phí nợ trước thuế của các hãng hàng không đó.</w:t>
      </w:r>
    </w:p>
    <w:p>
      <w:pPr>
        <w:numPr>
          <w:ilvl w:val="0"/>
          <w:numId w:val="224"/>
        </w:numPr>
        <w:pStyle w:val="Para 01"/>
      </w:pPr>
      <w:r>
        <w:t>Doanh thu từ sử dụng: Nếu doanh thu từ các khoản đầu tư cơ sở hạ tầng gắn với việc sử dụng cơ sở hạ tầng đó, với người dùng phải trả tiền, tỷ lệ chiết khấu nên phản ánh mức bất định phát sinh. Do đó, dòng tiền của một đơn vị vận hành đường thu phí sẽ phản ánh mức biến động của doanh thu đường thu phí theo thời gian, và có thể được ước tính bằng cách xem xét chi phí vốn của các công ty niêm yết có doanh thu đến từ vận tải đường bộ.</w:t>
      </w:r>
    </w:p>
    <w:p>
      <w:pPr>
        <w:numPr>
          <w:ilvl w:val="0"/>
          <w:numId w:val="224"/>
        </w:numPr>
        <w:pStyle w:val="Para 01"/>
      </w:pPr>
      <w:r>
        <w:t>Khác: Có những mô hình doanh thu khác có thể gắn với các khoản đầu tư cơ sở hạ tầng, bao gồm doanh thu quảng cáo và doanh thu thuê bao, và tỷ lệ chiết khấu được sử dụng nên phản ánh mức bất định trong từng dòng tiền đó.</w:t>
      </w:r>
    </w:p>
    <w:p>
      <w:bookmarkStart w:id="4661" w:name="Cost_of_Capital__The_cost_of_cap"/>
      <w:pPr>
        <w:pStyle w:val="Para 21"/>
      </w:pPr>
      <w:r>
        <w:t>Chi phí vốn</w:t>
      </w:r>
      <w:bookmarkEnd w:id="4661"/>
    </w:p>
    <w:p>
      <w:pPr>
        <w:pStyle w:val="Para 03"/>
      </w:pPr>
      <w:r>
        <w:t>Chi phí vốn của một dự án/công ty cơ sở hạ tầng, cũng như với mọi công ty khác, là bình quân gia quyền của chi phí vốn cổ phần (cost of equity) và chi phí nợ sau thuế (after-tax cost of debt), với trọng số phản ánh giá trị ước tính hoặc giá trị thị trường của mỗi thành phần, cùng một vài điểm khác biệt chính:</w:t>
      </w:r>
    </w:p>
    <w:p>
      <w:pPr>
        <w:numPr>
          <w:ilvl w:val="0"/>
          <w:numId w:val="225"/>
        </w:numPr>
        <w:pStyle w:val="Para 01"/>
      </w:pPr>
      <w:r>
        <w:t>Tỷ lệ nợ và chi phí nợ thay đổi: Dù không phải là yêu cầu bắt buộc, nhiều công ty cơ sở hạ tầng chọn vay những khoản lớn để tài trợ cho nhu cầu đầu tư trong những năm đầu của dự án, và thường trả dần khoản nợ đó trong suốt vòng đời dự án. Kết quả là, cơ cấu nợ và vốn cổ phần sẽ thay đổi qua vòng đời dự án, từ nợ cao trong những năm đầu xuống ít hoặc không có nợ trong những năm sau. Song song đó, chi phí nợ cũng có thể bắt đầu ở mức cao trước khi dự án đi vào hoạt động, rồi giảm dần khi dự án bắt đầu tạo ra dòng tiền.</w:t>
      </w:r>
    </w:p>
    <w:p>
      <w:pPr>
        <w:numPr>
          <w:ilvl w:val="0"/>
          <w:numId w:val="225"/>
        </w:numPr>
        <w:pStyle w:val="Para 01"/>
      </w:pPr>
      <w:r>
        <w:t>Lợi ích thuế: Vì các khoản đầu tư cơ sở hạ tầng thua lỗ trong những năm đầu, sẽ không có thuế phải nộp cũng như không có lợi ích thuế từ nợ. Vì những lợi ích thuế này chỉ tích lũy khi khoản đầu tư bắt đầu sinh lời, tác động lên giá trị của việc giả định có lợi ích thuế từ nợ, ngay cả trong những năm thua lỗ, sẽ là nhỏ.</w:t>
      </w:r>
    </w:p>
    <w:p>
      <w:pPr>
        <w:numPr>
          <w:ilvl w:val="0"/>
          <w:numId w:val="225"/>
        </w:numPr>
        <w:pStyle w:val="Para 01"/>
      </w:pPr>
      <w:r>
        <w:t>Chi phí vốn cổ phần: Trong Chương 8, chúng ta đã giới thiệu khái niệm beta có đòn bẩy (levered beta), một hàm số của rủi ro hoạt động trong một khoản đầu tư và khoản nợ được dùng để tài trợ cho nó:</w:t>
      </w:r>
    </w:p>
    <w:p>
      <w:bookmarkStart w:id="4664" w:name="Levered_beta_Unlevered_beta__1"/>
      <w:pPr>
        <w:keepNext/>
        <w:pStyle w:val="Para 09"/>
        <w:keepLines w:val="on"/>
      </w:pPr>
      <w:r>
        <w:t>Levered beta=Unlevered beta (1+(1−tax rate) (Debt/Equity))</w:t>
      </w:r>
      <w:bookmarkEnd w:id="4664"/>
    </w:p>
    <w:p>
      <w:pPr>
        <w:pStyle w:val="Para 03"/>
      </w:pPr>
      <w:r>
        <w:t>Nếu tỷ lệ nợ thay đổi theo thời gian đối với một khoản đầu tư cơ sở hạ tầng, thì chi phí vốn cổ phần cũng sẽ thay đổi theo thời gian, giảm dần khi tỷ lệ nợ giảm.</w:t>
      </w:r>
    </w:p>
    <w:p>
      <w:pPr>
        <w:pStyle w:val="Para 03"/>
      </w:pPr>
      <w:r>
        <w:t>Khi đối mặt với cơ cấu vốn thay đổi, bạn có hai lựa chọn khi định giá các khoản đầu tư cơ sở hạ tầng:</w:t>
      </w:r>
    </w:p>
    <w:p>
      <w:pPr>
        <w:numPr>
          <w:ilvl w:val="0"/>
          <w:numId w:val="226"/>
        </w:numPr>
        <w:pStyle w:val="Para 01"/>
      </w:pPr>
      <w:r>
        <w:t>Chi phí vốn theo từng năm: Trong cách tiếp cận thứ nhất, chi phí vốn được tính cho mỗi năm, với tỷ lệ nợ ước tính và chi phí nợ, chi phí vốn cổ phần trong năm đó, với lợi ích thuế chỉ được áp dụng cho nợ nếu lợi nhuận của dự án phải chịu thuế.</w:t>
      </w:r>
    </w:p>
    <w:p>
      <w:pPr>
        <w:numPr>
          <w:ilvl w:val="0"/>
          <w:numId w:val="226"/>
        </w:numPr>
        <w:pStyle w:val="Para 01"/>
      </w:pPr>
      <w:r>
        <w:t>Chi phí vốn bình quân trong vòng đời dự án: Trong cách tiếp cận thứ hai, chi phí vốn được tính bằng tỷ lệ nợ bình quân và chi phí nợ bình quân trong vòng đời dự án, với beta phản ánh tỷ lệ nợ bình quân đó.</w:t>
      </w:r>
    </w:p>
    <w:p>
      <w:pPr>
        <w:pStyle w:val="Para 03"/>
      </w:pPr>
      <w:r>
        <w:t>Như bạn có thể đã nhận thấy trong các chương trước, chúng ta không ngại sử dụng chi phí vốn thay đổi theo thời gian khi định giá một công ty, nhưng trong trường hợp một khoản đầu tư cơ sở hạ tầng độc lập, chúng tôi cho rằng sử dụng chi phí vốn bình quân làm tỷ lệ chiết khấu, ít nhất là cho dòng tiền hoạt động, là cách tiếp cận tốt hơn.</w:t>
      </w:r>
    </w:p>
    <w:p>
      <w:bookmarkStart w:id="4665" w:name="Terminal_Value__As_we_noted_in_t"/>
      <w:pPr>
        <w:pStyle w:val="Para 21"/>
      </w:pPr>
      <w:r>
        <w:t>Giá trị cuối kỳ</w:t>
      </w:r>
      <w:bookmarkEnd w:id="4665"/>
    </w:p>
    <w:p>
      <w:pPr>
        <w:pStyle w:val="Para 03"/>
      </w:pPr>
      <w:r>
        <w:t>Như chúng ta đã lưu ý trong phần giới thiệu chương này, việc kết thúc khi định giá các dự án cơ sở hạ tầng sẽ phụ thuộc vào điều bạn giả định về vòng đời của dự án:</w:t>
      </w:r>
    </w:p>
    <w:p>
      <w:pPr>
        <w:numPr>
          <w:ilvl w:val="0"/>
          <w:numId w:val="227"/>
        </w:numPr>
        <w:pStyle w:val="Para 01"/>
      </w:pPr>
      <w:r>
        <w:t>Nếu từng dự án có vòng đời hữu hạn, giá trị cuối kỳ sẽ phản ánh những gì bạn có thể thu được như giá trị thanh lý (salvage value) vào cuối vòng đời đó. Tuy nhiên, điều đó đòi hỏi phải ước tính dòng tiền cho toàn bộ vòng đời đầu tư; vòng đời 30 năm sẽ đòi hỏi ước tính dòng tiền kỳ vọng cho 30 năm tới, trước khi tính giá trị thanh lý hoặc giá trị giải thể. Do đó, giá trị của một khoản đầu tư cơ sở hạ tầng có vòng đời n năm có thể được viết như sau:</w:t>
      </w:r>
    </w:p>
    <w:p>
      <w:bookmarkStart w:id="4667" w:name="Value_of_investment____t_1t_nE_C"/>
      <w:pPr>
        <w:keepNext/>
        <w:pStyle w:val="Para 09"/>
        <w:keepLines w:val="on"/>
      </w:pPr>
      <w:r>
        <w:t>Value of investment=∑t=1t=nE(Cashflowt)(1+r)t+Salvage value in year n(1+r)n</w:t>
      </w:r>
      <w:bookmarkEnd w:id="4667"/>
    </w:p>
    <w:p>
      <w:pPr>
        <w:numPr>
          <w:ilvl w:val="0"/>
          <w:numId w:val="228"/>
        </w:numPr>
        <w:pStyle w:val="Para 01"/>
      </w:pPr>
      <w:r>
        <w:t>Nếu vòng đời đầu tư đủ dài, chẳng hạn 80 hay 100 năm, bạn sẽ làm tốt hơn nếu ước tính dòng tiền cho một giai đoạn hữu hạn ngắn hơn nhiều so với vòng đời đầu tư, rồi ước tính giá trị cuối kỳ phản ánh giá trị kỳ vọng của dòng tiền cho phần vòng đời còn lại. Do đó, với một dự án 80 năm, bạn có thể ước tính dòng tiền kỳ vọng cho mười năm tới, rồi ước tính giá trị cuối kỳ là giá trị hiện tại của dòng tiền kỳ vọng cho 70 năm tiếp theo. Với một khoản đầu tư có vòng đời n năm, và giả sử bạn dừng ước tính dòng tiền trong một khoảng thời gian ngắn hơn là n1, và giả sử một tốc độ tăng trưởng:</w:t>
      </w:r>
    </w:p>
    <w:p>
      <w:bookmarkStart w:id="4669" w:name="Value_of_investment____t_1t_n1E"/>
      <w:pPr>
        <w:keepNext/>
        <w:pStyle w:val="Para 09"/>
        <w:keepLines w:val="on"/>
      </w:pPr>
      <w:r>
        <w:t>Value of investment=∑t=1t=n1E(Cashflowt)(1+r)t                                  +PV of expected cashflows from years n1 to n(1+r)n1</w:t>
      </w:r>
      <w:bookmarkEnd w:id="4669"/>
    </w:p>
    <w:p>
      <w:pPr>
        <w:numPr>
          <w:ilvl w:val="0"/>
          <w:numId w:val="229"/>
        </w:numPr>
        <w:pStyle w:val="Para 01"/>
      </w:pPr>
      <w:r>
        <w:t>Nếu với việc tái đầu tư đầy đủ, bạn có thể duy trì một khoản đầu tư cơ sở hạ tầng tồn tại vô thời hạn, bạn có thể vay mượn phương trình tăng trưởng vĩnh viễn (perpetual growth equation) được dùng cho hầu hết các công ty đại chúng, với lưu ý rằng tốc độ tăng trưởng trong giai đoạn tăng trưởng ổn định (gn) phải được đặt bằng hoặc thấp hơn tỷ lệ lạm phát, và không bao gồm tăng trưởng thực.</w:t>
      </w:r>
    </w:p>
    <w:p>
      <w:bookmarkStart w:id="4670" w:name="Value_of_investment____t_1t_nE_C_1"/>
      <w:pPr>
        <w:keepNext/>
        <w:pStyle w:val="Para 09"/>
        <w:keepLines w:val="on"/>
      </w:pPr>
      <w:r>
        <w:t>Giá trị khoản đầu tư=∑t=1t=nE(Dòng tiền t)(1+r)t+E(Dòng tiền+1(r−gn) (1+r)n</w:t>
      </w:r>
      <w:bookmarkEnd w:id="4670"/>
    </w:p>
    <w:p>
      <w:pPr>
        <w:pStyle w:val="Para 11"/>
      </w:pPr>
      <w:r>
        <w:t/>
        <w:t xml:space="preserve"> </w:t>
      </w:r>
    </w:p>
    <w:p>
      <w:bookmarkStart w:id="4671" w:name="ILLUSTRATION_22_5_Valuing_a_Toll_1"/>
      <w:bookmarkStart w:id="4672" w:name="ILLUSTRATION_22_5_Valuing_a_Toll"/>
      <w:pPr>
        <w:keepNext/>
        <w:pStyle w:val="Para 19"/>
        <w:keepLines w:val="on"/>
      </w:pPr>
      <w:r>
        <w:t>MINH HỌA 22.5:Định giá một con đường thu phí</w:t>
      </w:r>
      <w:bookmarkEnd w:id="4671"/>
      <w:bookmarkEnd w:id="4672"/>
    </w:p>
    <w:p>
      <w:pPr>
        <w:pStyle w:val="Para 04"/>
        <w:keepLines w:val="on"/>
      </w:pPr>
      <w:r>
        <w:t>Roadways Inc. là một công ty được thành lập để xây dựng và quản lý một con đường thu phí duy nhất, và những thông tin sau đây liên quan đến khoản đầu tư này:</w:t>
      </w:r>
    </w:p>
    <w:p>
      <w:pPr>
        <w:numPr>
          <w:ilvl w:val="0"/>
          <w:numId w:val="230"/>
        </w:numPr>
        <w:pStyle w:val="Para 18"/>
        <w:keepLines w:val="on"/>
      </w:pPr>
      <w:r>
        <w:t>Chi phí đầu tư/lộ trình thời gian: Con đường thu phí sẽ mất năm năm để xây dựng, với chi phí đầu tư dự kiến là 50 triệu đô la vào năm tới, tăng 2% mỗi năm trong bốn năm tiếp theo. Khoản đầu tư này sẽ được khấu hao theo đường thẳng trong năm mươi năm, bắt đầu từ năm thứ 6.</w:t>
      </w:r>
    </w:p>
    <w:p>
      <w:pPr>
        <w:numPr>
          <w:ilvl w:val="0"/>
          <w:numId w:val="230"/>
        </w:numPr>
        <w:pStyle w:val="Para 18"/>
        <w:keepLines w:val="on"/>
      </w:pPr>
      <w:r>
        <w:t>Chi tiết doanh thu: Con đường thu phí sẽ sẵn sàng hoạt động vào năm thứ 6, và Roadways dự kiến tạo ra 75,92 triệu đô la doanh thu trong năm đó. Doanh thu này dự kiến sẽ tăng 4% mỗi năm trong chín năm tiếp theo; sau năm thứ 15, tốc độ tăng trưởng dự kiến sẽ hội tụ về tỷ lệ lạm phát 2%, và tiếp tục cho đến năm thứ 75, tại thời điểm đó quyền sở hữu con đường sẽ trở về tay chính phủ, mà không có khoản bồi thường nào cho Roadways.</w:t>
      </w:r>
    </w:p>
    <w:p>
      <w:pPr>
        <w:numPr>
          <w:ilvl w:val="0"/>
          <w:numId w:val="230"/>
        </w:numPr>
        <w:pStyle w:val="Para 18"/>
        <w:keepLines w:val="on"/>
      </w:pPr>
      <w:r>
        <w:t>Chi phí hoạt động: Chi phí trực tiếp để vận hành con đường thu phí sẽ chiếm 20% doanh thu, nhưng có các chi phí cố định là 10 triệu đô la bắt đầu từ năm thứ 6, dự kiến sẽ tăng theo tỷ lệ lạm phát sau đó.</w:t>
      </w:r>
    </w:p>
    <w:p>
      <w:pPr>
        <w:numPr>
          <w:ilvl w:val="0"/>
          <w:numId w:val="230"/>
        </w:numPr>
        <w:pStyle w:val="Para 18"/>
        <w:keepLines w:val="on"/>
      </w:pPr>
      <w:r>
        <w:t>Thuế: Công ty phải chịu thuế suất biên là 25%, và các khoản lỗ hoạt động ròng có thể được chuyển sang kỳ sau cho đến khi được sử dụng.</w:t>
      </w:r>
    </w:p>
    <w:p>
      <w:pPr>
        <w:numPr>
          <w:ilvl w:val="0"/>
          <w:numId w:val="230"/>
        </w:numPr>
        <w:pStyle w:val="Para 18"/>
        <w:keepLines w:val="on"/>
      </w:pPr>
      <w:r>
        <w:t>Bảo trì vốn: Sau khi đi vào hoạt động, công ty dự kiến sẽ sử dụng 40% khấu hao mỗi năm cho việc bảo trì vốn.</w:t>
      </w:r>
    </w:p>
    <w:p>
      <w:pPr>
        <w:numPr>
          <w:ilvl w:val="0"/>
          <w:numId w:val="230"/>
        </w:numPr>
        <w:pStyle w:val="Para 18"/>
        <w:keepLines w:val="on"/>
      </w:pPr>
      <w:r>
        <w:t>Chi phí vốn: Mặc dù công ty dự kiến sẽ vay phần lớn khoản đầu tư ban đầu, nhưng công ty dự kiến sẽ trả dần khoản nợ đó trong suốt vòng đời dự án. Tỷ lệ nợ trên vốn trung bình trong suốt vòng đời dự án là 40%, và chi phí vốn chủ sở hữu ở tỷ lệ nợ đó được ước tính là 12% và chi phí đi vay trước thuế, tính trung bình, sẽ là 5%.</w:t>
      </w:r>
    </w:p>
    <w:p>
      <w:pPr>
        <w:pStyle w:val="Para 04"/>
        <w:keepLines w:val="on"/>
      </w:pPr>
      <w:r>
        <w:t>Chúng ta bắt đầu bằng việc ước tính giá trị hiện tại của chi phí xây dựng con đường thu phí trong năm năm tới trong Bảng 22.3:</w:t>
      </w:r>
    </w:p>
    <w:p>
      <w:pPr>
        <w:pStyle w:val="Para 25"/>
        <w:keepLines w:val="on"/>
      </w:pPr>
      <w:r>
        <w:t>Bảng 22.3</w:t>
      </w:r>
    </w:p>
    <w:p>
      <w:pPr>
        <w:keepNext/>
        <w:pStyle w:val="Para 24"/>
        <w:keepLines w:val="on"/>
      </w:pPr>
      <w:r>
        <w:t>Chi phí xây dựng và giá trị hiện tại</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r>
            <w:tr>
              <w:tc>
                <w:tcPr>
                  <w:tcW w:type="auto" w:w="0"/>
                  <w:shd w:val="clear" w:color="auto" w:fill="F0F0F0"/>
                </w:tcPr>
                <w:p>
                  <w:pPr>
                    <w:pStyle w:val="Para 02"/>
                    <w:keepLines w:val="on"/>
                  </w:pPr>
                  <w:r>
                    <w:t>Chi phí con đường thu phí (tính bằng triệu đô la)</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−$51,00</w:t>
                  </w:r>
                </w:p>
              </w:tc>
              <w:tc>
                <w:tcPr>
                  <w:tcW w:type="auto" w:w="0"/>
                  <w:shd w:val="clear" w:color="auto" w:fill="F0F0F0"/>
                </w:tcPr>
                <w:p>
                  <w:pPr>
                    <w:pStyle w:val="Normal"/>
                    <w:keepLines w:val="on"/>
                  </w:pPr>
                  <w:r>
                    <w:t>−$52,02</w:t>
                  </w:r>
                </w:p>
              </w:tc>
              <w:tc>
                <w:tcPr>
                  <w:tcW w:type="auto" w:w="0"/>
                  <w:shd w:val="clear" w:color="auto" w:fill="F0F0F0"/>
                </w:tcPr>
                <w:p>
                  <w:pPr>
                    <w:pStyle w:val="Normal"/>
                    <w:keepLines w:val="on"/>
                  </w:pPr>
                  <w:r>
                    <w:t>−$53,06</w:t>
                  </w:r>
                </w:p>
              </w:tc>
              <w:tc>
                <w:tcPr>
                  <w:tcW w:type="auto" w:w="0"/>
                  <w:shd w:val="clear" w:color="auto" w:fill="F0F0F0"/>
                </w:tcPr>
                <w:p>
                  <w:pPr>
                    <w:pStyle w:val="Normal"/>
                    <w:keepLines w:val="on"/>
                  </w:pPr>
                  <w:r>
                    <w:t>−$54,12</w:t>
                  </w:r>
                </w:p>
              </w:tc>
            </w:tr>
            <w:tr>
              <w:tc>
                <w:tcPr>
                  <w:tcW w:type="auto" w:w="0"/>
                  <w:shd w:val="clear" w:color="auto" w:fill="F0F0F0"/>
                </w:tcPr>
                <w:p>
                  <w:pPr>
                    <w:pStyle w:val="Para 02"/>
                    <w:keepLines w:val="on"/>
                  </w:pPr>
                  <w:r>
                    <w:t>Tỷ lệ chiết khấu được sử dụng</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5,00%</w:t>
                  </w:r>
                </w:p>
              </w:tc>
            </w:tr>
            <w:tr>
              <w:tc>
                <w:tcPr>
                  <w:tcW w:type="auto" w:w="0"/>
                  <w:shd w:val="clear" w:color="auto" w:fill="F0F0F0"/>
                </w:tcPr>
                <w:p>
                  <w:pPr>
                    <w:pStyle w:val="Para 02"/>
                    <w:keepLines w:val="on"/>
                  </w:pPr>
                  <w:r>
                    <w:t>Giá trị hiện tại (tính bằng triệu đô la)</w:t>
                  </w:r>
                </w:p>
              </w:tc>
              <w:tc>
                <w:tcPr>
                  <w:tcW w:type="auto" w:w="0"/>
                  <w:shd w:val="clear" w:color="auto" w:fill="F0F0F0"/>
                </w:tcPr>
                <w:p>
                  <w:pPr>
                    <w:pStyle w:val="Normal"/>
                    <w:keepLines w:val="on"/>
                  </w:pPr>
                  <w:r>
                    <w:t>−$47,62</w:t>
                  </w:r>
                </w:p>
              </w:tc>
              <w:tc>
                <w:tcPr>
                  <w:tcW w:type="auto" w:w="0"/>
                  <w:shd w:val="clear" w:color="auto" w:fill="F0F0F0"/>
                </w:tcPr>
                <w:p>
                  <w:pPr>
                    <w:pStyle w:val="Normal"/>
                    <w:keepLines w:val="on"/>
                  </w:pPr>
                  <w:r>
                    <w:t>−$46,26</w:t>
                  </w:r>
                </w:p>
              </w:tc>
              <w:tc>
                <w:tcPr>
                  <w:tcW w:type="auto" w:w="0"/>
                  <w:shd w:val="clear" w:color="auto" w:fill="F0F0F0"/>
                </w:tcPr>
                <w:p>
                  <w:pPr>
                    <w:pStyle w:val="Normal"/>
                    <w:keepLines w:val="on"/>
                  </w:pPr>
                  <w:r>
                    <w:t>−$44,94</w:t>
                  </w:r>
                </w:p>
              </w:tc>
              <w:tc>
                <w:tcPr>
                  <w:tcW w:type="auto" w:w="0"/>
                  <w:shd w:val="clear" w:color="auto" w:fill="F0F0F0"/>
                </w:tcPr>
                <w:p>
                  <w:pPr>
                    <w:pStyle w:val="Normal"/>
                    <w:keepLines w:val="on"/>
                  </w:pPr>
                  <w:r>
                    <w:t>−$43,65</w:t>
                  </w:r>
                </w:p>
              </w:tc>
              <w:tc>
                <w:tcPr>
                  <w:tcW w:type="auto" w:w="0"/>
                  <w:shd w:val="clear" w:color="auto" w:fill="F0F0F0"/>
                </w:tcPr>
                <w:p>
                  <w:pPr>
                    <w:pStyle w:val="Normal"/>
                    <w:keepLines w:val="on"/>
                  </w:pPr>
                  <w:r>
                    <w:t>−$42,41</w:t>
                  </w:r>
                </w:p>
              </w:tc>
            </w:tr>
          </w:tbl>
          <w:p/>
        </w:tc>
      </w:tr>
    </w:tbl>
    <w:p>
      <w:pPr>
        <w:pStyle w:val="Para 04"/>
        <w:keepLines w:val="on"/>
      </w:pPr>
      <w:r>
        <w:t>Lưu ý rằng chi phí xây dựng phần lớn đã được cố định theo hợp đồng, và chi phí nợ trước thuế được dùng làm tỷ lệ chiết khấu (discount rate), cho ra tổng chi phí đầu tư là −$224,87 triệu đô la.</w:t>
      </w:r>
    </w:p>
    <w:p>
      <w:pPr>
        <w:pStyle w:val="Para 04"/>
        <w:keepLines w:val="on"/>
      </w:pPr>
      <w:r>
        <w:t>Thu nhập hoạt động dự kiến trong mười năm đầu tiên hoạt động được trình bày trong Bảng 22.4:</w:t>
      </w:r>
    </w:p>
    <w:p>
      <w:pPr>
        <w:pStyle w:val="Para 25"/>
        <w:keepLines w:val="on"/>
      </w:pPr>
      <w:r>
        <w:t>Bảng 22.4</w:t>
      </w:r>
    </w:p>
    <w:p>
      <w:pPr>
        <w:keepNext/>
        <w:pStyle w:val="Para 24"/>
        <w:keepLines w:val="on"/>
      </w:pPr>
      <w:r>
        <w:t>Thu nhập kỳ vọng trên khoản đầu tư</w:t>
      </w:r>
    </w:p>
    <w:tbl>
      <w:tblPr>
        <w:tblW w:type="auto" w:w="0"/>
      </w:tblPr>
      <w:tr>
        <w:tc>
          <w:tcPr>
            <w:tcW w:type="auto" w:w="0"/>
          </w:tcPr>
          <w:tbl>
            <w:tblPr>
              <w:tblW w:type="pct" w:w="500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Doanh thu</w:t>
                  </w:r>
                </w:p>
              </w:tc>
              <w:tc>
                <w:tcPr>
                  <w:tcW w:type="auto" w:w="0"/>
                  <w:shd w:val="clear" w:color="auto" w:fill="F0F0F0"/>
                </w:tcPr>
                <w:p>
                  <w:pPr>
                    <w:pStyle w:val="Para 05"/>
                    <w:keepLines w:val="on"/>
                  </w:pPr>
                  <w:r>
                    <w:t>Chi phí hoạt động</w:t>
                  </w:r>
                </w:p>
              </w:tc>
              <w:tc>
                <w:tcPr>
                  <w:tcW w:type="auto" w:w="0"/>
                  <w:shd w:val="clear" w:color="auto" w:fill="F0F0F0"/>
                </w:tcPr>
                <w:p>
                  <w:pPr>
                    <w:pStyle w:val="Para 05"/>
                    <w:keepLines w:val="on"/>
                  </w:pPr>
                  <w:r>
                    <w:t>Khấu hao</w:t>
                  </w:r>
                </w:p>
              </w:tc>
              <w:tc>
                <w:tcPr>
                  <w:tcW w:type="auto" w:w="0"/>
                  <w:shd w:val="clear" w:color="auto" w:fill="F0F0F0"/>
                </w:tcPr>
                <w:p>
                  <w:pPr>
                    <w:pStyle w:val="Para 05"/>
                    <w:keepLines w:val="on"/>
                  </w:pPr>
                  <w:r>
                    <w:t>EBIT</w:t>
                  </w:r>
                </w:p>
              </w:tc>
              <w:tc>
                <w:tcPr>
                  <w:tcW w:type="auto" w:w="0"/>
                  <w:shd w:val="clear" w:color="auto" w:fill="F0F0F0"/>
                </w:tcPr>
                <w:p>
                  <w:pPr>
                    <w:pStyle w:val="Para 05"/>
                    <w:keepLines w:val="on"/>
                  </w:pPr>
                  <w:r>
                    <w:t>Thuế</w:t>
                  </w:r>
                </w:p>
              </w:tc>
              <w:tc>
                <w:tcPr>
                  <w:tcW w:type="auto" w:w="0"/>
                  <w:shd w:val="clear" w:color="auto" w:fill="F0F0F0"/>
                </w:tcPr>
                <w:p>
                  <w:pPr>
                    <w:pStyle w:val="Para 05"/>
                    <w:keepLines w:val="on"/>
                  </w:pPr>
                  <w:r>
                    <w:t>EBIT (1−t)</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$75,92</w:t>
                  </w:r>
                </w:p>
              </w:tc>
              <w:tc>
                <w:tcPr>
                  <w:tcW w:type="auto" w:w="0"/>
                  <w:shd w:val="clear" w:color="auto" w:fill="F0F0F0"/>
                </w:tcPr>
                <w:p>
                  <w:pPr>
                    <w:pStyle w:val="Normal"/>
                    <w:keepLines w:val="on"/>
                  </w:pPr>
                  <w:r>
                    <w:t>$25,18</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$45,53</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$45,53</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$78,96</w:t>
                  </w:r>
                </w:p>
              </w:tc>
              <w:tc>
                <w:tcPr>
                  <w:tcW w:type="auto" w:w="0"/>
                  <w:shd w:val="clear" w:color="auto" w:fill="F0F0F0"/>
                </w:tcPr>
                <w:p>
                  <w:pPr>
                    <w:pStyle w:val="Normal"/>
                    <w:keepLines w:val="on"/>
                  </w:pPr>
                  <w:r>
                    <w:t>$25,99</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$47,76</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$47,76</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$82,11</w:t>
                  </w:r>
                </w:p>
              </w:tc>
              <w:tc>
                <w:tcPr>
                  <w:tcW w:type="auto" w:w="0"/>
                  <w:shd w:val="clear" w:color="auto" w:fill="F0F0F0"/>
                </w:tcPr>
                <w:p>
                  <w:pPr>
                    <w:pStyle w:val="Normal"/>
                    <w:keepLines w:val="on"/>
                  </w:pPr>
                  <w:r>
                    <w:t>$26,83</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$50,08</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$50,08</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$85,40</w:t>
                  </w:r>
                </w:p>
              </w:tc>
              <w:tc>
                <w:tcPr>
                  <w:tcW w:type="auto" w:w="0"/>
                  <w:shd w:val="clear" w:color="auto" w:fill="F0F0F0"/>
                </w:tcPr>
                <w:p>
                  <w:pPr>
                    <w:pStyle w:val="Normal"/>
                    <w:keepLines w:val="on"/>
                  </w:pPr>
                  <w:r>
                    <w:t>$27,69</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$52,50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$52,50</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$88,81</w:t>
                  </w:r>
                </w:p>
              </w:tc>
              <w:tc>
                <w:tcPr>
                  <w:tcW w:type="auto" w:w="0"/>
                  <w:shd w:val="clear" w:color="auto" w:fill="F0F0F0"/>
                </w:tcPr>
                <w:p>
                  <w:pPr>
                    <w:pStyle w:val="Normal"/>
                    <w:keepLines w:val="on"/>
                  </w:pPr>
                  <w:r>
                    <w:t>$28,59</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$55,02</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$55,02</w:t>
                  </w:r>
                </w:p>
              </w:tc>
            </w:tr>
            <w:tr>
              <w:tc>
                <w:tcPr>
                  <w:tcW w:type="auto" w:w="0"/>
                  <w:shd w:val="clear" w:color="auto" w:fill="F0F0F0"/>
                </w:tcPr>
                <w:p>
                  <w:pPr>
                    <w:pStyle w:val="Normal"/>
                    <w:keepLines w:val="on"/>
                  </w:pPr>
                  <w:r>
                    <w:t>11</w:t>
                  </w:r>
                </w:p>
              </w:tc>
              <w:tc>
                <w:tcPr>
                  <w:tcW w:type="auto" w:w="0"/>
                  <w:shd w:val="clear" w:color="auto" w:fill="F0F0F0"/>
                </w:tcPr>
                <w:p>
                  <w:pPr>
                    <w:pStyle w:val="Normal"/>
                    <w:keepLines w:val="on"/>
                  </w:pPr>
                  <w:r>
                    <w:t>$92,37</w:t>
                  </w:r>
                </w:p>
              </w:tc>
              <w:tc>
                <w:tcPr>
                  <w:tcW w:type="auto" w:w="0"/>
                  <w:shd w:val="clear" w:color="auto" w:fill="F0F0F0"/>
                </w:tcPr>
                <w:p>
                  <w:pPr>
                    <w:pStyle w:val="Normal"/>
                    <w:keepLines w:val="on"/>
                  </w:pPr>
                  <w:r>
                    <w:t>$29,51</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$57,65</w:t>
                  </w:r>
                </w:p>
              </w:tc>
              <w:tc>
                <w:tcPr>
                  <w:tcW w:type="auto" w:w="0"/>
                  <w:shd w:val="clear" w:color="auto" w:fill="F0F0F0"/>
                </w:tcPr>
                <w:p>
                  <w:pPr>
                    <w:pStyle w:val="Normal"/>
                    <w:keepLines w:val="on"/>
                  </w:pPr>
                  <w:r>
                    <w:t>$12,09</w:t>
                  </w:r>
                </w:p>
              </w:tc>
              <w:tc>
                <w:tcPr>
                  <w:tcW w:type="auto" w:w="0"/>
                  <w:shd w:val="clear" w:color="auto" w:fill="F0F0F0"/>
                </w:tcPr>
                <w:p>
                  <w:pPr>
                    <w:pStyle w:val="Normal"/>
                    <w:keepLines w:val="on"/>
                  </w:pPr>
                  <w:r>
                    <w:t>$45,56</w:t>
                  </w:r>
                </w:p>
              </w:tc>
            </w:tr>
            <w:tr>
              <w:tc>
                <w:tcPr>
                  <w:tcW w:type="auto" w:w="0"/>
                  <w:shd w:val="clear" w:color="auto" w:fill="F0F0F0"/>
                </w:tcPr>
                <w:p>
                  <w:pPr>
                    <w:pStyle w:val="Normal"/>
                    <w:keepLines w:val="on"/>
                  </w:pPr>
                  <w:r>
                    <w:t>12</w:t>
                  </w:r>
                </w:p>
              </w:tc>
              <w:tc>
                <w:tcPr>
                  <w:tcW w:type="auto" w:w="0"/>
                  <w:shd w:val="clear" w:color="auto" w:fill="F0F0F0"/>
                </w:tcPr>
                <w:p>
                  <w:pPr>
                    <w:pStyle w:val="Normal"/>
                    <w:keepLines w:val="on"/>
                  </w:pPr>
                  <w:r>
                    <w:t>$96,06</w:t>
                  </w:r>
                </w:p>
              </w:tc>
              <w:tc>
                <w:tcPr>
                  <w:tcW w:type="auto" w:w="0"/>
                  <w:shd w:val="clear" w:color="auto" w:fill="F0F0F0"/>
                </w:tcPr>
                <w:p>
                  <w:pPr>
                    <w:pStyle w:val="Normal"/>
                    <w:keepLines w:val="on"/>
                  </w:pPr>
                  <w:r>
                    <w:t>$30,47</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$60,38</w:t>
                  </w:r>
                </w:p>
              </w:tc>
              <w:tc>
                <w:tcPr>
                  <w:tcW w:type="auto" w:w="0"/>
                  <w:shd w:val="clear" w:color="auto" w:fill="F0F0F0"/>
                </w:tcPr>
                <w:p>
                  <w:pPr>
                    <w:pStyle w:val="Normal"/>
                    <w:keepLines w:val="on"/>
                  </w:pPr>
                  <w:r>
                    <w:t>$15,10</w:t>
                  </w:r>
                </w:p>
              </w:tc>
              <w:tc>
                <w:tcPr>
                  <w:tcW w:type="auto" w:w="0"/>
                  <w:shd w:val="clear" w:color="auto" w:fill="F0F0F0"/>
                </w:tcPr>
                <w:p>
                  <w:pPr>
                    <w:pStyle w:val="Normal"/>
                    <w:keepLines w:val="on"/>
                  </w:pPr>
                  <w:r>
                    <w:t>$45,29</w:t>
                  </w:r>
                </w:p>
              </w:tc>
            </w:tr>
            <w:tr>
              <w:tc>
                <w:tcPr>
                  <w:tcW w:type="auto" w:w="0"/>
                  <w:shd w:val="clear" w:color="auto" w:fill="F0F0F0"/>
                </w:tcPr>
                <w:p>
                  <w:pPr>
                    <w:pStyle w:val="Normal"/>
                    <w:keepLines w:val="on"/>
                  </w:pPr>
                  <w:r>
                    <w:t>13</w:t>
                  </w:r>
                </w:p>
              </w:tc>
              <w:tc>
                <w:tcPr>
                  <w:tcW w:type="auto" w:w="0"/>
                  <w:shd w:val="clear" w:color="auto" w:fill="F0F0F0"/>
                </w:tcPr>
                <w:p>
                  <w:pPr>
                    <w:pStyle w:val="Normal"/>
                    <w:keepLines w:val="on"/>
                  </w:pPr>
                  <w:r>
                    <w:t>$99,90</w:t>
                  </w:r>
                </w:p>
              </w:tc>
              <w:tc>
                <w:tcPr>
                  <w:tcW w:type="auto" w:w="0"/>
                  <w:shd w:val="clear" w:color="auto" w:fill="F0F0F0"/>
                </w:tcPr>
                <w:p>
                  <w:pPr>
                    <w:pStyle w:val="Normal"/>
                    <w:keepLines w:val="on"/>
                  </w:pPr>
                  <w:r>
                    <w:t>$31,47</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$63,23</w:t>
                  </w:r>
                </w:p>
              </w:tc>
              <w:tc>
                <w:tcPr>
                  <w:tcW w:type="auto" w:w="0"/>
                  <w:shd w:val="clear" w:color="auto" w:fill="F0F0F0"/>
                </w:tcPr>
                <w:p>
                  <w:pPr>
                    <w:pStyle w:val="Normal"/>
                    <w:keepLines w:val="on"/>
                  </w:pPr>
                  <w:r>
                    <w:t>$15,81</w:t>
                  </w:r>
                </w:p>
              </w:tc>
              <w:tc>
                <w:tcPr>
                  <w:tcW w:type="auto" w:w="0"/>
                  <w:shd w:val="clear" w:color="auto" w:fill="F0F0F0"/>
                </w:tcPr>
                <w:p>
                  <w:pPr>
                    <w:pStyle w:val="Normal"/>
                    <w:keepLines w:val="on"/>
                  </w:pPr>
                  <w:r>
                    <w:t>$47,42</w:t>
                  </w:r>
                </w:p>
              </w:tc>
            </w:tr>
            <w:tr>
              <w:tc>
                <w:tcPr>
                  <w:tcW w:type="auto" w:w="0"/>
                  <w:shd w:val="clear" w:color="auto" w:fill="F0F0F0"/>
                </w:tcPr>
                <w:p>
                  <w:pPr>
                    <w:pStyle w:val="Normal"/>
                    <w:keepLines w:val="on"/>
                  </w:pPr>
                  <w:r>
                    <w:t>14</w:t>
                  </w:r>
                </w:p>
              </w:tc>
              <w:tc>
                <w:tcPr>
                  <w:tcW w:type="auto" w:w="0"/>
                  <w:shd w:val="clear" w:color="auto" w:fill="F0F0F0"/>
                </w:tcPr>
                <w:p>
                  <w:pPr>
                    <w:pStyle w:val="Normal"/>
                    <w:keepLines w:val="on"/>
                  </w:pPr>
                  <w:r>
                    <w:t>$103,90</w:t>
                  </w:r>
                </w:p>
              </w:tc>
              <w:tc>
                <w:tcPr>
                  <w:tcW w:type="auto" w:w="0"/>
                  <w:shd w:val="clear" w:color="auto" w:fill="F0F0F0"/>
                </w:tcPr>
                <w:p>
                  <w:pPr>
                    <w:pStyle w:val="Normal"/>
                    <w:keepLines w:val="on"/>
                  </w:pPr>
                  <w:r>
                    <w:t>$32,50</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$66,20</w:t>
                  </w:r>
                </w:p>
              </w:tc>
              <w:tc>
                <w:tcPr>
                  <w:tcW w:type="auto" w:w="0"/>
                  <w:shd w:val="clear" w:color="auto" w:fill="F0F0F0"/>
                </w:tcPr>
                <w:p>
                  <w:pPr>
                    <w:pStyle w:val="Normal"/>
                    <w:keepLines w:val="on"/>
                  </w:pPr>
                  <w:r>
                    <w:t>$16,55</w:t>
                  </w:r>
                </w:p>
              </w:tc>
              <w:tc>
                <w:tcPr>
                  <w:tcW w:type="auto" w:w="0"/>
                  <w:shd w:val="clear" w:color="auto" w:fill="F0F0F0"/>
                </w:tcPr>
                <w:p>
                  <w:pPr>
                    <w:pStyle w:val="Normal"/>
                    <w:keepLines w:val="on"/>
                  </w:pPr>
                  <w:r>
                    <w:t>$49,65</w:t>
                  </w:r>
                </w:p>
              </w:tc>
            </w:tr>
            <w:tr>
              <w:tc>
                <w:tcPr>
                  <w:tcW w:type="auto" w:w="0"/>
                  <w:shd w:val="clear" w:color="auto" w:fill="F0F0F0"/>
                </w:tcPr>
                <w:p>
                  <w:pPr>
                    <w:pStyle w:val="Normal"/>
                    <w:keepLines w:val="on"/>
                  </w:pPr>
                  <w:r>
                    <w:t>15</w:t>
                  </w:r>
                </w:p>
              </w:tc>
              <w:tc>
                <w:tcPr>
                  <w:tcW w:type="auto" w:w="0"/>
                  <w:shd w:val="clear" w:color="auto" w:fill="F0F0F0"/>
                </w:tcPr>
                <w:p>
                  <w:pPr>
                    <w:pStyle w:val="Normal"/>
                    <w:keepLines w:val="on"/>
                  </w:pPr>
                  <w:r>
                    <w:t>$108,06</w:t>
                  </w:r>
                </w:p>
              </w:tc>
              <w:tc>
                <w:tcPr>
                  <w:tcW w:type="auto" w:w="0"/>
                  <w:shd w:val="clear" w:color="auto" w:fill="F0F0F0"/>
                </w:tcPr>
                <w:p>
                  <w:pPr>
                    <w:pStyle w:val="Normal"/>
                    <w:keepLines w:val="on"/>
                  </w:pPr>
                  <w:r>
                    <w:t>$33,56</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$69,29</w:t>
                  </w:r>
                </w:p>
              </w:tc>
              <w:tc>
                <w:tcPr>
                  <w:tcW w:type="auto" w:w="0"/>
                  <w:shd w:val="clear" w:color="auto" w:fill="F0F0F0"/>
                </w:tcPr>
                <w:p>
                  <w:pPr>
                    <w:pStyle w:val="Normal"/>
                    <w:keepLines w:val="on"/>
                  </w:pPr>
                  <w:r>
                    <w:t>$17,32</w:t>
                  </w:r>
                </w:p>
              </w:tc>
              <w:tc>
                <w:tcPr>
                  <w:tcW w:type="auto" w:w="0"/>
                  <w:shd w:val="clear" w:color="auto" w:fill="F0F0F0"/>
                </w:tcPr>
                <w:p>
                  <w:pPr>
                    <w:pStyle w:val="Normal"/>
                    <w:keepLines w:val="on"/>
                  </w:pPr>
                  <w:r>
                    <w:t>$51,97</w:t>
                  </w:r>
                </w:p>
              </w:tc>
            </w:tr>
          </w:tbl>
          <w:p/>
        </w:tc>
      </w:tr>
    </w:tbl>
    <w:p>
      <w:pPr>
        <w:pStyle w:val="Para 04"/>
        <w:keepLines w:val="on"/>
      </w:pPr>
      <w:r>
        <w:t>Lưu ý rằng công ty có đủ khoản lỗ lũy kế để che chắn hoàn toàn thu nhập khỏi thuế từ năm 6 đến năm 10 và che chắn một phần trong năm 11. Cộng lại khấu hao và trừ đi chi phí duy trì vốn sẽ cho ra dòng tiền tự do của doanh nghiệp (free cashflow to the firm), rồi chiết khấu ngược lại theo chi phí vốn lũy kế sẽ cho ra giá trị hiện tại của dòng tiền tự do của doanh nghiệp (xem Bảng 22.5):</w:t>
      </w:r>
    </w:p>
    <w:p>
      <w:pPr>
        <w:pStyle w:val="Para 25"/>
        <w:keepLines w:val="on"/>
      </w:pPr>
      <w:r>
        <w:t>Bảng 22.5</w:t>
      </w:r>
    </w:p>
    <w:p>
      <w:pPr>
        <w:keepNext/>
        <w:pStyle w:val="Para 24"/>
        <w:keepLines w:val="on"/>
      </w:pPr>
      <w:r>
        <w:t>Dòng tiền và giá trị hiện tại</w:t>
      </w:r>
    </w:p>
    <w:tbl>
      <w:tblPr>
        <w:tblW w:type="auto" w:w="0"/>
      </w:tblPr>
      <w:tr>
        <w:tc>
          <w:tcPr>
            <w:tcW w:type="auto" w:w="0"/>
          </w:tcPr>
          <w:tbl>
            <w:tblPr>
              <w:tblW w:type="auto" w:w="0"/>
            </w:tblPr>
            <w:tr>
              <w:tc>
                <w:tcPr>
                  <w:tcW w:type="auto" w:w="0"/>
                  <w:shd w:val="clear" w:color="auto" w:fill="F0F0F0"/>
                  <w:vAlign w:val="bottom"/>
                </w:tcPr>
                <w:p>
                  <w:pPr>
                    <w:pStyle w:val="Para 05"/>
                    <w:keepLines w:val="on"/>
                  </w:pPr>
                  <w:r>
                    <w:t>Năm</w:t>
                  </w:r>
                </w:p>
              </w:tc>
              <w:tc>
                <w:tcPr>
                  <w:tcW w:type="auto" w:w="0"/>
                  <w:shd w:val="clear" w:color="auto" w:fill="F0F0F0"/>
                  <w:vAlign w:val="bottom"/>
                </w:tcPr>
                <w:p>
                  <w:pPr>
                    <w:pStyle w:val="Para 05"/>
                    <w:keepLines w:val="on"/>
                  </w:pPr>
                  <w:r>
                    <w:t>EBIT (1−t)</w:t>
                  </w:r>
                </w:p>
              </w:tc>
              <w:tc>
                <w:tcPr>
                  <w:tcW w:type="auto" w:w="0"/>
                  <w:shd w:val="clear" w:color="auto" w:fill="F0F0F0"/>
                  <w:vAlign w:val="bottom"/>
                </w:tcPr>
                <w:p>
                  <w:pPr>
                    <w:pStyle w:val="Para 05"/>
                    <w:keepLines w:val="on"/>
                  </w:pPr>
                  <w:r>
                    <w:t>+ Khấu hao</w:t>
                  </w:r>
                </w:p>
              </w:tc>
              <w:tc>
                <w:tcPr>
                  <w:tcW w:type="auto" w:w="0"/>
                  <w:shd w:val="clear" w:color="auto" w:fill="F0F0F0"/>
                  <w:vAlign w:val="bottom"/>
                </w:tcPr>
                <w:p>
                  <w:pPr>
                    <w:pStyle w:val="Para 05"/>
                    <w:keepLines w:val="on"/>
                  </w:pPr>
                  <w:r>
                    <w:t>− Chi phí duy trì vốn</w:t>
                  </w:r>
                </w:p>
              </w:tc>
              <w:tc>
                <w:tcPr>
                  <w:tcW w:type="auto" w:w="0"/>
                  <w:shd w:val="clear" w:color="auto" w:fill="F0F0F0"/>
                  <w:vAlign w:val="bottom"/>
                </w:tcPr>
                <w:p>
                  <w:pPr>
                    <w:pStyle w:val="Para 05"/>
                    <w:keepLines w:val="on"/>
                  </w:pPr>
                  <w:r>
                    <w:t>FCFF</w:t>
                  </w:r>
                </w:p>
              </w:tc>
              <w:tc>
                <w:tcPr>
                  <w:tcW w:type="auto" w:w="0"/>
                  <w:shd w:val="clear" w:color="auto" w:fill="F0F0F0"/>
                  <w:vAlign w:val="bottom"/>
                </w:tcPr>
                <w:p>
                  <w:pPr>
                    <w:pStyle w:val="Para 05"/>
                    <w:keepLines w:val="on"/>
                  </w:pPr>
                  <w:r>
                    <w:t>WACC4</w:t>
                  </w:r>
                </w:p>
              </w:tc>
              <w:tc>
                <w:tcPr>
                  <w:tcW w:type="auto" w:w="0"/>
                  <w:shd w:val="clear" w:color="auto" w:fill="F0F0F0"/>
                  <w:vAlign w:val="bottom"/>
                </w:tcPr>
                <w:p>
                  <w:pPr>
                    <w:pStyle w:val="Para 05"/>
                    <w:keepLines w:val="on"/>
                  </w:pPr>
                  <w:r>
                    <w:t>WACC lũy kế5</w:t>
                  </w:r>
                </w:p>
              </w:tc>
              <w:tc>
                <w:tcPr>
                  <w:tcW w:type="auto" w:w="0"/>
                  <w:shd w:val="clear" w:color="auto" w:fill="F0F0F0"/>
                  <w:vAlign w:val="bottom"/>
                </w:tcPr>
                <w:p>
                  <w:pPr>
                    <w:pStyle w:val="Para 05"/>
                    <w:keepLines w:val="on"/>
                  </w:pPr>
                  <w:r>
                    <w:t>PV</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$45.53</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$2.08</w:t>
                  </w:r>
                </w:p>
              </w:tc>
              <w:tc>
                <w:tcPr>
                  <w:tcW w:type="auto" w:w="0"/>
                  <w:shd w:val="clear" w:color="auto" w:fill="F0F0F0"/>
                </w:tcPr>
                <w:p>
                  <w:pPr>
                    <w:pStyle w:val="Normal"/>
                    <w:keepLines w:val="on"/>
                  </w:pPr>
                  <w:r>
                    <w:t>$48.65</w:t>
                  </w:r>
                </w:p>
              </w:tc>
              <w:tc>
                <w:tcPr>
                  <w:tcW w:type="auto" w:w="0"/>
                  <w:shd w:val="clear" w:color="auto" w:fill="F0F0F0"/>
                </w:tcPr>
                <w:p>
                  <w:pPr>
                    <w:pStyle w:val="Normal"/>
                    <w:keepLines w:val="on"/>
                  </w:pPr>
                  <w:r>
                    <w:t>9.20%</w:t>
                  </w:r>
                </w:p>
              </w:tc>
              <w:tc>
                <w:tcPr>
                  <w:tcW w:type="auto" w:w="0"/>
                  <w:shd w:val="clear" w:color="auto" w:fill="F0F0F0"/>
                </w:tcPr>
                <w:p>
                  <w:pPr>
                    <w:pStyle w:val="Normal"/>
                    <w:keepLines w:val="on"/>
                  </w:pPr>
                  <w:r>
                    <w:t>1.3937</w:t>
                  </w:r>
                </w:p>
              </w:tc>
              <w:tc>
                <w:tcPr>
                  <w:tcW w:type="auto" w:w="0"/>
                  <w:shd w:val="clear" w:color="auto" w:fill="F0F0F0"/>
                </w:tcPr>
                <w:p>
                  <w:pPr>
                    <w:pStyle w:val="Normal"/>
                    <w:keepLines w:val="on"/>
                  </w:pPr>
                  <w:r>
                    <w:t>$34.91</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$47.76</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$2.08</w:t>
                  </w:r>
                </w:p>
              </w:tc>
              <w:tc>
                <w:tcPr>
                  <w:tcW w:type="auto" w:w="0"/>
                  <w:shd w:val="clear" w:color="auto" w:fill="F0F0F0"/>
                </w:tcPr>
                <w:p>
                  <w:pPr>
                    <w:pStyle w:val="Normal"/>
                    <w:keepLines w:val="on"/>
                  </w:pPr>
                  <w:r>
                    <w:t>$50.88</w:t>
                  </w:r>
                </w:p>
              </w:tc>
              <w:tc>
                <w:tcPr>
                  <w:tcW w:type="auto" w:w="0"/>
                  <w:shd w:val="clear" w:color="auto" w:fill="F0F0F0"/>
                </w:tcPr>
                <w:p>
                  <w:pPr>
                    <w:pStyle w:val="Normal"/>
                    <w:keepLines w:val="on"/>
                  </w:pPr>
                  <w:r>
                    <w:t>9.20%</w:t>
                  </w:r>
                </w:p>
              </w:tc>
              <w:tc>
                <w:tcPr>
                  <w:tcW w:type="auto" w:w="0"/>
                  <w:shd w:val="clear" w:color="auto" w:fill="F0F0F0"/>
                </w:tcPr>
                <w:p>
                  <w:pPr>
                    <w:pStyle w:val="Normal"/>
                    <w:keepLines w:val="on"/>
                  </w:pPr>
                  <w:r>
                    <w:t>1.5219</w:t>
                  </w:r>
                </w:p>
              </w:tc>
              <w:tc>
                <w:tcPr>
                  <w:tcW w:type="auto" w:w="0"/>
                  <w:shd w:val="clear" w:color="auto" w:fill="F0F0F0"/>
                </w:tcPr>
                <w:p>
                  <w:pPr>
                    <w:pStyle w:val="Normal"/>
                    <w:keepLines w:val="on"/>
                  </w:pPr>
                  <w:r>
                    <w:t>$33.43</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$50.08</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$2.08</w:t>
                  </w:r>
                </w:p>
              </w:tc>
              <w:tc>
                <w:tcPr>
                  <w:tcW w:type="auto" w:w="0"/>
                  <w:shd w:val="clear" w:color="auto" w:fill="F0F0F0"/>
                </w:tcPr>
                <w:p>
                  <w:pPr>
                    <w:pStyle w:val="Normal"/>
                    <w:keepLines w:val="on"/>
                  </w:pPr>
                  <w:r>
                    <w:t>$53.21</w:t>
                  </w:r>
                </w:p>
              </w:tc>
              <w:tc>
                <w:tcPr>
                  <w:tcW w:type="auto" w:w="0"/>
                  <w:shd w:val="clear" w:color="auto" w:fill="F0F0F0"/>
                </w:tcPr>
                <w:p>
                  <w:pPr>
                    <w:pStyle w:val="Normal"/>
                    <w:keepLines w:val="on"/>
                  </w:pPr>
                  <w:r>
                    <w:t>9.20%</w:t>
                  </w:r>
                </w:p>
              </w:tc>
              <w:tc>
                <w:tcPr>
                  <w:tcW w:type="auto" w:w="0"/>
                  <w:shd w:val="clear" w:color="auto" w:fill="F0F0F0"/>
                </w:tcPr>
                <w:p>
                  <w:pPr>
                    <w:pStyle w:val="Normal"/>
                    <w:keepLines w:val="on"/>
                  </w:pPr>
                  <w:r>
                    <w:t>1.6619</w:t>
                  </w:r>
                </w:p>
              </w:tc>
              <w:tc>
                <w:tcPr>
                  <w:tcW w:type="auto" w:w="0"/>
                  <w:shd w:val="clear" w:color="auto" w:fill="F0F0F0"/>
                </w:tcPr>
                <w:p>
                  <w:pPr>
                    <w:pStyle w:val="Normal"/>
                    <w:keepLines w:val="on"/>
                  </w:pPr>
                  <w:r>
                    <w:t>$32.01</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$52.50</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$2.08</w:t>
                  </w:r>
                </w:p>
              </w:tc>
              <w:tc>
                <w:tcPr>
                  <w:tcW w:type="auto" w:w="0"/>
                  <w:shd w:val="clear" w:color="auto" w:fill="F0F0F0"/>
                </w:tcPr>
                <w:p>
                  <w:pPr>
                    <w:pStyle w:val="Normal"/>
                    <w:keepLines w:val="on"/>
                  </w:pPr>
                  <w:r>
                    <w:t>$55.63</w:t>
                  </w:r>
                </w:p>
              </w:tc>
              <w:tc>
                <w:tcPr>
                  <w:tcW w:type="auto" w:w="0"/>
                  <w:shd w:val="clear" w:color="auto" w:fill="F0F0F0"/>
                </w:tcPr>
                <w:p>
                  <w:pPr>
                    <w:pStyle w:val="Normal"/>
                    <w:keepLines w:val="on"/>
                  </w:pPr>
                  <w:r>
                    <w:t>9,20%</w:t>
                  </w:r>
                </w:p>
              </w:tc>
              <w:tc>
                <w:tcPr>
                  <w:tcW w:type="auto" w:w="0"/>
                  <w:shd w:val="clear" w:color="auto" w:fill="F0F0F0"/>
                </w:tcPr>
                <w:p>
                  <w:pPr>
                    <w:pStyle w:val="Normal"/>
                    <w:keepLines w:val="on"/>
                  </w:pPr>
                  <w:r>
                    <w:t>1.8148</w:t>
                  </w:r>
                </w:p>
              </w:tc>
              <w:tc>
                <w:tcPr>
                  <w:tcW w:type="auto" w:w="0"/>
                  <w:shd w:val="clear" w:color="auto" w:fill="F0F0F0"/>
                </w:tcPr>
                <w:p>
                  <w:pPr>
                    <w:pStyle w:val="Normal"/>
                    <w:keepLines w:val="on"/>
                  </w:pPr>
                  <w:r>
                    <w:t>$30.65</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$55.02</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$2.08</w:t>
                  </w:r>
                </w:p>
              </w:tc>
              <w:tc>
                <w:tcPr>
                  <w:tcW w:type="auto" w:w="0"/>
                  <w:shd w:val="clear" w:color="auto" w:fill="F0F0F0"/>
                </w:tcPr>
                <w:p>
                  <w:pPr>
                    <w:pStyle w:val="Normal"/>
                    <w:keepLines w:val="on"/>
                  </w:pPr>
                  <w:r>
                    <w:t>$58.15</w:t>
                  </w:r>
                </w:p>
              </w:tc>
              <w:tc>
                <w:tcPr>
                  <w:tcW w:type="auto" w:w="0"/>
                  <w:shd w:val="clear" w:color="auto" w:fill="F0F0F0"/>
                </w:tcPr>
                <w:p>
                  <w:pPr>
                    <w:pStyle w:val="Normal"/>
                    <w:keepLines w:val="on"/>
                  </w:pPr>
                  <w:r>
                    <w:t>9,20%</w:t>
                  </w:r>
                </w:p>
              </w:tc>
              <w:tc>
                <w:tcPr>
                  <w:tcW w:type="auto" w:w="0"/>
                  <w:shd w:val="clear" w:color="auto" w:fill="F0F0F0"/>
                </w:tcPr>
                <w:p>
                  <w:pPr>
                    <w:pStyle w:val="Normal"/>
                    <w:keepLines w:val="on"/>
                  </w:pPr>
                  <w:r>
                    <w:t>1.9818</w:t>
                  </w:r>
                </w:p>
              </w:tc>
              <w:tc>
                <w:tcPr>
                  <w:tcW w:type="auto" w:w="0"/>
                  <w:shd w:val="clear" w:color="auto" w:fill="F0F0F0"/>
                </w:tcPr>
                <w:p>
                  <w:pPr>
                    <w:pStyle w:val="Normal"/>
                    <w:keepLines w:val="on"/>
                  </w:pPr>
                  <w:r>
                    <w:t>$29.34</w:t>
                  </w:r>
                </w:p>
              </w:tc>
            </w:tr>
            <w:tr>
              <w:tc>
                <w:tcPr>
                  <w:tcW w:type="auto" w:w="0"/>
                  <w:shd w:val="clear" w:color="auto" w:fill="F0F0F0"/>
                </w:tcPr>
                <w:p>
                  <w:pPr>
                    <w:pStyle w:val="Normal"/>
                    <w:keepLines w:val="on"/>
                  </w:pPr>
                  <w:r>
                    <w:t>11</w:t>
                  </w:r>
                </w:p>
              </w:tc>
              <w:tc>
                <w:tcPr>
                  <w:tcW w:type="auto" w:w="0"/>
                  <w:shd w:val="clear" w:color="auto" w:fill="F0F0F0"/>
                </w:tcPr>
                <w:p>
                  <w:pPr>
                    <w:pStyle w:val="Normal"/>
                    <w:keepLines w:val="on"/>
                  </w:pPr>
                  <w:r>
                    <w:t>$45.56</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$2.08</w:t>
                  </w:r>
                </w:p>
              </w:tc>
              <w:tc>
                <w:tcPr>
                  <w:tcW w:type="auto" w:w="0"/>
                  <w:shd w:val="clear" w:color="auto" w:fill="F0F0F0"/>
                </w:tcPr>
                <w:p>
                  <w:pPr>
                    <w:pStyle w:val="Normal"/>
                    <w:keepLines w:val="on"/>
                  </w:pPr>
                  <w:r>
                    <w:t>$48.68</w:t>
                  </w:r>
                </w:p>
              </w:tc>
              <w:tc>
                <w:tcPr>
                  <w:tcW w:type="auto" w:w="0"/>
                  <w:shd w:val="clear" w:color="auto" w:fill="F0F0F0"/>
                </w:tcPr>
                <w:p>
                  <w:pPr>
                    <w:pStyle w:val="Normal"/>
                    <w:keepLines w:val="on"/>
                  </w:pPr>
                  <w:r>
                    <w:t>8,78%</w:t>
                  </w:r>
                </w:p>
              </w:tc>
              <w:tc>
                <w:tcPr>
                  <w:tcW w:type="auto" w:w="0"/>
                  <w:shd w:val="clear" w:color="auto" w:fill="F0F0F0"/>
                </w:tcPr>
                <w:p>
                  <w:pPr>
                    <w:pStyle w:val="Normal"/>
                    <w:keepLines w:val="on"/>
                  </w:pPr>
                  <w:r>
                    <w:t>2.1558</w:t>
                  </w:r>
                </w:p>
              </w:tc>
              <w:tc>
                <w:tcPr>
                  <w:tcW w:type="auto" w:w="0"/>
                  <w:shd w:val="clear" w:color="auto" w:fill="F0F0F0"/>
                </w:tcPr>
                <w:p>
                  <w:pPr>
                    <w:pStyle w:val="Normal"/>
                    <w:keepLines w:val="on"/>
                  </w:pPr>
                  <w:r>
                    <w:t>$22,58</w:t>
                  </w:r>
                </w:p>
              </w:tc>
            </w:tr>
            <w:tr>
              <w:tc>
                <w:tcPr>
                  <w:tcW w:type="auto" w:w="0"/>
                  <w:shd w:val="clear" w:color="auto" w:fill="F0F0F0"/>
                </w:tcPr>
                <w:p>
                  <w:pPr>
                    <w:pStyle w:val="Normal"/>
                    <w:keepLines w:val="on"/>
                  </w:pPr>
                  <w:r>
                    <w:t>12</w:t>
                  </w:r>
                </w:p>
              </w:tc>
              <w:tc>
                <w:tcPr>
                  <w:tcW w:type="auto" w:w="0"/>
                  <w:shd w:val="clear" w:color="auto" w:fill="F0F0F0"/>
                </w:tcPr>
                <w:p>
                  <w:pPr>
                    <w:pStyle w:val="Normal"/>
                    <w:keepLines w:val="on"/>
                  </w:pPr>
                  <w:r>
                    <w:t>$45,29</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$2,08</w:t>
                  </w:r>
                </w:p>
              </w:tc>
              <w:tc>
                <w:tcPr>
                  <w:tcW w:type="auto" w:w="0"/>
                  <w:shd w:val="clear" w:color="auto" w:fill="F0F0F0"/>
                </w:tcPr>
                <w:p>
                  <w:pPr>
                    <w:pStyle w:val="Normal"/>
                    <w:keepLines w:val="on"/>
                  </w:pPr>
                  <w:r>
                    <w:t>$48,41</w:t>
                  </w:r>
                </w:p>
              </w:tc>
              <w:tc>
                <w:tcPr>
                  <w:tcW w:type="auto" w:w="0"/>
                  <w:shd w:val="clear" w:color="auto" w:fill="F0F0F0"/>
                </w:tcPr>
                <w:p>
                  <w:pPr>
                    <w:pStyle w:val="Normal"/>
                    <w:keepLines w:val="on"/>
                  </w:pPr>
                  <w:r>
                    <w:t>8,70%</w:t>
                  </w:r>
                </w:p>
              </w:tc>
              <w:tc>
                <w:tcPr>
                  <w:tcW w:type="auto" w:w="0"/>
                  <w:shd w:val="clear" w:color="auto" w:fill="F0F0F0"/>
                </w:tcPr>
                <w:p>
                  <w:pPr>
                    <w:pStyle w:val="Normal"/>
                    <w:keepLines w:val="on"/>
                  </w:pPr>
                  <w:r>
                    <w:t>2,3434</w:t>
                  </w:r>
                </w:p>
              </w:tc>
              <w:tc>
                <w:tcPr>
                  <w:tcW w:type="auto" w:w="0"/>
                  <w:shd w:val="clear" w:color="auto" w:fill="F0F0F0"/>
                </w:tcPr>
                <w:p>
                  <w:pPr>
                    <w:pStyle w:val="Normal"/>
                    <w:keepLines w:val="on"/>
                  </w:pPr>
                  <w:r>
                    <w:t>$20,66</w:t>
                  </w:r>
                </w:p>
              </w:tc>
            </w:tr>
            <w:tr>
              <w:tc>
                <w:tcPr>
                  <w:tcW w:type="auto" w:w="0"/>
                  <w:shd w:val="clear" w:color="auto" w:fill="F0F0F0"/>
                </w:tcPr>
                <w:p>
                  <w:pPr>
                    <w:pStyle w:val="Normal"/>
                    <w:keepLines w:val="on"/>
                  </w:pPr>
                  <w:r>
                    <w:t>13</w:t>
                  </w:r>
                </w:p>
              </w:tc>
              <w:tc>
                <w:tcPr>
                  <w:tcW w:type="auto" w:w="0"/>
                  <w:shd w:val="clear" w:color="auto" w:fill="F0F0F0"/>
                </w:tcPr>
                <w:p>
                  <w:pPr>
                    <w:pStyle w:val="Normal"/>
                    <w:keepLines w:val="on"/>
                  </w:pPr>
                  <w:r>
                    <w:t>$47,42</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$2,08</w:t>
                  </w:r>
                </w:p>
              </w:tc>
              <w:tc>
                <w:tcPr>
                  <w:tcW w:type="auto" w:w="0"/>
                  <w:shd w:val="clear" w:color="auto" w:fill="F0F0F0"/>
                </w:tcPr>
                <w:p>
                  <w:pPr>
                    <w:pStyle w:val="Normal"/>
                    <w:keepLines w:val="on"/>
                  </w:pPr>
                  <w:r>
                    <w:t>$50,55</w:t>
                  </w:r>
                </w:p>
              </w:tc>
              <w:tc>
                <w:tcPr>
                  <w:tcW w:type="auto" w:w="0"/>
                  <w:shd w:val="clear" w:color="auto" w:fill="F0F0F0"/>
                </w:tcPr>
                <w:p>
                  <w:pPr>
                    <w:pStyle w:val="Normal"/>
                    <w:keepLines w:val="on"/>
                  </w:pPr>
                  <w:r>
                    <w:t>8,70%</w:t>
                  </w:r>
                </w:p>
              </w:tc>
              <w:tc>
                <w:tcPr>
                  <w:tcW w:type="auto" w:w="0"/>
                  <w:shd w:val="clear" w:color="auto" w:fill="F0F0F0"/>
                </w:tcPr>
                <w:p>
                  <w:pPr>
                    <w:pStyle w:val="Normal"/>
                    <w:keepLines w:val="on"/>
                  </w:pPr>
                  <w:r>
                    <w:t>2,5472</w:t>
                  </w:r>
                </w:p>
              </w:tc>
              <w:tc>
                <w:tcPr>
                  <w:tcW w:type="auto" w:w="0"/>
                  <w:shd w:val="clear" w:color="auto" w:fill="F0F0F0"/>
                </w:tcPr>
                <w:p>
                  <w:pPr>
                    <w:pStyle w:val="Normal"/>
                    <w:keepLines w:val="on"/>
                  </w:pPr>
                  <w:r>
                    <w:t>$19,84</w:t>
                  </w:r>
                </w:p>
              </w:tc>
            </w:tr>
            <w:tr>
              <w:tc>
                <w:tcPr>
                  <w:tcW w:type="auto" w:w="0"/>
                  <w:shd w:val="clear" w:color="auto" w:fill="F0F0F0"/>
                </w:tcPr>
                <w:p>
                  <w:pPr>
                    <w:pStyle w:val="Normal"/>
                    <w:keepLines w:val="on"/>
                  </w:pPr>
                  <w:r>
                    <w:t>14</w:t>
                  </w:r>
                </w:p>
              </w:tc>
              <w:tc>
                <w:tcPr>
                  <w:tcW w:type="auto" w:w="0"/>
                  <w:shd w:val="clear" w:color="auto" w:fill="F0F0F0"/>
                </w:tcPr>
                <w:p>
                  <w:pPr>
                    <w:pStyle w:val="Normal"/>
                    <w:keepLines w:val="on"/>
                  </w:pPr>
                  <w:r>
                    <w:t>$49,65</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$2,08</w:t>
                  </w:r>
                </w:p>
              </w:tc>
              <w:tc>
                <w:tcPr>
                  <w:tcW w:type="auto" w:w="0"/>
                  <w:shd w:val="clear" w:color="auto" w:fill="F0F0F0"/>
                </w:tcPr>
                <w:p>
                  <w:pPr>
                    <w:pStyle w:val="Normal"/>
                    <w:keepLines w:val="on"/>
                  </w:pPr>
                  <w:r>
                    <w:t>$52,77</w:t>
                  </w:r>
                </w:p>
              </w:tc>
              <w:tc>
                <w:tcPr>
                  <w:tcW w:type="auto" w:w="0"/>
                  <w:shd w:val="clear" w:color="auto" w:fill="F0F0F0"/>
                </w:tcPr>
                <w:p>
                  <w:pPr>
                    <w:pStyle w:val="Normal"/>
                    <w:keepLines w:val="on"/>
                  </w:pPr>
                  <w:r>
                    <w:t>8,70%</w:t>
                  </w:r>
                </w:p>
              </w:tc>
              <w:tc>
                <w:tcPr>
                  <w:tcW w:type="auto" w:w="0"/>
                  <w:shd w:val="clear" w:color="auto" w:fill="F0F0F0"/>
                </w:tcPr>
                <w:p>
                  <w:pPr>
                    <w:pStyle w:val="Normal"/>
                    <w:keepLines w:val="on"/>
                  </w:pPr>
                  <w:r>
                    <w:t>2,7689</w:t>
                  </w:r>
                </w:p>
              </w:tc>
              <w:tc>
                <w:tcPr>
                  <w:tcW w:type="auto" w:w="0"/>
                  <w:shd w:val="clear" w:color="auto" w:fill="F0F0F0"/>
                </w:tcPr>
                <w:p>
                  <w:pPr>
                    <w:pStyle w:val="Normal"/>
                    <w:keepLines w:val="on"/>
                  </w:pPr>
                  <w:r>
                    <w:t>$19,06</w:t>
                  </w:r>
                </w:p>
              </w:tc>
            </w:tr>
            <w:tr>
              <w:tc>
                <w:tcPr>
                  <w:tcW w:type="auto" w:w="0"/>
                  <w:shd w:val="clear" w:color="auto" w:fill="F0F0F0"/>
                </w:tcPr>
                <w:p>
                  <w:pPr>
                    <w:pStyle w:val="Normal"/>
                    <w:keepLines w:val="on"/>
                  </w:pPr>
                  <w:r>
                    <w:t>15</w:t>
                  </w:r>
                </w:p>
              </w:tc>
              <w:tc>
                <w:tcPr>
                  <w:tcW w:type="auto" w:w="0"/>
                  <w:shd w:val="clear" w:color="auto" w:fill="F0F0F0"/>
                </w:tcPr>
                <w:p>
                  <w:pPr>
                    <w:pStyle w:val="Normal"/>
                    <w:keepLines w:val="on"/>
                  </w:pPr>
                  <w:r>
                    <w:t>$51,97</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$2,08</w:t>
                  </w:r>
                </w:p>
              </w:tc>
              <w:tc>
                <w:tcPr>
                  <w:tcW w:type="auto" w:w="0"/>
                  <w:shd w:val="clear" w:color="auto" w:fill="F0F0F0"/>
                </w:tcPr>
                <w:p>
                  <w:pPr>
                    <w:pStyle w:val="Normal"/>
                    <w:keepLines w:val="on"/>
                  </w:pPr>
                  <w:r>
                    <w:t>$55,09</w:t>
                  </w:r>
                </w:p>
              </w:tc>
              <w:tc>
                <w:tcPr>
                  <w:tcW w:type="auto" w:w="0"/>
                  <w:shd w:val="clear" w:color="auto" w:fill="F0F0F0"/>
                </w:tcPr>
                <w:p>
                  <w:pPr>
                    <w:pStyle w:val="Normal"/>
                    <w:keepLines w:val="on"/>
                  </w:pPr>
                  <w:r>
                    <w:t>8,70%</w:t>
                  </w:r>
                </w:p>
              </w:tc>
              <w:tc>
                <w:tcPr>
                  <w:tcW w:type="auto" w:w="0"/>
                  <w:shd w:val="clear" w:color="auto" w:fill="F0F0F0"/>
                </w:tcPr>
                <w:p>
                  <w:pPr>
                    <w:pStyle w:val="Normal"/>
                    <w:keepLines w:val="on"/>
                  </w:pPr>
                  <w:r>
                    <w:t>3,0097</w:t>
                  </w:r>
                </w:p>
              </w:tc>
              <w:tc>
                <w:tcPr>
                  <w:tcW w:type="auto" w:w="0"/>
                  <w:shd w:val="clear" w:color="auto" w:fill="F0F0F0"/>
                </w:tcPr>
                <w:p>
                  <w:pPr>
                    <w:pStyle w:val="Normal"/>
                    <w:keepLines w:val="on"/>
                  </w:pPr>
                  <w:r>
                    <w:t>$18,30</w:t>
                  </w:r>
                </w:p>
              </w:tc>
            </w:tr>
          </w:tbl>
          <w:p/>
        </w:tc>
      </w:tr>
    </w:tbl>
    <w:p>
      <w:pPr>
        <w:pStyle w:val="Para 04"/>
        <w:keepLines w:val="on"/>
      </w:pPr>
      <w:r>
        <w:t>Tổng giá trị hiện tại của dòng tiền kỳ vọng từ năm 6 đến năm 15 là 260,80 triệu đô la. Vào cuối năm 15, khi tốc độ tăng trưởng dòng tiền giảm xuống bằng tỷ lệ lạm phát, chúng ta ước tính giá trị cuối kỳ (terminal value) của dòng tiền từ năm 16–75, sử dụng công thức niên kim tăng trưởng:6</w:t>
      </w:r>
    </w:p>
    <w:p>
      <w:bookmarkStart w:id="4681" w:name="Terminal_value_FCFF15_1_gn__1"/>
      <w:pPr>
        <w:keepNext/>
        <w:pStyle w:val="Para 07"/>
        <w:keepLines w:val="on"/>
      </w:pPr>
      <w:r>
        <w:t>Giá trị cuối kỳ=FCFF15(1+gn)(1−(1+g)n(1+r)n)(Chi phí vốn−g)=55,09(1,02)(1−(1,02)60(1,087)60)(0,087−0,02)=820,24 triệu đô la</w:t>
      </w:r>
      <w:bookmarkEnd w:id="4681"/>
    </w:p>
    <w:p>
      <w:pPr>
        <w:pStyle w:val="Para 04"/>
        <w:keepLines w:val="on"/>
      </w:pPr>
      <w:r>
        <w:t>Để tính giá trị hiện tại của giá trị cuối kỳ, chúng ta sử dụng chi phí vốn tích lũy cho năm 15:</w:t>
      </w:r>
    </w:p>
    <w:p>
      <w:bookmarkStart w:id="4682" w:name="PV_of_terminal_value__820_243_00"/>
      <w:pPr>
        <w:keepNext/>
        <w:pStyle w:val="Para 07"/>
        <w:keepLines w:val="on"/>
      </w:pPr>
      <w:r>
        <w:t>PV của giá trị cuối kỳ=$820,243,0097=$272,53</w:t>
      </w:r>
      <w:bookmarkEnd w:id="4682"/>
    </w:p>
    <w:p>
      <w:pPr>
        <w:pStyle w:val="Para 04"/>
        <w:keepLines w:val="on"/>
      </w:pPr>
      <w:r>
        <w:t>Bây giờ chúng ta có thể ước tính tổng giá trị của con đường thu phí bằng cách cộng giá trị hiện tại của dòng tiền kỳ vọng và giá trị cuối kỳ:</w:t>
      </w:r>
    </w:p>
    <w:p>
      <w:bookmarkStart w:id="4683" w:name="Value_of_toll_road_PV_of_investm"/>
      <w:pPr>
        <w:keepNext/>
        <w:pStyle w:val="Para 07"/>
        <w:keepLines w:val="on"/>
      </w:pPr>
      <w:r>
        <w:t>Giá trị con đường thu phí=PV của chi phí đầu tư+PV của dòng tiền trong năm 6–15 +PV của giá trị cuối kỳ=-$224,87+$260,80+$272,53=308,45 triệu đô la</w:t>
      </w:r>
      <w:bookmarkEnd w:id="4683"/>
    </w:p>
    <w:p>
      <w:pPr>
        <w:pStyle w:val="Para 04"/>
        <w:keepLines w:val="on"/>
      </w:pPr>
      <w:r>
        <w:t>Để ước tính giá trị vốn chủ sở hữu (equity), bạn sẽ trừ đi khoản nợ phải trả, vốn sẽ thay đổi theo thời gian. Vào thời điểm bắt đầu dự án, khi khoản nợ phải trả là 123,38 triệu đô la, giá trị vốn chủ sở hữu trong dự án như sau:</w:t>
      </w:r>
    </w:p>
    <w:p>
      <w:bookmarkStart w:id="4684" w:name="Value_of_equity_Value_of_toll_ro"/>
      <w:pPr>
        <w:keepNext/>
        <w:pStyle w:val="Para 07"/>
        <w:keepLines w:val="on"/>
      </w:pPr>
      <w:r>
        <w:t>Giá trị vốn chủ sở hữu=Giá trị con đường thu phí−Nợ=$308,45−$123,38=185,07 triệu đô la</w:t>
      </w:r>
      <w:bookmarkEnd w:id="4684"/>
    </w:p>
    <w:p>
      <w:bookmarkStart w:id="4685" w:name="Firms_with_Long_Term_Problems"/>
      <w:bookmarkStart w:id="4686" w:name="Firms_with_Long_Term_Problems__I"/>
      <w:pPr>
        <w:keepNext/>
        <w:pStyle w:val="Heading 3"/>
        <w:keepLines w:val="on"/>
      </w:pPr>
      <w:r>
        <w:t>Các công ty có vấn đề dài hạn</w:t>
      </w:r>
      <w:bookmarkEnd w:id="4685"/>
      <w:bookmarkEnd w:id="4686"/>
    </w:p>
    <w:p>
      <w:pPr>
        <w:pStyle w:val="Para 03"/>
      </w:pPr>
      <w:r>
        <w:t>Trong tất cả các định giá được trình bày ở phần trước, thu nhập đã được điều chỉnh hoặc ngay lập tức để phản ánh mức bình thường, hoặc rất nhanh chóng, phản ánh niềm tin của chúng ta rằng thu nhập âm sẽ sớm qua đi. Tuy nhiên, trong một số trường hợp, thu nhập âm là biểu hiện của những vấn đề dài hạn hơn tại công ty. Trong những trường hợp như vậy, chúng ta buộc phải đưa ra phán đoán về việc liệu vấn đề đó có được khắc phục hay không, và nếu có thì khi nào điều đó sẽ xảy ra. Phần này trình bày một loạt các giải pháp cho các công ty ở trong tình huống này.</w:t>
      </w:r>
    </w:p>
    <w:p>
      <w:pPr>
        <w:pStyle w:val="Para 11"/>
      </w:pPr>
      <w:r>
        <w:t/>
        <w:t xml:space="preserve"> </w:t>
      </w:r>
    </w:p>
    <w:p>
      <w:bookmarkStart w:id="4688" w:name="Multiples_and_Normalized_Earning"/>
      <w:bookmarkStart w:id="4689" w:name="Multiples_and_Normalized_Earning_1"/>
      <w:pPr>
        <w:keepNext/>
        <w:pStyle w:val="Para 27"/>
        <w:keepLines w:val="on"/>
      </w:pPr>
      <w:r>
        <w:t>Bội số và thu nhập được chuẩn hóa</w:t>
      </w:r>
      <w:bookmarkEnd w:id="4688"/>
      <w:bookmarkEnd w:id="4689"/>
    </w:p>
    <w:p>
      <w:pPr>
        <w:pStyle w:val="Para 16"/>
        <w:keepLines w:val="on"/>
      </w:pPr>
      <w:r>
        <w:t>Liệu bạn có phải thực hiện những điều chỉnh này đối với thu nhập nếu bạn đang định giá tương đối (relative valuation) thay vì định giá dòng tiền chiết khấu (discounted cash flow valuation)? Câu trả lời nói chung là có, và khi không thực hiện điều chỉnh, bạn đang ngầm giả định rằng thu nhập sẽ được chuẩn hóa.</w:t>
      </w:r>
    </w:p>
    <w:p>
      <w:pPr>
        <w:pStyle w:val="Para 16"/>
        <w:keepLines w:val="on"/>
      </w:pPr>
      <w:r>
        <w:t>Để thấy tại sao, giả sử bạn đang so sánh các công ty thép bằng tỷ lệ giá trên thu nhập (price-earnings ratios) và một trong các công ty trong nhóm của bạn vừa báo cáo thu nhập rất thấp do một cuộc đình công trong năm qua. Nếu bạn không chuẩn hóa thu nhập, công ty này sẽ trông có vẻ bị định giá quá cao so với ngành, vì giá thị trường sẽ dựa trên kỳ vọng rằng những rắc rối về lao động, dù tốn kém, đã là chuyện quá khứ. Nếu bạn sử dụng một bội số như giá trên doanh thu (price-to-sales) để đưa ra các phán đoán định giá tương đối và bạn so sánh tỷ lệ giá trên doanh thu của công ty này với mức trung bình của ngành, bạn đang giả định rằng biên lợi nhuận của công ty sẽ hội tụ về mức trung bình của ngành sớm hơn là muộn.</w:t>
      </w:r>
    </w:p>
    <w:p>
      <w:pPr>
        <w:pStyle w:val="Para 16"/>
        <w:keepLines w:val="on"/>
      </w:pPr>
      <w:r>
        <w:t>Điều gì sẽ xảy ra nếu thu nhập của cả một ngành bị ảnh hưởng bởi một sự kiện? Liệu bạn có vẫn cần chuẩn hóa không? Chúng tôi tin là có. Mặc dù thu nhập của tất cả các cổ phiếu ô tô có thể bị ảnh hưởng bởi một cuộc suy thoái, mức độ ảnh hưởng có thể rất khác nhau tùy thuộc vào sự khác biệt về đòn bẩy hoạt động (operating leverage) và đòn bẩy tài chính (financial leverage). Hơn nữa, bạn sẽ thấy mình không thể tính được các bội số như tỷ lệ giá trên thu nhập cho nhiều công ty trong nhóm bị lỗ trong thời kỳ suy thoái. Sử dụng thu nhập được chuẩn hóa sẽ mang lại các bội số là những thước đo đáng tin cậy hơn về giá trị thực.</w:t>
      </w:r>
    </w:p>
    <w:p>
      <w:bookmarkStart w:id="4690" w:name="Strategic_Problems"/>
      <w:bookmarkStart w:id="4691" w:name="Strategic_Problems__Firms_can_so"/>
      <w:pPr>
        <w:keepNext/>
        <w:pStyle w:val="Heading 4"/>
        <w:keepLines w:val="on"/>
      </w:pPr>
      <w:r>
        <w:t>Các vấn đề chiến lược</w:t>
      </w:r>
      <w:bookmarkEnd w:id="4690"/>
      <w:bookmarkEnd w:id="4691"/>
    </w:p>
    <w:p>
      <w:pPr>
        <w:pStyle w:val="Para 03"/>
      </w:pPr>
      <w:r>
        <w:t>Các công ty đôi khi có thể mắc sai lầm về cơ cấu sản phẩm mà họ cung cấp, các chiến lược tiếp thị mà họ áp dụng, hoặc thậm chí là các thị trường mà họ chọn nhắm đến. Họ thường phải trả một cái giá đáng kể dưới dạng thu nhập âm hoặc thấp hơn và có thể là mất thị phần vĩnh viễn. Hãy xem xét các ví dụ sau:</w:t>
      </w:r>
    </w:p>
    <w:p>
      <w:pPr>
        <w:numPr>
          <w:ilvl w:val="0"/>
          <w:numId w:val="231"/>
        </w:numPr>
        <w:pStyle w:val="Para 01"/>
      </w:pPr>
      <w:r>
        <w:t>IBM nhận thấy vị thế thống trị của mình trong ngành kinh doanh máy tính mainframe và khả năng sinh lời phi thường của mảng kinh doanh đó bị thách thức bởi sự bùng nổ của thị trường máy tính cá nhân vào những năm 1980. Mặc dù IBM có thể đã phát triển hệ điều hành cho máy tính cá nhân từ sớm trong quá trình này, họ đã nhường mảng kinh doanh đó cho một công ty mới nổi tên là Microsoft. Đến năm 1989, IBM đã mất hơn một nửa giá trị thị trường và tỷ suất sinh lời trên vốn chủ sở hữu (return on equity) của họ đã giảm xuống mức một chữ số.7</w:t>
      </w:r>
    </w:p>
    <w:p>
      <w:pPr>
        <w:numPr>
          <w:ilvl w:val="0"/>
          <w:numId w:val="231"/>
        </w:numPr>
        <w:pStyle w:val="Para 01"/>
      </w:pPr>
      <w:r>
        <w:t>Trong nhiều thập kỷ, Xerox thống trị ngành kinh doanh máy photocopy đến mức tên của hãng trở thành đồng nghĩa với chính sản phẩm đó. Vào thập niên 1970 và 1980, hãng bị các công ty châu Á có cơ cấu chi phí thấp hơn như Ricoh và Canon cạnh tranh thị phần. Sau những thất bại ban đầu, Xerox đã giành lại được một phần thị phần của mình. Tuy nhiên, giai đoạn cuối thập niên 1990 chứng kiến sự suy giảm đều đặn trong vận mệnh của Xerox khi công nghệ (dưới dạng email, fax và máy in giá rẻ) gây tổn hại. Đến cuối năm 2000, người ta bắt đầu đặt câu hỏi liệu Xerox có còn tương lai hay không.</w:t>
      </w:r>
    </w:p>
    <w:p>
      <w:pPr>
        <w:numPr>
          <w:ilvl w:val="0"/>
          <w:numId w:val="231"/>
        </w:numPr>
        <w:pStyle w:val="Para 01"/>
      </w:pPr>
      <w:r>
        <w:t>Dưới sự lãnh đạo của Michael Armstrong, AT&amp;T cố gắng gột bỏ hình ảnh một công ty điện thoại cổ hủ để trở thành một công ty công nghệ. Sau một vài thành công ban đầu, hàng loạt sai lầm và các thương vụ mua lại kém cỏi khiến công ty bước vào thiên niên kỷ mới với vốn hóa thị trường sụt giảm nghiêm trọng và không có tầm nhìn rõ ràng về hướng đi tiếp theo.</w:t>
      </w:r>
    </w:p>
    <w:p>
      <w:pPr>
        <w:pStyle w:val="Para 03"/>
      </w:pPr>
      <w:r>
        <w:t>Khi các công ty có lợi nhuận thấp hoặc âm mà nguyên nhân có thể truy nguyên về những bước đi sai lầm trong chiến lược, bạn phải xác định xem sự thay đổi đó có phải là vĩnh viễn hay không. Nếu đúng là vĩnh viễn, bạn sẽ phải định giá công ty với giả định rằng nó sẽ không bao giờ lấy lại được những gì đã mất, đồng thời hạ thấp kỳ vọng về tăng trưởng doanh thu và biên lợi nhuận kỳ vọng. Ngược lại, nếu bạn lạc quan hơn về khả năng phục hồi của công ty hoặc việc công ty thâm nhập vào các thị trường mới, bạn có thể giả định rằng công ty sẽ có thể quay lại mức biên lợi nhuận truyền thống và tăng trưởng cao.</w:t>
      </w:r>
    </w:p>
    <w:p>
      <w:bookmarkStart w:id="4694" w:name="Operating_Problems"/>
      <w:bookmarkStart w:id="4695" w:name="Operating_Problems__Firms_that_a"/>
      <w:pPr>
        <w:keepNext/>
        <w:pStyle w:val="Heading 4"/>
        <w:keepLines w:val="on"/>
      </w:pPr>
      <w:r>
        <w:t>Các vấn đề vận hành</w:t>
      </w:r>
      <w:bookmarkEnd w:id="4694"/>
      <w:bookmarkEnd w:id="4695"/>
    </w:p>
    <w:p>
      <w:pPr>
        <w:pStyle w:val="Para 03"/>
      </w:pPr>
      <w:r>
        <w:t>Những công ty kém hiệu quả hơn đối thủ trong việc cung cấp hàng hóa và dịch vụ cũng sẽ kém sinh lời và kém giá trị hơn. Nhưng bằng cách nào và tại sao các công ty lại trở nên kém hiệu quả? Trong một số trường hợp, nguyên nhân có thể truy nguyên về việc không theo kịp thời đại, không bổ sung tài sản và không cập nhật công nghệ mới nhất. Một công ty thép có nhà máy đã hàng chục năm tuổi và thiết bị lỗi thời thường sẽ chịu chi phí cao hơn cho mỗi tấn thép sản xuất ra so với các đối thủ mới hơn. Trong những trường hợp khác, vấn đề có thể nằm ở chi phí lao động. Một công ty thép có nhà máy tại Hoa Kỳ phải đối mặt với chi phí lao động cao hơn nhiều so với một công ty tương tự ở châu Á.</w:t>
      </w:r>
    </w:p>
    <w:p>
      <w:pPr>
        <w:pStyle w:val="Para 03"/>
      </w:pPr>
      <w:r>
        <w:t>Biến số đo lường hiệu quả vận hành tốt nhất là biên lợi nhuận hoạt động (operating margin), với những công ty gặp vấn đề vận hành thường có biên lợi nhuận thấp hơn nhiều so với đối thủ. Một cách để đưa tác động của việc cải thiện vận hành theo thời gian vào mô hình là nâng dần biên lợi nhuận về mức trung bình của ngành, nhưng tốc độ hội tụ của biên lợi nhuận sẽ phụ thuộc vào một số yếu tố:</w:t>
      </w:r>
    </w:p>
    <w:p>
      <w:pPr>
        <w:numPr>
          <w:ilvl w:val="0"/>
          <w:numId w:val="232"/>
        </w:numPr>
        <w:pStyle w:val="Para 01"/>
      </w:pPr>
      <w:r>
        <w:t>Quy mô của công ty. Nói chung, công ty càng lớn thì càng mất nhiều thời gian để loại bỏ sự kém hiệu quả. Không chỉ vì quán tính là một lực mạnh hơn nhiều ở các công ty lớn, mà còn vì quy mô tuyệt đối của những thay đổi cần thực hiện cũng lớn hơn nhiều. Một công ty có doanh thu 10 tỷ đô la sẽ phải cắt giảm chi phí 300 triệu đô la để đạt mức cải thiện 3% trong biên lợi nhuận hoạt động trước thuế, trong khi một công ty có doanh thu 100 triệu đô la chỉ cần cắt giảm chi phí 3 triệu đô la để đạt cùng mục tiêu.</w:t>
      </w:r>
    </w:p>
    <w:p>
      <w:pPr>
        <w:numPr>
          <w:ilvl w:val="0"/>
          <w:numId w:val="232"/>
        </w:numPr>
        <w:pStyle w:val="Para 01"/>
      </w:pPr>
      <w:r>
        <w:t>Bản chất của sự kém hiệu quả. Một số sự kém hiệu quả có thể được khắc phục nhanh chóng hơn nhiều so với những cái khác. Ví dụ, một công ty có thể thay thế thiết bị lỗi thời hoặc hệ thống kiểm kê hàng tồn kém cỏi một cách nhanh chóng, nhưng việc đào tạo lại lực lượng lao động sẽ mất nhiều thời gian hơn.</w:t>
      </w:r>
    </w:p>
    <w:p>
      <w:pPr>
        <w:numPr>
          <w:ilvl w:val="0"/>
          <w:numId w:val="232"/>
        </w:numPr>
        <w:pStyle w:val="Para 01"/>
      </w:pPr>
      <w:r>
        <w:t>Các ràng buộc bên ngoài. Các công ty thường bị hạn chế về mức độ và tốc độ mà họ có thể hành động để khắc phục sự kém hiệu quả, do các nghĩa vụ hợp đồng và áp lực xã hội. Ví dụ, sa thải một phần lớn lực lượng lao động có vẻ là giải pháp hiển nhiên cho một công ty thừa nhân sự, nhưng các hợp đồng công đoàn và nguy cơ dư luận tiêu cực có thể khiến công ty ngần ngại làm điều đó.</w:t>
      </w:r>
    </w:p>
    <w:p>
      <w:pPr>
        <w:numPr>
          <w:ilvl w:val="0"/>
          <w:numId w:val="232"/>
        </w:numPr>
        <w:pStyle w:val="Para 01"/>
      </w:pPr>
      <w:r>
        <w:t>Chất lượng ban lãnh đạo. Một ban lãnh đạo cam kết thay đổi là thành tố then chốt của một cuộc xoay chuyển thành công. Trong một số trường hợp, việc thay thế ban lãnh đạo cấp cao có thể là điều cần thiết để công ty có thể giải quyết các vấn đề vận hành của mình.</w:t>
      </w:r>
    </w:p>
    <w:p>
      <w:pPr>
        <w:pStyle w:val="Para 20"/>
      </w:pPr>
      <w:r>
        <w:rPr>
          <w:rStyle w:val="Text26"/>
        </w:rPr>
        <w:bookmarkStart w:id="4696" w:name="Page_718"/>
        <w:t/>
        <w:bookmarkEnd w:id="4696"/>
      </w:r>
      <w:r>
        <w:t xml:space="preserve"> </w:t>
      </w:r>
    </w:p>
    <w:p>
      <w:bookmarkStart w:id="4697" w:name="The_Special_Case_of_Privatizatio"/>
      <w:pPr>
        <w:pStyle w:val="Para 21"/>
      </w:pPr>
      <w:r>
        <w:t>Trường hợp đặc biệt của việc tư nhân hóa</w:t>
      </w:r>
      <w:bookmarkEnd w:id="4697"/>
    </w:p>
    <w:p>
      <w:pPr>
        <w:pStyle w:val="Para 03"/>
      </w:pPr>
      <w:r>
        <w:t>Trong nhiều cuộc tư nhân hóa, chúng ta được yêu cầu định giá những công ty có lịch sử tài chính lâu dài nhưng không mấy sinh lời. Việc thiếu sinh lời không có gì đáng ngạc nhiên, vì nhiều công ty trong số này được điều hành với những mục tiêu khác ngoài việc tối đa hóa giá trị hay lợi nhuận. Trong một số trường hợp, việc làm tại các công ty này được xem như một nguồn bổng lộc chính trị. Kết quả là chúng trở nên thừa nhân sự và kém hiệu quả.</w:t>
      </w:r>
    </w:p>
    <w:p>
      <w:pPr>
        <w:pStyle w:val="Para 03"/>
      </w:pPr>
      <w:r>
        <w:t>Liệu tất cả những điều này có thay đổi ngay khi chúng được tư nhân hóa không? Không hẳn, và chắc chắn không phải ngay lập tức. Quyền lực của các công đoàn trong việc bảo vệ việc làm hiện có, quyền lực mà chính phủ vẫn tiếp tục nắm giữ đối với cách điều hành chúng, và quy mô khổng lồ của những công ty này khiến cho sự thay đổi vừa khó khăn vừa chậm chạp. Mặc dù hợp lý khi giả định rằng những công ty này thực sự sẽ trở nên hiệu quả hơn một khi được tư nhân hóa, tốc độ cải thiện sẽ khác nhau tùy từng công ty. Nói chung, bạn sẽ kỳ vọng quá trình điều chỉnh diễn ra nhanh hơn nhiều nếu chính phủ từ bỏ quyền kiểm soát ban lãnh đạo công ty và nếu có áp lực cạnh tranh mạnh mẽ đòi hỏi phải hiệu quả hơn. Quá trình sẽ chậm hơn nếu công ty là một thế lực độc quyền và chính phủ tiếp tục tự tay chọn ban lãnh đạo cấp cao của công ty.</w:t>
      </w:r>
    </w:p>
    <w:p>
      <w:pPr>
        <w:pStyle w:val="Para 11"/>
      </w:pPr>
      <w:r>
        <w:t/>
        <w:t xml:space="preserve"> </w:t>
      </w:r>
    </w:p>
    <w:p>
      <w:bookmarkStart w:id="4699" w:name="Golden_Shares_and_the_Value_of_P"/>
      <w:bookmarkStart w:id="4700" w:name="Golden_Shares_and_the_Value_of_P_1"/>
      <w:pPr>
        <w:keepNext/>
        <w:pStyle w:val="Para 27"/>
        <w:keepLines w:val="on"/>
      </w:pPr>
      <w:r>
        <w:t>Cổ phần vàng và giá trị của các công ty đã tư nhân hóa</w:t>
      </w:r>
      <w:bookmarkEnd w:id="4699"/>
      <w:bookmarkEnd w:id="4700"/>
    </w:p>
    <w:p>
      <w:pPr>
        <w:pStyle w:val="Para 16"/>
        <w:keepLines w:val="on"/>
      </w:pPr>
      <w:r>
        <w:t>Trong khi các chính phủ luôn háo hức nhận tiền thu được từ việc tư nhân hóa các công ty mà họ sở hữu, họ nói chung lại không mấy háo hức từ bỏ quyền kiểm soát những công ty này. Một cách họ cố gắng duy trì quyền lực là nắm giữ cái được gọi là cổ phần vàng (golden share) trong công ty, trao cho họ quyền phủ quyết và kiểm soát một số hoặc nhiều khía cạnh trong hoạt động quản lý của công ty.</w:t>
      </w:r>
    </w:p>
    <w:p>
      <w:pPr>
        <w:pStyle w:val="Para 16"/>
        <w:keepLines w:val="on"/>
      </w:pPr>
      <w:r>
        <w:t>Ví dụ, chính phủ Brazil nắm giữ một cổ phần vàng tại Vale, cho phép họ có quyền quyết định cuối cùng về việc liệu các mỏ có được đóng cửa hay không cùng các quyết định tài chính quan trọng khác. Trong khi các chính phủ thường xem những cổ phần vàng này như một cách tư nhân hóa không tốn kém mà vẫn duy trì được quyền kiểm soát, thì vẫn có một cái giá mà họ phải gánh chịu. Các nhà đầu tư định giá những công ty có cổ phần vàng nói chung sẽ ít sẵn lòng giả định về những thay đổi triệt để trong ban lãnh đạo và những cải thiện về hiệu quả. Do đó, giá trị mà thị trường gán cho những công ty này sẽ thấp hơn nhiều. Công ty được tư nhân hóa càng kém hiệu quả và cổ phần vàng càng hạn chế, thì tổn thất về giá trị đối với chính phủ càng lớn.</w:t>
      </w:r>
    </w:p>
    <w:p>
      <w:pPr>
        <w:pStyle w:val="Para 11"/>
      </w:pPr>
      <w:r>
        <w:t/>
        <w:t xml:space="preserve"> </w:t>
      </w:r>
    </w:p>
    <w:p>
      <w:bookmarkStart w:id="4701" w:name="ILLUSTRATION_22_6_Valuing_a_Priv_1"/>
      <w:bookmarkStart w:id="4702" w:name="ILLUSTRATION_22_6_Valuing_a_Priv"/>
      <w:pPr>
        <w:keepNext/>
        <w:pStyle w:val="Para 19"/>
        <w:keepLines w:val="on"/>
      </w:pPr>
      <w:r>
        <w:t>MINH HỌA 22.6: Định giá một cuộc tư nhân hóa: Compahnia Vale Dio Roce (CVRD) năm 1995</w:t>
      </w:r>
      <w:bookmarkEnd w:id="4701"/>
      <w:bookmarkEnd w:id="4702"/>
    </w:p>
    <w:p>
      <w:pPr>
        <w:pStyle w:val="Para 04"/>
        <w:keepLines w:val="on"/>
      </w:pPr>
      <w:r>
        <w:t>Năm 1995, chính phủ Brazil tư nhân hóa Compahnia Vale Dio Roce (CVRD), công ty khai khoáng lớn nhất châu Mỹ Latinh. Vào năm công ty được tư nhân hóa, công ty báo cáo thu nhập hoạt động sau thuế là 717 triệu BR trên doanh thu 4.714 triệu BR. Dựa trên vốn đầu tư vào công ty vào đầu năm là 14.722 triệu BR, tỷ suất sinh lời trên vốn sau thuế mà công ty đạt được là 5,33%.</w:t>
      </w:r>
    </w:p>
    <w:p>
      <w:pPr>
        <w:pStyle w:val="Para 04"/>
        <w:keepLines w:val="on"/>
      </w:pPr>
      <w:r>
        <w:t>Nếu chúng ta giả định tốc độ tăng trưởng thực ổn định là 3% và chi phí vốn thực là 10%, rồi định giá CVRD dựa trên những đầu vào này, chúng ta sẽ ước tính giá trị sau đây cho công ty:</w:t>
      </w:r>
    </w:p>
    <w:p>
      <w:bookmarkStart w:id="4703" w:name="Reinvestmentrate_g_ROC_3__5_33"/>
      <w:pPr>
        <w:keepNext/>
        <w:pStyle w:val="Para 07"/>
        <w:keepLines w:val="on"/>
      </w:pPr>
      <w:r>
        <w:t>Tỷ lệ tái đầu tư = g/ROC = 3%/5,33% = 56,29% Giá trị công ty = EBIT(1−t)(1+g)(1−Tỷ lệ tái đầu tư)/(Chi phí vốn − Tốc độ tăng trưởng) = 717(1,03)(1−0,5629)/(0,10−0,03) = 4.611 triệu R$</w:t>
      </w:r>
      <w:bookmarkEnd w:id="4703"/>
    </w:p>
    <w:p>
      <w:pPr>
        <w:pStyle w:val="Para 04"/>
        <w:keepLines w:val="on"/>
      </w:pPr>
      <w:r>
        <w:t>Tuy nhiên, lưu ý rằng điều này giả định tỷ suất sinh lời trên vốn của CVRD sẽ duy trì ở mức hiện tại mãi mãi. Nếu việc tư nhân hóa dẫn đến hiệu quả vận hành tốt hơn tại công ty, thì biên lợi nhuận và tỷ suất sinh lời trên vốn của công ty có thể được kỳ vọng sẽ cải thiện. Ví dụ, nếu chúng ta định giá CVRD bằng cách sử dụng tỷ suất sinh lời trên vốn thực là 7% mà các công ty khai khoáng tại Hoa Kỳ đạt được, chúng ta sẽ ước tính như sau:</w:t>
      </w:r>
    </w:p>
    <w:p>
      <w:bookmarkStart w:id="4705" w:name="Reinvestmentrate_g_ROC_3__7__42"/>
      <w:pPr>
        <w:keepNext/>
        <w:pStyle w:val="Para 07"/>
        <w:keepLines w:val="on"/>
      </w:pPr>
      <w:r>
        <w:t>Tỷ lệ tái đầu tư = g/ROC = 3%/7% = 42,86% Giá trị công ty = EBIT(1−t)(1+g)(1−Tỷ lệ tái đầu tư)/(Chi phí vốn − Tốc độ tăng trưởng) = 717(1,03)(1−0,4286)/(0,10−0,03) = 6.029 triệu R$</w:t>
      </w:r>
      <w:bookmarkEnd w:id="4705"/>
    </w:p>
    <w:p>
      <w:pPr>
        <w:pStyle w:val="Para 04"/>
        <w:keepLines w:val="on"/>
      </w:pPr>
      <w:r>
        <w:t>Liệu có hợp lý khi giả định sự cải thiện này trong biên lợi nhuận không? Điều đó phụ thuộc vào việc bạn đứng ở phía nào của thương vụ. Nếu bạn là một nhà đầu tư quan tâm đến việc mua cổ phiếu, bạn có thể lập luận rằng công ty đã quá cố thủ trong lối mòn của mình để có thể thực hiện những thay đổi cần thiết nhằm đạt lợi nhuận cao hơn, và khi đó bạn sẽ dùng giá trị được ước tính với biên lợi nhuận hiện tại. Nếu bạn là chính phủ và muốn đạt được giá trị cao nhất có thể, bạn sẽ lập luận theo hướng thứ hai.</w:t>
      </w:r>
    </w:p>
    <w:p>
      <w:bookmarkStart w:id="4706" w:name="Financial_Leverage__In_some_case"/>
      <w:bookmarkStart w:id="4707" w:name="Financial_Leverage"/>
      <w:pPr>
        <w:keepNext/>
        <w:pStyle w:val="Heading 4"/>
        <w:keepLines w:val="on"/>
      </w:pPr>
      <w:r>
        <w:t>Đòn bẩy tài chính</w:t>
      </w:r>
      <w:bookmarkEnd w:id="4706"/>
      <w:bookmarkEnd w:id="4707"/>
    </w:p>
    <w:p>
      <w:pPr>
        <w:pStyle w:val="Para 03"/>
      </w:pPr>
      <w:r>
        <w:t>Trong một số trường hợp, các công ty gặp rắc rối vì vay nợ quá nhiều chứ không phải vì các vấn đề vận hành hay chiến lược. Trong những trường hợp này, chính thu nhập dành cho cổ đông sẽ âm, trong khi thu nhập hoạt động vẫn dương. Giải pháp cho vấn đề phụ thuộc phần lớn vào mức độ khốn khó thực sự của công ty. Nếu tình trạng khốn khó không được kỳ vọng sẽ đẩy công ty đến phá sản, thì có nhiều giải pháp tiềm năng khác nhau. Tuy nhiên, nếu tình trạng khốn khó có thể là dấu chấm hết, thì việc tìm ra giải pháp sẽ khó khăn hơn nhiều.</w:t>
      </w:r>
    </w:p>
    <w:p>
      <w:bookmarkStart w:id="4708" w:name="Overlevered_with_No_Immediate_Th"/>
      <w:pPr>
        <w:pStyle w:val="Para 21"/>
      </w:pPr>
      <w:r>
        <w:t>Quá đòn bẩy nhưng chưa có nguy cơ phá sản trước mắt</w:t>
      </w:r>
      <w:bookmarkEnd w:id="4708"/>
    </w:p>
    <w:p>
      <w:pPr>
        <w:pStyle w:val="Para 03"/>
      </w:pPr>
      <w:r>
        <w:t>Không phải doanh nghiệp nào vay quá nhiều cũng đang đứng bên bờ vực phá sản. Thực tế, những doanh nghiệp sở hữu tài sản hoạt động có giá trị và dòng tiền hoạt động dồi dào có thể gánh được nhiều nợ hơn mức tối ưu cho họ, dù họ có thể không trả nợ một cách thoải mái. Vậy, cái giá của việc bị quá đòn bẩy là gì? Thứ nhất, doanh nghiệp có thể rơi vào tình trạng phơi nhiễm rủi ro vỡ nợ (default risk) đủ lớn để ảnh hưởng đến hoạt động kinh doanh — khách hàng có thể không mua sản phẩm của họ, nhà cung cấp có thể đòi thanh toán nhanh hơn, và họ có thể gặp khó khăn trong việc giữ chân những nhân viên giỏi. Thứ hai, hệ số beta cao hơn và chi phí nợ cao hơn đi kèm với đòn bẩy cao hơn sẽ làm tăng chi phí vốn (cost of capital) của doanh nghiệp và giảm giá trị của nó. Do đó, việc giảm tỷ lệ nợ là vì lợi ích tốt nhất của doanh nghiệp, nếu không phải ngay lập tức thì ít nhất là dần dần theo thời gian.</w:t>
      </w:r>
    </w:p>
    <w:p>
      <w:pPr>
        <w:pStyle w:val="Para 03"/>
      </w:pPr>
      <w:r>
        <w:t>Có hai lựa chọn khi định giá các doanh nghiệp có đòn bẩy với tư cách là những thực thể đang hoạt động (going concerns):</w:t>
      </w:r>
    </w:p>
    <w:p>
      <w:pPr>
        <w:numPr>
          <w:ilvl w:val="0"/>
          <w:numId w:val="233"/>
        </w:numPr>
        <w:pStyle w:val="Para 01"/>
      </w:pPr>
      <w:r>
        <w:t>Bạn có thể ước tính dòng tiền tự do của doanh nghiệp (free cash flows to the firm) và định giá doanh nghiệp. Nếu doanh nghiệp khỏe mạnh về mặt hoạt động (biên lợi nhuận hoạt động vừa dương vừa tương tự như của các doanh nghiệp cùng ngành), thay đổi duy nhất bạn cần thực hiện là giảm tỷ lệ nợ theo thời gian — trên thực tế, một phần tái đầu tư không cân xứng mỗi năm phải đến từ vốn chủ sở hữu — và tính toán chi phí vốn thay đổi theo tỷ lệ nợ. Nếu biên lợi nhuận hoạt động của doanh nghiệp đã bị tổn hại vì vay quá nhiều, bạn có thể cũng cần điều chỉnh biên lợi nhuận hoạt động theo thời gian hướng về mức trung bình ngành.</w:t>
      </w:r>
    </w:p>
    <w:p>
      <w:pPr>
        <w:numPr>
          <w:ilvl w:val="0"/>
          <w:numId w:val="233"/>
        </w:numPr>
        <w:pStyle w:val="Para 01"/>
      </w:pPr>
      <w:r>
        <w:t>Bạn có thể sử dụng phương pháp giá trị hiện tại điều chỉnh (adjusted present value) và định giá doanh nghiệp như một doanh nghiệp không có đòn bẩy, rồi cộng vào giá trị doanh nghiệp không đòn bẩy này các chi phí (chi phí phá sản kỳ vọng) và lợi ích (lợi ích thuế) của nợ. Tuy nhiên, như đã lưu ý ở Chương 15, việc ước tính chi phí phá sản kỳ vọng có thể rất khó thực hiện.</w:t>
      </w:r>
    </w:p>
    <w:p>
      <w:pPr>
        <w:pStyle w:val="Para 20"/>
      </w:pPr>
      <w:r>
        <w:rPr>
          <w:rStyle w:val="Text26"/>
        </w:rPr>
        <w:bookmarkStart w:id="4710" w:name="Page_720"/>
        <w:t/>
        <w:bookmarkEnd w:id="4710"/>
      </w:r>
      <w:r>
        <w:t xml:space="preserve"> </w:t>
      </w:r>
    </w:p>
    <w:p>
      <w:pPr>
        <w:pStyle w:val="Para 11"/>
      </w:pPr>
      <w:r>
        <w:t/>
        <w:t xml:space="preserve"> </w:t>
      </w:r>
    </w:p>
    <w:p>
      <w:bookmarkStart w:id="4711" w:name="ILLUSTRATION_22_7_Adjust_Debt_Ra"/>
      <w:bookmarkStart w:id="4712" w:name="ILLUSTRATION_22_7_Adjust_Debt_Ra_1"/>
      <w:pPr>
        <w:keepNext/>
        <w:pStyle w:val="Para 19"/>
        <w:keepLines w:val="on"/>
      </w:pPr>
      <w:r>
        <w:t>MINH HỌA 22.7: Điều chỉnh tỷ lệ nợ theo thời gian: Hyundai</w:t>
      </w:r>
      <w:bookmarkEnd w:id="4711"/>
      <w:bookmarkEnd w:id="4712"/>
    </w:p>
    <w:p>
      <w:pPr>
        <w:pStyle w:val="Para 04"/>
        <w:keepLines w:val="on"/>
      </w:pPr>
      <w:r>
        <w:t>Hyundai Corporation là một công ty Hàn Quốc thuộc Hyundai Group và phụ trách các hoạt động thương mại cho tập đoàn. Giống như nhiều công ty Hàn Quốc khác, Hyundai đã vay một khoản lớn để tài trợ cho việc mở rộng cho đến cuối những năm 1990. Đến cuối năm 2000, Hyundai có dư nợ 848 tỷ won Hàn Quốc (krw) và có giá trị vốn chủ sở hữu thị trường là 163 tỷ krw, dẫn đến tỷ lệ nợ trên vốn (debt-to-capital ratio) là 83,85%. Đòn bẩy cao này có ba hệ quả:</w:t>
      </w:r>
    </w:p>
    <w:p>
      <w:pPr>
        <w:numPr>
          <w:ilvl w:val="0"/>
          <w:numId w:val="234"/>
        </w:numPr>
        <w:pStyle w:val="Para 18"/>
        <w:keepLines w:val="on"/>
      </w:pPr>
      <w:r>
        <w:t>Hệ số beta từ dưới lên (bottom-up beta) của doanh nghiệp là 2,60, phản ánh tỷ lệ nợ trên vốn chủ sở hữu cao của doanh nghiệp. Với lãi suất phi rủi ro là 9% tính bằng won Hàn Quốc và phần bù rủi ro là 7% (4% là phần bù rủi ro thị trường trưởng thành và 3% cho rủi ro quốc gia Hàn Quốc), chúng tôi ước tính chi phí vốn chủ sở hữu tính bằng won Hàn Quốc cho doanh nghiệp là 27,20%.</w:t>
      </w:r>
    </w:p>
    <w:p>
      <w:bookmarkStart w:id="4713" w:name="Costofequity_9__2_67__27_20"/>
      <w:pPr>
        <w:keepNext/>
        <w:pStyle w:val="Para 07"/>
        <w:keepLines w:val="on"/>
      </w:pPr>
      <w:r>
        <w:t>Chi phí vốn chủ sở hữu = 9% + 2,67% = 27,20%</w:t>
      </w:r>
      <w:bookmarkEnd w:id="4713"/>
    </w:p>
    <w:p>
      <w:pPr>
        <w:numPr>
          <w:ilvl w:val="0"/>
          <w:numId w:val="235"/>
        </w:numPr>
        <w:pStyle w:val="Para 18"/>
        <w:keepLines w:val="on"/>
      </w:pPr>
      <w:r>
        <w:t>Doanh nghiệp có rủi ro vỡ nợ cao, dẫn đến chi phí đi vay trước thuế tính bằng won Hàn Quốc là 12,5%; thuế suất của doanh nghiệp là 30%.</w:t>
      </w:r>
    </w:p>
    <w:p>
      <w:pPr>
        <w:numPr>
          <w:ilvl w:val="0"/>
          <w:numId w:val="235"/>
        </w:numPr>
        <w:pStyle w:val="Para 18"/>
        <w:keepLines w:val="on"/>
      </w:pPr>
      <w:r>
        <w:t>Doanh nghiệp báo cáo thu nhập hoạt động trước thuế là 89,42 tỷ krw, nhưng chi phí lãi vay của doanh nghiệp lên tới 99 tỷ krw, dẫn đến thua lỗ cho doanh nghiệp. Tuy nhiên, lưu ý rằng doanh nghiệp vẫn đang nhận được lợi ích thuế từ gần như toàn bộ các khoản thanh toán lãi của mình.8</w:t>
      </w:r>
    </w:p>
    <w:p>
      <w:pPr>
        <w:pStyle w:val="Para 04"/>
        <w:keepLines w:val="on"/>
      </w:pPr>
      <w:r>
        <w:t>Chúng tôi giả định rằng thu nhập hoạt động sẽ tăng 10% mỗi năm trong sáu năm tới và 8% mỗi năm sau thời điểm đó. Trong giai đoạn đó, chúng tôi giả định rằng chi tiêu vốn của doanh nghiệp (hiện là 12 tỷ krw), khấu hao (hiện là 4 tỷ krw), và vốn lưu động phi tiền mặt (hiện là 341 tỷ krw) sẽ tăng cùng tốc độ với thu nhập hoạt động, đưa ra các ước tính sau cho dòng tiền (trong Bảng 22.6):</w:t>
      </w:r>
    </w:p>
    <w:p>
      <w:pPr>
        <w:pStyle w:val="Para 25"/>
        <w:keepLines w:val="on"/>
      </w:pPr>
      <w:r>
        <w:t>Bảng 22.6</w:t>
      </w:r>
    </w:p>
    <w:p>
      <w:pPr>
        <w:keepNext/>
        <w:pStyle w:val="Para 24"/>
        <w:keepLines w:val="on"/>
      </w:pPr>
      <w:r>
        <w:t>Dòng tiền tự do kỳ vọng cho các năm 1 đến 6</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c>
                <w:tcPr>
                  <w:tcW w:type="auto" w:w="0"/>
                  <w:shd w:val="clear" w:color="auto" w:fill="F0F0F0"/>
                </w:tcPr>
                <w:p>
                  <w:pPr>
                    <w:pStyle w:val="Para 05"/>
                    <w:keepLines w:val="on"/>
                  </w:pPr>
                  <w:r>
                    <w:t>6</w:t>
                  </w:r>
                </w:p>
              </w:tc>
            </w:tr>
            <w:tr>
              <w:tc>
                <w:tcPr>
                  <w:tcW w:type="auto" w:w="0"/>
                  <w:shd w:val="clear" w:color="auto" w:fill="F0F0F0"/>
                </w:tcPr>
                <w:p>
                  <w:pPr>
                    <w:pStyle w:val="Para 02"/>
                    <w:keepLines w:val="on"/>
                  </w:pPr>
                  <w:r>
                    <w:t>EBIT(1 – t)</w:t>
                  </w:r>
                </w:p>
              </w:tc>
              <w:tc>
                <w:tcPr>
                  <w:tcW w:type="auto" w:w="0"/>
                  <w:shd w:val="clear" w:color="auto" w:fill="F0F0F0"/>
                </w:tcPr>
                <w:p>
                  <w:pPr>
                    <w:pStyle w:val="Normal"/>
                    <w:keepLines w:val="on"/>
                  </w:pPr>
                  <w:r>
                    <w:t>$68,86</w:t>
                  </w:r>
                </w:p>
              </w:tc>
              <w:tc>
                <w:tcPr>
                  <w:tcW w:type="auto" w:w="0"/>
                  <w:shd w:val="clear" w:color="auto" w:fill="F0F0F0"/>
                </w:tcPr>
                <w:p>
                  <w:pPr>
                    <w:pStyle w:val="Normal"/>
                    <w:keepLines w:val="on"/>
                  </w:pPr>
                  <w:r>
                    <w:t>$75,74</w:t>
                  </w:r>
                </w:p>
              </w:tc>
              <w:tc>
                <w:tcPr>
                  <w:tcW w:type="auto" w:w="0"/>
                  <w:shd w:val="clear" w:color="auto" w:fill="F0F0F0"/>
                </w:tcPr>
                <w:p>
                  <w:pPr>
                    <w:pStyle w:val="Normal"/>
                    <w:keepLines w:val="on"/>
                  </w:pPr>
                  <w:r>
                    <w:t>$83,32</w:t>
                  </w:r>
                </w:p>
              </w:tc>
              <w:tc>
                <w:tcPr>
                  <w:tcW w:type="auto" w:w="0"/>
                  <w:shd w:val="clear" w:color="auto" w:fill="F0F0F0"/>
                </w:tcPr>
                <w:p>
                  <w:pPr>
                    <w:pStyle w:val="Normal"/>
                    <w:keepLines w:val="on"/>
                  </w:pPr>
                  <w:r>
                    <w:t>$91,65</w:t>
                  </w:r>
                </w:p>
              </w:tc>
              <w:tc>
                <w:tcPr>
                  <w:tcW w:type="auto" w:w="0"/>
                  <w:shd w:val="clear" w:color="auto" w:fill="F0F0F0"/>
                </w:tcPr>
                <w:p>
                  <w:pPr>
                    <w:pStyle w:val="Normal"/>
                    <w:keepLines w:val="on"/>
                  </w:pPr>
                  <w:r>
                    <w:t>$100,81</w:t>
                  </w:r>
                </w:p>
              </w:tc>
              <w:tc>
                <w:tcPr>
                  <w:tcW w:type="auto" w:w="0"/>
                  <w:shd w:val="clear" w:color="auto" w:fill="F0F0F0"/>
                </w:tcPr>
                <w:p>
                  <w:pPr>
                    <w:pStyle w:val="Normal"/>
                    <w:keepLines w:val="on"/>
                  </w:pPr>
                  <w:r>
                    <w:t>$110,89</w:t>
                  </w:r>
                </w:p>
              </w:tc>
            </w:tr>
            <w:tr>
              <w:tc>
                <w:tcPr>
                  <w:tcW w:type="auto" w:w="0"/>
                  <w:shd w:val="clear" w:color="auto" w:fill="F0F0F0"/>
                </w:tcPr>
                <w:p>
                  <w:pPr>
                    <w:pStyle w:val="Para 02"/>
                    <w:keepLines w:val="on"/>
                  </w:pPr>
                  <w:r>
                    <w:t>+ Khấu hao</w:t>
                  </w:r>
                </w:p>
              </w:tc>
              <w:tc>
                <w:tcPr>
                  <w:tcW w:type="auto" w:w="0"/>
                  <w:shd w:val="clear" w:color="auto" w:fill="F0F0F0"/>
                </w:tcPr>
                <w:p>
                  <w:pPr>
                    <w:pStyle w:val="Normal"/>
                    <w:keepLines w:val="on"/>
                  </w:pPr>
                  <w:r>
                    <w:t>$4,40</w:t>
                  </w:r>
                </w:p>
              </w:tc>
              <w:tc>
                <w:tcPr>
                  <w:tcW w:type="auto" w:w="0"/>
                  <w:shd w:val="clear" w:color="auto" w:fill="F0F0F0"/>
                </w:tcPr>
                <w:p>
                  <w:pPr>
                    <w:pStyle w:val="Normal"/>
                    <w:keepLines w:val="on"/>
                  </w:pPr>
                  <w:r>
                    <w:t>$4,84</w:t>
                  </w:r>
                </w:p>
              </w:tc>
              <w:tc>
                <w:tcPr>
                  <w:tcW w:type="auto" w:w="0"/>
                  <w:shd w:val="clear" w:color="auto" w:fill="F0F0F0"/>
                </w:tcPr>
                <w:p>
                  <w:pPr>
                    <w:pStyle w:val="Normal"/>
                    <w:keepLines w:val="on"/>
                  </w:pPr>
                  <w:r>
                    <w:t>$5,32</w:t>
                  </w:r>
                </w:p>
              </w:tc>
              <w:tc>
                <w:tcPr>
                  <w:tcW w:type="auto" w:w="0"/>
                  <w:shd w:val="clear" w:color="auto" w:fill="F0F0F0"/>
                </w:tcPr>
                <w:p>
                  <w:pPr>
                    <w:pStyle w:val="Normal"/>
                    <w:keepLines w:val="on"/>
                  </w:pPr>
                  <w:r>
                    <w:t>$5,86</w:t>
                  </w:r>
                </w:p>
              </w:tc>
              <w:tc>
                <w:tcPr>
                  <w:tcW w:type="auto" w:w="0"/>
                  <w:shd w:val="clear" w:color="auto" w:fill="F0F0F0"/>
                </w:tcPr>
                <w:p>
                  <w:pPr>
                    <w:pStyle w:val="Normal"/>
                    <w:keepLines w:val="on"/>
                  </w:pPr>
                  <w:r>
                    <w:t>$6,44</w:t>
                  </w:r>
                </w:p>
              </w:tc>
              <w:tc>
                <w:tcPr>
                  <w:tcW w:type="auto" w:w="0"/>
                  <w:shd w:val="clear" w:color="auto" w:fill="F0F0F0"/>
                </w:tcPr>
                <w:p>
                  <w:pPr>
                    <w:pStyle w:val="Normal"/>
                    <w:keepLines w:val="on"/>
                  </w:pPr>
                  <w:r>
                    <w:t>$7,09</w:t>
                  </w:r>
                </w:p>
              </w:tc>
            </w:tr>
            <w:tr>
              <w:tc>
                <w:tcPr>
                  <w:tcW w:type="auto" w:w="0"/>
                  <w:shd w:val="clear" w:color="auto" w:fill="F0F0F0"/>
                </w:tcPr>
                <w:p>
                  <w:pPr>
                    <w:pStyle w:val="Para 02"/>
                    <w:keepLines w:val="on"/>
                  </w:pPr>
                  <w:r>
                    <w:t>– Chi tiêu vốn</w:t>
                  </w:r>
                </w:p>
              </w:tc>
              <w:tc>
                <w:tcPr>
                  <w:tcW w:type="auto" w:w="0"/>
                  <w:shd w:val="clear" w:color="auto" w:fill="F0F0F0"/>
                </w:tcPr>
                <w:p>
                  <w:pPr>
                    <w:pStyle w:val="Normal"/>
                    <w:keepLines w:val="on"/>
                  </w:pPr>
                  <w:r>
                    <w:t>$13,20</w:t>
                  </w:r>
                </w:p>
              </w:tc>
              <w:tc>
                <w:tcPr>
                  <w:tcW w:type="auto" w:w="0"/>
                  <w:shd w:val="clear" w:color="auto" w:fill="F0F0F0"/>
                </w:tcPr>
                <w:p>
                  <w:pPr>
                    <w:pStyle w:val="Normal"/>
                    <w:keepLines w:val="on"/>
                  </w:pPr>
                  <w:r>
                    <w:t>$14,52</w:t>
                  </w:r>
                </w:p>
              </w:tc>
              <w:tc>
                <w:tcPr>
                  <w:tcW w:type="auto" w:w="0"/>
                  <w:shd w:val="clear" w:color="auto" w:fill="F0F0F0"/>
                </w:tcPr>
                <w:p>
                  <w:pPr>
                    <w:pStyle w:val="Normal"/>
                    <w:keepLines w:val="on"/>
                  </w:pPr>
                  <w:r>
                    <w:t>$15,97</w:t>
                  </w:r>
                </w:p>
              </w:tc>
              <w:tc>
                <w:tcPr>
                  <w:tcW w:type="auto" w:w="0"/>
                  <w:shd w:val="clear" w:color="auto" w:fill="F0F0F0"/>
                </w:tcPr>
                <w:p>
                  <w:pPr>
                    <w:pStyle w:val="Normal"/>
                    <w:keepLines w:val="on"/>
                  </w:pPr>
                  <w:r>
                    <w:t>$17,57</w:t>
                  </w:r>
                </w:p>
              </w:tc>
              <w:tc>
                <w:tcPr>
                  <w:tcW w:type="auto" w:w="0"/>
                  <w:shd w:val="clear" w:color="auto" w:fill="F0F0F0"/>
                </w:tcPr>
                <w:p>
                  <w:pPr>
                    <w:pStyle w:val="Normal"/>
                    <w:keepLines w:val="on"/>
                  </w:pPr>
                  <w:r>
                    <w:t>$19,33</w:t>
                  </w:r>
                </w:p>
              </w:tc>
              <w:tc>
                <w:tcPr>
                  <w:tcW w:type="auto" w:w="0"/>
                  <w:shd w:val="clear" w:color="auto" w:fill="F0F0F0"/>
                </w:tcPr>
                <w:p>
                  <w:pPr>
                    <w:pStyle w:val="Normal"/>
                    <w:keepLines w:val="on"/>
                  </w:pPr>
                  <w:r>
                    <w:t>$21,26</w:t>
                  </w:r>
                </w:p>
              </w:tc>
            </w:tr>
            <w:tr>
              <w:tc>
                <w:tcPr>
                  <w:tcW w:type="auto" w:w="0"/>
                  <w:shd w:val="clear" w:color="auto" w:fill="F0F0F0"/>
                </w:tcPr>
                <w:p>
                  <w:pPr>
                    <w:pStyle w:val="Para 02"/>
                    <w:keepLines w:val="on"/>
                  </w:pPr>
                  <w:r>
                    <w:t>– Thay đổi vốn lưu động</w:t>
                  </w:r>
                </w:p>
              </w:tc>
              <w:tc>
                <w:tcPr>
                  <w:tcW w:type="auto" w:w="0"/>
                  <w:shd w:val="clear" w:color="auto" w:fill="F0F0F0"/>
                </w:tcPr>
                <w:p>
                  <w:pPr>
                    <w:pStyle w:val="Normal"/>
                    <w:keepLines w:val="on"/>
                  </w:pPr>
                  <w:r>
                    <w:t>$34,11</w:t>
                  </w:r>
                </w:p>
              </w:tc>
              <w:tc>
                <w:tcPr>
                  <w:tcW w:type="auto" w:w="0"/>
                  <w:shd w:val="clear" w:color="auto" w:fill="F0F0F0"/>
                </w:tcPr>
                <w:p>
                  <w:pPr>
                    <w:pStyle w:val="Normal"/>
                    <w:keepLines w:val="on"/>
                  </w:pPr>
                  <w:r>
                    <w:t>$37,52</w:t>
                  </w:r>
                </w:p>
              </w:tc>
              <w:tc>
                <w:tcPr>
                  <w:tcW w:type="auto" w:w="0"/>
                  <w:shd w:val="clear" w:color="auto" w:fill="F0F0F0"/>
                </w:tcPr>
                <w:p>
                  <w:pPr>
                    <w:pStyle w:val="Normal"/>
                    <w:keepLines w:val="on"/>
                  </w:pPr>
                  <w:r>
                    <w:t>$41,27</w:t>
                  </w:r>
                </w:p>
              </w:tc>
              <w:tc>
                <w:tcPr>
                  <w:tcW w:type="auto" w:w="0"/>
                  <w:shd w:val="clear" w:color="auto" w:fill="F0F0F0"/>
                </w:tcPr>
                <w:p>
                  <w:pPr>
                    <w:pStyle w:val="Normal"/>
                    <w:keepLines w:val="on"/>
                  </w:pPr>
                  <w:r>
                    <w:t>$45,40</w:t>
                  </w:r>
                </w:p>
              </w:tc>
              <w:tc>
                <w:tcPr>
                  <w:tcW w:type="auto" w:w="0"/>
                  <w:shd w:val="clear" w:color="auto" w:fill="F0F0F0"/>
                </w:tcPr>
                <w:p>
                  <w:pPr>
                    <w:pStyle w:val="Normal"/>
                    <w:keepLines w:val="on"/>
                  </w:pPr>
                  <w:r>
                    <w:t>$49,94</w:t>
                  </w:r>
                </w:p>
              </w:tc>
              <w:tc>
                <w:tcPr>
                  <w:tcW w:type="auto" w:w="0"/>
                  <w:shd w:val="clear" w:color="auto" w:fill="F0F0F0"/>
                </w:tcPr>
                <w:p>
                  <w:pPr>
                    <w:pStyle w:val="Normal"/>
                    <w:keepLines w:val="on"/>
                  </w:pPr>
                  <w:r>
                    <w:t>$54,93</w:t>
                  </w:r>
                </w:p>
              </w:tc>
            </w:tr>
            <w:tr>
              <w:tc>
                <w:tcPr>
                  <w:tcW w:type="auto" w:w="0"/>
                  <w:shd w:val="clear" w:color="auto" w:fill="F0F0F0"/>
                </w:tcPr>
                <w:p>
                  <w:pPr>
                    <w:pStyle w:val="Para 02"/>
                    <w:keepLines w:val="on"/>
                  </w:pPr>
                  <w:r>
                    <w:t>Dòng tiền tự do của doanh nghiệp (Free cash flow to firm)</w:t>
                  </w:r>
                </w:p>
              </w:tc>
              <w:tc>
                <w:tcPr>
                  <w:tcW w:type="auto" w:w="0"/>
                  <w:shd w:val="clear" w:color="auto" w:fill="F0F0F0"/>
                </w:tcPr>
                <w:p>
                  <w:pPr>
                    <w:pStyle w:val="Normal"/>
                    <w:keepLines w:val="on"/>
                  </w:pPr>
                  <w:r>
                    <w:t>$25,95</w:t>
                  </w:r>
                </w:p>
              </w:tc>
              <w:tc>
                <w:tcPr>
                  <w:tcW w:type="auto" w:w="0"/>
                  <w:shd w:val="clear" w:color="auto" w:fill="F0F0F0"/>
                </w:tcPr>
                <w:p>
                  <w:pPr>
                    <w:pStyle w:val="Normal"/>
                    <w:keepLines w:val="on"/>
                  </w:pPr>
                  <w:r>
                    <w:t>$28,54</w:t>
                  </w:r>
                </w:p>
              </w:tc>
              <w:tc>
                <w:tcPr>
                  <w:tcW w:type="auto" w:w="0"/>
                  <w:shd w:val="clear" w:color="auto" w:fill="F0F0F0"/>
                </w:tcPr>
                <w:p>
                  <w:pPr>
                    <w:pStyle w:val="Normal"/>
                    <w:keepLines w:val="on"/>
                  </w:pPr>
                  <w:r>
                    <w:t>$31,40</w:t>
                  </w:r>
                </w:p>
              </w:tc>
              <w:tc>
                <w:tcPr>
                  <w:tcW w:type="auto" w:w="0"/>
                  <w:shd w:val="clear" w:color="auto" w:fill="F0F0F0"/>
                </w:tcPr>
                <w:p>
                  <w:pPr>
                    <w:pStyle w:val="Normal"/>
                    <w:keepLines w:val="on"/>
                  </w:pPr>
                  <w:r>
                    <w:t>$34,54</w:t>
                  </w:r>
                </w:p>
              </w:tc>
              <w:tc>
                <w:tcPr>
                  <w:tcW w:type="auto" w:w="0"/>
                  <w:shd w:val="clear" w:color="auto" w:fill="F0F0F0"/>
                </w:tcPr>
                <w:p>
                  <w:pPr>
                    <w:pStyle w:val="Normal"/>
                    <w:keepLines w:val="on"/>
                  </w:pPr>
                  <w:r>
                    <w:t>$37,99</w:t>
                  </w:r>
                </w:p>
              </w:tc>
              <w:tc>
                <w:tcPr>
                  <w:tcW w:type="auto" w:w="0"/>
                  <w:shd w:val="clear" w:color="auto" w:fill="F0F0F0"/>
                </w:tcPr>
                <w:p>
                  <w:pPr>
                    <w:pStyle w:val="Normal"/>
                    <w:keepLines w:val="on"/>
                  </w:pPr>
                  <w:r>
                    <w:t>$41,79</w:t>
                  </w:r>
                </w:p>
              </w:tc>
            </w:tr>
          </w:tbl>
          <w:p/>
        </w:tc>
      </w:tr>
    </w:tbl>
    <w:p>
      <w:pPr>
        <w:pStyle w:val="Para 04"/>
        <w:keepLines w:val="on"/>
      </w:pPr>
      <w:r>
        <w:t>Trong sáu năm tới, chúng ta giả định rằng công ty sẽ giảm tỷ lệ nợ từ 83,85% xuống 50%, điều này sẽ khiến beta giảm từ 2,60 xuống 1,00 và chi phí nợ trước thuế giảm từ 12,5% xuống 10,5% (chúng ta giả định rằng những thay đổi này diễn ra tuyến tính trong suốt giai đoạn đó.) Chi phí vốn của Hyundai được ước tính mỗi năm trong sáu năm tới (trong Bảng 22.7):</w:t>
      </w:r>
    </w:p>
    <w:p>
      <w:pPr>
        <w:pStyle w:val="Para 25"/>
        <w:keepLines w:val="on"/>
      </w:pPr>
      <w:r>
        <w:t>Bảng 22.7</w:t>
      </w:r>
    </w:p>
    <w:p>
      <w:pPr>
        <w:keepNext/>
        <w:pStyle w:val="Para 24"/>
        <w:keepLines w:val="on"/>
      </w:pPr>
      <w:r>
        <w:t>Tỷ lệ nợ và chi phí vốn</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c>
                <w:tcPr>
                  <w:tcW w:type="auto" w:w="0"/>
                  <w:shd w:val="clear" w:color="auto" w:fill="F0F0F0"/>
                </w:tcPr>
                <w:p>
                  <w:pPr>
                    <w:pStyle w:val="Para 05"/>
                    <w:keepLines w:val="on"/>
                  </w:pPr>
                  <w:r>
                    <w:t>6</w:t>
                  </w:r>
                </w:p>
              </w:tc>
            </w:tr>
            <w:tr>
              <w:tc>
                <w:tcPr>
                  <w:tcW w:type="auto" w:w="0"/>
                  <w:shd w:val="clear" w:color="auto" w:fill="F0F0F0"/>
                </w:tcPr>
                <w:p>
                  <w:pPr>
                    <w:pStyle w:val="Para 02"/>
                    <w:keepLines w:val="on"/>
                  </w:pPr>
                  <w:r>
                    <w:t>Beta</w:t>
                  </w:r>
                </w:p>
              </w:tc>
              <w:tc>
                <w:tcPr>
                  <w:tcW w:type="auto" w:w="0"/>
                  <w:shd w:val="clear" w:color="auto" w:fill="F0F0F0"/>
                </w:tcPr>
                <w:p>
                  <w:pPr>
                    <w:pStyle w:val="Normal"/>
                    <w:keepLines w:val="on"/>
                  </w:pPr>
                  <w:r>
                    <w:t>2,60</w:t>
                  </w:r>
                </w:p>
              </w:tc>
              <w:tc>
                <w:tcPr>
                  <w:tcW w:type="auto" w:w="0"/>
                  <w:shd w:val="clear" w:color="auto" w:fill="F0F0F0"/>
                </w:tcPr>
                <w:p>
                  <w:pPr>
                    <w:pStyle w:val="Normal"/>
                    <w:keepLines w:val="on"/>
                  </w:pPr>
                  <w:r>
                    <w:t>2,28</w:t>
                  </w:r>
                </w:p>
              </w:tc>
              <w:tc>
                <w:tcPr>
                  <w:tcW w:type="auto" w:w="0"/>
                  <w:shd w:val="clear" w:color="auto" w:fill="F0F0F0"/>
                </w:tcPr>
                <w:p>
                  <w:pPr>
                    <w:pStyle w:val="Normal"/>
                    <w:keepLines w:val="on"/>
                  </w:pPr>
                  <w:r>
                    <w:t>1,96</w:t>
                  </w:r>
                </w:p>
              </w:tc>
              <w:tc>
                <w:tcPr>
                  <w:tcW w:type="auto" w:w="0"/>
                  <w:shd w:val="clear" w:color="auto" w:fill="F0F0F0"/>
                </w:tcPr>
                <w:p>
                  <w:pPr>
                    <w:pStyle w:val="Normal"/>
                    <w:keepLines w:val="on"/>
                  </w:pPr>
                  <w:r>
                    <w:t>1,64</w:t>
                  </w:r>
                </w:p>
              </w:tc>
              <w:tc>
                <w:tcPr>
                  <w:tcW w:type="auto" w:w="0"/>
                  <w:shd w:val="clear" w:color="auto" w:fill="F0F0F0"/>
                </w:tcPr>
                <w:p>
                  <w:pPr>
                    <w:pStyle w:val="Normal"/>
                    <w:keepLines w:val="on"/>
                  </w:pPr>
                  <w:r>
                    <w:t>1,32</w:t>
                  </w:r>
                </w:p>
              </w:tc>
              <w:tc>
                <w:tcPr>
                  <w:tcW w:type="auto" w:w="0"/>
                  <w:shd w:val="clear" w:color="auto" w:fill="F0F0F0"/>
                </w:tcPr>
                <w:p>
                  <w:pPr>
                    <w:pStyle w:val="Normal"/>
                    <w:keepLines w:val="on"/>
                  </w:pPr>
                  <w:r>
                    <w:t>1,00</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Normal"/>
                    <w:keepLines w:val="on"/>
                  </w:pPr>
                  <w:r>
                    <w:t>27,20%</w:t>
                  </w:r>
                </w:p>
              </w:tc>
              <w:tc>
                <w:tcPr>
                  <w:tcW w:type="auto" w:w="0"/>
                  <w:shd w:val="clear" w:color="auto" w:fill="F0F0F0"/>
                </w:tcPr>
                <w:p>
                  <w:pPr>
                    <w:pStyle w:val="Normal"/>
                    <w:keepLines w:val="on"/>
                  </w:pPr>
                  <w:r>
                    <w:t>24,96%</w:t>
                  </w:r>
                </w:p>
              </w:tc>
              <w:tc>
                <w:tcPr>
                  <w:tcW w:type="auto" w:w="0"/>
                  <w:shd w:val="clear" w:color="auto" w:fill="F0F0F0"/>
                </w:tcPr>
                <w:p>
                  <w:pPr>
                    <w:pStyle w:val="Normal"/>
                    <w:keepLines w:val="on"/>
                  </w:pPr>
                  <w:r>
                    <w:t>22,72%</w:t>
                  </w:r>
                </w:p>
              </w:tc>
              <w:tc>
                <w:tcPr>
                  <w:tcW w:type="auto" w:w="0"/>
                  <w:shd w:val="clear" w:color="auto" w:fill="F0F0F0"/>
                </w:tcPr>
                <w:p>
                  <w:pPr>
                    <w:pStyle w:val="Normal"/>
                    <w:keepLines w:val="on"/>
                  </w:pPr>
                  <w:r>
                    <w:t>20,48%</w:t>
                  </w:r>
                </w:p>
              </w:tc>
              <w:tc>
                <w:tcPr>
                  <w:tcW w:type="auto" w:w="0"/>
                  <w:shd w:val="clear" w:color="auto" w:fill="F0F0F0"/>
                </w:tcPr>
                <w:p>
                  <w:pPr>
                    <w:pStyle w:val="Normal"/>
                    <w:keepLines w:val="on"/>
                  </w:pPr>
                  <w:r>
                    <w:t>18,24%</w:t>
                  </w:r>
                </w:p>
              </w:tc>
              <w:tc>
                <w:tcPr>
                  <w:tcW w:type="auto" w:w="0"/>
                  <w:shd w:val="clear" w:color="auto" w:fill="F0F0F0"/>
                </w:tcPr>
                <w:p>
                  <w:pPr>
                    <w:pStyle w:val="Normal"/>
                    <w:keepLines w:val="on"/>
                  </w:pPr>
                  <w:r>
                    <w:t>16,00%</w:t>
                  </w:r>
                </w:p>
              </w:tc>
            </w:tr>
            <w:tr>
              <w:tc>
                <w:tcPr>
                  <w:tcW w:type="auto" w:w="0"/>
                  <w:shd w:val="clear" w:color="auto" w:fill="F0F0F0"/>
                </w:tcPr>
                <w:p>
                  <w:pPr>
                    <w:pStyle w:val="Para 02"/>
                    <w:keepLines w:val="on"/>
                  </w:pPr>
                  <w:r>
                    <w:t>Chi phí nợ (sau thuế)</w:t>
                  </w:r>
                </w:p>
              </w:tc>
              <w:tc>
                <w:tcPr>
                  <w:tcW w:type="auto" w:w="0"/>
                  <w:shd w:val="clear" w:color="auto" w:fill="F0F0F0"/>
                </w:tcPr>
                <w:p>
                  <w:pPr>
                    <w:pStyle w:val="Normal"/>
                    <w:keepLines w:val="on"/>
                  </w:pPr>
                  <w:r>
                    <w:t>8,75%</w:t>
                  </w:r>
                </w:p>
              </w:tc>
              <w:tc>
                <w:tcPr>
                  <w:tcW w:type="auto" w:w="0"/>
                  <w:shd w:val="clear" w:color="auto" w:fill="F0F0F0"/>
                </w:tcPr>
                <w:p>
                  <w:pPr>
                    <w:pStyle w:val="Normal"/>
                    <w:keepLines w:val="on"/>
                  </w:pPr>
                  <w:r>
                    <w:t>8,47%</w:t>
                  </w:r>
                </w:p>
              </w:tc>
              <w:tc>
                <w:tcPr>
                  <w:tcW w:type="auto" w:w="0"/>
                  <w:shd w:val="clear" w:color="auto" w:fill="F0F0F0"/>
                </w:tcPr>
                <w:p>
                  <w:pPr>
                    <w:pStyle w:val="Normal"/>
                    <w:keepLines w:val="on"/>
                  </w:pPr>
                  <w:r>
                    <w:t>8,19%</w:t>
                  </w:r>
                </w:p>
              </w:tc>
              <w:tc>
                <w:tcPr>
                  <w:tcW w:type="auto" w:w="0"/>
                  <w:shd w:val="clear" w:color="auto" w:fill="F0F0F0"/>
                </w:tcPr>
                <w:p>
                  <w:pPr>
                    <w:pStyle w:val="Normal"/>
                    <w:keepLines w:val="on"/>
                  </w:pPr>
                  <w:r>
                    <w:t>7,91%</w:t>
                  </w:r>
                </w:p>
              </w:tc>
              <w:tc>
                <w:tcPr>
                  <w:tcW w:type="auto" w:w="0"/>
                  <w:shd w:val="clear" w:color="auto" w:fill="F0F0F0"/>
                </w:tcPr>
                <w:p>
                  <w:pPr>
                    <w:pStyle w:val="Normal"/>
                    <w:keepLines w:val="on"/>
                  </w:pPr>
                  <w:r>
                    <w:t>7,63%</w:t>
                  </w:r>
                </w:p>
              </w:tc>
              <w:tc>
                <w:tcPr>
                  <w:tcW w:type="auto" w:w="0"/>
                  <w:shd w:val="clear" w:color="auto" w:fill="F0F0F0"/>
                </w:tcPr>
                <w:p>
                  <w:pPr>
                    <w:pStyle w:val="Normal"/>
                    <w:keepLines w:val="on"/>
                  </w:pPr>
                  <w:r>
                    <w:t>7,35%</w:t>
                  </w:r>
                </w:p>
              </w:tc>
            </w:tr>
            <w:tr>
              <w:tc>
                <w:tcPr>
                  <w:tcW w:type="auto" w:w="0"/>
                  <w:shd w:val="clear" w:color="auto" w:fill="F0F0F0"/>
                </w:tcPr>
                <w:p>
                  <w:pPr>
                    <w:pStyle w:val="Para 02"/>
                    <w:keepLines w:val="on"/>
                  </w:pPr>
                  <w:r>
                    <w:t>Tỷ lệ nợ</w:t>
                  </w:r>
                </w:p>
              </w:tc>
              <w:tc>
                <w:tcPr>
                  <w:tcW w:type="auto" w:w="0"/>
                  <w:shd w:val="clear" w:color="auto" w:fill="F0F0F0"/>
                </w:tcPr>
                <w:p>
                  <w:pPr>
                    <w:pStyle w:val="Normal"/>
                    <w:keepLines w:val="on"/>
                  </w:pPr>
                  <w:r>
                    <w:t>83,85%</w:t>
                  </w:r>
                </w:p>
              </w:tc>
              <w:tc>
                <w:tcPr>
                  <w:tcW w:type="auto" w:w="0"/>
                  <w:shd w:val="clear" w:color="auto" w:fill="F0F0F0"/>
                </w:tcPr>
                <w:p>
                  <w:pPr>
                    <w:pStyle w:val="Normal"/>
                    <w:keepLines w:val="on"/>
                  </w:pPr>
                  <w:r>
                    <w:t>77,08%</w:t>
                  </w:r>
                </w:p>
              </w:tc>
              <w:tc>
                <w:tcPr>
                  <w:tcW w:type="auto" w:w="0"/>
                  <w:shd w:val="clear" w:color="auto" w:fill="F0F0F0"/>
                </w:tcPr>
                <w:p>
                  <w:pPr>
                    <w:pStyle w:val="Normal"/>
                    <w:keepLines w:val="on"/>
                  </w:pPr>
                  <w:r>
                    <w:t>70,31%</w:t>
                  </w:r>
                </w:p>
              </w:tc>
              <w:tc>
                <w:tcPr>
                  <w:tcW w:type="auto" w:w="0"/>
                  <w:shd w:val="clear" w:color="auto" w:fill="F0F0F0"/>
                </w:tcPr>
                <w:p>
                  <w:pPr>
                    <w:pStyle w:val="Normal"/>
                    <w:keepLines w:val="on"/>
                  </w:pPr>
                  <w:r>
                    <w:t>63,54%</w:t>
                  </w:r>
                </w:p>
              </w:tc>
              <w:tc>
                <w:tcPr>
                  <w:tcW w:type="auto" w:w="0"/>
                  <w:shd w:val="clear" w:color="auto" w:fill="F0F0F0"/>
                </w:tcPr>
                <w:p>
                  <w:pPr>
                    <w:pStyle w:val="Normal"/>
                    <w:keepLines w:val="on"/>
                  </w:pPr>
                  <w:r>
                    <w:t>56,77%</w:t>
                  </w:r>
                </w:p>
              </w:tc>
              <w:tc>
                <w:tcPr>
                  <w:tcW w:type="auto" w:w="0"/>
                  <w:shd w:val="clear" w:color="auto" w:fill="F0F0F0"/>
                </w:tcPr>
                <w:p>
                  <w:pPr>
                    <w:pStyle w:val="Normal"/>
                    <w:keepLines w:val="on"/>
                  </w:pPr>
                  <w:r>
                    <w:t>50,00%</w:t>
                  </w:r>
                </w:p>
              </w:tc>
            </w:tr>
            <w:tr>
              <w:tc>
                <w:tcPr>
                  <w:tcW w:type="auto" w:w="0"/>
                  <w:shd w:val="clear" w:color="auto" w:fill="F0F0F0"/>
                </w:tcPr>
                <w:p>
                  <w:pPr>
                    <w:pStyle w:val="Para 02"/>
                    <w:keepLines w:val="on"/>
                  </w:pPr>
                  <w:r>
                    <w:t>Chi phí vốn</w:t>
                  </w:r>
                </w:p>
              </w:tc>
              <w:tc>
                <w:tcPr>
                  <w:tcW w:type="auto" w:w="0"/>
                  <w:shd w:val="clear" w:color="auto" w:fill="F0F0F0"/>
                </w:tcPr>
                <w:p>
                  <w:pPr>
                    <w:pStyle w:val="Normal"/>
                    <w:keepLines w:val="on"/>
                  </w:pPr>
                  <w:r>
                    <w:t>11,73%</w:t>
                  </w:r>
                </w:p>
              </w:tc>
              <w:tc>
                <w:tcPr>
                  <w:tcW w:type="auto" w:w="0"/>
                  <w:shd w:val="clear" w:color="auto" w:fill="F0F0F0"/>
                </w:tcPr>
                <w:p>
                  <w:pPr>
                    <w:pStyle w:val="Normal"/>
                    <w:keepLines w:val="on"/>
                  </w:pPr>
                  <w:r>
                    <w:t>12,25%</w:t>
                  </w:r>
                </w:p>
              </w:tc>
              <w:tc>
                <w:tcPr>
                  <w:tcW w:type="auto" w:w="0"/>
                  <w:shd w:val="clear" w:color="auto" w:fill="F0F0F0"/>
                </w:tcPr>
                <w:p>
                  <w:pPr>
                    <w:pStyle w:val="Normal"/>
                    <w:keepLines w:val="on"/>
                  </w:pPr>
                  <w:r>
                    <w:t>12,50%</w:t>
                  </w:r>
                </w:p>
              </w:tc>
              <w:tc>
                <w:tcPr>
                  <w:tcW w:type="auto" w:w="0"/>
                  <w:shd w:val="clear" w:color="auto" w:fill="F0F0F0"/>
                </w:tcPr>
                <w:p>
                  <w:pPr>
                    <w:pStyle w:val="Normal"/>
                    <w:keepLines w:val="on"/>
                  </w:pPr>
                  <w:r>
                    <w:t>12,49%</w:t>
                  </w:r>
                </w:p>
              </w:tc>
              <w:tc>
                <w:tcPr>
                  <w:tcW w:type="auto" w:w="0"/>
                  <w:shd w:val="clear" w:color="auto" w:fill="F0F0F0"/>
                </w:tcPr>
                <w:p>
                  <w:pPr>
                    <w:pStyle w:val="Normal"/>
                    <w:keepLines w:val="on"/>
                  </w:pPr>
                  <w:r>
                    <w:t>12,22%</w:t>
                  </w:r>
                </w:p>
              </w:tc>
              <w:tc>
                <w:tcPr>
                  <w:tcW w:type="auto" w:w="0"/>
                  <w:shd w:val="clear" w:color="auto" w:fill="F0F0F0"/>
                </w:tcPr>
                <w:p>
                  <w:pPr>
                    <w:pStyle w:val="Normal"/>
                    <w:keepLines w:val="on"/>
                  </w:pPr>
                  <w:r>
                    <w:t>11,68%</w:t>
                  </w:r>
                </w:p>
              </w:tc>
            </w:tr>
          </w:tbl>
          <w:p/>
        </w:tc>
      </w:tr>
    </w:tbl>
    <w:p>
      <w:pPr>
        <w:pStyle w:val="Para 04"/>
        <w:keepLines w:val="on"/>
      </w:pPr>
      <w:r>
        <w:t>Để ước tính giá trị cuối kỳ (terminal value), chúng ta giả định tốc độ tăng trưởng 8% vĩnh viễn sau năm thứ 6, và tỷ suất sinh lời trên vốn (return on capital) là 16%. Điều này cho phép chúng ta ước tính tỷ lệ tái đầu tư (reinvestment rate) và giá trị cuối kỳ của doanh nghiệp vào cuối năm thứ 6:</w:t>
      </w:r>
    </w:p>
    <w:p>
      <w:bookmarkStart w:id="4718" w:name="Reinvestment_rate_Stable_growth"/>
      <w:pPr>
        <w:keepNext/>
        <w:pStyle w:val="Para 07"/>
        <w:keepLines w:val="on"/>
      </w:pPr>
      <w:r>
        <w:t>Tỷ lệ tái đầu tư=Tốc độ tăng trưởng ổn địnhROIC giai đoạn ổn định=.08.16=.50</w:t>
      </w:r>
      <w:bookmarkEnd w:id="4718"/>
    </w:p>
    <w:p>
      <w:bookmarkStart w:id="4719" w:name="Terminal_value_After_tax_operati"/>
      <w:pPr>
        <w:keepNext/>
        <w:pStyle w:val="Para 07"/>
        <w:keepLines w:val="on"/>
      </w:pPr>
      <w:r>
        <w:t>Giá trị cuối kỳ=Thu nhập hoạt động sau thuế6 (1+Tốc độ tăng trưởng ổn định)(1−Tỷ lệ tái đầu tư)(Chi phí vốn−Tốc độ tăng trưởng ổn định)=110,89 (1,08)(1−,50)(,1168− ,08)=1.629 tỷ krw</w:t>
      </w:r>
      <w:bookmarkEnd w:id="4719"/>
    </w:p>
    <w:p>
      <w:pPr>
        <w:pStyle w:val="Para 04"/>
        <w:keepLines w:val="on"/>
      </w:pPr>
      <w:r>
        <w:t>Chiết khấu dòng tiền trong sáu năm tới và giá trị cuối kỳ bằng chi phí vốn tích lũy sẽ cho kết quả như sau:</w:t>
      </w:r>
    </w:p>
    <w:p>
      <w:bookmarkStart w:id="4720" w:name="Present_value_of_FCFF_in_high_gr"/>
      <w:pPr>
        <w:pStyle w:val="0 Block"/>
        <w:keepLines w:val="on"/>
      </w:pPr>
      <w:bookmarkEnd w:id="4720"/>
    </w:p>
    <w:tbl>
      <w:tblPr>
        <w:tblW w:type="auto" w:w="0"/>
        <w:jc w:val="center"/>
      </w:tblPr>
      <w:tr>
        <w:tc>
          <w:tcPr>
            <w:tcW w:type="auto" w:w="0"/>
          </w:tcPr>
          <w:p>
            <w:pPr>
              <w:pStyle w:val="Para 02"/>
              <w:keepLines w:val="on"/>
            </w:pPr>
            <w:r>
              <w:t>Giá trị hiện tại của FCFF trong giai đoạn tăng trưởng cao</w:t>
            </w:r>
          </w:p>
        </w:tc>
        <w:tc>
          <w:tcPr>
            <w:tcW w:type="auto" w:w="0"/>
          </w:tcPr>
          <w:p>
            <w:pPr>
              <w:pStyle w:val="Normal"/>
              <w:keepLines w:val="on"/>
            </w:pPr>
            <w:r>
              <w:t>132,34 tỷ krw</w:t>
            </w:r>
          </w:p>
        </w:tc>
      </w:tr>
      <w:tr>
        <w:tc>
          <w:tcPr>
            <w:tcW w:type="auto" w:w="0"/>
          </w:tcPr>
          <w:p>
            <w:pPr>
              <w:pStyle w:val="Para 02"/>
              <w:keepLines w:val="on"/>
            </w:pPr>
            <w:r>
              <w:t>Giá trị hiện tại của giá trị cuối kỳ</w:t>
            </w:r>
          </w:p>
        </w:tc>
        <w:tc>
          <w:tcPr>
            <w:tcW w:type="auto" w:w="0"/>
          </w:tcPr>
          <w:p>
            <w:pPr>
              <w:pStyle w:val="Normal"/>
              <w:keepLines w:val="on"/>
            </w:pPr>
            <w:r>
              <w:t>819,19 tỷ krw</w:t>
            </w:r>
          </w:p>
        </w:tc>
      </w:tr>
      <w:tr>
        <w:tc>
          <w:tcPr>
            <w:tcW w:type="auto" w:w="0"/>
          </w:tcPr>
          <w:p>
            <w:pPr>
              <w:pStyle w:val="Para 02"/>
              <w:keepLines w:val="on"/>
            </w:pPr>
            <w:r>
              <w:t>Giá trị của tài sản hoạt động</w:t>
            </w:r>
          </w:p>
        </w:tc>
        <w:tc>
          <w:tcPr>
            <w:tcW w:type="auto" w:w="0"/>
          </w:tcPr>
          <w:p>
            <w:pPr>
              <w:pStyle w:val="Normal"/>
              <w:keepLines w:val="on"/>
            </w:pPr>
            <w:r>
              <w:t>951,52 tỷ krw</w:t>
            </w:r>
          </w:p>
        </w:tc>
      </w:tr>
      <w:tr>
        <w:tc>
          <w:tcPr>
            <w:tcW w:type="auto" w:w="0"/>
          </w:tcPr>
          <w:p>
            <w:pPr>
              <w:pStyle w:val="Para 02"/>
              <w:keepLines w:val="on"/>
            </w:pPr>
            <w:r>
              <w:t>+ Tiền mặt và chứng khoán thị trường</w:t>
            </w:r>
          </w:p>
        </w:tc>
        <w:tc>
          <w:tcPr>
            <w:tcW w:type="auto" w:w="0"/>
          </w:tcPr>
          <w:p>
            <w:pPr>
              <w:pStyle w:val="Normal"/>
              <w:keepLines w:val="on"/>
            </w:pPr>
            <w:r>
              <w:t>80,46 tỷ krw</w:t>
            </w:r>
          </w:p>
        </w:tc>
      </w:tr>
      <w:tr>
        <w:tc>
          <w:tcPr>
            <w:tcW w:type="auto" w:w="0"/>
          </w:tcPr>
          <w:p>
            <w:pPr>
              <w:pStyle w:val="Para 02"/>
              <w:keepLines w:val="on"/>
            </w:pPr>
            <w:r>
              <w:t>− Giá trị thị trường của nợ</w:t>
            </w:r>
          </w:p>
        </w:tc>
        <w:tc>
          <w:tcPr>
            <w:tcW w:type="auto" w:w="0"/>
          </w:tcPr>
          <w:p>
            <w:pPr>
              <w:pStyle w:val="Normal"/>
              <w:keepLines w:val="on"/>
            </w:pPr>
            <w:r>
              <w:t>847,73 tỷ krw</w:t>
            </w:r>
          </w:p>
        </w:tc>
      </w:tr>
      <w:tr>
        <w:tc>
          <w:tcPr>
            <w:tcW w:type="auto" w:w="0"/>
          </w:tcPr>
          <w:p>
            <w:pPr>
              <w:pStyle w:val="Para 02"/>
              <w:keepLines w:val="on"/>
            </w:pPr>
            <w:r>
              <w:t>Giá trị thị trường của vốn chủ sở hữu</w:t>
            </w:r>
          </w:p>
        </w:tc>
        <w:tc>
          <w:tcPr>
            <w:tcW w:type="auto" w:w="0"/>
          </w:tcPr>
          <w:p>
            <w:pPr>
              <w:pStyle w:val="Normal"/>
              <w:keepLines w:val="on"/>
            </w:pPr>
            <w:r>
              <w:t>184,25 tỷ krw</w:t>
            </w:r>
          </w:p>
        </w:tc>
      </w:tr>
    </w:tbl>
    <w:p>
      <w:pPr>
        <w:pStyle w:val="Para 04"/>
        <w:keepLines w:val="on"/>
      </w:pPr>
      <w:r>
        <w:t>Lưu ý rằng mặc dù định giá dựa trên giả định rằng công ty sẽ có thể giảm bớt gánh nặng nợ của mình, bạn vẫn phải trừ đi khoản nợ đến hạn hôm nay để có được giá trị vốn chủ sở hữu. Chia cho số lượng cổ phiếu sẽ cho ra giá trị vốn chủ sở hữu ước tính của công ty là 2.504 krw mỗi cổ phiếu:</w:t>
      </w:r>
    </w:p>
    <w:p>
      <w:bookmarkStart w:id="4721" w:name="Value_per_share_Value_of_equityN_1"/>
      <w:pPr>
        <w:keepNext/>
        <w:pStyle w:val="Para 07"/>
        <w:keepLines w:val="on"/>
      </w:pPr>
      <w:r>
        <w:t>Giá trị mỗi cổ phiếu=Giá trị vốn chủ sở hữuSố lượng cổ phiếu tính bằng tỷ=184,250,07357 =2,50 krw mỗi cổ phiếu</w:t>
      </w:r>
      <w:bookmarkEnd w:id="4721"/>
    </w:p>
    <w:p>
      <w:pPr>
        <w:pStyle w:val="Para 04"/>
        <w:keepLines w:val="on"/>
      </w:pPr>
      <w:r>
        <w:t>Con số này cao hơn một chút so với giá giao dịch thực tế là 2.220 krw mỗi cổ phiếu.</w:t>
      </w:r>
    </w:p>
    <w:p>
      <w:pPr>
        <w:pStyle w:val="Para 11"/>
      </w:pPr>
      <w:r>
        <w:t/>
        <w:t xml:space="preserve"> </w:t>
      </w:r>
    </w:p>
    <w:p>
      <w:bookmarkStart w:id="4722" w:name="Can_Equity_Value_Be_Negative"/>
      <w:bookmarkStart w:id="4723" w:name="Can_Equity_Value_Be_Negative__We"/>
      <w:pPr>
        <w:keepNext/>
        <w:pStyle w:val="Para 27"/>
        <w:keepLines w:val="on"/>
      </w:pPr>
      <w:r>
        <w:t>Liệu Giá trị Vốn chủ sở hữu có thể Âm?</w:t>
      </w:r>
      <w:bookmarkEnd w:id="4722"/>
      <w:bookmarkEnd w:id="4723"/>
    </w:p>
    <w:p>
      <w:pPr>
        <w:pStyle w:val="Para 16"/>
        <w:keepLines w:val="on"/>
      </w:pPr>
      <w:r>
        <w:t>Chúng ta thường trừ giá trị nợ chưa thanh toán khỏi giá trị doanh nghiệp để có được giá trị vốn chủ sở hữu. Nhưng liệu giá trị nợ chưa thanh toán có thể vượt quá giá trị doanh nghiệp không? Nếu bạn đang sử dụng giá trị thị trường cho cả doanh nghiệp (có được bằng cách cộng giá trị thị trường của nợ và vốn chủ sở hữu) và nợ, điều này sẽ không xảy ra. Đó là vì giá trị thị trường của vốn chủ sở hữu không bao giờ có thể nhỏ hơn không. Tuy nhiên, nếu bạn đang sử dụng giá trị ước tính của mình cho doanh nghiệp, có được bằng cách chiết khấu dòng tiền của doanh nghiệp theo chi phí vốn, thì giá trị doanh nghiệp ước tính có thể nhỏ hơn giá trị thị trường của nợ chưa thanh toán. Khi điều này xảy ra, có ba cách giải thích khả dĩ:</w:t>
      </w:r>
    </w:p>
    <w:p>
      <w:pPr>
        <w:numPr>
          <w:ilvl w:val="0"/>
          <w:numId w:val="236"/>
        </w:numPr>
        <w:pStyle w:val="Para 33"/>
        <w:keepLines w:val="on"/>
      </w:pPr>
      <w:r>
        <w:t>Cách hiểu đầu tiên và rõ ràng nhất là bạn đã mắc lỗi trong việc ước tính giá trị doanh nghiệp và ước tính của bạn quá thấp. Trong trường hợp này, giải pháp rõ ràng là làm lại việc định giá doanh nghiệp.</w:t>
      </w:r>
    </w:p>
    <w:p>
      <w:pPr>
        <w:numPr>
          <w:ilvl w:val="0"/>
          <w:numId w:val="236"/>
        </w:numPr>
        <w:pStyle w:val="Para 33"/>
        <w:keepLines w:val="on"/>
      </w:pPr>
      <w:r>
        <w:t>Khả năng thứ hai là giá trị thị trường của nợ bị phóng đại. Điều này có thể xảy ra nếu bạn đang sử dụng giá trị sổ sách của nợ làm đại diện cho giá trị thị trường đối với các công ty gặp khó khăn, hoặc nếu thị trường trái phiếu đang định giá nợ sai. Ước tính đúng giá trị thị trường của nợ sẽ loại bỏ vấn đề này.9</w:t>
      </w:r>
    </w:p>
    <w:p>
      <w:pPr>
        <w:numPr>
          <w:ilvl w:val="0"/>
          <w:numId w:val="236"/>
        </w:numPr>
        <w:pStyle w:val="Para 33"/>
        <w:keepLines w:val="on"/>
      </w:pPr>
      <w:r>
        <w:t>Khả năng thứ ba và thú vị nhất là ước tính giá trị doanh nghiệp của bạn và giá trị thị trường của nợ đều đúng, trong trường hợp đó giá trị vốn chủ sở hữu thực sự là âm. Vì giá thị trường của vốn chủ sở hữu không thể nhỏ hơn không, hàm ý là vốn chủ sở hữu trong công ty này không đáng giá gì. Tuy nhiên, như bạn sẽ thấy sau này, vốn chủ sở hữu vẫn có thể tiếp tục có giá trị, ngay cả trong những hoàn cảnh này, nếu nó được xem như một quyền chọn mua đối với tài sản của công ty.</w:t>
      </w:r>
    </w:p>
    <w:p>
      <w:bookmarkStart w:id="4726" w:name="Overlevered_with_High_Probabilit"/>
      <w:pPr>
        <w:pStyle w:val="Para 21"/>
      </w:pPr>
      <w:r>
        <w:t>Vay nợ quá mức với Xác suất Phá sản Cao</w:t>
      </w:r>
      <w:bookmarkEnd w:id="4726"/>
    </w:p>
    <w:p>
      <w:pPr>
        <w:pStyle w:val="Para 03"/>
      </w:pPr>
      <w:r>
        <w:t>Định giá dòng tiền chiết khấu được đặt điều kiện trên việc công ty là một thực thể hoạt động liên tục, với dòng tiền tiếp tục trong tương lai. Khi các vấn đề tài chính của một công ty đủ nghiêm trọng để gợi ý khả năng phá sản cao, hai cách tiếp cận khác có thể cần được sử dụng để định giá một công ty và quyền sở hữu vốn chủ sở hữu trong đó. Một là ước tính giá trị thanh lý của tài sản hiện tại, và cách còn lại là định giá công ty dựa trên giả định rằng nó vẫn là một thực thể hoạt động liên tục, rồi điều chỉnh giá trị đó theo khả năng xảy ra và hậu quả của tình trạng kiệt quệ tài chính.</w:t>
      </w:r>
    </w:p>
    <w:p>
      <w:bookmarkStart w:id="4728" w:name="Liquidation_Value__The_liquidati"/>
      <w:pPr>
        <w:pStyle w:val="Para 42"/>
      </w:pPr>
      <w:r>
        <w:t>Giá trị thanh lý</w:t>
      </w:r>
      <w:bookmarkEnd w:id="4728"/>
    </w:p>
    <w:p>
      <w:pPr>
        <w:pStyle w:val="Para 03"/>
      </w:pPr>
      <w:r>
        <w:t>Giá trị thanh lý của một doanh nghiệp là tổng giá trị mà tài sản của doanh nghiệp đó có thể đạt được trên thị trường, sau khi trừ đi chi phí giao dịch và chi phí pháp lý. Giá trị vốn chủ sở hữu có thể được tính bằng cách lấy giá trị tài sản trừ đi giá trị nợ chưa thanh toán.</w:t>
      </w:r>
    </w:p>
    <w:p>
      <w:bookmarkStart w:id="4730" w:name="Value_of_equity_Liquidation_valu"/>
      <w:pPr>
        <w:keepNext/>
        <w:pStyle w:val="Para 09"/>
        <w:keepLines w:val="on"/>
      </w:pPr>
      <w:r>
        <w:t>Giá trị vốn chủ sở hữu = Giá trị thanh lý của tài sản − Nợ chưa thanh toán</w:t>
      </w:r>
      <w:bookmarkEnd w:id="4730"/>
    </w:p>
    <w:p>
      <w:pPr>
        <w:pStyle w:val="Para 03"/>
      </w:pPr>
      <w:r>
        <w:t>Việc ước tính giá trị thanh lý trở nên phức tạp khi tài sản của doanh nghiệp không dễ tách rời, và do đó không thể định giá riêng lẻ từng tài sản. Hơn nữa, khả năng tài sản đạt được giá trị thị trường hợp lý sẽ giảm đi khi mức độ khẩn cấp của việc thanh lý tăng lên. Một doanh nghiệp đang gấp rút thanh lý tài sản có thể phải chấp nhận bán dưới giá trị thị trường hợp lý như một cái giá cho việc thực hiện nhanh chóng.</w:t>
      </w:r>
    </w:p>
    <w:p>
      <w:pPr>
        <w:pStyle w:val="Para 03"/>
      </w:pPr>
      <w:r>
        <w:t>Xin lưu ý một điều cần thận trọng: hầu như không bao giờ thích hợp để coi giá trị sổ sách của tài sản là giá trị thanh lý. Hầu hết các doanh nghiệp đang gặp khó khăn đều thu được lợi nhuận trên tài sản thấp hơn mức trung bình, và giá trị thanh lý sẽ phản ánh khả năng sinh lời của tài sản chứ không phải số vốn ban đầu đã đầu tư vào tài sản đó (đó là những gì giá trị sổ sách đo lường, sau khi trừ khấu hao).</w:t>
      </w:r>
    </w:p>
    <w:p>
      <w:bookmarkStart w:id="4731" w:name="Distress_Adjusted_DCF__Discounte"/>
      <w:pPr>
        <w:pStyle w:val="Para 42"/>
      </w:pPr>
      <w:r>
        <w:t>DCF điều chỉnh theo rủi ro kiệt quệ</w:t>
      </w:r>
      <w:bookmarkEnd w:id="4731"/>
    </w:p>
    <w:p>
      <w:pPr>
        <w:pStyle w:val="Para 03"/>
      </w:pPr>
      <w:r>
        <w:t>Phương pháp định giá dòng tiền chiết khấu (discounted cash flow – DCF) sẽ cho ra giá trị quá cao đối với một doanh nghiệp có khả năng đáng kể gặp kiệt quệ hoặc vỡ nợ, bởi vì chúng ta giả định rằng doanh nghiệp sẽ tồn tại như một thực thể hoạt động liên tục. Một cách để khắc phục sự thiên lệch này là trước tiên định giá doanh nghiệp bằng phương pháp DCF, giả định rằng nó sẽ hồi phục về tình trạng tài chính lành mạnh và sinh lời. Sau đó, chúng ta ước tính hai thông số đầu vào:</w:t>
      </w:r>
    </w:p>
    <w:p>
      <w:pPr>
        <w:numPr>
          <w:ilvl w:val="0"/>
          <w:numId w:val="237"/>
        </w:numPr>
        <w:pStyle w:val="Para 01"/>
      </w:pPr>
      <w:r>
        <w:t>Xác suất doanh nghiệp không thể tồn tại như một thực thể hoạt động liên tục (tức là xác suất vỡ nợ). Xác suất này có thể được ước tính theo một trong ba cách:</w:t>
      </w:r>
    </w:p>
    <w:p>
      <w:pPr>
        <w:numPr>
          <w:ilvl w:val="1"/>
          <w:numId w:val="237"/>
        </w:numPr>
        <w:pStyle w:val="Para 01"/>
      </w:pPr>
      <w:r>
        <w:t>Nếu công ty có trái phiếu đang giao dịch trên thị trường, có thể suy ra xác suất này từ giá của trái phiếu.</w:t>
      </w:r>
    </w:p>
    <w:p>
      <w:bookmarkStart w:id="4734" w:name="Bond_price____t_1t_nCoupon__1"/>
      <w:pPr>
        <w:keepNext/>
        <w:pStyle w:val="Para 09"/>
        <w:keepLines w:val="on"/>
      </w:pPr>
      <w:r>
        <w:t>Giá trái phiếu = ∑t=1t=nCoupon (1−πDistress)(1+Lãi suất phi rủi ro)t+Mệnh giá trái phiếu (1−πDistress)(1+Lãi suất phi rủi ro)n</w:t>
      </w:r>
      <w:bookmarkEnd w:id="4734"/>
    </w:p>
    <w:p>
      <w:pPr>
        <w:pStyle w:val="Para 03"/>
      </w:pPr>
      <w:r>
        <w:t>Chúng ta đang giải để tìm xác suất vỡ nợ được tính theo năm trong suốt vòng đời của trái phiếu và bỏ qua khả năng rằng xác suất vỡ nợ theo năm sẽ cao hơn trong những năm đầu và giảm dần trong những năm sau.</w:t>
      </w:r>
    </w:p>
    <w:p>
      <w:pPr>
        <w:numPr>
          <w:ilvl w:val="1"/>
          <w:numId w:val="237"/>
        </w:numPr>
        <w:pStyle w:val="Para 01"/>
      </w:pPr>
      <w:r>
        <w:t>Nếu công ty có xếp hạng trái phiếu, chúng ta có thể sử dụng dữ liệu lịch sử để đánh giá khả năng vỡ nợ. Bảng 22.8 sao chép lại một bảng từ Chương 12, trong đó chúng tôi báo cáo về tỷ lệ vỡ nợ trong các giai đoạn 3, 5 và 10 năm đối với trái phiếu thuộc các nhóm xếp hạng khác nhau. Dựa trên bảng này, một công ty được xếp hạng CCC có xác suất vỡ nợ là 61,67% trong vòng 10 năm.</w:t>
      </w:r>
    </w:p>
    <w:p>
      <w:pPr>
        <w:pStyle w:val="Para 34"/>
        <w:keepLines w:val="on"/>
      </w:pPr>
      <w:r>
        <w:t>Bảng 22.8</w:t>
      </w:r>
    </w:p>
    <w:p>
      <w:pPr>
        <w:keepNext/>
        <w:pStyle w:val="Para 35"/>
        <w:keepLines w:val="on"/>
      </w:pPr>
      <w:r>
        <w:t>Xác suất vỡ nợ theo nhóm xếp hạng trái phiếu</w:t>
      </w:r>
    </w:p>
    <w:tbl>
      <w:tblPr>
        <w:tblW w:type="auto" w:w="0"/>
      </w:tblPr>
      <w:tr>
        <w:tc>
          <w:tcPr>
            <w:tcW w:type="auto" w:w="0"/>
          </w:tcPr>
          <w:tbl>
            <w:tblPr>
              <w:tblW w:type="pct" w:w="5000"/>
            </w:tblPr>
            <w:tr>
              <w:tc>
                <w:tcPr>
                  <w:tcW w:type="auto" w:w="0"/>
                  <w:shd w:val="clear" w:color="auto" w:fill="F0F0F0"/>
                  <w:hMerge w:val="restart"/>
                </w:tcPr>
                <w:p>
                  <w:pPr>
                    <w:pStyle w:val="Para 17"/>
                    <w:keepLines w:val="on"/>
                  </w:pPr>
                  <w:r>
                    <w:t>Xác suất vỡ nợ theo thời gian (khung thời gian 1–10 năm)</w:t>
                  </w:r>
                </w:p>
              </w:tc>
              <w:tc>
                <w:tcPr>
                  <w:hMerge w:val="continue"/>
                </w:tcPr>
                <w:p/>
              </w:tc>
              <w:tc>
                <w:tcPr>
                  <w:hMerge w:val="continue"/>
                </w:tcPr>
                <w:p/>
              </w:tc>
              <w:tc>
                <w:tcPr>
                  <w:hMerge w:val="continue"/>
                </w:tcPr>
                <w:p/>
              </w:tc>
            </w:tr>
            <w:tr>
              <w:tc>
                <w:tcPr>
                  <w:tcW w:type="auto" w:w="0"/>
                  <w:shd w:val="clear" w:color="auto" w:fill="F0F0F0"/>
                </w:tcPr>
                <w:p>
                  <w:pPr>
                    <w:pStyle w:val="Para 29"/>
                    <w:keepLines w:val="on"/>
                  </w:pPr>
                  <w:r>
                    <w:t>Xếp hạng</w:t>
                  </w:r>
                </w:p>
              </w:tc>
              <w:tc>
                <w:tcPr>
                  <w:tcW w:type="auto" w:w="0"/>
                  <w:shd w:val="clear" w:color="auto" w:fill="F0F0F0"/>
                </w:tcPr>
                <w:p>
                  <w:pPr>
                    <w:pStyle w:val="Para 17"/>
                    <w:keepLines w:val="on"/>
                  </w:pPr>
                  <w:r>
                    <w:t>1</w:t>
                  </w:r>
                </w:p>
              </w:tc>
              <w:tc>
                <w:tcPr>
                  <w:tcW w:type="auto" w:w="0"/>
                  <w:shd w:val="clear" w:color="auto" w:fill="F0F0F0"/>
                </w:tcPr>
                <w:p>
                  <w:pPr>
                    <w:pStyle w:val="Para 17"/>
                    <w:keepLines w:val="on"/>
                  </w:pPr>
                  <w:r>
                    <w:t>5</w:t>
                  </w:r>
                </w:p>
              </w:tc>
              <w:tc>
                <w:tcPr>
                  <w:tcW w:type="auto" w:w="0"/>
                  <w:shd w:val="clear" w:color="auto" w:fill="F0F0F0"/>
                </w:tcPr>
                <w:p>
                  <w:pPr>
                    <w:pStyle w:val="Para 17"/>
                    <w:keepLines w:val="on"/>
                  </w:pPr>
                  <w:r>
                    <w:t>10</w:t>
                  </w:r>
                </w:p>
              </w:tc>
            </w:tr>
            <w:tr>
              <w:tc>
                <w:tcPr>
                  <w:tcW w:type="auto" w:w="0"/>
                  <w:shd w:val="clear" w:color="auto" w:fill="F0F0F0"/>
                </w:tcPr>
                <w:p>
                  <w:pPr>
                    <w:pStyle w:val="Para 02"/>
                    <w:keepLines w:val="on"/>
                  </w:pPr>
                  <w:r>
                    <w:t>AAA</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0,35%</w:t>
                  </w:r>
                </w:p>
              </w:tc>
              <w:tc>
                <w:tcPr>
                  <w:tcW w:type="auto" w:w="0"/>
                  <w:shd w:val="clear" w:color="auto" w:fill="F0F0F0"/>
                </w:tcPr>
                <w:p>
                  <w:pPr>
                    <w:pStyle w:val="Normal"/>
                    <w:keepLines w:val="on"/>
                  </w:pPr>
                  <w:r>
                    <w:t>0,70%</w:t>
                  </w:r>
                </w:p>
              </w:tc>
            </w:tr>
            <w:tr>
              <w:tc>
                <w:tcPr>
                  <w:tcW w:type="auto" w:w="0"/>
                  <w:shd w:val="clear" w:color="auto" w:fill="F0F0F0"/>
                </w:tcPr>
                <w:p>
                  <w:pPr>
                    <w:pStyle w:val="Para 02"/>
                    <w:keepLines w:val="on"/>
                  </w:pPr>
                  <w:r>
                    <w:t>AA</w:t>
                  </w:r>
                </w:p>
              </w:tc>
              <w:tc>
                <w:tcPr>
                  <w:tcW w:type="auto" w:w="0"/>
                  <w:shd w:val="clear" w:color="auto" w:fill="F0F0F0"/>
                </w:tcPr>
                <w:p>
                  <w:pPr>
                    <w:pStyle w:val="Normal"/>
                    <w:keepLines w:val="on"/>
                  </w:pPr>
                  <w:r>
                    <w:t>0,02%</w:t>
                  </w:r>
                </w:p>
              </w:tc>
              <w:tc>
                <w:tcPr>
                  <w:tcW w:type="auto" w:w="0"/>
                  <w:shd w:val="clear" w:color="auto" w:fill="F0F0F0"/>
                </w:tcPr>
                <w:p>
                  <w:pPr>
                    <w:pStyle w:val="Normal"/>
                    <w:keepLines w:val="on"/>
                  </w:pPr>
                  <w:r>
                    <w:t>0,31%</w:t>
                  </w:r>
                </w:p>
              </w:tc>
              <w:tc>
                <w:tcPr>
                  <w:tcW w:type="auto" w:w="0"/>
                  <w:shd w:val="clear" w:color="auto" w:fill="F0F0F0"/>
                </w:tcPr>
                <w:p>
                  <w:pPr>
                    <w:pStyle w:val="Normal"/>
                    <w:keepLines w:val="on"/>
                  </w:pPr>
                  <w:r>
                    <w:t>0,72%</w:t>
                  </w:r>
                </w:p>
              </w:tc>
            </w:tr>
            <w:tr>
              <w:tc>
                <w:tcPr>
                  <w:tcW w:type="auto" w:w="0"/>
                  <w:shd w:val="clear" w:color="auto" w:fill="F0F0F0"/>
                </w:tcPr>
                <w:p>
                  <w:pPr>
                    <w:pStyle w:val="Para 02"/>
                    <w:keepLines w:val="on"/>
                  </w:pPr>
                  <w:r>
                    <w:t>A</w:t>
                  </w:r>
                </w:p>
              </w:tc>
              <w:tc>
                <w:tcPr>
                  <w:tcW w:type="auto" w:w="0"/>
                  <w:shd w:val="clear" w:color="auto" w:fill="F0F0F0"/>
                </w:tcPr>
                <w:p>
                  <w:pPr>
                    <w:pStyle w:val="Normal"/>
                    <w:keepLines w:val="on"/>
                  </w:pPr>
                  <w:r>
                    <w:t>0,05%</w:t>
                  </w:r>
                </w:p>
              </w:tc>
              <w:tc>
                <w:tcPr>
                  <w:tcW w:type="auto" w:w="0"/>
                  <w:shd w:val="clear" w:color="auto" w:fill="F0F0F0"/>
                </w:tcPr>
                <w:p>
                  <w:pPr>
                    <w:pStyle w:val="Normal"/>
                    <w:keepLines w:val="on"/>
                  </w:pPr>
                  <w:r>
                    <w:t>0,47%</w:t>
                  </w:r>
                </w:p>
              </w:tc>
              <w:tc>
                <w:tcPr>
                  <w:tcW w:type="auto" w:w="0"/>
                  <w:shd w:val="clear" w:color="auto" w:fill="F0F0F0"/>
                </w:tcPr>
                <w:p>
                  <w:pPr>
                    <w:pStyle w:val="Normal"/>
                    <w:keepLines w:val="on"/>
                  </w:pPr>
                  <w:r>
                    <w:t>1,24%</w:t>
                  </w:r>
                </w:p>
              </w:tc>
            </w:tr>
            <w:tr>
              <w:tc>
                <w:tcPr>
                  <w:tcW w:type="auto" w:w="0"/>
                  <w:shd w:val="clear" w:color="auto" w:fill="F0F0F0"/>
                </w:tcPr>
                <w:p>
                  <w:pPr>
                    <w:pStyle w:val="Para 02"/>
                    <w:keepLines w:val="on"/>
                  </w:pPr>
                  <w:r>
                    <w:t>BBB</w:t>
                  </w:r>
                </w:p>
              </w:tc>
              <w:tc>
                <w:tcPr>
                  <w:tcW w:type="auto" w:w="0"/>
                  <w:shd w:val="clear" w:color="auto" w:fill="F0F0F0"/>
                </w:tcPr>
                <w:p>
                  <w:pPr>
                    <w:pStyle w:val="Normal"/>
                    <w:keepLines w:val="on"/>
                  </w:pPr>
                  <w:r>
                    <w:t>0,16%</w:t>
                  </w:r>
                </w:p>
              </w:tc>
              <w:tc>
                <w:tcPr>
                  <w:tcW w:type="auto" w:w="0"/>
                  <w:shd w:val="clear" w:color="auto" w:fill="F0F0F0"/>
                </w:tcPr>
                <w:p>
                  <w:pPr>
                    <w:pStyle w:val="Normal"/>
                    <w:keepLines w:val="on"/>
                  </w:pPr>
                  <w:r>
                    <w:t>1,58%</w:t>
                  </w:r>
                </w:p>
              </w:tc>
              <w:tc>
                <w:tcPr>
                  <w:tcW w:type="auto" w:w="0"/>
                  <w:shd w:val="clear" w:color="auto" w:fill="F0F0F0"/>
                </w:tcPr>
                <w:p>
                  <w:pPr>
                    <w:pStyle w:val="Normal"/>
                    <w:keepLines w:val="on"/>
                  </w:pPr>
                  <w:r>
                    <w:t>3,32%</w:t>
                  </w:r>
                </w:p>
              </w:tc>
            </w:tr>
            <w:tr>
              <w:tc>
                <w:tcPr>
                  <w:tcW w:type="auto" w:w="0"/>
                  <w:shd w:val="clear" w:color="auto" w:fill="F0F0F0"/>
                </w:tcPr>
                <w:p>
                  <w:pPr>
                    <w:pStyle w:val="Para 02"/>
                    <w:keepLines w:val="on"/>
                  </w:pPr>
                  <w:r>
                    <w:t>BB</w:t>
                  </w:r>
                </w:p>
              </w:tc>
              <w:tc>
                <w:tcPr>
                  <w:tcW w:type="auto" w:w="0"/>
                  <w:shd w:val="clear" w:color="auto" w:fill="F0F0F0"/>
                </w:tcPr>
                <w:p>
                  <w:pPr>
                    <w:pStyle w:val="Normal"/>
                    <w:keepLines w:val="on"/>
                  </w:pPr>
                  <w:r>
                    <w:t>0,61%</w:t>
                  </w:r>
                </w:p>
              </w:tc>
              <w:tc>
                <w:tcPr>
                  <w:tcW w:type="auto" w:w="0"/>
                  <w:shd w:val="clear" w:color="auto" w:fill="F0F0F0"/>
                </w:tcPr>
                <w:p>
                  <w:pPr>
                    <w:pStyle w:val="Normal"/>
                    <w:keepLines w:val="on"/>
                  </w:pPr>
                  <w:r>
                    <w:t>6,52%</w:t>
                  </w:r>
                </w:p>
              </w:tc>
              <w:tc>
                <w:tcPr>
                  <w:tcW w:type="auto" w:w="0"/>
                  <w:shd w:val="clear" w:color="auto" w:fill="F0F0F0"/>
                </w:tcPr>
                <w:p>
                  <w:pPr>
                    <w:pStyle w:val="Normal"/>
                    <w:keepLines w:val="on"/>
                  </w:pPr>
                  <w:r>
                    <w:t>11,78%</w:t>
                  </w:r>
                </w:p>
              </w:tc>
            </w:tr>
            <w:tr>
              <w:tc>
                <w:tcPr>
                  <w:tcW w:type="auto" w:w="0"/>
                  <w:shd w:val="clear" w:color="auto" w:fill="F0F0F0"/>
                </w:tcPr>
                <w:p>
                  <w:pPr>
                    <w:pStyle w:val="Para 02"/>
                    <w:keepLines w:val="on"/>
                  </w:pPr>
                  <w:r>
                    <w:t>B</w:t>
                  </w:r>
                </w:p>
              </w:tc>
              <w:tc>
                <w:tcPr>
                  <w:tcW w:type="auto" w:w="0"/>
                  <w:shd w:val="clear" w:color="auto" w:fill="F0F0F0"/>
                </w:tcPr>
                <w:p>
                  <w:pPr>
                    <w:pStyle w:val="Normal"/>
                    <w:keepLines w:val="on"/>
                  </w:pPr>
                  <w:r>
                    <w:t>3,33%</w:t>
                  </w:r>
                </w:p>
              </w:tc>
              <w:tc>
                <w:tcPr>
                  <w:tcW w:type="auto" w:w="0"/>
                  <w:shd w:val="clear" w:color="auto" w:fill="F0F0F0"/>
                </w:tcPr>
                <w:p>
                  <w:pPr>
                    <w:pStyle w:val="Normal"/>
                    <w:keepLines w:val="on"/>
                  </w:pPr>
                  <w:r>
                    <w:t>16,93%</w:t>
                  </w:r>
                </w:p>
              </w:tc>
              <w:tc>
                <w:tcPr>
                  <w:tcW w:type="auto" w:w="0"/>
                  <w:shd w:val="clear" w:color="auto" w:fill="F0F0F0"/>
                </w:tcPr>
                <w:p>
                  <w:pPr>
                    <w:pStyle w:val="Normal"/>
                    <w:keepLines w:val="on"/>
                  </w:pPr>
                  <w:r>
                    <w:t>23,74%</w:t>
                  </w:r>
                </w:p>
              </w:tc>
            </w:tr>
            <w:tr>
              <w:tc>
                <w:tcPr>
                  <w:tcW w:type="auto" w:w="0"/>
                  <w:shd w:val="clear" w:color="auto" w:fill="F0F0F0"/>
                </w:tcPr>
                <w:p>
                  <w:pPr>
                    <w:pStyle w:val="Para 02"/>
                    <w:keepLines w:val="on"/>
                  </w:pPr>
                  <w:r>
                    <w:t>CCC/C</w:t>
                  </w:r>
                </w:p>
              </w:tc>
              <w:tc>
                <w:tcPr>
                  <w:tcW w:type="auto" w:w="0"/>
                  <w:shd w:val="clear" w:color="auto" w:fill="F0F0F0"/>
                </w:tcPr>
                <w:p>
                  <w:pPr>
                    <w:pStyle w:val="Normal"/>
                    <w:keepLines w:val="on"/>
                  </w:pPr>
                  <w:r>
                    <w:t>27,08%</w:t>
                  </w:r>
                </w:p>
              </w:tc>
              <w:tc>
                <w:tcPr>
                  <w:tcW w:type="auto" w:w="0"/>
                  <w:shd w:val="clear" w:color="auto" w:fill="F0F0F0"/>
                </w:tcPr>
                <w:p>
                  <w:pPr>
                    <w:pStyle w:val="Normal"/>
                    <w:keepLines w:val="on"/>
                  </w:pPr>
                  <w:r>
                    <w:t>46,19%</w:t>
                  </w:r>
                </w:p>
              </w:tc>
              <w:tc>
                <w:tcPr>
                  <w:tcW w:type="auto" w:w="0"/>
                  <w:shd w:val="clear" w:color="auto" w:fill="F0F0F0"/>
                </w:tcPr>
                <w:p>
                  <w:pPr>
                    <w:pStyle w:val="Normal"/>
                    <w:keepLines w:val="on"/>
                  </w:pPr>
                  <w:r>
                    <w:t>50,38%</w:t>
                  </w:r>
                </w:p>
              </w:tc>
            </w:tr>
          </w:tbl>
          <w:p/>
        </w:tc>
      </w:tr>
    </w:tbl>
    <w:p>
      <w:pPr>
        <w:numPr>
          <w:ilvl w:val="1"/>
          <w:numId w:val="237"/>
        </w:numPr>
        <w:pStyle w:val="Para 01"/>
      </w:pPr>
      <w:r>
        <w:t>Nếu không có trái phiếu lẫn xếp hạng tín nhiệm, chúng ta có thể dùng các kỹ thuật thống kê (chẳng hạn như probit) để ước lượng xác suất phá sản.</w:t>
      </w:r>
    </w:p>
    <w:p>
      <w:pPr>
        <w:numPr>
          <w:ilvl w:val="0"/>
          <w:numId w:val="237"/>
        </w:numPr>
        <w:pStyle w:val="Para 01"/>
      </w:pPr>
      <w:r>
        <w:t>Giá trị mà công ty có thể thu được cho tài sản của mình trong trường hợp vỡ nợ. Thực chất, chúng ta đang dùng các kỹ thuật ước lượng giá trị thanh lý đã trình bày ở phần trước. Sau khi trừ đi phần nợ chưa thanh toán, ta sẽ có giá trị vốn chủ sở hữu khi vỡ nợ. (Trong hầu hết các trường hợp, nhà đầu tư vốn chủ sở hữu sẽ chẳng nhận được gì.)</w:t>
      </w:r>
    </w:p>
    <w:p>
      <w:pPr>
        <w:pStyle w:val="Para 03"/>
      </w:pPr>
      <w:r>
        <w:t>Sau khi đã ước lượng được những con số này, giá trị vốn chủ sở hữu của công ty ở thời điểm hiện tại có thể được viết dưới dạng bình quân gia quyền theo xác suất của giá trị hoạt động liên tục và giá trị khi lâm vào cảnh khốn khó:</w:t>
      </w:r>
    </w:p>
    <w:p>
      <w:bookmarkStart w:id="4736" w:name="Value_of_equity_today_Value_of_e"/>
      <w:pPr>
        <w:keepNext/>
        <w:pStyle w:val="Para 09"/>
        <w:keepLines w:val="on"/>
      </w:pPr>
      <w:r>
        <w:t>Giá trị vốn chủ sở hữu hôm nay = Giá trị vốn chủ sở hữu khi hoạt động liên tục (1 − Xác suất vỡ nợ) + Giá trị vốn chủ sở hữu khi vỡ nợ (Xác suất vỡ nợ)</w:t>
      </w:r>
      <w:bookmarkEnd w:id="4736"/>
    </w:p>
    <w:p>
      <w:pPr>
        <w:pStyle w:val="Para 20"/>
      </w:pPr>
      <w:r>
        <w:rPr>
          <w:rStyle w:val="Text26"/>
        </w:rPr>
        <w:bookmarkStart w:id="4737" w:name="Page_724"/>
        <w:t/>
        <w:bookmarkEnd w:id="4737"/>
      </w:r>
      <w:r>
        <w:t xml:space="preserve"> </w:t>
      </w:r>
    </w:p>
    <w:p>
      <w:pPr>
        <w:pStyle w:val="Para 11"/>
      </w:pPr>
      <w:r>
        <w:t/>
        <w:t xml:space="preserve"> </w:t>
      </w:r>
    </w:p>
    <w:p>
      <w:bookmarkStart w:id="4738" w:name="ILLUSTRATION_22_8__Valuing_a_Com_1"/>
      <w:bookmarkStart w:id="4739" w:name="ILLUSTRATION_22_8__Valuing_a_Com"/>
      <w:pPr>
        <w:keepNext/>
        <w:pStyle w:val="Para 19"/>
        <w:keepLines w:val="on"/>
      </w:pPr>
      <w:r>
        <w:t>MINH HỌA 22.8: Định giá một công ty có thu nhập hoạt động suy giảm và nợ lớn—MGM Resorts vào tháng 5 năm 2011</w:t>
      </w:r>
      <w:bookmarkEnd w:id="4738"/>
      <w:bookmarkEnd w:id="4739"/>
    </w:p>
    <w:p>
      <w:pPr>
        <w:pStyle w:val="Para 04"/>
        <w:keepLines w:val="on"/>
      </w:pPr>
      <w:r>
        <w:t>MGM Resorts là một trong những công ty game hàng đầu thế giới, với các sòng bạc ở Hoa Kỳ và Macau. Giống như các công ty khác trong ngành, công ty đã vay một khoản tiền lớn để tài trợ cho việc mở rộng của mình từ năm 2002 đến 2008. Khi nền kinh tế chậm lại, thu nhập hoạt động của công ty giảm từ 1.425 triệu đô la năm 2007 xuống còn 371 triệu đô la năm 2010, và thu nhập ròng còn giảm mạnh hơn nữa từ 1.584 triệu đô la năm 2007 xuống còn –1.437 triệu đô la năm 2010. Vào tháng 5 năm 2011, công ty được xếp hạng CCC, và nguy cơ vỡ nợ đang lơ lửng.</w:t>
      </w:r>
    </w:p>
    <w:p>
      <w:pPr>
        <w:pStyle w:val="Para 04"/>
        <w:keepLines w:val="on"/>
      </w:pPr>
      <w:r>
        <w:t>Để MGM tồn tại như một thực thể hoạt động liên tục, công ty cần giải quyết hai vấn đề. Thứ nhất, công ty phải sửa chữa biên lợi nhuận hoạt động của mình và quay trở lại tăng trưởng doanh thu dương; doanh thu của công ty đã giảm từ 7.962 triệu đô la năm 2007 xuống còn 6.019 triệu đô la năm 2010. Thứ hai, công ty phải giảm gánh nặng nợ của mình; tỷ lệ nợ trên vốn theo giá thị trường của công ty là 59,70% vào tháng 5 năm 2011, cao hơn đáng kể so với mức trung bình của ngành là 46,21%. Để định giá MGM như một thực thể hoạt động liên tục, chúng tôi đưa ra các giả định sau:</w:t>
      </w:r>
    </w:p>
    <w:p>
      <w:pPr>
        <w:numPr>
          <w:ilvl w:val="0"/>
          <w:numId w:val="238"/>
        </w:numPr>
        <w:pStyle w:val="Para 18"/>
        <w:keepLines w:val="on"/>
      </w:pPr>
      <w:r>
        <w:t>Tăng trưởng doanh thu. Chúng tôi thấy tăng trưởng doanh thu quay trở lại vào năm 2011, với tốc độ tăng trưởng 6%, tiếp theo là tăng trưởng 15% trong bốn năm tiếp theo và sau đó giảm dần xuống tốc độ tăng trưởng ổn định là 3% sau năm thứ 10.</w:t>
      </w:r>
    </w:p>
    <w:p>
      <w:pPr>
        <w:numPr>
          <w:ilvl w:val="0"/>
          <w:numId w:val="238"/>
        </w:numPr>
        <w:pStyle w:val="Para 18"/>
        <w:keepLines w:val="on"/>
      </w:pPr>
      <w:r>
        <w:t>Biên lợi nhuận hoạt động. Biên lợi nhuận hoạt động trước thuế hiện tại là 6,23% được kỳ vọng sẽ tăng lên mức trung bình của ngành là 19,84% trong 10 năm tới, với những cải thiện đáng kể hơn trong những năm đầu.</w:t>
      </w:r>
    </w:p>
    <w:p>
      <w:pPr>
        <w:numPr>
          <w:ilvl w:val="0"/>
          <w:numId w:val="238"/>
        </w:numPr>
        <w:pStyle w:val="Para 18"/>
        <w:keepLines w:val="on"/>
      </w:pPr>
      <w:r>
        <w:t>Tỷ lệ nợ và chi phí vốn. Trong khi chúng tôi giữ nguyên tỷ lệ nợ ở mức 59,7% trong năm năm tới, chúng tôi giả định rằng tỷ lệ nợ sẽ giảm theo các bước tuyến tính sau năm thứ 5 xuống mức trung bình của ngành là 46,21% vào năm thứ 10. Khi tỷ lệ nợ giảm, chúng tôi kỳ vọng hệ số beta (hiện tại là 2,63, do tỷ lệ nợ cao) sẽ giảm xuống còn 1,20 trong giai đoạn tăng trưởng ổn định. Chi phí nợ trước thuế (được đặt ở mức 11,5% để phản ánh xếp hạng CCC hiện tại) không thay đổi trong năm năm đầu tiên, và sau đó giảm theo các bước tuyến tính xuống chi phí nợ trước thuế là 6% vĩnh viễn.</w:t>
      </w:r>
    </w:p>
    <w:p>
      <w:pPr>
        <w:numPr>
          <w:ilvl w:val="0"/>
          <w:numId w:val="238"/>
        </w:numPr>
        <w:pStyle w:val="Para 18"/>
        <w:keepLines w:val="on"/>
      </w:pPr>
      <w:r>
        <w:t>Tái đầu tư. Vì phần lớn tăng trưởng sẽ đến từ việc sử dụng tài sản hiện có hiệu quả hơn, MGM sẽ có thể đạt được mức tăng trưởng đó với tương đối ít tái đầu tư trong năm năm đầu tiên, nhưng tỷ lệ tái đầu tư sẽ tăng dần trong năm năm tiếp theo để đạt mức ổn định là 30%. Mức đó được ước tính bằng cách sử dụng tốc độ tăng trưởng ổn định là 3% và giả định lợi nhuận trên vốn vĩnh viễn là 10%.</w:t>
      </w:r>
    </w:p>
    <w:p>
      <w:pPr>
        <w:pStyle w:val="Para 04"/>
        <w:keepLines w:val="on"/>
      </w:pPr>
      <w:r>
        <w:t>Tổng hợp tất cả các giả định này lại, chúng tôi ước tính doanh thu, thu nhập hoạt động và dòng tiền tự do cho công ty trong Bảng 22.9:</w:t>
      </w:r>
    </w:p>
    <w:p>
      <w:pPr>
        <w:pStyle w:val="Para 25"/>
        <w:keepLines w:val="on"/>
      </w:pPr>
      <w:r>
        <w:t>Bảng 22.9</w:t>
      </w:r>
    </w:p>
    <w:p>
      <w:pPr>
        <w:keepNext/>
        <w:pStyle w:val="Para 24"/>
        <w:keepLines w:val="on"/>
      </w:pPr>
      <w:r>
        <w:t>Dòng tiền tự do kỳ vọng</w:t>
      </w:r>
    </w:p>
    <w:tbl>
      <w:tblPr>
        <w:tblW w:type="auto" w:w="0"/>
      </w:tblPr>
      <w:tr>
        <w:tc>
          <w:tcPr>
            <w:tcW w:type="auto" w:w="0"/>
          </w:tcPr>
          <w:tbl>
            <w:tblPr>
              <w:tblW w:type="pct" w:w="5000"/>
            </w:tblPr>
            <w:tr>
              <w:tc>
                <w:tcPr>
                  <w:tcW w:type="auto" w:w="0"/>
                  <w:shd w:val="clear" w:color="auto" w:fill="F0F0F0"/>
                  <w:vAlign w:val="bottom"/>
                </w:tcPr>
                <w:p>
                  <w:pPr>
                    <w:pStyle w:val="Para 05"/>
                    <w:keepLines w:val="on"/>
                  </w:pPr>
                  <w:r>
                    <w:t>Năm</w:t>
                  </w:r>
                </w:p>
              </w:tc>
              <w:tc>
                <w:tcPr>
                  <w:tcW w:type="auto" w:w="0"/>
                  <w:shd w:val="clear" w:color="auto" w:fill="F0F0F0"/>
                  <w:vAlign w:val="bottom"/>
                </w:tcPr>
                <w:p>
                  <w:pPr>
                    <w:pStyle w:val="Para 05"/>
                    <w:keepLines w:val="on"/>
                  </w:pPr>
                  <w:r>
                    <w:t>Doanh thu</w:t>
                  </w:r>
                </w:p>
              </w:tc>
              <w:tc>
                <w:tcPr>
                  <w:tcW w:type="auto" w:w="0"/>
                  <w:shd w:val="clear" w:color="auto" w:fill="F0F0F0"/>
                  <w:vAlign w:val="bottom"/>
                </w:tcPr>
                <w:p>
                  <w:pPr>
                    <w:pStyle w:val="Para 05"/>
                    <w:keepLines w:val="on"/>
                  </w:pPr>
                  <w:r>
                    <w:t>Tăng trưởng doanh thu</w:t>
                  </w:r>
                </w:p>
              </w:tc>
              <w:tc>
                <w:tcPr>
                  <w:tcW w:type="auto" w:w="0"/>
                  <w:shd w:val="clear" w:color="auto" w:fill="F0F0F0"/>
                  <w:vAlign w:val="bottom"/>
                </w:tcPr>
                <w:p>
                  <w:pPr>
                    <w:pStyle w:val="Para 05"/>
                    <w:keepLines w:val="on"/>
                  </w:pPr>
                  <w:r>
                    <w:t>Biên lợi nhuận hoạt động</w:t>
                  </w:r>
                </w:p>
              </w:tc>
              <w:tc>
                <w:tcPr>
                  <w:tcW w:type="auto" w:w="0"/>
                  <w:shd w:val="clear" w:color="auto" w:fill="F0F0F0"/>
                  <w:vAlign w:val="bottom"/>
                </w:tcPr>
                <w:p>
                  <w:pPr>
                    <w:pStyle w:val="Para 05"/>
                    <w:keepLines w:val="on"/>
                  </w:pPr>
                  <w:r>
                    <w:t>EBIT</w:t>
                  </w:r>
                </w:p>
              </w:tc>
              <w:tc>
                <w:tcPr>
                  <w:tcW w:type="auto" w:w="0"/>
                  <w:shd w:val="clear" w:color="auto" w:fill="F0F0F0"/>
                  <w:vAlign w:val="bottom"/>
                </w:tcPr>
                <w:p>
                  <w:pPr>
                    <w:pStyle w:val="Para 05"/>
                    <w:keepLines w:val="on"/>
                  </w:pPr>
                  <w:r>
                    <w:t>EBIT (1−t)</w:t>
                  </w:r>
                </w:p>
              </w:tc>
              <w:tc>
                <w:tcPr>
                  <w:tcW w:type="auto" w:w="0"/>
                  <w:shd w:val="clear" w:color="auto" w:fill="F0F0F0"/>
                  <w:vAlign w:val="bottom"/>
                </w:tcPr>
                <w:p>
                  <w:pPr>
                    <w:pStyle w:val="Para 05"/>
                    <w:keepLines w:val="on"/>
                  </w:pPr>
                  <w:r>
                    <w:t>Tái đầu tư</w:t>
                  </w:r>
                </w:p>
              </w:tc>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FCFF</w:t>
                  </w:r>
                </w:p>
              </w:tc>
            </w:tr>
            <w:tr>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Para 05"/>
                    <w:keepLines w:val="on"/>
                  </w:pPr>
                  <w:r>
                    <w:t>Tỷ lệ (%)</w:t>
                  </w:r>
                </w:p>
              </w:tc>
              <w:tc>
                <w:tcPr>
                  <w:tcW w:type="auto" w:w="0"/>
                  <w:shd w:val="clear" w:color="auto" w:fill="F0F0F0"/>
                </w:tcPr>
                <w:p>
                  <w:pPr>
                    <w:pStyle w:val="Para 05"/>
                    <w:keepLines w:val="on"/>
                  </w:pPr>
                  <w:r>
                    <w:t>Giá trị $</w:t>
                  </w:r>
                </w:p>
              </w:tc>
              <w:tc>
                <w:tcPr>
                  <w:tcW w:type="auto" w:w="0"/>
                  <w:shd w:val="clear" w:color="auto" w:fill="F0F0F0"/>
                </w:tcPr>
                <w:p>
                  <w:pPr>
                    <w:pStyle w:val="5 Block"/>
                    <w:keepLines w:val="on"/>
                  </w:pPr>
                </w:p>
              </w:tc>
            </w:tr>
            <w:tr>
              <w:tc>
                <w:tcPr>
                  <w:tcW w:type="auto" w:w="0"/>
                  <w:shd w:val="clear" w:color="auto" w:fill="F0F0F0"/>
                </w:tcPr>
                <w:p>
                  <w:pPr>
                    <w:pStyle w:val="Normal"/>
                    <w:keepLines w:val="on"/>
                  </w:pPr>
                  <w:r>
                    <w:t>Cơ sở</w:t>
                  </w:r>
                </w:p>
              </w:tc>
              <w:tc>
                <w:tcPr>
                  <w:tcW w:type="auto" w:w="0"/>
                  <w:shd w:val="clear" w:color="auto" w:fill="F0F0F0"/>
                </w:tcPr>
                <w:p>
                  <w:pPr>
                    <w:pStyle w:val="Normal"/>
                    <w:keepLines w:val="on"/>
                  </w:pPr>
                  <w:r>
                    <w:t>6.019 đô la</w:t>
                  </w:r>
                </w:p>
              </w:tc>
              <w:tc>
                <w:tcPr>
                  <w:tcW w:type="auto" w:w="0"/>
                  <w:shd w:val="clear" w:color="auto" w:fill="F0F0F0"/>
                </w:tcPr>
                <w:p>
                  <w:pPr>
                    <w:pStyle w:val="7 Block"/>
                    <w:keepLines w:val="on"/>
                  </w:pPr>
                </w:p>
              </w:tc>
              <w:tc>
                <w:tcPr>
                  <w:tcW w:type="auto" w:w="0"/>
                  <w:shd w:val="clear" w:color="auto" w:fill="F0F0F0"/>
                </w:tcPr>
                <w:p>
                  <w:pPr>
                    <w:pStyle w:val="Normal"/>
                    <w:keepLines w:val="on"/>
                  </w:pPr>
                  <w:r>
                    <w:t>6,23%</w:t>
                  </w:r>
                </w:p>
              </w:tc>
              <w:tc>
                <w:tcPr>
                  <w:tcW w:type="auto" w:w="0"/>
                  <w:shd w:val="clear" w:color="auto" w:fill="F0F0F0"/>
                </w:tcPr>
                <w:p>
                  <w:pPr>
                    <w:pStyle w:val="Normal"/>
                    <w:keepLines w:val="on"/>
                  </w:pPr>
                  <w:r>
                    <w:t>375 đô la</w:t>
                  </w:r>
                </w:p>
              </w:tc>
              <w:tc>
                <w:tcPr>
                  <w:tcW w:type="auto" w:w="0"/>
                  <w:shd w:val="clear" w:color="auto" w:fill="F0F0F0"/>
                </w:tcPr>
                <w:p>
                  <w:pPr>
                    <w:pStyle w:val="Normal"/>
                    <w:keepLines w:val="on"/>
                  </w:pPr>
                  <w:r>
                    <w:t>$233</w:t>
                  </w:r>
                </w:p>
              </w:tc>
              <w:tc>
                <w:tcPr>
                  <w:tcW w:type="auto" w:w="0"/>
                  <w:shd w:val="clear" w:color="auto" w:fill="F0F0F0"/>
                </w:tcPr>
                <w:p>
                  <w:pPr>
                    <w:pStyle w:val="Normal"/>
                    <w:keepLines w:val="on"/>
                  </w:pPr>
                  <w:r>
                    <w:t>19,78%</w:t>
                  </w:r>
                </w:p>
              </w:tc>
              <w:tc>
                <w:tcPr>
                  <w:tcW w:type="auto" w:w="0"/>
                  <w:shd w:val="clear" w:color="auto" w:fill="F0F0F0"/>
                </w:tcPr>
                <w:p>
                  <w:pPr>
                    <w:pStyle w:val="Normal"/>
                    <w:keepLines w:val="on"/>
                  </w:pPr>
                  <w:r>
                    <w:t>$46</w:t>
                  </w:r>
                </w:p>
              </w:tc>
              <w:tc>
                <w:tcPr>
                  <w:tcW w:type="auto" w:w="0"/>
                  <w:shd w:val="clear" w:color="auto" w:fill="F0F0F0"/>
                </w:tcPr>
                <w:p>
                  <w:pPr>
                    <w:pStyle w:val="Normal"/>
                    <w:keepLines w:val="on"/>
                  </w:pPr>
                  <w:r>
                    <w:t>$187</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$6.380</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10,77%</w:t>
                  </w:r>
                </w:p>
              </w:tc>
              <w:tc>
                <w:tcPr>
                  <w:tcW w:type="auto" w:w="0"/>
                  <w:shd w:val="clear" w:color="auto" w:fill="F0F0F0"/>
                </w:tcPr>
                <w:p>
                  <w:pPr>
                    <w:pStyle w:val="Normal"/>
                    <w:keepLines w:val="on"/>
                  </w:pPr>
                  <w:r>
                    <w:t>$687</w:t>
                  </w:r>
                </w:p>
              </w:tc>
              <w:tc>
                <w:tcPr>
                  <w:tcW w:type="auto" w:w="0"/>
                  <w:shd w:val="clear" w:color="auto" w:fill="F0F0F0"/>
                </w:tcPr>
                <w:p>
                  <w:pPr>
                    <w:pStyle w:val="Normal"/>
                    <w:keepLines w:val="on"/>
                  </w:pPr>
                  <w:r>
                    <w:t>$426</w:t>
                  </w:r>
                </w:p>
              </w:tc>
              <w:tc>
                <w:tcPr>
                  <w:tcW w:type="auto" w:w="0"/>
                  <w:shd w:val="clear" w:color="auto" w:fill="F0F0F0"/>
                </w:tcPr>
                <w:p>
                  <w:pPr>
                    <w:pStyle w:val="Normal"/>
                    <w:keepLines w:val="on"/>
                  </w:pPr>
                  <w:r>
                    <w:t>–5,91%</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$451</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$7.656</w:t>
                  </w:r>
                </w:p>
              </w:tc>
              <w:tc>
                <w:tcPr>
                  <w:tcW w:type="auto" w:w="0"/>
                  <w:shd w:val="clear" w:color="auto" w:fill="F0F0F0"/>
                </w:tcPr>
                <w:p>
                  <w:pPr>
                    <w:pStyle w:val="Normal"/>
                    <w:keepLines w:val="on"/>
                  </w:pPr>
                  <w:r>
                    <w:t>20,00%</w:t>
                  </w:r>
                </w:p>
              </w:tc>
              <w:tc>
                <w:tcPr>
                  <w:tcW w:type="auto" w:w="0"/>
                  <w:shd w:val="clear" w:color="auto" w:fill="F0F0F0"/>
                </w:tcPr>
                <w:p>
                  <w:pPr>
                    <w:pStyle w:val="Normal"/>
                    <w:keepLines w:val="on"/>
                  </w:pPr>
                  <w:r>
                    <w:t>13,79%</w:t>
                  </w:r>
                </w:p>
              </w:tc>
              <w:tc>
                <w:tcPr>
                  <w:tcW w:type="auto" w:w="0"/>
                  <w:shd w:val="clear" w:color="auto" w:fill="F0F0F0"/>
                </w:tcPr>
                <w:p>
                  <w:pPr>
                    <w:pStyle w:val="Normal"/>
                    <w:keepLines w:val="on"/>
                  </w:pPr>
                  <w:r>
                    <w:t>$1.056</w:t>
                  </w:r>
                </w:p>
              </w:tc>
              <w:tc>
                <w:tcPr>
                  <w:tcW w:type="auto" w:w="0"/>
                  <w:shd w:val="clear" w:color="auto" w:fill="F0F0F0"/>
                </w:tcPr>
                <w:p>
                  <w:pPr>
                    <w:pStyle w:val="Normal"/>
                    <w:keepLines w:val="on"/>
                  </w:pPr>
                  <w:r>
                    <w:t>$655</w:t>
                  </w:r>
                </w:p>
              </w:tc>
              <w:tc>
                <w:tcPr>
                  <w:tcW w:type="auto" w:w="0"/>
                  <w:shd w:val="clear" w:color="auto" w:fill="F0F0F0"/>
                </w:tcPr>
                <w:p>
                  <w:pPr>
                    <w:pStyle w:val="Normal"/>
                    <w:keepLines w:val="on"/>
                  </w:pPr>
                  <w:r>
                    <w:t>0,95%</w:t>
                  </w:r>
                </w:p>
              </w:tc>
              <w:tc>
                <w:tcPr>
                  <w:tcW w:type="auto" w:w="0"/>
                  <w:shd w:val="clear" w:color="auto" w:fill="F0F0F0"/>
                </w:tcPr>
                <w:p>
                  <w:pPr>
                    <w:pStyle w:val="Normal"/>
                    <w:keepLines w:val="on"/>
                  </w:pPr>
                  <w:r>
                    <w:t>$6</w:t>
                  </w:r>
                </w:p>
              </w:tc>
              <w:tc>
                <w:tcPr>
                  <w:tcW w:type="auto" w:w="0"/>
                  <w:shd w:val="clear" w:color="auto" w:fill="F0F0F0"/>
                </w:tcPr>
                <w:p>
                  <w:pPr>
                    <w:pStyle w:val="Normal"/>
                    <w:keepLines w:val="on"/>
                  </w:pPr>
                  <w:r>
                    <w:t>$649</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$8.805</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15,81%</w:t>
                  </w:r>
                </w:p>
              </w:tc>
              <w:tc>
                <w:tcPr>
                  <w:tcW w:type="auto" w:w="0"/>
                  <w:shd w:val="clear" w:color="auto" w:fill="F0F0F0"/>
                </w:tcPr>
                <w:p>
                  <w:pPr>
                    <w:pStyle w:val="Normal"/>
                    <w:keepLines w:val="on"/>
                  </w:pPr>
                  <w:r>
                    <w:t>$1.392</w:t>
                  </w:r>
                </w:p>
              </w:tc>
              <w:tc>
                <w:tcPr>
                  <w:tcW w:type="auto" w:w="0"/>
                  <w:shd w:val="clear" w:color="auto" w:fill="F0F0F0"/>
                </w:tcPr>
                <w:p>
                  <w:pPr>
                    <w:pStyle w:val="Normal"/>
                    <w:keepLines w:val="on"/>
                  </w:pPr>
                  <w:r>
                    <w:t>$863</w:t>
                  </w:r>
                </w:p>
              </w:tc>
              <w:tc>
                <w:tcPr>
                  <w:tcW w:type="auto" w:w="0"/>
                  <w:shd w:val="clear" w:color="auto" w:fill="F0F0F0"/>
                </w:tcPr>
                <w:p>
                  <w:pPr>
                    <w:pStyle w:val="Normal"/>
                    <w:keepLines w:val="on"/>
                  </w:pPr>
                  <w:r>
                    <w:t>3,74%</w:t>
                  </w:r>
                </w:p>
              </w:tc>
              <w:tc>
                <w:tcPr>
                  <w:tcW w:type="auto" w:w="0"/>
                  <w:shd w:val="clear" w:color="auto" w:fill="F0F0F0"/>
                </w:tcPr>
                <w:p>
                  <w:pPr>
                    <w:pStyle w:val="Normal"/>
                    <w:keepLines w:val="on"/>
                  </w:pPr>
                  <w:r>
                    <w:t>$32</w:t>
                  </w:r>
                </w:p>
              </w:tc>
              <w:tc>
                <w:tcPr>
                  <w:tcW w:type="auto" w:w="0"/>
                  <w:shd w:val="clear" w:color="auto" w:fill="F0F0F0"/>
                </w:tcPr>
                <w:p>
                  <w:pPr>
                    <w:pStyle w:val="Normal"/>
                    <w:keepLines w:val="on"/>
                  </w:pPr>
                  <w:r>
                    <w:t>$831</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$10.125</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17,15%</w:t>
                  </w:r>
                </w:p>
              </w:tc>
              <w:tc>
                <w:tcPr>
                  <w:tcW w:type="auto" w:w="0"/>
                  <w:shd w:val="clear" w:color="auto" w:fill="F0F0F0"/>
                </w:tcPr>
                <w:p>
                  <w:pPr>
                    <w:pStyle w:val="Normal"/>
                    <w:keepLines w:val="on"/>
                  </w:pPr>
                  <w:r>
                    <w:t>$1.737</w:t>
                  </w:r>
                </w:p>
              </w:tc>
              <w:tc>
                <w:tcPr>
                  <w:tcW w:type="auto" w:w="0"/>
                  <w:shd w:val="clear" w:color="auto" w:fill="F0F0F0"/>
                </w:tcPr>
                <w:p>
                  <w:pPr>
                    <w:pStyle w:val="Normal"/>
                    <w:keepLines w:val="on"/>
                  </w:pPr>
                  <w:r>
                    <w:t>$1.077</w:t>
                  </w:r>
                </w:p>
              </w:tc>
              <w:tc>
                <w:tcPr>
                  <w:tcW w:type="auto" w:w="0"/>
                  <w:shd w:val="clear" w:color="auto" w:fill="F0F0F0"/>
                </w:tcPr>
                <w:p>
                  <w:pPr>
                    <w:pStyle w:val="Normal"/>
                    <w:keepLines w:val="on"/>
                  </w:pPr>
                  <w:r>
                    <w:t>7,80%</w:t>
                  </w:r>
                </w:p>
              </w:tc>
              <w:tc>
                <w:tcPr>
                  <w:tcW w:type="auto" w:w="0"/>
                  <w:shd w:val="clear" w:color="auto" w:fill="F0F0F0"/>
                </w:tcPr>
                <w:p>
                  <w:pPr>
                    <w:pStyle w:val="Normal"/>
                    <w:keepLines w:val="on"/>
                  </w:pPr>
                  <w:r>
                    <w:t>$84</w:t>
                  </w:r>
                </w:p>
              </w:tc>
              <w:tc>
                <w:tcPr>
                  <w:tcW w:type="auto" w:w="0"/>
                  <w:shd w:val="clear" w:color="auto" w:fill="F0F0F0"/>
                </w:tcPr>
                <w:p>
                  <w:pPr>
                    <w:pStyle w:val="Normal"/>
                    <w:keepLines w:val="on"/>
                  </w:pPr>
                  <w:r>
                    <w:t>$993</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$11.644</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18,05%</w:t>
                  </w:r>
                </w:p>
              </w:tc>
              <w:tc>
                <w:tcPr>
                  <w:tcW w:type="auto" w:w="0"/>
                  <w:shd w:val="clear" w:color="auto" w:fill="F0F0F0"/>
                </w:tcPr>
                <w:p>
                  <w:pPr>
                    <w:pStyle w:val="Normal"/>
                    <w:keepLines w:val="on"/>
                  </w:pPr>
                  <w:r>
                    <w:t>$2.102</w:t>
                  </w:r>
                </w:p>
              </w:tc>
              <w:tc>
                <w:tcPr>
                  <w:tcW w:type="auto" w:w="0"/>
                  <w:shd w:val="clear" w:color="auto" w:fill="F0F0F0"/>
                </w:tcPr>
                <w:p>
                  <w:pPr>
                    <w:pStyle w:val="Normal"/>
                    <w:keepLines w:val="on"/>
                  </w:pPr>
                  <w:r>
                    <w:t>$1.303</w:t>
                  </w:r>
                </w:p>
              </w:tc>
              <w:tc>
                <w:tcPr>
                  <w:tcW w:type="auto" w:w="0"/>
                  <w:shd w:val="clear" w:color="auto" w:fill="F0F0F0"/>
                </w:tcPr>
                <w:p>
                  <w:pPr>
                    <w:pStyle w:val="Normal"/>
                    <w:keepLines w:val="on"/>
                  </w:pPr>
                  <w:r>
                    <w:t>12,95%</w:t>
                  </w:r>
                </w:p>
              </w:tc>
              <w:tc>
                <w:tcPr>
                  <w:tcW w:type="auto" w:w="0"/>
                  <w:shd w:val="clear" w:color="auto" w:fill="F0F0F0"/>
                </w:tcPr>
                <w:p>
                  <w:pPr>
                    <w:pStyle w:val="Normal"/>
                    <w:keepLines w:val="on"/>
                  </w:pPr>
                  <w:r>
                    <w:t>$169</w:t>
                  </w:r>
                </w:p>
              </w:tc>
              <w:tc>
                <w:tcPr>
                  <w:tcW w:type="auto" w:w="0"/>
                  <w:shd w:val="clear" w:color="auto" w:fill="F0F0F0"/>
                </w:tcPr>
                <w:p>
                  <w:pPr>
                    <w:pStyle w:val="Normal"/>
                    <w:keepLines w:val="on"/>
                  </w:pPr>
                  <w:r>
                    <w:t>$1.134</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$13,041</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18,65%</w:t>
                  </w:r>
                </w:p>
              </w:tc>
              <w:tc>
                <w:tcPr>
                  <w:tcW w:type="auto" w:w="0"/>
                  <w:shd w:val="clear" w:color="auto" w:fill="F0F0F0"/>
                </w:tcPr>
                <w:p>
                  <w:pPr>
                    <w:pStyle w:val="Normal"/>
                    <w:keepLines w:val="on"/>
                  </w:pPr>
                  <w:r>
                    <w:t>$2,432</w:t>
                  </w:r>
                </w:p>
              </w:tc>
              <w:tc>
                <w:tcPr>
                  <w:tcW w:type="auto" w:w="0"/>
                  <w:shd w:val="clear" w:color="auto" w:fill="F0F0F0"/>
                </w:tcPr>
                <w:p>
                  <w:pPr>
                    <w:pStyle w:val="Normal"/>
                    <w:keepLines w:val="on"/>
                  </w:pPr>
                  <w:r>
                    <w:t>$1,508</w:t>
                  </w:r>
                </w:p>
              </w:tc>
              <w:tc>
                <w:tcPr>
                  <w:tcW w:type="auto" w:w="0"/>
                  <w:shd w:val="clear" w:color="auto" w:fill="F0F0F0"/>
                </w:tcPr>
                <w:p>
                  <w:pPr>
                    <w:pStyle w:val="Normal"/>
                    <w:keepLines w:val="on"/>
                  </w:pPr>
                  <w:r>
                    <w:t>16,97%</w:t>
                  </w:r>
                </w:p>
              </w:tc>
              <w:tc>
                <w:tcPr>
                  <w:tcW w:type="auto" w:w="0"/>
                  <w:shd w:val="clear" w:color="auto" w:fill="F0F0F0"/>
                </w:tcPr>
                <w:p>
                  <w:pPr>
                    <w:pStyle w:val="Normal"/>
                    <w:keepLines w:val="on"/>
                  </w:pPr>
                  <w:r>
                    <w:t>$256</w:t>
                  </w:r>
                </w:p>
              </w:tc>
              <w:tc>
                <w:tcPr>
                  <w:tcW w:type="auto" w:w="0"/>
                  <w:shd w:val="clear" w:color="auto" w:fill="F0F0F0"/>
                </w:tcPr>
                <w:p>
                  <w:pPr>
                    <w:pStyle w:val="Normal"/>
                    <w:keepLines w:val="on"/>
                  </w:pPr>
                  <w:r>
                    <w:t>$1,252</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$14,345</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19,04%</w:t>
                  </w:r>
                </w:p>
              </w:tc>
              <w:tc>
                <w:tcPr>
                  <w:tcW w:type="auto" w:w="0"/>
                  <w:shd w:val="clear" w:color="auto" w:fill="F0F0F0"/>
                </w:tcPr>
                <w:p>
                  <w:pPr>
                    <w:pStyle w:val="Normal"/>
                    <w:keepLines w:val="on"/>
                  </w:pPr>
                  <w:r>
                    <w:t>$2,732</w:t>
                  </w:r>
                </w:p>
              </w:tc>
              <w:tc>
                <w:tcPr>
                  <w:tcW w:type="auto" w:w="0"/>
                  <w:shd w:val="clear" w:color="auto" w:fill="F0F0F0"/>
                </w:tcPr>
                <w:p>
                  <w:pPr>
                    <w:pStyle w:val="Normal"/>
                    <w:keepLines w:val="on"/>
                  </w:pPr>
                  <w:r>
                    <w:t>$1,694</w:t>
                  </w:r>
                </w:p>
              </w:tc>
              <w:tc>
                <w:tcPr>
                  <w:tcW w:type="auto" w:w="0"/>
                  <w:shd w:val="clear" w:color="auto" w:fill="F0F0F0"/>
                </w:tcPr>
                <w:p>
                  <w:pPr>
                    <w:pStyle w:val="Normal"/>
                    <w:keepLines w:val="on"/>
                  </w:pPr>
                  <w:r>
                    <w:t>20,80%</w:t>
                  </w:r>
                </w:p>
              </w:tc>
              <w:tc>
                <w:tcPr>
                  <w:tcW w:type="auto" w:w="0"/>
                  <w:shd w:val="clear" w:color="auto" w:fill="F0F0F0"/>
                </w:tcPr>
                <w:p>
                  <w:pPr>
                    <w:pStyle w:val="Normal"/>
                    <w:keepLines w:val="on"/>
                  </w:pPr>
                  <w:r>
                    <w:t>$352</w:t>
                  </w:r>
                </w:p>
              </w:tc>
              <w:tc>
                <w:tcPr>
                  <w:tcW w:type="auto" w:w="0"/>
                  <w:shd w:val="clear" w:color="auto" w:fill="F0F0F0"/>
                </w:tcPr>
                <w:p>
                  <w:pPr>
                    <w:pStyle w:val="Normal"/>
                    <w:keepLines w:val="on"/>
                  </w:pPr>
                  <w:r>
                    <w:t>$1,342</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$15,493</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19,31%</w:t>
                  </w:r>
                </w:p>
              </w:tc>
              <w:tc>
                <w:tcPr>
                  <w:tcW w:type="auto" w:w="0"/>
                  <w:shd w:val="clear" w:color="auto" w:fill="F0F0F0"/>
                </w:tcPr>
                <w:p>
                  <w:pPr>
                    <w:pStyle w:val="Normal"/>
                    <w:keepLines w:val="on"/>
                  </w:pPr>
                  <w:r>
                    <w:t>$2,992</w:t>
                  </w:r>
                </w:p>
              </w:tc>
              <w:tc>
                <w:tcPr>
                  <w:tcW w:type="auto" w:w="0"/>
                  <w:shd w:val="clear" w:color="auto" w:fill="F0F0F0"/>
                </w:tcPr>
                <w:p>
                  <w:pPr>
                    <w:pStyle w:val="Normal"/>
                    <w:keepLines w:val="on"/>
                  </w:pPr>
                  <w:r>
                    <w:t>$1,855</w:t>
                  </w:r>
                </w:p>
              </w:tc>
              <w:tc>
                <w:tcPr>
                  <w:tcW w:type="auto" w:w="0"/>
                  <w:shd w:val="clear" w:color="auto" w:fill="F0F0F0"/>
                </w:tcPr>
                <w:p>
                  <w:pPr>
                    <w:pStyle w:val="Normal"/>
                    <w:keepLines w:val="on"/>
                  </w:pPr>
                  <w:r>
                    <w:t>23,82%</w:t>
                  </w:r>
                </w:p>
              </w:tc>
              <w:tc>
                <w:tcPr>
                  <w:tcW w:type="auto" w:w="0"/>
                  <w:shd w:val="clear" w:color="auto" w:fill="F0F0F0"/>
                </w:tcPr>
                <w:p>
                  <w:pPr>
                    <w:pStyle w:val="Normal"/>
                    <w:keepLines w:val="on"/>
                  </w:pPr>
                  <w:r>
                    <w:t>$442</w:t>
                  </w:r>
                </w:p>
              </w:tc>
              <w:tc>
                <w:tcPr>
                  <w:tcW w:type="auto" w:w="0"/>
                  <w:shd w:val="clear" w:color="auto" w:fill="F0F0F0"/>
                </w:tcPr>
                <w:p>
                  <w:pPr>
                    <w:pStyle w:val="Normal"/>
                    <w:keepLines w:val="on"/>
                  </w:pPr>
                  <w:r>
                    <w:t>$1,413</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$16,423</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19,49%</w:t>
                  </w:r>
                </w:p>
              </w:tc>
              <w:tc>
                <w:tcPr>
                  <w:tcW w:type="auto" w:w="0"/>
                  <w:shd w:val="clear" w:color="auto" w:fill="F0F0F0"/>
                </w:tcPr>
                <w:p>
                  <w:pPr>
                    <w:pStyle w:val="Normal"/>
                    <w:keepLines w:val="on"/>
                  </w:pPr>
                  <w:r>
                    <w:t>$3,200</w:t>
                  </w:r>
                </w:p>
              </w:tc>
              <w:tc>
                <w:tcPr>
                  <w:tcW w:type="auto" w:w="0"/>
                  <w:shd w:val="clear" w:color="auto" w:fill="F0F0F0"/>
                </w:tcPr>
                <w:p>
                  <w:pPr>
                    <w:pStyle w:val="Normal"/>
                    <w:keepLines w:val="on"/>
                  </w:pPr>
                  <w:r>
                    <w:t>$1,984</w:t>
                  </w:r>
                </w:p>
              </w:tc>
              <w:tc>
                <w:tcPr>
                  <w:tcW w:type="auto" w:w="0"/>
                  <w:shd w:val="clear" w:color="auto" w:fill="F0F0F0"/>
                </w:tcPr>
                <w:p>
                  <w:pPr>
                    <w:pStyle w:val="Normal"/>
                    <w:keepLines w:val="on"/>
                  </w:pPr>
                  <w:r>
                    <w:t>25,52%</w:t>
                  </w:r>
                </w:p>
              </w:tc>
              <w:tc>
                <w:tcPr>
                  <w:tcW w:type="auto" w:w="0"/>
                  <w:shd w:val="clear" w:color="auto" w:fill="F0F0F0"/>
                </w:tcPr>
                <w:p>
                  <w:pPr>
                    <w:pStyle w:val="Normal"/>
                    <w:keepLines w:val="on"/>
                  </w:pPr>
                  <w:r>
                    <w:t>$506</w:t>
                  </w:r>
                </w:p>
              </w:tc>
              <w:tc>
                <w:tcPr>
                  <w:tcW w:type="auto" w:w="0"/>
                  <w:shd w:val="clear" w:color="auto" w:fill="F0F0F0"/>
                </w:tcPr>
                <w:p>
                  <w:pPr>
                    <w:pStyle w:val="Normal"/>
                    <w:keepLines w:val="on"/>
                  </w:pPr>
                  <w:r>
                    <w:t>$1,478</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$17,080</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19,60%</w:t>
                  </w:r>
                </w:p>
              </w:tc>
              <w:tc>
                <w:tcPr>
                  <w:tcW w:type="auto" w:w="0"/>
                  <w:shd w:val="clear" w:color="auto" w:fill="F0F0F0"/>
                </w:tcPr>
                <w:p>
                  <w:pPr>
                    <w:pStyle w:val="Normal"/>
                    <w:keepLines w:val="on"/>
                  </w:pPr>
                  <w:r>
                    <w:t>$3,348</w:t>
                  </w:r>
                </w:p>
              </w:tc>
              <w:tc>
                <w:tcPr>
                  <w:tcW w:type="auto" w:w="0"/>
                  <w:shd w:val="clear" w:color="auto" w:fill="F0F0F0"/>
                </w:tcPr>
                <w:p>
                  <w:pPr>
                    <w:pStyle w:val="Normal"/>
                    <w:keepLines w:val="on"/>
                  </w:pPr>
                  <w:r>
                    <w:t>$2,076</w:t>
                  </w:r>
                </w:p>
              </w:tc>
              <w:tc>
                <w:tcPr>
                  <w:tcW w:type="auto" w:w="0"/>
                  <w:shd w:val="clear" w:color="auto" w:fill="F0F0F0"/>
                </w:tcPr>
                <w:p>
                  <w:pPr>
                    <w:pStyle w:val="Normal"/>
                    <w:keepLines w:val="on"/>
                  </w:pPr>
                  <w:r>
                    <w:t>25,99%</w:t>
                  </w:r>
                </w:p>
              </w:tc>
              <w:tc>
                <w:tcPr>
                  <w:tcW w:type="auto" w:w="0"/>
                  <w:shd w:val="clear" w:color="auto" w:fill="F0F0F0"/>
                </w:tcPr>
                <w:p>
                  <w:pPr>
                    <w:pStyle w:val="Normal"/>
                    <w:keepLines w:val="on"/>
                  </w:pPr>
                  <w:r>
                    <w:t>$540</w:t>
                  </w:r>
                </w:p>
              </w:tc>
              <w:tc>
                <w:tcPr>
                  <w:tcW w:type="auto" w:w="0"/>
                  <w:shd w:val="clear" w:color="auto" w:fill="F0F0F0"/>
                </w:tcPr>
                <w:p>
                  <w:pPr>
                    <w:pStyle w:val="Normal"/>
                    <w:keepLines w:val="on"/>
                  </w:pPr>
                  <w:r>
                    <w:t>$1,536</w:t>
                  </w:r>
                </w:p>
              </w:tc>
            </w:tr>
            <w:tr>
              <w:tc>
                <w:tcPr>
                  <w:tcW w:type="auto" w:w="0"/>
                  <w:shd w:val="clear" w:color="auto" w:fill="F0F0F0"/>
                </w:tcPr>
                <w:p>
                  <w:pPr>
                    <w:pStyle w:val="Para 02"/>
                    <w:keepLines w:val="on"/>
                  </w:pPr>
                  <w:r>
                    <w:t>Giá trị cuối kỳ</w:t>
                  </w:r>
                </w:p>
              </w:tc>
              <w:tc>
                <w:tcPr>
                  <w:tcW w:type="auto" w:w="0"/>
                  <w:shd w:val="clear" w:color="auto" w:fill="F0F0F0"/>
                </w:tcPr>
                <w:p>
                  <w:pPr>
                    <w:pStyle w:val="Normal"/>
                    <w:keepLines w:val="on"/>
                  </w:pPr>
                  <w:r>
                    <w:t>$17,592</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19,84%</w:t>
                  </w:r>
                </w:p>
              </w:tc>
              <w:tc>
                <w:tcPr>
                  <w:tcW w:type="auto" w:w="0"/>
                  <w:shd w:val="clear" w:color="auto" w:fill="F0F0F0"/>
                </w:tcPr>
                <w:p>
                  <w:pPr>
                    <w:pStyle w:val="Normal"/>
                    <w:keepLines w:val="on"/>
                  </w:pPr>
                  <w:r>
                    <w:t>$3,490</w:t>
                  </w:r>
                </w:p>
              </w:tc>
              <w:tc>
                <w:tcPr>
                  <w:tcW w:type="auto" w:w="0"/>
                  <w:shd w:val="clear" w:color="auto" w:fill="F0F0F0"/>
                </w:tcPr>
                <w:p>
                  <w:pPr>
                    <w:pStyle w:val="Normal"/>
                    <w:keepLines w:val="on"/>
                  </w:pPr>
                  <w:r>
                    <w:t>$2,164</w:t>
                  </w:r>
                </w:p>
              </w:tc>
              <w:tc>
                <w:tcPr>
                  <w:tcW w:type="auto" w:w="0"/>
                  <w:shd w:val="clear" w:color="auto" w:fill="F0F0F0"/>
                </w:tcPr>
                <w:p>
                  <w:pPr>
                    <w:pStyle w:val="Normal"/>
                    <w:keepLines w:val="on"/>
                  </w:pPr>
                  <w:r>
                    <w:t>30,00%</w:t>
                  </w:r>
                </w:p>
              </w:tc>
              <w:tc>
                <w:tcPr>
                  <w:tcW w:type="auto" w:w="0"/>
                  <w:shd w:val="clear" w:color="auto" w:fill="F0F0F0"/>
                </w:tcPr>
                <w:p>
                  <w:pPr>
                    <w:pStyle w:val="Normal"/>
                    <w:keepLines w:val="on"/>
                  </w:pPr>
                  <w:r>
                    <w:t>$649</w:t>
                  </w:r>
                </w:p>
              </w:tc>
              <w:tc>
                <w:tcPr>
                  <w:tcW w:type="auto" w:w="0"/>
                  <w:shd w:val="clear" w:color="auto" w:fill="F0F0F0"/>
                </w:tcPr>
                <w:p>
                  <w:pPr>
                    <w:pStyle w:val="Normal"/>
                    <w:keepLines w:val="on"/>
                  </w:pPr>
                  <w:r>
                    <w:t>$1.515</w:t>
                  </w:r>
                </w:p>
              </w:tc>
            </w:tr>
          </w:tbl>
          <w:p/>
        </w:tc>
      </w:tr>
    </w:tbl>
    <w:p>
      <w:pPr>
        <w:pStyle w:val="Para 40"/>
        <w:keepLines w:val="on"/>
      </w:pPr>
      <w:r>
        <w:rPr>
          <w:rStyle w:val="Text26"/>
        </w:rPr>
        <w:bookmarkStart w:id="4741" w:name="Page_725"/>
        <w:t/>
        <w:bookmarkEnd w:id="4741"/>
      </w:r>
      <w:r>
        <w:t xml:space="preserve"> </w:t>
      </w:r>
    </w:p>
    <w:p>
      <w:pPr>
        <w:pStyle w:val="Para 04"/>
        <w:keepLines w:val="on"/>
      </w:pPr>
      <w:r>
        <w:t>Lưu ý rằng những dòng tiền này được chiết khấu về hiện tại bằng chi phí vốn (cost of capital) cũng sẽ thay đổi theo thời gian, khi tỷ lệ nợ và các thông số rủi ro thay đổi (xem Bảng 22.10):</w:t>
      </w:r>
    </w:p>
    <w:p>
      <w:pPr>
        <w:pStyle w:val="Para 25"/>
        <w:keepLines w:val="on"/>
      </w:pPr>
      <w:r>
        <w:t>Bảng 22.10</w:t>
      </w:r>
    </w:p>
    <w:p>
      <w:pPr>
        <w:keepNext/>
        <w:pStyle w:val="Para 24"/>
        <w:keepLines w:val="on"/>
      </w:pPr>
      <w:r>
        <w:t>Chi phí vốn và hệ số chiết khấu</w:t>
      </w:r>
    </w:p>
    <w:tbl>
      <w:tblPr>
        <w:tblW w:type="auto" w:w="0"/>
      </w:tblPr>
      <w:tr>
        <w:tc>
          <w:tcPr>
            <w:tcW w:type="auto" w:w="0"/>
          </w:tcPr>
          <w:tbl>
            <w:tblPr>
              <w:tblW w:type="pct" w:w="5000"/>
            </w:tblPr>
            <w:tr>
              <w:tc>
                <w:tcPr>
                  <w:tcW w:type="auto" w:w="0"/>
                  <w:shd w:val="clear" w:color="auto" w:fill="F0F0F0"/>
                  <w:vAlign w:val="bottom"/>
                </w:tcPr>
                <w:p>
                  <w:pPr>
                    <w:pStyle w:val="Para 05"/>
                    <w:keepLines w:val="on"/>
                  </w:pPr>
                  <w:r>
                    <w:t>Năm</w:t>
                  </w:r>
                </w:p>
              </w:tc>
              <w:tc>
                <w:tcPr>
                  <w:tcW w:type="auto" w:w="0"/>
                  <w:shd w:val="clear" w:color="auto" w:fill="F0F0F0"/>
                  <w:vAlign w:val="bottom"/>
                </w:tcPr>
                <w:p>
                  <w:pPr>
                    <w:pStyle w:val="Para 05"/>
                    <w:keepLines w:val="on"/>
                  </w:pPr>
                  <w:r>
                    <w:t>Tỷ lệ nợ</w:t>
                  </w:r>
                </w:p>
              </w:tc>
              <w:tc>
                <w:tcPr>
                  <w:tcW w:type="auto" w:w="0"/>
                  <w:shd w:val="clear" w:color="auto" w:fill="F0F0F0"/>
                  <w:vAlign w:val="bottom"/>
                </w:tcPr>
                <w:p>
                  <w:pPr>
                    <w:pStyle w:val="Para 05"/>
                    <w:keepLines w:val="on"/>
                  </w:pPr>
                  <w:r>
                    <w:t>Beta</w:t>
                  </w:r>
                </w:p>
              </w:tc>
              <w:tc>
                <w:tcPr>
                  <w:tcW w:type="auto" w:w="0"/>
                  <w:shd w:val="clear" w:color="auto" w:fill="F0F0F0"/>
                  <w:vAlign w:val="bottom"/>
                </w:tcPr>
                <w:p>
                  <w:pPr>
                    <w:pStyle w:val="Para 05"/>
                    <w:keepLines w:val="on"/>
                  </w:pPr>
                  <w:r>
                    <w:t>Chi phí vốn chủ sở hữu</w:t>
                  </w:r>
                </w:p>
              </w:tc>
              <w:tc>
                <w:tcPr>
                  <w:tcW w:type="auto" w:w="0"/>
                  <w:shd w:val="clear" w:color="auto" w:fill="F0F0F0"/>
                  <w:vAlign w:val="bottom"/>
                  <w:hMerge w:val="restart"/>
                </w:tcPr>
                <w:p>
                  <w:pPr>
                    <w:pStyle w:val="Para 05"/>
                    <w:keepLines w:val="on"/>
                  </w:pPr>
                  <w:r>
                    <w:t>Chi phí nợ</w:t>
                  </w:r>
                </w:p>
              </w:tc>
              <w:tc>
                <w:tcPr>
                  <w:hMerge w:val="continue"/>
                </w:tcPr>
                <w:p/>
              </w:tc>
              <w:tc>
                <w:tcPr>
                  <w:tcW w:type="auto" w:w="0"/>
                  <w:shd w:val="clear" w:color="auto" w:fill="F0F0F0"/>
                  <w:vAlign w:val="bottom"/>
                </w:tcPr>
                <w:p>
                  <w:pPr>
                    <w:pStyle w:val="Para 05"/>
                    <w:keepLines w:val="on"/>
                  </w:pPr>
                  <w:r>
                    <w:t>Chi phí vốn</w:t>
                  </w:r>
                </w:p>
              </w:tc>
              <w:tc>
                <w:tcPr>
                  <w:tcW w:type="auto" w:w="0"/>
                  <w:shd w:val="clear" w:color="auto" w:fill="F0F0F0"/>
                  <w:vAlign w:val="bottom"/>
                </w:tcPr>
                <w:p>
                  <w:pPr>
                    <w:pStyle w:val="Para 05"/>
                    <w:keepLines w:val="on"/>
                  </w:pPr>
                  <w:r>
                    <w:t>WACC lũy kế</w:t>
                  </w:r>
                </w:p>
              </w:tc>
            </w:tr>
            <w:tr>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Trước thuế</w:t>
                  </w:r>
                </w:p>
              </w:tc>
              <w:tc>
                <w:tcPr>
                  <w:tcW w:type="auto" w:w="0"/>
                  <w:shd w:val="clear" w:color="auto" w:fill="F0F0F0"/>
                  <w:vAlign w:val="bottom"/>
                </w:tcPr>
                <w:p>
                  <w:pPr>
                    <w:pStyle w:val="Para 05"/>
                    <w:keepLines w:val="on"/>
                  </w:pPr>
                  <w:r>
                    <w:t>Sau thuế</w:t>
                  </w:r>
                </w:p>
              </w:tc>
              <w:tc>
                <w:tcPr>
                  <w:tcW w:type="auto" w:w="0"/>
                  <w:shd w:val="clear" w:color="auto" w:fill="F0F0F0"/>
                </w:tcPr>
                <w:p>
                  <w:pPr>
                    <w:pStyle w:val="5 Block"/>
                    <w:keepLines w:val="on"/>
                  </w:pPr>
                </w:p>
              </w:tc>
              <w:tc>
                <w:tcPr>
                  <w:tcW w:type="auto" w:w="0"/>
                  <w:shd w:val="clear" w:color="auto" w:fill="F0F0F0"/>
                </w:tcPr>
                <w:p>
                  <w:pPr>
                    <w:pStyle w:val="5 Block"/>
                    <w:keepLines w:val="on"/>
                  </w:pPr>
                </w:p>
              </w:tc>
            </w:tr>
            <w:tr>
              <w:tc>
                <w:tcPr>
                  <w:tcW w:type="auto" w:w="0"/>
                  <w:shd w:val="clear" w:color="auto" w:fill="F0F0F0"/>
                </w:tcPr>
                <w:p>
                  <w:pPr>
                    <w:pStyle w:val="Para 02"/>
                    <w:keepLines w:val="on"/>
                  </w:pPr>
                  <w:r>
                    <w:t>Hiện tại</w:t>
                  </w:r>
                </w:p>
              </w:tc>
              <w:tc>
                <w:tcPr>
                  <w:tcW w:type="auto" w:w="0"/>
                  <w:shd w:val="clear" w:color="auto" w:fill="F0F0F0"/>
                </w:tcPr>
                <w:p>
                  <w:pPr>
                    <w:pStyle w:val="Normal"/>
                    <w:keepLines w:val="on"/>
                  </w:pPr>
                  <w:r>
                    <w:t>59,70%</w:t>
                  </w:r>
                </w:p>
              </w:tc>
              <w:tc>
                <w:tcPr>
                  <w:tcW w:type="auto" w:w="0"/>
                  <w:shd w:val="clear" w:color="auto" w:fill="F0F0F0"/>
                </w:tcPr>
                <w:p>
                  <w:pPr>
                    <w:pStyle w:val="Normal"/>
                    <w:keepLines w:val="on"/>
                  </w:pPr>
                  <w:r>
                    <w:t>2,63</w:t>
                  </w:r>
                </w:p>
              </w:tc>
              <w:tc>
                <w:tcPr>
                  <w:tcW w:type="auto" w:w="0"/>
                  <w:shd w:val="clear" w:color="auto" w:fill="F0F0F0"/>
                </w:tcPr>
                <w:p>
                  <w:pPr>
                    <w:pStyle w:val="Normal"/>
                    <w:keepLines w:val="on"/>
                  </w:pPr>
                  <w:r>
                    <w:t>16,63%</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7,13%</w:t>
                  </w:r>
                </w:p>
              </w:tc>
              <w:tc>
                <w:tcPr>
                  <w:tcW w:type="auto" w:w="0"/>
                  <w:shd w:val="clear" w:color="auto" w:fill="F0F0F0"/>
                </w:tcPr>
                <w:p>
                  <w:pPr>
                    <w:pStyle w:val="Normal"/>
                    <w:keepLines w:val="on"/>
                  </w:pPr>
                  <w:r>
                    <w:t>10,96%</w:t>
                  </w:r>
                </w:p>
              </w:tc>
              <w:tc>
                <w:tcPr>
                  <w:tcW w:type="auto" w:w="0"/>
                  <w:shd w:val="clear" w:color="auto" w:fill="F0F0F0"/>
                </w:tcPr>
                <w:p>
                  <w:pPr>
                    <w:pStyle w:val="7 Block"/>
                    <w:keepLines w:val="on"/>
                  </w:pP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59,70%</w:t>
                  </w:r>
                </w:p>
              </w:tc>
              <w:tc>
                <w:tcPr>
                  <w:tcW w:type="auto" w:w="0"/>
                  <w:shd w:val="clear" w:color="auto" w:fill="F0F0F0"/>
                </w:tcPr>
                <w:p>
                  <w:pPr>
                    <w:pStyle w:val="Normal"/>
                    <w:keepLines w:val="on"/>
                  </w:pPr>
                  <w:r>
                    <w:t>2,63</w:t>
                  </w:r>
                </w:p>
              </w:tc>
              <w:tc>
                <w:tcPr>
                  <w:tcW w:type="auto" w:w="0"/>
                  <w:shd w:val="clear" w:color="auto" w:fill="F0F0F0"/>
                </w:tcPr>
                <w:p>
                  <w:pPr>
                    <w:pStyle w:val="Normal"/>
                    <w:keepLines w:val="on"/>
                  </w:pPr>
                  <w:r>
                    <w:t>16,63%</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7,13%</w:t>
                  </w:r>
                </w:p>
              </w:tc>
              <w:tc>
                <w:tcPr>
                  <w:tcW w:type="auto" w:w="0"/>
                  <w:shd w:val="clear" w:color="auto" w:fill="F0F0F0"/>
                </w:tcPr>
                <w:p>
                  <w:pPr>
                    <w:pStyle w:val="Normal"/>
                    <w:keepLines w:val="on"/>
                  </w:pPr>
                  <w:r>
                    <w:t>10,96%</w:t>
                  </w:r>
                </w:p>
              </w:tc>
              <w:tc>
                <w:tcPr>
                  <w:tcW w:type="auto" w:w="0"/>
                  <w:shd w:val="clear" w:color="auto" w:fill="F0F0F0"/>
                </w:tcPr>
                <w:p>
                  <w:pPr>
                    <w:pStyle w:val="Normal"/>
                    <w:keepLines w:val="on"/>
                  </w:pPr>
                  <w:r>
                    <w:t>1,1096</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59,70%</w:t>
                  </w:r>
                </w:p>
              </w:tc>
              <w:tc>
                <w:tcPr>
                  <w:tcW w:type="auto" w:w="0"/>
                  <w:shd w:val="clear" w:color="auto" w:fill="F0F0F0"/>
                </w:tcPr>
                <w:p>
                  <w:pPr>
                    <w:pStyle w:val="Normal"/>
                    <w:keepLines w:val="on"/>
                  </w:pPr>
                  <w:r>
                    <w:t>2,63</w:t>
                  </w:r>
                </w:p>
              </w:tc>
              <w:tc>
                <w:tcPr>
                  <w:tcW w:type="auto" w:w="0"/>
                  <w:shd w:val="clear" w:color="auto" w:fill="F0F0F0"/>
                </w:tcPr>
                <w:p>
                  <w:pPr>
                    <w:pStyle w:val="Normal"/>
                    <w:keepLines w:val="on"/>
                  </w:pPr>
                  <w:r>
                    <w:t>16,63%</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7,13%</w:t>
                  </w:r>
                </w:p>
              </w:tc>
              <w:tc>
                <w:tcPr>
                  <w:tcW w:type="auto" w:w="0"/>
                  <w:shd w:val="clear" w:color="auto" w:fill="F0F0F0"/>
                </w:tcPr>
                <w:p>
                  <w:pPr>
                    <w:pStyle w:val="Normal"/>
                    <w:keepLines w:val="on"/>
                  </w:pPr>
                  <w:r>
                    <w:t>10,96%</w:t>
                  </w:r>
                </w:p>
              </w:tc>
              <w:tc>
                <w:tcPr>
                  <w:tcW w:type="auto" w:w="0"/>
                  <w:shd w:val="clear" w:color="auto" w:fill="F0F0F0"/>
                </w:tcPr>
                <w:p>
                  <w:pPr>
                    <w:pStyle w:val="Normal"/>
                    <w:keepLines w:val="on"/>
                  </w:pPr>
                  <w:r>
                    <w:t>1,2311</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59,70%</w:t>
                  </w:r>
                </w:p>
              </w:tc>
              <w:tc>
                <w:tcPr>
                  <w:tcW w:type="auto" w:w="0"/>
                  <w:shd w:val="clear" w:color="auto" w:fill="F0F0F0"/>
                </w:tcPr>
                <w:p>
                  <w:pPr>
                    <w:pStyle w:val="Normal"/>
                    <w:keepLines w:val="on"/>
                  </w:pPr>
                  <w:r>
                    <w:t>2,63</w:t>
                  </w:r>
                </w:p>
              </w:tc>
              <w:tc>
                <w:tcPr>
                  <w:tcW w:type="auto" w:w="0"/>
                  <w:shd w:val="clear" w:color="auto" w:fill="F0F0F0"/>
                </w:tcPr>
                <w:p>
                  <w:pPr>
                    <w:pStyle w:val="Normal"/>
                    <w:keepLines w:val="on"/>
                  </w:pPr>
                  <w:r>
                    <w:t>16,63%</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7,13%</w:t>
                  </w:r>
                </w:p>
              </w:tc>
              <w:tc>
                <w:tcPr>
                  <w:tcW w:type="auto" w:w="0"/>
                  <w:shd w:val="clear" w:color="auto" w:fill="F0F0F0"/>
                </w:tcPr>
                <w:p>
                  <w:pPr>
                    <w:pStyle w:val="Normal"/>
                    <w:keepLines w:val="on"/>
                  </w:pPr>
                  <w:r>
                    <w:t>10,96%</w:t>
                  </w:r>
                </w:p>
              </w:tc>
              <w:tc>
                <w:tcPr>
                  <w:tcW w:type="auto" w:w="0"/>
                  <w:shd w:val="clear" w:color="auto" w:fill="F0F0F0"/>
                </w:tcPr>
                <w:p>
                  <w:pPr>
                    <w:pStyle w:val="Normal"/>
                    <w:keepLines w:val="on"/>
                  </w:pPr>
                  <w:r>
                    <w:t>1,3660</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59,70%</w:t>
                  </w:r>
                </w:p>
              </w:tc>
              <w:tc>
                <w:tcPr>
                  <w:tcW w:type="auto" w:w="0"/>
                  <w:shd w:val="clear" w:color="auto" w:fill="F0F0F0"/>
                </w:tcPr>
                <w:p>
                  <w:pPr>
                    <w:pStyle w:val="Normal"/>
                    <w:keepLines w:val="on"/>
                  </w:pPr>
                  <w:r>
                    <w:t>2,63</w:t>
                  </w:r>
                </w:p>
              </w:tc>
              <w:tc>
                <w:tcPr>
                  <w:tcW w:type="auto" w:w="0"/>
                  <w:shd w:val="clear" w:color="auto" w:fill="F0F0F0"/>
                </w:tcPr>
                <w:p>
                  <w:pPr>
                    <w:pStyle w:val="Normal"/>
                    <w:keepLines w:val="on"/>
                  </w:pPr>
                  <w:r>
                    <w:t>16,63%</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7,13%</w:t>
                  </w:r>
                </w:p>
              </w:tc>
              <w:tc>
                <w:tcPr>
                  <w:tcW w:type="auto" w:w="0"/>
                  <w:shd w:val="clear" w:color="auto" w:fill="F0F0F0"/>
                </w:tcPr>
                <w:p>
                  <w:pPr>
                    <w:pStyle w:val="Normal"/>
                    <w:keepLines w:val="on"/>
                  </w:pPr>
                  <w:r>
                    <w:t>10,96%</w:t>
                  </w:r>
                </w:p>
              </w:tc>
              <w:tc>
                <w:tcPr>
                  <w:tcW w:type="auto" w:w="0"/>
                  <w:shd w:val="clear" w:color="auto" w:fill="F0F0F0"/>
                </w:tcPr>
                <w:p>
                  <w:pPr>
                    <w:pStyle w:val="Normal"/>
                    <w:keepLines w:val="on"/>
                  </w:pPr>
                  <w:r>
                    <w:t>1,5157</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59,70%</w:t>
                  </w:r>
                </w:p>
              </w:tc>
              <w:tc>
                <w:tcPr>
                  <w:tcW w:type="auto" w:w="0"/>
                  <w:shd w:val="clear" w:color="auto" w:fill="F0F0F0"/>
                </w:tcPr>
                <w:p>
                  <w:pPr>
                    <w:pStyle w:val="Normal"/>
                    <w:keepLines w:val="on"/>
                  </w:pPr>
                  <w:r>
                    <w:t>2,63</w:t>
                  </w:r>
                </w:p>
              </w:tc>
              <w:tc>
                <w:tcPr>
                  <w:tcW w:type="auto" w:w="0"/>
                  <w:shd w:val="clear" w:color="auto" w:fill="F0F0F0"/>
                </w:tcPr>
                <w:p>
                  <w:pPr>
                    <w:pStyle w:val="Normal"/>
                    <w:keepLines w:val="on"/>
                  </w:pPr>
                  <w:r>
                    <w:t>16,63%</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7,13%</w:t>
                  </w:r>
                </w:p>
              </w:tc>
              <w:tc>
                <w:tcPr>
                  <w:tcW w:type="auto" w:w="0"/>
                  <w:shd w:val="clear" w:color="auto" w:fill="F0F0F0"/>
                </w:tcPr>
                <w:p>
                  <w:pPr>
                    <w:pStyle w:val="Normal"/>
                    <w:keepLines w:val="on"/>
                  </w:pPr>
                  <w:r>
                    <w:t>10,96%</w:t>
                  </w:r>
                </w:p>
              </w:tc>
              <w:tc>
                <w:tcPr>
                  <w:tcW w:type="auto" w:w="0"/>
                  <w:shd w:val="clear" w:color="auto" w:fill="F0F0F0"/>
                </w:tcPr>
                <w:p>
                  <w:pPr>
                    <w:pStyle w:val="Normal"/>
                    <w:keepLines w:val="on"/>
                  </w:pPr>
                  <w:r>
                    <w:t>1,6818</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57,00%</w:t>
                  </w:r>
                </w:p>
              </w:tc>
              <w:tc>
                <w:tcPr>
                  <w:tcW w:type="auto" w:w="0"/>
                  <w:shd w:val="clear" w:color="auto" w:fill="F0F0F0"/>
                </w:tcPr>
                <w:p>
                  <w:pPr>
                    <w:pStyle w:val="Normal"/>
                    <w:keepLines w:val="on"/>
                  </w:pPr>
                  <w:r>
                    <w:t>2,34</w:t>
                  </w:r>
                </w:p>
              </w:tc>
              <w:tc>
                <w:tcPr>
                  <w:tcW w:type="auto" w:w="0"/>
                  <w:shd w:val="clear" w:color="auto" w:fill="F0F0F0"/>
                </w:tcPr>
                <w:p>
                  <w:pPr>
                    <w:pStyle w:val="Normal"/>
                    <w:keepLines w:val="on"/>
                  </w:pPr>
                  <w:r>
                    <w:t>15,20%</w:t>
                  </w:r>
                </w:p>
              </w:tc>
              <w:tc>
                <w:tcPr>
                  <w:tcW w:type="auto" w:w="0"/>
                  <w:shd w:val="clear" w:color="auto" w:fill="F0F0F0"/>
                </w:tcPr>
                <w:p>
                  <w:pPr>
                    <w:pStyle w:val="Normal"/>
                    <w:keepLines w:val="on"/>
                  </w:pPr>
                  <w:r>
                    <w:t>10,40%</w:t>
                  </w:r>
                </w:p>
              </w:tc>
              <w:tc>
                <w:tcPr>
                  <w:tcW w:type="auto" w:w="0"/>
                  <w:shd w:val="clear" w:color="auto" w:fill="F0F0F0"/>
                </w:tcPr>
                <w:p>
                  <w:pPr>
                    <w:pStyle w:val="Normal"/>
                    <w:keepLines w:val="on"/>
                  </w:pPr>
                  <w:r>
                    <w:t>6,45%</w:t>
                  </w:r>
                </w:p>
              </w:tc>
              <w:tc>
                <w:tcPr>
                  <w:tcW w:type="auto" w:w="0"/>
                  <w:shd w:val="clear" w:color="auto" w:fill="F0F0F0"/>
                </w:tcPr>
                <w:p>
                  <w:pPr>
                    <w:pStyle w:val="Normal"/>
                    <w:keepLines w:val="on"/>
                  </w:pPr>
                  <w:r>
                    <w:t>10,21%</w:t>
                  </w:r>
                </w:p>
              </w:tc>
              <w:tc>
                <w:tcPr>
                  <w:tcW w:type="auto" w:w="0"/>
                  <w:shd w:val="clear" w:color="auto" w:fill="F0F0F0"/>
                </w:tcPr>
                <w:p>
                  <w:pPr>
                    <w:pStyle w:val="Normal"/>
                    <w:keepLines w:val="on"/>
                  </w:pPr>
                  <w:r>
                    <w:t>1,8535</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56,33%</w:t>
                  </w:r>
                </w:p>
              </w:tc>
              <w:tc>
                <w:tcPr>
                  <w:tcW w:type="auto" w:w="0"/>
                  <w:shd w:val="clear" w:color="auto" w:fill="F0F0F0"/>
                </w:tcPr>
                <w:p>
                  <w:pPr>
                    <w:pStyle w:val="Normal"/>
                    <w:keepLines w:val="on"/>
                  </w:pPr>
                  <w:r>
                    <w:t>2,06</w:t>
                  </w:r>
                </w:p>
              </w:tc>
              <w:tc>
                <w:tcPr>
                  <w:tcW w:type="auto" w:w="0"/>
                  <w:shd w:val="clear" w:color="auto" w:fill="F0F0F0"/>
                </w:tcPr>
                <w:p>
                  <w:pPr>
                    <w:pStyle w:val="Normal"/>
                    <w:keepLines w:val="on"/>
                  </w:pPr>
                  <w:r>
                    <w:t>13,78%</w:t>
                  </w:r>
                </w:p>
              </w:tc>
              <w:tc>
                <w:tcPr>
                  <w:tcW w:type="auto" w:w="0"/>
                  <w:shd w:val="clear" w:color="auto" w:fill="F0F0F0"/>
                </w:tcPr>
                <w:p>
                  <w:pPr>
                    <w:pStyle w:val="Normal"/>
                    <w:keepLines w:val="on"/>
                  </w:pPr>
                  <w:r>
                    <w:t>10,13%</w:t>
                  </w:r>
                </w:p>
              </w:tc>
              <w:tc>
                <w:tcPr>
                  <w:tcW w:type="auto" w:w="0"/>
                  <w:shd w:val="clear" w:color="auto" w:fill="F0F0F0"/>
                </w:tcPr>
                <w:p>
                  <w:pPr>
                    <w:pStyle w:val="Normal"/>
                    <w:keepLines w:val="on"/>
                  </w:pPr>
                  <w:r>
                    <w:t>6,28%</w:t>
                  </w:r>
                </w:p>
              </w:tc>
              <w:tc>
                <w:tcPr>
                  <w:tcW w:type="auto" w:w="0"/>
                  <w:shd w:val="clear" w:color="auto" w:fill="F0F0F0"/>
                </w:tcPr>
                <w:p>
                  <w:pPr>
                    <w:pStyle w:val="Normal"/>
                    <w:keepLines w:val="on"/>
                  </w:pPr>
                  <w:r>
                    <w:t>9,55%</w:t>
                  </w:r>
                </w:p>
              </w:tc>
              <w:tc>
                <w:tcPr>
                  <w:tcW w:type="auto" w:w="0"/>
                  <w:shd w:val="clear" w:color="auto" w:fill="F0F0F0"/>
                </w:tcPr>
                <w:p>
                  <w:pPr>
                    <w:pStyle w:val="Normal"/>
                    <w:keepLines w:val="on"/>
                  </w:pPr>
                  <w:r>
                    <w:t>2,0306</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55,20%</w:t>
                  </w:r>
                </w:p>
              </w:tc>
              <w:tc>
                <w:tcPr>
                  <w:tcW w:type="auto" w:w="0"/>
                  <w:shd w:val="clear" w:color="auto" w:fill="F0F0F0"/>
                </w:tcPr>
                <w:p>
                  <w:pPr>
                    <w:pStyle w:val="Normal"/>
                    <w:keepLines w:val="on"/>
                  </w:pPr>
                  <w:r>
                    <w:t>1,77</w:t>
                  </w:r>
                </w:p>
              </w:tc>
              <w:tc>
                <w:tcPr>
                  <w:tcW w:type="auto" w:w="0"/>
                  <w:shd w:val="clear" w:color="auto" w:fill="F0F0F0"/>
                </w:tcPr>
                <w:p>
                  <w:pPr>
                    <w:pStyle w:val="Normal"/>
                    <w:keepLines w:val="on"/>
                  </w:pPr>
                  <w:r>
                    <w:t>12,35%</w:t>
                  </w:r>
                </w:p>
              </w:tc>
              <w:tc>
                <w:tcPr>
                  <w:tcW w:type="auto" w:w="0"/>
                  <w:shd w:val="clear" w:color="auto" w:fill="F0F0F0"/>
                </w:tcPr>
                <w:p>
                  <w:pPr>
                    <w:pStyle w:val="Normal"/>
                    <w:keepLines w:val="on"/>
                  </w:pPr>
                  <w:r>
                    <w:t>9,67%</w:t>
                  </w:r>
                </w:p>
              </w:tc>
              <w:tc>
                <w:tcPr>
                  <w:tcW w:type="auto" w:w="0"/>
                  <w:shd w:val="clear" w:color="auto" w:fill="F0F0F0"/>
                </w:tcPr>
                <w:p>
                  <w:pPr>
                    <w:pStyle w:val="Normal"/>
                    <w:keepLines w:val="on"/>
                  </w:pPr>
                  <w:r>
                    <w:t>5,99%</w:t>
                  </w:r>
                </w:p>
              </w:tc>
              <w:tc>
                <w:tcPr>
                  <w:tcW w:type="auto" w:w="0"/>
                  <w:shd w:val="clear" w:color="auto" w:fill="F0F0F0"/>
                </w:tcPr>
                <w:p>
                  <w:pPr>
                    <w:pStyle w:val="Normal"/>
                    <w:keepLines w:val="on"/>
                  </w:pPr>
                  <w:r>
                    <w:t>8,84%</w:t>
                  </w:r>
                </w:p>
              </w:tc>
              <w:tc>
                <w:tcPr>
                  <w:tcW w:type="auto" w:w="0"/>
                  <w:shd w:val="clear" w:color="auto" w:fill="F0F0F0"/>
                </w:tcPr>
                <w:p>
                  <w:pPr>
                    <w:pStyle w:val="Normal"/>
                    <w:keepLines w:val="on"/>
                  </w:pPr>
                  <w:r>
                    <w:t>2,2101</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52,96%</w:t>
                  </w:r>
                </w:p>
              </w:tc>
              <w:tc>
                <w:tcPr>
                  <w:tcW w:type="auto" w:w="0"/>
                  <w:shd w:val="clear" w:color="auto" w:fill="F0F0F0"/>
                </w:tcPr>
                <w:p>
                  <w:pPr>
                    <w:pStyle w:val="Normal"/>
                    <w:keepLines w:val="on"/>
                  </w:pPr>
                  <w:r>
                    <w:t>1,49</w:t>
                  </w:r>
                </w:p>
              </w:tc>
              <w:tc>
                <w:tcPr>
                  <w:tcW w:type="auto" w:w="0"/>
                  <w:shd w:val="clear" w:color="auto" w:fill="F0F0F0"/>
                </w:tcPr>
                <w:p>
                  <w:pPr>
                    <w:pStyle w:val="Normal"/>
                    <w:keepLines w:val="on"/>
                  </w:pPr>
                  <w:r>
                    <w:t>10,93%</w:t>
                  </w:r>
                </w:p>
              </w:tc>
              <w:tc>
                <w:tcPr>
                  <w:tcW w:type="auto" w:w="0"/>
                  <w:shd w:val="clear" w:color="auto" w:fill="F0F0F0"/>
                </w:tcPr>
                <w:p>
                  <w:pPr>
                    <w:pStyle w:val="Normal"/>
                    <w:keepLines w:val="on"/>
                  </w:pPr>
                  <w:r>
                    <w:t>8,75%</w:t>
                  </w:r>
                </w:p>
              </w:tc>
              <w:tc>
                <w:tcPr>
                  <w:tcW w:type="auto" w:w="0"/>
                  <w:shd w:val="clear" w:color="auto" w:fill="F0F0F0"/>
                </w:tcPr>
                <w:p>
                  <w:pPr>
                    <w:pStyle w:val="Normal"/>
                    <w:keepLines w:val="on"/>
                  </w:pPr>
                  <w:r>
                    <w:t>5,43%</w:t>
                  </w:r>
                </w:p>
              </w:tc>
              <w:tc>
                <w:tcPr>
                  <w:tcW w:type="auto" w:w="0"/>
                  <w:shd w:val="clear" w:color="auto" w:fill="F0F0F0"/>
                </w:tcPr>
                <w:p>
                  <w:pPr>
                    <w:pStyle w:val="Normal"/>
                    <w:keepLines w:val="on"/>
                  </w:pPr>
                  <w:r>
                    <w:t>8,01%</w:t>
                  </w:r>
                </w:p>
              </w:tc>
              <w:tc>
                <w:tcPr>
                  <w:tcW w:type="auto" w:w="0"/>
                  <w:shd w:val="clear" w:color="auto" w:fill="F0F0F0"/>
                </w:tcPr>
                <w:p>
                  <w:pPr>
                    <w:pStyle w:val="Normal"/>
                    <w:keepLines w:val="on"/>
                  </w:pPr>
                  <w:r>
                    <w:t>2,3872</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46,21%</w:t>
                  </w:r>
                </w:p>
              </w:tc>
              <w:tc>
                <w:tcPr>
                  <w:tcW w:type="auto" w:w="0"/>
                  <w:shd w:val="clear" w:color="auto" w:fill="F0F0F0"/>
                </w:tcPr>
                <w:p>
                  <w:pPr>
                    <w:pStyle w:val="Normal"/>
                    <w:keepLines w:val="on"/>
                  </w:pPr>
                  <w:r>
                    <w:t>1,20</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3,72%</w:t>
                  </w:r>
                </w:p>
              </w:tc>
              <w:tc>
                <w:tcPr>
                  <w:tcW w:type="auto" w:w="0"/>
                  <w:shd w:val="clear" w:color="auto" w:fill="F0F0F0"/>
                </w:tcPr>
                <w:p>
                  <w:pPr>
                    <w:pStyle w:val="Normal"/>
                    <w:keepLines w:val="on"/>
                  </w:pPr>
                  <w:r>
                    <w:t>6,83%</w:t>
                  </w:r>
                </w:p>
              </w:tc>
              <w:tc>
                <w:tcPr>
                  <w:tcW w:type="auto" w:w="0"/>
                  <w:shd w:val="clear" w:color="auto" w:fill="F0F0F0"/>
                </w:tcPr>
                <w:p>
                  <w:pPr>
                    <w:pStyle w:val="Normal"/>
                    <w:keepLines w:val="on"/>
                  </w:pPr>
                  <w:r>
                    <w:t>2,5502</w:t>
                  </w:r>
                </w:p>
              </w:tc>
            </w:tr>
          </w:tbl>
          <w:p/>
        </w:tc>
      </w:tr>
    </w:tbl>
    <w:p>
      <w:pPr>
        <w:pStyle w:val="Para 04"/>
        <w:keepLines w:val="on"/>
      </w:pPr>
      <w:r>
        <w:t>Giá trị cuối kỳ (terminal value) cho tài sản hoạt động của MGM có thể được ước tính bằng cách sử dụng FCFF trong năm cuối kỳ, chi phí vốn (cost of capital) và tốc độ tăng trưởng ổn định (stable growth rate):</w:t>
      </w:r>
    </w:p>
    <w:p>
      <w:bookmarkStart w:id="4743" w:name="Reinvestmentrate_Stablegrowthrat"/>
      <w:pPr>
        <w:keepNext/>
        <w:pStyle w:val="Para 07"/>
        <w:keepLines w:val="on"/>
      </w:pPr>
      <w:r>
        <w:t>Tỷ lệ tái đầu tư (Reinvestment rate) = Tốc độ tăng trưởng ổn định / ROIC ổn định = 0,03 / 0,10 = 0,30 hay 30%</w:t>
      </w:r>
      <w:bookmarkEnd w:id="4743"/>
    </w:p>
    <w:p>
      <w:bookmarkStart w:id="4744" w:name="Terminalvalue_EBIT10_1_stablegro"/>
      <w:pPr>
        <w:keepNext/>
        <w:pStyle w:val="Para 07"/>
        <w:keepLines w:val="on"/>
      </w:pPr>
      <w:r>
        <w:t>Giá trị cuối kỳ = EBIT10 × (1 + tốc độ tăng trưởng ổn định) × (1 − Thuế suất) × (1 − Tỷ lệ tái đầu tư) / (Chi phí vốn − Tốc độ tăng trưởng ổn định) = 17.080 × 1,03 × (1 − 0,38) × (1 − 0,30) / (0,0683 − 0,03) = 39.560 triệu đô la</w:t>
      </w:r>
      <w:bookmarkEnd w:id="4744"/>
    </w:p>
    <w:p>
      <w:pPr>
        <w:pStyle w:val="Para 04"/>
        <w:keepLines w:val="on"/>
      </w:pPr>
      <w:r>
        <w:t>Giá trị của tài sản hoạt động có thể được tính bằng cách chiết khấu dòng tiền trở lại theo chi phí vốn tích lũy (cumulated cost of capital) trong Bảng 22.11.</w:t>
      </w:r>
    </w:p>
    <w:p>
      <w:pPr>
        <w:pStyle w:val="Para 25"/>
        <w:keepLines w:val="on"/>
      </w:pPr>
      <w:r>
        <w:t>Bảng 22.11</w:t>
      </w:r>
    </w:p>
    <w:p>
      <w:pPr>
        <w:keepNext/>
        <w:pStyle w:val="Para 24"/>
        <w:keepLines w:val="on"/>
      </w:pPr>
      <w:r>
        <w:t>FCFF và giá trị hiện tại (Present value)</w:t>
      </w:r>
    </w:p>
    <w:tbl>
      <w:tblPr>
        <w:tblW w:type="auto" w:w="0"/>
      </w:tblPr>
      <w:tr>
        <w:tc>
          <w:tcPr>
            <w:tcW w:type="auto" w:w="0"/>
          </w:tcPr>
          <w:tbl>
            <w:tblPr>
              <w:tblW w:type="pct" w:w="500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FCFF</w:t>
                  </w:r>
                </w:p>
              </w:tc>
              <w:tc>
                <w:tcPr>
                  <w:tcW w:type="auto" w:w="0"/>
                  <w:shd w:val="clear" w:color="auto" w:fill="F0F0F0"/>
                </w:tcPr>
                <w:p>
                  <w:pPr>
                    <w:pStyle w:val="Para 05"/>
                    <w:keepLines w:val="on"/>
                  </w:pPr>
                  <w:r>
                    <w:t>Giá trị cuối kỳ</w:t>
                  </w:r>
                </w:p>
              </w:tc>
              <w:tc>
                <w:tcPr>
                  <w:tcW w:type="auto" w:w="0"/>
                  <w:shd w:val="clear" w:color="auto" w:fill="F0F0F0"/>
                </w:tcPr>
                <w:p>
                  <w:pPr>
                    <w:pStyle w:val="Para 05"/>
                    <w:keepLines w:val="on"/>
                  </w:pPr>
                  <w:r>
                    <w:t>WACC tích lũy</w:t>
                  </w:r>
                </w:p>
              </w:tc>
              <w:tc>
                <w:tcPr>
                  <w:tcW w:type="auto" w:w="0"/>
                  <w:shd w:val="clear" w:color="auto" w:fill="F0F0F0"/>
                </w:tcPr>
                <w:p>
                  <w:pPr>
                    <w:pStyle w:val="Para 05"/>
                    <w:keepLines w:val="on"/>
                  </w:pPr>
                  <w:r>
                    <w:t>Giá trị</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451 đô la</w:t>
                  </w:r>
                </w:p>
              </w:tc>
              <w:tc>
                <w:tcPr>
                  <w:tcW w:type="auto" w:w="0"/>
                  <w:shd w:val="clear" w:color="auto" w:fill="F0F0F0"/>
                </w:tcPr>
                <w:p>
                  <w:pPr>
                    <w:pStyle w:val="7 Block"/>
                    <w:keepLines w:val="on"/>
                  </w:pPr>
                </w:p>
              </w:tc>
              <w:tc>
                <w:tcPr>
                  <w:tcW w:type="auto" w:w="0"/>
                  <w:shd w:val="clear" w:color="auto" w:fill="F0F0F0"/>
                </w:tcPr>
                <w:p>
                  <w:pPr>
                    <w:pStyle w:val="Normal"/>
                    <w:keepLines w:val="on"/>
                  </w:pPr>
                  <w:r>
                    <w:t>1,1096</w:t>
                  </w:r>
                </w:p>
              </w:tc>
              <w:tc>
                <w:tcPr>
                  <w:tcW w:type="auto" w:w="0"/>
                  <w:shd w:val="clear" w:color="auto" w:fill="F0F0F0"/>
                </w:tcPr>
                <w:p>
                  <w:pPr>
                    <w:pStyle w:val="Normal"/>
                    <w:keepLines w:val="on"/>
                  </w:pPr>
                  <w:r>
                    <w:t>406,60 đô la</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649 đô la</w:t>
                  </w:r>
                </w:p>
              </w:tc>
              <w:tc>
                <w:tcPr>
                  <w:tcW w:type="auto" w:w="0"/>
                  <w:shd w:val="clear" w:color="auto" w:fill="F0F0F0"/>
                </w:tcPr>
                <w:p>
                  <w:pPr>
                    <w:pStyle w:val="7 Block"/>
                    <w:keepLines w:val="on"/>
                  </w:pPr>
                </w:p>
              </w:tc>
              <w:tc>
                <w:tcPr>
                  <w:tcW w:type="auto" w:w="0"/>
                  <w:shd w:val="clear" w:color="auto" w:fill="F0F0F0"/>
                </w:tcPr>
                <w:p>
                  <w:pPr>
                    <w:pStyle w:val="Normal"/>
                    <w:keepLines w:val="on"/>
                  </w:pPr>
                  <w:r>
                    <w:t>1,2311</w:t>
                  </w:r>
                </w:p>
              </w:tc>
              <w:tc>
                <w:tcPr>
                  <w:tcW w:type="auto" w:w="0"/>
                  <w:shd w:val="clear" w:color="auto" w:fill="F0F0F0"/>
                </w:tcPr>
                <w:p>
                  <w:pPr>
                    <w:pStyle w:val="Normal"/>
                    <w:keepLines w:val="on"/>
                  </w:pPr>
                  <w:r>
                    <w:t>526,76 đô la</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831 đô la</w:t>
                  </w:r>
                </w:p>
              </w:tc>
              <w:tc>
                <w:tcPr>
                  <w:tcW w:type="auto" w:w="0"/>
                  <w:shd w:val="clear" w:color="auto" w:fill="F0F0F0"/>
                </w:tcPr>
                <w:p>
                  <w:pPr>
                    <w:pStyle w:val="7 Block"/>
                    <w:keepLines w:val="on"/>
                  </w:pPr>
                </w:p>
              </w:tc>
              <w:tc>
                <w:tcPr>
                  <w:tcW w:type="auto" w:w="0"/>
                  <w:shd w:val="clear" w:color="auto" w:fill="F0F0F0"/>
                </w:tcPr>
                <w:p>
                  <w:pPr>
                    <w:pStyle w:val="Normal"/>
                    <w:keepLines w:val="on"/>
                  </w:pPr>
                  <w:r>
                    <w:t>1,3660</w:t>
                  </w:r>
                </w:p>
              </w:tc>
              <w:tc>
                <w:tcPr>
                  <w:tcW w:type="auto" w:w="0"/>
                  <w:shd w:val="clear" w:color="auto" w:fill="F0F0F0"/>
                </w:tcPr>
                <w:p>
                  <w:pPr>
                    <w:pStyle w:val="Normal"/>
                    <w:keepLines w:val="on"/>
                  </w:pPr>
                  <w:r>
                    <w:t>608,13 đô la</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$993</w:t>
                  </w:r>
                </w:p>
              </w:tc>
              <w:tc>
                <w:tcPr>
                  <w:tcW w:type="auto" w:w="0"/>
                  <w:shd w:val="clear" w:color="auto" w:fill="F0F0F0"/>
                </w:tcPr>
                <w:p>
                  <w:pPr>
                    <w:pStyle w:val="7 Block"/>
                    <w:keepLines w:val="on"/>
                  </w:pPr>
                </w:p>
              </w:tc>
              <w:tc>
                <w:tcPr>
                  <w:tcW w:type="auto" w:w="0"/>
                  <w:shd w:val="clear" w:color="auto" w:fill="F0F0F0"/>
                </w:tcPr>
                <w:p>
                  <w:pPr>
                    <w:pStyle w:val="Normal"/>
                    <w:keepLines w:val="on"/>
                  </w:pPr>
                  <w:r>
                    <w:t>1.5157</w:t>
                  </w:r>
                </w:p>
              </w:tc>
              <w:tc>
                <w:tcPr>
                  <w:tcW w:type="auto" w:w="0"/>
                  <w:shd w:val="clear" w:color="auto" w:fill="F0F0F0"/>
                </w:tcPr>
                <w:p>
                  <w:pPr>
                    <w:pStyle w:val="Normal"/>
                    <w:keepLines w:val="on"/>
                  </w:pPr>
                  <w:r>
                    <w:t>$655.02</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$1,134</w:t>
                  </w:r>
                </w:p>
              </w:tc>
              <w:tc>
                <w:tcPr>
                  <w:tcW w:type="auto" w:w="0"/>
                  <w:shd w:val="clear" w:color="auto" w:fill="F0F0F0"/>
                </w:tcPr>
                <w:p>
                  <w:pPr>
                    <w:pStyle w:val="7 Block"/>
                    <w:keepLines w:val="on"/>
                  </w:pPr>
                </w:p>
              </w:tc>
              <w:tc>
                <w:tcPr>
                  <w:tcW w:type="auto" w:w="0"/>
                  <w:shd w:val="clear" w:color="auto" w:fill="F0F0F0"/>
                </w:tcPr>
                <w:p>
                  <w:pPr>
                    <w:pStyle w:val="Normal"/>
                    <w:keepLines w:val="on"/>
                  </w:pPr>
                  <w:r>
                    <w:t>1.6818</w:t>
                  </w:r>
                </w:p>
              </w:tc>
              <w:tc>
                <w:tcPr>
                  <w:tcW w:type="auto" w:w="0"/>
                  <w:shd w:val="clear" w:color="auto" w:fill="F0F0F0"/>
                </w:tcPr>
                <w:p>
                  <w:pPr>
                    <w:pStyle w:val="Normal"/>
                    <w:keepLines w:val="on"/>
                  </w:pPr>
                  <w:r>
                    <w:t>$674.42</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$1,252</w:t>
                  </w:r>
                </w:p>
              </w:tc>
              <w:tc>
                <w:tcPr>
                  <w:tcW w:type="auto" w:w="0"/>
                  <w:shd w:val="clear" w:color="auto" w:fill="F0F0F0"/>
                </w:tcPr>
                <w:p>
                  <w:pPr>
                    <w:pStyle w:val="7 Block"/>
                    <w:keepLines w:val="on"/>
                  </w:pPr>
                </w:p>
              </w:tc>
              <w:tc>
                <w:tcPr>
                  <w:tcW w:type="auto" w:w="0"/>
                  <w:shd w:val="clear" w:color="auto" w:fill="F0F0F0"/>
                </w:tcPr>
                <w:p>
                  <w:pPr>
                    <w:pStyle w:val="Normal"/>
                    <w:keepLines w:val="on"/>
                  </w:pPr>
                  <w:r>
                    <w:t>1.8535</w:t>
                  </w:r>
                </w:p>
              </w:tc>
              <w:tc>
                <w:tcPr>
                  <w:tcW w:type="auto" w:w="0"/>
                  <w:shd w:val="clear" w:color="auto" w:fill="F0F0F0"/>
                </w:tcPr>
                <w:p>
                  <w:pPr>
                    <w:pStyle w:val="Normal"/>
                    <w:keepLines w:val="on"/>
                  </w:pPr>
                  <w:r>
                    <w:t>$675.36</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$1,342</w:t>
                  </w:r>
                </w:p>
              </w:tc>
              <w:tc>
                <w:tcPr>
                  <w:tcW w:type="auto" w:w="0"/>
                  <w:shd w:val="clear" w:color="auto" w:fill="F0F0F0"/>
                </w:tcPr>
                <w:p>
                  <w:pPr>
                    <w:pStyle w:val="7 Block"/>
                    <w:keepLines w:val="on"/>
                  </w:pPr>
                </w:p>
              </w:tc>
              <w:tc>
                <w:tcPr>
                  <w:tcW w:type="auto" w:w="0"/>
                  <w:shd w:val="clear" w:color="auto" w:fill="F0F0F0"/>
                </w:tcPr>
                <w:p>
                  <w:pPr>
                    <w:pStyle w:val="Normal"/>
                    <w:keepLines w:val="on"/>
                  </w:pPr>
                  <w:r>
                    <w:t>2.0306</w:t>
                  </w:r>
                </w:p>
              </w:tc>
              <w:tc>
                <w:tcPr>
                  <w:tcW w:type="auto" w:w="0"/>
                  <w:shd w:val="clear" w:color="auto" w:fill="F0F0F0"/>
                </w:tcPr>
                <w:p>
                  <w:pPr>
                    <w:pStyle w:val="Normal"/>
                    <w:keepLines w:val="on"/>
                  </w:pPr>
                  <w:r>
                    <w:t>$660.67</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$1,413</w:t>
                  </w:r>
                </w:p>
              </w:tc>
              <w:tc>
                <w:tcPr>
                  <w:tcW w:type="auto" w:w="0"/>
                  <w:shd w:val="clear" w:color="auto" w:fill="F0F0F0"/>
                </w:tcPr>
                <w:p>
                  <w:pPr>
                    <w:pStyle w:val="7 Block"/>
                    <w:keepLines w:val="on"/>
                  </w:pPr>
                </w:p>
              </w:tc>
              <w:tc>
                <w:tcPr>
                  <w:tcW w:type="auto" w:w="0"/>
                  <w:shd w:val="clear" w:color="auto" w:fill="F0F0F0"/>
                </w:tcPr>
                <w:p>
                  <w:pPr>
                    <w:pStyle w:val="Normal"/>
                    <w:keepLines w:val="on"/>
                  </w:pPr>
                  <w:r>
                    <w:t>2.2101</w:t>
                  </w:r>
                </w:p>
              </w:tc>
              <w:tc>
                <w:tcPr>
                  <w:tcW w:type="auto" w:w="0"/>
                  <w:shd w:val="clear" w:color="auto" w:fill="F0F0F0"/>
                </w:tcPr>
                <w:p>
                  <w:pPr>
                    <w:pStyle w:val="Normal"/>
                    <w:keepLines w:val="on"/>
                  </w:pPr>
                  <w:r>
                    <w:t>$639.33</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$1,478</w:t>
                  </w:r>
                </w:p>
              </w:tc>
              <w:tc>
                <w:tcPr>
                  <w:tcW w:type="auto" w:w="0"/>
                  <w:shd w:val="clear" w:color="auto" w:fill="F0F0F0"/>
                </w:tcPr>
                <w:p>
                  <w:pPr>
                    <w:pStyle w:val="7 Block"/>
                    <w:keepLines w:val="on"/>
                  </w:pPr>
                </w:p>
              </w:tc>
              <w:tc>
                <w:tcPr>
                  <w:tcW w:type="auto" w:w="0"/>
                  <w:shd w:val="clear" w:color="auto" w:fill="F0F0F0"/>
                </w:tcPr>
                <w:p>
                  <w:pPr>
                    <w:pStyle w:val="Normal"/>
                    <w:keepLines w:val="on"/>
                  </w:pPr>
                  <w:r>
                    <w:t>2.3872</w:t>
                  </w:r>
                </w:p>
              </w:tc>
              <w:tc>
                <w:tcPr>
                  <w:tcW w:type="auto" w:w="0"/>
                  <w:shd w:val="clear" w:color="auto" w:fill="F0F0F0"/>
                </w:tcPr>
                <w:p>
                  <w:pPr>
                    <w:pStyle w:val="Normal"/>
                    <w:keepLines w:val="on"/>
                  </w:pPr>
                  <w:r>
                    <w:t>$619.07</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$1,536</w:t>
                  </w:r>
                </w:p>
              </w:tc>
              <w:tc>
                <w:tcPr>
                  <w:tcW w:type="auto" w:w="0"/>
                  <w:shd w:val="clear" w:color="auto" w:fill="F0F0F0"/>
                </w:tcPr>
                <w:p>
                  <w:pPr>
                    <w:pStyle w:val="Normal"/>
                    <w:keepLines w:val="on"/>
                  </w:pPr>
                  <w:r>
                    <w:t>$39,560</w:t>
                  </w:r>
                </w:p>
              </w:tc>
              <w:tc>
                <w:tcPr>
                  <w:tcW w:type="auto" w:w="0"/>
                  <w:shd w:val="clear" w:color="auto" w:fill="F0F0F0"/>
                </w:tcPr>
                <w:p>
                  <w:pPr>
                    <w:pStyle w:val="Normal"/>
                    <w:keepLines w:val="on"/>
                  </w:pPr>
                  <w:r>
                    <w:t>2,5502</w:t>
                  </w:r>
                </w:p>
              </w:tc>
              <w:tc>
                <w:tcPr>
                  <w:tcW w:type="auto" w:w="0"/>
                  <w:shd w:val="clear" w:color="auto" w:fill="F0F0F0"/>
                </w:tcPr>
                <w:p>
                  <w:pPr>
                    <w:pStyle w:val="Normal"/>
                    <w:keepLines w:val="on"/>
                  </w:pPr>
                  <w:r>
                    <w:t>$16,115</w:t>
                  </w:r>
                </w:p>
              </w:tc>
            </w:tr>
            <w:tr>
              <w:tc>
                <w:tcPr>
                  <w:tcW w:type="auto" w:w="0"/>
                  <w:shd w:val="clear" w:color="auto" w:fill="F0F0F0"/>
                </w:tcPr>
                <w:p>
                  <w:pPr>
                    <w:pStyle w:val="Normal"/>
                    <w:keepLines w:val="on"/>
                  </w:pPr>
                  <w:r>
                    <w:t>Giá trị tài sản hoạt động</w:t>
                  </w: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$21,580</w:t>
                  </w:r>
                </w:p>
              </w:tc>
            </w:tr>
            <w:tr>
              <w:tc>
                <w:tcPr>
                  <w:tcW w:type="auto" w:w="0"/>
                  <w:shd w:val="clear" w:color="auto" w:fill="F0F0F0"/>
                </w:tcPr>
                <w:p>
                  <w:pPr>
                    <w:pStyle w:val="Normal"/>
                    <w:keepLines w:val="on"/>
                  </w:pPr>
                  <w:r>
                    <w:t>+ Tiền mặt</w:t>
                  </w: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$499</w:t>
                  </w:r>
                </w:p>
              </w:tc>
            </w:tr>
            <w:tr>
              <w:tc>
                <w:tcPr>
                  <w:tcW w:type="auto" w:w="0"/>
                  <w:shd w:val="clear" w:color="auto" w:fill="F0F0F0"/>
                </w:tcPr>
                <w:p>
                  <w:pPr>
                    <w:pStyle w:val="Normal"/>
                    <w:keepLines w:val="on"/>
                  </w:pPr>
                  <w:r>
                    <w:t>– Nợ</w:t>
                  </w: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$10,952</w:t>
                  </w:r>
                </w:p>
              </w:tc>
            </w:tr>
            <w:tr>
              <w:tc>
                <w:tcPr>
                  <w:tcW w:type="auto" w:w="0"/>
                  <w:shd w:val="clear" w:color="auto" w:fill="F0F0F0"/>
                </w:tcPr>
                <w:p>
                  <w:pPr>
                    <w:pStyle w:val="Normal"/>
                    <w:keepLines w:val="on"/>
                  </w:pPr>
                  <w:r>
                    <w:t>Giá trị vốn chủ sở hữu</w:t>
                  </w: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$11,127</w:t>
                  </w:r>
                </w:p>
              </w:tc>
            </w:tr>
            <w:tr>
              <w:tc>
                <w:tcPr>
                  <w:tcW w:type="auto" w:w="0"/>
                  <w:shd w:val="clear" w:color="auto" w:fill="F0F0F0"/>
                </w:tcPr>
                <w:p>
                  <w:pPr>
                    <w:pStyle w:val="Normal"/>
                    <w:keepLines w:val="on"/>
                  </w:pPr>
                  <w:r>
                    <w:t>/ Số lượng cổ phiếu</w:t>
                  </w: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488,59</w:t>
                  </w:r>
                </w:p>
              </w:tc>
            </w:tr>
            <w:tr>
              <w:tc>
                <w:tcPr>
                  <w:tcW w:type="auto" w:w="0"/>
                  <w:shd w:val="clear" w:color="auto" w:fill="F0F0F0"/>
                </w:tcPr>
                <w:p>
                  <w:pPr>
                    <w:pStyle w:val="Normal"/>
                    <w:keepLines w:val="on"/>
                  </w:pPr>
                  <w:r>
                    <w:t>Giá trị mỗi cổ phiếu</w:t>
                  </w: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$22,77</w:t>
                  </w:r>
                </w:p>
              </w:tc>
            </w:tr>
          </w:tbl>
          <w:p/>
        </w:tc>
      </w:tr>
    </w:tbl>
    <w:p>
      <w:pPr>
        <w:pStyle w:val="Para 04"/>
        <w:keepLines w:val="on"/>
      </w:pPr>
      <w:r>
        <w:t>Nếu MGM có thể cải thiện hiệu quả hoạt động và giảm bớt gánh nặng nợ theo thời gian, giá trị mỗi cổ phiếu của họ vào tháng 5 năm 2011 là $22,77.</w:t>
      </w:r>
    </w:p>
    <w:p>
      <w:pPr>
        <w:pStyle w:val="Para 04"/>
        <w:keepLines w:val="on"/>
      </w:pPr>
      <w:r>
        <w:t>Giá trị hoạt động liên tục (going-concern value) này cao hơn nhiều so với mức giá cổ phiếu $15,13 mà MGM đang giao dịch vào tháng 5 năm 2011, nhưng gánh nặng nợ cao và xếp hạng trái phiếu thấp (CCC) của MGM đều là những dấu hiệu cảnh báo về khả năng vỡ nợ tiềm ẩn. Để đưa vào yếu tố vỡ nợ tiềm ẩn, chúng tôi đã ước tính xác suất vỡ nợ và số tiền thu hồi được khi vỡ nợ.</w:t>
      </w:r>
    </w:p>
    <w:p>
      <w:pPr>
        <w:pStyle w:val="Para 04"/>
        <w:keepLines w:val="on"/>
      </w:pPr>
      <w:r>
        <w:t>Xác suất vỡ nợ: Sử dụng Bảng 22.1, chúng ta có thể đánh giá xác suất vỡ nợ dựa trên xếp hạng trái phiếu CCC là 61,67%. Còn một cách khác. Vì MGM có trái phiếu giao dịch công khai, chúng tôi chọn một trong những trái phiếu có tính thanh khoản cao nhất—một trái phiếu có thời gian đáo hạn bảy năm và lãi suất coupon 7,625% đang giao dịch ở mức 97,4% mệnh giá và ước tính xác suất gặp khó khăn tài chính (πdistress) từ giá trái phiếu:</w:t>
      </w:r>
    </w:p>
    <w:p>
      <w:bookmarkStart w:id="4747" w:name="Bond_price___917____t_1t_776_25"/>
      <w:pPr>
        <w:keepNext/>
        <w:pStyle w:val="Para 07"/>
        <w:keepLines w:val="on"/>
      </w:pPr>
      <w:r>
        <w:t>Giá trái phiếu = 917=∑t=1t=776,25 (1−πDistress)(1,035)t+1000 (1−πDistress)1,0357</w:t>
      </w:r>
      <w:bookmarkEnd w:id="4747"/>
    </w:p>
    <w:p>
      <w:pPr>
        <w:pStyle w:val="Para 04"/>
        <w:keepLines w:val="on"/>
      </w:pPr>
      <w:r>
        <w:t>Giải phương trình để tìm xác suất gặp khó khăn tài chính, chúng ta có xác suất hàng năm là 4,28% và xác suất tích lũy là 35,42% trong 10 năm:</w:t>
      </w:r>
    </w:p>
    <w:p>
      <w:bookmarkStart w:id="4748" w:name="Probability_of_default_over_10_y"/>
      <w:pPr>
        <w:keepNext/>
        <w:pStyle w:val="Para 07"/>
        <w:keepLines w:val="on"/>
      </w:pPr>
      <w:r>
        <w:t>Xác suất vỡ nợ trong 10 năm=1-(1-,0428)10=,3542.</w:t>
      </w:r>
      <w:bookmarkEnd w:id="4748"/>
    </w:p>
    <w:p>
      <w:pPr>
        <w:pStyle w:val="Para 04"/>
        <w:keepLines w:val="on"/>
      </w:pPr>
      <w:r>
        <w:t>Số tiền thu hồi khi vỡ nợ: Trong trường hợp vỡ nợ, chúng tôi giả định rằng MGM có thể bán tài sản của mình (chủ yếu là bất động sản) với giá bằng 80% giá trị sổ sách và chi phí thanh lý sẽ là 5% số tiền thu được.</w:t>
      </w:r>
    </w:p>
    <w:p>
      <w:bookmarkStart w:id="4749" w:name="Distressproceeds_Bookvalueofasse"/>
      <w:pPr>
        <w:keepNext/>
        <w:pStyle w:val="Para 07"/>
        <w:keepLines w:val="on"/>
      </w:pPr>
      <w:r>
        <w:t>Số tiền thu hồi khi vỡ nợ=Giá trị sổ sách của tài sản×Số tiền thu hồi khi vỡ nợ theo % giá trị sổ sách×(1−Chi phí thanh lý%)=$14.548,80×1−,05=$11.531 triệu</w:t>
      </w:r>
      <w:bookmarkEnd w:id="4749"/>
    </w:p>
    <w:p>
      <w:pPr>
        <w:pStyle w:val="Para 04"/>
        <w:keepLines w:val="on"/>
      </w:pPr>
      <w:r>
        <w:t>Vì giá trị sổ sách của nợ là $12.048 triệu, vốn chủ sở hữu sẽ không còn giá trị gì trong trường hợp vỡ nợ.</w:t>
      </w:r>
    </w:p>
    <w:p>
      <w:pPr>
        <w:pStyle w:val="Para 04"/>
        <w:keepLines w:val="on"/>
      </w:pPr>
      <w:r>
        <w:t>Giá trị vốn chủ sở hữu đã điều chỉnh theo rủi ro kiệt quệ tài chính sau đó có thể được viết dưới dạng một hàm của giá trị DCF và giá trị đã điều chỉnh theo rủi ro kiệt quệ tài chính:</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Hoạt động liên tục</w:t>
                  </w:r>
                </w:p>
              </w:tc>
              <w:tc>
                <w:tcPr>
                  <w:tcW w:type="auto" w:w="0"/>
                  <w:shd w:val="clear" w:color="auto" w:fill="F0F0F0"/>
                </w:tcPr>
                <w:p>
                  <w:pPr>
                    <w:pStyle w:val="Para 05"/>
                    <w:keepLines w:val="on"/>
                  </w:pPr>
                  <w:r>
                    <w:t>Kiệt quệ/Vỡ nợ</w:t>
                  </w:r>
                </w:p>
              </w:tc>
            </w:tr>
            <w:tr>
              <w:tc>
                <w:tcPr>
                  <w:tcW w:type="auto" w:w="0"/>
                  <w:shd w:val="clear" w:color="auto" w:fill="F0F0F0"/>
                </w:tcPr>
                <w:p>
                  <w:pPr>
                    <w:pStyle w:val="Para 02"/>
                    <w:keepLines w:val="on"/>
                  </w:pPr>
                  <w:r>
                    <w:t>Xác suất</w:t>
                  </w:r>
                </w:p>
              </w:tc>
              <w:tc>
                <w:tcPr>
                  <w:tcW w:type="auto" w:w="0"/>
                  <w:shd w:val="clear" w:color="auto" w:fill="F0F0F0"/>
                </w:tcPr>
                <w:p>
                  <w:pPr>
                    <w:pStyle w:val="Normal"/>
                    <w:keepLines w:val="on"/>
                  </w:pPr>
                  <w:r>
                    <w:t>64,58%</w:t>
                  </w:r>
                </w:p>
              </w:tc>
              <w:tc>
                <w:tcPr>
                  <w:tcW w:type="auto" w:w="0"/>
                  <w:shd w:val="clear" w:color="auto" w:fill="F0F0F0"/>
                </w:tcPr>
                <w:p>
                  <w:pPr>
                    <w:pStyle w:val="Normal"/>
                    <w:keepLines w:val="on"/>
                  </w:pPr>
                  <w:r>
                    <w:t>35,42%</w:t>
                  </w:r>
                </w:p>
              </w:tc>
            </w:tr>
            <w:tr>
              <w:tc>
                <w:tcPr>
                  <w:tcW w:type="auto" w:w="0"/>
                  <w:shd w:val="clear" w:color="auto" w:fill="F0F0F0"/>
                </w:tcPr>
                <w:p>
                  <w:pPr>
                    <w:pStyle w:val="Para 02"/>
                    <w:keepLines w:val="on"/>
                  </w:pPr>
                  <w:r>
                    <w:t>Giá trị doanh nghiệp</w:t>
                  </w:r>
                </w:p>
              </w:tc>
              <w:tc>
                <w:tcPr>
                  <w:tcW w:type="auto" w:w="0"/>
                  <w:shd w:val="clear" w:color="auto" w:fill="F0F0F0"/>
                </w:tcPr>
                <w:p>
                  <w:pPr>
                    <w:pStyle w:val="Normal"/>
                    <w:keepLines w:val="on"/>
                  </w:pPr>
                  <w:r>
                    <w:t>$22.079</w:t>
                  </w:r>
                </w:p>
              </w:tc>
              <w:tc>
                <w:tcPr>
                  <w:tcW w:type="auto" w:w="0"/>
                  <w:shd w:val="clear" w:color="auto" w:fill="F0F0F0"/>
                </w:tcPr>
                <w:p>
                  <w:pPr>
                    <w:pStyle w:val="Normal"/>
                    <w:keepLines w:val="on"/>
                  </w:pPr>
                  <w:r>
                    <w:t>$11.531</w:t>
                  </w:r>
                </w:p>
              </w:tc>
            </w:tr>
            <w:tr>
              <w:tc>
                <w:tcPr>
                  <w:tcW w:type="auto" w:w="0"/>
                  <w:shd w:val="clear" w:color="auto" w:fill="F0F0F0"/>
                </w:tcPr>
                <w:p>
                  <w:pPr>
                    <w:pStyle w:val="Para 02"/>
                    <w:keepLines w:val="on"/>
                  </w:pPr>
                  <w:r>
                    <w:t>Nợ chưa thanh toán</w:t>
                  </w:r>
                </w:p>
              </w:tc>
              <w:tc>
                <w:tcPr>
                  <w:tcW w:type="auto" w:w="0"/>
                  <w:shd w:val="clear" w:color="auto" w:fill="F0F0F0"/>
                </w:tcPr>
                <w:p>
                  <w:pPr>
                    <w:pStyle w:val="Normal"/>
                    <w:keepLines w:val="on"/>
                  </w:pPr>
                  <w:r>
                    <w:t>$10.952</w:t>
                  </w:r>
                </w:p>
              </w:tc>
              <w:tc>
                <w:tcPr>
                  <w:tcW w:type="auto" w:w="0"/>
                  <w:shd w:val="clear" w:color="auto" w:fill="F0F0F0"/>
                </w:tcPr>
                <w:p>
                  <w:pPr>
                    <w:pStyle w:val="Normal"/>
                    <w:keepLines w:val="on"/>
                  </w:pPr>
                  <w:r>
                    <w:t>$12.048</w:t>
                  </w:r>
                </w:p>
              </w:tc>
            </w:tr>
            <w:tr>
              <w:tc>
                <w:tcPr>
                  <w:tcW w:type="auto" w:w="0"/>
                  <w:shd w:val="clear" w:color="auto" w:fill="F0F0F0"/>
                </w:tcPr>
                <w:p>
                  <w:pPr>
                    <w:pStyle w:val="Para 02"/>
                    <w:keepLines w:val="on"/>
                  </w:pPr>
                  <w:r>
                    <w:t>Giá trị vốn chủ sở hữu</w:t>
                  </w:r>
                </w:p>
              </w:tc>
              <w:tc>
                <w:tcPr>
                  <w:tcW w:type="auto" w:w="0"/>
                  <w:shd w:val="clear" w:color="auto" w:fill="F0F0F0"/>
                </w:tcPr>
                <w:p>
                  <w:pPr>
                    <w:pStyle w:val="Normal"/>
                    <w:keepLines w:val="on"/>
                  </w:pPr>
                  <w:r>
                    <w:t>$11.127</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Giá trị trên mỗi cổ phần</w:t>
                  </w:r>
                </w:p>
              </w:tc>
              <w:tc>
                <w:tcPr>
                  <w:tcW w:type="auto" w:w="0"/>
                  <w:shd w:val="clear" w:color="auto" w:fill="F0F0F0"/>
                </w:tcPr>
                <w:p>
                  <w:pPr>
                    <w:pStyle w:val="Normal"/>
                    <w:keepLines w:val="on"/>
                  </w:pPr>
                  <w:r>
                    <w:t>$22,77</w:t>
                  </w:r>
                </w:p>
              </w:tc>
              <w:tc>
                <w:tcPr>
                  <w:tcW w:type="auto" w:w="0"/>
                  <w:shd w:val="clear" w:color="auto" w:fill="F0F0F0"/>
                </w:tcPr>
                <w:p>
                  <w:pPr>
                    <w:pStyle w:val="Normal"/>
                    <w:keepLines w:val="on"/>
                  </w:pPr>
                  <w:r>
                    <w:t>$0,00</w:t>
                  </w:r>
                </w:p>
              </w:tc>
            </w:tr>
          </w:tbl>
          <w:p/>
        </w:tc>
      </w:tr>
    </w:tbl>
    <w:p>
      <w:bookmarkStart w:id="4750" w:name="Value_of_equity__22_77_6458__0_0"/>
      <w:pPr>
        <w:keepNext/>
        <w:pStyle w:val="Para 07"/>
        <w:keepLines w:val="on"/>
      </w:pPr>
      <w:r>
        <w:t>Giá trị vốn chủ sở hữu = $22,77 × 0,6458 + $0,00 × 0,3542 = $14,71</w:t>
      </w:r>
      <w:bookmarkEnd w:id="4750"/>
    </w:p>
    <w:p>
      <w:pPr>
        <w:pStyle w:val="Para 04"/>
        <w:keepLines w:val="on"/>
      </w:pPr>
      <w:r>
        <w:t>Vì giá cổ phiếu là $15,13 vào tháng 5 năm 2011, cổ phiếu có vẻ được định giá hợp lý.</w:t>
      </w:r>
    </w:p>
    <w:p>
      <w:pPr>
        <w:pStyle w:val="Para 11"/>
      </w:pPr>
      <w:r>
        <w:rPr>
          <w:rStyle w:val="Text26"/>
        </w:rPr>
        <w:bookmarkStart w:id="4751" w:name="Page_727"/>
        <w:t/>
        <w:bookmarkEnd w:id="4751"/>
      </w:r>
      <w:r>
        <w:t xml:space="preserve"> </w:t>
      </w:r>
    </w:p>
    <w:p>
      <w:pPr>
        <w:pStyle w:val="Para 11"/>
      </w:pPr>
      <w:r>
        <w:t/>
        <w:t xml:space="preserve"> </w:t>
      </w:r>
    </w:p>
    <w:p>
      <w:bookmarkStart w:id="4752" w:name="dbtfund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218"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4752"/>
    </w:p>
    <w:p>
      <w:pPr>
        <w:pStyle w:val="Para 31"/>
        <w:keepLines w:val="on"/>
      </w:pPr>
      <w:r>
        <w:t>dbtfund.xls: Bộ dữ liệu này trên web tóm tắt tỷ lệ nợ theo giá trị sổ sách và giá trị thị trường theo nhóm ngành ở Hoa Kỳ cho năm gần nhất</w:t>
      </w:r>
    </w:p>
    <w:p>
      <w:pPr>
        <w:pStyle w:val="Para 03"/>
        <w:keepLines w:val="on"/>
      </w:pPr>
      <w:r>
        <w:t>.</w:t>
      </w:r>
    </w:p>
    <w:p>
      <w:bookmarkStart w:id="4753" w:name="Life_Cycle_Earnings"/>
      <w:bookmarkStart w:id="4754" w:name="Life_Cycle_Earnings__As_noted_ea"/>
      <w:pPr>
        <w:keepNext/>
        <w:pStyle w:val="Heading 4"/>
        <w:keepLines w:val="on"/>
      </w:pPr>
      <w:r>
        <w:t>Thu nhập theo Vòng đời</w:t>
      </w:r>
      <w:bookmarkEnd w:id="4753"/>
      <w:bookmarkEnd w:id="4754"/>
    </w:p>
    <w:p>
      <w:pPr>
        <w:pStyle w:val="Para 03"/>
      </w:pPr>
      <w:r>
        <w:t>Như đã đề cập trước đó trong chương này, việc các công ty thua lỗ ở một số giai đoạn nhất định trong vòng đời của chúng là điều bình thường. Khi định giá những công ty như vậy, bạn không thể chuẩn hóa thu nhập, như chúng ta làm với các công ty mang tính chu kỳ hoặc các công ty có vấn đề tạm thời. Thay vào đó, bạn phải ước tính dòng tiền của công ty trong suốt vòng đời của nó và để chúng chuyển sang dương vào đúng giai đoạn của chu kỳ. Trước đó trong chương này, chúng ta đã xem xét các công ty cơ sở hạ tầng như một ví dụ, nơi dòng tiền sẽ âm vào đầu giai đoạn. Chúng ta sẽ thêm hai nhóm công ty nữa vào danh sách: các công ty công nghệ sinh học non trẻ mà giá trị của chúng chủ yếu đến từ một hoặc nhiều bằng sáng chế, và các công ty khởi nghiệp.</w:t>
      </w:r>
    </w:p>
    <w:p>
      <w:bookmarkStart w:id="4755" w:name="Firms_with_Patents__The_value_of"/>
      <w:pPr>
        <w:pStyle w:val="Para 21"/>
      </w:pPr>
      <w:r>
        <w:t>Các công ty có Bằng sáng chế</w:t>
      </w:r>
      <w:bookmarkEnd w:id="4755"/>
    </w:p>
    <w:p>
      <w:pPr>
        <w:pStyle w:val="Para 03"/>
      </w:pPr>
      <w:r>
        <w:t>Giá trị của một công ty nói chung đến từ hai nguồn — tài sản hiện hữu và các cơ hội tăng trưởng trong tương lai kỳ vọng. Giá trị của nguồn thứ nhất thường được phản ánh trong dòng tiền hiện tại, còn giá trị của nguồn thứ hai được thể hiện qua tốc độ tăng trưởng kỳ vọng. Trong trường hợp đặc biệt của một công ty mà phần lớn giá trị đến từ một hoặc nhiều bằng sáng chế sản phẩm, tăng trưởng kỳ vọng sẽ đến từ việc phát triển các bằng sáng chế đó. Bỏ qua chúng trong định giá dòng tiền chiết khấu (discounted cash flow – DCF) sẽ làm đánh giá thấp giá trị của công ty.</w:t>
      </w:r>
    </w:p>
    <w:p>
      <w:pPr>
        <w:pStyle w:val="Para 03"/>
      </w:pPr>
      <w:r>
        <w:t>Có ba giải pháp khả thi cho những vấn đề liên quan đến việc định giá các công ty có quyền chọn sản phẩm (product option):</w:t>
      </w:r>
    </w:p>
    <w:p>
      <w:pPr>
        <w:numPr>
          <w:ilvl w:val="0"/>
          <w:numId w:val="239"/>
        </w:numPr>
        <w:pStyle w:val="Para 01"/>
      </w:pPr>
      <w:r>
        <w:t>Định giá các quyền chọn sản phẩm trên thị trường mở rồi cộng chúng vào giá trị từ định giá dòng tiền chiết khấu (DCF). Nếu có một thị trường sôi động giao dịch quyền chọn sản phẩm, đây là cách khả thi và đơn giản để định giá những quyền chọn này. Khi không có thị trường như vậy, hoặc khi các quyền chọn sản phẩm không thể tách rời và giao dịch được, cách tiếp cận này trở nên khó áp dụng.</w:t>
      </w:r>
    </w:p>
    <w:p>
      <w:pPr>
        <w:numPr>
          <w:ilvl w:val="0"/>
          <w:numId w:val="239"/>
        </w:numPr>
        <w:pStyle w:val="Para 01"/>
      </w:pPr>
      <w:r>
        <w:t>Sử dụng tốc độ tăng trưởng cao hơn mức mà các dự án và tài sản hiện có biện minh để nắm bắt giá trị gia tăng từ các quyền chọn sản phẩm. Cách này giữ cho phân tích nằm trong khuôn khổ định giá dòng tiền chiết khấu truyền thống, nhưng việc tăng tốc độ tăng trưởng về cơ bản là chủ quan, và nó chuyển đổi các dòng tiền tùy nghi (nơi quyền chọn sản phẩm sẽ chỉ được thực hiện khi và chỉ khi có ý nghĩa kinh tế) thành dòng tiền kỳ vọng.</w:t>
      </w:r>
    </w:p>
    <w:p>
      <w:pPr>
        <w:numPr>
          <w:ilvl w:val="0"/>
          <w:numId w:val="239"/>
        </w:numPr>
        <w:pStyle w:val="Para 01"/>
      </w:pPr>
      <w:r>
        <w:t>Sử dụng một mô hình định giá quyền chọn để định giá các quyền chọn sản phẩm rồi cộng giá trị đó vào giá trị thu được từ định giá DCF các tài sản hiện hữu. Ưu điểm của cách tiếp cận này là nó phản ánh hồ sơ dòng tiền của một quyền chọn sản phẩm chính xác hơn nhiều.</w:t>
      </w:r>
    </w:p>
    <w:p>
      <w:pPr>
        <w:pStyle w:val="Para 03"/>
      </w:pPr>
      <w:r>
        <w:t>Vấn đề chính khi định giá các công ty có quyền chọn sản phẩm không phải là những quyền chọn này bị bỏ qua, mà là chúng thường bị tính trùng hai lần. Các nhà phân tích rất hay sử dụng tốc độ tăng trưởng cao hơn để phản ánh các quyền chọn sản phẩm mà công ty sở hữu, nhưng rồi lại cộng thêm một khoản phụ trội vào giá trị DCF cho chính những quyền chọn sản phẩm đó. Chúng ta sẽ quay lại xem xét việc định giá những công ty này trong Chương 28.</w:t>
      </w:r>
    </w:p>
    <w:p>
      <w:bookmarkStart w:id="4757" w:name="Young_Start_Up_Firms__Many_firms"/>
      <w:pPr>
        <w:pStyle w:val="Para 21"/>
      </w:pPr>
      <w:r>
        <w:t>Các công ty khởi nghiệp non trẻ</w:t>
      </w:r>
      <w:bookmarkEnd w:id="4757"/>
    </w:p>
    <w:p>
      <w:pPr>
        <w:pStyle w:val="Para 03"/>
      </w:pPr>
      <w:r>
        <w:t>Nhiều công ty bắt đầu như những ý tưởng trong đầu các doanh nhân rồi dần dần phát triển thành các dự án kinh doanh thương mại theo thời gian. Trong quá trình chuyển mình từ công ty ý tưởng thành dự án kinh doanh thương mại này, việc những công ty này thua lỗ là chuyện không hiếm. Điều đó không khiến chúng trở nên vô giá trị. Thực tế, cơn bùng nổ giá trị thị trường của các công ty kinh tế mới vào cuối thập niên 1990 đã cho thấy rõ rằng những ý tưởng hay có thể có giá trị đáng kể, dù đợt điều chỉnh năm 2000 cũng minh họa những giá trị này có thể biến động dữ dội đến mức nào.</w:t>
      </w:r>
    </w:p>
    <w:p>
      <w:pPr>
        <w:pStyle w:val="Para 20"/>
      </w:pPr>
      <w:r>
        <w:rPr>
          <w:rStyle w:val="Text26"/>
        </w:rPr>
        <w:bookmarkStart w:id="4759" w:name="Page_728"/>
        <w:t/>
        <w:bookmarkEnd w:id="4759"/>
      </w:r>
      <w:r>
        <w:t xml:space="preserve"> </w:t>
      </w:r>
    </w:p>
    <w:p>
      <w:pPr>
        <w:pStyle w:val="Para 03"/>
      </w:pPr>
      <w:r>
        <w:t>Định giá các công ty khởi nghiệp non trẻ có lẽ là bài tập khó nhất trong định giá, và cho đến rất gần đây, đây vẫn là địa hạt của các nhà đầu tư mạo hiểm (venture capitalist) và nhà đầu tư vốn cổ phần tư nhân (private equity), những người thường bù đắp cho sự bất định bằng cách đòi hỏi lợi nhuận rất cao trên các khoản đầu tư này. Thách thức trở nên khó khăn hơn nhiều nếu một công ty khởi nghiệp non trẻ được niêm yết công khai. Chương tiếp theo sẽ xem xét những vấn đề ước lượng mà chúng ta gặp phải khi định giá một công ty như vậy.</w:t>
      </w:r>
    </w:p>
    <w:p>
      <w:bookmarkStart w:id="4760" w:name="Conclusion__There_are_many_cases"/>
      <w:bookmarkStart w:id="4761" w:name="Conclusion_21"/>
      <w:pPr>
        <w:keepNext/>
        <w:pStyle w:val="Heading 2"/>
        <w:keepLines w:val="on"/>
      </w:pPr>
      <w:r>
        <w:t>Kết luận</w:t>
      </w:r>
      <w:bookmarkEnd w:id="4760"/>
      <w:bookmarkEnd w:id="4761"/>
    </w:p>
    <w:p>
      <w:pPr>
        <w:pStyle w:val="Para 03"/>
      </w:pPr>
      <w:r>
        <w:t>Có nhiều trường hợp mà định giá dòng tiền chiết khấu truyền thống phải được sửa đổi hoặc điều chỉnh để đưa ra những ước lượng giá trị hợp lý. Một số trường hợp trong đó được trình bày trong chương này. Các công ty mang tính chu kỳ (cyclical firm) có thể khó định giá vì lợi nhuận của chúng bám theo nền kinh tế. Điều tương tự cũng đúng với các công ty hàng hóa (commodity firm) trong mối quan hệ với chu kỳ giá hàng hóa. Việc không điều chỉnh lợi nhuận cho những đợt lên xuống mang tính chu kỳ này có thể dẫn đến việc đánh giá thấp đáng kể những công ty này khi suy thoái chạm đáy và đánh giá cao đáng kể khi bùng nổ đạt đỉnh.</w:t>
      </w:r>
    </w:p>
    <w:p>
      <w:pPr>
        <w:pStyle w:val="Para 03"/>
      </w:pPr>
      <w:r>
        <w:t>Khi lợi nhuận của một công ty âm vì những vấn đề chiến lược, hoạt động hoặc tài chính dài hạn, quá trình định giá những công ty này trở nên phức tạp hơn. Bạn phải đưa ra phán đoán xem liệu các vấn đề của công ty có được giải quyết hay không và nếu có thì khi nào. Với những công ty có khả năng phá sản đáng kể, bạn có thể phải xem xét giá trị thanh lý của tài sản hoặc điều chỉnh định giá hoạt động liên tục (going concern) cho khả năng xảy ra và hậu quả của tình trạng kiệt quệ tài chính. Định giá những công ty ở giai đoạn đầu trong vòng đời của chúng cũng đặt ra những vấn đề tương tự, nhưng chúng trở nên trầm trọng hơn khi lợi nhuận, dòng tiền và giá trị sổ sách đều âm. Trong hầu hết những trường hợp này, định giá dòng tiền chiết khấu đủ linh hoạt để có thể dùng nhằm ước lượng giá trị.</w:t>
      </w:r>
    </w:p>
    <w:p>
      <w:bookmarkStart w:id="4762" w:name="Questions_and_Short_Problems_22"/>
      <w:bookmarkStart w:id="4763" w:name="Questions_and_Short_Problems__In_16"/>
      <w:pPr>
        <w:keepNext/>
        <w:pStyle w:val="Heading 2"/>
        <w:keepLines w:val="on"/>
      </w:pPr>
      <w:r>
        <w:t>Câu hỏi và bài tập ngắn</w:t>
      </w:r>
      <w:bookmarkEnd w:id="4762"/>
      <w:bookmarkEnd w:id="4763"/>
    </w:p>
    <w:p>
      <w:pPr>
        <w:pStyle w:val="Para 44"/>
      </w:pPr>
      <w:r>
        <w:t>Trong các bài tập sau đây, hãy sử dụng mức phụ trội rủi ro vốn cổ phần (equity risk premium) là 5,5 phần trăm nếu không có quy định nào khác.</w:t>
      </w:r>
    </w:p>
    <w:p>
      <w:pPr>
        <w:numPr>
          <w:ilvl w:val="0"/>
          <w:numId w:val="240"/>
        </w:numPr>
        <w:pStyle w:val="Para 01"/>
      </w:pPr>
      <w:r>
        <w:t>Intermet Corporation, tổ chức xưởng đúc gang độc lập lớn nhất trong nước, báo cáo mức thâm hụt trên mỗi cổ phần là 0,15 đô la vào năm 1993. Thu nhập trên mỗi cổ phần từ năm 1984 đến 1992 như sau:</w:t>
      </w:r>
    </w:p>
    <w:tbl>
      <w:tblPr>
        <w:tblW w:type="auto" w:w="0"/>
      </w:tblPr>
      <w:tr>
        <w:tc>
          <w:tcPr>
            <w:tcW w:type="auto" w:w="0"/>
          </w:tcPr>
          <w:tbl>
            <w:tblPr>
              <w:tblW w:type="pct" w:w="500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EPS</w:t>
                  </w:r>
                </w:p>
              </w:tc>
            </w:tr>
            <w:tr>
              <w:tc>
                <w:tcPr>
                  <w:tcW w:type="auto" w:w="0"/>
                  <w:shd w:val="clear" w:color="auto" w:fill="F0F0F0"/>
                </w:tcPr>
                <w:p>
                  <w:pPr>
                    <w:pStyle w:val="Normal"/>
                    <w:keepLines w:val="on"/>
                  </w:pPr>
                  <w:r>
                    <w:t>1984</w:t>
                  </w:r>
                </w:p>
              </w:tc>
              <w:tc>
                <w:tcPr>
                  <w:tcW w:type="auto" w:w="0"/>
                  <w:shd w:val="clear" w:color="auto" w:fill="F0F0F0"/>
                </w:tcPr>
                <w:p>
                  <w:pPr>
                    <w:pStyle w:val="Normal"/>
                    <w:keepLines w:val="on"/>
                  </w:pPr>
                  <w:r>
                    <w:t>0,69 đô la</w:t>
                  </w:r>
                </w:p>
              </w:tc>
            </w:tr>
            <w:tr>
              <w:tc>
                <w:tcPr>
                  <w:tcW w:type="auto" w:w="0"/>
                  <w:shd w:val="clear" w:color="auto" w:fill="F0F0F0"/>
                </w:tcPr>
                <w:p>
                  <w:pPr>
                    <w:pStyle w:val="Normal"/>
                    <w:keepLines w:val="on"/>
                  </w:pPr>
                  <w:r>
                    <w:t>1985</w:t>
                  </w:r>
                </w:p>
              </w:tc>
              <w:tc>
                <w:tcPr>
                  <w:tcW w:type="auto" w:w="0"/>
                  <w:shd w:val="clear" w:color="auto" w:fill="F0F0F0"/>
                </w:tcPr>
                <w:p>
                  <w:pPr>
                    <w:pStyle w:val="Normal"/>
                    <w:keepLines w:val="on"/>
                  </w:pPr>
                  <w:r>
                    <w:t>0,71 đô la</w:t>
                  </w:r>
                </w:p>
              </w:tc>
            </w:tr>
            <w:tr>
              <w:tc>
                <w:tcPr>
                  <w:tcW w:type="auto" w:w="0"/>
                  <w:shd w:val="clear" w:color="auto" w:fill="F0F0F0"/>
                </w:tcPr>
                <w:p>
                  <w:pPr>
                    <w:pStyle w:val="Normal"/>
                    <w:keepLines w:val="on"/>
                  </w:pPr>
                  <w:r>
                    <w:t>1986</w:t>
                  </w:r>
                </w:p>
              </w:tc>
              <w:tc>
                <w:tcPr>
                  <w:tcW w:type="auto" w:w="0"/>
                  <w:shd w:val="clear" w:color="auto" w:fill="F0F0F0"/>
                </w:tcPr>
                <w:p>
                  <w:pPr>
                    <w:pStyle w:val="Normal"/>
                    <w:keepLines w:val="on"/>
                  </w:pPr>
                  <w:r>
                    <w:t>0,90 đô la</w:t>
                  </w:r>
                </w:p>
              </w:tc>
            </w:tr>
            <w:tr>
              <w:tc>
                <w:tcPr>
                  <w:tcW w:type="auto" w:w="0"/>
                  <w:shd w:val="clear" w:color="auto" w:fill="F0F0F0"/>
                </w:tcPr>
                <w:p>
                  <w:pPr>
                    <w:pStyle w:val="Normal"/>
                    <w:keepLines w:val="on"/>
                  </w:pPr>
                  <w:r>
                    <w:t>1987</w:t>
                  </w:r>
                </w:p>
              </w:tc>
              <w:tc>
                <w:tcPr>
                  <w:tcW w:type="auto" w:w="0"/>
                  <w:shd w:val="clear" w:color="auto" w:fill="F0F0F0"/>
                </w:tcPr>
                <w:p>
                  <w:pPr>
                    <w:pStyle w:val="Normal"/>
                    <w:keepLines w:val="on"/>
                  </w:pPr>
                  <w:r>
                    <w:t>1,00 đô la</w:t>
                  </w:r>
                </w:p>
              </w:tc>
            </w:tr>
            <w:tr>
              <w:tc>
                <w:tcPr>
                  <w:tcW w:type="auto" w:w="0"/>
                  <w:shd w:val="clear" w:color="auto" w:fill="F0F0F0"/>
                </w:tcPr>
                <w:p>
                  <w:pPr>
                    <w:pStyle w:val="Normal"/>
                    <w:keepLines w:val="on"/>
                  </w:pPr>
                  <w:r>
                    <w:t>1988</w:t>
                  </w:r>
                </w:p>
              </w:tc>
              <w:tc>
                <w:tcPr>
                  <w:tcW w:type="auto" w:w="0"/>
                  <w:shd w:val="clear" w:color="auto" w:fill="F0F0F0"/>
                </w:tcPr>
                <w:p>
                  <w:pPr>
                    <w:pStyle w:val="Normal"/>
                    <w:keepLines w:val="on"/>
                  </w:pPr>
                  <w:r>
                    <w:t>0,76 đô la</w:t>
                  </w:r>
                </w:p>
              </w:tc>
            </w:tr>
            <w:tr>
              <w:tc>
                <w:tcPr>
                  <w:tcW w:type="auto" w:w="0"/>
                  <w:shd w:val="clear" w:color="auto" w:fill="F0F0F0"/>
                </w:tcPr>
                <w:p>
                  <w:pPr>
                    <w:pStyle w:val="Normal"/>
                    <w:keepLines w:val="on"/>
                  </w:pPr>
                  <w:r>
                    <w:t>1989</w:t>
                  </w:r>
                </w:p>
              </w:tc>
              <w:tc>
                <w:tcPr>
                  <w:tcW w:type="auto" w:w="0"/>
                  <w:shd w:val="clear" w:color="auto" w:fill="F0F0F0"/>
                </w:tcPr>
                <w:p>
                  <w:pPr>
                    <w:pStyle w:val="Normal"/>
                    <w:keepLines w:val="on"/>
                  </w:pPr>
                  <w:r>
                    <w:t>0,68 đô la</w:t>
                  </w:r>
                </w:p>
              </w:tc>
            </w:tr>
            <w:tr>
              <w:tc>
                <w:tcPr>
                  <w:tcW w:type="auto" w:w="0"/>
                  <w:shd w:val="clear" w:color="auto" w:fill="F0F0F0"/>
                </w:tcPr>
                <w:p>
                  <w:pPr>
                    <w:pStyle w:val="Normal"/>
                    <w:keepLines w:val="on"/>
                  </w:pPr>
                  <w:r>
                    <w:t>1990</w:t>
                  </w:r>
                </w:p>
              </w:tc>
              <w:tc>
                <w:tcPr>
                  <w:tcW w:type="auto" w:w="0"/>
                  <w:shd w:val="clear" w:color="auto" w:fill="F0F0F0"/>
                </w:tcPr>
                <w:p>
                  <w:pPr>
                    <w:pStyle w:val="Normal"/>
                    <w:keepLines w:val="on"/>
                  </w:pPr>
                  <w:r>
                    <w:t>0,09 đô la</w:t>
                  </w:r>
                </w:p>
              </w:tc>
            </w:tr>
            <w:tr>
              <w:tc>
                <w:tcPr>
                  <w:tcW w:type="auto" w:w="0"/>
                  <w:shd w:val="clear" w:color="auto" w:fill="F0F0F0"/>
                </w:tcPr>
                <w:p>
                  <w:pPr>
                    <w:pStyle w:val="Normal"/>
                    <w:keepLines w:val="on"/>
                  </w:pPr>
                  <w:r>
                    <w:t>1991</w:t>
                  </w:r>
                </w:p>
              </w:tc>
              <w:tc>
                <w:tcPr>
                  <w:tcW w:type="auto" w:w="0"/>
                  <w:shd w:val="clear" w:color="auto" w:fill="F0F0F0"/>
                </w:tcPr>
                <w:p>
                  <w:pPr>
                    <w:pStyle w:val="Normal"/>
                    <w:keepLines w:val="on"/>
                  </w:pPr>
                  <w:r>
                    <w:t>0,16 đô la</w:t>
                  </w:r>
                </w:p>
              </w:tc>
            </w:tr>
            <w:tr>
              <w:tc>
                <w:tcPr>
                  <w:tcW w:type="auto" w:w="0"/>
                  <w:shd w:val="clear" w:color="auto" w:fill="F0F0F0"/>
                </w:tcPr>
                <w:p>
                  <w:pPr>
                    <w:pStyle w:val="Normal"/>
                    <w:keepLines w:val="on"/>
                  </w:pPr>
                  <w:r>
                    <w:t>1992</w:t>
                  </w:r>
                </w:p>
              </w:tc>
              <w:tc>
                <w:tcPr>
                  <w:tcW w:type="auto" w:w="0"/>
                  <w:shd w:val="clear" w:color="auto" w:fill="F0F0F0"/>
                </w:tcPr>
                <w:p>
                  <w:pPr>
                    <w:pStyle w:val="Normal"/>
                    <w:keepLines w:val="on"/>
                  </w:pPr>
                  <w:r>
                    <w:t>−0,07 đô la</w:t>
                  </w:r>
                </w:p>
              </w:tc>
            </w:tr>
          </w:tbl>
          <w:p/>
        </w:tc>
      </w:tr>
    </w:tbl>
    <w:p>
      <w:pPr>
        <w:pStyle w:val="Para 03"/>
      </w:pPr>
      <w:r>
        <w:t>Công ty có chi tiêu vốn (capital expenditures) là 1,60 đô la mỗi cổ phần và khấu hao (depreciation) mỗi cổ phần là 1,20 đô la trong năm 1993. Vốn lưu động (working capital) được dự kiến sẽ tăng 0,10 đô la mỗi cổ phần trong năm 1994. Cổ phiếu có hệ số beta là 1,2, dự kiến sẽ không thay đổi; công ty tài trợ cho nhu cầu chi tiêu vốn và vốn lưu động của mình bằng 40% nợ [D/(D + E)]. Về dài hạn, công ty được kỳ vọng sẽ tăng trưởng cùng tốc độ với nền kinh tế (6%).</w:t>
      </w:r>
    </w:p>
    <w:p>
      <w:pPr>
        <w:numPr>
          <w:ilvl w:val="1"/>
          <w:numId w:val="240"/>
        </w:numPr>
        <w:pStyle w:val="Para 01"/>
      </w:pPr>
      <w:r>
        <w:t>Ước tính thu nhập trên mỗi cổ phần (earnings per share) đã chuẩn hóa trong năm 1994, sử dụng phương pháp thu nhập bình quân.</w:t>
      </w:r>
    </w:p>
    <w:p>
      <w:pPr>
        <w:numPr>
          <w:ilvl w:val="1"/>
          <w:numId w:val="240"/>
        </w:numPr>
        <w:pStyle w:val="Para 01"/>
      </w:pPr>
      <w:r>
        <w:t>Ước tính dòng tiền tự do trên vốn chủ sở hữu (free cash flow to equity) trên mỗi cổ phần đã chuẩn hóa trong năm 1994, sử dụng phương pháp thu nhập bình quân.</w:t>
      </w:r>
    </w:p>
    <w:p>
      <w:pPr>
        <w:numPr>
          <w:ilvl w:val="0"/>
          <w:numId w:val="240"/>
        </w:numPr>
        <w:pStyle w:val="Para 01"/>
      </w:pPr>
      <w:r>
        <w:t>General Motors Corporation báo cáo mức thâm hụt trên mỗi cổ phần trong năm 1993 là 4,85 đô la, sau các khoản lỗ trong hai năm trước đó. (Thu nhập bình quân trên mỗi cổ phần là âm.) Công ty có tài sản với giá trị sổ sách là 25 tỷ đô la, và đã chi gần 7 tỷ đô la cho chi tiêu vốn trong năm 1993, phần nào được bù đắp bởi khoản khấu hao 6 tỷ đô la. Công ty có 19 tỷ đô la nợ chưa thanh toán, với chi phí lãi vay là 1,4 tỷ đô la. Công ty dự định duy trì tỷ lệ nợ [D/(D + E)] là 50%. Nhu cầu vốn lưu động của công ty là không đáng kể, và cổ phiếu có hệ số beta là 1,10. Trong giai đoạn hoạt động bình thường gần nhất của công ty từ năm 1986 đến 1989, công ty đạt tỷ suất sinh lợi trên vốn (return on capital) bình quân là 12%. Lãi suất trái phiếu kho bạc (Treasury bond rate) là 7%, và phần bù rủi ro thị trường (market risk premium) là 5,5%. Sau khi thu nhập được chuẩn hóa, GM kỳ vọng chúng sẽ tăng trưởng 5% mỗi năm mãi mãi, và chi tiêu vốn cùng khấu hao cũng tăng trưởng với cùng tốc độ.</w:t>
      </w:r>
    </w:p>
    <w:p>
      <w:pPr>
        <w:numPr>
          <w:ilvl w:val="1"/>
          <w:numId w:val="240"/>
        </w:numPr>
        <w:pStyle w:val="Para 01"/>
      </w:pPr>
      <w:r>
        <w:t>Ước tính giá trị trên mỗi cổ phần của GM, giả định thu nhập được chuẩn hóa ngay lập tức.</w:t>
      </w:r>
    </w:p>
    <w:p>
      <w:pPr>
        <w:numPr>
          <w:ilvl w:val="1"/>
          <w:numId w:val="240"/>
        </w:numPr>
        <w:pStyle w:val="Para 01"/>
      </w:pPr>
      <w:r>
        <w:t>Định giá của bạn sẽ bị ảnh hưởng như thế nào nếu GM không đạt được thu nhập chuẩn hóa cho đến năm 1995 (trong hai năm nữa)?</w:t>
      </w:r>
    </w:p>
    <w:p>
      <w:pPr>
        <w:numPr>
          <w:ilvl w:val="0"/>
          <w:numId w:val="240"/>
        </w:numPr>
        <w:pStyle w:val="Para 01"/>
      </w:pPr>
      <w:r>
        <w:t>Toro Corporation, công ty sản xuất máy cắt cỏ và máy kéo, có doanh thu 635 triệu đô la trong năm 1992, với khoản lỗ được báo cáo là 7 triệu đô la (phần lớn là do hậu quả của suy thoái kinh tế). Công ty có chi phí lãi vay là 17 triệu đô la trong năm 1992, và trái phiếu của công ty được xếp hạng BBB; một công ty điển hình được xếp hạng BBB có tỷ lệ trang trải lãi vay (interest coverage ratio) (EBIT/chi phí lãi vay) là 3,10. Công ty chịu thuế suất 40%. Cổ phiếu có hệ số beta là 1,10. (Lãi suất trái phiếu kho bạc là 7%, và phần bù rủi ro là 5,5%.)</w:t>
      </w:r>
    </w:p>
    <w:p>
      <w:pPr>
        <w:pStyle w:val="Para 03"/>
      </w:pPr>
      <w:r>
        <w:t>Toro đã chi 25 triệu đô la cho chi tiêu vốn trong năm 1992, và có khấu hao là 20 triệu đô la. Vốn lưu động chiếm 25% doanh thu. Công ty dự kiến duy trì tỷ lệ nợ là 25%. Về dài hạn, tăng trưởng doanh thu và lợi nhuận được kỳ vọng là 4%, một khi thu nhập trở lại mức bình thường.</w:t>
      </w:r>
    </w:p>
    <w:p>
      <w:pPr>
        <w:numPr>
          <w:ilvl w:val="1"/>
          <w:numId w:val="240"/>
        </w:numPr>
        <w:pStyle w:val="Para 01"/>
      </w:pPr>
      <w:r>
        <w:t>Giả định rằng xếp hạng trái phiếu phản ánh thu nhập đã chuẩn hóa, hãy ước tính thu nhập đã chuẩn hóa cho Toro Corporation.</w:t>
      </w:r>
    </w:p>
    <w:p>
      <w:pPr>
        <w:numPr>
          <w:ilvl w:val="1"/>
          <w:numId w:val="240"/>
        </w:numPr>
        <w:pStyle w:val="Para 01"/>
      </w:pPr>
      <w:r>
        <w:t>Có tính đến tốc độ tăng trưởng dài hạn trên thu nhập đã chuẩn hóa, hãy ước tính giá trị vốn chủ sở hữu của Toro Corporation.</w:t>
      </w:r>
    </w:p>
    <w:p>
      <w:pPr>
        <w:numPr>
          <w:ilvl w:val="0"/>
          <w:numId w:val="240"/>
        </w:numPr>
        <w:pStyle w:val="Para 01"/>
      </w:pPr>
      <w:r>
        <w:t>Kollmorgen Corporation, một công ty công nghệ đa dạng hóa, báo cáo doanh số 194,9 triệu đô la trong năm 1992, và có khoản lỗ ròng 1,9 triệu đô la trong năm đó. Thu nhập ròng của công ty đã trải qua một diễn biến khá biến động trong năm năm trước đó:</w:t>
      </w:r>
    </w:p>
    <w:tbl>
      <w:tblPr>
        <w:tblW w:type="auto" w:w="0"/>
      </w:tblPr>
      <w:tr>
        <w:tc>
          <w:tcPr>
            <w:tcW w:type="auto" w:w="0"/>
          </w:tcPr>
          <w:tbl>
            <w:tblPr>
              <w:tblW w:type="pct" w:w="500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Thu nhập ròng</w:t>
                  </w:r>
                </w:p>
              </w:tc>
            </w:tr>
            <w:tr>
              <w:tc>
                <w:tcPr>
                  <w:tcW w:type="auto" w:w="0"/>
                  <w:shd w:val="clear" w:color="auto" w:fill="F0F0F0"/>
                </w:tcPr>
                <w:p>
                  <w:pPr>
                    <w:pStyle w:val="Normal"/>
                    <w:keepLines w:val="on"/>
                  </w:pPr>
                  <w:r>
                    <w:t>1987</w:t>
                  </w:r>
                </w:p>
              </w:tc>
              <w:tc>
                <w:tcPr>
                  <w:tcW w:type="auto" w:w="0"/>
                  <w:shd w:val="clear" w:color="auto" w:fill="F0F0F0"/>
                </w:tcPr>
                <w:p>
                  <w:pPr>
                    <w:pStyle w:val="Normal"/>
                    <w:keepLines w:val="on"/>
                  </w:pPr>
                  <w:r>
                    <w:t>0,3 triệu đô la</w:t>
                  </w:r>
                </w:p>
              </w:tc>
            </w:tr>
            <w:tr>
              <w:tc>
                <w:tcPr>
                  <w:tcW w:type="auto" w:w="0"/>
                  <w:shd w:val="clear" w:color="auto" w:fill="F0F0F0"/>
                </w:tcPr>
                <w:p>
                  <w:pPr>
                    <w:pStyle w:val="Normal"/>
                    <w:keepLines w:val="on"/>
                  </w:pPr>
                  <w:r>
                    <w:t>1988</w:t>
                  </w:r>
                </w:p>
              </w:tc>
              <w:tc>
                <w:tcPr>
                  <w:tcW w:type="auto" w:w="0"/>
                  <w:shd w:val="clear" w:color="auto" w:fill="F0F0F0"/>
                </w:tcPr>
                <w:p>
                  <w:pPr>
                    <w:pStyle w:val="Normal"/>
                    <w:keepLines w:val="on"/>
                  </w:pPr>
                  <w:r>
                    <w:t>−11,5 triệu đô la</w:t>
                  </w:r>
                </w:p>
              </w:tc>
            </w:tr>
            <w:tr>
              <w:tc>
                <w:tcPr>
                  <w:tcW w:type="auto" w:w="0"/>
                  <w:shd w:val="clear" w:color="auto" w:fill="F0F0F0"/>
                </w:tcPr>
                <w:p>
                  <w:pPr>
                    <w:pStyle w:val="Normal"/>
                    <w:keepLines w:val="on"/>
                  </w:pPr>
                  <w:r>
                    <w:t>1989</w:t>
                  </w:r>
                </w:p>
              </w:tc>
              <w:tc>
                <w:tcPr>
                  <w:tcW w:type="auto" w:w="0"/>
                  <w:shd w:val="clear" w:color="auto" w:fill="F0F0F0"/>
                </w:tcPr>
                <w:p>
                  <w:pPr>
                    <w:pStyle w:val="Normal"/>
                    <w:keepLines w:val="on"/>
                  </w:pPr>
                  <w:r>
                    <w:t>−2,4 triệu đô la</w:t>
                  </w:r>
                </w:p>
              </w:tc>
            </w:tr>
            <w:tr>
              <w:tc>
                <w:tcPr>
                  <w:tcW w:type="auto" w:w="0"/>
                  <w:shd w:val="clear" w:color="auto" w:fill="F0F0F0"/>
                </w:tcPr>
                <w:p>
                  <w:pPr>
                    <w:pStyle w:val="Normal"/>
                    <w:keepLines w:val="on"/>
                  </w:pPr>
                  <w:r>
                    <w:t>1990</w:t>
                  </w:r>
                </w:p>
              </w:tc>
              <w:tc>
                <w:tcPr>
                  <w:tcW w:type="auto" w:w="0"/>
                  <w:shd w:val="clear" w:color="auto" w:fill="F0F0F0"/>
                </w:tcPr>
                <w:p>
                  <w:pPr>
                    <w:pStyle w:val="Normal"/>
                    <w:keepLines w:val="on"/>
                  </w:pPr>
                  <w:r>
                    <w:t>7,2 triệu đô la</w:t>
                  </w:r>
                </w:p>
              </w:tc>
            </w:tr>
            <w:tr>
              <w:tc>
                <w:tcPr>
                  <w:tcW w:type="auto" w:w="0"/>
                  <w:shd w:val="clear" w:color="auto" w:fill="F0F0F0"/>
                </w:tcPr>
                <w:p>
                  <w:pPr>
                    <w:pStyle w:val="Normal"/>
                    <w:keepLines w:val="on"/>
                  </w:pPr>
                  <w:r>
                    <w:t>1991</w:t>
                  </w:r>
                </w:p>
              </w:tc>
              <w:tc>
                <w:tcPr>
                  <w:tcW w:type="auto" w:w="0"/>
                  <w:shd w:val="clear" w:color="auto" w:fill="F0F0F0"/>
                </w:tcPr>
                <w:p>
                  <w:pPr>
                    <w:pStyle w:val="Normal"/>
                    <w:keepLines w:val="on"/>
                  </w:pPr>
                  <w:r>
                    <w:t>−4,6 triệu đô la</w:t>
                  </w:r>
                </w:p>
              </w:tc>
            </w:tr>
          </w:tbl>
          <w:p/>
        </w:tc>
      </w:tr>
    </w:tbl>
    <w:p>
      <w:pPr>
        <w:pStyle w:val="Para 03"/>
      </w:pPr>
      <w:r>
        <w:t>Cổ phiếu này có hệ số beta là 1,20, và thu nhập ròng chuẩn hóa (normalized net income) được kỳ vọng sẽ tăng 6% mỗi năm cho đến năm 1996, sau đó tốc độ tăng trưởng được kỳ vọng sẽ ổn định ở mức 5% mỗi năm. (Beta sẽ giảm xuống còn 1,00.) Khấu hao lên tới 8 triệu đô la vào năm 1992, và chi tiêu vốn lên tới 10 triệu đô la trong năm đó. Cả hai khoản mục này đều được kỳ vọng sẽ tăng 5% mỗi năm trong dài hạn. Công ty kỳ vọng duy trì tỷ lệ nợ ở mức 35%. (Lãi suất trái phiếu kho bạc là 7%, và phần bù rủi ro là 5,5%.)</w:t>
      </w:r>
    </w:p>
    <w:p>
      <w:pPr>
        <w:numPr>
          <w:ilvl w:val="1"/>
          <w:numId w:val="240"/>
        </w:numPr>
        <w:pStyle w:val="Para 01"/>
      </w:pPr>
      <w:r>
        <w:t>Giả sử rằng thu nhập bình quân từ năm 1987 đến năm 1992 đại diện cho thu nhập chuẩn hóa, hãy ước tính thu nhập chuẩn hóa và dòng tiền tự do cho vốn chủ sở hữu (free cash flow to equity).</w:t>
      </w:r>
    </w:p>
    <w:p>
      <w:pPr>
        <w:numPr>
          <w:ilvl w:val="1"/>
          <w:numId w:val="240"/>
        </w:numPr>
        <w:pStyle w:val="Para 01"/>
      </w:pPr>
      <w:r>
        <w:t>Ước tính giá trị trên mỗi cổ phiếu.</w:t>
      </w:r>
    </w:p>
    <w:p>
      <w:pPr>
        <w:numPr>
          <w:ilvl w:val="0"/>
          <w:numId w:val="240"/>
        </w:numPr>
        <w:pStyle w:val="Para 01"/>
      </w:pPr>
      <w:r>
        <w:t>OHM Corporation, một nhà cung cấp dịch vụ môi trường, có doanh thu 209 triệu đô la vào năm 1992 và báo cáo lỗ 3,1 triệu đô la. Công ty có thu nhập trước lãi vay và thuế (EBIT) là 12,5 triệu đô la vào năm 1992, và có khoản nợ chưa thanh toán là 104 triệu đô la (theo giá trị thị trường). Có 15,9 triệu cổ phiếu đang lưu hành, giao dịch ở mức 11 đô la mỗi cổ phiếu. Lãi suất trước thuế trên khoản nợ của công ty là 8,5%, và cổ phiếu có hệ số beta là 1,15. EBIT của công ty được kỳ vọng sẽ tăng 10% mỗi năm từ năm 1993 đến năm 1996, sau đó tốc độ tăng trưởng được kỳ vọng sẽ giảm xuống còn 4% trong dài hạn. Tỷ suất sinh lợi trên vốn (return on capital) trong giai đoạn tăng trưởng ổn định là 10%. (Thuế suất doanh nghiệp là 40%, lãi suất trái phiếu kho bạc là 7%, và phần bù rủi ro thị trường là 5,5%.)</w:t>
      </w:r>
    </w:p>
    <w:p>
      <w:pPr>
        <w:numPr>
          <w:ilvl w:val="1"/>
          <w:numId w:val="240"/>
        </w:numPr>
        <w:pStyle w:val="Para 01"/>
      </w:pPr>
      <w:r>
        <w:t>Ước tính chi phí vốn (cost of capital) cho OHM.</w:t>
      </w:r>
    </w:p>
    <w:p>
      <w:pPr>
        <w:numPr>
          <w:ilvl w:val="1"/>
          <w:numId w:val="240"/>
        </w:numPr>
        <w:pStyle w:val="Para 01"/>
      </w:pPr>
      <w:r>
        <w:t>Ước tính giá trị của công ty.</w:t>
      </w:r>
    </w:p>
    <w:p>
      <w:pPr>
        <w:numPr>
          <w:ilvl w:val="1"/>
          <w:numId w:val="240"/>
        </w:numPr>
        <w:pStyle w:val="Para 01"/>
      </w:pPr>
      <w:r>
        <w:t>Ước tính giá trị của vốn chủ sở hữu (cả tổng giá trị lẫn trên mỗi cổ phiếu).</w:t>
      </w:r>
    </w:p>
    <w:p>
      <w:pPr>
        <w:numPr>
          <w:ilvl w:val="0"/>
          <w:numId w:val="240"/>
        </w:numPr>
        <w:pStyle w:val="Para 01"/>
      </w:pPr>
      <w:r>
        <w:t>Bạn được cung cấp thông tin sau đây về CEL Inc., một nhà sản xuất hệ thống âm thanh cao cấp.</w:t>
      </w:r>
    </w:p>
    <w:p>
      <w:pPr>
        <w:numPr>
          <w:ilvl w:val="1"/>
          <w:numId w:val="240"/>
        </w:numPr>
        <w:pStyle w:val="Para 01"/>
      </w:pPr>
      <w:r>
        <w:t>Trong năm gần nhất, một năm tồi tệ, công ty chỉ kiếm được 40 triệu đô la thu nhập ròng. Công ty kỳ vọng năm tới sẽ bình thường hơn. Giá trị sổ sách của vốn chủ sở hữu tại công ty là 1 tỷ đô la, và tỷ suất sinh lợi trên vốn chủ sở hữu (return on equity) bình quân trong 10 năm trước đó (được giả định là giai đoạn bình thường) là 10%.</w:t>
      </w:r>
    </w:p>
    <w:p>
      <w:pPr>
        <w:numPr>
          <w:ilvl w:val="1"/>
          <w:numId w:val="240"/>
        </w:numPr>
        <w:pStyle w:val="Para 01"/>
      </w:pPr>
      <w:r>
        <w:t>Công ty kỳ vọng sẽ thực hiện 80 triệu đô la chi tiêu vốn mới trong năm tới. Công ty kỳ vọng khấu hao, vốn là 60 triệu đô la trong năm nay, sẽ tăng 5% vào năm tới.</w:t>
      </w:r>
    </w:p>
    <w:p>
      <w:pPr>
        <w:numPr>
          <w:ilvl w:val="1"/>
          <w:numId w:val="240"/>
        </w:numPr>
        <w:pStyle w:val="Para 01"/>
      </w:pPr>
      <w:r>
        <w:t>Công ty có doanh thu 1,5 tỷ đô la trong năm nay, và duy trì khoản đầu tư vốn lưu động phi tiền mặt (noncash working capital) ở mức 10% doanh thu. Công ty kỳ vọng doanh thu sẽ tăng 5% vào năm tới và vốn lưu động sẽ giảm xuống còn 9,5% doanh thu.</w:t>
      </w:r>
    </w:p>
    <w:p>
      <w:pPr>
        <w:numPr>
          <w:ilvl w:val="1"/>
          <w:numId w:val="240"/>
        </w:numPr>
        <w:pStyle w:val="Para 01"/>
      </w:pPr>
      <w:r>
        <w:t>Công ty kỳ vọng duy trì chính sách nợ hiện tại (theo giá trị thị trường). Giá trị thị trường của vốn chủ sở hữu là 1,5 tỷ đô la, và giá trị sổ sách của vốn chủ sở hữu là 500 triệu đô la. Khoản nợ chưa thanh toán (cả theo giá trị sổ sách lẫn thị trường) là 500 triệu đô la.</w:t>
      </w:r>
    </w:p>
    <w:p>
      <w:pPr>
        <w:numPr>
          <w:ilvl w:val="1"/>
          <w:numId w:val="240"/>
        </w:numPr>
        <w:pStyle w:val="Para 01"/>
      </w:pPr>
      <w:r>
        <w:t>Chi phí vốn chủ sở hữu (cost of equity) của công ty là 9%.</w:t>
      </w:r>
    </w:p>
    <w:p>
      <w:pPr>
        <w:numPr>
          <w:ilvl w:val="2"/>
          <w:numId w:val="240"/>
        </w:numPr>
        <w:pStyle w:val="Para 01"/>
      </w:pPr>
      <w:r>
        <w:t>Ước tính FCFE vào năm tới.</w:t>
      </w:r>
    </w:p>
    <w:p>
      <w:pPr>
        <w:numPr>
          <w:ilvl w:val="2"/>
          <w:numId w:val="240"/>
        </w:numPr>
        <w:pStyle w:val="Para 01"/>
      </w:pPr>
      <w:r>
        <w:t>Ước tính giá trị của vốn chủ sở hữu, giả sử rằng công ty có thể tăng trưởng 5% mỗi năm mãi mãi.</w:t>
      </w:r>
    </w:p>
    <w:p>
      <w:pPr>
        <w:numPr>
          <w:ilvl w:val="0"/>
          <w:numId w:val="240"/>
        </w:numPr>
        <w:pStyle w:val="Para 01"/>
      </w:pPr>
      <w:r>
        <w:t>Tenet Telecommunications đang gặp khó khăn tài chính nghiêm trọng và vừa báo cáo khoản lỗ hoạt động 500 triệu đô la trên doanh thu 5 tỷ đô la. Công ty cũng có chi tiêu vốn 1,8 tỷ đô la và khấu hao 800 triệu đô la trong năm tài chính gần nhất, và không có yêu cầu vốn lưu động phi tiền mặt đáng kể nào. Bạn giả định rằng:</w:t>
      </w:r>
    </w:p>
    <w:p>
      <w:pPr>
        <w:numPr>
          <w:ilvl w:val="1"/>
          <w:numId w:val="240"/>
        </w:numPr>
        <w:pStyle w:val="Para 01"/>
      </w:pPr>
      <w:r>
        <w:t>Doanh thu sẽ tiếp tục tăng 10% mỗi năm trong năm năm tới và 5% mãi mãi sau đó.</w:t>
      </w:r>
    </w:p>
    <w:p>
      <w:pPr>
        <w:numPr>
          <w:ilvl w:val="1"/>
          <w:numId w:val="240"/>
        </w:numPr>
        <w:pStyle w:val="Para 01"/>
      </w:pPr>
      <w:r>
        <w:t>EBITDA tính theo tỷ lệ phần trăm trên doanh thu sẽ tăng theo từng bước tuyến tính từ mức hiện tại lên 20% doanh thu vào năm thứ 5.</w:t>
      </w:r>
    </w:p>
    <w:p>
      <w:pPr>
        <w:numPr>
          <w:ilvl w:val="1"/>
          <w:numId w:val="240"/>
        </w:numPr>
        <w:pStyle w:val="Para 01"/>
      </w:pPr>
      <w:r>
        <w:t>Chi tiêu vốn (capital expenditures) có thể bị cắt giảm xuống còn 600 triệu đô la mỗi năm trong năm năm tới, trong khi khấu hao (depreciation) sẽ vẫn ở mức 800 triệu đô la mỗi năm.</w:t>
      </w:r>
    </w:p>
    <w:p>
      <w:pPr>
        <w:numPr>
          <w:ilvl w:val="1"/>
          <w:numId w:val="240"/>
        </w:numPr>
        <w:pStyle w:val="Para 01"/>
      </w:pPr>
      <w:r>
        <w:t>Khoản lỗ hoạt động ròng (net operating loss) được chuyển sang kỳ sau là 700 triệu đô la.</w:t>
      </w:r>
    </w:p>
    <w:p>
      <w:pPr>
        <w:numPr>
          <w:ilvl w:val="1"/>
          <w:numId w:val="240"/>
        </w:numPr>
        <w:pStyle w:val="Para 01"/>
      </w:pPr>
      <w:r>
        <w:t>Tỷ suất sinh lời trên vốn (return on capital) duy trì vĩnh viễn sau năm thứ 5 sẽ là 10%.</w:t>
      </w:r>
    </w:p>
    <w:p>
      <w:pPr>
        <w:numPr>
          <w:ilvl w:val="1"/>
          <w:numId w:val="240"/>
        </w:numPr>
        <w:pStyle w:val="Para 01"/>
      </w:pPr>
      <w:r>
        <w:t>Chi phí vốn (cost of capital) của công ty là 9% duy trì vĩnh viễn.</w:t>
      </w:r>
    </w:p>
    <w:p>
      <w:pPr>
        <w:numPr>
          <w:ilvl w:val="2"/>
          <w:numId w:val="240"/>
        </w:numPr>
        <w:pStyle w:val="Para 01"/>
      </w:pPr>
      <w:r>
        <w:t>Ước tính EBITDA, EBIT và EBIT sau thuế của công ty mỗi năm trong năm năm tới, giả định thuế suất thuế thu nhập doanh nghiệp là 40%.</w:t>
      </w:r>
    </w:p>
    <w:p>
      <w:pPr>
        <w:numPr>
          <w:ilvl w:val="2"/>
          <w:numId w:val="240"/>
        </w:numPr>
        <w:pStyle w:val="Para 01"/>
      </w:pPr>
      <w:r>
        <w:t>Ước tính FCFF mỗi năm trong năm năm tới.</w:t>
      </w:r>
    </w:p>
    <w:p>
      <w:pPr>
        <w:numPr>
          <w:ilvl w:val="2"/>
          <w:numId w:val="240"/>
        </w:numPr>
        <w:pStyle w:val="Para 01"/>
      </w:pPr>
      <w:r>
        <w:t>Ước tính giá trị cuối kỳ (terminal value) của công ty.</w:t>
      </w:r>
    </w:p>
    <w:p>
      <w:pPr>
        <w:numPr>
          <w:ilvl w:val="2"/>
          <w:numId w:val="240"/>
        </w:numPr>
        <w:pStyle w:val="Para 01"/>
      </w:pPr>
      <w:r>
        <w:t>Ước tính giá trị của công ty ở thời điểm hiện tại.</w:t>
      </w:r>
    </w:p>
    <w:p>
      <w:pPr>
        <w:numPr>
          <w:ilvl w:val="2"/>
          <w:numId w:val="240"/>
        </w:numPr>
        <w:pStyle w:val="Para 01"/>
      </w:pPr>
      <w:r>
        <w:t>Định giá của bạn sẽ thay đổi như thế nào nếu bạn được cho biết rằng có 20% khả năng công ty sẽ phá sản và tài sản sẽ có giá trị bán tháo (distress sale value) tương đương 60% giá trị sổ sách hiện tại là 1,25 tỷ đô la?</w:t>
      </w:r>
    </w:p>
    <w:p>
      <w:bookmarkStart w:id="4767" w:name="Notes__1_The_circular_reasoning"/>
      <w:bookmarkStart w:id="4768" w:name="Notes_21"/>
      <w:pPr>
        <w:keepNext/>
        <w:pStyle w:val="Heading 2"/>
        <w:keepLines w:val="on"/>
      </w:pPr>
      <w:r>
        <w:t>Ghi chú</w:t>
      </w:r>
      <w:bookmarkEnd w:id="4767"/>
      <w:bookmarkEnd w:id="4768"/>
    </w:p>
    <w:p>
      <w:pPr>
        <w:pStyle w:val="Para 08"/>
      </w:pPr>
      <w:r>
        <w:t>1 Lý do có sự lập luận vòng tròn (circular reasoning) là vì chúng ta dùng giá trị thị trường hiện tại của vốn chủ sở hữu và nợ để tính chi phí vốn. Sau đó chúng ta dùng chi phí vốn để ước tính giá trị của vốn chủ sở hữu và nợ. Nếu điều này không chấp nhận được, quy trình có thể được lặp lại, với chi phí vốn được tính lại bằng cách dùng các giá trị ước tính của nợ và vốn chủ sở hữu, và tiếp tục cho đến khi hội tụ.</w:t>
      </w:r>
    </w:p>
    <w:p>
      <w:pPr>
        <w:pStyle w:val="Para 08"/>
      </w:pPr>
      <w:r>
        <w:t>2 Mối quan hệ này rất mạnh ở Exxon vì đây đã là một công ty lớn và ổn định trong nhiều thập kỷ. Có khả năng mối quan hệ giữa lợi nhuận và giá dầu sẽ yếu hơn ở các công ty dầu khí nhỏ hơn, đang phát triển.</w:t>
      </w:r>
    </w:p>
    <w:p>
      <w:pPr>
        <w:pStyle w:val="Para 08"/>
      </w:pPr>
      <w:r>
        <w:t>3 Để tính tỷ suất sinh lời trên vốn, chúng ta cộng gộp giá trị sổ sách của vốn chủ sở hữu (126.044 triệu đô la), giá trị sổ sách của nợ (9.566 triệu đô la), và tiền mặt đã trừ đi (33.981 triệu đô la) từ cuối năm 2007 để đi đến giá trị vốn đầu tư (invested capital) là 101.629 triệu đô la. Thuế suất thực tế của Exxon là 38% được dùng trong tính toán.</w:t>
      </w:r>
    </w:p>
    <w:p>
      <w:pPr>
        <w:pStyle w:val="Para 08"/>
      </w:pPr>
      <w:r>
        <w:t>4 Chúng ta dùng chi phí vốn chủ sở hữu là 12%, chi phí nợ trước thuế là 5% và tỷ lệ nợ là 40% trong suốt vòng đời dự án, nhưng chi phí vốn thay đổi theo thời gian vì thuế suất bằng không từ năm 6–10, là 20,97% vào năm 11 và chỉ đạt 25% vào năm 12.</w:t>
      </w:r>
    </w:p>
    <w:p>
      <w:pPr>
        <w:pStyle w:val="Para 08"/>
      </w:pPr>
      <w:r>
        <w:t>5 WACC tích lũy vào năm 6 = (1,05)5 × (1,092); WACC tích lũy vào năm 7 = (1,05)5 × (1,092)2</w:t>
      </w:r>
    </w:p>
    <w:p>
      <w:pPr>
        <w:pStyle w:val="Para 08"/>
      </w:pPr>
      <w:r>
        <w:t>6 Giả định rằng dòng tiền kéo dài mãi mãi sẽ làm tăng giá trị cuối kỳ nhưng chỉ tăng nhẹ lên 838,69 triệu đô la, điều này giải thích tại sao giả định chuỗi vĩnh viễn tăng trưởng (growing perpetuity) lại hoạt động tốt cho các khoản đầu tư rất dài hạn.</w:t>
      </w:r>
    </w:p>
    <w:p>
      <w:pPr>
        <w:pStyle w:val="Para 08"/>
      </w:pPr>
      <w:r>
        <w:t>7 Đáng lưu ý rằng IBM đã phục hồi mạnh mẽ trong những thập kỷ sau đó bằng cách quay lại với những điều cơ bản, cắt giảm chi phí và tập trung lại nỗ lực vào các dịch vụ doanh nghiệp.</w:t>
      </w:r>
    </w:p>
    <w:p>
      <w:pPr>
        <w:pStyle w:val="Para 08"/>
      </w:pPr>
      <w:r>
        <w:t>8 Nếu không có chi phí lãi vay, Hyundai sẽ phải nộp thuế trên thu nhập hoạt động của mình là 89 tỷ krw. Nhờ các khoản thanh toán lãi vay, Hyundai đã có thể không phải nộp thuế. Trong số 99 tỷ krw tiền lãi vay, Hyundai đang được hưởng lợi ích thuế trên 89 tỷ krw.</w:t>
      </w:r>
    </w:p>
    <w:p>
      <w:pPr>
        <w:pStyle w:val="Para 08"/>
      </w:pPr>
      <w:r>
        <w:t>9 Bạn có thể chiết khấu dòng tiền kỳ vọng trên khoản nợ theo chi phí nợ trước thuế phản ánh tình trạng hiện tại của công ty.</w:t>
      </w:r>
    </w:p>
    <w:p>
      <w:bookmarkStart w:id="4779" w:name="Chapter_23Valuing_Young_or_Start"/>
      <w:bookmarkStart w:id="4780" w:name="Chapter_23Valuing_Young_or_Start_1"/>
      <w:bookmarkStart w:id="4781" w:name="Top_of_c023_xhtml"/>
      <w:pPr>
        <w:keepNext/>
        <w:pStyle w:val="Heading 1"/>
        <w:pageBreakBefore w:val="on"/>
        <w:keepLines w:val="on"/>
      </w:pPr>
      <w:r>
        <w:t>CHƯƠNG 23</w:t>
      </w:r>
      <w:r>
        <w:br/>
      </w:r>
      <w:r>
        <w:t>Định giá các công ty non trẻ hoặc khởi nghiệp</w:t>
      </w:r>
      <w:bookmarkEnd w:id="4779"/>
      <w:bookmarkEnd w:id="4780"/>
      <w:bookmarkEnd w:id="4781"/>
    </w:p>
    <w:p>
      <w:pPr>
        <w:pStyle w:val="Para 03"/>
      </w:pPr>
      <w:r>
        <w:t>Nhiều công ty mà chúng ta đã định giá trong cuốn sách này là các công ty niêm yết đại chúng với hoạt động đã được thiết lập. Nhưng còn những công ty non trẻ vừa mới ra đời thì sao? Có nhiều nhà phân tích lập luận rằng những công ty này không thể định giá được vì chúng không có lịch sử, và trong một số trường hợp, không có sản phẩm hay dịch vụ để bán. Chương này trình bày một quan điểm khác. Trong khi thừa nhận rằng định giá các công ty non trẻ khó hơn định giá các công ty đã được thiết lập, chúng tôi lập luận rằng những nguyên tắc cơ bản của định giá không thay đổi. Giá trị của một công ty khởi nghiệp non trẻ là giá trị hiện tại của dòng tiền kỳ vọng từ hoạt động của nó, mặc dù việc ước tính những dòng tiền kỳ vọng này có thể đòi hỏi chúng ta phải vượt ra ngoài những nguồn thông tin thông thường.</w:t>
      </w:r>
    </w:p>
    <w:p>
      <w:bookmarkStart w:id="4783" w:name="Information_Constraints"/>
      <w:bookmarkStart w:id="4784" w:name="Information_Constraints__When_va"/>
      <w:pPr>
        <w:keepNext/>
        <w:pStyle w:val="Heading 2"/>
        <w:keepLines w:val="on"/>
      </w:pPr>
      <w:r>
        <w:t>Những hạn chế về thông tin</w:t>
      </w:r>
      <w:bookmarkEnd w:id="4783"/>
      <w:bookmarkEnd w:id="4784"/>
    </w:p>
    <w:p>
      <w:pPr>
        <w:pStyle w:val="Para 03"/>
      </w:pPr>
      <w:r>
        <w:t>Khi định giá một công ty, bạn dựa vào thông tin từ ba nguồn. Thứ nhất là báo cáo tài chính hiện tại của công ty. Bạn dùng những báo cáo này để xác định các khoản đầu tư của công ty sinh lời như thế nào hoặc đã sinh lời ra sao, công ty tái đầu tư bao nhiêu để tạo ra tăng trưởng trong tương lai và cho tất cả các thông số đầu vào cần thiết trong bất kỳ quá trình định giá nào. Thứ hai là lịch sử quá khứ của công ty, cả về lợi nhuận lẫn giá thị trường. Lịch sử lợi nhuận và doanh thu của công ty theo thời gian cho phép bạn đưa ra đánh giá về mức độ chu kỳ trong hoạt động kinh doanh của công ty và mức tăng trưởng mà nó đã thể hiện, trong khi lịch sử giá của công ty có thể giúp bạn đo lường rủi ro của nó. Cuối cùng, bạn có thể nhìn vào các đối thủ cạnh tranh hoặc nhóm công ty cùng ngành (peer group) của công ty để có thước đo về việc công ty tốt hơn hay kém hơn đối thủ bao nhiêu, và cũng để ước tính các thông số đầu vào quan trọng về rủi ro, tăng trưởng và dòng tiền từ những công ty trưởng thành hơn trong nhóm cùng ngành.</w:t>
      </w:r>
    </w:p>
    <w:p>
      <w:pPr>
        <w:pStyle w:val="Para 03"/>
      </w:pPr>
      <w:r>
        <w:t>Trong khi về mặt tối ưu bạn muốn có nhiều thông tin từ cả ba nguồn, bạn thường có thể phải thay thế nhiều hơn một loại thông tin này bằng ít hơn loại thông tin kia nếu bạn không có lựa chọn nào khác. Vì vậy, việc mỗi hãng sản xuất ô tô lớn ở Hoa Kỳ có 75 năm lịch sử trở lên sẽ bù đắp cho thực tế rằng chỉ có một vài hãng như vậy. Ngược lại, có thể chỉ có vài năm thông tin về phiên bản hiện tại của một công ty phần mềm non trẻ, nhưng công ty này lại nằm trong một lĩnh vực (phần mềm) nơi có hơn 600 công ty có thể so sánh được. Việc bạn có thể dễ dàng có được các mức trung bình của ngành, và độ chính xác của những mức trung bình này, sẽ bù đắp cho việc thiếu lịch sử của công ty.</w:t>
      </w:r>
    </w:p>
    <w:p>
      <w:pPr>
        <w:pStyle w:val="Para 03"/>
      </w:pPr>
      <w:r>
        <w:t>Có một số công ty, đặc biệt là trong các lĩnh vực mới của nền kinh tế, mà ở đó bạn có thể gặp phải những vấn đề về thông tin. Thứ nhất, những công ty này thường chưa tồn tại quá một hai năm, dẫn đến lịch sử hoạt động rất hạn chế. Thứ hai, các báo cáo tài chính hiện tại của họ tiết lộ rất ít về thành phần tài sản—tăng trưởng kỳ vọng—thứ đóng góp nhiều nhất vào giá trị của họ. Thứ ba, những công ty này thường là những doanh nghiệp đầu tiên thuộc loại hình của mình. Trong nhiều trường hợp, không có đối thủ cạnh tranh hay nhóm so sánh nào để đo lường họ. Vì vậy, khi định giá những công ty này, bạn có thể thấy mình bị hạn chế ở cả ba khía cạnh thông tin. Các nhà đầu tư đã phản ứng thế nào trước sự thiếu thông tin này? Một số người cho rằng những cổ phiếu này không thể định giá được và do đó không nên nắm giữ trong danh mục đầu tư. Những người khác lập luận rằng dù những cổ phiếu này không thể định giá bằng các mô hình truyền thống, lỗi nằm ở chính các mô hình. Họ đã nghĩ ra những cách mới mẻ và sáng tạo, dựa trên lượng thông tin hạn chế sẵn có, để biện minh cho mức giá đã trả cho chúng. Trong chương này, chúng ta sẽ lập luận rằng các mô hình chiết khấu dòng tiền (discounted cash flow) có thể được dùng để định giá những công ty này.</w:t>
      </w:r>
    </w:p>
    <w:p>
      <w:bookmarkStart w:id="4786" w:name="New_Paradigms_or_Old_Principles"/>
      <w:bookmarkStart w:id="4787" w:name="New_Paradigms_or_Old_Principles_1"/>
      <w:pPr>
        <w:keepNext/>
        <w:pStyle w:val="Heading 3"/>
        <w:keepLines w:val="on"/>
      </w:pPr>
      <w:r>
        <w:t>Mô hình mới hay nguyên lý cũ: Góc nhìn từ vòng đời doanh nghiệp</w:t>
      </w:r>
      <w:bookmarkEnd w:id="4786"/>
      <w:bookmarkEnd w:id="4787"/>
    </w:p>
    <w:p>
      <w:pPr>
        <w:pStyle w:val="Para 03"/>
      </w:pPr>
      <w:r>
        <w:t>Giá trị của một công ty dựa trên khả năng tạo ra dòng tiền của nó, và mức độ bất định gắn liền với những dòng tiền đó. Nói chung, những công ty sinh lời nhiều hơn thường được định giá cao hơn những công ty ít sinh lời. Tuy nhiên, các công ty khởi nghiệp non trẻ thường thua lỗ nhưng đôi khi vẫn được gán cho mức giá trị cao. Điều này dường như mâu thuẫn với quan điểm cho rằng giá trị và khả năng sinh lời luôn đi đôi với nhau. Dường như có ít nhất một điểm khác biệt then chốt nữa, ít nhất là nhìn từ bên ngoài, giữa các công ty khởi nghiệp non trẻ và các công ty khác trên thị trường. Một công ty non trẻ không có những khoản đầu tư đáng kể vào đất đai, nhà xưởng hay tài sản cố định khác, và dường như phần lớn giá trị của nó đến từ các tài sản tăng trưởng.</w:t>
      </w:r>
    </w:p>
    <w:p>
      <w:pPr>
        <w:pStyle w:val="Para 03"/>
      </w:pPr>
      <w:r>
        <w:t>Lợi nhuận âm và sự phụ thuộc vào tăng trưởng tương lai để tạo ra giá trị được các nhà phân tích dùng làm lý do để từ bỏ các mô hình định giá truyền thống và phát triển những cách mới có thể dùng để biện minh cho việc đầu tư vào các công ty non trẻ. Chẳng hạn, như đã đề cập ở Chương 20, các công ty Internet thời kỳ sơ khai được so sánh dựa trên giá trên mỗi lượt truy cập trang web, tính bằng cách chia giá trị thị trường của công ty cho số lượt truy cập website. Ẩn chứa trong những so sánh này là giả định rằng càng nhiều người truy cập trang web của bạn thì doanh thu càng cao, và đến lượt nó sẽ dẫn đến lợi nhuận lớn hơn trong tương lai. Tuy nhiên, quá thường xuyên, những giả định này không được nêu rõ ràng cũng không được kiểm chứng, dẫn đến những định giá phi thực tế. Trên thực tế, chu kỳ này dường như lặp lại với các công ty truyền thông xã hội vào năm 2011 và các công ty AI vào năm 2023 và 2024.</w:t>
      </w:r>
    </w:p>
    <w:p>
      <w:pPr>
        <w:pStyle w:val="Para 03"/>
      </w:pPr>
      <w:r>
        <w:t>Việc tìm kiếm những mô hình mới này là sai lầm. Vấn đề với các công ty non trẻ không phải là chúng thua lỗ, không có lịch sử hoạt động, hay không có tài sản hữu hình đáng kể. Mà là chúng đang ở giai đoạn sớm hơn nhiều trong vòng đời so với các công ty đã trưởng thành, và thường phải được định giá trước khi chúng có một thị trường ổn định cho sản phẩm của mình. Trên thực tế, trong một số trường hợp, những công ty được định giá có một ý tưởng thú vị có thể thành công về mặt thương mại nhưng chưa được kiểm chứng. Tuy nhiên, vấn đề không phải là vấn đề khái niệm mà là vấn đề ước lượng. Giá trị của một công ty vẫn là giá trị hiện tại của các dòng tiền kỳ vọng từ tài sản của nó, nhưng những dòng tiền đó có thể sẽ khó ước lượng hơn nhiều.</w:t>
      </w:r>
    </w:p>
    <w:p>
      <w:pPr>
        <w:pStyle w:val="Para 03"/>
      </w:pPr>
      <w:r>
        <w:t>Hình 23.1 đưa ra một góc nhìn về vòng đời của công ty và cách mà sự sẵn có của thông tin cũng như nguồn gốc của giá trị thay đổi qua vòng đời đó:</w:t>
      </w:r>
    </w:p>
    <w:p>
      <w:bookmarkStart w:id="4789" w:name="Figure_23_1_Valuation_Challenge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2463800"/>
            <wp:effectExtent l="0" r="0" t="0" b="0"/>
            <wp:wrapTopAndBottom/>
            <wp:docPr id="219" name="c23f001.png" descr="Graph plots revenues and earnings of a firm during the life cycle along with description for each phase in table form."/>
            <wp:cNvGraphicFramePr>
              <a:graphicFrameLocks noChangeAspect="1"/>
            </wp:cNvGraphicFramePr>
            <a:graphic>
              <a:graphicData uri="http://schemas.openxmlformats.org/drawingml/2006/picture">
                <pic:pic>
                  <pic:nvPicPr>
                    <pic:cNvPr id="0" name="c23f001.png" descr="Graph plots revenues and earnings of a firm during the life cycle along with description for each phase in table form."/>
                    <pic:cNvPicPr/>
                  </pic:nvPicPr>
                  <pic:blipFill>
                    <a:blip r:embed="rId156"/>
                    <a:stretch>
                      <a:fillRect/>
                    </a:stretch>
                  </pic:blipFill>
                  <pic:spPr>
                    <a:xfrm>
                      <a:off x="0" y="0"/>
                      <a:ext cx="2451100" cy="2463800"/>
                    </a:xfrm>
                    <a:prstGeom prst="rect">
                      <a:avLst/>
                    </a:prstGeom>
                  </pic:spPr>
                </pic:pic>
              </a:graphicData>
            </a:graphic>
          </wp:anchor>
        </w:drawing>
      </w:r>
      <w:bookmarkEnd w:id="4789"/>
    </w:p>
    <w:p>
      <w:pPr>
        <w:keepNext/>
        <w:pStyle w:val="Para 22"/>
        <w:keepLines w:val="on"/>
      </w:pPr>
      <w:r>
        <w:t>Hình 23.1 Những thách thức định giá xuyên suốt vòng đời</w:t>
      </w:r>
    </w:p>
    <w:p>
      <w:pPr>
        <w:numPr>
          <w:ilvl w:val="0"/>
          <w:numId w:val="241"/>
        </w:numPr>
        <w:pStyle w:val="Para 01"/>
      </w:pPr>
      <w:r>
        <w:t>Khởi nghiệp. Đây là giai đoạn ban đầu sau khi một doanh nghiệp được thành lập. Sản phẩm nói chung vẫn chưa được kiểm chứng và chưa có thị trường ổn định. Công ty có rất ít về mặt hoạt động hiện tại, không có lịch sử hoạt động, không có công ty so sánh, và với doanh thu ít ỏi cùng thua lỗ hoạt động lớn; bạn sẽ học được rất ít khi nghiền ngẫm các báo cáo tài chính. Không chỉ toàn bộ giá trị đến từ đánh giá của bạn về giá trị tăng trưởng tương lai, mà những đánh giá này còn dựa trên việc đánh giá năng lực của các nhà quản lý hiện tại và khả năng của họ trong việc biến một ý tưởng đầy hứa hẹn thành thành công thương mại. Dùng ngôn ngữ của Chương 13, những định giá này gần như hoàn toàn được dẫn dắt bởi câu chuyện bạn kể về công ty, và sẽ có sự khác biệt lớn giữa các câu chuyện của nhà đầu tư.</w:t>
      </w:r>
    </w:p>
    <w:p>
      <w:pPr>
        <w:numPr>
          <w:ilvl w:val="0"/>
          <w:numId w:val="241"/>
        </w:numPr>
        <w:pStyle w:val="Para 01"/>
      </w:pPr>
      <w:r>
        <w:t>Tăng trưởng non trẻ. Khi một công ty thành công trong việc thu hút khách hàng và tạo dựng sự hiện diện trên thị trường, doanh thu của nó tăng nhanh, dù nó vẫn có thể đang báo lỗ. Hoạt động hiện tại của công ty bắt đầu cung cấp manh mối về giá cả, biên lợi nhuận và tăng trưởng kỳ vọng, nhưng không có nhiều dữ liệu để làm việc. Những câu chuyện định giá của bạn sẽ có cơ sở hơn một chút, cho phép bạn ít nhất đánh giá liệu chúng có vượt qua bài kiểm tra 3P hay không, nhưng phán đoán của bạn có thể thay đổi từng ngày khi thông tin mới về công ty được công bố.</w:t>
      </w:r>
    </w:p>
    <w:p>
      <w:pPr>
        <w:numPr>
          <w:ilvl w:val="0"/>
          <w:numId w:val="241"/>
        </w:numPr>
        <w:pStyle w:val="Para 01"/>
      </w:pPr>
      <w:r>
        <w:t>Tăng trưởng cao. Ở giai đoạn này, dù doanh thu của công ty đang tăng nhanh, lợi nhuận có thể sẽ chậm hơn doanh thu. Ở giai đoạn này, cả hoạt động hiện tại lẫn lịch sử hoạt động của công ty đều chứa thông tin có thể dùng để định giá công ty. Số lượng công ty so sánh nói chung là cao nhất ở giai đoạn này, và những công ty này đa dạng hơn về vị trí trong vòng đời, từ những đối thủ nhỏ, tăng trưởng cao đến những đối thủ lớn hơn, tăng trưởng thấp hơn. Tài sản hiện có của công ty này có giá trị, nhưng phần lớn hơn của giá trị vẫn đến từ tăng trưởng tương lai. Có nhiều thông tin hơn ở giai đoạn này, và việc ước lượng các đầu vào trở nên đơn giản hơn.</w:t>
      </w:r>
    </w:p>
    <w:p>
      <w:pPr>
        <w:numPr>
          <w:ilvl w:val="0"/>
          <w:numId w:val="241"/>
        </w:numPr>
        <w:pStyle w:val="Para 01"/>
      </w:pPr>
      <w:r>
        <w:t>Tăng trưởng trưởng thành. Khi tăng trưởng doanh thu bắt đầu giảm, các công ty thường thấy hai hiện tượng xảy ra. Lợi nhuận và dòng tiền tiếp tục tăng nhanh, phản ánh những khoản đầu tư trong quá khứ, và nhu cầu đầu tư vào các dự án mới giảm xuống. Ở giai đoạn này của quá trình, công ty có hoạt động hiện tại phản ánh tương lai, có lịch sử hoạt động cung cấp thông tin đáng kể về thị trường của công ty, và có một số lượng lớn các công ty so sánh ở cùng giai đoạn trong vòng đời. Câu hỏi then chốt bạn sẽ đối mặt khi xây dựng câu chuyện cho công ty này là liệu bạn có thể mở rộng thành công của nó (tức là liệu nó có thể tiếp tục tăng trưởng và mang lại lợi nhuận như trong quá khứ) khi nó trở nên lớn hơn hay không.</w:t>
      </w:r>
    </w:p>
    <w:p>
      <w:pPr>
        <w:numPr>
          <w:ilvl w:val="0"/>
          <w:numId w:val="241"/>
        </w:numPr>
        <w:pStyle w:val="Para 01"/>
      </w:pPr>
      <w:r>
        <w:t>Trưởng thành ổn định: Khi tăng trưởng doanh thu chững lại, các công ty đã trưởng thành, và khi nhu cầu tái đầu tư giảm xuống, dòng tiền bắt kịp lợi nhuận. Đây là những công ty mà dữ liệu lịch sử có thể hữu ích nhất trong định giá, và con số có thể lấn át câu chuyện. Những bài kiểm tra then chốt trong câu chuyện của bạn sẽ là về việc công ty có thể cầm chân đối thủ cạnh tranh tốt đến đâu, và liệu nó có hành xử như một công ty trưởng thành hay không, vay nợ nhiều hơn và trả lại tiền mặt cho cổ đông.</w:t>
      </w:r>
    </w:p>
    <w:p>
      <w:pPr>
        <w:numPr>
          <w:ilvl w:val="0"/>
          <w:numId w:val="241"/>
        </w:numPr>
        <w:pStyle w:val="Para 01"/>
      </w:pPr>
      <w:r>
        <w:t>Suy thoái. Giai đoạn cuối trong vòng đời này là suy thoái. Các công ty ở giai đoạn này thấy cả doanh thu lẫn lợi nhuận bắt đầu giảm, khi hoạt động kinh doanh của họ trưởng thành và các đối thủ mới vượt qua họ. Những khoản đầu tư hiện có có thể sẽ tiếp tục tạo ra dòng tiền, dù với tốc độ giảm dần, và công ty có ít nhu cầu đầu tư mới. Do đó, giá trị của công ty phụ thuộc hoàn toàn vào tài sản hiện có và vào việc liệu công ty có đánh cược với tiền của cổ đông trong nỗ lực tái sinh hay không.</w:t>
      </w:r>
    </w:p>
    <w:p>
      <w:pPr>
        <w:pStyle w:val="Para 03"/>
      </w:pPr>
      <w:r>
        <w:t>Định giá rõ ràng là một thách thức lớn hơn ở những giai đoạn sớm của vòng đời, và các ước lượng giá trị có nhiều khả năng chứa sai sót hơn đối với các công ty khởi nghiệp hoặc tăng trưởng cao. Nhưng phần thưởng cho việc định giá cũng có khả năng cao nhất với những công ty này vì hai lý do. Thứ nhất là sự thiếu thông tin khiến nhiều nhà phân tích e ngại bỏ đi, và những nhà phân tích kiên trì và cuối cùng đưa ra được một định giá, dù không chính xác đến đâu, có khả năng sẽ được đền đáp. Thứ hai là đây chính là những công ty có nhiều khả năng nhất sẽ ra thị trường dưới hình thức phát hành cổ phiếu lần đầu ra công chúng (initial public offering) và phát hành mới, và cần các ước lượng giá trị.</w:t>
      </w:r>
    </w:p>
    <w:p>
      <w:bookmarkStart w:id="4792" w:name="Venture_Capital_Valuation"/>
      <w:bookmarkStart w:id="4793" w:name="Venture_Capital_Valuation__Until"/>
      <w:pPr>
        <w:keepNext/>
        <w:pStyle w:val="Heading 3"/>
        <w:keepLines w:val="on"/>
      </w:pPr>
      <w:r>
        <w:t>Định giá của vốn đầu tư mạo hiểm</w:t>
      </w:r>
      <w:bookmarkEnd w:id="4792"/>
      <w:bookmarkEnd w:id="4793"/>
    </w:p>
    <w:p>
      <w:pPr>
        <w:pStyle w:val="Para 03"/>
      </w:pPr>
      <w:r>
        <w:t>Cho đến rất gần đây, các công ty khởi nghiệp non trẻ huy động vốn cổ phần bổ sung chủ yếu từ các nhà đầu tư mạo hiểm (venture capitalist). Sẽ hữu ích nếu bắt đầu bằng việc xem xét cách các nhà đầu tư mạo hiểm đánh giá giá trị của những công ty này. Dù đôi khi các nhà đầu tư mạo hiểm dùng mô hình chiết khấu dòng tiền để định giá công ty, họ có nhiều khả năng hơn định giá các doanh nghiệp tư nhân bằng cái được gọi là phương pháp vốn đầu tư mạo hiểm (venture capital method). Ở đây, lợi nhuận của doanh nghiệp tư nhân được dự báo trong một năm tương lai khi công ty có thể được kỳ vọng sẽ niêm yết công khai. Lợi nhuận này, kết hợp với một bội số lợi nhuận được ước lượng bằng cách nhìn vào các công ty niêm yết công khai trong cùng ngành, được dùng để đánh giá giá trị của công ty tại thời điểm phát hành cổ phiếu lần đầu ra công chúng; đây được gọi là giá trị thoái vốn (exit value) hay giá trị cuối kỳ (terminal value).</w:t>
      </w:r>
    </w:p>
    <w:p>
      <w:pPr>
        <w:pStyle w:val="Para 03"/>
      </w:pPr>
      <w:r>
        <w:t>Chẳng hạn, giả sử bạn đang định giá InfoSoft, một công ty phần mềm nhỏ, dự kiến sẽ phát hành cổ phiếu lần đầu ra công chúng trong ba năm nữa, và thu nhập ròng trong năm thứ ba của công ty dự kiến là 4 triệu đô la. Nếu tỷ số giá trên thu nhập (price-earnings ratio) của các công ty phần mềm niêm yết công khai là 25, điều này sẽ mang lại giá trị thoái vốn ước tính là 100 triệu đô la. Mức định giá này được chiết khấu về hiện tại theo cái mà các nhà đầu tư mạo hiểm gọi là tỷ suất sinh lợi mục tiêu (target rate of return), đo lường mức sinh lợi mà các nhà đầu tư mạo hiểm tin là hợp lý, dù không gắn với các thước đo rủi ro tiêu chuẩn. Tỷ suất sinh lợi mục tiêu này thường được đặt ở mức cao hơn nhiều so với chi phí vốn cổ phần thông thường của công ty.1</w:t>
      </w:r>
    </w:p>
    <w:p>
      <w:bookmarkStart w:id="4796" w:name="Pricing_today_Estimated_Pricing"/>
      <w:pPr>
        <w:keepNext/>
        <w:pStyle w:val="Para 09"/>
        <w:keepLines w:val="on"/>
      </w:pPr>
      <w:r>
        <w:t>Định giá hôm nay=Định giá ước tính khi thoái vốn vào năm n(1+Tỷ suất sinh lợi mục tiêu)n</w:t>
      </w:r>
      <w:bookmarkEnd w:id="4796"/>
    </w:p>
    <w:p>
      <w:pPr>
        <w:pStyle w:val="Para 03"/>
      </w:pPr>
      <w:r>
        <w:t>Dùng lại ví dụ InfoSoft, nếu nhà đầu tư mạo hiểm yêu cầu tỷ suất sinh lợi mục tiêu 30 phần trăm cho khoản đầu tư của mình, giá trị cuối kỳ được chiết khấu cho InfoSoft sẽ là:</w:t>
      </w:r>
    </w:p>
    <w:p>
      <w:bookmarkStart w:id="4797" w:name="Pricing_today__Net_income4xPE_ra"/>
      <w:pPr>
        <w:keepNext/>
        <w:pStyle w:val="Para 09"/>
        <w:keepLines w:val="on"/>
      </w:pPr>
      <w:r>
        <w:t>Định giá hôm nay=(Thu nhập ròng4×Tỷ số PE vào năm 4)(1+Tỷ suất sinh lợi mục tiêu)4=4×25(1.30)4=35,01 triệu đô la</w:t>
      </w:r>
      <w:bookmarkEnd w:id="4797"/>
    </w:p>
    <w:p>
      <w:pPr>
        <w:pStyle w:val="Para 03"/>
      </w:pPr>
      <w:r>
        <w:t>Vậy, làm thế nào các nhà đầu tư mạo hiểm đưa ra được các tỷ suất sinh lợi mục tiêu và tại sao chúng lại cao đến vậy? Có thể có một số nhà đầu tư mạo hiểm đã phát triển những mô hình rủi ro-lợi nhuận tinh vi mang lại các tỷ suất sinh lợi mục tiêu, nhưng phần lớn thì các tỷ suất sinh lợi mục tiêu là sự pha trộn giữa phán đoán, kinh nghiệm lịch sử và phỏng đoán. Còn về lý do tại sao chúng cao đến vậy, đó là sự kết hợp của ba yếu tố:</w:t>
      </w:r>
    </w:p>
    <w:p>
      <w:pPr>
        <w:numPr>
          <w:ilvl w:val="0"/>
          <w:numId w:val="242"/>
        </w:numPr>
        <w:pStyle w:val="Para 01"/>
      </w:pPr>
      <w:r>
        <w:t>Các công ty non trẻ và khởi nghiệp phơi nhiễm với rủi ro kinh tế vĩ mô nhiều hơn phần còn lại của thị trường. Theo thuật ngữ CAPM, chúng nên có beta cao.</w:t>
      </w:r>
    </w:p>
    <w:p>
      <w:pPr>
        <w:numPr>
          <w:ilvl w:val="0"/>
          <w:numId w:val="242"/>
        </w:numPr>
        <w:pStyle w:val="Para 01"/>
      </w:pPr>
      <w:r>
        <w:t>Các nhà đầu tư mạo hiểm thường tập trung vào một ngành và không đa dạng hóa. Do đó, họ đòi hỏi một phần bù cho rủi ro đặc thù của công ty mà lẽ ra có thể được đa dạng hóa đi.</w:t>
      </w:r>
    </w:p>
    <w:p>
      <w:pPr>
        <w:numPr>
          <w:ilvl w:val="0"/>
          <w:numId w:val="242"/>
        </w:numPr>
        <w:pStyle w:val="Para 01"/>
      </w:pPr>
      <w:r>
        <w:t>Nhiều công ty non trẻ, khởi nghiệp không thành công, và tỷ suất sinh lợi mục tiêu bao gồm cả rủi ro thất bại.</w:t>
      </w:r>
    </w:p>
    <w:p>
      <w:pPr>
        <w:pStyle w:val="Para 03"/>
      </w:pPr>
      <w:r>
        <w:t>Trên thực tế, các tỷ suất sinh lợi mục tiêu trở thành công cụ đàm phán nhiều hơn là các tỷ suất chiết khấu thông thường. Nói cách khác, lợi ích của nhà đầu tư mạo hiểm được phục vụ bằng cách dùng tỷ suất sinh lợi mục tiêu cao và đòi hỏi một phần sở hữu lớn hơn nhiều trong công ty khởi nghiệp. Lợi ích của chủ sở hữu công ty được thúc đẩy bằng một tỷ suất sinh lợi mục tiêu thấp hơn. Con số cuối cùng được dùng sẽ phụ thuộc vào quyền thương lượng tương đối của hai bên.</w:t>
      </w:r>
    </w:p>
    <w:p>
      <w:pPr>
        <w:pStyle w:val="Para 03"/>
      </w:pPr>
      <w:r>
        <w:t>Cách tiếp cận của vốn đầu tư mạo hiểm (venture capital) cũng đối mặt với một vấn đề khác. Khi mà các bội số thoái vốn (exit multiples) được dựa trên cách các công ty tương đương đang được định giá ở thời điểm hiện tại, chúng có thể dẫn đến những sai lệch định giá nghiêm trọng nếu thị trường đang sai. Ví dụ, những nhà đầu tư mạo hiểm định giá các công ty Internet vào năm 2000 với giả định rằng họ sẽ có thể bán những công ty này với mức 80 lần doanh thu (đó là mức mà thị trường đang định giá cho các công ty Internet nhỏ niêm yết công khai vào thời điểm đó) thì đã đánh giá quá cao giá trị của những công ty này.</w:t>
      </w:r>
    </w:p>
    <w:p>
      <w:pPr>
        <w:pStyle w:val="Para 20"/>
      </w:pPr>
      <w:r>
        <w:rPr>
          <w:rStyle w:val="Text26"/>
        </w:rPr>
        <w:bookmarkStart w:id="4798" w:name="Page_738"/>
        <w:t/>
        <w:bookmarkEnd w:id="4798"/>
      </w:r>
      <w:r>
        <w:t xml:space="preserve"> </w:t>
      </w:r>
    </w:p>
    <w:p>
      <w:pPr>
        <w:pStyle w:val="Para 11"/>
      </w:pPr>
      <w:r>
        <w:t/>
        <w:t xml:space="preserve"> </w:t>
      </w:r>
    </w:p>
    <w:p>
      <w:bookmarkStart w:id="4799" w:name="Venture_Capital__Private_Equity_1"/>
      <w:bookmarkStart w:id="4800" w:name="Venture_Capital__Private_Equity"/>
      <w:pPr>
        <w:keepNext/>
        <w:pStyle w:val="Para 27"/>
        <w:keepLines w:val="on"/>
      </w:pPr>
      <w:r>
        <w:t>Vốn đầu tư mạo hiểm, vốn cổ phần tư nhân và đa dạng hóa</w:t>
      </w:r>
      <w:bookmarkEnd w:id="4799"/>
      <w:bookmarkEnd w:id="4800"/>
    </w:p>
    <w:p>
      <w:pPr>
        <w:pStyle w:val="Para 16"/>
        <w:keepLines w:val="on"/>
      </w:pPr>
      <w:r>
        <w:t>Các nhà đầu tư mạo hiểm trong lịch sử thường tập trung vào một ngành cụ thể — họ có xu hướng dồn vốn đầu tư vào một hoặc hai ngành. Một phần lý do là nhu cầu về vốn đầu tư mạo hiểm có xu hướng tập trung vào một vài lĩnh vực tại bất kỳ thời điểm nào — các công ty truyền thông xã hội vào năm 2011, các cổ phiếu công nghệ mới vào cuối những năm 1990, các cổ phiếu công nghệ sinh học vào cuối những năm 1980 — và một phần lý do khác là các nhà đầu tư mạo hiểm dựa vào kiến thức của họ về ngành để vừa định giá các công ty đang tìm kiếm vốn cổ phần, vừa giúp quản lý những công ty này.</w:t>
      </w:r>
    </w:p>
    <w:p>
      <w:pPr>
        <w:pStyle w:val="Para 16"/>
        <w:keepLines w:val="on"/>
      </w:pPr>
      <w:r>
        <w:t>Tuy nhiên, việc không đa dạng hóa lại có cái giá của nó, và điều này ảnh hưởng đến cách những công ty này được định giá ngay từ đầu. Chi phí vốn cổ phần (cost of equity) của một công ty đối với một nhà đầu tư đã đa dạng hóa sẽ thấp hơn chi phí vốn cổ phần của cùng công ty đó đối với một nhà đầu tư chưa đa dạng hóa, và như chúng ta sẽ thấy ở chương tiếp theo, điều này sẽ dẫn đến việc nhà đầu tư sau gán cho công ty một giá trị thấp hơn.</w:t>
      </w:r>
    </w:p>
    <w:p>
      <w:pPr>
        <w:pStyle w:val="Para 16"/>
        <w:keepLines w:val="on"/>
      </w:pPr>
      <w:r>
        <w:t>Trong những năm gần đây, các nhà đầu tư trên thị trường công khai đã nổi lên như những đối thủ cạnh tranh với các nhà đầu tư mạo hiểm truyền thống. Vì những nhà đầu tư này có xu hướng đa dạng hóa hơn, họ có thể chấp nhận chi phí vốn cổ phần thấp hơn, và do đó sẽ gán cho cùng một công ty tư nhân một giá trị cao hơn nhiều. Về lâu dài, liệu các quỹ cổ phần công khai có đẩy các nhà đầu tư mạo hiểm ra khỏi cuộc chơi? Chừng nào kiến thức mang tính địa phương về một ngành còn quan trọng trong việc định giá các công ty trong ngành đó, chúng tôi không tin là như vậy.</w:t>
      </w:r>
    </w:p>
    <w:p>
      <w:bookmarkStart w:id="4801" w:name="General_Framework_for_Analysis_1"/>
      <w:bookmarkStart w:id="4802" w:name="General_Framework_for_Analysis"/>
      <w:pPr>
        <w:keepNext/>
        <w:pStyle w:val="Heading 2"/>
        <w:keepLines w:val="on"/>
      </w:pPr>
      <w:r>
        <w:t>Khung phân tích tổng quát</w:t>
      </w:r>
      <w:bookmarkEnd w:id="4801"/>
      <w:bookmarkEnd w:id="4802"/>
    </w:p>
    <w:p>
      <w:pPr>
        <w:pStyle w:val="Para 03"/>
      </w:pPr>
      <w:r>
        <w:t>Để định giá những công ty có lợi nhuận âm, ít hoặc không có dữ liệu lịch sử, và ít công ty tương đương, các bước thực hiện về cơ bản cũng giống như trong bất kỳ hoạt động định giá nào. Phần này sẽ xem xét một số vấn đề có khả năng nảy sinh ở mỗi bước khi định giá các công ty non trẻ.</w:t>
      </w:r>
    </w:p>
    <w:p>
      <w:bookmarkStart w:id="4803" w:name="Step_1__Assess_the_Firm_s_Curren_1"/>
      <w:bookmarkStart w:id="4804" w:name="Step_1__Assess_the_Firm_s_Curren"/>
      <w:pPr>
        <w:keepNext/>
        <w:pStyle w:val="Heading 3"/>
        <w:keepLines w:val="on"/>
      </w:pPr>
      <w:r>
        <w:t>Bước 1: Đánh giá tình trạng hiện tại của công ty: Tầm quan trọng của thông tin cập nhật</w:t>
      </w:r>
      <w:bookmarkEnd w:id="4803"/>
      <w:bookmarkEnd w:id="4804"/>
    </w:p>
    <w:p>
      <w:pPr>
        <w:pStyle w:val="Para 03"/>
      </w:pPr>
      <w:r>
        <w:t>Theo thông lệ, khi định giá công ty, người ta dùng dữ liệu từ năm tài chính gần nhất để có được các thông số đầu vào của năm hiện tại. Đối với những công ty có lợi nhuận âm và doanh thu tăng trưởng cao, các con số có xu hướng thay đổi đáng kể qua từng giai đoạn. Do đó, sẽ hợp lý hơn khi nhìn vào thông tin gần nhất có thể thu thập được, ít nhất là về doanh thu và lợi nhuận. Chẳng hạn, sử dụng doanh thu và lợi nhuận của 12 tháng gần nhất (trailing 12 months) sẽ cho ra ước tính giá trị tốt hơn nhiều so với dùng lợi nhuận của năm tài chính trước đó. Đúng là một số khoản mục, như thuê hoạt động (operating leases) và quyền chọn đang lưu hành (options outstanding), có thể không được cập nhật thường xuyên như vậy. Dù vậy, chúng tôi vẫn cho rằng nên dùng các ước tính cho những thông số đầu vào này2 và định giá công ty bằng dữ liệu gần đây hơn.</w:t>
      </w:r>
    </w:p>
    <w:p>
      <w:pPr>
        <w:pStyle w:val="Para 20"/>
      </w:pPr>
      <w:r>
        <w:rPr>
          <w:rStyle w:val="Text26"/>
        </w:rPr>
        <w:bookmarkStart w:id="4806" w:name="Page_739"/>
        <w:t/>
        <w:bookmarkEnd w:id="4806"/>
      </w:r>
      <w:r>
        <w:t xml:space="preserve"> </w:t>
      </w:r>
    </w:p>
    <w:p>
      <w:bookmarkStart w:id="4807" w:name="Step_2__Estimate_Revenue_Growth_1"/>
      <w:bookmarkStart w:id="4808" w:name="Step_2__Estimate_Revenue_Growth"/>
      <w:pPr>
        <w:keepNext/>
        <w:pStyle w:val="Heading 3"/>
        <w:keepLines w:val="on"/>
      </w:pPr>
      <w:r>
        <w:t>Bước 2: Ước tính tăng trưởng doanh thu</w:t>
      </w:r>
      <w:bookmarkEnd w:id="4807"/>
      <w:bookmarkEnd w:id="4808"/>
    </w:p>
    <w:p>
      <w:pPr>
        <w:pStyle w:val="Para 03"/>
      </w:pPr>
      <w:r>
        <w:t>Các công ty non trẻ thường có doanh thu khá nhỏ, nhưng kỳ vọng là doanh thu này sẽ tăng trưởng với tốc độ đáng kể trong tương lai. Không có gì ngạc nhiên khi đây là một thông số đầu vào then chốt trong những hoạt động định giá này, và chúng tôi đề xuất nên dựa vào một số nguồn sau:</w:t>
      </w:r>
    </w:p>
    <w:p>
      <w:pPr>
        <w:numPr>
          <w:ilvl w:val="0"/>
          <w:numId w:val="243"/>
        </w:numPr>
        <w:pStyle w:val="Para 01"/>
      </w:pPr>
      <w:r>
        <w:t>Tốc độ tăng trưởng doanh thu trong quá khứ của chính công ty. Vì công ty tăng quy mô khi phát triển, việc duy trì tốc độ tăng trưởng rất cao sẽ ngày càng khó khăn hơn. Do đó, một công ty tăng trưởng 300 phần trăm hai năm trước và 200 phần trăm năm ngoái thì năm nay có khả năng sẽ tăng trưởng với tốc độ thấp hơn.</w:t>
      </w:r>
    </w:p>
    <w:p>
      <w:pPr>
        <w:numPr>
          <w:ilvl w:val="0"/>
          <w:numId w:val="243"/>
        </w:numPr>
        <w:pStyle w:val="Para 01"/>
      </w:pPr>
      <w:r>
        <w:t>Tốc độ tăng trưởng của toàn bộ thị trường mà công ty phục vụ. Các công ty duy trì tốc độ tăng trưởng cao trong những thị trường đang tự tăng trưởng với tốc độ cao sẽ dễ dàng hơn nhiều so với việc làm điều đó trong những thị trường ổn định.</w:t>
      </w:r>
    </w:p>
    <w:p>
      <w:pPr>
        <w:numPr>
          <w:ilvl w:val="0"/>
          <w:numId w:val="243"/>
        </w:numPr>
        <w:pStyle w:val="Para 01"/>
      </w:pPr>
      <w:r>
        <w:t>Rào cản gia nhập và lợi thế cạnh tranh mà công ty sở hữu. Để một công ty có thể duy trì tốc độ tăng trưởng cao, nó phải có một lợi thế cạnh tranh bền vững nào đó. Điều này có thể đến từ sự bảo hộ pháp lý (như trường hợp bằng sáng chế), một sản phẩm hoặc dịch vụ vượt trội, một tên thương hiệu, hoặc từ việc là người tiên phong (first mover) gia nhập một thị trường. Nếu lợi thế cạnh tranh có vẻ bền vững, tăng trưởng cao sẽ có nhiều khả năng kéo dài trong một thời gian dài. Nếu không, nó sẽ giảm dần nhanh hơn nhiều.</w:t>
      </w:r>
    </w:p>
    <w:p>
      <w:pPr>
        <w:pStyle w:val="Para 03"/>
      </w:pPr>
      <w:r>
        <w:t>Chúng ta đã xem xét quá trình ước tính tăng trưởng doanh thu chi tiết hơn ở Chương 11.</w:t>
      </w:r>
    </w:p>
    <w:p>
      <w:pPr>
        <w:pStyle w:val="Para 11"/>
      </w:pPr>
      <w:r>
        <w:t/>
        <w:t xml:space="preserve"> </w:t>
      </w:r>
    </w:p>
    <w:p>
      <w:bookmarkStart w:id="4809" w:name="ILLUSTRATION_23_1__Revenue_Growt"/>
      <w:bookmarkStart w:id="4810" w:name="ILLUSTRATION_23_1__Revenue_Growt_1"/>
      <w:pPr>
        <w:keepNext/>
        <w:pStyle w:val="Para 19"/>
        <w:keepLines w:val="on"/>
      </w:pPr>
      <w:r>
        <w:t>MINH HỌA 23.1: Tốc độ tăng trưởng doanh thu — Airbnb năm 2020</w:t>
      </w:r>
      <w:bookmarkEnd w:id="4809"/>
      <w:bookmarkEnd w:id="4810"/>
    </w:p>
    <w:p>
      <w:pPr>
        <w:pStyle w:val="Para 04"/>
        <w:keepLines w:val="on"/>
      </w:pPr>
      <w:r>
        <w:t>Chúng ta sẽ định giá Airbnb (ABNB), một công ty đã làm đảo lộn ngành kinh doanh khách sạn và dịch vụ lưu trú, vào thời điểm công ty IPO vào tháng 11 năm 2020. Dù chúng ta đã giới thiệu công ty này ở chương 11 trong bối cảnh ước tính dòng tiền, chúng ta sẽ định giá đầy đủ công ty trong chương này, tuy có điều chỉnh đôi chút các giả định về tăng trưởng, khả năng sinh lời và tái đầu tư. Công ty mới tồn tại hơn một thập kỷ, nhưng đã cho thấy tiềm năng tăng trưởng cao, với doanh thu tăng gần gấp năm lần, từ 919 triệu đô la năm 2015 lên 4,8 tỷ đô la năm 2019. Tuy nhiên, mô hình kinh doanh của công ty vẫn còn đang biến động, khi công ty báo lỗ hoạt động 501 triệu đô la năm 2019. Thêm vào sự bất định trong việc định giá này là việc COVID đóng cửa nền kinh tế toàn cầu, với ngành dịch vụ lưu trú nằm trong số những ngành bị ảnh hưởng nặng nề nhất. Kết quả là, trong 12 tháng gần nhất dẫn đến thời điểm định giá này, doanh thu của Airbnb giảm xuống còn 3,6 tỷ đô la, và khoản lỗ của công ty phình to lên 818 triệu đô la.</w:t>
      </w:r>
    </w:p>
    <w:p>
      <w:pPr>
        <w:pStyle w:val="Para 04"/>
        <w:keepLines w:val="on"/>
      </w:pPr>
      <w:r>
        <w:t>Có ba con số then chốt trong việc dự báo dòng tiền tương lai. Thứ nhất là tăng trưởng doanh thu, có thể có được bằng cách ngoại suy từ quá khứ gần đây hoặc bằng cách ước tính tổng thị trường cho một sản phẩm hay dịch vụ và thị phần kỳ vọng. Thị trường tiềm năng cho một công ty sẽ nhỏ hơn nếu sản phẩm hoặc dịch vụ mà công ty cung cấp được định nghĩa hẹp, và sẽ mở rộng nếu chúng ta dùng một định nghĩa rộng hơn. Định nghĩa Airbnb là một công ty cho thuê căn hộ sẽ dẫn đến một thị trường nhỏ hơn so với việc xếp nó vào ngành kinh doanh dịch vụ lưu trú. Bước tiếp theo là ước tính phần thị trường mà công ty đang được phân tích sẽ chiếm được, cả trong dài hạn lẫn trong các giai đoạn dẫn đến đó. Chính ở giai đoạn này, bạn sẽ cân nhắc cả chất lượng sản phẩm và ban quản lý của công ty non trẻ lẫn các nguồn lực mà công ty có thể huy động để đạt được mục tiêu của mình.</w:t>
      </w:r>
    </w:p>
    <w:p>
      <w:pPr>
        <w:pStyle w:val="Para 04"/>
        <w:keepLines w:val="on"/>
      </w:pPr>
      <w:r>
        <w:t>Ban quản lý của Airbnb đã cho thấy năng lực và sự sáng tạo, và lợi ích từ mạng lưới khi là mạng lưới cho thuê lớn nhất sẽ cho phép công ty không chỉ tiếp tục giành thị phần từ các khách sạn, mà còn mang lại cho nó lợi thế so với các công ty khác đang cố bắt chước nó. Chúng tôi ước tính tổng lượng đặt phòng (gross bookings) trên nền tảng Airbnb sẽ tăng 40% vào năm 2021, khi việc đóng cửa vì COVID dịu bớt, và tốc độ tăng trưởng hàng năm sẽ là 25% trong bốn năm tiếp theo; tốc độ tăng trưởng đó sẽ giảm dần xuống còn 2% vào năm thứ 10. Doanh thu của Airbnb đến từ phần chia mà công ty nhận được từ tổng lượng đặt phòng này, và chúng tôi kỳ vọng tỷ lệ phần trăm đó sẽ tăng từ 12,65% trong 12 tháng gần nhất lên 14% trong thập kỷ tới, nhờ sức mạnh thị trường và tính kinh tế theo quy mô. Bảng 23.1 tóm tắt các dự báo về tổng lượng đặt phòng và doanh thu cho Airbnb:</w:t>
      </w:r>
    </w:p>
    <w:p>
      <w:pPr>
        <w:pStyle w:val="Para 40"/>
        <w:keepLines w:val="on"/>
      </w:pPr>
      <w:r>
        <w:rPr>
          <w:rStyle w:val="Text26"/>
        </w:rPr>
        <w:bookmarkStart w:id="4812" w:name="Page_740"/>
        <w:t/>
        <w:bookmarkEnd w:id="4812"/>
      </w:r>
      <w:r>
        <w:t xml:space="preserve"> </w:t>
      </w:r>
    </w:p>
    <w:p>
      <w:pPr>
        <w:pStyle w:val="Para 25"/>
        <w:keepLines w:val="on"/>
      </w:pPr>
      <w:r>
        <w:t>Bảng 23.1</w:t>
      </w:r>
    </w:p>
    <w:p>
      <w:pPr>
        <w:keepNext/>
        <w:pStyle w:val="Para 24"/>
        <w:keepLines w:val="on"/>
      </w:pPr>
      <w:r>
        <w:t>Doanh thu kỳ vọng cho Airbnb (tính bằng triệu đô la)</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Tốc độ tăng trưởng</w:t>
                  </w:r>
                </w:p>
              </w:tc>
              <w:tc>
                <w:tcPr>
                  <w:tcW w:type="auto" w:w="0"/>
                  <w:shd w:val="clear" w:color="auto" w:fill="F0F0F0"/>
                </w:tcPr>
                <w:p>
                  <w:pPr>
                    <w:pStyle w:val="Para 05"/>
                    <w:keepLines w:val="on"/>
                  </w:pPr>
                  <w:r>
                    <w:t>Tổng lượng đặt phòng</w:t>
                  </w:r>
                </w:p>
              </w:tc>
              <w:tc>
                <w:tcPr>
                  <w:tcW w:type="auto" w:w="0"/>
                  <w:shd w:val="clear" w:color="auto" w:fill="F0F0F0"/>
                </w:tcPr>
                <w:p>
                  <w:pPr>
                    <w:pStyle w:val="Para 05"/>
                    <w:keepLines w:val="on"/>
                  </w:pPr>
                  <w:r>
                    <w:t>Tỷ lệ chia của Airbnb (%)</w:t>
                  </w:r>
                </w:p>
              </w:tc>
              <w:tc>
                <w:tcPr>
                  <w:tcW w:type="auto" w:w="0"/>
                  <w:shd w:val="clear" w:color="auto" w:fill="F0F0F0"/>
                </w:tcPr>
                <w:p>
                  <w:pPr>
                    <w:pStyle w:val="Para 05"/>
                    <w:keepLines w:val="on"/>
                  </w:pPr>
                  <w:r>
                    <w:t>Doanh thu</w:t>
                  </w:r>
                </w:p>
              </w:tc>
            </w:tr>
            <w:tr>
              <w:tc>
                <w:tcPr>
                  <w:tcW w:type="auto" w:w="0"/>
                  <w:shd w:val="clear" w:color="auto" w:fill="F0F0F0"/>
                </w:tcPr>
                <w:p>
                  <w:pPr>
                    <w:pStyle w:val="Para 46"/>
                    <w:keepLines w:val="on"/>
                  </w:pPr>
                  <w:r>
                    <w:t>LTM</w:t>
                  </w:r>
                </w:p>
              </w:tc>
              <w:tc>
                <w:tcPr>
                  <w:tcW w:type="auto" w:w="0"/>
                  <w:shd w:val="clear" w:color="auto" w:fill="F0F0F0"/>
                </w:tcPr>
                <w:p>
                  <w:pPr>
                    <w:pStyle w:val="7 Block"/>
                    <w:keepLines w:val="on"/>
                  </w:pPr>
                </w:p>
              </w:tc>
              <w:tc>
                <w:tcPr>
                  <w:tcW w:type="auto" w:w="0"/>
                  <w:shd w:val="clear" w:color="auto" w:fill="F0F0F0"/>
                </w:tcPr>
                <w:p>
                  <w:pPr>
                    <w:pStyle w:val="Para 41"/>
                    <w:keepLines w:val="on"/>
                  </w:pPr>
                  <w:r>
                    <w:t>$26,492</w:t>
                  </w:r>
                </w:p>
              </w:tc>
              <w:tc>
                <w:tcPr>
                  <w:tcW w:type="auto" w:w="0"/>
                  <w:shd w:val="clear" w:color="auto" w:fill="F0F0F0"/>
                </w:tcPr>
                <w:p>
                  <w:pPr>
                    <w:pStyle w:val="7 Block"/>
                    <w:keepLines w:val="on"/>
                  </w:pPr>
                </w:p>
              </w:tc>
              <w:tc>
                <w:tcPr>
                  <w:tcW w:type="auto" w:w="0"/>
                  <w:shd w:val="clear" w:color="auto" w:fill="F0F0F0"/>
                </w:tcPr>
                <w:p>
                  <w:pPr>
                    <w:pStyle w:val="Para 41"/>
                    <w:keepLines w:val="on"/>
                  </w:pPr>
                  <w:r>
                    <w:t>$3,626</w:t>
                  </w:r>
                </w:p>
              </w:tc>
            </w:tr>
            <w:tr>
              <w:tc>
                <w:tcPr>
                  <w:tcW w:type="auto" w:w="0"/>
                  <w:shd w:val="clear" w:color="auto" w:fill="F0F0F0"/>
                </w:tcPr>
                <w:p>
                  <w:pPr>
                    <w:pStyle w:val="Para 02"/>
                    <w:keepLines w:val="on"/>
                  </w:pPr>
                  <w:r>
                    <w:t>1</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$37,089</w:t>
                  </w:r>
                </w:p>
              </w:tc>
              <w:tc>
                <w:tcPr>
                  <w:tcW w:type="auto" w:w="0"/>
                  <w:shd w:val="clear" w:color="auto" w:fill="F0F0F0"/>
                </w:tcPr>
                <w:p>
                  <w:pPr>
                    <w:pStyle w:val="Normal"/>
                    <w:keepLines w:val="on"/>
                  </w:pPr>
                  <w:r>
                    <w:t>12,65%</w:t>
                  </w:r>
                </w:p>
              </w:tc>
              <w:tc>
                <w:tcPr>
                  <w:tcW w:type="auto" w:w="0"/>
                  <w:shd w:val="clear" w:color="auto" w:fill="F0F0F0"/>
                </w:tcPr>
                <w:p>
                  <w:pPr>
                    <w:pStyle w:val="Normal"/>
                    <w:keepLines w:val="on"/>
                  </w:pPr>
                  <w:r>
                    <w:t>$4,692</w:t>
                  </w:r>
                </w:p>
              </w:tc>
            </w:tr>
            <w:tr>
              <w:tc>
                <w:tcPr>
                  <w:tcW w:type="auto" w:w="0"/>
                  <w:shd w:val="clear" w:color="auto" w:fill="F0F0F0"/>
                </w:tcPr>
                <w:p>
                  <w:pPr>
                    <w:pStyle w:val="Para 02"/>
                    <w:keepLines w:val="on"/>
                  </w:pPr>
                  <w:r>
                    <w:t>2</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$46,361</w:t>
                  </w:r>
                </w:p>
              </w:tc>
              <w:tc>
                <w:tcPr>
                  <w:tcW w:type="auto" w:w="0"/>
                  <w:shd w:val="clear" w:color="auto" w:fill="F0F0F0"/>
                </w:tcPr>
                <w:p>
                  <w:pPr>
                    <w:pStyle w:val="Normal"/>
                    <w:keepLines w:val="on"/>
                  </w:pPr>
                  <w:r>
                    <w:t>12,92%</w:t>
                  </w:r>
                </w:p>
              </w:tc>
              <w:tc>
                <w:tcPr>
                  <w:tcW w:type="auto" w:w="0"/>
                  <w:shd w:val="clear" w:color="auto" w:fill="F0F0F0"/>
                </w:tcPr>
                <w:p>
                  <w:pPr>
                    <w:pStyle w:val="Normal"/>
                    <w:keepLines w:val="on"/>
                  </w:pPr>
                  <w:r>
                    <w:t>$5,990</w:t>
                  </w:r>
                </w:p>
              </w:tc>
            </w:tr>
            <w:tr>
              <w:tc>
                <w:tcPr>
                  <w:tcW w:type="auto" w:w="0"/>
                  <w:shd w:val="clear" w:color="auto" w:fill="F0F0F0"/>
                </w:tcPr>
                <w:p>
                  <w:pPr>
                    <w:pStyle w:val="Para 02"/>
                    <w:keepLines w:val="on"/>
                  </w:pPr>
                  <w:r>
                    <w:t>3</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$57,951</w:t>
                  </w:r>
                </w:p>
              </w:tc>
              <w:tc>
                <w:tcPr>
                  <w:tcW w:type="auto" w:w="0"/>
                  <w:shd w:val="clear" w:color="auto" w:fill="F0F0F0"/>
                </w:tcPr>
                <w:p>
                  <w:pPr>
                    <w:pStyle w:val="Normal"/>
                    <w:keepLines w:val="on"/>
                  </w:pPr>
                  <w:r>
                    <w:t>13,06%</w:t>
                  </w:r>
                </w:p>
              </w:tc>
              <w:tc>
                <w:tcPr>
                  <w:tcW w:type="auto" w:w="0"/>
                  <w:shd w:val="clear" w:color="auto" w:fill="F0F0F0"/>
                </w:tcPr>
                <w:p>
                  <w:pPr>
                    <w:pStyle w:val="Normal"/>
                    <w:keepLines w:val="on"/>
                  </w:pPr>
                  <w:r>
                    <w:t>$7,565</w:t>
                  </w:r>
                </w:p>
              </w:tc>
            </w:tr>
            <w:tr>
              <w:tc>
                <w:tcPr>
                  <w:tcW w:type="auto" w:w="0"/>
                  <w:shd w:val="clear" w:color="auto" w:fill="F0F0F0"/>
                </w:tcPr>
                <w:p>
                  <w:pPr>
                    <w:pStyle w:val="Para 02"/>
                    <w:keepLines w:val="on"/>
                  </w:pPr>
                  <w:r>
                    <w:t>4</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$72,439</w:t>
                  </w:r>
                </w:p>
              </w:tc>
              <w:tc>
                <w:tcPr>
                  <w:tcW w:type="auto" w:w="0"/>
                  <w:shd w:val="clear" w:color="auto" w:fill="F0F0F0"/>
                </w:tcPr>
                <w:p>
                  <w:pPr>
                    <w:pStyle w:val="Normal"/>
                    <w:keepLines w:val="on"/>
                  </w:pPr>
                  <w:r>
                    <w:t>13,19%</w:t>
                  </w:r>
                </w:p>
              </w:tc>
              <w:tc>
                <w:tcPr>
                  <w:tcW w:type="auto" w:w="0"/>
                  <w:shd w:val="clear" w:color="auto" w:fill="F0F0F0"/>
                </w:tcPr>
                <w:p>
                  <w:pPr>
                    <w:pStyle w:val="Normal"/>
                    <w:keepLines w:val="on"/>
                  </w:pPr>
                  <w:r>
                    <w:t>$9,555</w:t>
                  </w:r>
                </w:p>
              </w:tc>
            </w:tr>
            <w:tr>
              <w:tc>
                <w:tcPr>
                  <w:tcW w:type="auto" w:w="0"/>
                  <w:shd w:val="clear" w:color="auto" w:fill="F0F0F0"/>
                </w:tcPr>
                <w:p>
                  <w:pPr>
                    <w:pStyle w:val="Para 02"/>
                    <w:keepLines w:val="on"/>
                  </w:pPr>
                  <w:r>
                    <w:t>5</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$90,548</w:t>
                  </w:r>
                </w:p>
              </w:tc>
              <w:tc>
                <w:tcPr>
                  <w:tcW w:type="auto" w:w="0"/>
                  <w:shd w:val="clear" w:color="auto" w:fill="F0F0F0"/>
                </w:tcPr>
                <w:p>
                  <w:pPr>
                    <w:pStyle w:val="Normal"/>
                    <w:keepLines w:val="on"/>
                  </w:pPr>
                  <w:r>
                    <w:t>13,33%</w:t>
                  </w:r>
                </w:p>
              </w:tc>
              <w:tc>
                <w:tcPr>
                  <w:tcW w:type="auto" w:w="0"/>
                  <w:shd w:val="clear" w:color="auto" w:fill="F0F0F0"/>
                </w:tcPr>
                <w:p>
                  <w:pPr>
                    <w:pStyle w:val="Normal"/>
                    <w:keepLines w:val="on"/>
                  </w:pPr>
                  <w:r>
                    <w:t>$12.066</w:t>
                  </w:r>
                </w:p>
              </w:tc>
            </w:tr>
            <w:tr>
              <w:tc>
                <w:tcPr>
                  <w:tcW w:type="auto" w:w="0"/>
                  <w:shd w:val="clear" w:color="auto" w:fill="F0F0F0"/>
                </w:tcPr>
                <w:p>
                  <w:pPr>
                    <w:pStyle w:val="Para 02"/>
                    <w:keepLines w:val="on"/>
                  </w:pPr>
                  <w:r>
                    <w:t>6</w:t>
                  </w:r>
                </w:p>
              </w:tc>
              <w:tc>
                <w:tcPr>
                  <w:tcW w:type="auto" w:w="0"/>
                  <w:shd w:val="clear" w:color="auto" w:fill="F0F0F0"/>
                </w:tcPr>
                <w:p>
                  <w:pPr>
                    <w:pStyle w:val="Normal"/>
                    <w:keepLines w:val="on"/>
                  </w:pPr>
                  <w:r>
                    <w:t>20,40%</w:t>
                  </w:r>
                </w:p>
              </w:tc>
              <w:tc>
                <w:tcPr>
                  <w:tcW w:type="auto" w:w="0"/>
                  <w:shd w:val="clear" w:color="auto" w:fill="F0F0F0"/>
                </w:tcPr>
                <w:p>
                  <w:pPr>
                    <w:pStyle w:val="Normal"/>
                    <w:keepLines w:val="on"/>
                  </w:pPr>
                  <w:r>
                    <w:t>$109.020</w:t>
                  </w:r>
                </w:p>
              </w:tc>
              <w:tc>
                <w:tcPr>
                  <w:tcW w:type="auto" w:w="0"/>
                  <w:shd w:val="clear" w:color="auto" w:fill="F0F0F0"/>
                </w:tcPr>
                <w:p>
                  <w:pPr>
                    <w:pStyle w:val="Normal"/>
                    <w:keepLines w:val="on"/>
                  </w:pPr>
                  <w:r>
                    <w:t>13,46%</w:t>
                  </w:r>
                </w:p>
              </w:tc>
              <w:tc>
                <w:tcPr>
                  <w:tcW w:type="auto" w:w="0"/>
                  <w:shd w:val="clear" w:color="auto" w:fill="F0F0F0"/>
                </w:tcPr>
                <w:p>
                  <w:pPr>
                    <w:pStyle w:val="Normal"/>
                    <w:keepLines w:val="on"/>
                  </w:pPr>
                  <w:r>
                    <w:t>$14.674</w:t>
                  </w:r>
                </w:p>
              </w:tc>
            </w:tr>
            <w:tr>
              <w:tc>
                <w:tcPr>
                  <w:tcW w:type="auto" w:w="0"/>
                  <w:shd w:val="clear" w:color="auto" w:fill="F0F0F0"/>
                </w:tcPr>
                <w:p>
                  <w:pPr>
                    <w:pStyle w:val="Para 02"/>
                    <w:keepLines w:val="on"/>
                  </w:pPr>
                  <w:r>
                    <w:t>7</w:t>
                  </w:r>
                </w:p>
              </w:tc>
              <w:tc>
                <w:tcPr>
                  <w:tcW w:type="auto" w:w="0"/>
                  <w:shd w:val="clear" w:color="auto" w:fill="F0F0F0"/>
                </w:tcPr>
                <w:p>
                  <w:pPr>
                    <w:pStyle w:val="Normal"/>
                    <w:keepLines w:val="on"/>
                  </w:pPr>
                  <w:r>
                    <w:t>15,80%</w:t>
                  </w:r>
                </w:p>
              </w:tc>
              <w:tc>
                <w:tcPr>
                  <w:tcW w:type="auto" w:w="0"/>
                  <w:shd w:val="clear" w:color="auto" w:fill="F0F0F0"/>
                </w:tcPr>
                <w:p>
                  <w:pPr>
                    <w:pStyle w:val="Normal"/>
                    <w:keepLines w:val="on"/>
                  </w:pPr>
                  <w:r>
                    <w:t>$126.245</w:t>
                  </w:r>
                </w:p>
              </w:tc>
              <w:tc>
                <w:tcPr>
                  <w:tcW w:type="auto" w:w="0"/>
                  <w:shd w:val="clear" w:color="auto" w:fill="F0F0F0"/>
                </w:tcPr>
                <w:p>
                  <w:pPr>
                    <w:pStyle w:val="Normal"/>
                    <w:keepLines w:val="on"/>
                  </w:pPr>
                  <w:r>
                    <w:t>13,60%</w:t>
                  </w:r>
                </w:p>
              </w:tc>
              <w:tc>
                <w:tcPr>
                  <w:tcW w:type="auto" w:w="0"/>
                  <w:shd w:val="clear" w:color="auto" w:fill="F0F0F0"/>
                </w:tcPr>
                <w:p>
                  <w:pPr>
                    <w:pStyle w:val="Normal"/>
                    <w:keepLines w:val="on"/>
                  </w:pPr>
                  <w:r>
                    <w:t>$17.163</w:t>
                  </w:r>
                </w:p>
              </w:tc>
            </w:tr>
            <w:tr>
              <w:tc>
                <w:tcPr>
                  <w:tcW w:type="auto" w:w="0"/>
                  <w:shd w:val="clear" w:color="auto" w:fill="F0F0F0"/>
                </w:tcPr>
                <w:p>
                  <w:pPr>
                    <w:pStyle w:val="Para 02"/>
                    <w:keepLines w:val="on"/>
                  </w:pPr>
                  <w:r>
                    <w:t>8</w:t>
                  </w:r>
                </w:p>
              </w:tc>
              <w:tc>
                <w:tcPr>
                  <w:tcW w:type="auto" w:w="0"/>
                  <w:shd w:val="clear" w:color="auto" w:fill="F0F0F0"/>
                </w:tcPr>
                <w:p>
                  <w:pPr>
                    <w:pStyle w:val="Normal"/>
                    <w:keepLines w:val="on"/>
                  </w:pPr>
                  <w:r>
                    <w:t>11,20%</w:t>
                  </w:r>
                </w:p>
              </w:tc>
              <w:tc>
                <w:tcPr>
                  <w:tcW w:type="auto" w:w="0"/>
                  <w:shd w:val="clear" w:color="auto" w:fill="F0F0F0"/>
                </w:tcPr>
                <w:p>
                  <w:pPr>
                    <w:pStyle w:val="Normal"/>
                    <w:keepLines w:val="on"/>
                  </w:pPr>
                  <w:r>
                    <w:t>$140.385</w:t>
                  </w:r>
                </w:p>
              </w:tc>
              <w:tc>
                <w:tcPr>
                  <w:tcW w:type="auto" w:w="0"/>
                  <w:shd w:val="clear" w:color="auto" w:fill="F0F0F0"/>
                </w:tcPr>
                <w:p>
                  <w:pPr>
                    <w:pStyle w:val="Normal"/>
                    <w:keepLines w:val="on"/>
                  </w:pPr>
                  <w:r>
                    <w:t>13,73%</w:t>
                  </w:r>
                </w:p>
              </w:tc>
              <w:tc>
                <w:tcPr>
                  <w:tcW w:type="auto" w:w="0"/>
                  <w:shd w:val="clear" w:color="auto" w:fill="F0F0F0"/>
                </w:tcPr>
                <w:p>
                  <w:pPr>
                    <w:pStyle w:val="Normal"/>
                    <w:keepLines w:val="on"/>
                  </w:pPr>
                  <w:r>
                    <w:t>$19.275</w:t>
                  </w:r>
                </w:p>
              </w:tc>
            </w:tr>
            <w:tr>
              <w:tc>
                <w:tcPr>
                  <w:tcW w:type="auto" w:w="0"/>
                  <w:shd w:val="clear" w:color="auto" w:fill="F0F0F0"/>
                </w:tcPr>
                <w:p>
                  <w:pPr>
                    <w:pStyle w:val="Para 02"/>
                    <w:keepLines w:val="on"/>
                  </w:pPr>
                  <w:r>
                    <w:t>9</w:t>
                  </w:r>
                </w:p>
              </w:tc>
              <w:tc>
                <w:tcPr>
                  <w:tcW w:type="auto" w:w="0"/>
                  <w:shd w:val="clear" w:color="auto" w:fill="F0F0F0"/>
                </w:tcPr>
                <w:p>
                  <w:pPr>
                    <w:pStyle w:val="Normal"/>
                    <w:keepLines w:val="on"/>
                  </w:pPr>
                  <w:r>
                    <w:t>6,60%</w:t>
                  </w:r>
                </w:p>
              </w:tc>
              <w:tc>
                <w:tcPr>
                  <w:tcW w:type="auto" w:w="0"/>
                  <w:shd w:val="clear" w:color="auto" w:fill="F0F0F0"/>
                </w:tcPr>
                <w:p>
                  <w:pPr>
                    <w:pStyle w:val="Normal"/>
                    <w:keepLines w:val="on"/>
                  </w:pPr>
                  <w:r>
                    <w:t>$149.650</w:t>
                  </w:r>
                </w:p>
              </w:tc>
              <w:tc>
                <w:tcPr>
                  <w:tcW w:type="auto" w:w="0"/>
                  <w:shd w:val="clear" w:color="auto" w:fill="F0F0F0"/>
                </w:tcPr>
                <w:p>
                  <w:pPr>
                    <w:pStyle w:val="Normal"/>
                    <w:keepLines w:val="on"/>
                  </w:pPr>
                  <w:r>
                    <w:t>13,87%</w:t>
                  </w:r>
                </w:p>
              </w:tc>
              <w:tc>
                <w:tcPr>
                  <w:tcW w:type="auto" w:w="0"/>
                  <w:shd w:val="clear" w:color="auto" w:fill="F0F0F0"/>
                </w:tcPr>
                <w:p>
                  <w:pPr>
                    <w:pStyle w:val="Normal"/>
                    <w:keepLines w:val="on"/>
                  </w:pPr>
                  <w:r>
                    <w:t>$20.749</w:t>
                  </w:r>
                </w:p>
              </w:tc>
            </w:tr>
            <w:tr>
              <w:tc>
                <w:tcPr>
                  <w:tcW w:type="auto" w:w="0"/>
                  <w:shd w:val="clear" w:color="auto" w:fill="F0F0F0"/>
                </w:tcPr>
                <w:p>
                  <w:pPr>
                    <w:pStyle w:val="Para 02"/>
                    <w:keepLines w:val="on"/>
                  </w:pPr>
                  <w:r>
                    <w:t>10</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152.643 đô la</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21.370 đô la</w:t>
                  </w:r>
                </w:p>
              </w:tc>
            </w:tr>
            <w:tr>
              <w:tc>
                <w:tcPr>
                  <w:tcW w:type="auto" w:w="0"/>
                  <w:shd w:val="clear" w:color="auto" w:fill="F0F0F0"/>
                </w:tcPr>
                <w:p>
                  <w:pPr>
                    <w:pStyle w:val="Para 02"/>
                    <w:keepLines w:val="on"/>
                  </w:pPr>
                  <w:r>
                    <w:t>Năm kết thúc</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155.696 đô la</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21.797 đô la</w:t>
                  </w:r>
                </w:p>
              </w:tc>
            </w:tr>
          </w:tbl>
          <w:p/>
        </w:tc>
      </w:tr>
    </w:tbl>
    <w:p>
      <w:pPr>
        <w:pStyle w:val="Para 04"/>
        <w:keepLines w:val="on"/>
      </w:pPr>
      <w:r>
        <w:t>Lưu ý rằng với tốc độ tăng trưởng cao, tổng lượng đặt phòng dự phóng 156 tỷ đô la vào năm thứ 11 sẽ khiến Airbnb gần như lớn ngang Booking.com về doanh thu và chiếm khoảng 10% toàn bộ thị trường khách sạn và lưu trú (bao gồm cả khách sạn và đặt phòng tư nhân). Vì Airbnb là một bên trung gian giữ lại một phần (14%) trong tổng lượng đặt phòng này, doanh thu của nó sẽ đạt 21,8 tỷ đô la vào năm kết thúc, khiến nó lớn hơn (về doanh thu) so với các công ty khách sạn lớn nhất thế giới vào năm 2019.</w:t>
      </w:r>
    </w:p>
    <w:p>
      <w:bookmarkStart w:id="4813" w:name="Step_3__Estimate_a_Sustainable_O_1"/>
      <w:bookmarkStart w:id="4814" w:name="Step_3__Estimate_a_Sustainable_O"/>
      <w:pPr>
        <w:keepNext/>
        <w:pStyle w:val="Heading 3"/>
        <w:keepLines w:val="on"/>
      </w:pPr>
      <w:r>
        <w:t>Bước 3: Ước tính biên lợi nhuận hoạt động bền vững trong giai đoạn tăng trưởng ổn định</w:t>
      </w:r>
      <w:bookmarkEnd w:id="4813"/>
      <w:bookmarkEnd w:id="4814"/>
    </w:p>
    <w:p>
      <w:pPr>
        <w:pStyle w:val="Para 03"/>
      </w:pPr>
      <w:r>
        <w:t>Đối với một công ty đang thua lỗ, chỉ tăng trưởng doanh thu cao sẽ chẳng làm được gì nhiều ngoài việc khiến khoản lỗ trở nên lớn hơn theo thời gian. Một yếu tố then chốt để một công ty non trẻ trở nên có giá trị là kỳ vọng rằng biên lợi nhuận hoạt động, dù hiện đang âm, sẽ trở nên dương trong tương lai. Theo nhiều cách, phép thử thực sự trong định giá là khả năng đánh giá xem một công ty non trẻ, tăng trưởng cao sẽ có biên lợi nhuận hoạt động là bao nhiêu khi tăng trưởng ổn định. Khi không có các công ty so sánh, độ khó của nhiệm vụ này càng tăng lên. Một lần nữa, vài hướng dẫn sau đây sẽ giúp ích:</w:t>
      </w:r>
    </w:p>
    <w:p>
      <w:pPr>
        <w:numPr>
          <w:ilvl w:val="0"/>
          <w:numId w:val="244"/>
        </w:numPr>
        <w:pStyle w:val="Para 01"/>
      </w:pPr>
      <w:r>
        <w:t>Nhìn vào hoạt động kinh doanh cốt lõi mà công ty này đang tham gia, hãy xem xét các đối thủ thực sự của nó. Một công ty có đối thủ mạnh sẽ thấy biên lợi nhuận của mình bị chèn ép, và điều đó phải được phản ánh vào một biên lợi nhuận hoạt động thấp hơn. Tuy nhiên, khi đưa ra đánh giá này, chúng ta có thể cần nhìn vào các đối thủ tiềm năng có thể bị lôi kéo vào ngành kinh doanh này.</w:t>
      </w:r>
    </w:p>
    <w:p>
      <w:pPr>
        <w:numPr>
          <w:ilvl w:val="0"/>
          <w:numId w:val="244"/>
        </w:numPr>
        <w:pStyle w:val="Para 01"/>
      </w:pPr>
      <w:r>
        <w:t>Hãy nhìn vào mô hình kinh doanh của công ty: Khi chọn mô hình kinh doanh, các công ty cũng đang chọn một sự kết hợp giữa tăng trưởng doanh thu và biên lợi nhuận hoạt động, với hai yếu tố này thường hoạt động ngược chiều nhau. Một công ty đặt mục tiêu mở rộng quy mô có thể chấp nhận biên lợi nhuận mục tiêu thấp hơn so với một công ty chọn ở lại trong một phân khúc thị trường ngách với biên lợi nhuận cao hơn.</w:t>
      </w:r>
    </w:p>
    <w:p>
      <w:pPr>
        <w:numPr>
          <w:ilvl w:val="0"/>
          <w:numId w:val="244"/>
        </w:numPr>
        <w:pStyle w:val="Para 01"/>
      </w:pPr>
      <w:r>
        <w:t>Phân tách báo cáo thu nhập hiện tại của công ty để có được thước đo chính xác hơn về biên lợi nhuận hoạt động của nó.</w:t>
      </w:r>
    </w:p>
    <w:p>
      <w:pPr>
        <w:pStyle w:val="Para 03"/>
      </w:pPr>
      <w:r>
        <w:t>Nhiều công ty khởi nghiệp non trẻ báo cáo thua lỗ không phải vì chi phí hoạt động để tạo ra doanh thu hiện tại của họ lớn, mà vì một phần đáng kể chi phí hoạt động là để theo đuổi tăng trưởng trong tương lai và thực ra nên được coi là chi phí vốn. Vì nhiều khoản chi phí này được ghi nhận là chi phí bán hàng, chi phí chung và chi phí quản lý (SG&amp;A) trong báo cáo thu nhập, nên việc ước tính biên lợi nhuận và khả năng sinh lời trước các khoản chi phí này là một bài tập hữu ích để tìm ra sản phẩm của một công ty thực sự sinh lời đến mức nào.</w:t>
      </w:r>
    </w:p>
    <w:p>
      <w:pPr>
        <w:pStyle w:val="Para 11"/>
      </w:pPr>
      <w:r>
        <w:t/>
        <w:t xml:space="preserve"> </w:t>
      </w:r>
    </w:p>
    <w:p>
      <w:bookmarkStart w:id="4816" w:name="ILLUSTRATION_23_2__Estimating_Su_1"/>
      <w:bookmarkStart w:id="4817" w:name="ILLUSTRATION_23_2__Estimating_Su"/>
      <w:pPr>
        <w:keepNext/>
        <w:pStyle w:val="Para 19"/>
        <w:keepLines w:val="on"/>
      </w:pPr>
      <w:r>
        <w:t>MINH HỌA 23.2: Ước tính biên lợi nhuận bền vững và lộ trình đạt biên lợi nhuận: Airbnb năm 2000</w:t>
      </w:r>
      <w:bookmarkEnd w:id="4816"/>
      <w:bookmarkEnd w:id="4817"/>
    </w:p>
    <w:p>
      <w:pPr>
        <w:pStyle w:val="Para 04"/>
        <w:keepLines w:val="on"/>
      </w:pPr>
      <w:r>
        <w:t>Chúng tôi giả định rằng biên lợi nhuận hoạt động trước thuế của Airbnb, hiện đang ở mức thảm hại là –22,56 phần trăm, sẽ cải thiện lên 25 phần trăm, thấp hơn một chút so với biên lợi nhuận mà Booking.com đạt được, đối thủ duy nhất có quy mô và mô hình kinh doanh tương tự. Trong phần thứ hai, chúng ta có thể xem xét biên lợi nhuận sẽ tiến triển như thế nào theo thời gian; "lộ trình dẫn đến khả năng sinh lời" này có thể gập ghềnh hơn đối với một số công ty so với những công ty khác, với chi phí cố định và cạnh tranh đóng vai trò quan trọng trong việc ước tính. Tích của doanh thu dự phóng và biên lợi nhuận hoạt động kỳ vọng cho ra thu nhập hoạt động kỳ vọng (tính bằng triệu đô la) trong Bảng 23.2:</w:t>
      </w:r>
    </w:p>
    <w:p>
      <w:pPr>
        <w:pStyle w:val="Para 25"/>
        <w:keepLines w:val="on"/>
      </w:pPr>
      <w:r>
        <w:t>Bảng 23.2</w:t>
      </w:r>
    </w:p>
    <w:p>
      <w:pPr>
        <w:keepNext/>
        <w:pStyle w:val="Para 24"/>
        <w:keepLines w:val="on"/>
      </w:pPr>
      <w:r>
        <w:t>Thu nhập hoạt động kỳ vọng của Airbnb (tính bằng triệu đô la)</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Doanh thu</w:t>
                  </w:r>
                </w:p>
              </w:tc>
              <w:tc>
                <w:tcPr>
                  <w:tcW w:type="auto" w:w="0"/>
                  <w:shd w:val="clear" w:color="auto" w:fill="F0F0F0"/>
                </w:tcPr>
                <w:p>
                  <w:pPr>
                    <w:pStyle w:val="Para 32"/>
                    <w:keepLines w:val="on"/>
                  </w:pPr>
                  <w:r>
                    <w:t>Biên lợi nhuận hoạt động</w:t>
                  </w:r>
                </w:p>
              </w:tc>
              <w:tc>
                <w:tcPr>
                  <w:tcW w:type="auto" w:w="0"/>
                  <w:shd w:val="clear" w:color="auto" w:fill="F0F0F0"/>
                </w:tcPr>
                <w:p>
                  <w:pPr>
                    <w:pStyle w:val="Para 05"/>
                    <w:keepLines w:val="on"/>
                  </w:pPr>
                  <w:r>
                    <w:t>Thu nhập hoạt động</w:t>
                  </w:r>
                </w:p>
              </w:tc>
              <w:tc>
                <w:tcPr>
                  <w:tcW w:type="auto" w:w="0"/>
                  <w:shd w:val="clear" w:color="auto" w:fill="F0F0F0"/>
                </w:tcPr>
                <w:p>
                  <w:pPr>
                    <w:pStyle w:val="Para 05"/>
                    <w:keepLines w:val="on"/>
                  </w:pPr>
                  <w:r>
                    <w:t>Thuế suất</w:t>
                  </w:r>
                </w:p>
              </w:tc>
              <w:tc>
                <w:tcPr>
                  <w:tcW w:type="auto" w:w="0"/>
                  <w:shd w:val="clear" w:color="auto" w:fill="F0F0F0"/>
                </w:tcPr>
                <w:p>
                  <w:pPr>
                    <w:pStyle w:val="Para 05"/>
                    <w:keepLines w:val="on"/>
                  </w:pPr>
                  <w:r>
                    <w:t>EBIT(1−t)</w:t>
                  </w:r>
                </w:p>
              </w:tc>
            </w:tr>
            <w:tr>
              <w:tc>
                <w:tcPr>
                  <w:tcW w:type="auto" w:w="0"/>
                  <w:shd w:val="clear" w:color="auto" w:fill="F0F0F0"/>
                </w:tcPr>
                <w:p>
                  <w:pPr>
                    <w:pStyle w:val="Para 02"/>
                    <w:keepLines w:val="on"/>
                  </w:pPr>
                  <w:r>
                    <w:t>Năm cơ sở</w:t>
                  </w:r>
                </w:p>
              </w:tc>
              <w:tc>
                <w:tcPr>
                  <w:tcW w:type="auto" w:w="0"/>
                  <w:shd w:val="clear" w:color="auto" w:fill="F0F0F0"/>
                </w:tcPr>
                <w:p>
                  <w:pPr>
                    <w:pStyle w:val="Normal"/>
                    <w:keepLines w:val="on"/>
                  </w:pPr>
                  <w:r>
                    <w:t>$3,626</w:t>
                  </w:r>
                </w:p>
              </w:tc>
              <w:tc>
                <w:tcPr>
                  <w:tcW w:type="auto" w:w="0"/>
                  <w:shd w:val="clear" w:color="auto" w:fill="F0F0F0"/>
                </w:tcPr>
                <w:p>
                  <w:pPr>
                    <w:pStyle w:val="Normal"/>
                    <w:keepLines w:val="on"/>
                  </w:pPr>
                  <w:r>
                    <w:t>−22,56%</w:t>
                  </w:r>
                </w:p>
              </w:tc>
              <w:tc>
                <w:tcPr>
                  <w:tcW w:type="auto" w:w="0"/>
                  <w:shd w:val="clear" w:color="auto" w:fill="F0F0F0"/>
                </w:tcPr>
                <w:p>
                  <w:pPr>
                    <w:pStyle w:val="Normal"/>
                    <w:keepLines w:val="on"/>
                  </w:pPr>
                  <w:r>
                    <w:t>−$818</w:t>
                  </w:r>
                </w:p>
              </w:tc>
              <w:tc>
                <w:tcPr>
                  <w:tcW w:type="auto" w:w="0"/>
                  <w:shd w:val="clear" w:color="auto" w:fill="F0F0F0"/>
                </w:tcPr>
                <w:p>
                  <w:pPr>
                    <w:pStyle w:val="7 Block"/>
                    <w:keepLines w:val="on"/>
                  </w:pPr>
                </w:p>
              </w:tc>
              <w:tc>
                <w:tcPr>
                  <w:tcW w:type="auto" w:w="0"/>
                  <w:shd w:val="clear" w:color="auto" w:fill="F0F0F0"/>
                </w:tcPr>
                <w:p>
                  <w:pPr>
                    <w:pStyle w:val="Normal"/>
                    <w:keepLines w:val="on"/>
                  </w:pPr>
                  <w:r>
                    <w:t>−$817,96</w:t>
                  </w:r>
                </w:p>
              </w:tc>
            </w:tr>
            <w:tr>
              <w:tc>
                <w:tcPr>
                  <w:tcW w:type="auto" w:w="0"/>
                  <w:shd w:val="clear" w:color="auto" w:fill="F0F0F0"/>
                </w:tcPr>
                <w:p>
                  <w:pPr>
                    <w:pStyle w:val="Para 02"/>
                    <w:keepLines w:val="on"/>
                  </w:pPr>
                  <w:r>
                    <w:t>1</w:t>
                  </w:r>
                </w:p>
              </w:tc>
              <w:tc>
                <w:tcPr>
                  <w:tcW w:type="auto" w:w="0"/>
                  <w:shd w:val="clear" w:color="auto" w:fill="F0F0F0"/>
                </w:tcPr>
                <w:p>
                  <w:pPr>
                    <w:pStyle w:val="Normal"/>
                    <w:keepLines w:val="on"/>
                  </w:pPr>
                  <w:r>
                    <w:t>$4,692</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−$469</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−$469</w:t>
                  </w:r>
                </w:p>
              </w:tc>
            </w:tr>
            <w:tr>
              <w:tc>
                <w:tcPr>
                  <w:tcW w:type="auto" w:w="0"/>
                  <w:shd w:val="clear" w:color="auto" w:fill="F0F0F0"/>
                </w:tcPr>
                <w:p>
                  <w:pPr>
                    <w:pStyle w:val="Para 02"/>
                    <w:keepLines w:val="on"/>
                  </w:pPr>
                  <w:r>
                    <w:t>2</w:t>
                  </w:r>
                </w:p>
              </w:tc>
              <w:tc>
                <w:tcPr>
                  <w:tcW w:type="auto" w:w="0"/>
                  <w:shd w:val="clear" w:color="auto" w:fill="F0F0F0"/>
                </w:tcPr>
                <w:p>
                  <w:pPr>
                    <w:pStyle w:val="Normal"/>
                    <w:keepLines w:val="on"/>
                  </w:pPr>
                  <w:r>
                    <w:t>$5,990</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−$180</w:t>
                  </w:r>
                </w:p>
              </w:tc>
            </w:tr>
            <w:tr>
              <w:tc>
                <w:tcPr>
                  <w:tcW w:type="auto" w:w="0"/>
                  <w:shd w:val="clear" w:color="auto" w:fill="F0F0F0"/>
                </w:tcPr>
                <w:p>
                  <w:pPr>
                    <w:pStyle w:val="Para 02"/>
                    <w:keepLines w:val="on"/>
                  </w:pPr>
                  <w:r>
                    <w:t>3</w:t>
                  </w:r>
                </w:p>
              </w:tc>
              <w:tc>
                <w:tcPr>
                  <w:tcW w:type="auto" w:w="0"/>
                  <w:shd w:val="clear" w:color="auto" w:fill="F0F0F0"/>
                </w:tcPr>
                <w:p>
                  <w:pPr>
                    <w:pStyle w:val="Normal"/>
                    <w:keepLines w:val="on"/>
                  </w:pPr>
                  <w:r>
                    <w:t>$7,565</w:t>
                  </w:r>
                </w:p>
              </w:tc>
              <w:tc>
                <w:tcPr>
                  <w:tcW w:type="auto" w:w="0"/>
                  <w:shd w:val="clear" w:color="auto" w:fill="F0F0F0"/>
                </w:tcPr>
                <w:p>
                  <w:pPr>
                    <w:pStyle w:val="Normal"/>
                    <w:keepLines w:val="on"/>
                  </w:pPr>
                  <w:r>
                    <w:t>0,50%</w:t>
                  </w:r>
                </w:p>
              </w:tc>
              <w:tc>
                <w:tcPr>
                  <w:tcW w:type="auto" w:w="0"/>
                  <w:shd w:val="clear" w:color="auto" w:fill="F0F0F0"/>
                </w:tcPr>
                <w:p>
                  <w:pPr>
                    <w:pStyle w:val="Normal"/>
                    <w:keepLines w:val="on"/>
                  </w:pPr>
                  <w:r>
                    <w:t>$38</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$38</w:t>
                  </w:r>
                </w:p>
              </w:tc>
            </w:tr>
            <w:tr>
              <w:tc>
                <w:tcPr>
                  <w:tcW w:type="auto" w:w="0"/>
                  <w:shd w:val="clear" w:color="auto" w:fill="F0F0F0"/>
                </w:tcPr>
                <w:p>
                  <w:pPr>
                    <w:pStyle w:val="Para 02"/>
                    <w:keepLines w:val="on"/>
                  </w:pPr>
                  <w:r>
                    <w:t>4</w:t>
                  </w:r>
                </w:p>
              </w:tc>
              <w:tc>
                <w:tcPr>
                  <w:tcW w:type="auto" w:w="0"/>
                  <w:shd w:val="clear" w:color="auto" w:fill="F0F0F0"/>
                </w:tcPr>
                <w:p>
                  <w:pPr>
                    <w:pStyle w:val="Normal"/>
                    <w:keepLines w:val="on"/>
                  </w:pPr>
                  <w:r>
                    <w:t>$9,555</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$382</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$382</w:t>
                  </w:r>
                </w:p>
              </w:tc>
            </w:tr>
            <w:tr>
              <w:tc>
                <w:tcPr>
                  <w:tcW w:type="auto" w:w="0"/>
                  <w:shd w:val="clear" w:color="auto" w:fill="F0F0F0"/>
                </w:tcPr>
                <w:p>
                  <w:pPr>
                    <w:pStyle w:val="Para 02"/>
                    <w:keepLines w:val="on"/>
                  </w:pPr>
                  <w:r>
                    <w:t>5</w:t>
                  </w:r>
                </w:p>
              </w:tc>
              <w:tc>
                <w:tcPr>
                  <w:tcW w:type="auto" w:w="0"/>
                  <w:shd w:val="clear" w:color="auto" w:fill="F0F0F0"/>
                </w:tcPr>
                <w:p>
                  <w:pPr>
                    <w:pStyle w:val="Normal"/>
                    <w:keepLines w:val="on"/>
                  </w:pPr>
                  <w:r>
                    <w:t>$12.066</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$905</w:t>
                  </w:r>
                </w:p>
              </w:tc>
              <w:tc>
                <w:tcPr>
                  <w:tcW w:type="auto" w:w="0"/>
                  <w:shd w:val="clear" w:color="auto" w:fill="F0F0F0"/>
                </w:tcPr>
                <w:p>
                  <w:pPr>
                    <w:pStyle w:val="Normal"/>
                    <w:keepLines w:val="on"/>
                  </w:pPr>
                  <w:r>
                    <w:t>14,05%</w:t>
                  </w:r>
                </w:p>
              </w:tc>
              <w:tc>
                <w:tcPr>
                  <w:tcW w:type="auto" w:w="0"/>
                  <w:shd w:val="clear" w:color="auto" w:fill="F0F0F0"/>
                </w:tcPr>
                <w:p>
                  <w:pPr>
                    <w:pStyle w:val="Normal"/>
                    <w:keepLines w:val="on"/>
                  </w:pPr>
                  <w:r>
                    <w:t>$778</w:t>
                  </w:r>
                </w:p>
              </w:tc>
            </w:tr>
            <w:tr>
              <w:tc>
                <w:tcPr>
                  <w:tcW w:type="auto" w:w="0"/>
                  <w:shd w:val="clear" w:color="auto" w:fill="F0F0F0"/>
                </w:tcPr>
                <w:p>
                  <w:pPr>
                    <w:pStyle w:val="Para 02"/>
                    <w:keepLines w:val="on"/>
                  </w:pPr>
                  <w:r>
                    <w:t>6</w:t>
                  </w:r>
                </w:p>
              </w:tc>
              <w:tc>
                <w:tcPr>
                  <w:tcW w:type="auto" w:w="0"/>
                  <w:shd w:val="clear" w:color="auto" w:fill="F0F0F0"/>
                </w:tcPr>
                <w:p>
                  <w:pPr>
                    <w:pStyle w:val="Normal"/>
                    <w:keepLines w:val="on"/>
                  </w:pPr>
                  <w:r>
                    <w:t>$14.674</w:t>
                  </w:r>
                </w:p>
              </w:tc>
              <w:tc>
                <w:tcPr>
                  <w:tcW w:type="auto" w:w="0"/>
                  <w:shd w:val="clear" w:color="auto" w:fill="F0F0F0"/>
                </w:tcPr>
                <w:p>
                  <w:pPr>
                    <w:pStyle w:val="Normal"/>
                    <w:keepLines w:val="on"/>
                  </w:pPr>
                  <w:r>
                    <w:t>5,98%</w:t>
                  </w:r>
                </w:p>
              </w:tc>
              <w:tc>
                <w:tcPr>
                  <w:tcW w:type="auto" w:w="0"/>
                  <w:shd w:val="clear" w:color="auto" w:fill="F0F0F0"/>
                </w:tcPr>
                <w:p>
                  <w:pPr>
                    <w:pStyle w:val="Normal"/>
                    <w:keepLines w:val="on"/>
                  </w:pPr>
                  <w:r>
                    <w:t>$878</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$658</w:t>
                  </w:r>
                </w:p>
              </w:tc>
            </w:tr>
            <w:tr>
              <w:tc>
                <w:tcPr>
                  <w:tcW w:type="auto" w:w="0"/>
                  <w:shd w:val="clear" w:color="auto" w:fill="F0F0F0"/>
                </w:tcPr>
                <w:p>
                  <w:pPr>
                    <w:pStyle w:val="Para 02"/>
                    <w:keepLines w:val="on"/>
                  </w:pPr>
                  <w:r>
                    <w:t>7</w:t>
                  </w:r>
                </w:p>
              </w:tc>
              <w:tc>
                <w:tcPr>
                  <w:tcW w:type="auto" w:w="0"/>
                  <w:shd w:val="clear" w:color="auto" w:fill="F0F0F0"/>
                </w:tcPr>
                <w:p>
                  <w:pPr>
                    <w:pStyle w:val="Normal"/>
                    <w:keepLines w:val="on"/>
                  </w:pPr>
                  <w:r>
                    <w:t>$17.163</w:t>
                  </w:r>
                </w:p>
              </w:tc>
              <w:tc>
                <w:tcPr>
                  <w:tcW w:type="auto" w:w="0"/>
                  <w:shd w:val="clear" w:color="auto" w:fill="F0F0F0"/>
                </w:tcPr>
                <w:p>
                  <w:pPr>
                    <w:pStyle w:val="Normal"/>
                    <w:keepLines w:val="on"/>
                  </w:pPr>
                  <w:r>
                    <w:t>10,73%</w:t>
                  </w:r>
                </w:p>
              </w:tc>
              <w:tc>
                <w:tcPr>
                  <w:tcW w:type="auto" w:w="0"/>
                  <w:shd w:val="clear" w:color="auto" w:fill="F0F0F0"/>
                </w:tcPr>
                <w:p>
                  <w:pPr>
                    <w:pStyle w:val="Normal"/>
                    <w:keepLines w:val="on"/>
                  </w:pPr>
                  <w:r>
                    <w:t>$1.842</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$1.381</w:t>
                  </w:r>
                </w:p>
              </w:tc>
            </w:tr>
            <w:tr>
              <w:tc>
                <w:tcPr>
                  <w:tcW w:type="auto" w:w="0"/>
                  <w:shd w:val="clear" w:color="auto" w:fill="F0F0F0"/>
                </w:tcPr>
                <w:p>
                  <w:pPr>
                    <w:pStyle w:val="Para 02"/>
                    <w:keepLines w:val="on"/>
                  </w:pPr>
                  <w:r>
                    <w:t>8</w:t>
                  </w:r>
                </w:p>
              </w:tc>
              <w:tc>
                <w:tcPr>
                  <w:tcW w:type="auto" w:w="0"/>
                  <w:shd w:val="clear" w:color="auto" w:fill="F0F0F0"/>
                </w:tcPr>
                <w:p>
                  <w:pPr>
                    <w:pStyle w:val="Normal"/>
                    <w:keepLines w:val="on"/>
                  </w:pPr>
                  <w:r>
                    <w:t>$19.275</w:t>
                  </w:r>
                </w:p>
              </w:tc>
              <w:tc>
                <w:tcPr>
                  <w:tcW w:type="auto" w:w="0"/>
                  <w:shd w:val="clear" w:color="auto" w:fill="F0F0F0"/>
                </w:tcPr>
                <w:p>
                  <w:pPr>
                    <w:pStyle w:val="Normal"/>
                    <w:keepLines w:val="on"/>
                  </w:pPr>
                  <w:r>
                    <w:t>15,49%</w:t>
                  </w:r>
                </w:p>
              </w:tc>
              <w:tc>
                <w:tcPr>
                  <w:tcW w:type="auto" w:w="0"/>
                  <w:shd w:val="clear" w:color="auto" w:fill="F0F0F0"/>
                </w:tcPr>
                <w:p>
                  <w:pPr>
                    <w:pStyle w:val="Normal"/>
                    <w:keepLines w:val="on"/>
                  </w:pPr>
                  <w:r>
                    <w:t>$2.986</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2.239 đô la</w:t>
                  </w:r>
                </w:p>
              </w:tc>
            </w:tr>
            <w:tr>
              <w:tc>
                <w:tcPr>
                  <w:tcW w:type="auto" w:w="0"/>
                  <w:shd w:val="clear" w:color="auto" w:fill="F0F0F0"/>
                </w:tcPr>
                <w:p>
                  <w:pPr>
                    <w:pStyle w:val="Para 02"/>
                    <w:keepLines w:val="on"/>
                  </w:pPr>
                  <w:r>
                    <w:t>9</w:t>
                  </w:r>
                </w:p>
              </w:tc>
              <w:tc>
                <w:tcPr>
                  <w:tcW w:type="auto" w:w="0"/>
                  <w:shd w:val="clear" w:color="auto" w:fill="F0F0F0"/>
                </w:tcPr>
                <w:p>
                  <w:pPr>
                    <w:pStyle w:val="Normal"/>
                    <w:keepLines w:val="on"/>
                  </w:pPr>
                  <w:r>
                    <w:t>20.749 đô la</w:t>
                  </w:r>
                </w:p>
              </w:tc>
              <w:tc>
                <w:tcPr>
                  <w:tcW w:type="auto" w:w="0"/>
                  <w:shd w:val="clear" w:color="auto" w:fill="F0F0F0"/>
                </w:tcPr>
                <w:p>
                  <w:pPr>
                    <w:pStyle w:val="Normal"/>
                    <w:keepLines w:val="on"/>
                  </w:pPr>
                  <w:r>
                    <w:t>20,24%</w:t>
                  </w:r>
                </w:p>
              </w:tc>
              <w:tc>
                <w:tcPr>
                  <w:tcW w:type="auto" w:w="0"/>
                  <w:shd w:val="clear" w:color="auto" w:fill="F0F0F0"/>
                </w:tcPr>
                <w:p>
                  <w:pPr>
                    <w:pStyle w:val="Normal"/>
                    <w:keepLines w:val="on"/>
                  </w:pPr>
                  <w:r>
                    <w:t>4.200 đô la</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3.150 đô la</w:t>
                  </w:r>
                </w:p>
              </w:tc>
            </w:tr>
            <w:tr>
              <w:tc>
                <w:tcPr>
                  <w:tcW w:type="auto" w:w="0"/>
                  <w:shd w:val="clear" w:color="auto" w:fill="F0F0F0"/>
                </w:tcPr>
                <w:p>
                  <w:pPr>
                    <w:pStyle w:val="Para 02"/>
                    <w:keepLines w:val="on"/>
                  </w:pPr>
                  <w:r>
                    <w:t>10</w:t>
                  </w:r>
                </w:p>
              </w:tc>
              <w:tc>
                <w:tcPr>
                  <w:tcW w:type="auto" w:w="0"/>
                  <w:shd w:val="clear" w:color="auto" w:fill="F0F0F0"/>
                </w:tcPr>
                <w:p>
                  <w:pPr>
                    <w:pStyle w:val="Normal"/>
                    <w:keepLines w:val="on"/>
                  </w:pPr>
                  <w:r>
                    <w:t>21.370 đô la</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5.343 đô la</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4.007 đô la</w:t>
                  </w:r>
                </w:p>
              </w:tc>
            </w:tr>
            <w:tr>
              <w:tc>
                <w:tcPr>
                  <w:tcW w:type="auto" w:w="0"/>
                  <w:shd w:val="clear" w:color="auto" w:fill="F0F0F0"/>
                </w:tcPr>
                <w:p>
                  <w:pPr>
                    <w:pStyle w:val="Para 02"/>
                    <w:keepLines w:val="on"/>
                  </w:pPr>
                  <w:r>
                    <w:t>Năm cuối</w:t>
                  </w:r>
                </w:p>
              </w:tc>
              <w:tc>
                <w:tcPr>
                  <w:tcW w:type="auto" w:w="0"/>
                  <w:shd w:val="clear" w:color="auto" w:fill="F0F0F0"/>
                </w:tcPr>
                <w:p>
                  <w:pPr>
                    <w:pStyle w:val="Normal"/>
                    <w:keepLines w:val="on"/>
                  </w:pPr>
                  <w:r>
                    <w:t>21.797 đô la</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5.449 đô la</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4.087 đô la</w:t>
                  </w:r>
                </w:p>
              </w:tc>
            </w:tr>
          </w:tbl>
          <w:p/>
        </w:tc>
      </w:tr>
    </w:tbl>
    <w:p>
      <w:pPr>
        <w:pStyle w:val="Para 04"/>
        <w:keepLines w:val="on"/>
      </w:pPr>
      <w:r>
        <w:t>Để ước tính số thuế phải nộp trên khoản thu nhập này, hãy cân nhắc khả năng chuyển lỗ hoạt động từ các năm trước sang để bù trừ thu nhập trong những năm sau. Khoản lỗ hoạt động ròng 167,6 triệu đô la mà Airbnb đã tích lũy trong quá khứ và những khoản lỗ dự kiến phát sinh trong hai năm tới sẽ giúp công ty tránh được thuế cho đến năm thứ sáu.</w:t>
      </w:r>
    </w:p>
    <w:p>
      <w:bookmarkStart w:id="4820" w:name="Step_4__Estimate_Reinvestment_to"/>
      <w:bookmarkStart w:id="4821" w:name="Step_4__Estimate_Reinvestment_to_1"/>
      <w:pPr>
        <w:keepNext/>
        <w:pStyle w:val="Heading 3"/>
        <w:keepLines w:val="on"/>
      </w:pPr>
      <w:r>
        <w:t>Bước 4: Ước tính khoản tái đầu tư để tạo ra tăng trưởng</w:t>
      </w:r>
      <w:bookmarkEnd w:id="4820"/>
      <w:bookmarkEnd w:id="4821"/>
    </w:p>
    <w:p>
      <w:pPr>
        <w:pStyle w:val="Para 03"/>
      </w:pPr>
      <w:r>
        <w:t>Để tăng trưởng, các công ty phải tái đầu tư, và nguyên tắc này không thể bỏ qua khi bạn đang xem xét một công ty non trẻ. Tuy nhiên, khác với một công ty trưởng thành, lịch sử của công ty non trẻ này có thể sẽ chẳng giúp được gì nhiều trong việc xác định công ty cần tái đầu tư bao nhiêu. Khi công ty lớn lên, bản chất của việc tái đầu tư và số tiền tái đầu tư có thể sẽ thay đổi, và thách thức nằm ở việc ước tính khoản tiền này.</w:t>
      </w:r>
    </w:p>
    <w:p>
      <w:pPr>
        <w:pStyle w:val="Para 03"/>
      </w:pPr>
      <w:r>
        <w:t>Chương 11 liên hệ tăng trưởng thu nhập hoạt động với việc công ty tái đầu tư bao nhiêu và tái đầu tư hiệu quả đến đâu (đo bằng tỷ suất sinh lợi trên vốn).</w:t>
      </w:r>
    </w:p>
    <w:p>
      <w:bookmarkStart w:id="4822" w:name="Expected_growth_Reinvestment_rat"/>
      <w:pPr>
        <w:keepNext/>
        <w:pStyle w:val="Para 09"/>
        <w:keepLines w:val="on"/>
      </w:pPr>
      <w:r>
        <w:t>Tăng trưởng kỳ vọng = Tỷ lệ tái đầu tư × Tỷ suất sinh lợi trên vốn</w:t>
      </w:r>
      <w:bookmarkEnd w:id="4822"/>
    </w:p>
    <w:p>
      <w:pPr>
        <w:pStyle w:val="Para 03"/>
      </w:pPr>
      <w:r>
        <w:t>Thực tế, phương trình này đã được dùng để ước tính tăng trưởng trong hầu hết các định giá thực hiện xuyên suốt cuốn sách này. Tuy nhiên, lưu ý rằng phương trình này trở nên bất khả thi khi lợi nhuận hoạt động âm, đúng vào tình huống mà chúng ta gặp phải khi định giá các công ty non trẻ. Trong những trường hợp đó, tăng trưởng doanh thu phải được ước tính trước, và việc tái đầu tư phải dựa trên tăng trưởng doanh thu. Để tạo mối liên kết này, chúng ta dùng tỷ lệ doanh thu trên vốn (sales-to-capital ratio), tức là một tỷ lệ cho biết mỗi đô-la vốn đầu tư thêm sẽ tạo ra bao nhiêu đô-la doanh thu tăng thêm:</w:t>
      </w:r>
    </w:p>
    <w:p>
      <w:bookmarkStart w:id="4824" w:name="Expected_reinvestment_Expected_c"/>
      <w:pPr>
        <w:keepNext/>
        <w:pStyle w:val="Para 09"/>
        <w:keepLines w:val="on"/>
      </w:pPr>
      <w:r>
        <w:t>Tái đầu tư kỳ vọng = Thay đổi doanh thu kỳ vọng / Doanh thu trên vốn đầu tư</w:t>
      </w:r>
      <w:bookmarkEnd w:id="4824"/>
    </w:p>
    <w:p>
      <w:pPr>
        <w:pStyle w:val="Para 03"/>
      </w:pPr>
      <w:r>
        <w:t>Ví dụ, để tăng doanh thu thêm 1 tỷ đô-la, với tỷ lệ doanh thu trên vốn là 4, sẽ cần tái đầu tư 250 triệu đô-la. Yếu tố đầu vào then chốt cần cho công thức này là tỷ lệ doanh thu trên vốn, và nó có thể được ước tính bằng cách xem xét lịch sử của công ty, dù có thể còn hạn chế, và các mức trung bình ngành, với ngành được định nghĩa rộng để phản ánh đúng lĩnh vực kinh doanh mà công ty đang hoạt động.</w:t>
      </w:r>
    </w:p>
    <w:p>
      <w:pPr>
        <w:pStyle w:val="Para 03"/>
      </w:pPr>
      <w:r>
        <w:t>Tuy nhiên, ở trạng thái ổn định (steady state), nhu cầu tái đầu tư có thể được tính bằng tốc độ tăng trưởng kỳ vọng và tỷ suất sinh lời trên vốn đầu tư kỳ vọng:</w:t>
      </w:r>
    </w:p>
    <w:p>
      <w:bookmarkStart w:id="4825" w:name="Expected_reinvestment_rate_Expec"/>
      <w:pPr>
        <w:keepNext/>
        <w:pStyle w:val="Para 09"/>
        <w:keepLines w:val="on"/>
      </w:pPr>
      <w:r>
        <w:t>Tỷ lệ tái đầu tư kỳ vọng = Tốc độ tăng trưởng ổn định kỳ vọng / ROIC ở trạng thái tăng trưởng ổn định</w:t>
      </w:r>
      <w:bookmarkEnd w:id="4825"/>
    </w:p>
    <w:p>
      <w:pPr>
        <w:pStyle w:val="Para 03"/>
      </w:pPr>
      <w:r>
        <w:t>Một cách tiếp cận khác là dùng tỷ lệ tái đầu tư trung bình ngành (được tách ra thành chi tiêu vốn và nhu cầu vốn lưu động) để ước tính dòng tiền.</w:t>
      </w:r>
    </w:p>
    <w:p>
      <w:pPr>
        <w:pStyle w:val="Para 11"/>
      </w:pPr>
      <w:r>
        <w:t/>
        <w:t xml:space="preserve"> </w:t>
      </w:r>
    </w:p>
    <w:p>
      <w:bookmarkStart w:id="4826" w:name="ILLUSTRATION_23_3__Estimating_Re"/>
      <w:bookmarkStart w:id="4827" w:name="ILLUSTRATION_23_3__Estimating_Re_1"/>
      <w:pPr>
        <w:keepNext/>
        <w:pStyle w:val="Para 19"/>
        <w:keepLines w:val="on"/>
      </w:pPr>
      <w:r>
        <w:t>MINH HỌA 23.3: Ước tính nhu cầu tái đầu tư—Aribnb</w:t>
      </w:r>
      <w:bookmarkEnd w:id="4826"/>
      <w:bookmarkEnd w:id="4827"/>
    </w:p>
    <w:p>
      <w:pPr>
        <w:pStyle w:val="Para 04"/>
        <w:keepLines w:val="on"/>
      </w:pPr>
      <w:r>
        <w:t>Airbnb là một bên trung gian, và dù điều đó có thể gợi ý rằng công ty không thâm dụng vốn, sự tăng trưởng của nó đi kèm với những khoản tái đầu tư đáng kể, không chỉ vào công nghệ nền tảng mà còn vào các thương vụ mua lại mà công ty đã thực hiện để tạo tăng trưởng nhanh chóng và gia tăng thêm người dùng. Dựa trên lịch sử tái đầu tư của Airbnb và việc tái đầu tư của các đối thủ cạnh tranh (Expedia và Booking), chúng tôi ước tính rằng cứ mỗi 2,00 đô-la doanh thu tăng thêm sẽ cần một đô-la vốn đầu tư. Để đi đến dòng tiền tự do, chúng tôi ước tính tái đầu tư mỗi năm, và trừ khoản tái đầu tư đó ra khỏi lợi nhuận hoạt động sau thuế (với mọi giá trị đô-la tính bằng triệu) trong Bảng 23.3:</w:t>
      </w:r>
    </w:p>
    <w:p>
      <w:pPr>
        <w:pStyle w:val="Para 25"/>
        <w:keepLines w:val="on"/>
      </w:pPr>
      <w:r>
        <w:t>Bảng 23.3</w:t>
      </w:r>
    </w:p>
    <w:p>
      <w:pPr>
        <w:keepNext/>
        <w:pStyle w:val="Para 24"/>
        <w:keepLines w:val="on"/>
      </w:pPr>
      <w:r>
        <w:t>FCFF kỳ vọng cho Airbnb (tính bằng triệu $)</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Doanh thu</w:t>
                  </w:r>
                </w:p>
              </w:tc>
              <w:tc>
                <w:tcPr>
                  <w:tcW w:type="auto" w:w="0"/>
                  <w:shd w:val="clear" w:color="auto" w:fill="F0F0F0"/>
                </w:tcPr>
                <w:p>
                  <w:pPr>
                    <w:pStyle w:val="Para 05"/>
                    <w:keepLines w:val="on"/>
                  </w:pPr>
                  <w:r>
                    <w:t>Thay đổi doanh thu</w:t>
                  </w:r>
                </w:p>
              </w:tc>
              <w:tc>
                <w:tcPr>
                  <w:tcW w:type="auto" w:w="0"/>
                  <w:shd w:val="clear" w:color="auto" w:fill="F0F0F0"/>
                </w:tcPr>
                <w:p>
                  <w:pPr>
                    <w:pStyle w:val="Para 05"/>
                    <w:keepLines w:val="on"/>
                  </w:pPr>
                  <w:r>
                    <w:t>EBIT(1−t)</w:t>
                  </w:r>
                </w:p>
              </w:tc>
              <w:tc>
                <w:tcPr>
                  <w:tcW w:type="auto" w:w="0"/>
                  <w:shd w:val="clear" w:color="auto" w:fill="F0F0F0"/>
                </w:tcPr>
                <w:p>
                  <w:pPr>
                    <w:pStyle w:val="Para 05"/>
                    <w:keepLines w:val="on"/>
                  </w:pPr>
                  <w:r>
                    <w:t>Doanh thu trên vốn</w:t>
                  </w:r>
                </w:p>
              </w:tc>
              <w:tc>
                <w:tcPr>
                  <w:tcW w:type="auto" w:w="0"/>
                  <w:shd w:val="clear" w:color="auto" w:fill="F0F0F0"/>
                </w:tcPr>
                <w:p>
                  <w:pPr>
                    <w:pStyle w:val="Para 05"/>
                    <w:keepLines w:val="on"/>
                  </w:pPr>
                  <w:r>
                    <w:t>Tái đầu tư</w:t>
                  </w:r>
                </w:p>
              </w:tc>
              <w:tc>
                <w:tcPr>
                  <w:tcW w:type="auto" w:w="0"/>
                  <w:shd w:val="clear" w:color="auto" w:fill="F0F0F0"/>
                </w:tcPr>
                <w:p>
                  <w:pPr>
                    <w:pStyle w:val="Para 05"/>
                    <w:keepLines w:val="on"/>
                  </w:pPr>
                  <w:r>
                    <w:t>FCFF</w:t>
                  </w:r>
                </w:p>
              </w:tc>
            </w:tr>
            <w:tr>
              <w:tc>
                <w:tcPr>
                  <w:tcW w:type="auto" w:w="0"/>
                  <w:shd w:val="clear" w:color="auto" w:fill="F0F0F0"/>
                </w:tcPr>
                <w:p>
                  <w:pPr>
                    <w:pStyle w:val="Para 02"/>
                    <w:keepLines w:val="on"/>
                  </w:pPr>
                  <w:r>
                    <w:t>Năm cơ sở</w:t>
                  </w:r>
                </w:p>
              </w:tc>
              <w:tc>
                <w:tcPr>
                  <w:tcW w:type="auto" w:w="0"/>
                  <w:shd w:val="clear" w:color="auto" w:fill="F0F0F0"/>
                </w:tcPr>
                <w:p>
                  <w:pPr>
                    <w:pStyle w:val="Normal"/>
                    <w:keepLines w:val="on"/>
                  </w:pPr>
                  <w:r>
                    <w:t>$3.626</w:t>
                  </w:r>
                </w:p>
              </w:tc>
              <w:tc>
                <w:tcPr>
                  <w:tcW w:type="auto" w:w="0"/>
                  <w:shd w:val="clear" w:color="auto" w:fill="F0F0F0"/>
                </w:tcPr>
                <w:p>
                  <w:pPr>
                    <w:pStyle w:val="7 Block"/>
                    <w:keepLines w:val="on"/>
                  </w:pPr>
                </w:p>
              </w:tc>
              <w:tc>
                <w:tcPr>
                  <w:tcW w:type="auto" w:w="0"/>
                  <w:shd w:val="clear" w:color="auto" w:fill="F0F0F0"/>
                </w:tcPr>
                <w:p>
                  <w:pPr>
                    <w:pStyle w:val="Normal"/>
                    <w:keepLines w:val="on"/>
                  </w:pPr>
                  <w:r>
                    <w:t>($818)</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$4.692</w:t>
                  </w:r>
                </w:p>
              </w:tc>
              <w:tc>
                <w:tcPr>
                  <w:tcW w:type="auto" w:w="0"/>
                  <w:shd w:val="clear" w:color="auto" w:fill="F0F0F0"/>
                </w:tcPr>
                <w:p>
                  <w:pPr>
                    <w:pStyle w:val="Normal"/>
                    <w:keepLines w:val="on"/>
                  </w:pPr>
                  <w:r>
                    <w:t>$1.066</w:t>
                  </w:r>
                </w:p>
              </w:tc>
              <w:tc>
                <w:tcPr>
                  <w:tcW w:type="auto" w:w="0"/>
                  <w:shd w:val="clear" w:color="auto" w:fill="F0F0F0"/>
                </w:tcPr>
                <w:p>
                  <w:pPr>
                    <w:pStyle w:val="Normal"/>
                    <w:keepLines w:val="on"/>
                  </w:pPr>
                  <w:r>
                    <w:t>($469)</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$533</w:t>
                  </w:r>
                </w:p>
              </w:tc>
              <w:tc>
                <w:tcPr>
                  <w:tcW w:type="auto" w:w="0"/>
                  <w:shd w:val="clear" w:color="auto" w:fill="F0F0F0"/>
                </w:tcPr>
                <w:p>
                  <w:pPr>
                    <w:pStyle w:val="Normal"/>
                    <w:keepLines w:val="on"/>
                  </w:pPr>
                  <w:r>
                    <w:t>($1,002)</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$5,990</w:t>
                  </w:r>
                </w:p>
              </w:tc>
              <w:tc>
                <w:tcPr>
                  <w:tcW w:type="auto" w:w="0"/>
                  <w:shd w:val="clear" w:color="auto" w:fill="F0F0F0"/>
                </w:tcPr>
                <w:p>
                  <w:pPr>
                    <w:pStyle w:val="Normal"/>
                    <w:keepLines w:val="on"/>
                  </w:pPr>
                  <w:r>
                    <w:t>$1,298</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$649</w:t>
                  </w:r>
                </w:p>
              </w:tc>
              <w:tc>
                <w:tcPr>
                  <w:tcW w:type="auto" w:w="0"/>
                  <w:shd w:val="clear" w:color="auto" w:fill="F0F0F0"/>
                </w:tcPr>
                <w:p>
                  <w:pPr>
                    <w:pStyle w:val="Normal"/>
                    <w:keepLines w:val="on"/>
                  </w:pPr>
                  <w:r>
                    <w:t>($829)</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$7,565</w:t>
                  </w:r>
                </w:p>
              </w:tc>
              <w:tc>
                <w:tcPr>
                  <w:tcW w:type="auto" w:w="0"/>
                  <w:shd w:val="clear" w:color="auto" w:fill="F0F0F0"/>
                </w:tcPr>
                <w:p>
                  <w:pPr>
                    <w:pStyle w:val="Normal"/>
                    <w:keepLines w:val="on"/>
                  </w:pPr>
                  <w:r>
                    <w:t>$1,576</w:t>
                  </w:r>
                </w:p>
              </w:tc>
              <w:tc>
                <w:tcPr>
                  <w:tcW w:type="auto" w:w="0"/>
                  <w:shd w:val="clear" w:color="auto" w:fill="F0F0F0"/>
                </w:tcPr>
                <w:p>
                  <w:pPr>
                    <w:pStyle w:val="Normal"/>
                    <w:keepLines w:val="on"/>
                  </w:pPr>
                  <w:r>
                    <w:t>$38</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$788</w:t>
                  </w:r>
                </w:p>
              </w:tc>
              <w:tc>
                <w:tcPr>
                  <w:tcW w:type="auto" w:w="0"/>
                  <w:shd w:val="clear" w:color="auto" w:fill="F0F0F0"/>
                </w:tcPr>
                <w:p>
                  <w:pPr>
                    <w:pStyle w:val="Normal"/>
                    <w:keepLines w:val="on"/>
                  </w:pPr>
                  <w:r>
                    <w:t>($750)</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$9,555</w:t>
                  </w:r>
                </w:p>
              </w:tc>
              <w:tc>
                <w:tcPr>
                  <w:tcW w:type="auto" w:w="0"/>
                  <w:shd w:val="clear" w:color="auto" w:fill="F0F0F0"/>
                </w:tcPr>
                <w:p>
                  <w:pPr>
                    <w:pStyle w:val="Normal"/>
                    <w:keepLines w:val="on"/>
                  </w:pPr>
                  <w:r>
                    <w:t>$1,989</w:t>
                  </w:r>
                </w:p>
              </w:tc>
              <w:tc>
                <w:tcPr>
                  <w:tcW w:type="auto" w:w="0"/>
                  <w:shd w:val="clear" w:color="auto" w:fill="F0F0F0"/>
                </w:tcPr>
                <w:p>
                  <w:pPr>
                    <w:pStyle w:val="Normal"/>
                    <w:keepLines w:val="on"/>
                  </w:pPr>
                  <w:r>
                    <w:t>$382</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$995</w:t>
                  </w:r>
                </w:p>
              </w:tc>
              <w:tc>
                <w:tcPr>
                  <w:tcW w:type="auto" w:w="0"/>
                  <w:shd w:val="clear" w:color="auto" w:fill="F0F0F0"/>
                </w:tcPr>
                <w:p>
                  <w:pPr>
                    <w:pStyle w:val="Normal"/>
                    <w:keepLines w:val="on"/>
                  </w:pPr>
                  <w:r>
                    <w:t>($612)</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$12,066</w:t>
                  </w:r>
                </w:p>
              </w:tc>
              <w:tc>
                <w:tcPr>
                  <w:tcW w:type="auto" w:w="0"/>
                  <w:shd w:val="clear" w:color="auto" w:fill="F0F0F0"/>
                </w:tcPr>
                <w:p>
                  <w:pPr>
                    <w:pStyle w:val="Normal"/>
                    <w:keepLines w:val="on"/>
                  </w:pPr>
                  <w:r>
                    <w:t>$2,511</w:t>
                  </w:r>
                </w:p>
              </w:tc>
              <w:tc>
                <w:tcPr>
                  <w:tcW w:type="auto" w:w="0"/>
                  <w:shd w:val="clear" w:color="auto" w:fill="F0F0F0"/>
                </w:tcPr>
                <w:p>
                  <w:pPr>
                    <w:pStyle w:val="Normal"/>
                    <w:keepLines w:val="on"/>
                  </w:pPr>
                  <w:r>
                    <w:t>$778</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$1.255</w:t>
                  </w:r>
                </w:p>
              </w:tc>
              <w:tc>
                <w:tcPr>
                  <w:tcW w:type="auto" w:w="0"/>
                  <w:shd w:val="clear" w:color="auto" w:fill="F0F0F0"/>
                </w:tcPr>
                <w:p>
                  <w:pPr>
                    <w:pStyle w:val="Normal"/>
                    <w:keepLines w:val="on"/>
                  </w:pPr>
                  <w:r>
                    <w:t>($478)</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$14.674</w:t>
                  </w:r>
                </w:p>
              </w:tc>
              <w:tc>
                <w:tcPr>
                  <w:tcW w:type="auto" w:w="0"/>
                  <w:shd w:val="clear" w:color="auto" w:fill="F0F0F0"/>
                </w:tcPr>
                <w:p>
                  <w:pPr>
                    <w:pStyle w:val="Normal"/>
                    <w:keepLines w:val="on"/>
                  </w:pPr>
                  <w:r>
                    <w:t>$2.609</w:t>
                  </w:r>
                </w:p>
              </w:tc>
              <w:tc>
                <w:tcPr>
                  <w:tcW w:type="auto" w:w="0"/>
                  <w:shd w:val="clear" w:color="auto" w:fill="F0F0F0"/>
                </w:tcPr>
                <w:p>
                  <w:pPr>
                    <w:pStyle w:val="Normal"/>
                    <w:keepLines w:val="on"/>
                  </w:pPr>
                  <w:r>
                    <w:t>$658</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$1.304</w:t>
                  </w:r>
                </w:p>
              </w:tc>
              <w:tc>
                <w:tcPr>
                  <w:tcW w:type="auto" w:w="0"/>
                  <w:shd w:val="clear" w:color="auto" w:fill="F0F0F0"/>
                </w:tcPr>
                <w:p>
                  <w:pPr>
                    <w:pStyle w:val="Normal"/>
                    <w:keepLines w:val="on"/>
                  </w:pPr>
                  <w:r>
                    <w:t>($647)</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$17.163</w:t>
                  </w:r>
                </w:p>
              </w:tc>
              <w:tc>
                <w:tcPr>
                  <w:tcW w:type="auto" w:w="0"/>
                  <w:shd w:val="clear" w:color="auto" w:fill="F0F0F0"/>
                </w:tcPr>
                <w:p>
                  <w:pPr>
                    <w:pStyle w:val="Normal"/>
                    <w:keepLines w:val="on"/>
                  </w:pPr>
                  <w:r>
                    <w:t>$2.489</w:t>
                  </w:r>
                </w:p>
              </w:tc>
              <w:tc>
                <w:tcPr>
                  <w:tcW w:type="auto" w:w="0"/>
                  <w:shd w:val="clear" w:color="auto" w:fill="F0F0F0"/>
                </w:tcPr>
                <w:p>
                  <w:pPr>
                    <w:pStyle w:val="Normal"/>
                    <w:keepLines w:val="on"/>
                  </w:pPr>
                  <w:r>
                    <w:t>$1.382</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$1.244</w:t>
                  </w:r>
                </w:p>
              </w:tc>
              <w:tc>
                <w:tcPr>
                  <w:tcW w:type="auto" w:w="0"/>
                  <w:shd w:val="clear" w:color="auto" w:fill="F0F0F0"/>
                </w:tcPr>
                <w:p>
                  <w:pPr>
                    <w:pStyle w:val="Normal"/>
                    <w:keepLines w:val="on"/>
                  </w:pPr>
                  <w:r>
                    <w:t>$137</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$19.275</w:t>
                  </w:r>
                </w:p>
              </w:tc>
              <w:tc>
                <w:tcPr>
                  <w:tcW w:type="auto" w:w="0"/>
                  <w:shd w:val="clear" w:color="auto" w:fill="F0F0F0"/>
                </w:tcPr>
                <w:p>
                  <w:pPr>
                    <w:pStyle w:val="Normal"/>
                    <w:keepLines w:val="on"/>
                  </w:pPr>
                  <w:r>
                    <w:t>$2.112</w:t>
                  </w:r>
                </w:p>
              </w:tc>
              <w:tc>
                <w:tcPr>
                  <w:tcW w:type="auto" w:w="0"/>
                  <w:shd w:val="clear" w:color="auto" w:fill="F0F0F0"/>
                </w:tcPr>
                <w:p>
                  <w:pPr>
                    <w:pStyle w:val="Normal"/>
                    <w:keepLines w:val="on"/>
                  </w:pPr>
                  <w:r>
                    <w:t>$2.239</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$1.056</w:t>
                  </w:r>
                </w:p>
              </w:tc>
              <w:tc>
                <w:tcPr>
                  <w:tcW w:type="auto" w:w="0"/>
                  <w:shd w:val="clear" w:color="auto" w:fill="F0F0F0"/>
                </w:tcPr>
                <w:p>
                  <w:pPr>
                    <w:pStyle w:val="Normal"/>
                    <w:keepLines w:val="on"/>
                  </w:pPr>
                  <w:r>
                    <w:t>$1.183</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$20,749</w:t>
                  </w:r>
                </w:p>
              </w:tc>
              <w:tc>
                <w:tcPr>
                  <w:tcW w:type="auto" w:w="0"/>
                  <w:shd w:val="clear" w:color="auto" w:fill="F0F0F0"/>
                </w:tcPr>
                <w:p>
                  <w:pPr>
                    <w:pStyle w:val="Normal"/>
                    <w:keepLines w:val="on"/>
                  </w:pPr>
                  <w:r>
                    <w:t>$1,474</w:t>
                  </w:r>
                </w:p>
              </w:tc>
              <w:tc>
                <w:tcPr>
                  <w:tcW w:type="auto" w:w="0"/>
                  <w:shd w:val="clear" w:color="auto" w:fill="F0F0F0"/>
                </w:tcPr>
                <w:p>
                  <w:pPr>
                    <w:pStyle w:val="Normal"/>
                    <w:keepLines w:val="on"/>
                  </w:pPr>
                  <w:r>
                    <w:t>$3,150</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$737</w:t>
                  </w:r>
                </w:p>
              </w:tc>
              <w:tc>
                <w:tcPr>
                  <w:tcW w:type="auto" w:w="0"/>
                  <w:shd w:val="clear" w:color="auto" w:fill="F0F0F0"/>
                </w:tcPr>
                <w:p>
                  <w:pPr>
                    <w:pStyle w:val="Normal"/>
                    <w:keepLines w:val="on"/>
                  </w:pPr>
                  <w:r>
                    <w:t>$2,413</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$21,370</w:t>
                  </w:r>
                </w:p>
              </w:tc>
              <w:tc>
                <w:tcPr>
                  <w:tcW w:type="auto" w:w="0"/>
                  <w:shd w:val="clear" w:color="auto" w:fill="F0F0F0"/>
                </w:tcPr>
                <w:p>
                  <w:pPr>
                    <w:pStyle w:val="Normal"/>
                    <w:keepLines w:val="on"/>
                  </w:pPr>
                  <w:r>
                    <w:t>$621</w:t>
                  </w:r>
                </w:p>
              </w:tc>
              <w:tc>
                <w:tcPr>
                  <w:tcW w:type="auto" w:w="0"/>
                  <w:shd w:val="clear" w:color="auto" w:fill="F0F0F0"/>
                </w:tcPr>
                <w:p>
                  <w:pPr>
                    <w:pStyle w:val="Normal"/>
                    <w:keepLines w:val="on"/>
                  </w:pPr>
                  <w:r>
                    <w:t>$4,007</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$311</w:t>
                  </w:r>
                </w:p>
              </w:tc>
              <w:tc>
                <w:tcPr>
                  <w:tcW w:type="auto" w:w="0"/>
                  <w:shd w:val="clear" w:color="auto" w:fill="F0F0F0"/>
                </w:tcPr>
                <w:p>
                  <w:pPr>
                    <w:pStyle w:val="Normal"/>
                    <w:keepLines w:val="on"/>
                  </w:pPr>
                  <w:r>
                    <w:t>$3,696</w:t>
                  </w:r>
                </w:p>
              </w:tc>
            </w:tr>
          </w:tbl>
          <w:p/>
        </w:tc>
      </w:tr>
    </w:tbl>
    <w:p>
      <w:pPr>
        <w:pStyle w:val="Para 04"/>
        <w:keepLines w:val="on"/>
      </w:pPr>
      <w:r>
        <w:t>Chúng tôi không cố gắng chia nhỏ việc tái đầu tư thành các phần cấu thành của nó—chi tiêu vốn, R&amp;D, thương vụ mua lại và vốn lưu động—vì chúng tôi biết quá ít về cách công ty sẽ phát triển theo thời gian. Chúng tôi cũng giả định rằng việc tái đầu tư, vì nó diễn ra dưới hình thức mua lại, sẽ tạo ra tăng trưởng doanh thu ngay trong cùng kỳ. Nếu có độ trễ giữa tái đầu tư và tăng trưởng, bạn có thể đưa nó vào dự báo của mình.3</w:t>
      </w:r>
    </w:p>
    <w:p>
      <w:pPr>
        <w:pStyle w:val="Para 04"/>
        <w:keepLines w:val="on"/>
      </w:pPr>
      <w:r>
        <w:t>Một trong những nguy hiểm của việc ước tính tái đầu tư độc lập với thu nhập hoạt động (điều mà chúng tôi đã làm) là các ước tính của chúng tôi có thể trở nên mâu thuẫn nội bộ theo thời gian. Để đảm bảo rằng lợi nhuận trên vốn kỳ vọng khi công ty trưởng thành là một con số mà chúng tôi có thể chấp nhận được, chúng tôi đã ước tính lợi nhuận trên vốn ngầm định mỗi năm (với giá trị đô la tính bằng triệu) trong Bảng 23.4:4</w:t>
      </w:r>
    </w:p>
    <w:p>
      <w:pPr>
        <w:pStyle w:val="Para 25"/>
        <w:keepLines w:val="on"/>
      </w:pPr>
      <w:r>
        <w:t>Bảng 23.4</w:t>
      </w:r>
    </w:p>
    <w:p>
      <w:pPr>
        <w:keepNext/>
        <w:pStyle w:val="Para 24"/>
        <w:keepLines w:val="on"/>
      </w:pPr>
      <w:r>
        <w:t>Tái đầu tư và ROIC ngầm định cho Airbnb (tính bằng $ triệu)</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EBIT(1−t)</w:t>
                  </w:r>
                </w:p>
              </w:tc>
              <w:tc>
                <w:tcPr>
                  <w:tcW w:type="auto" w:w="0"/>
                  <w:shd w:val="clear" w:color="auto" w:fill="F0F0F0"/>
                </w:tcPr>
                <w:p>
                  <w:pPr>
                    <w:pStyle w:val="Para 05"/>
                    <w:keepLines w:val="on"/>
                  </w:pPr>
                  <w:r>
                    <w:t>Tái đầu tư</w:t>
                  </w:r>
                </w:p>
              </w:tc>
              <w:tc>
                <w:tcPr>
                  <w:tcW w:type="auto" w:w="0"/>
                  <w:shd w:val="clear" w:color="auto" w:fill="F0F0F0"/>
                </w:tcPr>
                <w:p>
                  <w:pPr>
                    <w:pStyle w:val="Para 05"/>
                    <w:keepLines w:val="on"/>
                  </w:pPr>
                  <w:r>
                    <w:t>Vốn đầu tư (cuối năm)</w:t>
                  </w:r>
                </w:p>
              </w:tc>
              <w:tc>
                <w:tcPr>
                  <w:tcW w:type="auto" w:w="0"/>
                  <w:shd w:val="clear" w:color="auto" w:fill="F0F0F0"/>
                </w:tcPr>
                <w:p>
                  <w:pPr>
                    <w:pStyle w:val="Para 05"/>
                    <w:keepLines w:val="on"/>
                  </w:pPr>
                  <w:r>
                    <w:t>ROIC</w:t>
                  </w:r>
                </w:p>
              </w:tc>
            </w:tr>
            <w:tr>
              <w:tc>
                <w:tcPr>
                  <w:tcW w:type="auto" w:w="0"/>
                  <w:shd w:val="clear" w:color="auto" w:fill="F0F0F0"/>
                </w:tcPr>
                <w:p>
                  <w:pPr>
                    <w:pStyle w:val="Para 02"/>
                    <w:keepLines w:val="on"/>
                  </w:pPr>
                  <w:r>
                    <w:t>Năm cơ sở</w:t>
                  </w:r>
                </w:p>
              </w:tc>
              <w:tc>
                <w:tcPr>
                  <w:tcW w:type="auto" w:w="0"/>
                  <w:shd w:val="clear" w:color="auto" w:fill="F0F0F0"/>
                </w:tcPr>
                <w:p>
                  <w:pPr>
                    <w:pStyle w:val="Normal"/>
                    <w:keepLines w:val="on"/>
                  </w:pPr>
                  <w:r>
                    <w:t>($818)</w:t>
                  </w:r>
                </w:p>
              </w:tc>
              <w:tc>
                <w:tcPr>
                  <w:tcW w:type="auto" w:w="0"/>
                  <w:shd w:val="clear" w:color="auto" w:fill="F0F0F0"/>
                </w:tcPr>
                <w:p>
                  <w:pPr>
                    <w:pStyle w:val="7 Block"/>
                    <w:keepLines w:val="on"/>
                  </w:pPr>
                </w:p>
              </w:tc>
              <w:tc>
                <w:tcPr>
                  <w:tcW w:type="auto" w:w="0"/>
                  <w:shd w:val="clear" w:color="auto" w:fill="F0F0F0"/>
                </w:tcPr>
                <w:p>
                  <w:pPr>
                    <w:pStyle w:val="Normal"/>
                    <w:keepLines w:val="on"/>
                  </w:pPr>
                  <w:r>
                    <w:t>($448)</w:t>
                  </w:r>
                </w:p>
              </w:tc>
              <w:tc>
                <w:tcPr>
                  <w:tcW w:type="auto" w:w="0"/>
                  <w:shd w:val="clear" w:color="auto" w:fill="F0F0F0"/>
                </w:tcPr>
                <w:p>
                  <w:pPr>
                    <w:pStyle w:val="Normal"/>
                    <w:keepLines w:val="on"/>
                  </w:pPr>
                  <w:r>
                    <w:t>104,82%</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($469)</w:t>
                  </w:r>
                </w:p>
              </w:tc>
              <w:tc>
                <w:tcPr>
                  <w:tcW w:type="auto" w:w="0"/>
                  <w:shd w:val="clear" w:color="auto" w:fill="F0F0F0"/>
                </w:tcPr>
                <w:p>
                  <w:pPr>
                    <w:pStyle w:val="Normal"/>
                    <w:keepLines w:val="on"/>
                  </w:pPr>
                  <w:r>
                    <w:t>$533</w:t>
                  </w:r>
                </w:p>
              </w:tc>
              <w:tc>
                <w:tcPr>
                  <w:tcW w:type="auto" w:w="0"/>
                  <w:shd w:val="clear" w:color="auto" w:fill="F0F0F0"/>
                </w:tcPr>
                <w:p>
                  <w:pPr>
                    <w:pStyle w:val="Normal"/>
                    <w:keepLines w:val="on"/>
                  </w:pPr>
                  <w:r>
                    <w:t>$85</w:t>
                  </w:r>
                </w:p>
              </w:tc>
              <w:tc>
                <w:tcPr>
                  <w:tcW w:type="auto" w:w="0"/>
                  <w:shd w:val="clear" w:color="auto" w:fill="F0F0F0"/>
                </w:tcPr>
                <w:p>
                  <w:pPr>
                    <w:pStyle w:val="Normal"/>
                    <w:keepLines w:val="on"/>
                  </w:pPr>
                  <w:r>
                    <w:t>−210,48%</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$649</w:t>
                  </w:r>
                </w:p>
              </w:tc>
              <w:tc>
                <w:tcPr>
                  <w:tcW w:type="auto" w:w="0"/>
                  <w:shd w:val="clear" w:color="auto" w:fill="F0F0F0"/>
                </w:tcPr>
                <w:p>
                  <w:pPr>
                    <w:pStyle w:val="Normal"/>
                    <w:keepLines w:val="on"/>
                  </w:pPr>
                  <w:r>
                    <w:t>$734</w:t>
                  </w:r>
                </w:p>
              </w:tc>
              <w:tc>
                <w:tcPr>
                  <w:tcW w:type="auto" w:w="0"/>
                  <w:shd w:val="clear" w:color="auto" w:fill="F0F0F0"/>
                </w:tcPr>
                <w:p>
                  <w:pPr>
                    <w:pStyle w:val="Normal"/>
                    <w:keepLines w:val="on"/>
                  </w:pPr>
                  <w:r>
                    <w:t>5,15%</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$38</w:t>
                  </w:r>
                </w:p>
              </w:tc>
              <w:tc>
                <w:tcPr>
                  <w:tcW w:type="auto" w:w="0"/>
                  <w:shd w:val="clear" w:color="auto" w:fill="F0F0F0"/>
                </w:tcPr>
                <w:p>
                  <w:pPr>
                    <w:pStyle w:val="Normal"/>
                    <w:keepLines w:val="on"/>
                  </w:pPr>
                  <w:r>
                    <w:t>$788</w:t>
                  </w:r>
                </w:p>
              </w:tc>
              <w:tc>
                <w:tcPr>
                  <w:tcW w:type="auto" w:w="0"/>
                  <w:shd w:val="clear" w:color="auto" w:fill="F0F0F0"/>
                </w:tcPr>
                <w:p>
                  <w:pPr>
                    <w:pStyle w:val="Normal"/>
                    <w:keepLines w:val="on"/>
                  </w:pPr>
                  <w:r>
                    <w:t>$1.522</w:t>
                  </w:r>
                </w:p>
              </w:tc>
              <w:tc>
                <w:tcPr>
                  <w:tcW w:type="auto" w:w="0"/>
                  <w:shd w:val="clear" w:color="auto" w:fill="F0F0F0"/>
                </w:tcPr>
                <w:p>
                  <w:pPr>
                    <w:pStyle w:val="Normal"/>
                    <w:keepLines w:val="on"/>
                  </w:pPr>
                  <w:r>
                    <w:t>25,11%</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$382</w:t>
                  </w:r>
                </w:p>
              </w:tc>
              <w:tc>
                <w:tcPr>
                  <w:tcW w:type="auto" w:w="0"/>
                  <w:shd w:val="clear" w:color="auto" w:fill="F0F0F0"/>
                </w:tcPr>
                <w:p>
                  <w:pPr>
                    <w:pStyle w:val="Normal"/>
                    <w:keepLines w:val="on"/>
                  </w:pPr>
                  <w:r>
                    <w:t>$995</w:t>
                  </w:r>
                </w:p>
              </w:tc>
              <w:tc>
                <w:tcPr>
                  <w:tcW w:type="auto" w:w="0"/>
                  <w:shd w:val="clear" w:color="auto" w:fill="F0F0F0"/>
                </w:tcPr>
                <w:p>
                  <w:pPr>
                    <w:pStyle w:val="Normal"/>
                    <w:keepLines w:val="on"/>
                  </w:pPr>
                  <w:r>
                    <w:t>$2.517</w:t>
                  </w:r>
                </w:p>
              </w:tc>
              <w:tc>
                <w:tcPr>
                  <w:tcW w:type="auto" w:w="0"/>
                  <w:shd w:val="clear" w:color="auto" w:fill="F0F0F0"/>
                </w:tcPr>
                <w:p>
                  <w:pPr>
                    <w:pStyle w:val="Normal"/>
                    <w:keepLines w:val="on"/>
                  </w:pPr>
                  <w:r>
                    <w:t>30,90%</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$778</w:t>
                  </w:r>
                </w:p>
              </w:tc>
              <w:tc>
                <w:tcPr>
                  <w:tcW w:type="auto" w:w="0"/>
                  <w:shd w:val="clear" w:color="auto" w:fill="F0F0F0"/>
                </w:tcPr>
                <w:p>
                  <w:pPr>
                    <w:pStyle w:val="Normal"/>
                    <w:keepLines w:val="on"/>
                  </w:pPr>
                  <w:r>
                    <w:t>$1.255</w:t>
                  </w:r>
                </w:p>
              </w:tc>
              <w:tc>
                <w:tcPr>
                  <w:tcW w:type="auto" w:w="0"/>
                  <w:shd w:val="clear" w:color="auto" w:fill="F0F0F0"/>
                </w:tcPr>
                <w:p>
                  <w:pPr>
                    <w:pStyle w:val="Normal"/>
                    <w:keepLines w:val="on"/>
                  </w:pPr>
                  <w:r>
                    <w:t>$3.772</w:t>
                  </w:r>
                </w:p>
              </w:tc>
              <w:tc>
                <w:tcPr>
                  <w:tcW w:type="auto" w:w="0"/>
                  <w:shd w:val="clear" w:color="auto" w:fill="F0F0F0"/>
                </w:tcPr>
                <w:p>
                  <w:pPr>
                    <w:pStyle w:val="Normal"/>
                    <w:keepLines w:val="on"/>
                  </w:pPr>
                  <w:r>
                    <w:t>17,44%</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$658</w:t>
                  </w:r>
                </w:p>
              </w:tc>
              <w:tc>
                <w:tcPr>
                  <w:tcW w:type="auto" w:w="0"/>
                  <w:shd w:val="clear" w:color="auto" w:fill="F0F0F0"/>
                </w:tcPr>
                <w:p>
                  <w:pPr>
                    <w:pStyle w:val="Normal"/>
                    <w:keepLines w:val="on"/>
                  </w:pPr>
                  <w:r>
                    <w:t>$1.304</w:t>
                  </w:r>
                </w:p>
              </w:tc>
              <w:tc>
                <w:tcPr>
                  <w:tcW w:type="auto" w:w="0"/>
                  <w:shd w:val="clear" w:color="auto" w:fill="F0F0F0"/>
                </w:tcPr>
                <w:p>
                  <w:pPr>
                    <w:pStyle w:val="Normal"/>
                    <w:keepLines w:val="on"/>
                  </w:pPr>
                  <w:r>
                    <w:t>$5.077</w:t>
                  </w:r>
                </w:p>
              </w:tc>
              <w:tc>
                <w:tcPr>
                  <w:tcW w:type="auto" w:w="0"/>
                  <w:shd w:val="clear" w:color="auto" w:fill="F0F0F0"/>
                </w:tcPr>
                <w:p>
                  <w:pPr>
                    <w:pStyle w:val="Normal"/>
                    <w:keepLines w:val="on"/>
                  </w:pPr>
                  <w:r>
                    <w:t>27,21%</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$1.382</w:t>
                  </w:r>
                </w:p>
              </w:tc>
              <w:tc>
                <w:tcPr>
                  <w:tcW w:type="auto" w:w="0"/>
                  <w:shd w:val="clear" w:color="auto" w:fill="F0F0F0"/>
                </w:tcPr>
                <w:p>
                  <w:pPr>
                    <w:pStyle w:val="Normal"/>
                    <w:keepLines w:val="on"/>
                  </w:pPr>
                  <w:r>
                    <w:t>$1.244</w:t>
                  </w:r>
                </w:p>
              </w:tc>
              <w:tc>
                <w:tcPr>
                  <w:tcW w:type="auto" w:w="0"/>
                  <w:shd w:val="clear" w:color="auto" w:fill="F0F0F0"/>
                </w:tcPr>
                <w:p>
                  <w:pPr>
                    <w:pStyle w:val="Normal"/>
                    <w:keepLines w:val="on"/>
                  </w:pPr>
                  <w:r>
                    <w:t>$6.321</w:t>
                  </w:r>
                </w:p>
              </w:tc>
              <w:tc>
                <w:tcPr>
                  <w:tcW w:type="auto" w:w="0"/>
                  <w:shd w:val="clear" w:color="auto" w:fill="F0F0F0"/>
                </w:tcPr>
                <w:p>
                  <w:pPr>
                    <w:pStyle w:val="Normal"/>
                    <w:keepLines w:val="on"/>
                  </w:pPr>
                  <w:r>
                    <w:t>35,42%</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$2.239</w:t>
                  </w:r>
                </w:p>
              </w:tc>
              <w:tc>
                <w:tcPr>
                  <w:tcW w:type="auto" w:w="0"/>
                  <w:shd w:val="clear" w:color="auto" w:fill="F0F0F0"/>
                </w:tcPr>
                <w:p>
                  <w:pPr>
                    <w:pStyle w:val="Normal"/>
                    <w:keepLines w:val="on"/>
                  </w:pPr>
                  <w:r>
                    <w:t>$1.056</w:t>
                  </w:r>
                </w:p>
              </w:tc>
              <w:tc>
                <w:tcPr>
                  <w:tcW w:type="auto" w:w="0"/>
                  <w:shd w:val="clear" w:color="auto" w:fill="F0F0F0"/>
                </w:tcPr>
                <w:p>
                  <w:pPr>
                    <w:pStyle w:val="Normal"/>
                    <w:keepLines w:val="on"/>
                  </w:pPr>
                  <w:r>
                    <w:t>$7.377</w:t>
                  </w:r>
                </w:p>
              </w:tc>
              <w:tc>
                <w:tcPr>
                  <w:tcW w:type="auto" w:w="0"/>
                  <w:shd w:val="clear" w:color="auto" w:fill="F0F0F0"/>
                </w:tcPr>
                <w:p>
                  <w:pPr>
                    <w:pStyle w:val="Normal"/>
                    <w:keepLines w:val="on"/>
                  </w:pPr>
                  <w:r>
                    <w:t>42,71%</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$3.150</w:t>
                  </w:r>
                </w:p>
              </w:tc>
              <w:tc>
                <w:tcPr>
                  <w:tcW w:type="auto" w:w="0"/>
                  <w:shd w:val="clear" w:color="auto" w:fill="F0F0F0"/>
                </w:tcPr>
                <w:p>
                  <w:pPr>
                    <w:pStyle w:val="Normal"/>
                    <w:keepLines w:val="on"/>
                  </w:pPr>
                  <w:r>
                    <w:t>$737</w:t>
                  </w:r>
                </w:p>
              </w:tc>
              <w:tc>
                <w:tcPr>
                  <w:tcW w:type="auto" w:w="0"/>
                  <w:shd w:val="clear" w:color="auto" w:fill="F0F0F0"/>
                </w:tcPr>
                <w:p>
                  <w:pPr>
                    <w:pStyle w:val="Normal"/>
                    <w:keepLines w:val="on"/>
                  </w:pPr>
                  <w:r>
                    <w:t>$8.114</w:t>
                  </w:r>
                </w:p>
              </w:tc>
              <w:tc>
                <w:tcPr>
                  <w:tcW w:type="auto" w:w="0"/>
                  <w:shd w:val="clear" w:color="auto" w:fill="F0F0F0"/>
                </w:tcPr>
                <w:p>
                  <w:pPr>
                    <w:pStyle w:val="Normal"/>
                    <w:keepLines w:val="on"/>
                  </w:pPr>
                  <w:r>
                    <w:t>49,38%</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$4.007</w:t>
                  </w:r>
                </w:p>
              </w:tc>
              <w:tc>
                <w:tcPr>
                  <w:tcW w:type="auto" w:w="0"/>
                  <w:shd w:val="clear" w:color="auto" w:fill="F0F0F0"/>
                </w:tcPr>
                <w:p>
                  <w:pPr>
                    <w:pStyle w:val="Normal"/>
                    <w:keepLines w:val="on"/>
                  </w:pPr>
                  <w:r>
                    <w:t>$311</w:t>
                  </w:r>
                </w:p>
              </w:tc>
              <w:tc>
                <w:tcPr>
                  <w:tcW w:type="auto" w:w="0"/>
                  <w:shd w:val="clear" w:color="auto" w:fill="F0F0F0"/>
                </w:tcPr>
                <w:p>
                  <w:pPr>
                    <w:pStyle w:val="Normal"/>
                    <w:keepLines w:val="on"/>
                  </w:pPr>
                  <w:r>
                    <w:t>$8.425</w:t>
                  </w:r>
                </w:p>
              </w:tc>
              <w:tc>
                <w:tcPr>
                  <w:tcW w:type="auto" w:w="0"/>
                  <w:shd w:val="clear" w:color="auto" w:fill="F0F0F0"/>
                </w:tcPr>
                <w:p>
                  <w:pPr>
                    <w:pStyle w:val="Normal"/>
                    <w:keepLines w:val="on"/>
                  </w:pPr>
                  <w:r>
                    <w:t>104,82%</w:t>
                  </w:r>
                </w:p>
              </w:tc>
            </w:tr>
          </w:tbl>
          <w:p/>
        </w:tc>
      </w:tr>
    </w:tbl>
    <w:p>
      <w:pPr>
        <w:pStyle w:val="Para 04"/>
        <w:keepLines w:val="on"/>
      </w:pPr>
      <w:r>
        <w:t>Vốn đầu tư vào đầu năm 1 chính là vốn đầu tư trên bảng cân đối kế toán gần nhất, được tính như sau:</w:t>
      </w:r>
    </w:p>
    <w:p>
      <w:bookmarkStart w:id="4834" w:name="Invested_capital_Book_value_of_e"/>
      <w:pPr>
        <w:keepNext/>
        <w:pStyle w:val="Para 07"/>
        <w:keepLines w:val="on"/>
      </w:pPr>
      <w:r>
        <w:t>Vốn đầu tư = Giá trị sổ sách của vốn chủ sở hữu + Giá trị sổ sách của nợ - Tiền mặt = 1.855,22 + 2.192,38 - 4.495,21 = -447,61 triệu đô la</w:t>
      </w:r>
      <w:bookmarkEnd w:id="4834"/>
    </w:p>
    <w:p>
      <w:pPr>
        <w:pStyle w:val="Para 04"/>
        <w:keepLines w:val="on"/>
      </w:pPr>
      <w:r>
        <w:t>Vốn đầu tư trong các năm tiếp theo được ước tính bằng cách cộng khoản tái đầu tư của năm đó vào vốn đầu tư ban đầu:</w:t>
      </w:r>
    </w:p>
    <w:p>
      <w:bookmarkStart w:id="4835" w:name="Invested_capitalt_Invested_capit"/>
      <w:pPr>
        <w:keepNext/>
        <w:pStyle w:val="Para 07"/>
        <w:keepLines w:val="on"/>
      </w:pPr>
      <w:r>
        <w:t>Vốn đầu tư năm t = Vốn đầu tư năm t-1 + Tái đầu tư năm t</w:t>
      </w:r>
      <w:bookmarkEnd w:id="4835"/>
    </w:p>
    <w:p>
      <w:pPr>
        <w:pStyle w:val="Para 04"/>
        <w:keepLines w:val="on"/>
      </w:pPr>
      <w:r>
        <w:t>Tỷ suất sinh lời trên vốn kỳ vọng sẽ cải thiện dần theo thời gian khi biên lợi nhuận tăng lên. Thực tế, tỷ suất sinh lời trên vốn đạt 104,38% vào năm thứ 10 — một con số rất cao, nhưng phản ánh mức độ thâm dụng vốn thấp của doanh nghiệp này.</w:t>
      </w:r>
    </w:p>
    <w:p>
      <w:pPr>
        <w:pStyle w:val="Para 04"/>
        <w:keepLines w:val="on"/>
      </w:pPr>
      <w:r>
        <w:t>Dòng tiền tự do của doanh nghiệp (free cash flow to the firm) âm trong sáu năm tới, một phần do lỗ hoạt động (kéo dài đến hết năm 2) và một phần do nhu cầu tái đầu tư. Theo ước tính của chúng tôi, Airbnb sẽ cần huy động khoảng 4,3 tỷ đô la vốn mới (từ nợ và vốn chủ sở hữu) trong bảy năm tới; con số này có được từ việc cộng dồn các dòng tiền tự do âm trong sáu năm tới.</w:t>
      </w:r>
    </w:p>
    <w:p>
      <w:pPr>
        <w:pStyle w:val="Para 11"/>
      </w:pPr>
      <w:r>
        <w:t/>
        <w:t xml:space="preserve"> </w:t>
      </w:r>
    </w:p>
    <w:p>
      <w:bookmarkStart w:id="4837" w:name="Reinvestment_and_Growth__Lagged"/>
      <w:bookmarkStart w:id="4838" w:name="Reinvestment_and_Growth__Lagged_1"/>
      <w:pPr>
        <w:keepNext/>
        <w:pStyle w:val="Para 27"/>
        <w:keepLines w:val="on"/>
      </w:pPr>
      <w:r>
        <w:t>Tái đầu tư và Tăng trưởng: Hiệu ứng trễ</w:t>
      </w:r>
      <w:bookmarkEnd w:id="4837"/>
      <w:bookmarkEnd w:id="4838"/>
    </w:p>
    <w:p>
      <w:pPr>
        <w:pStyle w:val="Para 16"/>
        <w:keepLines w:val="on"/>
      </w:pPr>
      <w:r>
        <w:t>Trong định giá Airbnb, chúng tôi giả định rằng việc tái đầu tư và tăng trưởng diễn ra đồng thời. Nói cách khác, sự gia tăng doanh thu và khoản tái đầu tư tạo ra sự gia tăng đó xảy ra cùng lúc. Nghe có vẻ là một giả định khá cực đoan, nhưng nó thực tế đối với các doanh nghiệp dịch vụ hoặc khi tăng trưởng đến từ các thương vụ mua bán sáp nhập (M&amp;A).</w:t>
      </w:r>
    </w:p>
    <w:p>
      <w:pPr>
        <w:pStyle w:val="Para 16"/>
        <w:keepLines w:val="on"/>
      </w:pPr>
      <w:r>
        <w:t>Nếu thực tế có độ trễ giữa tái đầu tư và tăng trưởng, thì việc đưa độ trễ này vào phân tích cũng khá đơn giản. Trong định giá Airbnb, giả sử độ trễ là một năm, bạn có thể ước tính khoản tái đầu tư trong năm 1 dựa trên mức tăng trưởng doanh thu kỳ vọng của năm 2. Độ dài của độ trễ sẽ phụ thuộc vào cả doanh nghiệp đang được định giá — sẽ dài hơn với những doanh nghiệp phải đầu tư thâm dụng vốn và cơ sở hạ tầng — lẫn hình thức tái đầu tư — là nội bộ hay bên ngoài (mua bán sáp nhập).</w:t>
      </w:r>
    </w:p>
    <w:p>
      <w:bookmarkStart w:id="4839" w:name="Step_5__Estimate_Risk_Parameters_1"/>
      <w:bookmarkStart w:id="4840" w:name="Step_5__Estimate_Risk_Parameters"/>
      <w:pPr>
        <w:keepNext/>
        <w:pStyle w:val="Heading 3"/>
        <w:keepLines w:val="on"/>
      </w:pPr>
      <w:r>
        <w:t>Bước 5: Ước tính các thông số rủi ro và tỷ lệ chiết khấu</w:t>
      </w:r>
      <w:bookmarkEnd w:id="4839"/>
      <w:bookmarkEnd w:id="4840"/>
    </w:p>
    <w:p>
      <w:pPr>
        <w:pStyle w:val="Para 03"/>
      </w:pPr>
      <w:r>
        <w:t>Theo các phương pháp tiêu chuẩn để ước tính beta, chúng ta hồi quy lợi suất cổ phiếu theo lợi suất thị trường. Các công ty khởi nghiệp non trẻ, kể cả khi đã niêm yết công khai, cũng có rất ít dữ liệu lịch sử, và chúng ta không thể dùng cách tiếp cận thông thường để ước tính các thông số rủi ro.5 Tuy nhiên, ở Chương 7, chúng tôi đã đề xuất những cách tiếp cận thay thế để ước tính beta, hữu ích cho việc lấp khoảng trống này. Một cách là phương pháp từ dưới lên (bottom-up). Nếu có những công ty tương đồng đã niêm yết từ hai năm trở lên, ta có thể ước tính các thông số rủi ro hiện tại của doanh nghiệp bằng cách xem xét mức trung bình của các công ty này. Nếu không có những công ty như vậy, ta có thể ước tính các thông số rủi ro dựa trên các đặc điểm tài chính của doanh nghiệp — mức biến động của lợi nhuận, quy mô, đặc điểm dòng tiền và đòn bẩy tài chính.6</w:t>
      </w:r>
    </w:p>
    <w:p>
      <w:pPr>
        <w:pStyle w:val="Para 03"/>
      </w:pPr>
      <w:r>
        <w:t>Nếu một doanh nghiệp non trẻ có nợ, chúng ta lại gặp một vấn đề khác khi ước tính chi phí nợ. Doanh nghiệp thường sẽ không được xếp hạng tín nhiệm, khiến ta không thể ước tính chi phí nợ dựa trên xếp hạng đó. Chúng ta có thể thử ước tính một xếp hạng tổng hợp (synthetic rating), nhưng lợi nhuận hoạt động âm sẽ cho ra tỷ lệ bao phủ lãi vay âm và một xếp hạng vỡ nợ cho doanh nghiệp. Một giải pháp là ước tính tỷ lệ bao phủ lãi vay kỳ vọng của doanh nghiệp dựa trên lợi nhuận hoạt động kỳ vọng trong các giai đoạn tương lai (lưu ý rằng những dự báo này đã được thực hiện ở bước 2 và bước 3) và dùng tỷ lệ bao phủ lãi vay kỳ vọng này để ước tính một xếp hạng tổng hợp.</w:t>
      </w:r>
    </w:p>
    <w:p>
      <w:pPr>
        <w:pStyle w:val="Para 03"/>
      </w:pPr>
      <w:r>
        <w:t>Dù chúng ta dùng cách nào để ước tính chi phí vốn chủ sở hữu và chi phí nợ, thì chúng cũng không nên giữ nguyên không đổi suốt giai đoạn ước tính. Khi doanh nghiệp trưởng thành và tiến tới biên lợi nhuận bền vững cùng mức tăng trưởng ổn định, các thông số rủi ro cũng nên tiến gần đến mức của một doanh nghiệp trung bình — beta nên tiến về 1, và chi phí nợ nên điều chỉnh tiến gần chi phí nợ của một doanh nghiệp đã trưởng thành.</w:t>
      </w:r>
    </w:p>
    <w:p>
      <w:pPr>
        <w:pStyle w:val="Para 03"/>
      </w:pPr>
      <w:r>
        <w:t>Ngoài việc ước tính chi phí vốn chủ sở hữu cho những doanh nghiệp này, chúng ta còn phải ước tính xem đòn bẩy sẽ thay đổi thế nào theo thời gian. Một lần nữa, việc nhắm tới mức trung bình ngành hoặc tỷ lệ nợ tối ưu cho doanh nghiệp này (như nó sẽ trông ở trạng thái ổn định) sẽ cho ra những ước tính hợp lý cho chi phí vốn theo thời gian.</w:t>
      </w:r>
    </w:p>
    <w:p>
      <w:pPr>
        <w:pStyle w:val="Para 11"/>
      </w:pPr>
      <w:r>
        <w:t/>
        <w:t xml:space="preserve"> </w:t>
      </w:r>
    </w:p>
    <w:p>
      <w:bookmarkStart w:id="4844" w:name="Operating_Leverage_and_Risk"/>
      <w:bookmarkStart w:id="4845" w:name="Operating_Leverage_and_Risk_One"/>
      <w:pPr>
        <w:keepNext/>
        <w:pStyle w:val="Para 27"/>
        <w:keepLines w:val="on"/>
      </w:pPr>
      <w:r>
        <w:t>Đòn bẩy hoạt động và Rủi ro</w:t>
      </w:r>
      <w:bookmarkEnd w:id="4844"/>
      <w:bookmarkEnd w:id="4845"/>
    </w:p>
    <w:p>
      <w:pPr>
        <w:pStyle w:val="Para 16"/>
        <w:keepLines w:val="on"/>
      </w:pPr>
      <w:r>
        <w:t>Một lập luận được đưa ra để giải thích tại sao các doanh nghiệp non trẻ nên có beta cao hơn nhiều so với những doanh nghiệp lớn hơn, trưởng thành hơn trong cùng ngành, đó là vì chúng có đòn bẩy hoạt động cao hơn nhiều. Chi phí của các doanh nghiệp non trẻ phần lớn là chi phí cố định và không thay đổi theo doanh thu. Nếu bạn đang ước tính beta từ dưới lên cho một doanh nghiệp non trẻ bằng cách nhìn vào các công ty tương đồng, bạn có hai lựa chọn:</w:t>
      </w:r>
    </w:p>
    <w:p>
      <w:pPr>
        <w:numPr>
          <w:ilvl w:val="0"/>
          <w:numId w:val="245"/>
        </w:numPr>
        <w:pStyle w:val="Para 33"/>
        <w:keepLines w:val="on"/>
      </w:pPr>
      <w:r>
        <w:t>Bạn chỉ có thể dùng những công ty nhỏ, đã niêm yết công khai làm công ty tương đồng. Cách này chỉ hiệu quả nếu trong ngành có một số lượng đáng kể các công ty đã niêm yết công khai.</w:t>
      </w:r>
    </w:p>
    <w:p>
      <w:pPr>
        <w:numPr>
          <w:ilvl w:val="0"/>
          <w:numId w:val="245"/>
        </w:numPr>
        <w:pStyle w:val="Para 33"/>
        <w:keepLines w:val="on"/>
      </w:pPr>
      <w:r>
        <w:t>Cách còn lại và hứa hẹn hơn là điều chỉnh beta từ dưới lên cho sự khác biệt về đòn bẩy hoạt động. Chương 7 đã đề cập cách điều chỉnh beta cho sự khác biệt trong cấu trúc chi phí cố định:</w:t>
      </w:r>
    </w:p>
    <w:p>
      <w:bookmarkStart w:id="4846" w:name="Unlevered_beta_Business_beta__1"/>
      <w:pPr>
        <w:keepNext/>
        <w:pStyle w:val="Para 48"/>
        <w:keepLines w:val="on"/>
      </w:pPr>
      <w:r>
        <w:t>Beta chưa vay nợ = Beta kinh doanh [1 + (Chi phí cố định / Chi phí biến đổi)]</w:t>
      </w:r>
      <w:bookmarkEnd w:id="4846"/>
    </w:p>
    <w:p>
      <w:pPr>
        <w:pStyle w:val="Para 11"/>
      </w:pPr>
      <w:r>
        <w:t/>
        <w:t xml:space="preserve"> </w:t>
      </w:r>
    </w:p>
    <w:p>
      <w:bookmarkStart w:id="4847" w:name="ILLUSTRATION_23_4__Estimating_Ri_1"/>
      <w:bookmarkStart w:id="4848" w:name="ILLUSTRATION_23_4__Estimating_Ri"/>
      <w:pPr>
        <w:keepNext/>
        <w:pStyle w:val="Para 19"/>
        <w:keepLines w:val="on"/>
      </w:pPr>
      <w:r>
        <w:t>MINH HỌA 23.4: Ước tính các thông số rủi ro và chi phí vốn — Airbnb</w:t>
      </w:r>
      <w:bookmarkEnd w:id="4847"/>
      <w:bookmarkEnd w:id="4848"/>
    </w:p>
    <w:p>
      <w:pPr>
        <w:pStyle w:val="Para 04"/>
        <w:keepLines w:val="on"/>
      </w:pPr>
      <w:r>
        <w:t>Vì đây là định giá Airbnb vào thời điểm công ty IPO, nên các thước đo rủi ro truyền thống trên thị trường không có sẵn. Do cổ phiếu chưa được giao dịch, không có beta hồi quy nào cho doanh nghiệp hay thước đo biến động giá cổ phiếu. Công ty cũng không có xếp hạng trái phiếu nào.</w:t>
      </w:r>
    </w:p>
    <w:p>
      <w:pPr>
        <w:pStyle w:val="Para 04"/>
        <w:keepLines w:val="on"/>
      </w:pPr>
      <w:r>
        <w:t>Chúng tôi đưa ra đánh giá ban đầu về chi phí vốn của công ty bằng cách nhìn vào ngành khách sạn/casino, cùng tỷ lệ nợ của công ty, đồng thời dùng lãi suất trái phiếu kho bạc kỳ hạn 10 năm là 0,90% làm lãi suất phi rủi ro:</w:t>
      </w:r>
    </w:p>
    <w:p>
      <w:bookmarkStart w:id="4850" w:name="Unlevered_beta_for_the_hotel_gam"/>
      <w:pPr>
        <w:pStyle w:val="Para 52"/>
        <w:keepLines w:val="on"/>
      </w:pPr>
      <w:r>
        <w:t>Beta chưa vay nợ của ngành khách sạn/casino = 0,91Tỷ lệ nợ trên vốn chủ sở hữu của Airbnb = 6,75%Beta có vay nợ = 0,91(1 + (1 - 0,25)(0,0675)) = 0,96Chi phí vốn chủ sở hữu = 0,90% + 0,96(6,09%) = 6,75%Chi phí nợ trước thuế = 3,85%</w:t>
      </w:r>
      <w:bookmarkEnd w:id="4850"/>
    </w:p>
    <w:p>
      <w:bookmarkStart w:id="4851" w:name="Cost_of_capital_Cost_of_equity_x"/>
      <w:pPr>
        <w:pStyle w:val="Para 52"/>
        <w:keepLines w:val="on"/>
      </w:pPr>
      <w:r>
        <w:t>Chi phí vốn = Chi phí vốn chủ sở hữu × Vốn chủ sở hữu / (Nợ + Vốn chủ sở hữu) + Chi phí nợ × (1 − thuế suất) × Nợ / (Nợ + Vốn chủ sở hữu) = 6,75%(0,9367) + 3,85%(1 − 0,25)(0,0633) = 6,50%</w:t>
      </w:r>
      <w:bookmarkEnd w:id="4851"/>
    </w:p>
    <w:p>
      <w:pPr>
        <w:pStyle w:val="Para 04"/>
        <w:keepLines w:val="on"/>
      </w:pPr>
      <w:r>
        <w:t>Chi phí vốn đó thấp, nhưng nó phản ánh thời điểm của đợt IPO, vào cuối năm 2020, khi lãi suất trái phiếu kho bạc kỳ hạn 10 năm đã giảm xuống còn 0,90%. Khi công ty trưởng thành hơn, chúng tôi kỳ vọng chi phí vốn sẽ tăng nhẹ lên 7,12 phần trăm khi rủi ro của Airbnb tiến gần đến mức rủi ro của một công ty trung bình trên thị trường và lãi suất trái phiếu kho bạc quay trở lại mức 2% (mà vào năm 2020, có vẻ như là một mức chuẩn hợp lý).</w:t>
      </w:r>
    </w:p>
    <w:p>
      <w:bookmarkStart w:id="4853" w:name="Step_6__Estimate_the_Value_of_th"/>
      <w:bookmarkStart w:id="4854" w:name="Step_6__Estimate_the_Value_of_th_1"/>
      <w:pPr>
        <w:keepNext/>
        <w:pStyle w:val="Heading 3"/>
        <w:keepLines w:val="on"/>
      </w:pPr>
      <w:r>
        <w:t>Bước 6: Ước tính giá trị của doanh nghiệp</w:t>
      </w:r>
      <w:bookmarkEnd w:id="4853"/>
      <w:bookmarkEnd w:id="4854"/>
    </w:p>
    <w:p>
      <w:pPr>
        <w:pStyle w:val="Para 03"/>
      </w:pPr>
      <w:r>
        <w:t>Với các thông số đầu vào về lợi nhuận, tỷ lệ tái đầu tư và các tham số rủi ro theo thời gian, việc định giá này bắt đầu giống với một cuộc định giá thông thường. Trong nhiều trường hợp, dòng tiền trong những năm đầu sẽ âm, do lợi nhuận âm và nhu cầu tái đầu tư lớn, nhưng sẽ chuyển sang dương trong những năm sau khi biên lợi nhuận được cải thiện và việc tái đầu tư giảm bớt. Phần lớn giá trị nói chung sẽ nằm ở giá trị cuối kỳ (terminal value). Tuy nhiên, lưu ý rằng độ lớn của giá trị cuối kỳ được quyết định bởi các giả định về tăng trưởng và biên lợi nhuận mục tiêu của bạn trong giai đoạn tăng trưởng cao.</w:t>
      </w:r>
    </w:p>
    <w:p>
      <w:pPr>
        <w:pStyle w:val="Para 03"/>
      </w:pPr>
      <w:r>
        <w:t>Sau khi đã định giá các tài sản hoạt động của doanh nghiệp, bạn cần xem xét thêm hai yếu tố nữa — khả năng doanh nghiệp sẽ không tồn tại để trở thành một thực thể hoạt động liên tục (going concern) và giá trị của các tài sản phi hoạt động — để định giá doanh nghiệp.</w:t>
      </w:r>
    </w:p>
    <w:p>
      <w:bookmarkStart w:id="4855" w:name="Survival"/>
      <w:bookmarkStart w:id="4856" w:name="Survival__When_we_value_firms_us"/>
      <w:pPr>
        <w:keepNext/>
        <w:pStyle w:val="Heading 4"/>
        <w:keepLines w:val="on"/>
      </w:pPr>
      <w:r>
        <w:t>Khả năng tồn tại</w:t>
      </w:r>
      <w:bookmarkEnd w:id="4855"/>
      <w:bookmarkEnd w:id="4856"/>
    </w:p>
    <w:p>
      <w:pPr>
        <w:pStyle w:val="Para 03"/>
      </w:pPr>
      <w:r>
        <w:t>Khi chúng ta định giá doanh nghiệp bằng phương pháp chiết khấu dòng tiền (discounted cash flow valuation), chúng ta có xu hướng giả định rằng doanh nghiệp sẽ là một thực thể hoạt động liên tục và tiếp tục tạo ra dòng tiền mãi mãi. Giả định này có thể đáng ngờ khi định giá các công ty non trẻ, vì nhiều công ty trong số đó sẽ không vượt qua được những thử thách mà chúng sẽ phải đối mặt trong vài năm tới. Nếu chúng ta bỏ qua khả năng này và chỉ xem xét kịch bản tốt nhất là mở rộng và sinh lợi vĩnh viễn, chúng ta sẽ đánh giá quá cao giá trị của những doanh nghiệp này. Chúng ta có hai lựa chọn khi xử lý khả năng này.</w:t>
      </w:r>
    </w:p>
    <w:p>
      <w:pPr>
        <w:numPr>
          <w:ilvl w:val="0"/>
          <w:numId w:val="246"/>
        </w:numPr>
        <w:pStyle w:val="Para 01"/>
      </w:pPr>
      <w:r>
        <w:t>Cách thứ nhất là đưa khả năng xảy ra các kết cục bất lợi vào trong tỷ lệ tăng trưởng kỳ vọng và lợi nhuận. Như vậy, tỷ lệ tăng trưởng được sử dụng cho doanh thu sẽ là tỷ lệ tăng trưởng kỳ vọng trên tất cả các kịch bản, cả lạc quan lẫn bi quan, và bao gồm cả khả năng doanh nghiệp sẽ không tồn tại được. Đối với các công ty non trẻ, việc này sẽ ngày càng khó thực hiện khi bạn đi càng xa về tương lai.</w:t>
      </w:r>
    </w:p>
    <w:p>
      <w:pPr>
        <w:numPr>
          <w:ilvl w:val="0"/>
          <w:numId w:val="246"/>
        </w:numPr>
        <w:pStyle w:val="Para 01"/>
      </w:pPr>
      <w:r>
        <w:t>Cách thứ hai là ước tính giá trị chiết khấu dòng tiền chỉ dựa trên các kịch bản mà doanh nghiệp là một thực thể hoạt động liên tục, rồi áp dụng một xác suất rằng doanh nghiệp sẽ là thực thể hoạt động liên tục vào giá trị đó. Sau khi đã ước tính được xác suất tồn tại như một thực thể hoạt động liên tục, giá trị của doanh nghiệp có thể được ước tính như sau:</w:t>
      </w:r>
    </w:p>
    <w:p>
      <w:bookmarkStart w:id="4857" w:name="Value_of_firm_Probability_of_sur"/>
      <w:pPr>
        <w:keepNext/>
        <w:pStyle w:val="Para 09"/>
        <w:keepLines w:val="on"/>
      </w:pPr>
      <w:r>
        <w:t>Giá trị doanh nghiệp = Xác suất tồn tại như một thực thể hoạt động liên tục × Giá trị DCF của doanh nghiệp + (1 - Xác suất tồn tại như một thực thể hoạt động liên tục) × Giá trị khi kiệt quệ hoặc bán thanh lý</w:t>
      </w:r>
      <w:bookmarkEnd w:id="4857"/>
    </w:p>
    <w:p>
      <w:pPr>
        <w:pStyle w:val="Para 03"/>
      </w:pPr>
      <w:r>
        <w:t>Một cách tiếp cận để ước tính xác suất tồn tại là xem xét dữ liệu thực nghiệm. Knaup (2005) và Knaup và Piazza (2008) đã sử dụng dữ liệu từ Điều tra Dân số Việc làm và Tiền lương Hàng quý (QCEW) của Cục Thống kê Lao động Hoa Kỳ để tính toán thống kê tồn tại của các doanh nghiệp. Cuộc điều tra này chứa thông tin về hơn 8,9 triệu doanh nghiệp Hoa Kỳ trong cả khu vực công lẫn tư nhân. Sử dụng cơ sở dữ liệu bảy năm từ 1998 đến 2005, các tác giả kết luận rằng chỉ 44 phần trăm trong số tất cả các doanh nghiệp được thành lập năm 1998 tồn tại được ít nhất bốn năm, và chỉ 31 phần trăm trụ được qua cả bảy năm. Ngoài ra, họ phân loại các doanh nghiệp thành 10 lĩnh vực và ước tính tỷ lệ tồn tại cho từng lĩnh vực. Hình 23.2 cung cấp phiên bản cập nhật của bảng này, cho thấy tỷ lệ tồn tại theo từng lĩnh vực. Lưu ý rằng tỷ lệ tồn tại khác nhau giữa các lĩnh vực, với chỉ 25 phần trăm doanh nghiệp trong lĩnh vực thông tin (bao gồm công nghệ) tồn tại được mười năm, trong khi gần 42,5 phần trăm doanh nghiệp dịch vụ y tế trụ được qua giai đoạn đó.</w:t>
      </w:r>
    </w:p>
    <w:p>
      <w:bookmarkStart w:id="4860" w:name="Figure_23_2_Survival_of_New_Est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63800" cy="1739900"/>
            <wp:effectExtent l="0" r="0" t="0" b="0"/>
            <wp:wrapTopAndBottom/>
            <wp:docPr id="220" name="c23f002.png" descr="Bar graph plots failure rate for sectors including agriculture, utilities, construction, manufacturing, retail, transportation, health care."/>
            <wp:cNvGraphicFramePr>
              <a:graphicFrameLocks noChangeAspect="1"/>
            </wp:cNvGraphicFramePr>
            <a:graphic>
              <a:graphicData uri="http://schemas.openxmlformats.org/drawingml/2006/picture">
                <pic:pic>
                  <pic:nvPicPr>
                    <pic:cNvPr id="0" name="c23f002.png" descr="Bar graph plots failure rate for sectors including agriculture, utilities, construction, manufacturing, retail, transportation, health care."/>
                    <pic:cNvPicPr/>
                  </pic:nvPicPr>
                  <pic:blipFill>
                    <a:blip r:embed="rId157"/>
                    <a:stretch>
                      <a:fillRect/>
                    </a:stretch>
                  </pic:blipFill>
                  <pic:spPr>
                    <a:xfrm>
                      <a:off x="0" y="0"/>
                      <a:ext cx="2463800" cy="1739900"/>
                    </a:xfrm>
                    <a:prstGeom prst="rect">
                      <a:avLst/>
                    </a:prstGeom>
                  </pic:spPr>
                </pic:pic>
              </a:graphicData>
            </a:graphic>
          </wp:anchor>
        </w:drawing>
      </w:r>
      <w:bookmarkEnd w:id="4860"/>
    </w:p>
    <w:p>
      <w:pPr>
        <w:keepNext/>
        <w:pStyle w:val="Para 22"/>
        <w:keepLines w:val="on"/>
      </w:pPr>
      <w:r>
        <w:t>Hình 23.2 Sự tồn tại của các cơ sở mới thành lập năm 2007</w:t>
      </w:r>
    </w:p>
    <w:p>
      <w:bookmarkStart w:id="4861" w:name="Value_of_Nonoperating_Assets__As"/>
      <w:bookmarkStart w:id="4862" w:name="Value_of_Nonoperating_Assets_1"/>
      <w:pPr>
        <w:keepNext/>
        <w:pStyle w:val="Heading 4"/>
        <w:keepLines w:val="on"/>
      </w:pPr>
      <w:r>
        <w:t>Giá trị của tài sản phi hoạt động</w:t>
      </w:r>
      <w:bookmarkEnd w:id="4861"/>
      <w:bookmarkEnd w:id="4862"/>
    </w:p>
    <w:p>
      <w:pPr>
        <w:pStyle w:val="Para 03"/>
      </w:pPr>
      <w:r>
        <w:t>Như với việc định giá bất kỳ doanh nghiệp nào, bạn phải xem xét tiền mặt, chứng khoán có thể bán được và các khoản nắm giữ ở các công ty khác khi định giá một doanh nghiệp. Lưu ý cảnh báo duy nhất mà chúng tôi muốn thêm vào là các công ty non trẻ có thể đốt cháy số dư tiền mặt đáng kể trong thời gian ngắn vì hoạt động của chúng rút tiền mặt ra thay vì tạo ra tiền. Do đó, số dư tiền mặt từ báo cáo tài chính gần nhất, đặc biệt nếu những báo cáo đó đã cũ hơn vài tháng, có thể rất khác so với số dư tiền mặt hiện tại.</w:t>
      </w:r>
    </w:p>
    <w:p>
      <w:pPr>
        <w:pStyle w:val="Para 03"/>
      </w:pPr>
      <w:r>
        <w:t>Vì các công ty non trẻ thường nắm giữ cổ phần ở các công ty non trẻ khác, cũng có nguy cơ rằng các khoản đầu tư vào công ty khác có thể được ghi trên sổ sách với giá trị không phản ánh đúng giá trị thực của chúng. Nếu chỉ có một hoặc hai khoản nắm giữ lớn, bạn cũng nên định giá những khoản nắm giữ đó bằng các phương pháp dựa trên dòng tiền.</w:t>
      </w:r>
    </w:p>
    <w:p>
      <w:pPr>
        <w:pStyle w:val="Para 20"/>
      </w:pPr>
      <w:r>
        <w:rPr>
          <w:rStyle w:val="Text26"/>
        </w:rPr>
        <w:bookmarkStart w:id="4863" w:name="Page_748"/>
        <w:t/>
        <w:bookmarkEnd w:id="4863"/>
      </w:r>
      <w:r>
        <w:t xml:space="preserve"> </w:t>
      </w:r>
    </w:p>
    <w:p>
      <w:pPr>
        <w:pStyle w:val="Para 11"/>
      </w:pPr>
      <w:r>
        <w:t/>
        <w:t xml:space="preserve"> </w:t>
      </w:r>
    </w:p>
    <w:p>
      <w:bookmarkStart w:id="4864" w:name="ILLUSTRATION_23_5__Estimating_Fi"/>
      <w:bookmarkStart w:id="4865" w:name="ILLUSTRATION_23_5__Estimating_Fi_1"/>
      <w:pPr>
        <w:keepNext/>
        <w:pStyle w:val="Para 19"/>
        <w:keepLines w:val="on"/>
      </w:pPr>
      <w:r>
        <w:t>MINH HỌA 23.5: Ước tính giá trị doanh nghiệp—Airbnb</w:t>
      </w:r>
      <w:bookmarkEnd w:id="4864"/>
      <w:bookmarkEnd w:id="4865"/>
    </w:p>
    <w:p>
      <w:pPr>
        <w:pStyle w:val="Para 04"/>
        <w:keepLines w:val="on"/>
      </w:pPr>
      <w:r>
        <w:t>Để ước tính giá trị doanh nghiệp, chúng ta bắt đầu bằng việc chiết khấu dòng tiền tự do của doanh nghiệp (FCFF) được ước tính trong Minh họa 23.3 theo chi phí vốn được ước tính trong Minh họa 23.4, trong Bảng 23.5 sau đây (với giá trị tính bằng đô la, đơn vị triệu):</w:t>
      </w:r>
    </w:p>
    <w:p>
      <w:pPr>
        <w:pStyle w:val="Para 25"/>
        <w:keepLines w:val="on"/>
      </w:pPr>
      <w:r>
        <w:t>Bảng 23.5</w:t>
      </w:r>
    </w:p>
    <w:p>
      <w:pPr>
        <w:keepNext/>
        <w:pStyle w:val="Para 24"/>
        <w:keepLines w:val="on"/>
      </w:pPr>
      <w:r>
        <w:t>Giá trị hiện tại của FCFF cho Airbnb (tính bằng $ triệu)</w:t>
      </w:r>
    </w:p>
    <w:tbl>
      <w:tblPr>
        <w:tblW w:type="auto" w:w="0"/>
      </w:tblPr>
      <w:tr>
        <w:tc>
          <w:tcPr>
            <w:tcW w:type="auto" w:w="0"/>
          </w:tcPr>
          <w:tbl>
            <w:tblPr>
              <w:tblW w:type="pct" w:w="500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FCFF</w:t>
                  </w:r>
                </w:p>
              </w:tc>
              <w:tc>
                <w:tcPr>
                  <w:tcW w:type="auto" w:w="0"/>
                  <w:shd w:val="clear" w:color="auto" w:fill="F0F0F0"/>
                </w:tcPr>
                <w:p>
                  <w:pPr>
                    <w:pStyle w:val="Para 05"/>
                    <w:keepLines w:val="on"/>
                  </w:pPr>
                  <w:r>
                    <w:t>Chi phí vốn</w:t>
                  </w:r>
                </w:p>
              </w:tc>
              <w:tc>
                <w:tcPr>
                  <w:tcW w:type="auto" w:w="0"/>
                  <w:shd w:val="clear" w:color="auto" w:fill="F0F0F0"/>
                </w:tcPr>
                <w:p>
                  <w:pPr>
                    <w:pStyle w:val="Para 05"/>
                    <w:keepLines w:val="on"/>
                  </w:pPr>
                  <w:r>
                    <w:t>Hệ số chiết khấu lũy tích</w:t>
                  </w:r>
                </w:p>
              </w:tc>
              <w:tc>
                <w:tcPr>
                  <w:tcW w:type="auto" w:w="0"/>
                  <w:shd w:val="clear" w:color="auto" w:fill="F0F0F0"/>
                </w:tcPr>
                <w:p>
                  <w:pPr>
                    <w:pStyle w:val="Para 05"/>
                    <w:keepLines w:val="on"/>
                  </w:pPr>
                  <w:r>
                    <w:t>PV(FCFF)</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–$1.002</w:t>
                  </w:r>
                </w:p>
              </w:tc>
              <w:tc>
                <w:tcPr>
                  <w:tcW w:type="auto" w:w="0"/>
                  <w:shd w:val="clear" w:color="auto" w:fill="F0F0F0"/>
                </w:tcPr>
                <w:p>
                  <w:pPr>
                    <w:pStyle w:val="Normal"/>
                    <w:keepLines w:val="on"/>
                  </w:pPr>
                  <w:r>
                    <w:t>6,50%</w:t>
                  </w:r>
                </w:p>
              </w:tc>
              <w:tc>
                <w:tcPr>
                  <w:tcW w:type="auto" w:w="0"/>
                  <w:shd w:val="clear" w:color="auto" w:fill="F0F0F0"/>
                </w:tcPr>
                <w:p>
                  <w:pPr>
                    <w:pStyle w:val="Normal"/>
                    <w:keepLines w:val="on"/>
                  </w:pPr>
                  <w:r>
                    <w:t>1,0650</w:t>
                  </w:r>
                </w:p>
              </w:tc>
              <w:tc>
                <w:tcPr>
                  <w:tcW w:type="auto" w:w="0"/>
                  <w:shd w:val="clear" w:color="auto" w:fill="F0F0F0"/>
                </w:tcPr>
                <w:p>
                  <w:pPr>
                    <w:pStyle w:val="Normal"/>
                    <w:keepLines w:val="on"/>
                  </w:pPr>
                  <w:r>
                    <w:t>–$941</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–$829</w:t>
                  </w:r>
                </w:p>
              </w:tc>
              <w:tc>
                <w:tcPr>
                  <w:tcW w:type="auto" w:w="0"/>
                  <w:shd w:val="clear" w:color="auto" w:fill="F0F0F0"/>
                </w:tcPr>
                <w:p>
                  <w:pPr>
                    <w:pStyle w:val="Normal"/>
                    <w:keepLines w:val="on"/>
                  </w:pPr>
                  <w:r>
                    <w:t>6,50%</w:t>
                  </w:r>
                </w:p>
              </w:tc>
              <w:tc>
                <w:tcPr>
                  <w:tcW w:type="auto" w:w="0"/>
                  <w:shd w:val="clear" w:color="auto" w:fill="F0F0F0"/>
                </w:tcPr>
                <w:p>
                  <w:pPr>
                    <w:pStyle w:val="Normal"/>
                    <w:keepLines w:val="on"/>
                  </w:pPr>
                  <w:r>
                    <w:t>1,1343</w:t>
                  </w:r>
                </w:p>
              </w:tc>
              <w:tc>
                <w:tcPr>
                  <w:tcW w:type="auto" w:w="0"/>
                  <w:shd w:val="clear" w:color="auto" w:fill="F0F0F0"/>
                </w:tcPr>
                <w:p>
                  <w:pPr>
                    <w:pStyle w:val="Normal"/>
                    <w:keepLines w:val="on"/>
                  </w:pPr>
                  <w:r>
                    <w:t>–$731</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6,50%</w:t>
                  </w:r>
                </w:p>
              </w:tc>
              <w:tc>
                <w:tcPr>
                  <w:tcW w:type="auto" w:w="0"/>
                  <w:shd w:val="clear" w:color="auto" w:fill="F0F0F0"/>
                </w:tcPr>
                <w:p>
                  <w:pPr>
                    <w:pStyle w:val="Normal"/>
                    <w:keepLines w:val="on"/>
                  </w:pPr>
                  <w:r>
                    <w:t>1,2081</w:t>
                  </w:r>
                </w:p>
              </w:tc>
              <w:tc>
                <w:tcPr>
                  <w:tcW w:type="auto" w:w="0"/>
                  <w:shd w:val="clear" w:color="auto" w:fill="F0F0F0"/>
                </w:tcPr>
                <w:p>
                  <w:pPr>
                    <w:pStyle w:val="Normal"/>
                    <w:keepLines w:val="on"/>
                  </w:pPr>
                  <w:r>
                    <w:t>–$621</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–$612</w:t>
                  </w:r>
                </w:p>
              </w:tc>
              <w:tc>
                <w:tcPr>
                  <w:tcW w:type="auto" w:w="0"/>
                  <w:shd w:val="clear" w:color="auto" w:fill="F0F0F0"/>
                </w:tcPr>
                <w:p>
                  <w:pPr>
                    <w:pStyle w:val="Normal"/>
                    <w:keepLines w:val="on"/>
                  </w:pPr>
                  <w:r>
                    <w:t>6,50%</w:t>
                  </w:r>
                </w:p>
              </w:tc>
              <w:tc>
                <w:tcPr>
                  <w:tcW w:type="auto" w:w="0"/>
                  <w:shd w:val="clear" w:color="auto" w:fill="F0F0F0"/>
                </w:tcPr>
                <w:p>
                  <w:pPr>
                    <w:pStyle w:val="Normal"/>
                    <w:keepLines w:val="on"/>
                  </w:pPr>
                  <w:r>
                    <w:t>1,2866</w:t>
                  </w:r>
                </w:p>
              </w:tc>
              <w:tc>
                <w:tcPr>
                  <w:tcW w:type="auto" w:w="0"/>
                  <w:shd w:val="clear" w:color="auto" w:fill="F0F0F0"/>
                </w:tcPr>
                <w:p>
                  <w:pPr>
                    <w:pStyle w:val="Normal"/>
                    <w:keepLines w:val="on"/>
                  </w:pPr>
                  <w:r>
                    <w:t>–$476</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–$478</w:t>
                  </w:r>
                </w:p>
              </w:tc>
              <w:tc>
                <w:tcPr>
                  <w:tcW w:type="auto" w:w="0"/>
                  <w:shd w:val="clear" w:color="auto" w:fill="F0F0F0"/>
                </w:tcPr>
                <w:p>
                  <w:pPr>
                    <w:pStyle w:val="Normal"/>
                    <w:keepLines w:val="on"/>
                  </w:pPr>
                  <w:r>
                    <w:t>6,50%</w:t>
                  </w:r>
                </w:p>
              </w:tc>
              <w:tc>
                <w:tcPr>
                  <w:tcW w:type="auto" w:w="0"/>
                  <w:shd w:val="clear" w:color="auto" w:fill="F0F0F0"/>
                </w:tcPr>
                <w:p>
                  <w:pPr>
                    <w:pStyle w:val="Normal"/>
                    <w:keepLines w:val="on"/>
                  </w:pPr>
                  <w:r>
                    <w:t>1,3703</w:t>
                  </w:r>
                </w:p>
              </w:tc>
              <w:tc>
                <w:tcPr>
                  <w:tcW w:type="auto" w:w="0"/>
                  <w:shd w:val="clear" w:color="auto" w:fill="F0F0F0"/>
                </w:tcPr>
                <w:p>
                  <w:pPr>
                    <w:pStyle w:val="Normal"/>
                    <w:keepLines w:val="on"/>
                  </w:pPr>
                  <w:r>
                    <w:t>–$349</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–$647</w:t>
                  </w:r>
                </w:p>
              </w:tc>
              <w:tc>
                <w:tcPr>
                  <w:tcW w:type="auto" w:w="0"/>
                  <w:shd w:val="clear" w:color="auto" w:fill="F0F0F0"/>
                </w:tcPr>
                <w:p>
                  <w:pPr>
                    <w:pStyle w:val="Normal"/>
                    <w:keepLines w:val="on"/>
                  </w:pPr>
                  <w:r>
                    <w:t>6,63%</w:t>
                  </w:r>
                </w:p>
              </w:tc>
              <w:tc>
                <w:tcPr>
                  <w:tcW w:type="auto" w:w="0"/>
                  <w:shd w:val="clear" w:color="auto" w:fill="F0F0F0"/>
                </w:tcPr>
                <w:p>
                  <w:pPr>
                    <w:pStyle w:val="Normal"/>
                    <w:keepLines w:val="on"/>
                  </w:pPr>
                  <w:r>
                    <w:t>1,4611</w:t>
                  </w:r>
                </w:p>
              </w:tc>
              <w:tc>
                <w:tcPr>
                  <w:tcW w:type="auto" w:w="0"/>
                  <w:shd w:val="clear" w:color="auto" w:fill="F0F0F0"/>
                </w:tcPr>
                <w:p>
                  <w:pPr>
                    <w:pStyle w:val="Normal"/>
                    <w:keepLines w:val="on"/>
                  </w:pPr>
                  <w:r>
                    <w:t>–$442</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$137</w:t>
                  </w:r>
                </w:p>
              </w:tc>
              <w:tc>
                <w:tcPr>
                  <w:tcW w:type="auto" w:w="0"/>
                  <w:shd w:val="clear" w:color="auto" w:fill="F0F0F0"/>
                </w:tcPr>
                <w:p>
                  <w:pPr>
                    <w:pStyle w:val="Normal"/>
                    <w:keepLines w:val="on"/>
                  </w:pPr>
                  <w:r>
                    <w:t>6,75%</w:t>
                  </w:r>
                </w:p>
              </w:tc>
              <w:tc>
                <w:tcPr>
                  <w:tcW w:type="auto" w:w="0"/>
                  <w:shd w:val="clear" w:color="auto" w:fill="F0F0F0"/>
                </w:tcPr>
                <w:p>
                  <w:pPr>
                    <w:pStyle w:val="Normal"/>
                    <w:keepLines w:val="on"/>
                  </w:pPr>
                  <w:r>
                    <w:t>1,5597</w:t>
                  </w:r>
                </w:p>
              </w:tc>
              <w:tc>
                <w:tcPr>
                  <w:tcW w:type="auto" w:w="0"/>
                  <w:shd w:val="clear" w:color="auto" w:fill="F0F0F0"/>
                </w:tcPr>
                <w:p>
                  <w:pPr>
                    <w:pStyle w:val="Normal"/>
                    <w:keepLines w:val="on"/>
                  </w:pPr>
                  <w:r>
                    <w:t>$88</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$1.183</w:t>
                  </w:r>
                </w:p>
              </w:tc>
              <w:tc>
                <w:tcPr>
                  <w:tcW w:type="auto" w:w="0"/>
                  <w:shd w:val="clear" w:color="auto" w:fill="F0F0F0"/>
                </w:tcPr>
                <w:p>
                  <w:pPr>
                    <w:pStyle w:val="Normal"/>
                    <w:keepLines w:val="on"/>
                  </w:pPr>
                  <w:r>
                    <w:t>6,87%</w:t>
                  </w:r>
                </w:p>
              </w:tc>
              <w:tc>
                <w:tcPr>
                  <w:tcW w:type="auto" w:w="0"/>
                  <w:shd w:val="clear" w:color="auto" w:fill="F0F0F0"/>
                </w:tcPr>
                <w:p>
                  <w:pPr>
                    <w:pStyle w:val="Normal"/>
                    <w:keepLines w:val="on"/>
                  </w:pPr>
                  <w:r>
                    <w:t>1,6669</w:t>
                  </w:r>
                </w:p>
              </w:tc>
              <w:tc>
                <w:tcPr>
                  <w:tcW w:type="auto" w:w="0"/>
                  <w:shd w:val="clear" w:color="auto" w:fill="F0F0F0"/>
                </w:tcPr>
                <w:p>
                  <w:pPr>
                    <w:pStyle w:val="Normal"/>
                    <w:keepLines w:val="on"/>
                  </w:pPr>
                  <w:r>
                    <w:t>$710</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$2.413</w:t>
                  </w:r>
                </w:p>
              </w:tc>
              <w:tc>
                <w:tcPr>
                  <w:tcW w:type="auto" w:w="0"/>
                  <w:shd w:val="clear" w:color="auto" w:fill="F0F0F0"/>
                </w:tcPr>
                <w:p>
                  <w:pPr>
                    <w:pStyle w:val="Normal"/>
                    <w:keepLines w:val="on"/>
                  </w:pPr>
                  <w:r>
                    <w:t>7,00%</w:t>
                  </w:r>
                </w:p>
              </w:tc>
              <w:tc>
                <w:tcPr>
                  <w:tcW w:type="auto" w:w="0"/>
                  <w:shd w:val="clear" w:color="auto" w:fill="F0F0F0"/>
                </w:tcPr>
                <w:p>
                  <w:pPr>
                    <w:pStyle w:val="Normal"/>
                    <w:keepLines w:val="on"/>
                  </w:pPr>
                  <w:r>
                    <w:t>1,7836</w:t>
                  </w:r>
                </w:p>
              </w:tc>
              <w:tc>
                <w:tcPr>
                  <w:tcW w:type="auto" w:w="0"/>
                  <w:shd w:val="clear" w:color="auto" w:fill="F0F0F0"/>
                </w:tcPr>
                <w:p>
                  <w:pPr>
                    <w:pStyle w:val="Normal"/>
                    <w:keepLines w:val="on"/>
                  </w:pPr>
                  <w:r>
                    <w:t>$1.353</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$3.696</w:t>
                  </w:r>
                </w:p>
              </w:tc>
              <w:tc>
                <w:tcPr>
                  <w:tcW w:type="auto" w:w="0"/>
                  <w:shd w:val="clear" w:color="auto" w:fill="F0F0F0"/>
                </w:tcPr>
                <w:p>
                  <w:pPr>
                    <w:pStyle w:val="Normal"/>
                    <w:keepLines w:val="on"/>
                  </w:pPr>
                  <w:r>
                    <w:t>7,12%</w:t>
                  </w:r>
                </w:p>
              </w:tc>
              <w:tc>
                <w:tcPr>
                  <w:tcW w:type="auto" w:w="0"/>
                  <w:shd w:val="clear" w:color="auto" w:fill="F0F0F0"/>
                </w:tcPr>
                <w:p>
                  <w:pPr>
                    <w:pStyle w:val="Normal"/>
                    <w:keepLines w:val="on"/>
                  </w:pPr>
                  <w:r>
                    <w:t>1,9105</w:t>
                  </w:r>
                </w:p>
              </w:tc>
              <w:tc>
                <w:tcPr>
                  <w:tcW w:type="auto" w:w="0"/>
                  <w:shd w:val="clear" w:color="auto" w:fill="F0F0F0"/>
                </w:tcPr>
                <w:p>
                  <w:pPr>
                    <w:pStyle w:val="Normal"/>
                    <w:keepLines w:val="on"/>
                  </w:pPr>
                  <w:r>
                    <w:t>$1.935</w:t>
                  </w:r>
                </w:p>
              </w:tc>
            </w:tr>
          </w:tbl>
          <w:p/>
        </w:tc>
      </w:tr>
    </w:tbl>
    <w:p>
      <w:pPr>
        <w:pStyle w:val="Para 04"/>
        <w:keepLines w:val="on"/>
      </w:pPr>
      <w:r>
        <w:t>Lưu ý rằng chi phí vốn thay đổi theo thời gian buộc chúng ta phải tính toán chi phí vốn lũy tích (cumulated cost of capital). Giá trị hiện tại của dòng tiền tự do (free cash flow) trong giai đoạn tăng trưởng cao lên tới 526 triệu đô la.</w:t>
      </w:r>
    </w:p>
    <w:p>
      <w:pPr>
        <w:pStyle w:val="Para 04"/>
        <w:keepLines w:val="on"/>
      </w:pPr>
      <w:r>
        <w:t>Vào cuối năm thứ 10, chúng ta giả định Airbnb đang ở giai đoạn tăng trưởng ổn định, tăng trưởng 2% mỗi năm, đồng thời duy trì tỷ suất sinh lợi trên vốn (return on capital) là 10%. Tỷ lệ tái đầu tư (reinvestment rate) trong giai đoạn ổn định được tính là 20%:</w:t>
      </w:r>
    </w:p>
    <w:p>
      <w:bookmarkStart w:id="4868" w:name="Stable_reinvestment_rate_Stable"/>
      <w:pPr>
        <w:keepNext/>
        <w:pStyle w:val="Para 07"/>
        <w:keepLines w:val="on"/>
      </w:pPr>
      <w:r>
        <w:t>Tỷ lệ tái đầu tư ổn định = Tốc độ tăng trưởng ổn định / ROIC ổn định = 2% / 10% = 20%</w:t>
      </w:r>
      <w:bookmarkEnd w:id="4868"/>
    </w:p>
    <w:p>
      <w:pPr>
        <w:pStyle w:val="Para 04"/>
        <w:keepLines w:val="on"/>
      </w:pPr>
      <w:r>
        <w:t>Giá trị cuối kỳ (vào cuối năm thứ 10) sau đó có thể được tính bằng thu nhập hoạt động trong năm thứ 11 (xem Minh họa 23.2):</w:t>
      </w:r>
    </w:p>
    <w:p>
      <w:bookmarkStart w:id="4869" w:name="Terminal_value_EBIT10__1_t__1_st"/>
      <w:pPr>
        <w:keepNext/>
        <w:pStyle w:val="Para 07"/>
        <w:keepLines w:val="on"/>
      </w:pPr>
      <w:r>
        <w:t>Giá trị cuối kỳ = EBIT10 (1-t)(1+tốc độ tăng trưởng ổn định)(1−Tỷ lệ tái đầu tư) / (Chi phí vốn−Tốc độ tăng trưởng ổn định) = 4.007(1,02)(1−0,20) / (0,0712−0,02) = 63.860 triệu đô la</w:t>
      </w:r>
      <w:bookmarkEnd w:id="4869"/>
    </w:p>
    <w:p>
      <w:pPr>
        <w:pStyle w:val="Para 04"/>
        <w:keepLines w:val="on"/>
      </w:pPr>
      <w:r>
        <w:t>Chiết khấu giá trị cuối kỳ trở lại theo chi phí vốn tích lũy vào năm thứ 10 và cộng vào giá trị hiện tại của FCFF trong 10 năm tới, chúng ta có (tính bằng nghìn đô la)</w:t>
      </w:r>
    </w:p>
    <w:p>
      <w:bookmarkStart w:id="4870" w:name="Value_of_operating_assets_PV_of_1"/>
      <w:pPr>
        <w:keepNext/>
        <w:pStyle w:val="Para 07"/>
        <w:keepLines w:val="on"/>
      </w:pPr>
      <w:r>
        <w:t>Giá trị tài sản hoạt động = PV của dòng tiền trong năm 1-10 + PV của giá trị cuối kỳ = 526 đô la + 63.860 đô la / 1,9105 = 33.951 triệu đô la</w:t>
      </w:r>
      <w:bookmarkEnd w:id="4870"/>
    </w:p>
    <w:p>
      <w:pPr>
        <w:pStyle w:val="Para 04"/>
        <w:keepLines w:val="on"/>
      </w:pPr>
      <w:r>
        <w:t>Mặc dù Airbnb có tiềm năng, nhưng đây là một doanh nghiệp thua lỗ, với nhiều năm đốt tiền phía trước. Đợt IPO sẽ bổ sung vào số dư tiền mặt của công ty, nhưng chúng tôi đánh giá có 10% khả năng thất bại, và giả định rằng nếu điều đó xảy ra, công ty sẽ phải được bán với giá bằng một nửa giá trị hợp lý của nó. Giá trị kỳ vọng của tài sản hoạt động, với rủi ro thất bại được tính vào:</w:t>
      </w:r>
    </w:p>
    <w:p>
      <w:bookmarkStart w:id="4871" w:name="Value_of_operating_assets_adjust"/>
      <w:pPr>
        <w:keepNext/>
        <w:pStyle w:val="Para 07"/>
        <w:keepLines w:val="on"/>
      </w:pPr>
      <w:r>
        <w:t>Giá trị tài sản hoạt động (điều chỉnh cho thất bại) = Giá trị tài sản hoạt động (1−Xác suất thất bại) + Giá trị thanh lý khi khốn khó (Xác suất thất bại) = 33.951 đô la (0,90) + 33.951 đô la (0,50)(0,10) = 32.253 triệu đô la</w:t>
      </w:r>
      <w:bookmarkEnd w:id="4871"/>
    </w:p>
    <w:p>
      <w:pPr>
        <w:pStyle w:val="Para 04"/>
        <w:keepLines w:val="on"/>
      </w:pPr>
      <w:r>
        <w:t>Cộng số dư tiền mặt hiện tại là 4.495 triệu đô la vào ước tính này và trừ đi khoản nợ 2.192 triệu đô la, chúng ta có giá trị vốn chủ sở hữu:</w:t>
      </w:r>
    </w:p>
    <w:p>
      <w:bookmarkStart w:id="4873" w:name="Value_of_equity_Value_of_operati_2"/>
      <w:pPr>
        <w:keepNext/>
        <w:pStyle w:val="Para 07"/>
        <w:keepLines w:val="on"/>
      </w:pPr>
      <w:r>
        <w:t>Giá trị vốn chủ sở hữu = Giá trị tài sản hoạt động + Tiền mặt − Nợ = 32.253 đô la + 4.495 đô la − 2.192 đô la = 34.556 triệu đô la</w:t>
      </w:r>
      <w:bookmarkEnd w:id="4873"/>
    </w:p>
    <w:p>
      <w:pPr>
        <w:pStyle w:val="Para 03"/>
      </w:pPr>
      <w:r>
        <w:t>Cuối cùng, Airbnb kỳ vọng sẽ huy động được 3 tỷ đô la từ đợt phát hành cổ phiếu lần đầu ra công chúng, và vì số tiền mặt đó sẽ được công ty nắm giữ, giá trị vốn chủ sở hữu gia tăng sau IPO có thể được tính như sau:</w:t>
      </w:r>
    </w:p>
    <w:p>
      <w:bookmarkStart w:id="4874" w:name="Value_of_equity__post_IPO___Valu"/>
      <w:pPr>
        <w:keepNext/>
        <w:pStyle w:val="Para 09"/>
        <w:keepLines w:val="on"/>
      </w:pPr>
      <w:r>
        <w:t>Giá trị vốn chủ sở hữu (sau IPO) = Giá trị vốn chủ sở hữu + Số tiền thu được từ IPO = 34.556 triệu đô la + 3.000 đô la = 37.556 triệu đô la</w:t>
      </w:r>
      <w:bookmarkEnd w:id="4874"/>
    </w:p>
    <w:p>
      <w:bookmarkStart w:id="4875" w:name="Step_7__Estimate_the_Value_of_Eq_1"/>
      <w:bookmarkStart w:id="4876" w:name="Step_7__Estimate_the_Value_of_Eq"/>
      <w:pPr>
        <w:keepNext/>
        <w:pStyle w:val="Heading 3"/>
        <w:keepLines w:val="on"/>
      </w:pPr>
      <w:r>
        <w:t>Bước 7: Ước tính Giá trị Vốn chủ sở hữu và Giá trị trên mỗi Cổ phần</w:t>
      </w:r>
      <w:bookmarkEnd w:id="4875"/>
      <w:bookmarkEnd w:id="4876"/>
    </w:p>
    <w:p>
      <w:pPr>
        <w:pStyle w:val="Para 03"/>
      </w:pPr>
      <w:r>
        <w:t>Để đi từ giá trị doanh nghiệp đến giá trị vốn chủ sở hữu, chúng ta thường trừ đi tất cả các khoản yêu sách không phải vốn chủ sở hữu đối với doanh nghiệp. Đối với các doanh nghiệp trưởng thành, các khoản yêu sách không phải vốn chủ sở hữu tồn tại dưới dạng nợ ngân hàng và trái phiếu đang lưu hành. Đối với các doanh nghiệp non trẻ, cũng có thể có các khoản yêu sách vốn chủ sở hữu ưu đãi cần được định giá và trừ đi để đi đến giá trị của vốn chủ sở hữu phổ thông.</w:t>
      </w:r>
    </w:p>
    <w:p>
      <w:pPr>
        <w:pStyle w:val="Para 03"/>
      </w:pPr>
      <w:r>
        <w:t>Để đi từ giá trị vốn chủ sở hữu đến giá trị trên mỗi cổ phần, bạn phải xem xét các quyền chọn vốn chủ sở hữu đang lưu hành của doanh nghiệp. Trong Chương 16, chúng tôi đã lập luận rằng đây là việc cần làm đối với tất cả các doanh nghiệp, nhưng nó trở nên đặc biệt quan trọng với các doanh nghiệp khởi nghiệp non trẻ, bởi vì giá trị của các quyền chọn đang lưu hành có thể chiếm một phần lớn hơn nhiều trong tổng giá trị vốn chủ sở hữu. Với tầm quan trọng của những khoản yêu sách này, chúng tôi đề xuất rằng các quyền chọn — đã được trao quyền cũng như chưa được trao quyền — nên được định giá bằng một mô hình định giá quyền chọn, và giá trị của các quyền chọn nên được trừ khỏi giá trị vốn chủ sở hữu để đi đến giá trị vốn chủ sở hữu trong cổ phiếu phổ thông. Giá trị này sau đó nên được chia cho số lượng cổ phiếu thực tế đang lưu hành để đi đến giá trị vốn chủ sở hữu trên mỗi cổ phần. Vì Airbnb sẽ phải phát hành thêm cổ phiếu trong vài năm tới để trang trải nhu cầu tái đầu tư của mình, bạn có thể thắc mắc tại sao chúng tôi không đưa thêm số cổ phiếu này vào khi tính giá trị trên mỗi cổ phần. Việc giảm giá trị 1.306 triệu đô la trong Minh họa 23.5, từ việc đưa vào dòng tiền kỳ vọng trong 10 năm tới, có thể được coi là khoản chiết khấu pha loãng đối với giá trị hiện tại, và việc đưa thêm số cổ phiếu vào mẫu số sẽ là tính trùng hai lần.</w:t>
      </w:r>
    </w:p>
    <w:p>
      <w:pPr>
        <w:pStyle w:val="Para 11"/>
      </w:pPr>
      <w:r>
        <w:t/>
        <w:t xml:space="preserve"> </w:t>
      </w:r>
    </w:p>
    <w:p>
      <w:bookmarkStart w:id="4877" w:name="ILLUSTRATION_23_6__Valuing_Equit"/>
      <w:bookmarkStart w:id="4878" w:name="ILLUSTRATION_23_6__Valuing_Equit_1"/>
      <w:pPr>
        <w:keepNext/>
        <w:pStyle w:val="Para 19"/>
        <w:keepLines w:val="on"/>
      </w:pPr>
      <w:r>
        <w:t>MINH HỌA 23.6: Định giá Vốn chủ sở hữu trên mỗi Cổ phần—Airbnb</w:t>
      </w:r>
      <w:bookmarkEnd w:id="4877"/>
      <w:bookmarkEnd w:id="4878"/>
    </w:p>
    <w:p>
      <w:pPr>
        <w:pStyle w:val="Para 04"/>
        <w:keepLines w:val="on"/>
      </w:pPr>
      <w:r>
        <w:t>Trong Minh họa 23.5, chúng tôi đã ước tính giá trị vốn chủ sở hữu của Airbnb là 37.556 triệu đô la. Có 671,06 triệu cổ phiếu đang lưu hành, bao gồm cả cổ phiếu hạn chế, nhưng Airbnb (phản ánh nguồn gốc công nghệ của mình) cũng có 44,84 triệu quyền chọn đang lưu hành, với giá thực hiện trung bình là 11,43 đô la và còn 5 năm nữa là hết hạn. Dựa trên Chương 16, có ba cách để chúng ta điều chỉnh cho các quyền chọn này:</w:t>
      </w:r>
    </w:p>
    <w:p>
      <w:pPr>
        <w:numPr>
          <w:ilvl w:val="0"/>
          <w:numId w:val="247"/>
        </w:numPr>
        <w:pStyle w:val="Para 18"/>
        <w:keepLines w:val="on"/>
      </w:pPr>
      <w:r>
        <w:t>Cách tiếp cận pha loãng hoàn toàn: Chúng ta chia giá trị vốn chủ sở hữu cho số lượng cổ phiếu pha loãng hoàn toàn:</w:t>
      </w:r>
    </w:p>
    <w:p>
      <w:bookmarkStart w:id="4879" w:name="Value_per_share_37556__671_06_44"/>
      <w:pPr>
        <w:keepNext/>
        <w:pStyle w:val="Para 07"/>
        <w:keepLines w:val="on"/>
      </w:pPr>
      <w:r>
        <w:t>Giá trị trên mỗi cổ phần = 37556 / (671,06 + 44,84) = 52,46 đô la/cổ phần</w:t>
      </w:r>
      <w:bookmarkEnd w:id="4879"/>
    </w:p>
    <w:p>
      <w:pPr>
        <w:numPr>
          <w:ilvl w:val="0"/>
          <w:numId w:val="248"/>
        </w:numPr>
        <w:pStyle w:val="Para 18"/>
        <w:keepLines w:val="on"/>
      </w:pPr>
      <w:r>
        <w:t>Cách tiếp cận cổ phiếu quỹ: Chúng ta cộng số tiền thu được từ việc thực hiện quyền chọn vào giá trị vốn chủ sở hữu trước khi chia cho số lượng cổ phiếu pha loãng hoàn toàn:</w:t>
      </w:r>
    </w:p>
    <w:p>
      <w:bookmarkStart w:id="4881" w:name="Value_per_share__37556_44_84x_11"/>
      <w:pPr>
        <w:keepNext/>
        <w:pStyle w:val="Para 07"/>
        <w:keepLines w:val="on"/>
      </w:pPr>
      <w:r>
        <w:t>Giá trị trên mỗi cổ phần = (37556 + 44,84 × 11,43 đô la) / (671,06 + 44,84) = 53,18 đô la</w:t>
      </w:r>
      <w:bookmarkEnd w:id="4881"/>
    </w:p>
    <w:p>
      <w:pPr>
        <w:numPr>
          <w:ilvl w:val="0"/>
          <w:numId w:val="249"/>
        </w:numPr>
        <w:pStyle w:val="Para 18"/>
        <w:keepLines w:val="on"/>
      </w:pPr>
      <w:r>
        <w:t>Cách tiếp cận định giá quyền chọn: Sử dụng độ lệch chuẩn 40%, phản ánh mức biến động cao được kỳ vọng ở một công ty mới lên sàn, trong mô hình Black-Scholes điều chỉnh cho pha loãng, và đặt giá bằng giá trị nội tại ước tính trên mỗi cổ phần là 53,18 đô la, cho ra giá trị 1.877 triệu đô la cho các quyền chọn và giá trị trên mỗi cổ phần là 53,17 đô la.</w:t>
      </w:r>
    </w:p>
    <w:p>
      <w:bookmarkStart w:id="4882" w:name="Value_per_share_Equity_value_Val"/>
      <w:pPr>
        <w:keepNext/>
        <w:pStyle w:val="Para 07"/>
        <w:keepLines w:val="on"/>
      </w:pPr>
      <w:r>
        <w:t>Giá trị trên mỗi cổ phần = (Giá trị vốn chủ sở hữu − Giá trị quyền chọn) / Số lượng cổ phiếu đang lưu hành = (37.556 − 1.877) / 671,06 = 53,17 đô la/cổ phần</w:t>
      </w:r>
      <w:bookmarkEnd w:id="4882"/>
    </w:p>
    <w:p>
      <w:pPr>
        <w:pStyle w:val="Para 04"/>
        <w:keepLines w:val="on"/>
      </w:pPr>
      <w:r>
        <w:t>Giá chào bán ban đầu được đặt cho Airbnb là 68 đô la, nhưng cổ phiếu đã tăng vọt trong đợt chào bán để đạt mức cao 146 đô la/cổ phần.</w:t>
      </w:r>
    </w:p>
    <w:p>
      <w:bookmarkStart w:id="4883" w:name="Value_Drivers"/>
      <w:bookmarkStart w:id="4884" w:name="Value_Drivers__What_are_the_key"/>
      <w:pPr>
        <w:keepNext/>
        <w:pStyle w:val="Heading 2"/>
        <w:keepLines w:val="on"/>
      </w:pPr>
      <w:r>
        <w:t>Các Yếu tố Dẫn dắt Giá trị</w:t>
      </w:r>
      <w:bookmarkEnd w:id="4883"/>
      <w:bookmarkEnd w:id="4884"/>
    </w:p>
    <w:p>
      <w:pPr>
        <w:pStyle w:val="Para 03"/>
      </w:pPr>
      <w:r>
        <w:t>Những đầu vào chính nào quyết định giá trị của một doanh nghiệp tăng trưởng cao non trẻ với thu nhập âm? Nói chung, những đầu vào có tác động lớn nhất đến giá trị là các ước tính về biên lợi nhuận bền vững và tăng trưởng doanh thu. Ở mức độ thấp hơn, các giả định về việc doanh nghiệp sẽ mất bao lâu để đạt được biên lợi nhuận bền vững và nhu cầu tái đầu tư trong giai đoạn tăng trưởng ổn định cũng có tác động đến giá trị.</w:t>
      </w:r>
    </w:p>
    <w:p>
      <w:pPr>
        <w:pStyle w:val="Para 03"/>
      </w:pPr>
      <w:r>
        <w:t>Về mặt thực tế, phần lớn giá trị của những công ty này đến từ giá trị cuối kỳ (terminal value). Dù điều này có thể gây khó chịu, nó phản ánh đúng cách nhà đầu tư kiếm lợi nhuận từ những công ty này. Lợi ích mà các nhà đầu tư này nhận được mang hình thức tăng giá cổ phiếu chứ không phải cổ tức hay mua lại cổ phần. Một cách khác để giải thích sự phụ thuộc vào giá trị cuối kỳ và tầm quan trọng của giả định tăng trưởng bền vững là xét theo tài sản hiện có (assets in place) và tăng trưởng tiềm năng trong tương lai. Giá trị của bất kỳ công ty nào cũng có thể được viết dưới dạng tổng của hai thành phần:</w:t>
      </w:r>
    </w:p>
    <w:p>
      <w:bookmarkStart w:id="4885" w:name="Value_of_firm_Value_of_assets_in"/>
      <w:pPr>
        <w:keepNext/>
        <w:pStyle w:val="Para 09"/>
        <w:keepLines w:val="on"/>
      </w:pPr>
      <w:r>
        <w:t>Giá trị công ty = Giá trị tài sản hiện có + Giá trị tiềm năng tăng trưởng</w:t>
      </w:r>
      <w:bookmarkEnd w:id="4885"/>
    </w:p>
    <w:p>
      <w:pPr>
        <w:pStyle w:val="Para 03"/>
      </w:pPr>
      <w:r>
        <w:t>Đối với các công ty khởi nghiệp có lợi nhuận âm, gần như toàn bộ giá trị có thể được quy cho thành phần thứ hai. Không có gì đáng ngạc nhiên khi giá trị công ty được quyết định bởi các giả định về thành phần này.</w:t>
      </w:r>
    </w:p>
    <w:p>
      <w:pPr>
        <w:pStyle w:val="Para 11"/>
      </w:pPr>
      <w:r>
        <w:t/>
        <w:t xml:space="preserve"> </w:t>
      </w:r>
    </w:p>
    <w:p>
      <w:bookmarkStart w:id="4886" w:name="Should_There_Be_a_Discount_for_L"/>
      <w:bookmarkStart w:id="4887" w:name="Should_There_Be_a_Discount_for_L_1"/>
      <w:pPr>
        <w:keepNext/>
        <w:pStyle w:val="Para 27"/>
        <w:keepLines w:val="on"/>
      </w:pPr>
      <w:r>
        <w:t>Có Nên Chiết Khấu cho Lượng Cổ Phiếu Giao Dịch Thấp (LOW Float) Không?</w:t>
      </w:r>
      <w:bookmarkEnd w:id="4886"/>
      <w:bookmarkEnd w:id="4887"/>
    </w:p>
    <w:p>
      <w:pPr>
        <w:pStyle w:val="Para 16"/>
        <w:keepLines w:val="on"/>
      </w:pPr>
      <w:r>
        <w:t>Một số cổ phiếu niêm yết công khai được giao dịch ít, và số lượng cổ phiếu sẵn có để giao dịch (thường được gọi là lượng cổ phiếu tự do chuyển nhượng – float) nhỏ so với tổng số cổ phiếu đang lưu hành.7 Những nhà đầu tư muốn bán cổ phiếu của mình nhanh chóng ở những công ty này thường gặp tác động lên giá khi bán, và tác động này sẽ tăng theo quy mô của khoản nắm giữ.</w:t>
      </w:r>
    </w:p>
    <w:p>
      <w:pPr>
        <w:pStyle w:val="Para 16"/>
        <w:keepLines w:val="on"/>
      </w:pPr>
      <w:r>
        <w:t>Những nhà đầu tư có tầm nhìn dài hạn và ít cần chuyển đổi khoản nắm giữ của mình thành tiền mặt nhanh chóng sẽ gặp vấn đề ít hơn liên quan đến tính thanh khoản kém so với những nhà đầu tư có tầm nhìn ngắn hạn và nhu cầu tiền mặt lớn hơn. Nhà đầu tư nên xem xét khả năng họ sẽ cần chuyển đổi khoản nắm giữ của mình thành tiền mặt nhanh chóng khi họ nhìn vào những cổ phiếu giao dịch ít như những khoản đầu tư tiềm năng, và yêu cầu mức chiết khấu lớn hơn nhiều đối với giá trị trước khi họ nắm giữ vị thế lớn. Ví dụ, giả sử một nhà đầu tư đang xem xét một công ty non trẻ mà cô ấy định giá là 19,05 đô la mỗi cổ phiếu. Cổ phiếu sẽ được định giá thấp nếu nó đang giao dịch ở mức 17 đô la, nhưng nó có thể chưa đủ thấp để một nhà đầu tư ngắn hạn nắm giữ vị thế lớn trong đó. Ngược lại, một nhà đầu tư dài hạn có thể thấy cổ phiếu này là một lựa chọn mua hấp dẫn ở mức giá đó.</w:t>
      </w:r>
    </w:p>
    <w:p>
      <w:pPr>
        <w:pStyle w:val="Para 11"/>
      </w:pPr>
      <w:r>
        <w:t/>
        <w:t xml:space="preserve"> </w:t>
      </w:r>
    </w:p>
    <w:p>
      <w:bookmarkStart w:id="4890" w:name="ILLUSTRATION_23_7__Airbnb__Deali"/>
      <w:bookmarkStart w:id="4891" w:name="ILLUSTRATION_23_7__Airbnb__Deali_1"/>
      <w:pPr>
        <w:keepNext/>
        <w:pStyle w:val="Para 19"/>
        <w:keepLines w:val="on"/>
      </w:pPr>
      <w:r>
        <w:t>MINH HỌA 23.7: Airbnb—Đối phó với sự bất định</w:t>
      </w:r>
      <w:bookmarkEnd w:id="4890"/>
      <w:bookmarkEnd w:id="4891"/>
    </w:p>
    <w:p>
      <w:pPr>
        <w:pStyle w:val="Para 04"/>
        <w:keepLines w:val="on"/>
      </w:pPr>
      <w:r>
        <w:t>Mặc dù có hàng tá giả định làm cơ sở cho giá trị mỗi cổ phiếu là 53,17 đô la mà chúng ta thu được cho Airbnb, có hai giả định chính dẫn dắt giá trị mỗi cổ phiếu. Một là tốc độ tăng trưởng doanh thu trong 10 năm tới: Chúng ta giả định tốc độ tăng trưởng 25% trong tổng đặt phòng (gross bookings) cho các năm 2 đến 5, trước khi tốc độ tăng trưởng giảm xuống mức tăng trưởng ổn định. Hai là biên lợi nhuận hoạt động trước thuế mục tiêu; chúng ta giả định nó sẽ là 25%, cao hơn mức trung bình của ngành ô tô nhưng thấp hơn mức trung bình của các công ty công nghệ.</w:t>
      </w:r>
    </w:p>
    <w:p>
      <w:pPr>
        <w:pStyle w:val="Para 04"/>
        <w:keepLines w:val="on"/>
      </w:pPr>
      <w:r>
        <w:t>Trong Bảng 23.6, chúng ta ước tính giá trị mỗi cổ phiếu như một hàm của tốc độ tăng trưởng doanh thu trong 5 năm tới và biên lợi nhuận hoạt động mục tiêu:</w:t>
      </w:r>
    </w:p>
    <w:p>
      <w:pPr>
        <w:pStyle w:val="Para 25"/>
        <w:keepLines w:val="on"/>
      </w:pPr>
      <w:r>
        <w:t>Bảng 23.6</w:t>
      </w:r>
    </w:p>
    <w:p>
      <w:pPr>
        <w:keepNext/>
        <w:pStyle w:val="Para 24"/>
        <w:keepLines w:val="on"/>
      </w:pPr>
      <w:r>
        <w:t>Giá trị mỗi Cổ phiếu, Tăng trưởng và Biên lợi nhuận—Airbnb</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hMerge w:val="restart"/>
                </w:tcPr>
                <w:p>
                  <w:pPr>
                    <w:pStyle w:val="Para 05"/>
                    <w:keepLines w:val="on"/>
                  </w:pPr>
                  <w:r>
                    <w:t>Biên lợi nhuận hoạt động mục tiêu (năm thứ 10)</w:t>
                  </w:r>
                </w:p>
              </w:tc>
              <w:tc>
                <w:tcPr>
                  <w:hMerge w:val="continue"/>
                </w:tcPr>
                <w:p/>
              </w:tc>
              <w:tc>
                <w:tcPr>
                  <w:hMerge w:val="continue"/>
                </w:tcPr>
                <w:p/>
              </w:tc>
              <w:tc>
                <w:tcPr>
                  <w:hMerge w:val="continue"/>
                </w:tcPr>
                <w:p/>
              </w:tc>
              <w:tc>
                <w:tcPr>
                  <w:hMerge w:val="continue"/>
                </w:tcPr>
                <w:p/>
              </w:tc>
            </w:tr>
            <w:tr>
              <w:tc>
                <w:tcPr>
                  <w:tcW w:type="auto" w:w="0"/>
                  <w:shd w:val="clear" w:color="auto" w:fill="F0F0F0"/>
                  <w:vAlign w:val="center"/>
                  <w:vMerge w:val="restart"/>
                </w:tcPr>
                <w:p>
                  <w:pPr>
                    <w:pStyle w:val="Para 05"/>
                    <w:keepLines w:val="on"/>
                  </w:pPr>
                  <w:r>
                    <w:t>Tốc độ tăng trưởng doanh thu trong 5 năm tới</w:t>
                  </w: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r>
            <w:tr>
              <w:tc>
                <w:tcPr>
                  <w:vMerge w:val="continue"/>
                </w:tcPr>
                <w:p/>
              </w:tc>
              <w:tc>
                <w:tcPr>
                  <w:tcW w:type="auto" w:w="0"/>
                  <w:shd w:val="clear" w:color="auto" w:fill="F0F0F0"/>
                </w:tcPr>
                <w:p>
                  <w:pPr>
                    <w:pStyle w:val="7 Block"/>
                    <w:keepLines w:val="on"/>
                  </w:pP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20%</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30%</w:t>
                  </w:r>
                </w:p>
              </w:tc>
              <w:tc>
                <w:tcPr>
                  <w:tcW w:type="auto" w:w="0"/>
                  <w:shd w:val="clear" w:color="auto" w:fill="F0F0F0"/>
                </w:tcPr>
                <w:p>
                  <w:pPr>
                    <w:pStyle w:val="Normal"/>
                    <w:keepLines w:val="on"/>
                  </w:pPr>
                  <w:r>
                    <w:t>35%</w:t>
                  </w:r>
                </w:p>
              </w:tc>
            </w:tr>
            <w:tr>
              <w:tc>
                <w:tcPr>
                  <w:vMerge w:val="continue"/>
                </w:tcP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16,63 đô la</w:t>
                  </w:r>
                </w:p>
              </w:tc>
              <w:tc>
                <w:tcPr>
                  <w:tcW w:type="auto" w:w="0"/>
                  <w:shd w:val="clear" w:color="auto" w:fill="F0F0F0"/>
                </w:tcPr>
                <w:p>
                  <w:pPr>
                    <w:pStyle w:val="Normal"/>
                    <w:keepLines w:val="on"/>
                  </w:pPr>
                  <w:r>
                    <w:t>21,00 đô la</w:t>
                  </w:r>
                </w:p>
              </w:tc>
              <w:tc>
                <w:tcPr>
                  <w:tcW w:type="auto" w:w="0"/>
                  <w:shd w:val="clear" w:color="auto" w:fill="F0F0F0"/>
                </w:tcPr>
                <w:p>
                  <w:pPr>
                    <w:pStyle w:val="Normal"/>
                    <w:keepLines w:val="on"/>
                  </w:pPr>
                  <w:r>
                    <w:t>25,35 đô la</w:t>
                  </w:r>
                </w:p>
              </w:tc>
              <w:tc>
                <w:tcPr>
                  <w:tcW w:type="auto" w:w="0"/>
                  <w:shd w:val="clear" w:color="auto" w:fill="F0F0F0"/>
                </w:tcPr>
                <w:p>
                  <w:pPr>
                    <w:pStyle w:val="Normal"/>
                    <w:keepLines w:val="on"/>
                  </w:pPr>
                  <w:r>
                    <w:t>29,68 đô la</w:t>
                  </w:r>
                </w:p>
              </w:tc>
              <w:tc>
                <w:tcPr>
                  <w:tcW w:type="auto" w:w="0"/>
                  <w:shd w:val="clear" w:color="auto" w:fill="F0F0F0"/>
                </w:tcPr>
                <w:p>
                  <w:pPr>
                    <w:pStyle w:val="Normal"/>
                    <w:keepLines w:val="on"/>
                  </w:pPr>
                  <w:r>
                    <w:t>34,00 đô la</w:t>
                  </w:r>
                </w:p>
              </w:tc>
            </w:tr>
            <w:tr>
              <w:tc>
                <w:tcPr>
                  <w:vMerge w:val="continue"/>
                </w:tcPr>
                <w:p/>
              </w:tc>
              <w:tc>
                <w:tcPr>
                  <w:tcW w:type="auto" w:w="0"/>
                  <w:shd w:val="clear" w:color="auto" w:fill="F0F0F0"/>
                </w:tcPr>
                <w:p>
                  <w:pPr>
                    <w:pStyle w:val="Normal"/>
                    <w:keepLines w:val="on"/>
                  </w:pPr>
                  <w:r>
                    <w:t>20%</w:t>
                  </w:r>
                </w:p>
              </w:tc>
              <w:tc>
                <w:tcPr>
                  <w:tcW w:type="auto" w:w="0"/>
                  <w:shd w:val="clear" w:color="auto" w:fill="F0F0F0"/>
                </w:tcPr>
                <w:p>
                  <w:pPr>
                    <w:pStyle w:val="Normal"/>
                    <w:keepLines w:val="on"/>
                  </w:pPr>
                  <w:r>
                    <w:t>$23.02</w:t>
                  </w:r>
                </w:p>
              </w:tc>
              <w:tc>
                <w:tcPr>
                  <w:tcW w:type="auto" w:w="0"/>
                  <w:shd w:val="clear" w:color="auto" w:fill="F0F0F0"/>
                </w:tcPr>
                <w:p>
                  <w:pPr>
                    <w:pStyle w:val="Normal"/>
                    <w:keepLines w:val="on"/>
                  </w:pPr>
                  <w:r>
                    <w:t>$30.90</w:t>
                  </w:r>
                </w:p>
              </w:tc>
              <w:tc>
                <w:tcPr>
                  <w:tcW w:type="auto" w:w="0"/>
                  <w:shd w:val="clear" w:color="auto" w:fill="F0F0F0"/>
                </w:tcPr>
                <w:p>
                  <w:pPr>
                    <w:pStyle w:val="Normal"/>
                    <w:keepLines w:val="on"/>
                  </w:pPr>
                  <w:r>
                    <w:t>$38.74</w:t>
                  </w:r>
                </w:p>
              </w:tc>
              <w:tc>
                <w:tcPr>
                  <w:tcW w:type="auto" w:w="0"/>
                  <w:shd w:val="clear" w:color="auto" w:fill="F0F0F0"/>
                </w:tcPr>
                <w:p>
                  <w:pPr>
                    <w:pStyle w:val="Normal"/>
                    <w:keepLines w:val="on"/>
                  </w:pPr>
                  <w:r>
                    <w:t>$46.57</w:t>
                  </w:r>
                </w:p>
              </w:tc>
              <w:tc>
                <w:tcPr>
                  <w:tcW w:type="auto" w:w="0"/>
                  <w:shd w:val="clear" w:color="auto" w:fill="F0F0F0"/>
                </w:tcPr>
                <w:p>
                  <w:pPr>
                    <w:pStyle w:val="Normal"/>
                    <w:keepLines w:val="on"/>
                  </w:pPr>
                  <w:r>
                    <w:t>$54.39</w:t>
                  </w:r>
                </w:p>
              </w:tc>
            </w:tr>
            <w:tr>
              <w:tc>
                <w:tcPr>
                  <w:vMerge w:val="continue"/>
                </w:tcPr>
                <w:p/>
              </w:tc>
              <w:tc>
                <w:tcPr>
                  <w:tcW w:type="auto" w:w="0"/>
                  <w:shd w:val="clear" w:color="auto" w:fill="F0F0F0"/>
                </w:tcPr>
                <w:p>
                  <w:pPr>
                    <w:pStyle w:val="Normal"/>
                    <w:keepLines w:val="on"/>
                  </w:pPr>
                  <w:r>
                    <w:t>30%</w:t>
                  </w:r>
                </w:p>
              </w:tc>
              <w:tc>
                <w:tcPr>
                  <w:tcW w:type="auto" w:w="0"/>
                  <w:shd w:val="clear" w:color="auto" w:fill="F0F0F0"/>
                </w:tcPr>
                <w:p>
                  <w:pPr>
                    <w:pStyle w:val="Normal"/>
                    <w:keepLines w:val="on"/>
                  </w:pPr>
                  <w:r>
                    <w:t>$33.89</w:t>
                  </w:r>
                </w:p>
              </w:tc>
              <w:tc>
                <w:tcPr>
                  <w:tcW w:type="auto" w:w="0"/>
                  <w:shd w:val="clear" w:color="auto" w:fill="F0F0F0"/>
                </w:tcPr>
                <w:p>
                  <w:pPr>
                    <w:pStyle w:val="Normal"/>
                    <w:keepLines w:val="on"/>
                  </w:pPr>
                  <w:r>
                    <w:t>$47.57</w:t>
                  </w:r>
                </w:p>
              </w:tc>
              <w:tc>
                <w:tcPr>
                  <w:tcW w:type="auto" w:w="0"/>
                  <w:shd w:val="clear" w:color="auto" w:fill="F0F0F0"/>
                </w:tcPr>
                <w:p>
                  <w:pPr>
                    <w:pStyle w:val="Normal"/>
                    <w:keepLines w:val="on"/>
                  </w:pPr>
                  <w:r>
                    <w:t>$61.22</w:t>
                  </w:r>
                </w:p>
              </w:tc>
              <w:tc>
                <w:tcPr>
                  <w:tcW w:type="auto" w:w="0"/>
                  <w:shd w:val="clear" w:color="auto" w:fill="F0F0F0"/>
                </w:tcPr>
                <w:p>
                  <w:pPr>
                    <w:pStyle w:val="Normal"/>
                    <w:keepLines w:val="on"/>
                  </w:pPr>
                  <w:r>
                    <w:t>$74.86</w:t>
                  </w:r>
                </w:p>
              </w:tc>
              <w:tc>
                <w:tcPr>
                  <w:tcW w:type="auto" w:w="0"/>
                  <w:shd w:val="clear" w:color="auto" w:fill="F0F0F0"/>
                </w:tcPr>
                <w:p>
                  <w:pPr>
                    <w:pStyle w:val="Normal"/>
                    <w:keepLines w:val="on"/>
                  </w:pPr>
                  <w:r>
                    <w:t>$88.49</w:t>
                  </w:r>
                </w:p>
              </w:tc>
            </w:tr>
            <w:tr>
              <w:tc>
                <w:tcPr>
                  <w:vMerge w:val="continue"/>
                </w:tcP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$51.63</w:t>
                  </w:r>
                </w:p>
              </w:tc>
              <w:tc>
                <w:tcPr>
                  <w:tcW w:type="auto" w:w="0"/>
                  <w:shd w:val="clear" w:color="auto" w:fill="F0F0F0"/>
                </w:tcPr>
                <w:p>
                  <w:pPr>
                    <w:pStyle w:val="Normal"/>
                    <w:keepLines w:val="on"/>
                  </w:pPr>
                  <w:r>
                    <w:t>$74.65</w:t>
                  </w:r>
                </w:p>
              </w:tc>
              <w:tc>
                <w:tcPr>
                  <w:tcW w:type="auto" w:w="0"/>
                  <w:shd w:val="clear" w:color="auto" w:fill="F0F0F0"/>
                </w:tcPr>
                <w:p>
                  <w:pPr>
                    <w:pStyle w:val="Normal"/>
                    <w:keepLines w:val="on"/>
                  </w:pPr>
                  <w:r>
                    <w:t>$97.64</w:t>
                  </w:r>
                </w:p>
              </w:tc>
              <w:tc>
                <w:tcPr>
                  <w:tcW w:type="auto" w:w="0"/>
                  <w:shd w:val="clear" w:color="auto" w:fill="F0F0F0"/>
                </w:tcPr>
                <w:p>
                  <w:pPr>
                    <w:pStyle w:val="Normal"/>
                    <w:keepLines w:val="on"/>
                  </w:pPr>
                  <w:r>
                    <w:t>$120.62</w:t>
                  </w:r>
                </w:p>
              </w:tc>
              <w:tc>
                <w:tcPr>
                  <w:tcW w:type="auto" w:w="0"/>
                  <w:shd w:val="clear" w:color="auto" w:fill="F0F0F0"/>
                </w:tcPr>
                <w:p>
                  <w:pPr>
                    <w:pStyle w:val="Normal"/>
                    <w:keepLines w:val="on"/>
                  </w:pPr>
                  <w:r>
                    <w:t>$143.60</w:t>
                  </w:r>
                </w:p>
              </w:tc>
            </w:tr>
            <w:tr>
              <w:tc>
                <w:tcPr>
                  <w:vMerge w:val="continue"/>
                </w:tcPr>
                <w:p/>
              </w:tc>
              <w:tc>
                <w:tcPr>
                  <w:tcW w:type="auto" w:w="0"/>
                  <w:shd w:val="clear" w:color="auto" w:fill="F0F0F0"/>
                </w:tcPr>
                <w:p>
                  <w:pPr>
                    <w:pStyle w:val="Normal"/>
                    <w:keepLines w:val="on"/>
                  </w:pPr>
                  <w:r>
                    <w:t>50%</w:t>
                  </w:r>
                </w:p>
              </w:tc>
              <w:tc>
                <w:tcPr>
                  <w:tcW w:type="auto" w:w="0"/>
                  <w:shd w:val="clear" w:color="auto" w:fill="F0F0F0"/>
                </w:tcPr>
                <w:p>
                  <w:pPr>
                    <w:pStyle w:val="Normal"/>
                    <w:keepLines w:val="on"/>
                  </w:pPr>
                  <w:r>
                    <w:t>$79.73</w:t>
                  </w:r>
                </w:p>
              </w:tc>
              <w:tc>
                <w:tcPr>
                  <w:tcW w:type="auto" w:w="0"/>
                  <w:shd w:val="clear" w:color="auto" w:fill="F0F0F0"/>
                </w:tcPr>
                <w:p>
                  <w:pPr>
                    <w:pStyle w:val="Normal"/>
                    <w:keepLines w:val="on"/>
                  </w:pPr>
                  <w:r>
                    <w:t>$117.33</w:t>
                  </w:r>
                </w:p>
              </w:tc>
              <w:tc>
                <w:tcPr>
                  <w:tcW w:type="auto" w:w="0"/>
                  <w:shd w:val="clear" w:color="auto" w:fill="F0F0F0"/>
                </w:tcPr>
                <w:p>
                  <w:pPr>
                    <w:pStyle w:val="Normal"/>
                    <w:keepLines w:val="on"/>
                  </w:pPr>
                  <w:r>
                    <w:t>$154.90</w:t>
                  </w:r>
                </w:p>
              </w:tc>
              <w:tc>
                <w:tcPr>
                  <w:tcW w:type="auto" w:w="0"/>
                  <w:shd w:val="clear" w:color="auto" w:fill="F0F0F0"/>
                </w:tcPr>
                <w:p>
                  <w:pPr>
                    <w:pStyle w:val="Normal"/>
                    <w:keepLines w:val="on"/>
                  </w:pPr>
                  <w:r>
                    <w:t>$192.47</w:t>
                  </w:r>
                </w:p>
              </w:tc>
              <w:tc>
                <w:tcPr>
                  <w:tcW w:type="auto" w:w="0"/>
                  <w:shd w:val="clear" w:color="auto" w:fill="F0F0F0"/>
                </w:tcPr>
                <w:p>
                  <w:pPr>
                    <w:pStyle w:val="Normal"/>
                    <w:keepLines w:val="on"/>
                  </w:pPr>
                  <w:r>
                    <w:t>$230.03</w:t>
                  </w:r>
                </w:p>
              </w:tc>
            </w:tr>
            <w:tr>
              <w:tc>
                <w:tcPr>
                  <w:vMerge w:val="continue"/>
                </w:tcPr>
                <w:p/>
              </w:tc>
              <w:tc>
                <w:tcPr>
                  <w:tcW w:type="auto" w:w="0"/>
                  <w:shd w:val="clear" w:color="auto" w:fill="F0F0F0"/>
                </w:tcPr>
                <w:p>
                  <w:pPr>
                    <w:pStyle w:val="Normal"/>
                    <w:keepLines w:val="on"/>
                  </w:pPr>
                  <w:r>
                    <w:t>60%</w:t>
                  </w:r>
                </w:p>
              </w:tc>
              <w:tc>
                <w:tcPr>
                  <w:tcW w:type="auto" w:w="0"/>
                  <w:shd w:val="clear" w:color="auto" w:fill="F0F0F0"/>
                </w:tcPr>
                <w:p>
                  <w:pPr>
                    <w:pStyle w:val="Normal"/>
                    <w:keepLines w:val="on"/>
                  </w:pPr>
                  <w:r>
                    <w:t>$122.99</w:t>
                  </w:r>
                </w:p>
              </w:tc>
              <w:tc>
                <w:tcPr>
                  <w:tcW w:type="auto" w:w="0"/>
                  <w:shd w:val="clear" w:color="auto" w:fill="F0F0F0"/>
                </w:tcPr>
                <w:p>
                  <w:pPr>
                    <w:pStyle w:val="Normal"/>
                    <w:keepLines w:val="on"/>
                  </w:pPr>
                  <w:r>
                    <w:t>182,79 đô la</w:t>
                  </w:r>
                </w:p>
              </w:tc>
              <w:tc>
                <w:tcPr>
                  <w:tcW w:type="auto" w:w="0"/>
                  <w:shd w:val="clear" w:color="auto" w:fill="F0F0F0"/>
                </w:tcPr>
                <w:p>
                  <w:pPr>
                    <w:pStyle w:val="Normal"/>
                    <w:keepLines w:val="on"/>
                  </w:pPr>
                  <w:r>
                    <w:t>242,57 đô la</w:t>
                  </w:r>
                </w:p>
              </w:tc>
              <w:tc>
                <w:tcPr>
                  <w:tcW w:type="auto" w:w="0"/>
                  <w:shd w:val="clear" w:color="auto" w:fill="F0F0F0"/>
                </w:tcPr>
                <w:p>
                  <w:pPr>
                    <w:pStyle w:val="Normal"/>
                    <w:keepLines w:val="on"/>
                  </w:pPr>
                  <w:r>
                    <w:t>302,33 đô la</w:t>
                  </w:r>
                </w:p>
              </w:tc>
              <w:tc>
                <w:tcPr>
                  <w:tcW w:type="auto" w:w="0"/>
                  <w:shd w:val="clear" w:color="auto" w:fill="F0F0F0"/>
                </w:tcPr>
                <w:p>
                  <w:pPr>
                    <w:pStyle w:val="Normal"/>
                    <w:keepLines w:val="on"/>
                  </w:pPr>
                  <w:r>
                    <w:t>362,10 đô la</w:t>
                  </w:r>
                </w:p>
              </w:tc>
            </w:tr>
          </w:tbl>
          <w:p/>
        </w:tc>
      </w:tr>
    </w:tbl>
    <w:p>
      <w:pPr>
        <w:pStyle w:val="Para 04"/>
        <w:keepLines w:val="on"/>
      </w:pPr>
      <w:r>
        <w:t>Để biện minh cho mức giá chào bán 68 đô la, bạn sẽ không cần phải thay đổi các giả định của mình nhiều lắm, vì chỉ cần một tốc độ tăng trưởng cao hơn một chút là bạn đã đạt được mức đó, nhưng sẽ là một bước nhảy vọt lớn hơn nhiều để đạt tới mức 146 đô la mà cổ phiếu đang được giao dịch ngay sau đợt chào bán của nó.</w:t>
      </w:r>
    </w:p>
    <w:p>
      <w:bookmarkStart w:id="4893" w:name="Estimation_Noise__The_framework"/>
      <w:bookmarkStart w:id="4894" w:name="Estimation_Noise"/>
      <w:pPr>
        <w:keepNext/>
        <w:pStyle w:val="Heading 2"/>
        <w:keepLines w:val="on"/>
      </w:pPr>
      <w:r>
        <w:t>Nhiễu trong Ước lượng</w:t>
      </w:r>
      <w:bookmarkEnd w:id="4893"/>
      <w:bookmarkEnd w:id="4894"/>
    </w:p>
    <w:p>
      <w:pPr>
        <w:pStyle w:val="Para 03"/>
      </w:pPr>
      <w:r>
        <w:t>Khung định giá được trình bày trong phần này không nên được coi là một công thức cho sự chính xác. Việc định giá một công ty có lợi nhuận âm, tăng trưởng cao và thông tin hạn chế sẽ luôn có sai số ước lượng. Một cách để trình bày sai số này là dưới dạng một khoảng định giá, và khoảng giá trị cho các công ty này sẽ rất rộng. Điều này thường được các nhà phân tích sử dụng như một cái cớ để không phải trải qua quá trình định giá những công ty như vậy. Nó cũng cung cấp cho những người chỉ trích một lập luận đơn giản để không tin tưởng vào những con số xuất phát từ các mô hình này.</w:t>
      </w:r>
    </w:p>
    <w:p>
      <w:pPr>
        <w:pStyle w:val="Para 03"/>
      </w:pPr>
      <w:r>
        <w:t>Chúng tôi có quan điểm khác. Sai số trong định giá không phải lúc nào cũng phản ánh chất lượng của mô hình định giá, hay của nhà phân tích sử dụng nó, mà là sự bất định thực sự tiềm ẩn về triển vọng tương lai của công ty. Sự bất định này là một thực tế của cuộc sống khi đầu tư vào những công ty như vậy. Trong một phép định giá, chúng ta cố gắng vật lộn với sự bất định này và đưa ra những ước lượng tốt nhất của mình về tương lai. Lưu ý rằng những người coi thường các mô hình định giá vì những sai số tiềm tàng của chúng lại kết thúc bằng việc sử dụng những cách tiếp cận thô sơ hơn nhiều, chẳng hạn như so sánh tỷ lệ giá trên doanh thu giữa các công ty. Sự khác biệt, theo cách chúng tôi nhìn nhận, là họ chọn cách che giấu những bất định dưới tấm thảm và hành xử như thể chúng không tồn tại.</w:t>
      </w:r>
    </w:p>
    <w:p>
      <w:pPr>
        <w:pStyle w:val="Para 03"/>
      </w:pPr>
      <w:r>
        <w:t>Có hai điểm khác cần nói về độ chính xác trong các phép định giá này. Thứ nhất, ngay cả khi một phép định giá là không chính xác, nó vẫn cung cấp một công cụ mạnh mẽ để trả lời câu hỏi điều gì phải xảy ra để mức giá thị trường hiện tại của một công ty được biện minh. Các nhà đầu tư sau đó có thể quyết định liệu họ có thoải mái với những giả định này hay không và đưa ra quyết định mua bán cổ phiếu của mình. Thứ hai, ngay cả khi các phép định giá riêng lẻ là nhiễu, các danh mục đầu tư được xây dựng dựa trên những phép định giá này sẽ được định giá chính xác hơn. Do đó, một nhà đầu tư mua 40 cổ phiếu mà họ đã phát hiện là bị định giá thấp bằng cách sử dụng các mô hình định giá truyền thống, dù với sai số đáng kể, sẽ thấy rằng sai số đó trung bình hóa trên toàn danh mục. Hiệu suất cuối cùng của danh mục sau đó sẽ phản ánh kỹ năng định giá, hoặc sự thiếu vắng chúng, của nhà phân tích.</w:t>
      </w:r>
    </w:p>
    <w:p>
      <w:bookmarkStart w:id="4896" w:name="Implications_for_Investors"/>
      <w:bookmarkStart w:id="4897" w:name="Implications_for_Investors__From"/>
      <w:pPr>
        <w:keepNext/>
        <w:pStyle w:val="Heading 3"/>
        <w:keepLines w:val="on"/>
      </w:pPr>
      <w:r>
        <w:t>Hàm ý cho các Nhà đầu tư</w:t>
      </w:r>
      <w:bookmarkEnd w:id="4896"/>
      <w:bookmarkEnd w:id="4897"/>
    </w:p>
    <w:p>
      <w:pPr>
        <w:pStyle w:val="Para 03"/>
      </w:pPr>
      <w:r>
        <w:t>Từ góc độ định giá, có một số bài học hữu ích nổi lên cho các nhà đầu tư vào những công ty non trẻ có lợi nhuận âm và thông tin hạn chế.</w:t>
      </w:r>
    </w:p>
    <w:p>
      <w:pPr>
        <w:numPr>
          <w:ilvl w:val="0"/>
          <w:numId w:val="250"/>
        </w:numPr>
        <w:pStyle w:val="Para 01"/>
      </w:pPr>
      <w:r>
        <w:t>Hãy tập trung vào biên lợi nhuận bền vững và sự tồn tại, thay vì những biến động lợi nhuận theo từng quý hay thậm chí từng năm. Hiểu được biên lợi nhuận hoạt động của một công ty sẽ trông như thế nào khi nó đạt đến tình trạng tài chính lành mạnh có thể là yếu tố quyết định quan trọng nhất cho việc liệu một người có thành công trong đầu tư dài hạn vào những công ty như vậy hay không. Việc phân tách những công ty có cơ hội sống sót và đạt đến tình trạng tài chính lành mạnh cao hơn khỏi những công ty sẽ không tồn tại là yếu tố quyết định thứ hai có liên quan chặt chẽ. Suy cho cùng, hầu hết các công ty khởi nghiệp không bao giờ tồn tại được để tận hưởng những triển vọng tăng trưởng được ca ngợi của chúng.</w:t>
      </w:r>
    </w:p>
    <w:p>
      <w:pPr>
        <w:numPr>
          <w:ilvl w:val="0"/>
          <w:numId w:val="250"/>
        </w:numPr>
        <w:pStyle w:val="Para 01"/>
      </w:pPr>
      <w:r>
        <w:t>Các báo cáo thu nhập có thể gây hiểu nhầm, đặc biệt khi các chi phí tái đầu tư được ghi nhận là chi phí (như trường hợp của chi phí nghiên cứu, phát triển và tiếp thị dài hạn). Do đó, khi một công ty có tiềm năng tăng trưởng cao và lợi nhuận kém báo cáo sự cải thiện đáng kể về lợi nhuận, các nhà đầu tư nên xem xét báo cáo để tìm ra nguyên nhân. Nếu lợi nhuận đang cải thiện vì chi phí tạo ra doanh thu hiện tại đang giảm xuống (nhờ lợi thế kinh tế theo quy mô hoặc sức mạnh định giá), đây rõ ràng là tin tốt. Tuy nhiên, nếu lợi nhuận đang tăng vì công ty đã cắt giảm hoặc loại bỏ các khoản chi tái đầu tư tùy ý (như chi phí phát triển), tác động ròng lên giá trị có thể rất tiêu cực, vì tăng trưởng trong tương lai đang bị đặt vào vòng nguy hiểm.</w:t>
      </w:r>
    </w:p>
    <w:p>
      <w:pPr>
        <w:numPr>
          <w:ilvl w:val="0"/>
          <w:numId w:val="250"/>
        </w:numPr>
        <w:pStyle w:val="Para 01"/>
      </w:pPr>
      <w:r>
        <w:t>Hãy đa dạng hóa. Quy tắc đầu tư lâu đời này càng trở nên quan trọng hơn khi đầu tư vào những cổ phiếu mà phần lớn giá trị của chúng đến từ tăng trưởng tương lai bất định. Liều thuốc giải cho sai số ước lượng thường là một danh mục đầu tư đa dạng hơn cả về công ty lẫn lĩnh vực.8</w:t>
      </w:r>
    </w:p>
    <w:p>
      <w:pPr>
        <w:numPr>
          <w:ilvl w:val="0"/>
          <w:numId w:val="250"/>
        </w:numPr>
        <w:pStyle w:val="Para 01"/>
      </w:pPr>
      <w:r>
        <w:t>Hãy theo dõi các rào cản gia nhập và lợi thế cạnh tranh; chúng sẽ, phần lớn, quyết định liệu công ty có tiếp tục duy trì được tăng trưởng cao hay không.</w:t>
      </w:r>
    </w:p>
    <w:p>
      <w:pPr>
        <w:numPr>
          <w:ilvl w:val="0"/>
          <w:numId w:val="250"/>
        </w:numPr>
        <w:pStyle w:val="Para 01"/>
      </w:pPr>
      <w:r>
        <w:t>Hãy sẵn sàng để sai. Độ nhiễu trong các phép định giá này đến mức cho dù có đưa bao nhiêu thông tin vào quá trình và định giá cẩn thận đến đâu, giá trị thu được vẫn chỉ là một ước lượng. Do đó, các nhà đầu tư vào những cổ phiếu này đôi khi sẽ sai một cách ngoạn mục, và thật không công bằng khi đánh giá họ dựa trên từng phép định giá riêng lẻ. Họ cũng sẽ đúng một cách ngoạn mục trong những trường hợp khác, và tất cả những gì chúng ta có thể hy vọng là với thời gian làm đồng minh, số thành công sẽ nhiều hơn số thất bại.</w:t>
      </w:r>
    </w:p>
    <w:p>
      <w:bookmarkStart w:id="4900" w:name="Implications_for_Managers"/>
      <w:bookmarkStart w:id="4901" w:name="Implications_for_Managers__If_th"/>
      <w:pPr>
        <w:keepNext/>
        <w:pStyle w:val="Heading 3"/>
        <w:keepLines w:val="on"/>
      </w:pPr>
      <w:r>
        <w:t>Hàm ý cho các Nhà quản lý</w:t>
      </w:r>
      <w:bookmarkEnd w:id="4900"/>
      <w:bookmarkEnd w:id="4901"/>
    </w:p>
    <w:p>
      <w:pPr>
        <w:pStyle w:val="Para 03"/>
      </w:pPr>
      <w:r>
        <w:t>Nếu tiềm năng tăng trưởng tương lai của một công ty là bất định, thì hàm ý cho các nhà quản lý là gì? Thứ nhất là sự bất định về tăng trưởng tương lai gần như chắc chắn sẽ chuyển hóa thành nhiều bất định hơn trong phân tích đầu tư truyền thống. Việc ước lượng dòng tiền và tỷ lệ chiết khấu cho từng dự án riêng lẻ ở những công ty khởi nghiệp non trẻ khó khăn hơn nhiều so với ở những lĩnh vực ổn định hơn. Trong khi phản ứng của một số nhà quản lý ở những công ty này là bỏ cuộc và quay về với những cách tiếp cận trực quan hơn, thì những nhà quản lý kiên trì và cố gắng ước lượng dòng tiền sẽ có cảm nhận tốt hơn nhiều về những gì họ cần làm để các khoản đầu tư mới sinh lời. Thứ hai là giá trị của công ty đến từ câu chuyện mà bạn kể về công ty cũng nhiều như từ cái gọi là lợi nhuận cuối cùng. Nói đơn giản, các nhà quản lý của những công ty non trẻ không chỉ phải cung cấp tầm nhìn, mà còn phải chuyển hóa tầm nhìn đó thành một câu chuyện kinh doanh nhất quán và có thể thực hiện được.</w:t>
      </w:r>
    </w:p>
    <w:p>
      <w:bookmarkStart w:id="4902" w:name="The_Expectations_Game__As_the_pr"/>
      <w:bookmarkStart w:id="4903" w:name="The_Expectations_Game"/>
      <w:pPr>
        <w:keepNext/>
        <w:pStyle w:val="Heading 2"/>
        <w:keepLines w:val="on"/>
      </w:pPr>
      <w:r>
        <w:t>Trò chơi Kỳ vọng</w:t>
      </w:r>
      <w:bookmarkEnd w:id="4902"/>
      <w:bookmarkEnd w:id="4903"/>
    </w:p>
    <w:p>
      <w:pPr>
        <w:pStyle w:val="Para 03"/>
      </w:pPr>
      <w:r>
        <w:t>Khi tỷ lệ giá trị được quyết định bởi tăng trưởng tương lai tăng lên, kỳ vọng trở thành yếu tố quyết định quan trọng hơn về cách thị trường phản ứng với thông tin mới. Trên thực tế, trò chơi kỳ vọng phần lớn giải thích tại sao giá cổ phiếu thay đổi theo những cách dường như không nhất quán với tin tức được công bố (tin lợi nhuận tốt dẫn đến giá cổ phiếu giảm; tin lợi nhuận xấu dẫn đến giá cổ phiếu tăng) và sự biến động giá cổ phiếu của những công ty khởi nghiệp non trẻ nói chung.</w:t>
      </w:r>
    </w:p>
    <w:p>
      <w:bookmarkStart w:id="4904" w:name="Expectations__Information__and_V"/>
      <w:bookmarkStart w:id="4905" w:name="Expectations__Information__and_V_1"/>
      <w:pPr>
        <w:keepNext/>
        <w:pStyle w:val="Heading 3"/>
        <w:keepLines w:val="on"/>
      </w:pPr>
      <w:r>
        <w:t>Kỳ vọng, Thông tin và Giá trị</w:t>
      </w:r>
      <w:bookmarkEnd w:id="4904"/>
      <w:bookmarkEnd w:id="4905"/>
    </w:p>
    <w:p>
      <w:pPr>
        <w:pStyle w:val="Para 03"/>
      </w:pPr>
      <w:r>
        <w:t>Giá trị của một công ty là giá trị hiện tại của dòng tiền kỳ vọng của công ty, và ẩn chứa trong những dòng tiền kỳ vọng này cùng các tỷ lệ chiết khấu được dùng để chiết khấu dòng tiền là quan điểm của nhà đầu tư về công ty, ban lãnh đạo của nó và tiềm năng tạo ra lợi nhuận vượt trội. Trong khi điều này đúng với mọi công ty, tỷ lệ giá trị lớn hơn đến từ tiềm năng tăng trưởng tương lai ở những công ty khởi nghiệp non trẻ khiến chúng đặc biệt dễ bị tổn thương trước những thay đổi trong kỳ vọng về tương lai.</w:t>
      </w:r>
    </w:p>
    <w:p>
      <w:pPr>
        <w:pStyle w:val="Para 03"/>
      </w:pPr>
      <w:r>
        <w:t>Những kỳ vọng này được hình thành như thế nào? Trong khi lịch sử quá khứ của những công ty này và mức trung bình ngành đôi khi được dùng làm cơ sở cho các ước lượng, thì bản thân các công ty và các ngành đều tiến hóa và thay đổi theo thời gian. Việc thông tin vừa nhiễu vừa hạn chế cho thấy rằng kỳ vọng có thể thay đổi tương đối nhanh chóng và để phản ứng với những thay đổi nhỏ trong thông tin. Chẳng hạn, một thông báo thu nhập gợi ý rằng chiến lược của một công ty không hiệu quả như mong đợi có thể dẫn đến việc đánh giá lại kỳ vọng và một sự sụt giảm mạnh về giá trị.</w:t>
      </w:r>
    </w:p>
    <w:p>
      <w:bookmarkStart w:id="4907" w:name="Lessons_for_Investors__The_power"/>
      <w:bookmarkStart w:id="4908" w:name="Lessons_for_Investors"/>
      <w:pPr>
        <w:keepNext/>
        <w:pStyle w:val="Heading 3"/>
        <w:keepLines w:val="on"/>
      </w:pPr>
      <w:r>
        <w:t>Bài học cho các Nhà đầu tư</w:t>
      </w:r>
      <w:bookmarkEnd w:id="4907"/>
      <w:bookmarkEnd w:id="4908"/>
    </w:p>
    <w:p>
      <w:pPr>
        <w:pStyle w:val="Para 03"/>
      </w:pPr>
      <w:r>
        <w:t>Sức mạnh của kỳ vọng trong việc quyết định giá trị của một cổ phiếu phải được xem xét khi các nhà đầu tư chọn cổ phiếu cho danh mục của mình và khi họ đánh giá thông tin mới về công ty. Có một số hàm ý quan trọng:</w:t>
      </w:r>
    </w:p>
    <w:p>
      <w:pPr>
        <w:numPr>
          <w:ilvl w:val="0"/>
          <w:numId w:val="251"/>
        </w:numPr>
        <w:pStyle w:val="Para 01"/>
      </w:pPr>
      <w:r>
        <w:t>Rủi ro luôn mang tính tương đối so với kỳ vọng. Rủi ro trong một doanh nghiệp không đến từ việc nó hoạt động tốt hay kém, mà đến từ việc nó hoạt động như thế nào so với kỳ vọng. Vì vậy, một doanh nghiệp báo cáo tăng trưởng lợi nhuận 35% một năm khi được kỳ vọng tăng 50% một năm đang mang đến tin xấu và nhiều khả năng sẽ chứng kiến giá cổ phiếu giảm. Ngược lại, một doanh nghiệp báo cáo lợi nhuận giảm 20% khi được kỳ vọng báo cáo mức giảm 40% thường sẽ thấy giá cổ phiếu tăng.</w:t>
      </w:r>
    </w:p>
    <w:p>
      <w:pPr>
        <w:numPr>
          <w:ilvl w:val="0"/>
          <w:numId w:val="251"/>
        </w:numPr>
        <w:pStyle w:val="Para 01"/>
      </w:pPr>
      <w:r>
        <w:t>Công ty tốt không phải lúc nào cũng là khoản đầu tư tốt. Không phải việc một công ty được quản lý tốt hay kém quyết định lợi nhuận cổ phiếu, mà là việc nó được quản lý tốt hay kém như thế nào so với kỳ vọng. Một công ty đáp ứng mọi tiêu chí tài chính về sự xuất sắc có thể là một khoản đầu tư tồi nếu thị trường đang kỳ vọng quá nhiều ở nó. Ngược lại, một doanh nghiệp bị mọi người nhìn nhận là công ty được quản lý kém, điều hành kém có thể là một khoản đầu tư tốt nếu kỳ vọng đã được đặt quá thấp.9</w:t>
      </w:r>
    </w:p>
    <w:p>
      <w:pPr>
        <w:numPr>
          <w:ilvl w:val="0"/>
          <w:numId w:val="251"/>
        </w:numPr>
        <w:pStyle w:val="Para 01"/>
      </w:pPr>
      <w:r>
        <w:t>Tin nhỏ có thể dẫn đến cú nhảy giá lớn. Như đã đề cập ở phần trước, bạn nên kỳ vọng sẽ thấy những phản ứng giá cổ phiếu có vẻ không tương xứng với những mẩu thông tin tương đối nhỏ. Một báo cáo từ một doanh nghiệp tăng trưởng cao rằng lợi nhuận trong quý gần nhất thấp hơn kỳ vọng vài xu có thể dẫn đến một cú giảm đáng kể của giá cổ phiếu.</w:t>
      </w:r>
    </w:p>
    <w:p>
      <w:pPr>
        <w:numPr>
          <w:ilvl w:val="0"/>
          <w:numId w:val="251"/>
        </w:numPr>
        <w:pStyle w:val="Para 01"/>
      </w:pPr>
      <w:r>
        <w:t>Tập trung vào thông tin về các động lực giá trị. Ở mặt tích cực, nhà đầu tư có thể đánh giá điều gì thực sự thúc đẩy giá trị tại một doanh nghiệp, và có cảm nhận về những gì họ nên tập trung khi xem xét thông tin mới. Nhìn xa hơn những con số lợi nhuận tổng hợp để tìm thông tin về các động lực giá trị này có thể mang lại manh mối về cả rắc rối sắp tới lẫn tiềm năng hứa hẹn.</w:t>
      </w:r>
    </w:p>
    <w:p>
      <w:bookmarkStart w:id="4910" w:name="Lessons_for_Managers"/>
      <w:bookmarkStart w:id="4911" w:name="Lessons_for_Managers__If_the_exp"/>
      <w:pPr>
        <w:keepNext/>
        <w:pStyle w:val="Heading 3"/>
        <w:keepLines w:val="on"/>
      </w:pPr>
      <w:r>
        <w:t>Bài học cho các nhà quản lý</w:t>
      </w:r>
      <w:bookmarkEnd w:id="4910"/>
      <w:bookmarkEnd w:id="4911"/>
    </w:p>
    <w:p>
      <w:pPr>
        <w:pStyle w:val="Para 03"/>
      </w:pPr>
      <w:r>
        <w:t>Nếu trò chơi kỳ vọng ảnh hưởng đến nhà đầu tư, thì nó còn quan trọng hơn nữa đối với các nhà quản lý tại những doanh nghiệp non trẻ. Một trong những nghịch lý nảy sinh từ trò chơi này là việc quản lý một doanh nghiệp bị nhìn nhận là hoạt động kém cỏi dễ dàng hơn nhiều so với việc quản lý một doanh nghiệp được xem là ngôi sao.10</w:t>
      </w:r>
    </w:p>
    <w:p>
      <w:pPr>
        <w:pStyle w:val="Para 20"/>
      </w:pPr>
      <w:r>
        <w:rPr>
          <w:rStyle w:val="Text26"/>
        </w:rPr>
        <w:bookmarkStart w:id="4913" w:name="Page_755"/>
        <w:t/>
        <w:bookmarkEnd w:id="4913"/>
      </w:r>
      <w:r>
        <w:t xml:space="preserve"> </w:t>
      </w:r>
    </w:p>
    <w:p>
      <w:pPr>
        <w:numPr>
          <w:ilvl w:val="0"/>
          <w:numId w:val="252"/>
        </w:numPr>
        <w:pStyle w:val="Para 01"/>
      </w:pPr>
      <w:r>
        <w:t>Tìm hiểu xem người ta kỳ vọng gì ở bạn. Nếu bạn sẽ bị đánh giá dựa trên kỳ vọng, điều then chốt là bạn phải ước lượng được những kỳ vọng đó là gì. Với nhiều doanh nghiệp, điều này có nghĩa là theo dõi xem các chuyên gia phân tích đang ước tính lợi nhuận trên mỗi cổ phần hay tăng trưởng doanh thu trong quý tới là bao nhiêu, nhưng còn nhiều hơn thế. Hiểu vì sao nhà đầu tư định giá doanh nghiệp của bạn theo cách họ làm, và họ cho rằng đâu là lợi thế cạnh tranh của bạn, mới là điều quan trọng hơn nhiều trong dài hạn.</w:t>
      </w:r>
    </w:p>
    <w:p>
      <w:pPr>
        <w:numPr>
          <w:ilvl w:val="0"/>
          <w:numId w:val="252"/>
        </w:numPr>
        <w:pStyle w:val="Para 01"/>
      </w:pPr>
      <w:r>
        <w:t>Học cách quản lý kỳ vọng. Khi các doanh nghiệp lần đầu niêm yết trên thị trường đại chúng, các nhà quản lý và người nội bộ rao bán ý tưởng rằng doanh nghiệp của họ có tiềm năng lớn và xứng đáng được định giá cao. Dù điều này hoàn toàn dễ hiểu, các nhà quản lý phải học cách quản lý kỳ vọng. Cụ thể, họ phải nói giảm kỳ vọng khi cảm thấy doanh nghiệp của mình đang bị đặt vào thế phải làm những điều mà nó không thể hoàn thành. Tuy nhiên, một lần nữa, một số doanh nghiệp lại làm tổn hại uy tín của mình khi liên tục nói giảm kỳ vọng, ngay cả khi họ biết những kỳ vọng đó là hợp lý.11</w:t>
      </w:r>
    </w:p>
    <w:p>
      <w:pPr>
        <w:numPr>
          <w:ilvl w:val="0"/>
          <w:numId w:val="252"/>
        </w:numPr>
        <w:pStyle w:val="Para 01"/>
      </w:pPr>
      <w:r>
        <w:t>Đừng trì hoãn điều không thể tránh khỏi. Dù một doanh nghiệp quản lý kỳ vọng tốt đến đâu, vẫn có những lúc các nhà quản lý nhận ra rằng họ không thể đáp ứng kỳ vọng nữa vì những thay đổi trong ngành hoặc trong nền kinh tế nói chung. Dù các nhà quản lý cố trì hoãn việc tiết lộ nhận thức này ra thị trường tài chính, thường bằng cách dịch chuyển lợi nhuận từ các kỳ tương lai về kỳ hiện tại hoặc dùng các chiêu trò kế toán, thì việc đối mặt với hậu quả ngay lập tức vẫn tốt hơn nhiều. Điều này có thể có nghĩa là báo cáo lợi nhuận thấp hơn kỳ vọng và giá cổ phiếu thấp hơn, nhưng những doanh nghiệp trì hoãn ngày phán xét của mình thường bị trừng phạt nặng nề hơn nhiều.</w:t>
      </w:r>
    </w:p>
    <w:p>
      <w:bookmarkStart w:id="4915" w:name="Conclusion_22"/>
      <w:bookmarkStart w:id="4916" w:name="Conclusion__Valuation__fundament"/>
      <w:pPr>
        <w:keepNext/>
        <w:pStyle w:val="Heading 2"/>
        <w:keepLines w:val="on"/>
      </w:pPr>
      <w:r>
        <w:t>Kết luận</w:t>
      </w:r>
      <w:bookmarkEnd w:id="4915"/>
      <w:bookmarkEnd w:id="4916"/>
    </w:p>
    <w:p>
      <w:pPr>
        <w:pStyle w:val="Para 03"/>
      </w:pPr>
      <w:r>
        <w:t>Về cơ bản, việc định giá vẫn giữ nguyên dù bạn đang phân tích loại doanh nghiệp nào. Có ba nhóm doanh nghiệp mà việc định giá trở nên khó khăn hơn và các ước tính giá trị trở nên nhiễu hơn. Nhóm thứ nhất gồm những doanh nghiệp có lợi nhuận âm. Do hầu hết các mô hình đều phụ thuộc vào tăng trưởng lợi nhuận để đưa ra dự phóng cho tương lai, các chuyên gia phân tích phải cân nhắc những cách tiếp cận cho phép lợi nhuận trở nên dương, ít nhất là theo thời gian. Họ có thể làm điều này bằng cách chuẩn hóa lợi nhuận trong kỳ hiện tại, bằng cách điều chỉnh biên lợi nhuận từ mức hiện tại lên mức bền vững theo thời gian, hoặc bằng cách giảm đòn bẩy. Cách tiếp cận được dùng sẽ phụ thuộc vào lý do tại sao doanh nghiệp có lợi nhuận âm ngay từ đầu. Nhóm doanh nghiệp thứ hai mà việc ước tính trở nên khó khăn là những doanh nghiệp non trẻ có ít hoặc không có lịch sử tài chính. Ở đây, thông tin về các doanh nghiệp tương đương có thể thay thế cho dữ liệu lịch sử và cho phép các chuyên gia phân tích ước tính các đầu vào cần thiết cho việc định giá. Nhóm doanh nghiệp thứ ba mà việc định giá có thể khó khăn gồm những doanh nghiệp độc đáo với ít hoặc không có công ty tương đương.</w:t>
      </w:r>
    </w:p>
    <w:p>
      <w:pPr>
        <w:pStyle w:val="Para 03"/>
      </w:pPr>
      <w:r>
        <w:t>Nếu cả ba vấn đề cùng xuất hiện ở một doanh nghiệp—lợi nhuận âm, lịch sử hạn chế, và ít công ty tương đương—thì độ khó sẽ tăng lên gấp bội. Chương này đã phác thảo một khung khái niệm rộng có thể được dùng để định giá những doanh nghiệp như vậy. Cần lưu ý một lần nữa rằng câu hỏi không phải là liệu những doanh nghiệp này có thể được định giá hay không—chắc chắn là có—mà là liệu chúng ta có sẵn sàng chấp nhận những ước tính giá trị đầy nhiễu hay không. Với những ai lập luận rằng những định giá này quá nhiễu để hữu ích, phản biện của chúng tôi là phần lớn sự nhiễu này bắt nguồn từ sự bất định thực sự về tương lai. Theo cách chúng tôi nhìn nhận, những nhà đầu tư cố gắng đo lường và đối mặt với sự bất định này sẽ được chuẩn bị tốt hơn cho sự biến động đi kèm với việc đầu tư vào những cổ phiếu này.</w:t>
      </w:r>
    </w:p>
    <w:p>
      <w:pPr>
        <w:pStyle w:val="Para 20"/>
      </w:pPr>
      <w:r>
        <w:rPr>
          <w:rStyle w:val="Text26"/>
        </w:rPr>
        <w:bookmarkStart w:id="4917" w:name="Page_756"/>
        <w:t/>
        <w:bookmarkEnd w:id="4917"/>
      </w:r>
      <w:r>
        <w:t xml:space="preserve"> </w:t>
      </w:r>
    </w:p>
    <w:p>
      <w:bookmarkStart w:id="4918" w:name="Questions_and_Short_Problems__In_17"/>
      <w:bookmarkStart w:id="4919" w:name="Questions_and_Short_Problems_23"/>
      <w:pPr>
        <w:keepNext/>
        <w:pStyle w:val="Heading 2"/>
        <w:keepLines w:val="on"/>
      </w:pPr>
      <w:r>
        <w:t>Câu hỏi và bài tập ngắn</w:t>
      </w:r>
      <w:bookmarkEnd w:id="4918"/>
      <w:bookmarkEnd w:id="4919"/>
    </w:p>
    <w:p>
      <w:pPr>
        <w:pStyle w:val="Para 44"/>
      </w:pPr>
      <w:r>
        <w:t>Trong các bài tập sau đây, hãy sử dụng mức bù rủi ro vốn cổ phần (equity risk premium) là 5,5% nếu không có quy định nào khác.</w:t>
      </w:r>
    </w:p>
    <w:p>
      <w:pPr>
        <w:numPr>
          <w:ilvl w:val="0"/>
          <w:numId w:val="253"/>
        </w:numPr>
        <w:pStyle w:val="Para 01"/>
      </w:pPr>
      <w:r>
        <w:t>Intellitech là một doanh nghiệp công nghệ đã hoạt động được hai năm. Trong năm gần nhất, doanh nghiệp báo cáo doanh thu 500 triệu đô la, gấp năm lần doanh thu năm trước. Doanh nghiệp cũng báo cáo lỗ hoạt động 400 triệu đô la. Bạn kỳ vọng doanh thu sẽ tăng 100% vào năm tới, 80% vào năm sau đó, và 40% một năm trong ba năm tiếp theo, và biên lợi nhuận hoạt động trước thuế sẽ cải thiện—theo các bước tăng tuyến tính—lên 10% vào năm thứ năm. Hãy ước tính doanh thu và thu nhập hoạt động mỗi năm trong năm năm tới.</w:t>
      </w:r>
    </w:p>
    <w:p>
      <w:pPr>
        <w:numPr>
          <w:ilvl w:val="0"/>
          <w:numId w:val="253"/>
        </w:numPr>
        <w:pStyle w:val="Para 01"/>
      </w:pPr>
      <w:r>
        <w:t>Bạn đang cố gắng ước tính lợi nhuận 12 tháng gần nhất (trailing 12-month earnings) cho Fiber Networks. Doanh nghiệp vừa báo cáo lỗ hoạt động trong quý đầu năm 2001 là 180 triệu đô la trên doanh thu 600 triệu đô la, tăng vọt so với mức lỗ hoạt động 30 triệu đô la trên doanh thu 120 triệu đô la trong quý đầu năm 2000. Trong báo cáo thường niên năm 2000, Fiber Networks báo cáo lỗ hoạt động 330 triệu đô la trên doanh thu 1,1 tỷ đô la. Hãy ước tính lỗ hoạt động và doanh thu cho bốn quý vừa qua.</w:t>
      </w:r>
    </w:p>
    <w:p>
      <w:pPr>
        <w:numPr>
          <w:ilvl w:val="0"/>
          <w:numId w:val="253"/>
        </w:numPr>
        <w:pStyle w:val="Para 01"/>
      </w:pPr>
      <w:r>
        <w:t>Verispace Software bán phần mềm quản lý hàng tồn kho và báo cáo doanh thu 25 triệu đô la trong năm tài chính gần nhất. Bạn ước tính tổng thị trường cho phần mềm quản lý hàng tồn kho là 25 tỷ đô la, tăng trưởng 5% một năm trong tương lai có thể thấy trước. Nếu bạn kỳ vọng Verispace sẽ có 10% thị phần của thị trường này trong 10 năm, hãy ước tính tốc độ tăng trưởng doanh thu kép trong giai đoạn đó.</w:t>
      </w:r>
    </w:p>
    <w:p>
      <w:pPr>
        <w:numPr>
          <w:ilvl w:val="0"/>
          <w:numId w:val="253"/>
        </w:numPr>
        <w:pStyle w:val="Para 01"/>
      </w:pPr>
      <w:r>
        <w:t>Lumin Telecomm sản xuất thiết bị viễn thông chuyên dụng và đã thua lỗ mỗi năm trong ba năm tồn tại—doanh nghiệp có lỗ hoạt động ròng lũy kế là 180 triệu đô la. Trong năm gần nhất, doanh nghiệp báo cáo lỗ hoạt động 90 triệu đô la trên doanh thu 1 tỷ đô la. Nếu bạn kỳ vọng tốc độ tăng trưởng doanh thu là 20% một năm trong năm năm tới, và biên lợi nhuận hoạt động trước thuế là –6% vào năm tới, –3% vào hai năm nữa, 0% vào năm sau đó, 6% vào bốn năm nữa, và 10% vào năm năm nữa (thuế suất = 40%), hãy ước tính:</w:t>
      </w:r>
    </w:p>
    <w:p>
      <w:pPr>
        <w:numPr>
          <w:ilvl w:val="1"/>
          <w:numId w:val="253"/>
        </w:numPr>
        <w:pStyle w:val="Para 01"/>
      </w:pPr>
      <w:r>
        <w:t>Doanh thu và thu nhập hoạt động trước thuế mỗi năm trong năm năm tới.</w:t>
      </w:r>
    </w:p>
    <w:p>
      <w:pPr>
        <w:numPr>
          <w:ilvl w:val="1"/>
          <w:numId w:val="253"/>
        </w:numPr>
        <w:pStyle w:val="Para 01"/>
      </w:pPr>
      <w:r>
        <w:t>Các khoản thuế bạn sẽ phải nộp và thu nhập hoạt động sau thuế mỗi năm trong năm năm tới.</w:t>
      </w:r>
    </w:p>
    <w:p>
      <w:pPr>
        <w:numPr>
          <w:ilvl w:val="0"/>
          <w:numId w:val="253"/>
        </w:numPr>
        <w:pStyle w:val="Para 01"/>
      </w:pPr>
      <w:r>
        <w:t>Trong bài tập 4, giả sử Lumin Telecomm hiện có beta là 2,0 và bạn kỳ vọng nó sẽ giảm theo các bước tuyến tính xuống 1,2 vào năm thứ 5. Nếu chi phí đi vay hiện tại là 9% và bạn kỳ vọng điều này sẽ không đổi trong năm năm tới, hãy ước tính chi phí vốn (cost of capital) cho doanh nghiệp mỗi năm trong năm năm tới. (Lãi suất phi rủi ro là 5,6%, và mức bù rủi ro là 4%.) Tỷ lệ nợ được kỳ vọng sẽ giảm từ 70% trong năm hiện tại xuống 50% vào năm thứ 5 theo các bước tuyến tính.</w:t>
      </w:r>
    </w:p>
    <w:p>
      <w:pPr>
        <w:numPr>
          <w:ilvl w:val="0"/>
          <w:numId w:val="253"/>
        </w:numPr>
        <w:pStyle w:val="Para 01"/>
      </w:pPr>
      <w:r>
        <w:t>Bạn đã ước tính giá trị của Vitale Systems, một doanh nghiệp phần mềm Internet, là 700 triệu đô la như một thực thể đang hoạt động (going concern), gấp bảy lần giá trị sổ sách của nó. Tuy nhiên, bạn lo ngại rằng Vitale có thể không tồn tại qua được năm năm tới và ước tính xác suất thất bại là 40%. Nếu doanh nghiệp thất bại, bạn kỳ vọng tài sản của nó sẽ bán được với giá gấp 1,5 lần giá trị sổ sách. Nếu có 30 triệu cổ phần đang lưu hành, hãy ước tính giá trị trên mỗi cổ phần. (Doanh nghiệp không có nợ hay quyền chọn đang lưu hành.)</w:t>
      </w:r>
    </w:p>
    <w:p>
      <w:bookmarkStart w:id="4920" w:name="Notes__1_In_2024__for_instance"/>
      <w:bookmarkStart w:id="4921" w:name="Notes_22"/>
      <w:pPr>
        <w:keepNext/>
        <w:pStyle w:val="Heading 2"/>
        <w:keepLines w:val="on"/>
      </w:pPr>
      <w:r>
        <w:t>Ghi chú</w:t>
      </w:r>
      <w:bookmarkEnd w:id="4920"/>
      <w:bookmarkEnd w:id="4921"/>
    </w:p>
    <w:p>
      <w:pPr>
        <w:pStyle w:val="Para 08"/>
      </w:pPr>
      <w:r>
        <w:t>1 Chẳng hạn, vào năm 2024, tỷ suất sinh lợi mục tiêu cho các nhà đầu tư mạo hiểm dao động từ 30% đến 60%, tùy thuộc vào việc công ty đang xét ở giai đoạn đầu hay giai đoạn sau của chu kỳ khởi nghiệp. Ngược lại, nếu dùng một mô hình rủi ro và sinh lợi thông thường, bạn sẽ rất khó có được chi phí vốn cổ phần vượt quá 15%.</w:t>
      </w:r>
    </w:p>
    <w:p>
      <w:pPr>
        <w:pStyle w:val="Para 08"/>
      </w:pPr>
      <w:r>
        <w:t>2 Một cách tiếp cận đơn giản là điều chỉnh tỷ lệ tất cả các đầu vào để phản ánh mức tăng trưởng doanh thu đã diễn ra giữa năm tài chính gần nhất và 12 tháng gần nhất.</w:t>
      </w:r>
    </w:p>
    <w:p>
      <w:pPr>
        <w:pStyle w:val="Para 08"/>
      </w:pPr>
      <w:r>
        <w:t>3 Với độ trễ hai năm, chẳng hạn, bạn có thể ước tính khoản tái đầu tư trong năm 1 dựa trên mức tăng trưởng doanh thu giữa năm 2 và năm 3:</w:t>
      </w:r>
    </w:p>
    <w:p>
      <w:bookmarkStart w:id="4925" w:name="Reinvestment_in_year_1__7_565_48"/>
      <w:pPr>
        <w:keepNext/>
        <w:pStyle w:val="Para 53"/>
        <w:keepLines w:val="on"/>
      </w:pPr>
      <w:r>
        <w:t>Tái đầu tư trong năm 1=(7.565,48-5.989,79)2,0=$787,34</w:t>
      </w:r>
      <w:bookmarkEnd w:id="4925"/>
    </w:p>
    <w:p>
      <w:pPr>
        <w:pStyle w:val="Para 03"/>
      </w:pPr>
      <w:r>
        <w:t/>
      </w:r>
    </w:p>
    <w:p>
      <w:pPr>
        <w:pStyle w:val="Para 08"/>
      </w:pPr>
      <w:r>
        <w:t>4 Tỷ suất sinh lợi trên vốn được ước tính bằng cách dùng vốn đầu tư vào thời điểm đầu năm. Do đó, tỷ suất sinh lợi trên vốn trong năm 3 được tính bằng cách lấy thu nhập hoạt động sau thuế trong năm 3 chia cho vốn đầu tư vào cuối năm 2. Trong năm 1, không thể tính được vì vốn đầu tư là số âm.</w:t>
      </w:r>
    </w:p>
    <w:p>
      <w:pPr>
        <w:pStyle w:val="Para 08"/>
      </w:pPr>
      <w:r>
        <w:t>5 Cách tiếp cận thông thường là hồi quy tỷ suất sinh lợi của một cổ phiếu theo tỷ suất sinh lợi của một chỉ số thị trường trong một giai đoạn quá khứ, chẳng hạn từ hai đến năm năm.</w:t>
      </w:r>
    </w:p>
    <w:p>
      <w:pPr>
        <w:pStyle w:val="Para 08"/>
      </w:pPr>
      <w:r>
        <w:t>6 Để có mô tả về cách tiếp cận này, hãy xem lại Chương 7.</w:t>
      </w:r>
    </w:p>
    <w:p>
      <w:pPr>
        <w:pStyle w:val="Para 08"/>
      </w:pPr>
      <w:r>
        <w:t>7 Lượng cổ phiếu tự do chuyển nhượng (float) được ước tính bằng cách lấy số cổ phiếu đang lưu hành trừ đi số cổ phiếu do người nội bộ và các cổ đông sở hữu 5 phần trăm nắm giữ cùng với cổ phiếu theo quy định 144. (Quy định 144 đề cập đến cổ phiếu bị hạn chế giao dịch.)</w:t>
      </w:r>
    </w:p>
    <w:p>
      <w:pPr>
        <w:pStyle w:val="Para 08"/>
      </w:pPr>
      <w:r>
        <w:t>8 Các nguyên tắc đơn giản về đa dạng hóa cho rằng 20 cổ phiếu là đủ có thể không áp dụng được ở đây. Vì những khoản đầu tư này thường đến từ cùng một ngành và có mức tương quan cao hơn với nhau, và vì có quá nhiều nhiễu trong việc ước tính, nên sẽ cần nhiều cổ phiếu hơn để đạt được mức độ đa dạng hóa tương tự như khi mua 20 công ty vốn hóa lớn, đã trưởng thành.</w:t>
      </w:r>
    </w:p>
    <w:p>
      <w:pPr>
        <w:pStyle w:val="Para 08"/>
      </w:pPr>
      <w:r>
        <w:t>9 Bằng chứng thực nghiệm ủng hộ nhận định này. Các nghiên cứu về đầu tư dường như cho thấy rằng những công ty được xem là được quản lý tốt lại hoạt động kém hơn những công ty ít được đánh giá cao với tư cách là khoản đầu tư.</w:t>
      </w:r>
    </w:p>
    <w:p>
      <w:pPr>
        <w:pStyle w:val="Para 08"/>
      </w:pPr>
      <w:r>
        <w:t>10 Công việc của Steve Jobs tại Apple Computer dễ dàng hơn nhiều khi ông tiếp quản vào năm 1998 (khi giá cổ phiếu đã chạm mức thấp nhất trong 10 năm) so với hai năm sau đó, khi ông đã thành công trong việc thay đổi nhận thức của nhà đầu tư về công ty (và đẩy giá cổ phiếu tăng gấp mười lần trong quá trình đó).</w:t>
      </w:r>
    </w:p>
    <w:p>
      <w:pPr>
        <w:pStyle w:val="Para 08"/>
      </w:pPr>
      <w:r>
        <w:t>11 Trong thập niên 1990, Microsoft tạo dựng được danh tiếng là nói giảm kỳ vọng, rồi sau đó liên tục vượt qua chúng.</w:t>
      </w:r>
    </w:p>
    <w:p>
      <w:bookmarkStart w:id="4934" w:name="Chapter_24Valuing_Private_Firms_1"/>
      <w:bookmarkStart w:id="4935" w:name="Chapter_24Valuing_Private_Firms"/>
      <w:bookmarkStart w:id="4936" w:name="Top_of_c024_xhtml"/>
      <w:pPr>
        <w:keepNext/>
        <w:pStyle w:val="Heading 1"/>
        <w:pageBreakBefore w:val="on"/>
        <w:keepLines w:val="on"/>
      </w:pPr>
      <w:r>
        <w:t>CHƯƠNG 24</w:t>
      </w:r>
      <w:r>
        <w:br/>
      </w:r>
      <w:r>
        <w:t>Định giá doanh nghiệp tư nhân</w:t>
      </w:r>
      <w:bookmarkEnd w:id="4934"/>
      <w:bookmarkEnd w:id="4935"/>
      <w:bookmarkEnd w:id="4936"/>
    </w:p>
    <w:p>
      <w:pPr>
        <w:pStyle w:val="Para 03"/>
      </w:pPr>
      <w:r>
        <w:t>Cho đến nay, cuốn sách này tập trung vào việc định giá các công ty đại chúng. Trong chương này, chúng ta hướng sự chú ý đến hàng nghìn công ty là doanh nghiệp tư nhân. Những doanh nghiệp này có quy mô từ các doanh nghiệp gia đình nhỏ cho đến một số công ty sánh ngang với các công ty đại chúng lớn về doanh thu và lợi nhuận. Các nguyên tắc định giá vẫn giữ nguyên, nhưng có những vấn đề ước tính đặc thù riêng cho doanh nghiệp tư nhân. Thông tin sẵn có để định giá thường hạn chế hơn nhiều cả về lịch sử lẫn chiều sâu, vì các công ty tư nhân thường không bị ràng buộc bởi các chuẩn mực kế toán và báo cáo được chuẩn hóa như các công ty đại chúng. Ngoài ra, các kỹ thuật tiêu chuẩn để ước tính các tham số rủi ro như beta và độ lệch chuẩn đòi hỏi giá thị trường của vốn cổ phần, một dữ liệu đầu vào mà các công ty tư nhân không có.</w:t>
      </w:r>
    </w:p>
    <w:p>
      <w:pPr>
        <w:pStyle w:val="Para 03"/>
      </w:pPr>
      <w:r>
        <w:t>Khi định giá các công ty tư nhân, động cơ định giá rất quan trọng và có thể ảnh hưởng đến giá trị. Cụ thể, giá trị gắn với một công ty đại chúng có thể khác đi khi công ty đó được định giá để bán cho một cá nhân, để bán cho một công ty đại chúng, hay để phát hành cổ phiếu lần đầu ra công chúng. Đặc biệt, việc có nên áp dụng mức chiết khấu đối với giá trị do tính kém thanh khoản và rủi ro không thể đa dạng hóa, hay mức phụ trội cho quyền kiểm soát, sẽ phụ thuộc vào người mua tiềm năng. Từng thành tố trong số này sẽ được xem xét trong suốt chương này.</w:t>
      </w:r>
    </w:p>
    <w:p>
      <w:bookmarkStart w:id="4938" w:name="What_Makes_Private_Firms_Differe_1"/>
      <w:bookmarkStart w:id="4939" w:name="What_Makes_Private_Firms_Differe"/>
      <w:pPr>
        <w:keepNext/>
        <w:pStyle w:val="Heading 2"/>
        <w:keepLines w:val="on"/>
      </w:pPr>
      <w:r>
        <w:t>Điều gì khiến các công ty tư nhân khác biệt?</w:t>
      </w:r>
      <w:bookmarkEnd w:id="4938"/>
      <w:bookmarkEnd w:id="4939"/>
    </w:p>
    <w:p>
      <w:pPr>
        <w:pStyle w:val="Para 03"/>
      </w:pPr>
      <w:r>
        <w:t>Có một số đặc điểm chung mà các công ty tư nhân chia sẻ với các công ty đại chúng, nhưng có bốn khác biệt quan trọng có thể ảnh hưởng đến cách chúng ta ước tính các dữ liệu đầu vào cho việc định giá.</w:t>
      </w:r>
    </w:p>
    <w:p>
      <w:pPr>
        <w:numPr>
          <w:ilvl w:val="0"/>
          <w:numId w:val="254"/>
        </w:numPr>
        <w:pStyle w:val="Para 01"/>
      </w:pPr>
      <w:r>
        <w:t>Các công ty đại chúng chịu sự điều chỉnh của một bộ chuẩn mực kế toán cho phép chúng ta không chỉ nhận diện được mỗi khoản mục trong báo cáo tài chính bao gồm những gì mà còn so sánh thu nhập giữa các công ty với nhau. Các công ty tư nhân, đặc biệt nếu chúng không phải là công ty cổ phần, hoạt động theo những chuẩn mực lỏng lẻo hơn nhiều, và có thể có sự khác biệt lớn giữa các công ty về cách hạch toán các khoản mục.</w:t>
      </w:r>
    </w:p>
    <w:p>
      <w:pPr>
        <w:numPr>
          <w:ilvl w:val="0"/>
          <w:numId w:val="254"/>
        </w:numPr>
        <w:pStyle w:val="Para 01"/>
      </w:pPr>
      <w:r>
        <w:t>Có ít thông tin hơn nhiều về các công ty tư nhân, cả về số năm dữ liệu thường có lẫn — quan trọng hơn — lượng thông tin sẵn có mỗi năm. Chẳng hạn, các công ty đại chúng phải phân tách hoạt động theo các phân khúc kinh doanh trong hồ sơ nộp cho SEC và cung cấp thông tin về doanh thu và thu nhập theo từng phân khúc. Các công ty tư nhân không phải cung cấp thông tin này, và thường cũng không cung cấp.</w:t>
      </w:r>
    </w:p>
    <w:p>
      <w:pPr>
        <w:numPr>
          <w:ilvl w:val="0"/>
          <w:numId w:val="254"/>
        </w:numPr>
        <w:pStyle w:val="Para 01"/>
      </w:pPr>
      <w:r>
        <w:t>Một mức giá được cập nhật liên tục cho vốn cổ phần và dữ liệu lịch sử về mức giá này là những thông tin rất hữu ích mà chúng ta có thể dễ dàng thu được đối với các công ty đại chúng nhưng không thể đối với các công ty tư nhân. Ngoài ra, việc không có một thị trường sẵn sàng cho vốn cổ phần của công ty tư nhân cũng có nghĩa là việc thanh lý một vị thế vốn cổ phần trong một doanh nghiệp tư nhân có thể khó khăn hơn nhiều (và tốn kém hơn) so với thanh lý một vị thế trong một công ty đại chúng.</w:t>
      </w:r>
    </w:p>
    <w:p>
      <w:pPr>
        <w:numPr>
          <w:ilvl w:val="0"/>
          <w:numId w:val="254"/>
        </w:numPr>
        <w:pStyle w:val="Para 01"/>
      </w:pPr>
      <w:r>
        <w:t>Ở các công ty đại chúng, các cổ đông thường thuê người quản lý để điều hành công ty, và hầu hết cổ đông nắm giữ vốn cổ phần ở nhiều công ty trong danh mục đầu tư của mình. Chủ sở hữu một công ty tư nhân thường tham gia rất sâu vào việc quản lý, và thường dồn toàn bộ tài sản của mình vào công ty. Việc không có sự tách biệt giữa chủ sở hữu và ban quản lý có thể dẫn đến tình trạng chi phí cá nhân hòa lẫn với chi phí kinh doanh, và việc không phân biệt được giữa lương quản lý và cổ tức (hay khoản tương đương). Việc không có đa dạng hóa có thể ảnh hưởng đến cách chúng ta đo lường rủi ro.</w:t>
      </w:r>
    </w:p>
    <w:p>
      <w:pPr>
        <w:pStyle w:val="Para 03"/>
      </w:pPr>
      <w:r>
        <w:t>Mỗi khác biệt được nêu đều có thể làm thay đổi giá trị bằng cách tác động đến tỷ suất chiết khấu, dòng tiền và tốc độ tăng trưởng kỳ vọng.</w:t>
      </w:r>
    </w:p>
    <w:p>
      <w:pPr>
        <w:pStyle w:val="Para 03"/>
      </w:pPr>
      <w:r>
        <w:t>Để xem xét những vấn đề nảy sinh trong bối cảnh định giá các công ty tư nhân, chúng ta sẽ xem xét hai công ty. Công ty thứ nhất là Chez Pierre, một nhà hàng Pháp cao cấp ở thành phố New York, và công ty thứ hai là một công ty phần mềm tư nhân tên là InfoSoft. Chúng ta sẽ định giá Chez Pierre để bán trong một giao dịch tư nhân, trong khi chúng ta sẽ định giá InfoSoft để bán trong một đợt phát hành cổ phiếu lần đầu ra công chúng (IPO).</w:t>
      </w:r>
    </w:p>
    <w:p>
      <w:bookmarkStart w:id="4941" w:name="Estimating_Valuation_Inputs_at_P"/>
      <w:bookmarkStart w:id="4942" w:name="Estimating_Valuation_Inputs_at_P_1"/>
      <w:pPr>
        <w:keepNext/>
        <w:pStyle w:val="Heading 2"/>
        <w:keepLines w:val="on"/>
      </w:pPr>
      <w:r>
        <w:t>Ước tính các dữ liệu đầu vào định giá tại các công ty tư nhân</w:t>
      </w:r>
      <w:bookmarkEnd w:id="4941"/>
      <w:bookmarkEnd w:id="4942"/>
    </w:p>
    <w:p>
      <w:pPr>
        <w:pStyle w:val="Para 03"/>
      </w:pPr>
      <w:r>
        <w:t>Giá trị của một công ty tư nhân là giá trị hiện tại của các dòng tiền kỳ vọng, được chiết khấu về hiện tại theo một tỷ suất chiết khấu phù hợp. Vì cấu trúc này không khác gì cấu trúc chúng ta đã dùng để định giá các công ty đại chúng, nên những khác biệt giữa công ty tư nhân và công ty đại chúng phải thể hiện ở cách chúng ta ước tính các dữ liệu đầu vào này cho mô hình dòng tiền chiết khấu.</w:t>
      </w:r>
    </w:p>
    <w:p>
      <w:bookmarkStart w:id="4943" w:name="Discount_Rates"/>
      <w:bookmarkStart w:id="4944" w:name="Discount_Rates__If_we_choose_to"/>
      <w:pPr>
        <w:keepNext/>
        <w:pStyle w:val="Heading 3"/>
        <w:keepLines w:val="on"/>
      </w:pPr>
      <w:r>
        <w:t>Tỷ suất chiết khấu</w:t>
      </w:r>
      <w:bookmarkEnd w:id="4943"/>
      <w:bookmarkEnd w:id="4944"/>
    </w:p>
    <w:p>
      <w:pPr>
        <w:pStyle w:val="Para 03"/>
      </w:pPr>
      <w:r>
        <w:t>Nếu chúng ta chọn định giá vốn cổ phần, chúng ta chiết khấu dòng tiền thuộc về vốn cổ phần theo chi phí vốn cổ phần, còn nếu chúng ta chọn định giá công ty, chúng ta chiết khấu dòng tiền theo chi phí vốn. Mặc dù các định nghĩa nền tảng của những chi phí này không thay đổi, quá trình ước tính chúng có thể phải thay đổi do những hoàn cảnh đặc thù xung quanh các công ty tư nhân.</w:t>
      </w:r>
    </w:p>
    <w:p>
      <w:bookmarkStart w:id="4945" w:name="Cost_of_Equity_2"/>
      <w:bookmarkStart w:id="4946" w:name="Cost_of_Equity__In_assessing_the"/>
      <w:pPr>
        <w:keepNext/>
        <w:pStyle w:val="Heading 4"/>
        <w:keepLines w:val="on"/>
      </w:pPr>
      <w:r>
        <w:t>Chi phí vốn cổ phần</w:t>
      </w:r>
      <w:bookmarkEnd w:id="4945"/>
      <w:bookmarkEnd w:id="4946"/>
    </w:p>
    <w:p>
      <w:pPr>
        <w:pStyle w:val="Para 03"/>
      </w:pPr>
      <w:r>
        <w:t>Khi đánh giá chi phí vốn cổ phần cho các công ty đại chúng, chúng ta đã xem xét rủi ro của các khoản đầu tư qua con mắt của những nhà đầu tư cận biên tại các công ty này. Với giả định bổ sung rằng những nhà đầu tư này đã đa dạng hóa tốt, chúng ta có thể định nghĩa rủi ro theo nghĩa rủi ro gia tăng thêm vào một danh mục đầu tư đã được đa dạng hóa, hay còn gọi là rủi ro thị trường. Hệ số beta trong mô hình định giá tài sản vốn (CAPM) và các hệ số beta (trong các mô hình đa nhân tố) dùng để đo lường rủi ro này thường được ước tính bằng cách sử dụng giá cổ phiếu trong quá khứ. Việc thiếu thông tin giá trong quá khứ đối với vốn cổ phần của công ty tư nhân và việc nhiều chủ sở hữu công ty tư nhân không đa dạng hóa danh mục đầu tư có thể tạo ra những vấn đề nghiêm trọng trong việc ước tính và sử dụng hệ số beta cho các công ty này.</w:t>
      </w:r>
    </w:p>
    <w:p>
      <w:pPr>
        <w:pStyle w:val="Para 20"/>
      </w:pPr>
      <w:r>
        <w:rPr>
          <w:rStyle w:val="Text26"/>
        </w:rPr>
        <w:bookmarkStart w:id="4947" w:name="Page_759"/>
        <w:t/>
        <w:bookmarkEnd w:id="4947"/>
      </w:r>
      <w:r>
        <w:t xml:space="preserve"> </w:t>
      </w:r>
    </w:p>
    <w:p>
      <w:bookmarkStart w:id="4948" w:name="Approaches_to_Estimating_Market"/>
      <w:pPr>
        <w:pStyle w:val="Para 21"/>
      </w:pPr>
      <w:r>
        <w:t>Các phương pháp ước tính hệ số beta thị trường</w:t>
      </w:r>
      <w:bookmarkEnd w:id="4948"/>
    </w:p>
    <w:p>
      <w:pPr>
        <w:pStyle w:val="Para 03"/>
      </w:pPr>
      <w:r>
        <w:t>Quy trình chuẩn để ước tính hệ số beta trong mô hình định giá tài sản vốn là chạy một hồi quy lợi suất cổ phiếu theo lợi suất thị trường. Các mô hình đa nhân tố sử dụng những kỹ thuật thống kê khác, nhưng chúng cũng cần thông tin giá trong quá khứ. Khi không có thông tin đó, như trường hợp của các công ty tư nhân, chúng ta có ba cách để ước tính hệ số beta: beta kế toán, beta cơ bản và beta từ dưới lên.</w:t>
      </w:r>
    </w:p>
    <w:p>
      <w:bookmarkStart w:id="4950" w:name="Accounting_Betas__While_price_in"/>
      <w:pPr>
        <w:pStyle w:val="Para 42"/>
      </w:pPr>
      <w:r>
        <w:t>Beta kế toán</w:t>
      </w:r>
      <w:bookmarkEnd w:id="4950"/>
    </w:p>
    <w:p>
      <w:pPr>
        <w:pStyle w:val="Para 03"/>
      </w:pPr>
      <w:r>
        <w:t>Trong khi thông tin giá không có sẵn đối với các công ty tư nhân, thì thông tin về thu nhập kế toán lại có. Chúng ta có thể hồi quy những thay đổi trong thu nhập kế toán của một công ty tư nhân theo những thay đổi trong thu nhập của một chỉ số vốn cổ phần (chẳng hạn như S&amp;P 500) để ước tính beta kế toán:</w:t>
      </w:r>
    </w:p>
    <w:p>
      <w:bookmarkStart w:id="4952" w:name="DEarningsprivate_firm_a_b_DEarni"/>
      <w:pPr>
        <w:keepNext/>
        <w:pStyle w:val="Para 09"/>
        <w:keepLines w:val="on"/>
      </w:pPr>
      <w:r>
        <w:t>ΔThu nhập công ty tư nhân = a + b ΔThu nhập S&amp;P 500</w:t>
      </w:r>
      <w:bookmarkEnd w:id="4952"/>
    </w:p>
    <w:p>
      <w:pPr>
        <w:pStyle w:val="Para 03"/>
      </w:pPr>
      <w:r>
        <w:t>Độ dốc của hồi quy (b) chính là beta kế toán của công ty. Sử dụng thu nhập từ hoạt động kinh doanh sẽ cho ra beta chưa tính đòn bẩy, trong khi sử dụng thu nhập ròng sẽ cho ra beta có đòn bẩy hay beta vốn cổ phần.</w:t>
      </w:r>
    </w:p>
    <w:p>
      <w:pPr>
        <w:pStyle w:val="Para 03"/>
      </w:pPr>
      <w:r>
        <w:t>Có hai hạn chế đáng kể với phương pháp này. Thứ nhất là các công ty tư nhân thường chỉ đo lường thu nhập mỗi năm một lần, dẫn đến các hồi quy có ít quan sát và sức mạnh thống kê hạn chế. Thứ hai là thu nhập thường bị làm mịn và chịu ảnh hưởng của các phán đoán kế toán, dẫn đến việc đo lường sai các beta kế toán.</w:t>
      </w:r>
    </w:p>
    <w:p>
      <w:pPr>
        <w:pStyle w:val="Para 11"/>
      </w:pPr>
      <w:r>
        <w:t xml:space="preserve"> </w:t>
      </w:r>
    </w:p>
    <w:p>
      <w:bookmarkStart w:id="4953" w:name="ILLUSTRATION_24_1___Estimating_a"/>
      <w:bookmarkStart w:id="4954" w:name="ILLUSTRATION_24_1___Estimating_a_1"/>
      <w:pPr>
        <w:keepNext/>
        <w:pStyle w:val="Para 19"/>
        <w:keepLines w:val="on"/>
      </w:pPr>
      <w:r>
        <w:t>MINH HỌA 24.1: Ước tính beta kế toán—InfoSoft</w:t>
      </w:r>
      <w:bookmarkEnd w:id="4953"/>
      <w:bookmarkEnd w:id="4954"/>
    </w:p>
    <w:p>
      <w:pPr>
        <w:pStyle w:val="Para 04"/>
        <w:keepLines w:val="on"/>
      </w:pPr>
      <w:r>
        <w:t>InfoSoft, dù là một doanh nghiệp tư nhân, đã tồn tại từ năm 1992 và có thu nhập kế toán từ năm đó. Bảng 24.1 tóm tắt những thay đổi thu nhập kế toán hàng năm tại InfoSoft và của S&amp;P 500 cho mỗi năm trong giai đoạn từ 1992 đến 2010.</w:t>
      </w:r>
    </w:p>
    <w:p>
      <w:pPr>
        <w:pStyle w:val="Para 25"/>
        <w:keepLines w:val="on"/>
      </w:pPr>
      <w:r>
        <w:t>Bảng 24.1</w:t>
      </w:r>
    </w:p>
    <w:p>
      <w:pPr>
        <w:keepNext/>
        <w:pStyle w:val="Para 24"/>
        <w:keepLines w:val="on"/>
      </w:pPr>
      <w:r>
        <w:t>Thu nhập kế toán—InfoSoft so với S&amp;P 500</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29"/>
                    <w:keepLines w:val="on"/>
                  </w:pPr>
                  <w:r>
                    <w:t/>
                  </w:r>
                </w:p>
              </w:tc>
              <w:tc>
                <w:tcPr>
                  <w:tcW w:type="auto" w:w="0"/>
                  <w:shd w:val="clear" w:color="auto" w:fill="F0F0F0"/>
                  <w:hMerge w:val="restart"/>
                </w:tcPr>
                <w:p>
                  <w:pPr>
                    <w:pStyle w:val="Para 05"/>
                    <w:keepLines w:val="on"/>
                  </w:pPr>
                  <w:r>
                    <w:t>S&amp;P 500</w:t>
                  </w:r>
                </w:p>
              </w:tc>
              <w:tc>
                <w:tcPr>
                  <w:hMerge w:val="continue"/>
                </w:tcPr>
                <w:p/>
              </w:tc>
              <w:tc>
                <w:tcPr>
                  <w:tcW w:type="auto" w:w="0"/>
                  <w:shd w:val="clear" w:color="auto" w:fill="F0F0F0"/>
                </w:tcPr>
                <w:p>
                  <w:pPr>
                    <w:pStyle w:val="Para 29"/>
                    <w:keepLines w:val="on"/>
                  </w:pPr>
                  <w:r>
                    <w:t/>
                  </w:r>
                </w:p>
              </w:tc>
              <w:tc>
                <w:tcPr>
                  <w:tcW w:type="auto" w:w="0"/>
                  <w:shd w:val="clear" w:color="auto" w:fill="F0F0F0"/>
                  <w:hMerge w:val="restart"/>
                </w:tcPr>
                <w:p>
                  <w:pPr>
                    <w:pStyle w:val="Para 05"/>
                    <w:keepLines w:val="on"/>
                  </w:pPr>
                  <w:r>
                    <w:t>InfoSoft</w:t>
                  </w:r>
                </w:p>
              </w:tc>
              <w:tc>
                <w:tcPr>
                  <w:hMerge w:val="continue"/>
                </w:tcPr>
                <w:p/>
              </w:tc>
            </w:tr>
            <w:tr>
              <w:tc>
                <w:tcPr>
                  <w:tcW w:type="auto" w:w="0"/>
                  <w:shd w:val="clear" w:color="auto" w:fill="F0F0F0"/>
                </w:tcPr>
                <w:p>
                  <w:pPr>
                    <w:pStyle w:val="Para 32"/>
                    <w:keepLines w:val="on"/>
                  </w:pPr>
                  <w:r>
                    <w:t>Năm</w:t>
                  </w:r>
                </w:p>
              </w:tc>
              <w:tc>
                <w:tcPr>
                  <w:tcW w:type="auto" w:w="0"/>
                  <w:shd w:val="clear" w:color="auto" w:fill="F0F0F0"/>
                </w:tcPr>
                <w:p>
                  <w:pPr>
                    <w:pStyle w:val="Para 29"/>
                    <w:keepLines w:val="on"/>
                  </w:pPr>
                  <w:r>
                    <w:t/>
                  </w:r>
                </w:p>
              </w:tc>
              <w:tc>
                <w:tcPr>
                  <w:tcW w:type="auto" w:w="0"/>
                  <w:shd w:val="clear" w:color="auto" w:fill="F0F0F0"/>
                </w:tcPr>
                <w:p>
                  <w:pPr>
                    <w:pStyle w:val="Para 05"/>
                    <w:keepLines w:val="on"/>
                  </w:pPr>
                  <w:r>
                    <w:t>Thu nhập</w:t>
                  </w:r>
                </w:p>
              </w:tc>
              <w:tc>
                <w:tcPr>
                  <w:tcW w:type="auto" w:w="0"/>
                  <w:shd w:val="clear" w:color="auto" w:fill="F0F0F0"/>
                </w:tcPr>
                <w:p>
                  <w:pPr>
                    <w:pStyle w:val="Para 05"/>
                    <w:keepLines w:val="on"/>
                  </w:pPr>
                  <w:r>
                    <w:t>Δ Thu nhập (%)</w:t>
                  </w:r>
                </w:p>
              </w:tc>
              <w:tc>
                <w:tcPr>
                  <w:tcW w:type="auto" w:w="0"/>
                  <w:shd w:val="clear" w:color="auto" w:fill="F0F0F0"/>
                </w:tcPr>
                <w:p>
                  <w:pPr>
                    <w:pStyle w:val="Para 29"/>
                    <w:keepLines w:val="on"/>
                  </w:pPr>
                  <w:r>
                    <w:t/>
                  </w:r>
                </w:p>
              </w:tc>
              <w:tc>
                <w:tcPr>
                  <w:tcW w:type="auto" w:w="0"/>
                  <w:shd w:val="clear" w:color="auto" w:fill="F0F0F0"/>
                </w:tcPr>
                <w:p>
                  <w:pPr>
                    <w:pStyle w:val="Para 05"/>
                    <w:keepLines w:val="on"/>
                  </w:pPr>
                  <w:r>
                    <w:t>Thu nhập (‘000)</w:t>
                  </w:r>
                </w:p>
              </w:tc>
              <w:tc>
                <w:tcPr>
                  <w:tcW w:type="auto" w:w="0"/>
                  <w:shd w:val="clear" w:color="auto" w:fill="F0F0F0"/>
                </w:tcPr>
                <w:p>
                  <w:pPr>
                    <w:pStyle w:val="Para 05"/>
                    <w:keepLines w:val="on"/>
                  </w:pPr>
                  <w:r>
                    <w:t>Δ Thu nhập (%)</w:t>
                  </w:r>
                </w:p>
              </w:tc>
            </w:tr>
            <w:tr>
              <w:tc>
                <w:tcPr>
                  <w:tcW w:type="auto" w:w="0"/>
                  <w:shd w:val="clear" w:color="auto" w:fill="F0F0F0"/>
                </w:tcPr>
                <w:p>
                  <w:pPr>
                    <w:pStyle w:val="Para 02"/>
                    <w:keepLines w:val="on"/>
                  </w:pPr>
                  <w:r>
                    <w:t>1992</w:t>
                  </w:r>
                </w:p>
              </w:tc>
              <w:tc>
                <w:tcPr>
                  <w:tcW w:type="auto" w:w="0"/>
                  <w:shd w:val="clear" w:color="auto" w:fill="F0F0F0"/>
                </w:tcPr>
                <w:p>
                  <w:pPr>
                    <w:pStyle w:val="5 Block"/>
                    <w:keepLines w:val="on"/>
                  </w:pPr>
                </w:p>
              </w:tc>
              <w:tc>
                <w:tcPr>
                  <w:tcW w:type="auto" w:w="0"/>
                  <w:shd w:val="clear" w:color="auto" w:fill="F0F0F0"/>
                </w:tcPr>
                <w:p>
                  <w:pPr>
                    <w:pStyle w:val="Normal"/>
                    <w:keepLines w:val="on"/>
                  </w:pPr>
                  <w:r>
                    <w:t>20,87</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$25</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1993</w:t>
                  </w:r>
                </w:p>
              </w:tc>
              <w:tc>
                <w:tcPr>
                  <w:tcW w:type="auto" w:w="0"/>
                  <w:shd w:val="clear" w:color="auto" w:fill="F0F0F0"/>
                </w:tcPr>
                <w:p>
                  <w:pPr>
                    <w:pStyle w:val="5 Block"/>
                    <w:keepLines w:val="on"/>
                  </w:pPr>
                </w:p>
              </w:tc>
              <w:tc>
                <w:tcPr>
                  <w:tcW w:type="auto" w:w="0"/>
                  <w:shd w:val="clear" w:color="auto" w:fill="F0F0F0"/>
                </w:tcPr>
                <w:p>
                  <w:pPr>
                    <w:pStyle w:val="Normal"/>
                    <w:keepLines w:val="on"/>
                  </w:pPr>
                  <w:r>
                    <w:t>26,90</w:t>
                  </w:r>
                </w:p>
              </w:tc>
              <w:tc>
                <w:tcPr>
                  <w:tcW w:type="auto" w:w="0"/>
                  <w:shd w:val="clear" w:color="auto" w:fill="F0F0F0"/>
                </w:tcPr>
                <w:p>
                  <w:pPr>
                    <w:pStyle w:val="Normal"/>
                    <w:keepLines w:val="on"/>
                  </w:pPr>
                  <w:r>
                    <w:t>28,89%</w:t>
                  </w:r>
                </w:p>
              </w:tc>
              <w:tc>
                <w:tcPr>
                  <w:tcW w:type="auto" w:w="0"/>
                  <w:shd w:val="clear" w:color="auto" w:fill="F0F0F0"/>
                </w:tcPr>
                <w:p>
                  <w:pPr>
                    <w:pStyle w:val="7 Block"/>
                    <w:keepLines w:val="on"/>
                  </w:pPr>
                </w:p>
              </w:tc>
              <w:tc>
                <w:tcPr>
                  <w:tcW w:type="auto" w:w="0"/>
                  <w:shd w:val="clear" w:color="auto" w:fill="F0F0F0"/>
                </w:tcPr>
                <w:p>
                  <w:pPr>
                    <w:pStyle w:val="Normal"/>
                    <w:keepLines w:val="on"/>
                  </w:pPr>
                  <w:r>
                    <w:t>$45</w:t>
                  </w:r>
                </w:p>
              </w:tc>
              <w:tc>
                <w:tcPr>
                  <w:tcW w:type="auto" w:w="0"/>
                  <w:shd w:val="clear" w:color="auto" w:fill="F0F0F0"/>
                </w:tcPr>
                <w:p>
                  <w:pPr>
                    <w:pStyle w:val="Normal"/>
                    <w:keepLines w:val="on"/>
                  </w:pPr>
                  <w:r>
                    <w:t>80,00%</w:t>
                  </w:r>
                </w:p>
              </w:tc>
            </w:tr>
            <w:tr>
              <w:tc>
                <w:tcPr>
                  <w:tcW w:type="auto" w:w="0"/>
                  <w:shd w:val="clear" w:color="auto" w:fill="F0F0F0"/>
                </w:tcPr>
                <w:p>
                  <w:pPr>
                    <w:pStyle w:val="Para 02"/>
                    <w:keepLines w:val="on"/>
                  </w:pPr>
                  <w:r>
                    <w:t>1994</w:t>
                  </w:r>
                </w:p>
              </w:tc>
              <w:tc>
                <w:tcPr>
                  <w:tcW w:type="auto" w:w="0"/>
                  <w:shd w:val="clear" w:color="auto" w:fill="F0F0F0"/>
                </w:tcPr>
                <w:p>
                  <w:pPr>
                    <w:pStyle w:val="5 Block"/>
                    <w:keepLines w:val="on"/>
                  </w:pPr>
                </w:p>
              </w:tc>
              <w:tc>
                <w:tcPr>
                  <w:tcW w:type="auto" w:w="0"/>
                  <w:shd w:val="clear" w:color="auto" w:fill="F0F0F0"/>
                </w:tcPr>
                <w:p>
                  <w:pPr>
                    <w:pStyle w:val="Normal"/>
                    <w:keepLines w:val="on"/>
                  </w:pPr>
                  <w:r>
                    <w:t>31,75</w:t>
                  </w:r>
                </w:p>
              </w:tc>
              <w:tc>
                <w:tcPr>
                  <w:tcW w:type="auto" w:w="0"/>
                  <w:shd w:val="clear" w:color="auto" w:fill="F0F0F0"/>
                </w:tcPr>
                <w:p>
                  <w:pPr>
                    <w:pStyle w:val="Normal"/>
                    <w:keepLines w:val="on"/>
                  </w:pPr>
                  <w:r>
                    <w:t>18,03%</w:t>
                  </w:r>
                </w:p>
              </w:tc>
              <w:tc>
                <w:tcPr>
                  <w:tcW w:type="auto" w:w="0"/>
                  <w:shd w:val="clear" w:color="auto" w:fill="F0F0F0"/>
                </w:tcPr>
                <w:p>
                  <w:pPr>
                    <w:pStyle w:val="7 Block"/>
                    <w:keepLines w:val="on"/>
                  </w:pPr>
                </w:p>
              </w:tc>
              <w:tc>
                <w:tcPr>
                  <w:tcW w:type="auto" w:w="0"/>
                  <w:shd w:val="clear" w:color="auto" w:fill="F0F0F0"/>
                </w:tcPr>
                <w:p>
                  <w:pPr>
                    <w:pStyle w:val="Normal"/>
                    <w:keepLines w:val="on"/>
                  </w:pPr>
                  <w:r>
                    <w:t>$80</w:t>
                  </w:r>
                </w:p>
              </w:tc>
              <w:tc>
                <w:tcPr>
                  <w:tcW w:type="auto" w:w="0"/>
                  <w:shd w:val="clear" w:color="auto" w:fill="F0F0F0"/>
                </w:tcPr>
                <w:p>
                  <w:pPr>
                    <w:pStyle w:val="Normal"/>
                    <w:keepLines w:val="on"/>
                  </w:pPr>
                  <w:r>
                    <w:t>7,78%</w:t>
                  </w:r>
                </w:p>
              </w:tc>
            </w:tr>
            <w:tr>
              <w:tc>
                <w:tcPr>
                  <w:tcW w:type="auto" w:w="0"/>
                  <w:shd w:val="clear" w:color="auto" w:fill="F0F0F0"/>
                </w:tcPr>
                <w:p>
                  <w:pPr>
                    <w:pStyle w:val="Para 02"/>
                    <w:keepLines w:val="on"/>
                  </w:pPr>
                  <w:r>
                    <w:t>1995</w:t>
                  </w:r>
                </w:p>
              </w:tc>
              <w:tc>
                <w:tcPr>
                  <w:tcW w:type="auto" w:w="0"/>
                  <w:shd w:val="clear" w:color="auto" w:fill="F0F0F0"/>
                </w:tcPr>
                <w:p>
                  <w:pPr>
                    <w:pStyle w:val="5 Block"/>
                    <w:keepLines w:val="on"/>
                  </w:pPr>
                </w:p>
              </w:tc>
              <w:tc>
                <w:tcPr>
                  <w:tcW w:type="auto" w:w="0"/>
                  <w:shd w:val="clear" w:color="auto" w:fill="F0F0F0"/>
                </w:tcPr>
                <w:p>
                  <w:pPr>
                    <w:pStyle w:val="Normal"/>
                    <w:keepLines w:val="on"/>
                  </w:pPr>
                  <w:r>
                    <w:t>37,70</w:t>
                  </w:r>
                </w:p>
              </w:tc>
              <w:tc>
                <w:tcPr>
                  <w:tcW w:type="auto" w:w="0"/>
                  <w:shd w:val="clear" w:color="auto" w:fill="F0F0F0"/>
                </w:tcPr>
                <w:p>
                  <w:pPr>
                    <w:pStyle w:val="Normal"/>
                    <w:keepLines w:val="on"/>
                  </w:pPr>
                  <w:r>
                    <w:t>18,74%</w:t>
                  </w:r>
                </w:p>
              </w:tc>
              <w:tc>
                <w:tcPr>
                  <w:tcW w:type="auto" w:w="0"/>
                  <w:shd w:val="clear" w:color="auto" w:fill="F0F0F0"/>
                </w:tcPr>
                <w:p>
                  <w:pPr>
                    <w:pStyle w:val="7 Block"/>
                    <w:keepLines w:val="on"/>
                  </w:pP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56,25%</w:t>
                  </w:r>
                </w:p>
              </w:tc>
            </w:tr>
            <w:tr>
              <w:tc>
                <w:tcPr>
                  <w:tcW w:type="auto" w:w="0"/>
                  <w:shd w:val="clear" w:color="auto" w:fill="F0F0F0"/>
                </w:tcPr>
                <w:p>
                  <w:pPr>
                    <w:pStyle w:val="Para 02"/>
                    <w:keepLines w:val="on"/>
                  </w:pPr>
                  <w:r>
                    <w:t>1996</w:t>
                  </w:r>
                </w:p>
              </w:tc>
              <w:tc>
                <w:tcPr>
                  <w:tcW w:type="auto" w:w="0"/>
                  <w:shd w:val="clear" w:color="auto" w:fill="F0F0F0"/>
                </w:tcPr>
                <w:p>
                  <w:pPr>
                    <w:pStyle w:val="5 Block"/>
                    <w:keepLines w:val="on"/>
                  </w:pPr>
                </w:p>
              </w:tc>
              <w:tc>
                <w:tcPr>
                  <w:tcW w:type="auto" w:w="0"/>
                  <w:shd w:val="clear" w:color="auto" w:fill="F0F0F0"/>
                </w:tcPr>
                <w:p>
                  <w:pPr>
                    <w:pStyle w:val="Normal"/>
                    <w:keepLines w:val="on"/>
                  </w:pPr>
                  <w:r>
                    <w:t>40,63</w:t>
                  </w:r>
                </w:p>
              </w:tc>
              <w:tc>
                <w:tcPr>
                  <w:tcW w:type="auto" w:w="0"/>
                  <w:shd w:val="clear" w:color="auto" w:fill="F0F0F0"/>
                </w:tcPr>
                <w:p>
                  <w:pPr>
                    <w:pStyle w:val="Normal"/>
                    <w:keepLines w:val="on"/>
                  </w:pPr>
                  <w:r>
                    <w:t>7,77%</w:t>
                  </w:r>
                </w:p>
              </w:tc>
              <w:tc>
                <w:tcPr>
                  <w:tcW w:type="auto" w:w="0"/>
                  <w:shd w:val="clear" w:color="auto" w:fill="F0F0F0"/>
                </w:tcPr>
                <w:p>
                  <w:pPr>
                    <w:pStyle w:val="7 Block"/>
                    <w:keepLines w:val="on"/>
                  </w:pPr>
                </w:p>
              </w:tc>
              <w:tc>
                <w:tcPr>
                  <w:tcW w:type="auto" w:w="0"/>
                  <w:shd w:val="clear" w:color="auto" w:fill="F0F0F0"/>
                </w:tcPr>
                <w:p>
                  <w:pPr>
                    <w:pStyle w:val="Normal"/>
                    <w:keepLines w:val="on"/>
                  </w:pPr>
                  <w:r>
                    <w:t>$135</w:t>
                  </w:r>
                </w:p>
              </w:tc>
              <w:tc>
                <w:tcPr>
                  <w:tcW w:type="auto" w:w="0"/>
                  <w:shd w:val="clear" w:color="auto" w:fill="F0F0F0"/>
                </w:tcPr>
                <w:p>
                  <w:pPr>
                    <w:pStyle w:val="Normal"/>
                    <w:keepLines w:val="on"/>
                  </w:pPr>
                  <w:r>
                    <w:t>8,00%</w:t>
                  </w:r>
                </w:p>
              </w:tc>
            </w:tr>
            <w:tr>
              <w:tc>
                <w:tcPr>
                  <w:tcW w:type="auto" w:w="0"/>
                  <w:shd w:val="clear" w:color="auto" w:fill="F0F0F0"/>
                </w:tcPr>
                <w:p>
                  <w:pPr>
                    <w:pStyle w:val="Para 02"/>
                    <w:keepLines w:val="on"/>
                  </w:pPr>
                  <w:r>
                    <w:t>1997</w:t>
                  </w:r>
                </w:p>
              </w:tc>
              <w:tc>
                <w:tcPr>
                  <w:tcW w:type="auto" w:w="0"/>
                  <w:shd w:val="clear" w:color="auto" w:fill="F0F0F0"/>
                </w:tcPr>
                <w:p>
                  <w:pPr>
                    <w:pStyle w:val="5 Block"/>
                    <w:keepLines w:val="on"/>
                  </w:pPr>
                </w:p>
              </w:tc>
              <w:tc>
                <w:tcPr>
                  <w:tcW w:type="auto" w:w="0"/>
                  <w:shd w:val="clear" w:color="auto" w:fill="F0F0F0"/>
                </w:tcPr>
                <w:p>
                  <w:pPr>
                    <w:pStyle w:val="Normal"/>
                    <w:keepLines w:val="on"/>
                  </w:pPr>
                  <w:r>
                    <w:t>44,09</w:t>
                  </w:r>
                </w:p>
              </w:tc>
              <w:tc>
                <w:tcPr>
                  <w:tcW w:type="auto" w:w="0"/>
                  <w:shd w:val="clear" w:color="auto" w:fill="F0F0F0"/>
                </w:tcPr>
                <w:p>
                  <w:pPr>
                    <w:pStyle w:val="Normal"/>
                    <w:keepLines w:val="on"/>
                  </w:pPr>
                  <w:r>
                    <w:t>8,52%</w:t>
                  </w:r>
                </w:p>
              </w:tc>
              <w:tc>
                <w:tcPr>
                  <w:tcW w:type="auto" w:w="0"/>
                  <w:shd w:val="clear" w:color="auto" w:fill="F0F0F0"/>
                </w:tcPr>
                <w:p>
                  <w:pPr>
                    <w:pStyle w:val="7 Block"/>
                    <w:keepLines w:val="on"/>
                  </w:pPr>
                </w:p>
              </w:tc>
              <w:tc>
                <w:tcPr>
                  <w:tcW w:type="auto" w:w="0"/>
                  <w:shd w:val="clear" w:color="auto" w:fill="F0F0F0"/>
                </w:tcPr>
                <w:p>
                  <w:pPr>
                    <w:pStyle w:val="Normal"/>
                    <w:keepLines w:val="on"/>
                  </w:pPr>
                  <w:r>
                    <w:t>$160</w:t>
                  </w:r>
                </w:p>
              </w:tc>
              <w:tc>
                <w:tcPr>
                  <w:tcW w:type="auto" w:w="0"/>
                  <w:shd w:val="clear" w:color="auto" w:fill="F0F0F0"/>
                </w:tcPr>
                <w:p>
                  <w:pPr>
                    <w:pStyle w:val="Normal"/>
                    <w:keepLines w:val="on"/>
                  </w:pPr>
                  <w:r>
                    <w:t>18,52%</w:t>
                  </w:r>
                </w:p>
              </w:tc>
            </w:tr>
            <w:tr>
              <w:tc>
                <w:tcPr>
                  <w:tcW w:type="auto" w:w="0"/>
                  <w:shd w:val="clear" w:color="auto" w:fill="F0F0F0"/>
                </w:tcPr>
                <w:p>
                  <w:pPr>
                    <w:pStyle w:val="Para 02"/>
                    <w:keepLines w:val="on"/>
                  </w:pPr>
                  <w:r>
                    <w:t>1998</w:t>
                  </w:r>
                </w:p>
              </w:tc>
              <w:tc>
                <w:tcPr>
                  <w:tcW w:type="auto" w:w="0"/>
                  <w:shd w:val="clear" w:color="auto" w:fill="F0F0F0"/>
                </w:tcPr>
                <w:p>
                  <w:pPr>
                    <w:pStyle w:val="5 Block"/>
                    <w:keepLines w:val="on"/>
                  </w:pPr>
                </w:p>
              </w:tc>
              <w:tc>
                <w:tcPr>
                  <w:tcW w:type="auto" w:w="0"/>
                  <w:shd w:val="clear" w:color="auto" w:fill="F0F0F0"/>
                </w:tcPr>
                <w:p>
                  <w:pPr>
                    <w:pStyle w:val="Normal"/>
                    <w:keepLines w:val="on"/>
                  </w:pPr>
                  <w:r>
                    <w:t>44,27</w:t>
                  </w:r>
                </w:p>
              </w:tc>
              <w:tc>
                <w:tcPr>
                  <w:tcW w:type="auto" w:w="0"/>
                  <w:shd w:val="clear" w:color="auto" w:fill="F0F0F0"/>
                </w:tcPr>
                <w:p>
                  <w:pPr>
                    <w:pStyle w:val="Normal"/>
                    <w:keepLines w:val="on"/>
                  </w:pPr>
                  <w:r>
                    <w:t>0,41%</w:t>
                  </w:r>
                </w:p>
              </w:tc>
              <w:tc>
                <w:tcPr>
                  <w:tcW w:type="auto" w:w="0"/>
                  <w:shd w:val="clear" w:color="auto" w:fill="F0F0F0"/>
                </w:tcPr>
                <w:p>
                  <w:pPr>
                    <w:pStyle w:val="7 Block"/>
                    <w:keepLines w:val="on"/>
                  </w:pPr>
                </w:p>
              </w:tc>
              <w:tc>
                <w:tcPr>
                  <w:tcW w:type="auto" w:w="0"/>
                  <w:shd w:val="clear" w:color="auto" w:fill="F0F0F0"/>
                </w:tcPr>
                <w:p>
                  <w:pPr>
                    <w:pStyle w:val="Normal"/>
                    <w:keepLines w:val="on"/>
                  </w:pPr>
                  <w:r>
                    <w:t>$165</w:t>
                  </w:r>
                </w:p>
              </w:tc>
              <w:tc>
                <w:tcPr>
                  <w:tcW w:type="auto" w:w="0"/>
                  <w:shd w:val="clear" w:color="auto" w:fill="F0F0F0"/>
                </w:tcPr>
                <w:p>
                  <w:pPr>
                    <w:pStyle w:val="Normal"/>
                    <w:keepLines w:val="on"/>
                  </w:pPr>
                  <w:r>
                    <w:t>3,13%</w:t>
                  </w:r>
                </w:p>
              </w:tc>
            </w:tr>
            <w:tr>
              <w:tc>
                <w:tcPr>
                  <w:tcW w:type="auto" w:w="0"/>
                  <w:shd w:val="clear" w:color="auto" w:fill="F0F0F0"/>
                </w:tcPr>
                <w:p>
                  <w:pPr>
                    <w:pStyle w:val="Para 02"/>
                    <w:keepLines w:val="on"/>
                  </w:pPr>
                  <w:r>
                    <w:t>1999</w:t>
                  </w:r>
                </w:p>
              </w:tc>
              <w:tc>
                <w:tcPr>
                  <w:tcW w:type="auto" w:w="0"/>
                  <w:shd w:val="clear" w:color="auto" w:fill="F0F0F0"/>
                </w:tcPr>
                <w:p>
                  <w:pPr>
                    <w:pStyle w:val="5 Block"/>
                    <w:keepLines w:val="on"/>
                  </w:pPr>
                </w:p>
              </w:tc>
              <w:tc>
                <w:tcPr>
                  <w:tcW w:type="auto" w:w="0"/>
                  <w:shd w:val="clear" w:color="auto" w:fill="F0F0F0"/>
                </w:tcPr>
                <w:p>
                  <w:pPr>
                    <w:pStyle w:val="Normal"/>
                    <w:keepLines w:val="on"/>
                  </w:pPr>
                  <w:r>
                    <w:t>51,68</w:t>
                  </w:r>
                </w:p>
              </w:tc>
              <w:tc>
                <w:tcPr>
                  <w:tcW w:type="auto" w:w="0"/>
                  <w:shd w:val="clear" w:color="auto" w:fill="F0F0F0"/>
                </w:tcPr>
                <w:p>
                  <w:pPr>
                    <w:pStyle w:val="Normal"/>
                    <w:keepLines w:val="on"/>
                  </w:pPr>
                  <w:r>
                    <w:t>16,74%</w:t>
                  </w:r>
                </w:p>
              </w:tc>
              <w:tc>
                <w:tcPr>
                  <w:tcW w:type="auto" w:w="0"/>
                  <w:shd w:val="clear" w:color="auto" w:fill="F0F0F0"/>
                </w:tcPr>
                <w:p>
                  <w:pPr>
                    <w:pStyle w:val="7 Block"/>
                    <w:keepLines w:val="on"/>
                  </w:pP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21,21%</w:t>
                  </w:r>
                </w:p>
              </w:tc>
            </w:tr>
            <w:tr>
              <w:tc>
                <w:tcPr>
                  <w:tcW w:type="auto" w:w="0"/>
                  <w:shd w:val="clear" w:color="auto" w:fill="F0F0F0"/>
                </w:tcPr>
                <w:p>
                  <w:pPr>
                    <w:pStyle w:val="Para 02"/>
                    <w:keepLines w:val="on"/>
                  </w:pPr>
                  <w:r>
                    <w:t>2000</w:t>
                  </w:r>
                </w:p>
              </w:tc>
              <w:tc>
                <w:tcPr>
                  <w:tcW w:type="auto" w:w="0"/>
                  <w:shd w:val="clear" w:color="auto" w:fill="F0F0F0"/>
                </w:tcPr>
                <w:p>
                  <w:pPr>
                    <w:pStyle w:val="5 Block"/>
                    <w:keepLines w:val="on"/>
                  </w:pPr>
                </w:p>
              </w:tc>
              <w:tc>
                <w:tcPr>
                  <w:tcW w:type="auto" w:w="0"/>
                  <w:shd w:val="clear" w:color="auto" w:fill="F0F0F0"/>
                </w:tcPr>
                <w:p>
                  <w:pPr>
                    <w:pStyle w:val="Normal"/>
                    <w:keepLines w:val="on"/>
                  </w:pPr>
                  <w:r>
                    <w:t>56,13</w:t>
                  </w:r>
                </w:p>
              </w:tc>
              <w:tc>
                <w:tcPr>
                  <w:tcW w:type="auto" w:w="0"/>
                  <w:shd w:val="clear" w:color="auto" w:fill="F0F0F0"/>
                </w:tcPr>
                <w:p>
                  <w:pPr>
                    <w:pStyle w:val="Normal"/>
                    <w:keepLines w:val="on"/>
                  </w:pPr>
                  <w:r>
                    <w:t>8,61%</w:t>
                  </w:r>
                </w:p>
              </w:tc>
              <w:tc>
                <w:tcPr>
                  <w:tcW w:type="auto" w:w="0"/>
                  <w:shd w:val="clear" w:color="auto" w:fill="F0F0F0"/>
                </w:tcPr>
                <w:p>
                  <w:pPr>
                    <w:pStyle w:val="7 Block"/>
                    <w:keepLines w:val="on"/>
                  </w:pPr>
                </w:p>
              </w:tc>
              <w:tc>
                <w:tcPr>
                  <w:tcW w:type="auto" w:w="0"/>
                  <w:shd w:val="clear" w:color="auto" w:fill="F0F0F0"/>
                </w:tcPr>
                <w:p>
                  <w:pPr>
                    <w:pStyle w:val="Normal"/>
                    <w:keepLines w:val="on"/>
                  </w:pPr>
                  <w:r>
                    <w:t>$220</w:t>
                  </w:r>
                </w:p>
              </w:tc>
              <w:tc>
                <w:tcPr>
                  <w:tcW w:type="auto" w:w="0"/>
                  <w:shd w:val="clear" w:color="auto" w:fill="F0F0F0"/>
                </w:tcPr>
                <w:p>
                  <w:pPr>
                    <w:pStyle w:val="Normal"/>
                    <w:keepLines w:val="on"/>
                  </w:pPr>
                  <w:r>
                    <w:t>10,00%</w:t>
                  </w:r>
                </w:p>
              </w:tc>
            </w:tr>
            <w:tr>
              <w:tc>
                <w:tcPr>
                  <w:tcW w:type="auto" w:w="0"/>
                  <w:shd w:val="clear" w:color="auto" w:fill="F0F0F0"/>
                </w:tcPr>
                <w:p>
                  <w:pPr>
                    <w:pStyle w:val="Para 02"/>
                    <w:keepLines w:val="on"/>
                  </w:pPr>
                  <w:r>
                    <w:t>2001</w:t>
                  </w:r>
                </w:p>
              </w:tc>
              <w:tc>
                <w:tcPr>
                  <w:tcW w:type="auto" w:w="0"/>
                  <w:shd w:val="clear" w:color="auto" w:fill="F0F0F0"/>
                </w:tcPr>
                <w:p>
                  <w:pPr>
                    <w:pStyle w:val="5 Block"/>
                    <w:keepLines w:val="on"/>
                  </w:pPr>
                </w:p>
              </w:tc>
              <w:tc>
                <w:tcPr>
                  <w:tcW w:type="auto" w:w="0"/>
                  <w:shd w:val="clear" w:color="auto" w:fill="F0F0F0"/>
                </w:tcPr>
                <w:p>
                  <w:pPr>
                    <w:pStyle w:val="Normal"/>
                    <w:keepLines w:val="on"/>
                  </w:pPr>
                  <w:r>
                    <w:t>38,85</w:t>
                  </w:r>
                </w:p>
              </w:tc>
              <w:tc>
                <w:tcPr>
                  <w:tcW w:type="auto" w:w="0"/>
                  <w:shd w:val="clear" w:color="auto" w:fill="F0F0F0"/>
                </w:tcPr>
                <w:p>
                  <w:pPr>
                    <w:pStyle w:val="Normal"/>
                    <w:keepLines w:val="on"/>
                  </w:pPr>
                  <w:r>
                    <w:t>−30,79%</w:t>
                  </w:r>
                </w:p>
              </w:tc>
              <w:tc>
                <w:tcPr>
                  <w:tcW w:type="auto" w:w="0"/>
                  <w:shd w:val="clear" w:color="auto" w:fill="F0F0F0"/>
                </w:tcPr>
                <w:p>
                  <w:pPr>
                    <w:pStyle w:val="7 Block"/>
                    <w:keepLines w:val="on"/>
                  </w:pP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−31,82%</w:t>
                  </w:r>
                </w:p>
              </w:tc>
            </w:tr>
            <w:tr>
              <w:tc>
                <w:tcPr>
                  <w:tcW w:type="auto" w:w="0"/>
                  <w:shd w:val="clear" w:color="auto" w:fill="F0F0F0"/>
                </w:tcPr>
                <w:p>
                  <w:pPr>
                    <w:pStyle w:val="Para 02"/>
                    <w:keepLines w:val="on"/>
                  </w:pPr>
                  <w:r>
                    <w:t>2002</w:t>
                  </w:r>
                </w:p>
              </w:tc>
              <w:tc>
                <w:tcPr>
                  <w:tcW w:type="auto" w:w="0"/>
                  <w:shd w:val="clear" w:color="auto" w:fill="F0F0F0"/>
                </w:tcPr>
                <w:p>
                  <w:pPr>
                    <w:pStyle w:val="5 Block"/>
                    <w:keepLines w:val="on"/>
                  </w:pPr>
                </w:p>
              </w:tc>
              <w:tc>
                <w:tcPr>
                  <w:tcW w:type="auto" w:w="0"/>
                  <w:shd w:val="clear" w:color="auto" w:fill="F0F0F0"/>
                </w:tcPr>
                <w:p>
                  <w:pPr>
                    <w:pStyle w:val="Normal"/>
                    <w:keepLines w:val="on"/>
                  </w:pPr>
                  <w:r>
                    <w:t>46,04</w:t>
                  </w:r>
                </w:p>
              </w:tc>
              <w:tc>
                <w:tcPr>
                  <w:tcW w:type="auto" w:w="0"/>
                  <w:shd w:val="clear" w:color="auto" w:fill="F0F0F0"/>
                </w:tcPr>
                <w:p>
                  <w:pPr>
                    <w:pStyle w:val="Normal"/>
                    <w:keepLines w:val="on"/>
                  </w:pPr>
                  <w:r>
                    <w:t>18,51%</w:t>
                  </w:r>
                </w:p>
              </w:tc>
              <w:tc>
                <w:tcPr>
                  <w:tcW w:type="auto" w:w="0"/>
                  <w:shd w:val="clear" w:color="auto" w:fill="F0F0F0"/>
                </w:tcPr>
                <w:p>
                  <w:pPr>
                    <w:pStyle w:val="7 Block"/>
                    <w:keepLines w:val="on"/>
                  </w:pPr>
                </w:p>
              </w:tc>
              <w:tc>
                <w:tcPr>
                  <w:tcW w:type="auto" w:w="0"/>
                  <w:shd w:val="clear" w:color="auto" w:fill="F0F0F0"/>
                </w:tcPr>
                <w:p>
                  <w:pPr>
                    <w:pStyle w:val="Normal"/>
                    <w:keepLines w:val="on"/>
                  </w:pPr>
                  <w:r>
                    <w:t>$280</w:t>
                  </w:r>
                </w:p>
              </w:tc>
              <w:tc>
                <w:tcPr>
                  <w:tcW w:type="auto" w:w="0"/>
                  <w:shd w:val="clear" w:color="auto" w:fill="F0F0F0"/>
                </w:tcPr>
                <w:p>
                  <w:pPr>
                    <w:pStyle w:val="Normal"/>
                    <w:keepLines w:val="on"/>
                  </w:pPr>
                  <w:r>
                    <w:t>86,67%</w:t>
                  </w:r>
                </w:p>
              </w:tc>
            </w:tr>
            <w:tr>
              <w:tc>
                <w:tcPr>
                  <w:tcW w:type="auto" w:w="0"/>
                  <w:shd w:val="clear" w:color="auto" w:fill="F0F0F0"/>
                </w:tcPr>
                <w:p>
                  <w:pPr>
                    <w:pStyle w:val="Para 02"/>
                    <w:keepLines w:val="on"/>
                  </w:pPr>
                  <w:r>
                    <w:t>2003</w:t>
                  </w:r>
                </w:p>
              </w:tc>
              <w:tc>
                <w:tcPr>
                  <w:tcW w:type="auto" w:w="0"/>
                  <w:shd w:val="clear" w:color="auto" w:fill="F0F0F0"/>
                </w:tcPr>
                <w:p>
                  <w:pPr>
                    <w:pStyle w:val="5 Block"/>
                    <w:keepLines w:val="on"/>
                  </w:pPr>
                </w:p>
              </w:tc>
              <w:tc>
                <w:tcPr>
                  <w:tcW w:type="auto" w:w="0"/>
                  <w:shd w:val="clear" w:color="auto" w:fill="F0F0F0"/>
                </w:tcPr>
                <w:p>
                  <w:pPr>
                    <w:pStyle w:val="Normal"/>
                    <w:keepLines w:val="on"/>
                  </w:pPr>
                  <w:r>
                    <w:t>54,69</w:t>
                  </w:r>
                </w:p>
              </w:tc>
              <w:tc>
                <w:tcPr>
                  <w:tcW w:type="auto" w:w="0"/>
                  <w:shd w:val="clear" w:color="auto" w:fill="F0F0F0"/>
                </w:tcPr>
                <w:p>
                  <w:pPr>
                    <w:pStyle w:val="Normal"/>
                    <w:keepLines w:val="on"/>
                  </w:pPr>
                  <w:r>
                    <w:t>18,79%</w:t>
                  </w:r>
                </w:p>
              </w:tc>
              <w:tc>
                <w:tcPr>
                  <w:tcW w:type="auto" w:w="0"/>
                  <w:shd w:val="clear" w:color="auto" w:fill="F0F0F0"/>
                </w:tcPr>
                <w:p>
                  <w:pPr>
                    <w:pStyle w:val="7 Block"/>
                    <w:keepLines w:val="on"/>
                  </w:pPr>
                </w:p>
              </w:tc>
              <w:tc>
                <w:tcPr>
                  <w:tcW w:type="auto" w:w="0"/>
                  <w:shd w:val="clear" w:color="auto" w:fill="F0F0F0"/>
                </w:tcPr>
                <w:p>
                  <w:pPr>
                    <w:pStyle w:val="Normal"/>
                    <w:keepLines w:val="on"/>
                  </w:pPr>
                  <w:r>
                    <w:t>$420</w:t>
                  </w:r>
                </w:p>
              </w:tc>
              <w:tc>
                <w:tcPr>
                  <w:tcW w:type="auto" w:w="0"/>
                  <w:shd w:val="clear" w:color="auto" w:fill="F0F0F0"/>
                </w:tcPr>
                <w:p>
                  <w:pPr>
                    <w:pStyle w:val="Normal"/>
                    <w:keepLines w:val="on"/>
                  </w:pPr>
                  <w:r>
                    <w:t>50,00%</w:t>
                  </w:r>
                </w:p>
              </w:tc>
            </w:tr>
            <w:tr>
              <w:tc>
                <w:tcPr>
                  <w:tcW w:type="auto" w:w="0"/>
                  <w:shd w:val="clear" w:color="auto" w:fill="F0F0F0"/>
                </w:tcPr>
                <w:p>
                  <w:pPr>
                    <w:pStyle w:val="Para 02"/>
                    <w:keepLines w:val="on"/>
                  </w:pPr>
                  <w:r>
                    <w:t>2004</w:t>
                  </w:r>
                </w:p>
              </w:tc>
              <w:tc>
                <w:tcPr>
                  <w:tcW w:type="auto" w:w="0"/>
                  <w:shd w:val="clear" w:color="auto" w:fill="F0F0F0"/>
                </w:tcPr>
                <w:p>
                  <w:pPr>
                    <w:pStyle w:val="5 Block"/>
                    <w:keepLines w:val="on"/>
                  </w:pPr>
                </w:p>
              </w:tc>
              <w:tc>
                <w:tcPr>
                  <w:tcW w:type="auto" w:w="0"/>
                  <w:shd w:val="clear" w:color="auto" w:fill="F0F0F0"/>
                </w:tcPr>
                <w:p>
                  <w:pPr>
                    <w:pStyle w:val="Normal"/>
                    <w:keepLines w:val="on"/>
                  </w:pPr>
                  <w:r>
                    <w:t>67,68</w:t>
                  </w:r>
                </w:p>
              </w:tc>
              <w:tc>
                <w:tcPr>
                  <w:tcW w:type="auto" w:w="0"/>
                  <w:shd w:val="clear" w:color="auto" w:fill="F0F0F0"/>
                </w:tcPr>
                <w:p>
                  <w:pPr>
                    <w:pStyle w:val="Normal"/>
                    <w:keepLines w:val="on"/>
                  </w:pPr>
                  <w:r>
                    <w:t>23,75%</w:t>
                  </w:r>
                </w:p>
              </w:tc>
              <w:tc>
                <w:tcPr>
                  <w:tcW w:type="auto" w:w="0"/>
                  <w:shd w:val="clear" w:color="auto" w:fill="F0F0F0"/>
                </w:tcPr>
                <w:p>
                  <w:pPr>
                    <w:pStyle w:val="7 Block"/>
                    <w:keepLines w:val="on"/>
                  </w:pP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42,86%</w:t>
                  </w:r>
                </w:p>
              </w:tc>
            </w:tr>
            <w:tr>
              <w:tc>
                <w:tcPr>
                  <w:tcW w:type="auto" w:w="0"/>
                  <w:shd w:val="clear" w:color="auto" w:fill="F0F0F0"/>
                </w:tcPr>
                <w:p>
                  <w:pPr>
                    <w:pStyle w:val="Para 02"/>
                    <w:keepLines w:val="on"/>
                  </w:pPr>
                  <w:r>
                    <w:t>2005</w:t>
                  </w:r>
                </w:p>
              </w:tc>
              <w:tc>
                <w:tcPr>
                  <w:tcW w:type="auto" w:w="0"/>
                  <w:shd w:val="clear" w:color="auto" w:fill="F0F0F0"/>
                </w:tcPr>
                <w:p>
                  <w:pPr>
                    <w:pStyle w:val="5 Block"/>
                    <w:keepLines w:val="on"/>
                  </w:pPr>
                </w:p>
              </w:tc>
              <w:tc>
                <w:tcPr>
                  <w:tcW w:type="auto" w:w="0"/>
                  <w:shd w:val="clear" w:color="auto" w:fill="F0F0F0"/>
                </w:tcPr>
                <w:p>
                  <w:pPr>
                    <w:pStyle w:val="Normal"/>
                    <w:keepLines w:val="on"/>
                  </w:pPr>
                  <w:r>
                    <w:t>76,45</w:t>
                  </w:r>
                </w:p>
              </w:tc>
              <w:tc>
                <w:tcPr>
                  <w:tcW w:type="auto" w:w="0"/>
                  <w:shd w:val="clear" w:color="auto" w:fill="F0F0F0"/>
                </w:tcPr>
                <w:p>
                  <w:pPr>
                    <w:pStyle w:val="Normal"/>
                    <w:keepLines w:val="on"/>
                  </w:pPr>
                  <w:r>
                    <w:t>12,96%</w:t>
                  </w:r>
                </w:p>
              </w:tc>
              <w:tc>
                <w:tcPr>
                  <w:tcW w:type="auto" w:w="0"/>
                  <w:shd w:val="clear" w:color="auto" w:fill="F0F0F0"/>
                </w:tcPr>
                <w:p>
                  <w:pPr>
                    <w:pStyle w:val="7 Block"/>
                    <w:keepLines w:val="on"/>
                  </w:pP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25,00%</w:t>
                  </w:r>
                </w:p>
              </w:tc>
            </w:tr>
            <w:tr>
              <w:tc>
                <w:tcPr>
                  <w:tcW w:type="auto" w:w="0"/>
                  <w:shd w:val="clear" w:color="auto" w:fill="F0F0F0"/>
                </w:tcPr>
                <w:p>
                  <w:pPr>
                    <w:pStyle w:val="Para 02"/>
                    <w:keepLines w:val="on"/>
                  </w:pPr>
                  <w:r>
                    <w:t>2006</w:t>
                  </w:r>
                </w:p>
              </w:tc>
              <w:tc>
                <w:tcPr>
                  <w:tcW w:type="auto" w:w="0"/>
                  <w:shd w:val="clear" w:color="auto" w:fill="F0F0F0"/>
                </w:tcPr>
                <w:p>
                  <w:pPr>
                    <w:pStyle w:val="5 Block"/>
                    <w:keepLines w:val="on"/>
                  </w:pPr>
                </w:p>
              </w:tc>
              <w:tc>
                <w:tcPr>
                  <w:tcW w:type="auto" w:w="0"/>
                  <w:shd w:val="clear" w:color="auto" w:fill="F0F0F0"/>
                </w:tcPr>
                <w:p>
                  <w:pPr>
                    <w:pStyle w:val="Normal"/>
                    <w:keepLines w:val="on"/>
                  </w:pPr>
                  <w:r>
                    <w:t>87,72</w:t>
                  </w:r>
                </w:p>
              </w:tc>
              <w:tc>
                <w:tcPr>
                  <w:tcW w:type="auto" w:w="0"/>
                  <w:shd w:val="clear" w:color="auto" w:fill="F0F0F0"/>
                </w:tcPr>
                <w:p>
                  <w:pPr>
                    <w:pStyle w:val="Normal"/>
                    <w:keepLines w:val="on"/>
                  </w:pPr>
                  <w:r>
                    <w:t>14,75%</w:t>
                  </w:r>
                </w:p>
              </w:tc>
              <w:tc>
                <w:tcPr>
                  <w:tcW w:type="auto" w:w="0"/>
                  <w:shd w:val="clear" w:color="auto" w:fill="F0F0F0"/>
                </w:tcPr>
                <w:p>
                  <w:pPr>
                    <w:pStyle w:val="7 Block"/>
                    <w:keepLines w:val="on"/>
                  </w:pP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20,00%</w:t>
                  </w:r>
                </w:p>
              </w:tc>
            </w:tr>
            <w:tr>
              <w:tc>
                <w:tcPr>
                  <w:tcW w:type="auto" w:w="0"/>
                  <w:shd w:val="clear" w:color="auto" w:fill="F0F0F0"/>
                </w:tcPr>
                <w:p>
                  <w:pPr>
                    <w:pStyle w:val="Para 02"/>
                    <w:keepLines w:val="on"/>
                  </w:pPr>
                  <w:r>
                    <w:t>2007</w:t>
                  </w:r>
                </w:p>
              </w:tc>
              <w:tc>
                <w:tcPr>
                  <w:tcW w:type="auto" w:w="0"/>
                  <w:shd w:val="clear" w:color="auto" w:fill="F0F0F0"/>
                </w:tcPr>
                <w:p>
                  <w:pPr>
                    <w:pStyle w:val="5 Block"/>
                    <w:keepLines w:val="on"/>
                  </w:pPr>
                </w:p>
              </w:tc>
              <w:tc>
                <w:tcPr>
                  <w:tcW w:type="auto" w:w="0"/>
                  <w:shd w:val="clear" w:color="auto" w:fill="F0F0F0"/>
                </w:tcPr>
                <w:p>
                  <w:pPr>
                    <w:pStyle w:val="Normal"/>
                    <w:keepLines w:val="on"/>
                  </w:pPr>
                  <w:r>
                    <w:t>82,54</w:t>
                  </w:r>
                </w:p>
              </w:tc>
              <w:tc>
                <w:tcPr>
                  <w:tcW w:type="auto" w:w="0"/>
                  <w:shd w:val="clear" w:color="auto" w:fill="F0F0F0"/>
                </w:tcPr>
                <w:p>
                  <w:pPr>
                    <w:pStyle w:val="Normal"/>
                    <w:keepLines w:val="on"/>
                  </w:pPr>
                  <w:r>
                    <w:t>−5,91%</w:t>
                  </w:r>
                </w:p>
              </w:tc>
              <w:tc>
                <w:tcPr>
                  <w:tcW w:type="auto" w:w="0"/>
                  <w:shd w:val="clear" w:color="auto" w:fill="F0F0F0"/>
                </w:tcPr>
                <w:p>
                  <w:pPr>
                    <w:pStyle w:val="7 Block"/>
                    <w:keepLines w:val="on"/>
                  </w:pP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−11,11%</w:t>
                  </w:r>
                </w:p>
              </w:tc>
            </w:tr>
            <w:tr>
              <w:tc>
                <w:tcPr>
                  <w:tcW w:type="auto" w:w="0"/>
                  <w:shd w:val="clear" w:color="auto" w:fill="F0F0F0"/>
                </w:tcPr>
                <w:p>
                  <w:pPr>
                    <w:pStyle w:val="Para 02"/>
                    <w:keepLines w:val="on"/>
                  </w:pPr>
                  <w:r>
                    <w:t>2008</w:t>
                  </w:r>
                </w:p>
              </w:tc>
              <w:tc>
                <w:tcPr>
                  <w:tcW w:type="auto" w:w="0"/>
                  <w:shd w:val="clear" w:color="auto" w:fill="F0F0F0"/>
                </w:tcPr>
                <w:p>
                  <w:pPr>
                    <w:pStyle w:val="5 Block"/>
                    <w:keepLines w:val="on"/>
                  </w:pPr>
                </w:p>
              </w:tc>
              <w:tc>
                <w:tcPr>
                  <w:tcW w:type="auto" w:w="0"/>
                  <w:shd w:val="clear" w:color="auto" w:fill="F0F0F0"/>
                </w:tcPr>
                <w:p>
                  <w:pPr>
                    <w:pStyle w:val="Normal"/>
                    <w:keepLines w:val="on"/>
                  </w:pPr>
                  <w:r>
                    <w:t>65,39</w:t>
                  </w:r>
                </w:p>
              </w:tc>
              <w:tc>
                <w:tcPr>
                  <w:tcW w:type="auto" w:w="0"/>
                  <w:shd w:val="clear" w:color="auto" w:fill="F0F0F0"/>
                </w:tcPr>
                <w:p>
                  <w:pPr>
                    <w:pStyle w:val="Normal"/>
                    <w:keepLines w:val="on"/>
                  </w:pPr>
                  <w:r>
                    <w:t>−20,78%</w:t>
                  </w:r>
                </w:p>
              </w:tc>
              <w:tc>
                <w:tcPr>
                  <w:tcW w:type="auto" w:w="0"/>
                  <w:shd w:val="clear" w:color="auto" w:fill="F0F0F0"/>
                </w:tcPr>
                <w:p>
                  <w:pPr>
                    <w:pStyle w:val="7 Block"/>
                    <w:keepLines w:val="on"/>
                  </w:pPr>
                </w:p>
              </w:tc>
              <w:tc>
                <w:tcPr>
                  <w:tcW w:type="auto" w:w="0"/>
                  <w:shd w:val="clear" w:color="auto" w:fill="F0F0F0"/>
                </w:tcPr>
                <w:p>
                  <w:pPr>
                    <w:pStyle w:val="Normal"/>
                    <w:keepLines w:val="on"/>
                  </w:pPr>
                  <w:r>
                    <w:t>600 đô la</w:t>
                  </w:r>
                </w:p>
              </w:tc>
              <w:tc>
                <w:tcPr>
                  <w:tcW w:type="auto" w:w="0"/>
                  <w:shd w:val="clear" w:color="auto" w:fill="F0F0F0"/>
                </w:tcPr>
                <w:p>
                  <w:pPr>
                    <w:pStyle w:val="Normal"/>
                    <w:keepLines w:val="on"/>
                  </w:pPr>
                  <w:r>
                    <w:t>−25,00%</w:t>
                  </w:r>
                </w:p>
              </w:tc>
            </w:tr>
            <w:tr>
              <w:tc>
                <w:tcPr>
                  <w:tcW w:type="auto" w:w="0"/>
                  <w:shd w:val="clear" w:color="auto" w:fill="F0F0F0"/>
                </w:tcPr>
                <w:p>
                  <w:pPr>
                    <w:pStyle w:val="Para 02"/>
                    <w:keepLines w:val="on"/>
                  </w:pPr>
                  <w:r>
                    <w:t>2009</w:t>
                  </w:r>
                </w:p>
              </w:tc>
              <w:tc>
                <w:tcPr>
                  <w:tcW w:type="auto" w:w="0"/>
                  <w:shd w:val="clear" w:color="auto" w:fill="F0F0F0"/>
                </w:tcPr>
                <w:p>
                  <w:pPr>
                    <w:pStyle w:val="5 Block"/>
                    <w:keepLines w:val="on"/>
                  </w:pPr>
                </w:p>
              </w:tc>
              <w:tc>
                <w:tcPr>
                  <w:tcW w:type="auto" w:w="0"/>
                  <w:shd w:val="clear" w:color="auto" w:fill="F0F0F0"/>
                </w:tcPr>
                <w:p>
                  <w:pPr>
                    <w:pStyle w:val="Normal"/>
                    <w:keepLines w:val="on"/>
                  </w:pPr>
                  <w:r>
                    <w:t>60,8</w:t>
                  </w:r>
                </w:p>
              </w:tc>
              <w:tc>
                <w:tcPr>
                  <w:tcW w:type="auto" w:w="0"/>
                  <w:shd w:val="clear" w:color="auto" w:fill="F0F0F0"/>
                </w:tcPr>
                <w:p>
                  <w:pPr>
                    <w:pStyle w:val="Normal"/>
                    <w:keepLines w:val="on"/>
                  </w:pPr>
                  <w:r>
                    <w:t>−7,02%</w:t>
                  </w:r>
                </w:p>
              </w:tc>
              <w:tc>
                <w:tcPr>
                  <w:tcW w:type="auto" w:w="0"/>
                  <w:shd w:val="clear" w:color="auto" w:fill="F0F0F0"/>
                </w:tcPr>
                <w:p>
                  <w:pPr>
                    <w:pStyle w:val="7 Block"/>
                    <w:keepLines w:val="on"/>
                  </w:pPr>
                </w:p>
              </w:tc>
              <w:tc>
                <w:tcPr>
                  <w:tcW w:type="auto" w:w="0"/>
                  <w:shd w:val="clear" w:color="auto" w:fill="F0F0F0"/>
                </w:tcPr>
                <w:p>
                  <w:pPr>
                    <w:pStyle w:val="Normal"/>
                    <w:keepLines w:val="on"/>
                  </w:pPr>
                  <w:r>
                    <w:t>550 đô la</w:t>
                  </w:r>
                </w:p>
              </w:tc>
              <w:tc>
                <w:tcPr>
                  <w:tcW w:type="auto" w:w="0"/>
                  <w:shd w:val="clear" w:color="auto" w:fill="F0F0F0"/>
                </w:tcPr>
                <w:p>
                  <w:pPr>
                    <w:pStyle w:val="Normal"/>
                    <w:keepLines w:val="on"/>
                  </w:pPr>
                  <w:r>
                    <w:t>−8,33%</w:t>
                  </w:r>
                </w:p>
              </w:tc>
            </w:tr>
            <w:tr>
              <w:tc>
                <w:tcPr>
                  <w:tcW w:type="auto" w:w="0"/>
                  <w:shd w:val="clear" w:color="auto" w:fill="F0F0F0"/>
                </w:tcPr>
                <w:p>
                  <w:pPr>
                    <w:pStyle w:val="Para 02"/>
                    <w:keepLines w:val="on"/>
                  </w:pPr>
                  <w:r>
                    <w:t>2010</w:t>
                  </w:r>
                </w:p>
              </w:tc>
              <w:tc>
                <w:tcPr>
                  <w:tcW w:type="auto" w:w="0"/>
                  <w:shd w:val="clear" w:color="auto" w:fill="F0F0F0"/>
                </w:tcPr>
                <w:p>
                  <w:pPr>
                    <w:pStyle w:val="5 Block"/>
                    <w:keepLines w:val="on"/>
                  </w:pPr>
                </w:p>
              </w:tc>
              <w:tc>
                <w:tcPr>
                  <w:tcW w:type="auto" w:w="0"/>
                  <w:shd w:val="clear" w:color="auto" w:fill="F0F0F0"/>
                </w:tcPr>
                <w:p>
                  <w:pPr>
                    <w:pStyle w:val="Normal"/>
                    <w:keepLines w:val="on"/>
                  </w:pPr>
                  <w:r>
                    <w:t>83,66</w:t>
                  </w:r>
                </w:p>
              </w:tc>
              <w:tc>
                <w:tcPr>
                  <w:tcW w:type="auto" w:w="0"/>
                  <w:shd w:val="clear" w:color="auto" w:fill="F0F0F0"/>
                </w:tcPr>
                <w:p>
                  <w:pPr>
                    <w:pStyle w:val="Normal"/>
                    <w:keepLines w:val="on"/>
                  </w:pPr>
                  <w:r>
                    <w:t>37,60%</w:t>
                  </w:r>
                </w:p>
              </w:tc>
              <w:tc>
                <w:tcPr>
                  <w:tcW w:type="auto" w:w="0"/>
                  <w:shd w:val="clear" w:color="auto" w:fill="F0F0F0"/>
                </w:tcPr>
                <w:p>
                  <w:pPr>
                    <w:pStyle w:val="7 Block"/>
                    <w:keepLines w:val="on"/>
                  </w:pPr>
                </w:p>
              </w:tc>
              <w:tc>
                <w:tcPr>
                  <w:tcW w:type="auto" w:w="0"/>
                  <w:shd w:val="clear" w:color="auto" w:fill="F0F0F0"/>
                </w:tcPr>
                <w:p>
                  <w:pPr>
                    <w:pStyle w:val="Normal"/>
                    <w:keepLines w:val="on"/>
                  </w:pPr>
                  <w:r>
                    <w:t>900 đô la</w:t>
                  </w:r>
                </w:p>
              </w:tc>
              <w:tc>
                <w:tcPr>
                  <w:tcW w:type="auto" w:w="0"/>
                  <w:shd w:val="clear" w:color="auto" w:fill="F0F0F0"/>
                </w:tcPr>
                <w:p>
                  <w:pPr>
                    <w:pStyle w:val="Normal"/>
                    <w:keepLines w:val="on"/>
                  </w:pPr>
                  <w:r>
                    <w:t>63,64%</w:t>
                  </w:r>
                </w:p>
              </w:tc>
            </w:tr>
          </w:tbl>
          <w:p/>
        </w:tc>
      </w:tr>
    </w:tbl>
    <w:p>
      <w:pPr>
        <w:pStyle w:val="Para 04"/>
        <w:keepLines w:val="on"/>
      </w:pPr>
      <w:r>
        <w:t>Hồi quy những thay đổi trong thu nhập của InfoSoft theo những thay đổi trong thu nhập của S&amp;P 500 cho ta kết quả như sau.</w:t>
      </w:r>
    </w:p>
    <w:p>
      <w:bookmarkStart w:id="4957" w:name="InfoSoft_Earnings_change_0_10_1"/>
      <w:pPr>
        <w:keepNext/>
        <w:pStyle w:val="Para 07"/>
        <w:keepLines w:val="on"/>
      </w:pPr>
      <w:r>
        <w:t>Thay đổi thu nhập của InfoSoft=0,10+1,84 Thay đổi thu nhập của S&amp;P 5001,93 6,91</w:t>
      </w:r>
      <w:bookmarkEnd w:id="4957"/>
    </w:p>
    <w:p>
      <w:pPr>
        <w:pStyle w:val="Para 04"/>
        <w:keepLines w:val="on"/>
      </w:pPr>
      <w:r>
        <w:t>Dựa trên hồi quy này, beta của InfoSoft là 1,84. Khi tính beta này, chúng ta đã dùng thu nhập ròng để có được beta vốn chủ sở hữu (equity beta). Dùng thu nhập hoạt động (operating earnings) cho cả công ty lẫn S&amp;P 500 sẽ cho ra tương đương với beta chưa vay nợ (unlevered beta).</w:t>
      </w:r>
    </w:p>
    <w:p>
      <w:bookmarkStart w:id="4958" w:name="Fundamental_Betas__There_have_be"/>
      <w:pPr>
        <w:pStyle w:val="Para 42"/>
      </w:pPr>
      <w:r>
        <w:t>Beta cơ bản</w:t>
      </w:r>
      <w:bookmarkEnd w:id="4958"/>
    </w:p>
    <w:p>
      <w:pPr>
        <w:pStyle w:val="Para 03"/>
      </w:pPr>
      <w:r>
        <w:t>Các nhà nghiên cứu đã từng cố gắng liên hệ beta của những công ty đại chúng với các biến số quan sát được, chẳng hạn như tăng trưởng thu nhập, tỷ lệ nợ và mức biến động của thu nhập. Beaver, Kettler và Scholes (1970) đã xem xét mối quan hệ giữa beta và bảy biến số: tỷ lệ chi trả cổ tức, tăng trưởng tài sản, đòn bẩy, tính thanh khoản, quy mô tài sản, mức biến động thu nhập và beta kế toán. Rosenberg và Guy (1976) cũng thực hiện một phân tích tương tự.</w:t>
      </w:r>
    </w:p>
    <w:p>
      <w:pPr>
        <w:pStyle w:val="Para 03"/>
      </w:pPr>
      <w:r>
        <w:t>Cập nhật hồi quy này bằng dữ liệu của 1.710 công ty Mỹ từ tháng 1 năm 2024, chúng ta thu được kết quả sau:</w:t>
      </w:r>
    </w:p>
    <w:p>
      <w:bookmarkStart w:id="4960" w:name="Beta_0_74___0_01Cash_Capital_0_2"/>
      <w:pPr>
        <w:keepNext/>
        <w:pStyle w:val="Para 09"/>
        <w:keepLines w:val="on"/>
      </w:pPr>
      <w:r>
        <w:t>Beta=0,74−0,01Tiền mặt/Vốn+0,2898 DFR+0,0467 Tăng trưởng thu nhập34,582,05 6,39 2,43</w:t>
      </w:r>
      <w:bookmarkEnd w:id="4960"/>
    </w:p>
    <w:p>
      <w:bookmarkStart w:id="4961" w:name="Where_Cash_Capital_Cash_BV_of_de"/>
      <w:pPr>
        <w:pStyle w:val="Para 39"/>
      </w:pPr>
      <w:r>
        <w:t>Trong đó Tiền mặt/Vốn=Tiền mặt/Giá trị sổ sách của nợ+Giá trị sổ sách của vốn chủ sở hữuDFR=Giá trị sổ sách của nợ/Giá trị sổ sách của nợ+Giá trị sổ sách của vốn chủ sở hữuTăng trưởng thu nhập=Tốc độ tăng trưởng kép hằng năm (CAGR) của thu nhập trong 3 năm gần nhất</w:t>
      </w:r>
      <w:bookmarkEnd w:id="4961"/>
    </w:p>
    <w:p>
      <w:pPr>
        <w:pStyle w:val="Para 03"/>
      </w:pPr>
      <w:r>
        <w:t>Như vậy, những công ty có tỷ lệ nợ trên vốn cao hơn và tăng trưởng kỳ vọng cao hơn thì có beta cao hơn, trong khi những công ty có nhiều tiền mặt hơn, tính theo phần trăm giá trị sổ sách của vốn, thì có beta thấp hơn. Vì tất cả các biến độc lập đều có thể thu thập được đối với một doanh nghiệp tư nhân, bạn có thể ước tính một beta cơ bản cho doanh nghiệp đó. Một lưu ý khi dùng hồi quy này là R-squared của hồi quy chỉ đạt 2,8 phần trăm, cho thấy các dự đoán sẽ đi kèm sai số chuẩn lớn.</w:t>
      </w:r>
    </w:p>
    <w:p>
      <w:pPr>
        <w:pStyle w:val="Para 20"/>
      </w:pPr>
      <w:r>
        <w:rPr>
          <w:rStyle w:val="Text26"/>
        </w:rPr>
        <w:bookmarkStart w:id="4962" w:name="Page_761"/>
        <w:t/>
        <w:bookmarkEnd w:id="4962"/>
      </w:r>
      <w:r>
        <w:t xml:space="preserve"> </w:t>
      </w:r>
    </w:p>
    <w:p>
      <w:pPr>
        <w:pStyle w:val="Para 11"/>
      </w:pPr>
      <w:r>
        <w:t xml:space="preserve"> </w:t>
      </w:r>
    </w:p>
    <w:p>
      <w:bookmarkStart w:id="4963" w:name="ILLUSTRATION_24_2___Estimating_a"/>
      <w:bookmarkStart w:id="4964" w:name="ILLUSTRATION_24_2___Estimating_a_1"/>
      <w:pPr>
        <w:keepNext/>
        <w:pStyle w:val="Para 19"/>
        <w:keepLines w:val="on"/>
      </w:pPr>
      <w:r>
        <w:t>MINH HỌA 24.2: Ước tính beta cơ bản: InfoSoft</w:t>
      </w:r>
      <w:bookmarkEnd w:id="4963"/>
      <w:bookmarkEnd w:id="4964"/>
    </w:p>
    <w:p>
      <w:pPr>
        <w:pStyle w:val="Para 04"/>
        <w:keepLines w:val="on"/>
      </w:pPr>
      <w:r>
        <w:t>Để dùng hồi quy chéo mà chúng ta đã trình bày ở trên nhằm ước tính beta cho InfoSoft, chúng ta phải ước tính giá trị của từng biến độc lập cho công ty này.</w:t>
      </w:r>
    </w:p>
    <w:tbl>
      <w:tblPr>
        <w:tblW w:type="auto" w:w="0"/>
      </w:tblPr>
      <w:tr>
        <w:tc>
          <w:tcPr>
            <w:tcW w:type="auto" w:w="0"/>
          </w:tcPr>
          <w:tbl>
            <w:tblPr>
              <w:tblW w:type="auto" w:w="0"/>
            </w:tblPr>
            <w:tr>
              <w:tc>
                <w:tcPr>
                  <w:tcW w:type="auto" w:w="0"/>
                  <w:shd w:val="clear" w:color="auto" w:fill="F0F0F0"/>
                </w:tcPr>
                <w:p>
                  <w:pPr>
                    <w:pStyle w:val="Para 05"/>
                    <w:keepLines w:val="on"/>
                  </w:pPr>
                  <w:r>
                    <w:t>Biến số</w:t>
                  </w:r>
                </w:p>
              </w:tc>
              <w:tc>
                <w:tcPr>
                  <w:tcW w:type="auto" w:w="0"/>
                  <w:shd w:val="clear" w:color="auto" w:fill="F0F0F0"/>
                </w:tcPr>
                <w:p>
                  <w:pPr>
                    <w:pStyle w:val="Para 05"/>
                    <w:keepLines w:val="on"/>
                  </w:pPr>
                  <w:r>
                    <w:t>Giá trị</w:t>
                  </w:r>
                </w:p>
              </w:tc>
            </w:tr>
            <w:tr>
              <w:tc>
                <w:tcPr>
                  <w:tcW w:type="auto" w:w="0"/>
                  <w:shd w:val="clear" w:color="auto" w:fill="F0F0F0"/>
                </w:tcPr>
                <w:p>
                  <w:pPr>
                    <w:pStyle w:val="Para 02"/>
                    <w:keepLines w:val="on"/>
                  </w:pPr>
                  <w:r>
                    <w:t>Tiền mặt/(Giá trị sổ sách của nợ + Giá trị sổ sách của vốn chủ sở hữu)</w:t>
                  </w:r>
                </w:p>
              </w:tc>
              <w:tc>
                <w:tcPr>
                  <w:tcW w:type="auto" w:w="0"/>
                  <w:shd w:val="clear" w:color="auto" w:fill="F0F0F0"/>
                </w:tcPr>
                <w:p>
                  <w:pPr>
                    <w:pStyle w:val="Normal"/>
                    <w:keepLines w:val="on"/>
                  </w:pPr>
                  <w:r>
                    <w:t>25%</w:t>
                  </w:r>
                </w:p>
              </w:tc>
            </w:tr>
            <w:tr>
              <w:tc>
                <w:tcPr>
                  <w:tcW w:type="auto" w:w="0"/>
                  <w:shd w:val="clear" w:color="auto" w:fill="F0F0F0"/>
                </w:tcPr>
                <w:p>
                  <w:pPr>
                    <w:pStyle w:val="Para 02"/>
                    <w:keepLines w:val="on"/>
                  </w:pPr>
                  <w:r>
                    <w:t>Giá trị sổ sách của nợ/(Giá trị sổ sách của nợ + Giá trị sổ sách của vốn chủ sở hữu)</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Tốc độ tăng trưởng kép hằng năm (CAGR) của thu nhập ròng – 3 năm gần nhất</w:t>
                  </w:r>
                </w:p>
              </w:tc>
              <w:tc>
                <w:tcPr>
                  <w:tcW w:type="auto" w:w="0"/>
                  <w:shd w:val="clear" w:color="auto" w:fill="F0F0F0"/>
                </w:tcPr>
                <w:p>
                  <w:pPr>
                    <w:pStyle w:val="Normal"/>
                    <w:keepLines w:val="on"/>
                  </w:pPr>
                  <w:r>
                    <w:t>50%</w:t>
                  </w:r>
                </w:p>
              </w:tc>
            </w:tr>
          </w:tbl>
          <w:p/>
        </w:tc>
      </w:tr>
    </w:tbl>
    <w:p>
      <w:pPr>
        <w:pStyle w:val="Para 04"/>
        <w:keepLines w:val="on"/>
      </w:pPr>
      <w:r>
        <w:t>Đưa các giá trị này vào phương trình hồi quy, ta thu được giá trị dự đoán cho hệ số beta:</w:t>
      </w:r>
    </w:p>
    <w:p>
      <w:bookmarkStart w:id="4965" w:name="Beta_0_74___0_01_25_0_28980_0_04"/>
      <w:pPr>
        <w:keepNext/>
        <w:pStyle w:val="Para 07"/>
        <w:keepLines w:val="on"/>
      </w:pPr>
      <w:r>
        <w:t>Beta=0,74−0,01×0,25+0,2898×0+0,0467×0,50=0,76</w:t>
      </w:r>
      <w:bookmarkEnd w:id="4965"/>
    </w:p>
    <w:p>
      <w:pPr>
        <w:pStyle w:val="Para 04"/>
        <w:keepLines w:val="on"/>
      </w:pPr>
      <w:r>
        <w:t>Kết quả này cho ra ước tính hệ số beta của InfoSoft là 0,76. Sai số chuẩn của ước tính này là 0,07, tạo ra khoảng dao động từ 0,62 đến 0,90 cho hệ số beta, với xác suất 95%.</w:t>
      </w:r>
    </w:p>
    <w:p>
      <w:bookmarkStart w:id="4966" w:name="Bottom_Up_Betas__When_valuing_pu"/>
      <w:pPr>
        <w:pStyle w:val="Para 42"/>
      </w:pPr>
      <w:r>
        <w:t>Hệ số Beta từ dưới lên (Bottom-Up Betas)</w:t>
      </w:r>
      <w:bookmarkEnd w:id="4966"/>
    </w:p>
    <w:p>
      <w:pPr>
        <w:pStyle w:val="Para 03"/>
      </w:pPr>
      <w:r>
        <w:t>Khi định giá các công ty niêm yết công khai, chúng tôi sử dụng hệ số beta chưa vay nợ (unlevered beta) của các ngành kinh doanh mà công ty đang hoạt động để ước tính hệ số beta từ dưới lên — chi phí vốn chủ sở hữu được dựa trên những hệ số beta này. Chúng tôi làm vậy vì sai số chuẩn của các ước tính này thấp (nhờ lấy trung bình trên số lượng lớn công ty) và tính chất hướng tới tương lai của các ước tính (vì cơ cấu ngành kinh doanh dùng để tính trọng số cho hệ số beta có thể thay đổi). Ta có thể ước tính hệ số beta từ dưới lên cho các công ty tư nhân, và những hệ số beta này cũng có các ưu điểm tương tự như đối với công ty niêm yết công khai. Do đó, hệ số beta của một công ty thép tư nhân có thể được ước tính bằng cách xem xét hệ số beta trung bình của các công ty thép niêm yết công khai. Mọi khác biệt về đòn bẩy tài chính hay thậm chí đòn bẩy hoạt động đều có thể được điều chỉnh trong ước tính cuối cùng.</w:t>
      </w:r>
    </w:p>
    <w:p>
      <w:pPr>
        <w:pStyle w:val="Para 03"/>
      </w:pPr>
      <w:r>
        <w:t>Khi điều chỉnh hệ số beta chưa vay nợ theo đòn bẩy tài chính, chúng ta thực sự gặp một vấn đề với các công ty tư nhân, vì tỷ lệ nợ trên vốn chủ sở hữu nên được sử dụng là tỷ lệ theo giá trị thị trường. Trong khi nhiều nhà phân tích dùng tỷ lệ nợ trên vốn chủ sở hữu theo giá trị sổ sách để thay thế cho tỷ lệ theo thị trường đối với công ty tư nhân, chúng tôi đề xuất một trong các phương án thay thế sau:</w:t>
      </w:r>
    </w:p>
    <w:p>
      <w:pPr>
        <w:numPr>
          <w:ilvl w:val="0"/>
          <w:numId w:val="255"/>
        </w:numPr>
        <w:pStyle w:val="Para 01"/>
      </w:pPr>
      <w:r>
        <w:t>Giả định rằng tỷ lệ nợ trên vốn chủ sở hữu theo giá trị thị trường của công ty tư nhân sẽ tương tự mức trung bình của ngành. Nếu đúng như vậy, hệ số beta có vay nợ (levered beta) của công ty tư nhân có thể được viết như sau:</w:t>
      </w:r>
    </w:p>
    <w:p>
      <w:bookmarkStart w:id="4968" w:name="bprivatefirm_bunlevered1_1___Tax"/>
      <w:pPr>
        <w:keepNext/>
        <w:pStyle w:val="Para 09"/>
        <w:keepLines w:val="on"/>
      </w:pPr>
      <w:r>
        <w:t>βcông ty tư nhân=βchưa vay nợ×[1+(1−Thuế suất)×(Tỷ lệ Nợ/Vốn chủ sở hữu trung bình của ngành)]</w:t>
      </w:r>
      <w:bookmarkEnd w:id="4968"/>
    </w:p>
    <w:p>
      <w:pPr>
        <w:numPr>
          <w:ilvl w:val="0"/>
          <w:numId w:val="256"/>
        </w:numPr>
        <w:pStyle w:val="Para 01"/>
      </w:pPr>
      <w:r>
        <w:t>Sử dụng tỷ lệ nợ trên vốn chủ sở hữu mục tiêu của công ty tư nhân (nếu ban lãnh đạo sẵn sàng xác định một mục tiêu như vậy) hoặc tỷ lệ nợ tối ưu của công ty (nếu có thể ước tính được) để ước tính hệ số beta:</w:t>
      </w:r>
    </w:p>
    <w:p>
      <w:bookmarkStart w:id="4969" w:name="bprivatefirm_bunlevered1_1___Tax_1"/>
      <w:pPr>
        <w:keepNext/>
        <w:pStyle w:val="Para 09"/>
        <w:keepLines w:val="on"/>
      </w:pPr>
      <w:r>
        <w:t>βcông ty tư nhân=βchưa vay nợ×[1+(1−Thuế suất)×(Tỷ lệ Nợ/Vốn chủ sở hữu tối ưu)]</w:t>
      </w:r>
      <w:bookmarkEnd w:id="4969"/>
    </w:p>
    <w:p>
      <w:pPr>
        <w:pStyle w:val="Para 03"/>
      </w:pPr>
      <w:r>
        <w:t>Việc điều chỉnh theo đòn bẩy hoạt động đơn giản hơn và dựa trên tỷ trọng chi phí cố định của công ty tư nhân. Nếu tỷ trọng này lớn hơn mức điển hình trong ngành, hệ số beta dùng cho công ty tư nhân nên cao hơn mức trung bình của ngành.</w:t>
      </w:r>
    </w:p>
    <w:p>
      <w:pPr>
        <w:pStyle w:val="Para 11"/>
      </w:pPr>
      <w:r>
        <w:t xml:space="preserve"> </w:t>
      </w:r>
    </w:p>
    <w:p>
      <w:bookmarkStart w:id="4970" w:name="spearn_xls__This_dataset_on_the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221"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4970"/>
    </w:p>
    <w:p>
      <w:pPr>
        <w:pStyle w:val="Para 31"/>
        <w:keepLines w:val="on"/>
      </w:pPr>
      <w:r>
        <w:t>spearn.xls: Bộ dữ liệu này trên web chứa các thay đổi về thu nhập, theo từng năm, của chỉ số S&amp;P 500 kể từ năm 1960.</w:t>
      </w:r>
    </w:p>
    <w:p>
      <w:pPr>
        <w:pStyle w:val="Para 20"/>
      </w:pPr>
      <w:r>
        <w:rPr>
          <w:rStyle w:val="Text26"/>
        </w:rPr>
        <w:bookmarkStart w:id="4971" w:name="Page_762"/>
        <w:t/>
        <w:bookmarkEnd w:id="4971"/>
      </w:r>
      <w:r>
        <w:t xml:space="preserve"> </w:t>
      </w:r>
    </w:p>
    <w:p>
      <w:pPr>
        <w:pStyle w:val="Para 11"/>
      </w:pPr>
      <w:r>
        <w:t xml:space="preserve"> </w:t>
      </w:r>
    </w:p>
    <w:p>
      <w:bookmarkStart w:id="4972" w:name="ILLUSTRATION_24_3___Estimating_B"/>
      <w:bookmarkStart w:id="4973" w:name="ILLUSTRATION_24_3___Estimating_B_1"/>
      <w:pPr>
        <w:keepNext/>
        <w:pStyle w:val="Para 19"/>
        <w:keepLines w:val="on"/>
      </w:pPr>
      <w:r>
        <w:t>MINH HỌA 24.3: Ước tính hệ số Beta từ dưới lên—Chez Pierre và InfoSoft</w:t>
      </w:r>
      <w:bookmarkEnd w:id="4972"/>
      <w:bookmarkEnd w:id="4973"/>
    </w:p>
    <w:p>
      <w:pPr>
        <w:pStyle w:val="Para 04"/>
        <w:keepLines w:val="on"/>
      </w:pPr>
      <w:r>
        <w:t>Để ước tính hệ số beta từ dưới lên cho Chez Pierre, chúng tôi xem xét các nhà hàng niêm yết công khai tại Hoa Kỳ. Vào tháng 1 năm 2011, các công ty này có hệ số beta chưa vay nợ trung bình là 1,21 và tỷ lệ nợ trên vốn chủ sở hữu theo giá trị thị trường trung bình là 22,08%. Chúng tôi sẽ giả định rằng Chez Pierre có cùng hệ số beta chưa vay nợ và duy trì tỷ lệ nợ trên vốn chủ sở hữu tương tự như các công ty niêm yết công khai. Sử dụng thuế suất 40%, ta có hệ số beta có vay nợ của Chez Pierre là 1,37.</w:t>
      </w:r>
    </w:p>
    <w:p>
      <w:bookmarkStart w:id="4974" w:name="LeveredbetaforChezPierre_1_21x_1"/>
      <w:pPr>
        <w:keepNext/>
        <w:pStyle w:val="Para 07"/>
        <w:keepLines w:val="on"/>
      </w:pPr>
      <w:r>
        <w:t>Hệ số beta có vay nợ của Chez Pierre=1,21×[1+(1−0,40)×0,2208]=1,37</w:t>
      </w:r>
      <w:bookmarkEnd w:id="4974"/>
    </w:p>
    <w:p>
      <w:pPr>
        <w:pStyle w:val="Para 04"/>
        <w:keepLines w:val="on"/>
      </w:pPr>
      <w:r>
        <w:t>Để ước tính hệ số beta cho InfoSoft, chúng tôi thu thập hệ số beta và tỷ lệ nợ trên vốn chủ sở hữu theo giá trị thị trường của các công ty phần mềm niêm yết công khai. Vì có 333 công ty phần mềm trong mẫu, với sự khác biệt lớn về vốn hóa thị trường và triển vọng tăng trưởng, chúng tôi cũng xem xét các nhóm phân loại nhỏ hơn của những công ty này có thể so sánh được với InfoSoft hơn.</w:t>
      </w:r>
    </w:p>
    <w:tbl>
      <w:tblPr>
        <w:tblW w:type="auto" w:w="0"/>
      </w:tblPr>
      <w:tr>
        <w:tc>
          <w:tcPr>
            <w:tcW w:type="auto" w:w="0"/>
          </w:tcPr>
          <w:tbl>
            <w:tblPr>
              <w:tblW w:type="auto" w:w="0"/>
            </w:tblPr>
            <w:tr>
              <w:tc>
                <w:tcPr>
                  <w:tcW w:type="auto" w:w="0"/>
                  <w:shd w:val="clear" w:color="auto" w:fill="F0F0F0"/>
                </w:tcPr>
                <w:p>
                  <w:pPr>
                    <w:pStyle w:val="Para 05"/>
                    <w:keepLines w:val="on"/>
                  </w:pPr>
                  <w:r>
                    <w:t>Nhóm</w:t>
                  </w:r>
                </w:p>
              </w:tc>
              <w:tc>
                <w:tcPr>
                  <w:tcW w:type="auto" w:w="0"/>
                  <w:shd w:val="clear" w:color="auto" w:fill="F0F0F0"/>
                </w:tcPr>
                <w:p>
                  <w:pPr>
                    <w:pStyle w:val="Para 05"/>
                    <w:keepLines w:val="on"/>
                  </w:pPr>
                  <w:r>
                    <w:t>Số lượng công ty</w:t>
                  </w:r>
                </w:p>
              </w:tc>
              <w:tc>
                <w:tcPr>
                  <w:tcW w:type="auto" w:w="0"/>
                  <w:shd w:val="clear" w:color="auto" w:fill="F0F0F0"/>
                </w:tcPr>
                <w:p>
                  <w:pPr>
                    <w:pStyle w:val="Para 05"/>
                    <w:keepLines w:val="on"/>
                  </w:pPr>
                  <w:r>
                    <w:t>Tỷ lệ D/E</w:t>
                  </w:r>
                </w:p>
              </w:tc>
              <w:tc>
                <w:tcPr>
                  <w:tcW w:type="auto" w:w="0"/>
                  <w:shd w:val="clear" w:color="auto" w:fill="F0F0F0"/>
                </w:tcPr>
                <w:p>
                  <w:pPr>
                    <w:pStyle w:val="Para 05"/>
                    <w:keepLines w:val="on"/>
                  </w:pPr>
                  <w:r>
                    <w:t>Beta chưa vay nợ (Unlevered Beta)</w:t>
                  </w:r>
                </w:p>
              </w:tc>
            </w:tr>
            <w:tr>
              <w:tc>
                <w:tcPr>
                  <w:tcW w:type="auto" w:w="0"/>
                  <w:shd w:val="clear" w:color="auto" w:fill="F0F0F0"/>
                </w:tcPr>
                <w:p>
                  <w:pPr>
                    <w:pStyle w:val="Para 02"/>
                    <w:keepLines w:val="on"/>
                  </w:pPr>
                  <w:r>
                    <w:t>Tất cả các công ty phần mềm</w:t>
                  </w:r>
                </w:p>
              </w:tc>
              <w:tc>
                <w:tcPr>
                  <w:tcW w:type="auto" w:w="0"/>
                  <w:shd w:val="clear" w:color="auto" w:fill="F0F0F0"/>
                </w:tcPr>
                <w:p>
                  <w:pPr>
                    <w:pStyle w:val="Normal"/>
                    <w:keepLines w:val="on"/>
                  </w:pPr>
                  <w:r>
                    <w:t>333</w:t>
                  </w:r>
                </w:p>
              </w:tc>
              <w:tc>
                <w:tcPr>
                  <w:tcW w:type="auto" w:w="0"/>
                  <w:shd w:val="clear" w:color="auto" w:fill="F0F0F0"/>
                </w:tcPr>
                <w:p>
                  <w:pPr>
                    <w:pStyle w:val="Normal"/>
                    <w:keepLines w:val="on"/>
                  </w:pPr>
                  <w:r>
                    <w:t>5,61%</w:t>
                  </w:r>
                </w:p>
              </w:tc>
              <w:tc>
                <w:tcPr>
                  <w:tcW w:type="auto" w:w="0"/>
                  <w:shd w:val="clear" w:color="auto" w:fill="F0F0F0"/>
                </w:tcPr>
                <w:p>
                  <w:pPr>
                    <w:pStyle w:val="Normal"/>
                    <w:keepLines w:val="on"/>
                  </w:pPr>
                  <w:r>
                    <w:t>1,08</w:t>
                  </w:r>
                </w:p>
              </w:tc>
            </w:tr>
            <w:tr>
              <w:tc>
                <w:tcPr>
                  <w:tcW w:type="auto" w:w="0"/>
                  <w:shd w:val="clear" w:color="auto" w:fill="F0F0F0"/>
                </w:tcPr>
                <w:p>
                  <w:pPr>
                    <w:pStyle w:val="Para 02"/>
                    <w:keepLines w:val="on"/>
                  </w:pPr>
                  <w:r>
                    <w:t>Các công ty phần mềm vốn hóa nhỏ (Vốn hóa thị trường &lt;1 tỷ đô la)</w:t>
                  </w:r>
                </w:p>
              </w:tc>
              <w:tc>
                <w:tcPr>
                  <w:tcW w:type="auto" w:w="0"/>
                  <w:shd w:val="clear" w:color="auto" w:fill="F0F0F0"/>
                </w:tcPr>
                <w:p>
                  <w:pPr>
                    <w:pStyle w:val="Normal"/>
                    <w:keepLines w:val="on"/>
                  </w:pPr>
                  <w:r>
                    <w:t>108</w:t>
                  </w:r>
                </w:p>
              </w:tc>
              <w:tc>
                <w:tcPr>
                  <w:tcW w:type="auto" w:w="0"/>
                  <w:shd w:val="clear" w:color="auto" w:fill="F0F0F0"/>
                </w:tcPr>
                <w:p>
                  <w:pPr>
                    <w:pStyle w:val="Normal"/>
                    <w:keepLines w:val="on"/>
                  </w:pPr>
                  <w:r>
                    <w:t>6,35%</w:t>
                  </w:r>
                </w:p>
              </w:tc>
              <w:tc>
                <w:tcPr>
                  <w:tcW w:type="auto" w:w="0"/>
                  <w:shd w:val="clear" w:color="auto" w:fill="F0F0F0"/>
                </w:tcPr>
                <w:p>
                  <w:pPr>
                    <w:pStyle w:val="Normal"/>
                    <w:keepLines w:val="on"/>
                  </w:pPr>
                  <w:r>
                    <w:t>1,60</w:t>
                  </w:r>
                </w:p>
              </w:tc>
            </w:tr>
            <w:tr>
              <w:tc>
                <w:tcPr>
                  <w:tcW w:type="auto" w:w="0"/>
                  <w:shd w:val="clear" w:color="auto" w:fill="F0F0F0"/>
                </w:tcPr>
                <w:p>
                  <w:pPr>
                    <w:pStyle w:val="Para 02"/>
                    <w:keepLines w:val="on"/>
                  </w:pPr>
                  <w:r>
                    <w:t>Các công ty phần mềm giải trí</w:t>
                  </w:r>
                </w:p>
              </w:tc>
              <w:tc>
                <w:tcPr>
                  <w:tcW w:type="auto" w:w="0"/>
                  <w:shd w:val="clear" w:color="auto" w:fill="F0F0F0"/>
                </w:tcPr>
                <w:p>
                  <w:pPr>
                    <w:pStyle w:val="Normal"/>
                    <w:keepLines w:val="on"/>
                  </w:pPr>
                  <w:r>
                    <w:t>26</w:t>
                  </w:r>
                </w:p>
              </w:tc>
              <w:tc>
                <w:tcPr>
                  <w:tcW w:type="auto" w:w="0"/>
                  <w:shd w:val="clear" w:color="auto" w:fill="F0F0F0"/>
                </w:tcPr>
                <w:p>
                  <w:pPr>
                    <w:pStyle w:val="Normal"/>
                    <w:keepLines w:val="on"/>
                  </w:pPr>
                  <w:r>
                    <w:t>4,55%</w:t>
                  </w:r>
                </w:p>
              </w:tc>
              <w:tc>
                <w:tcPr>
                  <w:tcW w:type="auto" w:w="0"/>
                  <w:shd w:val="clear" w:color="auto" w:fill="F0F0F0"/>
                </w:tcPr>
                <w:p>
                  <w:pPr>
                    <w:pStyle w:val="Normal"/>
                    <w:keepLines w:val="on"/>
                  </w:pPr>
                  <w:r>
                    <w:t>1,45</w:t>
                  </w:r>
                </w:p>
              </w:tc>
            </w:tr>
          </w:tbl>
          <w:p/>
        </w:tc>
      </w:tr>
    </w:tbl>
    <w:p>
      <w:pPr>
        <w:pStyle w:val="Para 04"/>
        <w:keepLines w:val="on"/>
      </w:pPr>
      <w:r>
        <w:t>Lưu ý rằng các tỷ lệ nợ trên vốn chủ sở hữu ở đây là tỷ lệ nợ trên vốn chủ sở hữu theo giá trị thị trường, và việc các công ty có quy mô khác nhau về cơ bản không ảnh hưởng trực tiếp đến beta, nhưng có thể có ảnh hưởng gián tiếp, vì các công ty nhỏ hơn thường có đòn bẩy hoạt động (operating leverage) cao hơn. Chúng ta sẽ sử dụng beta chưa vay nợ là 1,60 cho InfoSoft, dựa trên beta trung bình của các công ty phần mềm vốn hóa nhỏ. Để ước tính beta có vay nợ (levered beta), chúng ta nhận thấy rằng InfoSoft không có nợ chưa thanh toán và không có kế hoạch vay tiền. Do đó, beta có vay nợ của nó bằng với beta chưa vay nợ là 1,60.</w:t>
      </w:r>
    </w:p>
    <w:p>
      <w:bookmarkStart w:id="4975" w:name="Adjusting_for_Nondiversification"/>
      <w:pPr>
        <w:pStyle w:val="Para 21"/>
      </w:pPr>
      <w:r>
        <w:t>Điều chỉnh cho yếu tố chưa đa dạng hóa</w:t>
      </w:r>
      <w:bookmarkEnd w:id="4975"/>
    </w:p>
    <w:p>
      <w:pPr>
        <w:pStyle w:val="Para 03"/>
      </w:pPr>
      <w:r>
        <w:t>Beta đo lường rủi ro mà một khoản đầu tư thêm vào một danh mục đầu tư đã được đa dạng hóa. Do đó, chúng phù hợp nhất với các công ty mà nhà đầu tư cận biên (marginal investor) đã được đa dạng hóa. Với các công ty tư nhân, chủ sở hữu thường là nhà đầu tư duy nhất, và do đó, có thể được coi là nhà đầu tư cận biên. Hơn nữa, ở hầu hết các công ty tư nhân, chủ sở hữu có xu hướng đầu tư phần lớn tài sản của mình vào doanh nghiệp tư nhân và không có cơ hội đa dạng hóa. Do đó, có thể lập luận rằng beta sẽ đánh giá thấp mức độ phơi nhiễm với rủi ro thị trường ở những công ty này.</w:t>
      </w:r>
    </w:p>
    <w:p>
      <w:pPr>
        <w:pStyle w:val="Para 03"/>
      </w:pPr>
      <w:r>
        <w:t>Ở mức cực đoan, nếu chủ sở hữu đầu tư toàn bộ tài sản của mình vào doanh nghiệp tư nhân và hoàn toàn không đa dạng hóa, thì người đó phơi nhiễm với tất cả rủi ro trong công ty chứ không chỉ rủi ro thị trường (đó là những gì beta đo lường). Có một cách điều chỉnh khá đơn giản cho phép chúng ta đưa rủi ro không thể đa dạng hóa này vào việc tính toán beta. Để thực hiện điều chỉnh này, giả sử rằng độ lệch chuẩn trong giá trị vốn chủ sở hữu của công ty tư nhân (đo lường tổng rủi ro) là σj, và độ lệch chuẩn trong chỉ số thị trường là σm. Nếu mối tương quan giữa cổ phiếu và chỉ số được định nghĩa là ρjm, thì beta thị trường có thể được viết như sau:</w:t>
      </w:r>
    </w:p>
    <w:p>
      <w:bookmarkStart w:id="4977" w:name="Marketbeta_rjmsj_sm"/>
      <w:pPr>
        <w:keepNext/>
        <w:pStyle w:val="Para 09"/>
        <w:keepLines w:val="on"/>
      </w:pPr>
      <w:r>
        <w:t>Betathịtrường=ρjmσj/σm</w:t>
      </w:r>
      <w:bookmarkEnd w:id="4977"/>
    </w:p>
    <w:p>
      <w:pPr>
        <w:pStyle w:val="Para 03"/>
      </w:pPr>
      <w:r>
        <w:t>Lưu ý rằng tử số là phần rủi ro trong công ty. Để đo lường mức độ phơi nhiễm với tổng rủi ro (σj), chúng ta có thể chia beta thị trường cho ρjm. Điều này sẽ cho kết quả như sau:</w:t>
      </w:r>
    </w:p>
    <w:p>
      <w:pPr>
        <w:pStyle w:val="Para 20"/>
      </w:pPr>
      <w:r>
        <w:rPr>
          <w:rStyle w:val="Text26"/>
        </w:rPr>
        <w:bookmarkStart w:id="4978" w:name="Page_763"/>
        <w:t/>
        <w:bookmarkEnd w:id="4978"/>
      </w:r>
      <w:r>
        <w:t xml:space="preserve"> </w:t>
      </w:r>
    </w:p>
    <w:p>
      <w:bookmarkStart w:id="4979" w:name="Marketbeta_rjm_sj_sm"/>
      <w:pPr>
        <w:keepNext/>
        <w:pStyle w:val="Para 09"/>
        <w:keepLines w:val="on"/>
      </w:pPr>
      <w:r>
        <w:t>Betathịtrường/ρjm=σj/σm</w:t>
      </w:r>
      <w:bookmarkEnd w:id="4979"/>
    </w:p>
    <w:p>
      <w:pPr>
        <w:pStyle w:val="Para 03"/>
      </w:pPr>
      <w:r>
        <w:t>Đây là một thước đo độ lệch chuẩn tương đối, trong đó tổng độ lệch chuẩn của giá trị vốn chủ sở hữu của công ty tư nhân được so sánh với độ lệch chuẩn của chỉ số thị trường để tạo ra cái mà chúng ta sẽ gọi là beta tổng (total beta):</w:t>
      </w:r>
    </w:p>
    <w:p>
      <w:bookmarkStart w:id="4980" w:name="Totalbeta_Marketbeta_rjm"/>
      <w:pPr>
        <w:keepNext/>
        <w:pStyle w:val="Para 09"/>
        <w:keepLines w:val="on"/>
      </w:pPr>
      <w:r>
        <w:t>Betatổng=Betathịtrường/ρjm</w:t>
      </w:r>
      <w:bookmarkEnd w:id="4980"/>
    </w:p>
    <w:p>
      <w:pPr>
        <w:pStyle w:val="Para 03"/>
      </w:pPr>
      <w:r>
        <w:t>Beta tổng sẽ cao hơn beta thị trường và sẽ phụ thuộc vào mối tương quan giữa công ty và thị trường—tương quan càng thấp thì beta tổng càng cao. Về mặt trực giác, nó điều chỉnh beta để phản ánh tất cả rủi ro trong công ty chứ không chỉ phần rủi ro là rủi ro thị trường.</w:t>
      </w:r>
    </w:p>
    <w:p>
      <w:pPr>
        <w:pStyle w:val="Para 03"/>
      </w:pPr>
      <w:r>
        <w:t>Bạn có thể thắc mắc làm thế nào có thể ước tính beta tổng cho một công ty tư nhân, nơi việc thiếu giá thị trường dường như loại trừ khả năng tính toán beta thị trường hoặc hệ số tương quan. Tuy nhiên, lưu ý rằng chúng ta đã có thể ước tính beta thị trường của ngành bằng cách xem xét các công ty niêm yết công khai trong lĩnh vực kinh doanh đó. Chúng ta có thể thu được hệ số tương quan bằng cách xem xét cùng mẫu đó và sử dụng nó để ước tính beta tổng cho một công ty tư nhân.</w:t>
      </w:r>
    </w:p>
    <w:p>
      <w:pPr>
        <w:pStyle w:val="Para 03"/>
      </w:pPr>
      <w:r>
        <w:t>Câu hỏi liệu có nên thực hiện điều chỉnh beta tổng thể hay không thì không thể trả lời được nếu không xem xét lý do vì sao việc định giá công ty tư nhân lại được thực hiện ngay từ đầu. Nếu công ty tư nhân được định giá để bán, thì việc có nên điều chỉnh beta thị trường hay không và điều chỉnh bao nhiêu sẽ phụ thuộc vào (những) người mua tiềm năng. Nếu việc định giá là để phát hành cổ phiếu lần đầu ra công chúng (initial public offering), thì không nên điều chỉnh gì cho yếu tố phi đa dạng hóa, vì những người mua tiềm năng chính là các nhà đầu tư trên thị trường chứng khoán. Nếu việc định giá là để bán cho một cá nhân hay doanh nghiệp tư nhân khác, thì mức độ điều chỉnh sẽ phụ thuộc vào mức độ đa dạng hóa danh mục đầu tư của người mua; người mua càng đa dạng hóa thì tương quan với thị trường càng cao và mức điều chỉnh beta tổng thể càng nhỏ.</w:t>
      </w:r>
    </w:p>
    <w:p>
      <w:pPr>
        <w:pStyle w:val="Para 11"/>
      </w:pPr>
      <w:r>
        <w:t xml:space="preserve"> </w:t>
      </w:r>
    </w:p>
    <w:p>
      <w:bookmarkStart w:id="4981" w:name="ILLUSTRATION_24_4___Estimating_a_1"/>
      <w:bookmarkStart w:id="4982" w:name="ILLUSTRATION_24_4___Estimating_a"/>
      <w:pPr>
        <w:keepNext/>
        <w:pStyle w:val="Para 19"/>
        <w:keepLines w:val="on"/>
      </w:pPr>
      <w:r>
        <w:t>MINH HỌA 24.4: Ước tính beta từ dưới lên — Chez Pierre</w:t>
      </w:r>
      <w:bookmarkEnd w:id="4981"/>
      <w:bookmarkEnd w:id="4982"/>
    </w:p>
    <w:p>
      <w:pPr>
        <w:pStyle w:val="Para 04"/>
        <w:keepLines w:val="on"/>
      </w:pPr>
      <w:r>
        <w:t>Hãy xem xét ước tính beta thị trường mà chúng ta đã thu được cho Chez Pierre trong minh họa trước. Sử dụng các nhà hàng niêm yết công khai làm công ty so sánh, chúng ta thu được beta chưa vay nợ (unlevered beta) là 1,21 cho Chez Pierre. Hệ số tương quan trung bình của các công ty niêm yết công khai này với thị trường là 48,41%. Beta chưa vay nợ tổng thể cho Chez Pierre có thể được ước tính như sau:</w:t>
      </w:r>
    </w:p>
    <w:p>
      <w:bookmarkStart w:id="4983" w:name="Totalunleveredbeta_Market_unleve"/>
      <w:pPr>
        <w:keepNext/>
        <w:pStyle w:val="Para 07"/>
        <w:keepLines w:val="on"/>
      </w:pPr>
      <w:r>
        <w:t>Beta chưa vay nợ tổng thể = Beta chưa vay nợ thị trường / Tương quan với thị trường = 1,21 / 0,4841 = 2,50</w:t>
      </w:r>
      <w:bookmarkEnd w:id="4983"/>
    </w:p>
    <w:p>
      <w:pPr>
        <w:pStyle w:val="Para 04"/>
        <w:keepLines w:val="on"/>
      </w:pPr>
      <w:r>
        <w:t>Sử dụng thuế suất 40% của Chez Pierre và tỷ lệ nợ trên vốn chủ sở hữu là 22,08% (mức trung bình của ngành nhà hàng), ta thu được beta đã vay nợ tổng thể (total levered beta) là 2,07.</w:t>
      </w:r>
    </w:p>
    <w:p>
      <w:bookmarkStart w:id="4984" w:name="Totalleveredbeta_2_50x_1_1____40"/>
      <w:pPr>
        <w:keepNext/>
        <w:pStyle w:val="Para 07"/>
        <w:keepLines w:val="on"/>
      </w:pPr>
      <w:r>
        <w:t>Beta đã vay nợ tổng thể = 2,50 × [1 + (1 − 0,40) × 0,2208] = 2,83</w:t>
      </w:r>
      <w:bookmarkEnd w:id="4984"/>
    </w:p>
    <w:p>
      <w:pPr>
        <w:pStyle w:val="Para 04"/>
        <w:keepLines w:val="on"/>
      </w:pPr>
      <w:r>
        <w:t>Ước tính beta tổng thể này, theo một nghĩa nào đó, mang quan điểm cực đoan rằng người mua tiềm năng sẽ chỉ sở hữu mỗi Chez Pierre. Trong trường hợp người mua có một mức độ đa dạng hóa nào đó, hệ số tương quan sẽ được điều chỉnh tăng lên; nếu người mua có một danh mục đầu tư đa dạng hóa, hệ số tương quan sẽ tiến gần đến 1 và beta tổng thể sẽ hội tụ về beta thị trường.</w:t>
      </w:r>
    </w:p>
    <w:p>
      <w:pPr>
        <w:pStyle w:val="Para 20"/>
      </w:pPr>
      <w:r>
        <w:rPr>
          <w:rStyle w:val="Text26"/>
        </w:rPr>
        <w:bookmarkStart w:id="4985" w:name="Page_764"/>
        <w:t/>
        <w:bookmarkEnd w:id="4985"/>
      </w:r>
      <w:r>
        <w:t xml:space="preserve"> </w:t>
      </w:r>
    </w:p>
    <w:p>
      <w:pPr>
        <w:pStyle w:val="Para 11"/>
      </w:pPr>
      <w:r>
        <w:t xml:space="preserve"> </w:t>
      </w:r>
    </w:p>
    <w:p>
      <w:bookmarkStart w:id="4986" w:name="Alternative_Adjustments_for_Priv_1"/>
      <w:bookmarkStart w:id="4987" w:name="Alternative_Adjustments_for_Priv"/>
      <w:pPr>
        <w:keepNext/>
        <w:pStyle w:val="Para 27"/>
        <w:keepLines w:val="on"/>
      </w:pPr>
      <w:r>
        <w:t>Các cách điều chỉnh thay thế cho rủi ro của công ty tư nhân</w:t>
      </w:r>
      <w:bookmarkEnd w:id="4986"/>
      <w:bookmarkEnd w:id="4987"/>
    </w:p>
    <w:p>
      <w:pPr>
        <w:pStyle w:val="Para 16"/>
        <w:keepLines w:val="on"/>
      </w:pPr>
      <w:r>
        <w:t>Nếu bạn còn e dè về việc sử dụng phương pháp beta tổng thể để ước tính chi phí vốn chủ sở hữu cho một công ty tư nhân, thì có ba lựa chọn thay thế:</w:t>
      </w:r>
    </w:p>
    <w:p>
      <w:pPr>
        <w:numPr>
          <w:ilvl w:val="0"/>
          <w:numId w:val="257"/>
        </w:numPr>
        <w:pStyle w:val="Para 33"/>
        <w:keepLines w:val="on"/>
      </w:pPr>
      <w:r>
        <w:t>Lợi nhuận từ đầu tư mạo hiểm (venture capital returns): Hãy nhìn vào lợi nhuận thực tế mà các nhà đầu tư rót vốn vào các công ty tư nhân kiếm được trong thời gian dài trong lịch sử, so với lãi suất phi rủi ro và lợi nhuận của các công ty niêm yết công khai. Vậy nên, nếu các nhà đầu tư mạo hiểm kiếm được nhiều hơn S&amp;P 500 là 5% sau khi điều chỉnh theo rủi ro, bạn có thể xem đây là phần bù (premium) cho việc đầu tư vào các doanh nghiệp tư nhân và cộng con số này vào chi phí vốn chủ sở hữu của bạn, được tính bằng một mô hình rủi ro và lợi nhuận thông thường:</w:t>
      </w:r>
    </w:p>
    <w:p>
      <w:bookmarkStart w:id="4988" w:name="Adjusted_cost_of_equity_Risk_fre"/>
      <w:pPr>
        <w:keepNext/>
        <w:pStyle w:val="Para 48"/>
        <w:keepLines w:val="on"/>
      </w:pPr>
      <w:r>
        <w:t>Chi phí vốn chủ sở hữu đã điều chỉnh = Lãi suất phi rủi ro + Beta thị trường × Phần bù rủi ro vốn chủ sở hữu + Phần bù đầu tư mạo hiểm</w:t>
      </w:r>
      <w:bookmarkEnd w:id="4988"/>
    </w:p>
    <w:p>
      <w:pPr>
        <w:pStyle w:val="Para 16"/>
        <w:keepLines w:val="on"/>
      </w:pPr>
      <w:r>
        <w:t>Lập luận phản bác là các nhà đầu tư mạo hiểm thực sự không thể so sánh với các chủ doanh nghiệp tư nhân, vì họ không chỉ đa dạng hóa hơn mà còn có thể có những chiến lược thoái vốn khác trong đầu (chẳng hạn như cuối cùng sẽ niêm yết công khai).</w:t>
      </w:r>
    </w:p>
    <w:p>
      <w:pPr>
        <w:numPr>
          <w:ilvl w:val="0"/>
          <w:numId w:val="257"/>
        </w:numPr>
        <w:pStyle w:val="Para 33"/>
        <w:keepLines w:val="on"/>
      </w:pPr>
      <w:r>
        <w:t>Phương pháp cộng dồn (build up approach): Trong phương pháp này, bạn lại bắt đầu với lợi nhuận kỳ vọng từ một mô hình rủi ro và lợi nhuận thông thường, rồi cộng thêm các phần bù để phản ánh những rủi ro đặc biệt gắn với việc đầu tư vào các doanh nghiệp tư nhân nhỏ. Hai phần bù thường được dùng là phần bù vốn hóa nhỏ (small cap premium), phản ánh phần bù thực tế mà các công ty niêm yết công khai rất nhỏ kiếm được vượt trên lợi nhuận thị trường (khoảng 4 đến 5% trong giai đoạn 1928–2010), và phần bù kém thanh khoản (illiquidity premium), phản ánh lợi nhuận cao hơn mà các khoản đầu tư công khai kém thanh khoản hơn kiếm được (với tính thanh khoản được đo bằng khối lượng giao dịch và chênh lệch giá mua–bán).</w:t>
      </w:r>
    </w:p>
    <w:p>
      <w:bookmarkStart w:id="4989" w:name="Adjusted_cost_of_equity_Risk_fre_1"/>
      <w:pPr>
        <w:keepNext/>
        <w:pStyle w:val="Para 48"/>
        <w:keepLines w:val="on"/>
      </w:pPr>
      <w:r>
        <w:t>Chi phí vốn chủ sở hữu đã điều chỉnh = Lãi suất phi rủi ro + Beta thị trường × Phần bù rủi ro vốn chủ sở hữu + Phần bù vốn hóa nhỏ + Phần bù kém thanh khoản + Phần bù rủi ro riêng của công ty</w:t>
      </w:r>
      <w:bookmarkEnd w:id="4989"/>
    </w:p>
    <w:p>
      <w:pPr>
        <w:pStyle w:val="Para 16"/>
        <w:keepLines w:val="on"/>
      </w:pPr>
      <w:r>
        <w:t>Dù phổ biến đến đâu, phương pháp này vẫn có nhiều vấn đề. Thứ nhất là ngay cả khi các phần bù được dùng có dữ liệu hỗ trợ, thì những phần bù này cũng đến từ các nghiên cứu đo lường chúng một cách riêng lẻ. Vậy nên, đúng là có một phần bù vốn hóa nhỏ trong lịch sử khoảng 4%, nếu bạn lùi về năm 1927, mặc dù như chúng ta đã lưu ý ở Chương 8, phần bù vốn hóa nhỏ đó phần lớn đã biến mất kể từ năm 1981. Cũng đúng là các cổ phiếu kém thanh khoản kiếm được lợi nhuận cao hơn (khoảng 2%) so với cổ phiếu thanh khoản, nếu bạn phân loại cổ phiếu dựa trên tính thanh khoản và nhìn vào lợi nhuận trong vài thập kỷ qua. Tuy nhiên, việc cộng hai phần bù này lại với nhau là điều nguy hiểm, vì một phần của phần bù vốn hóa nhỏ có thể đến từ tính thanh khoản thấp hơn của chúng, tạo ra việc tính trùng (double counting). Thứ hai là một khi các nhà thẩm định được cho phép tùy ý điều chỉnh tỷ lệ chiết khấu, đặc biệt là với những phần bù không có cơ sở dữ liệu, như phần bù rủi ro riêng của công ty, thì tính toàn vẹn của việc định giá nội tại (intrinsic valuation) sẽ sụp đổ.</w:t>
      </w:r>
    </w:p>
    <w:p>
      <w:pPr>
        <w:pStyle w:val="Para 65"/>
        <w:keepLines w:val="on"/>
      </w:pPr>
      <w:r>
        <w:rPr>
          <w:rStyle w:val="Text26"/>
        </w:rPr>
        <w:bookmarkStart w:id="4990" w:name="Page_765"/>
        <w:t/>
        <w:bookmarkEnd w:id="4990"/>
      </w:r>
      <w:r>
        <w:t xml:space="preserve"> </w:t>
      </w:r>
    </w:p>
    <w:p>
      <w:pPr>
        <w:numPr>
          <w:ilvl w:val="0"/>
          <w:numId w:val="258"/>
        </w:numPr>
        <w:pStyle w:val="Para 33"/>
        <w:keepLines w:val="on"/>
      </w:pPr>
      <w:r>
        <w:t>Chi phí vốn chủ sở hữu tư nhân hàm ý (implied private costs of equity): Khi dữ liệu về các giao dịch tư nhân trở nên phong phú hơn, có thể chúng ta sẽ dùng giá giao dịch để suy ngược ra tỷ suất hoàn vốn nội bộ (internal rates of return), dựa trên các dòng tiền kỳ vọng. Những tỷ suất hoàn vốn nội bộ này sẽ là chi phí vốn chủ sở hữu hàm ý đối với người mua. Dù đã có những nỗ lực thực hiện điều này trong vài thập kỷ qua, chúng vẫn bị cản trở bởi thực tế là giá quan sát được trong các giao dịch công ty tư nhân không phải lúc nào cũng là giá giao dịch độc lập (arm's length), và các dòng tiền dùng trong định giá không phải lúc nào cũng tiếp cận được hoặc đáng tin cậy.</w:t>
      </w:r>
    </w:p>
    <w:p>
      <w:bookmarkStart w:id="4991" w:name="From_Cost_of_Equity_to_Cost_of_C_2"/>
      <w:bookmarkStart w:id="4992" w:name="From_Cost_of_Equity_to_Cost_of_C_3"/>
      <w:pPr>
        <w:keepNext/>
        <w:pStyle w:val="Heading 4"/>
        <w:keepLines w:val="on"/>
      </w:pPr>
      <w:r>
        <w:t>Từ chi phí vốn chủ sở hữu đến chi phí vốn</w:t>
      </w:r>
      <w:bookmarkEnd w:id="4991"/>
      <w:bookmarkEnd w:id="4992"/>
    </w:p>
    <w:p>
      <w:pPr>
        <w:pStyle w:val="Para 03"/>
      </w:pPr>
      <w:r>
        <w:t>Để đi từ chi phí vốn chủ sở hữu đến chi phí vốn (cost of capital), chúng ta cần thêm hai đầu vào nữa — chi phí nợ (cost of debt), đo lường mức lãi suất mà doanh nghiệp có thể vay, và tỷ lệ nợ (debt ratio), quyết định trọng số trong phép tính chi phí vốn. Phần này xem xét cách ước tính tốt nhất từng đầu vào này cho một công ty tư nhân.</w:t>
      </w:r>
    </w:p>
    <w:p>
      <w:bookmarkStart w:id="4993" w:name="Cost_of_Debt__The_cost_of_debt_r"/>
      <w:pPr>
        <w:pStyle w:val="Para 21"/>
      </w:pPr>
      <w:r>
        <w:t>Chi phí nợ</w:t>
      </w:r>
      <w:bookmarkEnd w:id="4993"/>
    </w:p>
    <w:p>
      <w:pPr>
        <w:pStyle w:val="Para 03"/>
      </w:pPr>
      <w:r>
        <w:t>Chi phí nợ thể hiện mức lãi suất mà một doanh nghiệp có thể vay tiền. Để ước tính nó cho các công ty niêm yết công khai, chúng ta thường dùng lợi suất (yield) của trái phiếu do các công ty này phát hành hoặc xếp hạng (rating) của những trái phiếu này để suy ra mức chênh lệch vỡ nợ (default spread). Các công ty tư nhân thường không được xếp hạng và không có trái phiếu đang lưu hành. Do đó, chúng ta phải dùng một trong các cách tiếp cận thay thế sau:</w:t>
      </w:r>
    </w:p>
    <w:p>
      <w:pPr>
        <w:numPr>
          <w:ilvl w:val="0"/>
          <w:numId w:val="259"/>
        </w:numPr>
        <w:pStyle w:val="Para 01"/>
      </w:pPr>
      <w:r>
        <w:t>Nếu công ty tư nhân đã vay tiền gần đây (trong vài tuần hoặc vài tháng qua), chúng ta có thể dùng lãi suất của khoản vay đó làm chi phí nợ. Vì chi phí nợ phải là chi phí hiện tại, nên lãi suất sổ sách¹ của khoản nợ phát hành trong quá khứ thường không phải là thước đo tốt cho chi phí nợ.</w:t>
      </w:r>
    </w:p>
    <w:p>
      <w:pPr>
        <w:numPr>
          <w:ilvl w:val="0"/>
          <w:numId w:val="259"/>
        </w:numPr>
        <w:pStyle w:val="Para 01"/>
      </w:pPr>
      <w:r>
        <w:t>Nếu công ty tư nhân đang được định giá để phát hành cổ phiếu lần đầu ra công chúng, chúng ta có thể giả định rằng chi phí nợ của công ty tư nhân sẽ tiến về mức chi phí nợ trung bình của ngành mà công ty thuộc về. Về cơ bản, chúng ta đang giả định rằng công ty tư nhân, một khi đã niêm yết công khai, sẽ cấu trúc chính sách nợ của mình giống với các công ty so sánh.</w:t>
      </w:r>
    </w:p>
    <w:p>
      <w:pPr>
        <w:numPr>
          <w:ilvl w:val="0"/>
          <w:numId w:val="259"/>
        </w:numPr>
        <w:pStyle w:val="Para 01"/>
      </w:pPr>
      <w:r>
        <w:t>Khi ước tính chi phí nợ cho các công ty niêm yết công khai ở Chương 8, chúng ta đã dùng tỷ lệ khả năng thanh toán lãi vay (interest coverage ratio) của các công ty này để ước tính xếp hạng tổng hợp (synthetic rating), rồi dùng mức chênh lệch vỡ nợ của những xếp hạng này để đi đến chi phí nợ. Để tính đến thực tế rằng các công ty tư nhân có xu hướng nhỏ hơn và rủi ro hơn so với hầu hết các công ty niêm yết công khai, chúng ta sẽ dùng mối quan hệ giữa tỷ lệ khả năng thanh toán lãi vay và xếp hạng đối với một nhóm nhỏ các công ty niêm yết công khai nhỏ hơn, được tóm tắt trong Bảng 24.2.</w:t>
      </w:r>
    </w:p>
    <w:p>
      <w:pPr>
        <w:pStyle w:val="Para 34"/>
        <w:keepLines w:val="on"/>
      </w:pPr>
      <w:r>
        <w:t>Bảng 24.2</w:t>
      </w:r>
    </w:p>
    <w:p>
      <w:pPr>
        <w:keepNext/>
        <w:pStyle w:val="Para 35"/>
        <w:keepLines w:val="on"/>
      </w:pPr>
      <w:r>
        <w:t>Tỷ lệ khả năng thanh toán lãi vay và xếp hạng trái phiếu</w:t>
      </w:r>
    </w:p>
    <w:tbl>
      <w:tblPr>
        <w:tblW w:type="auto" w:w="0"/>
      </w:tblPr>
      <w:tr>
        <w:tc>
          <w:tcPr>
            <w:tcW w:type="auto" w:w="0"/>
          </w:tcPr>
          <w:tbl>
            <w:tblPr>
              <w:tblW w:type="pct" w:w="5000"/>
            </w:tblPr>
            <w:tr>
              <w:tc>
                <w:tcPr>
                  <w:tcW w:type="auto" w:w="0"/>
                  <w:shd w:val="clear" w:color="auto" w:fill="F0F0F0"/>
                </w:tcPr>
                <w:p>
                  <w:pPr>
                    <w:pStyle w:val="Para 17"/>
                    <w:keepLines w:val="on"/>
                  </w:pPr>
                  <w:r>
                    <w:t>Tỷ lệ đảm bảo lãi vay (Interest Coverage Ratio)</w:t>
                  </w:r>
                </w:p>
              </w:tc>
              <w:tc>
                <w:tcPr>
                  <w:tcW w:type="auto" w:w="0"/>
                  <w:shd w:val="clear" w:color="auto" w:fill="F0F0F0"/>
                </w:tcPr>
                <w:p>
                  <w:pPr>
                    <w:pStyle w:val="Para 29"/>
                    <w:keepLines w:val="on"/>
                  </w:pPr>
                  <w:r>
                    <w:t>Xếp hạng</w:t>
                  </w:r>
                </w:p>
              </w:tc>
            </w:tr>
            <w:tr>
              <w:tc>
                <w:tcPr>
                  <w:tcW w:type="auto" w:w="0"/>
                  <w:shd w:val="clear" w:color="auto" w:fill="F0F0F0"/>
                </w:tcPr>
                <w:p>
                  <w:pPr>
                    <w:pStyle w:val="Normal"/>
                    <w:keepLines w:val="on"/>
                  </w:pPr>
                  <w:r>
                    <w:t>&gt;12,50</w:t>
                  </w:r>
                </w:p>
              </w:tc>
              <w:tc>
                <w:tcPr>
                  <w:tcW w:type="auto" w:w="0"/>
                  <w:shd w:val="clear" w:color="auto" w:fill="F0F0F0"/>
                </w:tcPr>
                <w:p>
                  <w:pPr>
                    <w:pStyle w:val="Para 02"/>
                    <w:keepLines w:val="on"/>
                  </w:pPr>
                  <w:r>
                    <w:t>AAA</w:t>
                  </w:r>
                </w:p>
              </w:tc>
            </w:tr>
            <w:tr>
              <w:tc>
                <w:tcPr>
                  <w:tcW w:type="auto" w:w="0"/>
                  <w:shd w:val="clear" w:color="auto" w:fill="F0F0F0"/>
                </w:tcPr>
                <w:p>
                  <w:pPr>
                    <w:pStyle w:val="Normal"/>
                    <w:keepLines w:val="on"/>
                  </w:pPr>
                  <w:r>
                    <w:t>9,50–12,50</w:t>
                  </w:r>
                </w:p>
              </w:tc>
              <w:tc>
                <w:tcPr>
                  <w:tcW w:type="auto" w:w="0"/>
                  <w:shd w:val="clear" w:color="auto" w:fill="F0F0F0"/>
                </w:tcPr>
                <w:p>
                  <w:pPr>
                    <w:pStyle w:val="Para 02"/>
                    <w:keepLines w:val="on"/>
                  </w:pPr>
                  <w:r>
                    <w:t>AA</w:t>
                  </w:r>
                </w:p>
              </w:tc>
            </w:tr>
            <w:tr>
              <w:tc>
                <w:tcPr>
                  <w:tcW w:type="auto" w:w="0"/>
                  <w:shd w:val="clear" w:color="auto" w:fill="F0F0F0"/>
                </w:tcPr>
                <w:p>
                  <w:pPr>
                    <w:pStyle w:val="Normal"/>
                    <w:keepLines w:val="on"/>
                  </w:pPr>
                  <w:r>
                    <w:t>7,50–9,50</w:t>
                  </w:r>
                </w:p>
              </w:tc>
              <w:tc>
                <w:tcPr>
                  <w:tcW w:type="auto" w:w="0"/>
                  <w:shd w:val="clear" w:color="auto" w:fill="F0F0F0"/>
                </w:tcPr>
                <w:p>
                  <w:pPr>
                    <w:pStyle w:val="Para 02"/>
                    <w:keepLines w:val="on"/>
                  </w:pPr>
                  <w:r>
                    <w:t>A+</w:t>
                  </w:r>
                </w:p>
              </w:tc>
            </w:tr>
            <w:tr>
              <w:tc>
                <w:tcPr>
                  <w:tcW w:type="auto" w:w="0"/>
                  <w:shd w:val="clear" w:color="auto" w:fill="F0F0F0"/>
                </w:tcPr>
                <w:p>
                  <w:pPr>
                    <w:pStyle w:val="Normal"/>
                    <w:keepLines w:val="on"/>
                  </w:pPr>
                  <w:r>
                    <w:t>6,00–7,50</w:t>
                  </w:r>
                </w:p>
              </w:tc>
              <w:tc>
                <w:tcPr>
                  <w:tcW w:type="auto" w:w="0"/>
                  <w:shd w:val="clear" w:color="auto" w:fill="F0F0F0"/>
                </w:tcPr>
                <w:p>
                  <w:pPr>
                    <w:pStyle w:val="Para 02"/>
                    <w:keepLines w:val="on"/>
                  </w:pPr>
                  <w:r>
                    <w:t>A</w:t>
                  </w:r>
                </w:p>
              </w:tc>
            </w:tr>
            <w:tr>
              <w:tc>
                <w:tcPr>
                  <w:tcW w:type="auto" w:w="0"/>
                  <w:shd w:val="clear" w:color="auto" w:fill="F0F0F0"/>
                </w:tcPr>
                <w:p>
                  <w:pPr>
                    <w:pStyle w:val="Normal"/>
                    <w:keepLines w:val="on"/>
                  </w:pPr>
                  <w:r>
                    <w:t>4,50–6,00</w:t>
                  </w:r>
                </w:p>
              </w:tc>
              <w:tc>
                <w:tcPr>
                  <w:tcW w:type="auto" w:w="0"/>
                  <w:shd w:val="clear" w:color="auto" w:fill="F0F0F0"/>
                </w:tcPr>
                <w:p>
                  <w:pPr>
                    <w:pStyle w:val="Para 02"/>
                    <w:keepLines w:val="on"/>
                  </w:pPr>
                  <w:r>
                    <w:t>A−</w:t>
                  </w:r>
                </w:p>
              </w:tc>
            </w:tr>
            <w:tr>
              <w:tc>
                <w:tcPr>
                  <w:tcW w:type="auto" w:w="0"/>
                  <w:shd w:val="clear" w:color="auto" w:fill="F0F0F0"/>
                </w:tcPr>
                <w:p>
                  <w:pPr>
                    <w:pStyle w:val="Normal"/>
                    <w:keepLines w:val="on"/>
                  </w:pPr>
                  <w:r>
                    <w:t>3,50–4,50</w:t>
                  </w:r>
                </w:p>
              </w:tc>
              <w:tc>
                <w:tcPr>
                  <w:tcW w:type="auto" w:w="0"/>
                  <w:shd w:val="clear" w:color="auto" w:fill="F0F0F0"/>
                </w:tcPr>
                <w:p>
                  <w:pPr>
                    <w:pStyle w:val="Para 02"/>
                    <w:keepLines w:val="on"/>
                  </w:pPr>
                  <w:r>
                    <w:t>BBB</w:t>
                  </w:r>
                </w:p>
              </w:tc>
            </w:tr>
            <w:tr>
              <w:tc>
                <w:tcPr>
                  <w:tcW w:type="auto" w:w="0"/>
                  <w:shd w:val="clear" w:color="auto" w:fill="F0F0F0"/>
                </w:tcPr>
                <w:p>
                  <w:pPr>
                    <w:pStyle w:val="Normal"/>
                    <w:keepLines w:val="on"/>
                  </w:pPr>
                  <w:r>
                    <w:t>3,00–3,50</w:t>
                  </w:r>
                </w:p>
              </w:tc>
              <w:tc>
                <w:tcPr>
                  <w:tcW w:type="auto" w:w="0"/>
                  <w:shd w:val="clear" w:color="auto" w:fill="F0F0F0"/>
                </w:tcPr>
                <w:p>
                  <w:pPr>
                    <w:pStyle w:val="Para 02"/>
                    <w:keepLines w:val="on"/>
                  </w:pPr>
                  <w:r>
                    <w:t>BB</w:t>
                  </w:r>
                </w:p>
              </w:tc>
            </w:tr>
            <w:tr>
              <w:tc>
                <w:tcPr>
                  <w:tcW w:type="auto" w:w="0"/>
                  <w:shd w:val="clear" w:color="auto" w:fill="F0F0F0"/>
                </w:tcPr>
                <w:p>
                  <w:pPr>
                    <w:pStyle w:val="Normal"/>
                    <w:keepLines w:val="on"/>
                  </w:pPr>
                  <w:r>
                    <w:t>2,50–3,00</w:t>
                  </w:r>
                </w:p>
              </w:tc>
              <w:tc>
                <w:tcPr>
                  <w:tcW w:type="auto" w:w="0"/>
                  <w:shd w:val="clear" w:color="auto" w:fill="F0F0F0"/>
                </w:tcPr>
                <w:p>
                  <w:pPr>
                    <w:pStyle w:val="Para 02"/>
                    <w:keepLines w:val="on"/>
                  </w:pPr>
                  <w:r>
                    <w:t>B+</w:t>
                  </w:r>
                </w:p>
              </w:tc>
            </w:tr>
            <w:tr>
              <w:tc>
                <w:tcPr>
                  <w:tcW w:type="auto" w:w="0"/>
                  <w:shd w:val="clear" w:color="auto" w:fill="F0F0F0"/>
                </w:tcPr>
                <w:p>
                  <w:pPr>
                    <w:pStyle w:val="Normal"/>
                    <w:keepLines w:val="on"/>
                  </w:pPr>
                  <w:r>
                    <w:t>2,00–2,50</w:t>
                  </w:r>
                </w:p>
              </w:tc>
              <w:tc>
                <w:tcPr>
                  <w:tcW w:type="auto" w:w="0"/>
                  <w:shd w:val="clear" w:color="auto" w:fill="F0F0F0"/>
                </w:tcPr>
                <w:p>
                  <w:pPr>
                    <w:pStyle w:val="Para 02"/>
                    <w:keepLines w:val="on"/>
                  </w:pPr>
                  <w:r>
                    <w:t>B</w:t>
                  </w:r>
                </w:p>
              </w:tc>
            </w:tr>
            <w:tr>
              <w:tc>
                <w:tcPr>
                  <w:tcW w:type="auto" w:w="0"/>
                  <w:shd w:val="clear" w:color="auto" w:fill="F0F0F0"/>
                </w:tcPr>
                <w:p>
                  <w:pPr>
                    <w:pStyle w:val="Normal"/>
                    <w:keepLines w:val="on"/>
                  </w:pPr>
                  <w:r>
                    <w:t>1,50–2,00</w:t>
                  </w:r>
                </w:p>
              </w:tc>
              <w:tc>
                <w:tcPr>
                  <w:tcW w:type="auto" w:w="0"/>
                  <w:shd w:val="clear" w:color="auto" w:fill="F0F0F0"/>
                </w:tcPr>
                <w:p>
                  <w:pPr>
                    <w:pStyle w:val="Para 02"/>
                    <w:keepLines w:val="on"/>
                  </w:pPr>
                  <w:r>
                    <w:t>B−</w:t>
                  </w:r>
                </w:p>
              </w:tc>
            </w:tr>
            <w:tr>
              <w:tc>
                <w:tcPr>
                  <w:tcW w:type="auto" w:w="0"/>
                  <w:shd w:val="clear" w:color="auto" w:fill="F0F0F0"/>
                </w:tcPr>
                <w:p>
                  <w:pPr>
                    <w:pStyle w:val="Normal"/>
                    <w:keepLines w:val="on"/>
                  </w:pPr>
                  <w:r>
                    <w:t>1,25–1,50</w:t>
                  </w:r>
                </w:p>
              </w:tc>
              <w:tc>
                <w:tcPr>
                  <w:tcW w:type="auto" w:w="0"/>
                  <w:shd w:val="clear" w:color="auto" w:fill="F0F0F0"/>
                </w:tcPr>
                <w:p>
                  <w:pPr>
                    <w:pStyle w:val="Para 02"/>
                    <w:keepLines w:val="on"/>
                  </w:pPr>
                  <w:r>
                    <w:t>CCC</w:t>
                  </w:r>
                </w:p>
              </w:tc>
            </w:tr>
            <w:tr>
              <w:tc>
                <w:tcPr>
                  <w:tcW w:type="auto" w:w="0"/>
                  <w:shd w:val="clear" w:color="auto" w:fill="F0F0F0"/>
                </w:tcPr>
                <w:p>
                  <w:pPr>
                    <w:pStyle w:val="Normal"/>
                    <w:keepLines w:val="on"/>
                  </w:pPr>
                  <w:r>
                    <w:t>0,80–1,25</w:t>
                  </w:r>
                </w:p>
              </w:tc>
              <w:tc>
                <w:tcPr>
                  <w:tcW w:type="auto" w:w="0"/>
                  <w:shd w:val="clear" w:color="auto" w:fill="F0F0F0"/>
                </w:tcPr>
                <w:p>
                  <w:pPr>
                    <w:pStyle w:val="Para 02"/>
                    <w:keepLines w:val="on"/>
                  </w:pPr>
                  <w:r>
                    <w:t>CC</w:t>
                  </w:r>
                </w:p>
              </w:tc>
            </w:tr>
            <w:tr>
              <w:tc>
                <w:tcPr>
                  <w:tcW w:type="auto" w:w="0"/>
                  <w:shd w:val="clear" w:color="auto" w:fill="F0F0F0"/>
                </w:tcPr>
                <w:p>
                  <w:pPr>
                    <w:pStyle w:val="Normal"/>
                    <w:keepLines w:val="on"/>
                  </w:pPr>
                  <w:r>
                    <w:t>0,50–0,80</w:t>
                  </w:r>
                </w:p>
              </w:tc>
              <w:tc>
                <w:tcPr>
                  <w:tcW w:type="auto" w:w="0"/>
                  <w:shd w:val="clear" w:color="auto" w:fill="F0F0F0"/>
                </w:tcPr>
                <w:p>
                  <w:pPr>
                    <w:pStyle w:val="Para 02"/>
                    <w:keepLines w:val="on"/>
                  </w:pPr>
                  <w:r>
                    <w:t>C</w:t>
                  </w:r>
                </w:p>
              </w:tc>
            </w:tr>
            <w:tr>
              <w:tc>
                <w:tcPr>
                  <w:tcW w:type="auto" w:w="0"/>
                  <w:shd w:val="clear" w:color="auto" w:fill="F0F0F0"/>
                </w:tcPr>
                <w:p>
                  <w:pPr>
                    <w:pStyle w:val="Normal"/>
                    <w:keepLines w:val="on"/>
                  </w:pPr>
                  <w:r>
                    <w:t>&lt;0,50</w:t>
                  </w:r>
                </w:p>
              </w:tc>
              <w:tc>
                <w:tcPr>
                  <w:tcW w:type="auto" w:w="0"/>
                  <w:shd w:val="clear" w:color="auto" w:fill="F0F0F0"/>
                </w:tcPr>
                <w:p>
                  <w:pPr>
                    <w:pStyle w:val="Para 02"/>
                    <w:keepLines w:val="on"/>
                  </w:pPr>
                  <w:r>
                    <w:t>D</w:t>
                  </w:r>
                </w:p>
              </w:tc>
            </w:tr>
          </w:tbl>
          <w:p/>
        </w:tc>
      </w:tr>
    </w:tbl>
    <w:p>
      <w:pPr>
        <w:pStyle w:val="Para 03"/>
      </w:pPr>
      <w:r>
        <w:t>Ví dụ, để ước tính chi phí nợ cho một công ty tư nhân có tỷ lệ khả năng thanh toán lãi vay (interest coverage ratio) là 5,1, chúng ta sẽ dùng xếp hạng tổng hợp (synthetic rating) là A- và mức chênh lệch vỡ nợ (default spread) gắn với xếp hạng đó. Vậy nên, nếu các công ty được xếp hạng A− thường phải trả lãi suất cao hơn lãi suất phi rủi ro 1,25 phần trăm khi đi vay, chúng ta sẽ cộng mức chênh lệch vỡ nợ đó vào lãi suất phi rủi ro để ước tính chi phí nợ cho công ty tư nhân.</w:t>
      </w:r>
    </w:p>
    <w:p>
      <w:pPr>
        <w:pStyle w:val="Para 03"/>
      </w:pPr>
      <w:r>
        <w:t>Cách tiếp cận này có thể đánh giá thấp chi phí nợ nếu ngân hàng tính lãi suất cao hơn cho các công ty tư nhân so với các công ty đại chúng tương tự về mọi mặt. Trong trường hợp đó, bạn sẽ cộng thêm một mức chênh lệch bổ sung để phản ánh sự khác biệt này, nếu bạn đang định giá công ty để bán trong một giao dịch tư nhân, nhưng không cộng nếu bạn đang định giá công ty để bán cho một công ty đại chúng hoặc để phát hành cổ phiếu lần đầu ra công chúng (initial public offering).</w:t>
      </w:r>
    </w:p>
    <w:p>
      <w:bookmarkStart w:id="4998" w:name="Debt_Ratios__The_debt_ratio_repr"/>
      <w:pPr>
        <w:pStyle w:val="Para 21"/>
      </w:pPr>
      <w:r>
        <w:t>Các tỷ lệ nợ</w:t>
      </w:r>
      <w:bookmarkEnd w:id="4998"/>
    </w:p>
    <w:p>
      <w:pPr>
        <w:pStyle w:val="Para 03"/>
      </w:pPr>
      <w:r>
        <w:t>Tỷ lệ nợ (debt ratio) thể hiện phần giá trị thị trường của một công ty đến từ việc huy động vốn bằng nợ. Với các công ty đại chúng, chúng ta dùng giá thị trường của cổ phiếu và trái phiếu được giao dịch công khai để tính ra tỷ lệ này. Vì cả hai dữ liệu đầu vào này đều không có sẵn đối với công ty tư nhân, chúng ta phải cân nhắc một trong các lựa chọn sau:</w:t>
      </w:r>
    </w:p>
    <w:p>
      <w:pPr>
        <w:numPr>
          <w:ilvl w:val="0"/>
          <w:numId w:val="260"/>
        </w:numPr>
        <w:pStyle w:val="Para 01"/>
      </w:pPr>
      <w:r>
        <w:t>Khi ước tính beta có đòn bẩy (levered beta), chúng tôi đã gợi ý rằng có thể dùng tỷ lệ nợ bình quân ngành hoặc tỷ lệ nợ mục tiêu trong tính toán. Để nhất quán, chúng ta phải dùng cùng một tỷ lệ nợ để tính chi phí vốn (cost of capital). Vậy nên, nếu tỷ lệ nợ trên vốn chủ sở hữu (debt-to-equity ratio) bình quân ngành được dùng để ước tính beta có đòn bẩy, thì tỷ lệ nợ trên vốn (debt-to-capital ratio) bình quân ngành cũng nên được dùng để ước tính chi phí vốn. Nếu tỷ lệ nợ trên vốn chủ sở hữu mục tiêu được dùng để tính beta có đòn bẩy, thì tỷ lệ nợ trên vốn mục tiêu cũng nên được dùng trong tính toán chi phí vốn.</w:t>
      </w:r>
    </w:p>
    <w:p>
      <w:pPr>
        <w:numPr>
          <w:ilvl w:val="0"/>
          <w:numId w:val="260"/>
        </w:numPr>
        <w:pStyle w:val="Para 01"/>
      </w:pPr>
      <w:r>
        <w:t>Mặc dù giá trị thị trường của vốn chủ sở hữu và nợ không có sẵn đối với công ty tư nhân, chúng ta có thể dùng các giá trị vốn chủ sở hữu và nợ ước tính từ việc định giá, dù điều này tạo ra lập luận vòng tròn (circular reasoning) trong phân tích. Bạn cần chi phí vốn (và tỷ lệ nợ) để ước tính giá trị công ty và giá trị vốn chủ sở hữu, và bạn cần giá trị vốn chủ sở hữu để ước tính chi phí vốn. Bạn có thể khắc phục vấn đề này bằng cách lặp dần đến một giá trị—bạn có thể bắt đầu với tỷ lệ nợ trên sổ sách (book-debt ratio) và chi phí vốn, ước tính giá trị công ty và giá trị vốn chủ sở hữu, dùng các giá trị này để tính ra tỷ lệ nợ và chi phí vốn mới, rồi ước tính lại giá trị công ty và giá trị vốn chủ sở hữu. Bạn sẽ tiếp tục cho đến khi các giá trị nợ và vốn chủ sở hữu trong tính toán chi phí vốn hội tụ về các giá trị ước tính.2</w:t>
      </w:r>
    </w:p>
    <w:p>
      <w:pPr>
        <w:pStyle w:val="Para 20"/>
      </w:pPr>
      <w:r>
        <w:rPr>
          <w:rStyle w:val="Text26"/>
        </w:rPr>
        <w:bookmarkStart w:id="5001" w:name="Page_767"/>
        <w:t/>
        <w:bookmarkEnd w:id="5001"/>
      </w:r>
      <w:r>
        <w:t xml:space="preserve"> </w:t>
      </w:r>
    </w:p>
    <w:p>
      <w:pPr>
        <w:pStyle w:val="Para 11"/>
      </w:pPr>
      <w:r>
        <w:t xml:space="preserve"> </w:t>
      </w:r>
    </w:p>
    <w:p>
      <w:bookmarkStart w:id="5002" w:name="ILLUSTRATION_24_5___Estimating_C_1"/>
      <w:bookmarkStart w:id="5003" w:name="ILLUSTRATION_24_5___Estimating_C"/>
      <w:pPr>
        <w:keepNext/>
        <w:pStyle w:val="Para 19"/>
        <w:keepLines w:val="on"/>
      </w:pPr>
      <w:r>
        <w:t>MINH HỌA 24.5: Ước tính chi phí nợ</w:t>
      </w:r>
      <w:bookmarkEnd w:id="5002"/>
      <w:bookmarkEnd w:id="5003"/>
    </w:p>
    <w:p>
      <w:pPr>
        <w:pStyle w:val="Para 04"/>
        <w:keepLines w:val="on"/>
      </w:pPr>
      <w:r>
        <w:t>InfoSoft không có nợ, và chúng tôi đã không ước tính chi phí nợ cho công ty này. Với Chez Pierre, chúng tôi ước tính tỷ lệ khả năng thanh toán lãi vay dựa trên thu nhập hoạt động (operating income) là 400.000 đô la và chi phí thuê hàng năm là 120.000 đô la:</w:t>
      </w:r>
    </w:p>
    <w:p>
      <w:bookmarkStart w:id="5005" w:name="Interestcoverageratio__400_000"/>
      <w:pPr>
        <w:keepNext/>
        <w:pStyle w:val="Para 07"/>
        <w:keepLines w:val="on"/>
      </w:pPr>
      <w:r>
        <w:t>Tỷ lệ khả năng thanh toán lãi vay = 400.000 đô la / 120.000 đô la = 3,33</w:t>
      </w:r>
      <w:bookmarkEnd w:id="5005"/>
    </w:p>
    <w:p>
      <w:pPr>
        <w:pStyle w:val="Para 04"/>
        <w:keepLines w:val="on"/>
      </w:pPr>
      <w:r>
        <w:t>Tỷ lệ khả năng thanh toán lãi vay đó cho ra xếp hạng tổng hợp là BB dựa trên Bảng 24.1.</w:t>
      </w:r>
    </w:p>
    <w:p>
      <w:pPr>
        <w:pStyle w:val="Para 04"/>
        <w:keepLines w:val="on"/>
      </w:pPr>
      <w:r>
        <w:t>Cộng mức chênh lệch vỡ nợ 4%, dành cho trái phiếu xếp hạng BB, vào lãi suất phi rủi ro 3,5% sẽ cho ra chi phí nợ trước thuế là 7,5% cho công ty này.</w:t>
      </w:r>
    </w:p>
    <w:p>
      <w:bookmarkStart w:id="5006" w:name="Pretax_cost_of_debt_Risk_free_ra"/>
      <w:pPr>
        <w:keepNext/>
        <w:pStyle w:val="Para 07"/>
        <w:keepLines w:val="on"/>
      </w:pPr>
      <w:r>
        <w:t>Chi phí nợ trước thuế = Lãi suất phi rủi ro + Chênh lệch vỡ nợ = 3,5% + 4% = 7,5%</w:t>
      </w:r>
      <w:bookmarkEnd w:id="5006"/>
    </w:p>
    <w:p>
      <w:bookmarkStart w:id="5007" w:name="After_tax_cost_of_debt_7_5_x1"/>
      <w:pPr>
        <w:keepNext/>
        <w:pStyle w:val="Para 07"/>
        <w:keepLines w:val="on"/>
      </w:pPr>
      <w:r>
        <w:t>Chi phí nợ sau thuế = 7,5% × (1 − 0,40) = 4,5%</w:t>
      </w:r>
      <w:bookmarkEnd w:id="5007"/>
    </w:p>
    <w:p>
      <w:pPr>
        <w:pStyle w:val="Para 11"/>
      </w:pPr>
      <w:r>
        <w:t xml:space="preserve"> </w:t>
      </w:r>
    </w:p>
    <w:p>
      <w:bookmarkStart w:id="5008" w:name="ILLUSTRATION_24_6___Estimating_C"/>
      <w:bookmarkStart w:id="5009" w:name="ILLUSTRATION_24_6___Estimating_C_1"/>
      <w:pPr>
        <w:keepNext/>
        <w:pStyle w:val="Para 19"/>
        <w:keepLines w:val="on"/>
      </w:pPr>
      <w:r>
        <w:t>MINH HỌA 24.6: Ước tính chi phí vốn</w:t>
      </w:r>
      <w:bookmarkEnd w:id="5008"/>
      <w:bookmarkEnd w:id="5009"/>
    </w:p>
    <w:p>
      <w:pPr>
        <w:pStyle w:val="Para 04"/>
        <w:keepLines w:val="on"/>
      </w:pPr>
      <w:r>
        <w:t>Để ước tính chi phí vốn cho Chez Pierre và InfoSoft, chúng ta sẽ giữ nhất quán với các giả định về đòn bẩy mà chúng ta đã đưa ra trong chương này. Với Chez Pierre, chúng tôi giả định công ty sẽ giữ gần mức tỷ lệ nợ trên vốn chủ sở hữu bình quân ngành là 22,08%, tương đương với tỷ lệ nợ trên vốn theo thị trường là 18,09%. Với InfoSoft, chúng tôi giữ giả định rằng công ty có tỷ lệ nợ là 0%.</w:t>
      </w:r>
    </w:p>
    <w:p>
      <w:pPr>
        <w:pStyle w:val="Para 04"/>
        <w:keepLines w:val="on"/>
      </w:pPr>
      <w:r>
        <w:t>Với Chez Pierre, vì chúng ta đang định giá công ty để bán cho một cá nhân chưa đa dạng hóa danh mục đầu tư, chúng tôi ước tính tổng beta (total beta) là 2,83. Dùng lãi suất trái phiếu Kho bạc (Treasury bond rate) là 3,5% đang phổ biến tại thời điểm định giá này và mức bù rủi ro thị trường (market risk premium) là 5%, chúng tôi ước tính chi phí vốn chủ sở hữu là 17,65%.</w:t>
      </w:r>
    </w:p>
    <w:p>
      <w:bookmarkStart w:id="5011" w:name="Costofequity_3_5__2_83x5__17_65"/>
      <w:pPr>
        <w:keepNext/>
        <w:pStyle w:val="Para 07"/>
        <w:keepLines w:val="on"/>
      </w:pPr>
      <w:r>
        <w:t>Chi phí vốn chủ sở hữu = 3,5% + 2,83 × 5% = 17,65%</w:t>
      </w:r>
      <w:bookmarkEnd w:id="5011"/>
    </w:p>
    <w:p>
      <w:pPr>
        <w:pStyle w:val="Para 04"/>
        <w:keepLines w:val="on"/>
      </w:pPr>
      <w:r>
        <w:t>Dùng chi phí nợ sau thuế 4,5% đã ước tính trong Minh họa 24.5, chúng ta có thể ước tính chi phí vốn.</w:t>
      </w:r>
    </w:p>
    <w:p>
      <w:bookmarkStart w:id="5012" w:name="Costofcapital_17_65_x_0_8191_4_5"/>
      <w:pPr>
        <w:keepNext/>
        <w:pStyle w:val="Para 07"/>
        <w:keepLines w:val="on"/>
      </w:pPr>
      <w:r>
        <w:t>Chi phí vốn = 17,65% × 0,8191 + 4,5% × 0,1809 = 15,27%</w:t>
      </w:r>
      <w:bookmarkEnd w:id="5012"/>
    </w:p>
    <w:p>
      <w:pPr>
        <w:pStyle w:val="Para 04"/>
        <w:keepLines w:val="on"/>
      </w:pPr>
      <w:r>
        <w:t>Với InfoSoft, nơi chúng ta đang định giá cho một đợt phát hành cổ phiếu lần đầu ra công chúng, chúng ta dùng ước tính beta thị trường là 1,60. Dùng lãi suất trái phiếu Kho bạc 3,5% và mức bù rủi ro 5% sẽ cho ra chi phí vốn chủ sở hữu là 11,50%.</w:t>
      </w:r>
    </w:p>
    <w:p>
      <w:bookmarkStart w:id="5013" w:name="Costofequity_3_5__1_60x5__11_50"/>
      <w:pPr>
        <w:keepNext/>
        <w:pStyle w:val="Para 07"/>
        <w:keepLines w:val="on"/>
      </w:pPr>
      <w:r>
        <w:t>Chi phí vốn chủ sở hữu = 3,5% + 1,60 × 5% = 11,50%</w:t>
      </w:r>
      <w:bookmarkEnd w:id="5013"/>
    </w:p>
    <w:p>
      <w:pPr>
        <w:pStyle w:val="Para 04"/>
        <w:keepLines w:val="on"/>
      </w:pPr>
      <w:r>
        <w:t>Vì công ty không có nợ, chi phí vốn cũng là 11,50%.</w:t>
      </w:r>
    </w:p>
    <w:p>
      <w:bookmarkStart w:id="5014" w:name="Cash_Flows__The_definitions_of_t"/>
      <w:bookmarkStart w:id="5015" w:name="Cash_Flows"/>
      <w:pPr>
        <w:keepNext/>
        <w:pStyle w:val="Heading 3"/>
        <w:keepLines w:val="on"/>
      </w:pPr>
      <w:r>
        <w:t>Dòng tiền</w:t>
      </w:r>
      <w:bookmarkEnd w:id="5014"/>
      <w:bookmarkEnd w:id="5015"/>
    </w:p>
    <w:p>
      <w:pPr>
        <w:pStyle w:val="Para 03"/>
      </w:pPr>
      <w:r>
        <w:t>Các định nghĩa về dòng tiền cho chủ sở hữu và dòng tiền cho công ty là giống nhau đối với cả công ty tư nhân và công ty đại chúng. Dòng tiền cho chủ sở hữu là dòng tiền sau thuế, sau các khoản thanh toán và phát hành nợ, và sau nhu cầu tái đầu tư. Dòng tiền cho công ty là dòng tiền sau thuế và sau nhu cầu tái đầu tư nhưng trước các khoản thanh toán nợ. Có ba vấn đề thực sự ảnh hưởng đến việc ước tính dòng tiền đối với các công ty tư nhân. Thứ nhất là nhiều công ty tư nhân không xem xét thỏa đáng tiền lương cho chủ sở hữu-người quản lý, vì nhiều chủ sở hữu không phân biệt giữa thu nhập họ nhận được dưới dạng cổ tức và thu nhập nhận được dưới dạng tiền lương. Thứ hai là việc trộn lẫn chi phí cá nhân và chi phí kinh doanh thường xảy ra ở các doanh nghiệp tư nhân nhỏ có thể khiến thu nhập bị đo lường sai. Thứ ba là ảnh hưởng của thuế đến giá trị, vì tình trạng thuế và thuế suất của cá nhân biến động rộng hơn nhiều so với thuế suất doanh nghiệp.</w:t>
      </w:r>
    </w:p>
    <w:p>
      <w:bookmarkStart w:id="5017" w:name="Owner_Salaries_and_Equity_Cash_F_1"/>
      <w:bookmarkStart w:id="5018" w:name="Owner_Salaries_and_Equity_Cash_F"/>
      <w:pPr>
        <w:keepNext/>
        <w:pStyle w:val="Heading 4"/>
        <w:keepLines w:val="on"/>
      </w:pPr>
      <w:r>
        <w:t>Tiền lương của chủ sở hữu và dòng tiền chủ sở hữu</w:t>
      </w:r>
      <w:bookmarkEnd w:id="5017"/>
      <w:bookmarkEnd w:id="5018"/>
    </w:p>
    <w:p>
      <w:pPr>
        <w:pStyle w:val="Para 03"/>
      </w:pPr>
      <w:r>
        <w:t>Khi định giá doanh nghiệp, chúng ta phân biệt đơn giản giữa tiền lương và cổ tức. Tiền lương là khoản thù lao cho các dịch vụ chuyên môn được cung cấp cho doanh nghiệp và nên được coi là chi phí hoạt động. Cổ tức hoặc các khoản rút vốn chủ sở hữu khác khỏi doanh nghiệp là lợi nhuận trên vốn chủ sở hữu đã đầu tư và quyết định giá trị của vốn chủ sở hữu. Sự tách biệt giữa người quản lý và cổ đông trong các công ty đại chúng dẫn đến sự phân biệt rõ ràng giữa tiền lương (được trả cho người quản lý) và cổ tức (được trả cho cổ đông). Trong một doanh nghiệp tư nhân, chủ sở hữu thường là người quản lý của doanh nghiệp và là nhà đầu tư vốn chủ sở hữu duy nhất. Nếu doanh nghiệp tư nhân không được thành lập dưới dạng công ty, thu nhập mà chủ sở hữu kiếm được sẽ bị đánh thuế ở cùng một mức thuế suất, bất kể nó được phân loại là tiền lương hay cổ tức. Do đó, chủ sở hữu sẽ thờ ơ giữa việc nhận tiền lương 10.000 đô la và cổ tức 90.000 đô la so với tiền lương 90.000 đô la và cổ tức 10.000 đô la. Kết quả là, chủ sở hữu không tự trả lương cho mình trong nhiều doanh nghiệp tư nhân nhỏ, hoặc ngay cả khi họ có trả, tiền lương không phản ánh các dịch vụ họ cung cấp cho doanh nghiệp.</w:t>
      </w:r>
    </w:p>
    <w:p>
      <w:pPr>
        <w:pStyle w:val="Para 03"/>
      </w:pPr>
      <w:r>
        <w:t>Khi định giá một doanh nghiệp tư nhân, chúng ta thường đưa ra dự báo dựa trên thu nhập hoạt động được báo cáo bởi doanh nghiệp. Nếu thu nhập hoạt động đó không phản ánh việc điều chỉnh tiền lương cho chủ sở hữu, nó sẽ bị phóng đại và dẫn đến giá trị quá cao. Để có ước tính chính xác hơn về thu nhập hoạt động, chúng ta phải ước tính mức thù lao phù hợp cho chủ sở hữu-người quản lý, dựa trên vai trò họ đảm nhận trong doanh nghiệp và chi phí thuê người thay thế họ. Do đó, chủ sở hữu của một doanh nghiệp tư nhân có thể đảm nhận nhiều vai trò—thu ngân, kế toán, thủ kho, và nhân viên bán hàng, và tiền lương quản lý sẽ phải bao gồm chi phí thuê một người hoặc một tổ chức bên ngoài để cung cấp các dịch vụ tương tự.</w:t>
      </w:r>
    </w:p>
    <w:p>
      <w:bookmarkStart w:id="5019" w:name="Intermixing_Business_and_Persona"/>
      <w:bookmarkStart w:id="5020" w:name="Intermixing_Business_and_Persona_1"/>
      <w:pPr>
        <w:keepNext/>
        <w:pStyle w:val="Heading 4"/>
        <w:keepLines w:val="on"/>
      </w:pPr>
      <w:r>
        <w:t>Trộn lẫn chi phí kinh doanh và chi phí cá nhân</w:t>
      </w:r>
      <w:bookmarkEnd w:id="5019"/>
      <w:bookmarkEnd w:id="5020"/>
    </w:p>
    <w:p>
      <w:pPr>
        <w:pStyle w:val="Para 03"/>
      </w:pPr>
      <w:r>
        <w:t>Việc trộn lẫn chi phí kinh doanh và chi phí cá nhân là một vấn đề đặc biệt ở các doanh nghiệp tư nhân nhỏ, vì chủ sở hữu thường có quyền lực tuyệt đối đối với nhiều khía cạnh của những doanh nghiệp này. Nhiều chủ doanh nghiệp tư nhân duy trì văn phòng tại nhà riêng, có xe cộ mà họ sử dụng cho cả mục đích cá nhân và kinh doanh, và chia sẻ các dịch vụ khác giữa công việc và gia đình. Trong một số trường hợp, các thành viên gia đình được thuê để lấp vào các vị trí ma nhằm phân phối thu nhập hoặc giảm thuế.</w:t>
      </w:r>
    </w:p>
    <w:p>
      <w:pPr>
        <w:pStyle w:val="Para 03"/>
      </w:pPr>
      <w:r>
        <w:t>Nếu chi phí cá nhân được hợp nhất với chi phí kinh doanh hoặc là một phần của chi phí kinh doanh, thu nhập hoạt động của một doanh nghiệp tư nhân phải được ước tính trước những chi phí này. Tuy nhiên, vấn đề khi thực hiện những điều chỉnh này là chủ doanh nghiệp tư nhân thường không thẳng thắn về mức độ của những chi phí này, và có thể có những hệ quả về thuế.</w:t>
      </w:r>
    </w:p>
    <w:p>
      <w:bookmarkStart w:id="5021" w:name="Tax_Effects"/>
      <w:bookmarkStart w:id="5022" w:name="Tax_Effects__When_valuing_public"/>
      <w:pPr>
        <w:keepNext/>
        <w:pStyle w:val="Heading 4"/>
        <w:keepLines w:val="on"/>
      </w:pPr>
      <w:r>
        <w:t>Ảnh hưởng của thuế</w:t>
      </w:r>
      <w:bookmarkEnd w:id="5021"/>
      <w:bookmarkEnd w:id="5022"/>
    </w:p>
    <w:p>
      <w:pPr>
        <w:pStyle w:val="Para 03"/>
      </w:pPr>
      <w:r>
        <w:t>Khi định giá các công ty đại chúng, thuế suất mà chúng ta sử dụng trong định giá tập trung vào thuế suất doanh nghiệp biên. Mặc dù các công ty khác nhau có thể đối mặt với các mức thuế suất biên khác nhau, sự khác biệt về thuế suất giữa các người mua tiềm năng của một doanh nghiệp tư nhân sẽ lớn hơn nhiều. Trên thực tế, thuế suất có thể thay đổi từ thuế suất doanh nghiệp (nếu người mua tiềm năng là một công ty), đến thuế suất biên cao nhất cho cá nhân (nếu người mua tiềm năng là một cá nhân giàu có), đến bằng không nếu người mua tiềm năng có thu nhập thấp hơn như một tổ chức phi lợi nhuận. Thuế suất sẽ ảnh hưởng đến cả dòng tiền (thông qua thu nhập hoạt động sau thuế) và chi phí vốn (thông qua chi phí nợ). Kết quả là, giá trị của một doanh nghiệp tư nhân có thể khác nhau giữa các người mua khác nhau.</w:t>
      </w:r>
    </w:p>
    <w:p>
      <w:pPr>
        <w:pStyle w:val="Para 11"/>
      </w:pPr>
      <w:r>
        <w:t xml:space="preserve"> </w:t>
      </w:r>
    </w:p>
    <w:p>
      <w:bookmarkStart w:id="5024" w:name="To_Pretax_or_After_Tax_Private_b"/>
      <w:bookmarkStart w:id="5025" w:name="To_Pretax_or_After_Tax"/>
      <w:pPr>
        <w:keepNext/>
        <w:pStyle w:val="Para 27"/>
        <w:keepLines w:val="on"/>
      </w:pPr>
      <w:r>
        <w:t>Trước thuế hay sau thuế</w:t>
      </w:r>
      <w:bookmarkEnd w:id="5024"/>
      <w:bookmarkEnd w:id="5025"/>
    </w:p>
    <w:p>
      <w:pPr>
        <w:pStyle w:val="Para 16"/>
        <w:keepLines w:val="on"/>
      </w:pPr>
      <w:r>
        <w:t>Các doanh nghiệp tư nhân có thể được tổ chức theo nhiều cách khác nhau, với những hệ quả thuế rất khác nhau. Ở dạng đơn giản nhất, một doanh nghiệp tư nhân có thể là một doanh nghiệp cá thể, nơi ranh giới giữa doanh nghiệp và cá nhân bị mờ nhạt và thu nhập từ doanh nghiệp được khai báo trên tờ khai thuế của chủ sở hữu. Ở đây, giải pháp rất đơn giản. Tính toán dòng tiền, sau khi đã tính đến nghĩa vụ thuế của chủ sở hữu, và chiết khấu những dòng tiền đó về hiện tại ở một tỷ suất lợi nhuận mà chủ sở hữu cần trên cơ sở sau thuế, để bù đắp cho rủi ro đã chấp nhận. Tuy nhiên, có thể doanh nghiệp này có thể đáng giá một số tiền khác đối với một người mua tiềm năng đối mặt với thuế suất khác.</w:t>
      </w:r>
    </w:p>
    <w:p>
      <w:pPr>
        <w:pStyle w:val="Para 16"/>
        <w:keepLines w:val="on"/>
      </w:pPr>
      <w:r>
        <w:t>Mọi thứ trở nên thú vị hơn khi bạn có một công ty hợp danh, nơi thu nhập được chia cho các thành viên hợp danh dựa trên tỷ lệ phần vốn họ sở hữu và được thể hiện là thu nhập (và bị đánh thuế) trên tờ khai thuế cá nhân của họ. Trong phạm vi họ đối mặt với các mức thuế suất tương tự, bạn có thể sử dụng một thuế suất đồng thuận phản ánh vị thế của các thành viên hợp danh và tính toán dòng tiền sau thuế rồi chiết khấu về hiện tại ở một tỷ suất lợi nhuận sau thuế đã điều chỉnh theo rủi ro.</w:t>
      </w:r>
    </w:p>
    <w:p>
      <w:pPr>
        <w:pStyle w:val="Para 16"/>
        <w:keepLines w:val="on"/>
      </w:pPr>
      <w:r>
        <w:t>Cuối cùng, hãy xem xét một công ty S corporation (công ty S). Thực thể này không bị đánh thuế trên thu nhập của mình, nhưng các cổ đông trong công ty bị đánh thuế trên phần thu nhập của họ, ngay cả khi nó không được chi trả dưới dạng cổ tức. (Một cổ đông trong một công ty đại chúng chỉ bị đánh thuế trên cổ tức được chi trả và có thể hoãn nộp thuế lãi vốn cho đến khi họ bán cổ phiếu.) Bạn có thể định giá công ty này bằng một trong hai cách tiếp cận:</w:t>
      </w:r>
    </w:p>
    <w:p>
      <w:pPr>
        <w:numPr>
          <w:ilvl w:val="0"/>
          <w:numId w:val="261"/>
        </w:numPr>
        <w:pStyle w:val="Para 33"/>
        <w:keepLines w:val="on"/>
      </w:pPr>
      <w:r>
        <w:t>Bạn có thể sử dụng cùng logic mà chúng ta đã dùng cho các công ty hợp danh và tìm một thuế suất phản ánh những gì các cổ đông phải trả. Sau đó bạn có thể ước tính dòng tiền sau thuế và chiết khấu về hiện tại ở một tỷ suất lợi nhuận đã điều chỉnh theo rủi ro và sau thuế.</w:t>
      </w:r>
    </w:p>
    <w:p>
      <w:pPr>
        <w:numPr>
          <w:ilvl w:val="0"/>
          <w:numId w:val="261"/>
        </w:numPr>
        <w:pStyle w:val="Para 33"/>
        <w:keepLines w:val="on"/>
      </w:pPr>
      <w:r>
        <w:t>Bạn có thể tập trung vào dòng tiền trước thuế và chiết khấu chúng về hiện tại ở một tỷ suất lợi nhuận trước thuế đã điều chỉnh theo rủi ro.</w:t>
      </w:r>
    </w:p>
    <w:p>
      <w:pPr>
        <w:pStyle w:val="Para 16"/>
        <w:keepLines w:val="on"/>
      </w:pPr>
      <w:r>
        <w:t>Chìa khóa cho tất cả những định giá này là sử dụng tỷ lệ chiết khấu phù hợp, tương ứng với dòng tiền.</w:t>
      </w:r>
    </w:p>
    <w:p>
      <w:pPr>
        <w:pStyle w:val="Para 16"/>
        <w:keepLines w:val="on"/>
      </w:pPr>
      <w:r>
        <w:t>Khi bạn sử dụng CAPM hoặc các biến thể của nó để ước tính tỷ lệ chiết khấu cho các công ty đại chúng, bạn đang ước tính một tỷ suất lợi nhuận yêu cầu sau thuế doanh nghiệp và trước thuế cá nhân. Nếu bạn dựa vào cùng các mô hình rủi ro và lợi nhuận để ước tính tỷ lệ chiết khấu cho các doanh nghiệp tư nhân, bạn phải nhận ra rằng nếu dòng tiền là sau thuế cá nhân, bạn sẽ phải điều chỉnh tỷ lệ chiết khấu cho phù hợp. Vào tháng 6 năm 2011, chẳng hạn, chi phí vốn chủ sở hữu cho một công ty đại chúng là khoảng 8 phần trăm. Thuế suất đối với cổ tức và lãi vốn là 15 phần trăm. Nếu chúng ta giả định rằng nhà đầu tư biên phải trả mức thuế suất này trên toàn bộ lợi nhuận, chi phí vốn chủ sở hữu sau thuế cá nhân là 6,8 phần trăm.</w:t>
      </w:r>
    </w:p>
    <w:p>
      <w:pPr>
        <w:pStyle w:val="Para 20"/>
      </w:pPr>
      <w:r>
        <w:rPr>
          <w:rStyle w:val="Text26"/>
        </w:rPr>
        <w:bookmarkStart w:id="5026" w:name="Page_770"/>
        <w:t/>
        <w:bookmarkEnd w:id="5026"/>
      </w:r>
      <w:r>
        <w:t xml:space="preserve"> </w:t>
      </w:r>
    </w:p>
    <w:p>
      <w:pPr>
        <w:pStyle w:val="Para 11"/>
      </w:pPr>
      <w:r>
        <w:t xml:space="preserve"> </w:t>
      </w:r>
    </w:p>
    <w:p>
      <w:bookmarkStart w:id="5027" w:name="ILLUSTRATION_24_7___Operating_an_1"/>
      <w:bookmarkStart w:id="5028" w:name="ILLUSTRATION_24_7___Operating_an"/>
      <w:pPr>
        <w:keepNext/>
        <w:pStyle w:val="Para 19"/>
        <w:keepLines w:val="on"/>
      </w:pPr>
      <w:r>
        <w:t>MINH HỌA 24.7: Thu nhập hoạt động và thu nhập ròng</w:t>
      </w:r>
      <w:bookmarkEnd w:id="5027"/>
      <w:bookmarkEnd w:id="5028"/>
    </w:p>
    <w:p>
      <w:pPr>
        <w:pStyle w:val="Para 04"/>
        <w:keepLines w:val="on"/>
      </w:pPr>
      <w:r>
        <w:t>Để ước tính dòng tiền cho Chez Pierre, chúng ta bắt đầu với thu nhập được nêu trong báo cáo tài chính của chủ sở hữu. Những báo cáo đó (với tất cả các con số được báo cáo bằng đơn vị nghìn) cho thấy rằng nhà hàng tạo ra 400.000 đô la thu nhập hoạt động và 240.000 đô la thu nhập ròng trên doanh thu 1,2 triệu đô la trong năm gần nhất (xem Bảng 24.3):</w:t>
      </w:r>
    </w:p>
    <w:p>
      <w:pPr>
        <w:pStyle w:val="Para 25"/>
        <w:keepLines w:val="on"/>
      </w:pPr>
      <w:r>
        <w:t>Bảng 24.3</w:t>
      </w:r>
    </w:p>
    <w:p>
      <w:pPr>
        <w:keepNext/>
        <w:pStyle w:val="Para 24"/>
        <w:keepLines w:val="on"/>
      </w:pPr>
      <w:r>
        <w:t>Báo cáo thu nhập—Chez Pierre</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05"/>
                    <w:keepLines w:val="on"/>
                  </w:pPr>
                  <w:r>
                    <w:t>Được nêu</w:t>
                  </w:r>
                </w:p>
              </w:tc>
              <w:tc>
                <w:tcPr>
                  <w:tcW w:type="auto" w:w="0"/>
                  <w:shd w:val="clear" w:color="auto" w:fill="F0F0F0"/>
                </w:tcPr>
                <w:p>
                  <w:pPr>
                    <w:pStyle w:val="Para 05"/>
                    <w:keepLines w:val="on"/>
                  </w:pPr>
                  <w:r>
                    <w:t>Đã điều chỉnh</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$1,200.00</w:t>
                  </w:r>
                </w:p>
              </w:tc>
              <w:tc>
                <w:tcPr>
                  <w:tcW w:type="auto" w:w="0"/>
                  <w:shd w:val="clear" w:color="auto" w:fill="F0F0F0"/>
                </w:tcPr>
                <w:p>
                  <w:pPr>
                    <w:pStyle w:val="Normal"/>
                    <w:keepLines w:val="on"/>
                  </w:pPr>
                  <w:r>
                    <w:t>$1,200.00</w:t>
                  </w:r>
                </w:p>
              </w:tc>
            </w:tr>
            <w:tr>
              <w:tc>
                <w:tcPr>
                  <w:tcW w:type="auto" w:w="0"/>
                  <w:shd w:val="clear" w:color="auto" w:fill="F0F0F0"/>
                </w:tcPr>
                <w:p>
                  <w:pPr>
                    <w:pStyle w:val="Para 02"/>
                    <w:keepLines w:val="on"/>
                  </w:pPr>
                  <w:r>
                    <w:t>– Chi phí thuê hoạt động</w:t>
                  </w:r>
                </w:p>
              </w:tc>
              <w:tc>
                <w:tcPr>
                  <w:tcW w:type="auto" w:w="0"/>
                  <w:shd w:val="clear" w:color="auto" w:fill="F0F0F0"/>
                </w:tcPr>
                <w:p>
                  <w:pPr>
                    <w:pStyle w:val="Normal"/>
                    <w:keepLines w:val="on"/>
                  </w:pPr>
                  <w:r>
                    <w:t>$120.00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 Khấu hao ước tính trên tài sản thuê</w:t>
                  </w:r>
                </w:p>
              </w:tc>
              <w:tc>
                <w:tcPr>
                  <w:tcW w:type="auto" w:w="0"/>
                  <w:shd w:val="clear" w:color="auto" w:fill="F0F0F0"/>
                </w:tcPr>
                <w:p>
                  <w:pPr>
                    <w:pStyle w:val="7 Block"/>
                    <w:keepLines w:val="on"/>
                  </w:pPr>
                </w:p>
              </w:tc>
              <w:tc>
                <w:tcPr>
                  <w:tcW w:type="auto" w:w="0"/>
                  <w:shd w:val="clear" w:color="auto" w:fill="F0F0F0"/>
                </w:tcPr>
                <w:p>
                  <w:pPr>
                    <w:pStyle w:val="Normal"/>
                    <w:keepLines w:val="on"/>
                  </w:pPr>
                  <w:r>
                    <w:t>$50.38</w:t>
                  </w:r>
                </w:p>
              </w:tc>
            </w:tr>
            <w:tr>
              <w:tc>
                <w:tcPr>
                  <w:tcW w:type="auto" w:w="0"/>
                  <w:shd w:val="clear" w:color="auto" w:fill="F0F0F0"/>
                </w:tcPr>
                <w:p>
                  <w:pPr>
                    <w:pStyle w:val="Para 02"/>
                    <w:keepLines w:val="on"/>
                  </w:pPr>
                  <w:r>
                    <w:t>– Tiền lương</w:t>
                  </w:r>
                </w:p>
              </w:tc>
              <w:tc>
                <w:tcPr>
                  <w:tcW w:type="auto" w:w="0"/>
                  <w:shd w:val="clear" w:color="auto" w:fill="F0F0F0"/>
                </w:tcPr>
                <w:p>
                  <w:pPr>
                    <w:pStyle w:val="Normal"/>
                    <w:keepLines w:val="on"/>
                  </w:pPr>
                  <w:r>
                    <w:t>$200.00</w:t>
                  </w:r>
                </w:p>
              </w:tc>
              <w:tc>
                <w:tcPr>
                  <w:tcW w:type="auto" w:w="0"/>
                  <w:shd w:val="clear" w:color="auto" w:fill="F0F0F0"/>
                </w:tcPr>
                <w:p>
                  <w:pPr>
                    <w:pStyle w:val="Normal"/>
                    <w:keepLines w:val="on"/>
                  </w:pPr>
                  <w:r>
                    <w:t>$350.00</w:t>
                  </w:r>
                </w:p>
              </w:tc>
            </w:tr>
            <w:tr>
              <w:tc>
                <w:tcPr>
                  <w:tcW w:type="auto" w:w="0"/>
                  <w:shd w:val="clear" w:color="auto" w:fill="F0F0F0"/>
                </w:tcPr>
                <w:p>
                  <w:pPr>
                    <w:pStyle w:val="Para 02"/>
                    <w:keepLines w:val="on"/>
                  </w:pPr>
                  <w:r>
                    <w:t>– Nguyên vật liệu</w:t>
                  </w:r>
                </w:p>
              </w:tc>
              <w:tc>
                <w:tcPr>
                  <w:tcW w:type="auto" w:w="0"/>
                  <w:shd w:val="clear" w:color="auto" w:fill="F0F0F0"/>
                </w:tcPr>
                <w:p>
                  <w:pPr>
                    <w:pStyle w:val="Normal"/>
                    <w:keepLines w:val="on"/>
                  </w:pPr>
                  <w:r>
                    <w:t>$300.00</w:t>
                  </w:r>
                </w:p>
              </w:tc>
              <w:tc>
                <w:tcPr>
                  <w:tcW w:type="auto" w:w="0"/>
                  <w:shd w:val="clear" w:color="auto" w:fill="F0F0F0"/>
                </w:tcPr>
                <w:p>
                  <w:pPr>
                    <w:pStyle w:val="Normal"/>
                    <w:keepLines w:val="on"/>
                  </w:pPr>
                  <w:r>
                    <w:t>$300.00</w:t>
                  </w:r>
                </w:p>
              </w:tc>
            </w:tr>
            <w:tr>
              <w:tc>
                <w:tcPr>
                  <w:tcW w:type="auto" w:w="0"/>
                  <w:shd w:val="clear" w:color="auto" w:fill="F0F0F0"/>
                </w:tcPr>
                <w:p>
                  <w:pPr>
                    <w:pStyle w:val="Para 02"/>
                    <w:keepLines w:val="on"/>
                  </w:pPr>
                  <w:r>
                    <w:t>– Chi phí hoạt động khác</w:t>
                  </w:r>
                </w:p>
              </w:tc>
              <w:tc>
                <w:tcPr>
                  <w:tcW w:type="auto" w:w="0"/>
                  <w:shd w:val="clear" w:color="auto" w:fill="F0F0F0"/>
                </w:tcPr>
                <w:p>
                  <w:pPr>
                    <w:pStyle w:val="Normal"/>
                    <w:keepLines w:val="on"/>
                  </w:pPr>
                  <w:r>
                    <w:t>$180.00</w:t>
                  </w:r>
                </w:p>
              </w:tc>
              <w:tc>
                <w:tcPr>
                  <w:tcW w:type="auto" w:w="0"/>
                  <w:shd w:val="clear" w:color="auto" w:fill="F0F0F0"/>
                </w:tcPr>
                <w:p>
                  <w:pPr>
                    <w:pStyle w:val="Normal"/>
                    <w:keepLines w:val="on"/>
                  </w:pPr>
                  <w:r>
                    <w:t>$180.00</w:t>
                  </w:r>
                </w:p>
              </w:tc>
            </w:tr>
            <w:tr>
              <w:tc>
                <w:tcPr>
                  <w:tcW w:type="auto" w:w="0"/>
                  <w:shd w:val="clear" w:color="auto" w:fill="F0F0F0"/>
                </w:tcPr>
                <w:p>
                  <w:pPr>
                    <w:pStyle w:val="Para 02"/>
                    <w:keepLines w:val="on"/>
                  </w:pPr>
                  <w:r>
                    <w:t>Thu nhập hoạt động</w:t>
                  </w:r>
                </w:p>
              </w:tc>
              <w:tc>
                <w:tcPr>
                  <w:tcW w:type="auto" w:w="0"/>
                  <w:shd w:val="clear" w:color="auto" w:fill="F0F0F0"/>
                </w:tcPr>
                <w:p>
                  <w:pPr>
                    <w:pStyle w:val="Normal"/>
                    <w:keepLines w:val="on"/>
                  </w:pPr>
                  <w:r>
                    <w:t>$400.00</w:t>
                  </w:r>
                </w:p>
              </w:tc>
              <w:tc>
                <w:tcPr>
                  <w:tcW w:type="auto" w:w="0"/>
                  <w:shd w:val="clear" w:color="auto" w:fill="F0F0F0"/>
                </w:tcPr>
                <w:p>
                  <w:pPr>
                    <w:pStyle w:val="Normal"/>
                    <w:keepLines w:val="on"/>
                  </w:pPr>
                  <w:r>
                    <w:t>$319.62</w:t>
                  </w:r>
                </w:p>
              </w:tc>
            </w:tr>
            <w:tr>
              <w:tc>
                <w:tcPr>
                  <w:tcW w:type="auto" w:w="0"/>
                  <w:shd w:val="clear" w:color="auto" w:fill="F0F0F0"/>
                </w:tcPr>
                <w:p>
                  <w:pPr>
                    <w:pStyle w:val="Para 02"/>
                    <w:keepLines w:val="on"/>
                  </w:pPr>
                  <w:r>
                    <w:t>– Chi phí lãi ước tính</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$69.62</w:t>
                  </w:r>
                </w:p>
              </w:tc>
            </w:tr>
            <w:tr>
              <w:tc>
                <w:tcPr>
                  <w:tcW w:type="auto" w:w="0"/>
                  <w:shd w:val="clear" w:color="auto" w:fill="F0F0F0"/>
                </w:tcPr>
                <w:p>
                  <w:pPr>
                    <w:pStyle w:val="Para 02"/>
                    <w:keepLines w:val="on"/>
                  </w:pPr>
                  <w:r>
                    <w:t>Thu nhập chịu thuế</w:t>
                  </w:r>
                </w:p>
              </w:tc>
              <w:tc>
                <w:tcPr>
                  <w:tcW w:type="auto" w:w="0"/>
                  <w:shd w:val="clear" w:color="auto" w:fill="F0F0F0"/>
                </w:tcPr>
                <w:p>
                  <w:pPr>
                    <w:pStyle w:val="Normal"/>
                    <w:keepLines w:val="on"/>
                  </w:pPr>
                  <w:r>
                    <w:t>$400.00</w:t>
                  </w:r>
                </w:p>
              </w:tc>
              <w:tc>
                <w:tcPr>
                  <w:tcW w:type="auto" w:w="0"/>
                  <w:shd w:val="clear" w:color="auto" w:fill="F0F0F0"/>
                </w:tcPr>
                <w:p>
                  <w:pPr>
                    <w:pStyle w:val="Normal"/>
                    <w:keepLines w:val="on"/>
                  </w:pPr>
                  <w:r>
                    <w:t>$250,00</w:t>
                  </w:r>
                </w:p>
              </w:tc>
            </w:tr>
            <w:tr>
              <w:tc>
                <w:tcPr>
                  <w:tcW w:type="auto" w:w="0"/>
                  <w:shd w:val="clear" w:color="auto" w:fill="F0F0F0"/>
                </w:tcPr>
                <w:p>
                  <w:pPr>
                    <w:pStyle w:val="Para 02"/>
                    <w:keepLines w:val="on"/>
                  </w:pPr>
                  <w:r>
                    <w:t>– Thuế</w:t>
                  </w:r>
                </w:p>
              </w:tc>
              <w:tc>
                <w:tcPr>
                  <w:tcW w:type="auto" w:w="0"/>
                  <w:shd w:val="clear" w:color="auto" w:fill="F0F0F0"/>
                </w:tcPr>
                <w:p>
                  <w:pPr>
                    <w:pStyle w:val="Normal"/>
                    <w:keepLines w:val="on"/>
                  </w:pPr>
                  <w:r>
                    <w:t>$160,00</w:t>
                  </w:r>
                </w:p>
              </w:tc>
              <w:tc>
                <w:tcPr>
                  <w:tcW w:type="auto" w:w="0"/>
                  <w:shd w:val="clear" w:color="auto" w:fill="F0F0F0"/>
                </w:tcPr>
                <w:p>
                  <w:pPr>
                    <w:pStyle w:val="Normal"/>
                    <w:keepLines w:val="on"/>
                  </w:pPr>
                  <w:r>
                    <w:t>$100,00</w:t>
                  </w:r>
                </w:p>
              </w:tc>
            </w:tr>
            <w:tr>
              <w:tc>
                <w:tcPr>
                  <w:tcW w:type="auto" w:w="0"/>
                  <w:shd w:val="clear" w:color="auto" w:fill="F0F0F0"/>
                </w:tcPr>
                <w:p>
                  <w:pPr>
                    <w:pStyle w:val="Para 02"/>
                    <w:keepLines w:val="on"/>
                  </w:pPr>
                  <w:r>
                    <w:t>Thu nhập ròng</w:t>
                  </w:r>
                </w:p>
              </w:tc>
              <w:tc>
                <w:tcPr>
                  <w:tcW w:type="auto" w:w="0"/>
                  <w:shd w:val="clear" w:color="auto" w:fill="F0F0F0"/>
                </w:tcPr>
                <w:p>
                  <w:pPr>
                    <w:pStyle w:val="Normal"/>
                    <w:keepLines w:val="on"/>
                  </w:pPr>
                  <w:r>
                    <w:t>$240,00</w:t>
                  </w:r>
                </w:p>
              </w:tc>
              <w:tc>
                <w:tcPr>
                  <w:tcW w:type="auto" w:w="0"/>
                  <w:shd w:val="clear" w:color="auto" w:fill="F0F0F0"/>
                </w:tcPr>
                <w:p>
                  <w:pPr>
                    <w:pStyle w:val="Normal"/>
                    <w:keepLines w:val="on"/>
                  </w:pPr>
                  <w:r>
                    <w:t>$150,00</w:t>
                  </w:r>
                </w:p>
              </w:tc>
            </w:tr>
          </w:tbl>
          <w:p/>
        </w:tc>
      </w:tr>
    </w:tbl>
    <w:p>
      <w:pPr>
        <w:pStyle w:val="Para 04"/>
        <w:keepLines w:val="on"/>
      </w:pPr>
      <w:r>
        <w:t>Chúng tôi đã thực hiện hai điều chỉnh quan trọng. Đầu tiên, chúng tôi nhận thấy rằng chủ sở hữu (kiêm đầu bếp) không trả lương cho chính mình. Chúng tôi đã cộng thêm $150.000 vào chi phí tiền lương để phản ánh khoản chi phí dự kiến gắn với một đầu bếp mới. Thứ hai, chúng tôi chuyển đổi chi phí thuê hoạt động thành chi phí tài chính, bằng cách vốn hóa các cam kết thuê ($120.000/năm trong 12 năm tới), sử dụng chi phí nợ trước thuế là 7,5% mà chúng tôi đã ước tính trong Minh họa 24.5:</w:t>
      </w:r>
    </w:p>
    <w:p>
      <w:bookmarkStart w:id="5031" w:name="PVofleasecommitments__120_000PVo"/>
      <w:pPr>
        <w:keepNext/>
        <w:pStyle w:val="Para 07"/>
        <w:keepLines w:val="on"/>
      </w:pPr>
      <w:r>
        <w:t>PVofleasecommitments=$120,000PVofannuity,7.5%,12years=$928,230</w:t>
      </w:r>
      <w:bookmarkEnd w:id="5031"/>
    </w:p>
    <w:p>
      <w:pPr>
        <w:pStyle w:val="Para 04"/>
        <w:keepLines w:val="on"/>
      </w:pPr>
      <w:r>
        <w:t>Việc chuyển đổi này sau đó dẫn đến hai khoản mục mới trên báo cáo thu nhập:</w:t>
      </w:r>
    </w:p>
    <w:p>
      <w:bookmarkStart w:id="5032" w:name="Imputedinterestexpenses__828_233"/>
      <w:pPr>
        <w:keepNext/>
        <w:pStyle w:val="Para 07"/>
        <w:keepLines w:val="on"/>
      </w:pPr>
      <w:r>
        <w:t>Imputedinterestexpenses=$828,233×.075=$69,620</w:t>
      </w:r>
      <w:bookmarkEnd w:id="5032"/>
    </w:p>
    <w:p>
      <w:bookmarkStart w:id="5033" w:name="Imputed_depreciation_Current_yea"/>
      <w:pPr>
        <w:keepNext/>
        <w:pStyle w:val="Para 07"/>
        <w:keepLines w:val="on"/>
      </w:pPr>
      <w:r>
        <w:t>Imputed depreciation=Current year’s lease expense−Imputed interest expense=$120,000−$69,620=$50,380</w:t>
      </w:r>
      <w:bookmarkEnd w:id="5033"/>
    </w:p>
    <w:p>
      <w:pPr>
        <w:pStyle w:val="Para 04"/>
        <w:keepLines w:val="on"/>
      </w:pPr>
      <w:r>
        <w:t>Hai điều chỉnh này làm giảm thu nhập hoạt động xuống còn $319.620 và thu nhập ròng xuống còn $180.230.</w:t>
      </w:r>
    </w:p>
    <w:p>
      <w:pPr>
        <w:pStyle w:val="Para 04"/>
        <w:keepLines w:val="on"/>
      </w:pPr>
      <w:r>
        <w:t>InfoSoft, dù là một công ty tư nhân, về cơ bản đã được điều hành như một công ty đại chúng, có lẽ như một bước chuẩn bị cho đợt phát hành cổ phiếu lần đầu ra công chúng. Bảng này phản ánh thu nhập hoạt động của InfoSoft.</w:t>
      </w:r>
    </w:p>
    <w:tbl>
      <w:tblPr>
        <w:tblW w:type="auto" w:w="0"/>
      </w:tblPr>
      <w:tr>
        <w:tc>
          <w:tcPr>
            <w:tcW w:type="auto" w:w="0"/>
          </w:tcPr>
          <w:tbl>
            <w:tblPr>
              <w:tblW w:type="auto" w:w="0"/>
            </w:tblPr>
            <w:tr>
              <w:tc>
                <w:tcPr>
                  <w:tcW w:type="auto" w:w="0"/>
                  <w:shd w:val="clear" w:color="auto" w:fill="F0F0F0"/>
                  <w:hMerge w:val="restart"/>
                </w:tcPr>
                <w:p>
                  <w:pPr>
                    <w:pStyle w:val="Para 05"/>
                    <w:keepLines w:val="on"/>
                  </w:pPr>
                  <w:r>
                    <w:t>Báo cáo thu nhập—InfoSoft (đơn vị: nghìn)</w:t>
                  </w:r>
                </w:p>
              </w:tc>
              <w:tc>
                <w:tcPr>
                  <w:hMerge w:val="continue"/>
                </w:tcPr>
                <w:p/>
              </w:tc>
            </w:tr>
            <w:tr>
              <w:tc>
                <w:tcPr>
                  <w:tcW w:type="auto" w:w="0"/>
                  <w:shd w:val="clear" w:color="auto" w:fill="F0F0F0"/>
                </w:tcPr>
                <w:p>
                  <w:pPr>
                    <w:pStyle w:val="Para 29"/>
                    <w:keepLines w:val="on"/>
                  </w:pPr>
                  <w:r>
                    <w:t>Doanh thu bán hàng và các khoản doanh thu hoạt động khác</w:t>
                  </w:r>
                </w:p>
              </w:tc>
              <w:tc>
                <w:tcPr>
                  <w:tcW w:type="auto" w:w="0"/>
                  <w:shd w:val="clear" w:color="auto" w:fill="F0F0F0"/>
                </w:tcPr>
                <w:p>
                  <w:pPr>
                    <w:pStyle w:val="Para 17"/>
                    <w:keepLines w:val="on"/>
                  </w:pPr>
                  <w:r>
                    <w:t>$10.000</w:t>
                  </w:r>
                </w:p>
              </w:tc>
            </w:tr>
            <w:tr>
              <w:tc>
                <w:tcPr>
                  <w:tcW w:type="auto" w:w="0"/>
                  <w:shd w:val="clear" w:color="auto" w:fill="F0F0F0"/>
                </w:tcPr>
                <w:p>
                  <w:pPr>
                    <w:pStyle w:val="Para 02"/>
                    <w:keepLines w:val="on"/>
                  </w:pPr>
                  <w:r>
                    <w:t>– Chi phí hoạt động và các khoản chi phí</w:t>
                  </w:r>
                </w:p>
              </w:tc>
              <w:tc>
                <w:tcPr>
                  <w:tcW w:type="auto" w:w="0"/>
                  <w:shd w:val="clear" w:color="auto" w:fill="F0F0F0"/>
                </w:tcPr>
                <w:p>
                  <w:pPr>
                    <w:pStyle w:val="Normal"/>
                    <w:keepLines w:val="on"/>
                  </w:pPr>
                  <w:r>
                    <w:t>$8.300</w:t>
                  </w:r>
                </w:p>
              </w:tc>
            </w:tr>
            <w:tr>
              <w:tc>
                <w:tcPr>
                  <w:tcW w:type="auto" w:w="0"/>
                  <w:shd w:val="clear" w:color="auto" w:fill="F0F0F0"/>
                </w:tcPr>
                <w:p>
                  <w:pPr>
                    <w:pStyle w:val="Para 02"/>
                    <w:keepLines w:val="on"/>
                  </w:pPr>
                  <w:r>
                    <w:t>– Khấu hao</w:t>
                  </w:r>
                </w:p>
              </w:tc>
              <w:tc>
                <w:tcPr>
                  <w:tcW w:type="auto" w:w="0"/>
                  <w:shd w:val="clear" w:color="auto" w:fill="F0F0F0"/>
                </w:tcPr>
                <w:p>
                  <w:pPr>
                    <w:pStyle w:val="Normal"/>
                    <w:keepLines w:val="on"/>
                  </w:pPr>
                  <w:r>
                    <w:t>$200</w:t>
                  </w:r>
                </w:p>
              </w:tc>
            </w:tr>
            <w:tr>
              <w:tc>
                <w:tcPr>
                  <w:tcW w:type="auto" w:w="0"/>
                  <w:shd w:val="clear" w:color="auto" w:fill="F0F0F0"/>
                </w:tcPr>
                <w:p>
                  <w:pPr>
                    <w:pStyle w:val="Para 02"/>
                    <w:keepLines w:val="on"/>
                  </w:pPr>
                  <w:r>
                    <w:t>Thu nhập hoạt động</w:t>
                  </w:r>
                </w:p>
              </w:tc>
              <w:tc>
                <w:tcPr>
                  <w:tcW w:type="auto" w:w="0"/>
                  <w:shd w:val="clear" w:color="auto" w:fill="F0F0F0"/>
                </w:tcPr>
                <w:p>
                  <w:pPr>
                    <w:pStyle w:val="Normal"/>
                    <w:keepLines w:val="on"/>
                  </w:pPr>
                  <w:r>
                    <w:t>$1.500</w:t>
                  </w:r>
                </w:p>
              </w:tc>
            </w:tr>
            <w:tr>
              <w:tc>
                <w:tcPr>
                  <w:tcW w:type="auto" w:w="0"/>
                  <w:shd w:val="clear" w:color="auto" w:fill="F0F0F0"/>
                </w:tcPr>
                <w:p>
                  <w:pPr>
                    <w:pStyle w:val="Para 02"/>
                    <w:keepLines w:val="on"/>
                  </w:pPr>
                  <w:r>
                    <w:t>– Chi phí lãi vay</w:t>
                  </w:r>
                </w:p>
              </w:tc>
              <w:tc>
                <w:tcPr>
                  <w:tcW w:type="auto" w:w="0"/>
                  <w:shd w:val="clear" w:color="auto" w:fill="F0F0F0"/>
                </w:tcPr>
                <w:p>
                  <w:pPr>
                    <w:pStyle w:val="Normal"/>
                    <w:keepLines w:val="on"/>
                  </w:pPr>
                  <w:r>
                    <w:t>$0</w:t>
                  </w:r>
                </w:p>
              </w:tc>
            </w:tr>
            <w:tr>
              <w:tc>
                <w:tcPr>
                  <w:tcW w:type="auto" w:w="0"/>
                  <w:shd w:val="clear" w:color="auto" w:fill="F0F0F0"/>
                </w:tcPr>
                <w:p>
                  <w:pPr>
                    <w:pStyle w:val="Para 02"/>
                    <w:keepLines w:val="on"/>
                  </w:pPr>
                  <w:r>
                    <w:t>Thu nhập chịu thuế</w:t>
                  </w:r>
                </w:p>
              </w:tc>
              <w:tc>
                <w:tcPr>
                  <w:tcW w:type="auto" w:w="0"/>
                  <w:shd w:val="clear" w:color="auto" w:fill="F0F0F0"/>
                </w:tcPr>
                <w:p>
                  <w:pPr>
                    <w:pStyle w:val="Normal"/>
                    <w:keepLines w:val="on"/>
                  </w:pPr>
                  <w:r>
                    <w:t>1.500 đô la</w:t>
                  </w:r>
                </w:p>
              </w:tc>
            </w:tr>
            <w:tr>
              <w:tc>
                <w:tcPr>
                  <w:tcW w:type="auto" w:w="0"/>
                  <w:shd w:val="clear" w:color="auto" w:fill="F0F0F0"/>
                </w:tcPr>
                <w:p>
                  <w:pPr>
                    <w:pStyle w:val="Para 02"/>
                    <w:keepLines w:val="on"/>
                  </w:pPr>
                  <w:r>
                    <w:t>– Thuế</w:t>
                  </w:r>
                </w:p>
              </w:tc>
              <w:tc>
                <w:tcPr>
                  <w:tcW w:type="auto" w:w="0"/>
                  <w:shd w:val="clear" w:color="auto" w:fill="F0F0F0"/>
                </w:tcPr>
                <w:p>
                  <w:pPr>
                    <w:pStyle w:val="Normal"/>
                    <w:keepLines w:val="on"/>
                  </w:pPr>
                  <w:r>
                    <w:t>600 đô la</w:t>
                  </w:r>
                </w:p>
              </w:tc>
            </w:tr>
            <w:tr>
              <w:tc>
                <w:tcPr>
                  <w:tcW w:type="auto" w:w="0"/>
                  <w:shd w:val="clear" w:color="auto" w:fill="F0F0F0"/>
                </w:tcPr>
                <w:p>
                  <w:pPr>
                    <w:pStyle w:val="Para 02"/>
                    <w:keepLines w:val="on"/>
                  </w:pPr>
                  <w:r>
                    <w:t>Thu nhập ròng</w:t>
                  </w:r>
                </w:p>
              </w:tc>
              <w:tc>
                <w:tcPr>
                  <w:tcW w:type="auto" w:w="0"/>
                  <w:shd w:val="clear" w:color="auto" w:fill="F0F0F0"/>
                </w:tcPr>
                <w:p>
                  <w:pPr>
                    <w:pStyle w:val="Normal"/>
                    <w:keepLines w:val="on"/>
                  </w:pPr>
                  <w:r>
                    <w:t>900 đô la</w:t>
                  </w:r>
                </w:p>
              </w:tc>
            </w:tr>
          </w:tbl>
          <w:p/>
        </w:tc>
      </w:tr>
    </w:tbl>
    <w:p>
      <w:bookmarkStart w:id="5035" w:name="Growth"/>
      <w:bookmarkStart w:id="5036" w:name="Growth__The_growth_rate_for_a_pr"/>
      <w:pPr>
        <w:keepNext/>
        <w:pStyle w:val="Heading 3"/>
        <w:keepLines w:val="on"/>
      </w:pPr>
      <w:r>
        <w:t>Tăng trưởng</w:t>
      </w:r>
      <w:bookmarkEnd w:id="5035"/>
      <w:bookmarkEnd w:id="5036"/>
    </w:p>
    <w:p>
      <w:pPr>
        <w:pStyle w:val="Para 03"/>
      </w:pPr>
      <w:r>
        <w:t>Tốc độ tăng trưởng của một doanh nghiệp tư nhân có thể được ước tính bằng cách nhìn vào quá khứ (tăng trưởng lịch sử) hoặc từ các yếu tố cơ bản (tỷ lệ tái đầu tư và lợi nhuận trên vốn đầu tư). Phần này sẽ xem xét một số vấn đề trong việc ước tính tăng trưởng của doanh nghiệp tư nhân.</w:t>
      </w:r>
    </w:p>
    <w:p>
      <w:bookmarkStart w:id="5037" w:name="Estimating_Growth__In_estimating"/>
      <w:bookmarkStart w:id="5038" w:name="Estimating_Growth"/>
      <w:pPr>
        <w:keepNext/>
        <w:pStyle w:val="Heading 4"/>
        <w:keepLines w:val="on"/>
      </w:pPr>
      <w:r>
        <w:t>Ước tính tăng trưởng</w:t>
      </w:r>
      <w:bookmarkEnd w:id="5037"/>
      <w:bookmarkEnd w:id="5038"/>
    </w:p>
    <w:p>
      <w:pPr>
        <w:pStyle w:val="Para 03"/>
      </w:pPr>
      <w:r>
        <w:t>Khi ước tính tăng trưởng cho các doanh nghiệp niêm yết công khai, chúng ta đã lưu ý rằng có thể dựa vào ba nguồn — tăng trưởng lịch sử, ước tính của chuyên gia phân tích và các yếu tố cơ bản. Với doanh nghiệp tư nhân, chúng ta sẽ không tìm thấy ước tính tăng trưởng của chuyên gia phân tích, và các con số tăng trưởng lịch sử phải được sử dụng một cách thận trọng. Các chuẩn mực kế toán thay đổi liên tục đặc trưng cho nhiều doanh nghiệp tư nhân sẽ có nghĩa là những thay đổi thu nhập được báo cáo theo thời gian có thể không phản ánh đúng những thay đổi thu nhập thực tế. Hơn nữa, việc thu nhập được đo lường theo năm thay vì theo quý, cùng với thực tế là các doanh nghiệp tư nhân thường non trẻ hơn các doanh nghiệp niêm yết công khai, sẽ dẫn đến việc có ít dữ liệu hơn nhiều trong ước tính tăng trưởng lịch sử.</w:t>
      </w:r>
    </w:p>
    <w:p>
      <w:pPr>
        <w:pStyle w:val="Para 03"/>
      </w:pPr>
      <w:r>
        <w:t>Do những khoảng trống này trong tăng trưởng quá khứ và ước tính của chuyên gia phân tích, việc dựa vào các yếu tố cơ bản ở doanh nghiệp tư nhân càng phải nhiều hơn nữa. Tốc độ tăng trưởng kỳ vọng của thu nhập hoạt động là tích số của tỷ lệ tái đầu tư và lợi nhuận trên vốn, mặc dù những thay đổi trong lợi nhuận trên vốn của các tài sản hiện hữu có thể tạo ra thêm một tác động bổ sung.</w:t>
      </w:r>
    </w:p>
    <w:p>
      <w:bookmarkStart w:id="5039" w:name="Expectedgrowthrate_Reinvestmentr"/>
      <w:pPr>
        <w:keepNext/>
        <w:pStyle w:val="Para 09"/>
        <w:keepLines w:val="on"/>
      </w:pPr>
      <w:r>
        <w:t>Tốcđộtăngtrưởngkỳvọng=Tỷlệtáiđầutư×Lợinhuậntrênvốnđầutư</w:t>
      </w:r>
      <w:bookmarkEnd w:id="5039"/>
    </w:p>
    <w:p>
      <w:pPr>
        <w:pStyle w:val="Para 03"/>
      </w:pPr>
      <w:r>
        <w:t>Khi ước tính tỷ lệ tái đầu tư và lợi nhuận trên vốn cho các doanh nghiệp tư nhân, chúng ta có thể xem xét cả lịch sử của chính các doanh nghiệp này lẫn mức trung bình ngành của các công ty niêm yết công khai trong cùng lĩnh vực kinh doanh.</w:t>
      </w:r>
    </w:p>
    <w:p>
      <w:pPr>
        <w:pStyle w:val="Para 11"/>
      </w:pPr>
      <w:r>
        <w:t xml:space="preserve"> </w:t>
      </w:r>
    </w:p>
    <w:p>
      <w:bookmarkStart w:id="5040" w:name="ILLUSTRATION_24_8___Estimating_G"/>
      <w:bookmarkStart w:id="5041" w:name="ILLUSTRATION_24_8___Estimating_G_1"/>
      <w:pPr>
        <w:keepNext/>
        <w:pStyle w:val="Para 86"/>
        <w:keepLines w:val="on"/>
      </w:pPr>
      <w:r>
        <w:t>MINH HỌA 24.8: Ước tính tăng trưởng</w:t>
      </w:r>
      <w:bookmarkEnd w:id="5040"/>
      <w:bookmarkEnd w:id="5041"/>
    </w:p>
    <w:p>
      <w:pPr>
        <w:pStyle w:val="Para 04"/>
        <w:keepLines w:val="on"/>
      </w:pPr>
      <w:r>
        <w:t>Quá trình ước tính tăng trưởng diễn ra khác nhau đối với hai doanh nghiệp được xem xét trong chương này. Với Chez Pierre, chúng ta đang nhìn vào một nhà hàng được điều hành tốt, đang hoạt động gần hết công suất và khó có thể tăng trưởng với tốc độ cao hơn tỷ lệ lạm phát. Do đó, chúng ta sẽ giả định tốc độ tăng trưởng 2% theo giá trị danh nghĩa trong 12 năm tới, tức là thời hạn thuê còn lại. Vào cuối năm thứ 12, chúng ta giả định rằng doanh nghiệp sẽ được thanh lý. Vì chúng ta đang giả định một vòng đời hữu hạn và không có tăng trưởng thực, chúng ta cũng giả định tỷ lệ tái đầu tư bằng không cho doanh nghiệp này.</w:t>
      </w:r>
    </w:p>
    <w:p>
      <w:pPr>
        <w:pStyle w:val="Para 04"/>
        <w:keepLines w:val="on"/>
      </w:pPr>
      <w:r>
        <w:t>Để ước tính tốc độ tăng trưởng tại InfoSoft, chúng ta đi theo một lộ trình thông thường hơn. Đầu tiên, chúng ta ước tính lợi nhuận mà doanh nghiệp kiếm được trên vốn đã đầu tư hiện tại, bằng cách chia thu nhập hoạt động sau thuế của năm gần nhất cho giá trị sổ sách của vốn đã đầu tư3 vào đầu năm. Chúng ta sử dụng thu nhập hoạt động từ Minh họa 24.7 và thuế suất biên 40%.</w:t>
      </w:r>
    </w:p>
    <w:p>
      <w:pPr>
        <w:pStyle w:val="Para 40"/>
        <w:keepLines w:val="on"/>
      </w:pPr>
      <w:r>
        <w:rPr>
          <w:rStyle w:val="Text26"/>
        </w:rPr>
        <w:bookmarkStart w:id="5044" w:name="Page_772"/>
        <w:t/>
        <w:bookmarkEnd w:id="5044"/>
      </w:r>
      <w:r>
        <w:t xml:space="preserve"> </w:t>
      </w:r>
    </w:p>
    <w:p>
      <w:bookmarkStart w:id="5045" w:name="Returnoninvestedcapital_Operatin"/>
      <w:pPr>
        <w:keepNext/>
        <w:pStyle w:val="Para 07"/>
        <w:keepLines w:val="on"/>
      </w:pPr>
      <w:r>
        <w:t>Lợinhuậntrênvốnđầutư=Thu nhập hoạt động 1−thuế suấtBV của nợNăm trước+BV của vốn chủ sở hữuNăm trước−Tiền mặtNăm trước=1500 1−.400+5000−500=20,00%</w:t>
      </w:r>
      <w:bookmarkEnd w:id="5045"/>
    </w:p>
    <w:p>
      <w:pPr>
        <w:pStyle w:val="Para 04"/>
        <w:keepLines w:val="on"/>
      </w:pPr>
      <w:r>
        <w:t>Sau đó, chúng ta ước tính tỷ lệ tái đầu tư của InfoSoft bằng cách chia khoản tái đầu tư (vào chi tiêu vốn và vốn lưu động) trong năm gần nhất cho thu nhập hoạt động sau thuế. Với việc doanh nghiệp báo cáo chi tiêu vốn là 960.000 đô la, khấu hao là 200.000 đô la, và mức tăng vốn lưu động phi tiền mặt từ 100.000 đô la lên 150.000 đô la, chúng ta ước tính tỷ lệ tái đầu tư là:</w:t>
      </w:r>
    </w:p>
    <w:p>
      <w:bookmarkStart w:id="5046" w:name="Reinvestmentrate_Cap_ex___Deprec"/>
      <w:pPr>
        <w:keepNext/>
        <w:pStyle w:val="Para 07"/>
        <w:keepLines w:val="on"/>
      </w:pPr>
      <w:r>
        <w:t>Tỷlệtáiđầutư=Chi tiêu vốn−Khấu hao+Thay đổi trong vốn lưu độngEBIT 1−t=960−200+501500 1−.4=90%</w:t>
      </w:r>
      <w:bookmarkEnd w:id="5046"/>
    </w:p>
    <w:p>
      <w:pPr>
        <w:pStyle w:val="Para 04"/>
        <w:keepLines w:val="on"/>
      </w:pPr>
      <w:r>
        <w:t>Tốc độ tăng trưởng kỳ vọng của thu nhập hoạt động tại InfoSoft trong tương lai trước mắt giả định rằng lợi nhuận trên vốn và tỷ lệ tái đầu tư sẽ không thay đổi trong năm năm tới.</w:t>
      </w:r>
    </w:p>
    <w:p>
      <w:bookmarkStart w:id="5047" w:name="Expectedgrowthrate_20_x_90_18"/>
      <w:pPr>
        <w:keepNext/>
        <w:pStyle w:val="Para 07"/>
        <w:keepLines w:val="on"/>
      </w:pPr>
      <w:r>
        <w:t>Tốcđộtăngtrưởngkỳvọng=20%×.90=18%</w:t>
      </w:r>
      <w:bookmarkEnd w:id="5047"/>
    </w:p>
    <w:p>
      <w:pPr>
        <w:pStyle w:val="Para 04"/>
        <w:keepLines w:val="on"/>
      </w:pPr>
      <w:r>
        <w:t>Nếu chúng ta kỳ vọng lợi nhuận trên vốn hoặc tỷ lệ tái đầu tư sẽ thay đổi theo thời gian, chúng ta đã phản ánh những thay đổi đó vào tốc độ tăng trưởng này.</w:t>
      </w:r>
    </w:p>
    <w:p>
      <w:bookmarkStart w:id="5048" w:name="Persistence_of_Growth__In_valuin"/>
      <w:bookmarkStart w:id="5049" w:name="Persistence_of_Growth"/>
      <w:pPr>
        <w:keepNext/>
        <w:pStyle w:val="Heading 4"/>
        <w:keepLines w:val="on"/>
      </w:pPr>
      <w:r>
        <w:t>Sự bền vững của tăng trưởng</w:t>
      </w:r>
      <w:bookmarkEnd w:id="5048"/>
      <w:bookmarkEnd w:id="5049"/>
    </w:p>
    <w:p>
      <w:pPr>
        <w:pStyle w:val="Para 03"/>
      </w:pPr>
      <w:r>
        <w:t>Khi định giá các doanh nghiệp niêm yết công khai, chúng ta thường giả định vòng đời vô hạn, dù chúng ta có tính đến rủi ro rằng doanh nghiệp sẽ không tồn tại được. Với doanh nghiệp tư nhân, giả định về vòng đời vĩnh viễn phải được đưa ra một cách thận trọng hơn nhiều. Khác với các doanh nghiệp niêm yết công khai, nơi việc chuyển giao từ một CEO này sang một CEO khác là chuyện bình thường, việc chuyển giao phức tạp hơn nhiều ở một doanh nghiệp tư nhân, nơi chủ sở hữu-người quản lý thường tìm người kế nhiệm trong thế hệ tiếp theo của gia đình mình — một quá trình không phải lúc nào cũng thành công.</w:t>
      </w:r>
    </w:p>
    <w:p>
      <w:pPr>
        <w:pStyle w:val="Para 03"/>
      </w:pPr>
      <w:r>
        <w:t>Những hàm ý cho việc định giá là gì? Một là giá trị cuối kỳ (terminal value) của một doanh nghiệp tư nhân sẽ thấp hơn giá trị cuối kỳ của một doanh nghiệp niêm yết công khai. Thực vậy, nếu chúng ta giả định rằng doanh nghiệp sẽ ngừng hoạt động vào một thời điểm nào đó trong tương lai — chẳng hạn khi chủ sở hữu hiện tại nghỉ hưu — chúng ta sẽ dùng giá trị thanh lý của tài sản làm giá trị cuối kỳ. Nói chung, giá trị thanh lý thấp hơn giá trị của hoạt động kinh doanh tiếp diễn. Hàm ý còn lại là những doanh nghiệp tư nhân mà chủ sở hữu có kế hoạch chuyển giao cho thế hệ tiếp theo sẽ có giá trị cao hơn những doanh nghiệp tư nhân không có những sắp xếp này.</w:t>
      </w:r>
    </w:p>
    <w:p>
      <w:pPr>
        <w:pStyle w:val="Para 03"/>
      </w:pPr>
      <w:r>
        <w:t>Một số công ty tư nhân, đặc biệt khi họ phát triển lớn hơn, trông giống các công ty đại chúng ở chỗ có đội ngũ quản lý chuyên nghiệp. Với những công ty này, giả định tăng trưởng vô hạn mà ta dùng cho các công ty đại chúng vẫn có thể duy trì được.</w:t>
      </w:r>
    </w:p>
    <w:p>
      <w:pPr>
        <w:pStyle w:val="Para 11"/>
      </w:pPr>
      <w:r>
        <w:t xml:space="preserve"> </w:t>
      </w:r>
    </w:p>
    <w:p>
      <w:bookmarkStart w:id="5050" w:name="ILLUSTRATION_24_9___Closure_in_V_1"/>
      <w:bookmarkStart w:id="5051" w:name="ILLUSTRATION_24_9___Closure_in_V"/>
      <w:pPr>
        <w:keepNext/>
        <w:pStyle w:val="Para 19"/>
        <w:keepLines w:val="on"/>
      </w:pPr>
      <w:r>
        <w:t>MINH HỌA 24.9: Chấm dứt hoạt động trong định giá và giá trị cuối kỳ</w:t>
      </w:r>
      <w:bookmarkEnd w:id="5050"/>
      <w:bookmarkEnd w:id="5051"/>
    </w:p>
    <w:p>
      <w:pPr>
        <w:pStyle w:val="Para 04"/>
        <w:keepLines w:val="on"/>
      </w:pPr>
      <w:r>
        <w:t>Như đã đề cập trước đó, ta giả định Chez Pierre có vòng đời 12 năm. Khi hợp đồng thuê kết thúc, ta giả định nhà hàng sẽ đóng cửa và tài sản sẽ được thanh lý theo giá trị sổ sách là 500.000 đô la.</w:t>
      </w:r>
    </w:p>
    <w:p>
      <w:pPr>
        <w:pStyle w:val="Para 04"/>
        <w:keepLines w:val="on"/>
      </w:pPr>
      <w:r>
        <w:t>Với InfoSoft, ta giả định đây là một công ty đại chúng đang tăng trưởng khỏe mạnh, dựa trên các dự phóng của ta trong 10 năm tới. Công ty sẽ có giá trị cao hơn nếu dựa trên hoạt động kinh doanh tiếp diễn so với giá trị thanh lý. Do đó, ta giả định tốc độ tăng trưởng kỳ vọng là 3% sau năm thứ 10 đối với công ty. Khi công ty trở nên lớn hơn, việc duy trì tỷ suất sinh lợi trên vốn hiện tại là 20% sẽ ngày càng khó khăn. Ta giả định tỷ suất sinh lợi trên vốn sẽ giảm xuống còn 12% sau năm thứ 10. Hai giả định này cho ra tỷ lệ tái đầu tư là 25% sau năm thứ 10.</w:t>
      </w:r>
    </w:p>
    <w:p>
      <w:bookmarkStart w:id="5054" w:name="Reinvestmentrate_Stable_growth_r"/>
      <w:pPr>
        <w:keepNext/>
        <w:pStyle w:val="Para 07"/>
        <w:keepLines w:val="on"/>
      </w:pPr>
      <w:r>
        <w:t>Tỷ lệ tái đầu tư=Tốc độ tăng trưởng ổn địnhROIC ổn định=3%12%=25%</w:t>
      </w:r>
      <w:bookmarkEnd w:id="5054"/>
    </w:p>
    <w:p>
      <w:pPr>
        <w:pStyle w:val="Para 04"/>
        <w:keepLines w:val="on"/>
      </w:pPr>
      <w:r>
        <w:t>Ta cũng giả định beta của InfoSoft sẽ giảm xuống còn 1,20 sau năm thứ 10, và công ty sẽ sử dụng một phần năng lực vay nợ của mình (tỷ lệ nợ sẽ tăng từ 0% lên 10% và chi phí nợ sẽ là 5%). Chi phí vốn chủ sở hữu và chi phí vốn kết quả được ước tính ở đây:</w:t>
      </w:r>
    </w:p>
    <w:p>
      <w:bookmarkStart w:id="5055" w:name="Cost_of_equity_3_5__1_2x_5___9_5"/>
      <w:pPr>
        <w:keepNext/>
        <w:pStyle w:val="Para 07"/>
        <w:keepLines w:val="on"/>
      </w:pPr>
      <w:r>
        <w:t>Chi phí vốn chủ sở hữu=3,5%+1,2×(5%)=9,5%Chi phí nợ sau thuế=5%×(1−,40)=3%Chi phí vốn=9,5%×(.9)+3%×(.1)=8,85%</w:t>
      </w:r>
      <w:bookmarkEnd w:id="5055"/>
    </w:p>
    <w:p>
      <w:bookmarkStart w:id="5056" w:name="_Key_Person__Effect_on_Value__Yo"/>
      <w:bookmarkStart w:id="5057" w:name="_Key_Person__Effect_on_Value"/>
      <w:pPr>
        <w:keepNext/>
        <w:pStyle w:val="Heading 3"/>
        <w:keepLines w:val="on"/>
      </w:pPr>
      <w:r>
        <w:t>Ảnh hưởng của “Người chủ chốt” lên giá trị</w:t>
      </w:r>
      <w:bookmarkEnd w:id="5056"/>
      <w:bookmarkEnd w:id="5057"/>
    </w:p>
    <w:p>
      <w:pPr>
        <w:pStyle w:val="Para 03"/>
      </w:pPr>
      <w:r>
        <w:t>Các công ty non trẻ, đặc biệt trong ngành dịch vụ, thường phụ thuộc vào chủ sở hữu hoặc một vài người chủ chốt để thành công. Dù ta thường nghĩ người chủ chốt là những người đứng đầu tổ chức (tức là các nhà quản lý cấp cao và người sáng lập), vai trò của họ có thể khác nhau ở các doanh nghiệp khác nhau, như thể hiện trong Hình 24.1.</w:t>
      </w:r>
    </w:p>
    <w:p>
      <w:bookmarkStart w:id="5059" w:name="Figure_24_1_Key_Person_Value_Eff"/>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1651000"/>
            <wp:effectExtent l="0" r="0" t="0" b="0"/>
            <wp:wrapTopAndBottom/>
            <wp:docPr id="222" name="c24f001.png" descr="Flowchart depicts value of firm with status quo and without key persons from management, sales, spokesperson, design, production, finance."/>
            <wp:cNvGraphicFramePr>
              <a:graphicFrameLocks noChangeAspect="1"/>
            </wp:cNvGraphicFramePr>
            <a:graphic>
              <a:graphicData uri="http://schemas.openxmlformats.org/drawingml/2006/picture">
                <pic:pic>
                  <pic:nvPicPr>
                    <pic:cNvPr id="0" name="c24f001.png" descr="Flowchart depicts value of firm with status quo and without key persons from management, sales, spokesperson, design, production, finance."/>
                    <pic:cNvPicPr/>
                  </pic:nvPicPr>
                  <pic:blipFill>
                    <a:blip r:embed="rId158"/>
                    <a:stretch>
                      <a:fillRect/>
                    </a:stretch>
                  </pic:blipFill>
                  <pic:spPr>
                    <a:xfrm>
                      <a:off x="0" y="0"/>
                      <a:ext cx="2451100" cy="1651000"/>
                    </a:xfrm>
                    <a:prstGeom prst="rect">
                      <a:avLst/>
                    </a:prstGeom>
                  </pic:spPr>
                </pic:pic>
              </a:graphicData>
            </a:graphic>
          </wp:anchor>
        </w:drawing>
      </w:r>
      <w:bookmarkEnd w:id="5059"/>
    </w:p>
    <w:p>
      <w:pPr>
        <w:keepNext/>
        <w:pStyle w:val="Para 22"/>
        <w:keepLines w:val="on"/>
      </w:pPr>
      <w:r>
        <w:t>Hình 24.1 Ảnh hưởng giá trị của người chủ chốt</w:t>
      </w:r>
    </w:p>
    <w:p>
      <w:pPr>
        <w:pStyle w:val="Para 03"/>
      </w:pPr>
      <w:r>
        <w:t>Do đó, giá trị mà ta ước tính cho những doanh nghiệp này có thể thay đổi đáng kể nếu một hoặc nhiều người chủ chốt không còn gắn bó với công ty nữa. Để đánh giá mức chiết khấu dành cho người chủ chốt trong định giá, ta đề xuất trước tiên định giá công ty theo hiện trạng (với những người chủ chốt vẫn tham gia vào doanh nghiệp), rồi định giá lại với việc mất đi những cá nhân này được đưa vào doanh thu, lợi nhuận và dòng tiền kỳ vọng. Trong chừng mực lợi nhuận và dòng tiền bị tổn hại khi người chủ chốt rời đi, giá trị doanh nghiệp sẽ thấp hơn khi mất đi những cá nhân này, và ảnh hưởng có thể thể hiện ở từng yếu tố dẫn dắt giá trị, và Hình 24.1 minh họa những ảnh hưởng này. Để định giá một hoặc nhiều người chủ chốt, bạn nên định giá công ty hai lần, một lần theo hiện trạng (với những người chủ chốt tiếp tục làm việc cho công ty) và một lần không có họ, từ đó dẫn đến ảnh hưởng của người chủ chốt:</w:t>
      </w:r>
    </w:p>
    <w:p>
      <w:bookmarkStart w:id="5061" w:name="Keypersonvalueeffect__Valueoffir"/>
      <w:pPr>
        <w:keepNext/>
        <w:pStyle w:val="Para 09"/>
        <w:keepLines w:val="on"/>
      </w:pPr>
      <w:r>
        <w:t>Ảnh hưởng giá trị của người chủ chốt$=Giá trị công ty theo hiện trạng−Giá trị công ty không có người chủ chốt</w:t>
      </w:r>
      <w:bookmarkEnd w:id="5061"/>
    </w:p>
    <w:p>
      <w:pPr>
        <w:pStyle w:val="Para 03"/>
      </w:pPr>
      <w:r>
        <w:t>Theo tỷ lệ phần trăm, ảnh hưởng của người chủ chốt có thể được diễn đạt như một phần trăm của giá trị theo hiện trạng:</w:t>
      </w:r>
    </w:p>
    <w:p>
      <w:bookmarkStart w:id="5062" w:name="Keypersonvalueeffect__Value_of_f"/>
      <w:pPr>
        <w:keepNext/>
        <w:pStyle w:val="Para 09"/>
        <w:keepLines w:val="on"/>
      </w:pPr>
      <w:r>
        <w:t>Ảnh hưởng giá trị của người chủ chốt%=Giá trị công ty theo hiện trạng–Giá trị công ty không có người chủ chốt Giá trị công ty theo hiện trạng</w:t>
      </w:r>
      <w:bookmarkEnd w:id="5062"/>
    </w:p>
    <w:p>
      <w:pPr>
        <w:pStyle w:val="Para 03"/>
      </w:pPr>
      <w:r>
        <w:t>Để minh họa, giả sử bạn đang định giá một nhà hàng đang được rao bán bởi vị đầu bếp/chủ sở hữu nổi tiếng của nó. Giả sử nhà hàng tạo ra 1 triệu đô la dòng tiền sau thuế trong năm ngoái, có tốc độ tăng trưởng kỳ vọng là 2 phần trăm và chi phí vốn là 12 phần trăm. Giá trị của nhà hàng sẽ là 10 triệu đô la, dựa trên những dữ liệu đầu vào này:</w:t>
      </w:r>
    </w:p>
    <w:p>
      <w:bookmarkStart w:id="5063" w:name="Valueofrestaturantstatusquo_Expe"/>
      <w:pPr>
        <w:keepNext/>
        <w:pStyle w:val="Para 09"/>
        <w:keepLines w:val="on"/>
      </w:pPr>
      <w:r>
        <w:t>Giá trị nhà hàng theo hiện trạng=FCFF kỳ vọng năm sauChi phí vốn−Tốc độ tăng trưởng=1.000.000 1,02,12−,02=$10.200.000</w:t>
      </w:r>
      <w:bookmarkEnd w:id="5063"/>
    </w:p>
    <w:p>
      <w:pPr>
        <w:pStyle w:val="Para 03"/>
      </w:pPr>
      <w:r>
        <w:t>Tuy nhiên, có khả năng một phần doanh thu/dòng tiền từ nhà hàng này có thể được quy cho vị đầu bếp và việc ông ấy ra đi sẽ khiến dòng tiền sụt giảm. Giả sử với tư cách người mua tiềm năng, bạn khảo sát khách hàng trong nhà hàng và nhận ra rằng sẽ có mức sụt giảm 20 phần trăm dòng tiền nếu vị đầu bếp hiện tại rời đi. Giá trị của nhà hàng khi không có người chủ chốt sẽ thấp hơn:</w:t>
      </w:r>
    </w:p>
    <w:p>
      <w:bookmarkStart w:id="5064" w:name="Valueofrestaturantnokeyperson_s"/>
      <w:pPr>
        <w:keepNext/>
        <w:pStyle w:val="Para 09"/>
        <w:keepLines w:val="on"/>
      </w:pPr>
      <w:r>
        <w:t>Giá trị nhà hàng không có người chủ chốt(s)=800.000 1,02,12−,02=$8.160.000</w:t>
      </w:r>
      <w:bookmarkEnd w:id="5064"/>
    </w:p>
    <w:p>
      <w:bookmarkStart w:id="5065" w:name="Keypersonvalueeffect__10_200_000"/>
      <w:pPr>
        <w:keepNext/>
        <w:pStyle w:val="Para 09"/>
        <w:keepLines w:val="on"/>
      </w:pPr>
      <w:r>
        <w:t>Ảnh hưởng giá trị của người chủ chốt%=10.200.000 – 8.160.000 10.200.000=20%</w:t>
      </w:r>
      <w:bookmarkEnd w:id="5065"/>
    </w:p>
    <w:p>
      <w:pPr>
        <w:pStyle w:val="Para 03"/>
      </w:pPr>
      <w:r>
        <w:t>Khoản mất mát này tương ứng với mức sụt giảm dòng tiền, nhưng trong chừng mực ảnh hưởng nằm ở doanh thu, biên lợi nhuận và rủi ro, thì ảnh hưởng lên giá trị có thể không tương xứng. Mức sụt giảm giá trị sẽ lớn hơn nhiều nếu có khả năng vị đầu bếp có thể mở một nhà hàng cạnh tranh mới. Với tư cách người bán tiềm năng, vị đầu bếp có thể giảm bớt tổn thất của mình bằng cách ký một thỏa thuận pháp lý không cạnh tranh hoặc đề nghị ở lại làm đầu bếp trong một giai đoạn chuyển tiếp.</w:t>
      </w:r>
    </w:p>
    <w:p>
      <w:pPr>
        <w:pStyle w:val="Para 03"/>
      </w:pPr>
      <w:r>
        <w:t>Ngay cả với những công ty lớn hơn, đại chúng, việc mất đi nhân sự chủ chốt cũng có thể tác động đáng kể đến giá trị. Thực tế, câu hỏi một Elon Musk làm tăng (hoặc làm giảm) bao nhiêu giá trị của Tesla trong năm 2024 đã được thảo luận rộng rãi.</w:t>
      </w:r>
    </w:p>
    <w:p>
      <w:pPr>
        <w:pStyle w:val="Para 20"/>
      </w:pPr>
      <w:r>
        <w:rPr>
          <w:rStyle w:val="Text26"/>
        </w:rPr>
        <w:bookmarkStart w:id="5066" w:name="Page_775"/>
        <w:t/>
        <w:bookmarkEnd w:id="5066"/>
      </w:r>
      <w:r>
        <w:t xml:space="preserve"> </w:t>
      </w:r>
    </w:p>
    <w:p>
      <w:bookmarkStart w:id="5067" w:name="llliquidity_Discounts__When_you"/>
      <w:bookmarkStart w:id="5068" w:name="llliquidity_Discounts"/>
      <w:pPr>
        <w:keepNext/>
        <w:pStyle w:val="Heading 3"/>
        <w:keepLines w:val="on"/>
      </w:pPr>
      <w:r>
        <w:t>Chiết khấu thanh khoản</w:t>
      </w:r>
      <w:bookmarkEnd w:id="5067"/>
      <w:bookmarkEnd w:id="5068"/>
    </w:p>
    <w:p>
      <w:pPr>
        <w:pStyle w:val="Para 03"/>
      </w:pPr>
      <w:r>
        <w:t>Khi bạn nắm giữ một vị thế vốn chủ sở hữu trong một tổ chức, bạn thường muốn có quyền lựa chọn thanh lý vị thế đó nếu cần. Nhu cầu thanh khoản phát sinh không chỉ vì lý do dòng tiền mà còn vì bạn có thể muốn thay đổi danh mục đầu tư của mình. Với các công ty đại chúng, việc thanh lý rất đơn giản và thường có chi phí thấp—chi phí giao dịch cho các cổ phiếu có tính thanh khoản cao chỉ chiếm một phần trăm nhỏ của giá trị. Với vốn chủ sở hữu trong một doanh nghiệp tư nhân, chi phí thanh lý tính theo phần trăm giá trị doanh nghiệp có thể rất lớn. Do đó, giá trị vốn chủ sở hữu trong một doanh nghiệp tư nhân có thể cần được chiết khấu vì khả năng kém thanh khoản tiềm tàng này. Phần này sẽ xem xét các yếu tố quyết định mức chiết khấu này và cách ước tính nó tốt nhất.</w:t>
      </w:r>
    </w:p>
    <w:p>
      <w:bookmarkStart w:id="5069" w:name="Determinants_of_Illiquidity_Disc"/>
      <w:bookmarkStart w:id="5070" w:name="Determinants_of_Illiquidity_Disc_1"/>
      <w:pPr>
        <w:keepNext/>
        <w:pStyle w:val="Heading 4"/>
        <w:keepLines w:val="on"/>
      </w:pPr>
      <w:r>
        <w:t>Các yếu tố quyết định chiết khấu kém thanh khoản</w:t>
      </w:r>
      <w:bookmarkEnd w:id="5069"/>
      <w:bookmarkEnd w:id="5070"/>
    </w:p>
    <w:p>
      <w:pPr>
        <w:pStyle w:val="Para 03"/>
      </w:pPr>
      <w:r>
        <w:t>Chiết khấu kém thanh khoản có khả năng khác nhau giữa các công ty và người mua, khiến các quy tắc kinh nghiệm trở nên vô dụng. Hãy cùng xem xét bốn yếu tố có thể khiến mức chiết khấu khác nhau giữa các công ty:</w:t>
      </w:r>
    </w:p>
    <w:p>
      <w:pPr>
        <w:numPr>
          <w:ilvl w:val="0"/>
          <w:numId w:val="262"/>
        </w:numPr>
        <w:pStyle w:val="Para 01"/>
      </w:pPr>
      <w:r>
        <w:t>Tính thanh khoản của các tài sản mà công ty sở hữu. Việc một công ty tư nhân khó bán có thể trở nên không còn quan trọng nếu tài sản của nó có tính thanh khoản cao và có thể bán mà không bị mất giá đáng kể. Một công ty tư nhân nắm giữ nhiều tiền mặt và chứng khoán có thể bán được nên có mức chiết khấu kém thanh khoản (illiquidity discount) thấp hơn so với một công ty có nhà máy hoặc các tài sản khác mà tương đối ít người mua.</w:t>
      </w:r>
    </w:p>
    <w:p>
      <w:pPr>
        <w:numPr>
          <w:ilvl w:val="0"/>
          <w:numId w:val="262"/>
        </w:numPr>
        <w:pStyle w:val="Para 01"/>
      </w:pPr>
      <w:r>
        <w:t>Sức khỏe tài chính và dòng tiền của công ty. Một công ty tư nhân có sức khỏe tài chính tốt sẽ dễ bán hơn một công ty không khỏe mạnh. Cụ thể, một công ty có lợi nhuận vững chắc và dòng tiền dương nên chịu mức chiết khấu kém thanh khoản nhỏ hơn so với một công ty có thu nhập và dòng tiền âm.</w:t>
      </w:r>
    </w:p>
    <w:p>
      <w:pPr>
        <w:numPr>
          <w:ilvl w:val="0"/>
          <w:numId w:val="262"/>
        </w:numPr>
        <w:pStyle w:val="Para 01"/>
      </w:pPr>
      <w:r>
        <w:t>Khả năng niêm yết công khai trong tương lai. Khả năng một công ty tư nhân có thể niêm yết công khai trong tương lai càng lớn thì mức chiết khấu kém thanh khoản gắn với giá trị của nó càng thấp. Thực chất, xác suất niêm yết công khai đã được đưa vào định giá của công ty tư nhân. Để minh họa, chủ sở hữu một công ty thương mại điện tử tư nhân vào năm 1998 hoặc 1999 hầu như không cần áp dụng mức chiết khấu kém thanh khoản nào cho giá trị công ty mình, nếu có, bởi vì những năm đó các công ty này rất dễ được đưa lên sàn.</w:t>
      </w:r>
    </w:p>
    <w:p>
      <w:pPr>
        <w:numPr>
          <w:ilvl w:val="0"/>
          <w:numId w:val="262"/>
        </w:numPr>
        <w:pStyle w:val="Para 01"/>
      </w:pPr>
      <w:r>
        <w:t>Quy mô của công ty. Nếu chúng ta biểu thị mức chiết khấu kém thanh khoản dưới dạng phần trăm giá trị của công ty, thì nó sẽ nhỏ dần khi quy mô công ty tăng lên. Nói cách khác, mức chiết khấu kém thanh khoản tính theo phần trăm giá trị công ty nên nhỏ hơn đối với các công ty tư nhân như Cargill và Koch Industries, những công ty trị giá hàng tỷ đô la, so với một công ty nhỏ trị giá 15 triệu đô la.</w:t>
      </w:r>
    </w:p>
    <w:p>
      <w:pPr>
        <w:pStyle w:val="Para 03"/>
      </w:pPr>
      <w:r>
        <w:t>Mức chiết khấu kém thanh khoản cũng có khả năng khác nhau tùy theo người mua tiềm năng, vì mong muốn về thanh khoản thay đổi theo từng cá nhân. Có khả năng những người mua dài hạn có túi tiền sâu và thấy ít hoặc không cần phải chuyển đổi vị thế cổ phần của mình thành tiền sẽ gắn mức chiết khấu kém thanh khoản thấp hơn nhiều cho giá trị của các công ty tương tự so với những người mua ngắn hạn có biên an toàn ít hơn.</w:t>
      </w:r>
    </w:p>
    <w:p>
      <w:bookmarkStart w:id="5071" w:name="Empirical_Evidence_and_Typical_P"/>
      <w:bookmarkStart w:id="5072" w:name="Empirical_Evidence_and_Typical_P_1"/>
      <w:pPr>
        <w:keepNext/>
        <w:pStyle w:val="Heading 4"/>
        <w:keepLines w:val="on"/>
      </w:pPr>
      <w:r>
        <w:t>Bằng chứng thực nghiệm và thực tiễn điển hình</w:t>
      </w:r>
      <w:bookmarkEnd w:id="5071"/>
      <w:bookmarkEnd w:id="5072"/>
    </w:p>
    <w:p>
      <w:pPr>
        <w:pStyle w:val="Para 03"/>
      </w:pPr>
      <w:r>
        <w:t>Mức chiết khấu kém thanh khoản gắn với định giá công ty tư nhân lớn đến mức nào? Đây là một câu hỏi rất khó trả lời bằng thực nghiệm vì bản thân mức chiết khấu không thể quan sát được. Ngay cả khi chúng ta có thể có được các điều khoản của tất cả các giao dịch công ty tư nhân, hãy lưu ý rằng những gì được báo cáo là mức giá mà các công ty tư nhân được mua và bán. Giá trị của những công ty này không được báo cáo, và mức chiết khấu kém thanh khoản chính là chênh lệch giữa giá trị và giá cả.</w:t>
      </w:r>
    </w:p>
    <w:p>
      <w:pPr>
        <w:pStyle w:val="Para 03"/>
      </w:pPr>
      <w:r>
        <w:t>Trên thực tế, phần lớn bằng chứng về chiết khấu kém thanh khoản đến từ việc xem xét cổ phiếu hạn chế (restricted stock) tại các công ty đại chúng. Chứng khoán hạn chế là chứng khoán do một công ty đại chúng phát hành nhưng không đăng ký với SEC, có thể được bán thông qua chào bán riêng lẻ cho nhà đầu tư nhưng không thể bán lại trên thị trường mở trong thời gian nắm giữ một năm, và sau đó chỉ được bán với khối lượng hạn chế. Khi cổ phiếu này được phát hành, giá phát hành được đặt thấp hơn nhiều so với giá thị trường hiện hành, và phần chênh lệch được coi là chiết khấu cho tính kém thanh khoản. Kết quả của ba nghiên cứu đã xem xét độ lớn của mức chiết khấu này được liệt kê ở đây:</w:t>
      </w:r>
    </w:p>
    <w:p>
      <w:pPr>
        <w:numPr>
          <w:ilvl w:val="0"/>
          <w:numId w:val="263"/>
        </w:numPr>
        <w:pStyle w:val="Para 01"/>
      </w:pPr>
      <w:r>
        <w:t>Maher (1976) đã xem xét các giao dịch mua cổ phiếu hạn chế của bốn quỹ tương hỗ trong giai đoạn 1969–1973 và kết luận rằng chúng được giao dịch với mức chiết khấu trung bình là 35,43 phần trăm so với cổ phiếu đại chúng của cùng các công ty đó.</w:t>
      </w:r>
    </w:p>
    <w:p>
      <w:pPr>
        <w:numPr>
          <w:ilvl w:val="0"/>
          <w:numId w:val="263"/>
        </w:numPr>
        <w:pStyle w:val="Para 01"/>
      </w:pPr>
      <w:r>
        <w:t>Moroney (1973) báo cáo mức chiết khấu trung bình là 35 phần trăm cho các thương vụ mua lại 146 đợt phát hành cổ phiếu hạn chế của 10 công ty đầu tư, sử dụng dữ liệu từ năm 1970.</w:t>
      </w:r>
    </w:p>
    <w:p>
      <w:pPr>
        <w:numPr>
          <w:ilvl w:val="0"/>
          <w:numId w:val="263"/>
        </w:numPr>
        <w:pStyle w:val="Para 01"/>
      </w:pPr>
      <w:r>
        <w:t>Silber (1991) đã xem xét các đợt phát hành cổ phiếu hạn chế từ năm 1984 đến 1989 và phát hiện rằng mức chiết khấu trung vị cho cổ phiếu hạn chế là 33,75 phần trăm.</w:t>
      </w:r>
    </w:p>
    <w:p>
      <w:pPr>
        <w:pStyle w:val="Para 03"/>
      </w:pPr>
      <w:r>
        <w:t>Tóm lại, dường như có một mức chiết khấu đáng kể được gắn vào, ít nhất là tính trung bình, khi một khoản đầu tư không có tính thanh khoản. Phần lớn thực tiễn ước tính chiết khấu kém thanh khoản dường như dựa trên những mức trung bình này. Ví dụ, các quy tắc kinh nghiệm thường đặt mức chiết khấu kém thanh khoản ở mức 20–30 phần trăm giá trị ước tính, và dường như có rất ít hoặc không có sự khác biệt giữa các công ty.</w:t>
      </w:r>
    </w:p>
    <w:p>
      <w:pPr>
        <w:pStyle w:val="Para 03"/>
      </w:pPr>
      <w:r>
        <w:t>Silber (1991) cũng đã xem xét các yếu tố giải thích sự khác biệt về chiết khấu giữa các cổ phiếu hạn chế khác nhau bằng cách liên hệ độ lớn của mức chiết khấu với các đặc điểm quan sát được của công ty, bao gồm doanh thu và quy mô của đợt chào bán cổ phiếu hạn chế. Ông đã báo cáo mô hình hồi quy sau:</w:t>
      </w:r>
    </w:p>
    <w:p>
      <w:bookmarkStart w:id="5074" w:name="ln____RPRS__4_33_0_036_ln____REV"/>
      <w:pPr>
        <w:keepNext/>
        <w:pStyle w:val="Para 09"/>
        <w:keepLines w:val="on"/>
      </w:pPr>
      <w:r>
        <w:t>ln⁡(RPRS)=4,33+0,036 ln⁡(REV)−0,142 ln⁡(RBRT)+0,174 DERN+0,332 DCUST</w:t>
      </w:r>
      <w:bookmarkEnd w:id="5074"/>
    </w:p>
    <w:p>
      <w:bookmarkStart w:id="5075" w:name="where_____RPRS_Restricted_stock"/>
      <w:pPr>
        <w:pStyle w:val="Para 39"/>
      </w:pPr>
      <w:r>
        <w:t>trong đó     RPRS=Giá cổ phiếu hạn chế/Giá cổ phiếu không hạn chế=1−Chiết khấu kém thanh khoảnREV=Doanh thu của công ty tư nhân (tính bằng triệu đô la)RBRT=Khối lượng hạn chế so với tổng cổ phiếu phổ thông tính theo %DERN=1 nếu thu nhập dương; 0 nếu thu nhập âmDCUST=1 nếu có quan hệ khách hàng với nhà đầu tư; 0 nếu không</w:t>
      </w:r>
      <w:bookmarkEnd w:id="5075"/>
    </w:p>
    <w:p>
      <w:pPr>
        <w:pStyle w:val="Para 03"/>
      </w:pPr>
      <w:r>
        <w:t>Mức chiết khấu kém thanh khoản có xu hướng nhỏ hơn đối với các công ty có doanh thu cao hơn, giảm đi khi khối lượng chào bán giảm, và thấp hơn khi thu nhập dương và khi nhà đầu tư có quan hệ khách hàng với công ty.</w:t>
      </w:r>
    </w:p>
    <w:p>
      <w:pPr>
        <w:pStyle w:val="Para 03"/>
      </w:pPr>
      <w:r>
        <w:t>Những phát hiện này nhất quán với một số yếu tố quyết định mà chúng ta đã xác định trong phần trước đối với phần bù kém thanh khoản. Cụ thể, các mức chiết khấu có xu hướng nhỏ hơn đối với các công ty lớn (ít nhất là đo bằng doanh thu) và đối với các công ty khỏe mạnh (với thu nhập dương là thước đo sức khỏe tài chính). Điều này gợi ý rằng thực tiễn thông thường là sử dụng mức chiết khấu không đổi cho mọi công ty tư nhân là sai, và chúng ta nên điều chỉnh cho sự khác biệt giữa các công ty.</w:t>
      </w:r>
    </w:p>
    <w:p>
      <w:bookmarkStart w:id="5077" w:name="Estimating_the_Illiquidity_Disco"/>
      <w:bookmarkStart w:id="5078" w:name="Estimating_the_Illiquidity_Disco_1"/>
      <w:pPr>
        <w:keepNext/>
        <w:pStyle w:val="Heading 4"/>
        <w:keepLines w:val="on"/>
      </w:pPr>
      <w:r>
        <w:t>Ước tính mức chiết khấu kém thanh khoản</w:t>
      </w:r>
      <w:bookmarkEnd w:id="5077"/>
      <w:bookmarkEnd w:id="5078"/>
    </w:p>
    <w:p>
      <w:pPr>
        <w:pStyle w:val="Para 03"/>
      </w:pPr>
      <w:r>
        <w:t>Nếu chúng ta thực sự quyết định điều chỉnh mức chiết khấu kém thanh khoản để phản ánh sự khác biệt giữa các công ty tư nhân, chúng ta sẽ đối mặt với một câu hỏi về ước tính. Chúng ta sẽ đo lường những khác biệt này và đưa chúng vào một ước tính như thế nào? Có hai cách để làm điều này. Cách thứ nhất là mở rộng phân tích đã thực hiện cho chứng khoán hạn chế sang chiết khấu kém thanh khoản; nói cách khác, chúng ta có thể điều chỉnh hệ số chiết khấu theo độ lớn doanh thu của công ty và việc công ty có thu nhập dương hay không. Cách thứ hai là mở rộng một số công trình thực nghiệm đã được thực hiện để xem xét độ lớn của chênh lệch giá mua–giá bán (bid-ask spread) đối với các công ty đại chúng sang việc ước tính chiết khấu kém thanh khoản.</w:t>
      </w:r>
    </w:p>
    <w:p>
      <w:bookmarkStart w:id="5079" w:name="Restricted_Stocks_and_Initial_Pu"/>
      <w:pPr>
        <w:pStyle w:val="Para 21"/>
      </w:pPr>
      <w:r>
        <w:t>Cổ phiếu hạn chế và phát hành cổ phiếu lần đầu ra công chúng</w:t>
      </w:r>
      <w:bookmarkEnd w:id="5079"/>
    </w:p>
    <w:p>
      <w:pPr>
        <w:pStyle w:val="Para 03"/>
      </w:pPr>
      <w:r>
        <w:t>Hãy xem xét lại mô hình hồi quy mà Silber trình bày về cổ phiếu hạn chế. Nó không chỉ mang lại một kết quả đặc thù cho cổ phiếu hạn chế, mà còn cung cấp một thước đo về mức chiết khấu nên thấp hơn bao nhiêu tùy theo doanh thu. Một công ty có doanh thu 20 triệu đô la nên có mức chiết khấu kém thanh khoản thấp hơn 1,19 phần trăm so với một công ty có doanh thu 10 triệu đô la. Do đó, chúng ta có thể thiết lập một mức chiết khấu chuẩn cho một công ty có lợi nhuận với doanh thu xác định (giả sử 10 triệu đô la) và điều chỉnh mức chiết khấu chuẩn này cho từng công ty có doanh thu cao hơn hoặc thấp hơn nhiều so với con số này. Mô hình hồi quy cũng có thể được dùng để phân biệt giữa các công ty có lợi nhuận và không có lợi nhuận. Hình 24.2 trình bày sự khác biệt về chiết khấu kém thanh khoản giữa cả các công ty có lợi nhuận và không có lợi nhuận với các mức doanh thu khác nhau, sử dụng mức chiết khấu chuẩn là 25 phần trăm cho một công ty có thu nhập dương và doanh thu 10 triệu đô la.</w:t>
      </w:r>
    </w:p>
    <w:p>
      <w:bookmarkStart w:id="5082" w:name="Figure_24_2_Illiquidity_Discoun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1447800"/>
            <wp:effectExtent l="0" r="0" t="0" b="0"/>
            <wp:wrapTopAndBottom/>
            <wp:docPr id="223" name="c24f002.png" descr="Double bar graph plots the discount as percent of value for profitable and unprofitable firms with annual revenues in millions of dollars."/>
            <wp:cNvGraphicFramePr>
              <a:graphicFrameLocks noChangeAspect="1"/>
            </wp:cNvGraphicFramePr>
            <a:graphic>
              <a:graphicData uri="http://schemas.openxmlformats.org/drawingml/2006/picture">
                <pic:pic>
                  <pic:nvPicPr>
                    <pic:cNvPr id="0" name="c24f002.png" descr="Double bar graph plots the discount as percent of value for profitable and unprofitable firms with annual revenues in millions of dollars."/>
                    <pic:cNvPicPr/>
                  </pic:nvPicPr>
                  <pic:blipFill>
                    <a:blip r:embed="rId159"/>
                    <a:stretch>
                      <a:fillRect/>
                    </a:stretch>
                  </pic:blipFill>
                  <pic:spPr>
                    <a:xfrm>
                      <a:off x="0" y="0"/>
                      <a:ext cx="2451100" cy="1447800"/>
                    </a:xfrm>
                    <a:prstGeom prst="rect">
                      <a:avLst/>
                    </a:prstGeom>
                  </pic:spPr>
                </pic:pic>
              </a:graphicData>
            </a:graphic>
          </wp:anchor>
        </w:drawing>
      </w:r>
      <w:bookmarkEnd w:id="5082"/>
    </w:p>
    <w:p>
      <w:pPr>
        <w:keepNext/>
        <w:pStyle w:val="Para 22"/>
        <w:keepLines w:val="on"/>
      </w:pPr>
      <w:r>
        <w:t>Hình 24.2 Chiết khấu kém thanh khoản: Mức chiết khấu cơ sở 25 phần trăm cho công ty có lợi nhuận với doanh thu 10 triệu đô la</w:t>
      </w:r>
    </w:p>
    <w:p>
      <w:pPr>
        <w:pStyle w:val="Para 03"/>
      </w:pPr>
      <w:r>
        <w:t>Rõ ràng có những nguy hiểm gắn với việc mở rộng một mô hình hồi quy chạy trên một lượng nhỏ cổ phiếu hạn chế sang việc ước tính chiết khấu cho các công ty tư nhân, nhưng nó ít nhất cũng cung cấp một lộ trình để điều chỉnh các hệ số chiết khấu.</w:t>
      </w:r>
    </w:p>
    <w:p>
      <w:pPr>
        <w:pStyle w:val="Para 03"/>
      </w:pPr>
      <w:r>
        <w:t>Trong các nghiên cứu tiếp theo, đã có những nỗ lực định lượng mức chiết khấu kém thanh khoản bằng cách xem xét các giao dịch xảy ra ngay trước một đợt IPO, khi những người sáng lập hoặc các nhà đầu tư mạo hiểm bán cổ phần trong công ty cho nhau. Mức chiết khấu kém thanh khoản sau đó có thể được đo bằng chênh lệch giữa giá IPO (có thể quan sát được) và giá giao dịch, với giá giao dịch thấp hơn vì nó xảy ra trước IPO, khi cổ phần vẫn còn kém thanh khoản. Các mức chiết khấu xuất hiện trong những nghiên cứu này lớn đến mức (&gt;40%) khiến chúng không đáng tin cậy, và nhiều khả năng phản ánh sai lệch chọn mẫu hơn là một mức chiết khấu kém thanh khoản thực sự</w:t>
      </w:r>
    </w:p>
    <w:p>
      <w:bookmarkStart w:id="5084" w:name="Bid_Ask_Spread_Approach__The_big"/>
      <w:pPr>
        <w:pStyle w:val="Para 21"/>
      </w:pPr>
      <w:r>
        <w:t>Phương pháp chênh lệch giá mua–giá bán</w:t>
      </w:r>
      <w:bookmarkEnd w:id="5084"/>
    </w:p>
    <w:p>
      <w:pPr>
        <w:pStyle w:val="Para 03"/>
      </w:pPr>
      <w:r>
        <w:t>Hạn chế lớn nhất khi dùng các nghiên cứu dựa trên cổ phiếu hạn chế (restricted stock) hoặc IPO là mẫu nhỏ và bị thiên lệch. Sự thiên lệch đặc biệt đến từ việc các công ty đại chúng khỏe mạnh khó có khả năng phát hành cổ phiếu hạn chế với mức chiết khấu lớn so với giá trị thị trường, và có nhiều công ty dự định IPO nhưng không bao giờ tiến hành chào bán công khai (nhưng lại bị bỏ qua trong các nghiên cứu IPO).</w:t>
      </w:r>
    </w:p>
    <w:p>
      <w:pPr>
        <w:pStyle w:val="Para 03"/>
      </w:pPr>
      <w:r>
        <w:t>Chúng ta sẽ có thể ước tính tốt hơn nếu thu được một mẫu lớn các công ty có mức chiết khấu kém thanh khoản (illiquidity discount). Chúng ta cho rằng một mẫu như vậy thực sự tồn tại, nếu xét đến việc một tài sản được giao dịch đại chúng không hoàn toàn thanh khoản. Thực tế, tính thanh khoản biến động rất rộng giữa các cổ phiếu niêm yết. Một công ty nhỏ niêm yết trên thị trường OTC kém thanh khoản hơn nhiều so với một công ty niêm yết trên Sở Giao dịch Chứng khoán New York, và đến lượt nó lại kém thanh khoản hơn nhiều so với một công ty vốn hóa lớn được nắm giữ rộng rãi. Thực vậy, chênh lệch giữa giá mua (bid) và giá bán (ask) mà chúng ta quan sát được trên các tài sản niêm yết có thể được xem như một thước đo chi phí của tính thanh khoản tức thời. Một nhà đầu tư mua một tài sản, đổi ý và quyết định bán ngay lập tức sẽ phải trả chênh lệch bid-ask.</w:t>
      </w:r>
    </w:p>
    <w:p>
      <w:pPr>
        <w:pStyle w:val="Para 03"/>
      </w:pPr>
      <w:r>
        <w:t>Dù chênh lệch bid-ask có thể chỉ là một phần tư hoặc nửa đô-la, nó vẫn là một chi phí lớn hơn nhiều khi được biểu thị theo phần trăm trên giá mỗi đơn vị. Với một cổ phiếu đang giao dịch ở mức 2 đô-la, với chênh lệch bid-ask là 25 xu, chi phí này là 12,5%. Với các cổ phiếu giá cao hơn và rất thanh khoản, mức chiết khấu kém thanh khoản có thể dưới 0,5% giá, nhưng không phải bằng không.</w:t>
      </w:r>
    </w:p>
    <w:p>
      <w:pPr>
        <w:pStyle w:val="Para 03"/>
      </w:pPr>
      <w:r>
        <w:t>Điều này có liên quan gì đến mức chiết khấu kém thanh khoản của các công ty tư nhân? Hãy nghĩ về vốn cổ phần trong một công ty tư nhân như một cổ phiếu không bao giờ được giao dịch. Trên dải liên tục vừa mô tả, bạn sẽ kỳ vọng chênh lệch bid-ask của một cổ phiếu như vậy là cao, và điều này về cơ bản đo lường mức chiết khấu kém thanh khoản.</w:t>
      </w:r>
    </w:p>
    <w:p>
      <w:pPr>
        <w:pStyle w:val="Para 03"/>
      </w:pPr>
      <w:r>
        <w:t>Để ước tính mức chiết khấu kém thanh khoản bằng cách dùng chênh lệch bid-ask, được chia theo giá cổ phiếu, làm thước đo, bạn cần liên hệ chênh lệch bid-ask của các cổ phiếu niêm yết với các biến có thể đo lường được cho một doanh nghiệp tư nhân. Chẳng hạn, bạn có thể hồi quy chênh lệch bid-ask theo doanh thu của công ty và một biến giả (dummy variable) phản ánh liệu công ty có sinh lợi hay không, rồi mở rộng hồi quy được thực hiện trên cổ phiếu hạn chế sang một mẫu lớn hơn nhiều. Bạn thậm chí có thể coi khối lượng giao dịch của các cổ phiếu niêm yết là một biến độc lập và đặt nó bằng không cho một công ty tư nhân. Sử dụng dữ liệu cuối năm 2000, chẳng hạn, chúng tôi đã hồi quy chênh lệch bid-ask của các cổ phiếu Nasdaq theo doanh thu, một biến giả cho lợi nhuận dương, tiền mặt theo phần trăm giá trị công ty, và khối lượng giao dịch.</w:t>
      </w:r>
    </w:p>
    <w:p>
      <w:bookmarkStart w:id="5086" w:name="Spread_0_145___0_0022lnAnnualrev"/>
      <w:pPr>
        <w:keepNext/>
        <w:pStyle w:val="Para 09"/>
        <w:keepLines w:val="on"/>
      </w:pPr>
      <w:r>
        <w:t>Spread=0,145−0,0022ln(Doanh thu hàng năm)−0,015DERN−0,016Tiền mặt/Giá trị công ty−0,11($ Khối lượng giao dịch hàng tháng/Giá trị công ty)</w:t>
      </w:r>
      <w:bookmarkEnd w:id="5086"/>
    </w:p>
    <w:p>
      <w:pPr>
        <w:pStyle w:val="Para 03"/>
      </w:pPr>
      <w:r>
        <w:t>trong đó</w:t>
      </w:r>
    </w:p>
    <w:p>
      <w:bookmarkStart w:id="5088" w:name="DERN_Dummy_variable__set_to_one"/>
      <w:pPr>
        <w:keepNext/>
        <w:pStyle w:val="Para 09"/>
        <w:keepLines w:val="on"/>
      </w:pPr>
      <w:r>
        <w:t>DERN=Biến giả, đặt bằng một (không) nếu lợi nhuận dương (âm)Tiền mặt/Giá trị công ty=Tiền mặt/(Tổng nợ + Vốn hóa thị trường)</w:t>
      </w:r>
      <w:bookmarkEnd w:id="5088"/>
    </w:p>
    <w:p>
      <w:pPr>
        <w:pStyle w:val="Para 03"/>
      </w:pPr>
      <w:r>
        <w:t>Thay vào các giá trị tương ứng—với khối lượng giao dịch bằng không—cho một công ty tư nhân sẽ cho ra một ước tính về chênh lệch bid-ask của công ty đó.</w:t>
      </w:r>
    </w:p>
    <w:p>
      <w:bookmarkStart w:id="5089" w:name="Illiquidity_as_an_Option__What_i"/>
      <w:pPr>
        <w:pStyle w:val="Para 21"/>
      </w:pPr>
      <w:r>
        <w:t>Tính kém thanh khoản như một Quyền chọn</w:t>
      </w:r>
      <w:bookmarkEnd w:id="5089"/>
    </w:p>
    <w:p>
      <w:pPr>
        <w:pStyle w:val="Para 03"/>
      </w:pPr>
      <w:r>
        <w:t>Giá trị của tính thanh khoản là gì? Nói cách khác, khi nào nhà đầu tư cảm nhận mất mát về tính thanh khoản mạnh nhất khi nắm giữ một tài sản? Có người cho rằng giá trị của tính thanh khoản nằm ở khả năng bán một tài sản khi nó bị định giá quá cao nhất; chi phí của tính kém thanh khoản là không thể làm được điều này. Trong trường hợp đặc biệt, khi chủ sở hữu một tài sản có thông tin để biết khi nào việc định giá quá cao này xảy ra, giá trị của tính kém thanh khoản có thể được coi như một quyền chọn (option).</w:t>
      </w:r>
    </w:p>
    <w:p>
      <w:pPr>
        <w:pStyle w:val="Para 03"/>
      </w:pPr>
      <w:r>
        <w:t>Longstaff (1995) trình bày một giới hạn trên cho quyền chọn này bằng cách xét một nhà đầu tư có khả năng định thời thị trường hoàn hảo, người sở hữu một tài sản mà họ không được phép giao dịch trong một khoảng thời gian (t). Khi không có hạn chế giao dịch, nhà đầu tư này sẽ bán ở mức giá tối đa mà tài sản đạt được trong khoảng thời gian đó, và giá trị của quyền chọn nhìn lại (look-back option) được ước tính bằng mức giá tối đa này sẽ là giới hạn ngoài cho giá trị của tính kém thanh khoản.4 Dùng cách tiếp cận này, Longstaff ước tính giá trị của khả năng bán được (marketability) theo phần trăm giá trị tài sản cho các khoảng thời gian kém thanh khoản và độ biến động tài sản khác nhau.</w:t>
      </w:r>
    </w:p>
    <w:p>
      <w:pPr>
        <w:pStyle w:val="Para 03"/>
      </w:pPr>
      <w:r>
        <w:t>Đáng nhấn mạnh rằng đây là các giới hạn trên cho giá trị của tính kém thanh khoản, vì nó dựa trên giả định về một người định thời thị trường hoàn hảo. Trong chừng mực nhà đầu tư không chắc chắn về thời điểm một tài sản đạt mức giá tối đa, giá trị của tính kém thanh khoản sẽ thấp hơn các ước tính này. Những bài học tổng quát hơn vẫn đúng. Chi phí của tính kém thanh khoản, được biểu thị theo phần trăm giá trị công ty, sẽ lớn hơn đối với các tài sản biến động mạnh hơn, và sẽ tăng theo độ dài của khoảng thời gian bị hạn chế giao dịch. Đã có những nỗ lực mở rộng các mô hình định giá quyền chọn để định giá tính kém thanh khoản, với kết quả không đồng nhất. Trong một biến thể được dùng rộng rãi, tính thanh khoản được mô hình hóa như một quyền chọn bán (put option) cho khoảng thời gian nhà đầu tư bị hạn chế giao dịch. Như vậy, mức chiết khấu kém thanh khoản trên giá trị của một tài sản mà chủ sở hữu bị hạn chế giao dịch trong hai năm sẽ được mô hình hóa như một quyền chọn bán ngang giá (at-the-money put option) kỳ hạn hai năm.5 Có một số sai sót, cả về trực giác lẫn khái niệm, với cách tiếp cận này. Thứ nhất là tính thanh khoản không cho bạn quyền bán một cổ phiếu ở mức giá thị trường hôm nay vào bất kỳ lúc nào trong hai năm tới. Điều nó cho bạn là quyền bán ở mức giá thị trường hiện hành vào bất kỳ lúc nào trong hai năm tới.6 Vấn đề thứ hai (và nhỏ hơn) là các mô hình định giá quyền chọn dựa trên biến động giá liên tục và kinh doanh chênh lệch giá (arbitrage), và thật khó thấy các giả định này sẽ đứng vững thế nào đối với một tài sản kém thanh khoản.</w:t>
      </w:r>
    </w:p>
    <w:p>
      <w:pPr>
        <w:pStyle w:val="Para 03"/>
      </w:pPr>
      <w:r>
        <w:t>Giá trị của tính thanh khoản cuối cùng phải xuất phát từ việc nhà đầu tư có thể bán ở một mức giá định trước nào đó trong khoảng thời gian không giao dịch, thay vì bị buộc phải nắm giữ đến cuối kỳ. Cách tiếp cận quyền chọn nhìn lại giả định một người định thời thị trường hoàn hảo, như đã giải thích ở trên, giả định rằng việc bán sẽ xảy ra ở mức giá cao và cho phép chúng ta ước tính một giới hạn trên cho giá trị. Liệu chúng ta có thể dùng các mô hình định giá quyền chọn để định giá tính kém thanh khoản mà không giả định định thời thị trường hoàn hảo không? Hãy xét một phương án thay thế. Giả sử bạn có một nhà đầu tư kỷ luật, người luôn bán các khoản đầu tư khi giá tăng 25% so với giá mua ban đầu. Việc không thể giao dịch khoản đầu tư này trong một khoảng thời gian (chẳng hạn hai năm) làm suy yếu tính kỷ luật này, và có thể lập luận rằng giá trị của tính kém thanh khoản là tích của giá trị quyền chọn bán (được ước tính bằng cách dùng giá thực hiện đặt cao hơn giá mua 25% và kỳ hạn hai năm) với xác suất giá cổ phiếu sẽ tăng 25% hoặc hơn trong hai năm tới.</w:t>
      </w:r>
    </w:p>
    <w:p>
      <w:pPr>
        <w:pStyle w:val="Para 03"/>
      </w:pPr>
      <w:r>
        <w:t>Nếu bạn quyết định áp dụng các mô hình định giá quyền chọn để định giá tính kém thanh khoản trong các doanh nghiệp tư nhân, giá trị của tài sản cơ sở (tức doanh nghiệp tư nhân) và độ lệch chuẩn của giá trị đó sẽ là các đầu vào cần thiết. Dù việc ước tính chúng cho một doanh nghiệp tư nhân khó hơn so với một công ty niêm yết, chúng ta luôn có thể dùng mức trung bình ngành.</w:t>
      </w:r>
    </w:p>
    <w:p>
      <w:pPr>
        <w:pStyle w:val="Para 11"/>
      </w:pPr>
      <w:r>
        <w:t xml:space="preserve"> </w:t>
      </w:r>
    </w:p>
    <w:p>
      <w:bookmarkStart w:id="5095" w:name="ILLUSTRATION_24_10___Estimating_1"/>
      <w:bookmarkStart w:id="5096" w:name="ILLUSTRATION_24_10___Estimating"/>
      <w:pPr>
        <w:keepNext/>
        <w:pStyle w:val="Para 19"/>
        <w:keepLines w:val="on"/>
      </w:pPr>
      <w:r>
        <w:t>MINH HỌA 24.10: Ước tính mức chiết khấu kém thanh khoản cho Chez Pierre</w:t>
      </w:r>
      <w:bookmarkEnd w:id="5095"/>
      <w:bookmarkEnd w:id="5096"/>
    </w:p>
    <w:p>
      <w:pPr>
        <w:pStyle w:val="Para 04"/>
        <w:keepLines w:val="on"/>
      </w:pPr>
      <w:r>
        <w:t>Vì Chez Pierre đang được định giá cho một giao dịch tư nhân, việc xem xét một mức chiết khấu kém thanh khoản là phù hợp. Chúng ta có thể dùng cả hai cách tiếp cận đã mô tả ở trên để ước tính độ lớn của mức chiết khấu đó</w:t>
      </w:r>
    </w:p>
    <w:p>
      <w:pPr>
        <w:numPr>
          <w:ilvl w:val="0"/>
          <w:numId w:val="264"/>
        </w:numPr>
        <w:pStyle w:val="Para 18"/>
        <w:keepLines w:val="on"/>
      </w:pPr>
      <w:r>
        <w:t>Cách tiếp cận cổ phiếu hạn chế: Để ước tính mức chiết khấu kém thanh khoản cho Chez Pierre, chúng ta giả định mức chiết khấu cơ sở cho một công ty có doanh thu 10 triệu đô-la là 25%. Doanh thu 1,2 triệu đô-la của Chez Pierre, nhỏ hơn công ty điển hình, sẽ dẫn đến mức chiết khấu cao hơn trên giá trị của nó. Chúng ta ước tính chênh lệch về mức chiết khấu kém thanh khoản giữa một công ty có doanh thu 10 triệu đô-la và một công ty có doanh thu 1,2 triệu đô-la là 3,75%. Để làm điều này, trước tiên chúng ta ước tính mức chiết khấu kém thanh khoản trong phương trình Silber cho một công ty có doanh thu 10 triệu đô-la.</w:t>
      </w:r>
    </w:p>
    <w:p>
      <w:bookmarkStart w:id="5097" w:name="Illiquidity_discountBase_100___e"/>
      <w:pPr>
        <w:keepNext/>
        <w:pStyle w:val="Para 07"/>
        <w:keepLines w:val="on"/>
      </w:pPr>
      <w:r>
        <w:t>Chiết khấu kém thanh khoản cơ sở=100−exp⁡(4,33+0,36×ln⁡(10)−0,142×ln⁡(100)+0,174×(1)100=48,94%</w:t>
      </w:r>
      <w:bookmarkEnd w:id="5097"/>
    </w:p>
    <w:p>
      <w:pPr>
        <w:pStyle w:val="Para 04"/>
        <w:keepLines w:val="on"/>
      </w:pPr>
      <w:r>
        <w:t>Sau đó chúng ta ước tính lại mức chiết khấu kém thanh khoản với doanh thu 1,2 triệu đô-la:</w:t>
      </w:r>
    </w:p>
    <w:p>
      <w:bookmarkStart w:id="5098" w:name="Illiquidity_discountRevenue__12m"/>
      <w:pPr>
        <w:pStyle w:val="Para 52"/>
        <w:keepLines w:val="on"/>
      </w:pPr>
      <w:r>
        <w:t>Chiết khấu kém thanh khoản với doanh thu=1,2 triệu đô-la=100−exp⁡(4,33+0,36×ln⁡(1,2)−0,142×ln⁡(100)+0,174×(1)100=52,69%</w:t>
      </w:r>
      <w:bookmarkEnd w:id="5098"/>
    </w:p>
    <w:p>
      <w:bookmarkStart w:id="5099" w:name="Increase_in_discount__based_on_r"/>
      <w:pPr>
        <w:keepNext/>
        <w:pStyle w:val="Para 07"/>
        <w:keepLines w:val="on"/>
      </w:pPr>
      <w:r>
        <w:t>Mức tăng của chiết khấu, dựa trên doanh thu=52,69%-48,94%=3,75%</w:t>
      </w:r>
      <w:bookmarkEnd w:id="5099"/>
    </w:p>
    <w:p>
      <w:pPr>
        <w:pStyle w:val="Para 04"/>
        <w:keepLines w:val="on"/>
      </w:pPr>
      <w:r>
        <w:t>Mức chiết khấu kém thanh khoản ước tính cho Chez Pierre do đó sẽ là 28,75%, tức mức chiết khấu cơ sở 25% được điều chỉnh thêm để phản ánh doanh thu nhỏ hơn mà công ty có.</w:t>
      </w:r>
    </w:p>
    <w:p>
      <w:pPr>
        <w:numPr>
          <w:ilvl w:val="0"/>
          <w:numId w:val="264"/>
        </w:numPr>
        <w:pStyle w:val="Para 18"/>
        <w:keepLines w:val="on"/>
      </w:pPr>
      <w:r>
        <w:t>Cách tiếp cận chênh lệch bid-ask: Chúng ta có thể thay vào doanh thu của Chez Pierre, thực tế rằng nó có lợi nhuận dương và tiền mặt theo phần trăm doanh thu mà công ty nắm giữ (1%):</w:t>
      </w:r>
    </w:p>
    <w:p>
      <w:pPr>
        <w:pStyle w:val="Para 40"/>
        <w:keepLines w:val="on"/>
      </w:pPr>
      <w:r>
        <w:rPr>
          <w:rStyle w:val="Text26"/>
        </w:rPr>
        <w:bookmarkStart w:id="5100" w:name="Page_781"/>
        <w:t/>
        <w:bookmarkEnd w:id="5100"/>
      </w:r>
      <w:r>
        <w:t xml:space="preserve"> </w:t>
      </w:r>
    </w:p>
    <w:p>
      <w:bookmarkStart w:id="5101" w:name="Spread_0_145___0_0022_ln____Annu"/>
      <w:pPr>
        <w:pStyle w:val="Para 52"/>
        <w:keepLines w:val="on"/>
      </w:pPr>
      <w:r>
        <w:t>Spread=0,145−0,0022 ln⁡(Doanh thu hàng năm)−0,015(DERN)−0,016(Tiền mặt/giá trị công ty)−0,11($ Khối lượng giao dịch hàng tháng/Giá trị công ty)=0,145−0,0022×ln⁡(1,2)−0,015×(1)−0,016×(.03)−0,11×(0)=.1294 hay12,94%</w:t>
      </w:r>
      <w:bookmarkEnd w:id="5101"/>
    </w:p>
    <w:p>
      <w:pPr>
        <w:pStyle w:val="Para 18"/>
        <w:keepLines w:val="on"/>
      </w:pPr>
      <w:r>
        <w:t>Dựa trên cách tiếp cận này, chúng ta sẽ ước tính mức chiết khấu kém thanh khoản (illiquidity discount) là 12,94%.</w:t>
      </w:r>
    </w:p>
    <w:p>
      <w:pPr>
        <w:pStyle w:val="Para 11"/>
      </w:pPr>
      <w:r>
        <w:t xml:space="preserve"> </w:t>
      </w:r>
    </w:p>
    <w:p>
      <w:bookmarkStart w:id="5102" w:name="liqdisc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24"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5102"/>
    </w:p>
    <w:p>
      <w:pPr>
        <w:pStyle w:val="Para 31"/>
        <w:keepLines w:val="on"/>
      </w:pPr>
      <w:r>
        <w:t>liqdisc.xls: Bảng tính này cho phép bạn ước tính mức chiết khấu kém thanh khoản cho các công ty tư nhân bằng cả phương pháp cổ phiếu hạn chế (restricted stock approach) và phương pháp chênh lệch giá mua - giá bán (bid-ask spread approach).</w:t>
      </w:r>
    </w:p>
    <w:p>
      <w:bookmarkStart w:id="5103" w:name="Valuation_Motives_and_Value_Esti"/>
      <w:bookmarkStart w:id="5104" w:name="Valuation_Motives_and_Value_Esti_1"/>
      <w:pPr>
        <w:keepNext/>
        <w:pStyle w:val="Heading 2"/>
        <w:keepLines w:val="on"/>
      </w:pPr>
      <w:r>
        <w:t>Động cơ Định giá và Ước tính Giá trị</w:t>
      </w:r>
      <w:bookmarkEnd w:id="5103"/>
      <w:bookmarkEnd w:id="5104"/>
    </w:p>
    <w:p>
      <w:pPr>
        <w:pStyle w:val="Para 03"/>
      </w:pPr>
      <w:r>
        <w:t>Trong phần trước, chúng ta đã xem xét cách ước tính tốt nhất các thông số đầu vào để định giá một công ty tư nhân. Tuy nhiên, khi xem xét từng thông số, chúng ta nhận thấy rằng quá trình ước tính có thể khác nhau tùy thuộc vào người mua tiềm năng của công ty. Với beta chẳng hạn, chúng ta lập luận rằng nên dùng beta thị trường (market beta) nếu người mua tiềm năng là một công ty niêm yết công khai hoặc một nhà đầu tư chứng khoán (trong một đợt phát hành cổ phiếu lần đầu ra công chúng), và nên dùng beta tổng thể (total beta) nếu người mua tiềm năng là một bên tư nhân. Chúng ta cũng có những lập luận tương tự về chi phí nợ (cost of debt) và dòng tiền (cash flows). Bảng 24.4 tóm tắt những khác biệt trong cách chúng ta ước tính các thông số đầu vào để định giá cho các động cơ định giá khác nhau.</w:t>
      </w:r>
    </w:p>
    <w:p>
      <w:pPr>
        <w:pStyle w:val="Para 34"/>
        <w:keepLines w:val="on"/>
      </w:pPr>
      <w:r>
        <w:t>Bảng 24.4</w:t>
      </w:r>
    </w:p>
    <w:p>
      <w:pPr>
        <w:keepNext/>
        <w:pStyle w:val="Para 35"/>
        <w:keepLines w:val="on"/>
      </w:pPr>
      <w:r>
        <w:t>Ước tính các Thông số Đầu vào để Định giá: Các Động cơ Định giá</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vAlign w:val="bottom"/>
                </w:tcPr>
                <w:p>
                  <w:pPr>
                    <w:pStyle w:val="Para 61"/>
                    <w:keepLines w:val="on"/>
                  </w:pPr>
                  <w:r>
                    <w:t>Định giá để Bán cho một Thực thể Tư nhân</w:t>
                  </w:r>
                </w:p>
              </w:tc>
              <w:tc>
                <w:tcPr>
                  <w:tcW w:type="auto" w:w="0"/>
                  <w:shd w:val="clear" w:color="auto" w:fill="F0F0F0"/>
                  <w:vAlign w:val="bottom"/>
                </w:tcPr>
                <w:p>
                  <w:pPr>
                    <w:pStyle w:val="Para 61"/>
                    <w:keepLines w:val="on"/>
                  </w:pPr>
                  <w:r>
                    <w:t>Định giá để Bán cho một Công ty Niêm yết Công khai hoặc để Phát hành Cổ phiếu Lần đầu ra Công chúng</w:t>
                  </w:r>
                </w:p>
              </w:tc>
            </w:tr>
            <w:tr>
              <w:tc>
                <w:tcPr>
                  <w:tcW w:type="auto" w:w="0"/>
                  <w:shd w:val="clear" w:color="auto" w:fill="F0F0F0"/>
                </w:tcPr>
                <w:p>
                  <w:pPr>
                    <w:pStyle w:val="Para 02"/>
                    <w:keepLines w:val="on"/>
                  </w:pPr>
                  <w:r>
                    <w:t>Chi phí vốn cổ phần (cost of equity)</w:t>
                  </w:r>
                </w:p>
              </w:tc>
              <w:tc>
                <w:tcPr>
                  <w:tcW w:type="auto" w:w="0"/>
                  <w:shd w:val="clear" w:color="auto" w:fill="F0F0F0"/>
                </w:tcPr>
                <w:p>
                  <w:pPr>
                    <w:pStyle w:val="Para 02"/>
                    <w:keepLines w:val="on"/>
                  </w:pPr>
                  <w:r>
                    <w:t>Dựa trên beta tổng thể, với hệ số tương quan phản ánh mức độ đa dạng hóa của người mua tiềm năng</w:t>
                  </w:r>
                </w:p>
              </w:tc>
              <w:tc>
                <w:tcPr>
                  <w:tcW w:type="auto" w:w="0"/>
                  <w:shd w:val="clear" w:color="auto" w:fill="F0F0F0"/>
                </w:tcPr>
                <w:p>
                  <w:pPr>
                    <w:pStyle w:val="Para 02"/>
                    <w:keepLines w:val="on"/>
                  </w:pPr>
                  <w:r>
                    <w:t>Dựa trên beta thị trường, vì nhà đầu tư biên (marginal investor) đã được đa dạng hóa</w:t>
                  </w:r>
                </w:p>
              </w:tc>
            </w:tr>
            <w:tr>
              <w:tc>
                <w:tcPr>
                  <w:tcW w:type="auto" w:w="0"/>
                  <w:shd w:val="clear" w:color="auto" w:fill="F0F0F0"/>
                </w:tcPr>
                <w:p>
                  <w:pPr>
                    <w:pStyle w:val="Para 02"/>
                    <w:keepLines w:val="on"/>
                  </w:pPr>
                  <w:r>
                    <w:t>Chi phí nợ (cost of debt)</w:t>
                  </w:r>
                </w:p>
              </w:tc>
              <w:tc>
                <w:tcPr>
                  <w:tcW w:type="auto" w:w="0"/>
                  <w:shd w:val="clear" w:color="auto" w:fill="F0F0F0"/>
                </w:tcPr>
                <w:p>
                  <w:pPr>
                    <w:pStyle w:val="Para 02"/>
                    <w:keepLines w:val="on"/>
                  </w:pPr>
                  <w:r>
                    <w:t>Có thể phản ánh mức chênh lệch bổ sung gắn với việc là một doanh nghiệp tư nhân</w:t>
                  </w:r>
                </w:p>
              </w:tc>
              <w:tc>
                <w:tcPr>
                  <w:tcW w:type="auto" w:w="0"/>
                  <w:shd w:val="clear" w:color="auto" w:fill="F0F0F0"/>
                </w:tcPr>
                <w:p>
                  <w:pPr>
                    <w:pStyle w:val="Para 02"/>
                    <w:keepLines w:val="on"/>
                  </w:pPr>
                  <w:r>
                    <w:t>Dựa trên xếp hạng tổng hợp (synthetic rating), được ước tính bằng cách xem xét các công ty niêm yết công khai</w:t>
                  </w:r>
                </w:p>
              </w:tc>
            </w:tr>
            <w:tr>
              <w:tc>
                <w:tcPr>
                  <w:tcW w:type="auto" w:w="0"/>
                  <w:shd w:val="clear" w:color="auto" w:fill="F0F0F0"/>
                </w:tcPr>
                <w:p>
                  <w:pPr>
                    <w:pStyle w:val="Para 02"/>
                    <w:keepLines w:val="on"/>
                  </w:pPr>
                  <w:r>
                    <w:t>Dòng tiền hoạt động (operating cash flows)</w:t>
                  </w:r>
                </w:p>
              </w:tc>
              <w:tc>
                <w:tcPr>
                  <w:tcW w:type="auto" w:w="0"/>
                  <w:shd w:val="clear" w:color="auto" w:fill="F0F0F0"/>
                </w:tcPr>
                <w:p>
                  <w:pPr>
                    <w:pStyle w:val="Para 02"/>
                    <w:keepLines w:val="on"/>
                  </w:pPr>
                  <w:r>
                    <w:t>Sử dụng thuế suất của doanh nghiệp tư nhân trong định giá</w:t>
                  </w:r>
                </w:p>
              </w:tc>
              <w:tc>
                <w:tcPr>
                  <w:tcW w:type="auto" w:w="0"/>
                  <w:shd w:val="clear" w:color="auto" w:fill="F0F0F0"/>
                </w:tcPr>
                <w:p>
                  <w:pPr>
                    <w:pStyle w:val="Para 02"/>
                    <w:keepLines w:val="on"/>
                  </w:pPr>
                  <w:r>
                    <w:t>Sử dụng thuế suất biên của doanh nghiệp trong định giá</w:t>
                  </w:r>
                </w:p>
              </w:tc>
            </w:tr>
            <w:tr>
              <w:tc>
                <w:tcPr>
                  <w:tcW w:type="auto" w:w="0"/>
                  <w:shd w:val="clear" w:color="auto" w:fill="F0F0F0"/>
                </w:tcPr>
                <w:p>
                  <w:pPr>
                    <w:pStyle w:val="Para 02"/>
                    <w:keepLines w:val="on"/>
                  </w:pPr>
                  <w:r>
                    <w:t>Vòng đời của công ty (firm life)</w:t>
                  </w:r>
                </w:p>
              </w:tc>
              <w:tc>
                <w:tcPr>
                  <w:tcW w:type="auto" w:w="0"/>
                  <w:shd w:val="clear" w:color="auto" w:fill="F0F0F0"/>
                </w:tcPr>
                <w:p>
                  <w:pPr>
                    <w:pStyle w:val="Para 02"/>
                    <w:keepLines w:val="on"/>
                  </w:pPr>
                  <w:r>
                    <w:t>Giá trị cuối kỳ (terminal value) hoặc giá trị thanh lý (liquidation value) với vòng đời hữu hạn</w:t>
                  </w:r>
                </w:p>
              </w:tc>
              <w:tc>
                <w:tcPr>
                  <w:tcW w:type="auto" w:w="0"/>
                  <w:shd w:val="clear" w:color="auto" w:fill="F0F0F0"/>
                </w:tcPr>
                <w:p>
                  <w:pPr>
                    <w:pStyle w:val="Para 02"/>
                    <w:keepLines w:val="on"/>
                  </w:pPr>
                  <w:r>
                    <w:t>Vòng đời vĩnh viễn khi ước tính giá trị cuối kỳ</w:t>
                  </w:r>
                </w:p>
              </w:tc>
            </w:tr>
            <w:tr>
              <w:tc>
                <w:tcPr>
                  <w:tcW w:type="auto" w:w="0"/>
                  <w:shd w:val="clear" w:color="auto" w:fill="F0F0F0"/>
                </w:tcPr>
                <w:p>
                  <w:pPr>
                    <w:pStyle w:val="Para 02"/>
                    <w:keepLines w:val="on"/>
                  </w:pPr>
                  <w:r>
                    <w:t>Chiết khấu kém thanh khoản (illiquidity discount)</w:t>
                  </w:r>
                </w:p>
              </w:tc>
              <w:tc>
                <w:tcPr>
                  <w:tcW w:type="auto" w:w="0"/>
                  <w:shd w:val="clear" w:color="auto" w:fill="F0F0F0"/>
                </w:tcPr>
                <w:p>
                  <w:pPr>
                    <w:pStyle w:val="Para 02"/>
                    <w:keepLines w:val="on"/>
                  </w:pPr>
                  <w:r>
                    <w:t>Giá trị được chiết khấu do kém thanh khoản</w:t>
                  </w:r>
                </w:p>
              </w:tc>
              <w:tc>
                <w:tcPr>
                  <w:tcW w:type="auto" w:w="0"/>
                  <w:shd w:val="clear" w:color="auto" w:fill="F0F0F0"/>
                </w:tcPr>
                <w:p>
                  <w:pPr>
                    <w:pStyle w:val="Para 02"/>
                    <w:keepLines w:val="on"/>
                  </w:pPr>
                  <w:r>
                    <w:t>Không có chiết khấu kém thanh khoản</w:t>
                  </w:r>
                </w:p>
              </w:tc>
            </w:tr>
          </w:tbl>
          <w:p/>
        </w:tc>
      </w:tr>
    </w:tbl>
    <w:p>
      <w:pPr>
        <w:pStyle w:val="Para 03"/>
      </w:pPr>
      <w:r>
        <w:t>Kết quả của việc sử dụng các cách tiếp cận khác nhau để ước tính tỷ lệ chiết khấu (discount rates) và dòng tiền, tùy thuộc vào người mua tiềm năng, có thể tác động đáng kể đến giá trị. Nói chung, một doanh nghiệp tư nhân đang được rao bán sẽ được một công ty niêm yết công khai định giá cao hơn nhiều so với một thực thể tư nhân. Điều này có thể lý giải bởi thực tế rằng tỷ lệ chiết khấu sẽ cao hơn khi chúng ta giả định rằng người mua không được đa dạng hóa. Do đó, những chủ sở hữu doanh nghiệp tư nhân muốn bán doanh nghiệp của mình sẽ được hưởng lợi khi tìm kiếm những người mua tiềm năng là các công ty niêm yết công khai. Dù có thể không trích xuất được toàn bộ giá trị, họ vẫn có thể cố gắng giành được ít nhất một phần giá trị gia tăng được tạo ra nhờ các nhà đầu tư biên đã được đa dạng hóa.</w:t>
      </w:r>
    </w:p>
    <w:p>
      <w:pPr>
        <w:pStyle w:val="Para 03"/>
      </w:pPr>
      <w:r>
        <w:t>Những hàm ý tương tự cũng xuất hiện khi xem xét phương án niêm yết công khai. Giá trị mà một công ty có thể đạt được từ một đợt phát hành công khai sẽ vượt qua giá trị mà nó nhận được từ một thực thể tư nhân. Giá trị đạt được từ một đợt phát hành cổ phiếu lần đầu ra công chúng và từ việc bán cho một công ty niêm yết công khai sẽ dựa trên những tỷ lệ chiết khấu tương tự nhau nhưng có thể khác biệt do các hiệu ứng cộng hưởng về chi phí và doanh thu (cost and revenue synergies). Nếu tiềm năng cho những hiệu ứng cộng hưởng này là lớn, việc bán cho một công ty niêm yết công khai có thể mang lại giá trị cao hơn so với việc niêm yết công khai.</w:t>
      </w:r>
    </w:p>
    <w:p>
      <w:pPr>
        <w:pStyle w:val="Para 11"/>
      </w:pPr>
      <w:r>
        <w:t xml:space="preserve"> </w:t>
      </w:r>
    </w:p>
    <w:p>
      <w:bookmarkStart w:id="5107" w:name="ILLUSTRATION_24_11___Valuing_Che"/>
      <w:bookmarkStart w:id="5108" w:name="ILLUSTRATION_24_11___Valuing_Che_1"/>
      <w:pPr>
        <w:keepNext/>
        <w:pStyle w:val="Para 19"/>
        <w:keepLines w:val="on"/>
      </w:pPr>
      <w:r>
        <w:t>MINH HỌA 24.11: Định giá Chez Pierre cho một thương vụ bán tư nhân</w:t>
      </w:r>
      <w:bookmarkEnd w:id="5107"/>
      <w:bookmarkEnd w:id="5108"/>
    </w:p>
    <w:p>
      <w:pPr>
        <w:pStyle w:val="Para 04"/>
        <w:keepLines w:val="on"/>
      </w:pPr>
      <w:r>
        <w:t>Để định giá Chez Pierre cho một thương vụ bán tư nhân, chúng ta dựa vào những thông số đầu vào đã ước tính trong các minh họa trước:</w:t>
      </w:r>
    </w:p>
    <w:p>
      <w:bookmarkStart w:id="5109" w:name="After_tax_operating_income_in_mo"/>
      <w:pPr>
        <w:pStyle w:val="Para 52"/>
        <w:keepLines w:val="on"/>
      </w:pPr>
      <w:r>
        <w:t>Thu nhập hoạt động sau thuế trong năm gần nhất = $319,620(1−.40) = $191,770 (từ minh họa 24.7)Chi phí vốn = 15.27% (từ minh họa 24.6)Tốc độ tăng trưởng kỳ vọng = 2% một năm trong 12 năm tới (từ minh họa 24.8)Tỷ lệ tái đầu tư = 0% (từ minh họa 24.8)Thu nhập hoạt động trước thuế trong năm gần nhất = $319,620 (từ minh họa 24.7)FCFF trong năm gần nhất = $319,620(1−.40)(1−0) = $191,770</w:t>
      </w:r>
      <w:bookmarkEnd w:id="5109"/>
    </w:p>
    <w:p>
      <w:pPr>
        <w:pStyle w:val="Para 04"/>
        <w:keepLines w:val="on"/>
      </w:pPr>
      <w:r>
        <w:t>Vào cuối năm thứ 12, chúng ta giả định rằng nhà hàng sẽ đóng cửa, và số tiền thu được từ thanh lý sẽ là $500,000 (từ minh họa 24.9).</w:t>
      </w:r>
    </w:p>
    <w:p>
      <w:pPr>
        <w:pStyle w:val="Para 04"/>
        <w:keepLines w:val="on"/>
      </w:pPr>
      <w:r>
        <w:t>Giá trị hiện tại của dòng tiền hoạt động trong 12 năm tới được ước tính trước tiên:</w:t>
      </w:r>
    </w:p>
    <w:p>
      <w:bookmarkStart w:id="5110" w:name="PV_of_FCFF_for_next_12_years_191"/>
      <w:pPr>
        <w:keepNext/>
        <w:pStyle w:val="Para 07"/>
        <w:keepLines w:val="on"/>
      </w:pPr>
      <w:r>
        <w:t>PV của FCFF trong 12 năm tới = 191,770 ×(1−1.02121.152712) (0.1527−.02) = $1,134,121</w:t>
      </w:r>
      <w:bookmarkEnd w:id="5110"/>
    </w:p>
    <w:p>
      <w:pPr>
        <w:pStyle w:val="Para 04"/>
        <w:keepLines w:val="on"/>
      </w:pPr>
      <w:r>
        <w:t>Cộng thêm giá trị hiện tại của số tiền thu được từ thanh lý (được chiết khấu ngược lại 12 năm với tỷ lệ 15.27%) và trừ đi giá trị hiện tại của các cam kết thuê, ta có giá trị vốn chủ sở hữu:</w:t>
      </w:r>
    </w:p>
    <w:tbl>
      <w:tblPr>
        <w:tblW w:type="auto" w:w="0"/>
      </w:tblPr>
      <w:tr>
        <w:tc>
          <w:tcPr>
            <w:tcW w:type="auto" w:w="0"/>
          </w:tcPr>
          <w:tbl>
            <w:tblPr>
              <w:tblW w:type="auto" w:w="0"/>
            </w:tblPr>
            <w:tr>
              <w:tc>
                <w:tcPr>
                  <w:tcW w:type="auto" w:w="0"/>
                  <w:shd w:val="clear" w:color="auto" w:fill="F0F0F0"/>
                </w:tcPr>
                <w:p>
                  <w:pPr>
                    <w:pStyle w:val="Para 02"/>
                    <w:keepLines w:val="on"/>
                  </w:pPr>
                  <w:r>
                    <w:t>PV của dòng tiền hoạt động trong 12 năm tới</w:t>
                  </w:r>
                </w:p>
              </w:tc>
              <w:tc>
                <w:tcPr>
                  <w:tcW w:type="auto" w:w="0"/>
                  <w:shd w:val="clear" w:color="auto" w:fill="F0F0F0"/>
                </w:tcPr>
                <w:p>
                  <w:pPr>
                    <w:pStyle w:val="Normal"/>
                    <w:keepLines w:val="on"/>
                  </w:pPr>
                  <w:r>
                    <w:t>= $1,134,121</w:t>
                  </w:r>
                </w:p>
              </w:tc>
            </w:tr>
            <w:tr>
              <w:tc>
                <w:tcPr>
                  <w:tcW w:type="auto" w:w="0"/>
                  <w:shd w:val="clear" w:color="auto" w:fill="F0F0F0"/>
                </w:tcPr>
                <w:p>
                  <w:pPr>
                    <w:pStyle w:val="Para 02"/>
                    <w:keepLines w:val="on"/>
                  </w:pPr>
                  <w:r>
                    <w:t>+ PV của giá trị thanh lý = $500,000/1.152710</w:t>
                  </w:r>
                </w:p>
              </w:tc>
              <w:tc>
                <w:tcPr>
                  <w:tcW w:type="auto" w:w="0"/>
                  <w:shd w:val="clear" w:color="auto" w:fill="F0F0F0"/>
                </w:tcPr>
                <w:p>
                  <w:pPr>
                    <w:pStyle w:val="Normal"/>
                    <w:keepLines w:val="on"/>
                  </w:pPr>
                  <w:r>
                    <w:t>= $90,821</w:t>
                  </w:r>
                </w:p>
              </w:tc>
            </w:tr>
            <w:tr>
              <w:tc>
                <w:tcPr>
                  <w:tcW w:type="auto" w:w="0"/>
                  <w:shd w:val="clear" w:color="auto" w:fill="F0F0F0"/>
                </w:tcPr>
                <w:p>
                  <w:pPr>
                    <w:pStyle w:val="Para 02"/>
                    <w:keepLines w:val="on"/>
                  </w:pPr>
                  <w:r>
                    <w:t>− PV của các cam kết thuê hoạt động</w:t>
                  </w:r>
                </w:p>
              </w:tc>
              <w:tc>
                <w:tcPr>
                  <w:tcW w:type="auto" w:w="0"/>
                  <w:shd w:val="clear" w:color="auto" w:fill="F0F0F0"/>
                </w:tcPr>
                <w:p>
                  <w:pPr>
                    <w:pStyle w:val="Normal"/>
                    <w:keepLines w:val="on"/>
                  </w:pPr>
                  <w:r>
                    <w:t>= $928,333</w:t>
                  </w:r>
                </w:p>
              </w:tc>
            </w:tr>
            <w:tr>
              <w:tc>
                <w:tcPr>
                  <w:tcW w:type="auto" w:w="0"/>
                  <w:shd w:val="clear" w:color="auto" w:fill="F0F0F0"/>
                </w:tcPr>
                <w:p>
                  <w:pPr>
                    <w:pStyle w:val="Para 02"/>
                    <w:keepLines w:val="on"/>
                  </w:pPr>
                  <w:r>
                    <w:t>Giá trị vốn chủ sở hữu</w:t>
                  </w:r>
                </w:p>
              </w:tc>
              <w:tc>
                <w:tcPr>
                  <w:tcW w:type="auto" w:w="0"/>
                  <w:shd w:val="clear" w:color="auto" w:fill="F0F0F0"/>
                </w:tcPr>
                <w:p>
                  <w:pPr>
                    <w:pStyle w:val="Normal"/>
                    <w:keepLines w:val="on"/>
                  </w:pPr>
                  <w:r>
                    <w:t>= $296,709</w:t>
                  </w:r>
                </w:p>
              </w:tc>
            </w:tr>
          </w:tbl>
          <w:p/>
        </w:tc>
      </w:tr>
    </w:tbl>
    <w:p>
      <w:pPr>
        <w:pStyle w:val="Para 04"/>
        <w:keepLines w:val="on"/>
      </w:pPr>
      <w:r>
        <w:t>Dựa trên các ước tính của chúng ta về tăng trưởng và chi phí vốn, giá trị vốn chủ sở hữu của Chez Pierre là $296,709.</w:t>
      </w:r>
    </w:p>
    <w:p>
      <w:pPr>
        <w:pStyle w:val="Para 11"/>
      </w:pPr>
      <w:r>
        <w:t xml:space="preserve"> </w:t>
      </w:r>
    </w:p>
    <w:p>
      <w:bookmarkStart w:id="5111" w:name="ILLUSTRATION_24_12___Valuing_Inf_1"/>
      <w:bookmarkStart w:id="5112" w:name="ILLUSTRATION_24_12___Valuing_Inf"/>
      <w:pPr>
        <w:keepNext/>
        <w:pStyle w:val="Para 19"/>
        <w:keepLines w:val="on"/>
      </w:pPr>
      <w:r>
        <w:t>MINH HỌA 24.12: Định giá InfoSoft cho một đợt phát hành cổ phiếu lần đầu ra công chúng</w:t>
      </w:r>
      <w:bookmarkEnd w:id="5111"/>
      <w:bookmarkEnd w:id="5112"/>
    </w:p>
    <w:p>
      <w:pPr>
        <w:pStyle w:val="Para 04"/>
        <w:keepLines w:val="on"/>
      </w:pPr>
      <w:r>
        <w:t>Để định giá InfoSoft cho một đợt phát hành cổ phiếu lần đầu ra công chúng, chúng ta tập hợp các thông số đầu vào đã ước tính cho công ty:</w:t>
      </w:r>
    </w:p>
    <w:p>
      <w:pPr>
        <w:numPr>
          <w:ilvl w:val="0"/>
          <w:numId w:val="265"/>
        </w:numPr>
        <w:pStyle w:val="Para 18"/>
        <w:keepLines w:val="on"/>
      </w:pPr>
      <w:r>
        <w:t>Chi phí vốn: Trong minh họa 24.6, chúng ta sử dụng beta thị trường theo phương pháp từ dưới lên (bottom-up) cho InfoSoft và ước tính chi phí vốn chủ sở hữu và chi phí vốn là 11.50%:</w:t>
      </w:r>
    </w:p>
    <w:p>
      <w:bookmarkStart w:id="5113" w:name="Cost_of_equity_3_5__1_60__5___11"/>
      <w:pPr>
        <w:pStyle w:val="Para 52"/>
        <w:keepLines w:val="on"/>
      </w:pPr>
      <w:r>
        <w:t>Chi phí vốn chủ sở hữu = 3.5% + 1.60 (5%) = 11.50%Chi phí vốn = Chi phí vốn chủ sở hữu = 11.50%</w:t>
      </w:r>
      <w:bookmarkEnd w:id="5113"/>
    </w:p>
    <w:p>
      <w:pPr>
        <w:pStyle w:val="Para 04"/>
        <w:keepLines w:val="on"/>
      </w:pPr>
      <w:r>
        <w:t>Trong tính toán giá trị cuối kỳ (terminal value) (ở minh họa 24.9), chúng ta lập luận rằng beta sẽ giảm xuống 1.20 và tỷ lệ nợ sẽ tăng lên 10%, dẫn đến chi phí vốn là 8.85% trong giai đoạn tăng trưởng ổn định.</w:t>
      </w:r>
    </w:p>
    <w:p>
      <w:pPr>
        <w:numPr>
          <w:ilvl w:val="0"/>
          <w:numId w:val="265"/>
        </w:numPr>
        <w:pStyle w:val="Para 18"/>
        <w:keepLines w:val="on"/>
      </w:pPr>
      <w:r>
        <w:t>Dòng tiền và tốc độ tăng trưởng: Trong minh họa 24.7, chúng ta đã trình bày báo cáo thu nhập hiện tại của InfoSoft, với thu nhập hoạt động trước thuế là $1.5 triệu và thuế suất 40%. Trong minh họa 24.8, chúng ta ước tính tỷ suất sinh lợi trên vốn (return on capital) là 20% và tỷ lệ tái đầu tư là 90% cho InfoSoft, và giả định rằng mức này sẽ được duy trì trong năm năm tới, cho phép tăng trưởng thu nhập kỳ vọng ở mức 18%.</w:t>
      </w:r>
    </w:p>
    <w:p>
      <w:pPr>
        <w:numPr>
          <w:ilvl w:val="0"/>
          <w:numId w:val="265"/>
        </w:numPr>
        <w:pStyle w:val="Para 18"/>
        <w:keepLines w:val="on"/>
      </w:pPr>
      <w:r>
        <w:t>Giá trị cuối kỳ: Trong minh họa 24.9, chúng ta giả định rằng công ty sẽ ở giai đoạn tăng trưởng ổn định sau năm thứ 10, tăng trưởng 3% một năm, đồng thời duy trì tỷ suất sinh lợi trên vốn là 12%. Năm năm nằm giữa giai đoạn tăng trưởng cao (kéo dài năm năm) và giai đoạn tăng trưởng ổn định (sau năm thứ 10) đại diện cho một giai đoạn chuyển tiếp, khi mà tốc độ tăng trưởng, tỷ lệ tái đầu tư và chi phí vốn đều thay đổi từ mức tăng trưởng cao sang mức tăng trưởng ổn định. Bảng 24.5 tóm tắt dòng tiền và giá trị hiện tại (tính theo đơn vị ‘000).</w:t>
      </w:r>
    </w:p>
    <w:p>
      <w:pPr>
        <w:pStyle w:val="Para 25"/>
        <w:keepLines w:val="on"/>
      </w:pPr>
      <w:r>
        <w:t>Bảng 24.5</w:t>
      </w:r>
    </w:p>
    <w:p>
      <w:pPr>
        <w:keepNext/>
        <w:pStyle w:val="Para 24"/>
        <w:keepLines w:val="on"/>
      </w:pPr>
      <w:r>
        <w:t>Thu nhập kỳ vọng, dòng tiền và giá trị hiện tại</w:t>
      </w:r>
    </w:p>
    <w:tbl>
      <w:tblPr>
        <w:tblW w:type="auto" w:w="0"/>
      </w:tblPr>
      <w:tr>
        <w:tc>
          <w:tcPr>
            <w:tcW w:type="auto" w:w="0"/>
          </w:tcPr>
          <w:tbl>
            <w:tblPr>
              <w:tblW w:type="auto" w:w="0"/>
            </w:tblPr>
            <w:tr>
              <w:tc>
                <w:tcPr>
                  <w:tcW w:type="auto" w:w="0"/>
                  <w:shd w:val="clear" w:color="auto" w:fill="F0F0F0"/>
                  <w:vAlign w:val="bottom"/>
                </w:tcPr>
                <w:p>
                  <w:pPr>
                    <w:pStyle w:val="Para 05"/>
                    <w:keepLines w:val="on"/>
                  </w:pPr>
                  <w:r>
                    <w:t>Năm</w:t>
                  </w:r>
                </w:p>
              </w:tc>
              <w:tc>
                <w:tcPr>
                  <w:tcW w:type="auto" w:w="0"/>
                  <w:shd w:val="clear" w:color="auto" w:fill="F0F0F0"/>
                  <w:vAlign w:val="bottom"/>
                </w:tcPr>
                <w:p>
                  <w:pPr>
                    <w:pStyle w:val="Para 05"/>
                    <w:keepLines w:val="on"/>
                  </w:pPr>
                  <w:r>
                    <w:t>EBIT (1 – t)</w:t>
                  </w:r>
                </w:p>
              </w:tc>
              <w:tc>
                <w:tcPr>
                  <w:tcW w:type="auto" w:w="0"/>
                  <w:shd w:val="clear" w:color="auto" w:fill="F0F0F0"/>
                  <w:vAlign w:val="bottom"/>
                </w:tcPr>
                <w:p>
                  <w:pPr>
                    <w:pStyle w:val="Para 05"/>
                    <w:keepLines w:val="on"/>
                  </w:pPr>
                  <w:r>
                    <w:t>Tăng trưởng kỳ vọng</w:t>
                  </w:r>
                </w:p>
              </w:tc>
              <w:tc>
                <w:tcPr>
                  <w:tcW w:type="auto" w:w="0"/>
                  <w:shd w:val="clear" w:color="auto" w:fill="F0F0F0"/>
                  <w:vAlign w:val="bottom"/>
                </w:tcPr>
                <w:p>
                  <w:pPr>
                    <w:pStyle w:val="Para 05"/>
                    <w:keepLines w:val="on"/>
                  </w:pPr>
                  <w:r>
                    <w:t>Tỷ lệ tái đầu tư</w:t>
                  </w:r>
                </w:p>
              </w:tc>
              <w:tc>
                <w:tcPr>
                  <w:tcW w:type="auto" w:w="0"/>
                  <w:shd w:val="clear" w:color="auto" w:fill="F0F0F0"/>
                  <w:vAlign w:val="bottom"/>
                </w:tcPr>
                <w:p>
                  <w:pPr>
                    <w:pStyle w:val="Para 05"/>
                    <w:keepLines w:val="on"/>
                  </w:pPr>
                  <w:r>
                    <w:t>FCFF</w:t>
                  </w:r>
                </w:p>
              </w:tc>
              <w:tc>
                <w:tcPr>
                  <w:tcW w:type="auto" w:w="0"/>
                  <w:shd w:val="clear" w:color="auto" w:fill="F0F0F0"/>
                  <w:vAlign w:val="bottom"/>
                </w:tcPr>
                <w:p>
                  <w:pPr>
                    <w:pStyle w:val="Para 05"/>
                    <w:keepLines w:val="on"/>
                  </w:pPr>
                  <w:r>
                    <w:t>Chi phí vốn</w:t>
                  </w:r>
                </w:p>
              </w:tc>
              <w:tc>
                <w:tcPr>
                  <w:tcW w:type="auto" w:w="0"/>
                  <w:shd w:val="clear" w:color="auto" w:fill="F0F0F0"/>
                  <w:vAlign w:val="bottom"/>
                </w:tcPr>
                <w:p>
                  <w:pPr>
                    <w:pStyle w:val="Para 05"/>
                    <w:keepLines w:val="on"/>
                  </w:pPr>
                  <w:r>
                    <w:t>WACC lũy kế</w:t>
                  </w:r>
                </w:p>
              </w:tc>
              <w:tc>
                <w:tcPr>
                  <w:tcW w:type="auto" w:w="0"/>
                  <w:shd w:val="clear" w:color="auto" w:fill="F0F0F0"/>
                  <w:vAlign w:val="bottom"/>
                </w:tcPr>
                <w:p>
                  <w:pPr>
                    <w:pStyle w:val="Para 05"/>
                    <w:keepLines w:val="on"/>
                  </w:pPr>
                  <w:r>
                    <w:t>PV</w:t>
                  </w:r>
                </w:p>
              </w:tc>
            </w:tr>
            <w:tr>
              <w:tc>
                <w:tcPr>
                  <w:tcW w:type="auto" w:w="0"/>
                  <w:shd w:val="clear" w:color="auto" w:fill="F0F0F0"/>
                </w:tcPr>
                <w:p>
                  <w:pPr>
                    <w:pStyle w:val="Para 02"/>
                    <w:keepLines w:val="on"/>
                  </w:pPr>
                  <w:r>
                    <w:t>Hiện tại</w:t>
                  </w:r>
                </w:p>
              </w:tc>
              <w:tc>
                <w:tcPr>
                  <w:tcW w:type="auto" w:w="0"/>
                  <w:shd w:val="clear" w:color="auto" w:fill="F0F0F0"/>
                </w:tcPr>
                <w:p>
                  <w:pPr>
                    <w:pStyle w:val="Normal"/>
                    <w:keepLines w:val="on"/>
                  </w:pPr>
                  <w:r>
                    <w:t>$900</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$1,062</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90.00%</w:t>
                  </w:r>
                </w:p>
              </w:tc>
              <w:tc>
                <w:tcPr>
                  <w:tcW w:type="auto" w:w="0"/>
                  <w:shd w:val="clear" w:color="auto" w:fill="F0F0F0"/>
                </w:tcPr>
                <w:p>
                  <w:pPr>
                    <w:pStyle w:val="Normal"/>
                    <w:keepLines w:val="on"/>
                  </w:pPr>
                  <w:r>
                    <w:t>$106</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1.1150</w:t>
                  </w:r>
                </w:p>
              </w:tc>
              <w:tc>
                <w:tcPr>
                  <w:tcW w:type="auto" w:w="0"/>
                  <w:shd w:val="clear" w:color="auto" w:fill="F0F0F0"/>
                </w:tcPr>
                <w:p>
                  <w:pPr>
                    <w:pStyle w:val="Normal"/>
                    <w:keepLines w:val="on"/>
                  </w:pPr>
                  <w:r>
                    <w:t>$95</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$1,253</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90.00%</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1.2432</w:t>
                  </w:r>
                </w:p>
              </w:tc>
              <w:tc>
                <w:tcPr>
                  <w:tcW w:type="auto" w:w="0"/>
                  <w:shd w:val="clear" w:color="auto" w:fill="F0F0F0"/>
                </w:tcPr>
                <w:p>
                  <w:pPr>
                    <w:pStyle w:val="Normal"/>
                    <w:keepLines w:val="on"/>
                  </w:pPr>
                  <w:r>
                    <w:t>$101</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$1,479</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90.00%</w:t>
                  </w:r>
                </w:p>
              </w:tc>
              <w:tc>
                <w:tcPr>
                  <w:tcW w:type="auto" w:w="0"/>
                  <w:shd w:val="clear" w:color="auto" w:fill="F0F0F0"/>
                </w:tcPr>
                <w:p>
                  <w:pPr>
                    <w:pStyle w:val="Normal"/>
                    <w:keepLines w:val="on"/>
                  </w:pPr>
                  <w:r>
                    <w:t>$148</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1.3862</w:t>
                  </w:r>
                </w:p>
              </w:tc>
              <w:tc>
                <w:tcPr>
                  <w:tcW w:type="auto" w:w="0"/>
                  <w:shd w:val="clear" w:color="auto" w:fill="F0F0F0"/>
                </w:tcPr>
                <w:p>
                  <w:pPr>
                    <w:pStyle w:val="Normal"/>
                    <w:keepLines w:val="on"/>
                  </w:pPr>
                  <w:r>
                    <w:t>$107</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$1,745</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90.00%</w:t>
                  </w:r>
                </w:p>
              </w:tc>
              <w:tc>
                <w:tcPr>
                  <w:tcW w:type="auto" w:w="0"/>
                  <w:shd w:val="clear" w:color="auto" w:fill="F0F0F0"/>
                </w:tcPr>
                <w:p>
                  <w:pPr>
                    <w:pStyle w:val="Normal"/>
                    <w:keepLines w:val="on"/>
                  </w:pPr>
                  <w:r>
                    <w:t>$174</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1.5456</w:t>
                  </w:r>
                </w:p>
              </w:tc>
              <w:tc>
                <w:tcPr>
                  <w:tcW w:type="auto" w:w="0"/>
                  <w:shd w:val="clear" w:color="auto" w:fill="F0F0F0"/>
                </w:tcPr>
                <w:p>
                  <w:pPr>
                    <w:pStyle w:val="Normal"/>
                    <w:keepLines w:val="on"/>
                  </w:pPr>
                  <w:r>
                    <w:t>$113</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$2,059</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90.00%</w:t>
                  </w:r>
                </w:p>
              </w:tc>
              <w:tc>
                <w:tcPr>
                  <w:tcW w:type="auto" w:w="0"/>
                  <w:shd w:val="clear" w:color="auto" w:fill="F0F0F0"/>
                </w:tcPr>
                <w:p>
                  <w:pPr>
                    <w:pStyle w:val="Normal"/>
                    <w:keepLines w:val="on"/>
                  </w:pPr>
                  <w:r>
                    <w:t>$206</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1.7234</w:t>
                  </w:r>
                </w:p>
              </w:tc>
              <w:tc>
                <w:tcPr>
                  <w:tcW w:type="auto" w:w="0"/>
                  <w:shd w:val="clear" w:color="auto" w:fill="F0F0F0"/>
                </w:tcPr>
                <w:p>
                  <w:pPr>
                    <w:pStyle w:val="Normal"/>
                    <w:keepLines w:val="on"/>
                  </w:pPr>
                  <w:r>
                    <w:t>$119</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2.368 đô la</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77,00%</w:t>
                  </w:r>
                </w:p>
              </w:tc>
              <w:tc>
                <w:tcPr>
                  <w:tcW w:type="auto" w:w="0"/>
                  <w:shd w:val="clear" w:color="auto" w:fill="F0F0F0"/>
                </w:tcPr>
                <w:p>
                  <w:pPr>
                    <w:pStyle w:val="Normal"/>
                    <w:keepLines w:val="on"/>
                  </w:pPr>
                  <w:r>
                    <w:t>545 đô la</w:t>
                  </w:r>
                </w:p>
              </w:tc>
              <w:tc>
                <w:tcPr>
                  <w:tcW w:type="auto" w:w="0"/>
                  <w:shd w:val="clear" w:color="auto" w:fill="F0F0F0"/>
                </w:tcPr>
                <w:p>
                  <w:pPr>
                    <w:pStyle w:val="Normal"/>
                    <w:keepLines w:val="on"/>
                  </w:pPr>
                  <w:r>
                    <w:t>10,97%</w:t>
                  </w:r>
                </w:p>
              </w:tc>
              <w:tc>
                <w:tcPr>
                  <w:tcW w:type="auto" w:w="0"/>
                  <w:shd w:val="clear" w:color="auto" w:fill="F0F0F0"/>
                </w:tcPr>
                <w:p>
                  <w:pPr>
                    <w:pStyle w:val="Normal"/>
                    <w:keepLines w:val="on"/>
                  </w:pPr>
                  <w:r>
                    <w:t>1,9124</w:t>
                  </w:r>
                </w:p>
              </w:tc>
              <w:tc>
                <w:tcPr>
                  <w:tcW w:type="auto" w:w="0"/>
                  <w:shd w:val="clear" w:color="auto" w:fill="F0F0F0"/>
                </w:tcPr>
                <w:p>
                  <w:pPr>
                    <w:pStyle w:val="Normal"/>
                    <w:keepLines w:val="on"/>
                  </w:pPr>
                  <w:r>
                    <w:t>285 đô la</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2.652 đô la</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64,00%</w:t>
                  </w:r>
                </w:p>
              </w:tc>
              <w:tc>
                <w:tcPr>
                  <w:tcW w:type="auto" w:w="0"/>
                  <w:shd w:val="clear" w:color="auto" w:fill="F0F0F0"/>
                </w:tcPr>
                <w:p>
                  <w:pPr>
                    <w:pStyle w:val="Normal"/>
                    <w:keepLines w:val="on"/>
                  </w:pPr>
                  <w:r>
                    <w:t>955 đô la</w:t>
                  </w:r>
                </w:p>
              </w:tc>
              <w:tc>
                <w:tcPr>
                  <w:tcW w:type="auto" w:w="0"/>
                  <w:shd w:val="clear" w:color="auto" w:fill="F0F0F0"/>
                </w:tcPr>
                <w:p>
                  <w:pPr>
                    <w:pStyle w:val="Normal"/>
                    <w:keepLines w:val="on"/>
                  </w:pPr>
                  <w:r>
                    <w:t>10,44%</w:t>
                  </w:r>
                </w:p>
              </w:tc>
              <w:tc>
                <w:tcPr>
                  <w:tcW w:type="auto" w:w="0"/>
                  <w:shd w:val="clear" w:color="auto" w:fill="F0F0F0"/>
                </w:tcPr>
                <w:p>
                  <w:pPr>
                    <w:pStyle w:val="Normal"/>
                    <w:keepLines w:val="on"/>
                  </w:pPr>
                  <w:r>
                    <w:t>2,1121</w:t>
                  </w:r>
                </w:p>
              </w:tc>
              <w:tc>
                <w:tcPr>
                  <w:tcW w:type="auto" w:w="0"/>
                  <w:shd w:val="clear" w:color="auto" w:fill="F0F0F0"/>
                </w:tcPr>
                <w:p>
                  <w:pPr>
                    <w:pStyle w:val="Normal"/>
                    <w:keepLines w:val="on"/>
                  </w:pPr>
                  <w:r>
                    <w:t>452 đô la</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2.891 đô la</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51,00%</w:t>
                  </w:r>
                </w:p>
              </w:tc>
              <w:tc>
                <w:tcPr>
                  <w:tcW w:type="auto" w:w="0"/>
                  <w:shd w:val="clear" w:color="auto" w:fill="F0F0F0"/>
                </w:tcPr>
                <w:p>
                  <w:pPr>
                    <w:pStyle w:val="Normal"/>
                    <w:keepLines w:val="on"/>
                  </w:pPr>
                  <w:r>
                    <w:t>1.416 đô la</w:t>
                  </w:r>
                </w:p>
              </w:tc>
              <w:tc>
                <w:tcPr>
                  <w:tcW w:type="auto" w:w="0"/>
                  <w:shd w:val="clear" w:color="auto" w:fill="F0F0F0"/>
                </w:tcPr>
                <w:p>
                  <w:pPr>
                    <w:pStyle w:val="Normal"/>
                    <w:keepLines w:val="on"/>
                  </w:pPr>
                  <w:r>
                    <w:t>9,91%</w:t>
                  </w:r>
                </w:p>
              </w:tc>
              <w:tc>
                <w:tcPr>
                  <w:tcW w:type="auto" w:w="0"/>
                  <w:shd w:val="clear" w:color="auto" w:fill="F0F0F0"/>
                </w:tcPr>
                <w:p>
                  <w:pPr>
                    <w:pStyle w:val="Normal"/>
                    <w:keepLines w:val="on"/>
                  </w:pPr>
                  <w:r>
                    <w:t>2,3214</w:t>
                  </w:r>
                </w:p>
              </w:tc>
              <w:tc>
                <w:tcPr>
                  <w:tcW w:type="auto" w:w="0"/>
                  <w:shd w:val="clear" w:color="auto" w:fill="F0F0F0"/>
                </w:tcPr>
                <w:p>
                  <w:pPr>
                    <w:pStyle w:val="Normal"/>
                    <w:keepLines w:val="on"/>
                  </w:pPr>
                  <w:r>
                    <w:t>610 đô la</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$3,064</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38,00%</w:t>
                  </w:r>
                </w:p>
              </w:tc>
              <w:tc>
                <w:tcPr>
                  <w:tcW w:type="auto" w:w="0"/>
                  <w:shd w:val="clear" w:color="auto" w:fill="F0F0F0"/>
                </w:tcPr>
                <w:p>
                  <w:pPr>
                    <w:pStyle w:val="Normal"/>
                    <w:keepLines w:val="on"/>
                  </w:pPr>
                  <w:r>
                    <w:t>$1.900</w:t>
                  </w:r>
                </w:p>
              </w:tc>
              <w:tc>
                <w:tcPr>
                  <w:tcW w:type="auto" w:w="0"/>
                  <w:shd w:val="clear" w:color="auto" w:fill="F0F0F0"/>
                </w:tcPr>
                <w:p>
                  <w:pPr>
                    <w:pStyle w:val="Normal"/>
                    <w:keepLines w:val="on"/>
                  </w:pPr>
                  <w:r>
                    <w:t>9,38%</w:t>
                  </w:r>
                </w:p>
              </w:tc>
              <w:tc>
                <w:tcPr>
                  <w:tcW w:type="auto" w:w="0"/>
                  <w:shd w:val="clear" w:color="auto" w:fill="F0F0F0"/>
                </w:tcPr>
                <w:p>
                  <w:pPr>
                    <w:pStyle w:val="Normal"/>
                    <w:keepLines w:val="on"/>
                  </w:pPr>
                  <w:r>
                    <w:t>2,5391</w:t>
                  </w:r>
                </w:p>
              </w:tc>
              <w:tc>
                <w:tcPr>
                  <w:tcW w:type="auto" w:w="0"/>
                  <w:shd w:val="clear" w:color="auto" w:fill="F0F0F0"/>
                </w:tcPr>
                <w:p>
                  <w:pPr>
                    <w:pStyle w:val="Normal"/>
                    <w:keepLines w:val="on"/>
                  </w:pPr>
                  <w:r>
                    <w:t>$748</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$3.156</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$2.367</w:t>
                  </w:r>
                </w:p>
              </w:tc>
              <w:tc>
                <w:tcPr>
                  <w:tcW w:type="auto" w:w="0"/>
                  <w:shd w:val="clear" w:color="auto" w:fill="F0F0F0"/>
                </w:tcPr>
                <w:p>
                  <w:pPr>
                    <w:pStyle w:val="Normal"/>
                    <w:keepLines w:val="on"/>
                  </w:pPr>
                  <w:r>
                    <w:t>8,85%</w:t>
                  </w:r>
                </w:p>
              </w:tc>
              <w:tc>
                <w:tcPr>
                  <w:tcW w:type="auto" w:w="0"/>
                  <w:shd w:val="clear" w:color="auto" w:fill="F0F0F0"/>
                </w:tcPr>
                <w:p>
                  <w:pPr>
                    <w:pStyle w:val="Normal"/>
                    <w:keepLines w:val="on"/>
                  </w:pPr>
                  <w:r>
                    <w:t>2,7638</w:t>
                  </w:r>
                </w:p>
              </w:tc>
              <w:tc>
                <w:tcPr>
                  <w:tcW w:type="auto" w:w="0"/>
                  <w:shd w:val="clear" w:color="auto" w:fill="F0F0F0"/>
                </w:tcPr>
                <w:p>
                  <w:pPr>
                    <w:pStyle w:val="Normal"/>
                    <w:keepLines w:val="on"/>
                  </w:pPr>
                  <w:r>
                    <w:t>$856</w:t>
                  </w:r>
                </w:p>
              </w:tc>
            </w:tr>
            <w:tr>
              <w:tc>
                <w:tcPr>
                  <w:tcW w:type="auto" w:w="0"/>
                  <w:shd w:val="clear" w:color="auto" w:fill="F0F0F0"/>
                </w:tcPr>
                <w:p>
                  <w:pPr>
                    <w:pStyle w:val="Normal"/>
                    <w:keepLines w:val="on"/>
                  </w:pPr>
                  <w:r>
                    <w:t>Tổng</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$3.487</w:t>
                  </w:r>
                </w:p>
              </w:tc>
            </w:tr>
          </w:tbl>
          <w:p/>
        </w:tc>
      </w:tr>
    </w:tbl>
    <w:p>
      <w:pPr>
        <w:pStyle w:val="Para 04"/>
        <w:keepLines w:val="on"/>
      </w:pPr>
      <w:r>
        <w:t>Vào cuối năm thứ 10, công ty đang ở giai đoạn tăng trưởng ổn định và giá trị cuối kỳ (terminal value) được ước tính như sau:</w:t>
      </w:r>
    </w:p>
    <w:p>
      <w:bookmarkStart w:id="5116" w:name="Terminalvalue_EBIT101___tax_rate"/>
      <w:pPr>
        <w:keepNext/>
        <w:pStyle w:val="Para 07"/>
        <w:keepLines w:val="on"/>
      </w:pPr>
      <w:r>
        <w:t>Giá trị cuối kỳ = EBIT10 × (1 − thuế suất) × (1 + tốc độ tăng trưởng ổn định) × (1 − tỷ lệ tái đầu tư) / (chi phí vốn − tốc độ tăng trưởng ổn định) = 3.156 × 1,03 × (1 − 0,25) / (0,0885 − 0,03) = 41,675 triệu đô la</w:t>
      </w:r>
      <w:bookmarkEnd w:id="5116"/>
    </w:p>
    <w:p>
      <w:pPr>
        <w:pStyle w:val="Para 04"/>
        <w:keepLines w:val="on"/>
      </w:pPr>
      <w:r>
        <w:t>Chiết khấu giá trị cuối kỳ về hiện tại, cộng vào giá trị hiện tại của dòng tiền trong giai đoạn tăng trưởng cao và trừ đi nợ (bằng không) sẽ cho ra giá trị 18,566 triệu đô la cho giá trị tài sản hoạt động.</w:t>
      </w:r>
    </w:p>
    <w:p>
      <w:bookmarkStart w:id="5117" w:name="Valueofoperatingassets_PVofcashf"/>
      <w:pPr>
        <w:keepNext/>
        <w:pStyle w:val="Para 07"/>
        <w:keepLines w:val="on"/>
      </w:pPr>
      <w:r>
        <w:t>Giá trị tài sản hoạt động = PV dòng tiền từ năm 1−10 + Giá trị cuối kỳ / WACC lũy kế năm 10 = 3,487 + 41,675 / 2,7638 = 18,566 triệu đô la</w:t>
      </w:r>
      <w:bookmarkEnd w:id="5117"/>
    </w:p>
    <w:p>
      <w:pPr>
        <w:pStyle w:val="Para 04"/>
        <w:keepLines w:val="on"/>
      </w:pPr>
      <w:r>
        <w:t>Cộng thêm số dư tiền mặt ($500.000) và trừ đi nợ (0 đô la), ta có giá trị vốn chủ sở hữu:</w:t>
      </w:r>
    </w:p>
    <w:p>
      <w:bookmarkStart w:id="5118" w:name="Value_of_equity_Value_of_operati_3"/>
      <w:pPr>
        <w:keepNext/>
        <w:pStyle w:val="Para 07"/>
        <w:keepLines w:val="on"/>
      </w:pPr>
      <w:r>
        <w:t>Giá trị vốn chủ sở hữu = Giá trị tài sản hoạt động + Tiền mặt − Nợ = 18,566 + 0,5 − 0 = 19,066 triệu đô la</w:t>
      </w:r>
      <w:bookmarkEnd w:id="5118"/>
    </w:p>
    <w:p>
      <w:pPr>
        <w:pStyle w:val="Para 04"/>
        <w:keepLines w:val="on"/>
      </w:pPr>
      <w:r>
        <w:t>Tính giá trị vốn chủ sở hữu trên mỗi cổ phần: Để có giá trị vốn chủ sở hữu trên mỗi cổ phần, ta định giá 100.000 quyền chọn vốn chủ sở hữu (equity options) mà các nhà quản lý và nhà đầu tư mạo hiểm nắm giữ trong công ty, trừ giá trị này khỏi giá trị vốn chủ sở hữu, trước khi chia cho 1 triệu cổ phần đang lưu hành.</w:t>
      </w:r>
    </w:p>
    <w:p>
      <w:bookmarkStart w:id="5120" w:name="Value_of_management_options__in"/>
      <w:pPr>
        <w:keepNext/>
        <w:pStyle w:val="Para 07"/>
        <w:keepLines w:val="on"/>
      </w:pPr>
      <w:r>
        <w:t>Giá trị quyền chọn của ban quản lý (tính bằng triệu đô la) = $1,161</w:t>
      </w:r>
      <w:bookmarkEnd w:id="5120"/>
    </w:p>
    <w:p>
      <w:bookmarkStart w:id="5121" w:name="Valueofequityincommonstock__19_0"/>
      <w:pPr>
        <w:keepNext/>
        <w:pStyle w:val="Para 07"/>
        <w:keepLines w:val="on"/>
      </w:pPr>
      <w:r>
        <w:t>Giá trị vốn chủ sở hữu của cổ phiếu phổ thông = $19,066 − $1,161 = $17,904 triệu</w:t>
      </w:r>
      <w:bookmarkEnd w:id="5121"/>
    </w:p>
    <w:p>
      <w:bookmarkStart w:id="5122" w:name="Value_of_equity_per_share__17_90"/>
      <w:pPr>
        <w:keepNext/>
        <w:pStyle w:val="Para 07"/>
        <w:keepLines w:val="on"/>
      </w:pPr>
      <w:r>
        <w:t>Giá trị vốn chủ sở hữu trên mỗi cổ phiếu = $17,904/1,00 = $17,90</w:t>
      </w:r>
      <w:bookmarkEnd w:id="5122"/>
    </w:p>
    <w:p>
      <w:pPr>
        <w:pStyle w:val="Para 11"/>
      </w:pPr>
      <w:r>
        <w:t xml:space="preserve"> </w:t>
      </w:r>
    </w:p>
    <w:p>
      <w:bookmarkStart w:id="5123" w:name="Management_Forecasts_and_the_Gam_1"/>
      <w:bookmarkStart w:id="5124" w:name="Management_Forecasts_and_the_Gam"/>
      <w:pPr>
        <w:keepNext/>
        <w:pStyle w:val="Para 27"/>
        <w:keepLines w:val="on"/>
      </w:pPr>
      <w:r>
        <w:t>Dự báo của ban quản lý và trò chơi định giá công ty tư nhân</w:t>
      </w:r>
      <w:bookmarkEnd w:id="5123"/>
      <w:bookmarkEnd w:id="5124"/>
    </w:p>
    <w:p>
      <w:pPr>
        <w:pStyle w:val="Para 16"/>
        <w:keepLines w:val="on"/>
      </w:pPr>
      <w:r>
        <w:t>Khi định giá các công ty đại chúng, chúng ta đã bàn về việc sử dụng dự báo tăng trưởng của các nhà phân tích và hướng dẫn của ban quản lý để ước tính dòng tiền và tăng trưởng cho công ty, đồng thời cảnh báo rằng dù các nhà phân tích và nhà quản lý có lợi thế thông tin so với người ngoài, thiên kiến (bias) có thể nhanh chóng làm xói mòn lợi thế đó. Trong định giá công ty tư nhân, việc các thẩm định viên dựa vào ban quản lý của công ty tư nhân để ước tính dòng tiền tương lai không chỉ là chuyện phổ biến, mà còn thường được các quy tắc thẩm định yêu cầu. Lý lẽ mà các thẩm định viên đưa ra để biện minh cho sự phụ thuộc này là với nhiều doanh nghiệp tư nhân nhỏ, thông tin mà ban quản lý có về điều kiện thị trường và kế hoạch đầu tư là không thể thiếu khi dự báo dòng tiền. Điều đó có thể đúng, nhưng thiên kiến trong dự báo của ban quản lý cũng có khả năng lớn hơn nhiều, vì không có giá thị trường để kiểm chứng.</w:t>
      </w:r>
    </w:p>
    <w:p>
      <w:pPr>
        <w:pStyle w:val="Para 16"/>
        <w:keepLines w:val="on"/>
      </w:pPr>
      <w:r>
        <w:t>Vì vậy, không có gì ngạc nhiên khi các thẩm định viên, đặc biệt là khi họ tích lũy nhiều kinh nghiệm hơn, chấp nhận rằng dự báo dòng tiền của ban quản lý bị thiên lệch theo hướng tăng lên và cố gắng bù đắp bằng cách dùng tỷ lệ chiết khấu cao hơn. Ở phần trước của chương này, chúng ta đã bàn về phần bù rủi ro riêng cho từng công ty (company-specific risk premium) được cộng thêm vào tỷ lệ chiết khấu của công ty tư nhân, với cơ sở mơ hồ và không có dữ liệu thực tế nào chống lưng. Với các thẩm định viên, phần bù rủi ro riêng cho từng công ty trở thành một công cụ dùng để tăng tỷ lệ chiết khấu đủ cao nhằm bù đắp cho dòng tiền quá cao, và hy vọng mang lại một giá trị hợp lý.</w:t>
      </w:r>
    </w:p>
    <w:p>
      <w:pPr>
        <w:pStyle w:val="Para 16"/>
        <w:keepLines w:val="on"/>
      </w:pPr>
      <w:r>
        <w:t>Theo quan điểm của chúng tôi, quá trình này mở ra cánh cửa dẫn đến những giá trị nội tại vô nghĩa, nơi những dòng tiền bịa ra được chiết khấu bằng những tỷ lệ chiết khấu bịa ra để đi đến những giá trị đã được định sẵn. Với những thẩm định viên lập luận rằng họ không có lựa chọn nào khác, chúng ta cần tranh luận vì sao dự báo của ban quản lý lại được lấy làm điểm khởi đầu và thay đổi thông lệ đó.</w:t>
      </w:r>
    </w:p>
    <w:p>
      <w:bookmarkStart w:id="5125" w:name="Control_Issues"/>
      <w:bookmarkStart w:id="5126" w:name="Control_Issues__When_valuing_a_f"/>
      <w:pPr>
        <w:keepNext/>
        <w:pStyle w:val="Heading 3"/>
        <w:keepLines w:val="on"/>
      </w:pPr>
      <w:r>
        <w:t>Các vấn đề về quyền kiểm soát</w:t>
      </w:r>
      <w:bookmarkEnd w:id="5125"/>
      <w:bookmarkEnd w:id="5126"/>
    </w:p>
    <w:p>
      <w:pPr>
        <w:pStyle w:val="Para 03"/>
      </w:pPr>
      <w:r>
        <w:t>Khi định giá một doanh nghiệp, bạn cần xem xét năng lực và điểm mạnh của ban quản lý doanh nghiệp. Với các doanh nghiệp tư nhân mà chủ sở hữu cũng là người quản lý, cân nhắc này có trọng lượng đặc biệt, vì chủ sở hữu nắm quyền kiểm soát tuyệt đối. Ngược lại, ở một công ty đại chúng, ban quản lý kém cỏi thường có thể bị thay thế, nếu thuyết phục được đủ số cổ đông rằng điều đó có lợi nhất cho họ.</w:t>
      </w:r>
    </w:p>
    <w:p>
      <w:pPr>
        <w:pStyle w:val="Para 03"/>
      </w:pPr>
      <w:r>
        <w:t>Có những hàm ý cho việc định giá nếu một phần của công ty tư nhân được chào bán. Nếu phần đó mang lại quyền kiểm soát (tức là quyền chọn ban quản lý của công ty), nó phải có giá trị cao hơn đáng kể so với khi không mang lại quyền lực này. Thông thường, điều này có nghĩa là 51% vốn chủ sở hữu của một công ty tư nhân phải được giao dịch ở mức cao hơn đáng kể so với 49%. Điều này đúng dù công ty được bán cho một thực thể tư nhân hay một công ty đại chúng, và có thể phát sinh trong một đợt phát hành cổ phiếu lần đầu ra công chúng (IPO). Ví dụ, nếu chỉ có cổ phiếu không có quyền biểu quyết hoặc cổ phiếu có quyền biểu quyết bị pha loãng được chào bán cho nhà đầu tư trong đợt phát hành ra công chúng, chúng phải được giao dịch ở mức chiết khấu so với cổ phiếu có đầy đủ quyền biểu quyết.</w:t>
      </w:r>
    </w:p>
    <w:p>
      <w:pPr>
        <w:pStyle w:val="Para 03"/>
      </w:pPr>
      <w:r>
        <w:t>Dù trực giác về giá trị của quyền kiểm soát thì đơn giản, việc ước tính nó đáng giá bao nhiêu lại khó hơn một chút. Chúng ta sẽ hoãn thảo luận đầy đủ về chủ đề này đến chương sau về mua bán và sáp nhập, nhưng chúng ta sẽ định giá nó bằng chênh lệch giữa hai giá trị — giá trị của doanh nghiệp được điều hành tối ưu và giá trị của doanh nghiệp với ban quản lý hiện tại. Ví dụ, nếu giá trị của một công ty tư nhân do ban quản lý hiện tại điều hành là $100 triệu và giá trị của doanh nghiệp được điều hành tối ưu là $150 triệu, chênh lệch giá trị giữa phần cổ phần 51% và 49% có thể được tính như sau:</w:t>
      </w:r>
    </w:p>
    <w:p>
      <w:bookmarkStart w:id="5128" w:name="Valueofcontrollinginterest_51_of"/>
      <w:pPr>
        <w:keepNext/>
        <w:pStyle w:val="Para 09"/>
        <w:keepLines w:val="on"/>
      </w:pPr>
      <w:r>
        <w:t>Giá trị của phần lợi ích kiểm soát = 51% giá trị tối ưu = 0,51 × 150 = $76,5 triệu</w:t>
      </w:r>
      <w:bookmarkEnd w:id="5128"/>
    </w:p>
    <w:p>
      <w:bookmarkStart w:id="5129" w:name="Valueofnoncontrollinginterest_49"/>
      <w:pPr>
        <w:keepNext/>
        <w:pStyle w:val="Para 09"/>
        <w:keepLines w:val="on"/>
      </w:pPr>
      <w:r>
        <w:t>Giá trị của phần lợi ích không kiểm soát = 49% giá trị hiện trạng = 0,49 × 100 = $49 triệu</w:t>
      </w:r>
      <w:bookmarkEnd w:id="5129"/>
    </w:p>
    <w:p>
      <w:pPr>
        <w:pStyle w:val="Para 03"/>
      </w:pPr>
      <w:r>
        <w:t>Phần lợi ích tăng thêm 2% (từ 49 lên 51%) có tác động không tương xứng lên giá trị vì quyền kiểm soát. Giá trị của quyền kiểm soát này sẽ lớn nhất với các công ty tư nhân được điều hành kém và sẽ gần bằng không với các công ty được điều hành tốt.</w:t>
      </w:r>
    </w:p>
    <w:p>
      <w:pPr>
        <w:pStyle w:val="Para 03"/>
      </w:pPr>
      <w:r>
        <w:t>Như chúng ta đã lưu ý ở Chương 16, cách tiếp cận tương tự có thể được dùng để tính mức chiết khấu mà cổ phiếu không có quyền biểu quyết sẽ được giao dịch so với cổ phiếu có quyền biểu quyết trong các đợt phát hành cổ phiếu lần đầu ra công chúng.</w:t>
      </w:r>
    </w:p>
    <w:p>
      <w:pPr>
        <w:pStyle w:val="Para 03"/>
      </w:pPr>
      <w:r>
        <w:t>Giá trị của hai loại cổ phiếu có thể được ước tính như sau:</w:t>
      </w:r>
    </w:p>
    <w:p>
      <w:bookmarkStart w:id="5130" w:name="Value_per_nonvoting_share_Status_1"/>
      <w:pPr>
        <w:keepNext/>
        <w:pStyle w:val="Para 09"/>
        <w:keepLines w:val="on"/>
      </w:pPr>
      <w:r>
        <w:t>Giá trị trên mỗi cổ phiếu không có quyền biểu quyết = Giá trị hiện trạng / (Số cổ phiếu có quyền biểu quyết + Số cổ phiếu không có quyền biểu quyết)
Giá trị trên mỗi cổ phiếu có quyền biểu quyết = Giá trị hiện trạng / (Số cổ phiếu có quyền biểu quyết + Số cổ phiếu không có quyền biểu quyết) + (Giá trị tối ưu − Giá trị hiện trạng) × Xác suất thay đổi / Số cổ phiếu có quyền biểu quyết</w:t>
      </w:r>
      <w:bookmarkEnd w:id="5130"/>
    </w:p>
    <w:p>
      <w:pPr>
        <w:pStyle w:val="Para 03"/>
      </w:pPr>
      <w:r>
        <w:t>Bằng cách giả định rằng cổ phiếu có quyền biểu quyết nhận toàn bộ giá trị kỳ vọng của quyền kiểm soát, có lẽ chúng ta đang phóng đại phần bù, vì cổ phiếu không có quyền biểu quyết có thể đòi được một phần, hoặc thậm chí một phần bằng nhau, tùy thuộc vào thay đổi được thực hiện.7</w:t>
      </w:r>
    </w:p>
    <w:p>
      <w:pPr>
        <w:pStyle w:val="Para 20"/>
      </w:pPr>
      <w:r>
        <w:rPr>
          <w:rStyle w:val="Text26"/>
        </w:rPr>
        <w:bookmarkStart w:id="5132" w:name="Page_786"/>
        <w:t/>
        <w:bookmarkEnd w:id="5132"/>
      </w:r>
      <w:r>
        <w:t xml:space="preserve"> </w:t>
      </w:r>
    </w:p>
    <w:p>
      <w:pPr>
        <w:pStyle w:val="Para 11"/>
      </w:pPr>
      <w:r>
        <w:t xml:space="preserve"> </w:t>
      </w:r>
    </w:p>
    <w:p>
      <w:bookmarkStart w:id="5133" w:name="ILLUSTRATION_24_13___Valuing_Vot_1"/>
      <w:bookmarkStart w:id="5134" w:name="ILLUSTRATION_24_13___Valuing_Vot"/>
      <w:pPr>
        <w:keepNext/>
        <w:pStyle w:val="Para 19"/>
        <w:keepLines w:val="on"/>
      </w:pPr>
      <w:r>
        <w:t>MINH HỌA 24.13: Định giá cổ phiếu có quyền biểu quyết và không có quyền biểu quyết: InfoSoft</w:t>
      </w:r>
      <w:bookmarkEnd w:id="5133"/>
      <w:bookmarkEnd w:id="5134"/>
    </w:p>
    <w:p>
      <w:pPr>
        <w:pStyle w:val="Para 04"/>
        <w:keepLines w:val="on"/>
      </w:pPr>
      <w:r>
        <w:t>Trong minh họa trước, chúng ta đã định giá vốn chủ sở hữu của InfoSoft ở mức $17,904 triệu. Dựa trên 1 triệu cổ phiếu đang lưu hành, chúng ta ước tính giá trị mỗi cổ phiếu là $17,90. Giả sử công ty quyết định tạo ra 0,9 triệu cổ phiếu không có quyền biểu quyết và 0,1 triệu cổ phiếu có quyền biểu quyết. Trong đợt chào bán đầu tiên, chỉ cổ phiếu không có quyền biểu quyết sẽ được bán cho công chúng, và các chủ sở hữu hiện tại sẽ giữ toàn bộ cổ phiếu có quyền biểu quyết.</w:t>
      </w:r>
    </w:p>
    <w:p>
      <w:pPr>
        <w:pStyle w:val="Para 04"/>
        <w:keepLines w:val="on"/>
      </w:pPr>
      <w:r>
        <w:t>Để định giá cổ phiếu có quyền biểu quyết và không có quyền biểu quyết, chúng ta cần định giá InfoSoft dưới sự điều hành tối ưu. Giả sử công ty sẽ có giá trị $20 triệu dưới sự điều hành tối ưu.8 Giá trị của cổ phiếu có quyền biểu quyết và không có quyền biểu quyết sau đó có thể được tính.</w:t>
      </w:r>
    </w:p>
    <w:p>
      <w:bookmarkStart w:id="5136" w:name="Value_per_nonvoting_share_Status_2"/>
      <w:pPr>
        <w:keepNext/>
        <w:pStyle w:val="Para 07"/>
        <w:keepLines w:val="on"/>
      </w:pPr>
      <w:r>
        <w:t>Giá trị trên mỗi cổ phiếu không có quyền biểu quyết = Giá trị hiện trạng / (Số cổ phiếu có quyền biểu quyết + Số cổ phiếu không có quyền biểu quyết) = 17,904 / (0,1 + 0,9) = $17,90</w:t>
      </w:r>
      <w:bookmarkEnd w:id="5136"/>
    </w:p>
    <w:p>
      <w:pPr>
        <w:pStyle w:val="Para 04"/>
        <w:keepLines w:val="on"/>
      </w:pPr>
      <w:r>
        <w:t>Giả định rằng các nhà quản lý hiện tại sẽ giữ cổ phiếu có quyền biểu quyết làm giảm xác suất thay đổi ban quản lý xuống còn 25%.</w:t>
      </w:r>
    </w:p>
    <w:p>
      <w:bookmarkStart w:id="5137" w:name="Value_per_voting_share_Status_qu"/>
      <w:pPr>
        <w:keepNext/>
        <w:pStyle w:val="Para 07"/>
        <w:keepLines w:val="on"/>
      </w:pPr>
      <w:r>
        <w:t>Giá trị trên mỗi cổ phiếu có quyền biểu quyết = Giá trị hiện trạng / (Số cổ phiếu có quyền biểu quyết + Số cổ phiếu không có quyền biểu quyết) + (Giá trị tối ưu − Giá trị hiện trạng) × Xác suất thay đổi / Số cổ phiếu có quyền biểu quyết = 17,904 / (0,1 + 0,9) + (20 − 17,904) × 0,25 / 0,1 = $23,14</w:t>
      </w:r>
      <w:bookmarkEnd w:id="5137"/>
    </w:p>
    <w:p>
      <w:bookmarkStart w:id="5138" w:name="Valuing_Venture_Capital_and_Priv_1"/>
      <w:bookmarkStart w:id="5139" w:name="Valuing_Venture_Capital_and_Priv"/>
      <w:pPr>
        <w:keepNext/>
        <w:pStyle w:val="Heading 2"/>
        <w:keepLines w:val="on"/>
      </w:pPr>
      <w:r>
        <w:t>Định giá các khoản đầu tư vốn mạo hiểm và vốn cổ phần tư nhân</w:t>
      </w:r>
      <w:bookmarkEnd w:id="5138"/>
      <w:bookmarkEnd w:id="5139"/>
    </w:p>
    <w:p>
      <w:pPr>
        <w:pStyle w:val="Para 03"/>
      </w:pPr>
      <w:r>
        <w:t>Trong các minh họa trước, chúng ta đã xem xét hai thái cực trong phổ định giá công ty tư nhân: một giao dịch tư nhân sang tư nhân, nơi người mua và người bán hoàn toàn không đa dạng hóa (và do đó phơi nhiễm với toàn bộ rủi ro), và một giao dịch tư nhân sang đại chúng, một IPO, hay bán một công ty tư nhân cho một công ty đại chúng, nơi các phương pháp định giá thông thường hơn phát huy tác dụng.</w:t>
      </w:r>
    </w:p>
    <w:p>
      <w:pPr>
        <w:pStyle w:val="Para 03"/>
      </w:pPr>
      <w:r>
        <w:t>Có một trường hợp trung gian, khi các nhà đầu tư mạo hiểm (venture capitalist) và nhà đầu tư cổ phần tư nhân (private equity) nắm cổ phần trong các doanh nghiệp tư nhân, với ý định thoái vốn khi công ty lên sàn hoặc được bán cho một thực thể đại chúng. Các nhà đầu tư mạo hiểm và nhà đầu tư cổ phần tư nhân đa dạng hóa hơn so với chủ sở hữu tư nhân, nhưng họ không đa dạng hóa bằng các nhà đầu tư trên thị trường đại chúng vì hai lý do. Thứ nhất là họ chuyên về một vài lĩnh vực: nhiều nhà đầu tư mạo hiểm chỉ đầu tư vào các công ty công nghệ sinh học hoặc doanh nghiệp phần mềm. Thứ hai là quy mô các vị thế của họ (thường khá lớn) và nhu cầu giám sát khiến họ không thể nắm giữ nhiều hơn một vài vị thế mở tại bất kỳ thời điểm nào.</w:t>
      </w:r>
    </w:p>
    <w:p>
      <w:pPr>
        <w:pStyle w:val="Para 03"/>
      </w:pPr>
      <w:r>
        <w:t>Theo một nghĩa nào đó, nếu bạn coi beta tổng thể (total beta) là thước đo phù hợp cho đầu cực hoàn toàn không đa dạng hóa của phổ, và beta thị trường (market beta) là thước đo rủi ro đúng cho người mua hoàn toàn đa dạng hóa, thì các nhà đầu tư mạo hiểm và nhà đầu tư cổ phần tư nhân nằm ở giữa phổ đó. Thực tế, chúng ta có thể điều chỉnh phương trình beta tổng thể để phản ánh những khác biệt này:</w:t>
      </w:r>
    </w:p>
    <w:p>
      <w:bookmarkStart w:id="5141" w:name="VC_or_private_equity_beta_Market"/>
      <w:pPr>
        <w:keepNext/>
        <w:pStyle w:val="Para 09"/>
        <w:keepLines w:val="on"/>
      </w:pPr>
      <w:r>
        <w:t>Beta của VC hoặc cổ phần tư nhân = Beta thị trường / Tương quan của danh mục VC hoặc PE với thị trường</w:t>
      </w:r>
      <w:bookmarkEnd w:id="5141"/>
    </w:p>
    <w:p>
      <w:pPr>
        <w:pStyle w:val="Para 03"/>
      </w:pPr>
      <w:r>
        <w:t>Như vậy, chúng ta đang thay thế tương quan của doanh nghiệp tư nhân với thị trường bằng tương quan của danh mục nhà đầu tư. Ở giới hạn, một quỹ cổ phần tư nhân có thể có nhiều khoản nắm giữ trải rộng trên nhiều doanh nghiệp khác nhau đến mức tương quan danh mục của họ với thị trường tiến gần đến 1, và beta mà họ nên dùng chính là beta thị trường. Thực tế, khi một số công ty cổ phần tư nhân lớn nhất như Blackstone đã lên sàn, bạn có thể lập luận rằng họ nên đánh giá định giá của tất cả các doanh nghiệp tư nhân như thể họ đã được đa dạng hóa hoàn toàn.</w:t>
      </w:r>
    </w:p>
    <w:p>
      <w:pPr>
        <w:pStyle w:val="Para 03"/>
      </w:pPr>
      <w:r>
        <w:t>Để thấy điều này diễn ra như thế nào, giả sử bạn đang định giá một doanh nghiệp tư nhân hoạt động trong một lĩnh vực mà các công ty niêm yết có beta trung bình là 1 và tương quan trung bình của các doanh nghiệp với thị trường là 0,25. Giả sử công ty này sẽ được chủ sở hữu hiện tại nắm giữ hoàn toàn trong hai năm, sẽ huy động vốn từ một nhà đầu tư mạo hiểm công nghệ vào đầu năm thứ 3, và dự kiến sẽ lên sàn hoặc được bán cho một công ty niêm yết vào cuối năm thứ 5. Chúng ta ước tính chi phí vốn chủ sở hữu (cost of equity) ở ba giai đoạn (lãi suất phi rủi ro = 4%; phần bù rủi ro vốn chủ sở hữu = 5%):</w:t>
      </w:r>
    </w:p>
    <w:p>
      <w:pPr>
        <w:pStyle w:val="Para 01"/>
      </w:pPr>
      <w:r>
        <w:t>Giai đoạn 1: Doanh nghiệp non trẻ, với chủ sở hữu tư nhân đầu tư hoàn toàn vào doanh nghiệp đó:</w:t>
      </w:r>
    </w:p>
    <w:p>
      <w:bookmarkStart w:id="5142" w:name="Perceived_beta__1_0_25_4Cost_of"/>
      <w:pPr>
        <w:pStyle w:val="Para 39"/>
      </w:pPr>
      <w:r>
        <w:t>Beta cảm nhận = 1/0,25 = 4; Chi phí vốn chủ sở hữu = 4% + 4(5%) = 24%</w:t>
      </w:r>
      <w:bookmarkEnd w:id="5142"/>
    </w:p>
    <w:p>
      <w:pPr>
        <w:pStyle w:val="Para 01"/>
      </w:pPr>
      <w:r>
        <w:t>Giai đoạn 2: Tài trợ thiên thần (angel financing) do một nhà đầu tư mạo hiểm chuyên biệt cung cấp, người nắm giữ nhiều khoản đầu tư vào các công ty công nghệ cao. (Tương quan danh mục với thị trường là 0,5.):</w:t>
      </w:r>
    </w:p>
    <w:p>
      <w:bookmarkStart w:id="5143" w:name="Perceived_beta__1_0_5_2Cost_of_e"/>
      <w:pPr>
        <w:pStyle w:val="Para 39"/>
      </w:pPr>
      <w:r>
        <w:t>Beta cảm nhận = 1/0,5 = 2; Chi phí vốn chủ sở hữu = 4% + 2(5%) = 14%</w:t>
      </w:r>
      <w:bookmarkEnd w:id="5143"/>
    </w:p>
    <w:p>
      <w:pPr>
        <w:pStyle w:val="Para 01"/>
      </w:pPr>
      <w:r>
        <w:t>Giai đoạn 3: Phát hành ra công chúng, nơi các nhà đầu tư là nhà đầu tư cá nhân và tổ chức với danh mục đa dạng hóa:</w:t>
      </w:r>
    </w:p>
    <w:p>
      <w:bookmarkStart w:id="5144" w:name="Perceived_beta_1Cost_of_equity_4"/>
      <w:pPr>
        <w:pStyle w:val="Para 39"/>
      </w:pPr>
      <w:r>
        <w:t>Beta cảm nhận = 1; Chi phí vốn chủ sở hữu = 4% + 1(5%) = 9%</w:t>
      </w:r>
      <w:bookmarkEnd w:id="5144"/>
    </w:p>
    <w:p>
      <w:pPr>
        <w:pStyle w:val="Para 03"/>
      </w:pPr>
      <w:r>
        <w:t>Bây giờ giả sử bạn đã dự phóng dòng tiền cho công ty này trong năm năm tới và kỳ vọng nó sẽ là một doanh nghiệp tăng trưởng ổn định sau khi lên sàn vào năm thứ 5, tăng trưởng 2% mỗi năm mãi mãi. Giá trị của doanh nghiệp có thể được ước tính trong Bảng 24.6:</w:t>
      </w:r>
    </w:p>
    <w:p>
      <w:pPr>
        <w:pStyle w:val="Para 34"/>
        <w:keepLines w:val="on"/>
      </w:pPr>
      <w:r>
        <w:t>Bảng 24.6</w:t>
      </w:r>
    </w:p>
    <w:p>
      <w:pPr>
        <w:keepNext/>
        <w:pStyle w:val="Para 35"/>
        <w:keepLines w:val="on"/>
      </w:pPr>
      <w:r>
        <w:t>Dòng tiền kỳ vọng và giá trị hiện tại</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17"/>
                    <w:keepLines w:val="on"/>
                  </w:pPr>
                  <w:r>
                    <w:t>1</w:t>
                  </w:r>
                </w:p>
              </w:tc>
              <w:tc>
                <w:tcPr>
                  <w:tcW w:type="auto" w:w="0"/>
                  <w:shd w:val="clear" w:color="auto" w:fill="F0F0F0"/>
                </w:tcPr>
                <w:p>
                  <w:pPr>
                    <w:pStyle w:val="Para 17"/>
                    <w:keepLines w:val="on"/>
                  </w:pPr>
                  <w:r>
                    <w:t>2</w:t>
                  </w:r>
                </w:p>
              </w:tc>
              <w:tc>
                <w:tcPr>
                  <w:tcW w:type="auto" w:w="0"/>
                  <w:shd w:val="clear" w:color="auto" w:fill="F0F0F0"/>
                </w:tcPr>
                <w:p>
                  <w:pPr>
                    <w:pStyle w:val="Para 17"/>
                    <w:keepLines w:val="on"/>
                  </w:pPr>
                  <w:r>
                    <w:t>3</w:t>
                  </w:r>
                </w:p>
              </w:tc>
              <w:tc>
                <w:tcPr>
                  <w:tcW w:type="auto" w:w="0"/>
                  <w:shd w:val="clear" w:color="auto" w:fill="F0F0F0"/>
                </w:tcPr>
                <w:p>
                  <w:pPr>
                    <w:pStyle w:val="Para 17"/>
                    <w:keepLines w:val="on"/>
                  </w:pPr>
                  <w:r>
                    <w:t>4</w:t>
                  </w:r>
                </w:p>
              </w:tc>
              <w:tc>
                <w:tcPr>
                  <w:tcW w:type="auto" w:w="0"/>
                  <w:shd w:val="clear" w:color="auto" w:fill="F0F0F0"/>
                </w:tcPr>
                <w:p>
                  <w:pPr>
                    <w:pStyle w:val="Para 17"/>
                    <w:keepLines w:val="on"/>
                  </w:pPr>
                  <w:r>
                    <w:t>5</w:t>
                  </w:r>
                </w:p>
              </w:tc>
              <w:tc>
                <w:tcPr>
                  <w:tcW w:type="auto" w:w="0"/>
                  <w:shd w:val="clear" w:color="auto" w:fill="F0F0F0"/>
                </w:tcPr>
                <w:p>
                  <w:pPr>
                    <w:pStyle w:val="Para 17"/>
                    <w:keepLines w:val="on"/>
                  </w:pPr>
                  <w:r>
                    <w:t>Năm kết thúc</w:t>
                  </w:r>
                </w:p>
              </w:tc>
            </w:tr>
            <w:tr>
              <w:tc>
                <w:tcPr>
                  <w:tcW w:type="auto" w:w="0"/>
                  <w:shd w:val="clear" w:color="auto" w:fill="F0F0F0"/>
                </w:tcPr>
                <w:p>
                  <w:pPr>
                    <w:pStyle w:val="Para 02"/>
                    <w:keepLines w:val="on"/>
                  </w:pPr>
                  <w:r>
                    <w:t>Dòng tiền kỳ vọng</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$165</w:t>
                  </w:r>
                </w:p>
              </w:tc>
              <w:tc>
                <w:tcPr>
                  <w:tcW w:type="auto" w:w="0"/>
                  <w:shd w:val="clear" w:color="auto" w:fill="F0F0F0"/>
                </w:tcPr>
                <w:p>
                  <w:pPr>
                    <w:pStyle w:val="Normal"/>
                    <w:keepLines w:val="on"/>
                  </w:pPr>
                  <w:r>
                    <w:t>$170</w:t>
                  </w:r>
                </w:p>
              </w:tc>
              <w:tc>
                <w:tcPr>
                  <w:tcW w:type="auto" w:w="0"/>
                  <w:shd w:val="clear" w:color="auto" w:fill="F0F0F0"/>
                </w:tcPr>
                <w:p>
                  <w:pPr>
                    <w:pStyle w:val="Normal"/>
                    <w:keepLines w:val="on"/>
                  </w:pPr>
                  <w:r>
                    <w:t>$175</w:t>
                  </w:r>
                </w:p>
              </w:tc>
            </w:tr>
            <w:tr>
              <w:tc>
                <w:tcPr>
                  <w:tcW w:type="auto" w:w="0"/>
                  <w:shd w:val="clear" w:color="auto" w:fill="F0F0F0"/>
                </w:tcPr>
                <w:p>
                  <w:pPr>
                    <w:pStyle w:val="Para 02"/>
                    <w:keepLines w:val="on"/>
                  </w:pPr>
                  <w:r>
                    <w:t>Beta thị trường</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1,00</w:t>
                  </w:r>
                </w:p>
              </w:tc>
            </w:tr>
            <w:tr>
              <w:tc>
                <w:tcPr>
                  <w:tcW w:type="auto" w:w="0"/>
                  <w:shd w:val="clear" w:color="auto" w:fill="F0F0F0"/>
                </w:tcPr>
                <w:p>
                  <w:pPr>
                    <w:pStyle w:val="Para 02"/>
                    <w:keepLines w:val="on"/>
                  </w:pPr>
                  <w:r>
                    <w:t>Tương quan</w:t>
                  </w:r>
                </w:p>
              </w:tc>
              <w:tc>
                <w:tcPr>
                  <w:tcW w:type="auto" w:w="0"/>
                  <w:shd w:val="clear" w:color="auto" w:fill="F0F0F0"/>
                </w:tcPr>
                <w:p>
                  <w:pPr>
                    <w:pStyle w:val="Normal"/>
                    <w:keepLines w:val="on"/>
                  </w:pPr>
                  <w:r>
                    <w:t>0,25</w:t>
                  </w:r>
                </w:p>
              </w:tc>
              <w:tc>
                <w:tcPr>
                  <w:tcW w:type="auto" w:w="0"/>
                  <w:shd w:val="clear" w:color="auto" w:fill="F0F0F0"/>
                </w:tcPr>
                <w:p>
                  <w:pPr>
                    <w:pStyle w:val="Normal"/>
                    <w:keepLines w:val="on"/>
                  </w:pPr>
                  <w:r>
                    <w:t>0,25</w:t>
                  </w:r>
                </w:p>
              </w:tc>
              <w:tc>
                <w:tcPr>
                  <w:tcW w:type="auto" w:w="0"/>
                  <w:shd w:val="clear" w:color="auto" w:fill="F0F0F0"/>
                </w:tcPr>
                <w:p>
                  <w:pPr>
                    <w:pStyle w:val="Normal"/>
                    <w:keepLines w:val="on"/>
                  </w:pPr>
                  <w:r>
                    <w:t>0,50</w:t>
                  </w:r>
                </w:p>
              </w:tc>
              <w:tc>
                <w:tcPr>
                  <w:tcW w:type="auto" w:w="0"/>
                  <w:shd w:val="clear" w:color="auto" w:fill="F0F0F0"/>
                </w:tcPr>
                <w:p>
                  <w:pPr>
                    <w:pStyle w:val="Normal"/>
                    <w:keepLines w:val="on"/>
                  </w:pPr>
                  <w:r>
                    <w:t>0,50</w:t>
                  </w:r>
                </w:p>
              </w:tc>
              <w:tc>
                <w:tcPr>
                  <w:tcW w:type="auto" w:w="0"/>
                  <w:shd w:val="clear" w:color="auto" w:fill="F0F0F0"/>
                </w:tcPr>
                <w:p>
                  <w:pPr>
                    <w:pStyle w:val="Normal"/>
                    <w:keepLines w:val="on"/>
                  </w:pPr>
                  <w:r>
                    <w:t>0,50</w:t>
                  </w:r>
                </w:p>
              </w:tc>
              <w:tc>
                <w:tcPr>
                  <w:tcW w:type="auto" w:w="0"/>
                  <w:shd w:val="clear" w:color="auto" w:fill="F0F0F0"/>
                </w:tcPr>
                <w:p>
                  <w:pPr>
                    <w:pStyle w:val="Normal"/>
                    <w:keepLines w:val="on"/>
                  </w:pPr>
                  <w:r>
                    <w:t>1,00</w:t>
                  </w:r>
                </w:p>
              </w:tc>
            </w:tr>
            <w:tr>
              <w:tc>
                <w:tcPr>
                  <w:tcW w:type="auto" w:w="0"/>
                  <w:shd w:val="clear" w:color="auto" w:fill="F0F0F0"/>
                </w:tcPr>
                <w:p>
                  <w:pPr>
                    <w:pStyle w:val="Para 02"/>
                    <w:keepLines w:val="on"/>
                  </w:pPr>
                  <w:r>
                    <w:t>Beta sử dụng</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1,00</w:t>
                  </w:r>
                </w:p>
              </w:tc>
            </w:tr>
            <w:tr>
              <w:tc>
                <w:tcPr>
                  <w:tcW w:type="auto" w:w="0"/>
                  <w:shd w:val="clear" w:color="auto" w:fill="F0F0F0"/>
                </w:tcPr>
                <w:p>
                  <w:pPr>
                    <w:pStyle w:val="Para 02"/>
                    <w:keepLines w:val="on"/>
                  </w:pPr>
                  <w:r>
                    <w:t>Chi phí vốn cổ phần</w:t>
                  </w:r>
                </w:p>
              </w:tc>
              <w:tc>
                <w:tcPr>
                  <w:tcW w:type="auto" w:w="0"/>
                  <w:shd w:val="clear" w:color="auto" w:fill="F0F0F0"/>
                </w:tcPr>
                <w:p>
                  <w:pPr>
                    <w:pStyle w:val="Normal"/>
                    <w:keepLines w:val="on"/>
                  </w:pPr>
                  <w:r>
                    <w:t>24,00%</w:t>
                  </w:r>
                </w:p>
              </w:tc>
              <w:tc>
                <w:tcPr>
                  <w:tcW w:type="auto" w:w="0"/>
                  <w:shd w:val="clear" w:color="auto" w:fill="F0F0F0"/>
                </w:tcPr>
                <w:p>
                  <w:pPr>
                    <w:pStyle w:val="Normal"/>
                    <w:keepLines w:val="on"/>
                  </w:pPr>
                  <w:r>
                    <w:t>24,00%</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9,00%</w:t>
                  </w:r>
                </w:p>
              </w:tc>
            </w:tr>
            <w:tr>
              <w:tc>
                <w:tcPr>
                  <w:tcW w:type="auto" w:w="0"/>
                  <w:shd w:val="clear" w:color="auto" w:fill="F0F0F0"/>
                </w:tcPr>
                <w:p>
                  <w:pPr>
                    <w:pStyle w:val="Para 02"/>
                    <w:keepLines w:val="on"/>
                  </w:pPr>
                  <w:r>
                    <w:t>Giá trị cuối kỳ (terminal value)</w:t>
                  </w: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Normal"/>
                    <w:keepLines w:val="on"/>
                  </w:pPr>
                  <w:r>
                    <w:t>2.500 đô la</w:t>
                  </w:r>
                </w:p>
              </w:tc>
              <w:tc>
                <w:tcPr>
                  <w:tcW w:type="auto" w:w="0"/>
                  <w:shd w:val="clear" w:color="auto" w:fill="F0F0F0"/>
                </w:tcPr>
                <w:p>
                  <w:pPr>
                    <w:pStyle w:val="3 Block"/>
                    <w:keepLines w:val="on"/>
                  </w:pPr>
                </w:p>
              </w:tc>
            </w:tr>
            <w:tr>
              <w:tc>
                <w:tcPr>
                  <w:tcW w:type="auto" w:w="0"/>
                  <w:shd w:val="clear" w:color="auto" w:fill="F0F0F0"/>
                </w:tcPr>
                <w:p>
                  <w:pPr>
                    <w:pStyle w:val="Para 02"/>
                    <w:keepLines w:val="on"/>
                  </w:pPr>
                  <w:r>
                    <w:t>Chi phí vốn cổ phần lũy kế (cumulated COE)</w:t>
                  </w:r>
                </w:p>
              </w:tc>
              <w:tc>
                <w:tcPr>
                  <w:tcW w:type="auto" w:w="0"/>
                  <w:shd w:val="clear" w:color="auto" w:fill="F0F0F0"/>
                </w:tcPr>
                <w:p>
                  <w:pPr>
                    <w:pStyle w:val="Normal"/>
                    <w:keepLines w:val="on"/>
                  </w:pPr>
                  <w:r>
                    <w:t>1,2400</w:t>
                  </w:r>
                </w:p>
              </w:tc>
              <w:tc>
                <w:tcPr>
                  <w:tcW w:type="auto" w:w="0"/>
                  <w:shd w:val="clear" w:color="auto" w:fill="F0F0F0"/>
                </w:tcPr>
                <w:p>
                  <w:pPr>
                    <w:pStyle w:val="Normal"/>
                    <w:keepLines w:val="on"/>
                  </w:pPr>
                  <w:r>
                    <w:t>1,5376</w:t>
                  </w:r>
                </w:p>
              </w:tc>
              <w:tc>
                <w:tcPr>
                  <w:tcW w:type="auto" w:w="0"/>
                  <w:shd w:val="clear" w:color="auto" w:fill="F0F0F0"/>
                </w:tcPr>
                <w:p>
                  <w:pPr>
                    <w:pStyle w:val="Normal"/>
                    <w:keepLines w:val="on"/>
                  </w:pPr>
                  <w:r>
                    <w:t>1,7529</w:t>
                  </w:r>
                </w:p>
              </w:tc>
              <w:tc>
                <w:tcPr>
                  <w:tcW w:type="auto" w:w="0"/>
                  <w:shd w:val="clear" w:color="auto" w:fill="F0F0F0"/>
                </w:tcPr>
                <w:p>
                  <w:pPr>
                    <w:pStyle w:val="Normal"/>
                    <w:keepLines w:val="on"/>
                  </w:pPr>
                  <w:r>
                    <w:t>1,9983</w:t>
                  </w:r>
                </w:p>
              </w:tc>
              <w:tc>
                <w:tcPr>
                  <w:tcW w:type="auto" w:w="0"/>
                  <w:shd w:val="clear" w:color="auto" w:fill="F0F0F0"/>
                </w:tcPr>
                <w:p>
                  <w:pPr>
                    <w:pStyle w:val="Normal"/>
                    <w:keepLines w:val="on"/>
                  </w:pPr>
                  <w:r>
                    <w:t>2,2780</w:t>
                  </w:r>
                </w:p>
              </w:tc>
              <w:tc>
                <w:tcPr>
                  <w:tcW w:type="auto" w:w="0"/>
                  <w:shd w:val="clear" w:color="auto" w:fill="F0F0F0"/>
                </w:tcPr>
                <w:p>
                  <w:pPr>
                    <w:pStyle w:val="Normal"/>
                    <w:keepLines w:val="on"/>
                  </w:pPr>
                  <w:r>
                    <w:t>2,4830</w:t>
                  </w:r>
                </w:p>
              </w:tc>
            </w:tr>
            <w:tr>
              <w:tc>
                <w:tcPr>
                  <w:tcW w:type="auto" w:w="0"/>
                  <w:shd w:val="clear" w:color="auto" w:fill="F0F0F0"/>
                </w:tcPr>
                <w:p>
                  <w:pPr>
                    <w:pStyle w:val="Para 02"/>
                    <w:keepLines w:val="on"/>
                  </w:pPr>
                  <w:r>
                    <w:t>Giá trị hiện tại (PV)</w:t>
                  </w:r>
                </w:p>
              </w:tc>
              <w:tc>
                <w:tcPr>
                  <w:tcW w:type="auto" w:w="0"/>
                  <w:shd w:val="clear" w:color="auto" w:fill="F0F0F0"/>
                </w:tcPr>
                <w:p>
                  <w:pPr>
                    <w:pStyle w:val="Normal"/>
                    <w:keepLines w:val="on"/>
                  </w:pPr>
                  <w:r>
                    <w:t>80,65 đô la</w:t>
                  </w:r>
                </w:p>
              </w:tc>
              <w:tc>
                <w:tcPr>
                  <w:tcW w:type="auto" w:w="0"/>
                  <w:shd w:val="clear" w:color="auto" w:fill="F0F0F0"/>
                </w:tcPr>
                <w:p>
                  <w:pPr>
                    <w:pStyle w:val="Normal"/>
                    <w:keepLines w:val="on"/>
                  </w:pPr>
                  <w:r>
                    <w:t>81,30 đô la</w:t>
                  </w:r>
                </w:p>
              </w:tc>
              <w:tc>
                <w:tcPr>
                  <w:tcW w:type="auto" w:w="0"/>
                  <w:shd w:val="clear" w:color="auto" w:fill="F0F0F0"/>
                </w:tcPr>
                <w:p>
                  <w:pPr>
                    <w:pStyle w:val="Normal"/>
                    <w:keepLines w:val="on"/>
                  </w:pPr>
                  <w:r>
                    <w:t>85,57 đô la</w:t>
                  </w:r>
                </w:p>
              </w:tc>
              <w:tc>
                <w:tcPr>
                  <w:tcW w:type="auto" w:w="0"/>
                  <w:shd w:val="clear" w:color="auto" w:fill="F0F0F0"/>
                </w:tcPr>
                <w:p>
                  <w:pPr>
                    <w:pStyle w:val="Normal"/>
                    <w:keepLines w:val="on"/>
                  </w:pPr>
                  <w:r>
                    <w:t>82,57 đô la</w:t>
                  </w:r>
                </w:p>
              </w:tc>
              <w:tc>
                <w:tcPr>
                  <w:tcW w:type="auto" w:w="0"/>
                  <w:shd w:val="clear" w:color="auto" w:fill="F0F0F0"/>
                </w:tcPr>
                <w:p>
                  <w:pPr>
                    <w:pStyle w:val="Normal"/>
                    <w:keepLines w:val="on"/>
                  </w:pPr>
                  <w:r>
                    <w:t>1.172,07 đô la</w:t>
                  </w:r>
                </w:p>
              </w:tc>
              <w:tc>
                <w:tcPr>
                  <w:tcW w:type="auto" w:w="0"/>
                  <w:shd w:val="clear" w:color="auto" w:fill="F0F0F0"/>
                </w:tcPr>
                <w:p>
                  <w:pPr>
                    <w:pStyle w:val="3 Block"/>
                    <w:keepLines w:val="on"/>
                  </w:pPr>
                </w:p>
              </w:tc>
            </w:tr>
            <w:tr>
              <w:tc>
                <w:tcPr>
                  <w:tcW w:type="auto" w:w="0"/>
                  <w:shd w:val="clear" w:color="auto" w:fill="F0F0F0"/>
                </w:tcPr>
                <w:p>
                  <w:pPr>
                    <w:pStyle w:val="Para 02"/>
                    <w:keepLines w:val="on"/>
                  </w:pPr>
                  <w:r>
                    <w:t>Giá trị doanh nghiệp (value of firm)</w:t>
                  </w:r>
                </w:p>
              </w:tc>
              <w:tc>
                <w:tcPr>
                  <w:tcW w:type="auto" w:w="0"/>
                  <w:shd w:val="clear" w:color="auto" w:fill="F0F0F0"/>
                </w:tcPr>
                <w:p>
                  <w:pPr>
                    <w:pStyle w:val="Normal"/>
                    <w:keepLines w:val="on"/>
                  </w:pPr>
                  <w:r>
                    <w:t>1.502 đô la</w:t>
                  </w: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r>
          </w:tbl>
          <w:p/>
        </w:tc>
      </w:tr>
    </w:tbl>
    <w:p>
      <w:pPr>
        <w:pStyle w:val="Para 03"/>
      </w:pPr>
      <w:r>
        <w:t>Giá trị cuối kỳ của vốn cổ phần được tính bằng cách dùng chi phí vốn cổ phần 9% cho giai đoạn vĩnh viễn, nhưng lại được chiết khấu về hiện tại bằng mức chi phí vốn cổ phần cao hơn nhiều trong năm năm tới. Lưu ý rằng nếu dùng chi phí vốn cổ phần của chủ sở hữu tư nhân (24%) cho mãi mãi thì sẽ cho ra giá trị quá thấp (1.221 đô la), còn nếu dùng chi phí vốn cổ phần theo beta thị trường (9%) cho mãi mãi thì sẽ cho ra giá trị quá cao (2.165 đô la).</w:t>
      </w:r>
    </w:p>
    <w:p>
      <w:pPr>
        <w:pStyle w:val="Para 11"/>
      </w:pPr>
      <w:r>
        <w:t xml:space="preserve"> </w:t>
      </w:r>
    </w:p>
    <w:p>
      <w:bookmarkStart w:id="5147" w:name="Precash_and_Postcash_Valuations_1"/>
      <w:bookmarkStart w:id="5148" w:name="Precash_and_Postcash_Valuations"/>
      <w:pPr>
        <w:keepNext/>
        <w:pStyle w:val="Para 27"/>
        <w:keepLines w:val="on"/>
      </w:pPr>
      <w:r>
        <w:t>Định giá trước tiền mặt và sau tiền mặt (Precash and Postcash Valuations)</w:t>
      </w:r>
      <w:bookmarkEnd w:id="5147"/>
      <w:bookmarkEnd w:id="5148"/>
    </w:p>
    <w:p>
      <w:pPr>
        <w:pStyle w:val="Para 16"/>
        <w:keepLines w:val="on"/>
      </w:pPr>
      <w:r>
        <w:t>Khi định giá các công ty tư nhân, nhiều nhà phân tích phân biệt giữa định giá trước tiền mặt (precash) và định giá sau tiền mặt (postcash). Nói chung, việc này được thực hiện khi dự kiến có một đợt bơm tiền mặt, hoặc từ các nhà đầu tư mạo hiểm (venture capitalists), hoặc từ một đợt phát hành cổ phiếu lần đầu ra công chúng (initial public offering). Định giá trước tiền mặt là định giá doanh nghiệp trước khi có dòng tiền mặt đổ vào, còn định giá sau tiền mặt là định giá doanh nghiệp sau khi dòng tiền đó đã vào.</w:t>
      </w:r>
    </w:p>
    <w:p>
      <w:pPr>
        <w:pStyle w:val="Para 16"/>
        <w:keepLines w:val="on"/>
      </w:pPr>
      <w:r>
        <w:t>Có hai lý do khiến các định giá có thể cho ra những giá trị khác nhau. Thứ nhất là công ty có thể đối mặt với những hạn chế về phân bổ vốn (capital rationing) nếu không có khoản tiền mặt bơm vào, dẫn đến việc thu hẹp quy mô tái đầu tư, và kéo theo tốc độ tăng trưởng chậm lại. Nếu tỷ suất sinh lời trên vốn (return on capital) của công ty lớn hơn chi phí vốn (cost of capital), điều này sẽ khiến giá trị trước khi có dòng tiền mặt bơm vào thấp hơn. Thứ hai là giá trị của tiền mặt và chứng khoán khả mại (marketable securities) được cộng vào giá trị của tài sản hoạt động để ra giá trị công ty. Sau một đợt bơm tiền mặt lớn, các công ty có thể có lượng tiền mặt dư thừa để đầu tư vào chứng khoán khả mại, và khi cộng vào giá trị tài sản hoạt động sẽ làm tăng giá trị. Tuy nhiên, nếu số tiền mặt đó bị các chủ sở hữu hiện hữu rút ra khỏi công ty, thì bạn không nên cộng khoản tiền mặt đó vào giá trị.</w:t>
      </w:r>
    </w:p>
    <w:p>
      <w:pPr>
        <w:pStyle w:val="Para 16"/>
        <w:keepLines w:val="on"/>
      </w:pPr>
      <w:r>
        <w:t>Vậy nên dùng giá trị nào trong hai giá trị này để ước tính giá trị trên mỗi cổ phần trong một đợt phát hành ra công chúng? Vì các cổ đông trong công ty sẽ nắm giữ cổ phần của công ty sau khi có tiền mặt, nên nên dùng giá trị sau khi có tiền mặt. Tuy nhiên, trong trường hợp của một nhà đầu tư mạo hiểm (venture capitalist), câu trả lời có thể khác. Nếu nhà đầu tư mạo hiểm có quyền thương lượng — tức là người duy nhất quan tâm đến việc cung cấp vốn mạo hiểm — thì người đó có thể yêu cầu một phần giá trị công ty dựa trên định giá trước khi có tiền mặt, với lập luận rằng sự gia tăng giá trị chỉ khả thi nhờ có thêm vốn mạo hiểm. Nếu có hai hoặc nhiều nhà đầu tư mạo hiểm cùng quan tâm đến công ty, thì khả năng cao là định giá sau khi có tiền mặt sẽ là cơ sở để quyết định bao nhiêu phần trăm công ty sẽ được nhường cho nhà đầu tư mạo hiểm.</w:t>
      </w:r>
    </w:p>
    <w:p>
      <w:pPr>
        <w:pStyle w:val="Para 20"/>
      </w:pPr>
      <w:r>
        <w:rPr>
          <w:rStyle w:val="Text26"/>
        </w:rPr>
        <w:bookmarkStart w:id="5149" w:name="Page_789"/>
        <w:t/>
        <w:bookmarkEnd w:id="5149"/>
      </w:r>
      <w:r>
        <w:t xml:space="preserve"> </w:t>
      </w:r>
    </w:p>
    <w:p>
      <w:pPr>
        <w:pStyle w:val="Para 11"/>
      </w:pPr>
      <w:r>
        <w:t xml:space="preserve"> </w:t>
      </w:r>
    </w:p>
    <w:p>
      <w:bookmarkStart w:id="5150" w:name="ILLUSTRATION_24_14_Valuing_a_Pri"/>
      <w:bookmarkStart w:id="5151" w:name="ILLUSTRATION_24_14_Valuing_a_Pri_1"/>
      <w:pPr>
        <w:keepNext/>
        <w:pStyle w:val="Para 19"/>
        <w:keepLines w:val="on"/>
      </w:pPr>
      <w:r>
        <w:t>MINH HỌA 24.14: Định giá một phần vốn cổ phần tư nhân (Private Equity Stake)</w:t>
      </w:r>
      <w:bookmarkEnd w:id="5150"/>
      <w:bookmarkEnd w:id="5151"/>
    </w:p>
    <w:p>
      <w:pPr>
        <w:pStyle w:val="Para 04"/>
        <w:keepLines w:val="on"/>
      </w:pPr>
      <w:r>
        <w:t>Giả sử bạn làm việc cho một công ty đại chúng và được yêu cầu định giá một phần vốn tiềm năng trong một công ty nhỏ, thuộc sở hữu tư nhân, đang muốn bạn đầu tư 10 triệu đô-la vào vốn cổ phần của nó, số tiền mà công ty dự định dùng để mở rộng hoạt động.</w:t>
      </w:r>
    </w:p>
    <w:p>
      <w:pPr>
        <w:pStyle w:val="Para 04"/>
        <w:keepLines w:val="on"/>
      </w:pPr>
      <w:r>
        <w:t>Đầu tiên, bạn sẽ định giá công ty tư nhân này với giả định rằng bạn không đầu tư 10 triệu đô-la đó. Dựa trên các dòng tiền dự phóng, giả sử bạn định giá vốn cổ phần của công ty ở mức 30 triệu đô-la:</w:t>
      </w:r>
    </w:p>
    <w:p>
      <w:bookmarkStart w:id="5152" w:name="Precashvaluation__30million"/>
      <w:pPr>
        <w:keepNext/>
        <w:pStyle w:val="Para 07"/>
        <w:keepLines w:val="on"/>
      </w:pPr>
      <w:r>
        <w:t>Định giá trước khi có tiền mặt = 30 triệu đô-la</w:t>
      </w:r>
      <w:bookmarkEnd w:id="5152"/>
    </w:p>
    <w:p>
      <w:pPr>
        <w:pStyle w:val="Para 04"/>
        <w:keepLines w:val="on"/>
      </w:pPr>
      <w:r>
        <w:t>Bây giờ giả sử khoản đầu tư 10 triệu đô-la của bạn sẽ giúp công ty tăng trưởng nhanh hơn, và giá trị hiện tại của các dòng tiền kỳ vọng là 50 triệu đô-la cho phần vốn cổ phần. (Giá trị hiện tại này không bao gồm dòng tiền mặt 10 triệu đô-la từ khoản đầu tư vốn cổ phần tư nhân.)</w:t>
      </w:r>
    </w:p>
    <w:p>
      <w:bookmarkStart w:id="5153" w:name="Postcashvaluation__50million__10"/>
      <w:pPr>
        <w:keepNext/>
        <w:pStyle w:val="Para 07"/>
        <w:keepLines w:val="on"/>
      </w:pPr>
      <w:r>
        <w:t>Định giá sau khi có tiền mặt = 50 triệu đô-la + 10 triệu đô-la = 60 triệu đô-la</w:t>
      </w:r>
      <w:bookmarkEnd w:id="5153"/>
    </w:p>
    <w:p>
      <w:pPr>
        <w:pStyle w:val="Para 04"/>
        <w:keepLines w:val="on"/>
      </w:pPr>
      <w:r>
        <w:t>Câu hỏi then chốt, với giả định rằng bạn quyết định thực hiện khoản đầu tư này, là bạn nên đòi bao nhiêu phần trăm công ty tư nhân để đổi lấy khoản đầu tư 10 triệu đô-la. Ở mức tối thiểu, bạn sẽ đòi một phần của định giá sau khi có tiền mặt:</w:t>
      </w:r>
    </w:p>
    <w:p>
      <w:bookmarkStart w:id="5154" w:name="Shareofownershipminimum_Capital"/>
      <w:pPr>
        <w:keepNext/>
        <w:pStyle w:val="Para 07"/>
        <w:keepLines w:val="on"/>
      </w:pPr>
      <w:r>
        <w:t>Tỷ lệ sở hữu tối thiểu = Vốn bơm vào / Định giá sau khi có tiền mặt = 10/60 = 16,66%</w:t>
      </w:r>
      <w:bookmarkEnd w:id="5154"/>
    </w:p>
    <w:p>
      <w:pPr>
        <w:pStyle w:val="Para 04"/>
        <w:keepLines w:val="on"/>
      </w:pPr>
      <w:r>
        <w:t>Tuy nhiên, bạn sẽ thương lượng để có phần lớn hơn. Ở mức giới hạn, bạn có thể lập luận đòi một phần của định giá trước khi có tiền mặt, với khoản vốn bơm vào của bạn được tính vào:</w:t>
      </w:r>
    </w:p>
    <w:p>
      <w:bookmarkStart w:id="5155" w:name="Shareofownershipmaximum_Capital"/>
      <w:pPr>
        <w:keepNext/>
        <w:pStyle w:val="Para 07"/>
        <w:keepLines w:val="on"/>
      </w:pPr>
      <w:r>
        <w:t>Tỷ lệ sở hữu tối đa = Vốn bơm vào / (Định giá trước khi có tiền mặt + Vốn bơm vào) = 10/(30+10) = 25%</w:t>
      </w:r>
      <w:bookmarkEnd w:id="5155"/>
    </w:p>
    <w:p>
      <w:bookmarkStart w:id="5156" w:name="Pricing_Private_Businesses__The"/>
      <w:bookmarkStart w:id="5157" w:name="Pricing_Private_Businesses"/>
      <w:pPr>
        <w:keepNext/>
        <w:pStyle w:val="Heading 2"/>
        <w:keepLines w:val="on"/>
      </w:pPr>
      <w:r>
        <w:t>Định giá các doanh nghiệp tư nhân</w:t>
      </w:r>
      <w:bookmarkEnd w:id="5156"/>
      <w:bookmarkEnd w:id="5157"/>
    </w:p>
    <w:p>
      <w:pPr>
        <w:pStyle w:val="Para 03"/>
      </w:pPr>
      <w:r>
        <w:t>Bản chất của định giá tương đối (relative valuation) là bạn định giá một công ty dựa trên mức giá mà thị trường đang trả cho những công ty tương tự. Tiền đề này rõ ràng khó khăn hơn đối với các doanh nghiệp tư nhân. Bất chấp những vấn đề này, các nhà phân tích đã cố gắng mở rộng các phương pháp định giá tương đối vốn được phát triển cho các công ty đại chúng sang lĩnh vực doanh nghiệp tư nhân. Nói chung, có hai cách tiếp cận mà các nhà phân tích dùng để tìm ra các công ty so sánh trong định giá công ty tư nhân. Một số nhà phân tích tập trung vào giá giao dịch được trả cho các doanh nghiệp tư nhân khác, lập luận rằng những doanh nghiệp này có khả năng có nhiều điểm chung hơn với doanh nghiệp non trẻ đang được định giá. Những nhà phân tích khác, không tin tưởng vào giá giao dịch tư nhân, lại dựa vào giá thị trường của các công ty đại chúng trong cùng ngành, và cố gắng điều chỉnh cho những khác biệt về các yếu tố nền tảng (fundamentals).</w:t>
      </w:r>
    </w:p>
    <w:p>
      <w:bookmarkStart w:id="5158" w:name="Private_Transaction_Multiples__S"/>
      <w:bookmarkStart w:id="5159" w:name="Private_Transaction_Multiples"/>
      <w:pPr>
        <w:keepNext/>
        <w:pStyle w:val="Heading 3"/>
        <w:keepLines w:val="on"/>
      </w:pPr>
      <w:r>
        <w:t>Bội số giao dịch tư nhân (Private Transaction Multiples)</w:t>
      </w:r>
      <w:bookmarkEnd w:id="5158"/>
      <w:bookmarkEnd w:id="5159"/>
    </w:p>
    <w:p>
      <w:pPr>
        <w:pStyle w:val="Para 03"/>
      </w:pPr>
      <w:r>
        <w:t>Vì bạn đang định giá một doanh nghiệp tư nhân non trẻ, có vẻ hợp lý khi bạn nên xem xét những gì người khác đã trả cho các doanh nghiệp tương tự trong quá khứ gần đây. Đó thực chất là nền tảng mà các bội số giao dịch tư nhân dựa trên. Về mặt lý thuyết, ít nhất là vậy, bạn tập hợp một bộ dữ liệu về các doanh nghiệp tư nhân non trẻ khác, tương tự như doanh nghiệp đang được định giá (cùng ngành, quy mô tương tự, và cùng giai đoạn trong vòng đời), đã được mua/bán và giá trị giao dịch của chúng. Sau đó bạn quy đổi những giá trị này về một biến chung (doanh thu, lợi nhuận, hoặc thậm chí là một chỉ tiêu đặc thù của ngành) và tính toán một bội số điển hình mà các bên mua sẵn sàng trả. Áp dụng bội số này cho cùng biến đó của công ty đang được định giá sẽ cho ra một giá trị ước tính cho công ty.</w:t>
      </w:r>
    </w:p>
    <w:p>
      <w:bookmarkStart w:id="5161" w:name="Potential_Problems"/>
      <w:bookmarkStart w:id="5162" w:name="Potential_Problems__The_biggest"/>
      <w:pPr>
        <w:keepNext/>
        <w:pStyle w:val="Heading 4"/>
        <w:keepLines w:val="on"/>
      </w:pPr>
      <w:r>
        <w:t>Những vấn đề tiềm ẩn</w:t>
      </w:r>
      <w:bookmarkEnd w:id="5161"/>
      <w:bookmarkEnd w:id="5162"/>
    </w:p>
    <w:p>
      <w:pPr>
        <w:pStyle w:val="Para 03"/>
      </w:pPr>
      <w:r>
        <w:t>Vấn đề lớn nhất trước đây từng là sự thiếu vắng các cơ sở dữ liệu có tổ chức về các giao dịch doanh nghiệp tư nhân, nhưng điều đó không còn đúng nữa. Nhiều dịch vụ tư nhân cung cấp các cơ sở dữ liệu (có thu phí) chứa dữ liệu này, nhưng những vấn đề khác vẫn còn:</w:t>
      </w:r>
    </w:p>
    <w:p>
      <w:pPr>
        <w:numPr>
          <w:ilvl w:val="0"/>
          <w:numId w:val="266"/>
        </w:numPr>
        <w:pStyle w:val="Para 01"/>
      </w:pPr>
      <w:r>
        <w:t>Giao dịch không phải giao dịch độc lập (arms-length transactions). Một trong những hiểm nguy khi dùng giá từ các giao dịch tư nhân là một số giao dịch không phải là giao dịch độc lập, nơi giá chỉ phản ánh giá trị của doanh nghiệp đang được bán. Thực chất, giá bao gồm cả những dịch vụ và yếu tố phụ khác có thể đặc thù cho giao dịch đó. Chẳng hạn, một bác sĩ bán một phòng khám y khoa có thể nhận được giá cao hơn vì ông đồng ý ở lại một thời gian sau giao dịch để giúp quá trình chuyển giao diễn ra suôn sẻ.</w:t>
      </w:r>
    </w:p>
    <w:p>
      <w:pPr>
        <w:numPr>
          <w:ilvl w:val="0"/>
          <w:numId w:val="266"/>
        </w:numPr>
        <w:pStyle w:val="Para 01"/>
      </w:pPr>
      <w:r>
        <w:t>Khác biệt về thời điểm. Các giao dịch doanh nghiệp tư nhân diễn ra không thường xuyên và phản ánh thực tế rằng cùng một doanh nghiệp tư nhân sẽ không được mua đi bán lại hàng chục lần trong một khoảng thời gian nhất định. Không giống như các công ty đại chúng, nơi giá hiện tại có thể được dùng để tính bội số cho tất cả các công ty tại cùng một thời điểm, các giao dịch tư nhân thường rải rác theo thời gian. Do đó, một cơ sở dữ liệu giao dịch tư nhân có thể bao gồm các giao dịch từ tháng 6 năm 2008 và tháng 12 năm 2008, một giai đoạn mà thị trường đại chúng mất gần 45 phần trăm giá trị.</w:t>
      </w:r>
    </w:p>
    <w:p>
      <w:pPr>
        <w:numPr>
          <w:ilvl w:val="0"/>
          <w:numId w:val="266"/>
        </w:numPr>
        <w:pStyle w:val="Para 01"/>
      </w:pPr>
      <w:r>
        <w:t>Biến quy đổi. Để so sánh các công ty có quy mô khác nhau, chúng ta thường chia giá thị trường cho một biến chuẩn hóa. Với các công ty đại chúng, biến này có thể là doanh thu (giá/doanh thu, EV/doanh thu), lợi nhuận (PE, EV/EBITDA), hoặc giá trị sổ sách. Về mặt kỹ thuật, chúng ta cũng có thể làm điều tương tự với các giao dịch tư nhân, nhưng có một rào cản tiềm ẩn. Có những khác biệt lớn về chuẩn mực kế toán giữa các doanh nghiệp tư nhân, và những khác biệt này có thể dẫn đến các chỉ số lợi nhuận cuối cùng không thực sự tương đương.</w:t>
      </w:r>
    </w:p>
    <w:p>
      <w:pPr>
        <w:numPr>
          <w:ilvl w:val="0"/>
          <w:numId w:val="266"/>
        </w:numPr>
        <w:pStyle w:val="Para 01"/>
      </w:pPr>
      <w:r>
        <w:t>Vốn cổ phần không được chuẩn hóa. Các quyền đòi vốn cổ phần trong doanh nghiệp tư nhân có thể rất khác nhau về dòng tiền, quyền kiểm soát, và tính kém thanh khoản. Giá giao dịch cho vốn cổ phần trong một doanh nghiệp tư nhân sẽ phản ánh những quyền đòi được gắn trong vốn cổ phần của doanh nghiệp đó và có thể không dễ dàng khái quát hóa cho vốn cổ phần của một công ty khác có những đặc điểm khác.</w:t>
      </w:r>
    </w:p>
    <w:p>
      <w:pPr>
        <w:numPr>
          <w:ilvl w:val="0"/>
          <w:numId w:val="266"/>
        </w:numPr>
        <w:pStyle w:val="Para 01"/>
      </w:pPr>
      <w:r>
        <w:t>Các công ty ngoài Hoa Kỳ. Hầu hết các cơ sở dữ liệu giao dịch hiện có và có thể truy cập được ngày nay là cơ sở dữ liệu về các giao dịch của doanh nghiệp tư nhân tại Hoa Kỳ. Khi chúng ta ngày càng được yêu cầu định giá các doanh nghiệp ở những thị trường khác, trong đó một số là các thị trường mới nổi rủi ro hơn, thì không rõ làm thế nào, hay thậm chí liệu có thể, dùng dữ liệu này trong bối cảnh đó hay không.</w:t>
      </w:r>
    </w:p>
    <w:p>
      <w:bookmarkStart w:id="5163" w:name="Usefulness_and_Best_Practices__S"/>
      <w:bookmarkStart w:id="5164" w:name="Usefulness_and_Best_Practices"/>
      <w:pPr>
        <w:keepNext/>
        <w:pStyle w:val="Heading 4"/>
        <w:keepLines w:val="on"/>
      </w:pPr>
      <w:r>
        <w:t>Tính hữu dụng và các thông lệ tốt nhất</w:t>
      </w:r>
      <w:bookmarkEnd w:id="5163"/>
      <w:bookmarkEnd w:id="5164"/>
    </w:p>
    <w:p>
      <w:pPr>
        <w:pStyle w:val="Para 03"/>
      </w:pPr>
      <w:r>
        <w:t>Vậy khi nào thì thích hợp để dùng dữ liệu giao dịch tư nhân để định giá một doanh nghiệp tư nhân? Theo nguyên tắc chung, cách tiếp cận này hiệu quả nhất với các doanh nghiệp nhỏ có kế hoạch giữ quy mô nhỏ và tư nhân, thay vì mở rộng tầm với và có thể niêm yết đại chúng. Nó cũng hữu ích nếu công ty đang được định giá thuộc một ngành không chỉ có nhiều doanh nghiệp tư nhân khác mà còn là nơi các giao dịch diễn ra phổ biến. Chẳng hạn, cách tiếp cận này sẽ hiệu quả để định giá một phòng khám y khoa/nha khoa hoặc một doanh nghiệp bán lẻ nhỏ. Nó sẽ khó áp dụng hơn với những công ty thuộc ngành độc nhất hoặc khác thường.</w:t>
      </w:r>
    </w:p>
    <w:p>
      <w:pPr>
        <w:pStyle w:val="Para 03"/>
      </w:pPr>
      <w:r>
        <w:t>Nếu bạn quyết định dùng các giao dịch của công ty tư nhân để định giá một doanh nghiệp, có năm thông lệ chung có thể giúp bạn đưa ra những mức định giá đáng tin cậy hơn:</w:t>
      </w:r>
    </w:p>
    <w:p>
      <w:pPr>
        <w:numPr>
          <w:ilvl w:val="0"/>
          <w:numId w:val="267"/>
        </w:numPr>
        <w:pStyle w:val="Para 01"/>
      </w:pPr>
      <w:r>
        <w:t>Quy đổi theo các biến ít bị ảnh hưởng bởi những lựa chọn kế toán mang tính tùy nghi: Để đối phó với vấn đề chênh lệch lớn về chuẩn mực kế toán và hoạt động giữa các công ty tư nhân, bạn có thể tập trung vào những biến mà ở đó sự lựa chọn tùy nghi ít quan trọng hơn. Ví dụ, nên ưu tiên các bội số của doanh thu (thứ khó bị làm giả hay thao túng hơn) hơn là các bội số của lợi nhuận. Bạn thậm chí có thể quy đổi giá trị theo những đơn vị đặc thù của doanh nghiệp đang được định giá — số lượng bệnh nhân đối với một phòng khám đa khoa, hay số lượng khách hàng đối với một doanh nghiệp sửa ống nước.</w:t>
      </w:r>
    </w:p>
    <w:p>
      <w:pPr>
        <w:numPr>
          <w:ilvl w:val="0"/>
          <w:numId w:val="267"/>
        </w:numPr>
        <w:pStyle w:val="Para 01"/>
      </w:pPr>
      <w:r>
        <w:t>Định giá doanh nghiệp, chứ không phải vốn chủ sở hữu. Ở Chương 16, chúng ta đã phân loại các bội số thành bội số vốn chủ sở hữu (khi giá trị vốn chủ sở hữu được quy đổi theo lợi nhuận vốn chủ sở hữu hoặc giá trị sổ sách) và bội số giá trị doanh nghiệp (khi giá trị của doanh nghiệp được quy đổi theo lợi nhuận hoạt động, dòng tiền, hoặc giá trị sổ sách của vốn). Do có sự khác biệt lớn về quyền đòi vốn chủ sở hữu và việc sử dụng nợ giữa các doanh nghiệp tư nhân, tốt hơn là tập trung vào bội số giá trị doanh nghiệp thay vì bội số vốn chủ sở hữu. Nói cách khác, định giá toàn bộ doanh nghiệp rồi mới tính ra giá trị vốn chủ sở hữu sẽ tốt hơn là định giá vốn chủ sở hữu một cách trực tiếp.</w:t>
      </w:r>
    </w:p>
    <w:p>
      <w:pPr>
        <w:numPr>
          <w:ilvl w:val="0"/>
          <w:numId w:val="267"/>
        </w:numPr>
        <w:pStyle w:val="Para 01"/>
      </w:pPr>
      <w:r>
        <w:t>Bắt đầu với một tập dữ liệu lớn: Vì các giao dịch với doanh nghiệp tư nhân diễn ra không thường xuyên, tốt nhất là bắt đầu với một tập dữ liệu lớn các công ty và thu thập toàn bộ dữ liệu giao dịch. Điều này sẽ cho phép bạn sàng lọc dữ liệu để tìm ra những giao dịch có vẻ đáng ngờ (và do đó, có khả năng không đạt được tiêu chuẩn giao dịch ngang giá — arm's-length test).</w:t>
      </w:r>
    </w:p>
    <w:p>
      <w:pPr>
        <w:numPr>
          <w:ilvl w:val="0"/>
          <w:numId w:val="267"/>
        </w:numPr>
        <w:pStyle w:val="Para 01"/>
      </w:pPr>
      <w:r>
        <w:t>Điều chỉnh cho chênh lệch về thời điểm. Ngay cả với những tập dữ liệu lớn về giao dịch tư nhân, vẫn sẽ có chênh lệch về thời điểm giữa các giao dịch. Dù đây không phải là vấn đề trong giai đoạn thị trường ổn định, bạn vẫn nên điều chỉnh giá trị (dù chỉ là điều chỉnh thô) để tính đến chênh lệch thời điểm. Ví dụ, lấy tháng 6 năm 2008 và tháng 12 năm 2008 làm ngày giao dịch, bạn sẽ giảm giá giao dịch từ tháng 6 năm 2008 theo mức giảm của thị trường đại chúng (một chỉ số vốn hóa nhỏ như Russell 5000 đã giảm khoảng 40 phần trăm trong giai đoạn đó) để làm cho các mức giá có thể so sánh được với nhau.</w:t>
      </w:r>
    </w:p>
    <w:p>
      <w:pPr>
        <w:numPr>
          <w:ilvl w:val="0"/>
          <w:numId w:val="267"/>
        </w:numPr>
        <w:pStyle w:val="Para 01"/>
      </w:pPr>
      <w:r>
        <w:t>Tập trung vào sự khác biệt về các yếu tố nền tảng. Quan điểm cho rằng giá trị của một doanh nghiệp phụ thuộc vào các yếu tố nền tảng của nó — tăng trưởng, dòng tiền và rủi ro — không thể bị gạt bỏ chỉ vì bạn đang thực hiện định giá tương đối. Giá trị ước tính có khả năng đáng tin cậy hơn nếu bạn thu thập được các thước đo khác của những doanh nghiệp tư nhân đã được giao dịch phản ánh các yếu tố nền tảng này. Ví dụ, sẽ hữu ích nếu có được không chỉ giá giao dịch của các doanh nghiệp tư nhân mà còn cả mức tăng trưởng doanh thu ghi nhận ở những doanh nghiệp này trong giai đoạn trước giao dịch và tuổi của doanh nghiệp (để phản ánh độ trưởng thành và rủi ro). Bạn có thể khám phá dữ liệu để xem liệu có mối quan hệ giữa giá trị giao dịch và các biến này không, và nếu có, hãy đưa nó vào việc định giá.</w:t>
      </w:r>
    </w:p>
    <w:p>
      <w:bookmarkStart w:id="5166" w:name="Public_Multiples"/>
      <w:bookmarkStart w:id="5167" w:name="Public_Multiples__It_is_far_easi"/>
      <w:pPr>
        <w:keepNext/>
        <w:pStyle w:val="Heading 3"/>
        <w:keepLines w:val="on"/>
      </w:pPr>
      <w:r>
        <w:t>Bội số của công ty đại chúng</w:t>
      </w:r>
      <w:bookmarkEnd w:id="5166"/>
      <w:bookmarkEnd w:id="5167"/>
    </w:p>
    <w:p>
      <w:pPr>
        <w:pStyle w:val="Para 03"/>
      </w:pPr>
      <w:r>
        <w:t>Việc thu thập dữ liệu kịp thời về giá và bội số của các công ty niêm yết đại chúng dễ dàng hơn nhiều. Thực tế, với những nhà phân tích không có quyền truy cập dữ liệu giao dịch tư nhân, đây là lựa chọn duy nhất khi nói đến định giá tương đối. Tuy nhiên, mối nguy là bạn đang mở rộng những bài học về giá cả rút ra từ việc quan sát các công ty niêm yết trưởng thành hơn sang một doanh nghiệp tư nhân.</w:t>
      </w:r>
    </w:p>
    <w:p>
      <w:pPr>
        <w:pStyle w:val="Para 20"/>
      </w:pPr>
      <w:r>
        <w:rPr>
          <w:rStyle w:val="Text26"/>
        </w:rPr>
        <w:bookmarkStart w:id="5168" w:name="Page_792"/>
        <w:t/>
        <w:bookmarkEnd w:id="5168"/>
      </w:r>
      <w:r>
        <w:t xml:space="preserve"> </w:t>
      </w:r>
    </w:p>
    <w:p>
      <w:bookmarkStart w:id="5169" w:name="Problems__The_issues_we_face_in"/>
      <w:bookmarkStart w:id="5170" w:name="Problems_1"/>
      <w:pPr>
        <w:keepNext/>
        <w:pStyle w:val="Heading 4"/>
        <w:keepLines w:val="on"/>
      </w:pPr>
      <w:r>
        <w:t>Các vấn đề</w:t>
      </w:r>
      <w:bookmarkEnd w:id="5169"/>
      <w:bookmarkEnd w:id="5170"/>
    </w:p>
    <w:p>
      <w:pPr>
        <w:pStyle w:val="Para 03"/>
      </w:pPr>
      <w:r>
        <w:t>Những vấn đề chúng ta gặp phải khi áp dụng bội số của thị trường đại chúng cho các doanh nghiệp tư nhân, đặc biệt là ở giai đoạn đầu của vòng đời, khá rõ ràng:</w:t>
      </w:r>
    </w:p>
    <w:p>
      <w:pPr>
        <w:numPr>
          <w:ilvl w:val="0"/>
          <w:numId w:val="268"/>
        </w:numPr>
        <w:pStyle w:val="Para 01"/>
      </w:pPr>
      <w:r>
        <w:t>Vòng đời ảnh hưởng đến các yếu tố nền tảng. Nếu bạn chấp nhận tiền đề rằng chỉ những công ty non trẻ vượt qua được giai đoạn đầu của vòng đời và thành công mới có khả năng niêm yết đại chúng, thì bạn cũng phải chấp nhận thực tế rằng các công ty đại chúng sẽ có những yếu tố nền tảng khác với các công ty tư nhân. Nói chung, các công ty đại chúng sẽ lớn hơn, có tiềm năng tăng trưởng ít hơn, và có thị trường đã được thiết lập vững chắc hơn so với các doanh nghiệp tư nhân, và những khác biệt này sẽ thể hiện qua các bội số mà nhà đầu tư trả cho các công ty đại chúng.</w:t>
      </w:r>
    </w:p>
    <w:p>
      <w:pPr>
        <w:numPr>
          <w:ilvl w:val="0"/>
          <w:numId w:val="268"/>
        </w:numPr>
        <w:pStyle w:val="Para 01"/>
      </w:pPr>
      <w:r>
        <w:t>Nhà đầu tư đa dạng hóa so với nhà đầu tư không đa dạng hóa. Khi chúng ta thảo luận về việc ước tính rủi ro và tỷ lệ chiết khấu cho các doanh nghiệp tư nhân non trẻ, chúng ta đã lưu ý đến những góc nhìn khác nhau về rủi ro mà các nhà đầu tư đa dạng hóa trong các công ty đại chúng có, so với các nhà đầu tư vốn chủ sở hữu trong các doanh nghiệp tư nhân, và cách sự khác biệt đó có thể thể hiện thành chi phí vốn chủ sở hữu cao hơn cho nhóm sau. Khi bạn sử dụng bội số của lợi nhuận hoặc doanh thu, thu được từ một mẫu các công ty niêm yết đại chúng với nhà đầu tư đa dạng hóa, để định giá một doanh nghiệp tư nhân với nhà đầu tư không đa dạng hóa, bạn sẽ định giá quá cao doanh nghiệp sau.</w:t>
      </w:r>
    </w:p>
    <w:p>
      <w:pPr>
        <w:numPr>
          <w:ilvl w:val="0"/>
          <w:numId w:val="268"/>
        </w:numPr>
        <w:pStyle w:val="Para 01"/>
      </w:pPr>
      <w:r>
        <w:t>Tính thanh khoản. Vì vốn chủ sở hữu trong các công ty niêm yết đại chúng có tính thanh khoản cao hơn vốn chủ sở hữu trong các doanh nghiệp tư nhân, giá trị thu được khi dùng bội số của công ty đại chúng sẽ quá cao nếu áp dụng cho một doanh nghiệp tư nhân. Cũng giống như chúng ta phải điều chỉnh cho tính kém thanh khoản trong định giá nội tại, chúng ta cũng phải điều chỉnh cho tính kém thanh khoản trong định giá tương đối.</w:t>
      </w:r>
    </w:p>
    <w:p>
      <w:bookmarkStart w:id="5171" w:name="Usefulness_and_Best_Practices_1"/>
      <w:bookmarkStart w:id="5172" w:name="Usefulness_and_Best_Practices__W"/>
      <w:pPr>
        <w:keepNext/>
        <w:pStyle w:val="Heading 4"/>
        <w:keepLines w:val="on"/>
      </w:pPr>
      <w:r>
        <w:t>Tính hữu ích và các thông lệ tốt nhất</w:t>
      </w:r>
      <w:bookmarkEnd w:id="5171"/>
      <w:bookmarkEnd w:id="5172"/>
    </w:p>
    <w:p>
      <w:pPr>
        <w:pStyle w:val="Para 03"/>
      </w:pPr>
      <w:r>
        <w:t>Những loại doanh nghiệp tư nhân nào được định giá tốt nhất bằng bội số của công ty đại chúng? Nói chung, những công ty khao khát vươn tới một thị trường lớn hơn và hoặc niêm yết đại chúng hoặc được một công ty đại chúng mua lại là những ứng viên phù hợp hơn nhiều cho thông lệ này. Thực chất, bạn đang định giá công ty theo cái mà nó muốn trở thành, chứ không phải cái mà nó đang là ngày hôm nay.</w:t>
      </w:r>
    </w:p>
    <w:p>
      <w:pPr>
        <w:pStyle w:val="Para 03"/>
      </w:pPr>
      <w:r>
        <w:t>Có ba thông lệ đơn giản không chỉ có thể ngăn ngừa những sai sót định giá nghiêm trọng mà còn dẫn đến những mức định giá tốt hơn:</w:t>
      </w:r>
    </w:p>
    <w:p>
      <w:pPr>
        <w:numPr>
          <w:ilvl w:val="0"/>
          <w:numId w:val="269"/>
        </w:numPr>
        <w:pStyle w:val="Para 01"/>
      </w:pPr>
      <w:r>
        <w:t>Điều chỉnh cho khả năng tồn tại. Trong chừng mực các doanh nghiệp tư nhân có khả năng tiếp cận vốn hạn chế, chúng cũng dễ bị thất bại hơn. Khi định giá các doanh nghiệp tư nhân bằng bội số của công ty đại chúng, bạn phải điều chỉnh cho rủi ro thất bại gia tăng này.</w:t>
      </w:r>
    </w:p>
    <w:p>
      <w:pPr>
        <w:numPr>
          <w:ilvl w:val="0"/>
          <w:numId w:val="269"/>
        </w:numPr>
        <w:pStyle w:val="Para 01"/>
      </w:pPr>
      <w:r>
        <w:t>Điều chỉnh cho tính không đa dạng hóa. Ở phần trước trong chương này, chúng ta đã xây dựng thước đo beta tổng thể (total beta) cho các nhà đầu tư không đa dạng hóa và lập luận rằng chi phí vốn chủ sở hữu cao hơn phát sinh từ việc sử dụng nó sẽ làm giảm giá trị nội tại. Lý lẽ tương tự cũng nên được áp dụng khi thực hiện định giá tương đối. Nếu tỷ số PE trung bình của các nhà hàng niêm yết đại chúng là mười hai, bạn sẽ kỳ vọng Chez Pierre giao dịch ở một tỷ số PE thấp hơn, ngay cả khi nó có cùng những đặc điểm.</w:t>
      </w:r>
    </w:p>
    <w:p>
      <w:pPr>
        <w:numPr>
          <w:ilvl w:val="0"/>
          <w:numId w:val="269"/>
        </w:numPr>
        <w:pStyle w:val="Para 01"/>
      </w:pPr>
      <w:r>
        <w:t>Điều chỉnh cho tính kém thanh khoản. Ở phần cuối về định giá nội tại, chúng ta đã trình bày những cách khác nhau để ước tính mức chiết khấu kém thanh khoản cho vốn chủ sở hữu trong các doanh nghiệp tư nhân. Chúng ta có thể áp dụng những kỹ thuật tương tự để điều chỉnh giá trị theo bội số của công ty đại chúng cho tính kém thanh khoản.</w:t>
      </w:r>
    </w:p>
    <w:p>
      <w:pPr>
        <w:pStyle w:val="Para 03"/>
      </w:pPr>
      <w:r>
        <w:t>Tất cả những điều chỉnh này sẽ dẫn đến việc hạ thấp bội số định giá, khiến cho bội số EV-to-EBITDA là mười của các công ty đại chúng trở thành sáu hoặc bảy đối với các doanh nghiệp tư nhân.</w:t>
      </w:r>
    </w:p>
    <w:p>
      <w:pPr>
        <w:pStyle w:val="Para 20"/>
      </w:pPr>
      <w:r>
        <w:rPr>
          <w:rStyle w:val="Text26"/>
        </w:rPr>
        <w:bookmarkStart w:id="5173" w:name="Page_793"/>
        <w:t/>
        <w:bookmarkEnd w:id="5173"/>
      </w:r>
      <w:r>
        <w:t xml:space="preserve"> </w:t>
      </w:r>
    </w:p>
    <w:p>
      <w:bookmarkStart w:id="5174" w:name="Conclusion_23"/>
      <w:bookmarkStart w:id="5175" w:name="Conclusion__The_value_of_a_priva"/>
      <w:pPr>
        <w:keepNext/>
        <w:pStyle w:val="Heading 2"/>
        <w:keepLines w:val="on"/>
      </w:pPr>
      <w:r>
        <w:t>Kết luận</w:t>
      </w:r>
      <w:bookmarkEnd w:id="5174"/>
      <w:bookmarkEnd w:id="5175"/>
    </w:p>
    <w:p>
      <w:pPr>
        <w:pStyle w:val="Para 03"/>
      </w:pPr>
      <w:r>
        <w:t>Giá trị của một công ty tư nhân là giá trị hiện tại của các dòng tiền mà nó được kỳ vọng tạo ra, được chiết khấu trở lại theo một tỷ lệ phản ánh cả rủi ro trong công ty tư nhân lẫn cơ cấu nợ và vốn chủ sở hữu mà nó sử dụng. Dù phát biểu này giống hệt phát biểu được dùng để mô tả giá trị của một công ty niêm yết đại chúng, có những khác biệt trong cách chúng ta ước tính những đầu vào này cho các công ty tư nhân, và ngay cả giữa các công ty tư nhân với nhau, tùy thuộc vào động cơ của việc định giá.</w:t>
      </w:r>
    </w:p>
    <w:p>
      <w:pPr>
        <w:pStyle w:val="Para 03"/>
      </w:pPr>
      <w:r>
        <w:t>Khi định giá một công ty tư nhân để bán cho một cá nhân hoặc một thực thể tư nhân, chúng ta phải xem xét ba vấn đề cụ thể. Thứ nhất là chi phí vốn chủ sở hữu, thứ mà đến nay chúng ta vẫn giả định được xác định hoàn toàn bởi rủi ro không thể đa dạng hóa, có thể phải được điều chỉnh vì thực tế rằng người mua tiềm năng không được đa dạng hóa tốt. Thứ hai là các khoản nắm giữ vốn chủ sở hữu trong các doanh nghiệp tư nhân kém thanh khoản, dẫn đến một mức chiết khấu trên giá trị ước tính. Các mức chiết khấu đối với các đợt phát hành cổ phiếu hạn chế của các công ty niêm yết đại chúng hoặc chênh lệch giá mua-bán của những công ty này có thể cung cấp cho chúng ta thông tin hữu ích về việc mức chiết khấu này nên lớn đến đâu. Thứ ba là quyền kiểm soát đối với vốn chủ sở hữu của một công ty tư nhân có thể được giao dịch ở mức giá cao hơn đáng kể so với quyền lợi thiểu số.</w:t>
      </w:r>
    </w:p>
    <w:p>
      <w:pPr>
        <w:pStyle w:val="Para 03"/>
      </w:pPr>
      <w:r>
        <w:t>Việc định giá một công ty tư nhân để bán cho một công ty niêm yết đại chúng hoặc để phát hành cổ phiếu lần đầu ra công chúng (initial public offering) đi theo một lộ trình thông thường hơn nhiều. Chúng ta có thể tiếp tục giả định rằng chi phí vốn chủ sở hữu chỉ nên dựa trên rủi ro không thể đa dạng hóa, và không cần có mức chiết khấu kém thanh khoản. Vẫn có thể có giá trị kiểm soát nếu bán ít hơn quyền lợi kiểm soát cho công ty niêm yết đại chúng hoặc nếu phát hành cổ phiếu không có quyền biểu quyết trong đợt phát hành cổ phiếu lần đầu ra công chúng.</w:t>
      </w:r>
    </w:p>
    <w:p>
      <w:bookmarkStart w:id="5176" w:name="Questions_and_Short_Problems__In_18"/>
      <w:bookmarkStart w:id="5177" w:name="Questions_and_Short_Problems_24"/>
      <w:pPr>
        <w:keepNext/>
        <w:pStyle w:val="Heading 2"/>
        <w:keepLines w:val="on"/>
      </w:pPr>
      <w:r>
        <w:t>Câu hỏi và bài tập ngắn</w:t>
      </w:r>
      <w:bookmarkEnd w:id="5176"/>
      <w:bookmarkEnd w:id="5177"/>
    </w:p>
    <w:p>
      <w:pPr>
        <w:pStyle w:val="Para 44"/>
      </w:pPr>
      <w:r>
        <w:t>Trong các bài toán sau đây, hãy sử dụng mức bù rủi ro vốn cổ phần (equity risk premium) là 5,5 phần trăm nếu không có quy định nào khác.</w:t>
      </w:r>
    </w:p>
    <w:p>
      <w:pPr>
        <w:numPr>
          <w:ilvl w:val="0"/>
          <w:numId w:val="270"/>
        </w:numPr>
        <w:pStyle w:val="Para 01"/>
      </w:pPr>
      <w:r>
        <w:t>Bạn được yêu cầu định giá Barrista Espresso, một chuỗi cửa hàng cà phê espresso đã mở ở Bờ Đông nước Mỹ.</w:t>
      </w:r>
    </w:p>
    <w:p>
      <w:pPr>
        <w:numPr>
          <w:ilvl w:val="1"/>
          <w:numId w:val="270"/>
        </w:numPr>
        <w:pStyle w:val="Para 01"/>
      </w:pPr>
      <w:r>
        <w:t>Công ty có thu nhập trước lãi vay và thuế (earnings before interest and taxes) là 10,50 triệu đô la trong năm gần nhất với doanh thu 50 triệu đô la. Tuy nhiên, những người sáng lập công ty chưa bao giờ tự trả lương cho mình, khoản lương này sẽ lên tới 1 triệu đô la nếu dựa trên các công ty tương đương.</w:t>
      </w:r>
    </w:p>
    <w:p>
      <w:pPr>
        <w:numPr>
          <w:ilvl w:val="1"/>
          <w:numId w:val="270"/>
        </w:numPr>
        <w:pStyle w:val="Para 01"/>
      </w:pPr>
      <w:r>
        <w:t>Thuế suất là 36% cho tất cả các công ty, và vốn lưu động (working capital) bằng 10% doanh thu.</w:t>
      </w:r>
    </w:p>
    <w:p>
      <w:pPr>
        <w:numPr>
          <w:ilvl w:val="1"/>
          <w:numId w:val="270"/>
        </w:numPr>
        <w:pStyle w:val="Para 01"/>
      </w:pPr>
      <w:r>
        <w:t>Chi tiêu vốn (capital expenditures) trong năm gần nhất lên tới 4,5 triệu đô la, trong khi khấu hao (depreciation) chỉ là 1 triệu đô la.</w:t>
      </w:r>
    </w:p>
    <w:p>
      <w:pPr>
        <w:numPr>
          <w:ilvl w:val="1"/>
          <w:numId w:val="270"/>
        </w:numPr>
        <w:pStyle w:val="Para 01"/>
      </w:pPr>
      <w:r>
        <w:t>Thu nhập, doanh thu và chi tiêu vốn ròng (net capital expenditures) được dự kiến sẽ tăng 30% mỗi năm trong năm năm, và 6% sau đó mãi mãi.</w:t>
      </w:r>
    </w:p>
    <w:p>
      <w:pPr>
        <w:numPr>
          <w:ilvl w:val="1"/>
          <w:numId w:val="270"/>
        </w:numPr>
        <w:pStyle w:val="Para 01"/>
      </w:pPr>
      <w:r>
        <w:t>Các công ty tương đương có beta trung bình là 1,3567 và tỷ lệ D/E trung bình là 13,65%. Tương quan trung bình với thị trường là 0,50. Barrista Espresso được dự kiến sẽ duy trì tỷ lệ nợ là 12% và đối mặt với chi phí nợ là 8,75%. Lãi suất phi rủi ro là 6%, và mức bù rủi ro thị trường là 5,5%.</w:t>
      </w:r>
    </w:p>
    <w:p>
      <w:pPr>
        <w:numPr>
          <w:ilvl w:val="1"/>
          <w:numId w:val="270"/>
        </w:numPr>
        <w:pStyle w:val="Para 01"/>
      </w:pPr>
      <w:r>
        <w:t>Hãy ước tính giá trị của Barrista Espresso với tư cách là một doanh nghiệp (firm).</w:t>
      </w:r>
    </w:p>
    <w:p>
      <w:pPr>
        <w:numPr>
          <w:ilvl w:val="1"/>
          <w:numId w:val="270"/>
        </w:numPr>
        <w:pStyle w:val="Para 01"/>
      </w:pPr>
      <w:r>
        <w:t>Hãy ước tính giá trị vốn cổ phần (equity) trong Barrista Espresso.</w:t>
      </w:r>
    </w:p>
    <w:p>
      <w:pPr>
        <w:numPr>
          <w:ilvl w:val="1"/>
          <w:numId w:val="270"/>
        </w:numPr>
        <w:pStyle w:val="Para 01"/>
      </w:pPr>
      <w:r>
        <w:t>Liệu định giá của bạn có khác đi nếu bạn định giá công ty cho một đợt IPO không?</w:t>
      </w:r>
    </w:p>
    <w:p>
      <w:pPr>
        <w:numPr>
          <w:ilvl w:val="0"/>
          <w:numId w:val="270"/>
        </w:numPr>
        <w:pStyle w:val="Para 01"/>
      </w:pPr>
      <w:r>
        <w:t>Bạn đã định giá một doanh nghiệp, sử dụng các mô hình dòng tiền chiết khấu (discounted cash flow models), ở mức 250 triệu đô la cho một thương vụ bán tư nhân. Doanh nghiệp này, vốn có sinh lời, có doanh thu 200 triệu đô la trong năm gần nhất. (Công ty trung bình có doanh thu 10 triệu đô la.) Bạn sẽ áp dụng mức chiết khấu thanh khoản (liquidity discount) bao nhiêu cho công ty này:</w:t>
      </w:r>
    </w:p>
    <w:p>
      <w:pPr>
        <w:numPr>
          <w:ilvl w:val="1"/>
          <w:numId w:val="270"/>
        </w:numPr>
        <w:pStyle w:val="Para 01"/>
      </w:pPr>
      <w:r>
        <w:t>Dựa trên hồi quy Silber?</w:t>
      </w:r>
    </w:p>
    <w:p>
      <w:pPr>
        <w:numPr>
          <w:ilvl w:val="1"/>
          <w:numId w:val="270"/>
        </w:numPr>
        <w:pStyle w:val="Para 01"/>
      </w:pPr>
      <w:r>
        <w:t>Dựa trên việc điều chỉnh mức chiết khấu trung bình (25%) theo quy mô của công ty?</w:t>
      </w:r>
    </w:p>
    <w:p>
      <w:pPr>
        <w:numPr>
          <w:ilvl w:val="0"/>
          <w:numId w:val="270"/>
        </w:numPr>
        <w:pStyle w:val="Para 01"/>
      </w:pPr>
      <w:r>
        <w:t>Bạn đang định giá một nhà nghỉ phục vụ bữa sáng (bed-and-breakfast) ở Vermont với thông tin sau:</w:t>
      </w:r>
    </w:p>
    <w:p>
      <w:pPr>
        <w:numPr>
          <w:ilvl w:val="1"/>
          <w:numId w:val="270"/>
        </w:numPr>
        <w:pStyle w:val="Para 01"/>
      </w:pPr>
      <w:r>
        <w:t>Doanh nghiệp có thu nhập hoạt động trước thuế (pretax operating income) là 100.000 đô la trong năm gần nhất. Thu nhập này đã tăng 5% mỗi năm trong ba năm qua và được dự kiến sẽ tiếp tục tăng với tốc độ đó trong tương lai có thể thấy trước.</w:t>
      </w:r>
    </w:p>
    <w:p>
      <w:pPr>
        <w:numPr>
          <w:ilvl w:val="1"/>
          <w:numId w:val="270"/>
        </w:numPr>
        <w:pStyle w:val="Para 01"/>
      </w:pPr>
      <w:r>
        <w:t>Khoảng 40% thu nhập hoạt động này có thể được quy cho việc chủ sở hữu là một đầu bếp bậc thầy. Ông ấy không có kế hoạch ở lại nếu doanh nghiệp được bán.</w:t>
      </w:r>
    </w:p>
    <w:p>
      <w:pPr>
        <w:numPr>
          <w:ilvl w:val="1"/>
          <w:numId w:val="270"/>
        </w:numPr>
        <w:pStyle w:val="Para 01"/>
      </w:pPr>
      <w:r>
        <w:t>Doanh nghiệp được tài trợ bằng nợ và vốn cổ phần như nhau. Chi phí đi vay trước thuế là 8%. Beta cho các công ty niêm yết công khai trong ngành khách sạn là 1,10. Lãi suất trái phiếu kho bạc là 7%, mức bù rủi ro thị trường là 5,5%, và thuế suất là 40%.</w:t>
      </w:r>
    </w:p>
    <w:p>
      <w:pPr>
        <w:numPr>
          <w:ilvl w:val="1"/>
          <w:numId w:val="270"/>
        </w:numPr>
        <w:pStyle w:val="Para 01"/>
      </w:pPr>
      <w:r>
        <w:t>Chi tiêu duy trì vốn (capital maintenance expenditure), sau khi trừ khấu hao, là 10.000 đô la trong năm gần nhất, và được dự kiến sẽ tăng với cùng tốc độ như thu nhập hoạt động.</w:t>
      </w:r>
    </w:p>
    <w:p>
      <w:pPr>
        <w:numPr>
          <w:ilvl w:val="1"/>
          <w:numId w:val="270"/>
        </w:numPr>
        <w:pStyle w:val="Para 01"/>
      </w:pPr>
      <w:r>
        <w:t>Doanh nghiệp được dự kiến sẽ có vòng đời hoạt động là 10 năm, sau đó tòa nhà sẽ được bán với giá 500.000 đô la, sau khi trừ thuế lãi vốn (capital gains taxes).</w:t>
      </w:r>
    </w:p>
    <w:p>
      <w:pPr>
        <w:numPr>
          <w:ilvl w:val="1"/>
          <w:numId w:val="270"/>
        </w:numPr>
        <w:pStyle w:val="Para 01"/>
      </w:pPr>
      <w:r>
        <w:t>Hãy định giá doanh nghiệp để bán.</w:t>
      </w:r>
    </w:p>
    <w:p>
      <w:pPr>
        <w:numPr>
          <w:ilvl w:val="1"/>
          <w:numId w:val="270"/>
        </w:numPr>
        <w:pStyle w:val="Para 01"/>
      </w:pPr>
      <w:r>
        <w:t>Giá trị sẽ thay đổi bao nhiêu nếu chủ sở hữu đề nghị ở lại trong ba năm tới?</w:t>
      </w:r>
    </w:p>
    <w:p>
      <w:pPr>
        <w:numPr>
          <w:ilvl w:val="0"/>
          <w:numId w:val="270"/>
        </w:numPr>
        <w:pStyle w:val="Para 01"/>
      </w:pPr>
      <w:r>
        <w:t>Bạn được chủ sở hữu của Tectonics Software, một công ty nhỏ sản xuất và bán phần mềm máy tính, yêu cầu đưa ra ước tính giá trị cho công ty để phục vụ một đợt phát hành cổ phiếu lần đầu ra công chúng (initial public offering). Công ty có doanh thu 20 triệu đô la trong năm gần nhất, từ đó đạt thu nhập trước lãi vay và thuế là 2 triệu đô la. Công ty có nợ chưa thanh toán là 10 triệu đô la, với chi phí lãi vay trước thuế lên tới 1 triệu đô la. Giá trị sổ sách của vốn cổ phần là 10 triệu đô la. Beta không vay nợ (unlevered beta) trung bình của các công ty phần mềm niêm yết công khai là 1,20, và giá trị thị trường trung bình của vốn cổ phần của các công ty này, trung bình, gấp ba lần giá trị sổ sách của vốn cổ phần. Tất cả các công ty đối mặt với thuế suất 40%. Chi tiêu vốn lên tới 1 triệu đô la trong năm gần nhất và gấp đôi khoản khấu hao trong năm đó. Cả hai khoản mục đều được dự kiến sẽ tăng với cùng tốc độ như doanh thu trong năm năm tới. Lợi nhuận trên vốn (return on capital) sau năm thứ 5 được dự kiến là 15%. Doanh thu của công ty này được dự kiến sẽ tăng 20% mỗi năm trong năm năm tới và 5% sau đó, và biên lợi nhuận hoạt động (operating margins) sẽ duy trì ở mức hiện tại. Lãi suất trái phiếu kho bạc là 6%.</w:t>
      </w:r>
    </w:p>
    <w:p>
      <w:pPr>
        <w:numPr>
          <w:ilvl w:val="1"/>
          <w:numId w:val="270"/>
        </w:numPr>
        <w:pStyle w:val="Para 01"/>
      </w:pPr>
      <w:r>
        <w:t>Hãy ước tính chi phí vốn (cost of capital) cho công ty.</w:t>
      </w:r>
    </w:p>
    <w:p>
      <w:pPr>
        <w:numPr>
          <w:ilvl w:val="1"/>
          <w:numId w:val="270"/>
        </w:numPr>
        <w:pStyle w:val="Para 01"/>
      </w:pPr>
      <w:r>
        <w:t>Hãy ước tính giá trị vốn cổ phần trong công ty.</w:t>
      </w:r>
    </w:p>
    <w:p>
      <w:pPr>
        <w:numPr>
          <w:ilvl w:val="1"/>
          <w:numId w:val="270"/>
        </w:numPr>
        <w:pStyle w:val="Para 01"/>
      </w:pPr>
      <w:r>
        <w:t>Nếu công ty dự định phát hành 1 triệu cổ phiếu, hãy ước tính giá trị trên mỗi cổ phiếu.</w:t>
      </w:r>
    </w:p>
    <w:p>
      <w:pPr>
        <w:numPr>
          <w:ilvl w:val="0"/>
          <w:numId w:val="270"/>
        </w:numPr>
        <w:pStyle w:val="Para 01"/>
      </w:pPr>
      <w:r>
        <w:t>Nếu định giá Tectonics Software để bán cho một cá nhân thì câu trả lời của bạn ở câu hỏi trước sẽ thay đổi thế nào? Cá nhân này sở hữu một danh mục đầu tư chưa đa dạng hóa và có hệ số tương quan 0,60 với chỉ số thị trường. Ngoài ra, hãy dùng phương trình chênh lệch giá mua–giá bán (bid-ask spread) sau đây để ước tính mức chiết khấu do kém thanh khoản (illiquidity discount):</w:t>
      </w:r>
    </w:p>
    <w:p>
      <w:bookmarkStart w:id="5179" w:name="Bid___Ask_spread_0_14___0_015_ln"/>
      <w:pPr>
        <w:keepNext/>
        <w:pStyle w:val="Para 09"/>
        <w:keepLines w:val="on"/>
      </w:pPr>
      <w:r>
        <w:t>Chênh lệch giá mua−giá bán = 0,14 − 0,015 ln(Doanh thu)</w:t>
      </w:r>
      <w:bookmarkEnd w:id="5179"/>
    </w:p>
    <w:p>
      <w:pPr>
        <w:pStyle w:val="Para 03"/>
      </w:pPr>
      <w:r>
        <w:t>Hãy ước tính giá trị vốn chủ sở hữu trong giao dịch tư nhân này.</w:t>
      </w:r>
    </w:p>
    <w:p>
      <w:bookmarkStart w:id="5180" w:name="Notes_23"/>
      <w:bookmarkStart w:id="5181" w:name="Notes__1_Book_interest_rate___In"/>
      <w:pPr>
        <w:keepNext/>
        <w:pStyle w:val="Heading 2"/>
        <w:keepLines w:val="on"/>
      </w:pPr>
      <w:r>
        <w:t>Ghi chú</w:t>
      </w:r>
      <w:bookmarkEnd w:id="5180"/>
      <w:bookmarkEnd w:id="5181"/>
    </w:p>
    <w:p>
      <w:pPr>
        <w:pStyle w:val="Para 08"/>
      </w:pPr>
      <w:r>
        <w:t>1 Lãi suất sổ sách = Chi phí lãi vay/Giá trị sổ sách của nợ.</w:t>
      </w:r>
    </w:p>
    <w:p>
      <w:pPr>
        <w:pStyle w:val="Para 08"/>
      </w:pPr>
      <w:r>
        <w:t>2 Các giá trị sẽ luôn hội tụ.</w:t>
      </w:r>
    </w:p>
    <w:p>
      <w:pPr>
        <w:pStyle w:val="Para 08"/>
      </w:pPr>
      <w:r>
        <w:t>3 Giống như với các công ty niêm yết có chi phí R&amp;D, chúng tôi đã vốn hóa các khoản chi phí này, và vốn đầu tư phản ánh giá trị của tài sản nghiên cứu.</w:t>
      </w:r>
    </w:p>
    <w:p>
      <w:pPr>
        <w:pStyle w:val="Para 08"/>
      </w:pPr>
      <w:r>
        <w:t>4 Đây là giới hạn trên vì nó giả định rằng bạn biết giá sẽ biến động thế nào và bán vào thời điểm tối ưu cho bạn.</w:t>
      </w:r>
    </w:p>
    <w:p>
      <w:pPr>
        <w:pStyle w:val="Para 08"/>
      </w:pPr>
      <w:r>
        <w:t>5 Trong một nghiên cứu năm 1993, David Chaffe đã dùng cách tiếp cận này để ước tính mức chiết khấu do kém thanh khoản dao động từ 28–49% cho một tài sản, sử dụng mô hình định giá quyền chọn Black Scholes và độ biến động của tài sản cơ sở dao động từ 60 đến 90%.</w:t>
      </w:r>
    </w:p>
    <w:p>
      <w:pPr>
        <w:pStyle w:val="Para 08"/>
      </w:pPr>
      <w:r>
        <w:t>6 Có một cách đơn giản để chứng minh rằng quyền chọn bán (put option) này không liên quan gì đến tính thanh khoản. Giả sử bạn sở hữu cổ phiếu của một công ty niêm yết có tính thanh khoản cao và giá cổ phiếu hiện tại là 50 đô la. Một quyền chọn bán kỳ hạn 2 năm đối với cổ phiếu này với giá thực hiện là 50 đô la sẽ có giá trị đáng kể, dù cổ phiếu cơ sở hoàn toàn có tính thanh khoản. Giá trị đó không liên quan gì đến tính thanh khoản, mà là cái giá bạn sẵn sàng trả cho sự bảo hiểm.</w:t>
      </w:r>
    </w:p>
    <w:p>
      <w:pPr>
        <w:pStyle w:val="Para 08"/>
      </w:pPr>
      <w:r>
        <w:t>7 Nếu sự thay đổi đến từ một thương vụ mua lại, và bên mua chỉ phải mua cổ phiếu có quyền biểu quyết để hoàn tất thương vụ, thì cổ phiếu có quyền biểu quyết sẽ nhận được phần lớn hoặc toàn bộ phần phí bảo hiểm (premium). Nếu sự thay đổi đến từ bên trong, khi ban lãnh đạo bị thay thế, thì cổ đông không có quyền biểu quyết cũng sẽ được hưởng lợi từ sự thay đổi đó.</w:t>
      </w:r>
    </w:p>
    <w:p>
      <w:pPr>
        <w:pStyle w:val="Para 08"/>
      </w:pPr>
      <w:r>
        <w:t>8 InfoSoft đã được định giá lại theo tỷ lệ nợ tối ưu của nó. Chúng tôi giả định rằng chính sách đầu tư hiện tại là tối ưu.</w:t>
      </w:r>
    </w:p>
    <w:p>
      <w:bookmarkStart w:id="5190" w:name="Chapter_25Acquisitions_and_Takeo"/>
      <w:bookmarkStart w:id="5191" w:name="Top_of_c025_xhtml"/>
      <w:bookmarkStart w:id="5192" w:name="Chapter_25Acquisitions_and_Takeo_1"/>
      <w:pPr>
        <w:keepNext/>
        <w:pStyle w:val="Heading 1"/>
        <w:pageBreakBefore w:val="on"/>
        <w:keepLines w:val="on"/>
      </w:pPr>
      <w:r>
        <w:t>CHƯƠNG 25</w:t>
      </w:r>
      <w:r>
        <w:br/>
      </w:r>
      <w:r>
        <w:t>Mua lại và Thâu tóm</w:t>
      </w:r>
      <w:bookmarkEnd w:id="5190"/>
      <w:bookmarkEnd w:id="5191"/>
      <w:bookmarkEnd w:id="5192"/>
    </w:p>
    <w:p>
      <w:pPr>
        <w:pStyle w:val="Para 03"/>
      </w:pPr>
      <w:r>
        <w:t>Các công ty bị mua lại vì nhiều lý do. Vào thập niên 1960 và 1970, những công ty như Gulf &amp; Western và ITT đã tự xây dựng mình thành các tập đoàn đa ngành (conglomerate) bằng cách mua lại các công ty trong những lĩnh vực kinh doanh khác. Vào thập niên 1980, những gã khổng lồ doanh nghiệp như Time Inc., Beatrice Foods và RJR Nabisco đã bị mua lại bởi các công ty khác, bởi chính ban lãnh đạo của họ, hoặc bởi những kẻ thâu tóm giàu có, những người nhìn thấy giá trị tiềm năng trong việc tái cấu trúc hoặc chia tách các công ty này. Thập niên 1990 chứng kiến một làn sóng hợp nhất trong ngành truyền thông khi các công ty viễn thông mua lại các công ty giải trí, và các công ty giải trí mua lại các doanh nghiệp truyền hình cáp. Vào thập niên 2010, tâm điểm của các thương vụ mua lại lại chuyển sang các công ty công nghệ, nhiều công ty trong đó có lượng tiền mặt dự trữ lớn đi mua lại các công ty công nghệ khác để mở rộng tầm với của nền tảng và gia tăng cơ sở người dùng. Qua thời gian, các công ty cũng mua lại hoặc sáp nhập với các công ty khác để đạt được lợi ích cộng hưởng (synergy), dưới hình thức tăng trưởng cao hơn hoặc chi phí thấp hơn.</w:t>
      </w:r>
    </w:p>
    <w:p>
      <w:pPr>
        <w:pStyle w:val="Para 03"/>
      </w:pPr>
      <w:r>
        <w:t>Các thương vụ mua lại dường như mang đến cho công ty một con đường tắt để đạt được các mục tiêu chiến lược, nhưng quá trình này cũng có cái giá của nó. Chương này xem xét bốn bước cơ bản trong một thương vụ mua lại, bắt đầu bằng việc xác lập động cơ mua lại, tiếp theo là nhận diện và định giá công ty mục tiêu, rồi đến việc cấu trúc và thanh toán cho thương vụ. Bước cuối cùng, và thường là khó nhất, là làm cho thương vụ mua lại phát huy hiệu quả sau khi giao dịch được hoàn tất.</w:t>
      </w:r>
    </w:p>
    <w:p>
      <w:bookmarkStart w:id="5194" w:name="Background_on_Acquisitions__When"/>
      <w:bookmarkStart w:id="5195" w:name="Background_on_Acquisitions"/>
      <w:pPr>
        <w:keepNext/>
        <w:pStyle w:val="Heading 2"/>
        <w:keepLines w:val="on"/>
      </w:pPr>
      <w:r>
        <w:t>Bối cảnh về các thương vụ mua lại</w:t>
      </w:r>
      <w:bookmarkEnd w:id="5194"/>
      <w:bookmarkEnd w:id="5195"/>
    </w:p>
    <w:p>
      <w:pPr>
        <w:pStyle w:val="Para 03"/>
      </w:pPr>
      <w:r>
        <w:t>Khi nói về mua lại (acquisition) hay thâu tóm (takeover), chúng ta đang nói về một số loại giao dịch khác nhau. Những giao dịch này có thể trải từ việc một công ty sáp nhập với một công ty khác để tạo ra một công ty mới, cho đến việc ban lãnh đạo của một công ty mua lại chính công ty đó từ các cổ đông của mình và tạo ra một công ty tư nhân. Phần này bắt đầu bằng việc xem xét các hình thức khác nhau của thương vụ mua lại, tiếp theo là cung cấp một cái nhìn tổng quan về quá trình mua lại, và kết thúc bằng việc xem xét lịch sử các thương vụ mua lại ở Hoa Kỳ.</w:t>
      </w:r>
    </w:p>
    <w:p>
      <w:bookmarkStart w:id="5196" w:name="Classifying_Acquisitions"/>
      <w:bookmarkStart w:id="5197" w:name="Classifying_Acquisitions__There"/>
      <w:pPr>
        <w:keepNext/>
        <w:pStyle w:val="Heading 3"/>
        <w:keepLines w:val="on"/>
      </w:pPr>
      <w:r>
        <w:t>Phân loại các thương vụ mua lại</w:t>
      </w:r>
      <w:bookmarkEnd w:id="5196"/>
      <w:bookmarkEnd w:id="5197"/>
    </w:p>
    <w:p>
      <w:pPr>
        <w:pStyle w:val="Para 03"/>
      </w:pPr>
      <w:r>
        <w:t>Có nhiều cách để cấu trúc một thương vụ mua lại. Trong một vụ sáp nhập (merger), hội đồng quản trị của hai công ty đồng ý hợp nhất và tìm kiếm sự chấp thuận của cổ đông cho việc hợp nhất đó. Trong hầu hết các trường hợp, ít nhất 50 phần trăm cổ đông của công ty mục tiêu và công ty bên mua phải đồng ý với việc sáp nhập. Công ty mục tiêu không còn tồn tại nữa và trở thành một phần của công ty mua lại; Digital Equipment Corporation đã bị Compaq hấp thụ sau khi bị mua lại vào năm 1997. Trong một vụ hợp nhất (consolidation), một công ty mới được tạo ra sau khi sáp nhập, và cả cổ đông của công ty mua lại lẫn công ty mục tiêu đều nhận được cổ phiếu trong công ty mới này; Citigroup, chẳng hạn, là công ty được tạo ra sau khi Citicorp và Travelers Group hợp nhất.</w:t>
      </w:r>
    </w:p>
    <w:p>
      <w:pPr>
        <w:pStyle w:val="Para 03"/>
      </w:pPr>
      <w:r>
        <w:t>Trong một đề nghị mua lại công khai (tender offer), một công ty đề nghị mua cổ phiếu đang lưu hành của công ty kia ở một mức giá cụ thể, rồi truyền đạt đề nghị này qua quảng cáo và thư từ gửi đến cổ đông. Bằng cách đó, nó bỏ qua ban lãnh đạo đương nhiệm và hội đồng quản trị của công ty mục tiêu. Do đó, các đề nghị mua lại công khai thường được dùng để thực hiện các thương vụ thâu tóm thù địch (hostile takeover). Công ty bị mua lại sẽ tiếp tục tồn tại chừng nào còn những cổ đông thiểu số từ chối đề nghị mua lại. Tuy nhiên, từ góc độ thực tiễn, hầu hết các đề nghị mua lại công khai cuối cùng đều trở thành sáp nhập nếu công ty mua lại thành công trong việc giành quyền kiểm soát công ty mục tiêu.</w:t>
      </w:r>
    </w:p>
    <w:p>
      <w:pPr>
        <w:pStyle w:val="Para 03"/>
      </w:pPr>
      <w:r>
        <w:t>Trong một thương vụ mua tài sản (purchase of assets), một công ty mua lại tài sản của một công ty khác, dù vẫn cần có sự biểu quyết chính thức của các cổ đông của công ty bị mua lại.</w:t>
      </w:r>
    </w:p>
    <w:p>
      <w:pPr>
        <w:pStyle w:val="Para 03"/>
      </w:pPr>
      <w:r>
        <w:t>Có một loại thương vụ mua lại cuối cùng không thuộc vào bất kỳ loại nào trong bốn loại đã mô tả ở trên. Ở đây, một công ty bị mua lại bởi chính ban lãnh đạo của nó hoặc bởi một nhóm nhà đầu tư, thường là thông qua một đề nghị mua lại công khai. Sau giao dịch này, công ty bị mua lại có thể không còn tồn tại như một công ty niêm yết và trở thành một doanh nghiệp tư nhân. Những thương vụ mua lại này được gọi là mua lại bởi ban lãnh đạo (management buyout) nếu có sự tham gia của ban lãnh đạo, và mua lại bằng vốn vay (leveraged buyout) nếu nguồn tiền cho đề nghị mua lại công khai chủ yếu đến từ nợ.</w:t>
      </w:r>
    </w:p>
    <w:p>
      <w:pPr>
        <w:pStyle w:val="Para 03"/>
      </w:pPr>
      <w:r>
        <w:t>Hình 25.1 tóm tắt các loại giao dịch khác nhau và những hệ quả đối với công ty mục tiêu.</w:t>
      </w:r>
    </w:p>
    <w:p>
      <w:bookmarkStart w:id="5200" w:name="Figure_25_1_Classification_of_Ac"/>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35200" cy="1308100"/>
            <wp:effectExtent l="0" r="0" t="0" b="0"/>
            <wp:wrapTopAndBottom/>
            <wp:docPr id="225" name="c25f001.png" descr="Flowchart depicting merger, consolidation, tender offer, acquisition, buyout when a firm is acquired by another firm or its own managers."/>
            <wp:cNvGraphicFramePr>
              <a:graphicFrameLocks noChangeAspect="1"/>
            </wp:cNvGraphicFramePr>
            <a:graphic>
              <a:graphicData uri="http://schemas.openxmlformats.org/drawingml/2006/picture">
                <pic:pic>
                  <pic:nvPicPr>
                    <pic:cNvPr id="0" name="c25f001.png" descr="Flowchart depicting merger, consolidation, tender offer, acquisition, buyout when a firm is acquired by another firm or its own managers."/>
                    <pic:cNvPicPr/>
                  </pic:nvPicPr>
                  <pic:blipFill>
                    <a:blip r:embed="rId160"/>
                    <a:stretch>
                      <a:fillRect/>
                    </a:stretch>
                  </pic:blipFill>
                  <pic:spPr>
                    <a:xfrm>
                      <a:off x="0" y="0"/>
                      <a:ext cx="2235200" cy="1308100"/>
                    </a:xfrm>
                    <a:prstGeom prst="rect">
                      <a:avLst/>
                    </a:prstGeom>
                  </pic:spPr>
                </pic:pic>
              </a:graphicData>
            </a:graphic>
          </wp:anchor>
        </w:drawing>
      </w:r>
      <w:bookmarkEnd w:id="5200"/>
    </w:p>
    <w:p>
      <w:pPr>
        <w:keepNext/>
        <w:pStyle w:val="Para 22"/>
        <w:keepLines w:val="on"/>
      </w:pPr>
      <w:r>
        <w:t>Hình 25.1 Phân loại các thương vụ mua lại</w:t>
      </w:r>
    </w:p>
    <w:p>
      <w:bookmarkStart w:id="5201" w:name="Process_of_an_Acquisition"/>
      <w:bookmarkStart w:id="5202" w:name="Process_of_an_Acquisition__Acqui"/>
      <w:pPr>
        <w:keepNext/>
        <w:pStyle w:val="Heading 3"/>
        <w:keepLines w:val="on"/>
      </w:pPr>
      <w:r>
        <w:t>Quá trình của một thương vụ mua lại</w:t>
      </w:r>
      <w:bookmarkEnd w:id="5201"/>
      <w:bookmarkEnd w:id="5202"/>
    </w:p>
    <w:p>
      <w:pPr>
        <w:pStyle w:val="Para 03"/>
      </w:pPr>
      <w:r>
        <w:t>Việc mua lại công ty có thể diễn ra thân thiện hoặc thù địch. Trong một thương vụ mua lại thân thiện, ban quản lý của công ty mục tiêu hoan nghênh việc mua lại và trong một số trường hợp còn chủ động tìm kiếm nó. Trong một thương vụ mua lại thù địch, ban quản lý của công ty mục tiêu không muốn bị mua lại. Công ty thâu tóm đưa ra mức giá cao hơn giá thị trường của công ty mục tiêu trước khi mua lại, rồi sau đó mời các cổ đông của công ty mục tiêu chào bán cổ phần của họ với mức giá đó.</w:t>
      </w:r>
    </w:p>
    <w:p>
      <w:pPr>
        <w:pStyle w:val="Para 03"/>
      </w:pPr>
      <w:r>
        <w:t>Trong cả hai trường hợp mua lại thân thiện lẫn thù địch, phần chênh lệch giữa giá mua lại và giá thị trường trước khi mua lại được gọi là phần bù thâu tóm (acquisition premium). Giá mua lại, trong bối cảnh sáp nhập và hợp nhất, là mức giá mà công ty thâu tóm sẽ trả cho mỗi cổ phần của công ty mục tiêu. Trong một thương vụ sáp nhập thân thiện, mức giá này thường dựa trên đàm phán giữa công ty thâu tóm và ban quản lý của công ty mục tiêu. Trong một chào thầu (tender offer), đó là mức giá mà tại đó công ty thâu tóm nhận được đủ số cổ phần để nắm quyền kiểm soát công ty mục tiêu. Mức giá này có thể cao hơn mức giá ban đầu mà bên thâu tóm đưa ra, đặc biệt nếu có các công ty khác cùng đấu giá cho cùng một công ty mục tiêu hoặc nếu số lượng cổ đông chào bán ở mức giá ban đầu đó không đủ. Ví dụ, năm 1991, AT&amp;T ban đầu đề nghị mua NCR với giá 80 đô-la một cổ phần, tức phần bù 25 đô-la so với giá cổ phiếu tại thời điểm đề nghị. Cuối cùng AT&amp;T đã trả 110 đô-la một cổ phần để hoàn tất thương vụ.</w:t>
      </w:r>
    </w:p>
    <w:p>
      <w:pPr>
        <w:pStyle w:val="Para 03"/>
      </w:pPr>
      <w:r>
        <w:t>Còn một so sánh cuối cùng có thể thực hiện, đó là giữa mức giá trả cho thương vụ mua lại và giá trị sổ sách kế toán của vốn chủ sở hữu trong công ty bị mua lại. Sau khi thương vụ hoàn tất, tài sản của công ty mục tiêu có thể được đánh giá lại, theo các quy tắc kế toán, về giá trị hợp lý (fair value) để ước tính giá trị sổ sách điều chỉnh của vốn chủ sở hữu. Tùy thuộc vào cách hạch toán thương vụ mua lại, phần chênh lệch giữa giá mua lại và giá trị sổ sách điều chỉnh của vốn chủ sở hữu sẽ được ghi nhận là lợi thế thương mại (goodwill) trên sổ sách của công ty thâu tóm, hoặc có thể không được ghi nhận chút nào. Hình 25.2 trình bày sự phân tách giá mua lại thành các thành phần cấu thành này.</w:t>
      </w:r>
    </w:p>
    <w:p>
      <w:bookmarkStart w:id="5205" w:name="Figure_25_2_Breaking_Down_the_Ac"/>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422400" cy="1193800"/>
            <wp:effectExtent l="0" r="0" t="0" b="0"/>
            <wp:wrapTopAndBottom/>
            <wp:docPr id="226" name="c25f002.png" descr="Difference of acquisition price of target firm, market price of target firm prior to acquisition, adjusted book value of equity of firm."/>
            <wp:cNvGraphicFramePr>
              <a:graphicFrameLocks noChangeAspect="1"/>
            </wp:cNvGraphicFramePr>
            <a:graphic>
              <a:graphicData uri="http://schemas.openxmlformats.org/drawingml/2006/picture">
                <pic:pic>
                  <pic:nvPicPr>
                    <pic:cNvPr id="0" name="c25f002.png" descr="Difference of acquisition price of target firm, market price of target firm prior to acquisition, adjusted book value of equity of firm."/>
                    <pic:cNvPicPr/>
                  </pic:nvPicPr>
                  <pic:blipFill>
                    <a:blip r:embed="rId161"/>
                    <a:stretch>
                      <a:fillRect/>
                    </a:stretch>
                  </pic:blipFill>
                  <pic:spPr>
                    <a:xfrm>
                      <a:off x="0" y="0"/>
                      <a:ext cx="1422400" cy="1193800"/>
                    </a:xfrm>
                    <a:prstGeom prst="rect">
                      <a:avLst/>
                    </a:prstGeom>
                  </pic:spPr>
                </pic:pic>
              </a:graphicData>
            </a:graphic>
          </wp:anchor>
        </w:drawing>
      </w:r>
      <w:bookmarkEnd w:id="5205"/>
    </w:p>
    <w:p>
      <w:pPr>
        <w:keepNext/>
        <w:pStyle w:val="Para 22"/>
        <w:keepLines w:val="on"/>
      </w:pPr>
      <w:r>
        <w:t>Hình 25.2 Phân tách giá mua lại</w:t>
      </w:r>
    </w:p>
    <w:p>
      <w:bookmarkStart w:id="5206" w:name="Empirical_Evidence_on_the_Value_1"/>
      <w:bookmarkStart w:id="5207" w:name="Empirical_Evidence_on_the_Value"/>
      <w:pPr>
        <w:keepNext/>
        <w:pStyle w:val="Heading 3"/>
        <w:keepLines w:val="on"/>
      </w:pPr>
      <w:r>
        <w:t>Bằng chứng thực nghiệm về tác động giá trị và định giá của các thương vụ thâu tóm</w:t>
      </w:r>
      <w:bookmarkEnd w:id="5206"/>
      <w:bookmarkEnd w:id="5207"/>
    </w:p>
    <w:p>
      <w:pPr>
        <w:pStyle w:val="Para 03"/>
      </w:pPr>
      <w:r>
        <w:t>Nhiều nhà nghiên cứu đã nghiên cứu tác động của các thương vụ thâu tóm lên giá trị của cả công ty mục tiêu lẫn công ty bỏ thầu. Bằng chứng cho thấy các cổ đông của công ty mục tiêu là những người thắng rõ ràng trong các thương vụ thâu tóm; họ thu được lợi nhuận vượt trội đáng kể1 không chỉ quanh thời điểm công bố thương vụ mua lại mà còn trong những tuần dẫn đến thời điểm đó. Jensen và Ruback (1983) đã xem xét 13 nghiên cứu về lợi nhuận quanh thời điểm công bố thâu tóm và báo cáo mức lợi nhuận vượt trội trung bình là 30 phần trăm cho cổ đông mục tiêu trong các chào thầu thành công và gần 20 phần trăm cho cổ đông mục tiêu trong các thương vụ sáp nhập thành công. Jarrell, Brickley và Netter (1988) đã xem xét kết quả của 663 chào thầu được thực hiện từ năm 1962 đến 1985, và ghi nhận mức phần bù trung bình là 19 phần trăm trong thập niên 1960, 35 phần trăm trong thập niên 1970, và 30 phần trăm trong giai đoạn 1980–1985. Nhiều nghiên cứu báo cáo sự gia tăng giá cổ phiếu của công ty mục tiêu trước khi công bố thâu tóm, gợi ý rằng hoặc thị trường tài chính rất nhạy bén, hoặc thông tin về các thương vụ tiềm năng đã bị rò rỉ. Tác động của việc công bố thâu tóm lên giá cổ phiếu của công ty bỏ thầu thì không rõ ràng như vậy. Jensen và Ruback báo cáo lợi nhuận vượt trội 4 phần trăm cho cổ đông công ty bỏ thầu quanh các chào thầu, và không có lợi nhuận vượt trội nào quanh các thương vụ sáp nhập. Jarrell, Brickley và Netter, trong khảo sát các chào thầu từ năm 1962 đến 1985, ghi nhận sự sụt giảm lợi nhuận vượt trội cho cổ đông công ty bỏ thầu từ 4,4 phần trăm trong thập niên 1960, xuống 2 phần trăm trong thập niên 1970, rồi xuống –1 phần trăm trong thập niên 1980. Các nghiên cứu khác chỉ ra rằng khoảng một nửa số công ty bỏ thầu thu được lợi nhuận vượt trội âm quanh thời điểm công bố thâu tóm, cho thấy cổ đông hoài nghi về giá trị mà thương vụ thâu tóm được cho là mang lại trong một số lượng đáng kể các trường hợp. Hình 25.3 cung cấp các phát hiện về diễn biến giá cổ phiếu của công ty thâu tóm và công ty mục tiêu quanh thời điểm công bố mua lại.</w:t>
      </w:r>
    </w:p>
    <w:p>
      <w:bookmarkStart w:id="5211" w:name="Figure_25_3_Acquirer_and_Targe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397000"/>
            <wp:effectExtent l="0" r="0" t="0" b="0"/>
            <wp:wrapTopAndBottom/>
            <wp:docPr id="227" name="c25f003.png" descr="Line graph depicts that stock price drifts up before news hits market and drifts slightly after announcement. Acquisition is announced at 0."/>
            <wp:cNvGraphicFramePr>
              <a:graphicFrameLocks noChangeAspect="1"/>
            </wp:cNvGraphicFramePr>
            <a:graphic>
              <a:graphicData uri="http://schemas.openxmlformats.org/drawingml/2006/picture">
                <pic:pic>
                  <pic:nvPicPr>
                    <pic:cNvPr id="0" name="c25f003.png" descr="Line graph depicts that stock price drifts up before news hits market and drifts slightly after announcement. Acquisition is announced at 0."/>
                    <pic:cNvPicPr/>
                  </pic:nvPicPr>
                  <pic:blipFill>
                    <a:blip r:embed="rId162"/>
                    <a:stretch>
                      <a:fillRect/>
                    </a:stretch>
                  </pic:blipFill>
                  <pic:spPr>
                    <a:xfrm>
                      <a:off x="0" y="0"/>
                      <a:ext cx="2438400" cy="1397000"/>
                    </a:xfrm>
                    <a:prstGeom prst="rect">
                      <a:avLst/>
                    </a:prstGeom>
                  </pic:spPr>
                </pic:pic>
              </a:graphicData>
            </a:graphic>
          </wp:anchor>
        </w:drawing>
      </w:r>
      <w:bookmarkEnd w:id="5211"/>
    </w:p>
    <w:p>
      <w:pPr>
        <w:keepNext/>
        <w:pStyle w:val="Para 22"/>
        <w:keepLines w:val="on"/>
      </w:pPr>
      <w:r>
        <w:t>Hình 25.3 Lợi nhuận cổ phiếu của công ty thâu tóm và công ty mục tiêu quanh các sự kiện mua lại</w:t>
      </w:r>
    </w:p>
    <w:p>
      <w:pPr>
        <w:pStyle w:val="Para 03"/>
      </w:pPr>
      <w:r>
        <w:t>Một số nỗ lực thâu tóm thất bại, hoặc vì công ty bỏ thầu rút lại đề nghị, hoặc vì công ty mục tiêu chống đỡ thành công. Bradley, Desai và Kim (1983) đã phân tích tác động của các thất bại thâu tóm lên cổ đông công ty mục tiêu và phát hiện rằng, dù phản ứng ban đầu trước thông báo thất bại là tiêu cực, tuy không có ý nghĩa thống kê, một số lượng đáng kể công ty mục tiêu vẫn bị thâu tóm trong vòng 60 ngày sau khi thương vụ thâu tóm đầu tiên thất bại, cuối cùng thu được lợi nhuận vượt trội đáng kể (50 phần trăm đến 66 phần trăm).</w:t>
      </w:r>
    </w:p>
    <w:p>
      <w:pPr>
        <w:pStyle w:val="Para 03"/>
      </w:pPr>
      <w:r>
        <w:t>Khi có nhiều bên bỏ thầu và một bên thất bại, hậu quả sẽ ra sao? Dù phản ứng ban đầu của thị trường thường là tiêu cực, phản ánh chi phí của một thương vụ bỏ thầu thất bại, kết quả dài hạn lại tiết lộ nhiều hơn. Như chúng ta sẽ thấy ở phần sau của chương này, những bên bỏ thầu thất bại lại hoạt động tốt hơn những bên bỏ thầu thành công cả về khả năng sinh lời hoạt động lẫn diễn biến giá cổ phiếu trong năm năm sau cuộc chiến đấu thầu. Ít nhất là với các thương vụ mua lại, có vẻ như thua một cuộc chiến đấu thầu lại tốt hơn cho cổ đông của các công ty thâu tóm so với thắng cuộc.</w:t>
      </w:r>
    </w:p>
    <w:p>
      <w:bookmarkStart w:id="5213" w:name="Steps_in_an_Acquisition__There_a"/>
      <w:bookmarkStart w:id="5214" w:name="Steps_in_an_Acquisition"/>
      <w:pPr>
        <w:keepNext/>
        <w:pStyle w:val="Heading 2"/>
        <w:keepLines w:val="on"/>
      </w:pPr>
      <w:r>
        <w:t>Các bước trong một thương vụ mua lại</w:t>
      </w:r>
      <w:bookmarkEnd w:id="5213"/>
      <w:bookmarkEnd w:id="5214"/>
    </w:p>
    <w:p>
      <w:pPr>
        <w:pStyle w:val="Para 03"/>
      </w:pPr>
      <w:r>
        <w:t>Có bốn bước cơ bản và không nhất thiết phải tuần tự trong việc mua lại một công ty mục tiêu. Thứ nhất là xây dựng lý do và chiến lược cho việc mua lại, và chiến lược này đòi hỏi những gì về nguồn lực. Thứ hai là chọn mục tiêu để mua lại và định giá công ty mục tiêu, với phần bù phù hợp với động cơ. Thứ ba là xác định nên trả bao nhiêu cho thương vụ, huy động vốn tốt nhất bằng cách nào, và nên dùng cổ phiếu hay tiền mặt để trả cho mục tiêu. Bước cuối cùng trong thương vụ mua lại, và có lẽ là bước khó khăn nhất, là làm cho thương vụ phát huy hiệu quả sau khi giao dịch hoàn tất.</w:t>
      </w:r>
    </w:p>
    <w:p>
      <w:bookmarkStart w:id="5215" w:name="Developing_an_Acquisition_Strate_1"/>
      <w:bookmarkStart w:id="5216" w:name="Developing_an_Acquisition_Strate"/>
      <w:pPr>
        <w:keepNext/>
        <w:pStyle w:val="Heading 3"/>
        <w:keepLines w:val="on"/>
      </w:pPr>
      <w:r>
        <w:t>Xây dựng chiến lược mua lại</w:t>
      </w:r>
      <w:bookmarkEnd w:id="5215"/>
      <w:bookmarkEnd w:id="5216"/>
    </w:p>
    <w:p>
      <w:pPr>
        <w:pStyle w:val="Para 03"/>
      </w:pPr>
      <w:r>
        <w:t>Không phải tất cả các công ty thực hiện mua lại đều có chiến lược mua lại, và không phải tất cả các công ty có chiến lược mua lại đều kiên trì với nó. Phần này xem xét một số động cơ khác nhau cho việc mua lại và cho rằng một chiến lược mua lại mạch lạc phải dựa trên động cơ này hay động cơ khác trong số đó.</w:t>
      </w:r>
    </w:p>
    <w:p>
      <w:bookmarkStart w:id="5217" w:name="Acquire_Undervalued_Firms__Firms"/>
      <w:bookmarkStart w:id="5218" w:name="Acquire_Undervalued_Firms"/>
      <w:pPr>
        <w:keepNext/>
        <w:pStyle w:val="Heading 4"/>
        <w:keepLines w:val="on"/>
      </w:pPr>
      <w:r>
        <w:t>Mua lại các công ty bị định giá thấp</w:t>
      </w:r>
      <w:bookmarkEnd w:id="5217"/>
      <w:bookmarkEnd w:id="5218"/>
    </w:p>
    <w:p>
      <w:pPr>
        <w:pStyle w:val="Para 03"/>
      </w:pPr>
      <w:r>
        <w:t>Những công ty bị thị trường tài chính định giá thấp có thể trở thành mục tiêu mua lại của những người nhận ra sự định giá sai này. Bên thâu tóm sau đó có thể thu được phần chênh lệch giữa giá trị và giá mua làm phần thặng dư. Tuy nhiên, để chiến lược này hiệu quả, cần hội tụ ba thành phần cơ bản:</w:t>
      </w:r>
    </w:p>
    <w:p>
      <w:pPr>
        <w:numPr>
          <w:ilvl w:val="0"/>
          <w:numId w:val="271"/>
        </w:numPr>
        <w:pStyle w:val="Para 01"/>
      </w:pPr>
      <w:r>
        <w:t>Khả năng tìm ra những công ty đang được giao dịch thấp hơn giá trị thực của chúng. Khả năng này đòi hỏi hoặc phải có quyền truy cập thông tin tốt hơn những gì các nhà đầu tư khác trên thị trường có được, hoặc phải có công cụ phân tích tốt hơn những công cụ mà các bên tham gia thị trường khác đang dùng.</w:t>
      </w:r>
    </w:p>
    <w:p>
      <w:pPr>
        <w:numPr>
          <w:ilvl w:val="0"/>
          <w:numId w:val="271"/>
        </w:numPr>
        <w:pStyle w:val="Para 01"/>
      </w:pPr>
      <w:r>
        <w:t>Khả năng tiếp cận nguồn vốn cần thiết để hoàn tất thương vụ mua lại. Biết một công ty bị định giá thấp không nhất thiết có nghĩa là có sẵn vốn để thực hiện thương vụ. Khả năng tiếp cận vốn phụ thuộc vào quy mô của bên thâu tóm—các công ty lớn sẽ có nhiều khả năng tiếp cận thị trường vốn và nguồn vốn nội bộ hơn các công ty nhỏ hay cá nhân—và phụ thuộc vào thành tích của bên thâu tóm—một lịch sử thành công trong việc nhận diện và mua lại các công ty bị định giá thấp sẽ khiến những thương vụ mua lại tiếp theo trở nên dễ dàng hơn.</w:t>
      </w:r>
    </w:p>
    <w:p>
      <w:pPr>
        <w:numPr>
          <w:ilvl w:val="0"/>
          <w:numId w:val="271"/>
        </w:numPr>
        <w:pStyle w:val="Para 01"/>
      </w:pPr>
      <w:r>
        <w:t>Kỹ năng thực thi. Nếu trong quá trình mua lại, bên thâu tóm đẩy giá cổ phiếu lên tới và vượt quá giá trị ước tính, thì sẽ không thu được giá trị nào từ thương vụ. Để minh họa, giả sử giá trị ước tính của một công ty là 100 triệu đô-la và giá thị trường hiện tại là 75 triệu đô-la. Khi mua lại công ty này, bên thâu tóm sẽ phải trả một khoản phần bù. Nếu phần bù đó vượt quá 33 phần trăm giá thị trường, thì giá mua sẽ vượt quá giá trị ước tính, và thương vụ sẽ không tạo ra giá trị nào cho bên thâu tóm.</w:t>
      </w:r>
    </w:p>
    <w:p>
      <w:pPr>
        <w:pStyle w:val="Para 03"/>
      </w:pPr>
      <w:r>
        <w:t>Dù chiến lược mua các công ty bị định giá thấp có sức hấp dẫn trực giác rất lớn, nó vẫn đầy thách thức, đặc biệt khi mua lại các công ty đại chúng trên những thị trường tương đối hiệu quả, nơi các khoản phần bù trả trên giá thị trường có thể nhanh chóng xóa sạch phần thặng dư định giá. Cơ hội sẽ tốt hơn ở những thị trường kém hiệu quả hơn hoặc khi mua lại các doanh nghiệp tư nhân.</w:t>
      </w:r>
    </w:p>
    <w:p>
      <w:pPr>
        <w:pStyle w:val="Para 20"/>
      </w:pPr>
      <w:r>
        <w:rPr>
          <w:rStyle w:val="Text26"/>
        </w:rPr>
        <w:bookmarkStart w:id="5219" w:name="Page_800"/>
        <w:t/>
        <w:bookmarkEnd w:id="5219"/>
      </w:r>
      <w:r>
        <w:t xml:space="preserve"> </w:t>
      </w:r>
    </w:p>
    <w:p>
      <w:bookmarkStart w:id="5220" w:name="Diversify_to_Reduce_Risk__An_arg"/>
      <w:bookmarkStart w:id="5221" w:name="Diversify_to_Reduce_Risk"/>
      <w:pPr>
        <w:keepNext/>
        <w:pStyle w:val="Heading 4"/>
        <w:keepLines w:val="on"/>
      </w:pPr>
      <w:r>
        <w:t>Đa dạng hóa để giảm rủi ro</w:t>
      </w:r>
      <w:bookmarkEnd w:id="5220"/>
      <w:bookmarkEnd w:id="5221"/>
    </w:p>
    <w:p>
      <w:pPr>
        <w:pStyle w:val="Para 03"/>
      </w:pPr>
      <w:r>
        <w:t>Chương 4 đã đưa ra một lập luận rằng đa dạng hóa làm giảm mức độ phơi nhiễm của nhà đầu tư trước rủi ro đặc thù của từng công ty. Thực tế, các mô hình rủi ro và lợi nhuận được dùng trong cuốn sách này được xây dựng trên giả định rằng rủi ro đặc thù của công ty sẽ được đa dạng hóa đi, và do đó, sẽ không được đền đáp. Bằng cách mua các công ty trong những ngành nghề khác và đa dạng hóa, ban quản lý của các công ty thâu tóm tin rằng họ có thể giảm biến động lợi nhuận và rủi ro, đồng thời gia tăng giá trị tiềm năng.</w:t>
      </w:r>
    </w:p>
    <w:p>
      <w:pPr>
        <w:pStyle w:val="Para 03"/>
      </w:pPr>
      <w:r>
        <w:t>Dù đa dạng hóa có những lợi ích, vẫn còn là câu hỏi mở liệu nó có thể được thực hiện hiệu quả hơn bởi các nhà đầu tư đa dạng hóa qua các cổ phiếu niêm yết, hay bởi các công ty đa dạng hóa bằng cách mua lại các công ty khác. Nếu so sánh chi phí giao dịch gắn với việc đa dạng hóa của nhà đầu tư với chi phí và các khoản phần bù mà các công ty phải trả khi làm điều tương tự, thì các nhà đầu tư ở hầu hết các công ty đại chúng có thể đa dạng hóa với chi phí rẻ hơn nhiều so với các công ty.</w:t>
      </w:r>
    </w:p>
    <w:p>
      <w:pPr>
        <w:pStyle w:val="Para 03"/>
      </w:pPr>
      <w:r>
        <w:t>Có hai ngoại lệ cho quan điểm này. Thứ nhất là trường hợp một công ty tư nhân, nơi chủ sở hữu có thể đã đầu tư toàn bộ hoặc phần lớn tài sản của mình vào công ty. Ở đây, lập luận cho việc đa dạng hóa trở nên mạnh mẽ hơn, vì chỉ riêng chủ sở hữu phải chịu mọi rủi ro. Mức độ phơi nhiễm rủi ro này có thể giải thích vì sao nhiều doanh nghiệp do gia đình sở hữu ở châu Á, chẳng hạn, đã đa dạng hóa sang nhiều ngành nghề và trở thành các tập đoàn đa ngành. Thứ hai, tuy yếu hơn, là trường hợp công ty được nắm giữ khép kín, nơi các nhà quản lý đương nhiệm có thể đã đầu tư phần lớn tài sản của mình vào công ty. Bằng cách đa dạng hóa thông qua mua lại, họ giảm mức độ phơi nhiễm trước tổng rủi ro, dù các nhà đầu tư khác (những người có lẽ đã đa dạng hóa nhiều hơn) có thể không chia sẻ sự hào hứng của họ.</w:t>
      </w:r>
    </w:p>
    <w:p>
      <w:bookmarkStart w:id="5222" w:name="Create_Operating_or_Financial_Sy_1"/>
      <w:bookmarkStart w:id="5223" w:name="Create_Operating_or_Financial_Sy"/>
      <w:pPr>
        <w:keepNext/>
        <w:pStyle w:val="Heading 4"/>
        <w:keepLines w:val="on"/>
      </w:pPr>
      <w:r>
        <w:t>Tạo hiệu ứng cộng hưởng trong hoạt động hoặc tài chính</w:t>
      </w:r>
      <w:bookmarkEnd w:id="5222"/>
      <w:bookmarkEnd w:id="5223"/>
    </w:p>
    <w:p>
      <w:pPr>
        <w:pStyle w:val="Para 03"/>
      </w:pPr>
      <w:r>
        <w:t>Lý do thứ ba để giải thích các khoản phần bù đáng kể được trả trong hầu hết các thương vụ mua lại là hiệu ứng cộng hưởng (synergy). Hiệu ứng cộng hưởng là giá trị gia tăng tiềm năng từ việc kết hợp hai công ty. Đây có lẽ là lý do được dùng nhiều nhất và cũng bị lạm dụng nhiều nhất cho các thương vụ sáp nhập và mua lại.</w:t>
      </w:r>
    </w:p>
    <w:p>
      <w:bookmarkStart w:id="5224" w:name="Sources_of_Operating_Synergy__Op"/>
      <w:pPr>
        <w:pStyle w:val="Para 21"/>
      </w:pPr>
      <w:r>
        <w:t>Nguồn của hiệu ứng cộng hưởng vận hành</w:t>
      </w:r>
      <w:bookmarkEnd w:id="5224"/>
    </w:p>
    <w:p>
      <w:pPr>
        <w:pStyle w:val="Para 03"/>
      </w:pPr>
      <w:r>
        <w:t>Hiệu ứng cộng hưởng vận hành (operating synergy) là những hiệu ứng cho phép các công ty tăng thu nhập từ hoạt động kinh doanh, tăng trưởng, hoặc cả hai. Hiệu ứng cộng hưởng vận hành có thể được chia thành năm loại:</w:t>
      </w:r>
    </w:p>
    <w:p>
      <w:pPr>
        <w:numPr>
          <w:ilvl w:val="0"/>
          <w:numId w:val="272"/>
        </w:numPr>
        <w:pStyle w:val="Para 01"/>
      </w:pPr>
      <w:r>
        <w:t>Lợi thế kinh tế theo quy mô (economies of scale) có thể phát sinh từ việc sáp nhập, giúp công ty hợp nhất trở nên tiết kiệm chi phí hơn và sinh lời cao hơn.</w:t>
      </w:r>
    </w:p>
    <w:p>
      <w:pPr>
        <w:numPr>
          <w:ilvl w:val="0"/>
          <w:numId w:val="272"/>
        </w:numPr>
        <w:pStyle w:val="Para 01"/>
      </w:pPr>
      <w:r>
        <w:t>Sức mạnh định giá lớn hơn nhờ giảm bớt cạnh tranh và tăng thị phần, điều này sẽ dẫn đến biên lợi nhuận và thu nhập từ hoạt động kinh doanh cao hơn.</w:t>
      </w:r>
    </w:p>
    <w:p>
      <w:pPr>
        <w:numPr>
          <w:ilvl w:val="0"/>
          <w:numId w:val="272"/>
        </w:numPr>
        <w:pStyle w:val="Para 01"/>
      </w:pPr>
      <w:r>
        <w:t>Kết hợp các thế mạnh chức năng khác nhau, như trường hợp một công ty có kỹ năng marketing mạnh mua lại một công ty có dòng sản phẩm tốt.</w:t>
      </w:r>
    </w:p>
    <w:p>
      <w:pPr>
        <w:numPr>
          <w:ilvl w:val="0"/>
          <w:numId w:val="272"/>
        </w:numPr>
        <w:pStyle w:val="Para 01"/>
      </w:pPr>
      <w:r>
        <w:t>Tăng trưởng cao hơn ở các thị trường mới hoặc hiện có, nhờ sự kết hợp của hai công ty. Đây sẽ là trường hợp khi một công ty sản phẩm tiêu dùng của Mỹ mua lại một công ty ở thị trường mới nổi, có mạng lưới phân phối đã được thiết lập và tên thương hiệu được công nhận, rồi sử dụng những thế mạnh này để tăng doanh số bán sản phẩm của mình.</w:t>
      </w:r>
    </w:p>
    <w:p>
      <w:pPr>
        <w:numPr>
          <w:ilvl w:val="0"/>
          <w:numId w:val="272"/>
        </w:numPr>
        <w:pStyle w:val="Para 01"/>
      </w:pPr>
      <w:r>
        <w:t>Hiệu ứng cộng hưởng phòng thủ (defensive synergy), xuất phát từ việc chặn trước đối thủ trong các thương vụ mua lại, và do đó ngăn chặn sự sụt giảm thị phần hoặc biên lợi nhuận lẽ ra đã xảy ra.</w:t>
      </w:r>
    </w:p>
    <w:p>
      <w:pPr>
        <w:pStyle w:val="Para 03"/>
      </w:pPr>
      <w:r>
        <w:t>Hiệu ứng cộng hưởng vận hành có thể ảnh hưởng đến biên lợi nhuận và tăng trưởng, và thông qua đó ảnh hưởng đến giá trị của các công ty tham gia vào thương vụ sáp nhập hoặc mua lại.</w:t>
      </w:r>
    </w:p>
    <w:p>
      <w:pPr>
        <w:pStyle w:val="Para 20"/>
      </w:pPr>
      <w:r>
        <w:rPr>
          <w:rStyle w:val="Text26"/>
        </w:rPr>
        <w:bookmarkStart w:id="5226" w:name="Page_801"/>
        <w:t/>
        <w:bookmarkEnd w:id="5226"/>
      </w:r>
      <w:r>
        <w:t xml:space="preserve"> </w:t>
      </w:r>
    </w:p>
    <w:p>
      <w:bookmarkStart w:id="5227" w:name="Sources_of_Financial_Synergy__Wi"/>
      <w:pPr>
        <w:pStyle w:val="Para 21"/>
      </w:pPr>
      <w:r>
        <w:t>Nguồn của hiệu ứng cộng hưởng tài chính</w:t>
      </w:r>
      <w:bookmarkEnd w:id="5227"/>
    </w:p>
    <w:p>
      <w:pPr>
        <w:pStyle w:val="Para 03"/>
      </w:pPr>
      <w:r>
        <w:t>Với hiệu ứng cộng hưởng tài chính (financial synergy), lợi ích thu được có thể ở dạng dòng tiền cao hơn hoặc chi phí vốn thấp hơn (tỷ lệ chiết khấu). Bao gồm những điều sau:</w:t>
      </w:r>
    </w:p>
    <w:p>
      <w:pPr>
        <w:numPr>
          <w:ilvl w:val="0"/>
          <w:numId w:val="273"/>
        </w:numPr>
        <w:pStyle w:val="Para 01"/>
      </w:pPr>
      <w:r>
        <w:t>Sự kết hợp giữa một công ty có tiền mặt dư thừa hoặc tiền nhàn rỗi (và ít cơ hội dự án), với một công ty có các dự án sinh lời cao (và bị hạn chế trong việc huy động vốn), có thể mang lại lợi ích là giá trị cao hơn cho công ty hợp nhất. Sự gia tăng giá trị đến từ các dự án được thực hiện bằng số tiền mặt dư thừa mà nếu không thì đã không được thực hiện. Hiệu ứng cộng hưởng này thường xuất hiện nhất khi các công ty lớn mua lại các công ty nhỏ hơn, hoặc khi các công ty niêm yết mua lại các doanh nghiệp tư nhân.</w:t>
      </w:r>
    </w:p>
    <w:p>
      <w:pPr>
        <w:numPr>
          <w:ilvl w:val="0"/>
          <w:numId w:val="273"/>
        </w:numPr>
        <w:pStyle w:val="Para 01"/>
      </w:pPr>
      <w:r>
        <w:t>Khả năng vay nợ có thể tăng lên, vì khi hai công ty hợp nhất, thu nhập và dòng tiền của chúng có thể trở nên ổn định và dễ dự đoán hơn. Điều này lại cho phép chúng vay nhiều hơn so với khi là các thực thể riêng lẻ, tạo ra lợi ích thuế cho công ty hợp nhất. Lợi ích thuế này có thể được thể hiện dưới dạng dòng tiền cao hơn (khi ước tính dòng tiền cho vốn chủ sở hữu), hoặc dưới dạng chi phí vốn thấp hơn cho công ty hợp nhất.</w:t>
      </w:r>
    </w:p>
    <w:p>
      <w:pPr>
        <w:numPr>
          <w:ilvl w:val="0"/>
          <w:numId w:val="273"/>
        </w:numPr>
        <w:pStyle w:val="Para 01"/>
      </w:pPr>
      <w:r>
        <w:t>Lợi ích thuế có thể phát sinh từ việc công ty hợp nhất nộp thuế ít hơn so với các công ty riêng lẻ. Do đó, một công ty có lãi mua lại một công ty thua lỗ có thể sử dụng khoản lỗ hoạt động ròng của công ty sau để giảm gánh nặng thuế của mình. Hoặc, một công ty có thể tăng chi phí khấu hao sau khi mua lại sẽ tiết kiệm thuế và tăng giá trị. Trong hầu hết các trường hợp, khấu hao lợi thế thương mại (goodwill amortization) không được khấu trừ thuế, và do đó, không mang lại lợi ích thuế.</w:t>
      </w:r>
    </w:p>
    <w:p>
      <w:pPr>
        <w:pStyle w:val="Para 03"/>
      </w:pPr>
      <w:r>
        <w:t>Rõ ràng, tiềm năng cho hiệu ứng cộng hưởng tồn tại trong nhiều thương vụ sáp nhập. Vấn đề quan trọng hơn là liệu hiệu ứng cộng hưởng đó có thể được định giá hay không, và nếu có thì định giá như thế nào.</w:t>
      </w:r>
    </w:p>
    <w:p>
      <w:bookmarkStart w:id="5229" w:name="Empirical_Evidence_on_Synergy__S"/>
      <w:pPr>
        <w:pStyle w:val="Para 21"/>
      </w:pPr>
      <w:r>
        <w:t>Bằng chứng thực nghiệm về hiệu ứng cộng hưởng</w:t>
      </w:r>
      <w:bookmarkEnd w:id="5229"/>
    </w:p>
    <w:p>
      <w:pPr>
        <w:pStyle w:val="Para 03"/>
      </w:pPr>
      <w:r>
        <w:t>Hiệu ứng cộng hưởng là một động cơ được nêu rõ trong nhiều thương vụ sáp nhập và mua lại. Bhide (1993) đã xem xét các động cơ đằng sau 77 thương vụ mua lại trong năm 1985 và 1986 và báo cáo rằng hiệu ứng cộng hưởng vận hành là động cơ chính trong một phần ba số thương vụ tiếp quản này. Một số nghiên cứu xem xét liệu hiệu ứng cộng hưởng có tồn tại hay không và, nếu có, nó đáng giá bao nhiêu. Nếu hiệu ứng cộng hưởng được cho là tồn tại trong một thương vụ tiếp quản, giá trị của công ty hợp nhất phải lớn hơn tổng giá trị của công ty mua và công ty mục tiêu hoạt động độc lập.</w:t>
      </w:r>
    </w:p>
    <w:p>
      <w:bookmarkStart w:id="5231" w:name="VAB_VA_VB"/>
      <w:pPr>
        <w:keepNext/>
        <w:pStyle w:val="Para 09"/>
        <w:keepLines w:val="on"/>
      </w:pPr>
      <w:r>
        <w:t>VAB&gt;VA+VB</w:t>
      </w:r>
      <w:bookmarkEnd w:id="5231"/>
    </w:p>
    <w:p>
      <w:bookmarkStart w:id="5232" w:name="whereV_AB__Value_of_a_firm_creat"/>
      <w:pPr>
        <w:pStyle w:val="Para 39"/>
      </w:pPr>
      <w:r>
        <w:t>trong đó V(AB)=Giá trị của công ty được tạo ra bằng cách kết hợp A và B (hiệu ứng cộng hưởng) V(A)=Giá trị của công ty A, hoạt động độc lập V(B)=Giá trị của công ty B, hoạt động độc lập</w:t>
      </w:r>
      <w:bookmarkEnd w:id="5232"/>
    </w:p>
    <w:p>
      <w:pPr>
        <w:pStyle w:val="Para 03"/>
      </w:pPr>
      <w:r>
        <w:t>Các nghiên cứu về lợi nhuận cổ phiếu xung quanh thời điểm công bố sáp nhập nhìn chung kết luận rằng giá trị của công ty hợp nhất thực sự tăng trong hầu hết các thương vụ tiếp quản, và mức tăng là đáng kể. Bradley, Desai, và Kim (1988) đã xem xét một mẫu gồm 236 đề nghị chào mua giữa các công ty từ năm 1963 đến 1984 và báo cáo rằng giá trị kết hợp của công ty mục tiêu và công ty mua tăng trung bình 7,48 phần trăm (117 triệu đô-la theo giá năm 1984) khi công bố sáp nhập. Tuy nhiên, kết quả này phải được diễn giải một cách thận trọng, vì sự gia tăng giá trị của công ty hợp nhất sau sáp nhập cũng phù hợp với một số giả thuyết khác giải thích các thương vụ mua lại, bao gồm việc định giá thấp và sự thay đổi quyền kiểm soát công ty. Do đó, đây là một phép kiểm định yếu đối với giả thuyết hiệu ứng cộng hưởng.</w:t>
      </w:r>
    </w:p>
    <w:p>
      <w:pPr>
        <w:pStyle w:val="Para 03"/>
      </w:pPr>
      <w:r>
        <w:t>Sự tồn tại của hiệu ứng cộng hưởng nói chung ngụ ý rằng công ty hợp nhất sẽ trở nên sinh lời hơn hoặc tăng trưởng với tốc độ nhanh hơn sau sáp nhập so với khi các công ty hoạt động riêng lẻ. Một phép kiểm định mạnh hơn đối với hiệu ứng cộng hưởng là đánh giá liệu các công ty đã sáp nhập có cải thiện hiệu quả hoạt động (khả năng sinh lời và tăng trưởng) so với các đối thủ cạnh tranh của chúng sau khi tiếp quản hay không. Với phép kiểm định này, như sẽ được trình bày ở phần sau trong chương này, nhiều thương vụ sáp nhập thất bại.</w:t>
      </w:r>
    </w:p>
    <w:p>
      <w:bookmarkStart w:id="5234" w:name="Take_Over_Poorly_Managed_Firms_a"/>
      <w:bookmarkStart w:id="5235" w:name="Take_Over_Poorly_Managed_Firms_a_1"/>
      <w:pPr>
        <w:keepNext/>
        <w:pStyle w:val="Heading 4"/>
        <w:keepLines w:val="on"/>
      </w:pPr>
      <w:r>
        <w:t>Tiếp quản các công ty được quản lý kém và thay đổi ban quản lý</w:t>
      </w:r>
      <w:bookmarkEnd w:id="5234"/>
      <w:bookmarkEnd w:id="5235"/>
    </w:p>
    <w:p>
      <w:pPr>
        <w:pStyle w:val="Para 03"/>
      </w:pPr>
      <w:r>
        <w:t>Một số công ty không được quản lý một cách tối ưu, và những người khác thường tin rằng họ có thể điều hành chúng tốt hơn các nhà quản lý hiện tại. Mua lại các công ty được quản lý kém và loại bỏ ban quản lý đương nhiệm, hoặc ít nhất là thay đổi chính sách hoặc thông lệ quản lý hiện có, sẽ làm cho các công ty này trở nên có giá trị hơn, cho phép bên mua chiếm được phần giá trị gia tăng. Sự gia tăng giá trị này thường được gọi là giá trị của quyền kiểm soát (value of control).</w:t>
      </w:r>
    </w:p>
    <w:p>
      <w:bookmarkStart w:id="5236" w:name="Prerequisites_for_Success__While"/>
      <w:pPr>
        <w:pStyle w:val="Para 21"/>
      </w:pPr>
      <w:r>
        <w:t>Điều kiện tiên quyết để thành công</w:t>
      </w:r>
      <w:bookmarkEnd w:id="5236"/>
    </w:p>
    <w:p>
      <w:pPr>
        <w:pStyle w:val="Para 03"/>
      </w:pPr>
      <w:r>
        <w:t>Mặc dù câu chuyện về quyền kiểm soát công ty này có thể được dùng để biện minh cho các khoản phí bảo hiểm lớn so với giá thị trường, tiềm năng thành công của nó phụ thuộc vào những điều sau:</w:t>
      </w:r>
    </w:p>
    <w:p>
      <w:pPr>
        <w:numPr>
          <w:ilvl w:val="0"/>
          <w:numId w:val="274"/>
        </w:numPr>
        <w:pStyle w:val="Para 01"/>
      </w:pPr>
      <w:r>
        <w:t>Hiệu quả hoạt động kém của công ty bị mua lại phải là do quản lý tồi, chứ không phải do các yếu tố thị trường hoặc ngành nằm ngoài tầm kiểm soát của ban quản lý.</w:t>
      </w:r>
    </w:p>
    <w:p>
      <w:pPr>
        <w:numPr>
          <w:ilvl w:val="0"/>
          <w:numId w:val="274"/>
        </w:numPr>
        <w:pStyle w:val="Para 01"/>
      </w:pPr>
      <w:r>
        <w:t>Việc mua lại phải đi kèm với sự thay đổi trong cách thức quản lý, và sự thay đổi đó phải làm gia tăng giá trị. Sử dụng khung định giá giá trị nội tại (intrinsic value) được phát triển trong cuốn sách này, những hành động làm gia tăng giá trị sẽ làm tăng dòng tiền từ các tài sản hiện có, tăng tốc độ tăng trưởng kỳ vọng, kéo dài thời gian tăng trưởng, hoặc giảm chi phí vốn.</w:t>
      </w:r>
    </w:p>
    <w:p>
      <w:pPr>
        <w:numPr>
          <w:ilvl w:val="0"/>
          <w:numId w:val="274"/>
        </w:numPr>
        <w:pStyle w:val="Para 01"/>
      </w:pPr>
      <w:r>
        <w:t>Giá thị trường của thương vụ mua lại phải phản ánh hiện trạng — ban lãnh đạo hiện tại của công ty và những thông lệ kinh doanh yếu kém của họ. Nếu giá thị trường đã bao gồm sẵn phần phí kiểm soát (control premium), thì bên mua gần như chẳng còn cơ hội để kiếm được phần phí đó.</w:t>
      </w:r>
    </w:p>
    <w:p>
      <w:pPr>
        <w:pStyle w:val="Para 03"/>
      </w:pPr>
      <w:r>
        <w:t>Nói chung, quyền kiểm soát có nhiều khả năng là động cơ của các thương vụ thâu tóm thù địch (hostile takeover) hơn là các thương vụ thân thiện, bởi tiền đề của nó là ban lãnh đạo hiện tại không đủ năng lực đảm đương công việc.</w:t>
      </w:r>
    </w:p>
    <w:p>
      <w:bookmarkStart w:id="5238" w:name="Empirical_Evidence_on_the_Value_2"/>
      <w:pPr>
        <w:pStyle w:val="Para 21"/>
      </w:pPr>
      <w:r>
        <w:t>Bằng chứng thực nghiệm về giá trị của quyền kiểm soát</w:t>
      </w:r>
      <w:bookmarkEnd w:id="5238"/>
    </w:p>
    <w:p>
      <w:pPr>
        <w:pStyle w:val="Para 03"/>
      </w:pPr>
      <w:r>
        <w:t>Sự ủng hộ mạnh mẽ nhất cho sự tồn tại của một thị trường quyền kiểm soát doanh nghiệp (market for corporate control) nằm ở kiểu công ty thường bị thâu tóm trong các thương vụ thù địch. Nghiên cứu chỉ ra rằng công ty mục tiêu điển hình trong một thương vụ thâu tóm thù địch có những đặc điểm sau:</w:t>
      </w:r>
    </w:p>
    <w:p>
      <w:pPr>
        <w:numPr>
          <w:ilvl w:val="0"/>
          <w:numId w:val="275"/>
        </w:numPr>
        <w:pStyle w:val="Para 01"/>
      </w:pPr>
      <w:r>
        <w:t>Công ty đó đã kém hiệu quả hơn các cổ phiếu khác trong ngành và so với toàn thị trường, xét về lợi nhuận mang lại cho cổ đông trong những năm trước thương vụ thâu tóm.</w:t>
      </w:r>
    </w:p>
    <w:p>
      <w:pPr>
        <w:numPr>
          <w:ilvl w:val="0"/>
          <w:numId w:val="275"/>
        </w:numPr>
        <w:pStyle w:val="Para 01"/>
      </w:pPr>
      <w:r>
        <w:t>Công ty đó đã kém sinh lời hơn các công ty trong ngành trong những năm trước thương vụ thâu tóm.</w:t>
      </w:r>
    </w:p>
    <w:p>
      <w:pPr>
        <w:numPr>
          <w:ilvl w:val="0"/>
          <w:numId w:val="275"/>
        </w:numPr>
        <w:pStyle w:val="Para 01"/>
      </w:pPr>
      <w:r>
        <w:t>Tỷ lệ cổ phần do người nội bộ nắm giữ thấp hơn nhiều so với các công ty cùng nhóm.</w:t>
      </w:r>
    </w:p>
    <w:p>
      <w:pPr>
        <w:pStyle w:val="Para 03"/>
      </w:pPr>
      <w:r>
        <w:t>Khi so sánh các công ty mục tiêu trong các thương vụ thâu tóm thù địch và thân thiện, Bhide đã minh họa những khác biệt giữa chúng. Các phát hiện của ông được tóm tắt trong Hình 25.4. Như bạn có thể thấy, các công ty mục tiêu trong thâu tóm thù địch có tỷ suất sinh lời trên vốn chủ sở hữu (return on equity) trung bình thấp hơn 2,2 phần trăm so với các công ty khác trong ngành; họ mang lại lợi nhuận cho cổ đông thấp hơn thị trường 4 phần trăm; và chỉ 6,5% cổ phần của họ do người nội bộ nắm giữ.</w:t>
      </w:r>
    </w:p>
    <w:p>
      <w:bookmarkStart w:id="5242" w:name="Figure_25_4_Target_Characteristi"/>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22500" cy="1879600"/>
            <wp:effectExtent l="0" r="0" t="0" b="0"/>
            <wp:wrapTopAndBottom/>
            <wp:docPr id="228" name="c25f004.png" descr="Bar graph depicts targets in friendly and hostile acquisitions tend to have performed better and worse than the peer group respectively."/>
            <wp:cNvGraphicFramePr>
              <a:graphicFrameLocks noChangeAspect="1"/>
            </wp:cNvGraphicFramePr>
            <a:graphic>
              <a:graphicData uri="http://schemas.openxmlformats.org/drawingml/2006/picture">
                <pic:pic>
                  <pic:nvPicPr>
                    <pic:cNvPr id="0" name="c25f004.png" descr="Bar graph depicts targets in friendly and hostile acquisitions tend to have performed better and worse than the peer group respectively."/>
                    <pic:cNvPicPr/>
                  </pic:nvPicPr>
                  <pic:blipFill>
                    <a:blip r:embed="rId163"/>
                    <a:stretch>
                      <a:fillRect/>
                    </a:stretch>
                  </pic:blipFill>
                  <pic:spPr>
                    <a:xfrm>
                      <a:off x="0" y="0"/>
                      <a:ext cx="2222500" cy="1879600"/>
                    </a:xfrm>
                    <a:prstGeom prst="rect">
                      <a:avLst/>
                    </a:prstGeom>
                  </pic:spPr>
                </pic:pic>
              </a:graphicData>
            </a:graphic>
          </wp:anchor>
        </w:drawing>
      </w:r>
      <w:bookmarkEnd w:id="5242"/>
    </w:p>
    <w:p>
      <w:pPr>
        <w:pStyle w:val="Para 22"/>
        <w:keepLines w:val="on"/>
      </w:pPr>
      <w:r>
        <w:t>Hình 25.4 Đặc điểm mục tiêu — Thâu tóm thù địch so với thân thiện</w:t>
      </w:r>
    </w:p>
    <w:p>
      <w:pPr>
        <w:keepNext/>
        <w:pStyle w:val="Para 64"/>
        <w:keepLines w:val="on"/>
      </w:pPr>
      <w:r>
        <w:t>Nguồn: Bhide.</w:t>
      </w:r>
    </w:p>
    <w:p>
      <w:pPr>
        <w:pStyle w:val="Para 03"/>
      </w:pPr>
      <w:r>
        <w:t>Cũng có bằng chứng cho thấy các công ty thực hiện những thay đổi đáng kể trong cách vận hành sau các thương vụ thâu tóm thù địch. Trong nghiên cứu của mình, Bhide đã xem xét hậu quả của các thương vụ thâu tóm thù địch và ghi nhận bốn thay đổi sau:</w:t>
      </w:r>
    </w:p>
    <w:p>
      <w:pPr>
        <w:numPr>
          <w:ilvl w:val="0"/>
          <w:numId w:val="276"/>
        </w:numPr>
        <w:pStyle w:val="Para 01"/>
      </w:pPr>
      <w:r>
        <w:t>Nhiều thương vụ thâu tóm thù địch kéo theo sự gia tăng nợ, dẫn đến việc bị hạ bậc tín nhiệm nợ. Tuy nhiên, khoản nợ này nhanh chóng được giảm bớt bằng tiền thu được từ việc bán tài sản.</w:t>
      </w:r>
    </w:p>
    <w:p>
      <w:pPr>
        <w:numPr>
          <w:ilvl w:val="0"/>
          <w:numId w:val="276"/>
        </w:numPr>
        <w:pStyle w:val="Para 01"/>
      </w:pPr>
      <w:r>
        <w:t>Không có thay đổi đáng kể nào về lượng vốn đầu tư vào các công ty này.</w:t>
      </w:r>
    </w:p>
    <w:p>
      <w:pPr>
        <w:numPr>
          <w:ilvl w:val="0"/>
          <w:numId w:val="276"/>
        </w:numPr>
        <w:pStyle w:val="Para 01"/>
      </w:pPr>
      <w:r>
        <w:t>Gần 60 phần trăm các thương vụ thâu tóm kéo theo những đợt thoái vốn đáng kể, trong đó một nửa hoặc hơn một nửa công ty bị thoái vốn. Phần lớn áp đảo các đợt thoái vốn là những đơn vị thuộc lĩnh vực kinh doanh không liên quan đến hoạt động cốt lõi của công ty (tức là chúng đảo ngược việc đa dạng hóa doanh nghiệp đã được thực hiện trong các giai đoạn trước đó).</w:t>
      </w:r>
    </w:p>
    <w:p>
      <w:pPr>
        <w:numPr>
          <w:ilvl w:val="0"/>
          <w:numId w:val="276"/>
        </w:numPr>
        <w:pStyle w:val="Para 01"/>
      </w:pPr>
      <w:r>
        <w:t>Có những thay đổi đáng kể về ban lãnh đạo trong 17 trên 19 thương vụ thâu tóm thù địch, với việc thay thế toàn bộ đội ngũ quản lý cấp cao trong bảy thương vụ.</w:t>
      </w:r>
    </w:p>
    <w:p>
      <w:pPr>
        <w:pStyle w:val="Para 03"/>
      </w:pPr>
      <w:r>
        <w:t>Vì vậy, trái với quan điểm phổ biến,2 phần lớn các thương vụ thâu tóm thù địch không dẫn đến việc bên mua vét sạch tài sản của công ty mục tiêu và đẩy nó đến chỗ phá sản. Thay vào đó, các công ty mục tiêu tái tập trung vào hoạt động kinh doanh cốt lõi và thường cải thiện hiệu quả hoạt động của mình.</w:t>
      </w:r>
    </w:p>
    <w:p>
      <w:bookmarkStart w:id="5245" w:name="Cater_to_Managerial_Self_Interes"/>
      <w:bookmarkStart w:id="5246" w:name="Cater_to_Managerial_Self_Interes_1"/>
      <w:pPr>
        <w:keepNext/>
        <w:pStyle w:val="Heading 4"/>
        <w:keepLines w:val="on"/>
      </w:pPr>
      <w:r>
        <w:t>Phục vụ lợi ích cá nhân của ban quản lý</w:t>
      </w:r>
      <w:bookmarkEnd w:id="5245"/>
      <w:bookmarkEnd w:id="5246"/>
    </w:p>
    <w:p>
      <w:pPr>
        <w:pStyle w:val="Para 03"/>
      </w:pPr>
      <w:r>
        <w:t>Trong hầu hết các thương vụ mua lại, chính các nhà quản lý của công ty đi mua quyết định có thực hiện thương vụ hay không và trả bao nhiêu cho nó, chứ không phải các cổ đông của chính công ty đó. Trong hoàn cảnh như vậy, động cơ của một số thương vụ mua lại có thể không phải là tối đa hóa tài sản của cổ đông, mà là lợi ích cá nhân của ban quản lý, được thể hiện qua bất kỳ động cơ mua lại nào sau đây:</w:t>
      </w:r>
    </w:p>
    <w:p>
      <w:pPr>
        <w:numPr>
          <w:ilvl w:val="0"/>
          <w:numId w:val="277"/>
        </w:numPr>
        <w:pStyle w:val="Para 01"/>
      </w:pPr>
      <w:r>
        <w:t>Xây dựng đế chế. Lợi ích của một số nhà quản lý cấp cao dường như nằm ở việc biến công ty của họ thành những công ty lớn nhất và thống trị nhất trong ngành, hoặc thậm chí trên toàn thị trường. Mục tiêu này, chứ không phải đa dạng hóa, có thể giải thích chiến lược mua lại của các công ty như Gulf &amp; Western và ITT3 trong thập niên 1960 và 1970. Lưu ý rằng cả hai công ty đều có những CEO cứng rắn; Charles Bludhorn trong trường hợp Gulf &amp; Western, và Harold Geneen trong trường hợp ITT) trong giai đoạn họ tích cực thâu tóm.</w:t>
      </w:r>
    </w:p>
    <w:p>
      <w:pPr>
        <w:numPr>
          <w:ilvl w:val="0"/>
          <w:numId w:val="277"/>
        </w:numPr>
        <w:pStyle w:val="Para 01"/>
      </w:pPr>
      <w:r>
        <w:t>Cái tôi của nhà quản lý. Một số thương vụ mua lại, đặc biệt khi có nhiều bên cùng đấu giá cho một công ty, trở thành phép thử bản lĩnh đàn ông4 đối với các nhà quản lý liên quan. Không bên nào muốn thua cuộc, dù rằng chiến thắng có thể khiến cổ đông của họ tốn hàng tỷ đô la.</w:t>
      </w:r>
    </w:p>
    <w:p>
      <w:pPr>
        <w:numPr>
          <w:ilvl w:val="0"/>
          <w:numId w:val="277"/>
        </w:numPr>
        <w:pStyle w:val="Para 01"/>
      </w:pPr>
      <w:r>
        <w:t>Thù lao và lợi ích kèm theo. Trong một số trường hợp, sáp nhập và mua lại có thể dẫn đến việc viết lại các hợp đồng thù lao cho ban quản lý. Nếu những lợi ích cá nhân tiềm năng mà các nhà quản lý thu được từ thương vụ là lớn, điều đó có thể khiến họ mù quáng trước những chi phí mà thương vụ tạo ra cho chính cổ đông của mình.</w:t>
      </w:r>
    </w:p>
    <w:p>
      <w:pPr>
        <w:pStyle w:val="Para 03"/>
      </w:pPr>
      <w:r>
        <w:t>Trong một bài báo năm 1986 có tựa đề “Giả thuyết ngạo mạn về các thương vụ thâu tóm doanh nghiệp” (The Hubris Hypothesis of Corporate Takeovers), Roll cho rằng chúng ta có thể đang đánh giá thấp mức độ mà quá trình mua lại, cũng như mức giá phải trả, có thể được giải thích bằng lòng kiêu hãnh và cái tôi của ban quản lý. Cũng có bằng chứng đáng kể tích lũy trong lĩnh vực tài chính hành vi (behavioral finance) cho thấy các CEO quá tự tin có nhiều khả năng thúc đẩy các thương vụ mua lại hơn, thường đánh giá quá cao lợi ích và đánh giá quá thấp chi phí của những thương vụ này.</w:t>
      </w:r>
    </w:p>
    <w:p>
      <w:pPr>
        <w:pStyle w:val="Para 11"/>
      </w:pPr>
      <w:r>
        <w:t/>
        <w:t xml:space="preserve"> </w:t>
      </w:r>
    </w:p>
    <w:p>
      <w:bookmarkStart w:id="5249" w:name="Should_There_be_an_Ego_Discount_1"/>
      <w:bookmarkStart w:id="5250" w:name="Should_There_be_an_Ego_Discount"/>
      <w:pPr>
        <w:keepNext/>
        <w:pStyle w:val="Para 27"/>
        <w:keepLines w:val="on"/>
      </w:pPr>
      <w:r>
        <w:t>Có nên áp dụng một khoản chiết khấu cho cái tôi?</w:t>
      </w:r>
      <w:bookmarkEnd w:id="5249"/>
      <w:bookmarkEnd w:id="5250"/>
    </w:p>
    <w:p>
      <w:pPr>
        <w:pStyle w:val="Para 16"/>
        <w:keepLines w:val="on"/>
      </w:pPr>
      <w:r>
        <w:t>Nếu lợi ích cá nhân và cái tôi của ban quản lý có thể khiến các công ty trả quá nhiều cho các thương vụ mua lại, thì có nên chiết khấu giá trị của những công ty do các CEO cứng rắn điều hành không? Theo một nghĩa nào đó, khoản chiết khấu này có lẽ đã được áp dụng sẵn nếu tỷ suất sinh lời trên vốn và tỷ lệ tái đầu tư hiện tại của công ty phản ánh những thương vụ mua lại thất bại trong quá khứ, và chúng ta giả định rằng công ty sẽ tiếp tục tạo ra cùng tỷ suất sinh lời trên vốn đó trong tương lai.</w:t>
      </w:r>
    </w:p>
    <w:p>
      <w:pPr>
        <w:pStyle w:val="Para 16"/>
        <w:keepLines w:val="on"/>
      </w:pPr>
      <w:r>
        <w:t>Cũng vì lý do đó, đây là một lý do chính đáng để xem xét lại định giá của một công ty khi có sự thay đổi ở vị trí lãnh đạo cao nhất. Nếu vị CEO mới có vẻ không có cùng khát vọng xây dựng đế chế hay trả giá quá cao cho các thương vụ mua bán như người tiền nhiệm, thì tỷ suất sinh lợi trên vốn trong tương lai của công ty có thể được kỳ vọng sẽ cao hơn nhiều so với tỷ suất sinh lợi trên vốn trong quá khứ, và giá trị của công ty sẽ tăng lên.</w:t>
      </w:r>
    </w:p>
    <w:p>
      <w:bookmarkStart w:id="5252" w:name="Choosing_a_Target_Firm_and_Valui"/>
      <w:bookmarkStart w:id="5253" w:name="Choosing_a_Target_Firm_and_Valui_1"/>
      <w:pPr>
        <w:keepNext/>
        <w:pStyle w:val="Heading 3"/>
        <w:keepLines w:val="on"/>
      </w:pPr>
      <w:r>
        <w:t>Chọn công ty mục tiêu và định giá quyền kiểm soát/hiệu ứng cộng hưởng</w:t>
      </w:r>
      <w:bookmarkEnd w:id="5252"/>
      <w:bookmarkEnd w:id="5253"/>
    </w:p>
    <w:p>
      <w:pPr>
        <w:pStyle w:val="Para 03"/>
      </w:pPr>
      <w:r>
        <w:t>Khi một công ty đã có động cơ mua bán sáp nhập, có hai câu hỏi then chốt cần được trả lời. Câu hỏi thứ nhất liên quan đến việc làm thế nào để xác định công ty mục tiêu tiềm năng tốt nhất cho một thương vụ mua bán, dựa trên những động cơ đã trình bày ở phần trước. Câu hỏi thứ hai cụ thể hơn là làm thế nào để định giá một công ty mục tiêu, một lần nữa dựa trên những động cơ khác nhau mà chúng ta đã phác thảo ở phần trước.</w:t>
      </w:r>
    </w:p>
    <w:p>
      <w:bookmarkStart w:id="5254" w:name="Choosing_a_Target_Firm"/>
      <w:bookmarkStart w:id="5255" w:name="Choosing_a_Target_Firm__Once_a_f"/>
      <w:pPr>
        <w:keepNext/>
        <w:pStyle w:val="Heading 4"/>
        <w:keepLines w:val="on"/>
      </w:pPr>
      <w:r>
        <w:t>Chọn công ty mục tiêu</w:t>
      </w:r>
      <w:bookmarkEnd w:id="5254"/>
      <w:bookmarkEnd w:id="5255"/>
    </w:p>
    <w:p>
      <w:pPr>
        <w:pStyle w:val="Para 03"/>
      </w:pPr>
      <w:r>
        <w:t>Khi một công ty đã xác định được lý do cho chương trình mua bán sáp nhập của mình, công ty phải tìm ra công ty mục tiêu phù hợp.</w:t>
      </w:r>
    </w:p>
    <w:p>
      <w:pPr>
        <w:numPr>
          <w:ilvl w:val="0"/>
          <w:numId w:val="278"/>
        </w:numPr>
        <w:pStyle w:val="Para 01"/>
      </w:pPr>
      <w:r>
        <w:t>Nếu động cơ mua bán sáp nhập là do bị định giá thấp, thì công ty mục tiêu phải là công ty đang bị định giá thấp. Việc xác định một công ty như vậy sẽ phụ thuộc vào phương pháp định giá và mô hình được sử dụng. Với cách định giá theo giá thị trường (pricing), một cổ phiếu bị định giá thấp là cổ phiếu được giao dịch ở mức bội số (của lợi nhuận, giá trị sổ sách hoặc doanh thu) thấp hơn nhiều so với phần còn lại của ngành, sau khi đã kiểm soát các khác biệt đáng kể về các yếu tố cơ bản. Như vậy, một ngân hàng có tỷ lệ giá trên giá trị sổ sách là 1,2 sẽ là một ngân hàng bị định giá thấp nếu các ngân hàng khác có các yếu tố cơ bản tương tự (tỷ suất sinh lợi trên vốn chủ sở hữu, tăng trưởng và rủi ro) nhưng lại được giao dịch ở tỷ lệ giá trên giá trị sổ sách cao hơn nhiều. Trong các phương pháp định giá theo dòng tiền chiết khấu (discounted cash flow), một cổ phiếu bị định giá thấp là cổ phiếu được giao dịch ở mức giá thấp hơn nhiều so với giá trị dòng tiền chiết khấu ước tính.</w:t>
      </w:r>
    </w:p>
    <w:p>
      <w:pPr>
        <w:numPr>
          <w:ilvl w:val="0"/>
          <w:numId w:val="278"/>
        </w:numPr>
        <w:pStyle w:val="Para 01"/>
      </w:pPr>
      <w:r>
        <w:t>Nếu động cơ mua bán sáp nhập là đa dạng hóa, thì các công ty mục tiêu khả dĩ nhất sẽ thuộc những ngành kinh doanh không liên quan và không tương quan với ngành kinh doanh của công ty thâu tóm. Như vậy, một công ty có tính chu kỳ nên cố gắng thâu tóm các công ty có tính phản chu kỳ hoặc ít nhất là không có tính chu kỳ để đạt được lợi ích đầy đủ nhất từ việc đa dạng hóa.</w:t>
      </w:r>
    </w:p>
    <w:p>
      <w:pPr>
        <w:numPr>
          <w:ilvl w:val="0"/>
          <w:numId w:val="278"/>
        </w:numPr>
        <w:pStyle w:val="Para 01"/>
      </w:pPr>
      <w:r>
        <w:t>Nếu động cơ mua bán sáp nhập là hiệu ứng cộng hưởng trong hoạt động (operating synergy), thì công ty mục tiêu điển hình sẽ thay đổi tùy theo nguồn gốc của hiệu ứng cộng hưởng đó. Đối với lợi thế kinh tế theo quy mô (economies of scale), công ty mục tiêu phải cùng ngành kinh doanh với công ty thâu tóm. Như vậy, thương vụ United Airlines thâu tóm Continental Airlines được thúc đẩy bởi khả năng tiết kiệm chi phí nhờ lợi thế kinh tế theo quy mô. Đối với hiệu ứng cộng hưởng theo chức năng (functional synergy), công ty mục tiêu phải mạnh nhất ở những lĩnh vực chức năng mà công ty thâu tóm đang yếu. Đối với hiệu ứng cộng hưởng về tài chính (financial synergy), công ty mục tiêu sẽ được chọn để phản ánh nguồn gốc khả dĩ của hiệu ứng cộng hưởng — một công ty rủi ro với khả năng vay nợ độc lập hạn chế hoặc không có, nếu động cơ là tăng khả năng vay nợ, hoặc một công ty có lỗ hoạt động ròng được chuyển lỗ đáng kể, nếu động cơ là lợi ích về thuế.</w:t>
      </w:r>
    </w:p>
    <w:p>
      <w:pPr>
        <w:numPr>
          <w:ilvl w:val="0"/>
          <w:numId w:val="278"/>
        </w:numPr>
        <w:pStyle w:val="Para 01"/>
      </w:pPr>
      <w:r>
        <w:t>Nếu động cơ của thương vụ sáp nhập là quyền kiểm soát, thì công ty mục tiêu sẽ là một công ty được quản lý kém trong một ngành có tiềm năng sinh lợi vượt trội. Ngoài ra, lượng cổ phần nắm giữ của công ty này sẽ được phân tán rộng rãi (giúp việc thâu tóm thù địch dễ thực hiện hơn), và giá thị trường hiện tại sẽ dựa trên giả định rằng ban lãnh đạo đương nhiệm sẽ tiếp tục điều hành công ty.</w:t>
      </w:r>
    </w:p>
    <w:p>
      <w:pPr>
        <w:numPr>
          <w:ilvl w:val="0"/>
          <w:numId w:val="278"/>
        </w:numPr>
        <w:pStyle w:val="Para 01"/>
      </w:pPr>
      <w:r>
        <w:t>Nếu động cơ là vì lợi ích cá nhân của ban quản lý, thì việc chọn công ty mục tiêu sẽ phản ánh lợi ích của ban quản lý chứ không phải vì các lý do kinh tế.</w:t>
      </w:r>
    </w:p>
    <w:p>
      <w:pPr>
        <w:pStyle w:val="Para 03"/>
      </w:pPr>
      <w:r>
        <w:t>Bảng 25.1 tóm tắt công ty mục tiêu điển hình, dựa trên động cơ của thương vụ thâu tóm.</w:t>
      </w:r>
    </w:p>
    <w:p>
      <w:pPr>
        <w:pStyle w:val="Para 20"/>
      </w:pPr>
      <w:r>
        <w:rPr>
          <w:rStyle w:val="Text26"/>
        </w:rPr>
        <w:bookmarkStart w:id="5257" w:name="Page_806"/>
        <w:t/>
        <w:bookmarkEnd w:id="5257"/>
      </w:r>
      <w:r>
        <w:t xml:space="preserve"> </w:t>
      </w:r>
    </w:p>
    <w:p>
      <w:pPr>
        <w:pStyle w:val="Para 34"/>
        <w:keepLines w:val="on"/>
      </w:pPr>
      <w:r>
        <w:t>Bảng 25.1</w:t>
      </w:r>
    </w:p>
    <w:p>
      <w:pPr>
        <w:keepNext/>
        <w:pStyle w:val="Para 35"/>
        <w:keepLines w:val="on"/>
      </w:pPr>
      <w:r>
        <w:t>Đặc điểm công ty mục tiêu dựa trên động cơ mua bán sáp nhập</w:t>
      </w:r>
    </w:p>
    <w:tbl>
      <w:tblPr>
        <w:tblW w:type="auto" w:w="0"/>
      </w:tblPr>
      <w:tr>
        <w:tc>
          <w:tcPr>
            <w:tcW w:type="auto" w:w="0"/>
          </w:tcPr>
          <w:tbl>
            <w:tblPr>
              <w:tblW w:type="auto" w:w="0"/>
            </w:tblPr>
            <w:tr>
              <w:tc>
                <w:tcPr>
                  <w:tcW w:type="auto" w:w="0"/>
                  <w:shd w:val="clear" w:color="auto" w:fill="F0F0F0"/>
                </w:tcPr>
                <w:p>
                  <w:pPr>
                    <w:pStyle w:val="Para 29"/>
                    <w:keepLines w:val="on"/>
                  </w:pPr>
                  <w:r>
                    <w:t>Nếu động cơ là...</w:t>
                  </w:r>
                </w:p>
              </w:tc>
              <w:tc>
                <w:tcPr>
                  <w:tcW w:type="auto" w:w="0"/>
                  <w:shd w:val="clear" w:color="auto" w:fill="F0F0F0"/>
                </w:tcPr>
                <w:p>
                  <w:pPr>
                    <w:pStyle w:val="Para 17"/>
                    <w:keepLines w:val="on"/>
                  </w:pPr>
                  <w:r>
                    <w:t>Thì công ty mục tiêu...</w:t>
                  </w:r>
                </w:p>
              </w:tc>
            </w:tr>
            <w:tr>
              <w:tc>
                <w:tcPr>
                  <w:tcW w:type="auto" w:w="0"/>
                  <w:shd w:val="clear" w:color="auto" w:fill="F0F0F0"/>
                </w:tcPr>
                <w:p>
                  <w:pPr>
                    <w:pStyle w:val="Para 02"/>
                    <w:keepLines w:val="on"/>
                  </w:pPr>
                  <w:r>
                    <w:t>Bị định giá thấp</w:t>
                  </w:r>
                </w:p>
              </w:tc>
              <w:tc>
                <w:tcPr>
                  <w:tcW w:type="auto" w:w="0"/>
                  <w:shd w:val="clear" w:color="auto" w:fill="F0F0F0"/>
                </w:tcPr>
                <w:p>
                  <w:pPr>
                    <w:pStyle w:val="Para 02"/>
                    <w:keepLines w:val="on"/>
                  </w:pPr>
                  <w:r>
                    <w:t>Được giao dịch ở mức giá thấp hơn giá trị ước tính.</w:t>
                  </w:r>
                </w:p>
              </w:tc>
            </w:tr>
            <w:tr>
              <w:tc>
                <w:tcPr>
                  <w:tcW w:type="auto" w:w="0"/>
                  <w:shd w:val="clear" w:color="auto" w:fill="F0F0F0"/>
                </w:tcPr>
                <w:p>
                  <w:pPr>
                    <w:pStyle w:val="Para 02"/>
                    <w:keepLines w:val="on"/>
                  </w:pPr>
                  <w:r>
                    <w:t>Đa dạng hóa</w:t>
                  </w:r>
                </w:p>
              </w:tc>
              <w:tc>
                <w:tcPr>
                  <w:tcW w:type="auto" w:w="0"/>
                  <w:shd w:val="clear" w:color="auto" w:fill="F0F0F0"/>
                </w:tcPr>
                <w:p>
                  <w:pPr>
                    <w:pStyle w:val="Para 02"/>
                    <w:keepLines w:val="on"/>
                  </w:pPr>
                  <w:r>
                    <w:t>Thuộc một ngành kinh doanh khác với ngành kinh doanh của công ty thâu tóm.</w:t>
                  </w:r>
                </w:p>
              </w:tc>
            </w:tr>
            <w:tr>
              <w:tc>
                <w:tcPr>
                  <w:tcW w:type="auto" w:w="0"/>
                  <w:shd w:val="clear" w:color="auto" w:fill="F0F0F0"/>
                </w:tcPr>
                <w:p>
                  <w:pPr>
                    <w:pStyle w:val="Para 02"/>
                    <w:keepLines w:val="on"/>
                  </w:pPr>
                  <w:r>
                    <w:t>Hiệu ứng cộng hưởng trong hoạt động</w:t>
                  </w:r>
                </w:p>
              </w:tc>
              <w:tc>
                <w:tcPr>
                  <w:tcW w:type="auto" w:w="0"/>
                  <w:shd w:val="clear" w:color="auto" w:fill="F0F0F0"/>
                </w:tcPr>
                <w:p>
                  <w:pPr>
                    <w:pStyle w:val="Para 03"/>
                    <w:keepLines w:val="on"/>
                  </w:pPr>
                  <w:r>
                    <w:t>Có những đặc điểm tạo ra hiệu ứng cộng hưởng trong hoạt động:</w:t>
                  </w:r>
                </w:p>
                <w:p>
                  <w:pPr>
                    <w:pStyle w:val="Para 03"/>
                    <w:keepLines w:val="on"/>
                  </w:pPr>
                  <w:r>
                    <w:t>Tiết kiệm chi phí: Tạo ra lợi thế kinh tế theo quy mô trong cùng ngành kinh doanh.</w:t>
                  </w:r>
                </w:p>
                <w:p>
                  <w:pPr>
                    <w:pStyle w:val="Para 03"/>
                    <w:keepLines w:val="on"/>
                  </w:pPr>
                  <w:r>
                    <w:t>Tăng trưởng cao hơn: Có tiềm năng mở ra thị trường mới hoặc mở rộng những thị trường hiện có.</w:t>
                  </w:r>
                </w:p>
              </w:tc>
            </w:tr>
            <w:tr>
              <w:tc>
                <w:tcPr>
                  <w:tcW w:type="auto" w:w="0"/>
                  <w:shd w:val="clear" w:color="auto" w:fill="F0F0F0"/>
                </w:tcPr>
                <w:p>
                  <w:pPr>
                    <w:pStyle w:val="Para 02"/>
                    <w:keepLines w:val="on"/>
                  </w:pPr>
                  <w:r>
                    <w:t>Hiệu ứng cộng hưởng về tài chính</w:t>
                  </w:r>
                </w:p>
              </w:tc>
              <w:tc>
                <w:tcPr>
                  <w:tcW w:type="auto" w:w="0"/>
                  <w:shd w:val="clear" w:color="auto" w:fill="F0F0F0"/>
                </w:tcPr>
                <w:p>
                  <w:pPr>
                    <w:pStyle w:val="Para 02"/>
                    <w:keepLines w:val="on"/>
                  </w:pPr>
                  <w:r>
                    <w:t>Có những đặc điểm tạo ra hiệu ứng cộng hưởng về tài chính:</w:t>
                  </w:r>
                </w:p>
                <w:p>
                  <w:pPr>
                    <w:numPr>
                      <w:ilvl w:val="0"/>
                      <w:numId w:val="279"/>
                    </w:numPr>
                    <w:pStyle w:val="Para 01"/>
                    <w:keepLines w:val="on"/>
                  </w:pPr>
                  <w:r>
                    <w:t>Tiết kiệm thuế: Mang lại lợi ích thuế cho bên mua lại.</w:t>
                  </w:r>
                </w:p>
                <w:p>
                  <w:pPr>
                    <w:numPr>
                      <w:ilvl w:val="0"/>
                      <w:numId w:val="279"/>
                    </w:numPr>
                    <w:pStyle w:val="Para 01"/>
                    <w:keepLines w:val="on"/>
                  </w:pPr>
                  <w:r>
                    <w:t>Khả năng vay nợ: Không thể vay tiền hoặc phải chịu lãi suất cao.</w:t>
                  </w:r>
                </w:p>
                <w:p>
                  <w:pPr>
                    <w:numPr>
                      <w:ilvl w:val="0"/>
                      <w:numId w:val="279"/>
                    </w:numPr>
                    <w:pStyle w:val="Para 01"/>
                    <w:keepLines w:val="on"/>
                  </w:pPr>
                  <w:r>
                    <w:t>Dòng tiền nhàn rỗi: Có nhiều dự án tốt nhưng bị hạn chế về vốn.</w:t>
                  </w:r>
                </w:p>
              </w:tc>
            </w:tr>
            <w:tr>
              <w:tc>
                <w:tcPr>
                  <w:tcW w:type="auto" w:w="0"/>
                  <w:shd w:val="clear" w:color="auto" w:fill="F0F0F0"/>
                </w:tcPr>
                <w:p>
                  <w:pPr>
                    <w:pStyle w:val="Para 02"/>
                    <w:keepLines w:val="on"/>
                  </w:pPr>
                  <w:r>
                    <w:t>Quyền kiểm soát</w:t>
                  </w:r>
                </w:p>
              </w:tc>
              <w:tc>
                <w:tcPr>
                  <w:tcW w:type="auto" w:w="0"/>
                  <w:shd w:val="clear" w:color="auto" w:fill="F0F0F0"/>
                </w:tcPr>
                <w:p>
                  <w:pPr>
                    <w:pStyle w:val="Para 02"/>
                    <w:keepLines w:val="on"/>
                  </w:pPr>
                  <w:r>
                    <w:t>Là một công ty bị quản lý kém cỏi, cổ phiếu kém hiệu quả hơn so với thị trường.</w:t>
                  </w:r>
                </w:p>
              </w:tc>
            </w:tr>
            <w:tr>
              <w:tc>
                <w:tcPr>
                  <w:tcW w:type="auto" w:w="0"/>
                  <w:shd w:val="clear" w:color="auto" w:fill="F0F0F0"/>
                </w:tcPr>
                <w:p>
                  <w:pPr>
                    <w:pStyle w:val="Para 02"/>
                    <w:keepLines w:val="on"/>
                  </w:pPr>
                  <w:r>
                    <w:t>Lợi ích của người quản lý</w:t>
                  </w:r>
                </w:p>
              </w:tc>
              <w:tc>
                <w:tcPr>
                  <w:tcW w:type="auto" w:w="0"/>
                  <w:shd w:val="clear" w:color="auto" w:fill="F0F0F0"/>
                </w:tcPr>
                <w:p>
                  <w:pPr>
                    <w:pStyle w:val="Para 02"/>
                    <w:keepLines w:val="on"/>
                  </w:pPr>
                  <w:r>
                    <w:t>Có những đặc điểm đáp ứng tốt nhất nhu cầu về cái tôi và quyền lực của CEO.</w:t>
                  </w:r>
                </w:p>
              </w:tc>
            </w:tr>
          </w:tbl>
          <w:p/>
        </w:tc>
      </w:tr>
    </w:tbl>
    <w:p>
      <w:pPr>
        <w:pStyle w:val="Para 03"/>
      </w:pPr>
      <w:r>
        <w:t>Có hai điểm cuối cùng đáng lưu ý ở đây trước khi chuyển sang phần định giá. Thứ nhất, các công ty thường chọn công ty mục tiêu và động cơ thâu tóm cùng một lúc, chứ không phải theo trình tự lần lượt. Điều đó không làm thay đổi bất kỳ phân tích nào trong các phần này. Điểm còn lại là các công ty thường có nhiều hơn một động cơ trong một thương vụ thâu tóm — ví dụ như quyền kiểm soát và hiệu ứng cộng hưởng. Nếu đúng như vậy, việc tìm kiếm công ty mục tiêu nên được định hướng bởi động cơ chủ đạo.</w:t>
      </w:r>
    </w:p>
    <w:p>
      <w:bookmarkStart w:id="5258" w:name="Valuing_the_Target_Firm__The_val"/>
      <w:bookmarkStart w:id="5259" w:name="Valuing_the_Target_Firm"/>
      <w:pPr>
        <w:keepNext/>
        <w:pStyle w:val="Heading 4"/>
        <w:keepLines w:val="on"/>
      </w:pPr>
      <w:r>
        <w:t>Định giá công ty mục tiêu</w:t>
      </w:r>
      <w:bookmarkEnd w:id="5258"/>
      <w:bookmarkEnd w:id="5259"/>
    </w:p>
    <w:p>
      <w:pPr>
        <w:pStyle w:val="Para 03"/>
      </w:pPr>
      <w:r>
        <w:t>Việc định giá một thương vụ thâu tóm về cơ bản không khác gì việc định giá bất kỳ công ty nào, mặc dù sự tồn tại của phần bù quyền kiểm soát và phần bù hiệu ứng cộng hưởng có đưa thêm một chút phức tạp vào quá trình định giá. Do mối quan hệ tương hỗ giữa hiệu ứng cộng hưởng và quyền kiểm soát, cách an toàn nhất để định giá một công ty mục tiêu là làm theo từng bước, bắt đầu bằng việc định giá hiện trạng của công ty, rồi tiếp theo là giá trị của quyền kiểm soát và giá trị của hiệu ứng cộng hưởng.</w:t>
      </w:r>
    </w:p>
    <w:p>
      <w:bookmarkStart w:id="5260" w:name="Status_Quo_Valuation__The_valuat"/>
      <w:pPr>
        <w:pStyle w:val="Para 21"/>
      </w:pPr>
      <w:r>
        <w:t>Định giá hiện trạng</w:t>
      </w:r>
      <w:bookmarkEnd w:id="5260"/>
    </w:p>
    <w:p>
      <w:pPr>
        <w:pStyle w:val="Para 03"/>
      </w:pPr>
      <w:r>
        <w:t>Việc định giá công ty mục tiêu bắt đầu bằng cách ước tính giá trị công ty với các chính sách đầu tư, tài trợ và cổ tức hiện có, giả định rằng ban quản lý hiện tại vẫn tiếp tục điều hành. Việc định giá này, được gọi là định giá hiện trạng, cung cấp một nền tảng để từ đó ước tính phần bù quyền kiểm soát và phần bù hiệu ứng cộng hưởng. Tất cả các nguyên tắc cơ bản được trình bày trong các chương trước về định giá vẫn tiếp tục được áp dụng ở đây. Cụ thể, giá trị của công ty là một hàm số của dòng tiền từ các tài sản hiện có, mức tăng trưởng kỳ vọng của các dòng tiền này trong giai đoạn tăng trưởng cao, độ dài của giai đoạn tăng trưởng cao, và chi phí vốn của công ty.</w:t>
      </w:r>
    </w:p>
    <w:p>
      <w:pPr>
        <w:pStyle w:val="Para 11"/>
      </w:pPr>
      <w:r>
        <w:t/>
        <w:t xml:space="preserve"> </w:t>
      </w:r>
    </w:p>
    <w:p>
      <w:bookmarkStart w:id="5262" w:name="ILLUSTRATION_25_1__A_Status_Quo_1"/>
      <w:bookmarkStart w:id="5263" w:name="ILLUSTRATION_25_1__A_Status_Quo"/>
      <w:pPr>
        <w:keepNext/>
        <w:pStyle w:val="Para 19"/>
        <w:keepLines w:val="on"/>
      </w:pPr>
      <w:r>
        <w:t>MINH HỌA 25.1: Định giá hiện trạng của SAB Miller</w:t>
      </w:r>
      <w:bookmarkEnd w:id="5262"/>
      <w:bookmarkEnd w:id="5263"/>
    </w:p>
    <w:p>
      <w:pPr>
        <w:pStyle w:val="Para 04"/>
        <w:keepLines w:val="on"/>
      </w:pPr>
      <w:r>
        <w:t>Vào tháng 9 năm 2015, Inbev, công ty bia lớn nhất thế giới, đã thông báo rằng họ sẽ thâu tóm SAB Miller, nhà sản xuất bia lớn thứ hai thế giới, trong một thương vụ sáp nhập thân thiện. Thương vụ sáp nhập này được thúc đẩy bởi các hiệu ứng cộng hưởng, cả từ tăng trưởng — khi hai công ty có những khu vực địa lý mạnh khác nhau — lẫn từ tiết kiệm chi phí nhờ hợp nhất. Ngoài ra, Inbev, được kiểm soát bởi 3G Capital có trụ sở tại Brazil, được xem là một trong những nhà sản xuất bia hiệu quả nhất thế giới, và người ta kỳ vọng rằng họ sẽ có thể mang một phần những hiệu quả này vào hoạt động của SAB Miller. Hình 25.5 ghi lại chi tiết của thương vụ, bao gồm giá trị thị trường tại thời điểm thâu tóm được công bố và khi thương vụ được hoàn tất:</w:t>
      </w:r>
    </w:p>
    <w:p>
      <w:pPr>
        <w:pStyle w:val="Para 40"/>
        <w:keepLines w:val="on"/>
      </w:pPr>
      <w:r>
        <w:rPr>
          <w:rStyle w:val="Text26"/>
        </w:rPr>
        <w:bookmarkStart w:id="5266" w:name="Page_807"/>
        <w:t/>
        <w:bookmarkEnd w:id="5266"/>
      </w:r>
      <w:r>
        <w:t xml:space="preserve"> </w:t>
      </w:r>
    </w:p>
    <w:p>
      <w:bookmarkStart w:id="5267" w:name="Figure_25_5_The_Inbev_SAB_Miller"/>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62200" cy="1206500"/>
            <wp:effectExtent l="0" r="0" t="0" b="0"/>
            <wp:wrapTopAndBottom/>
            <wp:docPr id="229" name="c25f005.png" descr="Motives of merger are listed for ABInBev and SABMiller with first news story released on September 15 and deal reached on October 13, 2015."/>
            <wp:cNvGraphicFramePr>
              <a:graphicFrameLocks noChangeAspect="1"/>
            </wp:cNvGraphicFramePr>
            <a:graphic>
              <a:graphicData uri="http://schemas.openxmlformats.org/drawingml/2006/picture">
                <pic:pic>
                  <pic:nvPicPr>
                    <pic:cNvPr id="0" name="c25f005.png" descr="Motives of merger are listed for ABInBev and SABMiller with first news story released on September 15 and deal reached on October 13, 2015."/>
                    <pic:cNvPicPr/>
                  </pic:nvPicPr>
                  <pic:blipFill>
                    <a:blip r:embed="rId164"/>
                    <a:stretch>
                      <a:fillRect/>
                    </a:stretch>
                  </pic:blipFill>
                  <pic:spPr>
                    <a:xfrm>
                      <a:off x="0" y="0"/>
                      <a:ext cx="2362200" cy="1206500"/>
                    </a:xfrm>
                    <a:prstGeom prst="rect">
                      <a:avLst/>
                    </a:prstGeom>
                  </pic:spPr>
                </pic:pic>
              </a:graphicData>
            </a:graphic>
          </wp:anchor>
        </w:drawing>
      </w:r>
      <w:bookmarkEnd w:id="5267"/>
    </w:p>
    <w:p>
      <w:pPr>
        <w:keepNext/>
        <w:pStyle w:val="Para 38"/>
        <w:keepLines w:val="on"/>
      </w:pPr>
      <w:r>
        <w:t>Hình 25.5 Thương vụ thâu tóm Inbev-SAB Miller</w:t>
      </w:r>
    </w:p>
    <w:p>
      <w:pPr>
        <w:pStyle w:val="Para 04"/>
        <w:keepLines w:val="on"/>
      </w:pPr>
      <w:r>
        <w:t>Để phân tích thương vụ thâu tóm, chúng ta bắt đầu với việc định giá hiện trạng của SAB Miller, bao gồm phần sở hữu liên doanh của họ tại Coors cũng như các khoản nắm giữ thiểu số trong các công ty liên kết, trong Bảng 25.2:</w:t>
      </w:r>
    </w:p>
    <w:p>
      <w:pPr>
        <w:pStyle w:val="Para 25"/>
        <w:keepLines w:val="on"/>
      </w:pPr>
      <w:r>
        <w:t>Bảng 25.2</w:t>
      </w:r>
    </w:p>
    <w:p>
      <w:pPr>
        <w:keepNext/>
        <w:pStyle w:val="Para 24"/>
        <w:keepLines w:val="on"/>
      </w:pPr>
      <w:r>
        <w:t>Định giá hiện trạng của SAB Miller (tính bằng triệu đô la)</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SAB Miller</w:t>
                  </w:r>
                </w:p>
              </w:tc>
              <w:tc>
                <w:tcPr>
                  <w:tcW w:type="auto" w:w="0"/>
                  <w:shd w:val="clear" w:color="auto" w:fill="F0F0F0"/>
                  <w:vAlign w:val="bottom"/>
                </w:tcPr>
                <w:p>
                  <w:pPr>
                    <w:pStyle w:val="Para 05"/>
                    <w:keepLines w:val="on"/>
                  </w:pPr>
                  <w:r>
                    <w:t>+ 58% của Coors JV</w:t>
                  </w:r>
                </w:p>
              </w:tc>
              <w:tc>
                <w:tcPr>
                  <w:tcW w:type="auto" w:w="0"/>
                  <w:shd w:val="clear" w:color="auto" w:fill="F0F0F0"/>
                  <w:vAlign w:val="bottom"/>
                </w:tcPr>
                <w:p>
                  <w:pPr>
                    <w:pStyle w:val="Para 05"/>
                    <w:keepLines w:val="on"/>
                  </w:pPr>
                  <w:r>
                    <w:t>+ Phần sở hữu trong các công ty liên kết</w:t>
                  </w:r>
                </w:p>
              </w:tc>
              <w:tc>
                <w:tcPr>
                  <w:tcW w:type="auto" w:w="0"/>
                  <w:shd w:val="clear" w:color="auto" w:fill="F0F0F0"/>
                  <w:vAlign w:val="bottom"/>
                </w:tcPr>
                <w:p>
                  <w:pPr>
                    <w:pStyle w:val="Para 05"/>
                    <w:keepLines w:val="on"/>
                  </w:pPr>
                  <w:r>
                    <w:t>SAB Miller hợp nhất</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$22,130.00</w:t>
                  </w:r>
                </w:p>
              </w:tc>
              <w:tc>
                <w:tcPr>
                  <w:tcW w:type="auto" w:w="0"/>
                  <w:shd w:val="clear" w:color="auto" w:fill="F0F0F0"/>
                </w:tcPr>
                <w:p>
                  <w:pPr>
                    <w:pStyle w:val="Normal"/>
                    <w:keepLines w:val="on"/>
                  </w:pPr>
                  <w:r>
                    <w:t>$ 5,201.00</w:t>
                  </w:r>
                </w:p>
              </w:tc>
              <w:tc>
                <w:tcPr>
                  <w:tcW w:type="auto" w:w="0"/>
                  <w:shd w:val="clear" w:color="auto" w:fill="F0F0F0"/>
                </w:tcPr>
                <w:p>
                  <w:pPr>
                    <w:pStyle w:val="Normal"/>
                    <w:keepLines w:val="on"/>
                  </w:pPr>
                  <w:r>
                    <w:t>$6,099.00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Biên lợi nhuận hoạt động</w:t>
                  </w:r>
                </w:p>
              </w:tc>
              <w:tc>
                <w:tcPr>
                  <w:tcW w:type="auto" w:w="0"/>
                  <w:shd w:val="clear" w:color="auto" w:fill="F0F0F0"/>
                </w:tcPr>
                <w:p>
                  <w:pPr>
                    <w:pStyle w:val="Normal"/>
                    <w:keepLines w:val="on"/>
                  </w:pPr>
                  <w:r>
                    <w:t>19,97%</w:t>
                  </w:r>
                </w:p>
              </w:tc>
              <w:tc>
                <w:tcPr>
                  <w:tcW w:type="auto" w:w="0"/>
                  <w:shd w:val="clear" w:color="auto" w:fill="F0F0F0"/>
                </w:tcPr>
                <w:p>
                  <w:pPr>
                    <w:pStyle w:val="Normal"/>
                    <w:keepLines w:val="on"/>
                  </w:pPr>
                  <w:r>
                    <w:t>15,38%</w:t>
                  </w:r>
                </w:p>
              </w:tc>
              <w:tc>
                <w:tcPr>
                  <w:tcW w:type="auto" w:w="0"/>
                  <w:shd w:val="clear" w:color="auto" w:fill="F0F0F0"/>
                </w:tcPr>
                <w:p>
                  <w:pPr>
                    <w:pStyle w:val="Normal"/>
                    <w:keepLines w:val="on"/>
                  </w:pPr>
                  <w:r>
                    <w:t>10,72%</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Lợi nhuận hoạt động (EBIT)</w:t>
                  </w:r>
                </w:p>
              </w:tc>
              <w:tc>
                <w:tcPr>
                  <w:tcW w:type="auto" w:w="0"/>
                  <w:shd w:val="clear" w:color="auto" w:fill="F0F0F0"/>
                </w:tcPr>
                <w:p>
                  <w:pPr>
                    <w:pStyle w:val="Normal"/>
                    <w:keepLines w:val="on"/>
                  </w:pPr>
                  <w:r>
                    <w:t>$4,420.00</w:t>
                  </w:r>
                </w:p>
              </w:tc>
              <w:tc>
                <w:tcPr>
                  <w:tcW w:type="auto" w:w="0"/>
                  <w:shd w:val="clear" w:color="auto" w:fill="F0F0F0"/>
                </w:tcPr>
                <w:p>
                  <w:pPr>
                    <w:pStyle w:val="Normal"/>
                    <w:keepLines w:val="on"/>
                  </w:pPr>
                  <w:r>
                    <w:t>$800.00</w:t>
                  </w:r>
                </w:p>
              </w:tc>
              <w:tc>
                <w:tcPr>
                  <w:tcW w:type="auto" w:w="0"/>
                  <w:shd w:val="clear" w:color="auto" w:fill="F0F0F0"/>
                </w:tcPr>
                <w:p>
                  <w:pPr>
                    <w:pStyle w:val="Normal"/>
                    <w:keepLines w:val="on"/>
                  </w:pPr>
                  <w:r>
                    <w:t>$654.00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Vốn đầu tư</w:t>
                  </w:r>
                </w:p>
              </w:tc>
              <w:tc>
                <w:tcPr>
                  <w:tcW w:type="auto" w:w="0"/>
                  <w:shd w:val="clear" w:color="auto" w:fill="F0F0F0"/>
                </w:tcPr>
                <w:p>
                  <w:pPr>
                    <w:pStyle w:val="Normal"/>
                    <w:keepLines w:val="on"/>
                  </w:pPr>
                  <w:r>
                    <w:t>$31,526.00</w:t>
                  </w:r>
                </w:p>
              </w:tc>
              <w:tc>
                <w:tcPr>
                  <w:tcW w:type="auto" w:w="0"/>
                  <w:shd w:val="clear" w:color="auto" w:fill="F0F0F0"/>
                </w:tcPr>
                <w:p>
                  <w:pPr>
                    <w:pStyle w:val="Normal"/>
                    <w:keepLines w:val="on"/>
                  </w:pPr>
                  <w:r>
                    <w:t>$ 5,428.00</w:t>
                  </w:r>
                </w:p>
              </w:tc>
              <w:tc>
                <w:tcPr>
                  <w:tcW w:type="auto" w:w="0"/>
                  <w:shd w:val="clear" w:color="auto" w:fill="F0F0F0"/>
                </w:tcPr>
                <w:p>
                  <w:pPr>
                    <w:pStyle w:val="Normal"/>
                    <w:keepLines w:val="on"/>
                  </w:pPr>
                  <w:r>
                    <w:t>$4,459.00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Beta</w:t>
                  </w:r>
                </w:p>
              </w:tc>
              <w:tc>
                <w:tcPr>
                  <w:tcW w:type="auto" w:w="0"/>
                  <w:shd w:val="clear" w:color="auto" w:fill="F0F0F0"/>
                </w:tcPr>
                <w:p>
                  <w:pPr>
                    <w:pStyle w:val="Normal"/>
                    <w:keepLines w:val="on"/>
                  </w:pPr>
                  <w:r>
                    <w:t>0,7977</w:t>
                  </w:r>
                </w:p>
              </w:tc>
              <w:tc>
                <w:tcPr>
                  <w:tcW w:type="auto" w:w="0"/>
                  <w:shd w:val="clear" w:color="auto" w:fill="F0F0F0"/>
                </w:tcPr>
                <w:p>
                  <w:pPr>
                    <w:pStyle w:val="Normal"/>
                    <w:keepLines w:val="on"/>
                  </w:pPr>
                  <w:r>
                    <w:t>0,6872</w:t>
                  </w:r>
                </w:p>
              </w:tc>
              <w:tc>
                <w:tcPr>
                  <w:tcW w:type="auto" w:w="0"/>
                  <w:shd w:val="clear" w:color="auto" w:fill="F0F0F0"/>
                </w:tcPr>
                <w:p>
                  <w:pPr>
                    <w:pStyle w:val="Normal"/>
                    <w:keepLines w:val="on"/>
                  </w:pPr>
                  <w:r>
                    <w:t>0,6872</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Phần bù rủi ro vốn cổ phần</w:t>
                  </w:r>
                </w:p>
              </w:tc>
              <w:tc>
                <w:tcPr>
                  <w:tcW w:type="auto" w:w="0"/>
                  <w:shd w:val="clear" w:color="auto" w:fill="F0F0F0"/>
                </w:tcPr>
                <w:p>
                  <w:pPr>
                    <w:pStyle w:val="Normal"/>
                    <w:keepLines w:val="on"/>
                  </w:pPr>
                  <w:r>
                    <w:t>8,90%</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7,90%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Chi phí vốn cổ phần</w:t>
                  </w:r>
                </w:p>
              </w:tc>
              <w:tc>
                <w:tcPr>
                  <w:tcW w:type="auto" w:w="0"/>
                  <w:shd w:val="clear" w:color="auto" w:fill="F0F0F0"/>
                </w:tcPr>
                <w:p>
                  <w:pPr>
                    <w:pStyle w:val="Normal"/>
                    <w:keepLines w:val="on"/>
                  </w:pPr>
                  <w:r>
                    <w:t>9,10%</w:t>
                  </w:r>
                </w:p>
              </w:tc>
              <w:tc>
                <w:tcPr>
                  <w:tcW w:type="auto" w:w="0"/>
                  <w:shd w:val="clear" w:color="auto" w:fill="F0F0F0"/>
                </w:tcPr>
                <w:p>
                  <w:pPr>
                    <w:pStyle w:val="Normal"/>
                    <w:keepLines w:val="on"/>
                  </w:pPr>
                  <w:r>
                    <w:t>6,12%</w:t>
                  </w:r>
                </w:p>
              </w:tc>
              <w:tc>
                <w:tcPr>
                  <w:tcW w:type="auto" w:w="0"/>
                  <w:shd w:val="clear" w:color="auto" w:fill="F0F0F0"/>
                </w:tcPr>
                <w:p>
                  <w:pPr>
                    <w:pStyle w:val="Normal"/>
                    <w:keepLines w:val="on"/>
                  </w:pPr>
                  <w:r>
                    <w:t>7,43%</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Chi phí nợ sau thuế</w:t>
                  </w:r>
                </w:p>
              </w:tc>
              <w:tc>
                <w:tcPr>
                  <w:tcW w:type="auto" w:w="0"/>
                  <w:shd w:val="clear" w:color="auto" w:fill="F0F0F0"/>
                </w:tcPr>
                <w:p>
                  <w:pPr>
                    <w:pStyle w:val="Normal"/>
                    <w:keepLines w:val="on"/>
                  </w:pPr>
                  <w:r>
                    <w:t>2,24%</w:t>
                  </w:r>
                </w:p>
              </w:tc>
              <w:tc>
                <w:tcPr>
                  <w:tcW w:type="auto" w:w="0"/>
                  <w:shd w:val="clear" w:color="auto" w:fill="F0F0F0"/>
                </w:tcPr>
                <w:p>
                  <w:pPr>
                    <w:pStyle w:val="Normal"/>
                    <w:keepLines w:val="on"/>
                  </w:pPr>
                  <w:r>
                    <w:t>2,08%</w:t>
                  </w:r>
                </w:p>
              </w:tc>
              <w:tc>
                <w:tcPr>
                  <w:tcW w:type="auto" w:w="0"/>
                  <w:shd w:val="clear" w:color="auto" w:fill="F0F0F0"/>
                </w:tcPr>
                <w:p>
                  <w:pPr>
                    <w:pStyle w:val="Normal"/>
                    <w:keepLines w:val="on"/>
                  </w:pPr>
                  <w:r>
                    <w:t>2,24%</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Tỷ lệ Nợ trên Vốn</w:t>
                  </w:r>
                </w:p>
              </w:tc>
              <w:tc>
                <w:tcPr>
                  <w:tcW w:type="auto" w:w="0"/>
                  <w:shd w:val="clear" w:color="auto" w:fill="F0F0F0"/>
                </w:tcPr>
                <w:p>
                  <w:pPr>
                    <w:pStyle w:val="Normal"/>
                    <w:keepLines w:val="on"/>
                  </w:pPr>
                  <w:r>
                    <w:t>14,67%</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Chi phí vốn</w:t>
                  </w:r>
                </w:p>
              </w:tc>
              <w:tc>
                <w:tcPr>
                  <w:tcW w:type="auto" w:w="0"/>
                  <w:shd w:val="clear" w:color="auto" w:fill="F0F0F0"/>
                </w:tcPr>
                <w:p>
                  <w:pPr>
                    <w:pStyle w:val="Normal"/>
                    <w:keepLines w:val="on"/>
                  </w:pPr>
                  <w:r>
                    <w:t>8,09%</w:t>
                  </w:r>
                </w:p>
              </w:tc>
              <w:tc>
                <w:tcPr>
                  <w:tcW w:type="auto" w:w="0"/>
                  <w:shd w:val="clear" w:color="auto" w:fill="F0F0F0"/>
                </w:tcPr>
                <w:p>
                  <w:pPr>
                    <w:pStyle w:val="Normal"/>
                    <w:keepLines w:val="on"/>
                  </w:pPr>
                  <w:r>
                    <w:t>6,12%</w:t>
                  </w:r>
                </w:p>
              </w:tc>
              <w:tc>
                <w:tcPr>
                  <w:tcW w:type="auto" w:w="0"/>
                  <w:shd w:val="clear" w:color="auto" w:fill="F0F0F0"/>
                </w:tcPr>
                <w:p>
                  <w:pPr>
                    <w:pStyle w:val="Normal"/>
                    <w:keepLines w:val="on"/>
                  </w:pPr>
                  <w:r>
                    <w:t>7,43%</w:t>
                  </w:r>
                </w:p>
              </w:tc>
              <w:tc>
                <w:tcPr>
                  <w:tcW w:type="auto" w:w="0"/>
                  <w:shd w:val="clear" w:color="auto" w:fill="F0F0F0"/>
                </w:tcPr>
                <w:p>
                  <w:pPr>
                    <w:pStyle w:val="7 Block"/>
                    <w:keepLines w:val="on"/>
                  </w:pPr>
                </w:p>
              </w:tc>
            </w:tr>
            <w:tr>
              <w:tc>
                <w:tcPr>
                  <w:tcW w:type="auto" w:w="0"/>
                  <w:shd w:val="clear" w:color="auto" w:fill="F0F0F0"/>
                </w:tcPr>
                <w:p>
                  <w:pPr>
                    <w:pStyle w:val="5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Lợi nhuận trên vốn sau thuế =</w:t>
                  </w:r>
                </w:p>
              </w:tc>
              <w:tc>
                <w:tcPr>
                  <w:tcW w:type="auto" w:w="0"/>
                  <w:shd w:val="clear" w:color="auto" w:fill="F0F0F0"/>
                </w:tcPr>
                <w:p>
                  <w:pPr>
                    <w:pStyle w:val="Normal"/>
                    <w:keepLines w:val="on"/>
                  </w:pPr>
                  <w:r>
                    <w:t>10,33%</w:t>
                  </w:r>
                </w:p>
              </w:tc>
              <w:tc>
                <w:tcPr>
                  <w:tcW w:type="auto" w:w="0"/>
                  <w:shd w:val="clear" w:color="auto" w:fill="F0F0F0"/>
                </w:tcPr>
                <w:p>
                  <w:pPr>
                    <w:pStyle w:val="Normal"/>
                    <w:keepLines w:val="on"/>
                  </w:pPr>
                  <w:r>
                    <w:t>11,05%</w:t>
                  </w:r>
                </w:p>
              </w:tc>
              <w:tc>
                <w:tcPr>
                  <w:tcW w:type="auto" w:w="0"/>
                  <w:shd w:val="clear" w:color="auto" w:fill="F0F0F0"/>
                </w:tcPr>
                <w:p>
                  <w:pPr>
                    <w:pStyle w:val="Normal"/>
                    <w:keepLines w:val="on"/>
                  </w:pPr>
                  <w:r>
                    <w:t>11,00%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Tỷ lệ Tái đầu tư =</w:t>
                  </w:r>
                </w:p>
              </w:tc>
              <w:tc>
                <w:tcPr>
                  <w:tcW w:type="auto" w:w="0"/>
                  <w:shd w:val="clear" w:color="auto" w:fill="F0F0F0"/>
                </w:tcPr>
                <w:p>
                  <w:pPr>
                    <w:pStyle w:val="Normal"/>
                    <w:keepLines w:val="on"/>
                  </w:pPr>
                  <w:r>
                    <w:t>16,02%</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40,00%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Tốc độ tăng trưởng kỳ vọng =</w:t>
                  </w:r>
                </w:p>
              </w:tc>
              <w:tc>
                <w:tcPr>
                  <w:tcW w:type="auto" w:w="0"/>
                  <w:shd w:val="clear" w:color="auto" w:fill="F0F0F0"/>
                </w:tcPr>
                <w:p>
                  <w:pPr>
                    <w:pStyle w:val="Normal"/>
                    <w:keepLines w:val="on"/>
                  </w:pPr>
                  <w:r>
                    <w:t>1,65%</w:t>
                  </w:r>
                </w:p>
              </w:tc>
              <w:tc>
                <w:tcPr>
                  <w:tcW w:type="auto" w:w="0"/>
                  <w:shd w:val="clear" w:color="auto" w:fill="F0F0F0"/>
                </w:tcPr>
                <w:p>
                  <w:pPr>
                    <w:pStyle w:val="Normal"/>
                    <w:keepLines w:val="on"/>
                  </w:pPr>
                  <w:r>
                    <w:t>4,42%</w:t>
                  </w:r>
                </w:p>
              </w:tc>
              <w:tc>
                <w:tcPr>
                  <w:tcW w:type="auto" w:w="0"/>
                  <w:shd w:val="clear" w:color="auto" w:fill="F0F0F0"/>
                </w:tcPr>
                <w:p>
                  <w:pPr>
                    <w:pStyle w:val="Normal"/>
                    <w:keepLines w:val="on"/>
                  </w:pPr>
                  <w:r>
                    <w:t>4,40%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Số năm tăng trưởng</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5</w:t>
                  </w:r>
                </w:p>
              </w:tc>
              <w:tc>
                <w:tcPr>
                  <w:tcW w:type="auto" w:w="0"/>
                  <w:shd w:val="clear" w:color="auto" w:fill="F0F0F0"/>
                </w:tcPr>
                <w:p>
                  <w:pPr>
                    <w:pStyle w:val="7 Block"/>
                    <w:keepLines w:val="on"/>
                  </w:pPr>
                </w:p>
              </w:tc>
            </w:tr>
            <w:tr>
              <w:tc>
                <w:tcPr>
                  <w:tcW w:type="auto" w:w="0"/>
                  <w:shd w:val="clear" w:color="auto" w:fill="F0F0F0"/>
                </w:tcPr>
                <w:p>
                  <w:pPr>
                    <w:pStyle w:val="Para 46"/>
                    <w:keepLines w:val="on"/>
                  </w:pPr>
                  <w:r>
                    <w:t>Giá trị của công ty</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PV của FCFF trong giai đoạn tăng trưởng cao =</w:t>
                  </w:r>
                </w:p>
              </w:tc>
              <w:tc>
                <w:tcPr>
                  <w:tcW w:type="auto" w:w="0"/>
                  <w:shd w:val="clear" w:color="auto" w:fill="F0F0F0"/>
                </w:tcPr>
                <w:p>
                  <w:pPr>
                    <w:pStyle w:val="Normal"/>
                    <w:keepLines w:val="on"/>
                  </w:pPr>
                  <w:r>
                    <w:t>$11,411.72</w:t>
                  </w:r>
                </w:p>
              </w:tc>
              <w:tc>
                <w:tcPr>
                  <w:tcW w:type="auto" w:w="0"/>
                  <w:shd w:val="clear" w:color="auto" w:fill="F0F0F0"/>
                </w:tcPr>
                <w:p>
                  <w:pPr>
                    <w:pStyle w:val="Normal"/>
                    <w:keepLines w:val="on"/>
                  </w:pPr>
                  <w:r>
                    <w:t>$ 1,715.25</w:t>
                  </w:r>
                </w:p>
              </w:tc>
              <w:tc>
                <w:tcPr>
                  <w:tcW w:type="auto" w:w="0"/>
                  <w:shd w:val="clear" w:color="auto" w:fill="F0F0F0"/>
                </w:tcPr>
                <w:p>
                  <w:pPr>
                    <w:pStyle w:val="Normal"/>
                    <w:keepLines w:val="on"/>
                  </w:pPr>
                  <w:r>
                    <w:t>$1,351.68</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trị cuối kỳ =</w:t>
                  </w:r>
                </w:p>
              </w:tc>
              <w:tc>
                <w:tcPr>
                  <w:tcW w:type="auto" w:w="0"/>
                  <w:shd w:val="clear" w:color="auto" w:fill="F0F0F0"/>
                </w:tcPr>
                <w:p>
                  <w:pPr>
                    <w:pStyle w:val="Normal"/>
                    <w:keepLines w:val="on"/>
                  </w:pPr>
                  <w:r>
                    <w:t>$47,711.04</w:t>
                  </w:r>
                </w:p>
              </w:tc>
              <w:tc>
                <w:tcPr>
                  <w:tcW w:type="auto" w:w="0"/>
                  <w:shd w:val="clear" w:color="auto" w:fill="F0F0F0"/>
                </w:tcPr>
                <w:p>
                  <w:pPr>
                    <w:pStyle w:val="Normal"/>
                    <w:keepLines w:val="on"/>
                  </w:pPr>
                  <w:r>
                    <w:t>$ 15,094.36</w:t>
                  </w:r>
                </w:p>
              </w:tc>
              <w:tc>
                <w:tcPr>
                  <w:tcW w:type="auto" w:w="0"/>
                  <w:shd w:val="clear" w:color="auto" w:fill="F0F0F0"/>
                </w:tcPr>
                <w:p>
                  <w:pPr>
                    <w:pStyle w:val="Normal"/>
                    <w:keepLines w:val="on"/>
                  </w:pPr>
                  <w:r>
                    <w:t>$9,354.28</w:t>
                  </w:r>
                </w:p>
              </w:tc>
              <w:tc>
                <w:tcPr>
                  <w:tcW w:type="auto" w:w="0"/>
                  <w:shd w:val="clear" w:color="auto" w:fill="F0F0F0"/>
                </w:tcPr>
                <w:p>
                  <w:pPr>
                    <w:pStyle w:val="7 Block"/>
                    <w:keepLines w:val="on"/>
                  </w:pPr>
                </w:p>
              </w:tc>
            </w:tr>
            <w:tr>
              <w:tc>
                <w:tcPr>
                  <w:tcW w:type="auto" w:w="0"/>
                  <w:shd w:val="clear" w:color="auto" w:fill="F0F0F0"/>
                </w:tcPr>
                <w:p>
                  <w:pPr>
                    <w:pStyle w:val="Para 51"/>
                    <w:keepLines w:val="on"/>
                  </w:pPr>
                  <w:r>
                    <w:t>Giá trị tài sản hoạt động hiện tại =</w:t>
                  </w:r>
                </w:p>
              </w:tc>
              <w:tc>
                <w:tcPr>
                  <w:tcW w:type="auto" w:w="0"/>
                  <w:shd w:val="clear" w:color="auto" w:fill="F0F0F0"/>
                </w:tcPr>
                <w:p>
                  <w:pPr>
                    <w:pStyle w:val="Para 47"/>
                    <w:keepLines w:val="on"/>
                  </w:pPr>
                  <w:r>
                    <w:t>$43,747.24</w:t>
                  </w:r>
                </w:p>
              </w:tc>
              <w:tc>
                <w:tcPr>
                  <w:tcW w:type="auto" w:w="0"/>
                  <w:shd w:val="clear" w:color="auto" w:fill="F0F0F0"/>
                </w:tcPr>
                <w:p>
                  <w:pPr>
                    <w:pStyle w:val="Para 47"/>
                    <w:keepLines w:val="on"/>
                  </w:pPr>
                  <w:r>
                    <w:t>$12,929.46</w:t>
                  </w:r>
                </w:p>
              </w:tc>
              <w:tc>
                <w:tcPr>
                  <w:tcW w:type="auto" w:w="0"/>
                  <w:shd w:val="clear" w:color="auto" w:fill="F0F0F0"/>
                </w:tcPr>
                <w:p>
                  <w:pPr>
                    <w:pStyle w:val="Para 47"/>
                    <w:keepLines w:val="on"/>
                  </w:pPr>
                  <w:r>
                    <w:t>$7,889.56</w:t>
                  </w:r>
                </w:p>
              </w:tc>
              <w:tc>
                <w:tcPr>
                  <w:tcW w:type="auto" w:w="0"/>
                  <w:shd w:val="clear" w:color="auto" w:fill="F0F0F0"/>
                </w:tcPr>
                <w:p>
                  <w:pPr>
                    <w:pStyle w:val="Para 47"/>
                    <w:keepLines w:val="on"/>
                  </w:pPr>
                  <w:r>
                    <w:t>$64,566.26</w:t>
                  </w:r>
                </w:p>
              </w:tc>
            </w:tr>
            <w:tr>
              <w:tc>
                <w:tcPr>
                  <w:tcW w:type="auto" w:w="0"/>
                  <w:shd w:val="clear" w:color="auto" w:fill="F0F0F0"/>
                </w:tcPr>
                <w:p>
                  <w:pPr>
                    <w:pStyle w:val="Para 02"/>
                    <w:keepLines w:val="on"/>
                  </w:pPr>
                  <w:r>
                    <w:t>+ Tiền mặt</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$1,027.00</w:t>
                  </w:r>
                </w:p>
              </w:tc>
            </w:tr>
            <w:tr>
              <w:tc>
                <w:tcPr>
                  <w:tcW w:type="auto" w:w="0"/>
                  <w:shd w:val="clear" w:color="auto" w:fill="F0F0F0"/>
                </w:tcPr>
                <w:p>
                  <w:pPr>
                    <w:pStyle w:val="Para 02"/>
                    <w:keepLines w:val="on"/>
                  </w:pPr>
                  <w:r>
                    <w:t>− Nợ</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$12,918.00</w:t>
                  </w:r>
                </w:p>
              </w:tc>
            </w:tr>
            <w:tr>
              <w:tc>
                <w:tcPr>
                  <w:tcW w:type="auto" w:w="0"/>
                  <w:shd w:val="clear" w:color="auto" w:fill="F0F0F0"/>
                </w:tcPr>
                <w:p>
                  <w:pPr>
                    <w:pStyle w:val="Para 02"/>
                    <w:keepLines w:val="on"/>
                  </w:pPr>
                  <w:r>
                    <w:t>− Lợi ích cổ đông thiểu số</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$1,183.00</w:t>
                  </w:r>
                </w:p>
              </w:tc>
            </w:tr>
            <w:tr>
              <w:tc>
                <w:tcPr>
                  <w:tcW w:type="auto" w:w="0"/>
                  <w:shd w:val="clear" w:color="auto" w:fill="F0F0F0"/>
                </w:tcPr>
                <w:p>
                  <w:pPr>
                    <w:pStyle w:val="Para 02"/>
                    <w:keepLines w:val="on"/>
                  </w:pPr>
                  <w:r>
                    <w:t>Giá trị vốn chủ sở hữu</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Para 47"/>
                    <w:keepLines w:val="on"/>
                  </w:pPr>
                  <w:r>
                    <w:t>$51,492.26</w:t>
                  </w:r>
                </w:p>
              </w:tc>
            </w:tr>
          </w:tbl>
          <w:p/>
        </w:tc>
      </w:tr>
    </w:tbl>
    <w:p>
      <w:pPr>
        <w:pStyle w:val="Para 04"/>
        <w:keepLines w:val="on"/>
      </w:pPr>
      <w:r>
        <w:t>Như bạn thấy, chúng ta đã dùng phiên bản đơn giản của mô hình định giá doanh nghiệp, với năm năm tăng trưởng phi thường và biên lợi nhuận ổn định cho cả ba phần giá trị của SAB Miller – tài sản hoạt động, liên doanh với Coor's và các khoản nắm giữ trong công ty liên kết. Điều này cho phép chúng ta ước tính tăng trưởng bằng tích của tỷ lệ tái đầu tư hiện có và lợi nhuận trên vốn, và giá trị tổng hợp thu được của tài sản hoạt động là 64,57 tỷ đô la, còn giá trị vốn chủ sở hữu trong doanh nghiệp là 51,49 tỷ đô la.</w:t>
      </w:r>
    </w:p>
    <w:p>
      <w:bookmarkStart w:id="5270" w:name="Value_of_Corporate_Control__Many"/>
      <w:pPr>
        <w:pStyle w:val="Para 21"/>
      </w:pPr>
      <w:r>
        <w:t>Giá trị của Quyền Kiểm soát Doanh nghiệp</w:t>
      </w:r>
      <w:bookmarkEnd w:id="5270"/>
    </w:p>
    <w:p>
      <w:pPr>
        <w:pStyle w:val="Para 03"/>
      </w:pPr>
      <w:r>
        <w:t>Nhiều thương vụ thâu tóm thù địch được biện minh dựa trên sự tồn tại của một thị trường cho quyền kiểm soát doanh nghiệp. Các nhà đầu tư và doanh nghiệp sẵn sàng trả mức phí cao hơn nhiều so với giá thị trường để kiểm soát ban điều hành của doanh nghiệp, đặc biệt là những doanh nghiệp mà họ cho là đang được điều hành kém. Phần này khám phá các yếu tố quyết định giá trị của quyền kiểm soát doanh nghiệp và cố gắng định giá nó trong bối cảnh một thương vụ mua lại.</w:t>
      </w:r>
    </w:p>
    <w:p>
      <w:bookmarkStart w:id="5272" w:name="Determinants_of_the_Value_of_Cor"/>
      <w:pPr>
        <w:pStyle w:val="Para 42"/>
      </w:pPr>
      <w:r>
        <w:t>Các yếu tố quyết định Giá trị của Quyền Kiểm soát Doanh nghiệp</w:t>
      </w:r>
      <w:bookmarkEnd w:id="5272"/>
    </w:p>
    <w:p>
      <w:pPr>
        <w:pStyle w:val="Para 03"/>
      </w:pPr>
      <w:r>
        <w:t>Giá trị của việc giành quyền kiểm soát một doanh nghiệp khỏi ban điều hành đương nhiệm tỷ lệ nghịch với chất lượng được nhìn nhận của ban điều hành đó và khả năng tối đa hóa giá trị doanh nghiệp của họ. Nói chung, giá trị của quyền kiểm soát sẽ lớn hơn nhiều đối với một doanh nghiệp được điều hành kém, hoạt động dưới công suất tối ưu, so với một doanh nghiệp được điều hành tốt.</w:t>
      </w:r>
    </w:p>
    <w:p>
      <w:pPr>
        <w:pStyle w:val="Para 03"/>
      </w:pPr>
      <w:r>
        <w:t>Giá trị của việc kiểm soát một doanh nghiệp đến từ những thay đổi được thực hiện đối với chính sách quản lý hiện có có thể làm tăng giá trị doanh nghiệp. Tài sản có thể được mua lại hoặc thanh lý, cơ cấu tài chính có thể được thay đổi, chính sách cổ tức được đánh giá lại, và doanh nghiệp có thể được tái cấu trúc để tối đa hóa giá trị. Nếu chúng ta có thể xác định những thay đổi mà mình sẽ thực hiện đối với doanh nghiệp mục tiêu, chúng ta có thể định giá quyền kiểm soát. Giá trị của quyền kiểm soát khi đó có thể được viết là:</w:t>
      </w:r>
    </w:p>
    <w:p>
      <w:bookmarkStart w:id="5274" w:name="Valueofcontrol_Valueoffirmoptima"/>
      <w:pPr>
        <w:keepNext/>
        <w:pStyle w:val="Para 09"/>
        <w:keepLines w:val="on"/>
      </w:pPr>
      <w:r>
        <w:t>Valueofcontrol=Valueoffirmoptimallymanaged–Valueoffirmwithcurrentmanagement</w:t>
      </w:r>
      <w:bookmarkEnd w:id="5274"/>
    </w:p>
    <w:p>
      <w:pPr>
        <w:pStyle w:val="Para 03"/>
      </w:pPr>
      <w:r>
        <w:t>Giá trị của quyền kiểm soát là không đáng kể đối với những doanh nghiệp đang hoạt động ở mức hoặc gần mức giá trị tối ưu của chúng, vì việc tái cấu trúc sẽ mang lại ít giá trị gia tăng. Nó có thể đáng kể đối với những doanh nghiệp hoạt động thấp hơn nhiều so với mức tối ưu, vì việc tái cấu trúc có thể dẫn đến sự gia tăng đáng kể về giá trị.</w:t>
      </w:r>
    </w:p>
    <w:p>
      <w:pPr>
        <w:pStyle w:val="Para 11"/>
      </w:pPr>
      <w:r>
        <w:t/>
        <w:t xml:space="preserve"> </w:t>
      </w:r>
    </w:p>
    <w:p>
      <w:bookmarkStart w:id="5275" w:name="ILLUSTRATION_25_2__The_Value_of"/>
      <w:bookmarkStart w:id="5276" w:name="ILLUSTRATION_25_2__The_Value_of_1"/>
      <w:pPr>
        <w:keepNext/>
        <w:pStyle w:val="Para 19"/>
        <w:keepLines w:val="on"/>
      </w:pPr>
      <w:r>
        <w:t>MINH HỌA 25.2: Giá trị của Quyền Kiểm soát tại SAB Miller</w:t>
      </w:r>
      <w:bookmarkEnd w:id="5275"/>
      <w:bookmarkEnd w:id="5276"/>
    </w:p>
    <w:p>
      <w:pPr>
        <w:pStyle w:val="Para 04"/>
        <w:keepLines w:val="on"/>
      </w:pPr>
      <w:r>
        <w:t>Chúng ta đã nói trước đó rằng một trong những lý do SAB Miller có thể đã bị Inbev nhắm đến là vì tiềm năng tạo ra giá trị cao hơn từ việc điều hành hoạt động của công ty này hiệu quả hơn. Niềm tin này có cơ sở, vì Inbev đã từng làm được điều tương tự tại Modela, hãng bia Mexico, trong một thương vụ mua lại trước đó. Để đánh giá tiềm năng thay đổi giá trị tại SAB Miller, chúng ta sẽ dùng mức trung bình của ngành làm đại diện thô cho mức tối ưu, và giả định rằng SAB Miller khi được điều hành hiệu quả hơn sẽ nâng tỷ lệ nợ của mình từ 14,67% (hiện trạng) lên 18,82% (trung bình ngành), đồng thời cũng có thể nâng biên lợi nhuận hoạt động và lợi nhuận trên vốn đầu tư lên mức trung bình ngành. Giá trị của quyền kiểm soát khi đó có thể được tính trong Bảng 25.3:</w:t>
      </w:r>
    </w:p>
    <w:p>
      <w:pPr>
        <w:pStyle w:val="Para 25"/>
        <w:keepLines w:val="on"/>
      </w:pPr>
      <w:r>
        <w:t>Bảng 25.3</w:t>
      </w:r>
    </w:p>
    <w:p>
      <w:pPr>
        <w:keepNext/>
        <w:pStyle w:val="Para 24"/>
        <w:keepLines w:val="on"/>
      </w:pPr>
      <w:r>
        <w:t>Giá trị của Quyền Kiểm soát tại SAB Miller</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Giá trị Hiện trạng</w:t>
                  </w:r>
                </w:p>
              </w:tc>
              <w:tc>
                <w:tcPr>
                  <w:tcW w:type="auto" w:w="0"/>
                  <w:shd w:val="clear" w:color="auto" w:fill="F0F0F0"/>
                </w:tcPr>
                <w:p>
                  <w:pPr>
                    <w:pStyle w:val="Para 05"/>
                    <w:keepLines w:val="on"/>
                  </w:pPr>
                  <w:r>
                    <w:t>Đã tái cấu trúc</w:t>
                  </w:r>
                </w:p>
              </w:tc>
              <w:tc>
                <w:tcPr>
                  <w:tcW w:type="auto" w:w="0"/>
                  <w:shd w:val="clear" w:color="auto" w:fill="F0F0F0"/>
                </w:tcPr>
                <w:p>
                  <w:pPr>
                    <w:pStyle w:val="Para 32"/>
                    <w:keepLines w:val="on"/>
                  </w:pPr>
                  <w:r>
                    <w:t>Những thay đổi được thực hiện</w:t>
                  </w:r>
                </w:p>
              </w:tc>
            </w:tr>
            <w:tr>
              <w:tc>
                <w:tcPr>
                  <w:tcW w:type="auto" w:w="0"/>
                  <w:shd w:val="clear" w:color="auto" w:fill="F0F0F0"/>
                </w:tcPr>
                <w:p>
                  <w:pPr>
                    <w:pStyle w:val="Para 02"/>
                    <w:keepLines w:val="on"/>
                  </w:pPr>
                  <w:r>
                    <w:t>Chi phí Vốn chủ sở hữu =</w:t>
                  </w:r>
                </w:p>
              </w:tc>
              <w:tc>
                <w:tcPr>
                  <w:tcW w:type="auto" w:w="0"/>
                  <w:shd w:val="clear" w:color="auto" w:fill="F0F0F0"/>
                </w:tcPr>
                <w:p>
                  <w:pPr>
                    <w:pStyle w:val="Normal"/>
                    <w:keepLines w:val="on"/>
                  </w:pPr>
                  <w:r>
                    <w:t>9,10%</w:t>
                  </w:r>
                </w:p>
              </w:tc>
              <w:tc>
                <w:tcPr>
                  <w:tcW w:type="auto" w:w="0"/>
                  <w:shd w:val="clear" w:color="auto" w:fill="F0F0F0"/>
                </w:tcPr>
                <w:p>
                  <w:pPr>
                    <w:pStyle w:val="Normal"/>
                    <w:keepLines w:val="on"/>
                  </w:pPr>
                  <w:r>
                    <w:t>9,37%</w:t>
                  </w:r>
                </w:p>
              </w:tc>
              <w:tc>
                <w:tcPr>
                  <w:tcW w:type="auto" w:w="0"/>
                  <w:shd w:val="clear" w:color="auto" w:fill="F0F0F0"/>
                </w:tcPr>
                <w:p>
                  <w:pPr>
                    <w:pStyle w:val="Para 02"/>
                    <w:keepLines w:val="on"/>
                  </w:pPr>
                  <w:r>
                    <w:t>Tăng theo tỷ lệ nợ</w:t>
                  </w:r>
                </w:p>
              </w:tc>
            </w:tr>
            <w:tr>
              <w:tc>
                <w:tcPr>
                  <w:tcW w:type="auto" w:w="0"/>
                  <w:shd w:val="clear" w:color="auto" w:fill="F0F0F0"/>
                </w:tcPr>
                <w:p>
                  <w:pPr>
                    <w:pStyle w:val="Para 02"/>
                    <w:keepLines w:val="on"/>
                  </w:pPr>
                  <w:r>
                    <w:t>Chi phí nợ sau thuế =</w:t>
                  </w:r>
                </w:p>
              </w:tc>
              <w:tc>
                <w:tcPr>
                  <w:tcW w:type="auto" w:w="0"/>
                  <w:shd w:val="clear" w:color="auto" w:fill="F0F0F0"/>
                </w:tcPr>
                <w:p>
                  <w:pPr>
                    <w:pStyle w:val="Normal"/>
                    <w:keepLines w:val="on"/>
                  </w:pPr>
                  <w:r>
                    <w:t>2,24%</w:t>
                  </w:r>
                </w:p>
              </w:tc>
              <w:tc>
                <w:tcPr>
                  <w:tcW w:type="auto" w:w="0"/>
                  <w:shd w:val="clear" w:color="auto" w:fill="F0F0F0"/>
                </w:tcPr>
                <w:p>
                  <w:pPr>
                    <w:pStyle w:val="Normal"/>
                    <w:keepLines w:val="on"/>
                  </w:pPr>
                  <w:r>
                    <w:t>2,24%</w:t>
                  </w:r>
                </w:p>
              </w:tc>
              <w:tc>
                <w:tcPr>
                  <w:tcW w:type="auto" w:w="0"/>
                  <w:shd w:val="clear" w:color="auto" w:fill="F0F0F0"/>
                </w:tcPr>
                <w:p>
                  <w:pPr>
                    <w:pStyle w:val="Para 02"/>
                    <w:keepLines w:val="on"/>
                  </w:pPr>
                  <w:r>
                    <w:t>Giữ nguyên không đổi</w:t>
                  </w:r>
                </w:p>
              </w:tc>
            </w:tr>
            <w:tr>
              <w:tc>
                <w:tcPr>
                  <w:tcW w:type="auto" w:w="0"/>
                  <w:shd w:val="clear" w:color="auto" w:fill="F0F0F0"/>
                </w:tcPr>
                <w:p>
                  <w:pPr>
                    <w:pStyle w:val="Para 02"/>
                    <w:keepLines w:val="on"/>
                  </w:pPr>
                  <w:r>
                    <w:t>Tỷ lệ Nợ trên Vốn</w:t>
                  </w:r>
                </w:p>
              </w:tc>
              <w:tc>
                <w:tcPr>
                  <w:tcW w:type="auto" w:w="0"/>
                  <w:shd w:val="clear" w:color="auto" w:fill="F0F0F0"/>
                </w:tcPr>
                <w:p>
                  <w:pPr>
                    <w:pStyle w:val="Normal"/>
                    <w:keepLines w:val="on"/>
                  </w:pPr>
                  <w:r>
                    <w:t>14,67%</w:t>
                  </w:r>
                </w:p>
              </w:tc>
              <w:tc>
                <w:tcPr>
                  <w:tcW w:type="auto" w:w="0"/>
                  <w:shd w:val="clear" w:color="auto" w:fill="F0F0F0"/>
                </w:tcPr>
                <w:p>
                  <w:pPr>
                    <w:pStyle w:val="Normal"/>
                    <w:keepLines w:val="on"/>
                  </w:pPr>
                  <w:r>
                    <w:t>18,82%</w:t>
                  </w:r>
                </w:p>
              </w:tc>
              <w:tc>
                <w:tcPr>
                  <w:tcW w:type="auto" w:w="0"/>
                  <w:shd w:val="clear" w:color="auto" w:fill="F0F0F0"/>
                </w:tcPr>
                <w:p>
                  <w:pPr>
                    <w:pStyle w:val="Para 02"/>
                    <w:keepLines w:val="on"/>
                  </w:pPr>
                  <w:r>
                    <w:t>Đặt theo mức trung bình ngành</w:t>
                  </w:r>
                </w:p>
              </w:tc>
            </w:tr>
            <w:tr>
              <w:tc>
                <w:tcPr>
                  <w:tcW w:type="auto" w:w="0"/>
                  <w:shd w:val="clear" w:color="auto" w:fill="F0F0F0"/>
                </w:tcPr>
                <w:p>
                  <w:pPr>
                    <w:pStyle w:val="Para 02"/>
                    <w:keepLines w:val="on"/>
                  </w:pPr>
                  <w:r>
                    <w:t>Chi phí vốn =</w:t>
                  </w:r>
                </w:p>
              </w:tc>
              <w:tc>
                <w:tcPr>
                  <w:tcW w:type="auto" w:w="0"/>
                  <w:shd w:val="clear" w:color="auto" w:fill="F0F0F0"/>
                </w:tcPr>
                <w:p>
                  <w:pPr>
                    <w:pStyle w:val="Normal"/>
                    <w:keepLines w:val="on"/>
                  </w:pPr>
                  <w:r>
                    <w:t>8,09%</w:t>
                  </w:r>
                </w:p>
              </w:tc>
              <w:tc>
                <w:tcPr>
                  <w:tcW w:type="auto" w:w="0"/>
                  <w:shd w:val="clear" w:color="auto" w:fill="F0F0F0"/>
                </w:tcPr>
                <w:p>
                  <w:pPr>
                    <w:pStyle w:val="Normal"/>
                    <w:keepLines w:val="on"/>
                  </w:pPr>
                  <w:r>
                    <w:t>8,03%</w:t>
                  </w:r>
                </w:p>
              </w:tc>
              <w:tc>
                <w:tcPr>
                  <w:tcW w:type="auto" w:w="0"/>
                  <w:shd w:val="clear" w:color="auto" w:fill="F0F0F0"/>
                </w:tcPr>
                <w:p>
                  <w:pPr>
                    <w:pStyle w:val="Para 02"/>
                    <w:keepLines w:val="on"/>
                  </w:pPr>
                  <w:r>
                    <w:t>Do thay đổi tỷ lệ nợ</w:t>
                  </w:r>
                </w:p>
              </w:tc>
            </w:tr>
            <w:tr>
              <w:tc>
                <w:tcPr>
                  <w:tcW w:type="auto" w:w="0"/>
                  <w:shd w:val="clear" w:color="auto" w:fill="F0F0F0"/>
                </w:tcPr>
                <w:p>
                  <w:pPr>
                    <w:pStyle w:val="Para 02"/>
                    <w:keepLines w:val="on"/>
                  </w:pPr>
                  <w:r>
                    <w:t>Lợi nhuận trên vốn trước thuế</w:t>
                  </w:r>
                </w:p>
              </w:tc>
              <w:tc>
                <w:tcPr>
                  <w:tcW w:type="auto" w:w="0"/>
                  <w:shd w:val="clear" w:color="auto" w:fill="F0F0F0"/>
                </w:tcPr>
                <w:p>
                  <w:pPr>
                    <w:pStyle w:val="Normal"/>
                    <w:keepLines w:val="on"/>
                  </w:pPr>
                  <w:r>
                    <w:t>14,02%</w:t>
                  </w:r>
                </w:p>
              </w:tc>
              <w:tc>
                <w:tcPr>
                  <w:tcW w:type="auto" w:w="0"/>
                  <w:shd w:val="clear" w:color="auto" w:fill="F0F0F0"/>
                </w:tcPr>
                <w:p>
                  <w:pPr>
                    <w:pStyle w:val="Normal"/>
                    <w:keepLines w:val="on"/>
                  </w:pPr>
                  <w:r>
                    <w:t>17,16%</w:t>
                  </w:r>
                </w:p>
              </w:tc>
              <w:tc>
                <w:tcPr>
                  <w:tcW w:type="auto" w:w="0"/>
                  <w:shd w:val="clear" w:color="auto" w:fill="F0F0F0"/>
                </w:tcPr>
                <w:p>
                  <w:pPr>
                    <w:pStyle w:val="Para 02"/>
                    <w:keepLines w:val="on"/>
                  </w:pPr>
                  <w:r>
                    <w:t>Đặt theo mức trung bình ngành</w:t>
                  </w:r>
                </w:p>
              </w:tc>
            </w:tr>
            <w:tr>
              <w:tc>
                <w:tcPr>
                  <w:tcW w:type="auto" w:w="0"/>
                  <w:shd w:val="clear" w:color="auto" w:fill="F0F0F0"/>
                </w:tcPr>
                <w:p>
                  <w:pPr>
                    <w:pStyle w:val="Para 02"/>
                    <w:keepLines w:val="on"/>
                  </w:pPr>
                  <w:r>
                    <w:t>Lợi nhuận trên vốn sau thuế =</w:t>
                  </w:r>
                </w:p>
              </w:tc>
              <w:tc>
                <w:tcPr>
                  <w:tcW w:type="auto" w:w="0"/>
                  <w:shd w:val="clear" w:color="auto" w:fill="F0F0F0"/>
                </w:tcPr>
                <w:p>
                  <w:pPr>
                    <w:pStyle w:val="Normal"/>
                    <w:keepLines w:val="on"/>
                  </w:pPr>
                  <w:r>
                    <w:t>10,33%</w:t>
                  </w:r>
                </w:p>
              </w:tc>
              <w:tc>
                <w:tcPr>
                  <w:tcW w:type="auto" w:w="0"/>
                  <w:shd w:val="clear" w:color="auto" w:fill="F0F0F0"/>
                </w:tcPr>
                <w:p>
                  <w:pPr>
                    <w:pStyle w:val="Normal"/>
                    <w:keepLines w:val="on"/>
                  </w:pPr>
                  <w:r>
                    <w:t>12,64%</w:t>
                  </w:r>
                </w:p>
              </w:tc>
              <w:tc>
                <w:tcPr>
                  <w:tcW w:type="auto" w:w="0"/>
                  <w:shd w:val="clear" w:color="auto" w:fill="F0F0F0"/>
                </w:tcPr>
                <w:p>
                  <w:pPr>
                    <w:pStyle w:val="Para 02"/>
                    <w:keepLines w:val="on"/>
                  </w:pPr>
                  <w:r>
                    <w:t>Kết quả từ thay đổi ROIC trước thuế</w:t>
                  </w:r>
                </w:p>
              </w:tc>
            </w:tr>
            <w:tr>
              <w:tc>
                <w:tcPr>
                  <w:tcW w:type="auto" w:w="0"/>
                  <w:shd w:val="clear" w:color="auto" w:fill="F0F0F0"/>
                </w:tcPr>
                <w:p>
                  <w:pPr>
                    <w:pStyle w:val="Para 02"/>
                    <w:keepLines w:val="on"/>
                  </w:pPr>
                  <w:r>
                    <w:t>Tỷ lệ tái đầu tư =</w:t>
                  </w:r>
                </w:p>
              </w:tc>
              <w:tc>
                <w:tcPr>
                  <w:tcW w:type="auto" w:w="0"/>
                  <w:shd w:val="clear" w:color="auto" w:fill="F0F0F0"/>
                </w:tcPr>
                <w:p>
                  <w:pPr>
                    <w:pStyle w:val="Normal"/>
                    <w:keepLines w:val="on"/>
                  </w:pPr>
                  <w:r>
                    <w:t>16,02%</w:t>
                  </w:r>
                </w:p>
              </w:tc>
              <w:tc>
                <w:tcPr>
                  <w:tcW w:type="auto" w:w="0"/>
                  <w:shd w:val="clear" w:color="auto" w:fill="F0F0F0"/>
                </w:tcPr>
                <w:p>
                  <w:pPr>
                    <w:pStyle w:val="Normal"/>
                    <w:keepLines w:val="on"/>
                  </w:pPr>
                  <w:r>
                    <w:t>33,29%</w:t>
                  </w:r>
                </w:p>
              </w:tc>
              <w:tc>
                <w:tcPr>
                  <w:tcW w:type="auto" w:w="0"/>
                  <w:shd w:val="clear" w:color="auto" w:fill="F0F0F0"/>
                </w:tcPr>
                <w:p>
                  <w:pPr>
                    <w:pStyle w:val="Para 02"/>
                    <w:keepLines w:val="on"/>
                  </w:pPr>
                  <w:r>
                    <w:t>Đặt theo mức trung bình ngành</w:t>
                  </w:r>
                </w:p>
              </w:tc>
            </w:tr>
            <w:tr>
              <w:tc>
                <w:tcPr>
                  <w:tcW w:type="auto" w:w="0"/>
                  <w:shd w:val="clear" w:color="auto" w:fill="F0F0F0"/>
                </w:tcPr>
                <w:p>
                  <w:pPr>
                    <w:pStyle w:val="Para 02"/>
                    <w:keepLines w:val="on"/>
                  </w:pPr>
                  <w:r>
                    <w:t>Tốc độ tăng trưởng kỳ vọng =</w:t>
                  </w:r>
                </w:p>
              </w:tc>
              <w:tc>
                <w:tcPr>
                  <w:tcW w:type="auto" w:w="0"/>
                  <w:shd w:val="clear" w:color="auto" w:fill="F0F0F0"/>
                </w:tcPr>
                <w:p>
                  <w:pPr>
                    <w:pStyle w:val="Normal"/>
                    <w:keepLines w:val="on"/>
                  </w:pPr>
                  <w:r>
                    <w:t>1,65%</w:t>
                  </w:r>
                </w:p>
              </w:tc>
              <w:tc>
                <w:tcPr>
                  <w:tcW w:type="auto" w:w="0"/>
                  <w:shd w:val="clear" w:color="auto" w:fill="F0F0F0"/>
                </w:tcPr>
                <w:p>
                  <w:pPr>
                    <w:pStyle w:val="Normal"/>
                    <w:keepLines w:val="on"/>
                  </w:pPr>
                  <w:r>
                    <w:t>4,21%</w:t>
                  </w:r>
                </w:p>
              </w:tc>
              <w:tc>
                <w:tcPr>
                  <w:tcW w:type="auto" w:w="0"/>
                  <w:shd w:val="clear" w:color="auto" w:fill="F0F0F0"/>
                </w:tcPr>
                <w:p>
                  <w:pPr>
                    <w:pStyle w:val="Para 02"/>
                    <w:keepLines w:val="on"/>
                  </w:pPr>
                  <w:r>
                    <w:t>Kết quả từ tái đầu tư/ROIC</w:t>
                  </w:r>
                </w:p>
              </w:tc>
            </w:tr>
            <w:tr>
              <w:tc>
                <w:tcPr>
                  <w:tcW w:type="auto" w:w="0"/>
                  <w:shd w:val="clear" w:color="auto" w:fill="F0F0F0"/>
                </w:tcPr>
                <w:p>
                  <w:pPr>
                    <w:pStyle w:val="Para 46"/>
                    <w:keepLines w:val="on"/>
                  </w:pPr>
                  <w:r>
                    <w:t>Giá trị doanh nghiệp</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5 Block"/>
                    <w:keepLines w:val="on"/>
                  </w:pPr>
                </w:p>
              </w:tc>
            </w:tr>
            <w:tr>
              <w:tc>
                <w:tcPr>
                  <w:tcW w:type="auto" w:w="0"/>
                  <w:shd w:val="clear" w:color="auto" w:fill="F0F0F0"/>
                </w:tcPr>
                <w:p>
                  <w:pPr>
                    <w:pStyle w:val="Para 02"/>
                    <w:keepLines w:val="on"/>
                  </w:pPr>
                  <w:r>
                    <w:t>Giá trị hiện tại của FCFF trong giai đoạn tăng trưởng cao</w:t>
                  </w:r>
                </w:p>
              </w:tc>
              <w:tc>
                <w:tcPr>
                  <w:tcW w:type="auto" w:w="0"/>
                  <w:shd w:val="clear" w:color="auto" w:fill="F0F0F0"/>
                </w:tcPr>
                <w:p>
                  <w:pPr>
                    <w:pStyle w:val="Normal"/>
                    <w:keepLines w:val="on"/>
                  </w:pPr>
                  <w:r>
                    <w:t>$11.411,72</w:t>
                  </w:r>
                </w:p>
              </w:tc>
              <w:tc>
                <w:tcPr>
                  <w:tcW w:type="auto" w:w="0"/>
                  <w:shd w:val="clear" w:color="auto" w:fill="F0F0F0"/>
                </w:tcPr>
                <w:p>
                  <w:pPr>
                    <w:pStyle w:val="Normal"/>
                    <w:keepLines w:val="on"/>
                  </w:pPr>
                  <w:r>
                    <w:t>$9.757,08</w:t>
                  </w:r>
                </w:p>
              </w:tc>
              <w:tc>
                <w:tcPr>
                  <w:tcW w:type="auto" w:w="0"/>
                  <w:shd w:val="clear" w:color="auto" w:fill="F0F0F0"/>
                </w:tcPr>
                <w:p>
                  <w:pPr>
                    <w:pStyle w:val="5 Block"/>
                    <w:keepLines w:val="on"/>
                  </w:pPr>
                </w:p>
              </w:tc>
            </w:tr>
            <w:tr>
              <w:tc>
                <w:tcPr>
                  <w:tcW w:type="auto" w:w="0"/>
                  <w:shd w:val="clear" w:color="auto" w:fill="F0F0F0"/>
                </w:tcPr>
                <w:p>
                  <w:pPr>
                    <w:pStyle w:val="Para 02"/>
                    <w:keepLines w:val="on"/>
                  </w:pPr>
                  <w:r>
                    <w:t>Giá trị cuối kỳ</w:t>
                  </w:r>
                </w:p>
              </w:tc>
              <w:tc>
                <w:tcPr>
                  <w:tcW w:type="auto" w:w="0"/>
                  <w:shd w:val="clear" w:color="auto" w:fill="F0F0F0"/>
                </w:tcPr>
                <w:p>
                  <w:pPr>
                    <w:pStyle w:val="Normal"/>
                    <w:keepLines w:val="on"/>
                  </w:pPr>
                  <w:r>
                    <w:t>$47.711,04</w:t>
                  </w:r>
                </w:p>
              </w:tc>
              <w:tc>
                <w:tcPr>
                  <w:tcW w:type="auto" w:w="0"/>
                  <w:shd w:val="clear" w:color="auto" w:fill="F0F0F0"/>
                </w:tcPr>
                <w:p>
                  <w:pPr>
                    <w:pStyle w:val="Normal"/>
                    <w:keepLines w:val="on"/>
                  </w:pPr>
                  <w:r>
                    <w:t>$56.935,06</w:t>
                  </w:r>
                </w:p>
              </w:tc>
              <w:tc>
                <w:tcPr>
                  <w:tcW w:type="auto" w:w="0"/>
                  <w:shd w:val="clear" w:color="auto" w:fill="F0F0F0"/>
                </w:tcPr>
                <w:p>
                  <w:pPr>
                    <w:pStyle w:val="Para 87"/>
                    <w:keepLines w:val="on"/>
                  </w:pPr>
                  <w:r>
                    <w:t>Giá trị của quyền kiểm soát</w:t>
                  </w:r>
                </w:p>
              </w:tc>
            </w:tr>
            <w:tr>
              <w:tc>
                <w:tcPr>
                  <w:tcW w:type="auto" w:w="0"/>
                  <w:shd w:val="clear" w:color="auto" w:fill="F0F0F0"/>
                </w:tcPr>
                <w:p>
                  <w:pPr>
                    <w:pStyle w:val="Para 51"/>
                    <w:keepLines w:val="on"/>
                  </w:pPr>
                  <w:r>
                    <w:t>Giá trị tài sản hoạt động</w:t>
                  </w:r>
                </w:p>
              </w:tc>
              <w:tc>
                <w:tcPr>
                  <w:tcW w:type="auto" w:w="0"/>
                  <w:shd w:val="clear" w:color="auto" w:fill="F0F0F0"/>
                </w:tcPr>
                <w:p>
                  <w:pPr>
                    <w:pStyle w:val="Para 47"/>
                    <w:keepLines w:val="on"/>
                  </w:pPr>
                  <w:r>
                    <w:t>$43.747,24</w:t>
                  </w:r>
                </w:p>
              </w:tc>
              <w:tc>
                <w:tcPr>
                  <w:tcW w:type="auto" w:w="0"/>
                  <w:shd w:val="clear" w:color="auto" w:fill="F0F0F0"/>
                </w:tcPr>
                <w:p>
                  <w:pPr>
                    <w:pStyle w:val="Para 47"/>
                    <w:keepLines w:val="on"/>
                  </w:pPr>
                  <w:r>
                    <w:t>$48.449,42</w:t>
                  </w:r>
                </w:p>
              </w:tc>
              <w:tc>
                <w:tcPr>
                  <w:tcW w:type="auto" w:w="0"/>
                  <w:shd w:val="clear" w:color="auto" w:fill="F0F0F0"/>
                </w:tcPr>
                <w:p>
                  <w:pPr>
                    <w:pStyle w:val="Para 47"/>
                    <w:keepLines w:val="on"/>
                  </w:pPr>
                  <w:r>
                    <w:t>$4.702,17</w:t>
                  </w:r>
                </w:p>
              </w:tc>
            </w:tr>
            <w:tr>
              <w:tc>
                <w:tcPr>
                  <w:tcW w:type="auto" w:w="0"/>
                  <w:shd w:val="clear" w:color="auto" w:fill="F0F0F0"/>
                </w:tcPr>
                <w:p>
                  <w:pPr>
                    <w:pStyle w:val="Para 02"/>
                    <w:keepLines w:val="on"/>
                  </w:pPr>
                  <w:r>
                    <w:t>+ Tiền mặt</w:t>
                  </w:r>
                </w:p>
              </w:tc>
              <w:tc>
                <w:tcPr>
                  <w:tcW w:type="auto" w:w="0"/>
                  <w:shd w:val="clear" w:color="auto" w:fill="F0F0F0"/>
                </w:tcPr>
                <w:p>
                  <w:pPr>
                    <w:pStyle w:val="Normal"/>
                    <w:keepLines w:val="on"/>
                  </w:pPr>
                  <w:r>
                    <w:t>$1.027,00</w:t>
                  </w:r>
                </w:p>
              </w:tc>
              <w:tc>
                <w:tcPr>
                  <w:tcW w:type="auto" w:w="0"/>
                  <w:shd w:val="clear" w:color="auto" w:fill="F0F0F0"/>
                </w:tcPr>
                <w:p>
                  <w:pPr>
                    <w:pStyle w:val="Normal"/>
                    <w:keepLines w:val="on"/>
                  </w:pPr>
                  <w:r>
                    <w:t>$1.027,00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 Cổ phần thiểu số nắm giữ</w:t>
                  </w:r>
                </w:p>
              </w:tc>
              <w:tc>
                <w:tcPr>
                  <w:tcW w:type="auto" w:w="0"/>
                  <w:shd w:val="clear" w:color="auto" w:fill="F0F0F0"/>
                </w:tcPr>
                <w:p>
                  <w:pPr>
                    <w:pStyle w:val="Normal"/>
                    <w:keepLines w:val="on"/>
                  </w:pPr>
                  <w:r>
                    <w:t>$20.819,02</w:t>
                  </w:r>
                </w:p>
              </w:tc>
              <w:tc>
                <w:tcPr>
                  <w:tcW w:type="auto" w:w="0"/>
                  <w:shd w:val="clear" w:color="auto" w:fill="F0F0F0"/>
                </w:tcPr>
                <w:p>
                  <w:pPr>
                    <w:pStyle w:val="Normal"/>
                    <w:keepLines w:val="on"/>
                  </w:pPr>
                  <w:r>
                    <w:t>$20.819,02</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 Nợ</w:t>
                  </w:r>
                </w:p>
              </w:tc>
              <w:tc>
                <w:tcPr>
                  <w:tcW w:type="auto" w:w="0"/>
                  <w:shd w:val="clear" w:color="auto" w:fill="F0F0F0"/>
                </w:tcPr>
                <w:p>
                  <w:pPr>
                    <w:pStyle w:val="Normal"/>
                    <w:keepLines w:val="on"/>
                  </w:pPr>
                  <w:r>
                    <w:t>$12.918,00</w:t>
                  </w:r>
                </w:p>
              </w:tc>
              <w:tc>
                <w:tcPr>
                  <w:tcW w:type="auto" w:w="0"/>
                  <w:shd w:val="clear" w:color="auto" w:fill="F0F0F0"/>
                </w:tcPr>
                <w:p>
                  <w:pPr>
                    <w:pStyle w:val="Normal"/>
                    <w:keepLines w:val="on"/>
                  </w:pPr>
                  <w:r>
                    <w:t>$12.918,00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 Lợi ích cổ đông thiểu số</w:t>
                  </w:r>
                </w:p>
              </w:tc>
              <w:tc>
                <w:tcPr>
                  <w:tcW w:type="auto" w:w="0"/>
                  <w:shd w:val="clear" w:color="auto" w:fill="F0F0F0"/>
                </w:tcPr>
                <w:p>
                  <w:pPr>
                    <w:pStyle w:val="Normal"/>
                    <w:keepLines w:val="on"/>
                  </w:pPr>
                  <w:r>
                    <w:t>$1.183,00</w:t>
                  </w:r>
                </w:p>
              </w:tc>
              <w:tc>
                <w:tcPr>
                  <w:tcW w:type="auto" w:w="0"/>
                  <w:shd w:val="clear" w:color="auto" w:fill="F0F0F0"/>
                </w:tcPr>
                <w:p>
                  <w:pPr>
                    <w:pStyle w:val="Normal"/>
                    <w:keepLines w:val="on"/>
                  </w:pPr>
                  <w:r>
                    <w:t>$1.183,00</w:t>
                  </w:r>
                </w:p>
              </w:tc>
              <w:tc>
                <w:tcPr>
                  <w:tcW w:type="auto" w:w="0"/>
                  <w:shd w:val="clear" w:color="auto" w:fill="F0F0F0"/>
                </w:tcPr>
                <w:p>
                  <w:pPr>
                    <w:pStyle w:val="7 Block"/>
                    <w:keepLines w:val="on"/>
                  </w:pPr>
                </w:p>
              </w:tc>
            </w:tr>
            <w:tr>
              <w:tc>
                <w:tcPr>
                  <w:tcW w:type="auto" w:w="0"/>
                  <w:shd w:val="clear" w:color="auto" w:fill="F0F0F0"/>
                </w:tcPr>
                <w:p>
                  <w:pPr>
                    <w:pStyle w:val="Para 51"/>
                    <w:keepLines w:val="on"/>
                  </w:pPr>
                  <w:r>
                    <w:t>Giá trị vốn chủ sở hữu</w:t>
                  </w:r>
                </w:p>
              </w:tc>
              <w:tc>
                <w:tcPr>
                  <w:tcW w:type="auto" w:w="0"/>
                  <w:shd w:val="clear" w:color="auto" w:fill="F0F0F0"/>
                </w:tcPr>
                <w:p>
                  <w:pPr>
                    <w:pStyle w:val="Para 47"/>
                    <w:keepLines w:val="on"/>
                  </w:pPr>
                  <w:r>
                    <w:t>$51.492,26</w:t>
                  </w:r>
                </w:p>
              </w:tc>
              <w:tc>
                <w:tcPr>
                  <w:tcW w:type="auto" w:w="0"/>
                  <w:shd w:val="clear" w:color="auto" w:fill="F0F0F0"/>
                </w:tcPr>
                <w:p>
                  <w:pPr>
                    <w:pStyle w:val="Para 47"/>
                    <w:keepLines w:val="on"/>
                  </w:pPr>
                  <w:r>
                    <w:t>$56.194,44</w:t>
                  </w:r>
                </w:p>
              </w:tc>
              <w:tc>
                <w:tcPr>
                  <w:tcW w:type="auto" w:w="0"/>
                  <w:shd w:val="clear" w:color="auto" w:fill="F0F0F0"/>
                </w:tcPr>
                <w:p>
                  <w:pPr>
                    <w:pStyle w:val="7 Block"/>
                    <w:keepLines w:val="on"/>
                  </w:pPr>
                </w:p>
              </w:tc>
            </w:tr>
          </w:tbl>
          <w:p/>
        </w:tc>
      </w:tr>
    </w:tbl>
    <w:p>
      <w:pPr>
        <w:pStyle w:val="Para 04"/>
        <w:keepLines w:val="on"/>
      </w:pPr>
      <w:r>
        <w:t>Chi phí vốn thấp hơn và tốc độ tăng trưởng cao hơn làm tăng giá trị tài sản hoạt động từ 43,7 tỷ đô la lên 48,5 tỷ đô la, rồi lên 48,5 tỷ đô la. Sau đó, chúng ta có thể ước tính giá trị của quyền kiểm soát:</w:t>
      </w:r>
    </w:p>
    <w:p>
      <w:pPr>
        <w:pStyle w:val="Para 18"/>
        <w:keepLines w:val="on"/>
      </w:pPr>
      <w:r>
        <w:t/>
      </w:r>
    </w:p>
    <w:tbl>
      <w:tblPr>
        <w:tblW w:type="auto" w:w="0"/>
      </w:tblPr>
      <w:tr>
        <w:tc>
          <w:tcPr>
            <w:tcW w:type="auto" w:w="0"/>
          </w:tcPr>
          <w:tbl>
            <w:tblPr>
              <w:tblW w:type="auto" w:w="0"/>
            </w:tblPr>
            <w:tr>
              <w:tc>
                <w:tcPr>
                  <w:tcW w:type="auto" w:w="0"/>
                  <w:shd w:val="clear" w:color="auto" w:fill="F0F0F0"/>
                </w:tcPr>
                <w:p>
                  <w:pPr>
                    <w:pStyle w:val="Para 02"/>
                    <w:keepLines w:val="on"/>
                  </w:pPr>
                  <w:r>
                    <w:t>Giá trị tài sản hoạt động (được quản lý tối ưu) =</w:t>
                  </w:r>
                </w:p>
              </w:tc>
              <w:tc>
                <w:tcPr>
                  <w:tcW w:type="auto" w:w="0"/>
                  <w:shd w:val="clear" w:color="auto" w:fill="F0F0F0"/>
                </w:tcPr>
                <w:p>
                  <w:pPr>
                    <w:pStyle w:val="Para 02"/>
                    <w:keepLines w:val="on"/>
                  </w:pPr>
                  <w:r>
                    <w:t>48.449 triệu đô la</w:t>
                  </w:r>
                </w:p>
              </w:tc>
            </w:tr>
            <w:tr>
              <w:tc>
                <w:tcPr>
                  <w:tcW w:type="auto" w:w="0"/>
                  <w:shd w:val="clear" w:color="auto" w:fill="F0F0F0"/>
                </w:tcPr>
                <w:p>
                  <w:pPr>
                    <w:pStyle w:val="Para 02"/>
                    <w:keepLines w:val="on"/>
                  </w:pPr>
                  <w:r>
                    <w:t>Giá trị tài sản hoạt động (nguyên trạng) =</w:t>
                  </w:r>
                </w:p>
              </w:tc>
              <w:tc>
                <w:tcPr>
                  <w:tcW w:type="auto" w:w="0"/>
                  <w:shd w:val="clear" w:color="auto" w:fill="F0F0F0"/>
                </w:tcPr>
                <w:p>
                  <w:pPr>
                    <w:pStyle w:val="Para 02"/>
                    <w:keepLines w:val="on"/>
                  </w:pPr>
                  <w:r>
                    <w:t>43.747 triệu đô la</w:t>
                  </w:r>
                </w:p>
              </w:tc>
            </w:tr>
            <w:tr>
              <w:tc>
                <w:tcPr>
                  <w:tcW w:type="auto" w:w="0"/>
                  <w:shd w:val="clear" w:color="auto" w:fill="F0F0F0"/>
                </w:tcPr>
                <w:p>
                  <w:pPr>
                    <w:pStyle w:val="Para 02"/>
                    <w:keepLines w:val="on"/>
                  </w:pPr>
                  <w:r>
                    <w:t>Giá trị của quyền kiểm soát =</w:t>
                  </w:r>
                </w:p>
              </w:tc>
              <w:tc>
                <w:tcPr>
                  <w:tcW w:type="auto" w:w="0"/>
                  <w:shd w:val="clear" w:color="auto" w:fill="F0F0F0"/>
                </w:tcPr>
                <w:p>
                  <w:pPr>
                    <w:pStyle w:val="Para 02"/>
                    <w:keepLines w:val="on"/>
                  </w:pPr>
                  <w:r>
                    <w:t>4.702 triệu đô la</w:t>
                  </w:r>
                </w:p>
              </w:tc>
            </w:tr>
          </w:tbl>
          <w:p/>
        </w:tc>
      </w:tr>
    </w:tbl>
    <w:p>
      <w:pPr>
        <w:pStyle w:val="Para 04"/>
        <w:keepLines w:val="on"/>
      </w:pPr>
      <w:r>
        <w:t>Lưu ý rằng chúng ta đã giả định sẽ không có thay đổi nào tại liên doanh Coor's hay các công ty liên kết, và việc đưa các khoản nắm giữ đó, cùng với tiền mặt và nợ tại thời điểm sáp nhập vào phân tích, khiến giá trị vốn chủ sở hữu tăng từ mức nguyên trạng 51,5 tỷ đô la lên 56,2 tỷ đô la, phản ánh đúng sự thay đổi trong giá trị tài sản hoạt động.</w:t>
      </w:r>
    </w:p>
    <w:p>
      <w:bookmarkStart w:id="5280" w:name="Valuing_Operating_Synergy__There"/>
      <w:pPr>
        <w:pStyle w:val="Para 42"/>
      </w:pPr>
      <w:r>
        <w:t>Định giá hiệp lực hoạt động</w:t>
      </w:r>
      <w:bookmarkEnd w:id="5280"/>
    </w:p>
    <w:p>
      <w:pPr>
        <w:pStyle w:val="Para 03"/>
      </w:pPr>
      <w:r>
        <w:t>Tiềm năng hiệp lực hoạt động, dưới hình thức này hay hình thức khác, tồn tại trong nhiều thương vụ thâu tóm. Tuy nhiên, vẫn có những bất đồng về việc liệu hiệp lực có thể được định giá hay không, và nếu có thì giá trị đó nên là bao nhiêu. Một trường phái cho rằng hiệp lực quá mơ hồ để định giá, và rằng bất kỳ nỗ lực có hệ thống nào nhằm định giá nó đều đòi hỏi quá nhiều giả định đến mức vô nghĩa. Nếu điều này đúng, một công ty sẽ không nên sẵn sàng trả những khoản phí bảo hiểm lớn cho thứ hiệp lực mà mình không thể gán cho nó một giá trị.</w:t>
      </w:r>
    </w:p>
    <w:p>
      <w:pPr>
        <w:pStyle w:val="Para 03"/>
      </w:pPr>
      <w:r>
        <w:t>Trong khi định giá hiệp lực đòi hỏi chúng ta phải đưa ra các giả định về dòng tiền tương lai và tăng trưởng, sự thiếu chính xác trong quá trình này không có nghĩa là chúng ta không thể có được một ước tính giá trị không thiên lệch. Do đó, chúng tôi cho rằng hiệp lực có thể được định giá bằng cách trả lời hai câu hỏi cơ bản:</w:t>
      </w:r>
    </w:p>
    <w:p>
      <w:pPr>
        <w:numPr>
          <w:ilvl w:val="0"/>
          <w:numId w:val="280"/>
        </w:numPr>
        <w:pStyle w:val="Para 01"/>
      </w:pPr>
      <w:r>
        <w:t>Hiệp lực được kỳ vọng sẽ mang hình thức nào? Liệu nó có làm giảm chi phí theo tỷ lệ phần trăm doanh thu và tăng biên lợi nhuận (ví dụ, khi có lợi thế kinh tế theo quy mô)? Liệu nó có làm tăng tăng trưởng tương lai (ví dụ, khi có thêm sức mạnh thị trường) hay kéo dài giai đoạn tăng trưởng? Để có ảnh hưởng lên giá trị, hiệp lực phải tác động đến một trong bốn yếu tố đầu vào của quá trình định giá — dòng tiền từ tài sản hiện hữu, tốc độ tăng trưởng kỳ vọng cao hơn (sức mạnh thị trường, tiềm năng tăng trưởng cao hơn), giai đoạn tăng trưởng dài hơn (nhờ lợi thế cạnh tranh gia tăng), hoặc chi phí vốn thấp hơn (khả năng vay nợ cao hơn).</w:t>
      </w:r>
    </w:p>
    <w:p>
      <w:pPr>
        <w:numPr>
          <w:ilvl w:val="0"/>
          <w:numId w:val="280"/>
        </w:numPr>
        <w:pStyle w:val="Para 01"/>
      </w:pPr>
      <w:r>
        <w:t>Khi nào hiệp lực bắt đầu ảnh hưởng đến dòng tiền? Đôi khi hiệp lực có thể xuất hiện ngay lập tức, nhưng thường thì chúng có xu hướng xuất hiện dần theo thời gian. Vì giá trị của hiệp lực là giá trị hiện tại của dòng tiền mà nó tạo ra, nên càng mất nhiều thời gian để nó xuất hiện thì giá trị của nó càng nhỏ.</w:t>
      </w:r>
    </w:p>
    <w:p>
      <w:pPr>
        <w:pStyle w:val="Para 03"/>
      </w:pPr>
      <w:r>
        <w:t>Sau khi trả lời những câu hỏi này, chúng ta có thể ước tính giá trị của hiệp lực bằng các kỹ thuật chiết khấu dòng tiền. Thứ nhất, chúng ta định giá riêng từng công ty tham gia sáp nhập bằng cách chiết khấu dòng tiền kỳ vọng của mỗi công ty theo chi phí vốn bình quân gia quyền của công ty đó. Thứ hai, chúng ta ước tính giá trị của công ty kết hợp, không có hiệp lực, bằng cách cộng các giá trị thu được của từng công ty ở bước đầu tiên. Thứ ba, chúng ta đưa các tác động của hiệp lực vào tốc độ tăng trưởng kỳ vọng và dòng tiền, rồi định giá công ty kết hợp có hiệp lực. Chênh lệch giữa giá trị công ty kết hợp có hiệp lực và giá trị công ty kết hợp không có hiệp lực chính là giá trị của hiệp lực.</w:t>
      </w:r>
    </w:p>
    <w:p>
      <w:pPr>
        <w:pStyle w:val="Para 03"/>
      </w:pPr>
      <w:r>
        <w:t>Bảng 25.4 tóm tắt các tác động của hiệp lực và quyền kiểm soát trong việc định giá một công ty mục tiêu cho một thương vụ thâu tóm. Hãy để ý sự khác biệt giữa Hình 25.2, vốn dựa trên giá thị trường của công ty mục tiêu trước và sau thâu tóm, và Bảng 25.4, nơi chúng ta xem xét giá trị của công ty mục tiêu có và không có các khoản phí bảo hiểm cho quyền kiểm soát và hiệp lực. Một thương vụ thâu tóm theo giá trị hợp lý, tức là không khiến công ty đi thâu tóm trở nên tốt hơn cũng không xấu đi, sẽ đòi hỏi tổng giá (trong Hình 25.4) phải bằng với giá trị hợp nhất (trong Bảng 25.2) đã bao gồm các lợi ích từ hiệp lực và quyền kiểm soát.</w:t>
      </w:r>
    </w:p>
    <w:p>
      <w:pPr>
        <w:pStyle w:val="Para 34"/>
        <w:keepLines w:val="on"/>
      </w:pPr>
      <w:r>
        <w:t>Bảng 25.4</w:t>
      </w:r>
    </w:p>
    <w:p>
      <w:pPr>
        <w:keepNext/>
        <w:pStyle w:val="Para 35"/>
        <w:keepLines w:val="on"/>
      </w:pPr>
      <w:r>
        <w:t>Định giá một thương vụ thâu tóm</w:t>
      </w:r>
    </w:p>
    <w:tbl>
      <w:tblPr>
        <w:tblW w:type="auto" w:w="0"/>
      </w:tblPr>
      <w:tr>
        <w:tc>
          <w:tcPr>
            <w:tcW w:type="auto" w:w="0"/>
          </w:tcPr>
          <w:tbl>
            <w:tblPr>
              <w:tblW w:type="auto" w:w="0"/>
            </w:tblPr>
            <w:tr>
              <w:tc>
                <w:tcPr>
                  <w:tcW w:type="auto" w:w="0"/>
                  <w:shd w:val="clear" w:color="auto" w:fill="F0F0F0"/>
                </w:tcPr>
                <w:p>
                  <w:pPr>
                    <w:pStyle w:val="Para 29"/>
                    <w:keepLines w:val="on"/>
                  </w:pPr>
                  <w:r>
                    <w:t>Thành phần</w:t>
                  </w:r>
                </w:p>
              </w:tc>
              <w:tc>
                <w:tcPr>
                  <w:tcW w:type="auto" w:w="0"/>
                  <w:shd w:val="clear" w:color="auto" w:fill="F0F0F0"/>
                </w:tcPr>
                <w:p>
                  <w:pPr>
                    <w:pStyle w:val="Para 17"/>
                    <w:keepLines w:val="on"/>
                  </w:pPr>
                  <w:r>
                    <w:t>Hướng dẫn định giá</w:t>
                  </w:r>
                </w:p>
              </w:tc>
              <w:tc>
                <w:tcPr>
                  <w:tcW w:type="auto" w:w="0"/>
                  <w:shd w:val="clear" w:color="auto" w:fill="F0F0F0"/>
                </w:tcPr>
                <w:p>
                  <w:pPr>
                    <w:pStyle w:val="Para 17"/>
                    <w:keepLines w:val="on"/>
                  </w:pPr>
                  <w:r>
                    <w:t>Bạn có nên trả không?</w:t>
                  </w:r>
                </w:p>
              </w:tc>
            </w:tr>
            <w:tr>
              <w:tc>
                <w:tcPr>
                  <w:tcW w:type="auto" w:w="0"/>
                  <w:shd w:val="clear" w:color="auto" w:fill="F0F0F0"/>
                </w:tcPr>
                <w:p>
                  <w:pPr>
                    <w:pStyle w:val="Para 02"/>
                    <w:keepLines w:val="on"/>
                  </w:pPr>
                  <w:r>
                    <w:t>Hiệp lực</w:t>
                  </w:r>
                </w:p>
              </w:tc>
              <w:tc>
                <w:tcPr>
                  <w:tcW w:type="auto" w:w="0"/>
                  <w:shd w:val="clear" w:color="auto" w:fill="F0F0F0"/>
                </w:tcPr>
                <w:p>
                  <w:pPr>
                    <w:pStyle w:val="Para 03"/>
                    <w:keepLines w:val="on"/>
                  </w:pPr>
                  <w:r>
                    <w:t>Định giá công ty kết hợp đã bao gồm hiệp lực. Giá trị này có thể bao gồm:</w:t>
                  </w:r>
                </w:p>
                <w:p>
                  <w:pPr>
                    <w:numPr>
                      <w:ilvl w:val="0"/>
                      <w:numId w:val="281"/>
                    </w:numPr>
                    <w:pStyle w:val="Para 01"/>
                    <w:keepLines w:val="on"/>
                  </w:pPr>
                  <w:r>
                    <w:t>Tốc độ tăng trưởng doanh thu cao hơn: hiệp lực tăng trưởng.</w:t>
                  </w:r>
                </w:p>
                <w:p>
                  <w:pPr>
                    <w:numPr>
                      <w:ilvl w:val="0"/>
                      <w:numId w:val="281"/>
                    </w:numPr>
                    <w:pStyle w:val="Para 01"/>
                    <w:keepLines w:val="on"/>
                  </w:pPr>
                  <w:r>
                    <w:t>Biên lợi nhuận cao hơn nhờ lợi thế kinh tế theo quy mô.</w:t>
                  </w:r>
                </w:p>
                <w:p>
                  <w:pPr>
                    <w:numPr>
                      <w:ilvl w:val="0"/>
                      <w:numId w:val="281"/>
                    </w:numPr>
                    <w:pStyle w:val="Para 01"/>
                    <w:keepLines w:val="on"/>
                  </w:pPr>
                  <w:r>
                    <w:t>Thuế thấp hơn nhờ các lợi ích thuế: hiệp lực thuế.</w:t>
                  </w:r>
                </w:p>
                <w:p>
                  <w:pPr>
                    <w:numPr>
                      <w:ilvl w:val="0"/>
                      <w:numId w:val="281"/>
                    </w:numPr>
                    <w:pStyle w:val="Para 01"/>
                    <w:keepLines w:val="on"/>
                  </w:pPr>
                  <w:r>
                    <w:t>Chi phí nợ thấp hơn: hiệp lực tài chính.</w:t>
                  </w:r>
                </w:p>
                <w:p>
                  <w:pPr>
                    <w:numPr>
                      <w:ilvl w:val="0"/>
                      <w:numId w:val="281"/>
                    </w:numPr>
                    <w:pStyle w:val="Para 01"/>
                    <w:keepLines w:val="on"/>
                  </w:pPr>
                  <w:r>
                    <w:t>Tỷ lệ nợ cao hơn vì rủi ro thấp hơn: khả năng vay nợ.</w:t>
                  </w:r>
                </w:p>
                <w:p>
                  <w:pPr>
                    <w:pStyle w:val="Para 03"/>
                    <w:keepLines w:val="on"/>
                  </w:pPr>
                  <w:r>
                    <w:t>Lấy giá trị của công ty mục tiêu (bao gồm phần phí kiểm soát) + giá trị của công ty thâu tóm (trước khi thâu tóm) rồi trừ đi. Đây chính là giá trị cộng hưởng (synergy).</w:t>
                  </w:r>
                </w:p>
              </w:tc>
              <w:tc>
                <w:tcPr>
                  <w:tcW w:type="auto" w:w="0"/>
                  <w:shd w:val="clear" w:color="auto" w:fill="F0F0F0"/>
                </w:tcPr>
                <w:p>
                  <w:pPr>
                    <w:pStyle w:val="Para 44"/>
                    <w:keepLines w:val="on"/>
                  </w:pPr>
                  <w:r>
                    <w:t>Công ty nào là không thể thiếu để tạo ra cộng hưởng?</w:t>
                  </w:r>
                </w:p>
                <w:p>
                  <w:pPr>
                    <w:pStyle w:val="Para 03"/>
                    <w:keepLines w:val="on"/>
                  </w:pPr>
                  <w:r>
                    <w:t>Nếu đó là công ty mục tiêu, bạn nên sẵn sàng trả tối đa bằng giá trị cộng hưởng.</w:t>
                  </w:r>
                </w:p>
                <w:p>
                  <w:pPr>
                    <w:pStyle w:val="Para 03"/>
                    <w:keepLines w:val="on"/>
                  </w:pPr>
                  <w:r>
                    <w:t>Nếu đó là bên thâu tóm, bạn không nên trả.</w:t>
                  </w:r>
                </w:p>
              </w:tc>
            </w:tr>
            <w:tr>
              <w:tc>
                <w:tcPr>
                  <w:tcW w:type="auto" w:w="0"/>
                  <w:shd w:val="clear" w:color="auto" w:fill="F0F0F0"/>
                </w:tcPr>
                <w:p>
                  <w:pPr>
                    <w:pStyle w:val="Para 02"/>
                    <w:keepLines w:val="on"/>
                  </w:pPr>
                  <w:r>
                    <w:t>Phí kiểm soát (control premium)</w:t>
                  </w:r>
                </w:p>
              </w:tc>
              <w:tc>
                <w:tcPr>
                  <w:tcW w:type="auto" w:w="0"/>
                  <w:shd w:val="clear" w:color="auto" w:fill="F0F0F0"/>
                </w:tcPr>
                <w:p>
                  <w:pPr>
                    <w:pStyle w:val="Para 03"/>
                    <w:keepLines w:val="on"/>
                  </w:pPr>
                  <w:r>
                    <w:t>Định giá công ty như thể nó được điều hành một cách tối ưu. Điều này thường có nghĩa là phải thay đổi chính sách đầu tư, tài trợ và cổ tức:</w:t>
                  </w:r>
                </w:p>
                <w:p>
                  <w:pPr>
                    <w:pStyle w:val="Para 03"/>
                    <w:keepLines w:val="on"/>
                  </w:pPr>
                  <w:r>
                    <w:t>Chính sách đầu tư: Kiếm được lợi nhuận cao hơn trên các dự án và thoái vốn khỏi những dự án không sinh lời.</w:t>
                  </w:r>
                </w:p>
                <w:p>
                  <w:pPr>
                    <w:pStyle w:val="Para 03"/>
                    <w:keepLines w:val="on"/>
                  </w:pPr>
                  <w:r>
                    <w:t>Chính sách tài trợ: Chuyển sang một cơ cấu tài trợ tốt hơn.</w:t>
                  </w:r>
                </w:p>
                <w:p>
                  <w:pPr>
                    <w:pStyle w:val="Para 03"/>
                    <w:keepLines w:val="on"/>
                  </w:pPr>
                  <w:r>
                    <w:t>cấu trúc (ví dụ: cấu trúc vốn tối ưu).</w:t>
                  </w:r>
                </w:p>
                <w:p>
                  <w:pPr>
                    <w:pStyle w:val="Para 03"/>
                    <w:keepLines w:val="on"/>
                  </w:pPr>
                  <w:r>
                    <w:t>Chính sách cổ tức: Trả lại tiền mặt mà công ty không cần dùng. Trên thực tế,</w:t>
                  </w:r>
                </w:p>
                <w:p>
                  <w:pPr>
                    <w:numPr>
                      <w:ilvl w:val="0"/>
                      <w:numId w:val="282"/>
                    </w:numPr>
                    <w:pStyle w:val="Para 01"/>
                    <w:keepLines w:val="on"/>
                  </w:pPr>
                  <w:r>
                    <w:t>Hãy xem mức trung bình của ngành là mức tối ưu.</w:t>
                  </w:r>
                </w:p>
                <w:p>
                  <w:pPr>
                    <w:numPr>
                      <w:ilvl w:val="0"/>
                      <w:numId w:val="282"/>
                    </w:numPr>
                    <w:pStyle w:val="Para 01"/>
                    <w:keepLines w:val="on"/>
                  </w:pPr>
                  <w:r>
                    <w:t>Thực hiện một phân tích tài chính doanh nghiệp đầy đủ để tính ra tỷ lệ nợ tối ưu.</w:t>
                  </w:r>
                </w:p>
              </w:tc>
              <w:tc>
                <w:tcPr>
                  <w:tcW w:type="auto" w:w="0"/>
                  <w:shd w:val="clear" w:color="auto" w:fill="F0F0F0"/>
                </w:tcPr>
                <w:p>
                  <w:pPr>
                    <w:pStyle w:val="Para 02"/>
                    <w:keepLines w:val="on"/>
                  </w:pPr>
                  <w:r>
                    <w:t>Nếu động cơ là kiểm soát hoặc trong một định giá độc lập, đây là mức tối đa bạn nên trả.</w:t>
                  </w:r>
                </w:p>
              </w:tc>
            </w:tr>
            <w:tr>
              <w:tc>
                <w:tcPr>
                  <w:tcW w:type="auto" w:w="0"/>
                  <w:shd w:val="clear" w:color="auto" w:fill="F0F0F0"/>
                </w:tcPr>
                <w:p>
                  <w:pPr>
                    <w:pStyle w:val="Para 02"/>
                    <w:keepLines w:val="on"/>
                  </w:pPr>
                  <w:r>
                    <w:t>Định giá nguyên trạng (status quo valuation)</w:t>
                  </w:r>
                </w:p>
              </w:tc>
              <w:tc>
                <w:tcPr>
                  <w:tcW w:type="auto" w:w="0"/>
                  <w:shd w:val="clear" w:color="auto" w:fill="F0F0F0"/>
                </w:tcPr>
                <w:p>
                  <w:pPr>
                    <w:pStyle w:val="Para 02"/>
                    <w:keepLines w:val="on"/>
                  </w:pPr>
                  <w:r>
                    <w:t>Định giá công ty như hiện tại, với các thông số đầu vào hiện có cho chính sách đầu tư, tài trợ và cổ tức.</w:t>
                  </w:r>
                </w:p>
              </w:tc>
              <w:tc>
                <w:tcPr>
                  <w:tcW w:type="auto" w:w="0"/>
                  <w:shd w:val="clear" w:color="auto" w:fill="F0F0F0"/>
                </w:tcPr>
                <w:p>
                  <w:pPr>
                    <w:pStyle w:val="Para 02"/>
                    <w:keepLines w:val="on"/>
                  </w:pPr>
                  <w:r>
                    <w:t>Nếu động cơ là định giá thấp hơn giá trị thực, thì giá trị nguyên trạng là mức tối đa bạn nên trả.</w:t>
                  </w:r>
                </w:p>
              </w:tc>
            </w:tr>
          </w:tbl>
          <w:p/>
        </w:tc>
      </w:tr>
    </w:tbl>
    <w:p>
      <w:pPr>
        <w:pStyle w:val="Para 11"/>
      </w:pPr>
      <w:r>
        <w:t/>
        <w:t xml:space="preserve"> </w:t>
      </w:r>
    </w:p>
    <w:p>
      <w:bookmarkStart w:id="5285" w:name="ILLUSTRATION_25_3___Valuing_Syne"/>
      <w:bookmarkStart w:id="5286" w:name="ILLUSTRATION_25_3___Valuing_Syne_1"/>
      <w:pPr>
        <w:keepNext/>
        <w:pStyle w:val="Para 19"/>
        <w:keepLines w:val="on"/>
      </w:pPr>
      <w:r>
        <w:t>MINH HỌA 25.3: Định giá cộng hưởng: Inbev và SAB Miller</w:t>
      </w:r>
      <w:bookmarkEnd w:id="5285"/>
      <w:bookmarkEnd w:id="5286"/>
    </w:p>
    <w:p>
      <w:pPr>
        <w:pStyle w:val="Para 04"/>
        <w:keepLines w:val="on"/>
      </w:pPr>
      <w:r>
        <w:t>Quay lại thương vụ sáp nhập Inbev/SAB Miller, lưu ý rằng cộng hưởng là một trong những lý do được nêu ra cho thương vụ thâu tóm này. Để định giá phần cộng hưởng này, trước tiên chúng ta cần định giá Inbev như một công ty độc lập, vì cộng hưởng đòi hỏi phải định giá cả công ty thâu tóm lẫn công ty mục tiêu, và trong Bảng 25.5, chúng ta tóm tắt định giá của hai công ty—Inbev và SAB Miller với quyền kiểm soát đã được đưa vào các con số, cùng với công ty hợp nhất, chưa tính đến lợi ích cộng hưởng:</w:t>
      </w:r>
    </w:p>
    <w:p>
      <w:pPr>
        <w:pStyle w:val="Para 25"/>
        <w:keepLines w:val="on"/>
      </w:pPr>
      <w:r>
        <w:t>Bảng 25.5</w:t>
      </w:r>
    </w:p>
    <w:p>
      <w:pPr>
        <w:keepNext/>
        <w:pStyle w:val="Para 24"/>
        <w:keepLines w:val="on"/>
      </w:pPr>
      <w:r>
        <w:t>Inbev và SAB Miller hợp nhất—Không có cộng hưởng</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Inbev</w:t>
                  </w:r>
                </w:p>
              </w:tc>
              <w:tc>
                <w:tcPr>
                  <w:tcW w:type="auto" w:w="0"/>
                  <w:shd w:val="clear" w:color="auto" w:fill="F0F0F0"/>
                </w:tcPr>
                <w:p>
                  <w:pPr>
                    <w:pStyle w:val="Para 05"/>
                    <w:keepLines w:val="on"/>
                  </w:pPr>
                  <w:r>
                    <w:t>SAB Miller</w:t>
                  </w:r>
                </w:p>
              </w:tc>
              <w:tc>
                <w:tcPr>
                  <w:tcW w:type="auto" w:w="0"/>
                  <w:shd w:val="clear" w:color="auto" w:fill="F0F0F0"/>
                </w:tcPr>
                <w:p>
                  <w:pPr>
                    <w:pStyle w:val="Para 05"/>
                    <w:keepLines w:val="on"/>
                  </w:pPr>
                  <w:r>
                    <w:t>Công ty kết hợp (không có cộng hưởng)</w:t>
                  </w:r>
                </w:p>
              </w:tc>
            </w:tr>
            <w:tr>
              <w:tc>
                <w:tcPr>
                  <w:tcW w:type="auto" w:w="0"/>
                  <w:shd w:val="clear" w:color="auto" w:fill="F0F0F0"/>
                </w:tcPr>
                <w:p>
                  <w:pPr>
                    <w:pStyle w:val="Para 02"/>
                    <w:keepLines w:val="on"/>
                  </w:pPr>
                  <w:r>
                    <w:t>Chi phí vốn cổ phần (Cost of Equity) =</w:t>
                  </w:r>
                </w:p>
              </w:tc>
              <w:tc>
                <w:tcPr>
                  <w:tcW w:type="auto" w:w="0"/>
                  <w:shd w:val="clear" w:color="auto" w:fill="F0F0F0"/>
                </w:tcPr>
                <w:p>
                  <w:pPr>
                    <w:pStyle w:val="Normal"/>
                    <w:keepLines w:val="on"/>
                  </w:pPr>
                  <w:r>
                    <w:t>8,93%</w:t>
                  </w:r>
                </w:p>
              </w:tc>
              <w:tc>
                <w:tcPr>
                  <w:tcW w:type="auto" w:w="0"/>
                  <w:shd w:val="clear" w:color="auto" w:fill="F0F0F0"/>
                </w:tcPr>
                <w:p>
                  <w:pPr>
                    <w:pStyle w:val="Normal"/>
                    <w:keepLines w:val="on"/>
                  </w:pPr>
                  <w:r>
                    <w:t>9,37%</w:t>
                  </w:r>
                </w:p>
              </w:tc>
              <w:tc>
                <w:tcPr>
                  <w:tcW w:type="auto" w:w="0"/>
                  <w:shd w:val="clear" w:color="auto" w:fill="F0F0F0"/>
                </w:tcPr>
                <w:p>
                  <w:pPr>
                    <w:pStyle w:val="Normal"/>
                    <w:keepLines w:val="on"/>
                  </w:pPr>
                  <w:r>
                    <w:t>9,12%</w:t>
                  </w:r>
                </w:p>
              </w:tc>
            </w:tr>
            <w:tr>
              <w:tc>
                <w:tcPr>
                  <w:tcW w:type="auto" w:w="0"/>
                  <w:shd w:val="clear" w:color="auto" w:fill="F0F0F0"/>
                </w:tcPr>
                <w:p>
                  <w:pPr>
                    <w:pStyle w:val="Para 02"/>
                    <w:keepLines w:val="on"/>
                  </w:pPr>
                  <w:r>
                    <w:t>Chi phí nợ sau thuế =</w:t>
                  </w:r>
                </w:p>
              </w:tc>
              <w:tc>
                <w:tcPr>
                  <w:tcW w:type="auto" w:w="0"/>
                  <w:shd w:val="clear" w:color="auto" w:fill="F0F0F0"/>
                </w:tcPr>
                <w:p>
                  <w:pPr>
                    <w:pStyle w:val="Normal"/>
                    <w:keepLines w:val="on"/>
                  </w:pPr>
                  <w:r>
                    <w:t>2,10%</w:t>
                  </w:r>
                </w:p>
              </w:tc>
              <w:tc>
                <w:tcPr>
                  <w:tcW w:type="auto" w:w="0"/>
                  <w:shd w:val="clear" w:color="auto" w:fill="F0F0F0"/>
                </w:tcPr>
                <w:p>
                  <w:pPr>
                    <w:pStyle w:val="Normal"/>
                    <w:keepLines w:val="on"/>
                  </w:pPr>
                  <w:r>
                    <w:t>2,24%</w:t>
                  </w:r>
                </w:p>
              </w:tc>
              <w:tc>
                <w:tcPr>
                  <w:tcW w:type="auto" w:w="0"/>
                  <w:shd w:val="clear" w:color="auto" w:fill="F0F0F0"/>
                </w:tcPr>
                <w:p>
                  <w:pPr>
                    <w:pStyle w:val="Normal"/>
                    <w:keepLines w:val="on"/>
                  </w:pPr>
                  <w:r>
                    <w:t>2,10%</w:t>
                  </w:r>
                </w:p>
              </w:tc>
            </w:tr>
            <w:tr>
              <w:tc>
                <w:tcPr>
                  <w:tcW w:type="auto" w:w="0"/>
                  <w:shd w:val="clear" w:color="auto" w:fill="F0F0F0"/>
                </w:tcPr>
                <w:p>
                  <w:pPr>
                    <w:pStyle w:val="Para 02"/>
                    <w:keepLines w:val="on"/>
                  </w:pPr>
                  <w:r>
                    <w:t>Chi phí vốn =</w:t>
                  </w:r>
                </w:p>
              </w:tc>
              <w:tc>
                <w:tcPr>
                  <w:tcW w:type="auto" w:w="0"/>
                  <w:shd w:val="clear" w:color="auto" w:fill="F0F0F0"/>
                </w:tcPr>
                <w:p>
                  <w:pPr>
                    <w:pStyle w:val="Normal"/>
                    <w:keepLines w:val="on"/>
                  </w:pPr>
                  <w:r>
                    <w:t>7,33%</w:t>
                  </w:r>
                </w:p>
              </w:tc>
              <w:tc>
                <w:tcPr>
                  <w:tcW w:type="auto" w:w="0"/>
                  <w:shd w:val="clear" w:color="auto" w:fill="F0F0F0"/>
                </w:tcPr>
                <w:p>
                  <w:pPr>
                    <w:pStyle w:val="Normal"/>
                    <w:keepLines w:val="on"/>
                  </w:pPr>
                  <w:r>
                    <w:t>8,03%</w:t>
                  </w:r>
                </w:p>
              </w:tc>
              <w:tc>
                <w:tcPr>
                  <w:tcW w:type="auto" w:w="0"/>
                  <w:shd w:val="clear" w:color="auto" w:fill="F0F0F0"/>
                </w:tcPr>
                <w:p>
                  <w:pPr>
                    <w:pStyle w:val="Normal"/>
                    <w:keepLines w:val="on"/>
                  </w:pPr>
                  <w:r>
                    <w:t>7,51%</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45.762,00 USD</w:t>
                  </w:r>
                </w:p>
              </w:tc>
              <w:tc>
                <w:tcPr>
                  <w:tcW w:type="auto" w:w="0"/>
                  <w:shd w:val="clear" w:color="auto" w:fill="F0F0F0"/>
                </w:tcPr>
                <w:p>
                  <w:pPr>
                    <w:pStyle w:val="Normal"/>
                    <w:keepLines w:val="on"/>
                  </w:pPr>
                  <w:r>
                    <w:t>22.130,00 USD</w:t>
                  </w:r>
                </w:p>
              </w:tc>
              <w:tc>
                <w:tcPr>
                  <w:tcW w:type="auto" w:w="0"/>
                  <w:shd w:val="clear" w:color="auto" w:fill="F0F0F0"/>
                </w:tcPr>
                <w:p>
                  <w:pPr>
                    <w:pStyle w:val="Normal"/>
                    <w:keepLines w:val="on"/>
                  </w:pPr>
                  <w:r>
                    <w:t>67.892,00 USD</w:t>
                  </w:r>
                </w:p>
              </w:tc>
            </w:tr>
            <w:tr>
              <w:tc>
                <w:tcPr>
                  <w:tcW w:type="auto" w:w="0"/>
                  <w:shd w:val="clear" w:color="auto" w:fill="F0F0F0"/>
                </w:tcPr>
                <w:p>
                  <w:pPr>
                    <w:pStyle w:val="Para 02"/>
                    <w:keepLines w:val="on"/>
                  </w:pPr>
                  <w:r>
                    <w:t>Biên lợi nhuận hoạt động</w:t>
                  </w:r>
                </w:p>
              </w:tc>
              <w:tc>
                <w:tcPr>
                  <w:tcW w:type="auto" w:w="0"/>
                  <w:shd w:val="clear" w:color="auto" w:fill="F0F0F0"/>
                </w:tcPr>
                <w:p>
                  <w:pPr>
                    <w:pStyle w:val="Normal"/>
                    <w:keepLines w:val="on"/>
                  </w:pPr>
                  <w:r>
                    <w:t>32,28%</w:t>
                  </w:r>
                </w:p>
              </w:tc>
              <w:tc>
                <w:tcPr>
                  <w:tcW w:type="auto" w:w="0"/>
                  <w:shd w:val="clear" w:color="auto" w:fill="F0F0F0"/>
                </w:tcPr>
                <w:p>
                  <w:pPr>
                    <w:pStyle w:val="Normal"/>
                    <w:keepLines w:val="on"/>
                  </w:pPr>
                  <w:r>
                    <w:t>19,97%</w:t>
                  </w:r>
                </w:p>
              </w:tc>
              <w:tc>
                <w:tcPr>
                  <w:tcW w:type="auto" w:w="0"/>
                  <w:shd w:val="clear" w:color="auto" w:fill="F0F0F0"/>
                </w:tcPr>
                <w:p>
                  <w:pPr>
                    <w:pStyle w:val="Normal"/>
                    <w:keepLines w:val="on"/>
                  </w:pPr>
                  <w:r>
                    <w:t>28,27%</w:t>
                  </w:r>
                </w:p>
              </w:tc>
            </w:tr>
            <w:tr>
              <w:tc>
                <w:tcPr>
                  <w:tcW w:type="auto" w:w="0"/>
                  <w:shd w:val="clear" w:color="auto" w:fill="F0F0F0"/>
                </w:tcPr>
                <w:p>
                  <w:pPr>
                    <w:pStyle w:val="Para 02"/>
                    <w:keepLines w:val="on"/>
                  </w:pPr>
                  <w:r>
                    <w:t>Lợi nhuận hoạt động (EBIT)</w:t>
                  </w:r>
                </w:p>
              </w:tc>
              <w:tc>
                <w:tcPr>
                  <w:tcW w:type="auto" w:w="0"/>
                  <w:shd w:val="clear" w:color="auto" w:fill="F0F0F0"/>
                </w:tcPr>
                <w:p>
                  <w:pPr>
                    <w:pStyle w:val="Normal"/>
                    <w:keepLines w:val="on"/>
                  </w:pPr>
                  <w:r>
                    <w:t>14.771,97 USD</w:t>
                  </w:r>
                </w:p>
              </w:tc>
              <w:tc>
                <w:tcPr>
                  <w:tcW w:type="auto" w:w="0"/>
                  <w:shd w:val="clear" w:color="auto" w:fill="F0F0F0"/>
                </w:tcPr>
                <w:p>
                  <w:pPr>
                    <w:pStyle w:val="Normal"/>
                    <w:keepLines w:val="on"/>
                  </w:pPr>
                  <w:r>
                    <w:t>4.419,36 USD</w:t>
                  </w:r>
                </w:p>
              </w:tc>
              <w:tc>
                <w:tcPr>
                  <w:tcW w:type="auto" w:w="0"/>
                  <w:shd w:val="clear" w:color="auto" w:fill="F0F0F0"/>
                </w:tcPr>
                <w:p>
                  <w:pPr>
                    <w:pStyle w:val="Normal"/>
                    <w:keepLines w:val="on"/>
                  </w:pPr>
                  <w:r>
                    <w:t>19.191,33 USD</w:t>
                  </w:r>
                </w:p>
              </w:tc>
            </w:tr>
            <w:tr>
              <w:tc>
                <w:tcPr>
                  <w:tcW w:type="auto" w:w="0"/>
                  <w:shd w:val="clear" w:color="auto" w:fill="F0F0F0"/>
                </w:tcPr>
                <w:p>
                  <w:pPr>
                    <w:pStyle w:val="Para 02"/>
                    <w:keepLines w:val="on"/>
                  </w:pPr>
                  <w:r>
                    <w:t>Lợi nhuận trên vốn sau thuế</w:t>
                  </w:r>
                </w:p>
              </w:tc>
              <w:tc>
                <w:tcPr>
                  <w:tcW w:type="auto" w:w="0"/>
                  <w:shd w:val="clear" w:color="auto" w:fill="F0F0F0"/>
                </w:tcPr>
                <w:p>
                  <w:pPr>
                    <w:pStyle w:val="Normal"/>
                    <w:keepLines w:val="on"/>
                  </w:pPr>
                  <w:r>
                    <w:t>12,10%</w:t>
                  </w:r>
                </w:p>
              </w:tc>
              <w:tc>
                <w:tcPr>
                  <w:tcW w:type="auto" w:w="0"/>
                  <w:shd w:val="clear" w:color="auto" w:fill="F0F0F0"/>
                </w:tcPr>
                <w:p>
                  <w:pPr>
                    <w:pStyle w:val="Normal"/>
                    <w:keepLines w:val="on"/>
                  </w:pPr>
                  <w:r>
                    <w:t>12,64%</w:t>
                  </w:r>
                </w:p>
              </w:tc>
              <w:tc>
                <w:tcPr>
                  <w:tcW w:type="auto" w:w="0"/>
                  <w:shd w:val="clear" w:color="auto" w:fill="F0F0F0"/>
                </w:tcPr>
                <w:p>
                  <w:pPr>
                    <w:pStyle w:val="Normal"/>
                    <w:keepLines w:val="on"/>
                  </w:pPr>
                  <w:r>
                    <w:t>11,68%</w:t>
                  </w:r>
                </w:p>
              </w:tc>
            </w:tr>
            <w:tr>
              <w:tc>
                <w:tcPr>
                  <w:tcW w:type="auto" w:w="0"/>
                  <w:shd w:val="clear" w:color="auto" w:fill="F0F0F0"/>
                </w:tcPr>
                <w:p>
                  <w:pPr>
                    <w:pStyle w:val="Para 02"/>
                    <w:keepLines w:val="on"/>
                  </w:pPr>
                  <w:r>
                    <w:t>Tỷ lệ tái đầu tư =</w:t>
                  </w:r>
                </w:p>
              </w:tc>
              <w:tc>
                <w:tcPr>
                  <w:tcW w:type="auto" w:w="0"/>
                  <w:shd w:val="clear" w:color="auto" w:fill="F0F0F0"/>
                </w:tcPr>
                <w:p>
                  <w:pPr>
                    <w:pStyle w:val="Normal"/>
                    <w:keepLines w:val="on"/>
                  </w:pPr>
                  <w:r>
                    <w:t>50,99%</w:t>
                  </w:r>
                </w:p>
              </w:tc>
              <w:tc>
                <w:tcPr>
                  <w:tcW w:type="auto" w:w="0"/>
                  <w:shd w:val="clear" w:color="auto" w:fill="F0F0F0"/>
                </w:tcPr>
                <w:p>
                  <w:pPr>
                    <w:pStyle w:val="Normal"/>
                    <w:keepLines w:val="on"/>
                  </w:pPr>
                  <w:r>
                    <w:t>33,29%</w:t>
                  </w:r>
                </w:p>
              </w:tc>
              <w:tc>
                <w:tcPr>
                  <w:tcW w:type="auto" w:w="0"/>
                  <w:shd w:val="clear" w:color="auto" w:fill="F0F0F0"/>
                </w:tcPr>
                <w:p>
                  <w:pPr>
                    <w:pStyle w:val="Normal"/>
                    <w:keepLines w:val="on"/>
                  </w:pPr>
                  <w:r>
                    <w:t>43,58%</w:t>
                  </w:r>
                </w:p>
              </w:tc>
            </w:tr>
            <w:tr>
              <w:tc>
                <w:tcPr>
                  <w:tcW w:type="auto" w:w="0"/>
                  <w:shd w:val="clear" w:color="auto" w:fill="F0F0F0"/>
                </w:tcPr>
                <w:p>
                  <w:pPr>
                    <w:pStyle w:val="Para 02"/>
                    <w:keepLines w:val="on"/>
                  </w:pPr>
                  <w:r>
                    <w:t>Độ dài giai đoạn tăng trưởng =</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5</w:t>
                  </w:r>
                </w:p>
              </w:tc>
            </w:tr>
            <w:tr>
              <w:tc>
                <w:tcPr>
                  <w:tcW w:type="auto" w:w="0"/>
                  <w:shd w:val="clear" w:color="auto" w:fill="F0F0F0"/>
                </w:tcPr>
                <w:p>
                  <w:pPr>
                    <w:pStyle w:val="Para 02"/>
                    <w:keepLines w:val="on"/>
                  </w:pPr>
                  <w:r>
                    <w:t>Tỷ suất sinh lợi trên vốn sau thuế =</w:t>
                  </w:r>
                </w:p>
              </w:tc>
              <w:tc>
                <w:tcPr>
                  <w:tcW w:type="auto" w:w="0"/>
                  <w:shd w:val="clear" w:color="auto" w:fill="F0F0F0"/>
                </w:tcPr>
                <w:p>
                  <w:pPr>
                    <w:pStyle w:val="Normal"/>
                    <w:keepLines w:val="on"/>
                  </w:pPr>
                  <w:r>
                    <w:t>12,10%</w:t>
                  </w:r>
                </w:p>
              </w:tc>
              <w:tc>
                <w:tcPr>
                  <w:tcW w:type="auto" w:w="0"/>
                  <w:shd w:val="clear" w:color="auto" w:fill="F0F0F0"/>
                </w:tcPr>
                <w:p>
                  <w:pPr>
                    <w:pStyle w:val="Normal"/>
                    <w:keepLines w:val="on"/>
                  </w:pPr>
                  <w:r>
                    <w:t>12,64%</w:t>
                  </w:r>
                </w:p>
              </w:tc>
              <w:tc>
                <w:tcPr>
                  <w:tcW w:type="auto" w:w="0"/>
                  <w:shd w:val="clear" w:color="auto" w:fill="F0F0F0"/>
                </w:tcPr>
                <w:p>
                  <w:pPr>
                    <w:pStyle w:val="Normal"/>
                    <w:keepLines w:val="on"/>
                  </w:pPr>
                  <w:r>
                    <w:t>11,68%</w:t>
                  </w:r>
                </w:p>
              </w:tc>
            </w:tr>
            <w:tr>
              <w:tc>
                <w:tcPr>
                  <w:tcW w:type="auto" w:w="0"/>
                  <w:shd w:val="clear" w:color="auto" w:fill="F0F0F0"/>
                </w:tcPr>
                <w:p>
                  <w:pPr>
                    <w:pStyle w:val="Para 02"/>
                    <w:keepLines w:val="on"/>
                  </w:pPr>
                  <w:r>
                    <w:t>Tỷ lệ tái đầu tư =</w:t>
                  </w:r>
                </w:p>
              </w:tc>
              <w:tc>
                <w:tcPr>
                  <w:tcW w:type="auto" w:w="0"/>
                  <w:shd w:val="clear" w:color="auto" w:fill="F0F0F0"/>
                </w:tcPr>
                <w:p>
                  <w:pPr>
                    <w:pStyle w:val="Normal"/>
                    <w:keepLines w:val="on"/>
                  </w:pPr>
                  <w:r>
                    <w:t>50,99%</w:t>
                  </w:r>
                </w:p>
              </w:tc>
              <w:tc>
                <w:tcPr>
                  <w:tcW w:type="auto" w:w="0"/>
                  <w:shd w:val="clear" w:color="auto" w:fill="F0F0F0"/>
                </w:tcPr>
                <w:p>
                  <w:pPr>
                    <w:pStyle w:val="Normal"/>
                    <w:keepLines w:val="on"/>
                  </w:pPr>
                  <w:r>
                    <w:t>33,29%</w:t>
                  </w:r>
                </w:p>
              </w:tc>
              <w:tc>
                <w:tcPr>
                  <w:tcW w:type="auto" w:w="0"/>
                  <w:shd w:val="clear" w:color="auto" w:fill="F0F0F0"/>
                </w:tcPr>
                <w:p>
                  <w:pPr>
                    <w:pStyle w:val="Normal"/>
                    <w:keepLines w:val="on"/>
                  </w:pPr>
                  <w:r>
                    <w:t>43,58%</w:t>
                  </w:r>
                </w:p>
              </w:tc>
            </w:tr>
            <w:tr>
              <w:tc>
                <w:tcPr>
                  <w:tcW w:type="auto" w:w="0"/>
                  <w:shd w:val="clear" w:color="auto" w:fill="F0F0F0"/>
                </w:tcPr>
                <w:p>
                  <w:pPr>
                    <w:pStyle w:val="Para 02"/>
                    <w:keepLines w:val="on"/>
                  </w:pPr>
                  <w:r>
                    <w:t>Tốc độ tăng trưởng kỳ vọng =</w:t>
                  </w:r>
                </w:p>
              </w:tc>
              <w:tc>
                <w:tcPr>
                  <w:tcW w:type="auto" w:w="0"/>
                  <w:shd w:val="clear" w:color="auto" w:fill="F0F0F0"/>
                </w:tcPr>
                <w:p>
                  <w:pPr>
                    <w:pStyle w:val="Normal"/>
                    <w:keepLines w:val="on"/>
                  </w:pPr>
                  <w:r>
                    <w:t>6,17%</w:t>
                  </w:r>
                </w:p>
              </w:tc>
              <w:tc>
                <w:tcPr>
                  <w:tcW w:type="auto" w:w="0"/>
                  <w:shd w:val="clear" w:color="auto" w:fill="F0F0F0"/>
                </w:tcPr>
                <w:p>
                  <w:pPr>
                    <w:pStyle w:val="Normal"/>
                    <w:keepLines w:val="on"/>
                  </w:pPr>
                  <w:r>
                    <w:t>4,21%</w:t>
                  </w:r>
                </w:p>
              </w:tc>
              <w:tc>
                <w:tcPr>
                  <w:tcW w:type="auto" w:w="0"/>
                  <w:shd w:val="clear" w:color="auto" w:fill="F0F0F0"/>
                </w:tcPr>
                <w:p>
                  <w:pPr>
                    <w:pStyle w:val="Normal"/>
                    <w:keepLines w:val="on"/>
                  </w:pPr>
                  <w:r>
                    <w:t>5,09%</w:t>
                  </w:r>
                </w:p>
              </w:tc>
            </w:tr>
            <w:tr>
              <w:tc>
                <w:tcPr>
                  <w:tcW w:type="auto" w:w="0"/>
                  <w:shd w:val="clear" w:color="auto" w:fill="F0F0F0"/>
                </w:tcPr>
                <w:p>
                  <w:pPr>
                    <w:pStyle w:val="Para 46"/>
                    <w:keepLines w:val="on"/>
                  </w:pPr>
                  <w:r>
                    <w:t>Giá trị doanh nghiệp</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trị hiện tại của FCFF trong giai đoạn tăng trưởng cao =</w:t>
                  </w:r>
                </w:p>
              </w:tc>
              <w:tc>
                <w:tcPr>
                  <w:tcW w:type="auto" w:w="0"/>
                  <w:shd w:val="clear" w:color="auto" w:fill="F0F0F0"/>
                </w:tcPr>
                <w:p>
                  <w:pPr>
                    <w:pStyle w:val="Normal"/>
                    <w:keepLines w:val="on"/>
                  </w:pPr>
                  <w:r>
                    <w:t>$28.732,57</w:t>
                  </w:r>
                </w:p>
              </w:tc>
              <w:tc>
                <w:tcPr>
                  <w:tcW w:type="auto" w:w="0"/>
                  <w:shd w:val="clear" w:color="auto" w:fill="F0F0F0"/>
                </w:tcPr>
                <w:p>
                  <w:pPr>
                    <w:pStyle w:val="Normal"/>
                    <w:keepLines w:val="on"/>
                  </w:pPr>
                  <w:r>
                    <w:t>$9.806,49</w:t>
                  </w:r>
                </w:p>
              </w:tc>
              <w:tc>
                <w:tcPr>
                  <w:tcW w:type="auto" w:w="0"/>
                  <w:shd w:val="clear" w:color="auto" w:fill="F0F0F0"/>
                </w:tcPr>
                <w:p>
                  <w:pPr>
                    <w:pStyle w:val="Normal"/>
                    <w:keepLines w:val="on"/>
                  </w:pPr>
                  <w:r>
                    <w:t>$38.539,06</w:t>
                  </w:r>
                </w:p>
              </w:tc>
            </w:tr>
            <w:tr>
              <w:tc>
                <w:tcPr>
                  <w:tcW w:type="auto" w:w="0"/>
                  <w:shd w:val="clear" w:color="auto" w:fill="F0F0F0"/>
                </w:tcPr>
                <w:p>
                  <w:pPr>
                    <w:pStyle w:val="Para 02"/>
                    <w:keepLines w:val="on"/>
                  </w:pPr>
                  <w:r>
                    <w:t>Giá trị cuối kỳ =</w:t>
                  </w:r>
                </w:p>
              </w:tc>
              <w:tc>
                <w:tcPr>
                  <w:tcW w:type="auto" w:w="0"/>
                  <w:shd w:val="clear" w:color="auto" w:fill="F0F0F0"/>
                </w:tcPr>
                <w:p>
                  <w:pPr>
                    <w:pStyle w:val="Normal"/>
                    <w:keepLines w:val="on"/>
                  </w:pPr>
                  <w:r>
                    <w:t>$260.981,86</w:t>
                  </w:r>
                </w:p>
              </w:tc>
              <w:tc>
                <w:tcPr>
                  <w:tcW w:type="auto" w:w="0"/>
                  <w:shd w:val="clear" w:color="auto" w:fill="F0F0F0"/>
                </w:tcPr>
                <w:p>
                  <w:pPr>
                    <w:pStyle w:val="Normal"/>
                    <w:keepLines w:val="on"/>
                  </w:pPr>
                  <w:r>
                    <w:t>$58.735,57</w:t>
                  </w:r>
                </w:p>
              </w:tc>
              <w:tc>
                <w:tcPr>
                  <w:tcW w:type="auto" w:w="0"/>
                  <w:shd w:val="clear" w:color="auto" w:fill="F0F0F0"/>
                </w:tcPr>
                <w:p>
                  <w:pPr>
                    <w:pStyle w:val="Normal"/>
                    <w:keepLines w:val="on"/>
                  </w:pPr>
                  <w:r>
                    <w:t>$319.717,43</w:t>
                  </w:r>
                </w:p>
              </w:tc>
            </w:tr>
            <w:tr>
              <w:tc>
                <w:tcPr>
                  <w:tcW w:type="auto" w:w="0"/>
                  <w:shd w:val="clear" w:color="auto" w:fill="F0F0F0"/>
                </w:tcPr>
                <w:p>
                  <w:pPr>
                    <w:pStyle w:val="Para 02"/>
                    <w:keepLines w:val="on"/>
                  </w:pPr>
                  <w:r>
                    <w:t>Giá trị tài sản hoạt động =</w:t>
                  </w:r>
                </w:p>
              </w:tc>
              <w:tc>
                <w:tcPr>
                  <w:tcW w:type="auto" w:w="0"/>
                  <w:shd w:val="clear" w:color="auto" w:fill="F0F0F0"/>
                </w:tcPr>
                <w:p>
                  <w:pPr>
                    <w:pStyle w:val="Normal"/>
                    <w:keepLines w:val="on"/>
                  </w:pPr>
                  <w:r>
                    <w:t>$211.952,80</w:t>
                  </w:r>
                </w:p>
              </w:tc>
              <w:tc>
                <w:tcPr>
                  <w:tcW w:type="auto" w:w="0"/>
                  <w:shd w:val="clear" w:color="auto" w:fill="F0F0F0"/>
                </w:tcPr>
                <w:p>
                  <w:pPr>
                    <w:pStyle w:val="Normal"/>
                    <w:keepLines w:val="on"/>
                  </w:pPr>
                  <w:r>
                    <w:t>$50.065,35</w:t>
                  </w:r>
                </w:p>
              </w:tc>
              <w:tc>
                <w:tcPr>
                  <w:tcW w:type="auto" w:w="0"/>
                  <w:shd w:val="clear" w:color="auto" w:fill="F0F0F0"/>
                </w:tcPr>
                <w:p>
                  <w:pPr>
                    <w:pStyle w:val="Normal"/>
                    <w:keepLines w:val="on"/>
                  </w:pPr>
                  <w:r>
                    <w:t>$262.018,16</w:t>
                  </w:r>
                </w:p>
              </w:tc>
            </w:tr>
          </w:tbl>
          <w:p/>
        </w:tc>
      </w:tr>
    </w:tbl>
    <w:p>
      <w:pPr>
        <w:pStyle w:val="Para 04"/>
        <w:keepLines w:val="on"/>
      </w:pPr>
      <w:r>
        <w:t>Lưu ý rằng tất cả các giá trị đô-la (đối với các thông số đầu vào như doanh thu và thu nhập hoạt động, và đầu ra như FCFF và giá trị tài sản hoạt động) của công ty hợp nhất chỉ đơn thuần là tổng các giá trị của từng công ty riêng lẻ. Chi phí vốn của công ty hợp nhất được tính bằng cách ước lượng beta không vay nợ (unlevered beta) cho công ty kết hợp như một bình quân gia quyền của các beta không vay nợ của từng công ty riêng lẻ, rồi sau đó sử dụng tỷ lệ nợ trên vốn chủ sở hữu (debt-to-equity ratio) của công ty hợp nhất. Nếu không có hiệu ứng cộng hưởng (synergy), giá trị của công ty hợp nhất sẽ là 262 tỷ đô-la.</w:t>
      </w:r>
    </w:p>
    <w:p>
      <w:pPr>
        <w:pStyle w:val="Para 04"/>
        <w:keepLines w:val="on"/>
      </w:pPr>
      <w:r>
        <w:t>Để đưa vào các tác động của hiệu ứng cộng hưởng, chúng ta giả định rằng hiệu ứng cộng hưởng sẽ đến từ hai nguồn. Nguồn thứ nhất là từ việc cắt giảm chi phí nhờ hợp nhất, thể hiện qua việc biên lợi nhuận hoạt động của công ty hợp nhất tăng từ 28,27 lên 29,00%, một mức tăng phần trăm nhỏ nhưng sẽ đòi hỏi gần 500 triệu đô-la cắt giảm chi phí. Nguồn thứ hai là mức tăng tỷ suất sinh lợi trên vốn (return on capital) từ 11,68 lên 12,00%, khi công ty tận dụng thị phần cao hơn để cải thiện vị thế cạnh tranh của mình. Bảng 25.6 ước tính các tác động giá trị của những thay đổi này:</w:t>
      </w:r>
    </w:p>
    <w:p>
      <w:pPr>
        <w:pStyle w:val="Para 25"/>
        <w:keepLines w:val="on"/>
      </w:pPr>
      <w:r>
        <w:t>Bảng 25.6</w:t>
      </w:r>
    </w:p>
    <w:p>
      <w:pPr>
        <w:keepNext/>
        <w:pStyle w:val="Para 24"/>
        <w:keepLines w:val="on"/>
      </w:pPr>
      <w:r>
        <w:t>Giá trị của hiệu ứng cộng hưởng</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Công ty kết hợp (nguyên trạng)</w:t>
                  </w:r>
                </w:p>
              </w:tc>
              <w:tc>
                <w:tcPr>
                  <w:tcW w:type="auto" w:w="0"/>
                  <w:shd w:val="clear" w:color="auto" w:fill="F0F0F0"/>
                </w:tcPr>
                <w:p>
                  <w:pPr>
                    <w:pStyle w:val="Para 05"/>
                    <w:keepLines w:val="on"/>
                  </w:pPr>
                  <w:r>
                    <w:t>Công ty kết hợp (có hiệu ứng cộng hưởng)</w:t>
                  </w:r>
                </w:p>
              </w:tc>
            </w:tr>
            <w:tr>
              <w:tc>
                <w:tcPr>
                  <w:tcW w:type="auto" w:w="0"/>
                  <w:shd w:val="clear" w:color="auto" w:fill="F0F0F0"/>
                </w:tcPr>
                <w:p>
                  <w:pPr>
                    <w:pStyle w:val="Para 02"/>
                    <w:keepLines w:val="on"/>
                  </w:pPr>
                  <w:r>
                    <w:t>Chi phí vốn chủ sở hữu =</w:t>
                  </w:r>
                </w:p>
              </w:tc>
              <w:tc>
                <w:tcPr>
                  <w:tcW w:type="auto" w:w="0"/>
                  <w:shd w:val="clear" w:color="auto" w:fill="F0F0F0"/>
                </w:tcPr>
                <w:p>
                  <w:pPr>
                    <w:pStyle w:val="Normal"/>
                    <w:keepLines w:val="on"/>
                  </w:pPr>
                  <w:r>
                    <w:t>9,12%</w:t>
                  </w:r>
                </w:p>
              </w:tc>
              <w:tc>
                <w:tcPr>
                  <w:tcW w:type="auto" w:w="0"/>
                  <w:shd w:val="clear" w:color="auto" w:fill="F0F0F0"/>
                </w:tcPr>
                <w:p>
                  <w:pPr>
                    <w:pStyle w:val="Normal"/>
                    <w:keepLines w:val="on"/>
                  </w:pPr>
                  <w:r>
                    <w:t>9,12%</w:t>
                  </w:r>
                </w:p>
              </w:tc>
            </w:tr>
            <w:tr>
              <w:tc>
                <w:tcPr>
                  <w:tcW w:type="auto" w:w="0"/>
                  <w:shd w:val="clear" w:color="auto" w:fill="F0F0F0"/>
                </w:tcPr>
                <w:p>
                  <w:pPr>
                    <w:pStyle w:val="Para 02"/>
                    <w:keepLines w:val="on"/>
                  </w:pPr>
                  <w:r>
                    <w:t>Chi phí nợ sau thuế =</w:t>
                  </w:r>
                </w:p>
              </w:tc>
              <w:tc>
                <w:tcPr>
                  <w:tcW w:type="auto" w:w="0"/>
                  <w:shd w:val="clear" w:color="auto" w:fill="F0F0F0"/>
                </w:tcPr>
                <w:p>
                  <w:pPr>
                    <w:pStyle w:val="Normal"/>
                    <w:keepLines w:val="on"/>
                  </w:pPr>
                  <w:r>
                    <w:t>2,10%</w:t>
                  </w:r>
                </w:p>
              </w:tc>
              <w:tc>
                <w:tcPr>
                  <w:tcW w:type="auto" w:w="0"/>
                  <w:shd w:val="clear" w:color="auto" w:fill="F0F0F0"/>
                </w:tcPr>
                <w:p>
                  <w:pPr>
                    <w:pStyle w:val="Normal"/>
                    <w:keepLines w:val="on"/>
                  </w:pPr>
                  <w:r>
                    <w:t>2,10%</w:t>
                  </w:r>
                </w:p>
              </w:tc>
            </w:tr>
            <w:tr>
              <w:tc>
                <w:tcPr>
                  <w:tcW w:type="auto" w:w="0"/>
                  <w:shd w:val="clear" w:color="auto" w:fill="F0F0F0"/>
                </w:tcPr>
                <w:p>
                  <w:pPr>
                    <w:pStyle w:val="Para 02"/>
                    <w:keepLines w:val="on"/>
                  </w:pPr>
                  <w:r>
                    <w:t>Chi phí vốn =</w:t>
                  </w:r>
                </w:p>
              </w:tc>
              <w:tc>
                <w:tcPr>
                  <w:tcW w:type="auto" w:w="0"/>
                  <w:shd w:val="clear" w:color="auto" w:fill="F0F0F0"/>
                </w:tcPr>
                <w:p>
                  <w:pPr>
                    <w:pStyle w:val="Normal"/>
                    <w:keepLines w:val="on"/>
                  </w:pPr>
                  <w:r>
                    <w:t>7,51%</w:t>
                  </w:r>
                </w:p>
              </w:tc>
              <w:tc>
                <w:tcPr>
                  <w:tcW w:type="auto" w:w="0"/>
                  <w:shd w:val="clear" w:color="auto" w:fill="F0F0F0"/>
                </w:tcPr>
                <w:p>
                  <w:pPr>
                    <w:pStyle w:val="Normal"/>
                    <w:keepLines w:val="on"/>
                  </w:pPr>
                  <w:r>
                    <w:t>7,51%</w:t>
                  </w:r>
                </w:p>
              </w:tc>
            </w:tr>
            <w:tr>
              <w:tc>
                <w:tcPr>
                  <w:tcW w:type="auto" w:w="0"/>
                  <w:shd w:val="clear" w:color="auto" w:fill="F0F0F0"/>
                </w:tcPr>
                <w:p>
                  <w:pPr>
                    <w:pStyle w:val="Para 02"/>
                    <w:keepLines w:val="on"/>
                  </w:pPr>
                  <w:r>
                    <w:t>Tỷ lệ Nợ trên Vốn chủ sở hữu (Debt-to-Equity Ratio)</w:t>
                  </w:r>
                </w:p>
              </w:tc>
              <w:tc>
                <w:tcPr>
                  <w:tcW w:type="auto" w:w="0"/>
                  <w:shd w:val="clear" w:color="auto" w:fill="F0F0F0"/>
                </w:tcPr>
                <w:p>
                  <w:pPr>
                    <w:pStyle w:val="Normal"/>
                    <w:keepLines w:val="on"/>
                  </w:pPr>
                  <w:r>
                    <w:t>29,71%</w:t>
                  </w:r>
                </w:p>
              </w:tc>
              <w:tc>
                <w:tcPr>
                  <w:tcW w:type="auto" w:w="0"/>
                  <w:shd w:val="clear" w:color="auto" w:fill="F0F0F0"/>
                </w:tcPr>
                <w:p>
                  <w:pPr>
                    <w:pStyle w:val="Normal"/>
                    <w:keepLines w:val="on"/>
                  </w:pPr>
                  <w:r>
                    <w:t>29,71%</w:t>
                  </w:r>
                </w:p>
              </w:tc>
            </w:tr>
            <w:tr>
              <w:tc>
                <w:tcPr>
                  <w:tcW w:type="auto" w:w="0"/>
                  <w:shd w:val="clear" w:color="auto" w:fill="F0F0F0"/>
                </w:tcPr>
                <w:p>
                  <w:pPr>
                    <w:pStyle w:val="5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Doanh thu (Revenues)</w:t>
                  </w:r>
                </w:p>
              </w:tc>
              <w:tc>
                <w:tcPr>
                  <w:tcW w:type="auto" w:w="0"/>
                  <w:shd w:val="clear" w:color="auto" w:fill="F0F0F0"/>
                </w:tcPr>
                <w:p>
                  <w:pPr>
                    <w:pStyle w:val="Normal"/>
                    <w:keepLines w:val="on"/>
                  </w:pPr>
                  <w:r>
                    <w:t>67.892,00 đô la</w:t>
                  </w:r>
                </w:p>
              </w:tc>
              <w:tc>
                <w:tcPr>
                  <w:tcW w:type="auto" w:w="0"/>
                  <w:shd w:val="clear" w:color="auto" w:fill="F0F0F0"/>
                </w:tcPr>
                <w:p>
                  <w:pPr>
                    <w:pStyle w:val="Normal"/>
                    <w:keepLines w:val="on"/>
                  </w:pPr>
                  <w:r>
                    <w:t>67.892,00 đô la</w:t>
                  </w:r>
                </w:p>
              </w:tc>
            </w:tr>
            <w:tr>
              <w:tc>
                <w:tcPr>
                  <w:tcW w:type="auto" w:w="0"/>
                  <w:shd w:val="clear" w:color="auto" w:fill="F0F0F0"/>
                </w:tcPr>
                <w:p>
                  <w:pPr>
                    <w:pStyle w:val="Para 02"/>
                    <w:keepLines w:val="on"/>
                  </w:pPr>
                  <w:r>
                    <w:t>Biên lợi nhuận hoạt động (Operating Margin)</w:t>
                  </w:r>
                </w:p>
              </w:tc>
              <w:tc>
                <w:tcPr>
                  <w:tcW w:type="auto" w:w="0"/>
                  <w:shd w:val="clear" w:color="auto" w:fill="F0F0F0"/>
                </w:tcPr>
                <w:p>
                  <w:pPr>
                    <w:pStyle w:val="Normal"/>
                    <w:keepLines w:val="on"/>
                  </w:pPr>
                  <w:r>
                    <w:t>28,27%</w:t>
                  </w:r>
                </w:p>
              </w:tc>
              <w:tc>
                <w:tcPr>
                  <w:tcW w:type="auto" w:w="0"/>
                  <w:shd w:val="clear" w:color="auto" w:fill="F0F0F0"/>
                </w:tcPr>
                <w:p>
                  <w:pPr>
                    <w:pStyle w:val="Normal"/>
                    <w:keepLines w:val="on"/>
                  </w:pPr>
                  <w:r>
                    <w:t>29,00%</w:t>
                  </w:r>
                </w:p>
              </w:tc>
            </w:tr>
            <w:tr>
              <w:tc>
                <w:tcPr>
                  <w:tcW w:type="auto" w:w="0"/>
                  <w:shd w:val="clear" w:color="auto" w:fill="F0F0F0"/>
                </w:tcPr>
                <w:p>
                  <w:pPr>
                    <w:pStyle w:val="Para 02"/>
                    <w:keepLines w:val="on"/>
                  </w:pPr>
                  <w:r>
                    <w:t>Lợi nhuận hoạt động (EBIT)</w:t>
                  </w:r>
                </w:p>
              </w:tc>
              <w:tc>
                <w:tcPr>
                  <w:tcW w:type="auto" w:w="0"/>
                  <w:shd w:val="clear" w:color="auto" w:fill="F0F0F0"/>
                </w:tcPr>
                <w:p>
                  <w:pPr>
                    <w:pStyle w:val="Normal"/>
                    <w:keepLines w:val="on"/>
                  </w:pPr>
                  <w:r>
                    <w:t>19.191,33 đô la</w:t>
                  </w:r>
                </w:p>
              </w:tc>
              <w:tc>
                <w:tcPr>
                  <w:tcW w:type="auto" w:w="0"/>
                  <w:shd w:val="clear" w:color="auto" w:fill="F0F0F0"/>
                </w:tcPr>
                <w:p>
                  <w:pPr>
                    <w:pStyle w:val="Normal"/>
                    <w:keepLines w:val="on"/>
                  </w:pPr>
                  <w:r>
                    <w:t>19.688,68 đô la</w:t>
                  </w:r>
                </w:p>
              </w:tc>
            </w:tr>
            <w:tr>
              <w:tc>
                <w:tcPr>
                  <w:tcW w:type="auto" w:w="0"/>
                  <w:shd w:val="clear" w:color="auto" w:fill="F0F0F0"/>
                </w:tcPr>
                <w:p>
                  <w:pPr>
                    <w:pStyle w:val="Para 02"/>
                    <w:keepLines w:val="on"/>
                  </w:pPr>
                  <w:r>
                    <w:t>Tỷ suất sinh lời trên vốn sau thuế (After-tax return on capital)</w:t>
                  </w:r>
                </w:p>
              </w:tc>
              <w:tc>
                <w:tcPr>
                  <w:tcW w:type="auto" w:w="0"/>
                  <w:shd w:val="clear" w:color="auto" w:fill="F0F0F0"/>
                </w:tcPr>
                <w:p>
                  <w:pPr>
                    <w:pStyle w:val="Normal"/>
                    <w:keepLines w:val="on"/>
                  </w:pPr>
                  <w:r>
                    <w:t>11,68%</w:t>
                  </w:r>
                </w:p>
              </w:tc>
              <w:tc>
                <w:tcPr>
                  <w:tcW w:type="auto" w:w="0"/>
                  <w:shd w:val="clear" w:color="auto" w:fill="F0F0F0"/>
                </w:tcPr>
                <w:p>
                  <w:pPr>
                    <w:pStyle w:val="Normal"/>
                    <w:keepLines w:val="on"/>
                  </w:pPr>
                  <w:r>
                    <w:t>12,00%</w:t>
                  </w:r>
                </w:p>
              </w:tc>
            </w:tr>
            <w:tr>
              <w:tc>
                <w:tcPr>
                  <w:tcW w:type="auto" w:w="0"/>
                  <w:shd w:val="clear" w:color="auto" w:fill="F0F0F0"/>
                </w:tcPr>
                <w:p>
                  <w:pPr>
                    <w:pStyle w:val="Para 02"/>
                    <w:keepLines w:val="on"/>
                  </w:pPr>
                  <w:r>
                    <w:t>Tỷ lệ tái đầu tư (Reinvestment Rate)</w:t>
                  </w:r>
                </w:p>
              </w:tc>
              <w:tc>
                <w:tcPr>
                  <w:tcW w:type="auto" w:w="0"/>
                  <w:shd w:val="clear" w:color="auto" w:fill="F0F0F0"/>
                </w:tcPr>
                <w:p>
                  <w:pPr>
                    <w:pStyle w:val="Normal"/>
                    <w:keepLines w:val="on"/>
                  </w:pPr>
                  <w:r>
                    <w:t>43,58%</w:t>
                  </w:r>
                </w:p>
              </w:tc>
              <w:tc>
                <w:tcPr>
                  <w:tcW w:type="auto" w:w="0"/>
                  <w:shd w:val="clear" w:color="auto" w:fill="F0F0F0"/>
                </w:tcPr>
                <w:p>
                  <w:pPr>
                    <w:pStyle w:val="Normal"/>
                    <w:keepLines w:val="on"/>
                  </w:pPr>
                  <w:r>
                    <w:t>50,00%</w:t>
                  </w:r>
                </w:p>
              </w:tc>
            </w:tr>
            <w:tr>
              <w:tc>
                <w:tcPr>
                  <w:tcW w:type="auto" w:w="0"/>
                  <w:shd w:val="clear" w:color="auto" w:fill="F0F0F0"/>
                </w:tcPr>
                <w:p>
                  <w:pPr>
                    <w:pStyle w:val="Para 02"/>
                    <w:keepLines w:val="on"/>
                  </w:pPr>
                  <w:r>
                    <w:t>Độ dài giai đoạn tăng trưởng (Length of growth period)</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5</w:t>
                  </w:r>
                </w:p>
              </w:tc>
            </w:tr>
            <w:tr>
              <w:tc>
                <w:tcPr>
                  <w:tcW w:type="auto" w:w="0"/>
                  <w:shd w:val="clear" w:color="auto" w:fill="F0F0F0"/>
                </w:tcPr>
                <w:p>
                  <w:pPr>
                    <w:pStyle w:val="Para 02"/>
                    <w:keepLines w:val="on"/>
                  </w:pPr>
                  <w:r>
                    <w:t>Tỷ lệ tái đầu tư (Reinvestment Rate)</w:t>
                  </w:r>
                </w:p>
              </w:tc>
              <w:tc>
                <w:tcPr>
                  <w:tcW w:type="auto" w:w="0"/>
                  <w:shd w:val="clear" w:color="auto" w:fill="F0F0F0"/>
                </w:tcPr>
                <w:p>
                  <w:pPr>
                    <w:pStyle w:val="Normal"/>
                    <w:keepLines w:val="on"/>
                  </w:pPr>
                  <w:r>
                    <w:t>43,58%</w:t>
                  </w:r>
                </w:p>
              </w:tc>
              <w:tc>
                <w:tcPr>
                  <w:tcW w:type="auto" w:w="0"/>
                  <w:shd w:val="clear" w:color="auto" w:fill="F0F0F0"/>
                </w:tcPr>
                <w:p>
                  <w:pPr>
                    <w:pStyle w:val="Normal"/>
                    <w:keepLines w:val="on"/>
                  </w:pPr>
                  <w:r>
                    <w:t>50,00%</w:t>
                  </w:r>
                </w:p>
              </w:tc>
            </w:tr>
            <w:tr>
              <w:tc>
                <w:tcPr>
                  <w:tcW w:type="auto" w:w="0"/>
                  <w:shd w:val="clear" w:color="auto" w:fill="F0F0F0"/>
                </w:tcPr>
                <w:p>
                  <w:pPr>
                    <w:pStyle w:val="Para 02"/>
                    <w:keepLines w:val="on"/>
                  </w:pPr>
                  <w:r>
                    <w:t>Tốc độ tăng trưởng kỳ vọng (Expected growth rate)</w:t>
                  </w:r>
                </w:p>
              </w:tc>
              <w:tc>
                <w:tcPr>
                  <w:tcW w:type="auto" w:w="0"/>
                  <w:shd w:val="clear" w:color="auto" w:fill="F0F0F0"/>
                </w:tcPr>
                <w:p>
                  <w:pPr>
                    <w:pStyle w:val="Normal"/>
                    <w:keepLines w:val="on"/>
                  </w:pPr>
                  <w:r>
                    <w:t>5,09%</w:t>
                  </w:r>
                </w:p>
              </w:tc>
              <w:tc>
                <w:tcPr>
                  <w:tcW w:type="auto" w:w="0"/>
                  <w:shd w:val="clear" w:color="auto" w:fill="F0F0F0"/>
                </w:tcPr>
                <w:p>
                  <w:pPr>
                    <w:pStyle w:val="Normal"/>
                    <w:keepLines w:val="on"/>
                  </w:pPr>
                  <w:r>
                    <w:t>6,00%</w:t>
                  </w:r>
                </w:p>
              </w:tc>
            </w:tr>
            <w:tr>
              <w:tc>
                <w:tcPr>
                  <w:tcW w:type="auto" w:w="0"/>
                  <w:shd w:val="clear" w:color="auto" w:fill="F0F0F0"/>
                </w:tcPr>
                <w:p>
                  <w:pPr>
                    <w:pStyle w:val="Para 46"/>
                    <w:keepLines w:val="on"/>
                  </w:pPr>
                  <w:r>
                    <w:t>Giá trị của doanh nghiệp</w:t>
                  </w: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PV của FCFF trong giai đoạn tăng trưởng cao =</w:t>
                  </w:r>
                </w:p>
              </w:tc>
              <w:tc>
                <w:tcPr>
                  <w:tcW w:type="auto" w:w="0"/>
                  <w:shd w:val="clear" w:color="auto" w:fill="F0F0F0"/>
                </w:tcPr>
                <w:p>
                  <w:pPr>
                    <w:pStyle w:val="Normal"/>
                    <w:keepLines w:val="on"/>
                  </w:pPr>
                  <w:r>
                    <w:t>$38.539,06</w:t>
                  </w:r>
                </w:p>
              </w:tc>
              <w:tc>
                <w:tcPr>
                  <w:tcW w:type="auto" w:w="0"/>
                  <w:shd w:val="clear" w:color="auto" w:fill="F0F0F0"/>
                </w:tcPr>
                <w:p>
                  <w:pPr>
                    <w:pStyle w:val="Normal"/>
                    <w:keepLines w:val="on"/>
                  </w:pPr>
                  <w:r>
                    <w:t>$39.150,61</w:t>
                  </w:r>
                </w:p>
              </w:tc>
            </w:tr>
            <w:tr>
              <w:tc>
                <w:tcPr>
                  <w:tcW w:type="auto" w:w="0"/>
                  <w:shd w:val="clear" w:color="auto" w:fill="F0F0F0"/>
                </w:tcPr>
                <w:p>
                  <w:pPr>
                    <w:pStyle w:val="Para 02"/>
                    <w:keepLines w:val="on"/>
                  </w:pPr>
                  <w:r>
                    <w:t>Giá trị cuối kỳ =</w:t>
                  </w:r>
                </w:p>
              </w:tc>
              <w:tc>
                <w:tcPr>
                  <w:tcW w:type="auto" w:w="0"/>
                  <w:shd w:val="clear" w:color="auto" w:fill="F0F0F0"/>
                </w:tcPr>
                <w:p>
                  <w:pPr>
                    <w:pStyle w:val="Normal"/>
                    <w:keepLines w:val="on"/>
                  </w:pPr>
                  <w:r>
                    <w:t>$319.717,43</w:t>
                  </w:r>
                </w:p>
              </w:tc>
              <w:tc>
                <w:tcPr>
                  <w:tcW w:type="auto" w:w="0"/>
                  <w:shd w:val="clear" w:color="auto" w:fill="F0F0F0"/>
                </w:tcPr>
                <w:p>
                  <w:pPr>
                    <w:pStyle w:val="Normal"/>
                    <w:keepLines w:val="on"/>
                  </w:pPr>
                  <w:r>
                    <w:t>$340.174,63</w:t>
                  </w:r>
                </w:p>
              </w:tc>
            </w:tr>
            <w:tr>
              <w:tc>
                <w:tcPr>
                  <w:tcW w:type="auto" w:w="0"/>
                  <w:shd w:val="clear" w:color="auto" w:fill="F0F0F0"/>
                </w:tcPr>
                <w:p>
                  <w:pPr>
                    <w:pStyle w:val="Para 02"/>
                    <w:keepLines w:val="on"/>
                  </w:pPr>
                  <w:r>
                    <w:t>Giá trị tài sản hoạt động =</w:t>
                  </w:r>
                </w:p>
              </w:tc>
              <w:tc>
                <w:tcPr>
                  <w:tcW w:type="auto" w:w="0"/>
                  <w:shd w:val="clear" w:color="auto" w:fill="F0F0F0"/>
                </w:tcPr>
                <w:p>
                  <w:pPr>
                    <w:pStyle w:val="Normal"/>
                    <w:keepLines w:val="on"/>
                  </w:pPr>
                  <w:r>
                    <w:t>$262.018,16</w:t>
                  </w:r>
                </w:p>
              </w:tc>
              <w:tc>
                <w:tcPr>
                  <w:tcW w:type="auto" w:w="0"/>
                  <w:shd w:val="clear" w:color="auto" w:fill="F0F0F0"/>
                </w:tcPr>
                <w:p>
                  <w:pPr>
                    <w:pStyle w:val="Normal"/>
                    <w:keepLines w:val="on"/>
                  </w:pPr>
                  <w:r>
                    <w:t>$276.609,92</w:t>
                  </w:r>
                </w:p>
              </w:tc>
            </w:tr>
          </w:tbl>
          <w:p/>
        </w:tc>
      </w:tr>
    </w:tbl>
    <w:p>
      <w:pPr>
        <w:pStyle w:val="Para 04"/>
        <w:keepLines w:val="on"/>
      </w:pPr>
      <w:r>
        <w:t>Giá trị của doanh nghiệp kết hợp, có cộng hưởng (synergy), là 276,6 tỷ đô la. Con số này có thể được so sánh với giá trị của doanh nghiệp kết hợp không có cộng hưởng là 262 tỷ đô la, và phần chênh lệch chính là giá trị của sự cộng hưởng trong thương vụ sáp nhập.</w:t>
      </w:r>
    </w:p>
    <w:p>
      <w:pPr>
        <w:pStyle w:val="1 Block"/>
        <w:keepLines w:val="on"/>
      </w:pPr>
    </w:p>
    <w:tbl>
      <w:tblPr>
        <w:tblW w:type="auto" w:w="0"/>
      </w:tblPr>
      <w:tr>
        <w:tc>
          <w:tcPr>
            <w:tcW w:type="auto" w:w="0"/>
          </w:tcPr>
          <w:tbl>
            <w:tblPr>
              <w:tblW w:type="auto" w:w="0"/>
            </w:tblPr>
            <w:tr>
              <w:tc>
                <w:tcPr>
                  <w:tcW w:type="auto" w:w="0"/>
                  <w:shd w:val="clear" w:color="auto" w:fill="F0F0F0"/>
                </w:tcPr>
                <w:p>
                  <w:pPr>
                    <w:pStyle w:val="Para 02"/>
                    <w:keepLines w:val="on"/>
                  </w:pPr>
                  <w:r>
                    <w:t>Giá trị doanh nghiệp kết hợp (có cộng hưởng)</w:t>
                  </w:r>
                </w:p>
              </w:tc>
              <w:tc>
                <w:tcPr>
                  <w:tcW w:type="auto" w:w="0"/>
                  <w:shd w:val="clear" w:color="auto" w:fill="F0F0F0"/>
                </w:tcPr>
                <w:p>
                  <w:pPr>
                    <w:pStyle w:val="Para 02"/>
                    <w:keepLines w:val="on"/>
                  </w:pPr>
                  <w:r>
                    <w:t>$276.610 triệu</w:t>
                  </w:r>
                </w:p>
              </w:tc>
            </w:tr>
            <w:tr>
              <w:tc>
                <w:tcPr>
                  <w:tcW w:type="auto" w:w="0"/>
                  <w:shd w:val="clear" w:color="auto" w:fill="F0F0F0"/>
                </w:tcPr>
                <w:p>
                  <w:pPr>
                    <w:pStyle w:val="Para 02"/>
                    <w:keepLines w:val="on"/>
                  </w:pPr>
                  <w:r>
                    <w:t>Giá trị doanh nghiệp kết hợp (không có cộng hưởng)</w:t>
                  </w:r>
                </w:p>
              </w:tc>
              <w:tc>
                <w:tcPr>
                  <w:tcW w:type="auto" w:w="0"/>
                  <w:shd w:val="clear" w:color="auto" w:fill="F0F0F0"/>
                </w:tcPr>
                <w:p>
                  <w:pPr>
                    <w:pStyle w:val="Para 02"/>
                    <w:keepLines w:val="on"/>
                  </w:pPr>
                  <w:r>
                    <w:t>$262.018 triệu</w:t>
                  </w:r>
                </w:p>
              </w:tc>
            </w:tr>
            <w:tr>
              <w:tc>
                <w:tcPr>
                  <w:tcW w:type="auto" w:w="0"/>
                  <w:shd w:val="clear" w:color="auto" w:fill="F0F0F0"/>
                </w:tcPr>
                <w:p>
                  <w:pPr>
                    <w:pStyle w:val="Para 02"/>
                    <w:keepLines w:val="on"/>
                  </w:pPr>
                  <w:r>
                    <w:t>Giá trị cộng hưởng</w:t>
                  </w:r>
                </w:p>
              </w:tc>
              <w:tc>
                <w:tcPr>
                  <w:tcW w:type="auto" w:w="0"/>
                  <w:shd w:val="clear" w:color="auto" w:fill="F0F0F0"/>
                </w:tcPr>
                <w:p>
                  <w:pPr>
                    <w:pStyle w:val="Para 02"/>
                    <w:keepLines w:val="on"/>
                  </w:pPr>
                  <w:r>
                    <w:t>$14.592 triệu</w:t>
                  </w:r>
                </w:p>
              </w:tc>
            </w:tr>
          </w:tbl>
          <w:p/>
        </w:tc>
      </w:tr>
    </w:tbl>
    <w:p>
      <w:pPr>
        <w:pStyle w:val="Para 04"/>
        <w:keepLines w:val="on"/>
      </w:pPr>
      <w:r>
        <w:t>Định giá này dựa trên giả định rằng sự cộng hưởng sẽ được tạo ra ngay lập tức. Trên thực tế, có thể mất nhiều năm trước khi các doanh nghiệp nhìn thấy được lợi ích của sự cộng hưởng. Một cách đơn giản để tính đến độ trễ này là xem xét giá trị hiện tại của sự cộng hưởng. Như vậy, nếu Inbev và SAB Miller mất ba năm để tạo ra sự cộng hưởng, giá trị hiện tại của sự cộng hưởng có thể được ước tính bằng cách dùng chi phí vốn của doanh nghiệp kết hợp làm tỷ lệ chiết khấu:</w:t>
      </w:r>
    </w:p>
    <w:p>
      <w:bookmarkStart w:id="5291" w:name="Presentvalueofsynergy__14_592mil"/>
      <w:pPr>
        <w:keepNext/>
        <w:pStyle w:val="Para 07"/>
        <w:keepLines w:val="on"/>
      </w:pPr>
      <w:r>
        <w:t>Giátrịhiệntạicủacộnghưởng=$14.592triệu/1,07513=$11.746triệu</w:t>
      </w:r>
      <w:bookmarkEnd w:id="5291"/>
    </w:p>
    <w:p>
      <w:pPr>
        <w:pStyle w:val="Para 11"/>
      </w:pPr>
      <w:r>
        <w:t/>
        <w:t xml:space="preserve"> </w:t>
      </w:r>
      <w:r>
        <w:rPr>
          <w:rStyle w:val="Text26"/>
        </w:rPr>
        <w:bookmarkStart w:id="5292" w:name="Page_813"/>
        <w:t/>
        <w:bookmarkEnd w:id="5292"/>
      </w:r>
      <w:r>
        <w:t xml:space="preserve"> </w:t>
      </w:r>
    </w:p>
    <w:p>
      <w:bookmarkStart w:id="5293" w:name="synergy_xls__This_spreadsheet_en"/>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30"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5293"/>
    </w:p>
    <w:p>
      <w:pPr>
        <w:pStyle w:val="Para 31"/>
        <w:keepLines w:val="on"/>
      </w:pPr>
      <w:r>
        <w:t>synergy.xls: Bảng tính này cho phép bạn ước tính giá trị gần đúng của sự cộng hưởng trong một thương vụ sáp nhập hoặc mua lại.</w:t>
      </w:r>
    </w:p>
    <w:p>
      <w:bookmarkStart w:id="5294" w:name="Valuing_Financial_Synergy__Syner"/>
      <w:bookmarkStart w:id="5295" w:name="Valuing_Financial_Synergy"/>
      <w:pPr>
        <w:keepNext/>
        <w:pStyle w:val="Heading 4"/>
        <w:keepLines w:val="on"/>
      </w:pPr>
      <w:r>
        <w:t>Định giá cộng hưởng tài chính</w:t>
      </w:r>
      <w:bookmarkEnd w:id="5294"/>
      <w:bookmarkEnd w:id="5295"/>
    </w:p>
    <w:p>
      <w:pPr>
        <w:pStyle w:val="Para 03"/>
      </w:pPr>
      <w:r>
        <w:t>Sự cộng hưởng cũng có thể được tạo ra từ các yếu tố thuần túy mang tính tài chính. Chúng ta sẽ xem xét ba nguồn cộng hưởng tài chính chính đáng: sử dụng tốt hơn lượng tiền mặt dư thừa hay tiền mặt nhàn rỗi; lợi ích thuế lớn hơn từ các khoản lỗ lũy kế hoặc các khoản khấu trừ thuế; và sự gia tăng khả năng vay nợ, và do đó làm tăng giá trị doanh nghiệp. Tuy nhiên, phần thảo luận bắt đầu với đa dạng hóa (diversification), một lý do được sử dụng rộng rãi cho các thương vụ sáp nhập nhưng bản thân nó không phải là nguồn tạo ra giá trị gia tăng, ít nhất là ở các công ty đại chúng.</w:t>
      </w:r>
    </w:p>
    <w:p>
      <w:bookmarkStart w:id="5296" w:name="Diversification__A_takeover_moti"/>
      <w:pPr>
        <w:pStyle w:val="Para 21"/>
      </w:pPr>
      <w:r>
        <w:t>Đa dạng hóa</w:t>
      </w:r>
      <w:bookmarkEnd w:id="5296"/>
    </w:p>
    <w:p>
      <w:pPr>
        <w:pStyle w:val="Para 03"/>
      </w:pPr>
      <w:r>
        <w:t>Một thương vụ thâu tóm chỉ được thúc đẩy bởi động cơ đa dạng hóa sẽ không tác động gì đến giá trị tổng hợp của hai công ty tham gia thương vụ, khi cả hai công ty đều là công ty đại chúng, và khi các nhà đầu tư vào các công ty đó có thể tự đa dạng hóa danh mục của mình. Hãy xem ví dụ sau. Dalton Motors, một công ty sản xuất phụ tùng ô tô hoạt động trong ngành có tính chu kỳ, dự định thâu tóm Lube &amp; Auto, một công ty dịch vụ ô tô có hoạt động kinh doanh phi chu kỳ và tăng trưởng cao, chỉ vì lợi ích đa dạng hóa. Các đặc điểm của hai công ty được tóm tắt trong Bảng 25.7.</w:t>
      </w:r>
    </w:p>
    <w:p>
      <w:pPr>
        <w:pStyle w:val="Para 34"/>
        <w:keepLines w:val="on"/>
      </w:pPr>
      <w:r>
        <w:t>Bảng 25.7</w:t>
      </w:r>
    </w:p>
    <w:p>
      <w:pPr>
        <w:keepNext/>
        <w:pStyle w:val="Para 35"/>
        <w:keepLines w:val="on"/>
      </w:pPr>
      <w:r>
        <w:t>Đặc điểm công ty (Dalton và Lube &amp; Auto)</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17"/>
                    <w:keepLines w:val="on"/>
                  </w:pPr>
                  <w:r>
                    <w:t>Lube &amp; Auto</w:t>
                  </w:r>
                </w:p>
              </w:tc>
              <w:tc>
                <w:tcPr>
                  <w:tcW w:type="auto" w:w="0"/>
                  <w:shd w:val="clear" w:color="auto" w:fill="F0F0F0"/>
                </w:tcPr>
                <w:p>
                  <w:pPr>
                    <w:pStyle w:val="Para 17"/>
                    <w:keepLines w:val="on"/>
                  </w:pPr>
                  <w:r>
                    <w:t>Dalton Motors</w:t>
                  </w:r>
                </w:p>
              </w:tc>
            </w:tr>
            <w:tr>
              <w:tc>
                <w:tcPr>
                  <w:tcW w:type="auto" w:w="0"/>
                  <w:shd w:val="clear" w:color="auto" w:fill="F0F0F0"/>
                </w:tcPr>
                <w:p>
                  <w:pPr>
                    <w:pStyle w:val="Para 02"/>
                    <w:keepLines w:val="on"/>
                  </w:pPr>
                  <w:r>
                    <w:t>Dòng tiền tự do hiện tại thuộc về công ty</w:t>
                  </w:r>
                </w:p>
              </w:tc>
              <w:tc>
                <w:tcPr>
                  <w:tcW w:type="auto" w:w="0"/>
                  <w:shd w:val="clear" w:color="auto" w:fill="F0F0F0"/>
                </w:tcPr>
                <w:p>
                  <w:pPr>
                    <w:pStyle w:val="Normal"/>
                    <w:keepLines w:val="on"/>
                  </w:pPr>
                  <w:r>
                    <w:t>100 triệu đô la</w:t>
                  </w:r>
                </w:p>
              </w:tc>
              <w:tc>
                <w:tcPr>
                  <w:tcW w:type="auto" w:w="0"/>
                  <w:shd w:val="clear" w:color="auto" w:fill="F0F0F0"/>
                </w:tcPr>
                <w:p>
                  <w:pPr>
                    <w:pStyle w:val="Normal"/>
                    <w:keepLines w:val="on"/>
                  </w:pPr>
                  <w:r>
                    <w:t>200 triệu đô la</w:t>
                  </w:r>
                </w:p>
              </w:tc>
            </w:tr>
            <w:tr>
              <w:tc>
                <w:tcPr>
                  <w:tcW w:type="auto" w:w="0"/>
                  <w:shd w:val="clear" w:color="auto" w:fill="F0F0F0"/>
                </w:tcPr>
                <w:p>
                  <w:pPr>
                    <w:pStyle w:val="Para 02"/>
                    <w:keepLines w:val="on"/>
                  </w:pPr>
                  <w:r>
                    <w:t>Tốc độ tăng trưởng kỳ vọng—năm năm tới</w:t>
                  </w:r>
                </w:p>
              </w:tc>
              <w:tc>
                <w:tcPr>
                  <w:tcW w:type="auto" w:w="0"/>
                  <w:shd w:val="clear" w:color="auto" w:fill="F0F0F0"/>
                </w:tcPr>
                <w:p>
                  <w:pPr>
                    <w:pStyle w:val="Normal"/>
                    <w:keepLines w:val="on"/>
                  </w:pPr>
                  <w:r>
                    <w:t>20%</w:t>
                  </w:r>
                </w:p>
              </w:tc>
              <w:tc>
                <w:tcPr>
                  <w:tcW w:type="auto" w:w="0"/>
                  <w:shd w:val="clear" w:color="auto" w:fill="F0F0F0"/>
                </w:tcPr>
                <w:p>
                  <w:pPr>
                    <w:pStyle w:val="Normal"/>
                    <w:keepLines w:val="on"/>
                  </w:pPr>
                  <w:r>
                    <w:t>10%</w:t>
                  </w:r>
                </w:p>
              </w:tc>
            </w:tr>
            <w:tr>
              <w:tc>
                <w:tcPr>
                  <w:tcW w:type="auto" w:w="0"/>
                  <w:shd w:val="clear" w:color="auto" w:fill="F0F0F0"/>
                </w:tcPr>
                <w:p>
                  <w:pPr>
                    <w:pStyle w:val="Para 02"/>
                    <w:keepLines w:val="on"/>
                  </w:pPr>
                  <w:r>
                    <w:t>Tốc độ tăng trưởng kỳ vọng—sau năm thứ 5</w:t>
                  </w:r>
                </w:p>
              </w:tc>
              <w:tc>
                <w:tcPr>
                  <w:tcW w:type="auto" w:w="0"/>
                  <w:shd w:val="clear" w:color="auto" w:fill="F0F0F0"/>
                </w:tcPr>
                <w:p>
                  <w:pPr>
                    <w:pStyle w:val="Normal"/>
                    <w:keepLines w:val="on"/>
                  </w:pPr>
                  <w:r>
                    <w:t>6%</w:t>
                  </w:r>
                </w:p>
              </w:tc>
              <w:tc>
                <w:tcPr>
                  <w:tcW w:type="auto" w:w="0"/>
                  <w:shd w:val="clear" w:color="auto" w:fill="F0F0F0"/>
                </w:tcPr>
                <w:p>
                  <w:pPr>
                    <w:pStyle w:val="Normal"/>
                    <w:keepLines w:val="on"/>
                  </w:pPr>
                  <w:r>
                    <w:t>6%</w:t>
                  </w:r>
                </w:p>
              </w:tc>
            </w:tr>
            <w:tr>
              <w:tc>
                <w:tcPr>
                  <w:tcW w:type="auto" w:w="0"/>
                  <w:shd w:val="clear" w:color="auto" w:fill="F0F0F0"/>
                </w:tcPr>
                <w:p>
                  <w:pPr>
                    <w:pStyle w:val="Para 02"/>
                    <w:keepLines w:val="on"/>
                  </w:pPr>
                  <w:r>
                    <w:t>Nợ/(Nợ + Vốn chủ sở hữu)</w:t>
                  </w:r>
                </w:p>
              </w:tc>
              <w:tc>
                <w:tcPr>
                  <w:tcW w:type="auto" w:w="0"/>
                  <w:shd w:val="clear" w:color="auto" w:fill="F0F0F0"/>
                </w:tcPr>
                <w:p>
                  <w:pPr>
                    <w:pStyle w:val="Normal"/>
                    <w:keepLines w:val="on"/>
                  </w:pPr>
                  <w:r>
                    <w:t>30%</w:t>
                  </w:r>
                </w:p>
              </w:tc>
              <w:tc>
                <w:tcPr>
                  <w:tcW w:type="auto" w:w="0"/>
                  <w:shd w:val="clear" w:color="auto" w:fill="F0F0F0"/>
                </w:tcPr>
                <w:p>
                  <w:pPr>
                    <w:pStyle w:val="Normal"/>
                    <w:keepLines w:val="on"/>
                  </w:pPr>
                  <w:r>
                    <w:t>30%</w:t>
                  </w:r>
                </w:p>
              </w:tc>
            </w:tr>
            <w:tr>
              <w:tc>
                <w:tcPr>
                  <w:tcW w:type="auto" w:w="0"/>
                  <w:shd w:val="clear" w:color="auto" w:fill="F0F0F0"/>
                </w:tcPr>
                <w:p>
                  <w:pPr>
                    <w:pStyle w:val="Para 02"/>
                    <w:keepLines w:val="on"/>
                  </w:pPr>
                  <w:r>
                    <w:t>Chi phí nợ sau thuế</w:t>
                  </w:r>
                </w:p>
              </w:tc>
              <w:tc>
                <w:tcPr>
                  <w:tcW w:type="auto" w:w="0"/>
                  <w:shd w:val="clear" w:color="auto" w:fill="F0F0F0"/>
                </w:tcPr>
                <w:p>
                  <w:pPr>
                    <w:pStyle w:val="Normal"/>
                    <w:keepLines w:val="on"/>
                  </w:pPr>
                  <w:r>
                    <w:t>6%</w:t>
                  </w:r>
                </w:p>
              </w:tc>
              <w:tc>
                <w:tcPr>
                  <w:tcW w:type="auto" w:w="0"/>
                  <w:shd w:val="clear" w:color="auto" w:fill="F0F0F0"/>
                </w:tcPr>
                <w:p>
                  <w:pPr>
                    <w:pStyle w:val="Normal"/>
                    <w:keepLines w:val="on"/>
                  </w:pPr>
                  <w:r>
                    <w:t>5,40%</w:t>
                  </w:r>
                </w:p>
              </w:tc>
            </w:tr>
            <w:tr>
              <w:tc>
                <w:tcPr>
                  <w:tcW w:type="auto" w:w="0"/>
                  <w:shd w:val="clear" w:color="auto" w:fill="F0F0F0"/>
                </w:tcPr>
                <w:p>
                  <w:pPr>
                    <w:pStyle w:val="Para 02"/>
                    <w:keepLines w:val="on"/>
                  </w:pPr>
                  <w:r>
                    <w:t>Beta có đòn bẩy của vốn chủ sở hữu—năm năm tới</w:t>
                  </w:r>
                </w:p>
              </w:tc>
              <w:tc>
                <w:tcPr>
                  <w:tcW w:type="auto" w:w="0"/>
                  <w:shd w:val="clear" w:color="auto" w:fill="F0F0F0"/>
                </w:tcPr>
                <w:p>
                  <w:pPr>
                    <w:pStyle w:val="Normal"/>
                    <w:keepLines w:val="on"/>
                  </w:pPr>
                  <w:r>
                    <w:t>1,20</w:t>
                  </w:r>
                </w:p>
              </w:tc>
              <w:tc>
                <w:tcPr>
                  <w:tcW w:type="auto" w:w="0"/>
                  <w:shd w:val="clear" w:color="auto" w:fill="F0F0F0"/>
                </w:tcPr>
                <w:p>
                  <w:pPr>
                    <w:pStyle w:val="Normal"/>
                    <w:keepLines w:val="on"/>
                  </w:pPr>
                  <w:r>
                    <w:t>1,00</w:t>
                  </w:r>
                </w:p>
              </w:tc>
            </w:tr>
            <w:tr>
              <w:tc>
                <w:tcPr>
                  <w:tcW w:type="auto" w:w="0"/>
                  <w:shd w:val="clear" w:color="auto" w:fill="F0F0F0"/>
                </w:tcPr>
                <w:p>
                  <w:pPr>
                    <w:pStyle w:val="Para 02"/>
                    <w:keepLines w:val="on"/>
                  </w:pPr>
                  <w:r>
                    <w:t>Beta có đòn bẩy của vốn chủ sở hữu—sau năm thứ 5</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1,00</w:t>
                  </w:r>
                </w:p>
              </w:tc>
            </w:tr>
          </w:tbl>
          <w:p/>
        </w:tc>
      </w:tr>
    </w:tbl>
    <w:p>
      <w:pPr>
        <w:pStyle w:val="Para 03"/>
      </w:pPr>
      <w:r>
        <w:t>Lãi suất trái phiếu kho bạc là 7 phần trăm, và mức bù rủi ro thị trường là 5,5 phần trăm. Các tính toán cho chi phí vốn bình quân gia quyền (weighted average cost of capital) và giá trị của các công ty được trình bày trong Bảng 25.8.</w:t>
      </w:r>
    </w:p>
    <w:p>
      <w:pPr>
        <w:pStyle w:val="Para 34"/>
        <w:keepLines w:val="on"/>
      </w:pPr>
      <w:r>
        <w:t>Bảng 25.8</w:t>
      </w:r>
    </w:p>
    <w:p>
      <w:pPr>
        <w:keepNext/>
        <w:pStyle w:val="Para 35"/>
        <w:keepLines w:val="on"/>
      </w:pPr>
      <w:r>
        <w:t>Giá trị của Lube &amp; Auto, Dalton Motors và Công ty hợp nhất</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17"/>
                    <w:keepLines w:val="on"/>
                  </w:pPr>
                  <w:r>
                    <w:t>Lube &amp; Auto</w:t>
                  </w:r>
                </w:p>
              </w:tc>
              <w:tc>
                <w:tcPr>
                  <w:tcW w:type="auto" w:w="0"/>
                  <w:shd w:val="clear" w:color="auto" w:fill="F0F0F0"/>
                </w:tcPr>
                <w:p>
                  <w:pPr>
                    <w:pStyle w:val="Para 17"/>
                    <w:keepLines w:val="on"/>
                  </w:pPr>
                  <w:r>
                    <w:t>Dalton Motors</w:t>
                  </w:r>
                </w:p>
              </w:tc>
              <w:tc>
                <w:tcPr>
                  <w:tcW w:type="auto" w:w="0"/>
                  <w:shd w:val="clear" w:color="auto" w:fill="F0F0F0"/>
                </w:tcPr>
                <w:p>
                  <w:pPr>
                    <w:pStyle w:val="Para 17"/>
                    <w:keepLines w:val="on"/>
                  </w:pPr>
                  <w:r>
                    <w:t>Công ty hợp nhất</w:t>
                  </w:r>
                </w:p>
              </w:tc>
            </w:tr>
            <w:tr>
              <w:tc>
                <w:tcPr>
                  <w:tcW w:type="auto" w:w="0"/>
                  <w:shd w:val="clear" w:color="auto" w:fill="F0F0F0"/>
                </w:tcPr>
                <w:p>
                  <w:pPr>
                    <w:pStyle w:val="Para 02"/>
                    <w:keepLines w:val="on"/>
                  </w:pPr>
                  <w:r>
                    <w:t>Nợ (%)</w:t>
                  </w:r>
                </w:p>
              </w:tc>
              <w:tc>
                <w:tcPr>
                  <w:tcW w:type="auto" w:w="0"/>
                  <w:shd w:val="clear" w:color="auto" w:fill="F0F0F0"/>
                </w:tcPr>
                <w:p>
                  <w:pPr>
                    <w:pStyle w:val="Normal"/>
                    <w:keepLines w:val="on"/>
                  </w:pPr>
                  <w:r>
                    <w:t>30%</w:t>
                  </w:r>
                </w:p>
              </w:tc>
              <w:tc>
                <w:tcPr>
                  <w:tcW w:type="auto" w:w="0"/>
                  <w:shd w:val="clear" w:color="auto" w:fill="F0F0F0"/>
                </w:tcPr>
                <w:p>
                  <w:pPr>
                    <w:pStyle w:val="Normal"/>
                    <w:keepLines w:val="on"/>
                  </w:pPr>
                  <w:r>
                    <w:t>30%</w:t>
                  </w:r>
                </w:p>
              </w:tc>
              <w:tc>
                <w:tcPr>
                  <w:tcW w:type="auto" w:w="0"/>
                  <w:shd w:val="clear" w:color="auto" w:fill="F0F0F0"/>
                </w:tcPr>
                <w:p>
                  <w:pPr>
                    <w:pStyle w:val="Normal"/>
                    <w:keepLines w:val="on"/>
                  </w:pPr>
                  <w:r>
                    <w:t>30%</w:t>
                  </w:r>
                </w:p>
              </w:tc>
            </w:tr>
            <w:tr>
              <w:tc>
                <w:tcPr>
                  <w:tcW w:type="auto" w:w="0"/>
                  <w:shd w:val="clear" w:color="auto" w:fill="F0F0F0"/>
                </w:tcPr>
                <w:p>
                  <w:pPr>
                    <w:pStyle w:val="Para 02"/>
                    <w:keepLines w:val="on"/>
                  </w:pPr>
                  <w:r>
                    <w:t>Chi phí nợ</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5,40%</w:t>
                  </w:r>
                </w:p>
              </w:tc>
              <w:tc>
                <w:tcPr>
                  <w:tcW w:type="auto" w:w="0"/>
                  <w:shd w:val="clear" w:color="auto" w:fill="F0F0F0"/>
                </w:tcPr>
                <w:p>
                  <w:pPr>
                    <w:pStyle w:val="Normal"/>
                    <w:keepLines w:val="on"/>
                  </w:pPr>
                  <w:r>
                    <w:t>5,65%</w:t>
                  </w:r>
                </w:p>
              </w:tc>
            </w:tr>
            <w:tr>
              <w:tc>
                <w:tcPr>
                  <w:tcW w:type="auto" w:w="0"/>
                  <w:shd w:val="clear" w:color="auto" w:fill="F0F0F0"/>
                </w:tcPr>
                <w:p>
                  <w:pPr>
                    <w:pStyle w:val="Para 02"/>
                    <w:keepLines w:val="on"/>
                  </w:pPr>
                  <w:r>
                    <w:t>Vốn chủ sở hữu (%)</w:t>
                  </w:r>
                </w:p>
              </w:tc>
              <w:tc>
                <w:tcPr>
                  <w:tcW w:type="auto" w:w="0"/>
                  <w:shd w:val="clear" w:color="auto" w:fill="F0F0F0"/>
                </w:tcPr>
                <w:p>
                  <w:pPr>
                    <w:pStyle w:val="Normal"/>
                    <w:keepLines w:val="on"/>
                  </w:pPr>
                  <w:r>
                    <w:t>70%</w:t>
                  </w:r>
                </w:p>
              </w:tc>
              <w:tc>
                <w:tcPr>
                  <w:tcW w:type="auto" w:w="0"/>
                  <w:shd w:val="clear" w:color="auto" w:fill="F0F0F0"/>
                </w:tcPr>
                <w:p>
                  <w:pPr>
                    <w:pStyle w:val="Normal"/>
                    <w:keepLines w:val="on"/>
                  </w:pPr>
                  <w:r>
                    <w:t>70%</w:t>
                  </w:r>
                </w:p>
              </w:tc>
              <w:tc>
                <w:tcPr>
                  <w:tcW w:type="auto" w:w="0"/>
                  <w:shd w:val="clear" w:color="auto" w:fill="F0F0F0"/>
                </w:tcPr>
                <w:p>
                  <w:pPr>
                    <w:pStyle w:val="Normal"/>
                    <w:keepLines w:val="on"/>
                  </w:pPr>
                  <w:r>
                    <w:t>70%</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Normal"/>
                    <w:keepLines w:val="on"/>
                  </w:pPr>
                  <w:r>
                    <w:t>13,60%</w:t>
                  </w:r>
                </w:p>
              </w:tc>
              <w:tc>
                <w:tcPr>
                  <w:tcW w:type="auto" w:w="0"/>
                  <w:shd w:val="clear" w:color="auto" w:fill="F0F0F0"/>
                </w:tcPr>
                <w:p>
                  <w:pPr>
                    <w:pStyle w:val="Normal"/>
                    <w:keepLines w:val="on"/>
                  </w:pPr>
                  <w:r>
                    <w:t>12,50%</w:t>
                  </w:r>
                </w:p>
              </w:tc>
              <w:tc>
                <w:tcPr>
                  <w:tcW w:type="auto" w:w="0"/>
                  <w:shd w:val="clear" w:color="auto" w:fill="F0F0F0"/>
                </w:tcPr>
                <w:p>
                  <w:pPr>
                    <w:pStyle w:val="Normal"/>
                    <w:keepLines w:val="on"/>
                  </w:pPr>
                  <w:r>
                    <w:t>12,95%</w:t>
                  </w:r>
                </w:p>
              </w:tc>
            </w:tr>
            <w:tr>
              <w:tc>
                <w:tcPr>
                  <w:tcW w:type="auto" w:w="0"/>
                  <w:shd w:val="clear" w:color="auto" w:fill="F0F0F0"/>
                </w:tcPr>
                <w:p>
                  <w:pPr>
                    <w:pStyle w:val="Para 02"/>
                    <w:keepLines w:val="on"/>
                  </w:pPr>
                  <w:r>
                    <w:t>Chi phí vốn—năm 1</w:t>
                  </w:r>
                </w:p>
              </w:tc>
              <w:tc>
                <w:tcPr>
                  <w:tcW w:type="auto" w:w="0"/>
                  <w:shd w:val="clear" w:color="auto" w:fill="F0F0F0"/>
                </w:tcPr>
                <w:p>
                  <w:pPr>
                    <w:pStyle w:val="Normal"/>
                    <w:keepLines w:val="on"/>
                  </w:pPr>
                  <w:r>
                    <w:t>11,32%</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10,76%</w:t>
                  </w:r>
                </w:p>
              </w:tc>
            </w:tr>
            <w:tr>
              <w:tc>
                <w:tcPr>
                  <w:tcW w:type="auto" w:w="0"/>
                  <w:shd w:val="clear" w:color="auto" w:fill="F0F0F0"/>
                </w:tcPr>
                <w:p>
                  <w:pPr>
                    <w:pStyle w:val="Para 02"/>
                    <w:keepLines w:val="on"/>
                  </w:pPr>
                  <w:r>
                    <w:t>Chi phí vốn—năm 2</w:t>
                  </w:r>
                </w:p>
              </w:tc>
              <w:tc>
                <w:tcPr>
                  <w:tcW w:type="auto" w:w="0"/>
                  <w:shd w:val="clear" w:color="auto" w:fill="F0F0F0"/>
                </w:tcPr>
                <w:p>
                  <w:pPr>
                    <w:pStyle w:val="Normal"/>
                    <w:keepLines w:val="on"/>
                  </w:pPr>
                  <w:r>
                    <w:t>11,32%</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10,76%</w:t>
                  </w:r>
                </w:p>
              </w:tc>
            </w:tr>
            <w:tr>
              <w:tc>
                <w:tcPr>
                  <w:tcW w:type="auto" w:w="0"/>
                  <w:shd w:val="clear" w:color="auto" w:fill="F0F0F0"/>
                </w:tcPr>
                <w:p>
                  <w:pPr>
                    <w:pStyle w:val="Para 02"/>
                    <w:keepLines w:val="on"/>
                  </w:pPr>
                  <w:r>
                    <w:t>Chi phí vốn—năm 3</w:t>
                  </w:r>
                </w:p>
              </w:tc>
              <w:tc>
                <w:tcPr>
                  <w:tcW w:type="auto" w:w="0"/>
                  <w:shd w:val="clear" w:color="auto" w:fill="F0F0F0"/>
                </w:tcPr>
                <w:p>
                  <w:pPr>
                    <w:pStyle w:val="Normal"/>
                    <w:keepLines w:val="on"/>
                  </w:pPr>
                  <w:r>
                    <w:t>11,32%</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10,77%</w:t>
                  </w:r>
                </w:p>
              </w:tc>
            </w:tr>
            <w:tr>
              <w:tc>
                <w:tcPr>
                  <w:tcW w:type="auto" w:w="0"/>
                  <w:shd w:val="clear" w:color="auto" w:fill="F0F0F0"/>
                </w:tcPr>
                <w:p>
                  <w:pPr>
                    <w:pStyle w:val="Para 02"/>
                    <w:keepLines w:val="on"/>
                  </w:pPr>
                  <w:r>
                    <w:t>Chi phí vốn—năm 4</w:t>
                  </w:r>
                </w:p>
              </w:tc>
              <w:tc>
                <w:tcPr>
                  <w:tcW w:type="auto" w:w="0"/>
                  <w:shd w:val="clear" w:color="auto" w:fill="F0F0F0"/>
                </w:tcPr>
                <w:p>
                  <w:pPr>
                    <w:pStyle w:val="Normal"/>
                    <w:keepLines w:val="on"/>
                  </w:pPr>
                  <w:r>
                    <w:t>11,32%</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10,77%</w:t>
                  </w:r>
                </w:p>
              </w:tc>
            </w:tr>
            <w:tr>
              <w:tc>
                <w:tcPr>
                  <w:tcW w:type="auto" w:w="0"/>
                  <w:shd w:val="clear" w:color="auto" w:fill="F0F0F0"/>
                </w:tcPr>
                <w:p>
                  <w:pPr>
                    <w:pStyle w:val="Para 02"/>
                    <w:keepLines w:val="on"/>
                  </w:pPr>
                  <w:r>
                    <w:t>Chi phí vốn—năm 5</w:t>
                  </w:r>
                </w:p>
              </w:tc>
              <w:tc>
                <w:tcPr>
                  <w:tcW w:type="auto" w:w="0"/>
                  <w:shd w:val="clear" w:color="auto" w:fill="F0F0F0"/>
                </w:tcPr>
                <w:p>
                  <w:pPr>
                    <w:pStyle w:val="Normal"/>
                    <w:keepLines w:val="on"/>
                  </w:pPr>
                  <w:r>
                    <w:t>11,32%</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10,77%</w:t>
                  </w:r>
                </w:p>
              </w:tc>
            </w:tr>
            <w:tr>
              <w:tc>
                <w:tcPr>
                  <w:tcW w:type="auto" w:w="0"/>
                  <w:shd w:val="clear" w:color="auto" w:fill="F0F0F0"/>
                </w:tcPr>
                <w:p>
                  <w:pPr>
                    <w:pStyle w:val="Para 02"/>
                    <w:keepLines w:val="on"/>
                  </w:pPr>
                  <w:r>
                    <w:t>Chi phí vốn sau</w:t>
                  </w:r>
                </w:p>
              </w:tc>
              <w:tc>
                <w:tcPr>
                  <w:tcW w:type="auto" w:w="0"/>
                  <w:shd w:val="clear" w:color="auto" w:fill="F0F0F0"/>
                </w:tcPr>
                <w:p>
                  <w:pPr>
                    <w:pStyle w:val="Normal"/>
                    <w:keepLines w:val="on"/>
                  </w:pPr>
                  <w:r>
                    <w:t>10,55%</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10,45%</w:t>
                  </w:r>
                </w:p>
              </w:tc>
            </w:tr>
            <w:tr>
              <w:tc>
                <w:tcPr>
                  <w:tcW w:type="auto" w:w="0"/>
                  <w:shd w:val="clear" w:color="auto" w:fill="F0F0F0"/>
                </w:tcPr>
                <w:p>
                  <w:pPr>
                    <w:pStyle w:val="Para 02"/>
                    <w:keepLines w:val="on"/>
                  </w:pPr>
                  <w:r>
                    <w:t>FCFF năm 1</w:t>
                  </w:r>
                </w:p>
              </w:tc>
              <w:tc>
                <w:tcPr>
                  <w:tcW w:type="auto" w:w="0"/>
                  <w:shd w:val="clear" w:color="auto" w:fill="F0F0F0"/>
                </w:tcPr>
                <w:p>
                  <w:pPr>
                    <w:pStyle w:val="Normal"/>
                    <w:keepLines w:val="on"/>
                  </w:pPr>
                  <w:r>
                    <w:t>$120,00</w:t>
                  </w:r>
                </w:p>
              </w:tc>
              <w:tc>
                <w:tcPr>
                  <w:tcW w:type="auto" w:w="0"/>
                  <w:shd w:val="clear" w:color="auto" w:fill="F0F0F0"/>
                </w:tcPr>
                <w:p>
                  <w:pPr>
                    <w:pStyle w:val="Normal"/>
                    <w:keepLines w:val="on"/>
                  </w:pPr>
                  <w:r>
                    <w:t>$220,00</w:t>
                  </w:r>
                </w:p>
              </w:tc>
              <w:tc>
                <w:tcPr>
                  <w:tcW w:type="auto" w:w="0"/>
                  <w:shd w:val="clear" w:color="auto" w:fill="F0F0F0"/>
                </w:tcPr>
                <w:p>
                  <w:pPr>
                    <w:pStyle w:val="Normal"/>
                    <w:keepLines w:val="on"/>
                  </w:pPr>
                  <w:r>
                    <w:t>$340,00</w:t>
                  </w:r>
                </w:p>
              </w:tc>
            </w:tr>
            <w:tr>
              <w:tc>
                <w:tcPr>
                  <w:tcW w:type="auto" w:w="0"/>
                  <w:shd w:val="clear" w:color="auto" w:fill="F0F0F0"/>
                </w:tcPr>
                <w:p>
                  <w:pPr>
                    <w:pStyle w:val="Para 02"/>
                    <w:keepLines w:val="on"/>
                  </w:pPr>
                  <w:r>
                    <w:t>FCFF năm 2</w:t>
                  </w:r>
                </w:p>
              </w:tc>
              <w:tc>
                <w:tcPr>
                  <w:tcW w:type="auto" w:w="0"/>
                  <w:shd w:val="clear" w:color="auto" w:fill="F0F0F0"/>
                </w:tcPr>
                <w:p>
                  <w:pPr>
                    <w:pStyle w:val="Normal"/>
                    <w:keepLines w:val="on"/>
                  </w:pPr>
                  <w:r>
                    <w:t>$144,00</w:t>
                  </w:r>
                </w:p>
              </w:tc>
              <w:tc>
                <w:tcPr>
                  <w:tcW w:type="auto" w:w="0"/>
                  <w:shd w:val="clear" w:color="auto" w:fill="F0F0F0"/>
                </w:tcPr>
                <w:p>
                  <w:pPr>
                    <w:pStyle w:val="Normal"/>
                    <w:keepLines w:val="on"/>
                  </w:pPr>
                  <w:r>
                    <w:t>$242,00</w:t>
                  </w:r>
                </w:p>
              </w:tc>
              <w:tc>
                <w:tcPr>
                  <w:tcW w:type="auto" w:w="0"/>
                  <w:shd w:val="clear" w:color="auto" w:fill="F0F0F0"/>
                </w:tcPr>
                <w:p>
                  <w:pPr>
                    <w:pStyle w:val="Normal"/>
                    <w:keepLines w:val="on"/>
                  </w:pPr>
                  <w:r>
                    <w:t>$386,00</w:t>
                  </w:r>
                </w:p>
              </w:tc>
            </w:tr>
            <w:tr>
              <w:tc>
                <w:tcPr>
                  <w:tcW w:type="auto" w:w="0"/>
                  <w:shd w:val="clear" w:color="auto" w:fill="F0F0F0"/>
                </w:tcPr>
                <w:p>
                  <w:pPr>
                    <w:pStyle w:val="Para 02"/>
                    <w:keepLines w:val="on"/>
                  </w:pPr>
                  <w:r>
                    <w:t>FCFF năm 3</w:t>
                  </w:r>
                </w:p>
              </w:tc>
              <w:tc>
                <w:tcPr>
                  <w:tcW w:type="auto" w:w="0"/>
                  <w:shd w:val="clear" w:color="auto" w:fill="F0F0F0"/>
                </w:tcPr>
                <w:p>
                  <w:pPr>
                    <w:pStyle w:val="Normal"/>
                    <w:keepLines w:val="on"/>
                  </w:pPr>
                  <w:r>
                    <w:t>$172,80</w:t>
                  </w:r>
                </w:p>
              </w:tc>
              <w:tc>
                <w:tcPr>
                  <w:tcW w:type="auto" w:w="0"/>
                  <w:shd w:val="clear" w:color="auto" w:fill="F0F0F0"/>
                </w:tcPr>
                <w:p>
                  <w:pPr>
                    <w:pStyle w:val="Normal"/>
                    <w:keepLines w:val="on"/>
                  </w:pPr>
                  <w:r>
                    <w:t>$266,20</w:t>
                  </w:r>
                </w:p>
              </w:tc>
              <w:tc>
                <w:tcPr>
                  <w:tcW w:type="auto" w:w="0"/>
                  <w:shd w:val="clear" w:color="auto" w:fill="F0F0F0"/>
                </w:tcPr>
                <w:p>
                  <w:pPr>
                    <w:pStyle w:val="Normal"/>
                    <w:keepLines w:val="on"/>
                  </w:pPr>
                  <w:r>
                    <w:t>$439,00</w:t>
                  </w:r>
                </w:p>
              </w:tc>
            </w:tr>
            <w:tr>
              <w:tc>
                <w:tcPr>
                  <w:tcW w:type="auto" w:w="0"/>
                  <w:shd w:val="clear" w:color="auto" w:fill="F0F0F0"/>
                </w:tcPr>
                <w:p>
                  <w:pPr>
                    <w:pStyle w:val="Para 02"/>
                    <w:keepLines w:val="on"/>
                  </w:pPr>
                  <w:r>
                    <w:t>FCFF năm 4</w:t>
                  </w:r>
                </w:p>
              </w:tc>
              <w:tc>
                <w:tcPr>
                  <w:tcW w:type="auto" w:w="0"/>
                  <w:shd w:val="clear" w:color="auto" w:fill="F0F0F0"/>
                </w:tcPr>
                <w:p>
                  <w:pPr>
                    <w:pStyle w:val="Normal"/>
                    <w:keepLines w:val="on"/>
                  </w:pPr>
                  <w:r>
                    <w:t>$207,36</w:t>
                  </w:r>
                </w:p>
              </w:tc>
              <w:tc>
                <w:tcPr>
                  <w:tcW w:type="auto" w:w="0"/>
                  <w:shd w:val="clear" w:color="auto" w:fill="F0F0F0"/>
                </w:tcPr>
                <w:p>
                  <w:pPr>
                    <w:pStyle w:val="Normal"/>
                    <w:keepLines w:val="on"/>
                  </w:pPr>
                  <w:r>
                    <w:t>$292,82</w:t>
                  </w:r>
                </w:p>
              </w:tc>
              <w:tc>
                <w:tcPr>
                  <w:tcW w:type="auto" w:w="0"/>
                  <w:shd w:val="clear" w:color="auto" w:fill="F0F0F0"/>
                </w:tcPr>
                <w:p>
                  <w:pPr>
                    <w:pStyle w:val="Normal"/>
                    <w:keepLines w:val="on"/>
                  </w:pPr>
                  <w:r>
                    <w:t>$500,18</w:t>
                  </w:r>
                </w:p>
              </w:tc>
            </w:tr>
            <w:tr>
              <w:tc>
                <w:tcPr>
                  <w:tcW w:type="auto" w:w="0"/>
                  <w:shd w:val="clear" w:color="auto" w:fill="F0F0F0"/>
                </w:tcPr>
                <w:p>
                  <w:pPr>
                    <w:pStyle w:val="Para 02"/>
                    <w:keepLines w:val="on"/>
                  </w:pPr>
                  <w:r>
                    <w:t>FCFF năm 5</w:t>
                  </w:r>
                </w:p>
              </w:tc>
              <w:tc>
                <w:tcPr>
                  <w:tcW w:type="auto" w:w="0"/>
                  <w:shd w:val="clear" w:color="auto" w:fill="F0F0F0"/>
                </w:tcPr>
                <w:p>
                  <w:pPr>
                    <w:pStyle w:val="Normal"/>
                    <w:keepLines w:val="on"/>
                  </w:pPr>
                  <w:r>
                    <w:t>$248,83</w:t>
                  </w:r>
                </w:p>
              </w:tc>
              <w:tc>
                <w:tcPr>
                  <w:tcW w:type="auto" w:w="0"/>
                  <w:shd w:val="clear" w:color="auto" w:fill="F0F0F0"/>
                </w:tcPr>
                <w:p>
                  <w:pPr>
                    <w:pStyle w:val="Normal"/>
                    <w:keepLines w:val="on"/>
                  </w:pPr>
                  <w:r>
                    <w:t>$322,10</w:t>
                  </w:r>
                </w:p>
              </w:tc>
              <w:tc>
                <w:tcPr>
                  <w:tcW w:type="auto" w:w="0"/>
                  <w:shd w:val="clear" w:color="auto" w:fill="F0F0F0"/>
                </w:tcPr>
                <w:p>
                  <w:pPr>
                    <w:pStyle w:val="Normal"/>
                    <w:keepLines w:val="on"/>
                  </w:pPr>
                  <w:r>
                    <w:t>$570,93</w:t>
                  </w:r>
                </w:p>
              </w:tc>
            </w:tr>
            <w:tr>
              <w:tc>
                <w:tcPr>
                  <w:tcW w:type="auto" w:w="0"/>
                  <w:shd w:val="clear" w:color="auto" w:fill="F0F0F0"/>
                </w:tcPr>
                <w:p>
                  <w:pPr>
                    <w:pStyle w:val="Para 02"/>
                    <w:keepLines w:val="on"/>
                  </w:pPr>
                  <w:r>
                    <w:t>Giá trị cuối kỳ (terminal value)</w:t>
                  </w:r>
                </w:p>
              </w:tc>
              <w:tc>
                <w:tcPr>
                  <w:tcW w:type="auto" w:w="0"/>
                  <w:shd w:val="clear" w:color="auto" w:fill="F0F0F0"/>
                </w:tcPr>
                <w:p>
                  <w:pPr>
                    <w:pStyle w:val="Normal"/>
                    <w:keepLines w:val="on"/>
                  </w:pPr>
                  <w:r>
                    <w:t>$5.796,97</w:t>
                  </w:r>
                </w:p>
              </w:tc>
              <w:tc>
                <w:tcPr>
                  <w:tcW w:type="auto" w:w="0"/>
                  <w:shd w:val="clear" w:color="auto" w:fill="F0F0F0"/>
                </w:tcPr>
                <w:p>
                  <w:pPr>
                    <w:pStyle w:val="Normal"/>
                    <w:keepLines w:val="on"/>
                  </w:pPr>
                  <w:r>
                    <w:t>$7.813,00</w:t>
                  </w:r>
                </w:p>
              </w:tc>
              <w:tc>
                <w:tcPr>
                  <w:tcW w:type="auto" w:w="0"/>
                  <w:shd w:val="clear" w:color="auto" w:fill="F0F0F0"/>
                </w:tcPr>
                <w:p>
                  <w:pPr>
                    <w:pStyle w:val="Normal"/>
                    <w:keepLines w:val="on"/>
                  </w:pPr>
                  <w:r>
                    <w:t>$13.609,97</w:t>
                  </w:r>
                </w:p>
              </w:tc>
            </w:tr>
            <w:tr>
              <w:tc>
                <w:tcPr>
                  <w:tcW w:type="auto" w:w="0"/>
                  <w:shd w:val="clear" w:color="auto" w:fill="F0F0F0"/>
                </w:tcPr>
                <w:p>
                  <w:pPr>
                    <w:pStyle w:val="Para 02"/>
                    <w:keepLines w:val="on"/>
                  </w:pPr>
                  <w:r>
                    <w:t>Giá trị hiện tại</w:t>
                  </w:r>
                </w:p>
              </w:tc>
              <w:tc>
                <w:tcPr>
                  <w:tcW w:type="auto" w:w="0"/>
                  <w:shd w:val="clear" w:color="auto" w:fill="F0F0F0"/>
                </w:tcPr>
                <w:p>
                  <w:pPr>
                    <w:pStyle w:val="Normal"/>
                    <w:keepLines w:val="on"/>
                  </w:pPr>
                  <w:r>
                    <w:t>$4.020,91</w:t>
                  </w:r>
                </w:p>
              </w:tc>
              <w:tc>
                <w:tcPr>
                  <w:tcW w:type="auto" w:w="0"/>
                  <w:shd w:val="clear" w:color="auto" w:fill="F0F0F0"/>
                </w:tcPr>
                <w:p>
                  <w:pPr>
                    <w:pStyle w:val="Normal"/>
                    <w:keepLines w:val="on"/>
                  </w:pPr>
                  <w:r>
                    <w:t>$5.760,47</w:t>
                  </w:r>
                </w:p>
              </w:tc>
              <w:tc>
                <w:tcPr>
                  <w:tcW w:type="auto" w:w="0"/>
                  <w:shd w:val="clear" w:color="auto" w:fill="F0F0F0"/>
                </w:tcPr>
                <w:p>
                  <w:pPr>
                    <w:pStyle w:val="Normal"/>
                    <w:keepLines w:val="on"/>
                  </w:pPr>
                  <w:r>
                    <w:t>$9.781,38</w:t>
                  </w:r>
                </w:p>
              </w:tc>
            </w:tr>
          </w:tbl>
          <w:p/>
        </w:tc>
      </w:tr>
    </w:tbl>
    <w:p>
      <w:pPr>
        <w:pStyle w:val="Para 03"/>
      </w:pPr>
      <w:r>
        <w:t>Chi phí vốn chủ sở hữu và chi phí nợ của công ty hợp nhất được tính bằng cách lấy bình quân gia quyền chi phí vốn chủ sở hữu (chi phí nợ) của từng công ty riêng lẻ; trọng số dựa trên giá trị thị trường tương đối của vốn chủ sở hữu (nợ) của hai công ty. Vì các giá trị thị trường tương đối này thay đổi theo thời gian, nên chi phí vốn chủ sở hữu và chi phí nợ của công ty hợp nhất cũng thay đổi theo thời gian. Giá trị của công ty hợp nhất bằng tổng giá trị của các công ty độc lập, cho thấy rằng không có giá trị nào được tạo thêm từ việc đa dạng hóa.</w:t>
      </w:r>
    </w:p>
    <w:p>
      <w:pPr>
        <w:pStyle w:val="Para 03"/>
      </w:pPr>
      <w:r>
        <w:t>Tuy nhiên, sự bằng nhau này không có nghĩa là các cổ đông của công ty thâu tóm và công ty mục tiêu thờ ơ với những thương vụ mua lại như vậy, vì công ty thâu tóm phải trả một khoản phụ trội (premium) đáng kể so với giá thị trường. Trong trường hợp các công ty này được định giá đúng trước khi sáp nhập (giá trị thị trường của Lube &amp; Auto = 4.020,91 đô la; giá trị thị trường của Dalton Motors = 5.760,47 đô la), việc trả một khoản phụ trội so với giá thị trường sẽ chuyển dịch của cải từ công ty thâu tóm sang công ty mục tiêu.</w:t>
      </w:r>
    </w:p>
    <w:p>
      <w:pPr>
        <w:pStyle w:val="Para 03"/>
      </w:pPr>
      <w:r>
        <w:t>Việc không có giá trị gia tăng từ thương vụ sáp nhập này có vẻ khó hiểu, vì thực tế hai công ty hoạt động trong những ngành nghề không liên quan đến nhau, và do đó, lẽ ra phải có được một số lợi ích từ việc đa dạng hóa. Thực tế, nếu thu nhập của hai công ty không tương quan chặt chẽ với nhau, phương sai (variance) trong thu nhập của công ty hợp nhất sẽ thấp hơn đáng kể so với phương sai trong thu nhập của các công ty hoạt động độc lập. Tuy nhiên, việc giảm phương sai thu nhập này không ảnh hưởng đến giá trị, vì đó là rủi ro đặc thù của công ty (firm-specific risk), được giả định là không ảnh hưởng đến chi phí vốn chủ sở hữu. (Hệ số beta, thước đo rủi ro thị trường, luôn là bình quân gia quyền theo giá trị của hệ số beta của hai công ty sáp nhập.) Nhưng còn tác động của việc giảm phương sai lên khả năng vay nợ thì sao? Những công ty có thu nhập ít biến động hơn có thể tăng khả năng vay nợ, và do đó, tăng giá trị. Đây có thể là một lợi ích thực sự của các thương vụ sáp nhập tập đoàn đa ngành (conglomerate mergers) và sẽ được xem xét riêng ở phần sau của mục này.</w:t>
      </w:r>
    </w:p>
    <w:p>
      <w:bookmarkStart w:id="5301" w:name="Cash_Slack__Managers_may_reject"/>
      <w:pPr>
        <w:pStyle w:val="Para 21"/>
      </w:pPr>
      <w:r>
        <w:t>Tiền mặt nhàn rỗi</w:t>
      </w:r>
      <w:bookmarkEnd w:id="5301"/>
    </w:p>
    <w:p>
      <w:pPr>
        <w:pStyle w:val="Para 03"/>
      </w:pPr>
      <w:r>
        <w:t>Các nhà quản lý có thể từ chối những cơ hội đầu tư sinh lời nếu họ phải huy động vốn mới để tài trợ cho chúng. Myers và Majluf (1984) cho rằng vì nhà quản lý có nhiều thông tin hơn nhà đầu tư về các dự án tiềm năng, nên cổ phiếu mới có thể phải được phát hành với giá thấp hơn giá trị thực để tài trợ cho những dự án này, dẫn đến việc từ chối các dự án tốt và việc phân bổ vốn bị hạn chế (capital rationing) ở một số công ty. Do đó, có thể hợp lý khi một công ty có tiền mặt dư thừa và không có cơ hội đầu tư tiếp quản một công ty thiếu tiền mặt nhưng có cơ hội đầu tư tốt, hoặc ngược lại. Giá trị gia tăng của việc kết hợp hai công ty này là giá trị hiện tại của những dự án lẽ ra sẽ không được thực hiện nếu chúng vẫn tách rời nhưng nay có thể được thực hiện nhờ có sẵn tiền mặt.</w:t>
      </w:r>
    </w:p>
    <w:p>
      <w:pPr>
        <w:pStyle w:val="Para 03"/>
      </w:pPr>
      <w:r>
        <w:t>Tiền mặt nhàn rỗi có thể là một lý do thuyết phục đối với các công ty đại chúng có khả năng tiếp cận vốn dễ dàng hoặc có số dư tiền mặt khổng lồ để mua lại các công ty nhỏ hoặc tư nhân đang bị hạn chế về vốn. Điều này cũng có thể giải thích tại sao các chiến lược mua lại tập trung vào việc mua các công ty tư nhân nhỏ hơn lại tỏ ra khá hiệu quả trên thực tế. Blockbuster Inc. (cho thuê băng đĩa), Browning and Ferris (xử lý chất thải), và Service Merchandise (nhà tang lễ) đều được xây dựng bằng cách gom các doanh nghiệp tư nhân nhỏ hơn lại thành một thực thể công ty đại chúng duy nhất.</w:t>
      </w:r>
    </w:p>
    <w:p>
      <w:bookmarkStart w:id="5304" w:name="Tax_Benefits__Several_possible_t"/>
      <w:pPr>
        <w:pStyle w:val="Para 21"/>
      </w:pPr>
      <w:r>
        <w:t>Lợi ích về thuế</w:t>
      </w:r>
      <w:bookmarkEnd w:id="5304"/>
    </w:p>
    <w:p>
      <w:pPr>
        <w:pStyle w:val="Para 03"/>
      </w:pPr>
      <w:r>
        <w:t>Một số lợi ích thuế tiềm năng có được từ các thương vụ mua lại. Nếu một trong hai công ty có các khoản khấu trừ thuế mà không thể sử dụng vì đang thua lỗ, trong khi công ty kia có thu nhập phải chịu thuế đáng kể, thì việc kết hợp hai công ty có thể mang lại lợi ích thuế mà cả hai công ty cùng chia sẻ. Giá trị của hiệu ứng cộng hưởng (synergy) này là giá trị hiện tại của khoản tiết kiệm thuế có được từ thương vụ sáp nhập này. Ngoài ra, tài sản của công ty bị tiếp quản có thể được đánh giá lại để phản ánh giá trị thị trường mới trong một số hình thức sáp nhập, dẫn đến khoản tiết kiệm thuế cao hơn từ khấu hao trong những năm sau.</w:t>
      </w:r>
    </w:p>
    <w:p>
      <w:pPr>
        <w:pStyle w:val="Para 11"/>
      </w:pPr>
      <w:r>
        <w:t/>
        <w:t xml:space="preserve"> </w:t>
      </w:r>
    </w:p>
    <w:p>
      <w:bookmarkStart w:id="5306" w:name="ILLUSTRATION_25_4__Tax_Benefits"/>
      <w:bookmarkStart w:id="5307" w:name="ILLUSTRATION_25_4__Tax_Benefits_1"/>
      <w:pPr>
        <w:keepNext/>
        <w:pStyle w:val="Para 19"/>
        <w:keepLines w:val="on"/>
      </w:pPr>
      <w:r>
        <w:t>MINH HỌA 25.4: Lợi ích thuế từ việc đánh giá lại giá trị tài sản sau khi tiếp quản: Congoleum Inc.</w:t>
      </w:r>
      <w:bookmarkEnd w:id="5306"/>
      <w:bookmarkEnd w:id="5307"/>
    </w:p>
    <w:p>
      <w:pPr>
        <w:pStyle w:val="Para 04"/>
        <w:keepLines w:val="on"/>
      </w:pPr>
      <w:r>
        <w:t>Một trong những thương vụ mua lại bằng vốn vay (leveraged buyout – LBO) sớm nhất diễn ra vào năm 1979 và liên quan đến Congoleum Inc., một công ty đa ngành trong lĩnh vực đóng tàu, sàn nhà và phụ tùng ô tô. Ban quản lý của chính Congoleum đã mua lại công ty. Việc cơ quan thuế đối xử thuận lợi với tài sản của công ty là một lý do chính đằng sau thương vụ tiếp quản này. Sau khi tiếp quản—ước tính tốn khoảng 400 triệu đô la—công ty được phép đánh giá lại tài sản của mình để phản ánh giá trị thị trường mới và yêu cầu khấu hao trên những giá trị mới này. Sự thay đổi ước tính về khấu hao và tác động giá trị hiện tại của lợi ích thuế từ khấu hao này, dựa trên thuế suất 48%, được chiết khấu theo chi phí vốn của công ty là 14,5%5, được trình bày trong Bảng 25.9:</w:t>
      </w:r>
    </w:p>
    <w:p>
      <w:pPr>
        <w:pStyle w:val="Para 25"/>
        <w:keepLines w:val="on"/>
      </w:pPr>
      <w:r>
        <w:t>Bảng 25.9</w:t>
      </w:r>
    </w:p>
    <w:p>
      <w:pPr>
        <w:keepNext/>
        <w:pStyle w:val="Para 24"/>
        <w:keepLines w:val="on"/>
      </w:pPr>
      <w:r>
        <w:t>Lợi ích thuế từ khấu hao—Congoleum</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hMerge w:val="restart"/>
                </w:tcPr>
                <w:p>
                  <w:pPr>
                    <w:pStyle w:val="Para 05"/>
                    <w:keepLines w:val="on"/>
                  </w:pPr>
                  <w:r>
                    <w:t>Khấu hao</w:t>
                  </w:r>
                </w:p>
              </w:tc>
              <w:tc>
                <w:tcPr>
                  <w:hMerge w:val="continue"/>
                </w:tcPr>
                <w:p/>
              </w:tc>
              <w:tc>
                <w:tcPr>
                  <w:hMerge w:val="continue"/>
                </w:tcPr>
                <w:p/>
              </w:tc>
              <w:tc>
                <w:tcPr>
                  <w:tcW w:type="auto" w:w="0"/>
                  <w:shd w:val="clear" w:color="auto" w:fill="F0F0F0"/>
                </w:tcPr>
                <w:p>
                  <w:pPr>
                    <w:pStyle w:val="5 Block"/>
                    <w:keepLines w:val="on"/>
                  </w:pPr>
                </w:p>
              </w:tc>
              <w:tc>
                <w:tcPr>
                  <w:tcW w:type="auto" w:w="0"/>
                  <w:shd w:val="clear" w:color="auto" w:fill="F0F0F0"/>
                </w:tcPr>
                <w:p>
                  <w:pPr>
                    <w:pStyle w:val="5 Block"/>
                    <w:keepLines w:val="on"/>
                  </w:pPr>
                </w:p>
              </w:tc>
            </w:tr>
            <w:tr>
              <w:tc>
                <w:tcPr>
                  <w:tcW w:type="auto" w:w="0"/>
                  <w:shd w:val="clear" w:color="auto" w:fill="F0F0F0"/>
                </w:tcPr>
                <w:p>
                  <w:pPr>
                    <w:pStyle w:val="Para 41"/>
                    <w:keepLines w:val="on"/>
                  </w:pPr>
                  <w:r>
                    <w:t>Năm</w:t>
                  </w:r>
                </w:p>
              </w:tc>
              <w:tc>
                <w:tcPr>
                  <w:tcW w:type="auto" w:w="0"/>
                  <w:shd w:val="clear" w:color="auto" w:fill="F0F0F0"/>
                </w:tcPr>
                <w:p>
                  <w:pPr>
                    <w:pStyle w:val="Para 41"/>
                    <w:keepLines w:val="on"/>
                  </w:pPr>
                  <w:r>
                    <w:t>Trước</w:t>
                  </w:r>
                </w:p>
              </w:tc>
              <w:tc>
                <w:tcPr>
                  <w:tcW w:type="auto" w:w="0"/>
                  <w:shd w:val="clear" w:color="auto" w:fill="F0F0F0"/>
                </w:tcPr>
                <w:p>
                  <w:pPr>
                    <w:pStyle w:val="Para 41"/>
                    <w:keepLines w:val="on"/>
                  </w:pPr>
                  <w:r>
                    <w:t>Sau</w:t>
                  </w:r>
                </w:p>
              </w:tc>
              <w:tc>
                <w:tcPr>
                  <w:tcW w:type="auto" w:w="0"/>
                  <w:shd w:val="clear" w:color="auto" w:fill="F0F0F0"/>
                </w:tcPr>
                <w:p>
                  <w:pPr>
                    <w:pStyle w:val="Para 41"/>
                    <w:keepLines w:val="on"/>
                  </w:pPr>
                  <w:r>
                    <w:t>Thay đổi</w:t>
                  </w:r>
                </w:p>
              </w:tc>
              <w:tc>
                <w:tcPr>
                  <w:tcW w:type="auto" w:w="0"/>
                  <w:shd w:val="clear" w:color="auto" w:fill="F0F0F0"/>
                </w:tcPr>
                <w:p>
                  <w:pPr>
                    <w:pStyle w:val="Para 41"/>
                    <w:keepLines w:val="on"/>
                  </w:pPr>
                  <w:r>
                    <w:t>Tiết kiệm thuế</w:t>
                  </w:r>
                </w:p>
              </w:tc>
              <w:tc>
                <w:tcPr>
                  <w:tcW w:type="auto" w:w="0"/>
                  <w:shd w:val="clear" w:color="auto" w:fill="F0F0F0"/>
                </w:tcPr>
                <w:p>
                  <w:pPr>
                    <w:pStyle w:val="Para 41"/>
                    <w:keepLines w:val="on"/>
                  </w:pPr>
                  <w:r>
                    <w:t>Giá trị hiện tại</w:t>
                  </w:r>
                </w:p>
              </w:tc>
            </w:tr>
            <w:tr>
              <w:tc>
                <w:tcPr>
                  <w:tcW w:type="auto" w:w="0"/>
                  <w:shd w:val="clear" w:color="auto" w:fill="F0F0F0"/>
                </w:tcPr>
                <w:p>
                  <w:pPr>
                    <w:pStyle w:val="Normal"/>
                    <w:keepLines w:val="on"/>
                  </w:pPr>
                  <w:r>
                    <w:t>1980</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$35,51</w:t>
                  </w:r>
                </w:p>
              </w:tc>
              <w:tc>
                <w:tcPr>
                  <w:tcW w:type="auto" w:w="0"/>
                  <w:shd w:val="clear" w:color="auto" w:fill="F0F0F0"/>
                </w:tcPr>
                <w:p>
                  <w:pPr>
                    <w:pStyle w:val="Normal"/>
                    <w:keepLines w:val="on"/>
                  </w:pPr>
                  <w:r>
                    <w:t>$27,51</w:t>
                  </w:r>
                </w:p>
              </w:tc>
              <w:tc>
                <w:tcPr>
                  <w:tcW w:type="auto" w:w="0"/>
                  <w:shd w:val="clear" w:color="auto" w:fill="F0F0F0"/>
                </w:tcPr>
                <w:p>
                  <w:pPr>
                    <w:pStyle w:val="Normal"/>
                    <w:keepLines w:val="on"/>
                  </w:pPr>
                  <w:r>
                    <w:t>$13,20</w:t>
                  </w:r>
                </w:p>
              </w:tc>
              <w:tc>
                <w:tcPr>
                  <w:tcW w:type="auto" w:w="0"/>
                  <w:shd w:val="clear" w:color="auto" w:fill="F0F0F0"/>
                </w:tcPr>
                <w:p>
                  <w:pPr>
                    <w:pStyle w:val="Normal"/>
                    <w:keepLines w:val="on"/>
                  </w:pPr>
                  <w:r>
                    <w:t>$11,53</w:t>
                  </w:r>
                </w:p>
              </w:tc>
            </w:tr>
            <w:tr>
              <w:tc>
                <w:tcPr>
                  <w:tcW w:type="auto" w:w="0"/>
                  <w:shd w:val="clear" w:color="auto" w:fill="F0F0F0"/>
                </w:tcPr>
                <w:p>
                  <w:pPr>
                    <w:pStyle w:val="Normal"/>
                    <w:keepLines w:val="on"/>
                  </w:pPr>
                  <w:r>
                    <w:t>1981</w:t>
                  </w:r>
                </w:p>
              </w:tc>
              <w:tc>
                <w:tcPr>
                  <w:tcW w:type="auto" w:w="0"/>
                  <w:shd w:val="clear" w:color="auto" w:fill="F0F0F0"/>
                </w:tcPr>
                <w:p>
                  <w:pPr>
                    <w:pStyle w:val="Normal"/>
                    <w:keepLines w:val="on"/>
                  </w:pPr>
                  <w:r>
                    <w:t>$8,80</w:t>
                  </w:r>
                </w:p>
              </w:tc>
              <w:tc>
                <w:tcPr>
                  <w:tcW w:type="auto" w:w="0"/>
                  <w:shd w:val="clear" w:color="auto" w:fill="F0F0F0"/>
                </w:tcPr>
                <w:p>
                  <w:pPr>
                    <w:pStyle w:val="Normal"/>
                    <w:keepLines w:val="on"/>
                  </w:pPr>
                  <w:r>
                    <w:t>$36,26</w:t>
                  </w:r>
                </w:p>
              </w:tc>
              <w:tc>
                <w:tcPr>
                  <w:tcW w:type="auto" w:w="0"/>
                  <w:shd w:val="clear" w:color="auto" w:fill="F0F0F0"/>
                </w:tcPr>
                <w:p>
                  <w:pPr>
                    <w:pStyle w:val="Normal"/>
                    <w:keepLines w:val="on"/>
                  </w:pPr>
                  <w:r>
                    <w:t>$27,46</w:t>
                  </w:r>
                </w:p>
              </w:tc>
              <w:tc>
                <w:tcPr>
                  <w:tcW w:type="auto" w:w="0"/>
                  <w:shd w:val="clear" w:color="auto" w:fill="F0F0F0"/>
                </w:tcPr>
                <w:p>
                  <w:pPr>
                    <w:pStyle w:val="Normal"/>
                    <w:keepLines w:val="on"/>
                  </w:pPr>
                  <w:r>
                    <w:t>$13,18</w:t>
                  </w:r>
                </w:p>
              </w:tc>
              <w:tc>
                <w:tcPr>
                  <w:tcW w:type="auto" w:w="0"/>
                  <w:shd w:val="clear" w:color="auto" w:fill="F0F0F0"/>
                </w:tcPr>
                <w:p>
                  <w:pPr>
                    <w:pStyle w:val="Normal"/>
                    <w:keepLines w:val="on"/>
                  </w:pPr>
                  <w:r>
                    <w:t>$10,05</w:t>
                  </w:r>
                </w:p>
              </w:tc>
            </w:tr>
            <w:tr>
              <w:tc>
                <w:tcPr>
                  <w:tcW w:type="auto" w:w="0"/>
                  <w:shd w:val="clear" w:color="auto" w:fill="F0F0F0"/>
                </w:tcPr>
                <w:p>
                  <w:pPr>
                    <w:pStyle w:val="Normal"/>
                    <w:keepLines w:val="on"/>
                  </w:pPr>
                  <w:r>
                    <w:t>1982</w:t>
                  </w:r>
                </w:p>
              </w:tc>
              <w:tc>
                <w:tcPr>
                  <w:tcW w:type="auto" w:w="0"/>
                  <w:shd w:val="clear" w:color="auto" w:fill="F0F0F0"/>
                </w:tcPr>
                <w:p>
                  <w:pPr>
                    <w:pStyle w:val="Normal"/>
                    <w:keepLines w:val="on"/>
                  </w:pPr>
                  <w:r>
                    <w:t>$9,68</w:t>
                  </w:r>
                </w:p>
              </w:tc>
              <w:tc>
                <w:tcPr>
                  <w:tcW w:type="auto" w:w="0"/>
                  <w:shd w:val="clear" w:color="auto" w:fill="F0F0F0"/>
                </w:tcPr>
                <w:p>
                  <w:pPr>
                    <w:pStyle w:val="Normal"/>
                    <w:keepLines w:val="on"/>
                  </w:pPr>
                  <w:r>
                    <w:t>$37,07</w:t>
                  </w:r>
                </w:p>
              </w:tc>
              <w:tc>
                <w:tcPr>
                  <w:tcW w:type="auto" w:w="0"/>
                  <w:shd w:val="clear" w:color="auto" w:fill="F0F0F0"/>
                </w:tcPr>
                <w:p>
                  <w:pPr>
                    <w:pStyle w:val="Normal"/>
                    <w:keepLines w:val="on"/>
                  </w:pPr>
                  <w:r>
                    <w:t>$27,39</w:t>
                  </w:r>
                </w:p>
              </w:tc>
              <w:tc>
                <w:tcPr>
                  <w:tcW w:type="auto" w:w="0"/>
                  <w:shd w:val="clear" w:color="auto" w:fill="F0F0F0"/>
                </w:tcPr>
                <w:p>
                  <w:pPr>
                    <w:pStyle w:val="Normal"/>
                    <w:keepLines w:val="on"/>
                  </w:pPr>
                  <w:r>
                    <w:t>$13,15</w:t>
                  </w:r>
                </w:p>
              </w:tc>
              <w:tc>
                <w:tcPr>
                  <w:tcW w:type="auto" w:w="0"/>
                  <w:shd w:val="clear" w:color="auto" w:fill="F0F0F0"/>
                </w:tcPr>
                <w:p>
                  <w:pPr>
                    <w:pStyle w:val="Normal"/>
                    <w:keepLines w:val="on"/>
                  </w:pPr>
                  <w:r>
                    <w:t>$8,76</w:t>
                  </w:r>
                </w:p>
              </w:tc>
            </w:tr>
            <w:tr>
              <w:tc>
                <w:tcPr>
                  <w:tcW w:type="auto" w:w="0"/>
                  <w:shd w:val="clear" w:color="auto" w:fill="F0F0F0"/>
                </w:tcPr>
                <w:p>
                  <w:pPr>
                    <w:pStyle w:val="Normal"/>
                    <w:keepLines w:val="on"/>
                  </w:pPr>
                  <w:r>
                    <w:t>1983</w:t>
                  </w:r>
                </w:p>
              </w:tc>
              <w:tc>
                <w:tcPr>
                  <w:tcW w:type="auto" w:w="0"/>
                  <w:shd w:val="clear" w:color="auto" w:fill="F0F0F0"/>
                </w:tcPr>
                <w:p>
                  <w:pPr>
                    <w:pStyle w:val="Normal"/>
                    <w:keepLines w:val="on"/>
                  </w:pPr>
                  <w:r>
                    <w:t>$10,65</w:t>
                  </w:r>
                </w:p>
              </w:tc>
              <w:tc>
                <w:tcPr>
                  <w:tcW w:type="auto" w:w="0"/>
                  <w:shd w:val="clear" w:color="auto" w:fill="F0F0F0"/>
                </w:tcPr>
                <w:p>
                  <w:pPr>
                    <w:pStyle w:val="Normal"/>
                    <w:keepLines w:val="on"/>
                  </w:pPr>
                  <w:r>
                    <w:t>$37,95</w:t>
                  </w:r>
                </w:p>
              </w:tc>
              <w:tc>
                <w:tcPr>
                  <w:tcW w:type="auto" w:w="0"/>
                  <w:shd w:val="clear" w:color="auto" w:fill="F0F0F0"/>
                </w:tcPr>
                <w:p>
                  <w:pPr>
                    <w:pStyle w:val="Normal"/>
                    <w:keepLines w:val="on"/>
                  </w:pPr>
                  <w:r>
                    <w:t>$27,30</w:t>
                  </w:r>
                </w:p>
              </w:tc>
              <w:tc>
                <w:tcPr>
                  <w:tcW w:type="auto" w:w="0"/>
                  <w:shd w:val="clear" w:color="auto" w:fill="F0F0F0"/>
                </w:tcPr>
                <w:p>
                  <w:pPr>
                    <w:pStyle w:val="Normal"/>
                    <w:keepLines w:val="on"/>
                  </w:pPr>
                  <w:r>
                    <w:t>$13,10</w:t>
                  </w:r>
                </w:p>
              </w:tc>
              <w:tc>
                <w:tcPr>
                  <w:tcW w:type="auto" w:w="0"/>
                  <w:shd w:val="clear" w:color="auto" w:fill="F0F0F0"/>
                </w:tcPr>
                <w:p>
                  <w:pPr>
                    <w:pStyle w:val="Normal"/>
                    <w:keepLines w:val="on"/>
                  </w:pPr>
                  <w:r>
                    <w:t>$7,62</w:t>
                  </w:r>
                </w:p>
              </w:tc>
            </w:tr>
            <w:tr>
              <w:tc>
                <w:tcPr>
                  <w:tcW w:type="auto" w:w="0"/>
                  <w:shd w:val="clear" w:color="auto" w:fill="F0F0F0"/>
                </w:tcPr>
                <w:p>
                  <w:pPr>
                    <w:pStyle w:val="Normal"/>
                    <w:keepLines w:val="on"/>
                  </w:pPr>
                  <w:r>
                    <w:t>1984</w:t>
                  </w:r>
                </w:p>
              </w:tc>
              <w:tc>
                <w:tcPr>
                  <w:tcW w:type="auto" w:w="0"/>
                  <w:shd w:val="clear" w:color="auto" w:fill="F0F0F0"/>
                </w:tcPr>
                <w:p>
                  <w:pPr>
                    <w:pStyle w:val="Normal"/>
                    <w:keepLines w:val="on"/>
                  </w:pPr>
                  <w:r>
                    <w:t>$11,71</w:t>
                  </w:r>
                </w:p>
              </w:tc>
              <w:tc>
                <w:tcPr>
                  <w:tcW w:type="auto" w:w="0"/>
                  <w:shd w:val="clear" w:color="auto" w:fill="F0F0F0"/>
                </w:tcPr>
                <w:p>
                  <w:pPr>
                    <w:pStyle w:val="Normal"/>
                    <w:keepLines w:val="on"/>
                  </w:pPr>
                  <w:r>
                    <w:t>$21,23</w:t>
                  </w:r>
                </w:p>
              </w:tc>
              <w:tc>
                <w:tcPr>
                  <w:tcW w:type="auto" w:w="0"/>
                  <w:shd w:val="clear" w:color="auto" w:fill="F0F0F0"/>
                </w:tcPr>
                <w:p>
                  <w:pPr>
                    <w:pStyle w:val="Normal"/>
                    <w:keepLines w:val="on"/>
                  </w:pPr>
                  <w:r>
                    <w:t>$9,52</w:t>
                  </w:r>
                </w:p>
              </w:tc>
              <w:tc>
                <w:tcPr>
                  <w:tcW w:type="auto" w:w="0"/>
                  <w:shd w:val="clear" w:color="auto" w:fill="F0F0F0"/>
                </w:tcPr>
                <w:p>
                  <w:pPr>
                    <w:pStyle w:val="Normal"/>
                    <w:keepLines w:val="on"/>
                  </w:pPr>
                  <w:r>
                    <w:t>$4,57</w:t>
                  </w:r>
                </w:p>
              </w:tc>
              <w:tc>
                <w:tcPr>
                  <w:tcW w:type="auto" w:w="0"/>
                  <w:shd w:val="clear" w:color="auto" w:fill="F0F0F0"/>
                </w:tcPr>
                <w:p>
                  <w:pPr>
                    <w:pStyle w:val="Normal"/>
                    <w:keepLines w:val="on"/>
                  </w:pPr>
                  <w:r>
                    <w:t>$2,32</w:t>
                  </w:r>
                </w:p>
              </w:tc>
            </w:tr>
            <w:tr>
              <w:tc>
                <w:tcPr>
                  <w:tcW w:type="auto" w:w="0"/>
                  <w:shd w:val="clear" w:color="auto" w:fill="F0F0F0"/>
                </w:tcPr>
                <w:p>
                  <w:pPr>
                    <w:pStyle w:val="Normal"/>
                    <w:keepLines w:val="on"/>
                  </w:pPr>
                  <w:r>
                    <w:t>1985</w:t>
                  </w:r>
                </w:p>
              </w:tc>
              <w:tc>
                <w:tcPr>
                  <w:tcW w:type="auto" w:w="0"/>
                  <w:shd w:val="clear" w:color="auto" w:fill="F0F0F0"/>
                </w:tcPr>
                <w:p>
                  <w:pPr>
                    <w:pStyle w:val="Normal"/>
                    <w:keepLines w:val="on"/>
                  </w:pPr>
                  <w:r>
                    <w:t>$12.65</w:t>
                  </w:r>
                </w:p>
              </w:tc>
              <w:tc>
                <w:tcPr>
                  <w:tcW w:type="auto" w:w="0"/>
                  <w:shd w:val="clear" w:color="auto" w:fill="F0F0F0"/>
                </w:tcPr>
                <w:p>
                  <w:pPr>
                    <w:pStyle w:val="Normal"/>
                    <w:keepLines w:val="on"/>
                  </w:pPr>
                  <w:r>
                    <w:t>$17.50</w:t>
                  </w:r>
                </w:p>
              </w:tc>
              <w:tc>
                <w:tcPr>
                  <w:tcW w:type="auto" w:w="0"/>
                  <w:shd w:val="clear" w:color="auto" w:fill="F0F0F0"/>
                </w:tcPr>
                <w:p>
                  <w:pPr>
                    <w:pStyle w:val="Normal"/>
                    <w:keepLines w:val="on"/>
                  </w:pPr>
                  <w:r>
                    <w:t>$4.85</w:t>
                  </w:r>
                </w:p>
              </w:tc>
              <w:tc>
                <w:tcPr>
                  <w:tcW w:type="auto" w:w="0"/>
                  <w:shd w:val="clear" w:color="auto" w:fill="F0F0F0"/>
                </w:tcPr>
                <w:p>
                  <w:pPr>
                    <w:pStyle w:val="Normal"/>
                    <w:keepLines w:val="on"/>
                  </w:pPr>
                  <w:r>
                    <w:t>$2.33</w:t>
                  </w:r>
                </w:p>
              </w:tc>
              <w:tc>
                <w:tcPr>
                  <w:tcW w:type="auto" w:w="0"/>
                  <w:shd w:val="clear" w:color="auto" w:fill="F0F0F0"/>
                </w:tcPr>
                <w:p>
                  <w:pPr>
                    <w:pStyle w:val="Normal"/>
                    <w:keepLines w:val="on"/>
                  </w:pPr>
                  <w:r>
                    <w:t>$1.03</w:t>
                  </w:r>
                </w:p>
              </w:tc>
            </w:tr>
            <w:tr>
              <w:tc>
                <w:tcPr>
                  <w:tcW w:type="auto" w:w="0"/>
                  <w:shd w:val="clear" w:color="auto" w:fill="F0F0F0"/>
                </w:tcPr>
                <w:p>
                  <w:pPr>
                    <w:pStyle w:val="Normal"/>
                    <w:keepLines w:val="on"/>
                  </w:pPr>
                  <w:r>
                    <w:t>1986</w:t>
                  </w:r>
                </w:p>
              </w:tc>
              <w:tc>
                <w:tcPr>
                  <w:tcW w:type="auto" w:w="0"/>
                  <w:shd w:val="clear" w:color="auto" w:fill="F0F0F0"/>
                </w:tcPr>
                <w:p>
                  <w:pPr>
                    <w:pStyle w:val="Normal"/>
                    <w:keepLines w:val="on"/>
                  </w:pPr>
                  <w:r>
                    <w:t>$13.66</w:t>
                  </w:r>
                </w:p>
              </w:tc>
              <w:tc>
                <w:tcPr>
                  <w:tcW w:type="auto" w:w="0"/>
                  <w:shd w:val="clear" w:color="auto" w:fill="F0F0F0"/>
                </w:tcPr>
                <w:p>
                  <w:pPr>
                    <w:pStyle w:val="Normal"/>
                    <w:keepLines w:val="on"/>
                  </w:pPr>
                  <w:r>
                    <w:t>$16.00</w:t>
                  </w:r>
                </w:p>
              </w:tc>
              <w:tc>
                <w:tcPr>
                  <w:tcW w:type="auto" w:w="0"/>
                  <w:shd w:val="clear" w:color="auto" w:fill="F0F0F0"/>
                </w:tcPr>
                <w:p>
                  <w:pPr>
                    <w:pStyle w:val="Normal"/>
                    <w:keepLines w:val="on"/>
                  </w:pPr>
                  <w:r>
                    <w:t>$2.34</w:t>
                  </w:r>
                </w:p>
              </w:tc>
              <w:tc>
                <w:tcPr>
                  <w:tcW w:type="auto" w:w="0"/>
                  <w:shd w:val="clear" w:color="auto" w:fill="F0F0F0"/>
                </w:tcPr>
                <w:p>
                  <w:pPr>
                    <w:pStyle w:val="Normal"/>
                    <w:keepLines w:val="on"/>
                  </w:pPr>
                  <w:r>
                    <w:t>$1.12</w:t>
                  </w:r>
                </w:p>
              </w:tc>
              <w:tc>
                <w:tcPr>
                  <w:tcW w:type="auto" w:w="0"/>
                  <w:shd w:val="clear" w:color="auto" w:fill="F0F0F0"/>
                </w:tcPr>
                <w:p>
                  <w:pPr>
                    <w:pStyle w:val="Normal"/>
                    <w:keepLines w:val="on"/>
                  </w:pPr>
                  <w:r>
                    <w:t>$0.43</w:t>
                  </w:r>
                </w:p>
              </w:tc>
            </w:tr>
            <w:tr>
              <w:tc>
                <w:tcPr>
                  <w:tcW w:type="auto" w:w="0"/>
                  <w:shd w:val="clear" w:color="auto" w:fill="F0F0F0"/>
                </w:tcPr>
                <w:p>
                  <w:pPr>
                    <w:pStyle w:val="Normal"/>
                    <w:keepLines w:val="on"/>
                  </w:pPr>
                  <w:r>
                    <w:t>1987</w:t>
                  </w:r>
                </w:p>
              </w:tc>
              <w:tc>
                <w:tcPr>
                  <w:tcW w:type="auto" w:w="0"/>
                  <w:shd w:val="clear" w:color="auto" w:fill="F0F0F0"/>
                </w:tcPr>
                <w:p>
                  <w:pPr>
                    <w:pStyle w:val="Normal"/>
                    <w:keepLines w:val="on"/>
                  </w:pPr>
                  <w:r>
                    <w:t>$14.75</w:t>
                  </w:r>
                </w:p>
              </w:tc>
              <w:tc>
                <w:tcPr>
                  <w:tcW w:type="auto" w:w="0"/>
                  <w:shd w:val="clear" w:color="auto" w:fill="F0F0F0"/>
                </w:tcPr>
                <w:p>
                  <w:pPr>
                    <w:pStyle w:val="Normal"/>
                    <w:keepLines w:val="on"/>
                  </w:pPr>
                  <w:r>
                    <w:t>$14.75</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1988</w:t>
                  </w:r>
                </w:p>
              </w:tc>
              <w:tc>
                <w:tcPr>
                  <w:tcW w:type="auto" w:w="0"/>
                  <w:shd w:val="clear" w:color="auto" w:fill="F0F0F0"/>
                </w:tcPr>
                <w:p>
                  <w:pPr>
                    <w:pStyle w:val="Normal"/>
                    <w:keepLines w:val="on"/>
                  </w:pPr>
                  <w:r>
                    <w:t>$15.94</w:t>
                  </w:r>
                </w:p>
              </w:tc>
              <w:tc>
                <w:tcPr>
                  <w:tcW w:type="auto" w:w="0"/>
                  <w:shd w:val="clear" w:color="auto" w:fill="F0F0F0"/>
                </w:tcPr>
                <w:p>
                  <w:pPr>
                    <w:pStyle w:val="Normal"/>
                    <w:keepLines w:val="on"/>
                  </w:pPr>
                  <w:r>
                    <w:t>$15.94</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1989</w:t>
                  </w:r>
                </w:p>
              </w:tc>
              <w:tc>
                <w:tcPr>
                  <w:tcW w:type="auto" w:w="0"/>
                  <w:shd w:val="clear" w:color="auto" w:fill="F0F0F0"/>
                </w:tcPr>
                <w:p>
                  <w:pPr>
                    <w:pStyle w:val="Normal"/>
                    <w:keepLines w:val="on"/>
                  </w:pPr>
                  <w:r>
                    <w:t>$17.21</w:t>
                  </w:r>
                </w:p>
              </w:tc>
              <w:tc>
                <w:tcPr>
                  <w:tcW w:type="auto" w:w="0"/>
                  <w:shd w:val="clear" w:color="auto" w:fill="F0F0F0"/>
                </w:tcPr>
                <w:p>
                  <w:pPr>
                    <w:pStyle w:val="Normal"/>
                    <w:keepLines w:val="on"/>
                  </w:pPr>
                  <w:r>
                    <w:t>$17,21</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r>
            <w:tr>
              <w:tc>
                <w:tcPr>
                  <w:tcW w:type="auto" w:w="0"/>
                  <w:shd w:val="clear" w:color="auto" w:fill="F0F0F0"/>
                </w:tcPr>
                <w:p>
                  <w:pPr>
                    <w:pStyle w:val="Normal"/>
                    <w:keepLines w:val="on"/>
                  </w:pPr>
                  <w:r>
                    <w:t>1980–1989</w:t>
                  </w:r>
                </w:p>
              </w:tc>
              <w:tc>
                <w:tcPr>
                  <w:tcW w:type="auto" w:w="0"/>
                  <w:shd w:val="clear" w:color="auto" w:fill="F0F0F0"/>
                </w:tcPr>
                <w:p>
                  <w:pPr>
                    <w:pStyle w:val="Normal"/>
                    <w:keepLines w:val="on"/>
                  </w:pPr>
                  <w:r>
                    <w:t>$123,05</w:t>
                  </w:r>
                </w:p>
              </w:tc>
              <w:tc>
                <w:tcPr>
                  <w:tcW w:type="auto" w:w="0"/>
                  <w:shd w:val="clear" w:color="auto" w:fill="F0F0F0"/>
                </w:tcPr>
                <w:p>
                  <w:pPr>
                    <w:pStyle w:val="Normal"/>
                    <w:keepLines w:val="on"/>
                  </w:pPr>
                  <w:r>
                    <w:t>$249,42</w:t>
                  </w:r>
                </w:p>
              </w:tc>
              <w:tc>
                <w:tcPr>
                  <w:tcW w:type="auto" w:w="0"/>
                  <w:shd w:val="clear" w:color="auto" w:fill="F0F0F0"/>
                </w:tcPr>
                <w:p>
                  <w:pPr>
                    <w:pStyle w:val="Normal"/>
                    <w:keepLines w:val="on"/>
                  </w:pPr>
                  <w:r>
                    <w:t>$126,37</w:t>
                  </w:r>
                </w:p>
              </w:tc>
              <w:tc>
                <w:tcPr>
                  <w:tcW w:type="auto" w:w="0"/>
                  <w:shd w:val="clear" w:color="auto" w:fill="F0F0F0"/>
                </w:tcPr>
                <w:p>
                  <w:pPr>
                    <w:pStyle w:val="Normal"/>
                    <w:keepLines w:val="on"/>
                  </w:pPr>
                  <w:r>
                    <w:t>$60,66</w:t>
                  </w:r>
                </w:p>
              </w:tc>
              <w:tc>
                <w:tcPr>
                  <w:tcW w:type="auto" w:w="0"/>
                  <w:shd w:val="clear" w:color="auto" w:fill="F0F0F0"/>
                </w:tcPr>
                <w:p>
                  <w:pPr>
                    <w:pStyle w:val="Normal"/>
                    <w:keepLines w:val="on"/>
                  </w:pPr>
                  <w:r>
                    <w:t>$41,76</w:t>
                  </w:r>
                </w:p>
              </w:tc>
            </w:tr>
          </w:tbl>
          <w:p/>
        </w:tc>
      </w:tr>
    </w:tbl>
    <w:p>
      <w:pPr>
        <w:pStyle w:val="Para 04"/>
        <w:keepLines w:val="on"/>
      </w:pPr>
      <w:r>
        <w:t>Lưu ý rằng sự gia tăng khấu hao diễn ra trong bảy năm đầu, chủ yếu là do giá trị sổ sách cao hơn và khấu hao nhanh. Tuy nhiên, sau năm 1986, lịch khấu hao cũ và mới hội tụ lại. Giá trị hiện tại của các lợi ích thuế bổ sung từ khấu hao cao hơn lên tới 41,76 triệu đô la, khoảng 10% tổng giá trị thanh toán cho thương vụ.</w:t>
      </w:r>
    </w:p>
    <w:p>
      <w:pPr>
        <w:pStyle w:val="Para 04"/>
        <w:keepLines w:val="on"/>
      </w:pPr>
      <w:r>
        <w:t>Trong những năm gần đây, luật thuế liên quan đến việc đánh giá lại tài sản đã được siết chặt đáng kể. Mặc dù các công ty thâu tóm vẫn có thể đánh giá lại giá trị tài sản của công ty bị thâu tóm, nhưng họ chỉ có thể làm như vậy tối đa đến giá trị hợp lý (fair value).</w:t>
      </w:r>
    </w:p>
    <w:p>
      <w:bookmarkStart w:id="5312" w:name="Debt_Capacity__If_the_cash_flows"/>
      <w:pPr>
        <w:pStyle w:val="Para 21"/>
      </w:pPr>
      <w:r>
        <w:t>Khả năng vay nợ</w:t>
      </w:r>
      <w:bookmarkEnd w:id="5312"/>
    </w:p>
    <w:p>
      <w:pPr>
        <w:pStyle w:val="Para 03"/>
      </w:pPr>
      <w:r>
        <w:t>Nếu dòng tiền của công ty thâu tóm và công ty mục tiêu không tương quan hoàn hảo với nhau, dòng tiền của công ty hợp nhất sẽ ít biến động hơn dòng tiền của từng công ty riêng lẻ. Việc giảm biến động này có thể dẫn đến tăng khả năng vay nợ và tăng giá trị của công ty. Tuy nhiên, sự gia tăng giá trị này phải được cân nhắc với việc chuyển giao tài sản ngay lập tức cho các trái chủ hiện hữu của cả hai công ty từ các cổ đông của cả công ty thâu tóm lẫn công ty mục tiêu. Các trái chủ của các công ty trước sáp nhập nhận thấy mình đang cho một công ty an toàn hơn vay sau khi thâu tóm. Tuy nhiên, lãi suất họ đang nhận được lại dựa trên các công ty rủi ro hơn trước sáp nhập. Nếu lãi suất không được đàm phán lại, giá trái phiếu sẽ tăng, làm tăng tài sản của trái chủ bằng cách hy sinh lợi ích của cổ đông.</w:t>
      </w:r>
    </w:p>
    <w:p>
      <w:pPr>
        <w:pStyle w:val="Para 03"/>
      </w:pPr>
      <w:r>
        <w:t>Có một số mô hình sẵn có để phân tích lợi ích của tỷ lệ nợ cao hơn do kết quả của các thương vụ thâu tóm. Lewellen (1971) phân tích lợi ích dưới góc độ giảm rủi ro vỡ nợ, vì công ty hợp nhất có dòng tiền ít biến động hơn so với từng công ty riêng lẻ. Ông đưa ra lý giải cho việc tăng giá trị nợ sau sáp nhập nhưng lại gây thiệt hại cho nhà đầu tư cổ phần. Do đó, không rõ liệu giá trị của công ty có tăng sau sáp nhập hay không. Stapleton (1985) đánh giá lợi ích của khả năng vay nợ cao hơn sau sáp nhập bằng cách sử dụng định giá quyền chọn (option pricing). Ông chỉ ra rằng tác động của sáp nhập lên khả năng vay nợ luôn là tích cực, ngay cả khi thu nhập của hai công ty tương quan hoàn hảo với nhau. Lợi ích từ khả năng vay nợ tăng lên khi thu nhập của hai công ty ít tương quan hơn và khi nhà đầu tư trở nên ngại rủi ro hơn.</w:t>
      </w:r>
    </w:p>
    <w:p>
      <w:pPr>
        <w:pStyle w:val="Para 03"/>
      </w:pPr>
      <w:r>
        <w:t>Hãy xem xét lại thương vụ sáp nhập giữa Lube &amp; Auto và Dalton Motors. Giá trị của công ty hợp nhất bằng tổng giá trị của các công ty độc lập. Việc hai công ty thuộc các lĩnh vực kinh doanh khác nhau đã làm giảm phương sai thu nhập, nhưng giá trị không bị ảnh hưởng, vì cấu trúc vốn của công ty vẫn không thay đổi sau sáp nhập và chi phí vốn cổ phần và nợ là bình quân gia quyền của chi phí của từng công ty riêng lẻ.</w:t>
      </w:r>
    </w:p>
    <w:p>
      <w:pPr>
        <w:pStyle w:val="Para 03"/>
      </w:pPr>
      <w:r>
        <w:t>Việc giảm phương sai thu nhập có thể làm tăng khả năng vay nợ, từ đó có thể làm tăng giá trị. Nếu sau khi sáp nhập hai công ty này, khả năng vay nợ của công ty hợp nhất được tăng lên 40 phần trăm từ 30 phần trăm (dẫn đến hệ số beta tăng lên 1,21 và chi phí nợ không đổi), giá trị của công ty hợp nhất sau thâu tóm có thể được ước tính như trong Bảng 25.10. Do khoản nợ tăng thêm, giá trị của công ty sẽ tăng từ 9.781,38 triệu đô la lên 11.429,35 triệu đô la.</w:t>
      </w:r>
    </w:p>
    <w:p>
      <w:pPr>
        <w:pStyle w:val="Para 34"/>
        <w:keepLines w:val="on"/>
      </w:pPr>
      <w:r>
        <w:t>Bảng 25.10</w:t>
      </w:r>
    </w:p>
    <w:p>
      <w:pPr>
        <w:keepNext/>
        <w:pStyle w:val="Para 35"/>
        <w:keepLines w:val="on"/>
      </w:pPr>
      <w:r>
        <w:t>Giá trị của khả năng vay nợ—Lube &amp; Auto và Dalton Motors</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hMerge w:val="restart"/>
                </w:tcPr>
                <w:p>
                  <w:pPr>
                    <w:pStyle w:val="Para 17"/>
                    <w:keepLines w:val="on"/>
                  </w:pPr>
                  <w:r>
                    <w:t>Công ty hợp nhất</w:t>
                  </w:r>
                </w:p>
              </w:tc>
              <w:tc>
                <w:tcPr>
                  <w:hMerge w:val="continue"/>
                </w:tcPr>
                <w:p/>
              </w:tc>
            </w:tr>
            <w:tr>
              <w:tc>
                <w:tcPr>
                  <w:tcW w:type="auto" w:w="0"/>
                  <w:shd w:val="clear" w:color="auto" w:fill="F0F0F0"/>
                </w:tcPr>
                <w:p>
                  <w:pPr>
                    <w:pStyle w:val="5 Block"/>
                    <w:keepLines w:val="on"/>
                  </w:pPr>
                </w:p>
              </w:tc>
              <w:tc>
                <w:tcPr>
                  <w:tcW w:type="auto" w:w="0"/>
                  <w:shd w:val="clear" w:color="auto" w:fill="F0F0F0"/>
                </w:tcPr>
                <w:p>
                  <w:pPr>
                    <w:pStyle w:val="Normal"/>
                    <w:keepLines w:val="on"/>
                  </w:pPr>
                  <w:r>
                    <w:t>Lube &amp; Auto</w:t>
                  </w:r>
                </w:p>
              </w:tc>
              <w:tc>
                <w:tcPr>
                  <w:tcW w:type="auto" w:w="0"/>
                  <w:shd w:val="clear" w:color="auto" w:fill="F0F0F0"/>
                </w:tcPr>
                <w:p>
                  <w:pPr>
                    <w:pStyle w:val="Normal"/>
                    <w:keepLines w:val="on"/>
                  </w:pPr>
                  <w:r>
                    <w:t>Dalton Motors</w:t>
                  </w:r>
                </w:p>
              </w:tc>
              <w:tc>
                <w:tcPr>
                  <w:tcW w:type="auto" w:w="0"/>
                  <w:shd w:val="clear" w:color="auto" w:fill="F0F0F0"/>
                </w:tcPr>
                <w:p>
                  <w:pPr>
                    <w:pStyle w:val="Normal"/>
                    <w:keepLines w:val="on"/>
                  </w:pPr>
                  <w:r>
                    <w:t>Không có nợ mới</w:t>
                  </w:r>
                </w:p>
              </w:tc>
              <w:tc>
                <w:tcPr>
                  <w:tcW w:type="auto" w:w="0"/>
                  <w:shd w:val="clear" w:color="auto" w:fill="F0F0F0"/>
                </w:tcPr>
                <w:p>
                  <w:pPr>
                    <w:pStyle w:val="Normal"/>
                    <w:keepLines w:val="on"/>
                  </w:pPr>
                  <w:r>
                    <w:t>Nợ tăng thêm</w:t>
                  </w:r>
                </w:p>
              </w:tc>
            </w:tr>
            <w:tr>
              <w:tc>
                <w:tcPr>
                  <w:tcW w:type="auto" w:w="0"/>
                  <w:shd w:val="clear" w:color="auto" w:fill="F0F0F0"/>
                </w:tcPr>
                <w:p>
                  <w:pPr>
                    <w:pStyle w:val="Para 02"/>
                    <w:keepLines w:val="on"/>
                  </w:pPr>
                  <w:r>
                    <w:t>Nợ (%)</w:t>
                  </w:r>
                </w:p>
              </w:tc>
              <w:tc>
                <w:tcPr>
                  <w:tcW w:type="auto" w:w="0"/>
                  <w:shd w:val="clear" w:color="auto" w:fill="F0F0F0"/>
                </w:tcPr>
                <w:p>
                  <w:pPr>
                    <w:pStyle w:val="Normal"/>
                    <w:keepLines w:val="on"/>
                  </w:pPr>
                  <w:r>
                    <w:t>30%</w:t>
                  </w:r>
                </w:p>
              </w:tc>
              <w:tc>
                <w:tcPr>
                  <w:tcW w:type="auto" w:w="0"/>
                  <w:shd w:val="clear" w:color="auto" w:fill="F0F0F0"/>
                </w:tcPr>
                <w:p>
                  <w:pPr>
                    <w:pStyle w:val="Normal"/>
                    <w:keepLines w:val="on"/>
                  </w:pPr>
                  <w:r>
                    <w:t>30%</w:t>
                  </w:r>
                </w:p>
              </w:tc>
              <w:tc>
                <w:tcPr>
                  <w:tcW w:type="auto" w:w="0"/>
                  <w:shd w:val="clear" w:color="auto" w:fill="F0F0F0"/>
                </w:tcPr>
                <w:p>
                  <w:pPr>
                    <w:pStyle w:val="Normal"/>
                    <w:keepLines w:val="on"/>
                  </w:pPr>
                  <w:r>
                    <w:t>30%</w:t>
                  </w:r>
                </w:p>
              </w:tc>
              <w:tc>
                <w:tcPr>
                  <w:tcW w:type="auto" w:w="0"/>
                  <w:shd w:val="clear" w:color="auto" w:fill="F0F0F0"/>
                </w:tcPr>
                <w:p>
                  <w:pPr>
                    <w:pStyle w:val="Normal"/>
                    <w:keepLines w:val="on"/>
                  </w:pPr>
                  <w:r>
                    <w:t>40%</w:t>
                  </w:r>
                </w:p>
              </w:tc>
            </w:tr>
            <w:tr>
              <w:tc>
                <w:tcPr>
                  <w:tcW w:type="auto" w:w="0"/>
                  <w:shd w:val="clear" w:color="auto" w:fill="F0F0F0"/>
                </w:tcPr>
                <w:p>
                  <w:pPr>
                    <w:pStyle w:val="Para 02"/>
                    <w:keepLines w:val="on"/>
                  </w:pPr>
                  <w:r>
                    <w:t>Chi phí nợ vay</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5,40%</w:t>
                  </w:r>
                </w:p>
              </w:tc>
              <w:tc>
                <w:tcPr>
                  <w:tcW w:type="auto" w:w="0"/>
                  <w:shd w:val="clear" w:color="auto" w:fill="F0F0F0"/>
                </w:tcPr>
                <w:p>
                  <w:pPr>
                    <w:pStyle w:val="Normal"/>
                    <w:keepLines w:val="on"/>
                  </w:pPr>
                  <w:r>
                    <w:t>5,65%</w:t>
                  </w:r>
                </w:p>
              </w:tc>
              <w:tc>
                <w:tcPr>
                  <w:tcW w:type="auto" w:w="0"/>
                  <w:shd w:val="clear" w:color="auto" w:fill="F0F0F0"/>
                </w:tcPr>
                <w:p>
                  <w:pPr>
                    <w:pStyle w:val="Normal"/>
                    <w:keepLines w:val="on"/>
                  </w:pPr>
                  <w:r>
                    <w:t>5,65%</w:t>
                  </w:r>
                </w:p>
              </w:tc>
            </w:tr>
            <w:tr>
              <w:tc>
                <w:tcPr>
                  <w:tcW w:type="auto" w:w="0"/>
                  <w:shd w:val="clear" w:color="auto" w:fill="F0F0F0"/>
                </w:tcPr>
                <w:p>
                  <w:pPr>
                    <w:pStyle w:val="Para 02"/>
                    <w:keepLines w:val="on"/>
                  </w:pPr>
                  <w:r>
                    <w:t>Vốn chủ sở hữu (%)</w:t>
                  </w:r>
                </w:p>
              </w:tc>
              <w:tc>
                <w:tcPr>
                  <w:tcW w:type="auto" w:w="0"/>
                  <w:shd w:val="clear" w:color="auto" w:fill="F0F0F0"/>
                </w:tcPr>
                <w:p>
                  <w:pPr>
                    <w:pStyle w:val="Normal"/>
                    <w:keepLines w:val="on"/>
                  </w:pPr>
                  <w:r>
                    <w:t>70%</w:t>
                  </w:r>
                </w:p>
              </w:tc>
              <w:tc>
                <w:tcPr>
                  <w:tcW w:type="auto" w:w="0"/>
                  <w:shd w:val="clear" w:color="auto" w:fill="F0F0F0"/>
                </w:tcPr>
                <w:p>
                  <w:pPr>
                    <w:pStyle w:val="Normal"/>
                    <w:keepLines w:val="on"/>
                  </w:pPr>
                  <w:r>
                    <w:t>70%</w:t>
                  </w:r>
                </w:p>
              </w:tc>
              <w:tc>
                <w:tcPr>
                  <w:tcW w:type="auto" w:w="0"/>
                  <w:shd w:val="clear" w:color="auto" w:fill="F0F0F0"/>
                </w:tcPr>
                <w:p>
                  <w:pPr>
                    <w:pStyle w:val="Normal"/>
                    <w:keepLines w:val="on"/>
                  </w:pPr>
                  <w:r>
                    <w:t>70%</w:t>
                  </w:r>
                </w:p>
              </w:tc>
              <w:tc>
                <w:tcPr>
                  <w:tcW w:type="auto" w:w="0"/>
                  <w:shd w:val="clear" w:color="auto" w:fill="F0F0F0"/>
                </w:tcPr>
                <w:p>
                  <w:pPr>
                    <w:pStyle w:val="Normal"/>
                    <w:keepLines w:val="on"/>
                  </w:pPr>
                  <w:r>
                    <w:t>60%</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Normal"/>
                    <w:keepLines w:val="on"/>
                  </w:pPr>
                  <w:r>
                    <w:t>13,60%</w:t>
                  </w:r>
                </w:p>
              </w:tc>
              <w:tc>
                <w:tcPr>
                  <w:tcW w:type="auto" w:w="0"/>
                  <w:shd w:val="clear" w:color="auto" w:fill="F0F0F0"/>
                </w:tcPr>
                <w:p>
                  <w:pPr>
                    <w:pStyle w:val="Normal"/>
                    <w:keepLines w:val="on"/>
                  </w:pPr>
                  <w:r>
                    <w:t>12,50%</w:t>
                  </w:r>
                </w:p>
              </w:tc>
              <w:tc>
                <w:tcPr>
                  <w:tcW w:type="auto" w:w="0"/>
                  <w:shd w:val="clear" w:color="auto" w:fill="F0F0F0"/>
                </w:tcPr>
                <w:p>
                  <w:pPr>
                    <w:pStyle w:val="Normal"/>
                    <w:keepLines w:val="on"/>
                  </w:pPr>
                  <w:r>
                    <w:t>12,95%</w:t>
                  </w:r>
                </w:p>
              </w:tc>
              <w:tc>
                <w:tcPr>
                  <w:tcW w:type="auto" w:w="0"/>
                  <w:shd w:val="clear" w:color="auto" w:fill="F0F0F0"/>
                </w:tcPr>
                <w:p>
                  <w:pPr>
                    <w:pStyle w:val="Normal"/>
                    <w:keepLines w:val="on"/>
                  </w:pPr>
                  <w:r>
                    <w:t>13,65%</w:t>
                  </w:r>
                </w:p>
              </w:tc>
            </w:tr>
            <w:tr>
              <w:tc>
                <w:tcPr>
                  <w:tcW w:type="auto" w:w="0"/>
                  <w:shd w:val="clear" w:color="auto" w:fill="F0F0F0"/>
                </w:tcPr>
                <w:p>
                  <w:pPr>
                    <w:pStyle w:val="Para 02"/>
                    <w:keepLines w:val="on"/>
                  </w:pPr>
                  <w:r>
                    <w:t>Chi phí vốn — năm 1</w:t>
                  </w:r>
                </w:p>
              </w:tc>
              <w:tc>
                <w:tcPr>
                  <w:tcW w:type="auto" w:w="0"/>
                  <w:shd w:val="clear" w:color="auto" w:fill="F0F0F0"/>
                </w:tcPr>
                <w:p>
                  <w:pPr>
                    <w:pStyle w:val="Normal"/>
                    <w:keepLines w:val="on"/>
                  </w:pPr>
                  <w:r>
                    <w:t>11,32%</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10,76%</w:t>
                  </w:r>
                </w:p>
              </w:tc>
              <w:tc>
                <w:tcPr>
                  <w:tcW w:type="auto" w:w="0"/>
                  <w:shd w:val="clear" w:color="auto" w:fill="F0F0F0"/>
                </w:tcPr>
                <w:p>
                  <w:pPr>
                    <w:pStyle w:val="Normal"/>
                    <w:keepLines w:val="on"/>
                  </w:pPr>
                  <w:r>
                    <w:t>10,45%</w:t>
                  </w:r>
                </w:p>
              </w:tc>
            </w:tr>
            <w:tr>
              <w:tc>
                <w:tcPr>
                  <w:tcW w:type="auto" w:w="0"/>
                  <w:shd w:val="clear" w:color="auto" w:fill="F0F0F0"/>
                </w:tcPr>
                <w:p>
                  <w:pPr>
                    <w:pStyle w:val="Para 02"/>
                    <w:keepLines w:val="on"/>
                  </w:pPr>
                  <w:r>
                    <w:t>Chi phí vốn — năm 2</w:t>
                  </w:r>
                </w:p>
              </w:tc>
              <w:tc>
                <w:tcPr>
                  <w:tcW w:type="auto" w:w="0"/>
                  <w:shd w:val="clear" w:color="auto" w:fill="F0F0F0"/>
                </w:tcPr>
                <w:p>
                  <w:pPr>
                    <w:pStyle w:val="Normal"/>
                    <w:keepLines w:val="on"/>
                  </w:pPr>
                  <w:r>
                    <w:t>11,32%</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10,76%</w:t>
                  </w:r>
                </w:p>
              </w:tc>
              <w:tc>
                <w:tcPr>
                  <w:tcW w:type="auto" w:w="0"/>
                  <w:shd w:val="clear" w:color="auto" w:fill="F0F0F0"/>
                </w:tcPr>
                <w:p>
                  <w:pPr>
                    <w:pStyle w:val="Normal"/>
                    <w:keepLines w:val="on"/>
                  </w:pPr>
                  <w:r>
                    <w:t>10,45%</w:t>
                  </w:r>
                </w:p>
              </w:tc>
            </w:tr>
            <w:tr>
              <w:tc>
                <w:tcPr>
                  <w:tcW w:type="auto" w:w="0"/>
                  <w:shd w:val="clear" w:color="auto" w:fill="F0F0F0"/>
                </w:tcPr>
                <w:p>
                  <w:pPr>
                    <w:pStyle w:val="Para 02"/>
                    <w:keepLines w:val="on"/>
                  </w:pPr>
                  <w:r>
                    <w:t>Chi phí vốn—năm 3</w:t>
                  </w:r>
                </w:p>
              </w:tc>
              <w:tc>
                <w:tcPr>
                  <w:tcW w:type="auto" w:w="0"/>
                  <w:shd w:val="clear" w:color="auto" w:fill="F0F0F0"/>
                </w:tcPr>
                <w:p>
                  <w:pPr>
                    <w:pStyle w:val="Normal"/>
                    <w:keepLines w:val="on"/>
                  </w:pPr>
                  <w:r>
                    <w:t>11,32%</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10,77%</w:t>
                  </w:r>
                </w:p>
              </w:tc>
              <w:tc>
                <w:tcPr>
                  <w:tcW w:type="auto" w:w="0"/>
                  <w:shd w:val="clear" w:color="auto" w:fill="F0F0F0"/>
                </w:tcPr>
                <w:p>
                  <w:pPr>
                    <w:pStyle w:val="Normal"/>
                    <w:keepLines w:val="on"/>
                  </w:pPr>
                  <w:r>
                    <w:t>10,45%</w:t>
                  </w:r>
                </w:p>
              </w:tc>
            </w:tr>
            <w:tr>
              <w:tc>
                <w:tcPr>
                  <w:tcW w:type="auto" w:w="0"/>
                  <w:shd w:val="clear" w:color="auto" w:fill="F0F0F0"/>
                </w:tcPr>
                <w:p>
                  <w:pPr>
                    <w:pStyle w:val="Para 02"/>
                    <w:keepLines w:val="on"/>
                  </w:pPr>
                  <w:r>
                    <w:t>Chi phí vốn—năm 4</w:t>
                  </w:r>
                </w:p>
              </w:tc>
              <w:tc>
                <w:tcPr>
                  <w:tcW w:type="auto" w:w="0"/>
                  <w:shd w:val="clear" w:color="auto" w:fill="F0F0F0"/>
                </w:tcPr>
                <w:p>
                  <w:pPr>
                    <w:pStyle w:val="Normal"/>
                    <w:keepLines w:val="on"/>
                  </w:pPr>
                  <w:r>
                    <w:t>11,32%</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10,77%</w:t>
                  </w:r>
                </w:p>
              </w:tc>
              <w:tc>
                <w:tcPr>
                  <w:tcW w:type="auto" w:w="0"/>
                  <w:shd w:val="clear" w:color="auto" w:fill="F0F0F0"/>
                </w:tcPr>
                <w:p>
                  <w:pPr>
                    <w:pStyle w:val="Normal"/>
                    <w:keepLines w:val="on"/>
                  </w:pPr>
                  <w:r>
                    <w:t>10,45%</w:t>
                  </w:r>
                </w:p>
              </w:tc>
            </w:tr>
            <w:tr>
              <w:tc>
                <w:tcPr>
                  <w:tcW w:type="auto" w:w="0"/>
                  <w:shd w:val="clear" w:color="auto" w:fill="F0F0F0"/>
                </w:tcPr>
                <w:p>
                  <w:pPr>
                    <w:pStyle w:val="Para 02"/>
                    <w:keepLines w:val="on"/>
                  </w:pPr>
                  <w:r>
                    <w:t>Chi phí vốn—năm 5</w:t>
                  </w:r>
                </w:p>
              </w:tc>
              <w:tc>
                <w:tcPr>
                  <w:tcW w:type="auto" w:w="0"/>
                  <w:shd w:val="clear" w:color="auto" w:fill="F0F0F0"/>
                </w:tcPr>
                <w:p>
                  <w:pPr>
                    <w:pStyle w:val="Normal"/>
                    <w:keepLines w:val="on"/>
                  </w:pPr>
                  <w:r>
                    <w:t>11,32%</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10,77%</w:t>
                  </w:r>
                </w:p>
              </w:tc>
              <w:tc>
                <w:tcPr>
                  <w:tcW w:type="auto" w:w="0"/>
                  <w:shd w:val="clear" w:color="auto" w:fill="F0F0F0"/>
                </w:tcPr>
                <w:p>
                  <w:pPr>
                    <w:pStyle w:val="Normal"/>
                    <w:keepLines w:val="on"/>
                  </w:pPr>
                  <w:r>
                    <w:t>10,45%</w:t>
                  </w:r>
                </w:p>
              </w:tc>
            </w:tr>
            <w:tr>
              <w:tc>
                <w:tcPr>
                  <w:tcW w:type="auto" w:w="0"/>
                  <w:shd w:val="clear" w:color="auto" w:fill="F0F0F0"/>
                </w:tcPr>
                <w:p>
                  <w:pPr>
                    <w:pStyle w:val="Para 02"/>
                    <w:keepLines w:val="on"/>
                  </w:pPr>
                  <w:r>
                    <w:t>Chi phí vốn sau</w:t>
                  </w:r>
                </w:p>
              </w:tc>
              <w:tc>
                <w:tcPr>
                  <w:tcW w:type="auto" w:w="0"/>
                  <w:shd w:val="clear" w:color="auto" w:fill="F0F0F0"/>
                </w:tcPr>
                <w:p>
                  <w:pPr>
                    <w:pStyle w:val="Normal"/>
                    <w:keepLines w:val="on"/>
                  </w:pPr>
                  <w:r>
                    <w:t>10,55%</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10,45%</w:t>
                  </w:r>
                </w:p>
              </w:tc>
              <w:tc>
                <w:tcPr>
                  <w:tcW w:type="auto" w:w="0"/>
                  <w:shd w:val="clear" w:color="auto" w:fill="F0F0F0"/>
                </w:tcPr>
                <w:p>
                  <w:pPr>
                    <w:pStyle w:val="Normal"/>
                    <w:keepLines w:val="on"/>
                  </w:pPr>
                  <w:r>
                    <w:t>9,76%</w:t>
                  </w:r>
                </w:p>
              </w:tc>
            </w:tr>
            <w:tr>
              <w:tc>
                <w:tcPr>
                  <w:tcW w:type="auto" w:w="0"/>
                  <w:shd w:val="clear" w:color="auto" w:fill="F0F0F0"/>
                </w:tcPr>
                <w:p>
                  <w:pPr>
                    <w:pStyle w:val="Para 02"/>
                    <w:keepLines w:val="on"/>
                  </w:pPr>
                  <w:r>
                    <w:t>FCFF năm 1</w:t>
                  </w:r>
                </w:p>
              </w:tc>
              <w:tc>
                <w:tcPr>
                  <w:tcW w:type="auto" w:w="0"/>
                  <w:shd w:val="clear" w:color="auto" w:fill="F0F0F0"/>
                </w:tcPr>
                <w:p>
                  <w:pPr>
                    <w:pStyle w:val="Normal"/>
                    <w:keepLines w:val="on"/>
                  </w:pPr>
                  <w:r>
                    <w:t>$120.00</w:t>
                  </w:r>
                </w:p>
              </w:tc>
              <w:tc>
                <w:tcPr>
                  <w:tcW w:type="auto" w:w="0"/>
                  <w:shd w:val="clear" w:color="auto" w:fill="F0F0F0"/>
                </w:tcPr>
                <w:p>
                  <w:pPr>
                    <w:pStyle w:val="Normal"/>
                    <w:keepLines w:val="on"/>
                  </w:pPr>
                  <w:r>
                    <w:t>$220.00</w:t>
                  </w:r>
                </w:p>
              </w:tc>
              <w:tc>
                <w:tcPr>
                  <w:tcW w:type="auto" w:w="0"/>
                  <w:shd w:val="clear" w:color="auto" w:fill="F0F0F0"/>
                </w:tcPr>
                <w:p>
                  <w:pPr>
                    <w:pStyle w:val="Normal"/>
                    <w:keepLines w:val="on"/>
                  </w:pPr>
                  <w:r>
                    <w:t>$340.00</w:t>
                  </w:r>
                </w:p>
              </w:tc>
              <w:tc>
                <w:tcPr>
                  <w:tcW w:type="auto" w:w="0"/>
                  <w:shd w:val="clear" w:color="auto" w:fill="F0F0F0"/>
                </w:tcPr>
                <w:p>
                  <w:pPr>
                    <w:pStyle w:val="Normal"/>
                    <w:keepLines w:val="on"/>
                  </w:pPr>
                  <w:r>
                    <w:t>$340.00</w:t>
                  </w:r>
                </w:p>
              </w:tc>
            </w:tr>
            <w:tr>
              <w:tc>
                <w:tcPr>
                  <w:tcW w:type="auto" w:w="0"/>
                  <w:shd w:val="clear" w:color="auto" w:fill="F0F0F0"/>
                </w:tcPr>
                <w:p>
                  <w:pPr>
                    <w:pStyle w:val="Para 02"/>
                    <w:keepLines w:val="on"/>
                  </w:pPr>
                  <w:r>
                    <w:t>FCFF năm thứ 2</w:t>
                  </w:r>
                </w:p>
              </w:tc>
              <w:tc>
                <w:tcPr>
                  <w:tcW w:type="auto" w:w="0"/>
                  <w:shd w:val="clear" w:color="auto" w:fill="F0F0F0"/>
                </w:tcPr>
                <w:p>
                  <w:pPr>
                    <w:pStyle w:val="Normal"/>
                    <w:keepLines w:val="on"/>
                  </w:pPr>
                  <w:r>
                    <w:t>$144.00</w:t>
                  </w:r>
                </w:p>
              </w:tc>
              <w:tc>
                <w:tcPr>
                  <w:tcW w:type="auto" w:w="0"/>
                  <w:shd w:val="clear" w:color="auto" w:fill="F0F0F0"/>
                </w:tcPr>
                <w:p>
                  <w:pPr>
                    <w:pStyle w:val="Normal"/>
                    <w:keepLines w:val="on"/>
                  </w:pPr>
                  <w:r>
                    <w:t>$242.00</w:t>
                  </w:r>
                </w:p>
              </w:tc>
              <w:tc>
                <w:tcPr>
                  <w:tcW w:type="auto" w:w="0"/>
                  <w:shd w:val="clear" w:color="auto" w:fill="F0F0F0"/>
                </w:tcPr>
                <w:p>
                  <w:pPr>
                    <w:pStyle w:val="Normal"/>
                    <w:keepLines w:val="on"/>
                  </w:pPr>
                  <w:r>
                    <w:t>$386.00</w:t>
                  </w:r>
                </w:p>
              </w:tc>
              <w:tc>
                <w:tcPr>
                  <w:tcW w:type="auto" w:w="0"/>
                  <w:shd w:val="clear" w:color="auto" w:fill="F0F0F0"/>
                </w:tcPr>
                <w:p>
                  <w:pPr>
                    <w:pStyle w:val="Normal"/>
                    <w:keepLines w:val="on"/>
                  </w:pPr>
                  <w:r>
                    <w:t>$386.00</w:t>
                  </w:r>
                </w:p>
              </w:tc>
            </w:tr>
            <w:tr>
              <w:tc>
                <w:tcPr>
                  <w:tcW w:type="auto" w:w="0"/>
                  <w:shd w:val="clear" w:color="auto" w:fill="F0F0F0"/>
                </w:tcPr>
                <w:p>
                  <w:pPr>
                    <w:pStyle w:val="Para 02"/>
                    <w:keepLines w:val="on"/>
                  </w:pPr>
                  <w:r>
                    <w:t>FCFF năm thứ 3</w:t>
                  </w:r>
                </w:p>
              </w:tc>
              <w:tc>
                <w:tcPr>
                  <w:tcW w:type="auto" w:w="0"/>
                  <w:shd w:val="clear" w:color="auto" w:fill="F0F0F0"/>
                </w:tcPr>
                <w:p>
                  <w:pPr>
                    <w:pStyle w:val="Normal"/>
                    <w:keepLines w:val="on"/>
                  </w:pPr>
                  <w:r>
                    <w:t>$172.80</w:t>
                  </w:r>
                </w:p>
              </w:tc>
              <w:tc>
                <w:tcPr>
                  <w:tcW w:type="auto" w:w="0"/>
                  <w:shd w:val="clear" w:color="auto" w:fill="F0F0F0"/>
                </w:tcPr>
                <w:p>
                  <w:pPr>
                    <w:pStyle w:val="Normal"/>
                    <w:keepLines w:val="on"/>
                  </w:pPr>
                  <w:r>
                    <w:t>$266.20</w:t>
                  </w:r>
                </w:p>
              </w:tc>
              <w:tc>
                <w:tcPr>
                  <w:tcW w:type="auto" w:w="0"/>
                  <w:shd w:val="clear" w:color="auto" w:fill="F0F0F0"/>
                </w:tcPr>
                <w:p>
                  <w:pPr>
                    <w:pStyle w:val="Normal"/>
                    <w:keepLines w:val="on"/>
                  </w:pPr>
                  <w:r>
                    <w:t>$439.00</w:t>
                  </w:r>
                </w:p>
              </w:tc>
              <w:tc>
                <w:tcPr>
                  <w:tcW w:type="auto" w:w="0"/>
                  <w:shd w:val="clear" w:color="auto" w:fill="F0F0F0"/>
                </w:tcPr>
                <w:p>
                  <w:pPr>
                    <w:pStyle w:val="Normal"/>
                    <w:keepLines w:val="on"/>
                  </w:pPr>
                  <w:r>
                    <w:t>$439.00</w:t>
                  </w:r>
                </w:p>
              </w:tc>
            </w:tr>
            <w:tr>
              <w:tc>
                <w:tcPr>
                  <w:tcW w:type="auto" w:w="0"/>
                  <w:shd w:val="clear" w:color="auto" w:fill="F0F0F0"/>
                </w:tcPr>
                <w:p>
                  <w:pPr>
                    <w:pStyle w:val="Para 02"/>
                    <w:keepLines w:val="on"/>
                  </w:pPr>
                  <w:r>
                    <w:t>FCFF năm thứ 4</w:t>
                  </w:r>
                </w:p>
              </w:tc>
              <w:tc>
                <w:tcPr>
                  <w:tcW w:type="auto" w:w="0"/>
                  <w:shd w:val="clear" w:color="auto" w:fill="F0F0F0"/>
                </w:tcPr>
                <w:p>
                  <w:pPr>
                    <w:pStyle w:val="Normal"/>
                    <w:keepLines w:val="on"/>
                  </w:pPr>
                  <w:r>
                    <w:t>$207.36</w:t>
                  </w:r>
                </w:p>
              </w:tc>
              <w:tc>
                <w:tcPr>
                  <w:tcW w:type="auto" w:w="0"/>
                  <w:shd w:val="clear" w:color="auto" w:fill="F0F0F0"/>
                </w:tcPr>
                <w:p>
                  <w:pPr>
                    <w:pStyle w:val="Normal"/>
                    <w:keepLines w:val="on"/>
                  </w:pPr>
                  <w:r>
                    <w:t>$292.82</w:t>
                  </w:r>
                </w:p>
              </w:tc>
              <w:tc>
                <w:tcPr>
                  <w:tcW w:type="auto" w:w="0"/>
                  <w:shd w:val="clear" w:color="auto" w:fill="F0F0F0"/>
                </w:tcPr>
                <w:p>
                  <w:pPr>
                    <w:pStyle w:val="Normal"/>
                    <w:keepLines w:val="on"/>
                  </w:pPr>
                  <w:r>
                    <w:t>$500.18</w:t>
                  </w:r>
                </w:p>
              </w:tc>
              <w:tc>
                <w:tcPr>
                  <w:tcW w:type="auto" w:w="0"/>
                  <w:shd w:val="clear" w:color="auto" w:fill="F0F0F0"/>
                </w:tcPr>
                <w:p>
                  <w:pPr>
                    <w:pStyle w:val="Normal"/>
                    <w:keepLines w:val="on"/>
                  </w:pPr>
                  <w:r>
                    <w:t>$500.18</w:t>
                  </w:r>
                </w:p>
              </w:tc>
            </w:tr>
            <w:tr>
              <w:tc>
                <w:tcPr>
                  <w:tcW w:type="auto" w:w="0"/>
                  <w:shd w:val="clear" w:color="auto" w:fill="F0F0F0"/>
                </w:tcPr>
                <w:p>
                  <w:pPr>
                    <w:pStyle w:val="Para 02"/>
                    <w:keepLines w:val="on"/>
                  </w:pPr>
                  <w:r>
                    <w:t>FCFF năm thứ 5</w:t>
                  </w:r>
                </w:p>
              </w:tc>
              <w:tc>
                <w:tcPr>
                  <w:tcW w:type="auto" w:w="0"/>
                  <w:shd w:val="clear" w:color="auto" w:fill="F0F0F0"/>
                </w:tcPr>
                <w:p>
                  <w:pPr>
                    <w:pStyle w:val="Normal"/>
                    <w:keepLines w:val="on"/>
                  </w:pPr>
                  <w:r>
                    <w:t>$248.83</w:t>
                  </w:r>
                </w:p>
              </w:tc>
              <w:tc>
                <w:tcPr>
                  <w:tcW w:type="auto" w:w="0"/>
                  <w:shd w:val="clear" w:color="auto" w:fill="F0F0F0"/>
                </w:tcPr>
                <w:p>
                  <w:pPr>
                    <w:pStyle w:val="Normal"/>
                    <w:keepLines w:val="on"/>
                  </w:pPr>
                  <w:r>
                    <w:t>$322.10</w:t>
                  </w:r>
                </w:p>
              </w:tc>
              <w:tc>
                <w:tcPr>
                  <w:tcW w:type="auto" w:w="0"/>
                  <w:shd w:val="clear" w:color="auto" w:fill="F0F0F0"/>
                </w:tcPr>
                <w:p>
                  <w:pPr>
                    <w:pStyle w:val="Normal"/>
                    <w:keepLines w:val="on"/>
                  </w:pPr>
                  <w:r>
                    <w:t>$570.93</w:t>
                  </w:r>
                </w:p>
              </w:tc>
              <w:tc>
                <w:tcPr>
                  <w:tcW w:type="auto" w:w="0"/>
                  <w:shd w:val="clear" w:color="auto" w:fill="F0F0F0"/>
                </w:tcPr>
                <w:p>
                  <w:pPr>
                    <w:pStyle w:val="Normal"/>
                    <w:keepLines w:val="on"/>
                  </w:pPr>
                  <w:r>
                    <w:t>$570.93</w:t>
                  </w:r>
                </w:p>
              </w:tc>
            </w:tr>
            <w:tr>
              <w:tc>
                <w:tcPr>
                  <w:tcW w:type="auto" w:w="0"/>
                  <w:shd w:val="clear" w:color="auto" w:fill="F0F0F0"/>
                </w:tcPr>
                <w:p>
                  <w:pPr>
                    <w:pStyle w:val="Para 02"/>
                    <w:keepLines w:val="on"/>
                  </w:pPr>
                  <w:r>
                    <w:t>Giá trị cuối kỳ</w:t>
                  </w:r>
                </w:p>
              </w:tc>
              <w:tc>
                <w:tcPr>
                  <w:tcW w:type="auto" w:w="0"/>
                  <w:shd w:val="clear" w:color="auto" w:fill="F0F0F0"/>
                </w:tcPr>
                <w:p>
                  <w:pPr>
                    <w:pStyle w:val="Normal"/>
                    <w:keepLines w:val="on"/>
                  </w:pPr>
                  <w:r>
                    <w:t>$ 5,796.97</w:t>
                  </w:r>
                </w:p>
              </w:tc>
              <w:tc>
                <w:tcPr>
                  <w:tcW w:type="auto" w:w="0"/>
                  <w:shd w:val="clear" w:color="auto" w:fill="F0F0F0"/>
                </w:tcPr>
                <w:p>
                  <w:pPr>
                    <w:pStyle w:val="Normal"/>
                    <w:keepLines w:val="on"/>
                  </w:pPr>
                  <w:r>
                    <w:t>$ 7,813.00</w:t>
                  </w:r>
                </w:p>
              </w:tc>
              <w:tc>
                <w:tcPr>
                  <w:tcW w:type="auto" w:w="0"/>
                  <w:shd w:val="clear" w:color="auto" w:fill="F0F0F0"/>
                </w:tcPr>
                <w:p>
                  <w:pPr>
                    <w:pStyle w:val="Normal"/>
                    <w:keepLines w:val="on"/>
                  </w:pPr>
                  <w:r>
                    <w:t>$13,609.97</w:t>
                  </w:r>
                </w:p>
              </w:tc>
              <w:tc>
                <w:tcPr>
                  <w:tcW w:type="auto" w:w="0"/>
                  <w:shd w:val="clear" w:color="auto" w:fill="F0F0F0"/>
                </w:tcPr>
                <w:p>
                  <w:pPr>
                    <w:pStyle w:val="Normal"/>
                    <w:keepLines w:val="on"/>
                  </w:pPr>
                  <w:r>
                    <w:t>$16,101.22</w:t>
                  </w:r>
                </w:p>
              </w:tc>
            </w:tr>
            <w:tr>
              <w:tc>
                <w:tcPr>
                  <w:tcW w:type="auto" w:w="0"/>
                  <w:shd w:val="clear" w:color="auto" w:fill="F0F0F0"/>
                </w:tcPr>
                <w:p>
                  <w:pPr>
                    <w:pStyle w:val="Para 02"/>
                    <w:keepLines w:val="on"/>
                  </w:pPr>
                  <w:r>
                    <w:t>Giá trị hiện tại</w:t>
                  </w:r>
                </w:p>
              </w:tc>
              <w:tc>
                <w:tcPr>
                  <w:tcW w:type="auto" w:w="0"/>
                  <w:shd w:val="clear" w:color="auto" w:fill="F0F0F0"/>
                </w:tcPr>
                <w:p>
                  <w:pPr>
                    <w:pStyle w:val="Normal"/>
                    <w:keepLines w:val="on"/>
                  </w:pPr>
                  <w:r>
                    <w:t>$ 4,020.91</w:t>
                  </w:r>
                </w:p>
              </w:tc>
              <w:tc>
                <w:tcPr>
                  <w:tcW w:type="auto" w:w="0"/>
                  <w:shd w:val="clear" w:color="auto" w:fill="F0F0F0"/>
                </w:tcPr>
                <w:p>
                  <w:pPr>
                    <w:pStyle w:val="Normal"/>
                    <w:keepLines w:val="on"/>
                  </w:pPr>
                  <w:r>
                    <w:t>$ 5,760.47</w:t>
                  </w:r>
                </w:p>
              </w:tc>
              <w:tc>
                <w:tcPr>
                  <w:tcW w:type="auto" w:w="0"/>
                  <w:shd w:val="clear" w:color="auto" w:fill="F0F0F0"/>
                </w:tcPr>
                <w:p>
                  <w:pPr>
                    <w:pStyle w:val="Normal"/>
                    <w:keepLines w:val="on"/>
                  </w:pPr>
                  <w:r>
                    <w:t>$ 9,781.38</w:t>
                  </w:r>
                </w:p>
              </w:tc>
              <w:tc>
                <w:tcPr>
                  <w:tcW w:type="auto" w:w="0"/>
                  <w:shd w:val="clear" w:color="auto" w:fill="F0F0F0"/>
                </w:tcPr>
                <w:p>
                  <w:pPr>
                    <w:pStyle w:val="Normal"/>
                    <w:keepLines w:val="on"/>
                  </w:pPr>
                  <w:r>
                    <w:t>$11,429.35</w:t>
                  </w:r>
                </w:p>
              </w:tc>
            </w:tr>
          </w:tbl>
          <w:p/>
        </w:tc>
      </w:tr>
    </w:tbl>
    <w:p>
      <w:bookmarkStart w:id="5316" w:name="Increase_Growth_and_Price_Earnin"/>
      <w:bookmarkStart w:id="5317" w:name="Increase_Growth_and_Price_Earnin_1"/>
      <w:pPr>
        <w:keepNext/>
        <w:pStyle w:val="Heading 4"/>
        <w:keepLines w:val="on"/>
      </w:pPr>
      <w:r>
        <w:t>Tăng trưởng gia tăng và bội số giá trên thu nhập</w:t>
      </w:r>
      <w:bookmarkEnd w:id="5316"/>
      <w:bookmarkEnd w:id="5317"/>
    </w:p>
    <w:p>
      <w:pPr>
        <w:pStyle w:val="Para 03"/>
      </w:pPr>
      <w:r>
        <w:t>Một số thương vụ mua lại được thúc đẩy bởi mong muốn gia tăng tăng trưởng và các bội số định giá. Dù lợi ích của tăng trưởng cao hơn là không thể phủ nhận, cái giá phải trả cho sự tăng trưởng đó sẽ quyết định liệu những thương vụ mua lại như vậy có hợp lý hay không. Nếu cái giá phải trả cho sự tăng trưởng vượt quá giá trị thị trường hợp lý, giá cổ phiếu của công ty mua lại sẽ giảm, ngay cả khi tăng trưởng dòng tiền kỳ vọng trong tương lai của nó có thể tăng lên nhờ thương vụ thâu tóm.</w:t>
      </w:r>
    </w:p>
    <w:p>
      <w:pPr>
        <w:pStyle w:val="Para 03"/>
      </w:pPr>
      <w:r>
        <w:t>Điều này có thể thấy trong ví dụ trước. Dalton Motors, với tăng trưởng dòng tiền dự kiến là 10 phần trăm, mua lại Lube &amp; Auto, công ty được kỳ vọng tăng trưởng 20 phần trăm. Giá trị thị trường hợp lý của Lube &amp; Auto là $4,020.91. Nếu Dalton Motors trả nhiều hơn số tiền này để mua Lube &amp; Auto, giá cổ phiếu của nó sẽ giảm, ngay cả khi công ty hợp nhất sẽ tăng trưởng với tốc độ nhanh hơn Dalton Motors đơn lẻ. Tương tự, Dalton Motors, công ty bán với bội số thu nhập thấp hơn Lube &amp; Auto, sẽ tăng tỷ lệ PE của mình sau khi mua lại, nhưng tác động lên các cổ đông trong công ty vẫn sẽ được quyết định bởi việc cái giá phải trả cho thương vụ mua lại có vượt quá giá trị hợp lý hay không. Thú vị thay, có một lý do thay thế được đưa ra cho các thương vụ mua lại, gần như ngược lại với chiến lược tăng trưởng cao/PE cao này, đó là chiến lược mua lại gia tăng (accretive acquisition strategy). Trong chiến lược này, một thương vụ mua lại được coi là gia tăng (tốt) nếu nó làm tăng thu nhập trên mỗi cổ phần của công ty mua lại và pha loãng (xấu) nếu nó làm giảm thu nhập trên mỗi cổ phần. Chiến lược đó cũng không hợp lý, vì Lube &amp; Auto (với tư cách là công ty có tỷ lệ PE cao hơn) sẽ thấy thu nhập trên mỗi cổ phần của mình tăng lên khi nó mua Dalton. Nhưng thu nhập trên mỗi cổ phần cao hơn đó sẽ đi kèm với tỷ lệ PE thấp hơn và một mức giá có thể cao hơn hoặc thấp hơn, tùy thuộc vào cái giá phải trả cho Dalton.</w:t>
      </w:r>
    </w:p>
    <w:p>
      <w:pPr>
        <w:pStyle w:val="Para 11"/>
      </w:pPr>
      <w:r>
        <w:t/>
        <w:t xml:space="preserve"> </w:t>
      </w:r>
    </w:p>
    <w:p>
      <w:bookmarkStart w:id="5318" w:name="How_Often_Does_Synergy_Actually"/>
      <w:bookmarkStart w:id="5319" w:name="How_Often_Does_Synergy_Actually_1"/>
      <w:pPr>
        <w:keepNext/>
        <w:pStyle w:val="Para 27"/>
        <w:keepLines w:val="on"/>
      </w:pPr>
      <w:r>
        <w:t>Hiệu ứng cộng hưởng thực sự xuất hiện bao nhiêu lần?</w:t>
      </w:r>
      <w:bookmarkEnd w:id="5318"/>
      <w:bookmarkEnd w:id="5319"/>
    </w:p>
    <w:p>
      <w:pPr>
        <w:pStyle w:val="Para 16"/>
        <w:keepLines w:val="on"/>
      </w:pPr>
      <w:r>
        <w:t>McKinsey &amp; Co. đã xem xét 58 chương trình mua lại từ năm 1972 đến 1983 để tìm bằng chứng cho hai câu hỏi: (1) Lợi nhuận trên số tiền đầu tư vào các thương vụ mua lại có vượt quá chi phí vốn không? (2) Các thương vụ mua lại có giúp các công ty mẹ vượt trội so với đối thủ cạnh tranh không? McKinsey kết luận rằng 28 trong số 58 chương trình đã thất bại cả hai bài kiểm tra, và 6 thất bại ít nhất một bài kiểm tra. Trong một nghiên cứu tiếp theo về 115 thương vụ sáp nhập ở Vương quốc Anh và Hoa Kỳ trong thập niên 1990, McKinsey kết luận rằng 60 phần trăm các giao dịch kiếm được lợi nhuận trên vốn thấp hơn chi phí vốn và chỉ 23 phần trăm kiếm được lợi nhuận vượt trội.6 Năm 1999, KPMG đã xem xét 700 thương vụ đắt đỏ nhất từ năm 1996 đến 1998 và kết luận rằng chỉ 17 phần trăm tạo ra giá trị cho công ty hợp nhất, 30 phần trăm trung tính về giá trị, và 53 phần trăm phá hủy giá trị.7</w:t>
      </w:r>
    </w:p>
    <w:p>
      <w:pPr>
        <w:pStyle w:val="Para 16"/>
        <w:keepLines w:val="on"/>
      </w:pPr>
      <w:r>
        <w:t>Một nghiên cứu đã xem xét tám thương vụ sáp nhập ngân hàng lớn nhất năm 1995 và kết luận rằng chỉ hai thương vụ (Chase/Chemical, First Chicago/NBD) sau đó vượt trội so với chỉ số cổ phiếu ngân hàng.8 Thương vụ lớn nhất, việc Wells Fargo mua lại First Interstate, là một thất bại đáng kể. Sirower (1996) xem xét chi tiết những lời hứa và thất bại của hiệu ứng cộng hưởng và đưa ra kết luận ảm đạm rằng hiệu ứng cộng hưởng thường được hứa hẹn nhưng hiếm khi được thực hiện.</w:t>
      </w:r>
    </w:p>
    <w:p>
      <w:pPr>
        <w:pStyle w:val="Para 16"/>
        <w:keepLines w:val="on"/>
      </w:pPr>
      <w:r>
        <w:t>Bằng chứng gây tổn hại nhất về kết quả của các thương vụ mua lại là số lượng lớn các thương vụ bị đảo ngược trong khoảng thời gian khá ngắn. Mitchell và Lehn (1990) lưu ý rằng 20,2 phần trăm các thương vụ mua lại được thực hiện từ năm 1982 đến 1986 đã bị thoái vốn vào năm 1988. Các nghiên cứu theo dõi các thương vụ mua lại trong khoảng thời gian dài hơn (10 năm hoặc hơn) đã phát hiện tỷ lệ thoái vốn của các thương vụ mua lại tăng lên gần 50 phần trăm, cho thấy rất ít công ty được hưởng những lợi ích đã hứa từ các thương vụ mua lại. Trong một nghiên cứu khác, Kaplan và Weisbach (1992) phát hiện rằng 44 phần trăm các thương vụ sáp nhập họ nghiên cứu đã bị đảo ngược, hoặc vì bên mua trả quá nhiều hoặc vì hoạt động của hai công ty không ăn khớp với nhau.</w:t>
      </w:r>
    </w:p>
    <w:p>
      <w:bookmarkStart w:id="5324" w:name="Takeover_Valuation__Biases_and_C_1"/>
      <w:bookmarkStart w:id="5325" w:name="Takeover_Valuation__Biases_and_C"/>
      <w:pPr>
        <w:keepNext/>
        <w:pStyle w:val="Heading 2"/>
        <w:keepLines w:val="on"/>
      </w:pPr>
      <w:r>
        <w:t>Định giá thâu tóm: Những thiên kiến và lỗi phổ biến</w:t>
      </w:r>
      <w:bookmarkEnd w:id="5324"/>
      <w:bookmarkEnd w:id="5325"/>
    </w:p>
    <w:p>
      <w:pPr>
        <w:pStyle w:val="Para 03"/>
      </w:pPr>
      <w:r>
        <w:t>Quá trình định giá thâu tóm có những cạm bẫy và thiên kiến tiềm ẩn phát sinh từ mong muốn của ban lãnh đạo cả công ty bên mua lẫn bên mục tiêu nhằm biện minh cho quan điểm của mình trước các cổ đông. Công ty bên mua nhằm thuyết phục cổ đông rằng mình đang có được một món hời (tức là đang trả ít hơn giá trị thực sự của công ty mục tiêu). Trong các thương vụ thâu tóm thân thiện, công ty mục tiêu cố gắng cho cổ đông thấy rằng mức giá mình nhận được là một mức giá hợp lý (tức là nhận được ít nhất bằng giá trị của nó). Trong các thương vụ thâu tóm thù địch, vai trò đảo ngược, khi các công ty bên mua cố gắng thuyết phục cổ đông công ty mục tiêu rằng họ không bị lừa mất phần chia công bằng của mình, còn công ty mục tiêu thì lập luận ngược lại. Trong suốt quá trình đó, có một số lỗi và thiên kiến phổ biến trong định giá thâu tóm.</w:t>
      </w:r>
    </w:p>
    <w:p>
      <w:pPr>
        <w:pStyle w:val="Para 20"/>
      </w:pPr>
      <w:r>
        <w:rPr>
          <w:rStyle w:val="Text26"/>
        </w:rPr>
        <w:bookmarkStart w:id="5326" w:name="Page_819"/>
        <w:t/>
        <w:bookmarkEnd w:id="5326"/>
      </w:r>
      <w:r>
        <w:t xml:space="preserve"> </w:t>
      </w:r>
    </w:p>
    <w:p>
      <w:bookmarkStart w:id="5327" w:name="Use_of_Comparable_Firms_and_Mult"/>
      <w:bookmarkStart w:id="5328" w:name="Use_of_Comparable_Firms_and_Mult_1"/>
      <w:pPr>
        <w:keepNext/>
        <w:pStyle w:val="Heading 3"/>
        <w:keepLines w:val="on"/>
      </w:pPr>
      <w:r>
        <w:t>Sử dụng các công ty so sánh và bội số</w:t>
      </w:r>
      <w:bookmarkEnd w:id="5327"/>
      <w:bookmarkEnd w:id="5328"/>
    </w:p>
    <w:p>
      <w:pPr>
        <w:pStyle w:val="Para 03"/>
      </w:pPr>
      <w:r>
        <w:t>Mức giá phải trả trong hầu hết các thương vụ thâu tóm được biện minh bằng chuỗi hành động sau: Bên mua tập hợp một nhóm các công ty tương tự với công ty đang được định giá, chọn một bội số để định giá công ty mục tiêu, tính bội số trung bình cho các công ty so sánh, rồi thực hiện những điều chỉnh chủ quan đối với mức trung bình này. Mỗi bước trong số này đều mở ra cơ hội cho thiên kiến xâm nhập vào quá trình. Vì không có hai công ty nào giống hệt nhau, việc chọn các công ty so sánh là một lựa chọn chủ quan và có thể được điều chỉnh để biện minh cho kết luận mà ta muốn đạt được. Tương tự, khi chọn một bội số, có một số lựa chọn khả dĩ—tỷ lệ giá trên thu nhập, tỷ lệ giá trên dòng tiền, tỷ lệ giá trên giá trị sổ sách, và tỷ lệ giá trên doanh thu, cùng nhiều tỷ lệ khác—và bội số được chọn sẽ là bội số phù hợp nhất với thiên kiến của ta. Cuối cùng, một khi đã có bội số trung bình, có thể thực hiện những điều chỉnh chủ quan để hoàn thiện câu chuyện. Tóm lại, có rất nhiều dư địa để thiên kiến được dùng để biện minh cho bất kỳ mức giá nào, bằng cách sử dụng các mô hình định giá hợp lý.</w:t>
      </w:r>
    </w:p>
    <w:p>
      <w:pPr>
        <w:pStyle w:val="Para 03"/>
      </w:pPr>
      <w:r>
        <w:t>Trong một số thương vụ định giá mua lại, chỉ những công ty từng là công ty mục tiêu trong các thương vụ mua lại mới được dùng làm công ty so sánh, với mức giá phải trả trong các thương vụ mua lại được dùng để ước tính các bội số. Bội số trung bình phải trả, được gọi là bội số giao dịch (transaction multiple), sau đó được dùng để biện minh cho mức giá phải trả trong một thương vụ mua lại. Điều này rõ ràng tạo ra một mẫu bị thiên lệch, và các giá trị được ước tính bằng bội số giao dịch nói chung sẽ quá cao.</w:t>
      </w:r>
    </w:p>
    <w:p>
      <w:bookmarkStart w:id="5329" w:name="Mismatching_Cash_Flows_and_Disco_1"/>
      <w:bookmarkStart w:id="5330" w:name="Mismatching_Cash_Flows_and_Disco"/>
      <w:pPr>
        <w:keepNext/>
        <w:pStyle w:val="Heading 3"/>
        <w:keepLines w:val="on"/>
      </w:pPr>
      <w:r>
        <w:t>Sự không khớp giữa dòng tiền và tỷ lệ chiết khấu</w:t>
      </w:r>
      <w:bookmarkEnd w:id="5329"/>
      <w:bookmarkEnd w:id="5330"/>
    </w:p>
    <w:p>
      <w:pPr>
        <w:pStyle w:val="Para 03"/>
      </w:pPr>
      <w:r>
        <w:t>Một trong những nguyên tắc cơ bản của định giá là dòng tiền nên được chiết khấu bằng một tỷ lệ chiết khấu nhất quán. Dòng tiền thuộc về vốn chủ sở hữu nên được chiết khấu theo chi phí vốn chủ sở hữu và dòng tiền thuộc về công ty theo chi phí vốn; dòng tiền danh nghĩa nên được chiết khấu theo tỷ lệ chiết khấu danh nghĩa và dòng tiền thực theo tỷ lệ thực; dòng tiền sau thuế nên được chiết khấu theo tỷ lệ chiết khấu sau thuế và dòng tiền trước thuế theo tỷ lệ trước thuế. Việc không khớp dòng tiền với tỷ lệ chiết khấu có thể dẫn đến định giá thấp hoặc cao đáng kể. Hai trong số những sự không khớp phổ biến hơn bao gồm:</w:t>
      </w:r>
    </w:p>
    <w:p>
      <w:pPr>
        <w:numPr>
          <w:ilvl w:val="0"/>
          <w:numId w:val="283"/>
        </w:numPr>
        <w:pStyle w:val="Para 01"/>
      </w:pPr>
      <w:r>
        <w:t>Sử dụng chi phí vốn chủ sở hữu hoặc chi phí vốn của công ty bên mua để chiết khấu dòng tiền của công ty mục tiêu. Nếu công ty bên mua huy động vốn cho thương vụ thâu tóm, người ta lập luận rằng nên sử dụng chi phí vốn chủ sở hữu của nó. Lập luận này không tính đến nguyên tắc đầu tư cơ bản rằng, không phải ai huy động tiền mới quyết định chi phí vốn chủ sở hữu, mà là tiền được đầu tư vào đâu. Cùng một công ty sẽ đối mặt với chi phí vốn chủ sở hữu cao hơn cho số vốn huy động để tài trợ cho các dự án rủi ro hơn và chi phí vốn chủ sở hữu thấp hơn để tài trợ cho các dự án an toàn hơn. Do đó, chi phí vốn chủ sở hữu khi định giá công ty mục tiêu nên phản ánh mức độ rủi ro của công ty đó (tức là chi phí vốn chủ sở hữu của công ty mục tiêu). Cũng lưu ý rằng vì chi phí vốn chủ sở hữu, như chúng ta đã định nghĩa, chỉ bao gồm rủi ro không thể đa dạng hóa, nên những lập luận rằng rủi ro sẽ giảm sau khi sáp nhập không thể được dùng để giảm chi phí vốn chủ sở hữu, vì rủi ro đang được giảm là rủi ro đặc thù của công ty.</w:t>
      </w:r>
    </w:p>
    <w:p>
      <w:pPr>
        <w:numPr>
          <w:ilvl w:val="0"/>
          <w:numId w:val="283"/>
        </w:numPr>
        <w:pStyle w:val="Para 01"/>
      </w:pPr>
      <w:r>
        <w:t>Sử dụng chi phí vốn để chiết khấu dòng tiền thuộc về vốn chủ sở hữu. Nếu công ty bên mua sử dụng kết hợp nợ và vốn chủ sở hữu để tài trợ cho việc mua lại phần vốn chủ sở hữu trong một công ty mục tiêu, lập luận đưa ra là nên sử dụng chi phí vốn để chiết khấu dòng tiền thuộc về vốn chủ sở hữu của công ty mục tiêu (dòng tiền còn lại sau khi trả lãi và gốc). Điểm mấu chốt là việc chiết khấu dòng tiền thuộc về vốn chủ sở hữu theo chi phí vốn để có được giá trị vốn chủ sở hữu luôn là sai lầm và sẽ dẫn đến việc định giá quá cao đáng kể phần vốn chủ sở hữu trong công ty mục tiêu.</w:t>
      </w:r>
    </w:p>
    <w:p>
      <w:pPr>
        <w:pStyle w:val="Para 20"/>
      </w:pPr>
      <w:r>
        <w:rPr>
          <w:rStyle w:val="Text26"/>
        </w:rPr>
        <w:bookmarkStart w:id="5331" w:name="Page_820"/>
        <w:t/>
        <w:bookmarkEnd w:id="5331"/>
      </w:r>
      <w:r>
        <w:t xml:space="preserve"> </w:t>
      </w:r>
    </w:p>
    <w:p>
      <w:bookmarkStart w:id="5332" w:name="Subsidizing_the_Target_Firm"/>
      <w:bookmarkStart w:id="5333" w:name="Subsidizing_the_Target_Firm__In"/>
      <w:pPr>
        <w:keepNext/>
        <w:pStyle w:val="Heading 3"/>
        <w:keepLines w:val="on"/>
      </w:pPr>
      <w:r>
        <w:t>Trợ cấp cho công ty mục tiêu</w:t>
      </w:r>
      <w:bookmarkEnd w:id="5332"/>
      <w:bookmarkEnd w:id="5333"/>
    </w:p>
    <w:p>
      <w:pPr>
        <w:pStyle w:val="Para 03"/>
      </w:pPr>
      <w:r>
        <w:t>Trong một bối cảnh hợp lý, giá trả cho công ty mục tiêu không nên bao gồm bất kỳ phần giá trị nào thuộc về công ty thâu tóm. Ví dụ, giả sử một công ty có dư thừa khả năng vay nợ hoặc xếp hạng tín dụng cao sử dụng một lượng lớn nợ chi phí thấp để tài trợ cho một thương vụ thâu tóm. Nếu chúng ta ước tính chi phí vốn thấp cho công ty mục tiêu với tỷ lệ nợ cao và chi phí nợ sau thuế thấp, chúng ta sẽ đánh giá quá cao giá trị của công ty. Nếu công ty thâu tóm trả mức giá này cho thương vụ, điều đó sẽ đại diện cho việc chuyển dịch tài sản từ cổ đông của công ty thâu tóm sang cổ đông của công ty mục tiêu. Vì vậy, không thích hợp để sử dụng chi phí nợ hoặc khả năng vay nợ của công ty thâu tóm để ước tính chi phí vốn cho công ty mục tiêu. Thay vào đó, bạn nên sử dụng tỷ lệ nợ (thực tế hoặc mục tiêu) và chi phí nợ của công ty mục tiêu để tính chi phí vốn dùng cho việc định giá công ty mục tiêu.</w:t>
      </w:r>
    </w:p>
    <w:p>
      <w:bookmarkStart w:id="5334" w:name="Structuring_the_Acquisition"/>
      <w:bookmarkStart w:id="5335" w:name="Structuring_the_Acquisition__Onc"/>
      <w:pPr>
        <w:keepNext/>
        <w:pStyle w:val="Heading 2"/>
        <w:keepLines w:val="on"/>
      </w:pPr>
      <w:r>
        <w:t>Cấu trúc thương vụ thâu tóm</w:t>
      </w:r>
      <w:bookmarkEnd w:id="5334"/>
      <w:bookmarkEnd w:id="5335"/>
    </w:p>
    <w:p>
      <w:pPr>
        <w:pStyle w:val="Para 03"/>
      </w:pPr>
      <w:r>
        <w:t>Sau khi công ty mục tiêu đã được xác định và định giá, thương vụ thâu tóm chuyển sang giai đoạn cấu trúc. Có ba bước liên quan chặt chẽ với nhau trong giai đoạn này. Bước thứ nhất là quyết định trả bao nhiêu cho công ty mục tiêu, với điều kiện chúng ta đã định giá nó bao gồm cả hiệu ứng cộng hưởng (synergy) và kiểm soát. Bước thứ hai là xác định cách thức thanh toán cho thương vụ (tức là dùng cổ phiếu, tiền mặt, hay kết hợp cả hai) và có vay bất kỳ khoản tiền nào cần thiết hay không. Bước cuối cùng là lựa chọn cách hạch toán kế toán cho thương vụ, vì nó có thể ảnh hưởng đến cả thuế mà cổ đông của công ty mục tiêu phải trả lẫn cách ghi nhận thương vụ mua bán trong báo cáo thu nhập và bảng cân đối kế toán của công ty thâu tóm.</w:t>
      </w:r>
    </w:p>
    <w:p>
      <w:bookmarkStart w:id="5336" w:name="Deciding_on_an_Acquisition_Price_1"/>
      <w:bookmarkStart w:id="5337" w:name="Deciding_on_an_Acquisition_Price"/>
      <w:pPr>
        <w:keepNext/>
        <w:pStyle w:val="Heading 3"/>
        <w:keepLines w:val="on"/>
      </w:pPr>
      <w:r>
        <w:t>Quyết định giá thâu tóm</w:t>
      </w:r>
      <w:bookmarkEnd w:id="5336"/>
      <w:bookmarkEnd w:id="5337"/>
    </w:p>
    <w:p>
      <w:pPr>
        <w:pStyle w:val="Para 03"/>
      </w:pPr>
      <w:r>
        <w:t>Phần trước đã giải thích cách định giá một công ty mục tiêu với các yếu tố kiểm soát và cộng hưởng được đưa vào giá trị. Giá trị này đại diện cho mức trần mà bên thâu tóm có thể trả cho thương vụ chứ không phải mức sàn. Nếu bên thâu tóm trả toàn bộ giá trị, thì không còn giá trị thặng dư nào để dành cho cổ đông của bên thâu tóm, và cổ đông của công ty mục tiêu nhận được toàn bộ giá trị của phần bù cộng hưởng và kiểm soát. Việc phân chia giá trị này là không công bằng nếu công ty thâu tóm đóng vai trò không thể thiếu trong việc tạo ra phần bù cộng hưởng và kiểm soát.</w:t>
      </w:r>
    </w:p>
    <w:p>
      <w:pPr>
        <w:pStyle w:val="Para 03"/>
      </w:pPr>
      <w:r>
        <w:t>Do đó, công ty thâu tóm nên cố gắng giữ lại càng nhiều phần bù càng tốt cho cổ đông của mình. Tuy nhiên, một số yếu tố sẽ đóng vai trò ràng buộc. Chúng bao gồm:</w:t>
      </w:r>
    </w:p>
    <w:p>
      <w:pPr>
        <w:numPr>
          <w:ilvl w:val="0"/>
          <w:numId w:val="284"/>
        </w:numPr>
        <w:pStyle w:val="Para 01"/>
      </w:pPr>
      <w:r>
        <w:t>Giá thị trường của công ty mục tiêu, nếu nó được giao dịch công khai, trước thương vụ thâu tóm. Vì các thương vụ thâu tóm phải dựa trên giá thị trường hiện tại, giá trị vốn chủ sở hữu thị trường hiện tại càng lớn thì tiềm năng lợi nhuận cho cổ đông của công ty thâu tóm càng thấp. Ví dụ, nếu giá thị trường của một công ty được quản lý kém đã phản ánh xác suất cao rằng ban lãnh đạo công ty sẽ bị thay đổi, thì khả năng thu được giá trị từ kiểm soát là rất ít hoặc không có.</w:t>
      </w:r>
    </w:p>
    <w:p>
      <w:pPr>
        <w:numPr>
          <w:ilvl w:val="0"/>
          <w:numId w:val="284"/>
        </w:numPr>
        <w:pStyle w:val="Para 01"/>
      </w:pPr>
      <w:r>
        <w:t>Sự khan hiếm tương đối của các nguồn lực chuyên biệt mà công ty mục tiêu và công ty thâu tóm mang đến cho thương vụ sáp nhập. Vì cả công ty đấu giá lẫn công ty mục tiêu đều là những bên đóng góp vào việc tạo ra cộng hưởng, việc chia sẻ lợi ích cộng hưởng giữa hai bên sẽ phụ thuộc phần lớn vào việc đóng góp của công ty đấu giá vào việc tạo ra cộng hưởng là duy nhất hay dễ dàng thay thế. Nếu nó có thể dễ dàng thay thế, phần lớn lợi ích cộng hưởng sẽ thuộc về công ty mục tiêu. Nếu nó là duy nhất, lợi ích sẽ được chia sẻ công bằng hơn nhiều. Vì vậy, khi một công ty có tiền mặt nhàn rỗi thâu tóm một công ty có nhiều dự án lợi nhuận cao, giá trị được tạo ra. Nếu có một số lượng lớn công ty có tiền mặt nhàn rỗi và tương đối ít công ty có dự án lợi nhuận cao, phần lớn giá trị của cộng hưởng sẽ thuộc về nhóm sau.</w:t>
      </w:r>
    </w:p>
    <w:p>
      <w:pPr>
        <w:numPr>
          <w:ilvl w:val="0"/>
          <w:numId w:val="284"/>
        </w:numPr>
        <w:pStyle w:val="Para 01"/>
      </w:pPr>
      <w:r>
        <w:t>Sự hiện diện của các bên đấu giá khác cho công ty mục tiêu. Khi có nhiều hơn một bên đấu giá cho một công ty, khả năng thường nghiêng về phía cổ đông của công ty mục tiêu. Bradley, Desai và Kim (1988) đã xem xét một mẫu rộng gồm 236 đề nghị mua lại được đưa ra từ năm 1963 đến 1984 và kết luận rằng lợi ích của cộng hưởng chủ yếu hoặc hoàn toàn thuộc về các công ty mục tiêu khi có nhiều bên đấu giá tham gia vào thương vụ thâu tóm. Họ ước tính lợi nhuận cổ phiếu đã điều chỉnh theo thị trường xung quanh thời điểm công bố thâu tóm cho bên đấu giá thành công là 2% trong các thương vụ thâu tóm một bên đấu giá và –1,33% trong các thương vụ thâu tóm có tranh chấp.</w:t>
      </w:r>
    </w:p>
    <w:p>
      <w:bookmarkStart w:id="5339" w:name="Payment_for_the_Target_Firm"/>
      <w:bookmarkStart w:id="5340" w:name="Payment_for_the_Target_Firm__Onc"/>
      <w:pPr>
        <w:keepNext/>
        <w:pStyle w:val="Heading 3"/>
        <w:keepLines w:val="on"/>
      </w:pPr>
      <w:r>
        <w:t>Thanh toán cho công ty mục tiêu</w:t>
      </w:r>
      <w:bookmarkEnd w:id="5339"/>
      <w:bookmarkEnd w:id="5340"/>
    </w:p>
    <w:p>
      <w:pPr>
        <w:pStyle w:val="Para 03"/>
      </w:pPr>
      <w:r>
        <w:t>Sau khi một công ty đã quyết định trả một mức giá nhất định cho công ty mục tiêu, nó phải tiếp tục bằng việc quyết định cách thức thanh toán cho thương vụ thâu tóm này. Cụ thể, phải đưa ra các quyết định về những khía cạnh sau của thương vụ: nợ so với vốn chủ sở hữu và tiền mặt so với cổ phiếu.</w:t>
      </w:r>
    </w:p>
    <w:p>
      <w:bookmarkStart w:id="5341" w:name="Debt_versus_Equity__A_firm_can_r"/>
      <w:bookmarkStart w:id="5342" w:name="Debt_versus_Equity"/>
      <w:pPr>
        <w:keepNext/>
        <w:pStyle w:val="Heading 4"/>
        <w:keepLines w:val="on"/>
      </w:pPr>
      <w:r>
        <w:t>Nợ so với vốn chủ sở hữu</w:t>
      </w:r>
      <w:bookmarkEnd w:id="5341"/>
      <w:bookmarkEnd w:id="5342"/>
    </w:p>
    <w:p>
      <w:pPr>
        <w:pStyle w:val="Para 03"/>
      </w:pPr>
      <w:r>
        <w:t>Một công ty có thể huy động vốn cho một thương vụ thâu tóm từ nợ hoặc vốn chủ sở hữu. Tỷ lệ kết hợp nói chung sẽ phụ thuộc vào khả năng vay nợ dư thừa của cả công ty thâu tóm lẫn công ty mục tiêu. Do đó, việc thâu tóm một công ty mục tiêu có tỷ lệ đòn bẩy thấp đáng kể có thể được thực hiện với tỷ lệ nợ lớn hơn so với việc thâu tóm một công ty đã ở tỷ lệ nợ tối ưu. Điều này, tất nhiên, được phản ánh trong giá trị của công ty thông qua chi phí vốn. Cũng có thể công ty thâu tóm có khả năng vay nợ dư thừa và sử dụng khả năng vay tiền của mình để thực hiện thương vụ thâu tóm. Mặc dù cơ chế huy động tiền có thể trông giống nhau trong trường hợp này, điều quan trọng là giá trị của công ty mục tiêu không phản ánh khoản nợ bổ sung này. Như đã lưu ý ở phần trước, chi phí vốn dùng để định giá thương vụ thâu tóm không nên phản ánh chi phí mà công ty mục tiêu sẽ phải chịu để huy động vốn, mà không phải những gì công ty thâu tóm có thể thực sự phải trả cuối cùng. Khoản nợ bổ sung không liên quan gì đến công ty mục tiêu, và việc đưa nó vào giá trị chỉ dẫn đến việc công ty thâu tóm trả một khoản phù hợp cho sự gia tăng giá trị vốn thuộc về chính cổ đông của mình.</w:t>
      </w:r>
    </w:p>
    <w:p>
      <w:bookmarkStart w:id="5343" w:name="Cash_versus_Stock__There_are_thr"/>
      <w:bookmarkStart w:id="5344" w:name="Cash_versus_Stock"/>
      <w:pPr>
        <w:keepNext/>
        <w:pStyle w:val="Heading 4"/>
        <w:keepLines w:val="on"/>
      </w:pPr>
      <w:r>
        <w:t>Tiền mặt so với cổ phiếu</w:t>
      </w:r>
      <w:bookmarkEnd w:id="5343"/>
      <w:bookmarkEnd w:id="5344"/>
    </w:p>
    <w:p>
      <w:pPr>
        <w:pStyle w:val="Para 03"/>
      </w:pPr>
      <w:r>
        <w:t>Có ba cách mà một công ty có thể sử dụng vốn chủ sở hữu trong một giao dịch. Cách thứ nhất là sử dụng số dư tiền mặt đã tích lũy theo thời gian để tài trợ cho thương vụ thâu tóm. Cách thứ hai là phát hành cổ phiếu ra công chúng, huy động tiền mặt, và dùng tiền mặt để thanh toán cho thương vụ thâu tóm. Cách thứ ba là chào bán cổ phiếu như phương thức thanh toán cho công ty mục tiêu, trong đó việc thanh toán được cấu trúc dưới dạng hoán đổi cổ phiếu—cổ phiếu của công ty thâu tóm đổi lấy cổ phiếu của công ty mục tiêu. Câu hỏi về việc cách tiếp cận nào trong số này được một công ty sử dụng tốt nhất không thể được trả lời mà không xem xét các yếu tố sau:</w:t>
      </w:r>
    </w:p>
    <w:p>
      <w:pPr>
        <w:numPr>
          <w:ilvl w:val="0"/>
          <w:numId w:val="285"/>
        </w:numPr>
        <w:pStyle w:val="Para 01"/>
      </w:pPr>
      <w:r>
        <w:t>Sự sẵn có của tiền mặt hiện có. Rõ ràng, lựa chọn sử dụng tiền mặt hiện có chỉ khả dụng cho những công ty đã tích lũy được số lượng tiền mặt đáng kể.</w:t>
      </w:r>
    </w:p>
    <w:p>
      <w:pPr>
        <w:numPr>
          <w:ilvl w:val="0"/>
          <w:numId w:val="285"/>
        </w:numPr>
        <w:pStyle w:val="Para 01"/>
      </w:pPr>
      <w:r>
        <w:t>Giá trị được nhận thức của cổ phiếu. Khi cổ phiếu được phát hành ra công chúng để huy động vốn mới hoặc khi nó được chào bán như phương thức thanh toán trong các thương vụ thâu tóm, các nhà quản lý của công ty thâu tóm đang đưa ra phán đoán về giá trị được nhận thức của cổ phiếu. Nói cách khác, những nhà quản lý tin rằng cổ phiếu của họ đang được giao dịch ở mức giá thấp hơn đáng kể so với giá trị không nên sử dụng cổ phiếu làm phương tiện thanh toán trong các thương vụ thâu tóm, vì những gì họ thu được từ thương vụ thâu tóm có thể ít hơn những gì bị mất trong đợt phát hành cổ phiếu. Tuy nhiên, những công ty tin rằng cổ phiếu của mình được định giá quá cao có nhiều khả năng sử dụng cổ phiếu làm phương tiện thanh toán trong các giao dịch hơn. Các cổ đông của công ty mục tiêu cũng nhận thức được điều này và có thể đòi hỏi một khoản phù hợp lớn hơn khi việc thanh toán được thực hiện hoàn toàn bằng cổ phiếu của công ty thâu tóm.</w:t>
      </w:r>
    </w:p>
    <w:p>
      <w:pPr>
        <w:numPr>
          <w:ilvl w:val="0"/>
          <w:numId w:val="285"/>
        </w:numPr>
        <w:pStyle w:val="Para 01"/>
      </w:pPr>
      <w:r>
        <w:t>Các yếu tố thuế. Khi một thương vụ thâu tóm là một cuộc hoán đổi cổ phiếu, các cổ đông của công ty mục tiêu có thể trì hoãn thuế lãi vốn đối với cổ phiếu được trao đổi. Vì lợi ích này có thể đáng kể trong một thương vụ thâu tóm, lợi ích thuế tiềm năng từ việc hoán đổi cổ phiếu có thể đủ lớn để bù đắp bất kỳ nhược điểm được nhận thức nào.</w:t>
      </w:r>
    </w:p>
    <w:p>
      <w:pPr>
        <w:pStyle w:val="Para 03"/>
      </w:pPr>
      <w:r>
        <w:t>Khía cạnh cuối cùng của việc hoán đổi cổ phiếu là việc thiết lập các điều khoản của cuộc hoán đổi cổ phiếu (tức là số lượng cổ phiếu của công ty bị thâu tóm sẽ được chào bán cho mỗi cổ phiếu của công ty thâu tóm). Mặc dù số lượng này nói chung dựa trên giá thị trường tại thời điểm thâu tóm, tỷ lệ thu được có thể bị lệch do việc định giá sai tương đối chứng khoán của hai công ty, với công ty được định giá quá cao hơn sẽ được lợi với cái giá của công ty được định giá quá thấp hơn (hoặc ít nhất là ít bị định giá quá cao hơn). Một tỷ lệ công bằng hơn sẽ dựa trên giá trị nội tại của cổ phiếu hai công ty. Điều này có thể được thấy khá rõ ràng trong ví dụ minh họa sau đây.</w:t>
      </w:r>
    </w:p>
    <w:p>
      <w:pPr>
        <w:pStyle w:val="Para 11"/>
      </w:pPr>
      <w:r>
        <w:t/>
        <w:t xml:space="preserve"> </w:t>
      </w:r>
    </w:p>
    <w:p>
      <w:bookmarkStart w:id="5346" w:name="ILLUSTRATION_25_5___Setting_the_1"/>
      <w:bookmarkStart w:id="5347" w:name="ILLUSTRATION_25_5___Setting_the"/>
      <w:pPr>
        <w:keepNext/>
        <w:pStyle w:val="Para 19"/>
        <w:keepLines w:val="on"/>
      </w:pPr>
      <w:r>
        <w:t>MINH HỌA 25.5: Thiết lập tỷ lệ trao đổi</w:t>
      </w:r>
      <w:bookmarkEnd w:id="5346"/>
      <w:bookmarkEnd w:id="5347"/>
    </w:p>
    <w:p>
      <w:pPr>
        <w:pStyle w:val="Para 04"/>
        <w:keepLines w:val="on"/>
      </w:pPr>
      <w:r>
        <w:t>Thương vụ thâu tóm Inbev SAB Miller được tài trợ bằng nợ, nhưng trong ví dụ minh họa này, chúng ta sẽ xem xét cách mà nếu nó được cấu trúc như một đề nghị trao đổi, tỷ lệ trao đổi sẽ được tính toán như thế nào. Chúng ta sẽ bắt đầu bằng việc xem lại định giá của chúng ta cho SAB Miller và cộng hưởng trong Bảng 25.11. Giá trị của SAB Miller với các thành phần cộng hưởng và kiểm soát là 70.786 triệu đô la. Con số này có được bằng cách cộng giá trị kiểm soát (4.702 triệu đô la) và giá trị cộng hưởng (14.592 triệu đô la) vào giá trị hiện trạng là 51.492 triệu đô la. SAB Miller cũng có nợ ròng chưa thanh toán là 13.074 triệu đô la, các khoản đầu tư khác (liên doanh và cổ phần chéo) là 20.819 triệu đô la, và 1.607,4 triệu cổ phiếu đang lưu hành. Giá trị tối đa trên mỗi cổ phiếu cho SAB Miller sau đó có thể được ước tính như sau (giả sử không có tiền mặt):</w:t>
      </w:r>
    </w:p>
    <w:p>
      <w:bookmarkStart w:id="5350" w:name="Maximum_Value_per_share_SAB_Mill"/>
      <w:pPr>
        <w:keepNext/>
        <w:pStyle w:val="Para 07"/>
        <w:keepLines w:val="on"/>
      </w:pPr>
      <w:r>
        <w:t>Giá trị tối đa trên mỗi cổ phiếu SAB Miller=(51492+14592+4702)-13074+208191607.4=$48.86</w:t>
      </w:r>
      <w:bookmarkEnd w:id="5350"/>
    </w:p>
    <w:p>
      <w:pPr>
        <w:pStyle w:val="Para 25"/>
        <w:keepLines w:val="on"/>
      </w:pPr>
      <w:r>
        <w:t>Bảng 25.11</w:t>
      </w:r>
    </w:p>
    <w:p>
      <w:pPr>
        <w:keepNext/>
        <w:pStyle w:val="Para 24"/>
        <w:keepLines w:val="on"/>
      </w:pPr>
      <w:r>
        <w:t>Định giá SAB Miller cho Inbev</w:t>
      </w:r>
    </w:p>
    <w:tbl>
      <w:tblPr>
        <w:tblW w:type="auto" w:w="0"/>
      </w:tblPr>
      <w:tr>
        <w:tc>
          <w:tcPr>
            <w:tcW w:type="auto" w:w="0"/>
          </w:tcPr>
          <w:tbl>
            <w:tblPr>
              <w:tblW w:type="auto" w:w="0"/>
            </w:tblPr>
            <w:tr>
              <w:tc>
                <w:tcPr>
                  <w:tcW w:type="auto" w:w="0"/>
                  <w:shd w:val="clear" w:color="auto" w:fill="F0F0F0"/>
                </w:tcPr>
                <w:p>
                  <w:pPr>
                    <w:pStyle w:val="Para 32"/>
                    <w:keepLines w:val="on"/>
                  </w:pPr>
                  <w:r>
                    <w:t>Thành phần</w:t>
                  </w:r>
                </w:p>
              </w:tc>
              <w:tc>
                <w:tcPr>
                  <w:tcW w:type="auto" w:w="0"/>
                  <w:shd w:val="clear" w:color="auto" w:fill="F0F0F0"/>
                </w:tcPr>
                <w:p>
                  <w:pPr>
                    <w:pStyle w:val="Para 05"/>
                    <w:keepLines w:val="on"/>
                  </w:pPr>
                  <w:r>
                    <w:t>Hướng dẫn định giá</w:t>
                  </w:r>
                </w:p>
              </w:tc>
              <w:tc>
                <w:tcPr>
                  <w:tcW w:type="auto" w:w="0"/>
                  <w:shd w:val="clear" w:color="auto" w:fill="F0F0F0"/>
                </w:tcPr>
                <w:p>
                  <w:pPr>
                    <w:pStyle w:val="Para 05"/>
                    <w:keepLines w:val="on"/>
                  </w:pPr>
                  <w:r>
                    <w:t>Giá trị</w:t>
                  </w:r>
                </w:p>
              </w:tc>
            </w:tr>
            <w:tr>
              <w:tc>
                <w:tcPr>
                  <w:tcW w:type="auto" w:w="0"/>
                  <w:shd w:val="clear" w:color="auto" w:fill="F0F0F0"/>
                </w:tcPr>
                <w:p>
                  <w:pPr>
                    <w:pStyle w:val="Para 02"/>
                    <w:keepLines w:val="on"/>
                  </w:pPr>
                  <w:r>
                    <w:t>Hiệu ứng cộng hưởng</w:t>
                  </w:r>
                </w:p>
              </w:tc>
              <w:tc>
                <w:tcPr>
                  <w:tcW w:type="auto" w:w="0"/>
                  <w:shd w:val="clear" w:color="auto" w:fill="F0F0F0"/>
                </w:tcPr>
                <w:p>
                  <w:pPr>
                    <w:pStyle w:val="Para 02"/>
                    <w:keepLines w:val="on"/>
                  </w:pPr>
                  <w:r>
                    <w:t>Định giá công ty hợp nhất với hiệu ứng cộng hưởng đã được tính sẵn. Trong trường hợp của Inbev, hiệu ứng cộng hưởng đến từ việc tiết kiệm chi phí và tốc độ tăng trưởng cao hơn một chút. (Xem Minh họa 25.3.)</w:t>
                  </w:r>
                </w:p>
              </w:tc>
              <w:tc>
                <w:tcPr>
                  <w:tcW w:type="auto" w:w="0"/>
                  <w:shd w:val="clear" w:color="auto" w:fill="F0F0F0"/>
                </w:tcPr>
                <w:p>
                  <w:pPr>
                    <w:pStyle w:val="Para 02"/>
                    <w:keepLines w:val="on"/>
                  </w:pPr>
                  <w:r>
                    <w:t>14.592 triệu đô la</w:t>
                  </w:r>
                </w:p>
              </w:tc>
            </w:tr>
            <w:tr>
              <w:tc>
                <w:tcPr>
                  <w:tcW w:type="auto" w:w="0"/>
                  <w:shd w:val="clear" w:color="auto" w:fill="F0F0F0"/>
                </w:tcPr>
                <w:p>
                  <w:pPr>
                    <w:pStyle w:val="Para 02"/>
                    <w:keepLines w:val="on"/>
                  </w:pPr>
                  <w:r>
                    <w:t>Phần bù kiểm soát</w:t>
                  </w:r>
                </w:p>
              </w:tc>
              <w:tc>
                <w:tcPr>
                  <w:tcW w:type="auto" w:w="0"/>
                  <w:shd w:val="clear" w:color="auto" w:fill="F0F0F0"/>
                </w:tcPr>
                <w:p>
                  <w:pPr>
                    <w:pStyle w:val="Para 02"/>
                    <w:keepLines w:val="on"/>
                  </w:pPr>
                  <w:r>
                    <w:t>Định giá SAB Miller như một công ty độc lập, với ban điều hành thay đổi: (Xem Minh họa 25.2.)</w:t>
                  </w:r>
                </w:p>
                <w:p>
                  <w:pPr>
                    <w:numPr>
                      <w:ilvl w:val="0"/>
                      <w:numId w:val="286"/>
                    </w:numPr>
                    <w:pStyle w:val="Para 01"/>
                    <w:keepLines w:val="on"/>
                  </w:pPr>
                  <w:r>
                    <w:t>Tỷ lệ nợ khớp với mức trung bình ngành</w:t>
                  </w:r>
                </w:p>
                <w:p>
                  <w:pPr>
                    <w:numPr>
                      <w:ilvl w:val="0"/>
                      <w:numId w:val="286"/>
                    </w:numPr>
                    <w:pStyle w:val="Para 01"/>
                    <w:keepLines w:val="on"/>
                  </w:pPr>
                  <w:r>
                    <w:t>Biên lợi nhuận và tỷ suất sinh lời trên vốn cao hơn để khớp với mức trung bình ngành.</w:t>
                  </w:r>
                </w:p>
              </w:tc>
              <w:tc>
                <w:tcPr>
                  <w:tcW w:type="auto" w:w="0"/>
                  <w:shd w:val="clear" w:color="auto" w:fill="F0F0F0"/>
                </w:tcPr>
                <w:p>
                  <w:pPr>
                    <w:pStyle w:val="Para 02"/>
                    <w:keepLines w:val="on"/>
                  </w:pPr>
                  <w:r>
                    <w:t>4.702 triệu đô la</w:t>
                  </w:r>
                </w:p>
              </w:tc>
            </w:tr>
            <w:tr>
              <w:tc>
                <w:tcPr>
                  <w:tcW w:type="auto" w:w="0"/>
                  <w:shd w:val="clear" w:color="auto" w:fill="F0F0F0"/>
                </w:tcPr>
                <w:p>
                  <w:pPr>
                    <w:pStyle w:val="Para 02"/>
                    <w:keepLines w:val="on"/>
                  </w:pPr>
                  <w:r>
                    <w:t>Định giá nguyên trạng</w:t>
                  </w:r>
                </w:p>
              </w:tc>
              <w:tc>
                <w:tcPr>
                  <w:tcW w:type="auto" w:w="0"/>
                  <w:shd w:val="clear" w:color="auto" w:fill="F0F0F0"/>
                </w:tcPr>
                <w:p>
                  <w:pPr>
                    <w:pStyle w:val="Para 02"/>
                    <w:keepLines w:val="on"/>
                  </w:pPr>
                  <w:r>
                    <w:t>Định giá SAB Miller như hiện tại, với các thông số đầu vào hiện có về đầu tư, tài trợ và chính sách cổ tức. (Xem Minh họa 25.1.)</w:t>
                  </w:r>
                </w:p>
              </w:tc>
              <w:tc>
                <w:tcPr>
                  <w:tcW w:type="auto" w:w="0"/>
                  <w:shd w:val="clear" w:color="auto" w:fill="F0F0F0"/>
                </w:tcPr>
                <w:p>
                  <w:pPr>
                    <w:pStyle w:val="Para 02"/>
                    <w:keepLines w:val="on"/>
                  </w:pPr>
                  <w:r>
                    <w:t>51.492 triệu đô la</w:t>
                  </w:r>
                </w:p>
              </w:tc>
            </w:tr>
          </w:tbl>
          <w:p/>
        </w:tc>
      </w:tr>
    </w:tbl>
    <w:p>
      <w:pPr>
        <w:pStyle w:val="Para 03"/>
      </w:pPr>
      <w:r>
        <w:t>Giá trị ước tính trên mỗi cổ phần của Inbev là 104,57 đô la, dựa trên tổng giá trị tài sản hoạt động là 211.953 triệu đô la, kết hợp với nợ ròng đang lưu hành là 44.720 triệu đô la, và tính đến 1.599,2 triệu cổ phần, ta có:</w:t>
      </w:r>
    </w:p>
    <w:p>
      <w:bookmarkStart w:id="5352" w:name="ValuepershareInbev_211953___4472"/>
      <w:pPr>
        <w:keepNext/>
        <w:pStyle w:val="Para 09"/>
        <w:keepLines w:val="on"/>
      </w:pPr>
      <w:r>
        <w:t>ValuepershareInbev=211953−447201599.2=$104.57</w:t>
      </w:r>
      <w:bookmarkEnd w:id="5352"/>
    </w:p>
    <w:p>
      <w:pPr>
        <w:pStyle w:val="Para 03"/>
      </w:pPr>
      <w:r>
        <w:t>Tỷ lệ trao đổi phù hợp, dựa trên giá trị trên mỗi cổ phần, có thể được ước tính:</w:t>
      </w:r>
    </w:p>
    <w:p>
      <w:bookmarkStart w:id="5353" w:name="Exchange_ratioinbev_SAB_Value_pe"/>
      <w:pPr>
        <w:keepNext/>
        <w:pStyle w:val="Para 09"/>
        <w:keepLines w:val="on"/>
      </w:pPr>
      <w:r>
        <w:t>Exchange ratioinbev,SAB=Value per shareSABValue per shareInbev=48.86/104.57=0.4672</w:t>
      </w:r>
      <w:bookmarkEnd w:id="5353"/>
    </w:p>
    <w:p>
      <w:pPr>
        <w:pStyle w:val="Para 03"/>
      </w:pPr>
      <w:r>
        <w:t>Nếu Inbev trao đổi 0,4672 cổ phần của mình lấy cổ phần SAB Miller, các cổ đông của SAB Miller sẽ nhận được 100% lợi ích từ kiểm soát và hiệu ứng cộng hưởng, còn cổ đông Inbev chỉ hòa vốn. Nếu tỷ lệ trao đổi được đặt thấp hơn con số này, cổ đông Inbev sẽ nhận được một phần lợi ích từ hiệu ứng cộng hưởng và kiểm soát, và ở một mức đủ thấp, có thể hình dung rằng họ có thể đòi được toàn bộ hoặc thậm chí nhiều hơn toàn bộ lợi ích từ cả hai nguồn này.</w:t>
      </w:r>
    </w:p>
    <w:p>
      <w:pPr>
        <w:pStyle w:val="Para 03"/>
      </w:pPr>
      <w:r>
        <w:t>Như đã đề cập trước đó, Inbev đã trả gần 100 tỷ đô la để thâu tóm SAB Miller, với mức giá 67,59 đô la mỗi cổ phần, và tài trợ cho thương vụ chủ yếu bằng nợ. Ở mức giá đó, và dựa trên các ước tính của chúng ta về giá trị kiểm soát và hiệu ứng cộng hưởng, cổ đông của SAB Miller rõ ràng là những người thắng cuộc trong thương vụ này, với phần chuyển giao tài sản được tính như sau:</w:t>
      </w:r>
    </w:p>
    <w:p>
      <w:bookmarkStart w:id="5354" w:name="Price_paid_by_Inbev_for_SAB_Mill"/>
      <w:pPr>
        <w:keepNext/>
        <w:pStyle w:val="Para 09"/>
        <w:keepLines w:val="on"/>
      </w:pPr>
      <w:r>
        <w:t>Giá Inbev trả cho cổ phần SAB Miller=108.644 triệu đô laGiá trị SAB Miller, với kiểm soát và hiệu ứng cộng hưởng=78.531 triệu đô laThanh toán vượt mức=30.113 triệu đô la</w:t>
      </w:r>
      <w:bookmarkEnd w:id="5354"/>
    </w:p>
    <w:p>
      <w:pPr>
        <w:pStyle w:val="Para 03"/>
      </w:pPr>
      <w:r>
        <w:t>Vì Inbev không gánh chịu khoản nợ nào của SAB Miller trong thương vụ thâu tóm, khoản nợ ròng 13.074 triệu đô la có thể được trừ ra khỏi giá trị thanh toán vượt mức này để đi đến khoản trả thừa là 17.039 triệu đô la.</w:t>
      </w:r>
    </w:p>
    <w:p>
      <w:pPr>
        <w:pStyle w:val="Para 11"/>
      </w:pPr>
      <w:r>
        <w:t/>
        <w:t xml:space="preserve"> </w:t>
      </w:r>
    </w:p>
    <w:p>
      <w:bookmarkStart w:id="5355" w:name="exchratio_xls__This_spreadsheet"/>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31"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5355"/>
    </w:p>
    <w:p>
      <w:pPr>
        <w:pStyle w:val="Para 31"/>
        <w:keepLines w:val="on"/>
      </w:pPr>
      <w:r>
        <w:t>exchratio.xls: Bảng tính này cho phép bạn ước tính tỷ lệ trao đổi trong một thương vụ thâu tóm, dựa trên giá trị kiểm soát và hiệu ứng cộng hưởng.</w:t>
      </w:r>
    </w:p>
    <w:p>
      <w:bookmarkStart w:id="5356" w:name="Accounting_Considerations__While"/>
      <w:bookmarkStart w:id="5357" w:name="Accounting_Considerations"/>
      <w:pPr>
        <w:keepNext/>
        <w:pStyle w:val="Heading 3"/>
        <w:keepLines w:val="on"/>
      </w:pPr>
      <w:r>
        <w:t>Những cân nhắc về kế toán</w:t>
      </w:r>
      <w:bookmarkEnd w:id="5356"/>
      <w:bookmarkEnd w:id="5357"/>
    </w:p>
    <w:p>
      <w:pPr>
        <w:pStyle w:val="Para 03"/>
      </w:pPr>
      <w:r>
        <w:t>Mặc dù phần lớn nội dung thảo luận trong chương này xoay quanh giá trị và giá cả, việc hạch toán kế toán cho các thương vụ thâu tóm dường như đóng một vai trò then chốt không chỉ ở việc liệu một thương vụ có được thực hiện hay không mà còn ở mức giá phải trả cho thương vụ đó. Trong chừng mực mà cách hạch toán kế toán cho các thương vụ thâu tóm có thể ảnh hưởng đến dòng tiền, thì việc dành sự quan tâm cho chúng là hợp lý. Tuy nhiên, quá thường xuyên, các lựa chọn kế toán chỉ ảnh hưởng đến lợi nhuận được báo cáo (chứ không ảnh hưởng đến dòng tiền) và đáng lẽ ra nên có rất ít hoặc không có tác động gì đến việc thực hiện thương vụ.</w:t>
      </w:r>
    </w:p>
    <w:p>
      <w:pPr>
        <w:pStyle w:val="Para 21"/>
      </w:pPr>
      <w:r>
        <w:t>Đánh giá lại tài sản</w:t>
      </w:r>
    </w:p>
    <w:p>
      <w:pPr>
        <w:pStyle w:val="Para 03"/>
      </w:pPr>
      <w:r>
        <w:t>Các quy định về đánh giá lại tài sản sau sáp nhập rất khác nhau giữa các quốc gia, với một số nước cho phép doanh nghiệp linh hoạt hơn nhiều trong việc phân bổ bao nhiêu phần của giá mua cho tài sản của công ty bị mua và lịch khấu hao dựa trên giá trị được thẩm định. Điều này làm tăng lợi ích thuế từ các thương vụ mua lại và có thể cho phép trả mức phí bảo hiểm cao hơn.</w:t>
      </w:r>
    </w:p>
    <w:p>
      <w:pPr>
        <w:pStyle w:val="Para 03"/>
      </w:pPr>
      <w:r>
        <w:t>Tin tốt là các nguyên tắc kế toán được chấp nhận chung (GAAP) và chuẩn mực báo cáo tài chính quốc tế (IFRS) đang dần hội tụ về cách hạch toán việc mua lại, với xu hướng chuyển sang kế toán theo giá trị hợp lý. Sau khi mua lại, công ty thâu tóm được yêu cầu đánh giá lại giá trị tài sản của công ty mục tiêu. Với một số tài sản có giá thị trường giao dịch, việc này rất đơn giản, nhưng với những tài sản khác thì cần phải thẩm định xem người mua sẽ trả bao nhiêu cho tài sản đó trên thị trường. Đây cũng là một trong số ít dịp mà các tài sản vô hình, như danh sách khách hàng và nhãn hiệu, có thể được định giá và ghi vào sổ sách. Khi tài sản được đánh giá lại hoặc định giá lần đầu (như trường hợp của nhiều tài sản vô hình trong các thương vụ mua lại), có thể phát sinh những hệ quả về thuế ảnh hưởng đến dòng tiền, và qua đó ảnh hưởng đến giá trị.</w:t>
      </w:r>
    </w:p>
    <w:p>
      <w:pPr>
        <w:pStyle w:val="Para 21"/>
      </w:pPr>
      <w:r>
        <w:t>Lợi thế thương mại</w:t>
      </w:r>
    </w:p>
    <w:p>
      <w:pPr>
        <w:pStyle w:val="Para 03"/>
      </w:pPr>
      <w:r>
        <w:t>Lợi thế thương mại (goodwill) là phần "rác" còn lại của kế toán mua lại. Nó phản ánh nỗ lực của kế toán viên nhằm dung hòa hai khoản mục không thể dung hòa: giá trị sổ sách đã điều chỉnh (với tài sản được đánh giá lại như đã nêu ở trên) và giá trị thị trường. Để thấy rõ, giả sử công ty A đang cân nhắc mua lại công ty B với giá 2,5 tỷ đô la, và giá trị sổ sách đã điều chỉnh của tài sản tại công ty B hiện là 1,5 tỷ đô la. Khi công ty A mua lại công ty B, phần chênh lệch giữa giá trả và giá trị sổ sách (2,5 tỷ đô la trừ 1,5 tỷ đô la) sẽ được gọi là lợi thế thương mại và được thể hiện như một tài sản, với giá trị 1 tỷ đô la, trên bảng cân đối kế toán.</w:t>
      </w:r>
    </w:p>
    <w:p>
      <w:pPr>
        <w:pStyle w:val="Para 03"/>
      </w:pPr>
      <w:r>
        <w:t>Khi lợi thế thương mại đã được định giá như một tài sản, giá trị của nó phải được ước tính mỗi năm sau đó. Cho đến khoảng hai thập kỷ trước, lợi thế thương mại được khấu hao theo các khoản tăng đều hàng năm trong 40 năm, và kế toán viên hầu như không có hoặc không có quyền tùy ý về lịch trình này. Ngày nay, kế toán viên được yêu cầu đánh giá lại công ty bị mua (hoặc tài sản của nó) mỗi năm sau khi mua lại. Nếu giá trị tăng lên, lợi thế thương mại được giữ nguyên. Nếu giá trị giảm xuống, lợi thế thương mại được coi là bị "suy giảm" (impaired), và công ty phải ghi nhận một khoản chi phí suy giảm. Phần lớn, việc suy giảm lợi thế thương mại phát sinh từ các thương vụ mua lại công ty không được khấu trừ thuế. Do đó, dù nó có bị suy giảm hay không cũng không ảnh hưởng đến dòng tiền, mặc dù nó có thể ảnh hưởng mạnh mẽ đến lợi nhuận. Chỉ trong trường hợp đặc biệt khi tài sản của một công ty được mua lại (thay vì chính công ty đó) thì bên mua mới có thể đủ điều kiện được khấu trừ thuế cho việc suy giảm lợi thế thương mại.</w:t>
      </w:r>
    </w:p>
    <w:p>
      <w:pPr>
        <w:pStyle w:val="Para 03"/>
      </w:pPr>
      <w:r>
        <w:t>Điểm mấu chốt đối với bên mua là việc đo lường lợi thế thương mại, phần lớn, không nên biến một thương vụ tốt thành thương vụ tồi hay ngược lại. Nó cũng nên có ít hoặc không có tác động đến giá trị mà bạn gán cho công ty mục tiêu, trừ khi nó đủ điều kiện được khấu trừ thuế. Trong những trường hợp đặc biệt, khi việc khấu hao/suy giảm lợi thế thương mại được khấu trừ thuế, nó sẽ ảnh hưởng đến dòng tiền và giá trị.</w:t>
      </w:r>
    </w:p>
    <w:p>
      <w:pPr>
        <w:pStyle w:val="Para 21"/>
      </w:pPr>
      <w:r>
        <w:t>Chi phí tái cấu trúc</w:t>
      </w:r>
    </w:p>
    <w:p>
      <w:pPr>
        <w:pStyle w:val="Para 03"/>
      </w:pPr>
      <w:r>
        <w:t>Sản phẩm phụ phổ biến của các thương vụ mua lại là các chi phí tái cấu trúc và liên quan đến mua lại gắn với việc hợp nhất các công ty đã sáp nhập. Những chi phí này có thể được phân thành ba nhóm:</w:t>
      </w:r>
    </w:p>
    <w:p>
      <w:pPr>
        <w:numPr>
          <w:ilvl w:val="0"/>
          <w:numId w:val="287"/>
        </w:numPr>
        <w:pStyle w:val="Para 01"/>
      </w:pPr>
      <w:r>
        <w:t>Chi phí tiền mặt rõ ràng làm giảm dòng tiền kỳ vọng trong vài năm đầu của thương vụ sáp nhập và sẽ bù trừ hoặc ít nhất làm giảm bớt bất kỳ lợi ích tiềm năng nào từ hiệp lực.</w:t>
      </w:r>
    </w:p>
    <w:p>
      <w:pPr>
        <w:numPr>
          <w:ilvl w:val="0"/>
          <w:numId w:val="287"/>
        </w:numPr>
        <w:pStyle w:val="Para 01"/>
      </w:pPr>
      <w:r>
        <w:t>Chi phí phi tiền mặt được khấu trừ thuế. Những chi phí này làm giảm lợi nhuận nhưng có thể tăng dòng tiền bằng cách giảm thuế phải nộp.</w:t>
      </w:r>
    </w:p>
    <w:p>
      <w:pPr>
        <w:numPr>
          <w:ilvl w:val="0"/>
          <w:numId w:val="287"/>
        </w:numPr>
        <w:pStyle w:val="Para 01"/>
      </w:pPr>
      <w:r>
        <w:t>Chi phí phi tiền mặt không được khấu trừ thuế, tương tự như khấu hao lợi thế thương mại, ở chỗ chúng làm giảm lợi nhuận nhưng không ảnh hưởng đến dòng tiền.</w:t>
      </w:r>
    </w:p>
    <w:p>
      <w:pPr>
        <w:pStyle w:val="Para 20"/>
      </w:pPr>
      <w:r>
        <w:rPr>
          <w:rStyle w:val="Text26"/>
        </w:rPr>
        <w:bookmarkStart w:id="5362" w:name="Page_825"/>
        <w:t/>
        <w:bookmarkEnd w:id="5362"/>
      </w:r>
      <w:r>
        <w:t xml:space="preserve"> </w:t>
      </w:r>
    </w:p>
    <w:p>
      <w:bookmarkStart w:id="5363" w:name="Improving_the_Odds__If_the_messa"/>
      <w:bookmarkStart w:id="5364" w:name="Improving_the_Odds"/>
      <w:pPr>
        <w:keepNext/>
        <w:pStyle w:val="Heading 2"/>
        <w:keepLines w:val="on"/>
      </w:pPr>
      <w:r>
        <w:t>Cải thiện cơ hội thắng</w:t>
      </w:r>
      <w:bookmarkEnd w:id="5363"/>
      <w:bookmarkEnd w:id="5364"/>
    </w:p>
    <w:p>
      <w:pPr>
        <w:pStyle w:val="Para 03"/>
      </w:pPr>
      <w:r>
        <w:t>Nếu thông điệp mà bạn nhận được trong chương này là việc tạo ra giá trị từ các thương vụ mua lại và các sản phẩm phụ của nó (quyền kiểm soát và hiệp lực) là rất khó thực hiện, thì đó là chủ ý. Nếu lịch sử là kim chỉ nam, thì lịch sử của các thương vụ mua lại cho thấy rằng rất nhiều điều được hứa hẹn vào thời điểm sáp nhập, nhưng ít điều được thực hiện, và ngay cả khi thành công, thành quả của sự thành công đó phần lớn hoặc toàn bộ đều thuộc về cổ đông của công ty mục tiêu. Trong phần này, chúng ta sẽ xem xét các loại thương vụ mua lại mà ở đó cơ hội thắng cao hơn cho bên mua, và những hành động có thể được thực hiện để cải thiện cơ hội đó.</w:t>
      </w:r>
    </w:p>
    <w:p>
      <w:bookmarkStart w:id="5365" w:name="Sole_Bidder_versus_Bidding_War"/>
      <w:bookmarkStart w:id="5366" w:name="Sole_Bidder_versus_Bidding_War_1"/>
      <w:pPr>
        <w:keepNext/>
        <w:pStyle w:val="Heading 3"/>
        <w:keepLines w:val="on"/>
      </w:pPr>
      <w:r>
        <w:t>Đấu giá độc quyền so với chiến tranh đấu giá</w:t>
      </w:r>
      <w:bookmarkEnd w:id="5365"/>
      <w:bookmarkEnd w:id="5366"/>
    </w:p>
    <w:p>
      <w:pPr>
        <w:pStyle w:val="Para 03"/>
      </w:pPr>
      <w:r>
        <w:t>Không hiếm khi bên mua bị cuốn vào các cuộc chiến đấu giá, đặc biệt khi mục tiêu có những phẩm chất được thị trường săn đón. Bài học từ các thương vụ mua lại để tạo ra giá trị, ở khía cạnh này, rất rõ ràng. Nếu bạn đang trong một cuộc chiến đấu giá, hãy rút lui, vì thắng một cuộc chiến đấu giá thường đòi hỏi phải trả mức phí bảo hiểm cao hơn. Trong một bài báo tách riêng các thương vụ sáp nhập có chiến tranh đấu giá, Malmendier, Moretti, và Peters (2018) xem xét lợi nhuận thu được trong các cuộc chiến đấu giá, bởi cả bên thắng và bên thua. Hình 25.6 tóm tắt phát hiện của họ về việc lợi nhuận cổ phiếu của bên thắng và bên thua diễn biến thế nào so với nhóm cùng ngành của họ.</w:t>
      </w:r>
    </w:p>
    <w:p>
      <w:bookmarkStart w:id="5368" w:name="Figure_25_6_Winning_versus_Losi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39900" cy="1282700"/>
            <wp:effectExtent l="0" r="0" t="0" b="0"/>
            <wp:wrapTopAndBottom/>
            <wp:docPr id="232" name="c25f006.png" descr="Line graph plots an increase in trend of losers in bidding in acquisition and a decline in trend of winners over the period."/>
            <wp:cNvGraphicFramePr>
              <a:graphicFrameLocks noChangeAspect="1"/>
            </wp:cNvGraphicFramePr>
            <a:graphic>
              <a:graphicData uri="http://schemas.openxmlformats.org/drawingml/2006/picture">
                <pic:pic>
                  <pic:nvPicPr>
                    <pic:cNvPr id="0" name="c25f006.png" descr="Line graph plots an increase in trend of losers in bidding in acquisition and a decline in trend of winners over the period."/>
                    <pic:cNvPicPr/>
                  </pic:nvPicPr>
                  <pic:blipFill>
                    <a:blip r:embed="rId165"/>
                    <a:stretch>
                      <a:fillRect/>
                    </a:stretch>
                  </pic:blipFill>
                  <pic:spPr>
                    <a:xfrm>
                      <a:off x="0" y="0"/>
                      <a:ext cx="1739900" cy="1282700"/>
                    </a:xfrm>
                    <a:prstGeom prst="rect">
                      <a:avLst/>
                    </a:prstGeom>
                  </pic:spPr>
                </pic:pic>
              </a:graphicData>
            </a:graphic>
          </wp:anchor>
        </w:drawing>
      </w:r>
      <w:bookmarkEnd w:id="5368"/>
    </w:p>
    <w:p>
      <w:pPr>
        <w:keepNext/>
        <w:pStyle w:val="Para 22"/>
        <w:keepLines w:val="on"/>
      </w:pPr>
      <w:r>
        <w:t>Hình 25.6 Bên thắng so với bên thua trong các thương vụ mua lại</w:t>
      </w:r>
    </w:p>
    <w:p>
      <w:pPr>
        <w:pStyle w:val="Para 03"/>
      </w:pPr>
      <w:r>
        <w:t>Tóm lại, nghiên cứu này kết luận rằng trong khi lợi nhuận của bên thắng và bên thua tương tự nhau trong ba mươi sáu tháng dẫn đến cuộc chiến đấu giá, thì bên thua lại vượt trội hơn bên thắng khoảng 24% trong ba năm sau khi cuộc chiến đấu giá kết thúc.</w:t>
      </w:r>
    </w:p>
    <w:p>
      <w:bookmarkStart w:id="5369" w:name="Small_versus_Large_Targets__In_a"/>
      <w:bookmarkStart w:id="5370" w:name="Small_versus_Large_Targets"/>
      <w:pPr>
        <w:keepNext/>
        <w:pStyle w:val="Heading 3"/>
        <w:keepLines w:val="on"/>
      </w:pPr>
      <w:r>
        <w:t>Mục tiêu nhỏ so với mục tiêu lớn</w:t>
      </w:r>
      <w:bookmarkEnd w:id="5369"/>
      <w:bookmarkEnd w:id="5370"/>
    </w:p>
    <w:p>
      <w:pPr>
        <w:pStyle w:val="Para 03"/>
      </w:pPr>
      <w:r>
        <w:t>Trong các thương vụ mua lại, các công ty thâu tóm thường phải đối mặt với một lựa chọn liên quan đến công ty mục tiêu. Bạn nên mua các mục tiêu nhỏ, với lưu ý rằng bạn sẽ phải thực hiện nhiều thương vụ mua lại hơn nữa để tạo ra sự thay đổi trong các chỉ số hoạt động của chính mình, hay nên mua các mục tiêu lớn hơn nhiều, nơi bạn có thể thực hiện ít thương vụ hơn, với mức độ thẩm định kỹ lưỡng hơn? Bằng chứng thực nghiệm ở khía cạnh này nghiêng về các thương vụ mua lại nhỏ, với vô số yếu tố (bao gồm sự phù hợp văn hóa giữa các công ty sáp nhập) chống lại sự thành công của các thương vụ mua lại lớn. Robert Bruner khi xem xét "những thương vụ địa ngục" đã nêu bật mười hai thương vụ mua bán và sáp nhập (M&amp;A) tồi tệ, và một trong những đặc điểm chung của chúng là tất cả đều là sáp nhập của các doanh nghiệp lớn niêm yết công khai.</w:t>
      </w:r>
    </w:p>
    <w:p>
      <w:pPr>
        <w:pStyle w:val="Para 03"/>
      </w:pPr>
      <w:r>
        <w:t>Trong những phát hiện liên quan, các nghiên cứu cũng cho thấy lợi nhuận từ các thương vụ mua lại cao hơn ở những bên mua nhỏ hơn so với những bên mua lớn hơn. Moeller, Schlingemann, và Stulz (2004) đã xem xét các thương vụ mua lại tại Mỹ và phát hiện rằng trong khi chúng cùng nhau thu được lợi nhuận vượt trội hơi dương từ các thương vụ mua lại, thì những bên mua nhỏ hơn lại thu được lợi nhuận cao hơn đáng kể so với những bên mua lớn hơn, có lẽ gợi ý rằng các chiến lược dựa trên mua lại không mở rộng quy mô tốt.</w:t>
      </w:r>
    </w:p>
    <w:p>
      <w:bookmarkStart w:id="5372" w:name="Public_versus_Private_Targets__W"/>
      <w:bookmarkStart w:id="5373" w:name="Public_versus_Private_Targets"/>
      <w:pPr>
        <w:keepNext/>
        <w:pStyle w:val="Heading 3"/>
        <w:keepLines w:val="on"/>
      </w:pPr>
      <w:r>
        <w:t>Mục tiêu công khai so với mục tiêu tư nhân</w:t>
      </w:r>
      <w:bookmarkEnd w:id="5372"/>
      <w:bookmarkEnd w:id="5373"/>
    </w:p>
    <w:p>
      <w:pPr>
        <w:pStyle w:val="Para 03"/>
      </w:pPr>
      <w:r>
        <w:t>Khi tìm kiếm công ty mục tiêu, bạn có thể tìm trên thị trường công khai những công ty có thể phù hợp, hoặc tìm các doanh nghiệp thuộc sở hữu tư nhân. Với loại thứ nhất, bạn có lợi thế là các chuẩn mực kế toán gần giống với của bạn, và các đánh giá của thị trường về hoạt động kinh doanh của công ty mà bạn có thể dùng để đưa ra phán đoán của riêng mình. Với loại thứ hai, lợi thế lớn nhất của bạn là không có giá thị trường đóng vai trò mức sàn cho giá chào của bạn, tạo không gian cho một đánh giá giá trị hợp lý hơn. Tuy nhiên, các doanh nghiệp tư nhân có thể đi kèm nhiều ràng buộc hơn, bao gồm những nhân sự chủ chốt quyết định giá trị của nó và các thực hành kế toán thiếu minh bạch. Các nghiên cứu đã xem xét những mục tiêu này kết luận, khá dứt khoát, rằng bên mua có cơ hội tạo ra giá trị lớn hơn nhiều từ việc mua các doanh nghiệp thuộc sở hữu tư nhân, so với các đối tác niêm yết công khai của chúng, như có thể thấy trong Hình 25.7.</w:t>
      </w:r>
    </w:p>
    <w:p>
      <w:bookmarkStart w:id="5375" w:name="Figure_25_7_Private_versus_Publi"/>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87600" cy="1778000"/>
            <wp:effectExtent l="0" r="0" t="0" b="0"/>
            <wp:wrapTopAndBottom/>
            <wp:docPr id="233" name="c25f007.png" descr="Bar graph compares the excess returns to acquiring firm shareholders to size of target firm (as percent of acquiring firm)."/>
            <wp:cNvGraphicFramePr>
              <a:graphicFrameLocks noChangeAspect="1"/>
            </wp:cNvGraphicFramePr>
            <a:graphic>
              <a:graphicData uri="http://schemas.openxmlformats.org/drawingml/2006/picture">
                <pic:pic>
                  <pic:nvPicPr>
                    <pic:cNvPr id="0" name="c25f007.png" descr="Bar graph compares the excess returns to acquiring firm shareholders to size of target firm (as percent of acquiring firm)."/>
                    <pic:cNvPicPr/>
                  </pic:nvPicPr>
                  <pic:blipFill>
                    <a:blip r:embed="rId166"/>
                    <a:stretch>
                      <a:fillRect/>
                    </a:stretch>
                  </pic:blipFill>
                  <pic:spPr>
                    <a:xfrm>
                      <a:off x="0" y="0"/>
                      <a:ext cx="2387600" cy="1778000"/>
                    </a:xfrm>
                    <a:prstGeom prst="rect">
                      <a:avLst/>
                    </a:prstGeom>
                  </pic:spPr>
                </pic:pic>
              </a:graphicData>
            </a:graphic>
          </wp:anchor>
        </w:drawing>
      </w:r>
      <w:bookmarkEnd w:id="5375"/>
    </w:p>
    <w:p>
      <w:pPr>
        <w:keepNext/>
        <w:pStyle w:val="Para 22"/>
        <w:keepLines w:val="on"/>
      </w:pPr>
      <w:r>
        <w:t>Hình 25.7 Mục tiêu tư nhân so với mục tiêu công khai trong các thương vụ mua lại</w:t>
      </w:r>
    </w:p>
    <w:p>
      <w:pPr>
        <w:pStyle w:val="Para 03"/>
      </w:pPr>
      <w:r>
        <w:t>Lưu ý rằng với các thương vụ mua lại ở mọi quy mô, các công ty thâu tóm làm tốt hơn nhiều với việc mua lại mục tiêu tư nhân so với mua lại công ty công khai. Tuy nhiên, có một loại thứ ba dường như mang lại kết quả còn tốt hơn, ít nhất là với các thương vụ mua lại lớn hơn, đó là mua lại các bộ phận của công ty công khai. Do đó, có vẻ công bằng khi kết luận rằng không phải sự phân chia tư nhân/công khai là cốt lõi của việc tại sao các thương vụ mua lại công ty công khai thường thất bại, mà là việc bạn phải trả giá thị trường cộng thêm một khoản phí bảo hiểm.</w:t>
      </w:r>
    </w:p>
    <w:p>
      <w:bookmarkStart w:id="5377" w:name="Cost_versus_Growth_Synergies"/>
      <w:bookmarkStart w:id="5378" w:name="Cost_versus_Growth_Synergies__In"/>
      <w:pPr>
        <w:keepNext/>
        <w:pStyle w:val="Heading 3"/>
        <w:keepLines w:val="on"/>
      </w:pPr>
      <w:r>
        <w:t>Chi phí so với Cộng hưởng Tăng trưởng</w:t>
      </w:r>
      <w:bookmarkEnd w:id="5377"/>
      <w:bookmarkEnd w:id="5378"/>
    </w:p>
    <w:p>
      <w:pPr>
        <w:pStyle w:val="Para 03"/>
      </w:pPr>
      <w:r>
        <w:t>Trong phần về cộng hưởng (synergies), chúng ta đã lưu ý rằng cộng hưởng hoạt động (operating synergies) có thể tồn tại dưới dạng cộng hưởng tăng trưởng (doanh thu và lợi nhuận cao hơn trong các kỳ tương lai) hoặc cộng hưởng chi phí. Về mặt lý thuyết, cả hai loại cộng hưởng đều đóng góp vào dòng tiền cao hơn và đều dẫn đến giá trị cao hơn. Tuy nhiên, trên thực tế, khả năng cộng hưởng chi phí — vốn được hứa hẹn tại thời điểm thâu tóm — trở thành hiện thực cao hơn nhiều so với cộng hưởng tăng trưởng, như có thể thấy trong Hình 25.8, nơi chúng tôi tóm tắt kết quả một nghiên cứu của McKinsey về tỷ lệ các công ty thực hiện được đúng như cam kết về cộng hưởng.</w:t>
      </w:r>
    </w:p>
    <w:p>
      <w:bookmarkStart w:id="5380" w:name="Figure_25_8_Cost_versus_Growth_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87600" cy="1778000"/>
            <wp:effectExtent l="0" r="0" t="0" b="0"/>
            <wp:wrapTopAndBottom/>
            <wp:docPr id="234" name="c25f008.png" descr="Double graph compares the percent of companies to percent of promised synergy delivered for cost and growth."/>
            <wp:cNvGraphicFramePr>
              <a:graphicFrameLocks noChangeAspect="1"/>
            </wp:cNvGraphicFramePr>
            <a:graphic>
              <a:graphicData uri="http://schemas.openxmlformats.org/drawingml/2006/picture">
                <pic:pic>
                  <pic:nvPicPr>
                    <pic:cNvPr id="0" name="c25f008.png" descr="Double graph compares the percent of companies to percent of promised synergy delivered for cost and growth."/>
                    <pic:cNvPicPr/>
                  </pic:nvPicPr>
                  <pic:blipFill>
                    <a:blip r:embed="rId167"/>
                    <a:stretch>
                      <a:fillRect/>
                    </a:stretch>
                  </pic:blipFill>
                  <pic:spPr>
                    <a:xfrm>
                      <a:off x="0" y="0"/>
                      <a:ext cx="2387600" cy="1778000"/>
                    </a:xfrm>
                    <a:prstGeom prst="rect">
                      <a:avLst/>
                    </a:prstGeom>
                  </pic:spPr>
                </pic:pic>
              </a:graphicData>
            </a:graphic>
          </wp:anchor>
        </w:drawing>
      </w:r>
      <w:bookmarkEnd w:id="5380"/>
    </w:p>
    <w:p>
      <w:pPr>
        <w:keepNext/>
        <w:pStyle w:val="Para 22"/>
        <w:keepLines w:val="on"/>
      </w:pPr>
      <w:r>
        <w:t>Hình 25.8 Chi phí so với Cộng hưởng Tăng trưởng</w:t>
      </w:r>
    </w:p>
    <w:p>
      <w:pPr>
        <w:pStyle w:val="Para 03"/>
      </w:pPr>
      <w:r>
        <w:t>Tỷ lệ các công ty thực hiện được đúng cam kết về cộng hưởng chi phí cao hơn đáng kể so với tỷ lệ các công ty thực hiện được cộng hưởng tăng trưởng, và bạn có khả năng cao hơn nhiều sẽ chứng kiến những thiếu hụt nghiêm trọng trong việc thực hiện cộng hưởng tăng trưởng.</w:t>
      </w:r>
    </w:p>
    <w:p>
      <w:pPr>
        <w:pStyle w:val="Para 20"/>
      </w:pPr>
      <w:r>
        <w:rPr>
          <w:rStyle w:val="Text26"/>
        </w:rPr>
        <w:bookmarkStart w:id="5381" w:name="Page_828"/>
        <w:t/>
        <w:bookmarkEnd w:id="5381"/>
      </w:r>
      <w:r>
        <w:t xml:space="preserve"> </w:t>
      </w:r>
    </w:p>
    <w:p>
      <w:bookmarkStart w:id="5382" w:name="Other_Factors"/>
      <w:bookmarkStart w:id="5383" w:name="Other_Factors__While_the_ecosyst"/>
      <w:pPr>
        <w:keepNext/>
        <w:pStyle w:val="Heading 3"/>
        <w:keepLines w:val="on"/>
      </w:pPr>
      <w:r>
        <w:t>Các Yếu tố Khác</w:t>
      </w:r>
      <w:bookmarkEnd w:id="5382"/>
      <w:bookmarkEnd w:id="5383"/>
    </w:p>
    <w:p>
      <w:pPr>
        <w:pStyle w:val="Para 03"/>
      </w:pPr>
      <w:r>
        <w:t>Mặc dù hệ sinh thái kiếm tiền từ các thương vụ thâu tóm rất rộng lớn và có ảnh hưởng, bao gồm các nhà tư vấn và khá nhiều chiến lược gia, việc đổ lỗi cho các ngân hàng đầu tư hay nhà tư vấn về việc trả giá quá cao trong các thương vụ thâu tóm không thể đứng vững. Khi một công ty trả giá quá cao cho một thương vụ thâu tóm, phải có trách nhiệm giải trình, trong đó những người tích cực thúc đẩy thương vụ đó nhất phải chịu trách nhiệm về việc thực hiện đúng cam kết (về cộng hưởng và kiểm soát) và phải trả giá khi không làm được. Đáng tiếc thay, trách nhiệm giải trình đó lại vắng bóng trong thế giới thực, vì những thương vụ tồi tệ trở thành những đứa trẻ mồ côi, nơi mọi người liên quan đến thương vụ đều tìm cách tách mình ra khỏi nó.</w:t>
      </w:r>
    </w:p>
    <w:p>
      <w:pPr>
        <w:pStyle w:val="Para 03"/>
      </w:pPr>
      <w:r>
        <w:t>Ngay cả khi bạn tìm được một chiến lược thâu tóm thực sự hiệu quả trong việc tạo ra giá trị, bạn vẫn phải nhận biết khi nào nên dừng lại, vì ngay cả những chiến lược tập trung vào thương vụ thành công nhất cũng sẽ cạn dần đà, một phần vì thành công của bạn khiến bạn trở nên lớn hơn. Cisco là một câu chuyện thành công về M&amp;A trong thập niên 1990, khi họ áp dụng một chiến lược có kỷ luật là mua các công ty tư nhân nhỏ, thường có công nghệ mà họ có thể tích hợp vào sản phẩm của mình, để tăng từ vốn hóa thị trường 4 tỷ USD năm 1990 lên hơn 400 tỷ USD trong một thời gian ngắn vào năm 1999. Đến năm 1999, công ty đã trở nên đủ lớn đến mức thường phải thâu tóm hai chục công ty trở lên mỗi năm mới có thể mang lại mức tăng trưởng mà nhà đầu tư kỳ vọng. Khi bong bóng dot-com vỡ và nhà đầu tư bắt đầu đòi hỏi kết quả, chiến lược thâu tóm của Cisco quay lại chống lại chính họ trong giai đoạn 2000–2009 khi vốn hóa công ty trì trệ, dù họ đã chi hàng chục tỷ USD cho các thương vụ thâu tóm.</w:t>
      </w:r>
    </w:p>
    <w:p>
      <w:bookmarkStart w:id="5384" w:name="Analyzing_Management_and_Leverag"/>
      <w:bookmarkStart w:id="5385" w:name="Analyzing_Management_and_Leverag_1"/>
      <w:pPr>
        <w:keepNext/>
        <w:pStyle w:val="Heading 2"/>
        <w:keepLines w:val="on"/>
      </w:pPr>
      <w:r>
        <w:t>Phân tích Ban Quản lý và Các Thương vụ Mua lại bằng Đòn bẩy</w:t>
      </w:r>
      <w:bookmarkEnd w:id="5384"/>
      <w:bookmarkEnd w:id="5385"/>
    </w:p>
    <w:p>
      <w:pPr>
        <w:pStyle w:val="Para 03"/>
      </w:pPr>
      <w:r>
        <w:t>Phần đầu tiên, khi mô tả các loại thâu tóm khác nhau, đã chỉ ra hai điểm khác biệt quan trọng giữa sáp nhập (mergers) và mua lại (buyouts). Thứ nhất, khác với sáp nhập, một thương vụ mua lại không liên quan đến việc hai công ty hợp nhất lại và tạo ra một thực thể hợp nhất. Thay vào đó, công ty mục tiêu được mua lại bởi một nhóm nhà đầu tư, có thể bao gồm cả ban quản lý của chính công ty đó. Thứ hai, công ty mục tiêu trong một thương vụ mua lại thường trở thành doanh nghiệp tư nhân. Một số thương vụ mua lại trong thập niên 1980 cũng sử dụng tỷ lệ nợ lớn, dẫn đến việc chúng được xếp loại là mua lại bằng đòn bẩy (leveraged buyouts). Mỗi khác biệt này đều có ảnh hưởng đến cách chúng ta tiếp cận việc định giá các thương vụ mua lại.</w:t>
      </w:r>
    </w:p>
    <w:p>
      <w:bookmarkStart w:id="5386" w:name="Valuation_of_a_Buyout__The_fact"/>
      <w:bookmarkStart w:id="5387" w:name="Valuation_of_a_Buyout"/>
      <w:pPr>
        <w:keepNext/>
        <w:pStyle w:val="Heading 3"/>
        <w:keepLines w:val="on"/>
      </w:pPr>
      <w:r>
        <w:t>Định giá một Thương vụ Mua lại</w:t>
      </w:r>
      <w:bookmarkEnd w:id="5386"/>
      <w:bookmarkEnd w:id="5387"/>
    </w:p>
    <w:p>
      <w:pPr>
        <w:pStyle w:val="Para 03"/>
      </w:pPr>
      <w:r>
        <w:t>Việc thương vụ mua lại chỉ liên quan đến công ty mục tiêu, và không có công ty thâu tóm nào để xem xét, khiến việc định giá trở nên đơn giản hơn nhiều. Rõ ràng, không có tiềm năng cộng hưởng, và do đó, không cần định giá nó. Tuy nhiên, việc ban quản lý của một công ty cũng chính là người thâu tóm công ty đó lại tạo ra hai vấn đề. Thứ nhất là ban quản lý có quyền truy cập vào thông tin mà nhà đầu tư không có. Thông tin này có thể cho phép ban quản lý kết luận, với độ chắc chắn cao hơn nhiều so với một người thâu tóm bên ngoài, rằng công ty của họ đang bị định giá thấp. Đây có thể là một lý do cho thương vụ mua lại. Thứ hai là ban quản lý của công ty vẫn giữ nguyên sau thương vụ mua lại, nhưng cách đưa ra các quyết định về đầu tư, tài trợ và cổ tức có thể thay đổi. Điều này xảy ra vì ban quản lý, một khi trở thành chủ sở hữu, có thể quan tâm nhiều hơn đến việc tối đa hóa giá trị công ty.</w:t>
      </w:r>
    </w:p>
    <w:p>
      <w:pPr>
        <w:pStyle w:val="Para 03"/>
      </w:pPr>
      <w:r>
        <w:t>Việc các công ty tham gia vào thương vụ mua lại trở thành doanh nghiệp tư nhân cũng có thể ảnh hưởng đến giá trị. Chương 24 đã lưu ý rằng các khoản đầu tư vào doanh nghiệp tư nhân khó thanh lý hơn nhiều so với đầu tư vào các công ty niêm yết công khai. Điều này có thể tạo ra một khoản chiết khấu đáng kể trên giá trị. Một lý do khiến khoản chiết khấu này có thể nhỏ hơn trong trường hợp các thương vụ mua lại là vì nhiều thương vụ được thực hiện với ý định rõ ràng là, một khi công việc của công ty đã được sắp xếp ổn thỏa, sẽ niêm yết trở lại.</w:t>
      </w:r>
    </w:p>
    <w:p>
      <w:pPr>
        <w:pStyle w:val="Para 03"/>
      </w:pPr>
      <w:r>
        <w:t>Nếu việc rút khỏi thị trường chứng khoán (going private) được kỳ vọng sẽ làm tăng mức độ phản hồi của ban quản lý đối với việc tối đa hóa giá trị trong dài hạn — vì họ là chủ sở hữu một phần của công ty — thì cách để đưa điều này vào giá trị là đưa nó vào dòng tiền. Hiệu quả gia tăng có thể được kỳ vọng sẽ làm tăng dòng tiền nếu nó làm tăng biên lợi nhuận hoạt động. Sự nhấn mạnh vào giá trị dài hạn nên thể hiện rõ trong các lựa chọn đầu tư, và nên dẫn đến tỷ suất sinh lợi trên vốn cao hơn và tăng trưởng cao hơn. Lợi thế này phải được cân nhắc so với việc phân bổ vốn hạn chế mà công ty có thể phải đối mặt do khả năng tiếp cận thị trường tài chính bị hạn chế, điều này có thể làm giảm tăng trưởng và lợi nhuận trong tương lai. Hiệu ứng ròng sẽ quyết định sự thay đổi về giá trị. Tuy nhiên, bằng chứng thực nghiệm về các giao dịch rút khỏi thị trường chứng khoán lại rất rõ ràng. DeAngelo, DeAngelo, và Rice (1984) đã báo cáo, ví dụ, mức lợi nhuận bất thường trung bình là 30 phần trăm cho 81 công ty trong mẫu của họ đã rút khỏi thị trường chứng khoán. Như vậy, ít nhất là thị trường tài chính, dường như tin rằng có giá trị để đạt được đối với một số công ty đại chúng khi rút khỏi thị trường chứng khoán.</w:t>
      </w:r>
    </w:p>
    <w:p>
      <w:bookmarkStart w:id="5389" w:name="Valuing_a_Leveraged_Buyout"/>
      <w:bookmarkStart w:id="5390" w:name="Valuing_a_Leveraged_Buyout__We_h"/>
      <w:pPr>
        <w:keepNext/>
        <w:pStyle w:val="Heading 3"/>
        <w:keepLines w:val="on"/>
      </w:pPr>
      <w:r>
        <w:t>Định giá một Thương vụ Mua lại bằng Đòn bẩy</w:t>
      </w:r>
      <w:bookmarkEnd w:id="5389"/>
      <w:bookmarkEnd w:id="5390"/>
    </w:p>
    <w:p>
      <w:pPr>
        <w:pStyle w:val="Para 03"/>
      </w:pPr>
      <w:r>
        <w:t>Chúng ta đã thấy rằng các thương vụ mua lại bằng đòn bẩy được tài trợ bằng nợ với tỷ lệ không cân đối. Đòn bẩy cao này được biện minh theo nhiều cách. Thứ nhất, nếu công ty mục tiêu ban đầu có quá ít nợ so với tỷ lệ nợ tối ưu của nó, thì việc tăng nợ có thể được giải thích một phần bởi sự gia tăng giá trị mà việc dịch chuyển đến tỷ lệ tối ưu mang lại. Tuy nhiên, mức nợ trong hầu hết các thương vụ mua lại bằng đòn bẩy vượt quá tỷ lệ nợ tối ưu, nghĩa là một phần nợ sẽ phải được trả nhanh chóng để công ty có thể giảm chi phí vốn và rủi ro vỡ nợ. Cách giải thích thứ hai được đưa ra bởi Michael Jensen, người cho rằng không thể tin tưởng ban quản lý sẽ đầu tư dòng tiền tự do một cách khôn ngoan cho cổ đông của họ; họ cần kỷ luật của các khoản thanh toán nợ để tối đa hóa dòng tiền từ các dự án và giá trị công ty. Lý do thứ ba là tỷ lệ nợ cao này chỉ mang tính tạm thời và sẽ biến mất một khi công ty thanh lý tài sản và trả hết một phần đáng kể nợ.</w:t>
      </w:r>
    </w:p>
    <w:p>
      <w:pPr>
        <w:pStyle w:val="Para 03"/>
      </w:pPr>
      <w:r>
        <w:t>Tuy nhiên, đòn bẩy cực cao gắn liền với các thương vụ mua lại bằng đòn bẩy tạo ra hai vấn đề trong định giá. Thứ nhất, nó làm tăng đáng kể rủi ro của dòng tiền đối với nhà đầu tư vốn cổ phần trong công ty, bằng cách tăng các khoản thanh toán cố định cho chủ nợ trong công ty và mức độ phơi nhiễm với rủi ro phá sản. Do đó, chi phí vốn cổ phần và rủi ro phá sản cần được điều chỉnh để phản ánh rủi ro tài chính cao hơn mà công ty sẽ phải đối mặt sau thương vụ mua lại bằng đòn bẩy. Thứ hai, việc nợ được kỳ vọng sẽ giảm dần theo thời gian, khi công ty thanh lý tài sản và trả nợ, ngụ ý rằng chi phí vốn cổ phần cũng sẽ giảm dần theo thời gian. Vì chi phí nợ và tỷ lệ nợ cũng sẽ thay đổi theo thời gian, chi phí vốn cũng sẽ thay đổi trong mỗi kỳ.</w:t>
      </w:r>
    </w:p>
    <w:p>
      <w:pPr>
        <w:pStyle w:val="Para 03"/>
      </w:pPr>
      <w:r>
        <w:t>Khi định giá một thương vụ mua lại bằng đòn bẩy, chúng ta bắt đầu với các ước tính về dòng tiền tự do cho công ty, giống như chúng ta đã làm trong định giá truyền thống. Tuy nhiên, thay vì chiết khấu các dòng tiền này về hiện tại bằng một chi phí vốn cố định, chúng ta chiết khấu chúng về hiện tại bằng một chi phí vốn sẽ thay đổi từng năm. Sau khi định giá công ty, chúng ta có thể so sánh giá trị đó với tổng số tiền đã trả cho công ty.</w:t>
      </w:r>
    </w:p>
    <w:p>
      <w:pPr>
        <w:pStyle w:val="Para 11"/>
      </w:pPr>
      <w:r>
        <w:t/>
        <w:t xml:space="preserve"> </w:t>
      </w:r>
      <w:r>
        <w:rPr>
          <w:rStyle w:val="Text26"/>
        </w:rPr>
        <w:bookmarkStart w:id="5391" w:name="Page_830"/>
        <w:t/>
        <w:bookmarkEnd w:id="5391"/>
      </w:r>
      <w:r>
        <w:t xml:space="preserve"> </w:t>
      </w:r>
    </w:p>
    <w:p>
      <w:bookmarkStart w:id="5392" w:name="ILLUSTRATION_25_6___Valuing_a_Le"/>
      <w:bookmarkStart w:id="5393" w:name="ILLUSTRATION_25_6___Valuing_a_Le_1"/>
      <w:pPr>
        <w:keepNext/>
        <w:pStyle w:val="Para 19"/>
        <w:keepLines w:val="on"/>
      </w:pPr>
      <w:r>
        <w:t>MINH HỌA 25.6: Định giá một Thương vụ Mua lại bằng Đòn bẩy: Congoleum Inc.</w:t>
      </w:r>
      <w:bookmarkEnd w:id="5392"/>
      <w:bookmarkEnd w:id="5393"/>
    </w:p>
    <w:p>
      <w:pPr>
        <w:pStyle w:val="Para 04"/>
        <w:keepLines w:val="on"/>
      </w:pPr>
      <w:r>
        <w:t>Ban quản lý của Congoleum Inc. đã nhắm mục tiêu công ty cho một thương vụ mua lại bằng đòn bẩy vào năm 1979.9 Họ dự định mua lại cổ phiếu ở mức 38 USD mỗi cổ phần (nó đang được giao dịch ở mức 24 USD trước thương vụ thâu tóm), và tài trợ cho thương vụ thâu tóm chủ yếu bằng nợ. Chi tiết về chi phí và tài trợ của thương vụ như sau:</w:t>
      </w:r>
    </w:p>
    <w:tbl>
      <w:tblPr>
        <w:tblW w:type="auto" w:w="0"/>
      </w:tblPr>
      <w:tr>
        <w:tc>
          <w:tcPr>
            <w:tcW w:type="auto" w:w="0"/>
          </w:tcPr>
          <w:tbl>
            <w:tblPr>
              <w:tblW w:type="auto" w:w="0"/>
            </w:tblPr>
            <w:tr>
              <w:tc>
                <w:tcPr>
                  <w:tcW w:type="auto" w:w="0"/>
                  <w:shd w:val="clear" w:color="auto" w:fill="F0F0F0"/>
                </w:tcPr>
                <w:p>
                  <w:pPr>
                    <w:pStyle w:val="Para 32"/>
                    <w:keepLines w:val="on"/>
                  </w:pPr>
                  <w:r>
                    <w:t>Chi phí Thâu tóm</w:t>
                  </w:r>
                </w:p>
              </w:tc>
              <w:tc>
                <w:tcPr>
                  <w:tcW w:type="auto" w:w="0"/>
                  <w:shd w:val="clear" w:color="auto" w:fill="F0F0F0"/>
                </w:tcPr>
                <w:p>
                  <w:pPr>
                    <w:pStyle w:val="5 Block"/>
                    <w:keepLines w:val="on"/>
                  </w:pPr>
                </w:p>
              </w:tc>
            </w:tr>
            <w:tr>
              <w:tc>
                <w:tcPr>
                  <w:tcW w:type="auto" w:w="0"/>
                  <w:shd w:val="clear" w:color="auto" w:fill="F0F0F0"/>
                </w:tcPr>
                <w:p>
                  <w:pPr>
                    <w:pStyle w:val="Para 02"/>
                    <w:keepLines w:val="on"/>
                  </w:pPr>
                  <w:r>
                    <w:t>Mua lại cổ phiếu: 38 USD × 12,2 triệu cổ phần</w:t>
                  </w:r>
                </w:p>
              </w:tc>
              <w:tc>
                <w:tcPr>
                  <w:tcW w:type="auto" w:w="0"/>
                  <w:shd w:val="clear" w:color="auto" w:fill="F0F0F0"/>
                </w:tcPr>
                <w:p>
                  <w:pPr>
                    <w:pStyle w:val="Para 02"/>
                    <w:keepLines w:val="on"/>
                  </w:pPr>
                  <w:r>
                    <w:t>463,60 triệu USD</w:t>
                  </w:r>
                </w:p>
              </w:tc>
            </w:tr>
            <w:tr>
              <w:tc>
                <w:tcPr>
                  <w:tcW w:type="auto" w:w="0"/>
                  <w:shd w:val="clear" w:color="auto" w:fill="F0F0F0"/>
                </w:tcPr>
                <w:p>
                  <w:pPr>
                    <w:pStyle w:val="Para 02"/>
                    <w:keepLines w:val="on"/>
                  </w:pPr>
                  <w:r>
                    <w:t>Chi phí thâu tóm</w:t>
                  </w:r>
                </w:p>
              </w:tc>
              <w:tc>
                <w:tcPr>
                  <w:tcW w:type="auto" w:w="0"/>
                  <w:shd w:val="clear" w:color="auto" w:fill="F0F0F0"/>
                </w:tcPr>
                <w:p>
                  <w:pPr>
                    <w:pStyle w:val="Para 02"/>
                    <w:keepLines w:val="on"/>
                  </w:pPr>
                  <w:r>
                    <w:t>7,00 triệu USD</w:t>
                  </w:r>
                </w:p>
              </w:tc>
            </w:tr>
            <w:tr>
              <w:tc>
                <w:tcPr>
                  <w:tcW w:type="auto" w:w="0"/>
                  <w:shd w:val="clear" w:color="auto" w:fill="F0F0F0"/>
                </w:tcPr>
                <w:p>
                  <w:pPr>
                    <w:pStyle w:val="Para 02"/>
                    <w:keepLines w:val="on"/>
                  </w:pPr>
                  <w:r>
                    <w:t>Tổng chi phí</w:t>
                  </w:r>
                </w:p>
              </w:tc>
              <w:tc>
                <w:tcPr>
                  <w:tcW w:type="auto" w:w="0"/>
                  <w:shd w:val="clear" w:color="auto" w:fill="F0F0F0"/>
                </w:tcPr>
                <w:p>
                  <w:pPr>
                    <w:pStyle w:val="Para 02"/>
                    <w:keepLines w:val="on"/>
                  </w:pPr>
                  <w:r>
                    <w:t>470,60 triệu đô la</w:t>
                  </w:r>
                </w:p>
              </w:tc>
            </w:tr>
            <w:tr>
              <w:tc>
                <w:tcPr>
                  <w:tcW w:type="auto" w:w="0"/>
                  <w:shd w:val="clear" w:color="auto" w:fill="F0F0F0"/>
                </w:tcPr>
                <w:p>
                  <w:pPr>
                    <w:pStyle w:val="Para 02"/>
                    <w:keepLines w:val="on"/>
                  </w:pPr>
                  <w:r>
                    <w:t>Cơ cấu tài trợ cho thương vụ thâu tóm</w:t>
                  </w:r>
                </w:p>
              </w:tc>
              <w:tc>
                <w:tcPr>
                  <w:tcW w:type="auto" w:w="0"/>
                  <w:shd w:val="clear" w:color="auto" w:fill="F0F0F0"/>
                </w:tcPr>
                <w:p>
                  <w:pPr>
                    <w:pStyle w:val="5 Block"/>
                    <w:keepLines w:val="on"/>
                  </w:pPr>
                </w:p>
              </w:tc>
            </w:tr>
            <w:tr>
              <w:tc>
                <w:tcPr>
                  <w:tcW w:type="auto" w:w="0"/>
                  <w:shd w:val="clear" w:color="auto" w:fill="F0F0F0"/>
                </w:tcPr>
                <w:p>
                  <w:pPr>
                    <w:pStyle w:val="Para 02"/>
                    <w:keepLines w:val="on"/>
                  </w:pPr>
                  <w:r>
                    <w:t>Vốn chủ sở hữu</w:t>
                  </w:r>
                </w:p>
              </w:tc>
              <w:tc>
                <w:tcPr>
                  <w:tcW w:type="auto" w:w="0"/>
                  <w:shd w:val="clear" w:color="auto" w:fill="F0F0F0"/>
                </w:tcPr>
                <w:p>
                  <w:pPr>
                    <w:pStyle w:val="Para 02"/>
                    <w:keepLines w:val="on"/>
                  </w:pPr>
                  <w:r>
                    <w:t>117,30 triệu đô la</w:t>
                  </w:r>
                </w:p>
              </w:tc>
            </w:tr>
            <w:tr>
              <w:tc>
                <w:tcPr>
                  <w:tcW w:type="auto" w:w="0"/>
                  <w:shd w:val="clear" w:color="auto" w:fill="F0F0F0"/>
                </w:tcPr>
                <w:p>
                  <w:pPr>
                    <w:pStyle w:val="Para 02"/>
                    <w:keepLines w:val="on"/>
                  </w:pPr>
                  <w:r>
                    <w:t>Nợ</w:t>
                  </w:r>
                </w:p>
              </w:tc>
              <w:tc>
                <w:tcPr>
                  <w:tcW w:type="auto" w:w="0"/>
                  <w:shd w:val="clear" w:color="auto" w:fill="F0F0F0"/>
                </w:tcPr>
                <w:p>
                  <w:pPr>
                    <w:pStyle w:val="Para 02"/>
                    <w:keepLines w:val="on"/>
                  </w:pPr>
                  <w:r>
                    <w:t>327,10 triệu đô la</w:t>
                  </w:r>
                </w:p>
              </w:tc>
            </w:tr>
            <w:tr>
              <w:tc>
                <w:tcPr>
                  <w:tcW w:type="auto" w:w="0"/>
                  <w:shd w:val="clear" w:color="auto" w:fill="F0F0F0"/>
                </w:tcPr>
                <w:p>
                  <w:pPr>
                    <w:pStyle w:val="Para 02"/>
                    <w:keepLines w:val="on"/>
                  </w:pPr>
                  <w:r>
                    <w:t>Cổ phiếu ưu đãi (13,5%)</w:t>
                  </w:r>
                </w:p>
              </w:tc>
              <w:tc>
                <w:tcPr>
                  <w:tcW w:type="auto" w:w="0"/>
                  <w:shd w:val="clear" w:color="auto" w:fill="F0F0F0"/>
                </w:tcPr>
                <w:p>
                  <w:pPr>
                    <w:pStyle w:val="Para 02"/>
                    <w:keepLines w:val="on"/>
                  </w:pPr>
                  <w:r>
                    <w:t>26,20 triệu đô la</w:t>
                  </w:r>
                </w:p>
              </w:tc>
            </w:tr>
            <w:tr>
              <w:tc>
                <w:tcPr>
                  <w:tcW w:type="auto" w:w="0"/>
                  <w:shd w:val="clear" w:color="auto" w:fill="F0F0F0"/>
                </w:tcPr>
                <w:p>
                  <w:pPr>
                    <w:pStyle w:val="Para 02"/>
                    <w:keepLines w:val="on"/>
                  </w:pPr>
                  <w:r>
                    <w:t>Tổng số tiền thu được</w:t>
                  </w:r>
                </w:p>
              </w:tc>
              <w:tc>
                <w:tcPr>
                  <w:tcW w:type="auto" w:w="0"/>
                  <w:shd w:val="clear" w:color="auto" w:fill="F0F0F0"/>
                </w:tcPr>
                <w:p>
                  <w:pPr>
                    <w:pStyle w:val="Para 02"/>
                    <w:keepLines w:val="on"/>
                  </w:pPr>
                  <w:r>
                    <w:t>470,60 triệu đô la</w:t>
                  </w:r>
                </w:p>
              </w:tc>
            </w:tr>
          </w:tbl>
          <w:p/>
        </w:tc>
      </w:tr>
    </w:tbl>
    <w:p>
      <w:pPr>
        <w:pStyle w:val="Para 04"/>
        <w:keepLines w:val="on"/>
      </w:pPr>
      <w:r>
        <w:t>Có ba nguồn nợ:</w:t>
      </w:r>
    </w:p>
    <w:p>
      <w:pPr>
        <w:numPr>
          <w:ilvl w:val="0"/>
          <w:numId w:val="288"/>
        </w:numPr>
        <w:pStyle w:val="Para 18"/>
        <w:keepLines w:val="on"/>
      </w:pPr>
      <w:r>
        <w:t>Nợ ngân hàng 125 triệu đô la, với lãi suất 14%, được trả dần thành các khoản cố định hàng năm là 16,666 triệu đô la bắt đầu từ năm 1980.</w:t>
      </w:r>
    </w:p>
    <w:p>
      <w:pPr>
        <w:numPr>
          <w:ilvl w:val="0"/>
          <w:numId w:val="288"/>
        </w:numPr>
        <w:pStyle w:val="Para 18"/>
        <w:keepLines w:val="on"/>
      </w:pPr>
      <w:r>
        <w:t>Trái phiếu cao cấp (senior notes) 115 triệu đô la, với lãi suất 11,25%, được trả thành các khoản cố định hàng năm bằng nhau là 7,636 triệu đô la mỗi năm kể từ năm 1981.</w:t>
      </w:r>
    </w:p>
    <w:p>
      <w:pPr>
        <w:numPr>
          <w:ilvl w:val="0"/>
          <w:numId w:val="288"/>
        </w:numPr>
        <w:pStyle w:val="Para 18"/>
        <w:keepLines w:val="on"/>
      </w:pPr>
      <w:r>
        <w:t>Trái phiếu thứ cấp (subordinated notes) 92 triệu đô la, với lãi suất 12,25%, được trả thành các khoản cố định hàng năm bằng nhau là 7,636 triệu đô la mỗi năm kể từ năm 1989.</w:t>
      </w:r>
    </w:p>
    <w:p>
      <w:pPr>
        <w:pStyle w:val="Para 04"/>
        <w:keepLines w:val="on"/>
      </w:pPr>
      <w:r>
        <w:t>Công ty cũng gánh thêm 12,2 triệu đô la nợ hiện hữu, với mức lãi suất ưu đãi 7,50%; khoản nợ này sẽ được trả vào năm 1982.10</w:t>
      </w:r>
    </w:p>
    <w:p>
      <w:pPr>
        <w:pStyle w:val="Para 04"/>
        <w:keepLines w:val="on"/>
      </w:pPr>
      <w:r>
        <w:t>Công ty dự phóng thu nhập hoạt động (EBIT), chi tiêu vốn, khấu hao và thay đổi vốn lưu động từ năm 1980 đến năm 1984 như thể hiện trong Bảng 25.12 (tính bằng triệu đô la):</w:t>
      </w:r>
    </w:p>
    <w:p>
      <w:pPr>
        <w:pStyle w:val="Para 25"/>
        <w:keepLines w:val="on"/>
      </w:pPr>
      <w:r>
        <w:t>Bảng 25.12</w:t>
      </w:r>
    </w:p>
    <w:p>
      <w:pPr>
        <w:keepNext/>
        <w:pStyle w:val="Para 24"/>
        <w:keepLines w:val="on"/>
      </w:pPr>
      <w:r>
        <w:t>Thu nhập và Tái đầu tư Dự phóng</w:t>
      </w:r>
    </w:p>
    <w:tbl>
      <w:tblPr>
        <w:tblW w:type="auto" w:w="0"/>
      </w:tblPr>
      <w:tr>
        <w:tc>
          <w:tcPr>
            <w:tcW w:type="auto" w:w="0"/>
          </w:tcPr>
          <w:tbl>
            <w:tblPr>
              <w:tblW w:type="auto" w:w="0"/>
            </w:tblPr>
            <w:tr>
              <w:tc>
                <w:tcPr>
                  <w:tcW w:type="auto" w:w="0"/>
                  <w:shd w:val="clear" w:color="auto" w:fill="F0F0F0"/>
                </w:tcPr>
                <w:p>
                  <w:pPr>
                    <w:pStyle w:val="Para 32"/>
                    <w:keepLines w:val="on"/>
                  </w:pPr>
                  <w:r>
                    <w:t>Năm</w:t>
                  </w:r>
                </w:p>
              </w:tc>
              <w:tc>
                <w:tcPr>
                  <w:tcW w:type="auto" w:w="0"/>
                  <w:shd w:val="clear" w:color="auto" w:fill="F0F0F0"/>
                </w:tcPr>
                <w:p>
                  <w:pPr>
                    <w:pStyle w:val="Para 05"/>
                    <w:keepLines w:val="on"/>
                  </w:pPr>
                  <w:r>
                    <w:t>EBIT</w:t>
                  </w:r>
                </w:p>
              </w:tc>
              <w:tc>
                <w:tcPr>
                  <w:tcW w:type="auto" w:w="0"/>
                  <w:shd w:val="clear" w:color="auto" w:fill="F0F0F0"/>
                </w:tcPr>
                <w:p>
                  <w:pPr>
                    <w:pStyle w:val="Para 05"/>
                    <w:keepLines w:val="on"/>
                  </w:pPr>
                  <w:r>
                    <w:t>Chi tiêu vốn</w:t>
                  </w:r>
                </w:p>
              </w:tc>
              <w:tc>
                <w:tcPr>
                  <w:tcW w:type="auto" w:w="0"/>
                  <w:shd w:val="clear" w:color="auto" w:fill="F0F0F0"/>
                </w:tcPr>
                <w:p>
                  <w:pPr>
                    <w:pStyle w:val="Para 05"/>
                    <w:keepLines w:val="on"/>
                  </w:pPr>
                  <w:r>
                    <w:t>Khấu hao</w:t>
                  </w:r>
                </w:p>
              </w:tc>
              <w:tc>
                <w:tcPr>
                  <w:tcW w:type="auto" w:w="0"/>
                  <w:shd w:val="clear" w:color="auto" w:fill="F0F0F0"/>
                </w:tcPr>
                <w:p>
                  <w:pPr>
                    <w:pStyle w:val="Para 05"/>
                    <w:keepLines w:val="on"/>
                  </w:pPr>
                  <w:r>
                    <w:t>Δ Vốn lưu động</w:t>
                  </w:r>
                </w:p>
              </w:tc>
            </w:tr>
            <w:tr>
              <w:tc>
                <w:tcPr>
                  <w:tcW w:type="auto" w:w="0"/>
                  <w:shd w:val="clear" w:color="auto" w:fill="F0F0F0"/>
                </w:tcPr>
                <w:p>
                  <w:pPr>
                    <w:pStyle w:val="Para 02"/>
                    <w:keepLines w:val="on"/>
                  </w:pPr>
                  <w:r>
                    <w:t>Hiện tại</w:t>
                  </w:r>
                </w:p>
              </w:tc>
              <w:tc>
                <w:tcPr>
                  <w:tcW w:type="auto" w:w="0"/>
                  <w:shd w:val="clear" w:color="auto" w:fill="F0F0F0"/>
                </w:tcPr>
                <w:p>
                  <w:pPr>
                    <w:pStyle w:val="Normal"/>
                    <w:keepLines w:val="on"/>
                  </w:pPr>
                  <w:r>
                    <w:t>89,80 đô la</w:t>
                  </w:r>
                </w:p>
              </w:tc>
              <w:tc>
                <w:tcPr>
                  <w:tcW w:type="auto" w:w="0"/>
                  <w:shd w:val="clear" w:color="auto" w:fill="F0F0F0"/>
                </w:tcPr>
                <w:p>
                  <w:pPr>
                    <w:pStyle w:val="Normal"/>
                    <w:keepLines w:val="on"/>
                  </w:pPr>
                  <w:r>
                    <w:t>$6.8</w:t>
                  </w:r>
                </w:p>
              </w:tc>
              <w:tc>
                <w:tcPr>
                  <w:tcW w:type="auto" w:w="0"/>
                  <w:shd w:val="clear" w:color="auto" w:fill="F0F0F0"/>
                </w:tcPr>
                <w:p>
                  <w:pPr>
                    <w:pStyle w:val="Normal"/>
                    <w:keepLines w:val="on"/>
                  </w:pPr>
                  <w:r>
                    <w:t>$7.5</w:t>
                  </w:r>
                </w:p>
              </w:tc>
              <w:tc>
                <w:tcPr>
                  <w:tcW w:type="auto" w:w="0"/>
                  <w:shd w:val="clear" w:color="auto" w:fill="F0F0F0"/>
                </w:tcPr>
                <w:p>
                  <w:pPr>
                    <w:pStyle w:val="Normal"/>
                    <w:keepLines w:val="on"/>
                  </w:pPr>
                  <w:r>
                    <w:t>$4.0</w:t>
                  </w:r>
                </w:p>
              </w:tc>
            </w:tr>
            <w:tr>
              <w:tc>
                <w:tcPr>
                  <w:tcW w:type="auto" w:w="0"/>
                  <w:shd w:val="clear" w:color="auto" w:fill="F0F0F0"/>
                </w:tcPr>
                <w:p>
                  <w:pPr>
                    <w:pStyle w:val="Para 02"/>
                    <w:keepLines w:val="on"/>
                  </w:pPr>
                  <w:r>
                    <w:t>1980</w:t>
                  </w:r>
                </w:p>
              </w:tc>
              <w:tc>
                <w:tcPr>
                  <w:tcW w:type="auto" w:w="0"/>
                  <w:shd w:val="clear" w:color="auto" w:fill="F0F0F0"/>
                </w:tcPr>
                <w:p>
                  <w:pPr>
                    <w:pStyle w:val="Normal"/>
                    <w:keepLines w:val="on"/>
                  </w:pPr>
                  <w:r>
                    <w:t>$71.69</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$35.51</w:t>
                  </w:r>
                </w:p>
              </w:tc>
              <w:tc>
                <w:tcPr>
                  <w:tcW w:type="auto" w:w="0"/>
                  <w:shd w:val="clear" w:color="auto" w:fill="F0F0F0"/>
                </w:tcPr>
                <w:p>
                  <w:pPr>
                    <w:pStyle w:val="Normal"/>
                    <w:keepLines w:val="on"/>
                  </w:pPr>
                  <w:r>
                    <w:t>$2.0</w:t>
                  </w:r>
                </w:p>
              </w:tc>
            </w:tr>
            <w:tr>
              <w:tc>
                <w:tcPr>
                  <w:tcW w:type="auto" w:w="0"/>
                  <w:shd w:val="clear" w:color="auto" w:fill="F0F0F0"/>
                </w:tcPr>
                <w:p>
                  <w:pPr>
                    <w:pStyle w:val="Para 02"/>
                    <w:keepLines w:val="on"/>
                  </w:pPr>
                  <w:r>
                    <w:t>1981</w:t>
                  </w:r>
                </w:p>
              </w:tc>
              <w:tc>
                <w:tcPr>
                  <w:tcW w:type="auto" w:w="0"/>
                  <w:shd w:val="clear" w:color="auto" w:fill="F0F0F0"/>
                </w:tcPr>
                <w:p>
                  <w:pPr>
                    <w:pStyle w:val="Normal"/>
                    <w:keepLines w:val="on"/>
                  </w:pPr>
                  <w:r>
                    <w:t>$90.84</w:t>
                  </w:r>
                </w:p>
              </w:tc>
              <w:tc>
                <w:tcPr>
                  <w:tcW w:type="auto" w:w="0"/>
                  <w:shd w:val="clear" w:color="auto" w:fill="F0F0F0"/>
                </w:tcPr>
                <w:p>
                  <w:pPr>
                    <w:pStyle w:val="Normal"/>
                    <w:keepLines w:val="on"/>
                  </w:pPr>
                  <w:r>
                    <w:t>$16.2</w:t>
                  </w:r>
                </w:p>
              </w:tc>
              <w:tc>
                <w:tcPr>
                  <w:tcW w:type="auto" w:w="0"/>
                  <w:shd w:val="clear" w:color="auto" w:fill="F0F0F0"/>
                </w:tcPr>
                <w:p>
                  <w:pPr>
                    <w:pStyle w:val="Normal"/>
                    <w:keepLines w:val="on"/>
                  </w:pPr>
                  <w:r>
                    <w:t>$36.26</w:t>
                  </w:r>
                </w:p>
              </w:tc>
              <w:tc>
                <w:tcPr>
                  <w:tcW w:type="auto" w:w="0"/>
                  <w:shd w:val="clear" w:color="auto" w:fill="F0F0F0"/>
                </w:tcPr>
                <w:p>
                  <w:pPr>
                    <w:pStyle w:val="Normal"/>
                    <w:keepLines w:val="on"/>
                  </w:pPr>
                  <w:r>
                    <w:t>$14.0</w:t>
                  </w:r>
                </w:p>
              </w:tc>
            </w:tr>
            <w:tr>
              <w:tc>
                <w:tcPr>
                  <w:tcW w:type="auto" w:w="0"/>
                  <w:shd w:val="clear" w:color="auto" w:fill="F0F0F0"/>
                </w:tcPr>
                <w:p>
                  <w:pPr>
                    <w:pStyle w:val="Para 02"/>
                    <w:keepLines w:val="on"/>
                  </w:pPr>
                  <w:r>
                    <w:t>1982</w:t>
                  </w:r>
                </w:p>
              </w:tc>
              <w:tc>
                <w:tcPr>
                  <w:tcW w:type="auto" w:w="0"/>
                  <w:shd w:val="clear" w:color="auto" w:fill="F0F0F0"/>
                </w:tcPr>
                <w:p>
                  <w:pPr>
                    <w:pStyle w:val="Normal"/>
                    <w:keepLines w:val="on"/>
                  </w:pPr>
                  <w:r>
                    <w:t>$115.73</w:t>
                  </w:r>
                </w:p>
              </w:tc>
              <w:tc>
                <w:tcPr>
                  <w:tcW w:type="auto" w:w="0"/>
                  <w:shd w:val="clear" w:color="auto" w:fill="F0F0F0"/>
                </w:tcPr>
                <w:p>
                  <w:pPr>
                    <w:pStyle w:val="Normal"/>
                    <w:keepLines w:val="on"/>
                  </w:pPr>
                  <w:r>
                    <w:t>$17.5</w:t>
                  </w:r>
                </w:p>
              </w:tc>
              <w:tc>
                <w:tcPr>
                  <w:tcW w:type="auto" w:w="0"/>
                  <w:shd w:val="clear" w:color="auto" w:fill="F0F0F0"/>
                </w:tcPr>
                <w:p>
                  <w:pPr>
                    <w:pStyle w:val="Normal"/>
                    <w:keepLines w:val="on"/>
                  </w:pPr>
                  <w:r>
                    <w:t>$37.07</w:t>
                  </w:r>
                </w:p>
              </w:tc>
              <w:tc>
                <w:tcPr>
                  <w:tcW w:type="auto" w:w="0"/>
                  <w:shd w:val="clear" w:color="auto" w:fill="F0F0F0"/>
                </w:tcPr>
                <w:p>
                  <w:pPr>
                    <w:pStyle w:val="Normal"/>
                    <w:keepLines w:val="on"/>
                  </w:pPr>
                  <w:r>
                    <w:t>$23.3</w:t>
                  </w:r>
                </w:p>
              </w:tc>
            </w:tr>
            <w:tr>
              <w:tc>
                <w:tcPr>
                  <w:tcW w:type="auto" w:w="0"/>
                  <w:shd w:val="clear" w:color="auto" w:fill="F0F0F0"/>
                </w:tcPr>
                <w:p>
                  <w:pPr>
                    <w:pStyle w:val="Para 02"/>
                    <w:keepLines w:val="on"/>
                  </w:pPr>
                  <w:r>
                    <w:t>1983</w:t>
                  </w:r>
                </w:p>
              </w:tc>
              <w:tc>
                <w:tcPr>
                  <w:tcW w:type="auto" w:w="0"/>
                  <w:shd w:val="clear" w:color="auto" w:fill="F0F0F0"/>
                </w:tcPr>
                <w:p>
                  <w:pPr>
                    <w:pStyle w:val="Normal"/>
                    <w:keepLines w:val="on"/>
                  </w:pPr>
                  <w:r>
                    <w:t>$133.15</w:t>
                  </w:r>
                </w:p>
              </w:tc>
              <w:tc>
                <w:tcPr>
                  <w:tcW w:type="auto" w:w="0"/>
                  <w:shd w:val="clear" w:color="auto" w:fill="F0F0F0"/>
                </w:tcPr>
                <w:p>
                  <w:pPr>
                    <w:pStyle w:val="Normal"/>
                    <w:keepLines w:val="on"/>
                  </w:pPr>
                  <w:r>
                    <w:t>$18.9</w:t>
                  </w:r>
                </w:p>
              </w:tc>
              <w:tc>
                <w:tcPr>
                  <w:tcW w:type="auto" w:w="0"/>
                  <w:shd w:val="clear" w:color="auto" w:fill="F0F0F0"/>
                </w:tcPr>
                <w:p>
                  <w:pPr>
                    <w:pStyle w:val="Normal"/>
                    <w:keepLines w:val="on"/>
                  </w:pPr>
                  <w:r>
                    <w:t>$37.95</w:t>
                  </w:r>
                </w:p>
              </w:tc>
              <w:tc>
                <w:tcPr>
                  <w:tcW w:type="auto" w:w="0"/>
                  <w:shd w:val="clear" w:color="auto" w:fill="F0F0F0"/>
                </w:tcPr>
                <w:p>
                  <w:pPr>
                    <w:pStyle w:val="Normal"/>
                    <w:keepLines w:val="on"/>
                  </w:pPr>
                  <w:r>
                    <w:t>$11.2</w:t>
                  </w:r>
                </w:p>
              </w:tc>
            </w:tr>
            <w:tr>
              <w:tc>
                <w:tcPr>
                  <w:tcW w:type="auto" w:w="0"/>
                  <w:shd w:val="clear" w:color="auto" w:fill="F0F0F0"/>
                </w:tcPr>
                <w:p>
                  <w:pPr>
                    <w:pStyle w:val="Para 02"/>
                    <w:keepLines w:val="on"/>
                  </w:pPr>
                  <w:r>
                    <w:t>1984</w:t>
                  </w:r>
                </w:p>
              </w:tc>
              <w:tc>
                <w:tcPr>
                  <w:tcW w:type="auto" w:w="0"/>
                  <w:shd w:val="clear" w:color="auto" w:fill="F0F0F0"/>
                </w:tcPr>
                <w:p>
                  <w:pPr>
                    <w:pStyle w:val="Normal"/>
                    <w:keepLines w:val="on"/>
                  </w:pPr>
                  <w:r>
                    <w:t>$137.27</w:t>
                  </w:r>
                </w:p>
              </w:tc>
              <w:tc>
                <w:tcPr>
                  <w:tcW w:type="auto" w:w="0"/>
                  <w:shd w:val="clear" w:color="auto" w:fill="F0F0F0"/>
                </w:tcPr>
                <w:p>
                  <w:pPr>
                    <w:pStyle w:val="Normal"/>
                    <w:keepLines w:val="on"/>
                  </w:pPr>
                  <w:r>
                    <w:t>$20,4</w:t>
                  </w:r>
                </w:p>
              </w:tc>
              <w:tc>
                <w:tcPr>
                  <w:tcW w:type="auto" w:w="0"/>
                  <w:shd w:val="clear" w:color="auto" w:fill="F0F0F0"/>
                </w:tcPr>
                <w:p>
                  <w:pPr>
                    <w:pStyle w:val="Normal"/>
                    <w:keepLines w:val="on"/>
                  </w:pPr>
                  <w:r>
                    <w:t>$21,93</w:t>
                  </w:r>
                </w:p>
              </w:tc>
              <w:tc>
                <w:tcPr>
                  <w:tcW w:type="auto" w:w="0"/>
                  <w:shd w:val="clear" w:color="auto" w:fill="F0F0F0"/>
                </w:tcPr>
                <w:p>
                  <w:pPr>
                    <w:pStyle w:val="Normal"/>
                    <w:keepLines w:val="on"/>
                  </w:pPr>
                  <w:r>
                    <w:t>$12,8</w:t>
                  </w:r>
                </w:p>
              </w:tc>
            </w:tr>
          </w:tbl>
          <w:p/>
        </w:tc>
      </w:tr>
    </w:tbl>
    <w:p>
      <w:pPr>
        <w:pStyle w:val="Para 04"/>
        <w:keepLines w:val="on"/>
      </w:pPr>
      <w:r>
        <w:t>Lợi nhuận trước lãi vay và thuế (EBIT) được kỳ vọng sẽ tăng 8% sau năm 1984, và chi tiêu vốn được kỳ vọng sẽ được bù đắp bằng khấu hao.11</w:t>
      </w:r>
    </w:p>
    <w:p>
      <w:pPr>
        <w:pStyle w:val="Para 04"/>
        <w:keepLines w:val="on"/>
      </w:pPr>
      <w:r>
        <w:t>Congoleum có hệ số beta là 1,25 vào năm 1979 trước thương vụ mua lại bằng vốn vay (leveraged buyout). Lãi suất trái phiếu kho bạc tại thời điểm thương vụ mua lại bằng vốn vay là 9,5%, và thuế suất là 48%.</w:t>
      </w:r>
    </w:p>
    <w:p>
      <w:pPr>
        <w:pStyle w:val="Para 04"/>
        <w:keepLines w:val="on"/>
      </w:pPr>
      <w:r>
        <w:t>Chúng ta bắt đầu phân tích bằng việc ước tính dòng tiền kỳ vọng của doanh nghiệp từ năm 1980 đến năm 1985. Để có được những ước tính này, chúng ta lấy lợi nhuận hoạt động sau thuế trong Bảng 25.13 trừ đi chi tiêu vốn ròng và thay đổi vốn lưu động (những khoản này đã được cung cấp):</w:t>
      </w:r>
    </w:p>
    <w:p>
      <w:pPr>
        <w:pStyle w:val="Para 25"/>
        <w:keepLines w:val="on"/>
      </w:pPr>
      <w:r>
        <w:t>Bảng 25.13</w:t>
      </w:r>
    </w:p>
    <w:p>
      <w:pPr>
        <w:keepNext/>
        <w:pStyle w:val="Para 24"/>
        <w:keepLines w:val="on"/>
      </w:pPr>
      <w:r>
        <w:t>Dòng tiền tự do kỳ vọng của doanh nghiệp</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1980</w:t>
                  </w:r>
                </w:p>
              </w:tc>
              <w:tc>
                <w:tcPr>
                  <w:tcW w:type="auto" w:w="0"/>
                  <w:shd w:val="clear" w:color="auto" w:fill="F0F0F0"/>
                </w:tcPr>
                <w:p>
                  <w:pPr>
                    <w:pStyle w:val="Para 05"/>
                    <w:keepLines w:val="on"/>
                  </w:pPr>
                  <w:r>
                    <w:t>1981</w:t>
                  </w:r>
                </w:p>
              </w:tc>
              <w:tc>
                <w:tcPr>
                  <w:tcW w:type="auto" w:w="0"/>
                  <w:shd w:val="clear" w:color="auto" w:fill="F0F0F0"/>
                </w:tcPr>
                <w:p>
                  <w:pPr>
                    <w:pStyle w:val="Para 05"/>
                    <w:keepLines w:val="on"/>
                  </w:pPr>
                  <w:r>
                    <w:t>1982</w:t>
                  </w:r>
                </w:p>
              </w:tc>
              <w:tc>
                <w:tcPr>
                  <w:tcW w:type="auto" w:w="0"/>
                  <w:shd w:val="clear" w:color="auto" w:fill="F0F0F0"/>
                </w:tcPr>
                <w:p>
                  <w:pPr>
                    <w:pStyle w:val="Para 05"/>
                    <w:keepLines w:val="on"/>
                  </w:pPr>
                  <w:r>
                    <w:t>1983</w:t>
                  </w:r>
                </w:p>
              </w:tc>
              <w:tc>
                <w:tcPr>
                  <w:tcW w:type="auto" w:w="0"/>
                  <w:shd w:val="clear" w:color="auto" w:fill="F0F0F0"/>
                </w:tcPr>
                <w:p>
                  <w:pPr>
                    <w:pStyle w:val="Para 05"/>
                    <w:keepLines w:val="on"/>
                  </w:pPr>
                  <w:r>
                    <w:t>1984</w:t>
                  </w:r>
                </w:p>
              </w:tc>
              <w:tc>
                <w:tcPr>
                  <w:tcW w:type="auto" w:w="0"/>
                  <w:shd w:val="clear" w:color="auto" w:fill="F0F0F0"/>
                </w:tcPr>
                <w:p>
                  <w:pPr>
                    <w:pStyle w:val="Para 05"/>
                    <w:keepLines w:val="on"/>
                  </w:pPr>
                  <w:r>
                    <w:t>1985</w:t>
                  </w:r>
                </w:p>
              </w:tc>
            </w:tr>
            <w:tr>
              <w:tc>
                <w:tcPr>
                  <w:tcW w:type="auto" w:w="0"/>
                  <w:shd w:val="clear" w:color="auto" w:fill="F0F0F0"/>
                </w:tcPr>
                <w:p>
                  <w:pPr>
                    <w:pStyle w:val="Para 02"/>
                    <w:keepLines w:val="on"/>
                  </w:pPr>
                  <w:r>
                    <w:t>EBIT</w:t>
                  </w:r>
                </w:p>
              </w:tc>
              <w:tc>
                <w:tcPr>
                  <w:tcW w:type="auto" w:w="0"/>
                  <w:shd w:val="clear" w:color="auto" w:fill="F0F0F0"/>
                </w:tcPr>
                <w:p>
                  <w:pPr>
                    <w:pStyle w:val="Normal"/>
                    <w:keepLines w:val="on"/>
                  </w:pPr>
                  <w:r>
                    <w:t>$71,69</w:t>
                  </w:r>
                </w:p>
              </w:tc>
              <w:tc>
                <w:tcPr>
                  <w:tcW w:type="auto" w:w="0"/>
                  <w:shd w:val="clear" w:color="auto" w:fill="F0F0F0"/>
                </w:tcPr>
                <w:p>
                  <w:pPr>
                    <w:pStyle w:val="Normal"/>
                    <w:keepLines w:val="on"/>
                  </w:pPr>
                  <w:r>
                    <w:t>$90,84</w:t>
                  </w:r>
                </w:p>
              </w:tc>
              <w:tc>
                <w:tcPr>
                  <w:tcW w:type="auto" w:w="0"/>
                  <w:shd w:val="clear" w:color="auto" w:fill="F0F0F0"/>
                </w:tcPr>
                <w:p>
                  <w:pPr>
                    <w:pStyle w:val="Normal"/>
                    <w:keepLines w:val="on"/>
                  </w:pPr>
                  <w:r>
                    <w:t>$115,73</w:t>
                  </w:r>
                </w:p>
              </w:tc>
              <w:tc>
                <w:tcPr>
                  <w:tcW w:type="auto" w:w="0"/>
                  <w:shd w:val="clear" w:color="auto" w:fill="F0F0F0"/>
                </w:tcPr>
                <w:p>
                  <w:pPr>
                    <w:pStyle w:val="Normal"/>
                    <w:keepLines w:val="on"/>
                  </w:pPr>
                  <w:r>
                    <w:t>$133,15</w:t>
                  </w:r>
                </w:p>
              </w:tc>
              <w:tc>
                <w:tcPr>
                  <w:tcW w:type="auto" w:w="0"/>
                  <w:shd w:val="clear" w:color="auto" w:fill="F0F0F0"/>
                </w:tcPr>
                <w:p>
                  <w:pPr>
                    <w:pStyle w:val="Normal"/>
                    <w:keepLines w:val="on"/>
                  </w:pPr>
                  <w:r>
                    <w:t>$137,27</w:t>
                  </w:r>
                </w:p>
              </w:tc>
              <w:tc>
                <w:tcPr>
                  <w:tcW w:type="auto" w:w="0"/>
                  <w:shd w:val="clear" w:color="auto" w:fill="F0F0F0"/>
                </w:tcPr>
                <w:p>
                  <w:pPr>
                    <w:pStyle w:val="Normal"/>
                    <w:keepLines w:val="on"/>
                  </w:pPr>
                  <w:r>
                    <w:t>$148,25</w:t>
                  </w:r>
                </w:p>
              </w:tc>
            </w:tr>
            <w:tr>
              <w:tc>
                <w:tcPr>
                  <w:tcW w:type="auto" w:w="0"/>
                  <w:shd w:val="clear" w:color="auto" w:fill="F0F0F0"/>
                </w:tcPr>
                <w:p>
                  <w:pPr>
                    <w:pStyle w:val="Para 02"/>
                    <w:keepLines w:val="on"/>
                  </w:pPr>
                  <w:r>
                    <w:t>– EBIT(t)</w:t>
                  </w:r>
                </w:p>
              </w:tc>
              <w:tc>
                <w:tcPr>
                  <w:tcW w:type="auto" w:w="0"/>
                  <w:shd w:val="clear" w:color="auto" w:fill="F0F0F0"/>
                </w:tcPr>
                <w:p>
                  <w:pPr>
                    <w:pStyle w:val="Normal"/>
                    <w:keepLines w:val="on"/>
                  </w:pPr>
                  <w:r>
                    <w:t>$34,41</w:t>
                  </w:r>
                </w:p>
              </w:tc>
              <w:tc>
                <w:tcPr>
                  <w:tcW w:type="auto" w:w="0"/>
                  <w:shd w:val="clear" w:color="auto" w:fill="F0F0F0"/>
                </w:tcPr>
                <w:p>
                  <w:pPr>
                    <w:pStyle w:val="Normal"/>
                    <w:keepLines w:val="on"/>
                  </w:pPr>
                  <w:r>
                    <w:t>$43,60</w:t>
                  </w:r>
                </w:p>
              </w:tc>
              <w:tc>
                <w:tcPr>
                  <w:tcW w:type="auto" w:w="0"/>
                  <w:shd w:val="clear" w:color="auto" w:fill="F0F0F0"/>
                </w:tcPr>
                <w:p>
                  <w:pPr>
                    <w:pStyle w:val="Normal"/>
                    <w:keepLines w:val="on"/>
                  </w:pPr>
                  <w:r>
                    <w:t>$55,55</w:t>
                  </w:r>
                </w:p>
              </w:tc>
              <w:tc>
                <w:tcPr>
                  <w:tcW w:type="auto" w:w="0"/>
                  <w:shd w:val="clear" w:color="auto" w:fill="F0F0F0"/>
                </w:tcPr>
                <w:p>
                  <w:pPr>
                    <w:pStyle w:val="Normal"/>
                    <w:keepLines w:val="on"/>
                  </w:pPr>
                  <w:r>
                    <w:t>$63,91</w:t>
                  </w:r>
                </w:p>
              </w:tc>
              <w:tc>
                <w:tcPr>
                  <w:tcW w:type="auto" w:w="0"/>
                  <w:shd w:val="clear" w:color="auto" w:fill="F0F0F0"/>
                </w:tcPr>
                <w:p>
                  <w:pPr>
                    <w:pStyle w:val="Normal"/>
                    <w:keepLines w:val="on"/>
                  </w:pPr>
                  <w:r>
                    <w:t>$65,89</w:t>
                  </w:r>
                </w:p>
              </w:tc>
              <w:tc>
                <w:tcPr>
                  <w:tcW w:type="auto" w:w="0"/>
                  <w:shd w:val="clear" w:color="auto" w:fill="F0F0F0"/>
                </w:tcPr>
                <w:p>
                  <w:pPr>
                    <w:pStyle w:val="Normal"/>
                    <w:keepLines w:val="on"/>
                  </w:pPr>
                  <w:r>
                    <w:t>$71,16</w:t>
                  </w:r>
                </w:p>
              </w:tc>
            </w:tr>
            <w:tr>
              <w:tc>
                <w:tcPr>
                  <w:tcW w:type="auto" w:w="0"/>
                  <w:shd w:val="clear" w:color="auto" w:fill="F0F0F0"/>
                </w:tcPr>
                <w:p>
                  <w:pPr>
                    <w:pStyle w:val="Para 02"/>
                    <w:keepLines w:val="on"/>
                  </w:pPr>
                  <w:r>
                    <w:t>= EBIT(1 – t)</w:t>
                  </w:r>
                </w:p>
              </w:tc>
              <w:tc>
                <w:tcPr>
                  <w:tcW w:type="auto" w:w="0"/>
                  <w:shd w:val="clear" w:color="auto" w:fill="F0F0F0"/>
                </w:tcPr>
                <w:p>
                  <w:pPr>
                    <w:pStyle w:val="Normal"/>
                    <w:keepLines w:val="on"/>
                  </w:pPr>
                  <w:r>
                    <w:t>$37,28</w:t>
                  </w:r>
                </w:p>
              </w:tc>
              <w:tc>
                <w:tcPr>
                  <w:tcW w:type="auto" w:w="0"/>
                  <w:shd w:val="clear" w:color="auto" w:fill="F0F0F0"/>
                </w:tcPr>
                <w:p>
                  <w:pPr>
                    <w:pStyle w:val="Normal"/>
                    <w:keepLines w:val="on"/>
                  </w:pPr>
                  <w:r>
                    <w:t>$47,24</w:t>
                  </w:r>
                </w:p>
              </w:tc>
              <w:tc>
                <w:tcPr>
                  <w:tcW w:type="auto" w:w="0"/>
                  <w:shd w:val="clear" w:color="auto" w:fill="F0F0F0"/>
                </w:tcPr>
                <w:p>
                  <w:pPr>
                    <w:pStyle w:val="Normal"/>
                    <w:keepLines w:val="on"/>
                  </w:pPr>
                  <w:r>
                    <w:t>$60,18</w:t>
                  </w:r>
                </w:p>
              </w:tc>
              <w:tc>
                <w:tcPr>
                  <w:tcW w:type="auto" w:w="0"/>
                  <w:shd w:val="clear" w:color="auto" w:fill="F0F0F0"/>
                </w:tcPr>
                <w:p>
                  <w:pPr>
                    <w:pStyle w:val="Normal"/>
                    <w:keepLines w:val="on"/>
                  </w:pPr>
                  <w:r>
                    <w:t>$69,24</w:t>
                  </w:r>
                </w:p>
              </w:tc>
              <w:tc>
                <w:tcPr>
                  <w:tcW w:type="auto" w:w="0"/>
                  <w:shd w:val="clear" w:color="auto" w:fill="F0F0F0"/>
                </w:tcPr>
                <w:p>
                  <w:pPr>
                    <w:pStyle w:val="Normal"/>
                    <w:keepLines w:val="on"/>
                  </w:pPr>
                  <w:r>
                    <w:t>$71,38</w:t>
                  </w:r>
                </w:p>
              </w:tc>
              <w:tc>
                <w:tcPr>
                  <w:tcW w:type="auto" w:w="0"/>
                  <w:shd w:val="clear" w:color="auto" w:fill="F0F0F0"/>
                </w:tcPr>
                <w:p>
                  <w:pPr>
                    <w:pStyle w:val="Normal"/>
                    <w:keepLines w:val="on"/>
                  </w:pPr>
                  <w:r>
                    <w:t>$77,09</w:t>
                  </w:r>
                </w:p>
              </w:tc>
            </w:tr>
            <w:tr>
              <w:tc>
                <w:tcPr>
                  <w:tcW w:type="auto" w:w="0"/>
                  <w:shd w:val="clear" w:color="auto" w:fill="F0F0F0"/>
                </w:tcPr>
                <w:p>
                  <w:pPr>
                    <w:pStyle w:val="Para 02"/>
                    <w:keepLines w:val="on"/>
                  </w:pPr>
                  <w:r>
                    <w:t>+ Khấu hao</w:t>
                  </w:r>
                </w:p>
              </w:tc>
              <w:tc>
                <w:tcPr>
                  <w:tcW w:type="auto" w:w="0"/>
                  <w:shd w:val="clear" w:color="auto" w:fill="F0F0F0"/>
                </w:tcPr>
                <w:p>
                  <w:pPr>
                    <w:pStyle w:val="Normal"/>
                    <w:keepLines w:val="on"/>
                  </w:pPr>
                  <w:r>
                    <w:t>$35,51</w:t>
                  </w:r>
                </w:p>
              </w:tc>
              <w:tc>
                <w:tcPr>
                  <w:tcW w:type="auto" w:w="0"/>
                  <w:shd w:val="clear" w:color="auto" w:fill="F0F0F0"/>
                </w:tcPr>
                <w:p>
                  <w:pPr>
                    <w:pStyle w:val="Normal"/>
                    <w:keepLines w:val="on"/>
                  </w:pPr>
                  <w:r>
                    <w:t>$36,26</w:t>
                  </w:r>
                </w:p>
              </w:tc>
              <w:tc>
                <w:tcPr>
                  <w:tcW w:type="auto" w:w="0"/>
                  <w:shd w:val="clear" w:color="auto" w:fill="F0F0F0"/>
                </w:tcPr>
                <w:p>
                  <w:pPr>
                    <w:pStyle w:val="Normal"/>
                    <w:keepLines w:val="on"/>
                  </w:pPr>
                  <w:r>
                    <w:t>$37,07</w:t>
                  </w:r>
                </w:p>
              </w:tc>
              <w:tc>
                <w:tcPr>
                  <w:tcW w:type="auto" w:w="0"/>
                  <w:shd w:val="clear" w:color="auto" w:fill="F0F0F0"/>
                </w:tcPr>
                <w:p>
                  <w:pPr>
                    <w:pStyle w:val="Normal"/>
                    <w:keepLines w:val="on"/>
                  </w:pPr>
                  <w:r>
                    <w:t>$37,95</w:t>
                  </w:r>
                </w:p>
              </w:tc>
              <w:tc>
                <w:tcPr>
                  <w:tcW w:type="auto" w:w="0"/>
                  <w:shd w:val="clear" w:color="auto" w:fill="F0F0F0"/>
                </w:tcPr>
                <w:p>
                  <w:pPr>
                    <w:pStyle w:val="Normal"/>
                    <w:keepLines w:val="on"/>
                  </w:pPr>
                  <w:r>
                    <w:t>$21,93</w:t>
                  </w:r>
                </w:p>
              </w:tc>
              <w:tc>
                <w:tcPr>
                  <w:tcW w:type="auto" w:w="0"/>
                  <w:shd w:val="clear" w:color="auto" w:fill="F0F0F0"/>
                </w:tcPr>
                <w:p>
                  <w:pPr>
                    <w:pStyle w:val="Normal"/>
                    <w:keepLines w:val="on"/>
                  </w:pPr>
                  <w:r>
                    <w:t>$21,62</w:t>
                  </w:r>
                </w:p>
              </w:tc>
            </w:tr>
            <w:tr>
              <w:tc>
                <w:tcPr>
                  <w:tcW w:type="auto" w:w="0"/>
                  <w:shd w:val="clear" w:color="auto" w:fill="F0F0F0"/>
                </w:tcPr>
                <w:p>
                  <w:pPr>
                    <w:pStyle w:val="Para 02"/>
                    <w:keepLines w:val="on"/>
                  </w:pPr>
                  <w:r>
                    <w:t>– Chi tiêu vốn</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$16,20</w:t>
                  </w:r>
                </w:p>
              </w:tc>
              <w:tc>
                <w:tcPr>
                  <w:tcW w:type="auto" w:w="0"/>
                  <w:shd w:val="clear" w:color="auto" w:fill="F0F0F0"/>
                </w:tcPr>
                <w:p>
                  <w:pPr>
                    <w:pStyle w:val="Normal"/>
                    <w:keepLines w:val="on"/>
                  </w:pPr>
                  <w:r>
                    <w:t>$17,50</w:t>
                  </w:r>
                </w:p>
              </w:tc>
              <w:tc>
                <w:tcPr>
                  <w:tcW w:type="auto" w:w="0"/>
                  <w:shd w:val="clear" w:color="auto" w:fill="F0F0F0"/>
                </w:tcPr>
                <w:p>
                  <w:pPr>
                    <w:pStyle w:val="Normal"/>
                    <w:keepLines w:val="on"/>
                  </w:pPr>
                  <w:r>
                    <w:t>$18,90</w:t>
                  </w:r>
                </w:p>
              </w:tc>
              <w:tc>
                <w:tcPr>
                  <w:tcW w:type="auto" w:w="0"/>
                  <w:shd w:val="clear" w:color="auto" w:fill="F0F0F0"/>
                </w:tcPr>
                <w:p>
                  <w:pPr>
                    <w:pStyle w:val="Normal"/>
                    <w:keepLines w:val="on"/>
                  </w:pPr>
                  <w:r>
                    <w:t>$20,40</w:t>
                  </w:r>
                </w:p>
              </w:tc>
              <w:tc>
                <w:tcPr>
                  <w:tcW w:type="auto" w:w="0"/>
                  <w:shd w:val="clear" w:color="auto" w:fill="F0F0F0"/>
                </w:tcPr>
                <w:p>
                  <w:pPr>
                    <w:pStyle w:val="Normal"/>
                    <w:keepLines w:val="on"/>
                  </w:pPr>
                  <w:r>
                    <w:t>$21,62</w:t>
                  </w:r>
                </w:p>
              </w:tc>
            </w:tr>
            <w:tr>
              <w:tc>
                <w:tcPr>
                  <w:tcW w:type="auto" w:w="0"/>
                  <w:shd w:val="clear" w:color="auto" w:fill="F0F0F0"/>
                </w:tcPr>
                <w:p>
                  <w:pPr>
                    <w:pStyle w:val="Para 02"/>
                    <w:keepLines w:val="on"/>
                  </w:pPr>
                  <w:r>
                    <w:t>– Δ WC</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$23,30</w:t>
                  </w:r>
                </w:p>
              </w:tc>
              <w:tc>
                <w:tcPr>
                  <w:tcW w:type="auto" w:w="0"/>
                  <w:shd w:val="clear" w:color="auto" w:fill="F0F0F0"/>
                </w:tcPr>
                <w:p>
                  <w:pPr>
                    <w:pStyle w:val="Normal"/>
                    <w:keepLines w:val="on"/>
                  </w:pPr>
                  <w:r>
                    <w:t>$11,20</w:t>
                  </w:r>
                </w:p>
              </w:tc>
              <w:tc>
                <w:tcPr>
                  <w:tcW w:type="auto" w:w="0"/>
                  <w:shd w:val="clear" w:color="auto" w:fill="F0F0F0"/>
                </w:tcPr>
                <w:p>
                  <w:pPr>
                    <w:pStyle w:val="Normal"/>
                    <w:keepLines w:val="on"/>
                  </w:pPr>
                  <w:r>
                    <w:t>$12,80</w:t>
                  </w:r>
                </w:p>
              </w:tc>
              <w:tc>
                <w:tcPr>
                  <w:tcW w:type="auto" w:w="0"/>
                  <w:shd w:val="clear" w:color="auto" w:fill="F0F0F0"/>
                </w:tcPr>
                <w:p>
                  <w:pPr>
                    <w:pStyle w:val="Normal"/>
                    <w:keepLines w:val="on"/>
                  </w:pPr>
                  <w:r>
                    <w:t>$5,00</w:t>
                  </w:r>
                </w:p>
              </w:tc>
            </w:tr>
            <w:tr>
              <w:tc>
                <w:tcPr>
                  <w:tcW w:type="auto" w:w="0"/>
                  <w:shd w:val="clear" w:color="auto" w:fill="F0F0F0"/>
                </w:tcPr>
                <w:p>
                  <w:pPr>
                    <w:pStyle w:val="Para 02"/>
                    <w:keepLines w:val="on"/>
                  </w:pPr>
                  <w:r>
                    <w:t>= FCFF</w:t>
                  </w:r>
                </w:p>
              </w:tc>
              <w:tc>
                <w:tcPr>
                  <w:tcW w:type="auto" w:w="0"/>
                  <w:shd w:val="clear" w:color="auto" w:fill="F0F0F0"/>
                </w:tcPr>
                <w:p>
                  <w:pPr>
                    <w:pStyle w:val="Normal"/>
                    <w:keepLines w:val="on"/>
                  </w:pPr>
                  <w:r>
                    <w:t>$55,79</w:t>
                  </w:r>
                </w:p>
              </w:tc>
              <w:tc>
                <w:tcPr>
                  <w:tcW w:type="auto" w:w="0"/>
                  <w:shd w:val="clear" w:color="auto" w:fill="F0F0F0"/>
                </w:tcPr>
                <w:p>
                  <w:pPr>
                    <w:pStyle w:val="Normal"/>
                    <w:keepLines w:val="on"/>
                  </w:pPr>
                  <w:r>
                    <w:t>$53,30</w:t>
                  </w:r>
                </w:p>
              </w:tc>
              <w:tc>
                <w:tcPr>
                  <w:tcW w:type="auto" w:w="0"/>
                  <w:shd w:val="clear" w:color="auto" w:fill="F0F0F0"/>
                </w:tcPr>
                <w:p>
                  <w:pPr>
                    <w:pStyle w:val="Normal"/>
                    <w:keepLines w:val="on"/>
                  </w:pPr>
                  <w:r>
                    <w:t>$56,45</w:t>
                  </w:r>
                </w:p>
              </w:tc>
              <w:tc>
                <w:tcPr>
                  <w:tcW w:type="auto" w:w="0"/>
                  <w:shd w:val="clear" w:color="auto" w:fill="F0F0F0"/>
                </w:tcPr>
                <w:p>
                  <w:pPr>
                    <w:pStyle w:val="Normal"/>
                    <w:keepLines w:val="on"/>
                  </w:pPr>
                  <w:r>
                    <w:t>$77,09</w:t>
                  </w:r>
                </w:p>
              </w:tc>
              <w:tc>
                <w:tcPr>
                  <w:tcW w:type="auto" w:w="0"/>
                  <w:shd w:val="clear" w:color="auto" w:fill="F0F0F0"/>
                </w:tcPr>
                <w:p>
                  <w:pPr>
                    <w:pStyle w:val="Normal"/>
                    <w:keepLines w:val="on"/>
                  </w:pPr>
                  <w:r>
                    <w:t>$60,11</w:t>
                  </w:r>
                </w:p>
              </w:tc>
              <w:tc>
                <w:tcPr>
                  <w:tcW w:type="auto" w:w="0"/>
                  <w:shd w:val="clear" w:color="auto" w:fill="F0F0F0"/>
                </w:tcPr>
                <w:p>
                  <w:pPr>
                    <w:pStyle w:val="Normal"/>
                    <w:keepLines w:val="on"/>
                  </w:pPr>
                  <w:r>
                    <w:t>$72,09</w:t>
                  </w:r>
                </w:p>
              </w:tc>
            </w:tr>
          </w:tbl>
          <w:p/>
        </w:tc>
      </w:tr>
    </w:tbl>
    <w:p>
      <w:pPr>
        <w:pStyle w:val="Para 04"/>
        <w:keepLines w:val="on"/>
      </w:pPr>
      <w:r>
        <w:t>Tiếp theo, chúng ta ước tính chi phí vốn (cost of capital) cho công ty mỗi năm, dựa trên ước tính về nợ và vốn chủ sở hữu (equity) của từng năm. Giá trị nợ cho các năm tương lai được ước tính dựa trên lịch trả nợ, vốn sẽ giảm dần theo thời gian. Giá trị vốn chủ sở hữu trong mỗi năm tương lai được ước tính bằng cách chiết khấu dòng tiền kỳ vọng thuộc về vốn chủ sở hữu sau năm đó theo chi phí vốn chủ sở hữu (cost of equity). (Điều này giải thích vì sao vốn chủ sở hữu năm 1980 lớn hơn giá trị sổ sách của vốn chủ sở hữu.)</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1980</w:t>
                  </w:r>
                </w:p>
              </w:tc>
              <w:tc>
                <w:tcPr>
                  <w:tcW w:type="auto" w:w="0"/>
                  <w:shd w:val="clear" w:color="auto" w:fill="F0F0F0"/>
                </w:tcPr>
                <w:p>
                  <w:pPr>
                    <w:pStyle w:val="Para 05"/>
                    <w:keepLines w:val="on"/>
                  </w:pPr>
                  <w:r>
                    <w:t>1981</w:t>
                  </w:r>
                </w:p>
              </w:tc>
              <w:tc>
                <w:tcPr>
                  <w:tcW w:type="auto" w:w="0"/>
                  <w:shd w:val="clear" w:color="auto" w:fill="F0F0F0"/>
                </w:tcPr>
                <w:p>
                  <w:pPr>
                    <w:pStyle w:val="Para 05"/>
                    <w:keepLines w:val="on"/>
                  </w:pPr>
                  <w:r>
                    <w:t>1982</w:t>
                  </w:r>
                </w:p>
              </w:tc>
              <w:tc>
                <w:tcPr>
                  <w:tcW w:type="auto" w:w="0"/>
                  <w:shd w:val="clear" w:color="auto" w:fill="F0F0F0"/>
                </w:tcPr>
                <w:p>
                  <w:pPr>
                    <w:pStyle w:val="Para 05"/>
                    <w:keepLines w:val="on"/>
                  </w:pPr>
                  <w:r>
                    <w:t>1983</w:t>
                  </w:r>
                </w:p>
              </w:tc>
              <w:tc>
                <w:tcPr>
                  <w:tcW w:type="auto" w:w="0"/>
                  <w:shd w:val="clear" w:color="auto" w:fill="F0F0F0"/>
                </w:tcPr>
                <w:p>
                  <w:pPr>
                    <w:pStyle w:val="Para 05"/>
                    <w:keepLines w:val="on"/>
                  </w:pPr>
                  <w:r>
                    <w:t>1984</w:t>
                  </w:r>
                </w:p>
              </w:tc>
              <w:tc>
                <w:tcPr>
                  <w:tcW w:type="auto" w:w="0"/>
                  <w:shd w:val="clear" w:color="auto" w:fill="F0F0F0"/>
                </w:tcPr>
                <w:p>
                  <w:pPr>
                    <w:pStyle w:val="Para 05"/>
                    <w:keepLines w:val="on"/>
                  </w:pPr>
                  <w:r>
                    <w:t>1985</w:t>
                  </w:r>
                </w:p>
              </w:tc>
            </w:tr>
            <w:tr>
              <w:tc>
                <w:tcPr>
                  <w:tcW w:type="auto" w:w="0"/>
                  <w:shd w:val="clear" w:color="auto" w:fill="F0F0F0"/>
                </w:tcPr>
                <w:p>
                  <w:pPr>
                    <w:pStyle w:val="Para 02"/>
                    <w:keepLines w:val="on"/>
                  </w:pPr>
                  <w:r>
                    <w:t>Nợ</w:t>
                  </w:r>
                </w:p>
              </w:tc>
              <w:tc>
                <w:tcPr>
                  <w:tcW w:type="auto" w:w="0"/>
                  <w:shd w:val="clear" w:color="auto" w:fill="F0F0F0"/>
                </w:tcPr>
                <w:p>
                  <w:pPr>
                    <w:pStyle w:val="Normal"/>
                    <w:keepLines w:val="on"/>
                  </w:pPr>
                  <w:r>
                    <w:t>$327,10</w:t>
                  </w:r>
                </w:p>
              </w:tc>
              <w:tc>
                <w:tcPr>
                  <w:tcW w:type="auto" w:w="0"/>
                  <w:shd w:val="clear" w:color="auto" w:fill="F0F0F0"/>
                </w:tcPr>
                <w:p>
                  <w:pPr>
                    <w:pStyle w:val="Normal"/>
                    <w:keepLines w:val="on"/>
                  </w:pPr>
                  <w:r>
                    <w:t>$309,96</w:t>
                  </w:r>
                </w:p>
              </w:tc>
              <w:tc>
                <w:tcPr>
                  <w:tcW w:type="auto" w:w="0"/>
                  <w:shd w:val="clear" w:color="auto" w:fill="F0F0F0"/>
                </w:tcPr>
                <w:p>
                  <w:pPr>
                    <w:pStyle w:val="Normal"/>
                    <w:keepLines w:val="on"/>
                  </w:pPr>
                  <w:r>
                    <w:t>$285,17</w:t>
                  </w:r>
                </w:p>
              </w:tc>
              <w:tc>
                <w:tcPr>
                  <w:tcW w:type="auto" w:w="0"/>
                  <w:shd w:val="clear" w:color="auto" w:fill="F0F0F0"/>
                </w:tcPr>
                <w:p>
                  <w:pPr>
                    <w:pStyle w:val="Normal"/>
                    <w:keepLines w:val="on"/>
                  </w:pPr>
                  <w:r>
                    <w:t>$260,62</w:t>
                  </w:r>
                </w:p>
              </w:tc>
              <w:tc>
                <w:tcPr>
                  <w:tcW w:type="auto" w:w="0"/>
                  <w:shd w:val="clear" w:color="auto" w:fill="F0F0F0"/>
                </w:tcPr>
                <w:p>
                  <w:pPr>
                    <w:pStyle w:val="Normal"/>
                    <w:keepLines w:val="on"/>
                  </w:pPr>
                  <w:r>
                    <w:t>$236,04</w:t>
                  </w:r>
                </w:p>
              </w:tc>
              <w:tc>
                <w:tcPr>
                  <w:tcW w:type="auto" w:w="0"/>
                  <w:shd w:val="clear" w:color="auto" w:fill="F0F0F0"/>
                </w:tcPr>
                <w:p>
                  <w:pPr>
                    <w:pStyle w:val="Normal"/>
                    <w:keepLines w:val="on"/>
                  </w:pPr>
                  <w:r>
                    <w:t>$211,45</w:t>
                  </w:r>
                </w:p>
              </w:tc>
            </w:tr>
            <w:tr>
              <w:tc>
                <w:tcPr>
                  <w:tcW w:type="auto" w:w="0"/>
                  <w:shd w:val="clear" w:color="auto" w:fill="F0F0F0"/>
                </w:tcPr>
                <w:p>
                  <w:pPr>
                    <w:pStyle w:val="Para 02"/>
                    <w:keepLines w:val="on"/>
                  </w:pPr>
                  <w:r>
                    <w:t>Vốn chủ sở hữu</w:t>
                  </w:r>
                </w:p>
              </w:tc>
              <w:tc>
                <w:tcPr>
                  <w:tcW w:type="auto" w:w="0"/>
                  <w:shd w:val="clear" w:color="auto" w:fill="F0F0F0"/>
                </w:tcPr>
                <w:p>
                  <w:pPr>
                    <w:pStyle w:val="Normal"/>
                    <w:keepLines w:val="on"/>
                  </w:pPr>
                  <w:r>
                    <w:t>$275,39</w:t>
                  </w:r>
                </w:p>
              </w:tc>
              <w:tc>
                <w:tcPr>
                  <w:tcW w:type="auto" w:w="0"/>
                  <w:shd w:val="clear" w:color="auto" w:fill="F0F0F0"/>
                </w:tcPr>
                <w:p>
                  <w:pPr>
                    <w:pStyle w:val="Normal"/>
                    <w:keepLines w:val="on"/>
                  </w:pPr>
                  <w:r>
                    <w:t>$319,40</w:t>
                  </w:r>
                </w:p>
              </w:tc>
              <w:tc>
                <w:tcPr>
                  <w:tcW w:type="auto" w:w="0"/>
                  <w:shd w:val="clear" w:color="auto" w:fill="F0F0F0"/>
                </w:tcPr>
                <w:p>
                  <w:pPr>
                    <w:pStyle w:val="Normal"/>
                    <w:keepLines w:val="on"/>
                  </w:pPr>
                  <w:r>
                    <w:t>$378,81</w:t>
                  </w:r>
                </w:p>
              </w:tc>
              <w:tc>
                <w:tcPr>
                  <w:tcW w:type="auto" w:w="0"/>
                  <w:shd w:val="clear" w:color="auto" w:fill="F0F0F0"/>
                </w:tcPr>
                <w:p>
                  <w:pPr>
                    <w:pStyle w:val="Normal"/>
                    <w:keepLines w:val="on"/>
                  </w:pPr>
                  <w:r>
                    <w:t>$441,91</w:t>
                  </w:r>
                </w:p>
              </w:tc>
              <w:tc>
                <w:tcPr>
                  <w:tcW w:type="auto" w:w="0"/>
                  <w:shd w:val="clear" w:color="auto" w:fill="F0F0F0"/>
                </w:tcPr>
                <w:p>
                  <w:pPr>
                    <w:pStyle w:val="Normal"/>
                    <w:keepLines w:val="on"/>
                  </w:pPr>
                  <w:r>
                    <w:t>$504,29</w:t>
                  </w:r>
                </w:p>
              </w:tc>
              <w:tc>
                <w:tcPr>
                  <w:tcW w:type="auto" w:w="0"/>
                  <w:shd w:val="clear" w:color="auto" w:fill="F0F0F0"/>
                </w:tcPr>
                <w:p>
                  <w:pPr>
                    <w:pStyle w:val="Normal"/>
                    <w:keepLines w:val="on"/>
                  </w:pPr>
                  <w:r>
                    <w:t>$578,48</w:t>
                  </w:r>
                </w:p>
              </w:tc>
            </w:tr>
            <w:tr>
              <w:tc>
                <w:tcPr>
                  <w:tcW w:type="auto" w:w="0"/>
                  <w:shd w:val="clear" w:color="auto" w:fill="F0F0F0"/>
                </w:tcPr>
                <w:p>
                  <w:pPr>
                    <w:pStyle w:val="Para 02"/>
                    <w:keepLines w:val="on"/>
                  </w:pPr>
                  <w:r>
                    <w:t>Cổ phiếu ưu đãi</w:t>
                  </w:r>
                </w:p>
              </w:tc>
              <w:tc>
                <w:tcPr>
                  <w:tcW w:type="auto" w:w="0"/>
                  <w:shd w:val="clear" w:color="auto" w:fill="F0F0F0"/>
                </w:tcPr>
                <w:p>
                  <w:pPr>
                    <w:pStyle w:val="Normal"/>
                    <w:keepLines w:val="on"/>
                  </w:pPr>
                  <w:r>
                    <w:t>$26,20</w:t>
                  </w:r>
                </w:p>
              </w:tc>
              <w:tc>
                <w:tcPr>
                  <w:tcW w:type="auto" w:w="0"/>
                  <w:shd w:val="clear" w:color="auto" w:fill="F0F0F0"/>
                </w:tcPr>
                <w:p>
                  <w:pPr>
                    <w:pStyle w:val="Normal"/>
                    <w:keepLines w:val="on"/>
                  </w:pPr>
                  <w:r>
                    <w:t>$26,20</w:t>
                  </w:r>
                </w:p>
              </w:tc>
              <w:tc>
                <w:tcPr>
                  <w:tcW w:type="auto" w:w="0"/>
                  <w:shd w:val="clear" w:color="auto" w:fill="F0F0F0"/>
                </w:tcPr>
                <w:p>
                  <w:pPr>
                    <w:pStyle w:val="Normal"/>
                    <w:keepLines w:val="on"/>
                  </w:pPr>
                  <w:r>
                    <w:t>$26,20</w:t>
                  </w:r>
                </w:p>
              </w:tc>
              <w:tc>
                <w:tcPr>
                  <w:tcW w:type="auto" w:w="0"/>
                  <w:shd w:val="clear" w:color="auto" w:fill="F0F0F0"/>
                </w:tcPr>
                <w:p>
                  <w:pPr>
                    <w:pStyle w:val="Normal"/>
                    <w:keepLines w:val="on"/>
                  </w:pPr>
                  <w:r>
                    <w:t>$26,20</w:t>
                  </w:r>
                </w:p>
              </w:tc>
              <w:tc>
                <w:tcPr>
                  <w:tcW w:type="auto" w:w="0"/>
                  <w:shd w:val="clear" w:color="auto" w:fill="F0F0F0"/>
                </w:tcPr>
                <w:p>
                  <w:pPr>
                    <w:pStyle w:val="Normal"/>
                    <w:keepLines w:val="on"/>
                  </w:pPr>
                  <w:r>
                    <w:t>$26,20</w:t>
                  </w:r>
                </w:p>
              </w:tc>
              <w:tc>
                <w:tcPr>
                  <w:tcW w:type="auto" w:w="0"/>
                  <w:shd w:val="clear" w:color="auto" w:fill="F0F0F0"/>
                </w:tcPr>
                <w:p>
                  <w:pPr>
                    <w:pStyle w:val="Normal"/>
                    <w:keepLines w:val="on"/>
                  </w:pPr>
                  <w:r>
                    <w:t>$26,20</w:t>
                  </w:r>
                </w:p>
              </w:tc>
            </w:tr>
            <w:tr>
              <w:tc>
                <w:tcPr>
                  <w:tcW w:type="auto" w:w="0"/>
                  <w:shd w:val="clear" w:color="auto" w:fill="F0F0F0"/>
                </w:tcPr>
                <w:p>
                  <w:pPr>
                    <w:pStyle w:val="Para 02"/>
                    <w:keepLines w:val="on"/>
                  </w:pPr>
                  <w:r>
                    <w:t>Nợ/vốn</w:t>
                  </w:r>
                </w:p>
              </w:tc>
              <w:tc>
                <w:tcPr>
                  <w:tcW w:type="auto" w:w="0"/>
                  <w:shd w:val="clear" w:color="auto" w:fill="F0F0F0"/>
                </w:tcPr>
                <w:p>
                  <w:pPr>
                    <w:pStyle w:val="Normal"/>
                    <w:keepLines w:val="on"/>
                  </w:pPr>
                  <w:r>
                    <w:t>52,03%</w:t>
                  </w:r>
                </w:p>
              </w:tc>
              <w:tc>
                <w:tcPr>
                  <w:tcW w:type="auto" w:w="0"/>
                  <w:shd w:val="clear" w:color="auto" w:fill="F0F0F0"/>
                </w:tcPr>
                <w:p>
                  <w:pPr>
                    <w:pStyle w:val="Normal"/>
                    <w:keepLines w:val="on"/>
                  </w:pPr>
                  <w:r>
                    <w:t>47,28%</w:t>
                  </w:r>
                </w:p>
              </w:tc>
              <w:tc>
                <w:tcPr>
                  <w:tcW w:type="auto" w:w="0"/>
                  <w:shd w:val="clear" w:color="auto" w:fill="F0F0F0"/>
                </w:tcPr>
                <w:p>
                  <w:pPr>
                    <w:pStyle w:val="Normal"/>
                    <w:keepLines w:val="on"/>
                  </w:pPr>
                  <w:r>
                    <w:t>41,32%</w:t>
                  </w:r>
                </w:p>
              </w:tc>
              <w:tc>
                <w:tcPr>
                  <w:tcW w:type="auto" w:w="0"/>
                  <w:shd w:val="clear" w:color="auto" w:fill="F0F0F0"/>
                </w:tcPr>
                <w:p>
                  <w:pPr>
                    <w:pStyle w:val="Normal"/>
                    <w:keepLines w:val="on"/>
                  </w:pPr>
                  <w:r>
                    <w:t>35,76%</w:t>
                  </w:r>
                </w:p>
              </w:tc>
              <w:tc>
                <w:tcPr>
                  <w:tcW w:type="auto" w:w="0"/>
                  <w:shd w:val="clear" w:color="auto" w:fill="F0F0F0"/>
                </w:tcPr>
                <w:p>
                  <w:pPr>
                    <w:pStyle w:val="Normal"/>
                    <w:keepLines w:val="on"/>
                  </w:pPr>
                  <w:r>
                    <w:t>30,79%</w:t>
                  </w:r>
                </w:p>
              </w:tc>
              <w:tc>
                <w:tcPr>
                  <w:tcW w:type="auto" w:w="0"/>
                  <w:shd w:val="clear" w:color="auto" w:fill="F0F0F0"/>
                </w:tcPr>
                <w:p>
                  <w:pPr>
                    <w:pStyle w:val="Normal"/>
                    <w:keepLines w:val="on"/>
                  </w:pPr>
                  <w:r>
                    <w:t>25,91%</w:t>
                  </w:r>
                </w:p>
              </w:tc>
            </w:tr>
            <w:tr>
              <w:tc>
                <w:tcPr>
                  <w:tcW w:type="auto" w:w="0"/>
                  <w:shd w:val="clear" w:color="auto" w:fill="F0F0F0"/>
                </w:tcPr>
                <w:p>
                  <w:pPr>
                    <w:pStyle w:val="Para 02"/>
                    <w:keepLines w:val="on"/>
                  </w:pPr>
                  <w:r>
                    <w:t>Vốn chủ sở hữu/vốn</w:t>
                  </w:r>
                </w:p>
              </w:tc>
              <w:tc>
                <w:tcPr>
                  <w:tcW w:type="auto" w:w="0"/>
                  <w:shd w:val="clear" w:color="auto" w:fill="F0F0F0"/>
                </w:tcPr>
                <w:p>
                  <w:pPr>
                    <w:pStyle w:val="Normal"/>
                    <w:keepLines w:val="on"/>
                  </w:pPr>
                  <w:r>
                    <w:t>43,80%</w:t>
                  </w:r>
                </w:p>
              </w:tc>
              <w:tc>
                <w:tcPr>
                  <w:tcW w:type="auto" w:w="0"/>
                  <w:shd w:val="clear" w:color="auto" w:fill="F0F0F0"/>
                </w:tcPr>
                <w:p>
                  <w:pPr>
                    <w:pStyle w:val="Normal"/>
                    <w:keepLines w:val="on"/>
                  </w:pPr>
                  <w:r>
                    <w:t>48,72%</w:t>
                  </w:r>
                </w:p>
              </w:tc>
              <w:tc>
                <w:tcPr>
                  <w:tcW w:type="auto" w:w="0"/>
                  <w:shd w:val="clear" w:color="auto" w:fill="F0F0F0"/>
                </w:tcPr>
                <w:p>
                  <w:pPr>
                    <w:pStyle w:val="Normal"/>
                    <w:keepLines w:val="on"/>
                  </w:pPr>
                  <w:r>
                    <w:t>54,89%</w:t>
                  </w:r>
                </w:p>
              </w:tc>
              <w:tc>
                <w:tcPr>
                  <w:tcW w:type="auto" w:w="0"/>
                  <w:shd w:val="clear" w:color="auto" w:fill="F0F0F0"/>
                </w:tcPr>
                <w:p>
                  <w:pPr>
                    <w:pStyle w:val="Normal"/>
                    <w:keepLines w:val="on"/>
                  </w:pPr>
                  <w:r>
                    <w:t>60,64%</w:t>
                  </w:r>
                </w:p>
              </w:tc>
              <w:tc>
                <w:tcPr>
                  <w:tcW w:type="auto" w:w="0"/>
                  <w:shd w:val="clear" w:color="auto" w:fill="F0F0F0"/>
                </w:tcPr>
                <w:p>
                  <w:pPr>
                    <w:pStyle w:val="Normal"/>
                    <w:keepLines w:val="on"/>
                  </w:pPr>
                  <w:r>
                    <w:t>65,79%</w:t>
                  </w:r>
                </w:p>
              </w:tc>
              <w:tc>
                <w:tcPr>
                  <w:tcW w:type="auto" w:w="0"/>
                  <w:shd w:val="clear" w:color="auto" w:fill="F0F0F0"/>
                </w:tcPr>
                <w:p>
                  <w:pPr>
                    <w:pStyle w:val="Normal"/>
                    <w:keepLines w:val="on"/>
                  </w:pPr>
                  <w:r>
                    <w:t>70,88%</w:t>
                  </w:r>
                </w:p>
              </w:tc>
            </w:tr>
            <w:tr>
              <w:tc>
                <w:tcPr>
                  <w:tcW w:type="auto" w:w="0"/>
                  <w:shd w:val="clear" w:color="auto" w:fill="F0F0F0"/>
                </w:tcPr>
                <w:p>
                  <w:pPr>
                    <w:pStyle w:val="Para 02"/>
                    <w:keepLines w:val="on"/>
                  </w:pPr>
                  <w:r>
                    <w:t>Cổ phiếu ưu đãi/vốn</w:t>
                  </w:r>
                </w:p>
              </w:tc>
              <w:tc>
                <w:tcPr>
                  <w:tcW w:type="auto" w:w="0"/>
                  <w:shd w:val="clear" w:color="auto" w:fill="F0F0F0"/>
                </w:tcPr>
                <w:p>
                  <w:pPr>
                    <w:pStyle w:val="Normal"/>
                    <w:keepLines w:val="on"/>
                  </w:pPr>
                  <w:r>
                    <w:t>4,17%</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3,80%</w:t>
                  </w:r>
                </w:p>
              </w:tc>
              <w:tc>
                <w:tcPr>
                  <w:tcW w:type="auto" w:w="0"/>
                  <w:shd w:val="clear" w:color="auto" w:fill="F0F0F0"/>
                </w:tcPr>
                <w:p>
                  <w:pPr>
                    <w:pStyle w:val="Normal"/>
                    <w:keepLines w:val="on"/>
                  </w:pPr>
                  <w:r>
                    <w:t>3,60%</w:t>
                  </w:r>
                </w:p>
              </w:tc>
              <w:tc>
                <w:tcPr>
                  <w:tcW w:type="auto" w:w="0"/>
                  <w:shd w:val="clear" w:color="auto" w:fill="F0F0F0"/>
                </w:tcPr>
                <w:p>
                  <w:pPr>
                    <w:pStyle w:val="Normal"/>
                    <w:keepLines w:val="on"/>
                  </w:pPr>
                  <w:r>
                    <w:t>3,42%</w:t>
                  </w:r>
                </w:p>
              </w:tc>
              <w:tc>
                <w:tcPr>
                  <w:tcW w:type="auto" w:w="0"/>
                  <w:shd w:val="clear" w:color="auto" w:fill="F0F0F0"/>
                </w:tcPr>
                <w:p>
                  <w:pPr>
                    <w:pStyle w:val="Normal"/>
                    <w:keepLines w:val="on"/>
                  </w:pPr>
                  <w:r>
                    <w:t>3,21%</w:t>
                  </w:r>
                </w:p>
              </w:tc>
            </w:tr>
            <w:tr>
              <w:tc>
                <w:tcPr>
                  <w:tcW w:type="auto" w:w="0"/>
                  <w:shd w:val="clear" w:color="auto" w:fill="F0F0F0"/>
                </w:tcPr>
                <w:p>
                  <w:pPr>
                    <w:pStyle w:val="Para 02"/>
                    <w:keepLines w:val="on"/>
                  </w:pPr>
                  <w:r>
                    <w:t>Beta</w:t>
                  </w:r>
                </w:p>
              </w:tc>
              <w:tc>
                <w:tcPr>
                  <w:tcW w:type="auto" w:w="0"/>
                  <w:shd w:val="clear" w:color="auto" w:fill="F0F0F0"/>
                </w:tcPr>
                <w:p>
                  <w:pPr>
                    <w:pStyle w:val="Normal"/>
                    <w:keepLines w:val="on"/>
                  </w:pPr>
                  <w:r>
                    <w:t>2,02547</w:t>
                  </w:r>
                </w:p>
              </w:tc>
              <w:tc>
                <w:tcPr>
                  <w:tcW w:type="auto" w:w="0"/>
                  <w:shd w:val="clear" w:color="auto" w:fill="F0F0F0"/>
                </w:tcPr>
                <w:p>
                  <w:pPr>
                    <w:pStyle w:val="Normal"/>
                    <w:keepLines w:val="on"/>
                  </w:pPr>
                  <w:r>
                    <w:t>1,87988</w:t>
                  </w:r>
                </w:p>
              </w:tc>
              <w:tc>
                <w:tcPr>
                  <w:tcW w:type="auto" w:w="0"/>
                  <w:shd w:val="clear" w:color="auto" w:fill="F0F0F0"/>
                </w:tcPr>
                <w:p>
                  <w:pPr>
                    <w:pStyle w:val="Normal"/>
                    <w:keepLines w:val="on"/>
                  </w:pPr>
                  <w:r>
                    <w:t>1,73426</w:t>
                  </w:r>
                </w:p>
              </w:tc>
              <w:tc>
                <w:tcPr>
                  <w:tcW w:type="auto" w:w="0"/>
                  <w:shd w:val="clear" w:color="auto" w:fill="F0F0F0"/>
                </w:tcPr>
                <w:p>
                  <w:pPr>
                    <w:pStyle w:val="Normal"/>
                    <w:keepLines w:val="on"/>
                  </w:pPr>
                  <w:r>
                    <w:t>1,62501</w:t>
                  </w:r>
                </w:p>
              </w:tc>
              <w:tc>
                <w:tcPr>
                  <w:tcW w:type="auto" w:w="0"/>
                  <w:shd w:val="clear" w:color="auto" w:fill="F0F0F0"/>
                </w:tcPr>
                <w:p>
                  <w:pPr>
                    <w:pStyle w:val="Normal"/>
                    <w:keepLines w:val="on"/>
                  </w:pPr>
                  <w:r>
                    <w:t>1,54349</w:t>
                  </w:r>
                </w:p>
              </w:tc>
              <w:tc>
                <w:tcPr>
                  <w:tcW w:type="auto" w:w="0"/>
                  <w:shd w:val="clear" w:color="auto" w:fill="F0F0F0"/>
                </w:tcPr>
                <w:p>
                  <w:pPr>
                    <w:pStyle w:val="Normal"/>
                    <w:keepLines w:val="on"/>
                  </w:pPr>
                  <w:r>
                    <w:t>1,4745</w:t>
                  </w:r>
                </w:p>
              </w:tc>
            </w:tr>
            <w:tr>
              <w:tc>
                <w:tcPr>
                  <w:tcW w:type="auto" w:w="0"/>
                  <w:shd w:val="clear" w:color="auto" w:fill="F0F0F0"/>
                </w:tcPr>
                <w:p>
                  <w:pPr>
                    <w:pStyle w:val="Para 02"/>
                    <w:keepLines w:val="on"/>
                  </w:pPr>
                  <w:r>
                    <w:t>Chi phí vốn cổ phần</w:t>
                  </w:r>
                </w:p>
              </w:tc>
              <w:tc>
                <w:tcPr>
                  <w:tcW w:type="auto" w:w="0"/>
                  <w:shd w:val="clear" w:color="auto" w:fill="F0F0F0"/>
                </w:tcPr>
                <w:p>
                  <w:pPr>
                    <w:pStyle w:val="Normal"/>
                    <w:keepLines w:val="on"/>
                  </w:pPr>
                  <w:r>
                    <w:t>20,64%</w:t>
                  </w:r>
                </w:p>
              </w:tc>
              <w:tc>
                <w:tcPr>
                  <w:tcW w:type="auto" w:w="0"/>
                  <w:shd w:val="clear" w:color="auto" w:fill="F0F0F0"/>
                </w:tcPr>
                <w:p>
                  <w:pPr>
                    <w:pStyle w:val="Normal"/>
                    <w:keepLines w:val="on"/>
                  </w:pPr>
                  <w:r>
                    <w:t>19,84%</w:t>
                  </w:r>
                </w:p>
              </w:tc>
              <w:tc>
                <w:tcPr>
                  <w:tcW w:type="auto" w:w="0"/>
                  <w:shd w:val="clear" w:color="auto" w:fill="F0F0F0"/>
                </w:tcPr>
                <w:p>
                  <w:pPr>
                    <w:pStyle w:val="Normal"/>
                    <w:keepLines w:val="on"/>
                  </w:pPr>
                  <w:r>
                    <w:t>19,04%</w:t>
                  </w:r>
                </w:p>
              </w:tc>
              <w:tc>
                <w:tcPr>
                  <w:tcW w:type="auto" w:w="0"/>
                  <w:shd w:val="clear" w:color="auto" w:fill="F0F0F0"/>
                </w:tcPr>
                <w:p>
                  <w:pPr>
                    <w:pStyle w:val="Normal"/>
                    <w:keepLines w:val="on"/>
                  </w:pPr>
                  <w:r>
                    <w:t>18,44%</w:t>
                  </w:r>
                </w:p>
              </w:tc>
              <w:tc>
                <w:tcPr>
                  <w:tcW w:type="auto" w:w="0"/>
                  <w:shd w:val="clear" w:color="auto" w:fill="F0F0F0"/>
                </w:tcPr>
                <w:p>
                  <w:pPr>
                    <w:pStyle w:val="Normal"/>
                    <w:keepLines w:val="on"/>
                  </w:pPr>
                  <w:r>
                    <w:t>17,99%</w:t>
                  </w:r>
                </w:p>
              </w:tc>
              <w:tc>
                <w:tcPr>
                  <w:tcW w:type="auto" w:w="0"/>
                  <w:shd w:val="clear" w:color="auto" w:fill="F0F0F0"/>
                </w:tcPr>
                <w:p>
                  <w:pPr>
                    <w:pStyle w:val="Normal"/>
                    <w:keepLines w:val="on"/>
                  </w:pPr>
                  <w:r>
                    <w:t>17,61%</w:t>
                  </w:r>
                </w:p>
              </w:tc>
            </w:tr>
            <w:tr>
              <w:tc>
                <w:tcPr>
                  <w:tcW w:type="auto" w:w="0"/>
                  <w:shd w:val="clear" w:color="auto" w:fill="F0F0F0"/>
                </w:tcPr>
                <w:p>
                  <w:pPr>
                    <w:pStyle w:val="Para 02"/>
                    <w:keepLines w:val="on"/>
                  </w:pPr>
                  <w:r>
                    <w:t>Chi phí nợ sau thuế</w:t>
                  </w:r>
                </w:p>
              </w:tc>
              <w:tc>
                <w:tcPr>
                  <w:tcW w:type="auto" w:w="0"/>
                  <w:shd w:val="clear" w:color="auto" w:fill="F0F0F0"/>
                </w:tcPr>
                <w:p>
                  <w:pPr>
                    <w:pStyle w:val="Normal"/>
                    <w:keepLines w:val="on"/>
                  </w:pPr>
                  <w:r>
                    <w:t>6,53%</w:t>
                  </w:r>
                </w:p>
              </w:tc>
              <w:tc>
                <w:tcPr>
                  <w:tcW w:type="auto" w:w="0"/>
                  <w:shd w:val="clear" w:color="auto" w:fill="F0F0F0"/>
                </w:tcPr>
                <w:p>
                  <w:pPr>
                    <w:pStyle w:val="Normal"/>
                    <w:keepLines w:val="on"/>
                  </w:pPr>
                  <w:r>
                    <w:t>6,53%</w:t>
                  </w:r>
                </w:p>
              </w:tc>
              <w:tc>
                <w:tcPr>
                  <w:tcW w:type="auto" w:w="0"/>
                  <w:shd w:val="clear" w:color="auto" w:fill="F0F0F0"/>
                </w:tcPr>
                <w:p>
                  <w:pPr>
                    <w:pStyle w:val="Normal"/>
                    <w:keepLines w:val="on"/>
                  </w:pPr>
                  <w:r>
                    <w:t>6,53%</w:t>
                  </w:r>
                </w:p>
              </w:tc>
              <w:tc>
                <w:tcPr>
                  <w:tcW w:type="auto" w:w="0"/>
                  <w:shd w:val="clear" w:color="auto" w:fill="F0F0F0"/>
                </w:tcPr>
                <w:p>
                  <w:pPr>
                    <w:pStyle w:val="Normal"/>
                    <w:keepLines w:val="on"/>
                  </w:pPr>
                  <w:r>
                    <w:t>6,53%</w:t>
                  </w:r>
                </w:p>
              </w:tc>
              <w:tc>
                <w:tcPr>
                  <w:tcW w:type="auto" w:w="0"/>
                  <w:shd w:val="clear" w:color="auto" w:fill="F0F0F0"/>
                </w:tcPr>
                <w:p>
                  <w:pPr>
                    <w:pStyle w:val="Normal"/>
                    <w:keepLines w:val="on"/>
                  </w:pPr>
                  <w:r>
                    <w:t>6,53%</w:t>
                  </w:r>
                </w:p>
              </w:tc>
              <w:tc>
                <w:tcPr>
                  <w:tcW w:type="auto" w:w="0"/>
                  <w:shd w:val="clear" w:color="auto" w:fill="F0F0F0"/>
                </w:tcPr>
                <w:p>
                  <w:pPr>
                    <w:pStyle w:val="Normal"/>
                    <w:keepLines w:val="on"/>
                  </w:pPr>
                  <w:r>
                    <w:t>5,00%</w:t>
                  </w:r>
                </w:p>
              </w:tc>
            </w:tr>
            <w:tr>
              <w:tc>
                <w:tcPr>
                  <w:tcW w:type="auto" w:w="0"/>
                  <w:shd w:val="clear" w:color="auto" w:fill="F0F0F0"/>
                </w:tcPr>
                <w:p>
                  <w:pPr>
                    <w:pStyle w:val="Para 02"/>
                    <w:keepLines w:val="on"/>
                  </w:pPr>
                  <w:r>
                    <w:t>Chi phí cổ phiếu ưu đãi</w:t>
                  </w:r>
                </w:p>
              </w:tc>
              <w:tc>
                <w:tcPr>
                  <w:tcW w:type="auto" w:w="0"/>
                  <w:shd w:val="clear" w:color="auto" w:fill="F0F0F0"/>
                </w:tcPr>
                <w:p>
                  <w:pPr>
                    <w:pStyle w:val="Normal"/>
                    <w:keepLines w:val="on"/>
                  </w:pPr>
                  <w:r>
                    <w:t>13,51%</w:t>
                  </w:r>
                </w:p>
              </w:tc>
              <w:tc>
                <w:tcPr>
                  <w:tcW w:type="auto" w:w="0"/>
                  <w:shd w:val="clear" w:color="auto" w:fill="F0F0F0"/>
                </w:tcPr>
                <w:p>
                  <w:pPr>
                    <w:pStyle w:val="Normal"/>
                    <w:keepLines w:val="on"/>
                  </w:pPr>
                  <w:r>
                    <w:t>13,51%</w:t>
                  </w:r>
                </w:p>
              </w:tc>
              <w:tc>
                <w:tcPr>
                  <w:tcW w:type="auto" w:w="0"/>
                  <w:shd w:val="clear" w:color="auto" w:fill="F0F0F0"/>
                </w:tcPr>
                <w:p>
                  <w:pPr>
                    <w:pStyle w:val="Normal"/>
                    <w:keepLines w:val="on"/>
                  </w:pPr>
                  <w:r>
                    <w:t>13,51%</w:t>
                  </w:r>
                </w:p>
              </w:tc>
              <w:tc>
                <w:tcPr>
                  <w:tcW w:type="auto" w:w="0"/>
                  <w:shd w:val="clear" w:color="auto" w:fill="F0F0F0"/>
                </w:tcPr>
                <w:p>
                  <w:pPr>
                    <w:pStyle w:val="Normal"/>
                    <w:keepLines w:val="on"/>
                  </w:pPr>
                  <w:r>
                    <w:t>13,51%</w:t>
                  </w:r>
                </w:p>
              </w:tc>
              <w:tc>
                <w:tcPr>
                  <w:tcW w:type="auto" w:w="0"/>
                  <w:shd w:val="clear" w:color="auto" w:fill="F0F0F0"/>
                </w:tcPr>
                <w:p>
                  <w:pPr>
                    <w:pStyle w:val="Normal"/>
                    <w:keepLines w:val="on"/>
                  </w:pPr>
                  <w:r>
                    <w:t>13,51%</w:t>
                  </w:r>
                </w:p>
              </w:tc>
              <w:tc>
                <w:tcPr>
                  <w:tcW w:type="auto" w:w="0"/>
                  <w:shd w:val="clear" w:color="auto" w:fill="F0F0F0"/>
                </w:tcPr>
                <w:p>
                  <w:pPr>
                    <w:pStyle w:val="Normal"/>
                    <w:keepLines w:val="on"/>
                  </w:pPr>
                  <w:r>
                    <w:t>13,51%</w:t>
                  </w:r>
                </w:p>
              </w:tc>
            </w:tr>
            <w:tr>
              <w:tc>
                <w:tcPr>
                  <w:tcW w:type="auto" w:w="0"/>
                  <w:shd w:val="clear" w:color="auto" w:fill="F0F0F0"/>
                </w:tcPr>
                <w:p>
                  <w:pPr>
                    <w:pStyle w:val="Para 02"/>
                    <w:keepLines w:val="on"/>
                  </w:pPr>
                  <w:r>
                    <w:t>Chi phí vốn</w:t>
                  </w:r>
                </w:p>
              </w:tc>
              <w:tc>
                <w:tcPr>
                  <w:tcW w:type="auto" w:w="0"/>
                  <w:shd w:val="clear" w:color="auto" w:fill="F0F0F0"/>
                </w:tcPr>
                <w:p>
                  <w:pPr>
                    <w:pStyle w:val="Normal"/>
                    <w:keepLines w:val="on"/>
                  </w:pPr>
                  <w:r>
                    <w:t>13,00%</w:t>
                  </w:r>
                </w:p>
              </w:tc>
              <w:tc>
                <w:tcPr>
                  <w:tcW w:type="auto" w:w="0"/>
                  <w:shd w:val="clear" w:color="auto" w:fill="F0F0F0"/>
                </w:tcPr>
                <w:p>
                  <w:pPr>
                    <w:pStyle w:val="Normal"/>
                    <w:keepLines w:val="on"/>
                  </w:pPr>
                  <w:r>
                    <w:t>13,29%</w:t>
                  </w:r>
                </w:p>
              </w:tc>
              <w:tc>
                <w:tcPr>
                  <w:tcW w:type="auto" w:w="0"/>
                  <w:shd w:val="clear" w:color="auto" w:fill="F0F0F0"/>
                </w:tcPr>
                <w:p>
                  <w:pPr>
                    <w:pStyle w:val="Normal"/>
                    <w:keepLines w:val="on"/>
                  </w:pPr>
                  <w:r>
                    <w:t>13,66%</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14,31%</w:t>
                  </w:r>
                </w:p>
              </w:tc>
              <w:tc>
                <w:tcPr>
                  <w:tcW w:type="auto" w:w="0"/>
                  <w:shd w:val="clear" w:color="auto" w:fill="F0F0F0"/>
                </w:tcPr>
                <w:p>
                  <w:pPr>
                    <w:pStyle w:val="Normal"/>
                    <w:keepLines w:val="on"/>
                  </w:pPr>
                  <w:r>
                    <w:t>14,21%</w:t>
                  </w:r>
                </w:p>
              </w:tc>
            </w:tr>
          </w:tbl>
          <w:p/>
        </w:tc>
      </w:tr>
    </w:tbl>
    <w:p>
      <w:pPr>
        <w:pStyle w:val="Para 04"/>
        <w:keepLines w:val="on"/>
      </w:pPr>
      <w:r>
        <w:t>Một cách tiếp cận khác để ước tính vốn chủ sở hữu mà không cần lặp đi lặp lại hay lập luận vòng tròn là sử dụng giá trị sổ sách của vốn chủ sở hữu, thay vì giá trị thị trường ước tính, để tính các tỷ lệ nợ trên vốn chủ sở hữu.12</w:t>
      </w:r>
    </w:p>
    <w:p>
      <w:pPr>
        <w:pStyle w:val="Para 04"/>
        <w:keepLines w:val="on"/>
      </w:pPr>
      <w:r>
        <w:t>Dòng tiền cho doanh nghiệp và chi phí vốn trong năm cuối cùng (1985), kết hợp với tốc độ tăng trưởng kỳ vọng 8% được dùng để ước tính giá trị cuối cùng của doanh nghiệp (vào cuối năm 1984):</w:t>
      </w:r>
    </w:p>
    <w:p>
      <w:bookmarkStart w:id="5402" w:name="Terminal_value_of_the_firm1984_F"/>
      <w:pPr>
        <w:keepNext/>
        <w:pStyle w:val="Para 07"/>
        <w:keepLines w:val="on"/>
      </w:pPr>
      <w:r>
        <w:t>Giá trị cuối cùng của doanh nghiệp năm 1984=FCFF1985(Chi phí vốn năm 1985-Tốc độ tăng trưởng kỳ vọng)=$72,09(0,1421-0,08)=$1.161 triệu</w:t>
      </w:r>
      <w:bookmarkEnd w:id="5402"/>
    </w:p>
    <w:p>
      <w:pPr>
        <w:pStyle w:val="Para 04"/>
        <w:keepLines w:val="on"/>
      </w:pPr>
      <w:r>
        <w:t>Dòng tiền kỳ vọng dành cho doanh nghiệp và giá trị cuối kỳ đã được chiết khấu về hiện tại theo chi phí vốn, cho ra giá trị hiện tại là 820,21 triệu đô la.13 Vì việc mua lại Congoleum chỉ tốn 470,6 triệu đô la, thương vụ này tạo ra giá trị cho các nhà đầu tư đi mua.</w:t>
      </w:r>
    </w:p>
    <w:p>
      <w:pPr>
        <w:pStyle w:val="Para 11"/>
      </w:pPr>
      <w:r>
        <w:t/>
        <w:t xml:space="preserve"> </w:t>
      </w:r>
    </w:p>
    <w:p>
      <w:bookmarkStart w:id="5405" w:name="merglbo_xls__This_spreadsheet_en"/>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35"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5405"/>
    </w:p>
    <w:p>
      <w:pPr>
        <w:pStyle w:val="Para 31"/>
        <w:keepLines w:val="on"/>
      </w:pPr>
      <w:r>
        <w:t>merglbo.xls: Bảng tính này cho phép bạn đánh giá dòng tiền và giá trị của một thương vụ mua lại có đòn bẩy</w:t>
      </w:r>
    </w:p>
    <w:p>
      <w:pPr>
        <w:pStyle w:val="Para 03"/>
        <w:keepLines w:val="on"/>
      </w:pPr>
      <w:r>
        <w:t>.</w:t>
      </w:r>
    </w:p>
    <w:p>
      <w:bookmarkStart w:id="5406" w:name="Conclusion_24"/>
      <w:bookmarkStart w:id="5407" w:name="Conclusion__Acquisitions_take_se"/>
      <w:pPr>
        <w:keepNext/>
        <w:pStyle w:val="Heading 2"/>
        <w:keepLines w:val="on"/>
      </w:pPr>
      <w:r>
        <w:t>Kết luận</w:t>
      </w:r>
      <w:bookmarkEnd w:id="5406"/>
      <w:bookmarkEnd w:id="5407"/>
    </w:p>
    <w:p>
      <w:pPr>
        <w:pStyle w:val="Para 03"/>
      </w:pPr>
      <w:r>
        <w:t>Các thương vụ mua lại có nhiều hình thức khác nhau và xảy ra vì nhiều lý do khác nhau. Có thể phân loại các thương vụ mua lại dựa trên điều gì xảy ra với công ty mục tiêu sau khi mua lại. Công ty mục tiêu có thể được hợp nhất vào bên đi mua (sáp nhập), tạo ra một thực thể mới kết hợp với công ty đi mua, hoặc vẫn độc lập (mua lại toàn bộ).</w:t>
      </w:r>
    </w:p>
    <w:p>
      <w:pPr>
        <w:pStyle w:val="Para 03"/>
      </w:pPr>
      <w:r>
        <w:t>Có bốn bước trong việc phân tích các thương vụ mua lại. Thứ nhất, chúng ta xác định lý do của việc mua lại và liệt kê năm lý do: công ty mục tiêu bị định giá thấp, lợi ích từ việc đa dạng hóa, tiềm năng tạo hiệu ứng cộng hưởng (synergy), giá trị được tạo ra nhờ thay đổi cách điều hành công ty mục tiêu, và lợi ích riêng của ban quản lý. Thứ hai, chúng ta chọn một công ty mục tiêu có những đặc điểm khiến nó trở thành ứng viên tốt nhất, dựa trên động cơ đã chọn ở bước đầu tiên. Thứ ba, chúng ta định giá công ty mục tiêu, giả định rằng nó sẽ tiếp tục được điều hành bởi các nhà quản lý hiện tại, rồi định giá lại nó với giả định có ban quản lý tốt hơn. Chúng ta định nghĩa phần chênh lệch giữa hai giá trị này là giá trị của quyền kiểm soát (value of control). Chúng ta cũng định giá từng nguồn hiệu ứng cộng hưởng hoạt động và tài chính khác nhau, và coi giá trị kết hợp là giá trị của tổng hiệu ứng cộng hưởng (value of total synergy). Thứ tư, chúng ta xem xét cơ chế của thương vụ mua lại. Chúng ta xem xét công ty đi mua nên cân nhắc trả bao nhiêu, dựa trên giá trị đã ước tính ở bước trước cho công ty mục tiêu, bao gồm cả lợi ích từ quyền kiểm soát và hiệu ứng cộng hưởng. Chúng ta cũng xem xét liệu thương vụ nên được tài trợ bằng tiền mặt hay cổ phiếu, và việc lựa chọn cách hạch toán kế toán cho thương vụ ảnh hưởng đến lựa chọn này như thế nào.</w:t>
      </w:r>
    </w:p>
    <w:p>
      <w:pPr>
        <w:pStyle w:val="Para 03"/>
      </w:pPr>
      <w:r>
        <w:t>Các thương vụ mua lại toàn bộ (buyout) có một số đặc điểm chung với các thương vụ mua lại thông thường, nhưng chúng cũng khác biệt ở vài điểm quan trọng. Việc không có công ty đi mua, việc chính các nhà quản lý của công ty là người mua nó, và việc chuyển công ty bị mua thành một doanh nghiệp tư nhân đều có những hàm ý đối với giá trị. Nếu thương vụ mua lại toàn bộ được tài trợ chủ yếu bằng nợ, biến nó thành một thương vụ mua lại có đòn bẩy (leveraged buyout), thì tỷ lệ nợ sẽ thay đổi trong những năm tiếp theo, dẫn đến những thay đổi về chi phí vốn cổ phần, chi phí nợ và chi phí vốn trong những năm đó.</w:t>
      </w:r>
    </w:p>
    <w:p>
      <w:pPr>
        <w:pStyle w:val="Para 20"/>
      </w:pPr>
      <w:r>
        <w:rPr>
          <w:rStyle w:val="Text26"/>
        </w:rPr>
        <w:bookmarkStart w:id="5408" w:name="Page_833"/>
        <w:t/>
        <w:bookmarkEnd w:id="5408"/>
      </w:r>
      <w:r>
        <w:t xml:space="preserve"> </w:t>
      </w:r>
    </w:p>
    <w:p>
      <w:bookmarkStart w:id="5409" w:name="QUESTIONS_AND_SHORT_PROBLEMS__In"/>
      <w:bookmarkStart w:id="5410" w:name="QUESTIONS_AND_SHORT_PROBLEMS"/>
      <w:pPr>
        <w:keepNext/>
        <w:pStyle w:val="Heading 2"/>
        <w:keepLines w:val="on"/>
      </w:pPr>
      <w:r>
        <w:t>CÂU HỎI VÀ BÀI TẬP NGẮN</w:t>
      </w:r>
      <w:bookmarkEnd w:id="5409"/>
      <w:bookmarkEnd w:id="5410"/>
    </w:p>
    <w:p>
      <w:pPr>
        <w:pStyle w:val="Para 44"/>
      </w:pPr>
      <w:r>
        <w:t>Trong các bài tập sau đây, hãy sử dụng mức bù rủi ro vốn cổ phần (equity risk premium) là 5,5 phần trăm nếu không có quy định nào khác.</w:t>
      </w:r>
    </w:p>
    <w:p>
      <w:pPr>
        <w:numPr>
          <w:ilvl w:val="0"/>
          <w:numId w:val="289"/>
        </w:numPr>
        <w:pStyle w:val="Para 01"/>
      </w:pPr>
      <w:r>
        <w:t>Sau đây là thông tin chi tiết của hai ứng viên sáp nhập tiềm năng, Northrop và Grumman, vào năm 1993:</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Northrop</w:t>
                  </w:r>
                </w:p>
              </w:tc>
              <w:tc>
                <w:tcPr>
                  <w:tcW w:type="auto" w:w="0"/>
                  <w:shd w:val="clear" w:color="auto" w:fill="F0F0F0"/>
                </w:tcPr>
                <w:p>
                  <w:pPr>
                    <w:pStyle w:val="Para 05"/>
                    <w:keepLines w:val="on"/>
                  </w:pPr>
                  <w:r>
                    <w:t>Grumman</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$4.400,00</w:t>
                  </w:r>
                </w:p>
              </w:tc>
              <w:tc>
                <w:tcPr>
                  <w:tcW w:type="auto" w:w="0"/>
                  <w:shd w:val="clear" w:color="auto" w:fill="F0F0F0"/>
                </w:tcPr>
                <w:p>
                  <w:pPr>
                    <w:pStyle w:val="Normal"/>
                    <w:keepLines w:val="on"/>
                  </w:pPr>
                  <w:r>
                    <w:t>$3.125,00</w:t>
                  </w:r>
                </w:p>
              </w:tc>
            </w:tr>
            <w:tr>
              <w:tc>
                <w:tcPr>
                  <w:tcW w:type="auto" w:w="0"/>
                  <w:shd w:val="clear" w:color="auto" w:fill="F0F0F0"/>
                </w:tcPr>
                <w:p>
                  <w:pPr>
                    <w:pStyle w:val="Para 02"/>
                    <w:keepLines w:val="on"/>
                  </w:pPr>
                  <w:r>
                    <w:t>Giá vốn hàng bán (không tính khấu hao)</w:t>
                  </w:r>
                </w:p>
              </w:tc>
              <w:tc>
                <w:tcPr>
                  <w:tcW w:type="auto" w:w="0"/>
                  <w:shd w:val="clear" w:color="auto" w:fill="F0F0F0"/>
                </w:tcPr>
                <w:p>
                  <w:pPr>
                    <w:pStyle w:val="Normal"/>
                    <w:keepLines w:val="on"/>
                  </w:pPr>
                  <w:r>
                    <w:t>87,50%</w:t>
                  </w:r>
                </w:p>
              </w:tc>
              <w:tc>
                <w:tcPr>
                  <w:tcW w:type="auto" w:w="0"/>
                  <w:shd w:val="clear" w:color="auto" w:fill="F0F0F0"/>
                </w:tcPr>
                <w:p>
                  <w:pPr>
                    <w:pStyle w:val="Normal"/>
                    <w:keepLines w:val="on"/>
                  </w:pPr>
                  <w:r>
                    <w:t>89,00%</w:t>
                  </w:r>
                </w:p>
              </w:tc>
            </w:tr>
            <w:tr>
              <w:tc>
                <w:tcPr>
                  <w:tcW w:type="auto" w:w="0"/>
                  <w:shd w:val="clear" w:color="auto" w:fill="F0F0F0"/>
                </w:tcPr>
                <w:p>
                  <w:pPr>
                    <w:pStyle w:val="Para 02"/>
                    <w:keepLines w:val="on"/>
                  </w:pPr>
                  <w:r>
                    <w:t>Khấu hao</w:t>
                  </w:r>
                </w:p>
              </w:tc>
              <w:tc>
                <w:tcPr>
                  <w:tcW w:type="auto" w:w="0"/>
                  <w:shd w:val="clear" w:color="auto" w:fill="F0F0F0"/>
                </w:tcPr>
                <w:p>
                  <w:pPr>
                    <w:pStyle w:val="Normal"/>
                    <w:keepLines w:val="on"/>
                  </w:pPr>
                  <w:r>
                    <w:t>$200,00</w:t>
                  </w:r>
                </w:p>
              </w:tc>
              <w:tc>
                <w:tcPr>
                  <w:tcW w:type="auto" w:w="0"/>
                  <w:shd w:val="clear" w:color="auto" w:fill="F0F0F0"/>
                </w:tcPr>
                <w:p>
                  <w:pPr>
                    <w:pStyle w:val="Normal"/>
                    <w:keepLines w:val="on"/>
                  </w:pPr>
                  <w:r>
                    <w:t>$74,00</w:t>
                  </w:r>
                </w:p>
              </w:tc>
            </w:tr>
            <w:tr>
              <w:tc>
                <w:tcPr>
                  <w:tcW w:type="auto" w:w="0"/>
                  <w:shd w:val="clear" w:color="auto" w:fill="F0F0F0"/>
                </w:tcPr>
                <w:p>
                  <w:pPr>
                    <w:pStyle w:val="Para 02"/>
                    <w:keepLines w:val="on"/>
                  </w:pPr>
                  <w:r>
                    <w:t>Thuế suất</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35,00%</w:t>
                  </w:r>
                </w:p>
              </w:tc>
            </w:tr>
            <w:tr>
              <w:tc>
                <w:tcPr>
                  <w:tcW w:type="auto" w:w="0"/>
                  <w:shd w:val="clear" w:color="auto" w:fill="F0F0F0"/>
                </w:tcPr>
                <w:p>
                  <w:pPr>
                    <w:pStyle w:val="Para 02"/>
                    <w:keepLines w:val="on"/>
                  </w:pPr>
                  <w:r>
                    <w:t>Vốn lưu động</w:t>
                  </w:r>
                </w:p>
              </w:tc>
              <w:tc>
                <w:tcPr>
                  <w:tcW w:type="auto" w:w="0"/>
                  <w:shd w:val="clear" w:color="auto" w:fill="F0F0F0"/>
                </w:tcPr>
                <w:p>
                  <w:pPr>
                    <w:pStyle w:val="Normal"/>
                    <w:keepLines w:val="on"/>
                  </w:pPr>
                  <w:r>
                    <w:t>10% doanh thu</w:t>
                  </w:r>
                </w:p>
              </w:tc>
              <w:tc>
                <w:tcPr>
                  <w:tcW w:type="auto" w:w="0"/>
                  <w:shd w:val="clear" w:color="auto" w:fill="F0F0F0"/>
                </w:tcPr>
                <w:p>
                  <w:pPr>
                    <w:pStyle w:val="Normal"/>
                    <w:keepLines w:val="on"/>
                  </w:pPr>
                  <w:r>
                    <w:t>10% doanh thu</w:t>
                  </w:r>
                </w:p>
              </w:tc>
            </w:tr>
            <w:tr>
              <w:tc>
                <w:tcPr>
                  <w:tcW w:type="auto" w:w="0"/>
                  <w:shd w:val="clear" w:color="auto" w:fill="F0F0F0"/>
                </w:tcPr>
                <w:p>
                  <w:pPr>
                    <w:pStyle w:val="Para 02"/>
                    <w:keepLines w:val="on"/>
                  </w:pPr>
                  <w:r>
                    <w:t>Giá trị thị trường của vốn chủ sở hữu</w:t>
                  </w:r>
                </w:p>
              </w:tc>
              <w:tc>
                <w:tcPr>
                  <w:tcW w:type="auto" w:w="0"/>
                  <w:shd w:val="clear" w:color="auto" w:fill="F0F0F0"/>
                </w:tcPr>
                <w:p>
                  <w:pPr>
                    <w:pStyle w:val="Normal"/>
                    <w:keepLines w:val="on"/>
                  </w:pPr>
                  <w:r>
                    <w:t>$2,000.00</w:t>
                  </w:r>
                </w:p>
              </w:tc>
              <w:tc>
                <w:tcPr>
                  <w:tcW w:type="auto" w:w="0"/>
                  <w:shd w:val="clear" w:color="auto" w:fill="F0F0F0"/>
                </w:tcPr>
                <w:p>
                  <w:pPr>
                    <w:pStyle w:val="Normal"/>
                    <w:keepLines w:val="on"/>
                  </w:pPr>
                  <w:r>
                    <w:t>$1,300.00</w:t>
                  </w:r>
                </w:p>
              </w:tc>
            </w:tr>
            <w:tr>
              <w:tc>
                <w:tcPr>
                  <w:tcW w:type="auto" w:w="0"/>
                  <w:shd w:val="clear" w:color="auto" w:fill="F0F0F0"/>
                </w:tcPr>
                <w:p>
                  <w:pPr>
                    <w:pStyle w:val="Para 02"/>
                    <w:keepLines w:val="on"/>
                  </w:pPr>
                  <w:r>
                    <w:t>Nợ chưa thanh toán</w:t>
                  </w:r>
                </w:p>
              </w:tc>
              <w:tc>
                <w:tcPr>
                  <w:tcW w:type="auto" w:w="0"/>
                  <w:shd w:val="clear" w:color="auto" w:fill="F0F0F0"/>
                </w:tcPr>
                <w:p>
                  <w:pPr>
                    <w:pStyle w:val="Normal"/>
                    <w:keepLines w:val="on"/>
                  </w:pPr>
                  <w:r>
                    <w:t>$160.00</w:t>
                  </w:r>
                </w:p>
              </w:tc>
              <w:tc>
                <w:tcPr>
                  <w:tcW w:type="auto" w:w="0"/>
                  <w:shd w:val="clear" w:color="auto" w:fill="F0F0F0"/>
                </w:tcPr>
                <w:p>
                  <w:pPr>
                    <w:pStyle w:val="Normal"/>
                    <w:keepLines w:val="on"/>
                  </w:pPr>
                  <w:r>
                    <w:t>$250.00</w:t>
                  </w:r>
                </w:p>
              </w:tc>
            </w:tr>
          </w:tbl>
          <w:p/>
        </w:tc>
      </w:tr>
    </w:tbl>
    <w:p>
      <w:pPr>
        <w:pStyle w:val="Para 03"/>
      </w:pPr>
      <w:r>
        <w:t>Cả hai công ty được kỳ vọng sẽ tăng trưởng 5% mỗi năm mãi mãi. Chi tiêu vốn được kỳ vọng bằng 20% khấu hao. Beta của cả hai công ty là 1, và cả hai đều được xếp hạng BBB, với lãi suất trên nợ là 8,5% (Lãi suất trái phiếu kho bạc là 7%, và phần bù rủi ro là 5,5%.)</w:t>
      </w:r>
    </w:p>
    <w:p>
      <w:pPr>
        <w:pStyle w:val="Para 03"/>
      </w:pPr>
      <w:r>
        <w:t>Do kết quả của việc sáp nhập, công ty hợp nhất được kỳ vọng sẽ có giá vốn hàng bán chỉ bằng 86% tổng doanh thu. Công ty hợp nhất không có kế hoạch vay thêm nợ.</w:t>
      </w:r>
    </w:p>
    <w:p>
      <w:pPr>
        <w:numPr>
          <w:ilvl w:val="1"/>
          <w:numId w:val="289"/>
        </w:numPr>
        <w:pStyle w:val="Para 01"/>
      </w:pPr>
      <w:r>
        <w:t>Ước tính giá trị của Grumman, hoạt động độc lập.</w:t>
      </w:r>
    </w:p>
    <w:p>
      <w:pPr>
        <w:numPr>
          <w:ilvl w:val="1"/>
          <w:numId w:val="289"/>
        </w:numPr>
        <w:pStyle w:val="Para 01"/>
      </w:pPr>
      <w:r>
        <w:t>Ước tính giá trị của Northrop, hoạt động độc lập.</w:t>
      </w:r>
    </w:p>
    <w:p>
      <w:pPr>
        <w:numPr>
          <w:ilvl w:val="1"/>
          <w:numId w:val="289"/>
        </w:numPr>
        <w:pStyle w:val="Para 01"/>
      </w:pPr>
      <w:r>
        <w:t>Ước tính giá trị của công ty hợp nhất, không có hiệu ứng cộng hưởng.</w:t>
      </w:r>
    </w:p>
    <w:p>
      <w:pPr>
        <w:numPr>
          <w:ilvl w:val="1"/>
          <w:numId w:val="289"/>
        </w:numPr>
        <w:pStyle w:val="Para 01"/>
      </w:pPr>
      <w:r>
        <w:t>Ước tính giá trị của công ty hợp nhất, có hiệu ứng cộng hưởng.</w:t>
      </w:r>
    </w:p>
    <w:p>
      <w:pPr>
        <w:numPr>
          <w:ilvl w:val="1"/>
          <w:numId w:val="289"/>
        </w:numPr>
        <w:pStyle w:val="Para 01"/>
      </w:pPr>
      <w:r>
        <w:t>Hiệu ứng cộng hưởng hoạt động đáng giá bao nhiêu?</w:t>
      </w:r>
    </w:p>
    <w:p>
      <w:pPr>
        <w:numPr>
          <w:ilvl w:val="0"/>
          <w:numId w:val="289"/>
        </w:numPr>
        <w:pStyle w:val="Para 01"/>
      </w:pPr>
      <w:r>
        <w:t>Trong ví dụ Grumman-Northrop được mô tả ở câu hỏi trước, công ty hợp nhất đã không nhận thêm nợ sau khi mua lại. Giả sử rằng do kết quả của việc sáp nhập, tỷ lệ nợ tối ưu của công ty tăng lên 20% tổng vốn so với mức hiện tại. (Ở mức nợ đó, công ty hợp nhất sẽ có xếp hạng A, với lãi suất trên nợ là 8%.) Nếu không tăng nợ, xếp hạng của công ty hợp nhất sẽ là A+ (với lãi suất 7,75%).</w:t>
      </w:r>
    </w:p>
    <w:p>
      <w:pPr>
        <w:numPr>
          <w:ilvl w:val="1"/>
          <w:numId w:val="289"/>
        </w:numPr>
        <w:pStyle w:val="Para 01"/>
      </w:pPr>
      <w:r>
        <w:t>Ước tính giá trị của công ty hợp nhất nếu nó giữ nguyên tỷ lệ nợ hiện tại.</w:t>
      </w:r>
    </w:p>
    <w:p>
      <w:pPr>
        <w:numPr>
          <w:ilvl w:val="1"/>
          <w:numId w:val="289"/>
        </w:numPr>
        <w:pStyle w:val="Para 01"/>
      </w:pPr>
      <w:r>
        <w:t>Ước tính giá trị của công ty hợp nhất nếu nó chuyển sang tỷ lệ nợ tối ưu.</w:t>
      </w:r>
    </w:p>
    <w:p>
      <w:pPr>
        <w:numPr>
          <w:ilvl w:val="1"/>
          <w:numId w:val="289"/>
        </w:numPr>
        <w:pStyle w:val="Para 01"/>
      </w:pPr>
      <w:r>
        <w:t>Ai được hưởng giá trị tăng thêm này nếu công ty chuyển sang tỷ lệ nợ tối ưu?</w:t>
      </w:r>
    </w:p>
    <w:p>
      <w:pPr>
        <w:numPr>
          <w:ilvl w:val="0"/>
          <w:numId w:val="289"/>
        </w:numPr>
        <w:pStyle w:val="Para 01"/>
      </w:pPr>
      <w:r>
        <w:t>Vào tháng 4 năm 1994, Novell, Inc. công bố kế hoạch mua lại WordPerfect Corporation với giá 1,4 tỷ đô la. Vào thời điểm mua lại, thông tin liên quan về hai công ty như sau:</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Novell</w:t>
                  </w:r>
                </w:p>
              </w:tc>
              <w:tc>
                <w:tcPr>
                  <w:tcW w:type="auto" w:w="0"/>
                  <w:shd w:val="clear" w:color="auto" w:fill="F0F0F0"/>
                </w:tcPr>
                <w:p>
                  <w:pPr>
                    <w:pStyle w:val="Para 05"/>
                    <w:keepLines w:val="on"/>
                  </w:pPr>
                  <w:r>
                    <w:t>WordPerfect</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$1,200.00</w:t>
                  </w:r>
                </w:p>
              </w:tc>
              <w:tc>
                <w:tcPr>
                  <w:tcW w:type="auto" w:w="0"/>
                  <w:shd w:val="clear" w:color="auto" w:fill="F0F0F0"/>
                </w:tcPr>
                <w:p>
                  <w:pPr>
                    <w:pStyle w:val="Normal"/>
                    <w:keepLines w:val="on"/>
                  </w:pPr>
                  <w:r>
                    <w:t>$600.00</w:t>
                  </w:r>
                </w:p>
              </w:tc>
            </w:tr>
            <w:tr>
              <w:tc>
                <w:tcPr>
                  <w:tcW w:type="auto" w:w="0"/>
                  <w:shd w:val="clear" w:color="auto" w:fill="F0F0F0"/>
                </w:tcPr>
                <w:p>
                  <w:pPr>
                    <w:pStyle w:val="Para 02"/>
                    <w:keepLines w:val="on"/>
                  </w:pPr>
                  <w:r>
                    <w:t>Giá vốn hàng bán (không tính khấu hao)</w:t>
                  </w:r>
                </w:p>
              </w:tc>
              <w:tc>
                <w:tcPr>
                  <w:tcW w:type="auto" w:w="0"/>
                  <w:shd w:val="clear" w:color="auto" w:fill="F0F0F0"/>
                </w:tcPr>
                <w:p>
                  <w:pPr>
                    <w:pStyle w:val="Normal"/>
                    <w:keepLines w:val="on"/>
                  </w:pPr>
                  <w:r>
                    <w:t>57,00%</w:t>
                  </w:r>
                </w:p>
              </w:tc>
              <w:tc>
                <w:tcPr>
                  <w:tcW w:type="auto" w:w="0"/>
                  <w:shd w:val="clear" w:color="auto" w:fill="F0F0F0"/>
                </w:tcPr>
                <w:p>
                  <w:pPr>
                    <w:pStyle w:val="Normal"/>
                    <w:keepLines w:val="on"/>
                  </w:pPr>
                  <w:r>
                    <w:t>75,00%</w:t>
                  </w:r>
                </w:p>
              </w:tc>
            </w:tr>
            <w:tr>
              <w:tc>
                <w:tcPr>
                  <w:tcW w:type="auto" w:w="0"/>
                  <w:shd w:val="clear" w:color="auto" w:fill="F0F0F0"/>
                </w:tcPr>
                <w:p>
                  <w:pPr>
                    <w:pStyle w:val="Para 02"/>
                    <w:keepLines w:val="on"/>
                  </w:pPr>
                  <w:r>
                    <w:t>Khấu hao</w:t>
                  </w:r>
                </w:p>
              </w:tc>
              <w:tc>
                <w:tcPr>
                  <w:tcW w:type="auto" w:w="0"/>
                  <w:shd w:val="clear" w:color="auto" w:fill="F0F0F0"/>
                </w:tcPr>
                <w:p>
                  <w:pPr>
                    <w:pStyle w:val="Normal"/>
                    <w:keepLines w:val="on"/>
                  </w:pPr>
                  <w:r>
                    <w:t>$42,00</w:t>
                  </w:r>
                </w:p>
              </w:tc>
              <w:tc>
                <w:tcPr>
                  <w:tcW w:type="auto" w:w="0"/>
                  <w:shd w:val="clear" w:color="auto" w:fill="F0F0F0"/>
                </w:tcPr>
                <w:p>
                  <w:pPr>
                    <w:pStyle w:val="Normal"/>
                    <w:keepLines w:val="on"/>
                  </w:pPr>
                  <w:r>
                    <w:t>$25,00</w:t>
                  </w:r>
                </w:p>
              </w:tc>
            </w:tr>
            <w:tr>
              <w:tc>
                <w:tcPr>
                  <w:tcW w:type="auto" w:w="0"/>
                  <w:shd w:val="clear" w:color="auto" w:fill="F0F0F0"/>
                </w:tcPr>
                <w:p>
                  <w:pPr>
                    <w:pStyle w:val="Para 02"/>
                    <w:keepLines w:val="on"/>
                  </w:pPr>
                  <w:r>
                    <w:t>Thuế suất</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35,00%</w:t>
                  </w:r>
                </w:p>
              </w:tc>
            </w:tr>
            <w:tr>
              <w:tc>
                <w:tcPr>
                  <w:tcW w:type="auto" w:w="0"/>
                  <w:shd w:val="clear" w:color="auto" w:fill="F0F0F0"/>
                </w:tcPr>
                <w:p>
                  <w:pPr>
                    <w:pStyle w:val="Para 02"/>
                    <w:keepLines w:val="on"/>
                  </w:pPr>
                  <w:r>
                    <w:t>Chi tiêu vốn</w:t>
                  </w:r>
                </w:p>
              </w:tc>
              <w:tc>
                <w:tcPr>
                  <w:tcW w:type="auto" w:w="0"/>
                  <w:shd w:val="clear" w:color="auto" w:fill="F0F0F0"/>
                </w:tcPr>
                <w:p>
                  <w:pPr>
                    <w:pStyle w:val="Normal"/>
                    <w:keepLines w:val="on"/>
                  </w:pPr>
                  <w:r>
                    <w:t>$75,00</w:t>
                  </w:r>
                </w:p>
              </w:tc>
              <w:tc>
                <w:tcPr>
                  <w:tcW w:type="auto" w:w="0"/>
                  <w:shd w:val="clear" w:color="auto" w:fill="F0F0F0"/>
                </w:tcPr>
                <w:p>
                  <w:pPr>
                    <w:pStyle w:val="Normal"/>
                    <w:keepLines w:val="on"/>
                  </w:pPr>
                  <w:r>
                    <w:t>$40,00</w:t>
                  </w:r>
                </w:p>
              </w:tc>
            </w:tr>
            <w:tr>
              <w:tc>
                <w:tcPr>
                  <w:tcW w:type="auto" w:w="0"/>
                  <w:shd w:val="clear" w:color="auto" w:fill="F0F0F0"/>
                </w:tcPr>
                <w:p>
                  <w:pPr>
                    <w:pStyle w:val="Para 02"/>
                    <w:keepLines w:val="on"/>
                  </w:pPr>
                  <w:r>
                    <w:t>Vốn lưu động (theo % doanh thu)</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30,00%</w:t>
                  </w:r>
                </w:p>
              </w:tc>
            </w:tr>
            <w:tr>
              <w:tc>
                <w:tcPr>
                  <w:tcW w:type="auto" w:w="0"/>
                  <w:shd w:val="clear" w:color="auto" w:fill="F0F0F0"/>
                </w:tcPr>
                <w:p>
                  <w:pPr>
                    <w:pStyle w:val="Para 02"/>
                    <w:keepLines w:val="on"/>
                  </w:pPr>
                  <w:r>
                    <w:t>Beta</w:t>
                  </w:r>
                </w:p>
              </w:tc>
              <w:tc>
                <w:tcPr>
                  <w:tcW w:type="auto" w:w="0"/>
                  <w:shd w:val="clear" w:color="auto" w:fill="F0F0F0"/>
                </w:tcPr>
                <w:p>
                  <w:pPr>
                    <w:pStyle w:val="Normal"/>
                    <w:keepLines w:val="on"/>
                  </w:pPr>
                  <w:r>
                    <w:t>1,45</w:t>
                  </w:r>
                </w:p>
              </w:tc>
              <w:tc>
                <w:tcPr>
                  <w:tcW w:type="auto" w:w="0"/>
                  <w:shd w:val="clear" w:color="auto" w:fill="F0F0F0"/>
                </w:tcPr>
                <w:p>
                  <w:pPr>
                    <w:pStyle w:val="Normal"/>
                    <w:keepLines w:val="on"/>
                  </w:pPr>
                  <w:r>
                    <w:t>1,25</w:t>
                  </w:r>
                </w:p>
              </w:tc>
            </w:tr>
            <w:tr>
              <w:tc>
                <w:tcPr>
                  <w:tcW w:type="auto" w:w="0"/>
                  <w:shd w:val="clear" w:color="auto" w:fill="F0F0F0"/>
                </w:tcPr>
                <w:p>
                  <w:pPr>
                    <w:pStyle w:val="Para 02"/>
                    <w:keepLines w:val="on"/>
                  </w:pPr>
                  <w:r>
                    <w:t>Tốc độ tăng trưởng kỳ vọng của doanh thu/EBIT</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15,00%</w:t>
                  </w:r>
                </w:p>
              </w:tc>
            </w:tr>
            <w:tr>
              <w:tc>
                <w:tcPr>
                  <w:tcW w:type="auto" w:w="0"/>
                  <w:shd w:val="clear" w:color="auto" w:fill="F0F0F0"/>
                </w:tcPr>
                <w:p>
                  <w:pPr>
                    <w:pStyle w:val="Para 02"/>
                    <w:keepLines w:val="on"/>
                  </w:pPr>
                  <w:r>
                    <w:t>Thời gian tăng trưởng cao kỳ vọng</w:t>
                  </w:r>
                </w:p>
              </w:tc>
              <w:tc>
                <w:tcPr>
                  <w:tcW w:type="auto" w:w="0"/>
                  <w:shd w:val="clear" w:color="auto" w:fill="F0F0F0"/>
                </w:tcPr>
                <w:p>
                  <w:pPr>
                    <w:pStyle w:val="Normal"/>
                    <w:keepLines w:val="on"/>
                  </w:pPr>
                  <w:r>
                    <w:t>10 năm</w:t>
                  </w:r>
                </w:p>
              </w:tc>
              <w:tc>
                <w:tcPr>
                  <w:tcW w:type="auto" w:w="0"/>
                  <w:shd w:val="clear" w:color="auto" w:fill="F0F0F0"/>
                </w:tcPr>
                <w:p>
                  <w:pPr>
                    <w:pStyle w:val="Normal"/>
                    <w:keepLines w:val="on"/>
                  </w:pPr>
                  <w:r>
                    <w:t>10 năm</w:t>
                  </w:r>
                </w:p>
              </w:tc>
            </w:tr>
            <w:tr>
              <w:tc>
                <w:tcPr>
                  <w:tcW w:type="auto" w:w="0"/>
                  <w:shd w:val="clear" w:color="auto" w:fill="F0F0F0"/>
                </w:tcPr>
                <w:p>
                  <w:pPr>
                    <w:pStyle w:val="Para 02"/>
                    <w:keepLines w:val="on"/>
                  </w:pPr>
                  <w:r>
                    <w:t>Tốc độ tăng trưởng sau giai đoạn tăng trưởng cao</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6,00%</w:t>
                  </w:r>
                </w:p>
              </w:tc>
            </w:tr>
            <w:tr>
              <w:tc>
                <w:tcPr>
                  <w:tcW w:type="auto" w:w="0"/>
                  <w:shd w:val="clear" w:color="auto" w:fill="F0F0F0"/>
                </w:tcPr>
                <w:p>
                  <w:pPr>
                    <w:pStyle w:val="Para 02"/>
                    <w:keepLines w:val="on"/>
                  </w:pPr>
                  <w:r>
                    <w:t>Beta sau giai đoạn tăng trưởng cao</w:t>
                  </w:r>
                </w:p>
              </w:tc>
              <w:tc>
                <w:tcPr>
                  <w:tcW w:type="auto" w:w="0"/>
                  <w:shd w:val="clear" w:color="auto" w:fill="F0F0F0"/>
                </w:tcPr>
                <w:p>
                  <w:pPr>
                    <w:pStyle w:val="Normal"/>
                    <w:keepLines w:val="on"/>
                  </w:pPr>
                  <w:r>
                    <w:t>1,10</w:t>
                  </w:r>
                </w:p>
              </w:tc>
              <w:tc>
                <w:tcPr>
                  <w:tcW w:type="auto" w:w="0"/>
                  <w:shd w:val="clear" w:color="auto" w:fill="F0F0F0"/>
                </w:tcPr>
                <w:p>
                  <w:pPr>
                    <w:pStyle w:val="Normal"/>
                    <w:keepLines w:val="on"/>
                  </w:pPr>
                  <w:r>
                    <w:t>1,10</w:t>
                  </w:r>
                </w:p>
              </w:tc>
            </w:tr>
          </w:tbl>
          <w:p/>
        </w:tc>
      </w:tr>
    </w:tbl>
    <w:p>
      <w:pPr>
        <w:pStyle w:val="Para 03"/>
      </w:pPr>
      <w:r>
        <w:t>Chi tiêu vốn sẽ bằng 115% khấu hao sau giai đoạn tăng trưởng cao. Cả hai công ty đều không có nợ chưa thanh toán. Lãi suất trái phiếu kho bạc là 7%.</w:t>
      </w:r>
    </w:p>
    <w:p>
      <w:pPr>
        <w:numPr>
          <w:ilvl w:val="1"/>
          <w:numId w:val="289"/>
        </w:numPr>
        <w:pStyle w:val="Para 01"/>
      </w:pPr>
      <w:r>
        <w:t>Ước tính giá trị của Novell nếu hoạt động độc lập.</w:t>
      </w:r>
    </w:p>
    <w:p>
      <w:pPr>
        <w:numPr>
          <w:ilvl w:val="1"/>
          <w:numId w:val="289"/>
        </w:numPr>
        <w:pStyle w:val="Para 01"/>
      </w:pPr>
      <w:r>
        <w:t>Ước tính giá trị của WordPerfect nếu hoạt động độc lập.</w:t>
      </w:r>
    </w:p>
    <w:p>
      <w:pPr>
        <w:numPr>
          <w:ilvl w:val="1"/>
          <w:numId w:val="289"/>
        </w:numPr>
        <w:pStyle w:val="Para 01"/>
      </w:pPr>
      <w:r>
        <w:t>Ước tính giá trị của công ty hợp nhất, không có hiệu ứng cộng hưởng (synergy).</w:t>
      </w:r>
    </w:p>
    <w:p>
      <w:pPr>
        <w:numPr>
          <w:ilvl w:val="1"/>
          <w:numId w:val="289"/>
        </w:numPr>
        <w:pStyle w:val="Para 01"/>
      </w:pPr>
      <w:r>
        <w:t>Do kết quả của việc sáp nhập, công ty hợp nhất được kỳ vọng sẽ tăng trưởng 24% mỗi năm trong giai đoạn tăng trưởng cao. Ước tính giá trị của công ty hợp nhất với mức tăng trưởng cao hơn này.</w:t>
      </w:r>
    </w:p>
    <w:p>
      <w:pPr>
        <w:numPr>
          <w:ilvl w:val="1"/>
          <w:numId w:val="289"/>
        </w:numPr>
        <w:pStyle w:val="Para 01"/>
      </w:pPr>
      <w:r>
        <w:t>Hiệu ứng cộng hưởng đáng giá bao nhiêu? Mức giá tối đa mà Novell có thể trả cho WordPerfect là bao nhiêu?</w:t>
      </w:r>
    </w:p>
    <w:p>
      <w:pPr>
        <w:numPr>
          <w:ilvl w:val="0"/>
          <w:numId w:val="289"/>
        </w:numPr>
        <w:pStyle w:val="Para 01"/>
      </w:pPr>
      <w:r>
        <w:t>Giả sử, trong thương vụ sáp nhập Novell-WordPerfect được mô tả ở câu hỏi trước, phải mất năm năm để hai công ty giải quyết xong những khác biệt và bắt đầu hiện thực hóa lợi ích cộng hưởng. Trong hoàn cảnh này, hiệu ứng cộng hưởng đáng giá bao nhiêu?</w:t>
      </w:r>
    </w:p>
    <w:p>
      <w:pPr>
        <w:numPr>
          <w:ilvl w:val="0"/>
          <w:numId w:val="289"/>
        </w:numPr>
        <w:pStyle w:val="Para 01"/>
      </w:pPr>
      <w:r>
        <w:t>Năm 1996, Aetna, một tên tuổi hàng đầu trong lĩnh vực bảo hiểm sức khỏe, tuyên bố ý định thâu tóm U.S. Healthcare, tổ chức bảo trì sức khỏe (health maintenance organization) lớn nhất cả nước, và đưa ra lý do là hiệu ứng cộng hưởng. Khi công bố thương vụ sáp nhập, giá cổ phiếu của Aetna, vốn là 57 đô la, đã giảm xuống còn 52,50 đô la, trong khi giá cổ phiếu của U.S. Healthcare tăng vọt từ 31 đô la lên 37,50 đô la. Vào thời điểm công bố, Aetna có 400 triệu cổ phiếu và U.S. Healthcare có 50 triệu cổ phiếu đang lưu hành.</w:t>
      </w:r>
    </w:p>
    <w:p>
      <w:pPr>
        <w:numPr>
          <w:ilvl w:val="1"/>
          <w:numId w:val="289"/>
        </w:numPr>
        <w:pStyle w:val="Para 01"/>
      </w:pPr>
      <w:r>
        <w:t>Ước tính giá trị, nếu có, mà thị trường tài chính đang gán cho hiệu ứng cộng hưởng trong thương vụ sáp nhập này.</w:t>
      </w:r>
    </w:p>
    <w:p>
      <w:pPr>
        <w:numPr>
          <w:ilvl w:val="1"/>
          <w:numId w:val="289"/>
        </w:numPr>
        <w:pStyle w:val="Para 01"/>
      </w:pPr>
      <w:r>
        <w:t>Bạn sẽ dung hòa phản ứng của thị trường với lý do mà ban lãnh đạo đưa ra cho thương vụ thâu tóm như thế nào?</w:t>
      </w:r>
    </w:p>
    <w:p>
      <w:pPr>
        <w:numPr>
          <w:ilvl w:val="0"/>
          <w:numId w:val="289"/>
        </w:numPr>
        <w:pStyle w:val="Para 01"/>
      </w:pPr>
      <w:r>
        <w:t>IH Corporation, một nhà sản xuất thiết bị nông nghiệp, đã tích lũy gần 2 tỷ đô la thua lỗ trong bảy năm hoạt động vừa qua và đang đứng trước nguy cơ không thể chuyển lỗ sang kỳ sau. EG Corporation, một công ty dịch vụ tài chính cực kỳ sinh lời, với 3 tỷ đô la thu nhập chịu thuế trong năm gần nhất, đang cân nhắc thâu tóm IH Corporation. Cơ quan thuế sẽ cho phép EG Corporation bù trừ thu nhập chịu thuế của mình bằng khoản lỗ được chuyển sang. Thuế suất của EG Corporation là 40%, và chi phí vốn là 12%.</w:t>
      </w:r>
    </w:p>
    <w:p>
      <w:pPr>
        <w:numPr>
          <w:ilvl w:val="1"/>
          <w:numId w:val="289"/>
        </w:numPr>
        <w:pStyle w:val="Para 01"/>
      </w:pPr>
      <w:r>
        <w:t>Ước tính giá trị khoản tiết kiệm thuế sẽ phát sinh do kết quả của thương vụ sáp nhập.</w:t>
      </w:r>
    </w:p>
    <w:p>
      <w:pPr>
        <w:numPr>
          <w:ilvl w:val="1"/>
          <w:numId w:val="289"/>
        </w:numPr>
        <w:pStyle w:val="Para 01"/>
      </w:pPr>
      <w:r>
        <w:t>Giá trị khoản tiết kiệm thuế là bao nhiêu nếu cơ quan thuế cho phép EG Corporation phân bổ khoản lỗ được chuyển sang trong bốn năm (tức là cho phép 200 triệu đô la trong khoản lỗ được chuyển sang bù trừ thu nhập mỗi năm trong bốn năm tới)?</w:t>
      </w:r>
    </w:p>
    <w:p>
      <w:pPr>
        <w:numPr>
          <w:ilvl w:val="0"/>
          <w:numId w:val="289"/>
        </w:numPr>
        <w:pStyle w:val="Para 01"/>
      </w:pPr>
      <w:r>
        <w:t>Bạn đang cân nhắc thâu tóm PMT Corporation, một công ty đã hoạt động kém hiệu quả hơn đáng kể so với nhóm các công ty cùng ngành trong năm năm qua, và bạn muốn ước tính giá trị của quyền kiểm soát. Dữ liệu về PMT Corporation, nhóm cùng ngành, và công ty được quản lý tốt nhất trong nhóm như sau:</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PMT Corp</w:t>
                  </w:r>
                </w:p>
              </w:tc>
              <w:tc>
                <w:tcPr>
                  <w:tcW w:type="auto" w:w="0"/>
                  <w:shd w:val="clear" w:color="auto" w:fill="F0F0F0"/>
                </w:tcPr>
                <w:p>
                  <w:pPr>
                    <w:pStyle w:val="Para 05"/>
                    <w:keepLines w:val="on"/>
                  </w:pPr>
                  <w:r>
                    <w:t>Nhóm cùng ngành</w:t>
                  </w:r>
                </w:p>
              </w:tc>
              <w:tc>
                <w:tcPr>
                  <w:tcW w:type="auto" w:w="0"/>
                  <w:shd w:val="clear" w:color="auto" w:fill="F0F0F0"/>
                </w:tcPr>
                <w:p>
                  <w:pPr>
                    <w:pStyle w:val="Para 05"/>
                    <w:keepLines w:val="on"/>
                  </w:pPr>
                  <w:r>
                    <w:t>Công ty được quản lý tốt nhất</w:t>
                  </w:r>
                </w:p>
              </w:tc>
            </w:tr>
            <w:tr>
              <w:tc>
                <w:tcPr>
                  <w:tcW w:type="auto" w:w="0"/>
                  <w:shd w:val="clear" w:color="auto" w:fill="F0F0F0"/>
                </w:tcPr>
                <w:p>
                  <w:pPr>
                    <w:pStyle w:val="Para 02"/>
                    <w:keepLines w:val="on"/>
                  </w:pPr>
                  <w:r>
                    <w:t>Lợi nhuận trên tài sản (sau thuế)</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18,00%</w:t>
                  </w:r>
                </w:p>
              </w:tc>
            </w:tr>
            <w:tr>
              <w:tc>
                <w:tcPr>
                  <w:tcW w:type="auto" w:w="0"/>
                  <w:shd w:val="clear" w:color="auto" w:fill="F0F0F0"/>
                </w:tcPr>
                <w:p>
                  <w:pPr>
                    <w:pStyle w:val="Para 02"/>
                    <w:keepLines w:val="on"/>
                  </w:pPr>
                  <w:r>
                    <w:t>Tỷ lệ chi trả cổ tức</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30,00%</w:t>
                  </w:r>
                </w:p>
              </w:tc>
              <w:tc>
                <w:tcPr>
                  <w:tcW w:type="auto" w:w="0"/>
                  <w:shd w:val="clear" w:color="auto" w:fill="F0F0F0"/>
                </w:tcPr>
                <w:p>
                  <w:pPr>
                    <w:pStyle w:val="Normal"/>
                    <w:keepLines w:val="on"/>
                  </w:pPr>
                  <w:r>
                    <w:t>20,00%</w:t>
                  </w:r>
                </w:p>
              </w:tc>
            </w:tr>
            <w:tr>
              <w:tc>
                <w:tcPr>
                  <w:tcW w:type="auto" w:w="0"/>
                  <w:shd w:val="clear" w:color="auto" w:fill="F0F0F0"/>
                </w:tcPr>
                <w:p>
                  <w:pPr>
                    <w:pStyle w:val="Para 02"/>
                    <w:keepLines w:val="on"/>
                  </w:pPr>
                  <w:r>
                    <w:t>Tỷ lệ nợ trên vốn chủ sở hữu</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50,00%</w:t>
                  </w:r>
                </w:p>
              </w:tc>
            </w:tr>
            <w:tr>
              <w:tc>
                <w:tcPr>
                  <w:tcW w:type="auto" w:w="0"/>
                  <w:shd w:val="clear" w:color="auto" w:fill="F0F0F0"/>
                </w:tcPr>
                <w:p>
                  <w:pPr>
                    <w:pStyle w:val="Para 02"/>
                    <w:keepLines w:val="on"/>
                  </w:pPr>
                  <w:r>
                    <w:t>Lãi suất nợ</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8,00%</w:t>
                  </w:r>
                </w:p>
              </w:tc>
            </w:tr>
            <w:tr>
              <w:tc>
                <w:tcPr>
                  <w:tcW w:type="auto" w:w="0"/>
                  <w:shd w:val="clear" w:color="auto" w:fill="F0F0F0"/>
                </w:tcPr>
                <w:p>
                  <w:pPr>
                    <w:pStyle w:val="Para 02"/>
                    <w:keepLines w:val="on"/>
                  </w:pPr>
                  <w:r>
                    <w:t>Beta</w:t>
                  </w:r>
                </w:p>
              </w:tc>
              <w:tc>
                <w:tcPr>
                  <w:tcW w:type="auto" w:w="0"/>
                  <w:shd w:val="clear" w:color="auto" w:fill="F0F0F0"/>
                </w:tcPr>
                <w:p>
                  <w:pPr>
                    <w:pStyle w:val="Normal"/>
                    <w:keepLines w:val="on"/>
                  </w:pPr>
                  <w:r>
                    <w:t>Không có</w:t>
                  </w:r>
                </w:p>
              </w:tc>
              <w:tc>
                <w:tcPr>
                  <w:tcW w:type="auto" w:w="0"/>
                  <w:shd w:val="clear" w:color="auto" w:fill="F0F0F0"/>
                </w:tcPr>
                <w:p>
                  <w:pPr>
                    <w:pStyle w:val="Normal"/>
                    <w:keepLines w:val="on"/>
                  </w:pPr>
                  <w:r>
                    <w:t>1,30</w:t>
                  </w:r>
                </w:p>
              </w:tc>
              <w:tc>
                <w:tcPr>
                  <w:tcW w:type="auto" w:w="0"/>
                  <w:shd w:val="clear" w:color="auto" w:fill="F0F0F0"/>
                </w:tcPr>
                <w:p>
                  <w:pPr>
                    <w:pStyle w:val="Normal"/>
                    <w:keepLines w:val="on"/>
                  </w:pPr>
                  <w:r>
                    <w:t>1,30</w:t>
                  </w:r>
                </w:p>
              </w:tc>
            </w:tr>
          </w:tbl>
          <w:p/>
        </w:tc>
      </w:tr>
    </w:tbl>
    <w:p>
      <w:pPr>
        <w:pStyle w:val="Para 03"/>
      </w:pPr>
      <w:r>
        <w:t>PMT Corporation báo cáo thu nhập trên mỗi cổ phần là 2,50 đô la trong kỳ gần nhất và dự kiến sẽ đạt mức tăng trưởng ổn định trong vòng năm năm tới, sau đó tốc độ tăng trưởng dự kiến sẽ là 6% cho tất cả các công ty trong nhóm này. Beta trong giai đoạn tăng trưởng ổn định dự kiến sẽ là 1 cho tất cả các công ty. Có 100 triệu cổ phiếu đang lưu hành, và lãi suất trái phiếu kho bạc là 7% (thuế suất là 40% cho tất cả các công ty).</w:t>
      </w:r>
    </w:p>
    <w:p>
      <w:pPr>
        <w:numPr>
          <w:ilvl w:val="1"/>
          <w:numId w:val="289"/>
        </w:numPr>
        <w:pStyle w:val="Para 01"/>
      </w:pPr>
      <w:r>
        <w:t>Định giá vốn chủ sở hữu của PMT Corporation giả sử rằng ban lãnh đạo hiện tại tiếp tục tại vị.</w:t>
      </w:r>
    </w:p>
    <w:p>
      <w:pPr>
        <w:numPr>
          <w:ilvl w:val="1"/>
          <w:numId w:val="289"/>
        </w:numPr>
        <w:pStyle w:val="Para 01"/>
      </w:pPr>
      <w:r>
        <w:t>Định giá vốn chủ sở hữu của PMT Corporation giả sử rằng công ty cải thiện hiệu quả hoạt động của mình lên mức của nhóm các công ty cùng ngành.</w:t>
      </w:r>
    </w:p>
    <w:p>
      <w:pPr>
        <w:numPr>
          <w:ilvl w:val="1"/>
          <w:numId w:val="289"/>
        </w:numPr>
        <w:pStyle w:val="Para 01"/>
      </w:pPr>
      <w:r>
        <w:t>Định giá vốn chủ sở hữu của PMT Corporation giả sử rằng công ty cải thiện hiệu quả hoạt động của mình lên mức của công ty được quản lý tốt nhất trong nhóm.</w:t>
      </w:r>
    </w:p>
    <w:p>
      <w:pPr>
        <w:numPr>
          <w:ilvl w:val="0"/>
          <w:numId w:val="289"/>
        </w:numPr>
        <w:pStyle w:val="Para 01"/>
      </w:pPr>
      <w:r>
        <w:t>Bạn đang cố gắng thực hiện một thương vụ mua lại bằng vốn vay (leveraged buyout) đối với Boston Turkey nhưng đã gặp phải một số trở ngại. Bạn có một số báo cáo dòng tiền dự phóng đã hoàn thành một phần và cần giúp đỡ để hoàn thiện chúng.</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Năm 1</w:t>
                  </w:r>
                </w:p>
              </w:tc>
              <w:tc>
                <w:tcPr>
                  <w:tcW w:type="auto" w:w="0"/>
                  <w:shd w:val="clear" w:color="auto" w:fill="F0F0F0"/>
                </w:tcPr>
                <w:p>
                  <w:pPr>
                    <w:pStyle w:val="Para 05"/>
                    <w:keepLines w:val="on"/>
                  </w:pPr>
                  <w:r>
                    <w:t>Năm 2</w:t>
                  </w:r>
                </w:p>
              </w:tc>
              <w:tc>
                <w:tcPr>
                  <w:tcW w:type="auto" w:w="0"/>
                  <w:shd w:val="clear" w:color="auto" w:fill="F0F0F0"/>
                </w:tcPr>
                <w:p>
                  <w:pPr>
                    <w:pStyle w:val="Para 05"/>
                    <w:keepLines w:val="on"/>
                  </w:pPr>
                  <w:r>
                    <w:t>Năm 3</w:t>
                  </w:r>
                </w:p>
              </w:tc>
              <w:tc>
                <w:tcPr>
                  <w:tcW w:type="auto" w:w="0"/>
                  <w:shd w:val="clear" w:color="auto" w:fill="F0F0F0"/>
                </w:tcPr>
                <w:p>
                  <w:pPr>
                    <w:pStyle w:val="Para 05"/>
                    <w:keepLines w:val="on"/>
                  </w:pPr>
                  <w:r>
                    <w:t>Năm 4</w:t>
                  </w:r>
                </w:p>
              </w:tc>
              <w:tc>
                <w:tcPr>
                  <w:tcW w:type="auto" w:w="0"/>
                  <w:shd w:val="clear" w:color="auto" w:fill="F0F0F0"/>
                </w:tcPr>
                <w:p>
                  <w:pPr>
                    <w:pStyle w:val="Para 05"/>
                    <w:keepLines w:val="on"/>
                  </w:pPr>
                  <w:r>
                    <w:t>Năm 5</w:t>
                  </w:r>
                </w:p>
              </w:tc>
              <w:tc>
                <w:tcPr>
                  <w:tcW w:type="auto" w:w="0"/>
                  <w:shd w:val="clear" w:color="auto" w:fill="F0F0F0"/>
                </w:tcPr>
                <w:p>
                  <w:pPr>
                    <w:pStyle w:val="Para 05"/>
                    <w:keepLines w:val="on"/>
                  </w:pPr>
                  <w:r>
                    <w:t>Năm kết thúc</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$ 1,100,000</w:t>
                  </w:r>
                </w:p>
              </w:tc>
              <w:tc>
                <w:tcPr>
                  <w:tcW w:type="auto" w:w="0"/>
                  <w:shd w:val="clear" w:color="auto" w:fill="F0F0F0"/>
                </w:tcPr>
                <w:p>
                  <w:pPr>
                    <w:pStyle w:val="Normal"/>
                    <w:keepLines w:val="on"/>
                  </w:pPr>
                  <w:r>
                    <w:t>$ 1,210,000</w:t>
                  </w:r>
                </w:p>
              </w:tc>
              <w:tc>
                <w:tcPr>
                  <w:tcW w:type="auto" w:w="0"/>
                  <w:shd w:val="clear" w:color="auto" w:fill="F0F0F0"/>
                </w:tcPr>
                <w:p>
                  <w:pPr>
                    <w:pStyle w:val="Normal"/>
                    <w:keepLines w:val="on"/>
                  </w:pPr>
                  <w:r>
                    <w:t>$ 1,331,000</w:t>
                  </w:r>
                </w:p>
              </w:tc>
              <w:tc>
                <w:tcPr>
                  <w:tcW w:type="auto" w:w="0"/>
                  <w:shd w:val="clear" w:color="auto" w:fill="F0F0F0"/>
                </w:tcPr>
                <w:p>
                  <w:pPr>
                    <w:pStyle w:val="Normal"/>
                    <w:keepLines w:val="on"/>
                  </w:pPr>
                  <w:r>
                    <w:t>$ 1,464,100</w:t>
                  </w:r>
                </w:p>
              </w:tc>
              <w:tc>
                <w:tcPr>
                  <w:tcW w:type="auto" w:w="0"/>
                  <w:shd w:val="clear" w:color="auto" w:fill="F0F0F0"/>
                </w:tcPr>
                <w:p>
                  <w:pPr>
                    <w:pStyle w:val="Normal"/>
                    <w:keepLines w:val="on"/>
                  </w:pPr>
                  <w:r>
                    <w:t>$ 1,610,510</w:t>
                  </w:r>
                </w:p>
              </w:tc>
              <w:tc>
                <w:tcPr>
                  <w:tcW w:type="auto" w:w="0"/>
                  <w:shd w:val="clear" w:color="auto" w:fill="F0F0F0"/>
                </w:tcPr>
                <w:p>
                  <w:pPr>
                    <w:pStyle w:val="Normal"/>
                    <w:keepLines w:val="on"/>
                  </w:pPr>
                  <w:r>
                    <w:t>$ 1,707,141</w:t>
                  </w:r>
                </w:p>
              </w:tc>
            </w:tr>
            <w:tr>
              <w:tc>
                <w:tcPr>
                  <w:tcW w:type="auto" w:w="0"/>
                  <w:shd w:val="clear" w:color="auto" w:fill="F0F0F0"/>
                </w:tcPr>
                <w:p>
                  <w:pPr>
                    <w:pStyle w:val="Para 02"/>
                    <w:keepLines w:val="on"/>
                  </w:pPr>
                  <w:r>
                    <w:t>– Chi phí</w:t>
                  </w:r>
                </w:p>
              </w:tc>
              <w:tc>
                <w:tcPr>
                  <w:tcW w:type="auto" w:w="0"/>
                  <w:shd w:val="clear" w:color="auto" w:fill="F0F0F0"/>
                </w:tcPr>
                <w:p>
                  <w:pPr>
                    <w:pStyle w:val="Normal"/>
                    <w:keepLines w:val="on"/>
                  </w:pPr>
                  <w:r>
                    <w:t>$440,000</w:t>
                  </w:r>
                </w:p>
              </w:tc>
              <w:tc>
                <w:tcPr>
                  <w:tcW w:type="auto" w:w="0"/>
                  <w:shd w:val="clear" w:color="auto" w:fill="F0F0F0"/>
                </w:tcPr>
                <w:p>
                  <w:pPr>
                    <w:pStyle w:val="Normal"/>
                    <w:keepLines w:val="on"/>
                  </w:pPr>
                  <w:r>
                    <w:t>$484,000</w:t>
                  </w:r>
                </w:p>
              </w:tc>
              <w:tc>
                <w:tcPr>
                  <w:tcW w:type="auto" w:w="0"/>
                  <w:shd w:val="clear" w:color="auto" w:fill="F0F0F0"/>
                </w:tcPr>
                <w:p>
                  <w:pPr>
                    <w:pStyle w:val="Normal"/>
                    <w:keepLines w:val="on"/>
                  </w:pPr>
                  <w:r>
                    <w:t>$532,400</w:t>
                  </w:r>
                </w:p>
              </w:tc>
              <w:tc>
                <w:tcPr>
                  <w:tcW w:type="auto" w:w="0"/>
                  <w:shd w:val="clear" w:color="auto" w:fill="F0F0F0"/>
                </w:tcPr>
                <w:p>
                  <w:pPr>
                    <w:pStyle w:val="Normal"/>
                    <w:keepLines w:val="on"/>
                  </w:pPr>
                  <w:r>
                    <w:t>$585,640</w:t>
                  </w:r>
                </w:p>
              </w:tc>
              <w:tc>
                <w:tcPr>
                  <w:tcW w:type="auto" w:w="0"/>
                  <w:shd w:val="clear" w:color="auto" w:fill="F0F0F0"/>
                </w:tcPr>
                <w:p>
                  <w:pPr>
                    <w:pStyle w:val="Normal"/>
                    <w:keepLines w:val="on"/>
                  </w:pPr>
                  <w:r>
                    <w:t>$644,204</w:t>
                  </w:r>
                </w:p>
              </w:tc>
              <w:tc>
                <w:tcPr>
                  <w:tcW w:type="auto" w:w="0"/>
                  <w:shd w:val="clear" w:color="auto" w:fill="F0F0F0"/>
                </w:tcPr>
                <w:p>
                  <w:pPr>
                    <w:pStyle w:val="Normal"/>
                    <w:keepLines w:val="on"/>
                  </w:pPr>
                  <w:r>
                    <w:t>$682,856</w:t>
                  </w:r>
                </w:p>
              </w:tc>
            </w:tr>
            <w:tr>
              <w:tc>
                <w:tcPr>
                  <w:tcW w:type="auto" w:w="0"/>
                  <w:shd w:val="clear" w:color="auto" w:fill="F0F0F0"/>
                </w:tcPr>
                <w:p>
                  <w:pPr>
                    <w:pStyle w:val="Para 02"/>
                    <w:keepLines w:val="on"/>
                  </w:pPr>
                  <w:r>
                    <w:t>– Khấu hao</w:t>
                  </w:r>
                </w:p>
              </w:tc>
              <w:tc>
                <w:tcPr>
                  <w:tcW w:type="auto" w:w="0"/>
                  <w:shd w:val="clear" w:color="auto" w:fill="F0F0F0"/>
                </w:tcPr>
                <w:p>
                  <w:pPr>
                    <w:pStyle w:val="Normal"/>
                    <w:keepLines w:val="on"/>
                  </w:pPr>
                  <w:r>
                    <w:t>$100,000</w:t>
                  </w:r>
                </w:p>
              </w:tc>
              <w:tc>
                <w:tcPr>
                  <w:tcW w:type="auto" w:w="0"/>
                  <w:shd w:val="clear" w:color="auto" w:fill="F0F0F0"/>
                </w:tcPr>
                <w:p>
                  <w:pPr>
                    <w:pStyle w:val="Normal"/>
                    <w:keepLines w:val="on"/>
                  </w:pPr>
                  <w:r>
                    <w:t>$110,000</w:t>
                  </w:r>
                </w:p>
              </w:tc>
              <w:tc>
                <w:tcPr>
                  <w:tcW w:type="auto" w:w="0"/>
                  <w:shd w:val="clear" w:color="auto" w:fill="F0F0F0"/>
                </w:tcPr>
                <w:p>
                  <w:pPr>
                    <w:pStyle w:val="Normal"/>
                    <w:keepLines w:val="on"/>
                  </w:pPr>
                  <w:r>
                    <w:t>$121,000</w:t>
                  </w:r>
                </w:p>
              </w:tc>
              <w:tc>
                <w:tcPr>
                  <w:tcW w:type="auto" w:w="0"/>
                  <w:shd w:val="clear" w:color="auto" w:fill="F0F0F0"/>
                </w:tcPr>
                <w:p>
                  <w:pPr>
                    <w:pStyle w:val="Normal"/>
                    <w:keepLines w:val="on"/>
                  </w:pPr>
                  <w:r>
                    <w:t>$133,100</w:t>
                  </w:r>
                </w:p>
              </w:tc>
              <w:tc>
                <w:tcPr>
                  <w:tcW w:type="auto" w:w="0"/>
                  <w:shd w:val="clear" w:color="auto" w:fill="F0F0F0"/>
                </w:tcPr>
                <w:p>
                  <w:pPr>
                    <w:pStyle w:val="Normal"/>
                    <w:keepLines w:val="on"/>
                  </w:pPr>
                  <w:r>
                    <w:t>$146,410</w:t>
                  </w:r>
                </w:p>
              </w:tc>
              <w:tc>
                <w:tcPr>
                  <w:tcW w:type="auto" w:w="0"/>
                  <w:shd w:val="clear" w:color="auto" w:fill="F0F0F0"/>
                </w:tcPr>
                <w:p>
                  <w:pPr>
                    <w:pStyle w:val="Normal"/>
                    <w:keepLines w:val="on"/>
                  </w:pPr>
                  <w:r>
                    <w:t>$155,195</w:t>
                  </w:r>
                </w:p>
              </w:tc>
            </w:tr>
            <w:tr>
              <w:tc>
                <w:tcPr>
                  <w:tcW w:type="auto" w:w="0"/>
                  <w:shd w:val="clear" w:color="auto" w:fill="F0F0F0"/>
                </w:tcPr>
                <w:p>
                  <w:pPr>
                    <w:pStyle w:val="Para 02"/>
                    <w:keepLines w:val="on"/>
                  </w:pPr>
                  <w:r>
                    <w:t>= EBIT</w:t>
                  </w:r>
                </w:p>
              </w:tc>
              <w:tc>
                <w:tcPr>
                  <w:tcW w:type="auto" w:w="0"/>
                  <w:shd w:val="clear" w:color="auto" w:fill="F0F0F0"/>
                </w:tcPr>
                <w:p>
                  <w:pPr>
                    <w:pStyle w:val="Normal"/>
                    <w:keepLines w:val="on"/>
                  </w:pPr>
                  <w:r>
                    <w:t>$560.000</w:t>
                  </w:r>
                </w:p>
              </w:tc>
              <w:tc>
                <w:tcPr>
                  <w:tcW w:type="auto" w:w="0"/>
                  <w:shd w:val="clear" w:color="auto" w:fill="F0F0F0"/>
                </w:tcPr>
                <w:p>
                  <w:pPr>
                    <w:pStyle w:val="Normal"/>
                    <w:keepLines w:val="on"/>
                  </w:pPr>
                  <w:r>
                    <w:t>$616.000</w:t>
                  </w:r>
                </w:p>
              </w:tc>
              <w:tc>
                <w:tcPr>
                  <w:tcW w:type="auto" w:w="0"/>
                  <w:shd w:val="clear" w:color="auto" w:fill="F0F0F0"/>
                </w:tcPr>
                <w:p>
                  <w:pPr>
                    <w:pStyle w:val="Normal"/>
                    <w:keepLines w:val="on"/>
                  </w:pPr>
                  <w:r>
                    <w:t>$677.600</w:t>
                  </w:r>
                </w:p>
              </w:tc>
              <w:tc>
                <w:tcPr>
                  <w:tcW w:type="auto" w:w="0"/>
                  <w:shd w:val="clear" w:color="auto" w:fill="F0F0F0"/>
                </w:tcPr>
                <w:p>
                  <w:pPr>
                    <w:pStyle w:val="Normal"/>
                    <w:keepLines w:val="on"/>
                  </w:pPr>
                  <w:r>
                    <w:t>$745.360</w:t>
                  </w:r>
                </w:p>
              </w:tc>
              <w:tc>
                <w:tcPr>
                  <w:tcW w:type="auto" w:w="0"/>
                  <w:shd w:val="clear" w:color="auto" w:fill="F0F0F0"/>
                </w:tcPr>
                <w:p>
                  <w:pPr>
                    <w:pStyle w:val="Normal"/>
                    <w:keepLines w:val="on"/>
                  </w:pPr>
                  <w:r>
                    <w:t>$819.896</w:t>
                  </w:r>
                </w:p>
              </w:tc>
              <w:tc>
                <w:tcPr>
                  <w:tcW w:type="auto" w:w="0"/>
                  <w:shd w:val="clear" w:color="auto" w:fill="F0F0F0"/>
                </w:tcPr>
                <w:p>
                  <w:pPr>
                    <w:pStyle w:val="Normal"/>
                    <w:keepLines w:val="on"/>
                  </w:pPr>
                  <w:r>
                    <w:t>$869.090</w:t>
                  </w:r>
                </w:p>
              </w:tc>
            </w:tr>
            <w:tr>
              <w:tc>
                <w:tcPr>
                  <w:tcW w:type="auto" w:w="0"/>
                  <w:shd w:val="clear" w:color="auto" w:fill="F0F0F0"/>
                </w:tcPr>
                <w:p>
                  <w:pPr>
                    <w:pStyle w:val="Para 02"/>
                    <w:keepLines w:val="on"/>
                  </w:pPr>
                  <w:r>
                    <w:t>– Lãi vay</w:t>
                  </w:r>
                </w:p>
              </w:tc>
              <w:tc>
                <w:tcPr>
                  <w:tcW w:type="auto" w:w="0"/>
                  <w:shd w:val="clear" w:color="auto" w:fill="F0F0F0"/>
                </w:tcPr>
                <w:p>
                  <w:pPr>
                    <w:pStyle w:val="Normal"/>
                    <w:keepLines w:val="on"/>
                  </w:pPr>
                  <w:r>
                    <w:t>$360.000</w:t>
                  </w:r>
                </w:p>
              </w:tc>
              <w:tc>
                <w:tcPr>
                  <w:tcW w:type="auto" w:w="0"/>
                  <w:shd w:val="clear" w:color="auto" w:fill="F0F0F0"/>
                </w:tcPr>
                <w:p>
                  <w:pPr>
                    <w:pStyle w:val="Normal"/>
                    <w:keepLines w:val="on"/>
                  </w:pPr>
                  <w:r>
                    <w:t>$324.000</w:t>
                  </w:r>
                </w:p>
              </w:tc>
              <w:tc>
                <w:tcPr>
                  <w:tcW w:type="auto" w:w="0"/>
                  <w:shd w:val="clear" w:color="auto" w:fill="F0F0F0"/>
                </w:tcPr>
                <w:p>
                  <w:pPr>
                    <w:pStyle w:val="Normal"/>
                    <w:keepLines w:val="on"/>
                  </w:pPr>
                  <w:r>
                    <w:t>$288.000</w:t>
                  </w:r>
                </w:p>
              </w:tc>
              <w:tc>
                <w:tcPr>
                  <w:tcW w:type="auto" w:w="0"/>
                  <w:shd w:val="clear" w:color="auto" w:fill="F0F0F0"/>
                </w:tcPr>
                <w:p>
                  <w:pPr>
                    <w:pStyle w:val="Normal"/>
                    <w:keepLines w:val="on"/>
                  </w:pPr>
                  <w:r>
                    <w:t>$252.000</w:t>
                  </w:r>
                </w:p>
              </w:tc>
              <w:tc>
                <w:tcPr>
                  <w:tcW w:type="auto" w:w="0"/>
                  <w:shd w:val="clear" w:color="auto" w:fill="F0F0F0"/>
                </w:tcPr>
                <w:p>
                  <w:pPr>
                    <w:pStyle w:val="Normal"/>
                    <w:keepLines w:val="on"/>
                  </w:pPr>
                  <w:r>
                    <w:t>$216.000</w:t>
                  </w:r>
                </w:p>
              </w:tc>
              <w:tc>
                <w:tcPr>
                  <w:tcW w:type="auto" w:w="0"/>
                  <w:shd w:val="clear" w:color="auto" w:fill="F0F0F0"/>
                </w:tcPr>
                <w:p>
                  <w:pPr>
                    <w:pStyle w:val="Normal"/>
                    <w:keepLines w:val="on"/>
                  </w:pPr>
                  <w:r>
                    <w:t>$180.000</w:t>
                  </w:r>
                </w:p>
              </w:tc>
            </w:tr>
            <w:tr>
              <w:tc>
                <w:tcPr>
                  <w:tcW w:type="auto" w:w="0"/>
                  <w:shd w:val="clear" w:color="auto" w:fill="F0F0F0"/>
                </w:tcPr>
                <w:p>
                  <w:pPr>
                    <w:pStyle w:val="Para 02"/>
                    <w:keepLines w:val="on"/>
                  </w:pPr>
                  <w:r>
                    <w:t>Thu nhập chịu thuế</w:t>
                  </w:r>
                </w:p>
              </w:tc>
              <w:tc>
                <w:tcPr>
                  <w:tcW w:type="auto" w:w="0"/>
                  <w:shd w:val="clear" w:color="auto" w:fill="F0F0F0"/>
                </w:tcPr>
                <w:p>
                  <w:pPr>
                    <w:pStyle w:val="Normal"/>
                    <w:keepLines w:val="on"/>
                  </w:pPr>
                  <w:r>
                    <w:t>$200.000</w:t>
                  </w:r>
                </w:p>
              </w:tc>
              <w:tc>
                <w:tcPr>
                  <w:tcW w:type="auto" w:w="0"/>
                  <w:shd w:val="clear" w:color="auto" w:fill="F0F0F0"/>
                </w:tcPr>
                <w:p>
                  <w:pPr>
                    <w:pStyle w:val="Normal"/>
                    <w:keepLines w:val="on"/>
                  </w:pPr>
                  <w:r>
                    <w:t>$292.000</w:t>
                  </w:r>
                </w:p>
              </w:tc>
              <w:tc>
                <w:tcPr>
                  <w:tcW w:type="auto" w:w="0"/>
                  <w:shd w:val="clear" w:color="auto" w:fill="F0F0F0"/>
                </w:tcPr>
                <w:p>
                  <w:pPr>
                    <w:pStyle w:val="Normal"/>
                    <w:keepLines w:val="on"/>
                  </w:pPr>
                  <w:r>
                    <w:t>$389.600</w:t>
                  </w:r>
                </w:p>
              </w:tc>
              <w:tc>
                <w:tcPr>
                  <w:tcW w:type="auto" w:w="0"/>
                  <w:shd w:val="clear" w:color="auto" w:fill="F0F0F0"/>
                </w:tcPr>
                <w:p>
                  <w:pPr>
                    <w:pStyle w:val="Normal"/>
                    <w:keepLines w:val="on"/>
                  </w:pPr>
                  <w:r>
                    <w:t>$493.360</w:t>
                  </w:r>
                </w:p>
              </w:tc>
              <w:tc>
                <w:tcPr>
                  <w:tcW w:type="auto" w:w="0"/>
                  <w:shd w:val="clear" w:color="auto" w:fill="F0F0F0"/>
                </w:tcPr>
                <w:p>
                  <w:pPr>
                    <w:pStyle w:val="Normal"/>
                    <w:keepLines w:val="on"/>
                  </w:pPr>
                  <w:r>
                    <w:t>$603.896</w:t>
                  </w:r>
                </w:p>
              </w:tc>
              <w:tc>
                <w:tcPr>
                  <w:tcW w:type="auto" w:w="0"/>
                  <w:shd w:val="clear" w:color="auto" w:fill="F0F0F0"/>
                </w:tcPr>
                <w:p>
                  <w:pPr>
                    <w:pStyle w:val="Normal"/>
                    <w:keepLines w:val="on"/>
                  </w:pPr>
                  <w:r>
                    <w:t>$689.090</w:t>
                  </w:r>
                </w:p>
              </w:tc>
            </w:tr>
            <w:tr>
              <w:tc>
                <w:tcPr>
                  <w:tcW w:type="auto" w:w="0"/>
                  <w:shd w:val="clear" w:color="auto" w:fill="F0F0F0"/>
                </w:tcPr>
                <w:p>
                  <w:pPr>
                    <w:pStyle w:val="Para 02"/>
                    <w:keepLines w:val="on"/>
                  </w:pPr>
                  <w:r>
                    <w:t>– Thuế</w:t>
                  </w:r>
                </w:p>
              </w:tc>
              <w:tc>
                <w:tcPr>
                  <w:tcW w:type="auto" w:w="0"/>
                  <w:shd w:val="clear" w:color="auto" w:fill="F0F0F0"/>
                </w:tcPr>
                <w:p>
                  <w:pPr>
                    <w:pStyle w:val="Normal"/>
                    <w:keepLines w:val="on"/>
                  </w:pPr>
                  <w:r>
                    <w:t>$80.000</w:t>
                  </w:r>
                </w:p>
              </w:tc>
              <w:tc>
                <w:tcPr>
                  <w:tcW w:type="auto" w:w="0"/>
                  <w:shd w:val="clear" w:color="auto" w:fill="F0F0F0"/>
                </w:tcPr>
                <w:p>
                  <w:pPr>
                    <w:pStyle w:val="Normal"/>
                    <w:keepLines w:val="on"/>
                  </w:pPr>
                  <w:r>
                    <w:t>$116.800</w:t>
                  </w:r>
                </w:p>
              </w:tc>
              <w:tc>
                <w:tcPr>
                  <w:tcW w:type="auto" w:w="0"/>
                  <w:shd w:val="clear" w:color="auto" w:fill="F0F0F0"/>
                </w:tcPr>
                <w:p>
                  <w:pPr>
                    <w:pStyle w:val="Normal"/>
                    <w:keepLines w:val="on"/>
                  </w:pPr>
                  <w:r>
                    <w:t>$155.840</w:t>
                  </w:r>
                </w:p>
              </w:tc>
              <w:tc>
                <w:tcPr>
                  <w:tcW w:type="auto" w:w="0"/>
                  <w:shd w:val="clear" w:color="auto" w:fill="F0F0F0"/>
                </w:tcPr>
                <w:p>
                  <w:pPr>
                    <w:pStyle w:val="Normal"/>
                    <w:keepLines w:val="on"/>
                  </w:pPr>
                  <w:r>
                    <w:t>$197.344</w:t>
                  </w:r>
                </w:p>
              </w:tc>
              <w:tc>
                <w:tcPr>
                  <w:tcW w:type="auto" w:w="0"/>
                  <w:shd w:val="clear" w:color="auto" w:fill="F0F0F0"/>
                </w:tcPr>
                <w:p>
                  <w:pPr>
                    <w:pStyle w:val="Normal"/>
                    <w:keepLines w:val="on"/>
                  </w:pPr>
                  <w:r>
                    <w:t>$241.558</w:t>
                  </w:r>
                </w:p>
              </w:tc>
              <w:tc>
                <w:tcPr>
                  <w:tcW w:type="auto" w:w="0"/>
                  <w:shd w:val="clear" w:color="auto" w:fill="F0F0F0"/>
                </w:tcPr>
                <w:p>
                  <w:pPr>
                    <w:pStyle w:val="Normal"/>
                    <w:keepLines w:val="on"/>
                  </w:pPr>
                  <w:r>
                    <w:t>$275.636</w:t>
                  </w:r>
                </w:p>
              </w:tc>
            </w:tr>
            <w:tr>
              <w:tc>
                <w:tcPr>
                  <w:tcW w:type="auto" w:w="0"/>
                  <w:shd w:val="clear" w:color="auto" w:fill="F0F0F0"/>
                </w:tcPr>
                <w:p>
                  <w:pPr>
                    <w:pStyle w:val="Para 02"/>
                    <w:keepLines w:val="on"/>
                  </w:pPr>
                  <w:r>
                    <w:t>= Thu nhập ròng</w:t>
                  </w:r>
                </w:p>
              </w:tc>
              <w:tc>
                <w:tcPr>
                  <w:tcW w:type="auto" w:w="0"/>
                  <w:shd w:val="clear" w:color="auto" w:fill="F0F0F0"/>
                </w:tcPr>
                <w:p>
                  <w:pPr>
                    <w:pStyle w:val="Normal"/>
                    <w:keepLines w:val="on"/>
                  </w:pPr>
                  <w:r>
                    <w:t>$120.000</w:t>
                  </w:r>
                </w:p>
              </w:tc>
              <w:tc>
                <w:tcPr>
                  <w:tcW w:type="auto" w:w="0"/>
                  <w:shd w:val="clear" w:color="auto" w:fill="F0F0F0"/>
                </w:tcPr>
                <w:p>
                  <w:pPr>
                    <w:pStyle w:val="Normal"/>
                    <w:keepLines w:val="on"/>
                  </w:pPr>
                  <w:r>
                    <w:t>$175.200</w:t>
                  </w:r>
                </w:p>
              </w:tc>
              <w:tc>
                <w:tcPr>
                  <w:tcW w:type="auto" w:w="0"/>
                  <w:shd w:val="clear" w:color="auto" w:fill="F0F0F0"/>
                </w:tcPr>
                <w:p>
                  <w:pPr>
                    <w:pStyle w:val="Normal"/>
                    <w:keepLines w:val="on"/>
                  </w:pPr>
                  <w:r>
                    <w:t>$233.760</w:t>
                  </w:r>
                </w:p>
              </w:tc>
              <w:tc>
                <w:tcPr>
                  <w:tcW w:type="auto" w:w="0"/>
                  <w:shd w:val="clear" w:color="auto" w:fill="F0F0F0"/>
                </w:tcPr>
                <w:p>
                  <w:pPr>
                    <w:pStyle w:val="Normal"/>
                    <w:keepLines w:val="on"/>
                  </w:pPr>
                  <w:r>
                    <w:t>$296.016</w:t>
                  </w:r>
                </w:p>
              </w:tc>
              <w:tc>
                <w:tcPr>
                  <w:tcW w:type="auto" w:w="0"/>
                  <w:shd w:val="clear" w:color="auto" w:fill="F0F0F0"/>
                </w:tcPr>
                <w:p>
                  <w:pPr>
                    <w:pStyle w:val="Normal"/>
                    <w:keepLines w:val="on"/>
                  </w:pPr>
                  <w:r>
                    <w:t>$362.338</w:t>
                  </w:r>
                </w:p>
              </w:tc>
              <w:tc>
                <w:tcPr>
                  <w:tcW w:type="auto" w:w="0"/>
                  <w:shd w:val="clear" w:color="auto" w:fill="F0F0F0"/>
                </w:tcPr>
                <w:p>
                  <w:pPr>
                    <w:pStyle w:val="Normal"/>
                    <w:keepLines w:val="on"/>
                  </w:pPr>
                  <w:r>
                    <w:t>$413.454</w:t>
                  </w:r>
                </w:p>
              </w:tc>
            </w:tr>
          </w:tbl>
          <w:p/>
        </w:tc>
      </w:tr>
    </w:tbl>
    <w:p>
      <w:pPr>
        <w:pStyle w:val="Para 03"/>
      </w:pPr>
      <w:r>
        <w:t>Chi tiêu vốn (capital expenditures) dự kiến sẽ là $120.000 vào năm tới và tăng trưởng với cùng tốc độ như doanh thu trong phần còn lại của giai đoạn. Vốn lưu động (working capital) sẽ được duy trì ở mức 20% doanh thu (doanh thu năm nay là $1 triệu).</w:t>
      </w:r>
    </w:p>
    <w:p>
      <w:pPr>
        <w:pStyle w:val="Para 03"/>
      </w:pPr>
      <w:r>
        <w:t>Thương vụ mua lại bằng vốn vay (leveraged buyout) sẽ được tài trợ bằng sự kết hợp giữa $1 triệu vốn chủ sở hữu (equity) và $3 triệu nợ (debt) (với lãi suất 12%). Một phần khoản nợ sẽ được trả hết vào cuối năm 5, và phần nợ còn lại vào cuối năm 5 sẽ nằm trên sổ sách vĩnh viễn.</w:t>
      </w:r>
    </w:p>
    <w:p>
      <w:pPr>
        <w:numPr>
          <w:ilvl w:val="1"/>
          <w:numId w:val="289"/>
        </w:numPr>
        <w:pStyle w:val="Para 01"/>
      </w:pPr>
      <w:r>
        <w:t>Ước tính dòng tiền cho vốn chủ sở hữu (cash flows to equity) và cho công ty (firm) trong năm năm tới.</w:t>
      </w:r>
    </w:p>
    <w:p>
      <w:pPr>
        <w:numPr>
          <w:ilvl w:val="1"/>
          <w:numId w:val="289"/>
        </w:numPr>
        <w:pStyle w:val="Para 01"/>
      </w:pPr>
      <w:r>
        <w:t>Chi phí vốn chủ sở hữu (cost of equity) trong năm 1 đã được tính toán. Hãy tính chi phí vốn chủ sở hữu cho mỗi năm trong phần còn lại của giai đoạn. (Sử dụng giá trị sổ sách của vốn chủ sở hữu để tính toán).</w:t>
      </w:r>
    </w:p>
    <w:tbl>
      <w:tblPr>
        <w:tblW w:type="auto" w:w="0"/>
      </w:tblPr>
      <w:tr>
        <w:tc>
          <w:tcPr>
            <w:tcW w:type="auto" w:w="0"/>
          </w:tcPr>
          <w:tbl>
            <w:tblPr>
              <w:tblW w:type="auto" w:w="0"/>
            </w:tblPr>
            <w:tr>
              <w:tc>
                <w:tcPr>
                  <w:tcW w:type="auto" w:w="0"/>
                  <w:shd w:val="clear" w:color="auto" w:fill="F0F0F0"/>
                </w:tcPr>
                <w:p>
                  <w:pPr>
                    <w:pStyle w:val="Para 05"/>
                    <w:keepLines w:val="on"/>
                  </w:pPr>
                  <w:r>
                    <w:t>Khoản mục</w:t>
                  </w:r>
                </w:p>
              </w:tc>
              <w:tc>
                <w:tcPr>
                  <w:tcW w:type="auto" w:w="0"/>
                  <w:shd w:val="clear" w:color="auto" w:fill="F0F0F0"/>
                </w:tcPr>
                <w:p>
                  <w:pPr>
                    <w:pStyle w:val="Para 05"/>
                    <w:keepLines w:val="on"/>
                  </w:pPr>
                  <w:r>
                    <w:t>Năm 1</w:t>
                  </w:r>
                </w:p>
              </w:tc>
            </w:tr>
            <w:tr>
              <w:tc>
                <w:tcPr>
                  <w:tcW w:type="auto" w:w="0"/>
                  <w:shd w:val="clear" w:color="auto" w:fill="F0F0F0"/>
                </w:tcPr>
                <w:p>
                  <w:pPr>
                    <w:pStyle w:val="Para 02"/>
                    <w:keepLines w:val="on"/>
                  </w:pPr>
                  <w:r>
                    <w:t>Vốn chủ sở hữu</w:t>
                  </w:r>
                </w:p>
              </w:tc>
              <w:tc>
                <w:tcPr>
                  <w:tcW w:type="auto" w:w="0"/>
                  <w:shd w:val="clear" w:color="auto" w:fill="F0F0F0"/>
                </w:tcPr>
                <w:p>
                  <w:pPr>
                    <w:pStyle w:val="Normal"/>
                    <w:keepLines w:val="on"/>
                  </w:pPr>
                  <w:r>
                    <w:t>$1.000.000</w:t>
                  </w:r>
                </w:p>
              </w:tc>
            </w:tr>
            <w:tr>
              <w:tc>
                <w:tcPr>
                  <w:tcW w:type="auto" w:w="0"/>
                  <w:shd w:val="clear" w:color="auto" w:fill="F0F0F0"/>
                </w:tcPr>
                <w:p>
                  <w:pPr>
                    <w:pStyle w:val="Para 02"/>
                    <w:keepLines w:val="on"/>
                  </w:pPr>
                  <w:r>
                    <w:t>Nợ</w:t>
                  </w:r>
                </w:p>
              </w:tc>
              <w:tc>
                <w:tcPr>
                  <w:tcW w:type="auto" w:w="0"/>
                  <w:shd w:val="clear" w:color="auto" w:fill="F0F0F0"/>
                </w:tcPr>
                <w:p>
                  <w:pPr>
                    <w:pStyle w:val="Normal"/>
                    <w:keepLines w:val="on"/>
                  </w:pPr>
                  <w:r>
                    <w:t>$3.000.000</w:t>
                  </w:r>
                </w:p>
              </w:tc>
            </w:tr>
            <w:tr>
              <w:tc>
                <w:tcPr>
                  <w:tcW w:type="auto" w:w="0"/>
                  <w:shd w:val="clear" w:color="auto" w:fill="F0F0F0"/>
                </w:tcPr>
                <w:p>
                  <w:pPr>
                    <w:pStyle w:val="Para 02"/>
                    <w:keepLines w:val="on"/>
                  </w:pPr>
                  <w:r>
                    <w:t>Tỷ lệ nợ trên vốn chủ sở hữu (debt-equity ratio)</w:t>
                  </w:r>
                </w:p>
              </w:tc>
              <w:tc>
                <w:tcPr>
                  <w:tcW w:type="auto" w:w="0"/>
                  <w:shd w:val="clear" w:color="auto" w:fill="F0F0F0"/>
                </w:tcPr>
                <w:p>
                  <w:pPr>
                    <w:pStyle w:val="Normal"/>
                    <w:keepLines w:val="on"/>
                  </w:pPr>
                  <w:r>
                    <w:t>3</w:t>
                  </w:r>
                </w:p>
              </w:tc>
            </w:tr>
            <w:tr>
              <w:tc>
                <w:tcPr>
                  <w:tcW w:type="auto" w:w="0"/>
                  <w:shd w:val="clear" w:color="auto" w:fill="F0F0F0"/>
                </w:tcPr>
                <w:p>
                  <w:pPr>
                    <w:pStyle w:val="Para 02"/>
                    <w:keepLines w:val="on"/>
                  </w:pPr>
                  <w:r>
                    <w:t>Beta</w:t>
                  </w:r>
                </w:p>
              </w:tc>
              <w:tc>
                <w:tcPr>
                  <w:tcW w:type="auto" w:w="0"/>
                  <w:shd w:val="clear" w:color="auto" w:fill="F0F0F0"/>
                </w:tcPr>
                <w:p>
                  <w:pPr>
                    <w:pStyle w:val="Normal"/>
                    <w:keepLines w:val="on"/>
                  </w:pPr>
                  <w:r>
                    <w:t>2,58</w:t>
                  </w:r>
                </w:p>
              </w:tc>
            </w:tr>
            <w:tr>
              <w:tc>
                <w:tcPr>
                  <w:tcW w:type="auto" w:w="0"/>
                  <w:shd w:val="clear" w:color="auto" w:fill="F0F0F0"/>
                </w:tcPr>
                <w:p>
                  <w:pPr>
                    <w:pStyle w:val="Para 02"/>
                    <w:keepLines w:val="on"/>
                  </w:pPr>
                  <w:r>
                    <w:t>Chi phí vốn chủ sở hữu</w:t>
                  </w:r>
                </w:p>
              </w:tc>
              <w:tc>
                <w:tcPr>
                  <w:tcW w:type="auto" w:w="0"/>
                  <w:shd w:val="clear" w:color="auto" w:fill="F0F0F0"/>
                </w:tcPr>
                <w:p>
                  <w:pPr>
                    <w:pStyle w:val="Normal"/>
                    <w:keepLines w:val="on"/>
                  </w:pPr>
                  <w:r>
                    <w:t>24,90%</w:t>
                  </w:r>
                </w:p>
              </w:tc>
            </w:tr>
          </w:tbl>
          <w:p/>
        </w:tc>
      </w:tr>
    </w:tbl>
    <w:p>
      <w:pPr>
        <w:numPr>
          <w:ilvl w:val="1"/>
          <w:numId w:val="289"/>
        </w:numPr>
        <w:pStyle w:val="Para 01"/>
      </w:pPr>
      <w:r>
        <w:t>Tính giá trị cuối kỳ của doanh nghiệp.</w:t>
      </w:r>
    </w:p>
    <w:p>
      <w:pPr>
        <w:numPr>
          <w:ilvl w:val="1"/>
          <w:numId w:val="289"/>
        </w:numPr>
        <w:pStyle w:val="Para 01"/>
      </w:pPr>
      <w:r>
        <w:t>Đánh giá liệu thương vụ mua lại bằng vốn vay (leveraged buyout) có tạo ra giá trị hay không.</w:t>
      </w:r>
    </w:p>
    <w:p>
      <w:pPr>
        <w:numPr>
          <w:ilvl w:val="0"/>
          <w:numId w:val="289"/>
        </w:numPr>
        <w:pStyle w:val="Para 01"/>
      </w:pPr>
      <w:r>
        <w:t>J &amp; L Chemical là một công ty sản xuất hóa chất có lợi nhuận. Tuy nhiên, hoạt động kinh doanh của công ty mang tính chu kỳ cao, và lợi nhuận của công ty rất biến động. Ban lãnh đạo công ty đang cân nhắc việc mua lại một công ty chế biến thực phẩm để giảm bớt sự biến động của lợi nhuận và mức độ phơi nhiễm với các chu kỳ kinh tế.</w:t>
      </w:r>
    </w:p>
    <w:p>
      <w:pPr>
        <w:numPr>
          <w:ilvl w:val="1"/>
          <w:numId w:val="289"/>
        </w:numPr>
        <w:pStyle w:val="Para 01"/>
      </w:pPr>
      <w:r>
        <w:t>Liệu hành động như vậy có vì lợi ích tốt nhất của các cổ đông hay không? Hãy giải thích.</w:t>
      </w:r>
    </w:p>
    <w:p>
      <w:pPr>
        <w:numPr>
          <w:ilvl w:val="1"/>
          <w:numId w:val="289"/>
        </w:numPr>
        <w:pStyle w:val="Para 01"/>
      </w:pPr>
      <w:r>
        <w:t>Liệu phân tích của bạn có khác đi nếu J &amp; L là một công ty tư nhân hay không? Hãy giải thích.</w:t>
      </w:r>
    </w:p>
    <w:p>
      <w:pPr>
        <w:numPr>
          <w:ilvl w:val="1"/>
          <w:numId w:val="289"/>
        </w:numPr>
        <w:pStyle w:val="Para 01"/>
      </w:pPr>
      <w:r>
        <w:t>Có điều kiện nào mà bạn sẽ lập luận ủng hộ một thương vụ mua lại như vậy đối với một công ty đại chúng hay không?</w:t>
      </w:r>
    </w:p>
    <w:p>
      <w:bookmarkStart w:id="5414" w:name="Notes__1_Excess_returns_represen"/>
      <w:bookmarkStart w:id="5415" w:name="Notes_24"/>
      <w:pPr>
        <w:keepNext/>
        <w:pStyle w:val="Heading 2"/>
        <w:keepLines w:val="on"/>
      </w:pPr>
      <w:r>
        <w:t>Ghi chú</w:t>
      </w:r>
      <w:bookmarkEnd w:id="5414"/>
      <w:bookmarkEnd w:id="5415"/>
    </w:p>
    <w:p>
      <w:pPr>
        <w:pStyle w:val="Para 08"/>
      </w:pPr>
      <w:r>
        <w:t>1 Lợi nhuận vượt trội (excess returns) là phần lợi nhuận cao hơn mức lợi nhuận mà bạn kỳ vọng một khoản đầu tư sẽ mang lại, sau khi đã điều chỉnh theo rủi ro và hiệu suất thị trường.</w:t>
      </w:r>
    </w:p>
    <w:p>
      <w:pPr>
        <w:pStyle w:val="Para 08"/>
      </w:pPr>
      <w:r>
        <w:t>2 Dù đây không phải là quan điểm phổ biến, nhưng nó là quan điểm mang tính đại chúng đã được Hollywood tin tưởng, thể hiện qua các bộ phim như Wall Street và Other People's Money, và qua những cuốn sách như Barbarians at the Gate.</w:t>
      </w:r>
    </w:p>
    <w:p>
      <w:pPr>
        <w:pStyle w:val="Para 08"/>
      </w:pPr>
      <w:r>
        <w:t>3 Trong một sự trớ trêu thú vị, chính ITT lại trở thành mục tiêu của một đề nghị thâu tóm thù địch (hostile acquisition) từ Hilton Hotels và đã phản ứng bằng cách loại bỏ những gì mà họ gọi là các mảng kinh doanh không cốt lõi (tức là tất cả những mảng kinh doanh mà họ đã mua lại trong thời kỳ tập đoàn đa ngành của mình).</w:t>
      </w:r>
    </w:p>
    <w:p>
      <w:pPr>
        <w:pStyle w:val="Para 08"/>
      </w:pPr>
      <w:r>
        <w:t>4 Một câu hỏi thú vị là liệu những cuộc chiến đấu giá này có trở nên ít xảy ra hơn khi ngày càng nhiều phụ nữ vươn lên trở thành CEO của các công ty hay không. Họ có thể mang đến một góc nhìn khác về ý nghĩa của việc thắng và thua trong một thương vụ sáp nhập.</w:t>
      </w:r>
    </w:p>
    <w:p>
      <w:pPr>
        <w:pStyle w:val="Para 08"/>
      </w:pPr>
      <w:r>
        <w:t>5 Rủi ro trong các dòng tiền từ lợi ích thuế phát sinh chủ yếu từ rủi ro rằng bạn sẽ không tạo ra đủ lợi nhuận để tận dụng các lợi ích thuế đó. Mặc dù ở đây chúng ta đã sử dụng chi phí vốn (cost of capital) làm tỷ lệ chiết khấu, vẫn có những lập luận hợp lý cho việc sử dụng chi phí vốn cổ phần (cost of equity) (nếu bạn không chắc chắn về thu nhập chịu thuế) hoặc thậm chí là chi phí nợ (cost of debt) (nếu bạn cảm thấy rằng bạn gần như chắc chắn sẽ nhận được các lợi ích thuế, trừ khi bạn phá sản).</w:t>
      </w:r>
    </w:p>
    <w:p>
      <w:pPr>
        <w:pStyle w:val="Para 08"/>
      </w:pPr>
      <w:r>
        <w:t>6 Nghiên cứu này đã được nhắc đến trong một bài báo có tiêu đề "Merger Mayhem" đăng trên Barron's vào ngày 20 tháng 4 năm 1998.</w:t>
      </w:r>
    </w:p>
    <w:p>
      <w:pPr>
        <w:pStyle w:val="Para 08"/>
      </w:pPr>
      <w:r>
        <w:t>7 KPMG đã đo lường mức độ thành công trong việc tạo ra giá trị bằng cách so sánh hiệu suất giá cổ phiếu sau thương vụ của công ty hợp nhất với hiệu suất của phân khúc ngành liên quan trong vòng một năm sau khi thương vụ hoàn tất.</w:t>
      </w:r>
    </w:p>
    <w:p>
      <w:pPr>
        <w:pStyle w:val="Para 08"/>
      </w:pPr>
      <w:r>
        <w:t>8 Nghiên cứu này được thực hiện bởi Keefe, Bruyette, and Woods, một ngân hàng đầu tư. Nó đã được nhắc đến trong một bài báo có tiêu đề "Merger Mayhem" trên Barron's, ngày 20 tháng 4 năm 1998.</w:t>
      </w:r>
    </w:p>
    <w:p>
      <w:pPr>
        <w:pStyle w:val="Para 08"/>
      </w:pPr>
      <w:r>
        <w:t>9 Các con số trong ví dụ minh họa này được lấy từ tình huống nghiên cứu của Harvard Business School có tiêu đề "Congoleum". Tình huống này được in lại trong Fruhan, Kester, Mason, Piper, và Ruback (1992).</w:t>
      </w:r>
    </w:p>
    <w:p>
      <w:pPr>
        <w:pStyle w:val="Para 08"/>
      </w:pPr>
      <w:r>
        <w:t>10 Giá trị nợ vượt quá số tiền giao dịch, phản ánh chi phí giao dịch và phí ngân hàng đầu tư.</w:t>
      </w:r>
    </w:p>
    <w:p>
      <w:pPr>
        <w:pStyle w:val="Para 08"/>
      </w:pPr>
      <w:r>
        <w:t>11 Chúng ta đã sử dụng các giả định do ngân hàng đầu tư cung cấp trong tình huống này. Tuy nhiên, điều đáng lo ngại là công ty có tốc độ tăng trưởng kỳ vọng 8% mỗi năm mãi mãi mà không tái đầu tư lại bất kỳ khoản tiền nào. Trên thực tế, việc vi phạm các nguyên tắc cơ bản đầu tiên của định giá này có thể lấn át mọi lợi ích từ việc tinh chỉnh cơ cấu vốn và tính toán chi phí vốn một cách chính xác.</w:t>
      </w:r>
    </w:p>
    <w:p>
      <w:pPr>
        <w:pStyle w:val="Para 08"/>
      </w:pPr>
      <w:r>
        <w:t>12 Giá trị sổ sách của vốn cổ phần có thể được tính như sau:</w:t>
      </w:r>
    </w:p>
    <w:p>
      <w:bookmarkStart w:id="5428" w:name="Book_value_of_equityt_Book_value"/>
      <w:pPr>
        <w:pStyle w:val="Para 72"/>
      </w:pPr>
      <w:r>
        <w:t>Giá trị sổ sách của vốn cổ phầnt = Giá trị sổ sách của vốn cổ phầnt-1 + Thu nhập ròngt - Cổ tứct</w:t>
      </w:r>
      <w:bookmarkEnd w:id="5428"/>
    </w:p>
    <w:p>
      <w:pPr>
        <w:pStyle w:val="Para 03"/>
      </w:pPr>
      <w:r>
        <w:t>Người ta giả định rằng sẽ không có cổ tức nào được trả cho các nhà đầu tư vốn cổ phần trong những năm đầu của một thương vụ mua lại bằng vốn vay.</w:t>
      </w:r>
    </w:p>
    <w:p>
      <w:pPr>
        <w:pStyle w:val="Para 08"/>
      </w:pPr>
      <w:r>
        <w:t>13 Khi chi phí vốn thay đổi theo từng năm, việc chiết khấu phải dựa trên một chi phí lũy tích.</w:t>
      </w:r>
    </w:p>
    <w:p>
      <w:pPr>
        <w:pStyle w:val="Para 03"/>
      </w:pPr>
      <w:r>
        <w:t>Ví dụ, dòng tiền trong năm 3 sẽ được chiết khấu ngược lại như sau:</w:t>
      </w:r>
    </w:p>
    <w:p>
      <w:bookmarkStart w:id="5430" w:name="PV_of_cash_flow_in_year_3_56_45"/>
      <w:pPr>
        <w:pStyle w:val="Para 72"/>
      </w:pPr>
      <w:r>
        <w:t>PV của dòng tiền trong năm 3 = 56,45/(1,13)(1,1329)(1,1366)</w:t>
      </w:r>
      <w:bookmarkEnd w:id="5430"/>
    </w:p>
    <w:p>
      <w:bookmarkStart w:id="5431" w:name="Chapter_26Valuing_Real_Estate__T"/>
      <w:bookmarkStart w:id="5432" w:name="Top_of_c026_xhtml"/>
      <w:bookmarkStart w:id="5433" w:name="Chapter_26Valuing_Real_Estate"/>
      <w:pPr>
        <w:keepNext/>
        <w:pStyle w:val="Heading 1"/>
        <w:pageBreakBefore w:val="on"/>
        <w:keepLines w:val="on"/>
      </w:pPr>
      <w:r>
        <w:t>CHƯƠNG 26</w:t>
      </w:r>
      <w:r>
        <w:br/>
      </w:r>
      <w:r>
        <w:t>Định giá bất động sản</w:t>
      </w:r>
      <w:bookmarkEnd w:id="5431"/>
      <w:bookmarkEnd w:id="5432"/>
      <w:bookmarkEnd w:id="5433"/>
    </w:p>
    <w:p>
      <w:pPr>
        <w:pStyle w:val="Para 03"/>
      </w:pPr>
      <w:r>
        <w:t>Các mô hình định giá được phát triển cho tài sản tài chính cũng có thể áp dụng cho tài sản thực. Đầu tư bất động sản chiếm phần quan trọng nhất trong các khoản đầu tư tài sản thực. Trong nhiều năm, các nhà phân tích bất động sản đã sử dụng những biến thể riêng của họ trên các mô hình định giá để định giá bất động sản. Họ lập luận rằng bất động sản là một loại tài sản quá khác biệt để có thể định giá bằng các mô hình được phát triển để định giá cổ phiếu giao dịch công khai.</w:t>
      </w:r>
    </w:p>
    <w:p>
      <w:pPr>
        <w:pStyle w:val="Para 03"/>
      </w:pPr>
      <w:r>
        <w:t>Chương này trình bày một quan điểm khác: rằng dù bất động sản và cổ phiếu có thể là những loại tài sản khác nhau, các nguyên tắc định giá không nên khác nhau giữa các loại tài sản. Các kỹ thuật định giá nội tại và định giá tương đối mà chúng ta đã dùng để định giá cổ phiếu cũng nên áp dụng được cho bất động sản. Tuy vậy, có những vấn đề ước lượng nghiêm trọng cần đối mặt mà chỉ riêng bất động sản mới có, và sẽ được giải quyết trong chương này.</w:t>
      </w:r>
    </w:p>
    <w:p>
      <w:bookmarkStart w:id="5435" w:name="Real_Versus_Financial_Assets"/>
      <w:bookmarkStart w:id="5436" w:name="Real_Versus_Financial_Assets__Re"/>
      <w:pPr>
        <w:keepNext/>
        <w:pStyle w:val="Heading 2"/>
        <w:keepLines w:val="on"/>
      </w:pPr>
      <w:r>
        <w:t>Tài sản thực so với tài sản tài chính</w:t>
      </w:r>
      <w:bookmarkEnd w:id="5435"/>
      <w:bookmarkEnd w:id="5436"/>
    </w:p>
    <w:p>
      <w:pPr>
        <w:pStyle w:val="Para 03"/>
      </w:pPr>
      <w:r>
        <w:t>Bất động sản và tài sản tài chính chia sẻ một số đặc điểm chung: Giá trị của chúng nên được xác định bởi dòng tiền mà chúng tạo ra, sự bất định gắn liền với những dòng tiền này, và mức tăng trưởng kỳ vọng của dòng tiền. Khi mọi thứ khác không đổi, mức độ và tốc độ tăng trưởng của dòng tiền càng cao, và rủi ro gắn với dòng tiền càng thấp, thì giá trị của tài sản càng lớn.</w:t>
      </w:r>
    </w:p>
    <w:p>
      <w:pPr>
        <w:pStyle w:val="Para 03"/>
      </w:pPr>
      <w:r>
        <w:t>Cũng có những khác biệt đáng kể giữa hai loại tài sản này. Nhiều người lập luận rằng các mô hình rủi ro và lợi nhuận dùng để đánh giá tài sản tài chính không thể dùng để phân tích bất động sản vì sự khác biệt về tính thanh khoản giữa hai thị trường và về các loại nhà đầu tư trong mỗi thị trường. Các phương án thay thế cho những mô hình rủi ro và lợi nhuận truyền thống sẽ được xem xét trong chương này. Cũng có những khác biệt về bản chất dòng tiền mà các khoản đầu tư tài chính và bất động sản tạo ra. Cụ thể, các khoản đầu tư bất động sản thường có vòng đời hữu hạn, và phải được định giá cho phù hợp. Nhiều tài sản tài chính, như cổ phiếu, có vòng đời vô hạn. Những khác biệt về vòng đời tài sản này thể hiện rõ qua giá trị được gán cho các tài sản đó vào cuối giai đoạn ước lượng. Giá trị cuối kỳ (terminal value) của một cổ phiếu, sau 5 hay 10 năm nữa, thường cao hơn nhiều so với giá trị hiện tại nhờ mức tăng trưởng kỳ vọng của dòng tiền, và vì những dòng tiền này được kỳ vọng sẽ tiếp tục mãi mãi. Giá trị cuối kỳ của một tòa nhà có thể thấp hơn giá trị hiện tại vì việc sử dụng tòa nhà có thể làm hao mòn giá trị của nó. Tuy nhiên, phần đất sẽ có vòng đời vô hạn và, trong một số trường hợp, có thể là phần chiếm áp đảo trong giá trị cuối kỳ.</w:t>
      </w:r>
    </w:p>
    <w:p>
      <w:pPr>
        <w:pStyle w:val="Para 20"/>
      </w:pPr>
      <w:r>
        <w:rPr>
          <w:rStyle w:val="Text26"/>
        </w:rPr>
        <w:bookmarkStart w:id="5437" w:name="Page_838"/>
        <w:t/>
        <w:bookmarkEnd w:id="5437"/>
      </w:r>
      <w:r>
        <w:t xml:space="preserve"> </w:t>
      </w:r>
    </w:p>
    <w:p>
      <w:pPr>
        <w:pStyle w:val="Para 11"/>
      </w:pPr>
      <w:r>
        <w:t xml:space="preserve"> </w:t>
      </w:r>
    </w:p>
    <w:p>
      <w:bookmarkStart w:id="5438" w:name="The_Effect_of_Inflation__Real_Ve_1"/>
      <w:bookmarkStart w:id="5439" w:name="The_Effect_of_Inflation__Real_Ve"/>
      <w:pPr>
        <w:keepNext/>
        <w:pStyle w:val="Para 27"/>
        <w:keepLines w:val="on"/>
      </w:pPr>
      <w:r>
        <w:t>Tác động của lạm phát: Tài sản thực so với tài sản tài chính</w:t>
      </w:r>
      <w:bookmarkEnd w:id="5438"/>
      <w:bookmarkEnd w:id="5439"/>
    </w:p>
    <w:p>
      <w:pPr>
        <w:pStyle w:val="Para 16"/>
        <w:keepLines w:val="on"/>
      </w:pPr>
      <w:r>
        <w:t>Phần lớn thì tài sản thực và tài sản tài chính dường như biến động cùng chiều trước các biến số kinh tế vĩ mô. Một cuộc suy thoái kinh tế dường như ảnh hưởng tiêu cực đến cả hai, cũng như một đợt tăng vọt của lãi suất thực. Tuy nhiên, có một biến số dường như gây ra những hệ quả cực kỳ khác biệt đối với tài sản thực và tài sản tài chính, đó là lạm phát. Trong lịch sử, lạm phát cao hơn mức dự kiến đã gây hệ quả tiêu cực cho tài sản tài chính, với cả trái phiếu lẫn cổ phiếu đều bị ảnh hưởng tiêu cực bởi lạm phát bất ngờ. Chẳng hạn, Fama và Schwert, trong một nghiên cứu về lợi nhuận tài sản, báo cáo rằng mức tăng 1 phần trăm trong tỷ lệ lạm phát khiến giá trái phiếu giảm 1,54 phần trăm và giá cổ phiếu giảm 4,23 phần trăm. Ngược lại, lạm phát bất ngờ dường như có tác động tích cực lên tài sản thực. Thực tế, loại tài sản duy nhất mà Fama và Schwert theo dõi và chịu ảnh hưởng tích cực từ lạm phát bất ngờ chính là bất động sản nhà ở.</w:t>
      </w:r>
    </w:p>
    <w:p>
      <w:pPr>
        <w:pStyle w:val="Para 16"/>
        <w:keepLines w:val="on"/>
      </w:pPr>
      <w:r>
        <w:t>Tại sao bất động sản lại là một kênh phòng ngừa lạm phát tiềm năng? Có nhiều lý do, từ việc được ưu đãi thuế hơn khi tính khấu hao, cho đến khả năng rằng nhà đầu tư mất niềm tin vào tài sản tài chính khi lạm phát vượt khỏi tầm kiểm soát và thích nắm giữ tài sản thực hơn. Cũng có thể là thu nhập từ bất động sản có thể được điều chỉnh nhanh hơn theo lạm phát thay đổi; chủ sở hữu bất động sản có thể tăng giá thuê nhiều hơn trong những giai đoạn lạm phát cao. Quan trọng hơn, sự phân kỳ giữa bất động sản và tài sản tài chính trước lạm phát cho thấy rủi ro của bất động sản sẽ rất khác nếu được nhìn như một phần của danh mục có bao gồm tài sản tài chính, so với khi được nhìn như một khoản đầu tư độc lập.</w:t>
      </w:r>
    </w:p>
    <w:p>
      <w:bookmarkStart w:id="5440" w:name="Real_Estate__The_Underfollowed_I"/>
      <w:bookmarkStart w:id="5441" w:name="Real_Estate__The_Underfollowed_I_1"/>
      <w:pPr>
        <w:keepNext/>
        <w:pStyle w:val="Heading 2"/>
        <w:keepLines w:val="on"/>
      </w:pPr>
      <w:r>
        <w:t>Bất động sản: Loại tài sản đầu tư bị ít người theo dõi</w:t>
      </w:r>
      <w:bookmarkEnd w:id="5440"/>
      <w:bookmarkEnd w:id="5441"/>
    </w:p>
    <w:p>
      <w:pPr>
        <w:pStyle w:val="Para 03"/>
      </w:pPr>
      <w:r>
        <w:t>Hầu hết nhà đầu tư đều sở hữu bất động sản như một phần trong danh mục của mình, nhưng nhiều người không coi nó là một phần trong danh mục vì hai lý do. Thứ nhất là nó thường tồn tại dưới dạng nhà ở, thứ dường như được tách riêng ra, ít nhất là về mặt tâm lý, khỏi các khoản đầu tư vào những loại tài sản khác (như cổ phiếu và trái phiếu). Lý do còn lại là phần lớn bất động sản vẫn chưa được giao dịch, và do đó, những người sở hữu, ít nhất cho đến gần đây, không có giá thị trường quan sát được cho tài sản của mình. Với sự phát triển của các dịch vụ như Redfin và Zillow, điều đó đang bắt đầu thay đổi.</w:t>
      </w:r>
    </w:p>
    <w:p>
      <w:bookmarkStart w:id="5442" w:name="Value_Relative_to_Other_Asset_Cl_1"/>
      <w:bookmarkStart w:id="5443" w:name="Value_Relative_to_Other_Asset_Cl"/>
      <w:pPr>
        <w:keepNext/>
        <w:pStyle w:val="Heading 3"/>
        <w:keepLines w:val="on"/>
      </w:pPr>
      <w:r>
        <w:t>Giá trị tương quan với các loại tài sản khác</w:t>
      </w:r>
      <w:bookmarkEnd w:id="5442"/>
      <w:bookmarkEnd w:id="5443"/>
    </w:p>
    <w:p>
      <w:pPr>
        <w:pStyle w:val="Para 03"/>
      </w:pPr>
      <w:r>
        <w:t>Bất động sản là một loại tài sản lớn đến mức nào? Nếu bạn chỉ tập trung vào bất động sản được giao dịch và nhìn vào giá trị thị trường của các công ty bất động sản và chứng khoán bất động sản được giao dịch trên thị trường, thì đó chỉ là một lát nhỏ trong chiếc bánh thị trường khổng lồ. Chẳng hạn, vào năm 2023, tổng giá trị thị trường của các công ty bất động sản và quỹ tín thác đầu tư bất động sản (real estate investment trust – REIT) chiếm 4,15% các công ty Mỹ và 2,69% các công ty toàn cầu, như có thể thấy trong Bảng 26.1.</w:t>
      </w:r>
    </w:p>
    <w:p>
      <w:pPr>
        <w:pStyle w:val="Para 34"/>
        <w:keepLines w:val="on"/>
      </w:pPr>
      <w:r>
        <w:t>Bảng 26.1</w:t>
      </w:r>
    </w:p>
    <w:p>
      <w:pPr>
        <w:keepNext/>
        <w:pStyle w:val="Para 35"/>
        <w:keepLines w:val="on"/>
      </w:pPr>
      <w:r>
        <w:t>Các công ty bất động sản và REIT trên thị trường năm 2023</w:t>
      </w:r>
    </w:p>
    <w:tbl>
      <w:tblPr>
        <w:tblW w:type="auto" w:w="0"/>
      </w:tblPr>
      <w:tr>
        <w:tc>
          <w:tcPr>
            <w:tcW w:type="auto" w:w="0"/>
          </w:tcPr>
          <w:tbl>
            <w:tblPr>
              <w:tblW w:type="auto" w:w="0"/>
            </w:tblPr>
            <w:tr>
              <w:tc>
                <w:tcPr>
                  <w:tcW w:type="auto" w:w="0"/>
                  <w:shd w:val="clear" w:color="auto" w:fill="F0F0F0"/>
                </w:tcPr>
                <w:p>
                  <w:pPr>
                    <w:pStyle w:val="Para 17"/>
                    <w:keepLines w:val="on"/>
                  </w:pPr>
                  <w:r>
                    <w:t/>
                  </w:r>
                </w:p>
              </w:tc>
              <w:tc>
                <w:tcPr>
                  <w:tcW w:type="auto" w:w="0"/>
                  <w:shd w:val="clear" w:color="auto" w:fill="F0F0F0"/>
                </w:tcPr>
                <w:p>
                  <w:pPr>
                    <w:pStyle w:val="Para 17"/>
                    <w:keepLines w:val="on"/>
                  </w:pPr>
                  <w:r>
                    <w:t>Mỹ</w:t>
                  </w:r>
                </w:p>
              </w:tc>
              <w:tc>
                <w:tcPr>
                  <w:tcW w:type="auto" w:w="0"/>
                  <w:shd w:val="clear" w:color="auto" w:fill="F0F0F0"/>
                </w:tcPr>
                <w:p>
                  <w:pPr>
                    <w:pStyle w:val="Para 17"/>
                    <w:keepLines w:val="on"/>
                  </w:pPr>
                  <w:r>
                    <w:t>Toàn cầu</w:t>
                  </w:r>
                </w:p>
              </w:tc>
            </w:tr>
            <w:tr>
              <w:tc>
                <w:tcPr>
                  <w:tcW w:type="auto" w:w="0"/>
                  <w:shd w:val="clear" w:color="auto" w:fill="F0F0F0"/>
                </w:tcPr>
                <w:p>
                  <w:pPr>
                    <w:pStyle w:val="Para 02"/>
                    <w:keepLines w:val="on"/>
                  </w:pPr>
                  <w:r>
                    <w:t>REIT</w:t>
                  </w:r>
                </w:p>
              </w:tc>
              <w:tc>
                <w:tcPr>
                  <w:tcW w:type="auto" w:w="0"/>
                  <w:shd w:val="clear" w:color="auto" w:fill="F0F0F0"/>
                </w:tcPr>
                <w:p>
                  <w:pPr>
                    <w:pStyle w:val="Normal"/>
                    <w:keepLines w:val="on"/>
                  </w:pPr>
                  <w:r>
                    <w:t>$1.120.897</w:t>
                  </w:r>
                </w:p>
              </w:tc>
              <w:tc>
                <w:tcPr>
                  <w:tcW w:type="auto" w:w="0"/>
                  <w:shd w:val="clear" w:color="auto" w:fill="F0F0F0"/>
                </w:tcPr>
                <w:p>
                  <w:pPr>
                    <w:pStyle w:val="Normal"/>
                    <w:keepLines w:val="on"/>
                  </w:pPr>
                  <w:r>
                    <w:t>$1.515.764</w:t>
                  </w:r>
                </w:p>
              </w:tc>
            </w:tr>
            <w:tr>
              <w:tc>
                <w:tcPr>
                  <w:tcW w:type="auto" w:w="0"/>
                  <w:shd w:val="clear" w:color="auto" w:fill="F0F0F0"/>
                </w:tcPr>
                <w:p>
                  <w:pPr>
                    <w:pStyle w:val="Para 02"/>
                    <w:keepLines w:val="on"/>
                  </w:pPr>
                  <w:r>
                    <w:t>Bất động sản (Phát triển)</w:t>
                  </w:r>
                </w:p>
              </w:tc>
              <w:tc>
                <w:tcPr>
                  <w:tcW w:type="auto" w:w="0"/>
                  <w:shd w:val="clear" w:color="auto" w:fill="F0F0F0"/>
                </w:tcPr>
                <w:p>
                  <w:pPr>
                    <w:pStyle w:val="Normal"/>
                    <w:keepLines w:val="on"/>
                  </w:pPr>
                  <w:r>
                    <w:t>$6.734</w:t>
                  </w:r>
                </w:p>
              </w:tc>
              <w:tc>
                <w:tcPr>
                  <w:tcW w:type="auto" w:w="0"/>
                  <w:shd w:val="clear" w:color="auto" w:fill="F0F0F0"/>
                </w:tcPr>
                <w:p>
                  <w:pPr>
                    <w:pStyle w:val="Normal"/>
                    <w:keepLines w:val="on"/>
                  </w:pPr>
                  <w:r>
                    <w:t>$512.953</w:t>
                  </w:r>
                </w:p>
              </w:tc>
            </w:tr>
            <w:tr>
              <w:tc>
                <w:tcPr>
                  <w:tcW w:type="auto" w:w="0"/>
                  <w:shd w:val="clear" w:color="auto" w:fill="F0F0F0"/>
                </w:tcPr>
                <w:p>
                  <w:pPr>
                    <w:pStyle w:val="Para 02"/>
                    <w:keepLines w:val="on"/>
                  </w:pPr>
                  <w:r>
                    <w:t>Bất động sản (Tổng hợp/Đa dạng hóa)</w:t>
                  </w:r>
                </w:p>
              </w:tc>
              <w:tc>
                <w:tcPr>
                  <w:tcW w:type="auto" w:w="0"/>
                  <w:shd w:val="clear" w:color="auto" w:fill="F0F0F0"/>
                </w:tcPr>
                <w:p>
                  <w:pPr>
                    <w:pStyle w:val="Normal"/>
                    <w:keepLines w:val="on"/>
                  </w:pPr>
                  <w:r>
                    <w:t>$4.950</w:t>
                  </w:r>
                </w:p>
              </w:tc>
              <w:tc>
                <w:tcPr>
                  <w:tcW w:type="auto" w:w="0"/>
                  <w:shd w:val="clear" w:color="auto" w:fill="F0F0F0"/>
                </w:tcPr>
                <w:p>
                  <w:pPr>
                    <w:pStyle w:val="Normal"/>
                    <w:keepLines w:val="on"/>
                  </w:pPr>
                  <w:r>
                    <w:t>$349.936</w:t>
                  </w:r>
                </w:p>
              </w:tc>
            </w:tr>
            <w:tr>
              <w:tc>
                <w:tcPr>
                  <w:tcW w:type="auto" w:w="0"/>
                  <w:shd w:val="clear" w:color="auto" w:fill="F0F0F0"/>
                </w:tcPr>
                <w:p>
                  <w:pPr>
                    <w:pStyle w:val="Para 02"/>
                    <w:keepLines w:val="on"/>
                  </w:pPr>
                  <w:r>
                    <w:t>Bất động sản (Vận hành &amp; Dịch vụ)</w:t>
                  </w:r>
                </w:p>
              </w:tc>
              <w:tc>
                <w:tcPr>
                  <w:tcW w:type="auto" w:w="0"/>
                  <w:shd w:val="clear" w:color="auto" w:fill="F0F0F0"/>
                </w:tcPr>
                <w:p>
                  <w:pPr>
                    <w:pStyle w:val="Normal"/>
                    <w:keepLines w:val="on"/>
                  </w:pPr>
                  <w:r>
                    <w:t>$107,958</w:t>
                  </w:r>
                </w:p>
              </w:tc>
              <w:tc>
                <w:tcPr>
                  <w:tcW w:type="auto" w:w="0"/>
                  <w:shd w:val="clear" w:color="auto" w:fill="F0F0F0"/>
                </w:tcPr>
                <w:p>
                  <w:pPr>
                    <w:pStyle w:val="Normal"/>
                    <w:keepLines w:val="on"/>
                  </w:pPr>
                  <w:r>
                    <w:t>$605,711</w:t>
                  </w:r>
                </w:p>
              </w:tc>
            </w:tr>
            <w:tr>
              <w:tc>
                <w:tcPr>
                  <w:tcW w:type="auto" w:w="0"/>
                  <w:shd w:val="clear" w:color="auto" w:fill="F0F0F0"/>
                </w:tcPr>
                <w:p>
                  <w:pPr>
                    <w:pStyle w:val="Para 02"/>
                    <w:keepLines w:val="on"/>
                  </w:pPr>
                  <w:r>
                    <w:t>Phần còn lại của thị trường</w:t>
                  </w:r>
                </w:p>
              </w:tc>
              <w:tc>
                <w:tcPr>
                  <w:tcW w:type="auto" w:w="0"/>
                  <w:shd w:val="clear" w:color="auto" w:fill="F0F0F0"/>
                </w:tcPr>
                <w:p>
                  <w:pPr>
                    <w:pStyle w:val="Normal"/>
                    <w:keepLines w:val="on"/>
                  </w:pPr>
                  <w:r>
                    <w:t>$28,628,250</w:t>
                  </w:r>
                </w:p>
              </w:tc>
              <w:tc>
                <w:tcPr>
                  <w:tcW w:type="auto" w:w="0"/>
                  <w:shd w:val="clear" w:color="auto" w:fill="F0F0F0"/>
                </w:tcPr>
                <w:p>
                  <w:pPr>
                    <w:pStyle w:val="Normal"/>
                    <w:keepLines w:val="on"/>
                  </w:pPr>
                  <w:r>
                    <w:t>$107,882,319</w:t>
                  </w:r>
                </w:p>
              </w:tc>
            </w:tr>
            <w:tr>
              <w:tc>
                <w:tcPr>
                  <w:tcW w:type="auto" w:w="0"/>
                  <w:shd w:val="clear" w:color="auto" w:fill="F0F0F0"/>
                </w:tcPr>
                <w:p>
                  <w:pPr>
                    <w:pStyle w:val="Para 02"/>
                    <w:keepLines w:val="on"/>
                  </w:pPr>
                  <w:r>
                    <w:t>Bất động sản chiếm bao nhiêu % thị trường</w:t>
                  </w:r>
                </w:p>
              </w:tc>
              <w:tc>
                <w:tcPr>
                  <w:tcW w:type="auto" w:w="0"/>
                  <w:shd w:val="clear" w:color="auto" w:fill="F0F0F0"/>
                </w:tcPr>
                <w:p>
                  <w:pPr>
                    <w:pStyle w:val="Normal"/>
                    <w:keepLines w:val="on"/>
                  </w:pPr>
                  <w:r>
                    <w:t>4.15%</w:t>
                  </w:r>
                </w:p>
              </w:tc>
              <w:tc>
                <w:tcPr>
                  <w:tcW w:type="auto" w:w="0"/>
                  <w:shd w:val="clear" w:color="auto" w:fill="F0F0F0"/>
                </w:tcPr>
                <w:p>
                  <w:pPr>
                    <w:pStyle w:val="Normal"/>
                    <w:keepLines w:val="on"/>
                  </w:pPr>
                  <w:r>
                    <w:t>2.69%</w:t>
                  </w:r>
                </w:p>
              </w:tc>
            </w:tr>
          </w:tbl>
          <w:p/>
        </w:tc>
      </w:tr>
    </w:tbl>
    <w:p>
      <w:pPr>
        <w:pStyle w:val="Para 03"/>
      </w:pPr>
      <w:r>
        <w:t>Tuy nhiên, những số liệu thống kê này bỏ sót một thành phần then chốt của bất động sản, đó là khác với hầu hết các loại tài sản khác, phần lớn bất động sản không được giao dịch. Nếu bạn đưa phần bất động sản không được giao dịch đó vào bức tranh, chiếc bánh tài sản toàn cầu sẽ thay đổi đáng kể. Chẳng hạn, vào năm 2023, người ta ước tính tổng giá trị bất động sản trên toàn cầu là 614 nghìn tỷ đô la, với 115 nghìn tỷ đô la là bất động sản nhà ở và 499 nghìn tỷ đô la là bất động sản thương mại. Nói ngắn gọn, tổng giá trị của bất động sản lớn hơn nhiều so với tổng giá trị của các tài sản tài chính, khi cổ phiếu vào năm 2023 có tổng giá trị là 109 nghìn tỷ đô la.</w:t>
      </w:r>
    </w:p>
    <w:p>
      <w:pPr>
        <w:pStyle w:val="Para 03"/>
      </w:pPr>
      <w:r>
        <w:t>Vì phần lớn của cải của chúng ta gắn liền với bất động sản và xem nó như một lựa chọn thay thế cho việc đầu tư vào tài sản tài chính hay các tài sản khác, có vẻ như điều thiết yếu là chúng ta phải áp dụng những cách tiếp cận để phân tích các khoản đầu tư bất động sản nhất quán với cách chúng ta định giá cổ phiếu hay trái phiếu, và đó chính là điều chúng ta sẽ cố gắng thực hiện trong chương này.</w:t>
      </w:r>
    </w:p>
    <w:p>
      <w:bookmarkStart w:id="5446" w:name="Historical_Returns__In_addition"/>
      <w:bookmarkStart w:id="5447" w:name="Historical_Returns"/>
      <w:pPr>
        <w:keepNext/>
        <w:pStyle w:val="Heading 3"/>
        <w:keepLines w:val="on"/>
      </w:pPr>
      <w:r>
        <w:t>Lợi nhuận trong quá khứ</w:t>
      </w:r>
      <w:bookmarkEnd w:id="5446"/>
      <w:bookmarkEnd w:id="5447"/>
    </w:p>
    <w:p>
      <w:pPr>
        <w:pStyle w:val="Para 03"/>
      </w:pPr>
      <w:r>
        <w:t>Ngoài việc ghi chép lại có bao nhiêu phần của cải của chúng ta được đầu tư vào bất động sản và xác định nên đầu tư bao nhiêu trong tương lai, điều quan trọng là chúng ta phải ghi chép lại lịch sử của bất động sản trong việc mang lại lợi nhuận, đặc biệt là so với các loại tài sản tài chính. Để đưa ra phán đoán này, chúng ta cần các chỉ số nắm bắt được hiệu suất của bất động sản như một loại tài sản, và đã có những nỗ lực ước tính các chỉ số thị trường và các thông số rủi ro cho các loại đầu tư bất động sản.</w:t>
      </w:r>
    </w:p>
    <w:p>
      <w:pPr>
        <w:pStyle w:val="Para 03"/>
      </w:pPr>
      <w:r>
        <w:t>Giải pháp hiển nhiên nhưng chưa hoàn hảo cho vấn đề không được giao dịch của bất động sản là xây dựng các chỉ số của các quỹ tín thác đầu tư bất động sản (REITs), vốn được giao dịch và có giá thị trường. Lý do điều này có thể không thỏa đáng là vì các bất động sản mà các quỹ tín thác đầu tư bất động sản sở hữu có thể không đại diện cho thị trường bất động sản, và việc chứng khoán hóa bất động sản có thể dẫn đến những khác biệt giữa lợi nhuận của bất động sản và lợi nhuận của REIT. Một chỉ số thay thế gắn chặt hơn với giá trị bất động sản là National Council of Real Estate Investment Fiduciaries (NCREIF), tổ chức ước tính lợi nhuận hàng năm cho bất động sản thương mại cũng như cho đất nông nghiệp. Vì các giao dịch trên từng bất động sản riêng lẻ diễn ra không thường xuyên, NCREIF sử dụng giá trị thẩm định của các bất động sản để đo lường lợi nhuận. Cuối cùng, Case và Shiller đã xây dựng một chỉ số sử dụng giá giao dịch thực tế, thay vì giá trị thẩm định, để ước tính giá trị của bất động sản nhà ở. Bảng 26.2 tóm tắt lợi nhuận của các chỉ số bất động sản, S&amp;P 500, và một chỉ số trái phiếu.</w:t>
      </w:r>
    </w:p>
    <w:p>
      <w:pPr>
        <w:pStyle w:val="Para 34"/>
        <w:keepLines w:val="on"/>
      </w:pPr>
      <w:r>
        <w:t>Bảng 26.2</w:t>
      </w:r>
    </w:p>
    <w:p>
      <w:pPr>
        <w:keepNext/>
        <w:pStyle w:val="Para 35"/>
        <w:keepLines w:val="on"/>
      </w:pPr>
      <w:r>
        <w:t>Lợi nhuận theo Loại tài sản</w:t>
      </w:r>
    </w:p>
    <w:tbl>
      <w:tblPr>
        <w:tblW w:type="auto" w:w="0"/>
      </w:tblPr>
      <w:tr>
        <w:tc>
          <w:tcPr>
            <w:tcW w:type="auto" w:w="0"/>
          </w:tcPr>
          <w:tbl>
            <w:tblPr>
              <w:tblW w:type="auto" w:w="0"/>
            </w:tblPr>
            <w:tr>
              <w:tc>
                <w:tcPr>
                  <w:tcW w:type="auto" w:w="0"/>
                  <w:shd w:val="clear" w:color="auto" w:fill="F0F0F0"/>
                  <w:vAlign w:val="bottom"/>
                </w:tcPr>
                <w:p>
                  <w:pPr>
                    <w:pStyle w:val="Para 61"/>
                    <w:keepLines w:val="on"/>
                  </w:pPr>
                  <w:r>
                    <w:t>Loại tài sản</w:t>
                  </w:r>
                </w:p>
              </w:tc>
              <w:tc>
                <w:tcPr>
                  <w:tcW w:type="auto" w:w="0"/>
                  <w:shd w:val="clear" w:color="auto" w:fill="F0F0F0"/>
                  <w:vAlign w:val="bottom"/>
                </w:tcPr>
                <w:p>
                  <w:pPr>
                    <w:pStyle w:val="Para 45"/>
                    <w:keepLines w:val="on"/>
                  </w:pPr>
                  <w:r>
                    <w:t>Nguồn dữ liệu</w:t>
                  </w:r>
                </w:p>
              </w:tc>
              <w:tc>
                <w:tcPr>
                  <w:tcW w:type="auto" w:w="0"/>
                  <w:shd w:val="clear" w:color="auto" w:fill="F0F0F0"/>
                  <w:vAlign w:val="bottom"/>
                </w:tcPr>
                <w:p>
                  <w:pPr>
                    <w:pStyle w:val="Para 45"/>
                    <w:keepLines w:val="on"/>
                  </w:pPr>
                  <w:r>
                    <w:t>Khoảng thời gian</w:t>
                  </w:r>
                </w:p>
              </w:tc>
              <w:tc>
                <w:tcPr>
                  <w:tcW w:type="auto" w:w="0"/>
                  <w:shd w:val="clear" w:color="auto" w:fill="F0F0F0"/>
                  <w:vAlign w:val="bottom"/>
                </w:tcPr>
                <w:p>
                  <w:pPr>
                    <w:pStyle w:val="Para 45"/>
                    <w:keepLines w:val="on"/>
                  </w:pPr>
                  <w:r>
                    <w:t>Thước đo lợi nhuận</w:t>
                  </w:r>
                </w:p>
              </w:tc>
              <w:tc>
                <w:tcPr>
                  <w:tcW w:type="auto" w:w="0"/>
                  <w:shd w:val="clear" w:color="auto" w:fill="F0F0F0"/>
                  <w:vAlign w:val="bottom"/>
                </w:tcPr>
                <w:p>
                  <w:pPr>
                    <w:pStyle w:val="Para 45"/>
                    <w:keepLines w:val="on"/>
                  </w:pPr>
                  <w:r>
                    <w:t>Trung bình số học</w:t>
                  </w:r>
                </w:p>
              </w:tc>
              <w:tc>
                <w:tcPr>
                  <w:tcW w:type="auto" w:w="0"/>
                  <w:shd w:val="clear" w:color="auto" w:fill="F0F0F0"/>
                  <w:vAlign w:val="bottom"/>
                </w:tcPr>
                <w:p>
                  <w:pPr>
                    <w:pStyle w:val="Para 45"/>
                    <w:keepLines w:val="on"/>
                  </w:pPr>
                  <w:r>
                    <w:t>Độ lệch chuẩn</w:t>
                  </w:r>
                </w:p>
              </w:tc>
              <w:tc>
                <w:tcPr>
                  <w:tcW w:type="auto" w:w="0"/>
                  <w:shd w:val="clear" w:color="auto" w:fill="F0F0F0"/>
                  <w:vAlign w:val="bottom"/>
                </w:tcPr>
                <w:p>
                  <w:pPr>
                    <w:pStyle w:val="Para 45"/>
                    <w:keepLines w:val="on"/>
                  </w:pPr>
                  <w:r>
                    <w:t>Trung bình hình học</w:t>
                  </w:r>
                </w:p>
              </w:tc>
            </w:tr>
            <w:tr>
              <w:tc>
                <w:tcPr>
                  <w:tcW w:type="auto" w:w="0"/>
                  <w:shd w:val="clear" w:color="auto" w:fill="F0F0F0"/>
                </w:tcPr>
                <w:p>
                  <w:pPr>
                    <w:pStyle w:val="Para 02"/>
                    <w:keepLines w:val="on"/>
                  </w:pPr>
                  <w:r>
                    <w:t>Cổ phiếu</w:t>
                  </w:r>
                </w:p>
              </w:tc>
              <w:tc>
                <w:tcPr>
                  <w:tcW w:type="auto" w:w="0"/>
                  <w:shd w:val="clear" w:color="auto" w:fill="F0F0F0"/>
                </w:tcPr>
                <w:p>
                  <w:pPr>
                    <w:pStyle w:val="Para 02"/>
                    <w:keepLines w:val="on"/>
                  </w:pPr>
                  <w:r>
                    <w:t>S&amp;P 500</w:t>
                  </w:r>
                </w:p>
              </w:tc>
              <w:tc>
                <w:tcPr>
                  <w:tcW w:type="auto" w:w="0"/>
                  <w:shd w:val="clear" w:color="auto" w:fill="F0F0F0"/>
                </w:tcPr>
                <w:p>
                  <w:pPr>
                    <w:pStyle w:val="Normal"/>
                    <w:keepLines w:val="on"/>
                  </w:pPr>
                  <w:r>
                    <w:t>1928–2023</w:t>
                  </w:r>
                </w:p>
              </w:tc>
              <w:tc>
                <w:tcPr>
                  <w:tcW w:type="auto" w:w="0"/>
                  <w:shd w:val="clear" w:color="auto" w:fill="F0F0F0"/>
                </w:tcPr>
                <w:p>
                  <w:pPr>
                    <w:pStyle w:val="Para 02"/>
                    <w:keepLines w:val="on"/>
                  </w:pPr>
                  <w:r>
                    <w:t>Cổ tức + Tăng giá</w:t>
                  </w:r>
                </w:p>
              </w:tc>
              <w:tc>
                <w:tcPr>
                  <w:tcW w:type="auto" w:w="0"/>
                  <w:shd w:val="clear" w:color="auto" w:fill="F0F0F0"/>
                </w:tcPr>
                <w:p>
                  <w:pPr>
                    <w:pStyle w:val="Normal"/>
                    <w:keepLines w:val="on"/>
                  </w:pPr>
                  <w:r>
                    <w:t>11,66%</w:t>
                  </w:r>
                </w:p>
              </w:tc>
              <w:tc>
                <w:tcPr>
                  <w:tcW w:type="auto" w:w="0"/>
                  <w:shd w:val="clear" w:color="auto" w:fill="F0F0F0"/>
                </w:tcPr>
                <w:p>
                  <w:pPr>
                    <w:pStyle w:val="Normal"/>
                    <w:keepLines w:val="on"/>
                  </w:pPr>
                  <w:r>
                    <w:t>19,55%</w:t>
                  </w:r>
                </w:p>
              </w:tc>
              <w:tc>
                <w:tcPr>
                  <w:tcW w:type="auto" w:w="0"/>
                  <w:shd w:val="clear" w:color="auto" w:fill="F0F0F0"/>
                </w:tcPr>
                <w:p>
                  <w:pPr>
                    <w:pStyle w:val="Normal"/>
                    <w:keepLines w:val="on"/>
                  </w:pPr>
                  <w:r>
                    <w:t>9,80%</w:t>
                  </w:r>
                </w:p>
              </w:tc>
            </w:tr>
            <w:tr>
              <w:tc>
                <w:tcPr>
                  <w:tcW w:type="auto" w:w="0"/>
                  <w:shd w:val="clear" w:color="auto" w:fill="F0F0F0"/>
                </w:tcPr>
                <w:p>
                  <w:pPr>
                    <w:pStyle w:val="Para 02"/>
                    <w:keepLines w:val="on"/>
                  </w:pPr>
                  <w:r>
                    <w:t>Trái phiếu Kho bạc (kỳ hạn 10 năm)</w:t>
                  </w:r>
                </w:p>
              </w:tc>
              <w:tc>
                <w:tcPr>
                  <w:tcW w:type="auto" w:w="0"/>
                  <w:shd w:val="clear" w:color="auto" w:fill="F0F0F0"/>
                </w:tcPr>
                <w:p>
                  <w:pPr>
                    <w:pStyle w:val="Para 02"/>
                    <w:keepLines w:val="on"/>
                  </w:pPr>
                  <w:r>
                    <w:t>FRED</w:t>
                  </w:r>
                </w:p>
              </w:tc>
              <w:tc>
                <w:tcPr>
                  <w:tcW w:type="auto" w:w="0"/>
                  <w:shd w:val="clear" w:color="auto" w:fill="F0F0F0"/>
                </w:tcPr>
                <w:p>
                  <w:pPr>
                    <w:pStyle w:val="Normal"/>
                    <w:keepLines w:val="on"/>
                  </w:pPr>
                  <w:r>
                    <w:t>1928–2023</w:t>
                  </w:r>
                </w:p>
              </w:tc>
              <w:tc>
                <w:tcPr>
                  <w:tcW w:type="auto" w:w="0"/>
                  <w:shd w:val="clear" w:color="auto" w:fill="F0F0F0"/>
                </w:tcPr>
                <w:p>
                  <w:pPr>
                    <w:pStyle w:val="Para 02"/>
                    <w:keepLines w:val="on"/>
                  </w:pPr>
                  <w:r>
                    <w:t>Tổng lợi nhuận trái phiếu kỳ hạn 10 năm</w:t>
                  </w:r>
                </w:p>
              </w:tc>
              <w:tc>
                <w:tcPr>
                  <w:tcW w:type="auto" w:w="0"/>
                  <w:shd w:val="clear" w:color="auto" w:fill="F0F0F0"/>
                </w:tcPr>
                <w:p>
                  <w:pPr>
                    <w:pStyle w:val="Normal"/>
                    <w:keepLines w:val="on"/>
                  </w:pPr>
                  <w:r>
                    <w:t>4,86%</w:t>
                  </w:r>
                </w:p>
              </w:tc>
              <w:tc>
                <w:tcPr>
                  <w:tcW w:type="auto" w:w="0"/>
                  <w:shd w:val="clear" w:color="auto" w:fill="F0F0F0"/>
                </w:tcPr>
                <w:p>
                  <w:pPr>
                    <w:pStyle w:val="Normal"/>
                    <w:keepLines w:val="on"/>
                  </w:pPr>
                  <w:r>
                    <w:t>7,95%</w:t>
                  </w:r>
                </w:p>
              </w:tc>
              <w:tc>
                <w:tcPr>
                  <w:tcW w:type="auto" w:w="0"/>
                  <w:shd w:val="clear" w:color="auto" w:fill="F0F0F0"/>
                </w:tcPr>
                <w:p>
                  <w:pPr>
                    <w:pStyle w:val="Normal"/>
                    <w:keepLines w:val="on"/>
                  </w:pPr>
                  <w:r>
                    <w:t>4,57%</w:t>
                  </w:r>
                </w:p>
              </w:tc>
            </w:tr>
            <w:tr>
              <w:tc>
                <w:tcPr>
                  <w:tcW w:type="auto" w:w="0"/>
                  <w:shd w:val="clear" w:color="auto" w:fill="F0F0F0"/>
                </w:tcPr>
                <w:p>
                  <w:pPr>
                    <w:pStyle w:val="Para 02"/>
                    <w:keepLines w:val="on"/>
                  </w:pPr>
                  <w:r>
                    <w:t>Tín phiếu Kho bạc (kỳ hạn 3 tháng)</w:t>
                  </w:r>
                </w:p>
              </w:tc>
              <w:tc>
                <w:tcPr>
                  <w:tcW w:type="auto" w:w="0"/>
                  <w:shd w:val="clear" w:color="auto" w:fill="F0F0F0"/>
                </w:tcPr>
                <w:p>
                  <w:pPr>
                    <w:pStyle w:val="Para 02"/>
                    <w:keepLines w:val="on"/>
                  </w:pPr>
                  <w:r>
                    <w:t>FRD</w:t>
                  </w:r>
                </w:p>
              </w:tc>
              <w:tc>
                <w:tcPr>
                  <w:tcW w:type="auto" w:w="0"/>
                  <w:shd w:val="clear" w:color="auto" w:fill="F0F0F0"/>
                </w:tcPr>
                <w:p>
                  <w:pPr>
                    <w:pStyle w:val="Normal"/>
                    <w:keepLines w:val="on"/>
                  </w:pPr>
                  <w:r>
                    <w:t>1928–2023</w:t>
                  </w:r>
                </w:p>
              </w:tc>
              <w:tc>
                <w:tcPr>
                  <w:tcW w:type="auto" w:w="0"/>
                  <w:shd w:val="clear" w:color="auto" w:fill="F0F0F0"/>
                </w:tcPr>
                <w:p>
                  <w:pPr>
                    <w:pStyle w:val="Para 02"/>
                    <w:keepLines w:val="on"/>
                  </w:pPr>
                  <w:r>
                    <w:t>Tín phiếu Kho bạc kỳ hạn 3 tháng</w:t>
                  </w:r>
                </w:p>
              </w:tc>
              <w:tc>
                <w:tcPr>
                  <w:tcW w:type="auto" w:w="0"/>
                  <w:shd w:val="clear" w:color="auto" w:fill="F0F0F0"/>
                </w:tcPr>
                <w:p>
                  <w:pPr>
                    <w:pStyle w:val="Normal"/>
                    <w:keepLines w:val="on"/>
                  </w:pPr>
                  <w:r>
                    <w:t>3,34%</w:t>
                  </w:r>
                </w:p>
              </w:tc>
              <w:tc>
                <w:tcPr>
                  <w:tcW w:type="auto" w:w="0"/>
                  <w:shd w:val="clear" w:color="auto" w:fill="F0F0F0"/>
                </w:tcPr>
                <w:p>
                  <w:pPr>
                    <w:pStyle w:val="Normal"/>
                    <w:keepLines w:val="on"/>
                  </w:pPr>
                  <w:r>
                    <w:t>3,01%</w:t>
                  </w:r>
                </w:p>
              </w:tc>
              <w:tc>
                <w:tcPr>
                  <w:tcW w:type="auto" w:w="0"/>
                  <w:shd w:val="clear" w:color="auto" w:fill="F0F0F0"/>
                </w:tcPr>
                <w:p>
                  <w:pPr>
                    <w:pStyle w:val="Normal"/>
                    <w:keepLines w:val="on"/>
                  </w:pPr>
                  <w:r>
                    <w:t>3,30%</w:t>
                  </w:r>
                </w:p>
              </w:tc>
            </w:tr>
            <w:tr>
              <w:tc>
                <w:tcPr>
                  <w:tcW w:type="auto" w:w="0"/>
                  <w:shd w:val="clear" w:color="auto" w:fill="F0F0F0"/>
                </w:tcPr>
                <w:p>
                  <w:pPr>
                    <w:pStyle w:val="Para 02"/>
                    <w:keepLines w:val="on"/>
                  </w:pPr>
                  <w:r>
                    <w:t>Tín phiếu doanh nghiệp (kỳ hạn 3 tháng)</w:t>
                  </w:r>
                </w:p>
              </w:tc>
              <w:tc>
                <w:tcPr>
                  <w:tcW w:type="auto" w:w="0"/>
                  <w:shd w:val="clear" w:color="auto" w:fill="F0F0F0"/>
                </w:tcPr>
                <w:p>
                  <w:pPr>
                    <w:pStyle w:val="Para 02"/>
                    <w:keepLines w:val="on"/>
                  </w:pPr>
                  <w:r>
                    <w:t>FRED</w:t>
                  </w:r>
                </w:p>
              </w:tc>
              <w:tc>
                <w:tcPr>
                  <w:tcW w:type="auto" w:w="0"/>
                  <w:shd w:val="clear" w:color="auto" w:fill="F0F0F0"/>
                </w:tcPr>
                <w:p>
                  <w:pPr>
                    <w:pStyle w:val="Normal"/>
                    <w:keepLines w:val="on"/>
                  </w:pPr>
                  <w:r>
                    <w:t>1928–2023</w:t>
                  </w:r>
                </w:p>
              </w:tc>
              <w:tc>
                <w:tcPr>
                  <w:tcW w:type="auto" w:w="0"/>
                  <w:shd w:val="clear" w:color="auto" w:fill="F0F0F0"/>
                </w:tcPr>
                <w:p>
                  <w:pPr>
                    <w:pStyle w:val="Para 02"/>
                    <w:keepLines w:val="on"/>
                  </w:pPr>
                  <w:r>
                    <w:t>Tổng lợi nhuận trái phiếu Baa (Moody's)</w:t>
                  </w:r>
                </w:p>
              </w:tc>
              <w:tc>
                <w:tcPr>
                  <w:tcW w:type="auto" w:w="0"/>
                  <w:shd w:val="clear" w:color="auto" w:fill="F0F0F0"/>
                </w:tcPr>
                <w:p>
                  <w:pPr>
                    <w:pStyle w:val="Normal"/>
                    <w:keepLines w:val="on"/>
                  </w:pPr>
                  <w:r>
                    <w:t>6,95%</w:t>
                  </w:r>
                </w:p>
              </w:tc>
              <w:tc>
                <w:tcPr>
                  <w:tcW w:type="auto" w:w="0"/>
                  <w:shd w:val="clear" w:color="auto" w:fill="F0F0F0"/>
                </w:tcPr>
                <w:p>
                  <w:pPr>
                    <w:pStyle w:val="Normal"/>
                    <w:keepLines w:val="on"/>
                  </w:pPr>
                  <w:r>
                    <w:t>7,71%</w:t>
                  </w:r>
                </w:p>
              </w:tc>
              <w:tc>
                <w:tcPr>
                  <w:tcW w:type="auto" w:w="0"/>
                  <w:shd w:val="clear" w:color="auto" w:fill="F0F0F0"/>
                </w:tcPr>
                <w:p>
                  <w:pPr>
                    <w:pStyle w:val="Normal"/>
                    <w:keepLines w:val="on"/>
                  </w:pPr>
                  <w:r>
                    <w:t>6,68%</w:t>
                  </w:r>
                </w:p>
              </w:tc>
            </w:tr>
            <w:tr>
              <w:tc>
                <w:tcPr>
                  <w:tcW w:type="auto" w:w="0"/>
                  <w:shd w:val="clear" w:color="auto" w:fill="F0F0F0"/>
                </w:tcPr>
                <w:p>
                  <w:pPr>
                    <w:pStyle w:val="Para 02"/>
                    <w:keepLines w:val="on"/>
                  </w:pPr>
                  <w:r>
                    <w:t>REIT cổ phần (Equity REITs)</w:t>
                  </w:r>
                </w:p>
              </w:tc>
              <w:tc>
                <w:tcPr>
                  <w:tcW w:type="auto" w:w="0"/>
                  <w:shd w:val="clear" w:color="auto" w:fill="F0F0F0"/>
                </w:tcPr>
                <w:p>
                  <w:pPr>
                    <w:pStyle w:val="Para 02"/>
                    <w:keepLines w:val="on"/>
                  </w:pPr>
                  <w:r>
                    <w:t>FTSE</w:t>
                  </w:r>
                </w:p>
              </w:tc>
              <w:tc>
                <w:tcPr>
                  <w:tcW w:type="auto" w:w="0"/>
                  <w:shd w:val="clear" w:color="auto" w:fill="F0F0F0"/>
                </w:tcPr>
                <w:p>
                  <w:pPr>
                    <w:pStyle w:val="Normal"/>
                    <w:keepLines w:val="on"/>
                  </w:pPr>
                  <w:r>
                    <w:t>1972–2023</w:t>
                  </w:r>
                </w:p>
              </w:tc>
              <w:tc>
                <w:tcPr>
                  <w:tcW w:type="auto" w:w="0"/>
                  <w:shd w:val="clear" w:color="auto" w:fill="F0F0F0"/>
                </w:tcPr>
                <w:p>
                  <w:pPr>
                    <w:pStyle w:val="Para 02"/>
                    <w:keepLines w:val="on"/>
                  </w:pPr>
                  <w:r>
                    <w:t>Cổ tức + Tăng giá</w:t>
                  </w:r>
                </w:p>
              </w:tc>
              <w:tc>
                <w:tcPr>
                  <w:tcW w:type="auto" w:w="0"/>
                  <w:shd w:val="clear" w:color="auto" w:fill="F0F0F0"/>
                </w:tcPr>
                <w:p>
                  <w:pPr>
                    <w:pStyle w:val="Normal"/>
                    <w:keepLines w:val="on"/>
                  </w:pPr>
                  <w:r>
                    <w:t>12,74%</w:t>
                  </w:r>
                </w:p>
              </w:tc>
              <w:tc>
                <w:tcPr>
                  <w:tcW w:type="auto" w:w="0"/>
                  <w:shd w:val="clear" w:color="auto" w:fill="F0F0F0"/>
                </w:tcPr>
                <w:p>
                  <w:pPr>
                    <w:pStyle w:val="Normal"/>
                    <w:keepLines w:val="on"/>
                  </w:pPr>
                  <w:r>
                    <w:t>18,41%</w:t>
                  </w:r>
                </w:p>
              </w:tc>
              <w:tc>
                <w:tcPr>
                  <w:tcW w:type="auto" w:w="0"/>
                  <w:shd w:val="clear" w:color="auto" w:fill="F0F0F0"/>
                </w:tcPr>
                <w:p>
                  <w:pPr>
                    <w:pStyle w:val="Normal"/>
                    <w:keepLines w:val="on"/>
                  </w:pPr>
                  <w:r>
                    <w:t>10,89%</w:t>
                  </w:r>
                </w:p>
              </w:tc>
            </w:tr>
            <w:tr>
              <w:tc>
                <w:tcPr>
                  <w:tcW w:type="auto" w:w="0"/>
                  <w:shd w:val="clear" w:color="auto" w:fill="F0F0F0"/>
                </w:tcPr>
                <w:p>
                  <w:pPr>
                    <w:pStyle w:val="Para 02"/>
                    <w:keepLines w:val="on"/>
                  </w:pPr>
                  <w:r>
                    <w:t>REIT thế chấp (Mortgage REITs)</w:t>
                  </w:r>
                </w:p>
              </w:tc>
              <w:tc>
                <w:tcPr>
                  <w:tcW w:type="auto" w:w="0"/>
                  <w:shd w:val="clear" w:color="auto" w:fill="F0F0F0"/>
                </w:tcPr>
                <w:p>
                  <w:pPr>
                    <w:pStyle w:val="Para 02"/>
                    <w:keepLines w:val="on"/>
                  </w:pPr>
                  <w:r>
                    <w:t>FTSE</w:t>
                  </w:r>
                </w:p>
              </w:tc>
              <w:tc>
                <w:tcPr>
                  <w:tcW w:type="auto" w:w="0"/>
                  <w:shd w:val="clear" w:color="auto" w:fill="F0F0F0"/>
                </w:tcPr>
                <w:p>
                  <w:pPr>
                    <w:pStyle w:val="Normal"/>
                    <w:keepLines w:val="on"/>
                  </w:pPr>
                  <w:r>
                    <w:t>1972–2023</w:t>
                  </w:r>
                </w:p>
              </w:tc>
              <w:tc>
                <w:tcPr>
                  <w:tcW w:type="auto" w:w="0"/>
                  <w:shd w:val="clear" w:color="auto" w:fill="F0F0F0"/>
                </w:tcPr>
                <w:p>
                  <w:pPr>
                    <w:pStyle w:val="Para 02"/>
                    <w:keepLines w:val="on"/>
                  </w:pPr>
                  <w:r>
                    <w:t>Cổ tức + Tăng giá</w:t>
                  </w:r>
                </w:p>
              </w:tc>
              <w:tc>
                <w:tcPr>
                  <w:tcW w:type="auto" w:w="0"/>
                  <w:shd w:val="clear" w:color="auto" w:fill="F0F0F0"/>
                </w:tcPr>
                <w:p>
                  <w:pPr>
                    <w:pStyle w:val="Normal"/>
                    <w:keepLines w:val="on"/>
                  </w:pPr>
                  <w:r>
                    <w:t>8,40%</w:t>
                  </w:r>
                </w:p>
              </w:tc>
              <w:tc>
                <w:tcPr>
                  <w:tcW w:type="auto" w:w="0"/>
                  <w:shd w:val="clear" w:color="auto" w:fill="F0F0F0"/>
                </w:tcPr>
                <w:p>
                  <w:pPr>
                    <w:pStyle w:val="Normal"/>
                    <w:keepLines w:val="on"/>
                  </w:pPr>
                  <w:r>
                    <w:t>27,64%</w:t>
                  </w:r>
                </w:p>
              </w:tc>
              <w:tc>
                <w:tcPr>
                  <w:tcW w:type="auto" w:w="0"/>
                  <w:shd w:val="clear" w:color="auto" w:fill="F0F0F0"/>
                </w:tcPr>
                <w:p>
                  <w:pPr>
                    <w:pStyle w:val="Normal"/>
                    <w:keepLines w:val="on"/>
                  </w:pPr>
                  <w:r>
                    <w:t>4,68%</w:t>
                  </w:r>
                </w:p>
              </w:tc>
            </w:tr>
            <w:tr>
              <w:tc>
                <w:tcPr>
                  <w:tcW w:type="auto" w:w="0"/>
                  <w:shd w:val="clear" w:color="auto" w:fill="F0F0F0"/>
                </w:tcPr>
                <w:p>
                  <w:pPr>
                    <w:pStyle w:val="Para 02"/>
                    <w:keepLines w:val="on"/>
                  </w:pPr>
                  <w:r>
                    <w:t>Tất cả REIT</w:t>
                  </w:r>
                </w:p>
              </w:tc>
              <w:tc>
                <w:tcPr>
                  <w:tcW w:type="auto" w:w="0"/>
                  <w:shd w:val="clear" w:color="auto" w:fill="F0F0F0"/>
                </w:tcPr>
                <w:p>
                  <w:pPr>
                    <w:pStyle w:val="Para 02"/>
                    <w:keepLines w:val="on"/>
                  </w:pPr>
                  <w:r>
                    <w:t>FTSE</w:t>
                  </w:r>
                </w:p>
              </w:tc>
              <w:tc>
                <w:tcPr>
                  <w:tcW w:type="auto" w:w="0"/>
                  <w:shd w:val="clear" w:color="auto" w:fill="F0F0F0"/>
                </w:tcPr>
                <w:p>
                  <w:pPr>
                    <w:pStyle w:val="Normal"/>
                    <w:keepLines w:val="on"/>
                  </w:pPr>
                  <w:r>
                    <w:t>1971–2023</w:t>
                  </w:r>
                </w:p>
              </w:tc>
              <w:tc>
                <w:tcPr>
                  <w:tcW w:type="auto" w:w="0"/>
                  <w:shd w:val="clear" w:color="auto" w:fill="F0F0F0"/>
                </w:tcPr>
                <w:p>
                  <w:pPr>
                    <w:pStyle w:val="Para 02"/>
                    <w:keepLines w:val="on"/>
                  </w:pPr>
                  <w:r>
                    <w:t>Cổ tức + Tăng giá</w:t>
                  </w:r>
                </w:p>
              </w:tc>
              <w:tc>
                <w:tcPr>
                  <w:tcW w:type="auto" w:w="0"/>
                  <w:shd w:val="clear" w:color="auto" w:fill="F0F0F0"/>
                </w:tcPr>
                <w:p>
                  <w:pPr>
                    <w:pStyle w:val="Normal"/>
                    <w:keepLines w:val="on"/>
                  </w:pPr>
                  <w:r>
                    <w:t>11,27%</w:t>
                  </w:r>
                </w:p>
              </w:tc>
              <w:tc>
                <w:tcPr>
                  <w:tcW w:type="auto" w:w="0"/>
                  <w:shd w:val="clear" w:color="auto" w:fill="F0F0F0"/>
                </w:tcPr>
                <w:p>
                  <w:pPr>
                    <w:pStyle w:val="Normal"/>
                    <w:keepLines w:val="on"/>
                  </w:pPr>
                  <w:r>
                    <w:t>20,42%</w:t>
                  </w:r>
                </w:p>
              </w:tc>
              <w:tc>
                <w:tcPr>
                  <w:tcW w:type="auto" w:w="0"/>
                  <w:shd w:val="clear" w:color="auto" w:fill="F0F0F0"/>
                </w:tcPr>
                <w:p>
                  <w:pPr>
                    <w:pStyle w:val="Normal"/>
                    <w:keepLines w:val="on"/>
                  </w:pPr>
                  <w:r>
                    <w:t>9,00%</w:t>
                  </w:r>
                </w:p>
              </w:tc>
            </w:tr>
            <w:tr>
              <w:tc>
                <w:tcPr>
                  <w:tcW w:type="auto" w:w="0"/>
                  <w:shd w:val="clear" w:color="auto" w:fill="F0F0F0"/>
                </w:tcPr>
                <w:p>
                  <w:pPr>
                    <w:pStyle w:val="Para 02"/>
                    <w:keepLines w:val="on"/>
                  </w:pPr>
                  <w:r>
                    <w:t>Bất động sản thương mại</w:t>
                  </w:r>
                </w:p>
              </w:tc>
              <w:tc>
                <w:tcPr>
                  <w:tcW w:type="auto" w:w="0"/>
                  <w:shd w:val="clear" w:color="auto" w:fill="F0F0F0"/>
                </w:tcPr>
                <w:p>
                  <w:pPr>
                    <w:pStyle w:val="Para 02"/>
                    <w:keepLines w:val="on"/>
                  </w:pPr>
                  <w:r>
                    <w:t>NCREIF</w:t>
                  </w:r>
                </w:p>
              </w:tc>
              <w:tc>
                <w:tcPr>
                  <w:tcW w:type="auto" w:w="0"/>
                  <w:shd w:val="clear" w:color="auto" w:fill="F0F0F0"/>
                </w:tcPr>
                <w:p>
                  <w:pPr>
                    <w:pStyle w:val="Normal"/>
                    <w:keepLines w:val="on"/>
                  </w:pPr>
                  <w:r>
                    <w:t>1978–2023</w:t>
                  </w:r>
                </w:p>
              </w:tc>
              <w:tc>
                <w:tcPr>
                  <w:tcW w:type="auto" w:w="0"/>
                  <w:shd w:val="clear" w:color="auto" w:fill="F0F0F0"/>
                </w:tcPr>
                <w:p>
                  <w:pPr>
                    <w:pStyle w:val="Para 02"/>
                    <w:keepLines w:val="on"/>
                  </w:pPr>
                  <w:r>
                    <w:t>Tổng lợi nhuận, giá trị thẩm định</w:t>
                  </w:r>
                </w:p>
              </w:tc>
              <w:tc>
                <w:tcPr>
                  <w:tcW w:type="auto" w:w="0"/>
                  <w:shd w:val="clear" w:color="auto" w:fill="F0F0F0"/>
                </w:tcPr>
                <w:p>
                  <w:pPr>
                    <w:pStyle w:val="Normal"/>
                    <w:keepLines w:val="on"/>
                  </w:pPr>
                  <w:r>
                    <w:t>9,20%</w:t>
                  </w:r>
                </w:p>
              </w:tc>
              <w:tc>
                <w:tcPr>
                  <w:tcW w:type="auto" w:w="0"/>
                  <w:shd w:val="clear" w:color="auto" w:fill="F0F0F0"/>
                </w:tcPr>
                <w:p>
                  <w:pPr>
                    <w:pStyle w:val="Normal"/>
                    <w:keepLines w:val="on"/>
                  </w:pPr>
                  <w:r>
                    <w:t>7,40%</w:t>
                  </w:r>
                </w:p>
              </w:tc>
              <w:tc>
                <w:tcPr>
                  <w:tcW w:type="auto" w:w="0"/>
                  <w:shd w:val="clear" w:color="auto" w:fill="F0F0F0"/>
                </w:tcPr>
                <w:p>
                  <w:pPr>
                    <w:pStyle w:val="Normal"/>
                    <w:keepLines w:val="on"/>
                  </w:pPr>
                  <w:r>
                    <w:t>Không có</w:t>
                  </w:r>
                </w:p>
              </w:tc>
            </w:tr>
            <w:tr>
              <w:tc>
                <w:tcPr>
                  <w:tcW w:type="auto" w:w="0"/>
                  <w:shd w:val="clear" w:color="auto" w:fill="F0F0F0"/>
                </w:tcPr>
                <w:p>
                  <w:pPr>
                    <w:pStyle w:val="Para 02"/>
                    <w:keepLines w:val="on"/>
                  </w:pPr>
                  <w:r>
                    <w:t>Bất động sản nhà ở</w:t>
                  </w:r>
                </w:p>
              </w:tc>
              <w:tc>
                <w:tcPr>
                  <w:tcW w:type="auto" w:w="0"/>
                  <w:shd w:val="clear" w:color="auto" w:fill="F0F0F0"/>
                </w:tcPr>
                <w:p>
                  <w:pPr>
                    <w:pStyle w:val="Para 02"/>
                    <w:keepLines w:val="on"/>
                  </w:pPr>
                  <w:r>
                    <w:t>Case &amp; Shiller</w:t>
                  </w:r>
                </w:p>
              </w:tc>
              <w:tc>
                <w:tcPr>
                  <w:tcW w:type="auto" w:w="0"/>
                  <w:shd w:val="clear" w:color="auto" w:fill="F0F0F0"/>
                </w:tcPr>
                <w:p>
                  <w:pPr>
                    <w:pStyle w:val="Normal"/>
                    <w:keepLines w:val="on"/>
                  </w:pPr>
                  <w:r>
                    <w:t>1928–2023</w:t>
                  </w:r>
                </w:p>
              </w:tc>
              <w:tc>
                <w:tcPr>
                  <w:tcW w:type="auto" w:w="0"/>
                  <w:shd w:val="clear" w:color="auto" w:fill="F0F0F0"/>
                </w:tcPr>
                <w:p>
                  <w:pPr>
                    <w:pStyle w:val="Para 02"/>
                    <w:keepLines w:val="on"/>
                  </w:pPr>
                  <w:r>
                    <w:t>Giá giao dịch</w:t>
                  </w:r>
                </w:p>
              </w:tc>
              <w:tc>
                <w:tcPr>
                  <w:tcW w:type="auto" w:w="0"/>
                  <w:shd w:val="clear" w:color="auto" w:fill="F0F0F0"/>
                </w:tcPr>
                <w:p>
                  <w:pPr>
                    <w:pStyle w:val="Normal"/>
                    <w:keepLines w:val="on"/>
                  </w:pPr>
                  <w:r>
                    <w:t>4,42%</w:t>
                  </w:r>
                </w:p>
              </w:tc>
              <w:tc>
                <w:tcPr>
                  <w:tcW w:type="auto" w:w="0"/>
                  <w:shd w:val="clear" w:color="auto" w:fill="F0F0F0"/>
                </w:tcPr>
                <w:p>
                  <w:pPr>
                    <w:pStyle w:val="Normal"/>
                    <w:keepLines w:val="on"/>
                  </w:pPr>
                  <w:r>
                    <w:t>6,24%</w:t>
                  </w:r>
                </w:p>
              </w:tc>
              <w:tc>
                <w:tcPr>
                  <w:tcW w:type="auto" w:w="0"/>
                  <w:shd w:val="clear" w:color="auto" w:fill="F0F0F0"/>
                </w:tcPr>
                <w:p>
                  <w:pPr>
                    <w:pStyle w:val="Normal"/>
                    <w:keepLines w:val="on"/>
                  </w:pPr>
                  <w:r>
                    <w:t>4,23%</w:t>
                  </w:r>
                </w:p>
              </w:tc>
            </w:tr>
          </w:tbl>
          <w:p/>
        </w:tc>
      </w:tr>
    </w:tbl>
    <w:p>
      <w:pPr>
        <w:pStyle w:val="Para 03"/>
      </w:pPr>
      <w:r>
        <w:t>Có một vài kết quả thú vị rút ra từ bảng này. Thứ nhất, không phải mọi chuỗi dữ liệu bất động sản đều hành xử giống nhau. Lợi nhuận từ REIT dường như có nhiều điểm chung với lợi nhuận từ thị trường chứng khoán hơn là với lợi nhuận từ các chỉ số bất động sản khác. Thứ hai, có mối tương quan chuỗi dương cao trong nhiều chuỗi lợi nhuận bất động sản, đặc biệt là những chuỗi dựa trên dữ liệu thẩm định. Điều này có thể được lý giải bởi việc làm mượt các giá trị thẩm định được sử dụng trong những chuỗi này. Thứ ba, độ lệch chuẩn của bất động sản được chứng khoán hóa (REIT) cao hơn đáng kể so với độ lệch chuẩn của các chuỗi bất động sản không giao dịch trên thị trường.</w:t>
      </w:r>
    </w:p>
    <w:p>
      <w:pPr>
        <w:pStyle w:val="Para 03"/>
      </w:pPr>
      <w:r>
        <w:t>Nhìn vào lợi nhuận lịch sử của bất động sản, có hai xu hướng trong lịch sử hiện ra.</w:t>
      </w:r>
    </w:p>
    <w:p>
      <w:pPr>
        <w:numPr>
          <w:ilvl w:val="0"/>
          <w:numId w:val="290"/>
        </w:numPr>
        <w:pStyle w:val="Para 01"/>
      </w:pPr>
      <w:r>
        <w:t>Thứ nhất là mức tăng giá của bất động sản theo thời gian khá khiêm tốn, với bất động sản nhà ở mang lại lợi nhuận trung bình gộp là 4,23% một năm từ 1928 đến 2003, thấp hơn mức 4,57% mà nhà đầu tư có thể kiếm được từ trái phiếu kho bạc kỳ hạn mười năm. Lợi nhuận sẽ tốt hơn nếu tính trên cơ sở tổng lợi nhuận, với các dòng tiền thu nhập bổ sung cho mức tăng giá, khi chỉ số NCREIF về bất động sản thương mại cho thấy lợi nhuận hàng năm là 9,20% trong giai đoạn 1978 đến 2023, với chưa đến một nửa trong số đó đến từ mức tăng giá.</w:t>
      </w:r>
    </w:p>
    <w:p>
      <w:pPr>
        <w:numPr>
          <w:ilvl w:val="0"/>
          <w:numId w:val="290"/>
        </w:numPr>
        <w:pStyle w:val="Para 01"/>
      </w:pPr>
      <w:r>
        <w:t>Độ lệch chuẩn của các chỉ số bất động sản được thẩm định (NCREIF và Case-Shiller) thấp, nhưng đó là vì những chỉ số này dựa trên giá trị thẩm định hoặc các giao dịch không thường xuyên. Nhà đầu tư nào dùng điều này như một dấu hiệu cho rằng bất động sản ít rủi ro hơn các lớp tài sản khác sẽ mắc một sai lầm nghiêm trọng.</w:t>
      </w:r>
    </w:p>
    <w:p>
      <w:bookmarkStart w:id="5450" w:name="Co_movement_with_Other_Asset_Cla_1"/>
      <w:bookmarkStart w:id="5451" w:name="Co_movement_with_Other_Asset_Cla"/>
      <w:pPr>
        <w:keepNext/>
        <w:pStyle w:val="Heading 3"/>
        <w:keepLines w:val="on"/>
      </w:pPr>
      <w:r>
        <w:t>Biến động cùng chiều với các lớp tài sản khác</w:t>
      </w:r>
      <w:bookmarkEnd w:id="5450"/>
      <w:bookmarkEnd w:id="5451"/>
    </w:p>
    <w:p>
      <w:pPr>
        <w:pStyle w:val="Para 03"/>
      </w:pPr>
      <w:r>
        <w:t>Cốt lõi của lời khuyên dành cho nhà đầu tư rằng việc thêm bất động sản vào danh mục sẽ tạo ra sự đánh đổi rủi ro/lợi nhuận tốt hơn là niềm tin rằng bất động sản là một lớp tài sản độc đáo, mang lại lợi nhuận khác biệt so với các lớp tài sản khác. Có bằng chứng cho thấy các khoản đầu tư bất động sản và tài sản tài chính trong lịch sử đã không biến động cùng nhau khi phản ứng với các sự kiện kinh tế lớn. Trong Bảng 26.3, chúng tôi tái hiện một bảng tương quan đo lường mối tương quan giữa các lớp tài sản khác nhau từ 1947 đến 1982, và nhận thấy rằng bất động sản có tương quan nhẹ hoặc tương quan nghịch với các tài sản tài chính.</w:t>
      </w:r>
    </w:p>
    <w:p>
      <w:pPr>
        <w:pStyle w:val="Para 34"/>
        <w:keepLines w:val="on"/>
      </w:pPr>
      <w:r>
        <w:t>Bảng 26.3</w:t>
      </w:r>
    </w:p>
    <w:p>
      <w:pPr>
        <w:keepNext/>
        <w:pStyle w:val="Para 35"/>
        <w:keepLines w:val="on"/>
      </w:pPr>
      <w:r>
        <w:t>Tương quan giữa các lớp tài sản: 1947–1982</w:t>
      </w:r>
    </w:p>
    <w:tbl>
      <w:tblPr>
        <w:tblW w:type="auto" w:w="0"/>
      </w:tblPr>
      <w:tr>
        <w:tc>
          <w:tcPr>
            <w:tcW w:type="auto" w:w="0"/>
          </w:tcPr>
          <w:tbl>
            <w:tblPr>
              <w:tblW w:type="pct" w:w="5000"/>
            </w:tblPr>
            <w:tr>
              <w:tc>
                <w:tcPr>
                  <w:tcW w:type="auto" w:w="0"/>
                  <w:shd w:val="clear" w:color="auto" w:fill="F0F0F0"/>
                </w:tcPr>
                <w:p>
                  <w:pPr>
                    <w:pStyle w:val="Para 17"/>
                    <w:keepLines w:val="on"/>
                  </w:pPr>
                  <w:r>
                    <w:t/>
                  </w:r>
                </w:p>
              </w:tc>
              <w:tc>
                <w:tcPr>
                  <w:tcW w:type="auto" w:w="0"/>
                  <w:shd w:val="clear" w:color="auto" w:fill="F0F0F0"/>
                </w:tcPr>
                <w:p>
                  <w:pPr>
                    <w:pStyle w:val="Para 17"/>
                    <w:keepLines w:val="on"/>
                  </w:pPr>
                  <w:r>
                    <w:t>I&amp;S</w:t>
                  </w:r>
                </w:p>
              </w:tc>
              <w:tc>
                <w:tcPr>
                  <w:tcW w:type="auto" w:w="0"/>
                  <w:shd w:val="clear" w:color="auto" w:fill="F0F0F0"/>
                </w:tcPr>
                <w:p>
                  <w:pPr>
                    <w:pStyle w:val="Para 17"/>
                    <w:keepLines w:val="on"/>
                  </w:pPr>
                  <w:r>
                    <w:t>CREF</w:t>
                  </w:r>
                </w:p>
              </w:tc>
              <w:tc>
                <w:tcPr>
                  <w:tcW w:type="auto" w:w="0"/>
                  <w:shd w:val="clear" w:color="auto" w:fill="F0F0F0"/>
                </w:tcPr>
                <w:p>
                  <w:pPr>
                    <w:pStyle w:val="Para 17"/>
                    <w:keepLines w:val="on"/>
                  </w:pPr>
                  <w:r>
                    <w:t>Nhà ở</w:t>
                  </w:r>
                </w:p>
              </w:tc>
              <w:tc>
                <w:tcPr>
                  <w:tcW w:type="auto" w:w="0"/>
                  <w:shd w:val="clear" w:color="auto" w:fill="F0F0F0"/>
                </w:tcPr>
                <w:p>
                  <w:pPr>
                    <w:pStyle w:val="Para 17"/>
                    <w:keepLines w:val="on"/>
                  </w:pPr>
                  <w:r>
                    <w:t>C&amp;S</w:t>
                  </w:r>
                </w:p>
              </w:tc>
              <w:tc>
                <w:tcPr>
                  <w:tcW w:type="auto" w:w="0"/>
                  <w:shd w:val="clear" w:color="auto" w:fill="F0F0F0"/>
                </w:tcPr>
                <w:p>
                  <w:pPr>
                    <w:pStyle w:val="Para 17"/>
                    <w:keepLines w:val="on"/>
                  </w:pPr>
                  <w:r>
                    <w:t>Nông trại</w:t>
                  </w:r>
                </w:p>
              </w:tc>
              <w:tc>
                <w:tcPr>
                  <w:tcW w:type="auto" w:w="0"/>
                  <w:shd w:val="clear" w:color="auto" w:fill="F0F0F0"/>
                </w:tcPr>
                <w:p>
                  <w:pPr>
                    <w:pStyle w:val="Para 17"/>
                    <w:keepLines w:val="on"/>
                  </w:pPr>
                  <w:r>
                    <w:t>S&amp;P</w:t>
                  </w:r>
                </w:p>
              </w:tc>
              <w:tc>
                <w:tcPr>
                  <w:tcW w:type="auto" w:w="0"/>
                  <w:shd w:val="clear" w:color="auto" w:fill="F0F0F0"/>
                </w:tcPr>
                <w:p>
                  <w:pPr>
                    <w:pStyle w:val="Para 17"/>
                    <w:keepLines w:val="on"/>
                  </w:pPr>
                  <w:r>
                    <w:t>Trái phiếu kho bạc dài hạn (T-bonds)</w:t>
                  </w:r>
                </w:p>
              </w:tc>
              <w:tc>
                <w:tcPr>
                  <w:tcW w:type="auto" w:w="0"/>
                  <w:shd w:val="clear" w:color="auto" w:fill="F0F0F0"/>
                </w:tcPr>
                <w:p>
                  <w:pPr>
                    <w:pStyle w:val="Para 17"/>
                    <w:keepLines w:val="on"/>
                  </w:pPr>
                  <w:r>
                    <w:t>Tín phiếu kho bạc (T-bills)</w:t>
                  </w:r>
                </w:p>
              </w:tc>
              <w:tc>
                <w:tcPr>
                  <w:tcW w:type="auto" w:w="0"/>
                  <w:shd w:val="clear" w:color="auto" w:fill="F0F0F0"/>
                </w:tcPr>
                <w:p>
                  <w:pPr>
                    <w:pStyle w:val="Para 17"/>
                    <w:keepLines w:val="on"/>
                  </w:pPr>
                  <w:r>
                    <w:t>Lạm phát (Inflation)</w:t>
                  </w:r>
                </w:p>
              </w:tc>
            </w:tr>
            <w:tr>
              <w:tc>
                <w:tcPr>
                  <w:tcW w:type="auto" w:w="0"/>
                  <w:shd w:val="clear" w:color="auto" w:fill="F0F0F0"/>
                </w:tcPr>
                <w:p>
                  <w:pPr>
                    <w:pStyle w:val="Para 02"/>
                    <w:keepLines w:val="on"/>
                  </w:pPr>
                  <w:r>
                    <w:t>I&amp;S</w:t>
                  </w:r>
                </w:p>
              </w:tc>
              <w:tc>
                <w:tcPr>
                  <w:tcW w:type="auto" w:w="0"/>
                  <w:shd w:val="clear" w:color="auto" w:fill="F0F0F0"/>
                </w:tcPr>
                <w:p>
                  <w:pPr>
                    <w:pStyle w:val="Normal"/>
                    <w:keepLines w:val="on"/>
                  </w:pPr>
                  <w:r>
                    <w:t>1,00</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CREF</w:t>
                  </w:r>
                </w:p>
              </w:tc>
              <w:tc>
                <w:tcPr>
                  <w:tcW w:type="auto" w:w="0"/>
                  <w:shd w:val="clear" w:color="auto" w:fill="F0F0F0"/>
                </w:tcPr>
                <w:p>
                  <w:pPr>
                    <w:pStyle w:val="Normal"/>
                    <w:keepLines w:val="on"/>
                  </w:pPr>
                  <w:r>
                    <w:t>0,79</w:t>
                  </w:r>
                </w:p>
              </w:tc>
              <w:tc>
                <w:tcPr>
                  <w:tcW w:type="auto" w:w="0"/>
                  <w:shd w:val="clear" w:color="auto" w:fill="F0F0F0"/>
                </w:tcPr>
                <w:p>
                  <w:pPr>
                    <w:pStyle w:val="Normal"/>
                    <w:keepLines w:val="on"/>
                  </w:pPr>
                  <w:r>
                    <w:t>1,00</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Nhà ở (Home)</w:t>
                  </w:r>
                </w:p>
              </w:tc>
              <w:tc>
                <w:tcPr>
                  <w:tcW w:type="auto" w:w="0"/>
                  <w:shd w:val="clear" w:color="auto" w:fill="F0F0F0"/>
                </w:tcPr>
                <w:p>
                  <w:pPr>
                    <w:pStyle w:val="Normal"/>
                    <w:keepLines w:val="on"/>
                  </w:pPr>
                  <w:r>
                    <w:t>0,52</w:t>
                  </w:r>
                </w:p>
              </w:tc>
              <w:tc>
                <w:tcPr>
                  <w:tcW w:type="auto" w:w="0"/>
                  <w:shd w:val="clear" w:color="auto" w:fill="F0F0F0"/>
                </w:tcPr>
                <w:p>
                  <w:pPr>
                    <w:pStyle w:val="Normal"/>
                    <w:keepLines w:val="on"/>
                  </w:pPr>
                  <w:r>
                    <w:t>0,12</w:t>
                  </w:r>
                </w:p>
              </w:tc>
              <w:tc>
                <w:tcPr>
                  <w:tcW w:type="auto" w:w="0"/>
                  <w:shd w:val="clear" w:color="auto" w:fill="F0F0F0"/>
                </w:tcPr>
                <w:p>
                  <w:pPr>
                    <w:pStyle w:val="Normal"/>
                    <w:keepLines w:val="on"/>
                  </w:pPr>
                  <w:r>
                    <w:t>1,00</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C&amp;S</w:t>
                  </w:r>
                </w:p>
              </w:tc>
              <w:tc>
                <w:tcPr>
                  <w:tcW w:type="auto" w:w="0"/>
                  <w:shd w:val="clear" w:color="auto" w:fill="F0F0F0"/>
                </w:tcPr>
                <w:p>
                  <w:pPr>
                    <w:pStyle w:val="Normal"/>
                    <w:keepLines w:val="on"/>
                  </w:pPr>
                  <w:r>
                    <w:t>0,26</w:t>
                  </w:r>
                </w:p>
              </w:tc>
              <w:tc>
                <w:tcPr>
                  <w:tcW w:type="auto" w:w="0"/>
                  <w:shd w:val="clear" w:color="auto" w:fill="F0F0F0"/>
                </w:tcPr>
                <w:p>
                  <w:pPr>
                    <w:pStyle w:val="Normal"/>
                    <w:keepLines w:val="on"/>
                  </w:pPr>
                  <w:r>
                    <w:t>0,16</w:t>
                  </w:r>
                </w:p>
              </w:tc>
              <w:tc>
                <w:tcPr>
                  <w:tcW w:type="auto" w:w="0"/>
                  <w:shd w:val="clear" w:color="auto" w:fill="F0F0F0"/>
                </w:tcPr>
                <w:p>
                  <w:pPr>
                    <w:pStyle w:val="Normal"/>
                    <w:keepLines w:val="on"/>
                  </w:pPr>
                  <w:r>
                    <w:t>0,62</w:t>
                  </w:r>
                </w:p>
              </w:tc>
              <w:tc>
                <w:tcPr>
                  <w:tcW w:type="auto" w:w="0"/>
                  <w:shd w:val="clear" w:color="auto" w:fill="F0F0F0"/>
                </w:tcPr>
                <w:p>
                  <w:pPr>
                    <w:pStyle w:val="Normal"/>
                    <w:keepLines w:val="on"/>
                  </w:pPr>
                  <w:r>
                    <w:t>1,00</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Nông trại (Farm)</w:t>
                  </w:r>
                </w:p>
              </w:tc>
              <w:tc>
                <w:tcPr>
                  <w:tcW w:type="auto" w:w="0"/>
                  <w:shd w:val="clear" w:color="auto" w:fill="F0F0F0"/>
                </w:tcPr>
                <w:p>
                  <w:pPr>
                    <w:pStyle w:val="Normal"/>
                    <w:keepLines w:val="on"/>
                  </w:pPr>
                  <w:r>
                    <w:t>0,06</w:t>
                  </w:r>
                </w:p>
              </w:tc>
              <w:tc>
                <w:tcPr>
                  <w:tcW w:type="auto" w:w="0"/>
                  <w:shd w:val="clear" w:color="auto" w:fill="F0F0F0"/>
                </w:tcPr>
                <w:p>
                  <w:pPr>
                    <w:pStyle w:val="Normal"/>
                    <w:keepLines w:val="on"/>
                  </w:pPr>
                  <w:r>
                    <w:t>−0,06</w:t>
                  </w:r>
                </w:p>
              </w:tc>
              <w:tc>
                <w:tcPr>
                  <w:tcW w:type="auto" w:w="0"/>
                  <w:shd w:val="clear" w:color="auto" w:fill="F0F0F0"/>
                </w:tcPr>
                <w:p>
                  <w:pPr>
                    <w:pStyle w:val="Normal"/>
                    <w:keepLines w:val="on"/>
                  </w:pPr>
                  <w:r>
                    <w:t>0,51</w:t>
                  </w:r>
                </w:p>
              </w:tc>
              <w:tc>
                <w:tcPr>
                  <w:tcW w:type="auto" w:w="0"/>
                  <w:shd w:val="clear" w:color="auto" w:fill="F0F0F0"/>
                </w:tcPr>
                <w:p>
                  <w:pPr>
                    <w:pStyle w:val="Normal"/>
                    <w:keepLines w:val="on"/>
                  </w:pPr>
                  <w:r>
                    <w:t>0,49</w:t>
                  </w:r>
                </w:p>
              </w:tc>
              <w:tc>
                <w:tcPr>
                  <w:tcW w:type="auto" w:w="0"/>
                  <w:shd w:val="clear" w:color="auto" w:fill="F0F0F0"/>
                </w:tcPr>
                <w:p>
                  <w:pPr>
                    <w:pStyle w:val="Normal"/>
                    <w:keepLines w:val="on"/>
                  </w:pPr>
                  <w:r>
                    <w:t>1,00</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S&amp;P</w:t>
                  </w:r>
                </w:p>
              </w:tc>
              <w:tc>
                <w:tcPr>
                  <w:tcW w:type="auto" w:w="0"/>
                  <w:shd w:val="clear" w:color="auto" w:fill="F0F0F0"/>
                </w:tcPr>
                <w:p>
                  <w:pPr>
                    <w:pStyle w:val="Normal"/>
                    <w:keepLines w:val="on"/>
                  </w:pPr>
                  <w:r>
                    <w:t>0,16</w:t>
                  </w:r>
                </w:p>
              </w:tc>
              <w:tc>
                <w:tcPr>
                  <w:tcW w:type="auto" w:w="0"/>
                  <w:shd w:val="clear" w:color="auto" w:fill="F0F0F0"/>
                </w:tcPr>
                <w:p>
                  <w:pPr>
                    <w:pStyle w:val="Normal"/>
                    <w:keepLines w:val="on"/>
                  </w:pPr>
                  <w:r>
                    <w:t>0,25</w:t>
                  </w:r>
                </w:p>
              </w:tc>
              <w:tc>
                <w:tcPr>
                  <w:tcW w:type="auto" w:w="0"/>
                  <w:shd w:val="clear" w:color="auto" w:fill="F0F0F0"/>
                </w:tcPr>
                <w:p>
                  <w:pPr>
                    <w:pStyle w:val="Normal"/>
                    <w:keepLines w:val="on"/>
                  </w:pPr>
                  <w:r>
                    <w:t>−0,13</w:t>
                  </w:r>
                </w:p>
              </w:tc>
              <w:tc>
                <w:tcPr>
                  <w:tcW w:type="auto" w:w="0"/>
                  <w:shd w:val="clear" w:color="auto" w:fill="F0F0F0"/>
                </w:tcPr>
                <w:p>
                  <w:pPr>
                    <w:pStyle w:val="Normal"/>
                    <w:keepLines w:val="on"/>
                  </w:pPr>
                  <w:r>
                    <w:t>−0,20</w:t>
                  </w:r>
                </w:p>
              </w:tc>
              <w:tc>
                <w:tcPr>
                  <w:tcW w:type="auto" w:w="0"/>
                  <w:shd w:val="clear" w:color="auto" w:fill="F0F0F0"/>
                </w:tcPr>
                <w:p>
                  <w:pPr>
                    <w:pStyle w:val="Normal"/>
                    <w:keepLines w:val="on"/>
                  </w:pPr>
                  <w:r>
                    <w:t>−0,10</w:t>
                  </w:r>
                </w:p>
              </w:tc>
              <w:tc>
                <w:tcPr>
                  <w:tcW w:type="auto" w:w="0"/>
                  <w:shd w:val="clear" w:color="auto" w:fill="F0F0F0"/>
                </w:tcPr>
                <w:p>
                  <w:pPr>
                    <w:pStyle w:val="Normal"/>
                    <w:keepLines w:val="on"/>
                  </w:pPr>
                  <w:r>
                    <w:t>1,00</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Trái phiếu kho bạc (T-bonds)</w:t>
                  </w:r>
                </w:p>
              </w:tc>
              <w:tc>
                <w:tcPr>
                  <w:tcW w:type="auto" w:w="0"/>
                  <w:shd w:val="clear" w:color="auto" w:fill="F0F0F0"/>
                </w:tcPr>
                <w:p>
                  <w:pPr>
                    <w:pStyle w:val="Normal"/>
                    <w:keepLines w:val="on"/>
                  </w:pPr>
                  <w:r>
                    <w:t>−0,04</w:t>
                  </w:r>
                </w:p>
              </w:tc>
              <w:tc>
                <w:tcPr>
                  <w:tcW w:type="auto" w:w="0"/>
                  <w:shd w:val="clear" w:color="auto" w:fill="F0F0F0"/>
                </w:tcPr>
                <w:p>
                  <w:pPr>
                    <w:pStyle w:val="Normal"/>
                    <w:keepLines w:val="on"/>
                  </w:pPr>
                  <w:r>
                    <w:t>0,01</w:t>
                  </w:r>
                </w:p>
              </w:tc>
              <w:tc>
                <w:tcPr>
                  <w:tcW w:type="auto" w:w="0"/>
                  <w:shd w:val="clear" w:color="auto" w:fill="F0F0F0"/>
                </w:tcPr>
                <w:p>
                  <w:pPr>
                    <w:pStyle w:val="Normal"/>
                    <w:keepLines w:val="on"/>
                  </w:pPr>
                  <w:r>
                    <w:t>−0,22</w:t>
                  </w:r>
                </w:p>
              </w:tc>
              <w:tc>
                <w:tcPr>
                  <w:tcW w:type="auto" w:w="0"/>
                  <w:shd w:val="clear" w:color="auto" w:fill="F0F0F0"/>
                </w:tcPr>
                <w:p>
                  <w:pPr>
                    <w:pStyle w:val="Normal"/>
                    <w:keepLines w:val="on"/>
                  </w:pPr>
                  <w:r>
                    <w:t>−0,54</w:t>
                  </w:r>
                </w:p>
              </w:tc>
              <w:tc>
                <w:tcPr>
                  <w:tcW w:type="auto" w:w="0"/>
                  <w:shd w:val="clear" w:color="auto" w:fill="F0F0F0"/>
                </w:tcPr>
                <w:p>
                  <w:pPr>
                    <w:pStyle w:val="Normal"/>
                    <w:keepLines w:val="on"/>
                  </w:pPr>
                  <w:r>
                    <w:t>−0,44</w:t>
                  </w:r>
                </w:p>
              </w:tc>
              <w:tc>
                <w:tcPr>
                  <w:tcW w:type="auto" w:w="0"/>
                  <w:shd w:val="clear" w:color="auto" w:fill="F0F0F0"/>
                </w:tcPr>
                <w:p>
                  <w:pPr>
                    <w:pStyle w:val="Normal"/>
                    <w:keepLines w:val="on"/>
                  </w:pPr>
                  <w:r>
                    <w:t>0,11</w:t>
                  </w:r>
                </w:p>
              </w:tc>
              <w:tc>
                <w:tcPr>
                  <w:tcW w:type="auto" w:w="0"/>
                  <w:shd w:val="clear" w:color="auto" w:fill="F0F0F0"/>
                </w:tcPr>
                <w:p>
                  <w:pPr>
                    <w:pStyle w:val="Normal"/>
                    <w:keepLines w:val="on"/>
                  </w:pPr>
                  <w:r>
                    <w:t>1,00</w:t>
                  </w: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Tín phiếu kho bạc (T-bills)</w:t>
                  </w:r>
                </w:p>
              </w:tc>
              <w:tc>
                <w:tcPr>
                  <w:tcW w:type="auto" w:w="0"/>
                  <w:shd w:val="clear" w:color="auto" w:fill="F0F0F0"/>
                </w:tcPr>
                <w:p>
                  <w:pPr>
                    <w:pStyle w:val="Normal"/>
                    <w:keepLines w:val="on"/>
                  </w:pPr>
                  <w:r>
                    <w:t>0,53</w:t>
                  </w:r>
                </w:p>
              </w:tc>
              <w:tc>
                <w:tcPr>
                  <w:tcW w:type="auto" w:w="0"/>
                  <w:shd w:val="clear" w:color="auto" w:fill="F0F0F0"/>
                </w:tcPr>
                <w:p>
                  <w:pPr>
                    <w:pStyle w:val="Normal"/>
                    <w:keepLines w:val="on"/>
                  </w:pPr>
                  <w:r>
                    <w:t>0,42</w:t>
                  </w:r>
                </w:p>
              </w:tc>
              <w:tc>
                <w:tcPr>
                  <w:tcW w:type="auto" w:w="0"/>
                  <w:shd w:val="clear" w:color="auto" w:fill="F0F0F0"/>
                </w:tcPr>
                <w:p>
                  <w:pPr>
                    <w:pStyle w:val="Normal"/>
                    <w:keepLines w:val="on"/>
                  </w:pPr>
                  <w:r>
                    <w:t>0,13</w:t>
                  </w:r>
                </w:p>
              </w:tc>
              <w:tc>
                <w:tcPr>
                  <w:tcW w:type="auto" w:w="0"/>
                  <w:shd w:val="clear" w:color="auto" w:fill="F0F0F0"/>
                </w:tcPr>
                <w:p>
                  <w:pPr>
                    <w:pStyle w:val="Normal"/>
                    <w:keepLines w:val="on"/>
                  </w:pPr>
                  <w:r>
                    <w:t>−0,56</w:t>
                  </w:r>
                </w:p>
              </w:tc>
              <w:tc>
                <w:tcPr>
                  <w:tcW w:type="auto" w:w="0"/>
                  <w:shd w:val="clear" w:color="auto" w:fill="F0F0F0"/>
                </w:tcPr>
                <w:p>
                  <w:pPr>
                    <w:pStyle w:val="Normal"/>
                    <w:keepLines w:val="on"/>
                  </w:pPr>
                  <w:r>
                    <w:t>−0,32</w:t>
                  </w:r>
                </w:p>
              </w:tc>
              <w:tc>
                <w:tcPr>
                  <w:tcW w:type="auto" w:w="0"/>
                  <w:shd w:val="clear" w:color="auto" w:fill="F0F0F0"/>
                </w:tcPr>
                <w:p>
                  <w:pPr>
                    <w:pStyle w:val="Normal"/>
                    <w:keepLines w:val="on"/>
                  </w:pPr>
                  <w:r>
                    <w:t>−0,07</w:t>
                  </w:r>
                </w:p>
              </w:tc>
              <w:tc>
                <w:tcPr>
                  <w:tcW w:type="auto" w:w="0"/>
                  <w:shd w:val="clear" w:color="auto" w:fill="F0F0F0"/>
                </w:tcPr>
                <w:p>
                  <w:pPr>
                    <w:pStyle w:val="Normal"/>
                    <w:keepLines w:val="on"/>
                  </w:pPr>
                  <w:r>
                    <w:t>0,48</w:t>
                  </w:r>
                </w:p>
              </w:tc>
              <w:tc>
                <w:tcPr>
                  <w:tcW w:type="auto" w:w="0"/>
                  <w:shd w:val="clear" w:color="auto" w:fill="F0F0F0"/>
                </w:tcPr>
                <w:p>
                  <w:pPr>
                    <w:pStyle w:val="Normal"/>
                    <w:keepLines w:val="on"/>
                  </w:pPr>
                  <w:r>
                    <w:t>1,00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Lạm phát (Inflation)</w:t>
                  </w:r>
                </w:p>
              </w:tc>
              <w:tc>
                <w:tcPr>
                  <w:tcW w:type="auto" w:w="0"/>
                  <w:shd w:val="clear" w:color="auto" w:fill="F0F0F0"/>
                </w:tcPr>
                <w:p>
                  <w:pPr>
                    <w:pStyle w:val="Normal"/>
                    <w:keepLines w:val="on"/>
                  </w:pPr>
                  <w:r>
                    <w:t>0,70</w:t>
                  </w:r>
                </w:p>
              </w:tc>
              <w:tc>
                <w:tcPr>
                  <w:tcW w:type="auto" w:w="0"/>
                  <w:shd w:val="clear" w:color="auto" w:fill="F0F0F0"/>
                </w:tcPr>
                <w:p>
                  <w:pPr>
                    <w:pStyle w:val="Normal"/>
                    <w:keepLines w:val="on"/>
                  </w:pPr>
                  <w:r>
                    <w:t>0,35</w:t>
                  </w:r>
                </w:p>
              </w:tc>
              <w:tc>
                <w:tcPr>
                  <w:tcW w:type="auto" w:w="0"/>
                  <w:shd w:val="clear" w:color="auto" w:fill="F0F0F0"/>
                </w:tcPr>
                <w:p>
                  <w:pPr>
                    <w:pStyle w:val="Normal"/>
                    <w:keepLines w:val="on"/>
                  </w:pPr>
                  <w:r>
                    <w:t>0,77</w:t>
                  </w:r>
                </w:p>
              </w:tc>
              <w:tc>
                <w:tcPr>
                  <w:tcW w:type="auto" w:w="0"/>
                  <w:shd w:val="clear" w:color="auto" w:fill="F0F0F0"/>
                </w:tcPr>
                <w:p>
                  <w:pPr>
                    <w:pStyle w:val="Normal"/>
                    <w:keepLines w:val="on"/>
                  </w:pPr>
                  <w:r>
                    <w:t>0,56</w:t>
                  </w:r>
                </w:p>
              </w:tc>
              <w:tc>
                <w:tcPr>
                  <w:tcW w:type="auto" w:w="0"/>
                  <w:shd w:val="clear" w:color="auto" w:fill="F0F0F0"/>
                </w:tcPr>
                <w:p>
                  <w:pPr>
                    <w:pStyle w:val="Normal"/>
                    <w:keepLines w:val="on"/>
                  </w:pPr>
                  <w:r>
                    <w:t>0,49</w:t>
                  </w:r>
                </w:p>
              </w:tc>
              <w:tc>
                <w:tcPr>
                  <w:tcW w:type="auto" w:w="0"/>
                  <w:shd w:val="clear" w:color="auto" w:fill="F0F0F0"/>
                </w:tcPr>
                <w:p>
                  <w:pPr>
                    <w:pStyle w:val="Normal"/>
                    <w:keepLines w:val="on"/>
                  </w:pPr>
                  <w:r>
                    <w:t>−0,02</w:t>
                  </w:r>
                </w:p>
              </w:tc>
              <w:tc>
                <w:tcPr>
                  <w:tcW w:type="auto" w:w="0"/>
                  <w:shd w:val="clear" w:color="auto" w:fill="F0F0F0"/>
                </w:tcPr>
                <w:p>
                  <w:pPr>
                    <w:pStyle w:val="Normal"/>
                    <w:keepLines w:val="on"/>
                  </w:pPr>
                  <w:r>
                    <w:t>−0,17</w:t>
                  </w:r>
                </w:p>
              </w:tc>
              <w:tc>
                <w:tcPr>
                  <w:tcW w:type="auto" w:w="0"/>
                  <w:shd w:val="clear" w:color="auto" w:fill="F0F0F0"/>
                </w:tcPr>
                <w:p>
                  <w:pPr>
                    <w:pStyle w:val="Normal"/>
                    <w:keepLines w:val="on"/>
                  </w:pPr>
                  <w:r>
                    <w:t>0,25</w:t>
                  </w:r>
                </w:p>
              </w:tc>
              <w:tc>
                <w:tcPr>
                  <w:tcW w:type="auto" w:w="0"/>
                  <w:shd w:val="clear" w:color="auto" w:fill="F0F0F0"/>
                </w:tcPr>
                <w:p>
                  <w:pPr>
                    <w:pStyle w:val="Normal"/>
                    <w:keepLines w:val="on"/>
                  </w:pPr>
                  <w:r>
                    <w:t>1,00</w:t>
                  </w:r>
                </w:p>
              </w:tc>
            </w:tr>
          </w:tbl>
          <w:p>
            <w:pPr>
              <w:pStyle w:val="Para 55"/>
              <w:keepLines w:val="on"/>
            </w:pPr>
            <w:r>
              <w:t>I&amp;S: Ibbotson &amp; Siegal; CREF: chỉ số CREF; Home: Chỉ số giá nhà ở; C&amp;S: Case &amp; Shiller; Farm: Chỉ số giá đất nông nghiệp.</w:t>
            </w:r>
          </w:p>
          <w:p>
            <w:pPr>
              <w:pStyle w:val="Para 55"/>
              <w:keepLines w:val="on"/>
            </w:pPr>
            <w:r>
              <w:t>Nguồn: Ibbotson và Brinson (1996).</w:t>
            </w:r>
          </w:p>
        </w:tc>
      </w:tr>
    </w:tbl>
    <w:p>
      <w:pPr>
        <w:pStyle w:val="Para 03"/>
      </w:pPr>
      <w:r>
        <w:t>Như đã đề cập ở phần trước trong chương này, sự khác biệt giữa lợi nhuận của tài sản thực và tài sản tài chính sẽ nới rộng ra khi tỷ lệ lạm phát thay đổi. Trên thực tế, ba trong số năm chỉ số bất động sản có tương quan nghịch với cổ phiếu, và hai chỉ số còn lại có tương quan thấp. Vai trò của bất động sản trong một danh mục đầu tư có thể được nhìn thấy rõ nhất nếu bạn phân tách lợi nhuận theo các loại tài sản đối với cổ phiếu Mỹ, có thể thấy trong Bảng 26.4:</w:t>
      </w:r>
    </w:p>
    <w:p>
      <w:pPr>
        <w:pStyle w:val="Para 34"/>
        <w:keepLines w:val="on"/>
      </w:pPr>
      <w:r>
        <w:t>Bảng 26.4</w:t>
      </w:r>
    </w:p>
    <w:p>
      <w:pPr>
        <w:keepNext/>
        <w:pStyle w:val="Para 35"/>
        <w:keepLines w:val="on"/>
      </w:pPr>
      <w:r>
        <w:t>Lợi nhuận, theo Thập kỷ, theo Loại tài sản</w:t>
      </w:r>
    </w:p>
    <w:tbl>
      <w:tblPr>
        <w:tblW w:type="auto" w:w="0"/>
      </w:tblPr>
      <w:tr>
        <w:tc>
          <w:tcPr>
            <w:tcW w:type="auto" w:w="0"/>
          </w:tcPr>
          <w:tbl>
            <w:tblPr>
              <w:tblW w:type="auto" w:w="0"/>
            </w:tblPr>
            <w:tr>
              <w:tc>
                <w:tcPr>
                  <w:tcW w:type="auto" w:w="0"/>
                  <w:shd w:val="clear" w:color="auto" w:fill="F0F0F0"/>
                </w:tcPr>
                <w:p>
                  <w:pPr>
                    <w:pStyle w:val="Para 17"/>
                    <w:keepLines w:val="on"/>
                  </w:pPr>
                  <w:r>
                    <w:t/>
                  </w:r>
                </w:p>
              </w:tc>
              <w:tc>
                <w:tcPr>
                  <w:tcW w:type="auto" w:w="0"/>
                  <w:shd w:val="clear" w:color="auto" w:fill="F0F0F0"/>
                </w:tcPr>
                <w:p>
                  <w:pPr>
                    <w:pStyle w:val="Para 17"/>
                    <w:keepLines w:val="on"/>
                  </w:pPr>
                  <w:r>
                    <w:t/>
                  </w:r>
                </w:p>
              </w:tc>
              <w:tc>
                <w:tcPr>
                  <w:tcW w:type="auto" w:w="0"/>
                  <w:shd w:val="clear" w:color="auto" w:fill="F0F0F0"/>
                </w:tcPr>
                <w:p>
                  <w:pPr>
                    <w:pStyle w:val="Para 17"/>
                    <w:keepLines w:val="on"/>
                  </w:pPr>
                  <w:r>
                    <w:t/>
                  </w:r>
                </w:p>
              </w:tc>
              <w:tc>
                <w:tcPr>
                  <w:tcW w:type="auto" w:w="0"/>
                  <w:shd w:val="clear" w:color="auto" w:fill="F0F0F0"/>
                  <w:vAlign w:val="bottom"/>
                  <w:hMerge w:val="restart"/>
                </w:tcPr>
                <w:p>
                  <w:pPr>
                    <w:pStyle w:val="Para 45"/>
                    <w:keepLines w:val="on"/>
                  </w:pPr>
                  <w:r>
                    <w:t>Lợi nhuận danh nghĩa</w:t>
                  </w:r>
                </w:p>
              </w:tc>
              <w:tc>
                <w:tcPr>
                  <w:hMerge w:val="continue"/>
                </w:tcPr>
                <w:p/>
              </w:tc>
              <w:tc>
                <w:tcPr>
                  <w:hMerge w:val="continue"/>
                </w:tcPr>
                <w:p/>
              </w:tc>
              <w:tc>
                <w:tcPr>
                  <w:hMerge w:val="continue"/>
                </w:tcPr>
                <w:p/>
              </w:tc>
              <w:tc>
                <w:tcPr>
                  <w:hMerge w:val="continue"/>
                </w:tcPr>
                <w:p/>
              </w:tc>
              <w:tc>
                <w:tcPr>
                  <w:hMerge w:val="continue"/>
                </w:tcPr>
                <w:p/>
              </w:tc>
            </w:tr>
            <w:tr>
              <w:tc>
                <w:tcPr>
                  <w:tcW w:type="auto" w:w="0"/>
                  <w:shd w:val="clear" w:color="auto" w:fill="F0F0F0"/>
                </w:tcPr>
                <w:p>
                  <w:pPr>
                    <w:pStyle w:val="Para 29"/>
                    <w:keepLines w:val="on"/>
                  </w:pPr>
                  <w:r>
                    <w:t>Thập kỷ</w:t>
                  </w:r>
                </w:p>
              </w:tc>
              <w:tc>
                <w:tcPr>
                  <w:tcW w:type="auto" w:w="0"/>
                  <w:shd w:val="clear" w:color="auto" w:fill="F0F0F0"/>
                  <w:vAlign w:val="bottom"/>
                </w:tcPr>
                <w:p>
                  <w:pPr>
                    <w:pStyle w:val="Para 45"/>
                    <w:keepLines w:val="on"/>
                  </w:pPr>
                  <w:r>
                    <w:t>Lạm phát thực tế</w:t>
                  </w:r>
                </w:p>
              </w:tc>
              <w:tc>
                <w:tcPr>
                  <w:tcW w:type="auto" w:w="0"/>
                  <w:shd w:val="clear" w:color="auto" w:fill="F0F0F0"/>
                  <w:vAlign w:val="bottom"/>
                </w:tcPr>
                <w:p>
                  <w:pPr>
                    <w:pStyle w:val="Para 45"/>
                    <w:keepLines w:val="on"/>
                  </w:pPr>
                  <w:r>
                    <w:t>Lạm phát ngoài dự kiến</w:t>
                  </w:r>
                </w:p>
              </w:tc>
              <w:tc>
                <w:tcPr>
                  <w:tcW w:type="auto" w:w="0"/>
                  <w:shd w:val="clear" w:color="auto" w:fill="F0F0F0"/>
                  <w:vAlign w:val="bottom"/>
                </w:tcPr>
                <w:p>
                  <w:pPr>
                    <w:pStyle w:val="Para 45"/>
                    <w:keepLines w:val="on"/>
                  </w:pPr>
                  <w:r>
                    <w:t>Cổ phiếu</w:t>
                  </w:r>
                </w:p>
              </w:tc>
              <w:tc>
                <w:tcPr>
                  <w:tcW w:type="auto" w:w="0"/>
                  <w:shd w:val="clear" w:color="auto" w:fill="F0F0F0"/>
                  <w:vAlign w:val="bottom"/>
                </w:tcPr>
                <w:p>
                  <w:pPr>
                    <w:pStyle w:val="Para 45"/>
                    <w:keepLines w:val="on"/>
                  </w:pPr>
                  <w:r>
                    <w:t>Tín phiếu kho bạc</w:t>
                  </w:r>
                </w:p>
              </w:tc>
              <w:tc>
                <w:tcPr>
                  <w:tcW w:type="auto" w:w="0"/>
                  <w:shd w:val="clear" w:color="auto" w:fill="F0F0F0"/>
                  <w:vAlign w:val="bottom"/>
                </w:tcPr>
                <w:p>
                  <w:pPr>
                    <w:pStyle w:val="Para 45"/>
                    <w:keepLines w:val="on"/>
                  </w:pPr>
                  <w:r>
                    <w:t>Trái phiếu kho bạc</w:t>
                  </w:r>
                </w:p>
              </w:tc>
              <w:tc>
                <w:tcPr>
                  <w:tcW w:type="auto" w:w="0"/>
                  <w:shd w:val="clear" w:color="auto" w:fill="F0F0F0"/>
                  <w:vAlign w:val="bottom"/>
                </w:tcPr>
                <w:p>
                  <w:pPr>
                    <w:pStyle w:val="Para 45"/>
                    <w:keepLines w:val="on"/>
                  </w:pPr>
                  <w:r>
                    <w:t>Trái phiếu doanh nghiệp Baa</w:t>
                  </w:r>
                </w:p>
              </w:tc>
              <w:tc>
                <w:tcPr>
                  <w:tcW w:type="auto" w:w="0"/>
                  <w:shd w:val="clear" w:color="auto" w:fill="F0F0F0"/>
                  <w:vAlign w:val="bottom"/>
                </w:tcPr>
                <w:p>
                  <w:pPr>
                    <w:pStyle w:val="Para 45"/>
                    <w:keepLines w:val="on"/>
                  </w:pPr>
                  <w:r>
                    <w:t>Vàng</w:t>
                  </w:r>
                </w:p>
              </w:tc>
              <w:tc>
                <w:tcPr>
                  <w:tcW w:type="auto" w:w="0"/>
                  <w:shd w:val="clear" w:color="auto" w:fill="F0F0F0"/>
                  <w:vAlign w:val="bottom"/>
                </w:tcPr>
                <w:p>
                  <w:pPr>
                    <w:pStyle w:val="Para 45"/>
                    <w:keepLines w:val="on"/>
                  </w:pPr>
                  <w:r>
                    <w:t>Bất động sản</w:t>
                  </w:r>
                </w:p>
              </w:tc>
            </w:tr>
            <w:tr>
              <w:tc>
                <w:tcPr>
                  <w:tcW w:type="auto" w:w="0"/>
                  <w:shd w:val="clear" w:color="auto" w:fill="F0F0F0"/>
                </w:tcPr>
                <w:p>
                  <w:pPr>
                    <w:pStyle w:val="Para 02"/>
                    <w:keepLines w:val="on"/>
                  </w:pPr>
                  <w:r>
                    <w:t>1930–39</w:t>
                  </w:r>
                </w:p>
              </w:tc>
              <w:tc>
                <w:tcPr>
                  <w:tcW w:type="auto" w:w="0"/>
                  <w:shd w:val="clear" w:color="auto" w:fill="F0F0F0"/>
                </w:tcPr>
                <w:p>
                  <w:pPr>
                    <w:pStyle w:val="Normal"/>
                    <w:keepLines w:val="on"/>
                  </w:pPr>
                  <w:r>
                    <w:t>−1,92%</w:t>
                  </w:r>
                </w:p>
              </w:tc>
              <w:tc>
                <w:tcPr>
                  <w:tcW w:type="auto" w:w="0"/>
                  <w:shd w:val="clear" w:color="auto" w:fill="F0F0F0"/>
                </w:tcPr>
                <w:p>
                  <w:pPr>
                    <w:pStyle w:val="Normal"/>
                    <w:keepLines w:val="on"/>
                  </w:pPr>
                  <w:r>
                    <w:t>0,07%</w:t>
                  </w:r>
                </w:p>
              </w:tc>
              <w:tc>
                <w:tcPr>
                  <w:tcW w:type="auto" w:w="0"/>
                  <w:shd w:val="clear" w:color="auto" w:fill="F0F0F0"/>
                </w:tcPr>
                <w:p>
                  <w:pPr>
                    <w:pStyle w:val="Normal"/>
                    <w:keepLines w:val="on"/>
                  </w:pPr>
                  <w:r>
                    <w:t>4,27%</w:t>
                  </w:r>
                </w:p>
              </w:tc>
              <w:tc>
                <w:tcPr>
                  <w:tcW w:type="auto" w:w="0"/>
                  <w:shd w:val="clear" w:color="auto" w:fill="F0F0F0"/>
                </w:tcPr>
                <w:p>
                  <w:pPr>
                    <w:pStyle w:val="Normal"/>
                    <w:keepLines w:val="on"/>
                  </w:pPr>
                  <w:r>
                    <w:t>0,99%</w:t>
                  </w:r>
                </w:p>
              </w:tc>
              <w:tc>
                <w:tcPr>
                  <w:tcW w:type="auto" w:w="0"/>
                  <w:shd w:val="clear" w:color="auto" w:fill="F0F0F0"/>
                </w:tcPr>
                <w:p>
                  <w:pPr>
                    <w:pStyle w:val="Normal"/>
                    <w:keepLines w:val="on"/>
                  </w:pPr>
                  <w:r>
                    <w:t>4,01%</w:t>
                  </w:r>
                </w:p>
              </w:tc>
              <w:tc>
                <w:tcPr>
                  <w:tcW w:type="auto" w:w="0"/>
                  <w:shd w:val="clear" w:color="auto" w:fill="F0F0F0"/>
                </w:tcPr>
                <w:p>
                  <w:pPr>
                    <w:pStyle w:val="Normal"/>
                    <w:keepLines w:val="on"/>
                  </w:pPr>
                  <w:r>
                    <w:t>7,77%</w:t>
                  </w:r>
                </w:p>
              </w:tc>
              <w:tc>
                <w:tcPr>
                  <w:tcW w:type="auto" w:w="0"/>
                  <w:shd w:val="clear" w:color="auto" w:fill="F0F0F0"/>
                </w:tcPr>
                <w:p>
                  <w:pPr>
                    <w:pStyle w:val="Normal"/>
                    <w:keepLines w:val="on"/>
                  </w:pPr>
                  <w:r>
                    <w:t>NA</w:t>
                  </w:r>
                </w:p>
              </w:tc>
              <w:tc>
                <w:tcPr>
                  <w:tcW w:type="auto" w:w="0"/>
                  <w:shd w:val="clear" w:color="auto" w:fill="F0F0F0"/>
                </w:tcPr>
                <w:p>
                  <w:pPr>
                    <w:pStyle w:val="Normal"/>
                    <w:keepLines w:val="on"/>
                  </w:pPr>
                  <w:r>
                    <w:t>−1,05%</w:t>
                  </w:r>
                </w:p>
              </w:tc>
            </w:tr>
            <w:tr>
              <w:tc>
                <w:tcPr>
                  <w:tcW w:type="auto" w:w="0"/>
                  <w:shd w:val="clear" w:color="auto" w:fill="F0F0F0"/>
                </w:tcPr>
                <w:p>
                  <w:pPr>
                    <w:pStyle w:val="Para 02"/>
                    <w:keepLines w:val="on"/>
                  </w:pPr>
                  <w:r>
                    <w:t>1940–49</w:t>
                  </w:r>
                </w:p>
              </w:tc>
              <w:tc>
                <w:tcPr>
                  <w:tcW w:type="auto" w:w="0"/>
                  <w:shd w:val="clear" w:color="auto" w:fill="F0F0F0"/>
                </w:tcPr>
                <w:p>
                  <w:pPr>
                    <w:pStyle w:val="Normal"/>
                    <w:keepLines w:val="on"/>
                  </w:pPr>
                  <w:r>
                    <w:t>5,51%</w:t>
                  </w:r>
                </w:p>
              </w:tc>
              <w:tc>
                <w:tcPr>
                  <w:tcW w:type="auto" w:w="0"/>
                  <w:shd w:val="clear" w:color="auto" w:fill="F0F0F0"/>
                </w:tcPr>
                <w:p>
                  <w:pPr>
                    <w:pStyle w:val="Normal"/>
                    <w:keepLines w:val="on"/>
                  </w:pPr>
                  <w:r>
                    <w:t>3,08%</w:t>
                  </w:r>
                </w:p>
              </w:tc>
              <w:tc>
                <w:tcPr>
                  <w:tcW w:type="auto" w:w="0"/>
                  <w:shd w:val="clear" w:color="auto" w:fill="F0F0F0"/>
                </w:tcPr>
                <w:p>
                  <w:pPr>
                    <w:pStyle w:val="Normal"/>
                    <w:keepLines w:val="on"/>
                  </w:pPr>
                  <w:r>
                    <w:t>9,64%</w:t>
                  </w:r>
                </w:p>
              </w:tc>
              <w:tc>
                <w:tcPr>
                  <w:tcW w:type="auto" w:w="0"/>
                  <w:shd w:val="clear" w:color="auto" w:fill="F0F0F0"/>
                </w:tcPr>
                <w:p>
                  <w:pPr>
                    <w:pStyle w:val="Normal"/>
                    <w:keepLines w:val="on"/>
                  </w:pPr>
                  <w:r>
                    <w:t>0,48%</w:t>
                  </w:r>
                </w:p>
              </w:tc>
              <w:tc>
                <w:tcPr>
                  <w:tcW w:type="auto" w:w="0"/>
                  <w:shd w:val="clear" w:color="auto" w:fill="F0F0F0"/>
                </w:tcPr>
                <w:p>
                  <w:pPr>
                    <w:pStyle w:val="Normal"/>
                    <w:keepLines w:val="on"/>
                  </w:pPr>
                  <w:r>
                    <w:t>2,52%</w:t>
                  </w:r>
                </w:p>
              </w:tc>
              <w:tc>
                <w:tcPr>
                  <w:tcW w:type="auto" w:w="0"/>
                  <w:shd w:val="clear" w:color="auto" w:fill="F0F0F0"/>
                </w:tcPr>
                <w:p>
                  <w:pPr>
                    <w:pStyle w:val="Normal"/>
                    <w:keepLines w:val="on"/>
                  </w:pPr>
                  <w:r>
                    <w:t>5,18%</w:t>
                  </w:r>
                </w:p>
              </w:tc>
              <w:tc>
                <w:tcPr>
                  <w:tcW w:type="auto" w:w="0"/>
                  <w:shd w:val="clear" w:color="auto" w:fill="F0F0F0"/>
                </w:tcPr>
                <w:p>
                  <w:pPr>
                    <w:pStyle w:val="Normal"/>
                    <w:keepLines w:val="on"/>
                  </w:pPr>
                  <w:r>
                    <w:t>NA</w:t>
                  </w:r>
                </w:p>
              </w:tc>
              <w:tc>
                <w:tcPr>
                  <w:tcW w:type="auto" w:w="0"/>
                  <w:shd w:val="clear" w:color="auto" w:fill="F0F0F0"/>
                </w:tcPr>
                <w:p>
                  <w:pPr>
                    <w:pStyle w:val="Normal"/>
                    <w:keepLines w:val="on"/>
                  </w:pPr>
                  <w:r>
                    <w:t>8,56%</w:t>
                  </w:r>
                </w:p>
              </w:tc>
            </w:tr>
            <w:tr>
              <w:tc>
                <w:tcPr>
                  <w:tcW w:type="auto" w:w="0"/>
                  <w:shd w:val="clear" w:color="auto" w:fill="F0F0F0"/>
                </w:tcPr>
                <w:p>
                  <w:pPr>
                    <w:pStyle w:val="Para 02"/>
                    <w:keepLines w:val="on"/>
                  </w:pPr>
                  <w:r>
                    <w:t>1950–59</w:t>
                  </w:r>
                </w:p>
              </w:tc>
              <w:tc>
                <w:tcPr>
                  <w:tcW w:type="auto" w:w="0"/>
                  <w:shd w:val="clear" w:color="auto" w:fill="F0F0F0"/>
                </w:tcPr>
                <w:p>
                  <w:pPr>
                    <w:pStyle w:val="Normal"/>
                    <w:keepLines w:val="on"/>
                  </w:pPr>
                  <w:r>
                    <w:t>2,24%</w:t>
                  </w:r>
                </w:p>
              </w:tc>
              <w:tc>
                <w:tcPr>
                  <w:tcW w:type="auto" w:w="0"/>
                  <w:shd w:val="clear" w:color="auto" w:fill="F0F0F0"/>
                </w:tcPr>
                <w:p>
                  <w:pPr>
                    <w:pStyle w:val="Normal"/>
                    <w:keepLines w:val="on"/>
                  </w:pPr>
                  <w:r>
                    <w:t>−1,89%</w:t>
                  </w:r>
                </w:p>
              </w:tc>
              <w:tc>
                <w:tcPr>
                  <w:tcW w:type="auto" w:w="0"/>
                  <w:shd w:val="clear" w:color="auto" w:fill="F0F0F0"/>
                </w:tcPr>
                <w:p>
                  <w:pPr>
                    <w:pStyle w:val="Normal"/>
                    <w:keepLines w:val="on"/>
                  </w:pPr>
                  <w:r>
                    <w:t>20,93%</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0,83%</w:t>
                  </w:r>
                </w:p>
              </w:tc>
              <w:tc>
                <w:tcPr>
                  <w:tcW w:type="auto" w:w="0"/>
                  <w:shd w:val="clear" w:color="auto" w:fill="F0F0F0"/>
                </w:tcPr>
                <w:p>
                  <w:pPr>
                    <w:pStyle w:val="Normal"/>
                    <w:keepLines w:val="on"/>
                  </w:pPr>
                  <w:r>
                    <w:t>2,32%</w:t>
                  </w:r>
                </w:p>
              </w:tc>
              <w:tc>
                <w:tcPr>
                  <w:tcW w:type="auto" w:w="0"/>
                  <w:shd w:val="clear" w:color="auto" w:fill="F0F0F0"/>
                </w:tcPr>
                <w:p>
                  <w:pPr>
                    <w:pStyle w:val="Normal"/>
                    <w:keepLines w:val="on"/>
                  </w:pPr>
                  <w:r>
                    <w:t>NA</w:t>
                  </w:r>
                </w:p>
              </w:tc>
              <w:tc>
                <w:tcPr>
                  <w:tcW w:type="auto" w:w="0"/>
                  <w:shd w:val="clear" w:color="auto" w:fill="F0F0F0"/>
                </w:tcPr>
                <w:p>
                  <w:pPr>
                    <w:pStyle w:val="Normal"/>
                    <w:keepLines w:val="on"/>
                  </w:pPr>
                  <w:r>
                    <w:t>3,09%</w:t>
                  </w:r>
                </w:p>
              </w:tc>
            </w:tr>
            <w:tr>
              <w:tc>
                <w:tcPr>
                  <w:tcW w:type="auto" w:w="0"/>
                  <w:shd w:val="clear" w:color="auto" w:fill="F0F0F0"/>
                </w:tcPr>
                <w:p>
                  <w:pPr>
                    <w:pStyle w:val="Para 02"/>
                    <w:keepLines w:val="on"/>
                  </w:pPr>
                  <w:r>
                    <w:t>1960–69</w:t>
                  </w:r>
                </w:p>
              </w:tc>
              <w:tc>
                <w:tcPr>
                  <w:tcW w:type="auto" w:w="0"/>
                  <w:shd w:val="clear" w:color="auto" w:fill="F0F0F0"/>
                </w:tcPr>
                <w:p>
                  <w:pPr>
                    <w:pStyle w:val="Normal"/>
                    <w:keepLines w:val="on"/>
                  </w:pPr>
                  <w:r>
                    <w:t>2,53%</w:t>
                  </w:r>
                </w:p>
              </w:tc>
              <w:tc>
                <w:tcPr>
                  <w:tcW w:type="auto" w:w="0"/>
                  <w:shd w:val="clear" w:color="auto" w:fill="F0F0F0"/>
                </w:tcPr>
                <w:p>
                  <w:pPr>
                    <w:pStyle w:val="Normal"/>
                    <w:keepLines w:val="on"/>
                  </w:pPr>
                  <w:r>
                    <w:t>0,84%</w:t>
                  </w:r>
                </w:p>
              </w:tc>
              <w:tc>
                <w:tcPr>
                  <w:tcW w:type="auto" w:w="0"/>
                  <w:shd w:val="clear" w:color="auto" w:fill="F0F0F0"/>
                </w:tcPr>
                <w:p>
                  <w:pPr>
                    <w:pStyle w:val="Normal"/>
                    <w:keepLines w:val="on"/>
                  </w:pPr>
                  <w:r>
                    <w:t>8,60%</w:t>
                  </w:r>
                </w:p>
              </w:tc>
              <w:tc>
                <w:tcPr>
                  <w:tcW w:type="auto" w:w="0"/>
                  <w:shd w:val="clear" w:color="auto" w:fill="F0F0F0"/>
                </w:tcPr>
                <w:p>
                  <w:pPr>
                    <w:pStyle w:val="Normal"/>
                    <w:keepLines w:val="on"/>
                  </w:pPr>
                  <w:r>
                    <w:t>3,98%</w:t>
                  </w:r>
                </w:p>
              </w:tc>
              <w:tc>
                <w:tcPr>
                  <w:tcW w:type="auto" w:w="0"/>
                  <w:shd w:val="clear" w:color="auto" w:fill="F0F0F0"/>
                </w:tcPr>
                <w:p>
                  <w:pPr>
                    <w:pStyle w:val="Normal"/>
                    <w:keepLines w:val="on"/>
                  </w:pPr>
                  <w:r>
                    <w:t>2,51%</w:t>
                  </w:r>
                </w:p>
              </w:tc>
              <w:tc>
                <w:tcPr>
                  <w:tcW w:type="auto" w:w="0"/>
                  <w:shd w:val="clear" w:color="auto" w:fill="F0F0F0"/>
                </w:tcPr>
                <w:p>
                  <w:pPr>
                    <w:pStyle w:val="Normal"/>
                    <w:keepLines w:val="on"/>
                  </w:pPr>
                  <w:r>
                    <w:t>3,23%</w:t>
                  </w:r>
                </w:p>
              </w:tc>
              <w:tc>
                <w:tcPr>
                  <w:tcW w:type="auto" w:w="0"/>
                  <w:shd w:val="clear" w:color="auto" w:fill="F0F0F0"/>
                </w:tcPr>
                <w:p>
                  <w:pPr>
                    <w:pStyle w:val="Normal"/>
                    <w:keepLines w:val="on"/>
                  </w:pPr>
                  <w:r>
                    <w:t>Không có</w:t>
                  </w:r>
                </w:p>
              </w:tc>
              <w:tc>
                <w:tcPr>
                  <w:tcW w:type="auto" w:w="0"/>
                  <w:shd w:val="clear" w:color="auto" w:fill="F0F0F0"/>
                </w:tcPr>
                <w:p>
                  <w:pPr>
                    <w:pStyle w:val="Normal"/>
                    <w:keepLines w:val="on"/>
                  </w:pPr>
                  <w:r>
                    <w:t>2,18%</w:t>
                  </w:r>
                </w:p>
              </w:tc>
            </w:tr>
            <w:tr>
              <w:tc>
                <w:tcPr>
                  <w:tcW w:type="auto" w:w="0"/>
                  <w:shd w:val="clear" w:color="auto" w:fill="F0F0F0"/>
                </w:tcPr>
                <w:p>
                  <w:pPr>
                    <w:pStyle w:val="Para 02"/>
                    <w:keepLines w:val="on"/>
                  </w:pPr>
                  <w:r>
                    <w:t>1970–79</w:t>
                  </w:r>
                </w:p>
              </w:tc>
              <w:tc>
                <w:tcPr>
                  <w:tcW w:type="auto" w:w="0"/>
                  <w:shd w:val="clear" w:color="auto" w:fill="F0F0F0"/>
                </w:tcPr>
                <w:p>
                  <w:pPr>
                    <w:pStyle w:val="Normal"/>
                    <w:keepLines w:val="on"/>
                  </w:pPr>
                  <w:r>
                    <w:t>7,41%</w:t>
                  </w:r>
                </w:p>
              </w:tc>
              <w:tc>
                <w:tcPr>
                  <w:tcW w:type="auto" w:w="0"/>
                  <w:shd w:val="clear" w:color="auto" w:fill="F0F0F0"/>
                </w:tcPr>
                <w:p>
                  <w:pPr>
                    <w:pStyle w:val="Normal"/>
                    <w:keepLines w:val="on"/>
                  </w:pPr>
                  <w:r>
                    <w:t>2,80%</w:t>
                  </w:r>
                </w:p>
              </w:tc>
              <w:tc>
                <w:tcPr>
                  <w:tcW w:type="auto" w:w="0"/>
                  <w:shd w:val="clear" w:color="auto" w:fill="F0F0F0"/>
                </w:tcPr>
                <w:p>
                  <w:pPr>
                    <w:pStyle w:val="Normal"/>
                    <w:keepLines w:val="on"/>
                  </w:pPr>
                  <w:r>
                    <w:t>7,52%</w:t>
                  </w:r>
                </w:p>
              </w:tc>
              <w:tc>
                <w:tcPr>
                  <w:tcW w:type="auto" w:w="0"/>
                  <w:shd w:val="clear" w:color="auto" w:fill="F0F0F0"/>
                </w:tcPr>
                <w:p>
                  <w:pPr>
                    <w:pStyle w:val="Normal"/>
                    <w:keepLines w:val="on"/>
                  </w:pPr>
                  <w:r>
                    <w:t>6,29%</w:t>
                  </w:r>
                </w:p>
              </w:tc>
              <w:tc>
                <w:tcPr>
                  <w:tcW w:type="auto" w:w="0"/>
                  <w:shd w:val="clear" w:color="auto" w:fill="F0F0F0"/>
                </w:tcPr>
                <w:p>
                  <w:pPr>
                    <w:pStyle w:val="Normal"/>
                    <w:keepLines w:val="on"/>
                  </w:pPr>
                  <w:r>
                    <w:t>5,58%</w:t>
                  </w:r>
                </w:p>
              </w:tc>
              <w:tc>
                <w:tcPr>
                  <w:tcW w:type="auto" w:w="0"/>
                  <w:shd w:val="clear" w:color="auto" w:fill="F0F0F0"/>
                </w:tcPr>
                <w:p>
                  <w:pPr>
                    <w:pStyle w:val="Normal"/>
                    <w:keepLines w:val="on"/>
                  </w:pPr>
                  <w:r>
                    <w:t>7,29%</w:t>
                  </w:r>
                </w:p>
              </w:tc>
              <w:tc>
                <w:tcPr>
                  <w:tcW w:type="auto" w:w="0"/>
                  <w:shd w:val="clear" w:color="auto" w:fill="F0F0F0"/>
                </w:tcPr>
                <w:p>
                  <w:pPr>
                    <w:pStyle w:val="Normal"/>
                    <w:keepLines w:val="on"/>
                  </w:pPr>
                  <w:r>
                    <w:t>37,46%</w:t>
                  </w:r>
                </w:p>
              </w:tc>
              <w:tc>
                <w:tcPr>
                  <w:tcW w:type="auto" w:w="0"/>
                  <w:shd w:val="clear" w:color="auto" w:fill="F0F0F0"/>
                </w:tcPr>
                <w:p>
                  <w:pPr>
                    <w:pStyle w:val="Normal"/>
                    <w:keepLines w:val="on"/>
                  </w:pPr>
                  <w:r>
                    <w:t>8,80%</w:t>
                  </w:r>
                </w:p>
              </w:tc>
            </w:tr>
            <w:tr>
              <w:tc>
                <w:tcPr>
                  <w:tcW w:type="auto" w:w="0"/>
                  <w:shd w:val="clear" w:color="auto" w:fill="F0F0F0"/>
                </w:tcPr>
                <w:p>
                  <w:pPr>
                    <w:pStyle w:val="Para 02"/>
                    <w:keepLines w:val="on"/>
                  </w:pPr>
                  <w:r>
                    <w:t>1980–89</w:t>
                  </w:r>
                </w:p>
              </w:tc>
              <w:tc>
                <w:tcPr>
                  <w:tcW w:type="auto" w:w="0"/>
                  <w:shd w:val="clear" w:color="auto" w:fill="F0F0F0"/>
                </w:tcPr>
                <w:p>
                  <w:pPr>
                    <w:pStyle w:val="Normal"/>
                    <w:keepLines w:val="on"/>
                  </w:pPr>
                  <w:r>
                    <w:t>5,14%</w:t>
                  </w:r>
                </w:p>
              </w:tc>
              <w:tc>
                <w:tcPr>
                  <w:tcW w:type="auto" w:w="0"/>
                  <w:shd w:val="clear" w:color="auto" w:fill="F0F0F0"/>
                </w:tcPr>
                <w:p>
                  <w:pPr>
                    <w:pStyle w:val="Normal"/>
                    <w:keepLines w:val="on"/>
                  </w:pPr>
                  <w:r>
                    <w:t>−2,33%</w:t>
                  </w:r>
                </w:p>
              </w:tc>
              <w:tc>
                <w:tcPr>
                  <w:tcW w:type="auto" w:w="0"/>
                  <w:shd w:val="clear" w:color="auto" w:fill="F0F0F0"/>
                </w:tcPr>
                <w:p>
                  <w:pPr>
                    <w:pStyle w:val="Normal"/>
                    <w:keepLines w:val="on"/>
                  </w:pPr>
                  <w:r>
                    <w:t>17,95%</w:t>
                  </w:r>
                </w:p>
              </w:tc>
              <w:tc>
                <w:tcPr>
                  <w:tcW w:type="auto" w:w="0"/>
                  <w:shd w:val="clear" w:color="auto" w:fill="F0F0F0"/>
                </w:tcPr>
                <w:p>
                  <w:pPr>
                    <w:pStyle w:val="Normal"/>
                    <w:keepLines w:val="on"/>
                  </w:pPr>
                  <w:r>
                    <w:t>8,82%</w:t>
                  </w:r>
                </w:p>
              </w:tc>
              <w:tc>
                <w:tcPr>
                  <w:tcW w:type="auto" w:w="0"/>
                  <w:shd w:val="clear" w:color="auto" w:fill="F0F0F0"/>
                </w:tcPr>
                <w:p>
                  <w:pPr>
                    <w:pStyle w:val="Normal"/>
                    <w:keepLines w:val="on"/>
                  </w:pPr>
                  <w:r>
                    <w:t>12,59%</w:t>
                  </w:r>
                </w:p>
              </w:tc>
              <w:tc>
                <w:tcPr>
                  <w:tcW w:type="auto" w:w="0"/>
                  <w:shd w:val="clear" w:color="auto" w:fill="F0F0F0"/>
                </w:tcPr>
                <w:p>
                  <w:pPr>
                    <w:pStyle w:val="Normal"/>
                    <w:keepLines w:val="on"/>
                  </w:pPr>
                  <w:r>
                    <w:t>14,46%</w:t>
                  </w:r>
                </w:p>
              </w:tc>
              <w:tc>
                <w:tcPr>
                  <w:tcW w:type="auto" w:w="0"/>
                  <w:shd w:val="clear" w:color="auto" w:fill="F0F0F0"/>
                </w:tcPr>
                <w:p>
                  <w:pPr>
                    <w:pStyle w:val="Normal"/>
                    <w:keepLines w:val="on"/>
                  </w:pPr>
                  <w:r>
                    <w:t>−0,96%</w:t>
                  </w:r>
                </w:p>
              </w:tc>
              <w:tc>
                <w:tcPr>
                  <w:tcW w:type="auto" w:w="0"/>
                  <w:shd w:val="clear" w:color="auto" w:fill="F0F0F0"/>
                </w:tcPr>
                <w:p>
                  <w:pPr>
                    <w:pStyle w:val="Normal"/>
                    <w:keepLines w:val="on"/>
                  </w:pPr>
                  <w:r>
                    <w:t>5,90%</w:t>
                  </w:r>
                </w:p>
              </w:tc>
            </w:tr>
            <w:tr>
              <w:tc>
                <w:tcPr>
                  <w:tcW w:type="auto" w:w="0"/>
                  <w:shd w:val="clear" w:color="auto" w:fill="F0F0F0"/>
                </w:tcPr>
                <w:p>
                  <w:pPr>
                    <w:pStyle w:val="Para 02"/>
                    <w:keepLines w:val="on"/>
                  </w:pPr>
                  <w:r>
                    <w:t>1990–99</w:t>
                  </w:r>
                </w:p>
              </w:tc>
              <w:tc>
                <w:tcPr>
                  <w:tcW w:type="auto" w:w="0"/>
                  <w:shd w:val="clear" w:color="auto" w:fill="F0F0F0"/>
                </w:tcPr>
                <w:p>
                  <w:pPr>
                    <w:pStyle w:val="Normal"/>
                    <w:keepLines w:val="on"/>
                  </w:pPr>
                  <w:r>
                    <w:t>2,94%</w:t>
                  </w:r>
                </w:p>
              </w:tc>
              <w:tc>
                <w:tcPr>
                  <w:tcW w:type="auto" w:w="0"/>
                  <w:shd w:val="clear" w:color="auto" w:fill="F0F0F0"/>
                </w:tcPr>
                <w:p>
                  <w:pPr>
                    <w:pStyle w:val="Normal"/>
                    <w:keepLines w:val="on"/>
                  </w:pPr>
                  <w:r>
                    <w:t>−0,90%</w:t>
                  </w:r>
                </w:p>
              </w:tc>
              <w:tc>
                <w:tcPr>
                  <w:tcW w:type="auto" w:w="0"/>
                  <w:shd w:val="clear" w:color="auto" w:fill="F0F0F0"/>
                </w:tcPr>
                <w:p>
                  <w:pPr>
                    <w:pStyle w:val="Normal"/>
                    <w:keepLines w:val="on"/>
                  </w:pPr>
                  <w:r>
                    <w:t>18,82%</w:t>
                  </w:r>
                </w:p>
              </w:tc>
              <w:tc>
                <w:tcPr>
                  <w:tcW w:type="auto" w:w="0"/>
                  <w:shd w:val="clear" w:color="auto" w:fill="F0F0F0"/>
                </w:tcPr>
                <w:p>
                  <w:pPr>
                    <w:pStyle w:val="Normal"/>
                    <w:keepLines w:val="on"/>
                  </w:pPr>
                  <w:r>
                    <w:t>4,85%</w:t>
                  </w:r>
                </w:p>
              </w:tc>
              <w:tc>
                <w:tcPr>
                  <w:tcW w:type="auto" w:w="0"/>
                  <w:shd w:val="clear" w:color="auto" w:fill="F0F0F0"/>
                </w:tcPr>
                <w:p>
                  <w:pPr>
                    <w:pStyle w:val="Normal"/>
                    <w:keepLines w:val="on"/>
                  </w:pPr>
                  <w:r>
                    <w:t>7,83%</w:t>
                  </w:r>
                </w:p>
              </w:tc>
              <w:tc>
                <w:tcPr>
                  <w:tcW w:type="auto" w:w="0"/>
                  <w:shd w:val="clear" w:color="auto" w:fill="F0F0F0"/>
                </w:tcPr>
                <w:p>
                  <w:pPr>
                    <w:pStyle w:val="Normal"/>
                    <w:keepLines w:val="on"/>
                  </w:pPr>
                  <w:r>
                    <w:t>9,69%</w:t>
                  </w:r>
                </w:p>
              </w:tc>
              <w:tc>
                <w:tcPr>
                  <w:tcW w:type="auto" w:w="0"/>
                  <w:shd w:val="clear" w:color="auto" w:fill="F0F0F0"/>
                </w:tcPr>
                <w:p>
                  <w:pPr>
                    <w:pStyle w:val="Normal"/>
                    <w:keepLines w:val="on"/>
                  </w:pPr>
                  <w:r>
                    <w:t>−2,72%</w:t>
                  </w:r>
                </w:p>
              </w:tc>
              <w:tc>
                <w:tcPr>
                  <w:tcW w:type="auto" w:w="0"/>
                  <w:shd w:val="clear" w:color="auto" w:fill="F0F0F0"/>
                </w:tcPr>
                <w:p>
                  <w:pPr>
                    <w:pStyle w:val="Normal"/>
                    <w:keepLines w:val="on"/>
                  </w:pPr>
                  <w:r>
                    <w:t>2,70%</w:t>
                  </w:r>
                </w:p>
              </w:tc>
            </w:tr>
            <w:tr>
              <w:tc>
                <w:tcPr>
                  <w:tcW w:type="auto" w:w="0"/>
                  <w:shd w:val="clear" w:color="auto" w:fill="F0F0F0"/>
                </w:tcPr>
                <w:p>
                  <w:pPr>
                    <w:pStyle w:val="Para 02"/>
                    <w:keepLines w:val="on"/>
                  </w:pPr>
                  <w:r>
                    <w:t>2000–09</w:t>
                  </w:r>
                </w:p>
              </w:tc>
              <w:tc>
                <w:tcPr>
                  <w:tcW w:type="auto" w:w="0"/>
                  <w:shd w:val="clear" w:color="auto" w:fill="F0F0F0"/>
                </w:tcPr>
                <w:p>
                  <w:pPr>
                    <w:pStyle w:val="Normal"/>
                    <w:keepLines w:val="on"/>
                  </w:pPr>
                  <w:r>
                    <w:t>2,53%</w:t>
                  </w:r>
                </w:p>
              </w:tc>
              <w:tc>
                <w:tcPr>
                  <w:tcW w:type="auto" w:w="0"/>
                  <w:shd w:val="clear" w:color="auto" w:fill="F0F0F0"/>
                </w:tcPr>
                <w:p>
                  <w:pPr>
                    <w:pStyle w:val="Normal"/>
                    <w:keepLines w:val="on"/>
                  </w:pPr>
                  <w:r>
                    <w:t>−0,02%</w:t>
                  </w:r>
                </w:p>
              </w:tc>
              <w:tc>
                <w:tcPr>
                  <w:tcW w:type="auto" w:w="0"/>
                  <w:shd w:val="clear" w:color="auto" w:fill="F0F0F0"/>
                </w:tcPr>
                <w:p>
                  <w:pPr>
                    <w:pStyle w:val="Normal"/>
                    <w:keepLines w:val="on"/>
                  </w:pPr>
                  <w:r>
                    <w:t>1,16%</w:t>
                  </w:r>
                </w:p>
              </w:tc>
              <w:tc>
                <w:tcPr>
                  <w:tcW w:type="auto" w:w="0"/>
                  <w:shd w:val="clear" w:color="auto" w:fill="F0F0F0"/>
                </w:tcPr>
                <w:p>
                  <w:pPr>
                    <w:pStyle w:val="Normal"/>
                    <w:keepLines w:val="on"/>
                  </w:pPr>
                  <w:r>
                    <w:t>2,69%</w:t>
                  </w:r>
                </w:p>
              </w:tc>
              <w:tc>
                <w:tcPr>
                  <w:tcW w:type="auto" w:w="0"/>
                  <w:shd w:val="clear" w:color="auto" w:fill="F0F0F0"/>
                </w:tcPr>
                <w:p>
                  <w:pPr>
                    <w:pStyle w:val="Normal"/>
                    <w:keepLines w:val="on"/>
                  </w:pPr>
                  <w:r>
                    <w:t>6,62%</w:t>
                  </w:r>
                </w:p>
              </w:tc>
              <w:tc>
                <w:tcPr>
                  <w:tcW w:type="auto" w:w="0"/>
                  <w:shd w:val="clear" w:color="auto" w:fill="F0F0F0"/>
                </w:tcPr>
                <w:p>
                  <w:pPr>
                    <w:pStyle w:val="Normal"/>
                    <w:keepLines w:val="on"/>
                  </w:pPr>
                  <w:r>
                    <w:t>8,61%</w:t>
                  </w:r>
                </w:p>
              </w:tc>
              <w:tc>
                <w:tcPr>
                  <w:tcW w:type="auto" w:w="0"/>
                  <w:shd w:val="clear" w:color="auto" w:fill="F0F0F0"/>
                </w:tcPr>
                <w:p>
                  <w:pPr>
                    <w:pStyle w:val="Normal"/>
                    <w:keepLines w:val="on"/>
                  </w:pPr>
                  <w:r>
                    <w:t>14,95%</w:t>
                  </w:r>
                </w:p>
              </w:tc>
              <w:tc>
                <w:tcPr>
                  <w:tcW w:type="auto" w:w="0"/>
                  <w:shd w:val="clear" w:color="auto" w:fill="F0F0F0"/>
                </w:tcPr>
                <w:p>
                  <w:pPr>
                    <w:pStyle w:val="Normal"/>
                    <w:keepLines w:val="on"/>
                  </w:pPr>
                  <w:r>
                    <w:t>4,30%</w:t>
                  </w:r>
                </w:p>
              </w:tc>
            </w:tr>
            <w:tr>
              <w:tc>
                <w:tcPr>
                  <w:tcW w:type="auto" w:w="0"/>
                  <w:shd w:val="clear" w:color="auto" w:fill="F0F0F0"/>
                </w:tcPr>
                <w:p>
                  <w:pPr>
                    <w:pStyle w:val="Para 02"/>
                    <w:keepLines w:val="on"/>
                  </w:pPr>
                  <w:r>
                    <w:t>2010–19</w:t>
                  </w:r>
                </w:p>
              </w:tc>
              <w:tc>
                <w:tcPr>
                  <w:tcW w:type="auto" w:w="0"/>
                  <w:shd w:val="clear" w:color="auto" w:fill="F0F0F0"/>
                </w:tcPr>
                <w:p>
                  <w:pPr>
                    <w:pStyle w:val="Normal"/>
                    <w:keepLines w:val="on"/>
                  </w:pPr>
                  <w:r>
                    <w:t>1,76%</w:t>
                  </w:r>
                </w:p>
              </w:tc>
              <w:tc>
                <w:tcPr>
                  <w:tcW w:type="auto" w:w="0"/>
                  <w:shd w:val="clear" w:color="auto" w:fill="F0F0F0"/>
                </w:tcPr>
                <w:p>
                  <w:pPr>
                    <w:pStyle w:val="Normal"/>
                    <w:keepLines w:val="on"/>
                  </w:pPr>
                  <w:r>
                    <w:t>−0,38%</w:t>
                  </w:r>
                </w:p>
              </w:tc>
              <w:tc>
                <w:tcPr>
                  <w:tcW w:type="auto" w:w="0"/>
                  <w:shd w:val="clear" w:color="auto" w:fill="F0F0F0"/>
                </w:tcPr>
                <w:p>
                  <w:pPr>
                    <w:pStyle w:val="Normal"/>
                    <w:keepLines w:val="on"/>
                  </w:pPr>
                  <w:r>
                    <w:t>14,02%</w:t>
                  </w:r>
                </w:p>
              </w:tc>
              <w:tc>
                <w:tcPr>
                  <w:tcW w:type="auto" w:w="0"/>
                  <w:shd w:val="clear" w:color="auto" w:fill="F0F0F0"/>
                </w:tcPr>
                <w:p>
                  <w:pPr>
                    <w:pStyle w:val="Normal"/>
                    <w:keepLines w:val="on"/>
                  </w:pPr>
                  <w:r>
                    <w:t>0,52%</w:t>
                  </w:r>
                </w:p>
              </w:tc>
              <w:tc>
                <w:tcPr>
                  <w:tcW w:type="auto" w:w="0"/>
                  <w:shd w:val="clear" w:color="auto" w:fill="F0F0F0"/>
                </w:tcPr>
                <w:p>
                  <w:pPr>
                    <w:pStyle w:val="Normal"/>
                    <w:keepLines w:val="on"/>
                  </w:pPr>
                  <w:r>
                    <w:t>4,35%</w:t>
                  </w:r>
                </w:p>
              </w:tc>
              <w:tc>
                <w:tcPr>
                  <w:tcW w:type="auto" w:w="0"/>
                  <w:shd w:val="clear" w:color="auto" w:fill="F0F0F0"/>
                </w:tcPr>
                <w:p>
                  <w:pPr>
                    <w:pStyle w:val="Normal"/>
                    <w:keepLines w:val="on"/>
                  </w:pPr>
                  <w:r>
                    <w:t>7,23%</w:t>
                  </w:r>
                </w:p>
              </w:tc>
              <w:tc>
                <w:tcPr>
                  <w:tcW w:type="auto" w:w="0"/>
                  <w:shd w:val="clear" w:color="auto" w:fill="F0F0F0"/>
                </w:tcPr>
                <w:p>
                  <w:pPr>
                    <w:pStyle w:val="Normal"/>
                    <w:keepLines w:val="on"/>
                  </w:pPr>
                  <w:r>
                    <w:t>4,43%</w:t>
                  </w:r>
                </w:p>
              </w:tc>
              <w:tc>
                <w:tcPr>
                  <w:tcW w:type="auto" w:w="0"/>
                  <w:shd w:val="clear" w:color="auto" w:fill="F0F0F0"/>
                </w:tcPr>
                <w:p>
                  <w:pPr>
                    <w:pStyle w:val="Normal"/>
                    <w:keepLines w:val="on"/>
                  </w:pPr>
                  <w:r>
                    <w:t>3,86%</w:t>
                  </w:r>
                </w:p>
              </w:tc>
            </w:tr>
            <w:tr>
              <w:tc>
                <w:tcPr>
                  <w:tcW w:type="auto" w:w="0"/>
                  <w:shd w:val="clear" w:color="auto" w:fill="F0F0F0"/>
                </w:tcPr>
                <w:p>
                  <w:pPr>
                    <w:pStyle w:val="Para 02"/>
                    <w:keepLines w:val="on"/>
                  </w:pPr>
                  <w:r>
                    <w:t>2020</w:t>
                  </w:r>
                </w:p>
              </w:tc>
              <w:tc>
                <w:tcPr>
                  <w:tcW w:type="auto" w:w="0"/>
                  <w:shd w:val="clear" w:color="auto" w:fill="F0F0F0"/>
                </w:tcPr>
                <w:p>
                  <w:pPr>
                    <w:pStyle w:val="Normal"/>
                    <w:keepLines w:val="on"/>
                  </w:pPr>
                  <w:r>
                    <w:t>1,36%</w:t>
                  </w:r>
                </w:p>
              </w:tc>
              <w:tc>
                <w:tcPr>
                  <w:tcW w:type="auto" w:w="0"/>
                  <w:shd w:val="clear" w:color="auto" w:fill="F0F0F0"/>
                </w:tcPr>
                <w:p>
                  <w:pPr>
                    <w:pStyle w:val="Normal"/>
                    <w:keepLines w:val="on"/>
                  </w:pPr>
                  <w:r>
                    <w:t>−0,39%</w:t>
                  </w:r>
                </w:p>
              </w:tc>
              <w:tc>
                <w:tcPr>
                  <w:tcW w:type="auto" w:w="0"/>
                  <w:shd w:val="clear" w:color="auto" w:fill="F0F0F0"/>
                </w:tcPr>
                <w:p>
                  <w:pPr>
                    <w:pStyle w:val="Normal"/>
                    <w:keepLines w:val="on"/>
                  </w:pPr>
                  <w:r>
                    <w:t>18,01%</w:t>
                  </w:r>
                </w:p>
              </w:tc>
              <w:tc>
                <w:tcPr>
                  <w:tcW w:type="auto" w:w="0"/>
                  <w:shd w:val="clear" w:color="auto" w:fill="F0F0F0"/>
                </w:tcPr>
                <w:p>
                  <w:pPr>
                    <w:pStyle w:val="Normal"/>
                    <w:keepLines w:val="on"/>
                  </w:pPr>
                  <w:r>
                    <w:t>0,09%</w:t>
                  </w:r>
                </w:p>
              </w:tc>
              <w:tc>
                <w:tcPr>
                  <w:tcW w:type="auto" w:w="0"/>
                  <w:shd w:val="clear" w:color="auto" w:fill="F0F0F0"/>
                </w:tcPr>
                <w:p>
                  <w:pPr>
                    <w:pStyle w:val="Normal"/>
                    <w:keepLines w:val="on"/>
                  </w:pPr>
                  <w:r>
                    <w:t>11,33%</w:t>
                  </w:r>
                </w:p>
              </w:tc>
              <w:tc>
                <w:tcPr>
                  <w:tcW w:type="auto" w:w="0"/>
                  <w:shd w:val="clear" w:color="auto" w:fill="F0F0F0"/>
                </w:tcPr>
                <w:p>
                  <w:pPr>
                    <w:pStyle w:val="Normal"/>
                    <w:keepLines w:val="on"/>
                  </w:pPr>
                  <w:r>
                    <w:t>10,41%</w:t>
                  </w:r>
                </w:p>
              </w:tc>
              <w:tc>
                <w:tcPr>
                  <w:tcW w:type="auto" w:w="0"/>
                  <w:shd w:val="clear" w:color="auto" w:fill="F0F0F0"/>
                </w:tcPr>
                <w:p>
                  <w:pPr>
                    <w:pStyle w:val="Normal"/>
                    <w:keepLines w:val="on"/>
                  </w:pPr>
                  <w:r>
                    <w:t>24,17%</w:t>
                  </w:r>
                </w:p>
              </w:tc>
              <w:tc>
                <w:tcPr>
                  <w:tcW w:type="auto" w:w="0"/>
                  <w:shd w:val="clear" w:color="auto" w:fill="F0F0F0"/>
                </w:tcPr>
                <w:p>
                  <w:pPr>
                    <w:pStyle w:val="Normal"/>
                    <w:keepLines w:val="on"/>
                  </w:pPr>
                  <w:r>
                    <w:t>10,35%</w:t>
                  </w:r>
                </w:p>
              </w:tc>
            </w:tr>
          </w:tbl>
          <w:p/>
        </w:tc>
      </w:tr>
    </w:tbl>
    <w:p>
      <w:pPr>
        <w:pStyle w:val="Para 03"/>
      </w:pPr>
      <w:r>
        <w:t>Trong khi lợi nhuận từ bất động sản thường thấp hơn lợi nhuận từ cổ phiếu trong hầu hết các thập kỷ, thì vào thập niên 1970 — giai đoạn lạm phát tăng cao ngoài dự kiến — bất động sản lại vượt trội so với các loại tài sản tài chính khác.</w:t>
      </w:r>
    </w:p>
    <w:p>
      <w:pPr>
        <w:pStyle w:val="Para 03"/>
      </w:pPr>
      <w:r>
        <w:t>Lời khuyên đa dạng hóa danh mục đầu tư bằng cách thêm bất động sản vào có thể cần phải được xem xét lại, khi tính đến những thay đổi của thị trường bất động sản trong ba thập kỷ qua. Khi bất động sản ngày càng được chứng khoán hóa (securitized), có bằng chứng cho thấy bất động sản với tư cách là một loại tài sản đã bắt đầu hành xử ngày càng giống các loại tài sản tài chính khác (cổ phiếu và trái phiếu). Có lẽ cách tốt nhất để làm rõ điều này là sử dụng một thước đo dành cho cổ phiếu mà chúng ta đã trình bày ở Chương 7 — phần bù rủi ro vốn cổ phần ngầm định (implied equity risk premium). Trong Hình 26.1, chúng ta tập hợp lại phần bù rủi ro vốn cổ phần, mức chênh lệch vỡ nợ (default spread) của trái phiếu xếp hạng Baa (tức phần bù rủi ro dành cho trái phiếu), và phần bù rủi ro bất động sản — được tính bằng cách lấy tỷ lệ vốn hóa (capitalization rate, một thước đo lợi nhuận yêu cầu mà các nhà đầu tư bất động sản sử dụng) trừ đi lãi suất phi rủi ro. Lưu ý rằng trong khi phần bù rủi ro của cổ phiếu và trái phiếu hầu như luôn di chuyển cùng nhau trong suốt cả giai đoạn, thì hành vi của bất động sản đã thay đổi một cách mạnh mẽ trong ba thập kỷ qua. Vào đầu thập niên 1980, phần bù rủi ro bất động sản đi theo một quỹ đạo hoàn toàn không liên quan đến quỹ đạo của cổ phiếu và trái phiếu, điều này nhất quán với mức tương quan thấp hoặc âm được báo cáo trong Bảng 26.3. Bắt đầu từ giữa thập niên 1990 và tăng tốc trong suốt thập kỷ vừa qua, phần bù rủi ro bất động sản đã hội tụ cả về độ lớn lẫn hướng đi với phần bù rủi ro của cổ phiếu và trái phiếu. Trên thực tế, điều này cho thấy rằng không chỉ mối tương quan giữa bất động sản và các tài sản tài chính ngày nay cao hơn nhiều, mà câu châm ngôn xưa cũ rằng hãy đa dạng hóa danh mục bằng cách thêm bất động sản vào có thể không còn là lời khuyên hay nữa.</w:t>
      </w:r>
    </w:p>
    <w:p>
      <w:bookmarkStart w:id="5457" w:name="Figure_26_1_Equity_Risk_Premium"/>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1676400"/>
            <wp:effectExtent l="0" r="0" t="0" b="0"/>
            <wp:wrapTopAndBottom/>
            <wp:docPr id="236" name="c26f001.png" descr="Line graph depicts increase and decrease in the trend of capital rate, E R P, Baa spread, and capital rate risk-free rate from 1980 to 2024."/>
            <wp:cNvGraphicFramePr>
              <a:graphicFrameLocks noChangeAspect="1"/>
            </wp:cNvGraphicFramePr>
            <a:graphic>
              <a:graphicData uri="http://schemas.openxmlformats.org/drawingml/2006/picture">
                <pic:pic>
                  <pic:nvPicPr>
                    <pic:cNvPr id="0" name="c26f001.png" descr="Line graph depicts increase and decrease in the trend of capital rate, E R P, Baa spread, and capital rate risk-free rate from 1980 to 2024."/>
                    <pic:cNvPicPr/>
                  </pic:nvPicPr>
                  <pic:blipFill>
                    <a:blip r:embed="rId168"/>
                    <a:stretch>
                      <a:fillRect/>
                    </a:stretch>
                  </pic:blipFill>
                  <pic:spPr>
                    <a:xfrm>
                      <a:off x="0" y="0"/>
                      <a:ext cx="2451100" cy="1676400"/>
                    </a:xfrm>
                    <a:prstGeom prst="rect">
                      <a:avLst/>
                    </a:prstGeom>
                  </pic:spPr>
                </pic:pic>
              </a:graphicData>
            </a:graphic>
          </wp:anchor>
        </w:drawing>
      </w:r>
      <w:bookmarkEnd w:id="5457"/>
    </w:p>
    <w:p>
      <w:pPr>
        <w:keepNext/>
        <w:pStyle w:val="Para 22"/>
        <w:keepLines w:val="on"/>
      </w:pPr>
      <w:r>
        <w:t>Hình 26.1 Phần bù rủi ro vốn cổ phần, tỷ lệ vốn hóa và mức chênh lệch trái phiếu</w:t>
      </w:r>
    </w:p>
    <w:p>
      <w:pPr>
        <w:pStyle w:val="Para 03"/>
      </w:pPr>
      <w:r>
        <w:t>Trong khi ít nhà kinh tế học phản đối giá trị của việc đưa các khoản đầu tư bất động sản vào danh mục thị trường, hầu hết đều bị cản trở bởi các vấn đề đo lường. Những vấn đề này, tuy không thể vượt qua cho đến gần đây, đang trở nên dễ giải quyết hơn khi các khoản đầu tư bất động sản được chứng khoán hóa và giao dịch. Điểm bất lợi là khi bất động sản trở nên dễ giao dịch hơn, nó đang mất đi phần nào tính độc đáo và hành xử ngày càng giống các tài sản tài chính được giao dịch.</w:t>
      </w:r>
    </w:p>
    <w:p>
      <w:pPr>
        <w:pStyle w:val="Para 20"/>
      </w:pPr>
      <w:r>
        <w:rPr>
          <w:rStyle w:val="Text26"/>
        </w:rPr>
        <w:bookmarkStart w:id="5458" w:name="Page_843"/>
        <w:t/>
        <w:bookmarkEnd w:id="5458"/>
      </w:r>
      <w:r>
        <w:t xml:space="preserve"> </w:t>
      </w:r>
    </w:p>
    <w:p>
      <w:bookmarkStart w:id="5459" w:name="Intrinsic_Valuation_of_Real_Esta"/>
      <w:bookmarkStart w:id="5460" w:name="Intrinsic_Valuation_of_Real_Esta_1"/>
      <w:pPr>
        <w:keepNext/>
        <w:pStyle w:val="Heading 2"/>
        <w:keepLines w:val="on"/>
      </w:pPr>
      <w:r>
        <w:t>Định giá nội tại bất động sản</w:t>
      </w:r>
      <w:bookmarkEnd w:id="5459"/>
      <w:bookmarkEnd w:id="5460"/>
    </w:p>
    <w:p>
      <w:pPr>
        <w:pStyle w:val="Para 03"/>
      </w:pPr>
      <w:r>
        <w:t>Giá trị của bất kỳ tài sản nào tạo ra dòng tiền đều là giá trị hiện tại của các dòng tiền kỳ vọng từ tài sản đó. Cũng giống như các mô hình định giá dòng tiền chiết khấu (discounted cash flow), chẳng hạn như mô hình chiết khấu cổ tức (dividend discount model), có thể được dùng để định giá các tài sản tài chính, chúng cũng có thể được dùng để định giá các khoản đầu tư bất động sản tạo ra dòng tiền.</w:t>
      </w:r>
    </w:p>
    <w:p>
      <w:pPr>
        <w:pStyle w:val="Para 03"/>
      </w:pPr>
      <w:r>
        <w:t>Để sử dụng định giá dòng tiền chiết khấu nhằm định giá các khoản đầu tư bất động sản, trước tiên cần đo lường mức độ rủi ro của các khoản đầu tư bất động sản và ước tính tỷ lệ chiết khấu (discount rate) dựa trên mức rủi ro đó, sau đó tiếp tục ước tính các dòng tiền kỳ vọng từ những khoản đầu tư này.</w:t>
      </w:r>
    </w:p>
    <w:p>
      <w:pPr>
        <w:pStyle w:val="Para 03"/>
      </w:pPr>
      <w:r>
        <w:t>Phần tiếp theo sẽ xem xét những vấn đề này.</w:t>
      </w:r>
    </w:p>
    <w:p>
      <w:bookmarkStart w:id="5461" w:name="Estimating_Discount_Rates"/>
      <w:bookmarkStart w:id="5462" w:name="Estimating_Discount_Rates__Chapt"/>
      <w:pPr>
        <w:keepNext/>
        <w:pStyle w:val="Heading 3"/>
        <w:keepLines w:val="on"/>
      </w:pPr>
      <w:r>
        <w:t>Ước tính tỷ lệ chiết khấu</w:t>
      </w:r>
      <w:bookmarkEnd w:id="5461"/>
      <w:bookmarkEnd w:id="5462"/>
    </w:p>
    <w:p>
      <w:pPr>
        <w:pStyle w:val="Para 03"/>
      </w:pPr>
      <w:r>
        <w:t>Chương 7 và 8 đã trình bày các mô hình cơ bản được dùng để ước tính chi phí vốn cổ phần, chi phí nợ và chi phí vốn cho một khoản đầu tư. Liệu những mô hình đó có áp dụng được cho bất động sản không? Nếu có, chúng có cần được điều chỉnh không? Nếu không, chúng ta dùng gì thay thế?</w:t>
      </w:r>
    </w:p>
    <w:p>
      <w:pPr>
        <w:pStyle w:val="Para 03"/>
      </w:pPr>
      <w:r>
        <w:t>Phần này xem xét tính khả dụng của các mô hình rủi ro và lợi nhuận đối với các khoản đầu tư bất động sản. Trong quá trình đó, chúng ta xem xét liệu giả định rằng nhà đầu tư biên (marginal investor) được đa dạng hóa tốt có hợp lý đối với các khoản đầu tư bất động sản hay không, và nếu có thì cách tốt nhất để đo lường các tham số của mô hình — lãi suất phi rủi ro, beta và phần bù rủi ro — nhằm ước tính chi phí vốn cổ phần là gì. Chúng ta cũng xem xét các nguồn rủi ro khác trong đầu tư bất động sản mà các mô hình rủi ro và lợi nhuận truyền thống chưa xem xét đầy đủ, và cách đưa chúng vào định giá.</w:t>
      </w:r>
    </w:p>
    <w:p>
      <w:bookmarkStart w:id="5463" w:name="Cost_of_Equity__In_the_basic_mod"/>
      <w:bookmarkStart w:id="5464" w:name="Cost_of_Equity_3"/>
      <w:pPr>
        <w:keepNext/>
        <w:pStyle w:val="Heading 4"/>
        <w:keepLines w:val="on"/>
      </w:pPr>
      <w:r>
        <w:t>Chi phí vốn cổ phần</w:t>
      </w:r>
      <w:bookmarkEnd w:id="5463"/>
      <w:bookmarkEnd w:id="5464"/>
    </w:p>
    <w:p>
      <w:pPr>
        <w:pStyle w:val="Para 03"/>
      </w:pPr>
      <w:r>
        <w:t>Trong các mô hình cơ bản dùng để ước tính chi phí vốn cổ phần cho các tài sản tài chính, rủi ro của bất kỳ tài sản nào, dù là thực hay tài chính, được định nghĩa là phần phương sai (variance) của tài sản đó không thể đa dạng hóa được. Rủi ro không thể đa dạng hóa này được đo bằng beta thị trường trong mô hình định giá tài sản vốn (CAPM), và bằng các beta nhân tố trong mô hình định giá chênh lệch lợi nhuận (arbitrage pricing) và các mô hình đa nhân tố. Các giả định chính mà những mô hình này đưa ra để đi đến những kết luận đó là: nhà đầu tư biên của tài sản được đa dạng hóa tốt, và rủi ro được đo bằng mức biến động của lợi nhuận. Nếu giả định rằng những mô hình này cũng áp dụng cho tài sản thực, thì rủi ro của một tài sản thực nên được đo bằng beta của nó so với danh mục thị trường trong CAPM, và bằng các beta nhân tố trong các mô hình đa nhân tố. Tuy nhiên, nếu làm như vậy, chúng ta đang giả định — giống như đã làm với các cổ phiếu được giao dịch công khai — rằng nhà đầu tư biên của tài sản thực được đa dạng hóa tốt.</w:t>
      </w:r>
    </w:p>
    <w:p>
      <w:pPr>
        <w:pStyle w:val="Para 03"/>
      </w:pPr>
      <w:r>
        <w:t>Có thể đưa ra một lập luận mạnh mẽ rằng nhiều nhà đầu tư bất động sản tập trung vào loại tài sản đó, và do đó, việc sử dụng các mô hình rủi ro thông thường để đo lường rủi ro là không phù hợp. Nếu đúng như vậy, chúng ta cần các mô hình thay thế để đo lường rủi ro và chi phí vốn cổ phần, và trong phần này, chúng tôi sẽ trình bày hai lựa chọn—một biến thể của phương pháp beta tổng (total beta) mà chúng tôi đã dùng cho các doanh nghiệp tư nhân, và một phương pháp khảo sát trong đó các nhà đầu tư bất động sản được hỏi họ sẽ chấp nhận mức lợi nhuận yêu cầu nào.</w:t>
      </w:r>
    </w:p>
    <w:p>
      <w:pPr>
        <w:pStyle w:val="Para 20"/>
      </w:pPr>
      <w:r>
        <w:rPr>
          <w:rStyle w:val="Text26"/>
        </w:rPr>
        <w:bookmarkStart w:id="5465" w:name="Page_844"/>
        <w:t/>
        <w:bookmarkEnd w:id="5465"/>
      </w:r>
      <w:r>
        <w:t xml:space="preserve"> </w:t>
      </w:r>
    </w:p>
    <w:p>
      <w:pPr>
        <w:pStyle w:val="Para 11"/>
      </w:pPr>
      <w:r>
        <w:t xml:space="preserve"> </w:t>
      </w:r>
    </w:p>
    <w:p>
      <w:bookmarkStart w:id="5466" w:name="Are_the_Marginal_Investors_in_Re_1"/>
      <w:bookmarkStart w:id="5467" w:name="Are_the_Marginal_Investors_in_Re"/>
      <w:pPr>
        <w:keepNext/>
        <w:pStyle w:val="Para 27"/>
        <w:keepLines w:val="on"/>
      </w:pPr>
      <w:r>
        <w:t>Liệu các nhà đầu tư biên trong bất động sản có đa dạng hóa không?</w:t>
      </w:r>
      <w:bookmarkEnd w:id="5466"/>
      <w:bookmarkEnd w:id="5467"/>
    </w:p>
    <w:p>
      <w:pPr>
        <w:pStyle w:val="Para 16"/>
        <w:keepLines w:val="on"/>
      </w:pPr>
      <w:r>
        <w:t>Nhiều nhà phân tích lập luận rằng bất động sản đòi hỏi các khoản đầu tư lớn đến mức các nhà đầu tư vào nó có thể không đủ khả năng đa dạng hóa. Ngoài ra, họ lưu ý rằng đầu tư bất động sản đòi hỏi kiến thức địa phương, và những người phát triển được kiến thức này chọn đầu tư chủ yếu hoặc chỉ vào bất động sản. Do đó, họ cho rằng việc sử dụng mô hình định giá tài sản vốn (capital asset pricing model – CAPM) hay các mô hình đa nhân tố (multifactor models), vốn giả định rằng chỉ có rủi ro không thể đa dạng hóa mới được đền đáp, là không phù hợp để ước tính chi phí vốn cổ phần.</w:t>
      </w:r>
    </w:p>
    <w:p>
      <w:pPr>
        <w:pStyle w:val="Para 16"/>
        <w:keepLines w:val="on"/>
      </w:pPr>
      <w:r>
        <w:t>Lập luận này có một hạt nhân sự thật, nhưng có thể dễ dàng phản bác bằng cách lưu ý rằng:</w:t>
      </w:r>
    </w:p>
    <w:p>
      <w:pPr>
        <w:numPr>
          <w:ilvl w:val="0"/>
          <w:numId w:val="291"/>
        </w:numPr>
        <w:pStyle w:val="Para 33"/>
        <w:keepLines w:val="on"/>
      </w:pPr>
      <w:r>
        <w:t>Nhiều nhà đầu tư tập trung nắm giữ vào bất động sản là do lựa chọn. Họ xem đó là cách tận dụng kiến thức chuyên môn về bất động sản của mình. Vì vậy, chúng ta nên nhìn họ giống như cách chúng ta nhìn những nhà đầu tư chọn chỉ nắm giữ cổ phiếu công nghệ trong danh mục của họ.</w:t>
      </w:r>
    </w:p>
    <w:p>
      <w:pPr>
        <w:numPr>
          <w:ilvl w:val="0"/>
          <w:numId w:val="291"/>
        </w:numPr>
        <w:pStyle w:val="Para 33"/>
        <w:keepLines w:val="on"/>
      </w:pPr>
      <w:r>
        <w:t>Ngay cả những khoản đầu tư bất động sản lớn cũng có thể được chia nhỏ thành các phần nhỏ hơn, cho phép nhà đầu tư có lựa chọn nắm giữ đầu tư bất động sản song song với các tài sản tài chính. Điều này đặc biệt đúng hiện nay với việc chứng khoán hóa (securitization) bất động sản.</w:t>
      </w:r>
    </w:p>
    <w:p>
      <w:pPr>
        <w:numPr>
          <w:ilvl w:val="0"/>
          <w:numId w:val="291"/>
        </w:numPr>
        <w:pStyle w:val="Para 33"/>
        <w:keepLines w:val="on"/>
      </w:pPr>
      <w:r>
        <w:t>Cũng giống như nhà đầu tư biên trong cổ phiếu thường là nhà đầu tư tổ chức có nguồn lực để đa dạng hóa và giữ chi phí giao dịch thấp, nhà đầu tư biên trong nhiều thị trường bất động sản ngày nay có đủ nguồn lực để đa dạng hóa.</w:t>
      </w:r>
    </w:p>
    <w:p>
      <w:pPr>
        <w:pStyle w:val="Para 16"/>
        <w:keepLines w:val="on"/>
      </w:pPr>
      <w:r>
        <w:t>Nếu các nhà phát triển bất động sản và nhà đầu tư tư nhân khăng khăng đòi lợi nhuận kỳ vọng cao hơn vì họ không được đa dạng hóa, thì đầu tư bất động sản sẽ ngày càng được nắm giữ bởi các quỹ tín thác đầu tư bất động sản (real estate investment trusts – REITs), các nhà đầu tư vốn cổ phần tư nhân (private equity) và các tập đoàn, những thực thể thu hút được nhiều nhà đầu tư đa dạng hóa hơn với mức lợi nhuận yêu cầu thấp hơn. Xu hướng này đã diễn ra rõ rệt ở Hoa Kỳ và có thể lan sang các quốc gia khác theo thời gian.</w:t>
      </w:r>
    </w:p>
    <w:p>
      <w:bookmarkStart w:id="5468" w:name="Conventional_Asset_Pricing_Model"/>
      <w:pPr>
        <w:pStyle w:val="Para 21"/>
      </w:pPr>
      <w:r>
        <w:t>Các mô hình định giá tài sản thông thường</w:t>
      </w:r>
      <w:bookmarkEnd w:id="5468"/>
    </w:p>
    <w:p>
      <w:pPr>
        <w:pStyle w:val="Para 03"/>
      </w:pPr>
      <w:r>
        <w:t>Ngay cả khi chấp nhận rằng rủi ro của bất động sản là beta thị trường của nó trong CAPM và beta nhân tố của nó trong các mô hình đa nhân tố, vẫn có một số vấn đề liên quan đến việc đo lường và sử dụng các tham số rủi ro này cần được xem xét. Để cung cấp một số hiểu biết về các vấn đề đo lường gắn với tài sản thực, hãy xem xét cách tiếp cận tiêu chuẩn để ước tính beta trong mô hình định giá tài sản vốn cho một cổ phiếu niêm yết công khai. Đầu tiên, giá của cổ phiếu được thu thập từ dữ liệu lịch sử, và lợi nhuận được tính theo định kỳ (hàng ngày, hàng tuần hoặc hàng tháng). Thứ hai, các lợi nhuận cổ phiếu này được hồi quy theo lợi nhuận của một chỉ số cổ phiếu trong cùng kỳ để thu được beta. Đối với bất động sản, các bước này không đơn giản như vậy.</w:t>
      </w:r>
    </w:p>
    <w:p>
      <w:bookmarkStart w:id="5470" w:name="Individual_Assets__Prices_and_Ri"/>
      <w:pPr>
        <w:pStyle w:val="Para 42"/>
      </w:pPr>
      <w:r>
        <w:t>Tài sản riêng lẻ: Giá và các tham số rủi ro</w:t>
      </w:r>
      <w:bookmarkEnd w:id="5470"/>
    </w:p>
    <w:p>
      <w:pPr>
        <w:pStyle w:val="Para 03"/>
      </w:pPr>
      <w:r>
        <w:t>Beta của từng cổ phiếu riêng lẻ có thể được ước tính đơn giản vì giá cổ phiếu có sẵn trong khoảng thời gian dài. Điều tương tự không thể nói đối với các khoản đầu tư bất động sản riêng lẻ. Một bất động sản không được mua bán thường xuyên, mặc dù các bất động sản tương tự có thể được. Do đó, các chỉ số giá có sẵn cho các nhóm tài sản (ví dụ: các tòa nhà văn phòng ở trung tâm Manhattan), và các tham số rủi ro có thể được ước tính cho các nhóm này.</w:t>
      </w:r>
    </w:p>
    <w:p>
      <w:pPr>
        <w:pStyle w:val="Para 03"/>
      </w:pPr>
      <w:r>
        <w:t>Ngay cả khi có các chỉ số giá cho các nhóm đầu tư bất động sản, vẫn còn những câu hỏi về tính so sánh được giữa các tài sản trong cùng một nhóm (ví dụ: Một tòa nhà ở trung tâm có giống với bất kỳ tòa nhà nào khác không? Làm sao kiểm soát được sự khác biệt về tuổi và chất lượng xây dựng? Còn vị trí thì sao?), và về chính việc phân loại (tòa nhà văn phòng so với tòa nhà dân cư; nhà ở một gia đình so với nhà ở nhiều gia đình).</w:t>
      </w:r>
    </w:p>
    <w:p>
      <w:bookmarkStart w:id="5473" w:name="The_Market_Portfolio__In_estimat"/>
      <w:pPr>
        <w:pStyle w:val="Para 42"/>
      </w:pPr>
      <w:r>
        <w:t>Danh mục thị trường</w:t>
      </w:r>
      <w:bookmarkEnd w:id="5473"/>
    </w:p>
    <w:p>
      <w:pPr>
        <w:pStyle w:val="Para 03"/>
      </w:pPr>
      <w:r>
        <w:t>Khi ước tính beta của cổ phiếu, chúng ta thường dùng một chỉ số cổ phiếu làm đại diện cho danh mục thị trường. Tuy nhiên, về mặt lý thuyết, danh mục thị trường nên bao gồm tất cả tài sản trong nền kinh tế theo tỷ lệ giá trị thị trường của chúng. Điều này đặc biệt quan trọng khi danh mục thị trường được dùng để ước tính các tham số rủi ro của đầu tư bất động sản. Việc sử dụng một chỉ số cổ phiếu làm danh mục thị trường sẽ dẫn đến việc bất động sản bị gạt ra rìa1 và đánh giá thấp rủi ro của các tài sản này. Sự khác biệt giữa một danh mục cổ phiếu và một danh mục gồm mọi tài sản có thể rất lớn, vì giá trị thị trường của bất động sản và các khoản đầu tư phi cổ phiếu khác không nằm trong chỉ số cổ phiếu là đáng kể.</w:t>
      </w:r>
    </w:p>
    <w:p>
      <w:bookmarkStart w:id="5476" w:name="A_Pragmatic_Solution__If_one_acc"/>
      <w:pPr>
        <w:pStyle w:val="Para 42"/>
      </w:pPr>
      <w:r>
        <w:t>Một giải pháp thực dụng</w:t>
      </w:r>
      <w:bookmarkEnd w:id="5476"/>
    </w:p>
    <w:p>
      <w:pPr>
        <w:pStyle w:val="Para 03"/>
      </w:pPr>
      <w:r>
        <w:t>Nếu chấp nhận quan điểm rằng rủi ro của một khoản đầu tư bất động sản nên được đo lường bằng các mô hình rủi ro và lợi nhuận truyền thống, thì có một số cách tiếp cận thực tế có thể được dùng để ước tính các tham số rủi ro:</w:t>
      </w:r>
    </w:p>
    <w:p>
      <w:pPr>
        <w:numPr>
          <w:ilvl w:val="0"/>
          <w:numId w:val="292"/>
        </w:numPr>
        <w:pStyle w:val="Para 01"/>
      </w:pPr>
      <w:r>
        <w:t>Rủi ro của một nhóm đầu tư bất động sản có thể thu được bằng cách hồi quy lợi nhuận của nhóm đó (ví dụ dùng chuỗi NCREIF cho bất động sản thương mại và dân cư) theo lợi nhuận của một danh mục thị trường hợp nhất. Các vấn đề chính với cách tiếp cận này là (1) những chuỗi lợi nhuận này dựa trên các định giá được làm mượt và có thể đánh giá thấp mức biến động thực sự trên thị trường, và (2) lợi nhuận chỉ có sẵn cho các khoảng thời gian dài hơn (hàng năm hoặc hàng quý).</w:t>
      </w:r>
    </w:p>
    <w:p>
      <w:pPr>
        <w:numPr>
          <w:ilvl w:val="0"/>
          <w:numId w:val="292"/>
        </w:numPr>
        <w:pStyle w:val="Para 01"/>
      </w:pPr>
      <w:r>
        <w:t>Các tham số rủi ro của chứng khoán bất động sản được giao dịch (REITs và các hạn chế hợp danh chủ (master limited partnerships – MLPs)) có thể được dùng làm đại diện cho rủi ro trong đầu tư bất động sản. Hạn chế của cách tiếp cận này là các khoản đầu tư bất động sản đã được chứng khoán hóa có thể hành xử khác với đầu tư trực tiếp vào bất động sản, và việc ước tính các tham số rủi ro cho các nhóm đầu tư bất động sản khác nhau khó hơn nhiều (trừ khi có thể tìm được các REIT chỉ giới hạn trong một nhóm đầu tư như bất động sản thương mại).</w:t>
      </w:r>
    </w:p>
    <w:p>
      <w:pPr>
        <w:numPr>
          <w:ilvl w:val="0"/>
          <w:numId w:val="292"/>
        </w:numPr>
        <w:pStyle w:val="Para 01"/>
      </w:pPr>
      <w:r>
        <w:t>Nhu cầu về bất động sản trong một số trường hợp là nhu cầu phái sinh (derived demand). Ví dụ, giá trị của một trung tâm thương mại được phái sinh từ giá trị của không gian bán lẻ, mà giá trị này phải là một hàm của mức độ kinh doanh bán lẻ đang hoạt động tốt đến đâu. Trong trường hợp như vậy, có thể lập luận rằng các tham số rủi ro của một trung tâm thương mại nên liên quan đến các tham số rủi ro của các cửa hàng bán lẻ niêm yết công khai. Rõ ràng cần thực hiện các điều chỉnh cho sự khác biệt về đòn bẩy hoạt động và đòn bẩy tài chính.</w:t>
      </w:r>
    </w:p>
    <w:p>
      <w:bookmarkStart w:id="5478" w:name="Augmented_Risk_Models__In_this_a"/>
      <w:pPr>
        <w:pStyle w:val="Para 21"/>
      </w:pPr>
      <w:r>
        <w:t>Các mô hình rủi ro mở rộng</w:t>
      </w:r>
      <w:bookmarkEnd w:id="5478"/>
    </w:p>
    <w:p>
      <w:pPr>
        <w:pStyle w:val="Para 03"/>
      </w:pPr>
      <w:r>
        <w:t>Trong cách tiếp cận này, bạn bắt đầu với các mô hình rủi ro và lợi nhuận thông thường như CAPM, rồi điều chỉnh mức lợi nhuận yêu cầu của mình cho những rủi ro bổ sung mà bạn cho là đặc thù của đầu tư bất động sản. Cụ thể, bạn có thể đưa vào rủi ro bổ sung mà các nhà đầu tư bất động sản có thể phải đối mặt trong các khoản đầu tư của họ, vì họ không được đa dạng hóa hoàn toàn, rủi ro thanh khoản gắn với thực tế rằng các khoản nắm giữ bất động sản không dễ mua bán như cổ phiếu niêm yết công khai, mức độ phơi nhiễm gia tăng với rủi ro pháp lý và quy định vốn là một phần của một số khoản đầu tư bất động sản, và nhu cầu về thông tin địa phương để định giá từng khoản đầu tư bất động sản riêng lẻ.</w:t>
      </w:r>
    </w:p>
    <w:p>
      <w:bookmarkStart w:id="5481" w:name="Limited_Diversification__Using_r"/>
      <w:pPr>
        <w:pStyle w:val="Para 42"/>
      </w:pPr>
      <w:r>
        <w:t>Đa dạng hóa hạn chế</w:t>
      </w:r>
      <w:bookmarkEnd w:id="5481"/>
    </w:p>
    <w:p>
      <w:pPr>
        <w:pStyle w:val="Para 03"/>
      </w:pPr>
      <w:r>
        <w:t>Việc sử dụng các mô hình rủi ro và lợi nhuận giả định rằng nhà đầu tư biên được đa dạng hóa tốt có thể là hợp lý, ngay cả khi nhiều nhà đầu tư bất động sản chọn không đa dạng hóa. Một phần lý do cho nhận định này là sự hiện diện của các công ty có nhà đầu tư đa dạng hóa, như các quỹ tín thác đầu tư bất động sản và các hạn chế hợp danh chủ, trên thị trường bất động sản. Nhưng nếu không tồn tại những nhà đầu tư như vậy và nhà đầu tư biên trong bất động sản không được đa dạng hóa tốt thì sao? Chúng ta sẽ điều chỉnh ước tính chi phí vốn cổ phần của mình như thế nào?</w:t>
      </w:r>
    </w:p>
    <w:p>
      <w:pPr>
        <w:pStyle w:val="Para 03"/>
      </w:pPr>
      <w:r>
        <w:t>Chương 24 đã xem xét cách điều chỉnh chi phí vốn cổ phần cho một doanh nghiệp tư nhân vì thực tế chủ sở hữu của nó không được đa dạng hóa. Cụ thể, chúng tôi đã khuyến nghị sử dụng beta tổng phản ánh không chỉ rủi ro thị trường mà còn cả mức độ không đa dạng hóa của nhà đầu tư tiềm năng:</w:t>
      </w:r>
    </w:p>
    <w:p>
      <w:bookmarkStart w:id="5483" w:name="Total_beta_Market_betaCorrelatio"/>
      <w:pPr>
        <w:keepNext/>
        <w:pStyle w:val="Para 09"/>
        <w:keepLines w:val="on"/>
      </w:pPr>
      <w:r>
        <w:t>Tổng beta = Beta thị trường × Tương quan giữa danh mục đầu tư của nhà đầu tư và thị trường</w:t>
      </w:r>
      <w:bookmarkEnd w:id="5483"/>
    </w:p>
    <w:p>
      <w:pPr>
        <w:pStyle w:val="Para 03"/>
      </w:pPr>
      <w:r>
        <w:t>Chỉ số này có thể được điều chỉnh để ước tính tổng beta cho bất động sản. Ví dụ, giả sử nhà đầu tư cận biên trong bất động sản thương mại có một danh mục đầu tư có tương quan 0,50 với thị trường, và bất động sản thương mại như một loại tài sản có beta thị trường là 0,40. Beta bạn sẽ dùng để ước tính chi phí vốn cổ phần cho một khoản đầu tư sẽ là 0,80:</w:t>
      </w:r>
    </w:p>
    <w:p>
      <w:bookmarkStart w:id="5484" w:name="Total_beta_0_400_50_0_80"/>
      <w:pPr>
        <w:keepNext/>
        <w:pStyle w:val="Para 09"/>
        <w:keepLines w:val="on"/>
      </w:pPr>
      <w:r>
        <w:t>Tổng beta = 0,40 / 0,50 = 0,80</w:t>
      </w:r>
      <w:bookmarkEnd w:id="5484"/>
    </w:p>
    <w:p>
      <w:pPr>
        <w:pStyle w:val="Para 03"/>
      </w:pPr>
      <w:r>
        <w:t>Sử dụng beta cao hơn này sẽ dẫn đến chi phí vốn cổ phần cao hơn và giá trị thấp hơn cho khoản đầu tư bất động sản. Áp dụng cách tiếp cận này để ước tính chi phí vốn cổ phần cũng sẽ tạo ra chi phí vốn cổ phần khác nhau giữa các nhà đầu tư bất động sản, trong đó những nhà đầu tư có danh mục đa dạng hóa hơn sẽ chấp nhận chi phí vốn cổ phần thấp hơn và sẵn sàng trả giá cao hơn cho cùng một bất động sản. Điều này có thể giải thích tại sao những nhà đầu tư đa dạng hóa rộng như Blackrock đang mua lại cổ phần lớn hơn trong bất động sản, trả giá cao hơn các nhà phát triển bất động sản địa phương và các nhà đầu tư thuần bất động sản để sở hữu bất động sản.</w:t>
      </w:r>
    </w:p>
    <w:p>
      <w:bookmarkStart w:id="5485" w:name="Lack_of_Liquidity__Another_criti"/>
      <w:pPr>
        <w:pStyle w:val="Para 42"/>
      </w:pPr>
      <w:r>
        <w:t>Thiếu Thanh Khoản</w:t>
      </w:r>
      <w:bookmarkEnd w:id="5485"/>
    </w:p>
    <w:p>
      <w:pPr>
        <w:pStyle w:val="Para 03"/>
      </w:pPr>
      <w:r>
        <w:t>Một chỉ trích khác đối với các thước đo rủi ro truyền thống là chúng giả định tất cả tài sản đều có tính thanh khoản (hoặc ít nhất là không có sự khác biệt về tính thanh khoản giữa các tài sản). Các khoản đầu tư bất động sản thường kém thanh khoản hơn tài sản tài chính; giao dịch diễn ra ít thường xuyên hơn, chi phí giao dịch cao hơn, và có ít người mua và người bán hơn. Người ta lập luận rằng tài sản càng kém thanh khoản thì càng rủi ro.</w:t>
      </w:r>
    </w:p>
    <w:p>
      <w:pPr>
        <w:pStyle w:val="Para 03"/>
      </w:pPr>
      <w:r>
        <w:t>Một lần nữa, như chúng ta đã lưu ý trong Chương 24, mối liên hệ giữa tính kém thanh khoản và rủi ro rất khó định lượng vì nhiều lý do. Một là nó phụ thuộc vào khung thời gian của nhà đầu tư. Một nhà đầu tư dự định nắm giữ khoản đầu tư dài hạn sẽ ít quan tâm đến tính thanh khoản hơn một người không chắc chắn về khung thời gian của mình hoặc muốn giao dịch ngắn hạn. Một lý do khác là nó bị ảnh hưởng bởi các điều kiện kinh tế bên ngoài. Ví dụ, bất động sản có tính thanh khoản cao hơn nhiều trong thời kỳ kinh tế bùng nổ khi giá đang tăng, so với thời kỳ suy thoái khi giá bị đè nén.</w:t>
      </w:r>
    </w:p>
    <w:p>
      <w:pPr>
        <w:pStyle w:val="Para 03"/>
      </w:pPr>
      <w:r>
        <w:t>Giải pháp thay thế cho việc cố gắng xem sự thiếu thanh khoản như một yếu tố rủi ro bổ sung và đưa vào tỷ lệ chiết khấu là định giá tài sản kém thanh khoản như thể nó có tính thanh khoản, rồi sau đó áp dụng một khoản chiết khấu kém thanh khoản cho nó. Đây thường là thực tiễn trong việc định giá các doanh nghiệp nắm giữ chặt và kém thanh khoản, và cho phép khoản chiết khấu kém thanh khoản trở thành một hàm số của nhà đầu tư và các điều kiện kinh tế bên ngoài tại thời điểm định giá. Quá trình ước tính khoản chiết khấu này đã được xem xét chi tiết hơn trong Chương 24.</w:t>
      </w:r>
    </w:p>
    <w:p>
      <w:bookmarkStart w:id="5488" w:name="Exposure_to_Legal_Changes__The_v"/>
      <w:pPr>
        <w:pStyle w:val="Para 42"/>
      </w:pPr>
      <w:r>
        <w:t>Phơi Nhiễm với Thay Đổi Pháp Lý</w:t>
      </w:r>
      <w:bookmarkEnd w:id="5488"/>
    </w:p>
    <w:p>
      <w:pPr>
        <w:pStyle w:val="Para 03"/>
      </w:pPr>
      <w:r>
        <w:t>Giá trị của tất cả các khoản đầu tư đều bị ảnh hưởng bởi những thay đổi trong luật thuế — thay đổi phương pháp khấu hao và thay đổi thuế suất đối với thu nhập thông thường và lãi vốn. Các khoản đầu tư bất động sản đặc biệt phơi nhiễm với những thay đổi trong luật thuế, vì chúng có được một phần đáng kể giá trị từ cách xử lý thuế và có xu hướng đòn bẩy cao.</w:t>
      </w:r>
    </w:p>
    <w:p>
      <w:pPr>
        <w:pStyle w:val="Para 03"/>
      </w:pPr>
      <w:r>
        <w:t>Không giống như các doanh nghiệp sản xuất hay dịch vụ, vốn có thể di chuyển hoạt động từ nơi này sang nơi khác để tận dụng sự khác biệt về thuế suất và các hạn chế pháp lý khác theo địa điểm, bất động sản không thể di chuyển được và do đó phơi nhiễm nhiều hơn với những thay đổi trong luật địa phương (như yêu cầu phân vùng, thuế tài sản, và kiểm soát tiền thuê).</w:t>
      </w:r>
    </w:p>
    <w:p>
      <w:pPr>
        <w:pStyle w:val="Para 03"/>
      </w:pPr>
      <w:r>
        <w:t>Câu hỏi đặt ra là liệu sự nhạy cảm bổ sung này với những thay đổi trong luật thuế và luật địa phương có phải là một nguồn rủi ro bổ sung hay không, và nếu có, thì rủi ro này nên được định giá như thế nào. Một lần nữa, câu trả lời sẽ phụ thuộc vào việc nhà đầu tư cận biên có đa dạng hóa hay không, không chỉ giữa các loại tài sản, mà còn giữa các khoản đầu tư bất động sản ở các địa điểm khác nhau. Ví dụ, một nhà đầu tư bất động sản nắm giữ bất động sản ở New York, Miami, Los Angeles, và Houston ít phơi nhiễm với rủi ro pháp lý hơn một người chỉ nắm giữ bất động sản ở một trong những địa điểm đó. Tuy nhiên, sự đánh đổi là kiến thức địa phương cho phép một nhà đầu tư bất động sản làm tốt ở một thị trường có thể không chuyển dịch tốt sang các thị trường khác.</w:t>
      </w:r>
    </w:p>
    <w:p>
      <w:bookmarkStart w:id="5490" w:name="Information_Costs_and_Risk__Real"/>
      <w:pPr>
        <w:pStyle w:val="Para 42"/>
      </w:pPr>
      <w:r>
        <w:t>Chi Phí Thông Tin và Rủi Ro</w:t>
      </w:r>
      <w:bookmarkEnd w:id="5490"/>
    </w:p>
    <w:p>
      <w:pPr>
        <w:pStyle w:val="Para 03"/>
      </w:pPr>
      <w:r>
        <w:t>Các khoản đầu tư bất động sản thường đòi hỏi thông tin cụ thể về các điều kiện địa phương mà rất khó (và tốn kém) để có được. Thông tin đó cũng có khả năng chứa nhiều sai sót hơn. Có người lập luận rằng chi phí cao hơn để thu thập thông tin này, và sai sót lớn hơn trong thông tin này, nên được đưa vào rủi ro và tỷ lệ chiết khấu dùng để định giá bất động sản. Lập luận này không chỉ giới hạn ở bất động sản. Nó đã được dùng như một lời giải thích cho phần bù cổ phiếu nhỏ — tức là cổ phiếu nhỏ mang lại lợi nhuận cao hơn cổ phiếu lớn hơn, sau khi điều chỉnh theo rủi ro (sử dụng CAPM). Người ta lập luận rằng cổ phiếu nhỏ nói chung có ít thông tin sẵn có hơn so với cổ phiếu lớn hơn, và thông tin có xu hướng nhiễu hơn.</w:t>
      </w:r>
    </w:p>
    <w:p>
      <w:bookmarkStart w:id="5492" w:name="An_Alternative_Approach_to_Estim"/>
      <w:pPr>
        <w:pStyle w:val="Para 21"/>
      </w:pPr>
      <w:r>
        <w:t>Một Cách Tiếp Cận Thay Thế để Ước Tính Tỷ Lệ Chiết Khấu: Phương Pháp Khảo Sát</w:t>
      </w:r>
      <w:bookmarkEnd w:id="5492"/>
    </w:p>
    <w:p>
      <w:pPr>
        <w:pStyle w:val="Para 03"/>
      </w:pPr>
      <w:r>
        <w:t>Những vấn đề với các giả định của mô hình rủi ro và lợi nhuận truyền thống, cùng những khó khăn liên quan đến việc đo lường rủi ro cho các tài sản thực không được giao dịch trong những mô hình đó, đã dẫn đến các cách tiếp cận thay thế để ước tính tỷ lệ chiết khấu cho những khoản đầu tư bất động sản đó. Trong bối cảnh bất động sản, ví dụ, tỷ lệ chiết khấu thường được thu thập bằng cách khảo sát các nhà đầu tư tiềm năng trong bất động sản về mức lợi nhuận họ sẽ yêu cầu để đầu tư vào các loại hình bất động sản khác nhau. Trong nhiều trường hợp, những cuộc khảo sát đó được thực hiện dưới dạng tỷ lệ vốn hóa (capitalization rates), mà — như chúng ta đã lưu ý trước đó — chỉ là tỷ lệ lợi nhuận yêu cầu dưới một hình thức khác. Hình 26.2 tóm tắt tỷ lệ vốn hóa cho các loại hình đầu tư bất động sản khác nhau trong năm 2019 và 2024.2</w:t>
      </w:r>
    </w:p>
    <w:p>
      <w:pPr>
        <w:pStyle w:val="Para 20"/>
      </w:pPr>
      <w:r>
        <w:rPr>
          <w:rStyle w:val="Text26"/>
        </w:rPr>
        <w:bookmarkStart w:id="5496" w:name="Page_848"/>
        <w:t/>
        <w:bookmarkEnd w:id="5496"/>
      </w:r>
      <w:r>
        <w:t xml:space="preserve"> </w:t>
      </w:r>
    </w:p>
    <w:p>
      <w:bookmarkStart w:id="5497" w:name="Figure_26_2_Cap_Rates_by_Real_E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87600" cy="1765300"/>
            <wp:effectExtent l="0" r="0" t="0" b="0"/>
            <wp:wrapTopAndBottom/>
            <wp:docPr id="237" name="c26f002.png" descr="Double bar graph depicts the capital rates in percent for office, multi-family, retail, industrial classes."/>
            <wp:cNvGraphicFramePr>
              <a:graphicFrameLocks noChangeAspect="1"/>
            </wp:cNvGraphicFramePr>
            <a:graphic>
              <a:graphicData uri="http://schemas.openxmlformats.org/drawingml/2006/picture">
                <pic:pic>
                  <pic:nvPicPr>
                    <pic:cNvPr id="0" name="c26f002.png" descr="Double bar graph depicts the capital rates in percent for office, multi-family, retail, industrial classes."/>
                    <pic:cNvPicPr/>
                  </pic:nvPicPr>
                  <pic:blipFill>
                    <a:blip r:embed="rId169"/>
                    <a:stretch>
                      <a:fillRect/>
                    </a:stretch>
                  </pic:blipFill>
                  <pic:spPr>
                    <a:xfrm>
                      <a:off x="0" y="0"/>
                      <a:ext cx="2387600" cy="1765300"/>
                    </a:xfrm>
                    <a:prstGeom prst="rect">
                      <a:avLst/>
                    </a:prstGeom>
                  </pic:spPr>
                </pic:pic>
              </a:graphicData>
            </a:graphic>
          </wp:anchor>
        </w:drawing>
      </w:r>
      <w:bookmarkEnd w:id="5497"/>
    </w:p>
    <w:p>
      <w:pPr>
        <w:pStyle w:val="Para 22"/>
        <w:keepLines w:val="on"/>
      </w:pPr>
      <w:r>
        <w:t>Hình 26.2 Tỷ Lệ Vốn Hóa theo Nhóm Đầu Tư Bất Động Sản</w:t>
      </w:r>
    </w:p>
    <w:p>
      <w:pPr>
        <w:keepNext/>
        <w:pStyle w:val="Para 64"/>
        <w:keepLines w:val="on"/>
      </w:pPr>
      <w:r>
        <w:t>Nguồn: CBRE.</w:t>
      </w:r>
    </w:p>
    <w:p>
      <w:pPr>
        <w:pStyle w:val="Para 03"/>
      </w:pPr>
      <w:r>
        <w:t>Cách tiếp cận này được biện minh trên những cơ sở sau:</w:t>
      </w:r>
    </w:p>
    <w:p>
      <w:pPr>
        <w:numPr>
          <w:ilvl w:val="0"/>
          <w:numId w:val="293"/>
        </w:numPr>
        <w:pStyle w:val="Para 01"/>
      </w:pPr>
      <w:r>
        <w:t>Những cuộc khảo sát này không dựa trên một số mô hình rủi ro và lợi nhuận trừu tượng (vốn có thể bỏ qua những đặc điểm rủi ro riêng có của thị trường bất động sản), mà dựa trên những gì các nhà đầu tư thực tế trong bất động sản muốn kiếm được như lợi nhuận.</w:t>
      </w:r>
    </w:p>
    <w:p>
      <w:pPr>
        <w:numPr>
          <w:ilvl w:val="0"/>
          <w:numId w:val="293"/>
        </w:numPr>
        <w:pStyle w:val="Para 01"/>
      </w:pPr>
      <w:r>
        <w:t>Những cuộc khảo sát này cho phép ước tính tỷ lệ chiết khấu cho các loại bất động sản cụ thể (ví dụ: khách sạn, căn hộ, v.v.) theo vùng, mà không cần phụ thuộc vào giá trong quá khứ như các mô hình rủi ro và lợi nhuận.</w:t>
      </w:r>
    </w:p>
    <w:p>
      <w:pPr>
        <w:numPr>
          <w:ilvl w:val="0"/>
          <w:numId w:val="293"/>
        </w:numPr>
        <w:pStyle w:val="Para 01"/>
      </w:pPr>
      <w:r>
        <w:t>Có tương đối ít nhà đầu tư lớn đầu tư trực tiếp vào bất động sản (thay vì vào bất động sản đã chứng khoán hóa). Do đó, việc thực hiện một cuộc khảo sát như vậy là khả thi.</w:t>
      </w:r>
    </w:p>
    <w:p>
      <w:pPr>
        <w:pStyle w:val="Para 03"/>
      </w:pPr>
      <w:r>
        <w:t>Tuy nhiên, cũng có những cơ sở để phản bác cách tiếp cận này:</w:t>
      </w:r>
    </w:p>
    <w:p>
      <w:pPr>
        <w:numPr>
          <w:ilvl w:val="0"/>
          <w:numId w:val="294"/>
        </w:numPr>
        <w:pStyle w:val="Para 01"/>
      </w:pPr>
      <w:r>
        <w:t>Các cuộc khảo sát, bởi bản chất của chúng, mang lại những "tỷ lệ lợi nhuận mong muốn" khác nhau cho các nhà đầu tư khác nhau đối với cùng một loại bất động sản. Giả sử có thể thu được một loạt các mức lợi nhuận mong muốn cho một loại đầu tư, thì không rõ bước tiếp theo là gì. Có lẽ, những nhà đầu tư đòi hỏi lợi nhuận ở mức cao nhất của thang đo sẽ thấy mình bị đẩy ra khỏi thị trường, và những người có mức lợi nhuận mong muốn ở mức thấp nhất của thang đo sẽ tìm thấy nhiều bất động sản bị định giá thấp. Câu hỏi về việc ai nên là nhà đầu tư cận biên trong một khoản đầu tư không được trả lời trong những cuộc khảo sát này.</w:t>
      </w:r>
    </w:p>
    <w:p>
      <w:pPr>
        <w:numPr>
          <w:ilvl w:val="0"/>
          <w:numId w:val="294"/>
        </w:numPr>
        <w:pStyle w:val="Para 01"/>
      </w:pPr>
      <w:r>
        <w:t>Cách tiếp cận khảo sát bỏ qua vấn đề rủi ro, nhưng nó không thực sự loại bỏ được vấn đề đó. Rõ ràng, các nhà đầu tư đòi hỏi mức lợi nhuận mà họ đòi hỏi đối với các loại bất động sản khác nhau, bởi vì họ nhận thấy chúng có các mức độ rủi ro khác nhau.</w:t>
      </w:r>
    </w:p>
    <w:p>
      <w:pPr>
        <w:numPr>
          <w:ilvl w:val="0"/>
          <w:numId w:val="294"/>
        </w:numPr>
        <w:pStyle w:val="Para 01"/>
      </w:pPr>
      <w:r>
        <w:t>Cách tiếp cận khảo sát hoạt động khá tốt khi thị trường có tương đối ít nhà đầu tư và họ khá đồng nhất với nhau. Dù điều này có thể đúng trong ngành bất động sản cách đây một thập kỷ, nhưng nó đang dần không còn đúng nữa khi các nhà đầu tư tổ chức mới gia nhập thị trường, và số lượng nhà đầu tư tăng lên cùng với sự đa dạng hóa.</w:t>
      </w:r>
    </w:p>
    <w:p>
      <w:pPr>
        <w:numPr>
          <w:ilvl w:val="0"/>
          <w:numId w:val="294"/>
        </w:numPr>
        <w:pStyle w:val="Para 01"/>
      </w:pPr>
      <w:r>
        <w:t>Cách tiếp cận khảo sát cũng trở nên đáng ngờ khi các nhà đầu tư được khảo sát chỉ đóng vai trò trung gian — họ đầu tư vào bất động sản, chứng khoán hóa các khoản đầu tư của mình, bán chúng cho người khác rồi rút lui. Nếu họ làm như vậy, thì chính lợi suất mong muốn của nhà đầu tư cuối cùng (người mua bất động sản đã được chứng khoán hóa) mới là yếu tố quyết định giá trị, chứ không phải lợi suất mong muốn của nhà đầu tư trung gian.</w:t>
      </w:r>
    </w:p>
    <w:p>
      <w:pPr>
        <w:pStyle w:val="Para 03"/>
      </w:pPr>
      <w:r>
        <w:t>Có một số lợi thế khi sử dụng một mô hình đo lường rủi ro và ước tính tỷ lệ chiết khấu (discount rate) dựa trên thước đo rủi ro đó, thay vì dùng khảo sát:</w:t>
      </w:r>
    </w:p>
    <w:p>
      <w:pPr>
        <w:numPr>
          <w:ilvl w:val="0"/>
          <w:numId w:val="295"/>
        </w:numPr>
        <w:pStyle w:val="Para 01"/>
      </w:pPr>
      <w:r>
        <w:t>Một mô hình rủi ro và lợi suất (risk and return model) được xây dựng đúng cách sẽ đặt ra những giới hạn hợp lý cho lợi suất kỳ vọng. Ví dụ, lợi suất kỳ vọng của một tài sản rủi ro trong cả CAPM lẫn APM đều sẽ cao hơn lợi suất kỳ vọng của một tài sản phi rủi ro. Không có ràng buộc nào như vậy đối với các câu trả lời khảo sát.</w:t>
      </w:r>
    </w:p>
    <w:p>
      <w:pPr>
        <w:numPr>
          <w:ilvl w:val="0"/>
          <w:numId w:val="295"/>
        </w:numPr>
        <w:pStyle w:val="Para 01"/>
      </w:pPr>
      <w:r>
        <w:t>Một mô hình rủi ro và lợi suất, bằng cách liên kết lợi suất kỳ vọng với rủi ro và liên kết rủi ro với các yếu tố được xác định trước, cho phép nhà phân tích chủ động trong việc ước tính tỷ lệ chiết khấu thay vì chỉ phản ứng thụ động. Ví dụ, trong bối cảnh CAPM, lợi suất kỳ vọng của một khoản đầu tư được quyết định bởi beta của nó, mà beta lại được quyết định bởi tính chu kỳ của ngành kinh doanh (mà khoản đầu tư đó tham gia) và đòn bẩy tài chính (financial leverage) được sử dụng. Do đó, một nhà phân tích biết được đòn bẩy tài chính trong một khoản đầu tư sẽ thay đổi như thế nào theo thời gian có thể điều chỉnh beta của khoản đầu tư đó cho phù hợp và sử dụng nó trong định giá. Không có cơ chế nào như vậy khi dùng cách tiếp cận khảo sát.</w:t>
      </w:r>
    </w:p>
    <w:p>
      <w:pPr>
        <w:numPr>
          <w:ilvl w:val="0"/>
          <w:numId w:val="295"/>
        </w:numPr>
        <w:pStyle w:val="Para 01"/>
      </w:pPr>
      <w:r>
        <w:t>Khi nhà đầu tư cuối cùng không được biết tại thời điểm phân tích, như trường hợp các khoản đầu tư bất động sản được chứng khoán hóa, một mô hình rủi ro và lợi suất sẽ cung cấp khuôn khổ để ước tính tỷ lệ chiết khấu cho một nhà đầu tư cận biên giả định (hypothetical marginal investor).</w:t>
      </w:r>
    </w:p>
    <w:p>
      <w:pPr>
        <w:pStyle w:val="Para 03"/>
      </w:pPr>
      <w:r>
        <w:t>Khi thị trường bất động sản ngày càng dễ tiếp cận hơn với các nhà đầu tư tổ chức và ngày càng nhiều khoản đầu tư được thực hiện với mục tiêu chứng khoán hóa sau này, nhu cầu về một mô hình rủi ro và lợi suất tốt càng trở nên cấp thiết. Những xu hướng này cũng sẽ khiến các khoản đầu tư bất động sản trở nên giống các khoản đầu tư tài chính hơn (bằng cách làm chúng có tính thanh khoản cao hơn). Sớm hay muộn, chính những mô hình được dùng để ước tính rủi ro và tỷ lệ chiết khấu cho các tài sản tài chính cũng sẽ được dùng để ước tính rủi ro và tỷ lệ chiết khấu cho các khoản đầu tư bất động sản.</w:t>
      </w:r>
    </w:p>
    <w:p>
      <w:pPr>
        <w:pStyle w:val="Para 11"/>
      </w:pPr>
      <w:r>
        <w:t xml:space="preserve"> </w:t>
      </w:r>
    </w:p>
    <w:p>
      <w:bookmarkStart w:id="5499" w:name="Diversification_in_Real_Estate_1"/>
      <w:bookmarkStart w:id="5500" w:name="Diversification_in_Real_Estate"/>
      <w:pPr>
        <w:keepNext/>
        <w:pStyle w:val="Para 27"/>
        <w:keepLines w:val="on"/>
      </w:pPr>
      <w:r>
        <w:t>Đa dạng hóa trong Bất động sản: Xu hướng và Hàm ý</w:t>
      </w:r>
      <w:bookmarkEnd w:id="5499"/>
      <w:bookmarkEnd w:id="5500"/>
    </w:p>
    <w:p>
      <w:pPr>
        <w:pStyle w:val="Para 16"/>
        <w:keepLines w:val="on"/>
      </w:pPr>
      <w:r>
        <w:t>Khi chúng ta xem xét các yếu tố rủi ro bổ sung — sai số ước tính, thay đổi về pháp lý và thuế, biến động ở các thị trường bất động sản cụ thể — những yếu tố thường được đưa vào tỷ lệ chiết khấu và định giá, thì lý do để đa dạng hóa càng trở nên mạnh mẽ hơn. Một công ty bất động sản đa dạng hóa qua các tài sản ở nhiều địa điểm khác nhau sẽ có thể phân tán bớt một phần rủi ro này. Nếu công ty thu hút được những nhà đầu tư đã đa dạng hóa sang các loại tài sản khác, bạn sẽ phân tán được nhiều rủi ro hơn nữa, từ đó giảm mức độ phơi nhiễm rủi ro và chi phí vốn chủ sở hữu (cost of equity) của công ty.</w:t>
      </w:r>
    </w:p>
    <w:p>
      <w:pPr>
        <w:pStyle w:val="Para 16"/>
        <w:keepLines w:val="on"/>
      </w:pPr>
      <w:r>
        <w:t>Do đó, một cách không thể tránh khỏi, bạn sẽ kỳ vọng thấy các nhà đầu tư bất động sản đa dạng hóa — các tập đoàn bất động sản, REIT và MLP — đẩy các nhà đầu tư bất động sản địa phương không đa dạng hóa (dù về địa điểm hay loại tài sản) ra khỏi thị trường bằng cách trả giá cao hơn cho cùng những bất động sản đó. Nếu điều này đúng, bạn có thể hỏi, tại sao nó chưa xảy ra? Có hai lý do. Thứ nhất là kiến thức về điều kiện thị trường bất động sản địa phương vẫn là một yếu tố then chốt quyết định giá trị bất động sản, và những nhà đầu tư bất động sản có kiến thức này có thể bù đắp cho việc họ không đa dạng hóa. Thứ hai là một phần đáng kể của thành công trong bất động sản vẫn đến từ các mối quan hệ cá nhân — với các nhà phát triển khác, với hội đồng quy hoạch (zoning boards), và với các chính trị gia. Những nhà đầu tư bất động sản có đúng các mối quan hệ có thể đạt được những thương vụ đầu tư tốt hơn nhiều so với các tập đoàn đấu thầu cho cùng một thương vụ.</w:t>
      </w:r>
    </w:p>
    <w:p>
      <w:pPr>
        <w:pStyle w:val="Para 16"/>
        <w:keepLines w:val="on"/>
      </w:pPr>
      <w:r>
        <w:t>Khi các tập đoàn bất động sản và REIT ngày càng nhiều lên, bạn nên kỳ vọng thấy mức tương quan cao hơn nhiều giữa giá bất động sản ở các vùng khác nhau và sự suy giảm tầm quan trọng của các điều kiện địa phương. Hơn nữa, bạn cũng nên kỳ vọng thấy các công ty này trở nên khéo léo hơn nhiều trong việc ứng phó với các cơ quan quản lý ở các vùng khác nhau.</w:t>
      </w:r>
    </w:p>
    <w:p>
      <w:bookmarkStart w:id="5502" w:name="From_Cost_of_Equity_to_Cost_of_C_4"/>
      <w:bookmarkStart w:id="5503" w:name="From_Cost_of_Equity_to_Cost_of_C_5"/>
      <w:pPr>
        <w:keepNext/>
        <w:pStyle w:val="Heading 3"/>
        <w:keepLines w:val="on"/>
      </w:pPr>
      <w:r>
        <w:t>Từ Chi phí Vốn chủ sở hữu đến Chi phí Vốn</w:t>
      </w:r>
      <w:bookmarkEnd w:id="5502"/>
      <w:bookmarkEnd w:id="5503"/>
    </w:p>
    <w:p>
      <w:pPr>
        <w:pStyle w:val="Para 03"/>
      </w:pPr>
      <w:r>
        <w:t>Sau khi đã ước tính được chi phí vốn chủ sở hữu, còn hai yếu tố đầu vào nữa cần thiết để ước tính chi phí vốn (cost of capital). Thứ nhất là chi phí nợ (cost of debt), và việc ước tính nó đơn giản hơn nhiều so với ước tính chi phí vốn chủ sở hữu. Bạn có hai lựa chọn:</w:t>
      </w:r>
    </w:p>
    <w:p>
      <w:pPr>
        <w:numPr>
          <w:ilvl w:val="0"/>
          <w:numId w:val="296"/>
        </w:numPr>
        <w:pStyle w:val="Para 01"/>
      </w:pPr>
      <w:r>
        <w:t>Nếu bạn đang huy động vốn cho một khoản đầu tư bất động sản mới, bạn có thể dùng lãi suất được nêu trên các khoản vay ngân hàng dùng để tài trợ cho khoản đầu tư đó. Tuy nhiên, khi ước tính điều này, bạn phải lưu ý đến các điều khoản của khoản vay ngân hàng và liệu có những chi phí khác không được phản ánh trong lãi suất hay không. Ví dụ, yêu cầu duy trì một khoản số dư bù trừ (compensating balance) trong suốt thời hạn của khoản vay sẽ làm tăng chi phí nợ thực tế.</w:t>
      </w:r>
    </w:p>
    <w:p>
      <w:pPr>
        <w:numPr>
          <w:ilvl w:val="0"/>
          <w:numId w:val="296"/>
        </w:numPr>
        <w:pStyle w:val="Para 01"/>
      </w:pPr>
      <w:r>
        <w:t>Bạn có thể xem xét khả năng của khoản đầu tư bất động sản trong việc chi trả các khoản thanh toán ngân hàng (đây là tương đương của tỷ lệ bao phủ lãi vay — interest coverage ratio), ước tính một xếp hạng tổng hợp (synthetic rating), và dùng xếp hạng này để ước tính chi phí nợ trước thuế. Thực tế, bạn có thể điều chỉnh tử số để bao gồm cả khấu hao, vì khoản đầu tư này có vòng đời hữu hạn và không nên đòi hỏi tái đầu tư đáng kể.</w:t>
      </w:r>
    </w:p>
    <w:p>
      <w:pPr>
        <w:pStyle w:val="Para 03"/>
      </w:pPr>
      <w:r>
        <w:t>Để ước tính chi phí nợ sau thuế, bạn sẽ dùng thuế suất biên (marginal tax rate) của cá nhân hoặc tổ chức đầu tư vào bất động sản đó. Tỷ lệ nợ (debt ratio) trong hầu hết các khoản đầu tư bất động sản thường được ước tính bằng cách xem xét tỷ trọng vốn huy động từ nợ và vốn chủ sở hữu. Do đó, nếu một bất động sản tốn 4 triệu đô la để xây dựng và nhà đầu tư vay 3 triệu đô la để tài trợ cho nó, thì tỷ lệ nợ được dùng là 75 phần trăm. Dù chúng ta sẽ giữ theo quy ước này, vẫn đáng lưu ý rằng các tỷ lệ này nên dựa trên giá trị của bất động sản chứ không phải nhu cầu huy động vốn. Vì vậy, nếu giá trị của bất động sản được kỳ vọng là 5 triệu đô la sau khi xây xong, thì tỷ lệ nợ nên dùng là 60 phần trăm (3 triệu đô la/5 triệu đô la). Tất nhiên, điều này tạo ra lập luận vòng tròn (circular reasoning) vì chi phí vốn lại cần thiết để ước tính giá trị của bất động sản ngay từ đầu.</w:t>
      </w:r>
    </w:p>
    <w:p>
      <w:pPr>
        <w:pStyle w:val="Para 03"/>
      </w:pPr>
      <w:r>
        <w:t>Sự phân biệt giữa chi phí vốn chủ sở hữu và chi phí vốn, được trình bày trong Chương 7, là rất quan trọng. Nếu dòng tiền được chiết khấu là dòng tiền trước nợ (tức là dòng tiền thuộc về doanh nghiệp — cash flows to the firm), thì tỷ lệ chiết khấu phù hợp là chi phí vốn. Nếu bạn dùng cách tiếp cận này, bạn sẽ định giá bất động sản, và nếu bạn là nhà đầu tư vốn chủ sở hữu, bạn sẽ trừ đi giá trị của khoản nợ chưa thanh toán để đi đến giá trị vốn chủ sở hữu trong khoản đầu tư bất động sản đó. Nếu dòng tiền được chiết khấu trong một thương vụ bất động sản là dòng tiền sau khi trả lãi và gốc, hay dòng tiền thuộc về vốn chủ sở hữu (cash flows to equity), thì tỷ lệ chiết khấu phù hợp là chi phí vốn chủ sở hữu. Khi đó bạn sẽ định giá trực tiếp phần vốn chủ sở hữu trong khoản đầu tư bất động sản.</w:t>
      </w:r>
    </w:p>
    <w:p>
      <w:bookmarkStart w:id="5505" w:name="Estimating_Cash_Flows_1"/>
      <w:bookmarkStart w:id="5506" w:name="Estimating_Cash_Flows__Not_all_r"/>
      <w:pPr>
        <w:keepNext/>
        <w:pStyle w:val="Heading 3"/>
        <w:keepLines w:val="on"/>
      </w:pPr>
      <w:r>
        <w:t>Ước tính Dòng tiền</w:t>
      </w:r>
      <w:bookmarkEnd w:id="5505"/>
      <w:bookmarkEnd w:id="5506"/>
    </w:p>
    <w:p>
      <w:pPr>
        <w:pStyle w:val="Para 03"/>
      </w:pPr>
      <w:r>
        <w:t>Không phải mọi khoản đầu tư bất động sản đều tạo ra dòng tiền, nhưng với những khoản có tạo ra dòng tiền, ta có thể ước tính dòng tiền theo cách gần giống như ước tính cho các khoản đầu tư tài chính. Mục tiêu cuối cùng là ước tính dòng tiền sau thuế. Cũng như với các tài sản tài chính, những dòng tiền này có thể được ước tính cho các nhà đầu tư vốn chủ sở hữu. Đây là dòng tiền còn lại sau khi đã chi trả mọi chi phí hoạt động, nghĩa vụ nợ (chi phí lãi và thanh toán gốc), và chi tiêu vốn (capital expenditures). Dòng tiền cũng có thể được ước tính cho tất cả các nhà đầu tư (cả nợ lẫn vốn chủ sở hữu) trong khoản đầu tư bất động sản. Đây là tương đương của dòng tiền thuộc về doanh nghiệp, tức là dòng tiền trước khi thực hiện các nghĩa vụ nợ.</w:t>
      </w:r>
    </w:p>
    <w:p>
      <w:bookmarkStart w:id="5507" w:name="Cash_Inflows"/>
      <w:bookmarkStart w:id="5508" w:name="Cash_Inflows__The_cash_flows_fro"/>
      <w:pPr>
        <w:keepNext/>
        <w:pStyle w:val="Heading 4"/>
        <w:keepLines w:val="on"/>
      </w:pPr>
      <w:r>
        <w:t>Dòng tiền vào</w:t>
      </w:r>
      <w:bookmarkEnd w:id="5507"/>
      <w:bookmarkEnd w:id="5508"/>
    </w:p>
    <w:p>
      <w:pPr>
        <w:pStyle w:val="Para 03"/>
      </w:pPr>
      <w:r>
        <w:t>Dòng tiền từ một khoản đầu tư bất động sản thương mại đối với chủ sở hữu thường có dạng tiền thuê (rents) và thu nhập từ cho thuê (lease income). Khi ước tính tiền thuê cho các năm tương lai, bạn phải xem xét xu hướng tiền thuê trong quá khứ, điều kiện cung và cầu đối với không gian mà bất động sản cung cấp, và các điều kiện kinh tế chung.</w:t>
      </w:r>
    </w:p>
    <w:p>
      <w:pPr>
        <w:pStyle w:val="Para 03"/>
      </w:pPr>
      <w:r>
        <w:t>Trong các tòa nhà văn phòng/khu chung cư, không phải toàn bộ không gian đều được cho thuê tại một thời điểm nhất định. Do đó, tỷ lệ trống (vacancy rate) — tức là phần trăm không gian sẽ không được cho thuê tại bất kỳ thời điểm nào — phải được dự báo cùng với tiền thuê thị trường. Ngay cả trong những thị trường khan hiếm, vẫn sẽ có những khoảng thời gian không gian không thể cho thuê được, dẫn đến một tỷ lệ trống. Vì vậy, không tòa nhà nào, dù được săn đón đến đâu, có thể được kỳ vọng có tỷ lệ lấp đầy 100 phần trăm mãi mãi. Với các tòa nhà mới, các dự báo cũng phải tính đến việc sẽ mất bao lâu ban đầu để có người thuê/thuê dài hạn không gian. Rõ ràng, thời gian càng dài thì giá trị dòng tiền chiết khấu của tòa nhà càng nhỏ.</w:t>
      </w:r>
    </w:p>
    <w:p>
      <w:pPr>
        <w:pStyle w:val="Para 03"/>
      </w:pPr>
      <w:r>
        <w:t>Trong trường hợp bất động sản cho thuê, các điều khoản của hợp đồng thuê có thể ảnh hưởng đến doanh thu cho thuê được dự báo. Nếu các bất động sản sinh lời đang chịu các hợp đồng thuê hiện hữu, thì các điều khoản của hợp đồng như thời hạn thuê, mức tăng thu nhập cho thuê đã cam kết trong tương lai, các chi phí hoàn trả bổ sung, và các điều khoản về gia hạn thuê sẽ quyết định các ước tính dòng tiền. Các hợp đồng thuê cũng có thể là hợp đồng thuê net (net leases), trong đó người thuê chịu trách nhiệm trả thuế, bảo hiểm và bảo trì.</w:t>
      </w:r>
    </w:p>
    <w:p>
      <w:bookmarkStart w:id="5509" w:name="Cash_Outflows"/>
      <w:bookmarkStart w:id="5510" w:name="Cash_Outflows__Expenses_on_real"/>
      <w:pPr>
        <w:keepNext/>
        <w:pStyle w:val="Heading 4"/>
        <w:keepLines w:val="on"/>
      </w:pPr>
      <w:r>
        <w:t>Dòng tiền ra</w:t>
      </w:r>
      <w:bookmarkEnd w:id="5509"/>
      <w:bookmarkEnd w:id="5510"/>
    </w:p>
    <w:p>
      <w:pPr>
        <w:pStyle w:val="Para 03"/>
      </w:pPr>
      <w:r>
        <w:t>Chi phí cho các khoản đầu tư bất động sản bao gồm thuế bất động sản, bảo hiểm, sửa chữa và bảo trì, và quảng cáo — những khoản không liên quan đến tỷ lệ lấp đầy và là chi phí cố định — cũng như các khoản như chi phí tiện ích, vốn là một hàm của tỷ lệ lấp đầy và là chi phí biến đổi. Ngoài ra, các yếu tố sau đây sẽ ảnh hưởng đến chi phí được dự báo:</w:t>
      </w:r>
    </w:p>
    <w:p>
      <w:pPr>
        <w:numPr>
          <w:ilvl w:val="0"/>
          <w:numId w:val="297"/>
        </w:numPr>
        <w:pStyle w:val="Para 01"/>
      </w:pPr>
      <w:r>
        <w:t>Khả năng hoàn trả. Một số chi phí mà chủ sở hữu phát sinh liên quan đến một bất động sản có thể được người thuê hoàn trả như một phần của thỏa thuận hợp đồng.</w:t>
      </w:r>
    </w:p>
    <w:p>
      <w:pPr>
        <w:numPr>
          <w:ilvl w:val="0"/>
          <w:numId w:val="297"/>
        </w:numPr>
        <w:pStyle w:val="Para 01"/>
      </w:pPr>
      <w:r>
        <w:t>Giới hạn chi phí (expense stops). Nhiều hợp đồng thuê văn phòng bao gồm các điều khoản bảo vệ chủ sở hữu khỏi việc chi phí vận hành tăng vượt mức đã thỏa thuận. Mọi khoản tăng vượt mức đó đều phải do người thuê chi trả.</w:t>
      </w:r>
    </w:p>
    <w:p>
      <w:pPr>
        <w:pStyle w:val="Para 03"/>
      </w:pPr>
      <w:r>
        <w:t>Cuối cùng, thuế bất động sản là một khoản chi tiêu lớn, và chúng có thể rất biến động, không chỉ vì luật thuế thay đổi, mà còn vì chúng thường dựa trên giá trị được định giá (assessed values).</w:t>
      </w:r>
    </w:p>
    <w:p>
      <w:bookmarkStart w:id="5512" w:name="Expected_Growth_1"/>
      <w:bookmarkStart w:id="5513" w:name="Expected_Growth__To_estimate_fut"/>
      <w:pPr>
        <w:keepNext/>
        <w:pStyle w:val="Heading 3"/>
        <w:keepLines w:val="on"/>
      </w:pPr>
      <w:r>
        <w:t>Tăng trưởng kỳ vọng</w:t>
      </w:r>
      <w:bookmarkEnd w:id="5512"/>
      <w:bookmarkEnd w:id="5513"/>
    </w:p>
    <w:p>
      <w:pPr>
        <w:pStyle w:val="Para 03"/>
      </w:pPr>
      <w:r>
        <w:t>Để ước tính dòng tiền tương lai, chúng ta cần ước tính tốc độ tăng trưởng kỳ vọng của cả tiền thuê/hợp đồng thuê lẫn chi phí. Một yếu tố then chốt trong việc ước tính tốc độ tăng trưởng là tỷ lệ lạm phát kỳ vọng. Trong một thị trường bất động sản ổn định, mức tăng trưởng kỳ vọng của dòng tiền nên gần với tỷ lệ lạm phát kỳ vọng. Trong những thị trường khan hiếm với tỷ lệ trống thấp, tốc độ tăng trưởng kỳ vọng của tiền thuê có thể cao hơn tỷ lệ lạm phát kỳ vọng, ít nhất là cho đến khi tình trạng thiếu hụt trên thị trường biến mất. Điều ngược lại có khả năng đúng ở những thị trường có tỷ lệ trống cao.</w:t>
      </w:r>
    </w:p>
    <w:p>
      <w:pPr>
        <w:pStyle w:val="Para 03"/>
      </w:pPr>
      <w:r>
        <w:t>Các cuộc khảo sát được dùng để ước tính tỷ lệ chiết khấu đã đề cập trước đó trong chương này cũng thu thập thông tin về kỳ vọng của nhà đầu tư về mức tăng trưởng kỳ vọng. Điều thú vị là dù có sự khác biệt đáng kể giữa các nhà đầu tư về tỷ lệ chiết khấu, tốc độ tăng trưởng kỳ vọng của dòng tiền vào và dòng tiền ra lại nằm trong một khoảng rất hẹp. Chẳng hạn vào năm 2000, cuộc khảo sát của Cushman and Wakefield đối với các nhà đầu tư trên nhiều thị trường khác nhau cho thấy tất cả họ đều ước tính mức tăng trưởng kỳ vọng của dòng tiền nằm trong khoảng từ 4 đến 6 phần trăm.</w:t>
      </w:r>
    </w:p>
    <w:p>
      <w:pPr>
        <w:pStyle w:val="Para 03"/>
      </w:pPr>
      <w:r>
        <w:t>Vậy kiểm soát tiền thuê (rent control) sẽ ảnh hưởng thế nào đến những ước tính này? Bằng cách đặt mức trần cho mức tăng tối đa mà không giới hạn phần giảm, nó thường sẽ làm giảm cả dòng tiền kỳ vọng lẫn tốc độ tăng trưởng kỳ vọng của dòng tiền theo thời gian, và làm giảm giá trị. Sự bất định về luật kiểm soát tiền thuê, cả về mức trần sẽ là bao nhiêu lẫn liệu luật có được sửa đổi hay không, sẽ làm tăng sai số ước tính trong việc định giá.</w:t>
      </w:r>
    </w:p>
    <w:p>
      <w:bookmarkStart w:id="5514" w:name="Terminal_Value_1"/>
      <w:bookmarkStart w:id="5515" w:name="Terminal_Value__In_all_discounte"/>
      <w:pPr>
        <w:keepNext/>
        <w:pStyle w:val="Heading 3"/>
        <w:keepLines w:val="on"/>
      </w:pPr>
      <w:r>
        <w:t>Giá trị cuối kỳ (Terminal Value)</w:t>
      </w:r>
      <w:bookmarkEnd w:id="5514"/>
      <w:bookmarkEnd w:id="5515"/>
    </w:p>
    <w:p>
      <w:pPr>
        <w:pStyle w:val="Para 03"/>
      </w:pPr>
      <w:r>
        <w:t>Trong tất cả các mô hình định giá dòng tiền chiết khấu, một đầu vào then chốt là ước tính giá trị cuối kỳ, tức là giá trị của tài sản được định giá tại thời điểm kết thúc khoảng thời gian đầu tư. Có hai cách tiếp cận cơ bản có thể dùng để ước tính giá trị cuối kỳ:</w:t>
      </w:r>
    </w:p>
    <w:p>
      <w:pPr>
        <w:numPr>
          <w:ilvl w:val="0"/>
          <w:numId w:val="298"/>
        </w:numPr>
        <w:pStyle w:val="Para 01"/>
      </w:pPr>
      <w:r>
        <w:t>Một cách là giả định rằng dòng tiền trong năm cuối kỳ (năm cuối của khoảng thời gian đầu tư) sẽ tiếp tục tăng với tốc độ không đổi mãi mãi. Nếu đưa ra giả định này, giá trị cuối kỳ của tài sản là:</w:t>
      </w:r>
    </w:p>
    <w:p>
      <w:bookmarkStart w:id="5516" w:name="Terminal_value_of_equity_or_asse"/>
      <w:pPr>
        <w:keepNext/>
        <w:pStyle w:val="Para 09"/>
        <w:keepLines w:val="on"/>
      </w:pPr>
      <w:r>
        <w:t>Giá trị cuối kỳ của vốn chủ sở hữu hoặc tài sản_n = Dòng tiền kỳ vọng_(n+1) / (r - g)</w:t>
      </w:r>
      <w:bookmarkEnd w:id="5516"/>
    </w:p>
    <w:p>
      <w:pPr>
        <w:pStyle w:val="Para 03"/>
      </w:pPr>
      <w:r>
        <w:t>trong đó r là tỷ lệ chiết khấu (chi phí vốn chủ sở hữu nếu đó là giá trị cuối kỳ của vốn chủ sở hữu, và chi phí vốn nếu đó là giá trị cuối kỳ của tài sản) và CF_t là dòng tiền (dòng tiền cho vốn chủ sở hữu nếu giá trị cuối kỳ là của vốn chủ sở hữu, và dòng tiền cho doanh nghiệp nếu giá trị cuối kỳ là tổng giá trị cuối kỳ).</w:t>
      </w:r>
    </w:p>
    <w:p>
      <w:pPr>
        <w:pStyle w:val="Para 03"/>
      </w:pPr>
      <w:r>
        <w:t>Như vậy, nếu một bất động sản được kỳ vọng tạo ra dòng tiền ròng, trước các khoản thanh toán nợ, là 1,2 triệu đô la vào năm thứ 10, dòng tiền này được kỳ vọng tăng 3 phần trăm mỗi năm mãi mãi và chi phí vốn là 13 phần trăm, thì giá trị cuối kỳ của bất động sản có thể được viết là:</w:t>
      </w:r>
    </w:p>
    <w:p>
      <w:bookmarkStart w:id="5517" w:name="Terminal_value_of_asset10_Expect"/>
      <w:pPr>
        <w:keepNext/>
        <w:pStyle w:val="Para 09"/>
        <w:keepLines w:val="on"/>
      </w:pPr>
      <w:r>
        <w:t>Giá trị cuối kỳ của tài sản_10 = Dòng tiền kỳ vọng_11 / (Chi phí vốn - g) = 1,20 (1,03) / (0,13 − 0,03) = 12,36 triệu đô la</w:t>
      </w:r>
      <w:bookmarkEnd w:id="5517"/>
    </w:p>
    <w:p>
      <w:pPr>
        <w:pStyle w:val="Para 03"/>
      </w:pPr>
      <w:r>
        <w:t>Giả định về dòng tiền vĩnh viễn có thể khiến một số nhà phân tích cảm thấy không thoải mái, nhưng một cách để bù đắp là yêu cầu trích ra nhiều tiền hơn mỗi năm để đảm bảo rằng tuổi thọ của bất động sản có thể được kéo dài. Chẳng hạn, nếu bạn dùng cách tiếp cận này, bạn có thể giả định rằng dòng tiền từ khấu hao được tái đầu tư trở lại vào tòa nhà dưới hình thức chi tiêu vốn bảo trì.</w:t>
      </w:r>
    </w:p>
    <w:p>
      <w:pPr>
        <w:numPr>
          <w:ilvl w:val="0"/>
          <w:numId w:val="299"/>
        </w:numPr>
        <w:pStyle w:val="Para 01"/>
      </w:pPr>
      <w:r>
        <w:t>Một biến thể gần gũi của mô hình tăng trưởng vô hạn là tỷ lệ vốn hóa (cap rate) được nhiều chuyên gia thẩm định bất động sản sử dụng để định giá bất động sản. Ở dạng tổng quát nhất, tỷ lệ vốn hóa là tỷ lệ mà thu nhập vận hành được chia cho để ra giá trị của bất động sản.</w:t>
      </w:r>
    </w:p>
    <w:p>
      <w:bookmarkStart w:id="5519" w:name="Property_value_Operating_income"/>
      <w:pPr>
        <w:keepNext/>
        <w:pStyle w:val="Para 09"/>
        <w:keepLines w:val="on"/>
      </w:pPr>
      <w:r>
        <w:t>Giá trị bất động sản = Thu nhập vận hành sau thuế / Tỷ lệ vốn hóa</w:t>
      </w:r>
      <w:bookmarkEnd w:id="5519"/>
    </w:p>
    <w:p>
      <w:pPr>
        <w:pStyle w:val="Para 03"/>
      </w:pPr>
      <w:r>
        <w:t>Thực ra, tỷ lệ vốn hóa chính là nghịch đảo của bội số giá trị trên EBIT (value-to-EBIT multiple) được dùng để định giá các công ty niêm yết công khai trong Chương 18.</w:t>
      </w:r>
    </w:p>
    <w:p>
      <w:pPr>
        <w:pStyle w:val="Para 03"/>
      </w:pPr>
      <w:r>
        <w:t>Có ba cách để ước tính tỷ lệ vốn hóa. Một là dùng tỷ lệ vốn hóa bình quân của những bất động sản tương tự đã được bán gần đây. Điều này tương đương với việc dùng bội số thu nhập bình quân ngành để ước tính giá trị cuối kỳ của một công ty niêm yết công khai, và do đó biến giá trị nội tại của bạn thành một mức giá dự phóng (forward pricing). Cách thứ hai là dùng các cuộc khảo sát đã đề cập trước đó để có được tỷ lệ vốn hóa bình quân mà các nhà đầu tư bất động sản khác sử dụng. Cách thứ ba là ước tính tỷ lệ vốn hóa từ một mô hình dòng tiền chiết khấu. Để thấy mối liên hệ với mô hình tăng trưởng vô hạn, hãy giả định rằng thu nhập vận hành ròng (trước các khoản thanh toán nợ) cũng chính là dòng tiền tự do cho doanh nghiệp (lưu ý rằng điều này về cơ bản tương đương với việc giả định chi tiêu vốn bảo trì bằng khấu hao). Khi đó tỷ lệ vốn hóa có thể được viết như một hàm của tỷ lệ chiết khấu và tốc độ tăng trưởng kỳ vọng:</w:t>
      </w:r>
    </w:p>
    <w:p>
      <w:bookmarkStart w:id="5520" w:name="Capitalization_rate_r_g_1_g"/>
      <w:pPr>
        <w:keepNext/>
        <w:pStyle w:val="Para 09"/>
        <w:keepLines w:val="on"/>
      </w:pPr>
      <w:r>
        <w:t>Tỷ lệ vốn hóa = (r - g) / (1 + g)</w:t>
      </w:r>
      <w:bookmarkEnd w:id="5520"/>
    </w:p>
    <w:p>
      <w:pPr>
        <w:pStyle w:val="Para 03"/>
      </w:pPr>
      <w:r>
        <w:t>trong đó r là tỷ lệ chiết khấu (chi phí vốn chủ sở hữu nếu thu nhập ròng đang được vốn hóa và chi phí vốn nếu thu nhập vận hành đang được vốn hóa) và g là tốc độ tăng trưởng kỳ vọng mãi mãi. Trong ví dụ này, tỷ lệ vốn hóa sẽ là:</w:t>
      </w:r>
    </w:p>
    <w:p>
      <w:bookmarkStart w:id="5521" w:name="Capitalization_rate__13______03"/>
      <w:pPr>
        <w:keepNext/>
        <w:pStyle w:val="Para 09"/>
        <w:keepLines w:val="on"/>
      </w:pPr>
      <w:r>
        <w:t>Tỷ lệ vốn hóa = (0,13 − 0,03) / (1,03) = 9,70%</w:t>
      </w:r>
      <w:bookmarkEnd w:id="5521"/>
    </w:p>
    <w:p>
      <w:pPr>
        <w:pStyle w:val="Para 03"/>
      </w:pPr>
      <w:r>
        <w:t>Nếu tỷ lệ vốn hóa được áp dụng cho thu nhập vận hành của năm tới thay vì giá trị của năm nay, bạn có thể bỏ qua mẫu số và dùng tỷ lệ vốn hóa là 10 phần trăm.</w:t>
      </w:r>
    </w:p>
    <w:p>
      <w:pPr>
        <w:pStyle w:val="Para 11"/>
      </w:pPr>
      <w:r>
        <w:t xml:space="preserve"> </w:t>
      </w:r>
    </w:p>
    <w:p>
      <w:bookmarkStart w:id="5522" w:name="A_Speculative_Investment_in_Unde"/>
      <w:bookmarkStart w:id="5523" w:name="A_Speculative_Investment_in_Unde_1"/>
      <w:pPr>
        <w:keepNext/>
        <w:pStyle w:val="Para 27"/>
        <w:keepLines w:val="on"/>
      </w:pPr>
      <w:r>
        <w:t>Một khoản đầu tư đầu cơ vào đất chưa phát triển</w:t>
      </w:r>
      <w:bookmarkEnd w:id="5522"/>
      <w:bookmarkEnd w:id="5523"/>
    </w:p>
    <w:p>
      <w:pPr>
        <w:pStyle w:val="Para 16"/>
        <w:keepLines w:val="on"/>
      </w:pPr>
      <w:r>
        <w:t>Các nhà phát triển đôi khi mua đất chưa phát triển không phải với ý định phát triển nó, mà để giữ lại với hy vọng rằng giá trị của mảnh đất sẽ tăng đáng kể trong khoảng thời gian nắm giữ. Một khoản đầu tư vào đất chưa phát triển không tạo ra dòng tiền dương trong suốt thời gian nắm giữ. Thực ra, dòng tiền dương duy nhất chính là giá trị ước tính của mảnh đất vào cuối thời gian nắm giữ. Nếu bạn phải trả thuế bất động sản và các chi phí khác trong suốt thời gian nắm giữ, bạn sẽ có dòng tiền âm trong thời gian đó.</w:t>
      </w:r>
    </w:p>
    <w:p>
      <w:pPr>
        <w:pStyle w:val="Para 16"/>
        <w:keepLines w:val="on"/>
      </w:pPr>
      <w:r>
        <w:t>Có hai cách để bạn tiếp cận việc phân tích khoản đầu tư này. Cách thứ nhất là dùng phương pháp chiết khấu dòng tiền truyền thống. Bạn có thể chiết khấu khoản thuế bất động sản dự kiến và các chi phí khác trong thời gian nắm giữ, cùng với giá trị ước tính của mảnh đất vào cuối kỳ, về hiện tại theo chi phí vốn (cost of capital), rồi xem liệu nó có vượt qua chi phí mua mảnh đất hôm nay hay không. Thực tế, mức tăng giá kỳ vọng của mảnh đất sẽ phải lớn hơn chi phí vốn cộng với tỷ lệ thuế bất động sản hằng năm kỳ vọng thì khoản đầu tư này mới có giá trị hiện tại ròng (net present value) dương. Để minh họa, nếu chi phí vốn của bạn là 10% và tỷ lệ thuế bất động sản hằng năm là 2% giá trị đất, bạn sẽ cần mức tăng giá 12% một năm để giá trị hiện tại của dòng tiền vào vượt qua giá trị hiện tại của dòng tiền ra.3</w:t>
      </w:r>
    </w:p>
    <w:p>
      <w:pPr>
        <w:pStyle w:val="Para 16"/>
        <w:keepLines w:val="on"/>
      </w:pPr>
      <w:r>
        <w:t>Cách còn lại là xem mảnh đất như một quyền chọn (option) và việc phát triển bất động sản như việc thực hiện quyền chọn đó. Khi đó bạn sẽ coi chi phí mua mảnh đất chính là giá của quyền chọn. Hàm ý thú vị ở đây là bạn có thể chọn mua mảnh đất ngay cả khi mức tăng giá kỳ vọng thấp hơn chi phí vốn của mình, miễn là giá đất biến động đủ mạnh. Ứng dụng này sẽ được bàn kỹ hơn trong Chương 28.</w:t>
      </w:r>
    </w:p>
    <w:p>
      <w:bookmarkStart w:id="5526" w:name="DCF_Valuation_Models__Once_a_dis"/>
      <w:bookmarkStart w:id="5527" w:name="DCF_Valuation_Models"/>
      <w:pPr>
        <w:keepNext/>
        <w:pStyle w:val="Heading 3"/>
        <w:keepLines w:val="on"/>
      </w:pPr>
      <w:r>
        <w:t>Các mô hình định giá theo phương pháp chiết khấu dòng tiền (DCF)</w:t>
      </w:r>
      <w:bookmarkEnd w:id="5526"/>
      <w:bookmarkEnd w:id="5527"/>
    </w:p>
    <w:p>
      <w:pPr>
        <w:pStyle w:val="Para 03"/>
      </w:pPr>
      <w:r>
        <w:t>Sau khi đã chọn được tỷ lệ chiết khấu và ước tính các dòng tiền, giá trị của một tài sản thực sinh lời có thể được ước tính theo hai cách: toàn bộ (bằng cách chiết khấu dòng tiền của doanh nghiệp theo chi phí vốn bình quân gia quyền) hoặc phần thuộc về các nhà đầu tư vốn cổ phần (bằng cách chiết khấu dòng tiền cho vốn cổ phần theo chi phí vốn cổ phần). Những ví dụ dưới đây sẽ minh họa cách định giá theo phương pháp DCF trong lĩnh vực bất động sản.</w:t>
      </w:r>
    </w:p>
    <w:p>
      <w:pPr>
        <w:pStyle w:val="Para 11"/>
      </w:pPr>
      <w:r>
        <w:t xml:space="preserve"> </w:t>
      </w:r>
    </w:p>
    <w:p>
      <w:bookmarkStart w:id="5528" w:name="ILLUSTRATION_26_1__Valuing_an_Of"/>
      <w:bookmarkStart w:id="5529" w:name="ILLUSTRATION_26_1__Valuing_an_Of_1"/>
      <w:pPr>
        <w:keepNext/>
        <w:pStyle w:val="Para 19"/>
        <w:keepLines w:val="on"/>
      </w:pPr>
      <w:r>
        <w:t>VÍ DỤ MINH HỌA 26.1: Định giá một tòa nhà văn phòng vào năm 2000</w:t>
      </w:r>
      <w:bookmarkEnd w:id="5528"/>
      <w:bookmarkEnd w:id="5529"/>
    </w:p>
    <w:p>
      <w:pPr>
        <w:pStyle w:val="Para 04"/>
        <w:keepLines w:val="on"/>
      </w:pPr>
      <w:r>
        <w:t>Trong ví dụ này, chúng ta sẽ định giá một tòa nhà văn phòng tọa lạc tại 711 Third Avenue ở thành phố New York. Các chi tiết vận hành của tòa nhà như sau:</w:t>
      </w:r>
    </w:p>
    <w:p>
      <w:pPr>
        <w:numPr>
          <w:ilvl w:val="0"/>
          <w:numId w:val="300"/>
        </w:numPr>
        <w:pStyle w:val="Para 18"/>
        <w:keepLines w:val="on"/>
      </w:pPr>
      <w:r>
        <w:t>Tòa nhà có sức chứa 528.357 feet vuông diện tích cho thuê. Mặc dù 95% diện tích này đã được cho thuê cho năm tới, tỷ lệ lấp đầy dự kiến sẽ tăng 0,5% mỗi năm trong bốn năm tiếp theo để đạt 97% công suất vào năm thứ 5. Đây được kỳ vọng sẽ là tỷ lệ lấp đầy ở trạng thái ổn định.</w:t>
      </w:r>
    </w:p>
    <w:p>
      <w:pPr>
        <w:numPr>
          <w:ilvl w:val="0"/>
          <w:numId w:val="300"/>
        </w:numPr>
        <w:pStyle w:val="Para 18"/>
        <w:keepLines w:val="on"/>
      </w:pPr>
      <w:r>
        <w:t>Giá thuê bình quân mỗi feet vuông4 là 28,07 đô la trong năm gần nhất, và dự kiến sẽ tăng 3% mỗi năm vĩnh viễn. Trong quá khứ, đã có khoản tổn thất tín dụng, gắn với việc khách thuê không thanh toán, ở mức 2,5% doanh thu cho thuê.</w:t>
      </w:r>
    </w:p>
    <w:p>
      <w:pPr>
        <w:numPr>
          <w:ilvl w:val="0"/>
          <w:numId w:val="300"/>
        </w:numPr>
        <w:pStyle w:val="Para 18"/>
        <w:keepLines w:val="on"/>
      </w:pPr>
      <w:r>
        <w:t>Tòa nhà có một bãi đỗ xe tạo ra 800.000 đô la thu nhập trong năm gần nhất. Khoản thu nhập này cũng dự kiến sẽ tăng 3% mỗi năm vĩnh viễn.</w:t>
      </w:r>
    </w:p>
    <w:p>
      <w:pPr>
        <w:numPr>
          <w:ilvl w:val="0"/>
          <w:numId w:val="300"/>
        </w:numPr>
        <w:pStyle w:val="Para 18"/>
        <w:keepLines w:val="on"/>
      </w:pPr>
      <w:r>
        <w:t>Thuế bất động sản là 5,24 đô la một feet vuông trong năm gần nhất, và dự kiến sẽ tăng 4% mỗi năm trong năm năm tới rồi 3% mỗi năm sau đó.</w:t>
      </w:r>
    </w:p>
    <w:p>
      <w:pPr>
        <w:numPr>
          <w:ilvl w:val="0"/>
          <w:numId w:val="300"/>
        </w:numPr>
        <w:pStyle w:val="Para 18"/>
        <w:keepLines w:val="on"/>
      </w:pPr>
      <w:r>
        <w:t>Mảnh đất bên dưới tòa nhà được thuê theo một hợp đồng thuê dài hạn, và tiền thuê đất trong năm gần nhất là 1,5 triệu đô la. Khoản tiền thuê này dự kiến sẽ giữ nguyên trong năm năm tới và tăng 3% mỗi năm sau đó.</w:t>
      </w:r>
    </w:p>
    <w:p>
      <w:pPr>
        <w:numPr>
          <w:ilvl w:val="0"/>
          <w:numId w:val="300"/>
        </w:numPr>
        <w:pStyle w:val="Para 18"/>
        <w:keepLines w:val="on"/>
      </w:pPr>
      <w:r>
        <w:t>Các chi phí khác, bao gồm bảo hiểm, bảo trì và tiện ích, lên tới 6,50 đô la một feet vuông trong năm gần nhất, và dự kiến sẽ tăng 3% mỗi năm vĩnh viễn. Khoảng 10% các chi phí này sẽ được khách thuê hoàn trả mỗi năm (và do đó sẽ trở thành một phần của doanh thu).</w:t>
      </w:r>
    </w:p>
    <w:p>
      <w:pPr>
        <w:numPr>
          <w:ilvl w:val="0"/>
          <w:numId w:val="300"/>
        </w:numPr>
        <w:pStyle w:val="Para 18"/>
        <w:keepLines w:val="on"/>
      </w:pPr>
      <w:r>
        <w:t>Phí quản lý cho năm gần nhất là 300.000 đô la, và dự kiến sẽ tăng 3% mỗi năm vĩnh viễn.</w:t>
      </w:r>
    </w:p>
    <w:p>
      <w:pPr>
        <w:numPr>
          <w:ilvl w:val="0"/>
          <w:numId w:val="300"/>
        </w:numPr>
        <w:pStyle w:val="Para 18"/>
        <w:keepLines w:val="on"/>
      </w:pPr>
      <w:r>
        <w:t>Khấu hao của tòa nhà dự kiến sẽ là 2 triệu đô la một năm trong năm năm tới. Chi phí bảo trì vốn và nâng cấp (bao gồm cải tạo mặt bằng thuê cho khách thuê mới) năm ngoái lên tới 1,5 triệu đô la, và dự kiến sẽ tăng 3% mỗi năm trong năm năm tới. Sau năm thứ 5, khấu hao dự kiến sẽ tăng 3% mỗi năm vĩnh viễn, và chi phí bảo trì vốn sẽ bù đắp cho khấu hao.</w:t>
      </w:r>
    </w:p>
    <w:p>
      <w:pPr>
        <w:pStyle w:val="Para 04"/>
        <w:keepLines w:val="on"/>
      </w:pPr>
      <w:r>
        <w:t>Người mua tiềm năng của tòa nhà là một tập đoàn chịu thuế suất biên 38% và dự kiến sẽ tài trợ cho tòa nhà bằng cơ cấu 60% nợ và 40% vốn cổ phần. Khoản nợ này sẽ dưới hình thức một khoản vay trả một lần vào cuối kỳ (balloon payment loan) dài hạn với lãi suất 6,5%.</w:t>
      </w:r>
    </w:p>
    <w:p>
      <w:bookmarkStart w:id="5532" w:name="Step_1__Estimating_a_Cost_of_Cap_1"/>
      <w:bookmarkStart w:id="5533" w:name="Step_1__Estimating_a_Cost_of_Cap"/>
      <w:pPr>
        <w:keepNext/>
        <w:pStyle w:val="Para 36"/>
        <w:keepLines w:val="on"/>
      </w:pPr>
      <w:r>
        <w:t>Bước 1: Ước tính chi phí vốn</w:t>
      </w:r>
      <w:bookmarkEnd w:id="5532"/>
      <w:bookmarkEnd w:id="5533"/>
    </w:p>
    <w:p>
      <w:pPr>
        <w:pStyle w:val="Para 04"/>
        <w:keepLines w:val="on"/>
      </w:pPr>
      <w:r>
        <w:t>Chúng ta bắt đầu bằng việc cố gắng ước tính chi phí vốn cổ phần. Mặc dù chúng tôi có được một cuộc khảo sát cung cấp các mức tỷ suất sinh lời tối thiểu (hurdle rate) điển hình mà các nhà đầu tư bất động sản dùng cho các tòa nhà văn phòng ở New York, chúng tôi chọn ước tính chi phí vốn cổ phần từ mô hình định giá tài sản vốn (capital asset pricing model) vì người mua tiềm năng là một tập đoàn (mà các nhà đầu tư của nó đã đa dạng hóa danh mục).5 Để thực hiện ước tính này, chúng tôi bắt đầu với hệ số beta chưa đòn bẩy là 0,62 của các REIT vốn cổ phần sở hữu bất động sản văn phòng. Chúng tôi ước tính hệ số beta có đòn bẩy bằng cách dùng cơ cấu nợ-vốn cổ phần đề xuất cho tòa nhà:</w:t>
      </w:r>
    </w:p>
    <w:p>
      <w:bookmarkStart w:id="5535" w:name="Levered_beta_Unlevered_beta_1_1_1"/>
      <w:pPr>
        <w:keepNext/>
        <w:pStyle w:val="Para 07"/>
        <w:keepLines w:val="on"/>
      </w:pPr>
      <w:r>
        <w:t>Beta có đòn bẩy = Beta chưa đòn bẩy × [1 + (1 - Thuế suất) × (Nợ/Vốn cổ phần)] = 0,62 × [1 + (1 - 0,38) × (0,6/0,4)] = 1,20</w:t>
      </w:r>
      <w:bookmarkEnd w:id="5535"/>
    </w:p>
    <w:p>
      <w:pPr>
        <w:pStyle w:val="Para 04"/>
        <w:keepLines w:val="on"/>
      </w:pPr>
      <w:r>
        <w:t>Để ước tính chi phí vốn cổ phần, chúng tôi dùng lãi suất phi rủi ro 5,4% và phần bù rủi ro 4%:</w:t>
      </w:r>
    </w:p>
    <w:p>
      <w:bookmarkStart w:id="5536" w:name="Cost_of_equity_Risk_free_rate_Be_4"/>
      <w:pPr>
        <w:keepNext/>
        <w:pStyle w:val="Para 07"/>
        <w:keepLines w:val="on"/>
      </w:pPr>
      <w:r>
        <w:t>Chi phí vốn cổ phần = Lãi suất phi rủi ro + Beta × Phần bù rủi ro vốn cổ phần = 5,4% + 1,20 × (4%) = 10,20%</w:t>
      </w:r>
      <w:bookmarkEnd w:id="5536"/>
    </w:p>
    <w:p>
      <w:pPr>
        <w:pStyle w:val="Para 04"/>
        <w:keepLines w:val="on"/>
      </w:pPr>
      <w:r>
        <w:t>Dùng lãi suất 6,5% của khoản vay ngân hàng làm chi phí nợ trước thuế, chúng tôi ước tính chi phí vốn:</w:t>
      </w:r>
    </w:p>
    <w:p>
      <w:bookmarkStart w:id="5537" w:name="Cost_of_capital_10_20_x__40__6_5"/>
      <w:pPr>
        <w:keepNext/>
        <w:pStyle w:val="Para 07"/>
        <w:keepLines w:val="on"/>
      </w:pPr>
      <w:r>
        <w:t>Chi phí vốn = 10,20% × (0,40) + 6,5% × (1 - 0,38) × (0,60) = 6,49%</w:t>
      </w:r>
      <w:bookmarkEnd w:id="5537"/>
    </w:p>
    <w:p>
      <w:pPr>
        <w:pStyle w:val="Para 04"/>
        <w:keepLines w:val="on"/>
      </w:pPr>
      <w:r>
        <w:t>Chúng tôi giả định rằng đây sẽ là chi phí vốn vĩnh viễn.6</w:t>
      </w:r>
    </w:p>
    <w:p>
      <w:bookmarkStart w:id="5539" w:name="Step_2__Estimating_Cash_Flows_on_1"/>
      <w:bookmarkStart w:id="5540" w:name="Step_2__Estimating_Cash_Flows_on"/>
      <w:pPr>
        <w:keepNext/>
        <w:pStyle w:val="Para 36"/>
        <w:keepLines w:val="on"/>
      </w:pPr>
      <w:r>
        <w:t>Bước 2: Ước tính dòng tiền của tòa nhà</w:t>
      </w:r>
      <w:bookmarkEnd w:id="5539"/>
      <w:bookmarkEnd w:id="5540"/>
    </w:p>
    <w:p>
      <w:pPr>
        <w:pStyle w:val="Para 04"/>
        <w:keepLines w:val="on"/>
      </w:pPr>
      <w:r>
        <w:t>Chúng tôi dùng thông tin vận hành đã nêu ở trên để ước tính dòng tiền trước các khoản thanh toán nợ của tòa nhà trong năm năm tới trong Bảng 26.5.</w:t>
      </w:r>
    </w:p>
    <w:p>
      <w:pPr>
        <w:pStyle w:val="Para 59"/>
        <w:keepLines w:val="on"/>
      </w:pPr>
      <w:r>
        <w:rPr>
          <w:rStyle w:val="Text26"/>
        </w:rPr>
        <w:bookmarkStart w:id="5542" w:name="Page_856"/>
        <w:t/>
        <w:bookmarkEnd w:id="5542"/>
      </w:r>
      <w:r>
        <w:t xml:space="preserve"> </w:t>
      </w:r>
    </w:p>
    <w:p>
      <w:pPr>
        <w:pStyle w:val="Para 25"/>
        <w:keepLines w:val="on"/>
      </w:pPr>
      <w:r>
        <w:t>BẢNG 26.5</w:t>
      </w:r>
    </w:p>
    <w:p>
      <w:pPr>
        <w:keepNext/>
        <w:pStyle w:val="Para 24"/>
        <w:keepLines w:val="on"/>
      </w:pPr>
      <w:r>
        <w:t>Dòng tiền cho doanh nghiệp (trước nợ) từ tòa nhà</w:t>
      </w:r>
    </w:p>
    <w:tbl>
      <w:tblPr>
        <w:tblW w:type="auto" w:w="0"/>
      </w:tblPr>
      <w:tr>
        <w:tc>
          <w:tcPr>
            <w:tcW w:type="auto" w:w="0"/>
          </w:tcPr>
          <w:tbl>
            <w:tblPr>
              <w:tblW w:type="auto" w:w="0"/>
            </w:tblPr>
            <w:tr>
              <w:tc>
                <w:tcPr>
                  <w:tcW w:type="auto" w:w="0"/>
                  <w:shd w:val="clear" w:color="auto" w:fill="F0F0F0"/>
                </w:tcPr>
                <w:p>
                  <w:pPr>
                    <w:pStyle w:val="Para 17"/>
                    <w:keepLines w:val="on"/>
                  </w:pPr>
                  <w:r>
                    <w:t/>
                  </w:r>
                </w:p>
              </w:tc>
              <w:tc>
                <w:tcPr>
                  <w:tcW w:type="auto" w:w="0"/>
                  <w:shd w:val="clear" w:color="auto" w:fill="F0F0F0"/>
                </w:tcPr>
                <w:p>
                  <w:pPr>
                    <w:pStyle w:val="Para 05"/>
                    <w:keepLines w:val="on"/>
                  </w:pPr>
                  <w:r>
                    <w:t>Năm cơ sở</w:t>
                  </w: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c>
                <w:tcPr>
                  <w:tcW w:type="auto" w:w="0"/>
                  <w:shd w:val="clear" w:color="auto" w:fill="F0F0F0"/>
                </w:tcPr>
                <w:p>
                  <w:pPr>
                    <w:pStyle w:val="Para 05"/>
                    <w:keepLines w:val="on"/>
                  </w:pPr>
                  <w:r>
                    <w:t>Năm kết thúc</w:t>
                  </w:r>
                </w:p>
              </w:tc>
            </w:tr>
            <w:tr>
              <w:tc>
                <w:tcPr>
                  <w:tcW w:type="auto" w:w="0"/>
                  <w:shd w:val="clear" w:color="auto" w:fill="F0F0F0"/>
                </w:tcPr>
                <w:p>
                  <w:pPr>
                    <w:pStyle w:val="Para 02"/>
                    <w:keepLines w:val="on"/>
                  </w:pPr>
                  <w:r>
                    <w:t>Diện tích tòa nhà (sq ft)</w:t>
                  </w:r>
                </w:p>
              </w:tc>
              <w:tc>
                <w:tcPr>
                  <w:tcW w:type="auto" w:w="0"/>
                  <w:shd w:val="clear" w:color="auto" w:fill="F0F0F0"/>
                </w:tcPr>
                <w:p>
                  <w:pPr>
                    <w:pStyle w:val="7 Block"/>
                    <w:keepLines w:val="on"/>
                  </w:pPr>
                </w:p>
              </w:tc>
              <w:tc>
                <w:tcPr>
                  <w:tcW w:type="auto" w:w="0"/>
                  <w:shd w:val="clear" w:color="auto" w:fill="F0F0F0"/>
                </w:tcPr>
                <w:p>
                  <w:pPr>
                    <w:pStyle w:val="Normal"/>
                    <w:keepLines w:val="on"/>
                  </w:pPr>
                  <w:r>
                    <w:t>528357</w:t>
                  </w:r>
                </w:p>
              </w:tc>
              <w:tc>
                <w:tcPr>
                  <w:tcW w:type="auto" w:w="0"/>
                  <w:shd w:val="clear" w:color="auto" w:fill="F0F0F0"/>
                </w:tcPr>
                <w:p>
                  <w:pPr>
                    <w:pStyle w:val="Normal"/>
                    <w:keepLines w:val="on"/>
                  </w:pPr>
                  <w:r>
                    <w:t>528357</w:t>
                  </w:r>
                </w:p>
              </w:tc>
              <w:tc>
                <w:tcPr>
                  <w:tcW w:type="auto" w:w="0"/>
                  <w:shd w:val="clear" w:color="auto" w:fill="F0F0F0"/>
                </w:tcPr>
                <w:p>
                  <w:pPr>
                    <w:pStyle w:val="Normal"/>
                    <w:keepLines w:val="on"/>
                  </w:pPr>
                  <w:r>
                    <w:t>528357</w:t>
                  </w:r>
                </w:p>
              </w:tc>
              <w:tc>
                <w:tcPr>
                  <w:tcW w:type="auto" w:w="0"/>
                  <w:shd w:val="clear" w:color="auto" w:fill="F0F0F0"/>
                </w:tcPr>
                <w:p>
                  <w:pPr>
                    <w:pStyle w:val="Normal"/>
                    <w:keepLines w:val="on"/>
                  </w:pPr>
                  <w:r>
                    <w:t>528357</w:t>
                  </w:r>
                </w:p>
              </w:tc>
              <w:tc>
                <w:tcPr>
                  <w:tcW w:type="auto" w:w="0"/>
                  <w:shd w:val="clear" w:color="auto" w:fill="F0F0F0"/>
                </w:tcPr>
                <w:p>
                  <w:pPr>
                    <w:pStyle w:val="Normal"/>
                    <w:keepLines w:val="on"/>
                  </w:pPr>
                  <w:r>
                    <w:t>528357</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Tỷ lệ lấp đầy</w:t>
                  </w:r>
                </w:p>
              </w:tc>
              <w:tc>
                <w:tcPr>
                  <w:tcW w:type="auto" w:w="0"/>
                  <w:shd w:val="clear" w:color="auto" w:fill="F0F0F0"/>
                </w:tcPr>
                <w:p>
                  <w:pPr>
                    <w:pStyle w:val="7 Block"/>
                    <w:keepLines w:val="on"/>
                  </w:pPr>
                </w:p>
              </w:tc>
              <w:tc>
                <w:tcPr>
                  <w:tcW w:type="auto" w:w="0"/>
                  <w:shd w:val="clear" w:color="auto" w:fill="F0F0F0"/>
                </w:tcPr>
                <w:p>
                  <w:pPr>
                    <w:pStyle w:val="Normal"/>
                    <w:keepLines w:val="on"/>
                  </w:pPr>
                  <w:r>
                    <w:t>95%</w:t>
                  </w:r>
                </w:p>
              </w:tc>
              <w:tc>
                <w:tcPr>
                  <w:tcW w:type="auto" w:w="0"/>
                  <w:shd w:val="clear" w:color="auto" w:fill="F0F0F0"/>
                </w:tcPr>
                <w:p>
                  <w:pPr>
                    <w:pStyle w:val="Normal"/>
                    <w:keepLines w:val="on"/>
                  </w:pPr>
                  <w:r>
                    <w:t>95,50%</w:t>
                  </w:r>
                </w:p>
              </w:tc>
              <w:tc>
                <w:tcPr>
                  <w:tcW w:type="auto" w:w="0"/>
                  <w:shd w:val="clear" w:color="auto" w:fill="F0F0F0"/>
                </w:tcPr>
                <w:p>
                  <w:pPr>
                    <w:pStyle w:val="Normal"/>
                    <w:keepLines w:val="on"/>
                  </w:pPr>
                  <w:r>
                    <w:t>96,00%</w:t>
                  </w:r>
                </w:p>
              </w:tc>
              <w:tc>
                <w:tcPr>
                  <w:tcW w:type="auto" w:w="0"/>
                  <w:shd w:val="clear" w:color="auto" w:fill="F0F0F0"/>
                </w:tcPr>
                <w:p>
                  <w:pPr>
                    <w:pStyle w:val="Normal"/>
                    <w:keepLines w:val="on"/>
                  </w:pPr>
                  <w:r>
                    <w:t>96,50%</w:t>
                  </w:r>
                </w:p>
              </w:tc>
              <w:tc>
                <w:tcPr>
                  <w:tcW w:type="auto" w:w="0"/>
                  <w:shd w:val="clear" w:color="auto" w:fill="F0F0F0"/>
                </w:tcPr>
                <w:p>
                  <w:pPr>
                    <w:pStyle w:val="Normal"/>
                    <w:keepLines w:val="on"/>
                  </w:pPr>
                  <w:r>
                    <w:t>97%</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Tiền thuê/mét vuông</w:t>
                  </w:r>
                </w:p>
              </w:tc>
              <w:tc>
                <w:tcPr>
                  <w:tcW w:type="auto" w:w="0"/>
                  <w:shd w:val="clear" w:color="auto" w:fill="F0F0F0"/>
                </w:tcPr>
                <w:p>
                  <w:pPr>
                    <w:pStyle w:val="Para 06"/>
                    <w:keepLines w:val="on"/>
                  </w:pPr>
                  <w:r>
                    <w:t>$28,07</w:t>
                  </w:r>
                </w:p>
              </w:tc>
              <w:tc>
                <w:tcPr>
                  <w:tcW w:type="auto" w:w="0"/>
                  <w:shd w:val="clear" w:color="auto" w:fill="F0F0F0"/>
                </w:tcPr>
                <w:p>
                  <w:pPr>
                    <w:pStyle w:val="Normal"/>
                    <w:keepLines w:val="on"/>
                  </w:pPr>
                  <w:r>
                    <w:t>$28,91</w:t>
                  </w:r>
                </w:p>
              </w:tc>
              <w:tc>
                <w:tcPr>
                  <w:tcW w:type="auto" w:w="0"/>
                  <w:shd w:val="clear" w:color="auto" w:fill="F0F0F0"/>
                </w:tcPr>
                <w:p>
                  <w:pPr>
                    <w:pStyle w:val="Normal"/>
                    <w:keepLines w:val="on"/>
                  </w:pPr>
                  <w:r>
                    <w:t>$29,78</w:t>
                  </w:r>
                </w:p>
              </w:tc>
              <w:tc>
                <w:tcPr>
                  <w:tcW w:type="auto" w:w="0"/>
                  <w:shd w:val="clear" w:color="auto" w:fill="F0F0F0"/>
                </w:tcPr>
                <w:p>
                  <w:pPr>
                    <w:pStyle w:val="Normal"/>
                    <w:keepLines w:val="on"/>
                  </w:pPr>
                  <w:r>
                    <w:t>$30,67</w:t>
                  </w:r>
                </w:p>
              </w:tc>
              <w:tc>
                <w:tcPr>
                  <w:tcW w:type="auto" w:w="0"/>
                  <w:shd w:val="clear" w:color="auto" w:fill="F0F0F0"/>
                </w:tcPr>
                <w:p>
                  <w:pPr>
                    <w:pStyle w:val="Normal"/>
                    <w:keepLines w:val="on"/>
                  </w:pPr>
                  <w:r>
                    <w:t>$31,59</w:t>
                  </w:r>
                </w:p>
              </w:tc>
              <w:tc>
                <w:tcPr>
                  <w:tcW w:type="auto" w:w="0"/>
                  <w:shd w:val="clear" w:color="auto" w:fill="F0F0F0"/>
                </w:tcPr>
                <w:p>
                  <w:pPr>
                    <w:pStyle w:val="Normal"/>
                    <w:keepLines w:val="on"/>
                  </w:pPr>
                  <w:r>
                    <w:t>$32,54</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Thu nhập cho thuê</w:t>
                  </w:r>
                </w:p>
              </w:tc>
              <w:tc>
                <w:tcPr>
                  <w:tcW w:type="auto" w:w="0"/>
                  <w:shd w:val="clear" w:color="auto" w:fill="F0F0F0"/>
                </w:tcPr>
                <w:p>
                  <w:pPr>
                    <w:pStyle w:val="7 Block"/>
                    <w:keepLines w:val="on"/>
                  </w:pPr>
                </w:p>
              </w:tc>
              <w:tc>
                <w:tcPr>
                  <w:tcW w:type="auto" w:w="0"/>
                  <w:shd w:val="clear" w:color="auto" w:fill="F0F0F0"/>
                </w:tcPr>
                <w:p>
                  <w:pPr>
                    <w:pStyle w:val="Normal"/>
                    <w:keepLines w:val="on"/>
                  </w:pPr>
                  <w:r>
                    <w:t>$14.512.115</w:t>
                  </w:r>
                </w:p>
              </w:tc>
              <w:tc>
                <w:tcPr>
                  <w:tcW w:type="auto" w:w="0"/>
                  <w:shd w:val="clear" w:color="auto" w:fill="F0F0F0"/>
                </w:tcPr>
                <w:p>
                  <w:pPr>
                    <w:pStyle w:val="Normal"/>
                    <w:keepLines w:val="on"/>
                  </w:pPr>
                  <w:r>
                    <w:t>$15.026.149</w:t>
                  </w:r>
                </w:p>
              </w:tc>
              <w:tc>
                <w:tcPr>
                  <w:tcW w:type="auto" w:w="0"/>
                  <w:shd w:val="clear" w:color="auto" w:fill="F0F0F0"/>
                </w:tcPr>
                <w:p>
                  <w:pPr>
                    <w:pStyle w:val="Normal"/>
                    <w:keepLines w:val="on"/>
                  </w:pPr>
                  <w:r>
                    <w:t>$15.557.965</w:t>
                  </w:r>
                </w:p>
              </w:tc>
              <w:tc>
                <w:tcPr>
                  <w:tcW w:type="auto" w:w="0"/>
                  <w:shd w:val="clear" w:color="auto" w:fill="F0F0F0"/>
                </w:tcPr>
                <w:p>
                  <w:pPr>
                    <w:pStyle w:val="Normal"/>
                    <w:keepLines w:val="on"/>
                  </w:pPr>
                  <w:r>
                    <w:t>$16.108.166</w:t>
                  </w:r>
                </w:p>
              </w:tc>
              <w:tc>
                <w:tcPr>
                  <w:tcW w:type="auto" w:w="0"/>
                  <w:shd w:val="clear" w:color="auto" w:fill="F0F0F0"/>
                </w:tcPr>
                <w:p>
                  <w:pPr>
                    <w:pStyle w:val="Normal"/>
                    <w:keepLines w:val="on"/>
                  </w:pPr>
                  <w:r>
                    <w:t>$16.677.377</w:t>
                  </w:r>
                </w:p>
              </w:tc>
              <w:tc>
                <w:tcPr>
                  <w:tcW w:type="auto" w:w="0"/>
                  <w:shd w:val="clear" w:color="auto" w:fill="F0F0F0"/>
                </w:tcPr>
                <w:p>
                  <w:pPr>
                    <w:pStyle w:val="Normal"/>
                    <w:keepLines w:val="on"/>
                  </w:pPr>
                  <w:r>
                    <w:t>$17.177.698</w:t>
                  </w:r>
                </w:p>
              </w:tc>
            </w:tr>
            <w:tr>
              <w:tc>
                <w:tcPr>
                  <w:tcW w:type="auto" w:w="0"/>
                  <w:shd w:val="clear" w:color="auto" w:fill="F0F0F0"/>
                </w:tcPr>
                <w:p>
                  <w:pPr>
                    <w:pStyle w:val="Para 02"/>
                    <w:keepLines w:val="on"/>
                  </w:pPr>
                  <w:r>
                    <w:t>Thu nhập từ gara</w:t>
                  </w:r>
                </w:p>
              </w:tc>
              <w:tc>
                <w:tcPr>
                  <w:tcW w:type="auto" w:w="0"/>
                  <w:shd w:val="clear" w:color="auto" w:fill="F0F0F0"/>
                </w:tcPr>
                <w:p>
                  <w:pPr>
                    <w:pStyle w:val="Para 06"/>
                    <w:keepLines w:val="on"/>
                  </w:pPr>
                  <w:r>
                    <w:t>$800.000</w:t>
                  </w:r>
                </w:p>
              </w:tc>
              <w:tc>
                <w:tcPr>
                  <w:tcW w:type="auto" w:w="0"/>
                  <w:shd w:val="clear" w:color="auto" w:fill="F0F0F0"/>
                </w:tcPr>
                <w:p>
                  <w:pPr>
                    <w:pStyle w:val="Normal"/>
                    <w:keepLines w:val="on"/>
                  </w:pPr>
                  <w:r>
                    <w:t>$824.000</w:t>
                  </w:r>
                </w:p>
              </w:tc>
              <w:tc>
                <w:tcPr>
                  <w:tcW w:type="auto" w:w="0"/>
                  <w:shd w:val="clear" w:color="auto" w:fill="F0F0F0"/>
                </w:tcPr>
                <w:p>
                  <w:pPr>
                    <w:pStyle w:val="Normal"/>
                    <w:keepLines w:val="on"/>
                  </w:pPr>
                  <w:r>
                    <w:t>$848.720</w:t>
                  </w:r>
                </w:p>
              </w:tc>
              <w:tc>
                <w:tcPr>
                  <w:tcW w:type="auto" w:w="0"/>
                  <w:shd w:val="clear" w:color="auto" w:fill="F0F0F0"/>
                </w:tcPr>
                <w:p>
                  <w:pPr>
                    <w:pStyle w:val="Normal"/>
                    <w:keepLines w:val="on"/>
                  </w:pPr>
                  <w:r>
                    <w:t>$874.182</w:t>
                  </w:r>
                </w:p>
              </w:tc>
              <w:tc>
                <w:tcPr>
                  <w:tcW w:type="auto" w:w="0"/>
                  <w:shd w:val="clear" w:color="auto" w:fill="F0F0F0"/>
                </w:tcPr>
                <w:p>
                  <w:pPr>
                    <w:pStyle w:val="Normal"/>
                    <w:keepLines w:val="on"/>
                  </w:pPr>
                  <w:r>
                    <w:t>$900.407</w:t>
                  </w:r>
                </w:p>
              </w:tc>
              <w:tc>
                <w:tcPr>
                  <w:tcW w:type="auto" w:w="0"/>
                  <w:shd w:val="clear" w:color="auto" w:fill="F0F0F0"/>
                </w:tcPr>
                <w:p>
                  <w:pPr>
                    <w:pStyle w:val="Normal"/>
                    <w:keepLines w:val="on"/>
                  </w:pPr>
                  <w:r>
                    <w:t>$927.419</w:t>
                  </w:r>
                </w:p>
              </w:tc>
              <w:tc>
                <w:tcPr>
                  <w:tcW w:type="auto" w:w="0"/>
                  <w:shd w:val="clear" w:color="auto" w:fill="F0F0F0"/>
                </w:tcPr>
                <w:p>
                  <w:pPr>
                    <w:pStyle w:val="Normal"/>
                    <w:keepLines w:val="on"/>
                  </w:pPr>
                  <w:r>
                    <w:t>$955.242</w:t>
                  </w:r>
                </w:p>
              </w:tc>
            </w:tr>
            <w:tr>
              <w:tc>
                <w:tcPr>
                  <w:tcW w:type="auto" w:w="0"/>
                  <w:shd w:val="clear" w:color="auto" w:fill="F0F0F0"/>
                </w:tcPr>
                <w:p>
                  <w:pPr>
                    <w:pStyle w:val="Para 02"/>
                    <w:keepLines w:val="on"/>
                  </w:pPr>
                  <w:r>
                    <w:t>Doanh thu hoàn trả</w:t>
                  </w:r>
                </w:p>
              </w:tc>
              <w:tc>
                <w:tcPr>
                  <w:tcW w:type="auto" w:w="0"/>
                  <w:shd w:val="clear" w:color="auto" w:fill="F0F0F0"/>
                </w:tcPr>
                <w:p>
                  <w:pPr>
                    <w:pStyle w:val="Para 06"/>
                    <w:keepLines w:val="on"/>
                  </w:pPr>
                  <w:r>
                    <w:t>10,00%</w:t>
                  </w:r>
                </w:p>
              </w:tc>
              <w:tc>
                <w:tcPr>
                  <w:tcW w:type="auto" w:w="0"/>
                  <w:shd w:val="clear" w:color="auto" w:fill="F0F0F0"/>
                </w:tcPr>
                <w:p>
                  <w:pPr>
                    <w:pStyle w:val="Normal"/>
                    <w:keepLines w:val="on"/>
                  </w:pPr>
                  <w:r>
                    <w:t>$353.735</w:t>
                  </w:r>
                </w:p>
              </w:tc>
              <w:tc>
                <w:tcPr>
                  <w:tcW w:type="auto" w:w="0"/>
                  <w:shd w:val="clear" w:color="auto" w:fill="F0F0F0"/>
                </w:tcPr>
                <w:p>
                  <w:pPr>
                    <w:pStyle w:val="Normal"/>
                    <w:keepLines w:val="on"/>
                  </w:pPr>
                  <w:r>
                    <w:t>$364.347</w:t>
                  </w:r>
                </w:p>
              </w:tc>
              <w:tc>
                <w:tcPr>
                  <w:tcW w:type="auto" w:w="0"/>
                  <w:shd w:val="clear" w:color="auto" w:fill="F0F0F0"/>
                </w:tcPr>
                <w:p>
                  <w:pPr>
                    <w:pStyle w:val="Normal"/>
                    <w:keepLines w:val="on"/>
                  </w:pPr>
                  <w:r>
                    <w:t>$375.277</w:t>
                  </w:r>
                </w:p>
              </w:tc>
              <w:tc>
                <w:tcPr>
                  <w:tcW w:type="auto" w:w="0"/>
                  <w:shd w:val="clear" w:color="auto" w:fill="F0F0F0"/>
                </w:tcPr>
                <w:p>
                  <w:pPr>
                    <w:pStyle w:val="Normal"/>
                    <w:keepLines w:val="on"/>
                  </w:pPr>
                  <w:r>
                    <w:t>$386.536</w:t>
                  </w:r>
                </w:p>
              </w:tc>
              <w:tc>
                <w:tcPr>
                  <w:tcW w:type="auto" w:w="0"/>
                  <w:shd w:val="clear" w:color="auto" w:fill="F0F0F0"/>
                </w:tcPr>
                <w:p>
                  <w:pPr>
                    <w:pStyle w:val="Normal"/>
                    <w:keepLines w:val="on"/>
                  </w:pPr>
                  <w:r>
                    <w:t>$398.132</w:t>
                  </w:r>
                </w:p>
              </w:tc>
              <w:tc>
                <w:tcPr>
                  <w:tcW w:type="auto" w:w="0"/>
                  <w:shd w:val="clear" w:color="auto" w:fill="F0F0F0"/>
                </w:tcPr>
                <w:p>
                  <w:pPr>
                    <w:pStyle w:val="Normal"/>
                    <w:keepLines w:val="on"/>
                  </w:pPr>
                  <w:r>
                    <w:t>$410,076</w:t>
                  </w:r>
                </w:p>
              </w:tc>
            </w:tr>
            <w:tr>
              <w:tc>
                <w:tcPr>
                  <w:tcW w:type="auto" w:w="0"/>
                  <w:shd w:val="clear" w:color="auto" w:fill="F0F0F0"/>
                </w:tcPr>
                <w:p>
                  <w:pPr>
                    <w:pStyle w:val="Para 02"/>
                    <w:keepLines w:val="on"/>
                  </w:pPr>
                  <w:r>
                    <w:t>Tổn thất tín dụng</w:t>
                  </w:r>
                </w:p>
              </w:tc>
              <w:tc>
                <w:tcPr>
                  <w:tcW w:type="auto" w:w="0"/>
                  <w:shd w:val="clear" w:color="auto" w:fill="F0F0F0"/>
                </w:tcPr>
                <w:p>
                  <w:pPr>
                    <w:pStyle w:val="Para 06"/>
                    <w:keepLines w:val="on"/>
                  </w:pPr>
                  <w:r>
                    <w:t>2,50%</w:t>
                  </w:r>
                </w:p>
              </w:tc>
              <w:tc>
                <w:tcPr>
                  <w:tcW w:type="auto" w:w="0"/>
                  <w:shd w:val="clear" w:color="auto" w:fill="F0F0F0"/>
                </w:tcPr>
                <w:p>
                  <w:pPr>
                    <w:pStyle w:val="Normal"/>
                    <w:keepLines w:val="on"/>
                  </w:pPr>
                  <w:r>
                    <w:t>$362,803</w:t>
                  </w:r>
                </w:p>
              </w:tc>
              <w:tc>
                <w:tcPr>
                  <w:tcW w:type="auto" w:w="0"/>
                  <w:shd w:val="clear" w:color="auto" w:fill="F0F0F0"/>
                </w:tcPr>
                <w:p>
                  <w:pPr>
                    <w:pStyle w:val="Normal"/>
                    <w:keepLines w:val="on"/>
                  </w:pPr>
                  <w:r>
                    <w:t>$375,654</w:t>
                  </w:r>
                </w:p>
              </w:tc>
              <w:tc>
                <w:tcPr>
                  <w:tcW w:type="auto" w:w="0"/>
                  <w:shd w:val="clear" w:color="auto" w:fill="F0F0F0"/>
                </w:tcPr>
                <w:p>
                  <w:pPr>
                    <w:pStyle w:val="Normal"/>
                    <w:keepLines w:val="on"/>
                  </w:pPr>
                  <w:r>
                    <w:t>$388,949</w:t>
                  </w:r>
                </w:p>
              </w:tc>
              <w:tc>
                <w:tcPr>
                  <w:tcW w:type="auto" w:w="0"/>
                  <w:shd w:val="clear" w:color="auto" w:fill="F0F0F0"/>
                </w:tcPr>
                <w:p>
                  <w:pPr>
                    <w:pStyle w:val="Normal"/>
                    <w:keepLines w:val="on"/>
                  </w:pPr>
                  <w:r>
                    <w:t>$402,704</w:t>
                  </w:r>
                </w:p>
              </w:tc>
              <w:tc>
                <w:tcPr>
                  <w:tcW w:type="auto" w:w="0"/>
                  <w:shd w:val="clear" w:color="auto" w:fill="F0F0F0"/>
                </w:tcPr>
                <w:p>
                  <w:pPr>
                    <w:pStyle w:val="Normal"/>
                    <w:keepLines w:val="on"/>
                  </w:pPr>
                  <w:r>
                    <w:t>$416,934</w:t>
                  </w:r>
                </w:p>
              </w:tc>
              <w:tc>
                <w:tcPr>
                  <w:tcW w:type="auto" w:w="0"/>
                  <w:shd w:val="clear" w:color="auto" w:fill="F0F0F0"/>
                </w:tcPr>
                <w:p>
                  <w:pPr>
                    <w:pStyle w:val="Normal"/>
                    <w:keepLines w:val="on"/>
                  </w:pPr>
                  <w:r>
                    <w:t>$429,442</w:t>
                  </w:r>
                </w:p>
              </w:tc>
            </w:tr>
            <w:tr>
              <w:tc>
                <w:tcPr>
                  <w:tcW w:type="auto" w:w="0"/>
                  <w:shd w:val="clear" w:color="auto" w:fill="F0F0F0"/>
                </w:tcPr>
                <w:p>
                  <w:pPr>
                    <w:pStyle w:val="Para 02"/>
                    <w:keepLines w:val="on"/>
                  </w:pPr>
                  <w:r>
                    <w:t>Tổng doanh thu</w:t>
                  </w:r>
                </w:p>
              </w:tc>
              <w:tc>
                <w:tcPr>
                  <w:tcW w:type="auto" w:w="0"/>
                  <w:shd w:val="clear" w:color="auto" w:fill="F0F0F0"/>
                </w:tcPr>
                <w:p>
                  <w:pPr>
                    <w:pStyle w:val="7 Block"/>
                    <w:keepLines w:val="on"/>
                  </w:pPr>
                </w:p>
              </w:tc>
              <w:tc>
                <w:tcPr>
                  <w:tcW w:type="auto" w:w="0"/>
                  <w:shd w:val="clear" w:color="auto" w:fill="F0F0F0"/>
                </w:tcPr>
                <w:p>
                  <w:pPr>
                    <w:pStyle w:val="Normal"/>
                    <w:keepLines w:val="on"/>
                  </w:pPr>
                  <w:r>
                    <w:t>$15,327,047</w:t>
                  </w:r>
                </w:p>
              </w:tc>
              <w:tc>
                <w:tcPr>
                  <w:tcW w:type="auto" w:w="0"/>
                  <w:shd w:val="clear" w:color="auto" w:fill="F0F0F0"/>
                </w:tcPr>
                <w:p>
                  <w:pPr>
                    <w:pStyle w:val="Normal"/>
                    <w:keepLines w:val="on"/>
                  </w:pPr>
                  <w:r>
                    <w:t>$15,863,563</w:t>
                  </w:r>
                </w:p>
              </w:tc>
              <w:tc>
                <w:tcPr>
                  <w:tcW w:type="auto" w:w="0"/>
                  <w:shd w:val="clear" w:color="auto" w:fill="F0F0F0"/>
                </w:tcPr>
                <w:p>
                  <w:pPr>
                    <w:pStyle w:val="Normal"/>
                    <w:keepLines w:val="on"/>
                  </w:pPr>
                  <w:r>
                    <w:t>$16,418,475</w:t>
                  </w:r>
                </w:p>
              </w:tc>
              <w:tc>
                <w:tcPr>
                  <w:tcW w:type="auto" w:w="0"/>
                  <w:shd w:val="clear" w:color="auto" w:fill="F0F0F0"/>
                </w:tcPr>
                <w:p>
                  <w:pPr>
                    <w:pStyle w:val="Normal"/>
                    <w:keepLines w:val="on"/>
                  </w:pPr>
                  <w:r>
                    <w:t>$16,992,404</w:t>
                  </w:r>
                </w:p>
              </w:tc>
              <w:tc>
                <w:tcPr>
                  <w:tcW w:type="auto" w:w="0"/>
                  <w:shd w:val="clear" w:color="auto" w:fill="F0F0F0"/>
                </w:tcPr>
                <w:p>
                  <w:pPr>
                    <w:pStyle w:val="Normal"/>
                    <w:keepLines w:val="on"/>
                  </w:pPr>
                  <w:r>
                    <w:t>$17,585,993</w:t>
                  </w:r>
                </w:p>
              </w:tc>
              <w:tc>
                <w:tcPr>
                  <w:tcW w:type="auto" w:w="0"/>
                  <w:shd w:val="clear" w:color="auto" w:fill="F0F0F0"/>
                </w:tcPr>
                <w:p>
                  <w:pPr>
                    <w:pStyle w:val="Normal"/>
                    <w:keepLines w:val="on"/>
                  </w:pPr>
                  <w:r>
                    <w:t>$18,113,573</w:t>
                  </w:r>
                </w:p>
              </w:tc>
            </w:tr>
            <w:tr>
              <w:tc>
                <w:tcPr>
                  <w:tcW w:type="auto" w:w="0"/>
                  <w:shd w:val="clear" w:color="auto" w:fill="F0F0F0"/>
                </w:tcPr>
                <w:p>
                  <w:pPr>
                    <w:pStyle w:val="Para 46"/>
                    <w:keepLines w:val="on"/>
                  </w:pPr>
                  <w:r>
                    <w:t>Chi phí</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Thuế bất động sản</w:t>
                  </w:r>
                </w:p>
              </w:tc>
              <w:tc>
                <w:tcPr>
                  <w:tcW w:type="auto" w:w="0"/>
                  <w:shd w:val="clear" w:color="auto" w:fill="F0F0F0"/>
                </w:tcPr>
                <w:p>
                  <w:pPr>
                    <w:pStyle w:val="Para 06"/>
                    <w:keepLines w:val="on"/>
                  </w:pPr>
                  <w:r>
                    <w:t>$5,24</w:t>
                  </w:r>
                </w:p>
              </w:tc>
              <w:tc>
                <w:tcPr>
                  <w:tcW w:type="auto" w:w="0"/>
                  <w:shd w:val="clear" w:color="auto" w:fill="F0F0F0"/>
                </w:tcPr>
                <w:p>
                  <w:pPr>
                    <w:pStyle w:val="Normal"/>
                    <w:keepLines w:val="on"/>
                  </w:pPr>
                  <w:r>
                    <w:t>$2,879,334</w:t>
                  </w:r>
                </w:p>
              </w:tc>
              <w:tc>
                <w:tcPr>
                  <w:tcW w:type="auto" w:w="0"/>
                  <w:shd w:val="clear" w:color="auto" w:fill="F0F0F0"/>
                </w:tcPr>
                <w:p>
                  <w:pPr>
                    <w:pStyle w:val="Normal"/>
                    <w:keepLines w:val="on"/>
                  </w:pPr>
                  <w:r>
                    <w:t>$2,994,508</w:t>
                  </w:r>
                </w:p>
              </w:tc>
              <w:tc>
                <w:tcPr>
                  <w:tcW w:type="auto" w:w="0"/>
                  <w:shd w:val="clear" w:color="auto" w:fill="F0F0F0"/>
                </w:tcPr>
                <w:p>
                  <w:pPr>
                    <w:pStyle w:val="Normal"/>
                    <w:keepLines w:val="on"/>
                  </w:pPr>
                  <w:r>
                    <w:t>$3,114,288</w:t>
                  </w:r>
                </w:p>
              </w:tc>
              <w:tc>
                <w:tcPr>
                  <w:tcW w:type="auto" w:w="0"/>
                  <w:shd w:val="clear" w:color="auto" w:fill="F0F0F0"/>
                </w:tcPr>
                <w:p>
                  <w:pPr>
                    <w:pStyle w:val="Normal"/>
                    <w:keepLines w:val="on"/>
                  </w:pPr>
                  <w:r>
                    <w:t>$3,238,860</w:t>
                  </w:r>
                </w:p>
              </w:tc>
              <w:tc>
                <w:tcPr>
                  <w:tcW w:type="auto" w:w="0"/>
                  <w:shd w:val="clear" w:color="auto" w:fill="F0F0F0"/>
                </w:tcPr>
                <w:p>
                  <w:pPr>
                    <w:pStyle w:val="Normal"/>
                    <w:keepLines w:val="on"/>
                  </w:pPr>
                  <w:r>
                    <w:t>$3,368,414</w:t>
                  </w:r>
                </w:p>
              </w:tc>
              <w:tc>
                <w:tcPr>
                  <w:tcW w:type="auto" w:w="0"/>
                  <w:shd w:val="clear" w:color="auto" w:fill="F0F0F0"/>
                </w:tcPr>
                <w:p>
                  <w:pPr>
                    <w:pStyle w:val="Normal"/>
                    <w:keepLines w:val="on"/>
                  </w:pPr>
                  <w:r>
                    <w:t>$3,469,466</w:t>
                  </w:r>
                </w:p>
              </w:tc>
            </w:tr>
            <w:tr>
              <w:tc>
                <w:tcPr>
                  <w:tcW w:type="auto" w:w="0"/>
                  <w:shd w:val="clear" w:color="auto" w:fill="F0F0F0"/>
                </w:tcPr>
                <w:p>
                  <w:pPr>
                    <w:pStyle w:val="Para 02"/>
                    <w:keepLines w:val="on"/>
                  </w:pPr>
                  <w:r>
                    <w:t>Tiền thuê đất</w:t>
                  </w:r>
                </w:p>
              </w:tc>
              <w:tc>
                <w:tcPr>
                  <w:tcW w:type="auto" w:w="0"/>
                  <w:shd w:val="clear" w:color="auto" w:fill="F0F0F0"/>
                </w:tcPr>
                <w:p>
                  <w:pPr>
                    <w:pStyle w:val="Para 06"/>
                    <w:keepLines w:val="on"/>
                  </w:pPr>
                  <w:r>
                    <w:t>$1,500,000</w:t>
                  </w:r>
                </w:p>
              </w:tc>
              <w:tc>
                <w:tcPr>
                  <w:tcW w:type="auto" w:w="0"/>
                  <w:shd w:val="clear" w:color="auto" w:fill="F0F0F0"/>
                </w:tcPr>
                <w:p>
                  <w:pPr>
                    <w:pStyle w:val="Normal"/>
                    <w:keepLines w:val="on"/>
                  </w:pPr>
                  <w:r>
                    <w:t>$1,500,000</w:t>
                  </w:r>
                </w:p>
              </w:tc>
              <w:tc>
                <w:tcPr>
                  <w:tcW w:type="auto" w:w="0"/>
                  <w:shd w:val="clear" w:color="auto" w:fill="F0F0F0"/>
                </w:tcPr>
                <w:p>
                  <w:pPr>
                    <w:pStyle w:val="Normal"/>
                    <w:keepLines w:val="on"/>
                  </w:pPr>
                  <w:r>
                    <w:t>$1,500,000</w:t>
                  </w:r>
                </w:p>
              </w:tc>
              <w:tc>
                <w:tcPr>
                  <w:tcW w:type="auto" w:w="0"/>
                  <w:shd w:val="clear" w:color="auto" w:fill="F0F0F0"/>
                </w:tcPr>
                <w:p>
                  <w:pPr>
                    <w:pStyle w:val="Normal"/>
                    <w:keepLines w:val="on"/>
                  </w:pPr>
                  <w:r>
                    <w:t>$1,500,000</w:t>
                  </w:r>
                </w:p>
              </w:tc>
              <w:tc>
                <w:tcPr>
                  <w:tcW w:type="auto" w:w="0"/>
                  <w:shd w:val="clear" w:color="auto" w:fill="F0F0F0"/>
                </w:tcPr>
                <w:p>
                  <w:pPr>
                    <w:pStyle w:val="Normal"/>
                    <w:keepLines w:val="on"/>
                  </w:pPr>
                  <w:r>
                    <w:t>$1,500,000</w:t>
                  </w:r>
                </w:p>
              </w:tc>
              <w:tc>
                <w:tcPr>
                  <w:tcW w:type="auto" w:w="0"/>
                  <w:shd w:val="clear" w:color="auto" w:fill="F0F0F0"/>
                </w:tcPr>
                <w:p>
                  <w:pPr>
                    <w:pStyle w:val="Normal"/>
                    <w:keepLines w:val="on"/>
                  </w:pPr>
                  <w:r>
                    <w:t>$1,500,000</w:t>
                  </w:r>
                </w:p>
              </w:tc>
              <w:tc>
                <w:tcPr>
                  <w:tcW w:type="auto" w:w="0"/>
                  <w:shd w:val="clear" w:color="auto" w:fill="F0F0F0"/>
                </w:tcPr>
                <w:p>
                  <w:pPr>
                    <w:pStyle w:val="Normal"/>
                    <w:keepLines w:val="on"/>
                  </w:pPr>
                  <w:r>
                    <w:t>$1,545,000</w:t>
                  </w:r>
                </w:p>
              </w:tc>
            </w:tr>
            <w:tr>
              <w:tc>
                <w:tcPr>
                  <w:tcW w:type="auto" w:w="0"/>
                  <w:shd w:val="clear" w:color="auto" w:fill="F0F0F0"/>
                </w:tcPr>
                <w:p>
                  <w:pPr>
                    <w:pStyle w:val="Para 02"/>
                    <w:keepLines w:val="on"/>
                  </w:pPr>
                  <w:r>
                    <w:t>Các chi phí khác</w:t>
                  </w:r>
                </w:p>
              </w:tc>
              <w:tc>
                <w:tcPr>
                  <w:tcW w:type="auto" w:w="0"/>
                  <w:shd w:val="clear" w:color="auto" w:fill="F0F0F0"/>
                </w:tcPr>
                <w:p>
                  <w:pPr>
                    <w:pStyle w:val="Para 06"/>
                    <w:keepLines w:val="on"/>
                  </w:pPr>
                  <w:r>
                    <w:t>$6.50</w:t>
                  </w:r>
                </w:p>
              </w:tc>
              <w:tc>
                <w:tcPr>
                  <w:tcW w:type="auto" w:w="0"/>
                  <w:shd w:val="clear" w:color="auto" w:fill="F0F0F0"/>
                </w:tcPr>
                <w:p>
                  <w:pPr>
                    <w:pStyle w:val="Normal"/>
                    <w:keepLines w:val="on"/>
                  </w:pPr>
                  <w:r>
                    <w:t>$3,537,350</w:t>
                  </w:r>
                </w:p>
              </w:tc>
              <w:tc>
                <w:tcPr>
                  <w:tcW w:type="auto" w:w="0"/>
                  <w:shd w:val="clear" w:color="auto" w:fill="F0F0F0"/>
                </w:tcPr>
                <w:p>
                  <w:pPr>
                    <w:pStyle w:val="Normal"/>
                    <w:keepLines w:val="on"/>
                  </w:pPr>
                  <w:r>
                    <w:t>$3,643,471</w:t>
                  </w:r>
                </w:p>
              </w:tc>
              <w:tc>
                <w:tcPr>
                  <w:tcW w:type="auto" w:w="0"/>
                  <w:shd w:val="clear" w:color="auto" w:fill="F0F0F0"/>
                </w:tcPr>
                <w:p>
                  <w:pPr>
                    <w:pStyle w:val="Normal"/>
                    <w:keepLines w:val="on"/>
                  </w:pPr>
                  <w:r>
                    <w:t>$3,752,775</w:t>
                  </w:r>
                </w:p>
              </w:tc>
              <w:tc>
                <w:tcPr>
                  <w:tcW w:type="auto" w:w="0"/>
                  <w:shd w:val="clear" w:color="auto" w:fill="F0F0F0"/>
                </w:tcPr>
                <w:p>
                  <w:pPr>
                    <w:pStyle w:val="Normal"/>
                    <w:keepLines w:val="on"/>
                  </w:pPr>
                  <w:r>
                    <w:t>$3,865,358</w:t>
                  </w:r>
                </w:p>
              </w:tc>
              <w:tc>
                <w:tcPr>
                  <w:tcW w:type="auto" w:w="0"/>
                  <w:shd w:val="clear" w:color="auto" w:fill="F0F0F0"/>
                </w:tcPr>
                <w:p>
                  <w:pPr>
                    <w:pStyle w:val="Normal"/>
                    <w:keepLines w:val="on"/>
                  </w:pPr>
                  <w:r>
                    <w:t>$3,981,319</w:t>
                  </w:r>
                </w:p>
              </w:tc>
              <w:tc>
                <w:tcPr>
                  <w:tcW w:type="auto" w:w="0"/>
                  <w:shd w:val="clear" w:color="auto" w:fill="F0F0F0"/>
                </w:tcPr>
                <w:p>
                  <w:pPr>
                    <w:pStyle w:val="Normal"/>
                    <w:keepLines w:val="on"/>
                  </w:pPr>
                  <w:r>
                    <w:t>$4,100,758</w:t>
                  </w:r>
                </w:p>
              </w:tc>
            </w:tr>
            <w:tr>
              <w:tc>
                <w:tcPr>
                  <w:tcW w:type="auto" w:w="0"/>
                  <w:shd w:val="clear" w:color="auto" w:fill="F0F0F0"/>
                </w:tcPr>
                <w:p>
                  <w:pPr>
                    <w:pStyle w:val="Para 02"/>
                    <w:keepLines w:val="on"/>
                  </w:pPr>
                  <w:r>
                    <w:t>Phí quản lý</w:t>
                  </w:r>
                </w:p>
              </w:tc>
              <w:tc>
                <w:tcPr>
                  <w:tcW w:type="auto" w:w="0"/>
                  <w:shd w:val="clear" w:color="auto" w:fill="F0F0F0"/>
                </w:tcPr>
                <w:p>
                  <w:pPr>
                    <w:pStyle w:val="Para 06"/>
                    <w:keepLines w:val="on"/>
                  </w:pPr>
                  <w:r>
                    <w:t>$300,000</w:t>
                  </w:r>
                </w:p>
              </w:tc>
              <w:tc>
                <w:tcPr>
                  <w:tcW w:type="auto" w:w="0"/>
                  <w:shd w:val="clear" w:color="auto" w:fill="F0F0F0"/>
                </w:tcPr>
                <w:p>
                  <w:pPr>
                    <w:pStyle w:val="Normal"/>
                    <w:keepLines w:val="on"/>
                  </w:pPr>
                  <w:r>
                    <w:t>$309,000</w:t>
                  </w:r>
                </w:p>
              </w:tc>
              <w:tc>
                <w:tcPr>
                  <w:tcW w:type="auto" w:w="0"/>
                  <w:shd w:val="clear" w:color="auto" w:fill="F0F0F0"/>
                </w:tcPr>
                <w:p>
                  <w:pPr>
                    <w:pStyle w:val="Normal"/>
                    <w:keepLines w:val="on"/>
                  </w:pPr>
                  <w:r>
                    <w:t>$318,270</w:t>
                  </w:r>
                </w:p>
              </w:tc>
              <w:tc>
                <w:tcPr>
                  <w:tcW w:type="auto" w:w="0"/>
                  <w:shd w:val="clear" w:color="auto" w:fill="F0F0F0"/>
                </w:tcPr>
                <w:p>
                  <w:pPr>
                    <w:pStyle w:val="Normal"/>
                    <w:keepLines w:val="on"/>
                  </w:pPr>
                  <w:r>
                    <w:t>$327,818</w:t>
                  </w:r>
                </w:p>
              </w:tc>
              <w:tc>
                <w:tcPr>
                  <w:tcW w:type="auto" w:w="0"/>
                  <w:shd w:val="clear" w:color="auto" w:fill="F0F0F0"/>
                </w:tcPr>
                <w:p>
                  <w:pPr>
                    <w:pStyle w:val="Normal"/>
                    <w:keepLines w:val="on"/>
                  </w:pPr>
                  <w:r>
                    <w:t>$337,653</w:t>
                  </w:r>
                </w:p>
              </w:tc>
              <w:tc>
                <w:tcPr>
                  <w:tcW w:type="auto" w:w="0"/>
                  <w:shd w:val="clear" w:color="auto" w:fill="F0F0F0"/>
                </w:tcPr>
                <w:p>
                  <w:pPr>
                    <w:pStyle w:val="Normal"/>
                    <w:keepLines w:val="on"/>
                  </w:pPr>
                  <w:r>
                    <w:t>$347,782</w:t>
                  </w:r>
                </w:p>
              </w:tc>
              <w:tc>
                <w:tcPr>
                  <w:tcW w:type="auto" w:w="0"/>
                  <w:shd w:val="clear" w:color="auto" w:fill="F0F0F0"/>
                </w:tcPr>
                <w:p>
                  <w:pPr>
                    <w:pStyle w:val="Normal"/>
                    <w:keepLines w:val="on"/>
                  </w:pPr>
                  <w:r>
                    <w:t>$358,216</w:t>
                  </w:r>
                </w:p>
              </w:tc>
            </w:tr>
            <w:tr>
              <w:tc>
                <w:tcPr>
                  <w:tcW w:type="auto" w:w="0"/>
                  <w:shd w:val="clear" w:color="auto" w:fill="F0F0F0"/>
                </w:tcPr>
                <w:p>
                  <w:pPr>
                    <w:pStyle w:val="Para 02"/>
                    <w:keepLines w:val="on"/>
                  </w:pPr>
                  <w:r>
                    <w:t>Tổng chi phí</w:t>
                  </w:r>
                </w:p>
              </w:tc>
              <w:tc>
                <w:tcPr>
                  <w:tcW w:type="auto" w:w="0"/>
                  <w:shd w:val="clear" w:color="auto" w:fill="F0F0F0"/>
                </w:tcPr>
                <w:p>
                  <w:pPr>
                    <w:pStyle w:val="7 Block"/>
                    <w:keepLines w:val="on"/>
                  </w:pPr>
                </w:p>
              </w:tc>
              <w:tc>
                <w:tcPr>
                  <w:tcW w:type="auto" w:w="0"/>
                  <w:shd w:val="clear" w:color="auto" w:fill="F0F0F0"/>
                </w:tcPr>
                <w:p>
                  <w:pPr>
                    <w:pStyle w:val="Normal"/>
                    <w:keepLines w:val="on"/>
                  </w:pPr>
                  <w:r>
                    <w:t>$8.225.684</w:t>
                  </w:r>
                </w:p>
              </w:tc>
              <w:tc>
                <w:tcPr>
                  <w:tcW w:type="auto" w:w="0"/>
                  <w:shd w:val="clear" w:color="auto" w:fill="F0F0F0"/>
                </w:tcPr>
                <w:p>
                  <w:pPr>
                    <w:pStyle w:val="Normal"/>
                    <w:keepLines w:val="on"/>
                  </w:pPr>
                  <w:r>
                    <w:t>$8.456.248</w:t>
                  </w:r>
                </w:p>
              </w:tc>
              <w:tc>
                <w:tcPr>
                  <w:tcW w:type="auto" w:w="0"/>
                  <w:shd w:val="clear" w:color="auto" w:fill="F0F0F0"/>
                </w:tcPr>
                <w:p>
                  <w:pPr>
                    <w:pStyle w:val="Normal"/>
                    <w:keepLines w:val="on"/>
                  </w:pPr>
                  <w:r>
                    <w:t>$8.694.881</w:t>
                  </w:r>
                </w:p>
              </w:tc>
              <w:tc>
                <w:tcPr>
                  <w:tcW w:type="auto" w:w="0"/>
                  <w:shd w:val="clear" w:color="auto" w:fill="F0F0F0"/>
                </w:tcPr>
                <w:p>
                  <w:pPr>
                    <w:pStyle w:val="Normal"/>
                    <w:keepLines w:val="on"/>
                  </w:pPr>
                  <w:r>
                    <w:t>$8.941.870</w:t>
                  </w:r>
                </w:p>
              </w:tc>
              <w:tc>
                <w:tcPr>
                  <w:tcW w:type="auto" w:w="0"/>
                  <w:shd w:val="clear" w:color="auto" w:fill="F0F0F0"/>
                </w:tcPr>
                <w:p>
                  <w:pPr>
                    <w:pStyle w:val="Normal"/>
                    <w:keepLines w:val="on"/>
                  </w:pPr>
                  <w:r>
                    <w:t>$9.197.515</w:t>
                  </w:r>
                </w:p>
              </w:tc>
              <w:tc>
                <w:tcPr>
                  <w:tcW w:type="auto" w:w="0"/>
                  <w:shd w:val="clear" w:color="auto" w:fill="F0F0F0"/>
                </w:tcPr>
                <w:p>
                  <w:pPr>
                    <w:pStyle w:val="Normal"/>
                    <w:keepLines w:val="on"/>
                  </w:pPr>
                  <w:r>
                    <w:t>$9.473.440</w:t>
                  </w:r>
                </w:p>
              </w:tc>
            </w:tr>
            <w:tr>
              <w:tc>
                <w:tcPr>
                  <w:tcW w:type="auto" w:w="0"/>
                  <w:shd w:val="clear" w:color="auto" w:fill="F0F0F0"/>
                </w:tcPr>
                <w:p>
                  <w:pPr>
                    <w:pStyle w:val="Para 02"/>
                    <w:keepLines w:val="on"/>
                  </w:pPr>
                  <w:r>
                    <w:t>EBITDA</w:t>
                  </w:r>
                </w:p>
              </w:tc>
              <w:tc>
                <w:tcPr>
                  <w:tcW w:type="auto" w:w="0"/>
                  <w:shd w:val="clear" w:color="auto" w:fill="F0F0F0"/>
                </w:tcPr>
                <w:p>
                  <w:pPr>
                    <w:pStyle w:val="7 Block"/>
                    <w:keepLines w:val="on"/>
                  </w:pPr>
                </w:p>
              </w:tc>
              <w:tc>
                <w:tcPr>
                  <w:tcW w:type="auto" w:w="0"/>
                  <w:shd w:val="clear" w:color="auto" w:fill="F0F0F0"/>
                </w:tcPr>
                <w:p>
                  <w:pPr>
                    <w:pStyle w:val="Normal"/>
                    <w:keepLines w:val="on"/>
                  </w:pPr>
                  <w:r>
                    <w:t>$7.101.363</w:t>
                  </w:r>
                </w:p>
              </w:tc>
              <w:tc>
                <w:tcPr>
                  <w:tcW w:type="auto" w:w="0"/>
                  <w:shd w:val="clear" w:color="auto" w:fill="F0F0F0"/>
                </w:tcPr>
                <w:p>
                  <w:pPr>
                    <w:pStyle w:val="Normal"/>
                    <w:keepLines w:val="on"/>
                  </w:pPr>
                  <w:r>
                    <w:t>$7.407.314</w:t>
                  </w:r>
                </w:p>
              </w:tc>
              <w:tc>
                <w:tcPr>
                  <w:tcW w:type="auto" w:w="0"/>
                  <w:shd w:val="clear" w:color="auto" w:fill="F0F0F0"/>
                </w:tcPr>
                <w:p>
                  <w:pPr>
                    <w:pStyle w:val="Normal"/>
                    <w:keepLines w:val="on"/>
                  </w:pPr>
                  <w:r>
                    <w:t>$7.723.594</w:t>
                  </w:r>
                </w:p>
              </w:tc>
              <w:tc>
                <w:tcPr>
                  <w:tcW w:type="auto" w:w="0"/>
                  <w:shd w:val="clear" w:color="auto" w:fill="F0F0F0"/>
                </w:tcPr>
                <w:p>
                  <w:pPr>
                    <w:pStyle w:val="Normal"/>
                    <w:keepLines w:val="on"/>
                  </w:pPr>
                  <w:r>
                    <w:t>$8.050.534</w:t>
                  </w:r>
                </w:p>
              </w:tc>
              <w:tc>
                <w:tcPr>
                  <w:tcW w:type="auto" w:w="0"/>
                  <w:shd w:val="clear" w:color="auto" w:fill="F0F0F0"/>
                </w:tcPr>
                <w:p>
                  <w:pPr>
                    <w:pStyle w:val="Normal"/>
                    <w:keepLines w:val="on"/>
                  </w:pPr>
                  <w:r>
                    <w:t>$8.388.478</w:t>
                  </w:r>
                </w:p>
              </w:tc>
              <w:tc>
                <w:tcPr>
                  <w:tcW w:type="auto" w:w="0"/>
                  <w:shd w:val="clear" w:color="auto" w:fill="F0F0F0"/>
                </w:tcPr>
                <w:p>
                  <w:pPr>
                    <w:pStyle w:val="Normal"/>
                    <w:keepLines w:val="on"/>
                  </w:pPr>
                  <w:r>
                    <w:t>$8.640.133</w:t>
                  </w:r>
                </w:p>
              </w:tc>
            </w:tr>
            <w:tr>
              <w:tc>
                <w:tcPr>
                  <w:tcW w:type="auto" w:w="0"/>
                  <w:shd w:val="clear" w:color="auto" w:fill="F0F0F0"/>
                </w:tcPr>
                <w:p>
                  <w:pPr>
                    <w:pStyle w:val="Para 02"/>
                    <w:keepLines w:val="on"/>
                  </w:pPr>
                  <w:r>
                    <w:t>Khấu hao</w:t>
                  </w:r>
                </w:p>
              </w:tc>
              <w:tc>
                <w:tcPr>
                  <w:tcW w:type="auto" w:w="0"/>
                  <w:shd w:val="clear" w:color="auto" w:fill="F0F0F0"/>
                </w:tcPr>
                <w:p>
                  <w:pPr>
                    <w:pStyle w:val="Para 06"/>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$2.060.000</w:t>
                  </w:r>
                </w:p>
              </w:tc>
            </w:tr>
            <w:tr>
              <w:tc>
                <w:tcPr>
                  <w:tcW w:type="auto" w:w="0"/>
                  <w:shd w:val="clear" w:color="auto" w:fill="F0F0F0"/>
                </w:tcPr>
                <w:p>
                  <w:pPr>
                    <w:pStyle w:val="Para 02"/>
                    <w:keepLines w:val="on"/>
                  </w:pPr>
                  <w:r>
                    <w:t>Thu nhập từ hoạt động kinh doanh</w:t>
                  </w:r>
                </w:p>
              </w:tc>
              <w:tc>
                <w:tcPr>
                  <w:tcW w:type="auto" w:w="0"/>
                  <w:shd w:val="clear" w:color="auto" w:fill="F0F0F0"/>
                </w:tcPr>
                <w:p>
                  <w:pPr>
                    <w:pStyle w:val="7 Block"/>
                    <w:keepLines w:val="on"/>
                  </w:pPr>
                </w:p>
              </w:tc>
              <w:tc>
                <w:tcPr>
                  <w:tcW w:type="auto" w:w="0"/>
                  <w:shd w:val="clear" w:color="auto" w:fill="F0F0F0"/>
                </w:tcPr>
                <w:p>
                  <w:pPr>
                    <w:pStyle w:val="Normal"/>
                    <w:keepLines w:val="on"/>
                  </w:pPr>
                  <w:r>
                    <w:t>$5.101.363</w:t>
                  </w:r>
                </w:p>
              </w:tc>
              <w:tc>
                <w:tcPr>
                  <w:tcW w:type="auto" w:w="0"/>
                  <w:shd w:val="clear" w:color="auto" w:fill="F0F0F0"/>
                </w:tcPr>
                <w:p>
                  <w:pPr>
                    <w:pStyle w:val="Normal"/>
                    <w:keepLines w:val="on"/>
                  </w:pPr>
                  <w:r>
                    <w:t>$5.407.314</w:t>
                  </w:r>
                </w:p>
              </w:tc>
              <w:tc>
                <w:tcPr>
                  <w:tcW w:type="auto" w:w="0"/>
                  <w:shd w:val="clear" w:color="auto" w:fill="F0F0F0"/>
                </w:tcPr>
                <w:p>
                  <w:pPr>
                    <w:pStyle w:val="Normal"/>
                    <w:keepLines w:val="on"/>
                  </w:pPr>
                  <w:r>
                    <w:t>$5.723.594</w:t>
                  </w:r>
                </w:p>
              </w:tc>
              <w:tc>
                <w:tcPr>
                  <w:tcW w:type="auto" w:w="0"/>
                  <w:shd w:val="clear" w:color="auto" w:fill="F0F0F0"/>
                </w:tcPr>
                <w:p>
                  <w:pPr>
                    <w:pStyle w:val="Normal"/>
                    <w:keepLines w:val="on"/>
                  </w:pPr>
                  <w:r>
                    <w:t>$6.050.534</w:t>
                  </w:r>
                </w:p>
              </w:tc>
              <w:tc>
                <w:tcPr>
                  <w:tcW w:type="auto" w:w="0"/>
                  <w:shd w:val="clear" w:color="auto" w:fill="F0F0F0"/>
                </w:tcPr>
                <w:p>
                  <w:pPr>
                    <w:pStyle w:val="Normal"/>
                    <w:keepLines w:val="on"/>
                  </w:pPr>
                  <w:r>
                    <w:t>$6.388.478</w:t>
                  </w:r>
                </w:p>
              </w:tc>
              <w:tc>
                <w:tcPr>
                  <w:tcW w:type="auto" w:w="0"/>
                  <w:shd w:val="clear" w:color="auto" w:fill="F0F0F0"/>
                </w:tcPr>
                <w:p>
                  <w:pPr>
                    <w:pStyle w:val="Normal"/>
                    <w:keepLines w:val="on"/>
                  </w:pPr>
                  <w:r>
                    <w:t>$6.580.133</w:t>
                  </w:r>
                </w:p>
              </w:tc>
            </w:tr>
            <w:tr>
              <w:tc>
                <w:tcPr>
                  <w:tcW w:type="auto" w:w="0"/>
                  <w:shd w:val="clear" w:color="auto" w:fill="F0F0F0"/>
                </w:tcPr>
                <w:p>
                  <w:pPr>
                    <w:pStyle w:val="Para 02"/>
                    <w:keepLines w:val="on"/>
                  </w:pPr>
                  <w:r>
                    <w:t>Thuế</w:t>
                  </w:r>
                </w:p>
              </w:tc>
              <w:tc>
                <w:tcPr>
                  <w:tcW w:type="auto" w:w="0"/>
                  <w:shd w:val="clear" w:color="auto" w:fill="F0F0F0"/>
                </w:tcPr>
                <w:p>
                  <w:pPr>
                    <w:pStyle w:val="Para 06"/>
                    <w:keepLines w:val="on"/>
                  </w:pPr>
                  <w:r>
                    <w:t>38%</w:t>
                  </w:r>
                </w:p>
              </w:tc>
              <w:tc>
                <w:tcPr>
                  <w:tcW w:type="auto" w:w="0"/>
                  <w:shd w:val="clear" w:color="auto" w:fill="F0F0F0"/>
                </w:tcPr>
                <w:p>
                  <w:pPr>
                    <w:pStyle w:val="Normal"/>
                    <w:keepLines w:val="on"/>
                  </w:pPr>
                  <w:r>
                    <w:t>$1.938.518</w:t>
                  </w:r>
                </w:p>
              </w:tc>
              <w:tc>
                <w:tcPr>
                  <w:tcW w:type="auto" w:w="0"/>
                  <w:shd w:val="clear" w:color="auto" w:fill="F0F0F0"/>
                </w:tcPr>
                <w:p>
                  <w:pPr>
                    <w:pStyle w:val="Normal"/>
                    <w:keepLines w:val="on"/>
                  </w:pPr>
                  <w:r>
                    <w:t>$2.054.779</w:t>
                  </w:r>
                </w:p>
              </w:tc>
              <w:tc>
                <w:tcPr>
                  <w:tcW w:type="auto" w:w="0"/>
                  <w:shd w:val="clear" w:color="auto" w:fill="F0F0F0"/>
                </w:tcPr>
                <w:p>
                  <w:pPr>
                    <w:pStyle w:val="Normal"/>
                    <w:keepLines w:val="on"/>
                  </w:pPr>
                  <w:r>
                    <w:t>$2.174.966</w:t>
                  </w:r>
                </w:p>
              </w:tc>
              <w:tc>
                <w:tcPr>
                  <w:tcW w:type="auto" w:w="0"/>
                  <w:shd w:val="clear" w:color="auto" w:fill="F0F0F0"/>
                </w:tcPr>
                <w:p>
                  <w:pPr>
                    <w:pStyle w:val="Normal"/>
                    <w:keepLines w:val="on"/>
                  </w:pPr>
                  <w:r>
                    <w:t>$2.299.203</w:t>
                  </w:r>
                </w:p>
              </w:tc>
              <w:tc>
                <w:tcPr>
                  <w:tcW w:type="auto" w:w="0"/>
                  <w:shd w:val="clear" w:color="auto" w:fill="F0F0F0"/>
                </w:tcPr>
                <w:p>
                  <w:pPr>
                    <w:pStyle w:val="Normal"/>
                    <w:keepLines w:val="on"/>
                  </w:pPr>
                  <w:r>
                    <w:t>$2.427.622</w:t>
                  </w:r>
                </w:p>
              </w:tc>
              <w:tc>
                <w:tcPr>
                  <w:tcW w:type="auto" w:w="0"/>
                  <w:shd w:val="clear" w:color="auto" w:fill="F0F0F0"/>
                </w:tcPr>
                <w:p>
                  <w:pPr>
                    <w:pStyle w:val="Normal"/>
                    <w:keepLines w:val="on"/>
                  </w:pPr>
                  <w:r>
                    <w:t>$2.500.450</w:t>
                  </w:r>
                </w:p>
              </w:tc>
            </w:tr>
            <w:tr>
              <w:tc>
                <w:tcPr>
                  <w:tcW w:type="auto" w:w="0"/>
                  <w:shd w:val="clear" w:color="auto" w:fill="F0F0F0"/>
                </w:tcPr>
                <w:p>
                  <w:pPr>
                    <w:pStyle w:val="Para 02"/>
                    <w:keepLines w:val="on"/>
                  </w:pPr>
                  <w:r>
                    <w:t>EBIT (1−t)</w:t>
                  </w:r>
                </w:p>
              </w:tc>
              <w:tc>
                <w:tcPr>
                  <w:tcW w:type="auto" w:w="0"/>
                  <w:shd w:val="clear" w:color="auto" w:fill="F0F0F0"/>
                </w:tcPr>
                <w:p>
                  <w:pPr>
                    <w:pStyle w:val="7 Block"/>
                    <w:keepLines w:val="on"/>
                  </w:pPr>
                </w:p>
              </w:tc>
              <w:tc>
                <w:tcPr>
                  <w:tcW w:type="auto" w:w="0"/>
                  <w:shd w:val="clear" w:color="auto" w:fill="F0F0F0"/>
                </w:tcPr>
                <w:p>
                  <w:pPr>
                    <w:pStyle w:val="Normal"/>
                    <w:keepLines w:val="on"/>
                  </w:pPr>
                  <w:r>
                    <w:t>$3.162.845</w:t>
                  </w:r>
                </w:p>
              </w:tc>
              <w:tc>
                <w:tcPr>
                  <w:tcW w:type="auto" w:w="0"/>
                  <w:shd w:val="clear" w:color="auto" w:fill="F0F0F0"/>
                </w:tcPr>
                <w:p>
                  <w:pPr>
                    <w:pStyle w:val="Normal"/>
                    <w:keepLines w:val="on"/>
                  </w:pPr>
                  <w:r>
                    <w:t>$3.352.535</w:t>
                  </w:r>
                </w:p>
              </w:tc>
              <w:tc>
                <w:tcPr>
                  <w:tcW w:type="auto" w:w="0"/>
                  <w:shd w:val="clear" w:color="auto" w:fill="F0F0F0"/>
                </w:tcPr>
                <w:p>
                  <w:pPr>
                    <w:pStyle w:val="Normal"/>
                    <w:keepLines w:val="on"/>
                  </w:pPr>
                  <w:r>
                    <w:t>$3.548.628</w:t>
                  </w:r>
                </w:p>
              </w:tc>
              <w:tc>
                <w:tcPr>
                  <w:tcW w:type="auto" w:w="0"/>
                  <w:shd w:val="clear" w:color="auto" w:fill="F0F0F0"/>
                </w:tcPr>
                <w:p>
                  <w:pPr>
                    <w:pStyle w:val="Normal"/>
                    <w:keepLines w:val="on"/>
                  </w:pPr>
                  <w:r>
                    <w:t>$3.751.331</w:t>
                  </w:r>
                </w:p>
              </w:tc>
              <w:tc>
                <w:tcPr>
                  <w:tcW w:type="auto" w:w="0"/>
                  <w:shd w:val="clear" w:color="auto" w:fill="F0F0F0"/>
                </w:tcPr>
                <w:p>
                  <w:pPr>
                    <w:pStyle w:val="Normal"/>
                    <w:keepLines w:val="on"/>
                  </w:pPr>
                  <w:r>
                    <w:t>$3.960.857</w:t>
                  </w:r>
                </w:p>
              </w:tc>
              <w:tc>
                <w:tcPr>
                  <w:tcW w:type="auto" w:w="0"/>
                  <w:shd w:val="clear" w:color="auto" w:fill="F0F0F0"/>
                </w:tcPr>
                <w:p>
                  <w:pPr>
                    <w:pStyle w:val="Normal"/>
                    <w:keepLines w:val="on"/>
                  </w:pPr>
                  <w:r>
                    <w:t>$4.079.682</w:t>
                  </w:r>
                </w:p>
              </w:tc>
            </w:tr>
            <w:tr>
              <w:tc>
                <w:tcPr>
                  <w:tcW w:type="auto" w:w="0"/>
                  <w:shd w:val="clear" w:color="auto" w:fill="F0F0F0"/>
                </w:tcPr>
                <w:p>
                  <w:pPr>
                    <w:pStyle w:val="Para 02"/>
                    <w:keepLines w:val="on"/>
                  </w:pPr>
                  <w:r>
                    <w:t>+ Khấu hao</w:t>
                  </w:r>
                </w:p>
              </w:tc>
              <w:tc>
                <w:tcPr>
                  <w:tcW w:type="auto" w:w="0"/>
                  <w:shd w:val="clear" w:color="auto" w:fill="F0F0F0"/>
                </w:tcPr>
                <w:p>
                  <w:pPr>
                    <w:pStyle w:val="7 Block"/>
                    <w:keepLines w:val="on"/>
                  </w:pP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$2.060.000</w:t>
                  </w:r>
                </w:p>
              </w:tc>
            </w:tr>
            <w:tr>
              <w:tc>
                <w:tcPr>
                  <w:tcW w:type="auto" w:w="0"/>
                  <w:shd w:val="clear" w:color="auto" w:fill="F0F0F0"/>
                </w:tcPr>
                <w:p>
                  <w:pPr>
                    <w:pStyle w:val="Para 02"/>
                    <w:keepLines w:val="on"/>
                  </w:pPr>
                  <w:r>
                    <w:t>– Duy trì vốn</w:t>
                  </w:r>
                </w:p>
              </w:tc>
              <w:tc>
                <w:tcPr>
                  <w:tcW w:type="auto" w:w="0"/>
                  <w:shd w:val="clear" w:color="auto" w:fill="F0F0F0"/>
                </w:tcPr>
                <w:p>
                  <w:pPr>
                    <w:pStyle w:val="Para 06"/>
                    <w:keepLines w:val="on"/>
                  </w:pPr>
                  <w:r>
                    <w:t>$1,500,000</w:t>
                  </w:r>
                </w:p>
              </w:tc>
              <w:tc>
                <w:tcPr>
                  <w:tcW w:type="auto" w:w="0"/>
                  <w:shd w:val="clear" w:color="auto" w:fill="F0F0F0"/>
                </w:tcPr>
                <w:p>
                  <w:pPr>
                    <w:pStyle w:val="Normal"/>
                    <w:keepLines w:val="on"/>
                  </w:pPr>
                  <w:r>
                    <w:t>$1,545,000</w:t>
                  </w:r>
                </w:p>
              </w:tc>
              <w:tc>
                <w:tcPr>
                  <w:tcW w:type="auto" w:w="0"/>
                  <w:shd w:val="clear" w:color="auto" w:fill="F0F0F0"/>
                </w:tcPr>
                <w:p>
                  <w:pPr>
                    <w:pStyle w:val="Normal"/>
                    <w:keepLines w:val="on"/>
                  </w:pPr>
                  <w:r>
                    <w:t>$1,591,350</w:t>
                  </w:r>
                </w:p>
              </w:tc>
              <w:tc>
                <w:tcPr>
                  <w:tcW w:type="auto" w:w="0"/>
                  <w:shd w:val="clear" w:color="auto" w:fill="F0F0F0"/>
                </w:tcPr>
                <w:p>
                  <w:pPr>
                    <w:pStyle w:val="Normal"/>
                    <w:keepLines w:val="on"/>
                  </w:pPr>
                  <w:r>
                    <w:t>$1,639,091</w:t>
                  </w:r>
                </w:p>
              </w:tc>
              <w:tc>
                <w:tcPr>
                  <w:tcW w:type="auto" w:w="0"/>
                  <w:shd w:val="clear" w:color="auto" w:fill="F0F0F0"/>
                </w:tcPr>
                <w:p>
                  <w:pPr>
                    <w:pStyle w:val="Normal"/>
                    <w:keepLines w:val="on"/>
                  </w:pPr>
                  <w:r>
                    <w:t>$1,688,263</w:t>
                  </w:r>
                </w:p>
              </w:tc>
              <w:tc>
                <w:tcPr>
                  <w:tcW w:type="auto" w:w="0"/>
                  <w:shd w:val="clear" w:color="auto" w:fill="F0F0F0"/>
                </w:tcPr>
                <w:p>
                  <w:pPr>
                    <w:pStyle w:val="Normal"/>
                    <w:keepLines w:val="on"/>
                  </w:pPr>
                  <w:r>
                    <w:t>$1,738,911</w:t>
                  </w:r>
                </w:p>
              </w:tc>
              <w:tc>
                <w:tcPr>
                  <w:tcW w:type="auto" w:w="0"/>
                  <w:shd w:val="clear" w:color="auto" w:fill="F0F0F0"/>
                </w:tcPr>
                <w:p>
                  <w:pPr>
                    <w:pStyle w:val="Normal"/>
                    <w:keepLines w:val="on"/>
                  </w:pPr>
                  <w:r>
                    <w:t>$2,060,000</w:t>
                  </w:r>
                </w:p>
              </w:tc>
            </w:tr>
            <w:tr>
              <w:tc>
                <w:tcPr>
                  <w:tcW w:type="auto" w:w="0"/>
                  <w:shd w:val="clear" w:color="auto" w:fill="F0F0F0"/>
                </w:tcPr>
                <w:p>
                  <w:pPr>
                    <w:pStyle w:val="Para 02"/>
                    <w:keepLines w:val="on"/>
                  </w:pPr>
                  <w:r>
                    <w:t>Dòng tiền cho doanh nghiệp</w:t>
                  </w:r>
                </w:p>
              </w:tc>
              <w:tc>
                <w:tcPr>
                  <w:tcW w:type="auto" w:w="0"/>
                  <w:shd w:val="clear" w:color="auto" w:fill="F0F0F0"/>
                </w:tcPr>
                <w:p>
                  <w:pPr>
                    <w:pStyle w:val="7 Block"/>
                    <w:keepLines w:val="on"/>
                  </w:pPr>
                </w:p>
              </w:tc>
              <w:tc>
                <w:tcPr>
                  <w:tcW w:type="auto" w:w="0"/>
                  <w:shd w:val="clear" w:color="auto" w:fill="F0F0F0"/>
                </w:tcPr>
                <w:p>
                  <w:pPr>
                    <w:pStyle w:val="Normal"/>
                    <w:keepLines w:val="on"/>
                  </w:pPr>
                  <w:r>
                    <w:t>$3,617,845</w:t>
                  </w:r>
                </w:p>
              </w:tc>
              <w:tc>
                <w:tcPr>
                  <w:tcW w:type="auto" w:w="0"/>
                  <w:shd w:val="clear" w:color="auto" w:fill="F0F0F0"/>
                </w:tcPr>
                <w:p>
                  <w:pPr>
                    <w:pStyle w:val="Normal"/>
                    <w:keepLines w:val="on"/>
                  </w:pPr>
                  <w:r>
                    <w:t>$3,761,185</w:t>
                  </w:r>
                </w:p>
              </w:tc>
              <w:tc>
                <w:tcPr>
                  <w:tcW w:type="auto" w:w="0"/>
                  <w:shd w:val="clear" w:color="auto" w:fill="F0F0F0"/>
                </w:tcPr>
                <w:p>
                  <w:pPr>
                    <w:pStyle w:val="Normal"/>
                    <w:keepLines w:val="on"/>
                  </w:pPr>
                  <w:r>
                    <w:t>$3,909,538</w:t>
                  </w:r>
                </w:p>
              </w:tc>
              <w:tc>
                <w:tcPr>
                  <w:tcW w:type="auto" w:w="0"/>
                  <w:shd w:val="clear" w:color="auto" w:fill="F0F0F0"/>
                </w:tcPr>
                <w:p>
                  <w:pPr>
                    <w:pStyle w:val="Normal"/>
                    <w:keepLines w:val="on"/>
                  </w:pPr>
                  <w:r>
                    <w:t>$4,063,068</w:t>
                  </w:r>
                </w:p>
              </w:tc>
              <w:tc>
                <w:tcPr>
                  <w:tcW w:type="auto" w:w="0"/>
                  <w:shd w:val="clear" w:color="auto" w:fill="F0F0F0"/>
                </w:tcPr>
                <w:p>
                  <w:pPr>
                    <w:pStyle w:val="Normal"/>
                    <w:keepLines w:val="on"/>
                  </w:pPr>
                  <w:r>
                    <w:t>$4,221,946</w:t>
                  </w:r>
                </w:p>
              </w:tc>
              <w:tc>
                <w:tcPr>
                  <w:tcW w:type="auto" w:w="0"/>
                  <w:shd w:val="clear" w:color="auto" w:fill="F0F0F0"/>
                </w:tcPr>
                <w:p>
                  <w:pPr>
                    <w:pStyle w:val="Normal"/>
                    <w:keepLines w:val="on"/>
                  </w:pPr>
                  <w:r>
                    <w:t>$4,079,682</w:t>
                  </w:r>
                </w:p>
              </w:tc>
            </w:tr>
          </w:tbl>
          <w:p/>
        </w:tc>
      </w:tr>
    </w:tbl>
    <w:p>
      <w:pPr>
        <w:pStyle w:val="Para 04"/>
        <w:keepLines w:val="on"/>
      </w:pPr>
      <w:r>
        <w:t>Vì tất cả các khoản mục đều tăng trưởng 3% sau năm thứ 5, chúng tôi ước tính dòng tiền cho năm thứ 6 như là năm kết thúc (terminal year). Giá trị kết thúc (terminal value) của tòa nhà được tính dựa trên dòng tiền này, với tốc độ tăng trưởng vĩnh viễn là 3% và chi phí vốn là 6,49%:</w:t>
      </w:r>
    </w:p>
    <w:p>
      <w:bookmarkStart w:id="5544" w:name="Terminal_value_FCFF6_Cost_of_cap"/>
      <w:pPr>
        <w:keepNext/>
        <w:pStyle w:val="Para 07"/>
        <w:keepLines w:val="on"/>
      </w:pPr>
      <w:r>
        <w:t>Giá trị kết thúc=FCFF6(Chi phí vốn-Tốc độ tăng trưởng ổn định)=$4,079,682(0.0649-0.03)=$116,810,659</w:t>
      </w:r>
      <w:bookmarkEnd w:id="5544"/>
    </w:p>
    <w:p>
      <w:pPr>
        <w:pStyle w:val="Para 04"/>
        <w:keepLines w:val="on"/>
      </w:pPr>
      <w:r>
        <w:t>Giá trị hiện tại của các dòng tiền dự kiến trong 5 năm tới cộng với giá trị kết thúc, được tóm tắt trong bảng sau, cho ra giá trị của tòa nhà:</w:t>
      </w:r>
    </w:p>
    <w:tbl>
      <w:tblPr>
        <w:tblW w:type="auto" w:w="0"/>
      </w:tblPr>
      <w:tr>
        <w:tc>
          <w:tcPr>
            <w:tcW w:type="auto" w:w="0"/>
          </w:tcPr>
          <w:tbl>
            <w:tblPr>
              <w:tblW w:type="auto" w:w="0"/>
            </w:tblPr>
            <w:tr>
              <w:tc>
                <w:tcPr>
                  <w:tcW w:type="auto" w:w="0"/>
                  <w:shd w:val="clear" w:color="auto" w:fill="F0F0F0"/>
                </w:tcPr>
                <w:p>
                  <w:pPr>
                    <w:pStyle w:val="Para 17"/>
                    <w:keepLines w:val="on"/>
                  </w:pPr>
                  <w:r>
                    <w:t/>
                  </w: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r>
            <w:tr>
              <w:tc>
                <w:tcPr>
                  <w:tcW w:type="auto" w:w="0"/>
                  <w:shd w:val="clear" w:color="auto" w:fill="F0F0F0"/>
                </w:tcPr>
                <w:p>
                  <w:pPr>
                    <w:pStyle w:val="Para 02"/>
                    <w:keepLines w:val="on"/>
                  </w:pPr>
                  <w:r>
                    <w:t>Dòng tiền cho doanh nghiệp</w:t>
                  </w:r>
                </w:p>
              </w:tc>
              <w:tc>
                <w:tcPr>
                  <w:tcW w:type="auto" w:w="0"/>
                  <w:shd w:val="clear" w:color="auto" w:fill="F0F0F0"/>
                </w:tcPr>
                <w:p>
                  <w:pPr>
                    <w:pStyle w:val="Normal"/>
                    <w:keepLines w:val="on"/>
                  </w:pPr>
                  <w:r>
                    <w:t>$3,617,845</w:t>
                  </w:r>
                </w:p>
              </w:tc>
              <w:tc>
                <w:tcPr>
                  <w:tcW w:type="auto" w:w="0"/>
                  <w:shd w:val="clear" w:color="auto" w:fill="F0F0F0"/>
                </w:tcPr>
                <w:p>
                  <w:pPr>
                    <w:pStyle w:val="Normal"/>
                    <w:keepLines w:val="on"/>
                  </w:pPr>
                  <w:r>
                    <w:t>3.761.185 đô la</w:t>
                  </w:r>
                </w:p>
              </w:tc>
              <w:tc>
                <w:tcPr>
                  <w:tcW w:type="auto" w:w="0"/>
                  <w:shd w:val="clear" w:color="auto" w:fill="F0F0F0"/>
                </w:tcPr>
                <w:p>
                  <w:pPr>
                    <w:pStyle w:val="Normal"/>
                    <w:keepLines w:val="on"/>
                  </w:pPr>
                  <w:r>
                    <w:t>3.909.538 đô la</w:t>
                  </w:r>
                </w:p>
              </w:tc>
              <w:tc>
                <w:tcPr>
                  <w:tcW w:type="auto" w:w="0"/>
                  <w:shd w:val="clear" w:color="auto" w:fill="F0F0F0"/>
                </w:tcPr>
                <w:p>
                  <w:pPr>
                    <w:pStyle w:val="Normal"/>
                    <w:keepLines w:val="on"/>
                  </w:pPr>
                  <w:r>
                    <w:t>4.063.068 đô la</w:t>
                  </w:r>
                </w:p>
              </w:tc>
              <w:tc>
                <w:tcPr>
                  <w:tcW w:type="auto" w:w="0"/>
                  <w:shd w:val="clear" w:color="auto" w:fill="F0F0F0"/>
                </w:tcPr>
                <w:p>
                  <w:pPr>
                    <w:pStyle w:val="Normal"/>
                    <w:keepLines w:val="on"/>
                  </w:pPr>
                  <w:r>
                    <w:t>4.221.946 đô la</w:t>
                  </w:r>
                </w:p>
              </w:tc>
            </w:tr>
            <w:tr>
              <w:tc>
                <w:tcPr>
                  <w:tcW w:type="auto" w:w="0"/>
                  <w:shd w:val="clear" w:color="auto" w:fill="F0F0F0"/>
                </w:tcPr>
                <w:p>
                  <w:pPr>
                    <w:pStyle w:val="Para 02"/>
                    <w:keepLines w:val="on"/>
                  </w:pPr>
                  <w:r>
                    <w:t>Giá trị cuối kỳ (terminal value)</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116.810.659 đô la</w:t>
                  </w:r>
                </w:p>
              </w:tc>
            </w:tr>
            <w:tr>
              <w:tc>
                <w:tcPr>
                  <w:tcW w:type="auto" w:w="0"/>
                  <w:shd w:val="clear" w:color="auto" w:fill="F0F0F0"/>
                </w:tcPr>
                <w:p>
                  <w:pPr>
                    <w:pStyle w:val="Para 02"/>
                    <w:keepLines w:val="on"/>
                  </w:pPr>
                  <w:r>
                    <w:t>Giá trị hiện tại @ 6,49%</w:t>
                  </w:r>
                </w:p>
              </w:tc>
              <w:tc>
                <w:tcPr>
                  <w:tcW w:type="auto" w:w="0"/>
                  <w:shd w:val="clear" w:color="auto" w:fill="F0F0F0"/>
                </w:tcPr>
                <w:p>
                  <w:pPr>
                    <w:pStyle w:val="Normal"/>
                    <w:keepLines w:val="on"/>
                  </w:pPr>
                  <w:r>
                    <w:t>3.397.275 đô la</w:t>
                  </w:r>
                </w:p>
              </w:tc>
              <w:tc>
                <w:tcPr>
                  <w:tcW w:type="auto" w:w="0"/>
                  <w:shd w:val="clear" w:color="auto" w:fill="F0F0F0"/>
                </w:tcPr>
                <w:p>
                  <w:pPr>
                    <w:pStyle w:val="Normal"/>
                    <w:keepLines w:val="on"/>
                  </w:pPr>
                  <w:r>
                    <w:t>3.316.547 đô la</w:t>
                  </w:r>
                </w:p>
              </w:tc>
              <w:tc>
                <w:tcPr>
                  <w:tcW w:type="auto" w:w="0"/>
                  <w:shd w:val="clear" w:color="auto" w:fill="F0F0F0"/>
                </w:tcPr>
                <w:p>
                  <w:pPr>
                    <w:pStyle w:val="Normal"/>
                    <w:keepLines w:val="on"/>
                  </w:pPr>
                  <w:r>
                    <w:t>3.237.186 đô la</w:t>
                  </w:r>
                </w:p>
              </w:tc>
              <w:tc>
                <w:tcPr>
                  <w:tcW w:type="auto" w:w="0"/>
                  <w:shd w:val="clear" w:color="auto" w:fill="F0F0F0"/>
                </w:tcPr>
                <w:p>
                  <w:pPr>
                    <w:pStyle w:val="Normal"/>
                    <w:keepLines w:val="on"/>
                  </w:pPr>
                  <w:r>
                    <w:t>3.159.199 đô la</w:t>
                  </w:r>
                </w:p>
              </w:tc>
              <w:tc>
                <w:tcPr>
                  <w:tcW w:type="auto" w:w="0"/>
                  <w:shd w:val="clear" w:color="auto" w:fill="F0F0F0"/>
                </w:tcPr>
                <w:p>
                  <w:pPr>
                    <w:pStyle w:val="Normal"/>
                    <w:keepLines w:val="on"/>
                  </w:pPr>
                  <w:r>
                    <w:t>90.928.871 đô la</w:t>
                  </w:r>
                </w:p>
              </w:tc>
            </w:tr>
          </w:tbl>
          <w:p/>
        </w:tc>
      </w:tr>
    </w:tbl>
    <w:p>
      <w:pPr>
        <w:pStyle w:val="Para 04"/>
        <w:keepLines w:val="on"/>
      </w:pPr>
      <w:r>
        <w:t>Tổng giá trị hiện tại của các dòng tiền là 101,48 triệu đô la. Đây là giá trị ước tính của tòa nhà.</w:t>
      </w:r>
    </w:p>
    <w:p>
      <w:pPr>
        <w:pStyle w:val="Para 11"/>
      </w:pPr>
      <w:r>
        <w:t xml:space="preserve"> </w:t>
      </w:r>
    </w:p>
    <w:p>
      <w:bookmarkStart w:id="5545" w:name="ILLUSTRATION_26_2__Valuing_the_E_1"/>
      <w:bookmarkStart w:id="5546" w:name="ILLUSTRATION_26_2__Valuing_the_E"/>
      <w:pPr>
        <w:keepNext/>
        <w:pStyle w:val="Para 19"/>
        <w:keepLines w:val="on"/>
      </w:pPr>
      <w:r>
        <w:t>MINH HỌA 26.2: Định giá phần vốn chủ sở hữu trong một tòa nhà</w:t>
      </w:r>
      <w:bookmarkEnd w:id="5545"/>
      <w:bookmarkEnd w:id="5546"/>
    </w:p>
    <w:p>
      <w:pPr>
        <w:pStyle w:val="Para 04"/>
        <w:keepLines w:val="on"/>
      </w:pPr>
      <w:r>
        <w:t>Phân tích ở trên có thể được thực hiện chỉ cho phần vốn chủ sở hữu (equity stake) tại 711 Third Avenue. Để làm điều đó, trước tiên chúng ta sẽ ước tính khoản nợ bằng đô la sẽ được vay để mua tòa nhà này. Giả sử tòa nhà có giá trị 101,48 triệu đô la (từ minh họa trước) và sử dụng tỷ lệ nợ (debt ratio) là 60%, chúng ta ước tính khoản nợ là 60,89 triệu đô la.</w:t>
      </w:r>
    </w:p>
    <w:p>
      <w:bookmarkStart w:id="5547" w:name="Debt_Value_of_buildingxDebt_rati"/>
      <w:pPr>
        <w:keepNext/>
        <w:pStyle w:val="Para 07"/>
        <w:keepLines w:val="on"/>
      </w:pPr>
      <w:r>
        <w:t>Nợ = Giá trị tòa nhà × Tỷ lệ nợ = 101,48 × 0,6 = 60,89 triệu đô la</w:t>
      </w:r>
      <w:bookmarkEnd w:id="5547"/>
    </w:p>
    <w:p>
      <w:pPr>
        <w:pStyle w:val="Para 04"/>
        <w:keepLines w:val="on"/>
      </w:pPr>
      <w:r>
        <w:t>Vì đây là khoản vay thanh toán một lần (balloon payment loan), các khoản thanh toán lãi trên khoản nợ sẽ giữ nguyên mỗi năm, dựa trên lãi suất 6,5%:</w:t>
      </w:r>
    </w:p>
    <w:p>
      <w:bookmarkStart w:id="5548" w:name="Annual_interest_expenses_Dollar"/>
      <w:pPr>
        <w:keepNext/>
        <w:pStyle w:val="Para 07"/>
        <w:keepLines w:val="on"/>
      </w:pPr>
      <w:r>
        <w:t>Chi phí lãi hàng năm = Nợ bằng đô la × Lãi suất = 60,89 × 0,065 = 3,96 triệu đô la</w:t>
      </w:r>
      <w:bookmarkEnd w:id="5548"/>
    </w:p>
    <w:p>
      <w:pPr>
        <w:pStyle w:val="Para 04"/>
        <w:keepLines w:val="on"/>
      </w:pPr>
      <w:r>
        <w:t>Tỷ lệ chiết khấu phù hợp để sử dụng khi định giá phần vốn chủ sở hữu trong tòa nhà là chi phí vốn chủ sở hữu (cost of equity), được ước tính là 10,20% trong phân tích này.</w:t>
      </w:r>
    </w:p>
    <w:p>
      <w:bookmarkStart w:id="5549" w:name="Estimating_Cash_Flows_to_Equity"/>
      <w:bookmarkStart w:id="5550" w:name="Estimating_Cash_Flows_to_Equity_1"/>
      <w:pPr>
        <w:keepNext/>
        <w:pStyle w:val="Para 36"/>
        <w:keepLines w:val="on"/>
      </w:pPr>
      <w:r>
        <w:t>Ước tính dòng tiền cho vốn chủ sở hữu</w:t>
      </w:r>
      <w:bookmarkEnd w:id="5549"/>
      <w:bookmarkEnd w:id="5550"/>
    </w:p>
    <w:p>
      <w:pPr>
        <w:pStyle w:val="Para 04"/>
        <w:keepLines w:val="on"/>
      </w:pPr>
      <w:r>
        <w:t>Dòng tiền ước tính cho vốn chủ sở hữu được ước tính mỗi năm bằng cách trừ đi chi phí lãi từ thu nhập và điều chỉnh thuế cho phù hợp. Bảng 26.6 tóm tắt dòng tiền cho vốn chủ sở hữu mỗi năm trong năm năm tới.</w:t>
      </w:r>
    </w:p>
    <w:p>
      <w:pPr>
        <w:pStyle w:val="Para 25"/>
        <w:keepLines w:val="on"/>
      </w:pPr>
      <w:r>
        <w:t>Bảng 26.6</w:t>
      </w:r>
    </w:p>
    <w:p>
      <w:pPr>
        <w:keepNext/>
        <w:pStyle w:val="Para 24"/>
        <w:keepLines w:val="on"/>
      </w:pPr>
      <w:r>
        <w:t>Dòng tiền cho vốn chủ sở hữu (sau nợ) của tòa nhà</w:t>
      </w:r>
    </w:p>
    <w:tbl>
      <w:tblPr>
        <w:tblW w:type="auto" w:w="0"/>
      </w:tblPr>
      <w:tr>
        <w:tc>
          <w:tcPr>
            <w:tcW w:type="auto" w:w="0"/>
          </w:tcPr>
          <w:tbl>
            <w:tblPr>
              <w:tblW w:type="auto" w:w="0"/>
            </w:tblPr>
            <w:tr>
              <w:tc>
                <w:tcPr>
                  <w:tcW w:type="auto" w:w="0"/>
                  <w:shd w:val="clear" w:color="auto" w:fill="F0F0F0"/>
                </w:tcPr>
                <w:p>
                  <w:pPr>
                    <w:pStyle w:val="Para 17"/>
                    <w:keepLines w:val="on"/>
                  </w:pPr>
                  <w:r>
                    <w:t/>
                  </w: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r>
            <w:tr>
              <w:tc>
                <w:tcPr>
                  <w:tcW w:type="auto" w:w="0"/>
                  <w:shd w:val="clear" w:color="auto" w:fill="F0F0F0"/>
                </w:tcPr>
                <w:p>
                  <w:pPr>
                    <w:pStyle w:val="Para 02"/>
                    <w:keepLines w:val="on"/>
                  </w:pPr>
                  <w:r>
                    <w:t>Diện tích xây dựng (feet vuông)</w:t>
                  </w:r>
                </w:p>
              </w:tc>
              <w:tc>
                <w:tcPr>
                  <w:tcW w:type="auto" w:w="0"/>
                  <w:shd w:val="clear" w:color="auto" w:fill="F0F0F0"/>
                </w:tcPr>
                <w:p>
                  <w:pPr>
                    <w:pStyle w:val="Normal"/>
                    <w:keepLines w:val="on"/>
                  </w:pPr>
                  <w:r>
                    <w:t>5.28.357</w:t>
                  </w:r>
                </w:p>
              </w:tc>
              <w:tc>
                <w:tcPr>
                  <w:tcW w:type="auto" w:w="0"/>
                  <w:shd w:val="clear" w:color="auto" w:fill="F0F0F0"/>
                </w:tcPr>
                <w:p>
                  <w:pPr>
                    <w:pStyle w:val="Normal"/>
                    <w:keepLines w:val="on"/>
                  </w:pPr>
                  <w:r>
                    <w:t>5.28.357</w:t>
                  </w:r>
                </w:p>
              </w:tc>
              <w:tc>
                <w:tcPr>
                  <w:tcW w:type="auto" w:w="0"/>
                  <w:shd w:val="clear" w:color="auto" w:fill="F0F0F0"/>
                </w:tcPr>
                <w:p>
                  <w:pPr>
                    <w:pStyle w:val="Normal"/>
                    <w:keepLines w:val="on"/>
                  </w:pPr>
                  <w:r>
                    <w:t>5.28.357</w:t>
                  </w:r>
                </w:p>
              </w:tc>
              <w:tc>
                <w:tcPr>
                  <w:tcW w:type="auto" w:w="0"/>
                  <w:shd w:val="clear" w:color="auto" w:fill="F0F0F0"/>
                </w:tcPr>
                <w:p>
                  <w:pPr>
                    <w:pStyle w:val="Normal"/>
                    <w:keepLines w:val="on"/>
                  </w:pPr>
                  <w:r>
                    <w:t>5.28.357</w:t>
                  </w:r>
                </w:p>
              </w:tc>
              <w:tc>
                <w:tcPr>
                  <w:tcW w:type="auto" w:w="0"/>
                  <w:shd w:val="clear" w:color="auto" w:fill="F0F0F0"/>
                </w:tcPr>
                <w:p>
                  <w:pPr>
                    <w:pStyle w:val="Normal"/>
                    <w:keepLines w:val="on"/>
                  </w:pPr>
                  <w:r>
                    <w:t>5.28.357</w:t>
                  </w:r>
                </w:p>
              </w:tc>
            </w:tr>
            <w:tr>
              <w:tc>
                <w:tcPr>
                  <w:tcW w:type="auto" w:w="0"/>
                  <w:shd w:val="clear" w:color="auto" w:fill="F0F0F0"/>
                </w:tcPr>
                <w:p>
                  <w:pPr>
                    <w:pStyle w:val="Para 02"/>
                    <w:keepLines w:val="on"/>
                  </w:pPr>
                  <w:r>
                    <w:t>Tỷ lệ lấp đầy</w:t>
                  </w:r>
                </w:p>
              </w:tc>
              <w:tc>
                <w:tcPr>
                  <w:tcW w:type="auto" w:w="0"/>
                  <w:shd w:val="clear" w:color="auto" w:fill="F0F0F0"/>
                </w:tcPr>
                <w:p>
                  <w:pPr>
                    <w:pStyle w:val="Normal"/>
                    <w:keepLines w:val="on"/>
                  </w:pPr>
                  <w:r>
                    <w:t>95,00%</w:t>
                  </w:r>
                </w:p>
              </w:tc>
              <w:tc>
                <w:tcPr>
                  <w:tcW w:type="auto" w:w="0"/>
                  <w:shd w:val="clear" w:color="auto" w:fill="F0F0F0"/>
                </w:tcPr>
                <w:p>
                  <w:pPr>
                    <w:pStyle w:val="Normal"/>
                    <w:keepLines w:val="on"/>
                  </w:pPr>
                  <w:r>
                    <w:t>95,50%</w:t>
                  </w:r>
                </w:p>
              </w:tc>
              <w:tc>
                <w:tcPr>
                  <w:tcW w:type="auto" w:w="0"/>
                  <w:shd w:val="clear" w:color="auto" w:fill="F0F0F0"/>
                </w:tcPr>
                <w:p>
                  <w:pPr>
                    <w:pStyle w:val="Normal"/>
                    <w:keepLines w:val="on"/>
                  </w:pPr>
                  <w:r>
                    <w:t>96,00%</w:t>
                  </w:r>
                </w:p>
              </w:tc>
              <w:tc>
                <w:tcPr>
                  <w:tcW w:type="auto" w:w="0"/>
                  <w:shd w:val="clear" w:color="auto" w:fill="F0F0F0"/>
                </w:tcPr>
                <w:p>
                  <w:pPr>
                    <w:pStyle w:val="Normal"/>
                    <w:keepLines w:val="on"/>
                  </w:pPr>
                  <w:r>
                    <w:t>96,50%</w:t>
                  </w:r>
                </w:p>
              </w:tc>
              <w:tc>
                <w:tcPr>
                  <w:tcW w:type="auto" w:w="0"/>
                  <w:shd w:val="clear" w:color="auto" w:fill="F0F0F0"/>
                </w:tcPr>
                <w:p>
                  <w:pPr>
                    <w:pStyle w:val="Normal"/>
                    <w:keepLines w:val="on"/>
                  </w:pPr>
                  <w:r>
                    <w:t>97,00%</w:t>
                  </w:r>
                </w:p>
              </w:tc>
            </w:tr>
            <w:tr>
              <w:tc>
                <w:tcPr>
                  <w:tcW w:type="auto" w:w="0"/>
                  <w:shd w:val="clear" w:color="auto" w:fill="F0F0F0"/>
                </w:tcPr>
                <w:p>
                  <w:pPr>
                    <w:pStyle w:val="Para 02"/>
                    <w:keepLines w:val="on"/>
                  </w:pPr>
                  <w:r>
                    <w:t>Tiền thuê/mỗi feet vuông</w:t>
                  </w:r>
                </w:p>
              </w:tc>
              <w:tc>
                <w:tcPr>
                  <w:tcW w:type="auto" w:w="0"/>
                  <w:shd w:val="clear" w:color="auto" w:fill="F0F0F0"/>
                </w:tcPr>
                <w:p>
                  <w:pPr>
                    <w:pStyle w:val="Normal"/>
                    <w:keepLines w:val="on"/>
                  </w:pPr>
                  <w:r>
                    <w:t>28,91 đô la</w:t>
                  </w:r>
                </w:p>
              </w:tc>
              <w:tc>
                <w:tcPr>
                  <w:tcW w:type="auto" w:w="0"/>
                  <w:shd w:val="clear" w:color="auto" w:fill="F0F0F0"/>
                </w:tcPr>
                <w:p>
                  <w:pPr>
                    <w:pStyle w:val="Normal"/>
                    <w:keepLines w:val="on"/>
                  </w:pPr>
                  <w:r>
                    <w:t>29,78 đô la</w:t>
                  </w:r>
                </w:p>
              </w:tc>
              <w:tc>
                <w:tcPr>
                  <w:tcW w:type="auto" w:w="0"/>
                  <w:shd w:val="clear" w:color="auto" w:fill="F0F0F0"/>
                </w:tcPr>
                <w:p>
                  <w:pPr>
                    <w:pStyle w:val="Normal"/>
                    <w:keepLines w:val="on"/>
                  </w:pPr>
                  <w:r>
                    <w:t>30,67 đô la</w:t>
                  </w:r>
                </w:p>
              </w:tc>
              <w:tc>
                <w:tcPr>
                  <w:tcW w:type="auto" w:w="0"/>
                  <w:shd w:val="clear" w:color="auto" w:fill="F0F0F0"/>
                </w:tcPr>
                <w:p>
                  <w:pPr>
                    <w:pStyle w:val="Normal"/>
                    <w:keepLines w:val="on"/>
                  </w:pPr>
                  <w:r>
                    <w:t>31,59 đô la</w:t>
                  </w:r>
                </w:p>
              </w:tc>
              <w:tc>
                <w:tcPr>
                  <w:tcW w:type="auto" w:w="0"/>
                  <w:shd w:val="clear" w:color="auto" w:fill="F0F0F0"/>
                </w:tcPr>
                <w:p>
                  <w:pPr>
                    <w:pStyle w:val="Normal"/>
                    <w:keepLines w:val="on"/>
                  </w:pPr>
                  <w:r>
                    <w:t>32,54 đô la</w:t>
                  </w:r>
                </w:p>
              </w:tc>
            </w:tr>
            <w:tr>
              <w:tc>
                <w:tcPr>
                  <w:tcW w:type="auto" w:w="0"/>
                  <w:shd w:val="clear" w:color="auto" w:fill="F0F0F0"/>
                </w:tcPr>
                <w:p>
                  <w:pPr>
                    <w:pStyle w:val="Para 02"/>
                    <w:keepLines w:val="on"/>
                  </w:pPr>
                  <w:r>
                    <w:t>Thu nhập từ cho thuê</w:t>
                  </w:r>
                </w:p>
              </w:tc>
              <w:tc>
                <w:tcPr>
                  <w:tcW w:type="auto" w:w="0"/>
                  <w:shd w:val="clear" w:color="auto" w:fill="F0F0F0"/>
                </w:tcPr>
                <w:p>
                  <w:pPr>
                    <w:pStyle w:val="Normal"/>
                    <w:keepLines w:val="on"/>
                  </w:pPr>
                  <w:r>
                    <w:t>14.512.115 đô la</w:t>
                  </w:r>
                </w:p>
              </w:tc>
              <w:tc>
                <w:tcPr>
                  <w:tcW w:type="auto" w:w="0"/>
                  <w:shd w:val="clear" w:color="auto" w:fill="F0F0F0"/>
                </w:tcPr>
                <w:p>
                  <w:pPr>
                    <w:pStyle w:val="Normal"/>
                    <w:keepLines w:val="on"/>
                  </w:pPr>
                  <w:r>
                    <w:t>15.026.149 đô la</w:t>
                  </w:r>
                </w:p>
              </w:tc>
              <w:tc>
                <w:tcPr>
                  <w:tcW w:type="auto" w:w="0"/>
                  <w:shd w:val="clear" w:color="auto" w:fill="F0F0F0"/>
                </w:tcPr>
                <w:p>
                  <w:pPr>
                    <w:pStyle w:val="Normal"/>
                    <w:keepLines w:val="on"/>
                  </w:pPr>
                  <w:r>
                    <w:t>15.557.965 đô la</w:t>
                  </w:r>
                </w:p>
              </w:tc>
              <w:tc>
                <w:tcPr>
                  <w:tcW w:type="auto" w:w="0"/>
                  <w:shd w:val="clear" w:color="auto" w:fill="F0F0F0"/>
                </w:tcPr>
                <w:p>
                  <w:pPr>
                    <w:pStyle w:val="Normal"/>
                    <w:keepLines w:val="on"/>
                  </w:pPr>
                  <w:r>
                    <w:t>$16,108,166</w:t>
                  </w:r>
                </w:p>
              </w:tc>
              <w:tc>
                <w:tcPr>
                  <w:tcW w:type="auto" w:w="0"/>
                  <w:shd w:val="clear" w:color="auto" w:fill="F0F0F0"/>
                </w:tcPr>
                <w:p>
                  <w:pPr>
                    <w:pStyle w:val="Normal"/>
                    <w:keepLines w:val="on"/>
                  </w:pPr>
                  <w:r>
                    <w:t>$16,677,377</w:t>
                  </w:r>
                </w:p>
              </w:tc>
            </w:tr>
            <w:tr>
              <w:tc>
                <w:tcPr>
                  <w:tcW w:type="auto" w:w="0"/>
                  <w:shd w:val="clear" w:color="auto" w:fill="F0F0F0"/>
                </w:tcPr>
                <w:p>
                  <w:pPr>
                    <w:pStyle w:val="Para 02"/>
                    <w:keepLines w:val="on"/>
                  </w:pPr>
                  <w:r>
                    <w:t>Thu nhập từ gara</w:t>
                  </w:r>
                </w:p>
              </w:tc>
              <w:tc>
                <w:tcPr>
                  <w:tcW w:type="auto" w:w="0"/>
                  <w:shd w:val="clear" w:color="auto" w:fill="F0F0F0"/>
                </w:tcPr>
                <w:p>
                  <w:pPr>
                    <w:pStyle w:val="Normal"/>
                    <w:keepLines w:val="on"/>
                  </w:pPr>
                  <w:r>
                    <w:t>$824,000</w:t>
                  </w:r>
                </w:p>
              </w:tc>
              <w:tc>
                <w:tcPr>
                  <w:tcW w:type="auto" w:w="0"/>
                  <w:shd w:val="clear" w:color="auto" w:fill="F0F0F0"/>
                </w:tcPr>
                <w:p>
                  <w:pPr>
                    <w:pStyle w:val="Normal"/>
                    <w:keepLines w:val="on"/>
                  </w:pPr>
                  <w:r>
                    <w:t>$848,720</w:t>
                  </w:r>
                </w:p>
              </w:tc>
              <w:tc>
                <w:tcPr>
                  <w:tcW w:type="auto" w:w="0"/>
                  <w:shd w:val="clear" w:color="auto" w:fill="F0F0F0"/>
                </w:tcPr>
                <w:p>
                  <w:pPr>
                    <w:pStyle w:val="Normal"/>
                    <w:keepLines w:val="on"/>
                  </w:pPr>
                  <w:r>
                    <w:t>$874,182</w:t>
                  </w:r>
                </w:p>
              </w:tc>
              <w:tc>
                <w:tcPr>
                  <w:tcW w:type="auto" w:w="0"/>
                  <w:shd w:val="clear" w:color="auto" w:fill="F0F0F0"/>
                </w:tcPr>
                <w:p>
                  <w:pPr>
                    <w:pStyle w:val="Normal"/>
                    <w:keepLines w:val="on"/>
                  </w:pPr>
                  <w:r>
                    <w:t>$900,407</w:t>
                  </w:r>
                </w:p>
              </w:tc>
              <w:tc>
                <w:tcPr>
                  <w:tcW w:type="auto" w:w="0"/>
                  <w:shd w:val="clear" w:color="auto" w:fill="F0F0F0"/>
                </w:tcPr>
                <w:p>
                  <w:pPr>
                    <w:pStyle w:val="Normal"/>
                    <w:keepLines w:val="on"/>
                  </w:pPr>
                  <w:r>
                    <w:t>$927,419</w:t>
                  </w:r>
                </w:p>
              </w:tc>
            </w:tr>
            <w:tr>
              <w:tc>
                <w:tcPr>
                  <w:tcW w:type="auto" w:w="0"/>
                  <w:shd w:val="clear" w:color="auto" w:fill="F0F0F0"/>
                </w:tcPr>
                <w:p>
                  <w:pPr>
                    <w:pStyle w:val="Para 02"/>
                    <w:keepLines w:val="on"/>
                  </w:pPr>
                  <w:r>
                    <w:t>Doanh thu hoàn trả</w:t>
                  </w:r>
                </w:p>
              </w:tc>
              <w:tc>
                <w:tcPr>
                  <w:tcW w:type="auto" w:w="0"/>
                  <w:shd w:val="clear" w:color="auto" w:fill="F0F0F0"/>
                </w:tcPr>
                <w:p>
                  <w:pPr>
                    <w:pStyle w:val="Normal"/>
                    <w:keepLines w:val="on"/>
                  </w:pPr>
                  <w:r>
                    <w:t>$353,735</w:t>
                  </w:r>
                </w:p>
              </w:tc>
              <w:tc>
                <w:tcPr>
                  <w:tcW w:type="auto" w:w="0"/>
                  <w:shd w:val="clear" w:color="auto" w:fill="F0F0F0"/>
                </w:tcPr>
                <w:p>
                  <w:pPr>
                    <w:pStyle w:val="Normal"/>
                    <w:keepLines w:val="on"/>
                  </w:pPr>
                  <w:r>
                    <w:t>$364,347</w:t>
                  </w:r>
                </w:p>
              </w:tc>
              <w:tc>
                <w:tcPr>
                  <w:tcW w:type="auto" w:w="0"/>
                  <w:shd w:val="clear" w:color="auto" w:fill="F0F0F0"/>
                </w:tcPr>
                <w:p>
                  <w:pPr>
                    <w:pStyle w:val="Normal"/>
                    <w:keepLines w:val="on"/>
                  </w:pPr>
                  <w:r>
                    <w:t>$375,277</w:t>
                  </w:r>
                </w:p>
              </w:tc>
              <w:tc>
                <w:tcPr>
                  <w:tcW w:type="auto" w:w="0"/>
                  <w:shd w:val="clear" w:color="auto" w:fill="F0F0F0"/>
                </w:tcPr>
                <w:p>
                  <w:pPr>
                    <w:pStyle w:val="Normal"/>
                    <w:keepLines w:val="on"/>
                  </w:pPr>
                  <w:r>
                    <w:t>$386,536</w:t>
                  </w:r>
                </w:p>
              </w:tc>
              <w:tc>
                <w:tcPr>
                  <w:tcW w:type="auto" w:w="0"/>
                  <w:shd w:val="clear" w:color="auto" w:fill="F0F0F0"/>
                </w:tcPr>
                <w:p>
                  <w:pPr>
                    <w:pStyle w:val="Normal"/>
                    <w:keepLines w:val="on"/>
                  </w:pPr>
                  <w:r>
                    <w:t>$398,132</w:t>
                  </w:r>
                </w:p>
              </w:tc>
            </w:tr>
            <w:tr>
              <w:tc>
                <w:tcPr>
                  <w:tcW w:type="auto" w:w="0"/>
                  <w:shd w:val="clear" w:color="auto" w:fill="F0F0F0"/>
                </w:tcPr>
                <w:p>
                  <w:pPr>
                    <w:pStyle w:val="Para 02"/>
                    <w:keepLines w:val="on"/>
                  </w:pPr>
                  <w:r>
                    <w:t>Tổn thất tín dụng</w:t>
                  </w:r>
                </w:p>
              </w:tc>
              <w:tc>
                <w:tcPr>
                  <w:tcW w:type="auto" w:w="0"/>
                  <w:shd w:val="clear" w:color="auto" w:fill="F0F0F0"/>
                </w:tcPr>
                <w:p>
                  <w:pPr>
                    <w:pStyle w:val="Normal"/>
                    <w:keepLines w:val="on"/>
                  </w:pPr>
                  <w:r>
                    <w:t>$362,803</w:t>
                  </w:r>
                </w:p>
              </w:tc>
              <w:tc>
                <w:tcPr>
                  <w:tcW w:type="auto" w:w="0"/>
                  <w:shd w:val="clear" w:color="auto" w:fill="F0F0F0"/>
                </w:tcPr>
                <w:p>
                  <w:pPr>
                    <w:pStyle w:val="Normal"/>
                    <w:keepLines w:val="on"/>
                  </w:pPr>
                  <w:r>
                    <w:t>$375,654</w:t>
                  </w:r>
                </w:p>
              </w:tc>
              <w:tc>
                <w:tcPr>
                  <w:tcW w:type="auto" w:w="0"/>
                  <w:shd w:val="clear" w:color="auto" w:fill="F0F0F0"/>
                </w:tcPr>
                <w:p>
                  <w:pPr>
                    <w:pStyle w:val="Normal"/>
                    <w:keepLines w:val="on"/>
                  </w:pPr>
                  <w:r>
                    <w:t>$388,949</w:t>
                  </w:r>
                </w:p>
              </w:tc>
              <w:tc>
                <w:tcPr>
                  <w:tcW w:type="auto" w:w="0"/>
                  <w:shd w:val="clear" w:color="auto" w:fill="F0F0F0"/>
                </w:tcPr>
                <w:p>
                  <w:pPr>
                    <w:pStyle w:val="Normal"/>
                    <w:keepLines w:val="on"/>
                  </w:pPr>
                  <w:r>
                    <w:t>$402,704</w:t>
                  </w:r>
                </w:p>
              </w:tc>
              <w:tc>
                <w:tcPr>
                  <w:tcW w:type="auto" w:w="0"/>
                  <w:shd w:val="clear" w:color="auto" w:fill="F0F0F0"/>
                </w:tcPr>
                <w:p>
                  <w:pPr>
                    <w:pStyle w:val="Normal"/>
                    <w:keepLines w:val="on"/>
                  </w:pPr>
                  <w:r>
                    <w:t>$416,934</w:t>
                  </w:r>
                </w:p>
              </w:tc>
            </w:tr>
            <w:tr>
              <w:tc>
                <w:tcPr>
                  <w:tcW w:type="auto" w:w="0"/>
                  <w:shd w:val="clear" w:color="auto" w:fill="F0F0F0"/>
                </w:tcPr>
                <w:p>
                  <w:pPr>
                    <w:pStyle w:val="Para 02"/>
                    <w:keepLines w:val="on"/>
                  </w:pPr>
                  <w:r>
                    <w:t>Tổng doanh thu</w:t>
                  </w:r>
                </w:p>
              </w:tc>
              <w:tc>
                <w:tcPr>
                  <w:tcW w:type="auto" w:w="0"/>
                  <w:shd w:val="clear" w:color="auto" w:fill="F0F0F0"/>
                </w:tcPr>
                <w:p>
                  <w:pPr>
                    <w:pStyle w:val="Normal"/>
                    <w:keepLines w:val="on"/>
                  </w:pPr>
                  <w:r>
                    <w:t>$15,327,047</w:t>
                  </w:r>
                </w:p>
              </w:tc>
              <w:tc>
                <w:tcPr>
                  <w:tcW w:type="auto" w:w="0"/>
                  <w:shd w:val="clear" w:color="auto" w:fill="F0F0F0"/>
                </w:tcPr>
                <w:p>
                  <w:pPr>
                    <w:pStyle w:val="Normal"/>
                    <w:keepLines w:val="on"/>
                  </w:pPr>
                  <w:r>
                    <w:t>$15,863,563</w:t>
                  </w:r>
                </w:p>
              </w:tc>
              <w:tc>
                <w:tcPr>
                  <w:tcW w:type="auto" w:w="0"/>
                  <w:shd w:val="clear" w:color="auto" w:fill="F0F0F0"/>
                </w:tcPr>
                <w:p>
                  <w:pPr>
                    <w:pStyle w:val="Normal"/>
                    <w:keepLines w:val="on"/>
                  </w:pPr>
                  <w:r>
                    <w:t>$16,418,475</w:t>
                  </w:r>
                </w:p>
              </w:tc>
              <w:tc>
                <w:tcPr>
                  <w:tcW w:type="auto" w:w="0"/>
                  <w:shd w:val="clear" w:color="auto" w:fill="F0F0F0"/>
                </w:tcPr>
                <w:p>
                  <w:pPr>
                    <w:pStyle w:val="Normal"/>
                    <w:keepLines w:val="on"/>
                  </w:pPr>
                  <w:r>
                    <w:t>$16,992,404</w:t>
                  </w:r>
                </w:p>
              </w:tc>
              <w:tc>
                <w:tcPr>
                  <w:tcW w:type="auto" w:w="0"/>
                  <w:shd w:val="clear" w:color="auto" w:fill="F0F0F0"/>
                </w:tcPr>
                <w:p>
                  <w:pPr>
                    <w:pStyle w:val="Normal"/>
                    <w:keepLines w:val="on"/>
                  </w:pPr>
                  <w:r>
                    <w:t>$17,585,993</w:t>
                  </w:r>
                </w:p>
              </w:tc>
            </w:tr>
            <w:tr>
              <w:tc>
                <w:tcPr>
                  <w:tcW w:type="auto" w:w="0"/>
                  <w:shd w:val="clear" w:color="auto" w:fill="F0F0F0"/>
                </w:tcPr>
                <w:p>
                  <w:pPr>
                    <w:pStyle w:val="Para 02"/>
                    <w:keepLines w:val="on"/>
                  </w:pPr>
                  <w:r>
                    <w:t>Chi phí</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Thuế bất động sản</w:t>
                  </w:r>
                </w:p>
              </w:tc>
              <w:tc>
                <w:tcPr>
                  <w:tcW w:type="auto" w:w="0"/>
                  <w:shd w:val="clear" w:color="auto" w:fill="F0F0F0"/>
                </w:tcPr>
                <w:p>
                  <w:pPr>
                    <w:pStyle w:val="Normal"/>
                    <w:keepLines w:val="on"/>
                  </w:pPr>
                  <w:r>
                    <w:t>$2,879,334</w:t>
                  </w:r>
                </w:p>
              </w:tc>
              <w:tc>
                <w:tcPr>
                  <w:tcW w:type="auto" w:w="0"/>
                  <w:shd w:val="clear" w:color="auto" w:fill="F0F0F0"/>
                </w:tcPr>
                <w:p>
                  <w:pPr>
                    <w:pStyle w:val="Normal"/>
                    <w:keepLines w:val="on"/>
                  </w:pPr>
                  <w:r>
                    <w:t>$2,994,508</w:t>
                  </w:r>
                </w:p>
              </w:tc>
              <w:tc>
                <w:tcPr>
                  <w:tcW w:type="auto" w:w="0"/>
                  <w:shd w:val="clear" w:color="auto" w:fill="F0F0F0"/>
                </w:tcPr>
                <w:p>
                  <w:pPr>
                    <w:pStyle w:val="Normal"/>
                    <w:keepLines w:val="on"/>
                  </w:pPr>
                  <w:r>
                    <w:t>$3,114,288</w:t>
                  </w:r>
                </w:p>
              </w:tc>
              <w:tc>
                <w:tcPr>
                  <w:tcW w:type="auto" w:w="0"/>
                  <w:shd w:val="clear" w:color="auto" w:fill="F0F0F0"/>
                </w:tcPr>
                <w:p>
                  <w:pPr>
                    <w:pStyle w:val="Normal"/>
                    <w:keepLines w:val="on"/>
                  </w:pPr>
                  <w:r>
                    <w:t>$3,238,860</w:t>
                  </w:r>
                </w:p>
              </w:tc>
              <w:tc>
                <w:tcPr>
                  <w:tcW w:type="auto" w:w="0"/>
                  <w:shd w:val="clear" w:color="auto" w:fill="F0F0F0"/>
                </w:tcPr>
                <w:p>
                  <w:pPr>
                    <w:pStyle w:val="Normal"/>
                    <w:keepLines w:val="on"/>
                  </w:pPr>
                  <w:r>
                    <w:t>$3,368,414</w:t>
                  </w:r>
                </w:p>
              </w:tc>
            </w:tr>
            <w:tr>
              <w:tc>
                <w:tcPr>
                  <w:tcW w:type="auto" w:w="0"/>
                  <w:shd w:val="clear" w:color="auto" w:fill="F0F0F0"/>
                </w:tcPr>
                <w:p>
                  <w:pPr>
                    <w:pStyle w:val="Para 02"/>
                    <w:keepLines w:val="on"/>
                  </w:pPr>
                  <w:r>
                    <w:t>Tiền thuê đất</w:t>
                  </w:r>
                </w:p>
              </w:tc>
              <w:tc>
                <w:tcPr>
                  <w:tcW w:type="auto" w:w="0"/>
                  <w:shd w:val="clear" w:color="auto" w:fill="F0F0F0"/>
                </w:tcPr>
                <w:p>
                  <w:pPr>
                    <w:pStyle w:val="Normal"/>
                    <w:keepLines w:val="on"/>
                  </w:pPr>
                  <w:r>
                    <w:t>$1,500,000</w:t>
                  </w:r>
                </w:p>
              </w:tc>
              <w:tc>
                <w:tcPr>
                  <w:tcW w:type="auto" w:w="0"/>
                  <w:shd w:val="clear" w:color="auto" w:fill="F0F0F0"/>
                </w:tcPr>
                <w:p>
                  <w:pPr>
                    <w:pStyle w:val="Normal"/>
                    <w:keepLines w:val="on"/>
                  </w:pPr>
                  <w:r>
                    <w:t>$1,500,000</w:t>
                  </w:r>
                </w:p>
              </w:tc>
              <w:tc>
                <w:tcPr>
                  <w:tcW w:type="auto" w:w="0"/>
                  <w:shd w:val="clear" w:color="auto" w:fill="F0F0F0"/>
                </w:tcPr>
                <w:p>
                  <w:pPr>
                    <w:pStyle w:val="Normal"/>
                    <w:keepLines w:val="on"/>
                  </w:pPr>
                  <w:r>
                    <w:t>$1,500,000</w:t>
                  </w:r>
                </w:p>
              </w:tc>
              <w:tc>
                <w:tcPr>
                  <w:tcW w:type="auto" w:w="0"/>
                  <w:shd w:val="clear" w:color="auto" w:fill="F0F0F0"/>
                </w:tcPr>
                <w:p>
                  <w:pPr>
                    <w:pStyle w:val="Normal"/>
                    <w:keepLines w:val="on"/>
                  </w:pPr>
                  <w:r>
                    <w:t>$1,500,000</w:t>
                  </w:r>
                </w:p>
              </w:tc>
              <w:tc>
                <w:tcPr>
                  <w:tcW w:type="auto" w:w="0"/>
                  <w:shd w:val="clear" w:color="auto" w:fill="F0F0F0"/>
                </w:tcPr>
                <w:p>
                  <w:pPr>
                    <w:pStyle w:val="Normal"/>
                    <w:keepLines w:val="on"/>
                  </w:pPr>
                  <w:r>
                    <w:t>$1,500,000</w:t>
                  </w:r>
                </w:p>
              </w:tc>
            </w:tr>
            <w:tr>
              <w:tc>
                <w:tcPr>
                  <w:tcW w:type="auto" w:w="0"/>
                  <w:shd w:val="clear" w:color="auto" w:fill="F0F0F0"/>
                </w:tcPr>
                <w:p>
                  <w:pPr>
                    <w:pStyle w:val="Para 02"/>
                    <w:keepLines w:val="on"/>
                  </w:pPr>
                  <w:r>
                    <w:t>Chi phí khác</w:t>
                  </w:r>
                </w:p>
              </w:tc>
              <w:tc>
                <w:tcPr>
                  <w:tcW w:type="auto" w:w="0"/>
                  <w:shd w:val="clear" w:color="auto" w:fill="F0F0F0"/>
                </w:tcPr>
                <w:p>
                  <w:pPr>
                    <w:pStyle w:val="Normal"/>
                    <w:keepLines w:val="on"/>
                  </w:pPr>
                  <w:r>
                    <w:t>$3,537,350</w:t>
                  </w:r>
                </w:p>
              </w:tc>
              <w:tc>
                <w:tcPr>
                  <w:tcW w:type="auto" w:w="0"/>
                  <w:shd w:val="clear" w:color="auto" w:fill="F0F0F0"/>
                </w:tcPr>
                <w:p>
                  <w:pPr>
                    <w:pStyle w:val="Normal"/>
                    <w:keepLines w:val="on"/>
                  </w:pPr>
                  <w:r>
                    <w:t>$3,643,471</w:t>
                  </w:r>
                </w:p>
              </w:tc>
              <w:tc>
                <w:tcPr>
                  <w:tcW w:type="auto" w:w="0"/>
                  <w:shd w:val="clear" w:color="auto" w:fill="F0F0F0"/>
                </w:tcPr>
                <w:p>
                  <w:pPr>
                    <w:pStyle w:val="Normal"/>
                    <w:keepLines w:val="on"/>
                  </w:pPr>
                  <w:r>
                    <w:t>$3,752,775</w:t>
                  </w:r>
                </w:p>
              </w:tc>
              <w:tc>
                <w:tcPr>
                  <w:tcW w:type="auto" w:w="0"/>
                  <w:shd w:val="clear" w:color="auto" w:fill="F0F0F0"/>
                </w:tcPr>
                <w:p>
                  <w:pPr>
                    <w:pStyle w:val="Normal"/>
                    <w:keepLines w:val="on"/>
                  </w:pPr>
                  <w:r>
                    <w:t>$3,865,358</w:t>
                  </w:r>
                </w:p>
              </w:tc>
              <w:tc>
                <w:tcPr>
                  <w:tcW w:type="auto" w:w="0"/>
                  <w:shd w:val="clear" w:color="auto" w:fill="F0F0F0"/>
                </w:tcPr>
                <w:p>
                  <w:pPr>
                    <w:pStyle w:val="Normal"/>
                    <w:keepLines w:val="on"/>
                  </w:pPr>
                  <w:r>
                    <w:t>$3,981,319</w:t>
                  </w:r>
                </w:p>
              </w:tc>
            </w:tr>
            <w:tr>
              <w:tc>
                <w:tcPr>
                  <w:tcW w:type="auto" w:w="0"/>
                  <w:shd w:val="clear" w:color="auto" w:fill="F0F0F0"/>
                </w:tcPr>
                <w:p>
                  <w:pPr>
                    <w:pStyle w:val="Para 02"/>
                    <w:keepLines w:val="on"/>
                  </w:pPr>
                  <w:r>
                    <w:t>Phí quản lý</w:t>
                  </w:r>
                </w:p>
              </w:tc>
              <w:tc>
                <w:tcPr>
                  <w:tcW w:type="auto" w:w="0"/>
                  <w:shd w:val="clear" w:color="auto" w:fill="F0F0F0"/>
                </w:tcPr>
                <w:p>
                  <w:pPr>
                    <w:pStyle w:val="Normal"/>
                    <w:keepLines w:val="on"/>
                  </w:pPr>
                  <w:r>
                    <w:t>$309,000</w:t>
                  </w:r>
                </w:p>
              </w:tc>
              <w:tc>
                <w:tcPr>
                  <w:tcW w:type="auto" w:w="0"/>
                  <w:shd w:val="clear" w:color="auto" w:fill="F0F0F0"/>
                </w:tcPr>
                <w:p>
                  <w:pPr>
                    <w:pStyle w:val="Normal"/>
                    <w:keepLines w:val="on"/>
                  </w:pPr>
                  <w:r>
                    <w:t>$318,270</w:t>
                  </w:r>
                </w:p>
              </w:tc>
              <w:tc>
                <w:tcPr>
                  <w:tcW w:type="auto" w:w="0"/>
                  <w:shd w:val="clear" w:color="auto" w:fill="F0F0F0"/>
                </w:tcPr>
                <w:p>
                  <w:pPr>
                    <w:pStyle w:val="Normal"/>
                    <w:keepLines w:val="on"/>
                  </w:pPr>
                  <w:r>
                    <w:t>$327,818</w:t>
                  </w:r>
                </w:p>
              </w:tc>
              <w:tc>
                <w:tcPr>
                  <w:tcW w:type="auto" w:w="0"/>
                  <w:shd w:val="clear" w:color="auto" w:fill="F0F0F0"/>
                </w:tcPr>
                <w:p>
                  <w:pPr>
                    <w:pStyle w:val="Normal"/>
                    <w:keepLines w:val="on"/>
                  </w:pPr>
                  <w:r>
                    <w:t>$337,653</w:t>
                  </w:r>
                </w:p>
              </w:tc>
              <w:tc>
                <w:tcPr>
                  <w:tcW w:type="auto" w:w="0"/>
                  <w:shd w:val="clear" w:color="auto" w:fill="F0F0F0"/>
                </w:tcPr>
                <w:p>
                  <w:pPr>
                    <w:pStyle w:val="Normal"/>
                    <w:keepLines w:val="on"/>
                  </w:pPr>
                  <w:r>
                    <w:t>$347,782</w:t>
                  </w:r>
                </w:p>
              </w:tc>
            </w:tr>
            <w:tr>
              <w:tc>
                <w:tcPr>
                  <w:tcW w:type="auto" w:w="0"/>
                  <w:shd w:val="clear" w:color="auto" w:fill="F0F0F0"/>
                </w:tcPr>
                <w:p>
                  <w:pPr>
                    <w:pStyle w:val="Para 02"/>
                    <w:keepLines w:val="on"/>
                  </w:pPr>
                  <w:r>
                    <w:t>Chi phí lãi vay</w:t>
                  </w:r>
                </w:p>
              </w:tc>
              <w:tc>
                <w:tcPr>
                  <w:tcW w:type="auto" w:w="0"/>
                  <w:shd w:val="clear" w:color="auto" w:fill="F0F0F0"/>
                </w:tcPr>
                <w:p>
                  <w:pPr>
                    <w:pStyle w:val="Normal"/>
                    <w:keepLines w:val="on"/>
                  </w:pPr>
                  <w:r>
                    <w:t>$3,957,737</w:t>
                  </w:r>
                </w:p>
              </w:tc>
              <w:tc>
                <w:tcPr>
                  <w:tcW w:type="auto" w:w="0"/>
                  <w:shd w:val="clear" w:color="auto" w:fill="F0F0F0"/>
                </w:tcPr>
                <w:p>
                  <w:pPr>
                    <w:pStyle w:val="Normal"/>
                    <w:keepLines w:val="on"/>
                  </w:pPr>
                  <w:r>
                    <w:t>$3,957,737</w:t>
                  </w:r>
                </w:p>
              </w:tc>
              <w:tc>
                <w:tcPr>
                  <w:tcW w:type="auto" w:w="0"/>
                  <w:shd w:val="clear" w:color="auto" w:fill="F0F0F0"/>
                </w:tcPr>
                <w:p>
                  <w:pPr>
                    <w:pStyle w:val="Normal"/>
                    <w:keepLines w:val="on"/>
                  </w:pPr>
                  <w:r>
                    <w:t>$3,957,737</w:t>
                  </w:r>
                </w:p>
              </w:tc>
              <w:tc>
                <w:tcPr>
                  <w:tcW w:type="auto" w:w="0"/>
                  <w:shd w:val="clear" w:color="auto" w:fill="F0F0F0"/>
                </w:tcPr>
                <w:p>
                  <w:pPr>
                    <w:pStyle w:val="Normal"/>
                    <w:keepLines w:val="on"/>
                  </w:pPr>
                  <w:r>
                    <w:t>$3,957,737</w:t>
                  </w:r>
                </w:p>
              </w:tc>
              <w:tc>
                <w:tcPr>
                  <w:tcW w:type="auto" w:w="0"/>
                  <w:shd w:val="clear" w:color="auto" w:fill="F0F0F0"/>
                </w:tcPr>
                <w:p>
                  <w:pPr>
                    <w:pStyle w:val="Normal"/>
                    <w:keepLines w:val="on"/>
                  </w:pPr>
                  <w:r>
                    <w:t>$3,957,737</w:t>
                  </w:r>
                </w:p>
              </w:tc>
            </w:tr>
            <w:tr>
              <w:tc>
                <w:tcPr>
                  <w:tcW w:type="auto" w:w="0"/>
                  <w:shd w:val="clear" w:color="auto" w:fill="F0F0F0"/>
                </w:tcPr>
                <w:p>
                  <w:pPr>
                    <w:pStyle w:val="Para 02"/>
                    <w:keepLines w:val="on"/>
                  </w:pPr>
                  <w:r>
                    <w:t>Tổng chi phí</w:t>
                  </w:r>
                </w:p>
              </w:tc>
              <w:tc>
                <w:tcPr>
                  <w:tcW w:type="auto" w:w="0"/>
                  <w:shd w:val="clear" w:color="auto" w:fill="F0F0F0"/>
                </w:tcPr>
                <w:p>
                  <w:pPr>
                    <w:pStyle w:val="Normal"/>
                    <w:keepLines w:val="on"/>
                  </w:pPr>
                  <w:r>
                    <w:t>$12,183,422</w:t>
                  </w:r>
                </w:p>
              </w:tc>
              <w:tc>
                <w:tcPr>
                  <w:tcW w:type="auto" w:w="0"/>
                  <w:shd w:val="clear" w:color="auto" w:fill="F0F0F0"/>
                </w:tcPr>
                <w:p>
                  <w:pPr>
                    <w:pStyle w:val="Normal"/>
                    <w:keepLines w:val="on"/>
                  </w:pPr>
                  <w:r>
                    <w:t>$12,413,986</w:t>
                  </w:r>
                </w:p>
              </w:tc>
              <w:tc>
                <w:tcPr>
                  <w:tcW w:type="auto" w:w="0"/>
                  <w:shd w:val="clear" w:color="auto" w:fill="F0F0F0"/>
                </w:tcPr>
                <w:p>
                  <w:pPr>
                    <w:pStyle w:val="Normal"/>
                    <w:keepLines w:val="on"/>
                  </w:pPr>
                  <w:r>
                    <w:t>$12,652,618</w:t>
                  </w:r>
                </w:p>
              </w:tc>
              <w:tc>
                <w:tcPr>
                  <w:tcW w:type="auto" w:w="0"/>
                  <w:shd w:val="clear" w:color="auto" w:fill="F0F0F0"/>
                </w:tcPr>
                <w:p>
                  <w:pPr>
                    <w:pStyle w:val="Normal"/>
                    <w:keepLines w:val="on"/>
                  </w:pPr>
                  <w:r>
                    <w:t>$12,899,608</w:t>
                  </w:r>
                </w:p>
              </w:tc>
              <w:tc>
                <w:tcPr>
                  <w:tcW w:type="auto" w:w="0"/>
                  <w:shd w:val="clear" w:color="auto" w:fill="F0F0F0"/>
                </w:tcPr>
                <w:p>
                  <w:pPr>
                    <w:pStyle w:val="Normal"/>
                    <w:keepLines w:val="on"/>
                  </w:pPr>
                  <w:r>
                    <w:t>$13,155,252</w:t>
                  </w:r>
                </w:p>
              </w:tc>
            </w:tr>
            <w:tr>
              <w:tc>
                <w:tcPr>
                  <w:tcW w:type="auto" w:w="0"/>
                  <w:shd w:val="clear" w:color="auto" w:fill="F0F0F0"/>
                </w:tcPr>
                <w:p>
                  <w:pPr>
                    <w:pStyle w:val="Para 02"/>
                    <w:keepLines w:val="on"/>
                  </w:pPr>
                  <w:r>
                    <w:t>Thu nhập ròng trước khấu hao và thuế</w:t>
                  </w:r>
                </w:p>
              </w:tc>
              <w:tc>
                <w:tcPr>
                  <w:tcW w:type="auto" w:w="0"/>
                  <w:shd w:val="clear" w:color="auto" w:fill="F0F0F0"/>
                </w:tcPr>
                <w:p>
                  <w:pPr>
                    <w:pStyle w:val="Normal"/>
                    <w:keepLines w:val="on"/>
                  </w:pPr>
                  <w:r>
                    <w:t>$3,143,625</w:t>
                  </w:r>
                </w:p>
              </w:tc>
              <w:tc>
                <w:tcPr>
                  <w:tcW w:type="auto" w:w="0"/>
                  <w:shd w:val="clear" w:color="auto" w:fill="F0F0F0"/>
                </w:tcPr>
                <w:p>
                  <w:pPr>
                    <w:pStyle w:val="Normal"/>
                    <w:keepLines w:val="on"/>
                  </w:pPr>
                  <w:r>
                    <w:t>$3,449,577</w:t>
                  </w:r>
                </w:p>
              </w:tc>
              <w:tc>
                <w:tcPr>
                  <w:tcW w:type="auto" w:w="0"/>
                  <w:shd w:val="clear" w:color="auto" w:fill="F0F0F0"/>
                </w:tcPr>
                <w:p>
                  <w:pPr>
                    <w:pStyle w:val="Normal"/>
                    <w:keepLines w:val="on"/>
                  </w:pPr>
                  <w:r>
                    <w:t>$3,765,856</w:t>
                  </w:r>
                </w:p>
              </w:tc>
              <w:tc>
                <w:tcPr>
                  <w:tcW w:type="auto" w:w="0"/>
                  <w:shd w:val="clear" w:color="auto" w:fill="F0F0F0"/>
                </w:tcPr>
                <w:p>
                  <w:pPr>
                    <w:pStyle w:val="Normal"/>
                    <w:keepLines w:val="on"/>
                  </w:pPr>
                  <w:r>
                    <w:t>$4,092,797</w:t>
                  </w:r>
                </w:p>
              </w:tc>
              <w:tc>
                <w:tcPr>
                  <w:tcW w:type="auto" w:w="0"/>
                  <w:shd w:val="clear" w:color="auto" w:fill="F0F0F0"/>
                </w:tcPr>
                <w:p>
                  <w:pPr>
                    <w:pStyle w:val="Normal"/>
                    <w:keepLines w:val="on"/>
                  </w:pPr>
                  <w:r>
                    <w:t>$4,430,741</w:t>
                  </w:r>
                </w:p>
              </w:tc>
            </w:tr>
            <w:tr>
              <w:tc>
                <w:tcPr>
                  <w:tcW w:type="auto" w:w="0"/>
                  <w:shd w:val="clear" w:color="auto" w:fill="F0F0F0"/>
                </w:tcPr>
                <w:p>
                  <w:pPr>
                    <w:pStyle w:val="Para 02"/>
                    <w:keepLines w:val="on"/>
                  </w:pPr>
                  <w:r>
                    <w:t>Khấu hao</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r>
            <w:tr>
              <w:tc>
                <w:tcPr>
                  <w:tcW w:type="auto" w:w="0"/>
                  <w:shd w:val="clear" w:color="auto" w:fill="F0F0F0"/>
                </w:tcPr>
                <w:p>
                  <w:pPr>
                    <w:pStyle w:val="Para 02"/>
                    <w:keepLines w:val="on"/>
                  </w:pPr>
                  <w:r>
                    <w:t>Thu nhập từ hoạt động kinh doanh</w:t>
                  </w:r>
                </w:p>
              </w:tc>
              <w:tc>
                <w:tcPr>
                  <w:tcW w:type="auto" w:w="0"/>
                  <w:shd w:val="clear" w:color="auto" w:fill="F0F0F0"/>
                </w:tcPr>
                <w:p>
                  <w:pPr>
                    <w:pStyle w:val="Normal"/>
                    <w:keepLines w:val="on"/>
                  </w:pPr>
                  <w:r>
                    <w:t>$1,143,625</w:t>
                  </w:r>
                </w:p>
              </w:tc>
              <w:tc>
                <w:tcPr>
                  <w:tcW w:type="auto" w:w="0"/>
                  <w:shd w:val="clear" w:color="auto" w:fill="F0F0F0"/>
                </w:tcPr>
                <w:p>
                  <w:pPr>
                    <w:pStyle w:val="Normal"/>
                    <w:keepLines w:val="on"/>
                  </w:pPr>
                  <w:r>
                    <w:t>$1,449,577</w:t>
                  </w:r>
                </w:p>
              </w:tc>
              <w:tc>
                <w:tcPr>
                  <w:tcW w:type="auto" w:w="0"/>
                  <w:shd w:val="clear" w:color="auto" w:fill="F0F0F0"/>
                </w:tcPr>
                <w:p>
                  <w:pPr>
                    <w:pStyle w:val="Normal"/>
                    <w:keepLines w:val="on"/>
                  </w:pPr>
                  <w:r>
                    <w:t>$1,765,856</w:t>
                  </w:r>
                </w:p>
              </w:tc>
              <w:tc>
                <w:tcPr>
                  <w:tcW w:type="auto" w:w="0"/>
                  <w:shd w:val="clear" w:color="auto" w:fill="F0F0F0"/>
                </w:tcPr>
                <w:p>
                  <w:pPr>
                    <w:pStyle w:val="Normal"/>
                    <w:keepLines w:val="on"/>
                  </w:pPr>
                  <w:r>
                    <w:t>$2,092,797</w:t>
                  </w:r>
                </w:p>
              </w:tc>
              <w:tc>
                <w:tcPr>
                  <w:tcW w:type="auto" w:w="0"/>
                  <w:shd w:val="clear" w:color="auto" w:fill="F0F0F0"/>
                </w:tcPr>
                <w:p>
                  <w:pPr>
                    <w:pStyle w:val="Normal"/>
                    <w:keepLines w:val="on"/>
                  </w:pPr>
                  <w:r>
                    <w:t>$2,430,741</w:t>
                  </w:r>
                </w:p>
              </w:tc>
            </w:tr>
            <w:tr>
              <w:tc>
                <w:tcPr>
                  <w:tcW w:type="auto" w:w="0"/>
                  <w:shd w:val="clear" w:color="auto" w:fill="F0F0F0"/>
                </w:tcPr>
                <w:p>
                  <w:pPr>
                    <w:pStyle w:val="Para 02"/>
                    <w:keepLines w:val="on"/>
                  </w:pPr>
                  <w:r>
                    <w:t>Thuế</w:t>
                  </w:r>
                </w:p>
              </w:tc>
              <w:tc>
                <w:tcPr>
                  <w:tcW w:type="auto" w:w="0"/>
                  <w:shd w:val="clear" w:color="auto" w:fill="F0F0F0"/>
                </w:tcPr>
                <w:p>
                  <w:pPr>
                    <w:pStyle w:val="Normal"/>
                    <w:keepLines w:val="on"/>
                  </w:pPr>
                  <w:r>
                    <w:t>$434,578</w:t>
                  </w:r>
                </w:p>
              </w:tc>
              <w:tc>
                <w:tcPr>
                  <w:tcW w:type="auto" w:w="0"/>
                  <w:shd w:val="clear" w:color="auto" w:fill="F0F0F0"/>
                </w:tcPr>
                <w:p>
                  <w:pPr>
                    <w:pStyle w:val="Normal"/>
                    <w:keepLines w:val="on"/>
                  </w:pPr>
                  <w:r>
                    <w:t>$550,839</w:t>
                  </w:r>
                </w:p>
              </w:tc>
              <w:tc>
                <w:tcPr>
                  <w:tcW w:type="auto" w:w="0"/>
                  <w:shd w:val="clear" w:color="auto" w:fill="F0F0F0"/>
                </w:tcPr>
                <w:p>
                  <w:pPr>
                    <w:pStyle w:val="Normal"/>
                    <w:keepLines w:val="on"/>
                  </w:pPr>
                  <w:r>
                    <w:t>$671,025</w:t>
                  </w:r>
                </w:p>
              </w:tc>
              <w:tc>
                <w:tcPr>
                  <w:tcW w:type="auto" w:w="0"/>
                  <w:shd w:val="clear" w:color="auto" w:fill="F0F0F0"/>
                </w:tcPr>
                <w:p>
                  <w:pPr>
                    <w:pStyle w:val="Normal"/>
                    <w:keepLines w:val="on"/>
                  </w:pPr>
                  <w:r>
                    <w:t>$795,263</w:t>
                  </w:r>
                </w:p>
              </w:tc>
              <w:tc>
                <w:tcPr>
                  <w:tcW w:type="auto" w:w="0"/>
                  <w:shd w:val="clear" w:color="auto" w:fill="F0F0F0"/>
                </w:tcPr>
                <w:p>
                  <w:pPr>
                    <w:pStyle w:val="Normal"/>
                    <w:keepLines w:val="on"/>
                  </w:pPr>
                  <w:r>
                    <w:t>$923,682</w:t>
                  </w:r>
                </w:p>
              </w:tc>
            </w:tr>
            <w:tr>
              <w:tc>
                <w:tcPr>
                  <w:tcW w:type="auto" w:w="0"/>
                  <w:shd w:val="clear" w:color="auto" w:fill="F0F0F0"/>
                </w:tcPr>
                <w:p>
                  <w:pPr>
                    <w:pStyle w:val="Para 02"/>
                    <w:keepLines w:val="on"/>
                  </w:pPr>
                  <w:r>
                    <w:t>Thu nhập ròng</w:t>
                  </w:r>
                </w:p>
              </w:tc>
              <w:tc>
                <w:tcPr>
                  <w:tcW w:type="auto" w:w="0"/>
                  <w:shd w:val="clear" w:color="auto" w:fill="F0F0F0"/>
                </w:tcPr>
                <w:p>
                  <w:pPr>
                    <w:pStyle w:val="Normal"/>
                    <w:keepLines w:val="on"/>
                  </w:pPr>
                  <w:r>
                    <w:t>$709,048</w:t>
                  </w:r>
                </w:p>
              </w:tc>
              <w:tc>
                <w:tcPr>
                  <w:tcW w:type="auto" w:w="0"/>
                  <w:shd w:val="clear" w:color="auto" w:fill="F0F0F0"/>
                </w:tcPr>
                <w:p>
                  <w:pPr>
                    <w:pStyle w:val="Normal"/>
                    <w:keepLines w:val="on"/>
                  </w:pPr>
                  <w:r>
                    <w:t>$898,738</w:t>
                  </w:r>
                </w:p>
              </w:tc>
              <w:tc>
                <w:tcPr>
                  <w:tcW w:type="auto" w:w="0"/>
                  <w:shd w:val="clear" w:color="auto" w:fill="F0F0F0"/>
                </w:tcPr>
                <w:p>
                  <w:pPr>
                    <w:pStyle w:val="Normal"/>
                    <w:keepLines w:val="on"/>
                  </w:pPr>
                  <w:r>
                    <w:t>$1,094,831</w:t>
                  </w:r>
                </w:p>
              </w:tc>
              <w:tc>
                <w:tcPr>
                  <w:tcW w:type="auto" w:w="0"/>
                  <w:shd w:val="clear" w:color="auto" w:fill="F0F0F0"/>
                </w:tcPr>
                <w:p>
                  <w:pPr>
                    <w:pStyle w:val="Normal"/>
                    <w:keepLines w:val="on"/>
                  </w:pPr>
                  <w:r>
                    <w:t>$1,297,534</w:t>
                  </w:r>
                </w:p>
              </w:tc>
              <w:tc>
                <w:tcPr>
                  <w:tcW w:type="auto" w:w="0"/>
                  <w:shd w:val="clear" w:color="auto" w:fill="F0F0F0"/>
                </w:tcPr>
                <w:p>
                  <w:pPr>
                    <w:pStyle w:val="Normal"/>
                    <w:keepLines w:val="on"/>
                  </w:pPr>
                  <w:r>
                    <w:t>$1,507,059</w:t>
                  </w:r>
                </w:p>
              </w:tc>
            </w:tr>
            <w:tr>
              <w:tc>
                <w:tcPr>
                  <w:tcW w:type="auto" w:w="0"/>
                  <w:shd w:val="clear" w:color="auto" w:fill="F0F0F0"/>
                </w:tcPr>
                <w:p>
                  <w:pPr>
                    <w:pStyle w:val="Para 02"/>
                    <w:keepLines w:val="on"/>
                  </w:pPr>
                  <w:r>
                    <w:t>+ Khấu hao −</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c>
                <w:tcPr>
                  <w:tcW w:type="auto" w:w="0"/>
                  <w:shd w:val="clear" w:color="auto" w:fill="F0F0F0"/>
                </w:tcPr>
                <w:p>
                  <w:pPr>
                    <w:pStyle w:val="Normal"/>
                    <w:keepLines w:val="on"/>
                  </w:pPr>
                  <w:r>
                    <w:t>$2,000,000</w:t>
                  </w:r>
                </w:p>
              </w:tc>
            </w:tr>
            <w:tr>
              <w:tc>
                <w:tcPr>
                  <w:tcW w:type="auto" w:w="0"/>
                  <w:shd w:val="clear" w:color="auto" w:fill="F0F0F0"/>
                </w:tcPr>
                <w:p>
                  <w:pPr>
                    <w:pStyle w:val="Para 02"/>
                    <w:keepLines w:val="on"/>
                  </w:pPr>
                  <w:r>
                    <w:t>Duy trì vốn</w:t>
                  </w:r>
                </w:p>
              </w:tc>
              <w:tc>
                <w:tcPr>
                  <w:tcW w:type="auto" w:w="0"/>
                  <w:shd w:val="clear" w:color="auto" w:fill="F0F0F0"/>
                </w:tcPr>
                <w:p>
                  <w:pPr>
                    <w:pStyle w:val="Normal"/>
                    <w:keepLines w:val="on"/>
                  </w:pPr>
                  <w:r>
                    <w:t>$1,545,000</w:t>
                  </w:r>
                </w:p>
              </w:tc>
              <w:tc>
                <w:tcPr>
                  <w:tcW w:type="auto" w:w="0"/>
                  <w:shd w:val="clear" w:color="auto" w:fill="F0F0F0"/>
                </w:tcPr>
                <w:p>
                  <w:pPr>
                    <w:pStyle w:val="Normal"/>
                    <w:keepLines w:val="on"/>
                  </w:pPr>
                  <w:r>
                    <w:t>$1,591,350</w:t>
                  </w:r>
                </w:p>
              </w:tc>
              <w:tc>
                <w:tcPr>
                  <w:tcW w:type="auto" w:w="0"/>
                  <w:shd w:val="clear" w:color="auto" w:fill="F0F0F0"/>
                </w:tcPr>
                <w:p>
                  <w:pPr>
                    <w:pStyle w:val="Normal"/>
                    <w:keepLines w:val="on"/>
                  </w:pPr>
                  <w:r>
                    <w:t>$1,639,091</w:t>
                  </w:r>
                </w:p>
              </w:tc>
              <w:tc>
                <w:tcPr>
                  <w:tcW w:type="auto" w:w="0"/>
                  <w:shd w:val="clear" w:color="auto" w:fill="F0F0F0"/>
                </w:tcPr>
                <w:p>
                  <w:pPr>
                    <w:pStyle w:val="Normal"/>
                    <w:keepLines w:val="on"/>
                  </w:pPr>
                  <w:r>
                    <w:t>$1,688,263</w:t>
                  </w:r>
                </w:p>
              </w:tc>
              <w:tc>
                <w:tcPr>
                  <w:tcW w:type="auto" w:w="0"/>
                  <w:shd w:val="clear" w:color="auto" w:fill="F0F0F0"/>
                </w:tcPr>
                <w:p>
                  <w:pPr>
                    <w:pStyle w:val="Normal"/>
                    <w:keepLines w:val="on"/>
                  </w:pPr>
                  <w:r>
                    <w:t>$1,738,911</w:t>
                  </w:r>
                </w:p>
              </w:tc>
            </w:tr>
            <w:tr>
              <w:tc>
                <w:tcPr>
                  <w:tcW w:type="auto" w:w="0"/>
                  <w:shd w:val="clear" w:color="auto" w:fill="F0F0F0"/>
                </w:tcPr>
                <w:p>
                  <w:pPr>
                    <w:pStyle w:val="Para 02"/>
                    <w:keepLines w:val="on"/>
                  </w:pPr>
                  <w:r>
                    <w:t>Dòng tiền cho vốn chủ sở hữu</w:t>
                  </w:r>
                </w:p>
              </w:tc>
              <w:tc>
                <w:tcPr>
                  <w:tcW w:type="auto" w:w="0"/>
                  <w:shd w:val="clear" w:color="auto" w:fill="F0F0F0"/>
                </w:tcPr>
                <w:p>
                  <w:pPr>
                    <w:pStyle w:val="Normal"/>
                    <w:keepLines w:val="on"/>
                  </w:pPr>
                  <w:r>
                    <w:t>$1,164,048</w:t>
                  </w:r>
                </w:p>
              </w:tc>
              <w:tc>
                <w:tcPr>
                  <w:tcW w:type="auto" w:w="0"/>
                  <w:shd w:val="clear" w:color="auto" w:fill="F0F0F0"/>
                </w:tcPr>
                <w:p>
                  <w:pPr>
                    <w:pStyle w:val="Normal"/>
                    <w:keepLines w:val="on"/>
                  </w:pPr>
                  <w:r>
                    <w:t>$1,307,388</w:t>
                  </w:r>
                </w:p>
              </w:tc>
              <w:tc>
                <w:tcPr>
                  <w:tcW w:type="auto" w:w="0"/>
                  <w:shd w:val="clear" w:color="auto" w:fill="F0F0F0"/>
                </w:tcPr>
                <w:p>
                  <w:pPr>
                    <w:pStyle w:val="Normal"/>
                    <w:keepLines w:val="on"/>
                  </w:pPr>
                  <w:r>
                    <w:t>$1,455,741</w:t>
                  </w:r>
                </w:p>
              </w:tc>
              <w:tc>
                <w:tcPr>
                  <w:tcW w:type="auto" w:w="0"/>
                  <w:shd w:val="clear" w:color="auto" w:fill="F0F0F0"/>
                </w:tcPr>
                <w:p>
                  <w:pPr>
                    <w:pStyle w:val="Normal"/>
                    <w:keepLines w:val="on"/>
                  </w:pPr>
                  <w:r>
                    <w:t>$1,609,271</w:t>
                  </w:r>
                </w:p>
              </w:tc>
              <w:tc>
                <w:tcPr>
                  <w:tcW w:type="auto" w:w="0"/>
                  <w:shd w:val="clear" w:color="auto" w:fill="F0F0F0"/>
                </w:tcPr>
                <w:p>
                  <w:pPr>
                    <w:pStyle w:val="Normal"/>
                    <w:keepLines w:val="on"/>
                  </w:pPr>
                  <w:r>
                    <w:t>$1,768,148</w:t>
                  </w:r>
                </w:p>
              </w:tc>
            </w:tr>
          </w:tbl>
          <w:p/>
        </w:tc>
      </w:tr>
    </w:tbl>
    <w:p>
      <w:pPr>
        <w:pStyle w:val="Para 04"/>
        <w:keepLines w:val="on"/>
      </w:pPr>
      <w:r>
        <w:t>Đến năm thứ 5, chúng ta cũng ước tính giá trị cuối kỳ của vốn chủ sở hữu bằng cách lấy giá trị cuối kỳ của tòa nhà đã ước tính trong ví dụ trước trừ đi khoản nợ phải trả:</w:t>
      </w:r>
    </w:p>
    <w:p>
      <w:bookmarkStart w:id="5552" w:name="Terminal_value_of_equity_Termina"/>
      <w:pPr>
        <w:keepNext/>
        <w:pStyle w:val="Para 07"/>
        <w:keepLines w:val="on"/>
      </w:pPr>
      <w:r>
        <w:t>Giá trị cuối kỳ của vốn chủ sở hữu = Giá trị cuối kỳ của tòa nhà - Nợ = $116,81 triệu - $60,89 triệu = $55,92 triệu</w:t>
      </w:r>
      <w:bookmarkEnd w:id="5552"/>
    </w:p>
    <w:p>
      <w:pPr>
        <w:pStyle w:val="Para 40"/>
        <w:keepLines w:val="on"/>
      </w:pPr>
      <w:r>
        <w:rPr>
          <w:rStyle w:val="Text26"/>
        </w:rPr>
        <w:bookmarkStart w:id="5553" w:name="Page_858"/>
        <w:t/>
        <w:bookmarkEnd w:id="5553"/>
      </w:r>
      <w:r>
        <w:t xml:space="preserve"> </w:t>
      </w:r>
    </w:p>
    <w:p>
      <w:bookmarkStart w:id="5554" w:name="Estimating_the_Value_of_Equity"/>
      <w:bookmarkStart w:id="5555" w:name="Estimating_the_Value_of_Equity_T"/>
      <w:pPr>
        <w:keepNext/>
        <w:pStyle w:val="Para 36"/>
        <w:keepLines w:val="on"/>
      </w:pPr>
      <w:r>
        <w:t>Ước tính giá trị vốn chủ sở hữu</w:t>
      </w:r>
      <w:bookmarkEnd w:id="5554"/>
      <w:bookmarkEnd w:id="5555"/>
    </w:p>
    <w:p>
      <w:pPr>
        <w:pStyle w:val="Para 04"/>
        <w:keepLines w:val="on"/>
      </w:pPr>
      <w:r>
        <w:t>Giá trị hiện tại của dòng tiền cho vốn chủ sở hữu trong năm năm tới và giá trị cuối kỳ được tính trong bảng sau:</w:t>
      </w:r>
    </w:p>
    <w:tbl>
      <w:tblPr>
        <w:tblW w:type="auto" w:w="0"/>
      </w:tblPr>
      <w:tr>
        <w:tc>
          <w:tcPr>
            <w:tcW w:type="auto" w:w="0"/>
          </w:tcPr>
          <w:tbl>
            <w:tblPr>
              <w:tblW w:type="auto" w:w="0"/>
            </w:tblPr>
            <w:tr>
              <w:tc>
                <w:tcPr>
                  <w:tcW w:type="auto" w:w="0"/>
                  <w:shd w:val="clear" w:color="auto" w:fill="F0F0F0"/>
                </w:tcPr>
                <w:p>
                  <w:pPr>
                    <w:pStyle w:val="Para 17"/>
                    <w:keepLines w:val="on"/>
                  </w:pPr>
                  <w:r>
                    <w:t/>
                  </w: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r>
            <w:tr>
              <w:tc>
                <w:tcPr>
                  <w:tcW w:type="auto" w:w="0"/>
                  <w:shd w:val="clear" w:color="auto" w:fill="F0F0F0"/>
                </w:tcPr>
                <w:p>
                  <w:pPr>
                    <w:pStyle w:val="Para 02"/>
                    <w:keepLines w:val="on"/>
                  </w:pPr>
                  <w:r>
                    <w:t>Dòng tiền cho vốn chủ sở hữu</w:t>
                  </w:r>
                </w:p>
              </w:tc>
              <w:tc>
                <w:tcPr>
                  <w:tcW w:type="auto" w:w="0"/>
                  <w:shd w:val="clear" w:color="auto" w:fill="F0F0F0"/>
                </w:tcPr>
                <w:p>
                  <w:pPr>
                    <w:pStyle w:val="Normal"/>
                    <w:keepLines w:val="on"/>
                  </w:pPr>
                  <w:r>
                    <w:t>$1,164,048</w:t>
                  </w:r>
                </w:p>
              </w:tc>
              <w:tc>
                <w:tcPr>
                  <w:tcW w:type="auto" w:w="0"/>
                  <w:shd w:val="clear" w:color="auto" w:fill="F0F0F0"/>
                </w:tcPr>
                <w:p>
                  <w:pPr>
                    <w:pStyle w:val="Normal"/>
                    <w:keepLines w:val="on"/>
                  </w:pPr>
                  <w:r>
                    <w:t>$1,307,388</w:t>
                  </w:r>
                </w:p>
              </w:tc>
              <w:tc>
                <w:tcPr>
                  <w:tcW w:type="auto" w:w="0"/>
                  <w:shd w:val="clear" w:color="auto" w:fill="F0F0F0"/>
                </w:tcPr>
                <w:p>
                  <w:pPr>
                    <w:pStyle w:val="Normal"/>
                    <w:keepLines w:val="on"/>
                  </w:pPr>
                  <w:r>
                    <w:t>$1,455,741</w:t>
                  </w:r>
                </w:p>
              </w:tc>
              <w:tc>
                <w:tcPr>
                  <w:tcW w:type="auto" w:w="0"/>
                  <w:shd w:val="clear" w:color="auto" w:fill="F0F0F0"/>
                </w:tcPr>
                <w:p>
                  <w:pPr>
                    <w:pStyle w:val="Normal"/>
                    <w:keepLines w:val="on"/>
                  </w:pPr>
                  <w:r>
                    <w:t>$1,609,271</w:t>
                  </w:r>
                </w:p>
              </w:tc>
              <w:tc>
                <w:tcPr>
                  <w:tcW w:type="auto" w:w="0"/>
                  <w:shd w:val="clear" w:color="auto" w:fill="F0F0F0"/>
                </w:tcPr>
                <w:p>
                  <w:pPr>
                    <w:pStyle w:val="Normal"/>
                    <w:keepLines w:val="on"/>
                  </w:pPr>
                  <w:r>
                    <w:t>$1.768.148</w:t>
                  </w:r>
                </w:p>
              </w:tc>
            </w:tr>
            <w:tr>
              <w:tc>
                <w:tcPr>
                  <w:tcW w:type="auto" w:w="0"/>
                  <w:shd w:val="clear" w:color="auto" w:fill="F0F0F0"/>
                </w:tcPr>
                <w:p>
                  <w:pPr>
                    <w:pStyle w:val="Para 02"/>
                    <w:keepLines w:val="on"/>
                  </w:pPr>
                  <w:r>
                    <w:t>Giá trị cuối kỳ</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$55.922.390</w:t>
                  </w:r>
                </w:p>
              </w:tc>
            </w:tr>
            <w:tr>
              <w:tc>
                <w:tcPr>
                  <w:tcW w:type="auto" w:w="0"/>
                  <w:shd w:val="clear" w:color="auto" w:fill="F0F0F0"/>
                </w:tcPr>
                <w:p>
                  <w:pPr>
                    <w:pStyle w:val="Para 02"/>
                    <w:keepLines w:val="on"/>
                  </w:pPr>
                  <w:r>
                    <w:t>Giá trị hiện tại @ 10,20%</w:t>
                  </w:r>
                </w:p>
              </w:tc>
              <w:tc>
                <w:tcPr>
                  <w:tcW w:type="auto" w:w="0"/>
                  <w:shd w:val="clear" w:color="auto" w:fill="F0F0F0"/>
                </w:tcPr>
                <w:p>
                  <w:pPr>
                    <w:pStyle w:val="Normal"/>
                    <w:keepLines w:val="on"/>
                  </w:pPr>
                  <w:r>
                    <w:t>$1.056.435</w:t>
                  </w:r>
                </w:p>
              </w:tc>
              <w:tc>
                <w:tcPr>
                  <w:tcW w:type="auto" w:w="0"/>
                  <w:shd w:val="clear" w:color="auto" w:fill="F0F0F0"/>
                </w:tcPr>
                <w:p>
                  <w:pPr>
                    <w:pStyle w:val="Normal"/>
                    <w:keepLines w:val="on"/>
                  </w:pPr>
                  <w:r>
                    <w:t>$1.076.833</w:t>
                  </w:r>
                </w:p>
              </w:tc>
              <w:tc>
                <w:tcPr>
                  <w:tcW w:type="auto" w:w="0"/>
                  <w:shd w:val="clear" w:color="auto" w:fill="F0F0F0"/>
                </w:tcPr>
                <w:p>
                  <w:pPr>
                    <w:pStyle w:val="Normal"/>
                    <w:keepLines w:val="on"/>
                  </w:pPr>
                  <w:r>
                    <w:t>$1.088.178</w:t>
                  </w:r>
                </w:p>
              </w:tc>
              <w:tc>
                <w:tcPr>
                  <w:tcW w:type="auto" w:w="0"/>
                  <w:shd w:val="clear" w:color="auto" w:fill="F0F0F0"/>
                </w:tcPr>
                <w:p>
                  <w:pPr>
                    <w:pStyle w:val="Normal"/>
                    <w:keepLines w:val="on"/>
                  </w:pPr>
                  <w:r>
                    <w:t>$1.091.735</w:t>
                  </w:r>
                </w:p>
              </w:tc>
              <w:tc>
                <w:tcPr>
                  <w:tcW w:type="auto" w:w="0"/>
                  <w:shd w:val="clear" w:color="auto" w:fill="F0F0F0"/>
                </w:tcPr>
                <w:p>
                  <w:pPr>
                    <w:pStyle w:val="Normal"/>
                    <w:keepLines w:val="on"/>
                  </w:pPr>
                  <w:r>
                    <w:t>$35.519.318</w:t>
                  </w:r>
                </w:p>
              </w:tc>
            </w:tr>
          </w:tbl>
          <w:p/>
        </w:tc>
      </w:tr>
    </w:tbl>
    <w:p>
      <w:pPr>
        <w:pStyle w:val="Para 04"/>
        <w:keepLines w:val="on"/>
      </w:pPr>
      <w:r>
        <w:t>Giá trị phần vốn chủ sở hữu trong tòa nhà là 39,83 triệu đô la. Cộng giá trị này với giá trị khoản nợ đã huy động là 60,89 triệu đô la, ta có ước tính cho giá trị của tòa nhà:</w:t>
      </w:r>
    </w:p>
    <w:p>
      <w:bookmarkStart w:id="5556" w:name="Estimated_value_of_building__60"/>
      <w:pPr>
        <w:keepNext/>
        <w:pStyle w:val="Para 07"/>
        <w:keepLines w:val="on"/>
      </w:pPr>
      <w:r>
        <w:t>Giá trị ước tính của tòa nhà = 60,89 triệu đô la + 39,83 triệu đô la = 100,72 triệu đô la</w:t>
      </w:r>
      <w:bookmarkEnd w:id="5556"/>
    </w:p>
    <w:p>
      <w:pPr>
        <w:pStyle w:val="Para 04"/>
        <w:keepLines w:val="on"/>
      </w:pPr>
      <w:r>
        <w:t>Tại sao lại có sự khác biệt giữa ước tính giá trị bất động sản này và ước tính mà ta đã đưa ra trong ví dụ trước? Lý do rất đơn giản. Tỷ lệ nợ 60% mà ta giả định và giữ cố định khi ước tính chi phí vốn sẽ buộc ta phải vay thêm một khoản mỗi năm trong năm năm tới, vì giá trị tòa nhà sẽ tăng khoảng 3% mỗi năm. Lợi ích thuế từ khoản nợ bổ sung này đã được ngầm đưa vào định giá tòa nhà trong ví dụ trước nhưng lại bị bỏ qua khi định giá vốn chủ sở hữu trong ví dụ này. Nếu ta tính đến những lợi ích thuế đó, ta sẽ đi đến cùng một giá trị.</w:t>
      </w:r>
    </w:p>
    <w:p>
      <w:pPr>
        <w:pStyle w:val="Para 20"/>
      </w:pPr>
      <w:r>
        <w:rPr>
          <w:rStyle w:val="Text26"/>
        </w:rPr>
        <w:bookmarkStart w:id="5557" w:name="Page_859"/>
        <w:t/>
        <w:bookmarkEnd w:id="5557"/>
      </w:r>
      <w:r>
        <w:t xml:space="preserve"> </w:t>
      </w:r>
    </w:p>
    <w:p>
      <w:pPr>
        <w:pStyle w:val="Para 11"/>
      </w:pPr>
      <w:r>
        <w:t xml:space="preserve"> </w:t>
      </w:r>
    </w:p>
    <w:p>
      <w:bookmarkStart w:id="5558" w:name="Real_Estate_Valuation_in_Practic_1"/>
      <w:bookmarkStart w:id="5559" w:name="Real_Estate_Valuation_in_Practic"/>
      <w:pPr>
        <w:keepNext/>
        <w:pStyle w:val="Para 27"/>
        <w:keepLines w:val="on"/>
      </w:pPr>
      <w:r>
        <w:t>Định giá bất động sản trong thực tế: Một so sánh</w:t>
      </w:r>
      <w:bookmarkEnd w:id="5558"/>
      <w:bookmarkEnd w:id="5559"/>
    </w:p>
    <w:p>
      <w:pPr>
        <w:pStyle w:val="Para 16"/>
        <w:keepLines w:val="on"/>
      </w:pPr>
      <w:r>
        <w:t>Tòa nhà tại 711 Third Avenue đã được một chuyên gia thẩm định định giá để bán bằng phương pháp định giá dòng tiền chiết khấu. Trong khi nhiều giả định cơ bản trong định giá của chúng ta được lấy từ bản thẩm định đó, ước tính giá trị trong bản thẩm định là 70 triệu đô la, thấp hơn ước tính của chúng ta khoảng một phần ba. Những khác biệt chính giữa định giá của chúng ta và định giá của chuyên gia thẩm định như sau:</w:t>
      </w:r>
    </w:p>
    <w:p>
      <w:pPr>
        <w:numPr>
          <w:ilvl w:val="0"/>
          <w:numId w:val="301"/>
        </w:numPr>
        <w:pStyle w:val="Para 33"/>
        <w:keepLines w:val="on"/>
      </w:pPr>
      <w:r>
        <w:t>Bản thẩm định được thực hiện hoàn toàn dựa trên dòng tiền trước thuế. Do đó, khấu hao không được xem xét, và lợi ích thuế từ nó đã bị bỏ qua.</w:t>
      </w:r>
    </w:p>
    <w:p>
      <w:pPr>
        <w:numPr>
          <w:ilvl w:val="0"/>
          <w:numId w:val="301"/>
        </w:numPr>
        <w:pStyle w:val="Para 33"/>
        <w:keepLines w:val="on"/>
      </w:pPr>
      <w:r>
        <w:t>Tỷ lệ chiết khấu được sử dụng là 11,5 phần trăm, dựa trên một khảo sát độc quyền về các nhà đầu tư bất động sản do chuyên gia thẩm định thực hiện. Mặc dù không có gì được đề cập trong bản thẩm định, tỷ lệ chiết khấu này có lẽ là theo nghĩa trước thuế (để đảm bảo tính nhất quán với cách ước tính dòng tiền) và được nêu như lợi suất trên toàn bộ khoản đầu tư (chứ không chỉ khoản đầu tư vốn chủ sở hữu). Con số này cao hơn chi phí vốn mà chúng ta đã sử dụng.</w:t>
      </w:r>
    </w:p>
    <w:p>
      <w:pPr>
        <w:numPr>
          <w:ilvl w:val="0"/>
          <w:numId w:val="301"/>
        </w:numPr>
        <w:pStyle w:val="Para 33"/>
        <w:keepLines w:val="on"/>
      </w:pPr>
      <w:r>
        <w:t>Giá trị cuối kỳ được ước tính dựa trên tỷ lệ vốn hóa 9,0 phần trăm, cũng dựa trên khảo sát đó. (Thu nhập hoạt động trong năm 5 được chia cho 9,0 phần trăm để có giá trị cuối kỳ.)</w:t>
      </w:r>
    </w:p>
    <w:p>
      <w:pPr>
        <w:pStyle w:val="Para 16"/>
        <w:keepLines w:val="on"/>
      </w:pPr>
      <w:r>
        <w:t>Chúng tôi cho rằng việc sử dụng dòng tiền trước thuế và tỷ lệ chiết khấu trước thuế sẽ bỏ sót phần giá trị đến từ việc khấu hao và chi phí lãi vay được khấu trừ thuế, đồng thời đánh giá thấp giá trị của tòa nhà. Giả sử rằng tỷ lệ chiết khấu được định nghĩa đúng là chi phí vốn trước thuế, việc dùng các cuộc khảo sát để ước tính cả con số này lẫn bội số cuối kỳ khiến chúng tôi thấy không thoải mái, đặc biệt là khi người mua tòa nhà này là một tập đoàn với các nhà đầu tư đa dạng.</w:t>
      </w:r>
    </w:p>
    <w:p>
      <w:bookmarkStart w:id="5560" w:name="Limitations_of_Discounted_Cash_F"/>
      <w:bookmarkStart w:id="5561" w:name="Limitations_of_Discounted_Cash_F_1"/>
      <w:pPr>
        <w:keepNext/>
        <w:pStyle w:val="Heading 3"/>
        <w:keepLines w:val="on"/>
      </w:pPr>
      <w:r>
        <w:t>Những hạn chế của định giá dòng tiền chiết khấu</w:t>
      </w:r>
      <w:bookmarkEnd w:id="5560"/>
      <w:bookmarkEnd w:id="5561"/>
    </w:p>
    <w:p>
      <w:pPr>
        <w:pStyle w:val="Para 03"/>
      </w:pPr>
      <w:r>
        <w:t>Có nhiều lý do được đưa ra để giải thích tại sao định giá dòng tiền chiết khấu không phù hợp với bất động sản. Thứ nhất, người ta lập luận rằng các tỷ lệ chiết khấu rất khó, nếu không muốn nói là bất khả thi, để ước tính cho hầu hết các khoản đầu tư bất động sản. Phản biện của chúng tôi là điều này không nhất thiết đúng. Thứ hai, người ta cho rằng việc ước tính dòng tiền cho khoảng thời gian dự báo là tẻ nhạt và khó khăn, cũng như việc ước tính giá trị cuối kỳ. Tuy nhiên, có vẻ như việc ước tính dòng tiền cho bất động sản dễ dàng hơn nhiều so với một số khoản đầu tư tài chính (chẳng hạn như một cổ phiếu tăng trưởng cao). Thứ ba, người ta lập luận rằng định giá dòng tiền chiết khấu không phản ánh điều kiện thị trường—rằng thị trường đang mạnh hay yếu tại thời điểm định giá. Lập luận này có thể bị bác bỏ ở hai cấp độ. Ở một cấp độ, dòng tiền nên phản ánh điều kiện thị trường, vì chúng sẽ cao hơn (tiền thuê cao hơn và tỷ lệ trống thấp hơn) và tăng nhanh hơn trong điều kiện thị trường mạnh. Ở cấp độ khác, một định giá dựa trên thị trường mà không đồng bộ với dòng tiền của bất động sản đang được định giá là một sự định giá sai, và trọng tâm của định giá nội tại hay định giá DCF là tránh xa thực tiễn đó.</w:t>
      </w:r>
    </w:p>
    <w:p>
      <w:pPr>
        <w:pStyle w:val="Para 20"/>
      </w:pPr>
      <w:r>
        <w:rPr>
          <w:rStyle w:val="Text26"/>
        </w:rPr>
        <w:bookmarkStart w:id="5562" w:name="Page_860"/>
        <w:t/>
        <w:bookmarkEnd w:id="5562"/>
      </w:r>
      <w:r>
        <w:t xml:space="preserve"> </w:t>
      </w:r>
    </w:p>
    <w:p>
      <w:bookmarkStart w:id="5563" w:name="Comparable_Relative_Valuation__J"/>
      <w:bookmarkStart w:id="5564" w:name="Comparable_Relative_Valuation"/>
      <w:pPr>
        <w:keepNext/>
        <w:pStyle w:val="Heading 2"/>
        <w:keepLines w:val="on"/>
      </w:pPr>
      <w:r>
        <w:t>Định giá so sánh/tương đối
&lt;&lt;&lt;|||&gt;
Cũng giống như tỷ lệ giá trên thu nhập và giá trên giá trị sổ sách được dùng để định giá các tài sản tài chính, các khoản đầu tư bất động sản có thể được định giá bằng các thước đo giá trị chuẩn hóa và các tài sản so sánh được. Có một số lý do để làm điều này:</w:t>
      </w:r>
      <w:bookmarkEnd w:id="5563"/>
      <w:bookmarkEnd w:id="5564"/>
    </w:p>
    <w:p>
      <w:pPr>
        <w:pStyle w:val="Para 03"/>
      </w:pPr>
      <w:r>
        <w:t>Nó cung cấp một cơ chế để định giá các tài sản không tạo ra dòng tiền. Ví dụ, giá trị của một tòa nhà ở dành cho một gia đình được mua làm nơi ở chính có thể được ước tính bằng cách xem xét các bất động sản tương tự trong cùng khu vực.</w:t>
      </w:r>
    </w:p>
    <w:p>
      <w:pPr>
        <w:numPr>
          <w:ilvl w:val="0"/>
          <w:numId w:val="302"/>
        </w:numPr>
        <w:pStyle w:val="Para 01"/>
      </w:pPr>
      <w:r>
        <w:t>Nó tính đến các xu hướng thị trường mà có thể chưa được phản ánh trong dòng tiền vì một số lý do. Các hợp đồng thuê hiện hữu có thể đã cố định các khoản thanh toán thuê lỗi thời, trong khi giá trị thị trường đã tăng lên, và các luật kiểm soát tiền thuê có thể đã ngăn cản tiền thuê tăng theo giá trị thị trường. Trong chừng mực thị trường nhìn thấy khả năng cả hợp đồng thuê lẫn tiền thuê sẽ quay trở lại mức thị trường, giá thị trường có thể cao hơn các định giá nội tại.</w:t>
      </w:r>
    </w:p>
    <w:p>
      <w:pPr>
        <w:numPr>
          <w:ilvl w:val="0"/>
          <w:numId w:val="302"/>
        </w:numPr>
        <w:pStyle w:val="Para 01"/>
      </w:pPr>
      <w:r>
        <w:t>Người ta cũng lập luận rằng định giá dựa trên các tài sản so sánh được thì đơn giản hơn nhiều so với định giá dòng tiền chiết khấu vì nó không đòi hỏi, ít nhất là một cách rõ ràng, việc ước tính tỷ lệ chiết khấu và dòng tiền.</w:t>
      </w:r>
    </w:p>
    <w:p>
      <w:pPr>
        <w:numPr>
          <w:ilvl w:val="0"/>
          <w:numId w:val="302"/>
        </w:numPr>
        <w:pStyle w:val="Para 01"/>
      </w:pPr>
    </w:p>
    <w:p>
      <w:bookmarkStart w:id="5565" w:name="What_Is_a_Comparable_Asset"/>
      <w:bookmarkStart w:id="5566" w:name="What_Is_a_Comparable_Asset___The"/>
      <w:pPr>
        <w:keepNext/>
        <w:pStyle w:val="Heading 3"/>
        <w:keepLines w:val="on"/>
      </w:pPr>
      <w:r>
        <w:t>Một tài sản so sánh được là gì?</w:t>
      </w:r>
      <w:bookmarkEnd w:id="5565"/>
      <w:bookmarkEnd w:id="5566"/>
    </w:p>
    <w:p>
      <w:pPr>
        <w:pStyle w:val="Para 03"/>
      </w:pPr>
      <w:r>
        <w:t>Hạn chế then chốt của mọi phương pháp dựa trên so sánh nằm ở chính định nghĩa về "so sánh được". Với cổ phiếu, những khác biệt về tăng trưởng, rủi ro và tỷ lệ chi trả cổ tức giữa các cổ phiếu phải được điều chỉnh trước khi so sánh tỷ số giá trên thu nhập. Nhiều nhà phân tích chọn cách giới hạn việc so sánh cổ phiếu trong cùng một nhóm ngành, để giữ cho tập hợp tương đối đồng nhất. Với bất động sản, những khác biệt về khả năng tạo thu nhập, quy mô, độ lớn, vị trí, tuổi thọ và chất lượng xây dựng phải được tính đến trước khi thực hiện so sánh. Một số điều chỉnh này khá đơn giản (như khác biệt về quy mô), trong khi những điều chỉnh khác lại mang tính chủ quan (như khác biệt về chất lượng xây dựng).</w:t>
      </w:r>
    </w:p>
    <w:p>
      <w:bookmarkStart w:id="5567" w:name="Use_of_Standardized_Pricing_Esti"/>
      <w:bookmarkStart w:id="5568" w:name="Use_of_Standardized_Pricing_Esti_1"/>
      <w:pPr>
        <w:keepNext/>
        <w:pStyle w:val="Heading 3"/>
        <w:keepLines w:val="on"/>
      </w:pPr>
      <w:r>
        <w:t>Việc sử dụng các ước lượng định giá đã chuẩn hóa</w:t>
      </w:r>
      <w:bookmarkEnd w:id="5567"/>
      <w:bookmarkEnd w:id="5568"/>
    </w:p>
    <w:p>
      <w:pPr>
        <w:pStyle w:val="Para 03"/>
      </w:pPr>
      <w:r>
        <w:t>Khi định giá tài sản dựa trên các tài sản so sánh được, việc định giá phải được chuẩn hóa để so sánh. Với cổ phiếu, việc chuẩn hóa này thường được thực hiện bằng cách chia giá mỗi cổ phần cho thu nhập mỗi cổ phần (PE) hoặc giá trị sổ sách mỗi cổ phần (PBV). Với bất động sản, việc điều chỉnh này được thực hiện thông qua:</w:t>
      </w:r>
    </w:p>
    <w:p>
      <w:pPr>
        <w:numPr>
          <w:ilvl w:val="0"/>
          <w:numId w:val="303"/>
        </w:numPr>
        <w:pStyle w:val="Para 01"/>
      </w:pPr>
      <w:r>
        <w:t>Quy mô. Thước đo chuẩn hóa đơn giản nhất là giá trên mỗi foot vuông, tức chuẩn hóa giá trị theo diện tích của tòa nhà. Trong cho thuê văn phòng, nơi diện tích foot vuông là yếu tố then chốt quyết định doanh thu cho thuê, đây có thể là một điều chỉnh hữu ích. Tuy nhiên, nó không tính đến khác biệt ở bất kỳ khía cạnh nào khác.</w:t>
      </w:r>
    </w:p>
    <w:p>
      <w:pPr>
        <w:numPr>
          <w:ilvl w:val="0"/>
          <w:numId w:val="303"/>
        </w:numPr>
        <w:pStyle w:val="Para 01"/>
      </w:pPr>
      <w:r>
        <w:t>Thu nhập. Giá trị của một tài sản có thể được chuẩn hóa bằng thu nhập của nó. Ví dụ, hệ số nhân thu nhập gộp (giá bất động sản/thu nhập gộp hằng năm) là một thước đo giá trị đã chuẩn hóa theo thu nhập. Ưu điểm của cách tiếp cận này là thu nhập đã bao hàm những khác biệt về quy mô, chất lượng xây dựng và vị trí.7 Thu nhập gộp phải được tính trước các khoản thanh toán nợ, vì khác biệt về đòn bẩy có thể gây ra chênh lệch lớn trong thu nhập dành cho nhà đầu tư vốn cổ phần.</w:t>
      </w:r>
    </w:p>
    <w:p>
      <w:bookmarkStart w:id="5571" w:name="Why_Comparables_Often_Work_Bette"/>
      <w:bookmarkStart w:id="5572" w:name="Why_Comparables_Often_Work_Bette_1"/>
      <w:pPr>
        <w:keepNext/>
        <w:pStyle w:val="Heading 3"/>
        <w:keepLines w:val="on"/>
      </w:pPr>
      <w:r>
        <w:t>Vì sao phương pháp so sánh thường hiệu quả hơn với bất động sản so với cổ phiếu</w:t>
      </w:r>
      <w:bookmarkEnd w:id="5571"/>
      <w:bookmarkEnd w:id="5572"/>
    </w:p>
    <w:p>
      <w:pPr>
        <w:pStyle w:val="Para 03"/>
      </w:pPr>
      <w:r>
        <w:t>Một trong những khó khăn khi dùng phương pháp so sánh để định giá cổ phiếu là đặc điểm rủi ro và tăng trưởng có thể khác biệt rất lớn giữa các cổ phiếu, ngay cả trong cùng một nhóm ngành. Với các bất động sản trong cùng một khu vực, có thể lập luận rằng đặc điểm tăng trưởng và rủi ro của những bất động sản này rất giống nhau.</w:t>
      </w:r>
    </w:p>
    <w:p>
      <w:pPr>
        <w:pStyle w:val="Para 11"/>
      </w:pPr>
      <w:r>
        <w:t xml:space="preserve"> </w:t>
      </w:r>
    </w:p>
    <w:p>
      <w:bookmarkStart w:id="5573" w:name="ILLUSTRATION_26_3__Pricing_a_Pro"/>
      <w:bookmarkStart w:id="5574" w:name="ILLUSTRATION_26_3__Pricing_a_Pro_1"/>
      <w:pPr>
        <w:keepNext/>
        <w:pStyle w:val="Para 19"/>
        <w:keepLines w:val="on"/>
      </w:pPr>
      <w:r>
        <w:t>MINH HỌA 26.3: Định giá một bất động sản dựa trên các tài sản so sánh được vào năm 2000</w:t>
      </w:r>
      <w:bookmarkEnd w:id="5573"/>
      <w:bookmarkEnd w:id="5574"/>
    </w:p>
    <w:p>
      <w:pPr>
        <w:pStyle w:val="Para 04"/>
        <w:keepLines w:val="on"/>
      </w:pPr>
      <w:r>
        <w:t>Hãy xem xét bất động sản tại 711 Third Avenue đã được định giá bằng phương pháp chiết khấu dòng tiền. Bản thẩm định cũng ghi nhận tám bất động sản khác ở khu vực đó của Manhattan có đặc điểm gần như tương tự tòa nhà đang được thẩm định và đã được bán gần đây. Bảng 26.7 tóm tắt chi tiết của những bất động sản này cùng mức giá mà chúng được bán, cũng như thu nhập hoạt động ròng (NOI) của từng bất động sản:</w:t>
      </w:r>
    </w:p>
    <w:p>
      <w:pPr>
        <w:pStyle w:val="Para 25"/>
        <w:keepLines w:val="on"/>
      </w:pPr>
      <w:r>
        <w:t>Bảng 26.7</w:t>
      </w:r>
    </w:p>
    <w:p>
      <w:pPr>
        <w:keepNext/>
        <w:pStyle w:val="Para 24"/>
        <w:keepLines w:val="on"/>
      </w:pPr>
      <w:r>
        <w:t>Định giá bất động sản — Nhóm tương đồng</w:t>
      </w:r>
    </w:p>
    <w:tbl>
      <w:tblPr>
        <w:tblW w:type="auto" w:w="0"/>
      </w:tblPr>
      <w:tr>
        <w:tc>
          <w:tcPr>
            <w:tcW w:type="auto" w:w="0"/>
          </w:tcPr>
          <w:tbl>
            <w:tblPr>
              <w:tblW w:type="auto" w:w="0"/>
            </w:tblPr>
            <w:tr>
              <w:tc>
                <w:tcPr>
                  <w:tcW w:type="auto" w:w="0"/>
                  <w:shd w:val="clear" w:color="auto" w:fill="F0F0F0"/>
                </w:tcPr>
                <w:p>
                  <w:pPr>
                    <w:pStyle w:val="Para 32"/>
                    <w:keepLines w:val="on"/>
                  </w:pPr>
                  <w:r>
                    <w:t>Bất động sản</w:t>
                  </w:r>
                </w:p>
              </w:tc>
              <w:tc>
                <w:tcPr>
                  <w:tcW w:type="auto" w:w="0"/>
                  <w:shd w:val="clear" w:color="auto" w:fill="F0F0F0"/>
                </w:tcPr>
                <w:p>
                  <w:pPr>
                    <w:pStyle w:val="Para 05"/>
                    <w:keepLines w:val="on"/>
                  </w:pPr>
                  <w:r>
                    <w:t>Diện tích (foot vuông)</w:t>
                  </w:r>
                </w:p>
              </w:tc>
              <w:tc>
                <w:tcPr>
                  <w:tcW w:type="auto" w:w="0"/>
                  <w:shd w:val="clear" w:color="auto" w:fill="F0F0F0"/>
                </w:tcPr>
                <w:p>
                  <w:pPr>
                    <w:pStyle w:val="Para 05"/>
                    <w:keepLines w:val="on"/>
                  </w:pPr>
                  <w:r>
                    <w:t>Tỷ lệ lấp đầy</w:t>
                  </w:r>
                </w:p>
              </w:tc>
              <w:tc>
                <w:tcPr>
                  <w:tcW w:type="auto" w:w="0"/>
                  <w:shd w:val="clear" w:color="auto" w:fill="F0F0F0"/>
                </w:tcPr>
                <w:p>
                  <w:pPr>
                    <w:pStyle w:val="Para 05"/>
                    <w:keepLines w:val="on"/>
                  </w:pPr>
                  <w:r>
                    <w:t>Giá bán</w:t>
                  </w:r>
                </w:p>
              </w:tc>
              <w:tc>
                <w:tcPr>
                  <w:tcW w:type="auto" w:w="0"/>
                  <w:shd w:val="clear" w:color="auto" w:fill="F0F0F0"/>
                </w:tcPr>
                <w:p>
                  <w:pPr>
                    <w:pStyle w:val="Para 05"/>
                    <w:keepLines w:val="on"/>
                  </w:pPr>
                  <w:r>
                    <w:t>Giá/foot vuông</w:t>
                  </w:r>
                </w:p>
              </w:tc>
              <w:tc>
                <w:tcPr>
                  <w:tcW w:type="auto" w:w="0"/>
                  <w:shd w:val="clear" w:color="auto" w:fill="F0F0F0"/>
                </w:tcPr>
                <w:p>
                  <w:pPr>
                    <w:pStyle w:val="Para 05"/>
                    <w:keepLines w:val="on"/>
                  </w:pPr>
                  <w:r>
                    <w:t>NOI/foot vuông</w:t>
                  </w:r>
                </w:p>
              </w:tc>
              <w:tc>
                <w:tcPr>
                  <w:tcW w:type="auto" w:w="0"/>
                  <w:shd w:val="clear" w:color="auto" w:fill="F0F0F0"/>
                </w:tcPr>
                <w:p>
                  <w:pPr>
                    <w:pStyle w:val="Para 05"/>
                    <w:keepLines w:val="on"/>
                  </w:pPr>
                  <w:r>
                    <w:t>Giá/NOI</w:t>
                  </w:r>
                </w:p>
              </w:tc>
            </w:tr>
            <w:tr>
              <w:tc>
                <w:tcPr>
                  <w:tcW w:type="auto" w:w="0"/>
                  <w:shd w:val="clear" w:color="auto" w:fill="F0F0F0"/>
                </w:tcPr>
                <w:p>
                  <w:pPr>
                    <w:pStyle w:val="Para 02"/>
                    <w:keepLines w:val="on"/>
                  </w:pPr>
                  <w:r>
                    <w:t>900 Third Avenue</w:t>
                  </w:r>
                </w:p>
              </w:tc>
              <w:tc>
                <w:tcPr>
                  <w:tcW w:type="auto" w:w="0"/>
                  <w:shd w:val="clear" w:color="auto" w:fill="F0F0F0"/>
                </w:tcPr>
                <w:p>
                  <w:pPr>
                    <w:pStyle w:val="Normal"/>
                    <w:keepLines w:val="on"/>
                  </w:pPr>
                  <w:r>
                    <w:t>5,60,000</w:t>
                  </w:r>
                </w:p>
              </w:tc>
              <w:tc>
                <w:tcPr>
                  <w:tcW w:type="auto" w:w="0"/>
                  <w:shd w:val="clear" w:color="auto" w:fill="F0F0F0"/>
                </w:tcPr>
                <w:p>
                  <w:pPr>
                    <w:pStyle w:val="Normal"/>
                    <w:keepLines w:val="on"/>
                  </w:pPr>
                  <w:r>
                    <w:t>99%</w:t>
                  </w:r>
                </w:p>
              </w:tc>
              <w:tc>
                <w:tcPr>
                  <w:tcW w:type="auto" w:w="0"/>
                  <w:shd w:val="clear" w:color="auto" w:fill="F0F0F0"/>
                </w:tcPr>
                <w:p>
                  <w:pPr>
                    <w:pStyle w:val="Normal"/>
                    <w:keepLines w:val="on"/>
                  </w:pPr>
                  <w:r>
                    <w:t>$182,000,000</w:t>
                  </w:r>
                </w:p>
              </w:tc>
              <w:tc>
                <w:tcPr>
                  <w:tcW w:type="auto" w:w="0"/>
                  <w:shd w:val="clear" w:color="auto" w:fill="F0F0F0"/>
                </w:tcPr>
                <w:p>
                  <w:pPr>
                    <w:pStyle w:val="Normal"/>
                    <w:keepLines w:val="on"/>
                  </w:pPr>
                  <w:r>
                    <w:t>$325.00</w:t>
                  </w:r>
                </w:p>
              </w:tc>
              <w:tc>
                <w:tcPr>
                  <w:tcW w:type="auto" w:w="0"/>
                  <w:shd w:val="clear" w:color="auto" w:fill="F0F0F0"/>
                </w:tcPr>
                <w:p>
                  <w:pPr>
                    <w:pStyle w:val="Normal"/>
                    <w:keepLines w:val="on"/>
                  </w:pPr>
                  <w:r>
                    <w:t>26.98</w:t>
                  </w:r>
                </w:p>
              </w:tc>
              <w:tc>
                <w:tcPr>
                  <w:tcW w:type="auto" w:w="0"/>
                  <w:shd w:val="clear" w:color="auto" w:fill="F0F0F0"/>
                </w:tcPr>
                <w:p>
                  <w:pPr>
                    <w:pStyle w:val="Normal"/>
                    <w:keepLines w:val="on"/>
                  </w:pPr>
                  <w:r>
                    <w:t>12.05</w:t>
                  </w:r>
                </w:p>
              </w:tc>
            </w:tr>
            <w:tr>
              <w:tc>
                <w:tcPr>
                  <w:tcW w:type="auto" w:w="0"/>
                  <w:shd w:val="clear" w:color="auto" w:fill="F0F0F0"/>
                </w:tcPr>
                <w:p>
                  <w:pPr>
                    <w:pStyle w:val="Para 02"/>
                    <w:keepLines w:val="on"/>
                  </w:pPr>
                  <w:r>
                    <w:t>767 Third Avenue</w:t>
                  </w:r>
                </w:p>
              </w:tc>
              <w:tc>
                <w:tcPr>
                  <w:tcW w:type="auto" w:w="0"/>
                  <w:shd w:val="clear" w:color="auto" w:fill="F0F0F0"/>
                </w:tcPr>
                <w:p>
                  <w:pPr>
                    <w:pStyle w:val="Normal"/>
                    <w:keepLines w:val="on"/>
                  </w:pPr>
                  <w:r>
                    <w:t>4,56,007</w:t>
                  </w:r>
                </w:p>
              </w:tc>
              <w:tc>
                <w:tcPr>
                  <w:tcW w:type="auto" w:w="0"/>
                  <w:shd w:val="clear" w:color="auto" w:fill="F0F0F0"/>
                </w:tcPr>
                <w:p>
                  <w:pPr>
                    <w:pStyle w:val="Normal"/>
                    <w:keepLines w:val="on"/>
                  </w:pPr>
                  <w:r>
                    <w:t>95%</w:t>
                  </w:r>
                </w:p>
              </w:tc>
              <w:tc>
                <w:tcPr>
                  <w:tcW w:type="auto" w:w="0"/>
                  <w:shd w:val="clear" w:color="auto" w:fill="F0F0F0"/>
                </w:tcPr>
                <w:p>
                  <w:pPr>
                    <w:pStyle w:val="Normal"/>
                    <w:keepLines w:val="on"/>
                  </w:pPr>
                  <w:r>
                    <w:t>$ 95,000,000</w:t>
                  </w:r>
                </w:p>
              </w:tc>
              <w:tc>
                <w:tcPr>
                  <w:tcW w:type="auto" w:w="0"/>
                  <w:shd w:val="clear" w:color="auto" w:fill="F0F0F0"/>
                </w:tcPr>
                <w:p>
                  <w:pPr>
                    <w:pStyle w:val="Normal"/>
                    <w:keepLines w:val="on"/>
                  </w:pPr>
                  <w:r>
                    <w:t>$208.33</w:t>
                  </w:r>
                </w:p>
              </w:tc>
              <w:tc>
                <w:tcPr>
                  <w:tcW w:type="auto" w:w="0"/>
                  <w:shd w:val="clear" w:color="auto" w:fill="F0F0F0"/>
                </w:tcPr>
                <w:p>
                  <w:pPr>
                    <w:pStyle w:val="Normal"/>
                    <w:keepLines w:val="on"/>
                  </w:pPr>
                  <w:r>
                    <w:t>NA</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350 Madison Avenue</w:t>
                  </w:r>
                </w:p>
              </w:tc>
              <w:tc>
                <w:tcPr>
                  <w:tcW w:type="auto" w:w="0"/>
                  <w:shd w:val="clear" w:color="auto" w:fill="F0F0F0"/>
                </w:tcPr>
                <w:p>
                  <w:pPr>
                    <w:pStyle w:val="Normal"/>
                    <w:keepLines w:val="on"/>
                  </w:pPr>
                  <w:r>
                    <w:t>3,10,000</w:t>
                  </w:r>
                </w:p>
              </w:tc>
              <w:tc>
                <w:tcPr>
                  <w:tcW w:type="auto" w:w="0"/>
                  <w:shd w:val="clear" w:color="auto" w:fill="F0F0F0"/>
                </w:tcPr>
                <w:p>
                  <w:pPr>
                    <w:pStyle w:val="Normal"/>
                    <w:keepLines w:val="on"/>
                  </w:pPr>
                  <w:r>
                    <w:t>97%</w:t>
                  </w:r>
                </w:p>
              </w:tc>
              <w:tc>
                <w:tcPr>
                  <w:tcW w:type="auto" w:w="0"/>
                  <w:shd w:val="clear" w:color="auto" w:fill="F0F0F0"/>
                </w:tcPr>
                <w:p>
                  <w:pPr>
                    <w:pStyle w:val="Normal"/>
                    <w:keepLines w:val="on"/>
                  </w:pPr>
                  <w:r>
                    <w:t>$ 70,060,000</w:t>
                  </w:r>
                </w:p>
              </w:tc>
              <w:tc>
                <w:tcPr>
                  <w:tcW w:type="auto" w:w="0"/>
                  <w:shd w:val="clear" w:color="auto" w:fill="F0F0F0"/>
                </w:tcPr>
                <w:p>
                  <w:pPr>
                    <w:pStyle w:val="Normal"/>
                    <w:keepLines w:val="on"/>
                  </w:pPr>
                  <w:r>
                    <w:t>$226.00</w:t>
                  </w:r>
                </w:p>
              </w:tc>
              <w:tc>
                <w:tcPr>
                  <w:tcW w:type="auto" w:w="0"/>
                  <w:shd w:val="clear" w:color="auto" w:fill="F0F0F0"/>
                </w:tcPr>
                <w:p>
                  <w:pPr>
                    <w:pStyle w:val="Normal"/>
                    <w:keepLines w:val="on"/>
                  </w:pPr>
                  <w:r>
                    <w:t>17.6</w:t>
                  </w:r>
                </w:p>
              </w:tc>
              <w:tc>
                <w:tcPr>
                  <w:tcW w:type="auto" w:w="0"/>
                  <w:shd w:val="clear" w:color="auto" w:fill="F0F0F0"/>
                </w:tcPr>
                <w:p>
                  <w:pPr>
                    <w:pStyle w:val="Normal"/>
                    <w:keepLines w:val="on"/>
                  </w:pPr>
                  <w:r>
                    <w:t>12.84</w:t>
                  </w:r>
                </w:p>
              </w:tc>
            </w:tr>
            <w:tr>
              <w:tc>
                <w:tcPr>
                  <w:tcW w:type="auto" w:w="0"/>
                  <w:shd w:val="clear" w:color="auto" w:fill="F0F0F0"/>
                </w:tcPr>
                <w:p>
                  <w:pPr>
                    <w:pStyle w:val="Para 02"/>
                    <w:keepLines w:val="on"/>
                  </w:pPr>
                  <w:r>
                    <w:t>888 Seventh Avenue</w:t>
                  </w:r>
                </w:p>
              </w:tc>
              <w:tc>
                <w:tcPr>
                  <w:tcW w:type="auto" w:w="0"/>
                  <w:shd w:val="clear" w:color="auto" w:fill="F0F0F0"/>
                </w:tcPr>
                <w:p>
                  <w:pPr>
                    <w:pStyle w:val="Normal"/>
                    <w:keepLines w:val="on"/>
                  </w:pPr>
                  <w:r>
                    <w:t>8,38,680</w:t>
                  </w:r>
                </w:p>
              </w:tc>
              <w:tc>
                <w:tcPr>
                  <w:tcW w:type="auto" w:w="0"/>
                  <w:shd w:val="clear" w:color="auto" w:fill="F0F0F0"/>
                </w:tcPr>
                <w:p>
                  <w:pPr>
                    <w:pStyle w:val="Normal"/>
                    <w:keepLines w:val="on"/>
                  </w:pPr>
                  <w:r>
                    <w:t>96%</w:t>
                  </w:r>
                </w:p>
              </w:tc>
              <w:tc>
                <w:tcPr>
                  <w:tcW w:type="auto" w:w="0"/>
                  <w:shd w:val="clear" w:color="auto" w:fill="F0F0F0"/>
                </w:tcPr>
                <w:p>
                  <w:pPr>
                    <w:pStyle w:val="Normal"/>
                    <w:keepLines w:val="on"/>
                  </w:pPr>
                  <w:r>
                    <w:t>$154,500,000</w:t>
                  </w:r>
                </w:p>
              </w:tc>
              <w:tc>
                <w:tcPr>
                  <w:tcW w:type="auto" w:w="0"/>
                  <w:shd w:val="clear" w:color="auto" w:fill="F0F0F0"/>
                </w:tcPr>
                <w:p>
                  <w:pPr>
                    <w:pStyle w:val="Normal"/>
                    <w:keepLines w:val="on"/>
                  </w:pPr>
                  <w:r>
                    <w:t>$184.22</w:t>
                  </w:r>
                </w:p>
              </w:tc>
              <w:tc>
                <w:tcPr>
                  <w:tcW w:type="auto" w:w="0"/>
                  <w:shd w:val="clear" w:color="auto" w:fill="F0F0F0"/>
                </w:tcPr>
                <w:p>
                  <w:pPr>
                    <w:pStyle w:val="Normal"/>
                    <w:keepLines w:val="on"/>
                  </w:pPr>
                  <w:r>
                    <w:t>NA</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622 Third Avenue</w:t>
                  </w:r>
                </w:p>
              </w:tc>
              <w:tc>
                <w:tcPr>
                  <w:tcW w:type="auto" w:w="0"/>
                  <w:shd w:val="clear" w:color="auto" w:fill="F0F0F0"/>
                </w:tcPr>
                <w:p>
                  <w:pPr>
                    <w:pStyle w:val="Normal"/>
                    <w:keepLines w:val="on"/>
                  </w:pPr>
                  <w:r>
                    <w:t>8,74,434</w:t>
                  </w:r>
                </w:p>
              </w:tc>
              <w:tc>
                <w:tcPr>
                  <w:tcW w:type="auto" w:w="0"/>
                  <w:shd w:val="clear" w:color="auto" w:fill="F0F0F0"/>
                </w:tcPr>
                <w:p>
                  <w:pPr>
                    <w:pStyle w:val="Normal"/>
                    <w:keepLines w:val="on"/>
                  </w:pPr>
                  <w:r>
                    <w:t>97%</w:t>
                  </w:r>
                </w:p>
              </w:tc>
              <w:tc>
                <w:tcPr>
                  <w:tcW w:type="auto" w:w="0"/>
                  <w:shd w:val="clear" w:color="auto" w:fill="F0F0F0"/>
                </w:tcPr>
                <w:p>
                  <w:pPr>
                    <w:pStyle w:val="Normal"/>
                    <w:keepLines w:val="on"/>
                  </w:pPr>
                  <w:r>
                    <w:t>$172,000,000</w:t>
                  </w:r>
                </w:p>
              </w:tc>
              <w:tc>
                <w:tcPr>
                  <w:tcW w:type="auto" w:w="0"/>
                  <w:shd w:val="clear" w:color="auto" w:fill="F0F0F0"/>
                </w:tcPr>
                <w:p>
                  <w:pPr>
                    <w:pStyle w:val="Normal"/>
                    <w:keepLines w:val="on"/>
                  </w:pPr>
                  <w:r>
                    <w:t>$196.70</w:t>
                  </w:r>
                </w:p>
              </w:tc>
              <w:tc>
                <w:tcPr>
                  <w:tcW w:type="auto" w:w="0"/>
                  <w:shd w:val="clear" w:color="auto" w:fill="F0F0F0"/>
                </w:tcPr>
                <w:p>
                  <w:pPr>
                    <w:pStyle w:val="Normal"/>
                    <w:keepLines w:val="on"/>
                  </w:pPr>
                  <w:r>
                    <w:t>NA</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150 East 58th Street</w:t>
                  </w:r>
                </w:p>
              </w:tc>
              <w:tc>
                <w:tcPr>
                  <w:tcW w:type="auto" w:w="0"/>
                  <w:shd w:val="clear" w:color="auto" w:fill="F0F0F0"/>
                </w:tcPr>
                <w:p>
                  <w:pPr>
                    <w:pStyle w:val="Normal"/>
                    <w:keepLines w:val="on"/>
                  </w:pPr>
                  <w:r>
                    <w:t>5,07,178</w:t>
                  </w:r>
                </w:p>
              </w:tc>
              <w:tc>
                <w:tcPr>
                  <w:tcW w:type="auto" w:w="0"/>
                  <w:shd w:val="clear" w:color="auto" w:fill="F0F0F0"/>
                </w:tcPr>
                <w:p>
                  <w:pPr>
                    <w:pStyle w:val="Normal"/>
                    <w:keepLines w:val="on"/>
                  </w:pPr>
                  <w:r>
                    <w:t>95%</w:t>
                  </w:r>
                </w:p>
              </w:tc>
              <w:tc>
                <w:tcPr>
                  <w:tcW w:type="auto" w:w="0"/>
                  <w:shd w:val="clear" w:color="auto" w:fill="F0F0F0"/>
                </w:tcPr>
                <w:p>
                  <w:pPr>
                    <w:pStyle w:val="Normal"/>
                    <w:keepLines w:val="on"/>
                  </w:pPr>
                  <w:r>
                    <w:t>$118.000.000</w:t>
                  </w:r>
                </w:p>
              </w:tc>
              <w:tc>
                <w:tcPr>
                  <w:tcW w:type="auto" w:w="0"/>
                  <w:shd w:val="clear" w:color="auto" w:fill="F0F0F0"/>
                </w:tcPr>
                <w:p>
                  <w:pPr>
                    <w:pStyle w:val="Normal"/>
                    <w:keepLines w:val="on"/>
                  </w:pPr>
                  <w:r>
                    <w:t>$232,66</w:t>
                  </w:r>
                </w:p>
              </w:tc>
              <w:tc>
                <w:tcPr>
                  <w:tcW w:type="auto" w:w="0"/>
                  <w:shd w:val="clear" w:color="auto" w:fill="F0F0F0"/>
                </w:tcPr>
                <w:p>
                  <w:pPr>
                    <w:pStyle w:val="Normal"/>
                    <w:keepLines w:val="on"/>
                  </w:pPr>
                  <w:r>
                    <w:t>16,52</w:t>
                  </w:r>
                </w:p>
              </w:tc>
              <w:tc>
                <w:tcPr>
                  <w:tcW w:type="auto" w:w="0"/>
                  <w:shd w:val="clear" w:color="auto" w:fill="F0F0F0"/>
                </w:tcPr>
                <w:p>
                  <w:pPr>
                    <w:pStyle w:val="Normal"/>
                    <w:keepLines w:val="on"/>
                  </w:pPr>
                  <w:r>
                    <w:t>14,08</w:t>
                  </w:r>
                </w:p>
              </w:tc>
            </w:tr>
            <w:tr>
              <w:tc>
                <w:tcPr>
                  <w:tcW w:type="auto" w:w="0"/>
                  <w:shd w:val="clear" w:color="auto" w:fill="F0F0F0"/>
                </w:tcPr>
                <w:p>
                  <w:pPr>
                    <w:pStyle w:val="Para 02"/>
                    <w:keepLines w:val="on"/>
                  </w:pPr>
                  <w:r>
                    <w:t>1065 Avenue of the Americas</w:t>
                  </w:r>
                </w:p>
              </w:tc>
              <w:tc>
                <w:tcPr>
                  <w:tcW w:type="auto" w:w="0"/>
                  <w:shd w:val="clear" w:color="auto" w:fill="F0F0F0"/>
                </w:tcPr>
                <w:p>
                  <w:pPr>
                    <w:pStyle w:val="Normal"/>
                    <w:keepLines w:val="on"/>
                  </w:pPr>
                  <w:r>
                    <w:t>5,80,000</w:t>
                  </w:r>
                </w:p>
              </w:tc>
              <w:tc>
                <w:tcPr>
                  <w:tcW w:type="auto" w:w="0"/>
                  <w:shd w:val="clear" w:color="auto" w:fill="F0F0F0"/>
                </w:tcPr>
                <w:p>
                  <w:pPr>
                    <w:pStyle w:val="Normal"/>
                    <w:keepLines w:val="on"/>
                  </w:pPr>
                  <w:r>
                    <w:t>95%</w:t>
                  </w:r>
                </w:p>
              </w:tc>
              <w:tc>
                <w:tcPr>
                  <w:tcW w:type="auto" w:w="0"/>
                  <w:shd w:val="clear" w:color="auto" w:fill="F0F0F0"/>
                </w:tcPr>
                <w:p>
                  <w:pPr>
                    <w:pStyle w:val="Normal"/>
                    <w:keepLines w:val="on"/>
                  </w:pPr>
                  <w:r>
                    <w:t>$ 59.000.000</w:t>
                  </w:r>
                </w:p>
              </w:tc>
              <w:tc>
                <w:tcPr>
                  <w:tcW w:type="auto" w:w="0"/>
                  <w:shd w:val="clear" w:color="auto" w:fill="F0F0F0"/>
                </w:tcPr>
                <w:p>
                  <w:pPr>
                    <w:pStyle w:val="Normal"/>
                    <w:keepLines w:val="on"/>
                  </w:pPr>
                  <w:r>
                    <w:t>$101,72</w:t>
                  </w:r>
                </w:p>
              </w:tc>
              <w:tc>
                <w:tcPr>
                  <w:tcW w:type="auto" w:w="0"/>
                  <w:shd w:val="clear" w:color="auto" w:fill="F0F0F0"/>
                </w:tcPr>
                <w:p>
                  <w:pPr>
                    <w:pStyle w:val="Normal"/>
                    <w:keepLines w:val="on"/>
                  </w:pPr>
                  <w:r>
                    <w:t>NA</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810 Seventh Avenue</w:t>
                  </w:r>
                </w:p>
              </w:tc>
              <w:tc>
                <w:tcPr>
                  <w:tcW w:type="auto" w:w="0"/>
                  <w:shd w:val="clear" w:color="auto" w:fill="F0F0F0"/>
                </w:tcPr>
                <w:p>
                  <w:pPr>
                    <w:pStyle w:val="Normal"/>
                    <w:keepLines w:val="on"/>
                  </w:pPr>
                  <w:r>
                    <w:t>6,46,000</w:t>
                  </w:r>
                </w:p>
              </w:tc>
              <w:tc>
                <w:tcPr>
                  <w:tcW w:type="auto" w:w="0"/>
                  <w:shd w:val="clear" w:color="auto" w:fill="F0F0F0"/>
                </w:tcPr>
                <w:p>
                  <w:pPr>
                    <w:pStyle w:val="Normal"/>
                    <w:keepLines w:val="on"/>
                  </w:pPr>
                  <w:r>
                    <w:t>95%</w:t>
                  </w:r>
                </w:p>
              </w:tc>
              <w:tc>
                <w:tcPr>
                  <w:tcW w:type="auto" w:w="0"/>
                  <w:shd w:val="clear" w:color="auto" w:fill="F0F0F0"/>
                </w:tcPr>
                <w:p>
                  <w:pPr>
                    <w:pStyle w:val="Normal"/>
                    <w:keepLines w:val="on"/>
                  </w:pPr>
                  <w:r>
                    <w:t>$141.000.000</w:t>
                  </w:r>
                </w:p>
              </w:tc>
              <w:tc>
                <w:tcPr>
                  <w:tcW w:type="auto" w:w="0"/>
                  <w:shd w:val="clear" w:color="auto" w:fill="F0F0F0"/>
                </w:tcPr>
                <w:p>
                  <w:pPr>
                    <w:pStyle w:val="Normal"/>
                    <w:keepLines w:val="on"/>
                  </w:pPr>
                  <w:r>
                    <w:t>$218,27</w:t>
                  </w:r>
                </w:p>
              </w:tc>
              <w:tc>
                <w:tcPr>
                  <w:tcW w:type="auto" w:w="0"/>
                  <w:shd w:val="clear" w:color="auto" w:fill="F0F0F0"/>
                </w:tcPr>
                <w:p>
                  <w:pPr>
                    <w:pStyle w:val="Normal"/>
                    <w:keepLines w:val="on"/>
                  </w:pPr>
                  <w:r>
                    <w:t>15,17</w:t>
                  </w:r>
                </w:p>
              </w:tc>
              <w:tc>
                <w:tcPr>
                  <w:tcW w:type="auto" w:w="0"/>
                  <w:shd w:val="clear" w:color="auto" w:fill="F0F0F0"/>
                </w:tcPr>
                <w:p>
                  <w:pPr>
                    <w:pStyle w:val="Normal"/>
                    <w:keepLines w:val="on"/>
                  </w:pPr>
                  <w:r>
                    <w:t>14,39</w:t>
                  </w:r>
                </w:p>
              </w:tc>
            </w:tr>
            <w:tr>
              <w:tc>
                <w:tcPr>
                  <w:tcW w:type="auto" w:w="0"/>
                  <w:shd w:val="clear" w:color="auto" w:fill="F0F0F0"/>
                </w:tcPr>
                <w:p>
                  <w:pPr>
                    <w:pStyle w:val="Para 02"/>
                    <w:keepLines w:val="on"/>
                  </w:pPr>
                  <w:r>
                    <w:t>Trung bình</w:t>
                  </w:r>
                </w:p>
              </w:tc>
              <w:tc>
                <w:tcPr>
                  <w:tcW w:type="auto" w:w="0"/>
                  <w:shd w:val="clear" w:color="auto" w:fill="F0F0F0"/>
                </w:tcPr>
                <w:p>
                  <w:pPr>
                    <w:pStyle w:val="7 Block"/>
                    <w:keepLines w:val="on"/>
                  </w:pPr>
                </w:p>
              </w:tc>
              <w:tc>
                <w:tcPr>
                  <w:tcW w:type="auto" w:w="0"/>
                  <w:shd w:val="clear" w:color="auto" w:fill="F0F0F0"/>
                </w:tcPr>
                <w:p>
                  <w:pPr>
                    <w:pStyle w:val="Normal"/>
                    <w:keepLines w:val="on"/>
                  </w:pPr>
                  <w:r>
                    <w:t>96,13%</w:t>
                  </w:r>
                </w:p>
              </w:tc>
              <w:tc>
                <w:tcPr>
                  <w:tcW w:type="auto" w:w="0"/>
                  <w:shd w:val="clear" w:color="auto" w:fill="F0F0F0"/>
                </w:tcPr>
                <w:p>
                  <w:pPr>
                    <w:pStyle w:val="7 Block"/>
                    <w:keepLines w:val="on"/>
                  </w:pPr>
                </w:p>
              </w:tc>
              <w:tc>
                <w:tcPr>
                  <w:tcW w:type="auto" w:w="0"/>
                  <w:shd w:val="clear" w:color="auto" w:fill="F0F0F0"/>
                </w:tcPr>
                <w:p>
                  <w:pPr>
                    <w:pStyle w:val="Normal"/>
                    <w:keepLines w:val="on"/>
                  </w:pPr>
                  <w:r>
                    <w:t>$211,61</w:t>
                  </w:r>
                </w:p>
              </w:tc>
              <w:tc>
                <w:tcPr>
                  <w:tcW w:type="auto" w:w="0"/>
                  <w:shd w:val="clear" w:color="auto" w:fill="F0F0F0"/>
                </w:tcPr>
                <w:p>
                  <w:pPr>
                    <w:pStyle w:val="7 Block"/>
                    <w:keepLines w:val="on"/>
                  </w:pPr>
                </w:p>
              </w:tc>
              <w:tc>
                <w:tcPr>
                  <w:tcW w:type="auto" w:w="0"/>
                  <w:shd w:val="clear" w:color="auto" w:fill="F0F0F0"/>
                </w:tcPr>
                <w:p>
                  <w:pPr>
                    <w:pStyle w:val="Normal"/>
                    <w:keepLines w:val="on"/>
                  </w:pPr>
                  <w:r>
                    <w:t>13,34</w:t>
                  </w:r>
                </w:p>
              </w:tc>
            </w:tr>
          </w:tbl>
          <w:p/>
        </w:tc>
      </w:tr>
    </w:tbl>
    <w:p>
      <w:pPr>
        <w:pStyle w:val="Para 04"/>
        <w:keepLines w:val="on"/>
      </w:pPr>
      <w:r>
        <w:t>Bất động sản tại 711 Third Avenue có 528.357 feet vuông diện tích cho thuê, tỷ lệ lấp đầy 95% và tạo ra thu nhập hoạt động ròng 6,107 triệu đô la trong năm gần nhất. Dựa trên giá trung bình mỗi feet vuông, giá trị của bất động sản này là:</w:t>
      </w:r>
    </w:p>
    <w:p>
      <w:bookmarkStart w:id="5576" w:name="Pricing_of_711_Third_Avenue_Squa"/>
      <w:pPr>
        <w:keepNext/>
        <w:pStyle w:val="Para 07"/>
        <w:keepLines w:val="on"/>
      </w:pPr>
      <w:r>
        <w:t>Định giá 711 Third Avenue = Diện tích (feet vuông) × Giá mỗi feet vuông = 528.357 feet vuông × 211,61 đô la mỗi feet vuông = 111,807 triệu đô la</w:t>
      </w:r>
      <w:bookmarkEnd w:id="5576"/>
    </w:p>
    <w:p>
      <w:pPr>
        <w:pStyle w:val="Para 04"/>
        <w:keepLines w:val="on"/>
      </w:pPr>
      <w:r>
        <w:t>Nếu chúng ta điều chỉnh cho thực tế rằng tỷ lệ lấp đầy tại 711 Third Avenue thấp hơn một chút so với tòa nhà trung bình, chúng ta sẽ ước tính như sau:</w:t>
      </w:r>
    </w:p>
    <w:p>
      <w:bookmarkStart w:id="5577" w:name="Pricing_of_711_Third_Avenue_Squa_1"/>
      <w:pPr>
        <w:keepNext/>
        <w:pStyle w:val="Para 07"/>
        <w:keepLines w:val="on"/>
      </w:pPr>
      <w:r>
        <w:t>Định giá 711 Third Avenue = Diện tích (feet vuông) × (Tỷ lệ lấp đầy 711 Third/Tỷ lệ lấp đầy trung bình) × Giá mỗi feet vuông = 528.357 feet vuông × (95%/96,13%) × 211,61 đô la mỗi feet vuông = 110,498 triệu đô la</w:t>
      </w:r>
      <w:bookmarkEnd w:id="5577"/>
    </w:p>
    <w:p>
      <w:pPr>
        <w:pStyle w:val="Para 04"/>
        <w:keepLines w:val="on"/>
      </w:pPr>
      <w:r>
        <w:t>Cuối cùng, nếu chúng ta áp dụng cho bất động sản này bội số của thu nhập hoạt động dựa trên bốn bất động sản mà ta có dữ liệu:</w:t>
      </w:r>
    </w:p>
    <w:p>
      <w:bookmarkStart w:id="5579" w:name="Pricing_of_711_Third_Avenue_Net"/>
      <w:pPr>
        <w:keepNext/>
        <w:pStyle w:val="Para 07"/>
        <w:keepLines w:val="on"/>
      </w:pPr>
      <w:r>
        <w:t>Định giá 711 Third Avenue = Thu nhập hoạt động ròng × Giá trung bình/NOI = 6,107 × 13,34 = 81,470 triệu đô la</w:t>
      </w:r>
      <w:bookmarkEnd w:id="5579"/>
    </w:p>
    <w:p>
      <w:pPr>
        <w:pStyle w:val="Para 04"/>
        <w:keepLines w:val="on"/>
      </w:pPr>
      <w:r>
        <w:t>Việc dùng giá trị nào trong số này sẽ phụ thuộc vào việc bạn nhìn nhận thu nhập hoạt động trên mỗi feet vuông thấp hơn tại 711 Third Avenue là hệ quả của việc quản lý kém hay là đặc điểm của tòa nhà — vị trí và tình trạng. Nếu là nguyên nhân đầu tiên, bạn có thể sẵn sàng trả mức giá cao hơn (111 triệu đô la). Nếu là nguyên nhân thứ hai, bạn chỉ trả 81,4 triệu đô la.</w:t>
      </w:r>
    </w:p>
    <w:p>
      <w:bookmarkStart w:id="5580" w:name="Regression_Approach__One_way_to"/>
      <w:bookmarkStart w:id="5581" w:name="Regression_Approach_1"/>
      <w:pPr>
        <w:keepNext/>
        <w:pStyle w:val="Heading 3"/>
        <w:keepLines w:val="on"/>
      </w:pPr>
      <w:r>
        <w:t>Phương pháp hồi quy</w:t>
      </w:r>
      <w:bookmarkEnd w:id="5580"/>
      <w:bookmarkEnd w:id="5581"/>
    </w:p>
    <w:p>
      <w:pPr>
        <w:pStyle w:val="Para 03"/>
      </w:pPr>
      <w:r>
        <w:t>Một cách để mở rộng phạm vi của định giá tương đối đối với cổ phiếu là phương pháp hồi quy (regression approach), trong đó các bội số giá trên thu nhập (P/E) hoặc giá trên giá trị sổ sách (P/B) được hồi quy dựa trên các biến độc lập gây ra sự khác biệt trong các bội số này — rủi ro, tăng trưởng và tỷ lệ chi trả. Vì các biến gây ra sự khác biệt trong giá trị bất động sản tại một địa phương khá rõ ràng — tỷ lệ trống, quy mô và khả năng tạo thu nhập, cùng nhiều yếu tố khác — nên việc sử dụng phương pháp này để phân tích bất động sản về lý thuyết khá đơn giản. Trên thực tế, đây chính là phương pháp mà Zillow sử dụng để cung cấp các ước tính z-estimate cho bất động sản nhà ở trên trang web của mình.</w:t>
      </w:r>
    </w:p>
    <w:p>
      <w:pPr>
        <w:pStyle w:val="Para 11"/>
      </w:pPr>
      <w:r>
        <w:t xml:space="preserve"> </w:t>
      </w:r>
    </w:p>
    <w:p>
      <w:bookmarkStart w:id="5582" w:name="ILLUSTRATION_26_4__Regression_Ap"/>
      <w:bookmarkStart w:id="5583" w:name="ILLUSTRATION_26_4__Regression_Ap_1"/>
      <w:pPr>
        <w:keepNext/>
        <w:pStyle w:val="Para 19"/>
        <w:keepLines w:val="on"/>
      </w:pPr>
      <w:r>
        <w:t>MINH HỌA 26.4: Phương pháp hồi quy</w:t>
      </w:r>
      <w:bookmarkEnd w:id="5582"/>
      <w:bookmarkEnd w:id="5583"/>
    </w:p>
    <w:p>
      <w:pPr>
        <w:pStyle w:val="Para 04"/>
        <w:keepLines w:val="on"/>
      </w:pPr>
      <w:r>
        <w:t>Bạn có thể hồi quy giá mỗi feet vuông của tám bất động sản trong Minh họa 26.3 dựa trên tỷ lệ lấp đầy và thu được kết quả sau:</w:t>
      </w:r>
    </w:p>
    <w:p>
      <w:bookmarkStart w:id="5584" w:name="Price_per_square_foot__2_535_50"/>
      <w:pPr>
        <w:keepNext/>
        <w:pStyle w:val="Para 07"/>
        <w:keepLines w:val="on"/>
      </w:pPr>
      <w:r>
        <w:t>Giá mỗi feet vuông = -2.535,50 + 2.857,86 × Tỷ lệ lấp đầy, R2 = 46%, 2,07 [2,25]</w:t>
      </w:r>
      <w:bookmarkEnd w:id="5584"/>
    </w:p>
    <w:p>
      <w:pPr>
        <w:pStyle w:val="Para 04"/>
        <w:keepLines w:val="on"/>
      </w:pPr>
      <w:r>
        <w:t>Sử dụng hồi quy này, chúng ta sẽ có được giá ước tính mỗi feet vuông cho 711 Third Avenue, với tỷ lệ lấp đầy 95%:</w:t>
      </w:r>
    </w:p>
    <w:p>
      <w:bookmarkStart w:id="5585" w:name="Price_per_square_foot__2_535_70"/>
      <w:pPr>
        <w:keepNext/>
        <w:pStyle w:val="Para 07"/>
        <w:keepLines w:val="on"/>
      </w:pPr>
      <w:r>
        <w:t>Giá mỗi feet vuông = -2.535,70 + 2.857,86 × (0,95) = 179,46 đô la; Định giá 711 Third Avenue = 528.357 × 179,46 đô la = 94,820 triệu đô la</w:t>
      </w:r>
      <w:bookmarkEnd w:id="5585"/>
    </w:p>
    <w:p>
      <w:pPr>
        <w:pStyle w:val="Para 04"/>
        <w:keepLines w:val="on"/>
      </w:pPr>
      <w:r>
        <w:t>Hồi quy này rõ ràng bị hạn chế về sức mạnh vì chỉ có tám quan sát và các tỷ lệ lấp đầy rất giống nhau. Nếu chúng ta có thể thu thập thông tin về nhiều bất động sản hơn và đưa vào các biến có sự khác biệt lớn hơn — ví dụ như một biến đo tuổi của tòa nhà — chúng ta sẽ có thể đưa ra những dự đoán mạnh mẽ hơn nhiều.</w:t>
      </w:r>
    </w:p>
    <w:p>
      <w:bookmarkStart w:id="5586" w:name="Valuing_Real_Estate_Businesses"/>
      <w:bookmarkStart w:id="5587" w:name="Valuing_Real_Estate_Businesses_1"/>
      <w:pPr>
        <w:keepNext/>
        <w:pStyle w:val="Heading 2"/>
        <w:keepLines w:val="on"/>
      </w:pPr>
      <w:r>
        <w:t>Định giá doanh nghiệp bất động sản</w:t>
      </w:r>
      <w:bookmarkEnd w:id="5586"/>
      <w:bookmarkEnd w:id="5587"/>
    </w:p>
    <w:p>
      <w:pPr>
        <w:pStyle w:val="Para 03"/>
      </w:pPr>
      <w:r>
        <w:t>Phần lớn chương này tập trung vào định giá bất động sản. Phần này xem xét việc mở rộng phân tích để định giá một doanh nghiệp bất động sản. Để định giá một doanh nghiệp như vậy, bạn phải xem xét các nguồn thu nhập của nó, rồi sau đó nhìn vào cơ cấu tổ chức của nó.</w:t>
      </w:r>
    </w:p>
    <w:p>
      <w:pPr>
        <w:pStyle w:val="Para 20"/>
      </w:pPr>
      <w:r>
        <w:rPr>
          <w:rStyle w:val="Text26"/>
        </w:rPr>
        <w:bookmarkStart w:id="5588" w:name="Page_863"/>
        <w:t/>
        <w:bookmarkEnd w:id="5588"/>
      </w:r>
      <w:r>
        <w:t xml:space="preserve"> </w:t>
      </w:r>
    </w:p>
    <w:p>
      <w:bookmarkStart w:id="5589" w:name="Sources_of_Income"/>
      <w:bookmarkStart w:id="5590" w:name="Sources_of_Income__Real_estate_b"/>
      <w:pPr>
        <w:keepNext/>
        <w:pStyle w:val="Heading 3"/>
        <w:keepLines w:val="on"/>
      </w:pPr>
      <w:r>
        <w:t>Các nguồn thu nhập</w:t>
      </w:r>
      <w:bookmarkEnd w:id="5589"/>
      <w:bookmarkEnd w:id="5590"/>
    </w:p>
    <w:p>
      <w:pPr>
        <w:pStyle w:val="Para 03"/>
      </w:pPr>
      <w:r>
        <w:t>Các doanh nghiệp bất động sản rất đa dạng về cách tạo ra thu nhập, và cách bạn tiếp cận định giá cũng sẽ khác nhau. Cụ thể, chúng ta có thể phân loại các công ty bất động sản thành bốn nhóm kinh doanh.</w:t>
      </w:r>
    </w:p>
    <w:p>
      <w:pPr>
        <w:numPr>
          <w:ilvl w:val="0"/>
          <w:numId w:val="304"/>
        </w:numPr>
        <w:pStyle w:val="Para 01"/>
      </w:pPr>
      <w:r>
        <w:t>Thu nhập từ dịch vụ. Một số công ty tạo thu nhập chỉ từ việc cung cấp dịch vụ quản lý hoặc dịch vụ hỗ trợ cho chủ sở hữu bất động sản — ví dụ như bán hàng, bảo vệ hoặc bảo trì. Định giá những công ty này tương đối đơn giản và đòi hỏi các giả định về cách tính phí (ví dụ, nhiều hợp đồng dịch vụ quản lý được ghi là một tỷ lệ phần trăm trên tổng thu nhập của bất động sản) và mức thu nhập từ phí sẽ tăng bao nhiêu theo thời gian. Những công ty hiệu quả hơn hoặc có danh tiếng tốt hơn (thương hiệu) có thể thu phí cao hơn và có giá trị cao hơn.</w:t>
      </w:r>
    </w:p>
    <w:p>
      <w:pPr>
        <w:numPr>
          <w:ilvl w:val="0"/>
          <w:numId w:val="304"/>
        </w:numPr>
        <w:pStyle w:val="Para 01"/>
      </w:pPr>
      <w:r>
        <w:t>Xây dựng bất động sản. Những doanh nghiệp này kiếm thu nhập từ việc xây dựng bất động sản — xây dựng các công trình nhà ở hoặc thương mại. Họ thường đồng ý bàn giao các đơn vị ở mức giá cố định theo hợp đồng và tạo ra lợi nhuận từ việc có thể xây dựng chúng với chi phí thấp hơn. Những công ty tiết kiệm chi phí hơn thường sẽ kiếm được lợi nhuận cao hơn và có giá trị cao hơn. Tuy nhiên, ở đây một lần nữa, danh tiếng có thể tạo ra sự khác biệt, và những công ty gắn với chất lượng xây dựng cao có thể thu được mức giá cao hơn.</w:t>
      </w:r>
    </w:p>
    <w:p>
      <w:pPr>
        <w:numPr>
          <w:ilvl w:val="0"/>
          <w:numId w:val="304"/>
        </w:numPr>
        <w:pStyle w:val="Para 01"/>
      </w:pPr>
      <w:r>
        <w:t>Phát triển bất động sản. Những doanh nghiệp này thường mua đất trống hoặc đất chưa được sử dụng hết, xây dựng công trình mới và bán các đơn vị cho các nhà đầu tư bất động sản. Họ thường không giữ lại bất động sản nhằm mục đích tạo thu nhập liên tục. Giá trị của những doanh nghiệp này sẽ được quyết định bởi khả năng đánh giá nhu cầu thị trường và hoàn thành xây dựng vừa nhanh vừa với chi phí thấp.</w:t>
      </w:r>
    </w:p>
    <w:p>
      <w:pPr>
        <w:numPr>
          <w:ilvl w:val="0"/>
          <w:numId w:val="304"/>
        </w:numPr>
        <w:pStyle w:val="Para 01"/>
      </w:pPr>
      <w:r>
        <w:t>Đầu tư bất động sản. Đây là những doanh nghiệp mua bất động sản như một khoản đầu tư tạo thu nhập. Cách đơn giản nhất để định giá những doanh nghiệp này là định giá từng bất động sản mà họ sở hữu rồi cộng gộp lại. Tuy nhiên, có thể có một khoản phụ trội (premium) được cộng thêm vào giá trị này nếu doanh nghiệp đã cho thấy khả năng liên tục mua được những bất động sản bị định giá thấp.</w:t>
      </w:r>
    </w:p>
    <w:p>
      <w:pPr>
        <w:pStyle w:val="Para 03"/>
      </w:pPr>
      <w:r>
        <w:t>Như vậy, những yếu tố chúng ta nên cân nhắc khi định giá doanh nghiệp bất động sản cũng chính là những yếu tố chúng ta cân nhắc trong bất kỳ hoạt động định giá nào — khả năng tạo ra không chỉ dòng tiền mà còn cả lợi nhuận vượt trội (excess returns), và sự bất định gắn liền với những dòng tiền này.</w:t>
      </w:r>
    </w:p>
    <w:p>
      <w:bookmarkStart w:id="5591" w:name="Organizational_Structure__There"/>
      <w:bookmarkStart w:id="5592" w:name="Organizational_Structure"/>
      <w:pPr>
        <w:keepNext/>
        <w:pStyle w:val="Heading 3"/>
        <w:keepLines w:val="on"/>
      </w:pPr>
      <w:r>
        <w:t>Cơ cấu tổ chức</w:t>
      </w:r>
      <w:bookmarkEnd w:id="5591"/>
      <w:bookmarkEnd w:id="5592"/>
    </w:p>
    <w:p>
      <w:pPr>
        <w:pStyle w:val="Para 03"/>
      </w:pPr>
      <w:r>
        <w:t>Có bốn hình thức tổ chức cơ bản dành cho doanh nghiệp bất động sản — quỹ tín thác đầu tư bất động sản (real estate investment trust – REIT), công ty hợp danh hữu hạn chủ (master limited partnership – MLP), quỹ tín thác kinh doanh (business trust), và công ty bất động sản (real estate corporation). Chúng khác nhau ở hai điểm chính:</w:t>
      </w:r>
    </w:p>
    <w:p>
      <w:bookmarkStart w:id="5593" w:name="Structure_of_Taxation__Single_ta"/>
      <w:bookmarkStart w:id="5594" w:name="Structure_of_Taxation"/>
      <w:pPr>
        <w:keepNext/>
        <w:pStyle w:val="Heading 4"/>
        <w:keepLines w:val="on"/>
      </w:pPr>
      <w:r>
        <w:t>Cấu trúc thuế</w:t>
      </w:r>
      <w:bookmarkEnd w:id="5593"/>
      <w:bookmarkEnd w:id="5594"/>
    </w:p>
    <w:p>
      <w:pPr>
        <w:pStyle w:val="Para 03"/>
      </w:pPr>
      <w:r>
        <w:t>Đánh thuế một lần là đặc điểm của REIT và MLP, vì cả hai đều bị đánh thuế ở cấp nhà đầu tư mà không bị đánh thuế ở cấp doanh nghiệp. Ưu đãi thuế này được dành cho REIT để bù đắp cho những hạn chế nhất định về chính sách đầu tư và cổ tức mà REIT phải tuân thủ. MLP chỉ được hưởng quy chế đánh thuế một lần nếu họ đầu tư vào một số hoạt động nhất định, chẳng hạn như bất động sản hoặc dầu khí. Nếu không, vì mục đích thuế, MLP bị đối xử như các công ty. Lợi thế thuế này không tồn tại đối với quỹ tín thác kinh doanh và công ty, vì chúng bị đánh thuế cả ở cấp thực thể trên thu nhập lẫn ở cấp nhà đầu tư trên cổ tức.</w:t>
      </w:r>
    </w:p>
    <w:p>
      <w:pPr>
        <w:pStyle w:val="Para 03"/>
      </w:pPr>
      <w:r>
        <w:t>Điều này có ý nghĩa gì đối với việc định giá? Khi định giá quỹ tín thác đầu tư bất động sản và công ty hợp danh hữu hạn chủ, thuế suất ở cấp thực thể dùng để ước tính dòng tiền và tỷ lệ chiết khấu là bằng không. Điều đó không có nghĩa là không có lợi ích thuế từ khấu hao hay chi phí lãi vay, vì những lợi ích này vẫn được chuyển tiếp đến các nhà đầu tư cuối cùng. Khi định giá công ty bất động sản, nên dùng thuế suất thuế thu nhập doanh nghiệp để ước tính dòng tiền và tỷ lệ chiết khấu.</w:t>
      </w:r>
    </w:p>
    <w:p>
      <w:bookmarkStart w:id="5596" w:name="Restrictions_on_Investment_and_D"/>
      <w:bookmarkStart w:id="5597" w:name="Restrictions_on_Investment_and_D_1"/>
      <w:pPr>
        <w:keepNext/>
        <w:pStyle w:val="Heading 4"/>
        <w:keepLines w:val="on"/>
      </w:pPr>
      <w:r>
        <w:t>Hạn chế về chính sách đầu tư và cổ tức</w:t>
      </w:r>
      <w:bookmarkEnd w:id="5596"/>
      <w:bookmarkEnd w:id="5597"/>
    </w:p>
    <w:p>
      <w:pPr>
        <w:pStyle w:val="Para 03"/>
      </w:pPr>
      <w:r>
        <w:t>Bộ luật thuế yêu cầu REIT phải phân phối 95 phần trăm thu nhập chịu thuế cho cổ đông, điều này thực chất hạn chế việc REIT sử dụng nguồn tài chính nội bộ (hay lợi nhuận giữ lại). Do đó, REIT phải quay lại thị trường vốn một cách thường xuyên, và điều này lại hạn chế tiềm năng tăng trưởng của chúng. Bộ luật còn yêu cầu tối thiểu 75 phần trăm tổng thu nhập của REIT phải đến từ bất động sản. Một REIT cũng phải là kênh đầu tư thụ động; nghĩa là, dưới 30 phần trăm thu nhập của REIT phải đến từ hoạt động kinh doanh bất động sản nắm giữ dưới bốn năm, và từ việc bán chứng khoán nắm giữ dưới một năm. REIT không được tham gia vào các hoạt động bất động sản chủ động. Chúng không được điều hành doanh nghiệp, phát triển hay mua bán bất động sản để bán, hoặc bán hơn năm bất động sản mỗi năm. REIT bị cấm tham gia vào các giao dịch hoán đổi miễn thuế để mua bất động sản. Mặc dù không có hạn chế về việc chi trả cổ tức đối với MLP, nhưng tỷ lệ chi trả cao là điều dễ xảy ra, vì các thành viên hợp danh bị đánh thuế bất kể họ có thực sự nhận được thu nhập hay MLP giữ lại hay không, và bằng chứng cho thấy MLP chi trả một tỷ lệ lớn lợi nhuận dưới dạng cổ tức. Mặc dù MLP bị hạn chế phải tham gia vào các hoạt động bất động sản, nhưng không có hạn chế nào về bản chất hay cách quản lý những hoạt động này. Do đó, MLP có thể tham gia một cách chủ động và trực tiếp vào ngành kinh doanh hay hoạt động bất động sản. Không có hạn chế nào đối với MLP về số lượng bất động sản có thể bán trong bất kỳ năm nào. Quỹ tín thác kinh doanh và công ty không có hạn chế về việc chi trả cổ tức và có thể tham gia vào bất kỳ hoạt động bất động sản hay phi bất động sản nào, ngoại trừ những hoạt động bị cấm trong tuyên bố tín thác hoặc điều lệ công ty, tương ứng.</w:t>
      </w:r>
    </w:p>
    <w:p>
      <w:pPr>
        <w:pStyle w:val="Para 03"/>
      </w:pPr>
      <w:r>
        <w:t>Những hàm ý đối với việc định giá là rất đáng kể. Khi định giá REIT và MLP, bạn phải giả định rằng phần lớn lợi nhuận sẽ được chi trả dưới dạng cổ tức. Nếu bạn không giả định có nguồn tài chính bên ngoài, ước tính của bạn về tăng trưởng kỳ vọng của thu nhập trên mỗi cổ phần sẽ thấp, cho dù các thực thể này được quản lý tốt đến đâu. Nếu bạn cho phép có nguồn tài chính bên ngoài, bạn có thể có tăng trưởng kỳ vọng cao trong thu nhập ròng, nhưng số lượng cổ phần của doanh nghiệp sẽ phải tăng lên tương ứng, do đó hạn chế tiềm năng tăng giá trên cơ sở mỗi cổ phần. Những hạn chế về chính sách đầu tư sẽ hạn chế mức độ mà lợi nhuận trên vốn có thể thay đổi theo thời gian.</w:t>
      </w:r>
    </w:p>
    <w:p>
      <w:bookmarkStart w:id="5598" w:name="Conclusion_25"/>
      <w:bookmarkStart w:id="5599" w:name="Conclusion__There_is_much_that_i"/>
      <w:pPr>
        <w:keepNext/>
        <w:pStyle w:val="Heading 2"/>
        <w:keepLines w:val="on"/>
      </w:pPr>
      <w:r>
        <w:t>Kết luận</w:t>
      </w:r>
      <w:bookmarkEnd w:id="5598"/>
      <w:bookmarkEnd w:id="5599"/>
    </w:p>
    <w:p>
      <w:pPr>
        <w:pStyle w:val="Para 03"/>
      </w:pPr>
      <w:r>
        <w:t>Có nhiều điều được nói trong chương này lặp lại những gì đã nói trong các chương trước về định giá cổ phiếu. Đó là bởi vì một khoản đầu tư bất động sản có thể (và nên) được định giá bằng chính những phương pháp dùng để định giá tài sản tài chính. Trong khi cấu trúc và những lưu ý của các mô hình chiết khấu dòng tiền vẫn không thay đổi đối với các khoản đầu tư bất động sản, có một số vấn đề thực tiễn phải đối mặt và vượt qua. Cụ thể, các khoản đầu tư bất động sản không được giao dịch thường xuyên, và các tham số rủi ro (cùng tỷ lệ chiết khấu) rất khó ước tính. Một khoản đầu tư bất động sản cũng có thể được định giá bằng cách dùng các khoản đầu tư tương đương, nhưng những khó khăn trong việc xác định tài sản tương đương và kiểm soát sự khác biệt giữa chúng vẫn là những vấn đề đáng kể.</w:t>
      </w:r>
    </w:p>
    <w:p>
      <w:pPr>
        <w:pStyle w:val="Para 20"/>
      </w:pPr>
      <w:r>
        <w:rPr>
          <w:rStyle w:val="Text26"/>
        </w:rPr>
        <w:bookmarkStart w:id="5600" w:name="Page_865"/>
        <w:t/>
        <w:bookmarkEnd w:id="5600"/>
      </w:r>
      <w:r>
        <w:t xml:space="preserve"> </w:t>
      </w:r>
    </w:p>
    <w:p>
      <w:bookmarkStart w:id="5601" w:name="Questions_and_Short_Problems_25"/>
      <w:bookmarkStart w:id="5602" w:name="Questions_and_Short_Problems__In_19"/>
      <w:pPr>
        <w:keepNext/>
        <w:pStyle w:val="Heading 2"/>
        <w:keepLines w:val="on"/>
      </w:pPr>
      <w:r>
        <w:t>Câu hỏi và bài tập ngắn</w:t>
      </w:r>
      <w:bookmarkEnd w:id="5601"/>
      <w:bookmarkEnd w:id="5602"/>
    </w:p>
    <w:p>
      <w:pPr>
        <w:pStyle w:val="Para 44"/>
      </w:pPr>
      <w:r>
        <w:t>Trong các bài tập sau đây, hãy dùng mức bù rủi ro vốn cổ phần (equity risk premium) là 5,5 phần trăm nếu không có quy định nào khác.</w:t>
      </w:r>
    </w:p>
    <w:p>
      <w:pPr>
        <w:numPr>
          <w:ilvl w:val="0"/>
          <w:numId w:val="305"/>
        </w:numPr>
        <w:pStyle w:val="Para 01"/>
      </w:pPr>
      <w:r>
        <w:t>Một nhà phân tích khi xem xét bất động sản quyết định áp dụng mô hình định giá tài sản vốn (capital asset pricing model) để ước tính rủi ro (beta) cho bất động sản. Ông hồi quy lợi suất trên một chỉ số bất động sản (dựa trên giá trị được thẩm định) theo lợi suất trên một chỉ số cổ phiếu và ước tính được beta của bất động sản là 0,20. Bạn có đồng ý với ước tính này không? Nếu không, đâu có thể là những nguồn gốc dẫn đến sự bất đồng của bạn?</w:t>
      </w:r>
    </w:p>
    <w:p>
      <w:pPr>
        <w:numPr>
          <w:ilvl w:val="0"/>
          <w:numId w:val="305"/>
        </w:numPr>
        <w:pStyle w:val="Para 01"/>
      </w:pPr>
      <w:r>
        <w:t>Một cách khác để ước tính rủi ro cho bất động sản là dùng giá của các REIT được giao dịch để tính lợi suất, rồi hồi quy những lợi suất này theo một chỉ số cổ phiếu để đưa ra ước tính beta. Liệu beta này có phải là ước tính rủi ro đáng tin cậy hơn không? Tại sao có hoặc tại sao không?</w:t>
      </w:r>
    </w:p>
    <w:p>
      <w:pPr>
        <w:numPr>
          <w:ilvl w:val="0"/>
          <w:numId w:val="305"/>
        </w:numPr>
        <w:pStyle w:val="Para 01"/>
      </w:pPr>
      <w:r>
        <w:t>Rủi ro của bất động sản có thể được nhìn nhận như một nhu cầu phái sinh (derived demand). Nếu đúng như vậy, rủi ro của bất động sản có thể được ước tính từ ngành kinh doanh cơ sở mà nó hỗ trợ. Theo quan điểm này, đâu sẽ là đại diện thích hợp để dùng cho rủi ro trong các loại hình đầu tư bất động sản sau đây:</w:t>
      </w:r>
    </w:p>
    <w:p>
      <w:pPr>
        <w:numPr>
          <w:ilvl w:val="1"/>
          <w:numId w:val="305"/>
        </w:numPr>
        <w:pStyle w:val="Para 01"/>
      </w:pPr>
      <w:r>
        <w:t>Bất động sản thương mại ở thành phố New York.</w:t>
      </w:r>
    </w:p>
    <w:p>
      <w:pPr>
        <w:numPr>
          <w:ilvl w:val="1"/>
          <w:numId w:val="305"/>
        </w:numPr>
        <w:pStyle w:val="Para 01"/>
      </w:pPr>
      <w:r>
        <w:t>Bất động sản thương mại ở Houston, Texas.</w:t>
      </w:r>
    </w:p>
    <w:p>
      <w:pPr>
        <w:numPr>
          <w:ilvl w:val="1"/>
          <w:numId w:val="305"/>
        </w:numPr>
        <w:pStyle w:val="Para 01"/>
      </w:pPr>
      <w:r>
        <w:t>Bất động sản thương mại ở San Jose, California (Thung lũng Silicon).</w:t>
      </w:r>
    </w:p>
    <w:p>
      <w:pPr>
        <w:numPr>
          <w:ilvl w:val="1"/>
          <w:numId w:val="305"/>
        </w:numPr>
        <w:pStyle w:val="Para 01"/>
      </w:pPr>
      <w:r>
        <w:t>Khu phức hợp khách sạn ở Orlando, Florida.</w:t>
      </w:r>
    </w:p>
    <w:p>
      <w:pPr>
        <w:numPr>
          <w:ilvl w:val="0"/>
          <w:numId w:val="305"/>
        </w:numPr>
        <w:pStyle w:val="Para 01"/>
      </w:pPr>
      <w:r>
        <w:t>Liệu việc định giá bất động sản của bạn có bị ảnh hưởng bởi những nhà đầu tư tiềm năng vào tài sản đó là ai không? (Ví dụ, liệu phân tích của bạn có khác đi nếu những nhà đầu tư chính là các cá nhân chủ yếu hoạt động trong lĩnh vực bất động sản, hay nếu họ là các nhà đầu tư tổ chức?)</w:t>
      </w:r>
    </w:p>
    <w:p>
      <w:pPr>
        <w:numPr>
          <w:ilvl w:val="0"/>
          <w:numId w:val="305"/>
        </w:numPr>
        <w:pStyle w:val="Para 01"/>
      </w:pPr>
      <w:r>
        <w:t>Bạn sẽ đưa yếu tố thiếu tính thanh khoản vào việc định giá của mình như thế nào?</w:t>
      </w:r>
    </w:p>
    <w:p>
      <w:pPr>
        <w:numPr>
          <w:ilvl w:val="0"/>
          <w:numId w:val="305"/>
        </w:numPr>
        <w:pStyle w:val="Para 01"/>
      </w:pPr>
      <w:r>
        <w:t>Bạn được yêu cầu định giá một tòa nhà văn phòng ở Orlando, Florida, với những đặc điểm sau:</w:t>
      </w:r>
    </w:p>
    <w:p>
      <w:pPr>
        <w:numPr>
          <w:ilvl w:val="1"/>
          <w:numId w:val="305"/>
        </w:numPr>
        <w:pStyle w:val="Para 01"/>
      </w:pPr>
      <w:r>
        <w:t>Tòa nhà được xây dựng vào năm 1988 và có 300.000 feet vuông diện tích cho thuê.</w:t>
      </w:r>
    </w:p>
    <w:p>
      <w:pPr>
        <w:numPr>
          <w:ilvl w:val="1"/>
          <w:numId w:val="305"/>
        </w:numPr>
        <w:pStyle w:val="Para 01"/>
      </w:pPr>
      <w:r>
        <w:t>Sẽ có chi phí xây dựng và cải tạo ban đầu là 3,0 triệu đô la.</w:t>
      </w:r>
    </w:p>
    <w:p>
      <w:pPr>
        <w:numPr>
          <w:ilvl w:val="1"/>
          <w:numId w:val="305"/>
        </w:numPr>
        <w:pStyle w:val="Para 01"/>
      </w:pPr>
      <w:r>
        <w:t>Sẽ mất hai năm để lấp đầy tòa nhà. Tỷ lệ trống dự kiến trong hai năm đầu là:</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Tỷ lệ trống</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30%</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20%</w:t>
                  </w:r>
                </w:p>
              </w:tc>
            </w:tr>
            <w:tr>
              <w:tc>
                <w:tcPr>
                  <w:tcW w:type="auto" w:w="0"/>
                  <w:shd w:val="clear" w:color="auto" w:fill="F0F0F0"/>
                </w:tcPr>
                <w:p>
                  <w:pPr>
                    <w:pStyle w:val="Normal"/>
                    <w:keepLines w:val="on"/>
                  </w:pPr>
                  <w:r>
                    <w:t>Sau năm thứ 2</w:t>
                  </w:r>
                </w:p>
              </w:tc>
              <w:tc>
                <w:tcPr>
                  <w:tcW w:type="auto" w:w="0"/>
                  <w:shd w:val="clear" w:color="auto" w:fill="F0F0F0"/>
                </w:tcPr>
                <w:p>
                  <w:pPr>
                    <w:pStyle w:val="Normal"/>
                    <w:keepLines w:val="on"/>
                  </w:pPr>
                  <w:r>
                    <w:t>10%</w:t>
                  </w:r>
                </w:p>
              </w:tc>
            </w:tr>
          </w:tbl>
          <w:p/>
        </w:tc>
      </w:tr>
    </w:tbl>
    <w:p>
      <w:pPr>
        <w:numPr>
          <w:ilvl w:val="1"/>
          <w:numId w:val="305"/>
        </w:numPr>
        <w:pStyle w:val="Para 01"/>
      </w:pPr>
      <w:r>
        <w:t>Giá thuê thị trường của tòa nhà được dự kiến trung bình là 15,00 đô la mỗi foot vuông trong năm nay, dựa trên giá thuê trung bình của các tòa nhà xung quanh.</w:t>
      </w:r>
    </w:p>
    <w:p>
      <w:pPr>
        <w:numPr>
          <w:ilvl w:val="1"/>
          <w:numId w:val="305"/>
        </w:numPr>
        <w:pStyle w:val="Para 01"/>
      </w:pPr>
      <w:r>
        <w:t>Giá thuê thị trường được giả định tăng 5% mỗi năm trong năm năm và 3% mỗi năm sau đó mãi mãi.</w:t>
      </w:r>
    </w:p>
    <w:p>
      <w:pPr>
        <w:numPr>
          <w:ilvl w:val="1"/>
          <w:numId w:val="305"/>
        </w:numPr>
        <w:pStyle w:val="Para 01"/>
      </w:pPr>
      <w:r>
        <w:t>Chi phí vận hành biến đổi được giả định là 3,00 đô la mỗi foot vuông, và dự kiến tăng cùng tốc độ với giá thuê. Chi phí vận hành cố định năm 1994 là 300.000 đô la, và dự kiến tăng 3% mãi mãi.</w:t>
      </w:r>
    </w:p>
    <w:p>
      <w:pPr>
        <w:numPr>
          <w:ilvl w:val="1"/>
          <w:numId w:val="305"/>
        </w:numPr>
        <w:pStyle w:val="Para 01"/>
      </w:pPr>
      <w:r>
        <w:t>Thuế bất động sản dự kiến là 300.000 đô la trong năm đầu tiên, và tăng 3% mỗi năm sau đó. Giả định rằng tất cả người thuê sẽ trả phần chia theo tỷ lệ của họ đối với phần tăng thuế bất động sản vượt quá 3% mỗi năm.</w:t>
      </w:r>
    </w:p>
    <w:p>
      <w:pPr>
        <w:numPr>
          <w:ilvl w:val="1"/>
          <w:numId w:val="305"/>
        </w:numPr>
        <w:pStyle w:val="Para 01"/>
      </w:pPr>
      <w:r>
        <w:t>Thuế suất trên thu nhập được giả định là 42%.</w:t>
      </w:r>
    </w:p>
    <w:p>
      <w:pPr>
        <w:numPr>
          <w:ilvl w:val="1"/>
          <w:numId w:val="305"/>
        </w:numPr>
        <w:pStyle w:val="Para 01"/>
      </w:pPr>
      <w:r>
        <w:t>Chi phí đi vay được giả định là 8,25%, trước thuế. Cũng giả định rằng tòa nhà sẽ được tài trợ bằng 30% vốn chủ sở hữu và 70% nợ.</w:t>
      </w:r>
    </w:p>
    <w:p>
      <w:pPr>
        <w:numPr>
          <w:ilvl w:val="1"/>
          <w:numId w:val="305"/>
        </w:numPr>
        <w:pStyle w:val="Para 01"/>
      </w:pPr>
      <w:r>
        <w:t>Một cuộc khảo sát cho thấy các nhà đầu tư vốn chủ sở hữu trong bất động sản yêu cầu lợi nhuận 12,5% trên khoản đầu tư của họ.</w:t>
      </w:r>
    </w:p>
    <w:p>
      <w:pPr>
        <w:numPr>
          <w:ilvl w:val="1"/>
          <w:numId w:val="305"/>
        </w:numPr>
        <w:pStyle w:val="Para 01"/>
      </w:pPr>
      <w:r>
        <w:t>Ước tính giá trị của tòa nhà, dựa trên dòng tiền dự kiến.</w:t>
      </w:r>
    </w:p>
    <w:p>
      <w:pPr>
        <w:numPr>
          <w:ilvl w:val="1"/>
          <w:numId w:val="305"/>
        </w:numPr>
        <w:pStyle w:val="Para 01"/>
      </w:pPr>
      <w:r>
        <w:t>Ước tính giá trị của chỉ phần vốn chủ sở hữu trong tòa nhà này.</w:t>
      </w:r>
    </w:p>
    <w:p>
      <w:pPr>
        <w:numPr>
          <w:ilvl w:val="0"/>
          <w:numId w:val="305"/>
        </w:numPr>
        <w:pStyle w:val="Para 01"/>
      </w:pPr>
      <w:r>
        <w:t>Bạn đang cố gắng định giá cùng tòa nhà đó dựa trên các bất động sản tương đương đã được bán trong những năm gần đây. Đã có sáu giao dịch bán bất động sản có quy mô tương đương trong khu vực xung quanh.</w:t>
      </w:r>
    </w:p>
    <w:tbl>
      <w:tblPr>
        <w:tblW w:type="auto" w:w="0"/>
      </w:tblPr>
      <w:tr>
        <w:tc>
          <w:tcPr>
            <w:tcW w:type="auto" w:w="0"/>
          </w:tcPr>
          <w:tbl>
            <w:tblPr>
              <w:tblW w:type="auto" w:w="0"/>
            </w:tblPr>
            <w:tr>
              <w:tc>
                <w:tcPr>
                  <w:tcW w:type="auto" w:w="0"/>
                  <w:shd w:val="clear" w:color="auto" w:fill="F0F0F0"/>
                </w:tcPr>
                <w:p>
                  <w:pPr>
                    <w:pStyle w:val="Para 05"/>
                    <w:keepLines w:val="on"/>
                  </w:pPr>
                  <w:r>
                    <w:t>Bất động sản</w:t>
                  </w:r>
                </w:p>
              </w:tc>
              <w:tc>
                <w:tcPr>
                  <w:tcW w:type="auto" w:w="0"/>
                  <w:shd w:val="clear" w:color="auto" w:fill="F0F0F0"/>
                </w:tcPr>
                <w:p>
                  <w:pPr>
                    <w:pStyle w:val="Para 05"/>
                    <w:keepLines w:val="on"/>
                  </w:pPr>
                  <w:r>
                    <w:t>Giá bán</w:t>
                  </w:r>
                </w:p>
              </w:tc>
              <w:tc>
                <w:tcPr>
                  <w:tcW w:type="auto" w:w="0"/>
                  <w:shd w:val="clear" w:color="auto" w:fill="F0F0F0"/>
                </w:tcPr>
                <w:p>
                  <w:pPr>
                    <w:pStyle w:val="Para 05"/>
                    <w:keepLines w:val="on"/>
                  </w:pPr>
                  <w:r>
                    <w:t>Diện tích (Foot vuông)</w:t>
                  </w:r>
                </w:p>
              </w:tc>
              <w:tc>
                <w:tcPr>
                  <w:tcW w:type="auto" w:w="0"/>
                  <w:shd w:val="clear" w:color="auto" w:fill="F0F0F0"/>
                </w:tcPr>
                <w:p>
                  <w:pPr>
                    <w:pStyle w:val="Para 05"/>
                    <w:keepLines w:val="on"/>
                  </w:pPr>
                  <w:r>
                    <w:t>Tổng tiền thuê</w:t>
                  </w:r>
                </w:p>
              </w:tc>
            </w:tr>
            <w:tr>
              <w:tc>
                <w:tcPr>
                  <w:tcW w:type="auto" w:w="0"/>
                  <w:shd w:val="clear" w:color="auto" w:fill="F0F0F0"/>
                </w:tcPr>
                <w:p>
                  <w:pPr>
                    <w:pStyle w:val="Normal"/>
                    <w:keepLines w:val="on"/>
                  </w:pPr>
                  <w:r>
                    <w:t>A</w:t>
                  </w:r>
                </w:p>
              </w:tc>
              <w:tc>
                <w:tcPr>
                  <w:tcW w:type="auto" w:w="0"/>
                  <w:shd w:val="clear" w:color="auto" w:fill="F0F0F0"/>
                </w:tcPr>
                <w:p>
                  <w:pPr>
                    <w:pStyle w:val="Normal"/>
                    <w:keepLines w:val="on"/>
                  </w:pPr>
                  <w:r>
                    <w:t>20.000.000 đô la</w:t>
                  </w:r>
                </w:p>
              </w:tc>
              <w:tc>
                <w:tcPr>
                  <w:tcW w:type="auto" w:w="0"/>
                  <w:shd w:val="clear" w:color="auto" w:fill="F0F0F0"/>
                </w:tcPr>
                <w:p>
                  <w:pPr>
                    <w:pStyle w:val="Normal"/>
                    <w:keepLines w:val="on"/>
                  </w:pPr>
                  <w:r>
                    <w:t>400.000</w:t>
                  </w:r>
                </w:p>
              </w:tc>
              <w:tc>
                <w:tcPr>
                  <w:tcW w:type="auto" w:w="0"/>
                  <w:shd w:val="clear" w:color="auto" w:fill="F0F0F0"/>
                </w:tcPr>
                <w:p>
                  <w:pPr>
                    <w:pStyle w:val="Normal"/>
                    <w:keepLines w:val="on"/>
                  </w:pPr>
                  <w:r>
                    <w:t>5.000.000 đô la</w:t>
                  </w:r>
                </w:p>
              </w:tc>
            </w:tr>
            <w:tr>
              <w:tc>
                <w:tcPr>
                  <w:tcW w:type="auto" w:w="0"/>
                  <w:shd w:val="clear" w:color="auto" w:fill="F0F0F0"/>
                </w:tcPr>
                <w:p>
                  <w:pPr>
                    <w:pStyle w:val="Normal"/>
                    <w:keepLines w:val="on"/>
                  </w:pPr>
                  <w:r>
                    <w:t>B</w:t>
                  </w:r>
                </w:p>
              </w:tc>
              <w:tc>
                <w:tcPr>
                  <w:tcW w:type="auto" w:w="0"/>
                  <w:shd w:val="clear" w:color="auto" w:fill="F0F0F0"/>
                </w:tcPr>
                <w:p>
                  <w:pPr>
                    <w:pStyle w:val="Normal"/>
                    <w:keepLines w:val="on"/>
                  </w:pPr>
                  <w:r>
                    <w:t>18.000.000 đô la</w:t>
                  </w:r>
                </w:p>
              </w:tc>
              <w:tc>
                <w:tcPr>
                  <w:tcW w:type="auto" w:w="0"/>
                  <w:shd w:val="clear" w:color="auto" w:fill="F0F0F0"/>
                </w:tcPr>
                <w:p>
                  <w:pPr>
                    <w:pStyle w:val="Normal"/>
                    <w:keepLines w:val="on"/>
                  </w:pPr>
                  <w:r>
                    <w:t>425.000</w:t>
                  </w:r>
                </w:p>
              </w:tc>
              <w:tc>
                <w:tcPr>
                  <w:tcW w:type="auto" w:w="0"/>
                  <w:shd w:val="clear" w:color="auto" w:fill="F0F0F0"/>
                </w:tcPr>
                <w:p>
                  <w:pPr>
                    <w:pStyle w:val="Normal"/>
                    <w:keepLines w:val="on"/>
                  </w:pPr>
                  <w:r>
                    <w:t>4.750.000 đô la</w:t>
                  </w:r>
                </w:p>
              </w:tc>
            </w:tr>
            <w:tr>
              <w:tc>
                <w:tcPr>
                  <w:tcW w:type="auto" w:w="0"/>
                  <w:shd w:val="clear" w:color="auto" w:fill="F0F0F0"/>
                </w:tcPr>
                <w:p>
                  <w:pPr>
                    <w:pStyle w:val="Normal"/>
                    <w:keepLines w:val="on"/>
                  </w:pPr>
                  <w:r>
                    <w:t>C</w:t>
                  </w:r>
                </w:p>
              </w:tc>
              <w:tc>
                <w:tcPr>
                  <w:tcW w:type="auto" w:w="0"/>
                  <w:shd w:val="clear" w:color="auto" w:fill="F0F0F0"/>
                </w:tcPr>
                <w:p>
                  <w:pPr>
                    <w:pStyle w:val="Normal"/>
                    <w:keepLines w:val="on"/>
                  </w:pPr>
                  <w:r>
                    <w:t>22.000.000 đô la</w:t>
                  </w:r>
                </w:p>
              </w:tc>
              <w:tc>
                <w:tcPr>
                  <w:tcW w:type="auto" w:w="0"/>
                  <w:shd w:val="clear" w:color="auto" w:fill="F0F0F0"/>
                </w:tcPr>
                <w:p>
                  <w:pPr>
                    <w:pStyle w:val="Normal"/>
                    <w:keepLines w:val="on"/>
                  </w:pPr>
                  <w:r>
                    <w:t>450.000</w:t>
                  </w:r>
                </w:p>
              </w:tc>
              <w:tc>
                <w:tcPr>
                  <w:tcW w:type="auto" w:w="0"/>
                  <w:shd w:val="clear" w:color="auto" w:fill="F0F0F0"/>
                </w:tcPr>
                <w:p>
                  <w:pPr>
                    <w:pStyle w:val="Normal"/>
                    <w:keepLines w:val="on"/>
                  </w:pPr>
                  <w:r>
                    <w:t>5.100.000 đô la</w:t>
                  </w:r>
                </w:p>
              </w:tc>
            </w:tr>
            <w:tr>
              <w:tc>
                <w:tcPr>
                  <w:tcW w:type="auto" w:w="0"/>
                  <w:shd w:val="clear" w:color="auto" w:fill="F0F0F0"/>
                </w:tcPr>
                <w:p>
                  <w:pPr>
                    <w:pStyle w:val="Normal"/>
                    <w:keepLines w:val="on"/>
                  </w:pPr>
                  <w:r>
                    <w:t>D</w:t>
                  </w:r>
                </w:p>
              </w:tc>
              <w:tc>
                <w:tcPr>
                  <w:tcW w:type="auto" w:w="0"/>
                  <w:shd w:val="clear" w:color="auto" w:fill="F0F0F0"/>
                </w:tcPr>
                <w:p>
                  <w:pPr>
                    <w:pStyle w:val="Normal"/>
                    <w:keepLines w:val="on"/>
                  </w:pPr>
                  <w:r>
                    <w:t>25.000.000 đô la</w:t>
                  </w:r>
                </w:p>
              </w:tc>
              <w:tc>
                <w:tcPr>
                  <w:tcW w:type="auto" w:w="0"/>
                  <w:shd w:val="clear" w:color="auto" w:fill="F0F0F0"/>
                </w:tcPr>
                <w:p>
                  <w:pPr>
                    <w:pStyle w:val="Normal"/>
                    <w:keepLines w:val="on"/>
                  </w:pPr>
                  <w:r>
                    <w:t>400.000</w:t>
                  </w:r>
                </w:p>
              </w:tc>
              <w:tc>
                <w:tcPr>
                  <w:tcW w:type="auto" w:w="0"/>
                  <w:shd w:val="clear" w:color="auto" w:fill="F0F0F0"/>
                </w:tcPr>
                <w:p>
                  <w:pPr>
                    <w:pStyle w:val="Normal"/>
                    <w:keepLines w:val="on"/>
                  </w:pPr>
                  <w:r>
                    <w:t>5.500.000 đô la</w:t>
                  </w:r>
                </w:p>
              </w:tc>
            </w:tr>
            <w:tr>
              <w:tc>
                <w:tcPr>
                  <w:tcW w:type="auto" w:w="0"/>
                  <w:shd w:val="clear" w:color="auto" w:fill="F0F0F0"/>
                </w:tcPr>
                <w:p>
                  <w:pPr>
                    <w:pStyle w:val="Normal"/>
                    <w:keepLines w:val="on"/>
                  </w:pPr>
                  <w:r>
                    <w:t>E</w:t>
                  </w:r>
                </w:p>
              </w:tc>
              <w:tc>
                <w:tcPr>
                  <w:tcW w:type="auto" w:w="0"/>
                  <w:shd w:val="clear" w:color="auto" w:fill="F0F0F0"/>
                </w:tcPr>
                <w:p>
                  <w:pPr>
                    <w:pStyle w:val="Normal"/>
                    <w:keepLines w:val="on"/>
                  </w:pPr>
                  <w:r>
                    <w:t>15.000.000 đô la</w:t>
                  </w:r>
                </w:p>
              </w:tc>
              <w:tc>
                <w:tcPr>
                  <w:tcW w:type="auto" w:w="0"/>
                  <w:shd w:val="clear" w:color="auto" w:fill="F0F0F0"/>
                </w:tcPr>
                <w:p>
                  <w:pPr>
                    <w:pStyle w:val="Normal"/>
                    <w:keepLines w:val="on"/>
                  </w:pPr>
                  <w:r>
                    <w:t>350.000</w:t>
                  </w:r>
                </w:p>
              </w:tc>
              <w:tc>
                <w:tcPr>
                  <w:tcW w:type="auto" w:w="0"/>
                  <w:shd w:val="clear" w:color="auto" w:fill="F0F0F0"/>
                </w:tcPr>
                <w:p>
                  <w:pPr>
                    <w:pStyle w:val="Normal"/>
                    <w:keepLines w:val="on"/>
                  </w:pPr>
                  <w:r>
                    <w:t>4.000.000 đô la</w:t>
                  </w:r>
                </w:p>
              </w:tc>
            </w:tr>
            <w:tr>
              <w:tc>
                <w:tcPr>
                  <w:tcW w:type="auto" w:w="0"/>
                  <w:shd w:val="clear" w:color="auto" w:fill="F0F0F0"/>
                </w:tcPr>
                <w:p>
                  <w:pPr>
                    <w:pStyle w:val="Normal"/>
                    <w:keepLines w:val="on"/>
                  </w:pPr>
                  <w:r>
                    <w:t>F</w:t>
                  </w:r>
                </w:p>
              </w:tc>
              <w:tc>
                <w:tcPr>
                  <w:tcW w:type="auto" w:w="0"/>
                  <w:shd w:val="clear" w:color="auto" w:fill="F0F0F0"/>
                </w:tcPr>
                <w:p>
                  <w:pPr>
                    <w:pStyle w:val="Normal"/>
                    <w:keepLines w:val="on"/>
                  </w:pPr>
                  <w:r>
                    <w:t>12.000.000 đô la</w:t>
                  </w:r>
                </w:p>
              </w:tc>
              <w:tc>
                <w:tcPr>
                  <w:tcW w:type="auto" w:w="0"/>
                  <w:shd w:val="clear" w:color="auto" w:fill="F0F0F0"/>
                </w:tcPr>
                <w:p>
                  <w:pPr>
                    <w:pStyle w:val="Normal"/>
                    <w:keepLines w:val="on"/>
                  </w:pPr>
                  <w:r>
                    <w:t>300.000</w:t>
                  </w:r>
                </w:p>
              </w:tc>
              <w:tc>
                <w:tcPr>
                  <w:tcW w:type="auto" w:w="0"/>
                  <w:shd w:val="clear" w:color="auto" w:fill="F0F0F0"/>
                </w:tcPr>
                <w:p>
                  <w:pPr>
                    <w:pStyle w:val="Normal"/>
                    <w:keepLines w:val="on"/>
                  </w:pPr>
                  <w:r>
                    <w:t>3.000.000 đô la</w:t>
                  </w:r>
                </w:p>
              </w:tc>
            </w:tr>
          </w:tbl>
          <w:p/>
        </w:tc>
      </w:tr>
    </w:tbl>
    <w:p>
      <w:pPr>
        <w:numPr>
          <w:ilvl w:val="1"/>
          <w:numId w:val="305"/>
        </w:numPr>
        <w:pStyle w:val="Para 01"/>
      </w:pPr>
      <w:r>
        <w:t>Ước tính giá trị của tòa nhà dựa trên giá mỗi foot vuông.</w:t>
      </w:r>
    </w:p>
    <w:p>
      <w:pPr>
        <w:numPr>
          <w:ilvl w:val="1"/>
          <w:numId w:val="305"/>
        </w:numPr>
        <w:pStyle w:val="Para 01"/>
      </w:pPr>
      <w:r>
        <w:t>Ước tính giá trị của tòa nhà dựa trên giá trên tổng tiền thuê (price/gross rent).</w:t>
      </w:r>
    </w:p>
    <w:p>
      <w:pPr>
        <w:numPr>
          <w:ilvl w:val="1"/>
          <w:numId w:val="305"/>
        </w:numPr>
        <w:pStyle w:val="Para 01"/>
      </w:pPr>
      <w:r>
        <w:t>Một số giả định bạn đưa ra khi định giá một tòa nhà dựa trên các tòa nhà tương đương là gì?</w:t>
      </w:r>
    </w:p>
    <w:p>
      <w:bookmarkStart w:id="5604" w:name="Notes__1_When_the_beta_of_an_ass"/>
      <w:bookmarkStart w:id="5605" w:name="Notes_25"/>
      <w:pPr>
        <w:keepNext/>
        <w:pStyle w:val="Heading 2"/>
        <w:keepLines w:val="on"/>
      </w:pPr>
      <w:r>
        <w:t>Ghi chú</w:t>
      </w:r>
      <w:bookmarkEnd w:id="5604"/>
      <w:bookmarkEnd w:id="5605"/>
    </w:p>
    <w:p>
      <w:pPr>
        <w:pStyle w:val="Para 08"/>
      </w:pPr>
      <w:r>
        <w:t>1 Khi beta của một tài sản được ước tính tương quan với một chỉ số cổ phiếu, giả định cơ bản là nhà đầu tư biên (marginal investor) nắm phần lớn danh mục của mình bằng cổ phiếu và đo lường rủi ro tương quan với danh mục này.</w:t>
      </w:r>
    </w:p>
    <w:p>
      <w:pPr>
        <w:pStyle w:val="Para 08"/>
      </w:pPr>
      <w:r>
        <w:t>2 CBRE là một dịch vụ ước tính dữ liệu liên quan đến giao dịch bất động sản, bao gồm cả tỷ lệ vốn hóa (cap rates) cho các khoản đầu tư bất động sản tại Hoa Kỳ.</w:t>
      </w:r>
    </w:p>
    <w:p>
      <w:pPr>
        <w:pStyle w:val="Para 08"/>
      </w:pPr>
      <w:r>
        <w:t>3 Chúng ta giả định rằng thuế bất động sản được tính dựa trên giá trị ước tính của mảnh đất mỗi năm chứ không phải dựa trên chi phí ban đầu. Nếu là trường hợp sau, tỷ lệ tăng giá có thể sẽ thấp hơn.</w:t>
      </w:r>
    </w:p>
    <w:p>
      <w:pPr>
        <w:pStyle w:val="Para 08"/>
      </w:pPr>
      <w:r>
        <w:t>4 Tiền thuê thay đổi tùy theo vị trí trong tòa nhà, với giá thuê thấp hơn ở tầng hầm và các tầng dưới, và cao hơn ở các tầng trên cùng.</w:t>
      </w:r>
    </w:p>
    <w:p>
      <w:pPr>
        <w:pStyle w:val="Para 08"/>
      </w:pPr>
      <w:r>
        <w:t>5 Lưu ý rằng chính các nhà đầu tư trong công ty cổ phần mới cần phải đa dạng hóa danh mục, chứ không phải bản thân công ty.</w:t>
      </w:r>
    </w:p>
    <w:p>
      <w:pPr>
        <w:pStyle w:val="Para 08"/>
      </w:pPr>
      <w:r>
        <w:t>6 Điều này ngụ ý rằng khoản vay hiện có sẽ được tái cấp vốn bằng một khoản vay mới được đặt ở mức 60% giá trị của bất động sản khi đến hạn.</w:t>
      </w:r>
    </w:p>
    <w:p>
      <w:pPr>
        <w:pStyle w:val="Para 08"/>
      </w:pPr>
      <w:r>
        <w:t>7 Những tòa nhà có chất lượng tốt hơn ở vị trí tốt hơn đương nhiên sẽ có giá thuê/cho thuê cao hơn và thu nhập kỳ vọng cao hơn so với các tòa nhà khác.</w:t>
      </w:r>
    </w:p>
    <w:p>
      <w:bookmarkStart w:id="5613" w:name="Chapter_27Valuing_Other_Assets"/>
      <w:bookmarkStart w:id="5614" w:name="Top_of_c027_xhtml"/>
      <w:bookmarkStart w:id="5615" w:name="Chapter_27Valuing_Other_Assets_1"/>
      <w:pPr>
        <w:keepNext/>
        <w:pStyle w:val="Heading 1"/>
        <w:pageBreakBefore w:val="on"/>
        <w:keepLines w:val="on"/>
      </w:pPr>
      <w:r>
        <w:t>CHƯƠNG 27</w:t>
      </w:r>
      <w:r>
        <w:br/>
      </w:r>
      <w:r>
        <w:t>Định giá các tài sản khác</w:t>
      </w:r>
      <w:bookmarkEnd w:id="5613"/>
      <w:bookmarkEnd w:id="5614"/>
      <w:bookmarkEnd w:id="5615"/>
    </w:p>
    <w:p>
      <w:pPr>
        <w:pStyle w:val="Para 03"/>
      </w:pPr>
      <w:r>
        <w:t>Một trong những nguyên lý nền tảng của cuốn sách này là mọi tài sản, dù là tài chính hay thực, đều có thể được định giá một cách có hệ thống bằng các mô hình định giá truyền thống. Phần lớn cuốn sách này bàn về việc định giá cổ phiếu, nhưng chương trước đã mở rộng phạm vi của các mô hình định giá để bao quát cả bất động sản. Chương này xem xét những tài sản khác thường được coi là độc đáo và khác biệt, và cố gắng định giá chúng bằng các nguyên tắc đã được phát triển trong những chương trước.</w:t>
      </w:r>
    </w:p>
    <w:p>
      <w:pPr>
        <w:pStyle w:val="Para 03"/>
      </w:pPr>
      <w:r>
        <w:t>Mặc dù các tài sản được đề cập trong chương này có những đặc điểm rất khác nhau và thu hút những nhà đầu tư khác nhau, chúng có thể được phân loại rộng rãi thành ba nhóm:</w:t>
      </w:r>
    </w:p>
    <w:p>
      <w:pPr>
        <w:numPr>
          <w:ilvl w:val="0"/>
          <w:numId w:val="306"/>
        </w:numPr>
        <w:pStyle w:val="Para 01"/>
      </w:pPr>
      <w:r>
        <w:t>Tài sản được kỳ vọng sẽ tạo ra dòng tiền theo thời gian và có thể được định giá bằng các mô hình chiết khấu dòng tiền (discounted cash flow models).</w:t>
      </w:r>
    </w:p>
    <w:p>
      <w:pPr>
        <w:numPr>
          <w:ilvl w:val="0"/>
          <w:numId w:val="306"/>
        </w:numPr>
        <w:pStyle w:val="Para 01"/>
      </w:pPr>
      <w:r>
        <w:t>Tài sản không tạo ra dòng tiền nhưng có giá trị vì chúng khan hiếm và được coi là có giá trị (ví dụ: đồ sưu tầm, tiền xu) và/hoặc mang lại lợi ích cho chủ sở hữu (ví dụ: đồ cổ, tranh vẽ). Những tài sản này có thể được định giá bằng phương pháp định giá tương đối (relative valuation).</w:t>
      </w:r>
    </w:p>
    <w:p>
      <w:pPr>
        <w:numPr>
          <w:ilvl w:val="0"/>
          <w:numId w:val="306"/>
        </w:numPr>
        <w:pStyle w:val="Para 01"/>
      </w:pPr>
      <w:r>
        <w:t>Tài sản không tạo ra dòng tiền nhưng có thể có giá trị trong trường hợp xảy ra một biến cố bất ngờ — chúng mang đặc tính quyền chọn (option characteristics). Những tài sản này có thể được định giá bằng các mô hình định giá quyền chọn (option pricing models).</w:t>
      </w:r>
    </w:p>
    <w:p>
      <w:pPr>
        <w:pStyle w:val="Para 03"/>
      </w:pPr>
      <w:r>
        <w:t>Trong mỗi nhóm, có một số lượng đáng ngạc nhiên những điểm tương đồng, cả giữa các tài sản khác nhau lẫn với các tài sản tài chính đã được mô tả trong chương trước.</w:t>
      </w:r>
    </w:p>
    <w:p>
      <w:bookmarkStart w:id="5617" w:name="Investment_classification"/>
      <w:bookmarkStart w:id="5618" w:name="Investment_classification__For_m"/>
      <w:pPr>
        <w:keepNext/>
        <w:pStyle w:val="Heading 2"/>
        <w:keepLines w:val="on"/>
      </w:pPr>
      <w:r>
        <w:t>Phân loại đầu tư</w:t>
      </w:r>
      <w:bookmarkEnd w:id="5617"/>
      <w:bookmarkEnd w:id="5618"/>
    </w:p>
    <w:p>
      <w:pPr>
        <w:pStyle w:val="Para 03"/>
      </w:pPr>
      <w:r>
        <w:t>Trong phần lớn cuốn sách này, chúng ta tập trung vào các tài sản tạo ra dòng tiền, dù dưới dạng hợp đồng (trái phiếu) hay dưới dạng phần còn lại (cổ phiếu, quyền sở hữu trong doanh nghiệp tư nhân và bất động sản). Trong chương này, chúng ta sẽ xem xét nhiều khoản đầu tư đa dạng, một số (nhượng quyền thương mại) tạo ra dòng tiền và một số (bitcoin, đồ sưu tầm) thì không, và lập luận rằng không phải mọi thứ đều có thể định giá được nhưng gần như mọi thứ đều có thể được định giá theo giá thị trường (priced).</w:t>
      </w:r>
    </w:p>
    <w:p>
      <w:pPr>
        <w:pStyle w:val="Para 03"/>
      </w:pPr>
      <w:r>
        <w:t>Để hiểu sự khác biệt giữa giá trị (value) và giá cả (price), hãy bắt đầu bằng việc khẳng định rằng mọi khoản đầu tư chúng ta xem xét đều phải thuộc một trong bốn nhóm sau:</w:t>
      </w:r>
    </w:p>
    <w:p>
      <w:pPr>
        <w:numPr>
          <w:ilvl w:val="0"/>
          <w:numId w:val="307"/>
        </w:numPr>
        <w:pStyle w:val="Para 01"/>
      </w:pPr>
      <w:r>
        <w:t>Tài sản tạo ra tiền mặt (Cash Generating Asset): Một tài sản tạo ra hoặc được kỳ vọng sẽ tạo ra dòng tiền trong tương lai. Một doanh nghiệp mà bạn sở hữu chắc chắn là một tài sản, cũng như một quyền đòi đối với dòng tiền của doanh nghiệp đó. Những quyền đòi này có thể được ấn định theo hợp đồng (trái phiếu hoặc nợ), theo phần còn lại (cổ phần hoặc cổ phiếu), hoặc thậm chí có tính bất ngờ (quyền chọn). Điểm chung của các tài sản này là những dòng tiền đó có thể được định giá, và những tài sản có dòng tiền cao và ít rủi ro hơn nên được định giá cao hơn những tài sản có dòng tiền thấp hơn và nhiều rủi ro hơn. Đồng thời, các tài sản cũng có thể được định giá theo giá thị trường, tương đối với nhau, bằng cách quy đổi mức giá bạn trả về một thước đo chung. Với cổ phiếu, điều này diễn ra dưới hình thức so sánh các bội số định giá (tỷ lệ PE, giá trị doanh nghiệp (EV)/lợi nhuận trước lãi vay, thuế, khấu hao và phân bổ (EBITDA), Giá trên Giá trị sổ sách (Price-to-Book) hoặc EV/Doanh thu) giữa các công ty tương tự nhau để đưa ra phán đoán về giá thị trường xem cổ phiếu nào rẻ và cổ phiếu nào đắt.</w:t>
      </w:r>
    </w:p>
    <w:p>
      <w:pPr>
        <w:numPr>
          <w:ilvl w:val="0"/>
          <w:numId w:val="307"/>
        </w:numPr>
        <w:pStyle w:val="Para 01"/>
      </w:pPr>
      <w:r>
        <w:t>Hàng hóa (Commodity): Một loại hàng hóa có giá trị bắt nguồn từ việc sử dụng nó làm nguyên liệu thô để đáp ứng một nhu cầu cơ bản, dù là năng lượng, thực phẩm hay chỗ ở. Mặc dù giá trị đó có thể được ước tính bằng cách xem xét nhu cầu và nguồn cung của hàng hóa, nhưng có độ trễ và thời gian dẫn dắt kéo dài ở cả hai phía khiến quá trình định giá trở nên khó khăn hơn nhiều so với một tài sản. Do đó, hàng hóa có xu hướng được định giá theo giá thị trường, thường tương đối với lịch sử của chính chúng, với giá dầu, than, lúa mì hay quặng sắt được chuẩn hóa (normalized) được tính bằng cách lấy trung bình giá qua các chu kỳ dài.</w:t>
      </w:r>
    </w:p>
    <w:p>
      <w:pPr>
        <w:numPr>
          <w:ilvl w:val="0"/>
          <w:numId w:val="307"/>
        </w:numPr>
        <w:pStyle w:val="Para 01"/>
      </w:pPr>
      <w:r>
        <w:t>Tiền tệ (Currency): Tiền tệ là một phương tiện trao đổi mà bạn dùng để định danh dòng tiền, và là một kho lưu trữ sức mua, nếu bạn chọn không đầu tư. Đứng riêng lẻ, tiền tệ không có dòng tiền và không thể định giá được, nhưng chúng có thể được định giá theo giá thị trường so với các loại tiền tệ khác, dưới hình thức tỷ giá hối đoái. Về dài hạn, những loại tiền tệ được chấp nhận rộng rãi hơn như một phương tiện trao đổi, và giữ được sức mua tốt hơn theo thời gian, sẽ thấy giá của chúng tăng lên so với những loại tiền tệ không có những đặc điểm đó. Tuy nhiên, trong ngắn hạn, những lực lượng khác, bao gồm cả các chính phủ đang cố gắng thao túng tỷ giá hối đoái, có thể chi phối.</w:t>
      </w:r>
    </w:p>
    <w:p>
      <w:pPr>
        <w:numPr>
          <w:ilvl w:val="0"/>
          <w:numId w:val="307"/>
        </w:numPr>
        <w:pStyle w:val="Para 01"/>
      </w:pPr>
      <w:r>
        <w:t>Đồ sưu tầm (Collectible): Một món đồ sưu tầm không có dòng tiền và không phải là phương tiện trao đổi, nhưng đôi khi nó có thể có giá trị thẩm mỹ (ví dụ: một bức tranh bậc thầy hay một tác phẩm điêu khắc) hoặc một sự gắn bó cảm xúc (ví dụ: một thẻ bóng chày hay áo đấu của đội). Một món đồ sưu tầm không thể định giá được vì nó cũng không tạo ra dòng tiền, nhưng nó có thể được định giá theo giá thị trường dựa trên cách người khác cảm nhận về mức độ mong muốn của nó và tính khan hiếm của món đồ đó.</w:t>
      </w:r>
    </w:p>
    <w:p>
      <w:pPr>
        <w:pStyle w:val="Para 03"/>
      </w:pPr>
      <w:r>
        <w:t>Bảng 27.1 tóm tắt sự tương phản giữa các nhóm đầu tư khác nhau này, kèm theo chỉ dẫn về sự phân chia giữa giá trị và giá cả:</w:t>
      </w:r>
    </w:p>
    <w:p>
      <w:pPr>
        <w:pStyle w:val="Para 34"/>
        <w:keepLines w:val="on"/>
      </w:pPr>
      <w:r>
        <w:t>Bảng 27.1</w:t>
      </w:r>
    </w:p>
    <w:p>
      <w:pPr>
        <w:keepNext/>
        <w:pStyle w:val="Para 35"/>
        <w:keepLines w:val="on"/>
      </w:pPr>
      <w:r>
        <w:t>Các nhóm đầu tư — Giá trị so với Giá cả</w:t>
      </w:r>
    </w:p>
    <w:tbl>
      <w:tblPr>
        <w:tblW w:type="auto" w:w="0"/>
      </w:tblPr>
      <w:tr>
        <w:tc>
          <w:tcPr>
            <w:tcW w:type="auto" w:w="0"/>
          </w:tcPr>
          <w:tbl>
            <w:tblPr>
              <w:tblW w:type="auto" w:w="0"/>
            </w:tblPr>
            <w:tr>
              <w:tc>
                <w:tcPr>
                  <w:tcW w:type="auto" w:w="0"/>
                  <w:shd w:val="clear" w:color="auto" w:fill="F0F0F0"/>
                </w:tcPr>
                <w:p>
                  <w:pPr>
                    <w:pStyle w:val="Para 29"/>
                    <w:keepLines w:val="on"/>
                  </w:pPr>
                  <w:r>
                    <w:t>Đầu tư</w:t>
                  </w:r>
                </w:p>
              </w:tc>
              <w:tc>
                <w:tcPr>
                  <w:tcW w:type="auto" w:w="0"/>
                  <w:shd w:val="clear" w:color="auto" w:fill="F0F0F0"/>
                </w:tcPr>
                <w:p>
                  <w:pPr>
                    <w:pStyle w:val="Para 17"/>
                    <w:keepLines w:val="on"/>
                  </w:pPr>
                  <w:r>
                    <w:t>Để định giá</w:t>
                  </w:r>
                </w:p>
              </w:tc>
              <w:tc>
                <w:tcPr>
                  <w:tcW w:type="auto" w:w="0"/>
                  <w:shd w:val="clear" w:color="auto" w:fill="F0F0F0"/>
                </w:tcPr>
                <w:p>
                  <w:pPr>
                    <w:pStyle w:val="Para 17"/>
                    <w:keepLines w:val="on"/>
                  </w:pPr>
                  <w:r>
                    <w:t>Để định giá</w:t>
                  </w:r>
                </w:p>
              </w:tc>
            </w:tr>
            <w:tr>
              <w:tc>
                <w:tcPr>
                  <w:tcW w:type="auto" w:w="0"/>
                  <w:shd w:val="clear" w:color="auto" w:fill="F0F0F0"/>
                </w:tcPr>
                <w:p>
                  <w:pPr>
                    <w:pStyle w:val="Para 02"/>
                    <w:keepLines w:val="on"/>
                  </w:pPr>
                  <w:r>
                    <w:t>Tài sản</w:t>
                  </w:r>
                </w:p>
              </w:tc>
              <w:tc>
                <w:tcPr>
                  <w:tcW w:type="auto" w:w="0"/>
                  <w:shd w:val="clear" w:color="auto" w:fill="F0F0F0"/>
                </w:tcPr>
                <w:p>
                  <w:pPr>
                    <w:pStyle w:val="Para 02"/>
                    <w:keepLines w:val="on"/>
                  </w:pPr>
                  <w:r>
                    <w:t>Có thể được định giá dựa trên dòng tiền kỳ vọng, với dòng tiền cao hơn &amp; rủi ro thấp hơn = giá trị cao hơn.</w:t>
                  </w:r>
                </w:p>
              </w:tc>
              <w:tc>
                <w:tcPr>
                  <w:tcW w:type="auto" w:w="0"/>
                  <w:shd w:val="clear" w:color="auto" w:fill="F0F0F0"/>
                </w:tcPr>
                <w:p>
                  <w:pPr>
                    <w:pStyle w:val="Para 02"/>
                    <w:keepLines w:val="on"/>
                  </w:pPr>
                  <w:r>
                    <w:t>Có thể được định giá so với các tài sản tương tự, sau khi kiểm soát dòng tiền và rủi ro</w:t>
                  </w:r>
                </w:p>
              </w:tc>
            </w:tr>
            <w:tr>
              <w:tc>
                <w:tcPr>
                  <w:tcW w:type="auto" w:w="0"/>
                  <w:shd w:val="clear" w:color="auto" w:fill="F0F0F0"/>
                </w:tcPr>
                <w:p>
                  <w:pPr>
                    <w:pStyle w:val="Para 02"/>
                    <w:keepLines w:val="on"/>
                  </w:pPr>
                  <w:r>
                    <w:t>Hàng hóa</w:t>
                  </w:r>
                </w:p>
              </w:tc>
              <w:tc>
                <w:tcPr>
                  <w:tcW w:type="auto" w:w="0"/>
                  <w:shd w:val="clear" w:color="auto" w:fill="F0F0F0"/>
                </w:tcPr>
                <w:p>
                  <w:pPr>
                    <w:pStyle w:val="Para 02"/>
                    <w:keepLines w:val="on"/>
                  </w:pPr>
                  <w:r>
                    <w:t>Có thể được định giá dựa trên cung và cầu thực dụng, nhưng với độ trễ lớn ở cả hai phía.</w:t>
                  </w:r>
                </w:p>
              </w:tc>
              <w:tc>
                <w:tcPr>
                  <w:tcW w:type="auto" w:w="0"/>
                  <w:shd w:val="clear" w:color="auto" w:fill="F0F0F0"/>
                </w:tcPr>
                <w:p>
                  <w:pPr>
                    <w:pStyle w:val="Para 02"/>
                    <w:keepLines w:val="on"/>
                  </w:pPr>
                  <w:r>
                    <w:t>Có thể được định giá so với chính lịch sử của nó (giá chuẩn hóa theo thời gian)</w:t>
                  </w:r>
                </w:p>
              </w:tc>
            </w:tr>
            <w:tr>
              <w:tc>
                <w:tcPr>
                  <w:tcW w:type="auto" w:w="0"/>
                  <w:shd w:val="clear" w:color="auto" w:fill="F0F0F0"/>
                </w:tcPr>
                <w:p>
                  <w:pPr>
                    <w:pStyle w:val="Para 02"/>
                    <w:keepLines w:val="on"/>
                  </w:pPr>
                  <w:r>
                    <w:t>Tiền tệ</w:t>
                  </w:r>
                </w:p>
              </w:tc>
              <w:tc>
                <w:tcPr>
                  <w:tcW w:type="auto" w:w="0"/>
                  <w:shd w:val="clear" w:color="auto" w:fill="F0F0F0"/>
                </w:tcPr>
                <w:p>
                  <w:pPr>
                    <w:pStyle w:val="Para 02"/>
                    <w:keepLines w:val="on"/>
                  </w:pPr>
                  <w:r>
                    <w:t>Không thể định giá</w:t>
                  </w:r>
                </w:p>
              </w:tc>
              <w:tc>
                <w:tcPr>
                  <w:tcW w:type="auto" w:w="0"/>
                  <w:shd w:val="clear" w:color="auto" w:fill="F0F0F0"/>
                </w:tcPr>
                <w:p>
                  <w:pPr>
                    <w:pStyle w:val="Para 02"/>
                    <w:keepLines w:val="on"/>
                  </w:pPr>
                  <w:r>
                    <w:t>Có thể được định giá so với các loại tiền tệ khác, với mức độ chấp nhận cao hơn và sức mua ổn định hơn = giá cao hơn</w:t>
                  </w:r>
                </w:p>
              </w:tc>
            </w:tr>
            <w:tr>
              <w:tc>
                <w:tcPr>
                  <w:tcW w:type="auto" w:w="0"/>
                  <w:shd w:val="clear" w:color="auto" w:fill="F0F0F0"/>
                </w:tcPr>
                <w:p>
                  <w:pPr>
                    <w:pStyle w:val="Para 02"/>
                    <w:keepLines w:val="on"/>
                  </w:pPr>
                  <w:r>
                    <w:t>Đồ sưu tầm</w:t>
                  </w:r>
                </w:p>
              </w:tc>
              <w:tc>
                <w:tcPr>
                  <w:tcW w:type="auto" w:w="0"/>
                  <w:shd w:val="clear" w:color="auto" w:fill="F0F0F0"/>
                </w:tcPr>
                <w:p>
                  <w:pPr>
                    <w:pStyle w:val="Para 02"/>
                    <w:keepLines w:val="on"/>
                  </w:pPr>
                  <w:r>
                    <w:t>Không thể định giá</w:t>
                  </w:r>
                </w:p>
              </w:tc>
              <w:tc>
                <w:tcPr>
                  <w:tcW w:type="auto" w:w="0"/>
                  <w:shd w:val="clear" w:color="auto" w:fill="F0F0F0"/>
                </w:tcPr>
                <w:p>
                  <w:pPr>
                    <w:pStyle w:val="Para 02"/>
                    <w:keepLines w:val="on"/>
                  </w:pPr>
                  <w:r>
                    <w:t>Có thể được định giá dựa trên độ khan hiếm và mức độ mong muốn.</w:t>
                  </w:r>
                </w:p>
              </w:tc>
            </w:tr>
          </w:tbl>
          <w:p/>
        </w:tc>
      </w:tr>
    </w:tbl>
    <w:p>
      <w:pPr>
        <w:pStyle w:val="Para 03"/>
      </w:pPr>
      <w:r>
        <w:t>Khi đi qua chương này, chúng ta sẽ tuân theo nguyên tắc này: định giá (valuing) những khoản đầu tư tạo ra dòng tiền và định giá thị trường (pricing) những khoản đầu tư không tạo ra dòng tiền. Khi bạn đi qua ranh giới này, chúng ta cũng sẽ nói về những khoản đầu tư thuộc nhiều hơn một loại—tài sản danh giá (trophy assets), những thứ có dòng tiền như tài sản thông thường nhưng lại được định giá thị trường như đồ sưu tầm; kim loại quý như vàng, vừa là hàng hóa vừa là đồ sưu tầm; và bitcoin, thứ có thể được xem như một loại tiền tệ hoặc một món đồ sưu tầm.</w:t>
      </w:r>
    </w:p>
    <w:p>
      <w:pPr>
        <w:pStyle w:val="Para 20"/>
      </w:pPr>
      <w:r>
        <w:rPr>
          <w:rStyle w:val="Text26"/>
        </w:rPr>
        <w:bookmarkStart w:id="5621" w:name="Page_869"/>
        <w:t/>
        <w:bookmarkEnd w:id="5621"/>
      </w:r>
      <w:r>
        <w:t xml:space="preserve"> </w:t>
      </w:r>
    </w:p>
    <w:p>
      <w:bookmarkStart w:id="5622" w:name="Cash_Flow_Producing_Assets"/>
      <w:bookmarkStart w:id="5623" w:name="Cash_Flow_Producing_Assets__Seve"/>
      <w:pPr>
        <w:keepNext/>
        <w:pStyle w:val="Heading 2"/>
        <w:keepLines w:val="on"/>
      </w:pPr>
      <w:r>
        <w:t>Tài sản tạo ra dòng tiền</w:t>
      </w:r>
      <w:bookmarkEnd w:id="5622"/>
      <w:bookmarkEnd w:id="5623"/>
    </w:p>
    <w:p>
      <w:pPr>
        <w:pStyle w:val="Para 03"/>
      </w:pPr>
      <w:r>
        <w:t>Một số tài sản có giá trị nhờ khả năng tạo ra dòng tiền cho chủ sở hữu. Giá trị của những tài sản này là một hàm số của dòng tiền kỳ vọng trong tương lai và sự bất định gắn liền với những dòng tiền này. Các nguyên tắc cơ bản của định giá dòng tiền chiết khấu (discounted cash flow valuation), đã được trình bày ở các chương trước, đều áp dụng cho bất kỳ tài sản nào trong số này và đòi hỏi các bước sau:</w:t>
      </w:r>
    </w:p>
    <w:p>
      <w:pPr>
        <w:numPr>
          <w:ilvl w:val="0"/>
          <w:numId w:val="308"/>
        </w:numPr>
        <w:pStyle w:val="Para 01"/>
      </w:pPr>
      <w:r>
        <w:t>Ước tính dòng tiền của tài sản trong giai đoạn ước tính. Những dòng tiền này có thể là trước nợ (dòng tiền thuộc về doanh nghiệp) hoặc sau nợ (dòng tiền thuộc về vốn chủ sở hữu).</w:t>
      </w:r>
    </w:p>
    <w:p>
      <w:pPr>
        <w:numPr>
          <w:ilvl w:val="0"/>
          <w:numId w:val="308"/>
        </w:numPr>
        <w:pStyle w:val="Para 01"/>
      </w:pPr>
      <w:r>
        <w:t>Ước tính giá trị của tài sản, nếu có, vào cuối giai đoạn ước tính. Giá trị này sẽ giảm dần theo thời gian nếu tài sản mất giá trị khi sử dụng hoặc có vòng đời hữu hạn, và trong một số trường hợp, có thể bằng không.</w:t>
      </w:r>
    </w:p>
    <w:p>
      <w:pPr>
        <w:numPr>
          <w:ilvl w:val="0"/>
          <w:numId w:val="308"/>
        </w:numPr>
        <w:pStyle w:val="Para 01"/>
      </w:pPr>
      <w:r>
        <w:t>Ước tính tỷ lệ chiết khấu phản ánh mức độ rủi ro của dòng tiền. Tỷ lệ chiết khấu này sẽ là chi phí vốn chủ sở hữu (cost of equity) nếu dòng tiền được chiết khấu là dòng tiền thuộc về vốn chủ sở hữu, và là chi phí vốn (cost of capital) nếu dòng tiền là dòng tiền thuộc về doanh nghiệp.</w:t>
      </w:r>
    </w:p>
    <w:p>
      <w:pPr>
        <w:numPr>
          <w:ilvl w:val="0"/>
          <w:numId w:val="308"/>
        </w:numPr>
        <w:pStyle w:val="Para 01"/>
      </w:pPr>
      <w:r>
        <w:t>Tính giá trị hiện tại của dòng tiền để đi đến giá trị của tài sản hoặc giá trị phần vốn chủ sở hữu trong tài sản đó.</w:t>
      </w:r>
    </w:p>
    <w:p>
      <w:pPr>
        <w:pStyle w:val="Para 03"/>
      </w:pPr>
      <w:r>
        <w:t>Có một số vấn đề thực tiễn khi áp dụng các bước này cho tài sản khi dòng tiền khó ước tính và rủi ro không thể dễ dàng định lượng (và chuyển đổi thành tỷ lệ chiết khấu). Trong hầu hết các trường hợp, những vấn đề này không phải là không thể vượt qua và đều có thể giải quyết được. Vì các vấn đề và giải pháp thay đổi tùy từng trường hợp, chúng ta sẽ xem xét một loạt ví dụ, từ việc định giá một nhượng quyền đơn giản đến những doanh nghiệp phức tạp hơn.</w:t>
      </w:r>
    </w:p>
    <w:p>
      <w:bookmarkStart w:id="5624" w:name="Valuing_a_Franchise"/>
      <w:bookmarkStart w:id="5625" w:name="Valuing_a_Franchise__A_franchise"/>
      <w:pPr>
        <w:keepNext/>
        <w:pStyle w:val="Heading 3"/>
        <w:keepLines w:val="on"/>
      </w:pPr>
      <w:r>
        <w:t>Định giá một nhượng quyền (Franchise)</w:t>
      </w:r>
      <w:bookmarkEnd w:id="5624"/>
      <w:bookmarkEnd w:id="5625"/>
    </w:p>
    <w:p>
      <w:pPr>
        <w:pStyle w:val="Para 03"/>
      </w:pPr>
      <w:r>
        <w:t>Nhượng quyền cho bạn quyền tiếp thị hoặc bán một sản phẩm hay dịch vụ của một công ty có thương hiệu. Ví dụ về nhượng quyền bao gồm hàng nghìn nhà hàng McDonald's trên khắp thế giới, các đại lý của các hãng ô tô, và nếu định nghĩa rộng ra, thậm chí cả một tấm huy hiệu taxi ở thành phố New York. Trong mỗi trường hợp, bên nhận nhượng quyền (franchisee — người mua nhượng quyền) trả cho bên nhượng quyền (franchisor, ví dụ McDonald's hay Ford) một khoản tiền trả trước hoặc một khoản phí hàng năm để được vận hành nhượng quyền. Đổi lại, họ nhận được sức mạnh của thương hiệu, sự hỗ trợ của công ty và sự hậu thuẫn quảng cáo.</w:t>
      </w:r>
    </w:p>
    <w:p>
      <w:bookmarkStart w:id="5626" w:name="Franchise_Value_and_Excess_Retur"/>
      <w:bookmarkStart w:id="5627" w:name="Franchise_Value_and_Excess_Retur_1"/>
      <w:pPr>
        <w:keepNext/>
        <w:pStyle w:val="Heading 4"/>
        <w:keepLines w:val="on"/>
      </w:pPr>
      <w:r>
        <w:t>Giá trị nhượng quyền và lợi nhuận vượt trội</w:t>
      </w:r>
      <w:bookmarkEnd w:id="5626"/>
      <w:bookmarkEnd w:id="5627"/>
    </w:p>
    <w:p>
      <w:pPr>
        <w:pStyle w:val="Para 03"/>
      </w:pPr>
      <w:r>
        <w:t>Việc mua lại một nhượng quyền mang đến cho bên nhận nhượng quyền cơ hội kiếm được lợi nhuận vượt trội trong suốt vòng đời của nhượng quyền đó. Dù nguồn gốc của những khoản lợi nhuận trên mức thị trường này thay đổi tùy từng trường hợp, chúng có thể phát sinh từ nhiều yếu tố:</w:t>
      </w:r>
    </w:p>
    <w:p>
      <w:pPr>
        <w:numPr>
          <w:ilvl w:val="0"/>
          <w:numId w:val="309"/>
        </w:numPr>
        <w:pStyle w:val="Para 01"/>
      </w:pPr>
      <w:r>
        <w:t>Giá trị thương hiệu. Một thương hiệu nhượng quyền có thể sở hữu giá trị tên thương hiệu giúp bên nhận nhượng quyền thu giá cao hơn và thu hút nhiều khách hàng hơn so với một doanh nghiệp tương tự khác. Vì vậy, một nhà đầu tư có thể sẵn sàng trả một khoản phí ban đầu đáng kể để có được nhượng quyền McDonald's, nhằm tận dụng giá trị tên thương hiệu gắn liền với công ty này.</w:t>
      </w:r>
    </w:p>
    <w:p>
      <w:pPr>
        <w:numPr>
          <w:ilvl w:val="0"/>
          <w:numId w:val="309"/>
        </w:numPr>
        <w:pStyle w:val="Para 01"/>
      </w:pPr>
      <w:r>
        <w:t>Tính độc quyền. Trong một số trường hợp, một nhượng quyền có giá trị vì nó cho phép bên nhận nhượng quyền sản xuất một sản phẩm mà quyền sở hữu thuộc về bên nhượng quyền. Chẳng hạn, một nhà đầu tư có thể trả phí cho Disney để có quyền sản xuất đồng hồ hoặc đồ chơi Mickey Mouse, và hy vọng thu hồi khoản phí đó bằng cách bán được nhiều sản phẩm hơn hoặc bán với giá cao hơn.</w:t>
      </w:r>
    </w:p>
    <w:p>
      <w:pPr>
        <w:numPr>
          <w:ilvl w:val="0"/>
          <w:numId w:val="309"/>
        </w:numPr>
        <w:pStyle w:val="Para 01"/>
      </w:pPr>
      <w:r>
        <w:t>Độc quyền hợp pháp. Đôi khi, một nhượng quyền có giá trị vì bên nhận nhượng quyền được trao quyền độc quyền cung cấp một dịch vụ. Chẳng hạn, một công ty có thể trả một khoản phí lớn để có quyền vận hành các quầy hàng trong một sân vận động bóng chày, vì biết rằng mình sẽ không gặp cạnh tranh nào trong sân vận động đó. Ở một biến thể nhẹ nhàng hơn, nhiều nhượng quyền đôi khi được bán ra, nhưng số lượng nhượng quyền bị giới hạn để đảm bảo rằng các bên nhận nhượng quyền thu được lợi nhuận vượt trội. Ví dụ, thành phố New York bán các huy hiệu taxi (cab medallion) – thứ điều kiện tiên quyết để vận hành một chiếc taxi vàng trong thành phố – và có những hạn chế nghiêm ngặt đối với những người không sở hữu huy hiệu muốn cung cấp dịch vụ tương tự. Do đó, tồn tại một thị trường mua bán huy hiệu taxi.</w:t>
      </w:r>
    </w:p>
    <w:p>
      <w:pPr>
        <w:pStyle w:val="Para 03"/>
      </w:pPr>
      <w:r>
        <w:t>Về bản chất, giá trị của một nhượng quyền gắn trực tiếp với khả năng tạo ra lợi nhuận vượt trội. Bất kỳ hành động hay sự kiện nào ảnh hưởng đến lợi nhuận vượt trội này đều sẽ ảnh hưởng đến giá trị của nhượng quyền.</w:t>
      </w:r>
    </w:p>
    <w:p>
      <w:bookmarkStart w:id="5629" w:name="Special_Issues_in_Valuing_Franch"/>
      <w:bookmarkStart w:id="5630" w:name="Special_Issues_in_Valuing_Franch_1"/>
      <w:pPr>
        <w:keepNext/>
        <w:pStyle w:val="Heading 4"/>
        <w:keepLines w:val="on"/>
      </w:pPr>
      <w:r>
        <w:t>Những vấn đề đặc biệt khi định giá nhượng quyền</w:t>
      </w:r>
      <w:bookmarkEnd w:id="5629"/>
      <w:bookmarkEnd w:id="5630"/>
    </w:p>
    <w:p>
      <w:pPr>
        <w:pStyle w:val="Para 03"/>
      </w:pPr>
      <w:r>
        <w:t>Mua một nhượng quyền thường là con dao hai lưỡi. Trong khi bên nhận nhượng quyền nhận được sự hậu thuẫn của một công ty nổi tiếng với nguồn lực đáng kể để hỗ trợ nỗ lực của mình, thì vẫn có một số chi phí có thể ảnh hưởng đến giá trị của nhượng quyền. Trong số các chi phí này có những điểm sau:</w:t>
      </w:r>
    </w:p>
    <w:p>
      <w:pPr>
        <w:numPr>
          <w:ilvl w:val="0"/>
          <w:numId w:val="310"/>
        </w:numPr>
        <w:pStyle w:val="Para 01"/>
      </w:pPr>
      <w:r>
        <w:t>Những vấn đề của bên nhượng quyền có thể lan sang bên nhận nhượng quyền. Chẳng hạn, khi Daewoo, hãng xe hơi Hàn Quốc, vay quá nhiều và rơi vào khó khăn tài chính, các đại lý của hãng trên khắp thế giới đều cảm nhận được hệ lụy. Tương tự, các bên nhận nhượng quyền của McDonald's trên khắp thế giới đã trở thành mục tiêu của các nhà hoạt động chống toàn cầu hóa. Vì vậy, giá trị của một nhượng quyền hiệu quả và được vận hành tốt có thể bị ảnh hưởng bởi những hành động mà nó ít hoặc không có khả năng kiểm soát.</w:t>
      </w:r>
    </w:p>
    <w:p>
      <w:pPr>
        <w:numPr>
          <w:ilvl w:val="0"/>
          <w:numId w:val="310"/>
        </w:numPr>
        <w:pStyle w:val="Para 01"/>
      </w:pPr>
      <w:r>
        <w:t>Vì bên nhượng quyền thường là các tập đoàn lớn còn bên nhận nhượng quyền thường là những doanh nhân nhỏ, nên bên nhượng quyền thường có nhiều quyền thương lượng hơn hẳn và đôi khi lợi dụng điều đó để thay đổi các điều khoản của hợp đồng nhượng quyền theo hướng có lợi cho mình. Bên nhận nhượng quyền có thể gia tăng quyền lực của mình bằng cách đoàn kết lại và thương lượng như một khối tập thể.</w:t>
      </w:r>
    </w:p>
    <w:p>
      <w:pPr>
        <w:numPr>
          <w:ilvl w:val="0"/>
          <w:numId w:val="310"/>
        </w:numPr>
        <w:pStyle w:val="Para 01"/>
      </w:pPr>
      <w:r>
        <w:t>Giá trị của một nhượng quyền bắt nguồn từ các quyền độc quyền mà nó trao cho bên nhận nhượng quyền để bán sản phẩm của một công ty. Giá trị này có thể bị pha loãng nếu một nhượng quyền được cấp cho một đối thủ cạnh tranh. Chẳng hạn, giá trị của một nhượng quyền Days Inn có thể bị pha loãng nếu một Days Inn khác được phép mở cách đó năm dặm dọc theo xa lộ.</w:t>
      </w:r>
    </w:p>
    <w:p>
      <w:pPr>
        <w:pStyle w:val="Para 11"/>
      </w:pPr>
      <w:r>
        <w:t xml:space="preserve"> </w:t>
      </w:r>
    </w:p>
    <w:p>
      <w:bookmarkStart w:id="5631" w:name="ILLUSTRATION_27_1__Valuing_a_New_1"/>
      <w:bookmarkStart w:id="5632" w:name="ILLUSTRATION_27_1__Valuing_a_New"/>
      <w:pPr>
        <w:keepNext/>
        <w:pStyle w:val="Para 19"/>
        <w:keepLines w:val="on"/>
      </w:pPr>
      <w:r>
        <w:t>MINH HỌA 27.1: Định giá một huy hiệu taxi của thành phố New York—Tháng 6 năm 2014</w:t>
      </w:r>
      <w:bookmarkEnd w:id="5631"/>
      <w:bookmarkEnd w:id="5632"/>
    </w:p>
    <w:p>
      <w:bookmarkStart w:id="5633" w:name="Background__Starting_in_1937__Ne"/>
      <w:bookmarkStart w:id="5634" w:name="Background"/>
      <w:pPr>
        <w:keepNext/>
        <w:pStyle w:val="Para 36"/>
        <w:keepLines w:val="on"/>
      </w:pPr>
      <w:r>
        <w:t>Bối cảnh</w:t>
      </w:r>
      <w:bookmarkEnd w:id="5633"/>
      <w:bookmarkEnd w:id="5634"/>
    </w:p>
    <w:p>
      <w:pPr>
        <w:numPr>
          <w:ilvl w:val="0"/>
          <w:numId w:val="311"/>
        </w:numPr>
        <w:pStyle w:val="Para 18"/>
        <w:keepLines w:val="on"/>
      </w:pPr>
      <w:r>
        <w:t>Bắt đầu từ năm 1937, thành phố New York yêu cầu các nhà vận hành taxi phải sở hữu huy hiệu taxi, trao cho chủ sở hữu quyền vận hành một chiếc taxi vàng vĩnh viễn.</w:t>
      </w:r>
    </w:p>
    <w:p>
      <w:pPr>
        <w:numPr>
          <w:ilvl w:val="0"/>
          <w:numId w:val="311"/>
        </w:numPr>
        <w:pStyle w:val="Para 18"/>
        <w:keepLines w:val="on"/>
      </w:pPr>
      <w:r>
        <w:t>Trong khi các huy hiệu taxi ban đầu được thành phố phát hành, số lượng huy hiệu chỉ tăng lên rất ít trong vài thập kỷ qua. Do đó, cách chính để có được một huy hiệu là mua trên thị trường thứ cấp.</w:t>
      </w:r>
    </w:p>
    <w:p>
      <w:pPr>
        <w:numPr>
          <w:ilvl w:val="0"/>
          <w:numId w:val="311"/>
        </w:numPr>
        <w:pStyle w:val="Para 18"/>
        <w:keepLines w:val="on"/>
      </w:pPr>
      <w:r>
        <w:t>Năm 2014, thành phố New York có 13.437 huy hiệu taxi đang lưu hành. Chủ sở hữu một huy hiệu taxi có quyền vận hành một chiếc taxi vàng trong năm quận của thành phố New York—Manhattan, Brooklyn, the Bronx, Queens và Staten Island. Thành phố New York hạn chế những người không sở hữu huy hiệu đón khách trên đường, mặc dù họ vẫn có thể được gọi xe bằng những cách khác.</w:t>
      </w:r>
    </w:p>
    <w:p>
      <w:pPr>
        <w:numPr>
          <w:ilvl w:val="0"/>
          <w:numId w:val="311"/>
        </w:numPr>
        <w:pStyle w:val="Para 18"/>
        <w:keepLines w:val="on"/>
      </w:pPr>
      <w:r>
        <w:t>Có hai loại huy hiệu, một loại dành cho tài xế đồng thời là chủ sở hữu, những người mua huy hiệu cho chính chiếc xe họ vận hành, và một loại dành cho nhà vận hành taxi, những người mua huy hiệu rồi cho tài xế thuê xe và thu tiền thuê mỗi ngày.</w:t>
      </w:r>
    </w:p>
    <w:p>
      <w:pPr>
        <w:numPr>
          <w:ilvl w:val="0"/>
          <w:numId w:val="311"/>
        </w:numPr>
        <w:pStyle w:val="Para 18"/>
        <w:keepLines w:val="on"/>
      </w:pPr>
      <w:r>
        <w:t>Tất cả taxi vàng trong thành phố đều chịu sự quản lý của Ủy ban Taxi và Limousine (Taxi and Limousine Commission), cơ quan ấn định giá cước và giữ quyền phạt những chủ xe không tuân thủ vô số yêu cầu của mình.</w:t>
      </w:r>
    </w:p>
    <w:p>
      <w:bookmarkStart w:id="5636" w:name="Cash_Flows_on_a_Leased_Cab_Medal"/>
      <w:bookmarkStart w:id="5637" w:name="Cash_Flows_on_a_Leased_Cab_Medal_1"/>
      <w:pPr>
        <w:keepNext/>
        <w:pStyle w:val="Para 36"/>
        <w:keepLines w:val="on"/>
      </w:pPr>
      <w:r>
        <w:t>Dòng tiền từ một huy hiệu taxi cho thuê đối với một nhà vận hành taxi</w:t>
      </w:r>
      <w:bookmarkEnd w:id="5636"/>
      <w:bookmarkEnd w:id="5637"/>
    </w:p>
    <w:p>
      <w:pPr>
        <w:numPr>
          <w:ilvl w:val="0"/>
          <w:numId w:val="312"/>
        </w:numPr>
        <w:pStyle w:val="Para 18"/>
        <w:keepLines w:val="on"/>
      </w:pPr>
      <w:r>
        <w:t>Để định giá một huy hiệu đối với một nhà vận hành taxi, chúng ta sẽ bắt đầu với kinh tế học của việc cho thuê taxi. Nhà vận hành taxi có thể cho thuê một chiếc xe theo hai ca thuê mười giờ mỗi ngày, và vào năm 2014, Ủy ban Taxi và Limousine đã giới hạn mức giá thuê đó ở khoảng 130 đô la/ca cho năm tiếp theo.</w:t>
      </w:r>
    </w:p>
    <w:p>
      <w:pPr>
        <w:numPr>
          <w:ilvl w:val="0"/>
          <w:numId w:val="312"/>
        </w:numPr>
        <w:pStyle w:val="Para 18"/>
        <w:keepLines w:val="on"/>
      </w:pPr>
      <w:r>
        <w:t>Một chiếc taxi có thể được kỳ vọng chạy trên đường 330 ngày mỗi năm, với thời gian ngừng hoạt động dự kiến (để bảo trì) là 35 ngày. Trong khi tài xế chịu trách nhiệm về xăng và chi phí vận hành, nhà vận hành taxi phải trả cho việc bảo trì và sửa chữa, lên tới 2.000 đô la một năm, cho năm tới.</w:t>
      </w:r>
    </w:p>
    <w:p>
      <w:pPr>
        <w:numPr>
          <w:ilvl w:val="0"/>
          <w:numId w:val="312"/>
        </w:numPr>
        <w:pStyle w:val="Para 18"/>
        <w:keepLines w:val="on"/>
      </w:pPr>
      <w:r>
        <w:t>Chiếc taxi điển hình ở thành phố New York trước đây là Chevrolet Caprice hoặc Ford Victoria, nhưng đội xe nay đã bao gồm nhiều xe hybrid hơn. Năm 2014, chi phí một chiếc taxi vào khoảng 25.000 đô la, và nó có tuổi thọ kỳ vọng là 5 năm.1 Chiếc taxi có thể được khấu hao trong suốt vòng đời xuống giá trị thanh lý bằng không, nhưng một khoản tương đương với khấu hao được để dành để trang trải chi phí mua xe mới trong tương lai.</w:t>
      </w:r>
    </w:p>
    <w:p>
      <w:pPr>
        <w:numPr>
          <w:ilvl w:val="0"/>
          <w:numId w:val="312"/>
        </w:numPr>
        <w:pStyle w:val="Para 18"/>
        <w:keepLines w:val="on"/>
      </w:pPr>
      <w:r>
        <w:t>Tất cả taxi hoạt động ở thành phố New York phải có bảo hiểm trách nhiệm 100.000 đô la và 300.000 đô la để chi trả cho thương tích của những cá nhân liên quan đến tai nạn. Chi phí bảo hiểm ô tô, bao gồm chi phí va chạm, trộm cắp và thương tích thân thể, được kỳ vọng là 1.500 đô la mỗi năm.</w:t>
      </w:r>
    </w:p>
    <w:p>
      <w:pPr>
        <w:numPr>
          <w:ilvl w:val="0"/>
          <w:numId w:val="312"/>
        </w:numPr>
        <w:pStyle w:val="Para 18"/>
        <w:keepLines w:val="on"/>
      </w:pPr>
      <w:r>
        <w:t>Phí hàng năm phải trả cho Ủy ban Taxi và Limousine là 500 đô la. Các chi phí cấp phép khác được kỳ vọng lên tới 500 đô la một năm. Nhà vận hành taxi được kỳ vọng phải chịu thuế suất 30% trên thu nhập chịu thuế.</w:t>
      </w:r>
    </w:p>
    <w:p>
      <w:pPr>
        <w:pStyle w:val="Para 04"/>
        <w:keepLines w:val="on"/>
      </w:pPr>
      <w:r>
        <w:t>Dòng tiền kỳ vọng trong năm tới đối với nhà vận hành taxi, dựa trên những giả định này, được thể hiện trong Bảng 27.2:</w:t>
      </w:r>
    </w:p>
    <w:p>
      <w:pPr>
        <w:pStyle w:val="Para 25"/>
        <w:keepLines w:val="on"/>
      </w:pPr>
      <w:r>
        <w:t>Bảng 27.2</w:t>
      </w:r>
    </w:p>
    <w:p>
      <w:pPr>
        <w:keepNext/>
        <w:pStyle w:val="Para 24"/>
        <w:keepLines w:val="on"/>
      </w:pPr>
      <w:r>
        <w:t>Thu nhập kỳ vọng đối với nhà vận hành taxi</w:t>
      </w:r>
    </w:p>
    <w:tbl>
      <w:tblPr>
        <w:tblW w:type="auto" w:w="0"/>
      </w:tblPr>
      <w:tr>
        <w:tc>
          <w:tcPr>
            <w:tcW w:type="auto" w:w="0"/>
          </w:tcPr>
          <w:tbl>
            <w:tblPr>
              <w:tblW w:type="auto" w:w="0"/>
            </w:tblPr>
            <w:tr>
              <w:tc>
                <w:tcPr>
                  <w:tcW w:type="auto" w:w="0"/>
                  <w:shd w:val="clear" w:color="auto" w:fill="F0F0F0"/>
                </w:tcPr>
                <w:p>
                  <w:pPr>
                    <w:pStyle w:val="Para 32"/>
                    <w:keepLines w:val="on"/>
                  </w:pPr>
                  <w:r>
                    <w:t>Khoản mục</w:t>
                  </w:r>
                </w:p>
              </w:tc>
              <w:tc>
                <w:tcPr>
                  <w:tcW w:type="auto" w:w="0"/>
                  <w:shd w:val="clear" w:color="auto" w:fill="F0F0F0"/>
                </w:tcPr>
                <w:p>
                  <w:pPr>
                    <w:pStyle w:val="Para 32"/>
                    <w:keepLines w:val="on"/>
                  </w:pPr>
                  <w:r>
                    <w:t>Cách tính</w:t>
                  </w:r>
                </w:p>
              </w:tc>
              <w:tc>
                <w:tcPr>
                  <w:tcW w:type="auto" w:w="0"/>
                  <w:shd w:val="clear" w:color="auto" w:fill="F0F0F0"/>
                </w:tcPr>
                <w:p>
                  <w:pPr>
                    <w:pStyle w:val="Para 05"/>
                    <w:keepLines w:val="on"/>
                  </w:pPr>
                  <w:r>
                    <w:t>Số tiền</w:t>
                  </w:r>
                </w:p>
              </w:tc>
            </w:tr>
            <w:tr>
              <w:tc>
                <w:tcPr>
                  <w:tcW w:type="auto" w:w="0"/>
                  <w:shd w:val="clear" w:color="auto" w:fill="F0F0F0"/>
                </w:tcPr>
                <w:p>
                  <w:pPr>
                    <w:pStyle w:val="Para 02"/>
                    <w:keepLines w:val="on"/>
                  </w:pPr>
                  <w:r>
                    <w:t>Doanh thu cho thuê</w:t>
                  </w:r>
                </w:p>
              </w:tc>
              <w:tc>
                <w:tcPr>
                  <w:tcW w:type="auto" w:w="0"/>
                  <w:shd w:val="clear" w:color="auto" w:fill="F0F0F0"/>
                </w:tcPr>
                <w:p>
                  <w:pPr>
                    <w:pStyle w:val="Para 02"/>
                    <w:keepLines w:val="on"/>
                  </w:pPr>
                  <w:r>
                    <w:t>2 × 130 × 330</w:t>
                  </w:r>
                </w:p>
              </w:tc>
              <w:tc>
                <w:tcPr>
                  <w:tcW w:type="auto" w:w="0"/>
                  <w:shd w:val="clear" w:color="auto" w:fill="F0F0F0"/>
                </w:tcPr>
                <w:p>
                  <w:pPr>
                    <w:pStyle w:val="Normal"/>
                    <w:keepLines w:val="on"/>
                  </w:pPr>
                  <w:r>
                    <w:t>$85,800.00</w:t>
                  </w:r>
                </w:p>
              </w:tc>
            </w:tr>
            <w:tr>
              <w:tc>
                <w:tcPr>
                  <w:tcW w:type="auto" w:w="0"/>
                  <w:shd w:val="clear" w:color="auto" w:fill="F0F0F0"/>
                </w:tcPr>
                <w:p>
                  <w:pPr>
                    <w:pStyle w:val="Para 02"/>
                    <w:keepLines w:val="on"/>
                  </w:pPr>
                  <w:r>
                    <w:t>− Bảo trì &amp; Sửa chữa</w:t>
                  </w:r>
                </w:p>
              </w:tc>
              <w:tc>
                <w:tcPr>
                  <w:tcW w:type="auto" w:w="0"/>
                  <w:shd w:val="clear" w:color="auto" w:fill="F0F0F0"/>
                </w:tcPr>
                <w:p>
                  <w:pPr>
                    <w:pStyle w:val="5 Block"/>
                    <w:keepLines w:val="on"/>
                  </w:pPr>
                </w:p>
              </w:tc>
              <w:tc>
                <w:tcPr>
                  <w:tcW w:type="auto" w:w="0"/>
                  <w:shd w:val="clear" w:color="auto" w:fill="F0F0F0"/>
                </w:tcPr>
                <w:p>
                  <w:pPr>
                    <w:pStyle w:val="Normal"/>
                    <w:keepLines w:val="on"/>
                  </w:pPr>
                  <w:r>
                    <w:t>$2,000.00</w:t>
                  </w:r>
                </w:p>
              </w:tc>
            </w:tr>
            <w:tr>
              <w:tc>
                <w:tcPr>
                  <w:tcW w:type="auto" w:w="0"/>
                  <w:shd w:val="clear" w:color="auto" w:fill="F0F0F0"/>
                </w:tcPr>
                <w:p>
                  <w:pPr>
                    <w:pStyle w:val="Para 02"/>
                    <w:keepLines w:val="on"/>
                  </w:pPr>
                  <w:r>
                    <w:t>− Bảo hiểm</w:t>
                  </w:r>
                </w:p>
              </w:tc>
              <w:tc>
                <w:tcPr>
                  <w:tcW w:type="auto" w:w="0"/>
                  <w:shd w:val="clear" w:color="auto" w:fill="F0F0F0"/>
                </w:tcPr>
                <w:p>
                  <w:pPr>
                    <w:pStyle w:val="5 Block"/>
                    <w:keepLines w:val="on"/>
                  </w:pPr>
                </w:p>
              </w:tc>
              <w:tc>
                <w:tcPr>
                  <w:tcW w:type="auto" w:w="0"/>
                  <w:shd w:val="clear" w:color="auto" w:fill="F0F0F0"/>
                </w:tcPr>
                <w:p>
                  <w:pPr>
                    <w:pStyle w:val="Normal"/>
                    <w:keepLines w:val="on"/>
                  </w:pPr>
                  <w:r>
                    <w:t>$1,500.00</w:t>
                  </w:r>
                </w:p>
              </w:tc>
            </w:tr>
            <w:tr>
              <w:tc>
                <w:tcPr>
                  <w:tcW w:type="auto" w:w="0"/>
                  <w:shd w:val="clear" w:color="auto" w:fill="F0F0F0"/>
                </w:tcPr>
                <w:p>
                  <w:pPr>
                    <w:pStyle w:val="Para 02"/>
                    <w:keepLines w:val="on"/>
                  </w:pPr>
                  <w:r>
                    <w:t>− Phí và chi phí giấy phép</w:t>
                  </w:r>
                </w:p>
              </w:tc>
              <w:tc>
                <w:tcPr>
                  <w:tcW w:type="auto" w:w="0"/>
                  <w:shd w:val="clear" w:color="auto" w:fill="F0F0F0"/>
                </w:tcPr>
                <w:p>
                  <w:pPr>
                    <w:pStyle w:val="5 Block"/>
                    <w:keepLines w:val="on"/>
                  </w:pPr>
                </w:p>
              </w:tc>
              <w:tc>
                <w:tcPr>
                  <w:tcW w:type="auto" w:w="0"/>
                  <w:shd w:val="clear" w:color="auto" w:fill="F0F0F0"/>
                </w:tcPr>
                <w:p>
                  <w:pPr>
                    <w:pStyle w:val="Normal"/>
                    <w:keepLines w:val="on"/>
                  </w:pPr>
                  <w:r>
                    <w:t>$1000.00</w:t>
                  </w:r>
                </w:p>
              </w:tc>
            </w:tr>
            <w:tr>
              <w:tc>
                <w:tcPr>
                  <w:tcW w:type="auto" w:w="0"/>
                  <w:shd w:val="clear" w:color="auto" w:fill="F0F0F0"/>
                </w:tcPr>
                <w:p>
                  <w:pPr>
                    <w:pStyle w:val="Para 02"/>
                    <w:keepLines w:val="on"/>
                  </w:pPr>
                  <w:r>
                    <w:t>− Khấu hao</w:t>
                  </w:r>
                </w:p>
              </w:tc>
              <w:tc>
                <w:tcPr>
                  <w:tcW w:type="auto" w:w="0"/>
                  <w:shd w:val="clear" w:color="auto" w:fill="F0F0F0"/>
                </w:tcPr>
                <w:p>
                  <w:pPr>
                    <w:pStyle w:val="Para 02"/>
                    <w:keepLines w:val="on"/>
                  </w:pPr>
                  <w:r>
                    <w:t>Khấu hao đường thẳng trong 5 năm</w:t>
                  </w:r>
                </w:p>
              </w:tc>
              <w:tc>
                <w:tcPr>
                  <w:tcW w:type="auto" w:w="0"/>
                  <w:shd w:val="clear" w:color="auto" w:fill="F0F0F0"/>
                </w:tcPr>
                <w:p>
                  <w:pPr>
                    <w:pStyle w:val="Normal"/>
                    <w:keepLines w:val="on"/>
                  </w:pPr>
                  <w:r>
                    <w:t>$5,000.00</w:t>
                  </w:r>
                </w:p>
              </w:tc>
            </w:tr>
            <w:tr>
              <w:tc>
                <w:tcPr>
                  <w:tcW w:type="auto" w:w="0"/>
                  <w:shd w:val="clear" w:color="auto" w:fill="F0F0F0"/>
                </w:tcPr>
                <w:p>
                  <w:pPr>
                    <w:pStyle w:val="Para 02"/>
                    <w:keepLines w:val="on"/>
                  </w:pPr>
                  <w:r>
                    <w:t>EBIT</w:t>
                  </w:r>
                </w:p>
              </w:tc>
              <w:tc>
                <w:tcPr>
                  <w:tcW w:type="auto" w:w="0"/>
                  <w:shd w:val="clear" w:color="auto" w:fill="F0F0F0"/>
                </w:tcPr>
                <w:p>
                  <w:pPr>
                    <w:pStyle w:val="5 Block"/>
                    <w:keepLines w:val="on"/>
                  </w:pPr>
                </w:p>
              </w:tc>
              <w:tc>
                <w:tcPr>
                  <w:tcW w:type="auto" w:w="0"/>
                  <w:shd w:val="clear" w:color="auto" w:fill="F0F0F0"/>
                </w:tcPr>
                <w:p>
                  <w:pPr>
                    <w:pStyle w:val="Normal"/>
                    <w:keepLines w:val="on"/>
                  </w:pPr>
                  <w:r>
                    <w:t>$76,300.00</w:t>
                  </w:r>
                </w:p>
              </w:tc>
            </w:tr>
            <w:tr>
              <w:tc>
                <w:tcPr>
                  <w:tcW w:type="auto" w:w="0"/>
                  <w:shd w:val="clear" w:color="auto" w:fill="F0F0F0"/>
                </w:tcPr>
                <w:p>
                  <w:pPr>
                    <w:pStyle w:val="Para 02"/>
                    <w:keepLines w:val="on"/>
                  </w:pPr>
                  <w:r>
                    <w:t>− Thuế</w:t>
                  </w:r>
                </w:p>
              </w:tc>
              <w:tc>
                <w:tcPr>
                  <w:tcW w:type="auto" w:w="0"/>
                  <w:shd w:val="clear" w:color="auto" w:fill="F0F0F0"/>
                </w:tcPr>
                <w:p>
                  <w:pPr>
                    <w:pStyle w:val="Para 02"/>
                    <w:keepLines w:val="on"/>
                  </w:pPr>
                  <w:r>
                    <w:t>Thuế suất = 30%</w:t>
                  </w:r>
                </w:p>
              </w:tc>
              <w:tc>
                <w:tcPr>
                  <w:tcW w:type="auto" w:w="0"/>
                  <w:shd w:val="clear" w:color="auto" w:fill="F0F0F0"/>
                </w:tcPr>
                <w:p>
                  <w:pPr>
                    <w:pStyle w:val="Normal"/>
                    <w:keepLines w:val="on"/>
                  </w:pPr>
                  <w:r>
                    <w:t>$22,890.00</w:t>
                  </w:r>
                </w:p>
              </w:tc>
            </w:tr>
            <w:tr>
              <w:tc>
                <w:tcPr>
                  <w:tcW w:type="auto" w:w="0"/>
                  <w:shd w:val="clear" w:color="auto" w:fill="F0F0F0"/>
                </w:tcPr>
                <w:p>
                  <w:pPr>
                    <w:pStyle w:val="Para 02"/>
                    <w:keepLines w:val="on"/>
                  </w:pPr>
                  <w:r>
                    <w:t>EBIT (1 − thuế suất)</w:t>
                  </w:r>
                </w:p>
              </w:tc>
              <w:tc>
                <w:tcPr>
                  <w:tcW w:type="auto" w:w="0"/>
                  <w:shd w:val="clear" w:color="auto" w:fill="F0F0F0"/>
                </w:tcPr>
                <w:p>
                  <w:pPr>
                    <w:pStyle w:val="5 Block"/>
                    <w:keepLines w:val="on"/>
                  </w:pPr>
                </w:p>
              </w:tc>
              <w:tc>
                <w:tcPr>
                  <w:tcW w:type="auto" w:w="0"/>
                  <w:shd w:val="clear" w:color="auto" w:fill="F0F0F0"/>
                </w:tcPr>
                <w:p>
                  <w:pPr>
                    <w:pStyle w:val="Normal"/>
                    <w:keepLines w:val="on"/>
                  </w:pPr>
                  <w:r>
                    <w:t>$53,410.00</w:t>
                  </w:r>
                </w:p>
              </w:tc>
            </w:tr>
            <w:tr>
              <w:tc>
                <w:tcPr>
                  <w:tcW w:type="auto" w:w="0"/>
                  <w:shd w:val="clear" w:color="auto" w:fill="F0F0F0"/>
                </w:tcPr>
                <w:p>
                  <w:pPr>
                    <w:pStyle w:val="Para 02"/>
                    <w:keepLines w:val="on"/>
                  </w:pPr>
                  <w:r>
                    <w:t>+ Khấu hao</w:t>
                  </w:r>
                </w:p>
              </w:tc>
              <w:tc>
                <w:tcPr>
                  <w:tcW w:type="auto" w:w="0"/>
                  <w:shd w:val="clear" w:color="auto" w:fill="F0F0F0"/>
                </w:tcPr>
                <w:p>
                  <w:pPr>
                    <w:pStyle w:val="Para 02"/>
                    <w:keepLines w:val="on"/>
                  </w:pPr>
                  <w:r>
                    <w:t>Đường thẳng – 5 năm</w:t>
                  </w:r>
                </w:p>
              </w:tc>
              <w:tc>
                <w:tcPr>
                  <w:tcW w:type="auto" w:w="0"/>
                  <w:shd w:val="clear" w:color="auto" w:fill="F0F0F0"/>
                </w:tcPr>
                <w:p>
                  <w:pPr>
                    <w:pStyle w:val="Normal"/>
                    <w:keepLines w:val="on"/>
                  </w:pPr>
                  <w:r>
                    <w:t>$5,000.00</w:t>
                  </w:r>
                </w:p>
              </w:tc>
            </w:tr>
            <w:tr>
              <w:tc>
                <w:tcPr>
                  <w:tcW w:type="auto" w:w="0"/>
                  <w:shd w:val="clear" w:color="auto" w:fill="F0F0F0"/>
                </w:tcPr>
                <w:p>
                  <w:pPr>
                    <w:pStyle w:val="Para 02"/>
                    <w:keepLines w:val="on"/>
                  </w:pPr>
                  <w:r>
                    <w:t>− Chi phí đầu tư tài sản cố định (Capital Expenditures)</w:t>
                  </w:r>
                </w:p>
              </w:tc>
              <w:tc>
                <w:tcPr>
                  <w:tcW w:type="auto" w:w="0"/>
                  <w:shd w:val="clear" w:color="auto" w:fill="F0F0F0"/>
                </w:tcPr>
                <w:p>
                  <w:pPr>
                    <w:pStyle w:val="Para 02"/>
                    <w:keepLines w:val="on"/>
                  </w:pPr>
                  <w:r>
                    <w:t>Dành riêng để mua xe mới</w:t>
                  </w:r>
                </w:p>
              </w:tc>
              <w:tc>
                <w:tcPr>
                  <w:tcW w:type="auto" w:w="0"/>
                  <w:shd w:val="clear" w:color="auto" w:fill="F0F0F0"/>
                </w:tcPr>
                <w:p>
                  <w:pPr>
                    <w:pStyle w:val="Normal"/>
                    <w:keepLines w:val="on"/>
                  </w:pPr>
                  <w:r>
                    <w:t>$5,000.00</w:t>
                  </w:r>
                </w:p>
              </w:tc>
            </w:tr>
            <w:tr>
              <w:tc>
                <w:tcPr>
                  <w:tcW w:type="auto" w:w="0"/>
                  <w:shd w:val="clear" w:color="auto" w:fill="F0F0F0"/>
                </w:tcPr>
                <w:p>
                  <w:pPr>
                    <w:pStyle w:val="Para 02"/>
                    <w:keepLines w:val="on"/>
                  </w:pPr>
                  <w:r>
                    <w:t>Dòng tiền tự do cho doanh nghiệp (Free cash flow to firm)</w:t>
                  </w:r>
                </w:p>
              </w:tc>
              <w:tc>
                <w:tcPr>
                  <w:tcW w:type="auto" w:w="0"/>
                  <w:shd w:val="clear" w:color="auto" w:fill="F0F0F0"/>
                </w:tcPr>
                <w:p>
                  <w:pPr>
                    <w:pStyle w:val="5 Block"/>
                    <w:keepLines w:val="on"/>
                  </w:pPr>
                </w:p>
              </w:tc>
              <w:tc>
                <w:tcPr>
                  <w:tcW w:type="auto" w:w="0"/>
                  <w:shd w:val="clear" w:color="auto" w:fill="F0F0F0"/>
                </w:tcPr>
                <w:p>
                  <w:pPr>
                    <w:pStyle w:val="Normal"/>
                    <w:keepLines w:val="on"/>
                  </w:pPr>
                  <w:r>
                    <w:t>$53,410.00</w:t>
                  </w:r>
                </w:p>
              </w:tc>
            </w:tr>
          </w:tbl>
          <w:p/>
        </w:tc>
      </w:tr>
    </w:tbl>
    <w:p>
      <w:bookmarkStart w:id="5640" w:name="Cash_Flows_on_a_Cab_Medallion_to_1"/>
      <w:bookmarkStart w:id="5641" w:name="Cash_Flows_on_a_Cab_Medallion_to"/>
      <w:pPr>
        <w:keepNext/>
        <w:pStyle w:val="Para 36"/>
        <w:keepLines w:val="on"/>
      </w:pPr>
      <w:r>
        <w:t>Dòng tiền từ một tấm huy hiệu taxi (Cab Medallion) đối với tài xế kiêm chủ xe</w:t>
      </w:r>
      <w:bookmarkEnd w:id="5640"/>
      <w:bookmarkEnd w:id="5641"/>
    </w:p>
    <w:p>
      <w:pPr>
        <w:pStyle w:val="Para 04"/>
        <w:keepLines w:val="on"/>
      </w:pPr>
      <w:r>
        <w:t>Nhìn vào dòng tiền qua con mắt của một tài xế kiêm chủ xe sẽ thay đổi cách vận hành dòng tiền. Trong khi một số khoản chi phí (bảo trì và sửa chữa, khấu hao, phí, và bảo hiểm) sẽ áp dụng cho tài xế kiêm chủ xe, thì tài xế kiêm chủ xe được hưởng phần dòng tiền còn lại sau khi đã tính hết tất cả các khoản chi phí này, cộng thêm tiền xăng và thời gian của tài xế. Giả sử tài xế định giá thời gian của mình là $60,000 cho việc lái xe mười tiếng một ngày suốt cả năm, chi $10,000 cho tiền xăng mỗi năm, và doanh thu tiền cước hàng năm dự kiến là $150,000, thì dòng tiền kỳ vọng đối với tài xế kiêm chủ xe có thể được tính trong Bảng 27.3:</w:t>
      </w:r>
    </w:p>
    <w:p>
      <w:pPr>
        <w:pStyle w:val="Para 25"/>
        <w:keepLines w:val="on"/>
      </w:pPr>
      <w:r>
        <w:t>Bảng 27.3</w:t>
      </w:r>
    </w:p>
    <w:p>
      <w:pPr>
        <w:keepNext/>
        <w:pStyle w:val="Para 24"/>
        <w:keepLines w:val="on"/>
      </w:pPr>
      <w:r>
        <w:t>Thu nhập kỳ vọng của tài xế/chủ xe taxi</w:t>
      </w:r>
    </w:p>
    <w:tbl>
      <w:tblPr>
        <w:tblW w:type="auto" w:w="0"/>
      </w:tblPr>
      <w:tr>
        <w:tc>
          <w:tcPr>
            <w:tcW w:type="auto" w:w="0"/>
          </w:tcPr>
          <w:tbl>
            <w:tblPr>
              <w:tblW w:type="auto" w:w="0"/>
            </w:tblPr>
            <w:tr>
              <w:tc>
                <w:tcPr>
                  <w:tcW w:type="auto" w:w="0"/>
                  <w:shd w:val="clear" w:color="auto" w:fill="F0F0F0"/>
                </w:tcPr>
                <w:p>
                  <w:pPr>
                    <w:pStyle w:val="Para 32"/>
                    <w:keepLines w:val="on"/>
                  </w:pPr>
                  <w:r>
                    <w:t>Khoản mục</w:t>
                  </w:r>
                </w:p>
              </w:tc>
              <w:tc>
                <w:tcPr>
                  <w:tcW w:type="auto" w:w="0"/>
                  <w:shd w:val="clear" w:color="auto" w:fill="F0F0F0"/>
                </w:tcPr>
                <w:p>
                  <w:pPr>
                    <w:pStyle w:val="Para 32"/>
                    <w:keepLines w:val="on"/>
                  </w:pPr>
                  <w:r>
                    <w:t>Cách tính</w:t>
                  </w:r>
                </w:p>
              </w:tc>
              <w:tc>
                <w:tcPr>
                  <w:tcW w:type="auto" w:w="0"/>
                  <w:shd w:val="clear" w:color="auto" w:fill="F0F0F0"/>
                </w:tcPr>
                <w:p>
                  <w:pPr>
                    <w:pStyle w:val="Para 05"/>
                    <w:keepLines w:val="on"/>
                  </w:pPr>
                  <w:r>
                    <w:t>Số tiền</w:t>
                  </w:r>
                </w:p>
              </w:tc>
            </w:tr>
            <w:tr>
              <w:tc>
                <w:tcPr>
                  <w:tcW w:type="auto" w:w="0"/>
                  <w:shd w:val="clear" w:color="auto" w:fill="F0F0F0"/>
                </w:tcPr>
                <w:p>
                  <w:pPr>
                    <w:pStyle w:val="Para 02"/>
                    <w:keepLines w:val="on"/>
                  </w:pPr>
                  <w:r>
                    <w:t>Tiền cước taxi</w:t>
                  </w:r>
                </w:p>
              </w:tc>
              <w:tc>
                <w:tcPr>
                  <w:tcW w:type="auto" w:w="0"/>
                  <w:shd w:val="clear" w:color="auto" w:fill="F0F0F0"/>
                </w:tcPr>
                <w:p>
                  <w:pPr>
                    <w:pStyle w:val="Para 02"/>
                    <w:keepLines w:val="on"/>
                  </w:pPr>
                  <w:r>
                    <w:t>Tiền cước hàng năm</w:t>
                  </w:r>
                </w:p>
              </w:tc>
              <w:tc>
                <w:tcPr>
                  <w:tcW w:type="auto" w:w="0"/>
                  <w:shd w:val="clear" w:color="auto" w:fill="F0F0F0"/>
                </w:tcPr>
                <w:p>
                  <w:pPr>
                    <w:pStyle w:val="Normal"/>
                    <w:keepLines w:val="on"/>
                  </w:pPr>
                  <w:r>
                    <w:t>$150,000.00</w:t>
                  </w:r>
                </w:p>
              </w:tc>
            </w:tr>
            <w:tr>
              <w:tc>
                <w:tcPr>
                  <w:tcW w:type="auto" w:w="0"/>
                  <w:shd w:val="clear" w:color="auto" w:fill="F0F0F0"/>
                </w:tcPr>
                <w:p>
                  <w:pPr>
                    <w:pStyle w:val="Para 02"/>
                    <w:keepLines w:val="on"/>
                  </w:pPr>
                  <w:r>
                    <w:t>− Xăng</w:t>
                  </w:r>
                </w:p>
              </w:tc>
              <w:tc>
                <w:tcPr>
                  <w:tcW w:type="auto" w:w="0"/>
                  <w:shd w:val="clear" w:color="auto" w:fill="F0F0F0"/>
                </w:tcPr>
                <w:p>
                  <w:pPr>
                    <w:pStyle w:val="5 Block"/>
                    <w:keepLines w:val="on"/>
                  </w:pPr>
                </w:p>
              </w:tc>
              <w:tc>
                <w:tcPr>
                  <w:tcW w:type="auto" w:w="0"/>
                  <w:shd w:val="clear" w:color="auto" w:fill="F0F0F0"/>
                </w:tcPr>
                <w:p>
                  <w:pPr>
                    <w:pStyle w:val="Normal"/>
                    <w:keepLines w:val="on"/>
                  </w:pPr>
                  <w:r>
                    <w:t>$10,000.00</w:t>
                  </w:r>
                </w:p>
              </w:tc>
            </w:tr>
            <w:tr>
              <w:tc>
                <w:tcPr>
                  <w:tcW w:type="auto" w:w="0"/>
                  <w:shd w:val="clear" w:color="auto" w:fill="F0F0F0"/>
                </w:tcPr>
                <w:p>
                  <w:pPr>
                    <w:pStyle w:val="Para 02"/>
                    <w:keepLines w:val="on"/>
                  </w:pPr>
                  <w:r>
                    <w:t>− Lương tài xế</w:t>
                  </w:r>
                </w:p>
              </w:tc>
              <w:tc>
                <w:tcPr>
                  <w:tcW w:type="auto" w:w="0"/>
                  <w:shd w:val="clear" w:color="auto" w:fill="F0F0F0"/>
                </w:tcPr>
                <w:p>
                  <w:pPr>
                    <w:pStyle w:val="5 Block"/>
                    <w:keepLines w:val="on"/>
                  </w:pPr>
                </w:p>
              </w:tc>
              <w:tc>
                <w:tcPr>
                  <w:tcW w:type="auto" w:w="0"/>
                  <w:shd w:val="clear" w:color="auto" w:fill="F0F0F0"/>
                </w:tcPr>
                <w:p>
                  <w:pPr>
                    <w:pStyle w:val="Normal"/>
                    <w:keepLines w:val="on"/>
                  </w:pPr>
                  <w:r>
                    <w:t>$60,000.00</w:t>
                  </w:r>
                </w:p>
              </w:tc>
            </w:tr>
            <w:tr>
              <w:tc>
                <w:tcPr>
                  <w:tcW w:type="auto" w:w="0"/>
                  <w:shd w:val="clear" w:color="auto" w:fill="F0F0F0"/>
                </w:tcPr>
                <w:p>
                  <w:pPr>
                    <w:pStyle w:val="Para 02"/>
                    <w:keepLines w:val="on"/>
                  </w:pPr>
                  <w:r>
                    <w:t>− Bảo trì &amp; Sửa chữa</w:t>
                  </w:r>
                </w:p>
              </w:tc>
              <w:tc>
                <w:tcPr>
                  <w:tcW w:type="auto" w:w="0"/>
                  <w:shd w:val="clear" w:color="auto" w:fill="F0F0F0"/>
                </w:tcPr>
                <w:p>
                  <w:pPr>
                    <w:pStyle w:val="5 Block"/>
                    <w:keepLines w:val="on"/>
                  </w:pPr>
                </w:p>
              </w:tc>
              <w:tc>
                <w:tcPr>
                  <w:tcW w:type="auto" w:w="0"/>
                  <w:shd w:val="clear" w:color="auto" w:fill="F0F0F0"/>
                </w:tcPr>
                <w:p>
                  <w:pPr>
                    <w:pStyle w:val="Normal"/>
                    <w:keepLines w:val="on"/>
                  </w:pPr>
                  <w:r>
                    <w:t>$2,000.00</w:t>
                  </w:r>
                </w:p>
              </w:tc>
            </w:tr>
            <w:tr>
              <w:tc>
                <w:tcPr>
                  <w:tcW w:type="auto" w:w="0"/>
                  <w:shd w:val="clear" w:color="auto" w:fill="F0F0F0"/>
                </w:tcPr>
                <w:p>
                  <w:pPr>
                    <w:pStyle w:val="Para 02"/>
                    <w:keepLines w:val="on"/>
                  </w:pPr>
                  <w:r>
                    <w:t>− Bảo hiểm</w:t>
                  </w:r>
                </w:p>
              </w:tc>
              <w:tc>
                <w:tcPr>
                  <w:tcW w:type="auto" w:w="0"/>
                  <w:shd w:val="clear" w:color="auto" w:fill="F0F0F0"/>
                </w:tcPr>
                <w:p>
                  <w:pPr>
                    <w:pStyle w:val="5 Block"/>
                    <w:keepLines w:val="on"/>
                  </w:pPr>
                </w:p>
              </w:tc>
              <w:tc>
                <w:tcPr>
                  <w:tcW w:type="auto" w:w="0"/>
                  <w:shd w:val="clear" w:color="auto" w:fill="F0F0F0"/>
                </w:tcPr>
                <w:p>
                  <w:pPr>
                    <w:pStyle w:val="Normal"/>
                    <w:keepLines w:val="on"/>
                  </w:pPr>
                  <w:r>
                    <w:t>$1,500.00</w:t>
                  </w:r>
                </w:p>
              </w:tc>
            </w:tr>
            <w:tr>
              <w:tc>
                <w:tcPr>
                  <w:tcW w:type="auto" w:w="0"/>
                  <w:shd w:val="clear" w:color="auto" w:fill="F0F0F0"/>
                </w:tcPr>
                <w:p>
                  <w:pPr>
                    <w:pStyle w:val="Para 02"/>
                    <w:keepLines w:val="on"/>
                  </w:pPr>
                  <w:r>
                    <w:t>− Phí và chi phí giấy phép</w:t>
                  </w:r>
                </w:p>
              </w:tc>
              <w:tc>
                <w:tcPr>
                  <w:tcW w:type="auto" w:w="0"/>
                  <w:shd w:val="clear" w:color="auto" w:fill="F0F0F0"/>
                </w:tcPr>
                <w:p>
                  <w:pPr>
                    <w:pStyle w:val="5 Block"/>
                    <w:keepLines w:val="on"/>
                  </w:pPr>
                </w:p>
              </w:tc>
              <w:tc>
                <w:tcPr>
                  <w:tcW w:type="auto" w:w="0"/>
                  <w:shd w:val="clear" w:color="auto" w:fill="F0F0F0"/>
                </w:tcPr>
                <w:p>
                  <w:pPr>
                    <w:pStyle w:val="Normal"/>
                    <w:keepLines w:val="on"/>
                  </w:pPr>
                  <w:r>
                    <w:t>$1000.00</w:t>
                  </w:r>
                </w:p>
              </w:tc>
            </w:tr>
            <w:tr>
              <w:tc>
                <w:tcPr>
                  <w:tcW w:type="auto" w:w="0"/>
                  <w:shd w:val="clear" w:color="auto" w:fill="F0F0F0"/>
                </w:tcPr>
                <w:p>
                  <w:pPr>
                    <w:pStyle w:val="Para 02"/>
                    <w:keepLines w:val="on"/>
                  </w:pPr>
                  <w:r>
                    <w:t>− Khấu hao</w:t>
                  </w:r>
                </w:p>
              </w:tc>
              <w:tc>
                <w:tcPr>
                  <w:tcW w:type="auto" w:w="0"/>
                  <w:shd w:val="clear" w:color="auto" w:fill="F0F0F0"/>
                </w:tcPr>
                <w:p>
                  <w:pPr>
                    <w:pStyle w:val="Para 02"/>
                    <w:keepLines w:val="on"/>
                  </w:pPr>
                  <w:r>
                    <w:t>Khấu hao theo đường thẳng trong 5 năm</w:t>
                  </w:r>
                </w:p>
              </w:tc>
              <w:tc>
                <w:tcPr>
                  <w:tcW w:type="auto" w:w="0"/>
                  <w:shd w:val="clear" w:color="auto" w:fill="F0F0F0"/>
                </w:tcPr>
                <w:p>
                  <w:pPr>
                    <w:pStyle w:val="Normal"/>
                    <w:keepLines w:val="on"/>
                  </w:pPr>
                  <w:r>
                    <w:t>$5,000.00</w:t>
                  </w:r>
                </w:p>
              </w:tc>
            </w:tr>
            <w:tr>
              <w:tc>
                <w:tcPr>
                  <w:tcW w:type="auto" w:w="0"/>
                  <w:shd w:val="clear" w:color="auto" w:fill="F0F0F0"/>
                </w:tcPr>
                <w:p>
                  <w:pPr>
                    <w:pStyle w:val="Para 02"/>
                    <w:keepLines w:val="on"/>
                  </w:pPr>
                  <w:r>
                    <w:t>EBIT</w:t>
                  </w:r>
                </w:p>
              </w:tc>
              <w:tc>
                <w:tcPr>
                  <w:tcW w:type="auto" w:w="0"/>
                  <w:shd w:val="clear" w:color="auto" w:fill="F0F0F0"/>
                </w:tcPr>
                <w:p>
                  <w:pPr>
                    <w:pStyle w:val="5 Block"/>
                    <w:keepLines w:val="on"/>
                  </w:pPr>
                </w:p>
              </w:tc>
              <w:tc>
                <w:tcPr>
                  <w:tcW w:type="auto" w:w="0"/>
                  <w:shd w:val="clear" w:color="auto" w:fill="F0F0F0"/>
                </w:tcPr>
                <w:p>
                  <w:pPr>
                    <w:pStyle w:val="Normal"/>
                    <w:keepLines w:val="on"/>
                  </w:pPr>
                  <w:r>
                    <w:t>$70,500.00</w:t>
                  </w:r>
                </w:p>
              </w:tc>
            </w:tr>
            <w:tr>
              <w:tc>
                <w:tcPr>
                  <w:tcW w:type="auto" w:w="0"/>
                  <w:shd w:val="clear" w:color="auto" w:fill="F0F0F0"/>
                </w:tcPr>
                <w:p>
                  <w:pPr>
                    <w:pStyle w:val="Para 02"/>
                    <w:keepLines w:val="on"/>
                  </w:pPr>
                  <w:r>
                    <w:t>− Thuế</w:t>
                  </w:r>
                </w:p>
              </w:tc>
              <w:tc>
                <w:tcPr>
                  <w:tcW w:type="auto" w:w="0"/>
                  <w:shd w:val="clear" w:color="auto" w:fill="F0F0F0"/>
                </w:tcPr>
                <w:p>
                  <w:pPr>
                    <w:pStyle w:val="Para 02"/>
                    <w:keepLines w:val="on"/>
                  </w:pPr>
                  <w:r>
                    <w:t>Thuế suất = 30%</w:t>
                  </w:r>
                </w:p>
              </w:tc>
              <w:tc>
                <w:tcPr>
                  <w:tcW w:type="auto" w:w="0"/>
                  <w:shd w:val="clear" w:color="auto" w:fill="F0F0F0"/>
                </w:tcPr>
                <w:p>
                  <w:pPr>
                    <w:pStyle w:val="Normal"/>
                    <w:keepLines w:val="on"/>
                  </w:pPr>
                  <w:r>
                    <w:t>$21,150.00</w:t>
                  </w:r>
                </w:p>
              </w:tc>
            </w:tr>
            <w:tr>
              <w:tc>
                <w:tcPr>
                  <w:tcW w:type="auto" w:w="0"/>
                  <w:shd w:val="clear" w:color="auto" w:fill="F0F0F0"/>
                </w:tcPr>
                <w:p>
                  <w:pPr>
                    <w:pStyle w:val="Para 02"/>
                    <w:keepLines w:val="on"/>
                  </w:pPr>
                  <w:r>
                    <w:t>EBIT (1 − thuế suất)</w:t>
                  </w:r>
                </w:p>
              </w:tc>
              <w:tc>
                <w:tcPr>
                  <w:tcW w:type="auto" w:w="0"/>
                  <w:shd w:val="clear" w:color="auto" w:fill="F0F0F0"/>
                </w:tcPr>
                <w:p>
                  <w:pPr>
                    <w:pStyle w:val="5 Block"/>
                    <w:keepLines w:val="on"/>
                  </w:pPr>
                </w:p>
              </w:tc>
              <w:tc>
                <w:tcPr>
                  <w:tcW w:type="auto" w:w="0"/>
                  <w:shd w:val="clear" w:color="auto" w:fill="F0F0F0"/>
                </w:tcPr>
                <w:p>
                  <w:pPr>
                    <w:pStyle w:val="Normal"/>
                    <w:keepLines w:val="on"/>
                  </w:pPr>
                  <w:r>
                    <w:t>$49,350.00</w:t>
                  </w:r>
                </w:p>
              </w:tc>
            </w:tr>
            <w:tr>
              <w:tc>
                <w:tcPr>
                  <w:tcW w:type="auto" w:w="0"/>
                  <w:shd w:val="clear" w:color="auto" w:fill="F0F0F0"/>
                </w:tcPr>
                <w:p>
                  <w:pPr>
                    <w:pStyle w:val="Para 02"/>
                    <w:keepLines w:val="on"/>
                  </w:pPr>
                  <w:r>
                    <w:t>+ Khấu hao</w:t>
                  </w:r>
                </w:p>
              </w:tc>
              <w:tc>
                <w:tcPr>
                  <w:tcW w:type="auto" w:w="0"/>
                  <w:shd w:val="clear" w:color="auto" w:fill="F0F0F0"/>
                </w:tcPr>
                <w:p>
                  <w:pPr>
                    <w:pStyle w:val="5 Block"/>
                    <w:keepLines w:val="on"/>
                  </w:pPr>
                </w:p>
              </w:tc>
              <w:tc>
                <w:tcPr>
                  <w:tcW w:type="auto" w:w="0"/>
                  <w:shd w:val="clear" w:color="auto" w:fill="F0F0F0"/>
                </w:tcPr>
                <w:p>
                  <w:pPr>
                    <w:pStyle w:val="Normal"/>
                    <w:keepLines w:val="on"/>
                  </w:pPr>
                  <w:r>
                    <w:t>$5,000.00</w:t>
                  </w:r>
                </w:p>
              </w:tc>
            </w:tr>
            <w:tr>
              <w:tc>
                <w:tcPr>
                  <w:tcW w:type="auto" w:w="0"/>
                  <w:shd w:val="clear" w:color="auto" w:fill="F0F0F0"/>
                </w:tcPr>
                <w:p>
                  <w:pPr>
                    <w:pStyle w:val="Para 02"/>
                    <w:keepLines w:val="on"/>
                  </w:pPr>
                  <w:r>
                    <w:t>− Chi tiêu vốn (Capital Expenditures)</w:t>
                  </w:r>
                </w:p>
              </w:tc>
              <w:tc>
                <w:tcPr>
                  <w:tcW w:type="auto" w:w="0"/>
                  <w:shd w:val="clear" w:color="auto" w:fill="F0F0F0"/>
                </w:tcPr>
                <w:p>
                  <w:pPr>
                    <w:pStyle w:val="Para 02"/>
                    <w:keepLines w:val="on"/>
                  </w:pPr>
                  <w:r>
                    <w:t>Dành riêng cho xe mới</w:t>
                  </w:r>
                </w:p>
              </w:tc>
              <w:tc>
                <w:tcPr>
                  <w:tcW w:type="auto" w:w="0"/>
                  <w:shd w:val="clear" w:color="auto" w:fill="F0F0F0"/>
                </w:tcPr>
                <w:p>
                  <w:pPr>
                    <w:pStyle w:val="Normal"/>
                    <w:keepLines w:val="on"/>
                  </w:pPr>
                  <w:r>
                    <w:t>$5,000.00</w:t>
                  </w:r>
                </w:p>
              </w:tc>
            </w:tr>
            <w:tr>
              <w:tc>
                <w:tcPr>
                  <w:tcW w:type="auto" w:w="0"/>
                  <w:shd w:val="clear" w:color="auto" w:fill="F0F0F0"/>
                </w:tcPr>
                <w:p>
                  <w:pPr>
                    <w:pStyle w:val="Para 02"/>
                    <w:keepLines w:val="on"/>
                  </w:pPr>
                  <w:r>
                    <w:t>Dòng tiền tự do cho doanh nghiệp (Free cash flow to firm)</w:t>
                  </w:r>
                </w:p>
              </w:tc>
              <w:tc>
                <w:tcPr>
                  <w:tcW w:type="auto" w:w="0"/>
                  <w:shd w:val="clear" w:color="auto" w:fill="F0F0F0"/>
                </w:tcPr>
                <w:p>
                  <w:pPr>
                    <w:pStyle w:val="5 Block"/>
                    <w:keepLines w:val="on"/>
                  </w:pPr>
                </w:p>
              </w:tc>
              <w:tc>
                <w:tcPr>
                  <w:tcW w:type="auto" w:w="0"/>
                  <w:shd w:val="clear" w:color="auto" w:fill="F0F0F0"/>
                </w:tcPr>
                <w:p>
                  <w:pPr>
                    <w:pStyle w:val="Normal"/>
                    <w:keepLines w:val="on"/>
                  </w:pPr>
                  <w:r>
                    <w:t>$49,350.00</w:t>
                  </w:r>
                </w:p>
              </w:tc>
            </w:tr>
          </w:tbl>
          <w:p/>
        </w:tc>
      </w:tr>
    </w:tbl>
    <w:p>
      <w:pPr>
        <w:pStyle w:val="Para 04"/>
        <w:keepLines w:val="on"/>
      </w:pPr>
      <w:r>
        <w:t>Một tài xế/chủ xe có thể thu về nhiều tiền mặt hơn trong dòng tiền, trước khi tính đến chi phí thời gian của tài xế, so với một nhà khai thác taxi, nhưng ít hơn, sau khi đã tính thời gian của tài xế vào dòng tiền.</w:t>
      </w:r>
    </w:p>
    <w:p>
      <w:bookmarkStart w:id="5644" w:name="Estimating_Risk_and_Discount_Rat"/>
      <w:bookmarkStart w:id="5645" w:name="Estimating_Risk_and_Discount_Rat_1"/>
      <w:pPr>
        <w:keepNext/>
        <w:pStyle w:val="Para 36"/>
        <w:keepLines w:val="on"/>
      </w:pPr>
      <w:r>
        <w:t>Ước tính Rủi ro và Tỷ lệ Chiết khấu</w:t>
      </w:r>
      <w:bookmarkEnd w:id="5644"/>
      <w:bookmarkEnd w:id="5645"/>
    </w:p>
    <w:p>
      <w:pPr>
        <w:pStyle w:val="Para 04"/>
        <w:keepLines w:val="on"/>
      </w:pPr>
      <w:r>
        <w:t>Khi đánh giá rủi ro và tỷ lệ chiết khấu đối với một nhà khai thác taxi, cần nhận ra rằng doanh thu cho thuê được ấn định theo hợp đồng, và rủi ro duy nhất mà những nhà khai thác này đối mặt là việc tài xế vỡ nợ. Do đó, tỷ lệ chiết khấu mà chúng ta sẽ dùng để chiết khấu dòng tiền về hiện tại sẽ là chi phí nợ của một tài xế. Vào năm 2014, những tài xế taxi tự mua huy hiệu (medallion) của mình phải đối mặt với chi phí nợ là 5%. Lưu ý rằng tỷ lệ chiết khấu này chỉ phản ánh rủi ro trong dòng tiền và không giả định rằng các nhà khai thác taxi sẽ đi vay tiền để mua huy hiệu.</w:t>
      </w:r>
    </w:p>
    <w:p>
      <w:pPr>
        <w:pStyle w:val="Para 04"/>
        <w:keepLines w:val="on"/>
      </w:pPr>
      <w:r>
        <w:t>Khi đánh giá rủi ro đối với một tài xế/chủ xe, chúng ta phải xem xét rủi ro bổ sung trong tỷ lệ chiết khấu. Khả năng một chiếc taxi mang lại doanh thu kỳ vọng là hàm số của nhiều biến số:</w:t>
      </w:r>
    </w:p>
    <w:p>
      <w:pPr>
        <w:numPr>
          <w:ilvl w:val="0"/>
          <w:numId w:val="313"/>
        </w:numPr>
        <w:pStyle w:val="Para 18"/>
        <w:keepLines w:val="on"/>
      </w:pPr>
      <w:r>
        <w:t>Tình trạng nền kinh tế của thành phố. Nền kinh tế thành phố càng sôi động, doanh thu tiềm năng từ việc sở hữu và vận hành một chiếc taxi trong đó càng lớn. Vì tình trạng nền kinh tế của Thành phố New York phần lớn được dẫn dắt bởi tình hình của ngành dịch vụ tài chính, nên có khả năng tồn tại mối tương quan thuận giữa doanh thu taxi và sức khỏe của ngành dịch vụ tài chính.</w:t>
      </w:r>
    </w:p>
    <w:p>
      <w:pPr>
        <w:numPr>
          <w:ilvl w:val="0"/>
          <w:numId w:val="313"/>
        </w:numPr>
        <w:pStyle w:val="Para 18"/>
        <w:keepLines w:val="on"/>
      </w:pPr>
      <w:r>
        <w:t>Sự khan hiếm của taxi. Giá trị của một huy hiệu taxi bắt nguồn trực tiếp từ thực tế rằng số lượng huy hiệu được bán ra là có hạn. Trong chừng mực thành phố có thể phát hành thêm huy hiệu hoặc cho phép taxi lậu (gypsy cabs – taxi không có giấy phép) hoạt động trong phạm vi thành phố, điều đó có thể ảnh hưởng đến doanh thu kỳ vọng.</w:t>
      </w:r>
    </w:p>
    <w:p>
      <w:pPr>
        <w:numPr>
          <w:ilvl w:val="0"/>
          <w:numId w:val="313"/>
        </w:numPr>
        <w:pStyle w:val="Para 18"/>
        <w:keepLines w:val="on"/>
      </w:pPr>
      <w:r>
        <w:t>Cơ cấu giá cước. Vì cơ cấu giá cước được quản lý, doanh thu kỳ vọng từ việc sở hữu một chiếc taxi trong tương lai sẽ phụ thuộc vào mức độ hào phóng của các đợt tăng giá mà Ủy ban Taxi và Limousine cho phép.</w:t>
      </w:r>
    </w:p>
    <w:p>
      <w:pPr>
        <w:numPr>
          <w:ilvl w:val="0"/>
          <w:numId w:val="313"/>
        </w:numPr>
        <w:pStyle w:val="Para 18"/>
        <w:keepLines w:val="on"/>
      </w:pPr>
      <w:r>
        <w:t>Các rủi ro khác. Có một số nguồn rủi ro tiềm ẩn khác, bao gồm va chạm và trộm cắp, đã được đưa vào cơ cấu chi phí. Trong chừng mực đây là những ước tính, chúng cũng có thể tạo ra những biến động trong dòng tiền.</w:t>
      </w:r>
    </w:p>
    <w:p>
      <w:pPr>
        <w:pStyle w:val="Para 04"/>
        <w:keepLines w:val="on"/>
      </w:pPr>
      <w:r>
        <w:t>Giả sử rằng doanh thu kỳ vọng đã tính đến số lượng huy hiệu (medallion) đang lưu hành và những thay đổi dự kiến trong cơ cấu giá cước, thì nguồn rủi ro chính khi sở hữu một huy hiệu taxi được cho là đến từ những biến động trong nền kinh tế của thành phố. Nếu sức khỏe của nền kinh tế thành phố là một hàm số của khu vực dịch vụ tài chính, thì rủi ro khi sở hữu một huy hiệu taxi cũng tương tự như rủi ro khi đầu tư vào một công ty dịch vụ tài chính. Beta trung bình của các công ty dịch vụ tài chính có trụ sở tại Thành phố New York là 1,15. Vào tháng 6 năm 2014, với lãi suất trái phiếu kho bạc ở mức 2,5% và sử dụng mức bù rủi ro vốn cổ phần (equity risk premium) phổ biến lúc bấy giờ là 5,0%, chi phí vốn cổ phần (cost of equity) sẽ là:</w:t>
      </w:r>
    </w:p>
    <w:p>
      <w:bookmarkStart w:id="5647" w:name="Cost_of_equity_2_5__1_15x_5_0"/>
      <w:pPr>
        <w:keepNext/>
        <w:pStyle w:val="Para 07"/>
        <w:keepLines w:val="on"/>
      </w:pPr>
      <w:r>
        <w:t>Chi phí vốn cổ phần = 2,5% + 1,15 × (5,0%) = 8,25%</w:t>
      </w:r>
      <w:bookmarkEnd w:id="5647"/>
    </w:p>
    <w:p>
      <w:pPr>
        <w:pStyle w:val="Para 04"/>
        <w:keepLines w:val="on"/>
      </w:pPr>
      <w:r>
        <w:t>Con số này sẽ được dùng làm chi phí vốn cổ phần khi định giá một huy hiệu taxi. Giả sử rằng huy hiệu sẽ được tài trợ 40% bằng vốn cổ phần và 60% bằng nợ, và khoản nợ sẽ chịu lãi suất hàng năm là 5%. Cho phép mức thuế suất biên (liên bang, tiểu bang và thành phố) là 25%, chi phí vốn (cost of capital) để định giá huy hiệu là:</w:t>
      </w:r>
    </w:p>
    <w:p>
      <w:bookmarkStart w:id="5648" w:name="Cost_of_capital_8_25_x_0_4__5_x"/>
      <w:pPr>
        <w:keepNext/>
        <w:pStyle w:val="Para 07"/>
        <w:keepLines w:val="on"/>
      </w:pPr>
      <w:r>
        <w:t>Chi phí vốn = 8,25% × (0,4) + 5% × (1 - 0,25) × (0,6) = 5,55%</w:t>
      </w:r>
      <w:bookmarkEnd w:id="5648"/>
    </w:p>
    <w:p>
      <w:bookmarkStart w:id="5649" w:name="Estimating_Future_Growth_and_Val_1"/>
      <w:bookmarkStart w:id="5650" w:name="Estimating_Future_Growth_and_Val"/>
      <w:pPr>
        <w:keepNext/>
        <w:pStyle w:val="Para 36"/>
        <w:keepLines w:val="on"/>
      </w:pPr>
      <w:r>
        <w:t>Ước tính Tăng trưởng và Giá trị Tương lai</w:t>
      </w:r>
      <w:bookmarkEnd w:id="5649"/>
      <w:bookmarkEnd w:id="5650"/>
    </w:p>
    <w:p>
      <w:pPr>
        <w:pStyle w:val="Para 04"/>
        <w:keepLines w:val="on"/>
      </w:pPr>
      <w:r>
        <w:t>Người ta giả định rằng thu nhập hoạt động kỳ vọng (đối với cả các nhà khai thác taxi lẫn tài xế/chủ sở hữu) từ việc sở hữu một chiếc taxi sẽ bắt kịp với lạm phát kỳ vọng, được giả định là 2%. Vì công nghệ đã và đang làm gián đoạn dịch vụ taxi ở Thành phố New York, chúng tôi giả định một vòng đời hoạt động cho huy hiệu. Giá trị của huy hiệu taxi sau đó có thể được tính cho các nhà khai thác taxi và các chủ sở hữu kiêm tài xế:2</w:t>
      </w:r>
    </w:p>
    <w:p>
      <w:bookmarkStart w:id="5652" w:name="Value_to_taxi_operator_Expected"/>
      <w:pPr>
        <w:keepNext/>
        <w:pStyle w:val="Para 07"/>
        <w:keepLines w:val="on"/>
      </w:pPr>
      <w:r>
        <w:t>Giá trị đối với nhà khai thác taxi = FCFF kỳ vọng năm sau × (1 − (1+g)^n / (1+r)^n) / (r − g) = $53.410 × (1 − (1,02)^50 / (1,05)^50) / (0,05 − 0,02) = $1.362.460
Giá trị đối với chủ sở hữu kiêm tài xế = FCFF kỳ vọng năm sau × (1 − (1+g)^n / (1+r)^n) / (r − g) = $49.350 × (1 − (1,02)^50 / (1,0825)^50) / (0,0825 − 0,02) = $1.138.862</w:t>
      </w:r>
      <w:bookmarkEnd w:id="5652"/>
    </w:p>
    <w:p>
      <w:pPr>
        <w:pStyle w:val="Para 04"/>
        <w:keepLines w:val="on"/>
      </w:pPr>
      <w:r>
        <w:t>Lưu ý rằng giá trị cao của các huy hiệu này dựa trên hai giả định. Thứ nhất là chúng sẽ tiếp tục trao cho chủ sở hữu quyền đặc quyền khai thác taxi ở Thành phố New York trong 50 năm tới, với ít hoặc không có cạnh tranh. Thứ hai là Ủy ban Taxi và Xe Limousine sẽ cho phép giá cước và mức trần cho thuê tăng theo lạm phát qua thời gian.</w:t>
      </w:r>
    </w:p>
    <w:p>
      <w:bookmarkStart w:id="5653" w:name="A_Pricing_Update_For_much_of_the"/>
      <w:bookmarkStart w:id="5654" w:name="A_Pricing_Update"/>
      <w:pPr>
        <w:keepNext/>
        <w:pStyle w:val="Para 36"/>
        <w:keepLines w:val="on"/>
      </w:pPr>
      <w:r>
        <w:t>Cập nhật về Định giá</w:t>
      </w:r>
      <w:bookmarkEnd w:id="5653"/>
      <w:bookmarkEnd w:id="5654"/>
    </w:p>
    <w:p>
      <w:pPr>
        <w:pStyle w:val="Para 04"/>
        <w:keepLines w:val="on"/>
      </w:pPr>
      <w:r>
        <w:t>Trong phần lớn thế kỷ trước, một huy hiệu taxi ở Thành phố New York mang lại cho chủ sở hữu một cơ hội kinh doanh với ít cạnh tranh từ bên ngoài. Trong khi các dịch vụ xe hơi và xe limousine cùng tồn tại với taxi, chúng phục vụ một nhóm khách hàng và nhu cầu khác. Khi du lịch gia tăng vào cuối thập niên chín mươi và bước sang thế kỷ này, giá của một huy hiệu taxi tăng đều đặn, đạt hơn một triệu đô la vào năm 2014, tăng hơn gấp năm lần trong giai đoạn từ 2004 đến 2014, như được thể hiện trong Hình 27.1.</w:t>
      </w:r>
    </w:p>
    <w:p>
      <w:bookmarkStart w:id="5656" w:name="Figure_27_1_Cab_Medallion_Values"/>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74900" cy="1600200"/>
            <wp:effectExtent l="0" r="0" t="0" b="0"/>
            <wp:wrapTopAndBottom/>
            <wp:docPr id="238" name="c27f001.png" descr="Line graph plots the increase of medallion value for taxi operator and driver-owner from 2004 to 2014."/>
            <wp:cNvGraphicFramePr>
              <a:graphicFrameLocks noChangeAspect="1"/>
            </wp:cNvGraphicFramePr>
            <a:graphic>
              <a:graphicData uri="http://schemas.openxmlformats.org/drawingml/2006/picture">
                <pic:pic>
                  <pic:nvPicPr>
                    <pic:cNvPr id="0" name="c27f001.png" descr="Line graph plots the increase of medallion value for taxi operator and driver-owner from 2004 to 2014."/>
                    <pic:cNvPicPr/>
                  </pic:nvPicPr>
                  <pic:blipFill>
                    <a:blip r:embed="rId170"/>
                    <a:stretch>
                      <a:fillRect/>
                    </a:stretch>
                  </pic:blipFill>
                  <pic:spPr>
                    <a:xfrm>
                      <a:off x="0" y="0"/>
                      <a:ext cx="2374900" cy="1600200"/>
                    </a:xfrm>
                    <a:prstGeom prst="rect">
                      <a:avLst/>
                    </a:prstGeom>
                  </pic:spPr>
                </pic:pic>
              </a:graphicData>
            </a:graphic>
          </wp:anchor>
        </w:drawing>
      </w:r>
      <w:bookmarkEnd w:id="5656"/>
    </w:p>
    <w:p>
      <w:pPr>
        <w:keepNext/>
        <w:pStyle w:val="Para 38"/>
        <w:keepLines w:val="on"/>
      </w:pPr>
      <w:r>
        <w:t>Hình 27.1 Giá trị Huy hiệu Taxi từ 2004 đến 2014</w:t>
      </w:r>
    </w:p>
    <w:p>
      <w:pPr>
        <w:pStyle w:val="Para 04"/>
        <w:keepLines w:val="on"/>
      </w:pPr>
      <w:r>
        <w:t>Như một lời cảnh báo về việc ngay cả những đặc quyền được bảo vệ tốt nhất cũng có thể bị lật đổ bởi những diễn biến không lường trước, sự trỗi dậy của các công ty chia sẻ chuyến đi (ride-sharing) đã tàn phá lợi ích kinh tế của việc sở hữu một huy hiệu và giá cả của nó đã phản ánh sự tàn phá đó, như có thể thấy trong Hình 27.2:</w:t>
      </w:r>
    </w:p>
    <w:p>
      <w:pPr>
        <w:pStyle w:val="Para 59"/>
        <w:keepLines w:val="on"/>
      </w:pPr>
      <w:r>
        <w:rPr>
          <w:rStyle w:val="Text26"/>
        </w:rPr>
        <w:bookmarkStart w:id="5658" w:name="Page_874"/>
        <w:t/>
        <w:bookmarkEnd w:id="5658"/>
      </w:r>
      <w:r>
        <w:t xml:space="preserve"> </w:t>
      </w:r>
    </w:p>
    <w:p>
      <w:bookmarkStart w:id="5659" w:name="Figure_27_2_The_Decline_and_Fall"/>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13000" cy="1714500"/>
            <wp:effectExtent l="0" r="0" t="0" b="0"/>
            <wp:wrapTopAndBottom/>
            <wp:docPr id="239" name="c27f002.png" descr="Line and bar graph plots the decrease in value of taxicab medallions and number of yellow cab trips from 2015 through 2023."/>
            <wp:cNvGraphicFramePr>
              <a:graphicFrameLocks noChangeAspect="1"/>
            </wp:cNvGraphicFramePr>
            <a:graphic>
              <a:graphicData uri="http://schemas.openxmlformats.org/drawingml/2006/picture">
                <pic:pic>
                  <pic:nvPicPr>
                    <pic:cNvPr id="0" name="c27f002.png" descr="Line and bar graph plots the decrease in value of taxicab medallions and number of yellow cab trips from 2015 through 2023."/>
                    <pic:cNvPicPr/>
                  </pic:nvPicPr>
                  <pic:blipFill>
                    <a:blip r:embed="rId171"/>
                    <a:stretch>
                      <a:fillRect/>
                    </a:stretch>
                  </pic:blipFill>
                  <pic:spPr>
                    <a:xfrm>
                      <a:off x="0" y="0"/>
                      <a:ext cx="2413000" cy="1714500"/>
                    </a:xfrm>
                    <a:prstGeom prst="rect">
                      <a:avLst/>
                    </a:prstGeom>
                  </pic:spPr>
                </pic:pic>
              </a:graphicData>
            </a:graphic>
          </wp:anchor>
        </w:drawing>
      </w:r>
      <w:bookmarkEnd w:id="5659"/>
    </w:p>
    <w:p>
      <w:pPr>
        <w:keepNext/>
        <w:pStyle w:val="Para 38"/>
        <w:keepLines w:val="on"/>
      </w:pPr>
      <w:r>
        <w:t>Hình 27.2 Sự Suy tàn và Sụp đổ của Taxi ở NYC</w:t>
      </w:r>
    </w:p>
    <w:p>
      <w:pPr>
        <w:pStyle w:val="Para 04"/>
        <w:keepLines w:val="on"/>
      </w:pPr>
      <w:r>
        <w:t>Vì việc mua huy hiệu taxi trong lịch sử được tài trợ bằng tiền đi vay, sự sụt giảm giá huy hiệu đã gây thảm họa cho các chủ sở hữu, khi ngay cả những nhà khai thác taxi lớn nhất cũng phải tuyên bố phá sản. Trên thực tế, trong khi có 13.587 huy hiệu đang lưu hành, người ta ước tính rằng gần một nửa trong số đó không được sử dụng vào năm 2022.3</w:t>
      </w:r>
    </w:p>
    <w:p>
      <w:pPr>
        <w:pStyle w:val="Para 11"/>
      </w:pPr>
      <w:r>
        <w:t xml:space="preserve"> </w:t>
      </w:r>
    </w:p>
    <w:p>
      <w:bookmarkStart w:id="5662" w:name="ILLUSRATION_27_2__Valuing_a_Movi_1"/>
      <w:bookmarkStart w:id="5663" w:name="ILLUSRATION_27_2__Valuing_a_Movi"/>
      <w:pPr>
        <w:keepNext/>
        <w:pStyle w:val="Para 19"/>
        <w:keepLines w:val="on"/>
      </w:pPr>
      <w:r>
        <w:t>MINH HỌA 27.2: Định giá một Thương hiệu Phim—Star Wars năm 2015</w:t>
      </w:r>
      <w:bookmarkEnd w:id="5662"/>
      <w:bookmarkEnd w:id="5663"/>
    </w:p>
    <w:p>
      <w:pPr>
        <w:pStyle w:val="Para 04"/>
        <w:keepLines w:val="on"/>
      </w:pPr>
      <w:r>
        <w:t>Câu chuyện Star Wars bắt đầu vào năm 1977 khi George Lucas sản xuất bộ phim Star Wars đầu tiên, tập thứ tư trong chuỗi mà ông hình dung là sáu tập. Bộ phim đó đã làm nên lịch sử và vẫn là một trong những bộ phim có doanh thu cao nhất mọi thời đại. Tiếp theo là tập thứ năm vào năm 1980, The Empire Strikes Back, và vào năm 1983 là tập thứ sáu trong chuỗi, The Return of the Jedi. Ba bộ phim đầu tiên đó đã tạo ra cả một thế hệ người hâm mộ Star Wars, những người sau đó phải chờ 16 năm cho bộ phim đầu tiên trong chuỗi tiền truyện, The Phantom Menace, tiếp theo là Attack of the Clones vào năm 2002, và Revenge of the Sith vào năm 2005. Sáu bộ phim này đại diện cho một trong những thương hiệu phim có giá trị nhất mọi thời đại, tạo ra hàng tỷ đô la doanh thu phòng vé, với sức hút lan tỏa trên toàn cầu.</w:t>
      </w:r>
    </w:p>
    <w:p>
      <w:bookmarkStart w:id="5664" w:name="The_Disney_Acquisition_In_2012"/>
      <w:bookmarkStart w:id="5665" w:name="The_Disney_Acquisition"/>
      <w:pPr>
        <w:keepNext/>
        <w:pStyle w:val="Para 36"/>
        <w:keepLines w:val="on"/>
      </w:pPr>
      <w:r>
        <w:t>Thương vụ Disney Thâu tóm</w:t>
      </w:r>
      <w:bookmarkEnd w:id="5664"/>
      <w:bookmarkEnd w:id="5665"/>
    </w:p>
    <w:p>
      <w:pPr>
        <w:pStyle w:val="Para 04"/>
        <w:keepLines w:val="on"/>
      </w:pPr>
      <w:r>
        <w:t>Năm 2012, Disney mua lại thương hiệu Star Wars với giá 4 tỷ đô la từ George Lucas, với kế hoạch sản xuất thêm ba bộ phim Star Wars nữa. Vào thời điểm thâu tóm, chúng tôi cho rằng đó là một mức giá hợp lý, xét đến lịch sử của Disney trong việc phát triển, duy trì và kinh doanh hàng hóa thương hiệu (merchandising), nhưng phải dựa vào tiềm năng cộng hưởng (synergy) để biện minh cho con số đó. Với việc phát hành Star Wars: The Force Awakens vào năm 2015, Disney dường như đã làm được nhiều hơn cả lời hứa của mình, khi bộ phim đã phá vỡ các kỷ lục phòng vé và đang trên đà đạt doanh thu phòng vé toàn cầu từ 2 tỷ đô la trở lên. Việc định giá thương hiệu Star Wars này được thực hiện vào thời điểm bộ phim đó ra mắt, và phản ánh kỳ vọng của chúng tôi về tương lai, như được nhìn nhận vào lúc đó.</w:t>
      </w:r>
    </w:p>
    <w:p>
      <w:pPr>
        <w:pStyle w:val="Para 04"/>
        <w:keepLines w:val="on"/>
      </w:pPr>
      <w:r>
        <w:t>Năm 2015, hai bộ phim tiếp theo được lên lịch cho năm 2017 và 2019, và dự kiến sẽ có ba phần phim phụ (spin-off) trong các năm xen kẽ, với ngân sách ít tham vọng hơn. Sau năm 2020, các kế hoạch của Disney không cụ thể, nhưng nếu sự hứng thú vẫn còn, chắc chắn sẽ có thêm nhiều phim trong đường ống sản xuất. Quan trọng hơn, các bộ phim không chỉ được kỳ vọng tạo ra một nền tảng người hâm mộ trẻ mới mà còn làm tăng doanh số hàng hóa, đồ chơi và trò chơi trong thập kỷ tới. Doanh thu đến từ DVD và cho thuê video sẽ được thay thế bằng doanh thu phát trực tuyến (streaming), và chắc chắn sẽ có các trò chơi và ứng dụng hướng đến điện thoại thông minh, thiết bị và hệ thống chơi game.</w:t>
      </w:r>
    </w:p>
    <w:p>
      <w:bookmarkStart w:id="5666" w:name="Valuing_the_Star_Wars_Franchise_1"/>
      <w:bookmarkStart w:id="5667" w:name="Valuing_the_Star_Wars_Franchise"/>
      <w:pPr>
        <w:keepNext/>
        <w:pStyle w:val="Para 36"/>
        <w:keepLines w:val="on"/>
      </w:pPr>
      <w:r>
        <w:t>Định giá Thương hiệu Star Wars</w:t>
      </w:r>
      <w:bookmarkEnd w:id="5666"/>
      <w:bookmarkEnd w:id="5667"/>
    </w:p>
    <w:p>
      <w:pPr>
        <w:pStyle w:val="Para 04"/>
        <w:keepLines w:val="on"/>
      </w:pPr>
      <w:r>
        <w:t>Để định giá thương hiệu vào năm 2015, chúng tôi bắt đầu với các ước tính về doanh thu phòng vé toàn cầu cho Star Wars: The Force Awakens và các bộ phim tiếp theo trong chuỗi. Mặc dù hai cuối tuần đầu tiên đã vượt xa mọi kỳ vọng (bộ phim đạt 1 tỷ đô la), chúng tôi ước tính 2 tỷ đô la doanh thu cho mỗi bộ trong ba bộ phim chính, và một nửa số đó cho các phần phim phụ, với điều chỉnh lạm phát 2% mỗi năm. Như với các bộ phim trước đó, phần lớn doanh thu từ thương hiệu sẽ đến từ các sản phẩm bổ trợ, và khi đánh giá tiềm năng, đây là một số giả định của chúng tôi:</w:t>
      </w:r>
    </w:p>
    <w:p>
      <w:pPr>
        <w:numPr>
          <w:ilvl w:val="0"/>
          <w:numId w:val="314"/>
        </w:numPr>
        <w:pStyle w:val="Para 18"/>
        <w:keepLines w:val="on"/>
      </w:pPr>
      <w:r>
        <w:t>Phát trực tuyến: Khi người xem ngày càng chuyển sang xem phim phát trực tuyến từ Netflix, chúng tôi giả định, dựa trên những gì chúng tôi biết vào năm 2015, rằng phần lớn doanh thu của thương hiệu Star Wars sẽ đến từ doanh thu phòng vé rạp chiếu phim, và đến năm 2017, tổng doanh thu từ phát trực tuyến được kỳ vọng sẽ vượt doanh thu phòng vé. Chúng tôi giả định rằng mỗi đô la doanh thu phòng vé từ các bộ phim Star Wars mới sẽ tạo ra thêm 1,20 đô la doanh thu phát trực tuyến, cao hơn một chút so với con số lịch sử (1,14).</w:t>
      </w:r>
    </w:p>
    <w:p>
      <w:pPr>
        <w:numPr>
          <w:ilvl w:val="0"/>
          <w:numId w:val="314"/>
        </w:numPr>
        <w:pStyle w:val="Para 18"/>
        <w:keepLines w:val="on"/>
      </w:pPr>
      <w:r>
        <w:t>Đồ chơi/Hàng hóa: Các bộ phim Star Wars trong lịch sử tạo ra 1,80 đô la doanh thu từ đồ chơi/hàng hóa cho mỗi đô la doanh thu phòng vé. Với khả năng kinh doanh hàng hóa thương hiệu điêu luyện của Disney, chúng tôi sẽ không ngạc nhiên nếu con số này tăng lên, và chúng tôi giả định rằng mỗi đô la phòng vé sẽ chuyển thành hai đô la doanh thu hàng hóa, cao hơn một chút so với giá trị lịch sử là 1,80 đô la cho mỗi đô la phòng vé. Hãy nhớ rằng thương hiệu này là giấc mơ của các nhà kinh doanh hàng hóa, với tiềm năng gần như vô tận cho những cơ hội mới trong Vũ trụ Mở rộng (Expanded Universe).</w:t>
      </w:r>
    </w:p>
    <w:p>
      <w:pPr>
        <w:numPr>
          <w:ilvl w:val="0"/>
          <w:numId w:val="314"/>
        </w:numPr>
        <w:pStyle w:val="Para 18"/>
        <w:keepLines w:val="on"/>
      </w:pPr>
      <w:r>
        <w:t>Sách và Sách điện tử: Đây là dòng doanh thu có lẽ gặp rủi ro nhất, và chúng tôi giả định rằng, trong khi một cách nào đó sẽ được tìm ra để thích ứng dòng xuất bản với thị hiếu đọc thay đổi, doanh thu từ những cuốn sách/sách điện tử này sẽ giảm xuống còn 0,20 đô la cho mỗi đô la phòng vé (từ 0,27 đô la, con số lịch sử).</w:t>
      </w:r>
    </w:p>
    <w:p>
      <w:pPr>
        <w:numPr>
          <w:ilvl w:val="0"/>
          <w:numId w:val="314"/>
        </w:numPr>
        <w:pStyle w:val="Para 18"/>
        <w:keepLines w:val="on"/>
      </w:pPr>
      <w:r>
        <w:t>Trò chơi điện tử: Phù hợp với lịch sử của các trò chơi Star Wars, chúng tôi tin chắc rằng những trò chơi đó sẽ được chuyển thể không chỉ cho các nền tảng chơi game (Xbox, Playstation và Nintendo) mà còn cho điện thoại thông minh và máy tính bảng. Chúng tôi giữ doanh thu trò chơi ở mức 0,50 đô la cho mỗi đô la doanh thu phòng vé.</w:t>
      </w:r>
    </w:p>
    <w:p>
      <w:pPr>
        <w:numPr>
          <w:ilvl w:val="0"/>
          <w:numId w:val="314"/>
        </w:numPr>
        <w:pStyle w:val="Para 18"/>
        <w:keepLines w:val="on"/>
      </w:pPr>
      <w:r>
        <w:t>Chương trình TV/Khác: Đây là phần cộng thêm mà chúng ta giả định sẽ có sự cải thiện đáng kể so với các con số trong quá khứ, khi Disney, Netflix và những hãng khác tìm cách chuyển thể thương hiệu này sang cho khán giả truyền hình. Chúng ta sẽ giả định rằng doanh thu từ các chương trình TV sẽ tăng lên 0,50 đô-la cho mỗi đô-la doanh thu phòng vé.</w:t>
      </w:r>
    </w:p>
    <w:p>
      <w:pPr>
        <w:pStyle w:val="Para 04"/>
        <w:keepLines w:val="on"/>
      </w:pPr>
      <w:r>
        <w:t>Hình 27.3 tóm tắt việc định giá thương hiệu phim và hàng hóa Star Wars:</w:t>
      </w:r>
    </w:p>
    <w:p>
      <w:bookmarkStart w:id="5670" w:name="Figure_27_3_Valuing_the_Star_War"/>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1498600"/>
            <wp:effectExtent l="0" r="0" t="0" b="0"/>
            <wp:wrapTopAndBottom/>
            <wp:docPr id="240" name="c27f003.png" descr="Table summarizes the total revenues of main Star War movies and the Spin off movies."/>
            <wp:cNvGraphicFramePr>
              <a:graphicFrameLocks noChangeAspect="1"/>
            </wp:cNvGraphicFramePr>
            <a:graphic>
              <a:graphicData uri="http://schemas.openxmlformats.org/drawingml/2006/picture">
                <pic:pic>
                  <pic:nvPicPr>
                    <pic:cNvPr id="0" name="c27f003.png" descr="Table summarizes the total revenues of main Star War movies and the Spin off movies."/>
                    <pic:cNvPicPr/>
                  </pic:nvPicPr>
                  <pic:blipFill>
                    <a:blip r:embed="rId172"/>
                    <a:stretch>
                      <a:fillRect/>
                    </a:stretch>
                  </pic:blipFill>
                  <pic:spPr>
                    <a:xfrm>
                      <a:off x="0" y="0"/>
                      <a:ext cx="2451100" cy="1498600"/>
                    </a:xfrm>
                    <a:prstGeom prst="rect">
                      <a:avLst/>
                    </a:prstGeom>
                  </pic:spPr>
                </pic:pic>
              </a:graphicData>
            </a:graphic>
          </wp:anchor>
        </w:drawing>
      </w:r>
      <w:bookmarkEnd w:id="5670"/>
    </w:p>
    <w:p>
      <w:pPr>
        <w:keepNext/>
        <w:pStyle w:val="Para 38"/>
        <w:keepLines w:val="on"/>
      </w:pPr>
      <w:r>
        <w:t>Hình 27.3 Định giá thương hiệu Star Wars vào tháng 12 năm 2015</w:t>
      </w:r>
    </w:p>
    <w:p>
      <w:pPr>
        <w:pStyle w:val="Para 04"/>
        <w:keepLines w:val="on"/>
      </w:pPr>
      <w:r>
        <w:t>Để ước tính giá trị thương hiệu, chúng tôi đã sử dụng biên lợi nhuận hoạt động của mảng phim (20,14%) và mảng đồ chơi/hàng hóa (15%), rồi trừ đi thuế (với thuế suất 30%), trước khi chiết khấu ngược lại theo chi phí vốn 7,61%, mức trung bình của ngành giải trí. (Chúng tôi giả định rằng Disney sẽ cấp phép phần lớn hàng hóa, chuyển rủi ro sang cho người khác nhưng chấp nhận chỉ nhận một phần lợi nhuận hoạt động.) Ít nhất là dựa trên các dự phóng của chúng tôi, giá trị của thương hiệu Star Wars, nếu nó có thể duy trì được những con số mà tôi ước tính (cho các phần cộng thêm) và đạt được doanh thu phòng vé như kỳ vọng, là gần 10 tỷ đô-la. Giá trị này rõ ràng phụ thuộc vào doanh thu phim và giá trị đô-la của các phần cộng thêm, như có thể thấy trong Bảng 27.4:</w:t>
      </w:r>
    </w:p>
    <w:p>
      <w:pPr>
        <w:pStyle w:val="Para 59"/>
        <w:keepLines w:val="on"/>
      </w:pPr>
      <w:r>
        <w:rPr>
          <w:rStyle w:val="Text26"/>
        </w:rPr>
        <w:bookmarkStart w:id="5672" w:name="Page_877"/>
        <w:t/>
        <w:bookmarkEnd w:id="5672"/>
      </w:r>
      <w:r>
        <w:t xml:space="preserve"> </w:t>
      </w:r>
    </w:p>
    <w:p>
      <w:pPr>
        <w:pStyle w:val="Para 25"/>
        <w:keepLines w:val="on"/>
      </w:pPr>
      <w:r>
        <w:t>Bảng 27.4</w:t>
      </w:r>
    </w:p>
    <w:p>
      <w:pPr>
        <w:keepNext/>
        <w:pStyle w:val="Para 24"/>
        <w:keepLines w:val="on"/>
      </w:pPr>
      <w:r>
        <w:t>Giá trị thương hiệu Star Wars và các phần cộng thêm</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hMerge w:val="restart"/>
                </w:tcPr>
                <w:p>
                  <w:pPr>
                    <w:pStyle w:val="Para 05"/>
                    <w:keepLines w:val="on"/>
                  </w:pPr>
                  <w:r>
                    <w:t>Phần cộng thêm tính theo bội số của doanh thu phòng vé</w:t>
                  </w:r>
                </w:p>
              </w:tc>
              <w:tc>
                <w:tcPr>
                  <w:hMerge w:val="continue"/>
                </w:tcPr>
                <w:p/>
              </w:tc>
              <w:tc>
                <w:tcPr>
                  <w:hMerge w:val="continue"/>
                </w:tcPr>
                <w:p/>
              </w:tc>
            </w:tr>
            <w:tr>
              <w:tc>
                <w:tcPr>
                  <w:tcW w:type="auto" w:w="0"/>
                  <w:shd w:val="clear" w:color="auto" w:fill="F0F0F0"/>
                </w:tcPr>
                <w:p>
                  <w:pPr>
                    <w:pStyle w:val="5 Block"/>
                    <w:keepLines w:val="on"/>
                  </w:pPr>
                </w:p>
              </w:tc>
              <w:tc>
                <w:tcPr>
                  <w:tcW w:type="auto" w:w="0"/>
                  <w:shd w:val="clear" w:color="auto" w:fill="F0F0F0"/>
                </w:tcPr>
                <w:p>
                  <w:pPr>
                    <w:pStyle w:val="7 Block"/>
                    <w:keepLines w:val="on"/>
                  </w:pPr>
                </w:p>
              </w:tc>
              <w:tc>
                <w:tcPr>
                  <w:tcW w:type="auto" w:w="0"/>
                  <w:shd w:val="clear" w:color="auto" w:fill="F0F0F0"/>
                </w:tcPr>
                <w:p>
                  <w:pPr>
                    <w:pStyle w:val="Para 41"/>
                    <w:keepLines w:val="on"/>
                  </w:pPr>
                  <w:r>
                    <w:t>3,00 đô-la</w:t>
                  </w:r>
                </w:p>
              </w:tc>
              <w:tc>
                <w:tcPr>
                  <w:tcW w:type="auto" w:w="0"/>
                  <w:shd w:val="clear" w:color="auto" w:fill="F0F0F0"/>
                </w:tcPr>
                <w:p>
                  <w:pPr>
                    <w:pStyle w:val="Para 41"/>
                    <w:keepLines w:val="on"/>
                  </w:pPr>
                  <w:r>
                    <w:t>4,50 đô-la</w:t>
                  </w:r>
                </w:p>
              </w:tc>
              <w:tc>
                <w:tcPr>
                  <w:tcW w:type="auto" w:w="0"/>
                  <w:shd w:val="clear" w:color="auto" w:fill="F0F0F0"/>
                </w:tcPr>
                <w:p>
                  <w:pPr>
                    <w:pStyle w:val="Para 41"/>
                    <w:keepLines w:val="on"/>
                  </w:pPr>
                  <w:r>
                    <w:t>6,00 đô-la</w:t>
                  </w:r>
                </w:p>
              </w:tc>
            </w:tr>
            <w:tr>
              <w:tc>
                <w:tcPr>
                  <w:tcW w:type="auto" w:w="0"/>
                  <w:shd w:val="clear" w:color="auto" w:fill="F0F0F0"/>
                  <w:vMerge w:val="restart"/>
                </w:tcPr>
                <w:p>
                  <w:pPr>
                    <w:pStyle w:val="Para 02"/>
                    <w:keepLines w:val="on"/>
                  </w:pPr>
                  <w:r>
                    <w:t>Doanh thu phòng vé (tính bằng triệu đô-la)</w:t>
                  </w:r>
                </w:p>
              </w:tc>
              <w:tc>
                <w:tcPr>
                  <w:tcW w:type="auto" w:w="0"/>
                  <w:shd w:val="clear" w:color="auto" w:fill="F0F0F0"/>
                </w:tcPr>
                <w:p>
                  <w:pPr>
                    <w:pStyle w:val="Para 41"/>
                    <w:keepLines w:val="on"/>
                  </w:pPr>
                  <w:r>
                    <w:t>1.500,00 đô-la</w:t>
                  </w:r>
                </w:p>
              </w:tc>
              <w:tc>
                <w:tcPr>
                  <w:tcW w:type="auto" w:w="0"/>
                  <w:shd w:val="clear" w:color="auto" w:fill="F0F0F0"/>
                </w:tcPr>
                <w:p>
                  <w:pPr>
                    <w:pStyle w:val="Normal"/>
                    <w:keepLines w:val="on"/>
                  </w:pPr>
                  <w:r>
                    <w:t>7.308 đô-la</w:t>
                  </w:r>
                </w:p>
              </w:tc>
              <w:tc>
                <w:tcPr>
                  <w:tcW w:type="auto" w:w="0"/>
                  <w:shd w:val="clear" w:color="auto" w:fill="F0F0F0"/>
                </w:tcPr>
                <w:p>
                  <w:pPr>
                    <w:pStyle w:val="Normal"/>
                    <w:keepLines w:val="on"/>
                  </w:pPr>
                  <w:r>
                    <w:t>8.250 đô-la</w:t>
                  </w:r>
                </w:p>
              </w:tc>
              <w:tc>
                <w:tcPr>
                  <w:tcW w:type="auto" w:w="0"/>
                  <w:shd w:val="clear" w:color="auto" w:fill="F0F0F0"/>
                </w:tcPr>
                <w:p>
                  <w:pPr>
                    <w:pStyle w:val="Normal"/>
                    <w:keepLines w:val="on"/>
                  </w:pPr>
                  <w:r>
                    <w:t>9.193 đô-la</w:t>
                  </w:r>
                </w:p>
              </w:tc>
            </w:tr>
            <w:tr>
              <w:tc>
                <w:tcPr>
                  <w:vMerge w:val="continue"/>
                </w:tcPr>
                <w:p/>
              </w:tc>
              <w:tc>
                <w:tcPr>
                  <w:tcW w:type="auto" w:w="0"/>
                  <w:shd w:val="clear" w:color="auto" w:fill="F0F0F0"/>
                </w:tcPr>
                <w:p>
                  <w:pPr>
                    <w:pStyle w:val="Para 41"/>
                    <w:keepLines w:val="on"/>
                  </w:pPr>
                  <w:r>
                    <w:t>2.000,00 đô-la</w:t>
                  </w:r>
                </w:p>
              </w:tc>
              <w:tc>
                <w:tcPr>
                  <w:tcW w:type="auto" w:w="0"/>
                  <w:shd w:val="clear" w:color="auto" w:fill="F0F0F0"/>
                </w:tcPr>
                <w:p>
                  <w:pPr>
                    <w:pStyle w:val="Normal"/>
                    <w:keepLines w:val="on"/>
                  </w:pPr>
                  <w:r>
                    <w:t>8.800 đô-la</w:t>
                  </w:r>
                </w:p>
              </w:tc>
              <w:tc>
                <w:tcPr>
                  <w:tcW w:type="auto" w:w="0"/>
                  <w:shd w:val="clear" w:color="auto" w:fill="F0F0F0"/>
                </w:tcPr>
                <w:p>
                  <w:pPr>
                    <w:pStyle w:val="Normal"/>
                    <w:keepLines w:val="on"/>
                  </w:pPr>
                  <w:r>
                    <w:t>10.056 đô-la</w:t>
                  </w:r>
                </w:p>
              </w:tc>
              <w:tc>
                <w:tcPr>
                  <w:tcW w:type="auto" w:w="0"/>
                  <w:shd w:val="clear" w:color="auto" w:fill="F0F0F0"/>
                </w:tcPr>
                <w:p>
                  <w:pPr>
                    <w:pStyle w:val="Normal"/>
                    <w:keepLines w:val="on"/>
                  </w:pPr>
                  <w:r>
                    <w:t>11.312 đô-la</w:t>
                  </w:r>
                </w:p>
              </w:tc>
            </w:tr>
            <w:tr>
              <w:tc>
                <w:tcPr>
                  <w:vMerge w:val="continue"/>
                </w:tcPr>
                <w:p/>
              </w:tc>
              <w:tc>
                <w:tcPr>
                  <w:tcW w:type="auto" w:w="0"/>
                  <w:shd w:val="clear" w:color="auto" w:fill="F0F0F0"/>
                </w:tcPr>
                <w:p>
                  <w:pPr>
                    <w:pStyle w:val="5 Block"/>
                    <w:keepLines w:val="on"/>
                  </w:pPr>
                </w:p>
              </w:tc>
              <w:tc>
                <w:tcPr>
                  <w:tcW w:type="auto" w:w="0"/>
                  <w:shd w:val="clear" w:color="auto" w:fill="F0F0F0"/>
                </w:tcPr>
                <w:p>
                  <w:pPr>
                    <w:pStyle w:val="Para 41"/>
                    <w:keepLines w:val="on"/>
                  </w:pPr>
                  <w:r>
                    <w:t>2.500,00 đô-la</w:t>
                  </w:r>
                </w:p>
              </w:tc>
              <w:tc>
                <w:tcPr>
                  <w:tcW w:type="auto" w:w="0"/>
                  <w:shd w:val="clear" w:color="auto" w:fill="F0F0F0"/>
                </w:tcPr>
                <w:p>
                  <w:pPr>
                    <w:pStyle w:val="Normal"/>
                    <w:keepLines w:val="on"/>
                  </w:pPr>
                  <w:r>
                    <w:t>10.291 đô-la</w:t>
                  </w:r>
                </w:p>
              </w:tc>
              <w:tc>
                <w:tcPr>
                  <w:tcW w:type="auto" w:w="0"/>
                  <w:shd w:val="clear" w:color="auto" w:fill="F0F0F0"/>
                </w:tcPr>
                <w:p>
                  <w:pPr>
                    <w:pStyle w:val="Normal"/>
                    <w:keepLines w:val="on"/>
                  </w:pPr>
                  <w:r>
                    <w:t>11.862 đô-la</w:t>
                  </w:r>
                </w:p>
              </w:tc>
              <w:tc>
                <w:tcPr>
                  <w:tcW w:type="auto" w:w="0"/>
                  <w:shd w:val="clear" w:color="auto" w:fill="F0F0F0"/>
                </w:tcPr>
                <w:p>
                  <w:pPr>
                    <w:pStyle w:val="Normal"/>
                    <w:keepLines w:val="on"/>
                  </w:pPr>
                  <w:r>
                    <w:t>13.432 đô-la</w:t>
                  </w:r>
                </w:p>
              </w:tc>
            </w:tr>
          </w:tbl>
          <w:p/>
        </w:tc>
      </w:tr>
    </w:tbl>
    <w:p>
      <w:pPr>
        <w:pStyle w:val="Para 04"/>
        <w:keepLines w:val="on"/>
      </w:pPr>
      <w:r>
        <w:t>Điều đó không chỉ khiến khoản đầu tư 4 tỷ đô-la của Disney vào năm 2012 trở thành một thương vụ cực kỳ hời, mà bất kỳ hiệu ứng cộng hưởng nào mà Disney có thể đạt được ở các mảng kinh doanh khác (như mảng này) cũng sẽ tạo ra thêm nhiều dư địa tăng trưởng.</w:t>
      </w:r>
    </w:p>
    <w:p>
      <w:bookmarkStart w:id="5673" w:name="A_2024_Postscript__with_a_Stream"/>
      <w:bookmarkStart w:id="5674" w:name="A_2024_Postscript__with_a_Stream_1"/>
      <w:pPr>
        <w:keepNext/>
        <w:pStyle w:val="Para 36"/>
        <w:keepLines w:val="on"/>
      </w:pPr>
      <w:r>
        <w:t>Lời bạt năm 2024, với phần cộng thêm từ dịch vụ phát trực tuyến</w:t>
      </w:r>
      <w:bookmarkEnd w:id="5673"/>
      <w:bookmarkEnd w:id="5674"/>
    </w:p>
    <w:p>
      <w:pPr>
        <w:pStyle w:val="Para 04"/>
        <w:keepLines w:val="on"/>
      </w:pPr>
      <w:r>
        <w:t>Năm 2024, Disney đã đi hết vòng các phim Star Wars của mình, ít nhất là vào thời điểm này. Nhìn lại, có vẻ rõ ràng rằng chúng ta đã ước tính quá cao doanh thu phim từ các phim do Disney phát hành. Thực tế, trong khi Force One mang về 2,5 tỷ đô la doanh thu vé toàn cầu, thì The Last Jedi và The Rise of Skywalker, hai phim gần đây nhất, chỉ đạt gần 1,5 tỷ đô la thay vì 2 tỷ đô la như chúng ta ước tính. Trong quá trình đó, Disney đã đầu tư lớn vào nền tảng streaming của riêng mình vào tháng 11 năm 2019, và dùng The Mandalorian, một phim phụ (spin-off) của Star Wars, làm động lực thu hút thuê bao mới. Những năm sau đó, Disney đã bổ sung thêm nhiều chương trình Star Wars vào danh mục streaming, điều này có tiềm năng làm tăng giá trị của thương hiệu (franchise). Một nguy cơ của việc các chương trình Star Wars trên streaming nở rộ là nó có thể làm giảm tiềm năng doanh thu phòng vé của các phim mới, do người xem bị bội thực.</w:t>
      </w:r>
    </w:p>
    <w:p>
      <w:pPr>
        <w:pStyle w:val="Para 04"/>
        <w:keepLines w:val="on"/>
      </w:pPr>
      <w:r>
        <w:t>Trong khi chúng ta đang ở trạng thái chờ đợi, đợi kế hoạch của Disney với thương hiệu này, chúng tôi tin rằng giá trị của thương hiệu chỉ tăng lên kể từ năm 2015, một phần nhờ các nguồn doanh thu bổ sung từ streaming và từ các công viên giải trí.</w:t>
      </w:r>
    </w:p>
    <w:p>
      <w:bookmarkStart w:id="5675" w:name="Valuing_Businesses_with_a_Person"/>
      <w:bookmarkStart w:id="5676" w:name="Valuing_Businesses_with_a_Person_1"/>
      <w:pPr>
        <w:keepNext/>
        <w:pStyle w:val="Heading 3"/>
        <w:keepLines w:val="on"/>
      </w:pPr>
      <w:r>
        <w:t>Định giá doanh nghiệp có yếu tố cá nhân</w:t>
      </w:r>
      <w:bookmarkEnd w:id="5675"/>
      <w:bookmarkEnd w:id="5676"/>
    </w:p>
    <w:p>
      <w:pPr>
        <w:pStyle w:val="Para 03"/>
      </w:pPr>
      <w:r>
        <w:t>Trong Chương 24, chúng ta đã giới thiệu khái niệm người chủ chốt (key person) trong một doanh nghiệp và ảnh hưởng lên giá trị khi mất đi người chủ chốt đó. Chúng tôi đề xuất rằng ảnh hưởng của người chủ chốt lên giá trị nên được ước tính bằng cách xem xét tác động của việc mất người chủ chốt đó lên dòng tiền. Có một số ví dụ chúng ta có thể đưa ra cho các doanh nghiệp có yếu tố cá nhân. Hãy xem xét những điều sau:</w:t>
      </w:r>
    </w:p>
    <w:p>
      <w:pPr>
        <w:numPr>
          <w:ilvl w:val="0"/>
          <w:numId w:val="315"/>
        </w:numPr>
        <w:pStyle w:val="Para 01"/>
      </w:pPr>
      <w:r>
        <w:t>Trong Chương 24, chúng ta đã dùng ví dụ về một nhà hàng có đầu bếp ngôi sao với sức hút khách. Vì vậy, khi đầu bếp bị ốm liệt hoặc chuyển sang đối thủ, số lượng khách có thể giảm mạnh.</w:t>
      </w:r>
    </w:p>
    <w:p>
      <w:pPr>
        <w:numPr>
          <w:ilvl w:val="0"/>
          <w:numId w:val="315"/>
        </w:numPr>
        <w:pStyle w:val="Para 01"/>
      </w:pPr>
      <w:r>
        <w:t>Nhiều doanh nghiệp dịch vụ, từ sửa ống nước, đến nha khoa, đến kế toán thuế, đều có yếu tố cá nhân. Do đó, khi người cung cấp dịch vụ rời đi, một phần lớn giá trị của doanh nghiệp có thể bị mất. Một nha sĩ trả một khoản tiền lớn để mua lại phòng khám nha khoa đang phát đạt của một nha sĩ khác có thể thấy việc làm ăn sụt giảm sau khi mua. Hiệu ứng này sẽ càng rõ hơn nếu người bán có thể mở một doanh nghiệp cạnh tranh.</w:t>
      </w:r>
    </w:p>
    <w:p>
      <w:pPr>
        <w:numPr>
          <w:ilvl w:val="0"/>
          <w:numId w:val="315"/>
        </w:numPr>
        <w:pStyle w:val="Para 01"/>
      </w:pPr>
      <w:r>
        <w:t>Một công ty quỹ tương hỗ (mutual fund) có thể có giá trị đến từ những người quản lý quỹ nổi tiếng nhất của mình. Nếu họ chuyển sang đối thủ hoặc tự mở quỹ riêng, họ có thể mang theo một phần lớn số tiền mà họ đang quản lý.</w:t>
      </w:r>
    </w:p>
    <w:p>
      <w:pPr>
        <w:pStyle w:val="Para 03"/>
      </w:pPr>
      <w:r>
        <w:t>Vậy, chúng ta nên định giá những doanh nghiệp này và phần giá trị thuộc về người chủ chốt như thế nào? Câu trả lời phụ thuộc vào lý do bạn định giá ngay từ đầu. Nếu mục tiêu là định giá doanh nghiệp cho chủ sở hữu hiện tại, bạn có thể tách riêng phần giá trị nhờ các mối quan hệ và kỹ năng cá nhân của chủ sở hữu, nhưng không có hậu quả tức thời nào. Nếu mục tiêu là định giá doanh nghiệp cho một người mua tiềm năng, cách đơn giản nhất để tránh trả giá quá cao là thực hiện hai lần định giá—một lần với doanh nghiệp nguyên trạng, với chủ sở hữu hiện tại, và một lần không có chủ sở hữu, đưa ra các giả định hợp lý về mức độ doanh nghiệp sẽ sụt giảm. Lần định giá sau sẽ thấp hơn nhiều so với lần trước, và đại diện cho mức giá bạn sẵn sàng trả.</w:t>
      </w:r>
    </w:p>
    <w:p>
      <w:pPr>
        <w:pStyle w:val="Para 11"/>
      </w:pPr>
      <w:r>
        <w:t xml:space="preserve"> </w:t>
      </w:r>
    </w:p>
    <w:p>
      <w:bookmarkStart w:id="5678" w:name="Franchise_Value__Can_the_Franchi_1"/>
      <w:bookmarkStart w:id="5679" w:name="Franchise_Value__Can_the_Franchi"/>
      <w:pPr>
        <w:keepNext/>
        <w:pStyle w:val="Para 27"/>
        <w:keepLines w:val="on"/>
      </w:pPr>
      <w:r>
        <w:t>Giá trị thương hiệu nhượng quyền: Người nhận nhượng quyền có thể tạo ra khác biệt không?</w:t>
      </w:r>
      <w:bookmarkEnd w:id="5678"/>
      <w:bookmarkEnd w:id="5679"/>
    </w:p>
    <w:p>
      <w:pPr>
        <w:pStyle w:val="Para 16"/>
        <w:keepLines w:val="on"/>
      </w:pPr>
      <w:r>
        <w:t>Chúng tôi không có ý để bạn hiểu rằng giá trị của một thương hiệu nhượng quyền (franchise) hoàn toàn thuộc về bên nhượng quyền (franchisor), và rằng bên nhận nhượng quyền (franchisee) không thể ảnh hưởng đến giá trị. Rõ ràng, bên nhận nhượng quyền có thể tạo ra khác biệt, điều này giải thích tại sao giá trị của một cửa hàng McDonald's có thể tăng lên khi nó chuyển từ bên nhận nhượng quyền này sang bên khác. Có một số yếu tố giải thích những khác biệt này:</w:t>
      </w:r>
    </w:p>
    <w:p>
      <w:pPr>
        <w:numPr>
          <w:ilvl w:val="0"/>
          <w:numId w:val="316"/>
        </w:numPr>
        <w:pStyle w:val="Para 33"/>
        <w:keepLines w:val="on"/>
      </w:pPr>
      <w:r>
        <w:t>Hiệu quả. Một số bên nhận nhượng quyền làm tốt hơn nhiều trong việc kiểm soát chi phí và tạo ra biên lợi nhuận cao hơn những bên khác. Để minh họa, một tỷ lệ lớn các khách sạn và nhà nghỉ giá rẻ ở Hoa Kỳ thuộc sở hữu của một nhóm người nhập cư từ châu Á. Vì cả gia đình của chủ sở hữu thường làm việc tại khách sạn với mức lương thấp hoặc không lương, chi phí nhân viên có xu hướng thấp hơn, cho phép chủ sở hữu thu được lợi nhuận lớn hơn so với một chủ sở hữu thụ động.</w:t>
      </w:r>
    </w:p>
    <w:p>
      <w:pPr>
        <w:numPr>
          <w:ilvl w:val="0"/>
          <w:numId w:val="316"/>
        </w:numPr>
        <w:pStyle w:val="Para 33"/>
        <w:keepLines w:val="on"/>
      </w:pPr>
      <w:r>
        <w:t>Yếu tố cá nhân. Vẫn còn yếu tố cá nhân trong nhiều thương hiệu nhượng quyền có thể tạo ra khác biệt đáng kể về giá trị. Ví dụ, trong khi có hàng nghìn đại lý ô tô trên khắp cả nước, một vài trong số đó chiếm một phần đáng kể tổng doanh thu.</w:t>
      </w:r>
    </w:p>
    <w:p>
      <w:pPr>
        <w:numPr>
          <w:ilvl w:val="0"/>
          <w:numId w:val="316"/>
        </w:numPr>
        <w:pStyle w:val="Para 33"/>
        <w:keepLines w:val="on"/>
      </w:pPr>
      <w:r>
        <w:t>Lợi thế kinh tế theo quy mô (economies of scale). Có những lợi thế kinh tế theo quy mô gắn với việc sở hữu nhiều cửa hàng nhượng quyền từ cùng một công ty. Ví dụ, bạn thường thấy những cá nhân sở hữu nhiều hơn một cửa hàng nhượng quyền của cùng một công ty. Bằng cách gộp nhiều cửa hàng nhượng quyền lại, bạn có thể giảm chi phí hành chính và tăng lợi nhuận của từng cửa hàng.</w:t>
      </w:r>
    </w:p>
    <w:p>
      <w:pPr>
        <w:pStyle w:val="Para 11"/>
      </w:pPr>
      <w:r>
        <w:t xml:space="preserve"> </w:t>
      </w:r>
    </w:p>
    <w:p>
      <w:bookmarkStart w:id="5680" w:name="ILLUSTRATION_27_3__Valuing_a_Den"/>
      <w:bookmarkStart w:id="5681" w:name="ILLUSTRATION_27_3__Valuing_a_Den_1"/>
      <w:pPr>
        <w:keepNext/>
        <w:pStyle w:val="Para 19"/>
        <w:keepLines w:val="on"/>
      </w:pPr>
      <w:r>
        <w:t>MINH HỌA 27.3: Định giá một phòng khám nha khoa năm 2011</w:t>
      </w:r>
      <w:bookmarkEnd w:id="5680"/>
      <w:bookmarkEnd w:id="5681"/>
    </w:p>
    <w:p>
      <w:pPr>
        <w:pStyle w:val="Para 04"/>
        <w:keepLines w:val="on"/>
      </w:pPr>
      <w:r>
        <w:t>Giả sử bạn là một nha sĩ trẻ chuyên về nha khoa nhi, và bạn quan tâm đến việc mua một phòng khám nha khoa ở Chatham, New Jersey. Nha sĩ sở hữu phòng khám này đã gây dựng nó trong hai thập kỷ qua, và phòng khám tạo ra 500.000 đô la doanh thu năm ngoái. Các khoản chi phí liên quan đến việc vận hành phòng khám này năm ngoái bao gồm những điều sau:</w:t>
      </w:r>
    </w:p>
    <w:p>
      <w:pPr>
        <w:numPr>
          <w:ilvl w:val="0"/>
          <w:numId w:val="317"/>
        </w:numPr>
        <w:pStyle w:val="Para 18"/>
        <w:keepLines w:val="on"/>
      </w:pPr>
      <w:r>
        <w:t>Chi phí nhân viên (bao gồm cả nhân viên vệ sinh răng miệng và nhân viên thư ký) lên tới 150.000 đô la năm ngoái, và dự kiến sẽ tăng 3% mỗi năm trong 10 năm tới.</w:t>
      </w:r>
    </w:p>
    <w:p>
      <w:pPr>
        <w:numPr>
          <w:ilvl w:val="0"/>
          <w:numId w:val="317"/>
        </w:numPr>
        <w:pStyle w:val="Para 18"/>
        <w:keepLines w:val="on"/>
      </w:pPr>
      <w:r>
        <w:t>Tiền thuê cơ sở vật chất hàng năm năm ngoái là 50.000 đô la, và dự kiến sẽ tăng 3% mỗi năm trong 10 năm tới.</w:t>
      </w:r>
    </w:p>
    <w:p>
      <w:pPr>
        <w:numPr>
          <w:ilvl w:val="0"/>
          <w:numId w:val="317"/>
        </w:numPr>
        <w:pStyle w:val="Para 18"/>
        <w:keepLines w:val="on"/>
      </w:pPr>
      <w:r>
        <w:t>Thuê thiết bị y tế tốn 40.000 đô la năm ngoái, và khoản chi phí này dự kiến sẽ tăng 3% trong 10 năm tới.</w:t>
      </w:r>
    </w:p>
    <w:p>
      <w:pPr>
        <w:numPr>
          <w:ilvl w:val="0"/>
          <w:numId w:val="317"/>
        </w:numPr>
        <w:pStyle w:val="Para 18"/>
        <w:keepLines w:val="on"/>
      </w:pPr>
      <w:r>
        <w:t>Chi phí bảo hiểm y tế năm ngoái là 60.000 đô la và dự kiến sẽ tăng 3% mỗi năm trong 10 năm tới.</w:t>
      </w:r>
    </w:p>
    <w:p>
      <w:pPr>
        <w:numPr>
          <w:ilvl w:val="0"/>
          <w:numId w:val="317"/>
        </w:numPr>
        <w:pStyle w:val="Para 18"/>
        <w:keepLines w:val="on"/>
      </w:pPr>
      <w:r>
        <w:t>Thuế suất trên thu nhập, bao gồm cả thuế tiểu bang và địa phương, là 40%.</w:t>
      </w:r>
    </w:p>
    <w:p>
      <w:pPr>
        <w:numPr>
          <w:ilvl w:val="0"/>
          <w:numId w:val="317"/>
        </w:numPr>
        <w:pStyle w:val="Para 18"/>
        <w:keepLines w:val="on"/>
      </w:pPr>
      <w:r>
        <w:t>Chi phí vốn là 10%. Chúng ta ước tính con số này bằng cách xem xét chi phí vốn của các phòng khám chăm sóc sức khỏe niêm yết công khai và sử dụng giá trị trung vị.</w:t>
      </w:r>
    </w:p>
    <w:p>
      <w:pPr>
        <w:pStyle w:val="Para 04"/>
        <w:keepLines w:val="on"/>
      </w:pPr>
      <w:r>
        <w:t>Để định giá phòng khám, giả sử rằng doanh thu sẽ tăng 3% mỗi năm trong 10 năm tới nếu nha sĩ hiện tại tiếp tục điều hành phòng khám, nhưng sẽ có mức sụt giảm 20% trong doanh thu năm đầu tiên nếu một nha sĩ mới tiếp quản phòng khám. Tốc độ tăng trưởng 3% vẫn sẽ diễn ra trong những năm sau đó nhưng trên nền doanh thu thấp hơn.</w:t>
      </w:r>
    </w:p>
    <w:p>
      <w:pPr>
        <w:pStyle w:val="Para 04"/>
        <w:keepLines w:val="on"/>
      </w:pPr>
      <w:r>
        <w:t>Đầu tiên, định giá phòng khám với nha sĩ hiện tại. Để đưa ra ước tính này, hãy bắt đầu bằng việc ước tính dòng tiền trong năm đầu tiên của phòng khám:</w:t>
      </w:r>
    </w:p>
    <w:p>
      <w:bookmarkStart w:id="5683" w:name="Cash_flow_in_year_1_Revenues1_Op"/>
      <w:pPr>
        <w:keepNext/>
        <w:pStyle w:val="Para 07"/>
        <w:keepLines w:val="on"/>
      </w:pPr>
      <w:r>
        <w:t>Dòng tiền năm 1=Doanh thu1-Chi phí hoạt động1×(1-thuế suất)=[500.000(1,03)-(150.000+50.000+40.000+60.000)×(1,03)]×(1-,40)=123.600 đô la</w:t>
      </w:r>
      <w:bookmarkEnd w:id="5683"/>
    </w:p>
    <w:p>
      <w:pPr>
        <w:pStyle w:val="Para 04"/>
        <w:keepLines w:val="on"/>
      </w:pPr>
      <w:r>
        <w:t>Sử dụng chi phí vốn làm tỷ lệ chiết khấu và phương trình niên kim tăng trưởng (growing annuity) cho giai đoạn 10 năm, bạn có thể ước tính giá trị của phòng khám:</w:t>
      </w:r>
    </w:p>
    <w:p>
      <w:bookmarkStart w:id="5684" w:name="Value_of_practice_CF1x1___1_g_n"/>
      <w:pPr>
        <w:keepNext/>
        <w:pStyle w:val="Para 07"/>
        <w:keepLines w:val="on"/>
      </w:pPr>
      <w:r>
        <w:t>Giá trị của hoạt động khám chữa bệnh=CF1×1- (1+g)n(1+r)n(r-g)=123.600×1- (1,03)10(1,10)10(,10-,03)=$850.831</w:t>
      </w:r>
      <w:bookmarkEnd w:id="5684"/>
    </w:p>
    <w:p>
      <w:pPr>
        <w:pStyle w:val="Para 04"/>
        <w:keepLines w:val="on"/>
      </w:pPr>
      <w:r>
        <w:t>Chúng ta giả định rằng giá trị của hoạt động khám chữa bệnh sẽ phai nhạt sau 10 năm, và do đó, không gán thêm giá trị cuối kỳ (terminal value).</w:t>
      </w:r>
    </w:p>
    <w:p>
      <w:pPr>
        <w:pStyle w:val="Para 04"/>
        <w:keepLines w:val="on"/>
      </w:pPr>
      <w:r>
        <w:t>Tiếp theo, hãy định giá hoạt động khám chữa bệnh với một nha sĩ mới thay thế. Dòng tiền trong năm 1 sẽ thấp hơn vì doanh thu sẽ thấp hơn:</w:t>
      </w:r>
    </w:p>
    <w:p>
      <w:bookmarkStart w:id="5685" w:name="Cash_flow_in_year_1__Revenues1_O"/>
      <w:pPr>
        <w:keepNext/>
        <w:pStyle w:val="Para 07"/>
        <w:keepLines w:val="on"/>
      </w:pPr>
      <w:r>
        <w:t>Dòng tiền trong năm 1=(Doanh thu1-Chi phí hoạt động1)×(1-Thuế suất)=[400.000(1,03)-(150.000+50.000+40.000+60.000)(1,03)]×(1-,40)=$61.800</w:t>
      </w:r>
      <w:bookmarkEnd w:id="5685"/>
    </w:p>
    <w:p>
      <w:bookmarkStart w:id="5686" w:name="Valueofpractice_CF1x1____1_g_n_1"/>
      <w:pPr>
        <w:keepNext/>
        <w:pStyle w:val="Para 07"/>
        <w:keepLines w:val="on"/>
      </w:pPr>
      <w:r>
        <w:t>Giá trị của hoạt động khám chữa bệnh=CF1×1−(1+g)n(1+r)n(r−g)=61.800×1−(1,03)10(1,10)10(,10−,03)=$425.415</w:t>
      </w:r>
      <w:bookmarkEnd w:id="5686"/>
    </w:p>
    <w:p>
      <w:pPr>
        <w:pStyle w:val="Para 04"/>
        <w:keepLines w:val="on"/>
      </w:pPr>
      <w:r>
        <w:t>Lưu ý rằng giá trị đã giảm một nửa, và phần chênh lệch có thể được xem như giá trị của nhân sự chủ chốt (key person).</w:t>
      </w:r>
    </w:p>
    <w:p>
      <w:pPr>
        <w:pStyle w:val="Para 04"/>
        <w:keepLines w:val="on"/>
      </w:pPr>
      <w:r>
        <w:t>Với tư cách là một người mua tiềm năng, nha sĩ mới nên đưa ra mức giá sau (mức giá thấp hơn) cho hoạt động khám chữa bệnh. Tuy nhiên, nếu người mua có thể sắp xếp một giai đoạn chuyển tiếp trong đó nha sĩ hiện tại vẫn ở lại với hoạt động khám chữa bệnh sau giao dịch, thì người đó có thể sẵn lòng trả giá cao hơn.</w:t>
      </w:r>
    </w:p>
    <w:p>
      <w:pPr>
        <w:pStyle w:val="Para 11"/>
      </w:pPr>
      <w:r>
        <w:t xml:space="preserve"> </w:t>
      </w:r>
    </w:p>
    <w:p>
      <w:bookmarkStart w:id="5687" w:name="ILLUSTRATION_27_4__Valuing_a_Fiv"/>
      <w:bookmarkStart w:id="5688" w:name="ILLUSTRATION_27_4__Valuing_a_Fiv_1"/>
      <w:pPr>
        <w:keepNext/>
        <w:pStyle w:val="Para 19"/>
        <w:keepLines w:val="on"/>
      </w:pPr>
      <w:r>
        <w:t>MINH HỌA 27.4: Định giá một nhà hàng năm sao: Lutèce năm 1994</w:t>
      </w:r>
      <w:bookmarkEnd w:id="5687"/>
      <w:bookmarkEnd w:id="5688"/>
    </w:p>
    <w:p>
      <w:pPr>
        <w:pStyle w:val="Para 04"/>
        <w:keepLines w:val="on"/>
      </w:pPr>
      <w:r>
        <w:t>Lutèce là một nhà hàng nổi tiếng tọa lạc tại số 249 East 50th Street ở Manhattan. Năm 1994, Lutèce được chủ sở hữu/đầu bếp Andre Soltner bán cho Ark Restaurants, một chuỗi nhà hàng niêm yết công khai, với một số tiền không được tiết lộ. Tờ New York Times, tái mặt vì thương vụ này, đã giật tít, "Lutèce, một Biểu tượng Ẩm thực, Được Bán cho một Nhà Điều hành Chuỗi", sau đó là một bài báo kể chi tiết cuộc hôn nhân đầy bất ngờ giữa nhà hàng Pháp cổ điển và Ark, một công ty chủ yếu được biết đến với việc điều hành các nhà hàng theo chủ đề. Bryan Miller, cựu nhà phê bình nhà hàng của tờ Times và là tác giả của bài viết, đã ví việc thêm Lutèce vào danh mục của Ark như "treo một bức tranh Van Gogh trong một triển lãm nghệ thuật cộng đồng".</w:t>
      </w:r>
    </w:p>
    <w:p>
      <w:pPr>
        <w:pStyle w:val="Para 40"/>
        <w:keepLines w:val="on"/>
      </w:pPr>
      <w:r>
        <w:rPr>
          <w:rStyle w:val="Text26"/>
        </w:rPr>
        <w:bookmarkStart w:id="5689" w:name="Page_880"/>
        <w:t/>
        <w:bookmarkEnd w:id="5689"/>
      </w:r>
      <w:r>
        <w:t xml:space="preserve"> </w:t>
      </w:r>
    </w:p>
    <w:p>
      <w:bookmarkStart w:id="5690" w:name="Background_Lutece_was_founded_in"/>
      <w:bookmarkStart w:id="5691" w:name="Background_1"/>
      <w:pPr>
        <w:keepNext/>
        <w:pStyle w:val="Para 36"/>
        <w:keepLines w:val="on"/>
      </w:pPr>
      <w:r>
        <w:t>Bối cảnh</w:t>
      </w:r>
      <w:bookmarkEnd w:id="5690"/>
      <w:bookmarkEnd w:id="5691"/>
    </w:p>
    <w:p>
      <w:pPr>
        <w:pStyle w:val="Para 04"/>
        <w:keepLines w:val="on"/>
      </w:pPr>
      <w:r>
        <w:t>Lutèce được Andre Soltner thành lập vào năm 1961, và nhanh chóng nổi tiếng nhờ phục vụ món ăn có chất lượng đặc biệt. Nhà hàng đã nhận được xếp hạng năm sao từ Mobil trong 24 năm liên tiếp, và là một trong năm nhà hàng ở Thành phố New York nhận được xếp hạng bốn sao (cao nhất) từ New York Times. Tuy nhiên, trong một dấu hiệu cho thấy sự sa sút, thứ hạng của nhà hàng trong Khảo sát Zagat về các Nhà hàng Thành phố New York đã tụt xuống vị trí thứ tám từ chỗ luôn đứng ở hoặc gần vị trí dẫn đầu trong phần lớn thập niên 1970 và 1980.</w:t>
      </w:r>
    </w:p>
    <w:p>
      <w:bookmarkStart w:id="5692" w:name="Estimating_Cash_Flows_2"/>
      <w:bookmarkStart w:id="5693" w:name="Estimating_Cash_Flows_The_follow"/>
      <w:pPr>
        <w:keepNext/>
        <w:pStyle w:val="Para 36"/>
        <w:keepLines w:val="on"/>
      </w:pPr>
      <w:r>
        <w:t>Ước tính Dòng tiền</w:t>
      </w:r>
      <w:bookmarkEnd w:id="5692"/>
      <w:bookmarkEnd w:id="5693"/>
    </w:p>
    <w:p>
      <w:pPr>
        <w:pStyle w:val="Para 04"/>
        <w:keepLines w:val="on"/>
      </w:pPr>
      <w:r>
        <w:t>Sau đây là một số dữ kiện cơ bản về Lutèce:</w:t>
      </w:r>
    </w:p>
    <w:p>
      <w:pPr>
        <w:numPr>
          <w:ilvl w:val="0"/>
          <w:numId w:val="318"/>
        </w:numPr>
        <w:pStyle w:val="Para 18"/>
        <w:keepLines w:val="on"/>
      </w:pPr>
      <w:r>
        <w:t>Nhà hàng có thể phục vụ 92 thực khách. Nhà hàng có một lượt phục vụ cho bữa trưa và hai lượt phục vụ cho bữa tối. Nhà hàng lấp đầy 70% số chỗ vào bữa trưa và 80% số chỗ vào bữa tối.</w:t>
      </w:r>
    </w:p>
    <w:p>
      <w:pPr>
        <w:numPr>
          <w:ilvl w:val="0"/>
          <w:numId w:val="318"/>
        </w:numPr>
        <w:pStyle w:val="Para 18"/>
        <w:keepLines w:val="on"/>
      </w:pPr>
      <w:r>
        <w:t>Nhà hàng mở cửa 340 ngày mỗi năm và đóng cửa trong 25 ngày còn lại.</w:t>
      </w:r>
    </w:p>
    <w:p>
      <w:pPr>
        <w:numPr>
          <w:ilvl w:val="0"/>
          <w:numId w:val="318"/>
        </w:numPr>
        <w:pStyle w:val="Para 18"/>
        <w:keepLines w:val="on"/>
      </w:pPr>
      <w:r>
        <w:t>Giá trung bình của bữa trưa là $30, và giá trung bình của bữa tối là $66. Khoảng một phần ba trong số này là cho đồ uống có cồn.</w:t>
      </w:r>
    </w:p>
    <w:p>
      <w:pPr>
        <w:numPr>
          <w:ilvl w:val="0"/>
          <w:numId w:val="318"/>
        </w:numPr>
        <w:pStyle w:val="Para 18"/>
        <w:keepLines w:val="on"/>
      </w:pPr>
      <w:r>
        <w:t>Có 42 nhân viên trong đội ngũ của nhà hàng. Chi phí thực phẩm xấp xỉ 30% giá của bữa ăn, và chi phí lương bổng lên tới $1,25 triệu một năm.</w:t>
      </w:r>
    </w:p>
    <w:p>
      <w:pPr>
        <w:numPr>
          <w:ilvl w:val="0"/>
          <w:numId w:val="318"/>
        </w:numPr>
        <w:pStyle w:val="Para 18"/>
        <w:keepLines w:val="on"/>
      </w:pPr>
      <w:r>
        <w:t>Tiền thuê hàng năm cho không gian mà Lutèce sử dụng là $600.000.</w:t>
      </w:r>
    </w:p>
    <w:p>
      <w:pPr>
        <w:pStyle w:val="Para 04"/>
        <w:keepLines w:val="on"/>
      </w:pPr>
      <w:r>
        <w:t>Bảng 27.5 là một ước tính về dòng tiền hoạt động sau thuế năm 1994 của Lutèce:</w:t>
      </w:r>
    </w:p>
    <w:p>
      <w:pPr>
        <w:pStyle w:val="Para 25"/>
        <w:keepLines w:val="on"/>
      </w:pPr>
      <w:r>
        <w:t>Bảng 27.5</w:t>
      </w:r>
    </w:p>
    <w:p>
      <w:pPr>
        <w:keepNext/>
        <w:pStyle w:val="Para 24"/>
        <w:keepLines w:val="on"/>
      </w:pPr>
      <w:r>
        <w:t>Thu nhập trong năm gần nhất—Lutèce</w:t>
      </w:r>
    </w:p>
    <w:tbl>
      <w:tblPr>
        <w:tblW w:type="auto" w:w="0"/>
      </w:tblPr>
      <w:tr>
        <w:tc>
          <w:tcPr>
            <w:tcW w:type="auto" w:w="0"/>
          </w:tcPr>
          <w:tbl>
            <w:tblPr>
              <w:tblW w:type="auto" w:w="0"/>
            </w:tblPr>
            <w:tr>
              <w:tc>
                <w:tcPr>
                  <w:tcW w:type="auto" w:w="0"/>
                  <w:shd w:val="clear" w:color="auto" w:fill="F0F0F0"/>
                </w:tcPr>
                <w:p>
                  <w:pPr>
                    <w:pStyle w:val="Para 32"/>
                    <w:keepLines w:val="on"/>
                  </w:pPr>
                  <w:r>
                    <w:t>Doanh thu</w:t>
                  </w:r>
                </w:p>
              </w:tc>
              <w:tc>
                <w:tcPr>
                  <w:tcW w:type="auto" w:w="0"/>
                  <w:shd w:val="clear" w:color="auto" w:fill="F0F0F0"/>
                </w:tcPr>
                <w:p>
                  <w:pPr>
                    <w:pStyle w:val="Para 05"/>
                    <w:keepLines w:val="on"/>
                  </w:pPr>
                  <w:r>
                    <w:t>Giả định</w:t>
                  </w:r>
                </w:p>
              </w:tc>
              <w:tc>
                <w:tcPr>
                  <w:tcW w:type="auto" w:w="0"/>
                  <w:shd w:val="clear" w:color="auto" w:fill="F0F0F0"/>
                </w:tcPr>
                <w:p>
                  <w:pPr>
                    <w:pStyle w:val="Para 05"/>
                    <w:keepLines w:val="on"/>
                  </w:pPr>
                  <w:r>
                    <w:t>Năm cơ sở</w:t>
                  </w:r>
                </w:p>
              </w:tc>
            </w:tr>
            <w:tr>
              <w:tc>
                <w:tcPr>
                  <w:tcW w:type="auto" w:w="0"/>
                  <w:shd w:val="clear" w:color="auto" w:fill="F0F0F0"/>
                </w:tcPr>
                <w:p>
                  <w:pPr>
                    <w:pStyle w:val="Para 02"/>
                    <w:keepLines w:val="on"/>
                  </w:pPr>
                  <w:r>
                    <w:t>Bữa trưa</w:t>
                  </w:r>
                </w:p>
              </w:tc>
              <w:tc>
                <w:tcPr>
                  <w:tcW w:type="auto" w:w="0"/>
                  <w:shd w:val="clear" w:color="auto" w:fill="F0F0F0"/>
                </w:tcPr>
                <w:p>
                  <w:pPr>
                    <w:pStyle w:val="Para 02"/>
                    <w:keepLines w:val="on"/>
                  </w:pPr>
                  <w:r>
                    <w:t>70% công suất; 30 đô-la mỗi người</w:t>
                  </w:r>
                </w:p>
              </w:tc>
              <w:tc>
                <w:tcPr>
                  <w:tcW w:type="auto" w:w="0"/>
                  <w:shd w:val="clear" w:color="auto" w:fill="F0F0F0"/>
                </w:tcPr>
                <w:p>
                  <w:pPr>
                    <w:pStyle w:val="Normal"/>
                    <w:keepLines w:val="on"/>
                  </w:pPr>
                  <w:r>
                    <w:t>656.880 đô-la</w:t>
                  </w:r>
                </w:p>
              </w:tc>
            </w:tr>
            <w:tr>
              <w:tc>
                <w:tcPr>
                  <w:tcW w:type="auto" w:w="0"/>
                  <w:shd w:val="clear" w:color="auto" w:fill="F0F0F0"/>
                </w:tcPr>
                <w:p>
                  <w:pPr>
                    <w:pStyle w:val="Para 02"/>
                    <w:keepLines w:val="on"/>
                  </w:pPr>
                  <w:r>
                    <w:t>Bữa tối</w:t>
                  </w:r>
                </w:p>
              </w:tc>
              <w:tc>
                <w:tcPr>
                  <w:tcW w:type="auto" w:w="0"/>
                  <w:shd w:val="clear" w:color="auto" w:fill="F0F0F0"/>
                </w:tcPr>
                <w:p>
                  <w:pPr>
                    <w:pStyle w:val="Para 02"/>
                    <w:keepLines w:val="on"/>
                  </w:pPr>
                  <w:r>
                    <w:t>80% công suất; 66 đô-la mỗi người</w:t>
                  </w:r>
                </w:p>
              </w:tc>
              <w:tc>
                <w:tcPr>
                  <w:tcW w:type="auto" w:w="0"/>
                  <w:shd w:val="clear" w:color="auto" w:fill="F0F0F0"/>
                </w:tcPr>
                <w:p>
                  <w:pPr>
                    <w:pStyle w:val="Normal"/>
                    <w:keepLines w:val="on"/>
                  </w:pPr>
                  <w:r>
                    <w:t>3.303.168 đô-la</w:t>
                  </w:r>
                </w:p>
              </w:tc>
            </w:tr>
            <w:tr>
              <w:tc>
                <w:tcPr>
                  <w:tcW w:type="auto" w:w="0"/>
                  <w:shd w:val="clear" w:color="auto" w:fill="F0F0F0"/>
                </w:tcPr>
                <w:p>
                  <w:pPr>
                    <w:pStyle w:val="Para 02"/>
                    <w:keepLines w:val="on"/>
                  </w:pPr>
                  <w:r>
                    <w:t>Tổng chi phí</w:t>
                  </w:r>
                </w:p>
              </w:tc>
              <w:tc>
                <w:tcPr>
                  <w:tcW w:type="auto" w:w="0"/>
                  <w:shd w:val="clear" w:color="auto" w:fill="F0F0F0"/>
                </w:tcPr>
                <w:p>
                  <w:pPr>
                    <w:pStyle w:val="5 Block"/>
                    <w:keepLines w:val="on"/>
                  </w:pPr>
                </w:p>
              </w:tc>
              <w:tc>
                <w:tcPr>
                  <w:tcW w:type="auto" w:w="0"/>
                  <w:shd w:val="clear" w:color="auto" w:fill="F0F0F0"/>
                </w:tcPr>
                <w:p>
                  <w:pPr>
                    <w:pStyle w:val="Normal"/>
                    <w:keepLines w:val="on"/>
                  </w:pPr>
                  <w:r>
                    <w:t>3.960.048 đô-la</w:t>
                  </w:r>
                </w:p>
              </w:tc>
            </w:tr>
            <w:tr>
              <w:tc>
                <w:tcPr>
                  <w:tcW w:type="auto" w:w="0"/>
                  <w:shd w:val="clear" w:color="auto" w:fill="F0F0F0"/>
                </w:tcPr>
                <w:p>
                  <w:pPr>
                    <w:pStyle w:val="Para 02"/>
                    <w:keepLines w:val="on"/>
                  </w:pPr>
                  <w:r>
                    <w:t>Thực phẩm</w:t>
                  </w:r>
                </w:p>
              </w:tc>
              <w:tc>
                <w:tcPr>
                  <w:tcW w:type="auto" w:w="0"/>
                  <w:shd w:val="clear" w:color="auto" w:fill="F0F0F0"/>
                </w:tcPr>
                <w:p>
                  <w:pPr>
                    <w:pStyle w:val="Para 02"/>
                    <w:keepLines w:val="on"/>
                  </w:pPr>
                  <w:r>
                    <w:t>30% doanh thu</w:t>
                  </w:r>
                </w:p>
              </w:tc>
              <w:tc>
                <w:tcPr>
                  <w:tcW w:type="auto" w:w="0"/>
                  <w:shd w:val="clear" w:color="auto" w:fill="F0F0F0"/>
                </w:tcPr>
                <w:p>
                  <w:pPr>
                    <w:pStyle w:val="Normal"/>
                    <w:keepLines w:val="on"/>
                  </w:pPr>
                  <w:r>
                    <w:t>1.188.014 đô-la</w:t>
                  </w:r>
                </w:p>
              </w:tc>
            </w:tr>
            <w:tr>
              <w:tc>
                <w:tcPr>
                  <w:tcW w:type="auto" w:w="0"/>
                  <w:shd w:val="clear" w:color="auto" w:fill="F0F0F0"/>
                </w:tcPr>
                <w:p>
                  <w:pPr>
                    <w:pStyle w:val="Para 02"/>
                    <w:keepLines w:val="on"/>
                  </w:pPr>
                  <w:r>
                    <w:t>Nhân viên $</w:t>
                  </w:r>
                </w:p>
              </w:tc>
              <w:tc>
                <w:tcPr>
                  <w:tcW w:type="auto" w:w="0"/>
                  <w:shd w:val="clear" w:color="auto" w:fill="F0F0F0"/>
                </w:tcPr>
                <w:p>
                  <w:pPr>
                    <w:pStyle w:val="Para 02"/>
                    <w:keepLines w:val="on"/>
                  </w:pPr>
                  <w:r>
                    <w:t>1.250.000 cho chi phí nhân viên</w:t>
                  </w:r>
                </w:p>
              </w:tc>
              <w:tc>
                <w:tcPr>
                  <w:tcW w:type="auto" w:w="0"/>
                  <w:shd w:val="clear" w:color="auto" w:fill="F0F0F0"/>
                </w:tcPr>
                <w:p>
                  <w:pPr>
                    <w:pStyle w:val="Normal"/>
                    <w:keepLines w:val="on"/>
                  </w:pPr>
                  <w:r>
                    <w:t>1.250.000 đô-la</w:t>
                  </w:r>
                </w:p>
              </w:tc>
            </w:tr>
            <w:tr>
              <w:tc>
                <w:tcPr>
                  <w:tcW w:type="auto" w:w="0"/>
                  <w:shd w:val="clear" w:color="auto" w:fill="F0F0F0"/>
                </w:tcPr>
                <w:p>
                  <w:pPr>
                    <w:pStyle w:val="Para 02"/>
                    <w:keepLines w:val="on"/>
                  </w:pPr>
                  <w:r>
                    <w:t>Tiền thuê</w:t>
                  </w:r>
                </w:p>
              </w:tc>
              <w:tc>
                <w:tcPr>
                  <w:tcW w:type="auto" w:w="0"/>
                  <w:shd w:val="clear" w:color="auto" w:fill="F0F0F0"/>
                </w:tcPr>
                <w:p>
                  <w:pPr>
                    <w:pStyle w:val="Para 02"/>
                    <w:keepLines w:val="on"/>
                  </w:pPr>
                  <w:r>
                    <w:t>Tiền thuê mặt bằng hàng năm</w:t>
                  </w:r>
                </w:p>
              </w:tc>
              <w:tc>
                <w:tcPr>
                  <w:tcW w:type="auto" w:w="0"/>
                  <w:shd w:val="clear" w:color="auto" w:fill="F0F0F0"/>
                </w:tcPr>
                <w:p>
                  <w:pPr>
                    <w:pStyle w:val="Normal"/>
                    <w:keepLines w:val="on"/>
                  </w:pPr>
                  <w:r>
                    <w:t>600.000 đô-la</w:t>
                  </w:r>
                </w:p>
              </w:tc>
            </w:tr>
            <w:tr>
              <w:tc>
                <w:tcPr>
                  <w:tcW w:type="auto" w:w="0"/>
                  <w:shd w:val="clear" w:color="auto" w:fill="F0F0F0"/>
                </w:tcPr>
                <w:p>
                  <w:pPr>
                    <w:pStyle w:val="Para 02"/>
                    <w:keepLines w:val="on"/>
                  </w:pPr>
                  <w:r>
                    <w:t>Tổng cộng</w:t>
                  </w:r>
                </w:p>
              </w:tc>
              <w:tc>
                <w:tcPr>
                  <w:tcW w:type="auto" w:w="0"/>
                  <w:shd w:val="clear" w:color="auto" w:fill="F0F0F0"/>
                </w:tcPr>
                <w:p>
                  <w:pPr>
                    <w:pStyle w:val="5 Block"/>
                    <w:keepLines w:val="on"/>
                  </w:pPr>
                </w:p>
              </w:tc>
              <w:tc>
                <w:tcPr>
                  <w:tcW w:type="auto" w:w="0"/>
                  <w:shd w:val="clear" w:color="auto" w:fill="F0F0F0"/>
                </w:tcPr>
                <w:p>
                  <w:pPr>
                    <w:pStyle w:val="Normal"/>
                    <w:keepLines w:val="on"/>
                  </w:pPr>
                  <w:r>
                    <w:t>3.038.014 đô-la</w:t>
                  </w:r>
                </w:p>
              </w:tc>
            </w:tr>
            <w:tr>
              <w:tc>
                <w:tcPr>
                  <w:tcW w:type="auto" w:w="0"/>
                  <w:shd w:val="clear" w:color="auto" w:fill="F0F0F0"/>
                </w:tcPr>
                <w:p>
                  <w:pPr>
                    <w:pStyle w:val="Para 02"/>
                    <w:keepLines w:val="on"/>
                  </w:pPr>
                  <w:r>
                    <w:t>EBIT</w:t>
                  </w:r>
                </w:p>
              </w:tc>
              <w:tc>
                <w:tcPr>
                  <w:tcW w:type="auto" w:w="0"/>
                  <w:shd w:val="clear" w:color="auto" w:fill="F0F0F0"/>
                </w:tcPr>
                <w:p>
                  <w:pPr>
                    <w:pStyle w:val="5 Block"/>
                    <w:keepLines w:val="on"/>
                  </w:pPr>
                </w:p>
              </w:tc>
              <w:tc>
                <w:tcPr>
                  <w:tcW w:type="auto" w:w="0"/>
                  <w:shd w:val="clear" w:color="auto" w:fill="F0F0F0"/>
                </w:tcPr>
                <w:p>
                  <w:pPr>
                    <w:pStyle w:val="Normal"/>
                    <w:keepLines w:val="on"/>
                  </w:pPr>
                  <w:r>
                    <w:t>922.034 đô-la</w:t>
                  </w:r>
                </w:p>
              </w:tc>
            </w:tr>
            <w:tr>
              <w:tc>
                <w:tcPr>
                  <w:tcW w:type="auto" w:w="0"/>
                  <w:shd w:val="clear" w:color="auto" w:fill="F0F0F0"/>
                </w:tcPr>
                <w:p>
                  <w:pPr>
                    <w:pStyle w:val="Para 02"/>
                    <w:keepLines w:val="on"/>
                  </w:pPr>
                  <w:r>
                    <w:t>Thuế</w:t>
                  </w:r>
                </w:p>
              </w:tc>
              <w:tc>
                <w:tcPr>
                  <w:tcW w:type="auto" w:w="0"/>
                  <w:shd w:val="clear" w:color="auto" w:fill="F0F0F0"/>
                </w:tcPr>
                <w:p>
                  <w:pPr>
                    <w:pStyle w:val="Para 02"/>
                    <w:keepLines w:val="on"/>
                  </w:pPr>
                  <w:r>
                    <w:t>Thuế suất 40%</w:t>
                  </w:r>
                </w:p>
              </w:tc>
              <w:tc>
                <w:tcPr>
                  <w:tcW w:type="auto" w:w="0"/>
                  <w:shd w:val="clear" w:color="auto" w:fill="F0F0F0"/>
                </w:tcPr>
                <w:p>
                  <w:pPr>
                    <w:pStyle w:val="Normal"/>
                    <w:keepLines w:val="on"/>
                  </w:pPr>
                  <w:r>
                    <w:t>368.813 đô-la</w:t>
                  </w:r>
                </w:p>
              </w:tc>
            </w:tr>
            <w:tr>
              <w:tc>
                <w:tcPr>
                  <w:tcW w:type="auto" w:w="0"/>
                  <w:shd w:val="clear" w:color="auto" w:fill="F0F0F0"/>
                </w:tcPr>
                <w:p>
                  <w:pPr>
                    <w:pStyle w:val="Para 02"/>
                    <w:keepLines w:val="on"/>
                  </w:pPr>
                  <w:r>
                    <w:t>EBIT(1 − t)</w:t>
                  </w:r>
                </w:p>
              </w:tc>
              <w:tc>
                <w:tcPr>
                  <w:tcW w:type="auto" w:w="0"/>
                  <w:shd w:val="clear" w:color="auto" w:fill="F0F0F0"/>
                </w:tcPr>
                <w:p>
                  <w:pPr>
                    <w:pStyle w:val="5 Block"/>
                    <w:keepLines w:val="on"/>
                  </w:pPr>
                </w:p>
              </w:tc>
              <w:tc>
                <w:tcPr>
                  <w:tcW w:type="auto" w:w="0"/>
                  <w:shd w:val="clear" w:color="auto" w:fill="F0F0F0"/>
                </w:tcPr>
                <w:p>
                  <w:pPr>
                    <w:pStyle w:val="Normal"/>
                    <w:keepLines w:val="on"/>
                  </w:pPr>
                  <w:r>
                    <w:t>553.220 đô-la</w:t>
                  </w:r>
                </w:p>
              </w:tc>
            </w:tr>
          </w:tbl>
          <w:p/>
        </w:tc>
      </w:tr>
    </w:tbl>
    <w:p>
      <w:pPr>
        <w:pStyle w:val="Para 04"/>
        <w:keepLines w:val="on"/>
      </w:pPr>
      <w:r>
        <w:t>Dòng tiền này được kỳ vọng sẽ tăng 6% mỗi năm trong ba năm và 3% mỗi năm sau đó. Bảng 27.6 tóm tắt thu nhập sau thuế dự kiến trong ba năm tới.</w:t>
      </w:r>
    </w:p>
    <w:p>
      <w:pPr>
        <w:pStyle w:val="Para 25"/>
        <w:keepLines w:val="on"/>
      </w:pPr>
      <w:r>
        <w:t>Bảng 27.6</w:t>
      </w:r>
    </w:p>
    <w:p>
      <w:pPr>
        <w:keepNext/>
        <w:pStyle w:val="Para 24"/>
        <w:keepLines w:val="on"/>
      </w:pPr>
      <w:r>
        <w:t>Thu nhập sau thuế dự kiến—Lutèce</w:t>
      </w:r>
    </w:p>
    <w:tbl>
      <w:tblPr>
        <w:tblW w:type="auto" w:w="0"/>
      </w:tblPr>
      <w:tr>
        <w:tc>
          <w:tcPr>
            <w:tcW w:type="auto" w:w="0"/>
          </w:tcPr>
          <w:tbl>
            <w:tblPr>
              <w:tblW w:type="auto" w:w="0"/>
            </w:tblPr>
            <w:tr>
              <w:tc>
                <w:tcPr>
                  <w:tcW w:type="auto" w:w="0"/>
                  <w:shd w:val="clear" w:color="auto" w:fill="F0F0F0"/>
                </w:tcPr>
                <w:p>
                  <w:pPr>
                    <w:pStyle w:val="Para 17"/>
                    <w:keepLines w:val="on"/>
                  </w:pPr>
                  <w:r>
                    <w:t>=</w:t>
                  </w:r>
                </w:p>
              </w:tc>
              <w:tc>
                <w:tcPr>
                  <w:tcW w:type="auto" w:w="0"/>
                  <w:shd w:val="clear" w:color="auto" w:fill="F0F0F0"/>
                </w:tcPr>
                <w:p>
                  <w:pPr>
                    <w:pStyle w:val="Para 05"/>
                    <w:keepLines w:val="on"/>
                  </w:pPr>
                  <w:r>
                    <w:t>Năm cơ sở</w:t>
                  </w: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$3,960,048</w:t>
                  </w:r>
                </w:p>
              </w:tc>
              <w:tc>
                <w:tcPr>
                  <w:tcW w:type="auto" w:w="0"/>
                  <w:shd w:val="clear" w:color="auto" w:fill="F0F0F0"/>
                </w:tcPr>
                <w:p>
                  <w:pPr>
                    <w:pStyle w:val="Normal"/>
                    <w:keepLines w:val="on"/>
                  </w:pPr>
                  <w:r>
                    <w:t>$4,197,651</w:t>
                  </w:r>
                </w:p>
              </w:tc>
              <w:tc>
                <w:tcPr>
                  <w:tcW w:type="auto" w:w="0"/>
                  <w:shd w:val="clear" w:color="auto" w:fill="F0F0F0"/>
                </w:tcPr>
                <w:p>
                  <w:pPr>
                    <w:pStyle w:val="Normal"/>
                    <w:keepLines w:val="on"/>
                  </w:pPr>
                  <w:r>
                    <w:t>$4,449,510</w:t>
                  </w:r>
                </w:p>
              </w:tc>
              <w:tc>
                <w:tcPr>
                  <w:tcW w:type="auto" w:w="0"/>
                  <w:shd w:val="clear" w:color="auto" w:fill="F0F0F0"/>
                </w:tcPr>
                <w:p>
                  <w:pPr>
                    <w:pStyle w:val="Normal"/>
                    <w:keepLines w:val="on"/>
                  </w:pPr>
                  <w:r>
                    <w:t>$4,716,481</w:t>
                  </w:r>
                </w:p>
              </w:tc>
            </w:tr>
            <w:tr>
              <w:tc>
                <w:tcPr>
                  <w:tcW w:type="auto" w:w="0"/>
                  <w:shd w:val="clear" w:color="auto" w:fill="F0F0F0"/>
                </w:tcPr>
                <w:p>
                  <w:pPr>
                    <w:pStyle w:val="Para 02"/>
                    <w:keepLines w:val="on"/>
                  </w:pPr>
                  <w:r>
                    <w:t>Chi phí</w:t>
                  </w:r>
                </w:p>
              </w:tc>
              <w:tc>
                <w:tcPr>
                  <w:tcW w:type="auto" w:w="0"/>
                  <w:shd w:val="clear" w:color="auto" w:fill="F0F0F0"/>
                </w:tcPr>
                <w:p>
                  <w:pPr>
                    <w:pStyle w:val="Normal"/>
                    <w:keepLines w:val="on"/>
                  </w:pPr>
                  <w:r>
                    <w:t>$3,038,014</w:t>
                  </w:r>
                </w:p>
              </w:tc>
              <w:tc>
                <w:tcPr>
                  <w:tcW w:type="auto" w:w="0"/>
                  <w:shd w:val="clear" w:color="auto" w:fill="F0F0F0"/>
                </w:tcPr>
                <w:p>
                  <w:pPr>
                    <w:pStyle w:val="Normal"/>
                    <w:keepLines w:val="on"/>
                  </w:pPr>
                  <w:r>
                    <w:t>$3,220,295</w:t>
                  </w:r>
                </w:p>
              </w:tc>
              <w:tc>
                <w:tcPr>
                  <w:tcW w:type="auto" w:w="0"/>
                  <w:shd w:val="clear" w:color="auto" w:fill="F0F0F0"/>
                </w:tcPr>
                <w:p>
                  <w:pPr>
                    <w:pStyle w:val="Normal"/>
                    <w:keepLines w:val="on"/>
                  </w:pPr>
                  <w:r>
                    <w:t>$3,413,513</w:t>
                  </w:r>
                </w:p>
              </w:tc>
              <w:tc>
                <w:tcPr>
                  <w:tcW w:type="auto" w:w="0"/>
                  <w:shd w:val="clear" w:color="auto" w:fill="F0F0F0"/>
                </w:tcPr>
                <w:p>
                  <w:pPr>
                    <w:pStyle w:val="Normal"/>
                    <w:keepLines w:val="on"/>
                  </w:pPr>
                  <w:r>
                    <w:t>$3,618,324</w:t>
                  </w:r>
                </w:p>
              </w:tc>
            </w:tr>
            <w:tr>
              <w:tc>
                <w:tcPr>
                  <w:tcW w:type="auto" w:w="0"/>
                  <w:shd w:val="clear" w:color="auto" w:fill="F0F0F0"/>
                </w:tcPr>
                <w:p>
                  <w:pPr>
                    <w:pStyle w:val="Para 02"/>
                    <w:keepLines w:val="on"/>
                  </w:pPr>
                  <w:r>
                    <w:t>EBIT</w:t>
                  </w:r>
                </w:p>
              </w:tc>
              <w:tc>
                <w:tcPr>
                  <w:tcW w:type="auto" w:w="0"/>
                  <w:shd w:val="clear" w:color="auto" w:fill="F0F0F0"/>
                </w:tcPr>
                <w:p>
                  <w:pPr>
                    <w:pStyle w:val="Normal"/>
                    <w:keepLines w:val="on"/>
                  </w:pPr>
                  <w:r>
                    <w:t>$922,034</w:t>
                  </w:r>
                </w:p>
              </w:tc>
              <w:tc>
                <w:tcPr>
                  <w:tcW w:type="auto" w:w="0"/>
                  <w:shd w:val="clear" w:color="auto" w:fill="F0F0F0"/>
                </w:tcPr>
                <w:p>
                  <w:pPr>
                    <w:pStyle w:val="Normal"/>
                    <w:keepLines w:val="on"/>
                  </w:pPr>
                  <w:r>
                    <w:t>$977,356</w:t>
                  </w:r>
                </w:p>
              </w:tc>
              <w:tc>
                <w:tcPr>
                  <w:tcW w:type="auto" w:w="0"/>
                  <w:shd w:val="clear" w:color="auto" w:fill="F0F0F0"/>
                </w:tcPr>
                <w:p>
                  <w:pPr>
                    <w:pStyle w:val="Normal"/>
                    <w:keepLines w:val="on"/>
                  </w:pPr>
                  <w:r>
                    <w:t>$1,035,997</w:t>
                  </w:r>
                </w:p>
              </w:tc>
              <w:tc>
                <w:tcPr>
                  <w:tcW w:type="auto" w:w="0"/>
                  <w:shd w:val="clear" w:color="auto" w:fill="F0F0F0"/>
                </w:tcPr>
                <w:p>
                  <w:pPr>
                    <w:pStyle w:val="Normal"/>
                    <w:keepLines w:val="on"/>
                  </w:pPr>
                  <w:r>
                    <w:t>$1,098,157</w:t>
                  </w:r>
                </w:p>
              </w:tc>
            </w:tr>
            <w:tr>
              <w:tc>
                <w:tcPr>
                  <w:tcW w:type="auto" w:w="0"/>
                  <w:shd w:val="clear" w:color="auto" w:fill="F0F0F0"/>
                </w:tcPr>
                <w:p>
                  <w:pPr>
                    <w:pStyle w:val="Para 02"/>
                    <w:keepLines w:val="on"/>
                  </w:pPr>
                  <w:r>
                    <w:t>Thuế</w:t>
                  </w:r>
                </w:p>
              </w:tc>
              <w:tc>
                <w:tcPr>
                  <w:tcW w:type="auto" w:w="0"/>
                  <w:shd w:val="clear" w:color="auto" w:fill="F0F0F0"/>
                </w:tcPr>
                <w:p>
                  <w:pPr>
                    <w:pStyle w:val="Normal"/>
                    <w:keepLines w:val="on"/>
                  </w:pPr>
                  <w:r>
                    <w:t>$368,813</w:t>
                  </w:r>
                </w:p>
              </w:tc>
              <w:tc>
                <w:tcPr>
                  <w:tcW w:type="auto" w:w="0"/>
                  <w:shd w:val="clear" w:color="auto" w:fill="F0F0F0"/>
                </w:tcPr>
                <w:p>
                  <w:pPr>
                    <w:pStyle w:val="Normal"/>
                    <w:keepLines w:val="on"/>
                  </w:pPr>
                  <w:r>
                    <w:t>390.942 đô la</w:t>
                  </w:r>
                </w:p>
              </w:tc>
              <w:tc>
                <w:tcPr>
                  <w:tcW w:type="auto" w:w="0"/>
                  <w:shd w:val="clear" w:color="auto" w:fill="F0F0F0"/>
                </w:tcPr>
                <w:p>
                  <w:pPr>
                    <w:pStyle w:val="Normal"/>
                    <w:keepLines w:val="on"/>
                  </w:pPr>
                  <w:r>
                    <w:t>414.399 đô la</w:t>
                  </w:r>
                </w:p>
              </w:tc>
              <w:tc>
                <w:tcPr>
                  <w:tcW w:type="auto" w:w="0"/>
                  <w:shd w:val="clear" w:color="auto" w:fill="F0F0F0"/>
                </w:tcPr>
                <w:p>
                  <w:pPr>
                    <w:pStyle w:val="Normal"/>
                    <w:keepLines w:val="on"/>
                  </w:pPr>
                  <w:r>
                    <w:t>439.263 đô la</w:t>
                  </w:r>
                </w:p>
              </w:tc>
            </w:tr>
            <w:tr>
              <w:tc>
                <w:tcPr>
                  <w:tcW w:type="auto" w:w="0"/>
                  <w:shd w:val="clear" w:color="auto" w:fill="F0F0F0"/>
                </w:tcPr>
                <w:p>
                  <w:pPr>
                    <w:pStyle w:val="Para 02"/>
                    <w:keepLines w:val="on"/>
                  </w:pPr>
                  <w:r>
                    <w:t>EBIT(1 − t)</w:t>
                  </w:r>
                </w:p>
              </w:tc>
              <w:tc>
                <w:tcPr>
                  <w:tcW w:type="auto" w:w="0"/>
                  <w:shd w:val="clear" w:color="auto" w:fill="F0F0F0"/>
                </w:tcPr>
                <w:p>
                  <w:pPr>
                    <w:pStyle w:val="Normal"/>
                    <w:keepLines w:val="on"/>
                  </w:pPr>
                  <w:r>
                    <w:t>553.220 đô la</w:t>
                  </w:r>
                </w:p>
              </w:tc>
              <w:tc>
                <w:tcPr>
                  <w:tcW w:type="auto" w:w="0"/>
                  <w:shd w:val="clear" w:color="auto" w:fill="F0F0F0"/>
                </w:tcPr>
                <w:p>
                  <w:pPr>
                    <w:pStyle w:val="Normal"/>
                    <w:keepLines w:val="on"/>
                  </w:pPr>
                  <w:r>
                    <w:t>586.413 đô la</w:t>
                  </w:r>
                </w:p>
              </w:tc>
              <w:tc>
                <w:tcPr>
                  <w:tcW w:type="auto" w:w="0"/>
                  <w:shd w:val="clear" w:color="auto" w:fill="F0F0F0"/>
                </w:tcPr>
                <w:p>
                  <w:pPr>
                    <w:pStyle w:val="Normal"/>
                    <w:keepLines w:val="on"/>
                  </w:pPr>
                  <w:r>
                    <w:t>621.598 đô la</w:t>
                  </w:r>
                </w:p>
              </w:tc>
              <w:tc>
                <w:tcPr>
                  <w:tcW w:type="auto" w:w="0"/>
                  <w:shd w:val="clear" w:color="auto" w:fill="F0F0F0"/>
                </w:tcPr>
                <w:p>
                  <w:pPr>
                    <w:pStyle w:val="Normal"/>
                    <w:keepLines w:val="on"/>
                  </w:pPr>
                  <w:r>
                    <w:t>658.894 đô la</w:t>
                  </w:r>
                </w:p>
              </w:tc>
            </w:tr>
          </w:tbl>
          <w:p/>
        </w:tc>
      </w:tr>
    </w:tbl>
    <w:p>
      <w:bookmarkStart w:id="5696" w:name="Estimating_Discount_Rates_1"/>
      <w:bookmarkStart w:id="5697" w:name="Estimating_Discount_Rates_The_ac"/>
      <w:pPr>
        <w:keepNext/>
        <w:pStyle w:val="Para 36"/>
        <w:keepLines w:val="on"/>
      </w:pPr>
      <w:r>
        <w:t>Ước tính tỷ lệ chiết khấu</w:t>
      </w:r>
      <w:bookmarkEnd w:id="5696"/>
      <w:bookmarkEnd w:id="5697"/>
    </w:p>
    <w:p>
      <w:pPr>
        <w:pStyle w:val="Para 04"/>
        <w:keepLines w:val="on"/>
      </w:pPr>
      <w:r>
        <w:t>Bên mua trong trường hợp này, Ark Restaurants, có beta khá thấp (0,7) và chỉ huy động khoảng 10% nhu cầu tài chính từ nợ. Giả sử rủi ro cơ bản khi đầu tư vào Lutèce là tương tự, chi phí vốn chủ sở hữu có thể được ước tính như sau:</w:t>
      </w:r>
    </w:p>
    <w:p>
      <w:bookmarkStart w:id="5698" w:name="Cost_of_equity_8__0_7_5_5___11_8"/>
      <w:pPr>
        <w:keepNext/>
        <w:pStyle w:val="Para 07"/>
        <w:keepLines w:val="on"/>
      </w:pPr>
      <w:r>
        <w:t>Chi phí vốn chủ sở hữu = 8% + 0,7(5,5%) = 11,85%</w:t>
      </w:r>
      <w:bookmarkEnd w:id="5698"/>
    </w:p>
    <w:p>
      <w:pPr>
        <w:pStyle w:val="Para 04"/>
        <w:keepLines w:val="on"/>
      </w:pPr>
      <w:r>
        <w:t>(Điều này giả định lãi suất trái phiếu kho bạc dài hạn là 8% và phần bù rủi ro vốn chủ sở hữu là 5,5%.)</w:t>
      </w:r>
    </w:p>
    <w:p>
      <w:pPr>
        <w:pStyle w:val="Para 04"/>
        <w:keepLines w:val="on"/>
      </w:pPr>
      <w:r>
        <w:t>Nếu Ark Restaurants có thể vay tiền với lãi suất 9% và chịu thuế suất 40%, chi phí vốn có thể được tính như sau:</w:t>
      </w:r>
    </w:p>
    <w:p>
      <w:bookmarkStart w:id="5700" w:name="Cost_of_capital_11_85_x__90__9"/>
      <w:pPr>
        <w:keepNext/>
        <w:pStyle w:val="Para 07"/>
        <w:keepLines w:val="on"/>
      </w:pPr>
      <w:r>
        <w:t>Chi phí vốn = 11,85% × (0,90) + 9%(1 − 0,4) × (0,10) = 11,21%</w:t>
      </w:r>
      <w:bookmarkEnd w:id="5700"/>
    </w:p>
    <w:p>
      <w:bookmarkStart w:id="5701" w:name="Estimating_Value_The_value_of_Lu"/>
      <w:bookmarkStart w:id="5702" w:name="Estimating_Value"/>
      <w:pPr>
        <w:keepNext/>
        <w:pStyle w:val="Para 36"/>
        <w:keepLines w:val="on"/>
      </w:pPr>
      <w:r>
        <w:t>Ước tính giá trị</w:t>
      </w:r>
      <w:bookmarkEnd w:id="5701"/>
      <w:bookmarkEnd w:id="5702"/>
    </w:p>
    <w:p>
      <w:pPr>
        <w:pStyle w:val="Para 04"/>
        <w:keepLines w:val="on"/>
      </w:pPr>
      <w:r>
        <w:t>Giá trị của Lutèce có thể được ước tính bằng cách chiết khấu các dòng tiền theo chi phí vốn bình quân gia quyền. Cho phép tốc độ tăng trưởng 6% trong ba năm tới và 3% sau đó, giá trị của nhà hàng có thể được ước tính như sau:</w:t>
      </w:r>
    </w:p>
    <w:p>
      <w:bookmarkStart w:id="5703" w:name="Value_at_end_of_high_growth_peri"/>
      <w:pPr>
        <w:keepNext/>
        <w:pStyle w:val="Para 07"/>
        <w:keepLines w:val="on"/>
      </w:pPr>
      <w:r>
        <w:t>Giá trị cuối giai đoạn tăng trưởng cao = EBIT31-t/1+gnWACC-gn=$658,8941.03.1121-.03=$8,271,309</w:t>
      </w:r>
      <w:bookmarkEnd w:id="5703"/>
    </w:p>
    <w:p>
      <w:bookmarkStart w:id="5704" w:name="Value_of_Lutece_586_4131_1121__6"/>
      <w:pPr>
        <w:keepNext/>
        <w:pStyle w:val="Para 07"/>
        <w:keepLines w:val="on"/>
      </w:pPr>
      <w:r>
        <w:t>Giá trị của Lutèce=586,4131.1121+$621,5981.11212+$658,894+$8,271,3091.11213=$7,524,559</w:t>
      </w:r>
      <w:bookmarkEnd w:id="5704"/>
    </w:p>
    <w:p>
      <w:bookmarkStart w:id="5705" w:name="Valuing_the_Key_Person_There_wou"/>
      <w:bookmarkStart w:id="5706" w:name="Valuing_the_Key_Person"/>
      <w:pPr>
        <w:keepNext/>
        <w:pStyle w:val="Para 36"/>
        <w:keepLines w:val="on"/>
      </w:pPr>
      <w:r>
        <w:t>Định giá người chủ chốt</w:t>
      </w:r>
      <w:bookmarkEnd w:id="5705"/>
      <w:bookmarkEnd w:id="5706"/>
    </w:p>
    <w:p>
      <w:pPr>
        <w:pStyle w:val="Para 04"/>
        <w:keepLines w:val="on"/>
      </w:pPr>
      <w:r>
        <w:t>Chắc hẳn không ai phản đối rằng một phần giá trị của Lutèce đến từ sự hiện diện của Andre Soltner với vai trò đầu bếp. Sẽ rất đáng để xem xét giá trị này sẽ thay đổi bao nhiêu nếu ông được thay thế bởi một người khác. Cách đơn giản nhất để đánh giá tác động này là:</w:t>
      </w:r>
    </w:p>
    <w:p>
      <w:pPr>
        <w:numPr>
          <w:ilvl w:val="0"/>
          <w:numId w:val="319"/>
        </w:numPr>
        <w:pStyle w:val="Para 18"/>
        <w:keepLines w:val="on"/>
      </w:pPr>
      <w:r>
        <w:t>Ước tính ảnh hưởng đến tỷ lệ lấp đầy khi thay ông Soltner bằng một đầu bếp khác và ảnh hưởng đến dòng tiền. Trong chừng mực tỷ lệ lấp đầy và dòng tiền giảm, giá trị của nhà hàng sẽ giảm.</w:t>
      </w:r>
    </w:p>
    <w:p>
      <w:pPr>
        <w:numPr>
          <w:ilvl w:val="0"/>
          <w:numId w:val="319"/>
        </w:numPr>
        <w:pStyle w:val="Para 18"/>
        <w:keepLines w:val="on"/>
      </w:pPr>
      <w:r>
        <w:t>Tính giá trị của nhà hàng dựa trên các dòng tiền được chiết khấu.</w:t>
      </w:r>
    </w:p>
    <w:p>
      <w:pPr>
        <w:pStyle w:val="Para 04"/>
        <w:keepLines w:val="on"/>
      </w:pPr>
      <w:r>
        <w:t>Trong những trường hợp cực đoan, khi toàn bộ giá trị của một doanh nghiệp phụ thuộc vào một người, giá trị có thể giảm xuống gần như bằng không nếu người chủ chốt rời đi hoặc qua đời. Trong những trường hợp ít cực đoan hơn, giá trị của người chủ chốt có thể được ước tính bằng chênh lệch giá trị của doanh nghiệp khi có và không có người đó.</w:t>
      </w:r>
    </w:p>
    <w:p>
      <w:bookmarkStart w:id="5707" w:name="Valuing_Trademarks__Copyrights_1"/>
      <w:bookmarkStart w:id="5708" w:name="Valuing_Trademarks__Copyrights"/>
      <w:pPr>
        <w:keepNext/>
        <w:pStyle w:val="Heading 3"/>
        <w:keepLines w:val="on"/>
      </w:pPr>
      <w:r>
        <w:t>Định giá nhãn hiệu, bản quyền và giấy phép</w:t>
      </w:r>
      <w:bookmarkEnd w:id="5707"/>
      <w:bookmarkEnd w:id="5708"/>
    </w:p>
    <w:p>
      <w:pPr>
        <w:pStyle w:val="Para 03"/>
      </w:pPr>
      <w:r>
        <w:t>Nhãn hiệu, bản quyền và giấy phép đều trao cho chủ sở hữu quyền độc quyền sản xuất một sản phẩm hoặc cung cấp một dịch vụ. Về cơ bản, giá trị của chúng bắt nguồn từ các dòng tiền có thể được tạo ra từ quyền độc quyền đó. Trong chừng mực có chi phí gắn với việc sản xuất, giá trị đến từ lợi nhuận vượt trội có được nhờ nắm giữ quyền độc quyền.</w:t>
      </w:r>
    </w:p>
    <w:p>
      <w:pPr>
        <w:pStyle w:val="Para 03"/>
      </w:pPr>
      <w:r>
        <w:t>Giống như những tài sản khác, bạn có thể định giá thương hiệu (trademark) hoặc bản quyền (copyright) theo một trong hai cách. Bạn có thể ước tính dòng tiền kỳ vọng từ việc sở hữu tài sản đó, gán một tỷ lệ chiết khấu (discount rate) phản ánh mức độ bất định của dòng tiền này, rồi lấy giá trị hiện tại (present value), từ đó cho ra định giá theo phương pháp chiết khấu dòng tiền (discounted cash flow valuation) của tài sản. Hoặc bạn có thể thử định giá tương đối (relative valuation), tức là áp một bội số (multiple) lên doanh thu hoặc thu nhập mà bạn tin rằng mình có thể tạo ra từ thương hiệu hay bản quyền đó. Bội số này thường được ước tính bằng cách xem những sản phẩm tương tự đã được bán với giá bao nhiêu trong quá khứ.</w:t>
      </w:r>
    </w:p>
    <w:p>
      <w:pPr>
        <w:pStyle w:val="Para 03"/>
      </w:pPr>
      <w:r>
        <w:t>Khi đưa ra những ước tính này, bạn có thể sẽ gặp phải những vấn đề ước tính đặc thù riêng cho các tài sản này. Thứ nhất, bạn phải tính đến việc bản quyền hay thương hiệu chỉ cho bạn quyền độc quyền trong một khoảng thời gian hữu hạn. Do đó, dòng tiền bạn ước tính sẽ chỉ kéo dài trong khoảng thời gian này, và thường sẽ không có giá trị cuối kỳ (terminal value). Thứ hai, bạn phải tính đến chi phí kỳ vọng của việc vi phạm bản quyền và thương hiệu. Những chi phí này có thể bao gồm ít nhất hai khoản. Khoản thứ nhất là chi phí pháp lý và giám sát liên quan đến việc thực thi quyền độc quyền. Khoản thứ hai là việc dù bạn có giám sát cẩn thận đến đâu, bạn cũng không thể đảm bảo rằng sẽ không có vi phạm nào xảy ra, và doanh thu (lợi nhuận) bị mất đi do hệ quả đó sẽ làm giảm giá trị của quyền này.</w:t>
      </w:r>
    </w:p>
    <w:p>
      <w:pPr>
        <w:pStyle w:val="Para 11"/>
      </w:pPr>
      <w:r>
        <w:t xml:space="preserve"> </w:t>
      </w:r>
    </w:p>
    <w:p>
      <w:bookmarkStart w:id="5710" w:name="ILLUSTRATION_27_5__Valuing_the_C"/>
      <w:bookmarkStart w:id="5711" w:name="ILLUSTRATION_27_5__Valuing_the_C_1"/>
      <w:pPr>
        <w:keepNext/>
        <w:pStyle w:val="Para 19"/>
        <w:keepLines w:val="on"/>
      </w:pPr>
      <w:r>
        <w:t>MINH HỌA 27.5: Định giá bản quyền của cuốn Investment Valuation vào năm 2024</w:t>
      </w:r>
      <w:bookmarkEnd w:id="5710"/>
      <w:bookmarkEnd w:id="5711"/>
    </w:p>
    <w:p>
      <w:pPr>
        <w:pStyle w:val="Para 04"/>
        <w:keepLines w:val="on"/>
      </w:pPr>
      <w:r>
        <w:t>Giả sử John Wiley &amp; Sons được một nhà xuất bản khác tiếp cận, với mong muốn mua bản quyền của cuốn sách này (Investment Valuation). Để ước tính giá trị của bản quyền, chúng ta sẽ đưa ra các giả định sau4:</w:t>
      </w:r>
    </w:p>
    <w:p>
      <w:pPr>
        <w:numPr>
          <w:ilvl w:val="0"/>
          <w:numId w:val="320"/>
        </w:numPr>
        <w:pStyle w:val="Para 18"/>
        <w:keepLines w:val="on"/>
      </w:pPr>
      <w:r>
        <w:t>Cuốn sách được kỳ vọng sẽ tạo ra 150.000 đô-la dòng tiền sau thuế (suy nghĩ đầy lạc quan, tôi biết mà) mỗi năm trong ba năm tới cho Wiley, và 100.000 đô-la mỗi năm trong hai năm tiếp theo. Đây là dòng tiền sau khi trừ tiền bản quyền cho tác giả, chi phí quảng bá và chi phí sản xuất.</w:t>
      </w:r>
    </w:p>
    <w:p>
      <w:pPr>
        <w:numPr>
          <w:ilvl w:val="0"/>
          <w:numId w:val="320"/>
        </w:numPr>
        <w:pStyle w:val="Para 18"/>
        <w:keepLines w:val="on"/>
      </w:pPr>
      <w:r>
        <w:t>Khoảng 40% dòng tiền này đến từ các tổ chức lớn đặt mua số lượng lớn và được coi là có thể dự đoán được và ổn định. Chi phí vốn (cost of capital) áp dụng cho những dòng tiền này là 7%.</w:t>
      </w:r>
    </w:p>
    <w:p>
      <w:pPr>
        <w:numPr>
          <w:ilvl w:val="0"/>
          <w:numId w:val="320"/>
        </w:numPr>
        <w:pStyle w:val="Para 18"/>
        <w:keepLines w:val="on"/>
      </w:pPr>
      <w:r>
        <w:t>60% dòng tiền còn lại đến từ công chúng nói chung, và phân khúc dòng tiền này được coi là biến động hơn nhiều. Chi phí vốn áp dụng cho những dòng tiền này là 10%.</w:t>
      </w:r>
    </w:p>
    <w:p>
      <w:pPr>
        <w:pStyle w:val="Para 04"/>
        <w:keepLines w:val="on"/>
      </w:pPr>
      <w:r>
        <w:t>Giá trị của bản quyền có thể được ước tính trong Bảng 27.7 bằng cách sử dụng những dòng tiền này và chi phí vốn đã được đưa ra:</w:t>
      </w:r>
    </w:p>
    <w:p>
      <w:pPr>
        <w:pStyle w:val="Para 25"/>
        <w:keepLines w:val="on"/>
      </w:pPr>
      <w:r>
        <w:t>Bảng 27.7</w:t>
      </w:r>
    </w:p>
    <w:p>
      <w:pPr>
        <w:keepNext/>
        <w:pStyle w:val="Para 24"/>
        <w:keepLines w:val="on"/>
      </w:pPr>
      <w:r>
        <w:t>Dòng tiền kỳ vọng từ thương hiệu</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Dòng tiền (Ổn định)</w:t>
                  </w:r>
                </w:p>
              </w:tc>
              <w:tc>
                <w:tcPr>
                  <w:tcW w:type="auto" w:w="0"/>
                  <w:shd w:val="clear" w:color="auto" w:fill="F0F0F0"/>
                </w:tcPr>
                <w:p>
                  <w:pPr>
                    <w:pStyle w:val="Para 05"/>
                    <w:keepLines w:val="on"/>
                  </w:pPr>
                  <w:r>
                    <w:t>Giá trị hiện tại @ 7%</w:t>
                  </w:r>
                </w:p>
              </w:tc>
              <w:tc>
                <w:tcPr>
                  <w:tcW w:type="auto" w:w="0"/>
                  <w:shd w:val="clear" w:color="auto" w:fill="F0F0F0"/>
                </w:tcPr>
                <w:p>
                  <w:pPr>
                    <w:pStyle w:val="Para 05"/>
                    <w:keepLines w:val="on"/>
                  </w:pPr>
                  <w:r>
                    <w:t>Dòng tiền (Biến động)</w:t>
                  </w:r>
                </w:p>
              </w:tc>
              <w:tc>
                <w:tcPr>
                  <w:tcW w:type="auto" w:w="0"/>
                  <w:shd w:val="clear" w:color="auto" w:fill="F0F0F0"/>
                </w:tcPr>
                <w:p>
                  <w:pPr>
                    <w:pStyle w:val="Para 05"/>
                    <w:keepLines w:val="on"/>
                  </w:pPr>
                  <w:r>
                    <w:t>Giá trị hiện tại @ 10%</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$60.000</w:t>
                  </w:r>
                </w:p>
              </w:tc>
              <w:tc>
                <w:tcPr>
                  <w:tcW w:type="auto" w:w="0"/>
                  <w:shd w:val="clear" w:color="auto" w:fill="F0F0F0"/>
                </w:tcPr>
                <w:p>
                  <w:pPr>
                    <w:pStyle w:val="Normal"/>
                    <w:keepLines w:val="on"/>
                  </w:pPr>
                  <w:r>
                    <w:t>$56.075</w:t>
                  </w:r>
                </w:p>
              </w:tc>
              <w:tc>
                <w:tcPr>
                  <w:tcW w:type="auto" w:w="0"/>
                  <w:shd w:val="clear" w:color="auto" w:fill="F0F0F0"/>
                </w:tcPr>
                <w:p>
                  <w:pPr>
                    <w:pStyle w:val="Normal"/>
                    <w:keepLines w:val="on"/>
                  </w:pPr>
                  <w:r>
                    <w:t>$90.000</w:t>
                  </w:r>
                </w:p>
              </w:tc>
              <w:tc>
                <w:tcPr>
                  <w:tcW w:type="auto" w:w="0"/>
                  <w:shd w:val="clear" w:color="auto" w:fill="F0F0F0"/>
                </w:tcPr>
                <w:p>
                  <w:pPr>
                    <w:pStyle w:val="Normal"/>
                    <w:keepLines w:val="on"/>
                  </w:pPr>
                  <w:r>
                    <w:t>$81.818</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$60.000</w:t>
                  </w:r>
                </w:p>
              </w:tc>
              <w:tc>
                <w:tcPr>
                  <w:tcW w:type="auto" w:w="0"/>
                  <w:shd w:val="clear" w:color="auto" w:fill="F0F0F0"/>
                </w:tcPr>
                <w:p>
                  <w:pPr>
                    <w:pStyle w:val="Normal"/>
                    <w:keepLines w:val="on"/>
                  </w:pPr>
                  <w:r>
                    <w:t>$52.406</w:t>
                  </w:r>
                </w:p>
              </w:tc>
              <w:tc>
                <w:tcPr>
                  <w:tcW w:type="auto" w:w="0"/>
                  <w:shd w:val="clear" w:color="auto" w:fill="F0F0F0"/>
                </w:tcPr>
                <w:p>
                  <w:pPr>
                    <w:pStyle w:val="Normal"/>
                    <w:keepLines w:val="on"/>
                  </w:pPr>
                  <w:r>
                    <w:t>$90.000</w:t>
                  </w:r>
                </w:p>
              </w:tc>
              <w:tc>
                <w:tcPr>
                  <w:tcW w:type="auto" w:w="0"/>
                  <w:shd w:val="clear" w:color="auto" w:fill="F0F0F0"/>
                </w:tcPr>
                <w:p>
                  <w:pPr>
                    <w:pStyle w:val="Normal"/>
                    <w:keepLines w:val="on"/>
                  </w:pPr>
                  <w:r>
                    <w:t>$74.380</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$60.000</w:t>
                  </w:r>
                </w:p>
              </w:tc>
              <w:tc>
                <w:tcPr>
                  <w:tcW w:type="auto" w:w="0"/>
                  <w:shd w:val="clear" w:color="auto" w:fill="F0F0F0"/>
                </w:tcPr>
                <w:p>
                  <w:pPr>
                    <w:pStyle w:val="Normal"/>
                    <w:keepLines w:val="on"/>
                  </w:pPr>
                  <w:r>
                    <w:t>$48.978</w:t>
                  </w:r>
                </w:p>
              </w:tc>
              <w:tc>
                <w:tcPr>
                  <w:tcW w:type="auto" w:w="0"/>
                  <w:shd w:val="clear" w:color="auto" w:fill="F0F0F0"/>
                </w:tcPr>
                <w:p>
                  <w:pPr>
                    <w:pStyle w:val="Normal"/>
                    <w:keepLines w:val="on"/>
                  </w:pPr>
                  <w:r>
                    <w:t>$90.000</w:t>
                  </w:r>
                </w:p>
              </w:tc>
              <w:tc>
                <w:tcPr>
                  <w:tcW w:type="auto" w:w="0"/>
                  <w:shd w:val="clear" w:color="auto" w:fill="F0F0F0"/>
                </w:tcPr>
                <w:p>
                  <w:pPr>
                    <w:pStyle w:val="Normal"/>
                    <w:keepLines w:val="on"/>
                  </w:pPr>
                  <w:r>
                    <w:t>$67.618</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$40.000</w:t>
                  </w:r>
                </w:p>
              </w:tc>
              <w:tc>
                <w:tcPr>
                  <w:tcW w:type="auto" w:w="0"/>
                  <w:shd w:val="clear" w:color="auto" w:fill="F0F0F0"/>
                </w:tcPr>
                <w:p>
                  <w:pPr>
                    <w:pStyle w:val="Normal"/>
                    <w:keepLines w:val="on"/>
                  </w:pPr>
                  <w:r>
                    <w:t>$30.516</w:t>
                  </w:r>
                </w:p>
              </w:tc>
              <w:tc>
                <w:tcPr>
                  <w:tcW w:type="auto" w:w="0"/>
                  <w:shd w:val="clear" w:color="auto" w:fill="F0F0F0"/>
                </w:tcPr>
                <w:p>
                  <w:pPr>
                    <w:pStyle w:val="Normal"/>
                    <w:keepLines w:val="on"/>
                  </w:pPr>
                  <w:r>
                    <w:t>$60.000</w:t>
                  </w:r>
                </w:p>
              </w:tc>
              <w:tc>
                <w:tcPr>
                  <w:tcW w:type="auto" w:w="0"/>
                  <w:shd w:val="clear" w:color="auto" w:fill="F0F0F0"/>
                </w:tcPr>
                <w:p>
                  <w:pPr>
                    <w:pStyle w:val="Normal"/>
                    <w:keepLines w:val="on"/>
                  </w:pPr>
                  <w:r>
                    <w:t>$40.981</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$40.000</w:t>
                  </w:r>
                </w:p>
              </w:tc>
              <w:tc>
                <w:tcPr>
                  <w:tcW w:type="auto" w:w="0"/>
                  <w:shd w:val="clear" w:color="auto" w:fill="F0F0F0"/>
                </w:tcPr>
                <w:p>
                  <w:pPr>
                    <w:pStyle w:val="Normal"/>
                    <w:keepLines w:val="on"/>
                  </w:pPr>
                  <w:r>
                    <w:t>$28.519</w:t>
                  </w:r>
                </w:p>
              </w:tc>
              <w:tc>
                <w:tcPr>
                  <w:tcW w:type="auto" w:w="0"/>
                  <w:shd w:val="clear" w:color="auto" w:fill="F0F0F0"/>
                </w:tcPr>
                <w:p>
                  <w:pPr>
                    <w:pStyle w:val="Normal"/>
                    <w:keepLines w:val="on"/>
                  </w:pPr>
                  <w:r>
                    <w:t>$60.000</w:t>
                  </w:r>
                </w:p>
              </w:tc>
              <w:tc>
                <w:tcPr>
                  <w:tcW w:type="auto" w:w="0"/>
                  <w:shd w:val="clear" w:color="auto" w:fill="F0F0F0"/>
                </w:tcPr>
                <w:p>
                  <w:pPr>
                    <w:pStyle w:val="Normal"/>
                    <w:keepLines w:val="on"/>
                  </w:pPr>
                  <w:r>
                    <w:t>$37.255</w:t>
                  </w:r>
                </w:p>
              </w:tc>
            </w:tr>
            <w:tr>
              <w:tc>
                <w:tcPr>
                  <w:tcW w:type="auto" w:w="0"/>
                  <w:shd w:val="clear" w:color="auto" w:fill="F0F0F0"/>
                </w:tcPr>
                <w:p>
                  <w:pPr>
                    <w:pStyle w:val="Normal"/>
                    <w:keepLines w:val="on"/>
                  </w:pPr>
                  <w:r>
                    <w:t>Tổng cộng</w:t>
                  </w:r>
                </w:p>
              </w:tc>
              <w:tc>
                <w:tcPr>
                  <w:tcW w:type="auto" w:w="0"/>
                  <w:shd w:val="clear" w:color="auto" w:fill="F0F0F0"/>
                </w:tcPr>
                <w:p>
                  <w:pPr>
                    <w:pStyle w:val="7 Block"/>
                    <w:keepLines w:val="on"/>
                  </w:pPr>
                </w:p>
              </w:tc>
              <w:tc>
                <w:tcPr>
                  <w:tcW w:type="auto" w:w="0"/>
                  <w:shd w:val="clear" w:color="auto" w:fill="F0F0F0"/>
                </w:tcPr>
                <w:p>
                  <w:pPr>
                    <w:pStyle w:val="Normal"/>
                    <w:keepLines w:val="on"/>
                  </w:pPr>
                  <w:r>
                    <w:t>$216.494</w:t>
                  </w:r>
                </w:p>
              </w:tc>
              <w:tc>
                <w:tcPr>
                  <w:tcW w:type="auto" w:w="0"/>
                  <w:shd w:val="clear" w:color="auto" w:fill="F0F0F0"/>
                </w:tcPr>
                <w:p>
                  <w:pPr>
                    <w:pStyle w:val="7 Block"/>
                    <w:keepLines w:val="on"/>
                  </w:pPr>
                </w:p>
              </w:tc>
              <w:tc>
                <w:tcPr>
                  <w:tcW w:type="auto" w:w="0"/>
                  <w:shd w:val="clear" w:color="auto" w:fill="F0F0F0"/>
                </w:tcPr>
                <w:p>
                  <w:pPr>
                    <w:pStyle w:val="Normal"/>
                    <w:keepLines w:val="on"/>
                  </w:pPr>
                  <w:r>
                    <w:t>$302.053</w:t>
                  </w:r>
                </w:p>
              </w:tc>
            </w:tr>
          </w:tbl>
          <w:p/>
        </w:tc>
      </w:tr>
    </w:tbl>
    <w:p>
      <w:pPr>
        <w:pStyle w:val="Para 04"/>
        <w:keepLines w:val="on"/>
      </w:pPr>
      <w:r>
        <w:t>Với những giả định này, giá trị của bản quyền là $518.547 (tổng của $216.494 và $302.053).</w:t>
      </w:r>
    </w:p>
    <w:p>
      <w:pPr>
        <w:pStyle w:val="Para 20"/>
      </w:pPr>
      <w:r>
        <w:rPr>
          <w:rStyle w:val="Text26"/>
        </w:rPr>
        <w:bookmarkStart w:id="5714" w:name="Page_883"/>
        <w:t/>
        <w:bookmarkEnd w:id="5714"/>
      </w:r>
      <w:r>
        <w:t xml:space="preserve"> </w:t>
      </w:r>
    </w:p>
    <w:p>
      <w:bookmarkStart w:id="5715" w:name="Collectibles"/>
      <w:bookmarkStart w:id="5716" w:name="Collectibles__Assets_that_do_not"/>
      <w:pPr>
        <w:keepNext/>
        <w:pStyle w:val="Heading 2"/>
        <w:keepLines w:val="on"/>
      </w:pPr>
      <w:r>
        <w:t>Đồ sưu tầm</w:t>
      </w:r>
      <w:bookmarkEnd w:id="5715"/>
      <w:bookmarkEnd w:id="5716"/>
    </w:p>
    <w:p>
      <w:pPr>
        <w:pStyle w:val="Para 03"/>
      </w:pPr>
      <w:r>
        <w:t>Những tài sản không tạo ra dòng tiền thì không thể định giá bằng mô hình chiết khấu dòng tiền (discounted cash flow). Giá trị của chúng đến từ sự kết hợp của nhiều yếu tố — nguồn cung khan hiếm so với nhu cầu, tính hữu dụng khi tiêu dùng, và cảm nhận của từng cá nhân. Dù có thể định giá chúng dựa trên các tài sản tương đương, giá trị của chúng cũng biến động mạnh hơn nhiều vì hoàn toàn dựa trên cảm nhận. Có rất nhiều loại khoản đầu tư thuộc nhóm này, từ búp bê Barbie phiên bản giới hạn, đến tiền xu quý hiếm, cho tới rượu vang.</w:t>
      </w:r>
    </w:p>
    <w:p>
      <w:bookmarkStart w:id="5717" w:name="Pricing_a_Investment_with_No_cas_1"/>
      <w:bookmarkStart w:id="5718" w:name="Pricing_a_Investment_with_No_cas"/>
      <w:pPr>
        <w:keepNext/>
        <w:pStyle w:val="Heading 3"/>
        <w:keepLines w:val="on"/>
      </w:pPr>
      <w:r>
        <w:t>Định giá một khoản đầu tư không có dòng tiền</w:t>
      </w:r>
      <w:bookmarkEnd w:id="5717"/>
      <w:bookmarkEnd w:id="5718"/>
    </w:p>
    <w:p>
      <w:pPr>
        <w:pStyle w:val="Para 03"/>
      </w:pPr>
      <w:r>
        <w:t>Điểm khác biệt lớn nhất giữa những khoản đầu tư này và các tài sản tạo ra dòng tiền là ở chỗ không có giá trị nội tại nào chống lưng cho mức giá. Vì vậy, cách duy nhất để định giá những tài sản này là dùng định giá tương đối (relative valuation), tức là xem các tài sản tương tự đang được định giá trên thị trường như thế nào.</w:t>
      </w:r>
    </w:p>
    <w:p>
      <w:pPr>
        <w:pStyle w:val="Para 03"/>
      </w:pPr>
      <w:r>
        <w:t>Quá trình dùng các tài sản tương đương để định giá một tài sản khá đơn giản, ít nhất là về mặt lý thuyết. Bước đầu tiên là thu thập số liệu giá của các tài sản tương đương. Bước thứ hai là ước tính một thước đo giá chuẩn hóa cho nhóm này. Bước thứ ba là kiểm soát sự khác biệt giữa các tài sản trong nhóm đó với tài sản đang được định giá, để đi đến một mức giá hợp lý cho tài sản đó. Những vấn đề khi áp dụng cách làm này là:</w:t>
      </w:r>
    </w:p>
    <w:p>
      <w:pPr>
        <w:numPr>
          <w:ilvl w:val="0"/>
          <w:numId w:val="321"/>
        </w:numPr>
        <w:pStyle w:val="Para 01"/>
      </w:pPr>
      <w:r>
        <w:t>Việc tìm được các tài sản tương đương có thể khó khăn với một số tài sản không tạo ra dòng tiền. Dù có những chỉ số được tổng hợp cho nhiều loại tài sản khác thường, giữa các tài sản trong mỗi chỉ số vẫn có sự khác biệt đáng kể.</w:t>
      </w:r>
    </w:p>
    <w:p>
      <w:pPr>
        <w:numPr>
          <w:ilvl w:val="0"/>
          <w:numId w:val="321"/>
        </w:numPr>
        <w:pStyle w:val="Para 01"/>
      </w:pPr>
      <w:r>
        <w:t>Thị trường của nhiều loại tài sản trong số này không có tính thanh khoản cao cũng không mang tính công khai. Nhiều giao dịch là riêng tư, và do đó giá được báo cáo là không đáng tin cậy.</w:t>
      </w:r>
    </w:p>
    <w:p>
      <w:pPr>
        <w:numPr>
          <w:ilvl w:val="0"/>
          <w:numId w:val="321"/>
        </w:numPr>
        <w:pStyle w:val="Para 01"/>
      </w:pPr>
      <w:r>
        <w:t>Không rõ làm thế nào để kiểm soát sự khác biệt giữa các tài sản có thể so sánh được khi những khác biệt này không mang tính định lượng mà liên quan đến nhận thức.</w:t>
      </w:r>
    </w:p>
    <w:p>
      <w:pPr>
        <w:numPr>
          <w:ilvl w:val="0"/>
          <w:numId w:val="321"/>
        </w:numPr>
        <w:pStyle w:val="Para 01"/>
      </w:pPr>
      <w:r>
        <w:t>Giá của nhiều loại tài sản trong số này liên quan trực tiếp đến mức độ khan hiếm nguồn cung của tài sản đó. Ví dụ, lý do thẻ bóng chày Honus Wagner T-206 là thẻ có giá trị cao nhất trên thị trường là vì chỉ có 58 thẻ được biết là còn tồn tại, và chỉ có một thẻ ở tình trạng hoàn hảo (mint condition).5 Mặt trái của điều này là bất kỳ sự kiện nào làm thay đổi sự cân bằng này đều sẽ ảnh hưởng đến giá. Do đó, việc bất ngờ tìm thấy một thẻ Honus Wagner tình trạng hoàn hảo khác trong gác xép của ai đó có thể khiến giá thay đổi đáng kể.</w:t>
      </w:r>
    </w:p>
    <w:p>
      <w:bookmarkStart w:id="5720" w:name="Artwork"/>
      <w:bookmarkStart w:id="5721" w:name="Artwork__There_are_many_investor"/>
      <w:pPr>
        <w:keepNext/>
        <w:pStyle w:val="Heading 3"/>
        <w:keepLines w:val="on"/>
      </w:pPr>
      <w:r>
        <w:t>Tác phẩm nghệ thuật</w:t>
      </w:r>
      <w:bookmarkEnd w:id="5720"/>
      <w:bookmarkEnd w:id="5721"/>
    </w:p>
    <w:p>
      <w:pPr>
        <w:pStyle w:val="Para 03"/>
      </w:pPr>
      <w:r>
        <w:t>Có nhiều nhà đầu tư coi việc đầu tư vào nghệ thuật và đồ sưu tầm là một phần trong danh mục đầu tư tổng thể của họ. Trong bối cảnh đó, đáng để đặt ra những câu hỏi sau đây.</w:t>
      </w:r>
    </w:p>
    <w:p>
      <w:pPr>
        <w:pStyle w:val="Para 03"/>
      </w:pPr>
      <w:r>
        <w:t>Câu hỏi đầu tiên liên quan đến lợi nhuận mà những khoản đầu tư này mang lại cho nhà đầu tư trong thời gian dài. Có một số nghiên cứu đã xem xét vấn đề này. Trong một trong những phân tích toàn diện hơn về nghệ thuật như một khoản đầu tư, Mei và Moses (2001) đã xây dựng một chỉ số dựa trên các giao dịch bán lặp lại của các tác phẩm nghệ thuật. Mở rộng chỉ số của họ đến năm 2010, kết quả của họ được tóm tắt trong Bảng 27.8.</w:t>
      </w:r>
    </w:p>
    <w:p>
      <w:pPr>
        <w:pStyle w:val="Para 20"/>
      </w:pPr>
      <w:r>
        <w:rPr>
          <w:rStyle w:val="Text26"/>
        </w:rPr>
        <w:bookmarkStart w:id="5723" w:name="Page_884"/>
        <w:t/>
        <w:bookmarkEnd w:id="5723"/>
      </w:r>
      <w:r>
        <w:t xml:space="preserve"> </w:t>
      </w:r>
    </w:p>
    <w:p>
      <w:pPr>
        <w:pStyle w:val="Para 34"/>
        <w:keepLines w:val="on"/>
      </w:pPr>
      <w:r>
        <w:t>Bảng 27.8</w:t>
      </w:r>
    </w:p>
    <w:p>
      <w:pPr>
        <w:keepNext/>
        <w:pStyle w:val="Para 35"/>
        <w:keepLines w:val="on"/>
      </w:pPr>
      <w:r>
        <w:t>Lợi nhuận của Mỹ thuật so với Các khoản đầu tư tài chính 1961–2010</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hMerge w:val="restart"/>
                </w:tcPr>
                <w:p>
                  <w:pPr>
                    <w:pStyle w:val="Para 17"/>
                    <w:keepLines w:val="on"/>
                  </w:pPr>
                  <w:r>
                    <w:t>Nghệ thuật</w:t>
                  </w:r>
                </w:p>
              </w:tc>
              <w:tc>
                <w:tcPr>
                  <w:hMerge w:val="continue"/>
                </w:tcPr>
                <w:p/>
              </w:tc>
              <w:tc>
                <w:tcPr>
                  <w:tcW w:type="auto" w:w="0"/>
                  <w:shd w:val="clear" w:color="auto" w:fill="F0F0F0"/>
                  <w:hMerge w:val="restart"/>
                </w:tcPr>
                <w:p>
                  <w:pPr>
                    <w:pStyle w:val="Para 17"/>
                    <w:keepLines w:val="on"/>
                  </w:pPr>
                  <w:r>
                    <w:t>Cổ phiếu</w:t>
                  </w:r>
                </w:p>
              </w:tc>
              <w:tc>
                <w:tcPr>
                  <w:hMerge w:val="continue"/>
                </w:tcPr>
                <w:p/>
              </w:tc>
            </w:tr>
            <w:tr>
              <w:tc>
                <w:tcPr>
                  <w:tcW w:type="auto" w:w="0"/>
                  <w:shd w:val="clear" w:color="auto" w:fill="F0F0F0"/>
                </w:tcPr>
                <w:p>
                  <w:pPr>
                    <w:pStyle w:val="5 Block"/>
                    <w:keepLines w:val="on"/>
                  </w:pPr>
                </w:p>
              </w:tc>
              <w:tc>
                <w:tcPr>
                  <w:tcW w:type="auto" w:w="0"/>
                  <w:shd w:val="clear" w:color="auto" w:fill="F0F0F0"/>
                </w:tcPr>
                <w:p>
                  <w:pPr>
                    <w:pStyle w:val="Para 17"/>
                    <w:keepLines w:val="on"/>
                  </w:pPr>
                  <w:r>
                    <w:t>Trung bình</w:t>
                  </w:r>
                </w:p>
              </w:tc>
              <w:tc>
                <w:tcPr>
                  <w:tcW w:type="auto" w:w="0"/>
                  <w:shd w:val="clear" w:color="auto" w:fill="F0F0F0"/>
                </w:tcPr>
                <w:p>
                  <w:pPr>
                    <w:pStyle w:val="Para 17"/>
                    <w:keepLines w:val="on"/>
                  </w:pPr>
                  <w:r>
                    <w:t>Độ lệch chuẩn</w:t>
                  </w:r>
                </w:p>
              </w:tc>
              <w:tc>
                <w:tcPr>
                  <w:tcW w:type="auto" w:w="0"/>
                  <w:shd w:val="clear" w:color="auto" w:fill="F0F0F0"/>
                </w:tcPr>
                <w:p>
                  <w:pPr>
                    <w:pStyle w:val="Para 17"/>
                    <w:keepLines w:val="on"/>
                  </w:pPr>
                  <w:r>
                    <w:t>Trung bình</w:t>
                  </w:r>
                </w:p>
              </w:tc>
              <w:tc>
                <w:tcPr>
                  <w:tcW w:type="auto" w:w="0"/>
                  <w:shd w:val="clear" w:color="auto" w:fill="F0F0F0"/>
                </w:tcPr>
                <w:p>
                  <w:pPr>
                    <w:pStyle w:val="Para 17"/>
                    <w:keepLines w:val="on"/>
                  </w:pPr>
                  <w:r>
                    <w:t>Độ lệch chuẩn</w:t>
                  </w:r>
                </w:p>
              </w:tc>
            </w:tr>
            <w:tr>
              <w:tc>
                <w:tcPr>
                  <w:tcW w:type="auto" w:w="0"/>
                  <w:shd w:val="clear" w:color="auto" w:fill="F0F0F0"/>
                </w:tcPr>
                <w:p>
                  <w:pPr>
                    <w:pStyle w:val="Para 02"/>
                    <w:keepLines w:val="on"/>
                  </w:pPr>
                  <w:r>
                    <w:t>1875–2010</w:t>
                  </w:r>
                </w:p>
              </w:tc>
              <w:tc>
                <w:tcPr>
                  <w:tcW w:type="auto" w:w="0"/>
                  <w:shd w:val="clear" w:color="auto" w:fill="F0F0F0"/>
                </w:tcPr>
                <w:p>
                  <w:pPr>
                    <w:pStyle w:val="Normal"/>
                    <w:keepLines w:val="on"/>
                  </w:pPr>
                  <w:r>
                    <w:t>4,63%</w:t>
                  </w:r>
                </w:p>
              </w:tc>
              <w:tc>
                <w:tcPr>
                  <w:tcW w:type="auto" w:w="0"/>
                  <w:shd w:val="clear" w:color="auto" w:fill="F0F0F0"/>
                </w:tcPr>
                <w:p>
                  <w:pPr>
                    <w:pStyle w:val="Normal"/>
                    <w:keepLines w:val="on"/>
                  </w:pPr>
                  <w:r>
                    <w:t>44,30%</w:t>
                  </w:r>
                </w:p>
              </w:tc>
              <w:tc>
                <w:tcPr>
                  <w:tcW w:type="auto" w:w="0"/>
                  <w:shd w:val="clear" w:color="auto" w:fill="F0F0F0"/>
                </w:tcPr>
                <w:p>
                  <w:pPr>
                    <w:pStyle w:val="Normal"/>
                    <w:keepLines w:val="on"/>
                  </w:pPr>
                  <w:r>
                    <w:t>8,02%</w:t>
                  </w:r>
                </w:p>
              </w:tc>
              <w:tc>
                <w:tcPr>
                  <w:tcW w:type="auto" w:w="0"/>
                  <w:shd w:val="clear" w:color="auto" w:fill="F0F0F0"/>
                </w:tcPr>
                <w:p>
                  <w:pPr>
                    <w:pStyle w:val="Normal"/>
                    <w:keepLines w:val="on"/>
                  </w:pPr>
                  <w:r>
                    <w:t>17,79%</w:t>
                  </w:r>
                </w:p>
              </w:tc>
            </w:tr>
            <w:tr>
              <w:tc>
                <w:tcPr>
                  <w:tcW w:type="auto" w:w="0"/>
                  <w:shd w:val="clear" w:color="auto" w:fill="F0F0F0"/>
                </w:tcPr>
                <w:p>
                  <w:pPr>
                    <w:pStyle w:val="Para 02"/>
                    <w:keepLines w:val="on"/>
                  </w:pPr>
                  <w:r>
                    <w:t>1910–2010</w:t>
                  </w:r>
                </w:p>
              </w:tc>
              <w:tc>
                <w:tcPr>
                  <w:tcW w:type="auto" w:w="0"/>
                  <w:shd w:val="clear" w:color="auto" w:fill="F0F0F0"/>
                </w:tcPr>
                <w:p>
                  <w:pPr>
                    <w:pStyle w:val="Normal"/>
                    <w:keepLines w:val="on"/>
                  </w:pPr>
                  <w:r>
                    <w:t>5,67%</w:t>
                  </w:r>
                </w:p>
              </w:tc>
              <w:tc>
                <w:tcPr>
                  <w:tcW w:type="auto" w:w="0"/>
                  <w:shd w:val="clear" w:color="auto" w:fill="F0F0F0"/>
                </w:tcPr>
                <w:p>
                  <w:pPr>
                    <w:pStyle w:val="Normal"/>
                    <w:keepLines w:val="on"/>
                  </w:pPr>
                  <w:r>
                    <w:t>28,40%</w:t>
                  </w:r>
                </w:p>
              </w:tc>
              <w:tc>
                <w:tcPr>
                  <w:tcW w:type="auto" w:w="0"/>
                  <w:shd w:val="clear" w:color="auto" w:fill="F0F0F0"/>
                </w:tcPr>
                <w:p>
                  <w:pPr>
                    <w:pStyle w:val="Normal"/>
                    <w:keepLines w:val="on"/>
                  </w:pPr>
                  <w:r>
                    <w:t>7,79%</w:t>
                  </w:r>
                </w:p>
              </w:tc>
              <w:tc>
                <w:tcPr>
                  <w:tcW w:type="auto" w:w="0"/>
                  <w:shd w:val="clear" w:color="auto" w:fill="F0F0F0"/>
                </w:tcPr>
                <w:p>
                  <w:pPr>
                    <w:pStyle w:val="Normal"/>
                    <w:keepLines w:val="on"/>
                  </w:pPr>
                  <w:r>
                    <w:t>19,09%</w:t>
                  </w:r>
                </w:p>
              </w:tc>
            </w:tr>
            <w:tr>
              <w:tc>
                <w:tcPr>
                  <w:tcW w:type="auto" w:w="0"/>
                  <w:shd w:val="clear" w:color="auto" w:fill="F0F0F0"/>
                </w:tcPr>
                <w:p>
                  <w:pPr>
                    <w:pStyle w:val="Para 02"/>
                    <w:keepLines w:val="on"/>
                  </w:pPr>
                  <w:r>
                    <w:t>1960–2010</w:t>
                  </w:r>
                </w:p>
              </w:tc>
              <w:tc>
                <w:tcPr>
                  <w:tcW w:type="auto" w:w="0"/>
                  <w:shd w:val="clear" w:color="auto" w:fill="F0F0F0"/>
                </w:tcPr>
                <w:p>
                  <w:pPr>
                    <w:pStyle w:val="Normal"/>
                    <w:keepLines w:val="on"/>
                  </w:pPr>
                  <w:r>
                    <w:t>9,49%</w:t>
                  </w:r>
                </w:p>
              </w:tc>
              <w:tc>
                <w:tcPr>
                  <w:tcW w:type="auto" w:w="0"/>
                  <w:shd w:val="clear" w:color="auto" w:fill="F0F0F0"/>
                </w:tcPr>
                <w:p>
                  <w:pPr>
                    <w:pStyle w:val="Normal"/>
                    <w:keepLines w:val="on"/>
                  </w:pPr>
                  <w:r>
                    <w:t>17,10%</w:t>
                  </w:r>
                </w:p>
              </w:tc>
              <w:tc>
                <w:tcPr>
                  <w:tcW w:type="auto" w:w="0"/>
                  <w:shd w:val="clear" w:color="auto" w:fill="F0F0F0"/>
                </w:tcPr>
                <w:p>
                  <w:pPr>
                    <w:pStyle w:val="Normal"/>
                    <w:keepLines w:val="on"/>
                  </w:pPr>
                  <w:r>
                    <w:t>11,10%</w:t>
                  </w:r>
                </w:p>
              </w:tc>
              <w:tc>
                <w:tcPr>
                  <w:tcW w:type="auto" w:w="0"/>
                  <w:shd w:val="clear" w:color="auto" w:fill="F0F0F0"/>
                </w:tcPr>
                <w:p>
                  <w:pPr>
                    <w:pStyle w:val="Normal"/>
                    <w:keepLines w:val="on"/>
                  </w:pPr>
                  <w:r>
                    <w:t>17,06%</w:t>
                  </w:r>
                </w:p>
              </w:tc>
            </w:tr>
          </w:tbl>
          <w:p/>
        </w:tc>
      </w:tr>
    </w:tbl>
    <w:p>
      <w:pPr>
        <w:pStyle w:val="Para 03"/>
      </w:pPr>
      <w:r>
        <w:t>Là một khoản đầu tư độc lập, nghệ thuật trong lịch sử đã mang lại lợi nhuận thấp. Trong 50 năm qua, lợi nhuận từ nghệ thuật đã bớt biến động hơn, nhưng điều đó có thể phản ánh việc giai đoạn này có nhiều giao dịch hơn so với các giai đoạn trước. Vậy lợi nhuận thấp có khiến nghệ thuật trở thành một khoản đầu tư tồi? Không hẳn. Bảng 27.9 xem xét mối tương quan giữa lợi nhuận của nghệ thuật, cổ phiếu và trái phiếu kho bạc. Mối tương quan thấp giữa nghệ thuật và cổ phiếu có thể mang lại cho nó một vị trí trong một danh mục tài sản tài chính được đa dạng hóa tốt, nhưng chỉ ở mức cận biên mà thôi.</w:t>
      </w:r>
    </w:p>
    <w:p>
      <w:pPr>
        <w:pStyle w:val="Para 34"/>
        <w:keepLines w:val="on"/>
      </w:pPr>
      <w:r>
        <w:t>Bảng 27.9</w:t>
      </w:r>
    </w:p>
    <w:p>
      <w:pPr>
        <w:keepNext/>
        <w:pStyle w:val="Para 35"/>
        <w:keepLines w:val="on"/>
      </w:pPr>
      <w:r>
        <w:t>Tương quan giữa các khoản đầu tư: 1961–2010</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17"/>
                    <w:keepLines w:val="on"/>
                  </w:pPr>
                  <w:r>
                    <w:t>Nghệ thuật</w:t>
                  </w:r>
                </w:p>
              </w:tc>
              <w:tc>
                <w:tcPr>
                  <w:tcW w:type="auto" w:w="0"/>
                  <w:shd w:val="clear" w:color="auto" w:fill="F0F0F0"/>
                </w:tcPr>
                <w:p>
                  <w:pPr>
                    <w:pStyle w:val="Para 17"/>
                    <w:keepLines w:val="on"/>
                  </w:pPr>
                  <w:r>
                    <w:t>S&amp;P 500</w:t>
                  </w:r>
                </w:p>
              </w:tc>
              <w:tc>
                <w:tcPr>
                  <w:tcW w:type="auto" w:w="0"/>
                  <w:shd w:val="clear" w:color="auto" w:fill="F0F0F0"/>
                </w:tcPr>
                <w:p>
                  <w:pPr>
                    <w:pStyle w:val="Para 17"/>
                    <w:keepLines w:val="on"/>
                  </w:pPr>
                  <w:r>
                    <w:t>Trái phiếu kho bạc (T-bonds)</w:t>
                  </w:r>
                </w:p>
              </w:tc>
            </w:tr>
            <w:tr>
              <w:tc>
                <w:tcPr>
                  <w:tcW w:type="auto" w:w="0"/>
                  <w:shd w:val="clear" w:color="auto" w:fill="F0F0F0"/>
                </w:tcPr>
                <w:p>
                  <w:pPr>
                    <w:pStyle w:val="Para 02"/>
                    <w:keepLines w:val="on"/>
                  </w:pPr>
                  <w:r>
                    <w:t>Nghệ thuật</w:t>
                  </w:r>
                </w:p>
              </w:tc>
              <w:tc>
                <w:tcPr>
                  <w:tcW w:type="auto" w:w="0"/>
                  <w:shd w:val="clear" w:color="auto" w:fill="F0F0F0"/>
                </w:tcPr>
                <w:p>
                  <w:pPr>
                    <w:pStyle w:val="Normal"/>
                    <w:keepLines w:val="on"/>
                  </w:pPr>
                  <w:r>
                    <w:t>1,00</w:t>
                  </w: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S&amp;P 500</w:t>
                  </w:r>
                </w:p>
              </w:tc>
              <w:tc>
                <w:tcPr>
                  <w:tcW w:type="auto" w:w="0"/>
                  <w:shd w:val="clear" w:color="auto" w:fill="F0F0F0"/>
                </w:tcPr>
                <w:p>
                  <w:pPr>
                    <w:pStyle w:val="Normal"/>
                    <w:keepLines w:val="on"/>
                  </w:pPr>
                  <w:r>
                    <w:t>–0,02</w:t>
                  </w:r>
                </w:p>
              </w:tc>
              <w:tc>
                <w:tcPr>
                  <w:tcW w:type="auto" w:w="0"/>
                  <w:shd w:val="clear" w:color="auto" w:fill="F0F0F0"/>
                </w:tcPr>
                <w:p>
                  <w:pPr>
                    <w:pStyle w:val="Normal"/>
                    <w:keepLines w:val="on"/>
                  </w:pPr>
                  <w:r>
                    <w:t>1,00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Trái phiếu kho bạc (T-bonds)</w:t>
                  </w:r>
                </w:p>
              </w:tc>
              <w:tc>
                <w:tcPr>
                  <w:tcW w:type="auto" w:w="0"/>
                  <w:shd w:val="clear" w:color="auto" w:fill="F0F0F0"/>
                </w:tcPr>
                <w:p>
                  <w:pPr>
                    <w:pStyle w:val="Normal"/>
                    <w:keepLines w:val="on"/>
                  </w:pPr>
                  <w:r>
                    <w:t>–0,13</w:t>
                  </w:r>
                </w:p>
              </w:tc>
              <w:tc>
                <w:tcPr>
                  <w:tcW w:type="auto" w:w="0"/>
                  <w:shd w:val="clear" w:color="auto" w:fill="F0F0F0"/>
                </w:tcPr>
                <w:p>
                  <w:pPr>
                    <w:pStyle w:val="Normal"/>
                    <w:keepLines w:val="on"/>
                  </w:pPr>
                  <w:r>
                    <w:t>0,06</w:t>
                  </w:r>
                </w:p>
              </w:tc>
              <w:tc>
                <w:tcPr>
                  <w:tcW w:type="auto" w:w="0"/>
                  <w:shd w:val="clear" w:color="auto" w:fill="F0F0F0"/>
                </w:tcPr>
                <w:p>
                  <w:pPr>
                    <w:pStyle w:val="Normal"/>
                    <w:keepLines w:val="on"/>
                  </w:pPr>
                  <w:r>
                    <w:t>1,00</w:t>
                  </w:r>
                </w:p>
              </w:tc>
            </w:tr>
          </w:tbl>
          <w:p/>
        </w:tc>
      </w:tr>
    </w:tbl>
    <w:p>
      <w:pPr>
        <w:pStyle w:val="Para 03"/>
      </w:pPr>
      <w:r>
        <w:t>Điều thứ hai liên quan đến cách định giá tốt nhất cho các khoản đầu tư vào nghệ thuật và đồ sưu tầm. Trên thực tế, chúng hầu như luôn được định giá theo phương pháp tương đối. Chẳng hạn, một bức tranh Picasso thường được định giá bằng cách xem những bức Picasso khác đã bán được giá bao nhiêu gần đây. Có ít nhất ba vấn đề mà chúng ta gặp phải trong bối cảnh định giá:</w:t>
      </w:r>
    </w:p>
    <w:p>
      <w:pPr>
        <w:numPr>
          <w:ilvl w:val="0"/>
          <w:numId w:val="322"/>
        </w:numPr>
        <w:pStyle w:val="Para 01"/>
      </w:pPr>
      <w:r>
        <w:t>Vấn đề thứ nhất là đây không phải là một thị trường có tính thanh khoản cao, và số lượng giao dịch tương đối ít. Do đó, lần bán một bức Picasso gần đây nhất có thể đã diễn ra từ ba năm trước, và thị trường nghệ thuật có thể đã thay đổi rất nhiều kể từ đó.</w:t>
      </w:r>
    </w:p>
    <w:p>
      <w:pPr>
        <w:numPr>
          <w:ilvl w:val="0"/>
          <w:numId w:val="322"/>
        </w:numPr>
        <w:pStyle w:val="Para 01"/>
      </w:pPr>
      <w:r>
        <w:t>Vấn đề thứ hai là không có hai bức Picasso nào giống nhau, và có những khác biệt đáng kể (cả về phong cách lẫn giá cả) giữa các bức tranh khác nhau.</w:t>
      </w:r>
    </w:p>
    <w:p>
      <w:pPr>
        <w:numPr>
          <w:ilvl w:val="0"/>
          <w:numId w:val="322"/>
        </w:numPr>
        <w:pStyle w:val="Para 01"/>
      </w:pPr>
      <w:r>
        <w:t>Vấn đề thứ ba là khả năng làm giả và gian lận là rất thực tế, và phần lớn trong số đó chỉ có thể được phát hiện bởi con mắt chuyên gia. Do đó, việc định giá tương đối nghệ thuật và đồ sưu tầm vẫn là lĩnh vực của các chuyên gia thẩm định, những người cố gắng khắc phục những vấn đề này (dù không phải lúc nào cũng thành công) và ước tính một mức giá hợp lý. Tuy nhiên, giống như mọi nhà phân tích, họ cũng dễ bị ảnh hưởng bởi tâm lý thị trường, và bong bóng cùng sự sụp đổ cũng phổ biến trong thị trường này như ở những thị trường khác.</w:t>
      </w:r>
    </w:p>
    <w:p>
      <w:pPr>
        <w:pStyle w:val="Para 03"/>
      </w:pPr>
      <w:r>
        <w:t>Vậy, bài học cho các nhà đầu tư cá nhân là gì? Thứ nhất, dù nghệ thuật và đồ sưu tầm, như một nhóm tài sản, có thể cân bằng một danh mục đầu tư, bạn phải dành nhiều thời gian hơn đáng kể để tích lũy kiến thức chuyên môn nhằm thành công với những khoản đầu tư này so với các khoản đầu tư tài chính. Thứ hai, bạn nên kỳ vọng sẽ có chi phí giao dịch cao hơn nhiều với các khoản đầu tư vào nghệ thuật và đồ sưu tầm, đặc biệt là ở phân khúc cao cấp của thị trường. Thứ ba, bạn nên sưu tầm thẻ bóng chày hay những bức tranh của các bậc thầy xưa vì bạn yêu thích chúng chứ không chỉ như một khoản đầu tư. Khi đó, lợi nhuận về mặt tinh thần mà bạn nhận được sẽ bù đắp cho mức lợi nhuận tài chính dưới chuẩn mà bạn có thể kiếm được.</w:t>
      </w:r>
    </w:p>
    <w:p>
      <w:pPr>
        <w:pStyle w:val="Para 20"/>
      </w:pPr>
      <w:r>
        <w:rPr>
          <w:rStyle w:val="Text26"/>
        </w:rPr>
        <w:bookmarkStart w:id="5725" w:name="Page_885"/>
        <w:t/>
        <w:bookmarkEnd w:id="5725"/>
      </w:r>
      <w:r>
        <w:t xml:space="preserve"> </w:t>
      </w:r>
    </w:p>
    <w:p>
      <w:bookmarkStart w:id="5726" w:name="Gold__Paraphrasing_Winston_Churc"/>
      <w:bookmarkStart w:id="5727" w:name="Gold"/>
      <w:pPr>
        <w:keepNext/>
        <w:pStyle w:val="Heading 3"/>
        <w:keepLines w:val="on"/>
      </w:pPr>
      <w:r>
        <w:t>Vàng</w:t>
      </w:r>
      <w:bookmarkEnd w:id="5726"/>
      <w:bookmarkEnd w:id="5727"/>
    </w:p>
    <w:p>
      <w:pPr>
        <w:pStyle w:val="Para 03"/>
      </w:pPr>
      <w:r>
        <w:t>Diễn giải theo lời Winston Churchill, vàng là một “câu đố, được gói trong một bí ẩn nằm trong một điều khó hiểu”, ít nhất là đối với chúng ta. Điều đó không có nghĩa là chúng ta không bị cuốn hút bởi giá vàng và miễn nhiễm với những biến động của nó. Trong Hình 27.4, chúng ta xem xét giá vàng theo thời gian, cả theo danh nghĩa lẫn theo giá trị thực:</w:t>
      </w:r>
    </w:p>
    <w:p>
      <w:bookmarkStart w:id="5729" w:name="Figure_27_4_Gold_Prices__Histori"/>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59000" cy="2082800"/>
            <wp:effectExtent l="0" r="0" t="0" b="0"/>
            <wp:wrapTopAndBottom/>
            <wp:docPr id="241" name="c27f004.png" descr="Line and bar graph plots the increase in gold price per ounce from 1964 to 2023."/>
            <wp:cNvGraphicFramePr>
              <a:graphicFrameLocks noChangeAspect="1"/>
            </wp:cNvGraphicFramePr>
            <a:graphic>
              <a:graphicData uri="http://schemas.openxmlformats.org/drawingml/2006/picture">
                <pic:pic>
                  <pic:nvPicPr>
                    <pic:cNvPr id="0" name="c27f004.png" descr="Line and bar graph plots the increase in gold price per ounce from 1964 to 2023."/>
                    <pic:cNvPicPr/>
                  </pic:nvPicPr>
                  <pic:blipFill>
                    <a:blip r:embed="rId173"/>
                    <a:stretch>
                      <a:fillRect/>
                    </a:stretch>
                  </pic:blipFill>
                  <pic:spPr>
                    <a:xfrm>
                      <a:off x="0" y="0"/>
                      <a:ext cx="2159000" cy="2082800"/>
                    </a:xfrm>
                    <a:prstGeom prst="rect">
                      <a:avLst/>
                    </a:prstGeom>
                  </pic:spPr>
                </pic:pic>
              </a:graphicData>
            </a:graphic>
          </wp:anchor>
        </w:drawing>
      </w:r>
      <w:bookmarkEnd w:id="5729"/>
    </w:p>
    <w:p>
      <w:pPr>
        <w:keepNext/>
        <w:pStyle w:val="Para 22"/>
        <w:keepLines w:val="on"/>
      </w:pPr>
      <w:r>
        <w:t>Hình 27.4 Giá vàng—Dữ liệu lịch sử từ 1964 đến 2023</w:t>
      </w:r>
    </w:p>
    <w:p>
      <w:pPr>
        <w:pStyle w:val="Para 03"/>
      </w:pPr>
      <w:r>
        <w:t>Giá vàng danh nghĩa và giá đã điều chỉnh theo lạm phát đều tăng vọt trong giai đoạn 2000–2012, giảm trở lại trong giai đoạn 2012–2015, trước khi lại tăng vọt trong vài năm gần đây. Vào tháng 6 năm 2024, giá danh nghĩa đạt mức cao nhất mọi thời đại là 2320, và giá đã điều chỉnh theo lạm phát đã gần chạm mức cao trước đó được thiết lập vào cuối thập niên 1970.</w:t>
      </w:r>
    </w:p>
    <w:p>
      <w:bookmarkStart w:id="5730" w:name="Does_Gold_Have_an_Intrinsic_Valu_1"/>
      <w:bookmarkStart w:id="5731" w:name="Does_Gold_Have_an_Intrinsic_Valu"/>
      <w:pPr>
        <w:keepNext/>
        <w:pStyle w:val="Heading 4"/>
        <w:keepLines w:val="on"/>
      </w:pPr>
      <w:r>
        <w:t>Vàng có giá trị nội tại không?</w:t>
      </w:r>
      <w:bookmarkEnd w:id="5730"/>
      <w:bookmarkEnd w:id="5731"/>
    </w:p>
    <w:p>
      <w:pPr>
        <w:pStyle w:val="Para 03"/>
      </w:pPr>
      <w:r>
        <w:t>Giá trị nội tại (intrinsic value) của một tài sản là một hàm số của dòng tiền kỳ vọng, tăng trưởng và rủi ro của nó. Vì vàng không phải là tài sản tạo ra dòng tiền, bạn không thể ước tính giá trị nội tại cho vàng. Nếu một trong những nguyên lý trung tâm của đầu tư giá trị là bạn không bao giờ nên đầu tư vào một tài sản mà không ước tính giá trị của nó, thì điều đó dường như loại trừ vàng như một khoản đầu tư đối với nhà đầu tư giá trị cổ điển. Trên thực tế, Warren Buffett đã nhiều lần lập luận chống lại việc đầu tư vào vàng vì không thể ước tính được giá trị của nó.</w:t>
      </w:r>
    </w:p>
    <w:p>
      <w:pPr>
        <w:pStyle w:val="Para 03"/>
      </w:pPr>
      <w:r>
        <w:t>Có một con đường thay thế có thể được dùng để ước tính giá trị “cơ bản” (fundamental value) của một loại hàng hóa bằng cách đánh giá nhu cầu đối với hàng hóa đó (dựa trên các mục đích sử dụng của nó) và nguồn cung. Mặc dù điều đó có thể hiệu quả, ít nhất là về nguyên tắc, đối với các hàng hóa công nghiệp, nhưng lại khó áp dụng vào thực tế với các kim loại quý nói chung và vàng nói riêng, bởi vì nhu cầu không được thúc đẩy chủ yếu bởi các mục đích sử dụng thực tiễn.</w:t>
      </w:r>
    </w:p>
    <w:p>
      <w:bookmarkStart w:id="5733" w:name="The_Drivers_of_Gold_Prices__If_g"/>
      <w:bookmarkStart w:id="5734" w:name="The_Drivers_of_Gold_Prices"/>
      <w:pPr>
        <w:keepNext/>
        <w:pStyle w:val="Heading 4"/>
        <w:keepLines w:val="on"/>
      </w:pPr>
      <w:r>
        <w:t>Những yếu tố thúc đẩy giá vàng</w:t>
      </w:r>
      <w:bookmarkEnd w:id="5733"/>
      <w:bookmarkEnd w:id="5734"/>
    </w:p>
    <w:p>
      <w:pPr>
        <w:pStyle w:val="Para 03"/>
      </w:pPr>
      <w:r>
        <w:t>Nếu vàng không có giá trị nội tại, thì điều gì thúc đẩy giá của nó? Có ít nhất ba yếu tố trong lịch sử đã ảnh hưởng đến giá vàng:</w:t>
      </w:r>
    </w:p>
    <w:p>
      <w:pPr>
        <w:numPr>
          <w:ilvl w:val="0"/>
          <w:numId w:val="323"/>
        </w:numPr>
        <w:pStyle w:val="Para 01"/>
      </w:pPr>
      <w:r>
        <w:t>Lạm phát: Nếu như người ta thường lập luận rằng vàng là một thay thế cho tiền giấy, thì bạn có thể lập luận rằng giá vàng sẽ được quyết định bởi mức độ tin tưởng của các cá nhân vào tiền giấy. Do đó, người ta tin rộng rãi rằng nếu giá trị của tiền giấy bị làm mất giá bởi lạm phát, vàng sẽ tăng giá trị. Để xem liệu quan điểm được nhiều người tin tưởng về vàng như một hàng rào chống lạm phát có cơ sở hay không, chúng tôi đã xem xét những thay đổi trong giá vàng và tỷ lệ lạm phát mỗi năm từ 1963–2023 trong Hình 27.5:</w:t>
      </w:r>
    </w:p>
    <w:p>
      <w:bookmarkStart w:id="5736" w:name="Figure_27_5_Returns_on_Gold_ver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87600" cy="2057400"/>
            <wp:effectExtent l="0" r="0" t="0" b="0"/>
            <wp:wrapTopAndBottom/>
            <wp:docPr id="242" name="c27f005.png" descr="Line graph plots the percentage returns on Gold and inflation rate from 1963 to 2023."/>
            <wp:cNvGraphicFramePr>
              <a:graphicFrameLocks noChangeAspect="1"/>
            </wp:cNvGraphicFramePr>
            <a:graphic>
              <a:graphicData uri="http://schemas.openxmlformats.org/drawingml/2006/picture">
                <pic:pic>
                  <pic:nvPicPr>
                    <pic:cNvPr id="0" name="c27f005.png" descr="Line graph plots the percentage returns on Gold and inflation rate from 1963 to 2023."/>
                    <pic:cNvPicPr/>
                  </pic:nvPicPr>
                  <pic:blipFill>
                    <a:blip r:embed="rId174"/>
                    <a:stretch>
                      <a:fillRect/>
                    </a:stretch>
                  </pic:blipFill>
                  <pic:spPr>
                    <a:xfrm>
                      <a:off x="0" y="0"/>
                      <a:ext cx="2387600" cy="2057400"/>
                    </a:xfrm>
                    <a:prstGeom prst="rect">
                      <a:avLst/>
                    </a:prstGeom>
                  </pic:spPr>
                </pic:pic>
              </a:graphicData>
            </a:graphic>
          </wp:anchor>
        </w:drawing>
      </w:r>
      <w:bookmarkEnd w:id="5736"/>
    </w:p>
    <w:p>
      <w:pPr>
        <w:keepNext/>
        <w:pStyle w:val="Para 22"/>
        <w:keepLines w:val="on"/>
      </w:pPr>
      <w:r>
        <w:t>Hình 27.5 Lợi nhuận của vàng so với tỷ lệ lạm phát: 1963—2023</w:t>
      </w:r>
    </w:p>
    <w:p>
      <w:pPr>
        <w:pStyle w:val="Para 03"/>
      </w:pPr>
      <w:r>
        <w:t>Sự đồng biến động của vàng và lạm phát đặc biệt mạnh trong thập niên 1970, một thập kỷ mà nền kinh tế Hoa Kỳ bị giày vò bởi lạm phát cao, và mối tương quan giữa giá vàng và tỷ lệ lạm phát được làm nổi bật khi bạn hồi quy lợi nhuận của vàng theo tỷ lệ lạm phát cho toàn bộ giai đoạn:</w:t>
      </w:r>
    </w:p>
    <w:p>
      <w:bookmarkStart w:id="5738" w:name="Annual___Change_in_Gold_price__0"/>
      <w:pPr>
        <w:keepNext/>
        <w:pStyle w:val="Para 09"/>
        <w:keepLines w:val="on"/>
      </w:pPr>
      <w:r>
        <w:t>% Thay đổi hàng năm của giá vàng=-0,06+3,97(Tỷ lệ lạm phát)R2=19,4% (1,27) (3,86)</w:t>
      </w:r>
      <w:bookmarkEnd w:id="5738"/>
    </w:p>
    <w:p>
      <w:pPr>
        <w:pStyle w:val="Para 03"/>
      </w:pPr>
      <w:r>
        <w:t>Mặc dù hồi quy này ủng hộ quan điểm thông thường về vàng như một hàng rào chống lạm phát, có hai điểm yếu tiềm tàng. Thứ nhất là R-squared chỉ là 20%, cho thấy rằng các yếu tố khác ngoài lạm phát có ảnh hưởng đáng kể đến giá vàng. Thứ hai là việc loại bỏ thập niên 1970 về cơ bản loại bỏ phần lớn ý nghĩa thống kê khỏi hồi quy này. Trên thực tế, trong khi sự biến động lớn của giá vàng trong thập niên 1970 có thể được giải thích bởi lạm phát cao bất ngờ trong thập kỷ đó, thì sự tăng giá dầu từ năm 2001 đến 2012 không thể được quy cho lạm phát. Thực tế, khi xem xét kỹ hơn dữ liệu, vàng là hàng rào chống lại những biến động lạm phát cực đoan (và bất ngờ) nhiều hơn, và thực sự không cung cấp nhiều bảo vệ chống lại những thay đổi lạm phát nhỏ hơn.</w:t>
      </w:r>
    </w:p>
    <w:p>
      <w:pPr>
        <w:numPr>
          <w:ilvl w:val="0"/>
          <w:numId w:val="323"/>
        </w:numPr>
        <w:pStyle w:val="Para 01"/>
      </w:pPr>
      <w:r>
        <w:t>Nỗi sợ khủng hoảng: Qua nhiều thế kỷ, vàng đã là “tài sản” cuối cùng để nương tựa cho các nhà đầu tư chạy trốn khỏi khủng hoảng. Do đó, khi nỗi sợ của nhà đầu tư lên xuống, giá vàng cũng nên lên xuống theo. Để kiểm tra hiệu ứng này, chúng tôi đã sử dụng hai thước đo hướng tới tương lai về nỗi sợ của nhà đầu tư—chênh lệch vỡ nợ (default spread) trên một trái phiếu xếp hạng Baa và phần bù rủi ro vốn cổ phần hàm ý (implied equity risk premium, là một phần bù hướng tới tương lai, được tính dựa trên giá cổ phiếu và dòng tiền kỳ vọng). Khi nỗi sợ của nhà đầu tư tăng lên, bạn nên kỳ vọng thấy những phần bù này trong cả thị trường vốn cổ phần lẫn thị trường trái phiếu đều tăng, và vàng cũng tăng đồng thời. Hình 27.6 tóm tắt các phần bù rủi ro trên thị trường tài chính (chênh lệch vỡ nợ trái phiếu và phần bù rủi ro vốn cổ phần) và lợi nhuận của vàng mỗi năm.</w:t>
      </w:r>
    </w:p>
    <w:p>
      <w:bookmarkStart w:id="5740" w:name="Figure_27_6_Market_Risk_Premia_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00300" cy="2400300"/>
            <wp:effectExtent l="0" r="0" t="0" b="0"/>
            <wp:wrapTopAndBottom/>
            <wp:docPr id="243" name="c27f006.png" descr="Line graph plots the percentage change in gold price, E R P, and Baa default spread from 1963 to 2023."/>
            <wp:cNvGraphicFramePr>
              <a:graphicFrameLocks noChangeAspect="1"/>
            </wp:cNvGraphicFramePr>
            <a:graphic>
              <a:graphicData uri="http://schemas.openxmlformats.org/drawingml/2006/picture">
                <pic:pic>
                  <pic:nvPicPr>
                    <pic:cNvPr id="0" name="c27f006.png" descr="Line graph plots the percentage change in gold price, E R P, and Baa default spread from 1963 to 2023."/>
                    <pic:cNvPicPr/>
                  </pic:nvPicPr>
                  <pic:blipFill>
                    <a:blip r:embed="rId175"/>
                    <a:stretch>
                      <a:fillRect/>
                    </a:stretch>
                  </pic:blipFill>
                  <pic:spPr>
                    <a:xfrm>
                      <a:off x="0" y="0"/>
                      <a:ext cx="2400300" cy="2400300"/>
                    </a:xfrm>
                    <a:prstGeom prst="rect">
                      <a:avLst/>
                    </a:prstGeom>
                  </pic:spPr>
                </pic:pic>
              </a:graphicData>
            </a:graphic>
          </wp:anchor>
        </w:drawing>
      </w:r>
      <w:bookmarkEnd w:id="5740"/>
    </w:p>
    <w:p>
      <w:pPr>
        <w:keepNext/>
        <w:pStyle w:val="Para 22"/>
        <w:keepLines w:val="on"/>
      </w:pPr>
      <w:r>
        <w:t>Hình 27.6 Các phần bù rủi ro thị trường và lợi nhuận của vàng</w:t>
      </w:r>
    </w:p>
    <w:p>
      <w:pPr>
        <w:pStyle w:val="Para 03"/>
      </w:pPr>
      <w:r>
        <w:t>Mặc dù mối quan hệ này khó giải mã hơn so với mối quan hệ với lạm phát, phần bù rủi ro vốn cổ phần cao hơn tương quan với giá vàng cao hơn. Một lần nữa, khi hồi quy lợi nhuận hàng năm của vàng theo hai thước đo này một cách riêng biệt, chúng ta có:</w:t>
      </w:r>
    </w:p>
    <w:p>
      <w:bookmarkStart w:id="5741" w:name="Annual___Change_in_Gold_price__0_1"/>
      <w:pPr>
        <w:keepNext/>
        <w:pStyle w:val="Para 09"/>
        <w:keepLines w:val="on"/>
      </w:pPr>
      <w:r>
        <w:t>% Thay đổi hàng năm của giá vàng=-0,13+5,20(ERP)  R bình phương=5,0%(0,98) (1,76)% Thay đổi hàng năm của giá vàng=0,12-1,01(Lãi suất Baa-Lãi suất T.Bond)(0,15) (0,23)R bình phương=0%</w:t>
      </w:r>
      <w:bookmarkEnd w:id="5741"/>
    </w:p>
    <w:p>
      <w:pPr>
        <w:pStyle w:val="Para 03"/>
      </w:pPr>
      <w:r>
        <w:t>Những hồi quy này cho thấy ít hoặc không có mối quan hệ giữa chênh lệch vỡ nợ trái phiếu và giá vàng, nhưng có một mối quan hệ dương khiêm tốn, dù có nhiều nhiễu đáng kể, giữa giá vàng và phần bù rủi ro vốn cổ phần. Do đó, giá vàng dường như biến động cùng với nỗi sợ trên thị trường vốn cổ phần nhiều hơn là với những lo ngại trên thị trường trái phiếu. Mỗi 1% tăng trong phần bù rủi ro vốn cổ phần chuyển thành mức tăng 5,20% trong giá vàng.</w:t>
      </w:r>
    </w:p>
    <w:p>
      <w:pPr>
        <w:numPr>
          <w:ilvl w:val="0"/>
          <w:numId w:val="323"/>
        </w:numPr>
        <w:pStyle w:val="Para 01"/>
      </w:pPr>
      <w:r>
        <w:t>Lãi suất thực: Một trong những chi phí của việc nắm giữ vàng là trong khi bạn nắm giữ nó, nó không sinh ra gì dưới dạng dòng tiền. Độ lớn của chi phí cơ hội này được phản ánh bởi lãi suất thực (real interest rate), với lãi suất thực cao hơn chuyển thành chi phí cơ hội cao hơn nhiều, và do đó, giá vàng thấp hơn. Lãi suất thực có thể được đo trực tiếp bằng lãi suất trái phiếu kho bạc được chỉ số hóa theo lạm phát (TIPs), hoặc gián tiếp bằng cách loại bỏ lạm phát kỳ vọng khỏi một lãi suất phi rủi ro danh nghĩa (hoặc gần như phi rủi ro). Hình 27.7 tóm tắt lãi suất thực và những thay đổi giá vàng theo từng năm từ 1963 đến 2023.</w:t>
      </w:r>
    </w:p>
    <w:p>
      <w:bookmarkStart w:id="5743" w:name="Figure_27_7_Market_Risk_Premia_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00300" cy="2070100"/>
            <wp:effectExtent l="0" r="0" t="0" b="0"/>
            <wp:wrapTopAndBottom/>
            <wp:docPr id="244" name="c27f007.png" descr="Line graph plots the annual change in percent of gold price, real interest rate, and T I Ps from 1963 to 2023."/>
            <wp:cNvGraphicFramePr>
              <a:graphicFrameLocks noChangeAspect="1"/>
            </wp:cNvGraphicFramePr>
            <a:graphic>
              <a:graphicData uri="http://schemas.openxmlformats.org/drawingml/2006/picture">
                <pic:pic>
                  <pic:nvPicPr>
                    <pic:cNvPr id="0" name="c27f007.png" descr="Line graph plots the annual change in percent of gold price, real interest rate, and T I Ps from 1963 to 2023."/>
                    <pic:cNvPicPr/>
                  </pic:nvPicPr>
                  <pic:blipFill>
                    <a:blip r:embed="rId176"/>
                    <a:stretch>
                      <a:fillRect/>
                    </a:stretch>
                  </pic:blipFill>
                  <pic:spPr>
                    <a:xfrm>
                      <a:off x="0" y="0"/>
                      <a:ext cx="2400300" cy="2070100"/>
                    </a:xfrm>
                    <a:prstGeom prst="rect">
                      <a:avLst/>
                    </a:prstGeom>
                  </pic:spPr>
                </pic:pic>
              </a:graphicData>
            </a:graphic>
          </wp:anchor>
        </w:drawing>
      </w:r>
      <w:bookmarkEnd w:id="5743"/>
    </w:p>
    <w:p>
      <w:pPr>
        <w:keepNext/>
        <w:pStyle w:val="Para 22"/>
        <w:keepLines w:val="on"/>
      </w:pPr>
      <w:r>
        <w:t>Hình 27.7 Các phần bù rủi ro thị trường và lợi nhuận của vàng</w:t>
      </w:r>
    </w:p>
    <w:p>
      <w:pPr>
        <w:pStyle w:val="Para 03"/>
      </w:pPr>
      <w:r>
        <w:t>Lưu ý rằng lãi suất TIPs chỉ có sẵn trong hai thập kỷ, và lãi suất thực được tính bằng chênh lệch giữa lãi suất trái phiếu kho bạc Hoa Kỳ kỳ hạn mười năm trong năm đó và tỷ lệ lạm phát thực tế (chứ không phải tỷ lệ lạm phát kỳ vọng). Hồi quy những thay đổi trong giá vàng theo lãi suất thực cho ra kết quả sau:</w:t>
      </w:r>
    </w:p>
    <w:p>
      <w:bookmarkStart w:id="5745" w:name="Annual___Change_in_Gold_price_0"/>
      <w:pPr>
        <w:keepNext/>
        <w:pStyle w:val="Para 09"/>
        <w:keepLines w:val="on"/>
      </w:pPr>
      <w:r>
        <w:t>% Thay đổi hàng năm của giá vàng=0,18-4,68(Lãi suất T.Bond-Tỷ lệ lạm phát)(0,55) (2,93)R bình phương=22,0%</w:t>
      </w:r>
      <w:bookmarkEnd w:id="5745"/>
    </w:p>
    <w:p>
      <w:pPr>
        <w:pStyle w:val="Para 03"/>
      </w:pPr>
      <w:r>
        <w:t>Lãi suất thực cao là tiêu cực đối với giá vàng, và lãi suất thực thấp, hoặc lãi suất thực âm, đẩy giá vàng lên cao hơn.</w:t>
      </w:r>
    </w:p>
    <w:p>
      <w:pPr>
        <w:pStyle w:val="Para 20"/>
      </w:pPr>
      <w:r>
        <w:rPr>
          <w:rStyle w:val="Text26"/>
        </w:rPr>
        <w:bookmarkStart w:id="5746" w:name="Page_889"/>
        <w:t/>
        <w:bookmarkEnd w:id="5746"/>
      </w:r>
      <w:r>
        <w:t xml:space="preserve"> </w:t>
      </w:r>
    </w:p>
    <w:p>
      <w:bookmarkStart w:id="5747" w:name="Pricing_Gold"/>
      <w:bookmarkStart w:id="5748" w:name="Pricing_Gold__Knowing_that_gold"/>
      <w:pPr>
        <w:keepNext/>
        <w:pStyle w:val="Heading 4"/>
        <w:keepLines w:val="on"/>
      </w:pPr>
      <w:r>
        <w:t>Định giá vàng</w:t>
      </w:r>
      <w:bookmarkEnd w:id="5747"/>
      <w:bookmarkEnd w:id="5748"/>
    </w:p>
    <w:p>
      <w:pPr>
        <w:pStyle w:val="Para 03"/>
      </w:pPr>
      <w:r>
        <w:t>Biết rằng giá vàng biến động cùng với lạm phát, phần bù rủi ro vốn cổ phần và lãi suất thực là hữu ích, nhưng nó vẫn không giúp chúng ta trả lời câu hỏi cơ bản là liệu giá vàng ngày nay có quá cao hay quá thấp không. Bạn có thể định giá vàng so với các khoản đầu tư khác hoặc so với chính nó không?</w:t>
      </w:r>
    </w:p>
    <w:p>
      <w:bookmarkStart w:id="5749" w:name="A__Against_Inflation__In_compani"/>
      <w:pPr>
        <w:pStyle w:val="Para 21"/>
      </w:pPr>
      <w:r>
        <w:t>A. Chống lại Lạm phát</w:t>
      </w:r>
      <w:bookmarkEnd w:id="5749"/>
    </w:p>
    <w:p>
      <w:pPr>
        <w:pStyle w:val="Para 03"/>
      </w:pPr>
      <w:r>
        <w:t>Trong các bài báo đồng hành, Erb và Harvey (2015) xem xét mối quan hệ giữa giá vàng và lạm phát. Trong những bài báo này, giá vàng được liên hệ với chỉ số CPI và một tỷ lệ giữa giá vàng so với chỉ số CPI được tính toán. Chúng tôi cố gắng tái tạo lại các phát hiện của họ, và chúng tôi sử dụng chỉ số CPI của Bộ Lao động Hoa Kỳ cho tất cả các mặt hàng (và tất cả người tiêu dùng thành thị) được đặt cơ sở là 100 vào năm 1982–1984 nhưng với dữ liệu kéo dài từ năm 1947. Mức của chỉ số vào tháng 12 năm 2023 là 308,742. Chia giá vàng 2.063 USD/oz vào ngày 31 tháng 12 năm 2023 cho mức chỉ số CPI, ta được giá trị 6,68. Để có thước đo xem con số đó là cao hay thấp, chúng tôi đã tính toán nó mỗi năm kể từ năm 1963 trong Hình 27.8.</w:t>
      </w:r>
    </w:p>
    <w:p>
      <w:bookmarkStart w:id="5752" w:name="Figure_27_8_Gold_price_and_CPI_I"/>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778000"/>
            <wp:effectExtent l="0" r="0" t="0" b="0"/>
            <wp:wrapTopAndBottom/>
            <wp:docPr id="245" name="c27f008.png" descr="Line and bar graph plots the median value post 1971 as 3.77 and median value as 2.93 of gold price from 1963 to 2023."/>
            <wp:cNvGraphicFramePr>
              <a:graphicFrameLocks noChangeAspect="1"/>
            </wp:cNvGraphicFramePr>
            <a:graphic>
              <a:graphicData uri="http://schemas.openxmlformats.org/drawingml/2006/picture">
                <pic:pic>
                  <pic:nvPicPr>
                    <pic:cNvPr id="0" name="c27f008.png" descr="Line and bar graph plots the median value post 1971 as 3.77 and median value as 2.93 of gold price from 1963 to 2023."/>
                    <pic:cNvPicPr/>
                  </pic:nvPicPr>
                  <pic:blipFill>
                    <a:blip r:embed="rId177"/>
                    <a:stretch>
                      <a:fillRect/>
                    </a:stretch>
                  </pic:blipFill>
                  <pic:spPr>
                    <a:xfrm>
                      <a:off x="0" y="0"/>
                      <a:ext cx="2438400" cy="1778000"/>
                    </a:xfrm>
                    <a:prstGeom prst="rect">
                      <a:avLst/>
                    </a:prstGeom>
                  </pic:spPr>
                </pic:pic>
              </a:graphicData>
            </a:graphic>
          </wp:anchor>
        </w:drawing>
      </w:r>
      <w:bookmarkEnd w:id="5752"/>
    </w:p>
    <w:p>
      <w:pPr>
        <w:keepNext/>
        <w:pStyle w:val="Para 22"/>
        <w:keepLines w:val="on"/>
      </w:pPr>
      <w:r>
        <w:t>Hình 27.8 Giá vàng và Chỉ số CPI: 1963–2023</w:t>
      </w:r>
    </w:p>
    <w:p>
      <w:pPr>
        <w:pStyle w:val="Para 03"/>
      </w:pPr>
      <w:r>
        <w:t>Giá trị trung vị là 2,93 cho giai đoạn 1963–2023, và 3,77 cho giai đoạn 1971–2023. Do đó, nếu chỉ dựa thuần túy vào việc so sánh thước đo hiện tại của tỷ lệ Vàng/CPI với các trung vị lịch sử thì sẽ bỏ qua thực tế rằng lãi suất và lạm phát thấp hơn trong thập kỷ qua có thể đang làm lệch các số liệu thống kê. Vì vậy, chúng tôi đã hồi quy chỉ số Vàng/CPI theo phần bù rủi ro vốn cổ phần (equity risk premium - ERP) và lãi suất thực bằng cách sử dụng giai đoạn 1960–2023, và trong khi lãi suất thực dường như có ít tác động lên tỷ lệ Vàng/CPI, có bằng chứng mạnh mẽ rằng nó biến động cùng với ERP, tăng (giảm) khi ERP tăng (giảm):</w:t>
      </w:r>
    </w:p>
    <w:p>
      <w:bookmarkStart w:id="5754" w:name="Gold_CPI__1_86_123_24_Equity_Ris"/>
      <w:pPr>
        <w:keepNext/>
        <w:pStyle w:val="Para 09"/>
        <w:keepLines w:val="on"/>
      </w:pPr>
      <w:r>
        <w:t>Vàng/CPI=-1,86+123,24 Phần bù rủi ro vốn cổ phần R2=52,7% (2,76) (8,11)</w:t>
      </w:r>
      <w:bookmarkEnd w:id="5754"/>
    </w:p>
    <w:p>
      <w:pPr>
        <w:pStyle w:val="Para 03"/>
      </w:pPr>
      <w:r>
        <w:t>Phần bù rủi ro vốn cổ phần ngụ ý cho S&amp;P 500 vào đầu tháng 6 năm 2024 là 4,27 phần bù rủi ro vốn cổ phần, và thay giá trị đó vào hồi quy vàng/CPI ta được kết quả sau:</w:t>
      </w:r>
    </w:p>
    <w:p>
      <w:bookmarkStart w:id="5755" w:name="Gold_CPI_given_ERP_of_4_27__in_6"/>
      <w:pPr>
        <w:keepNext/>
        <w:pStyle w:val="Para 09"/>
        <w:keepLines w:val="on"/>
      </w:pPr>
      <w:r>
        <w:t>Vàng/CPI(với ERP là 4,27% vào tháng 6/24)=-1,86+123,24(0,0427)=3,41</w:t>
      </w:r>
      <w:bookmarkEnd w:id="5755"/>
    </w:p>
    <w:p>
      <w:pPr>
        <w:pStyle w:val="Para 03"/>
      </w:pPr>
      <w:r>
        <w:t>Nói đơn giản, vàng có vẻ bị định giá quá cao vào tháng 6 năm 2024, ngay cả sau khi đã điều chỉnh cho sự thay đổi của phần bù rủi ro vốn cổ phần.</w:t>
      </w:r>
    </w:p>
    <w:p>
      <w:bookmarkStart w:id="5756" w:name="B__Against_Other_Precious_Metals"/>
      <w:pPr>
        <w:pStyle w:val="Para 21"/>
      </w:pPr>
      <w:r>
        <w:t>B. So với Các Kim loại Quý Khác</w:t>
      </w:r>
      <w:bookmarkEnd w:id="5756"/>
    </w:p>
    <w:p>
      <w:pPr>
        <w:pStyle w:val="Para 03"/>
      </w:pPr>
      <w:r>
        <w:t>Có một cách khác để bạn có thể định hình giá trị tương đối của vàng, đó là so với các kim loại quý khác. Ví dụ, bạn có thể định giá vàng so với bạc, và đưa ra phán đoán xem nó rẻ hay đắt (trên cơ sở tương đối). Vào cuối tháng 12 năm 2023, giá vàng là 2.062,92 USD/oz, và giá bạc là 29,47 USD/oz, tạo ra tỷ lệ 70,00 giữa giá vàng và giá bạc (2602,92/29,47). Để có thước đo xem con số này đứng ở đâu trong bối cảnh lịch sử, chúng tôi đã xem xét tỷ lệ giá vàng so với giá bạc từ năm 1963 đến 2023 trong Hình 27.9.</w:t>
      </w:r>
    </w:p>
    <w:p>
      <w:pPr>
        <w:pStyle w:val="Para 20"/>
      </w:pPr>
      <w:r>
        <w:rPr>
          <w:rStyle w:val="Text26"/>
        </w:rPr>
        <w:bookmarkStart w:id="5759" w:name="Page_891"/>
        <w:t/>
        <w:bookmarkEnd w:id="5759"/>
      </w:r>
      <w:r>
        <w:t xml:space="preserve"> </w:t>
      </w:r>
    </w:p>
    <w:p>
      <w:bookmarkStart w:id="5760" w:name="Figure_27_9_Gold_and_Silver_Pric"/>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778000"/>
            <wp:effectExtent l="0" r="0" t="0" b="0"/>
            <wp:wrapTopAndBottom/>
            <wp:docPr id="246" name="c27f009.png" descr="Line and bar graph plots the median value as 57.09 of gold and silver prices from 1963 to 2023."/>
            <wp:cNvGraphicFramePr>
              <a:graphicFrameLocks noChangeAspect="1"/>
            </wp:cNvGraphicFramePr>
            <a:graphic>
              <a:graphicData uri="http://schemas.openxmlformats.org/drawingml/2006/picture">
                <pic:pic>
                  <pic:nvPicPr>
                    <pic:cNvPr id="0" name="c27f009.png" descr="Line and bar graph plots the median value as 57.09 of gold and silver prices from 1963 to 2023."/>
                    <pic:cNvPicPr/>
                  </pic:nvPicPr>
                  <pic:blipFill>
                    <a:blip r:embed="rId178"/>
                    <a:stretch>
                      <a:fillRect/>
                    </a:stretch>
                  </pic:blipFill>
                  <pic:spPr>
                    <a:xfrm>
                      <a:off x="0" y="0"/>
                      <a:ext cx="2438400" cy="1778000"/>
                    </a:xfrm>
                    <a:prstGeom prst="rect">
                      <a:avLst/>
                    </a:prstGeom>
                  </pic:spPr>
                </pic:pic>
              </a:graphicData>
            </a:graphic>
          </wp:anchor>
        </w:drawing>
      </w:r>
      <w:bookmarkEnd w:id="5760"/>
    </w:p>
    <w:p>
      <w:pPr>
        <w:keepNext/>
        <w:pStyle w:val="Para 22"/>
        <w:keepLines w:val="on"/>
      </w:pPr>
      <w:r>
        <w:t>Hình 27.9 Giá vàng và bạc: 1963–2023</w:t>
      </w:r>
    </w:p>
    <w:p>
      <w:pPr>
        <w:pStyle w:val="Para 03"/>
      </w:pPr>
      <w:r>
        <w:t>Giá trị trung vị là 57,09 trong giai đoạn 1963–2012 sẽ gợi ý rằng vàng đang bị định giá quá cao so với bạc. Vì vàng và bạc thường biến động cùng nhau nhiều hơn là ngược chiều nhau, chúng tôi không chắc rằng mối quan hệ này có thể được khai thác để trả lời câu hỏi liệu vàng có được định giá hợp lý ngày hôm nay hay không, nhưng nó vẫn có thể là cơ sở để giao dịch giữa các kim loại quý.</w:t>
      </w:r>
    </w:p>
    <w:p>
      <w:bookmarkStart w:id="5761" w:name="C__Gold_as_Insurance__It_can_be"/>
      <w:pPr>
        <w:pStyle w:val="Para 21"/>
      </w:pPr>
      <w:r>
        <w:t>C. Vàng như một Dạng Bảo hiểm</w:t>
      </w:r>
      <w:bookmarkEnd w:id="5761"/>
    </w:p>
    <w:p>
      <w:pPr>
        <w:pStyle w:val="Para 03"/>
      </w:pPr>
      <w:r>
        <w:t>Có thể lập luận rằng việc định giá vàng so với bạc hay so với chỉ số lạm phát đã bỏ qua lý do chính yếu khiến các nhà đầu tư nắm giữ vàng (tức là như một dạng bảo hiểm chống lại những rủi ro không phổ biến nhưng có khả năng gây thảm họa cho tài sản của họ, từ siêu lạm phát đến chiến tranh và khủng bố). Nhìn từ góc độ đó, vàng vận hành như một dạng bảo hiểm cho nhà đầu tư mà tài sản của họ chủ yếu là tài chính, và do đó, phơi nhiễm với những rủi ro thảm họa này. Nói theo cách ít trừu tượng hơn, nếu bạn thêm vàng vào danh mục đầu tư của mình, thì không phải để kiếm tiền, mà là để mua sự bảo vệ chống lại các sự kiện "thiên nga đen" (black swan) có thể nhấn chìm các khoản đầu tư khác của bạn. Nếu bạn xem vàng như một hàng rào/bảo hiểm chống lại rủi ro sự kiện, thì có hai hàm ý:</w:t>
      </w:r>
    </w:p>
    <w:p>
      <w:pPr>
        <w:numPr>
          <w:ilvl w:val="0"/>
          <w:numId w:val="324"/>
        </w:numPr>
        <w:pStyle w:val="Para 01"/>
      </w:pPr>
      <w:r>
        <w:t>Bạn không nên kỳ vọng vàng sẽ tạo ra lợi nhuận hàng năm cao trong các giai đoạn dài. Trên thực tế, bất chấp những giai đoạn bùng nổ (thập niên 1970 và thập kỷ vừa qua), vàng phần lớn đã tạo ra lợi nhuận thấp trong các giai đoạn dài, so với các khoản đầu tư rủi ro khác.</w:t>
      </w:r>
    </w:p>
    <w:p>
      <w:pPr>
        <w:numPr>
          <w:ilvl w:val="0"/>
          <w:numId w:val="324"/>
        </w:numPr>
        <w:pStyle w:val="Para 01"/>
      </w:pPr>
      <w:r>
        <w:t>Theo đó cũng suy ra rằng giá vàng nên phản ánh chi phí mua bảo hiểm, mà đến lượt nó, sẽ được dẫn dắt bởi sự bất định mà bạn cảm nhận về tương lai và khả năng xảy ra các sự kiện thảm họa. Do đó, nhiều cuộc khủng hoảng trong thập kỷ qua (ngân hàng, chiến tranh, khủng bố) giải thích cả sự tăng vọt của giá vàng trong thập kỷ qua lẫn mối tương quan với phần bù rủi ro vốn cổ phần.</w:t>
      </w:r>
    </w:p>
    <w:p>
      <w:pPr>
        <w:pStyle w:val="Para 03"/>
      </w:pPr>
      <w:r>
        <w:t>Đáng lưu ý rằng vàng không phải là dạng bảo hiểm duy nhất chống lại các sự kiện thiên nga đen. Có những cách khác, sử dụng các tài sản thực khác (ví dụ: đồ sưu tầm, bất động sản, các hàng hóa khác) hoặc các công cụ phái sinh tài chính (bao gồm quyền chọn bán trên các chỉ số) có thể mang lại kết quả phòng ngừa tương tự, có lẽ với chi phí thấp hơn.</w:t>
      </w:r>
    </w:p>
    <w:p>
      <w:bookmarkStart w:id="5764" w:name="Bitcoin"/>
      <w:bookmarkStart w:id="5765" w:name="Bitcoin__Since_its_inception_in"/>
      <w:pPr>
        <w:keepNext/>
        <w:pStyle w:val="Heading 3"/>
        <w:keepLines w:val="on"/>
      </w:pPr>
      <w:r>
        <w:t>Bitcoin</w:t>
      </w:r>
      <w:bookmarkEnd w:id="5764"/>
      <w:bookmarkEnd w:id="5765"/>
    </w:p>
    <w:p>
      <w:pPr>
        <w:pStyle w:val="Para 03"/>
      </w:pPr>
      <w:r>
        <w:t>Kể từ khi ra đời vào tháng 11 năm 2008, đã có nhiều bài viết và thảo luận về Bitcoin hơn mức mà tổng vốn hóa thị trường của nó xứng đáng được nhận, vốn ngay cả ở mức giá đỉnh điểm cũng chỉ ít hơn vốn hóa thị trường của một công ty duy nhất đứng đầu bảng xếp hạng vốn hóa. Dù vậy, nó có những người ủng hộ rõ ràng tin rằng nó đại diện cho tương lai, không bị ràng buộc bởi chính phủ và ngân hàng trung ương, và những nhà phê bình lập luận rằng nó không đáng một xu. Trong phần này, chúng ta sẽ xem xét lập luận từ cả hai phía, và đánh giá bằng chứng, ít nhất là trong giai đoạn mà Bitcoin đã tồn tại.</w:t>
      </w:r>
    </w:p>
    <w:p>
      <w:bookmarkStart w:id="5766" w:name="Pathways_for_Bitcoin"/>
      <w:bookmarkStart w:id="5767" w:name="Pathways_for_Bitcoin__The_first"/>
      <w:pPr>
        <w:keepNext/>
        <w:pStyle w:val="Heading 4"/>
        <w:keepLines w:val="on"/>
      </w:pPr>
      <w:r>
        <w:t>Các Con đường cho Bitcoin</w:t>
      </w:r>
      <w:bookmarkEnd w:id="5766"/>
      <w:bookmarkEnd w:id="5767"/>
    </w:p>
    <w:p>
      <w:pPr>
        <w:pStyle w:val="Para 03"/>
      </w:pPr>
      <w:r>
        <w:t>Bước đầu tiên để có một cuộc tranh luận nghiêm túc về bitcoin là phải quyết định xem nó là một tài sản, tiền tệ, hàng hóa, hay đồ sưu tầm. Bitcoin không phải là một tài sản, vì nó không tạo ra dòng tiền đứng độc lập cho những người nắm giữ nó (cho đến khi bạn bán nó). Nó không phải là hàng hóa, vì nó không phải là nguyên liệu thô có thể được sử dụng trong việc sản xuất ra một thứ gì đó hữu ích. Ngoại lệ duy nhất mà chúng tôi có thể nghĩ đến là nếu nó trở thành một thành phần thiết yếu của các hợp đồng thông minh (smart contract), thì nó có thể đảm nhận vai trò của một hàng hóa; đó có thể là cứu cánh của Ethereum, vì nó đã được tiếp thị ít như một loại tiền tệ mà nhiều hơn như một chất bôi trơn cho hợp đồng thông minh. Lựa chọn sau đó trở thành liệu nó là tiền tệ hay đồ sưu tầm, với một số người ủng hộ nghiêng về cái trước và những người khác nghiêng về cái sau. Nói chung, có ba con đường khả dĩ mà chúng tôi thấy cho Bitcoin, ngay cả khi nhìn nó qua con mắt của cả những người ủng hộ lẫn những nhà phê bình.</w:t>
      </w:r>
    </w:p>
    <w:p>
      <w:pPr>
        <w:numPr>
          <w:ilvl w:val="0"/>
          <w:numId w:val="325"/>
        </w:numPr>
        <w:pStyle w:val="Para 01"/>
      </w:pPr>
      <w:r>
        <w:t>Một Đồng Tiền Kỹ thuật số Toàn cầu: Trong kịch bản tốt nhất, Bitcoin giành được sự chấp nhận rộng rãi trong các giao dịch trên khắp thế giới, trở thành một đồng tiền kỹ thuật số toàn cầu được sử dụng rộng rãi. Để điều này xảy ra, nó phải trở nên ổn định hơn (so với các loại tiền tệ khác), các ngân hàng trung ương và chính phủ trên khắp thế giới phải chấp nhận việc sử dụng nó (hoặc ít nhất là không tích cực cố gắng cản trở nó), và hào quang bí ẩn xung quanh nó phải phai nhạt. Nếu điều đó xảy ra, nó có thể cạnh tranh với các loại tiền pháp định (fiat currency), và với việc thuật toán đặt ra giới hạn cho việc tạo ra nó, mức giá cao của nó có thể được biện minh.</w:t>
      </w:r>
    </w:p>
    <w:p>
      <w:pPr>
        <w:numPr>
          <w:ilvl w:val="0"/>
          <w:numId w:val="325"/>
        </w:numPr>
        <w:pStyle w:val="Para 01"/>
      </w:pPr>
      <w:r>
        <w:t>Vàng cho Thế hệ Millennials: Trong kịch bản này, Bitcoin trở thành một nơi trú ẩn cho những người không tin tưởng ngân hàng trung ương, chính phủ và tiền pháp định. Nói ngắn gọn, nó đảm nhận vai trò mà vàng đã có, trong lịch sử, đối với những người đã mất niềm tin vào hoặc sợ hãi quyền lực tập trung. Thật thú vị khi ngôn ngữ của Bitcoin đầy thuật ngữ khai thác mỏ (mining), vì điều đó gợi ý rằng dù cố ý hay vô tình, những người tạo ra Bitcoin đã chia sẻ tầm nhìn này. Trên thực tế, giới hạn cứng 21 triệu của Bitcoin tương thích với kịch bản này hơn là kịch bản đầu tiên. Nếu kịch bản này diễn ra, và Bitcoin cho thấy sức bền tương tự như vàng, nó sẽ hành xử như vàng, tăng trong các cuộc khủng hoảng và giảm trong những giai đoạn lạc quan hơn.</w:t>
      </w:r>
    </w:p>
    <w:p>
      <w:pPr>
        <w:numPr>
          <w:ilvl w:val="0"/>
          <w:numId w:val="325"/>
        </w:numPr>
        <w:pStyle w:val="Para 01"/>
      </w:pPr>
      <w:r>
        <w:t>Củ Tulip của Thế kỷ 21: Trong kịch bản tồi tệ nhất này, Bitcoin giống như một ngôi sao băng, thu hút nhiều tiền hơn khi nó vút lên, từ những người coi nó như một nguồn lợi nhuận dễ dàng, nhưng cũng nhanh chóng lụi tàn khi những nhà giao dịch này chuyển sang một thứ mới và khác biệt (có thể là một loại tiền kỹ thuật số khác và được thiết kế tốt hơn), để lại cho những người nắm giữ Bitcoin những ký ức về điều đã có thể xảy ra. Nếu điều này xảy ra, Bitcoin rất có thể trở thành tương đương với củ tulip, một vật thể đầu cơ đã chứng kiến giá cả tăng vọt vào những năm 1600 ở Hà Lan, trước khi sụp đổ sau đó.</w:t>
      </w:r>
    </w:p>
    <w:p>
      <w:pPr>
        <w:pStyle w:val="Para 03"/>
      </w:pPr>
      <w:r>
        <w:t>Về việc con đường nào trong số này sẽ diễn ra, nếu bạn đang giao dịch Bitcoin, bạn rất có thể không quan tâm, vì khung thời gian của bạn có thể là vài phút và vài giờ, chứ không phải vài tuần, vài tháng hay vài năm. Tuy nhiên, nếu bạn có mối quan tâm dài hạn với Bitcoin, thì trọng tâm của bạn nên ít hơn vào sự ồn ào của các biến động giá hàng ngày, và nhiều hơn vào những tiến bộ trong việc sử dụng nó như một loại tiền tệ. Cũng lưu ý rằng bạn có thể là người bi quan về Bitcoin và các loại tiền mã hóa khác, nhưng lại lạc quan về công nghệ nền tảng, đặc biệt là blockchain, và tiềm năng đột phá của nó.</w:t>
      </w:r>
    </w:p>
    <w:p>
      <w:bookmarkStart w:id="5769" w:name="Bitcoin_as_Digital_Currency"/>
      <w:bookmarkStart w:id="5770" w:name="Bitcoin_as_Digital_Currency__In"/>
      <w:pPr>
        <w:keepNext/>
        <w:pStyle w:val="Heading 4"/>
        <w:keepLines w:val="on"/>
      </w:pPr>
      <w:r>
        <w:t>Bitcoin như một loại tiền kỹ thuật số</w:t>
      </w:r>
      <w:bookmarkEnd w:id="5769"/>
      <w:bookmarkEnd w:id="5770"/>
    </w:p>
    <w:p>
      <w:pPr>
        <w:pStyle w:val="Para 03"/>
      </w:pPr>
      <w:r>
        <w:t>Sau hậu quả của cuộc khủng hoảng năm 2008, khi các nhà đầu tư đã mất niềm tin vào các tổ chức, những người ủng hộ Bitcoin lập luận rằng nó có vị thế tốt để thay thế các loại tiền pháp định (fiat currency) và trở thành một loại tiền kỹ thuật số toàn cầu. Trong thế giới mà họ hình dung, ngày càng nhiều doanh nghiệp sẽ chấp nhận Bitcoin như phương thức thanh toán cho hàng hóa và dịch vụ, và người tiêu dùng sẽ sử dụng ví Bitcoin của mình để mua sắm, dù là giao dịch nhỏ hay lớn.</w:t>
      </w:r>
    </w:p>
    <w:p>
      <w:pPr>
        <w:pStyle w:val="Para 03"/>
      </w:pPr>
      <w:r>
        <w:t>Hơn một thập kỷ sau, lời hứa đó phần lớn vẫn chưa được thực hiện. Dù giá Bitcoin đã tăng vọt và tạo ra những triệu phú trong số những người biết canh thời điểm vào và ra khỏi thị trường giao dịch Bitcoin, việc sử dụng Bitcoin trong các giao dịch lại khá chậm chạp, như có thể thấy trong Hình 27.10, nơi chúng ta xem xét việc sử dụng Bitcoin trong các giao dịch theo từng năm.</w:t>
      </w:r>
    </w:p>
    <w:p>
      <w:bookmarkStart w:id="5772" w:name="Figure_27_10_Business_Transactio"/>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13000" cy="1193800"/>
            <wp:effectExtent l="0" r="0" t="0" b="0"/>
            <wp:wrapTopAndBottom/>
            <wp:docPr id="247" name="c27f010.png" descr="Line graph plots the increase in market price and confirmed transaction per day of Bitcoin in dollars from 2010 to 2023."/>
            <wp:cNvGraphicFramePr>
              <a:graphicFrameLocks noChangeAspect="1"/>
            </wp:cNvGraphicFramePr>
            <a:graphic>
              <a:graphicData uri="http://schemas.openxmlformats.org/drawingml/2006/picture">
                <pic:pic>
                  <pic:nvPicPr>
                    <pic:cNvPr id="0" name="c27f010.png" descr="Line graph plots the increase in market price and confirmed transaction per day of Bitcoin in dollars from 2010 to 2023."/>
                    <pic:cNvPicPr/>
                  </pic:nvPicPr>
                  <pic:blipFill>
                    <a:blip r:embed="rId179"/>
                    <a:stretch>
                      <a:fillRect/>
                    </a:stretch>
                  </pic:blipFill>
                  <pic:spPr>
                    <a:xfrm>
                      <a:off x="0" y="0"/>
                      <a:ext cx="2413000" cy="1193800"/>
                    </a:xfrm>
                    <a:prstGeom prst="rect">
                      <a:avLst/>
                    </a:prstGeom>
                  </pic:spPr>
                </pic:pic>
              </a:graphicData>
            </a:graphic>
          </wp:anchor>
        </w:drawing>
      </w:r>
      <w:bookmarkEnd w:id="5772"/>
    </w:p>
    <w:p>
      <w:pPr>
        <w:keepNext/>
        <w:pStyle w:val="Para 22"/>
        <w:keepLines w:val="on"/>
      </w:pPr>
      <w:r>
        <w:t>Hình 27.10 Các giao dịch thương mại bằng Bitcoin</w:t>
      </w:r>
    </w:p>
    <w:p>
      <w:pPr>
        <w:pStyle w:val="Para 03"/>
      </w:pPr>
      <w:r>
        <w:t>Như bạn có thể thấy, số lượng giao dịch bằng Bitcoin đã trì trệ trong giai đoạn từ 2018 đến 2022, và dù nó có tăng vào năm 2023, việc nó vẫn còn ít được sử dụng cũng được củng cố bởi các số liệu thống kê khác. Chẳng hạn, một khảo sát của Cục Dự trữ Liên bang (Federal Reserve) đối với các hộ gia đình Mỹ vào tháng 5 năm 2023 cho thấy dù 8% hộ gia đình vẫn sẵn sàng giao dịch Bitcoin như một khoản đầu tư, chỉ có 2% đã dùng nó để mua thứ gì đó hoặc thực hiện thanh toán.6</w:t>
      </w:r>
    </w:p>
    <w:p>
      <w:pPr>
        <w:pStyle w:val="Para 03"/>
      </w:pPr>
      <w:r>
        <w:t>Có những lý do chính đáng giải thích vì sao Bitcoin chưa tìm được chỗ đứng như một loại tiền tệ được sử dụng rộng rãi trong kinh doanh. Nhiều lý do nằm ở chính thiết kế của nó, với những đặc điểm không tương thích với một loại tiền tệ tốt.</w:t>
      </w:r>
    </w:p>
    <w:p>
      <w:pPr>
        <w:numPr>
          <w:ilvl w:val="0"/>
          <w:numId w:val="326"/>
        </w:numPr>
        <w:pStyle w:val="Para 01"/>
      </w:pPr>
      <w:r>
        <w:t>Giới hạn tuyệt đối 21 triệu bitcoin đang lưu hành ngụ ý rằng, khi các nền kinh tế áp dụng bitcoin làm tiền tệ và trải qua tăng trưởng thực, họ sẽ phải đối mặt với giảm phát (deflation).</w:t>
      </w:r>
    </w:p>
    <w:p>
      <w:pPr>
        <w:numPr>
          <w:ilvl w:val="0"/>
          <w:numId w:val="326"/>
        </w:numPr>
        <w:pStyle w:val="Para 01"/>
      </w:pPr>
      <w:r>
        <w:t>Việc phụ thuộc vào blockchain để kiểm tra xem người mua có blockchain trong ví của họ hay không và để chuyển số bitcoin đó cho người bán giúp loại bỏ sự phụ thuộc vào các tổ chức tập trung, nhưng nó đi kèm với một cái giá. Bitcoin là một loại tiền tệ kém hiệu quả, với mỗi giao dịch tốn nhiều thời gian hơn và chi phí cao hơn.</w:t>
      </w:r>
    </w:p>
    <w:p>
      <w:pPr>
        <w:pStyle w:val="Para 03"/>
      </w:pPr>
      <w:r>
        <w:t>Việc Bitcoin đã trở thành một kênh đầu cơ càng làm vấn đề thêm trầm trọng, vì giá của nó biến động dữ dội, như có thể thấy trong Hình 27.11.</w:t>
      </w:r>
    </w:p>
    <w:p>
      <w:bookmarkStart w:id="5776" w:name="Figure_27_11_Bitcoin_Price_over"/>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1765300"/>
            <wp:effectExtent l="0" r="0" t="0" b="0"/>
            <wp:wrapTopAndBottom/>
            <wp:docPr id="248" name="c27f011.png" descr="Line graph and a table depict the increase in price value of Bitcoin from 2014 to 2024."/>
            <wp:cNvGraphicFramePr>
              <a:graphicFrameLocks noChangeAspect="1"/>
            </wp:cNvGraphicFramePr>
            <a:graphic>
              <a:graphicData uri="http://schemas.openxmlformats.org/drawingml/2006/picture">
                <pic:pic>
                  <pic:nvPicPr>
                    <pic:cNvPr id="0" name="c27f011.png" descr="Line graph and a table depict the increase in price value of Bitcoin from 2014 to 2024."/>
                    <pic:cNvPicPr/>
                  </pic:nvPicPr>
                  <pic:blipFill>
                    <a:blip r:embed="rId180"/>
                    <a:stretch>
                      <a:fillRect/>
                    </a:stretch>
                  </pic:blipFill>
                  <pic:spPr>
                    <a:xfrm>
                      <a:off x="0" y="0"/>
                      <a:ext cx="2425700" cy="1765300"/>
                    </a:xfrm>
                    <a:prstGeom prst="rect">
                      <a:avLst/>
                    </a:prstGeom>
                  </pic:spPr>
                </pic:pic>
              </a:graphicData>
            </a:graphic>
          </wp:anchor>
        </w:drawing>
      </w:r>
      <w:bookmarkEnd w:id="5776"/>
    </w:p>
    <w:p>
      <w:pPr>
        <w:keepNext/>
        <w:pStyle w:val="Para 22"/>
        <w:keepLines w:val="on"/>
      </w:pPr>
      <w:r>
        <w:t>Hình 27.11 Giá Bitcoin qua thời gian</w:t>
      </w:r>
    </w:p>
    <w:p>
      <w:pPr>
        <w:pStyle w:val="Para 03"/>
      </w:pPr>
      <w:r>
        <w:t>Các doanh nghiệp cố gắng định giá hàng hóa và dịch vụ của mình bằng bitcoin sẽ phải liên tục đặt lại giá khi giá của nó dao động, và phải lo lắng về sự biến động sau giao dịch. Những loại tiền tệ tốt thường ổn định, còn bitcoin thì hoàn toàn ngược lại.</w:t>
      </w:r>
    </w:p>
    <w:p>
      <w:pPr>
        <w:pStyle w:val="Para 03"/>
      </w:pPr>
      <w:r>
        <w:t>Những người ủng hộ Bitcoin đã nhanh chóng ăn mừng những thành công nhỏ mà đồng tiền này đạt được theo thời gian. Vào tháng 9 năm 2021, El Salvador tuyên bố rằng Bitcoin sẽ là tiền tệ hợp pháp tại quốc gia này, buộc các doanh nghiệp phải chấp nhận nó nếu người mua chọn thanh toán bằng nó. Dù đó là một bước tiến, nó đi kèm với hai lưu ý. Thứ nhất là ngay cả ở El Salvador, 89% người Salvador đã không sử dụng đồng tiền này vào năm 2023, và chính phủ đã chứng kiến sự bất ổn trong vận mệnh của mình, do sự biến động giá của Bitcoin. Thứ hai là, nếu lập luận của bạn cho rằng Bitcoin sẽ là sự thay thế tốt cho các quốc gia có đồng tiền thất bại (những đồng tiền bị lạm phát tàn phá và các ngân hàng trung ương hành xử sai lệch), thì đó chỉ là một thị trường ngách và là một thị trường nhỏ.</w:t>
      </w:r>
    </w:p>
    <w:p>
      <w:bookmarkStart w:id="5778" w:name="Bitcoin_as_a_Collectible"/>
      <w:bookmarkStart w:id="5779" w:name="Bitcoin_as_a_Collectible__There"/>
      <w:pPr>
        <w:keepNext/>
        <w:pStyle w:val="Heading 4"/>
        <w:keepLines w:val="on"/>
      </w:pPr>
      <w:r>
        <w:t>Bitcoin như một món đồ sưu tầm</w:t>
      </w:r>
      <w:bookmarkEnd w:id="5778"/>
      <w:bookmarkEnd w:id="5779"/>
    </w:p>
    <w:p>
      <w:pPr>
        <w:pStyle w:val="Para 03"/>
      </w:pPr>
      <w:r>
        <w:t>Có một lập luận thứ hai cho Bitcoin, và lập luận này bắt nguồn từ những lập luận mà chúng ta đã đưa ra cho vàng trong phần trước. Thực tế, ví bitcoin như "vàng của thế hệ thiên niên kỷ" không phải là một phép so sánh tồi, nhưng nó cần được kiểm tra kỹ lưỡng. Để một khoản đầu tư trở thành một món đồ sưu tầm tốt, nó phải đáp ứng hai đặc điểm. Thứ nhất là sự khan hiếm, vì bất kỳ khoản đầu tư nào mà số lượng đơn vị có thể tăng lên đáng kể đều sẽ mất giá trị. Thứ hai là sức hấp dẫn lâu bền, vì khoản đầu tư phải hấp dẫn các nhà đầu tư không chỉ hiện tại mà còn cả trong tương lai xa. Vàng, món đồ sưu tầm bền bỉ nhất trong lịch sử, đáp ứng cả hai yêu cầu. Số lượng có hạn, dù việc khai thác thêm vàng có thể làm tăng số lượng nhưng chỉ dần dần theo thời gian. Sức hấp dẫn thì lâu bền, vì nó dường như đã tìm được chỗ đứng ngay cả trong các nền văn minh cổ đại. Với Bitcoin, bài kiểm tra khan hiếm được đáp ứng, vì chỉ có thể có 21 triệu đồng đang lưu hành, nhưng thách thức sẽ là liệu các loại tiền kỹ thuật số khác có trở thành những thứ gần như thay thế được cho nó hay không. Bài kiểm tra sức hấp dẫn lâu bền thì khó thực hiện, vì Bitcoin mới tồn tại chưa đầy hai thập kỷ. Nhưng những người ủng hộ có thể chỉ ra rằng Bitcoin, từng bị coi là đã chết nhiều lần, đã hồi phục sau những đợt bán tháo lặp đi lặp lại trong giai đoạn đó.</w:t>
      </w:r>
    </w:p>
    <w:p>
      <w:pPr>
        <w:pStyle w:val="Para 03"/>
      </w:pPr>
      <w:r>
        <w:t>Có một bài kiểm tra khác cho một món đồ sưu tầm, đó là vẽ ra hành vi của nó trong khủng hoảng, vì bản chất của một món đồ sưu tầm tốt là nó giữ được giá trị khi các tài sản tài chính tan chảy hoặc trong khủng hoảng. Dù còn quá sớm trong vòng đời của Bitcoin để đưa ra phán quyết cuối cùng, những kết quả ban đầu về Bitcoin như một món đồ sưu tầm không mấy thuận lợi. Trong mọi cuộc khủng hoảng thị trường từ 2010 đến 2023, Bitcoin đã hành xử ít giống vàng mà giống cổ phiếu hơn, và là những cổ phiếu rủi ro nhất. Để minh họa, hãy xem xét cuộc khủng hoảng thị trường do COVID vào năm 2020, và hành vi giá của Bitcoin trong cuộc khủng hoảng đó, được thể hiện trong Hình 27.12:</w:t>
      </w:r>
    </w:p>
    <w:p>
      <w:bookmarkStart w:id="5781" w:name="Figure_27_12_Bitcoin__Gold__and"/>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62200" cy="1612900"/>
            <wp:effectExtent l="0" r="0" t="0" b="0"/>
            <wp:wrapTopAndBottom/>
            <wp:docPr id="249" name="c27f012.png" descr="Line graph plots the increase in price of Bitcoin, gold, and S and P 500 per ounce from 2019 to 2020."/>
            <wp:cNvGraphicFramePr>
              <a:graphicFrameLocks noChangeAspect="1"/>
            </wp:cNvGraphicFramePr>
            <a:graphic>
              <a:graphicData uri="http://schemas.openxmlformats.org/drawingml/2006/picture">
                <pic:pic>
                  <pic:nvPicPr>
                    <pic:cNvPr id="0" name="c27f012.png" descr="Line graph plots the increase in price of Bitcoin, gold, and S and P 500 per ounce from 2019 to 2020."/>
                    <pic:cNvPicPr/>
                  </pic:nvPicPr>
                  <pic:blipFill>
                    <a:blip r:embed="rId181"/>
                    <a:stretch>
                      <a:fillRect/>
                    </a:stretch>
                  </pic:blipFill>
                  <pic:spPr>
                    <a:xfrm>
                      <a:off x="0" y="0"/>
                      <a:ext cx="2362200" cy="1612900"/>
                    </a:xfrm>
                    <a:prstGeom prst="rect">
                      <a:avLst/>
                    </a:prstGeom>
                  </pic:spPr>
                </pic:pic>
              </a:graphicData>
            </a:graphic>
          </wp:anchor>
        </w:drawing>
      </w:r>
      <w:bookmarkEnd w:id="5781"/>
    </w:p>
    <w:p>
      <w:pPr>
        <w:keepNext/>
        <w:pStyle w:val="Para 22"/>
        <w:keepLines w:val="on"/>
      </w:pPr>
      <w:r>
        <w:t>Hình 27.12 Bitcoin, Vàng và Cổ phiếu—Cuộc khủng hoảng thị trường do COVID năm 2020</w:t>
      </w:r>
    </w:p>
    <w:p>
      <w:pPr>
        <w:pStyle w:val="Para 03"/>
      </w:pPr>
      <w:r>
        <w:t>Khi cổ phiếu sụp đổ trong quý đầu tiên của năm 2020, với S&amp;P 500 mất một phần ba giá trị từ ngày 14 tháng 2 năm 2020 đến ngày 31 tháng 3 năm 2020, vàng giữ được giá trị, nhưng bitcoin lao dốc hơn 50%, và khi cổ phiếu phục hồi vào cuối năm, giá bitcoin tăng vọt. Nếu bạn muốn bác bỏ điều này như một đặc thù riêng của COVID, thì đáng nhớ rằng mối tương quan của Bitcoin với NASDAQ trong giai đoạn 2014 đến 2024 là 0,45, cho thấy chúng di chuyển cùng nhau phần lớn thời gian và đây không phải là một số liệu mà bạn mong đợi thấy ở một món đồ sưu tầm tốt.</w:t>
      </w:r>
    </w:p>
    <w:p>
      <w:bookmarkStart w:id="5783" w:name="Bitcoin_Reality_Checks__Combinin"/>
      <w:bookmarkStart w:id="5784" w:name="Bitcoin_Reality_Checks"/>
      <w:pPr>
        <w:keepNext/>
        <w:pStyle w:val="Heading 4"/>
        <w:keepLines w:val="on"/>
      </w:pPr>
      <w:r>
        <w:t>Những bài kiểm tra thực tế về Bitcoin</w:t>
      </w:r>
      <w:bookmarkEnd w:id="5783"/>
      <w:bookmarkEnd w:id="5784"/>
    </w:p>
    <w:p>
      <w:pPr>
        <w:pStyle w:val="Para 03"/>
      </w:pPr>
      <w:r>
        <w:t>Kết hợp phần mà chúng ta phân loại các khoản đầu tư thành tài sản, hàng hóa, tiền tệ và đồ sưu tầm với phần mà chúng ta lập luận rằng Bitcoin là một loại tiền tệ "non trẻ" cho phép chúng ta rút ra những kết luận sau:</w:t>
      </w:r>
    </w:p>
    <w:p>
      <w:pPr>
        <w:numPr>
          <w:ilvl w:val="0"/>
          <w:numId w:val="327"/>
        </w:numPr>
        <w:pStyle w:val="Para 01"/>
      </w:pPr>
      <w:r>
        <w:t>Bitcoin không phải là một lớp tài sản (asset class): Với những ai đang dành một phần danh mục đầu tư của mình cho Bitcoin, hãy rõ ràng về lý do bạn làm điều đó. Không phải vì bạn muốn có một danh mục đầu tư đa dạng hóa và nắm giữ mọi lớp tài sản, mà là vì bạn muốn sử dụng kỹ năng giao dịch của mình trên Bitcoin để tăng cường lợi nhuận danh mục đầu tư. Để bạn không coi đây là một lời chỉ trích nhắm vào tiền mã hóa (cryptocurrency), chúng tôi xin nói thêm rằng các loại tiền pháp định (như đô la Mỹ, Euro hay Yên) cũng không phải là những lớp tài sản.</w:t>
      </w:r>
    </w:p>
    <w:p>
      <w:pPr>
        <w:numPr>
          <w:ilvl w:val="0"/>
          <w:numId w:val="327"/>
        </w:numPr>
        <w:pStyle w:val="Para 01"/>
      </w:pPr>
      <w:r>
        <w:t>Bạn không thể định giá Bitcoin, bạn chỉ có thể định giá thị trường cho nó: Điều này xuất phát từ việc chấp nhận rằng Bitcoin là một loại tiền tệ, không phải một tài sản hay hàng hóa. Bất kỳ ai tuyên bố định giá được Bitcoin hoặc là có một định nghĩa về giá trị rất khác so với chúng tôi, hoặc chỉ đang bịa đặt tùy hứng khi nói.</w:t>
      </w:r>
    </w:p>
    <w:p>
      <w:pPr>
        <w:numPr>
          <w:ilvl w:val="0"/>
          <w:numId w:val="327"/>
        </w:numPr>
        <w:pStyle w:val="Para 01"/>
      </w:pPr>
      <w:r>
        <w:t>Nó sẽ được đánh giá như một loại tiền tệ: Về dài hạn, mức giá mà bạn gán cho Bitcoin sẽ phụ thuộc vào việc nó sẽ hoạt động tốt đến đâu như một loại tiền tệ. Nếu nó được chấp nhận rộng rãi như một phương tiện trao đổi và đủ ổn định để trở thành một kho lưu trữ giá trị, nó sẽ xứng đáng có một mức giá cao. Nếu nó trở thành một loại tiền tệ ven rìa mà các nhà đầu tư chạy trốn đến trong khủng hoảng, giá của nó sẽ thấp hơn. Tệ hơn, nếu nó là một loại tiền tệ tạm thời mất hết sức mua, khi bị thay thế bởi một thứ mới và khác biệt, nó sẽ sụp đổ và bốc cháy.</w:t>
      </w:r>
    </w:p>
    <w:p>
      <w:pPr>
        <w:numPr>
          <w:ilvl w:val="0"/>
          <w:numId w:val="327"/>
        </w:numPr>
        <w:pStyle w:val="Para 01"/>
      </w:pPr>
      <w:r>
        <w:t>Bạn không đầu tư vào Bitcoin, bạn giao dịch nó: Vì bạn không thể định giá Bitcoin, bạn không có thành phần then chốt mà bạn cần để trở thành một nhà đầu tư. Bạn có thể giao dịch Bitcoin và trở nên giàu có khi làm vậy, nhưng đó là vì bạn là một nhà giao dịch giỏi.</w:t>
      </w:r>
    </w:p>
    <w:p>
      <w:pPr>
        <w:numPr>
          <w:ilvl w:val="0"/>
          <w:numId w:val="327"/>
        </w:numPr>
        <w:pStyle w:val="Para 01"/>
      </w:pPr>
      <w:r>
        <w:t>Những nguyên liệu của một nhà giao dịch giỏi: Để trở thành một nhà giao dịch thành công trên Bitcoin, bạn cần nhận ra rằng những biến động trong giá của nó sẽ ít liên quan đến các yếu tố cơ bản, mà hoàn toàn liên quan đến tâm lý và đà (momentum), và những thay đổi giá lớn có thể xảy ra chỉ với một chút thông tin gia tăng.</w:t>
      </w:r>
    </w:p>
    <w:p>
      <w:pPr>
        <w:pStyle w:val="Para 03"/>
      </w:pPr>
      <w:r>
        <w:t>Liệu chúng tôi có mua Bitcoin không? Không, nhưng không phải vì những lý do mà bạn nghĩ. Không phải vì chúng tôi tin rằng nó bị định giá quá cao, vì chúng tôi không thể đưa ra phán đoán đó mà không định giá nó, và như đã nói trước đó, nó không thể được định giá. Mà là vì giao dịch bitcoin đòi hỏi một tư duy giao dịch mà chúng tôi thiếu. Nếu bạn có bản năng giao dịch tốt, bạn nên chơi trò chơi định giá thị trường, nếu bạn nhận ra rằng đó là một trò chơi mà bạn có thể thắng hàng triệu hoặc mất hàng triệu, dựa trên những dự đoán của bạn về đà giá.</w:t>
      </w:r>
    </w:p>
    <w:p>
      <w:bookmarkStart w:id="5785" w:name="Digital_Collectibles"/>
      <w:bookmarkStart w:id="5786" w:name="Digital_Collectibles__As_we_tran"/>
      <w:pPr>
        <w:keepNext/>
        <w:pStyle w:val="Heading 3"/>
        <w:keepLines w:val="on"/>
      </w:pPr>
      <w:r>
        <w:t>Vật sưu tầm kỹ thuật số</w:t>
      </w:r>
      <w:bookmarkEnd w:id="5785"/>
      <w:bookmarkEnd w:id="5786"/>
    </w:p>
    <w:p>
      <w:pPr>
        <w:pStyle w:val="Para 03"/>
      </w:pPr>
      <w:r>
        <w:t>Khi chúng ta chuyển mình sang nền kinh tế số trong thập kỷ vừa qua, chẳng có gì đáng ngạc nhiên khi bạn cũng chứng kiến sự trỗi dậy của tài sản số, nơi các nhà đầu tư bỏ tiền ra mua nội dung video hay âm thanh nguyên bản, phần lớn dưới dạng token không thể thay thế (nonfungible tokens – NFTs). Điểm bán chính là mỗi NFT đều độc nhất, và do đó, giá của chúng sẽ tăng theo thời gian. Chúng tôi chấp nhận lập luận về sự khan hiếm, nhưng chúng tôi hoài nghi về sức hấp dẫn lâu dài của những tài sản số này.</w:t>
      </w:r>
    </w:p>
    <w:p>
      <w:pPr>
        <w:pStyle w:val="Para 03"/>
      </w:pPr>
      <w:r>
        <w:t>Để cung cấp một thước đo về việc các nhà đầu tư (hay nhà giao dịch) đã trả bao nhiêu cho NFT trong những năm gần đây, Bảng 27.10 liệt kê những NFT có giá cao nhất trong vài năm qua:</w:t>
      </w:r>
    </w:p>
    <w:p>
      <w:pPr>
        <w:pStyle w:val="Para 34"/>
        <w:keepLines w:val="on"/>
      </w:pPr>
      <w:r>
        <w:t>Bảng 27.10</w:t>
      </w:r>
    </w:p>
    <w:p>
      <w:pPr>
        <w:keepNext/>
        <w:pStyle w:val="Para 35"/>
        <w:keepLines w:val="on"/>
      </w:pPr>
      <w:r>
        <w:t>Những NFT có giá cao nhất (tính đến năm 2023)</w:t>
      </w:r>
    </w:p>
    <w:tbl>
      <w:tblPr>
        <w:tblW w:type="auto" w:w="0"/>
      </w:tblPr>
      <w:tr>
        <w:tc>
          <w:tcPr>
            <w:tcW w:type="auto" w:w="0"/>
          </w:tcPr>
          <w:tbl>
            <w:tblPr>
              <w:tblW w:type="auto" w:w="0"/>
            </w:tblPr>
            <w:tr>
              <w:tc>
                <w:tcPr>
                  <w:tcW w:type="auto" w:w="0"/>
                  <w:shd w:val="clear" w:color="auto" w:fill="F0F0F0"/>
                </w:tcPr>
                <w:p>
                  <w:pPr>
                    <w:pStyle w:val="Para 29"/>
                    <w:keepLines w:val="on"/>
                  </w:pPr>
                  <w:r>
                    <w:t>NFT</w:t>
                  </w:r>
                </w:p>
              </w:tc>
              <w:tc>
                <w:tcPr>
                  <w:tcW w:type="auto" w:w="0"/>
                  <w:shd w:val="clear" w:color="auto" w:fill="F0F0F0"/>
                </w:tcPr>
                <w:p>
                  <w:pPr>
                    <w:pStyle w:val="Para 29"/>
                    <w:keepLines w:val="on"/>
                  </w:pPr>
                  <w:r>
                    <w:t>Giá đã trả (triệu $)</w:t>
                  </w:r>
                </w:p>
              </w:tc>
            </w:tr>
            <w:tr>
              <w:tc>
                <w:tcPr>
                  <w:tcW w:type="auto" w:w="0"/>
                  <w:shd w:val="clear" w:color="auto" w:fill="F0F0F0"/>
                </w:tcPr>
                <w:p>
                  <w:pPr>
                    <w:pStyle w:val="Para 02"/>
                    <w:keepLines w:val="on"/>
                  </w:pPr>
                  <w:r>
                    <w:t>Everydays: The First 5000 Days của Beeple</w:t>
                  </w:r>
                </w:p>
              </w:tc>
              <w:tc>
                <w:tcPr>
                  <w:tcW w:type="auto" w:w="0"/>
                  <w:shd w:val="clear" w:color="auto" w:fill="F0F0F0"/>
                </w:tcPr>
                <w:p>
                  <w:pPr>
                    <w:pStyle w:val="Normal"/>
                    <w:keepLines w:val="on"/>
                  </w:pPr>
                  <w:r>
                    <w:t>$69,30</w:t>
                  </w:r>
                </w:p>
              </w:tc>
            </w:tr>
            <w:tr>
              <w:tc>
                <w:tcPr>
                  <w:tcW w:type="auto" w:w="0"/>
                  <w:shd w:val="clear" w:color="auto" w:fill="F0F0F0"/>
                </w:tcPr>
                <w:p>
                  <w:pPr>
                    <w:pStyle w:val="Para 02"/>
                    <w:keepLines w:val="on"/>
                  </w:pPr>
                  <w:r>
                    <w:t>Clock của Pak</w:t>
                  </w:r>
                </w:p>
              </w:tc>
              <w:tc>
                <w:tcPr>
                  <w:tcW w:type="auto" w:w="0"/>
                  <w:shd w:val="clear" w:color="auto" w:fill="F0F0F0"/>
                </w:tcPr>
                <w:p>
                  <w:pPr>
                    <w:pStyle w:val="Normal"/>
                    <w:keepLines w:val="on"/>
                  </w:pPr>
                  <w:r>
                    <w:t>$52,70</w:t>
                  </w:r>
                </w:p>
              </w:tc>
            </w:tr>
            <w:tr>
              <w:tc>
                <w:tcPr>
                  <w:tcW w:type="auto" w:w="0"/>
                  <w:shd w:val="clear" w:color="auto" w:fill="F0F0F0"/>
                </w:tcPr>
                <w:p>
                  <w:pPr>
                    <w:pStyle w:val="Para 02"/>
                    <w:keepLines w:val="on"/>
                  </w:pPr>
                  <w:r>
                    <w:t>Human One của Beeple</w:t>
                  </w:r>
                </w:p>
              </w:tc>
              <w:tc>
                <w:tcPr>
                  <w:tcW w:type="auto" w:w="0"/>
                  <w:shd w:val="clear" w:color="auto" w:fill="F0F0F0"/>
                </w:tcPr>
                <w:p>
                  <w:pPr>
                    <w:pStyle w:val="Normal"/>
                    <w:keepLines w:val="on"/>
                  </w:pPr>
                  <w:r>
                    <w:t>$28,90</w:t>
                  </w:r>
                </w:p>
              </w:tc>
            </w:tr>
            <w:tr>
              <w:tc>
                <w:tcPr>
                  <w:tcW w:type="auto" w:w="0"/>
                  <w:shd w:val="clear" w:color="auto" w:fill="F0F0F0"/>
                </w:tcPr>
                <w:p>
                  <w:pPr>
                    <w:pStyle w:val="Para 02"/>
                    <w:keepLines w:val="on"/>
                  </w:pPr>
                  <w:r>
                    <w:t>CryptoPunk 5822</w:t>
                  </w:r>
                </w:p>
              </w:tc>
              <w:tc>
                <w:tcPr>
                  <w:tcW w:type="auto" w:w="0"/>
                  <w:shd w:val="clear" w:color="auto" w:fill="F0F0F0"/>
                </w:tcPr>
                <w:p>
                  <w:pPr>
                    <w:pStyle w:val="Normal"/>
                    <w:keepLines w:val="on"/>
                  </w:pPr>
                  <w:r>
                    <w:t>$237,00</w:t>
                  </w:r>
                </w:p>
              </w:tc>
            </w:tr>
            <w:tr>
              <w:tc>
                <w:tcPr>
                  <w:tcW w:type="auto" w:w="0"/>
                  <w:shd w:val="clear" w:color="auto" w:fill="F0F0F0"/>
                </w:tcPr>
                <w:p>
                  <w:pPr>
                    <w:pStyle w:val="Para 02"/>
                    <w:keepLines w:val="on"/>
                  </w:pPr>
                  <w:r>
                    <w:t>CryptoPunk 7523</w:t>
                  </w:r>
                </w:p>
              </w:tc>
              <w:tc>
                <w:tcPr>
                  <w:tcW w:type="auto" w:w="0"/>
                  <w:shd w:val="clear" w:color="auto" w:fill="F0F0F0"/>
                </w:tcPr>
                <w:p>
                  <w:pPr>
                    <w:pStyle w:val="Normal"/>
                    <w:keepLines w:val="on"/>
                  </w:pPr>
                  <w:r>
                    <w:t>$11,75</w:t>
                  </w:r>
                </w:p>
              </w:tc>
            </w:tr>
            <w:tr>
              <w:tc>
                <w:tcPr>
                  <w:tcW w:type="auto" w:w="0"/>
                  <w:shd w:val="clear" w:color="auto" w:fill="F0F0F0"/>
                </w:tcPr>
                <w:p>
                  <w:pPr>
                    <w:pStyle w:val="Para 02"/>
                    <w:keepLines w:val="on"/>
                  </w:pPr>
                  <w:r>
                    <w:t>Tpunk 3442</w:t>
                  </w:r>
                </w:p>
              </w:tc>
              <w:tc>
                <w:tcPr>
                  <w:tcW w:type="auto" w:w="0"/>
                  <w:shd w:val="clear" w:color="auto" w:fill="F0F0F0"/>
                </w:tcPr>
                <w:p>
                  <w:pPr>
                    <w:pStyle w:val="Normal"/>
                    <w:keepLines w:val="on"/>
                  </w:pPr>
                  <w:r>
                    <w:t>$10,50</w:t>
                  </w:r>
                </w:p>
              </w:tc>
            </w:tr>
            <w:tr>
              <w:tc>
                <w:tcPr>
                  <w:tcW w:type="auto" w:w="0"/>
                  <w:shd w:val="clear" w:color="auto" w:fill="F0F0F0"/>
                </w:tcPr>
                <w:p>
                  <w:pPr>
                    <w:pStyle w:val="Para 02"/>
                    <w:keepLines w:val="on"/>
                  </w:pPr>
                  <w:r>
                    <w:t>CryptoPunk 4156</w:t>
                  </w:r>
                </w:p>
              </w:tc>
              <w:tc>
                <w:tcPr>
                  <w:tcW w:type="auto" w:w="0"/>
                  <w:shd w:val="clear" w:color="auto" w:fill="F0F0F0"/>
                </w:tcPr>
                <w:p>
                  <w:pPr>
                    <w:pStyle w:val="Normal"/>
                    <w:keepLines w:val="on"/>
                  </w:pPr>
                  <w:r>
                    <w:t>$10,26</w:t>
                  </w:r>
                </w:p>
              </w:tc>
            </w:tr>
            <w:tr>
              <w:tc>
                <w:tcPr>
                  <w:tcW w:type="auto" w:w="0"/>
                  <w:shd w:val="clear" w:color="auto" w:fill="F0F0F0"/>
                </w:tcPr>
                <w:p>
                  <w:pPr>
                    <w:pStyle w:val="Para 02"/>
                    <w:keepLines w:val="on"/>
                  </w:pPr>
                  <w:r>
                    <w:t>CryptoPunk 5577</w:t>
                  </w:r>
                </w:p>
              </w:tc>
              <w:tc>
                <w:tcPr>
                  <w:tcW w:type="auto" w:w="0"/>
                  <w:shd w:val="clear" w:color="auto" w:fill="F0F0F0"/>
                </w:tcPr>
                <w:p>
                  <w:pPr>
                    <w:pStyle w:val="Normal"/>
                    <w:keepLines w:val="on"/>
                  </w:pPr>
                  <w:r>
                    <w:t>$7,70</w:t>
                  </w:r>
                </w:p>
              </w:tc>
            </w:tr>
            <w:tr>
              <w:tc>
                <w:tcPr>
                  <w:tcW w:type="auto" w:w="0"/>
                  <w:shd w:val="clear" w:color="auto" w:fill="F0F0F0"/>
                </w:tcPr>
                <w:p>
                  <w:pPr>
                    <w:pStyle w:val="Para 02"/>
                    <w:keepLines w:val="on"/>
                  </w:pPr>
                  <w:r>
                    <w:t>CryptoPunk 3100</w:t>
                  </w:r>
                </w:p>
              </w:tc>
              <w:tc>
                <w:tcPr>
                  <w:tcW w:type="auto" w:w="0"/>
                  <w:shd w:val="clear" w:color="auto" w:fill="F0F0F0"/>
                </w:tcPr>
                <w:p>
                  <w:pPr>
                    <w:pStyle w:val="Normal"/>
                    <w:keepLines w:val="on"/>
                  </w:pPr>
                  <w:r>
                    <w:t>$7,58</w:t>
                  </w:r>
                </w:p>
              </w:tc>
            </w:tr>
            <w:tr>
              <w:tc>
                <w:tcPr>
                  <w:tcW w:type="auto" w:w="0"/>
                  <w:shd w:val="clear" w:color="auto" w:fill="F0F0F0"/>
                </w:tcPr>
                <w:p>
                  <w:pPr>
                    <w:pStyle w:val="Para 02"/>
                    <w:keepLines w:val="on"/>
                  </w:pPr>
                  <w:r>
                    <w:t>CryptoPunk 7804</w:t>
                  </w:r>
                </w:p>
              </w:tc>
              <w:tc>
                <w:tcPr>
                  <w:tcW w:type="auto" w:w="0"/>
                  <w:shd w:val="clear" w:color="auto" w:fill="F0F0F0"/>
                </w:tcPr>
                <w:p>
                  <w:pPr>
                    <w:pStyle w:val="Normal"/>
                    <w:keepLines w:val="on"/>
                  </w:pPr>
                  <w:r>
                    <w:t>$7,57</w:t>
                  </w:r>
                </w:p>
              </w:tc>
            </w:tr>
          </w:tbl>
          <w:p/>
        </w:tc>
      </w:tr>
    </w:tbl>
    <w:p>
      <w:pPr>
        <w:pStyle w:val="Para 03"/>
      </w:pPr>
      <w:r>
        <w:t>Mười năm nữa, liệu có thứ nào trong số này còn nằm trong danh sách? Chúng ta không thể loại trừ khả năng đó, nhưng cho đến khi chúng ta cảm thấy chắc chắn hơn rằng NFT sẽ giữ được sức hút của mình, thì xét cho cùng, chúng tốt nhất chỉ là những thương vụ ngắn hạn, mà tệ nhất là đầu cơ thuần túy.</w:t>
      </w:r>
    </w:p>
    <w:p>
      <w:bookmarkStart w:id="5789" w:name="Trophy_Assets__Earlier_in_this_c"/>
      <w:bookmarkStart w:id="5790" w:name="Trophy_Assets"/>
      <w:pPr>
        <w:keepNext/>
        <w:pStyle w:val="Heading 2"/>
        <w:keepLines w:val="on"/>
      </w:pPr>
      <w:r>
        <w:t>Tài sản cúp chiến thắng</w:t>
      </w:r>
      <w:bookmarkEnd w:id="5789"/>
      <w:bookmarkEnd w:id="5790"/>
    </w:p>
    <w:p>
      <w:pPr>
        <w:pStyle w:val="Para 03"/>
      </w:pPr>
      <w:r>
        <w:t>Ở phần trước của chương này, chúng ta đã vạch ra ranh giới giữa tài sản (assets) — thứ tạo ra dòng tiền — và đồ sưu tầm (collectibles) — thứ không tạo ra dòng tiền. Tuy nhiên, có một nhóm nhỏ trong tài sản đáng được tách riêng ra và xem xét theo cách khác, và chúng ta sẽ gọi chúng là tài sản cúp chiến thắng (trophy assets). Một tài sản cúp chiến thắng có dòng tiền kỳ vọng và có thể được định giá như bất kỳ tài sản nào khác, nhưng những người mua nó thường mua không phải vì nó là tài sản, mà chủ yếu vì nó là đồ sưu tầm. Được thúc đẩy bởi các yếu tố cảm xúc, giá của tài sản cúp chiến thắng có thể vượt lên trên giá trị và duy trì ở mức cao hơn, vì không giống các tài sản khác, không có chất xúc tác nào khiến khoảng cách giữa giá và giá trị được thu hẹp lại. Vậy điều gì khiến nó trở thành một "tài sản cúp chiến thắng"?</w:t>
      </w:r>
    </w:p>
    <w:p>
      <w:pPr>
        <w:numPr>
          <w:ilvl w:val="0"/>
          <w:numId w:val="328"/>
        </w:numPr>
        <w:pStyle w:val="Para 01"/>
      </w:pPr>
      <w:r>
        <w:t>Sức hút cảm xúc lấn át các đặc điểm tài chính: Mấu chốt của một tài sản cúp chiến thắng là ở chỗ cốt lõi sức hút của nó, đối với những người mua hoặc nhà đầu tư tiềm năng, nằm ít ở mô hình kinh doanh và dòng tiền, mà nhiều hơn ở sức hút cảm xúc mà nó mang lại cho người mua. Sức hút đó có thể chỉ dành cho một nhóm nhỏ cá nhân, nhưng những người mua này muốn sở hữu tài sản đó vì cổ tức cảm xúc (emotional dividends) nhiều hơn là vì dòng tiền.</w:t>
      </w:r>
    </w:p>
    <w:p>
      <w:pPr>
        <w:numPr>
          <w:ilvl w:val="0"/>
          <w:numId w:val="328"/>
        </w:numPr>
        <w:pStyle w:val="Para 01"/>
      </w:pPr>
      <w:r>
        <w:t>Nó độc nhất: Tài sản cúp chiến thắng có sức nặng vì chúng độc nhất, theo nghĩa chúng không thể bị ai đó sao chép lại, kể cả khi người đó có nguồn lực tài chính đáng kể.</w:t>
      </w:r>
    </w:p>
    <w:p>
      <w:pPr>
        <w:numPr>
          <w:ilvl w:val="0"/>
          <w:numId w:val="328"/>
        </w:numPr>
        <w:pStyle w:val="Para 01"/>
      </w:pPr>
      <w:r>
        <w:t>Nó khan hiếm: Để tài sản cúp chiến thắng có thể đạt mức giá cao hơn hẳn giá trị, chúng phải khan hiếm.</w:t>
      </w:r>
    </w:p>
    <w:p>
      <w:pPr>
        <w:numPr>
          <w:ilvl w:val="0"/>
          <w:numId w:val="328"/>
        </w:numPr>
        <w:pStyle w:val="Para 01"/>
      </w:pPr>
      <w:r>
        <w:t>Nó được mua và nắm giữ vì lý do phi tài chính: Nếu tài sản cúp chiến thắng được mở ra để đấu giá, người thắng thầu gần như luôn là một cá nhân hoặc tổ chức mua tài sản đó vì lịch sử hay nguồn gốc (provenance) của nó, chứ không phải vì các đặc điểm tài chính.</w:t>
      </w:r>
    </w:p>
    <w:p>
      <w:pPr>
        <w:pStyle w:val="Para 03"/>
      </w:pPr>
      <w:r>
        <w:t>Ví dụ về tài sản cúp chiến thắng trải rộng khắp phổ, từ những bất động sản huyền thoại như Ritz Carlton ở London, đến các ấn phẩm như Economist hay Financial Times, và như chúng ta sẽ lập luận trong chương này, cả nhiều đội thể thao nổi tiếng nhất thế giới nữa.</w:t>
      </w:r>
    </w:p>
    <w:p>
      <w:bookmarkStart w:id="5792" w:name="Consequences"/>
      <w:pPr>
        <w:keepNext/>
        <w:pStyle w:val="Heading 4"/>
        <w:keepLines w:val="on"/>
      </w:pPr>
      <w:r>
        <w:t>Hệ quả</w:t>
      </w:r>
      <w:bookmarkEnd w:id="5792"/>
    </w:p>
    <w:p>
      <w:pPr>
        <w:pStyle w:val="Para 03"/>
      </w:pPr>
      <w:r>
        <w:t>Một khi một tài sản vượt qua ngưỡng trở thành cúp chiến thắng, bạn có thể kỳ vọng những điều sau sẽ xảy ra. Thứ nhất, nó sẽ trông có vẻ bị định giá quá cao so với các yếu tố cơ bản về tài chính (lợi nhuận, doanh thu, dòng tiền), và so với các tài sản cùng nhóm không được hưởng vị thế cúp chiến thắng tương tự. Thứ hai, và điều này rất quan trọng, ngay cả khi giá tăng lên so với giá trị, cơ chế khiến khoảng cách được thu hẹp — thường xuất phát từ việc nhận ra rằng bạn đã trả quá nhiều cho một thứ gì đó, xét theo khả năng tạo ra lợi nhuận và dòng tiền của nó — sẽ ngừng hoạt động. Suy cho cùng, nếu người mua định giá tài sản cúp chiến thắng dựa trên mối liên kết cảm xúc của họ, thì họ bước vào giao dịch với sự hiểu biết rằng mình đã trả quá nhiều và họ không bận tâm. Thứ ba, và điều này tiếp nối từ điểm thứ nhất, những lực khiến giá của tài sản cúp chiến thắng thay đổi qua từng thời kỳ sẽ có mối quan hệ yếu hoặc không có mối quan hệ nào với các yếu tố cơ bản thường dẫn dắt giá trị.</w:t>
      </w:r>
    </w:p>
    <w:p>
      <w:pPr>
        <w:pStyle w:val="Para 03"/>
      </w:pPr>
      <w:r>
        <w:t>Có một câu hỏi thú vị là liệu một công ty niêm yết đại chúng có thể đạt được vị thế cúp chiến thắng hay không, và dù câu trả lời của chúng ta cách đây mười hay hai mươi năm sẽ là một tiếng "không" dứt khoát, chúng ta phải dừng lại một chút trước khi trả lời điều đó ở thời điểm hiện tại. Như nhiều bạn đã biết, chúng ta đã nhiều lần cố gắng định giá Tesla, và dù một phần phản hồi đến từ những người không đồng ý với đường nét câu chuyện và kỳ vọng của chúng ta, một phần khác đến từ những người không chỉ đầu tư một tỷ trọng lớn tài sản của họ vào công ty, mà còn làm vậy vì họ muốn trở thành một phần của thứ mà họ coi là một nhân tố đột phá mang tính lịch sử — một thứ sẽ đảo lộn không chỉ cách chúng ta lái xe mà cả cách chúng ta sống. Hàm ý ở đây là Tesla sẽ giao dịch ở mức giá khó có thể biện minh, xét theo tình hình tài chính của công ty, rằng nó sẽ thu hút một nhóm nhà đầu tư nhận được cổ tức cảm xúc từ việc sở hữu cổ phiếu, và rằng việc bán khống cổ phiếu này, với kỳ vọng khoảng cách sẽ được thu hẹp, sẽ là một hành động đầy hiểm nguy.</w:t>
      </w:r>
    </w:p>
    <w:p>
      <w:bookmarkStart w:id="5793" w:name="Sports_Franchises_as_Trophy_Asse"/>
      <w:pPr>
        <w:keepNext/>
        <w:pStyle w:val="Heading 4"/>
        <w:keepLines w:val="on"/>
      </w:pPr>
      <w:r>
        <w:t>Các đội thể thao với tư cách tài sản cúp chiến thắng</w:t>
      </w:r>
      <w:bookmarkEnd w:id="5793"/>
    </w:p>
    <w:p>
      <w:pPr>
        <w:pStyle w:val="Para 03"/>
      </w:pPr>
      <w:r>
        <w:t>Khi gia đình Rooney mua Pittsburg Steelers, nay là một đội bóng giàu truyền thống trong giải thể thao có giá đắt đỏ nhất (NFL), vào năm 1932 với giá 2.500 đô la, rất có thể họ mua nó như một doanh nghiệp, hy vọng tạo đủ doanh thu bán vé để trang trải chi phí và có lãi. Suy cho cùng, bóng bầu dục (ít nhất là phiên bản Mỹ) khi đó là một môn thể thao mới nổi, chưa được theo dõi rộng rãi, chỉ có vài đội và không có cấu trúc tổ chức nào. Thực tế, bạn vẫn có thể nhìn Steelers như một doanh nghiệp và định giá nó như vậy, nhưng như chúng ta sẽ lập luận trong phần này, con số đó sẽ chẳng mấy giống với mức giá 4 tỷ đô la mà Forbes gán cho đội bóng vào năm 2022. Thực tế, các đội thể thao trên khắp thế giới đã trở thành, hoặc đang ngày càng trên con đường trở thành, tài sản cúp chiến thắng.</w:t>
      </w:r>
    </w:p>
    <w:p>
      <w:bookmarkStart w:id="5794" w:name="Prices_Disconnect_from_Fundament"/>
      <w:pPr>
        <w:pStyle w:val="Para 21"/>
      </w:pPr>
      <w:r>
        <w:t>Giá tách rời khỏi các yếu tố cơ bản</w:t>
      </w:r>
      <w:bookmarkEnd w:id="5794"/>
    </w:p>
    <w:p>
      <w:pPr>
        <w:pStyle w:val="Para 03"/>
      </w:pPr>
      <w:r>
        <w:t>Để định giá một đội thể thao như một doanh nghiệp, đáng để xem xét doanh thu của các đội đã tiến hóa như thế nào theo thời gian. Cho đến 50 năm gần đây, gần như toàn bộ doanh thu của các đội thể thao đến từ tiền bán vé thu được từ người hâm mộ đến xem trận đấu, cùng đồ ăn và hàng hóa mà những người hâm mộ này mua, thường là tại các trận họ tham dự. Khi truyền hình xuất hiện và phát trực tuyến (streaming) bổ sung thêm, phần doanh thu mà các đội thể thao nhận được từ truyền thông đã trở thành một miếng bánh ngày càng lớn, như có thể thấy trong Hình 27.13, nơi chúng ta xem xét doanh thu bán vé, doanh thu truyền thông và doanh thu khác (hàng hóa và tài trợ) của tất cả các đội thể thao Mỹ trong giai đoạn 2006 đến 2022:</w:t>
      </w:r>
    </w:p>
    <w:p>
      <w:pPr>
        <w:pStyle w:val="Para 20"/>
      </w:pPr>
      <w:r>
        <w:rPr>
          <w:rStyle w:val="Text26"/>
        </w:rPr>
        <w:bookmarkStart w:id="5797" w:name="Page_899"/>
        <w:t/>
        <w:bookmarkEnd w:id="5797"/>
      </w:r>
      <w:r>
        <w:t xml:space="preserve"> </w:t>
      </w:r>
    </w:p>
    <w:p>
      <w:bookmarkStart w:id="5798" w:name="Figure_27_13_Revenues_at_U_S__Sp"/>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993900"/>
            <wp:effectExtent l="0" r="0" t="0" b="0"/>
            <wp:wrapTopAndBottom/>
            <wp:docPr id="250" name="c27f013.png" descr="Stacked bar graph plots the overall increase in revenues for sponsorship and merchandising, media, and gate receipts from 2006 to 2022."/>
            <wp:cNvGraphicFramePr>
              <a:graphicFrameLocks noChangeAspect="1"/>
            </wp:cNvGraphicFramePr>
            <a:graphic>
              <a:graphicData uri="http://schemas.openxmlformats.org/drawingml/2006/picture">
                <pic:pic>
                  <pic:nvPicPr>
                    <pic:cNvPr id="0" name="c27f013.png" descr="Stacked bar graph plots the overall increase in revenues for sponsorship and merchandising, media, and gate receipts from 2006 to 2022."/>
                    <pic:cNvPicPr/>
                  </pic:nvPicPr>
                  <pic:blipFill>
                    <a:blip r:embed="rId182"/>
                    <a:stretch>
                      <a:fillRect/>
                    </a:stretch>
                  </pic:blipFill>
                  <pic:spPr>
                    <a:xfrm>
                      <a:off x="0" y="0"/>
                      <a:ext cx="2438400" cy="1993900"/>
                    </a:xfrm>
                    <a:prstGeom prst="rect">
                      <a:avLst/>
                    </a:prstGeom>
                  </pic:spPr>
                </pic:pic>
              </a:graphicData>
            </a:graphic>
          </wp:anchor>
        </w:drawing>
      </w:r>
      <w:bookmarkEnd w:id="5798"/>
    </w:p>
    <w:p>
      <w:pPr>
        <w:keepNext/>
        <w:pStyle w:val="Para 22"/>
        <w:keepLines w:val="on"/>
      </w:pPr>
      <w:r>
        <w:t>Hình 27.13 Doanh thu tại các đội thể thao Mỹ—2006–2022</w:t>
      </w:r>
    </w:p>
    <w:p>
      <w:pPr>
        <w:pStyle w:val="Para 03"/>
      </w:pPr>
      <w:r>
        <w:t>Như bạn có thể thấy, tổng doanh thu của các đội thể thao đã tăng trưởng trong giai đoạn 2006 đến 2022, với năm 2020 là ngoại lệ do COVID, nhưng phần lớn mức tăng trưởng đó đến từ miếng bánh doanh thu truyền thông, trong khi doanh thu bán vé đi ngang. Đây rõ ràng không chỉ là hiện tượng của Mỹ, và bạn đang thấy quá trình tương tự diễn ra ở châu Âu (với bóng đá là bên hưởng lợi lớn) và ở Ấn Độ (với cricket là bên thắng cuộc).</w:t>
      </w:r>
    </w:p>
    <w:p>
      <w:pPr>
        <w:pStyle w:val="Para 03"/>
      </w:pPr>
      <w:r>
        <w:t>Để định giá một đội thể thao, bạn không chỉ phải xem xét đội bóng thu hút được bao nhiêu người đến sân vận động, mà còn cả doanh thu đội nhận được từ các hợp đồng truyền thông cũng như doanh thu hàng hóa và tài trợ. Dù doanh thu bán vé và hàng hóa là đáng kể, chúng tương đối dễ dự báo, dựa trên lịch sử và doanh số bán vé. Tuy nhiên, doanh thu truyền thông lại khó nhằn, vì chúng được quyết định một phần bởi quy mô thị trường truyền thông nơi đội bóng hoạt động, và một phần bởi cách đội thể thao mà đội bóng trực thuộc chia sẻ doanh thu truyền thông của mình. Ở Mỹ chẳng hạn, các đội bóng chày nhận được một phần đáng kể doanh thu phát sóng từ bản quyền truyền hình địa phương, và do đó, các đội ở những thị trường truyền thông lớn nhất (ví dụ Yankees và Mets ở New York, Dodgers ở Los Angeles) có doanh thu cao hơn các đội ở thị trường truyền thông nhỏ hơn (ví dụ Mariners ở Seattle). Ngược lại, doanh thu truyền thông của bóng bầu dục (NFL) chủ yếu là toàn quốc, và doanh thu đó được chia đều cho các đội, dẫn đến doanh thu truyền thông công bằng hơn giữa các đội NFL. Sự khác biệt đó giải thích tại sao khoảng cách giữa đội có giá cao nhất và thấp nhất ở bóng chày lớn hơn so với NFL. Bảng 27.11 cung cấp so sánh về cách doanh thu truyền thông được chia sẻ giữa các đội theo từng giải:</w:t>
      </w:r>
    </w:p>
    <w:p>
      <w:pPr>
        <w:pStyle w:val="Para 34"/>
        <w:keepLines w:val="on"/>
      </w:pPr>
      <w:r>
        <w:t>Bảng 27.11</w:t>
      </w:r>
    </w:p>
    <w:p>
      <w:pPr>
        <w:keepNext/>
        <w:pStyle w:val="Para 35"/>
        <w:keepLines w:val="on"/>
      </w:pPr>
      <w:r>
        <w:t>Chia sẻ doanh thu, theo từng giải thể thao</w:t>
      </w:r>
    </w:p>
    <w:tbl>
      <w:tblPr>
        <w:tblW w:type="auto" w:w="0"/>
      </w:tblPr>
      <w:tr>
        <w:tc>
          <w:tcPr>
            <w:tcW w:type="auto" w:w="0"/>
          </w:tcPr>
          <w:tbl>
            <w:tblPr>
              <w:tblW w:type="auto" w:w="0"/>
            </w:tblPr>
            <w:tr>
              <w:tc>
                <w:tcPr>
                  <w:tcW w:type="auto" w:w="0"/>
                  <w:shd w:val="clear" w:color="auto" w:fill="F0F0F0"/>
                </w:tcPr>
                <w:p>
                  <w:pPr>
                    <w:pStyle w:val="Para 29"/>
                    <w:keepLines w:val="on"/>
                  </w:pPr>
                  <w:r>
                    <w:t>Giải thể thao</w:t>
                  </w:r>
                </w:p>
              </w:tc>
              <w:tc>
                <w:tcPr>
                  <w:tcW w:type="auto" w:w="0"/>
                  <w:shd w:val="clear" w:color="auto" w:fill="F0F0F0"/>
                </w:tcPr>
                <w:p>
                  <w:pPr>
                    <w:pStyle w:val="Para 17"/>
                    <w:keepLines w:val="on"/>
                  </w:pPr>
                  <w:r>
                    <w:t>Chia sẻ doanh thu truyền thông</w:t>
                  </w:r>
                </w:p>
              </w:tc>
            </w:tr>
            <w:tr>
              <w:tc>
                <w:tcPr>
                  <w:tcW w:type="auto" w:w="0"/>
                  <w:shd w:val="clear" w:color="auto" w:fill="F0F0F0"/>
                </w:tcPr>
                <w:p>
                  <w:pPr>
                    <w:pStyle w:val="Para 02"/>
                    <w:keepLines w:val="on"/>
                  </w:pPr>
                  <w:r>
                    <w:t>NFL</w:t>
                  </w:r>
                </w:p>
              </w:tc>
              <w:tc>
                <w:tcPr>
                  <w:tcW w:type="auto" w:w="0"/>
                  <w:shd w:val="clear" w:color="auto" w:fill="F0F0F0"/>
                </w:tcPr>
                <w:p>
                  <w:pPr>
                    <w:pStyle w:val="Para 02"/>
                    <w:keepLines w:val="on"/>
                  </w:pPr>
                  <w:r>
                    <w:t>Hầu hết doanh thu truyền thông đều đến từ hợp đồng truyền hình quốc gia, và mọi đội bóng đều được chia phần bằng nhau từ nguồn doanh thu đó</w:t>
                  </w:r>
                </w:p>
              </w:tc>
            </w:tr>
            <w:tr>
              <w:tc>
                <w:tcPr>
                  <w:tcW w:type="auto" w:w="0"/>
                  <w:shd w:val="clear" w:color="auto" w:fill="F0F0F0"/>
                </w:tcPr>
                <w:p>
                  <w:pPr>
                    <w:pStyle w:val="Para 02"/>
                    <w:keepLines w:val="on"/>
                  </w:pPr>
                  <w:r>
                    <w:t>MLB</w:t>
                  </w:r>
                </w:p>
              </w:tc>
              <w:tc>
                <w:tcPr>
                  <w:tcW w:type="auto" w:w="0"/>
                  <w:shd w:val="clear" w:color="auto" w:fill="F0F0F0"/>
                </w:tcPr>
                <w:p>
                  <w:pPr>
                    <w:pStyle w:val="Para 02"/>
                    <w:keepLines w:val="on"/>
                  </w:pPr>
                  <w:r>
                    <w:t>Doanh thu quốc gia từ bản quyền truyền thông được chia đều, nhưng các đội giữ lại 52% doanh thu từ phát sóng địa phương, khiến các đội ở thị trường lớn có doanh thu cao hơn</w:t>
                  </w:r>
                </w:p>
              </w:tc>
            </w:tr>
            <w:tr>
              <w:tc>
                <w:tcPr>
                  <w:tcW w:type="auto" w:w="0"/>
                  <w:shd w:val="clear" w:color="auto" w:fill="F0F0F0"/>
                </w:tcPr>
                <w:p>
                  <w:pPr>
                    <w:pStyle w:val="Para 02"/>
                    <w:keepLines w:val="on"/>
                  </w:pPr>
                  <w:r>
                    <w:t>MBA</w:t>
                  </w:r>
                </w:p>
              </w:tc>
              <w:tc>
                <w:tcPr>
                  <w:tcW w:type="auto" w:w="0"/>
                  <w:shd w:val="clear" w:color="auto" w:fill="F0F0F0"/>
                </w:tcPr>
                <w:p>
                  <w:pPr>
                    <w:pStyle w:val="Para 02"/>
                    <w:keepLines w:val="on"/>
                  </w:pPr>
                  <w:r>
                    <w:t>Truyền hình quốc gia được chia đều, nhưng truyền hình địa phương chiếm một phần lớn trong doanh thu truyền thông. Việc chia sẻ doanh thu giữa các đội giúp một phần doanh thu này được chuyển từ các đội giàu sang các đội nghèo hơn</w:t>
                  </w:r>
                </w:p>
              </w:tc>
            </w:tr>
            <w:tr>
              <w:tc>
                <w:tcPr>
                  <w:tcW w:type="auto" w:w="0"/>
                  <w:shd w:val="clear" w:color="auto" w:fill="F0F0F0"/>
                </w:tcPr>
                <w:p>
                  <w:pPr>
                    <w:pStyle w:val="Para 02"/>
                    <w:keepLines w:val="on"/>
                  </w:pPr>
                  <w:r>
                    <w:t>NHL</w:t>
                  </w:r>
                </w:p>
              </w:tc>
              <w:tc>
                <w:tcPr>
                  <w:tcW w:type="auto" w:w="0"/>
                  <w:shd w:val="clear" w:color="auto" w:fill="F0F0F0"/>
                </w:tcPr>
                <w:p>
                  <w:pPr>
                    <w:pStyle w:val="Para 02"/>
                    <w:keepLines w:val="on"/>
                  </w:pPr>
                  <w:r>
                    <w:t>Chủ yếu là doanh thu truyền hình địa phương, kèm theo việc chia sẻ doanh thu; các đội giàu hơn trợ cấp cho các đội nghèo hơn</w:t>
                  </w:r>
                </w:p>
              </w:tc>
            </w:tr>
            <w:tr>
              <w:tc>
                <w:tcPr>
                  <w:tcW w:type="auto" w:w="0"/>
                  <w:shd w:val="clear" w:color="auto" w:fill="F0F0F0"/>
                </w:tcPr>
                <w:p>
                  <w:pPr>
                    <w:pStyle w:val="Para 02"/>
                    <w:keepLines w:val="on"/>
                  </w:pPr>
                  <w:r>
                    <w:t>MLS</w:t>
                  </w:r>
                </w:p>
              </w:tc>
              <w:tc>
                <w:tcPr>
                  <w:tcW w:type="auto" w:w="0"/>
                  <w:shd w:val="clear" w:color="auto" w:fill="F0F0F0"/>
                </w:tcPr>
                <w:p>
                  <w:pPr>
                    <w:pStyle w:val="Para 02"/>
                    <w:keepLines w:val="on"/>
                  </w:pPr>
                  <w:r>
                    <w:t>Các đội không có chủ sở hữu, mà những nhà đầu tư – điều hành (investor–operators) vận hành các đội này đều đầu tư vào MLS, tổ chức thu về toàn bộ doanh thu truyền hình</w:t>
                  </w:r>
                </w:p>
              </w:tc>
            </w:tr>
            <w:tr>
              <w:tc>
                <w:tcPr>
                  <w:tcW w:type="auto" w:w="0"/>
                  <w:shd w:val="clear" w:color="auto" w:fill="F0F0F0"/>
                </w:tcPr>
                <w:p>
                  <w:pPr>
                    <w:pStyle w:val="Para 02"/>
                    <w:keepLines w:val="on"/>
                  </w:pPr>
                  <w:r>
                    <w:t>Premier League</w:t>
                  </w:r>
                </w:p>
              </w:tc>
              <w:tc>
                <w:tcPr>
                  <w:tcW w:type="auto" w:w="0"/>
                  <w:shd w:val="clear" w:color="auto" w:fill="F0F0F0"/>
                </w:tcPr>
                <w:p>
                  <w:pPr>
                    <w:pStyle w:val="Para 02"/>
                    <w:keepLines w:val="on"/>
                  </w:pPr>
                  <w:r>
                    <w:t>Mỗi đội bóng Premier League đều chia nhau khoản thanh toán cơ bản từ bản quyền phát sóng mỗi mùa. Sau đó, doanh thu bổ sung được cộng thêm cho từng câu lạc bộ, dựa trên tần suất các trận đấu của họ được chọn để phát trực tiếp trên truyền hình.</w:t>
                  </w:r>
                </w:p>
              </w:tc>
            </w:tr>
            <w:tr>
              <w:tc>
                <w:tcPr>
                  <w:tcW w:type="auto" w:w="0"/>
                  <w:shd w:val="clear" w:color="auto" w:fill="F0F0F0"/>
                </w:tcPr>
                <w:p>
                  <w:pPr>
                    <w:pStyle w:val="Para 02"/>
                    <w:keepLines w:val="on"/>
                  </w:pPr>
                  <w:r>
                    <w:t>IPL</w:t>
                  </w:r>
                </w:p>
              </w:tc>
              <w:tc>
                <w:tcPr>
                  <w:tcW w:type="auto" w:w="0"/>
                  <w:shd w:val="clear" w:color="auto" w:fill="F0F0F0"/>
                </w:tcPr>
                <w:p>
                  <w:pPr>
                    <w:pStyle w:val="Para 02"/>
                    <w:keepLines w:val="on"/>
                  </w:pPr>
                  <w:r>
                    <w:t>Phần chia doanh thu truyền thông, dựa trên thứ hạng của đội vào cuối mùa giải, với các đội xếp hạng cao hơn nhận được tỷ lệ phần trăm cao hơn.</w:t>
                  </w:r>
                </w:p>
              </w:tc>
            </w:tr>
          </w:tbl>
          <w:p/>
        </w:tc>
      </w:tr>
    </w:tbl>
    <w:p>
      <w:pPr>
        <w:pStyle w:val="Para 03"/>
      </w:pPr>
      <w:r>
        <w:t>Trong khi tất cả các đội bóng chỉ nói suông về nhu cầu cân bằng, với các đội ở thị trường truyền thông lớn trợ cấp cho các đội ở thị trường truyền thông nhỏ, thì giữa các đội bóng lại có sự khác biệt lớn trong cách họ thực hiện để khắc phục sự mất cân bằng đó. Chỉ có NFL là có một hệ thống đủ mạnh để tạo ra sự cân bằng hoàn toàn, và một phần là nhờ thực tế rằng gần như toàn bộ doanh thu phát sóng của giải này là ở cấp quốc gia (chứ không phải địa phương), và một phần là vì đây là một giải đấu có vị tổng giám đốc (commissioner) quyền lực và các chủ sở hữu yếu thế hơn.</w:t>
      </w:r>
    </w:p>
    <w:p>
      <w:pPr>
        <w:pStyle w:val="Para 03"/>
      </w:pPr>
      <w:r>
        <w:t>Trong khi doanh thu tăng lên, nhờ các hợp đồng phát sóng béo bở hơn, các đội thể thao lại phải đối mặt với chi phí cầu thủ ngày càng tăng; ở gần như mọi đội thể thao lớn tại Hoa Kỳ, chi phí cầu thủ chiếm tới 50% doanh thu hoặc hơn, và con số này đã tăng lên theo thời gian. Sau khi trừ đi các chi phí khác gắn với một đội bóng, lợi nhuận hoạt động của các đội thể thao phần lớn chỉ ở mức vừa phải. Nhìn qua các đội thể thao, trong Bảng 27.12, bạn có thể thấy các con số doanh thu và thu nhập hoạt động lũy kế, cùng với định giá tập thể (tính bằng triệu đô la) của các đội (theo ước tính của Forbes), trong năm gần nhất.</w:t>
      </w:r>
    </w:p>
    <w:p>
      <w:pPr>
        <w:pStyle w:val="Para 34"/>
        <w:keepLines w:val="on"/>
      </w:pPr>
      <w:r>
        <w:t>Bảng 27.12</w:t>
      </w:r>
    </w:p>
    <w:p>
      <w:pPr>
        <w:keepNext/>
        <w:pStyle w:val="Para 35"/>
        <w:keepLines w:val="on"/>
      </w:pPr>
      <w:r>
        <w:t>Các chỉ số hoạt động, theo từng đội thể thao</w:t>
      </w:r>
    </w:p>
    <w:tbl>
      <w:tblPr>
        <w:tblW w:type="auto" w:w="0"/>
      </w:tblPr>
      <w:tr>
        <w:tc>
          <w:tcPr>
            <w:tcW w:type="auto" w:w="0"/>
          </w:tcPr>
          <w:tbl>
            <w:tblPr>
              <w:tblW w:type="auto" w:w="0"/>
            </w:tblPr>
            <w:tr>
              <w:tc>
                <w:tcPr>
                  <w:tcW w:type="auto" w:w="0"/>
                  <w:shd w:val="clear" w:color="auto" w:fill="F0F0F0"/>
                  <w:vAlign w:val="bottom"/>
                </w:tcPr>
                <w:p>
                  <w:pPr>
                    <w:pStyle w:val="Para 61"/>
                    <w:keepLines w:val="on"/>
                  </w:pPr>
                  <w:r>
                    <w:t>Đội thể thao</w:t>
                  </w:r>
                </w:p>
              </w:tc>
              <w:tc>
                <w:tcPr>
                  <w:tcW w:type="auto" w:w="0"/>
                  <w:shd w:val="clear" w:color="auto" w:fill="F0F0F0"/>
                  <w:vAlign w:val="bottom"/>
                </w:tcPr>
                <w:p>
                  <w:pPr>
                    <w:pStyle w:val="Para 45"/>
                    <w:keepLines w:val="on"/>
                  </w:pPr>
                  <w:r>
                    <w:t>Định giá tập thể</w:t>
                  </w:r>
                </w:p>
              </w:tc>
              <w:tc>
                <w:tcPr>
                  <w:tcW w:type="auto" w:w="0"/>
                  <w:shd w:val="clear" w:color="auto" w:fill="F0F0F0"/>
                  <w:vAlign w:val="bottom"/>
                </w:tcPr>
                <w:p>
                  <w:pPr>
                    <w:pStyle w:val="Para 45"/>
                    <w:keepLines w:val="on"/>
                  </w:pPr>
                  <w:r>
                    <w:t>Doanh thu</w:t>
                  </w:r>
                </w:p>
              </w:tc>
              <w:tc>
                <w:tcPr>
                  <w:tcW w:type="auto" w:w="0"/>
                  <w:shd w:val="clear" w:color="auto" w:fill="F0F0F0"/>
                  <w:vAlign w:val="bottom"/>
                </w:tcPr>
                <w:p>
                  <w:pPr>
                    <w:pStyle w:val="Para 45"/>
                    <w:keepLines w:val="on"/>
                  </w:pPr>
                  <w:r>
                    <w:t>Thu nhập hoạt động</w:t>
                  </w:r>
                </w:p>
              </w:tc>
              <w:tc>
                <w:tcPr>
                  <w:tcW w:type="auto" w:w="0"/>
                  <w:shd w:val="clear" w:color="auto" w:fill="F0F0F0"/>
                  <w:vAlign w:val="bottom"/>
                </w:tcPr>
                <w:p>
                  <w:pPr>
                    <w:pStyle w:val="Para 45"/>
                    <w:keepLines w:val="on"/>
                  </w:pPr>
                  <w:r>
                    <w:t>Biên lợi nhuận hoạt động</w:t>
                  </w:r>
                </w:p>
              </w:tc>
              <w:tc>
                <w:tcPr>
                  <w:tcW w:type="auto" w:w="0"/>
                  <w:shd w:val="clear" w:color="auto" w:fill="F0F0F0"/>
                  <w:vAlign w:val="bottom"/>
                </w:tcPr>
                <w:p>
                  <w:pPr>
                    <w:pStyle w:val="Para 45"/>
                    <w:keepLines w:val="on"/>
                  </w:pPr>
                  <w:r>
                    <w:t>EV/ Doanh thu</w:t>
                  </w:r>
                </w:p>
              </w:tc>
              <w:tc>
                <w:tcPr>
                  <w:tcW w:type="auto" w:w="0"/>
                  <w:shd w:val="clear" w:color="auto" w:fill="F0F0F0"/>
                  <w:vAlign w:val="bottom"/>
                </w:tcPr>
                <w:p>
                  <w:pPr>
                    <w:pStyle w:val="Para 45"/>
                    <w:keepLines w:val="on"/>
                  </w:pPr>
                  <w:r>
                    <w:t>EV/Lợi nhuận hoạt động</w:t>
                  </w:r>
                </w:p>
              </w:tc>
            </w:tr>
            <w:tr>
              <w:tc>
                <w:tcPr>
                  <w:tcW w:type="auto" w:w="0"/>
                  <w:shd w:val="clear" w:color="auto" w:fill="F0F0F0"/>
                </w:tcPr>
                <w:p>
                  <w:pPr>
                    <w:pStyle w:val="Para 02"/>
                    <w:keepLines w:val="on"/>
                  </w:pPr>
                  <w:r>
                    <w:t>NFL</w:t>
                  </w:r>
                </w:p>
              </w:tc>
              <w:tc>
                <w:tcPr>
                  <w:tcW w:type="auto" w:w="0"/>
                  <w:shd w:val="clear" w:color="auto" w:fill="F0F0F0"/>
                </w:tcPr>
                <w:p>
                  <w:pPr>
                    <w:pStyle w:val="Normal"/>
                    <w:keepLines w:val="on"/>
                  </w:pPr>
                  <w:r>
                    <w:t>$132,500</w:t>
                  </w:r>
                </w:p>
              </w:tc>
              <w:tc>
                <w:tcPr>
                  <w:tcW w:type="auto" w:w="0"/>
                  <w:shd w:val="clear" w:color="auto" w:fill="F0F0F0"/>
                </w:tcPr>
                <w:p>
                  <w:pPr>
                    <w:pStyle w:val="Normal"/>
                    <w:keepLines w:val="on"/>
                  </w:pPr>
                  <w:r>
                    <w:t>$16,101</w:t>
                  </w:r>
                </w:p>
              </w:tc>
              <w:tc>
                <w:tcPr>
                  <w:tcW w:type="auto" w:w="0"/>
                  <w:shd w:val="clear" w:color="auto" w:fill="F0F0F0"/>
                </w:tcPr>
                <w:p>
                  <w:pPr>
                    <w:pStyle w:val="Normal"/>
                    <w:keepLines w:val="on"/>
                  </w:pPr>
                  <w:r>
                    <w:t>$4,671</w:t>
                  </w:r>
                </w:p>
              </w:tc>
              <w:tc>
                <w:tcPr>
                  <w:tcW w:type="auto" w:w="0"/>
                  <w:shd w:val="clear" w:color="auto" w:fill="F0F0F0"/>
                </w:tcPr>
                <w:p>
                  <w:pPr>
                    <w:pStyle w:val="Normal"/>
                    <w:keepLines w:val="on"/>
                  </w:pPr>
                  <w:r>
                    <w:t>29.01%</w:t>
                  </w:r>
                </w:p>
              </w:tc>
              <w:tc>
                <w:tcPr>
                  <w:tcW w:type="auto" w:w="0"/>
                  <w:shd w:val="clear" w:color="auto" w:fill="F0F0F0"/>
                </w:tcPr>
                <w:p>
                  <w:pPr>
                    <w:pStyle w:val="Normal"/>
                    <w:keepLines w:val="on"/>
                  </w:pPr>
                  <w:r>
                    <w:t>8.23</w:t>
                  </w:r>
                </w:p>
              </w:tc>
              <w:tc>
                <w:tcPr>
                  <w:tcW w:type="auto" w:w="0"/>
                  <w:shd w:val="clear" w:color="auto" w:fill="F0F0F0"/>
                </w:tcPr>
                <w:p>
                  <w:pPr>
                    <w:pStyle w:val="Normal"/>
                    <w:keepLines w:val="on"/>
                  </w:pPr>
                  <w:r>
                    <w:t>28.37</w:t>
                  </w:r>
                </w:p>
              </w:tc>
            </w:tr>
            <w:tr>
              <w:tc>
                <w:tcPr>
                  <w:tcW w:type="auto" w:w="0"/>
                  <w:shd w:val="clear" w:color="auto" w:fill="F0F0F0"/>
                </w:tcPr>
                <w:p>
                  <w:pPr>
                    <w:pStyle w:val="Para 02"/>
                    <w:keepLines w:val="on"/>
                  </w:pPr>
                  <w:r>
                    <w:t>MLB</w:t>
                  </w:r>
                </w:p>
              </w:tc>
              <w:tc>
                <w:tcPr>
                  <w:tcW w:type="auto" w:w="0"/>
                  <w:shd w:val="clear" w:color="auto" w:fill="F0F0F0"/>
                </w:tcPr>
                <w:p>
                  <w:pPr>
                    <w:pStyle w:val="Normal"/>
                    <w:keepLines w:val="on"/>
                  </w:pPr>
                  <w:r>
                    <w:t>$69,550</w:t>
                  </w:r>
                </w:p>
              </w:tc>
              <w:tc>
                <w:tcPr>
                  <w:tcW w:type="auto" w:w="0"/>
                  <w:shd w:val="clear" w:color="auto" w:fill="F0F0F0"/>
                </w:tcPr>
                <w:p>
                  <w:pPr>
                    <w:pStyle w:val="Normal"/>
                    <w:keepLines w:val="on"/>
                  </w:pPr>
                  <w:r>
                    <w:t>$10,320</w:t>
                  </w:r>
                </w:p>
              </w:tc>
              <w:tc>
                <w:tcPr>
                  <w:tcW w:type="auto" w:w="0"/>
                  <w:shd w:val="clear" w:color="auto" w:fill="F0F0F0"/>
                </w:tcPr>
                <w:p>
                  <w:pPr>
                    <w:pStyle w:val="Normal"/>
                    <w:keepLines w:val="on"/>
                  </w:pPr>
                  <w:r>
                    <w:t>$874</w:t>
                  </w:r>
                </w:p>
              </w:tc>
              <w:tc>
                <w:tcPr>
                  <w:tcW w:type="auto" w:w="0"/>
                  <w:shd w:val="clear" w:color="auto" w:fill="F0F0F0"/>
                </w:tcPr>
                <w:p>
                  <w:pPr>
                    <w:pStyle w:val="Normal"/>
                    <w:keepLines w:val="on"/>
                  </w:pPr>
                  <w:r>
                    <w:t>8.46%</w:t>
                  </w:r>
                </w:p>
              </w:tc>
              <w:tc>
                <w:tcPr>
                  <w:tcW w:type="auto" w:w="0"/>
                  <w:shd w:val="clear" w:color="auto" w:fill="F0F0F0"/>
                </w:tcPr>
                <w:p>
                  <w:pPr>
                    <w:pStyle w:val="Normal"/>
                    <w:keepLines w:val="on"/>
                  </w:pPr>
                  <w:r>
                    <w:t>6.74</w:t>
                  </w:r>
                </w:p>
              </w:tc>
              <w:tc>
                <w:tcPr>
                  <w:tcW w:type="auto" w:w="0"/>
                  <w:shd w:val="clear" w:color="auto" w:fill="F0F0F0"/>
                </w:tcPr>
                <w:p>
                  <w:pPr>
                    <w:pStyle w:val="Normal"/>
                    <w:keepLines w:val="on"/>
                  </w:pPr>
                  <w:r>
                    <w:t>79.62</w:t>
                  </w:r>
                </w:p>
              </w:tc>
            </w:tr>
            <w:tr>
              <w:tc>
                <w:tcPr>
                  <w:tcW w:type="auto" w:w="0"/>
                  <w:shd w:val="clear" w:color="auto" w:fill="F0F0F0"/>
                </w:tcPr>
                <w:p>
                  <w:pPr>
                    <w:pStyle w:val="Para 02"/>
                    <w:keepLines w:val="on"/>
                  </w:pPr>
                  <w:r>
                    <w:t>NBA</w:t>
                  </w:r>
                </w:p>
              </w:tc>
              <w:tc>
                <w:tcPr>
                  <w:tcW w:type="auto" w:w="0"/>
                  <w:shd w:val="clear" w:color="auto" w:fill="F0F0F0"/>
                </w:tcPr>
                <w:p>
                  <w:pPr>
                    <w:pStyle w:val="Normal"/>
                    <w:keepLines w:val="on"/>
                  </w:pPr>
                  <w:r>
                    <w:t>$85,910</w:t>
                  </w:r>
                </w:p>
              </w:tc>
              <w:tc>
                <w:tcPr>
                  <w:tcW w:type="auto" w:w="0"/>
                  <w:shd w:val="clear" w:color="auto" w:fill="F0F0F0"/>
                </w:tcPr>
                <w:p>
                  <w:pPr>
                    <w:pStyle w:val="Normal"/>
                    <w:keepLines w:val="on"/>
                  </w:pPr>
                  <w:r>
                    <w:t>$10,023</w:t>
                  </w:r>
                </w:p>
              </w:tc>
              <w:tc>
                <w:tcPr>
                  <w:tcW w:type="auto" w:w="0"/>
                  <w:shd w:val="clear" w:color="auto" w:fill="F0F0F0"/>
                </w:tcPr>
                <w:p>
                  <w:pPr>
                    <w:pStyle w:val="Normal"/>
                    <w:keepLines w:val="on"/>
                  </w:pPr>
                  <w:r>
                    <w:t>$2,948</w:t>
                  </w:r>
                </w:p>
              </w:tc>
              <w:tc>
                <w:tcPr>
                  <w:tcW w:type="auto" w:w="0"/>
                  <w:shd w:val="clear" w:color="auto" w:fill="F0F0F0"/>
                </w:tcPr>
                <w:p>
                  <w:pPr>
                    <w:pStyle w:val="Normal"/>
                    <w:keepLines w:val="on"/>
                  </w:pPr>
                  <w:r>
                    <w:t>29.41%</w:t>
                  </w:r>
                </w:p>
              </w:tc>
              <w:tc>
                <w:tcPr>
                  <w:tcW w:type="auto" w:w="0"/>
                  <w:shd w:val="clear" w:color="auto" w:fill="F0F0F0"/>
                </w:tcPr>
                <w:p>
                  <w:pPr>
                    <w:pStyle w:val="Normal"/>
                    <w:keepLines w:val="on"/>
                  </w:pPr>
                  <w:r>
                    <w:t>8.57</w:t>
                  </w:r>
                </w:p>
              </w:tc>
              <w:tc>
                <w:tcPr>
                  <w:tcW w:type="auto" w:w="0"/>
                  <w:shd w:val="clear" w:color="auto" w:fill="F0F0F0"/>
                </w:tcPr>
                <w:p>
                  <w:pPr>
                    <w:pStyle w:val="Normal"/>
                    <w:keepLines w:val="on"/>
                  </w:pPr>
                  <w:r>
                    <w:t>29.15</w:t>
                  </w:r>
                </w:p>
              </w:tc>
            </w:tr>
            <w:tr>
              <w:tc>
                <w:tcPr>
                  <w:tcW w:type="auto" w:w="0"/>
                  <w:shd w:val="clear" w:color="auto" w:fill="F0F0F0"/>
                </w:tcPr>
                <w:p>
                  <w:pPr>
                    <w:pStyle w:val="Para 02"/>
                    <w:keepLines w:val="on"/>
                  </w:pPr>
                  <w:r>
                    <w:t>NHL</w:t>
                  </w:r>
                </w:p>
              </w:tc>
              <w:tc>
                <w:tcPr>
                  <w:tcW w:type="auto" w:w="0"/>
                  <w:shd w:val="clear" w:color="auto" w:fill="F0F0F0"/>
                </w:tcPr>
                <w:p>
                  <w:pPr>
                    <w:pStyle w:val="Normal"/>
                    <w:keepLines w:val="on"/>
                  </w:pPr>
                  <w:r>
                    <w:t>$32,350</w:t>
                  </w:r>
                </w:p>
              </w:tc>
              <w:tc>
                <w:tcPr>
                  <w:tcW w:type="auto" w:w="0"/>
                  <w:shd w:val="clear" w:color="auto" w:fill="F0F0F0"/>
                </w:tcPr>
                <w:p>
                  <w:pPr>
                    <w:pStyle w:val="Normal"/>
                    <w:keepLines w:val="on"/>
                  </w:pPr>
                  <w:r>
                    <w:t>$5,931</w:t>
                  </w:r>
                </w:p>
              </w:tc>
              <w:tc>
                <w:tcPr>
                  <w:tcW w:type="auto" w:w="0"/>
                  <w:shd w:val="clear" w:color="auto" w:fill="F0F0F0"/>
                </w:tcPr>
                <w:p>
                  <w:pPr>
                    <w:pStyle w:val="Normal"/>
                    <w:keepLines w:val="on"/>
                  </w:pPr>
                  <w:r>
                    <w:t>$1,573</w:t>
                  </w:r>
                </w:p>
              </w:tc>
              <w:tc>
                <w:tcPr>
                  <w:tcW w:type="auto" w:w="0"/>
                  <w:shd w:val="clear" w:color="auto" w:fill="F0F0F0"/>
                </w:tcPr>
                <w:p>
                  <w:pPr>
                    <w:pStyle w:val="Normal"/>
                    <w:keepLines w:val="on"/>
                  </w:pPr>
                  <w:r>
                    <w:t>26.53%</w:t>
                  </w:r>
                </w:p>
              </w:tc>
              <w:tc>
                <w:tcPr>
                  <w:tcW w:type="auto" w:w="0"/>
                  <w:shd w:val="clear" w:color="auto" w:fill="F0F0F0"/>
                </w:tcPr>
                <w:p>
                  <w:pPr>
                    <w:pStyle w:val="Normal"/>
                    <w:keepLines w:val="on"/>
                  </w:pPr>
                  <w:r>
                    <w:t>5,45</w:t>
                  </w:r>
                </w:p>
              </w:tc>
              <w:tc>
                <w:tcPr>
                  <w:tcW w:type="auto" w:w="0"/>
                  <w:shd w:val="clear" w:color="auto" w:fill="F0F0F0"/>
                </w:tcPr>
                <w:p>
                  <w:pPr>
                    <w:pStyle w:val="Normal"/>
                    <w:keepLines w:val="on"/>
                  </w:pPr>
                  <w:r>
                    <w:t>20,56</w:t>
                  </w:r>
                </w:p>
              </w:tc>
            </w:tr>
            <w:tr>
              <w:tc>
                <w:tcPr>
                  <w:tcW w:type="auto" w:w="0"/>
                  <w:shd w:val="clear" w:color="auto" w:fill="F0F0F0"/>
                </w:tcPr>
                <w:p>
                  <w:pPr>
                    <w:pStyle w:val="Para 02"/>
                    <w:keepLines w:val="on"/>
                  </w:pPr>
                  <w:r>
                    <w:t>MLS</w:t>
                  </w:r>
                </w:p>
              </w:tc>
              <w:tc>
                <w:tcPr>
                  <w:tcW w:type="auto" w:w="0"/>
                  <w:shd w:val="clear" w:color="auto" w:fill="F0F0F0"/>
                </w:tcPr>
                <w:p>
                  <w:pPr>
                    <w:pStyle w:val="Normal"/>
                    <w:keepLines w:val="on"/>
                  </w:pPr>
                  <w:r>
                    <w:t>16.200 đô la</w:t>
                  </w:r>
                </w:p>
              </w:tc>
              <w:tc>
                <w:tcPr>
                  <w:tcW w:type="auto" w:w="0"/>
                  <w:shd w:val="clear" w:color="auto" w:fill="F0F0F0"/>
                </w:tcPr>
                <w:p>
                  <w:pPr>
                    <w:pStyle w:val="Normal"/>
                    <w:keepLines w:val="on"/>
                  </w:pPr>
                  <w:r>
                    <w:t>1.549 đô la</w:t>
                  </w:r>
                </w:p>
              </w:tc>
              <w:tc>
                <w:tcPr>
                  <w:tcW w:type="auto" w:w="0"/>
                  <w:shd w:val="clear" w:color="auto" w:fill="F0F0F0"/>
                </w:tcPr>
                <w:p>
                  <w:pPr>
                    <w:pStyle w:val="Normal"/>
                    <w:keepLines w:val="on"/>
                  </w:pPr>
                  <w:r>
                    <w:t>34 đô la</w:t>
                  </w:r>
                </w:p>
              </w:tc>
              <w:tc>
                <w:tcPr>
                  <w:tcW w:type="auto" w:w="0"/>
                  <w:shd w:val="clear" w:color="auto" w:fill="F0F0F0"/>
                </w:tcPr>
                <w:p>
                  <w:pPr>
                    <w:pStyle w:val="Normal"/>
                    <w:keepLines w:val="on"/>
                  </w:pPr>
                  <w:r>
                    <w:t>2,19%</w:t>
                  </w:r>
                </w:p>
              </w:tc>
              <w:tc>
                <w:tcPr>
                  <w:tcW w:type="auto" w:w="0"/>
                  <w:shd w:val="clear" w:color="auto" w:fill="F0F0F0"/>
                </w:tcPr>
                <w:p>
                  <w:pPr>
                    <w:pStyle w:val="Normal"/>
                    <w:keepLines w:val="on"/>
                  </w:pPr>
                  <w:r>
                    <w:t>10,46</w:t>
                  </w:r>
                </w:p>
              </w:tc>
              <w:tc>
                <w:tcPr>
                  <w:tcW w:type="auto" w:w="0"/>
                  <w:shd w:val="clear" w:color="auto" w:fill="F0F0F0"/>
                </w:tcPr>
                <w:p>
                  <w:pPr>
                    <w:pStyle w:val="Normal"/>
                    <w:keepLines w:val="on"/>
                  </w:pPr>
                  <w:r>
                    <w:t>476,47</w:t>
                  </w:r>
                </w:p>
              </w:tc>
            </w:tr>
            <w:tr>
              <w:tc>
                <w:tcPr>
                  <w:tcW w:type="auto" w:w="0"/>
                  <w:shd w:val="clear" w:color="auto" w:fill="F0F0F0"/>
                </w:tcPr>
                <w:p>
                  <w:pPr>
                    <w:pStyle w:val="Para 02"/>
                    <w:keepLines w:val="on"/>
                  </w:pPr>
                  <w:r>
                    <w:t>Premier League</w:t>
                  </w:r>
                </w:p>
              </w:tc>
              <w:tc>
                <w:tcPr>
                  <w:tcW w:type="auto" w:w="0"/>
                  <w:shd w:val="clear" w:color="auto" w:fill="F0F0F0"/>
                </w:tcPr>
                <w:p>
                  <w:pPr>
                    <w:pStyle w:val="Normal"/>
                    <w:keepLines w:val="on"/>
                  </w:pPr>
                  <w:r>
                    <w:t>30.255 đô la</w:t>
                  </w:r>
                </w:p>
              </w:tc>
              <w:tc>
                <w:tcPr>
                  <w:tcW w:type="auto" w:w="0"/>
                  <w:shd w:val="clear" w:color="auto" w:fill="F0F0F0"/>
                </w:tcPr>
                <w:p>
                  <w:pPr>
                    <w:pStyle w:val="Normal"/>
                    <w:keepLines w:val="on"/>
                  </w:pPr>
                  <w:r>
                    <w:t>6.442 đô la</w:t>
                  </w:r>
                </w:p>
              </w:tc>
              <w:tc>
                <w:tcPr>
                  <w:tcW w:type="auto" w:w="0"/>
                  <w:shd w:val="clear" w:color="auto" w:fill="F0F0F0"/>
                </w:tcPr>
                <w:p>
                  <w:pPr>
                    <w:pStyle w:val="Normal"/>
                    <w:keepLines w:val="on"/>
                  </w:pPr>
                  <w:r>
                    <w:t>520 đô la</w:t>
                  </w:r>
                </w:p>
              </w:tc>
              <w:tc>
                <w:tcPr>
                  <w:tcW w:type="auto" w:w="0"/>
                  <w:shd w:val="clear" w:color="auto" w:fill="F0F0F0"/>
                </w:tcPr>
                <w:p>
                  <w:pPr>
                    <w:pStyle w:val="Normal"/>
                    <w:keepLines w:val="on"/>
                  </w:pPr>
                  <w:r>
                    <w:t>8,07%</w:t>
                  </w:r>
                </w:p>
              </w:tc>
              <w:tc>
                <w:tcPr>
                  <w:tcW w:type="auto" w:w="0"/>
                  <w:shd w:val="clear" w:color="auto" w:fill="F0F0F0"/>
                </w:tcPr>
                <w:p>
                  <w:pPr>
                    <w:pStyle w:val="Normal"/>
                    <w:keepLines w:val="on"/>
                  </w:pPr>
                  <w:r>
                    <w:t>4,70</w:t>
                  </w:r>
                </w:p>
              </w:tc>
              <w:tc>
                <w:tcPr>
                  <w:tcW w:type="auto" w:w="0"/>
                  <w:shd w:val="clear" w:color="auto" w:fill="F0F0F0"/>
                </w:tcPr>
                <w:p>
                  <w:pPr>
                    <w:pStyle w:val="Normal"/>
                    <w:keepLines w:val="on"/>
                  </w:pPr>
                  <w:r>
                    <w:t>58,23</w:t>
                  </w:r>
                </w:p>
              </w:tc>
            </w:tr>
            <w:tr>
              <w:tc>
                <w:tcPr>
                  <w:tcW w:type="auto" w:w="0"/>
                  <w:shd w:val="clear" w:color="auto" w:fill="F0F0F0"/>
                </w:tcPr>
                <w:p>
                  <w:pPr>
                    <w:pStyle w:val="Para 02"/>
                    <w:keepLines w:val="on"/>
                  </w:pPr>
                  <w:r>
                    <w:t>IPL</w:t>
                  </w:r>
                </w:p>
              </w:tc>
              <w:tc>
                <w:tcPr>
                  <w:tcW w:type="auto" w:w="0"/>
                  <w:shd w:val="clear" w:color="auto" w:fill="F0F0F0"/>
                </w:tcPr>
                <w:p>
                  <w:pPr>
                    <w:pStyle w:val="Normal"/>
                    <w:keepLines w:val="on"/>
                  </w:pPr>
                  <w:r>
                    <w:t>10.430 đô la</w:t>
                  </w:r>
                </w:p>
              </w:tc>
              <w:tc>
                <w:tcPr>
                  <w:tcW w:type="auto" w:w="0"/>
                  <w:shd w:val="clear" w:color="auto" w:fill="F0F0F0"/>
                </w:tcPr>
                <w:p>
                  <w:pPr>
                    <w:pStyle w:val="Normal"/>
                    <w:keepLines w:val="on"/>
                  </w:pPr>
                  <w:r>
                    <w:t>1.087 đô la</w:t>
                  </w:r>
                </w:p>
              </w:tc>
              <w:tc>
                <w:tcPr>
                  <w:tcW w:type="auto" w:w="0"/>
                  <w:shd w:val="clear" w:color="auto" w:fill="F0F0F0"/>
                </w:tcPr>
                <w:p>
                  <w:pPr>
                    <w:pStyle w:val="Normal"/>
                    <w:keepLines w:val="on"/>
                  </w:pPr>
                  <w:r>
                    <w:t>150 đô la</w:t>
                  </w:r>
                </w:p>
              </w:tc>
              <w:tc>
                <w:tcPr>
                  <w:tcW w:type="auto" w:w="0"/>
                  <w:shd w:val="clear" w:color="auto" w:fill="F0F0F0"/>
                </w:tcPr>
                <w:p>
                  <w:pPr>
                    <w:pStyle w:val="Normal"/>
                    <w:keepLines w:val="on"/>
                  </w:pPr>
                  <w:r>
                    <w:t>13,80%</w:t>
                  </w:r>
                </w:p>
              </w:tc>
              <w:tc>
                <w:tcPr>
                  <w:tcW w:type="auto" w:w="0"/>
                  <w:shd w:val="clear" w:color="auto" w:fill="F0F0F0"/>
                </w:tcPr>
                <w:p>
                  <w:pPr>
                    <w:pStyle w:val="Normal"/>
                    <w:keepLines w:val="on"/>
                  </w:pPr>
                  <w:r>
                    <w:t>9,60</w:t>
                  </w:r>
                </w:p>
              </w:tc>
              <w:tc>
                <w:tcPr>
                  <w:tcW w:type="auto" w:w="0"/>
                  <w:shd w:val="clear" w:color="auto" w:fill="F0F0F0"/>
                </w:tcPr>
                <w:p>
                  <w:pPr>
                    <w:pStyle w:val="Normal"/>
                    <w:keepLines w:val="on"/>
                  </w:pPr>
                  <w:r>
                    <w:t>69,53</w:t>
                  </w:r>
                </w:p>
              </w:tc>
            </w:tr>
          </w:tbl>
          <w:p/>
        </w:tc>
      </w:tr>
    </w:tbl>
    <w:p>
      <w:pPr>
        <w:pStyle w:val="Para 03"/>
      </w:pPr>
      <w:r>
        <w:t>Trong khi tình hình tài chính của các đội bóng thường khá mờ mịt, Forbes ước tính rằng NFL, thương hiệu thể thao giàu có nhất thế giới, đã tạo ra khoảng 4,7 tỷ đô la lợi nhuận hoạt động trên doanh thu xấp xỉ 16 tỷ đô la vào năm 2022. NBA là thương hiệu có lợi nhuận cao thứ hai, trong khi bóng chày nói chung đang chật vật để kiếm tiền. Đáng chú ý hơn, nếu bạn dùng các ước tính định giá của Forbes cho các đội bóng, hãy lưu ý rằng bốn trong số bảy thương hiệu (NFL, NBA, MLS và IPL) đang được giao dịch ở mức gấp tám đến mười lần doanh thu và ở bội số cao của thu nhập hoạt động. Đúng là trên thị trường có những công ty công nghệ giao dịch ở bội số tương tự, nhưng những công ty đó có tiềm năng tăng trưởng phi thường phía trước và những thị trường mới để chinh phục. Ngay cả khi bạn tin rằng bản quyền truyền thông sẽ tiếp tục là con ngỗng đẻ trứng vàng cho các thương hiệu thể thao, thật khó để thấy bạn biện minh cho những bội số định giá này như thế nào. Để cho thấy rằng khoảng cách giữa số tiền người mua trả cho các thương hiệu và những gì họ nhận lại đã ngày càng lớn theo thời gian, chúng ta xem xét định giá của các đội NFL qua thời gian, so với doanh thu của các đội này (bao gồm cả các hợp đồng truyền thông béo bở hơn) từ năm 2012 đến năm 2022 trong Hình 27.14.</w:t>
      </w:r>
    </w:p>
    <w:p>
      <w:bookmarkStart w:id="5804" w:name="Figure_27_14_Pricing_of_NFL_Fra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62200" cy="1714500"/>
            <wp:effectExtent l="0" r="0" t="0" b="0"/>
            <wp:wrapTopAndBottom/>
            <wp:docPr id="251" name="c27f014.png" descr="Line and bar graph plots the overall increase in cumulative pricing, cumulative revenues, E V or sales of N F L franchise from 2006 to 2022."/>
            <wp:cNvGraphicFramePr>
              <a:graphicFrameLocks noChangeAspect="1"/>
            </wp:cNvGraphicFramePr>
            <a:graphic>
              <a:graphicData uri="http://schemas.openxmlformats.org/drawingml/2006/picture">
                <pic:pic>
                  <pic:nvPicPr>
                    <pic:cNvPr id="0" name="c27f014.png" descr="Line and bar graph plots the overall increase in cumulative pricing, cumulative revenues, E V or sales of N F L franchise from 2006 to 2022."/>
                    <pic:cNvPicPr/>
                  </pic:nvPicPr>
                  <pic:blipFill>
                    <a:blip r:embed="rId183"/>
                    <a:stretch>
                      <a:fillRect/>
                    </a:stretch>
                  </pic:blipFill>
                  <pic:spPr>
                    <a:xfrm>
                      <a:off x="0" y="0"/>
                      <a:ext cx="2362200" cy="1714500"/>
                    </a:xfrm>
                    <a:prstGeom prst="rect">
                      <a:avLst/>
                    </a:prstGeom>
                  </pic:spPr>
                </pic:pic>
              </a:graphicData>
            </a:graphic>
          </wp:anchor>
        </w:drawing>
      </w:r>
      <w:bookmarkEnd w:id="5804"/>
    </w:p>
    <w:p>
      <w:pPr>
        <w:keepNext/>
        <w:pStyle w:val="Para 22"/>
        <w:keepLines w:val="on"/>
      </w:pPr>
      <w:r>
        <w:t>Hình 27.14 Định giá các thương hiệu NFL qua thời gian</w:t>
      </w:r>
    </w:p>
    <w:p>
      <w:pPr>
        <w:pStyle w:val="Para 03"/>
      </w:pPr>
      <w:r>
        <w:t>Trong thập kỷ qua, bạn có thể thấy rằng giá trị định giá của các đội NFL đã tăng từ chỉ hơn bốn lần doanh thu vào năm 2012 lên hơn bảy lần doanh thu vào năm 2022. Nói ngắn gọn, giá nhượng quyền NFL đang tăng với tốc độ không thể giải thích bằng tăng trưởng doanh thu, dù cho các hợp đồng truyền thông có béo bở hơn đi chăng nữa, hay bằng lợi nhuận cao hơn.</w:t>
      </w:r>
    </w:p>
    <w:p>
      <w:bookmarkStart w:id="5805" w:name="A_New_Breed_of_Owners__At_the_st"/>
      <w:pPr>
        <w:pStyle w:val="Para 21"/>
      </w:pPr>
      <w:r>
        <w:t>Một Thế Hệ Chủ Sở Hữu Mới</w:t>
      </w:r>
      <w:bookmarkEnd w:id="5805"/>
    </w:p>
    <w:p>
      <w:pPr>
        <w:pStyle w:val="Para 03"/>
      </w:pPr>
      <w:r>
        <w:t>Ở đầu phần này, chúng ta đã lưu ý rằng gia đình Rooney mua đội Pittsburg Steelers vào năm 1932 với giá 2.500 đô la, và họ vẫn tiếp tục sở hữu Steelers. Dù có thể hình dung rằng họ coi Steelers như một doanh nghiệp mà họ sở hữu và phải tiếp tục mang lại lợi nhuận cho họ, phần lớn phần còn lại của NFL đã chứng kiến sự thay đổi thế hệ, với các chủ sở hữu mới thay thế những người cũ bám trụ lâu năm. Nhiều chủ sở hữu mới này vốn đã giàu có, với tài sản tích lũy được trong một lĩnh vực khác (bất động sản, vốn cổ phần tư nhân, vốn đầu tư mạo hiểm), khi họ mua các đội thể thao chuyên nghiệp, và ngay từ đầu, có vẻ rõ ràng rằng họ ít quan tâm đến việc tạo ra lợi nhuận hơn là đóng vai trò chủ sở hữu đội bóng. Để minh họa, chúng ta tập trung vào NBA, nơi đã có nhiều sự thay đổi trong hàng ngũ chủ sở hữu, với gần hai phần ba số đội có chủ sở hữu mới trong hai thập kỷ qua, trong Bảng 27.13.</w:t>
      </w:r>
    </w:p>
    <w:p>
      <w:pPr>
        <w:pStyle w:val="Para 34"/>
        <w:keepLines w:val="on"/>
      </w:pPr>
      <w:r>
        <w:t>Bảng 27.13</w:t>
      </w:r>
    </w:p>
    <w:p>
      <w:pPr>
        <w:keepNext/>
        <w:pStyle w:val="Para 35"/>
        <w:keepLines w:val="on"/>
      </w:pPr>
      <w:r>
        <w:t>Các Chủ Sở Hữu Đội NBA Năm 2023</w:t>
      </w:r>
    </w:p>
    <w:tbl>
      <w:tblPr>
        <w:tblW w:type="auto" w:w="0"/>
      </w:tblPr>
      <w:tr>
        <w:tc>
          <w:tcPr>
            <w:tcW w:type="auto" w:w="0"/>
          </w:tcPr>
          <w:tbl>
            <w:tblPr>
              <w:tblW w:type="auto" w:w="0"/>
            </w:tblPr>
            <w:tr>
              <w:tc>
                <w:tcPr>
                  <w:tcW w:type="auto" w:w="0"/>
                  <w:shd w:val="clear" w:color="auto" w:fill="F0F0F0"/>
                  <w:vAlign w:val="bottom"/>
                </w:tcPr>
                <w:p>
                  <w:pPr>
                    <w:pStyle w:val="Para 61"/>
                    <w:keepLines w:val="on"/>
                  </w:pPr>
                  <w:r>
                    <w:t>Đội</w:t>
                  </w:r>
                </w:p>
              </w:tc>
              <w:tc>
                <w:tcPr>
                  <w:tcW w:type="auto" w:w="0"/>
                  <w:shd w:val="clear" w:color="auto" w:fill="F0F0F0"/>
                  <w:vAlign w:val="bottom"/>
                </w:tcPr>
                <w:p>
                  <w:pPr>
                    <w:pStyle w:val="Para 45"/>
                    <w:keepLines w:val="on"/>
                  </w:pPr>
                  <w:r>
                    <w:t>Chủ sở hữu</w:t>
                  </w:r>
                </w:p>
              </w:tc>
              <w:tc>
                <w:tcPr>
                  <w:tcW w:type="auto" w:w="0"/>
                  <w:shd w:val="clear" w:color="auto" w:fill="F0F0F0"/>
                  <w:vAlign w:val="bottom"/>
                </w:tcPr>
                <w:p>
                  <w:pPr>
                    <w:pStyle w:val="Para 45"/>
                    <w:keepLines w:val="on"/>
                  </w:pPr>
                  <w:r>
                    <w:t>Tài sản (tỷ đô la)</w:t>
                  </w:r>
                </w:p>
              </w:tc>
              <w:tc>
                <w:tcPr>
                  <w:tcW w:type="auto" w:w="0"/>
                  <w:shd w:val="clear" w:color="auto" w:fill="F0F0F0"/>
                  <w:vAlign w:val="bottom"/>
                </w:tcPr>
                <w:p>
                  <w:pPr>
                    <w:pStyle w:val="Para 45"/>
                    <w:keepLines w:val="on"/>
                  </w:pPr>
                  <w:r>
                    <w:t>Năm mua</w:t>
                  </w:r>
                </w:p>
              </w:tc>
              <w:tc>
                <w:tcPr>
                  <w:tcW w:type="auto" w:w="0"/>
                  <w:shd w:val="clear" w:color="auto" w:fill="F0F0F0"/>
                  <w:vAlign w:val="bottom"/>
                </w:tcPr>
                <w:p>
                  <w:pPr>
                    <w:pStyle w:val="Para 45"/>
                    <w:keepLines w:val="on"/>
                  </w:pPr>
                  <w:r>
                    <w:t>Nền tảng kinh doanh</w:t>
                  </w:r>
                </w:p>
              </w:tc>
            </w:tr>
            <w:tr>
              <w:tc>
                <w:tcPr>
                  <w:tcW w:type="auto" w:w="0"/>
                  <w:shd w:val="clear" w:color="auto" w:fill="F0F0F0"/>
                </w:tcPr>
                <w:p>
                  <w:pPr>
                    <w:pStyle w:val="Para 02"/>
                    <w:keepLines w:val="on"/>
                  </w:pPr>
                  <w:r>
                    <w:t>Indiana Pacers</w:t>
                  </w:r>
                </w:p>
              </w:tc>
              <w:tc>
                <w:tcPr>
                  <w:tcW w:type="auto" w:w="0"/>
                  <w:shd w:val="clear" w:color="auto" w:fill="F0F0F0"/>
                </w:tcPr>
                <w:p>
                  <w:pPr>
                    <w:pStyle w:val="Para 02"/>
                    <w:keepLines w:val="on"/>
                  </w:pPr>
                  <w:r>
                    <w:t>Herb Simon</w:t>
                  </w:r>
                </w:p>
              </w:tc>
              <w:tc>
                <w:tcPr>
                  <w:tcW w:type="auto" w:w="0"/>
                  <w:shd w:val="clear" w:color="auto" w:fill="F0F0F0"/>
                </w:tcPr>
                <w:p>
                  <w:pPr>
                    <w:pStyle w:val="Normal"/>
                    <w:keepLines w:val="on"/>
                  </w:pPr>
                  <w:r>
                    <w:t>$2,80</w:t>
                  </w:r>
                </w:p>
              </w:tc>
              <w:tc>
                <w:tcPr>
                  <w:tcW w:type="auto" w:w="0"/>
                  <w:shd w:val="clear" w:color="auto" w:fill="F0F0F0"/>
                </w:tcPr>
                <w:p>
                  <w:pPr>
                    <w:pStyle w:val="Normal"/>
                    <w:keepLines w:val="on"/>
                  </w:pPr>
                  <w:r>
                    <w:t>1983</w:t>
                  </w:r>
                </w:p>
              </w:tc>
              <w:tc>
                <w:tcPr>
                  <w:tcW w:type="auto" w:w="0"/>
                  <w:shd w:val="clear" w:color="auto" w:fill="F0F0F0"/>
                </w:tcPr>
                <w:p>
                  <w:pPr>
                    <w:pStyle w:val="Para 02"/>
                    <w:keepLines w:val="on"/>
                  </w:pPr>
                  <w:r>
                    <w:t>Bất động sản</w:t>
                  </w:r>
                </w:p>
              </w:tc>
            </w:tr>
            <w:tr>
              <w:tc>
                <w:tcPr>
                  <w:tcW w:type="auto" w:w="0"/>
                  <w:shd w:val="clear" w:color="auto" w:fill="F0F0F0"/>
                </w:tcPr>
                <w:p>
                  <w:pPr>
                    <w:pStyle w:val="Para 02"/>
                    <w:keepLines w:val="on"/>
                  </w:pPr>
                  <w:r>
                    <w:t>Chicago Bulls</w:t>
                  </w:r>
                </w:p>
              </w:tc>
              <w:tc>
                <w:tcPr>
                  <w:tcW w:type="auto" w:w="0"/>
                  <w:shd w:val="clear" w:color="auto" w:fill="F0F0F0"/>
                </w:tcPr>
                <w:p>
                  <w:pPr>
                    <w:pStyle w:val="Para 02"/>
                    <w:keepLines w:val="on"/>
                  </w:pPr>
                  <w:r>
                    <w:t>Jerry Reinsdorf</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1985</w:t>
                  </w:r>
                </w:p>
              </w:tc>
              <w:tc>
                <w:tcPr>
                  <w:tcW w:type="auto" w:w="0"/>
                  <w:shd w:val="clear" w:color="auto" w:fill="F0F0F0"/>
                </w:tcPr>
                <w:p>
                  <w:pPr>
                    <w:pStyle w:val="Para 02"/>
                    <w:keepLines w:val="on"/>
                  </w:pPr>
                  <w:r>
                    <w:t>Bất động sản</w:t>
                  </w:r>
                </w:p>
              </w:tc>
            </w:tr>
            <w:tr>
              <w:tc>
                <w:tcPr>
                  <w:tcW w:type="auto" w:w="0"/>
                  <w:shd w:val="clear" w:color="auto" w:fill="F0F0F0"/>
                </w:tcPr>
                <w:p>
                  <w:pPr>
                    <w:pStyle w:val="Para 02"/>
                    <w:keepLines w:val="on"/>
                  </w:pPr>
                  <w:r>
                    <w:t>Portland Trailblazers</w:t>
                  </w:r>
                </w:p>
              </w:tc>
              <w:tc>
                <w:tcPr>
                  <w:tcW w:type="auto" w:w="0"/>
                  <w:shd w:val="clear" w:color="auto" w:fill="F0F0F0"/>
                </w:tcPr>
                <w:p>
                  <w:pPr>
                    <w:pStyle w:val="Para 02"/>
                    <w:keepLines w:val="on"/>
                  </w:pPr>
                  <w:r>
                    <w:t>Paul Allen (gia đình)</w:t>
                  </w:r>
                </w:p>
              </w:tc>
              <w:tc>
                <w:tcPr>
                  <w:tcW w:type="auto" w:w="0"/>
                  <w:shd w:val="clear" w:color="auto" w:fill="F0F0F0"/>
                </w:tcPr>
                <w:p>
                  <w:pPr>
                    <w:pStyle w:val="Normal"/>
                    <w:keepLines w:val="on"/>
                  </w:pPr>
                  <w:r>
                    <w:t>$20,30</w:t>
                  </w:r>
                </w:p>
              </w:tc>
              <w:tc>
                <w:tcPr>
                  <w:tcW w:type="auto" w:w="0"/>
                  <w:shd w:val="clear" w:color="auto" w:fill="F0F0F0"/>
                </w:tcPr>
                <w:p>
                  <w:pPr>
                    <w:pStyle w:val="Normal"/>
                    <w:keepLines w:val="on"/>
                  </w:pPr>
                  <w:r>
                    <w:t>1988</w:t>
                  </w:r>
                </w:p>
              </w:tc>
              <w:tc>
                <w:tcPr>
                  <w:tcW w:type="auto" w:w="0"/>
                  <w:shd w:val="clear" w:color="auto" w:fill="F0F0F0"/>
                </w:tcPr>
                <w:p>
                  <w:pPr>
                    <w:pStyle w:val="Para 02"/>
                    <w:keepLines w:val="on"/>
                  </w:pPr>
                  <w:r>
                    <w:t>Đồng sáng lập Microsoft</w:t>
                  </w:r>
                </w:p>
              </w:tc>
            </w:tr>
            <w:tr>
              <w:tc>
                <w:tcPr>
                  <w:tcW w:type="auto" w:w="0"/>
                  <w:shd w:val="clear" w:color="auto" w:fill="F0F0F0"/>
                </w:tcPr>
                <w:p>
                  <w:pPr>
                    <w:pStyle w:val="Para 02"/>
                    <w:keepLines w:val="on"/>
                  </w:pPr>
                  <w:r>
                    <w:t>Orlando Magic</w:t>
                  </w:r>
                </w:p>
              </w:tc>
              <w:tc>
                <w:tcPr>
                  <w:tcW w:type="auto" w:w="0"/>
                  <w:shd w:val="clear" w:color="auto" w:fill="F0F0F0"/>
                </w:tcPr>
                <w:p>
                  <w:pPr>
                    <w:pStyle w:val="Para 02"/>
                    <w:keepLines w:val="on"/>
                  </w:pPr>
                  <w:r>
                    <w:t>Richard DeVos</w:t>
                  </w:r>
                </w:p>
              </w:tc>
              <w:tc>
                <w:tcPr>
                  <w:tcW w:type="auto" w:w="0"/>
                  <w:shd w:val="clear" w:color="auto" w:fill="F0F0F0"/>
                </w:tcPr>
                <w:p>
                  <w:pPr>
                    <w:pStyle w:val="Normal"/>
                    <w:keepLines w:val="on"/>
                  </w:pPr>
                  <w:r>
                    <w:t>$5.40</w:t>
                  </w:r>
                </w:p>
              </w:tc>
              <w:tc>
                <w:tcPr>
                  <w:tcW w:type="auto" w:w="0"/>
                  <w:shd w:val="clear" w:color="auto" w:fill="F0F0F0"/>
                </w:tcPr>
                <w:p>
                  <w:pPr>
                    <w:pStyle w:val="Normal"/>
                    <w:keepLines w:val="on"/>
                  </w:pPr>
                  <w:r>
                    <w:t>1991</w:t>
                  </w:r>
                </w:p>
              </w:tc>
              <w:tc>
                <w:tcPr>
                  <w:tcW w:type="auto" w:w="0"/>
                  <w:shd w:val="clear" w:color="auto" w:fill="F0F0F0"/>
                </w:tcPr>
                <w:p>
                  <w:pPr>
                    <w:pStyle w:val="Para 02"/>
                    <w:keepLines w:val="on"/>
                  </w:pPr>
                  <w:r>
                    <w:t>Đồng sáng lập Amway</w:t>
                  </w:r>
                </w:p>
              </w:tc>
            </w:tr>
            <w:tr>
              <w:tc>
                <w:tcPr>
                  <w:tcW w:type="auto" w:w="0"/>
                  <w:shd w:val="clear" w:color="auto" w:fill="F0F0F0"/>
                </w:tcPr>
                <w:p>
                  <w:pPr>
                    <w:pStyle w:val="Para 02"/>
                    <w:keepLines w:val="on"/>
                  </w:pPr>
                  <w:r>
                    <w:t>San Antoni Spurs</w:t>
                  </w:r>
                </w:p>
              </w:tc>
              <w:tc>
                <w:tcPr>
                  <w:tcW w:type="auto" w:w="0"/>
                  <w:shd w:val="clear" w:color="auto" w:fill="F0F0F0"/>
                </w:tcPr>
                <w:p>
                  <w:pPr>
                    <w:pStyle w:val="Para 02"/>
                    <w:keepLines w:val="on"/>
                  </w:pPr>
                  <w:r>
                    <w:t>Peter Holt</w:t>
                  </w:r>
                </w:p>
              </w:tc>
              <w:tc>
                <w:tcPr>
                  <w:tcW w:type="auto" w:w="0"/>
                  <w:shd w:val="clear" w:color="auto" w:fill="F0F0F0"/>
                </w:tcPr>
                <w:p>
                  <w:pPr>
                    <w:pStyle w:val="Normal"/>
                    <w:keepLines w:val="on"/>
                  </w:pPr>
                  <w:r>
                    <w:t>$0.20</w:t>
                  </w:r>
                </w:p>
              </w:tc>
              <w:tc>
                <w:tcPr>
                  <w:tcW w:type="auto" w:w="0"/>
                  <w:shd w:val="clear" w:color="auto" w:fill="F0F0F0"/>
                </w:tcPr>
                <w:p>
                  <w:pPr>
                    <w:pStyle w:val="Normal"/>
                    <w:keepLines w:val="on"/>
                  </w:pPr>
                  <w:r>
                    <w:t>1993</w:t>
                  </w:r>
                </w:p>
              </w:tc>
              <w:tc>
                <w:tcPr>
                  <w:tcW w:type="auto" w:w="0"/>
                  <w:shd w:val="clear" w:color="auto" w:fill="F0F0F0"/>
                </w:tcPr>
                <w:p>
                  <w:pPr>
                    <w:pStyle w:val="Para 02"/>
                    <w:keepLines w:val="on"/>
                  </w:pPr>
                  <w:r>
                    <w:t>Đại lý máy kéo</w:t>
                  </w:r>
                </w:p>
              </w:tc>
            </w:tr>
            <w:tr>
              <w:tc>
                <w:tcPr>
                  <w:tcW w:type="auto" w:w="0"/>
                  <w:shd w:val="clear" w:color="auto" w:fill="F0F0F0"/>
                </w:tcPr>
                <w:p>
                  <w:pPr>
                    <w:pStyle w:val="Para 02"/>
                    <w:keepLines w:val="on"/>
                  </w:pPr>
                  <w:r>
                    <w:t>Minnesota Timberwolves</w:t>
                  </w:r>
                </w:p>
              </w:tc>
              <w:tc>
                <w:tcPr>
                  <w:tcW w:type="auto" w:w="0"/>
                  <w:shd w:val="clear" w:color="auto" w:fill="F0F0F0"/>
                </w:tcPr>
                <w:p>
                  <w:pPr>
                    <w:pStyle w:val="Para 02"/>
                    <w:keepLines w:val="on"/>
                  </w:pPr>
                  <w:r>
                    <w:t>Glen Taylor</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1994</w:t>
                  </w:r>
                </w:p>
              </w:tc>
              <w:tc>
                <w:tcPr>
                  <w:tcW w:type="auto" w:w="0"/>
                  <w:shd w:val="clear" w:color="auto" w:fill="F0F0F0"/>
                </w:tcPr>
                <w:p>
                  <w:pPr>
                    <w:pStyle w:val="Para 02"/>
                    <w:keepLines w:val="on"/>
                  </w:pPr>
                  <w:r>
                    <w:t>Chủ sở hữu Taylor Corporation</w:t>
                  </w:r>
                </w:p>
              </w:tc>
            </w:tr>
            <w:tr>
              <w:tc>
                <w:tcPr>
                  <w:tcW w:type="auto" w:w="0"/>
                  <w:shd w:val="clear" w:color="auto" w:fill="F0F0F0"/>
                </w:tcPr>
                <w:p>
                  <w:pPr>
                    <w:pStyle w:val="Para 02"/>
                    <w:keepLines w:val="on"/>
                  </w:pPr>
                  <w:r>
                    <w:t>New York Knicks</w:t>
                  </w:r>
                </w:p>
              </w:tc>
              <w:tc>
                <w:tcPr>
                  <w:tcW w:type="auto" w:w="0"/>
                  <w:shd w:val="clear" w:color="auto" w:fill="F0F0F0"/>
                </w:tcPr>
                <w:p>
                  <w:pPr>
                    <w:pStyle w:val="Para 02"/>
                    <w:keepLines w:val="on"/>
                  </w:pPr>
                  <w:r>
                    <w:t>James Dolan</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1994</w:t>
                  </w:r>
                </w:p>
              </w:tc>
              <w:tc>
                <w:tcPr>
                  <w:tcW w:type="auto" w:w="0"/>
                  <w:shd w:val="clear" w:color="auto" w:fill="F0F0F0"/>
                </w:tcPr>
                <w:p>
                  <w:pPr>
                    <w:pStyle w:val="Para 02"/>
                    <w:keepLines w:val="on"/>
                  </w:pPr>
                  <w:r>
                    <w:t>Cablevision (Con trai người sáng lập)</w:t>
                  </w:r>
                </w:p>
              </w:tc>
            </w:tr>
            <w:tr>
              <w:tc>
                <w:tcPr>
                  <w:tcW w:type="auto" w:w="0"/>
                  <w:shd w:val="clear" w:color="auto" w:fill="F0F0F0"/>
                </w:tcPr>
                <w:p>
                  <w:pPr>
                    <w:pStyle w:val="Para 02"/>
                    <w:keepLines w:val="on"/>
                  </w:pPr>
                  <w:r>
                    <w:t>Miami Heat</w:t>
                  </w:r>
                </w:p>
              </w:tc>
              <w:tc>
                <w:tcPr>
                  <w:tcW w:type="auto" w:w="0"/>
                  <w:shd w:val="clear" w:color="auto" w:fill="F0F0F0"/>
                </w:tcPr>
                <w:p>
                  <w:pPr>
                    <w:pStyle w:val="Para 02"/>
                    <w:keepLines w:val="on"/>
                  </w:pPr>
                  <w:r>
                    <w:t>Mickey Arison</w:t>
                  </w:r>
                </w:p>
              </w:tc>
              <w:tc>
                <w:tcPr>
                  <w:tcW w:type="auto" w:w="0"/>
                  <w:shd w:val="clear" w:color="auto" w:fill="F0F0F0"/>
                </w:tcPr>
                <w:p>
                  <w:pPr>
                    <w:pStyle w:val="Normal"/>
                    <w:keepLines w:val="on"/>
                  </w:pPr>
                  <w:r>
                    <w:t>$5.90</w:t>
                  </w:r>
                </w:p>
              </w:tc>
              <w:tc>
                <w:tcPr>
                  <w:tcW w:type="auto" w:w="0"/>
                  <w:shd w:val="clear" w:color="auto" w:fill="F0F0F0"/>
                </w:tcPr>
                <w:p>
                  <w:pPr>
                    <w:pStyle w:val="Normal"/>
                    <w:keepLines w:val="on"/>
                  </w:pPr>
                  <w:r>
                    <w:t>1995</w:t>
                  </w:r>
                </w:p>
              </w:tc>
              <w:tc>
                <w:tcPr>
                  <w:tcW w:type="auto" w:w="0"/>
                  <w:shd w:val="clear" w:color="auto" w:fill="F0F0F0"/>
                </w:tcPr>
                <w:p>
                  <w:pPr>
                    <w:pStyle w:val="Para 02"/>
                    <w:keepLines w:val="on"/>
                  </w:pPr>
                  <w:r>
                    <w:t>Carnival Corp (Con trai người sáng lập)</w:t>
                  </w:r>
                </w:p>
              </w:tc>
            </w:tr>
            <w:tr>
              <w:tc>
                <w:tcPr>
                  <w:tcW w:type="auto" w:w="0"/>
                  <w:shd w:val="clear" w:color="auto" w:fill="F0F0F0"/>
                </w:tcPr>
                <w:p>
                  <w:pPr>
                    <w:pStyle w:val="Para 02"/>
                    <w:keepLines w:val="on"/>
                  </w:pPr>
                  <w:r>
                    <w:t>LA Lakers</w:t>
                  </w:r>
                </w:p>
              </w:tc>
              <w:tc>
                <w:tcPr>
                  <w:tcW w:type="auto" w:w="0"/>
                  <w:shd w:val="clear" w:color="auto" w:fill="F0F0F0"/>
                </w:tcPr>
                <w:p>
                  <w:pPr>
                    <w:pStyle w:val="Para 02"/>
                    <w:keepLines w:val="on"/>
                  </w:pPr>
                  <w:r>
                    <w:t>Phillip Anschutz</w:t>
                  </w:r>
                </w:p>
              </w:tc>
              <w:tc>
                <w:tcPr>
                  <w:tcW w:type="auto" w:w="0"/>
                  <w:shd w:val="clear" w:color="auto" w:fill="F0F0F0"/>
                </w:tcPr>
                <w:p>
                  <w:pPr>
                    <w:pStyle w:val="Normal"/>
                    <w:keepLines w:val="on"/>
                  </w:pPr>
                  <w:r>
                    <w:t>$10.10</w:t>
                  </w:r>
                </w:p>
              </w:tc>
              <w:tc>
                <w:tcPr>
                  <w:tcW w:type="auto" w:w="0"/>
                  <w:shd w:val="clear" w:color="auto" w:fill="F0F0F0"/>
                </w:tcPr>
                <w:p>
                  <w:pPr>
                    <w:pStyle w:val="Normal"/>
                    <w:keepLines w:val="on"/>
                  </w:pPr>
                  <w:r>
                    <w:t>1998</w:t>
                  </w:r>
                </w:p>
              </w:tc>
              <w:tc>
                <w:tcPr>
                  <w:tcW w:type="auto" w:w="0"/>
                  <w:shd w:val="clear" w:color="auto" w:fill="F0F0F0"/>
                </w:tcPr>
                <w:p>
                  <w:pPr>
                    <w:pStyle w:val="Para 02"/>
                    <w:keepLines w:val="on"/>
                  </w:pPr>
                  <w:r>
                    <w:t>Dầu khí, Đường sắt, Viễn thông, Giải trí</w:t>
                  </w:r>
                </w:p>
              </w:tc>
            </w:tr>
            <w:tr>
              <w:tc>
                <w:tcPr>
                  <w:tcW w:type="auto" w:w="0"/>
                  <w:shd w:val="clear" w:color="auto" w:fill="F0F0F0"/>
                </w:tcPr>
                <w:p>
                  <w:pPr>
                    <w:pStyle w:val="Para 02"/>
                    <w:keepLines w:val="on"/>
                  </w:pPr>
                  <w:r>
                    <w:t>Toronto Raptors</w:t>
                  </w:r>
                </w:p>
              </w:tc>
              <w:tc>
                <w:tcPr>
                  <w:tcW w:type="auto" w:w="0"/>
                  <w:shd w:val="clear" w:color="auto" w:fill="F0F0F0"/>
                </w:tcPr>
                <w:p>
                  <w:pPr>
                    <w:pStyle w:val="Para 02"/>
                    <w:keepLines w:val="on"/>
                  </w:pPr>
                  <w:r>
                    <w:t>Larry Tanenbaum</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1998</w:t>
                  </w:r>
                </w:p>
              </w:tc>
              <w:tc>
                <w:tcPr>
                  <w:tcW w:type="auto" w:w="0"/>
                  <w:shd w:val="clear" w:color="auto" w:fill="F0F0F0"/>
                </w:tcPr>
                <w:p>
                  <w:pPr>
                    <w:pStyle w:val="Para 02"/>
                    <w:keepLines w:val="on"/>
                  </w:pPr>
                  <w:r>
                    <w:t>Xây dựng và Phát thanh Truyền hình</w:t>
                  </w:r>
                </w:p>
              </w:tc>
            </w:tr>
            <w:tr>
              <w:tc>
                <w:tcPr>
                  <w:tcW w:type="auto" w:w="0"/>
                  <w:shd w:val="clear" w:color="auto" w:fill="F0F0F0"/>
                </w:tcPr>
                <w:p>
                  <w:pPr>
                    <w:pStyle w:val="Para 02"/>
                    <w:keepLines w:val="on"/>
                  </w:pPr>
                  <w:r>
                    <w:t>Denver Nuggets</w:t>
                  </w:r>
                </w:p>
              </w:tc>
              <w:tc>
                <w:tcPr>
                  <w:tcW w:type="auto" w:w="0"/>
                  <w:shd w:val="clear" w:color="auto" w:fill="F0F0F0"/>
                </w:tcPr>
                <w:p>
                  <w:pPr>
                    <w:pStyle w:val="Para 02"/>
                    <w:keepLines w:val="on"/>
                  </w:pPr>
                  <w:r>
                    <w:t>Stanley Kroenke</w:t>
                  </w:r>
                </w:p>
              </w:tc>
              <w:tc>
                <w:tcPr>
                  <w:tcW w:type="auto" w:w="0"/>
                  <w:shd w:val="clear" w:color="auto" w:fill="F0F0F0"/>
                </w:tcPr>
                <w:p>
                  <w:pPr>
                    <w:pStyle w:val="Normal"/>
                    <w:keepLines w:val="on"/>
                  </w:pPr>
                  <w:r>
                    <w:t>$8.30</w:t>
                  </w:r>
                </w:p>
              </w:tc>
              <w:tc>
                <w:tcPr>
                  <w:tcW w:type="auto" w:w="0"/>
                  <w:shd w:val="clear" w:color="auto" w:fill="F0F0F0"/>
                </w:tcPr>
                <w:p>
                  <w:pPr>
                    <w:pStyle w:val="Normal"/>
                    <w:keepLines w:val="on"/>
                  </w:pPr>
                  <w:r>
                    <w:t>2000</w:t>
                  </w:r>
                </w:p>
              </w:tc>
              <w:tc>
                <w:tcPr>
                  <w:tcW w:type="auto" w:w="0"/>
                  <w:shd w:val="clear" w:color="auto" w:fill="F0F0F0"/>
                </w:tcPr>
                <w:p>
                  <w:pPr>
                    <w:pStyle w:val="Para 02"/>
                    <w:keepLines w:val="on"/>
                  </w:pPr>
                  <w:r>
                    <w:t>Bất động sản</w:t>
                  </w:r>
                </w:p>
              </w:tc>
            </w:tr>
            <w:tr>
              <w:tc>
                <w:tcPr>
                  <w:tcW w:type="auto" w:w="0"/>
                  <w:shd w:val="clear" w:color="auto" w:fill="F0F0F0"/>
                </w:tcPr>
                <w:p>
                  <w:pPr>
                    <w:pStyle w:val="Para 02"/>
                    <w:keepLines w:val="on"/>
                  </w:pPr>
                  <w:r>
                    <w:t>Dallas Mavericks</w:t>
                  </w:r>
                </w:p>
              </w:tc>
              <w:tc>
                <w:tcPr>
                  <w:tcW w:type="auto" w:w="0"/>
                  <w:shd w:val="clear" w:color="auto" w:fill="F0F0F0"/>
                </w:tcPr>
                <w:p>
                  <w:pPr>
                    <w:pStyle w:val="Para 02"/>
                    <w:keepLines w:val="on"/>
                  </w:pPr>
                  <w:r>
                    <w:t>Mark Cuban</w:t>
                  </w:r>
                </w:p>
              </w:tc>
              <w:tc>
                <w:tcPr>
                  <w:tcW w:type="auto" w:w="0"/>
                  <w:shd w:val="clear" w:color="auto" w:fill="F0F0F0"/>
                </w:tcPr>
                <w:p>
                  <w:pPr>
                    <w:pStyle w:val="Normal"/>
                    <w:keepLines w:val="on"/>
                  </w:pPr>
                  <w:r>
                    <w:t>$4.20</w:t>
                  </w:r>
                </w:p>
              </w:tc>
              <w:tc>
                <w:tcPr>
                  <w:tcW w:type="auto" w:w="0"/>
                  <w:shd w:val="clear" w:color="auto" w:fill="F0F0F0"/>
                </w:tcPr>
                <w:p>
                  <w:pPr>
                    <w:pStyle w:val="Normal"/>
                    <w:keepLines w:val="on"/>
                  </w:pPr>
                  <w:r>
                    <w:t>2000</w:t>
                  </w:r>
                </w:p>
              </w:tc>
              <w:tc>
                <w:tcPr>
                  <w:tcW w:type="auto" w:w="0"/>
                  <w:shd w:val="clear" w:color="auto" w:fill="F0F0F0"/>
                </w:tcPr>
                <w:p>
                  <w:pPr>
                    <w:pStyle w:val="Para 02"/>
                    <w:keepLines w:val="on"/>
                  </w:pPr>
                  <w:r>
                    <w:t>Nhà sáng lập công ty và Đầu tư mạo hiểm</w:t>
                  </w:r>
                </w:p>
              </w:tc>
            </w:tr>
            <w:tr>
              <w:tc>
                <w:tcPr>
                  <w:tcW w:type="auto" w:w="0"/>
                  <w:shd w:val="clear" w:color="auto" w:fill="F0F0F0"/>
                </w:tcPr>
                <w:p>
                  <w:pPr>
                    <w:pStyle w:val="Para 02"/>
                    <w:keepLines w:val="on"/>
                  </w:pPr>
                  <w:r>
                    <w:t>Boston Celtics</w:t>
                  </w:r>
                </w:p>
              </w:tc>
              <w:tc>
                <w:tcPr>
                  <w:tcW w:type="auto" w:w="0"/>
                  <w:shd w:val="clear" w:color="auto" w:fill="F0F0F0"/>
                </w:tcPr>
                <w:p>
                  <w:pPr>
                    <w:pStyle w:val="Para 02"/>
                    <w:keepLines w:val="on"/>
                  </w:pPr>
                  <w:r>
                    <w:t>Wyc Grousbeck</w:t>
                  </w:r>
                </w:p>
              </w:tc>
              <w:tc>
                <w:tcPr>
                  <w:tcW w:type="auto" w:w="0"/>
                  <w:shd w:val="clear" w:color="auto" w:fill="F0F0F0"/>
                </w:tcPr>
                <w:p>
                  <w:pPr>
                    <w:pStyle w:val="Normal"/>
                    <w:keepLines w:val="on"/>
                  </w:pPr>
                  <w:r>
                    <w:t>$0.40</w:t>
                  </w:r>
                </w:p>
              </w:tc>
              <w:tc>
                <w:tcPr>
                  <w:tcW w:type="auto" w:w="0"/>
                  <w:shd w:val="clear" w:color="auto" w:fill="F0F0F0"/>
                </w:tcPr>
                <w:p>
                  <w:pPr>
                    <w:pStyle w:val="Normal"/>
                    <w:keepLines w:val="on"/>
                  </w:pPr>
                  <w:r>
                    <w:t>2002</w:t>
                  </w:r>
                </w:p>
              </w:tc>
              <w:tc>
                <w:tcPr>
                  <w:tcW w:type="auto" w:w="0"/>
                  <w:shd w:val="clear" w:color="auto" w:fill="F0F0F0"/>
                </w:tcPr>
                <w:p>
                  <w:pPr>
                    <w:pStyle w:val="Para 02"/>
                    <w:keepLines w:val="on"/>
                  </w:pPr>
                  <w:r>
                    <w:t>Đầu tư mạo hiểm</w:t>
                  </w:r>
                </w:p>
              </w:tc>
            </w:tr>
            <w:tr>
              <w:tc>
                <w:tcPr>
                  <w:tcW w:type="auto" w:w="0"/>
                  <w:shd w:val="clear" w:color="auto" w:fill="F0F0F0"/>
                </w:tcPr>
                <w:p>
                  <w:pPr>
                    <w:pStyle w:val="Para 02"/>
                    <w:keepLines w:val="on"/>
                  </w:pPr>
                  <w:r>
                    <w:t>Cleveland Cavaliers</w:t>
                  </w:r>
                </w:p>
              </w:tc>
              <w:tc>
                <w:tcPr>
                  <w:tcW w:type="auto" w:w="0"/>
                  <w:shd w:val="clear" w:color="auto" w:fill="F0F0F0"/>
                </w:tcPr>
                <w:p>
                  <w:pPr>
                    <w:pStyle w:val="Para 02"/>
                    <w:keepLines w:val="on"/>
                  </w:pPr>
                  <w:r>
                    <w:t>Dan Gilbert</w:t>
                  </w:r>
                </w:p>
              </w:tc>
              <w:tc>
                <w:tcPr>
                  <w:tcW w:type="auto" w:w="0"/>
                  <w:shd w:val="clear" w:color="auto" w:fill="F0F0F0"/>
                </w:tcPr>
                <w:p>
                  <w:pPr>
                    <w:pStyle w:val="Normal"/>
                    <w:keepLines w:val="on"/>
                  </w:pPr>
                  <w:r>
                    <w:t>$44.80</w:t>
                  </w:r>
                </w:p>
              </w:tc>
              <w:tc>
                <w:tcPr>
                  <w:tcW w:type="auto" w:w="0"/>
                  <w:shd w:val="clear" w:color="auto" w:fill="F0F0F0"/>
                </w:tcPr>
                <w:p>
                  <w:pPr>
                    <w:pStyle w:val="Normal"/>
                    <w:keepLines w:val="on"/>
                  </w:pPr>
                  <w:r>
                    <w:t>2005</w:t>
                  </w:r>
                </w:p>
              </w:tc>
              <w:tc>
                <w:tcPr>
                  <w:tcW w:type="auto" w:w="0"/>
                  <w:shd w:val="clear" w:color="auto" w:fill="F0F0F0"/>
                </w:tcPr>
                <w:p>
                  <w:pPr>
                    <w:pStyle w:val="Para 02"/>
                    <w:keepLines w:val="on"/>
                  </w:pPr>
                  <w:r>
                    <w:t>Người sáng lập Quicken</w:t>
                  </w:r>
                </w:p>
              </w:tc>
            </w:tr>
            <w:tr>
              <w:tc>
                <w:tcPr>
                  <w:tcW w:type="auto" w:w="0"/>
                  <w:shd w:val="clear" w:color="auto" w:fill="F0F0F0"/>
                </w:tcPr>
                <w:p>
                  <w:pPr>
                    <w:pStyle w:val="Para 02"/>
                    <w:keepLines w:val="on"/>
                  </w:pPr>
                  <w:r>
                    <w:t>Oklahoma City Thunder</w:t>
                  </w:r>
                </w:p>
              </w:tc>
              <w:tc>
                <w:tcPr>
                  <w:tcW w:type="auto" w:w="0"/>
                  <w:shd w:val="clear" w:color="auto" w:fill="F0F0F0"/>
                </w:tcPr>
                <w:p>
                  <w:pPr>
                    <w:pStyle w:val="Para 02"/>
                    <w:keepLines w:val="on"/>
                  </w:pPr>
                  <w:r>
                    <w:t>Clay Bennett</w:t>
                  </w:r>
                </w:p>
              </w:tc>
              <w:tc>
                <w:tcPr>
                  <w:tcW w:type="auto" w:w="0"/>
                  <w:shd w:val="clear" w:color="auto" w:fill="F0F0F0"/>
                </w:tcPr>
                <w:p>
                  <w:pPr>
                    <w:pStyle w:val="Normal"/>
                    <w:keepLines w:val="on"/>
                  </w:pPr>
                  <w:r>
                    <w:t>$0.40</w:t>
                  </w:r>
                </w:p>
              </w:tc>
              <w:tc>
                <w:tcPr>
                  <w:tcW w:type="auto" w:w="0"/>
                  <w:shd w:val="clear" w:color="auto" w:fill="F0F0F0"/>
                </w:tcPr>
                <w:p>
                  <w:pPr>
                    <w:pStyle w:val="Normal"/>
                    <w:keepLines w:val="on"/>
                  </w:pPr>
                  <w:r>
                    <w:t>2006</w:t>
                  </w:r>
                </w:p>
              </w:tc>
              <w:tc>
                <w:tcPr>
                  <w:tcW w:type="auto" w:w="0"/>
                  <w:shd w:val="clear" w:color="auto" w:fill="F0F0F0"/>
                </w:tcPr>
                <w:p>
                  <w:pPr>
                    <w:pStyle w:val="Para 02"/>
                    <w:keepLines w:val="on"/>
                  </w:pPr>
                  <w:r>
                    <w:t>Truyền thông (thừa kế)</w:t>
                  </w:r>
                </w:p>
              </w:tc>
            </w:tr>
            <w:tr>
              <w:tc>
                <w:tcPr>
                  <w:tcW w:type="auto" w:w="0"/>
                  <w:shd w:val="clear" w:color="auto" w:fill="F0F0F0"/>
                </w:tcPr>
                <w:p>
                  <w:pPr>
                    <w:pStyle w:val="Para 02"/>
                    <w:keepLines w:val="on"/>
                  </w:pPr>
                  <w:r>
                    <w:t>Utah Jazz</w:t>
                  </w:r>
                </w:p>
              </w:tc>
              <w:tc>
                <w:tcPr>
                  <w:tcW w:type="auto" w:w="0"/>
                  <w:shd w:val="clear" w:color="auto" w:fill="F0F0F0"/>
                </w:tcPr>
                <w:p>
                  <w:pPr>
                    <w:pStyle w:val="Para 02"/>
                    <w:keepLines w:val="on"/>
                  </w:pPr>
                  <w:r>
                    <w:t>Gail Miller</w:t>
                  </w:r>
                </w:p>
              </w:tc>
              <w:tc>
                <w:tcPr>
                  <w:tcW w:type="auto" w:w="0"/>
                  <w:shd w:val="clear" w:color="auto" w:fill="F0F0F0"/>
                </w:tcPr>
                <w:p>
                  <w:pPr>
                    <w:pStyle w:val="Normal"/>
                    <w:keepLines w:val="on"/>
                  </w:pPr>
                  <w:r>
                    <w:t>$1.90</w:t>
                  </w:r>
                </w:p>
              </w:tc>
              <w:tc>
                <w:tcPr>
                  <w:tcW w:type="auto" w:w="0"/>
                  <w:shd w:val="clear" w:color="auto" w:fill="F0F0F0"/>
                </w:tcPr>
                <w:p>
                  <w:pPr>
                    <w:pStyle w:val="Normal"/>
                    <w:keepLines w:val="on"/>
                  </w:pPr>
                  <w:r>
                    <w:t>2009</w:t>
                  </w:r>
                </w:p>
              </w:tc>
              <w:tc>
                <w:tcPr>
                  <w:tcW w:type="auto" w:w="0"/>
                  <w:shd w:val="clear" w:color="auto" w:fill="F0F0F0"/>
                </w:tcPr>
                <w:p>
                  <w:pPr>
                    <w:pStyle w:val="Para 02"/>
                    <w:keepLines w:val="on"/>
                  </w:pPr>
                  <w:r>
                    <w:t>Đại lý ô tô</w:t>
                  </w:r>
                </w:p>
              </w:tc>
            </w:tr>
            <w:tr>
              <w:tc>
                <w:tcPr>
                  <w:tcW w:type="auto" w:w="0"/>
                  <w:shd w:val="clear" w:color="auto" w:fill="F0F0F0"/>
                </w:tcPr>
                <w:p>
                  <w:pPr>
                    <w:pStyle w:val="Para 02"/>
                    <w:keepLines w:val="on"/>
                  </w:pPr>
                  <w:r>
                    <w:t>Charlotte Hornets</w:t>
                  </w:r>
                </w:p>
              </w:tc>
              <w:tc>
                <w:tcPr>
                  <w:tcW w:type="auto" w:w="0"/>
                  <w:shd w:val="clear" w:color="auto" w:fill="F0F0F0"/>
                </w:tcPr>
                <w:p>
                  <w:pPr>
                    <w:pStyle w:val="Para 02"/>
                    <w:keepLines w:val="on"/>
                  </w:pPr>
                  <w:r>
                    <w:t>Michael Jordan</w:t>
                  </w:r>
                </w:p>
              </w:tc>
              <w:tc>
                <w:tcPr>
                  <w:tcW w:type="auto" w:w="0"/>
                  <w:shd w:val="clear" w:color="auto" w:fill="F0F0F0"/>
                </w:tcPr>
                <w:p>
                  <w:pPr>
                    <w:pStyle w:val="Normal"/>
                    <w:keepLines w:val="on"/>
                  </w:pPr>
                  <w:r>
                    <w:t>$1.60</w:t>
                  </w:r>
                </w:p>
              </w:tc>
              <w:tc>
                <w:tcPr>
                  <w:tcW w:type="auto" w:w="0"/>
                  <w:shd w:val="clear" w:color="auto" w:fill="F0F0F0"/>
                </w:tcPr>
                <w:p>
                  <w:pPr>
                    <w:pStyle w:val="Normal"/>
                    <w:keepLines w:val="on"/>
                  </w:pPr>
                  <w:r>
                    <w:t>2010</w:t>
                  </w:r>
                </w:p>
              </w:tc>
              <w:tc>
                <w:tcPr>
                  <w:tcW w:type="auto" w:w="0"/>
                  <w:shd w:val="clear" w:color="auto" w:fill="F0F0F0"/>
                </w:tcPr>
                <w:p>
                  <w:pPr>
                    <w:pStyle w:val="Para 02"/>
                    <w:keepLines w:val="on"/>
                  </w:pPr>
                  <w:r>
                    <w:t>Cầu thủ bóng rổ (và huyền thoại)</w:t>
                  </w:r>
                </w:p>
              </w:tc>
            </w:tr>
            <w:tr>
              <w:tc>
                <w:tcPr>
                  <w:tcW w:type="auto" w:w="0"/>
                  <w:shd w:val="clear" w:color="auto" w:fill="F0F0F0"/>
                </w:tcPr>
                <w:p>
                  <w:pPr>
                    <w:pStyle w:val="Para 02"/>
                    <w:keepLines w:val="on"/>
                  </w:pPr>
                  <w:r>
                    <w:t>Washington Wizards</w:t>
                  </w:r>
                </w:p>
              </w:tc>
              <w:tc>
                <w:tcPr>
                  <w:tcW w:type="auto" w:w="0"/>
                  <w:shd w:val="clear" w:color="auto" w:fill="F0F0F0"/>
                </w:tcPr>
                <w:p>
                  <w:pPr>
                    <w:pStyle w:val="Para 02"/>
                    <w:keepLines w:val="on"/>
                  </w:pPr>
                  <w:r>
                    <w:t>Theodore Leonsis</w:t>
                  </w:r>
                </w:p>
              </w:tc>
              <w:tc>
                <w:tcPr>
                  <w:tcW w:type="auto" w:w="0"/>
                  <w:shd w:val="clear" w:color="auto" w:fill="F0F0F0"/>
                </w:tcPr>
                <w:p>
                  <w:pPr>
                    <w:pStyle w:val="Normal"/>
                    <w:keepLines w:val="on"/>
                  </w:pPr>
                  <w:r>
                    <w:t>$1.40</w:t>
                  </w:r>
                </w:p>
              </w:tc>
              <w:tc>
                <w:tcPr>
                  <w:tcW w:type="auto" w:w="0"/>
                  <w:shd w:val="clear" w:color="auto" w:fill="F0F0F0"/>
                </w:tcPr>
                <w:p>
                  <w:pPr>
                    <w:pStyle w:val="Normal"/>
                    <w:keepLines w:val="on"/>
                  </w:pPr>
                  <w:r>
                    <w:t>2010</w:t>
                  </w:r>
                </w:p>
              </w:tc>
              <w:tc>
                <w:tcPr>
                  <w:tcW w:type="auto" w:w="0"/>
                  <w:shd w:val="clear" w:color="auto" w:fill="F0F0F0"/>
                </w:tcPr>
                <w:p>
                  <w:pPr>
                    <w:pStyle w:val="Para 02"/>
                    <w:keepLines w:val="on"/>
                  </w:pPr>
                  <w:r>
                    <w:t>Truyền thông và Giải trí</w:t>
                  </w:r>
                </w:p>
              </w:tc>
            </w:tr>
            <w:tr>
              <w:tc>
                <w:tcPr>
                  <w:tcW w:type="auto" w:w="0"/>
                  <w:shd w:val="clear" w:color="auto" w:fill="F0F0F0"/>
                </w:tcPr>
                <w:p>
                  <w:pPr>
                    <w:pStyle w:val="Para 02"/>
                    <w:keepLines w:val="on"/>
                  </w:pPr>
                  <w:r>
                    <w:t>Golden State Warriors</w:t>
                  </w:r>
                </w:p>
              </w:tc>
              <w:tc>
                <w:tcPr>
                  <w:tcW w:type="auto" w:w="0"/>
                  <w:shd w:val="clear" w:color="auto" w:fill="F0F0F0"/>
                </w:tcPr>
                <w:p>
                  <w:pPr>
                    <w:pStyle w:val="Para 02"/>
                    <w:keepLines w:val="on"/>
                  </w:pPr>
                  <w:r>
                    <w:t>Joe Lacob</w:t>
                  </w:r>
                </w:p>
              </w:tc>
              <w:tc>
                <w:tcPr>
                  <w:tcW w:type="auto" w:w="0"/>
                  <w:shd w:val="clear" w:color="auto" w:fill="F0F0F0"/>
                </w:tcPr>
                <w:p>
                  <w:pPr>
                    <w:pStyle w:val="Normal"/>
                    <w:keepLines w:val="on"/>
                  </w:pPr>
                  <w:r>
                    <w:t>$1.20</w:t>
                  </w:r>
                </w:p>
              </w:tc>
              <w:tc>
                <w:tcPr>
                  <w:tcW w:type="auto" w:w="0"/>
                  <w:shd w:val="clear" w:color="auto" w:fill="F0F0F0"/>
                </w:tcPr>
                <w:p>
                  <w:pPr>
                    <w:pStyle w:val="Normal"/>
                    <w:keepLines w:val="on"/>
                  </w:pPr>
                  <w:r>
                    <w:t>2010</w:t>
                  </w:r>
                </w:p>
              </w:tc>
              <w:tc>
                <w:tcPr>
                  <w:tcW w:type="auto" w:w="0"/>
                  <w:shd w:val="clear" w:color="auto" w:fill="F0F0F0"/>
                </w:tcPr>
                <w:p>
                  <w:pPr>
                    <w:pStyle w:val="Para 02"/>
                    <w:keepLines w:val="on"/>
                  </w:pPr>
                  <w:r>
                    <w:t>Vốn đầu tư mạo hiểm (Venture Capital)</w:t>
                  </w:r>
                </w:p>
              </w:tc>
            </w:tr>
            <w:tr>
              <w:tc>
                <w:tcPr>
                  <w:tcW w:type="auto" w:w="0"/>
                  <w:shd w:val="clear" w:color="auto" w:fill="F0F0F0"/>
                </w:tcPr>
                <w:p>
                  <w:pPr>
                    <w:pStyle w:val="Para 02"/>
                    <w:keepLines w:val="on"/>
                  </w:pPr>
                  <w:r>
                    <w:t>Detroit Pistons</w:t>
                  </w:r>
                </w:p>
              </w:tc>
              <w:tc>
                <w:tcPr>
                  <w:tcW w:type="auto" w:w="0"/>
                  <w:shd w:val="clear" w:color="auto" w:fill="F0F0F0"/>
                </w:tcPr>
                <w:p>
                  <w:pPr>
                    <w:pStyle w:val="Para 02"/>
                    <w:keepLines w:val="on"/>
                  </w:pPr>
                  <w:r>
                    <w:t>Tom Gores</w:t>
                  </w:r>
                </w:p>
              </w:tc>
              <w:tc>
                <w:tcPr>
                  <w:tcW w:type="auto" w:w="0"/>
                  <w:shd w:val="clear" w:color="auto" w:fill="F0F0F0"/>
                </w:tcPr>
                <w:p>
                  <w:pPr>
                    <w:pStyle w:val="Normal"/>
                    <w:keepLines w:val="on"/>
                  </w:pPr>
                  <w:r>
                    <w:t>$5.70</w:t>
                  </w:r>
                </w:p>
              </w:tc>
              <w:tc>
                <w:tcPr>
                  <w:tcW w:type="auto" w:w="0"/>
                  <w:shd w:val="clear" w:color="auto" w:fill="F0F0F0"/>
                </w:tcPr>
                <w:p>
                  <w:pPr>
                    <w:pStyle w:val="Normal"/>
                    <w:keepLines w:val="on"/>
                  </w:pPr>
                  <w:r>
                    <w:t>2011</w:t>
                  </w:r>
                </w:p>
              </w:tc>
              <w:tc>
                <w:tcPr>
                  <w:tcW w:type="auto" w:w="0"/>
                  <w:shd w:val="clear" w:color="auto" w:fill="F0F0F0"/>
                </w:tcPr>
                <w:p>
                  <w:pPr>
                    <w:pStyle w:val="Para 02"/>
                    <w:keepLines w:val="on"/>
                  </w:pPr>
                  <w:r>
                    <w:t>Vốn đầu tư tư nhân (Private Equity - Platinum Equity)</w:t>
                  </w:r>
                </w:p>
              </w:tc>
            </w:tr>
            <w:tr>
              <w:tc>
                <w:tcPr>
                  <w:tcW w:type="auto" w:w="0"/>
                  <w:shd w:val="clear" w:color="auto" w:fill="F0F0F0"/>
                </w:tcPr>
                <w:p>
                  <w:pPr>
                    <w:pStyle w:val="Para 02"/>
                    <w:keepLines w:val="on"/>
                  </w:pPr>
                  <w:r>
                    <w:t>Philadelphia 76ers</w:t>
                  </w:r>
                </w:p>
              </w:tc>
              <w:tc>
                <w:tcPr>
                  <w:tcW w:type="auto" w:w="0"/>
                  <w:shd w:val="clear" w:color="auto" w:fill="F0F0F0"/>
                </w:tcPr>
                <w:p>
                  <w:pPr>
                    <w:pStyle w:val="Para 02"/>
                    <w:keepLines w:val="on"/>
                  </w:pPr>
                  <w:r>
                    <w:t>Joshua Harris</w:t>
                  </w:r>
                </w:p>
              </w:tc>
              <w:tc>
                <w:tcPr>
                  <w:tcW w:type="auto" w:w="0"/>
                  <w:shd w:val="clear" w:color="auto" w:fill="F0F0F0"/>
                </w:tcPr>
                <w:p>
                  <w:pPr>
                    <w:pStyle w:val="Normal"/>
                    <w:keepLines w:val="on"/>
                  </w:pPr>
                  <w:r>
                    <w:t>$4.60</w:t>
                  </w:r>
                </w:p>
              </w:tc>
              <w:tc>
                <w:tcPr>
                  <w:tcW w:type="auto" w:w="0"/>
                  <w:shd w:val="clear" w:color="auto" w:fill="F0F0F0"/>
                </w:tcPr>
                <w:p>
                  <w:pPr>
                    <w:pStyle w:val="Normal"/>
                    <w:keepLines w:val="on"/>
                  </w:pPr>
                  <w:r>
                    <w:t>2011</w:t>
                  </w:r>
                </w:p>
              </w:tc>
              <w:tc>
                <w:tcPr>
                  <w:tcW w:type="auto" w:w="0"/>
                  <w:shd w:val="clear" w:color="auto" w:fill="F0F0F0"/>
                </w:tcPr>
                <w:p>
                  <w:pPr>
                    <w:pStyle w:val="Para 02"/>
                    <w:keepLines w:val="on"/>
                  </w:pPr>
                  <w:r>
                    <w:t>Vốn đầu tư tư nhân (Private Equity - Apollo Global)</w:t>
                  </w:r>
                </w:p>
              </w:tc>
            </w:tr>
            <w:tr>
              <w:tc>
                <w:tcPr>
                  <w:tcW w:type="auto" w:w="0"/>
                  <w:shd w:val="clear" w:color="auto" w:fill="F0F0F0"/>
                </w:tcPr>
                <w:p>
                  <w:pPr>
                    <w:pStyle w:val="Para 02"/>
                    <w:keepLines w:val="on"/>
                  </w:pPr>
                  <w:r>
                    <w:t>Memphis Grizzliers</w:t>
                  </w:r>
                </w:p>
              </w:tc>
              <w:tc>
                <w:tcPr>
                  <w:tcW w:type="auto" w:w="0"/>
                  <w:shd w:val="clear" w:color="auto" w:fill="F0F0F0"/>
                </w:tcPr>
                <w:p>
                  <w:pPr>
                    <w:pStyle w:val="Para 02"/>
                    <w:keepLines w:val="on"/>
                  </w:pPr>
                  <w:r>
                    <w:t>Robert Pera</w:t>
                  </w:r>
                </w:p>
              </w:tc>
              <w:tc>
                <w:tcPr>
                  <w:tcW w:type="auto" w:w="0"/>
                  <w:shd w:val="clear" w:color="auto" w:fill="F0F0F0"/>
                </w:tcPr>
                <w:p>
                  <w:pPr>
                    <w:pStyle w:val="Normal"/>
                    <w:keepLines w:val="on"/>
                  </w:pPr>
                  <w:r>
                    <w:t>$14.10</w:t>
                  </w:r>
                </w:p>
              </w:tc>
              <w:tc>
                <w:tcPr>
                  <w:tcW w:type="auto" w:w="0"/>
                  <w:shd w:val="clear" w:color="auto" w:fill="F0F0F0"/>
                </w:tcPr>
                <w:p>
                  <w:pPr>
                    <w:pStyle w:val="Normal"/>
                    <w:keepLines w:val="on"/>
                  </w:pPr>
                  <w:r>
                    <w:t>2012</w:t>
                  </w:r>
                </w:p>
              </w:tc>
              <w:tc>
                <w:tcPr>
                  <w:tcW w:type="auto" w:w="0"/>
                  <w:shd w:val="clear" w:color="auto" w:fill="F0F0F0"/>
                </w:tcPr>
                <w:p>
                  <w:pPr>
                    <w:pStyle w:val="Para 02"/>
                    <w:keepLines w:val="on"/>
                  </w:pPr>
                  <w:r>
                    <w:t>Nhà sáng lập Ubiquiti</w:t>
                  </w:r>
                </w:p>
              </w:tc>
            </w:tr>
            <w:tr>
              <w:tc>
                <w:tcPr>
                  <w:tcW w:type="auto" w:w="0"/>
                  <w:shd w:val="clear" w:color="auto" w:fill="F0F0F0"/>
                </w:tcPr>
                <w:p>
                  <w:pPr>
                    <w:pStyle w:val="Para 02"/>
                    <w:keepLines w:val="on"/>
                  </w:pPr>
                  <w:r>
                    <w:t>Sacramento Kings</w:t>
                  </w:r>
                </w:p>
              </w:tc>
              <w:tc>
                <w:tcPr>
                  <w:tcW w:type="auto" w:w="0"/>
                  <w:shd w:val="clear" w:color="auto" w:fill="F0F0F0"/>
                </w:tcPr>
                <w:p>
                  <w:pPr>
                    <w:pStyle w:val="Para 02"/>
                    <w:keepLines w:val="on"/>
                  </w:pPr>
                  <w:r>
                    <w:t>Vivek Ranadive</w:t>
                  </w:r>
                </w:p>
              </w:tc>
              <w:tc>
                <w:tcPr>
                  <w:tcW w:type="auto" w:w="0"/>
                  <w:shd w:val="clear" w:color="auto" w:fill="F0F0F0"/>
                </w:tcPr>
                <w:p>
                  <w:pPr>
                    <w:pStyle w:val="Normal"/>
                    <w:keepLines w:val="on"/>
                  </w:pPr>
                  <w:r>
                    <w:t>$0.70</w:t>
                  </w:r>
                </w:p>
              </w:tc>
              <w:tc>
                <w:tcPr>
                  <w:tcW w:type="auto" w:w="0"/>
                  <w:shd w:val="clear" w:color="auto" w:fill="F0F0F0"/>
                </w:tcPr>
                <w:p>
                  <w:pPr>
                    <w:pStyle w:val="Normal"/>
                    <w:keepLines w:val="on"/>
                  </w:pPr>
                  <w:r>
                    <w:t>2013</w:t>
                  </w:r>
                </w:p>
              </w:tc>
              <w:tc>
                <w:tcPr>
                  <w:tcW w:type="auto" w:w="0"/>
                  <w:shd w:val="clear" w:color="auto" w:fill="F0F0F0"/>
                </w:tcPr>
                <w:p>
                  <w:pPr>
                    <w:pStyle w:val="Para 02"/>
                    <w:keepLines w:val="on"/>
                  </w:pPr>
                  <w:r>
                    <w:t>Phần mềm</w:t>
                  </w:r>
                </w:p>
              </w:tc>
            </w:tr>
            <w:tr>
              <w:tc>
                <w:tcPr>
                  <w:tcW w:type="auto" w:w="0"/>
                  <w:shd w:val="clear" w:color="auto" w:fill="F0F0F0"/>
                </w:tcPr>
                <w:p>
                  <w:pPr>
                    <w:pStyle w:val="Para 02"/>
                    <w:keepLines w:val="on"/>
                  </w:pPr>
                  <w:r>
                    <w:t>LA Clippers</w:t>
                  </w:r>
                </w:p>
              </w:tc>
              <w:tc>
                <w:tcPr>
                  <w:tcW w:type="auto" w:w="0"/>
                  <w:shd w:val="clear" w:color="auto" w:fill="F0F0F0"/>
                </w:tcPr>
                <w:p>
                  <w:pPr>
                    <w:pStyle w:val="Para 02"/>
                    <w:keepLines w:val="on"/>
                  </w:pPr>
                  <w:r>
                    <w:t>Steve Ballmer</w:t>
                  </w:r>
                </w:p>
              </w:tc>
              <w:tc>
                <w:tcPr>
                  <w:tcW w:type="auto" w:w="0"/>
                  <w:shd w:val="clear" w:color="auto" w:fill="F0F0F0"/>
                </w:tcPr>
                <w:p>
                  <w:pPr>
                    <w:pStyle w:val="Normal"/>
                    <w:keepLines w:val="on"/>
                  </w:pPr>
                  <w:r>
                    <w:t>75,60 đô la</w:t>
                  </w:r>
                </w:p>
              </w:tc>
              <w:tc>
                <w:tcPr>
                  <w:tcW w:type="auto" w:w="0"/>
                  <w:shd w:val="clear" w:color="auto" w:fill="F0F0F0"/>
                </w:tcPr>
                <w:p>
                  <w:pPr>
                    <w:pStyle w:val="Normal"/>
                    <w:keepLines w:val="on"/>
                  </w:pPr>
                  <w:r>
                    <w:t>2014</w:t>
                  </w:r>
                </w:p>
              </w:tc>
              <w:tc>
                <w:tcPr>
                  <w:tcW w:type="auto" w:w="0"/>
                  <w:shd w:val="clear" w:color="auto" w:fill="F0F0F0"/>
                </w:tcPr>
                <w:p>
                  <w:pPr>
                    <w:pStyle w:val="Para 02"/>
                    <w:keepLines w:val="on"/>
                  </w:pPr>
                  <w:r>
                    <w:t>Giám đốc điều hành Microsoft (và là nhân viên thứ 30)</w:t>
                  </w:r>
                </w:p>
              </w:tc>
            </w:tr>
            <w:tr>
              <w:tc>
                <w:tcPr>
                  <w:tcW w:type="auto" w:w="0"/>
                  <w:shd w:val="clear" w:color="auto" w:fill="F0F0F0"/>
                </w:tcPr>
                <w:p>
                  <w:pPr>
                    <w:pStyle w:val="Para 02"/>
                    <w:keepLines w:val="on"/>
                  </w:pPr>
                  <w:r>
                    <w:t>Milwaukee Bucks</w:t>
                  </w:r>
                </w:p>
              </w:tc>
              <w:tc>
                <w:tcPr>
                  <w:tcW w:type="auto" w:w="0"/>
                  <w:shd w:val="clear" w:color="auto" w:fill="F0F0F0"/>
                </w:tcPr>
                <w:p>
                  <w:pPr>
                    <w:pStyle w:val="Para 02"/>
                    <w:keepLines w:val="on"/>
                  </w:pPr>
                  <w:r>
                    <w:t>Marc Lasry</w:t>
                  </w:r>
                </w:p>
              </w:tc>
              <w:tc>
                <w:tcPr>
                  <w:tcW w:type="auto" w:w="0"/>
                  <w:shd w:val="clear" w:color="auto" w:fill="F0F0F0"/>
                </w:tcPr>
                <w:p>
                  <w:pPr>
                    <w:pStyle w:val="Normal"/>
                    <w:keepLines w:val="on"/>
                  </w:pPr>
                  <w:r>
                    <w:t>1,80 đô la</w:t>
                  </w:r>
                </w:p>
              </w:tc>
              <w:tc>
                <w:tcPr>
                  <w:tcW w:type="auto" w:w="0"/>
                  <w:shd w:val="clear" w:color="auto" w:fill="F0F0F0"/>
                </w:tcPr>
                <w:p>
                  <w:pPr>
                    <w:pStyle w:val="Normal"/>
                    <w:keepLines w:val="on"/>
                  </w:pPr>
                  <w:r>
                    <w:t>2014</w:t>
                  </w:r>
                </w:p>
              </w:tc>
              <w:tc>
                <w:tcPr>
                  <w:tcW w:type="auto" w:w="0"/>
                  <w:shd w:val="clear" w:color="auto" w:fill="F0F0F0"/>
                </w:tcPr>
                <w:p>
                  <w:pPr>
                    <w:pStyle w:val="Para 02"/>
                    <w:keepLines w:val="on"/>
                  </w:pPr>
                  <w:r>
                    <w:t>Vốn cổ phần tư nhân</w:t>
                  </w:r>
                </w:p>
              </w:tc>
            </w:tr>
            <w:tr>
              <w:tc>
                <w:tcPr>
                  <w:tcW w:type="auto" w:w="0"/>
                  <w:shd w:val="clear" w:color="auto" w:fill="F0F0F0"/>
                </w:tcPr>
                <w:p>
                  <w:pPr>
                    <w:pStyle w:val="Para 02"/>
                    <w:keepLines w:val="on"/>
                  </w:pPr>
                  <w:r>
                    <w:t>Phoenix Suns</w:t>
                  </w:r>
                </w:p>
              </w:tc>
              <w:tc>
                <w:tcPr>
                  <w:tcW w:type="auto" w:w="0"/>
                  <w:shd w:val="clear" w:color="auto" w:fill="F0F0F0"/>
                </w:tcPr>
                <w:p>
                  <w:pPr>
                    <w:pStyle w:val="Para 02"/>
                    <w:keepLines w:val="on"/>
                  </w:pPr>
                  <w:r>
                    <w:t>Robert Sarver</w:t>
                  </w:r>
                </w:p>
              </w:tc>
              <w:tc>
                <w:tcPr>
                  <w:tcW w:type="auto" w:w="0"/>
                  <w:shd w:val="clear" w:color="auto" w:fill="F0F0F0"/>
                </w:tcPr>
                <w:p>
                  <w:pPr>
                    <w:pStyle w:val="Normal"/>
                    <w:keepLines w:val="on"/>
                  </w:pPr>
                  <w:r>
                    <w:t>0,40 đô la</w:t>
                  </w:r>
                </w:p>
              </w:tc>
              <w:tc>
                <w:tcPr>
                  <w:tcW w:type="auto" w:w="0"/>
                  <w:shd w:val="clear" w:color="auto" w:fill="F0F0F0"/>
                </w:tcPr>
                <w:p>
                  <w:pPr>
                    <w:pStyle w:val="Normal"/>
                    <w:keepLines w:val="on"/>
                  </w:pPr>
                  <w:r>
                    <w:t>2014</w:t>
                  </w:r>
                </w:p>
              </w:tc>
              <w:tc>
                <w:tcPr>
                  <w:tcW w:type="auto" w:w="0"/>
                  <w:shd w:val="clear" w:color="auto" w:fill="F0F0F0"/>
                </w:tcPr>
                <w:p>
                  <w:pPr>
                    <w:pStyle w:val="Para 02"/>
                    <w:keepLines w:val="on"/>
                  </w:pPr>
                  <w:r>
                    <w:t>Ngân hàng và Bất động sản</w:t>
                  </w:r>
                </w:p>
              </w:tc>
            </w:tr>
            <w:tr>
              <w:tc>
                <w:tcPr>
                  <w:tcW w:type="auto" w:w="0"/>
                  <w:shd w:val="clear" w:color="auto" w:fill="F0F0F0"/>
                </w:tcPr>
                <w:p>
                  <w:pPr>
                    <w:pStyle w:val="Para 02"/>
                    <w:keepLines w:val="on"/>
                  </w:pPr>
                  <w:r>
                    <w:t>Atlanta Hawks</w:t>
                  </w:r>
                </w:p>
              </w:tc>
              <w:tc>
                <w:tcPr>
                  <w:tcW w:type="auto" w:w="0"/>
                  <w:shd w:val="clear" w:color="auto" w:fill="F0F0F0"/>
                </w:tcPr>
                <w:p>
                  <w:pPr>
                    <w:pStyle w:val="Para 02"/>
                    <w:keepLines w:val="on"/>
                  </w:pPr>
                  <w:r>
                    <w:t>Tony Ressler</w:t>
                  </w:r>
                </w:p>
              </w:tc>
              <w:tc>
                <w:tcPr>
                  <w:tcW w:type="auto" w:w="0"/>
                  <w:shd w:val="clear" w:color="auto" w:fill="F0F0F0"/>
                </w:tcPr>
                <w:p>
                  <w:pPr>
                    <w:pStyle w:val="Normal"/>
                    <w:keepLines w:val="on"/>
                  </w:pPr>
                  <w:r>
                    <w:t>3,90 đô la</w:t>
                  </w:r>
                </w:p>
              </w:tc>
              <w:tc>
                <w:tcPr>
                  <w:tcW w:type="auto" w:w="0"/>
                  <w:shd w:val="clear" w:color="auto" w:fill="F0F0F0"/>
                </w:tcPr>
                <w:p>
                  <w:pPr>
                    <w:pStyle w:val="Normal"/>
                    <w:keepLines w:val="on"/>
                  </w:pPr>
                  <w:r>
                    <w:t>2015</w:t>
                  </w:r>
                </w:p>
              </w:tc>
              <w:tc>
                <w:tcPr>
                  <w:tcW w:type="auto" w:w="0"/>
                  <w:shd w:val="clear" w:color="auto" w:fill="F0F0F0"/>
                </w:tcPr>
                <w:p>
                  <w:pPr>
                    <w:pStyle w:val="Para 02"/>
                    <w:keepLines w:val="on"/>
                  </w:pPr>
                  <w:r>
                    <w:t>Vốn cổ phần tư nhân và Đầu tư mạo hiểm</w:t>
                  </w:r>
                </w:p>
              </w:tc>
            </w:tr>
            <w:tr>
              <w:tc>
                <w:tcPr>
                  <w:tcW w:type="auto" w:w="0"/>
                  <w:shd w:val="clear" w:color="auto" w:fill="F0F0F0"/>
                </w:tcPr>
                <w:p>
                  <w:pPr>
                    <w:pStyle w:val="Para 02"/>
                    <w:keepLines w:val="on"/>
                  </w:pPr>
                  <w:r>
                    <w:t>Houston Rockets</w:t>
                  </w:r>
                </w:p>
              </w:tc>
              <w:tc>
                <w:tcPr>
                  <w:tcW w:type="auto" w:w="0"/>
                  <w:shd w:val="clear" w:color="auto" w:fill="F0F0F0"/>
                </w:tcPr>
                <w:p>
                  <w:pPr>
                    <w:pStyle w:val="Para 02"/>
                    <w:keepLines w:val="on"/>
                  </w:pPr>
                  <w:r>
                    <w:t>Tilman Fertitta</w:t>
                  </w:r>
                </w:p>
              </w:tc>
              <w:tc>
                <w:tcPr>
                  <w:tcW w:type="auto" w:w="0"/>
                  <w:shd w:val="clear" w:color="auto" w:fill="F0F0F0"/>
                </w:tcPr>
                <w:p>
                  <w:pPr>
                    <w:pStyle w:val="Normal"/>
                    <w:keepLines w:val="on"/>
                  </w:pPr>
                  <w:r>
                    <w:t>4,10 đô la</w:t>
                  </w:r>
                </w:p>
              </w:tc>
              <w:tc>
                <w:tcPr>
                  <w:tcW w:type="auto" w:w="0"/>
                  <w:shd w:val="clear" w:color="auto" w:fill="F0F0F0"/>
                </w:tcPr>
                <w:p>
                  <w:pPr>
                    <w:pStyle w:val="Normal"/>
                    <w:keepLines w:val="on"/>
                  </w:pPr>
                  <w:r>
                    <w:t>2017</w:t>
                  </w:r>
                </w:p>
              </w:tc>
              <w:tc>
                <w:tcPr>
                  <w:tcW w:type="auto" w:w="0"/>
                  <w:shd w:val="clear" w:color="auto" w:fill="F0F0F0"/>
                </w:tcPr>
                <w:p>
                  <w:pPr>
                    <w:pStyle w:val="Para 02"/>
                    <w:keepLines w:val="on"/>
                  </w:pPr>
                  <w:r>
                    <w:t>Chủ nhà hàng &amp; khách sạn</w:t>
                  </w:r>
                </w:p>
              </w:tc>
            </w:tr>
            <w:tr>
              <w:tc>
                <w:tcPr>
                  <w:tcW w:type="auto" w:w="0"/>
                  <w:shd w:val="clear" w:color="auto" w:fill="F0F0F0"/>
                </w:tcPr>
                <w:p>
                  <w:pPr>
                    <w:pStyle w:val="Para 02"/>
                    <w:keepLines w:val="on"/>
                  </w:pPr>
                  <w:r>
                    <w:t>New Orleans Pelicans</w:t>
                  </w:r>
                </w:p>
              </w:tc>
              <w:tc>
                <w:tcPr>
                  <w:tcW w:type="auto" w:w="0"/>
                  <w:shd w:val="clear" w:color="auto" w:fill="F0F0F0"/>
                </w:tcPr>
                <w:p>
                  <w:pPr>
                    <w:pStyle w:val="Para 02"/>
                    <w:keepLines w:val="on"/>
                  </w:pPr>
                  <w:r>
                    <w:t>Gayle Benson</w:t>
                  </w:r>
                </w:p>
              </w:tc>
              <w:tc>
                <w:tcPr>
                  <w:tcW w:type="auto" w:w="0"/>
                  <w:shd w:val="clear" w:color="auto" w:fill="F0F0F0"/>
                </w:tcPr>
                <w:p>
                  <w:pPr>
                    <w:pStyle w:val="Normal"/>
                    <w:keepLines w:val="on"/>
                  </w:pPr>
                  <w:r>
                    <w:t>$3.30</w:t>
                  </w:r>
                </w:p>
              </w:tc>
              <w:tc>
                <w:tcPr>
                  <w:tcW w:type="auto" w:w="0"/>
                  <w:shd w:val="clear" w:color="auto" w:fill="F0F0F0"/>
                </w:tcPr>
                <w:p>
                  <w:pPr>
                    <w:pStyle w:val="Normal"/>
                    <w:keepLines w:val="on"/>
                  </w:pPr>
                  <w:r>
                    <w:t>2018</w:t>
                  </w:r>
                </w:p>
              </w:tc>
              <w:tc>
                <w:tcPr>
                  <w:tcW w:type="auto" w:w="0"/>
                  <w:shd w:val="clear" w:color="auto" w:fill="F0F0F0"/>
                </w:tcPr>
                <w:p>
                  <w:pPr>
                    <w:pStyle w:val="Para 02"/>
                    <w:keepLines w:val="on"/>
                  </w:pPr>
                  <w:r>
                    <w:t>Đại lý xe hơi và ngân hàng</w:t>
                  </w:r>
                </w:p>
              </w:tc>
            </w:tr>
            <w:tr>
              <w:tc>
                <w:tcPr>
                  <w:tcW w:type="auto" w:w="0"/>
                  <w:shd w:val="clear" w:color="auto" w:fill="F0F0F0"/>
                </w:tcPr>
                <w:p>
                  <w:pPr>
                    <w:pStyle w:val="Para 02"/>
                    <w:keepLines w:val="on"/>
                  </w:pPr>
                  <w:r>
                    <w:t>Brooklyn Nets</w:t>
                  </w:r>
                </w:p>
              </w:tc>
              <w:tc>
                <w:tcPr>
                  <w:tcW w:type="auto" w:w="0"/>
                  <w:shd w:val="clear" w:color="auto" w:fill="F0F0F0"/>
                </w:tcPr>
                <w:p>
                  <w:pPr>
                    <w:pStyle w:val="Para 02"/>
                    <w:keepLines w:val="on"/>
                  </w:pPr>
                  <w:r>
                    <w:t>Joseph Tsai</w:t>
                  </w:r>
                </w:p>
              </w:tc>
              <w:tc>
                <w:tcPr>
                  <w:tcW w:type="auto" w:w="0"/>
                  <w:shd w:val="clear" w:color="auto" w:fill="F0F0F0"/>
                </w:tcPr>
                <w:p>
                  <w:pPr>
                    <w:pStyle w:val="Normal"/>
                    <w:keepLines w:val="on"/>
                  </w:pPr>
                  <w:r>
                    <w:t>$14.20</w:t>
                  </w:r>
                </w:p>
              </w:tc>
              <w:tc>
                <w:tcPr>
                  <w:tcW w:type="auto" w:w="0"/>
                  <w:shd w:val="clear" w:color="auto" w:fill="F0F0F0"/>
                </w:tcPr>
                <w:p>
                  <w:pPr>
                    <w:pStyle w:val="Normal"/>
                    <w:keepLines w:val="on"/>
                  </w:pPr>
                  <w:r>
                    <w:t>2019</w:t>
                  </w:r>
                </w:p>
              </w:tc>
              <w:tc>
                <w:tcPr>
                  <w:tcW w:type="auto" w:w="0"/>
                  <w:shd w:val="clear" w:color="auto" w:fill="F0F0F0"/>
                </w:tcPr>
                <w:p>
                  <w:pPr>
                    <w:pStyle w:val="Para 02"/>
                    <w:keepLines w:val="on"/>
                  </w:pPr>
                  <w:r>
                    <w:t>Đồng sáng lập Alibaba</w:t>
                  </w:r>
                </w:p>
              </w:tc>
            </w:tr>
          </w:tbl>
          <w:p/>
        </w:tc>
      </w:tr>
    </w:tbl>
    <w:p>
      <w:pPr>
        <w:pStyle w:val="Para 03"/>
      </w:pPr>
      <w:r>
        <w:t>Khi bạn xem qua danh sách này, bạn sẽ nhận thấy rằng mặc dù nhiều chủ sở hữu là tỷ phú, không tính đến việc họ sở hữu đội NBA, vẫn có một vài chủ sở hữu ở cuối danh sách mà tài sản chủ yếu nằm ở quyền sở hữu đội bóng của họ. Nhìn vào các xu hướng, giao dịch mua bán đội thể thao càng gần đây thì người mua càng có khả năng không chỉ giàu có, mà còn cực kỳ giàu có, và xu hướng này đang diễn ra trên khắp thế giới.</w:t>
      </w:r>
    </w:p>
    <w:p>
      <w:pPr>
        <w:pStyle w:val="Para 03"/>
      </w:pPr>
      <w:r>
        <w:t>Vậy tại sao những cá nhân giàu có và được cho là am hiểu tài chính này lại đổ tiền vào các đội thể thao? Vào năm 2014, ở cuối một bài viết về đội Clippers, và sau khi cố gắng bằng mọi cách có thể để tìm ra lý do tài chính biện minh cho việc Ballmer trả 2 tỷ đô la cho một đội NBA chỉ đứng thứ hai xa xôi so với đội NBA khác chơi cùng thành phố, chúng tôi đành bó tay và kết luận rằng Ballmer đang mua một món đồ chơi. Theo ước tính của chúng tôi, đó là một món đồ chơi đắt tiền mà chúng tôi ước tính tốn khoảng một tỷ (ước tính chênh lệch giữa giá ông ấy trả và giá trị chúng tôi ước tính), nhưng là món đồ mà ông ấy hoàn toàn có thể chi trả, xét theo khối tài sản của mình.</w:t>
      </w:r>
    </w:p>
    <w:p>
      <w:pPr>
        <w:pStyle w:val="Para 03"/>
      </w:pPr>
      <w:r>
        <w:t>Theo nhiều cách, các đội thể thao là tài sản danh giá tối thượng, vì chúng khan hiếm và việc sở hữu chúng không chỉ cho phép bạn sống trọn giấc mơ thời thơ ấu, mà còn cho bạn cơ hội chiêu đãi bạn bè và gia đình với những chỗ ngồi hàng đầu và màn giới thiệu cầu thủ. Thực tế, điều này cũng giải thích sự tham gia của các quỹ đầu tư quốc gia, đặc biệt từ Trung Đông, vào hàng ngũ chủ sở hữu, nhất là ở Premier League. Nếu bạn kết hợp thực tế này với việc nền kinh tế "kẻ thắng ăn tất" của thế kỷ hai mươi mốt tạo ra ngày càng nhiều tỷ phú trong xã hội chúng ta, bạn có thể hiểu tại sao không có đợt điều chỉnh nào sắp xảy ra đối với giá các đội thể thao. Chừng nào số lượng tỷ phú còn vượt số lượng đội thể thao trên trái đất này, bạn nên kỳ vọng sẽ thấy ngày càng ít chủ sở hữu kiểu Rooneys, và ngày càng nhiều chủ sở hữu kiểu Steves (Cohen và Ballmer).</w:t>
      </w:r>
    </w:p>
    <w:p>
      <w:pPr>
        <w:pStyle w:val="Para 11"/>
      </w:pPr>
      <w:r>
        <w:t xml:space="preserve"> </w:t>
      </w:r>
    </w:p>
    <w:p>
      <w:bookmarkStart w:id="5810" w:name="ILLUSTRATION_27_6__Valuing_a_Spo_1"/>
      <w:bookmarkStart w:id="5811" w:name="ILLUSTRATION_27_6__Valuing_a_Spo"/>
      <w:pPr>
        <w:keepNext/>
        <w:pStyle w:val="Para 19"/>
        <w:keepLines w:val="on"/>
      </w:pPr>
      <w:r>
        <w:t>MINH HỌA 27.6: Định giá một đội thể thao—Đội Clippers năm 2014</w:t>
      </w:r>
      <w:bookmarkEnd w:id="5810"/>
      <w:bookmarkEnd w:id="5811"/>
    </w:p>
    <w:p>
      <w:pPr>
        <w:pStyle w:val="Para 04"/>
        <w:keepLines w:val="on"/>
      </w:pPr>
      <w:r>
        <w:t>Steve Ballmer đã đề nghị trả 2 tỷ đô la cho Los Angeles Clippers vào năm 2014. Vào thời điểm đó, chúng tôi ước tính giá trị nội tại của đội bóng, xem xét bốn kịch bản, từ việc ngoại suy số liệu tài chính năm 2012 của Clippers đến kịch bản tốt nhất, trong đó chúng tôi mô phỏng một dòng doanh thu truyền thông lớn hơn nhiều, trong Bảng 27.14.</w:t>
      </w:r>
    </w:p>
    <w:p>
      <w:pPr>
        <w:pStyle w:val="Para 25"/>
        <w:keepLines w:val="on"/>
      </w:pPr>
      <w:r>
        <w:t>Bảng 27.14</w:t>
      </w:r>
    </w:p>
    <w:p>
      <w:pPr>
        <w:keepNext/>
        <w:pStyle w:val="Para 24"/>
        <w:keepLines w:val="on"/>
      </w:pPr>
      <w:r>
        <w:t>Clippers—Giá trị nội tại</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Clipper: Số liệu năm 2012</w:t>
                  </w:r>
                </w:p>
              </w:tc>
              <w:tc>
                <w:tcPr>
                  <w:tcW w:type="auto" w:w="0"/>
                  <w:shd w:val="clear" w:color="auto" w:fill="F0F0F0"/>
                </w:tcPr>
                <w:p>
                  <w:pPr>
                    <w:pStyle w:val="Para 05"/>
                    <w:keepLines w:val="on"/>
                  </w:pPr>
                  <w:r>
                    <w:t>Giá trị trung vị</w:t>
                  </w:r>
                </w:p>
              </w:tc>
              <w:tc>
                <w:tcPr>
                  <w:tcW w:type="auto" w:w="0"/>
                  <w:shd w:val="clear" w:color="auto" w:fill="F0F0F0"/>
                </w:tcPr>
                <w:p>
                  <w:pPr>
                    <w:pStyle w:val="Para 05"/>
                    <w:keepLines w:val="on"/>
                  </w:pPr>
                  <w:r>
                    <w:t>Giống Lakers (2012)</w:t>
                  </w:r>
                </w:p>
              </w:tc>
              <w:tc>
                <w:tcPr>
                  <w:tcW w:type="auto" w:w="0"/>
                  <w:shd w:val="clear" w:color="auto" w:fill="F0F0F0"/>
                </w:tcPr>
                <w:p>
                  <w:pPr>
                    <w:pStyle w:val="Para 05"/>
                    <w:keepLines w:val="on"/>
                  </w:pPr>
                  <w:r>
                    <w:t>Kịch bản tốt nhất/tốt nhất</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$128.00</w:t>
                  </w:r>
                </w:p>
              </w:tc>
              <w:tc>
                <w:tcPr>
                  <w:tcW w:type="auto" w:w="0"/>
                  <w:shd w:val="clear" w:color="auto" w:fill="F0F0F0"/>
                </w:tcPr>
                <w:p>
                  <w:pPr>
                    <w:pStyle w:val="Normal"/>
                    <w:keepLines w:val="on"/>
                  </w:pPr>
                  <w:r>
                    <w:t>$139.00</w:t>
                  </w:r>
                </w:p>
              </w:tc>
              <w:tc>
                <w:tcPr>
                  <w:tcW w:type="auto" w:w="0"/>
                  <w:shd w:val="clear" w:color="auto" w:fill="F0F0F0"/>
                </w:tcPr>
                <w:p>
                  <w:pPr>
                    <w:pStyle w:val="Normal"/>
                    <w:keepLines w:val="on"/>
                  </w:pPr>
                  <w:r>
                    <w:t>$295.00</w:t>
                  </w:r>
                </w:p>
              </w:tc>
              <w:tc>
                <w:tcPr>
                  <w:tcW w:type="auto" w:w="0"/>
                  <w:shd w:val="clear" w:color="auto" w:fill="F0F0F0"/>
                </w:tcPr>
                <w:p>
                  <w:pPr>
                    <w:pStyle w:val="Normal"/>
                    <w:keepLines w:val="on"/>
                  </w:pPr>
                  <w:r>
                    <w:t>$295,00</w:t>
                  </w:r>
                </w:p>
              </w:tc>
            </w:tr>
            <w:tr>
              <w:tc>
                <w:tcPr>
                  <w:tcW w:type="auto" w:w="0"/>
                  <w:shd w:val="clear" w:color="auto" w:fill="F0F0F0"/>
                </w:tcPr>
                <w:p>
                  <w:pPr>
                    <w:pStyle w:val="Para 02"/>
                    <w:keepLines w:val="on"/>
                  </w:pPr>
                  <w:r>
                    <w:t>Biên lợi nhuận EBITDA</w:t>
                  </w:r>
                </w:p>
              </w:tc>
              <w:tc>
                <w:tcPr>
                  <w:tcW w:type="auto" w:w="0"/>
                  <w:shd w:val="clear" w:color="auto" w:fill="F0F0F0"/>
                </w:tcPr>
                <w:p>
                  <w:pPr>
                    <w:pStyle w:val="Normal"/>
                    <w:keepLines w:val="on"/>
                  </w:pPr>
                  <w:r>
                    <w:t>11,72%</w:t>
                  </w:r>
                </w:p>
              </w:tc>
              <w:tc>
                <w:tcPr>
                  <w:tcW w:type="auto" w:w="0"/>
                  <w:shd w:val="clear" w:color="auto" w:fill="F0F0F0"/>
                </w:tcPr>
                <w:p>
                  <w:pPr>
                    <w:pStyle w:val="Normal"/>
                    <w:keepLines w:val="on"/>
                  </w:pPr>
                  <w:r>
                    <w:t>11,29%</w:t>
                  </w:r>
                </w:p>
              </w:tc>
              <w:tc>
                <w:tcPr>
                  <w:tcW w:type="auto" w:w="0"/>
                  <w:shd w:val="clear" w:color="auto" w:fill="F0F0F0"/>
                </w:tcPr>
                <w:p>
                  <w:pPr>
                    <w:pStyle w:val="Normal"/>
                    <w:keepLines w:val="on"/>
                  </w:pPr>
                  <w:r>
                    <w:t>22,51%</w:t>
                  </w:r>
                </w:p>
              </w:tc>
              <w:tc>
                <w:tcPr>
                  <w:tcW w:type="auto" w:w="0"/>
                  <w:shd w:val="clear" w:color="auto" w:fill="F0F0F0"/>
                </w:tcPr>
                <w:p>
                  <w:pPr>
                    <w:pStyle w:val="Normal"/>
                    <w:keepLines w:val="on"/>
                  </w:pPr>
                  <w:r>
                    <w:t>49,31%</w:t>
                  </w:r>
                </w:p>
              </w:tc>
            </w:tr>
            <w:tr>
              <w:tc>
                <w:tcPr>
                  <w:tcW w:type="auto" w:w="0"/>
                  <w:shd w:val="clear" w:color="auto" w:fill="F0F0F0"/>
                </w:tcPr>
                <w:p>
                  <w:pPr>
                    <w:pStyle w:val="Para 02"/>
                    <w:keepLines w:val="on"/>
                  </w:pPr>
                  <w:r>
                    <w:t>EBITDA</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$15,70</w:t>
                  </w:r>
                </w:p>
              </w:tc>
              <w:tc>
                <w:tcPr>
                  <w:tcW w:type="auto" w:w="0"/>
                  <w:shd w:val="clear" w:color="auto" w:fill="F0F0F0"/>
                </w:tcPr>
                <w:p>
                  <w:pPr>
                    <w:pStyle w:val="Normal"/>
                    <w:keepLines w:val="on"/>
                  </w:pPr>
                  <w:r>
                    <w:t>$66,40</w:t>
                  </w:r>
                </w:p>
              </w:tc>
              <w:tc>
                <w:tcPr>
                  <w:tcW w:type="auto" w:w="0"/>
                  <w:shd w:val="clear" w:color="auto" w:fill="F0F0F0"/>
                </w:tcPr>
                <w:p>
                  <w:pPr>
                    <w:pStyle w:val="Normal"/>
                    <w:keepLines w:val="on"/>
                  </w:pPr>
                  <w:r>
                    <w:t>$145,45</w:t>
                  </w:r>
                </w:p>
              </w:tc>
            </w:tr>
            <w:tr>
              <w:tc>
                <w:tcPr>
                  <w:tcW w:type="auto" w:w="0"/>
                  <w:shd w:val="clear" w:color="auto" w:fill="F0F0F0"/>
                </w:tcPr>
                <w:p>
                  <w:pPr>
                    <w:pStyle w:val="Para 02"/>
                    <w:keepLines w:val="on"/>
                  </w:pPr>
                  <w:r>
                    <w:t>DA</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r>
            <w:tr>
              <w:tc>
                <w:tcPr>
                  <w:tcW w:type="auto" w:w="0"/>
                  <w:shd w:val="clear" w:color="auto" w:fill="F0F0F0"/>
                </w:tcPr>
                <w:p>
                  <w:pPr>
                    <w:pStyle w:val="Para 02"/>
                    <w:keepLines w:val="on"/>
                  </w:pPr>
                  <w:r>
                    <w:t>EBIT</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$15,70</w:t>
                  </w:r>
                </w:p>
              </w:tc>
              <w:tc>
                <w:tcPr>
                  <w:tcW w:type="auto" w:w="0"/>
                  <w:shd w:val="clear" w:color="auto" w:fill="F0F0F0"/>
                </w:tcPr>
                <w:p>
                  <w:pPr>
                    <w:pStyle w:val="Normal"/>
                    <w:keepLines w:val="on"/>
                  </w:pPr>
                  <w:r>
                    <w:t>$66,40</w:t>
                  </w:r>
                </w:p>
              </w:tc>
              <w:tc>
                <w:tcPr>
                  <w:tcW w:type="auto" w:w="0"/>
                  <w:shd w:val="clear" w:color="auto" w:fill="F0F0F0"/>
                </w:tcPr>
                <w:p>
                  <w:pPr>
                    <w:pStyle w:val="Normal"/>
                    <w:keepLines w:val="on"/>
                  </w:pPr>
                  <w:r>
                    <w:t>$145,45</w:t>
                  </w:r>
                </w:p>
              </w:tc>
            </w:tr>
            <w:tr>
              <w:tc>
                <w:tcPr>
                  <w:tcW w:type="auto" w:w="0"/>
                  <w:shd w:val="clear" w:color="auto" w:fill="F0F0F0"/>
                </w:tcPr>
                <w:p>
                  <w:pPr>
                    <w:pStyle w:val="Para 02"/>
                    <w:keepLines w:val="on"/>
                  </w:pPr>
                  <w:r>
                    <w:t>Thuế</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$6,28</w:t>
                  </w:r>
                </w:p>
              </w:tc>
              <w:tc>
                <w:tcPr>
                  <w:tcW w:type="auto" w:w="0"/>
                  <w:shd w:val="clear" w:color="auto" w:fill="F0F0F0"/>
                </w:tcPr>
                <w:p>
                  <w:pPr>
                    <w:pStyle w:val="Normal"/>
                    <w:keepLines w:val="on"/>
                  </w:pPr>
                  <w:r>
                    <w:t>$26,56</w:t>
                  </w:r>
                </w:p>
              </w:tc>
              <w:tc>
                <w:tcPr>
                  <w:tcW w:type="auto" w:w="0"/>
                  <w:shd w:val="clear" w:color="auto" w:fill="F0F0F0"/>
                </w:tcPr>
                <w:p>
                  <w:pPr>
                    <w:pStyle w:val="Normal"/>
                    <w:keepLines w:val="on"/>
                  </w:pPr>
                  <w:r>
                    <w:t>$58,18</w:t>
                  </w:r>
                </w:p>
              </w:tc>
            </w:tr>
            <w:tr>
              <w:tc>
                <w:tcPr>
                  <w:tcW w:type="auto" w:w="0"/>
                  <w:shd w:val="clear" w:color="auto" w:fill="F0F0F0"/>
                </w:tcPr>
                <w:p>
                  <w:pPr>
                    <w:pStyle w:val="Para 02"/>
                    <w:keepLines w:val="on"/>
                  </w:pPr>
                  <w:r>
                    <w:t>EBIT (1 − t)</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$9,42</w:t>
                  </w:r>
                </w:p>
              </w:tc>
              <w:tc>
                <w:tcPr>
                  <w:tcW w:type="auto" w:w="0"/>
                  <w:shd w:val="clear" w:color="auto" w:fill="F0F0F0"/>
                </w:tcPr>
                <w:p>
                  <w:pPr>
                    <w:pStyle w:val="Normal"/>
                    <w:keepLines w:val="on"/>
                  </w:pPr>
                  <w:r>
                    <w:t>$39,84</w:t>
                  </w:r>
                </w:p>
              </w:tc>
              <w:tc>
                <w:tcPr>
                  <w:tcW w:type="auto" w:w="0"/>
                  <w:shd w:val="clear" w:color="auto" w:fill="F0F0F0"/>
                </w:tcPr>
                <w:p>
                  <w:pPr>
                    <w:pStyle w:val="Normal"/>
                    <w:keepLines w:val="on"/>
                  </w:pPr>
                  <w:r>
                    <w:t>$87,27</w:t>
                  </w:r>
                </w:p>
              </w:tc>
            </w:tr>
            <w:tr>
              <w:tc>
                <w:tcPr>
                  <w:tcW w:type="auto" w:w="0"/>
                  <w:shd w:val="clear" w:color="auto" w:fill="F0F0F0"/>
                </w:tcPr>
                <w:p>
                  <w:pPr>
                    <w:pStyle w:val="Para 02"/>
                    <w:keepLines w:val="on"/>
                  </w:pPr>
                  <w:r>
                    <w:t>Tái đầu tư</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$1,88</w:t>
                  </w:r>
                </w:p>
              </w:tc>
              <w:tc>
                <w:tcPr>
                  <w:tcW w:type="auto" w:w="0"/>
                  <w:shd w:val="clear" w:color="auto" w:fill="F0F0F0"/>
                </w:tcPr>
                <w:p>
                  <w:pPr>
                    <w:pStyle w:val="Normal"/>
                    <w:keepLines w:val="on"/>
                  </w:pPr>
                  <w:r>
                    <w:t>$3,98</w:t>
                  </w:r>
                </w:p>
              </w:tc>
              <w:tc>
                <w:tcPr>
                  <w:tcW w:type="auto" w:w="0"/>
                  <w:shd w:val="clear" w:color="auto" w:fill="F0F0F0"/>
                </w:tcPr>
                <w:p>
                  <w:pPr>
                    <w:pStyle w:val="Normal"/>
                    <w:keepLines w:val="on"/>
                  </w:pPr>
                  <w:r>
                    <w:t>$8,73</w:t>
                  </w:r>
                </w:p>
              </w:tc>
            </w:tr>
            <w:tr>
              <w:tc>
                <w:tcPr>
                  <w:tcW w:type="auto" w:w="0"/>
                  <w:shd w:val="clear" w:color="auto" w:fill="F0F0F0"/>
                </w:tcPr>
                <w:p>
                  <w:pPr>
                    <w:pStyle w:val="Para 02"/>
                    <w:keepLines w:val="on"/>
                  </w:pPr>
                  <w:r>
                    <w:t>FCFF</w:t>
                  </w:r>
                </w:p>
              </w:tc>
              <w:tc>
                <w:tcPr>
                  <w:tcW w:type="auto" w:w="0"/>
                  <w:shd w:val="clear" w:color="auto" w:fill="F0F0F0"/>
                </w:tcPr>
                <w:p>
                  <w:pPr>
                    <w:pStyle w:val="Normal"/>
                    <w:keepLines w:val="on"/>
                  </w:pPr>
                  <w:r>
                    <w:t>$7,20</w:t>
                  </w:r>
                </w:p>
              </w:tc>
              <w:tc>
                <w:tcPr>
                  <w:tcW w:type="auto" w:w="0"/>
                  <w:shd w:val="clear" w:color="auto" w:fill="F0F0F0"/>
                </w:tcPr>
                <w:p>
                  <w:pPr>
                    <w:pStyle w:val="Normal"/>
                    <w:keepLines w:val="on"/>
                  </w:pPr>
                  <w:r>
                    <w:t>$7,54</w:t>
                  </w:r>
                </w:p>
              </w:tc>
              <w:tc>
                <w:tcPr>
                  <w:tcW w:type="auto" w:w="0"/>
                  <w:shd w:val="clear" w:color="auto" w:fill="F0F0F0"/>
                </w:tcPr>
                <w:p>
                  <w:pPr>
                    <w:pStyle w:val="Normal"/>
                    <w:keepLines w:val="on"/>
                  </w:pPr>
                  <w:r>
                    <w:t>$35,86</w:t>
                  </w:r>
                </w:p>
              </w:tc>
              <w:tc>
                <w:tcPr>
                  <w:tcW w:type="auto" w:w="0"/>
                  <w:shd w:val="clear" w:color="auto" w:fill="F0F0F0"/>
                </w:tcPr>
                <w:p>
                  <w:pPr>
                    <w:pStyle w:val="Normal"/>
                    <w:keepLines w:val="on"/>
                  </w:pPr>
                  <w:r>
                    <w:t>$78,55</w:t>
                  </w:r>
                </w:p>
              </w:tc>
            </w:tr>
            <w:tr>
              <w:tc>
                <w:tcPr>
                  <w:tcW w:type="auto" w:w="0"/>
                  <w:shd w:val="clear" w:color="auto" w:fill="F0F0F0"/>
                </w:tcPr>
                <w:p>
                  <w:pPr>
                    <w:pStyle w:val="5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ROIC</w:t>
                  </w:r>
                </w:p>
              </w:tc>
              <w:tc>
                <w:tcPr>
                  <w:tcW w:type="auto" w:w="0"/>
                  <w:shd w:val="clear" w:color="auto" w:fill="F0F0F0"/>
                </w:tcPr>
                <w:p>
                  <w:pPr>
                    <w:pStyle w:val="Normal"/>
                    <w:keepLines w:val="on"/>
                  </w:pPr>
                  <w:r>
                    <w:t>12,50%</w:t>
                  </w:r>
                </w:p>
              </w:tc>
              <w:tc>
                <w:tcPr>
                  <w:tcW w:type="auto" w:w="0"/>
                  <w:shd w:val="clear" w:color="auto" w:fill="F0F0F0"/>
                </w:tcPr>
                <w:p>
                  <w:pPr>
                    <w:pStyle w:val="Normal"/>
                    <w:keepLines w:val="on"/>
                  </w:pPr>
                  <w:r>
                    <w:t>12,50%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25,00%</w:t>
                  </w:r>
                </w:p>
              </w:tc>
            </w:tr>
            <w:tr>
              <w:tc>
                <w:tcPr>
                  <w:tcW w:type="auto" w:w="0"/>
                  <w:shd w:val="clear" w:color="auto" w:fill="F0F0F0"/>
                </w:tcPr>
                <w:p>
                  <w:pPr>
                    <w:pStyle w:val="Para 02"/>
                    <w:keepLines w:val="on"/>
                  </w:pPr>
                  <w:r>
                    <w:t>Lãi suất phi rủi ro</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2,50%</w:t>
                  </w:r>
                </w:p>
              </w:tc>
            </w:tr>
            <w:tr>
              <w:tc>
                <w:tcPr>
                  <w:tcW w:type="auto" w:w="0"/>
                  <w:shd w:val="clear" w:color="auto" w:fill="F0F0F0"/>
                </w:tcPr>
                <w:p>
                  <w:pPr>
                    <w:pStyle w:val="Para 02"/>
                    <w:keepLines w:val="on"/>
                  </w:pPr>
                  <w:r>
                    <w:t>Chi phí vốn</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7,50%</w:t>
                  </w:r>
                </w:p>
              </w:tc>
              <w:tc>
                <w:tcPr>
                  <w:tcW w:type="auto" w:w="0"/>
                  <w:shd w:val="clear" w:color="auto" w:fill="F0F0F0"/>
                </w:tcPr>
                <w:p>
                  <w:pPr>
                    <w:pStyle w:val="Normal"/>
                    <w:keepLines w:val="on"/>
                  </w:pPr>
                  <w:r>
                    <w:t>7,50%</w:t>
                  </w:r>
                </w:p>
              </w:tc>
            </w:tr>
            <w:tr>
              <w:tc>
                <w:tcPr>
                  <w:tcW w:type="auto" w:w="0"/>
                  <w:shd w:val="clear" w:color="auto" w:fill="F0F0F0"/>
                </w:tcPr>
                <w:p>
                  <w:pPr>
                    <w:pStyle w:val="Para 02"/>
                    <w:keepLines w:val="on"/>
                  </w:pPr>
                  <w:r>
                    <w:t>Tốc độ tăng trưởng kỳ vọng</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2,50%</w:t>
                  </w:r>
                </w:p>
              </w:tc>
            </w:tr>
            <w:tr>
              <w:tc>
                <w:tcPr>
                  <w:tcW w:type="auto" w:w="0"/>
                  <w:shd w:val="clear" w:color="auto" w:fill="F0F0F0"/>
                </w:tcPr>
                <w:p>
                  <w:pPr>
                    <w:pStyle w:val="5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trị của đội</w:t>
                  </w:r>
                </w:p>
              </w:tc>
              <w:tc>
                <w:tcPr>
                  <w:tcW w:type="auto" w:w="0"/>
                  <w:shd w:val="clear" w:color="auto" w:fill="F0F0F0"/>
                </w:tcPr>
                <w:p>
                  <w:pPr>
                    <w:pStyle w:val="Normal"/>
                    <w:keepLines w:val="on"/>
                  </w:pPr>
                  <w:r>
                    <w:t>147,60 đô la</w:t>
                  </w:r>
                </w:p>
              </w:tc>
              <w:tc>
                <w:tcPr>
                  <w:tcW w:type="auto" w:w="0"/>
                  <w:shd w:val="clear" w:color="auto" w:fill="F0F0F0"/>
                </w:tcPr>
                <w:p>
                  <w:pPr>
                    <w:pStyle w:val="Normal"/>
                    <w:keepLines w:val="on"/>
                  </w:pPr>
                  <w:r>
                    <w:t>154,48 đô la</w:t>
                  </w:r>
                </w:p>
              </w:tc>
              <w:tc>
                <w:tcPr>
                  <w:tcW w:type="auto" w:w="0"/>
                  <w:shd w:val="clear" w:color="auto" w:fill="F0F0F0"/>
                </w:tcPr>
                <w:p>
                  <w:pPr>
                    <w:pStyle w:val="Normal"/>
                    <w:keepLines w:val="on"/>
                  </w:pPr>
                  <w:r>
                    <w:t>735,05 đô la</w:t>
                  </w:r>
                </w:p>
              </w:tc>
              <w:tc>
                <w:tcPr>
                  <w:tcW w:type="auto" w:w="0"/>
                  <w:shd w:val="clear" w:color="auto" w:fill="F0F0F0"/>
                </w:tcPr>
                <w:p>
                  <w:pPr>
                    <w:pStyle w:val="Normal"/>
                    <w:keepLines w:val="on"/>
                  </w:pPr>
                  <w:r>
                    <w:t>1.610,18 đô la</w:t>
                  </w:r>
                </w:p>
              </w:tc>
            </w:tr>
          </w:tbl>
          <w:p/>
        </w:tc>
      </w:tr>
    </w:tbl>
    <w:p>
      <w:pPr>
        <w:pStyle w:val="Para 04"/>
        <w:keepLines w:val="on"/>
      </w:pPr>
      <w:r>
        <w:t>Như bạn thấy, không có thước đo nào về giá trị nội tại (intrinsic value) tiệm cận với mức định giá 2 tỷ đô la.</w:t>
      </w:r>
    </w:p>
    <w:p>
      <w:pPr>
        <w:pStyle w:val="Para 04"/>
        <w:keepLines w:val="on"/>
      </w:pPr>
      <w:r>
        <w:t>Với thông tin trong tay về cách các nhà đầu tư/người mua đã định giá các thương hiệu thể thao, chúng tôi thử định giá Clippers bằng cách kết hợp sơ khai các biến số: doanh thu hằng năm của thương hiệu và bội số doanh thu (multiple of revenues) thu thập được từ các giao dịch trong quá khứ, thể hiện trong Bảng 27.15:</w:t>
      </w:r>
    </w:p>
    <w:p>
      <w:pPr>
        <w:pStyle w:val="Para 25"/>
        <w:keepLines w:val="on"/>
      </w:pPr>
      <w:r>
        <w:t>Bảng 27.15</w:t>
      </w:r>
    </w:p>
    <w:p>
      <w:pPr>
        <w:keepNext/>
        <w:pStyle w:val="Para 24"/>
        <w:keepLines w:val="on"/>
      </w:pPr>
      <w:r>
        <w:t>Clippers—Định giá</w:t>
      </w:r>
    </w:p>
    <w:tbl>
      <w:tblPr>
        <w:tblW w:type="auto" w:w="0"/>
      </w:tblPr>
      <w:tr>
        <w:tc>
          <w:tcPr>
            <w:tcW w:type="auto" w:w="0"/>
          </w:tcPr>
          <w:tbl>
            <w:tblPr>
              <w:tblW w:type="auto" w:w="0"/>
            </w:tblPr>
            <w:tr>
              <w:tc>
                <w:tcPr>
                  <w:tcW w:type="auto" w:w="0"/>
                  <w:shd w:val="clear" w:color="auto" w:fill="F0F0F0"/>
                </w:tcPr>
                <w:p>
                  <w:pPr>
                    <w:pStyle w:val="5 Block"/>
                    <w:keepLines w:val="on"/>
                  </w:pPr>
                </w:p>
              </w:tc>
              <w:tc>
                <w:tcPr>
                  <w:tcW w:type="auto" w:w="0"/>
                  <w:shd w:val="clear" w:color="auto" w:fill="F0F0F0"/>
                </w:tcPr>
                <w:p>
                  <w:pPr>
                    <w:pStyle w:val="Para 05"/>
                    <w:keepLines w:val="on"/>
                  </w:pPr>
                  <w:r>
                    <w:t>Doanh thu Clippers + EV/Sales trung vị của NBA</w:t>
                  </w:r>
                </w:p>
              </w:tc>
              <w:tc>
                <w:tcPr>
                  <w:tcW w:type="auto" w:w="0"/>
                  <w:shd w:val="clear" w:color="auto" w:fill="F0F0F0"/>
                </w:tcPr>
                <w:p>
                  <w:pPr>
                    <w:pStyle w:val="Para 05"/>
                    <w:keepLines w:val="on"/>
                  </w:pPr>
                  <w:r>
                    <w:t>Doanh thu kiểu Lakers + EV/Sales trung vị của NBA</w:t>
                  </w:r>
                </w:p>
              </w:tc>
              <w:tc>
                <w:tcPr>
                  <w:tcW w:type="auto" w:w="0"/>
                  <w:shd w:val="clear" w:color="auto" w:fill="F0F0F0"/>
                </w:tcPr>
                <w:p>
                  <w:pPr>
                    <w:pStyle w:val="Para 05"/>
                    <w:keepLines w:val="on"/>
                  </w:pPr>
                  <w:r>
                    <w:t>Doanh thu kiểu Lakers + EV/Sales tối đa của NBA</w:t>
                  </w:r>
                </w:p>
              </w:tc>
              <w:tc>
                <w:tcPr>
                  <w:tcW w:type="auto" w:w="0"/>
                  <w:shd w:val="clear" w:color="auto" w:fill="F0F0F0"/>
                </w:tcPr>
                <w:p>
                  <w:pPr>
                    <w:pStyle w:val="Para 17"/>
                    <w:keepLines w:val="on"/>
                  </w:pPr>
                  <w:r>
                    <w:t>Ước tính của bạn</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$128,00</w:t>
                  </w:r>
                </w:p>
              </w:tc>
              <w:tc>
                <w:tcPr>
                  <w:tcW w:type="auto" w:w="0"/>
                  <w:shd w:val="clear" w:color="auto" w:fill="F0F0F0"/>
                </w:tcPr>
                <w:p>
                  <w:pPr>
                    <w:pStyle w:val="Normal"/>
                    <w:keepLines w:val="on"/>
                  </w:pPr>
                  <w:r>
                    <w:t>$295,00</w:t>
                  </w:r>
                </w:p>
              </w:tc>
              <w:tc>
                <w:tcPr>
                  <w:tcW w:type="auto" w:w="0"/>
                  <w:shd w:val="clear" w:color="auto" w:fill="F0F0F0"/>
                </w:tcPr>
                <w:p>
                  <w:pPr>
                    <w:pStyle w:val="Normal"/>
                    <w:keepLines w:val="on"/>
                  </w:pPr>
                  <w:r>
                    <w:t>$295,00</w:t>
                  </w:r>
                </w:p>
              </w:tc>
              <w:tc>
                <w:tcPr>
                  <w:tcW w:type="auto" w:w="0"/>
                  <w:shd w:val="clear" w:color="auto" w:fill="F0F0F0"/>
                </w:tcPr>
                <w:p>
                  <w:pPr>
                    <w:pStyle w:val="Normal"/>
                    <w:keepLines w:val="on"/>
                  </w:pPr>
                  <w:r>
                    <w:t>$300,00</w:t>
                  </w:r>
                </w:p>
              </w:tc>
            </w:tr>
            <w:tr>
              <w:tc>
                <w:tcPr>
                  <w:tcW w:type="auto" w:w="0"/>
                  <w:shd w:val="clear" w:color="auto" w:fill="F0F0F0"/>
                </w:tcPr>
                <w:p>
                  <w:pPr>
                    <w:pStyle w:val="Para 02"/>
                    <w:keepLines w:val="on"/>
                  </w:pPr>
                  <w:r>
                    <w:t>EV/Doanh thu</w:t>
                  </w:r>
                </w:p>
              </w:tc>
              <w:tc>
                <w:tcPr>
                  <w:tcW w:type="auto" w:w="0"/>
                  <w:shd w:val="clear" w:color="auto" w:fill="F0F0F0"/>
                </w:tcPr>
                <w:p>
                  <w:pPr>
                    <w:pStyle w:val="Normal"/>
                    <w:keepLines w:val="on"/>
                  </w:pPr>
                  <w:r>
                    <w:t>3,30</w:t>
                  </w:r>
                </w:p>
              </w:tc>
              <w:tc>
                <w:tcPr>
                  <w:tcW w:type="auto" w:w="0"/>
                  <w:shd w:val="clear" w:color="auto" w:fill="F0F0F0"/>
                </w:tcPr>
                <w:p>
                  <w:pPr>
                    <w:pStyle w:val="Normal"/>
                    <w:keepLines w:val="on"/>
                  </w:pPr>
                  <w:r>
                    <w:t>3,30</w:t>
                  </w:r>
                </w:p>
              </w:tc>
              <w:tc>
                <w:tcPr>
                  <w:tcW w:type="auto" w:w="0"/>
                  <w:shd w:val="clear" w:color="auto" w:fill="F0F0F0"/>
                </w:tcPr>
                <w:p>
                  <w:pPr>
                    <w:pStyle w:val="Normal"/>
                    <w:keepLines w:val="on"/>
                  </w:pPr>
                  <w:r>
                    <w:t>5,14</w:t>
                  </w:r>
                </w:p>
              </w:tc>
              <w:tc>
                <w:tcPr>
                  <w:tcW w:type="auto" w:w="0"/>
                  <w:shd w:val="clear" w:color="auto" w:fill="F0F0F0"/>
                </w:tcPr>
                <w:p>
                  <w:pPr>
                    <w:pStyle w:val="Normal"/>
                    <w:keepLines w:val="on"/>
                  </w:pPr>
                  <w:r>
                    <w:t>5,25</w:t>
                  </w:r>
                </w:p>
              </w:tc>
            </w:tr>
            <w:tr>
              <w:tc>
                <w:tcPr>
                  <w:tcW w:type="auto" w:w="0"/>
                  <w:shd w:val="clear" w:color="auto" w:fill="F0F0F0"/>
                </w:tcPr>
                <w:p>
                  <w:pPr>
                    <w:pStyle w:val="Para 02"/>
                    <w:keepLines w:val="on"/>
                  </w:pPr>
                  <w:r>
                    <w:t>Giá trị doanh nghiệp ước tính</w:t>
                  </w:r>
                </w:p>
              </w:tc>
              <w:tc>
                <w:tcPr>
                  <w:tcW w:type="auto" w:w="0"/>
                  <w:shd w:val="clear" w:color="auto" w:fill="F0F0F0"/>
                </w:tcPr>
                <w:p>
                  <w:pPr>
                    <w:pStyle w:val="Normal"/>
                    <w:keepLines w:val="on"/>
                  </w:pPr>
                  <w:r>
                    <w:t>$422,56</w:t>
                  </w:r>
                </w:p>
              </w:tc>
              <w:tc>
                <w:tcPr>
                  <w:tcW w:type="auto" w:w="0"/>
                  <w:shd w:val="clear" w:color="auto" w:fill="F0F0F0"/>
                </w:tcPr>
                <w:p>
                  <w:pPr>
                    <w:pStyle w:val="Normal"/>
                    <w:keepLines w:val="on"/>
                  </w:pPr>
                  <w:r>
                    <w:t>$973,87</w:t>
                  </w:r>
                </w:p>
              </w:tc>
              <w:tc>
                <w:tcPr>
                  <w:tcW w:type="auto" w:w="0"/>
                  <w:shd w:val="clear" w:color="auto" w:fill="F0F0F0"/>
                </w:tcPr>
                <w:p>
                  <w:pPr>
                    <w:pStyle w:val="Normal"/>
                    <w:keepLines w:val="on"/>
                  </w:pPr>
                  <w:r>
                    <w:t>$1.516,36</w:t>
                  </w:r>
                </w:p>
              </w:tc>
              <w:tc>
                <w:tcPr>
                  <w:tcW w:type="auto" w:w="0"/>
                  <w:shd w:val="clear" w:color="auto" w:fill="F0F0F0"/>
                </w:tcPr>
                <w:p>
                  <w:pPr>
                    <w:pStyle w:val="Normal"/>
                    <w:keepLines w:val="on"/>
                  </w:pPr>
                  <w:r>
                    <w:t>$1.575,00</w:t>
                  </w:r>
                </w:p>
              </w:tc>
            </w:tr>
          </w:tbl>
          <w:p/>
        </w:tc>
      </w:tr>
    </w:tbl>
    <w:p>
      <w:pPr>
        <w:pStyle w:val="Para 04"/>
        <w:keepLines w:val="on"/>
      </w:pPr>
      <w:r>
        <w:t>Cũng giống như với các định giá nội tại, thật khó để biện minh cho mức giá 2 tỷ đô la cho Clippers, ngay cả khi đưa ra những giả định có phần khiên cưỡng. Có thể có những bội số hoa mỹ hơn đưa ra mức giá gần 2 tỷ đô la hơn. Ví dụ, bạn có thể chia giá giao dịch cho dân số của khu vực đô thị mà đội bóng phục vụ, rồi nhân rộng lên để phản ánh thị trường truyền thông lớn hơn của LA. Theo đó, lấy 550 triệu đô la đã được trả gần đây cho Milwaukee — nơi có thị trường truyền thông chỉ bằng một phần mười thị trường truyền thông LA — và giả định chia đôi thị trường LA theo tỷ lệ 50:50 với Lakers, bạn sẽ đi đến mức định giá 2,75 tỷ đô la cho Clippers.</w:t>
      </w:r>
    </w:p>
    <w:p>
      <w:pPr>
        <w:pStyle w:val="Para 04"/>
        <w:keepLines w:val="on"/>
      </w:pPr>
      <w:r>
        <w:t>Lời giải thích khả dĩ nhất cho đề nghị 2 tỷ đô la của Ballmer không nằm ở định giá nội tại hay ở việc định giá theo thị trường, mà nằm ở mong muốn sở hữu một món đồ chơi đắt tiền — thứ mang lại cho ông niềm vui lớn lao khi ông cổ vũ nó từ bên lề sân.</w:t>
      </w:r>
    </w:p>
    <w:p>
      <w:bookmarkStart w:id="5815" w:name="Conclusion__This_chapter_provide"/>
      <w:bookmarkStart w:id="5816" w:name="Conclusion_26"/>
      <w:pPr>
        <w:keepNext/>
        <w:pStyle w:val="Heading 2"/>
        <w:keepLines w:val="on"/>
      </w:pPr>
      <w:r>
        <w:t>Kết luận</w:t>
      </w:r>
      <w:bookmarkEnd w:id="5815"/>
      <w:bookmarkEnd w:id="5816"/>
    </w:p>
    <w:p>
      <w:pPr>
        <w:pStyle w:val="Para 03"/>
      </w:pPr>
      <w:r>
        <w:t>Chương này mang đến cái nhìn sâu sắc về mức độ đa dạng trong việc sử dụng các mô hình định giá, từ định giá một tấm huy hiệu taxi ở thành phố New York cho đến một nhà hàng năm sao. Các mô hình cơ bản vẫn không thay đổi, nhưng các thông số đầu vào có thể khó thu thập hơn và đi kèm nhiều nhiễu hơn. Tuy nhiên, điều đó không nên bị coi là rào cản đối với việc sử dụng chúng.</w:t>
      </w:r>
    </w:p>
    <w:p>
      <w:pPr>
        <w:pStyle w:val="Para 03"/>
      </w:pPr>
      <w:r>
        <w:t>Chúng ta cũng đã xem xét cách định giá tốt nhất cho những khoản đầu tư không tạo ra dòng tiền, trải dài từ tác phẩm nghệ thuật đến vàng cho đến bitcoin, và kết thúc chương bằng một cuộc thảo luận về các tài sản danh giá (trophy assets), nơi việc định giá theo thị trường chiếm ưu thế so với giá trị nội tại.</w:t>
      </w:r>
    </w:p>
    <w:p>
      <w:bookmarkStart w:id="5817" w:name="Questions_and_Short_Problems_26"/>
      <w:bookmarkStart w:id="5818" w:name="Questions_and_Short_Problems__In_20"/>
      <w:pPr>
        <w:keepNext/>
        <w:pStyle w:val="Heading 2"/>
        <w:keepLines w:val="on"/>
      </w:pPr>
      <w:r>
        <w:t>Câu hỏi và Bài tập ngắn</w:t>
      </w:r>
      <w:bookmarkEnd w:id="5817"/>
      <w:bookmarkEnd w:id="5818"/>
    </w:p>
    <w:p>
      <w:pPr>
        <w:pStyle w:val="Para 44"/>
      </w:pPr>
      <w:r>
        <w:t>Trong các bài tập sau đây, hãy sử dụng mức bù rủi ro vốn cổ phần (equity risk premium) là 5,5 phần trăm nếu không có quy định nào khác.</w:t>
      </w:r>
    </w:p>
    <w:p>
      <w:pPr>
        <w:numPr>
          <w:ilvl w:val="0"/>
          <w:numId w:val="329"/>
        </w:numPr>
        <w:pStyle w:val="Para 01"/>
      </w:pPr>
      <w:r>
        <w:t>Cool Café là một nhà hàng có tiếng ở khu vực Denver, do Joanne Arapacio làm chủ và điều hành — một đầu bếp ngôi sao chuyên về ẩm thực Tây Nam. Bạn đang muốn mua lại nhà hàng này và đã được cung cấp báo cáo thu nhập của công ty cho năm gần nhất được trình bày ở đây (đơn vị: nghìn đô la):</w:t>
      </w:r>
    </w:p>
    <w:tbl>
      <w:tblPr>
        <w:tblW w:type="auto" w:w="0"/>
      </w:tblPr>
      <w:tr>
        <w:tc>
          <w:tcPr>
            <w:tcW w:type="auto" w:w="0"/>
          </w:tcPr>
          <w:tbl>
            <w:tblPr>
              <w:tblW w:type="auto" w:w="0"/>
            </w:tblP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$5.000</w:t>
                  </w:r>
                </w:p>
              </w:tc>
            </w:tr>
            <w:tr>
              <w:tc>
                <w:tcPr>
                  <w:tcW w:type="auto" w:w="0"/>
                  <w:shd w:val="clear" w:color="auto" w:fill="F0F0F0"/>
                </w:tcPr>
                <w:p>
                  <w:pPr>
                    <w:pStyle w:val="Para 02"/>
                    <w:keepLines w:val="on"/>
                  </w:pPr>
                  <w:r>
                    <w:t>– Chi phí hoạt động</w:t>
                  </w:r>
                </w:p>
              </w:tc>
              <w:tc>
                <w:tcPr>
                  <w:tcW w:type="auto" w:w="0"/>
                  <w:shd w:val="clear" w:color="auto" w:fill="F0F0F0"/>
                </w:tcPr>
                <w:p>
                  <w:pPr>
                    <w:pStyle w:val="Normal"/>
                    <w:keepLines w:val="on"/>
                  </w:pPr>
                  <w:r>
                    <w:t>3.500 đô la</w:t>
                  </w:r>
                </w:p>
              </w:tc>
            </w:tr>
            <w:tr>
              <w:tc>
                <w:tcPr>
                  <w:tcW w:type="auto" w:w="0"/>
                  <w:shd w:val="clear" w:color="auto" w:fill="F0F0F0"/>
                </w:tcPr>
                <w:p>
                  <w:pPr>
                    <w:pStyle w:val="Para 02"/>
                    <w:keepLines w:val="on"/>
                  </w:pPr>
                  <w:r>
                    <w:t>EBIT (Lợi nhuận trước lãi vay và thuế)</w:t>
                  </w:r>
                </w:p>
              </w:tc>
              <w:tc>
                <w:tcPr>
                  <w:tcW w:type="auto" w:w="0"/>
                  <w:shd w:val="clear" w:color="auto" w:fill="F0F0F0"/>
                </w:tcPr>
                <w:p>
                  <w:pPr>
                    <w:pStyle w:val="Normal"/>
                    <w:keepLines w:val="on"/>
                  </w:pPr>
                  <w:r>
                    <w:t>1.500 đô la</w:t>
                  </w:r>
                </w:p>
              </w:tc>
            </w:tr>
            <w:tr>
              <w:tc>
                <w:tcPr>
                  <w:tcW w:type="auto" w:w="0"/>
                  <w:shd w:val="clear" w:color="auto" w:fill="F0F0F0"/>
                </w:tcPr>
                <w:p>
                  <w:pPr>
                    <w:pStyle w:val="Para 02"/>
                    <w:keepLines w:val="on"/>
                  </w:pPr>
                  <w:r>
                    <w:t>– Chi phí lãi vay</w:t>
                  </w:r>
                </w:p>
              </w:tc>
              <w:tc>
                <w:tcPr>
                  <w:tcW w:type="auto" w:w="0"/>
                  <w:shd w:val="clear" w:color="auto" w:fill="F0F0F0"/>
                </w:tcPr>
                <w:p>
                  <w:pPr>
                    <w:pStyle w:val="Normal"/>
                    <w:keepLines w:val="on"/>
                  </w:pPr>
                  <w:r>
                    <w:t>300 đô la</w:t>
                  </w:r>
                </w:p>
              </w:tc>
            </w:tr>
            <w:tr>
              <w:tc>
                <w:tcPr>
                  <w:tcW w:type="auto" w:w="0"/>
                  <w:shd w:val="clear" w:color="auto" w:fill="F0F0F0"/>
                </w:tcPr>
                <w:p>
                  <w:pPr>
                    <w:pStyle w:val="Para 02"/>
                    <w:keepLines w:val="on"/>
                  </w:pPr>
                  <w:r>
                    <w:t>– Thuế</w:t>
                  </w:r>
                </w:p>
              </w:tc>
              <w:tc>
                <w:tcPr>
                  <w:tcW w:type="auto" w:w="0"/>
                  <w:shd w:val="clear" w:color="auto" w:fill="F0F0F0"/>
                </w:tcPr>
                <w:p>
                  <w:pPr>
                    <w:pStyle w:val="Normal"/>
                    <w:keepLines w:val="on"/>
                  </w:pPr>
                  <w:r>
                    <w:t>480 đô la</w:t>
                  </w:r>
                </w:p>
              </w:tc>
            </w:tr>
            <w:tr>
              <w:tc>
                <w:tcPr>
                  <w:tcW w:type="auto" w:w="0"/>
                  <w:shd w:val="clear" w:color="auto" w:fill="F0F0F0"/>
                </w:tcPr>
                <w:p>
                  <w:pPr>
                    <w:pStyle w:val="Para 02"/>
                    <w:keepLines w:val="on"/>
                  </w:pPr>
                  <w:r>
                    <w:t>Thu nhập ròng</w:t>
                  </w:r>
                </w:p>
              </w:tc>
              <w:tc>
                <w:tcPr>
                  <w:tcW w:type="auto" w:w="0"/>
                  <w:shd w:val="clear" w:color="auto" w:fill="F0F0F0"/>
                </w:tcPr>
                <w:p>
                  <w:pPr>
                    <w:pStyle w:val="Normal"/>
                    <w:keepLines w:val="on"/>
                  </w:pPr>
                  <w:r>
                    <w:t>720 đô la</w:t>
                  </w:r>
                </w:p>
              </w:tc>
            </w:tr>
          </w:tbl>
          <w:p/>
        </w:tc>
      </w:tr>
    </w:tbl>
    <w:p>
      <w:pPr>
        <w:pStyle w:val="Para 03"/>
      </w:pPr>
      <w:r>
        <w:t>Năm ngoái, chủ quán không tự trả lương cho mình, nhưng bạn tin rằng bạn sẽ phải trả 200.000 đô la một năm cho một đầu bếp mới. Nhà hàng đang trong giai đoạn tăng trưởng ổn định và dự kiến sẽ tăng trưởng 5% mỗi năm trong thập kỷ tới. Bạn ước tính beta không vay nợ (unlevered beta) của các nhà hàng niêm yết công khai là 0,80. Tỷ lệ nợ trên vốn trung bình của các công ty này là 30%, và bạn tin rằng Cool Café sẽ phải hoạt động gần với mức trung bình này. Lãi suất phi rủi ro là 6%, phần bù rủi ro thị trường là 4% và chi phí nợ là 7%.</w:t>
      </w:r>
    </w:p>
    <w:p>
      <w:pPr>
        <w:numPr>
          <w:ilvl w:val="1"/>
          <w:numId w:val="329"/>
        </w:numPr>
        <w:pStyle w:val="Para 01"/>
      </w:pPr>
      <w:r>
        <w:t>Hãy ước tính giá trị của Cool Café.</w:t>
      </w:r>
    </w:p>
    <w:p>
      <w:pPr>
        <w:numPr>
          <w:ilvl w:val="1"/>
          <w:numId w:val="329"/>
        </w:numPr>
        <w:pStyle w:val="Para 01"/>
      </w:pPr>
      <w:r>
        <w:t>Bây giờ giả sử rằng bạn sẽ thấy doanh thu giảm 15% nếu Joanne Arapacio rời khỏi nhà hàng. Giả định rằng 70% chi phí hoạt động hiện tại là biến đổi và 30% còn lại là cố định, hãy ước tính giá trị của bà Arapacio đối với nhà hàng.</w:t>
      </w:r>
    </w:p>
    <w:p>
      <w:pPr>
        <w:numPr>
          <w:ilvl w:val="0"/>
          <w:numId w:val="329"/>
        </w:numPr>
        <w:pStyle w:val="Para 01"/>
      </w:pPr>
      <w:r>
        <w:t>Quá mệt mỏi với công việc ngân hàng đầu tư, bạn quyết định nghỉ việc và mua nhượng quyền (franchise) cho một chuỗi bánh bagel đang phát triển nhanh trong thị trấn của bạn. Bạn đã có được thông tin về doanh thu mà một nhượng quyền khác của cùng chuỗi này đang tạo ra ở thị trấn lân cận:</w:t>
      </w:r>
    </w:p>
    <w:p>
      <w:pPr>
        <w:numPr>
          <w:ilvl w:val="1"/>
          <w:numId w:val="329"/>
        </w:numPr>
        <w:pStyle w:val="Para 01"/>
      </w:pPr>
      <w:r>
        <w:t>Năm ngoái, nhượng quyền này có doanh thu 1 triệu đô la và lợi nhuận trước lãi vay và thuế là 150.000 đô la, nhưng người chủ không tự tính lương cho mình. Ông ấy làm kế toán và giám sát cửa hàng bánh bagel, và bạn tin rằng việc thuê người khác làm những việc ông ấy làm sẽ tốn 50.000 đô la mỗi năm.</w:t>
      </w:r>
    </w:p>
    <w:p>
      <w:pPr>
        <w:numPr>
          <w:ilvl w:val="1"/>
          <w:numId w:val="329"/>
        </w:numPr>
        <w:pStyle w:val="Para 01"/>
      </w:pPr>
      <w:r>
        <w:t>Doanh thu và thu nhập hoạt động dự kiến sẽ tăng 3% mỗi năm vĩnh viễn.</w:t>
      </w:r>
    </w:p>
    <w:p>
      <w:pPr>
        <w:numPr>
          <w:ilvl w:val="1"/>
          <w:numId w:val="329"/>
        </w:numPr>
        <w:pStyle w:val="Para 01"/>
      </w:pPr>
      <w:r>
        <w:t>Bạn dự kiến sẽ trả 35% thu nhập của mình cho thuế và dùng toàn bộ tiền tiết kiệm đầu tư để mua cửa hàng. Beta không vay nợ của các chuỗi thức ăn nhượng quyền là 0,80, và mức tương quan trung bình với thị trường là 0,40.</w:t>
      </w:r>
    </w:p>
    <w:p>
      <w:pPr>
        <w:numPr>
          <w:ilvl w:val="1"/>
          <w:numId w:val="329"/>
        </w:numPr>
        <w:pStyle w:val="Para 01"/>
      </w:pPr>
      <w:r>
        <w:t>Người chủ đang có một khoản vay ngân hàng chưa trả là 300.000 đô la và giá trị sổ sách của vốn chủ sở hữu trong doanh nghiệp là 200.000 đô la. Tuy nhiên, tỷ lệ nợ trên vốn theo giá trị thị trường trung bình của các nhà hàng niêm yết công khai là 20% và chi phí nợ trước thuế trung bình của các nhà hàng là 8%.</w:t>
      </w:r>
    </w:p>
    <w:p>
      <w:pPr>
        <w:numPr>
          <w:ilvl w:val="1"/>
          <w:numId w:val="329"/>
        </w:numPr>
        <w:pStyle w:val="Para 01"/>
      </w:pPr>
      <w:r>
        <w:t>Lãi suất phi rủi ro là 5% và phần bù rủi ro thị trường là 4%.</w:t>
      </w:r>
    </w:p>
    <w:p>
      <w:pPr>
        <w:pStyle w:val="Para 03"/>
      </w:pPr>
      <w:r>
        <w:t>Hãy ước tính giá trị của cửa hàng bánh bagel đối với bạn.</w:t>
      </w:r>
    </w:p>
    <w:p>
      <w:pPr>
        <w:numPr>
          <w:ilvl w:val="0"/>
          <w:numId w:val="329"/>
        </w:numPr>
        <w:pStyle w:val="Para 01"/>
      </w:pPr>
      <w:r>
        <w:t>Bạn làm việc cho một công ty xuất bản và đang cân nhắc đấu giá bản quyền của Cook Light, Cook Right, một cuốn sách dạy nấu ăn với các công thức ít chất béo. Mặc dù năm ngoái cuốn sách không còn được in, bạn tin rằng bạn có thể tạo ra 120.000 đô la dòng tiền sau thuế vào năm tới, 100.000 đô la vào năm sau đó, và 80.000 đô la trong ba năm tiếp theo. Nếu chi phí vốn của bạn là 12%, hãy ước tính giá trị của bản quyền.</w:t>
      </w:r>
    </w:p>
    <w:p>
      <w:pPr>
        <w:numPr>
          <w:ilvl w:val="0"/>
          <w:numId w:val="329"/>
        </w:numPr>
        <w:pStyle w:val="Para 01"/>
      </w:pPr>
      <w:r>
        <w:t>Bạn được yêu cầu định giá phòng khám của bác sĩ Vong, một bác sĩ nhi khoa trong thị trấn của bạn, và được cung cấp những dữ kiện sau:</w:t>
      </w:r>
    </w:p>
    <w:p>
      <w:pPr>
        <w:numPr>
          <w:ilvl w:val="1"/>
          <w:numId w:val="329"/>
        </w:numPr>
        <w:pStyle w:val="Para 01"/>
      </w:pPr>
      <w:r>
        <w:t>Năm ngoái, phòng khám tạo ra 800.000 đô la doanh thu, và doanh thu này dự kiến sẽ tăng 4% mỗi năm trong 10 năm tới.</w:t>
      </w:r>
    </w:p>
    <w:p>
      <w:pPr>
        <w:numPr>
          <w:ilvl w:val="1"/>
          <w:numId w:val="329"/>
        </w:numPr>
        <w:pStyle w:val="Para 01"/>
      </w:pPr>
      <w:r>
        <w:t>Chi phí nhân viên (bao gồm y tá và nhân viên thư ký) năm ngoái là 200.000 đô la và dự kiến sẽ tăng 4% mỗi năm trong 10 năm tới.</w:t>
      </w:r>
    </w:p>
    <w:p>
      <w:pPr>
        <w:numPr>
          <w:ilvl w:val="1"/>
          <w:numId w:val="329"/>
        </w:numPr>
        <w:pStyle w:val="Para 01"/>
      </w:pPr>
      <w:r>
        <w:t>Tiền thuê cơ sở vật chất hàng năm năm ngoái là 100.000 đô la và dự kiến sẽ tăng 4% mỗi năm trong 10 năm tới.</w:t>
      </w:r>
    </w:p>
    <w:p>
      <w:pPr>
        <w:numPr>
          <w:ilvl w:val="1"/>
          <w:numId w:val="329"/>
        </w:numPr>
        <w:pStyle w:val="Para 01"/>
      </w:pPr>
      <w:r>
        <w:t>Chi phí thuê thiết bị y tế năm ngoái là 75.000 đô la, và chi phí này dự kiến sẽ tăng 5% trong 10 năm tới.</w:t>
      </w:r>
    </w:p>
    <w:p>
      <w:pPr>
        <w:numPr>
          <w:ilvl w:val="1"/>
          <w:numId w:val="329"/>
        </w:numPr>
        <w:pStyle w:val="Para 01"/>
      </w:pPr>
      <w:r>
        <w:t>Chi phí bảo hiểm y tế năm ngoái là 75.000 đô la và dự kiến sẽ tăng 7% mỗi năm trong 10 năm tới.</w:t>
      </w:r>
    </w:p>
    <w:p>
      <w:pPr>
        <w:numPr>
          <w:ilvl w:val="1"/>
          <w:numId w:val="329"/>
        </w:numPr>
        <w:pStyle w:val="Para 01"/>
      </w:pPr>
      <w:r>
        <w:t>Thuế suất trên thu nhập, bao gồm cả thuế tiểu bang và địa phương, là 40%.</w:t>
      </w:r>
    </w:p>
    <w:p>
      <w:pPr>
        <w:numPr>
          <w:ilvl w:val="1"/>
          <w:numId w:val="329"/>
        </w:numPr>
        <w:pStyle w:val="Para 01"/>
      </w:pPr>
      <w:r>
        <w:t>Chi phí vốn là 11%.</w:t>
      </w:r>
    </w:p>
    <w:p>
      <w:pPr>
        <w:pStyle w:val="Para 03"/>
      </w:pPr>
      <w:r>
        <w:t>Giả sử rằng doanh thu sẽ không sụt giảm nếu một bác sĩ nhi khoa mới tiếp quản phòng khám, hãy ước tính giá trị của phòng khám.</w:t>
      </w:r>
    </w:p>
    <w:p>
      <w:pPr>
        <w:numPr>
          <w:ilvl w:val="0"/>
          <w:numId w:val="329"/>
        </w:numPr>
        <w:pStyle w:val="Para 01"/>
      </w:pPr>
      <w:r>
        <w:t>Bạn đang cố gắng quyết định xem nên đặt giá bao nhiêu cho một thẻ bóng chày tân binh của Ken Griffey Jr. trong tình trạng tốt trên eBay. Bạn nhận thấy rằng đã có tám giao dịch liên quan đến thẻ của Ken Griffey Jr. trong tháng trước trên eBay:</w:t>
      </w:r>
    </w:p>
    <w:tbl>
      <w:tblPr>
        <w:tblW w:type="auto" w:w="0"/>
      </w:tblPr>
      <w:tr>
        <w:tc>
          <w:tcPr>
            <w:tcW w:type="auto" w:w="0"/>
          </w:tcPr>
          <w:tbl>
            <w:tblPr>
              <w:tblW w:type="auto" w:w="0"/>
            </w:tblPr>
            <w:tr>
              <w:tc>
                <w:tcPr>
                  <w:tcW w:type="auto" w:w="0"/>
                  <w:shd w:val="clear" w:color="auto" w:fill="F0F0F0"/>
                </w:tcPr>
                <w:p>
                  <w:pPr>
                    <w:pStyle w:val="Para 46"/>
                    <w:keepLines w:val="on"/>
                  </w:pPr>
                  <w:r>
                    <w:t>Giao dịch #</w:t>
                  </w:r>
                </w:p>
              </w:tc>
              <w:tc>
                <w:tcPr>
                  <w:tcW w:type="auto" w:w="0"/>
                  <w:shd w:val="clear" w:color="auto" w:fill="F0F0F0"/>
                </w:tcPr>
                <w:p>
                  <w:pPr>
                    <w:pStyle w:val="Para 41"/>
                    <w:keepLines w:val="on"/>
                  </w:pPr>
                  <w:r>
                    <w:t>Tình trạng của thẻ</w:t>
                  </w:r>
                </w:p>
              </w:tc>
              <w:tc>
                <w:tcPr>
                  <w:tcW w:type="auto" w:w="0"/>
                  <w:shd w:val="clear" w:color="auto" w:fill="F0F0F0"/>
                </w:tcPr>
                <w:p>
                  <w:pPr>
                    <w:pStyle w:val="Para 46"/>
                    <w:keepLines w:val="on"/>
                  </w:pPr>
                  <w:r>
                    <w:t>Giá đã trả cho thẻ</w:t>
                  </w:r>
                </w:p>
              </w:tc>
            </w:tr>
            <w:tr>
              <w:tc>
                <w:tcPr>
                  <w:tcW w:type="auto" w:w="0"/>
                  <w:shd w:val="clear" w:color="auto" w:fill="F0F0F0"/>
                </w:tcPr>
                <w:p>
                  <w:pPr>
                    <w:pStyle w:val="Normal"/>
                    <w:keepLines w:val="on"/>
                  </w:pPr>
                  <w:r>
                    <w:t>1</w:t>
                  </w:r>
                </w:p>
              </w:tc>
              <w:tc>
                <w:tcPr>
                  <w:tcW w:type="auto" w:w="0"/>
                  <w:shd w:val="clear" w:color="auto" w:fill="F0F0F0"/>
                  <w:tcMar>
                    <w:left w:type="dxa" w:w="480"/>
                  </w:tcMar>
                </w:tcPr>
                <w:p>
                  <w:pPr>
                    <w:pStyle w:val="Para 02"/>
                    <w:keepLines w:val="on"/>
                  </w:pPr>
                  <w:r>
                    <w:t>Xuất sắc</w:t>
                  </w:r>
                </w:p>
              </w:tc>
              <w:tc>
                <w:tcPr>
                  <w:tcW w:type="auto" w:w="0"/>
                  <w:shd w:val="clear" w:color="auto" w:fill="F0F0F0"/>
                </w:tcPr>
                <w:p>
                  <w:pPr>
                    <w:pStyle w:val="Normal"/>
                    <w:keepLines w:val="on"/>
                  </w:pPr>
                  <w:r>
                    <w:t>800 đô la</w:t>
                  </w:r>
                </w:p>
              </w:tc>
            </w:tr>
            <w:tr>
              <w:tc>
                <w:tcPr>
                  <w:tcW w:type="auto" w:w="0"/>
                  <w:shd w:val="clear" w:color="auto" w:fill="F0F0F0"/>
                </w:tcPr>
                <w:p>
                  <w:pPr>
                    <w:pStyle w:val="Normal"/>
                    <w:keepLines w:val="on"/>
                  </w:pPr>
                  <w:r>
                    <w:t>2</w:t>
                  </w:r>
                </w:p>
              </w:tc>
              <w:tc>
                <w:tcPr>
                  <w:tcW w:type="auto" w:w="0"/>
                  <w:shd w:val="clear" w:color="auto" w:fill="F0F0F0"/>
                  <w:tcMar>
                    <w:left w:type="dxa" w:w="480"/>
                  </w:tcMar>
                </w:tcPr>
                <w:p>
                  <w:pPr>
                    <w:pStyle w:val="Para 02"/>
                    <w:keepLines w:val="on"/>
                  </w:pPr>
                  <w:r>
                    <w:t>Kém</w:t>
                  </w:r>
                </w:p>
              </w:tc>
              <w:tc>
                <w:tcPr>
                  <w:tcW w:type="auto" w:w="0"/>
                  <w:shd w:val="clear" w:color="auto" w:fill="F0F0F0"/>
                </w:tcPr>
                <w:p>
                  <w:pPr>
                    <w:pStyle w:val="Normal"/>
                    <w:keepLines w:val="on"/>
                  </w:pPr>
                  <w:r>
                    <w:t>200 đô la</w:t>
                  </w:r>
                </w:p>
              </w:tc>
            </w:tr>
            <w:tr>
              <w:tc>
                <w:tcPr>
                  <w:tcW w:type="auto" w:w="0"/>
                  <w:shd w:val="clear" w:color="auto" w:fill="F0F0F0"/>
                </w:tcPr>
                <w:p>
                  <w:pPr>
                    <w:pStyle w:val="Normal"/>
                    <w:keepLines w:val="on"/>
                  </w:pPr>
                  <w:r>
                    <w:t>3</w:t>
                  </w:r>
                </w:p>
              </w:tc>
              <w:tc>
                <w:tcPr>
                  <w:tcW w:type="auto" w:w="0"/>
                  <w:shd w:val="clear" w:color="auto" w:fill="F0F0F0"/>
                  <w:tcMar>
                    <w:left w:type="dxa" w:w="480"/>
                  </w:tcMar>
                </w:tcPr>
                <w:p>
                  <w:pPr>
                    <w:pStyle w:val="Para 02"/>
                    <w:keepLines w:val="on"/>
                  </w:pPr>
                  <w:r>
                    <w:t>Tốt</w:t>
                  </w:r>
                </w:p>
              </w:tc>
              <w:tc>
                <w:tcPr>
                  <w:tcW w:type="auto" w:w="0"/>
                  <w:shd w:val="clear" w:color="auto" w:fill="F0F0F0"/>
                </w:tcPr>
                <w:p>
                  <w:pPr>
                    <w:pStyle w:val="Normal"/>
                    <w:keepLines w:val="on"/>
                  </w:pPr>
                  <w:r>
                    <w:t>550 đô la</w:t>
                  </w:r>
                </w:p>
              </w:tc>
            </w:tr>
            <w:tr>
              <w:tc>
                <w:tcPr>
                  <w:tcW w:type="auto" w:w="0"/>
                  <w:shd w:val="clear" w:color="auto" w:fill="F0F0F0"/>
                </w:tcPr>
                <w:p>
                  <w:pPr>
                    <w:pStyle w:val="Normal"/>
                    <w:keepLines w:val="on"/>
                  </w:pPr>
                  <w:r>
                    <w:t>4</w:t>
                  </w:r>
                </w:p>
              </w:tc>
              <w:tc>
                <w:tcPr>
                  <w:tcW w:type="auto" w:w="0"/>
                  <w:shd w:val="clear" w:color="auto" w:fill="F0F0F0"/>
                  <w:tcMar>
                    <w:left w:type="dxa" w:w="480"/>
                  </w:tcMar>
                </w:tcPr>
                <w:p>
                  <w:pPr>
                    <w:pStyle w:val="Para 02"/>
                    <w:keepLines w:val="on"/>
                  </w:pPr>
                  <w:r>
                    <w:t>Tốt</w:t>
                  </w:r>
                </w:p>
              </w:tc>
              <w:tc>
                <w:tcPr>
                  <w:tcW w:type="auto" w:w="0"/>
                  <w:shd w:val="clear" w:color="auto" w:fill="F0F0F0"/>
                </w:tcPr>
                <w:p>
                  <w:pPr>
                    <w:pStyle w:val="Normal"/>
                    <w:keepLines w:val="on"/>
                  </w:pPr>
                  <w:r>
                    <w:t>500 đô la</w:t>
                  </w:r>
                </w:p>
              </w:tc>
            </w:tr>
            <w:tr>
              <w:tc>
                <w:tcPr>
                  <w:tcW w:type="auto" w:w="0"/>
                  <w:shd w:val="clear" w:color="auto" w:fill="F0F0F0"/>
                </w:tcPr>
                <w:p>
                  <w:pPr>
                    <w:pStyle w:val="Normal"/>
                    <w:keepLines w:val="on"/>
                  </w:pPr>
                  <w:r>
                    <w:t>5</w:t>
                  </w:r>
                </w:p>
              </w:tc>
              <w:tc>
                <w:tcPr>
                  <w:tcW w:type="auto" w:w="0"/>
                  <w:shd w:val="clear" w:color="auto" w:fill="F0F0F0"/>
                  <w:tcMar>
                    <w:left w:type="dxa" w:w="480"/>
                  </w:tcMar>
                </w:tcPr>
                <w:p>
                  <w:pPr>
                    <w:pStyle w:val="Para 02"/>
                    <w:keepLines w:val="on"/>
                  </w:pPr>
                  <w:r>
                    <w:t>Xuất sắc</w:t>
                  </w:r>
                </w:p>
              </w:tc>
              <w:tc>
                <w:tcPr>
                  <w:tcW w:type="auto" w:w="0"/>
                  <w:shd w:val="clear" w:color="auto" w:fill="F0F0F0"/>
                </w:tcPr>
                <w:p>
                  <w:pPr>
                    <w:pStyle w:val="Normal"/>
                    <w:keepLines w:val="on"/>
                  </w:pPr>
                  <w:r>
                    <w:t>850 đô la</w:t>
                  </w:r>
                </w:p>
              </w:tc>
            </w:tr>
            <w:tr>
              <w:tc>
                <w:tcPr>
                  <w:tcW w:type="auto" w:w="0"/>
                  <w:shd w:val="clear" w:color="auto" w:fill="F0F0F0"/>
                </w:tcPr>
                <w:p>
                  <w:pPr>
                    <w:pStyle w:val="Normal"/>
                    <w:keepLines w:val="on"/>
                  </w:pPr>
                  <w:r>
                    <w:t>6</w:t>
                  </w:r>
                </w:p>
              </w:tc>
              <w:tc>
                <w:tcPr>
                  <w:tcW w:type="auto" w:w="0"/>
                  <w:shd w:val="clear" w:color="auto" w:fill="F0F0F0"/>
                  <w:tcMar>
                    <w:left w:type="dxa" w:w="480"/>
                  </w:tcMar>
                </w:tcPr>
                <w:p>
                  <w:pPr>
                    <w:pStyle w:val="Para 02"/>
                    <w:keepLines w:val="on"/>
                  </w:pPr>
                  <w:r>
                    <w:t>Tốt</w:t>
                  </w:r>
                </w:p>
              </w:tc>
              <w:tc>
                <w:tcPr>
                  <w:tcW w:type="auto" w:w="0"/>
                  <w:shd w:val="clear" w:color="auto" w:fill="F0F0F0"/>
                </w:tcPr>
                <w:p>
                  <w:pPr>
                    <w:pStyle w:val="Normal"/>
                    <w:keepLines w:val="on"/>
                  </w:pPr>
                  <w:r>
                    <w:t>400 đô la</w:t>
                  </w:r>
                </w:p>
              </w:tc>
            </w:tr>
            <w:tr>
              <w:tc>
                <w:tcPr>
                  <w:tcW w:type="auto" w:w="0"/>
                  <w:shd w:val="clear" w:color="auto" w:fill="F0F0F0"/>
                </w:tcPr>
                <w:p>
                  <w:pPr>
                    <w:pStyle w:val="Normal"/>
                    <w:keepLines w:val="on"/>
                  </w:pPr>
                  <w:r>
                    <w:t>7</w:t>
                  </w:r>
                </w:p>
              </w:tc>
              <w:tc>
                <w:tcPr>
                  <w:tcW w:type="auto" w:w="0"/>
                  <w:shd w:val="clear" w:color="auto" w:fill="F0F0F0"/>
                  <w:tcMar>
                    <w:left w:type="dxa" w:w="480"/>
                  </w:tcMar>
                </w:tcPr>
                <w:p>
                  <w:pPr>
                    <w:pStyle w:val="Para 02"/>
                    <w:keepLines w:val="on"/>
                  </w:pPr>
                  <w:r>
                    <w:t>Kém</w:t>
                  </w:r>
                </w:p>
              </w:tc>
              <w:tc>
                <w:tcPr>
                  <w:tcW w:type="auto" w:w="0"/>
                  <w:shd w:val="clear" w:color="auto" w:fill="F0F0F0"/>
                </w:tcPr>
                <w:p>
                  <w:pPr>
                    <w:pStyle w:val="Normal"/>
                    <w:keepLines w:val="on"/>
                  </w:pPr>
                  <w:r>
                    <w:t>350 đô la</w:t>
                  </w:r>
                </w:p>
              </w:tc>
            </w:tr>
            <w:tr>
              <w:tc>
                <w:tcPr>
                  <w:tcW w:type="auto" w:w="0"/>
                  <w:shd w:val="clear" w:color="auto" w:fill="F0F0F0"/>
                </w:tcPr>
                <w:p>
                  <w:pPr>
                    <w:pStyle w:val="Normal"/>
                    <w:keepLines w:val="on"/>
                  </w:pPr>
                  <w:r>
                    <w:t>8</w:t>
                  </w:r>
                </w:p>
              </w:tc>
              <w:tc>
                <w:tcPr>
                  <w:tcW w:type="auto" w:w="0"/>
                  <w:shd w:val="clear" w:color="auto" w:fill="F0F0F0"/>
                  <w:tcMar>
                    <w:left w:type="dxa" w:w="480"/>
                  </w:tcMar>
                </w:tcPr>
                <w:p>
                  <w:pPr>
                    <w:pStyle w:val="Para 02"/>
                    <w:keepLines w:val="on"/>
                  </w:pPr>
                  <w:r>
                    <w:t>Xuất sắc</w:t>
                  </w:r>
                </w:p>
              </w:tc>
              <w:tc>
                <w:tcPr>
                  <w:tcW w:type="auto" w:w="0"/>
                  <w:shd w:val="clear" w:color="auto" w:fill="F0F0F0"/>
                </w:tcPr>
                <w:p>
                  <w:pPr>
                    <w:pStyle w:val="Normal"/>
                    <w:keepLines w:val="on"/>
                  </w:pPr>
                  <w:r>
                    <w:t>650 đô la</w:t>
                  </w:r>
                </w:p>
              </w:tc>
            </w:tr>
          </w:tbl>
          <w:p/>
        </w:tc>
      </w:tr>
    </w:tbl>
    <w:p>
      <w:pPr>
        <w:numPr>
          <w:ilvl w:val="1"/>
          <w:numId w:val="329"/>
        </w:numPr>
        <w:pStyle w:val="Para 01"/>
      </w:pPr>
      <w:r>
        <w:t>Hãy ước tính xem bạn sẵn sàng trả bao nhiêu tiền cho tấm thẻ này.</w:t>
      </w:r>
    </w:p>
    <w:p>
      <w:pPr>
        <w:numPr>
          <w:ilvl w:val="1"/>
          <w:numId w:val="329"/>
        </w:numPr>
        <w:pStyle w:val="Para 01"/>
      </w:pPr>
      <w:r>
        <w:t>Giờ giả sử rằng người bán tấm thẻ đã bị những người mua khác đánh giá kém vì anh ta đã mô tả sai về những món đồ khác mà anh ta bán cho họ. Thông tin này sẽ ảnh hưởng thế nào đến số tiền bạn sẵn sàng trả để đấu giá tấm thẻ?</w:t>
      </w:r>
    </w:p>
    <w:p>
      <w:pPr>
        <w:numPr>
          <w:ilvl w:val="0"/>
          <w:numId w:val="329"/>
        </w:numPr>
        <w:pStyle w:val="Para 01"/>
      </w:pPr>
      <w:r>
        <w:t>Giả sử bạn là một nhà đầu tư giàu có với toàn bộ danh mục đầu tư của mình đổ vào cổ phiếu. Cố vấn tài chính của bạn gợi ý rằng bạn nên mua một ít tác phẩm nghệ thuật để cân bằng danh mục đầu tư, và đưa ra gợi ý này dựa trên mối tương quan thấp giữa lợi nhuận của cổ phiếu và lợi nhuận của tác phẩm nghệ thuật (0,10).</w:t>
      </w:r>
    </w:p>
    <w:p>
      <w:pPr>
        <w:numPr>
          <w:ilvl w:val="1"/>
          <w:numId w:val="329"/>
        </w:numPr>
        <w:pStyle w:val="Para 01"/>
      </w:pPr>
      <w:r>
        <w:t>Nếu độ lệch chuẩn của lợi nhuận cổ phiếu là 20% và độ lệch chuẩn của lợi nhuận tác phẩm nghệ thuật là 15%, hãy ước tính độ lệch chuẩn của danh mục đầu tư của bạn sẽ là bao nhiêu nếu bạn đầu tư 10% danh mục vào tác phẩm nghệ thuật.</w:t>
      </w:r>
    </w:p>
    <w:p>
      <w:pPr>
        <w:numPr>
          <w:ilvl w:val="1"/>
          <w:numId w:val="329"/>
        </w:numPr>
        <w:pStyle w:val="Para 01"/>
      </w:pPr>
      <w:r>
        <w:t>Nếu lợi nhuận kỳ vọng của cổ phiếu là 12,5% và lợi nhuận kỳ vọng của tác phẩm nghệ thuật chỉ là 5%, liệu bạn có thêm tác phẩm nghệ thuật vào danh mục đầu tư của mình không? Giải thích tại sao có hoặc tại sao không. (Lãi suất phi rủi ro là 6%.)</w:t>
      </w:r>
    </w:p>
    <w:p>
      <w:bookmarkStart w:id="5821" w:name="Notes__1_A_New_York_city_cab_typ"/>
      <w:bookmarkStart w:id="5822" w:name="Notes_26"/>
      <w:pPr>
        <w:keepNext/>
        <w:pStyle w:val="Heading 2"/>
        <w:keepLines w:val="on"/>
      </w:pPr>
      <w:r>
        <w:t>Ghi chú</w:t>
      </w:r>
      <w:bookmarkEnd w:id="5821"/>
      <w:bookmarkEnd w:id="5822"/>
    </w:p>
    <w:p>
      <w:pPr>
        <w:pStyle w:val="Para 08"/>
      </w:pPr>
      <w:r>
        <w:t>1 Một chiếc taxi ở thành phố New York thường được lái 70.000 dặm một năm hoặc hơn, khiến xe bị hao mòn và rút ngắn tuổi thọ của xe.</w:t>
      </w:r>
    </w:p>
    <w:p>
      <w:pPr>
        <w:pStyle w:val="Para 08"/>
      </w:pPr>
      <w:r>
        <w:t>2 Chúng ta đang giả định rằng các dòng tiền kỳ vọng được tính ở phần trước là cho năm tới, và do đó không cần thiết phải tăng trưởng chúng trong phép tính giá trị hiện tại.</w:t>
      </w:r>
    </w:p>
    <w:p>
      <w:pPr>
        <w:pStyle w:val="Para 08"/>
      </w:pPr>
      <w:r>
        <w:t>3 Vào năm 2022, người ta ước tính rằng 6.400 trong số 13.587 huy hiệu đã không còn hoạt động. Điều đó có thể giải thích cho sự phục hồi một phần của cả số chuyến taxi và giá huy hiệu trong năm 2023.</w:t>
      </w:r>
    </w:p>
    <w:p>
      <w:pPr>
        <w:pStyle w:val="Para 08"/>
      </w:pPr>
      <w:r>
        <w:t>4 Chúng tôi cố ý đưa ra những giả định này một cách lạc quan nhất có thể. Chúng tôi hy vọng rằng bạn, với tư cách là độc giả, có thể làm cho các dòng tiền thực tế giống với những ước tính của chúng tôi.</w:t>
      </w:r>
    </w:p>
    <w:p>
      <w:pPr>
        <w:pStyle w:val="Para 08"/>
      </w:pPr>
      <w:r>
        <w:t>5 Đây là tấm thẻ đã được bán với giá 640.000 đô la vào năm 1996 cho Michael Gidwitz, một nhà đầu tư đến từ Chicago. Trước đó tấm thẻ này thuộc sở hữu của Wayne Gretzky, huyền thoại khúc côn cầu, người đã mua nó với giá 451.000 đô la vào năm 1991.</w:t>
      </w:r>
    </w:p>
    <w:p>
      <w:pPr>
        <w:pStyle w:val="Para 08"/>
      </w:pPr>
      <w:r>
        <w:t>6 Báo cáo về tình hình kinh tế của các hộ gia đình Hoa Kỳ năm 2022—tháng 5 năm 2023, Ngân hàng Dự trữ Liên bang Hoa Kỳ.</w:t>
      </w:r>
    </w:p>
    <w:p>
      <w:bookmarkStart w:id="5829" w:name="Chapter_28The_Option_to_Delay_an_1"/>
      <w:bookmarkStart w:id="5830" w:name="Top_of_c028_xhtml"/>
      <w:bookmarkStart w:id="5831" w:name="Chapter_28The_Option_to_Delay_an"/>
      <w:pPr>
        <w:keepNext/>
        <w:pStyle w:val="Heading 1"/>
        <w:pageBreakBefore w:val="on"/>
        <w:keepLines w:val="on"/>
      </w:pPr>
      <w:r>
        <w:t>CHƯƠNG 28</w:t>
      </w:r>
      <w:r>
        <w:br/>
      </w:r>
      <w:r>
        <w:t>Quyền chọn trì hoãn và hàm ý định giá</w:t>
      </w:r>
      <w:bookmarkEnd w:id="5829"/>
      <w:bookmarkEnd w:id="5830"/>
      <w:bookmarkEnd w:id="5831"/>
    </w:p>
    <w:p>
      <w:pPr>
        <w:pStyle w:val="Para 03"/>
      </w:pPr>
      <w:r>
        <w:t>Trong phân tích đầu tư truyền thống, một dự án hoặc khoản đầu tư mới chỉ nên được chấp nhận nếu lợi nhuận của dự án vượt qua tỷ lệ rào cản (hurdle rate); trong bối cảnh dòng tiền và tỷ lệ chiết khấu, điều này có nghĩa là chỉ đầu tư vào những dự án có giá trị hiện tại ròng (NPV) dương. Hạn chế của cách nhìn này về thế giới — vốn phân tích các dự án dựa trên dòng tiền kỳ vọng và tỷ lệ chiết khấu — là nó không xem xét đầy đủ những quyền chọn thường gắn liền với nhiều khoản đầu tư.</w:t>
      </w:r>
    </w:p>
    <w:p>
      <w:pPr>
        <w:pStyle w:val="Para 03"/>
      </w:pPr>
      <w:r>
        <w:t>Chương này xem xét một quyền chọn được ẩn chứa trong nhiều dự án, cụ thể là quyền chọn chờ đợi và thực hiện dự án vào một thời điểm sau đó. Tại sao một công ty lại muốn làm điều này? Nếu giá trị hiện tại của các dòng tiền từ dự án biến động mạnh và có thể thay đổi theo thời gian, thì một dự án hoặc công nghệ hiện không đạt yêu cầu có thể trở nên có giá trị trong tương lai. Hơn nữa, một công ty có thể thu được lợi ích bằng cách chờ đợi một dự án ngay cả khi dự án đó đã có giá trị hiện tại ròng dương, bởi vì dự án có thể có giá trị cao hơn nếu được thực hiện vào một thời điểm trong tương lai. Quyền chọn này có giá trị nhất trong những dự án mà công ty có độc quyền đầu tư, và trở nên ít giá trị hơn khi các rào cản gia nhập giảm xuống.</w:t>
      </w:r>
    </w:p>
    <w:p>
      <w:pPr>
        <w:pStyle w:val="Para 03"/>
      </w:pPr>
      <w:r>
        <w:t>Có ít nhất ba trường hợp mà quyền chọn trì hoãn có thể tạo ra sự khác biệt khi định giá một công ty. Trường hợp thứ nhất là đất chưa phát triển nằm trong tay một nhà đầu tư hoặc công ty bất động sản. Lựa chọn thời điểm phát triển nằm trong tay chủ sở hữu, và có lẽ việc phát triển sẽ diễn ra khi giá trị bất động sản tăng đủ để biện minh cho điều đó. Trường hợp thứ hai là một công ty sở hữu một hoặc nhiều bằng sáng chế. Vì bằng sáng chế mang lại cho công ty độc quyền sản xuất sản phẩm hoặc dịch vụ được cấp bằng sáng chế, nó có thể và nên được định giá như một quyền chọn. Trường hợp thứ ba là một công ty tài nguyên thiên nhiên có các trữ lượng chưa phát triển mà công ty có thể chọn phát triển vào thời điểm do mình lựa chọn — có lẽ là khi giá của tài nguyên đó cao.</w:t>
      </w:r>
    </w:p>
    <w:p>
      <w:bookmarkStart w:id="5833" w:name="Real_Options__Promise_and_Pitfal"/>
      <w:bookmarkStart w:id="5834" w:name="Real_Options__Promise_and_Pitfal_1"/>
      <w:pPr>
        <w:keepNext/>
        <w:pStyle w:val="Heading 2"/>
        <w:keepLines w:val="on"/>
      </w:pPr>
      <w:r>
        <w:t>Quyền chọn thực: Hứa hẹn và cạm bẫy</w:t>
      </w:r>
      <w:bookmarkEnd w:id="5833"/>
      <w:bookmarkEnd w:id="5834"/>
    </w:p>
    <w:p>
      <w:pPr>
        <w:pStyle w:val="Para 03"/>
      </w:pPr>
      <w:r>
        <w:t>Trong Chương 5, chúng ta đã giới thiệu những kiến thức cơ bản về định giá quyền chọn, dựa trên các biểu đồ lợi nhuận đặc trưng của chúng — với khoản lỗ có giới hạn và lợi nhuận tiềm năng không giới hạn — để nói về lý do tại sao rủi ro (sự bất định) lại trở thành đồng minh, làm tăng giá trị quyền chọn. Chúng ta cũng đã giới thiệu các mô hình định giá quyền chọn, bao gồm mô hình Black-Scholes và mô hình Nhị thức (Binomial), để định giá cả quyền chọn ngắn hạn lẫn dài hạn. Trong chương này và hai chương tiếp theo, chúng ta sẽ sử dụng những cơ chế quyền chọn này để định giá thứ mà chúng ta tạm gọi là quyền chọn thực (real options), nơi các dự án, tài sản và công ty có những đặc điểm giống quyền chọn cũng có giá trị quyền chọn.</w:t>
      </w:r>
    </w:p>
    <w:p>
      <w:pPr>
        <w:pStyle w:val="Para 20"/>
      </w:pPr>
      <w:r>
        <w:rPr>
          <w:rStyle w:val="Text26"/>
        </w:rPr>
        <w:bookmarkStart w:id="5835" w:name="Page_908"/>
        <w:t/>
        <w:bookmarkEnd w:id="5835"/>
      </w:r>
      <w:r>
        <w:t xml:space="preserve"> </w:t>
      </w:r>
    </w:p>
    <w:p>
      <w:bookmarkStart w:id="5836" w:name="The_Allure_of_Real_Options"/>
      <w:bookmarkStart w:id="5837" w:name="The_Allure_of_Real_Options__To_u"/>
      <w:pPr>
        <w:keepNext/>
        <w:pStyle w:val="Heading 3"/>
        <w:keepLines w:val="on"/>
      </w:pPr>
      <w:r>
        <w:t>Sức Hấp Dẫn Của Quyền Chọn Thực</w:t>
      </w:r>
      <w:bookmarkEnd w:id="5836"/>
      <w:bookmarkEnd w:id="5837"/>
    </w:p>
    <w:p>
      <w:pPr>
        <w:pStyle w:val="Para 03"/>
      </w:pPr>
      <w:r>
        <w:t>Để hiểu được sức hấp dẫn của quyền chọn thực (real options), chúng ta sẽ bắt đầu với một cây quyết định (decision tree) cực kỳ đơn giản, với giá trị chi trả tính bằng triệu đô-la, trong Hình 28.1.</w:t>
      </w:r>
    </w:p>
    <w:p>
      <w:bookmarkStart w:id="5839" w:name="Figure_28_1_A_Simple_Decision_Tr"/>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977900" cy="647700"/>
            <wp:effectExtent l="0" r="0" t="0" b="0"/>
            <wp:wrapTopAndBottom/>
            <wp:docPr id="252" name="c28f001.png" descr="Tree diagram depicts the probability of negative and positive outcome for the next payoff period."/>
            <wp:cNvGraphicFramePr>
              <a:graphicFrameLocks noChangeAspect="1"/>
            </wp:cNvGraphicFramePr>
            <a:graphic>
              <a:graphicData uri="http://schemas.openxmlformats.org/drawingml/2006/picture">
                <pic:pic>
                  <pic:nvPicPr>
                    <pic:cNvPr id="0" name="c28f001.png" descr="Tree diagram depicts the probability of negative and positive outcome for the next payoff period."/>
                    <pic:cNvPicPr/>
                  </pic:nvPicPr>
                  <pic:blipFill>
                    <a:blip r:embed="rId184"/>
                    <a:stretch>
                      <a:fillRect/>
                    </a:stretch>
                  </pic:blipFill>
                  <pic:spPr>
                    <a:xfrm>
                      <a:off x="0" y="0"/>
                      <a:ext cx="977900" cy="647700"/>
                    </a:xfrm>
                    <a:prstGeom prst="rect">
                      <a:avLst/>
                    </a:prstGeom>
                  </pic:spPr>
                </pic:pic>
              </a:graphicData>
            </a:graphic>
          </wp:anchor>
        </w:drawing>
      </w:r>
      <w:bookmarkEnd w:id="5839"/>
    </w:p>
    <w:p>
      <w:pPr>
        <w:keepNext/>
        <w:pStyle w:val="Para 22"/>
        <w:keepLines w:val="on"/>
      </w:pPr>
      <w:r>
        <w:t>Hình 28.1 Một Cây Quyết Định Đơn Giản</w:t>
      </w:r>
    </w:p>
    <w:p>
      <w:pPr>
        <w:pStyle w:val="Para 03"/>
      </w:pPr>
      <w:r>
        <w:t>Giá trị kỳ vọng của cây này là −10 triệu đô-la, và sẽ chẳng hợp lý chút nào nếu thực hiện khoản đầu tư này. Giờ hãy xét một biến thể của cây này, trong Hình 28.2, với tổng phần tăng giống hệt nhau (dòng tiền dương 100 triệu đô-la và dòng tiền âm 120 triệu đô-la), nhưng có thêm một nhánh ban đầu, với số tiền đặt cược nhỏ hơn.</w:t>
      </w:r>
    </w:p>
    <w:p>
      <w:bookmarkStart w:id="5841" w:name="Figure_28_2_A_Two_Step_Decisio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587500" cy="838200"/>
            <wp:effectExtent l="0" r="0" t="0" b="0"/>
            <wp:wrapTopAndBottom/>
            <wp:docPr id="253" name="c28f002.png" descr="Tree diagram depicts the probability of negative and positive outcome in two steps."/>
            <wp:cNvGraphicFramePr>
              <a:graphicFrameLocks noChangeAspect="1"/>
            </wp:cNvGraphicFramePr>
            <a:graphic>
              <a:graphicData uri="http://schemas.openxmlformats.org/drawingml/2006/picture">
                <pic:pic>
                  <pic:nvPicPr>
                    <pic:cNvPr id="0" name="c28f002.png" descr="Tree diagram depicts the probability of negative and positive outcome in two steps."/>
                    <pic:cNvPicPr/>
                  </pic:nvPicPr>
                  <pic:blipFill>
                    <a:blip r:embed="rId185"/>
                    <a:stretch>
                      <a:fillRect/>
                    </a:stretch>
                  </pic:blipFill>
                  <pic:spPr>
                    <a:xfrm>
                      <a:off x="0" y="0"/>
                      <a:ext cx="1587500" cy="838200"/>
                    </a:xfrm>
                    <a:prstGeom prst="rect">
                      <a:avLst/>
                    </a:prstGeom>
                  </pic:spPr>
                </pic:pic>
              </a:graphicData>
            </a:graphic>
          </wp:anchor>
        </w:drawing>
      </w:r>
      <w:bookmarkEnd w:id="5841"/>
    </w:p>
    <w:p>
      <w:pPr>
        <w:keepNext/>
        <w:pStyle w:val="Para 22"/>
        <w:keepLines w:val="on"/>
      </w:pPr>
      <w:r>
        <w:t>Hình 28.2 Một Cây Quyết Định Hai Bước</w:t>
      </w:r>
    </w:p>
    <w:p>
      <w:pPr>
        <w:pStyle w:val="Para 03"/>
      </w:pPr>
      <w:r>
        <w:t>Giá trị kỳ vọng của cây này là dương:</w:t>
      </w:r>
    </w:p>
    <w:p>
      <w:bookmarkStart w:id="5842" w:name="Expected_value_0_25x____20__0_75"/>
      <w:pPr>
        <w:keepNext/>
        <w:pStyle w:val="Para 09"/>
        <w:keepLines w:val="on"/>
      </w:pPr>
      <w:r>
        <w:t>Giá trị kỳ vọng = 0,25 × (−20) + 0,75 × 20 + 23 × (80) + 13 × (−100) = 25 triệu đô-la</w:t>
      </w:r>
      <w:bookmarkEnd w:id="5842"/>
    </w:p>
    <w:p>
      <w:pPr>
        <w:pStyle w:val="Para 03"/>
      </w:pPr>
      <w:r>
        <w:t>Nếu bạn đang thắc mắc tại sao giá trị kỳ vọng lại tăng từ −10 triệu đô-la lên 25 triệu đô-la, thì đó là nhờ có nhánh ban đầu của cây, nơi bạn quan sát kết quả và điều chỉnh hành vi của mình. Nói cách khác, một kết quả tiêu cực ở nhánh đầu tiên sẽ khiến bạn cắt lỗ ở mức 20 triệu đô-la và từ bỏ khoản đầu tư. Tóm lại, bạn học hỏi bằng cách quan sát các kết quả thị trường, rồi điều chỉnh hành vi của mình cho phù hợp.</w:t>
      </w:r>
    </w:p>
    <w:p>
      <w:pPr>
        <w:pStyle w:val="Para 03"/>
      </w:pPr>
      <w:r>
        <w:t>Quyền chọn thực rút ra giá trị của chúng từ chính những động lực đó. Chúng ta sẽ định giá các mỏ dầu chưa khai thác như những quyền chọn ở phần sau của chương này, và tính quyền chọn (optionality) đến từ việc chủ sở hữu các mỏ dầu quan sát giá dầu thực tế rồi điều chỉnh hoạt động khai thác/sản xuất dầu cho phù hợp — khai thác và sản xuất nhiều dầu hơn khi giá dầu cao và ít hơn khi giá dầu giảm. Về mặt định giá, một tài sản có quyền chọn thực gắn kèm sẽ có giá trị quyền chọn cộng thêm lên trên giá trị nội tại của nó.</w:t>
      </w:r>
    </w:p>
    <w:p>
      <w:bookmarkStart w:id="5844" w:name="Detecting_Optionality__How_do_yo"/>
      <w:bookmarkStart w:id="5845" w:name="Detecting_Optionality"/>
      <w:pPr>
        <w:keepNext/>
        <w:pStyle w:val="Heading 3"/>
        <w:keepLines w:val="on"/>
      </w:pPr>
      <w:r>
        <w:t>Nhận Diện Tính Quyền Chọn</w:t>
      </w:r>
      <w:bookmarkEnd w:id="5844"/>
      <w:bookmarkEnd w:id="5845"/>
    </w:p>
    <w:p>
      <w:pPr>
        <w:pStyle w:val="Para 03"/>
      </w:pPr>
      <w:r>
        <w:t>Làm sao bạn biết liệu có tính quyền chọn ẩn chứa trong một công ty hay một tài sản hay không? Câu trả lời nằm ở việc nhìn lại điều gì khiến một quyền chọn trở thành quyền chọn. Thứ nhất, nó rút ra giá trị từ một tài sản cơ sở (underlying asset), với giá trị của nó thay đổi khi giá trị tài sản thay đổi. Thứ hai, có một yếu tố tùy biến (contingency) quyết định liệu bạn có nhận được dòng tiền từ tài sản hay không. Với một mỏ dầu, tài sản cơ sở là dầu nằm dưới lòng đất, và yếu tố tùy biến là giá trị của dầu phải vượt quá chi phí khai thác thì nó mới là một quyền chọn có lãi (in-the-money) hay khả thi.</w:t>
      </w:r>
    </w:p>
    <w:p>
      <w:pPr>
        <w:pStyle w:val="Para 03"/>
      </w:pPr>
      <w:r>
        <w:t>Phép thử tiếp theo là vẽ một biểu đồ chi trả (payoff diagram) cho tài sản, biểu diễn dòng tiền của tài sản theo giá của tài sản cơ sở. Nếu biểu đồ chi trả đó giống với biểu đồ chi trả của một quyền chọn mua (call) hay quyền chọn bán (put) trong Hình 28.3, thì bạn có tính quyền chọn cần phải định giá.</w:t>
      </w:r>
    </w:p>
    <w:p>
      <w:bookmarkStart w:id="5847" w:name="Figure_28_3_Option_Payoff_Diagr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49500" cy="1016000"/>
            <wp:effectExtent l="0" r="0" t="0" b="0"/>
            <wp:wrapTopAndBottom/>
            <wp:docPr id="254" name="c28f003.png" descr="Options pay off diagram depicts probability arising out of option strike price which can result in payoff on put option or call option."/>
            <wp:cNvGraphicFramePr>
              <a:graphicFrameLocks noChangeAspect="1"/>
            </wp:cNvGraphicFramePr>
            <a:graphic>
              <a:graphicData uri="http://schemas.openxmlformats.org/drawingml/2006/picture">
                <pic:pic>
                  <pic:nvPicPr>
                    <pic:cNvPr id="0" name="c28f003.png" descr="Options pay off diagram depicts probability arising out of option strike price which can result in payoff on put option or call option."/>
                    <pic:cNvPicPr/>
                  </pic:nvPicPr>
                  <pic:blipFill>
                    <a:blip r:embed="rId186"/>
                    <a:stretch>
                      <a:fillRect/>
                    </a:stretch>
                  </pic:blipFill>
                  <pic:spPr>
                    <a:xfrm>
                      <a:off x="0" y="0"/>
                      <a:ext cx="2349500" cy="1016000"/>
                    </a:xfrm>
                    <a:prstGeom prst="rect">
                      <a:avLst/>
                    </a:prstGeom>
                  </pic:spPr>
                </pic:pic>
              </a:graphicData>
            </a:graphic>
          </wp:anchor>
        </w:drawing>
      </w:r>
      <w:bookmarkEnd w:id="5847"/>
    </w:p>
    <w:p>
      <w:pPr>
        <w:keepNext/>
        <w:pStyle w:val="Para 22"/>
        <w:keepLines w:val="on"/>
      </w:pPr>
      <w:r>
        <w:t>Hình 28.3 Các Biểu Đồ Chi Trả Của Quyền Chọn</w:t>
      </w:r>
    </w:p>
    <w:p>
      <w:bookmarkStart w:id="5848" w:name="Does_the_Optionality_Have_Value_1"/>
      <w:bookmarkStart w:id="5849" w:name="Does_the_Optionality_Have_Value"/>
      <w:pPr>
        <w:keepNext/>
        <w:pStyle w:val="Heading 3"/>
        <w:keepLines w:val="on"/>
      </w:pPr>
      <w:r>
        <w:t>Tính Quyền Chọn Có Giá Trị Không?</w:t>
      </w:r>
      <w:bookmarkEnd w:id="5848"/>
      <w:bookmarkEnd w:id="5849"/>
    </w:p>
    <w:p>
      <w:pPr>
        <w:pStyle w:val="Para 03"/>
      </w:pPr>
      <w:r>
        <w:t>Hầu hết tài sản đều có chút gì đó mang tính quyền chọn, nhưng phần lớn những quyền chọn này có ít hoặc không có giá trị. Để một quyền chọn có giá trị, bạn cần một mức độ độc quyền (exclusivity) nào đó. Nhiều người ủng hộ quyền chọn thực thường dùng lập luận về tính quyền chọn để biện minh cho việc trả giá cao ngất để thâm nhập các thị trường lớn, dù là về mặt địa lý (ví dụ: Trung Quốc vào đầu thế kỷ này) hay về mặt công nghệ (ví dụ: AI vào năm 2024). Tuy nhiên, cơ hội không phải là quyền chọn, và cơ hội thâm nhập một thị trường lớn có thể có giá trị vì những lý do khác, nhưng không có tính quyền chọn, trừ khi bạn có thể đưa ra thêm lập luận rằng công ty đang xét có mức độ độc quyền nào đó trên thị trường lớn ấy. Mức độ độc quyền đó có thể trải dài trên một phổ từ tuyệt đối (ví dụ: khi chính phủ hoặc bằng sáng chế bảo vệ bạn khỏi cạnh tranh) đến tương đối (ví dụ: người đi đầu có thể có lợi thế so với những người vào sau).</w:t>
      </w:r>
    </w:p>
    <w:p>
      <w:pPr>
        <w:pStyle w:val="Para 03"/>
      </w:pPr>
      <w:r>
        <w:t>Khi xem xét các ví dụ về quyền chọn thực trong ba chương tiếp theo, chúng ta sẽ cố gắng nhận diện tính độc quyền tạo nên giá trị quyền chọn. Trong chương này chẳng hạn, chúng ta sẽ định giá bằng sáng chế và mỏ dầu như những quyền chọn, với tính độc quyền ở dạng này đến từ sự bảo hộ pháp lý và ở dạng kia đến từ sự khan hiếm tự nhiên.</w:t>
      </w:r>
    </w:p>
    <w:p>
      <w:bookmarkStart w:id="5851" w:name="Can_an_Option_Pricing_Model_be_U_1"/>
      <w:bookmarkStart w:id="5852" w:name="Can_an_Option_Pricing_Model_be_U"/>
      <w:pPr>
        <w:keepNext/>
        <w:pStyle w:val="Heading 3"/>
        <w:keepLines w:val="on"/>
      </w:pPr>
      <w:r>
        <w:t>Có Thể Dùng Mô Hình Định Giá Quyền Chọn Không?</w:t>
      </w:r>
      <w:bookmarkEnd w:id="5851"/>
      <w:bookmarkEnd w:id="5852"/>
    </w:p>
    <w:p>
      <w:pPr>
        <w:pStyle w:val="Para 03"/>
      </w:pPr>
      <w:r>
        <w:t>Ở Chương 5, chúng ta đã giới thiệu các mô hình định giá quyền chọn bằng cách lưu ý rằng chúng được xây dựng trên hai trụ cột — tái tạo (replication), nơi bạn tạo một vị thế bằng cổ phiếu cơ sở và việc vay/cho vay có cùng dòng tiền như quyền chọn; và kinh doanh chênh lệch giá (arbitrage), nơi nếu chúng được giao dịch ở các mức giá khác nhau thì hoạt động giao dịch sẽ xóa bỏ phần chênh lệch đó. Những trụ cột ấy phát huy hiệu quả tốt nhất khi tài sản cơ sở và quyền chọn đều được giao dịch, và khi bạn có thể vay và cho vay tiền ở lãi suất phi rủi ro. Tạm gác yêu cầu thứ hai sang một bên và chỉ tập trung vào yêu cầu thứ nhất, quyền chọn thực có thể gặp vấn đề khi định giá. Thứ nhất, thường thì cả tài sản cơ sở lẫn quyền chọn đều không được giao dịch, khiến việc tái tạo và kinh doanh chênh lệch giá trở thành trừu tượng. Thứ hai, nhiều thông số đầu vào bạn cần cho việc định giá quyền chọn, đặc biệt là phương sai (variance), đến từ giá giao dịch, và những thứ đó sẽ không thể tiếp cận được với nhiều quyền chọn thực.</w:t>
      </w:r>
    </w:p>
    <w:p>
      <w:pPr>
        <w:pStyle w:val="Para 03"/>
      </w:pPr>
      <w:r>
        <w:t>Tập trung vào bằng sáng chế và mỏ dầu chưa khai thác — hai quyền chọn thực mà chúng ta định giá trong chương này — bạn có thể thấy những vấn đề này phát sinh. Với bằng sáng chế, nơi tài sản cơ sở là sản phẩm mà bạn đã được cấp bằng sáng chế và bằng sáng chế chính là quyền chọn, cả hai đều không được giao dịch và bạn đang đẩy giới hạn của việc định giá quyền chọn đến cực hạn. Với mỏ dầu chưa khai thác, nơi tài sản cơ sở là dầu nằm dưới lòng đất, tài sản cơ sở được giao dịch (dầu là một loại hàng hóa được giao dịch), và các công ty dầu có mua bán mỏ của nhau, dù không thường xuyên. Vì bạn cũng có thể dùng độ biến động (volatility) quan sát được của giá dầu trong các mô hình định giá quyền chọn của mình, nên bạn đang đứng trên nền tảng vững chắc hơn khi dùng mô hình định giá quyền chọn để định giá mỏ dầu.</w:t>
      </w:r>
    </w:p>
    <w:p>
      <w:pPr>
        <w:pStyle w:val="Para 03"/>
      </w:pPr>
      <w:r>
        <w:t>Có một thành phần cuối cùng của quyền chọn thực có thể ảnh hưởng đến cách bạn định giá chúng. Khác với nhiều quyền chọn được niêm yết và giao dịch, nơi việc thực hiện sớm là hiếm gặp và hầu hết chủ sở hữu giữ quyền chọn cho đến khi thực hiện, hầu hết quyền chọn thực tạo ra giá trị của chúng bằng cách được thực hiện sớm. Ví dụ, nếu bạn xem một bằng sáng chế như một quyền chọn, coi số năm còn lại của sự bảo hộ bằng sáng chế là vòng đời quyền chọn, thì bạn không muốn chờ đến phút cuối của vòng đời bằng sáng chế mới phát triển nó thành sản phẩm. Việc thực hiện sớm phổ biến có thể ảnh hưởng đến lựa chọn mô hình định giá quyền chọn của bạn, và có những người hành nghề chọn chỉ dùng mô hình nhị thức (binomial) để định giá quyền chọn thực, vì chúng cho phép thực hiện sớm. Chúng tôi không cứng nhắc đến thế, vì dùng mô hình Black-Scholes, bất chấp gốc rễ quyền chọn kiểu châu Âu của nó, sẽ cho bạn một ước tính giá trị thận trọng, với quyền chọn thực hiện sớm cộng thêm vào giá trị đó. Trong chương này, với mỗi quyền chọn, chúng ta sẽ đưa ra các ước tính giá trị đối chiếu từ cả hai mô hình (Black-Scholes và nhị thức), để bạn có thể thấy sự khác biệt (hay nói thật lòng hơn, là sự thiếu vắng khác biệt).</w:t>
      </w:r>
    </w:p>
    <w:p>
      <w:bookmarkStart w:id="5853" w:name="The_Option_to_Delay_a_Project__P"/>
      <w:bookmarkStart w:id="5854" w:name="The_Option_to_Delay_a_Project"/>
      <w:pPr>
        <w:keepNext/>
        <w:pStyle w:val="Heading 2"/>
        <w:keepLines w:val="on"/>
      </w:pPr>
      <w:r>
        <w:t>Quyền Chọn Trì Hoãn Một Dự Án</w:t>
      </w:r>
      <w:bookmarkEnd w:id="5853"/>
      <w:bookmarkEnd w:id="5854"/>
    </w:p>
    <w:p>
      <w:pPr>
        <w:pStyle w:val="Para 03"/>
      </w:pPr>
      <w:r>
        <w:t>Các dự án thường được phân tích dựa trên dòng tiền kỳ vọng và tỷ lệ chiết khấu tại thời điểm phân tích; giá trị hiện tại ròng (net present value) tính trên cơ sở đó là thước đo giá trị và tính khả thi của dự án tại thời điểm ấy. Tuy nhiên, dòng tiền kỳ vọng và tỷ lệ chiết khấu thay đổi theo thời gian, và giá trị hiện tại ròng cũng vậy. Do đó, một dự án có giá trị hiện tại ròng âm ở hiện tại có thể có giá trị hiện tại ròng dương trong tương lai. Trong một môi trường cạnh tranh, nơi các công ty riêng lẻ không có lợi thế đặc biệt nào so với đối thủ trên những dự án này, việc giá trị hiện tại ròng có thể dương trong tương lai có thể không đáng kể (vì chúng cũng sẽ dương với các đối thủ). Tuy nhiên, trong một môi trường mà chỉ một công ty có thể thực hiện dự án do những hạn chế pháp lý hoặc các rào cản gia nhập khác đối với đối thủ, thì những thay đổi trong giá trị dự án theo thời gian lại mang đến cho nó những đặc tính của một quyền chọn mua.</w:t>
      </w:r>
    </w:p>
    <w:p>
      <w:bookmarkStart w:id="5856" w:name="Payoff_on_the_Option_to_Delay"/>
      <w:bookmarkStart w:id="5857" w:name="Payoff_on_the_Option_to_Delay__A"/>
      <w:pPr>
        <w:keepNext/>
        <w:pStyle w:val="Heading 3"/>
        <w:keepLines w:val="on"/>
      </w:pPr>
      <w:r>
        <w:t>Giá Trị Chi Trả Của Quyền Chọn Trì Hoãn</w:t>
      </w:r>
      <w:bookmarkEnd w:id="5856"/>
      <w:bookmarkEnd w:id="5857"/>
    </w:p>
    <w:p>
      <w:pPr>
        <w:pStyle w:val="Para 03"/>
      </w:pPr>
      <w:r>
        <w:t>Giả sử một dự án đòi hỏi khoản đầu tư ban đầu X, và giá trị hiện tại của dòng tiền vào kỳ vọng từ việc đầu tư vào dự án, tính tại thời điểm hiện tại, là V. Giá trị hiện tại ròng của dự án này là hiệu số giữa hai giá trị đó:</w:t>
      </w:r>
    </w:p>
    <w:p>
      <w:bookmarkStart w:id="5858" w:name="NPV_V_X"/>
      <w:pPr>
        <w:keepNext/>
        <w:pStyle w:val="Para 09"/>
        <w:keepLines w:val="on"/>
      </w:pPr>
      <w:r>
        <w:t>NPV = V - X</w:t>
      </w:r>
      <w:bookmarkEnd w:id="5858"/>
    </w:p>
    <w:p>
      <w:pPr>
        <w:pStyle w:val="Para 03"/>
      </w:pPr>
      <w:r>
        <w:t>Giờ hãy giả sử rằng công ty có độc quyền đối với dự án này trong n năm tới, và giá trị hiện tại của các dòng tiền vào có thể thay đổi trong khoảng thời gian đó (nhưng chi phí của dự án vẫn cố định ở mức X), do những thay đổi về dòng tiền hoặc tỷ lệ chiết khấu. Vì vậy, dự án có thể đang có giá trị hiện tại ròng âm ngay lúc này, nhưng vẫn có thể là một dự án tốt nếu công ty chịu chờ đợi. Định nghĩa V một lần nữa là giá trị hiện tại của các dòng tiền, quy tắc ra quyết định của công ty đối với dự án này có thể được tóm tắt như sau:</w:t>
      </w:r>
    </w:p>
    <w:p>
      <w:bookmarkStart w:id="5859" w:name="IfV_XInvest_in_the_project__Proj"/>
      <w:pPr>
        <w:keepNext/>
        <w:pStyle w:val="Para 09"/>
        <w:keepLines w:val="on"/>
      </w:pPr>
      <w:r>
        <w:t>Nếu V &gt; X: Đầu tư vào dự án: Dự án có NPV dương. Nếu V &lt; X: Không đầu tư vào dự án: Dự án có NPV âm.</w:t>
      </w:r>
      <w:bookmarkEnd w:id="5859"/>
    </w:p>
    <w:p>
      <w:pPr>
        <w:pStyle w:val="Para 03"/>
      </w:pPr>
      <w:r>
        <w:t>Nếu công ty không đầu tư vào dự án trong suốt vòng đời của nó, công ty không phát sinh thêm dòng tiền nào, dù sẽ mất đi khoản đã đầu tư để có được độc quyền đối với dự án. Mối quan hệ này có thể được trình bày trong một biểu đồ lợi nhuận (payoff diagram) về các dòng tiền của dự án này, như thể hiện trong Hình 28.4, giả sử rằng công ty cố gắng trụ lại cho đến cuối giai đoạn mà công ty có độc quyền đối với dự án.</w:t>
      </w:r>
    </w:p>
    <w:p>
      <w:bookmarkStart w:id="5861" w:name="Figure_28_4_The_Option_to_Delay"/>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92300" cy="901700"/>
            <wp:effectExtent l="0" r="0" t="0" b="0"/>
            <wp:wrapTopAndBottom/>
            <wp:docPr id="255" name="c28f004.png" descr="After initial investment is made, probability of project turning positive depends on continuous investments over the lifetime of a project."/>
            <wp:cNvGraphicFramePr>
              <a:graphicFrameLocks noChangeAspect="1"/>
            </wp:cNvGraphicFramePr>
            <a:graphic>
              <a:graphicData uri="http://schemas.openxmlformats.org/drawingml/2006/picture">
                <pic:pic>
                  <pic:nvPicPr>
                    <pic:cNvPr id="0" name="c28f004.png" descr="After initial investment is made, probability of project turning positive depends on continuous investments over the lifetime of a project."/>
                    <pic:cNvPicPr/>
                  </pic:nvPicPr>
                  <pic:blipFill>
                    <a:blip r:embed="rId187"/>
                    <a:stretch>
                      <a:fillRect/>
                    </a:stretch>
                  </pic:blipFill>
                  <pic:spPr>
                    <a:xfrm>
                      <a:off x="0" y="0"/>
                      <a:ext cx="1892300" cy="901700"/>
                    </a:xfrm>
                    <a:prstGeom prst="rect">
                      <a:avLst/>
                    </a:prstGeom>
                  </pic:spPr>
                </pic:pic>
              </a:graphicData>
            </a:graphic>
          </wp:anchor>
        </w:drawing>
      </w:r>
      <w:bookmarkEnd w:id="5861"/>
    </w:p>
    <w:p>
      <w:pPr>
        <w:keepNext/>
        <w:pStyle w:val="Para 22"/>
        <w:keepLines w:val="on"/>
      </w:pPr>
      <w:r>
        <w:t>Hình 28.4 Quyền chọn trì hoãn một dự án</w:t>
      </w:r>
    </w:p>
    <w:p>
      <w:pPr>
        <w:pStyle w:val="Para 03"/>
      </w:pPr>
      <w:r>
        <w:t>Lưu ý rằng biểu đồ lợi nhuận này chính là biểu đồ của một quyền chọn mua (call option) — tài sản cơ sở là dự án, giá thực hiện (strike price) của quyền chọn là khoản đầu tư cần thiết để thực hiện dự án, và vòng đời của quyền chọn là khoảng thời gian mà công ty có quyền đối với dự án. Giá trị hiện tại của các dòng tiền của dự án này và phương sai kỳ vọng của giá trị hiện tại này đại diện cho giá trị và phương sai của tài sản cơ sở.</w:t>
      </w:r>
    </w:p>
    <w:p>
      <w:bookmarkStart w:id="5863" w:name="Inputs_for_Valuing_the_Option_to_1"/>
      <w:bookmarkStart w:id="5864" w:name="Inputs_for_Valuing_the_Option_to"/>
      <w:pPr>
        <w:keepNext/>
        <w:pStyle w:val="Heading 3"/>
        <w:keepLines w:val="on"/>
      </w:pPr>
      <w:r>
        <w:t>Các đầu vào để định giá quyền chọn trì hoãn</w:t>
      </w:r>
      <w:bookmarkEnd w:id="5863"/>
      <w:bookmarkEnd w:id="5864"/>
    </w:p>
    <w:p>
      <w:pPr>
        <w:pStyle w:val="Para 03"/>
      </w:pPr>
      <w:r>
        <w:t>Các đầu vào cần thiết để áp dụng lý thuyết định giá quyền chọn vào việc định giá quyền chọn trì hoãn cũng giống như những gì cần cho bất kỳ quyền chọn nào. Chúng ta cần giá trị của tài sản cơ sở, phương sai của giá trị đó, thời gian đến ngày đáo hạn của quyền chọn, giá thực hiện, lãi suất phi rủi ro, và tương đương của lợi suất cổ tức (dividend yield).</w:t>
      </w:r>
    </w:p>
    <w:p>
      <w:bookmarkStart w:id="5865" w:name="Value_of_the_Underlying_Asset"/>
      <w:bookmarkStart w:id="5866" w:name="Value_of_the_Underlying_Asset__I"/>
      <w:pPr>
        <w:keepNext/>
        <w:pStyle w:val="Heading 4"/>
        <w:keepLines w:val="on"/>
      </w:pPr>
      <w:r>
        <w:t>Giá trị của tài sản cơ sở</w:t>
      </w:r>
      <w:bookmarkEnd w:id="5865"/>
      <w:bookmarkEnd w:id="5866"/>
    </w:p>
    <w:p>
      <w:pPr>
        <w:pStyle w:val="Para 03"/>
      </w:pPr>
      <w:r>
        <w:t>Trong trường hợp các quyền chọn sản phẩm (product options), tài sản cơ sở là dự án mà công ty có độc quyền. Giá trị hiện tại của tài sản này là giá trị hiện tại của các dòng tiền kỳ vọng từ việc khởi động dự án ngay bây giờ, không bao gồm khoản đầu tư ban đầu. Giá trị hiện tại này có thể thu được từ một phân tích đầu tư tiêu chuẩn, chiết khấu các dòng tiền kỳ vọng theo một tỷ lệ chiết khấu đã điều chỉnh theo rủi ro. Có khả năng sẽ có một lượng sai số đáng kể trong các ước tính dòng tiền và giá trị hiện tại, đặc biệt nếu dự án thuộc một ngành kinh doanh mới hoặc liên quan đến một công nghệ chưa được kiểm chứng. Thay vì bị coi là một vấn đề, sự bất định này nên được nhìn nhận như lý do khiến quyền chọn trì hoãn dự án có giá trị. Nếu các dòng tiền kỳ vọng của dự án được biết chắc chắn và không được kỳ vọng sẽ thay đổi, thì sẽ không cần phải áp dụng khuôn khổ định giá quyền chọn, vì khi đó quyền chọn sẽ không có giá trị.</w:t>
      </w:r>
    </w:p>
    <w:p>
      <w:bookmarkStart w:id="5867" w:name="Variance_in_the_Value_of_the_Ass_1"/>
      <w:bookmarkStart w:id="5868" w:name="Variance_in_the_Value_of_the_Ass"/>
      <w:pPr>
        <w:keepNext/>
        <w:pStyle w:val="Heading 4"/>
        <w:keepLines w:val="on"/>
      </w:pPr>
      <w:r>
        <w:t>Phương sai của giá trị tài sản</w:t>
      </w:r>
      <w:bookmarkEnd w:id="5867"/>
      <w:bookmarkEnd w:id="5868"/>
    </w:p>
    <w:p>
      <w:pPr>
        <w:pStyle w:val="Para 03"/>
      </w:pPr>
      <w:r>
        <w:t>Như đã lưu ý ở phần trước, có khả năng tồn tại sự bất định đáng kể gắn với các ước tính dòng tiền và giá trị hiện tại đo lường giá trị của dự án hiện nay. Điều này một phần là do thị trường tiềm năng cho sản phẩm có thể chưa được biết rõ, và một phần là do những thay đổi công nghệ có thể làm thay đổi cơ cấu chi phí và khả năng sinh lời của sản phẩm. Phương sai của giá trị hiện tại của các dòng tiền từ dự án có thể được ước tính theo một trong ba cách:</w:t>
      </w:r>
    </w:p>
    <w:p>
      <w:pPr>
        <w:numPr>
          <w:ilvl w:val="0"/>
          <w:numId w:val="330"/>
        </w:numPr>
        <w:pStyle w:val="Para 01"/>
      </w:pPr>
      <w:r>
        <w:t>Nếu chúng ta đã từng đầu tư vào những dự án tương tự trong quá khứ, phương sai của các dòng tiền từ những dự án đó có thể được dùng làm ước tính. Đây có thể là cách mà một công ty hàng tiêu dùng như Gillette ước tính phương sai gắn với việc tung ra một loại lưỡi dao mới cho dao cạo của mình.</w:t>
      </w:r>
    </w:p>
    <w:p>
      <w:pPr>
        <w:numPr>
          <w:ilvl w:val="0"/>
          <w:numId w:val="330"/>
        </w:numPr>
        <w:pStyle w:val="Para 01"/>
      </w:pPr>
      <w:r>
        <w:t>Chúng ta có thể gán xác suất cho các kịch bản thị trường khác nhau, ước tính dòng tiền và giá trị hiện tại trong mỗi kịch bản, rồi tính phương sai giữa các giá trị hiện tại đó. Hoặc, các phân phối xác suất có thể được ước tính cho từng đầu vào của phân tích dự án — chẳng hạn như quy mô thị trường, thị phần, và biên lợi nhuận — và các mô phỏng được dùng để ước tính phương sai của các giá trị hiện tại thu được. Cách tiếp cận này có xu hướng hiệu quả nhất khi chỉ có một hoặc hai nguồn bất định đáng kể về dòng tiền tương lai. Chúng ta sẽ xem xét các cách tiếp cận này chi tiết hơn trong Chương 33.</w:t>
      </w:r>
    </w:p>
    <w:p>
      <w:pPr>
        <w:numPr>
          <w:ilvl w:val="0"/>
          <w:numId w:val="330"/>
        </w:numPr>
        <w:pStyle w:val="Para 01"/>
      </w:pPr>
      <w:r>
        <w:t>Chúng ta có thể dùng phương sai của giá trị các công ty hoạt động trong cùng ngành kinh doanh (với dự án đang được xem xét) làm ước tính cho phương sai của giá trị hiện tại của dự án. Như vậy, phương sai trung bình của giá trị các công ty hoạt động trong ngành phần mềm có thể được dùng làm phương sai của giá trị hiện tại của một dự án phần mềm.</w:t>
      </w:r>
    </w:p>
    <w:p>
      <w:pPr>
        <w:pStyle w:val="Para 03"/>
      </w:pPr>
      <w:r>
        <w:t>Giá trị của quyền chọn chủ yếu bắt nguồn từ phương sai của các dòng tiền; phương sai càng cao thì giá trị của quyền chọn trì hoãn dự án càng lớn. Do đó, giá trị của một quyền chọn đầu tư vào một dự án trong một ngành kinh doanh ổn định sẽ thấp hơn giá trị của một quyền chọn trong một môi trường mà công nghệ, cạnh tranh và thị trường đều đang thay đổi nhanh chóng.</w:t>
      </w:r>
    </w:p>
    <w:p>
      <w:bookmarkStart w:id="5871" w:name="Exercise_Price_on_Option"/>
      <w:bookmarkStart w:id="5872" w:name="Exercise_Price_on_Option__The_op"/>
      <w:pPr>
        <w:keepNext/>
        <w:pStyle w:val="Heading 4"/>
        <w:keepLines w:val="on"/>
      </w:pPr>
      <w:r>
        <w:t>Giá thực hiện của quyền chọn</w:t>
      </w:r>
      <w:bookmarkEnd w:id="5871"/>
      <w:bookmarkEnd w:id="5872"/>
    </w:p>
    <w:p>
      <w:pPr>
        <w:pStyle w:val="Para 03"/>
      </w:pPr>
      <w:r>
        <w:t>Quyền chọn trì hoãn một dự án được thực hiện khi công ty sở hữu quyền đối với dự án quyết định đầu tư vào nó. Chi phí để thực hiện khoản đầu tư ban đầu này chính là giá thực hiện của quyền chọn. Giả định cơ bản là chi phí này không đổi (tính theo đơn vị giá trị hiện tại) và mọi sự bất định gắn với khoản đầu tư đều được phản ánh vào giá trị hiện tại của các dòng tiền của sản phẩm. Đây là một giả định cho tiện hơn là vì cần thiết, vì nó giúp việc định giá quyền chọn dễ dàng hơn một chút.</w:t>
      </w:r>
    </w:p>
    <w:p>
      <w:bookmarkStart w:id="5873" w:name="Expiration_of_the_Option_and_the"/>
      <w:bookmarkStart w:id="5874" w:name="Expiration_of_the_Option_and_the_1"/>
      <w:pPr>
        <w:keepNext/>
        <w:pStyle w:val="Heading 4"/>
        <w:keepLines w:val="on"/>
      </w:pPr>
      <w:r>
        <w:t>Ngày đáo hạn của quyền chọn và lãi suất phi rủi ro</w:t>
      </w:r>
      <w:bookmarkEnd w:id="5873"/>
      <w:bookmarkEnd w:id="5874"/>
    </w:p>
    <w:p>
      <w:pPr>
        <w:pStyle w:val="Para 03"/>
      </w:pPr>
      <w:r>
        <w:t>Quyền chọn trì hoãn dự án hết hiệu lực khi quyền đối với dự án hết hạn. Các khoản đầu tư được thực hiện sau khi quyền đối với dự án hết hạn được giả định sẽ mang lại giá trị hiện tại ròng bằng không, vì cạnh tranh sẽ kéo lợi nhuận xuống mức tỷ lệ sinh lời yêu cầu. Lãi suất phi rủi ro dùng để định giá quyền chọn nên là lãi suất tương ứng với ngày đáo hạn của quyền chọn. Mặc dù ngày đáo hạn có thể được ước tính dễ dàng khi các công ty có quyền rõ ràng đối với một dự án (chẳng hạn thông qua giấy phép hoặc bằng sáng chế), nhưng chúng trở nên khó xác định hơn nhiều khi quyền đó được định nghĩa kém rõ ràng hơn. Ví dụ, nếu một công ty có lợi thế cạnh tranh đối với một sản phẩm hoặc dự án, vòng đời của quyền chọn có thể được định nghĩa là khoảng thời gian kỳ vọng mà lợi thế đó có thể được duy trì.</w:t>
      </w:r>
    </w:p>
    <w:p>
      <w:bookmarkStart w:id="5875" w:name="Cost_of_Delay"/>
      <w:bookmarkStart w:id="5876" w:name="Cost_of_Delay__Chapter_5_noted_t"/>
      <w:pPr>
        <w:keepNext/>
        <w:pStyle w:val="Heading 4"/>
        <w:keepLines w:val="on"/>
      </w:pPr>
      <w:r>
        <w:t>Chi phí của việc trì hoãn</w:t>
      </w:r>
      <w:bookmarkEnd w:id="5875"/>
      <w:bookmarkEnd w:id="5876"/>
    </w:p>
    <w:p>
      <w:pPr>
        <w:pStyle w:val="Para 03"/>
      </w:pPr>
      <w:r>
        <w:t>Chương 5 đã lưu ý rằng một quyền chọn kiểu Mỹ (American option) nói chung sẽ không được thực hiện trước ngày đáo hạn. Tuy nhiên, khi bạn có độc quyền đối với một dự án và giá trị hiện tại ròng chuyển sang dương, bạn sẽ không kỳ vọng người sở hữu quyền sẽ chờ đến khi quyền hết hạn mới thực hiện quyền chọn (đầu tư vào dự án). Lưu ý rằng có một chi phí khi trì hoãn đầu tư vào một dự án, một khi giá trị hiện tại ròng đã chuyển sang dương. Nếu bạn chờ thêm một giai đoạn nữa, bạn có thể được lợi nếu phương sai đẩy giá trị lên cao hơn, nhưng bạn cũng mất đi một giai đoạn được bảo vệ trước cạnh tranh. Bạn phải xem xét chi phí này khi phân tích quyền chọn, và có hai cách để ước tính nó:</w:t>
      </w:r>
    </w:p>
    <w:p>
      <w:pPr>
        <w:numPr>
          <w:ilvl w:val="0"/>
          <w:numId w:val="331"/>
        </w:numPr>
        <w:pStyle w:val="Para 01"/>
      </w:pPr>
      <w:r>
        <w:t>Vì quyền đối với dự án hết hạn sau một khoảng thời gian cố định, và lợi nhuận siêu ngạch (nguồn tạo ra giá trị hiện tại dương) được giả định sẽ biến mất sau thời điểm đó khi các đối thủ mới xuất hiện, mỗi năm trì hoãn đồng nghĩa với việc mất đi một năm dòng tiền tạo ra giá trị. Nếu các dòng tiền được phân bổ đều theo thời gian, và vòng đời của bằng sáng chế là n năm, thì chi phí của việc trì hoãn có thể được viết như sau:</w:t>
      </w:r>
    </w:p>
    <w:p>
      <w:bookmarkStart w:id="5878" w:name="Annual_cost_of_delay_1n"/>
      <w:pPr>
        <w:keepNext/>
        <w:pStyle w:val="Para 09"/>
        <w:keepLines w:val="on"/>
      </w:pPr>
      <w:r>
        <w:t>Chi phí trì hoãn hàng năm = 1/n</w:t>
      </w:r>
      <w:bookmarkEnd w:id="5878"/>
    </w:p>
    <w:p>
      <w:pPr>
        <w:pStyle w:val="Para 03"/>
      </w:pPr>
      <w:r>
        <w:t>Như vậy, nếu quyền đối với dự án kéo dài 20 năm, chi phí trì hoãn hàng năm sẽ là 1/20, tức 5% trong năm đầu tiên. Tuy nhiên, lưu ý rằng chi phí trì hoãn này tăng lên mỗi năm, thành 1/19 vào năm thứ 2, 1/18 vào năm thứ 3, và cứ tiếp tục như vậy, khiến chi phí của việc trì hoãn thực hiện quyền chọn ngày càng lớn hơn theo thời gian.</w:t>
      </w:r>
    </w:p>
    <w:p>
      <w:pPr>
        <w:numPr>
          <w:ilvl w:val="0"/>
          <w:numId w:val="331"/>
        </w:numPr>
        <w:pStyle w:val="Para 01"/>
      </w:pPr>
      <w:r>
        <w:t>Nếu các dòng tiền không đều, chi phí của việc trì hoãn có thể được định nghĩa một cách tổng quát hơn theo dòng tiền có thể được kỳ vọng sẽ phát sinh trong giai đoạn tiếp theo, tính theo phần trăm của giá trị hiện tại ngày hôm nay:</w:t>
      </w:r>
    </w:p>
    <w:p>
      <w:bookmarkStart w:id="5880" w:name="Cost_of_delay_Expected_cash_flow"/>
      <w:pPr>
        <w:keepNext/>
        <w:pStyle w:val="Para 09"/>
        <w:keepLines w:val="on"/>
      </w:pPr>
      <w:r>
        <w:t>Chi phí của sự chậm trễ = Dòng tiền kỳ vọng kỳ tới / Giá trị hiện tại</w:t>
      </w:r>
      <w:bookmarkEnd w:id="5880"/>
    </w:p>
    <w:p>
      <w:pPr>
        <w:numPr>
          <w:ilvl w:val="0"/>
          <w:numId w:val="332"/>
        </w:numPr>
        <w:pStyle w:val="Para 01"/>
      </w:pPr>
      <w:r>
        <w:t>Trong cả hai trường hợp, khả năng một công ty trì hoãn đầu tư vào một dự án sẽ cao hơn vào giai đoạn đầu của thời kỳ độc quyền thay vì về sau, và sẽ tăng lên khi khoản lỗ dòng tiền do chờ đợi thêm một kỳ tăng lên.</w:t>
      </w:r>
    </w:p>
    <w:p>
      <w:pPr>
        <w:pStyle w:val="Para 11"/>
      </w:pPr>
      <w:r>
        <w:t xml:space="preserve"> </w:t>
      </w:r>
    </w:p>
    <w:p>
      <w:bookmarkStart w:id="5881" w:name="optvar_xls__This_dataset_on_the"/>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256"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5881"/>
    </w:p>
    <w:p>
      <w:pPr>
        <w:pStyle w:val="Para 31"/>
        <w:keepLines w:val="on"/>
      </w:pPr>
      <w:r>
        <w:t>optvar.xls: Bộ dữ liệu trên web này tóm tắt độ lệch chuẩn trong giá trị công ty và giá trị vốn chủ sở hữu theo nhóm ngành ở Hoa Kỳ.</w:t>
      </w:r>
    </w:p>
    <w:p>
      <w:pPr>
        <w:pStyle w:val="Para 11"/>
      </w:pPr>
      <w:r>
        <w:t xml:space="preserve"> </w:t>
      </w:r>
    </w:p>
    <w:p>
      <w:bookmarkStart w:id="5882" w:name="ILLUSTRATION_28_1__Valuing_the_O"/>
      <w:bookmarkStart w:id="5883" w:name="ILLUSTRATION_28_1__Valuing_the_O_1"/>
      <w:pPr>
        <w:keepNext/>
        <w:pStyle w:val="Para 19"/>
        <w:keepLines w:val="on"/>
      </w:pPr>
      <w:r>
        <w:t>MINH HỌA 28.1: Định giá quyền chọn trì hoãn một dự án</w:t>
      </w:r>
      <w:bookmarkEnd w:id="5882"/>
      <w:bookmarkEnd w:id="5883"/>
    </w:p>
    <w:p>
      <w:pPr>
        <w:pStyle w:val="Para 04"/>
        <w:keepLines w:val="on"/>
      </w:pPr>
      <w:r>
        <w:t>Giả sử bạn quan tâm đến việc mua độc quyền tiếp thị một sản phẩm mới giúp mọi người dễ dàng truy cập các tập tin từ máy tính công sở của họ khi đang di chuyển. Nếu bạn thực sự mua được quyền đối với sản phẩm này, bạn ước tính sẽ tốn 50 triệu đô la trả trước để thiết lập cơ sở hạ tầng cần thiết nhằm cung cấp dịch vụ. Dựa trên các dự báo hiện tại, bạn tin rằng dịch vụ sẽ chỉ tạo ra 10 triệu đô la dòng tiền sau thuế mỗi năm. Ngoài ra, bạn kỳ vọng sẽ hoạt động mà không có cạnh tranh nghiêm trọng trong năm năm tới.</w:t>
      </w:r>
    </w:p>
    <w:p>
      <w:pPr>
        <w:pStyle w:val="Para 04"/>
        <w:keepLines w:val="on"/>
      </w:pPr>
      <w:r>
        <w:t>Từ góc độ tĩnh, giá trị hiện tại ròng của dự án này có thể được tính bằng cách lấy giá trị hiện tại của dòng tiền kỳ vọng trong năm năm tới. Giả sử tỷ lệ chiết khấu là 15% (dựa trên mức độ rủi ro của dự án này), ta thu được giá trị hiện tại ròng sau đây cho dự án:</w:t>
      </w:r>
    </w:p>
    <w:p>
      <w:bookmarkStart w:id="5885" w:name="NPV_of_project___50_million__10"/>
      <w:pPr>
        <w:keepNext/>
        <w:pStyle w:val="Para 07"/>
        <w:keepLines w:val="on"/>
      </w:pPr>
      <w:r>
        <w:t>NPV của dự án = -50 triệu đô la + 10 triệu đô la (PV của niên kim, 15%, 5 năm) = -50 triệu đô la + 33,5 triệu đô la = -16,5 triệu đô la</w:t>
      </w:r>
      <w:bookmarkEnd w:id="5885"/>
    </w:p>
    <w:p>
      <w:pPr>
        <w:pStyle w:val="Para 04"/>
        <w:keepLines w:val="on"/>
      </w:pPr>
      <w:r>
        <w:t>Dự án này có giá trị hiện tại ròng âm.</w:t>
      </w:r>
    </w:p>
    <w:p>
      <w:pPr>
        <w:pStyle w:val="Para 04"/>
        <w:keepLines w:val="on"/>
      </w:pPr>
      <w:r>
        <w:t>Nguồn bất định lớn nhất về dự án này là số lượng người sẽ quan tâm đến sản phẩm. Trong khi các cuộc kiểm tra thị trường hiện tại cho thấy bạn sẽ giành được một số lượng tương đối nhỏ khách hàng là những người đi công tác, chúng cũng cho thấy khả năng thị trường tiềm năng có thể lớn hơn nhiều. Trên thực tế, một mô phỏng dòng tiền của dự án cho ra độ lệch chuẩn là 42% trong giá trị hiện tại của dòng tiền, với giá trị kỳ vọng là 33,5 triệu đô la.</w:t>
      </w:r>
    </w:p>
    <w:p>
      <w:pPr>
        <w:pStyle w:val="Para 04"/>
        <w:keepLines w:val="on"/>
      </w:pPr>
      <w:r>
        <w:t>Để định giá quyền độc quyền đối với dự án này, trước tiên ta xác định các đầu vào cho mô hình định giá quyền chọn:</w:t>
      </w:r>
    </w:p>
    <w:p>
      <w:bookmarkStart w:id="5886" w:name="ValueofunderlyingassetS_PVofcash"/>
      <w:pPr>
        <w:pStyle w:val="Para 49"/>
        <w:keepLines w:val="on"/>
      </w:pPr>
      <w:r>
        <w:t>Giá trị của tài sản cơ sở S = PV của dòng tiền từ sản phẩm nếu được tung ra ngay bây giờ = 33,5 triệu đô la</w:t>
      </w:r>
      <w:bookmarkEnd w:id="5886"/>
    </w:p>
    <w:p>
      <w:bookmarkStart w:id="5887" w:name="StrikepriceK_Initialinvestmentne"/>
      <w:pPr>
        <w:pStyle w:val="Para 49"/>
        <w:keepLines w:val="on"/>
      </w:pPr>
      <w:r>
        <w:t>Giá thực hiện K = Khoản đầu tư ban đầu cần thiết để tung ra sản phẩm = 50 triệu đô la</w:t>
      </w:r>
      <w:bookmarkEnd w:id="5887"/>
    </w:p>
    <w:p>
      <w:bookmarkStart w:id="5888" w:name="Varianceinunderlyingasset_svalue"/>
      <w:pPr>
        <w:pStyle w:val="Para 49"/>
        <w:keepLines w:val="on"/>
      </w:pPr>
      <w:r>
        <w:t>Phương sai của giá trị tài sản cơ sở = 0,42² = 0,1764</w:t>
      </w:r>
      <w:bookmarkEnd w:id="5888"/>
    </w:p>
    <w:p>
      <w:bookmarkStart w:id="5889" w:name="Timetoexpiration_Periodofexclusi"/>
      <w:pPr>
        <w:pStyle w:val="Para 49"/>
        <w:keepLines w:val="on"/>
      </w:pPr>
      <w:r>
        <w:t>Thời gian đến khi hết hạn = Thời kỳ độc quyền đối với sản phẩm = 5 năm</w:t>
      </w:r>
      <w:bookmarkEnd w:id="5889"/>
    </w:p>
    <w:p>
      <w:bookmarkStart w:id="5890" w:name="DividendyieldCostofdelay_1_Lifeo"/>
      <w:pPr>
        <w:pStyle w:val="Para 49"/>
        <w:keepLines w:val="on"/>
      </w:pPr>
      <w:r>
        <w:t>Tỷ suất cổ tức (Chi phí của sự chậm trễ) = 1/Vòng đời của bằng sáng chế = 1/5 = 0,20</w:t>
      </w:r>
      <w:bookmarkEnd w:id="5890"/>
    </w:p>
    <w:p>
      <w:pPr>
        <w:pStyle w:val="Para 04"/>
        <w:keepLines w:val="on"/>
      </w:pPr>
      <w:r>
        <w:t>Giả sử lãi suất phi rủi ro kỳ hạn năm năm là 5%. Giá trị của quyền chọn có thể được ước tính như sau:</w:t>
      </w:r>
    </w:p>
    <w:p>
      <w:bookmarkStart w:id="5892" w:name="Call_value_33_5_exp_0_250_2250_5"/>
      <w:pPr>
        <w:keepNext/>
        <w:pStyle w:val="Para 07"/>
        <w:keepLines w:val="on"/>
      </w:pPr>
      <w:r>
        <w:t>Giá trị quyền chọn mua = 33,5 × exp^(-0,25) × 0,2250 - 50 × exp^(-0,05×5) × 0,0451 = 1,019 triệu đô la</w:t>
      </w:r>
      <w:bookmarkEnd w:id="5892"/>
    </w:p>
    <w:p>
      <w:pPr>
        <w:pStyle w:val="Para 04"/>
        <w:keepLines w:val="on"/>
      </w:pPr>
      <w:r>
        <w:t>Quyền đối với sản phẩm này, vốn có giá trị hiện tại ròng âm nếu được tung ra ngay hôm nay, trị giá 1,019 triệu đô la. Tuy nhiên, lưu ý rằng, đo bằng N(d2), khả năng dự án này trở nên khả thi trước khi hết hạn là thấp.</w:t>
      </w:r>
    </w:p>
    <w:p>
      <w:pPr>
        <w:pStyle w:val="Para 11"/>
      </w:pPr>
      <w:r>
        <w:t xml:space="preserve"> </w:t>
      </w:r>
    </w:p>
    <w:p>
      <w:bookmarkStart w:id="5893" w:name="delay_xls__This_spreadsheet_enab"/>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57"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5893"/>
    </w:p>
    <w:p>
      <w:pPr>
        <w:pStyle w:val="Para 31"/>
        <w:keepLines w:val="on"/>
      </w:pPr>
      <w:r>
        <w:t>delay.xls: Bảng tính này cho phép bạn ước tính giá trị của một quyền chọn trì hoãn một khoản đầu tư</w:t>
      </w:r>
    </w:p>
    <w:p>
      <w:pPr>
        <w:pStyle w:val="Para 03"/>
        <w:keepLines w:val="on"/>
      </w:pPr>
      <w:r>
        <w:t>.</w:t>
      </w:r>
    </w:p>
    <w:p>
      <w:pPr>
        <w:pStyle w:val="Para 11"/>
      </w:pPr>
      <w:r>
        <w:t xml:space="preserve"> </w:t>
      </w:r>
    </w:p>
    <w:p>
      <w:bookmarkStart w:id="5894" w:name="Arbitrage_Possibilities_and_Opti"/>
      <w:bookmarkStart w:id="5895" w:name="Arbitrage_Possibilities_and_Opti_1"/>
      <w:pPr>
        <w:keepNext/>
        <w:pStyle w:val="Para 27"/>
        <w:keepLines w:val="on"/>
      </w:pPr>
      <w:r>
        <w:t>Các khả năng kinh doanh chênh lệch giá và các mô hình định giá quyền chọn</w:t>
      </w:r>
      <w:bookmarkEnd w:id="5894"/>
      <w:bookmarkEnd w:id="5895"/>
    </w:p>
    <w:p>
      <w:pPr>
        <w:pStyle w:val="Para 16"/>
        <w:keepLines w:val="on"/>
      </w:pPr>
      <w:r>
        <w:t>Phần thảo luận về các mô hình định giá quyền chọn trong Chương 5 đã lưu ý rằng chúng dựa trên hai cấu trúc mạnh mẽ — ý tưởng về danh mục tái tạo và kinh doanh chênh lệch giá. Các mô hình như Black-Scholes và mô hình nhị phân giả định rằng bạn có thể tạo ra một danh mục tái tạo, sử dụng tài sản cơ sở và việc vay hoặc cho vay phi rủi ro, có dòng tiền giống hệt dòng tiền của một quyền chọn. Hơn nữa, các mô hình này giả định rằng vì nhà đầu tư có thể tạo ra các vị thế phi rủi ro bằng cách mua quyền chọn và bán danh mục tái tạo, nên chúng phải được bán với cùng một mức giá. Nếu không, nhà đầu tư sẽ có thể tạo ra các vị thế phi rủi ro và ra về với lợi nhuận được đảm bảo — bản chất của kinh doanh chênh lệch giá. Đây là lý do tại sao lãi suất được sử dụng trong các mô hình định giá quyền chọn là lãi suất phi rủi ro.</w:t>
      </w:r>
    </w:p>
    <w:p>
      <w:pPr>
        <w:pStyle w:val="Para 16"/>
        <w:keepLines w:val="on"/>
      </w:pPr>
      <w:r>
        <w:t>Với các quyền chọn niêm yết trên cổ phiếu hoặc tài sản được giao dịch, kinh doanh chênh lệch giá rõ ràng là khả thi, ít nhất đối với một số nhà đầu tư. Với các quyền chọn trên tài sản không được giao dịch, hầu như không thể giao dịch danh mục tái tạo, mặc dù bạn có thể tạo nó trên giấy. Chẳng hạn, trong Minh họa 28.1, bạn sẽ cần mua 0,225 đơn vị (delta của quyền chọn) của dự án cơ sở (một tài sản không được giao dịch) để tạo ra một danh mục tái tạo quyền chọn mua.</w:t>
      </w:r>
    </w:p>
    <w:p>
      <w:pPr>
        <w:pStyle w:val="Para 16"/>
        <w:keepLines w:val="on"/>
      </w:pPr>
      <w:r>
        <w:t>Có một số người lập luận rằng việc không thể kinh doanh chênh lệch giá khiến cho việc sử dụng các mô hình định giá quyền chọn để định giá các quyền chọn thực là không phù hợp, trong khi những người khác cố gắng điều chỉnh cho hạn chế này bằng cách sử dụng lãi suất cao hơn lãi suất phi rủi ro trong mô hình định giá quyền chọn. Chúng tôi cho rằng cả hai cách phản ứng này đều không phù hợp. Lưu ý rằng mặc dù bạn không thể giao dịch các danh mục tái tạo trong nhiều quyền chọn thực, bạn vẫn có thể tạo chúng trên giấy (như chúng tôi đã làm trong Minh họa 28.1) và định giá các quyền chọn. Những khó khăn trong việc tạo ra các vị thế kinh doanh chênh lệch giá có thể dẫn đến giá cả lệch xa khỏi giá trị này. Việc tăng lãi suất phi rủi ro để phản ánh rủi ro cao hơn gắn với các quyền chọn thực có vẻ như là một cách khắc phục hiển nhiên, nhưng làm điều này chỉ khiến các quyền chọn mua (như quyền chọn được định giá trong Minh họa 28.1) trở nên có giá trị hơn, chứ không phải ít hơn.</w:t>
      </w:r>
    </w:p>
    <w:p>
      <w:pPr>
        <w:pStyle w:val="Para 16"/>
        <w:keepLines w:val="on"/>
      </w:pPr>
      <w:r>
        <w:t>Nếu bạn muốn thận trọng hơn trong ước tính giá trị của mình đối với các quyền chọn thực để phản ánh khó khăn của việc kinh doanh chênh lệch giá, bạn có hai lựa chọn. Một là sử dụng tỷ lệ chiết khấu cao hơn khi tính giá trị hiện tại của dòng tiền mà bạn kỳ vọng sẽ tạo ra từ việc đầu tư vào dự án ngay hôm nay, từ đó hạ thấp giá trị của tài sản cơ sở (S) trong mô hình. Trong Minh họa 28.1, sử dụng tỷ lệ chiết khấu 20 phần trăm thay vì 15 phần trăm sẽ cho ra giá trị hiện tại là 29,1 triệu đô la, con số này sẽ thay thế 33,5 triệu đô la làm S trong mô hình. Lựa chọn còn lại là định giá quyền chọn, rồi áp dụng một khoản chiết khấu kém thanh khoản cho nó (tương tự khoản chúng tôi đã dùng khi định giá các công ty tư nhân), vì bạn không thể giao dịch nó một cách dễ dàng.</w:t>
      </w:r>
    </w:p>
    <w:p>
      <w:bookmarkStart w:id="5897" w:name="Problems_in_Valuing_the_Option_t"/>
      <w:bookmarkStart w:id="5898" w:name="Problems_in_Valuing_the_Option_t_1"/>
      <w:pPr>
        <w:keepNext/>
        <w:pStyle w:val="Heading 3"/>
        <w:keepLines w:val="on"/>
      </w:pPr>
      <w:r>
        <w:t>Những vấn đề khi định giá quyền chọn trì hoãn</w:t>
      </w:r>
      <w:bookmarkEnd w:id="5897"/>
      <w:bookmarkEnd w:id="5898"/>
    </w:p>
    <w:p>
      <w:pPr>
        <w:pStyle w:val="Para 03"/>
      </w:pPr>
      <w:r>
        <w:t>Dù rõ ràng rằng quyền chọn trì hoãn (option to delay) tồn tại trong rất nhiều dự án, vẫn có một số vấn đề gắn liền với việc dùng các mô hình định giá quyền chọn để định giá những quyền chọn này. Thứ nhất, tài sản cơ sở (underlying asset) của quyền chọn này — tức chính dự án — không được giao dịch, khiến việc ước lượng giá trị và phương sai (variance) của nó trở nên khó khăn. Giá trị có thể được ước lượng từ dòng tiền kỳ vọng và tỷ lệ chiết khấu của dự án, dù vẫn có sai số. Tuy nhiên, phương sai còn khó ước lượng hơn nhiều, vì ta đang cố ước lượng mức biến động của giá trị dự án theo thời gian.</w:t>
      </w:r>
    </w:p>
    <w:p>
      <w:pPr>
        <w:pStyle w:val="Para 03"/>
      </w:pPr>
      <w:r>
        <w:t>Thứ hai, hành vi của giá theo thời gian có thể không khớp với đường đi giá mà các mô hình định giá quyền chọn giả định. Cụ thể, giả định rằng giá trị tuân theo một quá trình khuếch tán (diffusion process), và phương sai của giá trị không đổi theo thời gian, có thể rất khó biện minh trong bối cảnh một dự án. Chẳng hạn, một thay đổi công nghệ đột ngột có thể làm giá trị dự án thay đổi chóng mặt, theo hướng tích cực hoặc tiêu cực.</w:t>
      </w:r>
    </w:p>
    <w:p>
      <w:pPr>
        <w:pStyle w:val="Para 03"/>
      </w:pPr>
      <w:r>
        <w:t>Thứ ba, có thể không có một khoảng thời gian cụ thể nào mà doanh nghiệp nắm quyền đối với dự án. Khác với trường hợp bằng sáng chế (patent), khi doanh nghiệp có độc quyền sản xuất sản phẩm đã được cấp bằng trong một khoảng thời gian xác định, quyền của doanh nghiệp đối với một dự án cụ thể thường được xác định kém rõ ràng hơn cả về tính độc quyền lẫn thời hạn. Ví dụ, một doanh nghiệp có thể có lợi thế đáng kể so với đối thủ, và điều này lại mang đến cho nó quyền gần như độc quyền đối với một dự án trong một khoảng thời gian. Một ví dụ là công ty có thương hiệu mạnh trong ngành bán lẻ hoặc hàng tiêu dùng. Tuy nhiên, những quyền này không phải là rào cản pháp lý, và sẽ bị bào mòn theo thời gian. Trong những trường hợp như vậy, vòng đời kỳ vọng của chính dự án là không chắc chắn và chỉ mang tính ước lượng. Ở phần trước, ta đã dùng vòng đời năm năm để định giá quyền đối với sản phẩm cho quyền chọn, nhưng thực tế đối thủ có thể xâm nhập sớm hơn dự kiến. Ngược lại, rào cản gia nhập thị trường có thể lớn hơn kỳ vọng, cho phép doanh nghiệp thu được lợi nhuận vượt trội lâu hơn năm năm. Trớ trêu thay, sự không chắc chắn về vòng đời kỳ vọng của quyền chọn lại có thể làm tăng phương sai của giá trị hiện tại, và qua đó làm tăng giá trị kỳ vọng của quyền đối với dự án.</w:t>
      </w:r>
    </w:p>
    <w:p>
      <w:bookmarkStart w:id="5899" w:name="Implications_and_Extensions_of_D_1"/>
      <w:bookmarkStart w:id="5900" w:name="Implications_and_Extensions_of_D"/>
      <w:pPr>
        <w:keepNext/>
        <w:pStyle w:val="Heading 3"/>
        <w:keepLines w:val="on"/>
      </w:pPr>
      <w:r>
        <w:t>Hàm ý và mở rộng của quyền chọn trì hoãn</w:t>
      </w:r>
      <w:bookmarkEnd w:id="5899"/>
      <w:bookmarkEnd w:id="5900"/>
    </w:p>
    <w:p>
      <w:pPr>
        <w:pStyle w:val="Para 03"/>
      </w:pPr>
      <w:r>
        <w:t>Phân tích quyền chọn trì hoãn một dự án như một quyền chọn mang lại vài hàm ý thú vị. Thứ nhất, một dự án có thể có giá trị hiện tại ròng (net present value) âm ở thời điểm hiện tại dựa trên dòng tiền kỳ vọng, nhưng quyền đối với nó vẫn có thể có giá trị nhờ những đặc tính quyền chọn. Tương tự, quyền độc quyền đối với một công nghệ không khả thi trong một ngành kinh doanh đầy rủi ro có thể đáng giá rất nhiều.</w:t>
      </w:r>
    </w:p>
    <w:p>
      <w:pPr>
        <w:pStyle w:val="Para 03"/>
      </w:pPr>
      <w:r>
        <w:t>Thứ hai, một dự án có thể có giá trị hiện tại ròng dương nhưng vẫn chưa được chấp nhận ngay. Điều này xảy ra vì doanh nghiệp có thể thu lợi bằng cách chờ đợi và chấp nhận dự án trong một giai đoạn tương lai, cũng vì những lý do khiến nhà đầu tư không phải lúc nào cũng thực hiện một quyền chọn đang có lãi (in the money). Doanh nghiệp càng có xu hướng chờ đợi nếu nó nắm quyền đối với dự án trong thời gian dài, như một sự bảo vệ trước cạnh tranh, và nếu phương sai của dòng tiền vào dự án cao. Để minh họa, giả sử một doanh nghiệp có quyền sáng chế sản xuất một loại thiết bị lưu trữ mới cho hệ thống máy tính, và việc xây dựng nhà máy mới sẽ mang lại giá trị hiện tại ròng dương ngay hôm nay. Tuy nhiên, nếu công nghệ sản xuất thiết bị lưu trữ đó đang biến động không ngừng, doanh nghiệp có thể trì hoãn đầu tư vào dự án, với hy vọng công nghệ cải tiến sẽ làm tăng dòng tiền kỳ vọng, và do đó làm tăng giá trị dự án. Doanh nghiệp phải cân nhắc lợi ích này với chi phí của việc trì hoãn dự án, tức là những dòng tiền bị bỏ lỡ do không đầu tư vào nó.</w:t>
      </w:r>
    </w:p>
    <w:p>
      <w:pPr>
        <w:pStyle w:val="Para 03"/>
      </w:pPr>
      <w:r>
        <w:t>Thứ ba, những yếu tố có thể khiến một dự án kém hấp dẫn hơn trong phân tích tĩnh (static analysis) lại thực sự có thể làm quyền đối với dự án đó có giá trị hơn. Lấy ví dụ, hãy xét tác động của sự không chắc chắn về quy mô thị trường tiềm năng và mức độ lợi nhuận vượt trội. Trong phân tích tĩnh, việc gia tăng sự không chắc chắn này làm tăng mức rủi ro của dự án và có thể khiến nó kém hấp dẫn hơn. Khi nhìn dự án như một quyền chọn, việc gia tăng sự không chắc chắn lại thực sự có thể làm quyền chọn có giá trị hơn, chứ không phải kém đi. Chương này sẽ xét hai trường hợp — bằng sáng chế sản phẩm và trữ lượng tài nguyên thiên nhiên — nơi quyền chọn trì hoãn dự án cho phép ước lượng giá trị chính xác hơn.</w:t>
      </w:r>
    </w:p>
    <w:p>
      <w:bookmarkStart w:id="5902" w:name="Option_Pricing_Models__Once_you"/>
      <w:bookmarkStart w:id="5903" w:name="Option_Pricing_Models_1"/>
      <w:pPr>
        <w:keepNext/>
        <w:pStyle w:val="Heading 3"/>
        <w:keepLines w:val="on"/>
      </w:pPr>
      <w:r>
        <w:t>Các mô hình định giá quyền chọn</w:t>
      </w:r>
      <w:bookmarkEnd w:id="5902"/>
      <w:bookmarkEnd w:id="5903"/>
    </w:p>
    <w:p>
      <w:pPr>
        <w:pStyle w:val="Para 03"/>
      </w:pPr>
      <w:r>
        <w:t>Khi bạn đã xác định quyền chọn trì hoãn một dự án là một quyền chọn mua (call option) và đã xác định các đầu vào cần thiết để định giá quyền chọn, việc định giá quyền chọn đó có vẻ như là một việc đơn giản. Tuy nhiên, có một số vấn đề ước lượng nghiêm trọng mà ta phải xử lý khi định giá những quyền chọn này. Chương 5 đã lưu ý rằng dù mô hình tổng quát hơn để định giá quyền chọn là mô hình nhị thức (binomial model), nhiều người hành nghề vẫn dùng mô hình Black-Scholes — vốn đặt ra những giả định hạn chế hơn nhiều về quá trình giá và việc thực hiện sớm — để định giá quyền chọn. Với các quyền chọn niêm yết trên tài sản được giao dịch, bạn có thể làm điều này với chi phí khá thấp. Với quyền chọn thực (real options), việc này có thể tốn kém đáng kể vì những lý do sau:</w:t>
      </w:r>
    </w:p>
    <w:p>
      <w:pPr>
        <w:numPr>
          <w:ilvl w:val="0"/>
          <w:numId w:val="333"/>
        </w:numPr>
        <w:pStyle w:val="Para 01"/>
      </w:pPr>
      <w:r>
        <w:t>Khác với quyền chọn niêm yết, quyền chọn thực có xu hướng được thực hiện sớm nếu chúng đang có lãi. Dù có những cách điều chỉnh mô hình Black-Scholes để cho phép thực hiện sớm, mô hình nhị thức vẫn linh hoạt hơn nhiều.</w:t>
      </w:r>
    </w:p>
    <w:p>
      <w:pPr>
        <w:numPr>
          <w:ilvl w:val="0"/>
          <w:numId w:val="333"/>
        </w:numPr>
        <w:pStyle w:val="Para 01"/>
      </w:pPr>
      <w:r>
        <w:t>Mô hình định giá quyền chọn nhị thức cho phép một phạm vi quá trình giá của tài sản cơ sở rộng hơn nhiều so với mô hình Black-Scholes — vốn giả định giá không chỉ liên tục mà còn phân phối không chuẩn. Với quyền chọn thực, nơi giá trị hiện tại của dòng tiền thường tương đương với giá, các giả định về phân phối không chuẩn và phân phối liên tục có thể rất khó duy trì.</w:t>
      </w:r>
    </w:p>
    <w:p>
      <w:pPr>
        <w:pStyle w:val="Para 03"/>
      </w:pPr>
      <w:r>
        <w:t>Vấn đề lớn nhất với mô hình nhị thức là giá tại mỗi nút của cây nhị thức đều phải được ước lượng. Khi số kỳ tăng lên, việc này sẽ ngày càng khó thực hiện. Tuy nhiên, bạn có thể dùng ước lượng phương sai trong Black-Scholes để đưa ra các thước đo về độ lớn của bước tăng và bước giảm, từ đó dựng nên cây nhị thức.</w:t>
      </w:r>
    </w:p>
    <w:p>
      <w:pPr>
        <w:pStyle w:val="Para 03"/>
      </w:pPr>
      <w:r>
        <w:t>Sau khi đã lập luận ủng hộ mô hình nhị thức, bạn có thể thấy ngạc nhiên khi chúng tôi dùng mô hình Black-Scholes để định giá bất kỳ quyền chọn thực nào. Chúng tôi làm vậy không chỉ vì mô hình này gọn gàng và thanh thoát hơn khi trình bày, mà còn vì chúng tôi tin rằng nó sẽ cho ra một giới hạn dưới (lower bound) của giá trị trong hầu hết các trường hợp. Để có điểm tham chiếu, chúng tôi sẽ trình bày những giá trị mà ta sẽ thu được nếu dùng mô hình nhị thức trong từng trường hợp.</w:t>
      </w:r>
    </w:p>
    <w:p>
      <w:bookmarkStart w:id="5905" w:name="From_Black_Scholes_to_Binomial_2"/>
      <w:bookmarkStart w:id="5906" w:name="From_Black_Scholes_to_Binomial_1"/>
      <w:pPr>
        <w:keepNext/>
        <w:pStyle w:val="Heading 4"/>
        <w:keepLines w:val="on"/>
      </w:pPr>
      <w:r>
        <w:t>Từ Black-Scholes sang nhị thức</w:t>
      </w:r>
      <w:bookmarkEnd w:id="5905"/>
      <w:bookmarkEnd w:id="5906"/>
    </w:p>
    <w:p>
      <w:pPr>
        <w:pStyle w:val="Para 03"/>
      </w:pPr>
      <w:r>
        <w:t>Việc chuyển các đầu vào của mô hình Black-Scholes sang mô hình nhị thức là một bài tập khá đơn giản. Để thực hiện điều chỉnh, bạn phải giả định một quá trình nhị thức nhân (multiplicative binomial process), trong đó độ lớn của các bước nhảy, tính theo phần trăm, không đổi qua từng kỳ. Nếu giả định xác suất đối xứng, bước tăng (u) và bước giảm (d) có thể được ước lượng như một hàm của phương sai đã chuẩn hóa theo năm của quá trình giá và số kỳ mà bạn quyết định chia mỗi năm thành (t).</w:t>
      </w:r>
    </w:p>
    <w:p>
      <w:bookmarkStart w:id="5907" w:name="u_expsdt__r___y___s22_dtd_exp"/>
      <w:pPr>
        <w:keepNext/>
        <w:pStyle w:val="Para 09"/>
        <w:keepLines w:val="on"/>
      </w:pPr>
      <w:r>
        <w:t>u=expσdt+(r−y−σ22)dtd=exp−σdt+(r−y−σ22)dt</w:t>
      </w:r>
      <w:bookmarkEnd w:id="5907"/>
    </w:p>
    <w:p>
      <w:pPr>
        <w:pStyle w:val="Para 03"/>
      </w:pPr>
      <w:r>
        <w:t>trong đó dt = 1/Số kỳ mỗi năm.</w:t>
      </w:r>
    </w:p>
    <w:p>
      <w:pPr>
        <w:pStyle w:val="Para 03"/>
      </w:pPr>
      <w:r>
        <w:t>Để minh họa, hãy xét quyền chọn trì hoãn dự án được định giá trong Minh họa 28.1. Độ lệch chuẩn của giá trị được giả định là 42 phần trăm, lãi suất phi rủi ro là 5%, và tỷ suất cổ tức là 20 phần trăm. Để chuyển các đầu vào sang mô hình nhị thức, giả sử mỗi năm là một kỳ, và ước lượng bước tăng và bước giảm như sau:</w:t>
      </w:r>
    </w:p>
    <w:p>
      <w:bookmarkStart w:id="5908" w:name="u_exp_421___05____20____4222_t_1"/>
      <w:pPr>
        <w:keepNext/>
        <w:pStyle w:val="Para 09"/>
        <w:keepLines w:val="on"/>
      </w:pPr>
      <w:r>
        <w:t>u=exp.421+(.05−.20−.4222)t=1.1994d=exp−.421+(.05−.20−.4222)1t=0.5178</w:t>
      </w:r>
      <w:bookmarkEnd w:id="5908"/>
    </w:p>
    <w:p>
      <w:pPr>
        <w:pStyle w:val="Para 03"/>
      </w:pPr>
      <w:r>
        <w:t>Giá trị hôm nay là 33,5 triệu đô la. Để ước lượng các giá trị cuối kỳ cho nhánh thứ nhất:</w:t>
      </w:r>
    </w:p>
    <w:p>
      <w:bookmarkStart w:id="5909" w:name="Value_with_upward_movement__33_5"/>
      <w:pPr>
        <w:keepNext/>
        <w:pStyle w:val="Para 09"/>
        <w:keepLines w:val="on"/>
      </w:pPr>
      <w:r>
        <w:t>Giá trị khi tăng=$33.5(1.1994)=$40.179 triệu đô laGiá trị khi giảm=$33.5(0.5178)=$17.345 triệu đô la</w:t>
      </w:r>
      <w:bookmarkEnd w:id="5909"/>
    </w:p>
    <w:p>
      <w:pPr>
        <w:pStyle w:val="Para 03"/>
      </w:pPr>
      <w:r>
        <w:t>Sau đó bạn có thể dùng những giá trị này để có được ba giá trị tiềm năng tại nhánh thứ hai. Lưu ý rằng giá trị 17,345 triệu đô la tăng trưởng ở mức 19,94 phần trăm đúng bằng giá trị 40,179 triệu đô la giảm đi 48,22 phần trăm. Cây nhị thức cho năm kỳ được thể hiện trong Hình 28.5.</w:t>
      </w:r>
    </w:p>
    <w:p>
      <w:bookmarkStart w:id="5911" w:name="Figure_28_5_Binomial_Tree_for_D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65300" cy="1854200"/>
            <wp:effectExtent l="0" r="0" t="0" b="0"/>
            <wp:wrapTopAndBottom/>
            <wp:docPr id="258" name="c28f005.png" descr="Binomial tree diagram depicts potential path’s the option’s value take over time considering the delay period and underlying asset price."/>
            <wp:cNvGraphicFramePr>
              <a:graphicFrameLocks noChangeAspect="1"/>
            </wp:cNvGraphicFramePr>
            <a:graphic>
              <a:graphicData uri="http://schemas.openxmlformats.org/drawingml/2006/picture">
                <pic:pic>
                  <pic:nvPicPr>
                    <pic:cNvPr id="0" name="c28f005.png" descr="Binomial tree diagram depicts potential path’s the option’s value take over time considering the delay period and underlying asset price."/>
                    <pic:cNvPicPr/>
                  </pic:nvPicPr>
                  <pic:blipFill>
                    <a:blip r:embed="rId188"/>
                    <a:stretch>
                      <a:fillRect/>
                    </a:stretch>
                  </pic:blipFill>
                  <pic:spPr>
                    <a:xfrm>
                      <a:off x="0" y="0"/>
                      <a:ext cx="1765300" cy="1854200"/>
                    </a:xfrm>
                    <a:prstGeom prst="rect">
                      <a:avLst/>
                    </a:prstGeom>
                  </pic:spPr>
                </pic:pic>
              </a:graphicData>
            </a:graphic>
          </wp:anchor>
        </w:drawing>
      </w:r>
      <w:bookmarkEnd w:id="5911"/>
    </w:p>
    <w:p>
      <w:pPr>
        <w:keepNext/>
        <w:pStyle w:val="Para 22"/>
        <w:keepLines w:val="on"/>
      </w:pPr>
      <w:r>
        <w:t>Hình 28.5 Cây nhị thức cho quyền chọn trì hoãn</w:t>
      </w:r>
    </w:p>
    <w:p>
      <w:pPr>
        <w:pStyle w:val="Para 03"/>
      </w:pPr>
      <w:r>
        <w:t>Bạn có thể ước lượng giá trị của quyền chọn từ cây nhị thức này là 1,02 triệu đô la, cao hơn một chút so với ước lượng thu được từ mô hình Black-Scholes là 1,019 triệu đô la. Khác biệt sẽ thu hẹp lại khi quyền chọn càng có lãi, và khi bạn rút ngắn các kỳ thời gian dùng trong mô hình nhị thức.</w:t>
      </w:r>
    </w:p>
    <w:p>
      <w:bookmarkStart w:id="5912" w:name="Valuing_a_Patent__A_number_of_fi"/>
      <w:bookmarkStart w:id="5913" w:name="Valuing_a_Patent"/>
      <w:pPr>
        <w:keepNext/>
        <w:pStyle w:val="Heading 2"/>
        <w:keepLines w:val="on"/>
      </w:pPr>
      <w:r>
        <w:t>Định giá một Bằng sáng chế</w:t>
      </w:r>
      <w:bookmarkEnd w:id="5912"/>
      <w:bookmarkEnd w:id="5913"/>
    </w:p>
    <w:p>
      <w:pPr>
        <w:pStyle w:val="Para 03"/>
      </w:pPr>
      <w:r>
        <w:t>Nhiều công ty, đặc biệt trong lĩnh vực công nghệ và dược phẩm, có thể cấp bằng sáng chế cho các sản phẩm hoặc dịch vụ. Bằng sáng chế sản phẩm cho công ty quyền độc quyền phát triển và tiếp thị một sản phẩm, và do đó có thể được xem như một quyền chọn (option).</w:t>
      </w:r>
    </w:p>
    <w:p>
      <w:pPr>
        <w:pStyle w:val="Para 20"/>
      </w:pPr>
      <w:r>
        <w:rPr>
          <w:rStyle w:val="Text26"/>
        </w:rPr>
        <w:bookmarkStart w:id="5914" w:name="Page_919"/>
        <w:t/>
        <w:bookmarkEnd w:id="5914"/>
      </w:r>
      <w:r>
        <w:t xml:space="preserve"> </w:t>
      </w:r>
    </w:p>
    <w:p>
      <w:bookmarkStart w:id="5915" w:name="Patents_as_Call_Options"/>
      <w:bookmarkStart w:id="5916" w:name="Patents_as_Call_Options__The_fir"/>
      <w:pPr>
        <w:keepNext/>
        <w:pStyle w:val="Heading 3"/>
        <w:keepLines w:val="on"/>
      </w:pPr>
      <w:r>
        <w:t>Bằng sáng chế như Quyền chọn Mua</w:t>
      </w:r>
      <w:bookmarkEnd w:id="5915"/>
      <w:bookmarkEnd w:id="5916"/>
    </w:p>
    <w:p>
      <w:pPr>
        <w:pStyle w:val="Para 03"/>
      </w:pPr>
      <w:r>
        <w:t>Công ty sẽ chỉ phát triển một bằng sáng chế nếu giá trị hiện tại của dòng tiền kỳ vọng từ việc bán sản phẩm vượt quá chi phí phát triển, như thể hiện trong Hình 28.6. Nếu điều này không xảy ra, công ty có thể xếp bằng sáng chế lại và không phát sinh thêm chi phí nào. Nếu I là giá trị hiện tại của chi phí phát triển thương mại bằng sáng chế, và V là giá trị hiện tại của dòng tiền kỳ vọng từ việc phát triển, thì:</w:t>
      </w:r>
    </w:p>
    <w:p>
      <w:bookmarkStart w:id="5918" w:name="Payoff_from_owning_a_product_pat"/>
      <w:pPr>
        <w:keepNext/>
        <w:pStyle w:val="Para 09"/>
        <w:keepLines w:val="on"/>
      </w:pPr>
      <w:r>
        <w:t>Lợi nhuận từ việc sở hữu bằng sáng chế sản phẩm=V−I nếu V&gt;I=0 nếu V≤I</w:t>
      </w:r>
      <w:bookmarkEnd w:id="5918"/>
    </w:p>
    <w:p>
      <w:bookmarkStart w:id="5919" w:name="Figure_28_6_Payoff_to_Introduci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52600" cy="838200"/>
            <wp:effectExtent l="0" r="0" t="0" b="0"/>
            <wp:wrapTopAndBottom/>
            <wp:docPr id="259" name="c28f006.png" descr="Increase in net payoff to introducing product beyond cost of product production is along present value of expected cash flows on product."/>
            <wp:cNvGraphicFramePr>
              <a:graphicFrameLocks noChangeAspect="1"/>
            </wp:cNvGraphicFramePr>
            <a:graphic>
              <a:graphicData uri="http://schemas.openxmlformats.org/drawingml/2006/picture">
                <pic:pic>
                  <pic:nvPicPr>
                    <pic:cNvPr id="0" name="c28f006.png" descr="Increase in net payoff to introducing product beyond cost of product production is along present value of expected cash flows on product."/>
                    <pic:cNvPicPr/>
                  </pic:nvPicPr>
                  <pic:blipFill>
                    <a:blip r:embed="rId189"/>
                    <a:stretch>
                      <a:fillRect/>
                    </a:stretch>
                  </pic:blipFill>
                  <pic:spPr>
                    <a:xfrm>
                      <a:off x="0" y="0"/>
                      <a:ext cx="1752600" cy="838200"/>
                    </a:xfrm>
                    <a:prstGeom prst="rect">
                      <a:avLst/>
                    </a:prstGeom>
                  </pic:spPr>
                </pic:pic>
              </a:graphicData>
            </a:graphic>
          </wp:anchor>
        </w:drawing>
      </w:r>
      <w:bookmarkEnd w:id="5919"/>
    </w:p>
    <w:p>
      <w:pPr>
        <w:keepNext/>
        <w:pStyle w:val="Para 22"/>
        <w:keepLines w:val="on"/>
      </w:pPr>
      <w:r>
        <w:t>Hình 28.6 Lợi nhuận từ việc Giới thiệu Sản phẩm</w:t>
      </w:r>
    </w:p>
    <w:p>
      <w:pPr>
        <w:pStyle w:val="Para 03"/>
      </w:pPr>
      <w:r>
        <w:t>Như vậy, một bằng sáng chế sản phẩm có thể được xem như một quyền chọn mua (call option), trong đó sản phẩm là tài sản cơ sở (underlying asset).</w:t>
      </w:r>
    </w:p>
    <w:p>
      <w:pPr>
        <w:pStyle w:val="Para 11"/>
      </w:pPr>
      <w:r>
        <w:t xml:space="preserve"> </w:t>
      </w:r>
    </w:p>
    <w:p>
      <w:bookmarkStart w:id="5921" w:name="ILLUSTRATION_28_2__Valuing_a_Pat_1"/>
      <w:bookmarkStart w:id="5922" w:name="ILLUSTRATION_28_2__Valuing_a_Pat"/>
      <w:pPr>
        <w:keepNext/>
        <w:pStyle w:val="Para 19"/>
        <w:keepLines w:val="on"/>
      </w:pPr>
      <w:r>
        <w:t>MINH HỌA 28.2: Định giá một Bằng sáng chế: Avonex năm 1997</w:t>
      </w:r>
      <w:bookmarkEnd w:id="5921"/>
      <w:bookmarkEnd w:id="5922"/>
    </w:p>
    <w:p>
      <w:pPr>
        <w:pStyle w:val="Para 04"/>
        <w:keepLines w:val="on"/>
      </w:pPr>
      <w:r>
        <w:t>Biogen là một công ty công nghệ sinh học sở hữu bằng sáng chế cho một loại thuốc tên là Avonex, đã được FDA phê duyệt để sử dụng trong điều trị bệnh đa xơ cứng (multiple sclerosis – MS). Giả sử bạn đang cố gắng định giá bằng sáng chế này và bạn có các ước tính sau để sử dụng trong mô hình định giá quyền chọn:</w:t>
      </w:r>
    </w:p>
    <w:p>
      <w:pPr>
        <w:numPr>
          <w:ilvl w:val="0"/>
          <w:numId w:val="334"/>
        </w:numPr>
        <w:pStyle w:val="Para 18"/>
        <w:keepLines w:val="on"/>
      </w:pPr>
      <w:r>
        <w:t>Một phân tích nội bộ về tính khả thi tài chính của loại thuốc này hiện nay, dựa trên thị trường tiềm năng và mức giá mà công ty có thể kỳ vọng thu được cho loại thuốc, cho ra giá trị hiện tại của dòng tiền là 3,422 tỷ đô la trước khi xem xét chi phí phát triển ban đầu.</w:t>
      </w:r>
    </w:p>
    <w:p>
      <w:pPr>
        <w:numPr>
          <w:ilvl w:val="0"/>
          <w:numId w:val="334"/>
        </w:numPr>
        <w:pStyle w:val="Para 18"/>
        <w:keepLines w:val="on"/>
      </w:pPr>
      <w:r>
        <w:t>Chi phí ban đầu để phát triển loại thuốc cho mục đích thương mại được ước tính là 2,875 tỷ đô la, nếu loại thuốc được giới thiệu ngay hôm nay.</w:t>
      </w:r>
    </w:p>
    <w:p>
      <w:pPr>
        <w:numPr>
          <w:ilvl w:val="0"/>
          <w:numId w:val="334"/>
        </w:numPr>
        <w:pStyle w:val="Para 18"/>
        <w:keepLines w:val="on"/>
      </w:pPr>
      <w:r>
        <w:t>Công ty giữ bằng sáng chế cho loại thuốc này trong 17 năm tới, và lãi suất trái phiếu kho bạc dài hạn hiện tại là 6,7%.</w:t>
      </w:r>
    </w:p>
    <w:p>
      <w:pPr>
        <w:numPr>
          <w:ilvl w:val="0"/>
          <w:numId w:val="334"/>
        </w:numPr>
        <w:pStyle w:val="Para 18"/>
        <w:keepLines w:val="on"/>
      </w:pPr>
      <w:r>
        <w:t>Phương sai trung bình trong giá trị công ty của các công ty công nghệ sinh học niêm yết công khai là 0,224.</w:t>
      </w:r>
    </w:p>
    <w:p>
      <w:pPr>
        <w:pStyle w:val="Para 04"/>
        <w:keepLines w:val="on"/>
      </w:pPr>
      <w:r>
        <w:t>Chúng ta giả định rằng tiềm năng sinh lợi vượt trội chỉ tồn tại trong thời gian bằng sáng chế còn hiệu lực, và rằng sự cạnh tranh sẽ xóa bỏ lợi nhuận vượt trội sau giai đoạn đó. Do đó, bất kỳ sự chậm trễ nào trong việc giới thiệu loại thuốc, một khi nó trở nên khả thi, sẽ khiến công ty mất đi một năm lợi nhuận được bảo hộ bởi bằng sáng chế. (Đối với phân tích ban đầu, chi phí của sự chậm trễ sẽ là 1/17, năm sau sẽ là 1/16, năm sau nữa là 1/15, và cứ tiếp tục như vậy.)</w:t>
      </w:r>
    </w:p>
    <w:p>
      <w:pPr>
        <w:pStyle w:val="Para 04"/>
        <w:keepLines w:val="on"/>
      </w:pPr>
      <w:r>
        <w:t>Dựa trên những giả định này, chúng ta thu được các thông số đầu vào sau cho mô hình định giá quyền chọn:</w:t>
      </w:r>
    </w:p>
    <w:p>
      <w:bookmarkStart w:id="5924" w:name="Presentvalueofcashflowsfromintro"/>
      <w:pPr>
        <w:pStyle w:val="Para 49"/>
        <w:keepLines w:val="on"/>
      </w:pPr>
      <w:r>
        <w:t>Giá trị hiện tại của dòng tiền từ việc giới thiệu loại thuốc ngay bây giờ=S=3,422 tỷ đô la</w:t>
      </w:r>
      <w:bookmarkEnd w:id="5924"/>
    </w:p>
    <w:p>
      <w:bookmarkStart w:id="5925" w:name="Initialcostofdevelopingdrugforco"/>
      <w:pPr>
        <w:pStyle w:val="Para 49"/>
        <w:keepLines w:val="on"/>
      </w:pPr>
      <w:r>
        <w:t>Chi phí ban đầu để phát triển loại thuốc cho mục đích thương mại (hôm nay)=K=2,875 tỷ đô la</w:t>
      </w:r>
      <w:bookmarkEnd w:id="5925"/>
    </w:p>
    <w:p>
      <w:bookmarkStart w:id="5926" w:name="Patentlife_t_17years"/>
      <w:pPr>
        <w:pStyle w:val="Para 49"/>
        <w:keepLines w:val="on"/>
      </w:pPr>
      <w:r>
        <w:t>Thời gian bằng sáng chế còn hiệu lực=t=17 năm</w:t>
      </w:r>
      <w:bookmarkEnd w:id="5926"/>
    </w:p>
    <w:p>
      <w:bookmarkStart w:id="5927" w:name="Risklessrate_r_6_7__17___yearTre"/>
      <w:pPr>
        <w:pStyle w:val="Para 49"/>
        <w:keepLines w:val="on"/>
      </w:pPr>
      <w:r>
        <w:t>Lãi suất phi rủi ro=r=6,7% (lãi suất trái phiếu kho bạc kỳ hạn 17 năm)</w:t>
      </w:r>
      <w:bookmarkEnd w:id="5927"/>
    </w:p>
    <w:p>
      <w:bookmarkStart w:id="5928" w:name="Varianceinexpectedpresentvalues"/>
      <w:pPr>
        <w:pStyle w:val="Para 49"/>
        <w:keepLines w:val="on"/>
      </w:pPr>
      <w:r>
        <w:t>Phương sai của các giá trị hiện tại kỳ vọng=σ2=0,224</w:t>
      </w:r>
      <w:bookmarkEnd w:id="5928"/>
    </w:p>
    <w:p>
      <w:bookmarkStart w:id="5929" w:name="Expectedcostofdelay_y_1_17_5_89"/>
      <w:pPr>
        <w:pStyle w:val="Para 49"/>
        <w:keepLines w:val="on"/>
      </w:pPr>
      <w:r>
        <w:t>Chi phí chậm trễ kỳ vọng=y=1/17=5,89%</w:t>
      </w:r>
      <w:bookmarkEnd w:id="5929"/>
    </w:p>
    <w:p>
      <w:pPr>
        <w:pStyle w:val="Para 04"/>
        <w:keepLines w:val="on"/>
      </w:pPr>
      <w:r>
        <w:t>Những điều này cho ra các ước tính sau cho d và N(d):</w:t>
      </w:r>
    </w:p>
    <w:p>
      <w:bookmarkStart w:id="5930" w:name="d1_1_1362Nd1_0_8720d2____0_8512N"/>
      <w:pPr>
        <w:keepNext/>
        <w:pStyle w:val="Para 07"/>
        <w:keepLines w:val="on"/>
      </w:pPr>
      <w:r>
        <w:t>d1=1,1362 N(d1)=0,8720 d2=−0,8512 N(d2)=0,2076</w:t>
      </w:r>
      <w:bookmarkEnd w:id="5930"/>
    </w:p>
    <w:p>
      <w:pPr>
        <w:pStyle w:val="Para 04"/>
        <w:keepLines w:val="on"/>
      </w:pPr>
      <w:r>
        <w:t>Thay trở lại vào mô hình định giá quyền chọn Black-Scholes đã điều chỉnh theo cổ tức,3 chúng ta có:</w:t>
      </w:r>
    </w:p>
    <w:p>
      <w:bookmarkStart w:id="5932" w:name="Value_of_the_patent_3_422_exp"/>
      <w:pPr>
        <w:keepNext/>
        <w:pStyle w:val="Para 07"/>
        <w:keepLines w:val="on"/>
      </w:pPr>
      <w:r>
        <w:t>Giá trị của bằng sáng chế=3.422 exp(−0,0589)(17)(0,8720)−2.875 exp(−0,067)(17)(0,2076)=907 triệu đô la</w:t>
      </w:r>
      <w:bookmarkEnd w:id="5932"/>
    </w:p>
    <w:p>
      <w:pPr>
        <w:pStyle w:val="Para 04"/>
        <w:keepLines w:val="on"/>
      </w:pPr>
      <w:r>
        <w:t>Để tạo ra sự tương phản, giá trị hiện tại ròng của dự án này chỉ là 547 triệu đô-la:</w:t>
      </w:r>
    </w:p>
    <w:p>
      <w:bookmarkStart w:id="5934" w:name="NPV__3_422million____2_875millio"/>
      <w:pPr>
        <w:keepNext/>
        <w:pStyle w:val="Para 07"/>
        <w:keepLines w:val="on"/>
      </w:pPr>
      <w:r>
        <w:t>NPV = 3.422 triệu đô-la − 2.875 triệu đô-la = 547 triệu đô-la</w:t>
      </w:r>
      <w:bookmarkEnd w:id="5934"/>
    </w:p>
    <w:p>
      <w:pPr>
        <w:pStyle w:val="Para 04"/>
        <w:keepLines w:val="on"/>
      </w:pPr>
      <w:r>
        <w:t>Mức phí thời gian 360 triệu đô-la của quyền chọn này (907 − 547) cho thấy rằng công ty sẽ có lợi hơn nếu chờ đợi thay vì phát triển thuốc ngay lập tức, bất chấp chi phí của việc trì hoãn. Tuy nhiên, chi phí trì hoãn sẽ tăng lên theo thời gian, và khiến việc thực hiện (phát triển) trở nên khả thi hơn trong những năm tới. Ngoài ra, nếu có các đối thủ đang nghiên cứu những loại thuốc tương tự để điều trị MS, Biogen có thể nhận thấy rằng chi phí chờ đợi trở nên quá cao và sẽ phát triển thuốc ngay lập tức.</w:t>
      </w:r>
    </w:p>
    <w:p>
      <w:pPr>
        <w:pStyle w:val="Para 04"/>
        <w:keepLines w:val="on"/>
      </w:pPr>
      <w:r>
        <w:t>Để minh họa, chúng ta sẽ định giá quyền chọn mua, giả định rằng tất cả các yếu tố đầu vào, ngoại trừ thời hạn bằng sáng chế, đều không thay đổi và chỉ thay đổi thời hạn bằng sáng chế. Ví dụ, giả sử bằng sáng chế còn 16 năm. Giữ nguyên mọi thứ khác, chi phí trì hoãn tăng lên do thời hạn bằng sáng chế ngắn hơn:</w:t>
      </w:r>
    </w:p>
    <w:p>
      <w:bookmarkStart w:id="5935" w:name="Costofdelay_1_16"/>
      <w:pPr>
        <w:keepNext/>
        <w:pStyle w:val="Para 07"/>
        <w:keepLines w:val="on"/>
      </w:pPr>
      <w:r>
        <w:t>Chi phí trì hoãn = 1/16</w:t>
      </w:r>
      <w:bookmarkEnd w:id="5935"/>
    </w:p>
    <w:p>
      <w:pPr>
        <w:pStyle w:val="Para 04"/>
        <w:keepLines w:val="on"/>
      </w:pPr>
      <w:r>
        <w:t>Sự sụt giảm giá trị hiện tại của dòng tiền (chính là S) và sự gia tăng chi phí trì hoãn (y) làm giảm giá trị kỳ vọng của bằng sáng chế. Hình 28.7 vẽ đồ thị giá trị quyền chọn và giá trị hiện tại ròng của dự án theo từng năm.</w:t>
      </w:r>
    </w:p>
    <w:p>
      <w:bookmarkStart w:id="5937" w:name="Figure_28_7_Patent_Value_versus"/>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62200" cy="1460500"/>
            <wp:effectExtent l="0" r="0" t="0" b="0"/>
            <wp:wrapTopAndBottom/>
            <wp:docPr id="260" name="c28f007.png" descr="Line graph plots the decrease in value of patent as option and net present value of patent over number of years left on patent."/>
            <wp:cNvGraphicFramePr>
              <a:graphicFrameLocks noChangeAspect="1"/>
            </wp:cNvGraphicFramePr>
            <a:graphic>
              <a:graphicData uri="http://schemas.openxmlformats.org/drawingml/2006/picture">
                <pic:pic>
                  <pic:nvPicPr>
                    <pic:cNvPr id="0" name="c28f007.png" descr="Line graph plots the decrease in value of patent as option and net present value of patent over number of years left on patent."/>
                    <pic:cNvPicPr/>
                  </pic:nvPicPr>
                  <pic:blipFill>
                    <a:blip r:embed="rId190"/>
                    <a:stretch>
                      <a:fillRect/>
                    </a:stretch>
                  </pic:blipFill>
                  <pic:spPr>
                    <a:xfrm>
                      <a:off x="0" y="0"/>
                      <a:ext cx="2362200" cy="1460500"/>
                    </a:xfrm>
                    <a:prstGeom prst="rect">
                      <a:avLst/>
                    </a:prstGeom>
                  </pic:spPr>
                </pic:pic>
              </a:graphicData>
            </a:graphic>
          </wp:anchor>
        </w:drawing>
      </w:r>
      <w:bookmarkEnd w:id="5937"/>
    </w:p>
    <w:p>
      <w:pPr>
        <w:keepNext/>
        <w:pStyle w:val="Para 38"/>
        <w:keepLines w:val="on"/>
      </w:pPr>
      <w:r>
        <w:t>Hình 28.7 Giá trị bằng sáng chế so với giá trị hiện tại ròng</w:t>
      </w:r>
    </w:p>
    <w:p>
      <w:pPr>
        <w:pStyle w:val="Para 04"/>
        <w:keepLines w:val="on"/>
      </w:pPr>
      <w:r>
        <w:t>Dựa trên phân tích này, nếu không có gì thay đổi, bạn kỳ vọng Avonex sẽ có giá trị như một sản phẩm thương mại cao hơn giá trị như một bằng sáng chế nếu bằng sáng chế còn ít hơn mười hai năm, và đó cũng sẽ là thời điểm tối ưu để phát triển sản phẩm về mặt thương mại.4</w:t>
      </w:r>
    </w:p>
    <w:p>
      <w:pPr>
        <w:pStyle w:val="Para 20"/>
      </w:pPr>
      <w:r>
        <w:rPr>
          <w:rStyle w:val="Text26"/>
        </w:rPr>
        <w:bookmarkStart w:id="5939" w:name="Page_922"/>
        <w:t/>
        <w:bookmarkEnd w:id="5939"/>
      </w:r>
      <w:r>
        <w:t xml:space="preserve"> </w:t>
      </w:r>
    </w:p>
    <w:p>
      <w:pPr>
        <w:pStyle w:val="Para 11"/>
      </w:pPr>
      <w:r>
        <w:t xml:space="preserve"> </w:t>
      </w:r>
    </w:p>
    <w:p>
      <w:bookmarkStart w:id="5940" w:name="product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61"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5940"/>
    </w:p>
    <w:p>
      <w:pPr>
        <w:pStyle w:val="Para 31"/>
        <w:keepLines w:val="on"/>
      </w:pPr>
      <w:r>
        <w:t>product.xls: Bảng tính này cho phép bạn ước tính giá trị của một bằng sáng chế, nếu bạn nhập các giá trị cho dòng tiền kỳ vọng (hiện tại) từ việc phát triển bằng sáng chế, và chi phí để chuyển đổi bằng sáng chế thành sản phẩm thương mại.</w:t>
      </w:r>
    </w:p>
    <w:p>
      <w:pPr>
        <w:pStyle w:val="Para 11"/>
      </w:pPr>
      <w:r>
        <w:t xml:space="preserve"> </w:t>
      </w:r>
    </w:p>
    <w:p>
      <w:bookmarkStart w:id="5941" w:name="Competitive_Pressures_and_Option_1"/>
      <w:bookmarkStart w:id="5942" w:name="Competitive_Pressures_and_Option"/>
      <w:pPr>
        <w:keepNext/>
        <w:pStyle w:val="Para 27"/>
        <w:keepLines w:val="on"/>
      </w:pPr>
      <w:r>
        <w:t>Áp lực cạnh tranh và giá trị quyền chọn</w:t>
      </w:r>
      <w:bookmarkEnd w:id="5941"/>
      <w:bookmarkEnd w:id="5942"/>
    </w:p>
    <w:p>
      <w:pPr>
        <w:pStyle w:val="Para 16"/>
        <w:keepLines w:val="on"/>
      </w:pPr>
      <w:r>
        <w:t>Phần trước đã giả định rằng một công ty được bảo vệ khỏi cạnh tranh trong suốt thời hạn của bằng sáng chế. Điều này nói chung chỉ đúng với sản phẩm hoặc quy trình được cấp bằng sáng chế, nhưng công ty vẫn có thể đối mặt với cạnh tranh từ các công ty khác tung ra sản phẩm riêng của họ để phục vụ cùng một thị trường. Cụ thể hơn, Biogen có thể cấp bằng sáng chế cho Avonex, nhưng Merck hoặc Pfizer có thể tạo ra thuốc riêng của họ để điều trị bệnh đa xơ cứng và cạnh tranh với Biogen.</w:t>
      </w:r>
    </w:p>
    <w:p>
      <w:pPr>
        <w:pStyle w:val="Para 16"/>
        <w:keepLines w:val="on"/>
      </w:pPr>
      <w:r>
        <w:t>Điều này có ý nghĩa gì đối với giá trị của bằng sáng chế như một quyền chọn? Thứ nhất, thời hạn của quyền chọn sẽ không còn là thời hạn của bằng sáng chế nữa mà là khoảng thời gian dẫn trước mà công ty tin rằng mình có được cho đến khi một sản phẩm cạnh tranh được phát triển. Ví dụ, nếu Biogen biết rằng một công ty dược phẩm khác đang nghiên cứu một loại thuốc để điều trị MS và biết loại thuốc này đang ở giai đoạn nào trong quy trình nghiên cứu (nghiên cứu ban đầu hay giai đoạn trong quy trình phê duyệt của FDA), nó có thể sử dụng ước tính của mình về thời gian cần thiết trước khi thuốc được phê duyệt để sử dụng làm thời hạn của quyền chọn. Điều này sẽ làm giảm giá trị của quyền chọn và khiến việc phát triển thuốc về mặt thương mại sớm hơn thay vì muộn hơn trở nên khả thi hơn.</w:t>
      </w:r>
    </w:p>
    <w:p>
      <w:pPr>
        <w:pStyle w:val="Para 16"/>
        <w:keepLines w:val="on"/>
      </w:pPr>
      <w:r>
        <w:t>Sự hiện diện của những áp lực cạnh tranh này có thể giải thích tại sao việc phát triển thương mại diễn ra nhanh chóng hơn nhiều với một số loại thuốc so với những loại khác, và tại sao giá trị của bằng sáng chế không phải lúc nào cũng lớn hơn định giá theo dòng tiền chiết khấu. Nói chung, càng có nhiều sản phẩm cạnh tranh trong quy trình nghiên cứu, thì khả năng mô hình định giá quyền chọn tạo ra giá trị lớn hơn mô hình dòng tiền chiết khấu truyền thống càng thấp.</w:t>
      </w:r>
    </w:p>
    <w:p>
      <w:bookmarkStart w:id="5943" w:name="Valuing_a_Firm_with_Patents__If"/>
      <w:bookmarkStart w:id="5944" w:name="Valuing_a_Firm_with_Patents"/>
      <w:pPr>
        <w:keepNext/>
        <w:pStyle w:val="Heading 3"/>
        <w:keepLines w:val="on"/>
      </w:pPr>
      <w:r>
        <w:t>Định giá một công ty sở hữu bằng sáng chế</w:t>
      </w:r>
      <w:bookmarkEnd w:id="5943"/>
      <w:bookmarkEnd w:id="5944"/>
    </w:p>
    <w:p>
      <w:pPr>
        <w:pStyle w:val="Para 03"/>
      </w:pPr>
      <w:r>
        <w:t>Nếu các bằng sáng chế mà một công ty sở hữu có thể được định giá như các quyền chọn, thì ước tính này có thể được đưa vào giá trị công ty như thế nào? Giá trị của một công ty mà giá trị chủ yếu đến từ các sản phẩm thương mại phát sinh từ bằng sáng chế của mình có thể được viết dưới dạng hàm của ba biến số:</w:t>
      </w:r>
    </w:p>
    <w:p>
      <w:pPr>
        <w:numPr>
          <w:ilvl w:val="0"/>
          <w:numId w:val="335"/>
        </w:numPr>
        <w:pStyle w:val="Para 01"/>
      </w:pPr>
      <w:r>
        <w:t>Dòng tiền mà nó thu được từ các bằng sáng chế đã được chuyển đổi thành sản phẩm thương mại.</w:t>
      </w:r>
    </w:p>
    <w:p>
      <w:pPr>
        <w:numPr>
          <w:ilvl w:val="0"/>
          <w:numId w:val="335"/>
        </w:numPr>
        <w:pStyle w:val="Para 01"/>
      </w:pPr>
      <w:r>
        <w:t>Giá trị của các bằng sáng chế mà nó đã sở hữu nhưng chưa được phát triển về mặt thương mại.</w:t>
      </w:r>
    </w:p>
    <w:p>
      <w:pPr>
        <w:numPr>
          <w:ilvl w:val="0"/>
          <w:numId w:val="335"/>
        </w:numPr>
        <w:pStyle w:val="Para 01"/>
      </w:pPr>
      <w:r>
        <w:t>Giá trị kỳ vọng của bất kỳ bằng sáng chế nào mà công ty có thể được kỳ vọng tạo ra trong các giai đoạn tương lai từ những bằng sáng chế mới mà nó có thể có được nhờ hoạt động nghiên cứu của mình.</w:t>
      </w:r>
    </w:p>
    <w:p>
      <w:bookmarkStart w:id="5945" w:name="Value_of_firm_Value_of_commercia"/>
      <w:pPr>
        <w:keepNext/>
        <w:pStyle w:val="Para 09"/>
        <w:keepLines w:val="on"/>
      </w:pPr>
      <w:r>
        <w:t>Giá trị công ty = Giá trị sản phẩm thương mại + Giá trị bằng sáng chế hiện có + (Giá trị bằng sáng chế mới sẽ có được trong tương lai − Chi phí để có được những bằng sáng chế này)</w:t>
      </w:r>
      <w:bookmarkEnd w:id="5945"/>
    </w:p>
    <w:p>
      <w:pPr>
        <w:pStyle w:val="Para 03"/>
      </w:pPr>
      <w:r>
        <w:t>Dòng tiền kỳ vọng từ các sản phẩm hiện có có thể được ước tính cho vòng đời thương mại của chúng và chiết khấu về hiện tại theo chi phí vốn phù hợp để tính ra giá trị của những sản phẩm này. Giá trị của thành phần thứ hai có thể có được bằng cách sử dụng mô hình định giá quyền chọn đã mô tả trước đó để định giá từng bằng sáng chế. Giá trị của thành phần thứ ba sẽ dựa trên nhận thức về năng lực nghiên cứu của một công ty. Trong trường hợp đặc biệt khi chi phí nghiên cứu và phát triển kỳ vọng trong các giai đoạn tương lai bằng với giá trị của các bằng sáng chế mà hoạt động nghiên cứu này sẽ tạo ra, thì giá trị của nó sẽ trở thành bằng không. Trong trường hợp tổng quát hơn, những công ty có lịch sử tạo ra giá trị từ nghiên cứu cũng sẽ thu được giá trị dương từ thành phần này. Cũng có khả năng một số công ty phá hủy giá trị bằng hoạt động nghiên cứu đang diễn ra, khi chi phí nghiên cứu vượt quá giá trị được tạo ra.</w:t>
      </w:r>
    </w:p>
    <w:p>
      <w:pPr>
        <w:pStyle w:val="Para 03"/>
      </w:pPr>
      <w:r>
        <w:t>Ước tính tổng thể về giá trị thu được bằng cách sử dụng phương pháp này sẽ tương phản như thế nào với ước tính thu được từ mô hình dòng tiền chiết khấu truyền thống? Trong định giá theo dòng tiền chiết khấu truyền thống, thành phần thứ hai và thứ ba của giá trị được thể hiện trong tốc độ tăng trưởng kỳ vọng của dòng tiền. Các công ty được phép tăng trưởng ở mức cao hơn nhiều trong thời gian dài hơn nhờ những bằng sáng chế mà họ sở hữu và năng lực nghiên cứu của họ. Ngược lại, phương pháp được mô tả trong phần này xem xét từng bằng sáng chế riêng biệt và cho phép thể hiện rõ ràng thành phần quyền chọn của giá trị.</w:t>
      </w:r>
    </w:p>
    <w:p>
      <w:pPr>
        <w:pStyle w:val="Para 03"/>
      </w:pPr>
      <w:r>
        <w:t>Hạn chế lớn nhất của phương pháp dựa trên quyền chọn là thông tin cần thiết để áp dụng nó vào thực tế. Để định giá từng bằng sáng chế riêng biệt, bạn cần tiếp cận thông tin độc quyền mà thường chỉ có các nhà quản lý của công ty mới có. Trên thực tế, một số thông tin, chẳng hạn như phương sai kỳ vọng dùng trong định giá quyền chọn, thậm chí có thể không có sẵn cho cả người trong nội bộ và sẽ phải được ước tính riêng cho từng bằng sáng chế.</w:t>
      </w:r>
    </w:p>
    <w:p>
      <w:pPr>
        <w:pStyle w:val="Para 03"/>
      </w:pPr>
      <w:r>
        <w:t>Với những hạn chế này, phương pháp quyền chọn thực nên được sử dụng để định giá các công ty nhỏ chỉ có một hoặc hai bằng sáng chế và ít tài sản đã được thiết lập. Một ví dụ điển hình là Biogen vào năm 1997, được định giá trong Minh họa 28.3. Đối với những công ty đã được thiết lập hơn, có tài sản đáng kể tại chỗ và hàng chục bằng sáng chế, định giá theo dòng tiền chiết khấu là lựa chọn thực tế hơn.</w:t>
      </w:r>
    </w:p>
    <w:p>
      <w:pPr>
        <w:pStyle w:val="Para 11"/>
      </w:pPr>
      <w:r>
        <w:t xml:space="preserve"> </w:t>
      </w:r>
    </w:p>
    <w:p>
      <w:bookmarkStart w:id="5947" w:name="ILLUSTRATION_28_3__Valuing_Bioge_1"/>
      <w:bookmarkStart w:id="5948" w:name="ILLUSTRATION_28_3__Valuing_Bioge"/>
      <w:pPr>
        <w:keepNext/>
        <w:pStyle w:val="Para 19"/>
        <w:keepLines w:val="on"/>
      </w:pPr>
      <w:r>
        <w:t>MINH HỌA 28.3: Định giá Biogen như một công ty vào năm 1997</w:t>
      </w:r>
      <w:bookmarkEnd w:id="5947"/>
      <w:bookmarkEnd w:id="5948"/>
    </w:p>
    <w:p>
      <w:pPr>
        <w:pStyle w:val="Para 04"/>
        <w:keepLines w:val="on"/>
      </w:pPr>
      <w:r>
        <w:t>Trong minh họa 28.2, bằng sáng chế mà Biogen sở hữu đối với Avonex đã được định giá như một quyền chọn mua, và giá trị ước tính là 907 triệu đô-la. Để định giá Biogen như một công ty, cần phải xem xét hai thành phần giá trị khác:</w:t>
      </w:r>
    </w:p>
    <w:p>
      <w:pPr>
        <w:numPr>
          <w:ilvl w:val="0"/>
          <w:numId w:val="336"/>
        </w:numPr>
        <w:pStyle w:val="Para 18"/>
        <w:keepLines w:val="on"/>
      </w:pPr>
      <w:r>
        <w:t>Biogen có hai sản phẩm thương mại (một loại thuốc điều trị viêm gan B và một loại thuốc ung thư tên là Intron) vào thời điểm định giá này mà công ty đã cấp phép cho các hãng dược phẩm khác. Phí cấp phép (trước thuế) từ các sản phẩm này được kỳ vọng sẽ tạo ra 50 triệu đô la dòng tiền sau thuế mỗi năm trong mười hai năm tới. Để định giá những dòng tiền này, vốn được đảm bảo bằng hợp đồng, chi phí nợ trước thuế của các hãng cấp phép (7%) được dùng làm tỷ lệ chiết khấu, vì rủi ro chính là rủi ro vỡ nợ của các hãng này:</w:t>
      </w:r>
    </w:p>
    <w:p>
      <w:bookmarkStart w:id="5950" w:name="Present_value_of_license_fees__5"/>
      <w:pPr>
        <w:keepNext/>
        <w:pStyle w:val="Para 07"/>
        <w:keepLines w:val="on"/>
      </w:pPr>
      <w:r>
        <w:t>Giá trị hiện tại của phí cấp phép = $50 × (1 - 1.07^-12) / 0.07 = 397,13 triệu đô la</w:t>
      </w:r>
      <w:bookmarkEnd w:id="5950"/>
    </w:p>
    <w:p>
      <w:pPr>
        <w:numPr>
          <w:ilvl w:val="0"/>
          <w:numId w:val="336"/>
        </w:numPr>
        <w:pStyle w:val="Para 18"/>
        <w:keepLines w:val="on"/>
      </w:pPr>
      <w:r>
        <w:t>Biogen tiếp tục tài trợ cho nghiên cứu các sản phẩm mới, chi khoảng 100 triệu đô la cho R&amp;D trong năm gần nhất. Chi phí R&amp;D này được kỳ vọng sẽ tăng 20% mỗi năm trong 10 năm tới và 5% mỗi năm sau đó. Dù rất khó dự báo những bằng sáng chế cụ thể nào sẽ ra đời từ nghiên cứu này, người ta giả định rằng mỗi đô la đầu tư vào nghiên cứu sẽ tạo ra 1,25 đô la giá trị bằng sáng chế⁵ (được định giá bằng mô hình định giá quyền chọn đã mô tả trước đó) trong 10 năm tới, và hòa vốn sau đó (tức là tạo ra 1 đô la giá trị bằng sáng chế cho mỗi 1 đô la đầu tư vào R&amp;D). Có một mức độ rủi ro đáng kể gắn với thành phần này, và chi phí vốn được ước tính là 15%.⁶ Giá trị của thành phần này sau đó được ước tính như sau:</w:t>
      </w:r>
    </w:p>
    <w:p>
      <w:bookmarkStart w:id="5954" w:name="Value_of_future_research____t_1t"/>
      <w:pPr>
        <w:keepNext/>
        <w:pStyle w:val="Para 07"/>
        <w:keepLines w:val="on"/>
      </w:pPr>
      <w:r>
        <w:t>Giá trị của nghiên cứu trong tương lai = ∑(t=1 đến t=n) (Giá trị của bằng sáng chế_t - R&amp;D_t) / (1+r)^t</w:t>
      </w:r>
      <w:bookmarkEnd w:id="5954"/>
    </w:p>
    <w:p>
      <w:pPr>
        <w:pStyle w:val="Para 04"/>
        <w:keepLines w:val="on"/>
      </w:pPr>
      <w:r>
        <w:t>Bảng 28.1 tóm tắt giá trị bằng sáng chế được tạo ra trong mỗi kỳ, và chi phí R&amp;D trong kỳ đó. Lưu ý rằng không có giá trị thặng dư nào được tạo ra sau năm thứ mười:</w:t>
      </w:r>
    </w:p>
    <w:p>
      <w:pPr>
        <w:pStyle w:val="Para 25"/>
        <w:keepLines w:val="on"/>
      </w:pPr>
      <w:r>
        <w:t>Bảng 28.1</w:t>
      </w:r>
    </w:p>
    <w:p>
      <w:pPr>
        <w:keepNext/>
        <w:pStyle w:val="Para 24"/>
        <w:keepLines w:val="on"/>
      </w:pPr>
      <w:r>
        <w:t>Định giá hoạt động R&amp;D đang tiếp diễn tại Biogen</w:t>
      </w:r>
    </w:p>
    <w:tbl>
      <w:tblPr>
        <w:tblW w:type="auto" w:w="0"/>
      </w:tblPr>
      <w:tr>
        <w:tc>
          <w:tcPr>
            <w:tcW w:type="auto" w:w="0"/>
          </w:tcPr>
          <w:tbl>
            <w:tblPr>
              <w:tblW w:type="auto" w:w="0"/>
            </w:tblPr>
            <w:tr>
              <w:tc>
                <w:tcPr>
                  <w:tcW w:type="auto" w:w="0"/>
                  <w:shd w:val="clear" w:color="auto" w:fill="F0F0F0"/>
                </w:tcPr>
                <w:p>
                  <w:pPr>
                    <w:pStyle w:val="Para 32"/>
                    <w:keepLines w:val="on"/>
                  </w:pPr>
                  <w:r>
                    <w:t>Năm</w:t>
                  </w:r>
                </w:p>
              </w:tc>
              <w:tc>
                <w:tcPr>
                  <w:tcW w:type="auto" w:w="0"/>
                  <w:shd w:val="clear" w:color="auto" w:fill="F0F0F0"/>
                </w:tcPr>
                <w:p>
                  <w:pPr>
                    <w:pStyle w:val="Para 32"/>
                    <w:keepLines w:val="on"/>
                  </w:pPr>
                  <w:r>
                    <w:t>Giá trị bằng sáng chế</w:t>
                  </w:r>
                </w:p>
              </w:tc>
              <w:tc>
                <w:tcPr>
                  <w:tcW w:type="auto" w:w="0"/>
                  <w:shd w:val="clear" w:color="auto" w:fill="F0F0F0"/>
                </w:tcPr>
                <w:p>
                  <w:pPr>
                    <w:pStyle w:val="Para 32"/>
                    <w:keepLines w:val="on"/>
                  </w:pPr>
                  <w:r>
                    <w:t>Chi phí R&amp;D</w:t>
                  </w:r>
                </w:p>
              </w:tc>
              <w:tc>
                <w:tcPr>
                  <w:tcW w:type="auto" w:w="0"/>
                  <w:shd w:val="clear" w:color="auto" w:fill="F0F0F0"/>
                </w:tcPr>
                <w:p>
                  <w:pPr>
                    <w:pStyle w:val="Para 32"/>
                    <w:keepLines w:val="on"/>
                  </w:pPr>
                  <w:r>
                    <w:t>Giá trị vượt trội</w:t>
                  </w:r>
                </w:p>
              </w:tc>
              <w:tc>
                <w:tcPr>
                  <w:tcW w:type="auto" w:w="0"/>
                  <w:shd w:val="clear" w:color="auto" w:fill="F0F0F0"/>
                </w:tcPr>
                <w:p>
                  <w:pPr>
                    <w:pStyle w:val="Para 32"/>
                    <w:keepLines w:val="on"/>
                  </w:pPr>
                  <w:r>
                    <w:t>Giá trị hiện tại ở mức 15%</w:t>
                  </w:r>
                </w:p>
              </w:tc>
            </w:tr>
            <w:tr>
              <w:tc>
                <w:tcPr>
                  <w:tcW w:type="auto" w:w="0"/>
                  <w:shd w:val="clear" w:color="auto" w:fill="F0F0F0"/>
                </w:tcPr>
                <w:p>
                  <w:pPr>
                    <w:pStyle w:val="Para 02"/>
                    <w:keepLines w:val="on"/>
                  </w:pPr>
                  <w:r>
                    <w:t>1</w:t>
                  </w:r>
                </w:p>
              </w:tc>
              <w:tc>
                <w:tcPr>
                  <w:tcW w:type="auto" w:w="0"/>
                  <w:shd w:val="clear" w:color="auto" w:fill="F0F0F0"/>
                </w:tcPr>
                <w:p>
                  <w:pPr>
                    <w:pStyle w:val="Normal"/>
                    <w:keepLines w:val="on"/>
                  </w:pPr>
                  <w:r>
                    <w:t>$150,00</w:t>
                  </w:r>
                </w:p>
              </w:tc>
              <w:tc>
                <w:tcPr>
                  <w:tcW w:type="auto" w:w="0"/>
                  <w:shd w:val="clear" w:color="auto" w:fill="F0F0F0"/>
                </w:tcPr>
                <w:p>
                  <w:pPr>
                    <w:pStyle w:val="Normal"/>
                    <w:keepLines w:val="on"/>
                  </w:pPr>
                  <w:r>
                    <w:t>$120,00</w:t>
                  </w:r>
                </w:p>
              </w:tc>
              <w:tc>
                <w:tcPr>
                  <w:tcW w:type="auto" w:w="0"/>
                  <w:shd w:val="clear" w:color="auto" w:fill="F0F0F0"/>
                </w:tcPr>
                <w:p>
                  <w:pPr>
                    <w:pStyle w:val="Normal"/>
                    <w:keepLines w:val="on"/>
                  </w:pPr>
                  <w:r>
                    <w:t>$30,00</w:t>
                  </w:r>
                </w:p>
              </w:tc>
              <w:tc>
                <w:tcPr>
                  <w:tcW w:type="auto" w:w="0"/>
                  <w:shd w:val="clear" w:color="auto" w:fill="F0F0F0"/>
                </w:tcPr>
                <w:p>
                  <w:pPr>
                    <w:pStyle w:val="Normal"/>
                    <w:keepLines w:val="on"/>
                  </w:pPr>
                  <w:r>
                    <w:t>$26,09</w:t>
                  </w:r>
                </w:p>
              </w:tc>
            </w:tr>
            <w:tr>
              <w:tc>
                <w:tcPr>
                  <w:tcW w:type="auto" w:w="0"/>
                  <w:shd w:val="clear" w:color="auto" w:fill="F0F0F0"/>
                </w:tcPr>
                <w:p>
                  <w:pPr>
                    <w:pStyle w:val="Para 02"/>
                    <w:keepLines w:val="on"/>
                  </w:pPr>
                  <w:r>
                    <w:t>2</w:t>
                  </w:r>
                </w:p>
              </w:tc>
              <w:tc>
                <w:tcPr>
                  <w:tcW w:type="auto" w:w="0"/>
                  <w:shd w:val="clear" w:color="auto" w:fill="F0F0F0"/>
                </w:tcPr>
                <w:p>
                  <w:pPr>
                    <w:pStyle w:val="Normal"/>
                    <w:keepLines w:val="on"/>
                  </w:pPr>
                  <w:r>
                    <w:t>$180,00</w:t>
                  </w:r>
                </w:p>
              </w:tc>
              <w:tc>
                <w:tcPr>
                  <w:tcW w:type="auto" w:w="0"/>
                  <w:shd w:val="clear" w:color="auto" w:fill="F0F0F0"/>
                </w:tcPr>
                <w:p>
                  <w:pPr>
                    <w:pStyle w:val="Normal"/>
                    <w:keepLines w:val="on"/>
                  </w:pPr>
                  <w:r>
                    <w:t>$144,00</w:t>
                  </w:r>
                </w:p>
              </w:tc>
              <w:tc>
                <w:tcPr>
                  <w:tcW w:type="auto" w:w="0"/>
                  <w:shd w:val="clear" w:color="auto" w:fill="F0F0F0"/>
                </w:tcPr>
                <w:p>
                  <w:pPr>
                    <w:pStyle w:val="Normal"/>
                    <w:keepLines w:val="on"/>
                  </w:pPr>
                  <w:r>
                    <w:t>$36,00</w:t>
                  </w:r>
                </w:p>
              </w:tc>
              <w:tc>
                <w:tcPr>
                  <w:tcW w:type="auto" w:w="0"/>
                  <w:shd w:val="clear" w:color="auto" w:fill="F0F0F0"/>
                </w:tcPr>
                <w:p>
                  <w:pPr>
                    <w:pStyle w:val="Normal"/>
                    <w:keepLines w:val="on"/>
                  </w:pPr>
                  <w:r>
                    <w:t>$27,22</w:t>
                  </w:r>
                </w:p>
              </w:tc>
            </w:tr>
            <w:tr>
              <w:tc>
                <w:tcPr>
                  <w:tcW w:type="auto" w:w="0"/>
                  <w:shd w:val="clear" w:color="auto" w:fill="F0F0F0"/>
                </w:tcPr>
                <w:p>
                  <w:pPr>
                    <w:pStyle w:val="Para 02"/>
                    <w:keepLines w:val="on"/>
                  </w:pPr>
                  <w:r>
                    <w:t>3</w:t>
                  </w:r>
                </w:p>
              </w:tc>
              <w:tc>
                <w:tcPr>
                  <w:tcW w:type="auto" w:w="0"/>
                  <w:shd w:val="clear" w:color="auto" w:fill="F0F0F0"/>
                </w:tcPr>
                <w:p>
                  <w:pPr>
                    <w:pStyle w:val="Normal"/>
                    <w:keepLines w:val="on"/>
                  </w:pPr>
                  <w:r>
                    <w:t>$216,00</w:t>
                  </w:r>
                </w:p>
              </w:tc>
              <w:tc>
                <w:tcPr>
                  <w:tcW w:type="auto" w:w="0"/>
                  <w:shd w:val="clear" w:color="auto" w:fill="F0F0F0"/>
                </w:tcPr>
                <w:p>
                  <w:pPr>
                    <w:pStyle w:val="Normal"/>
                    <w:keepLines w:val="on"/>
                  </w:pPr>
                  <w:r>
                    <w:t>$172,80</w:t>
                  </w:r>
                </w:p>
              </w:tc>
              <w:tc>
                <w:tcPr>
                  <w:tcW w:type="auto" w:w="0"/>
                  <w:shd w:val="clear" w:color="auto" w:fill="F0F0F0"/>
                </w:tcPr>
                <w:p>
                  <w:pPr>
                    <w:pStyle w:val="Normal"/>
                    <w:keepLines w:val="on"/>
                  </w:pPr>
                  <w:r>
                    <w:t>$43,20</w:t>
                  </w:r>
                </w:p>
              </w:tc>
              <w:tc>
                <w:tcPr>
                  <w:tcW w:type="auto" w:w="0"/>
                  <w:shd w:val="clear" w:color="auto" w:fill="F0F0F0"/>
                </w:tcPr>
                <w:p>
                  <w:pPr>
                    <w:pStyle w:val="Normal"/>
                    <w:keepLines w:val="on"/>
                  </w:pPr>
                  <w:r>
                    <w:t>$28,40</w:t>
                  </w:r>
                </w:p>
              </w:tc>
            </w:tr>
            <w:tr>
              <w:tc>
                <w:tcPr>
                  <w:tcW w:type="auto" w:w="0"/>
                  <w:shd w:val="clear" w:color="auto" w:fill="F0F0F0"/>
                </w:tcPr>
                <w:p>
                  <w:pPr>
                    <w:pStyle w:val="Para 02"/>
                    <w:keepLines w:val="on"/>
                  </w:pPr>
                  <w:r>
                    <w:t>4</w:t>
                  </w:r>
                </w:p>
              </w:tc>
              <w:tc>
                <w:tcPr>
                  <w:tcW w:type="auto" w:w="0"/>
                  <w:shd w:val="clear" w:color="auto" w:fill="F0F0F0"/>
                </w:tcPr>
                <w:p>
                  <w:pPr>
                    <w:pStyle w:val="Normal"/>
                    <w:keepLines w:val="on"/>
                  </w:pPr>
                  <w:r>
                    <w:t>$259,20</w:t>
                  </w:r>
                </w:p>
              </w:tc>
              <w:tc>
                <w:tcPr>
                  <w:tcW w:type="auto" w:w="0"/>
                  <w:shd w:val="clear" w:color="auto" w:fill="F0F0F0"/>
                </w:tcPr>
                <w:p>
                  <w:pPr>
                    <w:pStyle w:val="Normal"/>
                    <w:keepLines w:val="on"/>
                  </w:pPr>
                  <w:r>
                    <w:t>$207,36</w:t>
                  </w:r>
                </w:p>
              </w:tc>
              <w:tc>
                <w:tcPr>
                  <w:tcW w:type="auto" w:w="0"/>
                  <w:shd w:val="clear" w:color="auto" w:fill="F0F0F0"/>
                </w:tcPr>
                <w:p>
                  <w:pPr>
                    <w:pStyle w:val="Normal"/>
                    <w:keepLines w:val="on"/>
                  </w:pPr>
                  <w:r>
                    <w:t>$51,84</w:t>
                  </w:r>
                </w:p>
              </w:tc>
              <w:tc>
                <w:tcPr>
                  <w:tcW w:type="auto" w:w="0"/>
                  <w:shd w:val="clear" w:color="auto" w:fill="F0F0F0"/>
                </w:tcPr>
                <w:p>
                  <w:pPr>
                    <w:pStyle w:val="Normal"/>
                    <w:keepLines w:val="on"/>
                  </w:pPr>
                  <w:r>
                    <w:t>$29,64</w:t>
                  </w:r>
                </w:p>
              </w:tc>
            </w:tr>
            <w:tr>
              <w:tc>
                <w:tcPr>
                  <w:tcW w:type="auto" w:w="0"/>
                  <w:shd w:val="clear" w:color="auto" w:fill="F0F0F0"/>
                </w:tcPr>
                <w:p>
                  <w:pPr>
                    <w:pStyle w:val="Para 02"/>
                    <w:keepLines w:val="on"/>
                  </w:pPr>
                  <w:r>
                    <w:t>5</w:t>
                  </w:r>
                </w:p>
              </w:tc>
              <w:tc>
                <w:tcPr>
                  <w:tcW w:type="auto" w:w="0"/>
                  <w:shd w:val="clear" w:color="auto" w:fill="F0F0F0"/>
                </w:tcPr>
                <w:p>
                  <w:pPr>
                    <w:pStyle w:val="Normal"/>
                    <w:keepLines w:val="on"/>
                  </w:pPr>
                  <w:r>
                    <w:t>$311,04</w:t>
                  </w:r>
                </w:p>
              </w:tc>
              <w:tc>
                <w:tcPr>
                  <w:tcW w:type="auto" w:w="0"/>
                  <w:shd w:val="clear" w:color="auto" w:fill="F0F0F0"/>
                </w:tcPr>
                <w:p>
                  <w:pPr>
                    <w:pStyle w:val="Normal"/>
                    <w:keepLines w:val="on"/>
                  </w:pPr>
                  <w:r>
                    <w:t>$248,83</w:t>
                  </w:r>
                </w:p>
              </w:tc>
              <w:tc>
                <w:tcPr>
                  <w:tcW w:type="auto" w:w="0"/>
                  <w:shd w:val="clear" w:color="auto" w:fill="F0F0F0"/>
                </w:tcPr>
                <w:p>
                  <w:pPr>
                    <w:pStyle w:val="Normal"/>
                    <w:keepLines w:val="on"/>
                  </w:pPr>
                  <w:r>
                    <w:t>$62,21</w:t>
                  </w:r>
                </w:p>
              </w:tc>
              <w:tc>
                <w:tcPr>
                  <w:tcW w:type="auto" w:w="0"/>
                  <w:shd w:val="clear" w:color="auto" w:fill="F0F0F0"/>
                </w:tcPr>
                <w:p>
                  <w:pPr>
                    <w:pStyle w:val="Normal"/>
                    <w:keepLines w:val="on"/>
                  </w:pPr>
                  <w:r>
                    <w:t>$30,93</w:t>
                  </w:r>
                </w:p>
              </w:tc>
            </w:tr>
            <w:tr>
              <w:tc>
                <w:tcPr>
                  <w:tcW w:type="auto" w:w="0"/>
                  <w:shd w:val="clear" w:color="auto" w:fill="F0F0F0"/>
                </w:tcPr>
                <w:p>
                  <w:pPr>
                    <w:pStyle w:val="Para 02"/>
                    <w:keepLines w:val="on"/>
                  </w:pPr>
                  <w:r>
                    <w:t>6</w:t>
                  </w:r>
                </w:p>
              </w:tc>
              <w:tc>
                <w:tcPr>
                  <w:tcW w:type="auto" w:w="0"/>
                  <w:shd w:val="clear" w:color="auto" w:fill="F0F0F0"/>
                </w:tcPr>
                <w:p>
                  <w:pPr>
                    <w:pStyle w:val="Normal"/>
                    <w:keepLines w:val="on"/>
                  </w:pPr>
                  <w:r>
                    <w:t>$373,25</w:t>
                  </w:r>
                </w:p>
              </w:tc>
              <w:tc>
                <w:tcPr>
                  <w:tcW w:type="auto" w:w="0"/>
                  <w:shd w:val="clear" w:color="auto" w:fill="F0F0F0"/>
                </w:tcPr>
                <w:p>
                  <w:pPr>
                    <w:pStyle w:val="Normal"/>
                    <w:keepLines w:val="on"/>
                  </w:pPr>
                  <w:r>
                    <w:t>$298,60</w:t>
                  </w:r>
                </w:p>
              </w:tc>
              <w:tc>
                <w:tcPr>
                  <w:tcW w:type="auto" w:w="0"/>
                  <w:shd w:val="clear" w:color="auto" w:fill="F0F0F0"/>
                </w:tcPr>
                <w:p>
                  <w:pPr>
                    <w:pStyle w:val="Normal"/>
                    <w:keepLines w:val="on"/>
                  </w:pPr>
                  <w:r>
                    <w:t>$74,65</w:t>
                  </w:r>
                </w:p>
              </w:tc>
              <w:tc>
                <w:tcPr>
                  <w:tcW w:type="auto" w:w="0"/>
                  <w:shd w:val="clear" w:color="auto" w:fill="F0F0F0"/>
                </w:tcPr>
                <w:p>
                  <w:pPr>
                    <w:pStyle w:val="Normal"/>
                    <w:keepLines w:val="on"/>
                  </w:pPr>
                  <w:r>
                    <w:t>$32,27</w:t>
                  </w:r>
                </w:p>
              </w:tc>
            </w:tr>
            <w:tr>
              <w:tc>
                <w:tcPr>
                  <w:tcW w:type="auto" w:w="0"/>
                  <w:shd w:val="clear" w:color="auto" w:fill="F0F0F0"/>
                </w:tcPr>
                <w:p>
                  <w:pPr>
                    <w:pStyle w:val="Para 02"/>
                    <w:keepLines w:val="on"/>
                  </w:pPr>
                  <w:r>
                    <w:t>7</w:t>
                  </w:r>
                </w:p>
              </w:tc>
              <w:tc>
                <w:tcPr>
                  <w:tcW w:type="auto" w:w="0"/>
                  <w:shd w:val="clear" w:color="auto" w:fill="F0F0F0"/>
                </w:tcPr>
                <w:p>
                  <w:pPr>
                    <w:pStyle w:val="Normal"/>
                    <w:keepLines w:val="on"/>
                  </w:pPr>
                  <w:r>
                    <w:t>$447,90</w:t>
                  </w:r>
                </w:p>
              </w:tc>
              <w:tc>
                <w:tcPr>
                  <w:tcW w:type="auto" w:w="0"/>
                  <w:shd w:val="clear" w:color="auto" w:fill="F0F0F0"/>
                </w:tcPr>
                <w:p>
                  <w:pPr>
                    <w:pStyle w:val="Normal"/>
                    <w:keepLines w:val="on"/>
                  </w:pPr>
                  <w:r>
                    <w:t>$358,32</w:t>
                  </w:r>
                </w:p>
              </w:tc>
              <w:tc>
                <w:tcPr>
                  <w:tcW w:type="auto" w:w="0"/>
                  <w:shd w:val="clear" w:color="auto" w:fill="F0F0F0"/>
                </w:tcPr>
                <w:p>
                  <w:pPr>
                    <w:pStyle w:val="Normal"/>
                    <w:keepLines w:val="on"/>
                  </w:pPr>
                  <w:r>
                    <w:t>$89,58</w:t>
                  </w:r>
                </w:p>
              </w:tc>
              <w:tc>
                <w:tcPr>
                  <w:tcW w:type="auto" w:w="0"/>
                  <w:shd w:val="clear" w:color="auto" w:fill="F0F0F0"/>
                </w:tcPr>
                <w:p>
                  <w:pPr>
                    <w:pStyle w:val="Normal"/>
                    <w:keepLines w:val="on"/>
                  </w:pPr>
                  <w:r>
                    <w:t>$33,68</w:t>
                  </w:r>
                </w:p>
              </w:tc>
            </w:tr>
            <w:tr>
              <w:tc>
                <w:tcPr>
                  <w:tcW w:type="auto" w:w="0"/>
                  <w:shd w:val="clear" w:color="auto" w:fill="F0F0F0"/>
                </w:tcPr>
                <w:p>
                  <w:pPr>
                    <w:pStyle w:val="Para 02"/>
                    <w:keepLines w:val="on"/>
                  </w:pPr>
                  <w:r>
                    <w:t>8</w:t>
                  </w:r>
                </w:p>
              </w:tc>
              <w:tc>
                <w:tcPr>
                  <w:tcW w:type="auto" w:w="0"/>
                  <w:shd w:val="clear" w:color="auto" w:fill="F0F0F0"/>
                </w:tcPr>
                <w:p>
                  <w:pPr>
                    <w:pStyle w:val="Normal"/>
                    <w:keepLines w:val="on"/>
                  </w:pPr>
                  <w:r>
                    <w:t>$537,48</w:t>
                  </w:r>
                </w:p>
              </w:tc>
              <w:tc>
                <w:tcPr>
                  <w:tcW w:type="auto" w:w="0"/>
                  <w:shd w:val="clear" w:color="auto" w:fill="F0F0F0"/>
                </w:tcPr>
                <w:p>
                  <w:pPr>
                    <w:pStyle w:val="Normal"/>
                    <w:keepLines w:val="on"/>
                  </w:pPr>
                  <w:r>
                    <w:t>$429,98</w:t>
                  </w:r>
                </w:p>
              </w:tc>
              <w:tc>
                <w:tcPr>
                  <w:tcW w:type="auto" w:w="0"/>
                  <w:shd w:val="clear" w:color="auto" w:fill="F0F0F0"/>
                </w:tcPr>
                <w:p>
                  <w:pPr>
                    <w:pStyle w:val="Normal"/>
                    <w:keepLines w:val="on"/>
                  </w:pPr>
                  <w:r>
                    <w:t>$107,50</w:t>
                  </w:r>
                </w:p>
              </w:tc>
              <w:tc>
                <w:tcPr>
                  <w:tcW w:type="auto" w:w="0"/>
                  <w:shd w:val="clear" w:color="auto" w:fill="F0F0F0"/>
                </w:tcPr>
                <w:p>
                  <w:pPr>
                    <w:pStyle w:val="Normal"/>
                    <w:keepLines w:val="on"/>
                  </w:pPr>
                  <w:r>
                    <w:t>$35,14</w:t>
                  </w:r>
                </w:p>
              </w:tc>
            </w:tr>
            <w:tr>
              <w:tc>
                <w:tcPr>
                  <w:tcW w:type="auto" w:w="0"/>
                  <w:shd w:val="clear" w:color="auto" w:fill="F0F0F0"/>
                </w:tcPr>
                <w:p>
                  <w:pPr>
                    <w:pStyle w:val="Para 02"/>
                    <w:keepLines w:val="on"/>
                  </w:pPr>
                  <w:r>
                    <w:t>9</w:t>
                  </w:r>
                </w:p>
              </w:tc>
              <w:tc>
                <w:tcPr>
                  <w:tcW w:type="auto" w:w="0"/>
                  <w:shd w:val="clear" w:color="auto" w:fill="F0F0F0"/>
                </w:tcPr>
                <w:p>
                  <w:pPr>
                    <w:pStyle w:val="Normal"/>
                    <w:keepLines w:val="on"/>
                  </w:pPr>
                  <w:r>
                    <w:t>$644,97</w:t>
                  </w:r>
                </w:p>
              </w:tc>
              <w:tc>
                <w:tcPr>
                  <w:tcW w:type="auto" w:w="0"/>
                  <w:shd w:val="clear" w:color="auto" w:fill="F0F0F0"/>
                </w:tcPr>
                <w:p>
                  <w:pPr>
                    <w:pStyle w:val="Normal"/>
                    <w:keepLines w:val="on"/>
                  </w:pPr>
                  <w:r>
                    <w:t>$515,98</w:t>
                  </w:r>
                </w:p>
              </w:tc>
              <w:tc>
                <w:tcPr>
                  <w:tcW w:type="auto" w:w="0"/>
                  <w:shd w:val="clear" w:color="auto" w:fill="F0F0F0"/>
                </w:tcPr>
                <w:p>
                  <w:pPr>
                    <w:pStyle w:val="Normal"/>
                    <w:keepLines w:val="on"/>
                  </w:pPr>
                  <w:r>
                    <w:t>$128,99</w:t>
                  </w:r>
                </w:p>
              </w:tc>
              <w:tc>
                <w:tcPr>
                  <w:tcW w:type="auto" w:w="0"/>
                  <w:shd w:val="clear" w:color="auto" w:fill="F0F0F0"/>
                </w:tcPr>
                <w:p>
                  <w:pPr>
                    <w:pStyle w:val="Normal"/>
                    <w:keepLines w:val="on"/>
                  </w:pPr>
                  <w:r>
                    <w:t>$36,67</w:t>
                  </w:r>
                </w:p>
              </w:tc>
            </w:tr>
            <w:tr>
              <w:tc>
                <w:tcPr>
                  <w:tcW w:type="auto" w:w="0"/>
                  <w:shd w:val="clear" w:color="auto" w:fill="F0F0F0"/>
                </w:tcPr>
                <w:p>
                  <w:pPr>
                    <w:pStyle w:val="Para 02"/>
                    <w:keepLines w:val="on"/>
                  </w:pPr>
                  <w:r>
                    <w:t>10</w:t>
                  </w:r>
                </w:p>
              </w:tc>
              <w:tc>
                <w:tcPr>
                  <w:tcW w:type="auto" w:w="0"/>
                  <w:shd w:val="clear" w:color="auto" w:fill="F0F0F0"/>
                </w:tcPr>
                <w:p>
                  <w:pPr>
                    <w:pStyle w:val="Normal"/>
                    <w:keepLines w:val="on"/>
                  </w:pPr>
                  <w:r>
                    <w:t>$773,97</w:t>
                  </w:r>
                </w:p>
              </w:tc>
              <w:tc>
                <w:tcPr>
                  <w:tcW w:type="auto" w:w="0"/>
                  <w:shd w:val="clear" w:color="auto" w:fill="F0F0F0"/>
                </w:tcPr>
                <w:p>
                  <w:pPr>
                    <w:pStyle w:val="Normal"/>
                    <w:keepLines w:val="on"/>
                  </w:pPr>
                  <w:r>
                    <w:t>$619,17</w:t>
                  </w:r>
                </w:p>
              </w:tc>
              <w:tc>
                <w:tcPr>
                  <w:tcW w:type="auto" w:w="0"/>
                  <w:shd w:val="clear" w:color="auto" w:fill="F0F0F0"/>
                </w:tcPr>
                <w:p>
                  <w:pPr>
                    <w:pStyle w:val="Normal"/>
                    <w:keepLines w:val="on"/>
                  </w:pPr>
                  <w:r>
                    <w:t>$154,79</w:t>
                  </w:r>
                </w:p>
              </w:tc>
              <w:tc>
                <w:tcPr>
                  <w:tcW w:type="auto" w:w="0"/>
                  <w:shd w:val="clear" w:color="auto" w:fill="F0F0F0"/>
                </w:tcPr>
                <w:p>
                  <w:pPr>
                    <w:pStyle w:val="Normal"/>
                    <w:keepLines w:val="on"/>
                  </w:pPr>
                  <w:r>
                    <w:t>$38,26</w:t>
                  </w:r>
                </w:p>
              </w:tc>
            </w:tr>
            <w:tr>
              <w:tc>
                <w:tcPr>
                  <w:tcW w:type="auto" w:w="0"/>
                  <w:shd w:val="clear" w:color="auto" w:fill="F0F0F0"/>
                </w:tcPr>
                <w:p>
                  <w:pPr>
                    <w:pStyle w:val="Para 02"/>
                    <w:keepLines w:val="on"/>
                  </w:pPr>
                  <w:r>
                    <w:t>Giá trị của hoạt động R&amp;D</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$318,30</w:t>
                  </w:r>
                </w:p>
              </w:tc>
            </w:tr>
          </w:tbl>
          <w:p/>
        </w:tc>
      </w:tr>
    </w:tbl>
    <w:p>
      <w:pPr>
        <w:pStyle w:val="Para 04"/>
        <w:keepLines w:val="on"/>
      </w:pPr>
      <w:r>
        <w:t>Tổng giá trị được tạo ra từ nghiên cứu mới là 318,3 triệu đô la.</w:t>
      </w:r>
    </w:p>
    <w:p>
      <w:pPr>
        <w:pStyle w:val="Para 04"/>
        <w:keepLines w:val="on"/>
      </w:pPr>
      <w:r>
        <w:t>Giá trị của Biogen với tư cách là một công ty là tổng của cả ba thành phần — giá trị hiện tại của dòng tiền từ các sản phẩm hiện có, giá trị của Avonex (dưới dạng một quyền chọn), và giá trị được tạo ra từ nghiên cứu mới:</w:t>
      </w:r>
    </w:p>
    <w:p>
      <w:bookmarkStart w:id="5956" w:name="Value_Commercialproducts_Value_u"/>
      <w:pPr>
        <w:keepNext/>
        <w:pStyle w:val="Para 07"/>
        <w:keepLines w:val="on"/>
      </w:pPr>
      <w:r>
        <w:t>Giá trị = Sản phẩm thương mại + Giá trị: bằng phát minh chưa phát triển + Giá trị: R&amp;D trong tương lai = 397,13 triệu đô la + 907 triệu đô la + 318,30 triệu đô la = 1.622,43 triệu đô la</w:t>
      </w:r>
      <w:bookmarkEnd w:id="5956"/>
    </w:p>
    <w:p>
      <w:pPr>
        <w:pStyle w:val="Para 04"/>
        <w:keepLines w:val="on"/>
      </w:pPr>
      <w:r>
        <w:t>Vì Biogen không có nợ chưa thanh toán hay số dư tiền mặt đáng kể, giá trị này được chia cho số cổ phiếu đang lưu hành (35,5 triệu) để ra giá trị trên mỗi cổ phiếu:</w:t>
      </w:r>
    </w:p>
    <w:p>
      <w:bookmarkStart w:id="5957" w:name="Valuepershare__1_622_43million_3"/>
      <w:pPr>
        <w:keepNext/>
        <w:pStyle w:val="Para 07"/>
        <w:keepLines w:val="on"/>
      </w:pPr>
      <w:r>
        <w:t>Giá trị trên mỗi cổ phiếu = 1.622,43 triệu đô la / 35,5 = $45,70</w:t>
      </w:r>
      <w:bookmarkEnd w:id="5957"/>
    </w:p>
    <w:p>
      <w:pPr>
        <w:pStyle w:val="Para 20"/>
      </w:pPr>
      <w:r>
        <w:rPr>
          <w:rStyle w:val="Text26"/>
        </w:rPr>
        <w:bookmarkStart w:id="5958" w:name="Page_925"/>
        <w:t/>
        <w:bookmarkEnd w:id="5958"/>
      </w:r>
      <w:r>
        <w:t xml:space="preserve"> </w:t>
      </w:r>
    </w:p>
    <w:p>
      <w:pPr>
        <w:pStyle w:val="Para 11"/>
      </w:pPr>
      <w:r>
        <w:t xml:space="preserve"> </w:t>
      </w:r>
    </w:p>
    <w:p>
      <w:bookmarkStart w:id="5959" w:name="Is_There_Life_After_the_Patent_E"/>
      <w:bookmarkStart w:id="5960" w:name="Is_There_Life_After_the_Patent_E_1"/>
      <w:pPr>
        <w:keepNext/>
        <w:pStyle w:val="Para 27"/>
        <w:keepLines w:val="on"/>
      </w:pPr>
      <w:r>
        <w:t>Liệu có sự sống sau khi bằng phát minh hết hạn?</w:t>
      </w:r>
      <w:bookmarkEnd w:id="5959"/>
      <w:bookmarkEnd w:id="5960"/>
    </w:p>
    <w:p>
      <w:pPr>
        <w:pStyle w:val="Para 16"/>
        <w:keepLines w:val="on"/>
      </w:pPr>
      <w:r>
        <w:t>Trong các định giá này, người ta đã giả định rằng lợi nhuận vượt trội bị giới hạn trong thời hạn của bằng phát minh, và chúng biến mất ngay khi bằng phát minh hết hạn. Trong lĩnh vực dược phẩm, việc bằng phát minh hết hạn không nhất thiết đồng nghĩa với việc mất đi lợi nhuận vượt trội. Trên thực tế, nhiều công ty vẫn tiếp tục có thể bán sản phẩm của mình với giá cao hơn và thu được lợi nhuận vượt trội ngay cả sau khi bằng phát minh hết hạn, phần lớn là nhờ hình ảnh thương hiệu mà họ đã xây dựng trong suốt vòng đời của dự án. Một cách đơn giản để điều chỉnh cho thực tế này là tăng giá trị hiện tại của dòng tiền từ dự án (S), và giảm chi phí trì hoãn (y) để phản ánh thực tế này. Hiệu ứng ròng là khả năng cao hơn rằng các công ty sẽ trì hoãn phát triển thương mại, trong khi họ chờ đợi để thu thập thêm thông tin và đánh giá nhu cầu thị trường.</w:t>
      </w:r>
    </w:p>
    <w:p>
      <w:pPr>
        <w:pStyle w:val="Para 16"/>
        <w:keepLines w:val="on"/>
      </w:pPr>
      <w:r>
        <w:t>Một điều khác có thể làm tăng giá trị của bằng phát minh là khả năng mà các công ty dược đã thể hiện trong việc vận động hành lang các nhà lập pháp hoặc sử dụng hệ thống pháp lý để kéo dài thời hạn bằng phát minh của các loại thuốc sinh lợi. Nếu chúng ta coi đây là một khả năng khi định giá một bằng phát minh, nó sẽ làm tăng tuổi thọ kỳ vọng của bằng phát minh và giá trị của nó như một quyền chọn.</w:t>
      </w:r>
    </w:p>
    <w:p>
      <w:bookmarkStart w:id="5961" w:name="Natural_Resource_Options"/>
      <w:bookmarkStart w:id="5962" w:name="Natural_Resource_Options__Natura"/>
      <w:pPr>
        <w:keepNext/>
        <w:pStyle w:val="Heading 2"/>
        <w:keepLines w:val="on"/>
      </w:pPr>
      <w:r>
        <w:t>Quyền chọn tài nguyên thiên nhiên</w:t>
      </w:r>
      <w:bookmarkEnd w:id="5961"/>
      <w:bookmarkEnd w:id="5962"/>
    </w:p>
    <w:p>
      <w:pPr>
        <w:pStyle w:val="Para 03"/>
      </w:pPr>
      <w:r>
        <w:t>Các công ty tài nguyên thiên nhiên, chẳng hạn như công ty dầu khí và khai khoáng, tạo ra dòng tiền từ các trữ lượng hiện có của họ nhưng cũng có những trữ lượng chưa phát triển mà họ có thể khai thác nếu họ chọn làm vậy. Họ sẽ có nhiều khả năng phát triển những trữ lượng này hơn nếu giá của tài nguyên (ví dụ: dầu, vàng, đồng, v.v.) tăng lên, và những trữ lượng chưa phát triển này có thể được xem như những quyền chọn mua (call options). Phần này bắt đầu bằng việc xem xét giá trị của một trữ lượng chưa phát triển, và sau đó xem xét cách mở rộng điều này để nhìn vào các công ty tài nguyên thiên nhiên có cả trữ lượng đã phát triển và chưa phát triển.</w:t>
      </w:r>
    </w:p>
    <w:p>
      <w:bookmarkStart w:id="5963" w:name="Undeveloped_Reserves_as_Options"/>
      <w:bookmarkStart w:id="5964" w:name="Undeveloped_Reserves_as_Options_1"/>
      <w:pPr>
        <w:keepNext/>
        <w:pStyle w:val="Heading 3"/>
        <w:keepLines w:val="on"/>
      </w:pPr>
      <w:r>
        <w:t>Trữ lượng chưa phát triển như những quyền chọn</w:t>
      </w:r>
      <w:bookmarkEnd w:id="5963"/>
      <w:bookmarkEnd w:id="5964"/>
    </w:p>
    <w:p>
      <w:pPr>
        <w:pStyle w:val="Para 03"/>
      </w:pPr>
      <w:r>
        <w:t>Trong một khoản đầu tư vào tài nguyên thiên nhiên, tài sản cơ sở chính là tài nguyên thiên nhiên đó, và giá trị của tài sản được dựa trên số lượng ước tính cùng giá của tài nguyên. Vì vậy, trong một mỏ vàng, tài sản cơ sở chính là giá trị của trữ lượng vàng ước tính trong mỏ, dựa trên giá vàng. Trong hầu hết các khoản đầu tư kiểu này, luôn có một chi phí ban đầu gắn với việc khai thác tài nguyên; phần chênh lệch giữa giá trị trữ lượng ước tính và chi phí khai thác chính là lợi nhuận của chủ sở hữu tài nguyên (xem Hình 28.8). Gọi chi phí khai thác là X, và giá trị ước tính của tài nguyên là V, thì các khoản lợi nhuận tiềm năng của một quyền chọn tài nguyên thiên nhiên sẽ như sau:</w:t>
      </w:r>
    </w:p>
    <w:p>
      <w:bookmarkStart w:id="5966" w:name="Payoffonnaturalresourceinvestmen"/>
      <w:pPr>
        <w:keepNext/>
        <w:pStyle w:val="Para 09"/>
        <w:keepLines w:val="on"/>
      </w:pPr>
      <w:r>
        <w:t>Lợinhuậntừđầutưtàinguyênthiênnhiên=V−XnếuV&gt;X=0nếuV≤X</w:t>
      </w:r>
      <w:bookmarkEnd w:id="5966"/>
    </w:p>
    <w:p>
      <w:pPr>
        <w:pStyle w:val="Para 03"/>
      </w:pPr>
      <w:r>
        <w:t>Như vậy, khoản đầu tư vào một quyền chọn tài nguyên thiên nhiên có hàm lợi nhuận giống như một quyền chọn mua (call option).</w:t>
      </w:r>
    </w:p>
    <w:p>
      <w:pPr>
        <w:pStyle w:val="Para 20"/>
      </w:pPr>
      <w:r>
        <w:rPr>
          <w:rStyle w:val="Text26"/>
        </w:rPr>
        <w:bookmarkStart w:id="5967" w:name="Page_926"/>
        <w:t/>
        <w:bookmarkEnd w:id="5967"/>
      </w:r>
      <w:r>
        <w:t xml:space="preserve"> </w:t>
      </w:r>
    </w:p>
    <w:p>
      <w:bookmarkStart w:id="5968" w:name="Figure_28_8_Payoff_from_Developi"/>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14500" cy="825500"/>
            <wp:effectExtent l="0" r="0" t="0" b="0"/>
            <wp:wrapTopAndBottom/>
            <wp:docPr id="262" name="c28f008.png" descr="Increase in net payoff to extracting reserve beyond the cost of developing reserve is along value of estimated reserve of natural resource."/>
            <wp:cNvGraphicFramePr>
              <a:graphicFrameLocks noChangeAspect="1"/>
            </wp:cNvGraphicFramePr>
            <a:graphic>
              <a:graphicData uri="http://schemas.openxmlformats.org/drawingml/2006/picture">
                <pic:pic>
                  <pic:nvPicPr>
                    <pic:cNvPr id="0" name="c28f008.png" descr="Increase in net payoff to extracting reserve beyond the cost of developing reserve is along value of estimated reserve of natural resource."/>
                    <pic:cNvPicPr/>
                  </pic:nvPicPr>
                  <pic:blipFill>
                    <a:blip r:embed="rId191"/>
                    <a:stretch>
                      <a:fillRect/>
                    </a:stretch>
                  </pic:blipFill>
                  <pic:spPr>
                    <a:xfrm>
                      <a:off x="0" y="0"/>
                      <a:ext cx="1714500" cy="825500"/>
                    </a:xfrm>
                    <a:prstGeom prst="rect">
                      <a:avLst/>
                    </a:prstGeom>
                  </pic:spPr>
                </pic:pic>
              </a:graphicData>
            </a:graphic>
          </wp:anchor>
        </w:drawing>
      </w:r>
      <w:bookmarkEnd w:id="5968"/>
    </w:p>
    <w:p>
      <w:pPr>
        <w:keepNext/>
        <w:pStyle w:val="Para 22"/>
        <w:keepLines w:val="on"/>
      </w:pPr>
      <w:r>
        <w:t>Hình 28.8 Lợi nhuận từ việc khai thác trữ lượng tài nguyên thiên nhiên</w:t>
      </w:r>
    </w:p>
    <w:p>
      <w:bookmarkStart w:id="5969" w:name="Inputs_for_Valuing_a_Natural_Res"/>
      <w:bookmarkStart w:id="5970" w:name="Inputs_for_Valuing_a_Natural_Res_1"/>
      <w:pPr>
        <w:keepNext/>
        <w:pStyle w:val="Heading 4"/>
        <w:keepLines w:val="on"/>
      </w:pPr>
      <w:r>
        <w:t>Các thông số đầu vào để định giá một quyền chọn tài nguyên thiên nhiên</w:t>
      </w:r>
      <w:bookmarkEnd w:id="5969"/>
      <w:bookmarkEnd w:id="5970"/>
    </w:p>
    <w:p>
      <w:pPr>
        <w:pStyle w:val="Para 03"/>
      </w:pPr>
      <w:r>
        <w:t>Để định giá một khoản đầu tư tài nguyên thiên nhiên như một quyền chọn, chúng ta cần đưa ra giả định về một số biến số:</w:t>
      </w:r>
    </w:p>
    <w:p>
      <w:pPr>
        <w:numPr>
          <w:ilvl w:val="0"/>
          <w:numId w:val="337"/>
        </w:numPr>
        <w:pStyle w:val="Para 01"/>
      </w:pPr>
      <w:r>
        <w:t>Trữ lượng tài nguyên hiện có và giá trị ước tính nếu khai thác ngay hôm nay. Vì số lượng trữ lượng không được biết chắc chắn ngay từ đầu, nên phải ước tính. Ví dụ, ở một mỏ dầu, các nhà địa chất có thể đưa ra ước tính khá chính xác về lượng dầu có sẵn trong mỏ. Giá trị của trữ lượng khi đó bằng tích của trữ lượng ước tính nhân với phần đóng góp (giá hiện tại của tài nguyên trừ đi chi phí khai thác biến đổi) trên mỗi đơn vị trữ lượng.</w:t>
      </w:r>
    </w:p>
    <w:p>
      <w:pPr>
        <w:numPr>
          <w:ilvl w:val="0"/>
          <w:numId w:val="337"/>
        </w:numPr>
        <w:pStyle w:val="Para 01"/>
      </w:pPr>
      <w:r>
        <w:t>Chi phí khai thác ước tính của tài nguyên. Chi phí khai thác trữ lượng tài nguyên ước tính chính là giá thực hiện (exercise price) của quyền chọn. Với một mỏ dầu, đây sẽ là chi phí cố định để lắp đặt giàn khoan nhằm khai thác dầu từ trữ lượng. Với một mỏ khoáng sản, đó là chi phí để đưa mỏ vào hoạt động. Vì các công ty dầu khí và khai khoáng đã từng làm việc này trong nhiều bối cảnh khác nhau, họ có thể dùng kinh nghiệm của mình để đưa ra một thước đo hợp lý cho chi phí khai thác.</w:t>
      </w:r>
    </w:p>
    <w:p>
      <w:pPr>
        <w:numPr>
          <w:ilvl w:val="0"/>
          <w:numId w:val="337"/>
        </w:numPr>
        <w:pStyle w:val="Para 01"/>
      </w:pPr>
      <w:r>
        <w:t>Thời gian đáo hạn của quyền chọn. Vòng đời của một quyền chọn tài nguyên thiên nhiên có thể được xác định theo một trong hai cách. Thứ nhất, nếu quyền sở hữu khoản đầu tư phải bị chấm dứt sau một khoảng thời gian cố định, thì khoảng thời gian đó chính là vòng đời của quyền chọn. Ví dụ, trong nhiều hợp đồng thuê mỏ dầu ngoài khơi, các mỏ dầu được cho công ty dầu khí thuê trong một thời hạn cố định. Cách thứ hai dựa trên trữ lượng tài nguyên và tốc độ khai thác công suất, cùng với ước tính số năm cần để cạn kiệt trữ lượng. Vì vậy, một mỏ vàng có trữ lượng 3 triệu ounce và tốc độ khai thác công suất 150.000 ounce mỗi năm sẽ cạn kiệt trong 20 năm, và đó được định nghĩa là vòng đời của quyền chọn tài nguyên thiên nhiên.</w:t>
      </w:r>
    </w:p>
    <w:p>
      <w:pPr>
        <w:numPr>
          <w:ilvl w:val="0"/>
          <w:numId w:val="337"/>
        </w:numPr>
        <w:pStyle w:val="Para 01"/>
      </w:pPr>
      <w:r>
        <w:t>Phương sai trong giá trị của tài sản cơ sở. Phương sai trong giá trị của tài sản cơ sở được quyết định bởi mức biến động của giá tài nguyên và mức biến động trong ước tính trữ lượng hiện có. Trong trường hợp đặc biệt khi số lượng trữ lượng được biết chắc chắn, phương sai trong giá trị của tài sản cơ sở sẽ hoàn toàn phụ thuộc vào phương sai của giá tài nguyên thiên nhiên.</w:t>
      </w:r>
    </w:p>
    <w:p>
      <w:pPr>
        <w:numPr>
          <w:ilvl w:val="0"/>
          <w:numId w:val="337"/>
        </w:numPr>
        <w:pStyle w:val="Para 01"/>
      </w:pPr>
      <w:r>
        <w:t>Chi phí trì hoãn. Doanh thu sản xuất ròng là dòng tiền hàng năm sẽ được tạo ra, một khi trữ lượng tài nguyên đã được khai thác, tính theo tỷ lệ phần trăm trên giá trị của trữ lượng. Đây chính là tương đương của lợi suất cổ tức (dividend yield) và được xử lý theo cùng cách khi tính giá trị quyền chọn. Một cách nghĩ khác về chi phí này là xét theo chi phí trì hoãn. Một khi quyền chọn tài nguyên thiên nhiên đã có lãi (giá trị của trữ lượng lớn hơn chi phí khai thác trữ lượng đó), thì bằng việc không khai thác trữ lượng, công ty đang tự gánh lấy khoản doanh thu sản xuất ròng mà lẽ ra họ có thể tạo ra nếu khai thác.</w:t>
      </w:r>
    </w:p>
    <w:p>
      <w:pPr>
        <w:pStyle w:val="Para 03"/>
      </w:pPr>
      <w:r>
        <w:t>Một vấn đề quan trọng khi dùng các mô hình định giá quyền chọn để định giá quyền chọn tài nguyên thiên nhiên là ảnh hưởng của độ trễ khai thác lên giá trị của các quyền chọn này. Vì dầu, vàng hay bất kỳ trữ lượng tài nguyên thiên nhiên nào khác đều không thể được khai thác tức thời, nên phải tính đến một độ trễ thời gian giữa quyết định khai thác tài nguyên và việc khai thác thực tế. Một cách điều chỉnh đơn giản cho độ trễ này là giảm giá trị của trữ lượng đã khai thác đi phần mất mát dòng tiền trong thời gian khai thác. Vì vậy, nếu có độ trễ khai thác một năm, bạn có thể ước tính dòng tiền bạn sẽ tạo ra trong năm đó theo tỷ lệ phần trăm trên giá trị trữ lượng, rồi chiết khấu giá trị hiện tại của trữ lượng đã khai thác theo tỷ lệ đó. Điều này tương đương với việc loại bỏ dòng tiền của năm đầu tiên khỏi phân tích đầu tư và hạ thấp giá trị hiện tại của các dòng tiền.</w:t>
      </w:r>
    </w:p>
    <w:p>
      <w:pPr>
        <w:pStyle w:val="Para 11"/>
      </w:pPr>
      <w:r>
        <w:t xml:space="preserve"> </w:t>
      </w:r>
    </w:p>
    <w:p>
      <w:bookmarkStart w:id="5972" w:name="ILLUSTRATION_28_4__Valuing_an_Oi_1"/>
      <w:bookmarkStart w:id="5973" w:name="ILLUSTRATION_28_4__Valuing_an_Oi"/>
      <w:pPr>
        <w:keepNext/>
        <w:pStyle w:val="Para 19"/>
        <w:keepLines w:val="on"/>
      </w:pPr>
      <w:r>
        <w:t>MINH HỌA 28.4: Định giá một trữ lượng dầu7</w:t>
      </w:r>
      <w:bookmarkEnd w:id="5972"/>
      <w:bookmarkEnd w:id="5973"/>
    </w:p>
    <w:p>
      <w:pPr>
        <w:pStyle w:val="Para 04"/>
        <w:keepLines w:val="on"/>
      </w:pPr>
      <w:r>
        <w:t>Hãy xét một mỏ dầu ngoài khơi với trữ lượng dầu ước tính là 50 triệu thùng dầu; chi phí khai thác trữ lượng dự kiến là 600 triệu đô la, và độ trễ khai thác là hai năm. Exxon có quyền khai thác trữ lượng này trong 20 năm tới, và giá trị biên (giá mỗi thùng trừ chi phí biên mỗi thùng) trên mỗi thùng dầu hiện là 12 đô la.8 Một khi đã khai thác, doanh thu sản xuất ròng mỗi năm sẽ bằng 5% giá trị của trữ lượng. Lãi suất phi rủi ro là 8%, và phương sai của giá dầu là 0,03.</w:t>
      </w:r>
    </w:p>
    <w:p>
      <w:pPr>
        <w:pStyle w:val="Para 04"/>
        <w:keepLines w:val="on"/>
      </w:pPr>
      <w:r>
        <w:t>Với thông tin này, các thông số đầu vào của mô hình Black-Scholes có thể được ước tính như sau:</w:t>
      </w:r>
    </w:p>
    <w:p>
      <w:bookmarkStart w:id="5976" w:name="Current_value_of_the_asset_Value"/>
      <w:pPr>
        <w:pStyle w:val="Para 49"/>
        <w:keepLines w:val="on"/>
      </w:pPr>
      <w:r>
        <w:t>Giátrịhiệntạicủatàisản=Giátrịtrữlượngđãkhaithácchiếtkhấungượclạiđộdàicủađộtrễkhaithác=($12×50)/1,052=$544,22triệuđôla</w:t>
      </w:r>
      <w:bookmarkEnd w:id="5976"/>
    </w:p>
    <w:p>
      <w:bookmarkStart w:id="5977" w:name="Exerciseprice_Costofdevelopingre"/>
      <w:pPr>
        <w:pStyle w:val="Para 49"/>
        <w:keepLines w:val="on"/>
      </w:pPr>
      <w:r>
        <w:t>Giáthựchiện=Chiphíkhaittháctrữlượng=$600triệuđôla</w:t>
      </w:r>
      <w:bookmarkEnd w:id="5977"/>
    </w:p>
    <w:p>
      <w:bookmarkStart w:id="5978" w:name="Timetoexpirationontheoption_20ye"/>
      <w:pPr>
        <w:pStyle w:val="Para 49"/>
        <w:keepLines w:val="on"/>
      </w:pPr>
      <w:r>
        <w:t>Thời gian đáo hạn của quyền chọn = 20 năm</w:t>
      </w:r>
      <w:bookmarkEnd w:id="5978"/>
    </w:p>
    <w:p>
      <w:bookmarkStart w:id="5979" w:name="Variance_in_the_value_of_the_und"/>
      <w:pPr>
        <w:pStyle w:val="Para 49"/>
        <w:keepLines w:val="on"/>
      </w:pPr>
      <w:r>
        <w:t>Phương sai trong giá trị của tài sản cơ sở = 0,03</w:t>
      </w:r>
      <w:bookmarkEnd w:id="5979"/>
    </w:p>
    <w:p>
      <w:bookmarkStart w:id="5980" w:name="Risklessrate_8"/>
      <w:pPr>
        <w:pStyle w:val="Para 49"/>
        <w:keepLines w:val="on"/>
      </w:pPr>
      <w:r>
        <w:t>Lãi suất phi rủi ro = 8%</w:t>
      </w:r>
      <w:bookmarkEnd w:id="5980"/>
    </w:p>
    <w:p>
      <w:bookmarkStart w:id="5981" w:name="Dividendyield_Netproductionreven"/>
      <w:pPr>
        <w:pStyle w:val="Para 49"/>
        <w:keepLines w:val="on"/>
      </w:pPr>
      <w:r>
        <w:t>Lợisuấtcổtức=Doanhthusảnxuấtròng/Giátrịtrữlượng=5%</w:t>
      </w:r>
      <w:bookmarkEnd w:id="5981"/>
    </w:p>
    <w:p>
      <w:pPr>
        <w:pStyle w:val="Para 04"/>
        <w:keepLines w:val="on"/>
      </w:pPr>
      <w:r>
        <w:t>Dựa trên những thông số đầu vào này, mô hình Black-Scholes cho giá trị quyền chọn mua như sau:</w:t>
      </w:r>
    </w:p>
    <w:p>
      <w:bookmarkStart w:id="5982" w:name="d1_1_0359Nd1_0_8498d2_0_2613Nd2"/>
      <w:pPr>
        <w:keepNext/>
        <w:pStyle w:val="Para 07"/>
        <w:keepLines w:val="on"/>
      </w:pPr>
      <w:r>
        <w:t>d1=1,0359Nd1=0,8498d2=0,2613Nd2=0,6030</w:t>
      </w:r>
      <w:bookmarkEnd w:id="5982"/>
    </w:p>
    <w:p>
      <w:bookmarkStart w:id="5983" w:name="Callvalue_544_22exp___0_05200_84"/>
      <w:pPr>
        <w:pStyle w:val="Para 52"/>
        <w:keepLines w:val="on"/>
      </w:pPr>
      <w:r>
        <w:t>Giátrịquyềnchọnmua=544,22exp−0,05200,8498−600exp−0,08200,6030=$97,08triệuđôla</w:t>
      </w:r>
      <w:bookmarkEnd w:id="5983"/>
    </w:p>
    <w:p>
      <w:pPr>
        <w:pStyle w:val="Para 04"/>
        <w:keepLines w:val="on"/>
      </w:pPr>
      <w:r>
        <w:t>Trữ lượng dầu này, dù không khả thi ở mức giá hiện tại, vẫn có giá trị vì tiềm năng tạo ra giá trị nếu giá dầu tăng lên.9</w:t>
      </w:r>
    </w:p>
    <w:p>
      <w:pPr>
        <w:pStyle w:val="Para 20"/>
      </w:pPr>
      <w:r>
        <w:rPr>
          <w:rStyle w:val="Text26"/>
        </w:rPr>
        <w:bookmarkStart w:id="5985" w:name="Page_928"/>
        <w:t/>
        <w:bookmarkEnd w:id="5985"/>
      </w:r>
      <w:r>
        <w:t xml:space="preserve"> </w:t>
      </w:r>
    </w:p>
    <w:p>
      <w:pPr>
        <w:pStyle w:val="Para 11"/>
      </w:pPr>
      <w:r>
        <w:t xml:space="preserve"> </w:t>
      </w:r>
    </w:p>
    <w:p>
      <w:bookmarkStart w:id="5986" w:name="natres_xls__This_spreadsheet_al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63"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5986"/>
    </w:p>
    <w:p>
      <w:pPr>
        <w:pStyle w:val="Para 31"/>
        <w:keepLines w:val="on"/>
      </w:pPr>
      <w:r>
        <w:t>natres.xls: Bảng tính này cho phép bạn ước tính giá trị của một mỏ tài nguyên thiên nhiên chưa khai thác.</w:t>
      </w:r>
    </w:p>
    <w:p>
      <w:pPr>
        <w:pStyle w:val="Para 11"/>
      </w:pPr>
      <w:r>
        <w:t xml:space="preserve"> </w:t>
      </w:r>
    </w:p>
    <w:p>
      <w:bookmarkStart w:id="5987" w:name="Multiple_Sources_of_Uncertainty_1"/>
      <w:bookmarkStart w:id="5988" w:name="Multiple_Sources_of_Uncertainty"/>
      <w:pPr>
        <w:keepNext/>
        <w:pStyle w:val="Para 27"/>
        <w:keepLines w:val="on"/>
      </w:pPr>
      <w:r>
        <w:t>Nhiều nguồn bất định</w:t>
      </w:r>
      <w:bookmarkEnd w:id="5987"/>
      <w:bookmarkEnd w:id="5988"/>
    </w:p>
    <w:p>
      <w:pPr>
        <w:pStyle w:val="Para 16"/>
        <w:keepLines w:val="on"/>
      </w:pPr>
      <w:r>
        <w:t>Trong ví dụ trước, chúng ta giả định rằng không có sự bất định nào về trữ lượng của mỏ. Thực tế thì công ty dầu khí có ước tính trữ lượng là 50 triệu thùng nhưng không biết chắc chắn con số đó. Nếu chúng ta đưa sự bất định về trữ lượng vào phân tích, sẽ có hai nguồn phương sai (variance), và cả hai đều có thể ảnh hưởng đến giá trị. Có hai cách để giải quyết vấn đề này:</w:t>
      </w:r>
    </w:p>
    <w:p>
      <w:pPr>
        <w:numPr>
          <w:ilvl w:val="0"/>
          <w:numId w:val="338"/>
        </w:numPr>
        <w:pStyle w:val="Para 33"/>
        <w:keepLines w:val="on"/>
      </w:pPr>
      <w:r>
        <w:t>Gộp các bất định thành một giá trị. Nếu ta coi giá trị của mỏ bằng tích của giá dầu và trữ lượng dầu, thì phương sai của giá trị phải phản ánh tác động tổng hợp của phương sai trong từng yếu tố đầu vào.10 Đây sẽ là phương sai mà ta dùng trong mô hình định giá quyền chọn (option pricing model) để ước tính giá trị mới cho mỏ dầu.</w:t>
      </w:r>
    </w:p>
    <w:p>
      <w:pPr>
        <w:numPr>
          <w:ilvl w:val="0"/>
          <w:numId w:val="338"/>
        </w:numPr>
        <w:pStyle w:val="Para 33"/>
        <w:keepLines w:val="on"/>
      </w:pPr>
      <w:r>
        <w:t>Giữ riêng các phương sai và định giá quyền chọn như một quyền chọn cầu vồng (rainbow option). Quyền chọn cầu vồng cho phép tính đến nhiều hơn một nguồn phương sai một cách rõ ràng, giúp ta giữ riêng các phương sai mà vẫn định giá được quyền chọn. Dù việc định giá quyền chọn trở nên phức tạp hơn, bạn có thể cần làm vậy nếu bạn dự đoán hai nguồn bất định sẽ diễn biến khác nhau theo thời gian — phương sai từ một nguồn (ví dụ giá dầu) có thể tăng lên theo thời gian trong khi phương sai từ nguồn kia (ví dụ trữ lượng dầu) có thể giảm đi theo thời gian.</w:t>
      </w:r>
    </w:p>
    <w:p>
      <w:bookmarkStart w:id="5990" w:name="Valuing_a_Firm_with_Undeveloped"/>
      <w:bookmarkStart w:id="5991" w:name="Valuing_a_Firm_with_Undeveloped_1"/>
      <w:pPr>
        <w:keepNext/>
        <w:pStyle w:val="Heading 3"/>
        <w:keepLines w:val="on"/>
      </w:pPr>
      <w:r>
        <w:t>Định giá một công ty có các mỏ chưa khai thác</w:t>
      </w:r>
      <w:bookmarkEnd w:id="5990"/>
      <w:bookmarkEnd w:id="5991"/>
    </w:p>
    <w:p>
      <w:pPr>
        <w:pStyle w:val="Para 03"/>
      </w:pPr>
      <w:r>
        <w:t>Các ví dụ đưa ra trước đó minh họa việc sử dụng lý thuyết định giá quyền chọn để định giá từng mỏ khoáng sản và từng mỏ dầu riêng lẻ. Vì tài sản mà một công ty tài nguyên thiên nhiên sở hữu về cơ bản có thể được xem như các quyền chọn, nên bản thân công ty cũng có thể được định giá bằng các mô hình định giá quyền chọn.</w:t>
      </w:r>
    </w:p>
    <w:p>
      <w:bookmarkStart w:id="5992" w:name="Individual_Reserves_versus_Aggre_1"/>
      <w:bookmarkStart w:id="5993" w:name="Individual_Reserves_versus_Aggre"/>
      <w:pPr>
        <w:keepNext/>
        <w:pStyle w:val="Heading 4"/>
        <w:keepLines w:val="on"/>
      </w:pPr>
      <w:r>
        <w:t>Các mỏ riêng lẻ so với các mỏ tổng hợp</w:t>
      </w:r>
      <w:bookmarkEnd w:id="5992"/>
      <w:bookmarkEnd w:id="5993"/>
    </w:p>
    <w:p>
      <w:pPr>
        <w:pStyle w:val="Para 03"/>
      </w:pPr>
      <w:r>
        <w:t>Cách tiếp cận được ưa thích là xem xét từng mỏ riêng biệt, định giá nó, rồi cộng dồn giá trị của các mỏ lại để ra giá trị của công ty. Vì thông tin này thường khó có được đối với các công ty tài nguyên thiên nhiên lớn như các công ty dầu khí — những công ty sở hữu hàng trăm mỏ như vậy — nên một biến thể của cách tiếp cận này là định giá toàn bộ các mỏ chưa khai thác của công ty như một quyền chọn duy nhất. Người theo chủ nghĩa thuần túy có lẽ sẽ không đồng ý, lập luận rằng định giá một quyền chọn trên một danh mục tài sản (như trong cách tiếp cận này) sẽ cho giá trị thấp hơn so với định giá một danh mục các quyền chọn (đó mới thực sự là thứ mà công ty tài nguyên thiên nhiên sở hữu). Tuy nhiên, giả định rằng nguồn phương sai duy nhất là giá của tài nguyên thiên nhiên thực chất khiến giá trị của các mỏ hoàn toàn tương quan với nhau và cho phép ta dùng cách tắt (short cut) này với ít hoặc không tốn kém gì.</w:t>
      </w:r>
    </w:p>
    <w:p>
      <w:pPr>
        <w:pStyle w:val="Para 20"/>
      </w:pPr>
      <w:r>
        <w:rPr>
          <w:rStyle w:val="Text26"/>
        </w:rPr>
        <w:bookmarkStart w:id="5994" w:name="Page_929"/>
        <w:t/>
        <w:bookmarkEnd w:id="5994"/>
      </w:r>
      <w:r>
        <w:t xml:space="preserve"> </w:t>
      </w:r>
    </w:p>
    <w:p>
      <w:bookmarkStart w:id="5995" w:name="Inputs_to_Option_Valuation__If_y"/>
      <w:bookmarkStart w:id="5996" w:name="Inputs_to_Option_Valuation"/>
      <w:pPr>
        <w:keepNext/>
        <w:pStyle w:val="Heading 4"/>
        <w:keepLines w:val="on"/>
      </w:pPr>
      <w:r>
        <w:t>Các yếu tố đầu vào cho định giá quyền chọn</w:t>
      </w:r>
      <w:bookmarkEnd w:id="5995"/>
      <w:bookmarkEnd w:id="5996"/>
    </w:p>
    <w:p>
      <w:pPr>
        <w:pStyle w:val="Para 03"/>
      </w:pPr>
      <w:r>
        <w:t>Nếu bạn quyết định áp dụng cách tiếp cận định giá quyền chọn để ước tính giá trị của các mỏ chưa khai thác tổng hợp, bạn phải ước tính các yếu tố đầu vào của mô hình. Nói chung, tuy quy trình này giống với quy trình dùng để định giá một mỏ riêng lẻ, nhưng có vài điểm khác biệt.</w:t>
      </w:r>
    </w:p>
    <w:p>
      <w:pPr>
        <w:numPr>
          <w:ilvl w:val="0"/>
          <w:numId w:val="339"/>
        </w:numPr>
        <w:pStyle w:val="Para 01"/>
      </w:pPr>
      <w:r>
        <w:t>Giá trị của tài sản cơ sở. Bạn nên cộng dồn tất cả các mỏ chưa khai thác mà công ty sở hữu và ước tính giá trị của các mỏ này, dựa trên giá tài nguyên hiện tại và chi phí biến đổi bình quân để khai thác các mỏ này ở thời điểm hiện tại. Chi phí biến đổi có thể cao hơn ở một số mỏ và thấp hơn ở những mỏ khác, và việc lấy chi phí biến đổi của mỗi mỏ nhân với trọng số là trữ lượng tài nguyên của mỏ đó rồi cộng lại sẽ cho bạn một con số xấp xỉ hợp lý cho giá trị này. Ít nhất về mặt giả thuyết, chúng ta giả định rằng công ty có thể quyết định khai thác toàn bộ các mỏ chưa khai thác của mình cùng một lúc mà không ảnh hưởng đến giá tài nguyên.</w:t>
      </w:r>
    </w:p>
    <w:p>
      <w:pPr>
        <w:numPr>
          <w:ilvl w:val="0"/>
          <w:numId w:val="339"/>
        </w:numPr>
        <w:pStyle w:val="Para 01"/>
      </w:pPr>
      <w:r>
        <w:t>Giá thực hiện (exercise price). Với yếu tố đầu vào này, bạn nên xem xét việc công ty sẽ tốn bao nhiêu chi phí ở thời điểm hiện tại để phát triển toàn bộ các mỏ chưa khai thác của mình ngay lập tức. Một lần nữa, chi phí có thể cao hơn ở một số mỏ và thấp hơn ở những mỏ khác, và bạn có thể dùng chi phí bình quân gia quyền.</w:t>
      </w:r>
    </w:p>
    <w:p>
      <w:pPr>
        <w:numPr>
          <w:ilvl w:val="0"/>
          <w:numId w:val="339"/>
        </w:numPr>
        <w:pStyle w:val="Para 01"/>
      </w:pPr>
      <w:r>
        <w:t>Thời gian sống của quyền chọn. Một công ty có thể sẽ có thời gian sống khác nhau cho mỗi mỏ của mình. Do đó, bạn sẽ phải dùng bình quân gia quyền thời gian sống của các mỏ khác nhau.11</w:t>
      </w:r>
    </w:p>
    <w:p>
      <w:pPr>
        <w:numPr>
          <w:ilvl w:val="0"/>
          <w:numId w:val="339"/>
        </w:numPr>
        <w:pStyle w:val="Para 01"/>
      </w:pPr>
      <w:r>
        <w:t>Phương sai của giá trị tài sản. Ở đây, có một lập luận mạnh mẽ cho việc chỉ xem giá dầu là nguồn phương sai, vì một công ty hẳn phải có ước tính chính xác hơn nhiều về tổng trữ lượng của mình so với bất kỳ một mỏ riêng lẻ nào.</w:t>
      </w:r>
    </w:p>
    <w:p>
      <w:pPr>
        <w:numPr>
          <w:ilvl w:val="0"/>
          <w:numId w:val="339"/>
        </w:numPr>
        <w:pStyle w:val="Para 01"/>
      </w:pPr>
      <w:r>
        <w:t>Tỷ suất cổ tức (chi phí trì hoãn). Cũng như với một mỏ riêng lẻ, một công ty có các mỏ khả thi sẽ phải từ bỏ dòng tiền mà mình có thể nhận được trong kỳ tới từ việc phát triển các mỏ này nếu công ty trì hoãn việc thực hiện. Dòng tiền này, được biểu thị dưới dạng phần trăm giá trị của các mỏ, trở thành tương đương với tỷ suất cổ tức. Độ trễ phát triển làm giảm giá trị của quyền chọn này cũng giống như nó làm giảm giá trị của một mỏ riêng lẻ. Hàm ý hợp lý là các mỏ chưa khai thác sẽ có giá trị cao hơn ở những công ty dầu khí có thể phát triển mỏ nhanh hơn so với những công ty kém hiệu quả hơn.</w:t>
      </w:r>
    </w:p>
    <w:p>
      <w:pPr>
        <w:pStyle w:val="Para 11"/>
      </w:pPr>
      <w:r>
        <w:t xml:space="preserve"> </w:t>
      </w:r>
    </w:p>
    <w:p>
      <w:bookmarkStart w:id="5998" w:name="ILLUSTRATION_28_5__Valuing_an_Oi"/>
      <w:bookmarkStart w:id="5999" w:name="ILLUSTRATION_28_5__Valuing_an_Oi_1"/>
      <w:pPr>
        <w:keepNext/>
        <w:pStyle w:val="Para 19"/>
        <w:keepLines w:val="on"/>
      </w:pPr>
      <w:r>
        <w:t>MINH HỌA 28.5: Định giá một công ty dầu khí: Gulf Oil năm 1984</w:t>
      </w:r>
      <w:bookmarkEnd w:id="5998"/>
      <w:bookmarkEnd w:id="5999"/>
    </w:p>
    <w:p>
      <w:pPr>
        <w:pStyle w:val="Para 04"/>
        <w:keepLines w:val="on"/>
      </w:pPr>
      <w:r>
        <w:t>Gulf Oil là mục tiêu của một thương vụ thâu tóm vào đầu năm 1984 với giá 70 đô la mỗi cổ phiếu. (Công ty có 165,30 triệu cổ phiếu đang lưu hành và tổng nợ là 9,9 tỷ đô la.) Công ty có trữ lượng ước tính là 3.038 triệu thùng dầu, và tổng chi phí phát triển các mỏ này vào thời điểm đó được ước tính là 30,38 tỷ đô la. (Độ trễ phát triển khoảng hai năm.) Thời gian sống bình quân của quyền từ bỏ các mỏ là 12 năm. Giá dầu là 22,38 đô la một thùng, và chi phí sản xuất, thuế và tiền bản quyền được ước tính là 7 đô la một thùng. Lãi suất trái phiếu tại thời điểm phân tích là 9,00%. Nếu Gulf chọn phát triển các mỏ này, công ty được kỳ vọng sẽ có dòng tiền trong năm tới xấp xỉ 5% giá trị của các mỏ đã phát triển. Phương sai của giá dầu là 0,03.</w:t>
      </w:r>
    </w:p>
    <w:p>
      <w:bookmarkStart w:id="6000" w:name="Valueofunderlyingasset_Valueofes"/>
      <w:pPr>
        <w:keepNext/>
        <w:pStyle w:val="Para 07"/>
        <w:keepLines w:val="on"/>
      </w:pPr>
      <w:r>
        <w:t>Giátrịtàisảncơsở=Giátrịtrữlượngướctính,điềuchỉnhchotrễpháttriển=3.038×$22,38−$7/1,052=$42.380,44</w:t>
      </w:r>
      <w:bookmarkEnd w:id="6000"/>
    </w:p>
    <w:p>
      <w:pPr>
        <w:pStyle w:val="Para 04"/>
        <w:keepLines w:val="on"/>
      </w:pPr>
      <w:r>
        <w:t>Lưu ý rằng độ trễ phát triển tạo ra một giai đoạn chờ hai năm đối với dòng tiền, thực chất làm giảm giá trị của chúng do thiếu vắng dòng tiền (5%) trong năm thứ nhất và thứ hai. Dù điều này giả định một cách không thực tế rằng bạn có thể khai thác dầu ngay lập tức mà không ảnh hưởng đến giá, bạn vẫn có thể đặt một công suất sản xuất và dùng giá dầu dự báo để ước tính dòng tiền trong suốt thời kỳ sản xuất, rồi lấy giá trị của tài sản cơ sở là giá trị hiện tại của tất cả các dòng tiền đó.12 Chúng ta đã dùng cách tắt là giả định rằng biên đóng góp hiện tại là 15,38 đô la một thùng sẽ không đổi về mặt giá trị hiện tại trong suốt thời kỳ sản xuất.</w:t>
      </w:r>
    </w:p>
    <w:p>
      <w:bookmarkStart w:id="6003" w:name="Exerciseprice_Estimatedcostofdev"/>
      <w:pPr>
        <w:pStyle w:val="Para 49"/>
        <w:keepLines w:val="on"/>
      </w:pPr>
      <w:r>
        <w:t>Giáthựchiện=Chiphíướctínhđểpháttriểncácmỏngàynay=$30.380triệu</w:t>
      </w:r>
      <w:bookmarkEnd w:id="6003"/>
    </w:p>
    <w:p>
      <w:bookmarkStart w:id="6004" w:name="Timetoexpiration_Averagelengthof"/>
      <w:pPr>
        <w:pStyle w:val="Para 49"/>
        <w:keepLines w:val="on"/>
      </w:pPr>
      <w:r>
        <w:t>Thờigianđếnhếthạn=Độdàibìnhquâncủaquyềntừbỏ=12năm</w:t>
      </w:r>
      <w:bookmarkEnd w:id="6004"/>
    </w:p>
    <w:p>
      <w:bookmarkStart w:id="6005" w:name="Varianceinvalueofasset_Variancei"/>
      <w:pPr>
        <w:pStyle w:val="Para 49"/>
        <w:keepLines w:val="on"/>
      </w:pPr>
      <w:r>
        <w:t>Phươngsaicủagiátrịtàisản=Phươngsaicủagiádầu=0,03</w:t>
      </w:r>
      <w:bookmarkEnd w:id="6005"/>
    </w:p>
    <w:p>
      <w:bookmarkStart w:id="6006" w:name="Risklessinterestrate_9"/>
      <w:pPr>
        <w:pStyle w:val="Para 49"/>
        <w:keepLines w:val="on"/>
      </w:pPr>
      <w:r>
        <w:t>Lãisuấtphi rủiro=9%</w:t>
      </w:r>
      <w:bookmarkEnd w:id="6006"/>
    </w:p>
    <w:p>
      <w:bookmarkStart w:id="6007" w:name="Dividendyield_Netproductionreven_1"/>
      <w:pPr>
        <w:pStyle w:val="Para 49"/>
        <w:keepLines w:val="on"/>
      </w:pPr>
      <w:r>
        <w:t>Tỷsuấtcổtức=Doanhthu sảnxuấtròng/Giátrịcácmỏđãpháttriển=5%</w:t>
      </w:r>
      <w:bookmarkEnd w:id="6007"/>
    </w:p>
    <w:p>
      <w:pPr>
        <w:pStyle w:val="Para 04"/>
        <w:keepLines w:val="on"/>
      </w:pPr>
      <w:r>
        <w:t>Dựa trên những dữ liệu đầu vào này, mô hình Black-Scholes đưa ra giá trị quyền chọn mua như sau¹³:</w:t>
      </w:r>
    </w:p>
    <w:p>
      <w:bookmarkStart w:id="6009" w:name="d1_1_6548Nd1_0_9510d2_1_0548Nd2"/>
      <w:pPr>
        <w:keepNext/>
        <w:pStyle w:val="Para 07"/>
        <w:keepLines w:val="on"/>
      </w:pPr>
      <w:r>
        <w:t>d1=1.6548Nd1=0.9510d2=1.0548Nd2=0.8542</w:t>
      </w:r>
      <w:bookmarkEnd w:id="6009"/>
    </w:p>
    <w:p>
      <w:bookmarkStart w:id="6010" w:name="Callvalue_42_380_44exp___0_05120"/>
      <w:pPr>
        <w:pStyle w:val="Para 52"/>
        <w:keepLines w:val="on"/>
      </w:pPr>
      <w:r>
        <w:t>Giá trị quyền chọn mua = 42.380,44 × exp(−0,05×12) × 0,9510 − 30.380 × exp(−0,09×12) × (0,8542) = 13.306 triệu USD</w:t>
      </w:r>
      <w:bookmarkEnd w:id="6010"/>
    </w:p>
    <w:p>
      <w:pPr>
        <w:pStyle w:val="Para 04"/>
        <w:keepLines w:val="on"/>
      </w:pPr>
      <w:r>
        <w:t>Con số này trái ngược hẳn với giá trị chiết khấu dòng tiền (discounted cash flow) là 12 tỷ USD mà bạn có được bằng cách lấy chênh lệch giữa giá trị hiện tại của dòng tiền từ việc khai thác mỏ dầu hôm nay (42,38 tỷ USD) và chi phí khai thác (30,38 tỷ USD). Sự khác biệt này có thể được lý giải bởi quyền chọn mà Gulf nắm giữ — quyền được tự chọn thời điểm khai thác trữ lượng của mình.</w:t>
      </w:r>
    </w:p>
    <w:p>
      <w:pPr>
        <w:pStyle w:val="Para 04"/>
        <w:keepLines w:val="on"/>
      </w:pPr>
      <w:r>
        <w:t>Giá trị quyền chọn (13,3 tỷ USD) đại diện cho giá trị của phần trữ lượng dầu chưa khai thác mà Gulf Oil sở hữu. Ngoài ra, Gulf Oil còn có dòng tiền tự do thuộc về doanh nghiệp (free cash flow to the firm) từ hoạt động khai thác dầu khí của mình là 915 triệu USD từ những trữ lượng đã khai thác, và chúng ta giả định rằng dòng tiền này có khả năng sẽ ổn định và tiếp tục trong 10 năm (vòng đời còn lại của các trữ lượng đã khai thác). Giá trị hiện tại của phần trữ lượng đã khai thác này, được chiết khấu theo chi phí vốn bình quân gia quyền (weighted average cost of capital) là 12,5%, mang lại:</w:t>
      </w:r>
    </w:p>
    <w:p>
      <w:bookmarkStart w:id="6011" w:name="Valueofalreadydevelopedreserves"/>
      <w:pPr>
        <w:keepNext/>
        <w:pStyle w:val="Para 07"/>
        <w:keepLines w:val="on"/>
      </w:pPr>
      <w:r>
        <w:t>Giá trị trữ lượng đã khai thác = 915 × (1 − 1,125⁻¹⁰)/0,125 = 5.065,83 USD</w:t>
      </w:r>
      <w:bookmarkEnd w:id="6011"/>
    </w:p>
    <w:p>
      <w:pPr>
        <w:pStyle w:val="Para 04"/>
        <w:keepLines w:val="on"/>
      </w:pPr>
      <w:r>
        <w:t>Cộng giá trị trữ lượng đã khai thác và chưa khai thác của Gulf Oil lại sẽ cho ra giá trị của doanh nghiệp.</w:t>
      </w:r>
    </w:p>
    <w:tbl>
      <w:tblPr>
        <w:tblW w:type="auto" w:w="0"/>
      </w:tblPr>
      <w:tr>
        <w:tc>
          <w:tcPr>
            <w:tcW w:type="auto" w:w="0"/>
          </w:tcPr>
          <w:tbl>
            <w:tblPr>
              <w:tblW w:type="auto" w:w="0"/>
            </w:tblPr>
            <w:tr>
              <w:tc>
                <w:tcPr>
                  <w:tcW w:type="auto" w:w="0"/>
                  <w:shd w:val="clear" w:color="auto" w:fill="F0F0F0"/>
                </w:tcPr>
                <w:p>
                  <w:pPr>
                    <w:pStyle w:val="Para 02"/>
                    <w:keepLines w:val="on"/>
                  </w:pPr>
                  <w:r>
                    <w:t>Giá trị trữ lượng chưa khai thác</w:t>
                  </w:r>
                </w:p>
              </w:tc>
              <w:tc>
                <w:tcPr>
                  <w:tcW w:type="auto" w:w="0"/>
                  <w:shd w:val="clear" w:color="auto" w:fill="F0F0F0"/>
                </w:tcPr>
                <w:p>
                  <w:pPr>
                    <w:pStyle w:val="Para 02"/>
                    <w:keepLines w:val="on"/>
                  </w:pPr>
                  <w:r>
                    <w:t>13.306 triệu USD</w:t>
                  </w:r>
                </w:p>
              </w:tc>
            </w:tr>
            <w:tr>
              <w:tc>
                <w:tcPr>
                  <w:tcW w:type="auto" w:w="0"/>
                  <w:shd w:val="clear" w:color="auto" w:fill="F0F0F0"/>
                </w:tcPr>
                <w:p>
                  <w:pPr>
                    <w:pStyle w:val="Para 02"/>
                    <w:keepLines w:val="on"/>
                  </w:pPr>
                  <w:r>
                    <w:t>Giá trị hoạt động khai thác hiện hữu</w:t>
                  </w:r>
                </w:p>
              </w:tc>
              <w:tc>
                <w:tcPr>
                  <w:tcW w:type="auto" w:w="0"/>
                  <w:shd w:val="clear" w:color="auto" w:fill="F0F0F0"/>
                </w:tcPr>
                <w:p>
                  <w:pPr>
                    <w:pStyle w:val="Para 02"/>
                    <w:keepLines w:val="on"/>
                  </w:pPr>
                  <w:r>
                    <w:t>5.066 triệu USD</w:t>
                  </w:r>
                </w:p>
              </w:tc>
            </w:tr>
            <w:tr>
              <w:tc>
                <w:tcPr>
                  <w:tcW w:type="auto" w:w="0"/>
                  <w:shd w:val="clear" w:color="auto" w:fill="F0F0F0"/>
                </w:tcPr>
                <w:p>
                  <w:pPr>
                    <w:pStyle w:val="Para 02"/>
                    <w:keepLines w:val="on"/>
                  </w:pPr>
                  <w:r>
                    <w:t>Tổng giá trị doanh nghiệp</w:t>
                  </w:r>
                </w:p>
              </w:tc>
              <w:tc>
                <w:tcPr>
                  <w:tcW w:type="auto" w:w="0"/>
                  <w:shd w:val="clear" w:color="auto" w:fill="F0F0F0"/>
                </w:tcPr>
                <w:p>
                  <w:pPr>
                    <w:pStyle w:val="Para 02"/>
                    <w:keepLines w:val="on"/>
                  </w:pPr>
                  <w:r>
                    <w:t>18.372 triệu USD</w:t>
                  </w:r>
                </w:p>
              </w:tc>
            </w:tr>
            <w:tr>
              <w:tc>
                <w:tcPr>
                  <w:tcW w:type="auto" w:w="0"/>
                  <w:shd w:val="clear" w:color="auto" w:fill="F0F0F0"/>
                </w:tcPr>
                <w:p>
                  <w:pPr>
                    <w:pStyle w:val="Para 02"/>
                    <w:keepLines w:val="on"/>
                  </w:pPr>
                  <w:r>
                    <w:t>Trừ đi nợ chưa thanh toán</w:t>
                  </w:r>
                </w:p>
              </w:tc>
              <w:tc>
                <w:tcPr>
                  <w:tcW w:type="auto" w:w="0"/>
                  <w:shd w:val="clear" w:color="auto" w:fill="F0F0F0"/>
                </w:tcPr>
                <w:p>
                  <w:pPr>
                    <w:pStyle w:val="Para 02"/>
                    <w:keepLines w:val="on"/>
                  </w:pPr>
                  <w:r>
                    <w:t>9.900 triệu USD</w:t>
                  </w:r>
                </w:p>
              </w:tc>
            </w:tr>
            <w:tr>
              <w:tc>
                <w:tcPr>
                  <w:tcW w:type="auto" w:w="0"/>
                  <w:shd w:val="clear" w:color="auto" w:fill="F0F0F0"/>
                </w:tcPr>
                <w:p>
                  <w:pPr>
                    <w:pStyle w:val="Para 02"/>
                    <w:keepLines w:val="on"/>
                  </w:pPr>
                  <w:r>
                    <w:t>Giá trị vốn chủ sở hữu</w:t>
                  </w:r>
                </w:p>
              </w:tc>
              <w:tc>
                <w:tcPr>
                  <w:tcW w:type="auto" w:w="0"/>
                  <w:shd w:val="clear" w:color="auto" w:fill="F0F0F0"/>
                </w:tcPr>
                <w:p>
                  <w:pPr>
                    <w:pStyle w:val="Para 02"/>
                    <w:keepLines w:val="on"/>
                  </w:pPr>
                  <w:r>
                    <w:t>8.472 triệu USD</w:t>
                  </w:r>
                </w:p>
              </w:tc>
            </w:tr>
            <w:tr>
              <w:tc>
                <w:tcPr>
                  <w:tcW w:type="auto" w:w="0"/>
                  <w:shd w:val="clear" w:color="auto" w:fill="F0F0F0"/>
                </w:tcPr>
                <w:p>
                  <w:pPr>
                    <w:pStyle w:val="Para 02"/>
                    <w:keepLines w:val="on"/>
                  </w:pPr>
                  <w:r>
                    <w:t>Giá trị trên mỗi cổ phần</w:t>
                  </w:r>
                </w:p>
              </w:tc>
              <w:tc>
                <w:tcPr>
                  <w:tcW w:type="auto" w:w="0"/>
                  <w:shd w:val="clear" w:color="auto" w:fill="F0F0F0"/>
                </w:tcPr>
                <w:p>
                  <w:pPr>
                    <w:pStyle w:val="Para 02"/>
                    <w:keepLines w:val="on"/>
                  </w:pPr>
                  <w:r>
                    <w:t>8.472/165,3 = 51,25 USD</w:t>
                  </w:r>
                </w:p>
              </w:tc>
            </w:tr>
          </w:tbl>
          <w:p/>
        </w:tc>
      </w:tr>
    </w:tbl>
    <w:p>
      <w:pPr>
        <w:pStyle w:val="Para 04"/>
        <w:keepLines w:val="on"/>
      </w:pPr>
      <w:r>
        <w:t>Phân tích này sẽ cho thấy rằng Gulf Oil đang được định giá quá cao ở mức 70 USD mỗi cổ phần.</w:t>
      </w:r>
    </w:p>
    <w:p>
      <w:pPr>
        <w:pStyle w:val="Para 20"/>
      </w:pPr>
      <w:r>
        <w:rPr>
          <w:rStyle w:val="Text26"/>
        </w:rPr>
        <w:bookmarkStart w:id="6012" w:name="Page_931"/>
        <w:t/>
        <w:bookmarkEnd w:id="6012"/>
      </w:r>
      <w:r>
        <w:t xml:space="preserve"> </w:t>
      </w:r>
    </w:p>
    <w:p>
      <w:pPr>
        <w:pStyle w:val="Para 11"/>
      </w:pPr>
      <w:r>
        <w:t xml:space="preserve"> </w:t>
      </w:r>
    </w:p>
    <w:p>
      <w:bookmarkStart w:id="6013" w:name="Price_Volatility_And_Natural_Res_1"/>
      <w:bookmarkStart w:id="6014" w:name="Price_Volatility_And_Natural_Res"/>
      <w:pPr>
        <w:keepNext/>
        <w:pStyle w:val="Para 27"/>
        <w:keepLines w:val="on"/>
      </w:pPr>
      <w:r>
        <w:t>Biến Động Giá Và Định Giá Công Ty Tài Nguyên Thiên Nhiên</w:t>
      </w:r>
      <w:bookmarkEnd w:id="6013"/>
      <w:bookmarkEnd w:id="6014"/>
    </w:p>
    <w:p>
      <w:pPr>
        <w:pStyle w:val="Para 16"/>
        <w:keepLines w:val="on"/>
      </w:pPr>
      <w:r>
        <w:t>Một hàm ý thú vị từ phân tích này là giá trị của một công ty tài nguyên thiên nhiên không chỉ phụ thuộc vào giá của tài nguyên đó, mà còn phụ thuộc vào mức biến động kỳ vọng của giá đó. Vì vậy, nếu giá dầu tăng từ 25 USD một thùng lên 40 USD một thùng, bạn sẽ kỳ vọng tất cả các công ty dầu khí trở nên có giá trị hơn. Nếu giá lại giảm về 25 USD, giá trị của các công ty dầu khí có thể sẽ không giảm về mức cũ, vì mức biến động được nhận định của giá dầu có thể đã thay đổi. Nếu nhà đầu tư tin rằng mức biến động của giá dầu đã tăng lên, bạn có thể kỳ vọng giá trị sẽ tăng, nhưng mức tăng sẽ lớn nhất đối với những công ty có tỷ trọng giá trị đến từ trữ lượng chưa khai thác cao hơn.</w:t>
      </w:r>
    </w:p>
    <w:p>
      <w:pPr>
        <w:pStyle w:val="Para 16"/>
        <w:keepLines w:val="on"/>
      </w:pPr>
      <w:r>
        <w:t>Nếu bạn coi trữ lượng chưa khai thác như những quyền chọn, thì định giá theo chiết khấu dòng tiền thường sẽ đánh giá thấp giá trị của các công ty tài nguyên thiên nhiên, bởi vì giá kỳ vọng của hàng hóa được dùng để ước tính doanh thu và lợi nhuận hoạt động. Kết quả là bạn bỏ sót thành phần quyền chọn trong giá trị. Một lần nữa, sự khác biệt sẽ lớn nhất đối với những doanh nghiệp có trữ lượng chưa khai thác đáng kể và với những loại hàng hóa có mức biến động giá cao nhất.</w:t>
      </w:r>
    </w:p>
    <w:p>
      <w:bookmarkStart w:id="6015" w:name="Other_Applications__While_patent"/>
      <w:bookmarkStart w:id="6016" w:name="Other_Applications"/>
      <w:pPr>
        <w:keepNext/>
        <w:pStyle w:val="Heading 2"/>
        <w:keepLines w:val="on"/>
      </w:pPr>
      <w:r>
        <w:t>Các Ứng Dụng Khác</w:t>
      </w:r>
      <w:bookmarkEnd w:id="6015"/>
      <w:bookmarkEnd w:id="6016"/>
    </w:p>
    <w:p>
      <w:pPr>
        <w:pStyle w:val="Para 03"/>
      </w:pPr>
      <w:r>
        <w:t>Trong khi bằng sáng chế và trữ lượng chưa khai thác của các công ty tài nguyên thiên nhiên là những đối tượng phù hợp nhất để áp dụng định giá quyền chọn, thì còn có những tài sản khác được đề cập trong các chương trước cũng có thể được định giá như quyền chọn:</w:t>
      </w:r>
    </w:p>
    <w:p>
      <w:pPr>
        <w:numPr>
          <w:ilvl w:val="0"/>
          <w:numId w:val="340"/>
        </w:numPr>
        <w:pStyle w:val="Para 01"/>
      </w:pPr>
      <w:r>
        <w:t>Chương 26, trong bối cảnh định giá bất động sản, đã lưu ý rằng đất trống có thể được xem như một quyền chọn (option) cho việc phát triển thương mại.</w:t>
      </w:r>
    </w:p>
    <w:p>
      <w:pPr>
        <w:numPr>
          <w:ilvl w:val="0"/>
          <w:numId w:val="340"/>
        </w:numPr>
        <w:pStyle w:val="Para 01"/>
      </w:pPr>
      <w:r>
        <w:t>Chương 27 đã trình bày một lập luận rằng bản quyền và giấy phép có thể được xem như các quyền chọn, ngay cả khi chúng chưa khả thi về mặt thương mại ở thời điểm hiện tại.</w:t>
      </w:r>
    </w:p>
    <w:p>
      <w:pPr>
        <w:pStyle w:val="Para 03"/>
      </w:pPr>
      <w:r>
        <w:t>Bảng 28.2 trình bày các thông số đầu vào mà bạn sẽ dùng để định giá từng quyền chọn này trong một mô hình định giá quyền chọn. Phần lớn những gì chúng ta đã nói về các ứng dụng quyền chọn khác cũng áp dụng ở đây. Giá trị được tạo ra từ tính độc quyền mà bạn có để phát triển tài sản về mặt thương mại. Tính độc quyền đó có được nhờ sự cho phép của pháp luật trong trường hợp giấy phép và bản quyền, và nhờ sự khan hiếm đất đai trong trường hợp đất chưa phát triển.</w:t>
      </w:r>
    </w:p>
    <w:p>
      <w:pPr>
        <w:pStyle w:val="Para 34"/>
        <w:keepLines w:val="on"/>
      </w:pPr>
      <w:r>
        <w:t>Bảng 28.2</w:t>
      </w:r>
    </w:p>
    <w:p>
      <w:pPr>
        <w:keepNext/>
        <w:pStyle w:val="Para 35"/>
        <w:keepLines w:val="on"/>
      </w:pPr>
      <w:r>
        <w:t>Các thông số đầu vào để định giá các quyền chọn trì hoãn khác</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29"/>
                    <w:keepLines w:val="on"/>
                  </w:pPr>
                  <w:r>
                    <w:t>Đất chưa phát triển</w:t>
                  </w:r>
                </w:p>
              </w:tc>
              <w:tc>
                <w:tcPr>
                  <w:tcW w:type="auto" w:w="0"/>
                  <w:shd w:val="clear" w:color="auto" w:fill="F0F0F0"/>
                </w:tcPr>
                <w:p>
                  <w:pPr>
                    <w:pStyle w:val="Para 29"/>
                    <w:keepLines w:val="on"/>
                  </w:pPr>
                  <w:r>
                    <w:t>Giấy phép/Bản quyền</w:t>
                  </w:r>
                </w:p>
              </w:tc>
            </w:tr>
            <w:tr>
              <w:tc>
                <w:tcPr>
                  <w:tcW w:type="auto" w:w="0"/>
                  <w:shd w:val="clear" w:color="auto" w:fill="F0F0F0"/>
                </w:tcPr>
                <w:p>
                  <w:pPr>
                    <w:pStyle w:val="Para 02"/>
                    <w:keepLines w:val="on"/>
                  </w:pPr>
                  <w:r>
                    <w:t>Giá trị của tài sản cơ sở</w:t>
                  </w:r>
                </w:p>
              </w:tc>
              <w:tc>
                <w:tcPr>
                  <w:tcW w:type="auto" w:w="0"/>
                  <w:shd w:val="clear" w:color="auto" w:fill="F0F0F0"/>
                </w:tcPr>
                <w:p>
                  <w:pPr>
                    <w:pStyle w:val="Para 02"/>
                    <w:keepLines w:val="on"/>
                  </w:pPr>
                  <w:r>
                    <w:t>Giá trị hiện tại của các dòng tiền sẽ thu được từ việc phát triển thương mại đất đai ở thời điểm hiện tại</w:t>
                  </w:r>
                </w:p>
              </w:tc>
              <w:tc>
                <w:tcPr>
                  <w:tcW w:type="auto" w:w="0"/>
                  <w:shd w:val="clear" w:color="auto" w:fill="F0F0F0"/>
                </w:tcPr>
                <w:p>
                  <w:pPr>
                    <w:pStyle w:val="Para 02"/>
                    <w:keepLines w:val="on"/>
                  </w:pPr>
                  <w:r>
                    <w:t>Giá trị hiện tại của các dòng tiền sẽ thu được từ việc khai thác thương mại giấy phép hoặc bản quyền ở thời điểm hiện tại</w:t>
                  </w:r>
                </w:p>
              </w:tc>
            </w:tr>
            <w:tr>
              <w:tc>
                <w:tcPr>
                  <w:tcW w:type="auto" w:w="0"/>
                  <w:shd w:val="clear" w:color="auto" w:fill="F0F0F0"/>
                </w:tcPr>
                <w:p>
                  <w:pPr>
                    <w:pStyle w:val="Para 02"/>
                    <w:keepLines w:val="on"/>
                  </w:pPr>
                  <w:r>
                    <w:t>Phương sai (variance) trong giá trị của tài sản cơ sở</w:t>
                  </w:r>
                </w:p>
              </w:tc>
              <w:tc>
                <w:tcPr>
                  <w:tcW w:type="auto" w:w="0"/>
                  <w:shd w:val="clear" w:color="auto" w:fill="F0F0F0"/>
                </w:tcPr>
                <w:p>
                  <w:pPr>
                    <w:pStyle w:val="Para 02"/>
                    <w:keepLines w:val="on"/>
                  </w:pPr>
                  <w:r>
                    <w:t>Phương sai trong giá trị của bất động sản thương mại tại khu vực mà bất động sản đó tọa lạc</w:t>
                  </w:r>
                </w:p>
              </w:tc>
              <w:tc>
                <w:tcPr>
                  <w:tcW w:type="auto" w:w="0"/>
                  <w:shd w:val="clear" w:color="auto" w:fill="F0F0F0"/>
                </w:tcPr>
                <w:p>
                  <w:pPr>
                    <w:pStyle w:val="Para 02"/>
                    <w:keepLines w:val="on"/>
                  </w:pPr>
                  <w:r>
                    <w:t>Phương sai trong giá trị hiện tại từ việc khai thác thương mại bản quyền hoặc giấy phép (từ một mô phỏng)</w:t>
                  </w:r>
                </w:p>
              </w:tc>
            </w:tr>
            <w:tr>
              <w:tc>
                <w:tcPr>
                  <w:tcW w:type="auto" w:w="0"/>
                  <w:shd w:val="clear" w:color="auto" w:fill="F0F0F0"/>
                </w:tcPr>
                <w:p>
                  <w:pPr>
                    <w:pStyle w:val="Para 02"/>
                    <w:keepLines w:val="on"/>
                  </w:pPr>
                  <w:r>
                    <w:t>Giá thực hiện (exercise price)</w:t>
                  </w:r>
                </w:p>
              </w:tc>
              <w:tc>
                <w:tcPr>
                  <w:tcW w:type="auto" w:w="0"/>
                  <w:shd w:val="clear" w:color="auto" w:fill="F0F0F0"/>
                </w:tcPr>
                <w:p>
                  <w:pPr>
                    <w:pStyle w:val="Para 02"/>
                    <w:keepLines w:val="on"/>
                  </w:pPr>
                  <w:r>
                    <w:t>Chi phí phát triển thương mại đất đai ở thời điểm hiện tại</w:t>
                  </w:r>
                </w:p>
              </w:tc>
              <w:tc>
                <w:tcPr>
                  <w:tcW w:type="auto" w:w="0"/>
                  <w:shd w:val="clear" w:color="auto" w:fill="F0F0F0"/>
                </w:tcPr>
                <w:p>
                  <w:pPr>
                    <w:pStyle w:val="Para 02"/>
                    <w:keepLines w:val="on"/>
                  </w:pPr>
                  <w:r>
                    <w:t>Chi phí trả trước để khai thác thương mại bản quyền hoặc giấy phép ở thời điểm hiện tại</w:t>
                  </w:r>
                </w:p>
              </w:tc>
            </w:tr>
            <w:tr>
              <w:tc>
                <w:tcPr>
                  <w:tcW w:type="auto" w:w="0"/>
                  <w:shd w:val="clear" w:color="auto" w:fill="F0F0F0"/>
                </w:tcPr>
                <w:p>
                  <w:pPr>
                    <w:pStyle w:val="Para 02"/>
                    <w:keepLines w:val="on"/>
                  </w:pPr>
                  <w:r>
                    <w:t>Thời gian sống của quyền chọn</w:t>
                  </w:r>
                </w:p>
              </w:tc>
              <w:tc>
                <w:tcPr>
                  <w:tcW w:type="auto" w:w="0"/>
                  <w:shd w:val="clear" w:color="auto" w:fill="F0F0F0"/>
                </w:tcPr>
                <w:p>
                  <w:pPr>
                    <w:pStyle w:val="Para 02"/>
                    <w:keepLines w:val="on"/>
                  </w:pPr>
                  <w:r>
                    <w:t>Nếu đất đang được cho thuê dài hạn, bạn có thể dùng thời hạn thuê. Nếu không, bạn nên đặt thời gian sống của quyền chọn bằng với khoảng thời gian khi khoản vay mà bạn dùng để mua đất đến hạn thanh toán</w:t>
                  </w:r>
                </w:p>
              </w:tc>
              <w:tc>
                <w:tcPr>
                  <w:tcW w:type="auto" w:w="0"/>
                  <w:shd w:val="clear" w:color="auto" w:fill="F0F0F0"/>
                </w:tcPr>
                <w:p>
                  <w:pPr>
                    <w:pStyle w:val="Para 02"/>
                    <w:keepLines w:val="on"/>
                  </w:pPr>
                  <w:r>
                    <w:t>Khoảng thời gian mà bạn có quyền đối với bản quyền hoặc giấy phép</w:t>
                  </w:r>
                </w:p>
              </w:tc>
            </w:tr>
            <w:tr>
              <w:tc>
                <w:tcPr>
                  <w:tcW w:type="auto" w:w="0"/>
                  <w:shd w:val="clear" w:color="auto" w:fill="F0F0F0"/>
                </w:tcPr>
                <w:p>
                  <w:pPr>
                    <w:pStyle w:val="Para 02"/>
                    <w:keepLines w:val="on"/>
                  </w:pPr>
                  <w:r>
                    <w:t>Chi phí trì hoãn</w:t>
                  </w:r>
                </w:p>
              </w:tc>
              <w:tc>
                <w:tcPr>
                  <w:tcW w:type="auto" w:w="0"/>
                  <w:shd w:val="clear" w:color="auto" w:fill="F0F0F0"/>
                </w:tcPr>
                <w:p>
                  <w:pPr>
                    <w:pStyle w:val="Para 02"/>
                    <w:keepLines w:val="on"/>
                  </w:pPr>
                  <w:r>
                    <w:t>Thuế bất động sản và các chi phí khác liên quan đến việc nắm giữ đất</w:t>
                  </w:r>
                </w:p>
              </w:tc>
              <w:tc>
                <w:tcPr>
                  <w:tcW w:type="auto" w:w="0"/>
                  <w:shd w:val="clear" w:color="auto" w:fill="F0F0F0"/>
                </w:tcPr>
                <w:p>
                  <w:pPr>
                    <w:pStyle w:val="Para 02"/>
                    <w:keepLines w:val="on"/>
                  </w:pPr>
                  <w:r>
                    <w:t>Dòng tiền mà bạn có thể tạo ra trong năm tới tính theo phần trăm giá trị hiện tại của các dòng tiền ở thời điểm hiện tại</w:t>
                  </w:r>
                </w:p>
              </w:tc>
            </w:tr>
          </w:tbl>
          <w:p/>
        </w:tc>
      </w:tr>
    </w:tbl>
    <w:p>
      <w:bookmarkStart w:id="6019" w:name="Conclusion_27"/>
      <w:bookmarkStart w:id="6020" w:name="Conclusion__In_traditional_inves"/>
      <w:pPr>
        <w:keepNext/>
        <w:pStyle w:val="Heading 2"/>
        <w:keepLines w:val="on"/>
      </w:pPr>
      <w:r>
        <w:t>Kết luận</w:t>
      </w:r>
      <w:bookmarkEnd w:id="6019"/>
      <w:bookmarkEnd w:id="6020"/>
    </w:p>
    <w:p>
      <w:pPr>
        <w:pStyle w:val="Para 03"/>
      </w:pPr>
      <w:r>
        <w:t>Trong phân tích đầu tư truyền thống, chúng ta tính giá trị hiện tại ròng (net present value) của các dòng tiền của một dự án và kết luận rằng các doanh nghiệp không nên đầu tư vào một dự án có giá trị hiện tại ròng âm. Đây nhìn chung là một lời khuyên đúng đắn, nhưng nó không có nghĩa là quyền đối với dự án này không có giá trị. Những dự án có giá trị hiện tại ròng âm ở thời điểm hiện tại có thể có giá trị hiện tại ròng dương trong tương lai, và khả năng điều này xảy ra phụ thuộc trực tiếp vào mức độ biến động (volatility) trong giá trị hiện tại của các dòng tiền từ dự án.</w:t>
      </w:r>
    </w:p>
    <w:p>
      <w:pPr>
        <w:pStyle w:val="Para 03"/>
      </w:pPr>
      <w:r>
        <w:t>Chương này đã định giá quyền chọn trì hoãn một khoản đầu tư và xem xét những hàm ý của quyền chọn này đối với ba tình huống định giá — giá trị của một doanh nghiệp mà toàn bộ hoặc một phần đáng kể giá trị đến từ các bằng sáng chế chưa được khai thác thương mại, giá trị của một công ty tài nguyên thiên nhiên với trữ lượng tài nguyên chưa phát triển, và giá trị của một công ty bất động sản với đất chưa phát triển. Trong mỗi trường hợp, việc sử dụng phương pháp định giá dòng tiền chiết khấu (discounted cash flow) sẽ dẫn đến việc đánh giá thấp giá trị của các doanh nghiệp này.</w:t>
      </w:r>
    </w:p>
    <w:p>
      <w:bookmarkStart w:id="6021" w:name="Questions_and_Short_Problems__In_21"/>
      <w:bookmarkStart w:id="6022" w:name="Questions_and_Short_Problems_27"/>
      <w:pPr>
        <w:keepNext/>
        <w:pStyle w:val="Heading 2"/>
        <w:keepLines w:val="on"/>
      </w:pPr>
      <w:r>
        <w:t>Câu hỏi và Bài tập ngắn</w:t>
      </w:r>
      <w:bookmarkEnd w:id="6021"/>
      <w:bookmarkEnd w:id="6022"/>
    </w:p>
    <w:p>
      <w:pPr>
        <w:pStyle w:val="Para 44"/>
      </w:pPr>
      <w:r>
        <w:t>Trong các bài tập sau đây, hãy sử dụng mức bù rủi ro vốn cổ phần (equity risk premium) là 5,5 phần trăm nếu không có quy định nào khác.</w:t>
      </w:r>
    </w:p>
    <w:p>
      <w:pPr>
        <w:numPr>
          <w:ilvl w:val="0"/>
          <w:numId w:val="341"/>
        </w:numPr>
        <w:pStyle w:val="Para 01"/>
      </w:pPr>
      <w:r>
        <w:t>Một công ty đang cân nhắc trì hoãn một dự án có dòng tiền sau thuế là 25 triệu đô la nhưng chi phí để thực hiện là 300 triệu đô la (vòng đời dự án là 20 năm, và chi phí vốn là 16%). Một mô phỏng dòng tiền dẫn bạn đến kết luận rằng độ lệch chuẩn của giá trị hiện tại của dòng tiền vào là 20%. Nếu bạn có thể mua quyền đối với dự án trong 10 năm tới, giá trị của quyền đó là bao nhiêu? (Lãi suất tín phiếu T-bill kỳ hạn sáu tháng là 8%, lãi suất trái phiếu kỳ hạn 10 năm là 12%, và lãi suất trái phiếu kỳ hạn 20 năm là 14%.)</w:t>
      </w:r>
    </w:p>
    <w:p>
      <w:pPr>
        <w:numPr>
          <w:ilvl w:val="0"/>
          <w:numId w:val="341"/>
        </w:numPr>
        <w:pStyle w:val="Para 01"/>
      </w:pPr>
      <w:r>
        <w:t>Bạn đang xem xét tính khả thi về mặt tài chính của việc đầu tư vào một số mỏ đồng bị bỏ hoang ở Chile, nơi vẫn còn trữ lượng đồng đáng kể. Một khảo sát địa chất cho thấy có thể còn 10 triệu pound đồng trong các mỏ này, và chi phí để khai thông các mỏ là 3 triệu đô la (tính theo giá trị hiện tại). Tốc độ sản xuất tối đa là 400.000 pound một năm, và giá đồng được dự báo sẽ tăng 4% một năm. Chính phủ Chile sẵn sàng cấp giấy phép thuê mỏ trong 25 năm. Chi phí sản xuất trung bình được dự báo là 40 xu một pound, và giá đồng hiện tại là 85 xu một pound. (Chi phí sản xuất được dự báo sẽ tăng 3% một năm, một khi đã bắt đầu.) Độ lệch chuẩn hằng năm của giá đồng là 25%, và lãi suất trái phiếu kỳ hạn 25 năm là 7%.</w:t>
      </w:r>
    </w:p>
    <w:p>
      <w:pPr>
        <w:numPr>
          <w:ilvl w:val="1"/>
          <w:numId w:val="341"/>
        </w:numPr>
        <w:pStyle w:val="Para 01"/>
      </w:pPr>
      <w:r>
        <w:t>Hãy ước tính giá trị của mỏ đồng bằng các kỹ thuật hoạch định ngân sách vốn truyền thống.</w:t>
      </w:r>
    </w:p>
    <w:p>
      <w:pPr>
        <w:numPr>
          <w:ilvl w:val="1"/>
          <w:numId w:val="341"/>
        </w:numPr>
        <w:pStyle w:val="Para 01"/>
      </w:pPr>
      <w:r>
        <w:t>Hãy ước tính giá trị của mỏ đồng dựa trên một mô hình định giá quyền chọn (option pricing model).</w:t>
      </w:r>
    </w:p>
    <w:p>
      <w:pPr>
        <w:numPr>
          <w:ilvl w:val="1"/>
          <w:numId w:val="341"/>
        </w:numPr>
        <w:pStyle w:val="Para 01"/>
      </w:pPr>
      <w:r>
        <w:t>Bạn sẽ giải thích thế nào về sự khác biệt giữa hai giá trị này?</w:t>
      </w:r>
    </w:p>
    <w:p>
      <w:pPr>
        <w:numPr>
          <w:ilvl w:val="0"/>
          <w:numId w:val="341"/>
        </w:numPr>
        <w:pStyle w:val="Para 01"/>
      </w:pPr>
      <w:r>
        <w:t>Bạn được yêu cầu phân tích giá trị của một công ty dầu khí có trữ lượng dầu đáng kể. Trữ lượng ước tính lên tới 10 triệu thùng, và chi phí ước tính để phát triển trữ lượng này ở thời điểm hiện tại là 120 triệu đô la. Giá dầu hiện tại là 20 đô la một thùng, và chi phí sản xuất trung bình được ước tính là 6 đô la một thùng. Công ty có quyền đối với trữ lượng này trong 20 năm tới, và lãi suất trái phiếu kỳ hạn 20 năm là 7%. Công ty cũng đề xuất khai thác 4% trữ lượng mỗi năm để đáp ứng nhu cầu dòng tiền. Độ lệch chuẩn hằng năm của giá dầu là 20%. Giá trị của công ty dầu khí này là bao nhiêu?</w:t>
      </w:r>
    </w:p>
    <w:p>
      <w:pPr>
        <w:numPr>
          <w:ilvl w:val="0"/>
          <w:numId w:val="341"/>
        </w:numPr>
        <w:pStyle w:val="Para 01"/>
      </w:pPr>
      <w:r>
        <w:t>Bạn đang phân tích một dự án hoạch định ngân sách vốn. Dự án được dự báo có PV của dòng tiền vào là 250 triệu đô la và sẽ tốn 200 triệu đô la ở thời điểm hiện tại để thực hiện. Bạn đã thực hiện một mô phỏng dòng tiền của dự án, và mô phỏng này cho ra phương sai của giá trị hiện tại của dòng tiền vào là 0,04. Bạn có quyền đối với dự án này trong 20 năm tới. Lãi suất trái phiếu kho bạc kỳ hạn 20 năm là 8%.</w:t>
      </w:r>
    </w:p>
    <w:p>
      <w:pPr>
        <w:numPr>
          <w:ilvl w:val="1"/>
          <w:numId w:val="341"/>
        </w:numPr>
        <w:pStyle w:val="Para 01"/>
      </w:pPr>
      <w:r>
        <w:t>Giá trị của dự án dựa trên NPV truyền thống là bao nhiêu?</w:t>
      </w:r>
    </w:p>
    <w:p>
      <w:pPr>
        <w:numPr>
          <w:ilvl w:val="1"/>
          <w:numId w:val="341"/>
        </w:numPr>
        <w:pStyle w:val="Para 01"/>
      </w:pPr>
      <w:r>
        <w:t>Giá trị của dự án khi được xem như một quyền chọn là bao nhiêu?</w:t>
      </w:r>
    </w:p>
    <w:p>
      <w:pPr>
        <w:numPr>
          <w:ilvl w:val="1"/>
          <w:numId w:val="341"/>
        </w:numPr>
        <w:pStyle w:val="Para 01"/>
      </w:pPr>
      <w:r>
        <w:t>Tại sao hai giá trị này lại khác nhau? Yếu tố hay các yếu tố nào quyết định độ lớn của sự khác biệt này?</w:t>
      </w:r>
    </w:p>
    <w:p>
      <w:pPr>
        <w:numPr>
          <w:ilvl w:val="0"/>
          <w:numId w:val="341"/>
        </w:numPr>
        <w:pStyle w:val="Para 01"/>
      </w:pPr>
      <w:r>
        <w:t>Cyclops Inc., một công ty công nghệ cao chuyên về công nghệ thị giác tối tân, đang cân nhắc việc phát hành cổ phiếu ra công chúng. Mặc dù công ty chưa có doanh thu hay lợi nhuận nào từ các sản phẩm của mình, công ty có bằng sáng chế 10 năm cho một sản phẩm sẽ cho phép người dùng kính áp tròng có được loại kính không cần bảo dưỡng và dùng được trong nhiều năm. Mặc dù sản phẩm này khả thi về mặt kỹ thuật, việc sản xuất nó cực kỳ tốn kém, và thị trường tiềm năng cho nó hiện tại sẽ tương đối nhỏ. (Một phân tích dòng tiền của dự án cho thấy giá trị hiện tại của dòng tiền vào của dự án, nếu được triển khai ngay bây giờ, sẽ là 250 triệu đô la, trong khi chi phí của dự án sẽ là 500 triệu đô la.) Công nghệ này đang phát triển nhanh chóng, và một mô phỏng các kịch bản khác nhau cho ra một khoảng giá trị hiện tại rộng, với độ lệch chuẩn hằng năm là 60%. Lãi suất trái phiếu kỳ hạn 10 năm là 6%.</w:t>
      </w:r>
    </w:p>
    <w:p>
      <w:pPr>
        <w:numPr>
          <w:ilvl w:val="1"/>
          <w:numId w:val="341"/>
        </w:numPr>
        <w:pStyle w:val="Para 01"/>
      </w:pPr>
      <w:r>
        <w:t>Hãy ước tính giá trị của công ty này.</w:t>
      </w:r>
    </w:p>
    <w:p>
      <w:pPr>
        <w:numPr>
          <w:ilvl w:val="1"/>
          <w:numId w:val="341"/>
        </w:numPr>
        <w:pStyle w:val="Para 01"/>
      </w:pPr>
      <w:r>
        <w:t>Giá trị ước tính này nhạy cảm như thế nào với phương sai của dòng tiền dự án? Bạn rút ra được những bài học sâu rộng hơn nào từ phân tích này?</w:t>
      </w:r>
    </w:p>
    <w:p>
      <w:bookmarkStart w:id="6025" w:name="Notes_27"/>
      <w:bookmarkStart w:id="6026" w:name="Notes__1_In_practical_terms__the"/>
      <w:pPr>
        <w:keepNext/>
        <w:pStyle w:val="Heading 2"/>
        <w:keepLines w:val="on"/>
      </w:pPr>
      <w:r>
        <w:t>Ghi chú</w:t>
      </w:r>
      <w:bookmarkEnd w:id="6025"/>
      <w:bookmarkEnd w:id="6026"/>
    </w:p>
    <w:p>
      <w:pPr>
        <w:pStyle w:val="Para 08"/>
      </w:pPr>
      <w:r>
        <w:t>1 Trên thực tế, các phân phối xác suất cho các yếu tố đầu vào như quy mô thị trường và thị phần thường có thể thu được từ việc kiểm tra thị trường.</w:t>
      </w:r>
    </w:p>
    <w:p>
      <w:pPr>
        <w:pStyle w:val="Para 08"/>
      </w:pPr>
      <w:r>
        <w:t>2 Một dòng tiền tạo giá trị là dòng tiền làm tăng giá trị hiện tại ròng bởi vì nó vượt quá mức lợi nhuận yêu cầu cho các khoản đầu tư có rủi ro tương đương.</w:t>
      </w:r>
    </w:p>
    <w:p>
      <w:pPr>
        <w:pStyle w:val="Para 08"/>
      </w:pPr>
      <w:r>
        <w:t>3 Với một mô hình nhị thức (binomial model), chúng ta ước tính giá trị của cùng quyền chọn đó là 915 triệu đô la.</w:t>
      </w:r>
    </w:p>
    <w:p>
      <w:pPr>
        <w:pStyle w:val="Para 08"/>
      </w:pPr>
      <w:r>
        <w:t>4 Giá trị hiện tại ròng mỗi năm được tính toán dựa trên giả định rằng NPV ban đầu là 547 triệu đô la được chuyển đổi thành một niên kim trong mười bảy năm với giá trị 64,02 triệu đô la (sử dụng chi phí vốn 9%). Vào năm thứ 2, khi dự án còn mười sáu năm, giá trị hiện tại ròng giảm xuống còn 532 triệu đô la, là giá trị hiện tại của 64,02 triệu đô la trong 16 năm với chi phí vốn 9%.</w:t>
      </w:r>
    </w:p>
    <w:p>
      <w:pPr>
        <w:pStyle w:val="Para 08"/>
      </w:pPr>
      <w:r>
        <w:t>5 Đây không phải là một ước tính dựa trên bất kỳ dữ kiện quan trọng nào ngoài lịch sử thành công của Biogen trong việc tạo ra các sản phẩm mới. Bạn có thể thu được ước tính về con số này từ lợi nhuận và chi phí vốn. Ví dụ, nếu bạn giả định lợi nhuận trên vốn đầu tư là 15% và chi phí vốn là 10% vĩnh viễn, thì 1 đô la đầu tư sẽ mang lại kết quả như sau:</w:t>
      </w:r>
    </w:p>
    <w:p>
      <w:bookmarkStart w:id="6032" w:name="Value_created_by_a___investment"/>
      <w:pPr>
        <w:keepNext/>
        <w:pStyle w:val="Para 53"/>
        <w:keepLines w:val="on"/>
      </w:pPr>
      <w:r>
        <w:t>Giá trị được tạo ra bởi một khoản đầu tư $=1+ROIC−Chi phí vốnChi phí vốn=1+.15−.10.10=$1,50</w:t>
      </w:r>
      <w:bookmarkEnd w:id="6032"/>
    </w:p>
    <w:p>
      <w:pPr>
        <w:pStyle w:val="Para 08"/>
      </w:pPr>
      <w:r>
        <w:t>6 Tỷ lệ chiết khấu này được ước tính bằng cách xem xét chi phí vốn cổ phần của các công ty công nghệ sinh học trẻ đang niêm yết công khai với ít hoặc không có doanh thu từ các sản phẩm thương mại.</w:t>
      </w:r>
    </w:p>
    <w:p>
      <w:pPr>
        <w:pStyle w:val="Para 08"/>
      </w:pPr>
      <w:r>
        <w:t>7 Sau đây là một phiên bản đơn giản hóa của ví dụ minh họa do Siegel, Smith, và Paddock (1993) đưa ra để định giá một tài sản dầu khí ngoài khơi.</w:t>
      </w:r>
    </w:p>
    <w:p>
      <w:pPr>
        <w:pStyle w:val="Para 08"/>
      </w:pPr>
      <w:r>
        <w:t>8 Để đơn giản, chúng ta sẽ giả định rằng, mặc dù giá trị biên này trên mỗi thùng dầu sẽ tăng theo thời gian, giá trị hiện tại của giá trị biên sẽ vẫn không đổi ở mức 12 đô la một thùng. Nếu chúng ta không đưa ra giả định này, chúng ta sẽ phải ước tính giá trị hiện tại của lượng dầu sẽ được khai thác trong suốt thời gian khai thác.</w:t>
      </w:r>
    </w:p>
    <w:p>
      <w:pPr>
        <w:pStyle w:val="Para 08"/>
      </w:pPr>
      <w:r>
        <w:t>9 Với mô hình nhị thức (binomial model), chúng ta đi đến ước tính giá trị là 99,15 triệu đô la.</w:t>
      </w:r>
    </w:p>
    <w:p>
      <w:pPr>
        <w:pStyle w:val="Para 08"/>
      </w:pPr>
      <w:r>
        <w:t>10 Đây là phương sai (variance) của tích hai biến số.</w:t>
      </w:r>
    </w:p>
    <w:p>
      <w:pPr>
        <w:pStyle w:val="Para 08"/>
      </w:pPr>
      <w:r>
        <w:t>11 Nếu bạn sở hữu trữ lượng mãi mãi, bạn nên giới hạn vòng đời của trữ lượng ở một giá trị lớn—chẳng hạn 30 năm—khi thực hiện ước tính này.</w:t>
      </w:r>
    </w:p>
    <w:p>
      <w:pPr>
        <w:pStyle w:val="Para 08"/>
      </w:pPr>
      <w:r>
        <w:t>12 Nếu bạn giả định rằng công ty có thể khai thác 250 triệu thùng mỗi năm trong mười hai năm, giả sử giá dầu tăng 10% mỗi năm so với giá hiện tại, thì giá trị hiện tại của các dòng tiền sẽ như sau (sử dụng tỷ lệ lạm phát 10% và chi phí vốn 12,5%):</w:t>
      </w:r>
    </w:p>
    <w:p>
      <w:bookmarkStart w:id="6040" w:name="Value_of_reserves_250x_22_38__7"/>
      <w:pPr>
        <w:keepNext/>
        <w:pStyle w:val="Para 53"/>
        <w:keepLines w:val="on"/>
      </w:pPr>
      <w:r>
        <w:t>Giá trị trữ lượng=250×$22.38-$7(1-1.10121.12512)(.125 − .10)=$36.814 triệu</w:t>
      </w:r>
      <w:bookmarkEnd w:id="6040"/>
    </w:p>
    <w:p>
      <w:pPr>
        <w:pStyle w:val="Para 08"/>
      </w:pPr>
      <w:r>
        <w:t>13 Với mô hình nhị thức, chúng ta ước tính giá trị trữ lượng là 13,73 tỷ đô la.</w:t>
      </w:r>
    </w:p>
    <w:p>
      <w:bookmarkStart w:id="6042" w:name="Top_of_c029_xhtml"/>
      <w:bookmarkStart w:id="6043" w:name="Chapter_29The_Options_to_Expand_1"/>
      <w:bookmarkStart w:id="6044" w:name="Chapter_29The_Options_to_Expand"/>
      <w:pPr>
        <w:keepNext/>
        <w:pStyle w:val="Heading 1"/>
        <w:pageBreakBefore w:val="on"/>
        <w:keepLines w:val="on"/>
      </w:pPr>
      <w:r>
        <w:t>CHƯƠNG 29</w:t>
      </w:r>
      <w:r>
        <w:br/>
      </w:r>
      <w:r>
        <w:t>Các lựa chọn mở rộng và từ bỏ: Hàm ý định giá</w:t>
      </w:r>
      <w:bookmarkEnd w:id="6042"/>
      <w:bookmarkEnd w:id="6043"/>
      <w:bookmarkEnd w:id="6044"/>
    </w:p>
    <w:p>
      <w:pPr>
        <w:pStyle w:val="Para 03"/>
      </w:pPr>
      <w:r>
        <w:t>Chương trước đã lưu ý rằng phương pháp định giá dòng tiền chiết khấu truyền thống không xem xét giá trị của quyền chọn mà nhiều công ty có được để trì hoãn việc đầu tư, và do đó đánh giá thấp giá trị của những khoản đầu tư này. Chương này xem xét hai quyền chọn khác thường được gắn kèm trong các khoản đầu tư (và do đó nằm trong giá trị của những công ty sở hữu chúng). Đầu tiên là quyền chọn mở rộng một khoản đầu tư, không chỉ sang các thị trường mới mà còn sang các sản phẩm mới, để tận dụng các điều kiện thuận lợi. Chúng tôi lập luận rằng quyền chọn này đôi khi có thể khiến các công ty khởi nghiệp non trẻ trở nên có giá trị cao hơn đáng kể so với giá trị hiện tại của các dòng tiền kỳ vọng của chúng. Quyền chọn thứ hai là quyền chọn từ bỏ hoặc thu hẹp quy mô đầu tư, điều này có thể giảm rủi ro và mặt trái của các khoản đầu tư lớn, và do đó, khiến chúng trở nên có giá trị hơn.</w:t>
      </w:r>
    </w:p>
    <w:p>
      <w:bookmarkStart w:id="6046" w:name="The_Option_to_Expand"/>
      <w:bookmarkStart w:id="6047" w:name="The_Option_to_Expand__Firms_some"/>
      <w:pPr>
        <w:keepNext/>
        <w:pStyle w:val="Heading 2"/>
        <w:keepLines w:val="on"/>
      </w:pPr>
      <w:r>
        <w:t>Quyền chọn Mở rộng</w:t>
      </w:r>
      <w:bookmarkEnd w:id="6046"/>
      <w:bookmarkEnd w:id="6047"/>
    </w:p>
    <w:p>
      <w:pPr>
        <w:pStyle w:val="Para 03"/>
      </w:pPr>
      <w:r>
        <w:t>Các công ty đôi khi đầu tư vào các dự án vì những khoản đầu tư này cho phép họ hoặc thực hiện thêm các khoản đầu tư khác, hoặc thâm nhập các thị trường khác trong tương lai. Trong những trường hợp như vậy, chúng ta có thể xem các dự án ban đầu như những quyền chọn mang lại giá trị, và những quyền chọn này có giá trị. Nói cách khác, một công ty có thể chấp nhận giá trị hiện tại ròng âm ở dự án ban đầu, vì khả năng có giá trị hiện tại ròng dương cao ở các dự án tương lai.</w:t>
      </w:r>
    </w:p>
    <w:p>
      <w:bookmarkStart w:id="6048" w:name="Payoff_on_the_Option_to_Expand"/>
      <w:bookmarkStart w:id="6049" w:name="Payoff_on_the_Option_to_Expand_1"/>
      <w:pPr>
        <w:keepNext/>
        <w:pStyle w:val="Heading 3"/>
        <w:keepLines w:val="on"/>
      </w:pPr>
      <w:r>
        <w:t>Lợi ích của Quyền chọn Mở rộng</w:t>
      </w:r>
      <w:bookmarkEnd w:id="6048"/>
      <w:bookmarkEnd w:id="6049"/>
    </w:p>
    <w:p>
      <w:pPr>
        <w:pStyle w:val="Para 03"/>
      </w:pPr>
      <w:r>
        <w:t>Quyền chọn mở rộng có thể được đánh giá vào thời điểm dự án ban đầu được phân tích. Giả sử rằng dự án ban đầu này sẽ cho công ty quyền mở rộng và đầu tư vào một dự án mới trong tương lai. Đánh giá ở thời điểm hiện tại, giá trị hiện tại kỳ vọng của các dòng tiền từ việc đầu tư vào dự án tương lai là V, và tổng khoản đầu tư cần thiết cho dự án này là X. Công ty có một khung thời gian cố định, đến cuối khung thời gian đó công ty phải đưa ra quyết định cuối cùng về việc có thực hiện khoản đầu tư tương lai hay không. Cuối cùng, công ty không thể tiến hành khoản đầu tư tương lai này nếu không thực hiện dự án ban đầu. Kịch bản này hàm ý các lợi ích của quyền chọn được thể hiện trong Hình 29.1.</w:t>
      </w:r>
    </w:p>
    <w:p>
      <w:bookmarkStart w:id="6051" w:name="Figure_29_1_The_Option_to_Expand"/>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16100" cy="825500"/>
            <wp:effectExtent l="0" r="0" t="0" b="0"/>
            <wp:wrapTopAndBottom/>
            <wp:docPr id="264" name="c29f001.png" descr="Cost of expansion for present value of cash flows has positive N P V if investment is made in latter project and negative if made in former."/>
            <wp:cNvGraphicFramePr>
              <a:graphicFrameLocks noChangeAspect="1"/>
            </wp:cNvGraphicFramePr>
            <a:graphic>
              <a:graphicData uri="http://schemas.openxmlformats.org/drawingml/2006/picture">
                <pic:pic>
                  <pic:nvPicPr>
                    <pic:cNvPr id="0" name="c29f001.png" descr="Cost of expansion for present value of cash flows has positive N P V if investment is made in latter project and negative if made in former."/>
                    <pic:cNvPicPr/>
                  </pic:nvPicPr>
                  <pic:blipFill>
                    <a:blip r:embed="rId192"/>
                    <a:stretch>
                      <a:fillRect/>
                    </a:stretch>
                  </pic:blipFill>
                  <pic:spPr>
                    <a:xfrm>
                      <a:off x="0" y="0"/>
                      <a:ext cx="1816100" cy="825500"/>
                    </a:xfrm>
                    <a:prstGeom prst="rect">
                      <a:avLst/>
                    </a:prstGeom>
                  </pic:spPr>
                </pic:pic>
              </a:graphicData>
            </a:graphic>
          </wp:anchor>
        </w:drawing>
      </w:r>
      <w:bookmarkEnd w:id="6051"/>
    </w:p>
    <w:p>
      <w:pPr>
        <w:keepNext/>
        <w:pStyle w:val="Para 22"/>
        <w:keepLines w:val="on"/>
      </w:pPr>
      <w:r>
        <w:t>Hình 29.1 Quyền chọn Mở rộng một Dự án</w:t>
      </w:r>
    </w:p>
    <w:p>
      <w:pPr>
        <w:pStyle w:val="Para 03"/>
      </w:pPr>
      <w:r>
        <w:t>Như bạn có thể thấy, khi hết khung thời gian cố định, công ty sẽ mở rộng sang dự án mới nếu giá trị hiện tại của các dòng tiền kỳ vọng tại thời điểm đó vượt quá chi phí mở rộng. Xin lưu ý lại rằng dự án ban đầu là một khoản đầu tư thông thường, và chính quyền chọn mở rộng là yếu tố làm thay đổi cán cân.</w:t>
      </w:r>
    </w:p>
    <w:p>
      <w:bookmarkStart w:id="6053" w:name="Inputs_to_Value_the_Option_to_Ex"/>
      <w:bookmarkStart w:id="6054" w:name="Inputs_to_Value_the_Option_to_Ex_1"/>
      <w:pPr>
        <w:keepNext/>
        <w:pStyle w:val="Heading 3"/>
        <w:keepLines w:val="on"/>
      </w:pPr>
      <w:r>
        <w:t>Các Đầu vào để Định giá Quyền chọn Mở rộng</w:t>
      </w:r>
      <w:bookmarkEnd w:id="6053"/>
      <w:bookmarkEnd w:id="6054"/>
    </w:p>
    <w:p>
      <w:pPr>
        <w:pStyle w:val="Para 03"/>
      </w:pPr>
      <w:r>
        <w:t>Để hiểu cách ước tính giá trị của quyền chọn mở rộng, hãy bắt đầu bằng việc nhận ra rằng có hai dự án liên kết với nhau. Dự án thứ nhất nói chung có giá trị hiện tại ròng âm và được coi là một khoản đầu tư tồi, ngay cả bởi chính công ty đầu tư vào nó. Dự án thứ hai là tiềm năng mở rộng đi kèm với dự án thứ nhất. Chính dự án thứ hai đại diện cho tài sản cơ sở (underlying asset) cho quyền chọn. Các đầu vào phải được định nghĩa cho phù hợp:</w:t>
      </w:r>
    </w:p>
    <w:p>
      <w:pPr>
        <w:numPr>
          <w:ilvl w:val="0"/>
          <w:numId w:val="342"/>
        </w:numPr>
        <w:pStyle w:val="Para 01"/>
      </w:pPr>
      <w:r>
        <w:t>Giá trị hiện tại của các dòng tiền mà bạn sẽ tạo ra nếu bạn đầu tư vào dự án thứ hai ngay hôm nay (quyền chọn mở rộng) là giá trị của tài sản cơ sở—S trong mô hình định giá quyền chọn.</w:t>
      </w:r>
    </w:p>
    <w:p>
      <w:pPr>
        <w:numPr>
          <w:ilvl w:val="0"/>
          <w:numId w:val="342"/>
        </w:numPr>
        <w:pStyle w:val="Para 01"/>
      </w:pPr>
      <w:r>
        <w:t>Nếu có sự bất định đáng kể về tiềm năng mở rộng, giá trị hiện tại có khả năng sẽ biến động mạnh và thay đổi theo thời gian khi hoàn cảnh thay đổi. Chính phương sai của giá trị hiện tại này là thứ bạn muốn sử dụng để định giá quyền chọn mở rộng. Vì các dự án không được giao dịch, bạn phải hoặc ước tính phương sai này từ các mô phỏng, hoặc sử dụng phương sai trong giá trị của các công ty niêm yết trong cùng ngành.</w:t>
      </w:r>
    </w:p>
    <w:p>
      <w:pPr>
        <w:numPr>
          <w:ilvl w:val="0"/>
          <w:numId w:val="342"/>
        </w:numPr>
        <w:pStyle w:val="Para 01"/>
      </w:pPr>
      <w:r>
        <w:t>Chi phí mà bạn sẽ phải bỏ ra trước, nếu bạn đầu tư vào việc mở rộng ngay hôm nay, tương đương với giá thực hiện (strike price).</w:t>
      </w:r>
    </w:p>
    <w:p>
      <w:pPr>
        <w:numPr>
          <w:ilvl w:val="0"/>
          <w:numId w:val="342"/>
        </w:numPr>
        <w:pStyle w:val="Para 01"/>
      </w:pPr>
      <w:r>
        <w:t>Vòng đời của quyền chọn rất khó xác định, vì thường không có thời hạn thực hiện nào do bên ngoài áp đặt. (Điều này trái ngược với các bằng sáng chế được định giá trong chương trước, vốn có vòng đời pháp lý có thể dùng làm vòng đời quyền chọn.) Khi định giá quyền chọn mở rộng, vòng đời của quyền chọn sẽ là một ràng buộc nội bộ do chính công ty tự đặt ra. Ví dụ, một công ty đầu tư ở quy mô nhỏ vào Trung Quốc có thể tự đặt ràng buộc rằng công ty sẽ hoặc mở rộng trong vòng năm năm hoặc rút khỏi thị trường. Tại sao công ty lại làm vậy? Có thể có những chi phí đáng kể liên quan đến việc duy trì sự hiện diện nhỏ bé đó, hoặc công ty có thể có nguồn lực khan hiếm phải dành cho nơi khác.</w:t>
      </w:r>
    </w:p>
    <w:p>
      <w:pPr>
        <w:numPr>
          <w:ilvl w:val="0"/>
          <w:numId w:val="342"/>
        </w:numPr>
        <w:pStyle w:val="Para 01"/>
      </w:pPr>
      <w:r>
        <w:t>Như với các quyền chọn thực (real options) khác, có thể có một chi phí cho việc chờ đợi một khi quyền chọn mở rộng trở nên khả thi. Chi phí đó có thể dưới hình thức các dòng tiền sẽ bị mất ở dự án mở rộng nếu không thực hiện nó, hoặc một khoản chi phí áp lên công ty cho đến khi công ty đưa ra quyết định cuối cùng. Ví dụ, công ty có thể phải trả một khoản phí mỗi năm cho đến khi đưa ra quyết định cuối cùng.</w:t>
      </w:r>
    </w:p>
    <w:p>
      <w:pPr>
        <w:pStyle w:val="Para 11"/>
      </w:pPr>
      <w:r>
        <w:t xml:space="preserve"> </w:t>
      </w:r>
    </w:p>
    <w:p>
      <w:bookmarkStart w:id="6056" w:name="ILLUSTRATION_29_1___Valuing_an_O_1"/>
      <w:bookmarkStart w:id="6057" w:name="ILLUSTRATION_29_1___Valuing_an_O"/>
      <w:pPr>
        <w:keepNext/>
        <w:pStyle w:val="Para 19"/>
        <w:keepLines w:val="on"/>
      </w:pPr>
      <w:r>
        <w:t>MINH HỌA 29.1: Định giá một Quyền chọn Mở rộng: Ambev và Guarana</w:t>
      </w:r>
      <w:bookmarkEnd w:id="6056"/>
      <w:bookmarkEnd w:id="6057"/>
    </w:p>
    <w:p>
      <w:pPr>
        <w:pStyle w:val="Para 04"/>
        <w:keepLines w:val="on"/>
      </w:pPr>
      <w:r>
        <w:t>Guarana là một loại nước ngọt chứa caffeine rất phổ biến ở Brazil, và Ambev là nhà sản xuất đồ uống Brazil, đồng thời là nhà sản xuất Guarana lớn nhất thế giới. Giả sử rằng Ambev đang cân nhắc giới thiệu loại đồ uống này vào Hoa Kỳ và đã quyết định thực hiện theo hai bước:</w:t>
      </w:r>
    </w:p>
    <w:p>
      <w:pPr>
        <w:numPr>
          <w:ilvl w:val="0"/>
          <w:numId w:val="343"/>
        </w:numPr>
        <w:pStyle w:val="Para 18"/>
        <w:keepLines w:val="on"/>
      </w:pPr>
      <w:r>
        <w:t>Ambev ban đầu sẽ giới thiệu Guarana chỉ ở các khu vực đô thị lớn của Hoa Kỳ để đánh giá nhu cầu tiềm năng. Chi phí kỳ vọng của việc giới thiệu hạn chế này là 500 triệu đô la, và giá trị hiện tại ước tính của các dòng tiền kỳ vọng chỉ là 400 triệu đô la. Nói cách khác, Ambev kỳ vọng có giá trị hiện tại ròng âm 100 triệu đô la ở khoản đầu tư đầu tiên này.</w:t>
      </w:r>
    </w:p>
    <w:p>
      <w:pPr>
        <w:numPr>
          <w:ilvl w:val="0"/>
          <w:numId w:val="343"/>
        </w:numPr>
        <w:pStyle w:val="Para 18"/>
        <w:keepLines w:val="on"/>
      </w:pPr>
      <w:r>
        <w:t>Nếu việc giới thiệu hạn chế tỏ ra thành công, Ambev kỳ vọng sẽ giới thiệu Guarana ra phần còn lại của thị trường Hoa Kỳ. Tuy nhiên, ở thời điểm hiện tại, công ty không lạc quan về tiềm năng mở rộng này và tin rằng mặc dù chi phí giới thiệu toàn quy mô sẽ là 1 tỷ đô la, giá trị hiện tại kỳ vọng của các dòng tiền chỉ là 750 triệu đô la (khiến đây cũng là một khoản đầu tư có giá trị hiện tại ròng âm).</w:t>
      </w:r>
    </w:p>
    <w:p>
      <w:pPr>
        <w:pStyle w:val="Para 04"/>
        <w:keepLines w:val="on"/>
      </w:pPr>
      <w:r>
        <w:t>Thoạt nhìn, việc đầu tư vào một dự án kém cỏi để có cơ hội đầu tư vào một dự án còn kém cỏi hơn có vẻ như là một thương vụ tồi, nhưng khoản đầu tư thứ hai thực sự có một điểm sáng cứu vãn. Nó là một quyền chọn (option), và Ambev sẽ không thực hiện khoản đầu tư thứ hai (1 tỷ đô la) nếu giá trị hiện tại kỳ vọng của dòng tiền vẫn ở dưới mức đó. Hơn nữa, có sự bất định đáng kể về quy mô và tiềm năng của thị trường này, và công ty hoàn toàn có thể thấy mình sở hữu một khoản đầu tư sinh lời cao.</w:t>
      </w:r>
    </w:p>
    <w:p>
      <w:pPr>
        <w:pStyle w:val="Para 04"/>
        <w:keepLines w:val="on"/>
      </w:pPr>
      <w:r>
        <w:t>Để ước tính giá trị của khoản đầu tư thứ hai như một quyền chọn, chúng ta bắt đầu bằng việc xác định tài sản cơ sở (underlying asset) — dự án mở rộng — và sử dụng ước tính hiện tại về giá trị kỳ vọng (750 triệu đô la) làm giá trị của tài sản cơ sở. Vì khoản đầu tư cần thiết là 1 tỷ đô la chính là giá thực hiện (exercise price), nên quyền chọn này là một quyền chọn ngoài tiền (out-of-the-money option). Hai giả định khó nhằn nhất liên quan đến phương sai (variance) trong giá trị của tài sản cơ sở và thời hạn của quyền chọn:</w:t>
      </w:r>
    </w:p>
    <w:p>
      <w:pPr>
        <w:numPr>
          <w:ilvl w:val="0"/>
          <w:numId w:val="344"/>
        </w:numPr>
        <w:pStyle w:val="Para 18"/>
        <w:keepLines w:val="on"/>
      </w:pPr>
      <w:r>
        <w:t>Chúng tôi ước tính độ lệch chuẩn trung bình là 35% trong giá trị doanh nghiệp của các công ty đồ uống nhỏ, niêm yết đại chúng ở Hoa Kỳ, và giả định rằng đây sẽ là một đại diện tốt cho độ lệch chuẩn trong giá trị của quyền chọn mở rộng.</w:t>
      </w:r>
    </w:p>
    <w:p>
      <w:pPr>
        <w:numPr>
          <w:ilvl w:val="0"/>
          <w:numId w:val="344"/>
        </w:numPr>
        <w:pStyle w:val="Para 18"/>
        <w:keepLines w:val="on"/>
      </w:pPr>
      <w:r>
        <w:t>Chúng tôi giả định rằng Ambev sẽ có khoảng thời gian năm năm để đưa ra quyết định. Chúng tôi thừa nhận đây là một ràng buộc tùy ý, nhưng trong thực tế, nó có thể được thúc đẩy bởi bất kỳ yếu tố nào sau đây:</w:t>
      </w:r>
    </w:p>
    <w:p>
      <w:pPr>
        <w:numPr>
          <w:ilvl w:val="1"/>
          <w:numId w:val="344"/>
        </w:numPr>
        <w:pStyle w:val="Para 18"/>
        <w:keepLines w:val="on"/>
      </w:pPr>
      <w:r>
        <w:t>Các ràng buộc về tài chính (các khoản vay sẽ đến hạn)</w:t>
      </w:r>
    </w:p>
    <w:p>
      <w:pPr>
        <w:numPr>
          <w:ilvl w:val="1"/>
          <w:numId w:val="344"/>
        </w:numPr>
        <w:pStyle w:val="Para 18"/>
        <w:keepLines w:val="on"/>
      </w:pPr>
      <w:r>
        <w:t>Các đặc quyền chiến lược (bạn phải chọn nơi sẽ đầu tư nguồn lực của mình)</w:t>
      </w:r>
    </w:p>
    <w:p>
      <w:pPr>
        <w:numPr>
          <w:ilvl w:val="1"/>
          <w:numId w:val="344"/>
        </w:numPr>
        <w:pStyle w:val="Para 18"/>
        <w:keepLines w:val="on"/>
      </w:pPr>
      <w:r>
        <w:t>Các quyết định về nhân sự (ban quản lý phải được tuyển dụng và bố trí vào vị trí)</w:t>
      </w:r>
    </w:p>
    <w:p>
      <w:pPr>
        <w:pStyle w:val="Para 04"/>
        <w:keepLines w:val="on"/>
      </w:pPr>
      <w:r>
        <w:t>Dựa trên những đầu vào này, chúng tôi có các thông số sau cho mô hình định giá quyền chọn:</w:t>
      </w:r>
    </w:p>
    <w:p>
      <w:bookmarkStart w:id="6058" w:name="S_Present_value_of_cash_flows_fr"/>
      <w:pPr>
        <w:pStyle w:val="Para 49"/>
        <w:keepLines w:val="on"/>
      </w:pPr>
      <w:r>
        <w:t>S=Giá trị hiện tại của dòng tiền từ quyền chọn mở rộng hôm nay=750K=Giá thực hiện=1.000t=5 nămĐộ lệch chuẩn trong giá trị=35%</w:t>
      </w:r>
      <w:bookmarkEnd w:id="6058"/>
    </w:p>
    <w:p>
      <w:pPr>
        <w:pStyle w:val="Para 04"/>
        <w:keepLines w:val="on"/>
      </w:pPr>
      <w:r>
        <w:t>Chúng tôi sử dụng lãi suất phi rủi ro là 5% và suy ra các mức biến động tăng và giảm kỳ vọng từ độ lệch chuẩn:</w:t>
      </w:r>
    </w:p>
    <w:p>
      <w:bookmarkStart w:id="6060" w:name="u_1_4032d_0_6968"/>
      <w:pPr>
        <w:keepNext/>
        <w:pStyle w:val="Para 07"/>
        <w:keepLines w:val="on"/>
      </w:pPr>
      <w:r>
        <w:t>u=1,4032d=0,6968</w:t>
      </w:r>
      <w:bookmarkEnd w:id="6060"/>
    </w:p>
    <w:p>
      <w:pPr>
        <w:pStyle w:val="Para 04"/>
        <w:keepLines w:val="on"/>
      </w:pPr>
      <w:r>
        <w:t>Cây nhị phân (binomial tree) được trình bày trong Hình 29.2.</w:t>
      </w:r>
    </w:p>
    <w:p>
      <w:bookmarkStart w:id="6062" w:name="Figure_29_2_Binomial_Tree__Ambev"/>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05000" cy="2019300"/>
            <wp:effectExtent l="0" r="0" t="0" b="0"/>
            <wp:wrapTopAndBottom/>
            <wp:docPr id="265" name="c29f002.png" descr="Binomial tree diagram depicts potential path’s option’s value to take over time considering the delay period and underlying asset price."/>
            <wp:cNvGraphicFramePr>
              <a:graphicFrameLocks noChangeAspect="1"/>
            </wp:cNvGraphicFramePr>
            <a:graphic>
              <a:graphicData uri="http://schemas.openxmlformats.org/drawingml/2006/picture">
                <pic:pic>
                  <pic:nvPicPr>
                    <pic:cNvPr id="0" name="c29f002.png" descr="Binomial tree diagram depicts potential path’s option’s value to take over time considering the delay period and underlying asset price."/>
                    <pic:cNvPicPr/>
                  </pic:nvPicPr>
                  <pic:blipFill>
                    <a:blip r:embed="rId193"/>
                    <a:stretch>
                      <a:fillRect/>
                    </a:stretch>
                  </pic:blipFill>
                  <pic:spPr>
                    <a:xfrm>
                      <a:off x="0" y="0"/>
                      <a:ext cx="1905000" cy="2019300"/>
                    </a:xfrm>
                    <a:prstGeom prst="rect">
                      <a:avLst/>
                    </a:prstGeom>
                  </pic:spPr>
                </pic:pic>
              </a:graphicData>
            </a:graphic>
          </wp:anchor>
        </w:drawing>
      </w:r>
      <w:bookmarkEnd w:id="6062"/>
    </w:p>
    <w:p>
      <w:pPr>
        <w:keepNext/>
        <w:pStyle w:val="Para 38"/>
        <w:keepLines w:val="on"/>
      </w:pPr>
      <w:r>
        <w:t>Hình 29.2 Cây nhị phân — Quyền chọn mở rộng của Ambev</w:t>
      </w:r>
    </w:p>
    <w:p>
      <w:pPr>
        <w:pStyle w:val="Para 04"/>
        <w:keepLines w:val="on"/>
      </w:pPr>
      <w:r>
        <w:t>Sử dụng khung danh mục tái tạo (replicating portfolio) được mô tả trong Chương 5, chúng tôi ước tính giá trị của quyền chọn mở rộng là 203 triệu đô la. Giá trị này có thể được cộng vào giá trị hiện tại ròng (net present value) của dự án ban đầu đang được xem xét.</w:t>
      </w:r>
    </w:p>
    <w:p>
      <w:bookmarkStart w:id="6063" w:name="NPV_of_limited_introduction__500"/>
      <w:pPr>
        <w:keepNext/>
        <w:pStyle w:val="Para 07"/>
        <w:keepLines w:val="on"/>
      </w:pPr>
      <w:r>
        <w:t>NPV của việc giới thiệu hạn chế=-500+400=-100 triệu đô laGiá trị của quyền chọn mở rộng=203 triệu đô laNPV với quyền chọn mở rộng=-100 triệu đô la+203 triệu đô la=103 triệu đô la</w:t>
      </w:r>
      <w:bookmarkEnd w:id="6063"/>
    </w:p>
    <w:p>
      <w:pPr>
        <w:pStyle w:val="Para 04"/>
        <w:keepLines w:val="on"/>
      </w:pPr>
      <w:r>
        <w:t>Ambev nên tiến hành việc giới thiệu hạn chế, mặc dù nó có giá trị hiện tại ròng âm, bởi vì nhờ đó công ty có được một quyền chọn có giá trị lớn hơn nhiều.</w:t>
      </w:r>
    </w:p>
    <w:p>
      <w:pPr>
        <w:pStyle w:val="Para 20"/>
      </w:pPr>
      <w:r>
        <w:rPr>
          <w:rStyle w:val="Text26"/>
        </w:rPr>
        <w:bookmarkStart w:id="6064" w:name="Page_939"/>
        <w:t/>
        <w:bookmarkEnd w:id="6064"/>
      </w:r>
      <w:r>
        <w:t xml:space="preserve"> </w:t>
      </w:r>
    </w:p>
    <w:p>
      <w:pPr>
        <w:pStyle w:val="Para 11"/>
      </w:pPr>
      <w:r>
        <w:t xml:space="preserve"> </w:t>
      </w:r>
    </w:p>
    <w:p>
      <w:bookmarkStart w:id="6065" w:name="Estimating_Variances_from_Monte"/>
      <w:bookmarkStart w:id="6066" w:name="Estimating_Variances_from_Monte_1"/>
      <w:pPr>
        <w:keepNext/>
        <w:pStyle w:val="Para 27"/>
        <w:keepLines w:val="on"/>
      </w:pPr>
      <w:r>
        <w:t>Ước tính phương sai từ mô phỏng Monte Carlo</w:t>
      </w:r>
      <w:bookmarkEnd w:id="6065"/>
      <w:bookmarkEnd w:id="6066"/>
    </w:p>
    <w:p>
      <w:pPr>
        <w:pStyle w:val="Para 16"/>
        <w:keepLines w:val="on"/>
      </w:pPr>
      <w:r>
        <w:t>Đã có vài lần trong hai chương trước đề xuất rằng các phương sai được sử dụng trong mô hình định giá quyền chọn thực (real option) nên được suy ra từ các mô phỏng. Một mô phỏng Monte Carlo yêu cầu ba bước sau:</w:t>
      </w:r>
    </w:p>
    <w:p>
      <w:pPr>
        <w:numPr>
          <w:ilvl w:val="0"/>
          <w:numId w:val="345"/>
        </w:numPr>
        <w:pStyle w:val="Para 33"/>
        <w:keepLines w:val="on"/>
      </w:pPr>
      <w:r>
        <w:t>Bạn xác định các phân phối xác suất cho từng đầu vào chính làm nền tảng cho dòng tiền, cùng các tham số của phân phối — chẳng hạn như giá trị trung bình và độ lệch chuẩn, nếu đó là phân phối chuẩn.</w:t>
      </w:r>
    </w:p>
    <w:p>
      <w:pPr>
        <w:numPr>
          <w:ilvl w:val="0"/>
          <w:numId w:val="345"/>
        </w:numPr>
        <w:pStyle w:val="Para 33"/>
        <w:keepLines w:val="on"/>
      </w:pPr>
      <w:r>
        <w:t>Trong mỗi lần mô phỏng, bạn rút ra một kết quả từ mỗi phân phối và ước tính giá trị hiện tại của dòng tiền dựa trên những kết quả rút ra đó.</w:t>
      </w:r>
    </w:p>
    <w:p>
      <w:pPr>
        <w:numPr>
          <w:ilvl w:val="0"/>
          <w:numId w:val="345"/>
        </w:numPr>
        <w:pStyle w:val="Para 33"/>
        <w:keepLines w:val="on"/>
      </w:pPr>
      <w:r>
        <w:t>Sau nhiều lần mô phỏng lặp lại, bạn sẽ có một phân phối các giá trị hiện tại. Giá trị trung bình của phân phối này chính là giá trị kỳ vọng của dự án, và độ lệch chuẩn của phân phối có thể được dùng làm phương sai để định giá các quyền chọn trên dự án.</w:t>
      </w:r>
    </w:p>
    <w:p>
      <w:pPr>
        <w:pStyle w:val="Para 16"/>
        <w:keepLines w:val="on"/>
      </w:pPr>
      <w:r>
        <w:t>Mặc dù quá trình chạy các mô phỏng này khá đơn giản, và có một số gói phần mềm cho phép bạn làm điều này,1 chúng tôi xin thêm những lưu ý cảnh báo sau:</w:t>
      </w:r>
    </w:p>
    <w:p>
      <w:pPr>
        <w:numPr>
          <w:ilvl w:val="0"/>
          <w:numId w:val="346"/>
        </w:numPr>
        <w:pStyle w:val="Para 33"/>
        <w:keepLines w:val="on"/>
      </w:pPr>
      <w:r>
        <w:t>Bước khó nhất là ước tính các phân phối xác suất và tham số cho các biến chính. Việc này dễ hơn khi một công ty đã có kinh nghiệm với các dự án tương tự trong quá khứ — chẳng hạn một cửa hàng bán lẻ đang cân nhắc mở cửa hàng mới — so với một sản phẩm mới hay một thị trường mới. Nếu các phân phối đưa vào mô phỏng là ngẫu nhiên, thì kết quả đầu ra, dù trông có ấn tượng trên giấy đến đâu, cũng vô nghĩa.</w:t>
      </w:r>
    </w:p>
    <w:p>
      <w:pPr>
        <w:numPr>
          <w:ilvl w:val="0"/>
          <w:numId w:val="346"/>
        </w:numPr>
        <w:pStyle w:val="Para 33"/>
        <w:keepLines w:val="on"/>
      </w:pPr>
      <w:r>
        <w:t>Độ lệch chuẩn hay phương sai mà bạn muốn sử dụng trong mô hình định giá quyền chọn là phương sai trong giá trị theo thời gian chứ không phải tại một thời điểm. Bạn có thể hỏi sự khác biệt là gì? Ví dụ, việc kiểm tra thị trường cung cấp một phân phối cho tiềm năng thị trường hiện tại và phản ánh sự bất định trong ước tính. Bản thân thị trường sẽ phát triển theo thời gian, và chính phương sai trong phân phối đó mới là điều bạn muốn ước tính.2</w:t>
      </w:r>
    </w:p>
    <w:p>
      <w:pPr>
        <w:pStyle w:val="Para 16"/>
        <w:keepLines w:val="on"/>
      </w:pPr>
      <w:r>
        <w:t>Bạn nên ước tính độ lệch chuẩn trong giá trị của dự án — tổng giá trị hiện tại của dòng tiền — thay vì độ lệch chuẩn trong thu nhập hằng năm hay dòng tiền hằng năm.</w:t>
      </w:r>
    </w:p>
    <w:p>
      <w:pPr>
        <w:pStyle w:val="Para 11"/>
      </w:pPr>
      <w:r>
        <w:t xml:space="preserve"> </w:t>
      </w:r>
    </w:p>
    <w:p>
      <w:bookmarkStart w:id="6069" w:name="expand_xls__This_spreadsheet_al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66"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6069"/>
    </w:p>
    <w:p>
      <w:pPr>
        <w:pStyle w:val="Para 31"/>
        <w:keepLines w:val="on"/>
      </w:pPr>
      <w:r>
        <w:t>expand.xls: Bảng tính này cho phép bạn ước tính giá trị của quyền chọn mở rộng một dự án sang các thị trường mới hoặc sản phẩm mới, bằng cách sử dụng mô hình Black-Scholes.</w:t>
      </w:r>
    </w:p>
    <w:p>
      <w:pPr>
        <w:pStyle w:val="Para 20"/>
      </w:pPr>
      <w:r>
        <w:rPr>
          <w:rStyle w:val="Text26"/>
        </w:rPr>
        <w:bookmarkStart w:id="6070" w:name="Page_940"/>
        <w:t/>
        <w:bookmarkEnd w:id="6070"/>
      </w:r>
      <w:r>
        <w:t xml:space="preserve"> </w:t>
      </w:r>
    </w:p>
    <w:p>
      <w:bookmarkStart w:id="6071" w:name="Problems_in_Valuing_the_Option_t_2"/>
      <w:bookmarkStart w:id="6072" w:name="Problems_in_Valuing_the_Option_t_3"/>
      <w:pPr>
        <w:keepNext/>
        <w:pStyle w:val="Heading 3"/>
        <w:keepLines w:val="on"/>
      </w:pPr>
      <w:r>
        <w:t>Những vấn đề khó khăn khi định giá quyền chọn mở rộng</w:t>
      </w:r>
      <w:bookmarkEnd w:id="6071"/>
      <w:bookmarkEnd w:id="6072"/>
    </w:p>
    <w:p>
      <w:pPr>
        <w:pStyle w:val="Para 03"/>
      </w:pPr>
      <w:r>
        <w:t>Những cân nhắc thực tế liên quan đến việc ước tính giá trị của quyền chọn mở rộng cũng tương tự như những cân nhắc liên quan đến việc định giá quyền chọn trì hoãn. Trong hầu hết các trường hợp, những công ty có quyền chọn mở rộng không có một khung thời gian cụ thể nào để phải đưa ra quyết định mở rộng, khiến cho đây trở thành những quyền chọn mở (open-ended options) hay, trong trường hợp tốt nhất, là những quyền chọn có thời hạn tùy ý. Ngay cả trong những trường hợp có thể ước tính được thời hạn của quyền chọn, thì cả quy mô lẫn thị trường tiềm năng cho sản phẩm đều có thể chưa được biết rõ, và việc ước tính bất kỳ yếu tố nào trong số đó cũng có thể gặp nhiều khó khăn. Để minh họa, hãy xem ví dụ về Ambev đã thảo luận trước đó. Mặc dù chúng ta đã chọn khoảng thời gian năm năm, vào cuối giai đoạn đó Ambev phải quyết định dứt khoát theo cách này hay cách khác về việc mở rộng trong tương lai tại Hoa Kỳ, nhưng hoàn toàn có thể là khung thời gian này không được xác định cụ thể vào thời điểm thực hiện khoản đầu tư ban đầu. Hơn nữa, chúng ta đã giả định rằng cả chi phí lẫn giá trị hiện tại của việc mở rộng đều đã được biết vào thời điểm đầu tư ban đầu. Trên thực tế, công ty có thể không có được những ước tính tốt cho cả hai yếu tố đầu vào trước khi mở cửa hàng đầu tiên, vì nó không có nhiều thông tin về thị trường cơ sở.</w:t>
      </w:r>
    </w:p>
    <w:p>
      <w:bookmarkStart w:id="6073" w:name="Extensions_and_Implications_of_E_1"/>
      <w:bookmarkStart w:id="6074" w:name="Extensions_and_Implications_of_E"/>
      <w:pPr>
        <w:keepNext/>
        <w:pStyle w:val="Heading 3"/>
        <w:keepLines w:val="on"/>
      </w:pPr>
      <w:r>
        <w:t>Những mở rộng và hàm ý của quyền chọn mở rộng</w:t>
      </w:r>
      <w:bookmarkEnd w:id="6073"/>
      <w:bookmarkEnd w:id="6074"/>
    </w:p>
    <w:p>
      <w:pPr>
        <w:pStyle w:val="Para 03"/>
      </w:pPr>
      <w:r>
        <w:t>Quyền chọn mở rộng có thể được các công ty sử dụng để biện minh cho việc đầu tư vào những dự án có giá trị hiện tại ròng âm nhưng lại mang đến những cơ hội đáng kể để thâm nhập thị trường mới hoặc bán sản phẩm mới. Phương pháp định giá quyền chọn bổ sung tính chặt chẽ cho lập luận này bằng cách ước tính giá trị của những quyền chọn đó, đồng thời cũng mang lại hiểu biết sâu sắc về những dịp mà chúng có giá trị nhất. Quyền chọn mở rộng rõ ràng có giá trị hơn đối với những doanh nghiệp biến động hơn với tỷ suất sinh lời trên các dự án cao hơn (chẳng hạn như công nghệ sinh học hay phần mềm máy tính), so với những doanh nghiệp ổn định với tỷ suất sinh lời thấp hơn (chẳng hạn như sản xuất ô tô). Chúng ta sẽ xem xét ba trường hợp mà quyền chọn mở rộng có thể mang lại những hiểu biết hữu ích—các thương vụ mua lại mang tính chiến lược, chi phí nghiên cứu và phát triển, và các dự án nhiều giai đoạn.</w:t>
      </w:r>
    </w:p>
    <w:p>
      <w:bookmarkStart w:id="6075" w:name="Strategic_Considerations_in_Acqu_1"/>
      <w:bookmarkStart w:id="6076" w:name="Strategic_Considerations_in_Acqu"/>
      <w:pPr>
        <w:keepNext/>
        <w:pStyle w:val="Heading 4"/>
        <w:keepLines w:val="on"/>
      </w:pPr>
      <w:r>
        <w:t>Những cân nhắc chiến lược trong các thương vụ mua lại</w:t>
      </w:r>
      <w:bookmarkEnd w:id="6075"/>
      <w:bookmarkEnd w:id="6076"/>
    </w:p>
    <w:p>
      <w:pPr>
        <w:pStyle w:val="Para 03"/>
      </w:pPr>
      <w:r>
        <w:t>Trong nhiều thương vụ mua lại hoặc đầu tư, công ty đi mua tin rằng thương vụ này sẽ mang lại cho mình những lợi thế cạnh tranh trong tương lai. Những lợi thế cạnh tranh này bao gồm:</w:t>
      </w:r>
    </w:p>
    <w:p>
      <w:pPr>
        <w:numPr>
          <w:ilvl w:val="0"/>
          <w:numId w:val="347"/>
        </w:numPr>
        <w:pStyle w:val="Para 01"/>
      </w:pPr>
      <w:r>
        <w:t>Thâm nhập vào một thị trường lớn hoặc đang tăng trưởng. Một khoản đầu tư hoặc thương vụ mua lại có thể cho phép công ty thâm nhập vào một thị trường lớn hoặc có tiềm năng lớn sớm hơn nhiều so với việc nó có thể làm được bằng cách khác. Một ví dụ điển hình là việc một công ty Hoa Kỳ mua lại một công ty bán lẻ Mexico, với ý định mở rộng sang thị trường Mexico.</w:t>
      </w:r>
    </w:p>
    <w:p>
      <w:pPr>
        <w:numPr>
          <w:ilvl w:val="0"/>
          <w:numId w:val="347"/>
        </w:numPr>
        <w:pStyle w:val="Para 01"/>
      </w:pPr>
      <w:r>
        <w:t>Chuyên môn công nghệ. Trong một số trường hợp, thương vụ mua lại được thúc đẩy bởi mong muốn sở hữu một công nghệ độc quyền cho phép bên mua hoặc mở rộng thị trường hiện có hoặc thâm nhập một thị trường mới.</w:t>
      </w:r>
    </w:p>
    <w:p>
      <w:pPr>
        <w:numPr>
          <w:ilvl w:val="0"/>
          <w:numId w:val="347"/>
        </w:numPr>
        <w:pStyle w:val="Para 01"/>
      </w:pPr>
      <w:r>
        <w:t>Tên thương hiệu. Các công ty đôi khi trả giá cao hơn nhiều so với giá thị trường để mua lại những công ty có tên thương hiệu giá trị, vì họ tin rằng những tên thương hiệu này có thể được dùng để mở rộng sang các thị trường mới trong tương lai.</w:t>
      </w:r>
    </w:p>
    <w:p>
      <w:pPr>
        <w:pStyle w:val="Para 03"/>
      </w:pPr>
      <w:r>
        <w:t>Mặc dù tất cả những lợi thế tiềm năng này đều có thể được dùng để biện minh cho những khoản phí mua lại lớn, nhưng không phải tất cả chúng đều tạo ra những quyền chọn có giá trị. Ngay cả khi những lợi thế này có thể được xem là những quyền chọn mở rộng có giá trị, thì giá trị đó phải lớn hơn khoản phí mua lại để các cổ đông được hưởng lợi.</w:t>
      </w:r>
    </w:p>
    <w:p>
      <w:pPr>
        <w:pStyle w:val="Para 20"/>
      </w:pPr>
      <w:r>
        <w:rPr>
          <w:rStyle w:val="Text26"/>
        </w:rPr>
        <w:bookmarkStart w:id="6077" w:name="Page_941"/>
        <w:t/>
        <w:bookmarkEnd w:id="6077"/>
      </w:r>
      <w:r>
        <w:t xml:space="preserve"> </w:t>
      </w:r>
    </w:p>
    <w:p>
      <w:bookmarkStart w:id="6078" w:name="Research__Development__and_Test"/>
      <w:bookmarkStart w:id="6079" w:name="Research__Development__and_Test_1"/>
      <w:pPr>
        <w:keepNext/>
        <w:pStyle w:val="Heading 4"/>
        <w:keepLines w:val="on"/>
      </w:pPr>
      <w:r>
        <w:t>Chi phí nghiên cứu, phát triển và thử nghiệm thị trường</w:t>
      </w:r>
      <w:bookmarkEnd w:id="6078"/>
      <w:bookmarkEnd w:id="6079"/>
    </w:p>
    <w:p>
      <w:pPr>
        <w:pStyle w:val="Para 03"/>
      </w:pPr>
      <w:r>
        <w:t>Những công ty chi ra số tiền đáng kể cho nghiên cứu và phát triển cũng như thử nghiệm thị trường thường bị bế tắc khi cố gắng đánh giá những khoản chi này, vì lợi ích thu về nằm ở những khoản đầu tư trong tương lai. Đồng thời, có một khả năng rất thực tế là sau khi tiền đã được chi ra, các sản phẩm hoặc dự án có thể hóa ra không khả thi; do đó, khoản chi này phải được coi là chi phí chìm (sunk cost). Thực tế, R&amp;D mang những đặc điểm của một quyền chọn mua (call option)—số tiền chi cho R&amp;D chính là chi phí của quyền chọn mua, và những dự án hoặc sản phẩm có thể nảy sinh từ đó mang lại lợi ích cho các quyền chọn. Nếu những sản phẩm này khả thi (tức là giá trị hiện tại của các dòng tiền vào vượt quá khoản đầu tư cần thiết), thì lợi ích chính là phần chênh lệch giữa hai yếu tố đó.</w:t>
      </w:r>
    </w:p>
    <w:p>
      <w:pPr>
        <w:pStyle w:val="Para 03"/>
      </w:pPr>
      <w:r>
        <w:t>Một vài hàm ý logic nảy sinh từ cách nhìn nhận này về R&amp;D. Thứ nhất, khi mọi yếu tố khác không đổi, chi phí nghiên cứu sẽ mang lại giá trị cao hơn nhiều cho những công ty hoạt động trong các ngành biến động, vì phương sai trong dòng tiền của sản phẩm hoặc dự án có tương quan thuận với giá trị của quyền chọn mua. Do đó, Minnesota Mining and Manufacturing (3M), công ty chi một khoản đáng kể cho R&amp;D các sản phẩm văn phòng cơ bản như giấy ghi chú Post-it, sẽ nhận được ít giá trị quyền chọn hơn từ hoạt động nghiên cứu của mình so với Amgen, công ty mà hoạt động nghiên cứu chủ yếu liên quan đến các sản phẩm công nghệ sinh học.3 Thứ hai, giá trị của hoạt động nghiên cứu và số tiền tối ưu nên chi cho nghiên cứu sẽ thay đổi theo thời gian khi các ngành kinh doanh trưởng thành. Ví dụ điển hình nhất là ngành dược phẩm: Các công ty dược phẩm đã dành phần lớn thập niên 1980 để đầu tư số tiền đáng kể vào nghiên cứu và thu về lợi nhuận cao từ các sản phẩm mới khi chi phí chăm sóc sức khỏe tăng lên. Tuy nhiên, vào thập niên 1990, khi chi phí chăm sóc sức khỏe bắt đầu chững lại và ngành kinh doanh trưởng thành, nhiều công ty trong số này nhận thấy họ không còn thu được lợi ích tương tự từ hoạt động nghiên cứu và bắt đầu cắt giảm. Một số công ty đã chuyển tiền nghiên cứu từ các loại thuốc truyền thống sang các sản phẩm công nghệ sinh học, nơi mà sự bất định về dòng tiền trong tương lai vẫn còn cao.</w:t>
      </w:r>
    </w:p>
    <w:p>
      <w:bookmarkStart w:id="6081" w:name="Multistage_Projects_Investments_1"/>
      <w:bookmarkStart w:id="6082" w:name="Multistage_Projects_Investments"/>
      <w:pPr>
        <w:keepNext/>
        <w:pStyle w:val="Heading 4"/>
        <w:keepLines w:val="on"/>
      </w:pPr>
      <w:r>
        <w:t>Các dự án/khoản đầu tư nhiều giai đoạn</w:t>
      </w:r>
      <w:bookmarkEnd w:id="6081"/>
      <w:bookmarkEnd w:id="6082"/>
    </w:p>
    <w:p>
      <w:pPr>
        <w:pStyle w:val="Para 03"/>
      </w:pPr>
      <w:r>
        <w:t>Khi thâm nhập vào những ngành kinh doanh mới hoặc thực hiện những khoản đầu tư mới, các công ty đôi khi có quyền chọn tiến hành theo từng giai đoạn. Mặc dù làm như vậy có thể làm giảm tiềm năng tăng trưởng, nhưng nó cũng bảo vệ công ty khỏi rủi ro giảm giá, bằng cách cho phép công ty ở mỗi giai đoạn đánh giá nhu cầu và quyết định xem có nên tiến sang giai đoạn tiếp theo hay không. Nói cách khác, một dự án tiêu chuẩn có thể được tái cấu trúc thành một chuỗi các quyền chọn mở rộng, với mỗi quyền chọn phụ thuộc vào quyền chọn trước đó. Có hai mệnh đề được rút ra:</w:t>
      </w:r>
    </w:p>
    <w:p>
      <w:pPr>
        <w:numPr>
          <w:ilvl w:val="0"/>
          <w:numId w:val="348"/>
        </w:numPr>
        <w:pStyle w:val="Para 01"/>
      </w:pPr>
      <w:r>
        <w:t>Một số dự án không hấp dẫn khi xét trên cơ sở đầu tư toàn phần có thể lại tạo ra giá trị nếu công ty có thể đầu tư theo từng giai đoạn.</w:t>
      </w:r>
    </w:p>
    <w:p>
      <w:pPr>
        <w:numPr>
          <w:ilvl w:val="0"/>
          <w:numId w:val="348"/>
        </w:numPr>
        <w:pStyle w:val="Para 01"/>
      </w:pPr>
      <w:r>
        <w:t>Một số dự án trông hấp dẫn khi xét trên cơ sở đầu tư toàn phần có thể còn trở nên hấp dẫn hơn nữa nếu được thực hiện theo từng giai đoạn.</w:t>
      </w:r>
    </w:p>
    <w:p>
      <w:pPr>
        <w:pStyle w:val="Para 03"/>
      </w:pPr>
      <w:r>
        <w:t>Phần giá trị tăng thêm từ những quyền chọn được tạo ra bởi các khoản đầu tư nhiều giai đoạn phải được cân nhắc so với chi phí. Việc thực hiện đầu tư theo từng giai đoạn có thể cho phép các đối thủ quyết định thâm nhập thị trường với quy mô toàn phần chiếm lĩnh thị trường. Nó cũng có thể dẫn đến chi phí cao hơn ở mỗi giai đoạn, vì công ty không tận dụng được hết lợi thế kinh tế theo quy mô.</w:t>
      </w:r>
    </w:p>
    <w:p>
      <w:pPr>
        <w:pStyle w:val="Para 03"/>
      </w:pPr>
      <w:r>
        <w:t>Một vài hàm ý nảy sinh từ việc nhìn nhận sự lựa chọn giữa đầu tư nhiều giai đoạn và đầu tư một lần này trong khuôn khổ quyền chọn. Những dự án mà lợi ích thu được sẽ lớn nhất từ việc thực hiện đầu tư theo nhiều giai đoạn bao gồm:</w:t>
      </w:r>
    </w:p>
    <w:p>
      <w:pPr>
        <w:numPr>
          <w:ilvl w:val="0"/>
          <w:numId w:val="349"/>
        </w:numPr>
        <w:pStyle w:val="Para 01"/>
      </w:pPr>
      <w:r>
        <w:t>Những dự án có rào cản gia nhập đáng kể đối với các đối thủ muốn thâm nhập thị trường và tận dụng sự chậm trễ trong sản xuất quy mô toàn phần. Do đó, một công ty có bằng sáng chế cho một sản phẩm hoặc có sự bảo hộ pháp lý khác chống lại cạnh tranh sẽ phải trả một cái giá nhỏ hơn nhiều cho việc bắt đầu với quy mô nhỏ rồi mở rộng khi hiểu biết thêm về thị trường.</w:t>
      </w:r>
    </w:p>
    <w:p>
      <w:pPr>
        <w:numPr>
          <w:ilvl w:val="0"/>
          <w:numId w:val="349"/>
        </w:numPr>
        <w:pStyle w:val="Para 01"/>
      </w:pPr>
      <w:r>
        <w:t>Những dự án có sự bất định về quy mô thị trường và sự thành công cuối cùng của dự án. Ở đây, việc bắt đầu với quy mô nhỏ rồi mở rộng theo từng giai đoạn cho phép công ty giảm bớt tổn thất nếu sản phẩm không bán chạy như kỳ vọng, đồng thời hiểu biết thêm về thị trường ở mỗi giai đoạn. Thông tin này có thể hữu ích cho cả việc thiết kế sản phẩm lẫn hoạt động tiếp thị ở những giai đoạn tiếp theo.</w:t>
      </w:r>
    </w:p>
    <w:p>
      <w:pPr>
        <w:numPr>
          <w:ilvl w:val="0"/>
          <w:numId w:val="349"/>
        </w:numPr>
        <w:pStyle w:val="Para 01"/>
      </w:pPr>
      <w:r>
        <w:t>Những dự án cần khoản đầu tư đáng kể vào cơ sở hạ tầng và có đòn bẩy hoạt động cao (chi phí cố định). Vì khoản tiết kiệm được từ việc thực hiện dự án theo nhiều giai đoạn có thể được truy nguyên về những khoản đầu tư cần thiết ở mỗi giai đoạn, nên lợi ích thu được có khả năng lớn hơn ở những công ty mà các chi phí đó cao. Ví dụ, những dự án thâm dụng vốn cũng như những dự án đòi hỏi chi phí tiếp thị ban đầu lớn (một sản phẩm mang thương hiệu mới cho một công ty hàng tiêu dùng) sẽ thu được nhiều lợi ích hơn từ những quyền chọn được tạo ra bằng cách đầu tư vào dự án theo nhiều giai đoạn.</w:t>
      </w:r>
    </w:p>
    <w:p>
      <w:bookmarkStart w:id="6084" w:name="When_Are_Expansion_Options_Valua_1"/>
      <w:bookmarkStart w:id="6085" w:name="When_Are_Expansion_Options_Valua"/>
      <w:pPr>
        <w:keepNext/>
        <w:pStyle w:val="Heading 2"/>
        <w:keepLines w:val="on"/>
      </w:pPr>
      <w:r>
        <w:t>Khi nào quyền chọn mở rộng có giá trị?</w:t>
      </w:r>
      <w:bookmarkEnd w:id="6084"/>
      <w:bookmarkEnd w:id="6085"/>
    </w:p>
    <w:p>
      <w:pPr>
        <w:pStyle w:val="Para 03"/>
      </w:pPr>
      <w:r>
        <w:t>Mặc dù lập luận rằng một số hoặc nhiều khoản đầu tư có ẩn chứa những quyền chọn chiến lược hoặc quyền chọn mở rộng có giá trị nghe rất hấp dẫn, nhưng có một nguy cơ là lập luận này có thể bị dùng để biện minh cho những khoản đầu tư tồi. Thực tế, những bên đi mua lại từ lâu đã biện minh cho những khoản phí khổng lồ trong các thương vụ mua lại bằng những lý do cộng hưởng và chiến lược. Chúng ta cần chặt chẽ hơn trong việc đo lường giá trị của các quyền chọn thực (real options) và trong việc sử dụng quyền chọn thực làm lý lẽ để trả giá cao hoặc thực hiện những khoản đầu tư tồi.</w:t>
      </w:r>
    </w:p>
    <w:p>
      <w:pPr>
        <w:pStyle w:val="Para 11"/>
      </w:pPr>
      <w:r>
        <w:t xml:space="preserve"> </w:t>
      </w:r>
    </w:p>
    <w:p>
      <w:bookmarkStart w:id="6086" w:name="Sequential_and_Compound_Options"/>
      <w:bookmarkStart w:id="6087" w:name="Sequential_and_Compound_Options_1"/>
      <w:pPr>
        <w:keepNext/>
        <w:pStyle w:val="Para 27"/>
        <w:keepLines w:val="on"/>
      </w:pPr>
      <w:r>
        <w:t>Tùy chọn tuần tự và tùy chọn ghép: Vài suy nghĩ</w:t>
      </w:r>
      <w:bookmarkEnd w:id="6086"/>
      <w:bookmarkEnd w:id="6087"/>
    </w:p>
    <w:p>
      <w:pPr>
        <w:pStyle w:val="Para 16"/>
        <w:keepLines w:val="on"/>
      </w:pPr>
      <w:r>
        <w:t>Tùy chọn ghép (compound option) là một tùy chọn trên một tùy chọn khác. Một ví dụ đơn giản là quyền chọn mua (call option) trên một công ty nhỏ chỉ có một tài sản duy nhất — một bằng sáng chế. Ở chương trước, chúng ta đã lập luận rằng bằng sáng chế có thể được xem như một tùy chọn, và do đó quyền chọn mua trên công ty trở thành một tùy chọn ghép. Bạn cũng có thể có một chuỗi tùy chọn (sequence of options) trong đó giá trị của mỗi tùy chọn phụ thuộc vào việc tùy chọn trước đó có được thực hiện hay không. Ví dụ, một dự án gồm năm giai đoạn sẽ có các tùy chọn tuần tự. Việc bạn có đạt đến giai đoạn thứ năm hay không rõ ràng phụ thuộc vào việc bạn có vượt qua được bốn giai đoạn đầu tiên hay không; giá trị của tùy chọn thứ năm trong chuỗi được quyết định bởi những gì xảy ra với bốn tùy chọn đầu tiên.</w:t>
      </w:r>
    </w:p>
    <w:p>
      <w:pPr>
        <w:pStyle w:val="Para 16"/>
        <w:keepLines w:val="on"/>
      </w:pPr>
      <w:r>
        <w:t>Không cần phải nói, việc định giá tùy chọn trở nên phức tạp hơn khi bạn có các tùy chọn tuần tự và tùy chọn ghép. Có hai lựa chọn. Một là định giá những tùy chọn này như những tùy chọn đơn giản và chấp nhận thực tế rằng giá trị bạn thu được sẽ chỉ là một con số gần đúng. Hai là điều chỉnh mô hình định giá tùy chọn để cho phép các đặc điểm riêng của những tùy chọn này. Mặc dù chúng ta không xem xét các mô hình này trong cuốn sách này, bạn có thể điều chỉnh cả mô hình Black-Scholes lẫn mô hình nhị phân (binomial) để chúng có thể định giá các tùy chọn ghép và tuần tự.</w:t>
      </w:r>
    </w:p>
    <w:p>
      <w:bookmarkStart w:id="6089" w:name="Quantitative_Estimation"/>
      <w:bookmarkStart w:id="6090" w:name="Quantitative_Estimation__When_re"/>
      <w:pPr>
        <w:keepNext/>
        <w:pStyle w:val="Heading 3"/>
        <w:keepLines w:val="on"/>
      </w:pPr>
      <w:r>
        <w:t>Ước lượng định lượng</w:t>
      </w:r>
      <w:bookmarkEnd w:id="6089"/>
      <w:bookmarkEnd w:id="6090"/>
    </w:p>
    <w:p>
      <w:pPr>
        <w:pStyle w:val="Para 03"/>
      </w:pPr>
      <w:r>
        <w:t>Khi các tùy chọn thực (real options) được dùng để biện minh cho một quyết định, sự biện minh đó phải mang tính định lượng chứ không chỉ là những lập luận định tính. Nói cách khác, những nhà quản lý lập luận ủng hộ việc đầu tư vào một dự án có lợi nhuận kém, hoặc trả giá cao hơn cho một thương vụ mua lại dựa trên các tùy chọn thực mà khoản đầu tư này tạo ra, nên được yêu cầu định giá những tùy chọn thực đó và chứng minh rằng lợi ích kinh tế vượt trội hơn chi phí. Sẽ có hai lập luận chống lại yêu cầu này. Thứ nhất là các tùy chọn thực không thể dễ dàng định giá được, vì các thông số đầu vào rất khó thu thập và thường đầy nhiễu. Thứ hai là các thông số đầu vào của mô hình định giá tùy chọn có thể dễ dàng bị thao túng để biện minh cho bất kỳ kết luận nào. Mặc dù cả hai lập luận đều có cơ sở nhất định, một ước lượng vẫn tốt hơn là không có ước lượng nào cả, và quá trình cố gắng ước lượng giá trị của một tùy chọn thực thực chất chính là bước đầu tiên để hiểu điều gì thúc đẩy giá trị của nó.</w:t>
      </w:r>
    </w:p>
    <w:p>
      <w:bookmarkStart w:id="6091" w:name="Tests_for_Expansion_Option_to_Ha"/>
      <w:bookmarkStart w:id="6092" w:name="Tests_for_Expansion_Option_to_Ha_1"/>
      <w:pPr>
        <w:keepNext/>
        <w:pStyle w:val="Heading 3"/>
        <w:keepLines w:val="on"/>
      </w:pPr>
      <w:r>
        <w:t>Các phép kiểm tra để tùy chọn mở rộng có giá trị</w:t>
      </w:r>
      <w:bookmarkEnd w:id="6091"/>
      <w:bookmarkEnd w:id="6092"/>
    </w:p>
    <w:p>
      <w:pPr>
        <w:pStyle w:val="Para 03"/>
      </w:pPr>
      <w:r>
        <w:t>Không phải mọi khoản đầu tư đều có tùy chọn ẩn chứa bên trong, và không phải mọi tùy chọn, ngay cả khi chúng tồn tại, đều có giá trị đáng kể. Để đánh giá liệu một khoản đầu tư có tạo ra những tùy chọn giá trị cần được phân tích và định giá hay không, chúng ta cần trả lời ba câu hỏi then chốt.</w:t>
      </w:r>
    </w:p>
    <w:p>
      <w:pPr>
        <w:numPr>
          <w:ilvl w:val="0"/>
          <w:numId w:val="350"/>
        </w:numPr>
        <w:pStyle w:val="Para 01"/>
      </w:pPr>
      <w:r>
        <w:t>Khoản đầu tư đầu tiên có phải là điều kiện tiên quyết cho khoản đầu tư/mở rộng sau này không? Nếu không, thì khoản đầu tư đầu tiên cần thiết đến mức nào đối với khoản đầu tư/mở rộng sau này? Hãy xem lại phân tích trước đó của chúng ta về giá trị của một bằng sáng chế hay giá trị của một mỏ dầu chưa khai thác như những tùy chọn. Một công ty không thể tạo ra bằng sáng chế mà không đầu tư vào nghiên cứu hoặc trả tiền cho một công ty khác để có bằng sáng chế, và công ty cũng không thể có quyền đối với một mỏ dầu chưa khai thác mà không chi tiền cho thăm dò, đấu giá nó tại một cuộc đấu giá của chính phủ, hoặc mua nó từ một công ty dầu khác. Rõ ràng, khoản đầu tư ban đầu ở đây (chi cho R&amp;D, đấu giá tại cuộc đấu giá) là cần thiết để công ty có được khoản đầu tư thứ hai. Bây giờ hãy xem xét khoản đầu tư của Ambev vào một đợt giới thiệu hạn chế và tùy chọn mở rộng sang thị trường Mỹ sau này. Khoản đầu tư ban đầu cung cấp cho Ambev thông tin về tiềm năng thị trường, mà nếu không có nó thì có lẽ công ty không sẵn lòng mở rộng sang thị trường lớn hơn. Khác với ví dụ về bằng sáng chế và mỏ dầu chưa khai thác, khoản đầu tư ban đầu không phải là điều kiện tiên quyết cho khoản thứ hai, mặc dù ban quản lý có thể xem nó như vậy. Mối liên hệ thậm chí còn yếu hơn, và giá trị tùy chọn thấp hơn, khi chúng ta xem xét việc một công ty mua lại một công ty khác để có tùy chọn có thể thâm nhập vào một thị trường lớn. Mua lại một công ty truyền thông xã hội để có chỗ đứng trong thị trường truyền thông xã hội, hoặc mua một nhà máy bia Trung Quốc để bảo toàn tùy chọn thâm nhập thị trường bia Trung Quốc, sẽ là những ví dụ về các tùy chọn khó biện minh hơn.</w:t>
      </w:r>
    </w:p>
    <w:p>
      <w:pPr>
        <w:numPr>
          <w:ilvl w:val="0"/>
          <w:numId w:val="350"/>
        </w:numPr>
        <w:pStyle w:val="Para 01"/>
      </w:pPr>
      <w:r>
        <w:t>Công ty có quyền độc quyền đối với khoản đầu tư/mở rộng sau này không? Nếu không, thì khoản đầu tư ban đầu có mang lại cho công ty những lợi thế cạnh tranh đáng kể trong các khoản đầu tư tiếp theo không? Giá trị của tùy chọn cuối cùng không xuất phát từ dòng tiền mà khoản đầu tư thứ hai và các khoản tiếp theo tạo ra, mà từ lợi nhuận vượt trội (excess returns) mà những dòng tiền này tạo ra. Tiềm năng lợi nhuận vượt trội của khoản đầu tư thứ hai càng lớn thì giá trị của tùy chọn mở rộng trong khoản đầu tư đầu tiên càng cao. Tiềm năng lợi nhuận vượt trội gắn chặt với mức độ lợi thế cạnh tranh mà khoản đầu tư đầu tiên mang lại cho công ty khi công ty thực hiện các khoản đầu tư tiếp theo. Ở một thái cực, một lần nữa, hãy xem xét việc đầu tư vào nghiên cứu và phát triển để có được một bằng sáng chế. Bằng sáng chế trao cho công ty sở hữu nó quyền độc quyền sản xuất sản phẩm đó, và nếu tiềm năng thị trường lớn, thì cả quyền hưởng lợi nhuận vượt trội từ dự án. Ở thái cực ngược lại, công ty có thể không có được lợi thế cạnh tranh nào trong các khoản đầu tư tiếp theo, và trong trường hợp đó, thật đáng nghi ngờ liệu có thể có bất kỳ lợi nhuận vượt trội nào từ những khoản đầu tư này hay không. Trên thực tế, hầu hết các khoản đầu tư sẽ nằm đâu đó trong khoảng giữa hai thái cực này, với lợi thế cạnh tranh lớn hơn đi kèm với lợi nhuận vượt trội cao hơn và giá trị tùy chọn lớn hơn.</w:t>
      </w:r>
    </w:p>
    <w:p>
      <w:pPr>
        <w:numPr>
          <w:ilvl w:val="0"/>
          <w:numId w:val="350"/>
        </w:numPr>
        <w:pStyle w:val="Para 01"/>
      </w:pPr>
      <w:r>
        <w:t>Các lợi thế cạnh tranh có bền vững không? Trong một thị trường cạnh tranh, lợi nhuận vượt trội thu hút các đối thủ, và cạnh tranh sẽ kéo lợi nhuận vượt trội xuống. Lợi thế cạnh tranh mà một công ty sở hữu càng bền vững thì giá trị của các tùy chọn ẩn chứa trong khoản đầu tư ban đầu càng lớn. Tính bền vững của lợi thế cạnh tranh là hàm số của hai yếu tố. Thứ nhất là bản chất của sự cạnh tranh; với các yếu tố khác không đổi, lợi thế cạnh tranh phai nhạt nhanh hơn nhiều trong những lĩnh vực có các đối thủ hung hãn. Thứ hai là bản chất của lợi thế cạnh tranh. Nếu nguồn lực mà công ty kiểm soát là hữu hạn và khan hiếm (như trường hợp của các mỏ tài nguyên thiên nhiên và đất trống), thì lợi thế cạnh tranh có khả năng bền vững trong thời gian dài hơn. Ngược lại, nếu lợi thế cạnh tranh đến từ việc là người tiên phong trong một thị trường hoặc từ việc có chuyên môn công nghệ, thì nó sẽ bị tấn công sớm hơn nhiều. Cách trực tiếp nhất để phản ánh lợi thế cạnh tranh này vào giá trị của tùy chọn là ước lượng khoảng thời gian của lợi thế cạnh tranh, và chỉ những lợi nhuận vượt trội kiếm được trong khoảng thời gian này mới được tính vào giá trị của tùy chọn.</w:t>
      </w:r>
    </w:p>
    <w:p>
      <w:pPr>
        <w:pStyle w:val="Para 03"/>
      </w:pPr>
      <w:r>
        <w:t>Nếu câu trả lời cho cả ba câu hỏi đều là có, thì tùy chọn mở rộng có thể có giá trị. Áp dụng hai phép kiểm tra cuối cùng vào tùy chọn mở rộng của Ambev, bạn có thể thấy những vấn đề tiềm ẩn. Mặc dù Ambev là nhà sản xuất Guarana lớn nhất thế giới, công ty không có quyền độc quyền đối với sản phẩm này. Nếu đợt giới thiệu ban đầu thành công, hoàn toàn có thể xảy ra việc Coke và Pepsi tự sản xuất phiên bản Guarana của riêng họ cho thị trường quốc gia. Nếu điều này xảy ra, Ambev sẽ đã chi 100 triệu đô la tiền của mình để cung cấp thông tin thị trường cho các đối thủ cạnh tranh. Do đó, nếu Ambev không có được lợi thế cạnh tranh nào trong thị trường mở rộng nhờ khoản đầu tư ban đầu, thì tùy chọn mở rộng không còn giá trị và không thể được dùng để biện minh cho khoản đầu tư ban đầu. Bây giờ hãy xem xét hai kịch bản trung gian: Nếu Ambev có được một khoảng thời gian dẫn trước (lead time) trong khoản đầu tư mở rộng nhờ khoản đầu tư ban đầu, bạn có thể đưa vào dòng tiền cao hơn cho khoảng thời gian dẫn trước đó và giảm dần xuống mức dòng tiền thấp hơn sau đó. Điều này sẽ làm giảm giá trị hiện tại của dòng tiền từ việc mở rộng và giá trị của tùy chọn. Một cách điều chỉnh đơn giản hơn là đặt mức trần cho giá trị hiện tại của dòng tiền, với lập luận rằng cạnh tranh sẽ hạn chế mức độ lớn nhất mà giá trị hiện tại ròng có thể đạt được, và định giá tùy chọn với mức trần đó. Ví dụ, nếu bạn giả định rằng giá trị hiện tại của dòng tiền từ tùy chọn mở rộng không thể vượt quá 2 tỷ đô la, thì giá trị của tùy chọn mở rộng sẽ giảm xuống còn 142 triệu đô la.4</w:t>
      </w:r>
    </w:p>
    <w:p>
      <w:bookmarkStart w:id="6096" w:name="Valuing_a_Firm_with_the_Option_t"/>
      <w:bookmarkStart w:id="6097" w:name="Valuing_a_Firm_with_the_Option_t_1"/>
      <w:pPr>
        <w:keepNext/>
        <w:pStyle w:val="Heading 2"/>
        <w:keepLines w:val="on"/>
      </w:pPr>
      <w:r>
        <w:t>Định giá một công ty có tùy chọn mở rộng</w:t>
      </w:r>
      <w:bookmarkEnd w:id="6096"/>
      <w:bookmarkEnd w:id="6097"/>
    </w:p>
    <w:p>
      <w:pPr>
        <w:pStyle w:val="Para 03"/>
      </w:pPr>
      <w:r>
        <w:t>Liệu có một tùy chọn mở rộng ẩn chứa trong một số công ty có thể khiến những công ty này được giao dịch ở mức giá cao hơn giá trị dòng tiền chiết khấu của chúng không? Ít nhất về mặt lý thuyết, có một cơ sở để đưa ra lập luận này đối với một công ty nhỏ, tăng trưởng cao trong một thị trường lớn và đang phát triển. Định giá dòng tiền chiết khấu (discounted cash flow valuation) dựa trên dòng tiền kỳ vọng và tăng trưởng kỳ vọng, và những kỳ vọng này nên phản ánh xác suất công ty có thể thành công vang dội (hoặc thất bại thảm hại). Điều mà những kỳ vọng này có thể không tính đến là trong trường hợp thành công, công ty có thể đầu tư thêm, thêm sản phẩm mới, hoặc mở rộng sang thị trường mới, và làm gia tăng thành công đó. Đây chính là tùy chọn thực đang tạo ra giá trị gia tăng.</w:t>
      </w:r>
    </w:p>
    <w:p>
      <w:bookmarkStart w:id="6098" w:name="Relationship_to_Discounted_Cash"/>
      <w:bookmarkStart w:id="6099" w:name="Relationship_to_Discounted_Cash_1"/>
      <w:pPr>
        <w:keepNext/>
        <w:pStyle w:val="Heading 3"/>
        <w:keepLines w:val="on"/>
      </w:pPr>
      <w:r>
        <w:t>Mối quan hệ với định giá dòng tiền chiết khấu</w:t>
      </w:r>
      <w:bookmarkEnd w:id="6098"/>
      <w:bookmarkEnd w:id="6099"/>
    </w:p>
    <w:p>
      <w:pPr>
        <w:pStyle w:val="Para 03"/>
      </w:pPr>
      <w:r>
        <w:t>Nếu giá trị của tùy chọn mở rộng này được ước lượng, giá trị của một công ty có thể được viết dưới dạng tổng của hai thành phần — một giá trị dòng tiền chiết khấu dựa trên dòng tiền kỳ vọng và một giá trị gắn với tùy chọn mở rộng:</w:t>
      </w:r>
    </w:p>
    <w:p>
      <w:bookmarkStart w:id="6100" w:name="Value_of_firm_Discounted_cash_fl"/>
      <w:pPr>
        <w:keepNext/>
        <w:pStyle w:val="Para 09"/>
        <w:keepLines w:val="on"/>
      </w:pPr>
      <w:r>
        <w:t>Giá trị công ty = Giá trị dòng tiền chiết khấu + Tùy chọn mở rộng</w:t>
      </w:r>
      <w:bookmarkEnd w:id="6100"/>
    </w:p>
    <w:p>
      <w:pPr>
        <w:pStyle w:val="Para 03"/>
      </w:pPr>
      <w:r>
        <w:t>Phương pháp định giá tùy chọn bổ sung tính chặt chẽ cho lập luận này bằng cách ước lượng giá trị của tùy chọn mở rộng, và nó cũng mang lại hiểu biết sâu sắc về những trường hợp mà tùy chọn này có giá trị nhất. Nói chung, tùy chọn mở rộng rõ ràng có giá trị hơn đối với những doanh nghiệp biến động hơn với lợi nhuận trên các dự án cao hơn và rào cản gia nhập cạnh tranh lớn hơn (như công nghệ mới), so với những doanh nghiệp ổn định với lợi nhuận thấp hơn (như nhà ở, tiện ích, hoặc sản xuất ô tô).</w:t>
      </w:r>
    </w:p>
    <w:p>
      <w:pPr>
        <w:pStyle w:val="Para 03"/>
      </w:pPr>
      <w:r>
        <w:t>Tuy nhiên, một lần nữa, bạn phải cẩn thận đừng tính trùng giá trị của tùy chọn. Nếu bạn sử dụng một tốc độ tăng trưởng cao hơn mức được biện minh, dựa trên các kỳ vọng vì tùy chọn mở rộng, thì bạn đã tính giá trị của tùy chọn vào định giá dòng tiền chiết khấu rồi. Việc thêm một thành phần bổ sung để phản ánh giá trị của tùy chọn sẽ là tính trùng.</w:t>
      </w:r>
    </w:p>
    <w:p>
      <w:pPr>
        <w:pStyle w:val="Para 20"/>
      </w:pPr>
      <w:r>
        <w:rPr>
          <w:rStyle w:val="Text26"/>
        </w:rPr>
        <w:bookmarkStart w:id="6101" w:name="Page_946"/>
        <w:t/>
        <w:bookmarkEnd w:id="6101"/>
      </w:r>
      <w:r>
        <w:t xml:space="preserve"> </w:t>
      </w:r>
    </w:p>
    <w:p>
      <w:bookmarkStart w:id="6102" w:name="Inputs_for_Valuing_Expansion_Opt_1"/>
      <w:bookmarkStart w:id="6103" w:name="Inputs_for_Valuing_Expansion_Opt"/>
      <w:pPr>
        <w:keepNext/>
        <w:pStyle w:val="Heading 3"/>
        <w:keepLines w:val="on"/>
      </w:pPr>
      <w:r>
        <w:t>Các thông số đầu vào để định giá tùy chọn mở rộng</w:t>
      </w:r>
      <w:bookmarkEnd w:id="6102"/>
      <w:bookmarkEnd w:id="6103"/>
    </w:p>
    <w:p>
      <w:pPr>
        <w:pStyle w:val="Para 03"/>
      </w:pPr>
      <w:r>
        <w:t>Để định giá một công ty có tùy chọn mở rộng, bạn phải bắt đầu bằng việc xác định thị trường mà công ty có tùy chọn thâm nhập, rồi sau đó chỉ rõ những lợi thế cạnh tranh mà bạn tin rằng sẽ mang lại cho công ty mức độ độc quyền nào đó để thực hiện việc thâm nhập này. Một khi bạn đã tin chắc rằng có sự độc quyền này, bạn nên ước lượng dòng tiền kỳ vọng mà bạn sẽ nhận được nếu thâm nhập thị trường ngay hôm nay và chi phí để thâm nhập thị trường đó. Giả sử rằng chi phí sẽ vượt quá dòng tiền kỳ vọng, nếu không thì bạn đã thâm nhập thị trường rồi. Chi phí thâm nhập thị trường sẽ trở thành giá thực hiện (exercise price) của tùy chọn, và dòng tiền kỳ vọng từ việc thâm nhập thị trường ngay hôm nay sẽ trở thành giá trị của tài sản cơ sở (underlying asset).</w:t>
      </w:r>
    </w:p>
    <w:p>
      <w:pPr>
        <w:pStyle w:val="Para 03"/>
      </w:pPr>
      <w:r>
        <w:t>Để ước lượng phương sai trong giá trị, bạn có thể chạy các mô phỏng về cách thị trường sẽ phát triển theo thời gian, hoặc sử dụng phương sai của các công ty niêm yết công khai đang phục vụ thị trường đó hiện nay và giả định rằng phương sai này là một đại diện tốt cho độ biến động (volatility) của thị trường cơ sở. Bạn cũng phải xác định một khoảng thời gian mà trong đó bạn phải đưa ra quyết định có thâm nhập thị trường hay không; đây sẽ trở thành thời gian sống (life) của tùy chọn. Bạn có thể gắn giả định này với những giả định bạn đã đưa ra về lợi thế cạnh tranh. Ví dụ, nếu bạn có giấy phép độc quyền thâm nhập một thị trường trong 10 năm tới, bạn sẽ dùng 10 năm làm thời gian sống của tùy chọn.</w:t>
      </w:r>
    </w:p>
    <w:p>
      <w:pPr>
        <w:pStyle w:val="Para 11"/>
      </w:pPr>
      <w:r>
        <w:t xml:space="preserve"> </w:t>
      </w:r>
    </w:p>
    <w:p>
      <w:bookmarkStart w:id="6104" w:name="ILLUSTRATION_29_2___Valuing_the"/>
      <w:bookmarkStart w:id="6105" w:name="ILLUSTRATION_29_2___Valuing_the_1"/>
      <w:pPr>
        <w:keepNext/>
        <w:pStyle w:val="Para 19"/>
        <w:keepLines w:val="on"/>
      </w:pPr>
      <w:r>
        <w:t>MINH HỌA 29.2: Định giá tùy chọn mở rộng: Secure Mail</w:t>
      </w:r>
      <w:bookmarkEnd w:id="6104"/>
      <w:bookmarkEnd w:id="6105"/>
    </w:p>
    <w:p>
      <w:pPr>
        <w:pStyle w:val="Para 04"/>
        <w:keepLines w:val="on"/>
      </w:pPr>
      <w:r>
        <w:t>Secure Mail là một công ty phần mềm non trẻ chuyên về phần mềm bảo mật. Giả sử bạn đã hoàn thành một định giá dòng tiền chiết khấu thông thường cho công ty và ước lượng giá trị của công ty là 111,54 triệu đô la. Tuy nhiên, có khả năng công ty có thể sử dụng cơ sở khách hàng mà nó đã phát triển cho phần mềm diệt virus và công nghệ mà phần mềm này dựa trên để tạo ra một chương trình phần mềm cơ sở dữ liệu vào một thời điểm nào đó trong vòng năm năm tới, và bạn đã thu thập được những thông tin sau về tiềm năng này:</w:t>
      </w:r>
    </w:p>
    <w:p>
      <w:pPr>
        <w:numPr>
          <w:ilvl w:val="0"/>
          <w:numId w:val="351"/>
        </w:numPr>
        <w:pStyle w:val="Para 18"/>
        <w:keepLines w:val="on"/>
      </w:pPr>
      <w:r>
        <w:t>Secure Mail sẽ tốn khoảng 500 triệu đô la để phát triển một chương trình cơ sở dữ liệu mới nếu công ty quyết định làm điều đó ngay hôm nay.</w:t>
      </w:r>
    </w:p>
    <w:p>
      <w:pPr>
        <w:numPr>
          <w:ilvl w:val="0"/>
          <w:numId w:val="351"/>
        </w:numPr>
        <w:pStyle w:val="Para 18"/>
        <w:keepLines w:val="on"/>
      </w:pPr>
      <w:r>
        <w:t>Dựa trên thông tin mà Secure Mail hiện có về thị trường cho một chương trình cơ sở dữ liệu, công ty có thể kỳ vọng tạo ra khoảng 40 triệu đô la một năm dòng tiền sau thuế trong 10 năm. Chi phí vốn cho các công ty tư nhân cung cấp phần mềm cơ sở dữ liệu là 12%.</w:t>
      </w:r>
    </w:p>
    <w:p>
      <w:pPr>
        <w:numPr>
          <w:ilvl w:val="0"/>
          <w:numId w:val="351"/>
        </w:numPr>
        <w:pStyle w:val="Para 18"/>
        <w:keepLines w:val="on"/>
      </w:pPr>
      <w:r>
        <w:t>Độ lệch chuẩn hằng năm của giá trị doanh nghiệp tại các công ty cơ sở dữ liệu niêm yết công khai là 50%.</w:t>
      </w:r>
    </w:p>
    <w:p>
      <w:pPr>
        <w:numPr>
          <w:ilvl w:val="0"/>
          <w:numId w:val="351"/>
        </w:numPr>
        <w:pStyle w:val="Para 18"/>
        <w:keepLines w:val="on"/>
      </w:pPr>
      <w:r>
        <w:t>Lãi suất trái phiếu kho bạc kỳ hạn năm năm là 3%.</w:t>
      </w:r>
    </w:p>
    <w:p>
      <w:pPr>
        <w:pStyle w:val="Para 04"/>
        <w:keepLines w:val="on"/>
      </w:pPr>
      <w:r>
        <w:t>Để định giá quyền chọn mở rộng, chúng tôi đã sử dụng thông tin để suy ra các đầu vào của quyền chọn:</w:t>
      </w:r>
    </w:p>
    <w:p>
      <w:bookmarkStart w:id="6106" w:name="S_Value_of_underlying_asset_PV_o"/>
      <w:pPr>
        <w:keepNext/>
        <w:pStyle w:val="Para 07"/>
        <w:keepLines w:val="on"/>
      </w:pPr>
      <w:r>
        <w:t>S = Giá trị của tài sản cơ sở = Giá trị hiện tại (PV) của dòng tiền kỳ vọng từ việc gia nhập thị trường cơ sở dữ liệu = 40 (1-11.1210)0.12 = 226 triệu đô la</w:t>
      </w:r>
      <w:bookmarkEnd w:id="6106"/>
    </w:p>
    <w:p>
      <w:bookmarkStart w:id="6107" w:name="K_Exercise_price_Cost_of_enterin"/>
      <w:pPr>
        <w:keepNext/>
        <w:pStyle w:val="Para 07"/>
        <w:keepLines w:val="on"/>
      </w:pPr>
      <w:r>
        <w:t>K = Giá thực hiện = Chi phí gia nhập thị trường phần mềm cơ sở dữ liệu = 500 triệu đô la t = Vòng đời của quyền chọn = Khoảng thời gian tồn tại cơ hội mở rộng = 5 năm σ = Độ lệch chuẩn của tài sản cơ sở = 50% r = Lãi suất phi rủi ro = 3%</w:t>
      </w:r>
      <w:bookmarkEnd w:id="6107"/>
    </w:p>
    <w:p>
      <w:pPr>
        <w:pStyle w:val="Para 04"/>
        <w:keepLines w:val="on"/>
      </w:pPr>
      <w:r>
        <w:t>Thay các con số này vào mô hình Black-Scholes, chúng ta thu được kết quả sau5:</w:t>
      </w:r>
    </w:p>
    <w:p>
      <w:bookmarkStart w:id="6110" w:name="Value_of_call_S_N_d1____K_e___rt"/>
      <w:pPr>
        <w:keepNext/>
        <w:pStyle w:val="Para 07"/>
        <w:keepLines w:val="on"/>
      </w:pPr>
      <w:r>
        <w:t>Giá trị quyền chọn mua = S N(d1) − K e−rtN(d2) = 226(0.4932) − 500e−(.03) (5)(0.1282) = 56,30 triệu đô la</w:t>
      </w:r>
      <w:bookmarkEnd w:id="6110"/>
    </w:p>
    <w:p>
      <w:pPr>
        <w:pStyle w:val="Para 04"/>
        <w:keepLines w:val="on"/>
      </w:pPr>
      <w:r>
        <w:t>Lưu ý rằng những con số này sẽ không biện minh cho việc phát triển chương trình cơ sở dữ liệu ngay hôm nay — giá trị hiện tại của dòng tiền kỳ vọng (226 triệu đô la) thấp hơn nhiều so với chi phí. Tuy nhiên, Secure Mail có hai yếu tố có lợi cho mình. Thứ nhất là công ty có thể tinh chỉnh các đánh giá về thị trường, dựa trên hiệu quả hoạt động của chương trình diệt virus. Thứ hai là công ty có thể điều chỉnh chương trình cơ sở dữ liệu, dựa trên thông tin thu thập được, để tăng thị trường tiềm năng và dòng tiền.</w:t>
      </w:r>
    </w:p>
    <w:p>
      <w:pPr>
        <w:pStyle w:val="Para 04"/>
        <w:keepLines w:val="on"/>
      </w:pPr>
      <w:r>
        <w:t>Nếu chúng ta chấp nhận giá trị này cho quyền chọn mở rộng, chúng ta nên cộng nó vào giá trị mà chúng ta đã suy ra cho Secure Mail trước đó trong phần định giá nội tại là 111,54 triệu đô la. Chúng ta sẽ biện minh cho việc sử dụng mô hình định giá quyền chọn trong trường hợp này bằng cách lập luận rằng Secure Mail có được tính độc quyền từ công nghệ độc quyền của mình và quyền truy cập vào danh sách khách hàng (từ chương trình diệt virus của mình).</w:t>
      </w:r>
    </w:p>
    <w:p>
      <w:pPr>
        <w:pStyle w:val="Para 11"/>
      </w:pPr>
      <w:r>
        <w:t xml:space="preserve"> </w:t>
      </w:r>
    </w:p>
    <w:p>
      <w:bookmarkStart w:id="6111" w:name="expand_xls__This_spreadsheet_all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67"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6111"/>
    </w:p>
    <w:p>
      <w:pPr>
        <w:pStyle w:val="Para 31"/>
        <w:keepLines w:val="on"/>
      </w:pPr>
      <w:r>
        <w:t>expand.xls: Bảng tính này cho phép bạn ước tính giá trị của quyền chọn mở rộng một khoản đầu tư hoặc dự án.</w:t>
      </w:r>
    </w:p>
    <w:p>
      <w:bookmarkStart w:id="6112" w:name="Valuing_the_Optionality_in_Users_1"/>
      <w:bookmarkStart w:id="6113" w:name="Valuing_the_Optionality_in_Users"/>
      <w:pPr>
        <w:keepNext/>
        <w:pStyle w:val="Heading 2"/>
        <w:keepLines w:val="on"/>
      </w:pPr>
      <w:r>
        <w:t>Định giá tính quyền chọn (optionality) trong Người dùng và Dữ liệu</w:t>
      </w:r>
      <w:bookmarkEnd w:id="6112"/>
      <w:bookmarkEnd w:id="6113"/>
    </w:p>
    <w:p>
      <w:pPr>
        <w:pStyle w:val="Para 03"/>
      </w:pPr>
      <w:r>
        <w:t>Trong hai thập kỷ qua, sự kết hợp giữa khả năng truy cập internet và sự phổ biến của các thiết bị kết nối (ví dụ: điện thoại thông minh, máy tính bảng, v.v.) đã làm nảy sinh hai động lực thúc đẩy kinh doanh và thị trường. Thứ nhất là hàng triệu, và đôi khi hàng chục triệu người dùng/thuê bao/khách hàng tập trung trên các nền tảng cung cấp nhiều loại dịch vụ khác nhau, từ công cụ tìm kiếm (Google/Alphabet) đến mạng xã hội (Facebook/Meta) đến giải trí (Netflix) đến bán lẻ (Amazon). Thứ hai là các công ty này thu thập dữ liệu về hành vi và lựa chọn của người dùng, đôi khi được cung cấp tự nguyện và đôi khi không, mà họ đã tận dụng rất tốt. Sự kết hợp đầy hứng khởi giữa hàng triệu người dùng và dữ liệu lớn (big data) đã được dùng làm lý lẽ biện minh cho vốn hóa thị trường khổng lồ, và trong khi một phần lập luận dựa trên giá trị nội tại (thu nhập và tăng trưởng cao hơn), một phần khác dựa trên lời hứa và tiềm năng của những lợi ích chưa được xác định rõ từ người dùng và dữ liệu (tức là tính quyền chọn của chúng).</w:t>
      </w:r>
    </w:p>
    <w:p>
      <w:bookmarkStart w:id="6114" w:name="The_Optionality_in_Users__In_an"/>
      <w:bookmarkStart w:id="6115" w:name="The_Optionality_in_Users"/>
      <w:pPr>
        <w:keepNext/>
        <w:pStyle w:val="Heading 3"/>
        <w:keepLines w:val="on"/>
      </w:pPr>
      <w:r>
        <w:t>Tính Quyền chọn trong Người dùng</w:t>
      </w:r>
      <w:bookmarkEnd w:id="6114"/>
      <w:bookmarkEnd w:id="6115"/>
    </w:p>
    <w:p>
      <w:pPr>
        <w:pStyle w:val="Para 03"/>
      </w:pPr>
      <w:r>
        <w:t>Trong một chương trước, chúng ta đã ước tính giá trị nội tại của một người dùng và thuê bao và lập luận rằng giá trị này đến từ các động lực tiêu chuẩn — thời gian gắn bó kỳ vọng của người dùng trên nền tảng và dòng tiền kỳ vọng mà công ty tạo ra từ người dùng/thuê bao trong suốt thời gian đó. Cách tiếp cận đó có thể được dùng để định giá một thuê bao Netflix, một thành viên Amazon Prime, hoặc thậm chí một người dùng Facebook. Để hiểu tại sao bạn vẫn có thể cần đưa tính quyền chọn vào cuộc thảo luận, hãy xem xét một công ty như Meta, với gần ba tỷ người trên nhiều nền tảng của mình (Facebook, Instagram, WhatsApp). Giả sử bạn định giá Meta dựa trên doanh thu quảng cáo, vốn vẫn là hình thức kiếm tiền chính từ người dùng hiện nay, và ước tính giá trị nội tại là 500 đô la mỗi cổ phiếu, gần với giá thị trường hiện tại (vào tháng 6 năm 2024). Mặc dù công ty có vẻ được định giá hợp lý trên cơ sở giá trị nội tại, vẫn có khả năng Meta có thể tìm ra những cách khác để tạo doanh thu (giải trí, bán lẻ, trò chơi điện tử) từ cơ sở người dùng của mình, và mặc dù những khả năng đó có thể chưa khả thi ngay hôm nay, chúng có thể khả thi trong tương lai. Thực chất, bạn đã đưa ra một lập luận về tính quyền chọn, điều này sẽ biện minh cho việc trả giá cao hơn giá trị nội tại, và biến cổ phiếu từ được định giá hợp lý thành bị định giá thấp.</w:t>
      </w:r>
    </w:p>
    <w:p>
      <w:pPr>
        <w:pStyle w:val="Para 03"/>
      </w:pPr>
      <w:r>
        <w:t>Rõ ràng, chúng ta đang mở chiếc hộp Pandora với lập luận này, vì nó sẽ được dùng để trả giá cao hơn cho bất kỳ công ty nào có nền tảng người dùng/thuê bao lớn, và những khoản giá cao hơn đó sẽ không bị giới hạn ở những con số hợp lý. Mặc dù có thể còn quá sớm để gán các đầu vào định giá quyền chọn và suy ra giá trị thực tế cho quyền chọn nền tảng, việc xem xét các yếu tố sau đây để xác định liệu có nên tồn tại khoản giá cao hơn hay không, và nếu có thì nên lớn hay nhỏ, thì không hề quá sớm. Hình 29.3 cho thấy các động lực của giá trị quyền chọn trong một nền tảng.</w:t>
      </w:r>
    </w:p>
    <w:p>
      <w:bookmarkStart w:id="6118" w:name="Figure_29_3_Optionality_in_Platf"/>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219200"/>
            <wp:effectExtent l="0" r="0" t="0" b="0"/>
            <wp:wrapTopAndBottom/>
            <wp:docPr id="268" name="c29f003.png" descr="Diagram depicts the ability of a platform to create additional value beyond its offering, providing multiple paths for growth and expansion."/>
            <wp:cNvGraphicFramePr>
              <a:graphicFrameLocks noChangeAspect="1"/>
            </wp:cNvGraphicFramePr>
            <a:graphic>
              <a:graphicData uri="http://schemas.openxmlformats.org/drawingml/2006/picture">
                <pic:pic>
                  <pic:nvPicPr>
                    <pic:cNvPr id="0" name="c29f003.png" descr="Diagram depicts the ability of a platform to create additional value beyond its offering, providing multiple paths for growth and expansion."/>
                    <pic:cNvPicPr/>
                  </pic:nvPicPr>
                  <pic:blipFill>
                    <a:blip r:embed="rId194"/>
                    <a:stretch>
                      <a:fillRect/>
                    </a:stretch>
                  </pic:blipFill>
                  <pic:spPr>
                    <a:xfrm>
                      <a:off x="0" y="0"/>
                      <a:ext cx="2438400" cy="1219200"/>
                    </a:xfrm>
                    <a:prstGeom prst="rect">
                      <a:avLst/>
                    </a:prstGeom>
                  </pic:spPr>
                </pic:pic>
              </a:graphicData>
            </a:graphic>
          </wp:anchor>
        </w:drawing>
      </w:r>
      <w:bookmarkEnd w:id="6118"/>
    </w:p>
    <w:p>
      <w:pPr>
        <w:keepNext/>
        <w:pStyle w:val="Para 22"/>
        <w:keepLines w:val="on"/>
      </w:pPr>
      <w:r>
        <w:t>Hình 29.3 Tính Quyền chọn trong các Nền tảng – Các Động lực Giá trị</w:t>
      </w:r>
    </w:p>
    <w:p>
      <w:pPr>
        <w:pStyle w:val="Para 03"/>
      </w:pPr>
      <w:r>
        <w:t>Giá trị của một quyền chọn thực đến từ tính độc quyền, và trong chừng mực bạn có những người dùng gắn bó, mãnh liệt, bạn có một cơ sở khách hàng mà bạn có thể dùng để thử nghiệm các sản phẩm và dịch vụ khác, với giá trị tăng lên theo số lượng người dùng. Giá trị của tính quyền chọn từ một cơ sở người dùng sẽ lớn nhất ở những công ty có nhiều người dùng gắn bó, mãnh liệt trong các ngành kinh doanh mà tương lai khó đoán định vì những thay đổi trong công nghệ sản phẩm/dịch vụ và thị hiếu khách hàng.</w:t>
      </w:r>
    </w:p>
    <w:p>
      <w:pPr>
        <w:pStyle w:val="Para 03"/>
      </w:pPr>
      <w:r>
        <w:t>Để hiểu cách một lập luận về quyền chọn thực sẽ diễn ra với một công ty dựa trên người dùng, hãy so sánh nền tảng người dùng của Snapchat và Meta. Mặc dù Snapchat có hàng triệu người dùng, người dùng có xu hướng ít gắn bó và ít mãnh liệt hơn, và do đó ít có khả năng cởi mở với các sản phẩm và dịch vụ bổ sung mà công ty có thể cung cấp. Người dùng Meta dành nhiều thời gian hơn đáng kể trên nền tảng của mình và có khả năng cởi mở hơn với các sản phẩm và dịch vụ giải trí hoặc bán lẻ mà công ty có thể cung cấp. Với Amazon Prime, tiềm năng tăng thêm của việc có 150 triệu thành viên Prime, những người đã phát triển lòng trung thành với Amazon dựa trên vô số tương tác trong quá khứ với công ty, sẵn sàng phục vụ theo ý muốn của công ty, tương đương với việc có một đội quân hỗ trợ nền tảng đột phá của Amazon trong hầu hết mọi ngành kinh doanh mà công ty chọn nhắm tới, từ Paypal trong xử lý thanh toán đến CVS trong thuốc theo toa. Ngược lại, chúng tôi sẽ lập luận rằng mô hình Netflix có ít tiềm năng tăng thêm hơn, về các sản phẩm và dịch vụ khác mà công ty có thể bán cho thuê bao, và do đó ít tính quyền chọn hơn.</w:t>
      </w:r>
    </w:p>
    <w:p>
      <w:bookmarkStart w:id="6120" w:name="The_Optionality_in_Data__In_2017"/>
      <w:bookmarkStart w:id="6121" w:name="The_Optionality_in_Data"/>
      <w:pPr>
        <w:keepNext/>
        <w:pStyle w:val="Heading 3"/>
        <w:keepLines w:val="on"/>
      </w:pPr>
      <w:r>
        <w:t>Tính Quyền chọn trong Dữ liệu</w:t>
      </w:r>
      <w:bookmarkEnd w:id="6120"/>
      <w:bookmarkEnd w:id="6121"/>
    </w:p>
    <w:p>
      <w:pPr>
        <w:pStyle w:val="Para 03"/>
      </w:pPr>
      <w:r>
        <w:t>Năm 2017, MoviePass giới thiệu một mô hình kinh doanh gần như tệ hại đến mức buồn cười, trong đó để đổi lấy việc trả mười đô la một tháng, thuê bao có thể xem bao nhiêu phim tùy thích tại rạp mà họ chọn. Ban lãnh đạo công ty biện minh cho mô hình này bằng cách lập luận rằng nó không chỉ thu hút hàng triệu người dùng, mà còn cho phép công ty thu thập thông tin từ người dùng về phản hồi và sở thích phim ảnh có thể được kiếm tiền hóa. Lời hứa đó không bao giờ thành hiện thực và mô hình kinh doanh đã sụp đổ, nhưng suốt thập kỷ đó, có hàng trăm công ty sử dụng lời hứa về Dữ liệu lớn để đòi mức định giá thị trường cao ngất. Trong nhiều trường hợp, lập luận là dữ liệu thu thập hôm nay sẽ tìm được một công dụng chưa xác định nào đó trong tương lai, với lợi ích kinh tế đáng kể (tức là một lập luận về tính quyền chọn).</w:t>
      </w:r>
    </w:p>
    <w:p>
      <w:pPr>
        <w:pStyle w:val="Para 03"/>
      </w:pPr>
      <w:r>
        <w:t>Chúng tôi là những người tin vào dữ liệu, nhưng chúng tôi hoài nghi về những tuyên bố giá trị của Dữ liệu lớn, vì hầu hết những tuyên bố đó đều dựa trên nền tảng mong manh. Thực tế, có ba yêu cầu mà chúng tôi sẽ tìm kiếm để gán giá trị cao cho dữ liệu:</w:t>
      </w:r>
    </w:p>
    <w:p>
      <w:pPr>
        <w:numPr>
          <w:ilvl w:val="0"/>
          <w:numId w:val="352"/>
        </w:numPr>
        <w:pStyle w:val="Para 01"/>
      </w:pPr>
      <w:r>
        <w:t>Dữ liệu phải độc quyền: Để dữ liệu có giá trị, bạn phải có mức độ độc quyền nào đó trong việc truy cập dữ liệu đó hoặc một lợi thế độc quyền trong việc xử lý dữ liệu đó. Đây là một trong những lý do khiến các nhà đầu tư, phần lớn, không thể chuyển việc truy cập tăng cường vào dữ liệu tài chính thành lợi nhuận đầu tư. Dữ liệu mà Netflix thu thập về việc thuê bao của mình xem gì hoặc ngừng xem gì rõ ràng là độc quyền, nhưng dữ liệu mà Bird Scooters thu thập về vị trí gần như vô giá trị, vì nó có sẵn cho hàng chục thực thể.</w:t>
      </w:r>
    </w:p>
    <w:p>
      <w:pPr>
        <w:numPr>
          <w:ilvl w:val="0"/>
          <w:numId w:val="352"/>
        </w:numPr>
        <w:pStyle w:val="Para 01"/>
      </w:pPr>
      <w:r>
        <w:t>Dữ liệu phải có thể hành động được: Để chuyển dữ liệu thành lợi nhuận, bạn cần có khả năng tìm ra cách kiếm tiền từ bất kỳ lợi thế dữ liệu nào bạn đã có được. Đối với các công ty cung cấp sản phẩm và dịch vụ, điều này sẽ mang hình thức sửa đổi các sản phẩm/dịch vụ hiện có hoặc nghĩ ra các sản phẩm/dịch vụ mới dựa trên những gì bạn học được từ dữ liệu. Dữ liệu trừu tượng, nơi khó có thể nghĩ ra cách kiếm tiền từ dữ liệu đó, nên được xem là ít giá trị hơn dữ liệu cụ thể và mang lại các con đường kiếm tiền, ngay cả khi những con đường đó chưa khả thi ngay hôm nay.</w:t>
      </w:r>
    </w:p>
    <w:p>
      <w:pPr>
        <w:numPr>
          <w:ilvl w:val="0"/>
          <w:numId w:val="352"/>
        </w:numPr>
        <w:pStyle w:val="Para 01"/>
      </w:pPr>
      <w:r>
        <w:t>Dữ liệu giải quyết (một phần) sự bất định: Phù hợp với nguyên tắc rằng quyền chọn lấy giá trị từ sự bất định, dữ liệu được thu thập trong một lĩnh vực có sự bất định đáng kể về kết quả hoặc hành vi thì có giá trị hơn dữ liệu được thu thập trong những lĩnh vực ít khác biệt so với chuẩn mực.</w:t>
      </w:r>
    </w:p>
    <w:p>
      <w:pPr>
        <w:pStyle w:val="Para 03"/>
      </w:pPr>
      <w:r>
        <w:t>Sử dụng danh sách kiểm tra này để đánh giá các tuyên bố về Dữ liệu lớn sẽ giúp bạn trở nên sắc sảo hơn trong việc đánh giá giá trị của dữ liệu.</w:t>
      </w:r>
    </w:p>
    <w:p>
      <w:pPr>
        <w:pStyle w:val="Para 20"/>
      </w:pPr>
      <w:r>
        <w:rPr>
          <w:rStyle w:val="Text26"/>
        </w:rPr>
        <w:bookmarkStart w:id="6122" w:name="Page_950"/>
        <w:t/>
        <w:bookmarkEnd w:id="6122"/>
      </w:r>
      <w:r>
        <w:t xml:space="preserve"> </w:t>
      </w:r>
    </w:p>
    <w:p>
      <w:bookmarkStart w:id="6123" w:name="Value_of_Financial_Flexibility"/>
      <w:bookmarkStart w:id="6124" w:name="Value_of_Financial_Flexibility_1"/>
      <w:pPr>
        <w:keepNext/>
        <w:pStyle w:val="Heading 2"/>
        <w:keepLines w:val="on"/>
      </w:pPr>
      <w:r>
        <w:t>Giá trị của Tính Linh hoạt Tài chính</w:t>
      </w:r>
      <w:bookmarkEnd w:id="6123"/>
      <w:bookmarkEnd w:id="6124"/>
    </w:p>
    <w:p>
      <w:pPr>
        <w:pStyle w:val="Para 03"/>
      </w:pPr>
      <w:r>
        <w:t>Khi đưa ra các quyết định tài chính, nhà quản lý cân nhắc tác động của những quyết định đó lên khả năng thực hiện các khoản đầu tư mới hoặc xử lý những tình huống bất ngờ trong tương lai của công ty. Trên thực tế, điều này có nghĩa là các doanh nghiệp duy trì dư thừa năng lực vay nợ (debt capacity) hoặc giữ số dư tiền mặt lớn hơn mức cần thiết cho nhu cầu hiện tại, nhằm đáp ứng những yêu cầu bất ngờ trong tương lai. Dù việc duy trì tính linh hoạt tài chính này có giá trị đối với doanh nghiệp, nó cũng đi kèm một cái giá; số dư tiền mặt lớn có thể chỉ sinh lời dưới mức thị trường, và năng lực vay nợ dư thừa ngụ ý rằng doanh nghiệp đang từ bỏ một phần giá trị và có chi phí vốn cao hơn.</w:t>
      </w:r>
    </w:p>
    <w:p>
      <w:bookmarkStart w:id="6125" w:name="Determinants_of_the_Value_of_Fin_1"/>
      <w:bookmarkStart w:id="6126" w:name="Determinants_of_the_Value_of_Fin"/>
      <w:pPr>
        <w:keepNext/>
        <w:pStyle w:val="Heading 3"/>
        <w:keepLines w:val="on"/>
      </w:pPr>
      <w:r>
        <w:t>Các Yếu tố Quyết định Giá trị của Tính Linh hoạt Tài chính</w:t>
      </w:r>
      <w:bookmarkEnd w:id="6125"/>
      <w:bookmarkEnd w:id="6126"/>
    </w:p>
    <w:p>
      <w:pPr>
        <w:pStyle w:val="Para 03"/>
      </w:pPr>
      <w:r>
        <w:t>Một lý do khiến doanh nghiệp duy trì số dư tiền mặt lớn và năng lực vay nợ dư thừa là để có quyền chọn trong tương lai thực hiện những dự án bất ngờ có lợi nhuận cao. Để định giá tính linh hoạt tài chính như một quyền chọn (option), giả định rằng doanh nghiệp có kỳ vọng về mức cần tái đầu tư trong các giai đoạn tương lai, dựa trên lịch sử của chính mình và điều kiện hiện tại của ngành. Cũng giả định rằng doanh nghiệp có kỳ vọng về mức có thể huy động từ nguồn vốn nội bộ và khả năng tiếp cận thị trường vốn thông thường trong các giai đoạn tương lai. Có sự không chắc chắn về nhu cầu tái đầu tư trong tương lai; để đơn giản, chúng ta sẽ giả định rằng khả năng tạo ra nguồn vốn là đã biết chắc chắn đối với doanh nghiệp. Lợi thế (và giá trị) của việc có năng lực vay nợ dư thừa hoặc số dư tiền mặt lớn là doanh nghiệp có thể đáp ứng mọi nhu cầu tái đầu tư vượt quá nguồn vốn sẵn có, bằng cách sử dụng năng lực vay nợ của mình. Tuy nhiên, phần lợi ích thu được từ những dự án này đến từ mức lợi nhuận vượt trội mà doanh nghiệp kỳ vọng đạt được từ chúng. Do đó, để định giá tính linh hoạt tài chính trên cơ sở hàng năm, chúng ta sẽ sử dụng các thước đo được liệt kê trong Bảng 29.1.</w:t>
      </w:r>
    </w:p>
    <w:p>
      <w:pPr>
        <w:pStyle w:val="Para 34"/>
        <w:keepLines w:val="on"/>
      </w:pPr>
      <w:r>
        <w:t>Bảng 29.1</w:t>
      </w:r>
    </w:p>
    <w:p>
      <w:pPr>
        <w:keepNext/>
        <w:pStyle w:val="Para 35"/>
        <w:keepLines w:val="on"/>
      </w:pPr>
      <w:r>
        <w:t>Các Đầu vào cho Định giá Quyền chọn: Tính Linh hoạt Tài chính</w:t>
      </w:r>
    </w:p>
    <w:tbl>
      <w:tblPr>
        <w:tblW w:type="auto" w:w="0"/>
      </w:tblPr>
      <w:tr>
        <w:tc>
          <w:tcPr>
            <w:tcW w:type="auto" w:w="0"/>
          </w:tcPr>
          <w:tbl>
            <w:tblPr>
              <w:tblW w:type="auto" w:w="0"/>
            </w:tblPr>
            <w:tr>
              <w:tc>
                <w:tcPr>
                  <w:tcW w:type="auto" w:w="0"/>
                  <w:shd w:val="clear" w:color="auto" w:fill="F0F0F0"/>
                  <w:vAlign w:val="bottom"/>
                </w:tcPr>
                <w:p>
                  <w:pPr>
                    <w:pStyle w:val="Para 45"/>
                    <w:keepLines w:val="on"/>
                  </w:pPr>
                  <w:r>
                    <w:t>Đầu vào của Mô hình</w:t>
                  </w:r>
                </w:p>
              </w:tc>
              <w:tc>
                <w:tcPr>
                  <w:tcW w:type="auto" w:w="0"/>
                  <w:shd w:val="clear" w:color="auto" w:fill="F0F0F0"/>
                  <w:vAlign w:val="bottom"/>
                </w:tcPr>
                <w:p>
                  <w:pPr>
                    <w:pStyle w:val="Para 45"/>
                    <w:keepLines w:val="on"/>
                  </w:pPr>
                  <w:r>
                    <w:t>Thước đo</w:t>
                  </w:r>
                </w:p>
              </w:tc>
              <w:tc>
                <w:tcPr>
                  <w:tcW w:type="auto" w:w="0"/>
                  <w:shd w:val="clear" w:color="auto" w:fill="F0F0F0"/>
                  <w:vAlign w:val="bottom"/>
                </w:tcPr>
                <w:p>
                  <w:pPr>
                    <w:pStyle w:val="Para 45"/>
                    <w:keepLines w:val="on"/>
                  </w:pPr>
                  <w:r>
                    <w:t>Cách Ước lượng</w:t>
                  </w:r>
                </w:p>
              </w:tc>
            </w:tr>
            <w:tr>
              <w:tc>
                <w:tcPr>
                  <w:tcW w:type="auto" w:w="0"/>
                  <w:shd w:val="clear" w:color="auto" w:fill="F0F0F0"/>
                </w:tcPr>
                <w:p>
                  <w:pPr>
                    <w:pStyle w:val="Normal"/>
                    <w:keepLines w:val="on"/>
                  </w:pPr>
                  <w:r>
                    <w:t>S</w:t>
                  </w:r>
                </w:p>
              </w:tc>
              <w:tc>
                <w:tcPr>
                  <w:tcW w:type="auto" w:w="0"/>
                  <w:shd w:val="clear" w:color="auto" w:fill="F0F0F0"/>
                </w:tcPr>
                <w:p>
                  <w:pPr>
                    <w:pStyle w:val="Para 02"/>
                    <w:keepLines w:val="on"/>
                  </w:pPr>
                  <w:r>
                    <w:t>Nhu cầu tái đầu tư hàng năm kỳ vọng tính theo phần trăm giá trị doanh nghiệp</w:t>
                  </w:r>
                </w:p>
              </w:tc>
              <w:tc>
                <w:tcPr>
                  <w:tcW w:type="auto" w:w="0"/>
                  <w:shd w:val="clear" w:color="auto" w:fill="F0F0F0"/>
                </w:tcPr>
                <w:p>
                  <w:pPr>
                    <w:pStyle w:val="Para 02"/>
                    <w:keepLines w:val="on"/>
                  </w:pPr>
                  <w:r>
                    <w:t>Sử dụng mức trung bình lịch sử của (Chi đầu tư ròng + Thay đổi vốn lưu động phi tiền mặt)/Giá trị thị trường của doanh nghiệp</w:t>
                  </w:r>
                </w:p>
              </w:tc>
            </w:tr>
            <w:tr>
              <w:tc>
                <w:tcPr>
                  <w:tcW w:type="auto" w:w="0"/>
                  <w:shd w:val="clear" w:color="auto" w:fill="F0F0F0"/>
                </w:tcPr>
                <w:p>
                  <w:pPr>
                    <w:pStyle w:val="Normal"/>
                    <w:keepLines w:val="on"/>
                  </w:pPr>
                  <w:r>
                    <w:t>K</w:t>
                  </w:r>
                </w:p>
              </w:tc>
              <w:tc>
                <w:tcPr>
                  <w:tcW w:type="auto" w:w="0"/>
                  <w:shd w:val="clear" w:color="auto" w:fill="F0F0F0"/>
                </w:tcPr>
                <w:p>
                  <w:pPr>
                    <w:pStyle w:val="Para 02"/>
                    <w:keepLines w:val="on"/>
                  </w:pPr>
                  <w:r>
                    <w:t>Nhu cầu tái đầu tư hàng năm tính theo phần trăm giá trị doanh nghiệp có thể huy động được mà không cần tính linh hoạt tài chính</w:t>
                  </w:r>
                </w:p>
              </w:tc>
              <w:tc>
                <w:tcPr>
                  <w:tcW w:type="auto" w:w="0"/>
                  <w:shd w:val="clear" w:color="auto" w:fill="F0F0F0"/>
                </w:tcPr>
                <w:p>
                  <w:pPr>
                    <w:pStyle w:val="Para 03"/>
                    <w:keepLines w:val="on"/>
                  </w:pPr>
                  <w:r>
                    <w:t>Nếu doanh nghiệp không muốn hoặc không thể sử dụng nguồn tài chính bên ngoài: (Thu nhập ròng − Cổ tức + Khấu hao)/Giá trị thị trường của doanh nghiệp</w:t>
                  </w:r>
                </w:p>
                <w:p>
                  <w:pPr>
                    <w:pStyle w:val="Para 03"/>
                    <w:keepLines w:val="on"/>
                  </w:pPr>
                  <w:r>
                    <w:t>Nếu doanh nghiệp thường xuyên sử dụng vốn bên ngoài (nợ ngân hàng, trái phiếu, hoặc vốn cổ phần): (Thu nhập ròng + Khấu hao + Nguồn tài chính bên ngoài ròng)/Giá trị thị trường của doanh nghiệp</w:t>
                  </w:r>
                </w:p>
              </w:tc>
            </w:tr>
            <w:tr>
              <w:tc>
                <w:tcPr>
                  <w:tcW w:type="auto" w:w="0"/>
                  <w:shd w:val="clear" w:color="auto" w:fill="F0F0F0"/>
                </w:tcPr>
                <w:p>
                  <w:pPr>
                    <w:pStyle w:val="Normal"/>
                    <w:keepLines w:val="on"/>
                  </w:pPr>
                  <w:r>
                    <w:t>σs</w:t>
                  </w:r>
                </w:p>
              </w:tc>
              <w:tc>
                <w:tcPr>
                  <w:tcW w:type="auto" w:w="0"/>
                  <w:shd w:val="clear" w:color="auto" w:fill="F0F0F0"/>
                </w:tcPr>
                <w:p>
                  <w:pPr>
                    <w:pStyle w:val="Para 02"/>
                    <w:keepLines w:val="on"/>
                  </w:pPr>
                  <w:r>
                    <w:t>Phương sai của nhu cầu tái đầu tư</w:t>
                  </w:r>
                </w:p>
              </w:tc>
              <w:tc>
                <w:tcPr>
                  <w:tcW w:type="auto" w:w="0"/>
                  <w:shd w:val="clear" w:color="auto" w:fill="F0F0F0"/>
                </w:tcPr>
                <w:p>
                  <w:pPr>
                    <w:pStyle w:val="Para 02"/>
                    <w:keepLines w:val="on"/>
                  </w:pPr>
                  <w:r>
                    <w:t>Phương sai của việc tái đầu tư tính theo phần trăm giá trị doanh nghiệp (sử dụng dữ liệu lịch sử)</w:t>
                  </w:r>
                </w:p>
              </w:tc>
            </w:tr>
            <w:tr>
              <w:tc>
                <w:tcPr>
                  <w:tcW w:type="auto" w:w="0"/>
                  <w:shd w:val="clear" w:color="auto" w:fill="F0F0F0"/>
                </w:tcPr>
                <w:p>
                  <w:pPr>
                    <w:pStyle w:val="Normal"/>
                    <w:keepLines w:val="on"/>
                  </w:pPr>
                  <w:r>
                    <w:t>t</w:t>
                  </w:r>
                </w:p>
              </w:tc>
              <w:tc>
                <w:tcPr>
                  <w:tcW w:type="auto" w:w="0"/>
                  <w:shd w:val="clear" w:color="auto" w:fill="F0F0F0"/>
                </w:tcPr>
                <w:p>
                  <w:pPr>
                    <w:pStyle w:val="Para 02"/>
                    <w:keepLines w:val="on"/>
                  </w:pPr>
                  <w:r>
                    <w:t>1 năm</w:t>
                  </w:r>
                </w:p>
              </w:tc>
              <w:tc>
                <w:tcPr>
                  <w:tcW w:type="auto" w:w="0"/>
                  <w:shd w:val="clear" w:color="auto" w:fill="F0F0F0"/>
                </w:tcPr>
                <w:p>
                  <w:pPr>
                    <w:pStyle w:val="Para 02"/>
                    <w:keepLines w:val="on"/>
                  </w:pPr>
                  <w:r>
                    <w:t>Để có ước lượng hàng năm về giá trị của tính linh hoạt</w:t>
                  </w:r>
                </w:p>
              </w:tc>
            </w:tr>
          </w:tbl>
          <w:p/>
        </w:tc>
      </w:tr>
    </w:tbl>
    <w:p>
      <w:pPr>
        <w:pStyle w:val="Para 20"/>
      </w:pPr>
      <w:r>
        <w:rPr>
          <w:rStyle w:val="Text26"/>
        </w:rPr>
        <w:bookmarkStart w:id="6128" w:name="Page_951"/>
        <w:t/>
        <w:bookmarkEnd w:id="6128"/>
      </w:r>
      <w:r>
        <w:t xml:space="preserve"> </w:t>
      </w:r>
    </w:p>
    <w:p>
      <w:pPr>
        <w:pStyle w:val="Para 11"/>
      </w:pPr>
      <w:r>
        <w:t xml:space="preserve"> </w:t>
      </w:r>
    </w:p>
    <w:p>
      <w:bookmarkStart w:id="6129" w:name="ILLUSTRATION_29_3___Valuing_Fina_1"/>
      <w:bookmarkStart w:id="6130" w:name="ILLUSTRATION_29_3___Valuing_Fina"/>
      <w:pPr>
        <w:keepNext/>
        <w:pStyle w:val="Para 19"/>
        <w:keepLines w:val="on"/>
      </w:pPr>
      <w:r>
        <w:t>MINH HỌA 29.3: Định giá Tính Linh hoạt Tài chính tại Home Depot năm 1999</w:t>
      </w:r>
      <w:bookmarkEnd w:id="6129"/>
      <w:bookmarkEnd w:id="6130"/>
    </w:p>
    <w:p>
      <w:pPr>
        <w:pStyle w:val="Para 04"/>
        <w:keepLines w:val="on"/>
      </w:pPr>
      <w:r>
        <w:t>Home Depot là một chuỗi bán lẻ khổng lồ chuyên bán các sản phẩm cải tạo nhà cửa, chủ yếu tại Hoa Kỳ. Doanh nghiệp này theo truyền thống không sử dụng nhiều nợ và cũng đã tăng trưởng với tốc độ phi thường trong thập kỷ qua. Để ước lượng giá trị của tính linh hoạt tài chính cho Home Depot, chúng ta bắt đầu bằng việc ước lượng các khoản tái đầu tư tính theo phần trăm giá trị doanh nghiệp từ năm 1989 đến 1998 trong Bảng 29.2:</w:t>
      </w:r>
    </w:p>
    <w:p>
      <w:pPr>
        <w:pStyle w:val="Para 25"/>
        <w:keepLines w:val="on"/>
      </w:pPr>
      <w:r>
        <w:t>Bảng 29.2</w:t>
      </w:r>
    </w:p>
    <w:p>
      <w:pPr>
        <w:keepNext/>
        <w:pStyle w:val="Para 24"/>
        <w:keepLines w:val="on"/>
      </w:pPr>
      <w:r>
        <w:t>Nhu cầu tái đầu tư tại Home Depot</w:t>
      </w:r>
    </w:p>
    <w:tbl>
      <w:tblPr>
        <w:tblW w:type="auto" w:w="0"/>
      </w:tblPr>
      <w:tr>
        <w:tc>
          <w:tcPr>
            <w:tcW w:type="auto" w:w="0"/>
          </w:tcPr>
          <w:tbl>
            <w:tblPr>
              <w:tblW w:type="auto" w:w="0"/>
            </w:tblPr>
            <w:tr>
              <w:tc>
                <w:tcPr>
                  <w:tcW w:type="auto" w:w="0"/>
                  <w:shd w:val="clear" w:color="auto" w:fill="F0F0F0"/>
                </w:tcPr>
                <w:p>
                  <w:pPr>
                    <w:pStyle w:val="Para 05"/>
                    <w:keepLines w:val="on"/>
                  </w:pPr>
                  <w:r>
                    <w:t>Năm</w:t>
                  </w:r>
                </w:p>
              </w:tc>
              <w:tc>
                <w:tcPr>
                  <w:tcW w:type="auto" w:w="0"/>
                  <w:shd w:val="clear" w:color="auto" w:fill="F0F0F0"/>
                </w:tcPr>
                <w:p>
                  <w:pPr>
                    <w:pStyle w:val="Para 05"/>
                    <w:keepLines w:val="on"/>
                  </w:pPr>
                  <w:r>
                    <w:t>Nhu cầu tái đầu tư</w:t>
                  </w:r>
                </w:p>
              </w:tc>
              <w:tc>
                <w:tcPr>
                  <w:tcW w:type="auto" w:w="0"/>
                  <w:shd w:val="clear" w:color="auto" w:fill="F0F0F0"/>
                </w:tcPr>
                <w:p>
                  <w:pPr>
                    <w:pStyle w:val="Para 05"/>
                    <w:keepLines w:val="on"/>
                  </w:pPr>
                  <w:r>
                    <w:t>Giá trị doanh nghiệp</w:t>
                  </w:r>
                </w:p>
              </w:tc>
              <w:tc>
                <w:tcPr>
                  <w:tcW w:type="auto" w:w="0"/>
                  <w:shd w:val="clear" w:color="auto" w:fill="F0F0F0"/>
                </w:tcPr>
                <w:p>
                  <w:pPr>
                    <w:pStyle w:val="Para 05"/>
                    <w:keepLines w:val="on"/>
                  </w:pPr>
                  <w:r>
                    <w:t>Tái đầu tư tính theo % giá trị</w:t>
                  </w:r>
                </w:p>
              </w:tc>
              <w:tc>
                <w:tcPr>
                  <w:tcW w:type="auto" w:w="0"/>
                  <w:shd w:val="clear" w:color="auto" w:fill="F0F0F0"/>
                </w:tcPr>
                <w:p>
                  <w:pPr>
                    <w:pStyle w:val="Para 05"/>
                    <w:keepLines w:val="on"/>
                  </w:pPr>
                  <w:r>
                    <w:t>ln(Nhu cầu tái đầu tư)</w:t>
                  </w:r>
                </w:p>
              </w:tc>
            </w:tr>
            <w:tr>
              <w:tc>
                <w:tcPr>
                  <w:tcW w:type="auto" w:w="0"/>
                  <w:shd w:val="clear" w:color="auto" w:fill="F0F0F0"/>
                </w:tcPr>
                <w:p>
                  <w:pPr>
                    <w:pStyle w:val="Normal"/>
                    <w:keepLines w:val="on"/>
                  </w:pPr>
                  <w:r>
                    <w:t>1989</w:t>
                  </w:r>
                </w:p>
              </w:tc>
              <w:tc>
                <w:tcPr>
                  <w:tcW w:type="auto" w:w="0"/>
                  <w:shd w:val="clear" w:color="auto" w:fill="F0F0F0"/>
                </w:tcPr>
                <w:p>
                  <w:pPr>
                    <w:pStyle w:val="Normal"/>
                    <w:keepLines w:val="on"/>
                  </w:pPr>
                  <w:r>
                    <w:t>$175</w:t>
                  </w:r>
                </w:p>
              </w:tc>
              <w:tc>
                <w:tcPr>
                  <w:tcW w:type="auto" w:w="0"/>
                  <w:shd w:val="clear" w:color="auto" w:fill="F0F0F0"/>
                </w:tcPr>
                <w:p>
                  <w:pPr>
                    <w:pStyle w:val="Normal"/>
                    <w:keepLines w:val="on"/>
                  </w:pPr>
                  <w:r>
                    <w:t>$2,758</w:t>
                  </w:r>
                </w:p>
              </w:tc>
              <w:tc>
                <w:tcPr>
                  <w:tcW w:type="auto" w:w="0"/>
                  <w:shd w:val="clear" w:color="auto" w:fill="F0F0F0"/>
                </w:tcPr>
                <w:p>
                  <w:pPr>
                    <w:pStyle w:val="Normal"/>
                    <w:keepLines w:val="on"/>
                  </w:pPr>
                  <w:r>
                    <w:t>6,35%</w:t>
                  </w:r>
                </w:p>
              </w:tc>
              <w:tc>
                <w:tcPr>
                  <w:tcW w:type="auto" w:w="0"/>
                  <w:shd w:val="clear" w:color="auto" w:fill="F0F0F0"/>
                </w:tcPr>
                <w:p>
                  <w:pPr>
                    <w:pStyle w:val="Normal"/>
                    <w:keepLines w:val="on"/>
                  </w:pPr>
                  <w:r>
                    <w:t>−2,7574751</w:t>
                  </w:r>
                </w:p>
              </w:tc>
            </w:tr>
            <w:tr>
              <w:tc>
                <w:tcPr>
                  <w:tcW w:type="auto" w:w="0"/>
                  <w:shd w:val="clear" w:color="auto" w:fill="F0F0F0"/>
                </w:tcPr>
                <w:p>
                  <w:pPr>
                    <w:pStyle w:val="Normal"/>
                    <w:keepLines w:val="on"/>
                  </w:pPr>
                  <w:r>
                    <w:t>1990</w:t>
                  </w:r>
                </w:p>
              </w:tc>
              <w:tc>
                <w:tcPr>
                  <w:tcW w:type="auto" w:w="0"/>
                  <w:shd w:val="clear" w:color="auto" w:fill="F0F0F0"/>
                </w:tcPr>
                <w:p>
                  <w:pPr>
                    <w:pStyle w:val="Normal"/>
                    <w:keepLines w:val="on"/>
                  </w:pPr>
                  <w:r>
                    <w:t>$374</w:t>
                  </w:r>
                </w:p>
              </w:tc>
              <w:tc>
                <w:tcPr>
                  <w:tcW w:type="auto" w:w="0"/>
                  <w:shd w:val="clear" w:color="auto" w:fill="F0F0F0"/>
                </w:tcPr>
                <w:p>
                  <w:pPr>
                    <w:pStyle w:val="Normal"/>
                    <w:keepLines w:val="on"/>
                  </w:pPr>
                  <w:r>
                    <w:t>$3,815</w:t>
                  </w:r>
                </w:p>
              </w:tc>
              <w:tc>
                <w:tcPr>
                  <w:tcW w:type="auto" w:w="0"/>
                  <w:shd w:val="clear" w:color="auto" w:fill="F0F0F0"/>
                </w:tcPr>
                <w:p>
                  <w:pPr>
                    <w:pStyle w:val="Normal"/>
                    <w:keepLines w:val="on"/>
                  </w:pPr>
                  <w:r>
                    <w:t>9,80%</w:t>
                  </w:r>
                </w:p>
              </w:tc>
              <w:tc>
                <w:tcPr>
                  <w:tcW w:type="auto" w:w="0"/>
                  <w:shd w:val="clear" w:color="auto" w:fill="F0F0F0"/>
                </w:tcPr>
                <w:p>
                  <w:pPr>
                    <w:pStyle w:val="Normal"/>
                    <w:keepLines w:val="on"/>
                  </w:pPr>
                  <w:r>
                    <w:t>−2,3224401</w:t>
                  </w:r>
                </w:p>
              </w:tc>
            </w:tr>
            <w:tr>
              <w:tc>
                <w:tcPr>
                  <w:tcW w:type="auto" w:w="0"/>
                  <w:shd w:val="clear" w:color="auto" w:fill="F0F0F0"/>
                </w:tcPr>
                <w:p>
                  <w:pPr>
                    <w:pStyle w:val="Normal"/>
                    <w:keepLines w:val="on"/>
                  </w:pPr>
                  <w:r>
                    <w:t>1991</w:t>
                  </w:r>
                </w:p>
              </w:tc>
              <w:tc>
                <w:tcPr>
                  <w:tcW w:type="auto" w:w="0"/>
                  <w:shd w:val="clear" w:color="auto" w:fill="F0F0F0"/>
                </w:tcPr>
                <w:p>
                  <w:pPr>
                    <w:pStyle w:val="Normal"/>
                    <w:keepLines w:val="on"/>
                  </w:pPr>
                  <w:r>
                    <w:t>$427</w:t>
                  </w:r>
                </w:p>
              </w:tc>
              <w:tc>
                <w:tcPr>
                  <w:tcW w:type="auto" w:w="0"/>
                  <w:shd w:val="clear" w:color="auto" w:fill="F0F0F0"/>
                </w:tcPr>
                <w:p>
                  <w:pPr>
                    <w:pStyle w:val="Normal"/>
                    <w:keepLines w:val="on"/>
                  </w:pPr>
                  <w:r>
                    <w:t>$5,137</w:t>
                  </w:r>
                </w:p>
              </w:tc>
              <w:tc>
                <w:tcPr>
                  <w:tcW w:type="auto" w:w="0"/>
                  <w:shd w:val="clear" w:color="auto" w:fill="F0F0F0"/>
                </w:tcPr>
                <w:p>
                  <w:pPr>
                    <w:pStyle w:val="Normal"/>
                    <w:keepLines w:val="on"/>
                  </w:pPr>
                  <w:r>
                    <w:t>8,31%</w:t>
                  </w:r>
                </w:p>
              </w:tc>
              <w:tc>
                <w:tcPr>
                  <w:tcW w:type="auto" w:w="0"/>
                  <w:shd w:val="clear" w:color="auto" w:fill="F0F0F0"/>
                </w:tcPr>
                <w:p>
                  <w:pPr>
                    <w:pStyle w:val="Normal"/>
                    <w:keepLines w:val="on"/>
                  </w:pPr>
                  <w:r>
                    <w:t>−2,4874405</w:t>
                  </w:r>
                </w:p>
              </w:tc>
            </w:tr>
            <w:tr>
              <w:tc>
                <w:tcPr>
                  <w:tcW w:type="auto" w:w="0"/>
                  <w:shd w:val="clear" w:color="auto" w:fill="F0F0F0"/>
                </w:tcPr>
                <w:p>
                  <w:pPr>
                    <w:pStyle w:val="Normal"/>
                    <w:keepLines w:val="on"/>
                  </w:pPr>
                  <w:r>
                    <w:t>1992</w:t>
                  </w:r>
                </w:p>
              </w:tc>
              <w:tc>
                <w:tcPr>
                  <w:tcW w:type="auto" w:w="0"/>
                  <w:shd w:val="clear" w:color="auto" w:fill="F0F0F0"/>
                </w:tcPr>
                <w:p>
                  <w:pPr>
                    <w:pStyle w:val="Normal"/>
                    <w:keepLines w:val="on"/>
                  </w:pPr>
                  <w:r>
                    <w:t>$456</w:t>
                  </w:r>
                </w:p>
              </w:tc>
              <w:tc>
                <w:tcPr>
                  <w:tcW w:type="auto" w:w="0"/>
                  <w:shd w:val="clear" w:color="auto" w:fill="F0F0F0"/>
                </w:tcPr>
                <w:p>
                  <w:pPr>
                    <w:pStyle w:val="Normal"/>
                    <w:keepLines w:val="on"/>
                  </w:pPr>
                  <w:r>
                    <w:t>$7,148</w:t>
                  </w:r>
                </w:p>
              </w:tc>
              <w:tc>
                <w:tcPr>
                  <w:tcW w:type="auto" w:w="0"/>
                  <w:shd w:val="clear" w:color="auto" w:fill="F0F0F0"/>
                </w:tcPr>
                <w:p>
                  <w:pPr>
                    <w:pStyle w:val="Normal"/>
                    <w:keepLines w:val="on"/>
                  </w:pPr>
                  <w:r>
                    <w:t>6,38%</w:t>
                  </w:r>
                </w:p>
              </w:tc>
              <w:tc>
                <w:tcPr>
                  <w:tcW w:type="auto" w:w="0"/>
                  <w:shd w:val="clear" w:color="auto" w:fill="F0F0F0"/>
                </w:tcPr>
                <w:p>
                  <w:pPr>
                    <w:pStyle w:val="Normal"/>
                    <w:keepLines w:val="on"/>
                  </w:pPr>
                  <w:r>
                    <w:t>−2.7520951</w:t>
                  </w:r>
                </w:p>
              </w:tc>
            </w:tr>
            <w:tr>
              <w:tc>
                <w:tcPr>
                  <w:tcW w:type="auto" w:w="0"/>
                  <w:shd w:val="clear" w:color="auto" w:fill="F0F0F0"/>
                </w:tcPr>
                <w:p>
                  <w:pPr>
                    <w:pStyle w:val="Normal"/>
                    <w:keepLines w:val="on"/>
                  </w:pPr>
                  <w:r>
                    <w:t>1993</w:t>
                  </w:r>
                </w:p>
              </w:tc>
              <w:tc>
                <w:tcPr>
                  <w:tcW w:type="auto" w:w="0"/>
                  <w:shd w:val="clear" w:color="auto" w:fill="F0F0F0"/>
                </w:tcPr>
                <w:p>
                  <w:pPr>
                    <w:pStyle w:val="Normal"/>
                    <w:keepLines w:val="on"/>
                  </w:pPr>
                  <w:r>
                    <w:t>$927</w:t>
                  </w:r>
                </w:p>
              </w:tc>
              <w:tc>
                <w:tcPr>
                  <w:tcW w:type="auto" w:w="0"/>
                  <w:shd w:val="clear" w:color="auto" w:fill="F0F0F0"/>
                </w:tcPr>
                <w:p>
                  <w:pPr>
                    <w:pStyle w:val="Normal"/>
                    <w:keepLines w:val="on"/>
                  </w:pPr>
                  <w:r>
                    <w:t>$9,239</w:t>
                  </w:r>
                </w:p>
              </w:tc>
              <w:tc>
                <w:tcPr>
                  <w:tcW w:type="auto" w:w="0"/>
                  <w:shd w:val="clear" w:color="auto" w:fill="F0F0F0"/>
                </w:tcPr>
                <w:p>
                  <w:pPr>
                    <w:pStyle w:val="Normal"/>
                    <w:keepLines w:val="on"/>
                  </w:pPr>
                  <w:r>
                    <w:t>10.03%</w:t>
                  </w:r>
                </w:p>
              </w:tc>
              <w:tc>
                <w:tcPr>
                  <w:tcW w:type="auto" w:w="0"/>
                  <w:shd w:val="clear" w:color="auto" w:fill="F0F0F0"/>
                </w:tcPr>
                <w:p>
                  <w:pPr>
                    <w:pStyle w:val="Normal"/>
                    <w:keepLines w:val="on"/>
                  </w:pPr>
                  <w:r>
                    <w:t>−2.2992354</w:t>
                  </w:r>
                </w:p>
              </w:tc>
            </w:tr>
            <w:tr>
              <w:tc>
                <w:tcPr>
                  <w:tcW w:type="auto" w:w="0"/>
                  <w:shd w:val="clear" w:color="auto" w:fill="F0F0F0"/>
                </w:tcPr>
                <w:p>
                  <w:pPr>
                    <w:pStyle w:val="Normal"/>
                    <w:keepLines w:val="on"/>
                  </w:pPr>
                  <w:r>
                    <w:t>1994</w:t>
                  </w:r>
                </w:p>
              </w:tc>
              <w:tc>
                <w:tcPr>
                  <w:tcW w:type="auto" w:w="0"/>
                  <w:shd w:val="clear" w:color="auto" w:fill="F0F0F0"/>
                </w:tcPr>
                <w:p>
                  <w:pPr>
                    <w:pStyle w:val="Normal"/>
                    <w:keepLines w:val="on"/>
                  </w:pPr>
                  <w:r>
                    <w:t>$1,176</w:t>
                  </w:r>
                </w:p>
              </w:tc>
              <w:tc>
                <w:tcPr>
                  <w:tcW w:type="auto" w:w="0"/>
                  <w:shd w:val="clear" w:color="auto" w:fill="F0F0F0"/>
                </w:tcPr>
                <w:p>
                  <w:pPr>
                    <w:pStyle w:val="Normal"/>
                    <w:keepLines w:val="on"/>
                  </w:pPr>
                  <w:r>
                    <w:t>$12,477</w:t>
                  </w:r>
                </w:p>
              </w:tc>
              <w:tc>
                <w:tcPr>
                  <w:tcW w:type="auto" w:w="0"/>
                  <w:shd w:val="clear" w:color="auto" w:fill="F0F0F0"/>
                </w:tcPr>
                <w:p>
                  <w:pPr>
                    <w:pStyle w:val="Normal"/>
                    <w:keepLines w:val="on"/>
                  </w:pPr>
                  <w:r>
                    <w:t>9.43%</w:t>
                  </w:r>
                </w:p>
              </w:tc>
              <w:tc>
                <w:tcPr>
                  <w:tcW w:type="auto" w:w="0"/>
                  <w:shd w:val="clear" w:color="auto" w:fill="F0F0F0"/>
                </w:tcPr>
                <w:p>
                  <w:pPr>
                    <w:pStyle w:val="Normal"/>
                    <w:keepLines w:val="on"/>
                  </w:pPr>
                  <w:r>
                    <w:t>−2.3617681</w:t>
                  </w:r>
                </w:p>
              </w:tc>
            </w:tr>
            <w:tr>
              <w:tc>
                <w:tcPr>
                  <w:tcW w:type="auto" w:w="0"/>
                  <w:shd w:val="clear" w:color="auto" w:fill="F0F0F0"/>
                </w:tcPr>
                <w:p>
                  <w:pPr>
                    <w:pStyle w:val="Normal"/>
                    <w:keepLines w:val="on"/>
                  </w:pPr>
                  <w:r>
                    <w:t>1995</w:t>
                  </w:r>
                </w:p>
              </w:tc>
              <w:tc>
                <w:tcPr>
                  <w:tcW w:type="auto" w:w="0"/>
                  <w:shd w:val="clear" w:color="auto" w:fill="F0F0F0"/>
                </w:tcPr>
                <w:p>
                  <w:pPr>
                    <w:pStyle w:val="Normal"/>
                    <w:keepLines w:val="on"/>
                  </w:pPr>
                  <w:r>
                    <w:t>$1,344</w:t>
                  </w:r>
                </w:p>
              </w:tc>
              <w:tc>
                <w:tcPr>
                  <w:tcW w:type="auto" w:w="0"/>
                  <w:shd w:val="clear" w:color="auto" w:fill="F0F0F0"/>
                </w:tcPr>
                <w:p>
                  <w:pPr>
                    <w:pStyle w:val="Normal"/>
                    <w:keepLines w:val="on"/>
                  </w:pPr>
                  <w:r>
                    <w:t>$15,470</w:t>
                  </w:r>
                </w:p>
              </w:tc>
              <w:tc>
                <w:tcPr>
                  <w:tcW w:type="auto" w:w="0"/>
                  <w:shd w:val="clear" w:color="auto" w:fill="F0F0F0"/>
                </w:tcPr>
                <w:p>
                  <w:pPr>
                    <w:pStyle w:val="Normal"/>
                    <w:keepLines w:val="on"/>
                  </w:pPr>
                  <w:r>
                    <w:t>8.69%</w:t>
                  </w:r>
                </w:p>
              </w:tc>
              <w:tc>
                <w:tcPr>
                  <w:tcW w:type="auto" w:w="0"/>
                  <w:shd w:val="clear" w:color="auto" w:fill="F0F0F0"/>
                </w:tcPr>
                <w:p>
                  <w:pPr>
                    <w:pStyle w:val="Normal"/>
                    <w:keepLines w:val="on"/>
                  </w:pPr>
                  <w:r>
                    <w:t>−2.4432524</w:t>
                  </w:r>
                </w:p>
              </w:tc>
            </w:tr>
            <w:tr>
              <w:tc>
                <w:tcPr>
                  <w:tcW w:type="auto" w:w="0"/>
                  <w:shd w:val="clear" w:color="auto" w:fill="F0F0F0"/>
                </w:tcPr>
                <w:p>
                  <w:pPr>
                    <w:pStyle w:val="Normal"/>
                    <w:keepLines w:val="on"/>
                  </w:pPr>
                  <w:r>
                    <w:t>1996</w:t>
                  </w:r>
                </w:p>
              </w:tc>
              <w:tc>
                <w:tcPr>
                  <w:tcW w:type="auto" w:w="0"/>
                  <w:shd w:val="clear" w:color="auto" w:fill="F0F0F0"/>
                </w:tcPr>
                <w:p>
                  <w:pPr>
                    <w:pStyle w:val="Normal"/>
                    <w:keepLines w:val="on"/>
                  </w:pPr>
                  <w:r>
                    <w:t>$1,086</w:t>
                  </w:r>
                </w:p>
              </w:tc>
              <w:tc>
                <w:tcPr>
                  <w:tcW w:type="auto" w:w="0"/>
                  <w:shd w:val="clear" w:color="auto" w:fill="F0F0F0"/>
                </w:tcPr>
                <w:p>
                  <w:pPr>
                    <w:pStyle w:val="Normal"/>
                    <w:keepLines w:val="on"/>
                  </w:pPr>
                  <w:r>
                    <w:t>$19,535</w:t>
                  </w:r>
                </w:p>
              </w:tc>
              <w:tc>
                <w:tcPr>
                  <w:tcW w:type="auto" w:w="0"/>
                  <w:shd w:val="clear" w:color="auto" w:fill="F0F0F0"/>
                </w:tcPr>
                <w:p>
                  <w:pPr>
                    <w:pStyle w:val="Normal"/>
                    <w:keepLines w:val="on"/>
                  </w:pPr>
                  <w:r>
                    <w:t>5.56%</w:t>
                  </w:r>
                </w:p>
              </w:tc>
              <w:tc>
                <w:tcPr>
                  <w:tcW w:type="auto" w:w="0"/>
                  <w:shd w:val="clear" w:color="auto" w:fill="F0F0F0"/>
                </w:tcPr>
                <w:p>
                  <w:pPr>
                    <w:pStyle w:val="Normal"/>
                    <w:keepLines w:val="on"/>
                  </w:pPr>
                  <w:r>
                    <w:t>−2.8897065</w:t>
                  </w:r>
                </w:p>
              </w:tc>
            </w:tr>
            <w:tr>
              <w:tc>
                <w:tcPr>
                  <w:tcW w:type="auto" w:w="0"/>
                  <w:shd w:val="clear" w:color="auto" w:fill="F0F0F0"/>
                </w:tcPr>
                <w:p>
                  <w:pPr>
                    <w:pStyle w:val="Normal"/>
                    <w:keepLines w:val="on"/>
                  </w:pPr>
                  <w:r>
                    <w:t>1997</w:t>
                  </w:r>
                </w:p>
              </w:tc>
              <w:tc>
                <w:tcPr>
                  <w:tcW w:type="auto" w:w="0"/>
                  <w:shd w:val="clear" w:color="auto" w:fill="F0F0F0"/>
                </w:tcPr>
                <w:p>
                  <w:pPr>
                    <w:pStyle w:val="Normal"/>
                    <w:keepLines w:val="on"/>
                  </w:pPr>
                  <w:r>
                    <w:t>$1,589</w:t>
                  </w:r>
                </w:p>
              </w:tc>
              <w:tc>
                <w:tcPr>
                  <w:tcW w:type="auto" w:w="0"/>
                  <w:shd w:val="clear" w:color="auto" w:fill="F0F0F0"/>
                </w:tcPr>
                <w:p>
                  <w:pPr>
                    <w:pStyle w:val="Normal"/>
                    <w:keepLines w:val="on"/>
                  </w:pPr>
                  <w:r>
                    <w:t>$24,156</w:t>
                  </w:r>
                </w:p>
              </w:tc>
              <w:tc>
                <w:tcPr>
                  <w:tcW w:type="auto" w:w="0"/>
                  <w:shd w:val="clear" w:color="auto" w:fill="F0F0F0"/>
                </w:tcPr>
                <w:p>
                  <w:pPr>
                    <w:pStyle w:val="Normal"/>
                    <w:keepLines w:val="on"/>
                  </w:pPr>
                  <w:r>
                    <w:t>6.58%</w:t>
                  </w:r>
                </w:p>
              </w:tc>
              <w:tc>
                <w:tcPr>
                  <w:tcW w:type="auto" w:w="0"/>
                  <w:shd w:val="clear" w:color="auto" w:fill="F0F0F0"/>
                </w:tcPr>
                <w:p>
                  <w:pPr>
                    <w:pStyle w:val="Normal"/>
                    <w:keepLines w:val="on"/>
                  </w:pPr>
                  <w:r>
                    <w:t>−2.7214279</w:t>
                  </w:r>
                </w:p>
              </w:tc>
            </w:tr>
            <w:tr>
              <w:tc>
                <w:tcPr>
                  <w:tcW w:type="auto" w:w="0"/>
                  <w:shd w:val="clear" w:color="auto" w:fill="F0F0F0"/>
                </w:tcPr>
                <w:p>
                  <w:pPr>
                    <w:pStyle w:val="Normal"/>
                    <w:keepLines w:val="on"/>
                  </w:pPr>
                  <w:r>
                    <w:t>1998</w:t>
                  </w:r>
                </w:p>
              </w:tc>
              <w:tc>
                <w:tcPr>
                  <w:tcW w:type="auto" w:w="0"/>
                  <w:shd w:val="clear" w:color="auto" w:fill="F0F0F0"/>
                </w:tcPr>
                <w:p>
                  <w:pPr>
                    <w:pStyle w:val="Normal"/>
                    <w:keepLines w:val="on"/>
                  </w:pPr>
                  <w:r>
                    <w:t>$1,817</w:t>
                  </w:r>
                </w:p>
              </w:tc>
              <w:tc>
                <w:tcPr>
                  <w:tcW w:type="auto" w:w="0"/>
                  <w:shd w:val="clear" w:color="auto" w:fill="F0F0F0"/>
                </w:tcPr>
                <w:p>
                  <w:pPr>
                    <w:pStyle w:val="Normal"/>
                    <w:keepLines w:val="on"/>
                  </w:pPr>
                  <w:r>
                    <w:t>$30,219</w:t>
                  </w:r>
                </w:p>
              </w:tc>
              <w:tc>
                <w:tcPr>
                  <w:tcW w:type="auto" w:w="0"/>
                  <w:shd w:val="clear" w:color="auto" w:fill="F0F0F0"/>
                </w:tcPr>
                <w:p>
                  <w:pPr>
                    <w:pStyle w:val="Normal"/>
                    <w:keepLines w:val="on"/>
                  </w:pPr>
                  <w:r>
                    <w:t>6.01%</w:t>
                  </w:r>
                </w:p>
              </w:tc>
              <w:tc>
                <w:tcPr>
                  <w:tcW w:type="auto" w:w="0"/>
                  <w:shd w:val="clear" w:color="auto" w:fill="F0F0F0"/>
                </w:tcPr>
                <w:p>
                  <w:pPr>
                    <w:pStyle w:val="Normal"/>
                    <w:keepLines w:val="on"/>
                  </w:pPr>
                  <w:r>
                    <w:t>−2.8112841</w:t>
                  </w:r>
                </w:p>
              </w:tc>
            </w:tr>
          </w:tbl>
          <w:p/>
        </w:tc>
      </w:tr>
    </w:tbl>
    <w:p>
      <w:bookmarkStart w:id="6132" w:name="Average_reinvestment_needs_as"/>
      <w:pPr>
        <w:keepNext/>
        <w:pStyle w:val="Para 07"/>
        <w:keepLines w:val="on"/>
      </w:pPr>
      <w:r>
        <w:t>Nhu cầu tái đầu tư trung bình tính theo % giá trị doanh nghiệp = 7,71% Độ lệch chuẩn của ln (Nhu cầu tái đầu tư) = 22,36%</w:t>
      </w:r>
      <w:bookmarkEnd w:id="6132"/>
    </w:p>
    <w:p>
      <w:pPr>
        <w:pStyle w:val="Para 04"/>
        <w:keepLines w:val="on"/>
      </w:pPr>
      <w:r>
        <w:t>Tiếp theo, chúng tôi ước tính nguồn vốn nội bộ theo tỷ lệ phần trăm giá trị doanh nghiệp, sử dụng tổng thu nhập ròng và khấu hao làm thước đo cho nguồn vốn nội bộ, trong Bảng 29.3:</w:t>
      </w:r>
    </w:p>
    <w:p>
      <w:pPr>
        <w:pStyle w:val="Para 25"/>
        <w:keepLines w:val="on"/>
      </w:pPr>
      <w:r>
        <w:t>Bảng 29.3</w:t>
      </w:r>
    </w:p>
    <w:p>
      <w:pPr>
        <w:keepNext/>
        <w:pStyle w:val="Para 24"/>
        <w:keepLines w:val="on"/>
      </w:pPr>
      <w:r>
        <w:t>Thu nhập, Giá trị và Nguồn vốn nội bộ</w:t>
      </w:r>
    </w:p>
    <w:tbl>
      <w:tblPr>
        <w:tblW w:type="auto" w:w="0"/>
      </w:tblPr>
      <w:tr>
        <w:tc>
          <w:tcPr>
            <w:tcW w:type="auto" w:w="0"/>
          </w:tcPr>
          <w:tbl>
            <w:tblPr>
              <w:tblW w:type="auto" w:w="0"/>
            </w:tblPr>
            <w:tr>
              <w:tc>
                <w:tcPr>
                  <w:tcW w:type="auto" w:w="0"/>
                  <w:shd w:val="clear" w:color="auto" w:fill="F0F0F0"/>
                </w:tcPr>
                <w:p>
                  <w:pPr>
                    <w:pStyle w:val="Para 32"/>
                    <w:keepLines w:val="on"/>
                  </w:pPr>
                  <w:r>
                    <w:t>Năm</w:t>
                  </w:r>
                </w:p>
              </w:tc>
              <w:tc>
                <w:tcPr>
                  <w:tcW w:type="auto" w:w="0"/>
                  <w:shd w:val="clear" w:color="auto" w:fill="F0F0F0"/>
                </w:tcPr>
                <w:p>
                  <w:pPr>
                    <w:pStyle w:val="Para 32"/>
                    <w:keepLines w:val="on"/>
                  </w:pPr>
                  <w:r>
                    <w:t>Thu nhập ròng</w:t>
                  </w:r>
                </w:p>
              </w:tc>
              <w:tc>
                <w:tcPr>
                  <w:tcW w:type="auto" w:w="0"/>
                  <w:shd w:val="clear" w:color="auto" w:fill="F0F0F0"/>
                </w:tcPr>
                <w:p>
                  <w:pPr>
                    <w:pStyle w:val="Para 32"/>
                    <w:keepLines w:val="on"/>
                  </w:pPr>
                  <w:r>
                    <w:t>Khấu hao</w:t>
                  </w:r>
                </w:p>
              </w:tc>
              <w:tc>
                <w:tcPr>
                  <w:tcW w:type="auto" w:w="0"/>
                  <w:shd w:val="clear" w:color="auto" w:fill="F0F0F0"/>
                </w:tcPr>
                <w:p>
                  <w:pPr>
                    <w:pStyle w:val="Para 32"/>
                    <w:keepLines w:val="on"/>
                  </w:pPr>
                  <w:r>
                    <w:t>Giá trị doanh nghiệp</w:t>
                  </w:r>
                </w:p>
              </w:tc>
              <w:tc>
                <w:tcPr>
                  <w:tcW w:type="auto" w:w="0"/>
                  <w:shd w:val="clear" w:color="auto" w:fill="F0F0F0"/>
                </w:tcPr>
                <w:p>
                  <w:pPr>
                    <w:pStyle w:val="Para 32"/>
                    <w:keepLines w:val="on"/>
                  </w:pPr>
                  <w:r>
                    <w:t>Nguồn vốn nội bộ/Giá trị</w:t>
                  </w:r>
                </w:p>
              </w:tc>
            </w:tr>
            <w:tr>
              <w:tc>
                <w:tcPr>
                  <w:tcW w:type="auto" w:w="0"/>
                  <w:shd w:val="clear" w:color="auto" w:fill="F0F0F0"/>
                </w:tcPr>
                <w:p>
                  <w:pPr>
                    <w:pStyle w:val="Normal"/>
                    <w:keepLines w:val="on"/>
                  </w:pPr>
                  <w:r>
                    <w:t>1989</w:t>
                  </w:r>
                </w:p>
              </w:tc>
              <w:tc>
                <w:tcPr>
                  <w:tcW w:type="auto" w:w="0"/>
                  <w:shd w:val="clear" w:color="auto" w:fill="F0F0F0"/>
                </w:tcPr>
                <w:p>
                  <w:pPr>
                    <w:pStyle w:val="Normal"/>
                    <w:keepLines w:val="on"/>
                  </w:pPr>
                  <w:r>
                    <w:t>$112</w:t>
                  </w:r>
                </w:p>
              </w:tc>
              <w:tc>
                <w:tcPr>
                  <w:tcW w:type="auto" w:w="0"/>
                  <w:shd w:val="clear" w:color="auto" w:fill="F0F0F0"/>
                </w:tcPr>
                <w:p>
                  <w:pPr>
                    <w:pStyle w:val="Normal"/>
                    <w:keepLines w:val="on"/>
                  </w:pPr>
                  <w:r>
                    <w:t>$21</w:t>
                  </w:r>
                </w:p>
              </w:tc>
              <w:tc>
                <w:tcPr>
                  <w:tcW w:type="auto" w:w="0"/>
                  <w:shd w:val="clear" w:color="auto" w:fill="F0F0F0"/>
                </w:tcPr>
                <w:p>
                  <w:pPr>
                    <w:pStyle w:val="Normal"/>
                    <w:keepLines w:val="on"/>
                  </w:pPr>
                  <w:r>
                    <w:t>$2,758</w:t>
                  </w:r>
                </w:p>
              </w:tc>
              <w:tc>
                <w:tcPr>
                  <w:tcW w:type="auto" w:w="0"/>
                  <w:shd w:val="clear" w:color="auto" w:fill="F0F0F0"/>
                </w:tcPr>
                <w:p>
                  <w:pPr>
                    <w:pStyle w:val="Normal"/>
                    <w:keepLines w:val="on"/>
                  </w:pPr>
                  <w:r>
                    <w:t>4,82%</w:t>
                  </w:r>
                </w:p>
              </w:tc>
            </w:tr>
            <w:tr>
              <w:tc>
                <w:tcPr>
                  <w:tcW w:type="auto" w:w="0"/>
                  <w:shd w:val="clear" w:color="auto" w:fill="F0F0F0"/>
                </w:tcPr>
                <w:p>
                  <w:pPr>
                    <w:pStyle w:val="Normal"/>
                    <w:keepLines w:val="on"/>
                  </w:pPr>
                  <w:r>
                    <w:t>1990</w:t>
                  </w:r>
                </w:p>
              </w:tc>
              <w:tc>
                <w:tcPr>
                  <w:tcW w:type="auto" w:w="0"/>
                  <w:shd w:val="clear" w:color="auto" w:fill="F0F0F0"/>
                </w:tcPr>
                <w:p>
                  <w:pPr>
                    <w:pStyle w:val="Normal"/>
                    <w:keepLines w:val="on"/>
                  </w:pPr>
                  <w:r>
                    <w:t>$163</w:t>
                  </w:r>
                </w:p>
              </w:tc>
              <w:tc>
                <w:tcPr>
                  <w:tcW w:type="auto" w:w="0"/>
                  <w:shd w:val="clear" w:color="auto" w:fill="F0F0F0"/>
                </w:tcPr>
                <w:p>
                  <w:pPr>
                    <w:pStyle w:val="Normal"/>
                    <w:keepLines w:val="on"/>
                  </w:pPr>
                  <w:r>
                    <w:t>$34</w:t>
                  </w:r>
                </w:p>
              </w:tc>
              <w:tc>
                <w:tcPr>
                  <w:tcW w:type="auto" w:w="0"/>
                  <w:shd w:val="clear" w:color="auto" w:fill="F0F0F0"/>
                </w:tcPr>
                <w:p>
                  <w:pPr>
                    <w:pStyle w:val="Normal"/>
                    <w:keepLines w:val="on"/>
                  </w:pPr>
                  <w:r>
                    <w:t>$3,815</w:t>
                  </w:r>
                </w:p>
              </w:tc>
              <w:tc>
                <w:tcPr>
                  <w:tcW w:type="auto" w:w="0"/>
                  <w:shd w:val="clear" w:color="auto" w:fill="F0F0F0"/>
                </w:tcPr>
                <w:p>
                  <w:pPr>
                    <w:pStyle w:val="Normal"/>
                    <w:keepLines w:val="on"/>
                  </w:pPr>
                  <w:r>
                    <w:t>5,16%</w:t>
                  </w:r>
                </w:p>
              </w:tc>
            </w:tr>
            <w:tr>
              <w:tc>
                <w:tcPr>
                  <w:tcW w:type="auto" w:w="0"/>
                  <w:shd w:val="clear" w:color="auto" w:fill="F0F0F0"/>
                </w:tcPr>
                <w:p>
                  <w:pPr>
                    <w:pStyle w:val="Normal"/>
                    <w:keepLines w:val="on"/>
                  </w:pPr>
                  <w:r>
                    <w:t>1991</w:t>
                  </w:r>
                </w:p>
              </w:tc>
              <w:tc>
                <w:tcPr>
                  <w:tcW w:type="auto" w:w="0"/>
                  <w:shd w:val="clear" w:color="auto" w:fill="F0F0F0"/>
                </w:tcPr>
                <w:p>
                  <w:pPr>
                    <w:pStyle w:val="Normal"/>
                    <w:keepLines w:val="on"/>
                  </w:pPr>
                  <w:r>
                    <w:t>$249</w:t>
                  </w:r>
                </w:p>
              </w:tc>
              <w:tc>
                <w:tcPr>
                  <w:tcW w:type="auto" w:w="0"/>
                  <w:shd w:val="clear" w:color="auto" w:fill="F0F0F0"/>
                </w:tcPr>
                <w:p>
                  <w:pPr>
                    <w:pStyle w:val="Normal"/>
                    <w:keepLines w:val="on"/>
                  </w:pPr>
                  <w:r>
                    <w:t>$52</w:t>
                  </w:r>
                </w:p>
              </w:tc>
              <w:tc>
                <w:tcPr>
                  <w:tcW w:type="auto" w:w="0"/>
                  <w:shd w:val="clear" w:color="auto" w:fill="F0F0F0"/>
                </w:tcPr>
                <w:p>
                  <w:pPr>
                    <w:pStyle w:val="Normal"/>
                    <w:keepLines w:val="on"/>
                  </w:pPr>
                  <w:r>
                    <w:t>$5,137</w:t>
                  </w:r>
                </w:p>
              </w:tc>
              <w:tc>
                <w:tcPr>
                  <w:tcW w:type="auto" w:w="0"/>
                  <w:shd w:val="clear" w:color="auto" w:fill="F0F0F0"/>
                </w:tcPr>
                <w:p>
                  <w:pPr>
                    <w:pStyle w:val="Normal"/>
                    <w:keepLines w:val="on"/>
                  </w:pPr>
                  <w:r>
                    <w:t>5,86%</w:t>
                  </w:r>
                </w:p>
              </w:tc>
            </w:tr>
            <w:tr>
              <w:tc>
                <w:tcPr>
                  <w:tcW w:type="auto" w:w="0"/>
                  <w:shd w:val="clear" w:color="auto" w:fill="F0F0F0"/>
                </w:tcPr>
                <w:p>
                  <w:pPr>
                    <w:pStyle w:val="Normal"/>
                    <w:keepLines w:val="on"/>
                  </w:pPr>
                  <w:r>
                    <w:t>1992</w:t>
                  </w:r>
                </w:p>
              </w:tc>
              <w:tc>
                <w:tcPr>
                  <w:tcW w:type="auto" w:w="0"/>
                  <w:shd w:val="clear" w:color="auto" w:fill="F0F0F0"/>
                </w:tcPr>
                <w:p>
                  <w:pPr>
                    <w:pStyle w:val="Normal"/>
                    <w:keepLines w:val="on"/>
                  </w:pPr>
                  <w:r>
                    <w:t>$363</w:t>
                  </w:r>
                </w:p>
              </w:tc>
              <w:tc>
                <w:tcPr>
                  <w:tcW w:type="auto" w:w="0"/>
                  <w:shd w:val="clear" w:color="auto" w:fill="F0F0F0"/>
                </w:tcPr>
                <w:p>
                  <w:pPr>
                    <w:pStyle w:val="Normal"/>
                    <w:keepLines w:val="on"/>
                  </w:pPr>
                  <w:r>
                    <w:t>$70</w:t>
                  </w:r>
                </w:p>
              </w:tc>
              <w:tc>
                <w:tcPr>
                  <w:tcW w:type="auto" w:w="0"/>
                  <w:shd w:val="clear" w:color="auto" w:fill="F0F0F0"/>
                </w:tcPr>
                <w:p>
                  <w:pPr>
                    <w:pStyle w:val="Normal"/>
                    <w:keepLines w:val="on"/>
                  </w:pPr>
                  <w:r>
                    <w:t>$7,148</w:t>
                  </w:r>
                </w:p>
              </w:tc>
              <w:tc>
                <w:tcPr>
                  <w:tcW w:type="auto" w:w="0"/>
                  <w:shd w:val="clear" w:color="auto" w:fill="F0F0F0"/>
                </w:tcPr>
                <w:p>
                  <w:pPr>
                    <w:pStyle w:val="Normal"/>
                    <w:keepLines w:val="on"/>
                  </w:pPr>
                  <w:r>
                    <w:t>6,06%</w:t>
                  </w:r>
                </w:p>
              </w:tc>
            </w:tr>
            <w:tr>
              <w:tc>
                <w:tcPr>
                  <w:tcW w:type="auto" w:w="0"/>
                  <w:shd w:val="clear" w:color="auto" w:fill="F0F0F0"/>
                </w:tcPr>
                <w:p>
                  <w:pPr>
                    <w:pStyle w:val="Normal"/>
                    <w:keepLines w:val="on"/>
                  </w:pPr>
                  <w:r>
                    <w:t>1993</w:t>
                  </w:r>
                </w:p>
              </w:tc>
              <w:tc>
                <w:tcPr>
                  <w:tcW w:type="auto" w:w="0"/>
                  <w:shd w:val="clear" w:color="auto" w:fill="F0F0F0"/>
                </w:tcPr>
                <w:p>
                  <w:pPr>
                    <w:pStyle w:val="Normal"/>
                    <w:keepLines w:val="on"/>
                  </w:pPr>
                  <w:r>
                    <w:t>$457</w:t>
                  </w:r>
                </w:p>
              </w:tc>
              <w:tc>
                <w:tcPr>
                  <w:tcW w:type="auto" w:w="0"/>
                  <w:shd w:val="clear" w:color="auto" w:fill="F0F0F0"/>
                </w:tcPr>
                <w:p>
                  <w:pPr>
                    <w:pStyle w:val="Normal"/>
                    <w:keepLines w:val="on"/>
                  </w:pPr>
                  <w:r>
                    <w:t>$90</w:t>
                  </w:r>
                </w:p>
              </w:tc>
              <w:tc>
                <w:tcPr>
                  <w:tcW w:type="auto" w:w="0"/>
                  <w:shd w:val="clear" w:color="auto" w:fill="F0F0F0"/>
                </w:tcPr>
                <w:p>
                  <w:pPr>
                    <w:pStyle w:val="Normal"/>
                    <w:keepLines w:val="on"/>
                  </w:pPr>
                  <w:r>
                    <w:t>$9,239</w:t>
                  </w:r>
                </w:p>
              </w:tc>
              <w:tc>
                <w:tcPr>
                  <w:tcW w:type="auto" w:w="0"/>
                  <w:shd w:val="clear" w:color="auto" w:fill="F0F0F0"/>
                </w:tcPr>
                <w:p>
                  <w:pPr>
                    <w:pStyle w:val="Normal"/>
                    <w:keepLines w:val="on"/>
                  </w:pPr>
                  <w:r>
                    <w:t>5,92%</w:t>
                  </w:r>
                </w:p>
              </w:tc>
            </w:tr>
            <w:tr>
              <w:tc>
                <w:tcPr>
                  <w:tcW w:type="auto" w:w="0"/>
                  <w:shd w:val="clear" w:color="auto" w:fill="F0F0F0"/>
                </w:tcPr>
                <w:p>
                  <w:pPr>
                    <w:pStyle w:val="Normal"/>
                    <w:keepLines w:val="on"/>
                  </w:pPr>
                  <w:r>
                    <w:t>1994</w:t>
                  </w:r>
                </w:p>
              </w:tc>
              <w:tc>
                <w:tcPr>
                  <w:tcW w:type="auto" w:w="0"/>
                  <w:shd w:val="clear" w:color="auto" w:fill="F0F0F0"/>
                </w:tcPr>
                <w:p>
                  <w:pPr>
                    <w:pStyle w:val="Normal"/>
                    <w:keepLines w:val="on"/>
                  </w:pPr>
                  <w:r>
                    <w:t>$605</w:t>
                  </w:r>
                </w:p>
              </w:tc>
              <w:tc>
                <w:tcPr>
                  <w:tcW w:type="auto" w:w="0"/>
                  <w:shd w:val="clear" w:color="auto" w:fill="F0F0F0"/>
                </w:tcPr>
                <w:p>
                  <w:pPr>
                    <w:pStyle w:val="Normal"/>
                    <w:keepLines w:val="on"/>
                  </w:pPr>
                  <w:r>
                    <w:t>$130</w:t>
                  </w:r>
                </w:p>
              </w:tc>
              <w:tc>
                <w:tcPr>
                  <w:tcW w:type="auto" w:w="0"/>
                  <w:shd w:val="clear" w:color="auto" w:fill="F0F0F0"/>
                </w:tcPr>
                <w:p>
                  <w:pPr>
                    <w:pStyle w:val="Normal"/>
                    <w:keepLines w:val="on"/>
                  </w:pPr>
                  <w:r>
                    <w:t>$12,477</w:t>
                  </w:r>
                </w:p>
              </w:tc>
              <w:tc>
                <w:tcPr>
                  <w:tcW w:type="auto" w:w="0"/>
                  <w:shd w:val="clear" w:color="auto" w:fill="F0F0F0"/>
                </w:tcPr>
                <w:p>
                  <w:pPr>
                    <w:pStyle w:val="Normal"/>
                    <w:keepLines w:val="on"/>
                  </w:pPr>
                  <w:r>
                    <w:t>5,89%</w:t>
                  </w:r>
                </w:p>
              </w:tc>
            </w:tr>
            <w:tr>
              <w:tc>
                <w:tcPr>
                  <w:tcW w:type="auto" w:w="0"/>
                  <w:shd w:val="clear" w:color="auto" w:fill="F0F0F0"/>
                </w:tcPr>
                <w:p>
                  <w:pPr>
                    <w:pStyle w:val="Normal"/>
                    <w:keepLines w:val="on"/>
                  </w:pPr>
                  <w:r>
                    <w:t>1995</w:t>
                  </w:r>
                </w:p>
              </w:tc>
              <w:tc>
                <w:tcPr>
                  <w:tcW w:type="auto" w:w="0"/>
                  <w:shd w:val="clear" w:color="auto" w:fill="F0F0F0"/>
                </w:tcPr>
                <w:p>
                  <w:pPr>
                    <w:pStyle w:val="Normal"/>
                    <w:keepLines w:val="on"/>
                  </w:pPr>
                  <w:r>
                    <w:t>$732</w:t>
                  </w:r>
                </w:p>
              </w:tc>
              <w:tc>
                <w:tcPr>
                  <w:tcW w:type="auto" w:w="0"/>
                  <w:shd w:val="clear" w:color="auto" w:fill="F0F0F0"/>
                </w:tcPr>
                <w:p>
                  <w:pPr>
                    <w:pStyle w:val="Normal"/>
                    <w:keepLines w:val="on"/>
                  </w:pPr>
                  <w:r>
                    <w:t>$181</w:t>
                  </w:r>
                </w:p>
              </w:tc>
              <w:tc>
                <w:tcPr>
                  <w:tcW w:type="auto" w:w="0"/>
                  <w:shd w:val="clear" w:color="auto" w:fill="F0F0F0"/>
                </w:tcPr>
                <w:p>
                  <w:pPr>
                    <w:pStyle w:val="Normal"/>
                    <w:keepLines w:val="on"/>
                  </w:pPr>
                  <w:r>
                    <w:t>$15,470</w:t>
                  </w:r>
                </w:p>
              </w:tc>
              <w:tc>
                <w:tcPr>
                  <w:tcW w:type="auto" w:w="0"/>
                  <w:shd w:val="clear" w:color="auto" w:fill="F0F0F0"/>
                </w:tcPr>
                <w:p>
                  <w:pPr>
                    <w:pStyle w:val="Normal"/>
                    <w:keepLines w:val="on"/>
                  </w:pPr>
                  <w:r>
                    <w:t>5,90%</w:t>
                  </w:r>
                </w:p>
              </w:tc>
            </w:tr>
            <w:tr>
              <w:tc>
                <w:tcPr>
                  <w:tcW w:type="auto" w:w="0"/>
                  <w:shd w:val="clear" w:color="auto" w:fill="F0F0F0"/>
                </w:tcPr>
                <w:p>
                  <w:pPr>
                    <w:pStyle w:val="Normal"/>
                    <w:keepLines w:val="on"/>
                  </w:pPr>
                  <w:r>
                    <w:t>1996</w:t>
                  </w:r>
                </w:p>
              </w:tc>
              <w:tc>
                <w:tcPr>
                  <w:tcW w:type="auto" w:w="0"/>
                  <w:shd w:val="clear" w:color="auto" w:fill="F0F0F0"/>
                </w:tcPr>
                <w:p>
                  <w:pPr>
                    <w:pStyle w:val="Normal"/>
                    <w:keepLines w:val="on"/>
                  </w:pPr>
                  <w:r>
                    <w:t>$938</w:t>
                  </w:r>
                </w:p>
              </w:tc>
              <w:tc>
                <w:tcPr>
                  <w:tcW w:type="auto" w:w="0"/>
                  <w:shd w:val="clear" w:color="auto" w:fill="F0F0F0"/>
                </w:tcPr>
                <w:p>
                  <w:pPr>
                    <w:pStyle w:val="Normal"/>
                    <w:keepLines w:val="on"/>
                  </w:pPr>
                  <w:r>
                    <w:t>$232</w:t>
                  </w:r>
                </w:p>
              </w:tc>
              <w:tc>
                <w:tcPr>
                  <w:tcW w:type="auto" w:w="0"/>
                  <w:shd w:val="clear" w:color="auto" w:fill="F0F0F0"/>
                </w:tcPr>
                <w:p>
                  <w:pPr>
                    <w:pStyle w:val="Normal"/>
                    <w:keepLines w:val="on"/>
                  </w:pPr>
                  <w:r>
                    <w:t>$19,535</w:t>
                  </w:r>
                </w:p>
              </w:tc>
              <w:tc>
                <w:tcPr>
                  <w:tcW w:type="auto" w:w="0"/>
                  <w:shd w:val="clear" w:color="auto" w:fill="F0F0F0"/>
                </w:tcPr>
                <w:p>
                  <w:pPr>
                    <w:pStyle w:val="Normal"/>
                    <w:keepLines w:val="on"/>
                  </w:pPr>
                  <w:r>
                    <w:t>5,99%</w:t>
                  </w:r>
                </w:p>
              </w:tc>
            </w:tr>
            <w:tr>
              <w:tc>
                <w:tcPr>
                  <w:tcW w:type="auto" w:w="0"/>
                  <w:shd w:val="clear" w:color="auto" w:fill="F0F0F0"/>
                </w:tcPr>
                <w:p>
                  <w:pPr>
                    <w:pStyle w:val="Normal"/>
                    <w:keepLines w:val="on"/>
                  </w:pPr>
                  <w:r>
                    <w:t>1997</w:t>
                  </w:r>
                </w:p>
              </w:tc>
              <w:tc>
                <w:tcPr>
                  <w:tcW w:type="auto" w:w="0"/>
                  <w:shd w:val="clear" w:color="auto" w:fill="F0F0F0"/>
                </w:tcPr>
                <w:p>
                  <w:pPr>
                    <w:pStyle w:val="Normal"/>
                    <w:keepLines w:val="on"/>
                  </w:pPr>
                  <w:r>
                    <w:t>$1.160</w:t>
                  </w:r>
                </w:p>
              </w:tc>
              <w:tc>
                <w:tcPr>
                  <w:tcW w:type="auto" w:w="0"/>
                  <w:shd w:val="clear" w:color="auto" w:fill="F0F0F0"/>
                </w:tcPr>
                <w:p>
                  <w:pPr>
                    <w:pStyle w:val="Normal"/>
                    <w:keepLines w:val="on"/>
                  </w:pPr>
                  <w:r>
                    <w:t>$283</w:t>
                  </w:r>
                </w:p>
              </w:tc>
              <w:tc>
                <w:tcPr>
                  <w:tcW w:type="auto" w:w="0"/>
                  <w:shd w:val="clear" w:color="auto" w:fill="F0F0F0"/>
                </w:tcPr>
                <w:p>
                  <w:pPr>
                    <w:pStyle w:val="Normal"/>
                    <w:keepLines w:val="on"/>
                  </w:pPr>
                  <w:r>
                    <w:t>$24.156</w:t>
                  </w:r>
                </w:p>
              </w:tc>
              <w:tc>
                <w:tcPr>
                  <w:tcW w:type="auto" w:w="0"/>
                  <w:shd w:val="clear" w:color="auto" w:fill="F0F0F0"/>
                </w:tcPr>
                <w:p>
                  <w:pPr>
                    <w:pStyle w:val="Normal"/>
                    <w:keepLines w:val="on"/>
                  </w:pPr>
                  <w:r>
                    <w:t>5,97%</w:t>
                  </w:r>
                </w:p>
              </w:tc>
            </w:tr>
            <w:tr>
              <w:tc>
                <w:tcPr>
                  <w:tcW w:type="auto" w:w="0"/>
                  <w:shd w:val="clear" w:color="auto" w:fill="F0F0F0"/>
                </w:tcPr>
                <w:p>
                  <w:pPr>
                    <w:pStyle w:val="Normal"/>
                    <w:keepLines w:val="on"/>
                  </w:pPr>
                  <w:r>
                    <w:t>1998</w:t>
                  </w:r>
                </w:p>
              </w:tc>
              <w:tc>
                <w:tcPr>
                  <w:tcW w:type="auto" w:w="0"/>
                  <w:shd w:val="clear" w:color="auto" w:fill="F0F0F0"/>
                </w:tcPr>
                <w:p>
                  <w:pPr>
                    <w:pStyle w:val="Normal"/>
                    <w:keepLines w:val="on"/>
                  </w:pPr>
                  <w:r>
                    <w:t>$1.614</w:t>
                  </w:r>
                </w:p>
              </w:tc>
              <w:tc>
                <w:tcPr>
                  <w:tcW w:type="auto" w:w="0"/>
                  <w:shd w:val="clear" w:color="auto" w:fill="F0F0F0"/>
                </w:tcPr>
                <w:p>
                  <w:pPr>
                    <w:pStyle w:val="Normal"/>
                    <w:keepLines w:val="on"/>
                  </w:pPr>
                  <w:r>
                    <w:t>$373</w:t>
                  </w:r>
                </w:p>
              </w:tc>
              <w:tc>
                <w:tcPr>
                  <w:tcW w:type="auto" w:w="0"/>
                  <w:shd w:val="clear" w:color="auto" w:fill="F0F0F0"/>
                </w:tcPr>
                <w:p>
                  <w:pPr>
                    <w:pStyle w:val="Normal"/>
                    <w:keepLines w:val="on"/>
                  </w:pPr>
                  <w:r>
                    <w:t>$30.219</w:t>
                  </w:r>
                </w:p>
              </w:tc>
              <w:tc>
                <w:tcPr>
                  <w:tcW w:type="auto" w:w="0"/>
                  <w:shd w:val="clear" w:color="auto" w:fill="F0F0F0"/>
                </w:tcPr>
                <w:p>
                  <w:pPr>
                    <w:pStyle w:val="Normal"/>
                    <w:keepLines w:val="on"/>
                  </w:pPr>
                  <w:r>
                    <w:t>6,58%</w:t>
                  </w:r>
                </w:p>
              </w:tc>
            </w:tr>
          </w:tbl>
          <w:p/>
        </w:tc>
      </w:tr>
    </w:tbl>
    <w:p>
      <w:pPr>
        <w:pStyle w:val="Para 04"/>
        <w:keepLines w:val="on"/>
      </w:pPr>
      <w:r>
        <w:t>Nguồn vốn nội bộ, tính trung bình, chiếm 5,82% giá trị doanh nghiệp trong giai đoạn 1989–1998. Vì công ty hầu như không dùng nợ bên ngoài, công ty đã bù đắp phần chênh lệch giữa nhu cầu tái đầu tư (7,71%) và nguồn vốn nội bộ tạo ra (5,82%) bằng cách phát hành cổ phiếu. Nhìn về phía trước, chúng ta sẽ giả định rằng Home Depot sẽ không phát hành thêm cổ phiếu mới nữa.</w:t>
      </w:r>
    </w:p>
    <w:p>
      <w:pPr>
        <w:pStyle w:val="Para 04"/>
        <w:keepLines w:val="on"/>
      </w:pPr>
      <w:r>
        <w:t>Tỷ lệ nợ hiện tại của Home Depot là 4,55%, và chi phí vốn hiện tại của nó là 9,51%. Dùng khung chi phí vốn đã trình bày ở Chương 15, chúng tôi ước tính tỷ lệ nợ tối ưu của nó là 20%, và chi phí vốn ở mức nợ đó là 9,17%. Cuối cùng, năm 1998 Home Depot đạt tỷ suất sinh lời trên vốn (return on capital) là 16,37%, và chúng ta sẽ giả định rằng đây cũng chính là tỷ suất sinh lời kỳ vọng cho các dự án mới.</w:t>
      </w:r>
    </w:p>
    <w:p>
      <w:pPr>
        <w:pStyle w:val="Para 40"/>
        <w:keepLines w:val="on"/>
      </w:pPr>
      <w:r>
        <w:rPr>
          <w:rStyle w:val="Text26"/>
        </w:rPr>
        <w:bookmarkStart w:id="6134" w:name="Page_952"/>
        <w:t/>
        <w:bookmarkEnd w:id="6134"/>
      </w:r>
      <w:r>
        <w:t xml:space="preserve"> </w:t>
      </w:r>
    </w:p>
    <w:p>
      <w:bookmarkStart w:id="6135" w:name="S_Expected_reinvestment_needs_as"/>
      <w:pPr>
        <w:keepNext/>
        <w:pStyle w:val="Para 07"/>
        <w:keepLines w:val="on"/>
      </w:pPr>
      <w:r>
        <w:t>S=Nhu cầu tái đầu tư kỳ vọng tính theo phần trăm giá trị doanh nghiệp=7,71%K=Nhu cầu tái đầu tư có thể được tài trợ mà không cần sự linh hoạt=5,82%t=1 nămσ2=Phương sai củaln⁡(Chi tiêu vốn ròng)=(.2237)2=.05</w:t>
      </w:r>
      <w:bookmarkEnd w:id="6135"/>
    </w:p>
    <w:p>
      <w:pPr>
        <w:pStyle w:val="Para 04"/>
        <w:keepLines w:val="on"/>
      </w:pPr>
      <w:r>
        <w:t>Với lãi suất phi rủi ro là 6%, giá trị quyền chọn mà chúng ta ước tính được từ các dữ liệu đầu vào này là 0,02277. Sau đó, chúng ta chuyển giá trị quyền chọn này thành một thước đo giá trị theo thời gian bằng cách nhân giá trị đó với tỷ suất sinh lời vượt trội hằng năm, rồi giả định rằng công ty sẽ từ bỏ tỷ suất sinh lời vượt trội này mãi mãi6:</w:t>
      </w:r>
    </w:p>
    <w:p>
      <w:bookmarkStart w:id="6137" w:name="Value_of_flexibility_02277xRetur"/>
      <w:pPr>
        <w:keepNext/>
        <w:pStyle w:val="Para 07"/>
        <w:keepLines w:val="on"/>
      </w:pPr>
      <w:r>
        <w:t>Giá trị của sự linh hoạt=02277×Tỷ suất sinh lời trên vốn-Chi phí vốnChi phí vốn=.02277×(.1637-.0951)/.0951=1,6425%</w:t>
      </w:r>
      <w:bookmarkEnd w:id="6137"/>
    </w:p>
    <w:p>
      <w:pPr>
        <w:pStyle w:val="Para 04"/>
        <w:keepLines w:val="on"/>
      </w:pPr>
      <w:r>
        <w:t>Tính theo năm, sự linh hoạt được tạo ra từ năng lực vay nợ dư thừa đáng giá bằng 1,6425% giá trị doanh nghiệp tại Home Depot, cao hơn hẳn so với khoản tiết kiệm (9,51% − 9,17% = 0,34%) trong chi phí vốn mà công ty sẽ đạt được nếu dùng hết năng lực vay nợ dư thừa đó.</w:t>
      </w:r>
    </w:p>
    <w:p>
      <w:pPr>
        <w:pStyle w:val="Para 04"/>
        <w:keepLines w:val="on"/>
      </w:pPr>
      <w:r>
        <w:t>Điểm cần lưu ý cuối cùng ở đây là ước tính này chưa xét đến việc Home Depot không có sự linh hoạt tài chính vô hạn. Thực tế, hãy giả định rằng năng lực vay nợ dư thừa của Home Depot (tức 15,45%, bằng chênh lệch giữa tỷ lệ nợ tối ưu và tỷ lệ nợ hiện tại) chính là giới hạn trên của sự linh hoạt tài chính. Chúng ta có thể định giá tác động của giới hạn này bằng cách định giá một quyền chọn mua (call) với cùng các tham số như quyền chọn mua đã mô tả ở trên, nhưng với giá thực hiện (strike price) là 21,27% (15,45% + 5,82%). Trong trường hợp này, tác động của việc áp đặt ràng buộc đó lên giá trị của sự linh hoạt là không đáng kể.</w:t>
      </w:r>
    </w:p>
    <w:p>
      <w:pPr>
        <w:pStyle w:val="Para 11"/>
      </w:pPr>
      <w:r>
        <w:t xml:space="preserve"> </w:t>
      </w:r>
    </w:p>
    <w:p>
      <w:bookmarkStart w:id="6138" w:name="finflex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69"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6138"/>
    </w:p>
    <w:p>
      <w:pPr>
        <w:pStyle w:val="Para 31"/>
        <w:keepLines w:val="on"/>
      </w:pPr>
      <w:r>
        <w:t>finflex.xls: Bảng tính này cho phép bạn ước tính giá trị của sự linh hoạt tài chính như một quyền chọn.</w:t>
      </w:r>
    </w:p>
    <w:p>
      <w:bookmarkStart w:id="6139" w:name="Implications_of_Financial_Flexib"/>
      <w:bookmarkStart w:id="6140" w:name="Implications_of_Financial_Flexib_1"/>
      <w:pPr>
        <w:keepNext/>
        <w:pStyle w:val="Heading 3"/>
        <w:keepLines w:val="on"/>
      </w:pPr>
      <w:r>
        <w:t>Hàm ý của quyền chọn linh hoạt tài chính</w:t>
      </w:r>
      <w:bookmarkEnd w:id="6139"/>
      <w:bookmarkEnd w:id="6140"/>
    </w:p>
    <w:p>
      <w:pPr>
        <w:pStyle w:val="Para 03"/>
      </w:pPr>
      <w:r>
        <w:t>Nhìn sự linh hoạt tài chính như một quyền chọn mang lại những hiểu biết quý giá về thời điểm mà sự linh hoạt tài chính có giá trị nhất. Chẳng hạn, dùng cách tiếp cận đã trình bày ở trên, chúng ta có thể lập luận rằng:</w:t>
      </w:r>
    </w:p>
    <w:p>
      <w:pPr>
        <w:numPr>
          <w:ilvl w:val="0"/>
          <w:numId w:val="353"/>
        </w:numPr>
        <w:pStyle w:val="Para 01"/>
      </w:pPr>
      <w:r>
        <w:t>Các yếu tố khác không đổi, những công ty hoạt động trong lĩnh vực mà các dự án mang lại lợi nhuận cao hơn hẳn tỷ suất sinh lời tối thiểu (hurdle rate) nên coi trọng tính linh hoạt hơn so với những công ty hoạt động trong ngành ổn định, nơi lợi nhuận vượt trội chỉ ở mức nhỏ. Điều này hàm ý rằng những công ty như Microsoft và Nvidia, vốn thu được lợi nhuận vượt trội lớn từ các dự án của mình, có thể dùng nhu cầu linh hoạt tài chính làm lý do để nắm giữ lượng tiền mặt lớn và duy trì dư thừa khả năng vay nợ.</w:t>
      </w:r>
    </w:p>
    <w:p>
      <w:pPr>
        <w:numPr>
          <w:ilvl w:val="0"/>
          <w:numId w:val="353"/>
        </w:numPr>
        <w:pStyle w:val="Para 01"/>
      </w:pPr>
      <w:r>
        <w:t>Vì khả năng của một công ty trong việc tài trợ cho các nhu cầu tái đầu tư này được quyết định bởi năng lực tạo ra nguồn vốn nội bộ, nên các yếu tố khác không đổi, tính linh hoạt tài chính sẽ ít có giá trị hơn đối với những công ty có lợi nhuận lớn và ổn định tính theo phần trăm giá trị công ty. Những công ty có lợi nhuận nhỏ hoặc âm, và do đó có năng lực tạo nguồn vốn nội bộ thấp hơn nhiều, sẽ coi trọng tính linh hoạt hơn.</w:t>
      </w:r>
    </w:p>
    <w:p>
      <w:pPr>
        <w:numPr>
          <w:ilvl w:val="0"/>
          <w:numId w:val="353"/>
        </w:numPr>
        <w:pStyle w:val="Para 01"/>
      </w:pPr>
      <w:r>
        <w:t>Những công ty có nguồn vốn nội bộ hạn chế vẫn có thể xoay xở với ít hoặc không có tính linh hoạt tài chính nếu họ có thể tiếp cận các thị trường vốn bên ngoài—nợ ngân hàng, trái phiếu và phát hành cổ phần mới. Các yếu tố khác không đổi, khả năng (và sự sẵn lòng) huy động vốn từ thị trường vốn bên ngoài của một công ty càng lớn thì giá trị của tính linh hoạt càng nhỏ. Điều này có thể giải thích tại sao các công ty tư nhân hoặc công ty nhỏ, vốn ít tiếp cận được nguồn vốn hơn nhiều, sẽ coi trọng tính linh hoạt tài chính hơn so với các công ty lớn niêm yết công khai. Sự tồn tại của thị trường trái phiếu doanh nghiệp cũng có thể tạo ra khác biệt về mức độ coi trọng tính linh hoạt. Ở những thị trường mà các công ty không thể phát hành trái phiếu và phải phụ thuộc hoàn toàn vào ngân hàng để tài trợ, khả năng tiếp cận vốn thấp hơn và nhu cầu duy trì tính linh hoạt tài chính cao hơn. Trong ví dụ Home Depot, việc sẵn lòng tiếp cận nguồn vốn bên ngoài—nợ hoặc cổ phần—sẽ làm giảm đáng kể giá trị của tính linh hoạt.</w:t>
      </w:r>
    </w:p>
    <w:p>
      <w:pPr>
        <w:numPr>
          <w:ilvl w:val="0"/>
          <w:numId w:val="353"/>
        </w:numPr>
        <w:pStyle w:val="Para 01"/>
      </w:pPr>
      <w:r>
        <w:t>Nhu cầu và giá trị của tính linh hoạt là một hàm số của mức độ bất định mà một công ty đối mặt về các nhu cầu tái đầu tư trong tương lai. Những công ty có nhu cầu tái đầu tư có thể dự đoán được nên coi trọng tính linh hoạt ít hơn so với những công ty hoạt động trong ngành có nhu cầu tái đầu tư biến động theo từng thời kỳ.</w:t>
      </w:r>
    </w:p>
    <w:p>
      <w:pPr>
        <w:pStyle w:val="Para 03"/>
      </w:pPr>
      <w:r>
        <w:t>Trong phân tích của chúng ta về Home Depot, chúng ta đã xem xét tỷ lệ nợ gộp (gross debt ratio) của công ty, vốn không thể nhỏ hơn 0%. Nếu chúng ta xem xét tỷ lệ nợ ròng (net debt ratio) của một công ty (nợ gộp trừ tiền mặt), ta thấy hoàn toàn có thể để một công ty có tỷ lệ nợ ròng âm. Mở rộng lập luận về tính linh hoạt tài chính, bạn có thể lập luận rằng trong những hoàn cảnh cực đoan—dòng tiền nội bộ thấp hoặc âm và không có khả năng tiếp cận thị trường vốn—các công ty không chỉ không sử dụng khả năng vay nợ của mình (do đó đẩy tỷ lệ nợ gộp về 0) mà còn tích lũy tiền mặt. Điều này có thể giải thích tại sao nhiều công ty ở thị trường mới nổi và các công ty công nghệ non trẻ không sử dụng nợ và tích lũy số dư tiền mặt lớn.</w:t>
      </w:r>
    </w:p>
    <w:p>
      <w:bookmarkStart w:id="6142" w:name="The_Option_to_Abandon"/>
      <w:bookmarkStart w:id="6143" w:name="The_Option_to_Abandon__When_inve"/>
      <w:pPr>
        <w:keepNext/>
        <w:pStyle w:val="Heading 2"/>
        <w:keepLines w:val="on"/>
      </w:pPr>
      <w:r>
        <w:t>Quyền chọn từ bỏ dự án (Option to Abandon)</w:t>
      </w:r>
      <w:bookmarkEnd w:id="6142"/>
      <w:bookmarkEnd w:id="6143"/>
    </w:p>
    <w:p>
      <w:pPr>
        <w:pStyle w:val="Para 03"/>
      </w:pPr>
      <w:r>
        <w:t>Khi đầu tư vào các dự án mới, các công ty lo lắng về rủi ro rằng khoản đầu tư sẽ không sinh lời và dòng tiền thực tế sẽ không đạt được như kỳ vọng. Việc có quyền chọn từ bỏ một dự án không sinh lời có thể rất có giá trị, đặc biệt là với những dự án có tiềm năng thua lỗ đáng kể. Phần này xem xét giá trị của quyền chọn từ bỏ dự án và các yếu tố quyết định nó.</w:t>
      </w:r>
    </w:p>
    <w:p>
      <w:bookmarkStart w:id="6144" w:name="Payoff_on_the_Option_to_Abandon_1"/>
      <w:bookmarkStart w:id="6145" w:name="Payoff_on_the_Option_to_Abandon"/>
      <w:pPr>
        <w:keepNext/>
        <w:pStyle w:val="Heading 3"/>
        <w:keepLines w:val="on"/>
      </w:pPr>
      <w:r>
        <w:t>Lợi ích của quyền chọn từ bỏ dự án (Payoff on the Option to Abandon)</w:t>
      </w:r>
      <w:bookmarkEnd w:id="6144"/>
      <w:bookmarkEnd w:id="6145"/>
    </w:p>
    <w:p>
      <w:pPr>
        <w:pStyle w:val="Para 03"/>
      </w:pPr>
      <w:r>
        <w:t>Phương pháp định giá quyền chọn cung cấp một cách tổng quát để ước tính và đưa vào giá trị của việc từ bỏ dự án. Để minh họa, giả sử V là giá trị còn lại của một dự án nếu nó tiếp tục đến cuối vòng đời, và L là giá trị thanh lý hoặc giá trị từ bỏ của cùng dự án đó tại cùng thời điểm. Nếu dự án còn vòng đời n năm, giá trị của việc tiếp tục dự án có thể được so sánh với giá trị thanh lý (từ bỏ). Nếu giá trị từ việc tiếp tục cao hơn, nên tiếp tục dự án; nếu giá trị từ bỏ cao hơn, người nắm giữ quyền chọn từ bỏ có thể cân nhắc từ bỏ dự án. Lợi ích có thể được viết như sau:</w:t>
      </w:r>
    </w:p>
    <w:p>
      <w:bookmarkStart w:id="6146" w:name="Payoff_from_owning_abandonment_o"/>
      <w:pPr>
        <w:keepNext/>
        <w:pStyle w:val="Para 09"/>
        <w:keepLines w:val="on"/>
      </w:pPr>
      <w:r>
        <w:t>Lợi ích từ việc sở hữu quyền chọn từ bỏ dự án=0        nếu V≥L=L−V nếu V&lt;L</w:t>
      </w:r>
      <w:bookmarkEnd w:id="6146"/>
    </w:p>
    <w:p>
      <w:pPr>
        <w:pStyle w:val="Para 03"/>
      </w:pPr>
      <w:r>
        <w:t>Những lợi ích này được vẽ đồ thị trong Hình 29.4, như một hàm số của giá cổ phiếu kỳ vọng. Không giống như hai trường hợp trước, quyền chọn từ bỏ dự án mang đặc điểm của một quyền chọn bán (put option).</w:t>
      </w:r>
    </w:p>
    <w:p>
      <w:bookmarkStart w:id="6149" w:name="Figure_29_4_The_Option_to_Abando"/>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524000" cy="622300"/>
            <wp:effectExtent l="0" r="0" t="0" b="0"/>
            <wp:wrapTopAndBottom/>
            <wp:docPr id="270" name="c29f004.png" descr="Diagram depicts P V of cash flows from project obtained after the option to abandon the project is initiated."/>
            <wp:cNvGraphicFramePr>
              <a:graphicFrameLocks noChangeAspect="1"/>
            </wp:cNvGraphicFramePr>
            <a:graphic>
              <a:graphicData uri="http://schemas.openxmlformats.org/drawingml/2006/picture">
                <pic:pic>
                  <pic:nvPicPr>
                    <pic:cNvPr id="0" name="c29f004.png" descr="Diagram depicts P V of cash flows from project obtained after the option to abandon the project is initiated."/>
                    <pic:cNvPicPr/>
                  </pic:nvPicPr>
                  <pic:blipFill>
                    <a:blip r:embed="rId195"/>
                    <a:stretch>
                      <a:fillRect/>
                    </a:stretch>
                  </pic:blipFill>
                  <pic:spPr>
                    <a:xfrm>
                      <a:off x="0" y="0"/>
                      <a:ext cx="1524000" cy="622300"/>
                    </a:xfrm>
                    <a:prstGeom prst="rect">
                      <a:avLst/>
                    </a:prstGeom>
                  </pic:spPr>
                </pic:pic>
              </a:graphicData>
            </a:graphic>
          </wp:anchor>
        </w:drawing>
      </w:r>
      <w:bookmarkEnd w:id="6149"/>
    </w:p>
    <w:p>
      <w:pPr>
        <w:keepNext/>
        <w:pStyle w:val="Para 22"/>
        <w:keepLines w:val="on"/>
      </w:pPr>
      <w:r>
        <w:t>Hình 29.4 Quyền chọn từ bỏ một dự án</w:t>
      </w:r>
    </w:p>
    <w:p>
      <w:pPr>
        <w:pStyle w:val="Para 11"/>
      </w:pPr>
      <w:r>
        <w:t xml:space="preserve"> </w:t>
      </w:r>
    </w:p>
    <w:p>
      <w:bookmarkStart w:id="6150" w:name="ILLUSTRATION_29_4___Valuing_an_O"/>
      <w:bookmarkStart w:id="6151" w:name="ILLUSTRATION_29_4___Valuing_an_O_1"/>
      <w:pPr>
        <w:keepNext/>
        <w:pStyle w:val="Para 19"/>
        <w:keepLines w:val="on"/>
      </w:pPr>
      <w:r>
        <w:t>MINH HỌA 29.4: Định giá quyền chọn từ bỏ dự án: Airbus và Lear Aircraft</w:t>
      </w:r>
      <w:bookmarkEnd w:id="6150"/>
      <w:bookmarkEnd w:id="6151"/>
    </w:p>
    <w:p>
      <w:pPr>
        <w:pStyle w:val="Para 04"/>
        <w:keepLines w:val="on"/>
      </w:pPr>
      <w:r>
        <w:t>Giả sử Lear Aircraft quan tâm đến việc chế tạo một máy bay chở khách cỡ nhỏ và tiếp cận Airbus với đề xuất thành lập liên doanh. Mỗi công ty sẽ đầu tư 500 triệu đô la vào liên doanh và sản xuất máy bay. Khoản đầu tư được kỳ vọng có vòng đời 30 năm. Airbus thực hiện phân tích đầu tư truyền thống và kết luận rằng phần của mình trong giá trị hiện tại của dòng tiền kỳ vọng chỉ là 480 triệu đô la. Do đó, giá trị hiện tại ròng của dự án sẽ âm, và Airbus sẽ không muốn tham gia liên doanh này.</w:t>
      </w:r>
    </w:p>
    <w:p>
      <w:pPr>
        <w:pStyle w:val="Para 04"/>
        <w:keepLines w:val="on"/>
      </w:pPr>
      <w:r>
        <w:t>Khi bị từ chối liên doanh, Lear tiếp cận Airbus với một đề nghị hấp dẫn hơn, đề nghị mua lại 50% phần góp của Airbus trong liên doanh bất cứ lúc nào trong vòng năm năm tới với giá 400 triệu đô la. Số tiền này ít hơn khoản Airbus sẽ đầu tư ban đầu, nhưng nó đặt một mức sàn cho khoản lỗ của Airbus, và do đó trao cho Airbus một quyền chọn từ bỏ dự án. Để định giá quyền chọn này cho Airbus, lưu ý rằng các thông số đầu vào như sau:</w:t>
      </w:r>
    </w:p>
    <w:p>
      <w:bookmarkStart w:id="6153" w:name="S_Present_value_of_the_share_of"/>
      <w:pPr>
        <w:keepNext/>
        <w:pStyle w:val="Para 07"/>
        <w:keepLines w:val="on"/>
      </w:pPr>
      <w:r>
        <w:t>S=Giá trị hiện tại của phần dòng tiền từ khoản đầu tư hôm nay=480 triệu đô laK=Giá trị từ bỏ=400 triệu đô lat=Thời gian quyền chọn từ bỏ còn hiệu lực=5 năm</w:t>
      </w:r>
      <w:bookmarkEnd w:id="6153"/>
    </w:p>
    <w:p>
      <w:pPr>
        <w:pStyle w:val="Para 04"/>
        <w:keepLines w:val="on"/>
      </w:pPr>
      <w:r>
        <w:t>Để ước tính phương sai, giả sử Airbus sử dụng mô phỏng Monte Carlo trong phân tích dự án và ước tính độ lệch chuẩn của giá trị dự án là 25%. Cuối cùng, lưu ý rằng vì dự án có vòng đời hữu hạn, giá trị hiện tại sẽ giảm dần theo thời gian, vì sẽ còn ít năm dòng tiền hơn. Để đơn giản, chúng ta sẽ giả định rằng điều này tỷ lệ thuận với thời gian còn lại của dự án:</w:t>
      </w:r>
    </w:p>
    <w:p>
      <w:bookmarkStart w:id="6154" w:name="Cost_of_delay__y__1_Remaining_li"/>
      <w:pPr>
        <w:keepNext/>
        <w:pStyle w:val="Para 07"/>
        <w:keepLines w:val="on"/>
      </w:pPr>
      <w:r>
        <w:t>Chi phí trì hoãn (y)=1/Vòng đời còn lại của dự án=1/30=3,33%</w:t>
      </w:r>
      <w:bookmarkEnd w:id="6154"/>
    </w:p>
    <w:p>
      <w:pPr>
        <w:pStyle w:val="Para 04"/>
        <w:keepLines w:val="on"/>
      </w:pPr>
      <w:r>
        <w:t>Đưa các giá trị này vào mô hình Black-Scholes và sử dụng lãi suất phi rủi ro 5%, chúng ta định giá quyền chọn bán như sau:</w:t>
      </w:r>
    </w:p>
    <w:p>
      <w:bookmarkStart w:id="6155" w:name="Value_of_abandonment_option_400e"/>
      <w:pPr>
        <w:keepNext/>
        <w:pStyle w:val="Para 07"/>
        <w:keepLines w:val="on"/>
      </w:pPr>
      <w:r>
        <w:t>Giá trị quyền chọn từ bỏ dự án=400exp(–0,05)(5)(1-0,5776)-480 exp (-0,033)(5)(1-0,7748)=40,09 triệu đô la</w:t>
      </w:r>
      <w:bookmarkEnd w:id="6155"/>
    </w:p>
    <w:p>
      <w:pPr>
        <w:pStyle w:val="Para 04"/>
        <w:keepLines w:val="on"/>
      </w:pPr>
      <w:r>
        <w:t>Vì giá trị này lớn hơn giá trị hiện tại ròng âm của khoản đầu tư, Airbus nên tham gia liên doanh này. Mặt khác, Lear cần có khả năng tạo ra giá trị hiện tại ròng dương ít nhất 40,09 triệu đô la để bù đắp cho việc từ bỏ quyền chọn này.7</w:t>
      </w:r>
    </w:p>
    <w:p>
      <w:pPr>
        <w:pStyle w:val="Para 11"/>
      </w:pPr>
      <w:r>
        <w:t xml:space="preserve"> </w:t>
      </w:r>
    </w:p>
    <w:p>
      <w:bookmarkStart w:id="6158" w:name="abandon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71"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6158"/>
    </w:p>
    <w:p>
      <w:pPr>
        <w:pStyle w:val="Para 31"/>
        <w:keepLines w:val="on"/>
      </w:pPr>
      <w:r>
        <w:t>abandon.xls: Bảng tính này cho phép bạn ước tính giá trị của quyền chọn từ bỏ một khoản đầu tư.</w:t>
      </w:r>
    </w:p>
    <w:p>
      <w:bookmarkStart w:id="6159" w:name="Problems_in_Valuing_the_Option_t_5"/>
      <w:bookmarkStart w:id="6160" w:name="Problems_in_Valuing_the_Option_t_4"/>
      <w:pPr>
        <w:keepNext/>
        <w:pStyle w:val="Heading 3"/>
        <w:keepLines w:val="on"/>
      </w:pPr>
      <w:r>
        <w:t>Những vấn đề trong việc định giá quyền chọn từ bỏ dự án</w:t>
      </w:r>
      <w:bookmarkEnd w:id="6159"/>
      <w:bookmarkEnd w:id="6160"/>
    </w:p>
    <w:p>
      <w:pPr>
        <w:pStyle w:val="Para 03"/>
      </w:pPr>
      <w:r>
        <w:t>Minh họa 29.4 đã giả định, khá phi thực tế, rằng giá trị từ bỏ được xác định rõ ràng và không thay đổi trong suốt vòng đời dự án. Điều này có thể đúng trong một số trường hợp rất cụ thể, khi quyền chọn từ bỏ được ghi trong hợp đồng. Tuy nhiên, thường thì công ty có quyền chọn từ bỏ, và giá trị thu hồi từ việc từ bỏ chỉ có thể được ước tính. Hơn nữa, giá trị từ bỏ có thể thay đổi trong suốt vòng đời dự án, khiến việc áp dụng các kỹ thuật định giá quyền chọn truyền thống trở nên khó khăn. Cuối cùng, hoàn toàn có thể rằng việc từ bỏ một dự án không mang lại giá trị thanh lý mà thay vào đó lại tạo ra chi phí; ví dụ, một công ty sản xuất có thể phải trả trợ cấp thôi việc cho công nhân. Trong những trường hợp như vậy, sẽ không hợp lý nếu từ bỏ dự án trừ khi dòng tiền của dự án còn âm hơn nữa.</w:t>
      </w:r>
    </w:p>
    <w:p>
      <w:bookmarkStart w:id="6161" w:name="Extensions_and_Implications_of_A"/>
      <w:bookmarkStart w:id="6162" w:name="Extensions_and_Implications_of_A_1"/>
      <w:pPr>
        <w:keepNext/>
        <w:pStyle w:val="Heading 3"/>
        <w:keepLines w:val="on"/>
      </w:pPr>
      <w:r>
        <w:t>Mở rộng và hàm ý của quyền chọn từ bỏ dự án</w:t>
      </w:r>
      <w:bookmarkEnd w:id="6161"/>
      <w:bookmarkEnd w:id="6162"/>
    </w:p>
    <w:p>
      <w:pPr>
        <w:pStyle w:val="Para 03"/>
      </w:pPr>
      <w:r>
        <w:t>Việc quyền từ bỏ (option to abandon) có giá trị đã đưa ra một lý do để các doanh nghiệp xây dựng sự linh hoạt trong vận hành nhằm thu hẹp hoặc chấm dứt dự án nếu chúng không đạt kỳ vọng. Điều này cũng cho thấy rằng các doanh nghiệp cố gắng tạo thêm doanh thu bằng cách cho khách hàng quyền rút lui khỏi các cam kết sẽ phải cân nhắc giữa doanh thu cao hơn và chi phí của những quyền đã được trao cho khách hàng này.</w:t>
      </w:r>
    </w:p>
    <w:p>
      <w:bookmarkStart w:id="6163" w:name="Escape_Clauses_in_Contracts"/>
      <w:bookmarkStart w:id="6164" w:name="Escape_Clauses_in_Contracts__The"/>
      <w:pPr>
        <w:keepNext/>
        <w:pStyle w:val="Heading 4"/>
        <w:keepLines w:val="on"/>
      </w:pPr>
      <w:r>
        <w:t>Điều khoản Thoát hiểm trong Hợp đồng</w:t>
      </w:r>
      <w:bookmarkEnd w:id="6163"/>
      <w:bookmarkEnd w:id="6164"/>
    </w:p>
    <w:p>
      <w:pPr>
        <w:pStyle w:val="Para 03"/>
      </w:pPr>
      <w:r>
        <w:t>Cách đầu tiên và trực tiếp nhất để tạo ra một quyền từ bỏ là xây dựng sự linh hoạt trong vận hành thông qua hợp đồng với các bên khác có liên quan đến dự án. Chẳng hạn, hợp đồng với nhà cung cấp có thể được viết theo cơ sở hàng năm thay vì dài hạn, và nhân viên có thể được thuê theo thời vụ thay vì lâu dài. Nhà máy vật chất dùng cho dự án có thể được thuê ngắn hạn thay vì mua, và khoản đầu tư tài chính có thể được thực hiện theo từng giai đoạn thay vì một khoản tiền lớn ban đầu. Mặc dù việc xây dựng sự linh hoạt này có tốn kém, nhưng lợi ích thu được có thể lớn hơn nhiều, đặc biệt trong những ngành kinh doanh biến động mạnh.</w:t>
      </w:r>
    </w:p>
    <w:p>
      <w:bookmarkStart w:id="6165" w:name="Customer_Incentives"/>
      <w:bookmarkStart w:id="6166" w:name="Customer_Incentives__On_the_othe"/>
      <w:pPr>
        <w:keepNext/>
        <w:pStyle w:val="Heading 4"/>
        <w:keepLines w:val="on"/>
      </w:pPr>
      <w:r>
        <w:t>Ưu đãi dành cho Khách hàng</w:t>
      </w:r>
      <w:bookmarkEnd w:id="6165"/>
      <w:bookmarkEnd w:id="6166"/>
    </w:p>
    <w:p>
      <w:pPr>
        <w:pStyle w:val="Para 03"/>
      </w:pPr>
      <w:r>
        <w:t>Ở phía bên kia của giao dịch, việc trao quyền từ bỏ cho khách hàng và đối tác trong liên doanh có thể tác động tiêu cực đến giá trị. Ví dụ, giả sử một doanh nghiệp bán sản phẩm theo hợp đồng nhiều năm có trao cho khách hàng quyền hủy hợp đồng bất cứ lúc nào. Mặc dù điều này có thể làm tăng doanh số, nhưng nhiều khả năng sẽ kèm theo một chi phí đáng kể. Trong trường hợp suy thoái kinh tế, những khách hàng không thể thực hiện nghĩa vụ của mình có khả năng sẽ hủy hợp đồng. Bất kỳ lợi ích nào thu được từ việc bán hàng ban đầu (có được nhờ đưa ra ưu đãi cho phép người mua hủy hợp đồng) đều có thể bị bù trừ bởi chi phí của quyền đã cấp cho khách hàng.</w:t>
      </w:r>
    </w:p>
    <w:p>
      <w:bookmarkStart w:id="6168" w:name="Reconciling_Net_Present_Value_an"/>
      <w:bookmarkStart w:id="6169" w:name="Reconciling_Net_Present_Value_an_1"/>
      <w:pPr>
        <w:keepNext/>
        <w:pStyle w:val="Heading 2"/>
        <w:keepLines w:val="on"/>
      </w:pPr>
      <w:r>
        <w:t>Dung hòa giữa Định giá Giá trị Hiện tại Ròng và Định giá Quyền chọn Thực</w:t>
      </w:r>
      <w:bookmarkEnd w:id="6168"/>
      <w:bookmarkEnd w:id="6169"/>
    </w:p>
    <w:p>
      <w:pPr>
        <w:pStyle w:val="Para 03"/>
      </w:pPr>
      <w:r>
        <w:t>Tại sao đôi khi một khoản đầu tư lại có giá trị cao hơn khi bạn định giá bằng phương pháp quyền chọn thực (real option) so với các mô hình dòng tiền chiết khấu truyền thống? Câu trả lời nằm ở sự linh hoạt mà doanh nghiệp có được để thay đổi cách họ đầu tư và vận hành một dự án, dựa trên những gì họ quan sát được trên thị trường. Chẳng hạn, một công ty dầu khí sẽ không sản xuất cùng một lượng dầu, hay khoan số giếng mới như nhau, nếu giá dầu giảm xuống 15 đô la một thùng so với khi giá dầu tăng lên 95 đô la một thùng.</w:t>
      </w:r>
    </w:p>
    <w:p>
      <w:pPr>
        <w:pStyle w:val="Para 03"/>
      </w:pPr>
      <w:r>
        <w:t>Trong giá trị hiện tại ròng truyền thống, chúng ta xem xét các hành động dự kiến và hệ quả dòng tiền của những hành động đó để ước tính giá trị của một khoản đầu tư. Nếu có khả năng đầu tư thêm, mở rộng, hoặc từ bỏ trong tương lai, tất cả những gì bạn có thể làm là xem xét xác suất của những hành động đó và đưa chúng vào dòng tiền của mình. Các nhà phân tích thường tính đến sự linh hoạt bằng cách sử dụng cây quyết định (decision tree) và vạch ra con đường tối ưu ứng với mỗi kết quả. Sau đó bạn có thể ước tính giá trị của dự án ngày hôm nay, bằng cách dùng xác suất của từng nhánh và ước tính giá trị hiện tại của dòng tiền từ mỗi nhánh.</w:t>
      </w:r>
    </w:p>
    <w:p>
      <w:pPr>
        <w:pStyle w:val="Para 03"/>
      </w:pPr>
      <w:r>
        <w:t>Cây quyết định này thực sự có nét tương đồng đáng kể với phương pháp cây nhị phân (binomial tree) mà chúng ta dùng để định giá quyền chọn thực, nhưng có hai điểm khác biệt. Thứ nhất là xác suất của các kết quả không được dùng trực tiếp để định giá quyền chọn thực, và thứ hai là bạn chỉ có hai nhánh tại mỗi nút trong cây nhị phân. Dù vậy, bạn có thể thắc mắc tại sao hai phương pháp này lại cho ra giá trị khác nhau cho dự án. Câu trả lời đơn giản đến bất ngờ. Nó nằm ở giả định về tỷ lệ chiết khấu mà chúng ta đưa ra để tính giá trị. Trong phương pháp quyền chọn thực, bạn dùng một danh mục tái tạo (replicating portfolio) để tính giá trị. Trong cây quyết định, bạn dùng chi phí vốn của dự án làm tỷ lệ chiết khấu xuyên suốt toàn bộ quá trình. Nếu mức độ phơi nhiễm với rủi ro thị trường — yếu tố quyết định chi phí vốn — thay đổi tại mỗi nút, bạn có thể lập luận rằng việc dùng cùng một chi phí vốn xuyên suốt là không chính xác, và rằng bạn nên điều chỉnh tỷ lệ chiết khấu khi tiến dần theo thời gian. Nếu bạn làm vậy, bạn sẽ thu được cùng một giá trị với cả hai phương pháp. Phương pháp quyền chọn thực cho phép độ phức tạp cao hơn nhiều và dễ áp dụng hơn với các phân phối liên tục (khác với các kết quả rời rạc mà chúng ta giả định trong cây quyết định). Chúng ta sẽ trở lại xem xét cây quyết định và các phương pháp xác suất khác trong Chương 33.</w:t>
      </w:r>
    </w:p>
    <w:p>
      <w:bookmarkStart w:id="6170" w:name="Conclusion_28"/>
      <w:bookmarkStart w:id="6171" w:name="Conclusion__This_chapter_conside"/>
      <w:pPr>
        <w:keepNext/>
        <w:pStyle w:val="Heading 2"/>
        <w:keepLines w:val="on"/>
      </w:pPr>
      <w:r>
        <w:t>Kết luận</w:t>
      </w:r>
      <w:bookmarkEnd w:id="6170"/>
      <w:bookmarkEnd w:id="6171"/>
    </w:p>
    <w:p>
      <w:pPr>
        <w:pStyle w:val="Para 03"/>
      </w:pPr>
      <w:r>
        <w:t>Chương này đã xem xét hai quyền chọn được nhúng trong nhiều khoản đầu tư — quyền mở rộng một khoản đầu tư, và quyền từ bỏ nó. Khi một doanh nghiệp có quyền mở rộng một khoản đầu tư, giá trị của quyền mở rộng này đôi khi có thể cho phép nó lấn át thực tế rằng khoản đầu tư ban đầu có giá trị hiện tại ròng âm. Mở rộng khái niệm này sang định giá doanh nghiệp, đôi khi bạn có thể cộng thêm một khoản phụ trội vào giá trị thu được từ định giá dòng tiền chiết khấu đối với một doanh nghiệp có tiềm năng thâm nhập thị trường mới hoặc tạo ra sản phẩm mới. Quyền mở rộng này có giá trị tối đa khi doanh nghiệp có quyền độc quyền thực hiện những khoản đầu tư này, và giá trị sẽ giảm đi khi lợi thế cạnh tranh mà doanh nghiệp được hưởng suy yếu.</w:t>
      </w:r>
    </w:p>
    <w:p>
      <w:pPr>
        <w:pStyle w:val="Para 03"/>
      </w:pPr>
      <w:r>
        <w:t>Quyền từ bỏ đề cập đến quyền mà các doanh nghiệp thường có để rút lui khỏi những khoản đầu tư tồi. Trong chừng mực điều này làm giảm mức độ phơi nhiễm của doanh nghiệp với những kết quả tồi tệ nhất, nó có thể tạo nên sự khác biệt giữa việc đầu tư vào một dự án mới và không đầu tư.</w:t>
      </w:r>
    </w:p>
    <w:p>
      <w:bookmarkStart w:id="6173" w:name="QUESTIONS_AND_SHORT_PROBLEMS__In_1"/>
      <w:bookmarkStart w:id="6174" w:name="QUESTIONS_AND_SHORT_PROBLEMS_1"/>
      <w:pPr>
        <w:keepNext/>
        <w:pStyle w:val="Heading 2"/>
        <w:keepLines w:val="on"/>
      </w:pPr>
      <w:r>
        <w:t>CÂU HỎI VÀ BÀI TẬP NGẮN</w:t>
      </w:r>
      <w:bookmarkEnd w:id="6173"/>
      <w:bookmarkEnd w:id="6174"/>
    </w:p>
    <w:p>
      <w:pPr>
        <w:pStyle w:val="Para 44"/>
      </w:pPr>
      <w:r>
        <w:t>Trong các bài tập sau đây, hãy sử dụng mức bù rủi ro vốn cổ phần (equity risk premium) là 5,5 phần trăm nếu không có quy định nào khác.</w:t>
      </w:r>
    </w:p>
    <w:p>
      <w:pPr>
        <w:numPr>
          <w:ilvl w:val="0"/>
          <w:numId w:val="354"/>
        </w:numPr>
        <w:pStyle w:val="Para 01"/>
      </w:pPr>
      <w:r>
        <w:t>NBC có quyền phát sóng Thế vận hội Mùa đông trong hai năm nữa, và đang cố gắng ước tính giá trị của những quyền này để có thể bán cho một mạng truyền hình khác. NBC kỳ vọng chi phí phát sóng Thế vận hội là 40 triệu đô la (theo giá trị hiện tại), và dựa trên các đánh giá hiện tại, kỳ vọng đạt chỉ số Nielsen là 15 cho các trận đấu. Mỗi điểm chỉ số được kỳ vọng mang lại doanh thu ròng 2 triệu đô la cho NBC (theo giá trị hiện tại). Có sự biến động đáng kể trong ước tính này, và độ lệch chuẩn của doanh thu ròng kỳ vọng là 30%. Lãi suất phi rủi ro là 5%.</w:t>
      </w:r>
    </w:p>
    <w:p>
      <w:pPr>
        <w:numPr>
          <w:ilvl w:val="1"/>
          <w:numId w:val="354"/>
        </w:numPr>
        <w:pStyle w:val="Para 01"/>
      </w:pPr>
      <w:r>
        <w:t>Giá trị hiện tại ròng của những quyền này là bao nhiêu, dựa trên các đánh giá hiện tại?</w:t>
      </w:r>
    </w:p>
    <w:p>
      <w:pPr>
        <w:numPr>
          <w:ilvl w:val="1"/>
          <w:numId w:val="354"/>
        </w:numPr>
        <w:pStyle w:val="Para 01"/>
      </w:pPr>
      <w:r>
        <w:t>Hãy ước tính giá trị của những quyền này để bán cho một mạng truyền hình khác.</w:t>
      </w:r>
    </w:p>
    <w:p>
      <w:pPr>
        <w:numPr>
          <w:ilvl w:val="0"/>
          <w:numId w:val="354"/>
        </w:numPr>
        <w:pStyle w:val="Para 01"/>
      </w:pPr>
      <w:r>
        <w:t>Bạn đang phân tích Skates Inc., một doanh nghiệp sản xuất ván trượt. Doanh nghiệp hiện không có nợ và có chi phí vốn cổ phần là 12%. Bạn ước tính rằng Skates sẽ có chi phí vốn là 11% tại tỷ lệ nợ tối ưu là 40%. Tuy nhiên, ban lãnh đạo khẳng định rằng họ sẽ không vay tiền vì giá trị của việc duy trì sự linh hoạt tài chính, và đã cung cấp cho bạn những thông tin sau:</w:t>
      </w:r>
    </w:p>
    <w:p>
      <w:pPr>
        <w:numPr>
          <w:ilvl w:val="1"/>
          <w:numId w:val="354"/>
        </w:numPr>
        <w:pStyle w:val="Para 01"/>
      </w:pPr>
      <w:r>
        <w:t>Trong 10 năm qua, khoản tái đầu tư (chi tiêu vốn ròng + đầu tư vốn lưu động) đã lên tới 10% giá trị doanh nghiệp, tính theo cơ sở hàng năm. Độ lệch chuẩn của khoản tái đầu tư này là 0,30.</w:t>
      </w:r>
    </w:p>
    <w:p>
      <w:pPr>
        <w:numPr>
          <w:ilvl w:val="1"/>
          <w:numId w:val="354"/>
        </w:numPr>
        <w:pStyle w:val="Para 01"/>
      </w:pPr>
      <w:r>
        <w:t>Doanh nghiệp theo truyền thống chỉ dùng nguồn vốn nội bộ (thu nhập ròng + khấu hao) để đáp ứng những nhu cầu này, và những khoản này lên tới 6% giá trị doanh nghiệp.</w:t>
      </w:r>
    </w:p>
    <w:p>
      <w:pPr>
        <w:numPr>
          <w:ilvl w:val="1"/>
          <w:numId w:val="354"/>
        </w:numPr>
        <w:pStyle w:val="Para 01"/>
      </w:pPr>
      <w:r>
        <w:t>Trong năm gần nhất, doanh nghiệp kiếm được 180 triệu đô la thu nhập ròng trên giá trị sổ sách của vốn cổ phần là 1 tỷ đô la, và kỳ vọng sẽ kiếm được những mức lợi nhuận vượt trội này trên các khoản đầu tư mới trong tương lai.</w:t>
      </w:r>
    </w:p>
    <w:p>
      <w:pPr>
        <w:numPr>
          <w:ilvl w:val="1"/>
          <w:numId w:val="354"/>
        </w:numPr>
        <w:pStyle w:val="Para 01"/>
      </w:pPr>
      <w:r>
        <w:t>Lãi suất phi rủi ro là 5%.</w:t>
      </w:r>
    </w:p>
    <w:p>
      <w:pPr>
        <w:numPr>
          <w:ilvl w:val="2"/>
          <w:numId w:val="354"/>
        </w:numPr>
        <w:pStyle w:val="Para 01"/>
      </w:pPr>
      <w:r>
        <w:t>Hãy ước tính giá trị của sự linh hoạt tài chính theo phần trăm giá trị doanh nghiệp trên cơ sở hàng năm.</w:t>
      </w:r>
    </w:p>
    <w:p>
      <w:pPr>
        <w:numPr>
          <w:ilvl w:val="2"/>
          <w:numId w:val="354"/>
        </w:numPr>
        <w:pStyle w:val="Para 01"/>
      </w:pPr>
      <w:r>
        <w:t>Dựa trên (a), bạn có khuyến nghị Skates sử dụng năng lực vay nợ dư thừa của mình không?</w:t>
      </w:r>
    </w:p>
    <w:p>
      <w:pPr>
        <w:numPr>
          <w:ilvl w:val="0"/>
          <w:numId w:val="354"/>
        </w:numPr>
        <w:pStyle w:val="Para 01"/>
      </w:pPr>
      <w:r>
        <w:t>Disney đang cân nhắc tham gia vào một liên doanh để xây dựng các căn hộ chung cư ở Vail, Colorado, với một nhà phát triển bất động sản địa phương. Dự án phát triển này được kỳ vọng có tổng chi phí 1 tỷ đô la và, dựa trên ước tính dòng tiền của Disney, tạo ra 900 triệu đô la dòng tiền theo giá trị hiện tại trong 25 năm. Disney sẽ có 40% cổ phần trong liên doanh (đòi hỏi họ phải góp 400 triệu đô la trong khoản đầu tư ban đầu và cho phép họ hưởng 40% dòng tiền), nhưng họ sẽ có quyền bán lại phần cổ phần của mình trong liên doanh cho nhà phát triển với giá 300 triệu đô la vào bất cứ lúc nào trong vòng năm năm tới. (Vòng đời dự án là 25 năm.)</w:t>
      </w:r>
    </w:p>
    <w:p>
      <w:pPr>
        <w:numPr>
          <w:ilvl w:val="1"/>
          <w:numId w:val="354"/>
        </w:numPr>
        <w:pStyle w:val="Para 01"/>
      </w:pPr>
      <w:r>
        <w:t>Nếu độ lệch chuẩn của giá trị bất động sản ở Vail là 30% và lãi suất phi rủi ro là 5%, hãy ước tính giá trị của quyền chọn từ bỏ (abandonment option) dành cho Disney.</w:t>
      </w:r>
    </w:p>
    <w:p>
      <w:pPr>
        <w:numPr>
          <w:ilvl w:val="1"/>
          <w:numId w:val="354"/>
        </w:numPr>
        <w:pStyle w:val="Para 01"/>
      </w:pPr>
      <w:r>
        <w:t>Bạn có khuyên Disney tham gia vào liên doanh này không?</w:t>
      </w:r>
    </w:p>
    <w:p>
      <w:pPr>
        <w:numPr>
          <w:ilvl w:val="1"/>
          <w:numId w:val="354"/>
        </w:numPr>
        <w:pStyle w:val="Para 01"/>
      </w:pPr>
      <w:r>
        <w:t>Nếu bạn tư vấn cho nhà phát triển, anh ta cần tạo ra bao nhiêu giá trị hiện tại của dòng tiền từ khoản đầu tư để biến đây thành một khoản đầu tư tốt?</w:t>
      </w:r>
    </w:p>
    <w:p>
      <w:pPr>
        <w:numPr>
          <w:ilvl w:val="0"/>
          <w:numId w:val="354"/>
        </w:numPr>
        <w:pStyle w:val="Para 01"/>
      </w:pPr>
      <w:r>
        <w:t>Quality Wireless đang cân nhắc đầu tư vào Trung Quốc. Dù biết rằng khoản đầu tư này sẽ tốn 1 tỷ đô la và chỉ tạo ra 800 triệu đô la dòng tiền (theo giá trị hiện tại), những người ủng hộ việc mở rộng vẫn lập luận rằng thị trường tiềm năng rất lớn và Quality nên tiến hành đầu tư.</w:t>
      </w:r>
    </w:p>
    <w:p>
      <w:pPr>
        <w:numPr>
          <w:ilvl w:val="1"/>
          <w:numId w:val="354"/>
        </w:numPr>
        <w:pStyle w:val="Para 01"/>
      </w:pPr>
      <w:r>
        <w:t>Trong những điều kiện nào thì tiềm năng mở rộng sẽ có giá trị quyền chọn (option value)?</w:t>
      </w:r>
    </w:p>
    <w:p>
      <w:pPr>
        <w:numPr>
          <w:ilvl w:val="1"/>
          <w:numId w:val="354"/>
        </w:numPr>
        <w:pStyle w:val="Para 01"/>
      </w:pPr>
      <w:r>
        <w:t>Giờ giả sử rằng có một giá trị quyền chọn cho việc mở rộng vừa đủ bù đắp cho giá trị hiện tại ròng âm của khoản đầu tư ban đầu. Nếu chi phí cho lần mở rộng tiếp theo sau năm năm là 2,5 tỷ đô la, ước tính hiện tại của bạn về giá trị hiện tại của dòng tiền từ việc mở rộng là bao nhiêu? (Bạn có thể giả định độ lệch chuẩn của giá trị hiện tại dòng tiền là 25% và lãi suất phi rủi ro là 6%.)</w:t>
      </w:r>
    </w:p>
    <w:p>
      <w:pPr>
        <w:numPr>
          <w:ilvl w:val="0"/>
          <w:numId w:val="354"/>
        </w:numPr>
        <w:pStyle w:val="Para 01"/>
      </w:pPr>
      <w:r>
        <w:t>Reliable Machinery Inc. đang cân nhắc mở rộng hoạt động tại Thái Lan. Phân tích ban đầu của dự án cho ra các kết quả sau:</w:t>
      </w:r>
    </w:p>
    <w:p>
      <w:pPr>
        <w:numPr>
          <w:ilvl w:val="1"/>
          <w:numId w:val="354"/>
        </w:numPr>
        <w:pStyle w:val="Para 01"/>
      </w:pPr>
      <w:r>
        <w:t>Dự án được kỳ vọng tạo ra 85 triệu đô la dòng tiền sau thuế mỗi năm trong 10 năm tới.</w:t>
      </w:r>
    </w:p>
    <w:p>
      <w:pPr>
        <w:numPr>
          <w:ilvl w:val="1"/>
          <w:numId w:val="354"/>
        </w:numPr>
        <w:pStyle w:val="Para 01"/>
      </w:pPr>
      <w:r>
        <w:t>Khoản đầu tư ban đầu cho dự án được kỳ vọng là 750 triệu đô la.</w:t>
      </w:r>
    </w:p>
    <w:p>
      <w:pPr>
        <w:numPr>
          <w:ilvl w:val="1"/>
          <w:numId w:val="354"/>
        </w:numPr>
        <w:pStyle w:val="Para 01"/>
      </w:pPr>
      <w:r>
        <w:t>Chi phí vốn của dự án là 12%.</w:t>
      </w:r>
    </w:p>
    <w:p>
      <w:pPr>
        <w:numPr>
          <w:ilvl w:val="0"/>
          <w:numId w:val="354"/>
        </w:numPr>
        <w:pStyle w:val="Para 01"/>
      </w:pPr>
      <w:r>
        <w:t>Nếu dự án tạo ra dòng tiền cao hơn nhiều so với dự kiến, bạn sẽ có độc quyền trong 10 năm tới (từ một giấy phép sản xuất) để mở rộng hoạt động sang phần còn lại của Đông Nam Á. Phân tích hiện tại gợi ý những điều sau về cơ hội mở rộng:</w:t>
      </w:r>
    </w:p>
    <w:p>
      <w:pPr>
        <w:numPr>
          <w:ilvl w:val="1"/>
          <w:numId w:val="354"/>
        </w:numPr>
        <w:pStyle w:val="Para 01"/>
      </w:pPr>
      <w:r>
        <w:t>Việc mở rộng sẽ tốn 2 tỷ đô la (theo đô la hiện tại).</w:t>
      </w:r>
    </w:p>
    <w:p>
      <w:pPr>
        <w:numPr>
          <w:ilvl w:val="1"/>
          <w:numId w:val="354"/>
        </w:numPr>
        <w:pStyle w:val="Para 01"/>
      </w:pPr>
      <w:r>
        <w:t>Việc mở rộng được kỳ vọng tạo ra 150 triệu đô la dòng tiền sau thuế mỗi năm trong 15 năm. Có sự bất định đáng kể về những dòng tiền này, và độ lệch chuẩn của giá trị hiện tại là 40%.</w:t>
      </w:r>
    </w:p>
    <w:p>
      <w:pPr>
        <w:numPr>
          <w:ilvl w:val="1"/>
          <w:numId w:val="354"/>
        </w:numPr>
        <w:pStyle w:val="Para 01"/>
      </w:pPr>
      <w:r>
        <w:t>Chi phí vốn cho khoản đầu tư này cũng được kỳ vọng là 12%. Lãi suất phi rủi ro là 6,5%.</w:t>
      </w:r>
    </w:p>
    <w:p>
      <w:pPr>
        <w:numPr>
          <w:ilvl w:val="1"/>
          <w:numId w:val="354"/>
        </w:numPr>
        <w:pStyle w:val="Para 01"/>
      </w:pPr>
      <w:r>
        <w:t>Hãy ước tính giá trị hiện tại ròng của khoản đầu tư ban đầu.</w:t>
      </w:r>
    </w:p>
    <w:p>
      <w:pPr>
        <w:numPr>
          <w:ilvl w:val="1"/>
          <w:numId w:val="354"/>
        </w:numPr>
        <w:pStyle w:val="Para 01"/>
      </w:pPr>
      <w:r>
        <w:t>Hãy ước tính giá trị của quyền chọn mở rộng.</w:t>
      </w:r>
    </w:p>
    <w:p>
      <w:bookmarkStart w:id="6176" w:name="Notes__1__Crystal_Ball_and__Risk"/>
      <w:bookmarkStart w:id="6177" w:name="Notes_28"/>
      <w:pPr>
        <w:keepNext/>
        <w:pStyle w:val="Heading 2"/>
        <w:keepLines w:val="on"/>
      </w:pPr>
      <w:r>
        <w:t>Ghi chú</w:t>
      </w:r>
      <w:bookmarkEnd w:id="6176"/>
      <w:bookmarkEnd w:id="6177"/>
    </w:p>
    <w:p>
      <w:pPr>
        <w:pStyle w:val="Para 08"/>
      </w:pPr>
      <w:r>
        <w:t>1. Crystal Ball và @Risk là hai gói bổ trợ cho Excel cho phép bạn chạy mô phỏng.</w:t>
      </w:r>
    </w:p>
    <w:p>
      <w:pPr>
        <w:pStyle w:val="Para 08"/>
      </w:pPr>
      <w:r>
        <w:t>2. Ví dụ, bạn có thể khá chắc chắn về quy mô thị trường hiện tại—phương sai sẽ thấp hoặc thậm chí bằng không—nhưng lại không chắc chắn về việc thị trường sẽ ra sao sau một năm hay ba năm nữa. Chính phương sai sau này mới quyết định giá trị của quyền chọn.</w:t>
      </w:r>
    </w:p>
    <w:p>
      <w:pPr>
        <w:pStyle w:val="Para 08"/>
      </w:pPr>
      <w:r>
        <w:t>3. Phát biểu này giả định rằng chất lượng nghiên cứu là như nhau ở cả hai công ty, dù nghiên cứu thuộc các lĩnh vực kinh doanh khác nhau, và sự khác biệt duy nhất nằm ở mức độ biến động của các lĩnh vực kinh doanh cơ sở.</w:t>
      </w:r>
    </w:p>
    <w:p>
      <w:pPr>
        <w:pStyle w:val="Para 08"/>
      </w:pPr>
      <w:r>
        <w:t>4. Bạn có thể định giá quyền chọn mua có giới hạn (capped call) bằng cách định giá quyền chọn mở rộng hai lần trong mô hình Black-Scholes, một lần với giá thực hiện (strike price) là 1.000 đô la (cho ra giá trị quyền chọn mở rộng ban đầu là 218 triệu đô la), và một lần với giá thực hiện là 2.000 đô la (cho ra giá trị quyền chọn là 76 triệu đô la). Chênh lệch giữa hai con số này là giá trị của quyền chọn mở rộng với một mức giới hạn trên giá trị hiện tại. Bạn cũng có thể định giá nó một cách tường minh trong mô hình nhị phân (binomial) bằng cách đặt giá trị thành 2.000 đô la mỗi khi nó vượt quá con số đó trong cây nhị phân.</w:t>
      </w:r>
    </w:p>
    <w:p>
      <w:pPr>
        <w:pStyle w:val="Para 08"/>
      </w:pPr>
      <w:r>
        <w:t>5. Các giá trị mà chúng ta tính được cho d1 và d2 như sau:</w:t>
      </w:r>
    </w:p>
    <w:p>
      <w:bookmarkStart w:id="6183" w:name="d1_ln____226500___0_03__0_5022_5"/>
      <w:pPr>
        <w:keepNext/>
        <w:pStyle w:val="Para 53"/>
        <w:keepLines w:val="on"/>
      </w:pPr>
      <w:r>
        <w:t>d1=ln⁡(226500)+(0.03+ 0.5022)50.5050.0171d2=0.0171-0.505=-1.1351</w:t>
      </w:r>
      <w:bookmarkEnd w:id="6183"/>
    </w:p>
    <w:p>
      <w:pPr>
        <w:pStyle w:val="Para 08"/>
      </w:pPr>
      <w:r>
        <w:t>6. Chúng ta đang giả định rằng dự án mà một công ty không thể thực hiện được vì thiếu linh hoạt tài chính sẽ bị mất vĩnh viễn, và rằng lợi nhuận vượt trội từ dự án này cũng sẽ kéo dài mãi mãi. Cả hai giả định đều mạnh và có thể dẫn đến việc phóng đại giá trị bị mất.</w:t>
      </w:r>
    </w:p>
    <w:p>
      <w:pPr>
        <w:pStyle w:val="Para 08"/>
      </w:pPr>
      <w:r>
        <w:t>7. Mô hình nhị phân cho ra giá trị 46,44 triệu đô la cho quyền chọn này.</w:t>
      </w:r>
    </w:p>
    <w:p>
      <w:bookmarkStart w:id="6186" w:name="Top_of_c030_xhtml"/>
      <w:bookmarkStart w:id="6187" w:name="Chapter_30Valuing_Equity_in_Dist_1"/>
      <w:bookmarkStart w:id="6188" w:name="Chapter_30Valuing_Equity_in_Dist"/>
      <w:pPr>
        <w:keepNext/>
        <w:pStyle w:val="Heading 1"/>
        <w:pageBreakBefore w:val="on"/>
        <w:keepLines w:val="on"/>
      </w:pPr>
      <w:r>
        <w:t>CHƯƠNG 30</w:t>
      </w:r>
      <w:r>
        <w:br/>
      </w:r>
      <w:r>
        <w:t>Định giá vốn cổ phần trong các công ty gặp khó khăn tài chính</w:t>
      </w:r>
      <w:bookmarkEnd w:id="6186"/>
      <w:bookmarkEnd w:id="6187"/>
      <w:bookmarkEnd w:id="6188"/>
    </w:p>
    <w:p>
      <w:pPr>
        <w:pStyle w:val="Para 03"/>
      </w:pPr>
      <w:r>
        <w:t>Chương 22 đã xem xét cách các mô hình chiết khấu dòng tiền có thể được điều chỉnh để định giá các công ty có lợi nhuận âm. Hầu hết các giải pháp đều ước tính dòng tiền kỳ vọng trong tương lai và giả định rằng sự cải thiện về biên lợi nhuận hoặc thu nhập sẽ dẫn đến dòng tiền dương và giá trị công ty dương. Trong trường hợp đặc biệt khi công ty có lượng nợ lớn, chúng ta đã lập luận rằng có khả năng rất thực tế là công ty sẽ vỡ nợ và phá sản. Trong những trường hợp này, định giá theo phương pháp chiết khấu dòng tiền sẽ cho bạn biết rằng vốn cổ phần không đáng giá gì cả. Chương này xem xét các công ty có lợi nhuận âm, tài sản hiện hữu đáng kể và nợ lớn. Chúng ta lập luận rằng các nhà đầu tư vốn cổ phần trong công ty này, nhờ trách nhiệm hữu hạn, có quyền chọn thanh lý công ty và trả hết nợ. Quyền chọn mua (call option) này trên chính công ty cơ sở có thể làm tăng giá trị vốn cổ phần, đặc biệt khi có sự bất định đáng kể về giá trị tài sản.</w:t>
      </w:r>
    </w:p>
    <w:p>
      <w:bookmarkStart w:id="6190" w:name="Equity_in_Highly_Levered_Distres"/>
      <w:bookmarkStart w:id="6191" w:name="Equity_in_Highly_Levered_Distres_1"/>
      <w:pPr>
        <w:keepNext/>
        <w:pStyle w:val="Heading 2"/>
        <w:keepLines w:val="on"/>
      </w:pPr>
      <w:r>
        <w:t>Vốn cổ phần trong các công ty gặp khó khăn có đòn bẩy cao</w:t>
      </w:r>
      <w:bookmarkEnd w:id="6190"/>
      <w:bookmarkEnd w:id="6191"/>
    </w:p>
    <w:p>
      <w:pPr>
        <w:pStyle w:val="Para 03"/>
      </w:pPr>
      <w:r>
        <w:t>Ở hầu hết các công ty đại chúng, vốn cổ phần có hai đặc điểm. Thứ nhất, các nhà đầu tư vốn cổ phần điều hành công ty và có thể chọn thanh lý tài sản của công ty và trả hết cho các chủ thể nắm giữ quyền đòi khác vào bất kỳ lúc nào. Thứ hai, trách nhiệm của các nhà đầu tư vốn cổ phần ở một số công ty tư nhân và gần như tất cả các công ty đại chúng chỉ giới hạn ở phần vốn họ đầu tư vào công ty đó. Sự kết hợp giữa quyền chọn thanh lý và trách nhiệm hữu hạn này khiến vốn cổ phần mang đặc điểm của một quyền chọn mua (call option). Ở những công ty có khoản nợ phải trả lớn và lợi nhuận âm, giá trị quyền chọn của vốn cổ phần có thể vượt quá giá trị chiết khấu dòng tiền.</w:t>
      </w:r>
    </w:p>
    <w:p>
      <w:bookmarkStart w:id="6192" w:name="Payoff_on_Equity_as_an_Option__T"/>
      <w:bookmarkStart w:id="6193" w:name="Payoff_on_Equity_as_an_Option"/>
      <w:pPr>
        <w:keepNext/>
        <w:pStyle w:val="Heading 3"/>
        <w:keepLines w:val="on"/>
      </w:pPr>
      <w:r>
        <w:t>Khoản thanh toán cho vốn cổ phần như một quyền chọn</w:t>
      </w:r>
      <w:bookmarkEnd w:id="6192"/>
      <w:bookmarkEnd w:id="6193"/>
    </w:p>
    <w:p>
      <w:pPr>
        <w:pStyle w:val="Para 03"/>
      </w:pPr>
      <w:r>
        <w:t>Vốn cổ phần trong một công ty là quyền đòi phần còn lại, nghĩa là các cổ đông có quyền đòi tất cả dòng tiền còn lại sau khi các chủ thể nắm giữ quyền đòi tài chính khác (nợ, cổ phiếu ưu đãi, v.v.) đã được thanh toán. Nếu công ty bị thanh lý, nguyên tắc tương tự cũng được áp dụng; các nhà đầu tư vốn cổ phần nhận được số tiền còn lại trong công ty sau khi tất cả các khoản nợ chưa trả và các quyền đòi tài chính khác đã được thanh toán. Với trách nhiệm hữu hạn, nếu giá trị công ty nhỏ hơn giá trị khoản nợ chưa trả, các nhà đầu tư vốn cổ phần không thể mất nhiều hơn phần vốn họ đã đầu tư vào công ty. Do đó, khoản thanh toán cho các nhà đầu tư vốn cổ phần khi thanh lý có thể được viết như sau:</w:t>
      </w:r>
    </w:p>
    <w:p>
      <w:bookmarkStart w:id="6194" w:name="Payoff_to_equity_on_liquidation"/>
      <w:pPr>
        <w:keepNext/>
        <w:pStyle w:val="Para 09"/>
        <w:keepLines w:val="on"/>
      </w:pPr>
      <w:r>
        <w:t>Khoản thanh toán cho vốn cổ phần khi thanh lý=V−D  nếu V&gt;D=0  nếu V≤D</w:t>
      </w:r>
      <w:bookmarkEnd w:id="6194"/>
    </w:p>
    <w:p>
      <w:pPr>
        <w:pStyle w:val="Para 20"/>
      </w:pPr>
      <w:r>
        <w:rPr>
          <w:rStyle w:val="Text26"/>
        </w:rPr>
        <w:bookmarkStart w:id="6195" w:name="Page_960"/>
        <w:t/>
        <w:bookmarkEnd w:id="6195"/>
      </w:r>
      <w:r>
        <w:t xml:space="preserve"> </w:t>
      </w:r>
    </w:p>
    <w:p>
      <w:bookmarkStart w:id="6196" w:name="where_V_Liquidation_value_of_the"/>
      <w:pPr>
        <w:pStyle w:val="Para 39"/>
      </w:pPr>
      <w:r>
        <w:t>trong đó V=Giá trị thanh lý của công tyD=Mệnh giá của khoản nợ chưa trả và các quyền đòi phi vốn cổ phần khác</w:t>
      </w:r>
      <w:bookmarkEnd w:id="6196"/>
    </w:p>
    <w:p>
      <w:pPr>
        <w:pStyle w:val="Para 03"/>
      </w:pPr>
      <w:r>
        <w:t>Như vậy, vốn cổ phần có thể được xem như một quyền chọn mua trên công ty, trong đó việc thực hiện quyền chọn đòi hỏi công ty phải được thanh lý và mệnh giá của khoản nợ (tương ứng với giá thực hiện) phải được thanh toán. Công ty là tài sản cơ sở, và quyền chọn hết hạn khi khoản nợ đến hạn. Các khoản thanh toán được thể hiện trong Hình 30.1.</w:t>
      </w:r>
    </w:p>
    <w:p>
      <w:bookmarkStart w:id="6198" w:name="Figure_30_1_Payoff_on_Equity_as"/>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92300" cy="977900"/>
            <wp:effectExtent l="0" r="0" t="0" b="0"/>
            <wp:wrapTopAndBottom/>
            <wp:docPr id="272" name="c30f001.png" descr="Diagram depicts net payoff on equity to investors’ after all outstanding debt and other financial claims have been paid off."/>
            <wp:cNvGraphicFramePr>
              <a:graphicFrameLocks noChangeAspect="1"/>
            </wp:cNvGraphicFramePr>
            <a:graphic>
              <a:graphicData uri="http://schemas.openxmlformats.org/drawingml/2006/picture">
                <pic:pic>
                  <pic:nvPicPr>
                    <pic:cNvPr id="0" name="c30f001.png" descr="Diagram depicts net payoff on equity to investors’ after all outstanding debt and other financial claims have been paid off."/>
                    <pic:cNvPicPr/>
                  </pic:nvPicPr>
                  <pic:blipFill>
                    <a:blip r:embed="rId196"/>
                    <a:stretch>
                      <a:fillRect/>
                    </a:stretch>
                  </pic:blipFill>
                  <pic:spPr>
                    <a:xfrm>
                      <a:off x="0" y="0"/>
                      <a:ext cx="1892300" cy="977900"/>
                    </a:xfrm>
                    <a:prstGeom prst="rect">
                      <a:avLst/>
                    </a:prstGeom>
                  </pic:spPr>
                </pic:pic>
              </a:graphicData>
            </a:graphic>
          </wp:anchor>
        </w:drawing>
      </w:r>
      <w:bookmarkEnd w:id="6198"/>
    </w:p>
    <w:p>
      <w:pPr>
        <w:keepNext/>
        <w:pStyle w:val="Para 22"/>
        <w:keepLines w:val="on"/>
      </w:pPr>
      <w:r>
        <w:t>Hình 30.1 Khoản thanh toán cho vốn cổ phần như một quyền chọn trên công ty</w:t>
      </w:r>
    </w:p>
    <w:p>
      <w:pPr>
        <w:pStyle w:val="Para 11"/>
      </w:pPr>
      <w:r>
        <w:t xml:space="preserve"> </w:t>
      </w:r>
    </w:p>
    <w:p>
      <w:bookmarkStart w:id="6199" w:name="Importance_of_Limited_Liability"/>
      <w:bookmarkStart w:id="6200" w:name="Importance_of_Limited_Liability_1"/>
      <w:pPr>
        <w:keepNext/>
        <w:pStyle w:val="Para 27"/>
        <w:keepLines w:val="on"/>
      </w:pPr>
      <w:r>
        <w:t>Tầm quan trọng của trách nhiệm hữu hạn</w:t>
      </w:r>
      <w:bookmarkEnd w:id="6199"/>
      <w:bookmarkEnd w:id="6200"/>
    </w:p>
    <w:p>
      <w:pPr>
        <w:pStyle w:val="Para 16"/>
        <w:keepLines w:val="on"/>
      </w:pPr>
      <w:r>
        <w:t>Lập luận rằng vốn cổ phần là một quyền chọn mua chỉ đúng nếu vốn cổ phần có trách nhiệm hữu hạn—nghĩa là số tiền tối đa mà một nhà đầu tư vốn cổ phần có thể mất chính là phần họ đã đầu tư vào công ty. Điều này rõ ràng đúng ở các công ty đại chúng. Tuy nhiên, ở các công ty tư nhân, chủ sở hữu thường có trách nhiệm vô hạn. Nếu những công ty này gặp khó khăn tài chính và không thể thanh toán các khoản nợ, tài sản cá nhân của chủ sở hữu có thể bị đe dọa. Bạn không nên định giá vốn cổ phần như một quyền chọn mua trong những trường hợp này.</w:t>
      </w:r>
    </w:p>
    <w:p>
      <w:pPr>
        <w:pStyle w:val="Para 11"/>
      </w:pPr>
      <w:r>
        <w:t xml:space="preserve"> </w:t>
      </w:r>
    </w:p>
    <w:p>
      <w:bookmarkStart w:id="6201" w:name="ILLUSTRATION_30_1___Valuing_Equi_1"/>
      <w:bookmarkStart w:id="6202" w:name="ILLUSTRATION_30_1___Valuing_Equi"/>
      <w:pPr>
        <w:keepNext/>
        <w:pStyle w:val="Para 19"/>
        <w:keepLines w:val="on"/>
      </w:pPr>
      <w:r>
        <w:t>MINH HỌA 30.1: Định giá vốn cổ phần như một quyền chọn</w:t>
      </w:r>
      <w:bookmarkEnd w:id="6201"/>
      <w:bookmarkEnd w:id="6202"/>
    </w:p>
    <w:p>
      <w:pPr>
        <w:pStyle w:val="Para 04"/>
        <w:keepLines w:val="on"/>
      </w:pPr>
      <w:r>
        <w:t>Giả sử bạn đang định giá vốn cổ phần trong một công ty có tài sản hiện được định giá 100 triệu đô la; độ lệch chuẩn của giá trị tài sản này là 40%. Mệnh giá của khoản nợ là 80 triệu đô la. (Đây là nợ không trả lãi định kỳ (zero coupon debt) với 10 năm còn lại đến hạn.) Lãi suất trái phiếu kho bạc kỳ hạn 10 năm là 10%. Chúng ta có thể định giá vốn cổ phần như một quyền chọn mua trên công ty, sử dụng các thông số đầu vào sau cho mô hình định giá quyền chọn:</w:t>
      </w:r>
    </w:p>
    <w:p>
      <w:bookmarkStart w:id="6204" w:name="Value_of_the_underlying_asset_S"/>
      <w:pPr>
        <w:pStyle w:val="Para 49"/>
        <w:keepLines w:val="on"/>
      </w:pPr>
      <w:r>
        <w:t>Giá trị tài sản cơ sở=S=Giá trị công ty=100 triệu đô laGiá thực hiện=K=Mệnh giá khoản nợ chưa trả=80 triệu đô laThời gian sống của quyền chọn=t=Thời gian sống của nợ không trả lãi định kỳ=10 nămPhương sai của giá trị tài sản cơ sở=σ2=Phương sai của giá trị công ty=0.16Lãi suất phi rủi ro=r=Lãi suất trái phiếu kho bạc tương ứng với thời gian sống của quyền chọn=10%</w:t>
      </w:r>
      <w:bookmarkEnd w:id="6204"/>
    </w:p>
    <w:p>
      <w:pPr>
        <w:pStyle w:val="Para 04"/>
        <w:keepLines w:val="on"/>
      </w:pPr>
      <w:r>
        <w:t>Dựa trên các thông số đầu vào này, mô hình Black-Scholes đưa ra giá trị sau cho quyền chọn mua:</w:t>
      </w:r>
    </w:p>
    <w:p>
      <w:bookmarkStart w:id="6206" w:name="d1_1_5994N_d1__0_9451d2_0_3345N"/>
      <w:pPr>
        <w:keepNext/>
        <w:pStyle w:val="Para 07"/>
        <w:keepLines w:val="on"/>
      </w:pPr>
      <w:r>
        <w:t>d1=1.5994N(d1)=0.9451d2=0.3345N(d2)=0.6310Giá trị quyền chọn mua=100(0.9451)-80 exp(-0.10)(10)(0.6310)=75.94 triệu đô la</w:t>
      </w:r>
      <w:bookmarkEnd w:id="6206"/>
    </w:p>
    <w:p>
      <w:pPr>
        <w:pStyle w:val="Para 04"/>
        <w:keepLines w:val="on"/>
      </w:pPr>
      <w:r>
        <w:t>Vì giá trị quyền chọn mua đại diện cho giá trị vốn cổ phần và giá trị công ty là 100 triệu đô la, giá trị ước tính của khoản nợ chưa trả là:</w:t>
      </w:r>
    </w:p>
    <w:p>
      <w:bookmarkStart w:id="6207" w:name="Value_of_the_outstanding_debt__1"/>
      <w:pPr>
        <w:keepNext/>
        <w:pStyle w:val="Para 07"/>
        <w:keepLines w:val="on"/>
      </w:pPr>
      <w:r>
        <w:t>Giá trị khoản nợ chưa trả=100-75.94=24.06 triệu đô la</w:t>
      </w:r>
      <w:bookmarkEnd w:id="6207"/>
    </w:p>
    <w:p>
      <w:pPr>
        <w:pStyle w:val="Para 04"/>
        <w:keepLines w:val="on"/>
      </w:pPr>
      <w:r>
        <w:t>Khoản nợ là trái phiếu không trả lãi định kỳ kỳ hạn 10 năm, và lãi suất thị trường của trái phiếu là:</w:t>
      </w:r>
    </w:p>
    <w:p>
      <w:bookmarkStart w:id="6208" w:name="Interest_rate_on_debt___80__24_0"/>
      <w:pPr>
        <w:keepNext/>
        <w:pStyle w:val="Para 07"/>
        <w:keepLines w:val="on"/>
      </w:pPr>
      <w:r>
        <w:t>Lãi suất của khoản nợ=(80/24.06)1/10-1=12.77%</w:t>
      </w:r>
      <w:bookmarkEnd w:id="6208"/>
    </w:p>
    <w:p>
      <w:pPr>
        <w:pStyle w:val="Para 04"/>
        <w:keepLines w:val="on"/>
      </w:pPr>
      <w:r>
        <w:t>Do đó, mức chênh lệch vỡ nợ (default spread) của trái phiếu này phải là 2.77%.</w:t>
      </w:r>
    </w:p>
    <w:p>
      <w:bookmarkStart w:id="6209" w:name="Optionality_in_Valuation__A_Corp_1"/>
      <w:bookmarkStart w:id="6210" w:name="Optionality_in_Valuation__A_Corp"/>
      <w:pPr>
        <w:keepNext/>
        <w:pStyle w:val="Heading 2"/>
        <w:keepLines w:val="on"/>
      </w:pPr>
      <w:r>
        <w:t>Tính quyền chọn trong định giá: Góc nhìn vòng đời doanh nghiệp</w:t>
      </w:r>
      <w:bookmarkEnd w:id="6209"/>
      <w:bookmarkEnd w:id="6210"/>
    </w:p>
    <w:p>
      <w:pPr>
        <w:pStyle w:val="Para 03"/>
      </w:pPr>
      <w:r>
        <w:t>Trong vài chương gần đây, chúng ta đã xem xét các quyền chọn thực (real options) như một nguồn giá trị cho các công ty, bắt đầu với quyền chọn trì hoãn ở Chương 28, với các ứng dụng trong định giá bằng sáng chế và trữ lượng tài nguyên thiên nhiên, tiếp đến là quyền chọn mở rộng ở Chương 29, và cách nó có thể làm tăng giá trị của một số công ty, và kết thúc bằng quyền chọn thanh lý, cùng lý do tại sao quyền chọn đó có thể khiến vốn cổ phần trong các công ty gặp khó khăn sâu sắc trở nên có giá trị hơn. Khi xem xét các quyền chọn này, chúng ta cũng lưu ý rằng chúng có thể dễ dàng bị sử dụng—đặc biệt ở các phiên bản tổng quát hóa—để biện minh cho những điều không thể biện minh. Trong phần này, chúng ta sẽ sử dụng góc nhìn cấu trúc vòng đời doanh nghiệp mà chúng ta đã dùng ở các chương trước để giải thích những quyền chọn nào có nhiều khả năng phát huy tác dụng hơn ở mỗi giai đoạn của vòng đời.</w:t>
      </w:r>
    </w:p>
    <w:p>
      <w:bookmarkStart w:id="6211" w:name="Real_Options_across_the_Corporat"/>
      <w:bookmarkStart w:id="6212" w:name="Real_Options_across_the_Corporat_1"/>
      <w:pPr>
        <w:keepNext/>
        <w:pStyle w:val="Heading 3"/>
        <w:keepLines w:val="on"/>
      </w:pPr>
      <w:r>
        <w:t>Quyền chọn thực xuyên suốt vòng đời doanh nghiệp</w:t>
      </w:r>
      <w:bookmarkEnd w:id="6211"/>
      <w:bookmarkEnd w:id="6212"/>
    </w:p>
    <w:p>
      <w:pPr>
        <w:pStyle w:val="Para 03"/>
      </w:pPr>
      <w:r>
        <w:t>Vòng đời doanh nghiệp, nơi chúng ta nhìn các công ty từ lúc khởi nghiệp đến khi suy tàn và chết đi, mang đến một lăng kính để ta không chỉ theo dõi quá trình già đi của doanh nghiệp mà còn thấy những thách thức trong định giá thay đổi ra sao. Cấu trúc đó giúp ta hiểu được các quyền chọn thực (real option) để trì hoãn, mở rộng, từ bỏ và thanh lý xuất hiện ở đâu trong quá trình định giá, như có thể thấy trong Hình 30.2.</w:t>
      </w:r>
    </w:p>
    <w:p>
      <w:bookmarkStart w:id="6214" w:name="Figure_30_2_Optionality_across_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752600"/>
            <wp:effectExtent l="0" r="0" t="0" b="0"/>
            <wp:wrapTopAndBottom/>
            <wp:docPr id="273" name="c30f002.png" descr="Graph plots revenues and earnings of a corporate firm during the life cycle along with description for each phase in table form."/>
            <wp:cNvGraphicFramePr>
              <a:graphicFrameLocks noChangeAspect="1"/>
            </wp:cNvGraphicFramePr>
            <a:graphic>
              <a:graphicData uri="http://schemas.openxmlformats.org/drawingml/2006/picture">
                <pic:pic>
                  <pic:nvPicPr>
                    <pic:cNvPr id="0" name="c30f002.png" descr="Graph plots revenues and earnings of a corporate firm during the life cycle along with description for each phase in table form."/>
                    <pic:cNvPicPr/>
                  </pic:nvPicPr>
                  <pic:blipFill>
                    <a:blip r:embed="rId197"/>
                    <a:stretch>
                      <a:fillRect/>
                    </a:stretch>
                  </pic:blipFill>
                  <pic:spPr>
                    <a:xfrm>
                      <a:off x="0" y="0"/>
                      <a:ext cx="2438400" cy="1752600"/>
                    </a:xfrm>
                    <a:prstGeom prst="rect">
                      <a:avLst/>
                    </a:prstGeom>
                  </pic:spPr>
                </pic:pic>
              </a:graphicData>
            </a:graphic>
          </wp:anchor>
        </w:drawing>
      </w:r>
      <w:bookmarkEnd w:id="6214"/>
    </w:p>
    <w:p>
      <w:pPr>
        <w:keepNext/>
        <w:pStyle w:val="Para 22"/>
        <w:keepLines w:val="on"/>
      </w:pPr>
      <w:r>
        <w:t>Hình 30.2 Tính quyền chọn xuyên suốt Vòng đời Doanh nghiệp</w:t>
      </w:r>
    </w:p>
    <w:p>
      <w:pPr>
        <w:pStyle w:val="Para 03"/>
      </w:pPr>
      <w:r>
        <w:t>Như bạn thấy, vốn cổ phần như một quyền chọn (option) có khả năng phát huy tác dụng cao nhất ở những giai đoạn sau của vòng đời, và chỉ với những doanh nghiệp đang suy tàn hoặc đã trưởng thành tích lũy được lượng nợ lớn. Khi không có nợ, với các doanh nghiệp đang suy tàn, bạn nhiều khả năng sẽ thấy quyền chọn từ bỏ (option to abandon) phổ biến hơn, khi các doanh nghiệp thoái vốn hoặc bán mảng kinh doanh vì giá trị tiếp tục (từ lợi nhuận và dòng tiền) thấp hơn giá trị thoái vốn của chúng.</w:t>
      </w:r>
    </w:p>
    <w:p>
      <w:pPr>
        <w:pStyle w:val="Para 20"/>
      </w:pPr>
      <w:r>
        <w:rPr>
          <w:rStyle w:val="Text26"/>
        </w:rPr>
        <w:bookmarkStart w:id="6215" w:name="Page_962"/>
        <w:t/>
        <w:bookmarkEnd w:id="6215"/>
      </w:r>
      <w:r>
        <w:t xml:space="preserve"> </w:t>
      </w:r>
    </w:p>
    <w:p>
      <w:bookmarkStart w:id="6216" w:name="Distressed_Equity_Screening__Whi"/>
      <w:bookmarkStart w:id="6217" w:name="Distressed_Equity_Screening"/>
      <w:pPr>
        <w:keepNext/>
        <w:pStyle w:val="Heading 3"/>
        <w:keepLines w:val="on"/>
      </w:pPr>
      <w:r>
        <w:t>Sàng lọc Vốn cổ phần Kiệt quệ</w:t>
      </w:r>
      <w:bookmarkEnd w:id="6216"/>
      <w:bookmarkEnd w:id="6217"/>
    </w:p>
    <w:p>
      <w:pPr>
        <w:pStyle w:val="Para 03"/>
      </w:pPr>
      <w:r>
        <w:t>Dù nghe có vẻ kỳ quặc khi vốn cổ phần của một doanh nghiệp cực kỳ kiệt quệ lại có thể có giá trị đáng kể, giá trị đó đến từ ba động lực: một doanh nghiệp thua lỗ kéo dài từ hoạt động kinh doanh, một gánh nặng nợ quá lớn (chủ yếu là nợ dài hạn) và sự biến động trong kết quả hoạt động. Để tìm ra những công ty đáp ứng tiêu chí coi vốn cổ phần kiệt quệ như một quyền chọn (thanh lý), chúng tôi bắt đầu bằng việc định nghĩa các bộ lọc sau để nhận diện chúng:</w:t>
      </w:r>
    </w:p>
    <w:p>
      <w:pPr>
        <w:numPr>
          <w:ilvl w:val="0"/>
          <w:numId w:val="355"/>
        </w:numPr>
        <w:pStyle w:val="Para 01"/>
      </w:pPr>
      <w:r>
        <w:t>Thua lỗ: Chúng tôi xem xét thu nhập ròng trong mười năm qua và chọn những công ty có thua lỗ ít nhất bốn năm trong số đó. Ngoài ra, chúng tôi xem xét báo cáo tài chính của năm gần nhất và chọn những công ty đang thua lỗ.</w:t>
      </w:r>
    </w:p>
    <w:p>
      <w:pPr>
        <w:numPr>
          <w:ilvl w:val="0"/>
          <w:numId w:val="355"/>
        </w:numPr>
        <w:pStyle w:val="Para 01"/>
      </w:pPr>
      <w:r>
        <w:t>Gánh nặng nợ lớn: Như đã thấy ở Chương 3, có nhiều thước đo gánh nặng nợ, nhưng vì chúng tôi muốn liên hệ nợ với dòng tiền hoạt động của công ty, chúng tôi dùng tổng nợ (bao gồm cả thuê tài sản) chia cho EBITDA như một chỉ số đại diện. Chúng tôi muốn thêm một bộ lọc về kỳ hạn nợ, tập trung vào các công ty có nợ dài hạn, nhưng nhiều công ty trong dữ liệu của chúng tôi không có mục dữ liệu này được báo cáo.</w:t>
      </w:r>
    </w:p>
    <w:p>
      <w:pPr>
        <w:numPr>
          <w:ilvl w:val="0"/>
          <w:numId w:val="355"/>
        </w:numPr>
        <w:pStyle w:val="Para 01"/>
      </w:pPr>
      <w:r>
        <w:t>Biến động trong kinh doanh: Để đo rủi ro kinh doanh, chúng tôi xem xét một thước đo rủi ro dựa trên thị trường là độ lệch chuẩn của giá cổ phiếu, cũng như một thước đo dựa trên các chỉ số hoạt động là hệ số biến thiên (coefficient of variation) của thu nhập hoạt động trong mười năm qua.</w:t>
      </w:r>
    </w:p>
    <w:p>
      <w:pPr>
        <w:pStyle w:val="Para 03"/>
      </w:pPr>
      <w:r>
        <w:t>Chạy các bộ lọc này trên toàn bộ 6.415 công ty đại chúng tại Mỹ vào đầu năm 2024, chúng tôi thu được danh sách 560 doanh nghiệp có tính quyền chọn trong vốn cổ phần của mình, dù ở các mức độ khác nhau.</w:t>
      </w:r>
    </w:p>
    <w:p>
      <w:pPr>
        <w:pStyle w:val="Para 03"/>
      </w:pPr>
      <w:r>
        <w:t>Nhìn qua các ngành, có những ngành mà bạn thấy các công ty này xuất hiện quá nhiều, và những ngành khác thì rất ít công ty lọt vào. Ba ngành mà bạn thấy nhiều ứng viên vốn cổ phần kiệt quệ nhất là hàng không, khách sạn và sòng bạc, và bất động sản. Chúng có điểm gì chung? Ngoài việc gánh lượng nợ đáng kể, những doanh nghiệp này thường có tài sản với giá trị thanh lý lớn, đặc biệt bất động sản hấp dẫn một nhóm người mua rộng khắp. Lưu ý rằng có những ngành như công nghệ sinh học, nơi có rất nhiều công ty thua lỗ, nhưng rất ít trong số đó gánh mức nợ đủ để quyền chọn thanh lý phát huy tác dụng.</w:t>
      </w:r>
    </w:p>
    <w:p>
      <w:pPr>
        <w:pStyle w:val="Para 03"/>
      </w:pPr>
      <w:r>
        <w:t>Ở những ngành có ít nợ và/hoặc lợi nhuận lành mạnh, vốn cổ phần của mọi công ty vẫn có giá trị quyền chọn (thanh lý), nhưng giá trị đó thấp đến mức so với giá trị của công ty như một doanh nghiệp đang hoạt động, nên nó không phát huy tác dụng.</w:t>
      </w:r>
    </w:p>
    <w:p>
      <w:bookmarkStart w:id="6219" w:name="Implications_of_Viewing_Equity_a_1"/>
      <w:bookmarkStart w:id="6220" w:name="Implications_of_Viewing_Equity_a"/>
      <w:pPr>
        <w:keepNext/>
        <w:pStyle w:val="Heading 2"/>
        <w:keepLines w:val="on"/>
      </w:pPr>
      <w:r>
        <w:t>Hàm ý của việc coi Vốn cổ phần như một Quyền chọn</w:t>
      </w:r>
      <w:bookmarkEnd w:id="6219"/>
      <w:bookmarkEnd w:id="6220"/>
    </w:p>
    <w:p>
      <w:pPr>
        <w:pStyle w:val="Para 03"/>
      </w:pPr>
      <w:r>
        <w:t>Khi vốn cổ phần của một doanh nghiệp mang đặc tính của một quyền chọn mua (call option), bạn phải thay đổi cách nghĩ về giá trị của nó và điều gì quyết định giá trị đó. Trong phần này, chúng ta sẽ xem xét một số hàm ý tiềm tàng đối với nhà đầu tư vốn cổ phần và trái chủ của doanh nghiệp.</w:t>
      </w:r>
    </w:p>
    <w:p>
      <w:bookmarkStart w:id="6221" w:name="When_Will_Equity_Be_Worthless_1"/>
      <w:bookmarkStart w:id="6222" w:name="When_Will_Equity_Be_Worthless"/>
      <w:pPr>
        <w:keepNext/>
        <w:pStyle w:val="Heading 3"/>
        <w:keepLines w:val="on"/>
      </w:pPr>
      <w:r>
        <w:t>Khi nào Vốn cổ phần sẽ Vô giá trị?</w:t>
      </w:r>
      <w:bookmarkEnd w:id="6221"/>
      <w:bookmarkEnd w:id="6222"/>
    </w:p>
    <w:p>
      <w:pPr>
        <w:pStyle w:val="Para 03"/>
      </w:pPr>
      <w:r>
        <w:t>Trong định giá dòng tiền chiết khấu (discounted cash flow), chúng ta lập luận rằng vốn cổ phần là vô giá trị nếu những gì bạn sở hữu (giá trị tài sản) ít hơn những gì bạn nợ. Hàm ý đầu tiên của việc coi vốn cổ phần như một quyền chọn mua là vốn cổ phần sẽ có giá trị, ngay cả khi giá trị tài sản giảm xuống thấp hơn nhiều so với mệnh giá của khoản nợ đang lưu hành. Dù doanh nghiệp sẽ bị nhà đầu tư, kế toán và nhà phân tích coi là đang gặp khó khăn, vốn cổ phần của nó không hề vô giá trị. Thực tế, cũng giống như các quyền chọn giao dịch kiểu lỗ sâu (deep out-of-the-money) vẫn có giá trị vì khả năng giá trị tài sản cơ sở có thể tăng vượt giá thực hiện trong thời gian còn lại của quyền chọn, vốn cổ phần có giá trị nhờ phần bù thời gian của quyền chọn (thời gian cho đến khi trái phiếu đáo hạn và đến hạn) và khả năng giá trị tài sản có thể tăng vượt mệnh giá trái phiếu trước khi chúng đến hạn.</w:t>
      </w:r>
    </w:p>
    <w:p>
      <w:pPr>
        <w:pStyle w:val="Para 11"/>
      </w:pPr>
      <w:r>
        <w:t xml:space="preserve"> </w:t>
      </w:r>
    </w:p>
    <w:p>
      <w:bookmarkStart w:id="6223" w:name="ILLUSTRATION_30_2___Firm_Value_a_1"/>
      <w:bookmarkStart w:id="6224" w:name="ILLUSTRATION_30_2___Firm_Value_a"/>
      <w:pPr>
        <w:keepNext/>
        <w:pStyle w:val="Para 19"/>
        <w:keepLines w:val="on"/>
      </w:pPr>
      <w:r>
        <w:t>MINH HỌA 30.2: Giá trị Doanh nghiệp và Giá trị Vốn cổ phần</w:t>
      </w:r>
      <w:bookmarkEnd w:id="6223"/>
      <w:bookmarkEnd w:id="6224"/>
    </w:p>
    <w:p>
      <w:pPr>
        <w:pStyle w:val="Para 04"/>
        <w:keepLines w:val="on"/>
      </w:pPr>
      <w:r>
        <w:t>Xem lại ví dụ trước, giả sử giá trị doanh nghiệp giảm xuống 50 triệu đô la, thấp hơn mệnh giá khoản nợ đang lưu hành (80 triệu đô la). Giả sử tất cả các đầu vào khác không đổi. Các tham số của vốn cổ phần như một quyền chọn mua như sau:</w:t>
      </w:r>
    </w:p>
    <w:p>
      <w:bookmarkStart w:id="6225" w:name="Value_of_the_underlying_asset_S_1"/>
      <w:pPr>
        <w:pStyle w:val="Para 49"/>
        <w:keepLines w:val="on"/>
      </w:pPr>
      <w:r>
        <w:t>Giá trị tài sản cơ sở=S=Giá trị doanh nghiệp=50 triệu đô laGiá thực hiện=K=Mệnh giá khoản nợ đang lưu hành=80 triệu đô laThời gian sống của quyền chọn=t=Thời gian sống của nợ không trả lãi=10 nămPhương sai của giá trị tài sản cơ sở=σ2=Phương sai của giá trị doanh nghiệp=0.16Lãi suất phi rủi ro=r=Lãi suất trái phiếu kho bạc tương ứng với thời gian sống của quyền chọn=10%</w:t>
      </w:r>
      <w:bookmarkEnd w:id="6225"/>
    </w:p>
    <w:p>
      <w:pPr>
        <w:pStyle w:val="Para 04"/>
        <w:keepLines w:val="on"/>
      </w:pPr>
      <w:r>
        <w:t>Dựa trên các đầu vào này, mô hình Black-Scholes cho giá trị của quyền chọn mua như sau:</w:t>
      </w:r>
    </w:p>
    <w:p>
      <w:bookmarkStart w:id="6227" w:name="d1_1_0515Nd1_0_8534d2____0_2135N"/>
      <w:pPr>
        <w:keepNext/>
        <w:pStyle w:val="Para 07"/>
        <w:keepLines w:val="on"/>
      </w:pPr>
      <w:r>
        <w:t>d1=1.0515Nd1=0.8534d2=−0.2135Nd2=0.4155Giá trị quyền chọn mua vốn cổ phần=500.8534−80 exp−0.10100.4155=30.44 triệu đô laGiá trị trái phiếu=50−30.44=19.56 triệu đô la</w:t>
      </w:r>
      <w:bookmarkEnd w:id="6227"/>
    </w:p>
    <w:p>
      <w:pPr>
        <w:pStyle w:val="Para 04"/>
        <w:keepLines w:val="on"/>
      </w:pPr>
      <w:r>
        <w:t>Như bạn thấy, vốn cổ phần trong doanh nghiệp này vẫn giữ được giá trị, nhờ đặc tính quyền chọn của vốn cổ phần. Thực tế, vốn cổ phần tiếp tục có giá trị trong ví dụ này, ngay cả khi giá trị tài sản giảm xuống 10 triệu đô la, như thể hiện trong Hình 30.3.</w:t>
      </w:r>
    </w:p>
    <w:p>
      <w:bookmarkStart w:id="6229" w:name="Figure_30_3_Value_of_Equity_as_F"/>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76500" cy="1460500"/>
            <wp:effectExtent l="0" r="0" t="0" b="0"/>
            <wp:wrapTopAndBottom/>
            <wp:docPr id="274" name="c30f003.png" descr="Bar graph plots the decrease in value of equity as the value of firm asset’s drops by 10 million dollars."/>
            <wp:cNvGraphicFramePr>
              <a:graphicFrameLocks noChangeAspect="1"/>
            </wp:cNvGraphicFramePr>
            <a:graphic>
              <a:graphicData uri="http://schemas.openxmlformats.org/drawingml/2006/picture">
                <pic:pic>
                  <pic:nvPicPr>
                    <pic:cNvPr id="0" name="c30f003.png" descr="Bar graph plots the decrease in value of equity as the value of firm asset’s drops by 10 million dollars."/>
                    <pic:cNvPicPr/>
                  </pic:nvPicPr>
                  <pic:blipFill>
                    <a:blip r:embed="rId198"/>
                    <a:stretch>
                      <a:fillRect/>
                    </a:stretch>
                  </pic:blipFill>
                  <pic:spPr>
                    <a:xfrm>
                      <a:off x="0" y="0"/>
                      <a:ext cx="2476500" cy="1460500"/>
                    </a:xfrm>
                    <a:prstGeom prst="rect">
                      <a:avLst/>
                    </a:prstGeom>
                  </pic:spPr>
                </pic:pic>
              </a:graphicData>
            </a:graphic>
          </wp:anchor>
        </w:drawing>
      </w:r>
      <w:bookmarkEnd w:id="6229"/>
    </w:p>
    <w:p>
      <w:pPr>
        <w:keepNext/>
        <w:pStyle w:val="Para 38"/>
        <w:keepLines w:val="on"/>
      </w:pPr>
      <w:r>
        <w:t>Hình 30.3 Giá trị Vốn cổ phần khi Giá trị Doanh nghiệp Thay đổi</w:t>
      </w:r>
    </w:p>
    <w:p>
      <w:bookmarkStart w:id="6230" w:name="Risk_and_Equity_Value"/>
      <w:bookmarkStart w:id="6231" w:name="Risk_and_Equity_Value__In_tradit"/>
      <w:pPr>
        <w:keepNext/>
        <w:pStyle w:val="Heading 3"/>
        <w:keepLines w:val="on"/>
      </w:pPr>
      <w:r>
        <w:t>Rủi ro và Giá trị Vốn cổ phần</w:t>
      </w:r>
      <w:bookmarkEnd w:id="6230"/>
      <w:bookmarkEnd w:id="6231"/>
    </w:p>
    <w:p>
      <w:pPr>
        <w:pStyle w:val="Para 03"/>
      </w:pPr>
      <w:r>
        <w:t>Trong định giá dòng tiền chiết khấu truyền thống, rủi ro cao hơn gần như luôn dẫn đến giá trị thấp hơn cho nhà đầu tư vốn cổ phần. Khi vốn cổ phần mang đặc tính của một quyền chọn mua, bạn không nên kỳ vọng mối quan hệ này tiếp tục đúng. Rủi ro có thể trở thành đồng minh của bạn, khi bạn là nhà đầu tư vốn cổ phần trong một doanh nghiệp gặp khó khăn. Về bản chất, bạn có ít để mất và nhiều để được từ những biến động của giá trị doanh nghiệp.</w:t>
      </w:r>
    </w:p>
    <w:p>
      <w:pPr>
        <w:pStyle w:val="Para 11"/>
      </w:pPr>
      <w:r>
        <w:t xml:space="preserve"> </w:t>
      </w:r>
    </w:p>
    <w:p>
      <w:bookmarkStart w:id="6232" w:name="ILLUSTRATION_30_3___Equity_Value"/>
      <w:bookmarkStart w:id="6233" w:name="ILLUSTRATION_30_3___Equity_Value_1"/>
      <w:pPr>
        <w:keepNext/>
        <w:pStyle w:val="Para 19"/>
        <w:keepLines w:val="on"/>
      </w:pPr>
      <w:r>
        <w:t>MINH HỌA 30.3: Giá trị Vốn cổ phần và Độ biến động</w:t>
      </w:r>
      <w:bookmarkEnd w:id="6232"/>
      <w:bookmarkEnd w:id="6233"/>
    </w:p>
    <w:p>
      <w:pPr>
        <w:pStyle w:val="Para 04"/>
        <w:keepLines w:val="on"/>
      </w:pPr>
      <w:r>
        <w:t>Hãy cùng xem lại phần định giá trong Minh họa 30.1. Giá trị vốn chủ sở hữu là một hàm số của độ lệch chuẩn trong giá trị doanh nghiệp, mà chúng ta giả định là 40%. Nếu ta thay đổi ước tính này, giữ nguyên mọi thứ khác, giá trị vốn chủ sở hữu sẽ tăng lên như được thể hiện trong Hình 30.4.</w:t>
      </w:r>
    </w:p>
    <w:p>
      <w:pPr>
        <w:pStyle w:val="Para 40"/>
        <w:keepLines w:val="on"/>
      </w:pPr>
      <w:r>
        <w:rPr>
          <w:rStyle w:val="Text26"/>
        </w:rPr>
        <w:bookmarkStart w:id="6235" w:name="Page_965"/>
        <w:t/>
        <w:bookmarkEnd w:id="6235"/>
      </w:r>
      <w:r>
        <w:t xml:space="preserve"> </w:t>
      </w:r>
    </w:p>
    <w:p>
      <w:bookmarkStart w:id="6236" w:name="Figure_30_4_Equity_Value_and_Sta"/>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51100" cy="1816100"/>
            <wp:effectExtent l="0" r="0" t="0" b="0"/>
            <wp:wrapTopAndBottom/>
            <wp:docPr id="275" name="c30f004.png" descr="Line and bar graph plots the increase in equity value and interest rate on debt as standard deviation increases."/>
            <wp:cNvGraphicFramePr>
              <a:graphicFrameLocks noChangeAspect="1"/>
            </wp:cNvGraphicFramePr>
            <a:graphic>
              <a:graphicData uri="http://schemas.openxmlformats.org/drawingml/2006/picture">
                <pic:pic>
                  <pic:nvPicPr>
                    <pic:cNvPr id="0" name="c30f004.png" descr="Line and bar graph plots the increase in equity value and interest rate on debt as standard deviation increases."/>
                    <pic:cNvPicPr/>
                  </pic:nvPicPr>
                  <pic:blipFill>
                    <a:blip r:embed="rId199"/>
                    <a:stretch>
                      <a:fillRect/>
                    </a:stretch>
                  </pic:blipFill>
                  <pic:spPr>
                    <a:xfrm>
                      <a:off x="0" y="0"/>
                      <a:ext cx="2451100" cy="1816100"/>
                    </a:xfrm>
                    <a:prstGeom prst="rect">
                      <a:avLst/>
                    </a:prstGeom>
                  </pic:spPr>
                </pic:pic>
              </a:graphicData>
            </a:graphic>
          </wp:anchor>
        </w:drawing>
      </w:r>
      <w:bookmarkEnd w:id="6236"/>
    </w:p>
    <w:p>
      <w:pPr>
        <w:keepNext/>
        <w:pStyle w:val="Para 38"/>
        <w:keepLines w:val="on"/>
      </w:pPr>
      <w:r>
        <w:t>Hình 30.4 Giá trị vốn chủ sở hữu và độ lệch chuẩn trong giá trị doanh nghiệp</w:t>
      </w:r>
    </w:p>
    <w:p>
      <w:pPr>
        <w:pStyle w:val="Para 04"/>
        <w:keepLines w:val="on"/>
      </w:pPr>
      <w:r>
        <w:t>Lưu ý rằng giá trị vốn chủ sở hữu tăng lên, nếu ta giữ nguyên giá trị doanh nghiệp, khi độ lệch chuẩn tăng. Lãi suất trên nợ cũng tăng khi độ lệch chuẩn tăng.</w:t>
      </w:r>
    </w:p>
    <w:p>
      <w:bookmarkStart w:id="6237" w:name="Probability_of_Default_and_Defau_1"/>
      <w:bookmarkStart w:id="6238" w:name="Probability_of_Default_and_Defau"/>
      <w:pPr>
        <w:keepNext/>
        <w:pStyle w:val="Heading 3"/>
        <w:keepLines w:val="on"/>
      </w:pPr>
      <w:r>
        <w:t>Xác suất vỡ nợ và mức chênh lệch vỡ nợ</w:t>
      </w:r>
      <w:bookmarkEnd w:id="6237"/>
      <w:bookmarkEnd w:id="6238"/>
    </w:p>
    <w:p>
      <w:pPr>
        <w:pStyle w:val="Para 03"/>
      </w:pPr>
      <w:r>
        <w:t>Một trong những kết quả thú vị hơn của mô hình định giá quyền chọn là xác suất vỡ nợ trung tính với rủi ro (risk-neutral probability of default) mà bạn có thể thu được cho doanh nghiệp. Trong mô hình Black-Scholes, bạn có thể ước tính giá trị này từ N(d2), tức là xác suất trung tính với rủi ro rằng S&gt;K, mà trong mô hình này chính là xác suất giá trị tài sản sẽ vượt quá mệnh giá của khoản nợ:</w:t>
      </w:r>
    </w:p>
    <w:p>
      <w:bookmarkStart w:id="6239" w:name="Risk_neutral_probability_of_defa"/>
      <w:pPr>
        <w:keepNext/>
        <w:pStyle w:val="Para 09"/>
        <w:keepLines w:val="on"/>
      </w:pPr>
      <w:r>
        <w:t>Xác suất vỡ nợ trung tính với rủi ro = 1 – N(d2)</w:t>
      </w:r>
      <w:bookmarkEnd w:id="6239"/>
    </w:p>
    <w:p>
      <w:pPr>
        <w:pStyle w:val="Para 03"/>
      </w:pPr>
      <w:r>
        <w:t>Ngoài ra, lãi suất từ khoản nợ cho phép chúng ta ước tính mức chênh lệch vỡ nợ phù hợp để áp lên trái phiếu.</w:t>
      </w:r>
    </w:p>
    <w:p>
      <w:pPr>
        <w:pStyle w:val="Para 03"/>
      </w:pPr>
      <w:r>
        <w:t>Bạn có thể thấy tiềm năng khi áp dụng mô hình này cho các danh mục cho vay ngân hàng để vừa rút ra xác suất vỡ nợ, vừa đo lường xem liệu bạn có đang tính mức lãi suất đủ cao trên khoản nợ hay không. Trên thực tế, có những dịch vụ thương mại sử dụng các mô hình định giá quyền chọn tinh vi để ước tính cả hai giá trị này cho các doanh nghiệp.</w:t>
      </w:r>
    </w:p>
    <w:p>
      <w:pPr>
        <w:pStyle w:val="Para 20"/>
      </w:pPr>
      <w:r>
        <w:rPr>
          <w:rStyle w:val="Text26"/>
        </w:rPr>
        <w:bookmarkStart w:id="6240" w:name="Page_966"/>
        <w:t/>
        <w:bookmarkEnd w:id="6240"/>
      </w:r>
      <w:r>
        <w:t xml:space="preserve"> </w:t>
      </w:r>
    </w:p>
    <w:p>
      <w:pPr>
        <w:pStyle w:val="Para 11"/>
      </w:pPr>
      <w:r>
        <w:t xml:space="preserve"> </w:t>
      </w:r>
    </w:p>
    <w:p>
      <w:bookmarkStart w:id="6241" w:name="ILLUSTRATION_30_4___Probabilitie_1"/>
      <w:bookmarkStart w:id="6242" w:name="ILLUSTRATION_30_4___Probabilitie"/>
      <w:pPr>
        <w:keepNext/>
        <w:pStyle w:val="Para 19"/>
        <w:keepLines w:val="on"/>
      </w:pPr>
      <w:r>
        <w:t>MINH HỌA 30.4: Xác suất vỡ nợ và mức chênh lệch vỡ nợ</w:t>
      </w:r>
      <w:bookmarkEnd w:id="6241"/>
      <w:bookmarkEnd w:id="6242"/>
    </w:p>
    <w:p>
      <w:pPr>
        <w:pStyle w:val="Para 04"/>
        <w:keepLines w:val="on"/>
      </w:pPr>
      <w:r>
        <w:t>Chúng ta quay lại Minh họa 30.1 và ước tính xác suất vỡ nợ là 1 − N(d2) và mức chênh lệch vỡ nợ là chênh lệch giữa lãi suất trên khoản nợ của doanh nghiệp và lãi suất phi rủi ro. Những giá trị này được vẽ đồ thị trong Hình 30.5. Lưu ý rằng xác suất vỡ nợ leo thang rất nhanh khi độ lệch chuẩn trong giá trị doanh nghiệp tăng, và mức chênh lệch vỡ nợ cũng bám theo.</w:t>
      </w:r>
    </w:p>
    <w:p>
      <w:bookmarkStart w:id="6244" w:name="Figure_30_5_Risk_Neutral_Probabi"/>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13000" cy="1778000"/>
            <wp:effectExtent l="0" r="0" t="0" b="0"/>
            <wp:wrapTopAndBottom/>
            <wp:docPr id="276" name="c30f005.png" descr="Line and bar graph plots the increase in default spread, 1 minus N (d 2) as standard deviation in firm value increases."/>
            <wp:cNvGraphicFramePr>
              <a:graphicFrameLocks noChangeAspect="1"/>
            </wp:cNvGraphicFramePr>
            <a:graphic>
              <a:graphicData uri="http://schemas.openxmlformats.org/drawingml/2006/picture">
                <pic:pic>
                  <pic:nvPicPr>
                    <pic:cNvPr id="0" name="c30f005.png" descr="Line and bar graph plots the increase in default spread, 1 minus N (d 2) as standard deviation in firm value increases."/>
                    <pic:cNvPicPr/>
                  </pic:nvPicPr>
                  <pic:blipFill>
                    <a:blip r:embed="rId200"/>
                    <a:stretch>
                      <a:fillRect/>
                    </a:stretch>
                  </pic:blipFill>
                  <pic:spPr>
                    <a:xfrm>
                      <a:off x="0" y="0"/>
                      <a:ext cx="2413000" cy="1778000"/>
                    </a:xfrm>
                    <a:prstGeom prst="rect">
                      <a:avLst/>
                    </a:prstGeom>
                  </pic:spPr>
                </pic:pic>
              </a:graphicData>
            </a:graphic>
          </wp:anchor>
        </w:drawing>
      </w:r>
      <w:bookmarkEnd w:id="6244"/>
    </w:p>
    <w:p>
      <w:pPr>
        <w:keepNext/>
        <w:pStyle w:val="Para 38"/>
        <w:keepLines w:val="on"/>
      </w:pPr>
      <w:r>
        <w:t>Hình 30.5 Xác suất vỡ nợ trung tính với rủi ro và mức chênh lệch vỡ nợ</w:t>
      </w:r>
    </w:p>
    <w:p>
      <w:pPr>
        <w:pStyle w:val="Para 04"/>
        <w:keepLines w:val="on"/>
      </w:pPr>
      <w:r>
        <w:t>Khi giá trị doanh nghiệp giảm xuống so với khoản nợ đến hạn, cả khả năng vỡ nợ lẫn mức chênh lệch vỡ nợ đều tăng lên — điều này không có gì đáng ngạc nhiên. Trên thực tế, doanh nghiệp này, nếu được một tổ chức xếp hạng trái phiếu như S&amp;P hay Moody's đánh giá, sẽ thấy xếp hạng của mình trượt dốc khi giá trị doanh nghiệp giảm, và mức chênh lệch vỡ nợ trên trái phiếu của nó tăng lên. Cách tiếp cận định giá quyền chọn mang lại một phương pháp khác để ước tính những mức chênh lệch này.</w:t>
      </w:r>
    </w:p>
    <w:p>
      <w:bookmarkStart w:id="6245" w:name="Estimating_the_Value_of_Equity_a_1"/>
      <w:bookmarkStart w:id="6246" w:name="Estimating_the_Value_of_Equity_a"/>
      <w:pPr>
        <w:keepNext/>
        <w:pStyle w:val="Heading 2"/>
        <w:keepLines w:val="on"/>
      </w:pPr>
      <w:r>
        <w:t>Ước tính giá trị vốn chủ sở hữu như một quyền chọn</w:t>
      </w:r>
      <w:bookmarkEnd w:id="6245"/>
      <w:bookmarkEnd w:id="6246"/>
    </w:p>
    <w:p>
      <w:pPr>
        <w:pStyle w:val="Para 03"/>
      </w:pPr>
      <w:r>
        <w:t>Các ví dụ mà chúng ta đã dùng đến giờ để minh họa việc áp dụng định giá quyền chọn vào định giá vốn chủ sở hữu có bao gồm một số giả định đơn giản hóa. Trong số đó có những giả định sau:</w:t>
      </w:r>
    </w:p>
    <w:p>
      <w:pPr>
        <w:numPr>
          <w:ilvl w:val="0"/>
          <w:numId w:val="356"/>
        </w:numPr>
        <w:pStyle w:val="Para 01"/>
      </w:pPr>
      <w:r>
        <w:t>Doanh nghiệp chỉ có hai bên nắm quyền đòi nợ — nợ và vốn chủ sở hữu.</w:t>
      </w:r>
    </w:p>
    <w:p>
      <w:pPr>
        <w:numPr>
          <w:ilvl w:val="0"/>
          <w:numId w:val="356"/>
        </w:numPr>
        <w:pStyle w:val="Para 01"/>
      </w:pPr>
      <w:r>
        <w:t>Chỉ có một đợt nợ đang lưu hành, và nó có thể được thanh toán theo mệnh giá.</w:t>
      </w:r>
    </w:p>
    <w:p>
      <w:pPr>
        <w:numPr>
          <w:ilvl w:val="0"/>
          <w:numId w:val="356"/>
        </w:numPr>
        <w:pStyle w:val="Para 01"/>
      </w:pPr>
      <w:r>
        <w:t>Khoản nợ có lãi suất bằng không (zero coupon) và không có đặc điểm đặc biệt nào (khả năng chuyển đổi, điều khoản quyền bán, v.v.).</w:t>
      </w:r>
    </w:p>
    <w:p>
      <w:pPr>
        <w:numPr>
          <w:ilvl w:val="0"/>
          <w:numId w:val="356"/>
        </w:numPr>
        <w:pStyle w:val="Para 01"/>
      </w:pPr>
      <w:r>
        <w:t>Giá trị tài sản của doanh nghiệp và phương sai của giá trị đó có thể được ước tính. Khi thanh lý, chúng ta giả định rằng bạn sẽ thu được giá trị tài sản làm số tiền thu từ thanh lý.</w:t>
      </w:r>
    </w:p>
    <w:p>
      <w:pPr>
        <w:pStyle w:val="Para 03"/>
      </w:pPr>
      <w:r>
        <w:t>Mỗi giả định này đều được đưa ra vì một lý do. Thứ nhất, giới hạn các bên nắm quyền đòi nợ chỉ còn nợ và vốn chủ sở hữu giúp bài toán dễ giải quyết hơn; việc đưa thêm các bên nắm quyền đòi nợ khác như cổ phiếu ưu đãi sẽ khiến việc đi đến kết quả khó hơn, tuy không phải là bất khả thi. Thứ hai, bằng cách giả định chỉ có một đợt nợ không trả lãi (zero coupon) có thể được thanh toán theo mệnh giá bất cứ lúc nào trước khi đáo hạn, chúng ta làm cho các đặc điểm của khoản nợ gần khớp hơn với các đặc điểm của giá thực hiện (strike price) trên một quyền chọn tiêu chuẩn. Thứ ba, nếu khoản nợ là nợ trả lãi định kỳ (coupon debt), hoặc có nhiều hơn một đợt nợ đang lưu hành, các nhà đầu tư vốn chủ sở hữu có thể bị buộc phải thực hiện (thanh lý doanh nghiệp) vào những ngày trả lãi định kỳ sớm hơn đó, nếu họ không có dòng tiền để đáp ứng nghĩa vụ trả lãi định kỳ.</w:t>
      </w:r>
    </w:p>
    <w:p>
      <w:pPr>
        <w:pStyle w:val="Para 03"/>
      </w:pPr>
      <w:r>
        <w:t>Cuối cùng, việc biết giá trị tài sản của doanh nghiệp khi thanh lý và phương sai của giá trị đó giúp cho việc định giá quyền chọn trở nên khả thi, nhưng nó cũng đặt ra một câu hỏi thú vị về tính hữu ích của định giá quyền chọn trong định giá vốn chủ sở hữu. Nếu trái phiếu của doanh nghiệp được giao dịch công khai, giá trị thị trường của khoản nợ có thể được trừ khỏi giá trị doanh nghiệp để thu được giá trị vốn chủ sở hữu một cách trực tiếp hơn nhiều. Tuy nhiên, cách tiếp cận định giá quyền chọn cũng có những ưu điểm riêng. Cụ thể, khi khoản nợ của doanh nghiệp không được giao dịch công khai, lý thuyết định giá quyền chọn có thể cung cấp một ước tính giá trị cho vốn chủ sở hữu trong doanh nghiệp. Ngay cả khi khoản nợ được giao dịch công khai, trái phiếu vẫn có thể không được định giá đúng, và khuôn khổ định giá quyền chọn có thể hữu ích trong việc đánh giá giá trị của nợ và vốn chủ sở hữu. Cuối cùng, giá trị doanh nghiệp có thể khác với giá trị thanh lý của tài sản; giá trị doanh nghiệp còn bao gồm giá trị kỳ vọng của tiềm năng tăng trưởng.</w:t>
      </w:r>
    </w:p>
    <w:p>
      <w:bookmarkStart w:id="6248" w:name="Inputs_for_Valuing_Equity_as_an"/>
      <w:bookmarkStart w:id="6249" w:name="Inputs_for_Valuing_Equity_as_an_1"/>
      <w:pPr>
        <w:keepNext/>
        <w:pStyle w:val="Heading 3"/>
        <w:keepLines w:val="on"/>
      </w:pPr>
      <w:r>
        <w:t>Các đầu vào để định giá vốn chủ sở hữu như một quyền chọn</w:t>
      </w:r>
      <w:bookmarkEnd w:id="6248"/>
      <w:bookmarkEnd w:id="6249"/>
    </w:p>
    <w:p>
      <w:pPr>
        <w:pStyle w:val="Para 03"/>
      </w:pPr>
      <w:r>
        <w:t>Vì hầu hết các doanh nghiệp không nằm gọn trong khuôn khổ gọn gàng vừa được xây dựng (chẳng hạn như chỉ có một trái phiếu không trả lãi đang lưu hành), nên cần có một số thỏa hiệp để sử dụng mô hình này trong định giá.</w:t>
      </w:r>
    </w:p>
    <w:p>
      <w:bookmarkStart w:id="6250" w:name="Value_of_the_Assets_of_the_Firm"/>
      <w:bookmarkStart w:id="6251" w:name="Value_of_the_Assets_of_the_Firm_1"/>
      <w:pPr>
        <w:keepNext/>
        <w:pStyle w:val="Heading 4"/>
        <w:keepLines w:val="on"/>
      </w:pPr>
      <w:r>
        <w:t>Giá trị tài sản của doanh nghiệp</w:t>
      </w:r>
      <w:bookmarkEnd w:id="6250"/>
      <w:bookmarkEnd w:id="6251"/>
    </w:p>
    <w:p>
      <w:pPr>
        <w:pStyle w:val="Para 03"/>
      </w:pPr>
      <w:r>
        <w:t>Giá trị thanh lý của tài sản doanh nghiệp có thể thu được theo một trong bốn cách. Cách thứ nhất, chúng ta cộng dồn giá trị thị trường của nợ và vốn chủ sở hữu đang lưu hành, giả định rằng tất cả nợ và vốn chủ sở hữu đều được giao dịch, để thu được giá trị doanh nghiệp, và chúng ta coi đây là giá trị thanh lý gần đúng. Mô hình định giá quyền chọn sau đó phân bổ lại giá trị doanh nghiệp giữa nợ và vốn chủ sở hữu. Cách tiếp cận này, tuy đơn giản, lại không nhất quán về mặt nội tại. Chúng ta bắt đầu với một bộ giá trị thị trường cho nợ và vốn chủ sở hữu, rồi bằng mô hình định giá quyền chọn, lại kết thúc với những giá trị hoàn toàn khác cho mỗi loại. Chúng ta cũng đang giả định rằng giá trị hoạt động liên tục (going concern value) của doanh nghiệp bằng với những gì bạn sẽ thu được nếu thanh lý tài sản của nó.</w:t>
      </w:r>
    </w:p>
    <w:p>
      <w:pPr>
        <w:pStyle w:val="Para 03"/>
      </w:pPr>
      <w:r>
        <w:t>Cách thứ hai, chúng ta ước tính giá trị tài sản của doanh nghiệp bằng cách chiết khấu dòng tiền kỳ vọng theo chi phí vốn. Một điều cần lưu ý là giá trị doanh nghiệp trong mô hình định giá quyền chọn phải là giá trị thu được khi thanh lý. Giá trị này có thể thấp hơn tổng giá trị doanh nghiệp — vốn bao gồm tiềm năng tăng trưởng kỳ vọng trong tương lai — và cũng có thể bị giảm đi để phản ánh chi phí thanh lý. Nếu chúng ta ước tính giá trị doanh nghiệp bằng mô hình chiết khấu dòng tiền, điều này gợi ý rằng chỉ nên xem xét các khoản đầu tư hiện có khi ước tính giá trị doanh nghiệp.1</w:t>
      </w:r>
    </w:p>
    <w:p>
      <w:pPr>
        <w:pStyle w:val="Para 03"/>
      </w:pPr>
      <w:r>
        <w:t>Ở cách tiếp cận thứ ba, ta ước tính bội số doanh thu bằng cách nhìn vào các công ty trưởng thành khỏe mạnh (có ít hoặc không có tiềm năng tăng trưởng) trong cùng ngành, rồi áp dụng bội số này cho doanh thu của công ty mà bạn đang định giá. Một cách ngầm hiểu, ta đang giả định rằng một người mua tiềm năng, trong trường hợp thanh lý, sẽ trả mức giá trị này.</w:t>
      </w:r>
    </w:p>
    <w:p>
      <w:bookmarkStart w:id="6254" w:name="Variance_in_Firm_Value__We_can_o"/>
      <w:bookmarkStart w:id="6255" w:name="Variance_in_Firm_Value"/>
      <w:pPr>
        <w:keepNext/>
        <w:pStyle w:val="Heading 4"/>
        <w:keepLines w:val="on"/>
      </w:pPr>
      <w:r>
        <w:t>Phương sai trong giá trị doanh nghiệp</w:t>
      </w:r>
      <w:bookmarkEnd w:id="6254"/>
      <w:bookmarkEnd w:id="6255"/>
    </w:p>
    <w:p>
      <w:pPr>
        <w:pStyle w:val="Para 03"/>
      </w:pPr>
      <w:r>
        <w:t>Ta có thể thu được phương sai trong giá trị doanh nghiệp một cách trực tiếp nếu cả cổ phiếu lẫn trái phiếu của doanh nghiệp đều được giao dịch. Định nghĩa σe2 là phương sai của giá cổ phiếu, σd2 là phương sai của giá trái phiếu, we là tỷ trọng theo giá trị thị trường của vốn chủ sở hữu, và wd là tỷ trọng theo giá trị thị trường của nợ, ta có thể viết phương sai trong giá trị doanh nghiệp như sau2:</w:t>
      </w:r>
    </w:p>
    <w:p>
      <w:bookmarkStart w:id="6257" w:name="sfirm2_we2_se2_wd2_sd2_2wewdreds"/>
      <w:pPr>
        <w:keepNext/>
        <w:pStyle w:val="Para 09"/>
        <w:keepLines w:val="on"/>
      </w:pPr>
      <w:r>
        <w:t>σfirm2=we2 σe2+wd2 σd2+2wewdρedσeσd</w:t>
      </w:r>
      <w:bookmarkEnd w:id="6257"/>
    </w:p>
    <w:p>
      <w:pPr>
        <w:pStyle w:val="Para 03"/>
      </w:pPr>
      <w:r>
        <w:t>trong đó ρed là tương quan giữa giá cổ phiếu và giá trái phiếu. Khi trái phiếu của doanh nghiệp không được giao dịch, ta có thể dùng phương sai của các trái phiếu có xếp hạng tương tự làm ước lượng cho σd2, và dùng tương quan giữa các trái phiếu có xếp hạng tương tự với cổ phiếu của doanh nghiệp làm ước lượng cho ρed.</w:t>
      </w:r>
    </w:p>
    <w:p>
      <w:pPr>
        <w:pStyle w:val="Para 03"/>
      </w:pPr>
      <w:r>
        <w:t>Khi các công ty gặp khó khăn về tài chính, cách tiếp cận này có thể cho ra những kết quả sai lệch vì cả giá cổ phiếu lẫn giá trái phiếu của nó đều trở nên biến động hơn. Một phương án thay thế thường cho ra những ước lượng đáng tin cậy hơn là dùng phương sai trung bình trong giá trị doanh nghiệp của các công ty khác trong cùng ngành. Như vậy, giá trị vốn chủ sở hữu của một công ty thép đang cực kỳ chao đảo có thể được ước tính bằng cách dùng phương sai trung bình trong giá trị doanh nghiệp của tất cả các công ty thép đang được giao dịch.</w:t>
      </w:r>
    </w:p>
    <w:p>
      <w:pPr>
        <w:pStyle w:val="Para 11"/>
      </w:pPr>
      <w:r>
        <w:t xml:space="preserve"> </w:t>
      </w:r>
    </w:p>
    <w:p>
      <w:bookmarkStart w:id="6258" w:name="optvar_xls__This_dataset_on_the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277"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6258"/>
    </w:p>
    <w:p>
      <w:pPr>
        <w:pStyle w:val="Para 31"/>
        <w:keepLines w:val="on"/>
      </w:pPr>
      <w:r>
        <w:t>optvar.xls: Bộ dữ liệu này trên web tóm tắt độ lệch chuẩn trong vốn chủ sở hữu và giá trị doanh nghiệp, theo ngành, cho các doanh nghiệp ở Hoa Kỳ.</w:t>
      </w:r>
    </w:p>
    <w:p>
      <w:bookmarkStart w:id="6259" w:name="Maturity_of_the_Debt__Most_firms"/>
      <w:bookmarkStart w:id="6260" w:name="Maturity_of_the_Debt"/>
      <w:pPr>
        <w:keepNext/>
        <w:pStyle w:val="Heading 4"/>
        <w:keepLines w:val="on"/>
      </w:pPr>
      <w:r>
        <w:t>Kỳ đáo hạn của nợ</w:t>
      </w:r>
      <w:bookmarkEnd w:id="6259"/>
      <w:bookmarkEnd w:id="6260"/>
    </w:p>
    <w:p>
      <w:pPr>
        <w:pStyle w:val="Para 03"/>
      </w:pPr>
      <w:r>
        <w:t>Hầu hết các doanh nghiệp có nhiều hơn một khoản nợ trên sổ sách, và phần lớn khoản nợ đi kèm với các khoản coupon. Vì mô hình định giá quyền chọn chỉ cho phép một đầu vào duy nhất cho thời gian đáo hạn, ta phải chuyển đổi nhiều khoản nợ và các khoản thanh toán coupon này thành một trái phiếu không coupon tương đương duy nhất.</w:t>
      </w:r>
    </w:p>
    <w:p>
      <w:pPr>
        <w:numPr>
          <w:ilvl w:val="0"/>
          <w:numId w:val="357"/>
        </w:numPr>
        <w:pStyle w:val="Para 01"/>
      </w:pPr>
      <w:r>
        <w:t>Một giải pháp, xét đến cả các khoản thanh toán coupon lẫn kỳ đáo hạn của trái phiếu, là ước tính duration (thời lượng) của từng khoản nợ rồi tính bình quân gia quyền theo mệnh giá của duration của các khoản nợ khác nhau. Giá trị duration gia quyền này sau đó được dùng làm thước đo thời gian đáo hạn của quyền chọn.</w:t>
      </w:r>
    </w:p>
    <w:p>
      <w:pPr>
        <w:numPr>
          <w:ilvl w:val="0"/>
          <w:numId w:val="357"/>
        </w:numPr>
        <w:pStyle w:val="Para 01"/>
      </w:pPr>
      <w:r>
        <w:t>Một cách xấp xỉ là dùng kỳ đáo hạn bình quân gia quyền theo mệnh giá của khoản nợ làm kỳ đáo hạn của trái phiếu không coupon trong mô hình định giá quyền chọn.</w:t>
      </w:r>
    </w:p>
    <w:p>
      <w:pPr>
        <w:pStyle w:val="Para 20"/>
      </w:pPr>
      <w:r>
        <w:rPr>
          <w:rStyle w:val="Text26"/>
        </w:rPr>
        <w:bookmarkStart w:id="6261" w:name="Page_969"/>
        <w:t/>
        <w:bookmarkEnd w:id="6261"/>
      </w:r>
      <w:r>
        <w:t xml:space="preserve"> </w:t>
      </w:r>
    </w:p>
    <w:p>
      <w:bookmarkStart w:id="6262" w:name="Face_Value_of_Debt"/>
      <w:bookmarkStart w:id="6263" w:name="Face_Value_of_Debt__When_a_distr"/>
      <w:pPr>
        <w:keepNext/>
        <w:pStyle w:val="Heading 4"/>
        <w:keepLines w:val="on"/>
      </w:pPr>
      <w:r>
        <w:t>Mệnh giá của nợ</w:t>
      </w:r>
      <w:bookmarkEnd w:id="6262"/>
      <w:bookmarkEnd w:id="6263"/>
    </w:p>
    <w:p>
      <w:pPr>
        <w:pStyle w:val="Para 03"/>
      </w:pPr>
      <w:r>
        <w:t>Khi một doanh nghiệp đang gặp khó khăn có nhiều khoản nợ chưa thanh toán, bạn có ba lựa chọn về việc dùng cái gì làm mệnh giá của nợ:</w:t>
      </w:r>
    </w:p>
    <w:p>
      <w:pPr>
        <w:numPr>
          <w:ilvl w:val="0"/>
          <w:numId w:val="358"/>
        </w:numPr>
        <w:pStyle w:val="Para 01"/>
      </w:pPr>
      <w:r>
        <w:t>Bạn có thể cộng tất cả số vốn gốc phải trả của toàn bộ khoản nợ của doanh nghiệp, rồi coi đó là mệnh giá của trái phiếu không coupon giả định mà bạn giả sử doanh nghiệp của bạn đã phát hành. Hạn chế của cách tiếp cận này là nó sẽ đánh giá thấp số tiền mà doanh nghiệp thực sự phải chi trả trong suốt vòng đời của khoản nợ, vì sẽ có các khoản thanh toán coupon và lãi trong khoảng thời gian đó.</w:t>
      </w:r>
    </w:p>
    <w:p>
      <w:pPr>
        <w:numPr>
          <w:ilvl w:val="0"/>
          <w:numId w:val="358"/>
        </w:numPr>
        <w:pStyle w:val="Para 01"/>
      </w:pPr>
      <w:r>
        <w:t>Ở thái cực ngược lại, bạn có thể cộng các khoản lãi và coupon dự kiến sẽ đến hạn trên khoản nợ vào các khoản thanh toán gốc, để ra một mệnh giá nợ lũy kế. Vì các khoản thanh toán lãi xảy ra trong những năm gần đây còn các khoản thanh toán gốc chỉ đến hạn khi khoản nợ đáo hạn, bạn đang trộn lẫn các dòng tiền ở những thời điểm khác nhau khi làm điều này. Tuy nhiên, đây là cách tiếp cận đơn giản nhất để xử lý các khoản thanh toán lãi trung gian đến hạn.</w:t>
      </w:r>
    </w:p>
    <w:p>
      <w:pPr>
        <w:numPr>
          <w:ilvl w:val="0"/>
          <w:numId w:val="358"/>
        </w:numPr>
        <w:pStyle w:val="Para 01"/>
      </w:pPr>
      <w:r>
        <w:t>Bạn có thể chỉ coi phần gốc phải trả của khoản nợ là mệnh giá của nợ, và các khoản thanh toán lãi mỗi năm, được xác định theo phần trăm giá trị doanh nghiệp, có thể thay thế cho lợi suất cổ tức trong mô hình định giá quyền chọn. Thực chất, mỗi năm mà doanh nghiệp còn tồn tại, bạn sẽ kỳ vọng thấy giá trị doanh nghiệp giảm đi bằng các khoản thanh toán dự kiến trên khoản nợ.</w:t>
      </w:r>
    </w:p>
    <w:p>
      <w:pPr>
        <w:pStyle w:val="Para 11"/>
      </w:pPr>
      <w:r>
        <w:t xml:space="preserve"> </w:t>
      </w:r>
    </w:p>
    <w:p>
      <w:bookmarkStart w:id="6264" w:name="ILLUSTRATION_30_5___Valuing_Equi_1"/>
      <w:bookmarkStart w:id="6265" w:name="ILLUSTRATION_30_5___Valuing_Equi"/>
      <w:pPr>
        <w:keepNext/>
        <w:pStyle w:val="Para 19"/>
        <w:keepLines w:val="on"/>
      </w:pPr>
      <w:r>
        <w:t>MINH HỌA 30.5: Định giá vốn chủ sở hữu như một quyền chọn: Eurotunnel năm 1997</w:t>
      </w:r>
      <w:bookmarkEnd w:id="6264"/>
      <w:bookmarkEnd w:id="6265"/>
    </w:p>
    <w:p>
      <w:pPr>
        <w:pStyle w:val="Para 04"/>
        <w:keepLines w:val="on"/>
      </w:pPr>
      <w:r>
        <w:t>Eurotunnel là doanh nghiệp được thành lập để xây dựng và cuối cùng là thu lợi từ đường hầm dưới eo biển English Channel nối Anh và Pháp. Đường hầm đã sẵn sàng đi vào hoạt động vào đầu những năm 1990 nhưng không thành công về mặt thương mại, báo lỗ đáng kể mỗi năm sau khi khai trương. Vào đầu năm 1998, Eurotunnel có giá trị sổ sách của vốn chủ sở hữu là −117 triệu bảng Anh, và trong năm 1997, doanh nghiệp báo cáo lợi nhuận trước lãi và thuế là −3,45 triệu bảng Anh và thu nhập ròng là −611 triệu bảng Anh trên doanh thu 456 triệu bảng Anh. Xét theo bất kỳ thước đo nào, đây là một doanh nghiệp đang gặp khó khăn về tài chính.</w:t>
      </w:r>
    </w:p>
    <w:p>
      <w:pPr>
        <w:pStyle w:val="Para 04"/>
        <w:keepLines w:val="on"/>
      </w:pPr>
      <w:r>
        <w:t>Phần lớn nguồn tài trợ cho đường hầm đến từ nợ, và vào cuối năm 1997, Eurotunnel có các nghĩa vụ nợ vượt quá 8.000 triệu bảng Anh, huy động từ nhiều đợt phát hành trái phiếu và nợ ngân hàng khác nhau. Cộng thêm các khoản thanh toán lãi và coupon dự kiến vào khoản nợ đưa tổng nghĩa vụ của doanh nghiệp lên tới 8.865 triệu bảng Anh. Bảng 30.1 tóm tắt khoản nợ chưa thanh toán của doanh nghiệp, cùng với các ước tính của chúng tôi về duration dự kiến cho từng loại nợ:</w:t>
      </w:r>
    </w:p>
    <w:p>
      <w:pPr>
        <w:pStyle w:val="Para 25"/>
        <w:keepLines w:val="on"/>
      </w:pPr>
      <w:r>
        <w:t>Bảng 30.1</w:t>
      </w:r>
    </w:p>
    <w:p>
      <w:pPr>
        <w:keepNext/>
        <w:pStyle w:val="Para 24"/>
        <w:keepLines w:val="on"/>
      </w:pPr>
      <w:r>
        <w:t>Phân tích nợ theo duration</w:t>
      </w:r>
    </w:p>
    <w:tbl>
      <w:tblPr>
        <w:tblW w:type="auto" w:w="0"/>
      </w:tblPr>
      <w:tr>
        <w:tc>
          <w:tcPr>
            <w:tcW w:type="auto" w:w="0"/>
          </w:tcPr>
          <w:tbl>
            <w:tblPr>
              <w:tblW w:type="auto" w:w="0"/>
            </w:tblPr>
            <w:tr>
              <w:tc>
                <w:tcPr>
                  <w:tcW w:type="auto" w:w="0"/>
                  <w:shd w:val="clear" w:color="auto" w:fill="F0F0F0"/>
                </w:tcPr>
                <w:p>
                  <w:pPr>
                    <w:pStyle w:val="Para 32"/>
                    <w:keepLines w:val="on"/>
                  </w:pPr>
                  <w:r>
                    <w:t>Loại nợ</w:t>
                  </w:r>
                </w:p>
              </w:tc>
              <w:tc>
                <w:tcPr>
                  <w:tcW w:type="auto" w:w="0"/>
                  <w:shd w:val="clear" w:color="auto" w:fill="F0F0F0"/>
                </w:tcPr>
                <w:p>
                  <w:pPr>
                    <w:pStyle w:val="Para 05"/>
                    <w:keepLines w:val="on"/>
                  </w:pPr>
                  <w:r>
                    <w:t>Mệnh giá (bao gồm coupon lũy kế)</w:t>
                  </w:r>
                </w:p>
              </w:tc>
              <w:tc>
                <w:tcPr>
                  <w:tcW w:type="auto" w:w="0"/>
                  <w:shd w:val="clear" w:color="auto" w:fill="F0F0F0"/>
                </w:tcPr>
                <w:p>
                  <w:pPr>
                    <w:pStyle w:val="Para 05"/>
                    <w:keepLines w:val="on"/>
                  </w:pPr>
                  <w:r>
                    <w:t>Duration (năm)</w:t>
                  </w:r>
                </w:p>
              </w:tc>
            </w:tr>
            <w:tr>
              <w:tc>
                <w:tcPr>
                  <w:tcW w:type="auto" w:w="0"/>
                  <w:shd w:val="clear" w:color="auto" w:fill="F0F0F0"/>
                </w:tcPr>
                <w:p>
                  <w:pPr>
                    <w:pStyle w:val="Para 02"/>
                    <w:keepLines w:val="on"/>
                  </w:pPr>
                  <w:r>
                    <w:t>Ngắn hạn</w:t>
                  </w:r>
                </w:p>
              </w:tc>
              <w:tc>
                <w:tcPr>
                  <w:tcW w:type="auto" w:w="0"/>
                  <w:shd w:val="clear" w:color="auto" w:fill="F0F0F0"/>
                </w:tcPr>
                <w:p>
                  <w:pPr>
                    <w:pStyle w:val="Normal"/>
                    <w:keepLines w:val="on"/>
                  </w:pPr>
                  <w:r>
                    <w:t>935 bảng Anh</w:t>
                  </w:r>
                </w:p>
              </w:tc>
              <w:tc>
                <w:tcPr>
                  <w:tcW w:type="auto" w:w="0"/>
                  <w:shd w:val="clear" w:color="auto" w:fill="F0F0F0"/>
                </w:tcPr>
                <w:p>
                  <w:pPr>
                    <w:pStyle w:val="Normal"/>
                    <w:keepLines w:val="on"/>
                  </w:pPr>
                  <w:r>
                    <w:t>0,50</w:t>
                  </w:r>
                </w:p>
              </w:tc>
            </w:tr>
            <w:tr>
              <w:tc>
                <w:tcPr>
                  <w:tcW w:type="auto" w:w="0"/>
                  <w:shd w:val="clear" w:color="auto" w:fill="F0F0F0"/>
                </w:tcPr>
                <w:p>
                  <w:pPr>
                    <w:pStyle w:val="Para 02"/>
                    <w:keepLines w:val="on"/>
                  </w:pPr>
                  <w:r>
                    <w:t>10 năm</w:t>
                  </w:r>
                </w:p>
              </w:tc>
              <w:tc>
                <w:tcPr>
                  <w:tcW w:type="auto" w:w="0"/>
                  <w:shd w:val="clear" w:color="auto" w:fill="F0F0F0"/>
                </w:tcPr>
                <w:p>
                  <w:pPr>
                    <w:pStyle w:val="Normal"/>
                    <w:keepLines w:val="on"/>
                  </w:pPr>
                  <w:r>
                    <w:t>2.435 bảng Anh</w:t>
                  </w:r>
                </w:p>
              </w:tc>
              <w:tc>
                <w:tcPr>
                  <w:tcW w:type="auto" w:w="0"/>
                  <w:shd w:val="clear" w:color="auto" w:fill="F0F0F0"/>
                </w:tcPr>
                <w:p>
                  <w:pPr>
                    <w:pStyle w:val="Normal"/>
                    <w:keepLines w:val="on"/>
                  </w:pPr>
                  <w:r>
                    <w:t>6,7</w:t>
                  </w:r>
                </w:p>
              </w:tc>
            </w:tr>
            <w:tr>
              <w:tc>
                <w:tcPr>
                  <w:tcW w:type="auto" w:w="0"/>
                  <w:shd w:val="clear" w:color="auto" w:fill="F0F0F0"/>
                </w:tcPr>
                <w:p>
                  <w:pPr>
                    <w:pStyle w:val="Para 02"/>
                    <w:keepLines w:val="on"/>
                  </w:pPr>
                  <w:r>
                    <w:t>20 năm</w:t>
                  </w:r>
                </w:p>
              </w:tc>
              <w:tc>
                <w:tcPr>
                  <w:tcW w:type="auto" w:w="0"/>
                  <w:shd w:val="clear" w:color="auto" w:fill="F0F0F0"/>
                </w:tcPr>
                <w:p>
                  <w:pPr>
                    <w:pStyle w:val="Normal"/>
                    <w:keepLines w:val="on"/>
                  </w:pPr>
                  <w:r>
                    <w:t>3.555 bảng Anh</w:t>
                  </w:r>
                </w:p>
              </w:tc>
              <w:tc>
                <w:tcPr>
                  <w:tcW w:type="auto" w:w="0"/>
                  <w:shd w:val="clear" w:color="auto" w:fill="F0F0F0"/>
                </w:tcPr>
                <w:p>
                  <w:pPr>
                    <w:pStyle w:val="Normal"/>
                    <w:keepLines w:val="on"/>
                  </w:pPr>
                  <w:r>
                    <w:t>12,6</w:t>
                  </w:r>
                </w:p>
              </w:tc>
            </w:tr>
            <w:tr>
              <w:tc>
                <w:tcPr>
                  <w:tcW w:type="auto" w:w="0"/>
                  <w:shd w:val="clear" w:color="auto" w:fill="F0F0F0"/>
                </w:tcPr>
                <w:p>
                  <w:pPr>
                    <w:pStyle w:val="Para 02"/>
                    <w:keepLines w:val="on"/>
                  </w:pPr>
                  <w:r>
                    <w:t>Dài hơn</w:t>
                  </w:r>
                </w:p>
              </w:tc>
              <w:tc>
                <w:tcPr>
                  <w:tcW w:type="auto" w:w="0"/>
                  <w:shd w:val="clear" w:color="auto" w:fill="F0F0F0"/>
                </w:tcPr>
                <w:p>
                  <w:pPr>
                    <w:pStyle w:val="Normal"/>
                    <w:keepLines w:val="on"/>
                  </w:pPr>
                  <w:r>
                    <w:t>1.940 bảng Anh</w:t>
                  </w:r>
                </w:p>
              </w:tc>
              <w:tc>
                <w:tcPr>
                  <w:tcW w:type="auto" w:w="0"/>
                  <w:shd w:val="clear" w:color="auto" w:fill="F0F0F0"/>
                </w:tcPr>
                <w:p>
                  <w:pPr>
                    <w:pStyle w:val="Normal"/>
                    <w:keepLines w:val="on"/>
                  </w:pPr>
                  <w:r>
                    <w:t>18,2</w:t>
                  </w:r>
                </w:p>
              </w:tc>
            </w:tr>
            <w:tr>
              <w:tc>
                <w:tcPr>
                  <w:tcW w:type="auto" w:w="0"/>
                  <w:shd w:val="clear" w:color="auto" w:fill="F0F0F0"/>
                </w:tcPr>
                <w:p>
                  <w:pPr>
                    <w:pStyle w:val="Para 51"/>
                    <w:keepLines w:val="on"/>
                  </w:pPr>
                  <w:r>
                    <w:t>Tổng cộng</w:t>
                  </w:r>
                </w:p>
              </w:tc>
              <w:tc>
                <w:tcPr>
                  <w:tcW w:type="auto" w:w="0"/>
                  <w:shd w:val="clear" w:color="auto" w:fill="F0F0F0"/>
                </w:tcPr>
                <w:p>
                  <w:pPr>
                    <w:pStyle w:val="Para 47"/>
                    <w:keepLines w:val="on"/>
                  </w:pPr>
                  <w:r>
                    <w:t>8.865 triệu bảng Anh</w:t>
                  </w:r>
                </w:p>
              </w:tc>
              <w:tc>
                <w:tcPr>
                  <w:tcW w:type="auto" w:w="0"/>
                  <w:shd w:val="clear" w:color="auto" w:fill="F0F0F0"/>
                </w:tcPr>
                <w:p>
                  <w:pPr>
                    <w:pStyle w:val="Para 47"/>
                    <w:keepLines w:val="on"/>
                  </w:pPr>
                  <w:r>
                    <w:t>10,93</w:t>
                  </w:r>
                </w:p>
              </w:tc>
            </w:tr>
          </w:tbl>
          <w:p/>
        </w:tc>
      </w:tr>
    </w:tbl>
    <w:p>
      <w:pPr>
        <w:pStyle w:val="Para 04"/>
        <w:keepLines w:val="on"/>
      </w:pPr>
      <w:r>
        <w:t>Tài sản đáng kể duy nhất của công ty là quyền sở hữu đường hầm, và chúng tôi đã ước tính giá trị của tài sản này từ dòng tiền kỳ vọng của nó cùng chi phí vốn phù hợp. Các giả định như sau:</w:t>
      </w:r>
    </w:p>
    <w:p>
      <w:pPr>
        <w:numPr>
          <w:ilvl w:val="0"/>
          <w:numId w:val="359"/>
        </w:numPr>
        <w:pStyle w:val="Para 18"/>
        <w:keepLines w:val="on"/>
      </w:pPr>
      <w:r>
        <w:t>Doanh thu sẽ tăng 10% mỗi năm trong năm năm và 3% sau đó.</w:t>
      </w:r>
    </w:p>
    <w:p>
      <w:pPr>
        <w:numPr>
          <w:ilvl w:val="0"/>
          <w:numId w:val="359"/>
        </w:numPr>
        <w:pStyle w:val="Para 18"/>
        <w:keepLines w:val="on"/>
      </w:pPr>
      <w:r>
        <w:t>Chi phí hoạt động trực tiếp, vốn chiếm 72% doanh thu vào năm 1997, sẽ giảm xuống còn 60% doanh thu vào năm 2002 theo các mức tăng tuyến tính và giữ nguyên ở mức đó. (Con số này không bao gồm khấu hao.)</w:t>
      </w:r>
    </w:p>
    <w:p>
      <w:pPr>
        <w:numPr>
          <w:ilvl w:val="0"/>
          <w:numId w:val="359"/>
        </w:numPr>
        <w:pStyle w:val="Para 18"/>
        <w:keepLines w:val="on"/>
      </w:pPr>
      <w:r>
        <w:t>Trong năm gần nhất, chi tiêu vốn là 45 triệu đô la và khấu hao lên tới 137 triệu đô la. Chi tiêu vốn và khấu hao sẽ tăng 3% mỗi năm trong năm năm tới. Sau năm thứ 5, chi tiêu vốn sẽ bù đắp cho khấu hao.</w:t>
      </w:r>
    </w:p>
    <w:p>
      <w:pPr>
        <w:numPr>
          <w:ilvl w:val="0"/>
          <w:numId w:val="359"/>
        </w:numPr>
        <w:pStyle w:val="Para 18"/>
        <w:keepLines w:val="on"/>
      </w:pPr>
      <w:r>
        <w:t>Không có yêu cầu về vốn lưu động.</w:t>
      </w:r>
    </w:p>
    <w:p>
      <w:pPr>
        <w:numPr>
          <w:ilvl w:val="0"/>
          <w:numId w:val="359"/>
        </w:numPr>
        <w:pStyle w:val="Para 18"/>
        <w:keepLines w:val="on"/>
      </w:pPr>
      <w:r>
        <w:t>Tỷ lệ nợ, vốn là 95,35% vào cuối năm 1997, sẽ giảm xuống còn 70% vào năm 2002. Chi phí nợ là 10% trong năm năm tới và 8% sau đó.</w:t>
      </w:r>
    </w:p>
    <w:p>
      <w:pPr>
        <w:numPr>
          <w:ilvl w:val="0"/>
          <w:numId w:val="359"/>
        </w:numPr>
        <w:pStyle w:val="Para 18"/>
        <w:keepLines w:val="on"/>
      </w:pPr>
      <w:r>
        <w:t>Beta của cổ phiếu sẽ là 2,00 trong năm năm tới và giảm xuống còn 0,80 sau đó (khi đòn bẩy giảm xuống).</w:t>
      </w:r>
    </w:p>
    <w:p>
      <w:pPr>
        <w:pStyle w:val="Para 04"/>
        <w:keepLines w:val="on"/>
      </w:pPr>
      <w:r>
        <w:t>Lãi suất trái phiếu dài hạn tại thời điểm định giá là 6% và phần bù rủi ro là 5,5%. Dựa trên những giả định này, chúng tôi đã ước tính dòng tiền trong Bảng 30.2:</w:t>
      </w:r>
    </w:p>
    <w:p>
      <w:pPr>
        <w:pStyle w:val="Para 25"/>
        <w:keepLines w:val="on"/>
      </w:pPr>
      <w:r>
        <w:t>Bảng 30.2</w:t>
      </w:r>
    </w:p>
    <w:p>
      <w:pPr>
        <w:keepNext/>
        <w:pStyle w:val="Para 24"/>
        <w:keepLines w:val="on"/>
      </w:pPr>
      <w:r>
        <w:t>Dòng tiền kỳ vọng cho công ty</w:t>
      </w:r>
    </w:p>
    <w:tbl>
      <w:tblPr>
        <w:tblW w:type="auto" w:w="0"/>
      </w:tblPr>
      <w:tr>
        <w:tc>
          <w:tcPr>
            <w:tcW w:type="auto" w:w="0"/>
          </w:tcPr>
          <w:tbl>
            <w:tblPr>
              <w:tblW w:type="auto" w:w="0"/>
            </w:tblPr>
            <w:tr>
              <w:tc>
                <w:tcPr>
                  <w:tcW w:type="auto" w:w="0"/>
                  <w:shd w:val="clear" w:color="auto" w:fill="F0F0F0"/>
                </w:tcPr>
                <w:p>
                  <w:pPr>
                    <w:pStyle w:val="Para 17"/>
                    <w:keepLines w:val="on"/>
                  </w:pPr>
                  <w:r>
                    <w:t/>
                  </w:r>
                </w:p>
              </w:tc>
              <w:tc>
                <w:tcPr>
                  <w:tcW w:type="auto" w:w="0"/>
                  <w:shd w:val="clear" w:color="auto" w:fill="F0F0F0"/>
                </w:tcPr>
                <w:p>
                  <w:pPr>
                    <w:pStyle w:val="Para 05"/>
                    <w:keepLines w:val="on"/>
                  </w:pPr>
                  <w:r>
                    <w:t>1</w:t>
                  </w:r>
                </w:p>
              </w:tc>
              <w:tc>
                <w:tcPr>
                  <w:tcW w:type="auto" w:w="0"/>
                  <w:shd w:val="clear" w:color="auto" w:fill="F0F0F0"/>
                </w:tcPr>
                <w:p>
                  <w:pPr>
                    <w:pStyle w:val="Para 05"/>
                    <w:keepLines w:val="on"/>
                  </w:pPr>
                  <w:r>
                    <w:t>2</w:t>
                  </w:r>
                </w:p>
              </w:tc>
              <w:tc>
                <w:tcPr>
                  <w:tcW w:type="auto" w:w="0"/>
                  <w:shd w:val="clear" w:color="auto" w:fill="F0F0F0"/>
                </w:tcPr>
                <w:p>
                  <w:pPr>
                    <w:pStyle w:val="Para 05"/>
                    <w:keepLines w:val="on"/>
                  </w:pPr>
                  <w:r>
                    <w:t>3</w:t>
                  </w:r>
                </w:p>
              </w:tc>
              <w:tc>
                <w:tcPr>
                  <w:tcW w:type="auto" w:w="0"/>
                  <w:shd w:val="clear" w:color="auto" w:fill="F0F0F0"/>
                </w:tcPr>
                <w:p>
                  <w:pPr>
                    <w:pStyle w:val="Para 05"/>
                    <w:keepLines w:val="on"/>
                  </w:pPr>
                  <w:r>
                    <w:t>4</w:t>
                  </w:r>
                </w:p>
              </w:tc>
              <w:tc>
                <w:tcPr>
                  <w:tcW w:type="auto" w:w="0"/>
                  <w:shd w:val="clear" w:color="auto" w:fill="F0F0F0"/>
                </w:tcPr>
                <w:p>
                  <w:pPr>
                    <w:pStyle w:val="Para 05"/>
                    <w:keepLines w:val="on"/>
                  </w:pPr>
                  <w:r>
                    <w:t>5</w:t>
                  </w:r>
                </w:p>
              </w:tc>
              <w:tc>
                <w:tcPr>
                  <w:tcW w:type="auto" w:w="0"/>
                  <w:shd w:val="clear" w:color="auto" w:fill="F0F0F0"/>
                </w:tcPr>
                <w:p>
                  <w:pPr>
                    <w:pStyle w:val="Para 05"/>
                    <w:keepLines w:val="on"/>
                  </w:pPr>
                  <w:r>
                    <w:t>Năm kết thúc</w:t>
                  </w:r>
                </w:p>
              </w:tc>
            </w:tr>
            <w:tr>
              <w:tc>
                <w:tcPr>
                  <w:tcW w:type="auto" w:w="0"/>
                  <w:shd w:val="clear" w:color="auto" w:fill="F0F0F0"/>
                </w:tcPr>
                <w:p>
                  <w:pPr>
                    <w:pStyle w:val="Para 02"/>
                    <w:keepLines w:val="on"/>
                  </w:pPr>
                  <w:r>
                    <w:t>Doanh thu</w:t>
                  </w:r>
                </w:p>
              </w:tc>
              <w:tc>
                <w:tcPr>
                  <w:tcW w:type="auto" w:w="0"/>
                  <w:shd w:val="clear" w:color="auto" w:fill="F0F0F0"/>
                </w:tcPr>
                <w:p>
                  <w:pPr>
                    <w:pStyle w:val="Normal"/>
                    <w:keepLines w:val="on"/>
                  </w:pPr>
                  <w:r>
                    <w:t>$501,60</w:t>
                  </w:r>
                </w:p>
              </w:tc>
              <w:tc>
                <w:tcPr>
                  <w:tcW w:type="auto" w:w="0"/>
                  <w:shd w:val="clear" w:color="auto" w:fill="F0F0F0"/>
                </w:tcPr>
                <w:p>
                  <w:pPr>
                    <w:pStyle w:val="Normal"/>
                    <w:keepLines w:val="on"/>
                  </w:pPr>
                  <w:r>
                    <w:t>$551,76</w:t>
                  </w:r>
                </w:p>
              </w:tc>
              <w:tc>
                <w:tcPr>
                  <w:tcW w:type="auto" w:w="0"/>
                  <w:shd w:val="clear" w:color="auto" w:fill="F0F0F0"/>
                </w:tcPr>
                <w:p>
                  <w:pPr>
                    <w:pStyle w:val="Normal"/>
                    <w:keepLines w:val="on"/>
                  </w:pPr>
                  <w:r>
                    <w:t>$606,94</w:t>
                  </w:r>
                </w:p>
              </w:tc>
              <w:tc>
                <w:tcPr>
                  <w:tcW w:type="auto" w:w="0"/>
                  <w:shd w:val="clear" w:color="auto" w:fill="F0F0F0"/>
                </w:tcPr>
                <w:p>
                  <w:pPr>
                    <w:pStyle w:val="Normal"/>
                    <w:keepLines w:val="on"/>
                  </w:pPr>
                  <w:r>
                    <w:t>$667,63</w:t>
                  </w:r>
                </w:p>
              </w:tc>
              <w:tc>
                <w:tcPr>
                  <w:tcW w:type="auto" w:w="0"/>
                  <w:shd w:val="clear" w:color="auto" w:fill="F0F0F0"/>
                </w:tcPr>
                <w:p>
                  <w:pPr>
                    <w:pStyle w:val="Normal"/>
                    <w:keepLines w:val="on"/>
                  </w:pPr>
                  <w:r>
                    <w:t>$734,39</w:t>
                  </w:r>
                </w:p>
              </w:tc>
              <w:tc>
                <w:tcPr>
                  <w:tcW w:type="auto" w:w="0"/>
                  <w:shd w:val="clear" w:color="auto" w:fill="F0F0F0"/>
                </w:tcPr>
                <w:p>
                  <w:pPr>
                    <w:pStyle w:val="Normal"/>
                    <w:keepLines w:val="on"/>
                  </w:pPr>
                  <w:r>
                    <w:t>$756,42</w:t>
                  </w:r>
                </w:p>
              </w:tc>
            </w:tr>
            <w:tr>
              <w:tc>
                <w:tcPr>
                  <w:tcW w:type="auto" w:w="0"/>
                  <w:shd w:val="clear" w:color="auto" w:fill="F0F0F0"/>
                </w:tcPr>
                <w:p>
                  <w:pPr>
                    <w:pStyle w:val="Para 02"/>
                    <w:keepLines w:val="on"/>
                  </w:pPr>
                  <w:r>
                    <w:t>− Giá vốn hàng bán (COGS)</w:t>
                  </w:r>
                </w:p>
              </w:tc>
              <w:tc>
                <w:tcPr>
                  <w:tcW w:type="auto" w:w="0"/>
                  <w:shd w:val="clear" w:color="auto" w:fill="F0F0F0"/>
                </w:tcPr>
                <w:p>
                  <w:pPr>
                    <w:pStyle w:val="Normal"/>
                    <w:keepLines w:val="on"/>
                  </w:pPr>
                  <w:r>
                    <w:t>$361,15</w:t>
                  </w:r>
                </w:p>
              </w:tc>
              <w:tc>
                <w:tcPr>
                  <w:tcW w:type="auto" w:w="0"/>
                  <w:shd w:val="clear" w:color="auto" w:fill="F0F0F0"/>
                </w:tcPr>
                <w:p>
                  <w:pPr>
                    <w:pStyle w:val="Normal"/>
                    <w:keepLines w:val="on"/>
                  </w:pPr>
                  <w:r>
                    <w:t>$380,71</w:t>
                  </w:r>
                </w:p>
              </w:tc>
              <w:tc>
                <w:tcPr>
                  <w:tcW w:type="auto" w:w="0"/>
                  <w:shd w:val="clear" w:color="auto" w:fill="F0F0F0"/>
                </w:tcPr>
                <w:p>
                  <w:pPr>
                    <w:pStyle w:val="Normal"/>
                    <w:keepLines w:val="on"/>
                  </w:pPr>
                  <w:r>
                    <w:t>$400,58</w:t>
                  </w:r>
                </w:p>
              </w:tc>
              <w:tc>
                <w:tcPr>
                  <w:tcW w:type="auto" w:w="0"/>
                  <w:shd w:val="clear" w:color="auto" w:fill="F0F0F0"/>
                </w:tcPr>
                <w:p>
                  <w:pPr>
                    <w:pStyle w:val="Normal"/>
                    <w:keepLines w:val="on"/>
                  </w:pPr>
                  <w:r>
                    <w:t>$420,61</w:t>
                  </w:r>
                </w:p>
              </w:tc>
              <w:tc>
                <w:tcPr>
                  <w:tcW w:type="auto" w:w="0"/>
                  <w:shd w:val="clear" w:color="auto" w:fill="F0F0F0"/>
                </w:tcPr>
                <w:p>
                  <w:pPr>
                    <w:pStyle w:val="Normal"/>
                    <w:keepLines w:val="on"/>
                  </w:pPr>
                  <w:r>
                    <w:t>$440,64</w:t>
                  </w:r>
                </w:p>
              </w:tc>
              <w:tc>
                <w:tcPr>
                  <w:tcW w:type="auto" w:w="0"/>
                  <w:shd w:val="clear" w:color="auto" w:fill="F0F0F0"/>
                </w:tcPr>
                <w:p>
                  <w:pPr>
                    <w:pStyle w:val="Normal"/>
                    <w:keepLines w:val="on"/>
                  </w:pPr>
                  <w:r>
                    <w:t>$453,85</w:t>
                  </w:r>
                </w:p>
              </w:tc>
            </w:tr>
            <w:tr>
              <w:tc>
                <w:tcPr>
                  <w:tcW w:type="auto" w:w="0"/>
                  <w:shd w:val="clear" w:color="auto" w:fill="F0F0F0"/>
                </w:tcPr>
                <w:p>
                  <w:pPr>
                    <w:pStyle w:val="Para 02"/>
                    <w:keepLines w:val="on"/>
                  </w:pPr>
                  <w:r>
                    <w:t>− Khấu hao</w:t>
                  </w:r>
                </w:p>
              </w:tc>
              <w:tc>
                <w:tcPr>
                  <w:tcW w:type="auto" w:w="0"/>
                  <w:shd w:val="clear" w:color="auto" w:fill="F0F0F0"/>
                </w:tcPr>
                <w:p>
                  <w:pPr>
                    <w:pStyle w:val="Normal"/>
                    <w:keepLines w:val="on"/>
                  </w:pPr>
                  <w:r>
                    <w:t>$141,11</w:t>
                  </w:r>
                </w:p>
              </w:tc>
              <w:tc>
                <w:tcPr>
                  <w:tcW w:type="auto" w:w="0"/>
                  <w:shd w:val="clear" w:color="auto" w:fill="F0F0F0"/>
                </w:tcPr>
                <w:p>
                  <w:pPr>
                    <w:pStyle w:val="Normal"/>
                    <w:keepLines w:val="on"/>
                  </w:pPr>
                  <w:r>
                    <w:t>$145,34</w:t>
                  </w:r>
                </w:p>
              </w:tc>
              <w:tc>
                <w:tcPr>
                  <w:tcW w:type="auto" w:w="0"/>
                  <w:shd w:val="clear" w:color="auto" w:fill="F0F0F0"/>
                </w:tcPr>
                <w:p>
                  <w:pPr>
                    <w:pStyle w:val="Normal"/>
                    <w:keepLines w:val="on"/>
                  </w:pPr>
                  <w:r>
                    <w:t>$149,70</w:t>
                  </w:r>
                </w:p>
              </w:tc>
              <w:tc>
                <w:tcPr>
                  <w:tcW w:type="auto" w:w="0"/>
                  <w:shd w:val="clear" w:color="auto" w:fill="F0F0F0"/>
                </w:tcPr>
                <w:p>
                  <w:pPr>
                    <w:pStyle w:val="Normal"/>
                    <w:keepLines w:val="on"/>
                  </w:pPr>
                  <w:r>
                    <w:t>$154,19</w:t>
                  </w:r>
                </w:p>
              </w:tc>
              <w:tc>
                <w:tcPr>
                  <w:tcW w:type="auto" w:w="0"/>
                  <w:shd w:val="clear" w:color="auto" w:fill="F0F0F0"/>
                </w:tcPr>
                <w:p>
                  <w:pPr>
                    <w:pStyle w:val="Normal"/>
                    <w:keepLines w:val="on"/>
                  </w:pPr>
                  <w:r>
                    <w:t>$158,82</w:t>
                  </w:r>
                </w:p>
              </w:tc>
              <w:tc>
                <w:tcPr>
                  <w:tcW w:type="auto" w:w="0"/>
                  <w:shd w:val="clear" w:color="auto" w:fill="F0F0F0"/>
                </w:tcPr>
                <w:p>
                  <w:pPr>
                    <w:pStyle w:val="Normal"/>
                    <w:keepLines w:val="on"/>
                  </w:pPr>
                  <w:r>
                    <w:t>$163,59</w:t>
                  </w:r>
                </w:p>
              </w:tc>
            </w:tr>
            <w:tr>
              <w:tc>
                <w:tcPr>
                  <w:tcW w:type="auto" w:w="0"/>
                  <w:shd w:val="clear" w:color="auto" w:fill="F0F0F0"/>
                </w:tcPr>
                <w:p>
                  <w:pPr>
                    <w:pStyle w:val="Para 02"/>
                    <w:keepLines w:val="on"/>
                  </w:pPr>
                  <w:r>
                    <w:t>EBIT (lợi nhuận trước lãi vay và thuế)</w:t>
                  </w:r>
                </w:p>
              </w:tc>
              <w:tc>
                <w:tcPr>
                  <w:tcW w:type="auto" w:w="0"/>
                  <w:shd w:val="clear" w:color="auto" w:fill="F0F0F0"/>
                </w:tcPr>
                <w:p>
                  <w:pPr>
                    <w:pStyle w:val="Normal"/>
                    <w:keepLines w:val="on"/>
                  </w:pPr>
                  <w:r>
                    <w:t>−$0,66</w:t>
                  </w:r>
                </w:p>
              </w:tc>
              <w:tc>
                <w:tcPr>
                  <w:tcW w:type="auto" w:w="0"/>
                  <w:shd w:val="clear" w:color="auto" w:fill="F0F0F0"/>
                </w:tcPr>
                <w:p>
                  <w:pPr>
                    <w:pStyle w:val="Normal"/>
                    <w:keepLines w:val="on"/>
                  </w:pPr>
                  <w:r>
                    <w:t>$25,70</w:t>
                  </w:r>
                </w:p>
              </w:tc>
              <w:tc>
                <w:tcPr>
                  <w:tcW w:type="auto" w:w="0"/>
                  <w:shd w:val="clear" w:color="auto" w:fill="F0F0F0"/>
                </w:tcPr>
                <w:p>
                  <w:pPr>
                    <w:pStyle w:val="Normal"/>
                    <w:keepLines w:val="on"/>
                  </w:pPr>
                  <w:r>
                    <w:t>$56,65</w:t>
                  </w:r>
                </w:p>
              </w:tc>
              <w:tc>
                <w:tcPr>
                  <w:tcW w:type="auto" w:w="0"/>
                  <w:shd w:val="clear" w:color="auto" w:fill="F0F0F0"/>
                </w:tcPr>
                <w:p>
                  <w:pPr>
                    <w:pStyle w:val="Normal"/>
                    <w:keepLines w:val="on"/>
                  </w:pPr>
                  <w:r>
                    <w:t>$92,83</w:t>
                  </w:r>
                </w:p>
              </w:tc>
              <w:tc>
                <w:tcPr>
                  <w:tcW w:type="auto" w:w="0"/>
                  <w:shd w:val="clear" w:color="auto" w:fill="F0F0F0"/>
                </w:tcPr>
                <w:p>
                  <w:pPr>
                    <w:pStyle w:val="Normal"/>
                    <w:keepLines w:val="on"/>
                  </w:pPr>
                  <w:r>
                    <w:t>$134,94</w:t>
                  </w:r>
                </w:p>
              </w:tc>
              <w:tc>
                <w:tcPr>
                  <w:tcW w:type="auto" w:w="0"/>
                  <w:shd w:val="clear" w:color="auto" w:fill="F0F0F0"/>
                </w:tcPr>
                <w:p>
                  <w:pPr>
                    <w:pStyle w:val="Normal"/>
                    <w:keepLines w:val="on"/>
                  </w:pPr>
                  <w:r>
                    <w:t>$138,98</w:t>
                  </w:r>
                </w:p>
              </w:tc>
            </w:tr>
            <w:tr>
              <w:tc>
                <w:tcPr>
                  <w:tcW w:type="auto" w:w="0"/>
                  <w:shd w:val="clear" w:color="auto" w:fill="F0F0F0"/>
                </w:tcPr>
                <w:p>
                  <w:pPr>
                    <w:pStyle w:val="Para 02"/>
                    <w:keepLines w:val="on"/>
                  </w:pPr>
                  <w:r>
                    <w:t>− EBIT × t</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$19,83</w:t>
                  </w:r>
                </w:p>
              </w:tc>
              <w:tc>
                <w:tcPr>
                  <w:tcW w:type="auto" w:w="0"/>
                  <w:shd w:val="clear" w:color="auto" w:fill="F0F0F0"/>
                </w:tcPr>
                <w:p>
                  <w:pPr>
                    <w:pStyle w:val="Normal"/>
                    <w:keepLines w:val="on"/>
                  </w:pPr>
                  <w:r>
                    <w:t>$32,49</w:t>
                  </w:r>
                </w:p>
              </w:tc>
              <w:tc>
                <w:tcPr>
                  <w:tcW w:type="auto" w:w="0"/>
                  <w:shd w:val="clear" w:color="auto" w:fill="F0F0F0"/>
                </w:tcPr>
                <w:p>
                  <w:pPr>
                    <w:pStyle w:val="Normal"/>
                    <w:keepLines w:val="on"/>
                  </w:pPr>
                  <w:r>
                    <w:t>$47,23</w:t>
                  </w:r>
                </w:p>
              </w:tc>
              <w:tc>
                <w:tcPr>
                  <w:tcW w:type="auto" w:w="0"/>
                  <w:shd w:val="clear" w:color="auto" w:fill="F0F0F0"/>
                </w:tcPr>
                <w:p>
                  <w:pPr>
                    <w:pStyle w:val="Normal"/>
                    <w:keepLines w:val="on"/>
                  </w:pPr>
                  <w:r>
                    <w:t>$48,64</w:t>
                  </w:r>
                </w:p>
              </w:tc>
            </w:tr>
            <w:tr>
              <w:tc>
                <w:tcPr>
                  <w:tcW w:type="auto" w:w="0"/>
                  <w:shd w:val="clear" w:color="auto" w:fill="F0F0F0"/>
                </w:tcPr>
                <w:p>
                  <w:pPr>
                    <w:pStyle w:val="Para 02"/>
                    <w:keepLines w:val="on"/>
                  </w:pPr>
                  <w:r>
                    <w:t>EBIT(1 − t)</w:t>
                  </w:r>
                </w:p>
              </w:tc>
              <w:tc>
                <w:tcPr>
                  <w:tcW w:type="auto" w:w="0"/>
                  <w:shd w:val="clear" w:color="auto" w:fill="F0F0F0"/>
                </w:tcPr>
                <w:p>
                  <w:pPr>
                    <w:pStyle w:val="Normal"/>
                    <w:keepLines w:val="on"/>
                  </w:pPr>
                  <w:r>
                    <w:t>−$0,66</w:t>
                  </w:r>
                </w:p>
              </w:tc>
              <w:tc>
                <w:tcPr>
                  <w:tcW w:type="auto" w:w="0"/>
                  <w:shd w:val="clear" w:color="auto" w:fill="F0F0F0"/>
                </w:tcPr>
                <w:p>
                  <w:pPr>
                    <w:pStyle w:val="Normal"/>
                    <w:keepLines w:val="on"/>
                  </w:pPr>
                  <w:r>
                    <w:t>$16,71</w:t>
                  </w:r>
                </w:p>
              </w:tc>
              <w:tc>
                <w:tcPr>
                  <w:tcW w:type="auto" w:w="0"/>
                  <w:shd w:val="clear" w:color="auto" w:fill="F0F0F0"/>
                </w:tcPr>
                <w:p>
                  <w:pPr>
                    <w:pStyle w:val="Normal"/>
                    <w:keepLines w:val="on"/>
                  </w:pPr>
                  <w:r>
                    <w:t>$36,83</w:t>
                  </w:r>
                </w:p>
              </w:tc>
              <w:tc>
                <w:tcPr>
                  <w:tcW w:type="auto" w:w="0"/>
                  <w:shd w:val="clear" w:color="auto" w:fill="F0F0F0"/>
                </w:tcPr>
                <w:p>
                  <w:pPr>
                    <w:pStyle w:val="Normal"/>
                    <w:keepLines w:val="on"/>
                  </w:pPr>
                  <w:r>
                    <w:t>$60,34</w:t>
                  </w:r>
                </w:p>
              </w:tc>
              <w:tc>
                <w:tcPr>
                  <w:tcW w:type="auto" w:w="0"/>
                  <w:shd w:val="clear" w:color="auto" w:fill="F0F0F0"/>
                </w:tcPr>
                <w:p>
                  <w:pPr>
                    <w:pStyle w:val="Normal"/>
                    <w:keepLines w:val="on"/>
                  </w:pPr>
                  <w:r>
                    <w:t>$87,71</w:t>
                  </w:r>
                </w:p>
              </w:tc>
              <w:tc>
                <w:tcPr>
                  <w:tcW w:type="auto" w:w="0"/>
                  <w:shd w:val="clear" w:color="auto" w:fill="F0F0F0"/>
                </w:tcPr>
                <w:p>
                  <w:pPr>
                    <w:pStyle w:val="Normal"/>
                    <w:keepLines w:val="on"/>
                  </w:pPr>
                  <w:r>
                    <w:t>$90,34</w:t>
                  </w:r>
                </w:p>
              </w:tc>
            </w:tr>
            <w:tr>
              <w:tc>
                <w:tcPr>
                  <w:tcW w:type="auto" w:w="0"/>
                  <w:shd w:val="clear" w:color="auto" w:fill="F0F0F0"/>
                </w:tcPr>
                <w:p>
                  <w:pPr>
                    <w:pStyle w:val="Para 02"/>
                    <w:keepLines w:val="on"/>
                  </w:pPr>
                  <w:r>
                    <w:t>+ Khấu hao</w:t>
                  </w:r>
                </w:p>
              </w:tc>
              <w:tc>
                <w:tcPr>
                  <w:tcW w:type="auto" w:w="0"/>
                  <w:shd w:val="clear" w:color="auto" w:fill="F0F0F0"/>
                </w:tcPr>
                <w:p>
                  <w:pPr>
                    <w:pStyle w:val="Normal"/>
                    <w:keepLines w:val="on"/>
                  </w:pPr>
                  <w:r>
                    <w:t>$141,11</w:t>
                  </w:r>
                </w:p>
              </w:tc>
              <w:tc>
                <w:tcPr>
                  <w:tcW w:type="auto" w:w="0"/>
                  <w:shd w:val="clear" w:color="auto" w:fill="F0F0F0"/>
                </w:tcPr>
                <w:p>
                  <w:pPr>
                    <w:pStyle w:val="Normal"/>
                    <w:keepLines w:val="on"/>
                  </w:pPr>
                  <w:r>
                    <w:t>$145,34</w:t>
                  </w:r>
                </w:p>
              </w:tc>
              <w:tc>
                <w:tcPr>
                  <w:tcW w:type="auto" w:w="0"/>
                  <w:shd w:val="clear" w:color="auto" w:fill="F0F0F0"/>
                </w:tcPr>
                <w:p>
                  <w:pPr>
                    <w:pStyle w:val="Normal"/>
                    <w:keepLines w:val="on"/>
                  </w:pPr>
                  <w:r>
                    <w:t>$149,70</w:t>
                  </w:r>
                </w:p>
              </w:tc>
              <w:tc>
                <w:tcPr>
                  <w:tcW w:type="auto" w:w="0"/>
                  <w:shd w:val="clear" w:color="auto" w:fill="F0F0F0"/>
                </w:tcPr>
                <w:p>
                  <w:pPr>
                    <w:pStyle w:val="Normal"/>
                    <w:keepLines w:val="on"/>
                  </w:pPr>
                  <w:r>
                    <w:t>$154,19</w:t>
                  </w:r>
                </w:p>
              </w:tc>
              <w:tc>
                <w:tcPr>
                  <w:tcW w:type="auto" w:w="0"/>
                  <w:shd w:val="clear" w:color="auto" w:fill="F0F0F0"/>
                </w:tcPr>
                <w:p>
                  <w:pPr>
                    <w:pStyle w:val="Normal"/>
                    <w:keepLines w:val="on"/>
                  </w:pPr>
                  <w:r>
                    <w:t>$158,82</w:t>
                  </w:r>
                </w:p>
              </w:tc>
              <w:tc>
                <w:tcPr>
                  <w:tcW w:type="auto" w:w="0"/>
                  <w:shd w:val="clear" w:color="auto" w:fill="F0F0F0"/>
                </w:tcPr>
                <w:p>
                  <w:pPr>
                    <w:pStyle w:val="Normal"/>
                    <w:keepLines w:val="on"/>
                  </w:pPr>
                  <w:r>
                    <w:t>$163,59</w:t>
                  </w:r>
                </w:p>
              </w:tc>
            </w:tr>
            <w:tr>
              <w:tc>
                <w:tcPr>
                  <w:tcW w:type="auto" w:w="0"/>
                  <w:shd w:val="clear" w:color="auto" w:fill="F0F0F0"/>
                </w:tcPr>
                <w:p>
                  <w:pPr>
                    <w:pStyle w:val="Para 02"/>
                    <w:keepLines w:val="on"/>
                  </w:pPr>
                  <w:r>
                    <w:t>− Chi tiêu vốn</w:t>
                  </w:r>
                </w:p>
              </w:tc>
              <w:tc>
                <w:tcPr>
                  <w:tcW w:type="auto" w:w="0"/>
                  <w:shd w:val="clear" w:color="auto" w:fill="F0F0F0"/>
                </w:tcPr>
                <w:p>
                  <w:pPr>
                    <w:pStyle w:val="Normal"/>
                    <w:keepLines w:val="on"/>
                  </w:pPr>
                  <w:r>
                    <w:t>$46,35</w:t>
                  </w:r>
                </w:p>
              </w:tc>
              <w:tc>
                <w:tcPr>
                  <w:tcW w:type="auto" w:w="0"/>
                  <w:shd w:val="clear" w:color="auto" w:fill="F0F0F0"/>
                </w:tcPr>
                <w:p>
                  <w:pPr>
                    <w:pStyle w:val="Normal"/>
                    <w:keepLines w:val="on"/>
                  </w:pPr>
                  <w:r>
                    <w:t>$47,74</w:t>
                  </w:r>
                </w:p>
              </w:tc>
              <w:tc>
                <w:tcPr>
                  <w:tcW w:type="auto" w:w="0"/>
                  <w:shd w:val="clear" w:color="auto" w:fill="F0F0F0"/>
                </w:tcPr>
                <w:p>
                  <w:pPr>
                    <w:pStyle w:val="Normal"/>
                    <w:keepLines w:val="on"/>
                  </w:pPr>
                  <w:r>
                    <w:t>$49,17</w:t>
                  </w:r>
                </w:p>
              </w:tc>
              <w:tc>
                <w:tcPr>
                  <w:tcW w:type="auto" w:w="0"/>
                  <w:shd w:val="clear" w:color="auto" w:fill="F0F0F0"/>
                </w:tcPr>
                <w:p>
                  <w:pPr>
                    <w:pStyle w:val="Normal"/>
                    <w:keepLines w:val="on"/>
                  </w:pPr>
                  <w:r>
                    <w:t>$50,65</w:t>
                  </w:r>
                </w:p>
              </w:tc>
              <w:tc>
                <w:tcPr>
                  <w:tcW w:type="auto" w:w="0"/>
                  <w:shd w:val="clear" w:color="auto" w:fill="F0F0F0"/>
                </w:tcPr>
                <w:p>
                  <w:pPr>
                    <w:pStyle w:val="Normal"/>
                    <w:keepLines w:val="on"/>
                  </w:pPr>
                  <w:r>
                    <w:t>$52,17</w:t>
                  </w:r>
                </w:p>
              </w:tc>
              <w:tc>
                <w:tcPr>
                  <w:tcW w:type="auto" w:w="0"/>
                  <w:shd w:val="clear" w:color="auto" w:fill="F0F0F0"/>
                </w:tcPr>
                <w:p>
                  <w:pPr>
                    <w:pStyle w:val="Normal"/>
                    <w:keepLines w:val="on"/>
                  </w:pPr>
                  <w:r>
                    <w:t>$163,59</w:t>
                  </w:r>
                </w:p>
              </w:tc>
            </w:tr>
            <w:tr>
              <w:tc>
                <w:tcPr>
                  <w:tcW w:type="auto" w:w="0"/>
                  <w:shd w:val="clear" w:color="auto" w:fill="F0F0F0"/>
                </w:tcPr>
                <w:p>
                  <w:pPr>
                    <w:pStyle w:val="Para 02"/>
                    <w:keepLines w:val="on"/>
                  </w:pPr>
                  <w:r>
                    <w:t>− Δ vốn lưu động</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$0,00</w:t>
                  </w:r>
                </w:p>
              </w:tc>
            </w:tr>
            <w:tr>
              <w:tc>
                <w:tcPr>
                  <w:tcW w:type="auto" w:w="0"/>
                  <w:shd w:val="clear" w:color="auto" w:fill="F0F0F0"/>
                </w:tcPr>
                <w:p>
                  <w:pPr>
                    <w:pStyle w:val="Para 02"/>
                    <w:keepLines w:val="on"/>
                  </w:pPr>
                  <w:r>
                    <w:t>Dòng tiền tự do cho doanh nghiệp</w:t>
                  </w:r>
                </w:p>
              </w:tc>
              <w:tc>
                <w:tcPr>
                  <w:tcW w:type="auto" w:w="0"/>
                  <w:shd w:val="clear" w:color="auto" w:fill="F0F0F0"/>
                </w:tcPr>
                <w:p>
                  <w:pPr>
                    <w:pStyle w:val="Normal"/>
                    <w:keepLines w:val="on"/>
                  </w:pPr>
                  <w:r>
                    <w:t>$94,10</w:t>
                  </w:r>
                </w:p>
              </w:tc>
              <w:tc>
                <w:tcPr>
                  <w:tcW w:type="auto" w:w="0"/>
                  <w:shd w:val="clear" w:color="auto" w:fill="F0F0F0"/>
                </w:tcPr>
                <w:p>
                  <w:pPr>
                    <w:pStyle w:val="Normal"/>
                    <w:keepLines w:val="on"/>
                  </w:pPr>
                  <w:r>
                    <w:t>$114,31</w:t>
                  </w:r>
                </w:p>
              </w:tc>
              <w:tc>
                <w:tcPr>
                  <w:tcW w:type="auto" w:w="0"/>
                  <w:shd w:val="clear" w:color="auto" w:fill="F0F0F0"/>
                </w:tcPr>
                <w:p>
                  <w:pPr>
                    <w:pStyle w:val="Normal"/>
                    <w:keepLines w:val="on"/>
                  </w:pPr>
                  <w:r>
                    <w:t>$137,36</w:t>
                  </w:r>
                </w:p>
              </w:tc>
              <w:tc>
                <w:tcPr>
                  <w:tcW w:type="auto" w:w="0"/>
                  <w:shd w:val="clear" w:color="auto" w:fill="F0F0F0"/>
                </w:tcPr>
                <w:p>
                  <w:pPr>
                    <w:pStyle w:val="Normal"/>
                    <w:keepLines w:val="on"/>
                  </w:pPr>
                  <w:r>
                    <w:t>$163,89</w:t>
                  </w:r>
                </w:p>
              </w:tc>
              <w:tc>
                <w:tcPr>
                  <w:tcW w:type="auto" w:w="0"/>
                  <w:shd w:val="clear" w:color="auto" w:fill="F0F0F0"/>
                </w:tcPr>
                <w:p>
                  <w:pPr>
                    <w:pStyle w:val="Normal"/>
                    <w:keepLines w:val="on"/>
                  </w:pPr>
                  <w:r>
                    <w:t>$194,36</w:t>
                  </w:r>
                </w:p>
              </w:tc>
              <w:tc>
                <w:tcPr>
                  <w:tcW w:type="auto" w:w="0"/>
                  <w:shd w:val="clear" w:color="auto" w:fill="F0F0F0"/>
                </w:tcPr>
                <w:p>
                  <w:pPr>
                    <w:pStyle w:val="Normal"/>
                    <w:keepLines w:val="on"/>
                  </w:pPr>
                  <w:r>
                    <w:t>$90,34</w:t>
                  </w:r>
                </w:p>
              </w:tc>
            </w:tr>
            <w:tr>
              <w:tc>
                <w:tcPr>
                  <w:tcW w:type="auto" w:w="0"/>
                  <w:shd w:val="clear" w:color="auto" w:fill="F0F0F0"/>
                </w:tcPr>
                <w:p>
                  <w:pPr>
                    <w:pStyle w:val="Para 02"/>
                    <w:keepLines w:val="on"/>
                  </w:pPr>
                  <w:r>
                    <w:t>Giá trị cuối kỳ</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$2,402.66</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trị hiện tại</w:t>
                  </w:r>
                </w:p>
              </w:tc>
              <w:tc>
                <w:tcPr>
                  <w:tcW w:type="auto" w:w="0"/>
                  <w:shd w:val="clear" w:color="auto" w:fill="F0F0F0"/>
                </w:tcPr>
                <w:p>
                  <w:pPr>
                    <w:pStyle w:val="Normal"/>
                    <w:keepLines w:val="on"/>
                  </w:pPr>
                  <w:r>
                    <w:t>$87.95</w:t>
                  </w:r>
                </w:p>
              </w:tc>
              <w:tc>
                <w:tcPr>
                  <w:tcW w:type="auto" w:w="0"/>
                  <w:shd w:val="clear" w:color="auto" w:fill="F0F0F0"/>
                </w:tcPr>
                <w:p>
                  <w:pPr>
                    <w:pStyle w:val="Normal"/>
                    <w:keepLines w:val="on"/>
                  </w:pPr>
                  <w:r>
                    <w:t>$99.86</w:t>
                  </w:r>
                </w:p>
              </w:tc>
              <w:tc>
                <w:tcPr>
                  <w:tcW w:type="auto" w:w="0"/>
                  <w:shd w:val="clear" w:color="auto" w:fill="F0F0F0"/>
                </w:tcPr>
                <w:p>
                  <w:pPr>
                    <w:pStyle w:val="Normal"/>
                    <w:keepLines w:val="on"/>
                  </w:pPr>
                  <w:r>
                    <w:t>$112.16</w:t>
                  </w:r>
                </w:p>
              </w:tc>
              <w:tc>
                <w:tcPr>
                  <w:tcW w:type="auto" w:w="0"/>
                  <w:shd w:val="clear" w:color="auto" w:fill="F0F0F0"/>
                </w:tcPr>
                <w:p>
                  <w:pPr>
                    <w:pStyle w:val="Normal"/>
                    <w:keepLines w:val="on"/>
                  </w:pPr>
                  <w:r>
                    <w:t>$125.08</w:t>
                  </w:r>
                </w:p>
              </w:tc>
              <w:tc>
                <w:tcPr>
                  <w:tcW w:type="auto" w:w="0"/>
                  <w:shd w:val="clear" w:color="auto" w:fill="F0F0F0"/>
                </w:tcPr>
                <w:p>
                  <w:pPr>
                    <w:pStyle w:val="Normal"/>
                    <w:keepLines w:val="on"/>
                  </w:pPr>
                  <w:r>
                    <w:t>$1,852.67</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trị của doanh nghiệp</w:t>
                  </w:r>
                </w:p>
              </w:tc>
              <w:tc>
                <w:tcPr>
                  <w:tcW w:type="auto" w:w="0"/>
                  <w:shd w:val="clear" w:color="auto" w:fill="F0F0F0"/>
                </w:tcPr>
                <w:p>
                  <w:pPr>
                    <w:pStyle w:val="Normal"/>
                    <w:keepLines w:val="on"/>
                  </w:pPr>
                  <w:r>
                    <w:t>$2,277.73</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bl>
          <w:p/>
        </w:tc>
      </w:tr>
    </w:tbl>
    <w:p>
      <w:pPr>
        <w:pStyle w:val="Para 04"/>
        <w:keepLines w:val="on"/>
      </w:pPr>
      <w:r>
        <w:t>Giá trị tài sản của doanh nghiệp là 2.278 triệu bảng Anh.</w:t>
      </w:r>
    </w:p>
    <w:p>
      <w:pPr>
        <w:pStyle w:val="Para 04"/>
        <w:keepLines w:val="on"/>
      </w:pPr>
      <w:r>
        <w:t>Dữ liệu đầu vào cuối cùng mà chúng tôi ước tính là độ lệch chuẩn trong giá trị doanh nghiệp. Vì không có doanh nghiệp nào thực sự tương đồng để so sánh, chúng tôi ước tính độ lệch chuẩn của cổ phiếu và trái phiếu Eurotunnel bằng dữ liệu của những năm trước:3</w:t>
      </w:r>
    </w:p>
    <w:p>
      <w:bookmarkStart w:id="6270" w:name="Standard_deviation_in_Eurotunnel"/>
      <w:pPr>
        <w:keepNext/>
        <w:pStyle w:val="Para 07"/>
        <w:keepLines w:val="on"/>
      </w:pPr>
      <w:r>
        <w:t>Độ lệch chuẩn của giá cổ phiếu Eurotunnel = 41% Độ lệch chuẩn của giá trái phiếu Eurotunnel = 17%</w:t>
      </w:r>
      <w:bookmarkEnd w:id="6270"/>
    </w:p>
    <w:p>
      <w:pPr>
        <w:pStyle w:val="Para 04"/>
        <w:keepLines w:val="on"/>
      </w:pPr>
      <w:r>
        <w:t>Chúng tôi cũng ước tính hệ số tương quan là 0,50 giữa giá cổ phiếu và trái phiếu Eurotunnel, và tỷ lệ nợ trên vốn trung bình theo giá thị trường trong giai đoạn hai năm là 85%. Kết hợp các dữ liệu đầu vào này, chúng tôi ước tính độ lệch chuẩn trong giá trị doanh nghiệp là:</w:t>
      </w:r>
    </w:p>
    <w:p>
      <w:bookmarkStart w:id="6271" w:name="sfirm2_0_152x0_412_0_852x0_172_2"/>
      <w:pPr>
        <w:keepNext/>
        <w:pStyle w:val="Para 07"/>
        <w:keepLines w:val="on"/>
      </w:pPr>
      <w:r>
        <w:t>σdoanh nghiệp2=0,152×0,412+0,852×0,172+2×0,15×0,85×0,5×0,41×0,17=0,0335</w:t>
      </w:r>
      <w:bookmarkEnd w:id="6271"/>
    </w:p>
    <w:p>
      <w:pPr>
        <w:pStyle w:val="Para 04"/>
        <w:keepLines w:val="on"/>
      </w:pPr>
      <w:r>
        <w:t>Tóm lại, các dữ liệu đầu vào của mô hình định giá quyền chọn như sau:</w:t>
      </w:r>
    </w:p>
    <w:p>
      <w:bookmarkStart w:id="6272" w:name="Value_of_the_underlying_asset_S_2"/>
      <w:pPr>
        <w:pStyle w:val="Para 49"/>
        <w:keepLines w:val="on"/>
      </w:pPr>
      <w:r>
        <w:t>Giá trị của tài sản cơ sở = S = Giá trị doanh nghiệp = 2.312 triệu bảng Anh Giá thực hiện = K = Mệnh giá của khoản nợ đang lưu hành = 8.865 triệu bảng Anh Thời gian sống của quyền chọn = t = Thời hạn trung bình gia quyền của nợ = 10,93 năm Phương sai trong giá trị tài sản cơ sở = σ2 = Phương sai trong giá trị doanh nghiệp = 0,0335 Lãi suất phi rủi ro = r = Lãi suất trái phiếu kho bạc tương ứng với thời gian sống của quyền chọn = 6%</w:t>
      </w:r>
      <w:bookmarkEnd w:id="6272"/>
    </w:p>
    <w:p>
      <w:pPr>
        <w:pStyle w:val="Para 04"/>
        <w:keepLines w:val="on"/>
      </w:pPr>
      <w:r>
        <w:t>Dựa trên những dữ liệu đầu vào này, chúng tôi ước tính giá trị của quyền chọn mua như sau:</w:t>
      </w:r>
    </w:p>
    <w:p>
      <w:bookmarkStart w:id="6274" w:name="d1____0_8582_Nd1_0_1955d2____1_4"/>
      <w:pPr>
        <w:keepNext/>
        <w:pStyle w:val="Para 07"/>
        <w:keepLines w:val="on"/>
      </w:pPr>
      <w:r>
        <w:t>d1=−0,8582 Nd1=0,1955d2=−1,4637 Nd2=0,0717Giátrịcủaquyềnmua=2.2780,1955−8.865exp−0,0610,93(0,0717)=116triệubảngAnh</w:t>
      </w:r>
      <w:bookmarkEnd w:id="6274"/>
    </w:p>
    <w:p>
      <w:pPr>
        <w:pStyle w:val="Para 04"/>
        <w:keepLines w:val="on"/>
      </w:pPr>
      <w:r>
        <w:t>Vốn chủ sở hữu của Eurotunnel đang được giao dịch ở mức 150 triệu bảng Anh vào năm 1997.</w:t>
      </w:r>
    </w:p>
    <w:p>
      <w:pPr>
        <w:pStyle w:val="Para 04"/>
        <w:keepLines w:val="on"/>
      </w:pPr>
      <w:r>
        <w:t>Khung định giá quyền chọn, ngoài việc đưa ra giá trị cho vốn chủ sở hữu của Eurotunnel, còn mang lại một số hiểu biết quý giá về những yếu tố thúc đẩy giá trị của phần vốn chủ sở hữu này. Mặc dù việc doanh nghiệp cố gắng kiểm soát chi phí và tăng biên lợi nhuận hoạt động chắc chắn là quan trọng, nhưng hai biến số then chốt nhất quyết định giá trị vốn chủ sở hữu lại là thời hạn của khoản nợ và phương sai trong giá trị doanh nghiệp. Bất kỳ hành động nào làm tăng hoặc giảm thời hạn của khoản nợ đều sẽ có tác động tích cực hoặc tiêu cực đến giá trị vốn chủ sở hữu. Ví dụ, khi chính phủ Pháp gây áp lực lên các ngân hàng đã cho Eurotunnel vay tiền để nới lỏng các hạn chế và cho doanh nghiệp thêm thời gian trả nợ, các nhà đầu tư vốn chủ sở hữu đã được hưởng lợi vì quyền chọn của họ trở nên dài hạn hơn. Tương tự, một hành động làm tăng mức biến động của giá trị doanh nghiệp kỳ vọng sẽ làm tăng giá trị của quyền chọn.</w:t>
      </w:r>
    </w:p>
    <w:p>
      <w:pPr>
        <w:pStyle w:val="Para 11"/>
      </w:pPr>
      <w:r>
        <w:t xml:space="preserve"> </w:t>
      </w:r>
    </w:p>
    <w:p>
      <w:bookmarkStart w:id="6275" w:name="ILLUSTRATION_30_6___Valuing_Equi_1"/>
      <w:bookmarkStart w:id="6276" w:name="ILLUSTRATION_30_6___Valuing_Equi"/>
      <w:pPr>
        <w:keepNext/>
        <w:pStyle w:val="Para 19"/>
        <w:keepLines w:val="on"/>
      </w:pPr>
      <w:r>
        <w:t>VÍ DỤ MINH HỌA 30.6: Định giá vốn chủ sở hữu như một quyền chọn: Jet India năm 2013</w:t>
      </w:r>
      <w:bookmarkEnd w:id="6275"/>
      <w:bookmarkEnd w:id="6276"/>
    </w:p>
    <w:p>
      <w:pPr>
        <w:pStyle w:val="Para 04"/>
        <w:keepLines w:val="on"/>
      </w:pPr>
      <w:r>
        <w:t>Jet India là một hãng hàng không Ấn Độ tạo ra 9.417 triệu rupee EBITDA trên doanh thu 188.410 triệu rupee. Tuy nhiên, sau khi trừ khấu hao và phân bổ 9.300 triệu rupee cùng chi phí lãi vay 10.160 triệu rupee, công ty báo cáo thu nhập hoạt động nhỏ chỉ 123,50 triệu rupee và lỗ ròng 7.800 triệu rupee. Là một doanh nghiệp liên tục thua lỗ, vốn chủ sở hữu trên sổ sách của công ty đã giảm xuống còn −18.280 triệu rupee, và chẳng có mấy ánh sáng nơi cuối đường hầm.</w:t>
      </w:r>
    </w:p>
    <w:p>
      <w:pPr>
        <w:pStyle w:val="Para 04"/>
        <w:keepLines w:val="on"/>
      </w:pPr>
      <w:r>
        <w:t>Chi phí lãi vay phát sinh trên tổng khoản nợ 114.272 triệu rupee, với thời hạn trung bình khoảng 4,5 năm, và nguy cơ phá sản đang lơ lửng rất lớn. Có lẽ tin tốt duy nhất trong câu chuyện này là thị trường hàng không Ấn Độ đang bùng nổ, với các hãng hiện có và những tay chơi mới đều cố gắng nắm bắt đà tăng trưởng.</w:t>
      </w:r>
    </w:p>
    <w:p>
      <w:pPr>
        <w:pStyle w:val="Para 04"/>
        <w:keepLines w:val="on"/>
      </w:pPr>
      <w:r>
        <w:t>Vì con đường để tìm ra một giá trị vốn chủ sở hữu dương bằng phương pháp định giá nội tại là rất hạn chế, chúng tôi định giá vốn chủ sở hữu của Jet India như một quyền chọn, với các dữ liệu đầu vào như sau:</w:t>
      </w:r>
    </w:p>
    <w:p>
      <w:pPr>
        <w:numPr>
          <w:ilvl w:val="0"/>
          <w:numId w:val="360"/>
        </w:numPr>
        <w:pStyle w:val="Para 18"/>
        <w:keepLines w:val="on"/>
      </w:pPr>
      <w:r>
        <w:t>Dựa trên EBITDA là 9.417 triệu rupee, và áp dụng bội số 6,5 cho giá trị đó, dựa trên định giá của các hãng hàng không niêm yết công khai ở Ấn Độ, chúng tôi ước tính giá trị tài sản của Jet India:</w:t>
      </w:r>
    </w:p>
    <w:p>
      <w:bookmarkStart w:id="6277" w:name="Pricing_of_Jet_India_assets_9_41"/>
      <w:pPr>
        <w:keepNext/>
        <w:pStyle w:val="Para 07"/>
        <w:keepLines w:val="on"/>
      </w:pPr>
      <w:r>
        <w:t>Định giá tài sản của Jet India = 9.417 × 6,5 = 61.211 triệu rupee</w:t>
      </w:r>
      <w:bookmarkEnd w:id="6277"/>
    </w:p>
    <w:p>
      <w:pPr>
        <w:numPr>
          <w:ilvl w:val="0"/>
          <w:numId w:val="361"/>
        </w:numPr>
        <w:pStyle w:val="Para 18"/>
        <w:keepLines w:val="on"/>
      </w:pPr>
      <w:r>
        <w:t>Chúng tôi dùng khoản nợ chưa thanh toán là 114.272 triệu rupee làm giá thực hiện của quyền chọn, và thời hạn 4,5 năm của nó thay cho kỳ đáo hạn của quyền chọn.</w:t>
      </w:r>
    </w:p>
    <w:p>
      <w:pPr>
        <w:numPr>
          <w:ilvl w:val="0"/>
          <w:numId w:val="361"/>
        </w:numPr>
        <w:pStyle w:val="Para 18"/>
        <w:keepLines w:val="on"/>
      </w:pPr>
      <w:r>
        <w:t>Chúng tôi dùng phương sai trung bình 0,0826 trong giá trị doanh nghiệp của các hãng hàng không niêm yết công khai ở Ấn Độ làm đại diện cho mức biến động của giá trị tài sản theo thời gian trong mô hình định giá quyền chọn.</w:t>
      </w:r>
    </w:p>
    <w:p>
      <w:pPr>
        <w:pStyle w:val="Para 04"/>
        <w:keepLines w:val="on"/>
      </w:pPr>
      <w:r>
        <w:t>Các thông số đầu vào của mô hình định giá quyền chọn được liệt kê ở đây:</w:t>
      </w:r>
    </w:p>
    <w:p>
      <w:bookmarkStart w:id="6278" w:name="Value_of_the_underlying_asset_S_3"/>
      <w:pPr>
        <w:pStyle w:val="Para 52"/>
        <w:keepLines w:val="on"/>
      </w:pPr>
      <w:r>
        <w:t>Giá trị tài sản cơ sở = S = Giá trị doanh nghiệp = 61.211 triệu rupeeGiá thực hiện = K = Mệnh giá khoản nợ chưa thanh toán = 114.272 triệu rupeeThời hạn của quyền chọn = t = Thời hạn trung bình gia quyền của nợ = 4,5 nămPhương sai của giá trị tài sản cơ sở = σ2 Phương sai của giá trị doanh nghiệp = 0,0826Lãi suất phi rủi ro = r = Lãi suất phi rủi ro tương ứng với thời hạn quyền chọn = 8%</w:t>
      </w:r>
      <w:bookmarkEnd w:id="6278"/>
    </w:p>
    <w:p>
      <w:pPr>
        <w:pStyle w:val="Para 04"/>
        <w:keepLines w:val="on"/>
      </w:pPr>
      <w:r>
        <w:t>Dựa trên các thông số đầu vào này, chúng tôi ước tính giá trị sau đây cho quyền chọn mua:</w:t>
      </w:r>
    </w:p>
    <w:p>
      <w:bookmarkStart w:id="6280" w:name="d1__0_1291N_d1__0_4487d2__0_7384"/>
      <w:pPr>
        <w:keepNext/>
        <w:pStyle w:val="Para 07"/>
        <w:keepLines w:val="on"/>
      </w:pPr>
      <w:r>
        <w:t>d1 = -0,1291N(d1) = 0,4487d2 = -0,7384N(d2) = 0,2301Giá trị quyền chọn mua = 61.211 (0,4487) - 8.865 exp (-0,08)(4,5)(0,2301) = 9.113 triệu rupee</w:t>
      </w:r>
      <w:bookmarkEnd w:id="6280"/>
    </w:p>
    <w:p>
      <w:pPr>
        <w:pStyle w:val="Para 04"/>
        <w:keepLines w:val="on"/>
      </w:pPr>
      <w:r>
        <w:t>Vốn chủ sở hữu của Jet India trị giá 9,1 tỷ rupee vào năm 2013.</w:t>
      </w:r>
    </w:p>
    <w:p>
      <w:pPr>
        <w:pStyle w:val="Para 11"/>
      </w:pPr>
      <w:r>
        <w:t xml:space="preserve"> </w:t>
      </w:r>
    </w:p>
    <w:p>
      <w:bookmarkStart w:id="6281" w:name="equity_xls__This_spreadsheet_al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78"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6281"/>
    </w:p>
    <w:p>
      <w:pPr>
        <w:pStyle w:val="Para 31"/>
        <w:keepLines w:val="on"/>
      </w:pPr>
      <w:r>
        <w:t>equity.xls: Bảng tính này cho phép bạn ước tính giá trị vốn chủ sở hữu của một doanh nghiệp đang gặp khó khăn như một quyền chọn.</w:t>
      </w:r>
    </w:p>
    <w:p>
      <w:pPr>
        <w:pStyle w:val="Para 11"/>
      </w:pPr>
      <w:r>
        <w:t xml:space="preserve"> </w:t>
      </w:r>
    </w:p>
    <w:p>
      <w:bookmarkStart w:id="6282" w:name="Vulture_Investing_and_Option_Pri_1"/>
      <w:bookmarkStart w:id="6283" w:name="Vulture_Investing_and_Option_Pri"/>
      <w:pPr>
        <w:keepNext/>
        <w:pStyle w:val="Para 27"/>
        <w:keepLines w:val="on"/>
      </w:pPr>
      <w:r>
        <w:t>Đầu tư kiểu kền kền và định giá quyền chọn</w:t>
      </w:r>
      <w:bookmarkEnd w:id="6282"/>
      <w:bookmarkEnd w:id="6283"/>
    </w:p>
    <w:p>
      <w:pPr>
        <w:pStyle w:val="Para 16"/>
        <w:keepLines w:val="on"/>
      </w:pPr>
      <w:r>
        <w:t>Đầu tư kiểu kền kền (vulture investing) là một chiến lược đầu tư mua chứng khoán của những doanh nghiệp đang lâm vào tình trạng kiệt quệ tài chính nghiêm trọng. Theo một nghĩa nào đó, bạn đang đầu tư vào những quyền chọn kiệt giá sâu (deep out-of-the-money options) và hy vọng rằng một số quyền chọn này sẽ sinh lời đậm. Sử dụng khung định giá quyền chọn cho phép chúng ta rút ra một số kết luận về thời điểm và cách thức chiến lược này có thể sinh lời:</w:t>
      </w:r>
    </w:p>
    <w:p>
      <w:pPr>
        <w:numPr>
          <w:ilvl w:val="0"/>
          <w:numId w:val="362"/>
        </w:numPr>
        <w:pStyle w:val="Para 33"/>
        <w:keepLines w:val="on"/>
      </w:pPr>
      <w:r>
        <w:t>Cũng như với bất kỳ danh mục quyền chọn kiệt giá sâu nào, bạn nên kỳ vọng rằng một tỷ lệ đáng kể trong danh mục sẽ trở nên vô giá trị. Tuy nhiên, số ít khoản đầu tư thực sự sinh lời sẽ mang lại lợi nhuận khổng lồ, và bạn vẫn có thể kết thúc với một danh mục có lợi nhuận ấn tượng.</w:t>
      </w:r>
    </w:p>
    <w:p>
      <w:pPr>
        <w:numPr>
          <w:ilvl w:val="0"/>
          <w:numId w:val="362"/>
        </w:numPr>
        <w:pStyle w:val="Para 33"/>
        <w:keepLines w:val="on"/>
      </w:pPr>
      <w:r>
        <w:t>Bạn nên hướng các khoản đầu tư vốn chủ sở hữu của mình vào cổ phần của những doanh nghiệp đang gặp khó khăn sâu sắc trong các ngành có mức biến động cao. Rủi ro là đồng minh của bạn khi bạn đầu tư vào quyền chọn, và vốn chủ sở hữu của những doanh nghiệp này sẽ đáng giá hơn vốn chủ sở hữu của những doanh nghiệp gặp khó khăn sâu sắc trong các ngành ổn định.</w:t>
      </w:r>
    </w:p>
    <w:p>
      <w:pPr>
        <w:numPr>
          <w:ilvl w:val="0"/>
          <w:numId w:val="362"/>
        </w:numPr>
        <w:pStyle w:val="Para 33"/>
        <w:keepLines w:val="on"/>
      </w:pPr>
      <w:r>
        <w:t>Nếu bạn đang mua cổ phần của những doanh nghiệp gặp khó khăn sâu sắc, bạn nên hướng các khoản đầu tư của mình vào những doanh nghiệp gặp khó khăn có nợ dài hạn thay vì nợ ngắn hạn. Khi thời hạn của quyền chọn tăng lên, bạn sẽ thấy giá trị của quyền chọn cũng tăng theo.</w:t>
      </w:r>
    </w:p>
    <w:p>
      <w:pPr>
        <w:numPr>
          <w:ilvl w:val="0"/>
          <w:numId w:val="362"/>
        </w:numPr>
        <w:pStyle w:val="Para 33"/>
        <w:keepLines w:val="on"/>
      </w:pPr>
      <w:r>
        <w:t>Nếu bạn đang đầu tư vào khoản nợ do những doanh nghiệp gặp khó khăn về tài chính phát hành, bạn không thể là một trái chủ thụ động. Bạn phải đóng vai trò chủ động trong việc quản lý và giành được một phần vốn chủ sở hữu trong các công ty mà bạn đầu tư, có thể bằng cách biến khoản nợ đó thành có thể chuyển đổi.</w:t>
      </w:r>
    </w:p>
    <w:p>
      <w:bookmarkStart w:id="6284" w:name="Distressed_Equity_as_an_Option"/>
      <w:bookmarkStart w:id="6285" w:name="Distressed_Equity_as_an_Option_1"/>
      <w:pPr>
        <w:keepNext/>
        <w:pStyle w:val="Heading 2"/>
        <w:keepLines w:val="on"/>
      </w:pPr>
      <w:r>
        <w:t>Vốn chủ sở hữu kiệt quệ như một quyền chọn: Hệ quả đối với việc ra quyết định</w:t>
      </w:r>
      <w:bookmarkEnd w:id="6284"/>
      <w:bookmarkEnd w:id="6285"/>
    </w:p>
    <w:p>
      <w:pPr>
        <w:pStyle w:val="Para 03"/>
      </w:pPr>
      <w:r>
        <w:t>Lý thuyết định giá quyền chọn có thể được áp dụng để minh họa xung đột giữa cổ đông và trái chủ khi nói đến phân tích đầu tư và các thương vụ sáp nhập tập đoàn. Phần này lập luận rằng những quyết định khiến cổ đông khấm khá hơn không nhất thiết phải tối đa hóa giá trị cho doanh nghiệp và có thể gây tổn hại cho trái chủ.</w:t>
      </w:r>
    </w:p>
    <w:p>
      <w:pPr>
        <w:pStyle w:val="Para 20"/>
      </w:pPr>
      <w:r>
        <w:rPr>
          <w:rStyle w:val="Text26"/>
        </w:rPr>
        <w:bookmarkStart w:id="6286" w:name="Page_973"/>
        <w:t/>
        <w:bookmarkEnd w:id="6286"/>
      </w:r>
      <w:r>
        <w:t xml:space="preserve"> </w:t>
      </w:r>
    </w:p>
    <w:p>
      <w:bookmarkStart w:id="6287" w:name="The_Conflict_between_Bondholders"/>
      <w:bookmarkStart w:id="6288" w:name="The_Conflict_between_Bondholders_1"/>
      <w:pPr>
        <w:keepNext/>
        <w:pStyle w:val="Heading 3"/>
        <w:keepLines w:val="on"/>
      </w:pPr>
      <w:r>
        <w:t>Xung đột giữa trái chủ và cổ đông</w:t>
      </w:r>
      <w:bookmarkEnd w:id="6287"/>
      <w:bookmarkEnd w:id="6288"/>
    </w:p>
    <w:p>
      <w:pPr>
        <w:pStyle w:val="Para 03"/>
      </w:pPr>
      <w:r>
        <w:t>Cổ đông và trái chủ có những động cơ và quyền đòi dòng tiền khác nhau, và điều này có thể dẫn đến các vấn đề đại diện (agency problems), theo đó cổ đông chiếm đoạt tài sản của trái chủ. Xung đột lợi ích đó có thể biểu hiện theo nhiều cách. Chẳng hạn, cổ đông có động cơ đầu tư vào những dự án rủi ro hơn so với mong muốn của trái chủ, và chi trả cổ tức nhiều hơn mức mà trái chủ muốn. Xung đột giữa trái chủ và cổ đông có thể được minh họa một cách sinh động bằng phương pháp định giá quyền chọn đã trình bày ở phần trước.</w:t>
      </w:r>
    </w:p>
    <w:p>
      <w:bookmarkStart w:id="6289" w:name="Investing_in_Risky_Projects"/>
      <w:bookmarkStart w:id="6290" w:name="Investing_in_Risky_Projects__Sin"/>
      <w:pPr>
        <w:keepNext/>
        <w:pStyle w:val="Heading 3"/>
        <w:keepLines w:val="on"/>
      </w:pPr>
      <w:r>
        <w:t>Đầu tư vào các dự án rủi ro</w:t>
      </w:r>
      <w:bookmarkEnd w:id="6289"/>
      <w:bookmarkEnd w:id="6290"/>
    </w:p>
    <w:p>
      <w:pPr>
        <w:pStyle w:val="Para 03"/>
      </w:pPr>
      <w:r>
        <w:t>Vì vốn chủ sở hữu là một quyền chọn mua trên giá trị của doanh nghiệp, nên khi mọi thứ khác không đổi, sự gia tăng phương sai trong giá trị doanh nghiệp sẽ dẫn đến sự gia tăng giá trị vốn chủ sở hữu. Do đó, có thể hình dung rằng cổ đông có thể đầu tư vào những dự án rủi ro có giá trị hiện tại ròng âm, những dự án này tuy khiến họ khấm khá hơn nhưng có thể làm cho trái phiếu và doanh nghiệp kém giá trị hơn. Để minh họa, hãy xem xét doanh nghiệp trong Minh họa 30.1 với giá trị tài sản là 100 triệu đô la, mệnh giá nợ zero coupon kỳ hạn 10 năm là 80 triệu đô la, và độ lệch chuẩn trong giá trị doanh nghiệp là 40 phần trăm, đã được định giá trong minh họa trước đó. Vốn chủ sở hữu và nợ của doanh nghiệp này được định giá như sau:</w:t>
      </w:r>
    </w:p>
    <w:p>
      <w:bookmarkStart w:id="6291" w:name="Value_of_equity__75_94_millionVa"/>
      <w:pPr>
        <w:keepNext/>
        <w:pStyle w:val="Para 09"/>
        <w:keepLines w:val="on"/>
      </w:pPr>
      <w:r>
        <w:t>Giá trị vốn chủ sở hữu = 75,94 triệu đô laGiá trị nợ = 24,06 triệu đô laGiá trị doanh nghiệp = 100 triệu đô la</w:t>
      </w:r>
      <w:bookmarkEnd w:id="6291"/>
    </w:p>
    <w:p>
      <w:pPr>
        <w:pStyle w:val="Para 03"/>
      </w:pPr>
      <w:r>
        <w:t>Bây giờ giả sử rằng cổ đông có cơ hội đầu tư vào một dự án có giá trị hiện tại ròng là −2 triệu đô la; dự án này rất rủi ro và sẽ đẩy độ lệch chuẩn trong giá trị doanh nghiệp lên 50 phần trăm. Vốn chủ sở hữu như một quyền chọn mua khi đó có thể được định giá bằng các thông số đầu vào sau:</w:t>
      </w:r>
    </w:p>
    <w:p>
      <w:bookmarkStart w:id="6292" w:name="Value_of_the_underlying_asset_S_4"/>
      <w:pPr>
        <w:pStyle w:val="Para 39"/>
      </w:pPr>
      <w:r>
        <w:t>Giá trị tài sản cơ sở = S = Giá trị doanh nghiệp = 100 triệu đô la - 2 triệu đô la = 98 triệu đô la (giá trị doanh nghiệp bị giảm xuống vì dự án có giá trị hiện tại ròng âm)Giá thực hiện = K = Mệnh giá khoản nợ chưa thanh toán = 80 triệu đô laThời hạn của quyền chọn = t = Thời hạn của nợ zero-coupon = 10 nămPhương sai của giá trị tài sản cơ sở = σ2 = Phương sai của giá trị doanh nghiệp = 0,25Lãi suất phi rủi ro = r = Lãi suất trái phiếu kho bạc tương ứng với thời hạn quyền chọn = 10%</w:t>
      </w:r>
      <w:bookmarkEnd w:id="6292"/>
    </w:p>
    <w:p>
      <w:pPr>
        <w:pStyle w:val="Para 03"/>
      </w:pPr>
      <w:r>
        <w:t>Dựa trên những dữ liệu đầu vào này, mô hình Black-Scholes cho ra giá trị vốn chủ sở hữu và nợ của công ty như sau:</w:t>
      </w:r>
    </w:p>
    <w:p>
      <w:bookmarkStart w:id="6293" w:name="Value_of_equity__77_71Value_of_d"/>
      <w:pPr>
        <w:keepNext/>
        <w:pStyle w:val="Para 09"/>
        <w:keepLines w:val="on"/>
      </w:pPr>
      <w:r>
        <w:t>Giá trị vốn chủ sở hữu = 77,71 đô-la Giá trị nợ = 20,29 đô-la Giá trị công ty = 98,00 đô-la</w:t>
      </w:r>
      <w:bookmarkEnd w:id="6293"/>
    </w:p>
    <w:p>
      <w:pPr>
        <w:pStyle w:val="Para 03"/>
      </w:pPr>
      <w:r>
        <w:t>Giá trị vốn chủ sở hữu tăng từ 75,94 triệu đô-la lên 77,71 triệu đô-la, ngay cả khi giá trị công ty giảm 2 triệu đô-la. Phần tăng thêm trong giá trị vốn chủ sở hữu này đến từ túi của các trái chủ, những người chứng kiến tài sản của mình sụt giảm từ 24,06 triệu đô-la xuống còn 20,29 triệu đô-la.</w:t>
      </w:r>
    </w:p>
    <w:p>
      <w:pPr>
        <w:pStyle w:val="Para 20"/>
      </w:pPr>
      <w:r>
        <w:rPr>
          <w:rStyle w:val="Text26"/>
        </w:rPr>
        <w:bookmarkStart w:id="6294" w:name="Page_974"/>
        <w:t/>
        <w:bookmarkEnd w:id="6294"/>
      </w:r>
      <w:r>
        <w:t xml:space="preserve"> </w:t>
      </w:r>
    </w:p>
    <w:p>
      <w:bookmarkStart w:id="6295" w:name="Conglomerate_Mergers"/>
      <w:bookmarkStart w:id="6296" w:name="Conglomerate_Mergers__Bondholder"/>
      <w:pPr>
        <w:keepNext/>
        <w:pStyle w:val="Heading 3"/>
        <w:keepLines w:val="on"/>
      </w:pPr>
      <w:r>
        <w:t>Sáp nhập tập đoàn đa ngành</w:t>
      </w:r>
      <w:bookmarkEnd w:id="6295"/>
      <w:bookmarkEnd w:id="6296"/>
    </w:p>
    <w:p>
      <w:pPr>
        <w:pStyle w:val="Para 03"/>
      </w:pPr>
      <w:r>
        <w:t>Các trái chủ và cổ đông cũng có thể bị ảnh hưởng khác nhau bởi những thương vụ sáp nhập tập đoàn đa ngành (conglomerate merger), nơi phương sai (variance) của lợi nhuận và dòng tiền của công ty hợp nhất được kỳ vọng sẽ giảm xuống, bởi vì các công ty sáp nhập có những dòng lợi nhuận không tương quan hoàn hảo với nhau. Trong những thương vụ sáp nhập kiểu này, giá trị vốn chủ sở hữu của công ty hợp nhất sẽ giảm sau sáp nhập vì phương sai giảm đi; do đó, các trái chủ sẽ được lợi. Các cổ đông có thể giành lại một phần hoặc toàn bộ tài sản đã mất này bằng cách tận dụng khả năng vay nợ cao hơn của mình và phát hành nợ mới. Để minh họa, giả sử bạn được cung cấp thông tin sau về hai công ty, Lube &amp; Auto (dịch vụ ô tô) và Gianni Cosmetics (một nhà sản xuất mỹ phẩm), đang mong muốn sáp nhập.</w:t>
      </w:r>
    </w:p>
    <w:tbl>
      <w:tblPr>
        <w:tblW w:type="auto" w:w="0"/>
      </w:tblPr>
      <w:tr>
        <w:tc>
          <w:tcPr>
            <w:tcW w:type="auto" w:w="0"/>
          </w:tcPr>
          <w:tbl>
            <w:tblPr>
              <w:tblW w:type="auto" w:w="0"/>
            </w:tblPr>
            <w:tr>
              <w:tc>
                <w:tcPr>
                  <w:tcW w:type="auto" w:w="0"/>
                  <w:shd w:val="clear" w:color="auto" w:fill="F0F0F0"/>
                </w:tcPr>
                <w:p>
                  <w:pPr>
                    <w:pStyle w:val="Para 17"/>
                    <w:keepLines w:val="on"/>
                  </w:pPr>
                  <w:r>
                    <w:t/>
                  </w:r>
                </w:p>
              </w:tc>
              <w:tc>
                <w:tcPr>
                  <w:tcW w:type="auto" w:w="0"/>
                  <w:shd w:val="clear" w:color="auto" w:fill="F0F0F0"/>
                </w:tcPr>
                <w:p>
                  <w:pPr>
                    <w:pStyle w:val="Para 32"/>
                    <w:keepLines w:val="on"/>
                  </w:pPr>
                  <w:r>
                    <w:t>Lube &amp; Auto</w:t>
                  </w:r>
                </w:p>
              </w:tc>
              <w:tc>
                <w:tcPr>
                  <w:tcW w:type="auto" w:w="0"/>
                  <w:shd w:val="clear" w:color="auto" w:fill="F0F0F0"/>
                </w:tcPr>
                <w:p>
                  <w:pPr>
                    <w:pStyle w:val="Para 32"/>
                    <w:keepLines w:val="on"/>
                  </w:pPr>
                  <w:r>
                    <w:t>Gianni Cosmetics</w:t>
                  </w:r>
                </w:p>
              </w:tc>
            </w:tr>
            <w:tr>
              <w:tc>
                <w:tcPr>
                  <w:tcW w:type="auto" w:w="0"/>
                  <w:shd w:val="clear" w:color="auto" w:fill="F0F0F0"/>
                </w:tcPr>
                <w:p>
                  <w:pPr>
                    <w:pStyle w:val="Para 02"/>
                    <w:keepLines w:val="on"/>
                  </w:pPr>
                  <w:r>
                    <w:t>Giá trị công ty</w:t>
                  </w:r>
                </w:p>
              </w:tc>
              <w:tc>
                <w:tcPr>
                  <w:tcW w:type="auto" w:w="0"/>
                  <w:shd w:val="clear" w:color="auto" w:fill="F0F0F0"/>
                </w:tcPr>
                <w:p>
                  <w:pPr>
                    <w:pStyle w:val="Para 02"/>
                    <w:keepLines w:val="on"/>
                  </w:pPr>
                  <w:r>
                    <w:t>100 triệu đô-la</w:t>
                  </w:r>
                </w:p>
              </w:tc>
              <w:tc>
                <w:tcPr>
                  <w:tcW w:type="auto" w:w="0"/>
                  <w:shd w:val="clear" w:color="auto" w:fill="F0F0F0"/>
                </w:tcPr>
                <w:p>
                  <w:pPr>
                    <w:pStyle w:val="Para 02"/>
                    <w:keepLines w:val="on"/>
                  </w:pPr>
                  <w:r>
                    <w:t>150 triệu đô-la</w:t>
                  </w:r>
                </w:p>
              </w:tc>
            </w:tr>
            <w:tr>
              <w:tc>
                <w:tcPr>
                  <w:tcW w:type="auto" w:w="0"/>
                  <w:shd w:val="clear" w:color="auto" w:fill="F0F0F0"/>
                </w:tcPr>
                <w:p>
                  <w:pPr>
                    <w:pStyle w:val="Para 02"/>
                    <w:keepLines w:val="on"/>
                  </w:pPr>
                  <w:r>
                    <w:t>Mệnh giá nợ</w:t>
                  </w:r>
                </w:p>
              </w:tc>
              <w:tc>
                <w:tcPr>
                  <w:tcW w:type="auto" w:w="0"/>
                  <w:shd w:val="clear" w:color="auto" w:fill="F0F0F0"/>
                </w:tcPr>
                <w:p>
                  <w:pPr>
                    <w:pStyle w:val="Para 02"/>
                    <w:keepLines w:val="on"/>
                  </w:pPr>
                  <w:r>
                    <w:t>80 triệu đô-la</w:t>
                  </w:r>
                </w:p>
              </w:tc>
              <w:tc>
                <w:tcPr>
                  <w:tcW w:type="auto" w:w="0"/>
                  <w:shd w:val="clear" w:color="auto" w:fill="F0F0F0"/>
                </w:tcPr>
                <w:p>
                  <w:pPr>
                    <w:pStyle w:val="Para 02"/>
                    <w:keepLines w:val="on"/>
                  </w:pPr>
                  <w:r>
                    <w:t>50 triệu đô-la (nợ zero coupon)</w:t>
                  </w:r>
                </w:p>
              </w:tc>
            </w:tr>
            <w:tr>
              <w:tc>
                <w:tcPr>
                  <w:tcW w:type="auto" w:w="0"/>
                  <w:shd w:val="clear" w:color="auto" w:fill="F0F0F0"/>
                </w:tcPr>
                <w:p>
                  <w:pPr>
                    <w:pStyle w:val="Para 02"/>
                    <w:keepLines w:val="on"/>
                  </w:pPr>
                  <w:r>
                    <w:t>Kỳ hạn của nợ</w:t>
                  </w:r>
                </w:p>
              </w:tc>
              <w:tc>
                <w:tcPr>
                  <w:tcW w:type="auto" w:w="0"/>
                  <w:shd w:val="clear" w:color="auto" w:fill="F0F0F0"/>
                </w:tcPr>
                <w:p>
                  <w:pPr>
                    <w:pStyle w:val="Para 02"/>
                    <w:keepLines w:val="on"/>
                  </w:pPr>
                  <w:r>
                    <w:t>10 năm</w:t>
                  </w:r>
                </w:p>
              </w:tc>
              <w:tc>
                <w:tcPr>
                  <w:tcW w:type="auto" w:w="0"/>
                  <w:shd w:val="clear" w:color="auto" w:fill="F0F0F0"/>
                </w:tcPr>
                <w:p>
                  <w:pPr>
                    <w:pStyle w:val="Para 02"/>
                    <w:keepLines w:val="on"/>
                  </w:pPr>
                  <w:r>
                    <w:t>10 năm</w:t>
                  </w:r>
                </w:p>
              </w:tc>
            </w:tr>
            <w:tr>
              <w:tc>
                <w:tcPr>
                  <w:tcW w:type="auto" w:w="0"/>
                  <w:shd w:val="clear" w:color="auto" w:fill="F0F0F0"/>
                </w:tcPr>
                <w:p>
                  <w:pPr>
                    <w:pStyle w:val="Para 02"/>
                    <w:keepLines w:val="on"/>
                  </w:pPr>
                  <w:r>
                    <w:t>Độ lệch chuẩn của giá trị công ty</w:t>
                  </w:r>
                </w:p>
              </w:tc>
              <w:tc>
                <w:tcPr>
                  <w:tcW w:type="auto" w:w="0"/>
                  <w:shd w:val="clear" w:color="auto" w:fill="F0F0F0"/>
                </w:tcPr>
                <w:p>
                  <w:pPr>
                    <w:pStyle w:val="Para 02"/>
                    <w:keepLines w:val="on"/>
                  </w:pPr>
                  <w:r>
                    <w:t>40%</w:t>
                  </w:r>
                </w:p>
              </w:tc>
              <w:tc>
                <w:tcPr>
                  <w:tcW w:type="auto" w:w="0"/>
                  <w:shd w:val="clear" w:color="auto" w:fill="F0F0F0"/>
                </w:tcPr>
                <w:p>
                  <w:pPr>
                    <w:pStyle w:val="Para 02"/>
                    <w:keepLines w:val="on"/>
                  </w:pPr>
                  <w:r>
                    <w:t>50%</w:t>
                  </w:r>
                </w:p>
              </w:tc>
            </w:tr>
          </w:tbl>
          <w:p/>
        </w:tc>
      </w:tr>
    </w:tbl>
    <w:p>
      <w:pPr>
        <w:pStyle w:val="Para 03"/>
      </w:pPr>
      <w:r>
        <w:t>Hệ số tương quan giữa dòng tiền của hai công ty là 0,4. Lãi suất trái phiếu kỳ hạn 10 năm là 10%.</w:t>
      </w:r>
    </w:p>
    <w:p>
      <w:pPr>
        <w:pStyle w:val="Para 03"/>
      </w:pPr>
      <w:r>
        <w:t>Chúng ta tính phương sai của giá trị công ty sau khi thâu tóm như sau:</w:t>
      </w:r>
    </w:p>
    <w:p>
      <w:bookmarkStart w:id="6297" w:name="Varianceincombinedfirmvalue_w12s"/>
      <w:pPr>
        <w:keepNext/>
        <w:pStyle w:val="Para 09"/>
        <w:keepLines w:val="on"/>
      </w:pPr>
      <w:r>
        <w:t>Phươngsaicủagiátrịcôngtyhợpnhất=w12σ12+w22σ22+2w1w2ρ12σ1σ2=0,420,16+0,620,25+20,40,60,40,40,5=0,154</w:t>
      </w:r>
      <w:bookmarkEnd w:id="6297"/>
    </w:p>
    <w:p>
      <w:pPr>
        <w:pStyle w:val="Para 03"/>
      </w:pPr>
      <w:r>
        <w:t>Chúng ta ước tính giá trị vốn chủ sở hữu và nợ của từng công ty riêng lẻ và của công ty hợp nhất bằng cách sử dụng mô hình định giá quyền chọn:</w:t>
      </w:r>
    </w:p>
    <w:tbl>
      <w:tblPr>
        <w:tblW w:type="auto" w:w="0"/>
      </w:tblPr>
      <w:tr>
        <w:tc>
          <w:tcPr>
            <w:tcW w:type="auto" w:w="0"/>
          </w:tcPr>
          <w:tbl>
            <w:tblPr>
              <w:tblW w:type="auto" w:w="0"/>
            </w:tblPr>
            <w:tr>
              <w:tc>
                <w:tcPr>
                  <w:tcW w:type="auto" w:w="0"/>
                  <w:shd w:val="clear" w:color="auto" w:fill="F0F0F0"/>
                </w:tcPr>
                <w:p>
                  <w:pPr>
                    <w:pStyle w:val="Para 17"/>
                    <w:keepLines w:val="on"/>
                  </w:pPr>
                  <w:r>
                    <w:t/>
                  </w:r>
                </w:p>
              </w:tc>
              <w:tc>
                <w:tcPr>
                  <w:tcW w:type="auto" w:w="0"/>
                  <w:shd w:val="clear" w:color="auto" w:fill="F0F0F0"/>
                </w:tcPr>
                <w:p>
                  <w:pPr>
                    <w:pStyle w:val="Para 32"/>
                    <w:keepLines w:val="on"/>
                  </w:pPr>
                  <w:r>
                    <w:t>Lube &amp; Auto</w:t>
                  </w:r>
                </w:p>
              </w:tc>
              <w:tc>
                <w:tcPr>
                  <w:tcW w:type="auto" w:w="0"/>
                  <w:shd w:val="clear" w:color="auto" w:fill="F0F0F0"/>
                </w:tcPr>
                <w:p>
                  <w:pPr>
                    <w:pStyle w:val="Para 32"/>
                    <w:keepLines w:val="on"/>
                  </w:pPr>
                  <w:r>
                    <w:t>Gianni Cosmetics</w:t>
                  </w:r>
                </w:p>
              </w:tc>
              <w:tc>
                <w:tcPr>
                  <w:tcW w:type="auto" w:w="0"/>
                  <w:shd w:val="clear" w:color="auto" w:fill="F0F0F0"/>
                </w:tcPr>
                <w:p>
                  <w:pPr>
                    <w:pStyle w:val="Para 32"/>
                    <w:keepLines w:val="on"/>
                  </w:pPr>
                  <w:r>
                    <w:t>Công ty hợp nhất</w:t>
                  </w:r>
                </w:p>
              </w:tc>
            </w:tr>
            <w:tr>
              <w:tc>
                <w:tcPr>
                  <w:tcW w:type="auto" w:w="0"/>
                  <w:shd w:val="clear" w:color="auto" w:fill="F0F0F0"/>
                </w:tcPr>
                <w:p>
                  <w:pPr>
                    <w:pStyle w:val="Para 02"/>
                    <w:keepLines w:val="on"/>
                  </w:pPr>
                  <w:r>
                    <w:t>Giá trị vốn chủ sở hữu trong công ty</w:t>
                  </w:r>
                </w:p>
              </w:tc>
              <w:tc>
                <w:tcPr>
                  <w:tcW w:type="auto" w:w="0"/>
                  <w:shd w:val="clear" w:color="auto" w:fill="F0F0F0"/>
                </w:tcPr>
                <w:p>
                  <w:pPr>
                    <w:pStyle w:val="Normal"/>
                    <w:keepLines w:val="on"/>
                  </w:pPr>
                  <w:r>
                    <w:t>$75.94</w:t>
                  </w:r>
                </w:p>
              </w:tc>
              <w:tc>
                <w:tcPr>
                  <w:tcW w:type="auto" w:w="0"/>
                  <w:shd w:val="clear" w:color="auto" w:fill="F0F0F0"/>
                </w:tcPr>
                <w:p>
                  <w:pPr>
                    <w:pStyle w:val="Normal"/>
                    <w:keepLines w:val="on"/>
                  </w:pPr>
                  <w:r>
                    <w:t>$134.48</w:t>
                  </w:r>
                </w:p>
              </w:tc>
              <w:tc>
                <w:tcPr>
                  <w:tcW w:type="auto" w:w="0"/>
                  <w:shd w:val="clear" w:color="auto" w:fill="F0F0F0"/>
                </w:tcPr>
                <w:p>
                  <w:pPr>
                    <w:pStyle w:val="Normal"/>
                    <w:keepLines w:val="on"/>
                  </w:pPr>
                  <w:r>
                    <w:t>$207.58</w:t>
                  </w:r>
                </w:p>
              </w:tc>
            </w:tr>
            <w:tr>
              <w:tc>
                <w:tcPr>
                  <w:tcW w:type="auto" w:w="0"/>
                  <w:shd w:val="clear" w:color="auto" w:fill="F0F0F0"/>
                </w:tcPr>
                <w:p>
                  <w:pPr>
                    <w:pStyle w:val="Para 02"/>
                    <w:keepLines w:val="on"/>
                  </w:pPr>
                  <w:r>
                    <w:t>Giá trị nợ trong công ty</w:t>
                  </w:r>
                </w:p>
              </w:tc>
              <w:tc>
                <w:tcPr>
                  <w:tcW w:type="auto" w:w="0"/>
                  <w:shd w:val="clear" w:color="auto" w:fill="F0F0F0"/>
                </w:tcPr>
                <w:p>
                  <w:pPr>
                    <w:pStyle w:val="Normal"/>
                    <w:keepLines w:val="on"/>
                  </w:pPr>
                  <w:r>
                    <w:t>$24.06</w:t>
                  </w:r>
                </w:p>
              </w:tc>
              <w:tc>
                <w:tcPr>
                  <w:tcW w:type="auto" w:w="0"/>
                  <w:shd w:val="clear" w:color="auto" w:fill="F0F0F0"/>
                </w:tcPr>
                <w:p>
                  <w:pPr>
                    <w:pStyle w:val="Normal"/>
                    <w:keepLines w:val="on"/>
                  </w:pPr>
                  <w:r>
                    <w:t>$15.52</w:t>
                  </w:r>
                </w:p>
              </w:tc>
              <w:tc>
                <w:tcPr>
                  <w:tcW w:type="auto" w:w="0"/>
                  <w:shd w:val="clear" w:color="auto" w:fill="F0F0F0"/>
                </w:tcPr>
                <w:p>
                  <w:pPr>
                    <w:pStyle w:val="Normal"/>
                    <w:keepLines w:val="on"/>
                  </w:pPr>
                  <w:r>
                    <w:t>$42.42</w:t>
                  </w:r>
                </w:p>
              </w:tc>
            </w:tr>
            <w:tr>
              <w:tc>
                <w:tcPr>
                  <w:tcW w:type="auto" w:w="0"/>
                  <w:shd w:val="clear" w:color="auto" w:fill="F0F0F0"/>
                </w:tcPr>
                <w:p>
                  <w:pPr>
                    <w:pStyle w:val="Para 02"/>
                    <w:keepLines w:val="on"/>
                  </w:pPr>
                  <w:r>
                    <w:t>Giá trị của công ty</w:t>
                  </w:r>
                </w:p>
              </w:tc>
              <w:tc>
                <w:tcPr>
                  <w:tcW w:type="auto" w:w="0"/>
                  <w:shd w:val="clear" w:color="auto" w:fill="F0F0F0"/>
                </w:tcPr>
                <w:p>
                  <w:pPr>
                    <w:pStyle w:val="Normal"/>
                    <w:keepLines w:val="on"/>
                  </w:pPr>
                  <w:r>
                    <w:t>$100.00</w:t>
                  </w:r>
                </w:p>
              </w:tc>
              <w:tc>
                <w:tcPr>
                  <w:tcW w:type="auto" w:w="0"/>
                  <w:shd w:val="clear" w:color="auto" w:fill="F0F0F0"/>
                </w:tcPr>
                <w:p>
                  <w:pPr>
                    <w:pStyle w:val="Normal"/>
                    <w:keepLines w:val="on"/>
                  </w:pPr>
                  <w:r>
                    <w:t>$150.00</w:t>
                  </w:r>
                </w:p>
              </w:tc>
              <w:tc>
                <w:tcPr>
                  <w:tcW w:type="auto" w:w="0"/>
                  <w:shd w:val="clear" w:color="auto" w:fill="F0F0F0"/>
                </w:tcPr>
                <w:p>
                  <w:pPr>
                    <w:pStyle w:val="Normal"/>
                    <w:keepLines w:val="on"/>
                  </w:pPr>
                  <w:r>
                    <w:t>$250.00</w:t>
                  </w:r>
                </w:p>
              </w:tc>
            </w:tr>
          </w:tbl>
          <w:p/>
        </w:tc>
      </w:tr>
    </w:tbl>
    <w:p>
      <w:pPr>
        <w:pStyle w:val="Para 03"/>
      </w:pPr>
      <w:r>
        <w:t>Tổng giá trị vốn chủ sở hữu trước khi sáp nhập là 210,42 triệu đô la; con số này giảm xuống còn 207,58 triệu đô la sau đó. Tài sản của các trái chủ tăng lên một khoản tương đương. Có sự chuyển dịch tài sản từ cổ đông sang trái chủ do việc sáp nhập. Vì vậy, những thương vụ sáp nhập tập đoàn (conglomerate merger) mà không kéo theo sự gia tăng đòn bẩy (leverage) thường sẽ dẫn đến việc chuyển dịch tài sản từ cổ đông sang trái chủ.</w:t>
      </w:r>
    </w:p>
    <w:p>
      <w:pPr>
        <w:pStyle w:val="Para 11"/>
      </w:pPr>
      <w:r>
        <w:t xml:space="preserve"> </w:t>
      </w:r>
    </w:p>
    <w:p>
      <w:bookmarkStart w:id="6298" w:name="Is_Equity_Not_a_Call_Option_in_E"/>
      <w:bookmarkStart w:id="6299" w:name="Is_Equity_Not_a_Call_Option_in_E_1"/>
      <w:pPr>
        <w:keepNext/>
        <w:pStyle w:val="Para 27"/>
        <w:keepLines w:val="on"/>
      </w:pPr>
      <w:r>
        <w:t>Có Phải Vốn Chủ Sở Hữu Không Phải Là Quyền Chọn Mua Trong Mọi Công Ty?</w:t>
      </w:r>
      <w:bookmarkEnd w:id="6298"/>
      <w:bookmarkEnd w:id="6299"/>
    </w:p>
    <w:p>
      <w:pPr>
        <w:pStyle w:val="Para 16"/>
        <w:keepLines w:val="on"/>
      </w:pPr>
      <w:r>
        <w:t>Nhìn vào khung phân tích được sử dụng trong chương này, hẳn bạn đang thắc mắc tại sao vốn chủ sở hữu trong mọi công ty lại không thể được xem như một quyền chọn mua (call option), và do đó tại sao chúng ta không nên cộng thêm phần bù (premium) vào giá trị chiết khấu dòng tiền (discounted cash flow) cho tất cả các công ty. Đúng là vốn chủ sở hữu trong mọi công ty đều là một quyền chọn mua, nhưng ở hầu hết các công ty, giá trị của công ty với tư cách là một thực thể đang hoạt động (going concern) sẽ lớn hơn giá trị mà bạn thu được từ quyền chọn thanh lý (liquidation option). Lấy ví dụ một công ty tăng trưởng cao với rất ít tài sản hiện hữu (assets in place) và tỷ trọng lớn giá trị đến từ tiềm năng tăng trưởng. Nếu công ty này thanh lý, nó sẽ nhận được giá trị tài sản hiện hữu của mình; đây sẽ trở thành giá trị của tài sản cơ sở (underlying asset) trong mô hình định giá quyền chọn và quyết định giá trị vốn chủ sở hữu như một quyền chọn mua đối với công ty. Giá trị này sẽ thấp hơn nhiều so với giá trị bạn thu được nếu bạn định giá công ty như một thực thể đang hoạt động và xem xét các dòng tiền từ mức tăng trưởng kỳ vọng. Đối với một số công ty trưởng thành (mature firm) mà phần lớn giá trị đến từ tài sản hiện hữu và có nợ đáng kể, giá trị vốn chủ sở hữu như một quyền chọn mua đối với việc thanh lý có thể là giá trị cao hơn. Tuy nhiên, đối với những công ty khác, giá trị vốn chủ sở hữu với tư cách là một thực thể đang hoạt động sẽ lớn hơn.</w:t>
      </w:r>
    </w:p>
    <w:p>
      <w:bookmarkStart w:id="6301" w:name="Conclusion_29"/>
      <w:bookmarkStart w:id="6302" w:name="Conclusion__The_value_of_equity"/>
      <w:pPr>
        <w:keepNext/>
        <w:pStyle w:val="Heading 2"/>
        <w:keepLines w:val="on"/>
      </w:pPr>
      <w:r>
        <w:t>Kết Luận</w:t>
      </w:r>
      <w:bookmarkEnd w:id="6301"/>
      <w:bookmarkEnd w:id="6302"/>
    </w:p>
    <w:p>
      <w:pPr>
        <w:pStyle w:val="Para 03"/>
      </w:pPr>
      <w:r>
        <w:t>Giá trị vốn chủ sở hữu trong những công ty đang gặp khó khăn nghiêm trọng—những công ty có lợi nhuận âm và đòn bẩy cao—có thể được xem như một quyền chọn mua. Quyền chọn này nằm trong tay các nhà đầu tư vốn chủ sở hữu, những người có thể chọn thanh lý công ty và đòi phần chênh lệch giữa giá trị công ty và nợ chưa thanh toán. Với trách nhiệm hữu hạn (limited liability), họ không phải bù đắp phần chênh lệch nếu giá trị công ty giảm xuống dưới giá trị nợ chưa thanh toán. Vốn chủ sở hữu sẽ vẫn giữ được giá trị ngay cả khi giá trị tài sản của công ty thấp hơn nợ chưa thanh toán, nhờ vào phần bù thời gian (time premium) của quyền chọn.</w:t>
      </w:r>
    </w:p>
    <w:p>
      <w:bookmarkStart w:id="6303" w:name="Questions_and_Short_Problems__In_22"/>
      <w:bookmarkStart w:id="6304" w:name="Questions_and_Short_Problems_28"/>
      <w:pPr>
        <w:keepNext/>
        <w:pStyle w:val="Heading 2"/>
        <w:keepLines w:val="on"/>
      </w:pPr>
      <w:r>
        <w:t>Câu Hỏi và Bài Tập Ngắn</w:t>
      </w:r>
      <w:bookmarkEnd w:id="6303"/>
      <w:bookmarkEnd w:id="6304"/>
    </w:p>
    <w:p>
      <w:pPr>
        <w:pStyle w:val="Para 44"/>
      </w:pPr>
      <w:r>
        <w:t>Trong các bài tập sau đây, hãy sử dụng phần bù rủi ro vốn chủ sở hữu (equity risk premium) là 5,5 phần trăm nếu không có quy định nào khác.</w:t>
      </w:r>
    </w:p>
    <w:p>
      <w:pPr>
        <w:numPr>
          <w:ilvl w:val="0"/>
          <w:numId w:val="363"/>
        </w:numPr>
        <w:pStyle w:val="Para 01"/>
      </w:pPr>
      <w:r>
        <w:t>Hãy xác định các phát biểu sau đây là đúng hay sai:</w:t>
      </w:r>
    </w:p>
    <w:p>
      <w:pPr>
        <w:numPr>
          <w:ilvl w:val="1"/>
          <w:numId w:val="363"/>
        </w:numPr>
        <w:pStyle w:val="Para 01"/>
      </w:pPr>
      <w:r>
        <w:t>Vốn chủ sở hữu có thể được xem như một quyền chọn vì các nhà đầu tư vốn chủ sở hữu có trách nhiệm hữu hạn (giới hạn trong khoản đầu tư vốn chủ sở hữu của họ vào công ty).</w:t>
      </w:r>
    </w:p>
    <w:p>
      <w:pPr>
        <w:pStyle w:val="Para 03"/>
      </w:pPr>
      <w:r>
        <w:t>Đúng ___ Sai ___</w:t>
      </w:r>
    </w:p>
    <w:p>
      <w:pPr>
        <w:numPr>
          <w:ilvl w:val="1"/>
          <w:numId w:val="363"/>
        </w:numPr>
        <w:pStyle w:val="Para 01"/>
      </w:pPr>
      <w:r>
        <w:t>Các nhà đầu tư vốn chủ sở hữu đôi khi sẽ thực hiện những dự án tồi (có giá trị hiện tại ròng âm) vì chúng có thể làm tăng giá trị của công ty.</w:t>
      </w:r>
    </w:p>
    <w:p>
      <w:pPr>
        <w:pStyle w:val="Para 03"/>
      </w:pPr>
      <w:r>
        <w:t>Đúng ___ Sai ___</w:t>
      </w:r>
    </w:p>
    <w:p>
      <w:pPr>
        <w:numPr>
          <w:ilvl w:val="1"/>
          <w:numId w:val="363"/>
        </w:numPr>
        <w:pStyle w:val="Para 01"/>
      </w:pPr>
      <w:r>
        <w:t>Đầu tư vào một dự án tốt (có NPV dương) — vốn ít rủi ro hơn mức rủi ro trung bình của công ty — có thể gây ảnh hưởng tiêu cực đến các nhà đầu tư cổ phần.</w:t>
      </w:r>
    </w:p>
    <w:p>
      <w:pPr>
        <w:pStyle w:val="Para 03"/>
      </w:pPr>
      <w:r>
        <w:t>Đúng ___ Sai ___</w:t>
      </w:r>
    </w:p>
    <w:p>
      <w:pPr>
        <w:numPr>
          <w:ilvl w:val="1"/>
          <w:numId w:val="363"/>
        </w:numPr>
        <w:pStyle w:val="Para 01"/>
      </w:pPr>
      <w:r>
        <w:t>Giá trị cổ phần trong một công ty là một hàm số tăng theo thời hạn của nợ trong công ty (tức là, cổ phần sẽ có giá trị cao hơn trong một công ty có nợ dài hạn so với một công ty tương tự về mọi mặt nhưng có nợ ngắn hạn).</w:t>
      </w:r>
    </w:p>
    <w:p>
      <w:pPr>
        <w:pStyle w:val="Para 03"/>
      </w:pPr>
      <w:r>
        <w:t>Đúng ___ Sai ___</w:t>
      </w:r>
    </w:p>
    <w:p>
      <w:pPr>
        <w:numPr>
          <w:ilvl w:val="0"/>
          <w:numId w:val="363"/>
        </w:numPr>
        <w:pStyle w:val="Para 01"/>
      </w:pPr>
      <w:r>
        <w:t>Tập đoàn XYZ có 500 triệu đô-la nợ zero coupon (trái phiếu không trả lãi định kỳ) đang lưu hành, đáo hạn sau năm năm. Công ty có thu nhập trước lãi vay và thuế là 40 triệu đô-la trong năm gần nhất (thuế suất là 40%). Thu nhập này được kỳ vọng tăng 5% mỗi năm mãi mãi, và công ty không trả cổ tức. Công ty có tỷ suất sinh lời trên vốn là 12% và chi phí vốn là 10%. Độ lệch chuẩn hằng năm hóa của giá trị công ty đối với các công ty so sánh được là 12,5%. Lãi suất trái phiếu kỳ hạn năm năm là 5%.</w:t>
      </w:r>
    </w:p>
    <w:p>
      <w:pPr>
        <w:numPr>
          <w:ilvl w:val="1"/>
          <w:numId w:val="363"/>
        </w:numPr>
        <w:pStyle w:val="Para 01"/>
      </w:pPr>
      <w:r>
        <w:t>Hãy ước tính giá trị của công ty.</w:t>
      </w:r>
    </w:p>
    <w:p>
      <w:pPr>
        <w:numPr>
          <w:ilvl w:val="1"/>
          <w:numId w:val="363"/>
        </w:numPr>
        <w:pStyle w:val="Para 01"/>
      </w:pPr>
      <w:r>
        <w:t>Hãy ước tính giá trị cổ phần, sử dụng mô hình định giá quyền chọn.</w:t>
      </w:r>
    </w:p>
    <w:p>
      <w:pPr>
        <w:numPr>
          <w:ilvl w:val="1"/>
          <w:numId w:val="363"/>
        </w:numPr>
        <w:pStyle w:val="Para 01"/>
      </w:pPr>
      <w:r>
        <w:t>Hãy ước tính giá trị thị trường của nợ và mức lãi suất phù hợp trên khoản nợ đó.</w:t>
      </w:r>
    </w:p>
    <w:p>
      <w:pPr>
        <w:numPr>
          <w:ilvl w:val="0"/>
          <w:numId w:val="363"/>
        </w:numPr>
        <w:pStyle w:val="Para 01"/>
      </w:pPr>
      <w:r>
        <w:t>McCaw Cellular Communications báo cáo thu nhập trước lãi vay và thuế là 850 triệu đô-la vào năm 1993, với khoản khấu hao là 400 triệu đô-la và chi tiêu vốn là 550 triệu đô-la trong năm đó; nhu cầu vốn lưu động không đáng kể. Thu nhập trước lãi vay và thuế cùng chi tiêu vốn ròng được kỳ vọng tăng 20% mỗi năm trong năm năm tới. Chi phí vốn là 10% và tỷ suất sinh lời trên vốn được kỳ vọng là 15% mãi mãi sau năm thứ 5; tốc độ tăng trưởng mãi mãi là 5%. Công ty có 10 tỷ đô-la nợ đang lưu hành với các đặc điểm sau:</w:t>
      </w:r>
    </w:p>
    <w:tbl>
      <w:tblPr>
        <w:tblW w:type="auto" w:w="0"/>
      </w:tblPr>
      <w:tr>
        <w:tc>
          <w:tcPr>
            <w:tcW w:type="auto" w:w="0"/>
          </w:tcPr>
          <w:tbl>
            <w:tblPr>
              <w:tblW w:type="auto" w:w="0"/>
            </w:tblPr>
            <w:tr>
              <w:tc>
                <w:tcPr>
                  <w:tcW w:type="auto" w:w="0"/>
                  <w:shd w:val="clear" w:color="auto" w:fill="F0F0F0"/>
                </w:tcPr>
                <w:p>
                  <w:pPr>
                    <w:pStyle w:val="Para 05"/>
                    <w:keepLines w:val="on"/>
                  </w:pPr>
                  <w:r>
                    <w:t>Thời hạn</w:t>
                  </w:r>
                </w:p>
              </w:tc>
              <w:tc>
                <w:tcPr>
                  <w:tcW w:type="auto" w:w="0"/>
                  <w:shd w:val="clear" w:color="auto" w:fill="F0F0F0"/>
                </w:tcPr>
                <w:p>
                  <w:pPr>
                    <w:pStyle w:val="Para 05"/>
                    <w:keepLines w:val="on"/>
                  </w:pPr>
                  <w:r>
                    <w:t>Nợ</w:t>
                  </w:r>
                </w:p>
              </w:tc>
            </w:tr>
            <w:tr>
              <w:tc>
                <w:tcPr>
                  <w:tcW w:type="auto" w:w="0"/>
                  <w:shd w:val="clear" w:color="auto" w:fill="F0F0F0"/>
                </w:tcPr>
                <w:p>
                  <w:pPr>
                    <w:pStyle w:val="Normal"/>
                    <w:keepLines w:val="on"/>
                  </w:pPr>
                  <w:r>
                    <w:t>1 năm</w:t>
                  </w:r>
                </w:p>
              </w:tc>
              <w:tc>
                <w:tcPr>
                  <w:tcW w:type="auto" w:w="0"/>
                  <w:shd w:val="clear" w:color="auto" w:fill="F0F0F0"/>
                </w:tcPr>
                <w:p>
                  <w:pPr>
                    <w:pStyle w:val="Normal"/>
                    <w:keepLines w:val="on"/>
                  </w:pPr>
                  <w:r>
                    <w:t>2 tỷ đô-la</w:t>
                  </w:r>
                </w:p>
              </w:tc>
            </w:tr>
            <w:tr>
              <w:tc>
                <w:tcPr>
                  <w:tcW w:type="auto" w:w="0"/>
                  <w:shd w:val="clear" w:color="auto" w:fill="F0F0F0"/>
                </w:tcPr>
                <w:p>
                  <w:pPr>
                    <w:pStyle w:val="Normal"/>
                    <w:keepLines w:val="on"/>
                  </w:pPr>
                  <w:r>
                    <w:t>2 năm</w:t>
                  </w:r>
                </w:p>
              </w:tc>
              <w:tc>
                <w:tcPr>
                  <w:tcW w:type="auto" w:w="0"/>
                  <w:shd w:val="clear" w:color="auto" w:fill="F0F0F0"/>
                </w:tcPr>
                <w:p>
                  <w:pPr>
                    <w:pStyle w:val="Normal"/>
                    <w:keepLines w:val="on"/>
                  </w:pPr>
                  <w:r>
                    <w:t>4 tỷ đô-la</w:t>
                  </w:r>
                </w:p>
              </w:tc>
            </w:tr>
            <w:tr>
              <w:tc>
                <w:tcPr>
                  <w:tcW w:type="auto" w:w="0"/>
                  <w:shd w:val="clear" w:color="auto" w:fill="F0F0F0"/>
                </w:tcPr>
                <w:p>
                  <w:pPr>
                    <w:pStyle w:val="Normal"/>
                    <w:keepLines w:val="on"/>
                  </w:pPr>
                  <w:r>
                    <w:t>5 năm</w:t>
                  </w:r>
                </w:p>
              </w:tc>
              <w:tc>
                <w:tcPr>
                  <w:tcW w:type="auto" w:w="0"/>
                  <w:shd w:val="clear" w:color="auto" w:fill="F0F0F0"/>
                </w:tcPr>
                <w:p>
                  <w:pPr>
                    <w:pStyle w:val="Normal"/>
                    <w:keepLines w:val="on"/>
                  </w:pPr>
                  <w:r>
                    <w:t>4 tỷ đô-la</w:t>
                  </w:r>
                </w:p>
              </w:tc>
            </w:tr>
          </w:tbl>
          <w:p/>
        </w:tc>
      </w:tr>
    </w:tbl>
    <w:p>
      <w:pPr>
        <w:pStyle w:val="Para 03"/>
      </w:pPr>
      <w:r>
        <w:t>Độ lệch chuẩn hằng năm hóa của giá cổ phiếu công ty là 35%, trong khi độ lệch chuẩn hằng năm hóa của trái phiếu đang giao dịch là 15%. Tương quan giữa giá cổ phiếu và giá trái phiếu là 0,5, và tỷ lệ nợ trung bình trong vài năm qua là 60%. Lãi suất trái phiếu kỳ hạn ba năm là 5%, và thuế suất là 40%.</w:t>
      </w:r>
    </w:p>
    <w:p>
      <w:pPr>
        <w:numPr>
          <w:ilvl w:val="1"/>
          <w:numId w:val="363"/>
        </w:numPr>
        <w:pStyle w:val="Para 01"/>
      </w:pPr>
      <w:r>
        <w:t>Hãy ước tính giá trị của công ty.</w:t>
      </w:r>
    </w:p>
    <w:p>
      <w:pPr>
        <w:numPr>
          <w:ilvl w:val="1"/>
          <w:numId w:val="363"/>
        </w:numPr>
        <w:pStyle w:val="Para 01"/>
      </w:pPr>
      <w:r>
        <w:t>Hãy ước tính giá trị cổ phần.</w:t>
      </w:r>
    </w:p>
    <w:p>
      <w:pPr>
        <w:numPr>
          <w:ilvl w:val="1"/>
          <w:numId w:val="363"/>
        </w:numPr>
        <w:pStyle w:val="Para 01"/>
      </w:pPr>
      <w:r>
        <w:t>Cổ phiếu đang được giao dịch ở mức 30 đô-la, và có 210 triệu cổ phiếu đang lưu hành vào tháng 1 năm 1994. Hãy ước tính độ lệch chuẩn ngụ ý (implied) của giá trị công ty.</w:t>
      </w:r>
    </w:p>
    <w:p>
      <w:pPr>
        <w:numPr>
          <w:ilvl w:val="1"/>
          <w:numId w:val="363"/>
        </w:numPr>
        <w:pStyle w:val="Para 01"/>
      </w:pPr>
      <w:r>
        <w:t>Hãy ước tính giá trị thị trường của nợ.</w:t>
      </w:r>
    </w:p>
    <w:p>
      <w:pPr>
        <w:numPr>
          <w:ilvl w:val="0"/>
          <w:numId w:val="363"/>
        </w:numPr>
        <w:pStyle w:val="Para 01"/>
      </w:pPr>
      <w:r>
        <w:t>Bạn được yêu cầu phân tích giá trị cổ phần của một công ty có các đặc điểm sau:</w:t>
      </w:r>
    </w:p>
    <w:p>
      <w:pPr>
        <w:numPr>
          <w:ilvl w:val="1"/>
          <w:numId w:val="363"/>
        </w:numPr>
        <w:pStyle w:val="Para 01"/>
      </w:pPr>
      <w:r>
        <w:t>Thu nhập trước lãi vay và thuế là 25 triệu đô-la, và thuế suất thuế thu nhập doanh nghiệp là 40%.</w:t>
      </w:r>
    </w:p>
    <w:p>
      <w:pPr>
        <w:numPr>
          <w:ilvl w:val="1"/>
          <w:numId w:val="363"/>
        </w:numPr>
        <w:pStyle w:val="Para 01"/>
      </w:pPr>
      <w:r>
        <w:t>Thu nhập được kỳ vọng tăng 4% mỗi năm mãi mãi, và tỷ suất sinh lời trên vốn là 10%. Chi phí vốn của các công ty so sánh được là 9%.</w:t>
      </w:r>
    </w:p>
    <w:p>
      <w:pPr>
        <w:numPr>
          <w:ilvl w:val="1"/>
          <w:numId w:val="363"/>
        </w:numPr>
        <w:pStyle w:val="Para 01"/>
      </w:pPr>
      <w:r>
        <w:t>Công ty có hai loại nợ đang lưu hành—trái phiếu zero coupon kỳ hạn hai năm với mệnh giá 250 triệu đô la và nợ ngân hàng có thời gian đáo hạn 10 năm với mệnh giá 250 triệu đô la. (Thời lượng của khoản nợ này là bốn năm.)</w:t>
      </w:r>
    </w:p>
    <w:p>
      <w:pPr>
        <w:numPr>
          <w:ilvl w:val="1"/>
          <w:numId w:val="363"/>
        </w:numPr>
        <w:pStyle w:val="Para 01"/>
      </w:pPr>
      <w:r>
        <w:t>Công ty hoạt động trong hai lĩnh vực—chế biến thực phẩm và sửa chữa ô tô. Độ lệch chuẩn trung bình trong giá trị công ty đối với các công ty trong ngành chế biến thực phẩm là 25%, trong khi độ lệch chuẩn đối với các công ty trong ngành sửa chữa ô tô là 40%. Mối tương quan giữa hai lĩnh vực này là 0,5.</w:t>
      </w:r>
    </w:p>
    <w:p>
      <w:pPr>
        <w:numPr>
          <w:ilvl w:val="1"/>
          <w:numId w:val="363"/>
        </w:numPr>
        <w:pStyle w:val="Para 01"/>
      </w:pPr>
      <w:r>
        <w:t>Lãi suất phi rủi ro là 7%.</w:t>
      </w:r>
    </w:p>
    <w:p>
      <w:pPr>
        <w:pStyle w:val="Para 03"/>
      </w:pPr>
      <w:r>
        <w:t>Sử dụng mô hình định giá quyền chọn để định giá vốn chủ sở hữu như một quyền chọn.</w:t>
      </w:r>
    </w:p>
    <w:p>
      <w:pPr>
        <w:numPr>
          <w:ilvl w:val="0"/>
          <w:numId w:val="363"/>
        </w:numPr>
        <w:pStyle w:val="Para 01"/>
      </w:pPr>
      <w:r>
        <w:t>Bạn đang định giá vốn chủ sở hữu của một công ty có 800 triệu đô la (mệnh giá) nợ với thời lượng trung bình là sáu năm và tài sản có giá trị ước tính là 400 triệu đô la. Độ lệch chuẩn trong giá trị tài sản là 30%. Với các thông số đầu vào này (và lãi suất phi rủi ro là 6%), chúng ta thu được các giá trị sau (xấp xỉ) cho d1 và d2:</w:t>
      </w:r>
    </w:p>
    <w:p>
      <w:bookmarkStart w:id="6306" w:name="d1__0_15d2__0_90"/>
      <w:pPr>
        <w:keepNext/>
        <w:pStyle w:val="Para 09"/>
        <w:keepLines w:val="on"/>
      </w:pPr>
      <w:r>
        <w:t>d1=-0,15d2=-0,90</w:t>
      </w:r>
      <w:bookmarkEnd w:id="6306"/>
    </w:p>
    <w:p>
      <w:pPr>
        <w:pStyle w:val="Para 03"/>
      </w:pPr>
      <w:r>
        <w:t>Ước tính mức chênh lệch vỡ nợ (cao hơn lãi suất phi rủi ro) mà bạn sẽ tính cho khoản nợ của công ty này.</w:t>
      </w:r>
    </w:p>
    <w:p>
      <w:bookmarkStart w:id="6307" w:name="Notes_29"/>
      <w:bookmarkStart w:id="6308" w:name="Notes__1_Technically__this_can_b"/>
      <w:pPr>
        <w:keepNext/>
        <w:pStyle w:val="Heading 2"/>
        <w:keepLines w:val="on"/>
      </w:pPr>
      <w:r>
        <w:t>Ghi chú</w:t>
      </w:r>
      <w:bookmarkEnd w:id="6307"/>
      <w:bookmarkEnd w:id="6308"/>
    </w:p>
    <w:p>
      <w:pPr>
        <w:pStyle w:val="Para 08"/>
      </w:pPr>
      <w:r>
        <w:t>1 Về mặt kỹ thuật, điều này có thể được thực hiện bằng cách đưa công ty vào trạng thái tăng trưởng ổn định và định giá nó như một công ty tăng trưởng ổn định, trong đó việc tái đầu tư được sử dụng để duy trì hoặc gia tăng tài sản hiện có.</w:t>
      </w:r>
    </w:p>
    <w:p>
      <w:pPr>
        <w:pStyle w:val="Para 08"/>
      </w:pPr>
      <w:r>
        <w:t>2 Đây là phần mở rộng của công thức phương sai cho một danh mục hai tài sản.</w:t>
      </w:r>
    </w:p>
    <w:p>
      <w:pPr>
        <w:pStyle w:val="Para 08"/>
      </w:pPr>
      <w:r>
        <w:t>3 Chúng tôi đã sử dụng logarit tự nhiên của giá cổ phiếu để tính độ lệch chuẩn.</w:t>
      </w:r>
    </w:p>
    <w:p>
      <w:bookmarkStart w:id="6312" w:name="Chapter_31Value_Enhancement__A_D_1"/>
      <w:bookmarkStart w:id="6313" w:name="Top_of_c031_xhtml"/>
      <w:bookmarkStart w:id="6314" w:name="Chapter_31Value_Enhancement__A_D"/>
      <w:pPr>
        <w:keepNext/>
        <w:pStyle w:val="Heading 1"/>
        <w:pageBreakBefore w:val="on"/>
        <w:keepLines w:val="on"/>
      </w:pPr>
      <w:r>
        <w:t>CHƯƠNG 31</w:t>
      </w:r>
      <w:r>
        <w:br/>
      </w:r>
      <w:r>
        <w:t>Nâng cao giá trị: Khung định giá dòng tiền chiết khấu</w:t>
      </w:r>
      <w:bookmarkEnd w:id="6312"/>
      <w:bookmarkEnd w:id="6313"/>
      <w:bookmarkEnd w:id="6314"/>
    </w:p>
    <w:p>
      <w:pPr>
        <w:pStyle w:val="Para 03"/>
      </w:pPr>
      <w:r>
        <w:t>Trong phần lớn cuốn sách này, chúng ta đã đóng vai một nhà đầu tư thụ động định giá các doanh nghiệp đang hoạt động. Trong chương này, chúng ta chuyển vai và nhìn vào việc định giá từ góc độ của một nhà đầu tư có thể tạo ra sự khác biệt trong cách điều hành một công ty, và do đó, trong giá trị của nó. Trọng tâm của chúng ta, vì vậy, là cách mà các hành động của người quản lý và chủ sở hữu có thể thay đổi giá trị của một công ty.</w:t>
      </w:r>
    </w:p>
    <w:p>
      <w:pPr>
        <w:pStyle w:val="Para 03"/>
      </w:pPr>
      <w:r>
        <w:t>Chúng ta sẽ sử dụng khung dòng tiền chiết khấu (discounted cash flow) được phát triển trong các phần trước của cuốn sách để khám phá các yêu cầu đối với một hành động để nó tạo ra giá trị, và sau đó tiếp tục xem xét các cách khác nhau mà một công ty có thể tạo ra giá trị. Trong quá trình đó, chúng ta cũng xem xét vai trò của các quyết định tiếp thị, quyết định sản xuất và quyết định chiến lược đối với việc tạo ra giá trị.</w:t>
      </w:r>
    </w:p>
    <w:p>
      <w:bookmarkStart w:id="6316" w:name="Value_Creating_and_Value_Neutral_1"/>
      <w:bookmarkStart w:id="6317" w:name="Value_Creating_and_Value_Neutral"/>
      <w:pPr>
        <w:keepNext/>
        <w:pStyle w:val="Heading 2"/>
        <w:keepLines w:val="on"/>
      </w:pPr>
      <w:r>
        <w:t>Các hành động tạo giá trị và trung hòa giá trị</w:t>
      </w:r>
      <w:bookmarkEnd w:id="6316"/>
      <w:bookmarkEnd w:id="6317"/>
    </w:p>
    <w:p>
      <w:pPr>
        <w:pStyle w:val="Para 03"/>
      </w:pPr>
      <w:r>
        <w:t>Giá trị của một công ty là giá trị hiện tại của các dòng tiền kỳ vọng từ cả tài sản hiện có và tăng trưởng trong tương lai, được chiết khấu theo chi phí vốn. Để một hành động tạo ra giá trị, nó phải làm một hoặc nhiều điều sau:</w:t>
      </w:r>
    </w:p>
    <w:p>
      <w:pPr>
        <w:numPr>
          <w:ilvl w:val="0"/>
          <w:numId w:val="364"/>
        </w:numPr>
        <w:pStyle w:val="Para 01"/>
      </w:pPr>
      <w:r>
        <w:t>Tăng dòng tiền được tạo ra từ các khoản đầu tư hiện có.</w:t>
      </w:r>
    </w:p>
    <w:p>
      <w:pPr>
        <w:numPr>
          <w:ilvl w:val="0"/>
          <w:numId w:val="364"/>
        </w:numPr>
        <w:pStyle w:val="Para 01"/>
      </w:pPr>
      <w:r>
        <w:t>Tăng tốc độ tăng trưởng kỳ vọng của thu nhập trong khi tạo ra lợi nhuận vượt trội.</w:t>
      </w:r>
    </w:p>
    <w:p>
      <w:pPr>
        <w:numPr>
          <w:ilvl w:val="0"/>
          <w:numId w:val="364"/>
        </w:numPr>
        <w:pStyle w:val="Para 01"/>
      </w:pPr>
      <w:r>
        <w:t>Kéo dài thời gian của giai đoạn tăng trưởng cao.</w:t>
      </w:r>
    </w:p>
    <w:p>
      <w:pPr>
        <w:numPr>
          <w:ilvl w:val="0"/>
          <w:numId w:val="364"/>
        </w:numPr>
        <w:pStyle w:val="Para 01"/>
      </w:pPr>
      <w:r>
        <w:t>Giảm chi phí vốn được áp dụng để chiết khấu các dòng tiền.</w:t>
      </w:r>
    </w:p>
    <w:p>
      <w:pPr>
        <w:pStyle w:val="Para 03"/>
      </w:pPr>
      <w:r>
        <w:t>Ngược lại, một hành động không ảnh hưởng đến bất kỳ điều nào ở trên thì không thể ảnh hưởng đến giá trị.</w:t>
      </w:r>
    </w:p>
    <w:p>
      <w:pPr>
        <w:pStyle w:val="Para 03"/>
      </w:pPr>
      <w:r>
        <w:t>Mặc dù điều này có vẻ hiển nhiên, một số hành động trung hòa giá trị mà các công ty thực hiện lại nhận được sự chú ý không tương xứng từ cả người quản lý lẫn các nhà phân tích. Hãy xem xét bốn ví dụ:</w:t>
      </w:r>
    </w:p>
    <w:p>
      <w:pPr>
        <w:numPr>
          <w:ilvl w:val="0"/>
          <w:numId w:val="365"/>
        </w:numPr>
        <w:pStyle w:val="Para 01"/>
      </w:pPr>
      <w:r>
        <w:t>Cổ tức cổ phiếu và chia tách cổ phiếu thay đổi số lượng đơn vị vốn chủ sở hữu trong một công ty nhưng không ảnh hưởng đến dòng tiền, tăng trưởng hay giá trị. Tuy nhiên, những hành động này có thể có ảnh hưởng đến giá cả, vì chúng thay đổi nhận thức của nhà đầu tư về tương lai của công ty.</w:t>
      </w:r>
    </w:p>
    <w:p>
      <w:pPr>
        <w:numPr>
          <w:ilvl w:val="0"/>
          <w:numId w:val="365"/>
        </w:numPr>
        <w:pStyle w:val="Para 01"/>
      </w:pPr>
      <w:r>
        <w:t>Những thay đổi kế toán trong phương pháp định giá hàng tồn kho và khấu hao, mà chỉ giới hạn trong các báo cáo tài chính và không ảnh hưởng đến tính toán thuế, không có tác động đến dòng tiền, tăng trưởng hay giá trị. Trong những năm gần đây, các công ty đã dành ngày càng nhiều thời gian cho việc quản lý và làm mịn thu nhập, và dường như tin rằng việc này mang lại lợi ích về giá trị.</w:t>
      </w:r>
    </w:p>
    <w:p>
      <w:pPr>
        <w:numPr>
          <w:ilvl w:val="0"/>
          <w:numId w:val="365"/>
        </w:numPr>
        <w:pStyle w:val="Para 01"/>
      </w:pPr>
      <w:r>
        <w:t>Khi thực hiện mua lại, các công ty thường cố gắng cấu trúc các thương vụ theo cách mà họ có thể giảm thiểu tác động tiêu cực đến thu nhập trong các kỳ tương lai. Trước những thay đổi kế toán cấm thực hành này, nhiều công ty Hoa Kỳ đã sử dụng phương pháp gộp (pooling) để hạch toán các thương vụ mua lại, trong đó công ty mua lại được phép gộp tài sản và không phải thể hiện khoản phí bảo hiểm đã trả như lợi thế thương mại. Để đủ điều kiện cho thực hành này, các công ty thường trả phí bảo hiểm và tái cấu trúc các thương vụ để đủ điều kiện áp dụng phương pháp gộp, ngay cả khi không có tác động nào đến dòng tiền.</w:t>
      </w:r>
    </w:p>
    <w:p>
      <w:pPr>
        <w:numPr>
          <w:ilvl w:val="0"/>
          <w:numId w:val="365"/>
        </w:numPr>
        <w:pStyle w:val="Para 01"/>
      </w:pPr>
      <w:r>
        <w:t>Trong nhiều năm, các công ty đã cố gắng thu hút sự chú ý có lợi bằng cách thay đổi tên và logo doanh nghiệp để phản ánh các xu hướng thị trường. Ví dụ, vào cuối những năm 1990, khi ngành công nghệ đang bùng nổ đỉnh điểm, việc thêm ".com" vào tên công ty là một việc làm phổ biến.</w:t>
      </w:r>
    </w:p>
    <w:p>
      <w:pPr>
        <w:pStyle w:val="Para 03"/>
      </w:pPr>
      <w:r>
        <w:t>Một số người sẽ phản đối quan điểm này về việc điều gì tạo ra giá trị. Họ sẽ lập luận rằng khi một cổ phiếu được chia tách hoặc một công ty đổi tên, giá cổ phiếu thường tăng đáng kể.1 Mặc dù điều này có thể đúng, chúng tôi muốn nhấn mạnh rằng chính giá trị, chứ không phải giá cả, mới là thứ mà chúng tôi cho rằng không bị ảnh hưởng bởi những hành động này.</w:t>
      </w:r>
    </w:p>
    <w:p>
      <w:pPr>
        <w:pStyle w:val="Para 03"/>
      </w:pPr>
      <w:r>
        <w:t>Trong khi việc trả cổ tức bằng cổ phiếu, chia tách cổ phiếu, thêm ".com" vào tên doanh nghiệp vào năm 1999 hay thêm AI vào mô tả hoạt động kinh doanh của công ty vào năm 2024 đều là những hành động trung lập về giá trị, chúng vẫn có thể là những công cụ hữu ích cho một công ty tự nhận thấy mình bị thị trường định giá thấp. Những hành động này có thể thay đổi nhận thức của thị trường về tăng trưởng hoặc dòng tiền, và do đó, đóng vai trò như những tín hiệu gửi đến thị trường tài chính. Bằng cách tăng khối lượng giao dịch và tính thanh khoản, chúng có thể mang lại lợi ích phụ cho nhà đầu tư và ảnh hưởng đến giá cổ phiếu. Cuối cùng, trong một số trường hợp, những hành động mang tính hình thức có thể dẫn đến thay đổi trong hoạt động, và do đó, cuối cùng ảnh hưởng đến dòng tiền và giá trị.</w:t>
      </w:r>
    </w:p>
    <w:p>
      <w:bookmarkStart w:id="6320" w:name="Ways_of_Increasing_Value__The_va"/>
      <w:bookmarkStart w:id="6321" w:name="Ways_of_Increasing_Value"/>
      <w:pPr>
        <w:keepNext/>
        <w:pStyle w:val="Heading 2"/>
        <w:keepLines w:val="on"/>
      </w:pPr>
      <w:r>
        <w:t>Các cách gia tăng giá trị</w:t>
      </w:r>
      <w:bookmarkEnd w:id="6320"/>
      <w:bookmarkEnd w:id="6321"/>
    </w:p>
    <w:p>
      <w:pPr>
        <w:pStyle w:val="Para 03"/>
      </w:pPr>
      <w:r>
        <w:t>Giá trị của một công ty có thể được gia tăng bằng cách tăng dòng tiền từ các tài sản hiện có, bằng cách tăng tăng trưởng kỳ vọng (trong khi vẫn duy trì lợi nhuận vượt trội) và kéo dài thời gian tăng trưởng, và bằng cách giảm chi phí vốn. Tuy nhiên, trên thực tế, không có điều nào trong số này dễ dàng đạt được, và chúng có khả năng phản ánh tất cả những yếu tố định tính mà các nhà phân tích tài chính thường bị cáo buộc là bỏ qua khi định giá. Phần này sẽ xem xét cách những hành động mà một công ty thực hiện trên nhiều phương diện—tiếp thị, chiến lược và tài chính—có thể tác động đến giá trị.</w:t>
      </w:r>
    </w:p>
    <w:p>
      <w:bookmarkStart w:id="6322" w:name="Increase_Cash_Flows_from_Existin"/>
      <w:bookmarkStart w:id="6323" w:name="Increase_Cash_Flows_from_Existin_1"/>
      <w:pPr>
        <w:keepNext/>
        <w:pStyle w:val="Heading 3"/>
        <w:keepLines w:val="on"/>
      </w:pPr>
      <w:r>
        <w:t>Tăng dòng tiền từ các khoản đầu tư hiện hữu</w:t>
      </w:r>
      <w:bookmarkEnd w:id="6322"/>
      <w:bookmarkEnd w:id="6323"/>
    </w:p>
    <w:p>
      <w:pPr>
        <w:pStyle w:val="Para 03"/>
      </w:pPr>
      <w:r>
        <w:t>Nơi đầu tiên cần tìm kiếm giá trị là ở các tài sản hiện có của công ty. Những tài sản này đại diện cho các khoản đầu tư mà công ty đã thực hiện, và chúng tạo ra thu nhập hoạt động hiện tại cho công ty. Trong chừng mực những khoản đầu tư này kiếm được ít hơn chi phí vốn của chúng hoặc kiếm được ít hơn mức chúng có thể tạo ra nếu được quản lý tối ưu, thì vẫn có tiềm năng tạo ra giá trị.</w:t>
      </w:r>
    </w:p>
    <w:p>
      <w:pPr>
        <w:pStyle w:val="Para 20"/>
      </w:pPr>
      <w:r>
        <w:rPr>
          <w:rStyle w:val="Text26"/>
        </w:rPr>
        <w:bookmarkStart w:id="6324" w:name="Page_979"/>
        <w:t/>
        <w:bookmarkEnd w:id="6324"/>
      </w:r>
      <w:r>
        <w:t xml:space="preserve"> </w:t>
      </w:r>
    </w:p>
    <w:p>
      <w:bookmarkStart w:id="6325" w:name="Poor_Investments__Keep__Divest_1"/>
      <w:bookmarkStart w:id="6326" w:name="Poor_Investments__Keep__Divest"/>
      <w:pPr>
        <w:keepNext/>
        <w:pStyle w:val="Heading 4"/>
        <w:keepLines w:val="on"/>
      </w:pPr>
      <w:r>
        <w:t>Các khoản đầu tư kém hiệu quả: Giữ lại, thoái vốn hay thanh lý</w:t>
      </w:r>
      <w:bookmarkEnd w:id="6325"/>
      <w:bookmarkEnd w:id="6326"/>
    </w:p>
    <w:p>
      <w:pPr>
        <w:pStyle w:val="Para 03"/>
      </w:pPr>
      <w:r>
        <w:t>Hầu hết các công ty đều có một số khoản đầu tư kiếm được ít hơn chi phí vốn dùng để tài trợ cho chúng và đôi khi còn thua lỗ. Thoạt nhìn, có vẻ hiển nhiên rằng những khoản đầu tư không kiếm được chi phí vốn của chúng thì nên bị thanh lý hoặc thoái vốn. Trên thực tế, nếu công ty có thể thu hồi lại số vốn ban đầu khi thanh lý, thì nhận định này sẽ đúng. Tuy nhiên, trong hầu hết các trường hợp, có ba thước đo giá trị khác nhau đối với một khoản đầu tư hiện hữu mà chúng ta cần xem xét trước khi đưa ra phán quyết này.</w:t>
      </w:r>
    </w:p>
    <w:p>
      <w:pPr>
        <w:pStyle w:val="Para 03"/>
      </w:pPr>
      <w:r>
        <w:t>Thứ nhất là giá trị tiếp tục (continuing value), phản ánh giá trị hiện tại của dòng tiền kỳ vọng từ việc tiếp tục khoản đầu tư cho đến hết vòng đời của nó. Thứ hai là giá trị thanh lý hay giá trị thu hồi (liquidation or salvage value), tức là dòng tiền ròng mà công ty sẽ nhận được nếu chấm dứt dự án ngay hôm nay. Cuối cùng là giá trị thoái vốn (divestiture value), tức là mức giá mà người trả giá cao nhất sẽ trả cho khoản đầu tư này.</w:t>
      </w:r>
    </w:p>
    <w:p>
      <w:pPr>
        <w:pStyle w:val="Para 03"/>
      </w:pPr>
      <w:r>
        <w:t>Việc một công ty nên tiếp tục với một dự án hiện hữu, thanh lý dự án, hay bán nó cho người khác sẽ phụ thuộc vào việc giá trị nào trong ba giá trị trên là cao nhất. Nếu giá trị tiếp tục là cao nhất, công ty nên tiếp tục với dự án cho đến hết vòng đời dự án, ngay cả khi nó có thể kiếm được ít hơn chi phí vốn. Nếu giá trị thanh lý hoặc thoái vốn cao hơn giá trị tiếp tục, thì có tiềm năng gia tăng giá trị từ việc thanh lý hoặc thoái vốn. Mức gia tăng giá trị khi đó có thể được tóm tắt như sau:</w:t>
      </w:r>
    </w:p>
    <w:p>
      <w:pPr>
        <w:pStyle w:val="Para 03"/>
      </w:pPr>
      <w:r>
        <w:t>Nếu thanh lý là tối ưu:</w:t>
      </w:r>
    </w:p>
    <w:p>
      <w:bookmarkStart w:id="6327" w:name="Expectedvalueincrease_Liquidatio"/>
      <w:pPr>
        <w:keepNext/>
        <w:pStyle w:val="Para 09"/>
        <w:keepLines w:val="on"/>
      </w:pPr>
      <w:r>
        <w:t>Mứcgia tăng giá trị kỳ vọng=Giá trị thanh lý−Giá trị tiếp tục</w:t>
      </w:r>
      <w:bookmarkEnd w:id="6327"/>
    </w:p>
    <w:p>
      <w:pPr>
        <w:pStyle w:val="Para 03"/>
      </w:pPr>
      <w:r>
        <w:t>Nếu thoái vốn là tối ưu:</w:t>
      </w:r>
    </w:p>
    <w:p>
      <w:bookmarkStart w:id="6328" w:name="Expectedvalueincrease_Divestitur"/>
      <w:pPr>
        <w:keepNext/>
        <w:pStyle w:val="Para 09"/>
        <w:keepLines w:val="on"/>
      </w:pPr>
      <w:r>
        <w:t>Mứcgia tăng giá trị kỳ vọng=Giá trị thoái vốn−Giá trị tiếp tục</w:t>
      </w:r>
      <w:bookmarkEnd w:id="6328"/>
    </w:p>
    <w:p>
      <w:pPr>
        <w:pStyle w:val="Para 03"/>
      </w:pPr>
      <w:r>
        <w:t>Việc thoái vốn ảnh hưởng đến giá trị của một công ty như thế nào? Để trả lời câu hỏi này, chúng ta so sánh mức giá nhận được khi thoái vốn với giá trị hiện tại của dòng tiền kỳ vọng mà công ty lẽ ra sẽ nhận được từ những tài sản bị thoái vốn. Có ba tình huống có thể xảy ra:</w:t>
      </w:r>
    </w:p>
    <w:p>
      <w:pPr>
        <w:numPr>
          <w:ilvl w:val="0"/>
          <w:numId w:val="366"/>
        </w:numPr>
        <w:pStyle w:val="Para 01"/>
      </w:pPr>
      <w:r>
        <w:t>Nếu giá trị thoái vốn bằng với giá trị hiện tại của dòng tiền kỳ vọng, thì việc thoái vốn sẽ không ảnh hưởng gì đến giá trị của công ty thoái vốn.</w:t>
      </w:r>
    </w:p>
    <w:p>
      <w:pPr>
        <w:numPr>
          <w:ilvl w:val="0"/>
          <w:numId w:val="366"/>
        </w:numPr>
        <w:pStyle w:val="Para 01"/>
      </w:pPr>
      <w:r>
        <w:t>Nếu giá trị thoái vốn lớn hơn giá trị hiện tại của dòng tiền kỳ vọng, thì giá trị của công ty sẽ tăng lên nhờ việc thoái vốn.</w:t>
      </w:r>
    </w:p>
    <w:p>
      <w:pPr>
        <w:numPr>
          <w:ilvl w:val="0"/>
          <w:numId w:val="366"/>
        </w:numPr>
        <w:pStyle w:val="Para 01"/>
      </w:pPr>
      <w:r>
        <w:t>Nếu giá trị thoái vốn nhỏ hơn giá trị hiện tại của dòng tiền kỳ vọng, thì giá trị của công ty sẽ giảm đi do việc thoái vốn.</w:t>
      </w:r>
    </w:p>
    <w:p>
      <w:pPr>
        <w:pStyle w:val="Para 03"/>
      </w:pPr>
      <w:r>
        <w:t>Công ty thoái vốn nhận tiền mặt để đổi lấy tài sản và có thể chọn giữ lại tiền mặt và đầu tư vào chứng khoán có thể bán được, đầu tư tiền mặt vào các tài sản khác hoặc các khoản đầu tư mới, hoặc trả lại tiền mặt cho cổ đông dưới hình thức cổ tức hoặc mua lại cổ phiếu. Những hành động này, đến lượt mình, có thể có tác động thứ cấp đến giá trị.</w:t>
      </w:r>
    </w:p>
    <w:p>
      <w:pPr>
        <w:pStyle w:val="Para 11"/>
      </w:pPr>
      <w:r>
        <w:t xml:space="preserve"> </w:t>
      </w:r>
    </w:p>
    <w:p>
      <w:bookmarkStart w:id="6329" w:name="ILLUSTRATION_31_1___Potential_fo"/>
      <w:bookmarkStart w:id="6330" w:name="ILLUSTRATION_31_1___Potential_fo_1"/>
      <w:pPr>
        <w:keepNext/>
        <w:pStyle w:val="Para 19"/>
        <w:keepLines w:val="on"/>
      </w:pPr>
      <w:r>
        <w:t>MINH HỌA 31.1: Tiềm năng tạo giá trị từ thoái vốn: Boeing năm 1998</w:t>
      </w:r>
      <w:bookmarkEnd w:id="6329"/>
      <w:bookmarkEnd w:id="6330"/>
    </w:p>
    <w:p>
      <w:pPr>
        <w:pStyle w:val="Para 04"/>
        <w:keepLines w:val="on"/>
      </w:pPr>
      <w:r>
        <w:t>Mặc dù rất khó đưa ra phán đoán về từng khoản đầu tư riêng lẻ mà các công ty có thể có và khả năng tạo ra giá trị tiếp tục của chúng, bạn có thể đưa ra một số nhận xét về tiềm năng tạo giá trị từ thoái vốn và thanh lý bằng cách xem xét chi phí vốn và lợi nhuận trên vốn mà các bộ phận khác nhau của một công ty kiếm được. Ví dụ, Boeing kiếm được lợi nhuận trên vốn đầu tư là 5,82% vào năm 1998, trong khi chi phí vốn của nó là 9,18%. Phân tách lợi nhuận của Boeing theo bộ phận, chúng ta thu được các con số trong bảng sau:</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Máy bay thương mại</w:t>
                  </w:r>
                </w:p>
              </w:tc>
              <w:tc>
                <w:tcPr>
                  <w:tcW w:type="auto" w:w="0"/>
                  <w:shd w:val="clear" w:color="auto" w:fill="F0F0F0"/>
                </w:tcPr>
                <w:p>
                  <w:pPr>
                    <w:pStyle w:val="Para 05"/>
                    <w:keepLines w:val="on"/>
                  </w:pPr>
                  <w:r>
                    <w:t>Thông tin, Không gian và Quốc phòng</w:t>
                  </w:r>
                </w:p>
              </w:tc>
              <w:tc>
                <w:tcPr>
                  <w:tcW w:type="auto" w:w="0"/>
                  <w:shd w:val="clear" w:color="auto" w:fill="F0F0F0"/>
                </w:tcPr>
                <w:p>
                  <w:pPr>
                    <w:pStyle w:val="Para 05"/>
                    <w:keepLines w:val="on"/>
                  </w:pPr>
                  <w:r>
                    <w:t>Công ty</w:t>
                  </w:r>
                </w:p>
              </w:tc>
            </w:tr>
            <w:tr>
              <w:tc>
                <w:tcPr>
                  <w:tcW w:type="auto" w:w="0"/>
                  <w:shd w:val="clear" w:color="auto" w:fill="F0F0F0"/>
                </w:tcPr>
                <w:p>
                  <w:pPr>
                    <w:pStyle w:val="Para 02"/>
                    <w:keepLines w:val="on"/>
                  </w:pPr>
                  <w:r>
                    <w:t>Thu nhập hoạt động</w:t>
                  </w:r>
                </w:p>
              </w:tc>
              <w:tc>
                <w:tcPr>
                  <w:tcW w:type="auto" w:w="0"/>
                  <w:shd w:val="clear" w:color="auto" w:fill="F0F0F0"/>
                </w:tcPr>
                <w:p>
                  <w:pPr>
                    <w:pStyle w:val="Normal"/>
                    <w:keepLines w:val="on"/>
                  </w:pPr>
                  <w:r>
                    <w:t>$75</w:t>
                  </w:r>
                </w:p>
              </w:tc>
              <w:tc>
                <w:tcPr>
                  <w:tcW w:type="auto" w:w="0"/>
                  <w:shd w:val="clear" w:color="auto" w:fill="F0F0F0"/>
                </w:tcPr>
                <w:p>
                  <w:pPr>
                    <w:pStyle w:val="Normal"/>
                    <w:keepLines w:val="on"/>
                  </w:pPr>
                  <w:r>
                    <w:t>$1,576</w:t>
                  </w:r>
                </w:p>
              </w:tc>
              <w:tc>
                <w:tcPr>
                  <w:tcW w:type="auto" w:w="0"/>
                  <w:shd w:val="clear" w:color="auto" w:fill="F0F0F0"/>
                </w:tcPr>
                <w:p>
                  <w:pPr>
                    <w:pStyle w:val="Normal"/>
                    <w:keepLines w:val="on"/>
                  </w:pPr>
                  <w:r>
                    <w:t>$1,651</w:t>
                  </w:r>
                </w:p>
              </w:tc>
            </w:tr>
            <w:tr>
              <w:tc>
                <w:tcPr>
                  <w:tcW w:type="auto" w:w="0"/>
                  <w:shd w:val="clear" w:color="auto" w:fill="F0F0F0"/>
                </w:tcPr>
                <w:p>
                  <w:pPr>
                    <w:pStyle w:val="Para 02"/>
                    <w:keepLines w:val="on"/>
                  </w:pPr>
                  <w:r>
                    <w:t>Vốn đầu tư</w:t>
                  </w:r>
                </w:p>
              </w:tc>
              <w:tc>
                <w:tcPr>
                  <w:tcW w:type="auto" w:w="0"/>
                  <w:shd w:val="clear" w:color="auto" w:fill="F0F0F0"/>
                </w:tcPr>
                <w:p>
                  <w:pPr>
                    <w:pStyle w:val="Normal"/>
                    <w:keepLines w:val="on"/>
                  </w:pPr>
                  <w:r>
                    <w:t>$18,673</w:t>
                  </w:r>
                </w:p>
              </w:tc>
              <w:tc>
                <w:tcPr>
                  <w:tcW w:type="auto" w:w="0"/>
                  <w:shd w:val="clear" w:color="auto" w:fill="F0F0F0"/>
                </w:tcPr>
                <w:p>
                  <w:pPr>
                    <w:pStyle w:val="Normal"/>
                    <w:keepLines w:val="on"/>
                  </w:pPr>
                  <w:r>
                    <w:t>$9,721</w:t>
                  </w:r>
                </w:p>
              </w:tc>
              <w:tc>
                <w:tcPr>
                  <w:tcW w:type="auto" w:w="0"/>
                  <w:shd w:val="clear" w:color="auto" w:fill="F0F0F0"/>
                </w:tcPr>
                <w:p>
                  <w:pPr>
                    <w:pStyle w:val="Normal"/>
                    <w:keepLines w:val="on"/>
                  </w:pPr>
                  <w:r>
                    <w:t>$28,394</w:t>
                  </w:r>
                </w:p>
              </w:tc>
            </w:tr>
            <w:tr>
              <w:tc>
                <w:tcPr>
                  <w:tcW w:type="auto" w:w="0"/>
                  <w:shd w:val="clear" w:color="auto" w:fill="F0F0F0"/>
                </w:tcPr>
                <w:p>
                  <w:pPr>
                    <w:pStyle w:val="Para 02"/>
                    <w:keepLines w:val="on"/>
                  </w:pPr>
                  <w:r>
                    <w:t>ROIC sau thuế</w:t>
                  </w:r>
                </w:p>
              </w:tc>
              <w:tc>
                <w:tcPr>
                  <w:tcW w:type="auto" w:w="0"/>
                  <w:shd w:val="clear" w:color="auto" w:fill="F0F0F0"/>
                </w:tcPr>
                <w:p>
                  <w:pPr>
                    <w:pStyle w:val="Normal"/>
                    <w:keepLines w:val="on"/>
                  </w:pPr>
                  <w:r>
                    <w:t>0,40%</w:t>
                  </w:r>
                </w:p>
              </w:tc>
              <w:tc>
                <w:tcPr>
                  <w:tcW w:type="auto" w:w="0"/>
                  <w:shd w:val="clear" w:color="auto" w:fill="F0F0F0"/>
                </w:tcPr>
                <w:p>
                  <w:pPr>
                    <w:pStyle w:val="Normal"/>
                    <w:keepLines w:val="on"/>
                  </w:pPr>
                  <w:r>
                    <w:t>16,21%</w:t>
                  </w:r>
                </w:p>
              </w:tc>
              <w:tc>
                <w:tcPr>
                  <w:tcW w:type="auto" w:w="0"/>
                  <w:shd w:val="clear" w:color="auto" w:fill="F0F0F0"/>
                </w:tcPr>
                <w:p>
                  <w:pPr>
                    <w:pStyle w:val="Normal"/>
                    <w:keepLines w:val="on"/>
                  </w:pPr>
                  <w:r>
                    <w:t>5,82%</w:t>
                  </w:r>
                </w:p>
              </w:tc>
            </w:tr>
          </w:tbl>
          <w:p/>
        </w:tc>
      </w:tr>
    </w:tbl>
    <w:p>
      <w:pPr>
        <w:pStyle w:val="Para 04"/>
        <w:keepLines w:val="on"/>
      </w:pPr>
      <w:r>
        <w:t>Tại cuộc họp thường niên năm 1999 của Boeing, Phil Condit, CEO của Boeing, đã thẳng thắn thừa nhận rằng 35% vốn của Boeing nằm trong các khoản đầu tư sinh lời thấp hơn chi phí vốn. Tuy nhiên, ông tiết lộ rất ít về việc liệu có khả thi hay không để thanh lý hoặc thoái vốn các khoản đầu tư này2 và thu được nhiều hơn giá trị tiếp tục từ những hành động đó.</w:t>
      </w:r>
    </w:p>
    <w:p>
      <w:pPr>
        <w:pStyle w:val="Para 04"/>
        <w:keepLines w:val="on"/>
      </w:pPr>
      <w:r>
        <w:t>Giả sử Boeing muốn bán bộ phận hệ thống thông tin, không gian và quốc phòng của mình, và họ đã tìm được một người mua tiềm năng sẵn sàng trả 11 tỷ đô la cho bộ phận này. Bộ phận này báo cáo dòng tiền trước các khoản thanh toán nợ nhưng sau nhu cầu tái đầu tư và thuế là 393 triệu đô la trong năm gần nhất, và dòng tiền dự kiến sẽ tăng 5% mỗi năm trong dài hạn. Chi phí vốn cho bộ phận này là 9%, thấp hơn một chút so với chi phí vốn của toàn bộ công ty. Bộ phận này, với tư cách là một phần tiếp tục của Boeing, có thể được định giá như sau:</w:t>
      </w:r>
    </w:p>
    <w:p>
      <w:bookmarkStart w:id="6334" w:name="Valueofdivision__3931_05__09"/>
      <w:pPr>
        <w:keepNext/>
        <w:pStyle w:val="Para 07"/>
        <w:keepLines w:val="on"/>
      </w:pPr>
      <w:r>
        <w:t>Giátrịbộphận=$3931,05/.09−.05=$10.316triệu</w:t>
      </w:r>
      <w:bookmarkEnd w:id="6334"/>
    </w:p>
    <w:p>
      <w:pPr>
        <w:pStyle w:val="Para 04"/>
        <w:keepLines w:val="on"/>
      </w:pPr>
      <w:r>
        <w:t>Với giá trị thoái vốn là 11 tỷ đô la, tác động ròng của việc thoái vốn sẽ là sự gia tăng giá trị của Boeing thêm 684 triệu đô la.</w:t>
      </w:r>
    </w:p>
    <w:p>
      <w:bookmarkStart w:id="6335" w:name="Net_effect_on_Boeing_s_value_Div"/>
      <w:pPr>
        <w:keepNext/>
        <w:pStyle w:val="Para 07"/>
        <w:keepLines w:val="on"/>
      </w:pPr>
      <w:r>
        <w:t>Tác động ròng lên giá trị của Boeing=Giá trị thoái vốn−Giá trị tiếp tục=$11.000 triệu−$10.316 triệu=$684 triệu</w:t>
      </w:r>
      <w:bookmarkEnd w:id="6335"/>
    </w:p>
    <w:p>
      <w:bookmarkStart w:id="6336" w:name="Improve_Operating_Efficiency__A"/>
      <w:bookmarkStart w:id="6337" w:name="Improve_Operating_Efficiency"/>
      <w:pPr>
        <w:keepNext/>
        <w:pStyle w:val="Heading 4"/>
        <w:keepLines w:val="on"/>
      </w:pPr>
      <w:r>
        <w:t>Cải thiện hiệu quả hoạt động</w:t>
      </w:r>
      <w:bookmarkEnd w:id="6336"/>
      <w:bookmarkEnd w:id="6337"/>
    </w:p>
    <w:p>
      <w:pPr>
        <w:pStyle w:val="Para 03"/>
      </w:pPr>
      <w:r>
        <w:t>Hiệu quả hoạt động của một công ty quyết định biên lợi nhuận hoạt động của nó, và do đó, quyết định thu nhập hoạt động của nó; các công ty hiệu quả hơn có biên lợi nhuận hoạt động cao hơn, trong điều kiện các yếu tố khác không đổi, so với các công ty kém hiệu quả hơn trong cùng ngành. Nếu một công ty có thể tăng biên lợi nhuận hoạt động trên tài sản hiện có, nó sẽ tạo ra giá trị gia tăng. Có một số chỉ báo về tiềm năng tăng biên lợi nhuận, nhưng một trong những chỉ báo hữu ích hơn là mức độ lệch của biên lợi nhuận hoạt động của một công ty so với ngành. Khi biên lợi nhuận hoạt động của một công ty thấp hơn đáng kể so với mức trung bình của ngành, thì có khả năng (dù không đảm bảo) về tiềm năng giá trị từ việc cải thiện hiệu quả.</w:t>
      </w:r>
    </w:p>
    <w:p>
      <w:pPr>
        <w:pStyle w:val="Para 03"/>
      </w:pPr>
      <w:r>
        <w:t>Ở hầu hết các công ty, bước đầu tiên trong việc gia tăng giá trị là cắt giảm chi phí và sa thải nhân viên. Những hành động này chỉ gia tăng giá trị nếu các nguồn lực bị cắt giảm không đóng góp đủ cho thu nhập hoạt động hiện tại hoặc cho tăng trưởng tương lai. Các công ty có thể dễ dàng cho thấy sự gia tăng thu nhập hoạt động hiện tại bằng cách cắt giảm các khoản chi tiêu, như nghiên cứu và đào tạo, nhưng họ có thể phải hy sinh tăng trưởng tương lai khi làm như vậy.</w:t>
      </w:r>
    </w:p>
    <w:p>
      <w:pPr>
        <w:pStyle w:val="Para 11"/>
      </w:pPr>
      <w:r>
        <w:t xml:space="preserve"> </w:t>
      </w:r>
      <w:r>
        <w:rPr>
          <w:rStyle w:val="Text26"/>
        </w:rPr>
        <w:bookmarkStart w:id="6338" w:name="Page_981"/>
        <w:t/>
        <w:bookmarkEnd w:id="6338"/>
      </w:r>
      <w:r>
        <w:t xml:space="preserve"> </w:t>
      </w:r>
    </w:p>
    <w:p>
      <w:bookmarkStart w:id="6339" w:name="Reasons_for_Divestitures_Why_wou"/>
      <w:bookmarkStart w:id="6340" w:name="Reasons_for_Divestitures"/>
      <w:pPr>
        <w:keepNext/>
        <w:pStyle w:val="Para 27"/>
        <w:keepLines w:val="on"/>
      </w:pPr>
      <w:r>
        <w:t>Lý do thoái vốn</w:t>
      </w:r>
      <w:bookmarkEnd w:id="6339"/>
      <w:bookmarkEnd w:id="6340"/>
    </w:p>
    <w:p>
      <w:pPr>
        <w:pStyle w:val="Para 16"/>
        <w:keepLines w:val="on"/>
      </w:pPr>
      <w:r>
        <w:t>Tại sao một công ty lại bán tài sản hoặc một bộ phận? Có ít nhất ba lý do. Thứ nhất là các tài sản bị thoái vốn có thể có giá trị cao hơn đối với người mua những tài sản này. Để tài sản có giá trị cao hơn, chúng phải tạo ra dòng tiền cao hơn cho người mua hoặc dẫn đến rủi ro thấp hơn (dẫn đến tỷ lệ chiết khấu thấp hơn). Dòng tiền cao hơn có thể xảy ra vì người mua sử dụng tài sản hiệu quả hơn, hoặc vì người mua tìm thấy sự cộng hưởng với các hoạt động kinh doanh hiện có của mình. Tỷ lệ chiết khấu thấp hơn có thể phản ánh thực tế rằng các chủ sở hữu của công ty mua đa dạng hóa hơn so với các chủ sở hữu của công ty bán tài sản. Trong cả hai trường hợp, cả hai bên đều có thể thu lợi từ việc thoái vốn và chia sẻ phần giá trị gia tăng.</w:t>
      </w:r>
    </w:p>
    <w:p>
      <w:pPr>
        <w:pStyle w:val="Para 16"/>
        <w:keepLines w:val="on"/>
      </w:pPr>
      <w:r>
        <w:t>Lý do thứ hai cho việc thoái vốn ít mang tính định hướng giá trị hơn và chủ yếu là kết quả của nhu cầu dòng tiền tức thời của công ty thoái vốn. Các công ty thấy mình không thể đáp ứng các chi phí hoạt động hoặc tài chính hiện tại có thể phải bán tài sản để huy động tiền mặt. Ví dụ, nhiều thương vụ mua lại bằng đòn bẩy trong thập niên 1980 đã được theo sau bởi việc thoái vốn tài sản. Tiền mặt tạo ra từ những thương vụ thoái vốn này được dùng để trả và phục vụ nợ.</w:t>
      </w:r>
    </w:p>
    <w:p>
      <w:pPr>
        <w:pStyle w:val="Para 16"/>
        <w:keepLines w:val="on"/>
      </w:pPr>
      <w:r>
        <w:t>Lý do thứ ba cho việc thoái vốn liên quan đến các tài sản không được công ty bán, chứ không phải các tài sản bị thoái vốn. Trong một số trường hợp, một công ty có thể thấy dòng tiền và giá trị của các hoạt động kinh doanh cốt lõi của mình bị ảnh hưởng bởi việc nó đã đa dạng hóa sang các hoạt động kinh doanh không liên quan. Sự thiếu tập trung này có thể được khắc phục bằng cách bán các tài sản hoặc hoạt động kinh doanh ngoại vi đối với hoạt động kinh doanh chính của công ty.</w:t>
      </w:r>
    </w:p>
    <w:p>
      <w:pPr>
        <w:pStyle w:val="Para 11"/>
      </w:pPr>
      <w:r>
        <w:t xml:space="preserve"> </w:t>
      </w:r>
    </w:p>
    <w:p>
      <w:bookmarkStart w:id="6341" w:name="ILLUSTRATION_31_2___Operating_Ma"/>
      <w:bookmarkStart w:id="6342" w:name="ILLUSTRATION_31_2___Operating_Ma_1"/>
      <w:pPr>
        <w:keepNext/>
        <w:pStyle w:val="Para 19"/>
        <w:keepLines w:val="on"/>
      </w:pPr>
      <w:r>
        <w:t>MINH HỌA 31.2: So sánh biên lợi nhuận hoạt động</w:t>
      </w:r>
      <w:bookmarkEnd w:id="6341"/>
      <w:bookmarkEnd w:id="6342"/>
    </w:p>
    <w:p>
      <w:pPr>
        <w:pStyle w:val="Para 04"/>
        <w:keepLines w:val="on"/>
      </w:pPr>
      <w:r>
        <w:t>Năm 2000, Marks and Spencer, nhà bán lẻ của Anh, gặp nhiều vấn đề vận hành nghiêm trọng khiến lợi nhuận và giá trị bị sụt giảm. Hình 31.1 so sánh biên lợi nhuận hoạt động sau thuế của Marks and Spencer năm 2000 với biên lợi nhuận sau thuế bình quân mà công ty đạt được trong năm năm trước đó, và biên lợi nhuận sau thuế bình quân năm 2000 của các công ty khác trong ngành.</w:t>
      </w:r>
    </w:p>
    <w:p>
      <w:bookmarkStart w:id="6346" w:name="Figure_31_1_Marks_and_Spencer__M"/>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76500" cy="1371600"/>
            <wp:effectExtent l="0" r="0" t="0" b="0"/>
            <wp:wrapTopAndBottom/>
            <wp:docPr id="279" name="c31f001.png" descr="Bar graph plots the decrease of current: marks and spencer, five-year average: marks and spencer, industry average in 2000."/>
            <wp:cNvGraphicFramePr>
              <a:graphicFrameLocks noChangeAspect="1"/>
            </wp:cNvGraphicFramePr>
            <a:graphic>
              <a:graphicData uri="http://schemas.openxmlformats.org/drawingml/2006/picture">
                <pic:pic>
                  <pic:nvPicPr>
                    <pic:cNvPr id="0" name="c31f001.png" descr="Bar graph plots the decrease of current: marks and spencer, five-year average: marks and spencer, industry average in 2000."/>
                    <pic:cNvPicPr/>
                  </pic:nvPicPr>
                  <pic:blipFill>
                    <a:blip r:embed="rId201"/>
                    <a:stretch>
                      <a:fillRect/>
                    </a:stretch>
                  </pic:blipFill>
                  <pic:spPr>
                    <a:xfrm>
                      <a:off x="0" y="0"/>
                      <a:ext cx="2476500" cy="1371600"/>
                    </a:xfrm>
                    <a:prstGeom prst="rect">
                      <a:avLst/>
                    </a:prstGeom>
                  </pic:spPr>
                </pic:pic>
              </a:graphicData>
            </a:graphic>
          </wp:anchor>
        </w:drawing>
      </w:r>
      <w:bookmarkEnd w:id="6346"/>
    </w:p>
    <w:p>
      <w:pPr>
        <w:keepNext/>
        <w:pStyle w:val="Para 38"/>
        <w:keepLines w:val="on"/>
      </w:pPr>
      <w:r>
        <w:t>Hình 31.1 Marks and Spencer: So sánh biên lợi nhuận</w:t>
      </w:r>
    </w:p>
    <w:p>
      <w:pPr>
        <w:pStyle w:val="Para 04"/>
        <w:keepLines w:val="on"/>
      </w:pPr>
      <w:r>
        <w:t>Biên lợi nhuận của Marks and Spencer năm 2000 thấp hơn cả mức lịch sử của chính công ty lẫn mức bình quân của ngành. Chúng tôi đã ước tính tác động lên giá trị trên mỗi cổ phần của Marks and Spencer khi biên lợi nhuận hoạt động được cải thiện so với mức hiện tại. Hình 31.2 tóm tắt tác động của những thay đổi này.</w:t>
      </w:r>
    </w:p>
    <w:p>
      <w:bookmarkStart w:id="6348" w:name="Figure_31_2_Operating_Margin_and"/>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62200" cy="1447800"/>
            <wp:effectExtent l="0" r="0" t="0" b="0"/>
            <wp:wrapTopAndBottom/>
            <wp:docPr id="280" name="c31f002.png" descr="Bar graph plots the increase in pretax operating margin for value per share."/>
            <wp:cNvGraphicFramePr>
              <a:graphicFrameLocks noChangeAspect="1"/>
            </wp:cNvGraphicFramePr>
            <a:graphic>
              <a:graphicData uri="http://schemas.openxmlformats.org/drawingml/2006/picture">
                <pic:pic>
                  <pic:nvPicPr>
                    <pic:cNvPr id="0" name="c31f002.png" descr="Bar graph plots the increase in pretax operating margin for value per share."/>
                    <pic:cNvPicPr/>
                  </pic:nvPicPr>
                  <pic:blipFill>
                    <a:blip r:embed="rId202"/>
                    <a:stretch>
                      <a:fillRect/>
                    </a:stretch>
                  </pic:blipFill>
                  <pic:spPr>
                    <a:xfrm>
                      <a:off x="0" y="0"/>
                      <a:ext cx="2362200" cy="1447800"/>
                    </a:xfrm>
                    <a:prstGeom prst="rect">
                      <a:avLst/>
                    </a:prstGeom>
                  </pic:spPr>
                </pic:pic>
              </a:graphicData>
            </a:graphic>
          </wp:anchor>
        </w:drawing>
      </w:r>
      <w:bookmarkEnd w:id="6348"/>
    </w:p>
    <w:p>
      <w:pPr>
        <w:keepNext/>
        <w:pStyle w:val="Para 38"/>
        <w:keepLines w:val="on"/>
      </w:pPr>
      <w:r>
        <w:t>Hình 31.2 Biên lợi nhuận hoạt động và giá trị trên mỗi cổ phần: Marks and Spencer</w:t>
      </w:r>
    </w:p>
    <w:p>
      <w:pPr>
        <w:pStyle w:val="Para 04"/>
        <w:keepLines w:val="on"/>
      </w:pPr>
      <w:r>
        <w:t>Việc giá trị trên mỗi cổ phần nhạy cảm với những thay đổi trong biên lợi nhuận hoạt động thì không có gì đáng ngạc nhiên, nhưng bạn có thể thấy rằng việc biên lợi nhuận hoạt động giảm từ mức lịch sử xuống mức hiện tại đã tác động đáng kể đến giá trị. Do đó, bất kỳ kế hoạch nâng cao giá trị nào cho công ty cũng phải xoay quanh việc cải thiện biên lợi nhuận hoạt động, kể cả khi điều đó đồng nghĩa với việc không chỉ thu hẹp kế hoạch tăng trưởng doanh thu, mà còn phải giảm cả doanh thu.</w:t>
      </w:r>
    </w:p>
    <w:p>
      <w:pPr>
        <w:pStyle w:val="Para 11"/>
      </w:pPr>
      <w:r>
        <w:t xml:space="preserve"> </w:t>
      </w:r>
    </w:p>
    <w:p>
      <w:bookmarkStart w:id="6349" w:name="Some_Thoughts_on_Cost_Cutting_Co"/>
      <w:bookmarkStart w:id="6350" w:name="Some_Thoughts_on_Cost_Cutting"/>
      <w:pPr>
        <w:keepNext/>
        <w:pStyle w:val="Para 27"/>
        <w:keepLines w:val="on"/>
      </w:pPr>
      <w:r>
        <w:t>Vài suy nghĩ về việc cắt giảm chi phí</w:t>
      </w:r>
      <w:bookmarkEnd w:id="6349"/>
      <w:bookmarkEnd w:id="6350"/>
    </w:p>
    <w:p>
      <w:pPr>
        <w:pStyle w:val="Para 16"/>
        <w:keepLines w:val="on"/>
      </w:pPr>
      <w:r>
        <w:t>Các công ty thường hứa hẹn cắt giảm chi phí, đặc biệt là sau các thương vụ mua lại hoặc khi ban lãnh đạo mới tiếp quản công ty, nhưng hiếm khi thực hiện được. Dưới đây là một số kết luận chung về việc cắt giảm chi phí:</w:t>
      </w:r>
    </w:p>
    <w:p>
      <w:pPr>
        <w:numPr>
          <w:ilvl w:val="0"/>
          <w:numId w:val="367"/>
        </w:numPr>
        <w:pStyle w:val="Para 33"/>
        <w:keepLines w:val="on"/>
      </w:pPr>
      <w:r>
        <w:t>Mức cắt giảm chi phí được hứa hẹn càng lớn về giá trị tuyệt đối, thì khả năng không thực hiện được càng cao.</w:t>
      </w:r>
    </w:p>
    <w:p>
      <w:pPr>
        <w:numPr>
          <w:ilvl w:val="0"/>
          <w:numId w:val="367"/>
        </w:numPr>
        <w:pStyle w:val="Para 33"/>
        <w:keepLines w:val="on"/>
      </w:pPr>
      <w:r>
        <w:t>Cắt giảm chi phí chưa bao giờ là chuyện dễ dàng; không chỉ vì chi phí kinh tế đi kèm với việc sa thải (trợ cấp thôi việc) rất lớn, mà còn kéo theo sự sụt giảm tinh thần làm việc cũng tốn kém không kém.</w:t>
      </w:r>
    </w:p>
    <w:p>
      <w:pPr>
        <w:numPr>
          <w:ilvl w:val="0"/>
          <w:numId w:val="367"/>
        </w:numPr>
        <w:pStyle w:val="Para 33"/>
        <w:keepLines w:val="on"/>
      </w:pPr>
      <w:r>
        <w:t>Giai đoạn đầu của việc cắt giảm chi phí diễn ra suôn sẻ hơn nhiều so với giai đoạn sau. Một phần lý do là những khoản cắt giảm dễ thì làm trước, còn những khoản khó thì để sau.</w:t>
      </w:r>
    </w:p>
    <w:p>
      <w:pPr>
        <w:numPr>
          <w:ilvl w:val="0"/>
          <w:numId w:val="367"/>
        </w:numPr>
        <w:pStyle w:val="Para 33"/>
        <w:keepLines w:val="on"/>
      </w:pPr>
      <w:r>
        <w:t>Việc phân tách những chi phí không mang lại lợi ích cho công ty khỏi những chi phí có mang lại lợi ích khó hơn nhiều so với vẻ ngoài ban đầu, đặc biệt nếu chúng ta xét đến lợi ích trong dài hạn.</w:t>
      </w:r>
    </w:p>
    <w:p>
      <w:pPr>
        <w:numPr>
          <w:ilvl w:val="0"/>
          <w:numId w:val="367"/>
        </w:numPr>
        <w:pStyle w:val="Para 33"/>
        <w:keepLines w:val="on"/>
      </w:pPr>
      <w:r>
        <w:t>Việc cắt giảm chi phí được hứa hẹn một cách chung chung khó có khả năng xảy ra hơn so với việc cắt giảm chi phí được mô tả chi tiết. Một ví dụ là một thương vụ sáp nhập ngân hàng trong đó các chi nhánh sẽ bị đóng cửa sau sáp nhập được nêu rõ ràng, so với một thương vụ mà ngân hàng chỉ nói chung chung rằng lợi thế kinh tế theo quy mô sẽ giúp giảm chi phí.</w:t>
      </w:r>
    </w:p>
    <w:p>
      <w:pPr>
        <w:pStyle w:val="Para 16"/>
        <w:keepLines w:val="on"/>
      </w:pPr>
      <w:r>
        <w:t>Từ góc độ định giá, trước tiên bạn nên đánh giá mức độ đáng tin cậy của ban lãnh đạo đưa ra các tuyên bố cắt giảm chi phí, và ngay cả khi bạn tin tưởng các nhà quản lý, bạn vẫn nên tính đến việc cắt giảm chi phí được triển khai dần theo thời gian; công ty càng lớn và mức cắt giảm chi phí càng lớn, thì thời gian để cắt giảm chi phí càng dài.</w:t>
      </w:r>
    </w:p>
    <w:p>
      <w:bookmarkStart w:id="6352" w:name="Reduce_the_Tax_Burden__The_value"/>
      <w:bookmarkStart w:id="6353" w:name="Reduce_the_Tax_Burden"/>
      <w:pPr>
        <w:keepNext/>
        <w:pStyle w:val="Heading 4"/>
        <w:keepLines w:val="on"/>
      </w:pPr>
      <w:r>
        <w:t>Giảm gánh nặng thuế</w:t>
      </w:r>
      <w:bookmarkEnd w:id="6352"/>
      <w:bookmarkEnd w:id="6353"/>
    </w:p>
    <w:p>
      <w:pPr>
        <w:pStyle w:val="Para 03"/>
      </w:pPr>
      <w:r>
        <w:t>Giá trị của một công ty là giá trị hiện tại của các dòng tiền sau thuế. Do đó, bất kỳ hành động nào có thể giảm gánh nặng thuế cho công ty ở một mức thu nhập hoạt động nhất định đều sẽ làm tăng giá trị. Mặc dù có một số khía cạnh của luật thuế không cho công ty sự linh hoạt nào, nhưng thuế suất có thể được giảm dần theo thời gian bằng cách thực hiện bất kỳ hoặc tất cả những điều sau đây:</w:t>
      </w:r>
    </w:p>
    <w:p>
      <w:pPr>
        <w:numPr>
          <w:ilvl w:val="0"/>
          <w:numId w:val="368"/>
        </w:numPr>
        <w:pStyle w:val="Para 01"/>
      </w:pPr>
      <w:r>
        <w:t>Các công ty đa quốc gia tạo ra thu nhập ở nhiều thị trường khác nhau có thể chuyển thu nhập từ những nơi có thuế cao sang những nơi có thuế thấp hoặc không có thuế. Ví dụ, mức giá mà các bộ phận của những công ty này tính cho nhau đối với các giao dịch bán hàng nội bộ (giá chuyển nhượng) có thể cho phép dịch chuyển lợi nhuận từ phần này sang phần khác của công ty.3</w:t>
      </w:r>
    </w:p>
    <w:p>
      <w:pPr>
        <w:numPr>
          <w:ilvl w:val="0"/>
          <w:numId w:val="368"/>
        </w:numPr>
        <w:pStyle w:val="Para 01"/>
      </w:pPr>
      <w:r>
        <w:t>Một công ty có thể mua lại các khoản lỗ hoạt động ròng để dùng che chắn thu nhập trong tương lai. Thực tế, đây có thể là lý do vì sao một công ty có lãi lại đi mua một công ty thua lỗ.</w:t>
      </w:r>
    </w:p>
    <w:p>
      <w:pPr>
        <w:numPr>
          <w:ilvl w:val="0"/>
          <w:numId w:val="368"/>
        </w:numPr>
        <w:pStyle w:val="Para 01"/>
      </w:pPr>
      <w:r>
        <w:t>Một công ty có thể sử dụng quản trị rủi ro để giảm thuế suất bình quân phải nộp trên thu nhập theo thời gian, vì thuế suất biên trên thu nhập có xu hướng tăng lên, trong hầu hết các hệ thống thuế, khi thu nhập tăng. Bằng cách dùng quản trị rủi ro để làm phẳng thu nhập theo thời gian, các công ty có thể khiến thu nhập của mình ổn định hơn và giảm mức độ phơi nhiễm với các mức thuế suất biên cao nhất.4 Điều này đặc biệt đúng khi công ty phải đối mặt với các loại thuế đánh vào lợi nhuận bất thường hoặc siêu lợi nhuận.</w:t>
      </w:r>
    </w:p>
    <w:p>
      <w:pPr>
        <w:pStyle w:val="Para 11"/>
      </w:pPr>
      <w:r>
        <w:t xml:space="preserve"> </w:t>
      </w:r>
    </w:p>
    <w:p>
      <w:bookmarkStart w:id="6356" w:name="ILLUSTRATION_31_3___Tax_Rates_an_1"/>
      <w:bookmarkStart w:id="6357" w:name="ILLUSTRATION_31_3___Tax_Rates_an"/>
      <w:pPr>
        <w:keepNext/>
        <w:pStyle w:val="Para 19"/>
        <w:keepLines w:val="on"/>
      </w:pPr>
      <w:r>
        <w:t>MINH HỌA 31.3: Thuế suất và giá trị</w:t>
      </w:r>
      <w:bookmarkEnd w:id="6356"/>
      <w:bookmarkEnd w:id="6357"/>
    </w:p>
    <w:p>
      <w:pPr>
        <w:pStyle w:val="Para 04"/>
        <w:keepLines w:val="on"/>
      </w:pPr>
      <w:r>
        <w:t>Trong Minh họa 15.1, chúng tôi đã định giá Telesp, công ty viễn thông Brazil, ở mức 25.902 triệu real Brazil, sử dụng thuế suất 30% trong việc định giá. Thuế suất này được dùng làm thuế suất thực tế trên thu nhập và thuế suất biên để tính chi phí nợ sau thuế.</w:t>
      </w:r>
    </w:p>
    <w:p>
      <w:pPr>
        <w:pStyle w:val="Para 04"/>
        <w:keepLines w:val="on"/>
      </w:pPr>
      <w:r>
        <w:t>Trong phạm vi Telesp có thể giảm được thuế suất của mình, công ty sẽ có thể làm tăng giá trị tài sản hoạt động. Trong Hình 31.3, giá trị tài sản hoạt động của Telesp được tính toán theo hai kịch bản. Ở kịch bản thứ nhất, chúng tôi thay đổi cả thuế suất thực tế (dùng để tính thu nhập sau thuế) lẫn thuế suất biên (để tính chi phí nợ sau thuế). Ở kịch bản thứ hai, chúng tôi chỉ thay đổi thuế suất thực tế nhưng giữ nguyên thuế suất biên ở mức 30%.</w:t>
      </w:r>
    </w:p>
    <w:p>
      <w:bookmarkStart w:id="6361" w:name="Figure_31_3_Tax_Rate_and_Operati"/>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514600" cy="1549400"/>
            <wp:effectExtent l="0" r="0" t="0" b="0"/>
            <wp:wrapTopAndBottom/>
            <wp:docPr id="281" name="c31f003.png" descr="Double bar graph plots the decrease in effective tax rate and effective and marginal tax rate for Telesp."/>
            <wp:cNvGraphicFramePr>
              <a:graphicFrameLocks noChangeAspect="1"/>
            </wp:cNvGraphicFramePr>
            <a:graphic>
              <a:graphicData uri="http://schemas.openxmlformats.org/drawingml/2006/picture">
                <pic:pic>
                  <pic:nvPicPr>
                    <pic:cNvPr id="0" name="c31f003.png" descr="Double bar graph plots the decrease in effective tax rate and effective and marginal tax rate for Telesp."/>
                    <pic:cNvPicPr/>
                  </pic:nvPicPr>
                  <pic:blipFill>
                    <a:blip r:embed="rId203"/>
                    <a:stretch>
                      <a:fillRect/>
                    </a:stretch>
                  </pic:blipFill>
                  <pic:spPr>
                    <a:xfrm>
                      <a:off x="0" y="0"/>
                      <a:ext cx="2514600" cy="1549400"/>
                    </a:xfrm>
                    <a:prstGeom prst="rect">
                      <a:avLst/>
                    </a:prstGeom>
                  </pic:spPr>
                </pic:pic>
              </a:graphicData>
            </a:graphic>
          </wp:anchor>
        </w:drawing>
      </w:r>
      <w:bookmarkEnd w:id="6361"/>
    </w:p>
    <w:p>
      <w:pPr>
        <w:keepNext/>
        <w:pStyle w:val="Para 38"/>
        <w:keepLines w:val="on"/>
      </w:pPr>
      <w:r>
        <w:t>Hình 31.3 Thuế suất và giá trị tài sản hoạt động—Telesp</w:t>
      </w:r>
    </w:p>
    <w:p>
      <w:pPr>
        <w:pStyle w:val="Para 04"/>
        <w:keepLines w:val="on"/>
      </w:pPr>
      <w:r>
        <w:t>Giá trị của Telesp tăng lên khi thuế suất giảm trong cả hai kịch bản. Tuy nhiên, mức tăng giá trị sẽ lớn hơn nếu Telesp giảm thuế suất thực tế của mình trong khi vẫn giữ nguyên thuế suất biên. Điều đó cho phép Telesp gia tăng dòng tiền sau thuế, đồng thời không làm ảnh hưởng đến lợi ích thuế của nợ.</w:t>
      </w:r>
    </w:p>
    <w:p>
      <w:bookmarkStart w:id="6362" w:name="Reduce_Net_Capital_Expenditures_1"/>
      <w:bookmarkStart w:id="6363" w:name="Reduce_Net_Capital_Expenditures"/>
      <w:pPr>
        <w:keepNext/>
        <w:pStyle w:val="Heading 4"/>
        <w:keepLines w:val="on"/>
      </w:pPr>
      <w:r>
        <w:t>Giảm chi tiêu vốn ròng cho các khoản đầu tư hiện hữu</w:t>
      </w:r>
      <w:bookmarkEnd w:id="6362"/>
      <w:bookmarkEnd w:id="6363"/>
    </w:p>
    <w:p>
      <w:pPr>
        <w:pStyle w:val="Para 03"/>
      </w:pPr>
      <w:r>
        <w:t>Chi tiêu vốn ròng là chênh lệch giữa chi tiêu vốn và khấu hao, và vì là một dòng tiền ra, nó làm giảm dòng tiền tự do của công ty. Một phần của chi tiêu vốn ròng nhằm tạo ra tăng trưởng trong tương lai, nhưng một phần là để duy trì các tài sản hiện hữu. Nếu một công ty có thể giảm chi tiêu vốn ròng cho các tài sản hiện hữu, công ty sẽ gia tăng giá trị. Trong những giai đoạn ngắn, chi tiêu vốn thậm chí có thể thấp hơn khấu hao của những tài sản đó, tạo ra dòng tiền vào từ chi tiêu vốn ròng.</w:t>
      </w:r>
    </w:p>
    <w:p>
      <w:pPr>
        <w:pStyle w:val="Para 03"/>
      </w:pPr>
      <w:r>
        <w:t>Có một sự đánh đổi thường thấy giữa chi tiêu bảo trì vốn và vòng đời của tài sản hiện hữu. Một doanh nghiệp không chi bất kỳ khoản chi tiêu vốn nào cho tài sản của mình sẽ tạo ra dòng tiền sau thuế cao hơn nhiều từ những tài sản này, nhưng vòng đời của tài sản sẽ ngắn hơn rất nhiều. Ở thái cực ngược lại, một doanh nghiệp tái đầu tư toàn bộ dòng tiền thu được từ khấu hao vào việc bảo trì vốn có thể kéo dài đáng kể vòng đời tài sản hiện có. Các doanh nghiệp thường bỏ qua sự đánh đổi này khi họ bắt tay vào cắt giảm chi phí và giảm hoặc loại bỏ chi tiêu bảo trì vốn. Mặc dù những hành động này làm tăng dòng tiền hiện tại từ tài sản hiện hữu, doanh nghiệp có thể mất giá trị vì họ đang làm cạn kiệt những tài sản này với tốc độ nhanh hơn.</w:t>
      </w:r>
    </w:p>
    <w:p>
      <w:bookmarkStart w:id="6364" w:name="Reduce_Noncash_Working_Capital_1"/>
      <w:bookmarkStart w:id="6365" w:name="Reduce_Noncash_Working_Capital"/>
      <w:pPr>
        <w:keepNext/>
        <w:pStyle w:val="Heading 4"/>
        <w:keepLines w:val="on"/>
      </w:pPr>
      <w:r>
        <w:t>Giảm vốn lưu động phi tiền mặt</w:t>
      </w:r>
      <w:bookmarkEnd w:id="6364"/>
      <w:bookmarkEnd w:id="6365"/>
    </w:p>
    <w:p>
      <w:pPr>
        <w:pStyle w:val="Para 03"/>
      </w:pPr>
      <w:r>
        <w:t>Vốn lưu động phi tiền mặt (noncash working capital) trong một doanh nghiệp là chênh lệch giữa tài sản ngắn hạn phi tiền mặt, thường là hàng tồn kho và các khoản phải thu, với phần nợ phi nợ vay của nợ ngắn hạn, thường là các khoản phải trả. Tiền đầu tư vào vốn lưu động phi tiền mặt bị giam giữ và không thể dùng vào việc khác; do đó, sự gia tăng vốn lưu động phi tiền mặt là dòng tiền ra, còn sự sụt giảm là dòng tiền vào. Đối với các nhà bán lẻ và doanh nghiệp dịch vụ, vốn lưu động phi tiền mặt có thể là gánh nặng lên dòng tiền lớn hơn nhiều so với chi tiêu vốn truyền thống.</w:t>
      </w:r>
    </w:p>
    <w:p>
      <w:pPr>
        <w:pStyle w:val="Para 03"/>
      </w:pPr>
      <w:r>
        <w:t>Con đường tạo ra giá trị có vẻ đơn giản. Giảm vốn lưu động phi tiền mặt tính theo tỷ lệ phần trăm trên doanh thu sẽ làm tăng dòng tiền và do đó làm tăng giá trị. Tuy nhiên, điều này giả định rằng không có hậu quả tiêu cực nào từ việc cắt giảm đầu tư vốn lưu động. Các doanh nghiệp thường duy trì hàng tồn kho và cấp tín dụng vì điều đó cho phép họ bán được nhiều hơn. Nếu việc cắt giảm một hoặc cả hai gây ra mất doanh số, thì tác động ròng lên giá trị có thể là tiêu cực.</w:t>
      </w:r>
    </w:p>
    <w:p>
      <w:pPr>
        <w:pStyle w:val="Para 03"/>
      </w:pPr>
      <w:r>
        <w:t>Công nghệ đã giúp các công ty trong nỗ lực kiềm chế vốn lưu động phi tiền mặt, giúp họ không chỉ theo dõi hàng tồn kho mà còn cả hành vi và giao dịch mua của khách hàng. Sử dụng quản lý chuỗi giá trị (value chain management), những công ty như Walmart đã tìm ra những cách đổi mới để giảm đầu tư vốn lưu động và qua đó thúc đẩy dòng tiền.</w:t>
      </w:r>
    </w:p>
    <w:p>
      <w:pPr>
        <w:pStyle w:val="Para 11"/>
      </w:pPr>
      <w:r>
        <w:t xml:space="preserve"> </w:t>
      </w:r>
    </w:p>
    <w:p>
      <w:bookmarkStart w:id="6367" w:name="ILLUSTRATION_31_4___Noncash_Work_1"/>
      <w:bookmarkStart w:id="6368" w:name="ILLUSTRATION_31_4___Noncash_Work"/>
      <w:pPr>
        <w:keepNext/>
        <w:pStyle w:val="Para 19"/>
        <w:keepLines w:val="on"/>
      </w:pPr>
      <w:r>
        <w:t>MINH HỌA 31.4: Vốn lưu động phi tiền mặt và giá trị tài sản hoạt động</w:t>
      </w:r>
      <w:bookmarkEnd w:id="6367"/>
      <w:bookmarkEnd w:id="6368"/>
    </w:p>
    <w:p>
      <w:pPr>
        <w:pStyle w:val="Para 04"/>
        <w:keepLines w:val="on"/>
      </w:pPr>
      <w:r>
        <w:t>Angelos Stores là một công ty bán lẻ niêm yết đại chúng đang trong giai đoạn tăng trưởng ổn định. Trong kỳ gần nhất, công ty báo cáo thu nhập hoạt động sau thuế là 10 triệu đô-la trên doanh thu 200 triệu đô-la, chi tiêu vốn 5 triệu đô-la, khấu hao 3 triệu đô-la, và tổng vốn lưu động phi tiền mặt là 40 triệu đô-la. Giả sử công ty đang trong giai đoạn tăng trưởng ổn định, tăng trưởng 3% một năm, với chi phí vốn là 10%, và tất cả các yếu tố đầu vào đều tăng trưởng cùng tốc độ:</w:t>
      </w:r>
    </w:p>
    <w:p>
      <w:bookmarkStart w:id="6370" w:name="Expected_change_in_noncash_worki"/>
      <w:pPr>
        <w:keepNext/>
        <w:pStyle w:val="Para 07"/>
        <w:keepLines w:val="on"/>
      </w:pPr>
      <w:r>
        <w:t>Thay đổi kỳ vọng của vốn lưu động phi tiền mặt năm tới = Vốn lưu động phi tiền mặt tính theo % doanh thu × Thay đổi doanh thu = 40/200 × 200 × .03 = 1,2 triệu đô-la</w:t>
      </w:r>
      <w:bookmarkEnd w:id="6370"/>
    </w:p>
    <w:p>
      <w:bookmarkStart w:id="6371" w:name="Expected_free_cash_flow_to_firm"/>
      <w:pPr>
        <w:keepNext/>
        <w:pStyle w:val="Para 07"/>
        <w:keepLines w:val="on"/>
      </w:pPr>
      <w:r>
        <w:t>Dòng tiền tự do kỳ vọng cho doanh nghiệp (FCFF) năm tới = EBIT(1−t) − (Chi tiêu vốn − Khấu hao) − Thay đổi vốn lưu động phi tiền mặt = 10(1,03) − (5−3)(1,03) − 1,2 đô-la = 7,04 triệu đô-la</w:t>
      </w:r>
      <w:bookmarkEnd w:id="6371"/>
    </w:p>
    <w:p>
      <w:bookmarkStart w:id="6372" w:name="Valueoffirm_Expected_FCFF_next_y"/>
      <w:pPr>
        <w:keepNext/>
        <w:pStyle w:val="Para 07"/>
        <w:keepLines w:val="on"/>
      </w:pPr>
      <w:r>
        <w:t>Giá trị doanh nghiệp = FCFF kỳ vọng năm tới / (Chi phí vốn − Tốc độ tăng trưởng kỳ vọng) = 7,04 / (.10 − .03) = 100,57 triệu đô-la</w:t>
      </w:r>
      <w:bookmarkEnd w:id="6372"/>
    </w:p>
    <w:p>
      <w:pPr>
        <w:pStyle w:val="Para 04"/>
        <w:keepLines w:val="on"/>
      </w:pPr>
      <w:r>
        <w:t>Lưu ý rằng một phần đáng kể của việc tái đầu tư đến từ vốn lưu động phi tiền mặt chiếm 20% doanh thu.</w:t>
      </w:r>
    </w:p>
    <w:p>
      <w:pPr>
        <w:pStyle w:val="Para 04"/>
        <w:keepLines w:val="on"/>
      </w:pPr>
      <w:r>
        <w:t>Bây giờ giả sử công ty có thể giảm vốn lưu động phi tiền mặt từ 20% doanh thu xuống 10% doanh thu. Tác động đầu tiên là một dòng tiền dương tức thì khi vốn lưu động giảm từ 40 triệu đô-la (20% doanh thu) xuống 20 triệu đô-la (10% doanh thu). Tác động thứ hai là tác động liên tục, với FCFF kỳ vọng cao hơn mỗi năm:</w:t>
      </w:r>
    </w:p>
    <w:p>
      <w:bookmarkStart w:id="6373" w:name="Expected_FCFF_next_year_EBIT_1_t"/>
      <w:pPr>
        <w:keepNext/>
        <w:pStyle w:val="Para 07"/>
        <w:keepLines w:val="on"/>
      </w:pPr>
      <w:r>
        <w:t>FCFF kỳ vọng năm tới = EBIT(1−t)(1+g) − (Chi tiêu vốn − Khấu hao)(1+g) − Thay đổi vốn lưu động phi tiền mặt = 10(1,03) − (5−3)(1,03) − 20(.03) = 7,64 triệu đô-la</w:t>
      </w:r>
      <w:bookmarkEnd w:id="6373"/>
    </w:p>
    <w:p>
      <w:pPr>
        <w:pStyle w:val="Para 40"/>
        <w:keepLines w:val="on"/>
      </w:pPr>
      <w:r>
        <w:rPr>
          <w:rStyle w:val="Text26"/>
        </w:rPr>
        <w:bookmarkStart w:id="6374" w:name="Page_986"/>
        <w:t/>
        <w:bookmarkEnd w:id="6374"/>
      </w:r>
      <w:r>
        <w:t xml:space="preserve"> </w:t>
      </w:r>
    </w:p>
    <w:p>
      <w:bookmarkStart w:id="6375" w:name="Value_of_firm_Expected_FCFF_next"/>
      <w:pPr>
        <w:keepNext/>
        <w:pStyle w:val="Para 07"/>
        <w:keepLines w:val="on"/>
      </w:pPr>
      <w:r>
        <w:t>Giá trị doanh nghiệp = FCFF kỳ vọng năm tới / (Chi phí vốn − Tốc độ tăng trưởng kỳ vọng) + Dòng tiền một lần từ việc giảm vốn lưu động = 7,64 / (.10 − .03) + 20 đô-la = 129,14 triệu đô-la</w:t>
      </w:r>
      <w:bookmarkEnd w:id="6375"/>
    </w:p>
    <w:p>
      <w:pPr>
        <w:pStyle w:val="Para 04"/>
        <w:keepLines w:val="on"/>
      </w:pPr>
      <w:r>
        <w:t>Hình 31.4 tóm tắt tác động lên giá trị của việc thay đổi vốn lưu động phi tiền mặt tính theo phần trăm doanh thu, giả định (một cách không thực tế) rằng nó không ảnh hưởng gì đến doanh thu hay tăng trưởng.</w:t>
      </w:r>
    </w:p>
    <w:p>
      <w:bookmarkStart w:id="6377" w:name="Figure_31_4_Noncash_WC_and_Value"/>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46300" cy="1676400"/>
            <wp:effectExtent l="0" r="0" t="0" b="0"/>
            <wp:wrapTopAndBottom/>
            <wp:docPr id="282" name="c31f004.png" descr="Multiple bar graph plots the increase in immediate C F, value of assets, overall value in percent."/>
            <wp:cNvGraphicFramePr>
              <a:graphicFrameLocks noChangeAspect="1"/>
            </wp:cNvGraphicFramePr>
            <a:graphic>
              <a:graphicData uri="http://schemas.openxmlformats.org/drawingml/2006/picture">
                <pic:pic>
                  <pic:nvPicPr>
                    <pic:cNvPr id="0" name="c31f004.png" descr="Multiple bar graph plots the increase in immediate C F, value of assets, overall value in percent."/>
                    <pic:cNvPicPr/>
                  </pic:nvPicPr>
                  <pic:blipFill>
                    <a:blip r:embed="rId204"/>
                    <a:stretch>
                      <a:fillRect/>
                    </a:stretch>
                  </pic:blipFill>
                  <pic:spPr>
                    <a:xfrm>
                      <a:off x="0" y="0"/>
                      <a:ext cx="2146300" cy="1676400"/>
                    </a:xfrm>
                    <a:prstGeom prst="rect">
                      <a:avLst/>
                    </a:prstGeom>
                  </pic:spPr>
                </pic:pic>
              </a:graphicData>
            </a:graphic>
          </wp:anchor>
        </w:drawing>
      </w:r>
      <w:bookmarkEnd w:id="6377"/>
    </w:p>
    <w:p>
      <w:pPr>
        <w:keepNext/>
        <w:pStyle w:val="Para 38"/>
        <w:keepLines w:val="on"/>
      </w:pPr>
      <w:r>
        <w:t>Hình 31.4 Vốn lưu động phi tiền mặt và giá trị</w:t>
      </w:r>
    </w:p>
    <w:p>
      <w:pPr>
        <w:pStyle w:val="Para 11"/>
      </w:pPr>
      <w:r>
        <w:t xml:space="preserve"> </w:t>
      </w:r>
    </w:p>
    <w:p>
      <w:bookmarkStart w:id="6378" w:name="cfbasics_xls__This_dataset_on_th"/>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283"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6378"/>
    </w:p>
    <w:p>
      <w:pPr>
        <w:pStyle w:val="Para 31"/>
        <w:keepLines w:val="on"/>
      </w:pPr>
      <w:r>
        <w:t>cfbasics.xls: Bộ dữ liệu này trên web tóm tắt biên lợi nhuận hoạt động, thuế suất, và vốn lưu động phi tiền mặt tính theo phần trăm doanh thu theo nhóm ngành cho Hoa Kỳ.</w:t>
      </w:r>
    </w:p>
    <w:p>
      <w:bookmarkStart w:id="6379" w:name="Increase_Expected_Growth"/>
      <w:bookmarkStart w:id="6380" w:name="Increase_Expected_Growth__A_firm"/>
      <w:pPr>
        <w:keepNext/>
        <w:pStyle w:val="Heading 3"/>
        <w:keepLines w:val="on"/>
      </w:pPr>
      <w:r>
        <w:t>Tăng trưởng kỳ vọng gia tăng</w:t>
      </w:r>
      <w:bookmarkEnd w:id="6379"/>
      <w:bookmarkEnd w:id="6380"/>
    </w:p>
    <w:p>
      <w:pPr>
        <w:pStyle w:val="Para 03"/>
      </w:pPr>
      <w:r>
        <w:t>Một doanh nghiệp có dòng tiền hiện tại thấp vẫn có thể có giá trị cao, nếu nó có khả năng tăng trưởng nhanh chóng trong khi kiếm được nhiều hơn chi phí vốn. Đối với các doanh nghiệp có lợi nhuận, tăng trưởng sẽ được định nghĩa theo thu nhập, nhưng đối với các doanh nghiệp thua lỗ, bạn phải xem xét mối liên hệ giữa tăng trưởng doanh thu và biên lợi nhuận cao hơn.</w:t>
      </w:r>
    </w:p>
    <w:p>
      <w:bookmarkStart w:id="6381" w:name="Profitable_Firms"/>
      <w:bookmarkStart w:id="6382" w:name="Profitable_Firms__Higher_growth"/>
      <w:pPr>
        <w:keepNext/>
        <w:pStyle w:val="Heading 4"/>
        <w:keepLines w:val="on"/>
      </w:pPr>
      <w:r>
        <w:t>Doanh nghiệp có lợi nhuận</w:t>
      </w:r>
      <w:bookmarkEnd w:id="6381"/>
      <w:bookmarkEnd w:id="6382"/>
    </w:p>
    <w:p>
      <w:pPr>
        <w:pStyle w:val="Para 03"/>
      </w:pPr>
      <w:r>
        <w:t>Tăng trưởng cao hơn phát sinh từ việc gia tăng tái đầu tư hoặc tỷ suất sinh lời trên vốn cao hơn. Tuy nhiên, nó không phải lúc nào cũng chuyển thành giá trị cao hơn, vì tăng trưởng cao hơn có thể bị bù trừ bởi những thay đổi ở nơi khác trong định giá. Do đó, tỷ lệ tái đầu tư cao hơn thường dẫn đến tăng trưởng kỳ vọng cao hơn nhưng phải đánh đổi bằng dòng tiền thấp hơn, vì tái đầu tư làm giảm dòng tiền tự do. Tỷ suất sinh lời trên vốn cao hơn cũng khiến tăng trưởng kỳ vọng tăng lên, nhưng giá trị vẫn có thể giảm nếu các khoản đầu tư mới nằm trong những ngành rủi ro hơn và có sự gia tăng chi phí vốn nhiều hơn mức tương ứng.</w:t>
      </w:r>
    </w:p>
    <w:p>
      <w:pPr>
        <w:pStyle w:val="Para 03"/>
      </w:pPr>
      <w:r>
        <w:t>Sự đánh đổi từ việc tăng tỷ lệ tái đầu tư được liệt kê trong Bảng 31.1. Tác động tích cực của việc tái đầu tư nhiều hơn, tức tăng trưởng cao hơn, phải được so sánh với tác động tiêu cực của việc tái đầu tư nhiều hơn, tức sự sụt giảm dòng tiền tự do.</w:t>
      </w:r>
    </w:p>
    <w:p>
      <w:pPr>
        <w:pStyle w:val="Para 34"/>
        <w:keepLines w:val="on"/>
      </w:pPr>
      <w:r>
        <w:t>Bảng 31.1</w:t>
      </w:r>
    </w:p>
    <w:p>
      <w:pPr>
        <w:keepNext/>
        <w:pStyle w:val="Para 35"/>
        <w:keepLines w:val="on"/>
      </w:pPr>
      <w:r>
        <w:t>Đánh đổi về tỷ lệ tái đầu tư</w:t>
      </w:r>
    </w:p>
    <w:tbl>
      <w:tblPr>
        <w:tblW w:type="auto" w:w="0"/>
      </w:tblPr>
      <w:tr>
        <w:tc>
          <w:tcPr>
            <w:tcW w:type="auto" w:w="0"/>
          </w:tcPr>
          <w:tbl>
            <w:tblPr>
              <w:tblW w:type="pct" w:w="5000"/>
            </w:tblPr>
            <w:tr>
              <w:tc>
                <w:tcPr>
                  <w:tcW w:type="auto" w:w="0"/>
                  <w:shd w:val="clear" w:color="auto" w:fill="F0F0F0"/>
                </w:tcPr>
                <w:p>
                  <w:pPr>
                    <w:pStyle w:val="Para 29"/>
                    <w:keepLines w:val="on"/>
                  </w:pPr>
                  <w:r>
                    <w:t>Tác động tiêu cực</w:t>
                  </w:r>
                </w:p>
              </w:tc>
              <w:tc>
                <w:tcPr>
                  <w:tcW w:type="auto" w:w="0"/>
                  <w:shd w:val="clear" w:color="auto" w:fill="F0F0F0"/>
                </w:tcPr>
                <w:p>
                  <w:pPr>
                    <w:pStyle w:val="Para 17"/>
                    <w:keepLines w:val="on"/>
                  </w:pPr>
                  <w:r>
                    <w:t>Ảnh hưởng tích cực</w:t>
                  </w:r>
                </w:p>
              </w:tc>
            </w:tr>
            <w:tr>
              <w:tc>
                <w:tcPr>
                  <w:tcW w:type="auto" w:w="0"/>
                  <w:shd w:val="clear" w:color="auto" w:fill="F0F0F0"/>
                </w:tcPr>
                <w:p>
                  <w:pPr>
                    <w:pStyle w:val="Para 03"/>
                    <w:keepLines w:val="on"/>
                  </w:pPr>
                  <w:r>
                    <w:t>Giảm dòng tiền tự do của doanh nghiệp:</w:t>
                  </w:r>
                </w:p>
                <w:p>
                  <w:pPr>
                    <w:pStyle w:val="Para 03"/>
                    <w:keepLines w:val="on"/>
                  </w:pPr>
                  <w:r>
                    <w:t>FCFF = EBIT(1 − Thuế suất)(1 − Tỷ lệ tái đầu tư)</w:t>
                  </w:r>
                </w:p>
              </w:tc>
              <w:tc>
                <w:tcPr>
                  <w:tcW w:type="auto" w:w="0"/>
                  <w:shd w:val="clear" w:color="auto" w:fill="F0F0F0"/>
                </w:tcPr>
                <w:p>
                  <w:pPr>
                    <w:pStyle w:val="Para 03"/>
                    <w:keepLines w:val="on"/>
                  </w:pPr>
                  <w:r>
                    <w:t>Tăng trưởng kỳ vọng tăng lên:</w:t>
                  </w:r>
                </w:p>
                <w:p>
                  <w:pPr>
                    <w:pStyle w:val="Para 03"/>
                    <w:keepLines w:val="on"/>
                  </w:pPr>
                  <w:r>
                    <w:t>Tăng trưởng kỳ vọng = Tỷ lệ tái đầu tư × Tỷ suất sinh lời trên vốn</w:t>
                  </w:r>
                </w:p>
              </w:tc>
            </w:tr>
          </w:tbl>
          <w:p/>
        </w:tc>
      </w:tr>
    </w:tbl>
    <w:p>
      <w:pPr>
        <w:pStyle w:val="Para 03"/>
      </w:pPr>
      <w:r>
        <w:t>Chúng ta có thể thực hiện toàn bộ quá trình định giá và xác định xem liệu giá trị hiện tại của các dòng tiền tăng thêm được tạo ra bởi mức tăng trưởng cao hơn có lớn hơn giá trị hiện tại của các khoản tái đầu tư thực tế hay không, xét theo khía cạnh dòng tiền. Tuy nhiên, có một phép thử đơn giản hơn nhiều để xác định ảnh hưởng lên giá trị. Lưu ý rằng giá trị hiện tại ròng (net present value) của một dự án đo lường giá trị mà dự án đó gia tăng vào tổng giá trị của doanh nghiệp, và giá trị hiện tại ròng chỉ dương khi tỷ suất sinh lời nội bộ (internal rate of return) của dự án vượt quá chi phí vốn. Nếu chúng ta giả định rằng tỷ suất sinh lời trên vốn theo kế toán của một dự án là một ước lượng hợp lý cho tỷ suất sinh lời nội bộ, thì việc tăng tỷ lệ tái đầu tư sẽ làm tăng giá trị, khi và chỉ khi, tỷ suất sinh lời trên vốn lớn hơn chi phí vốn. Nếu tỷ suất sinh lời trên vốn nhỏ hơn chi phí vốn, những ảnh hưởng tích cực của tăng trưởng sẽ nhỏ hơn những ảnh hưởng tiêu cực của việc thực hiện tái đầu tư.</w:t>
      </w:r>
    </w:p>
    <w:p>
      <w:pPr>
        <w:pStyle w:val="Para 03"/>
      </w:pPr>
      <w:r>
        <w:t>Lưu ý rằng tỷ suất sinh lời trên vốn mà chúng ta đang nói đến là tỷ suất sinh lời trên vốn biên (marginal return on capital) (tức là tỷ suất sinh lời trên vốn kiếm được từ khoản tái đầu tư thực tế), chứ không phải tỷ suất sinh lời trên vốn bình quân. Vì các doanh nghiệp có xu hướng chấp nhận khoản đầu tư hấp dẫn nhất trước tiên và những khoản đầu tư kém hấp dẫn hơn sau đó, nên tỷ suất sinh lời trên vốn bình quân sẽ có xu hướng lớn hơn tỷ suất sinh lời trên vốn biên. Do đó, một doanh nghiệp có tỷ suất sinh lời trên vốn là 18 phần trăm và chi phí vốn là 12 phần trăm có thể thực sự chỉ kiếm được 11 phần trăm trên các dự án biên của mình. Ngoài ra, tỷ suất sinh lời trên vốn biên sẽ thấp hơn nhiều nếu mức tăng tỷ lệ tái đầu tư là đáng kể. Vì vậy, bạn phải thận trọng khi giả định những mức tăng lớn trong tỷ lệ tái đầu tư trong khi vẫn giữ nguyên tỷ suất sinh lời trên vốn hiện tại.</w:t>
      </w:r>
    </w:p>
    <w:p>
      <w:pPr>
        <w:pStyle w:val="Para 03"/>
      </w:pPr>
      <w:r>
        <w:t>Một doanh nghiệp có thể tăng tỷ suất sinh lời trên vốn của mình trong khi giữ nguyên chi phí vốn sẽ làm tăng giá trị của mình. Sự gia tăng tăng trưởng sẽ làm tăng giá trị, và nhìn chung không có những ảnh hưởng bù trừ nào. Tuy nhiên, nếu sự gia tăng tỷ suất sinh lời trên vốn đến từ việc doanh nghiệp bước vào những ngành kinh doanh mới rủi ro hơn nhiều so với hoạt động kinh doanh hiện tại của mình, thì có thể sẽ có sự gia tăng chi phí vốn bù trừ lại phần tăng trưởng tăng thêm. Tuy nhiên, quy tắc chung để tạo ra giá trị vẫn đơn giản. Chỉ cần các dự án, dù chúng rủi ro đến đâu, có tỷ suất sinh lời trên vốn biên vượt quá chi phí vốn của chúng, thì chúng sẽ tạo ra giá trị.</w:t>
      </w:r>
    </w:p>
    <w:p>
      <w:pPr>
        <w:pStyle w:val="Para 03"/>
      </w:pPr>
      <w:r>
        <w:t>Sử dụng sự so sánh giữa tỷ suất sinh lời trên vốn và chi phí vốn, một doanh nghiệp kiếm được tỷ suất sinh lời trên vốn nhỏ hơn chi phí vốn của mình có thể gia tăng giá trị bằng cách chấp nhận những khoản đầu tư có tỷ suất sinh lời cao hơn, nhưng nó sẽ gia tăng giá trị thậm chí còn nhiều hơn nữa bằng cách không đầu tư gì cả và trả lại tiền mặt cho những người chủ sở hữu doanh nghiệp. Thanh lý hoặc thanh lý một phần có thể là chiến lược gia tăng giá trị nhiều nhất đối với những doanh nghiệp bị mắc kẹt trong những ngành kinh doanh mà ở đó không thể nào kiếm được chi phí vốn.</w:t>
      </w:r>
    </w:p>
    <w:p>
      <w:pPr>
        <w:pStyle w:val="Para 11"/>
      </w:pPr>
      <w:r>
        <w:t xml:space="preserve"> </w:t>
      </w:r>
      <w:r>
        <w:rPr>
          <w:rStyle w:val="Text26"/>
        </w:rPr>
        <w:bookmarkStart w:id="6385" w:name="Page_988"/>
        <w:t/>
        <w:bookmarkEnd w:id="6385"/>
      </w:r>
      <w:r>
        <w:t xml:space="preserve"> </w:t>
      </w:r>
    </w:p>
    <w:p>
      <w:bookmarkStart w:id="6386" w:name="ILLUSTRATION_31_5___Reinvestment"/>
      <w:bookmarkStart w:id="6387" w:name="ILLUSTRATION_31_5___Reinvestment_1"/>
      <w:pPr>
        <w:keepNext/>
        <w:pStyle w:val="Para 19"/>
        <w:keepLines w:val="on"/>
      </w:pPr>
      <w:r>
        <w:t>MINH HỌA 31.5: Tỷ lệ tái đầu tư, Tỷ suất sinh lời trên vốn và Giá trị—So sánh Boeing và Home Depot năm 1998</w:t>
      </w:r>
      <w:bookmarkEnd w:id="6386"/>
      <w:bookmarkEnd w:id="6387"/>
    </w:p>
    <w:p>
      <w:pPr>
        <w:pStyle w:val="Para 04"/>
        <w:keepLines w:val="on"/>
      </w:pPr>
      <w:r>
        <w:t>Năm 1998, Boeing kiếm được tỷ suất sinh lời trên vốn là 6,59% và có tỷ lệ tái đầu tư là 65,98%. Nếu bạn giả định chi phí vốn là 9,17% cho doanh nghiệp, bạn sẽ định giá vốn chủ sở hữu của doanh nghiệp ở mức 13,14 đô la một cổ phần. Cùng năm đó, Home Depot có tỷ suất sinh lời trên vốn là 16,38%, tỷ lệ tái đầu tư là 88,62% và chi phí vốn là 9,51%, dẫn đến giá trị mỗi cổ phần là 42,55 đô la.</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05"/>
                    <w:keepLines w:val="on"/>
                  </w:pPr>
                  <w:r>
                    <w:t>Boeing</w:t>
                  </w:r>
                </w:p>
              </w:tc>
              <w:tc>
                <w:tcPr>
                  <w:tcW w:type="auto" w:w="0"/>
                  <w:shd w:val="clear" w:color="auto" w:fill="F0F0F0"/>
                </w:tcPr>
                <w:p>
                  <w:pPr>
                    <w:pStyle w:val="Para 05"/>
                    <w:keepLines w:val="on"/>
                  </w:pPr>
                  <w:r>
                    <w:t>The Home Depot</w:t>
                  </w:r>
                </w:p>
              </w:tc>
            </w:tr>
            <w:tr>
              <w:tc>
                <w:tcPr>
                  <w:tcW w:type="auto" w:w="0"/>
                  <w:shd w:val="clear" w:color="auto" w:fill="F0F0F0"/>
                </w:tcPr>
                <w:p>
                  <w:pPr>
                    <w:pStyle w:val="Para 02"/>
                    <w:keepLines w:val="on"/>
                  </w:pPr>
                  <w:r>
                    <w:t>Chi phí vốn</w:t>
                  </w:r>
                </w:p>
              </w:tc>
              <w:tc>
                <w:tcPr>
                  <w:tcW w:type="auto" w:w="0"/>
                  <w:shd w:val="clear" w:color="auto" w:fill="F0F0F0"/>
                </w:tcPr>
                <w:p>
                  <w:pPr>
                    <w:pStyle w:val="Normal"/>
                    <w:keepLines w:val="on"/>
                  </w:pPr>
                  <w:r>
                    <w:t>9,17%</w:t>
                  </w:r>
                </w:p>
              </w:tc>
              <w:tc>
                <w:tcPr>
                  <w:tcW w:type="auto" w:w="0"/>
                  <w:shd w:val="clear" w:color="auto" w:fill="F0F0F0"/>
                </w:tcPr>
                <w:p>
                  <w:pPr>
                    <w:pStyle w:val="Normal"/>
                    <w:keepLines w:val="on"/>
                  </w:pPr>
                  <w:r>
                    <w:t>9,51%</w:t>
                  </w:r>
                </w:p>
              </w:tc>
            </w:tr>
            <w:tr>
              <w:tc>
                <w:tcPr>
                  <w:tcW w:type="auto" w:w="0"/>
                  <w:shd w:val="clear" w:color="auto" w:fill="F0F0F0"/>
                </w:tcPr>
                <w:p>
                  <w:pPr>
                    <w:pStyle w:val="Para 02"/>
                    <w:keepLines w:val="on"/>
                  </w:pPr>
                  <w:r>
                    <w:t>Tỷ suất sinh lời trên vốn</w:t>
                  </w:r>
                </w:p>
              </w:tc>
              <w:tc>
                <w:tcPr>
                  <w:tcW w:type="auto" w:w="0"/>
                  <w:shd w:val="clear" w:color="auto" w:fill="F0F0F0"/>
                </w:tcPr>
                <w:p>
                  <w:pPr>
                    <w:pStyle w:val="Normal"/>
                    <w:keepLines w:val="on"/>
                  </w:pPr>
                  <w:r>
                    <w:t>6,59%</w:t>
                  </w:r>
                </w:p>
              </w:tc>
              <w:tc>
                <w:tcPr>
                  <w:tcW w:type="auto" w:w="0"/>
                  <w:shd w:val="clear" w:color="auto" w:fill="F0F0F0"/>
                </w:tcPr>
                <w:p>
                  <w:pPr>
                    <w:pStyle w:val="Normal"/>
                    <w:keepLines w:val="on"/>
                  </w:pPr>
                  <w:r>
                    <w:t>16,38%</w:t>
                  </w:r>
                </w:p>
              </w:tc>
            </w:tr>
            <w:tr>
              <w:tc>
                <w:tcPr>
                  <w:tcW w:type="auto" w:w="0"/>
                  <w:shd w:val="clear" w:color="auto" w:fill="F0F0F0"/>
                </w:tcPr>
                <w:p>
                  <w:pPr>
                    <w:pStyle w:val="Para 02"/>
                    <w:keepLines w:val="on"/>
                  </w:pPr>
                  <w:r>
                    <w:t>Tỷ lệ tái đầu tư</w:t>
                  </w:r>
                </w:p>
              </w:tc>
              <w:tc>
                <w:tcPr>
                  <w:tcW w:type="auto" w:w="0"/>
                  <w:shd w:val="clear" w:color="auto" w:fill="F0F0F0"/>
                </w:tcPr>
                <w:p>
                  <w:pPr>
                    <w:pStyle w:val="Normal"/>
                    <w:keepLines w:val="on"/>
                  </w:pPr>
                  <w:r>
                    <w:t>65,98%</w:t>
                  </w:r>
                </w:p>
              </w:tc>
              <w:tc>
                <w:tcPr>
                  <w:tcW w:type="auto" w:w="0"/>
                  <w:shd w:val="clear" w:color="auto" w:fill="F0F0F0"/>
                </w:tcPr>
                <w:p>
                  <w:pPr>
                    <w:pStyle w:val="Normal"/>
                    <w:keepLines w:val="on"/>
                  </w:pPr>
                  <w:r>
                    <w:t>88,62%</w:t>
                  </w:r>
                </w:p>
              </w:tc>
            </w:tr>
            <w:tr>
              <w:tc>
                <w:tcPr>
                  <w:tcW w:type="auto" w:w="0"/>
                  <w:shd w:val="clear" w:color="auto" w:fill="F0F0F0"/>
                </w:tcPr>
                <w:p>
                  <w:pPr>
                    <w:pStyle w:val="Para 02"/>
                    <w:keepLines w:val="on"/>
                  </w:pPr>
                  <w:r>
                    <w:t>Tỷ lệ tăng trưởng kỳ vọng</w:t>
                  </w:r>
                </w:p>
              </w:tc>
              <w:tc>
                <w:tcPr>
                  <w:tcW w:type="auto" w:w="0"/>
                  <w:shd w:val="clear" w:color="auto" w:fill="F0F0F0"/>
                </w:tcPr>
                <w:p>
                  <w:pPr>
                    <w:pStyle w:val="Normal"/>
                    <w:keepLines w:val="on"/>
                  </w:pPr>
                  <w:r>
                    <w:t>4,35%</w:t>
                  </w:r>
                </w:p>
              </w:tc>
              <w:tc>
                <w:tcPr>
                  <w:tcW w:type="auto" w:w="0"/>
                  <w:shd w:val="clear" w:color="auto" w:fill="F0F0F0"/>
                </w:tcPr>
                <w:p>
                  <w:pPr>
                    <w:pStyle w:val="Normal"/>
                    <w:keepLines w:val="on"/>
                  </w:pPr>
                  <w:r>
                    <w:t>14,51%</w:t>
                  </w:r>
                </w:p>
              </w:tc>
            </w:tr>
            <w:tr>
              <w:tc>
                <w:tcPr>
                  <w:tcW w:type="auto" w:w="0"/>
                  <w:shd w:val="clear" w:color="auto" w:fill="F0F0F0"/>
                </w:tcPr>
                <w:p>
                  <w:pPr>
                    <w:pStyle w:val="Para 02"/>
                    <w:keepLines w:val="on"/>
                  </w:pPr>
                  <w:r>
                    <w:t>Giá trị trên mỗi cổ phiếu</w:t>
                  </w:r>
                </w:p>
              </w:tc>
              <w:tc>
                <w:tcPr>
                  <w:tcW w:type="auto" w:w="0"/>
                  <w:shd w:val="clear" w:color="auto" w:fill="F0F0F0"/>
                </w:tcPr>
                <w:p>
                  <w:pPr>
                    <w:pStyle w:val="Normal"/>
                    <w:keepLines w:val="on"/>
                  </w:pPr>
                  <w:r>
                    <w:t>$13.14</w:t>
                  </w:r>
                </w:p>
              </w:tc>
              <w:tc>
                <w:tcPr>
                  <w:tcW w:type="auto" w:w="0"/>
                  <w:shd w:val="clear" w:color="auto" w:fill="F0F0F0"/>
                </w:tcPr>
                <w:p>
                  <w:pPr>
                    <w:pStyle w:val="Normal"/>
                    <w:keepLines w:val="on"/>
                  </w:pPr>
                  <w:r>
                    <w:t>$42.55</w:t>
                  </w:r>
                </w:p>
              </w:tc>
            </w:tr>
          </w:tbl>
          <w:p/>
        </w:tc>
      </w:tr>
    </w:tbl>
    <w:p>
      <w:pPr>
        <w:pStyle w:val="Para 04"/>
        <w:keepLines w:val="on"/>
      </w:pPr>
      <w:r>
        <w:t>Nếu Home Depot có thể tăng tỷ lệ tái đầu tư mà không ảnh hưởng đến lợi nhuận trên vốn, thì tác động lên giá trị sẽ là tích cực, vì công ty đang kiếm được lợi nhuận vượt trội. Đối với Boeing, tác động của việc tăng tỷ lệ tái đầu tư ở mức lợi nhuận trên vốn hiện tại sẽ là tiêu cực, vì lợi nhuận trên vốn của công ty thấp hơn chi phí vốn. Hình 31.5 tóm tắt tác động lên giá trị vốn chủ sở hữu khi thay đổi tỷ lệ tái đầu tư tại cả hai công ty, giữ nguyên chi phí vốn.</w:t>
      </w:r>
    </w:p>
    <w:p>
      <w:bookmarkStart w:id="6390" w:name="Figure_31_5_Effect_of_Changes_in"/>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524000"/>
            <wp:effectExtent l="0" r="0" t="0" b="0"/>
            <wp:wrapTopAndBottom/>
            <wp:docPr id="284" name="c31f005.png" descr="Double bar graph plots the decrease in the reinvestment rate on the value of equity for Boeing and increase for the home depot."/>
            <wp:cNvGraphicFramePr>
              <a:graphicFrameLocks noChangeAspect="1"/>
            </wp:cNvGraphicFramePr>
            <a:graphic>
              <a:graphicData uri="http://schemas.openxmlformats.org/drawingml/2006/picture">
                <pic:pic>
                  <pic:nvPicPr>
                    <pic:cNvPr id="0" name="c31f005.png" descr="Double bar graph plots the decrease in the reinvestment rate on the value of equity for Boeing and increase for the home depot."/>
                    <pic:cNvPicPr/>
                  </pic:nvPicPr>
                  <pic:blipFill>
                    <a:blip r:embed="rId205"/>
                    <a:stretch>
                      <a:fillRect/>
                    </a:stretch>
                  </pic:blipFill>
                  <pic:spPr>
                    <a:xfrm>
                      <a:off x="0" y="0"/>
                      <a:ext cx="2438400" cy="1524000"/>
                    </a:xfrm>
                    <a:prstGeom prst="rect">
                      <a:avLst/>
                    </a:prstGeom>
                  </pic:spPr>
                </pic:pic>
              </a:graphicData>
            </a:graphic>
          </wp:anchor>
        </w:drawing>
      </w:r>
      <w:bookmarkEnd w:id="6390"/>
    </w:p>
    <w:p>
      <w:pPr>
        <w:keepNext/>
        <w:pStyle w:val="Para 38"/>
        <w:keepLines w:val="on"/>
      </w:pPr>
      <w:r>
        <w:t>Hình 31.5 Tác động của những thay đổi trong tỷ lệ tái đầu tư lên giá trị vốn chủ sở hữu</w:t>
      </w:r>
    </w:p>
    <w:p>
      <w:pPr>
        <w:pStyle w:val="Para 04"/>
        <w:keepLines w:val="on"/>
      </w:pPr>
      <w:r>
        <w:t>Để minh họa, chúng tôi đã giảm tỷ lệ tái đầu tư tại Boeing từ 65,98% xuống 45,98% và xem xét tác động phần trăm lên giá trị vốn chủ sở hữu; mức thay đổi là +4,49%. Tác động của một thay đổi tương tự tại Home Depot lại là tiêu cực. Các tác động của những thay đổi trong tỷ lệ tái đầu tư rất mạnh mẽ tại Home Depot vì giai đoạn tăng trưởng cao kéo dài tới 10 năm.</w:t>
      </w:r>
    </w:p>
    <w:p>
      <w:pPr>
        <w:pStyle w:val="Para 11"/>
      </w:pPr>
      <w:r>
        <w:t xml:space="preserve"> </w:t>
      </w:r>
      <w:r>
        <w:rPr>
          <w:rStyle w:val="Text26"/>
        </w:rPr>
        <w:bookmarkStart w:id="6391" w:name="Page_989"/>
        <w:t/>
        <w:bookmarkEnd w:id="6391"/>
      </w:r>
      <w:r>
        <w:t xml:space="preserve"> </w:t>
      </w:r>
    </w:p>
    <w:p>
      <w:bookmarkStart w:id="6392" w:name="fundgrEB_xls__This_dataset_on_th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285"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6392"/>
    </w:p>
    <w:p>
      <w:pPr>
        <w:pStyle w:val="Para 31"/>
        <w:keepLines w:val="on"/>
      </w:pPr>
      <w:r>
        <w:t>fundgrEB.xls: Bộ dữ liệu này trên web tóm tắt lợi nhuận trên vốn và tỷ lệ tái đầu tư theo nhóm ngành cho Hoa Kỳ.</w:t>
      </w:r>
    </w:p>
    <w:p>
      <w:bookmarkStart w:id="6393" w:name="Negative_Earnings_Firms__For_you"/>
      <w:bookmarkStart w:id="6394" w:name="Negative_Earnings_Firms"/>
      <w:pPr>
        <w:keepNext/>
        <w:pStyle w:val="Heading 4"/>
        <w:keepLines w:val="on"/>
      </w:pPr>
      <w:r>
        <w:t>Các công ty có lợi nhuận âm</w:t>
      </w:r>
      <w:bookmarkEnd w:id="6393"/>
      <w:bookmarkEnd w:id="6394"/>
    </w:p>
    <w:p>
      <w:pPr>
        <w:pStyle w:val="Para 03"/>
      </w:pPr>
      <w:r>
        <w:t>Đối với những công ty non trẻ có lợi nhuận âm, dòng tiền kỳ vọng trong tương lai được suy ra từ những giả định về ba biến số—tốc độ tăng trưởng doanh thu kỳ vọng, biên lợi nhuận hoạt động mục tiêu, và tỷ lệ doanh thu trên vốn. Hai biến số đầu tiên quyết định lợi nhuận hoạt động trong những năm tới, còn biến số cuối cùng quyết định nhu cầu tái đầu tư. Hình 31.6 tóm tắt tác động của từng biến số này lên dòng tiền.</w:t>
      </w:r>
    </w:p>
    <w:p>
      <w:bookmarkStart w:id="6396" w:name="Figure_31_6_Determinants_of_Grow"/>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14500" cy="520700"/>
            <wp:effectExtent l="0" r="0" t="0" b="0"/>
            <wp:wrapTopAndBottom/>
            <wp:docPr id="286" name="c31f006.png" descr="Calculation for F C F F highlights revenue growth and target operating margin as E B I T, sales-to-capital ratio as reinvestment needs."/>
            <wp:cNvGraphicFramePr>
              <a:graphicFrameLocks noChangeAspect="1"/>
            </wp:cNvGraphicFramePr>
            <a:graphic>
              <a:graphicData uri="http://schemas.openxmlformats.org/drawingml/2006/picture">
                <pic:pic>
                  <pic:nvPicPr>
                    <pic:cNvPr id="0" name="c31f006.png" descr="Calculation for F C F F highlights revenue growth and target operating margin as E B I T, sales-to-capital ratio as reinvestment needs."/>
                    <pic:cNvPicPr/>
                  </pic:nvPicPr>
                  <pic:blipFill>
                    <a:blip r:embed="rId206"/>
                    <a:stretch>
                      <a:fillRect/>
                    </a:stretch>
                  </pic:blipFill>
                  <pic:spPr>
                    <a:xfrm>
                      <a:off x="0" y="0"/>
                      <a:ext cx="1714500" cy="520700"/>
                    </a:xfrm>
                    <a:prstGeom prst="rect">
                      <a:avLst/>
                    </a:prstGeom>
                  </pic:spPr>
                </pic:pic>
              </a:graphicData>
            </a:graphic>
          </wp:anchor>
        </w:drawing>
      </w:r>
      <w:bookmarkEnd w:id="6396"/>
    </w:p>
    <w:p>
      <w:pPr>
        <w:keepNext/>
        <w:pStyle w:val="Para 22"/>
        <w:keepLines w:val="on"/>
      </w:pPr>
      <w:r>
        <w:t>Hình 31.6 Các yếu tố quyết định tăng trưởng</w:t>
      </w:r>
    </w:p>
    <w:p>
      <w:pPr>
        <w:pStyle w:val="Para 03"/>
      </w:pPr>
      <w:r>
        <w:t>Các yếu tố khác giữ nguyên, dòng tiền kỳ vọng trong những năm tới sẽ cao hơn nếu bất kỳ biến số nào trong ba biến số—tăng trưởng doanh thu, biên lợi nhuận mục tiêu, và tỷ lệ doanh thu trên vốn—tăng lên. Tăng tăng trưởng doanh thu và biên lợi nhuận mục tiêu sẽ làm tăng lợi nhuận hoạt động, trong khi tăng tỷ lệ doanh thu trên vốn sẽ làm giảm nhu cầu tái đầu tư.</w:t>
      </w:r>
    </w:p>
    <w:p>
      <w:pPr>
        <w:pStyle w:val="Para 03"/>
      </w:pPr>
      <w:r>
        <w:t>Tuy nhiên, trên thực tế, các công ty phải đánh đổi giữa tăng trưởng doanh thu cao hơn và biên lợi nhuận cao hơn. Khi các công ty tăng giá sản phẩm, họ cải thiện biên lợi nhuận hoạt động nhưng lại làm giảm tăng trưởng doanh thu. Michael Porter, một trong những nhà tư tưởng hàng đầu về chiến lược doanh nghiệp, cho rằng khi nói đến chiến lược định giá, có hai con đường cơ bản mà một công ty có thể chọn. Công ty có thể chọn trở thành người dẫn đầu về sản lượng, giảm giá và hy vọng tăng doanh thu đủ để bù đắp cho biên lợi nhuận thấp hơn. Để chiến lược này thành công, công ty cần có lợi thế về chi phí so với các đối thủ để ngăn chặn những cuộc chiến giá cả có thể khiến tất cả các công ty trong ngành đều chịu thiệt hại. Hoặc cách khác, công ty có thể cố gắng trở thành người dẫn đầu về giá, tăng giá và hy vọng rằng tác động lên sản lượng sẽ nhỏ hơn mức tăng biên lợi nhuận. Mức độ sụt giảm tăng trưởng doanh thu phụ thuộc vào độ co giãn của nhu cầu đối với sản phẩm, và mức độ cạnh tranh của toàn bộ thị trường sản phẩm. Tác động ròng sẽ quyết định giá trị (Porter 1980).</w:t>
      </w:r>
    </w:p>
    <w:p>
      <w:pPr>
        <w:pStyle w:val="Para 03"/>
      </w:pPr>
      <w:r>
        <w:t>Trong khi tỷ lệ doanh thu trên vốn cao hơn làm giảm nhu cầu tái đầu tư và tăng dòng tiền, thì quá trình này lại có cả những ràng buộc nội tại lẫn bên ngoài. Khi tỷ lệ doanh thu trên vốn tăng lên, lợi nhuận trên vốn của công ty trong những năm tới cũng sẽ tăng lên. Nếu lợi nhuận trên vốn vượt trội đáng kể so với chi phí vốn, các đối thủ mới sẽ gia nhập thị trường, khiến việc duy trì biên lợi nhuận hoạt động và tăng trưởng doanh thu kỳ vọng trở nên khó khăn hơn.</w:t>
      </w:r>
    </w:p>
    <w:p>
      <w:pPr>
        <w:pStyle w:val="Para 11"/>
      </w:pPr>
      <w:r>
        <w:t xml:space="preserve"> </w:t>
      </w:r>
      <w:r>
        <w:rPr>
          <w:rStyle w:val="Text26"/>
        </w:rPr>
        <w:bookmarkStart w:id="6397" w:name="Page_990"/>
        <w:t/>
        <w:bookmarkEnd w:id="6397"/>
      </w:r>
      <w:r>
        <w:t xml:space="preserve"> </w:t>
      </w:r>
    </w:p>
    <w:p>
      <w:bookmarkStart w:id="6398" w:name="Less_is_More__The_Value_of_Less_1"/>
      <w:bookmarkStart w:id="6399" w:name="Less_is_More__The_Value_of_Less"/>
      <w:pPr>
        <w:keepNext/>
        <w:pStyle w:val="Para 27"/>
        <w:keepLines w:val="on"/>
      </w:pPr>
      <w:r>
        <w:t>Ít hơn lại là nhiều hơn: Giá trị của việc tăng trưởng ít hơn</w:t>
      </w:r>
      <w:bookmarkEnd w:id="6398"/>
      <w:bookmarkEnd w:id="6399"/>
    </w:p>
    <w:p>
      <w:pPr>
        <w:pStyle w:val="Para 16"/>
        <w:keepLines w:val="on"/>
      </w:pPr>
      <w:r>
        <w:t>Trong một số trường hợp, con đường tốt nhất để tạo ra giá trị lại đến từ việc thu hẹp quy mô thay vì tăng trưởng. Để hiểu tại sao, hãy xem xét quan điểm rằng tăng trưởng chỉ tạo ra giá trị khi lợi nhuận trên vốn kiếm được từ các khoản đầu tư mới vượt quá chi phí vốn để tài trợ cho những khoản đầu tư đó. Cũng hãy xem xét thực tế rằng vào năm 2023, khoảng 60% tất cả các công ty toàn cầu tạo ra lợi nhuận trên vốn tổng hợp thấp hơn chi phí vốn của họ. Mặc dù sự kém hiệu quả này có thể được quy cho các yếu tố kinh tế vĩ mô hoặc những vấn đề tạm thời ở một số công ty trong nhóm này, nó cũng phản ánh thực tế rằng nhiều công ty trong số đó hoặc đang suy thoái, hoặc đang hoạt động trong những ngành mà việc tạo ra lợi nhuận vượt trội là khó khăn, nếu không muốn nói là bất khả thi.</w:t>
      </w:r>
    </w:p>
    <w:p>
      <w:pPr>
        <w:pStyle w:val="Para 16"/>
        <w:keepLines w:val="on"/>
      </w:pPr>
      <w:r>
        <w:t>Có rất nhiều lý do khiến các công ty trong nhóm sau vẫn tiếp tục con đường hủy hoại giá trị bằng cách đầu tư ngày càng nhiều vào những ngành kinh doanh tồi tệ. Một số coi tăng trưởng bằng mọi giá là điều tốt và được các nhà phân tích nghiên cứu cổ phiếu chia sẻ quan điểm đó ủng hộ và tiếp tay. Những người khác bị thúc đẩy bởi quán tính, tiếp tục các mô thức đầu tư mà họ đã áp dụng trong những giai đoạn trước đó, khi cơ hội đầu tư còn sinh lợi và dồi dào. Vẫn còn những người khác có những nhà quản lý quá tự tin, tin chắc rằng họ có thể thay đổi cả một ngành kinh doanh.</w:t>
      </w:r>
    </w:p>
    <w:p>
      <w:pPr>
        <w:pStyle w:val="Para 16"/>
        <w:keepLines w:val="on"/>
      </w:pPr>
      <w:r>
        <w:t>Dù lý do là gì, việc nâng cao giá trị ở những công ty tăng trưởng thông qua những khoản đầu tư tồi tệ lại rất đơn giản. Việc ngừng thực hiện các khoản đầu tư mới sẽ làm giảm tăng trưởng và đồng thời tăng giá trị. Để minh họa, giả sử một công ty có chi phí vốn 10% tạo ra 10 triệu đô la lợi nhuận hoạt động sau thuế. Giả sử thêm rằng công ty đang tái đầu tư 50% lợi nhuận đó vào các dự án tạo ra lợi nhuận trên vốn 6%. Sử dụng tốc độ tăng trưởng thu được là 3%, chúng ta có thể ước tính giá trị của công ty:</w:t>
      </w:r>
    </w:p>
    <w:p>
      <w:bookmarkStart w:id="6400" w:name="Valueoffirmstatusquo_101_031"/>
      <w:pPr>
        <w:keepNext/>
        <w:pStyle w:val="Para 48"/>
        <w:keepLines w:val="on"/>
      </w:pPr>
      <w:r>
        <w:t>Valueoffirmstatusquo=101.031 – .50/.10 – .03=$73.57million</w:t>
      </w:r>
      <w:bookmarkEnd w:id="6400"/>
    </w:p>
    <w:p>
      <w:pPr>
        <w:pStyle w:val="Para 16"/>
        <w:keepLines w:val="on"/>
      </w:pPr>
      <w:r>
        <w:t>Nếu công ty này ngừng tái đầu tư, tốc độ tăng trưởng và tỷ lệ tái đầu tư của nó sẽ giảm xuống bằng không, và giá trị của nó sẽ tăng lên 100 triệu đô la</w:t>
      </w:r>
    </w:p>
    <w:p>
      <w:bookmarkStart w:id="6401" w:name="Valueoffirmrestructured_10__10"/>
      <w:pPr>
        <w:keepNext/>
        <w:pStyle w:val="Para 48"/>
        <w:keepLines w:val="on"/>
      </w:pPr>
      <w:r>
        <w:t>Valueoffirmrestructured=10/.10=$100million</w:t>
      </w:r>
      <w:bookmarkEnd w:id="6401"/>
    </w:p>
    <w:p>
      <w:pPr>
        <w:pStyle w:val="Para 16"/>
        <w:keepLines w:val="on"/>
      </w:pPr>
      <w:r>
        <w:t>Trong khi ban lãnh đạo hiện tại của những công ty này có thể miễn cưỡng từ bỏ tăng trưởng, họ lại là những mục tiêu được các nhà đầu tư hoạt động (activist investors) ưa thích.</w:t>
      </w:r>
    </w:p>
    <w:p>
      <w:bookmarkStart w:id="6402" w:name="Lengthen_the_Period_of_High_Grow"/>
      <w:bookmarkStart w:id="6403" w:name="Lengthen_the_Period_of_High_Grow_1"/>
      <w:pPr>
        <w:keepNext/>
        <w:pStyle w:val="Heading 3"/>
        <w:keepLines w:val="on"/>
      </w:pPr>
      <w:r>
        <w:t>Kéo dài giai đoạn tăng trưởng cao</w:t>
      </w:r>
      <w:bookmarkEnd w:id="6402"/>
      <w:bookmarkEnd w:id="6403"/>
    </w:p>
    <w:p>
      <w:pPr>
        <w:pStyle w:val="Para 03"/>
      </w:pPr>
      <w:r>
        <w:t>Mọi công ty, vào một thời điểm nào đó trong tương lai, đều sẽ trở thành một công ty tăng trưởng ổn định, với tốc độ tăng trưởng bằng hoặc thấp hơn tốc độ của nền kinh tế mà nó hoạt động. Ngoài ra, tăng trưởng chỉ tạo ra giá trị khi công ty kiếm được lợi nhuận vượt trội từ các khoản đầu tư của mình. Với lợi nhuận vượt trội, giai đoạn tăng trưởng cao càng kéo dài, các yếu tố khác giữ nguyên, thì giá trị của công ty càng lớn. Không công ty nào có thể kiếm được lợi nhuận vượt trội trong bất kỳ khoảng thời gian nào trên một thị trường sản phẩm cạnh tranh, vì các đối thủ sẽ bị thu hút vào ngành kinh doanh đó bởi lợi nhuận vượt trội. Do đó, ẩn chứa trong giả định rằng sẽ có tăng trưởng cao với lợi nhuận vượt trội là giả định rằng cũng tồn tại một số rào cản gia nhập ngăn cản các công ty đối thủ xâm nhập thị trường và loại bỏ lợi nhuận vượt trội đang tồn tại.</w:t>
      </w:r>
    </w:p>
    <w:p>
      <w:pPr>
        <w:pStyle w:val="Para 03"/>
      </w:pPr>
      <w:r>
        <w:t>Một cách để các công ty có thể tăng giá trị là tăng cường các rào cản gia nhập hiện có và dựng lên những rào cản mới. Một cách khác để diễn đạt ý tưởng này là các công ty kiếm được lợi nhuận vượt trội có những lợi thế cạnh tranh đáng kể. Nuôi dưỡng những lợi thế này có thể làm tăng giá trị.</w:t>
      </w:r>
    </w:p>
    <w:p>
      <w:bookmarkStart w:id="6405" w:name="Brand_Name_Advantage__As_we_note"/>
      <w:bookmarkStart w:id="6406" w:name="Brand_Name_Advantage"/>
      <w:pPr>
        <w:keepNext/>
        <w:pStyle w:val="Heading 4"/>
        <w:keepLines w:val="on"/>
      </w:pPr>
      <w:r>
        <w:t>Lợi thế thương hiệu</w:t>
      </w:r>
      <w:bookmarkEnd w:id="6405"/>
      <w:bookmarkEnd w:id="6406"/>
    </w:p>
    <w:p>
      <w:pPr>
        <w:pStyle w:val="Para 03"/>
      </w:pPr>
      <w:r>
        <w:t>Như chúng ta đã đề cập trước đó trong cuốn sách này, các yếu tố đầu vào của phương pháp định giá dòng tiền chiết khấu truyền thống (discounted cash flow valuation) đã bao hàm sẵn ảnh hưởng của tên thương hiệu. Cụ thể, những công ty sở hữu tên thương hiệu giá trị hơn thường có thể bán sản phẩm cùng loại với giá cao hơn đối thủ (dẫn đến biên lợi nhuận cao hơn), hoặc bán được nhiều hơn đối thủ với cùng mức giá (dẫn đến vòng quay vốn cao hơn). Họ thường có tỷ suất sinh lời trên vốn cao hơn và giá trị lớn hơn so với các đối thủ trong ngành.</w:t>
      </w:r>
    </w:p>
    <w:p>
      <w:pPr>
        <w:pStyle w:val="Para 03"/>
      </w:pPr>
      <w:r>
        <w:t>Xây dựng một tên thương hiệu là một quá trình khó khăn và tốn kém, có thể mất nhiều năm mới đạt được, nhưng các công ty thường có thể phát triển dựa trên những thương hiệu đã có sẵn và làm cho chúng trở nên giá trị hơn. Quản lý thương hiệu và quảng cáo, vì vậy, có thể đóng góp vào việc tạo ra giá trị. Hãy nhìn vào thành công phi thường của Coca-Cola trong việc gia tăng và duy trì giá trị thị trường của mình qua một khoảng thời gian dài. Một số người cho rằng thành công của họ đến từ tỷ suất sinh lời trên vốn chủ sở hữu hay trên vốn đầu tư cao, nhưng thực ra những tỷ suất này không phải là nguyên nhân dẫn đến thành công mà là kết quả của nó. Tỷ suất sinh lời cao có thể bắt nguồn từ việc công ty không ngừng tập trung làm cho tên thương hiệu của mình trở nên giá trị hơn trên toàn cầu. Ngược lại, những nhà quản lý tiếp nhận một thương hiệu giá trị rồi làm mai một giá trị đó sẽ làm giảm đáng kể giá trị của công ty. Trải nghiệm cận kề cái chết của Apple Computer vào năm 1996 và 1997, cùng những sóng gió của Quaker Oats sau thương vụ mua lại Snapple, cho thấy các nhà quản lý có thể nhanh chóng đánh mất lợi thế đến từ những tên thương hiệu giá trị.</w:t>
      </w:r>
    </w:p>
    <w:p>
      <w:bookmarkStart w:id="6407" w:name="Patents__Licenses__and_Other_Leg"/>
      <w:bookmarkStart w:id="6408" w:name="Patents__Licenses__and_Other_Leg_1"/>
      <w:pPr>
        <w:keepNext/>
        <w:pStyle w:val="Heading 4"/>
        <w:keepLines w:val="on"/>
      </w:pPr>
      <w:r>
        <w:t>Bằng sáng chế, Giấy phép và Các biện pháp bảo hộ pháp lý khác</w:t>
      </w:r>
      <w:bookmarkEnd w:id="6407"/>
      <w:bookmarkEnd w:id="6408"/>
    </w:p>
    <w:p>
      <w:pPr>
        <w:pStyle w:val="Para 03"/>
      </w:pPr>
      <w:r>
        <w:t>Lợi thế cạnh tranh thứ hai mà các công ty có thể sở hữu là lợi thế pháp lý. Các công ty có thể được hưởng độc quyền sản xuất và tiếp thị một sản phẩm vì họ sở hữu quyền sáng chế đối với sản phẩm đó, như thường thấy trong ngành dược phẩm. Hoặc các công ty có thể có quyền cấp phép độc quyền hay quyền độc quyền phục vụ một thị trường.</w:t>
      </w:r>
    </w:p>
    <w:p>
      <w:pPr>
        <w:pStyle w:val="Para 03"/>
      </w:pPr>
      <w:r>
        <w:t>Chìa khóa để gia tăng giá trị không chỉ là bảo tồn mà còn phải gia tăng bất kỳ lợi thế cạnh tranh nào mà công ty đang có. Nếu lợi thế cạnh tranh đến từ những bằng sáng chế hiện có, công ty phải nỗ lực phát triển các bằng sáng chế mới để duy trì lợi thế này theo thời gian. Việc chi nhiều tiền hơn cho nghiên cứu và phát triển (R&amp;D) rõ ràng là một cách, nhưng hiệu quả của việc tái đầu tư cũng được áp dụng ở đây. Những công ty có mức gia tăng giá trị lớn nhất không nhất thiết là những công ty chi nhiều nhất cho R&amp;D, mà là những công ty có bộ phận R&amp;D hiệu quả nhất, không chỉ trong việc tạo ra bằng sáng chế mà còn trong việc chuyển hóa bằng sáng chế thành sản phẩm thương mại.</w:t>
      </w:r>
    </w:p>
    <w:p>
      <w:pPr>
        <w:pStyle w:val="Para 03"/>
      </w:pPr>
      <w:r>
        <w:t>Lợi thế cạnh tranh từ cấp phép độc quyền hay độc quyền hợp pháp là một con dao hai lưỡi và có thể không dẫn đến việc gia tăng giá trị. Khi một công ty được một thực thể khác, chẳng hạn như chính phủ, trao cho những quyền này, thực thể đó thường giữ lại quyền kiểm soát giá cả được tính và biên lợi nhuận thu được thông qua các quy định. Ở Hoa Kỳ, ví dụ, phần lớn việc quản lý các công ty điện lực và điện thoại được thúc đẩy bởi mục tiêu đảm bảo rằng những công ty này không thu được lợi nhuận vượt trội. Trong những hoàn cảnh như vậy, các công ty có thể gia tăng giá trị bằng cách từ bỏ độc quyền hợp pháp của mình, nếu đổi lại họ có được quyền tự do định giá. Chúng ta có thể lập luận rằng điều này đã phần lớn xảy ra trong ngành viễn thông, và sẽ xảy ra trong tương lai ở các ngành được quản lý khác. Sau khi bãi bỏ quy định, những công ty giữ được lợi thế cạnh tranh sẽ gia tăng giá trị bằng cách lấy đi phần của những công ty khác trong ngành.</w:t>
      </w:r>
    </w:p>
    <w:p>
      <w:pPr>
        <w:pStyle w:val="Para 20"/>
      </w:pPr>
      <w:r>
        <w:rPr>
          <w:rStyle w:val="Text26"/>
        </w:rPr>
        <w:bookmarkStart w:id="6409" w:name="Page_992"/>
        <w:t/>
        <w:bookmarkEnd w:id="6409"/>
      </w:r>
      <w:r>
        <w:t xml:space="preserve"> </w:t>
      </w:r>
    </w:p>
    <w:p>
      <w:bookmarkStart w:id="6410" w:name="Networking_Benefits"/>
      <w:bookmarkStart w:id="6411" w:name="Networking_Benefits__Over_the_co"/>
      <w:pPr>
        <w:keepNext/>
        <w:pStyle w:val="Heading 4"/>
        <w:keepLines w:val="on"/>
      </w:pPr>
      <w:r>
        <w:t>Lợi ích từ Mạng lưới</w:t>
      </w:r>
      <w:bookmarkEnd w:id="6410"/>
      <w:bookmarkEnd w:id="6411"/>
    </w:p>
    <w:p>
      <w:pPr>
        <w:pStyle w:val="Para 03"/>
      </w:pPr>
      <w:r>
        <w:t>Trong suốt cuốn sách này, và đặc biệt trong chương về định giá các công ty non trẻ, chúng ta đã lưu ý đến tiềm năng của lợi ích từ mạng lưới (network benefits) trong một số ngành kinh doanh và cách chúng có thể ảnh hưởng đến giá trị của chúng. Cụ thể, lợi ích từ mạng lưới đề cập đến khả năng rằng khi một công ty giành được thị phần lớn hơn, việc phát triển trở nên dễ dàng hơn chứ không phải khó khăn hơn, do bản chất của ngành kinh doanh đó. Điều này đặc biệt phát huy tác dụng trong lĩnh vực công nghệ, nơi cả khách hàng đều tìm đến những người chơi lớn nhất trên thị trường, vì đó là nơi tập trung những khách hàng khác. Vì vậy, nếu bạn chỉ muốn có một ứng dụng gọi xe trên điện thoại của mình, bạn có thể sẽ chọn những công ty gọi xe thống trị thị trường, vì đó là nơi xe và tài xế dễ tiếp cận nhất, hoặc nếu bạn muốn đăng căn hộ của mình cho thuê kỳ nghỉ, bạn sẽ dùng Airbnb, vì đó là nơi hầu hết người thuê tìm kiếm.</w:t>
      </w:r>
    </w:p>
    <w:p>
      <w:pPr>
        <w:pStyle w:val="Para 03"/>
      </w:pPr>
      <w:r>
        <w:t>Mặc dù khái niệm lợi ích từ mạng lưới đã tồn tại từ lâu, chính Jeff Bezos tại Amazon là người đã đưa nó lên hàng đầu vào giai đoạn đầu của Amazon, khi ông dùng bánh đà (flywheel) để minh họa kế hoạch mở rộng sự hiện diện của công ty trong lĩnh vực bán lẻ (trong Hình 31.7).</w:t>
      </w:r>
    </w:p>
    <w:p>
      <w:bookmarkStart w:id="6413" w:name="Figure_31_7_The_Amazon_Flywheel"/>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39900" cy="1270000"/>
            <wp:effectExtent l="0" r="0" t="0" b="0"/>
            <wp:wrapTopAndBottom/>
            <wp:docPr id="287" name="c31f007.png" descr="Diagram of the Amazon Flywheel illustrates the interconnected components that drive Amazon’s growth and success."/>
            <wp:cNvGraphicFramePr>
              <a:graphicFrameLocks noChangeAspect="1"/>
            </wp:cNvGraphicFramePr>
            <a:graphic>
              <a:graphicData uri="http://schemas.openxmlformats.org/drawingml/2006/picture">
                <pic:pic>
                  <pic:nvPicPr>
                    <pic:cNvPr id="0" name="c31f007.png" descr="Diagram of the Amazon Flywheel illustrates the interconnected components that drive Amazon’s growth and success."/>
                    <pic:cNvPicPr/>
                  </pic:nvPicPr>
                  <pic:blipFill>
                    <a:blip r:embed="rId207"/>
                    <a:stretch>
                      <a:fillRect/>
                    </a:stretch>
                  </pic:blipFill>
                  <pic:spPr>
                    <a:xfrm>
                      <a:off x="0" y="0"/>
                      <a:ext cx="1739900" cy="1270000"/>
                    </a:xfrm>
                    <a:prstGeom prst="rect">
                      <a:avLst/>
                    </a:prstGeom>
                  </pic:spPr>
                </pic:pic>
              </a:graphicData>
            </a:graphic>
          </wp:anchor>
        </w:drawing>
      </w:r>
      <w:bookmarkEnd w:id="6413"/>
    </w:p>
    <w:p>
      <w:pPr>
        <w:keepNext/>
        <w:pStyle w:val="Para 22"/>
        <w:keepLines w:val="on"/>
      </w:pPr>
      <w:r>
        <w:t>Hình 31.7 Bánh đà của Amazon (Lợi ích từ Mạng lưới)</w:t>
      </w:r>
    </w:p>
    <w:p>
      <w:pPr>
        <w:pStyle w:val="Para 03"/>
      </w:pPr>
      <w:r>
        <w:t>Thực chất, Bezos tin rằng khi càng nhiều khách hàng mua sắm trên Amazon, càng nhiều người bán sẽ đăng bán trên nền tảng của nó, và cấu trúc chi phí thấp hơn nhờ quy mô có thể được dùng để giảm giá, nhằm thu hút thêm nhiều khách hàng hơn nữa.</w:t>
      </w:r>
    </w:p>
    <w:p>
      <w:pPr>
        <w:pStyle w:val="Para 03"/>
      </w:pPr>
      <w:r>
        <w:t>Xin lưu ý một điều, chúng ta đã học được rằng bánh đà có những giới hạn của nó, ngay cả ở những công ty mà việc sử dụng nó có vẻ hợp lý về mặt logic, và đặc biệt là khi không có tính độc quyền khách hàng. Vì vậy, trong lĩnh vực gọi xe, nơi khách hàng có thể có nhiều ứng dụng gọi xe trên điện thoại của mình, lợi ích của bánh đà lại thuộc về khách hàng gọi xe, chứ không phải về các công ty cung cấp dịch vụ.</w:t>
      </w:r>
    </w:p>
    <w:p>
      <w:bookmarkStart w:id="6414" w:name="Switching_Costs__There_are_some"/>
      <w:bookmarkStart w:id="6415" w:name="Switching_Costs"/>
      <w:pPr>
        <w:keepNext/>
        <w:pStyle w:val="Heading 4"/>
        <w:keepLines w:val="on"/>
      </w:pPr>
      <w:r>
        <w:t>Chi phí Chuyển đổi</w:t>
      </w:r>
      <w:bookmarkEnd w:id="6414"/>
      <w:bookmarkEnd w:id="6415"/>
    </w:p>
    <w:p>
      <w:pPr>
        <w:pStyle w:val="Para 03"/>
      </w:pPr>
      <w:r>
        <w:t>Có một số ngành kinh doanh mà cả tên thương hiệu lẫn bằng sáng chế đều không cung cấp đủ sự bảo vệ chống lại cạnh tranh. Sản phẩm có vòng đời ngắn, cạnh tranh khốc liệt, và khách hàng ít phát triển lòng trung thành với công ty hay sản phẩm. Điều này mô tả ngành kinh doanh phần mềm máy tính vào những năm 1980, và nó vẫn còn đúng với một phần đáng kể của ngành đó cho đến ngày nay. Vậy thì, làm thế nào Microsoft lại thành công đến vậy trong việc thiết lập sự hiện diện của mình trên thị trường? Mặc dù nhiều người cho rằng thành công của họ hoàn toàn nhờ việc sở hữu hệ điều hành cần thiết để chạy phần mềm, nhưng còn có một lý do khác. Microsoft nhận ra sớm hơn hầu hết các công ty rằng rào cản gia nhập quan trọng nhất vào ngành kinh doanh phần mềm chính là chi phí mà người dùng cuối phải bỏ ra để chuyển từ sản phẩm của họ sang sản phẩm của đối thủ. Thực tế, Microsoft Excel, vào giai đoạn đầu, đã phải vượt qua trở ngại rằng hầu hết người dùng đang làm việc với bảng tính Lotus và không muốn gánh chịu chi phí chuyển đổi. Microsoft đã làm cho việc chuyển sang sản phẩm của mình trở nên dễ dàng cho người dùng cuối (ví dụ, bằng cách cho phép Excel mở các bảng tính Lotus), và làm cho việc chuyển sang đối thủ trở nên ngày càng tốn kém hơn bằng cách tạo ra Microsoft Office như một bộ sản phẩm. Vì vậy, một người dùng đã cài đặt Microsoft Office trên hệ thống của mình và muốn thử chuyển từ Microsoft Word sang WordPerfect phải vượt qua nhiều rào cản: Liệu việc chuyển đổi có hoạt động tốt với hàng trăm tệp Word đã tồn tại? Liệu người dùng có còn có thể cắt và dán từ Microsoft Excel và PowerPoint vào các tài liệu WordPerfect không? Kết quả cuối cùng, tất nhiên, là việc cạnh tranh với Microsoft trong đấu trường này trở nên rất khó khăn đối với những đối thủ không có nguồn lực như Microsoft.</w:t>
      </w:r>
    </w:p>
    <w:p>
      <w:pPr>
        <w:pStyle w:val="Para 03"/>
      </w:pPr>
      <w:r>
        <w:t>Có một số ngành kinh doanh khác mà khái niệm chi phí chuyển đổi có thể được dùng để củng cố hoặc bác bỏ một lập luận về việc gia tăng giá trị. Ví dụ, có nhiều người lập luận rằng định giá của các công ty truyền thông xã hội như Twitter và Facebook phản ánh lợi thế người đi đầu (first-mover advantage) của họ—tức là việc họ là những người tiên phong trong ngành kinh doanh trực tuyến. Tuy nhiên, chi phí chuyển đổi trong truyền thông xã hội có vẻ rất nhỏ, và những công ty này phải tìm ra cách gia tăng chi phí chuyển đổi nếu họ muốn thu được lợi nhuận cao trong tương lai. Không lạ gì khi cả hai nền tảng đều khuyến khích người dùng gia tăng số lượng bạn bè và người theo dõi của mình, khiến việc rời bỏ trở nên khó khăn hơn.</w:t>
      </w:r>
    </w:p>
    <w:p>
      <w:bookmarkStart w:id="6417" w:name="Cost_Advantages"/>
      <w:bookmarkStart w:id="6418" w:name="Cost_Advantages__There_are_sever"/>
      <w:pPr>
        <w:keepNext/>
        <w:pStyle w:val="Heading 4"/>
        <w:keepLines w:val="on"/>
      </w:pPr>
      <w:r>
        <w:t>Lợi thế về Chi phí</w:t>
      </w:r>
      <w:bookmarkEnd w:id="6417"/>
      <w:bookmarkEnd w:id="6418"/>
    </w:p>
    <w:p>
      <w:pPr>
        <w:pStyle w:val="Para 03"/>
      </w:pPr>
      <w:r>
        <w:t>Có một số cách mà các công ty có thể thiết lập lợi thế về chi phí so với đối thủ và dùng nó như một rào cản gia nhập:</w:t>
      </w:r>
    </w:p>
    <w:p>
      <w:pPr>
        <w:numPr>
          <w:ilvl w:val="0"/>
          <w:numId w:val="369"/>
        </w:numPr>
        <w:pStyle w:val="Para 01"/>
      </w:pPr>
      <w:r>
        <w:t>Trong những ngành kinh doanh mà quy mô có thể được dùng để giảm chi phí, tính kinh tế theo quy mô (economies of scale) có thể mang lại cho các công ty lớn hơn lợi thế so với các công ty nhỏ hơn. Đây chính là lợi thế, ví dụ, mà Walmart đã dùng để giành thị phần bằng cách lấy đi phần của những đối thủ nhỏ hơn và thường là địa phương.</w:t>
      </w:r>
    </w:p>
    <w:p>
      <w:pPr>
        <w:numPr>
          <w:ilvl w:val="0"/>
          <w:numId w:val="369"/>
        </w:numPr>
        <w:pStyle w:val="Para 01"/>
      </w:pPr>
      <w:r>
        <w:t>Việc sở hữu hoặc có quyền độc quyền đối với một hệ thống phân phối có thể mang lại cho các công ty lợi thế về chi phí so với đối thủ. Ví dụ, việc American Airlines sở hữu hệ thống đặt chỗ hàng không Sabre đã mang lại cho họ lợi thế sớm so với đối thủ trong việc thu hút khách hàng.</w:t>
      </w:r>
    </w:p>
    <w:p>
      <w:pPr>
        <w:numPr>
          <w:ilvl w:val="0"/>
          <w:numId w:val="369"/>
        </w:numPr>
        <w:pStyle w:val="Para 01"/>
      </w:pPr>
      <w:r>
        <w:t>Việc tiếp cận được nguồn lao động hoặc nguồn lực có chi phí thấp hơn cũng có thể mang lại lợi thế về chi phí. Vì vậy, một công ty không có công đoàn với lực lượng lao động chi phí thấp hơn có lợi thế so với các đối thủ có công đoàn, cũng như các công ty tài nguyên thiên nhiên có quyền tiếp cận các mỏ dự trữ ít tốn kém hơn để khai thác.</w:t>
      </w:r>
    </w:p>
    <w:p>
      <w:pPr>
        <w:pStyle w:val="Para 03"/>
      </w:pPr>
      <w:r>
        <w:t>Những lợi thế về chi phí này sẽ ảnh hưởng đến giá trị theo một trong hai cách: Công ty có lợi thế về chi phí có thể tính cùng mức giá như đối thủ nhưng có biên lợi nhuận hoạt động cao hơn nhiều. Hoặc công ty có thể tính giá thấp hơn đối thủ và có vòng quay vốn cao hơn nhiều. Thực tế, hiệu ứng ròng của việc gia tăng biên lợi nhuận hoặc vòng quay vốn (hoặc cả hai) sẽ làm tăng tỷ suất sinh lời trên vốn, và thông qua đó làm tăng mức tăng trưởng kỳ vọng.</w:t>
      </w:r>
    </w:p>
    <w:p>
      <w:pPr>
        <w:pStyle w:val="Para 03"/>
      </w:pPr>
      <w:r>
        <w:t>Lợi thế về chi phí từ tính kinh tế theo quy mô có thể tạo ra những yêu cầu về vốn cao ngăn cản các công ty mới gia nhập ngành. Trong những ngành như hàng không vũ trụ và ô tô, cạnh tranh gần như hoàn toàn diễn ra giữa các đối thủ hiện hữu. Việc không có đối thủ mới có thể cho phép những công ty này duy trì lợi nhuận trên mức bình thường, mặc dù sự cạnh tranh giữa các công ty hiện hữu sẽ hạn chế mức độ của những lợi nhuận này.</w:t>
      </w:r>
    </w:p>
    <w:p>
      <w:pPr>
        <w:pStyle w:val="Para 20"/>
      </w:pPr>
      <w:r>
        <w:rPr>
          <w:rStyle w:val="Text26"/>
        </w:rPr>
        <w:bookmarkStart w:id="6419" w:name="Page_994"/>
        <w:t/>
        <w:bookmarkEnd w:id="6419"/>
      </w:r>
      <w:r>
        <w:t xml:space="preserve"> </w:t>
      </w:r>
    </w:p>
    <w:p>
      <w:bookmarkStart w:id="6420" w:name="Measuring_the_Moat"/>
      <w:bookmarkStart w:id="6421" w:name="Measuring_the_Moat__Assessing_co"/>
      <w:pPr>
        <w:keepNext/>
        <w:pStyle w:val="Heading 4"/>
        <w:keepLines w:val="on"/>
      </w:pPr>
      <w:r>
        <w:t>Đo lường Hào bảo vệ</w:t>
      </w:r>
      <w:bookmarkEnd w:id="6420"/>
      <w:bookmarkEnd w:id="6421"/>
    </w:p>
    <w:p>
      <w:pPr>
        <w:pStyle w:val="Para 03"/>
      </w:pPr>
      <w:r>
        <w:t>Đánh giá các lợi thế cạnh tranh và đưa chúng vào giá trị cũng như việc đầu tư luôn là một phần của phương pháp đầu tư giá trị thận trọng, và như Warren Buffett đã nói, “Điều chúng tôi đang cố tìm kiếm là một ngành kinh doanh mà, vì lý do này hay lý do khác—có thể vì nó là nhà sản xuất chi phí thấp trong một lĩnh vực nào đó, có thể vì nó có một đặc quyền tự nhiên nhờ những năng lực bề mặt, có thể vì vị trí của nó trong tâm trí người tiêu dùng, có thể vì một lợi thế công nghệ, hay bất kỳ lý do nào khác—mà nó có con hào bảo vệ xung quanh mình”.</w:t>
      </w:r>
    </w:p>
    <w:p>
      <w:pPr>
        <w:pStyle w:val="Para 03"/>
      </w:pPr>
      <w:r>
        <w:t>Điều đó nói lên rằng, và bất chấp thực tế rằng có cả một ngành học thuật kinh doanh, được gọi là chiến lược công ty (corporate strategy), dành riêng cho việc nghiên cứu các lợi thế cạnh tranh hay hào bảo vệ, những nỗ lực nắm bắt sức mạnh và tính bền vững của chúng nhìn chung vẫn chưa đạt yêu cầu. Trong định giá, sức mạnh của hào bảo vệ quyết định lợi nhuận vượt trội, đến lượt nó dẫn dắt giá trị của sự tăng trưởng, và tính bền vững nắm bắt được việc bạn có thể duy trì những lợi nhuận vượt trội này trong bao lâu. Trong Bảng 31.2, chúng tôi đã cố gắng nắm bắt những hiệu ứng này.</w:t>
      </w:r>
    </w:p>
    <w:p>
      <w:pPr>
        <w:pStyle w:val="Para 34"/>
        <w:keepLines w:val="on"/>
      </w:pPr>
      <w:r>
        <w:t>Bảng 31.2</w:t>
      </w:r>
    </w:p>
    <w:p>
      <w:pPr>
        <w:keepNext/>
        <w:pStyle w:val="Para 35"/>
        <w:keepLines w:val="on"/>
      </w:pPr>
      <w:r>
        <w:t>Lợi thế cạnh tranh (Hào bảo vệ) tại các công ty</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hMerge w:val="restart"/>
                </w:tcPr>
                <w:p>
                  <w:pPr>
                    <w:pStyle w:val="Para 17"/>
                    <w:keepLines w:val="on"/>
                  </w:pPr>
                  <w:r>
                    <w:t>Loại lợi thế cạnh tranh (Hào bảo vệ)</w:t>
                  </w:r>
                </w:p>
              </w:tc>
              <w:tc>
                <w:tcPr>
                  <w:hMerge w:val="continue"/>
                </w:tcPr>
                <w:p/>
              </w:tc>
              <w:tc>
                <w:tcPr>
                  <w:hMerge w:val="continue"/>
                </w:tcPr>
                <w:p/>
              </w:tc>
              <w:tc>
                <w:tcPr>
                  <w:hMerge w:val="continue"/>
                </w:tcPr>
                <w:p/>
              </w:tc>
              <w:tc>
                <w:tcPr>
                  <w:hMerge w:val="continue"/>
                </w:tcPr>
                <w:p/>
              </w:tc>
            </w:tr>
            <w:tr>
              <w:tc>
                <w:tcPr>
                  <w:tcW w:type="auto" w:w="0"/>
                  <w:shd w:val="clear" w:color="auto" w:fill="F0F0F0"/>
                </w:tcPr>
                <w:p>
                  <w:pPr>
                    <w:pStyle w:val="5 Block"/>
                    <w:keepLines w:val="on"/>
                  </w:pPr>
                </w:p>
              </w:tc>
              <w:tc>
                <w:tcPr>
                  <w:tcW w:type="auto" w:w="0"/>
                  <w:shd w:val="clear" w:color="auto" w:fill="F0F0F0"/>
                </w:tcPr>
                <w:p>
                  <w:pPr>
                    <w:pStyle w:val="5 Block"/>
                    <w:keepLines w:val="on"/>
                  </w:pPr>
                </w:p>
              </w:tc>
              <w:tc>
                <w:tcPr>
                  <w:tcW w:type="auto" w:w="0"/>
                  <w:shd w:val="clear" w:color="auto" w:fill="F0F0F0"/>
                </w:tcPr>
                <w:p>
                  <w:pPr>
                    <w:pStyle w:val="Normal"/>
                    <w:keepLines w:val="on"/>
                  </w:pPr>
                  <w:r>
                    <w:t>Tên thương hiệu</w:t>
                  </w:r>
                </w:p>
              </w:tc>
              <w:tc>
                <w:tcPr>
                  <w:tcW w:type="auto" w:w="0"/>
                  <w:shd w:val="clear" w:color="auto" w:fill="F0F0F0"/>
                </w:tcPr>
                <w:p>
                  <w:pPr>
                    <w:pStyle w:val="Normal"/>
                    <w:keepLines w:val="on"/>
                  </w:pPr>
                  <w:r>
                    <w:t>Chi phí chuyển đổi</w:t>
                  </w:r>
                </w:p>
              </w:tc>
              <w:tc>
                <w:tcPr>
                  <w:tcW w:type="auto" w:w="0"/>
                  <w:shd w:val="clear" w:color="auto" w:fill="F0F0F0"/>
                </w:tcPr>
                <w:p>
                  <w:pPr>
                    <w:pStyle w:val="Normal"/>
                    <w:keepLines w:val="on"/>
                  </w:pPr>
                  <w:r>
                    <w:t>Lợi ích từ mạng lưới</w:t>
                  </w:r>
                </w:p>
              </w:tc>
              <w:tc>
                <w:tcPr>
                  <w:tcW w:type="auto" w:w="0"/>
                  <w:shd w:val="clear" w:color="auto" w:fill="F0F0F0"/>
                </w:tcPr>
                <w:p>
                  <w:pPr>
                    <w:pStyle w:val="Normal"/>
                    <w:keepLines w:val="on"/>
                  </w:pPr>
                  <w:r>
                    <w:t>Lợi thế về chi phí</w:t>
                  </w:r>
                </w:p>
              </w:tc>
              <w:tc>
                <w:tcPr>
                  <w:tcW w:type="auto" w:w="0"/>
                  <w:shd w:val="clear" w:color="auto" w:fill="F0F0F0"/>
                </w:tcPr>
                <w:p>
                  <w:pPr>
                    <w:pStyle w:val="Normal"/>
                    <w:keepLines w:val="on"/>
                  </w:pPr>
                  <w:r>
                    <w:t>Bảo vệ pháp lý</w:t>
                  </w:r>
                </w:p>
              </w:tc>
            </w:tr>
            <w:tr>
              <w:tc>
                <w:tcPr>
                  <w:tcW w:type="auto" w:w="0"/>
                  <w:shd w:val="clear" w:color="auto" w:fill="F0F0F0"/>
                  <w:vMerge w:val="restart"/>
                </w:tcPr>
                <w:p>
                  <w:pPr>
                    <w:pStyle w:val="Para 17"/>
                    <w:keepLines w:val="on"/>
                  </w:pPr>
                  <w:r>
                    <w:t>Độ rộng của hào bảo vệ</w:t>
                  </w:r>
                </w:p>
              </w:tc>
              <w:tc>
                <w:tcPr>
                  <w:tcW w:type="auto" w:w="0"/>
                  <w:shd w:val="clear" w:color="auto" w:fill="F0F0F0"/>
                </w:tcPr>
                <w:p>
                  <w:pPr>
                    <w:pStyle w:val="Normal"/>
                    <w:keepLines w:val="on"/>
                  </w:pPr>
                  <w:r>
                    <w:t>Rộng</w:t>
                  </w:r>
                </w:p>
              </w:tc>
              <w:tc>
                <w:tcPr>
                  <w:tcW w:type="auto" w:w="0"/>
                  <w:shd w:val="clear" w:color="auto" w:fill="F0F0F0"/>
                </w:tcPr>
                <w:p>
                  <w:pPr>
                    <w:pStyle w:val="Normal"/>
                    <w:keepLines w:val="on"/>
                  </w:pPr>
                  <w:r>
                    <w:t>Thương hiệu hàng đầu</w:t>
                  </w:r>
                </w:p>
              </w:tc>
              <w:tc>
                <w:tcPr>
                  <w:tcW w:type="auto" w:w="0"/>
                  <w:shd w:val="clear" w:color="auto" w:fill="F0F0F0"/>
                </w:tcPr>
                <w:p>
                  <w:pPr>
                    <w:pStyle w:val="Normal"/>
                    <w:keepLines w:val="on"/>
                  </w:pPr>
                  <w:r>
                    <w:t>Vô hạn</w:t>
                  </w:r>
                </w:p>
              </w:tc>
              <w:tc>
                <w:tcPr>
                  <w:tcW w:type="auto" w:w="0"/>
                  <w:shd w:val="clear" w:color="auto" w:fill="F0F0F0"/>
                </w:tcPr>
                <w:p>
                  <w:pPr>
                    <w:pStyle w:val="Normal"/>
                    <w:keepLines w:val="on"/>
                  </w:pPr>
                  <w:r>
                    <w:t>Toàn cầu</w:t>
                  </w:r>
                </w:p>
              </w:tc>
              <w:tc>
                <w:tcPr>
                  <w:tcW w:type="auto" w:w="0"/>
                  <w:shd w:val="clear" w:color="auto" w:fill="F0F0F0"/>
                </w:tcPr>
                <w:p>
                  <w:pPr>
                    <w:pStyle w:val="Normal"/>
                    <w:keepLines w:val="on"/>
                  </w:pPr>
                  <w:r>
                    <w:t>Vĩnh viễn</w:t>
                  </w:r>
                </w:p>
              </w:tc>
              <w:tc>
                <w:tcPr>
                  <w:tcW w:type="auto" w:w="0"/>
                  <w:shd w:val="clear" w:color="auto" w:fill="F0F0F0"/>
                </w:tcPr>
                <w:p>
                  <w:pPr>
                    <w:pStyle w:val="Normal"/>
                    <w:keepLines w:val="on"/>
                  </w:pPr>
                  <w:r>
                    <w:t>Đầy đủ</w:t>
                  </w:r>
                </w:p>
              </w:tc>
            </w:tr>
            <w:tr>
              <w:tc>
                <w:tcPr>
                  <w:vMerge w:val="continue"/>
                </w:tcPr>
                <w:p/>
              </w:tc>
              <w:tc>
                <w:tcPr>
                  <w:tcW w:type="auto" w:w="0"/>
                  <w:shd w:val="clear" w:color="auto" w:fill="F0F0F0"/>
                </w:tcPr>
                <w:p>
                  <w:pPr>
                    <w:pStyle w:val="Normal"/>
                    <w:keepLines w:val="on"/>
                  </w:pPr>
                  <w:r>
                    <w:t>Hẹp</w:t>
                  </w:r>
                </w:p>
              </w:tc>
              <w:tc>
                <w:tcPr>
                  <w:tcW w:type="auto" w:w="0"/>
                  <w:shd w:val="clear" w:color="auto" w:fill="F0F0F0"/>
                </w:tcPr>
                <w:p>
                  <w:pPr>
                    <w:pStyle w:val="Normal"/>
                    <w:keepLines w:val="on"/>
                  </w:pPr>
                  <w:r>
                    <w:t>Thương hiệu có tên tuổi</w:t>
                  </w:r>
                </w:p>
              </w:tc>
              <w:tc>
                <w:tcPr>
                  <w:tcW w:type="auto" w:w="0"/>
                  <w:shd w:val="clear" w:color="auto" w:fill="F0F0F0"/>
                </w:tcPr>
                <w:p>
                  <w:pPr>
                    <w:pStyle w:val="Normal"/>
                    <w:keepLines w:val="on"/>
                  </w:pPr>
                  <w:r>
                    <w:t>Cao</w:t>
                  </w:r>
                </w:p>
              </w:tc>
              <w:tc>
                <w:tcPr>
                  <w:tcW w:type="auto" w:w="0"/>
                  <w:shd w:val="clear" w:color="auto" w:fill="F0F0F0"/>
                </w:tcPr>
                <w:p>
                  <w:pPr>
                    <w:pStyle w:val="Normal"/>
                    <w:keepLines w:val="on"/>
                  </w:pPr>
                  <w:r>
                    <w:t>Cục bộ</w:t>
                  </w:r>
                </w:p>
              </w:tc>
              <w:tc>
                <w:tcPr>
                  <w:tcW w:type="auto" w:w="0"/>
                  <w:shd w:val="clear" w:color="auto" w:fill="F0F0F0"/>
                </w:tcPr>
                <w:p>
                  <w:pPr>
                    <w:pStyle w:val="Normal"/>
                    <w:keepLines w:val="on"/>
                  </w:pPr>
                  <w:r>
                    <w:t>Tạm thời</w:t>
                  </w:r>
                </w:p>
              </w:tc>
              <w:tc>
                <w:tcPr>
                  <w:tcW w:type="auto" w:w="0"/>
                  <w:shd w:val="clear" w:color="auto" w:fill="F0F0F0"/>
                </w:tcPr>
                <w:p>
                  <w:pPr>
                    <w:pStyle w:val="Normal"/>
                    <w:keepLines w:val="on"/>
                  </w:pPr>
                  <w:r>
                    <w:t>Một phần</w:t>
                  </w:r>
                </w:p>
              </w:tc>
            </w:tr>
            <w:tr>
              <w:tc>
                <w:tcPr>
                  <w:vMerge w:val="continue"/>
                </w:tcPr>
                <w:p/>
              </w:tc>
              <w:tc>
                <w:tcPr>
                  <w:tcW w:type="auto" w:w="0"/>
                  <w:shd w:val="clear" w:color="auto" w:fill="F0F0F0"/>
                </w:tcPr>
                <w:p>
                  <w:pPr>
                    <w:pStyle w:val="Normal"/>
                    <w:keepLines w:val="on"/>
                  </w:pPr>
                  <w:r>
                    <w:t>Không có hào bảo vệ</w:t>
                  </w:r>
                </w:p>
              </w:tc>
              <w:tc>
                <w:tcPr>
                  <w:tcW w:type="auto" w:w="0"/>
                  <w:shd w:val="clear" w:color="auto" w:fill="F0F0F0"/>
                </w:tcPr>
                <w:p>
                  <w:pPr>
                    <w:pStyle w:val="Normal"/>
                    <w:keepLines w:val="on"/>
                  </w:pPr>
                  <w:r>
                    <w:t>Hàng phổ thông</w:t>
                  </w:r>
                </w:p>
              </w:tc>
              <w:tc>
                <w:tcPr>
                  <w:tcW w:type="auto" w:w="0"/>
                  <w:shd w:val="clear" w:color="auto" w:fill="F0F0F0"/>
                </w:tcPr>
                <w:p>
                  <w:pPr>
                    <w:pStyle w:val="Normal"/>
                    <w:keepLines w:val="on"/>
                  </w:pPr>
                  <w:r>
                    <w:t>Không có</w:t>
                  </w:r>
                </w:p>
              </w:tc>
              <w:tc>
                <w:tcPr>
                  <w:tcW w:type="auto" w:w="0"/>
                  <w:shd w:val="clear" w:color="auto" w:fill="F0F0F0"/>
                </w:tcPr>
                <w:p>
                  <w:pPr>
                    <w:pStyle w:val="Normal"/>
                    <w:keepLines w:val="on"/>
                  </w:pPr>
                  <w:r>
                    <w:t>Không có</w:t>
                  </w:r>
                </w:p>
              </w:tc>
              <w:tc>
                <w:tcPr>
                  <w:tcW w:type="auto" w:w="0"/>
                  <w:shd w:val="clear" w:color="auto" w:fill="F0F0F0"/>
                </w:tcPr>
                <w:p>
                  <w:pPr>
                    <w:pStyle w:val="Normal"/>
                    <w:keepLines w:val="on"/>
                  </w:pPr>
                  <w:r>
                    <w:t>Không</w:t>
                  </w:r>
                </w:p>
              </w:tc>
              <w:tc>
                <w:tcPr>
                  <w:tcW w:type="auto" w:w="0"/>
                  <w:shd w:val="clear" w:color="auto" w:fill="F0F0F0"/>
                </w:tcPr>
                <w:p>
                  <w:pPr>
                    <w:pStyle w:val="Normal"/>
                    <w:keepLines w:val="on"/>
                  </w:pPr>
                  <w:r>
                    <w:t>Không</w:t>
                  </w:r>
                </w:p>
              </w:tc>
            </w:tr>
            <w:tr>
              <w:tc>
                <w:tcPr>
                  <w:vMerge w:val="continue"/>
                </w:tcPr>
                <w:p/>
              </w:tc>
              <w:tc>
                <w:tcPr>
                  <w:tcW w:type="auto" w:w="0"/>
                  <w:shd w:val="clear" w:color="auto" w:fill="F0F0F0"/>
                  <w:hMerge w:val="restart"/>
                </w:tcPr>
                <w:p>
                  <w:pPr>
                    <w:pStyle w:val="Para 41"/>
                    <w:keepLines w:val="on"/>
                  </w:pPr>
                  <w:r>
                    <w:t>Đặt vào câu chuyện</w:t>
                  </w:r>
                </w:p>
              </w:tc>
              <w:tc>
                <w:tcPr>
                  <w:hMerge w:val="continue"/>
                </w:tcPr>
                <w:p/>
              </w:tc>
              <w:tc>
                <w:tcPr>
                  <w:tcW w:type="auto" w:w="0"/>
                  <w:shd w:val="clear" w:color="auto" w:fill="F0F0F0"/>
                </w:tcPr>
                <w:p>
                  <w:pPr>
                    <w:pStyle w:val="Para 41"/>
                    <w:keepLines w:val="on"/>
                  </w:pPr>
                  <w:r>
                    <w:t>Biên lợi nhuận</w:t>
                  </w:r>
                </w:p>
              </w:tc>
              <w:tc>
                <w:tcPr>
                  <w:tcW w:type="auto" w:w="0"/>
                  <w:shd w:val="clear" w:color="auto" w:fill="F0F0F0"/>
                </w:tcPr>
                <w:p>
                  <w:pPr>
                    <w:pStyle w:val="Para 41"/>
                    <w:keepLines w:val="on"/>
                  </w:pPr>
                  <w:r>
                    <w:t>Giữ chân khách hàng</w:t>
                  </w:r>
                </w:p>
              </w:tc>
              <w:tc>
                <w:tcPr>
                  <w:tcW w:type="auto" w:w="0"/>
                  <w:shd w:val="clear" w:color="auto" w:fill="F0F0F0"/>
                </w:tcPr>
                <w:p>
                  <w:pPr>
                    <w:pStyle w:val="Para 41"/>
                    <w:keepLines w:val="on"/>
                  </w:pPr>
                  <w:r>
                    <w:t>Thị phần</w:t>
                  </w:r>
                </w:p>
              </w:tc>
              <w:tc>
                <w:tcPr>
                  <w:tcW w:type="auto" w:w="0"/>
                  <w:shd w:val="clear" w:color="auto" w:fill="F0F0F0"/>
                </w:tcPr>
                <w:p>
                  <w:pPr>
                    <w:pStyle w:val="Para 41"/>
                    <w:keepLines w:val="on"/>
                  </w:pPr>
                  <w:r>
                    <w:t>Biên lợi nhuận</w:t>
                  </w:r>
                </w:p>
              </w:tc>
              <w:tc>
                <w:tcPr>
                  <w:tcW w:type="auto" w:w="0"/>
                  <w:shd w:val="clear" w:color="auto" w:fill="F0F0F0"/>
                </w:tcPr>
                <w:p>
                  <w:pPr>
                    <w:pStyle w:val="Para 41"/>
                    <w:keepLines w:val="on"/>
                  </w:pPr>
                  <w:r>
                    <w:t>Sức mạnh định giá</w:t>
                  </w:r>
                </w:p>
              </w:tc>
            </w:tr>
          </w:tbl>
          <w:p/>
        </w:tc>
      </w:tr>
    </w:tbl>
    <w:p>
      <w:pPr>
        <w:pStyle w:val="Para 11"/>
      </w:pPr>
      <w:r>
        <w:t xml:space="preserve"> </w:t>
      </w:r>
    </w:p>
    <w:p>
      <w:bookmarkStart w:id="6423" w:name="Lead_Times_from_Competitive_Adva"/>
      <w:bookmarkStart w:id="6424" w:name="Lead_Times_from_Competitive_Adva_1"/>
      <w:pPr>
        <w:keepNext/>
        <w:pStyle w:val="Para 27"/>
        <w:keepLines w:val="on"/>
      </w:pPr>
      <w:r>
        <w:t>Thời gian dẫn đầu từ lợi thế cạnh tranh</w:t>
      </w:r>
      <w:bookmarkEnd w:id="6423"/>
      <w:bookmarkEnd w:id="6424"/>
    </w:p>
    <w:p>
      <w:pPr>
        <w:pStyle w:val="Para 16"/>
        <w:keepLines w:val="on"/>
      </w:pPr>
      <w:r>
        <w:t>Một câu hỏi then chốt mà chúng ta thường gặp khi xem xét tác động của lợi thế cạnh tranh lên giá trị là lợi thế cạnh tranh kéo dài được bao lâu. Đây là một câu hỏi khó trả lời vì có nhiều yếu tố đặc thù của từng doanh nghiệp, nhưng có một vài nghiên cứu thú vị trong lĩnh vực chiến lược doanh nghiệp cố gắng giải quyết vấn đề này. Chẳng hạn, Levin và cộng sự (1987) ước tính rằng phải mất từ ba đến năm năm để sao chép một sản phẩm hoặc quy trình đã được cấp bằng sáng chế, và từ một đến ba năm để sao chép một sản phẩm hoặc quy trình chưa được cấp bằng sáng chế. Cùng nghiên cứu đó cũng phát hiện rằng việc cấp bằng sáng chế thường kém hiệu quả hơn nhiều trong việc ngăn chặn sự bắt chước so với việc nhanh chóng tiến xuống theo đường cong học hỏi và tạo dựng mạng lưới bán hàng và dịch vụ. Ví dụ, Intel vẫn duy trì được lợi thế cạnh tranh của mình ngay cả khi các chip máy tính của hãng bị Advanced Micro Devices (AMD) sao chép, nhờ tận dụng thời gian dẫn đầu mà mình có để nhanh chóng chuyển sang các chip thế hệ tiếp theo.</w:t>
      </w:r>
    </w:p>
    <w:p>
      <w:pPr>
        <w:pStyle w:val="Para 20"/>
      </w:pPr>
      <w:r>
        <w:rPr>
          <w:rStyle w:val="Text26"/>
        </w:rPr>
        <w:bookmarkStart w:id="6425" w:name="Page_995"/>
        <w:t/>
        <w:bookmarkEnd w:id="6425"/>
      </w:r>
      <w:r>
        <w:t xml:space="preserve"> </w:t>
      </w:r>
    </w:p>
    <w:p>
      <w:bookmarkStart w:id="6426" w:name="Reduce_the_Cost_of_Financing"/>
      <w:bookmarkStart w:id="6427" w:name="Reduce_the_Cost_of_Financing__Th"/>
      <w:pPr>
        <w:keepNext/>
        <w:pStyle w:val="Heading 3"/>
        <w:keepLines w:val="on"/>
      </w:pPr>
      <w:r>
        <w:t>Giảm chi phí tài trợ</w:t>
      </w:r>
      <w:bookmarkEnd w:id="6426"/>
      <w:bookmarkEnd w:id="6427"/>
    </w:p>
    <w:p>
      <w:pPr>
        <w:pStyle w:val="Para 03"/>
      </w:pPr>
      <w:r>
        <w:t>Chi phí vốn của một doanh nghiệp là chi phí tổng hợp của việc tài trợ bằng nợ và vốn chủ sở hữu. Các dòng tiền được tạo ra theo thời gian được chiết khấu về hiện tại theo chi phí vốn. Giữ nguyên dòng tiền, việc giảm chi phí vốn sẽ làm tăng giá trị của doanh nghiệp. Phần này sẽ khám phá những cách mà một doanh nghiệp có thể giảm chi phí vốn của mình, hay nói chung hơn là tăng giá trị doanh nghiệp bằng cách thay đổi cả cơ cấu lẫn loại hình tài trợ.</w:t>
      </w:r>
    </w:p>
    <w:p>
      <w:bookmarkStart w:id="6428" w:name="Change_Operating_Risk"/>
      <w:bookmarkStart w:id="6429" w:name="Change_Operating_Risk__The_opera"/>
      <w:pPr>
        <w:keepNext/>
        <w:pStyle w:val="Heading 4"/>
        <w:keepLines w:val="on"/>
      </w:pPr>
      <w:r>
        <w:t>Thay đổi rủi ro hoạt động</w:t>
      </w:r>
      <w:bookmarkEnd w:id="6428"/>
      <w:bookmarkEnd w:id="6429"/>
    </w:p>
    <w:p>
      <w:pPr>
        <w:pStyle w:val="Para 03"/>
      </w:pPr>
      <w:r>
        <w:t>Rủi ro hoạt động của một doanh nghiệp là một hàm số trực tiếp của các loại sản phẩm hoặc dịch vụ mà nó cung cấp, và mức độ mà những sản phẩm hoặc dịch vụ này là tùy ý đối với khách hàng. Chúng càng mang tính tùy ý bao nhiêu, rủi ro hoạt động mà doanh nghiệp phải đối mặt càng lớn bấy nhiêu. Cả chi phí vốn chủ sở hữu lẫn chi phí nợ của một doanh nghiệp đều bị ảnh hưởng bởi rủi ro hoạt động của (những) ngành kinh doanh mà nó hoạt động. Trong trường hợp vốn chủ sở hữu, chỉ phần rủi ro hoạt động không thể đa dạng hóa được mới ảnh hưởng đến giá trị.</w:t>
      </w:r>
    </w:p>
    <w:p>
      <w:pPr>
        <w:pStyle w:val="Para 03"/>
      </w:pPr>
      <w:r>
        <w:t>Các doanh nghiệp có thể giảm rủi ro hoạt động của mình bằng cách làm cho sản phẩm và dịch vụ của họ bớt mang tính tùy ý đối với khách hàng. Quảng cáo rõ ràng đóng một vai trò, nhưng việc tìm ra những công dụng mới cho một sản phẩm hoặc dịch vụ là một cách khác. Giảm rủi ro hoạt động sẽ dẫn đến hệ số beta không vay nợ (chi phí vốn chủ sở hữu) thấp hơn và rủi ro vỡ nợ của chi phí nợ (chi phí nợ) thấp hơn.</w:t>
      </w:r>
    </w:p>
    <w:p>
      <w:bookmarkStart w:id="6430" w:name="Reduce_Operating_Leverage"/>
      <w:bookmarkStart w:id="6431" w:name="Reduce_Operating_Leverage__The_o"/>
      <w:pPr>
        <w:keepNext/>
        <w:pStyle w:val="Heading 4"/>
        <w:keepLines w:val="on"/>
      </w:pPr>
      <w:r>
        <w:t>Giảm đòn bẩy hoạt động</w:t>
      </w:r>
      <w:bookmarkEnd w:id="6430"/>
      <w:bookmarkEnd w:id="6431"/>
    </w:p>
    <w:p>
      <w:pPr>
        <w:pStyle w:val="Para 03"/>
      </w:pPr>
      <w:r>
        <w:t>Đòn bẩy hoạt động của một doanh nghiệp đo lường tỷ lệ chi phí cố định của nó. Các yếu tố khác giữ nguyên, tỷ lệ chi phí cố định của một doanh nghiệp càng lớn thì thu nhập của nó càng biến động, và chi phí vốn của nó càng cao. Giảm tỷ lệ chi phí cố định sẽ khiến các doanh nghiệp ít rủi ro hơn nhiều và giảm chi phí vốn của họ. Các doanh nghiệp có thể giảm chi phí cố định bằng cách sử dụng nhà thầu bên ngoài cho một số dịch vụ; nếu hoạt động kinh doanh không đạt yêu cầu, doanh nghiệp không bị mắc kẹt với chi phí cung cấp dịch vụ này. Họ cũng có thể gắn chi phí với doanh thu; ví dụ, gắn tiền lương trả cho doanh thu kiếm được sẽ làm giảm tỷ lệ chi phí cố định.</w:t>
      </w:r>
    </w:p>
    <w:p>
      <w:pPr>
        <w:pStyle w:val="Para 03"/>
      </w:pPr>
      <w:r>
        <w:t>Ý tưởng cơ bản này về việc gắn chi phí với doanh thu thường được mô tả là làm cho cơ cấu chi phí linh hoạt hơn. Một cơ cấu chi phí linh hoạt hơn ảnh hưởng đến ba yếu tố đầu vào trong một phép định giá. Nó dẫn đến hệ số beta không vay nợ thấp hơn (nhờ đòn bẩy hoạt động thấp hơn), giảm chi phí nợ (do giảm rủi ro vỡ nợ), và tăng tỷ lệ nợ tối ưu. Cả ba đều làm giảm chi phí vốn và tăng giá trị doanh nghiệp.</w:t>
      </w:r>
    </w:p>
    <w:p>
      <w:bookmarkStart w:id="6432" w:name="Change_the_Financing_Mix__A_thir"/>
      <w:bookmarkStart w:id="6433" w:name="Change_the_Financing_Mix"/>
      <w:pPr>
        <w:keepNext/>
        <w:pStyle w:val="Heading 4"/>
        <w:keepLines w:val="on"/>
      </w:pPr>
      <w:r>
        <w:t>Thay đổi cơ cấu tài trợ</w:t>
      </w:r>
      <w:bookmarkEnd w:id="6432"/>
      <w:bookmarkEnd w:id="6433"/>
    </w:p>
    <w:p>
      <w:pPr>
        <w:pStyle w:val="Para 03"/>
      </w:pPr>
      <w:r>
        <w:t>Cách thứ ba để giảm chi phí vốn là thay đổi cơ cấu nợ và vốn chủ sở hữu được dùng để tài trợ cho doanh nghiệp. Như chúng ta đã lập luận trong Chương 15, nợ luôn rẻ hơn vốn chủ sở hữu, một phần vì người cho vay chịu ít rủi ro hơn, và một phần nhờ lợi thế thuế gắn với nợ. Lợi ích này phải được cân nhắc đối chiếu với rủi ro phá sản gia tăng do việc vay nợ tạo ra; rủi ro cao hơn này làm tăng cả hệ số beta của vốn chủ sở hữu lẫn chi phí đi vay. Tác động ròng sẽ quyết định liệu chi phí vốn sẽ tăng hay giảm khi doanh nghiệp vay nợ nhiều hơn.</w:t>
      </w:r>
    </w:p>
    <w:p>
      <w:pPr>
        <w:pStyle w:val="Para 03"/>
      </w:pPr>
      <w:r>
        <w:t>Tuy nhiên, cần lưu ý rằng giá trị doanh nghiệp sẽ tăng khi chi phí vốn giảm, khi và chỉ khi, các dòng tiền hoạt động không bị ảnh hưởng bởi tỷ lệ nợ cao hơn. Nếu, khi tỷ lệ nợ tăng lên, mức độ rủi ro của doanh nghiệp cũng tăng, và điều này đến lượt nó lại ảnh hưởng đến hoạt động và dòng tiền của doanh nghiệp, thì giá trị doanh nghiệp có thể giảm ngay cả khi chi phí vốn giảm xuống. Nếu đúng như vậy, thì hàm mục tiêu khi thiết kế cơ cấu tài trợ cho một doanh nghiệp phải được phát biểu lại theo hướng tối đa hóa giá trị doanh nghiệp thay vì tối thiểu hóa chi phí vốn.</w:t>
      </w:r>
    </w:p>
    <w:p>
      <w:pPr>
        <w:pStyle w:val="Para 11"/>
      </w:pPr>
      <w:r>
        <w:t xml:space="preserve"> </w:t>
      </w:r>
      <w:r>
        <w:rPr>
          <w:rStyle w:val="Text26"/>
        </w:rPr>
        <w:bookmarkStart w:id="6434" w:name="Page_996"/>
        <w:t/>
        <w:bookmarkEnd w:id="6434"/>
      </w:r>
      <w:r>
        <w:t xml:space="preserve"> </w:t>
      </w:r>
    </w:p>
    <w:p>
      <w:bookmarkStart w:id="6435" w:name="wacc_xls__This_dataset_on_the_we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288"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6435"/>
    </w:p>
    <w:p>
      <w:pPr>
        <w:pStyle w:val="Para 31"/>
        <w:keepLines w:val="on"/>
      </w:pPr>
      <w:r>
        <w:t>wacc.xls: Bộ dữ liệu này trên web tóm tắt các tỷ lệ nợ và chi phí vốn theo nhóm ngành cho Hoa Kỳ.</w:t>
      </w:r>
    </w:p>
    <w:p>
      <w:bookmarkStart w:id="6436" w:name="Change_Financing_Type"/>
      <w:bookmarkStart w:id="6437" w:name="Change_Financing_Type__A_fundame"/>
      <w:pPr>
        <w:keepNext/>
        <w:pStyle w:val="Heading 4"/>
        <w:keepLines w:val="on"/>
      </w:pPr>
      <w:r>
        <w:t>Thay đổi loại hình tài trợ</w:t>
      </w:r>
      <w:bookmarkEnd w:id="6436"/>
      <w:bookmarkEnd w:id="6437"/>
    </w:p>
    <w:p>
      <w:pPr>
        <w:pStyle w:val="Para 03"/>
      </w:pPr>
      <w:r>
        <w:t>Một nguyên tắc nền tảng trong tài chính doanh nghiệp là việc tài trợ của một doanh nghiệp nên được thiết kế để đảm bảo, càng nhiều càng tốt, rằng các dòng tiền trên nợ khớp càng sát càng tốt với các dòng tiền trên tài sản. Bằng cách khớp dòng tiền trên nợ với dòng tiền trên tài sản, một doanh nghiệp giảm rủi ro vỡ nợ của mình và tăng khả năng gánh vác nợ, đến lượt nó lại giảm chi phí vốn và tăng giá trị.</w:t>
      </w:r>
    </w:p>
    <w:p>
      <w:pPr>
        <w:pStyle w:val="Para 03"/>
      </w:pPr>
      <w:r>
        <w:t>Các doanh nghiệp không khớp dòng tiền trên nợ với dòng tiền trên tài sản (bằng cách dùng nợ ngắn hạn để tài trợ cho tài sản dài hạn, dùng nợ bằng một loại tiền tệ để tài trợ cho tài sản có dòng tiền bằng một loại tiền tệ khác, hoặc dùng nợ lãi suất thả nổi để tài trợ cho tài sản có dòng tiền thường bị ảnh hưởng tiêu cực bởi lạm phát cao hơn) sẽ có rủi ro vỡ nợ cao hơn, chi phí vốn cao hơn, và giá trị doanh nghiệp thấp hơn. Các doanh nghiệp có thể sử dụng các công cụ phái sinh và hoán đổi để giảm những sự không khớp này và, trong quá trình đó, tăng giá trị doanh nghiệp. Hoặc cách khác, họ có thể thay thế khoản nợ hiện có của mình bằng khoản nợ khớp sát hơn với tài sản của họ. Cuối cùng, họ có thể sử dụng các chứng khoán đổi mới cho phép họ định hình dòng tiền trên nợ theo dòng tiền trên các khoản đầu tư. Việc các công ty bảo hiểm sử dụng trái phiếu thảm họa (catastrophe bonds) và các công ty tài nguyên thiên nhiên sử dụng trái phiếu hàng hóa (commodity bonds) là những ví dụ điển hình.</w:t>
      </w:r>
    </w:p>
    <w:p>
      <w:pPr>
        <w:pStyle w:val="Para 11"/>
      </w:pPr>
      <w:r>
        <w:t xml:space="preserve"> </w:t>
      </w:r>
    </w:p>
    <w:p>
      <w:bookmarkStart w:id="6438" w:name="What_About_Miller_Modigliani__On"/>
      <w:bookmarkStart w:id="6439" w:name="What_About_Miller_Modigliani"/>
      <w:pPr>
        <w:keepNext/>
        <w:pStyle w:val="Para 27"/>
        <w:keepLines w:val="on"/>
      </w:pPr>
      <w:r>
        <w:t>Còn Định lý Miller-Modigliani thì sao?</w:t>
      </w:r>
      <w:bookmarkEnd w:id="6438"/>
      <w:bookmarkEnd w:id="6439"/>
    </w:p>
    <w:p>
      <w:pPr>
        <w:pStyle w:val="Para 16"/>
        <w:keepLines w:val="on"/>
      </w:pPr>
      <w:r>
        <w:t>Một trong những mệnh đề nổi tiếng và bền bỉ nhất của tài chính doanh nghiệp—định lý Miller-Modigliani—lập luận rằng giá trị của một doanh nghiệp độc lập với cấu trúc vốn của nó. Nói cách khác, việc thay đổi cơ cấu tài trợ của bạn lẽ ra không ảnh hưởng gì đến giá trị doanh nghiệp. Vậy làm sao để dung hòa những lập luận trong phần này với định lý Miller-Modigliani? Lưu ý rằng phiên bản gốc của định lý được xây dựng cho một thế giới không có thuế và không có rủi ro vỡ nợ. Với những giả định đó, nợ không tạo ra lợi thế thuế cũng như không có chi phí phá sản, và không ảnh hưởng đến giá trị. Trong một thế giới có thuế và rủi ro vỡ nợ, bạn sẽ khó tránh khỏi việc phải đánh đổi, và nợ có thể làm tăng giá trị, giảm giá trị, hoặc không ảnh hưởng gì, tùy thuộc vào cách các đánh đổi đó diễn ra.</w:t>
      </w:r>
    </w:p>
    <w:p>
      <w:bookmarkStart w:id="6440" w:name="Value_Enhancement_Chain__We_can"/>
      <w:bookmarkStart w:id="6441" w:name="Value_Enhancement_Chain"/>
      <w:pPr>
        <w:keepNext/>
        <w:pStyle w:val="Heading 2"/>
        <w:keepLines w:val="on"/>
      </w:pPr>
      <w:r>
        <w:t>Chuỗi gia tăng giá trị</w:t>
      </w:r>
      <w:bookmarkEnd w:id="6440"/>
      <w:bookmarkEnd w:id="6441"/>
    </w:p>
    <w:p>
      <w:pPr>
        <w:pStyle w:val="Para 03"/>
      </w:pPr>
      <w:r>
        <w:t>Chúng ta có thể phân loại hàng loạt hành động mà doanh nghiệp có thể thực hiện để gia tăng giá trị theo nhiều cách. Một cách là dựa trên việc chúng ảnh hưởng đến dòng tiền từ tài sản hiện hữu, tăng trưởng, chi phí vốn, hay độ dài của giai đoạn tăng trưởng. Còn có hai cấp độ khác để chúng ta phân biệt giữa các hành động tạo ra giá trị:</w:t>
      </w:r>
    </w:p>
    <w:p>
      <w:pPr>
        <w:numPr>
          <w:ilvl w:val="0"/>
          <w:numId w:val="370"/>
        </w:numPr>
        <w:pStyle w:val="Para 01"/>
      </w:pPr>
      <w:r>
        <w:t>Liệu một hành động có tạo ra sự đánh đổi về giá trị hay nó là một công cụ tạo giá trị thuần túy? Rất ít hành động làm tăng giá trị mà không kèm theo bất kỳ điều kiện nào. Trong số đó có việc thoái vốn khỏi các tài sản khi giá trị thoái vốn vượt quá giá trị tiếp tục nắm giữ, và việc loại bỏ những chi phí cồng kềnh không đóng góp gì cho lợi nhuận hay tăng trưởng tương lai của doanh nghiệp. Hầu hết các hành động đều có cả tác động tích cực lẫn tiêu cực lên giá trị, và chính hiệu ứng ròng mới quyết định liệu những hành động này có gia tăng giá trị hay không. Trong một số trường hợp, sự đánh đổi phần lớn mang tính nội bộ, và khả năng tạo giá trị sẽ cao hơn nhiều. Một ví dụ là việc doanh nghiệp thay đổi cơ cấu nợ và vốn chủ sở hữu để giảm chi phí vốn. Tuy nhiên, trong những trường hợp khác, hiệu ứng ròng lên giá trị sẽ phụ thuộc vào cách đối thủ cạnh tranh phản ứng với hành động của doanh nghiệp. Ví dụ, việc giảm giá để tăng doanh thu có thể không hiệu quả như một biện pháp gia tăng giá trị nếu đối thủ cũng phản ứng và cắt giảm giá theo.</w:t>
      </w:r>
    </w:p>
    <w:p>
      <w:pPr>
        <w:numPr>
          <w:ilvl w:val="0"/>
          <w:numId w:val="370"/>
        </w:numPr>
        <w:pStyle w:val="Para 01"/>
      </w:pPr>
      <w:r>
        <w:t>Các hành động này mang lại kết quả nhanh đến mức nào? Một số hành động tạo ra sự gia tăng giá trị tức thì. Trong số đó có thoái vốn và cắt giảm chi phí. Tuy nhiên, nhiều hành động được thiết kế để tạo giá trị trong dài hạn. Chẳng hạn, việc xây dựng một thương hiệu được tôn trọng rõ ràng tạo ra giá trị trong dài hạn nhưng khó có thể ảnh hưởng đến giá trị ngay hôm nay.</w:t>
      </w:r>
    </w:p>
    <w:p>
      <w:pPr>
        <w:pStyle w:val="Para 03"/>
      </w:pPr>
      <w:r>
        <w:t>Bảng 31.3 tóm tắt một chuỗi gia tăng giá trị, trong đó các hành động tạo giá trị được phân loại theo cả mức độ nhanh chóng tạo ra giá trị lẫn mức độ kiểm soát của doanh nghiệp đối với việc tạo giá trị đó. Cột đầu tiên, "Sửa nhanh" (Quick Fixes), liệt kê những hành động mà doanh nghiệp có mức độ kiểm soát đáng kể đối với kết quả, và lợi ích về mặt tạo giá trị là tức thì. Cột thứ hai, "Khả năng cao" (Odds On), bao gồm những hành động có khả năng tạo giá trị trong ngắn hạn hoặc trung hạn, và doanh nghiệp vẫn duy trì mức độ kiểm soát đáng kể đối với kết quả. Cột thứ ba bao gồm những hành động được thiết kế để tạo giá trị trong dài hạn. Đây là nơi thể hiện những sáng kiến chiến lược lớn của doanh nghiệp.</w:t>
      </w:r>
    </w:p>
    <w:p>
      <w:pPr>
        <w:pStyle w:val="Para 34"/>
        <w:keepLines w:val="on"/>
      </w:pPr>
      <w:r>
        <w:t>Bảng 31.3</w:t>
      </w:r>
    </w:p>
    <w:p>
      <w:pPr>
        <w:keepNext/>
        <w:pStyle w:val="Para 35"/>
        <w:keepLines w:val="on"/>
      </w:pPr>
      <w:r>
        <w:t>Chuỗi gia tăng giá trị</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tcPr>
                <w:p>
                  <w:pPr>
                    <w:pStyle w:val="Para 17"/>
                    <w:keepLines w:val="on"/>
                  </w:pPr>
                  <w:r>
                    <w:t>Sửa nhanh</w:t>
                  </w:r>
                </w:p>
              </w:tc>
              <w:tc>
                <w:tcPr>
                  <w:tcW w:type="auto" w:w="0"/>
                  <w:shd w:val="clear" w:color="auto" w:fill="F0F0F0"/>
                </w:tcPr>
                <w:p>
                  <w:pPr>
                    <w:pStyle w:val="Para 17"/>
                    <w:keepLines w:val="on"/>
                  </w:pPr>
                  <w:r>
                    <w:t>Khả năng cao</w:t>
                  </w:r>
                </w:p>
              </w:tc>
              <w:tc>
                <w:tcPr>
                  <w:tcW w:type="auto" w:w="0"/>
                  <w:shd w:val="clear" w:color="auto" w:fill="F0F0F0"/>
                </w:tcPr>
                <w:p>
                  <w:pPr>
                    <w:pStyle w:val="Para 17"/>
                    <w:keepLines w:val="on"/>
                  </w:pPr>
                  <w:r>
                    <w:t>Dài hạn</w:t>
                  </w:r>
                </w:p>
              </w:tc>
            </w:tr>
            <w:tr>
              <w:tc>
                <w:tcPr>
                  <w:tcW w:type="auto" w:w="0"/>
                  <w:shd w:val="clear" w:color="auto" w:fill="F0F0F0"/>
                </w:tcPr>
                <w:p>
                  <w:pPr>
                    <w:pStyle w:val="Para 46"/>
                    <w:keepLines w:val="on"/>
                  </w:pPr>
                  <w:r>
                    <w:t>Tài sản hiện hữu</w:t>
                  </w:r>
                </w:p>
              </w:tc>
              <w:tc>
                <w:tcPr>
                  <w:tcW w:type="auto" w:w="0"/>
                  <w:shd w:val="clear" w:color="auto" w:fill="F0F0F0"/>
                </w:tcPr>
                <w:p>
                  <w:pPr>
                    <w:numPr>
                      <w:ilvl w:val="0"/>
                      <w:numId w:val="371"/>
                    </w:numPr>
                    <w:pStyle w:val="Para 01"/>
                    <w:keepLines w:val="on"/>
                  </w:pPr>
                  <w:r>
                    <w:t>Thoái vốn khỏi tài sản/dự án có Giá trị thoái vốn &gt; Giá trị tiếp tục nắm giữ.</w:t>
                  </w:r>
                </w:p>
                <w:p>
                  <w:pPr>
                    <w:numPr>
                      <w:ilvl w:val="0"/>
                      <w:numId w:val="371"/>
                    </w:numPr>
                    <w:pStyle w:val="Para 01"/>
                    <w:keepLines w:val="on"/>
                  </w:pPr>
                  <w:r>
                    <w:t>Chấm dứt các dự án có Giá trị thanh lý &gt; Giá trị tiếp tục nắm giữ.</w:t>
                  </w:r>
                </w:p>
                <w:p>
                  <w:pPr>
                    <w:numPr>
                      <w:ilvl w:val="0"/>
                      <w:numId w:val="371"/>
                    </w:numPr>
                    <w:pStyle w:val="Para 01"/>
                    <w:keepLines w:val="on"/>
                  </w:pPr>
                  <w:r>
                    <w:t>Loại bỏ những chi phí hoạt động không tạo ra doanh thu hiện tại và không tạo ra tăng trưởng.</w:t>
                  </w:r>
                </w:p>
                <w:p>
                  <w:pPr>
                    <w:numPr>
                      <w:ilvl w:val="0"/>
                      <w:numId w:val="371"/>
                    </w:numPr>
                    <w:pStyle w:val="Para 01"/>
                    <w:keepLines w:val="on"/>
                  </w:pPr>
                  <w:r>
                    <w:t>Lợi thế thuế từ các chiến lược tối thiểu hóa thuế</w:t>
                  </w:r>
                </w:p>
              </w:tc>
              <w:tc>
                <w:tcPr>
                  <w:tcW w:type="auto" w:w="0"/>
                  <w:shd w:val="clear" w:color="auto" w:fill="F0F0F0"/>
                </w:tcPr>
                <w:p>
                  <w:pPr>
                    <w:numPr>
                      <w:ilvl w:val="0"/>
                      <w:numId w:val="372"/>
                    </w:numPr>
                    <w:pStyle w:val="Para 01"/>
                    <w:keepLines w:val="on"/>
                  </w:pPr>
                  <w:r>
                    <w:t>Giảm nhu cầu vốn lưu động ròng, bằng cách giảm hàng tồn kho và các khoản phải thu, hoặc bằng cách tăng các khoản phải trả.</w:t>
                  </w:r>
                </w:p>
                <w:p>
                  <w:pPr>
                    <w:numPr>
                      <w:ilvl w:val="0"/>
                      <w:numId w:val="372"/>
                    </w:numPr>
                    <w:pStyle w:val="Para 01"/>
                    <w:keepLines w:val="on"/>
                  </w:pPr>
                  <w:r>
                    <w:t>Giảm chi phí bảo trì vốn cho tài sản hiện hữu.</w:t>
                  </w:r>
                </w:p>
              </w:tc>
              <w:tc>
                <w:tcPr>
                  <w:tcW w:type="auto" w:w="0"/>
                  <w:shd w:val="clear" w:color="auto" w:fill="F0F0F0"/>
                </w:tcPr>
                <w:p>
                  <w:pPr>
                    <w:numPr>
                      <w:ilvl w:val="0"/>
                      <w:numId w:val="373"/>
                    </w:numPr>
                    <w:pStyle w:val="Para 01"/>
                    <w:keepLines w:val="on"/>
                  </w:pPr>
                  <w:r>
                    <w:t>Thay đổi chiến lược định giá để tối đa hóa tích số của biên lợi nhuận và vòng quay.</w:t>
                  </w:r>
                </w:p>
                <w:p>
                  <w:pPr>
                    <w:numPr>
                      <w:ilvl w:val="0"/>
                      <w:numId w:val="373"/>
                    </w:numPr>
                    <w:pStyle w:val="Para 01"/>
                    <w:keepLines w:val="on"/>
                  </w:pPr>
                  <w:r>
                    <w:t>Chuyển sang công nghệ vận hành hiệu quả hơn để giảm chi phí và cải thiện biên lợi nhuận.</w:t>
                  </w:r>
                </w:p>
              </w:tc>
            </w:tr>
            <w:tr>
              <w:tc>
                <w:tcPr>
                  <w:tcW w:type="auto" w:w="0"/>
                  <w:shd w:val="clear" w:color="auto" w:fill="F0F0F0"/>
                </w:tcPr>
                <w:p>
                  <w:pPr>
                    <w:pStyle w:val="Para 46"/>
                    <w:keepLines w:val="on"/>
                  </w:pPr>
                  <w:r>
                    <w:t>Tăng trưởng kỳ vọng</w:t>
                  </w:r>
                </w:p>
              </w:tc>
              <w:tc>
                <w:tcPr>
                  <w:tcW w:type="auto" w:w="0"/>
                  <w:shd w:val="clear" w:color="auto" w:fill="F0F0F0"/>
                </w:tcPr>
                <w:p>
                  <w:pPr>
                    <w:numPr>
                      <w:ilvl w:val="0"/>
                      <w:numId w:val="374"/>
                    </w:numPr>
                    <w:pStyle w:val="Para 01"/>
                    <w:keepLines w:val="on"/>
                  </w:pPr>
                  <w:r>
                    <w:t>Loại bỏ những khoản chi tiêu vốn mới được kỳ vọng sinh lời thấp hơn chi phí vốn.</w:t>
                  </w:r>
                </w:p>
              </w:tc>
              <w:tc>
                <w:tcPr>
                  <w:tcW w:type="auto" w:w="0"/>
                  <w:shd w:val="clear" w:color="auto" w:fill="F0F0F0"/>
                </w:tcPr>
                <w:p>
                  <w:pPr>
                    <w:numPr>
                      <w:ilvl w:val="0"/>
                      <w:numId w:val="375"/>
                    </w:numPr>
                    <w:pStyle w:val="Para 01"/>
                    <w:keepLines w:val="on"/>
                  </w:pPr>
                  <w:r>
                    <w:t>Tăng tỷ lệ tái đầu tư hoặc tỷ suất sinh lời biên trên vốn, hoặc cả hai, trong các thị trường hiện có của doanh nghiệp.</w:t>
                  </w:r>
                </w:p>
              </w:tc>
              <w:tc>
                <w:tcPr>
                  <w:tcW w:type="auto" w:w="0"/>
                  <w:shd w:val="clear" w:color="auto" w:fill="F0F0F0"/>
                </w:tcPr>
                <w:p>
                  <w:pPr>
                    <w:numPr>
                      <w:ilvl w:val="0"/>
                      <w:numId w:val="376"/>
                    </w:numPr>
                    <w:pStyle w:val="Para 01"/>
                    <w:keepLines w:val="on"/>
                  </w:pPr>
                  <w:r>
                    <w:t>Tăng tỷ lệ tái đầu tư hoặc tỷ suất sinh lời biên trên vốn, hoặc cả hai, trong các thị trường mới.</w:t>
                  </w:r>
                </w:p>
              </w:tc>
            </w:tr>
            <w:tr>
              <w:tc>
                <w:tcPr>
                  <w:tcW w:type="auto" w:w="0"/>
                  <w:shd w:val="clear" w:color="auto" w:fill="F0F0F0"/>
                </w:tcPr>
                <w:p>
                  <w:pPr>
                    <w:pStyle w:val="Para 46"/>
                    <w:keepLines w:val="on"/>
                  </w:pPr>
                  <w:r>
                    <w:t>Độ dài của Giai đoạn Tăng trưởng Cao</w:t>
                  </w:r>
                </w:p>
              </w:tc>
              <w:tc>
                <w:tcPr>
                  <w:tcW w:type="auto" w:w="0"/>
                  <w:shd w:val="clear" w:color="auto" w:fill="F0F0F0"/>
                </w:tcPr>
                <w:p>
                  <w:pPr>
                    <w:numPr>
                      <w:ilvl w:val="0"/>
                      <w:numId w:val="377"/>
                    </w:numPr>
                    <w:pStyle w:val="Para 01"/>
                    <w:keepLines w:val="on"/>
                  </w:pPr>
                  <w:r>
                    <w:t>Nếu bất kỳ sản phẩm hay dịch vụ nào của công ty có thể được cấp bằng sáng chế và bảo hộ, hãy làm điều đó.</w:t>
                  </w:r>
                </w:p>
              </w:tc>
              <w:tc>
                <w:tcPr>
                  <w:tcW w:type="auto" w:w="0"/>
                  <w:shd w:val="clear" w:color="auto" w:fill="F0F0F0"/>
                </w:tcPr>
                <w:p>
                  <w:pPr>
                    <w:numPr>
                      <w:ilvl w:val="0"/>
                      <w:numId w:val="378"/>
                    </w:numPr>
                    <w:pStyle w:val="Para 01"/>
                    <w:keepLines w:val="on"/>
                  </w:pPr>
                  <w:r>
                    <w:t>Tận dụng lợi thế kinh tế theo quy mô (economies of scale) hoặc lợi thế chi phí để tạo ra tỷ suất sinh lời trên vốn (return on capital) cao hơn.</w:t>
                  </w:r>
                </w:p>
                <w:p>
                  <w:pPr>
                    <w:numPr>
                      <w:ilvl w:val="0"/>
                      <w:numId w:val="378"/>
                    </w:numPr>
                    <w:pStyle w:val="Para 01"/>
                    <w:keepLines w:val="on"/>
                  </w:pPr>
                  <w:r>
                    <w:t>Xây dựng dựa trên các lợi ích từ mạng lưới kết nối (networking benefits), nếu có.</w:t>
                  </w:r>
                </w:p>
              </w:tc>
              <w:tc>
                <w:tcPr>
                  <w:tcW w:type="auto" w:w="0"/>
                  <w:shd w:val="clear" w:color="auto" w:fill="F0F0F0"/>
                </w:tcPr>
                <w:p>
                  <w:pPr>
                    <w:numPr>
                      <w:ilvl w:val="0"/>
                      <w:numId w:val="379"/>
                    </w:numPr>
                    <w:pStyle w:val="Para 01"/>
                    <w:keepLines w:val="on"/>
                  </w:pPr>
                  <w:r>
                    <w:t>Xây dựng tên thương hiệu</w:t>
                  </w:r>
                </w:p>
                <w:p>
                  <w:pPr>
                    <w:numPr>
                      <w:ilvl w:val="0"/>
                      <w:numId w:val="379"/>
                    </w:numPr>
                    <w:pStyle w:val="Para 01"/>
                    <w:keepLines w:val="on"/>
                  </w:pPr>
                  <w:r>
                    <w:t>Tăng chi phí chuyển đổi khỏi sản phẩm và giảm chi phí chuyển đổi sang sản phẩm của mình.</w:t>
                  </w:r>
                </w:p>
              </w:tc>
            </w:tr>
            <w:tr>
              <w:tc>
                <w:tcPr>
                  <w:tcW w:type="auto" w:w="0"/>
                  <w:shd w:val="clear" w:color="auto" w:fill="F0F0F0"/>
                </w:tcPr>
                <w:p>
                  <w:pPr>
                    <w:pStyle w:val="Para 46"/>
                    <w:keepLines w:val="on"/>
                  </w:pPr>
                  <w:r>
                    <w:t>Chi phí Tài trợ Vốn</w:t>
                  </w:r>
                </w:p>
              </w:tc>
              <w:tc>
                <w:tcPr>
                  <w:tcW w:type="auto" w:w="0"/>
                  <w:shd w:val="clear" w:color="auto" w:fill="F0F0F0"/>
                </w:tcPr>
                <w:p>
                  <w:pPr>
                    <w:numPr>
                      <w:ilvl w:val="0"/>
                      <w:numId w:val="380"/>
                    </w:numPr>
                    <w:pStyle w:val="Para 01"/>
                    <w:keepLines w:val="on"/>
                  </w:pPr>
                  <w:r>
                    <w:t>Sử dụng hoán đổi (swaps) và các công cụ phái sinh (derivatives) để khớp nợ với tài sản của công ty sát hơn.</w:t>
                  </w:r>
                </w:p>
                <w:p>
                  <w:pPr>
                    <w:numPr>
                      <w:ilvl w:val="0"/>
                      <w:numId w:val="380"/>
                    </w:numPr>
                    <w:pStyle w:val="Para 01"/>
                    <w:keepLines w:val="on"/>
                  </w:pPr>
                  <w:r>
                    <w:t>Tái cấu trúc vốn (recapitalize) để đưa công ty tiến gần hơn tới tỷ lệ nợ tối ưu của mình.</w:t>
                  </w:r>
                </w:p>
              </w:tc>
              <w:tc>
                <w:tcPr>
                  <w:tcW w:type="auto" w:w="0"/>
                  <w:shd w:val="clear" w:color="auto" w:fill="F0F0F0"/>
                </w:tcPr>
                <w:p>
                  <w:pPr>
                    <w:numPr>
                      <w:ilvl w:val="0"/>
                      <w:numId w:val="381"/>
                    </w:numPr>
                    <w:pStyle w:val="Para 01"/>
                    <w:keepLines w:val="on"/>
                  </w:pPr>
                  <w:r>
                    <w:t>Thay đổi loại hình tài trợ vốn và sử dụng các chứng khoán đổi mới sáng tạo để phản ánh đúng các loại tài sản đang được tài trợ</w:t>
                  </w:r>
                </w:p>
                <w:p>
                  <w:pPr>
                    <w:numPr>
                      <w:ilvl w:val="0"/>
                      <w:numId w:val="381"/>
                    </w:numPr>
                    <w:pStyle w:val="Para 01"/>
                    <w:keepLines w:val="on"/>
                  </w:pPr>
                  <w:r>
                    <w:t>Sử dụng cơ cấu tài trợ vốn tối ưu để tài trợ cho các khoản đầu tư mới.</w:t>
                  </w:r>
                </w:p>
                <w:p>
                  <w:pPr>
                    <w:numPr>
                      <w:ilvl w:val="0"/>
                      <w:numId w:val="381"/>
                    </w:numPr>
                    <w:pStyle w:val="Para 01"/>
                    <w:keepLines w:val="on"/>
                  </w:pPr>
                  <w:r>
                    <w:t>Làm cho cơ cấu chi phí linh hoạt hơn để giảm đòn bẩy hoạt động (operating leverage).</w:t>
                  </w:r>
                </w:p>
              </w:tc>
              <w:tc>
                <w:tcPr>
                  <w:tcW w:type="auto" w:w="0"/>
                  <w:shd w:val="clear" w:color="auto" w:fill="F0F0F0"/>
                </w:tcPr>
                <w:p>
                  <w:pPr>
                    <w:numPr>
                      <w:ilvl w:val="0"/>
                      <w:numId w:val="382"/>
                    </w:numPr>
                    <w:pStyle w:val="Para 01"/>
                    <w:keepLines w:val="on"/>
                  </w:pPr>
                  <w:r>
                    <w:t>Giảm rủi ro hoạt động của công ty bằng cách làm cho sản phẩm bớt mang tính tùy ý (discretionary) đối với khách hàng.</w:t>
                  </w:r>
                </w:p>
              </w:tc>
            </w:tr>
          </w:tbl>
          <w:p/>
        </w:tc>
      </w:tr>
    </w:tbl>
    <w:p>
      <w:pPr>
        <w:pStyle w:val="Para 11"/>
      </w:pPr>
      <w:r>
        <w:t xml:space="preserve"> </w:t>
      </w:r>
    </w:p>
    <w:p>
      <w:bookmarkStart w:id="6445" w:name="ILLUSTRATION_31_6___Value_Enhanc"/>
      <w:bookmarkStart w:id="6446" w:name="ILLUSTRATION_31_6___Value_Enhanc_1"/>
      <w:pPr>
        <w:keepNext/>
        <w:pStyle w:val="Para 19"/>
        <w:keepLines w:val="on"/>
      </w:pPr>
      <w:r>
        <w:t>MINH HỌA 31.6: Gia tăng Giá trị tại SAP—Tháng 5 năm 2005</w:t>
      </w:r>
      <w:bookmarkEnd w:id="6445"/>
      <w:bookmarkEnd w:id="6446"/>
    </w:p>
    <w:p>
      <w:pPr>
        <w:pStyle w:val="Para 04"/>
        <w:keepLines w:val="on"/>
      </w:pPr>
      <w:r>
        <w:t>SAP là một công ty sản xuất phần mềm doanh nghiệp có trụ sở tại Đức. Công ty có danh tiếng xứng đáng về khả năng quản lý tốt, đặc biệt là trong các khoản đầu tư mới; công ty đã tái đầu tư 57,42% thu nhập hoạt động sau thuế trở lại vào công ty và tạo ra tỷ suất sinh lời trên vốn là 19,93% trong năm 2004. Ở cả hai khía cạnh này, công ty đều làm tốt hơn đáng kể so với nhóm các công ty cùng ngành. Tuy nhiên, ban lãnh đạo cực kỳ thận trọng trong việc sử dụng nợ và có tỷ lệ nợ là 1,4%; chi phí vốn (cost of capital) kết quả của công ty là 8,68%. Trong Hình 31.8, chúng ta định giá công ty với giả định rằng công ty sẽ tiếp tục chính sách đầu tư hiện tại (duy trì tỷ lệ tái đầu tư và tỷ suất sinh lời trên vốn từ năm 2004 trong năm năm tới) và chính sách tài trợ vốn thận trọng của mình. Giá trị trên mỗi cổ phần mà chúng ta tính được là 106,12 euro.</w:t>
      </w:r>
    </w:p>
    <w:p>
      <w:bookmarkStart w:id="6449" w:name="Figure_31_8_SAP__Value_with_Stat"/>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13000" cy="1689100"/>
            <wp:effectExtent l="0" r="0" t="0" b="0"/>
            <wp:wrapTopAndBottom/>
            <wp:docPr id="289" name="c31f008.png" descr="Diagram for reinvestment rate, expected growth, return on capital, cost of equity, cost of debt, weights for S A P Company with status quo."/>
            <wp:cNvGraphicFramePr>
              <a:graphicFrameLocks noChangeAspect="1"/>
            </wp:cNvGraphicFramePr>
            <a:graphic>
              <a:graphicData uri="http://schemas.openxmlformats.org/drawingml/2006/picture">
                <pic:pic>
                  <pic:nvPicPr>
                    <pic:cNvPr id="0" name="c31f008.png" descr="Diagram for reinvestment rate, expected growth, return on capital, cost of equity, cost of debt, weights for S A P Company with status quo."/>
                    <pic:cNvPicPr/>
                  </pic:nvPicPr>
                  <pic:blipFill>
                    <a:blip r:embed="rId208"/>
                    <a:stretch>
                      <a:fillRect/>
                    </a:stretch>
                  </pic:blipFill>
                  <pic:spPr>
                    <a:xfrm>
                      <a:off x="0" y="0"/>
                      <a:ext cx="2413000" cy="1689100"/>
                    </a:xfrm>
                    <a:prstGeom prst="rect">
                      <a:avLst/>
                    </a:prstGeom>
                  </pic:spPr>
                </pic:pic>
              </a:graphicData>
            </a:graphic>
          </wp:anchor>
        </w:drawing>
      </w:r>
      <w:bookmarkEnd w:id="6449"/>
    </w:p>
    <w:p>
      <w:pPr>
        <w:keepNext/>
        <w:pStyle w:val="Para 38"/>
        <w:keepLines w:val="on"/>
      </w:pPr>
      <w:r>
        <w:t>Hình 31.8 SAP: Giá trị với Hiện trạng</w:t>
      </w:r>
    </w:p>
    <w:p>
      <w:pPr>
        <w:pStyle w:val="Para 04"/>
        <w:keepLines w:val="on"/>
      </w:pPr>
      <w:r>
        <w:t>SAP có thể vay bao nhiêu? Để trả lời câu hỏi này, chúng ta ước tính chi phí vốn cho SAP trong Bảng 31.4, tại các tỷ lệ nợ từ 0 đến 90%.5</w:t>
      </w:r>
    </w:p>
    <w:p>
      <w:pPr>
        <w:pStyle w:val="Para 40"/>
        <w:keepLines w:val="on"/>
      </w:pPr>
      <w:r>
        <w:rPr>
          <w:rStyle w:val="Text26"/>
        </w:rPr>
        <w:bookmarkStart w:id="6452" w:name="Page_999"/>
        <w:t/>
        <w:bookmarkEnd w:id="6452"/>
      </w:r>
      <w:r>
        <w:t xml:space="preserve"> </w:t>
      </w:r>
    </w:p>
    <w:p>
      <w:pPr>
        <w:pStyle w:val="Para 25"/>
        <w:keepLines w:val="on"/>
      </w:pPr>
      <w:r>
        <w:t>Bảng 31.4</w:t>
      </w:r>
    </w:p>
    <w:p>
      <w:pPr>
        <w:keepNext/>
        <w:pStyle w:val="Para 24"/>
        <w:keepLines w:val="on"/>
      </w:pPr>
      <w:r>
        <w:t>Chi phí Vốn và các Tỷ lệ Nợ: SAP</w:t>
      </w:r>
    </w:p>
    <w:tbl>
      <w:tblPr>
        <w:tblW w:type="auto" w:w="0"/>
      </w:tblPr>
      <w:tr>
        <w:tc>
          <w:tcPr>
            <w:tcW w:type="auto" w:w="0"/>
          </w:tcPr>
          <w:tbl>
            <w:tblPr>
              <w:tblW w:type="pct" w:w="5000"/>
            </w:tblPr>
            <w:tr>
              <w:tc>
                <w:tcPr>
                  <w:tcW w:type="auto" w:w="0"/>
                  <w:shd w:val="clear" w:color="auto" w:fill="F0F0F0"/>
                  <w:vAlign w:val="bottom"/>
                </w:tcPr>
                <w:p>
                  <w:pPr>
                    <w:pStyle w:val="Para 05"/>
                    <w:keepLines w:val="on"/>
                  </w:pPr>
                  <w:r>
                    <w:t>Nợ</w:t>
                  </w:r>
                </w:p>
              </w:tc>
              <w:tc>
                <w:tcPr>
                  <w:tcW w:type="auto" w:w="0"/>
                  <w:shd w:val="clear" w:color="auto" w:fill="F0F0F0"/>
                  <w:vAlign w:val="bottom"/>
                </w:tcPr>
                <w:p>
                  <w:pPr>
                    <w:pStyle w:val="Para 05"/>
                    <w:keepLines w:val="on"/>
                  </w:pPr>
                  <w:r>
                    <w:t>Beta</w:t>
                  </w:r>
                </w:p>
              </w:tc>
              <w:tc>
                <w:tcPr>
                  <w:tcW w:type="auto" w:w="0"/>
                  <w:shd w:val="clear" w:color="auto" w:fill="F0F0F0"/>
                  <w:vAlign w:val="bottom"/>
                </w:tcPr>
                <w:p>
                  <w:pPr>
                    <w:pStyle w:val="Para 05"/>
                    <w:keepLines w:val="on"/>
                  </w:pPr>
                  <w:r>
                    <w:t>Chi phí Vốn cổ phần</w:t>
                  </w:r>
                </w:p>
              </w:tc>
              <w:tc>
                <w:tcPr>
                  <w:tcW w:type="auto" w:w="0"/>
                  <w:shd w:val="clear" w:color="auto" w:fill="F0F0F0"/>
                  <w:vAlign w:val="bottom"/>
                </w:tcPr>
                <w:p>
                  <w:pPr>
                    <w:pStyle w:val="Para 05"/>
                    <w:keepLines w:val="on"/>
                  </w:pPr>
                  <w:r>
                    <w:t>Xếp hạng Trái phiếu</w:t>
                  </w:r>
                </w:p>
              </w:tc>
              <w:tc>
                <w:tcPr>
                  <w:tcW w:type="auto" w:w="0"/>
                  <w:shd w:val="clear" w:color="auto" w:fill="F0F0F0"/>
                  <w:vAlign w:val="bottom"/>
                </w:tcPr>
                <w:p>
                  <w:pPr>
                    <w:pStyle w:val="Para 05"/>
                    <w:keepLines w:val="on"/>
                  </w:pPr>
                  <w:r>
                    <w:t>Chi phí nợ (trước thuế)</w:t>
                  </w:r>
                </w:p>
              </w:tc>
              <w:tc>
                <w:tcPr>
                  <w:tcW w:type="auto" w:w="0"/>
                  <w:shd w:val="clear" w:color="auto" w:fill="F0F0F0"/>
                  <w:vAlign w:val="bottom"/>
                </w:tcPr>
                <w:p>
                  <w:pPr>
                    <w:pStyle w:val="Para 05"/>
                    <w:keepLines w:val="on"/>
                  </w:pPr>
                  <w:r>
                    <w:t>Thuế suất</w:t>
                  </w:r>
                </w:p>
              </w:tc>
              <w:tc>
                <w:tcPr>
                  <w:tcW w:type="auto" w:w="0"/>
                  <w:shd w:val="clear" w:color="auto" w:fill="F0F0F0"/>
                  <w:vAlign w:val="bottom"/>
                </w:tcPr>
                <w:p>
                  <w:pPr>
                    <w:pStyle w:val="Para 05"/>
                    <w:keepLines w:val="on"/>
                  </w:pPr>
                  <w:r>
                    <w:t>Chi phí nợ (sau thuế)</w:t>
                  </w:r>
                </w:p>
              </w:tc>
              <w:tc>
                <w:tcPr>
                  <w:tcW w:type="auto" w:w="0"/>
                  <w:shd w:val="clear" w:color="auto" w:fill="F0F0F0"/>
                  <w:vAlign w:val="bottom"/>
                </w:tcPr>
                <w:p>
                  <w:pPr>
                    <w:pStyle w:val="Para 05"/>
                    <w:keepLines w:val="on"/>
                  </w:pPr>
                  <w:r>
                    <w:t>WACC</w:t>
                  </w:r>
                </w:p>
              </w:tc>
            </w:tr>
            <w:tr>
              <w:tc>
                <w:tcPr>
                  <w:tcW w:type="auto" w:w="0"/>
                  <w:shd w:val="clear" w:color="auto" w:fill="F0F0F0"/>
                </w:tcPr>
                <w:p>
                  <w:pPr>
                    <w:pStyle w:val="Normal"/>
                    <w:keepLines w:val="on"/>
                  </w:pPr>
                  <w:r>
                    <w:t>0%</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8,72%</w:t>
                  </w:r>
                </w:p>
              </w:tc>
              <w:tc>
                <w:tcPr>
                  <w:tcW w:type="auto" w:w="0"/>
                  <w:shd w:val="clear" w:color="auto" w:fill="F0F0F0"/>
                </w:tcPr>
                <w:p>
                  <w:pPr>
                    <w:pStyle w:val="Normal"/>
                    <w:keepLines w:val="on"/>
                  </w:pPr>
                  <w:r>
                    <w:t>AAA</w:t>
                  </w:r>
                </w:p>
              </w:tc>
              <w:tc>
                <w:tcPr>
                  <w:tcW w:type="auto" w:w="0"/>
                  <w:shd w:val="clear" w:color="auto" w:fill="F0F0F0"/>
                </w:tcPr>
                <w:p>
                  <w:pPr>
                    <w:pStyle w:val="Normal"/>
                    <w:keepLines w:val="on"/>
                  </w:pPr>
                  <w:r>
                    <w:t>3,76%</w:t>
                  </w:r>
                </w:p>
              </w:tc>
              <w:tc>
                <w:tcPr>
                  <w:tcW w:type="auto" w:w="0"/>
                  <w:shd w:val="clear" w:color="auto" w:fill="F0F0F0"/>
                </w:tcPr>
                <w:p>
                  <w:pPr>
                    <w:pStyle w:val="Normal"/>
                    <w:keepLines w:val="on"/>
                  </w:pPr>
                  <w:r>
                    <w:t>36,54%</w:t>
                  </w:r>
                </w:p>
              </w:tc>
              <w:tc>
                <w:tcPr>
                  <w:tcW w:type="auto" w:w="0"/>
                  <w:shd w:val="clear" w:color="auto" w:fill="F0F0F0"/>
                </w:tcPr>
                <w:p>
                  <w:pPr>
                    <w:pStyle w:val="Normal"/>
                    <w:keepLines w:val="on"/>
                  </w:pPr>
                  <w:r>
                    <w:t>2,39%</w:t>
                  </w:r>
                </w:p>
              </w:tc>
              <w:tc>
                <w:tcPr>
                  <w:tcW w:type="auto" w:w="0"/>
                  <w:shd w:val="clear" w:color="auto" w:fill="F0F0F0"/>
                </w:tcPr>
                <w:p>
                  <w:pPr>
                    <w:pStyle w:val="Normal"/>
                    <w:keepLines w:val="on"/>
                  </w:pPr>
                  <w:r>
                    <w:t>8,72%</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1,34</w:t>
                  </w:r>
                </w:p>
              </w:tc>
              <w:tc>
                <w:tcPr>
                  <w:tcW w:type="auto" w:w="0"/>
                  <w:shd w:val="clear" w:color="auto" w:fill="F0F0F0"/>
                </w:tcPr>
                <w:p>
                  <w:pPr>
                    <w:pStyle w:val="Normal"/>
                    <w:keepLines w:val="on"/>
                  </w:pPr>
                  <w:r>
                    <w:t>9,09%</w:t>
                  </w:r>
                </w:p>
              </w:tc>
              <w:tc>
                <w:tcPr>
                  <w:tcW w:type="auto" w:w="0"/>
                  <w:shd w:val="clear" w:color="auto" w:fill="F0F0F0"/>
                </w:tcPr>
                <w:p>
                  <w:pPr>
                    <w:pStyle w:val="Normal"/>
                    <w:keepLines w:val="on"/>
                  </w:pPr>
                  <w:r>
                    <w:t>AAA</w:t>
                  </w:r>
                </w:p>
              </w:tc>
              <w:tc>
                <w:tcPr>
                  <w:tcW w:type="auto" w:w="0"/>
                  <w:shd w:val="clear" w:color="auto" w:fill="F0F0F0"/>
                </w:tcPr>
                <w:p>
                  <w:pPr>
                    <w:pStyle w:val="Normal"/>
                    <w:keepLines w:val="on"/>
                  </w:pPr>
                  <w:r>
                    <w:t>3,76%</w:t>
                  </w:r>
                </w:p>
              </w:tc>
              <w:tc>
                <w:tcPr>
                  <w:tcW w:type="auto" w:w="0"/>
                  <w:shd w:val="clear" w:color="auto" w:fill="F0F0F0"/>
                </w:tcPr>
                <w:p>
                  <w:pPr>
                    <w:pStyle w:val="Normal"/>
                    <w:keepLines w:val="on"/>
                  </w:pPr>
                  <w:r>
                    <w:t>36,54%</w:t>
                  </w:r>
                </w:p>
              </w:tc>
              <w:tc>
                <w:tcPr>
                  <w:tcW w:type="auto" w:w="0"/>
                  <w:shd w:val="clear" w:color="auto" w:fill="F0F0F0"/>
                </w:tcPr>
                <w:p>
                  <w:pPr>
                    <w:pStyle w:val="Normal"/>
                    <w:keepLines w:val="on"/>
                  </w:pPr>
                  <w:r>
                    <w:t>2,39%</w:t>
                  </w:r>
                </w:p>
              </w:tc>
              <w:tc>
                <w:tcPr>
                  <w:tcW w:type="auto" w:w="0"/>
                  <w:shd w:val="clear" w:color="auto" w:fill="F0F0F0"/>
                </w:tcPr>
                <w:p>
                  <w:pPr>
                    <w:pStyle w:val="Normal"/>
                    <w:keepLines w:val="on"/>
                  </w:pPr>
                  <w:r>
                    <w:t>8,42%</w:t>
                  </w:r>
                </w:p>
              </w:tc>
            </w:tr>
            <w:tr>
              <w:tc>
                <w:tcPr>
                  <w:tcW w:type="auto" w:w="0"/>
                  <w:shd w:val="clear" w:color="auto" w:fill="F0F0F0"/>
                </w:tcPr>
                <w:p>
                  <w:pPr>
                    <w:pStyle w:val="Normal"/>
                    <w:keepLines w:val="on"/>
                  </w:pPr>
                  <w:r>
                    <w:t>20%</w:t>
                  </w:r>
                </w:p>
              </w:tc>
              <w:tc>
                <w:tcPr>
                  <w:tcW w:type="auto" w:w="0"/>
                  <w:shd w:val="clear" w:color="auto" w:fill="F0F0F0"/>
                </w:tcPr>
                <w:p>
                  <w:pPr>
                    <w:pStyle w:val="Normal"/>
                    <w:keepLines w:val="on"/>
                  </w:pPr>
                  <w:r>
                    <w:t>1,45</w:t>
                  </w:r>
                </w:p>
              </w:tc>
              <w:tc>
                <w:tcPr>
                  <w:tcW w:type="auto" w:w="0"/>
                  <w:shd w:val="clear" w:color="auto" w:fill="F0F0F0"/>
                </w:tcPr>
                <w:p>
                  <w:pPr>
                    <w:pStyle w:val="Normal"/>
                    <w:keepLines w:val="on"/>
                  </w:pPr>
                  <w:r>
                    <w:t>9,56%</w:t>
                  </w:r>
                </w:p>
              </w:tc>
              <w:tc>
                <w:tcPr>
                  <w:tcW w:type="auto" w:w="0"/>
                  <w:shd w:val="clear" w:color="auto" w:fill="F0F0F0"/>
                </w:tcPr>
                <w:p>
                  <w:pPr>
                    <w:pStyle w:val="Normal"/>
                    <w:keepLines w:val="on"/>
                  </w:pPr>
                  <w:r>
                    <w:t>A</w:t>
                  </w:r>
                </w:p>
              </w:tc>
              <w:tc>
                <w:tcPr>
                  <w:tcW w:type="auto" w:w="0"/>
                  <w:shd w:val="clear" w:color="auto" w:fill="F0F0F0"/>
                </w:tcPr>
                <w:p>
                  <w:pPr>
                    <w:pStyle w:val="Normal"/>
                    <w:keepLines w:val="on"/>
                  </w:pPr>
                  <w:r>
                    <w:t>4,26%</w:t>
                  </w:r>
                </w:p>
              </w:tc>
              <w:tc>
                <w:tcPr>
                  <w:tcW w:type="auto" w:w="0"/>
                  <w:shd w:val="clear" w:color="auto" w:fill="F0F0F0"/>
                </w:tcPr>
                <w:p>
                  <w:pPr>
                    <w:pStyle w:val="Normal"/>
                    <w:keepLines w:val="on"/>
                  </w:pPr>
                  <w:r>
                    <w:t>36,54%</w:t>
                  </w:r>
                </w:p>
              </w:tc>
              <w:tc>
                <w:tcPr>
                  <w:tcW w:type="auto" w:w="0"/>
                  <w:shd w:val="clear" w:color="auto" w:fill="F0F0F0"/>
                </w:tcPr>
                <w:p>
                  <w:pPr>
                    <w:pStyle w:val="Normal"/>
                    <w:keepLines w:val="on"/>
                  </w:pPr>
                  <w:r>
                    <w:t>2,70%</w:t>
                  </w:r>
                </w:p>
              </w:tc>
              <w:tc>
                <w:tcPr>
                  <w:tcW w:type="auto" w:w="0"/>
                  <w:shd w:val="clear" w:color="auto" w:fill="F0F0F0"/>
                </w:tcPr>
                <w:p>
                  <w:pPr>
                    <w:pStyle w:val="Normal"/>
                    <w:keepLines w:val="on"/>
                  </w:pPr>
                  <w:r>
                    <w:t>8.19%</w:t>
                  </w:r>
                </w:p>
              </w:tc>
            </w:tr>
            <w:tr>
              <w:tc>
                <w:tcPr>
                  <w:tcW w:type="auto" w:w="0"/>
                  <w:shd w:val="clear" w:color="auto" w:fill="F0F0F0"/>
                </w:tcPr>
                <w:p>
                  <w:pPr>
                    <w:pStyle w:val="Normal"/>
                    <w:keepLines w:val="on"/>
                  </w:pPr>
                  <w:r>
                    <w:t>30%</w:t>
                  </w:r>
                </w:p>
              </w:tc>
              <w:tc>
                <w:tcPr>
                  <w:tcW w:type="auto" w:w="0"/>
                  <w:shd w:val="clear" w:color="auto" w:fill="F0F0F0"/>
                </w:tcPr>
                <w:p>
                  <w:pPr>
                    <w:pStyle w:val="Normal"/>
                    <w:keepLines w:val="on"/>
                  </w:pPr>
                  <w:r>
                    <w:t>1.59</w:t>
                  </w:r>
                </w:p>
              </w:tc>
              <w:tc>
                <w:tcPr>
                  <w:tcW w:type="auto" w:w="0"/>
                  <w:shd w:val="clear" w:color="auto" w:fill="F0F0F0"/>
                </w:tcPr>
                <w:p>
                  <w:pPr>
                    <w:pStyle w:val="Normal"/>
                    <w:keepLines w:val="on"/>
                  </w:pPr>
                  <w:r>
                    <w:t>10.16%</w:t>
                  </w:r>
                </w:p>
              </w:tc>
              <w:tc>
                <w:tcPr>
                  <w:tcW w:type="auto" w:w="0"/>
                  <w:shd w:val="clear" w:color="auto" w:fill="F0F0F0"/>
                </w:tcPr>
                <w:p>
                  <w:pPr>
                    <w:pStyle w:val="Normal"/>
                    <w:keepLines w:val="on"/>
                  </w:pPr>
                  <w:r>
                    <w:t>A–</w:t>
                  </w:r>
                </w:p>
              </w:tc>
              <w:tc>
                <w:tcPr>
                  <w:tcW w:type="auto" w:w="0"/>
                  <w:shd w:val="clear" w:color="auto" w:fill="F0F0F0"/>
                </w:tcPr>
                <w:p>
                  <w:pPr>
                    <w:pStyle w:val="Normal"/>
                    <w:keepLines w:val="on"/>
                  </w:pPr>
                  <w:r>
                    <w:t>4.41%</w:t>
                  </w:r>
                </w:p>
              </w:tc>
              <w:tc>
                <w:tcPr>
                  <w:tcW w:type="auto" w:w="0"/>
                  <w:shd w:val="clear" w:color="auto" w:fill="F0F0F0"/>
                </w:tcPr>
                <w:p>
                  <w:pPr>
                    <w:pStyle w:val="Normal"/>
                    <w:keepLines w:val="on"/>
                  </w:pPr>
                  <w:r>
                    <w:t>36.54%</w:t>
                  </w:r>
                </w:p>
              </w:tc>
              <w:tc>
                <w:tcPr>
                  <w:tcW w:type="auto" w:w="0"/>
                  <w:shd w:val="clear" w:color="auto" w:fill="F0F0F0"/>
                </w:tcPr>
                <w:p>
                  <w:pPr>
                    <w:pStyle w:val="Normal"/>
                    <w:keepLines w:val="on"/>
                  </w:pPr>
                  <w:r>
                    <w:t>2.80%</w:t>
                  </w:r>
                </w:p>
              </w:tc>
              <w:tc>
                <w:tcPr>
                  <w:tcW w:type="auto" w:w="0"/>
                  <w:shd w:val="clear" w:color="auto" w:fill="F0F0F0"/>
                </w:tcPr>
                <w:p>
                  <w:pPr>
                    <w:pStyle w:val="Normal"/>
                    <w:keepLines w:val="on"/>
                  </w:pPr>
                  <w:r>
                    <w:t>7.95%</w:t>
                  </w:r>
                </w:p>
              </w:tc>
            </w:tr>
            <w:tr>
              <w:tc>
                <w:tcPr>
                  <w:tcW w:type="auto" w:w="0"/>
                  <w:shd w:val="clear" w:color="auto" w:fill="F0F0F0"/>
                </w:tcPr>
                <w:p>
                  <w:pPr>
                    <w:pStyle w:val="Normal"/>
                    <w:keepLines w:val="on"/>
                  </w:pPr>
                  <w:r>
                    <w:t>40%</w:t>
                  </w:r>
                </w:p>
              </w:tc>
              <w:tc>
                <w:tcPr>
                  <w:tcW w:type="auto" w:w="0"/>
                  <w:shd w:val="clear" w:color="auto" w:fill="F0F0F0"/>
                </w:tcPr>
                <w:p>
                  <w:pPr>
                    <w:pStyle w:val="Normal"/>
                    <w:keepLines w:val="on"/>
                  </w:pPr>
                  <w:r>
                    <w:t>1.78</w:t>
                  </w:r>
                </w:p>
              </w:tc>
              <w:tc>
                <w:tcPr>
                  <w:tcW w:type="auto" w:w="0"/>
                  <w:shd w:val="clear" w:color="auto" w:fill="F0F0F0"/>
                </w:tcPr>
                <w:p>
                  <w:pPr>
                    <w:pStyle w:val="Normal"/>
                    <w:keepLines w:val="on"/>
                  </w:pPr>
                  <w:r>
                    <w:t>10.96%</w:t>
                  </w:r>
                </w:p>
              </w:tc>
              <w:tc>
                <w:tcPr>
                  <w:tcW w:type="auto" w:w="0"/>
                  <w:shd w:val="clear" w:color="auto" w:fill="F0F0F0"/>
                </w:tcPr>
                <w:p>
                  <w:pPr>
                    <w:pStyle w:val="Normal"/>
                    <w:keepLines w:val="on"/>
                  </w:pPr>
                  <w:r>
                    <w:t>CCC</w:t>
                  </w:r>
                </w:p>
              </w:tc>
              <w:tc>
                <w:tcPr>
                  <w:tcW w:type="auto" w:w="0"/>
                  <w:shd w:val="clear" w:color="auto" w:fill="F0F0F0"/>
                </w:tcPr>
                <w:p>
                  <w:pPr>
                    <w:pStyle w:val="Normal"/>
                    <w:keepLines w:val="on"/>
                  </w:pPr>
                  <w:r>
                    <w:t>11.41%</w:t>
                  </w:r>
                </w:p>
              </w:tc>
              <w:tc>
                <w:tcPr>
                  <w:tcW w:type="auto" w:w="0"/>
                  <w:shd w:val="clear" w:color="auto" w:fill="F0F0F0"/>
                </w:tcPr>
                <w:p>
                  <w:pPr>
                    <w:pStyle w:val="Normal"/>
                    <w:keepLines w:val="on"/>
                  </w:pPr>
                  <w:r>
                    <w:t>36.54%</w:t>
                  </w:r>
                </w:p>
              </w:tc>
              <w:tc>
                <w:tcPr>
                  <w:tcW w:type="auto" w:w="0"/>
                  <w:shd w:val="clear" w:color="auto" w:fill="F0F0F0"/>
                </w:tcPr>
                <w:p>
                  <w:pPr>
                    <w:pStyle w:val="Normal"/>
                    <w:keepLines w:val="on"/>
                  </w:pPr>
                  <w:r>
                    <w:t>7.24%</w:t>
                  </w:r>
                </w:p>
              </w:tc>
              <w:tc>
                <w:tcPr>
                  <w:tcW w:type="auto" w:w="0"/>
                  <w:shd w:val="clear" w:color="auto" w:fill="F0F0F0"/>
                </w:tcPr>
                <w:p>
                  <w:pPr>
                    <w:pStyle w:val="Normal"/>
                    <w:keepLines w:val="on"/>
                  </w:pPr>
                  <w:r>
                    <w:t>9.47%</w:t>
                  </w:r>
                </w:p>
              </w:tc>
            </w:tr>
            <w:tr>
              <w:tc>
                <w:tcPr>
                  <w:tcW w:type="auto" w:w="0"/>
                  <w:shd w:val="clear" w:color="auto" w:fill="F0F0F0"/>
                </w:tcPr>
                <w:p>
                  <w:pPr>
                    <w:pStyle w:val="Normal"/>
                    <w:keepLines w:val="on"/>
                  </w:pPr>
                  <w:r>
                    <w:t>50%</w:t>
                  </w:r>
                </w:p>
              </w:tc>
              <w:tc>
                <w:tcPr>
                  <w:tcW w:type="auto" w:w="0"/>
                  <w:shd w:val="clear" w:color="auto" w:fill="F0F0F0"/>
                </w:tcPr>
                <w:p>
                  <w:pPr>
                    <w:pStyle w:val="Normal"/>
                    <w:keepLines w:val="on"/>
                  </w:pPr>
                  <w:r>
                    <w:t>2.22</w:t>
                  </w:r>
                </w:p>
              </w:tc>
              <w:tc>
                <w:tcPr>
                  <w:tcW w:type="auto" w:w="0"/>
                  <w:shd w:val="clear" w:color="auto" w:fill="F0F0F0"/>
                </w:tcPr>
                <w:p>
                  <w:pPr>
                    <w:pStyle w:val="Normal"/>
                    <w:keepLines w:val="on"/>
                  </w:pPr>
                  <w:r>
                    <w:t>12.85%</w:t>
                  </w:r>
                </w:p>
              </w:tc>
              <w:tc>
                <w:tcPr>
                  <w:tcW w:type="auto" w:w="0"/>
                  <w:shd w:val="clear" w:color="auto" w:fill="F0F0F0"/>
                </w:tcPr>
                <w:p>
                  <w:pPr>
                    <w:pStyle w:val="Normal"/>
                    <w:keepLines w:val="on"/>
                  </w:pPr>
                  <w:r>
                    <w:t>C</w:t>
                  </w:r>
                </w:p>
              </w:tc>
              <w:tc>
                <w:tcPr>
                  <w:tcW w:type="auto" w:w="0"/>
                  <w:shd w:val="clear" w:color="auto" w:fill="F0F0F0"/>
                </w:tcPr>
                <w:p>
                  <w:pPr>
                    <w:pStyle w:val="Normal"/>
                    <w:keepLines w:val="on"/>
                  </w:pPr>
                  <w:r>
                    <w:t>15.41%</w:t>
                  </w:r>
                </w:p>
              </w:tc>
              <w:tc>
                <w:tcPr>
                  <w:tcW w:type="auto" w:w="0"/>
                  <w:shd w:val="clear" w:color="auto" w:fill="F0F0F0"/>
                </w:tcPr>
                <w:p>
                  <w:pPr>
                    <w:pStyle w:val="Normal"/>
                    <w:keepLines w:val="on"/>
                  </w:pPr>
                  <w:r>
                    <w:t>22.08%</w:t>
                  </w:r>
                </w:p>
              </w:tc>
              <w:tc>
                <w:tcPr>
                  <w:tcW w:type="auto" w:w="0"/>
                  <w:shd w:val="clear" w:color="auto" w:fill="F0F0F0"/>
                </w:tcPr>
                <w:p>
                  <w:pPr>
                    <w:pStyle w:val="Normal"/>
                    <w:keepLines w:val="on"/>
                  </w:pPr>
                  <w:r>
                    <w:t>12.01%</w:t>
                  </w:r>
                </w:p>
              </w:tc>
              <w:tc>
                <w:tcPr>
                  <w:tcW w:type="auto" w:w="0"/>
                  <w:shd w:val="clear" w:color="auto" w:fill="F0F0F0"/>
                </w:tcPr>
                <w:p>
                  <w:pPr>
                    <w:pStyle w:val="Normal"/>
                    <w:keepLines w:val="on"/>
                  </w:pPr>
                  <w:r>
                    <w:t>12.43%</w:t>
                  </w:r>
                </w:p>
              </w:tc>
            </w:tr>
            <w:tr>
              <w:tc>
                <w:tcPr>
                  <w:tcW w:type="auto" w:w="0"/>
                  <w:shd w:val="clear" w:color="auto" w:fill="F0F0F0"/>
                </w:tcPr>
                <w:p>
                  <w:pPr>
                    <w:pStyle w:val="Normal"/>
                    <w:keepLines w:val="on"/>
                  </w:pPr>
                  <w:r>
                    <w:t>60%</w:t>
                  </w:r>
                </w:p>
              </w:tc>
              <w:tc>
                <w:tcPr>
                  <w:tcW w:type="auto" w:w="0"/>
                  <w:shd w:val="clear" w:color="auto" w:fill="F0F0F0"/>
                </w:tcPr>
                <w:p>
                  <w:pPr>
                    <w:pStyle w:val="Normal"/>
                    <w:keepLines w:val="on"/>
                  </w:pPr>
                  <w:r>
                    <w:t>2,78</w:t>
                  </w:r>
                </w:p>
              </w:tc>
              <w:tc>
                <w:tcPr>
                  <w:tcW w:type="auto" w:w="0"/>
                  <w:shd w:val="clear" w:color="auto" w:fill="F0F0F0"/>
                </w:tcPr>
                <w:p>
                  <w:pPr>
                    <w:pStyle w:val="Normal"/>
                    <w:keepLines w:val="on"/>
                  </w:pPr>
                  <w:r>
                    <w:t>15,21%</w:t>
                  </w:r>
                </w:p>
              </w:tc>
              <w:tc>
                <w:tcPr>
                  <w:tcW w:type="auto" w:w="0"/>
                  <w:shd w:val="clear" w:color="auto" w:fill="F0F0F0"/>
                </w:tcPr>
                <w:p>
                  <w:pPr>
                    <w:pStyle w:val="Normal"/>
                    <w:keepLines w:val="on"/>
                  </w:pPr>
                  <w:r>
                    <w:t>C</w:t>
                  </w:r>
                </w:p>
              </w:tc>
              <w:tc>
                <w:tcPr>
                  <w:tcW w:type="auto" w:w="0"/>
                  <w:shd w:val="clear" w:color="auto" w:fill="F0F0F0"/>
                </w:tcPr>
                <w:p>
                  <w:pPr>
                    <w:pStyle w:val="Normal"/>
                    <w:keepLines w:val="on"/>
                  </w:pPr>
                  <w:r>
                    <w:t>15,41%</w:t>
                  </w:r>
                </w:p>
              </w:tc>
              <w:tc>
                <w:tcPr>
                  <w:tcW w:type="auto" w:w="0"/>
                  <w:shd w:val="clear" w:color="auto" w:fill="F0F0F0"/>
                </w:tcPr>
                <w:p>
                  <w:pPr>
                    <w:pStyle w:val="Normal"/>
                    <w:keepLines w:val="on"/>
                  </w:pPr>
                  <w:r>
                    <w:t>18,40%</w:t>
                  </w:r>
                </w:p>
              </w:tc>
              <w:tc>
                <w:tcPr>
                  <w:tcW w:type="auto" w:w="0"/>
                  <w:shd w:val="clear" w:color="auto" w:fill="F0F0F0"/>
                </w:tcPr>
                <w:p>
                  <w:pPr>
                    <w:pStyle w:val="Normal"/>
                    <w:keepLines w:val="on"/>
                  </w:pPr>
                  <w:r>
                    <w:t>12,58%</w:t>
                  </w:r>
                </w:p>
              </w:tc>
              <w:tc>
                <w:tcPr>
                  <w:tcW w:type="auto" w:w="0"/>
                  <w:shd w:val="clear" w:color="auto" w:fill="F0F0F0"/>
                </w:tcPr>
                <w:p>
                  <w:pPr>
                    <w:pStyle w:val="Normal"/>
                    <w:keepLines w:val="on"/>
                  </w:pPr>
                  <w:r>
                    <w:t>13,63%</w:t>
                  </w:r>
                </w:p>
              </w:tc>
            </w:tr>
            <w:tr>
              <w:tc>
                <w:tcPr>
                  <w:tcW w:type="auto" w:w="0"/>
                  <w:shd w:val="clear" w:color="auto" w:fill="F0F0F0"/>
                </w:tcPr>
                <w:p>
                  <w:pPr>
                    <w:pStyle w:val="Normal"/>
                    <w:keepLines w:val="on"/>
                  </w:pPr>
                  <w:r>
                    <w:t>70%</w:t>
                  </w:r>
                </w:p>
              </w:tc>
              <w:tc>
                <w:tcPr>
                  <w:tcW w:type="auto" w:w="0"/>
                  <w:shd w:val="clear" w:color="auto" w:fill="F0F0F0"/>
                </w:tcPr>
                <w:p>
                  <w:pPr>
                    <w:pStyle w:val="Normal"/>
                    <w:keepLines w:val="on"/>
                  </w:pPr>
                  <w:r>
                    <w:t>3,70</w:t>
                  </w:r>
                </w:p>
              </w:tc>
              <w:tc>
                <w:tcPr>
                  <w:tcW w:type="auto" w:w="0"/>
                  <w:shd w:val="clear" w:color="auto" w:fill="F0F0F0"/>
                </w:tcPr>
                <w:p>
                  <w:pPr>
                    <w:pStyle w:val="Normal"/>
                    <w:keepLines w:val="on"/>
                  </w:pPr>
                  <w:r>
                    <w:t>19,15%</w:t>
                  </w:r>
                </w:p>
              </w:tc>
              <w:tc>
                <w:tcPr>
                  <w:tcW w:type="auto" w:w="0"/>
                  <w:shd w:val="clear" w:color="auto" w:fill="F0F0F0"/>
                </w:tcPr>
                <w:p>
                  <w:pPr>
                    <w:pStyle w:val="Normal"/>
                    <w:keepLines w:val="on"/>
                  </w:pPr>
                  <w:r>
                    <w:t>C</w:t>
                  </w:r>
                </w:p>
              </w:tc>
              <w:tc>
                <w:tcPr>
                  <w:tcW w:type="auto" w:w="0"/>
                  <w:shd w:val="clear" w:color="auto" w:fill="F0F0F0"/>
                </w:tcPr>
                <w:p>
                  <w:pPr>
                    <w:pStyle w:val="Normal"/>
                    <w:keepLines w:val="on"/>
                  </w:pPr>
                  <w:r>
                    <w:t>15,41%</w:t>
                  </w:r>
                </w:p>
              </w:tc>
              <w:tc>
                <w:tcPr>
                  <w:tcW w:type="auto" w:w="0"/>
                  <w:shd w:val="clear" w:color="auto" w:fill="F0F0F0"/>
                </w:tcPr>
                <w:p>
                  <w:pPr>
                    <w:pStyle w:val="Normal"/>
                    <w:keepLines w:val="on"/>
                  </w:pPr>
                  <w:r>
                    <w:t>15,77%</w:t>
                  </w:r>
                </w:p>
              </w:tc>
              <w:tc>
                <w:tcPr>
                  <w:tcW w:type="auto" w:w="0"/>
                  <w:shd w:val="clear" w:color="auto" w:fill="F0F0F0"/>
                </w:tcPr>
                <w:p>
                  <w:pPr>
                    <w:pStyle w:val="Normal"/>
                    <w:keepLines w:val="on"/>
                  </w:pPr>
                  <w:r>
                    <w:t>12,98%</w:t>
                  </w:r>
                </w:p>
              </w:tc>
              <w:tc>
                <w:tcPr>
                  <w:tcW w:type="auto" w:w="0"/>
                  <w:shd w:val="clear" w:color="auto" w:fill="F0F0F0"/>
                </w:tcPr>
                <w:p>
                  <w:pPr>
                    <w:pStyle w:val="Normal"/>
                    <w:keepLines w:val="on"/>
                  </w:pPr>
                  <w:r>
                    <w:t>14,83%</w:t>
                  </w:r>
                </w:p>
              </w:tc>
            </w:tr>
            <w:tr>
              <w:tc>
                <w:tcPr>
                  <w:tcW w:type="auto" w:w="0"/>
                  <w:shd w:val="clear" w:color="auto" w:fill="F0F0F0"/>
                </w:tcPr>
                <w:p>
                  <w:pPr>
                    <w:pStyle w:val="Normal"/>
                    <w:keepLines w:val="on"/>
                  </w:pPr>
                  <w:r>
                    <w:t>80%</w:t>
                  </w:r>
                </w:p>
              </w:tc>
              <w:tc>
                <w:tcPr>
                  <w:tcW w:type="auto" w:w="0"/>
                  <w:shd w:val="clear" w:color="auto" w:fill="F0F0F0"/>
                </w:tcPr>
                <w:p>
                  <w:pPr>
                    <w:pStyle w:val="Normal"/>
                    <w:keepLines w:val="on"/>
                  </w:pPr>
                  <w:r>
                    <w:t>5,55</w:t>
                  </w:r>
                </w:p>
              </w:tc>
              <w:tc>
                <w:tcPr>
                  <w:tcW w:type="auto" w:w="0"/>
                  <w:shd w:val="clear" w:color="auto" w:fill="F0F0F0"/>
                </w:tcPr>
                <w:p>
                  <w:pPr>
                    <w:pStyle w:val="Normal"/>
                    <w:keepLines w:val="on"/>
                  </w:pPr>
                  <w:r>
                    <w:t>27,01%</w:t>
                  </w:r>
                </w:p>
              </w:tc>
              <w:tc>
                <w:tcPr>
                  <w:tcW w:type="auto" w:w="0"/>
                  <w:shd w:val="clear" w:color="auto" w:fill="F0F0F0"/>
                </w:tcPr>
                <w:p>
                  <w:pPr>
                    <w:pStyle w:val="Normal"/>
                    <w:keepLines w:val="on"/>
                  </w:pPr>
                  <w:r>
                    <w:t>C</w:t>
                  </w:r>
                </w:p>
              </w:tc>
              <w:tc>
                <w:tcPr>
                  <w:tcW w:type="auto" w:w="0"/>
                  <w:shd w:val="clear" w:color="auto" w:fill="F0F0F0"/>
                </w:tcPr>
                <w:p>
                  <w:pPr>
                    <w:pStyle w:val="Normal"/>
                    <w:keepLines w:val="on"/>
                  </w:pPr>
                  <w:r>
                    <w:t>15,41%</w:t>
                  </w:r>
                </w:p>
              </w:tc>
              <w:tc>
                <w:tcPr>
                  <w:tcW w:type="auto" w:w="0"/>
                  <w:shd w:val="clear" w:color="auto" w:fill="F0F0F0"/>
                </w:tcPr>
                <w:p>
                  <w:pPr>
                    <w:pStyle w:val="Normal"/>
                    <w:keepLines w:val="on"/>
                  </w:pPr>
                  <w:r>
                    <w:t>13,80%</w:t>
                  </w:r>
                </w:p>
              </w:tc>
              <w:tc>
                <w:tcPr>
                  <w:tcW w:type="auto" w:w="0"/>
                  <w:shd w:val="clear" w:color="auto" w:fill="F0F0F0"/>
                </w:tcPr>
                <w:p>
                  <w:pPr>
                    <w:pStyle w:val="Normal"/>
                    <w:keepLines w:val="on"/>
                  </w:pPr>
                  <w:r>
                    <w:t>13,28%</w:t>
                  </w:r>
                </w:p>
              </w:tc>
              <w:tc>
                <w:tcPr>
                  <w:tcW w:type="auto" w:w="0"/>
                  <w:shd w:val="clear" w:color="auto" w:fill="F0F0F0"/>
                </w:tcPr>
                <w:p>
                  <w:pPr>
                    <w:pStyle w:val="Normal"/>
                    <w:keepLines w:val="on"/>
                  </w:pPr>
                  <w:r>
                    <w:t>16,03%</w:t>
                  </w:r>
                </w:p>
              </w:tc>
            </w:tr>
            <w:tr>
              <w:tc>
                <w:tcPr>
                  <w:tcW w:type="auto" w:w="0"/>
                  <w:shd w:val="clear" w:color="auto" w:fill="F0F0F0"/>
                </w:tcPr>
                <w:p>
                  <w:pPr>
                    <w:pStyle w:val="Normal"/>
                    <w:keepLines w:val="on"/>
                  </w:pPr>
                  <w:r>
                    <w:t>90%</w:t>
                  </w:r>
                </w:p>
              </w:tc>
              <w:tc>
                <w:tcPr>
                  <w:tcW w:type="auto" w:w="0"/>
                  <w:shd w:val="clear" w:color="auto" w:fill="F0F0F0"/>
                </w:tcPr>
                <w:p>
                  <w:pPr>
                    <w:pStyle w:val="Normal"/>
                    <w:keepLines w:val="on"/>
                  </w:pPr>
                  <w:r>
                    <w:t>11.11</w:t>
                  </w:r>
                </w:p>
              </w:tc>
              <w:tc>
                <w:tcPr>
                  <w:tcW w:type="auto" w:w="0"/>
                  <w:shd w:val="clear" w:color="auto" w:fill="F0F0F0"/>
                </w:tcPr>
                <w:p>
                  <w:pPr>
                    <w:pStyle w:val="Normal"/>
                    <w:keepLines w:val="on"/>
                  </w:pPr>
                  <w:r>
                    <w:t>50,62%</w:t>
                  </w:r>
                </w:p>
              </w:tc>
              <w:tc>
                <w:tcPr>
                  <w:tcW w:type="auto" w:w="0"/>
                  <w:shd w:val="clear" w:color="auto" w:fill="F0F0F0"/>
                </w:tcPr>
                <w:p>
                  <w:pPr>
                    <w:pStyle w:val="Normal"/>
                    <w:keepLines w:val="on"/>
                  </w:pPr>
                  <w:r>
                    <w:t>C</w:t>
                  </w:r>
                </w:p>
              </w:tc>
              <w:tc>
                <w:tcPr>
                  <w:tcW w:type="auto" w:w="0"/>
                  <w:shd w:val="clear" w:color="auto" w:fill="F0F0F0"/>
                </w:tcPr>
                <w:p>
                  <w:pPr>
                    <w:pStyle w:val="Normal"/>
                    <w:keepLines w:val="on"/>
                  </w:pPr>
                  <w:r>
                    <w:t>15,41%</w:t>
                  </w:r>
                </w:p>
              </w:tc>
              <w:tc>
                <w:tcPr>
                  <w:tcW w:type="auto" w:w="0"/>
                  <w:shd w:val="clear" w:color="auto" w:fill="F0F0F0"/>
                </w:tcPr>
                <w:p>
                  <w:pPr>
                    <w:pStyle w:val="Normal"/>
                    <w:keepLines w:val="on"/>
                  </w:pPr>
                  <w:r>
                    <w:t>12,26%</w:t>
                  </w:r>
                </w:p>
              </w:tc>
              <w:tc>
                <w:tcPr>
                  <w:tcW w:type="auto" w:w="0"/>
                  <w:shd w:val="clear" w:color="auto" w:fill="F0F0F0"/>
                </w:tcPr>
                <w:p>
                  <w:pPr>
                    <w:pStyle w:val="Normal"/>
                    <w:keepLines w:val="on"/>
                  </w:pPr>
                  <w:r>
                    <w:t>13,52%</w:t>
                  </w:r>
                </w:p>
              </w:tc>
              <w:tc>
                <w:tcPr>
                  <w:tcW w:type="auto" w:w="0"/>
                  <w:shd w:val="clear" w:color="auto" w:fill="F0F0F0"/>
                </w:tcPr>
                <w:p>
                  <w:pPr>
                    <w:pStyle w:val="Normal"/>
                    <w:keepLines w:val="on"/>
                  </w:pPr>
                  <w:r>
                    <w:t>17,23%</w:t>
                  </w:r>
                </w:p>
              </w:tc>
            </w:tr>
          </w:tbl>
          <w:p/>
        </w:tc>
      </w:tr>
    </w:tbl>
    <w:p>
      <w:pPr>
        <w:pStyle w:val="Para 04"/>
        <w:keepLines w:val="on"/>
      </w:pPr>
      <w:r>
        <w:t>Ở tỷ lệ nợ 30%, chi phí vốn được tối thiểu hóa ở mức 7,95%; thấp hơn khoảng 0,73% so với chi phí vốn hiện tại.</w:t>
      </w:r>
    </w:p>
    <w:p>
      <w:pPr>
        <w:pStyle w:val="Para 04"/>
        <w:keepLines w:val="on"/>
      </w:pPr>
      <w:r>
        <w:t>Nếu chúng ta giả định rằng điều duy nhất chúng ta thay đổi ở SAP là cơ cấu tài chính, và đưa công ty về tỷ lệ nợ tối ưu 30% (cùng với chi phí vốn thấp hơn là kết quả của việc đó), thì giá trị của SAP với tư cách một công ty sẽ tăng lên. Trong Hình 31.9, chúng tôi trình bày định giá tái cấu trúc của SAP với thay đổi này và đạt được giá trị 118,50 euro mỗi cổ phần. Giá trị của quyền kiểm soát trong trường hợp của SAP khá khiêm tốn, chỉ 12,4 euro mỗi cổ phần, tương đương khoảng 12% giá trị vốn chủ sở hữu.</w:t>
      </w:r>
    </w:p>
    <w:p>
      <w:bookmarkStart w:id="6454" w:name="Figure_31_9_SAP__Value_with_Chan"/>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13000" cy="1689100"/>
            <wp:effectExtent l="0" r="0" t="0" b="0"/>
            <wp:wrapTopAndBottom/>
            <wp:docPr id="290" name="c31f009.png" descr="Diagram for reinvestment rate, expected growth, return on capital, cost of equity and debt, weight for S A P Company with altered financing."/>
            <wp:cNvGraphicFramePr>
              <a:graphicFrameLocks noChangeAspect="1"/>
            </wp:cNvGraphicFramePr>
            <a:graphic>
              <a:graphicData uri="http://schemas.openxmlformats.org/drawingml/2006/picture">
                <pic:pic>
                  <pic:nvPicPr>
                    <pic:cNvPr id="0" name="c31f009.png" descr="Diagram for reinvestment rate, expected growth, return on capital, cost of equity and debt, weight for S A P Company with altered financing."/>
                    <pic:cNvPicPr/>
                  </pic:nvPicPr>
                  <pic:blipFill>
                    <a:blip r:embed="rId209"/>
                    <a:stretch>
                      <a:fillRect/>
                    </a:stretch>
                  </pic:blipFill>
                  <pic:spPr>
                    <a:xfrm>
                      <a:off x="0" y="0"/>
                      <a:ext cx="2413000" cy="1689100"/>
                    </a:xfrm>
                    <a:prstGeom prst="rect">
                      <a:avLst/>
                    </a:prstGeom>
                  </pic:spPr>
                </pic:pic>
              </a:graphicData>
            </a:graphic>
          </wp:anchor>
        </w:drawing>
      </w:r>
      <w:bookmarkEnd w:id="6454"/>
    </w:p>
    <w:p>
      <w:pPr>
        <w:keepNext/>
        <w:pStyle w:val="Para 38"/>
        <w:keepLines w:val="on"/>
      </w:pPr>
      <w:r>
        <w:t>Hình 31.9 SAP: Giá trị khi thay đổi cơ cấu tài chính</w:t>
      </w:r>
    </w:p>
    <w:p>
      <w:pPr>
        <w:pStyle w:val="Para 11"/>
      </w:pPr>
      <w:r>
        <w:t xml:space="preserve"> </w:t>
      </w:r>
      <w:r>
        <w:rPr>
          <w:rStyle w:val="Text26"/>
        </w:rPr>
        <w:bookmarkStart w:id="6455" w:name="Page_1000"/>
        <w:t/>
        <w:bookmarkEnd w:id="6455"/>
      </w:r>
      <w:r>
        <w:t xml:space="preserve"> </w:t>
      </w:r>
    </w:p>
    <w:p>
      <w:bookmarkStart w:id="6456" w:name="ILLUSTRATION_31_7___The_Value_of_1"/>
      <w:bookmarkStart w:id="6457" w:name="ILLUSTRATION_31_7___The_Value_of"/>
      <w:pPr>
        <w:keepNext/>
        <w:pStyle w:val="Para 19"/>
        <w:keepLines w:val="on"/>
      </w:pPr>
      <w:r>
        <w:t>VÍ DỤ 31.7: Giá trị của việc thay đổi ban điều hành—Blockbuster vào tháng 4 năm 2005</w:t>
      </w:r>
      <w:bookmarkEnd w:id="6456"/>
      <w:bookmarkEnd w:id="6457"/>
    </w:p>
    <w:p>
      <w:pPr>
        <w:pStyle w:val="Para 04"/>
        <w:keepLines w:val="on"/>
      </w:pPr>
      <w:r>
        <w:t>Vào tháng 4 năm 2005, Carl Icahn gây sốc cho ban điều hành của Blockbuster, công ty cho thuê băng đĩa video, khi ông tranh cử danh sách ban điều hành để giành ghế trong hội đồng quản trị. Ông dựa trên lập luận rằng Blockbuster bị quản lý và điều hành kém cỏi, và có thể đáng giá hơn nhiều nếu có những thay đổi đáng kể trong ban điều hành. Trong khi ban điều hành đương nhiệm phản đối ông về vấn đề này, Icahn đã giành được đủ sự ủng hộ của cổ đông để đưa các đại diện của mình vào hội đồng quản trị.</w:t>
      </w:r>
    </w:p>
    <w:p>
      <w:pPr>
        <w:pStyle w:val="Para 04"/>
        <w:keepLines w:val="on"/>
      </w:pPr>
      <w:r>
        <w:t>Nhìn vào báo cáo tài chính năm 2004 của Blockbuster, có cơ sở rõ ràng cho sự bất mãn của cổ đông với công ty. Doanh thu của công ty đã trì trệ, đi từ 5.566 triệu đô la năm 2002, lên 5.912 triệu đô la năm 2003, rồi 6.054 triệu đô la năm 2004. Đáng lo ngại hơn nữa, thu nhập hoạt động của công ty đã giảm từ 468,20 triệu đô la năm 2002 xuống còn 251,20 triệu đô la năm 2004, khi sự cạnh tranh gia tăng cả từ dịch vụ cho thuê trực tuyến (Netflix) lẫn từ các nhà bán lẻ giảm giá (Walmart). Công ty đạt tỷ suất sinh lợi trên vốn (return on capital) là 4,06% trên tài sản hiện có trong năm 2004, trong khi chi phí vốn là 6,17%. Ngay cả khi chúng ta giả định rằng tỷ suất sinh lợi trên vốn của các khoản đầu tư mới sẽ tăng dần lên mức chi phí vốn trong năm năm tới, chúng ta vẫn đạt được giá trị vốn chủ sở hữu là 955 triệu đô la và giá trị mỗi cổ phần chỉ 5,13 đô la (thể hiện trong Hình 31.10).</w:t>
      </w:r>
    </w:p>
    <w:p>
      <w:bookmarkStart w:id="6460" w:name="Figure_31_10_Blockbuster__Status"/>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13000" cy="1676400"/>
            <wp:effectExtent l="0" r="0" t="0" b="0"/>
            <wp:wrapTopAndBottom/>
            <wp:docPr id="291" name="c31f010.png" descr="Diagram for reinvestment rate, expected growth, return on capital, cost of equity and debt, weights for Blockbuster Company with status quo."/>
            <wp:cNvGraphicFramePr>
              <a:graphicFrameLocks noChangeAspect="1"/>
            </wp:cNvGraphicFramePr>
            <a:graphic>
              <a:graphicData uri="http://schemas.openxmlformats.org/drawingml/2006/picture">
                <pic:pic>
                  <pic:nvPicPr>
                    <pic:cNvPr id="0" name="c31f010.png" descr="Diagram for reinvestment rate, expected growth, return on capital, cost of equity and debt, weights for Blockbuster Company with status quo."/>
                    <pic:cNvPicPr/>
                  </pic:nvPicPr>
                  <pic:blipFill>
                    <a:blip r:embed="rId210"/>
                    <a:stretch>
                      <a:fillRect/>
                    </a:stretch>
                  </pic:blipFill>
                  <pic:spPr>
                    <a:xfrm>
                      <a:off x="0" y="0"/>
                      <a:ext cx="2413000" cy="1676400"/>
                    </a:xfrm>
                    <a:prstGeom prst="rect">
                      <a:avLst/>
                    </a:prstGeom>
                  </pic:spPr>
                </pic:pic>
              </a:graphicData>
            </a:graphic>
          </wp:anchor>
        </w:drawing>
      </w:r>
      <w:bookmarkEnd w:id="6460"/>
    </w:p>
    <w:p>
      <w:pPr>
        <w:keepNext/>
        <w:pStyle w:val="Para 38"/>
        <w:keepLines w:val="on"/>
      </w:pPr>
      <w:r>
        <w:t>Hình 31.10 Blockbuster: Hiện trạng</w:t>
      </w:r>
    </w:p>
    <w:p>
      <w:pPr>
        <w:pStyle w:val="Para 04"/>
        <w:keepLines w:val="on"/>
      </w:pPr>
      <w:r>
        <w:t>Vậy, chúng ta sẽ tái cấu trúc Blockbuster như thế nào? Thành phần đầu tiên và quan trọng nhất là tăng tỷ suất sinh lợi trên tài sản hiện có lên ít nhất bằng chi phí vốn 6,17%. Điều này đòi hỏi hoặc phải tạo ra nhiều thu nhập hoạt động hơn (thu nhập hoạt động trước thuế phải tăng lên 381,76 triệu đô la), hoặc giải phóng một phần vốn hiện có đang bị mắc kẹt trong những tài sản có tỷ suất sinh lợi kém nhất (việc này sẽ đòi hỏi phải thoái vốn hơn 1 tỷ đô la). Nếu chúng ta cũng giả định rằng công ty có thể nâng tỷ suất sinh lợi trên vốn của các khoản đầu tư mới lên bằng chi phí vốn ngay lập tức, thì giá trị vốn chủ sở hữu sẽ nhảy vọt lên 2,323 tỷ đô la, dẫn đến giá trị mỗi cổ phần của công ty là 12,47 đô la (thể hiện trong Hình 31.11).</w:t>
      </w:r>
    </w:p>
    <w:p>
      <w:pPr>
        <w:pStyle w:val="Para 40"/>
        <w:keepLines w:val="on"/>
      </w:pPr>
      <w:r>
        <w:rPr>
          <w:rStyle w:val="Text26"/>
        </w:rPr>
        <w:bookmarkStart w:id="6462" w:name="Page_1001"/>
        <w:t/>
        <w:bookmarkEnd w:id="6462"/>
      </w:r>
      <w:r>
        <w:t xml:space="preserve"> </w:t>
      </w:r>
    </w:p>
    <w:p>
      <w:bookmarkStart w:id="6463" w:name="Figure_31_11_Blockbuster__Restru"/>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1714500"/>
            <wp:effectExtent l="0" r="0" t="0" b="0"/>
            <wp:wrapTopAndBottom/>
            <wp:docPr id="292" name="c31f011.png" descr="Diagram for reinvestment rate, expected growth, return on capital, cost of equity and debt, weights for Blockbuster with restructuring."/>
            <wp:cNvGraphicFramePr>
              <a:graphicFrameLocks noChangeAspect="1"/>
            </wp:cNvGraphicFramePr>
            <a:graphic>
              <a:graphicData uri="http://schemas.openxmlformats.org/drawingml/2006/picture">
                <pic:pic>
                  <pic:nvPicPr>
                    <pic:cNvPr id="0" name="c31f011.png" descr="Diagram for reinvestment rate, expected growth, return on capital, cost of equity and debt, weights for Blockbuster with restructuring."/>
                    <pic:cNvPicPr/>
                  </pic:nvPicPr>
                  <pic:blipFill>
                    <a:blip r:embed="rId211"/>
                    <a:stretch>
                      <a:fillRect/>
                    </a:stretch>
                  </pic:blipFill>
                  <pic:spPr>
                    <a:xfrm>
                      <a:off x="0" y="0"/>
                      <a:ext cx="2425700" cy="1714500"/>
                    </a:xfrm>
                    <a:prstGeom prst="rect">
                      <a:avLst/>
                    </a:prstGeom>
                  </pic:spPr>
                </pic:pic>
              </a:graphicData>
            </a:graphic>
          </wp:anchor>
        </w:drawing>
      </w:r>
      <w:bookmarkEnd w:id="6463"/>
    </w:p>
    <w:p>
      <w:pPr>
        <w:keepNext/>
        <w:pStyle w:val="Para 38"/>
        <w:keepLines w:val="on"/>
      </w:pPr>
      <w:r>
        <w:t>Hình 31.11 Blockbuster: Sau tái cấu trúc</w:t>
      </w:r>
    </w:p>
    <w:p>
      <w:pPr>
        <w:pStyle w:val="Para 04"/>
        <w:keepLines w:val="on"/>
      </w:pPr>
      <w:r>
        <w:t>Đáng lưu ý rằng Blockbuster có hai loại cổ phiếu—118 triệu cổ phiếu loại A với một quyền biểu quyết mỗi cổ phiếu, và 63 triệu cổ phiếu loại B với hai quyền biểu quyết mỗi cổ phiếu. Vào thời điểm phân tích này, cả hai loại cổ phiếu loại A đều đang giao dịch ở mức giá 9,50 đô la mỗi cổ phiếu.</w:t>
      </w:r>
    </w:p>
    <w:p>
      <w:pPr>
        <w:pStyle w:val="Para 11"/>
      </w:pPr>
      <w:r>
        <w:t xml:space="preserve"> </w:t>
      </w:r>
    </w:p>
    <w:p>
      <w:bookmarkStart w:id="6464" w:name="valenh_xls__This_spreadsheet_al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93"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6464"/>
    </w:p>
    <w:p>
      <w:pPr>
        <w:pStyle w:val="Para 31"/>
        <w:keepLines w:val="on"/>
      </w:pPr>
      <w:r>
        <w:t>valenh.xls: Bảng tính này cho phép bạn ước tính tác động gần đúng mà việc thay đổi cách điều hành một công ty gây ra đối với giá trị của nó.</w:t>
      </w:r>
    </w:p>
    <w:p>
      <w:bookmarkStart w:id="6465" w:name="Closing_Thoughts_on_Value_Enhanc_1"/>
      <w:bookmarkStart w:id="6466" w:name="Closing_Thoughts_on_Value_Enhanc"/>
      <w:pPr>
        <w:keepNext/>
        <w:pStyle w:val="Heading 2"/>
        <w:keepLines w:val="on"/>
      </w:pPr>
      <w:r>
        <w:t>Suy nghĩ kết luận về việc gia tăng giá trị</w:t>
      </w:r>
      <w:bookmarkEnd w:id="6465"/>
      <w:bookmarkEnd w:id="6466"/>
    </w:p>
    <w:p>
      <w:pPr>
        <w:pStyle w:val="Para 03"/>
      </w:pPr>
      <w:r>
        <w:t>Hầu như tất cả các công ty đều tuyên bố quan tâm đến việc gia tăng giá trị, nhưng rất ít công ty có thể gia tăng giá trị một cách nhất quán. Nếu việc gia tăng giá trị đơn giản như cách nó được trình bày trong chương này, bạn có thể tự hỏi tại sao lại như vậy. Có bốn mệnh đề cơ bản bạn cần cân nhắc trong bối cảnh gia tăng giá trị:</w:t>
      </w:r>
    </w:p>
    <w:p>
      <w:pPr>
        <w:numPr>
          <w:ilvl w:val="0"/>
          <w:numId w:val="383"/>
        </w:numPr>
        <w:pStyle w:val="Para 01"/>
      </w:pPr>
      <w:r>
        <w:t>Gia tăng giá trị là công việc vất vả, tốn thời gian, và có thể khiến cuộc sống của các nhà quản lý hiện tại trở nên khó chịu. Không có viên đạn thần kỳ nào giúp gia tăng giá trị một cách không đau đớn. Tăng dòng tiền đòi hỏi những quyết định khó khăn về sa thải và cắt giảm chi phí, và trong một số trường hợp, phải thừa nhận những sai lầm trong quá khứ. Tăng tỷ lệ tái đầu tư sẽ đòi hỏi bạn phải phân tích các khoản đầu tư mới cẩn thận hơn và phải đầu tư vào cơ sở hạ tầng cần thiết để quản lý những khoản đầu tư này. Tăng tỷ lệ nợ cũng có thể tạo ra những áp lực mới về việc thanh toán lãi và phải đối phó với các tổ chức xếp hạng tín nhiệm và ngân hàng.</w:t>
      </w:r>
    </w:p>
    <w:p>
      <w:pPr>
        <w:numPr>
          <w:ilvl w:val="0"/>
          <w:numId w:val="383"/>
        </w:numPr>
        <w:pStyle w:val="Para 01"/>
      </w:pPr>
      <w:r>
        <w:t>Để một công ty gia tăng giá trị, tất cả các bộ phận cấu thành của nó đều phải đồng lòng ủng hộ kế hoạch gia tăng giá trị. Bạn không thể gia tăng giá trị bằng mệnh lệnh, và bạn cũng không thể làm điều đó từ phòng điều hành (hay phòng tài chính). Như bạn có thể đã nhận thấy trong phần thảo luận, mọi bộ phận của công ty đều có vai trò trong việc gia tăng giá trị. Bảng 31.5 tóm tắt vai trò của từng bộ phận trong công ty đối với các hành động gia tăng giá trị đã được mô tả trong chương này. Các phòng ban phải hợp tác với nhau thì việc gia tăng giá trị mới trở thành hiện thực.</w:t>
      </w:r>
    </w:p>
    <w:p>
      <w:pPr>
        <w:pStyle w:val="Para 20"/>
      </w:pPr>
      <w:r>
        <w:rPr>
          <w:rStyle w:val="Text26"/>
        </w:rPr>
        <w:bookmarkStart w:id="6468" w:name="Page_1002"/>
        <w:t/>
        <w:bookmarkEnd w:id="6468"/>
      </w:r>
      <w:r>
        <w:t xml:space="preserve"> </w:t>
      </w:r>
    </w:p>
    <w:p>
      <w:pPr>
        <w:pStyle w:val="Para 34"/>
        <w:keepLines w:val="on"/>
      </w:pPr>
      <w:r>
        <w:t>Bảng 31.5</w:t>
      </w:r>
    </w:p>
    <w:p>
      <w:pPr>
        <w:keepNext/>
        <w:pStyle w:val="Para 35"/>
        <w:keepLines w:val="on"/>
      </w:pPr>
      <w:r>
        <w:t>Các hành động gia tăng giá trị: Ai chịu trách nhiệm?</w:t>
      </w:r>
    </w:p>
    <w:tbl>
      <w:tblPr>
        <w:tblW w:type="auto" w:w="0"/>
      </w:tblPr>
      <w:tr>
        <w:tc>
          <w:tcPr>
            <w:tcW w:type="auto" w:w="0"/>
          </w:tcPr>
          <w:tbl>
            <w:tblPr>
              <w:tblW w:type="pct" w:w="5000"/>
            </w:tblPr>
            <w:tr>
              <w:tc>
                <w:tcPr>
                  <w:tcW w:type="auto" w:w="0"/>
                  <w:shd w:val="clear" w:color="auto" w:fill="F0F0F0"/>
                </w:tcPr>
                <w:p>
                  <w:pPr>
                    <w:pStyle w:val="Para 29"/>
                    <w:keepLines w:val="on"/>
                  </w:pPr>
                  <w:r>
                    <w:t>Hành động gia tăng giá trị</w:t>
                  </w:r>
                </w:p>
              </w:tc>
              <w:tc>
                <w:tcPr>
                  <w:tcW w:type="auto" w:w="0"/>
                  <w:shd w:val="clear" w:color="auto" w:fill="F0F0F0"/>
                </w:tcPr>
                <w:p>
                  <w:pPr>
                    <w:pStyle w:val="Para 17"/>
                    <w:keepLines w:val="on"/>
                  </w:pPr>
                  <w:r>
                    <w:t>Trách nhiệm chính</w:t>
                  </w:r>
                </w:p>
              </w:tc>
            </w:tr>
            <w:tr>
              <w:tc>
                <w:tcPr>
                  <w:tcW w:type="auto" w:w="0"/>
                  <w:shd w:val="clear" w:color="auto" w:fill="F0F0F0"/>
                </w:tcPr>
                <w:p>
                  <w:pPr>
                    <w:pStyle w:val="Para 02"/>
                    <w:keepLines w:val="on"/>
                  </w:pPr>
                  <w:r>
                    <w:t>Tăng hiệu quả hoạt động</w:t>
                  </w:r>
                </w:p>
              </w:tc>
              <w:tc>
                <w:tcPr>
                  <w:tcW w:type="auto" w:w="0"/>
                  <w:shd w:val="clear" w:color="auto" w:fill="F0F0F0"/>
                </w:tcPr>
                <w:p>
                  <w:pPr>
                    <w:pStyle w:val="Para 02"/>
                    <w:keepLines w:val="on"/>
                  </w:pPr>
                  <w:r>
                    <w:t>Các nhà quản lý vận hành và nhân viên, từ giám sát phân xưởng đến quản đốc nhà máy</w:t>
                  </w:r>
                </w:p>
              </w:tc>
            </w:tr>
            <w:tr>
              <w:tc>
                <w:tcPr>
                  <w:tcW w:type="auto" w:w="0"/>
                  <w:shd w:val="clear" w:color="auto" w:fill="F0F0F0"/>
                </w:tcPr>
                <w:p>
                  <w:pPr>
                    <w:pStyle w:val="Para 02"/>
                    <w:keepLines w:val="on"/>
                  </w:pPr>
                  <w:r>
                    <w:t>Giảm nhu cầu vốn lưu động</w:t>
                  </w:r>
                </w:p>
              </w:tc>
              <w:tc>
                <w:tcPr>
                  <w:tcW w:type="auto" w:w="0"/>
                  <w:shd w:val="clear" w:color="auto" w:fill="F0F0F0"/>
                </w:tcPr>
                <w:p>
                  <w:pPr>
                    <w:pStyle w:val="Para 02"/>
                    <w:keepLines w:val="on"/>
                  </w:pPr>
                  <w:r>
                    <w:t>Nhân viên quản lý hàng tồn kho; nhân viên tín dụng</w:t>
                  </w:r>
                </w:p>
              </w:tc>
            </w:tr>
            <w:tr>
              <w:tc>
                <w:tcPr>
                  <w:tcW w:type="auto" w:w="0"/>
                  <w:shd w:val="clear" w:color="auto" w:fill="F0F0F0"/>
                </w:tcPr>
                <w:p>
                  <w:pPr>
                    <w:pStyle w:val="Para 02"/>
                    <w:keepLines w:val="on"/>
                  </w:pPr>
                  <w:r>
                    <w:t>Tăng trưởng doanh thu</w:t>
                  </w:r>
                </w:p>
              </w:tc>
              <w:tc>
                <w:tcPr>
                  <w:tcW w:type="auto" w:w="0"/>
                  <w:shd w:val="clear" w:color="auto" w:fill="F0F0F0"/>
                </w:tcPr>
                <w:p>
                  <w:pPr>
                    <w:pStyle w:val="Para 02"/>
                    <w:keepLines w:val="on"/>
                  </w:pPr>
                  <w:r>
                    <w:t>Nhân viên kinh doanh và tiếp thị</w:t>
                  </w:r>
                </w:p>
              </w:tc>
            </w:tr>
            <w:tr>
              <w:tc>
                <w:tcPr>
                  <w:tcW w:type="auto" w:w="0"/>
                  <w:shd w:val="clear" w:color="auto" w:fill="F0F0F0"/>
                </w:tcPr>
                <w:p>
                  <w:pPr>
                    <w:pStyle w:val="Para 02"/>
                    <w:keepLines w:val="on"/>
                  </w:pPr>
                  <w:r>
                    <w:t>Tăng tỷ suất sinh lời trên vốn/tỷ lệ tái đầu tư</w:t>
                  </w:r>
                </w:p>
              </w:tc>
              <w:tc>
                <w:tcPr>
                  <w:tcW w:type="auto" w:w="0"/>
                  <w:shd w:val="clear" w:color="auto" w:fill="F0F0F0"/>
                </w:tcPr>
                <w:p>
                  <w:pPr>
                    <w:pStyle w:val="Para 02"/>
                    <w:keepLines w:val="on"/>
                  </w:pPr>
                  <w:r>
                    <w:t>Các nhóm chiến lược, với sự hỗ trợ từ các nhà phân tích tài chính</w:t>
                  </w:r>
                </w:p>
              </w:tc>
            </w:tr>
            <w:tr>
              <w:tc>
                <w:tcPr>
                  <w:tcW w:type="auto" w:w="0"/>
                  <w:shd w:val="clear" w:color="auto" w:fill="F0F0F0"/>
                </w:tcPr>
                <w:p>
                  <w:pPr>
                    <w:pStyle w:val="Para 02"/>
                    <w:keepLines w:val="on"/>
                  </w:pPr>
                  <w:r>
                    <w:t>Xây dựng thương hiệu</w:t>
                  </w:r>
                </w:p>
              </w:tc>
              <w:tc>
                <w:tcPr>
                  <w:tcW w:type="auto" w:w="0"/>
                  <w:shd w:val="clear" w:color="auto" w:fill="F0F0F0"/>
                </w:tcPr>
                <w:p>
                  <w:pPr>
                    <w:pStyle w:val="Para 02"/>
                    <w:keepLines w:val="on"/>
                  </w:pPr>
                  <w:r>
                    <w:t>Nhân viên quảng cáo</w:t>
                  </w:r>
                </w:p>
              </w:tc>
            </w:tr>
            <w:tr>
              <w:tc>
                <w:tcPr>
                  <w:tcW w:type="auto" w:w="0"/>
                  <w:shd w:val="clear" w:color="auto" w:fill="F0F0F0"/>
                </w:tcPr>
                <w:p>
                  <w:pPr>
                    <w:pStyle w:val="Para 02"/>
                    <w:keepLines w:val="on"/>
                  </w:pPr>
                  <w:r>
                    <w:t>Các lợi thế cạnh tranh khác</w:t>
                  </w:r>
                </w:p>
              </w:tc>
              <w:tc>
                <w:tcPr>
                  <w:tcW w:type="auto" w:w="0"/>
                  <w:shd w:val="clear" w:color="auto" w:fill="F0F0F0"/>
                </w:tcPr>
                <w:p>
                  <w:pPr>
                    <w:pStyle w:val="Para 02"/>
                    <w:keepLines w:val="on"/>
                  </w:pPr>
                  <w:r>
                    <w:t>Các nhà phân tích chiến lược</w:t>
                  </w:r>
                </w:p>
              </w:tc>
            </w:tr>
            <w:tr>
              <w:tc>
                <w:tcPr>
                  <w:tcW w:type="auto" w:w="0"/>
                  <w:shd w:val="clear" w:color="auto" w:fill="F0F0F0"/>
                </w:tcPr>
                <w:p>
                  <w:pPr>
                    <w:pStyle w:val="Para 02"/>
                    <w:keepLines w:val="on"/>
                  </w:pPr>
                  <w:r>
                    <w:t>Giảm chi phí tài trợ</w:t>
                  </w:r>
                </w:p>
              </w:tc>
              <w:tc>
                <w:tcPr>
                  <w:tcW w:type="auto" w:w="0"/>
                  <w:shd w:val="clear" w:color="auto" w:fill="F0F0F0"/>
                </w:tcPr>
                <w:p>
                  <w:pPr>
                    <w:pStyle w:val="Para 02"/>
                    <w:keepLines w:val="on"/>
                  </w:pPr>
                  <w:r>
                    <w:t>Phòng tài chính</w:t>
                  </w:r>
                </w:p>
              </w:tc>
            </w:tr>
          </w:tbl>
          <w:p/>
        </w:tc>
      </w:tr>
    </w:tbl>
    <w:p>
      <w:pPr>
        <w:numPr>
          <w:ilvl w:val="0"/>
          <w:numId w:val="384"/>
        </w:numPr>
        <w:pStyle w:val="Para 01"/>
      </w:pPr>
      <w:r>
        <w:t>Việc gia tăng giá trị phải gắn liền với đặc thù của từng doanh nghiệp. Không có hai doanh nghiệp nào đang gặp khó khăn lại có cùng vấn đề, và việc áp dụng một công thức chung chung hiếm khi hiệu quả trong việc gia tăng giá trị. Bạn phải bắt đầu bằng việc chẩn đoán những vấn đề cụ thể mà doanh nghiệp bạn đang phân tích gặp phải, rồi thiết kế giải pháp phù hợp với những vấn đề đó. Vì vậy, kế hoạch gia tăng giá trị bạn xây dựng cho một doanh nghiệp trưởng thành đang bị đội chi phí sẽ rất khác so với kế hoạch dành cho một doanh nghiệp non trẻ có sản phẩm không còn đáp ứng nhu cầu thị trường.</w:t>
      </w:r>
    </w:p>
    <w:p>
      <w:pPr>
        <w:numPr>
          <w:ilvl w:val="0"/>
          <w:numId w:val="384"/>
        </w:numPr>
        <w:pStyle w:val="Para 01"/>
      </w:pPr>
      <w:r>
        <w:t>Gia tăng giá cổ phiếu không phải lúc nào cũng đi kèm với gia tăng giá trị. Đây có lẽ là khía cạnh gây thất vọng nhất của việc gia tăng giá trị. Một doanh nghiệp thực hiện đúng mọi hành động cần thiết có thể không được thị trường tài chính tưởng thưởng ngay lập tức. Trong một số trường hợp, thị trường thậm chí còn trừng phạt những doanh nghiệp như vậy vì tác động của các hành động này lên lợi nhuận báo cáo. Về dài hạn, thị trường rất có thể sẽ ghi nhận và tưởng thưởng cho những hành động gia tăng giá trị, nhưng người quản lý đã thực hiện những hành động đó có thể không còn ở đó để chia sẻ phần thưởng.</w:t>
      </w:r>
    </w:p>
    <w:p>
      <w:bookmarkStart w:id="6469" w:name="Conclusion__Value_enhancement_is"/>
      <w:bookmarkStart w:id="6470" w:name="Conclusion_30"/>
      <w:pPr>
        <w:keepNext/>
        <w:pStyle w:val="Heading 2"/>
        <w:keepLines w:val="on"/>
      </w:pPr>
      <w:r>
        <w:t>Kết luận</w:t>
      </w:r>
      <w:bookmarkEnd w:id="6469"/>
      <w:bookmarkEnd w:id="6470"/>
    </w:p>
    <w:p>
      <w:pPr>
        <w:pStyle w:val="Para 03"/>
      </w:pPr>
      <w:r>
        <w:t>Gia tăng giá trị rõ ràng đang là mối quan tâm của nhiều nhà quản lý ngày nay. Dựa trên các nguyên tắc dòng tiền chiết khấu (discounted cash flow) đã trình bày ở chương trước, giá trị của một doanh nghiệp có thể được gia tăng bằng cách thay đổi một trong bốn yếu tố đầu vào chính của giá trị: dòng tiền từ các tài sản hiện hữu, tốc độ tăng trưởng kỳ vọng trong giai đoạn tăng trưởng cao, độ dài của giai đoạn tăng trưởng cao, và chi phí vốn. Ngược lại, những hành động không thay đổi bất kỳ biến số nào trong số này thì không thể tạo ra giá trị. Dòng tiền từ các tài sản hiện hữu có thể được gia tăng bằng cách cắt giảm chi phí và vận hành hiệu quả hơn, cũng như bằng cách giảm thuế phải nộp trên thu nhập và giảm nhu cầu đầu tư (duy trì vốn và đầu tư vào vốn lưu động phi tiền mặt). Tăng trưởng kỳ vọng có thể được gia tăng bằng cách nâng tỷ lệ tái đầu tư hoặc tỷ suất sinh lời trên vốn, nhưng việc tăng tỷ lệ tái đầu tư chỉ tạo ra giá trị nếu tỷ suất sinh lời trên vốn vượt quá chi phí vốn. Tăng trưởng cao, ít nhất là loại tăng trưởng tạo ra giá trị, có thể được kéo dài hơn bằng cách tạo ra những lợi thế cạnh tranh mới hoặc củng cố những lợi thế hiện có. Cuối cùng, chi phí vốn có thể được hạ thấp bằng cách tiến tới một tỷ lệ nợ tối ưu, sử dụng loại nợ phù hợp hơn với tài sản được tài trợ, và giảm rủi ro thị trường.</w:t>
      </w:r>
    </w:p>
    <w:p>
      <w:bookmarkStart w:id="6472" w:name="Questions_and_Short_Problems_29"/>
      <w:bookmarkStart w:id="6473" w:name="Questions_and_Short_Problems__In_23"/>
      <w:pPr>
        <w:keepNext/>
        <w:pStyle w:val="Heading 2"/>
        <w:keepLines w:val="on"/>
      </w:pPr>
      <w:r>
        <w:t>Câu hỏi và Bài tập ngắn</w:t>
      </w:r>
      <w:bookmarkEnd w:id="6472"/>
      <w:bookmarkEnd w:id="6473"/>
    </w:p>
    <w:p>
      <w:pPr>
        <w:pStyle w:val="Para 44"/>
      </w:pPr>
      <w:r>
        <w:t>Trong các bài tập sau, hãy sử dụng mức bù rủi ro vốn cổ phần (equity risk premium) là 5,5 phần trăm nếu không có quy định nào khác.</w:t>
      </w:r>
    </w:p>
    <w:p>
      <w:pPr>
        <w:numPr>
          <w:ilvl w:val="0"/>
          <w:numId w:val="385"/>
        </w:numPr>
        <w:pStyle w:val="Para 01"/>
      </w:pPr>
      <w:r>
        <w:t>Marion Manufacturing, một công ty thép, thông báo rằng họ sẽ ghi nhận một khoản chi phí tái cấu trúc lớn, làm giảm lợi nhuận năm nay 500 triệu đô la. Giả sử khoản chi phí này không được khấu trừ thuế và không ảnh hưởng đến hoạt động kinh doanh.</w:t>
      </w:r>
    </w:p>
    <w:p>
      <w:pPr>
        <w:numPr>
          <w:ilvl w:val="1"/>
          <w:numId w:val="385"/>
        </w:numPr>
        <w:pStyle w:val="Para 01"/>
      </w:pPr>
      <w:r>
        <w:t>Khoản chi phí này sẽ có tác động gì đến giá trị của doanh nghiệp?</w:t>
      </w:r>
    </w:p>
    <w:p>
      <w:pPr>
        <w:numPr>
          <w:ilvl w:val="1"/>
          <w:numId w:val="385"/>
        </w:numPr>
        <w:pStyle w:val="Para 01"/>
      </w:pPr>
      <w:r>
        <w:t>Khi doanh nghiệp công bố khoản chi phí này, bạn kỳ vọng nó sẽ có tác động gì đến giá cổ phiếu? Câu trả lời của bạn có nhất quán với câu trả lời cho câu hỏi (a) không?</w:t>
      </w:r>
    </w:p>
    <w:p>
      <w:pPr>
        <w:numPr>
          <w:ilvl w:val="0"/>
          <w:numId w:val="385"/>
        </w:numPr>
        <w:pStyle w:val="Para 01"/>
      </w:pPr>
      <w:r>
        <w:t>Universal Health Care (UHC) là một công ty có giá cổ phiếu đã giảm 40% trong năm qua. Trong năm hiện tại, UHC đạt 300 triệu đô la thu nhập hoạt động trước thuế trên doanh thu 10 tỷ đô la. Tổng giám đốc điều hành mới của công ty đã đề xuất các biện pháp cắt giảm chi phí mà bà kỳ vọng sẽ tiết kiệm cho công ty 100 triệu đô la chi phí, mà không ảnh hưởng gì đến doanh thu. Giả sử công ty đang tăng trưởng ở mức ổn định 5% một năm và chi phí vốn là 10%; cả hai con số này đều không được kỳ vọng sẽ thay đổi do kết quả của việc cắt giảm chi phí. Thuế suất của công ty là 40%. (Bạn có thể giả định rằng công ty tái đầu tư 100 triệu đô la mỗi năm và khoản tái đầu tư này sẽ không thay đổi khi công ty cắt giảm chi phí.)</w:t>
      </w:r>
    </w:p>
    <w:p>
      <w:pPr>
        <w:numPr>
          <w:ilvl w:val="1"/>
          <w:numId w:val="385"/>
        </w:numPr>
        <w:pStyle w:val="Para 01"/>
      </w:pPr>
      <w:r>
        <w:t>Việc cắt giảm chi phí sẽ ảnh hưởng thế nào đến giá trị?</w:t>
      </w:r>
    </w:p>
    <w:p>
      <w:pPr>
        <w:numPr>
          <w:ilvl w:val="1"/>
          <w:numId w:val="385"/>
        </w:numPr>
        <w:pStyle w:val="Para 01"/>
      </w:pPr>
      <w:r>
        <w:t>Việc cắt giảm chi phí sẽ ảnh hưởng thế nào đến giá trị nếu tốc độ tăng trưởng kỳ vọng giảm xuống còn 4,5% như một hệ quả? (Một số chi phí bị cắt giảm vốn được thiết kế để tạo ra tăng trưởng trong tương lai.)</w:t>
      </w:r>
    </w:p>
    <w:p>
      <w:pPr>
        <w:numPr>
          <w:ilvl w:val="0"/>
          <w:numId w:val="385"/>
        </w:numPr>
        <w:pStyle w:val="Para 01"/>
      </w:pPr>
      <w:r>
        <w:t>Atlantic Cruise Lines vận hành các tàu du lịch và có trụ sở chính tại Florida. Công ty có 100 triệu đô-la thu nhập hoạt động trước thuế trong năm nay, trong đó công ty tái đầu tư 25 triệu đô-la. Công ty kỳ vọng thu nhập hoạt động của mình sẽ tăng trưởng 4% mãi mãi và kỳ vọng duy trì tỷ lệ tái đầu tư hiện tại. Atlantic có cấu trúc vốn gồm 60% vốn chủ sở hữu và 40% nợ. Chi phí vốn chủ sở hữu của công ty là 12% và chi phí đi vay trước thuế là 8%. Công ty hiện chịu thuế suất 40%.</w:t>
      </w:r>
    </w:p>
    <w:p>
      <w:pPr>
        <w:numPr>
          <w:ilvl w:val="1"/>
          <w:numId w:val="385"/>
        </w:numPr>
        <w:pStyle w:val="Para 01"/>
      </w:pPr>
      <w:r>
        <w:t>Hãy ước tính giá trị của công ty.</w:t>
      </w:r>
    </w:p>
    <w:p>
      <w:pPr>
        <w:numPr>
          <w:ilvl w:val="1"/>
          <w:numId w:val="385"/>
        </w:numPr>
        <w:pStyle w:val="Para 01"/>
      </w:pPr>
      <w:r>
        <w:t>Bây giờ giả sử Atlantic Cruise Lines sẽ chuyển trụ sở chính đến Quần đảo Cayman. Nếu thuế suất của công ty giảm xuống còn 0% như một hệ quả, hãy ước tính ảnh hưởng của việc chuyển trụ sở này lên giá trị.</w:t>
      </w:r>
    </w:p>
    <w:p>
      <w:pPr>
        <w:numPr>
          <w:ilvl w:val="0"/>
          <w:numId w:val="385"/>
        </w:numPr>
        <w:pStyle w:val="Para 01"/>
      </w:pPr>
      <w:r>
        <w:t>Furniture Depot là một chuỗi bán lẻ bán đồ nội thất và thiết bị gia dụng. Công ty có thu nhập hoạt động sau thuế là 250 triệu đô-la trong năm nay trên doanh thu 5 tỷ đô-la. Công ty cũng có vốn lưu động phi tiền mặt là 1 tỷ đô-la. Chi tiêu vốn ròng năm nay là 100 triệu đô-la, và họ kỳ vọng doanh thu, thu nhập hoạt động và chi tiêu vốn ròng sẽ tăng trưởng 5% mỗi năm mãi mãi. Chi phí vốn của công ty là 9%.</w:t>
      </w:r>
    </w:p>
    <w:p>
      <w:pPr>
        <w:numPr>
          <w:ilvl w:val="1"/>
          <w:numId w:val="385"/>
        </w:numPr>
        <w:pStyle w:val="Para 01"/>
      </w:pPr>
      <w:r>
        <w:t>Giả sử vốn lưu động phi tiền mặt vẫn giữ ở tỷ lệ phần trăm doanh thu hiện tại, hãy ước tính giá trị của công ty.</w:t>
      </w:r>
    </w:p>
    <w:p>
      <w:pPr>
        <w:numPr>
          <w:ilvl w:val="1"/>
          <w:numId w:val="385"/>
        </w:numPr>
        <w:pStyle w:val="Para 01"/>
      </w:pPr>
      <w:r>
        <w:t>Bây giờ giả sử công ty có thể giảm nhu cầu vốn lưu động phi tiền mặt của mình đi 50%. Hãy ước tính ảnh hưởng của thay đổi này lên giá trị.</w:t>
      </w:r>
    </w:p>
    <w:p>
      <w:pPr>
        <w:numPr>
          <w:ilvl w:val="1"/>
          <w:numId w:val="385"/>
        </w:numPr>
        <w:pStyle w:val="Para 01"/>
      </w:pPr>
      <w:r>
        <w:t>Nếu như một hệ quả của thay đổi vốn lưu động phi tiền mặt này, tăng trưởng thu nhập giảm xuống còn 4,75%, thì ảnh hưởng lên giá trị của việc giảm vốn lưu động phi tiền mặt sẽ là gì?</w:t>
      </w:r>
    </w:p>
    <w:p>
      <w:pPr>
        <w:numPr>
          <w:ilvl w:val="0"/>
          <w:numId w:val="385"/>
        </w:numPr>
        <w:pStyle w:val="Para 01"/>
      </w:pPr>
      <w:r>
        <w:t>General Systems là một công ty sản xuất máy tính cá nhân. Với tư cách là một quản lý cấp cao trong công ty, bạn đang cân nhắc những thay đổi trong cách điều hành công ty. Hiện tại, công ty có thu nhập hoạt động sau thuế là 50 triệu đô-la trên vốn đầu tư là 250 triệu đô-la (vào đầu năm). Công ty cũng tái đầu tư 25 triệu đô-la vào chi tiêu vốn ròng và vốn lưu động.</w:t>
      </w:r>
    </w:p>
    <w:p>
      <w:pPr>
        <w:numPr>
          <w:ilvl w:val="1"/>
          <w:numId w:val="385"/>
        </w:numPr>
        <w:pStyle w:val="Para 01"/>
      </w:pPr>
      <w:r>
        <w:t>Hãy ước tính tốc độ tăng trưởng kỳ vọng của thu nhập, dựa trên tỷ suất sinh lợi trên vốn và tỷ lệ tái đầu tư hiện tại của công ty.</w:t>
      </w:r>
    </w:p>
    <w:p>
      <w:pPr>
        <w:numPr>
          <w:ilvl w:val="1"/>
          <w:numId w:val="385"/>
        </w:numPr>
        <w:pStyle w:val="Para 01"/>
      </w:pPr>
      <w:r>
        <w:t>Giữ tỷ suất sinh lợi trên vốn không đổi, điều gì sẽ xảy ra với tốc độ tăng trưởng kỳ vọng nếu công ty tăng tỷ lệ tái đầu tư lên 80%?</w:t>
      </w:r>
    </w:p>
    <w:p>
      <w:pPr>
        <w:numPr>
          <w:ilvl w:val="1"/>
          <w:numId w:val="385"/>
        </w:numPr>
        <w:pStyle w:val="Para 01"/>
      </w:pPr>
      <w:r>
        <w:t>Ảnh hưởng lên tăng trưởng sẽ là gì nếu, khi tỷ lệ tái đầu tư tăng lên 80%, tỷ suất sinh lợi trên vốn đầu tư giảm đi 5%? (Ví dụ, nếu tỷ suất sinh lợi trên vốn hiện tại là 18%, nó sẽ giảm xuống còn 13%.)</w:t>
      </w:r>
    </w:p>
    <w:p>
      <w:pPr>
        <w:numPr>
          <w:ilvl w:val="0"/>
          <w:numId w:val="385"/>
        </w:numPr>
        <w:pStyle w:val="Para 01"/>
      </w:pPr>
      <w:r>
        <w:t>Compaq Computer đã chứng kiến giá cổ phiếu của mình giảm từ 45 đô-la xuống 24 đô-la. Công ty được kỳ vọng sẽ tái đầu tư 50% thu nhập hoạt động sau thuế dự kiến là 2 tỷ đô-la vào các khoản đầu tư mới và kỳ vọng đạt tỷ suất sinh lợi trên vốn là 10,69%. Công ty được tài trợ hoàn toàn bằng vốn chủ sở hữu và có chi phí vốn chủ sở hữu là 11,5%.</w:t>
      </w:r>
    </w:p>
    <w:p>
      <w:pPr>
        <w:numPr>
          <w:ilvl w:val="1"/>
          <w:numId w:val="385"/>
        </w:numPr>
        <w:pStyle w:val="Para 01"/>
      </w:pPr>
      <w:r>
        <w:t>Tốc độ tăng trưởng kỳ vọng của công ty là gì, giả sử công ty duy trì tỷ lệ tái đầu tư và tỷ suất sinh lợi trên vốn hiện tại?</w:t>
      </w:r>
    </w:p>
    <w:p>
      <w:pPr>
        <w:numPr>
          <w:ilvl w:val="1"/>
          <w:numId w:val="385"/>
        </w:numPr>
        <w:pStyle w:val="Para 01"/>
      </w:pPr>
      <w:r>
        <w:t>Giả sử tăng trưởng này là mãi mãi, giá trị của công ty là bao nhiêu?</w:t>
      </w:r>
    </w:p>
    <w:p>
      <w:pPr>
        <w:numPr>
          <w:ilvl w:val="1"/>
          <w:numId w:val="385"/>
        </w:numPr>
        <w:pStyle w:val="Para 01"/>
      </w:pPr>
      <w:r>
        <w:t>Các khoản đầu tư mới của công ty đang tạo ra hay phá hủy bao nhiêu giá trị?</w:t>
      </w:r>
    </w:p>
    <w:p>
      <w:pPr>
        <w:numPr>
          <w:ilvl w:val="0"/>
          <w:numId w:val="385"/>
        </w:numPr>
        <w:pStyle w:val="Para 01"/>
      </w:pPr>
      <w:r>
        <w:t>Tham chiếu bài toán 6, bây giờ giả sử tỷ lệ nợ tối ưu của Compaq là 20%. Chi phí vốn chủ sở hữu của công ty sẽ tăng lên 12,5%, và chi phí nợ sau thuế của công ty sẽ là 4,5% tại tỷ lệ nợ tối ưu.</w:t>
      </w:r>
    </w:p>
    <w:p>
      <w:pPr>
        <w:numPr>
          <w:ilvl w:val="1"/>
          <w:numId w:val="385"/>
        </w:numPr>
        <w:pStyle w:val="Para 01"/>
      </w:pPr>
      <w:r>
        <w:t>Tốc độ tăng trưởng kỳ vọng của công ty là gì, giả sử công ty duy trì tỷ lệ tái đầu tư và tỷ suất sinh lợi trên vốn hiện tại?</w:t>
      </w:r>
    </w:p>
    <w:p>
      <w:pPr>
        <w:numPr>
          <w:ilvl w:val="1"/>
          <w:numId w:val="385"/>
        </w:numPr>
        <w:pStyle w:val="Para 01"/>
      </w:pPr>
      <w:r>
        <w:t>Giả sử tăng trưởng này là mãi mãi, giá trị của công ty là bao nhiêu?</w:t>
      </w:r>
    </w:p>
    <w:p>
      <w:pPr>
        <w:numPr>
          <w:ilvl w:val="1"/>
          <w:numId w:val="385"/>
        </w:numPr>
        <w:pStyle w:val="Para 01"/>
      </w:pPr>
      <w:r>
        <w:t>Các khoản đầu tư mới của công ty đang tạo ra hay phá hủy bao nhiêu giá trị?</w:t>
      </w:r>
    </w:p>
    <w:p>
      <w:pPr>
        <w:numPr>
          <w:ilvl w:val="0"/>
          <w:numId w:val="385"/>
        </w:numPr>
        <w:pStyle w:val="Para 01"/>
      </w:pPr>
      <w:r>
        <w:t>Coca-Cola được coi là có một trong những tên thương hiệu giá trị nhất thế giới. Công ty có biên lợi nhuận hoạt động sau thuế là 20% trên doanh thu 25 tỷ đô-la. Vốn đầu tư vào công ty là 10 tỷ đô-la. Ngoài ra, Coca-Cola tái đầu tư 50% thu nhập hoạt động sau thuế của mình.</w:t>
      </w:r>
    </w:p>
    <w:p>
      <w:pPr>
        <w:numPr>
          <w:ilvl w:val="1"/>
          <w:numId w:val="385"/>
        </w:numPr>
        <w:pStyle w:val="Para 01"/>
      </w:pPr>
      <w:r>
        <w:t>Hãy ước tính tăng trưởng kỳ vọng của thu nhập hoạt động, giả sử Coca-Cola có thể duy trì những giá trị này trong tương lai xa.</w:t>
      </w:r>
    </w:p>
    <w:p>
      <w:pPr>
        <w:numPr>
          <w:ilvl w:val="1"/>
          <w:numId w:val="385"/>
        </w:numPr>
        <w:pStyle w:val="Para 01"/>
      </w:pPr>
      <w:r>
        <w:t>Giả sử các nhà sản xuất nước ngọt phổ thông chỉ có biên lợi nhuận hoạt động sau thuế là 7,5%. Nếu Coca-Cola duy trì tỷ lệ tái đầu tư hiện tại nhưng mất đi giá trị tên thương hiệu, hãy ước tính tốc độ tăng trưởng kỳ vọng của thu nhập hoạt động. (Bạn có thể giả định rằng khi mất đi giá trị tên thương hiệu, biên lợi nhuận hoạt động của Coca-Cola cũng sẽ giảm xuống còn 7,5%.)</w:t>
      </w:r>
    </w:p>
    <w:p>
      <w:pPr>
        <w:numPr>
          <w:ilvl w:val="0"/>
          <w:numId w:val="385"/>
        </w:numPr>
        <w:pStyle w:val="Para 01"/>
      </w:pPr>
      <w:r>
        <w:t>BioMask Genetics là một công ty công nghệ sinh học chỉ có một bằng sáng chế mang tên mình. Thu nhập hoạt động sau thuế trong năm nay là 10 triệu đô-la, và công ty không có nhu cầu tái đầu tư. Bằng sáng chế sẽ hết hạn sau ba năm, và công ty sẽ có tốc độ tăng trưởng thu nhập 15% trong giai đoạn đó. Sau năm thứ 3, thu nhập hoạt động được kỳ vọng sẽ không đổi mãi mãi. Ban lãnh đạo công ty đang cân nhắc một kế hoạch quảng cáo nhằm xây dựng tên thương hiệu cho sản phẩm đã được cấp bằng sáng chế của mình. Chiến dịch quảng cáo sẽ tốn 50 triệu đô-la (trước thuế) mỗi năm trong ba năm tới; thuế suất của công ty là 40%. Công ty tin rằng chiến dịch này sẽ cho phép duy trì tốc độ tăng trưởng 15% trong 10 năm, vì tên thương hiệu sẽ bù đắp cho việc mất đi sự bảo hộ bằng sáng chế. Sau năm thứ 10, thu nhập hoạt động được kỳ vọng sẽ không đổi mãi mãi. Công ty có chi phí vốn là 10%.</w:t>
      </w:r>
    </w:p>
    <w:p>
      <w:pPr>
        <w:numPr>
          <w:ilvl w:val="1"/>
          <w:numId w:val="385"/>
        </w:numPr>
        <w:pStyle w:val="Para 01"/>
      </w:pPr>
      <w:r>
        <w:t>Hãy ước tính giá trị của công ty, giả sử công ty không thực hiện chiến dịch quảng cáo.</w:t>
      </w:r>
    </w:p>
    <w:p>
      <w:pPr>
        <w:numPr>
          <w:ilvl w:val="1"/>
          <w:numId w:val="385"/>
        </w:numPr>
        <w:pStyle w:val="Para 01"/>
      </w:pPr>
      <w:r>
        <w:t>Hãy ước tính giá trị của công ty nếu có chiến dịch quảng cáo.</w:t>
      </w:r>
    </w:p>
    <w:p>
      <w:pPr>
        <w:numPr>
          <w:ilvl w:val="1"/>
          <w:numId w:val="385"/>
        </w:numPr>
        <w:pStyle w:val="Para 01"/>
      </w:pPr>
      <w:r>
        <w:t>Giả sử không có gì đảm bảo rằng tốc độ tăng trưởng sẽ kéo dài 10 năm nhờ chiến dịch này. Vậy xác suất thành công cần phải là bao nhiêu để chiến dịch khả thi về mặt tài chính?</w:t>
      </w:r>
    </w:p>
    <w:p>
      <w:pPr>
        <w:numPr>
          <w:ilvl w:val="0"/>
          <w:numId w:val="385"/>
        </w:numPr>
        <w:pStyle w:val="Para 01"/>
      </w:pPr>
      <w:r>
        <w:t>Sunmask là một công ty mỹ phẩm đã chứng kiến giá cổ phiếu sụt giảm và lợi nhuận đi xuống trong năm qua. Bạn được thuê làm CEO mới của công ty, và sau khi phân tích kỹ lưỡng tình hình tài chính hiện tại của Sunmask, bạn phát hiện những điều sau:</w:t>
      </w:r>
    </w:p>
    <w:p>
      <w:pPr>
        <w:numPr>
          <w:ilvl w:val="1"/>
          <w:numId w:val="385"/>
        </w:numPr>
        <w:pStyle w:val="Para 01"/>
      </w:pPr>
      <w:r>
        <w:t>Công ty hiện có lợi nhuận hoạt động sau thuế là 300 triệu đô-la trên doanh thu 10 tỷ đô-la, và tỷ lệ vòng quay vốn (doanh số trên giá trị sổ sách của vốn) là 2,5.</w:t>
      </w:r>
    </w:p>
    <w:p>
      <w:pPr>
        <w:numPr>
          <w:ilvl w:val="1"/>
          <w:numId w:val="385"/>
        </w:numPr>
        <w:pStyle w:val="Para 01"/>
      </w:pPr>
      <w:r>
        <w:t>Công ty dự kiến sẽ tái đầu tư 60% thu nhập hoạt động sau thuế.</w:t>
      </w:r>
    </w:p>
    <w:p>
      <w:pPr>
        <w:numPr>
          <w:ilvl w:val="1"/>
          <w:numId w:val="385"/>
        </w:numPr>
        <w:pStyle w:val="Para 01"/>
      </w:pPr>
      <w:r>
        <w:t>Công ty được tài trợ hoàn toàn bằng vốn cổ phần và có chi phí vốn là 10%.</w:t>
      </w:r>
    </w:p>
    <w:p>
      <w:pPr>
        <w:numPr>
          <w:ilvl w:val="2"/>
          <w:numId w:val="385"/>
        </w:numPr>
        <w:pStyle w:val="Para 01"/>
      </w:pPr>
      <w:r>
        <w:t>Hãy ước tính giá trị của công ty, giả sử các chính sách hiện tại tiếp tục mãi mãi. (Tỷ suất sinh lợi trên vốn và tỷ lệ tái đầu tư cũng không đổi mãi mãi.)</w:t>
      </w:r>
    </w:p>
    <w:p>
      <w:pPr>
        <w:numPr>
          <w:ilvl w:val="2"/>
          <w:numId w:val="385"/>
        </w:numPr>
        <w:pStyle w:val="Para 01"/>
      </w:pPr>
      <w:r>
        <w:t>Giả sử bạn có thể tăng biên lợi nhuận hoạt động từ 3% lên 5% mà không ảnh hưởng đến tỷ lệ vòng quay vốn, rằng bạn có thể giảm tỷ lệ tái đầu tư xuống 40%, và rằng chi phí vốn sẽ trở thành 9% nếu bạn chuyển sang tỷ lệ nợ tối ưu của mình. Giá trị của công ty bạn sẽ tăng thêm bao nhiêu nếu bạn có thể thực hiện những thay đổi này?</w:t>
      </w:r>
    </w:p>
    <w:p>
      <w:bookmarkStart w:id="6477" w:name="Notes_30"/>
      <w:bookmarkStart w:id="6478" w:name="Notes__1_This_is_backed_up_empir"/>
      <w:pPr>
        <w:keepNext/>
        <w:pStyle w:val="Heading 2"/>
        <w:keepLines w:val="on"/>
      </w:pPr>
      <w:r>
        <w:t>Ghi chú</w:t>
      </w:r>
      <w:bookmarkEnd w:id="6477"/>
      <w:bookmarkEnd w:id="6478"/>
    </w:p>
    <w:p>
      <w:pPr>
        <w:pStyle w:val="Para 08"/>
      </w:pPr>
      <w:r>
        <w:t>1 Điều này được chứng minh bằng thực nghiệm. Giá cổ phiếu thường có xu hướng tăng, tính trung bình, khi cổ phiếu được chia tách.</w:t>
      </w:r>
    </w:p>
    <w:p>
      <w:pPr>
        <w:pStyle w:val="Para 08"/>
      </w:pPr>
      <w:r>
        <w:t>2 Năm 1999, Lockheed, đối thủ cạnh tranh hàng đầu của Boeing trong lĩnh vực này, đã công bố kế hoạch thoái vốn khoảng 15% tài sản của mình như một biện pháp khắc phục cho kết quả giá cổ phiếu kém cỏi.</w:t>
      </w:r>
    </w:p>
    <w:p>
      <w:pPr>
        <w:pStyle w:val="Para 08"/>
      </w:pPr>
      <w:r>
        <w:t>3 Thuế chỉ là một khía cạnh của định giá chuyển nhượng. Brickley, Smith và Zimmerman (1995) xem xét vấn đề rộng hơn là làm thế nào để thiết lập giá chuyển nhượng một cách tốt nhất.</w:t>
      </w:r>
    </w:p>
    <w:p>
      <w:pPr>
        <w:pStyle w:val="Para 08"/>
      </w:pPr>
      <w:r>
        <w:t>4 Stulz (1996) đưa ra lập luận này cho quản trị rủi ro. Ông cũng trình bày những cách khác mà quản trị rủi ro có thể làm gia tăng giá trị.</w:t>
      </w:r>
    </w:p>
    <w:p>
      <w:pPr>
        <w:pStyle w:val="Para 08"/>
      </w:pPr>
      <w:r>
        <w:t>5 Quá trình tính toán chi phí vốn cổ phần và chi phí nợ ở các tỷ lệ nợ khác nhau được mô tả chi tiết trong cuốn sách của tôi, Applied Corporate Finance (John Wiley &amp; Sons, tái bản lần thứ 4, 2014).</w:t>
      </w:r>
    </w:p>
    <w:p>
      <w:bookmarkStart w:id="6484" w:name="Top_of_c032_xhtml"/>
      <w:bookmarkStart w:id="6485" w:name="Chapter_32Value_Enhancement__Eco"/>
      <w:bookmarkStart w:id="6486" w:name="Chapter_32Value_Enhancement__Eco_1"/>
      <w:pPr>
        <w:keepNext/>
        <w:pStyle w:val="Heading 1"/>
        <w:pageBreakBefore w:val="on"/>
        <w:keepLines w:val="on"/>
      </w:pPr>
      <w:r>
        <w:t>CHƯƠNG 32</w:t>
      </w:r>
      <w:r>
        <w:br/>
      </w:r>
      <w:r>
        <w:t>Nâng cao giá trị: Giá trị kinh tế gia tăng, Tỷ suất hoàn vốn trên dòng tiền đầu tư và các công cụ khác</w:t>
      </w:r>
      <w:bookmarkEnd w:id="6484"/>
      <w:bookmarkEnd w:id="6485"/>
      <w:bookmarkEnd w:id="6486"/>
    </w:p>
    <w:p>
      <w:pPr>
        <w:pStyle w:val="Para 03"/>
      </w:pPr>
      <w:r>
        <w:t>Mô hình dòng tiền chiết khấu (discounted cash flow) mang lại một phân tích phong phú và toàn diện về tất cả những cách khác nhau mà một công ty có thể gia tăng giá trị, nhưng nó có thể trở nên phức tạp khi số lượng đầu vào tăng lên. Việc gắn hệ thống thù lao cho ban quản lý với mô hình dòng tiền chiết khấu cũng rất khó khăn, vì nhiều đầu vào cần phải được ước tính và có thể bị thao túng để tạo ra kết quả mà ban quản lý mong muốn.</w:t>
      </w:r>
    </w:p>
    <w:p>
      <w:pPr>
        <w:pStyle w:val="Para 03"/>
      </w:pPr>
      <w:r>
        <w:t>Nếu chúng ta giả định rằng thị trường là hiệu quả, chúng ta có thể thay thế giá trị không thể quan sát được từ mô hình dòng tiền chiết khấu bằng giá thị trường có thể quan sát được và thưởng phạt các nhà quản lý dựa trên hiệu suất của cổ phiếu. Như vậy, một công ty có giá cổ phiếu tăng được xem là đã tạo ra giá trị, trong khi một công ty có giá cổ phiếu giảm được xem là đã phá hủy giá trị. Các hệ thống thù lao dựa trên giá cổ phiếu, bao gồm cổ phiếu thưởng và chứng quyền, đã trở thành một thành phần tiêu chuẩn trong hầu hết các gói thù lao cho ban quản lý.</w:t>
      </w:r>
    </w:p>
    <w:p>
      <w:pPr>
        <w:pStyle w:val="Para 03"/>
      </w:pPr>
      <w:r>
        <w:t>Trong khi giá thị trường có lợi thế là luôn cập nhật và có thể quan sát được, chúng cũng đầy nhiễu. Ngay cả khi thị trường hiệu quả, giá cổ phiếu vẫn có xu hướng dao động quanh giá trị thực, và thị trường đôi khi cũng mắc sai lầm. Do đó, một công ty có thể thấy giá cổ phiếu tăng và ban lãnh đạo được thưởng, ngay cả khi giá trị bị phá hủy. Ngược lại, các nhà quản lý của một công ty có thể bị phạt khi giá cổ phiếu giảm, dù họ có thể đã thực hiện những hành động làm gia tăng giá trị công ty. Một vấn đề khác với việc dùng giá cổ phiếu làm cơ sở thù lao là chúng chỉ có sẵn cho toàn bộ công ty. Vì vậy, giá cổ phiếu không thể được dùng để phân tích các nhà quản lý của từng bộ phận riêng lẻ trong công ty, hay để so sánh hiệu suất tương đối giữa họ.</w:t>
      </w:r>
    </w:p>
    <w:p>
      <w:pPr>
        <w:pStyle w:val="Para 03"/>
      </w:pPr>
      <w:r>
        <w:t>Trong thập kỷ qua, trong khi các công ty ngày càng tập trung hơn vào việc tạo ra giá trị, họ vẫn tỏ ra nghi ngờ thị trường tài chính. Dù họ có thể hiểu khái niệm giá trị dòng tiền chiết khấu, họ không sẵn lòng gắn thù lao với một giá trị dựa trên hàng tá ước tính. Trong bối cảnh này, các cơ chế mới để đo lường giá trị — dễ ước tính và sử dụng, không phụ thuộc quá nhiều vào biến động thị trường, và không đòi hỏi nhiều ước tính — đã nhanh chóng tìm được thị trường sẵn sàng. Dù có quá nhiều cơ chế để liệt kê hết, chúng ta sẽ tập trung vào hai cơ chế trong chương này, vốn bao quát hầu hết các cách tiếp cận khác.</w:t>
      </w:r>
    </w:p>
    <w:p>
      <w:pPr>
        <w:numPr>
          <w:ilvl w:val="0"/>
          <w:numId w:val="386"/>
        </w:numPr>
        <w:pStyle w:val="Para 01"/>
      </w:pPr>
      <w:r>
        <w:t>Giá trị kinh tế gia tăng (economic value added – EVA), đo lường giá trị thặng dư bằng đô-la mà một công ty tạo ra trên khoản đầu tư hiện có của mình.</w:t>
      </w:r>
    </w:p>
    <w:p>
      <w:pPr>
        <w:numPr>
          <w:ilvl w:val="0"/>
          <w:numId w:val="386"/>
        </w:numPr>
        <w:pStyle w:val="Para 01"/>
      </w:pPr>
      <w:r>
        <w:t>Tỷ suất sinh lợi dòng tiền trên vốn đầu tư (cash flow return on investment – CFROI), đo lường tỷ suất sinh lợi phần trăm mà một công ty đạt được trên các khoản đầu tư hiện có của mình.</w:t>
      </w:r>
    </w:p>
    <w:p>
      <w:pPr>
        <w:pStyle w:val="Para 03"/>
      </w:pPr>
      <w:r>
        <w:t>Chương này xem xét mối liên hệ của từng cơ chế với định giá dòng tiền chiết khấu. Nó cũng xem xét những điều kiện mà theo đó các công ty sử dụng những cách tiếp cận này để đánh giá hiệu suất và đánh giá các nhà quản lý có thể rốt cuộc đưa ra những quyết định phá hủy giá trị thay vì tạo ra nó.</w:t>
      </w:r>
    </w:p>
    <w:p>
      <w:bookmarkStart w:id="6489" w:name="Economic_Value_Added__The_econom"/>
      <w:bookmarkStart w:id="6490" w:name="Economic_Value_Added"/>
      <w:pPr>
        <w:keepNext/>
        <w:pStyle w:val="Heading 2"/>
        <w:keepLines w:val="on"/>
      </w:pPr>
      <w:r>
        <w:t>Giá trị kinh tế gia tăng</w:t>
      </w:r>
      <w:bookmarkEnd w:id="6489"/>
      <w:bookmarkEnd w:id="6490"/>
    </w:p>
    <w:p>
      <w:pPr>
        <w:pStyle w:val="Para 03"/>
      </w:pPr>
      <w:r>
        <w:t>Cơ chế giá trị kinh tế gia tăng (EVA) là một thước đo giá trị thặng dư bằng đô-la được tạo ra bởi một khoản đầu tư hoặc một danh mục các khoản đầu tư. Nó được tính bằng tích của tỷ suất sinh lợi vượt trội đạt được trên một khoản đầu tư hoặc các khoản đầu tư và vốn đầu tư vào khoản đầu tư hoặc các khoản đầu tư đó.</w:t>
      </w:r>
    </w:p>
    <w:p>
      <w:bookmarkStart w:id="6491" w:name="Economic_value_added__Return_on"/>
      <w:pPr>
        <w:keepNext/>
        <w:pStyle w:val="Para 09"/>
        <w:keepLines w:val="on"/>
      </w:pPr>
      <w:r>
        <w:t>Giá trị kinh tế gia tăng = (Lợi nhuận trên vốn đầu tư − Chi phí vốn) × (Vốn đầu tư) = Thu nhập hoạt động sau thuế − (Chi phí vốn × Vốn đầu tư)</w:t>
      </w:r>
      <w:bookmarkEnd w:id="6491"/>
    </w:p>
    <w:p>
      <w:pPr>
        <w:pStyle w:val="Para 03"/>
      </w:pPr>
      <w:r>
        <w:t>Phần này bắt đầu bằng việc xem xét cách đo lường giá trị kinh tế gia tăng, sau đó xem xét mối liên hệ của nó với định giá dòng tiền chiết khấu, và kết thúc bằng một cuộc thảo luận về những hạn chế của nó như một công cụ gia tăng giá trị.</w:t>
      </w:r>
    </w:p>
    <w:p>
      <w:bookmarkStart w:id="6492" w:name="Calculating_EVA"/>
      <w:bookmarkStart w:id="6493" w:name="Calculating_EVA__The_definition"/>
      <w:pPr>
        <w:keepNext/>
        <w:pStyle w:val="Heading 3"/>
        <w:keepLines w:val="on"/>
      </w:pPr>
      <w:r>
        <w:t>Tính toán EVA</w:t>
      </w:r>
      <w:bookmarkEnd w:id="6492"/>
      <w:bookmarkEnd w:id="6493"/>
    </w:p>
    <w:p>
      <w:pPr>
        <w:pStyle w:val="Para 03"/>
      </w:pPr>
      <w:r>
        <w:t>Định nghĩa của EVA phác thảo ba yếu tố đầu vào cơ bản mà chúng ta cần để tính toán nó — lợi nhuận trên vốn kiếm được từ các khoản đầu tư, chi phí vốn cho những khoản đầu tư đó, và vốn đầu tư vào chúng. Khi đo lường từng yếu tố này, chúng ta sẽ thực hiện nhiều điều chỉnh giống như đã được thảo luận trong bối cảnh định giá dòng tiền chiết khấu.</w:t>
      </w:r>
    </w:p>
    <w:p>
      <w:pPr>
        <w:pStyle w:val="Para 03"/>
      </w:pPr>
      <w:r>
        <w:t>Có bao nhiêu vốn được đầu tư vào tài sản hiện hữu? Một câu trả lời hiển nhiên là sử dụng giá trị thị trường của công ty, nhưng giá trị thị trường bao gồm vốn đầu tư không chỉ vào tài sản hiện có mà còn vào tăng trưởng kỳ vọng trong tương lai.1</w:t>
      </w:r>
    </w:p>
    <w:p>
      <w:pPr>
        <w:pStyle w:val="Para 03"/>
      </w:pPr>
      <w:r>
        <w:t>Vì chúng ta muốn đánh giá chất lượng của tài sản hiện hữu, chúng ta cần một thước đo vốn đầu tư chỉ vào những tài sản này. Do khó khăn trong việc ước tính giá trị của tài sản hiện hữu, không có gì ngạc nhiên khi chúng ta chuyển sang giá trị sổ sách của vốn như một đại diện cho vốn đầu tư vào tài sản hiện hữu. Tuy nhiên, giá trị sổ sách là một con số phản ánh không chỉ các lựa chọn kế toán được thực hiện trong kỳ hiện tại, mà còn cả các quyết định kế toán được đưa ra theo thời gian về cách khấu hao tài sản, định giá hàng tồn kho và xử lý các thương vụ mua lại. Tối thiểu, ba điều chỉnh mà chúng ta đã thực hiện đối với vốn đầu tư trong định giá dòng tiền chiết khấu — chuyển đổi thuê hoạt động thành nợ, vốn hóa chi phí R&amp;D, và loại bỏ ảnh hưởng của các khoản phí một lần hoặc mang tính hình thức — cũng phải được thực hiện khi tính toán EVA. Công ty càng lâu đời, càng phải thực hiện nhiều điều chỉnh đối với giá trị sổ sách của vốn để có được ước tính hợp lý về giá trị thị trường của vốn đầu tư vào tài sản hiện hữu. Vì điều này đòi hỏi chúng ta phải biết và tính đến mọi quyết định kế toán theo thời gian, có những trường hợp giá trị sổ sách của vốn quá khiếm khuyết đến mức không thể sửa chữa được. Trong trường hợp này, tốt nhất là ước tính vốn đầu tư từ đầu, bắt đầu với các tài sản mà công ty sở hữu, ước tính giá trị thị trường của những tài sản này (có thể là đối với những người mua tiềm năng tốt nhất), và cộng dồn giá trị thị trường này.</w:t>
      </w:r>
    </w:p>
    <w:p>
      <w:pPr>
        <w:pStyle w:val="Para 03"/>
      </w:pPr>
      <w:r>
        <w:t>Để đánh giá lợi nhuận trên vốn đầu tư này, chúng ta cần một ước tính về thu nhập hoạt động sau thuế mà công ty kiếm được từ những khoản đầu tư này. Một lần nữa, thước đo kế toán của thu nhập hoạt động phải được điều chỉnh cho thuê hoạt động, chi phí R&amp;D, và các khoản phí một lần để tính toán lợi nhuận trên vốn.</w:t>
      </w:r>
    </w:p>
    <w:p>
      <w:pPr>
        <w:pStyle w:val="Para 03"/>
      </w:pPr>
      <w:r>
        <w:t>Thành phần thứ ba và cuối cùng cần thiết để ước tính giá trị kinh tế gia tăng là chi phí vốn. Để phù hợp với các lập luận của chúng ta trong cả phần phân tích đầu tư và phần định giá dòng tiền chiết khấu, chi phí vốn nên được ước tính dựa trên giá trị thị trường của nợ và vốn chủ sở hữu trong công ty, thay vì giá trị sổ sách. Không có mâu thuẫn giữa việc sử dụng giá trị sổ sách cho mục đích ước tính vốn đầu tư và sử dụng giá trị thị trường để ước tính chi phí vốn, vì một công ty phải kiếm được nhiều hơn chi phí vốn theo giá trị thị trường của nó để tạo ra giá trị. Từ quan điểm thực tiễn, việc sử dụng chi phí vốn theo giá trị sổ sách sẽ có xu hướng đánh giá thấp chi phí vốn đối với hầu hết các công ty, và sẽ đánh giá thấp nó nhiều hơn đối với các công ty có đòn bẩy cao hơn so với các công ty có đòn bẩy thấp. Đánh giá thấp chi phí vốn sẽ dẫn đến việc đánh giá cao giá trị kinh tế gia tăng.</w:t>
      </w:r>
    </w:p>
    <w:p>
      <w:pPr>
        <w:pStyle w:val="Para 11"/>
      </w:pPr>
      <w:r>
        <w:t xml:space="preserve"> </w:t>
      </w:r>
    </w:p>
    <w:p>
      <w:bookmarkStart w:id="6496" w:name="EVA_Computation_in_Practice"/>
      <w:bookmarkStart w:id="6497" w:name="EVA_Computation_in_Practice_Duri"/>
      <w:pPr>
        <w:keepNext/>
        <w:pStyle w:val="Para 27"/>
        <w:keepLines w:val="on"/>
      </w:pPr>
      <w:r>
        <w:t>Tính toán EVA trong thực tế</w:t>
      </w:r>
      <w:bookmarkEnd w:id="6496"/>
      <w:bookmarkEnd w:id="6497"/>
    </w:p>
    <w:p>
      <w:pPr>
        <w:pStyle w:val="Para 16"/>
        <w:keepLines w:val="on"/>
      </w:pPr>
      <w:r>
        <w:t>Trong suốt những năm 1990, EVA được quảng bá mạnh mẽ nhất bởi Stern Stewart, một công ty tư vấn có trụ sở tại New York. Những người sáng lập công ty, Joel Stern và Bennett Stewart, đã trở thành những người truyền bá hàng đầu cho thước đo này. Thành công của họ đã sinh ra một loạt những người bắt chước từ các công ty tư vấn khác, tất cả đều là các biến thể của thước đo lợi nhuận vượt trội.</w:t>
      </w:r>
    </w:p>
    <w:p>
      <w:pPr>
        <w:pStyle w:val="Para 16"/>
        <w:keepLines w:val="on"/>
      </w:pPr>
      <w:r>
        <w:t>Trong quá trình áp dụng thước đo này cho các công ty thực tế, Stern Stewart nhận thấy rằng họ phải điều chỉnh các thước đo kế toán về thu nhập và vốn để có được ước tính thực tế hơn về giá trị thặng dư. Trong cuốn sách năm 1991 của mình, The Quest for Value, Bennett Stewart đề cập đến một số điều chỉnh cần được thực hiện đối với vốn đầu tư, bao gồm điều chỉnh cho lợi thế thương mại (đã ghi nhận và chưa ghi nhận). Ông cũng đề xuất các điều chỉnh cần được thực hiện đối với thu nhập hoạt động, bao gồm việc chuyển đổi thuê hoạt động thành chi phí tài chính.</w:t>
      </w:r>
    </w:p>
    <w:p>
      <w:pPr>
        <w:pStyle w:val="Para 16"/>
        <w:keepLines w:val="on"/>
      </w:pPr>
      <w:r>
        <w:t>Nhiều công ty đã áp dụng EVA trong giai đoạn này cũng dựa trên EVA được đo lường để trả thù lao cho ban quản lý. Do đó, cách nó được định nghĩa và đo lường đã trở thành mối quan tâm đáng kể đối với các nhà quản lý ở mọi cấp độ.</w:t>
      </w:r>
    </w:p>
    <w:p>
      <w:bookmarkStart w:id="6498" w:name="Economic_Value_Added__Net_Presen_1"/>
      <w:bookmarkStart w:id="6499" w:name="Economic_Value_Added__Net_Presen"/>
      <w:pPr>
        <w:keepNext/>
        <w:pStyle w:val="Heading 3"/>
        <w:keepLines w:val="on"/>
      </w:pPr>
      <w:r>
        <w:t>Giá trị kinh tế gia tăng, Giá trị hiện tại ròng, và Định giá dòng tiền chiết khấu</w:t>
      </w:r>
      <w:bookmarkEnd w:id="6498"/>
      <w:bookmarkEnd w:id="6499"/>
    </w:p>
    <w:p>
      <w:pPr>
        <w:pStyle w:val="Para 03"/>
      </w:pPr>
      <w:r>
        <w:t>Một trong những nền tảng của phân tích đầu tư trong tài chính doanh nghiệp truyền thống là quy tắc giá trị hiện tại ròng. Giá trị hiện tại ròng (NPV) của một dự án, phản ánh giá trị hiện tại của dòng tiền kỳ vọng từ một dự án, trừ đi mọi nhu cầu đầu tư, là một thước đo giá trị thặng dư bằng đô la của dự án. Do đó, đầu tư vào các dự án có giá trị hiện tại ròng dương sẽ làm tăng giá trị của công ty, trong khi đầu tư vào các dự án có giá trị hiện tại ròng âm sẽ làm giảm giá trị. Giá trị kinh tế gia tăng là một phần mở rộng đơn giản của quy tắc giá trị hiện tại ròng. Giá trị hiện tại ròng của dự án là giá trị hiện tại của giá trị kinh tế gia tăng mà dự án đó tạo ra trong suốt vòng đời của nó.2</w:t>
      </w:r>
    </w:p>
    <w:p>
      <w:bookmarkStart w:id="6502" w:name="NPV____t_1t_nEVAt_1_kc_t"/>
      <w:pPr>
        <w:keepNext/>
        <w:pStyle w:val="Para 09"/>
        <w:keepLines w:val="on"/>
      </w:pPr>
      <w:r>
        <w:t>NPV=∑t=1t=nEVAt(1+kc)t</w:t>
      </w:r>
      <w:bookmarkEnd w:id="6502"/>
    </w:p>
    <w:p>
      <w:pPr>
        <w:pStyle w:val="Para 03"/>
      </w:pPr>
      <w:r>
        <w:t>trong đó EVAt là giá trị kinh tế gia tăng mà dự án tạo ra trong năm t, và dự án có vòng đời n năm.</w:t>
      </w:r>
    </w:p>
    <w:p>
      <w:pPr>
        <w:pStyle w:val="Para 03"/>
      </w:pPr>
      <w:r>
        <w:t>Mối liên hệ này giữa giá trị kinh tế gia tăng và NPV cho phép chúng ta liên kết giá trị của một công ty với giá trị kinh tế gia tăng mà công ty đó tạo ra. Để thấy điều này, hãy bắt đầu với một công thức đơn giản về giá trị công ty theo giá trị của tài sản hiện hữu và tăng trưởng kỳ vọng trong tương lai:</w:t>
      </w:r>
    </w:p>
    <w:p>
      <w:bookmarkStart w:id="6503" w:name="Firmvalue_Valueofassetsinplace_V"/>
      <w:pPr>
        <w:keepNext/>
        <w:pStyle w:val="Para 09"/>
        <w:keepLines w:val="on"/>
      </w:pPr>
      <w:r>
        <w:t>Giátrịcôngty=Giátrịtàisảnhiệnhữu+Giátrịtăngtrưởngkỳvọngtrongtươnglai</w:t>
      </w:r>
      <w:bookmarkEnd w:id="6503"/>
    </w:p>
    <w:p>
      <w:pPr>
        <w:pStyle w:val="Para 03"/>
      </w:pPr>
      <w:r>
        <w:t>Lưu ý rằng trong một mô hình dòng tiền chiết khấu, giá trị của cả tài sản hiện hữu và tăng trưởng kỳ vọng trong tương lai đều có thể được viết theo giá trị hiện tại ròng được tạo ra bởi từng thành phần:</w:t>
      </w:r>
    </w:p>
    <w:p>
      <w:bookmarkStart w:id="6504" w:name="Value_of_firm_Capital_InvestedAs"/>
      <w:pPr>
        <w:keepNext/>
        <w:pStyle w:val="Para 09"/>
        <w:keepLines w:val="on"/>
      </w:pPr>
      <w:r>
        <w:t>Giá trị công ty=Vốn đầu tưTài sản hiện hữu+NPVTài sản hiện hữu+∑t=1t=∞NPVdự án tương lai,t</w:t>
      </w:r>
      <w:bookmarkEnd w:id="6504"/>
    </w:p>
    <w:p>
      <w:pPr>
        <w:pStyle w:val="Para 03"/>
      </w:pPr>
      <w:r>
        <w:t>Thay thế phiên bản giá trị kinh tế gia tăng của giá trị hiện tại ròng vào phương trình này, chúng ta có:</w:t>
      </w:r>
    </w:p>
    <w:p>
      <w:bookmarkStart w:id="6505" w:name="Firm_value_Capital_InvestedAsset"/>
      <w:pPr>
        <w:keepNext/>
        <w:pStyle w:val="Para 09"/>
        <w:keepLines w:val="on"/>
      </w:pPr>
      <w:r>
        <w:t>Giá trị công ty=Vốn đầu tưTài sản hiện hữu+∑t=1t=∞EVAt, Tài sản hiện hữu(1+kc)t+ ∑t=1t=∞EVAt, Dự án tương lai(1+kc)t</w:t>
      </w:r>
      <w:bookmarkEnd w:id="6505"/>
    </w:p>
    <w:p>
      <w:pPr>
        <w:pStyle w:val="Para 03"/>
      </w:pPr>
      <w:r>
        <w:t>Do đó, giá trị của một công ty có thể được viết dưới dạng tổng của ba thành phần: vốn đầu tư vào tài sản hiện hữu, giá trị hiện tại của giá trị kinh tế gia tăng mà những tài sản này tạo ra, và giá trị hiện tại kỳ vọng của giá trị kinh tế sẽ được tạo ra bởi các khoản đầu tư trong tương lai.</w:t>
      </w:r>
    </w:p>
    <w:p>
      <w:pPr>
        <w:pStyle w:val="Para 11"/>
      </w:pPr>
      <w:r>
        <w:t xml:space="preserve"> </w:t>
      </w:r>
    </w:p>
    <w:p>
      <w:bookmarkStart w:id="6506" w:name="ILLUSTRATION_32_1__Discounted_Ca"/>
      <w:bookmarkStart w:id="6507" w:name="ILLUSTRATION_32_1__Discounted_Ca_1"/>
      <w:pPr>
        <w:keepNext/>
        <w:pStyle w:val="Para 19"/>
        <w:keepLines w:val="on"/>
      </w:pPr>
      <w:r>
        <w:t>MINH HỌA 32.1: Giá trị dòng tiền chiết khấu và Giá trị kinh tế gia tăng</w:t>
      </w:r>
      <w:bookmarkEnd w:id="6506"/>
      <w:bookmarkEnd w:id="6507"/>
    </w:p>
    <w:p>
      <w:pPr>
        <w:pStyle w:val="Para 04"/>
        <w:keepLines w:val="on"/>
      </w:pPr>
      <w:r>
        <w:t>Hãy xem xét một công ty có tài sản hiện hữu với vốn đầu tư là 100 triệu đô la. Giả sử những sự kiện bổ sung sau đây về công ty:</w:t>
      </w:r>
    </w:p>
    <w:p>
      <w:pPr>
        <w:numPr>
          <w:ilvl w:val="0"/>
          <w:numId w:val="387"/>
        </w:numPr>
        <w:pStyle w:val="Para 18"/>
        <w:keepLines w:val="on"/>
      </w:pPr>
      <w:r>
        <w:t>Thu nhập hoạt động sau thuế từ tài sản hiện hữu là 15 triệu đô la. Tỷ suất sinh lời trên vốn (return on capital) 15% này được kỳ vọng sẽ duy trì trong tương lai, và công ty có chi phí vốn (cost of capital) là 10%.</w:t>
      </w:r>
    </w:p>
    <w:p>
      <w:pPr>
        <w:numPr>
          <w:ilvl w:val="0"/>
          <w:numId w:val="387"/>
        </w:numPr>
        <w:pStyle w:val="Para 18"/>
        <w:keepLines w:val="on"/>
      </w:pPr>
      <w:r>
        <w:t>Vào đầu mỗi năm trong năm năm tới, công ty được kỳ vọng sẽ thực hiện các khoản đầu tư mới trị giá 10 triệu đô la mỗi năm. Những khoản đầu tư này cũng được kỳ vọng mang lại tỷ suất sinh lời trên vốn 15%, và chi phí vốn được kỳ vọng vẫn giữ ở mức 10%.</w:t>
      </w:r>
    </w:p>
    <w:p>
      <w:pPr>
        <w:numPr>
          <w:ilvl w:val="0"/>
          <w:numId w:val="387"/>
        </w:numPr>
        <w:pStyle w:val="Para 18"/>
        <w:keepLines w:val="on"/>
      </w:pPr>
      <w:r>
        <w:t>Sau năm thứ 5, công ty sẽ tiếp tục đầu tư, và lợi nhuận sẽ tăng 5% mỗi năm, nhưng các khoản đầu tư mới sẽ chỉ có tỷ suất sinh lời trên vốn là 10%, cũng chính là chi phí vốn.</w:t>
      </w:r>
    </w:p>
    <w:p>
      <w:pPr>
        <w:numPr>
          <w:ilvl w:val="0"/>
          <w:numId w:val="387"/>
        </w:numPr>
        <w:pStyle w:val="Para 18"/>
        <w:keepLines w:val="on"/>
      </w:pPr>
      <w:r>
        <w:t>Tất cả tài sản và các khoản đầu tư được kỳ vọng có vòng đời vô hạn.3 Do đó, tài sản hiện hữu và các khoản đầu tư được thực hiện trong năm năm đầu sẽ mang lại 15% mỗi năm mãi mãi, không có tăng trưởng.</w:t>
      </w:r>
    </w:p>
    <w:p>
      <w:pPr>
        <w:pStyle w:val="Para 04"/>
        <w:keepLines w:val="on"/>
      </w:pPr>
      <w:r>
        <w:t>Công ty này có thể được định giá bằng phương pháp giá trị kinh tế gia tăng (economic value-added), như sau:</w:t>
      </w:r>
    </w:p>
    <w:tbl>
      <w:tblPr>
        <w:tblW w:type="auto" w:w="0"/>
      </w:tblPr>
      <w:tr>
        <w:tc>
          <w:tcPr>
            <w:tcW w:type="auto" w:w="0"/>
          </w:tcPr>
          <w:tbl>
            <w:tblPr>
              <w:tblW w:type="pct" w:w="5000"/>
            </w:tblPr>
            <w:tr>
              <w:tc>
                <w:tcPr>
                  <w:tcW w:type="auto" w:w="0"/>
                  <w:shd w:val="clear" w:color="auto" w:fill="F0F0F0"/>
                </w:tcPr>
                <w:p>
                  <w:pPr>
                    <w:pStyle w:val="Para 02"/>
                    <w:keepLines w:val="on"/>
                  </w:pPr>
                  <w:r>
                    <w:t>Vốn đầu tư vào tài sản hiện hữu</w:t>
                  </w:r>
                </w:p>
              </w:tc>
              <w:tc>
                <w:tcPr>
                  <w:tcW w:type="auto" w:w="0"/>
                  <w:shd w:val="clear" w:color="auto" w:fill="F0F0F0"/>
                </w:tcPr>
                <w:p>
                  <w:pPr>
                    <w:pStyle w:val="Normal"/>
                    <w:keepLines w:val="on"/>
                  </w:pPr>
                  <w:r>
                    <w:t>$100,00</w:t>
                  </w:r>
                </w:p>
              </w:tc>
            </w:tr>
            <w:tr>
              <w:tc>
                <w:tcPr>
                  <w:tcW w:type="auto" w:w="0"/>
                  <w:shd w:val="clear" w:color="auto" w:fill="F0F0F0"/>
                </w:tcPr>
                <w:p>
                  <w:pPr>
                    <w:pStyle w:val="Para 02"/>
                    <w:keepLines w:val="on"/>
                  </w:pPr>
                  <w:r>
                    <w:t>+ EVA từ tài sản hiện hữu = (.15 − .10)(100)/.10 =</w:t>
                  </w:r>
                </w:p>
              </w:tc>
              <w:tc>
                <w:tcPr>
                  <w:tcW w:type="auto" w:w="0"/>
                  <w:shd w:val="clear" w:color="auto" w:fill="F0F0F0"/>
                </w:tcPr>
                <w:p>
                  <w:pPr>
                    <w:pStyle w:val="Normal"/>
                    <w:keepLines w:val="on"/>
                  </w:pPr>
                  <w:r>
                    <w:t>$50,00</w:t>
                  </w:r>
                </w:p>
              </w:tc>
            </w:tr>
            <w:tr>
              <w:tc>
                <w:tcPr>
                  <w:tcW w:type="auto" w:w="0"/>
                  <w:shd w:val="clear" w:color="auto" w:fill="F0F0F0"/>
                </w:tcPr>
                <w:p>
                  <w:pPr>
                    <w:pStyle w:val="Para 02"/>
                    <w:keepLines w:val="on"/>
                  </w:pPr>
                  <w:r>
                    <w:t>+ PV của EVA từ các khoản đầu tư mới trong năm 1 = [(.15 − .10)(10)/.10] =</w:t>
                  </w:r>
                </w:p>
              </w:tc>
              <w:tc>
                <w:tcPr>
                  <w:tcW w:type="auto" w:w="0"/>
                  <w:shd w:val="clear" w:color="auto" w:fill="F0F0F0"/>
                </w:tcPr>
                <w:p>
                  <w:pPr>
                    <w:pStyle w:val="Normal"/>
                    <w:keepLines w:val="on"/>
                  </w:pPr>
                  <w:r>
                    <w:t>$5,00</w:t>
                  </w:r>
                </w:p>
              </w:tc>
            </w:tr>
            <w:tr>
              <w:tc>
                <w:tcPr>
                  <w:tcW w:type="auto" w:w="0"/>
                  <w:shd w:val="clear" w:color="auto" w:fill="F0F0F0"/>
                </w:tcPr>
                <w:p>
                  <w:pPr>
                    <w:pStyle w:val="Para 02"/>
                    <w:keepLines w:val="on"/>
                  </w:pPr>
                  <w:r>
                    <w:t>+ PV của EVA từ các khoản đầu tư mới trong năm 2 = [(.15 − .10)(10)/.10]/1.1 =</w:t>
                  </w:r>
                </w:p>
              </w:tc>
              <w:tc>
                <w:tcPr>
                  <w:tcW w:type="auto" w:w="0"/>
                  <w:shd w:val="clear" w:color="auto" w:fill="F0F0F0"/>
                </w:tcPr>
                <w:p>
                  <w:pPr>
                    <w:pStyle w:val="Normal"/>
                    <w:keepLines w:val="on"/>
                  </w:pPr>
                  <w:r>
                    <w:t>$4,55</w:t>
                  </w:r>
                </w:p>
              </w:tc>
            </w:tr>
            <w:tr>
              <w:tc>
                <w:tcPr>
                  <w:tcW w:type="auto" w:w="0"/>
                  <w:shd w:val="clear" w:color="auto" w:fill="F0F0F0"/>
                </w:tcPr>
                <w:p>
                  <w:pPr>
                    <w:pStyle w:val="Para 02"/>
                    <w:keepLines w:val="on"/>
                  </w:pPr>
                  <w:r>
                    <w:t>+ PV của EVA từ các khoản đầu tư mới trong năm 3 = [(.15 − .10)(10)/.10]/1.12 =</w:t>
                  </w:r>
                </w:p>
              </w:tc>
              <w:tc>
                <w:tcPr>
                  <w:tcW w:type="auto" w:w="0"/>
                  <w:shd w:val="clear" w:color="auto" w:fill="F0F0F0"/>
                </w:tcPr>
                <w:p>
                  <w:pPr>
                    <w:pStyle w:val="Normal"/>
                    <w:keepLines w:val="on"/>
                  </w:pPr>
                  <w:r>
                    <w:t>$4,13</w:t>
                  </w:r>
                </w:p>
              </w:tc>
            </w:tr>
            <w:tr>
              <w:tc>
                <w:tcPr>
                  <w:tcW w:type="auto" w:w="0"/>
                  <w:shd w:val="clear" w:color="auto" w:fill="F0F0F0"/>
                </w:tcPr>
                <w:p>
                  <w:pPr>
                    <w:pStyle w:val="Para 02"/>
                    <w:keepLines w:val="on"/>
                  </w:pPr>
                  <w:r>
                    <w:t>+ PV của EVA từ các khoản đầu tư mới trong năm 4 = [(.15 − .10)(10)/.10]/1.13 =</w:t>
                  </w:r>
                </w:p>
              </w:tc>
              <w:tc>
                <w:tcPr>
                  <w:tcW w:type="auto" w:w="0"/>
                  <w:shd w:val="clear" w:color="auto" w:fill="F0F0F0"/>
                </w:tcPr>
                <w:p>
                  <w:pPr>
                    <w:pStyle w:val="Normal"/>
                    <w:keepLines w:val="on"/>
                  </w:pPr>
                  <w:r>
                    <w:t>$3,76</w:t>
                  </w:r>
                </w:p>
              </w:tc>
            </w:tr>
            <w:tr>
              <w:tc>
                <w:tcPr>
                  <w:tcW w:type="auto" w:w="0"/>
                  <w:shd w:val="clear" w:color="auto" w:fill="F0F0F0"/>
                </w:tcPr>
                <w:p>
                  <w:pPr>
                    <w:pStyle w:val="Para 02"/>
                    <w:keepLines w:val="on"/>
                  </w:pPr>
                  <w:r>
                    <w:t>+ PV của EVA từ các khoản đầu tư mới trong năm 5 = [(.15 − .10)(10)/.10]/1.14 =</w:t>
                  </w:r>
                </w:p>
              </w:tc>
              <w:tc>
                <w:tcPr>
                  <w:tcW w:type="auto" w:w="0"/>
                  <w:shd w:val="clear" w:color="auto" w:fill="F0F0F0"/>
                </w:tcPr>
                <w:p>
                  <w:pPr>
                    <w:pStyle w:val="Normal"/>
                    <w:keepLines w:val="on"/>
                  </w:pPr>
                  <w:r>
                    <w:t>$3,42</w:t>
                  </w:r>
                </w:p>
              </w:tc>
            </w:tr>
            <w:tr>
              <w:tc>
                <w:tcPr>
                  <w:tcW w:type="auto" w:w="0"/>
                  <w:shd w:val="clear" w:color="auto" w:fill="F0F0F0"/>
                </w:tcPr>
                <w:p>
                  <w:pPr>
                    <w:pStyle w:val="Para 02"/>
                    <w:keepLines w:val="on"/>
                  </w:pPr>
                  <w:r>
                    <w:t>Giá trị của công ty</w:t>
                  </w:r>
                </w:p>
              </w:tc>
              <w:tc>
                <w:tcPr>
                  <w:tcW w:type="auto" w:w="0"/>
                  <w:shd w:val="clear" w:color="auto" w:fill="F0F0F0"/>
                </w:tcPr>
                <w:p>
                  <w:pPr>
                    <w:pStyle w:val="Normal"/>
                    <w:keepLines w:val="on"/>
                  </w:pPr>
                  <w:r>
                    <w:t>$170,85</w:t>
                  </w:r>
                </w:p>
              </w:tc>
            </w:tr>
          </w:tbl>
          <w:p/>
        </w:tc>
      </w:tr>
    </w:tbl>
    <w:p>
      <w:pPr>
        <w:pStyle w:val="Para 04"/>
        <w:keepLines w:val="on"/>
      </w:pPr>
      <w:r>
        <w:t>Lưu ý rằng các giá trị hiện tại được tính toán với giả định rằng dòng tiền từ các khoản đầu tư là vĩnh viễn, và các khoản đầu tư được thực hiện vào đầu mỗi năm. Ngoài ra, giá trị giá trị kinh tế gia tăng từ các khoản đầu tư được thực hiện trong những năm tương lai được chiết khấu về hiện tại, sử dụng chi phí vốn. Để minh họa, giá trị hiện tại của giá trị kinh tế gia tăng từ các khoản đầu tư được thực hiện vào đầu năm 2 được chiết khấu ngược lại một năm. Giá trị của công ty, tức 170,85 triệu đô la, có thể được viết bằng phương trình trước đó như sau:</w:t>
      </w:r>
    </w:p>
    <w:p>
      <w:bookmarkStart w:id="6511" w:name="Firm_value_Capital_InvestedAsset_1"/>
      <w:pPr>
        <w:keepNext/>
        <w:pStyle w:val="Para 07"/>
        <w:keepLines w:val="on"/>
      </w:pPr>
      <w:r>
        <w:t>Giá trị công ty=Vốn đầu tưTài sản hiện hữu+∑t=1t=∞EVAt,Tài sản hiện hữu(1+kc)t+∑t=1t=∞EVAt,Dự án tương lai(1+kc)t=$100 triệu+$50 triệu+$20,85 triệu</w:t>
      </w:r>
      <w:bookmarkEnd w:id="6511"/>
    </w:p>
    <w:p>
      <w:pPr>
        <w:pStyle w:val="Para 04"/>
        <w:keepLines w:val="on"/>
      </w:pPr>
      <w:r>
        <w:t>Do đó, giá trị của tài sản hiện có là 150 triệu đô la, và giá trị của các cơ hội tăng trưởng trong tương lai là 20,85 triệu đô la.</w:t>
      </w:r>
    </w:p>
    <w:p>
      <w:pPr>
        <w:pStyle w:val="Para 04"/>
        <w:keepLines w:val="on"/>
      </w:pPr>
      <w:r>
        <w:t>Một cách khác để trình bày những kết quả này là dưới dạng giá trị thị trường gia tăng (market value added – MVA), ít nhất là trong một thị trường hiệu quả. Giá trị thị trường gia tăng, trong trường hợp này, là chênh lệch giữa giá trị công ty 170,85 triệu đô la và vốn đầu tư 100 triệu đô la, mang lại 70,85 triệu đô la. Giá trị này sẽ chỉ dương nếu tỷ suất sinh lời trên vốn lớn hơn chi phí vốn và sẽ là một hàm tăng theo mức chênh lệch giữa hai con số này. Con số này sẽ âm nếu tỷ suất sinh lời trên vốn nhỏ hơn chi phí vốn.</w:t>
      </w:r>
    </w:p>
    <w:p>
      <w:pPr>
        <w:pStyle w:val="Para 04"/>
        <w:keepLines w:val="on"/>
      </w:pPr>
      <w:r>
        <w:t>Lưu ý rằng mặc dù công ty tiếp tục tăng thu nhập hoạt động và thực hiện các khoản đầu tư mới sau năm thứ năm, những khoản đầu tư cận biên này không tạo ra thêm giá trị vì chúng chỉ sinh lợi bằng đúng chi phí vốn (cost of capital). Một hàm ý trực tiếp là chính tăng trưởng không tạo ra giá trị, mà là tăng trưởng gắn liền với lợi nhuận vượt trội (excess returns). Điều này mang lại một góc nhìn, dù không hề xa lạ, về chất lượng của tăng trưởng. Một công ty có thể đang tăng thu nhập hoạt động với tốc độ lành mạnh, nhưng nếu nó làm điều đó bằng cách đầu tư số tiền lớn với mức sinh lợi bằng hoặc thấp hơn chi phí vốn, thì nó sẽ không tạo ra giá trị và thậm chí có thể đang hủy hoại giá trị.</w:t>
      </w:r>
    </w:p>
    <w:p>
      <w:pPr>
        <w:pStyle w:val="Para 04"/>
        <w:keepLines w:val="on"/>
      </w:pPr>
      <w:r>
        <w:t>Công ty này cũng có thể được định giá bằng phương pháp định giá dòng tiền chiết khấu (discounted cash flow valuation), với dòng tiền tự do cho doanh nghiệp (free cash flows to the firm) được chiết khấu theo chi phí vốn. Bảng 32.1 cho thấy dòng tiền tự do kỳ vọng và giá trị doanh nghiệp, sử dụng chi phí vốn 10% làm tỷ lệ chiết khấu.</w:t>
      </w:r>
    </w:p>
    <w:p>
      <w:pPr>
        <w:pStyle w:val="Para 40"/>
        <w:keepLines w:val="on"/>
      </w:pPr>
      <w:r>
        <w:rPr>
          <w:rStyle w:val="Text26"/>
        </w:rPr>
        <w:bookmarkStart w:id="6513" w:name="Page_1012"/>
        <w:t/>
        <w:bookmarkEnd w:id="6513"/>
      </w:r>
      <w:r>
        <w:t xml:space="preserve"> </w:t>
      </w:r>
    </w:p>
    <w:p>
      <w:pPr>
        <w:pStyle w:val="Para 25"/>
        <w:keepLines w:val="on"/>
      </w:pPr>
      <w:r>
        <w:t>BẢNG 32.1</w:t>
      </w:r>
    </w:p>
    <w:p>
      <w:pPr>
        <w:keepNext/>
        <w:pStyle w:val="Para 24"/>
        <w:keepLines w:val="on"/>
      </w:pPr>
      <w:r>
        <w:t>FCFF kỳ vọng và Giá trị</w:t>
      </w:r>
    </w:p>
    <w:tbl>
      <w:tblPr>
        <w:tblW w:type="auto" w:w="0"/>
      </w:tblPr>
      <w:tr>
        <w:tc>
          <w:tcPr>
            <w:tcW w:type="auto" w:w="0"/>
          </w:tcPr>
          <w:tbl>
            <w:tblPr>
              <w:tblW w:type="pct" w:w="5000"/>
            </w:tblPr>
            <w:tr>
              <w:tc>
                <w:tcPr>
                  <w:tcW w:type="auto" w:w="0"/>
                  <w:shd w:val="clear" w:color="auto" w:fill="F0F0F0"/>
                </w:tcPr>
                <w:p>
                  <w:pPr>
                    <w:pStyle w:val="5 Block"/>
                    <w:keepLines w:val="on"/>
                  </w:pPr>
                </w:p>
              </w:tc>
              <w:tc>
                <w:tcPr>
                  <w:tcW w:type="auto" w:w="0"/>
                  <w:shd w:val="clear" w:color="auto" w:fill="F0F0F0"/>
                  <w:vAlign w:val="bottom"/>
                </w:tcPr>
                <w:p>
                  <w:pPr>
                    <w:pStyle w:val="Para 05"/>
                    <w:keepLines w:val="on"/>
                  </w:pPr>
                  <w:r>
                    <w:t>0</w:t>
                  </w:r>
                </w:p>
              </w:tc>
              <w:tc>
                <w:tcPr>
                  <w:tcW w:type="auto" w:w="0"/>
                  <w:shd w:val="clear" w:color="auto" w:fill="F0F0F0"/>
                  <w:vAlign w:val="bottom"/>
                </w:tcPr>
                <w:p>
                  <w:pPr>
                    <w:pStyle w:val="Para 05"/>
                    <w:keepLines w:val="on"/>
                  </w:pPr>
                  <w:r>
                    <w:t>1</w:t>
                  </w:r>
                </w:p>
              </w:tc>
              <w:tc>
                <w:tcPr>
                  <w:tcW w:type="auto" w:w="0"/>
                  <w:shd w:val="clear" w:color="auto" w:fill="F0F0F0"/>
                  <w:vAlign w:val="bottom"/>
                </w:tcPr>
                <w:p>
                  <w:pPr>
                    <w:pStyle w:val="Para 05"/>
                    <w:keepLines w:val="on"/>
                  </w:pPr>
                  <w:r>
                    <w:t>2</w:t>
                  </w:r>
                </w:p>
              </w:tc>
              <w:tc>
                <w:tcPr>
                  <w:tcW w:type="auto" w:w="0"/>
                  <w:shd w:val="clear" w:color="auto" w:fill="F0F0F0"/>
                  <w:vAlign w:val="bottom"/>
                </w:tcPr>
                <w:p>
                  <w:pPr>
                    <w:pStyle w:val="Para 05"/>
                    <w:keepLines w:val="on"/>
                  </w:pPr>
                  <w:r>
                    <w:t>3</w:t>
                  </w:r>
                </w:p>
              </w:tc>
              <w:tc>
                <w:tcPr>
                  <w:tcW w:type="auto" w:w="0"/>
                  <w:shd w:val="clear" w:color="auto" w:fill="F0F0F0"/>
                  <w:vAlign w:val="bottom"/>
                </w:tcPr>
                <w:p>
                  <w:pPr>
                    <w:pStyle w:val="Para 05"/>
                    <w:keepLines w:val="on"/>
                  </w:pPr>
                  <w:r>
                    <w:t>4</w:t>
                  </w:r>
                </w:p>
              </w:tc>
              <w:tc>
                <w:tcPr>
                  <w:tcW w:type="auto" w:w="0"/>
                  <w:shd w:val="clear" w:color="auto" w:fill="F0F0F0"/>
                  <w:vAlign w:val="bottom"/>
                </w:tcPr>
                <w:p>
                  <w:pPr>
                    <w:pStyle w:val="Para 05"/>
                    <w:keepLines w:val="on"/>
                  </w:pPr>
                  <w:r>
                    <w:t>5</w:t>
                  </w:r>
                </w:p>
              </w:tc>
              <w:tc>
                <w:tcPr>
                  <w:tcW w:type="auto" w:w="0"/>
                  <w:shd w:val="clear" w:color="auto" w:fill="F0F0F0"/>
                  <w:vAlign w:val="bottom"/>
                </w:tcPr>
                <w:p>
                  <w:pPr>
                    <w:pStyle w:val="Para 05"/>
                    <w:keepLines w:val="on"/>
                  </w:pPr>
                  <w:r>
                    <w:t>Năm kết thúc</w:t>
                  </w:r>
                </w:p>
              </w:tc>
            </w:tr>
            <w:tr>
              <w:tc>
                <w:tcPr>
                  <w:tcW w:type="auto" w:w="0"/>
                  <w:shd w:val="clear" w:color="auto" w:fill="F0F0F0"/>
                </w:tcPr>
                <w:p>
                  <w:pPr>
                    <w:pStyle w:val="Para 02"/>
                    <w:keepLines w:val="on"/>
                  </w:pPr>
                  <w:r>
                    <w:t>EBIT(1 − t) từ tài sản hiện có</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$15,00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EBIT(1 − t) từ các khoản đầu tư—Năm 1</w:t>
                  </w:r>
                </w:p>
              </w:tc>
              <w:tc>
                <w:tcPr>
                  <w:tcW w:type="auto" w:w="0"/>
                  <w:shd w:val="clear" w:color="auto" w:fill="F0F0F0"/>
                </w:tcPr>
                <w:p>
                  <w:pPr>
                    <w:pStyle w:val="7 Block"/>
                    <w:keepLines w:val="on"/>
                  </w:pP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$1,50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EBIT(1 − t) từ các khoản đầu tư—Năm 2</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$1,50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EBIT(1 − t) từ các khoản đầu tư—Năm 3</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$1,50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EBIT(1 − t) từ các khoản đầu tư—Năm 4</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$1,50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EBIT(1 − t) từ các khoản đầu tư—Năm 5</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$1,50</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Tổng EBIT(1 − t)</w:t>
                  </w:r>
                </w:p>
              </w:tc>
              <w:tc>
                <w:tcPr>
                  <w:tcW w:type="auto" w:w="0"/>
                  <w:shd w:val="clear" w:color="auto" w:fill="F0F0F0"/>
                </w:tcPr>
                <w:p>
                  <w:pPr>
                    <w:pStyle w:val="7 Block"/>
                    <w:keepLines w:val="on"/>
                  </w:pPr>
                </w:p>
              </w:tc>
              <w:tc>
                <w:tcPr>
                  <w:tcW w:type="auto" w:w="0"/>
                  <w:shd w:val="clear" w:color="auto" w:fill="F0F0F0"/>
                </w:tcPr>
                <w:p>
                  <w:pPr>
                    <w:pStyle w:val="Normal"/>
                    <w:keepLines w:val="on"/>
                  </w:pPr>
                  <w:r>
                    <w:t>$16,50</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$19,50</w:t>
                  </w:r>
                </w:p>
              </w:tc>
              <w:tc>
                <w:tcPr>
                  <w:tcW w:type="auto" w:w="0"/>
                  <w:shd w:val="clear" w:color="auto" w:fill="F0F0F0"/>
                </w:tcPr>
                <w:p>
                  <w:pPr>
                    <w:pStyle w:val="Normal"/>
                    <w:keepLines w:val="on"/>
                  </w:pPr>
                  <w:r>
                    <w:t>$21,00</w:t>
                  </w:r>
                </w:p>
              </w:tc>
              <w:tc>
                <w:tcPr>
                  <w:tcW w:type="auto" w:w="0"/>
                  <w:shd w:val="clear" w:color="auto" w:fill="F0F0F0"/>
                </w:tcPr>
                <w:p>
                  <w:pPr>
                    <w:pStyle w:val="Normal"/>
                    <w:keepLines w:val="on"/>
                  </w:pPr>
                  <w:r>
                    <w:t>$22,50</w:t>
                  </w:r>
                </w:p>
              </w:tc>
              <w:tc>
                <w:tcPr>
                  <w:tcW w:type="auto" w:w="0"/>
                  <w:shd w:val="clear" w:color="auto" w:fill="F0F0F0"/>
                </w:tcPr>
                <w:p>
                  <w:pPr>
                    <w:pStyle w:val="Normal"/>
                    <w:keepLines w:val="on"/>
                  </w:pPr>
                  <w:r>
                    <w:t>$23,63</w:t>
                  </w:r>
                </w:p>
              </w:tc>
            </w:tr>
            <w:tr>
              <w:tc>
                <w:tcPr>
                  <w:tcW w:type="auto" w:w="0"/>
                  <w:shd w:val="clear" w:color="auto" w:fill="F0F0F0"/>
                </w:tcPr>
                <w:p>
                  <w:pPr>
                    <w:pStyle w:val="Para 02"/>
                    <w:keepLines w:val="on"/>
                  </w:pPr>
                  <w:r>
                    <w:t>− Chi tiêu vốn ròng</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$11,25</w:t>
                  </w:r>
                </w:p>
              </w:tc>
              <w:tc>
                <w:tcPr>
                  <w:tcW w:type="auto" w:w="0"/>
                  <w:shd w:val="clear" w:color="auto" w:fill="F0F0F0"/>
                </w:tcPr>
                <w:p>
                  <w:pPr>
                    <w:pStyle w:val="Normal"/>
                    <w:keepLines w:val="on"/>
                  </w:pPr>
                  <w:r>
                    <w:t>$11,81</w:t>
                  </w:r>
                </w:p>
              </w:tc>
            </w:tr>
            <w:tr>
              <w:tc>
                <w:tcPr>
                  <w:tcW w:type="auto" w:w="0"/>
                  <w:shd w:val="clear" w:color="auto" w:fill="F0F0F0"/>
                </w:tcPr>
                <w:p>
                  <w:pPr>
                    <w:pStyle w:val="Para 02"/>
                    <w:keepLines w:val="on"/>
                  </w:pPr>
                  <w:r>
                    <w:t>FCFF</w:t>
                  </w:r>
                </w:p>
              </w:tc>
              <w:tc>
                <w:tcPr>
                  <w:tcW w:type="auto" w:w="0"/>
                  <w:shd w:val="clear" w:color="auto" w:fill="F0F0F0"/>
                </w:tcPr>
                <w:p>
                  <w:pPr>
                    <w:pStyle w:val="7 Block"/>
                    <w:keepLines w:val="on"/>
                  </w:pPr>
                </w:p>
              </w:tc>
              <w:tc>
                <w:tcPr>
                  <w:tcW w:type="auto" w:w="0"/>
                  <w:shd w:val="clear" w:color="auto" w:fill="F0F0F0"/>
                </w:tcPr>
                <w:p>
                  <w:pPr>
                    <w:pStyle w:val="Normal"/>
                    <w:keepLines w:val="on"/>
                  </w:pPr>
                  <w:r>
                    <w:t>$6,50</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$11,25</w:t>
                  </w:r>
                </w:p>
              </w:tc>
              <w:tc>
                <w:tcPr>
                  <w:tcW w:type="auto" w:w="0"/>
                  <w:shd w:val="clear" w:color="auto" w:fill="F0F0F0"/>
                </w:tcPr>
                <w:p>
                  <w:pPr>
                    <w:pStyle w:val="Normal"/>
                    <w:keepLines w:val="on"/>
                  </w:pPr>
                  <w:r>
                    <w:t>$11,81</w:t>
                  </w:r>
                </w:p>
              </w:tc>
            </w:tr>
            <w:tr>
              <w:tc>
                <w:tcPr>
                  <w:tcW w:type="auto" w:w="0"/>
                  <w:shd w:val="clear" w:color="auto" w:fill="F0F0F0"/>
                </w:tcPr>
                <w:p>
                  <w:pPr>
                    <w:pStyle w:val="Para 02"/>
                    <w:keepLines w:val="on"/>
                  </w:pPr>
                  <w:r>
                    <w:t>PV của FCFF</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$5,91</w:t>
                  </w:r>
                </w:p>
              </w:tc>
              <w:tc>
                <w:tcPr>
                  <w:tcW w:type="auto" w:w="0"/>
                  <w:shd w:val="clear" w:color="auto" w:fill="F0F0F0"/>
                </w:tcPr>
                <w:p>
                  <w:pPr>
                    <w:pStyle w:val="Normal"/>
                    <w:keepLines w:val="on"/>
                  </w:pPr>
                  <w:r>
                    <w:t>$6,61</w:t>
                  </w:r>
                </w:p>
              </w:tc>
              <w:tc>
                <w:tcPr>
                  <w:tcW w:type="auto" w:w="0"/>
                  <w:shd w:val="clear" w:color="auto" w:fill="F0F0F0"/>
                </w:tcPr>
                <w:p>
                  <w:pPr>
                    <w:pStyle w:val="Normal"/>
                    <w:keepLines w:val="on"/>
                  </w:pPr>
                  <w:r>
                    <w:t>$7,14</w:t>
                  </w:r>
                </w:p>
              </w:tc>
              <w:tc>
                <w:tcPr>
                  <w:tcW w:type="auto" w:w="0"/>
                  <w:shd w:val="clear" w:color="auto" w:fill="F0F0F0"/>
                </w:tcPr>
                <w:p>
                  <w:pPr>
                    <w:pStyle w:val="Normal"/>
                    <w:keepLines w:val="on"/>
                  </w:pPr>
                  <w:r>
                    <w:t>$7,51</w:t>
                  </w:r>
                </w:p>
              </w:tc>
              <w:tc>
                <w:tcPr>
                  <w:tcW w:type="auto" w:w="0"/>
                  <w:shd w:val="clear" w:color="auto" w:fill="F0F0F0"/>
                </w:tcPr>
                <w:p>
                  <w:pPr>
                    <w:pStyle w:val="Normal"/>
                    <w:keepLines w:val="on"/>
                  </w:pPr>
                  <w:r>
                    <w:t>$6,99</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trị cuối kỳ</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$236,25</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PV của giá trị cuối kỳ</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$146,69</w:t>
                  </w:r>
                </w:p>
              </w:tc>
              <w:tc>
                <w:tcPr>
                  <w:tcW w:type="auto" w:w="0"/>
                  <w:shd w:val="clear" w:color="auto" w:fill="F0F0F0"/>
                </w:tcPr>
                <w:p>
                  <w:pPr>
                    <w:pStyle w:val="7 Block"/>
                    <w:keepLines w:val="on"/>
                  </w:pPr>
                </w:p>
              </w:tc>
            </w:tr>
            <w:tr>
              <w:tc>
                <w:tcPr>
                  <w:tcW w:type="auto" w:w="0"/>
                  <w:shd w:val="clear" w:color="auto" w:fill="F0F0F0"/>
                </w:tcPr>
                <w:p>
                  <w:pPr>
                    <w:pStyle w:val="Para 02"/>
                    <w:keepLines w:val="on"/>
                  </w:pPr>
                  <w:r>
                    <w:t>Giá trị doanh nghiệp</w:t>
                  </w:r>
                </w:p>
              </w:tc>
              <w:tc>
                <w:tcPr>
                  <w:tcW w:type="auto" w:w="0"/>
                  <w:shd w:val="clear" w:color="auto" w:fill="F0F0F0"/>
                </w:tcPr>
                <w:p>
                  <w:pPr>
                    <w:pStyle w:val="Normal"/>
                    <w:keepLines w:val="on"/>
                  </w:pPr>
                  <w:r>
                    <w:t>$170,85</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Tỷ suất sinh lợi trên vốn</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10%</w:t>
                  </w:r>
                </w:p>
              </w:tc>
            </w:tr>
            <w:tr>
              <w:tc>
                <w:tcPr>
                  <w:tcW w:type="auto" w:w="0"/>
                  <w:shd w:val="clear" w:color="auto" w:fill="F0F0F0"/>
                </w:tcPr>
                <w:p>
                  <w:pPr>
                    <w:pStyle w:val="Para 02"/>
                    <w:keepLines w:val="on"/>
                  </w:pPr>
                  <w:r>
                    <w:t>Chi phí vốn</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10%</w:t>
                  </w:r>
                </w:p>
              </w:tc>
            </w:tr>
          </w:tbl>
          <w:p/>
        </w:tc>
      </w:tr>
    </w:tbl>
    <w:p>
      <w:pPr>
        <w:pStyle w:val="Para 04"/>
        <w:keepLines w:val="on"/>
      </w:pPr>
      <w:r>
        <w:t>Khi xem xét định giá này, hãy lưu ý những điểm sau:</w:t>
      </w:r>
    </w:p>
    <w:p>
      <w:pPr>
        <w:numPr>
          <w:ilvl w:val="0"/>
          <w:numId w:val="388"/>
        </w:numPr>
        <w:pStyle w:val="Para 18"/>
        <w:keepLines w:val="on"/>
      </w:pPr>
      <w:r>
        <w:t>Chi tiêu vốn phát sinh vào đầu mỗi năm, và do đó, được thể hiện ở năm trước đó. Khoản đầu tư 10 triệu đô-la trong năm 1 được thể hiện ở giai đoạn 0, khoản đầu tư năm 2 ở năm 1, và cứ tiếp tục như vậy.</w:t>
      </w:r>
    </w:p>
    <w:p>
      <w:pPr>
        <w:numPr>
          <w:ilvl w:val="0"/>
          <w:numId w:val="388"/>
        </w:numPr>
        <w:pStyle w:val="Para 18"/>
        <w:keepLines w:val="on"/>
      </w:pPr>
      <w:r>
        <w:t>Trong năm 5, khoản đầu tư ròng cần thiết để duy trì tăng trưởng được tính bằng cách sử dụng hai giả định—rằng tăng trưởng thu nhập hoạt động sẽ là 5% mỗi năm sau năm 5, và rằng tỷ suất sinh lợi trên vốn (return on capital) đối với các khoản đầu tư mới bắt đầu từ năm 6 (được thể hiện ở năm 5) sẽ là 10%.</w:t>
      </w:r>
    </w:p>
    <w:p>
      <w:bookmarkStart w:id="6514" w:name="Net_investment5__EBIT61_t_EBIT51"/>
      <w:pPr>
        <w:keepNext/>
        <w:pStyle w:val="Para 07"/>
        <w:keepLines w:val="on"/>
      </w:pPr>
      <w:r>
        <w:t>Đầu tư ròng5=[EBIT61-t-EBIT51-t]/ROC6$23,625-$22,50/.10=$11,25 triệu</w:t>
      </w:r>
      <w:bookmarkEnd w:id="6514"/>
    </w:p>
    <w:p>
      <w:pPr>
        <w:pStyle w:val="Para 04"/>
        <w:keepLines w:val="on"/>
      </w:pPr>
      <w:r>
        <w:t>Giá trị của doanh nghiệp thu được bằng cách chiết khấu dòng tiền tự do của doanh nghiệp (free cash flows to the firm) theo chi phí vốn là $170,85, giống hệt với giá trị thu được khi sử dụng phương pháp giá trị kinh tế gia tăng (economic value added).</w:t>
      </w:r>
    </w:p>
    <w:p>
      <w:pPr>
        <w:pStyle w:val="Para 11"/>
      </w:pPr>
      <w:r>
        <w:t xml:space="preserve"> </w:t>
      </w:r>
      <w:r>
        <w:rPr>
          <w:rStyle w:val="Text26"/>
        </w:rPr>
        <w:bookmarkStart w:id="6515" w:name="Page_1013"/>
        <w:t/>
        <w:bookmarkEnd w:id="6515"/>
      </w:r>
      <w:r>
        <w:t xml:space="preserve"> </w:t>
      </w:r>
    </w:p>
    <w:p>
      <w:bookmarkStart w:id="6516" w:name="ILLUSTRATION_32_2__An_EVA_Valuat"/>
      <w:bookmarkStart w:id="6517" w:name="ILLUSTRATION_32_2__An_EVA_Valuat_1"/>
      <w:pPr>
        <w:keepNext/>
        <w:pStyle w:val="Para 19"/>
        <w:keepLines w:val="on"/>
      </w:pPr>
      <w:r>
        <w:t>MINH HỌA 32.2: Định giá theo EVA của Lululemon năm 2011</w:t>
      </w:r>
      <w:bookmarkEnd w:id="6516"/>
      <w:bookmarkEnd w:id="6517"/>
    </w:p>
    <w:p>
      <w:pPr>
        <w:pStyle w:val="Para 04"/>
        <w:keepLines w:val="on"/>
      </w:pPr>
      <w:r>
        <w:t>Lululemon là một công ty may mặc Canada, chuyên về quần áo tập thể dục và thư giãn. Để minh họa sự tương đương giữa định giá theo FCFF và EVA, chúng ta sẽ bắt đầu với định giá dòng tiền chiết khấu của công ty, sử dụng các thông số đầu vào sau đây, trong Bảng 32.2:</w:t>
      </w:r>
    </w:p>
    <w:p>
      <w:pPr>
        <w:pStyle w:val="Para 25"/>
        <w:keepLines w:val="on"/>
      </w:pPr>
      <w:r>
        <w:t>BẢNG 32.2</w:t>
      </w:r>
    </w:p>
    <w:p>
      <w:pPr>
        <w:keepNext/>
        <w:pStyle w:val="Para 24"/>
        <w:keepLines w:val="on"/>
      </w:pPr>
      <w:r>
        <w:t>Các thông số đầu vào định giá—Lululemon</w:t>
      </w:r>
    </w:p>
    <w:tbl>
      <w:tblPr>
        <w:tblW w:type="auto" w:w="0"/>
      </w:tblPr>
      <w:tr>
        <w:tc>
          <w:tcPr>
            <w:tcW w:type="auto" w:w="0"/>
          </w:tcPr>
          <w:tbl>
            <w:tblPr>
              <w:tblW w:type="pct" w:w="5000"/>
            </w:tblPr>
            <w:tr>
              <w:tc>
                <w:tcPr>
                  <w:tcW w:type="auto" w:w="0"/>
                  <w:shd w:val="clear" w:color="auto" w:fill="F0F0F0"/>
                  <w:vAlign w:val="bottom"/>
                </w:tcPr>
                <w:p>
                  <w:pPr>
                    <w:pStyle w:val="Para 32"/>
                    <w:keepLines w:val="on"/>
                  </w:pPr>
                  <w:r>
                    <w:t>Thời gian</w:t>
                  </w:r>
                </w:p>
              </w:tc>
              <w:tc>
                <w:tcPr>
                  <w:tcW w:type="auto" w:w="0"/>
                  <w:shd w:val="clear" w:color="auto" w:fill="F0F0F0"/>
                  <w:vAlign w:val="bottom"/>
                </w:tcPr>
                <w:p>
                  <w:pPr>
                    <w:pStyle w:val="Para 05"/>
                    <w:keepLines w:val="on"/>
                  </w:pPr>
                  <w:r>
                    <w:t>Giai đoạn tăng trưởng cao 10 năm tới</w:t>
                  </w:r>
                </w:p>
              </w:tc>
              <w:tc>
                <w:tcPr>
                  <w:tcW w:type="auto" w:w="0"/>
                  <w:shd w:val="clear" w:color="auto" w:fill="F0F0F0"/>
                  <w:vAlign w:val="bottom"/>
                </w:tcPr>
                <w:p>
                  <w:pPr>
                    <w:pStyle w:val="Para 05"/>
                    <w:keepLines w:val="on"/>
                  </w:pPr>
                  <w:r>
                    <w:t>Giai đoạn tăng trưởng ổn định sau năm thứ 10 (mãi mãi)</w:t>
                  </w:r>
                </w:p>
              </w:tc>
            </w:tr>
            <w:tr>
              <w:tc>
                <w:tcPr>
                  <w:tcW w:type="auto" w:w="0"/>
                  <w:shd w:val="clear" w:color="auto" w:fill="F0F0F0"/>
                </w:tcPr>
                <w:p>
                  <w:pPr>
                    <w:pStyle w:val="Para 02"/>
                    <w:keepLines w:val="on"/>
                  </w:pPr>
                  <w:r>
                    <w:t>Các yếu tố đầu vào của tăng trưởng</w:t>
                  </w:r>
                </w:p>
              </w:tc>
              <w:tc>
                <w:tcPr>
                  <w:tcW w:type="auto" w:w="0"/>
                  <w:shd w:val="clear" w:color="auto" w:fill="F0F0F0"/>
                </w:tcPr>
                <w:p>
                  <w:pPr>
                    <w:pStyle w:val="5 Block"/>
                    <w:keepLines w:val="on"/>
                  </w:pPr>
                </w:p>
              </w:tc>
              <w:tc>
                <w:tcPr>
                  <w:tcW w:type="auto" w:w="0"/>
                  <w:shd w:val="clear" w:color="auto" w:fill="F0F0F0"/>
                </w:tcPr>
                <w:p>
                  <w:pPr>
                    <w:pStyle w:val="5 Block"/>
                    <w:keepLines w:val="on"/>
                  </w:pPr>
                </w:p>
              </w:tc>
            </w:tr>
            <w:tr>
              <w:tc>
                <w:tcPr>
                  <w:tcW w:type="auto" w:w="0"/>
                  <w:shd w:val="clear" w:color="auto" w:fill="F0F0F0"/>
                </w:tcPr>
                <w:p>
                  <w:pPr>
                    <w:pStyle w:val="Para 02"/>
                    <w:keepLines w:val="on"/>
                  </w:pPr>
                  <w:r>
                    <w:t>– Tỷ lệ tái đầu tư</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30,00%</w:t>
                  </w:r>
                </w:p>
              </w:tc>
            </w:tr>
            <w:tr>
              <w:tc>
                <w:tcPr>
                  <w:tcW w:type="auto" w:w="0"/>
                  <w:shd w:val="clear" w:color="auto" w:fill="F0F0F0"/>
                </w:tcPr>
                <w:p>
                  <w:pPr>
                    <w:pStyle w:val="Para 02"/>
                    <w:keepLines w:val="on"/>
                  </w:pPr>
                  <w:r>
                    <w:t>– Tỷ suất sinh lợi trên vốn</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10,00%</w:t>
                  </w:r>
                </w:p>
              </w:tc>
            </w:tr>
            <w:tr>
              <w:tc>
                <w:tcPr>
                  <w:tcW w:type="auto" w:w="0"/>
                  <w:shd w:val="clear" w:color="auto" w:fill="F0F0F0"/>
                </w:tcPr>
                <w:p>
                  <w:pPr>
                    <w:pStyle w:val="Para 02"/>
                    <w:keepLines w:val="on"/>
                  </w:pPr>
                  <w:r>
                    <w:t>– Tốc độ tăng trưởng kỳ vọng</w:t>
                  </w:r>
                </w:p>
              </w:tc>
              <w:tc>
                <w:tcPr>
                  <w:tcW w:type="auto" w:w="0"/>
                  <w:shd w:val="clear" w:color="auto" w:fill="F0F0F0"/>
                </w:tcPr>
                <w:p>
                  <w:pPr>
                    <w:pStyle w:val="Normal"/>
                    <w:keepLines w:val="on"/>
                  </w:pPr>
                  <w:r>
                    <w:t>17,50%</w:t>
                  </w:r>
                </w:p>
              </w:tc>
              <w:tc>
                <w:tcPr>
                  <w:tcW w:type="auto" w:w="0"/>
                  <w:shd w:val="clear" w:color="auto" w:fill="F0F0F0"/>
                </w:tcPr>
                <w:p>
                  <w:pPr>
                    <w:pStyle w:val="Normal"/>
                    <w:keepLines w:val="on"/>
                  </w:pPr>
                  <w:r>
                    <w:t>3,00%</w:t>
                  </w:r>
                </w:p>
              </w:tc>
            </w:tr>
            <w:tr>
              <w:tc>
                <w:tcPr>
                  <w:tcW w:type="auto" w:w="0"/>
                  <w:shd w:val="clear" w:color="auto" w:fill="F0F0F0"/>
                </w:tcPr>
                <w:p>
                  <w:pPr>
                    <w:pStyle w:val="Para 02"/>
                    <w:keepLines w:val="on"/>
                  </w:pPr>
                  <w:r>
                    <w:t>Các yếu tố đầu vào của chi phí vốn</w:t>
                  </w: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 Beta</w:t>
                  </w:r>
                </w:p>
              </w:tc>
              <w:tc>
                <w:tcPr>
                  <w:tcW w:type="auto" w:w="0"/>
                  <w:shd w:val="clear" w:color="auto" w:fill="F0F0F0"/>
                </w:tcPr>
                <w:p>
                  <w:pPr>
                    <w:pStyle w:val="Normal"/>
                    <w:keepLines w:val="on"/>
                  </w:pPr>
                  <w:r>
                    <w:t>1,40</w:t>
                  </w:r>
                </w:p>
              </w:tc>
              <w:tc>
                <w:tcPr>
                  <w:tcW w:type="auto" w:w="0"/>
                  <w:shd w:val="clear" w:color="auto" w:fill="F0F0F0"/>
                </w:tcPr>
                <w:p>
                  <w:pPr>
                    <w:pStyle w:val="Normal"/>
                    <w:keepLines w:val="on"/>
                  </w:pPr>
                  <w:r>
                    <w:t>1,10</w:t>
                  </w:r>
                </w:p>
              </w:tc>
            </w:tr>
            <w:tr>
              <w:tc>
                <w:tcPr>
                  <w:tcW w:type="auto" w:w="0"/>
                  <w:shd w:val="clear" w:color="auto" w:fill="F0F0F0"/>
                </w:tcPr>
                <w:p>
                  <w:pPr>
                    <w:pStyle w:val="Para 02"/>
                    <w:keepLines w:val="on"/>
                  </w:pPr>
                  <w:r>
                    <w:t>– Chi phí nợ</w:t>
                  </w:r>
                </w:p>
              </w:tc>
              <w:tc>
                <w:tcPr>
                  <w:tcW w:type="auto" w:w="0"/>
                  <w:shd w:val="clear" w:color="auto" w:fill="F0F0F0"/>
                </w:tcPr>
                <w:p>
                  <w:pPr>
                    <w:pStyle w:val="Normal"/>
                    <w:keepLines w:val="on"/>
                  </w:pPr>
                  <w:r>
                    <w:t>NA</w:t>
                  </w:r>
                </w:p>
              </w:tc>
              <w:tc>
                <w:tcPr>
                  <w:tcW w:type="auto" w:w="0"/>
                  <w:shd w:val="clear" w:color="auto" w:fill="F0F0F0"/>
                </w:tcPr>
                <w:p>
                  <w:pPr>
                    <w:pStyle w:val="Normal"/>
                    <w:keepLines w:val="on"/>
                  </w:pPr>
                  <w:r>
                    <w:t>5,00%</w:t>
                  </w:r>
                </w:p>
              </w:tc>
            </w:tr>
            <w:tr>
              <w:tc>
                <w:tcPr>
                  <w:tcW w:type="auto" w:w="0"/>
                  <w:shd w:val="clear" w:color="auto" w:fill="F0F0F0"/>
                </w:tcPr>
                <w:p>
                  <w:pPr>
                    <w:pStyle w:val="Para 02"/>
                    <w:keepLines w:val="on"/>
                  </w:pPr>
                  <w:r>
                    <w:t>– Tỷ lệ nợ</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20,00%</w:t>
                  </w:r>
                </w:p>
              </w:tc>
            </w:tr>
            <w:tr>
              <w:tc>
                <w:tcPr>
                  <w:tcW w:type="auto" w:w="0"/>
                  <w:shd w:val="clear" w:color="auto" w:fill="F0F0F0"/>
                </w:tcPr>
                <w:p>
                  <w:pPr>
                    <w:pStyle w:val="Para 02"/>
                    <w:keepLines w:val="on"/>
                  </w:pPr>
                  <w:r>
                    <w:t>– Chi phí vốn</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7,80%</w:t>
                  </w:r>
                </w:p>
              </w:tc>
            </w:tr>
            <w:tr>
              <w:tc>
                <w:tcPr>
                  <w:tcW w:type="auto" w:w="0"/>
                  <w:shd w:val="clear" w:color="auto" w:fill="F0F0F0"/>
                </w:tcPr>
                <w:p>
                  <w:pPr>
                    <w:pStyle w:val="Para 02"/>
                    <w:keepLines w:val="on"/>
                  </w:pPr>
                  <w:r>
                    <w:t>Thông tin chung</w:t>
                  </w: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Para 02"/>
                    <w:keepLines w:val="on"/>
                  </w:pPr>
                  <w:r>
                    <w:t>– Thuế suất</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40%</w:t>
                  </w:r>
                </w:p>
              </w:tc>
            </w:tr>
          </w:tbl>
          <w:p/>
        </w:tc>
      </w:tr>
    </w:tbl>
    <w:p>
      <w:pPr>
        <w:pStyle w:val="Para 04"/>
        <w:keepLines w:val="on"/>
      </w:pPr>
      <w:r>
        <w:t>Lãi suất phi rủi ro là 3,5% và phần bù rủi ro vốn cổ phần được ước tính là 5%. Trong giai đoạn chuyển tiếp, chúng ta điều chỉnh tốc độ tăng trưởng, tỷ lệ tái đầu tư và chi phí vốn theo các bước tăng tuyến tính từ mức tăng trưởng cao xuống các giá trị tăng trưởng ổn định. Với những dữ liệu đầu vào này, chúng ta có thể ước tính dòng tiền tự do của doanh nghiệp trong Bảng 32.3:</w:t>
      </w:r>
    </w:p>
    <w:p>
      <w:pPr>
        <w:pStyle w:val="Para 25"/>
        <w:keepLines w:val="on"/>
      </w:pPr>
      <w:r>
        <w:t>BẢNG 32.3</w:t>
      </w:r>
    </w:p>
    <w:p>
      <w:pPr>
        <w:keepNext/>
        <w:pStyle w:val="Para 24"/>
        <w:keepLines w:val="on"/>
      </w:pPr>
      <w:r>
        <w:t>Chi phí vốn—Lululemon</w:t>
      </w:r>
    </w:p>
    <w:tbl>
      <w:tblPr>
        <w:tblW w:type="auto" w:w="0"/>
      </w:tblPr>
      <w:tr>
        <w:tc>
          <w:tcPr>
            <w:tcW w:type="auto" w:w="0"/>
          </w:tcPr>
          <w:tbl>
            <w:tblPr>
              <w:tblW w:type="pct" w:w="5000"/>
            </w:tblPr>
            <w:tr>
              <w:tc>
                <w:tcPr>
                  <w:tcW w:type="auto" w:w="0"/>
                  <w:shd w:val="clear" w:color="auto" w:fill="F0F0F0"/>
                  <w:vAlign w:val="bottom"/>
                </w:tcPr>
                <w:p>
                  <w:pPr>
                    <w:pStyle w:val="Para 05"/>
                    <w:keepLines w:val="on"/>
                  </w:pPr>
                  <w:r>
                    <w:t>Năm</w:t>
                  </w:r>
                </w:p>
              </w:tc>
              <w:tc>
                <w:tcPr>
                  <w:tcW w:type="auto" w:w="0"/>
                  <w:shd w:val="clear" w:color="auto" w:fill="F0F0F0"/>
                  <w:vAlign w:val="bottom"/>
                </w:tcPr>
                <w:p>
                  <w:pPr>
                    <w:pStyle w:val="Para 05"/>
                    <w:keepLines w:val="on"/>
                  </w:pPr>
                  <w:r>
                    <w:t>EBIT(1 − t)</w:t>
                  </w:r>
                </w:p>
              </w:tc>
              <w:tc>
                <w:tcPr>
                  <w:tcW w:type="auto" w:w="0"/>
                  <w:shd w:val="clear" w:color="auto" w:fill="F0F0F0"/>
                  <w:vAlign w:val="bottom"/>
                </w:tcPr>
                <w:p>
                  <w:pPr>
                    <w:pStyle w:val="Para 05"/>
                    <w:keepLines w:val="on"/>
                  </w:pPr>
                  <w:r>
                    <w:t>Tốc độ tăng trưởng kỳ vọng</w:t>
                  </w:r>
                </w:p>
              </w:tc>
              <w:tc>
                <w:tcPr>
                  <w:tcW w:type="auto" w:w="0"/>
                  <w:shd w:val="clear" w:color="auto" w:fill="F0F0F0"/>
                  <w:vAlign w:val="bottom"/>
                </w:tcPr>
                <w:p>
                  <w:pPr>
                    <w:pStyle w:val="Para 05"/>
                    <w:keepLines w:val="on"/>
                  </w:pPr>
                  <w:r>
                    <w:t>Tỷ lệ tái đầu tư</w:t>
                  </w:r>
                </w:p>
              </w:tc>
              <w:tc>
                <w:tcPr>
                  <w:tcW w:type="auto" w:w="0"/>
                  <w:shd w:val="clear" w:color="auto" w:fill="F0F0F0"/>
                  <w:vAlign w:val="bottom"/>
                </w:tcPr>
                <w:p>
                  <w:pPr>
                    <w:pStyle w:val="Para 05"/>
                    <w:keepLines w:val="on"/>
                  </w:pPr>
                  <w:r>
                    <w:t>FCFF</w:t>
                  </w:r>
                </w:p>
              </w:tc>
              <w:tc>
                <w:tcPr>
                  <w:tcW w:type="auto" w:w="0"/>
                  <w:shd w:val="clear" w:color="auto" w:fill="F0F0F0"/>
                  <w:vAlign w:val="bottom"/>
                </w:tcPr>
                <w:p>
                  <w:pPr>
                    <w:pStyle w:val="Para 05"/>
                    <w:keepLines w:val="on"/>
                  </w:pPr>
                  <w:r>
                    <w:t>Chi phí vốn</w:t>
                  </w:r>
                </w:p>
              </w:tc>
              <w:tc>
                <w:tcPr>
                  <w:tcW w:type="auto" w:w="0"/>
                  <w:shd w:val="clear" w:color="auto" w:fill="F0F0F0"/>
                  <w:vAlign w:val="bottom"/>
                </w:tcPr>
                <w:p>
                  <w:pPr>
                    <w:pStyle w:val="Para 05"/>
                    <w:keepLines w:val="on"/>
                  </w:pPr>
                  <w:r>
                    <w:t>WACC lũy kế</w:t>
                  </w:r>
                </w:p>
              </w:tc>
              <w:tc>
                <w:tcPr>
                  <w:tcW w:type="auto" w:w="0"/>
                  <w:shd w:val="clear" w:color="auto" w:fill="F0F0F0"/>
                  <w:vAlign w:val="bottom"/>
                </w:tcPr>
                <w:p>
                  <w:pPr>
                    <w:pStyle w:val="Para 05"/>
                    <w:keepLines w:val="on"/>
                  </w:pPr>
                  <w:r>
                    <w:t>PV</w:t>
                  </w:r>
                </w:p>
              </w:tc>
            </w:tr>
            <w:tr>
              <w:tc>
                <w:tcPr>
                  <w:tcW w:type="auto" w:w="0"/>
                  <w:shd w:val="clear" w:color="auto" w:fill="F0F0F0"/>
                </w:tcPr>
                <w:p>
                  <w:pPr>
                    <w:pStyle w:val="Normal"/>
                    <w:keepLines w:val="on"/>
                  </w:pPr>
                  <w:r>
                    <w:t>Cơ sở</w:t>
                  </w:r>
                </w:p>
              </w:tc>
              <w:tc>
                <w:tcPr>
                  <w:tcW w:type="auto" w:w="0"/>
                  <w:shd w:val="clear" w:color="auto" w:fill="F0F0F0"/>
                </w:tcPr>
                <w:p>
                  <w:pPr>
                    <w:pStyle w:val="Normal"/>
                    <w:keepLines w:val="on"/>
                  </w:pPr>
                  <w:r>
                    <w:t>$106.756</w:t>
                  </w:r>
                </w:p>
              </w:tc>
              <w:tc>
                <w:tcPr>
                  <w:tcW w:type="auto" w:w="0"/>
                  <w:shd w:val="clear" w:color="auto" w:fill="F0F0F0"/>
                </w:tcPr>
                <w:p>
                  <w:pPr>
                    <w:pStyle w:val="7 Block"/>
                    <w:keepLines w:val="on"/>
                  </w:pP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$53.378</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$125.438</w:t>
                  </w:r>
                </w:p>
              </w:tc>
              <w:tc>
                <w:tcPr>
                  <w:tcW w:type="auto" w:w="0"/>
                  <w:shd w:val="clear" w:color="auto" w:fill="F0F0F0"/>
                </w:tcPr>
                <w:p>
                  <w:pPr>
                    <w:pStyle w:val="Normal"/>
                    <w:keepLines w:val="on"/>
                  </w:pPr>
                  <w:r>
                    <w:t>17,50%</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$62.719</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1,1050</w:t>
                  </w:r>
                </w:p>
              </w:tc>
              <w:tc>
                <w:tcPr>
                  <w:tcW w:type="auto" w:w="0"/>
                  <w:shd w:val="clear" w:color="auto" w:fill="F0F0F0"/>
                </w:tcPr>
                <w:p>
                  <w:pPr>
                    <w:pStyle w:val="Normal"/>
                    <w:keepLines w:val="on"/>
                  </w:pPr>
                  <w:r>
                    <w:t>$56,759.20</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$147,389</w:t>
                  </w:r>
                </w:p>
              </w:tc>
              <w:tc>
                <w:tcPr>
                  <w:tcW w:type="auto" w:w="0"/>
                  <w:shd w:val="clear" w:color="auto" w:fill="F0F0F0"/>
                </w:tcPr>
                <w:p>
                  <w:pPr>
                    <w:pStyle w:val="Normal"/>
                    <w:keepLines w:val="on"/>
                  </w:pPr>
                  <w:r>
                    <w:t>17,50%</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$73,695</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1,2210</w:t>
                  </w:r>
                </w:p>
              </w:tc>
              <w:tc>
                <w:tcPr>
                  <w:tcW w:type="auto" w:w="0"/>
                  <w:shd w:val="clear" w:color="auto" w:fill="F0F0F0"/>
                </w:tcPr>
                <w:p>
                  <w:pPr>
                    <w:pStyle w:val="Normal"/>
                    <w:keepLines w:val="on"/>
                  </w:pPr>
                  <w:r>
                    <w:t>$60,354.80</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$173,183</w:t>
                  </w:r>
                </w:p>
              </w:tc>
              <w:tc>
                <w:tcPr>
                  <w:tcW w:type="auto" w:w="0"/>
                  <w:shd w:val="clear" w:color="auto" w:fill="F0F0F0"/>
                </w:tcPr>
                <w:p>
                  <w:pPr>
                    <w:pStyle w:val="Normal"/>
                    <w:keepLines w:val="on"/>
                  </w:pPr>
                  <w:r>
                    <w:t>17,50%</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$86,591</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1,3492</w:t>
                  </w:r>
                </w:p>
              </w:tc>
              <w:tc>
                <w:tcPr>
                  <w:tcW w:type="auto" w:w="0"/>
                  <w:shd w:val="clear" w:color="auto" w:fill="F0F0F0"/>
                </w:tcPr>
                <w:p>
                  <w:pPr>
                    <w:pStyle w:val="Normal"/>
                    <w:keepLines w:val="on"/>
                  </w:pPr>
                  <w:r>
                    <w:t>$64,178.19</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$203,490</w:t>
                  </w:r>
                </w:p>
              </w:tc>
              <w:tc>
                <w:tcPr>
                  <w:tcW w:type="auto" w:w="0"/>
                  <w:shd w:val="clear" w:color="auto" w:fill="F0F0F0"/>
                </w:tcPr>
                <w:p>
                  <w:pPr>
                    <w:pStyle w:val="Normal"/>
                    <w:keepLines w:val="on"/>
                  </w:pPr>
                  <w:r>
                    <w:t>17,50%</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$101,745</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1,4909</w:t>
                  </w:r>
                </w:p>
              </w:tc>
              <w:tc>
                <w:tcPr>
                  <w:tcW w:type="auto" w:w="0"/>
                  <w:shd w:val="clear" w:color="auto" w:fill="F0F0F0"/>
                </w:tcPr>
                <w:p>
                  <w:pPr>
                    <w:pStyle w:val="Normal"/>
                    <w:keepLines w:val="on"/>
                  </w:pPr>
                  <w:r>
                    <w:t>$68,243.77</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$239,100</w:t>
                  </w:r>
                </w:p>
              </w:tc>
              <w:tc>
                <w:tcPr>
                  <w:tcW w:type="auto" w:w="0"/>
                  <w:shd w:val="clear" w:color="auto" w:fill="F0F0F0"/>
                </w:tcPr>
                <w:p>
                  <w:pPr>
                    <w:pStyle w:val="Normal"/>
                    <w:keepLines w:val="on"/>
                  </w:pPr>
                  <w:r>
                    <w:t>17,50%</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$119,550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1,6474</w:t>
                  </w:r>
                </w:p>
              </w:tc>
              <w:tc>
                <w:tcPr>
                  <w:tcW w:type="auto" w:w="0"/>
                  <w:shd w:val="clear" w:color="auto" w:fill="F0F0F0"/>
                </w:tcPr>
                <w:p>
                  <w:pPr>
                    <w:pStyle w:val="Normal"/>
                    <w:keepLines w:val="on"/>
                  </w:pPr>
                  <w:r>
                    <w:t>$72.566,91</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$274,009</w:t>
                  </w:r>
                </w:p>
              </w:tc>
              <w:tc>
                <w:tcPr>
                  <w:tcW w:type="auto" w:w="0"/>
                  <w:shd w:val="clear" w:color="auto" w:fill="F0F0F0"/>
                </w:tcPr>
                <w:p>
                  <w:pPr>
                    <w:pStyle w:val="Normal"/>
                    <w:keepLines w:val="on"/>
                  </w:pPr>
                  <w:r>
                    <w:t>14,60%</w:t>
                  </w:r>
                </w:p>
              </w:tc>
              <w:tc>
                <w:tcPr>
                  <w:tcW w:type="auto" w:w="0"/>
                  <w:shd w:val="clear" w:color="auto" w:fill="F0F0F0"/>
                </w:tcPr>
                <w:p>
                  <w:pPr>
                    <w:pStyle w:val="Normal"/>
                    <w:keepLines w:val="on"/>
                  </w:pPr>
                  <w:r>
                    <w:t>46,00%</w:t>
                  </w:r>
                </w:p>
              </w:tc>
              <w:tc>
                <w:tcPr>
                  <w:tcW w:type="auto" w:w="0"/>
                  <w:shd w:val="clear" w:color="auto" w:fill="F0F0F0"/>
                </w:tcPr>
                <w:p>
                  <w:pPr>
                    <w:pStyle w:val="Normal"/>
                    <w:keepLines w:val="on"/>
                  </w:pPr>
                  <w:r>
                    <w:t>$147,965</w:t>
                  </w:r>
                </w:p>
              </w:tc>
              <w:tc>
                <w:tcPr>
                  <w:tcW w:type="auto" w:w="0"/>
                  <w:shd w:val="clear" w:color="auto" w:fill="F0F0F0"/>
                </w:tcPr>
                <w:p>
                  <w:pPr>
                    <w:pStyle w:val="Normal"/>
                    <w:keepLines w:val="on"/>
                  </w:pPr>
                  <w:r>
                    <w:t>9,98%</w:t>
                  </w:r>
                </w:p>
              </w:tc>
              <w:tc>
                <w:tcPr>
                  <w:tcW w:type="auto" w:w="0"/>
                  <w:shd w:val="clear" w:color="auto" w:fill="F0F0F0"/>
                </w:tcPr>
                <w:p>
                  <w:pPr>
                    <w:pStyle w:val="Normal"/>
                    <w:keepLines w:val="on"/>
                  </w:pPr>
                  <w:r>
                    <w:t>1,8118</w:t>
                  </w:r>
                </w:p>
              </w:tc>
              <w:tc>
                <w:tcPr>
                  <w:tcW w:type="auto" w:w="0"/>
                  <w:shd w:val="clear" w:color="auto" w:fill="F0F0F0"/>
                </w:tcPr>
                <w:p>
                  <w:pPr>
                    <w:pStyle w:val="Normal"/>
                    <w:keepLines w:val="on"/>
                  </w:pPr>
                  <w:r>
                    <w:t>$81.665,09</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$306,068</w:t>
                  </w:r>
                </w:p>
              </w:tc>
              <w:tc>
                <w:tcPr>
                  <w:tcW w:type="auto" w:w="0"/>
                  <w:shd w:val="clear" w:color="auto" w:fill="F0F0F0"/>
                </w:tcPr>
                <w:p>
                  <w:pPr>
                    <w:pStyle w:val="Normal"/>
                    <w:keepLines w:val="on"/>
                  </w:pPr>
                  <w:r>
                    <w:t>11,70%</w:t>
                  </w:r>
                </w:p>
              </w:tc>
              <w:tc>
                <w:tcPr>
                  <w:tcW w:type="auto" w:w="0"/>
                  <w:shd w:val="clear" w:color="auto" w:fill="F0F0F0"/>
                </w:tcPr>
                <w:p>
                  <w:pPr>
                    <w:pStyle w:val="Normal"/>
                    <w:keepLines w:val="on"/>
                  </w:pPr>
                  <w:r>
                    <w:t>42,00%</w:t>
                  </w:r>
                </w:p>
              </w:tc>
              <w:tc>
                <w:tcPr>
                  <w:tcW w:type="auto" w:w="0"/>
                  <w:shd w:val="clear" w:color="auto" w:fill="F0F0F0"/>
                </w:tcPr>
                <w:p>
                  <w:pPr>
                    <w:pStyle w:val="Normal"/>
                    <w:keepLines w:val="on"/>
                  </w:pPr>
                  <w:r>
                    <w:t>$177,519</w:t>
                  </w:r>
                </w:p>
              </w:tc>
              <w:tc>
                <w:tcPr>
                  <w:tcW w:type="auto" w:w="0"/>
                  <w:shd w:val="clear" w:color="auto" w:fill="F0F0F0"/>
                </w:tcPr>
                <w:p>
                  <w:pPr>
                    <w:pStyle w:val="Normal"/>
                    <w:keepLines w:val="on"/>
                  </w:pPr>
                  <w:r>
                    <w:t>9,45%</w:t>
                  </w:r>
                </w:p>
              </w:tc>
              <w:tc>
                <w:tcPr>
                  <w:tcW w:type="auto" w:w="0"/>
                  <w:shd w:val="clear" w:color="auto" w:fill="F0F0F0"/>
                </w:tcPr>
                <w:p>
                  <w:pPr>
                    <w:pStyle w:val="Normal"/>
                    <w:keepLines w:val="on"/>
                  </w:pPr>
                  <w:r>
                    <w:t>1,9830</w:t>
                  </w:r>
                </w:p>
              </w:tc>
              <w:tc>
                <w:tcPr>
                  <w:tcW w:type="auto" w:w="0"/>
                  <w:shd w:val="clear" w:color="auto" w:fill="F0F0F0"/>
                </w:tcPr>
                <w:p>
                  <w:pPr>
                    <w:pStyle w:val="Normal"/>
                    <w:keepLines w:val="on"/>
                  </w:pPr>
                  <w:r>
                    <w:t>$89.518,51</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$333,002</w:t>
                  </w:r>
                </w:p>
              </w:tc>
              <w:tc>
                <w:tcPr>
                  <w:tcW w:type="auto" w:w="0"/>
                  <w:shd w:val="clear" w:color="auto" w:fill="F0F0F0"/>
                </w:tcPr>
                <w:p>
                  <w:pPr>
                    <w:pStyle w:val="Normal"/>
                    <w:keepLines w:val="on"/>
                  </w:pPr>
                  <w:r>
                    <w:t>8,80%</w:t>
                  </w:r>
                </w:p>
              </w:tc>
              <w:tc>
                <w:tcPr>
                  <w:tcW w:type="auto" w:w="0"/>
                  <w:shd w:val="clear" w:color="auto" w:fill="F0F0F0"/>
                </w:tcPr>
                <w:p>
                  <w:pPr>
                    <w:pStyle w:val="Normal"/>
                    <w:keepLines w:val="on"/>
                  </w:pPr>
                  <w:r>
                    <w:t>38,00%</w:t>
                  </w:r>
                </w:p>
              </w:tc>
              <w:tc>
                <w:tcPr>
                  <w:tcW w:type="auto" w:w="0"/>
                  <w:shd w:val="clear" w:color="auto" w:fill="F0F0F0"/>
                </w:tcPr>
                <w:p>
                  <w:pPr>
                    <w:pStyle w:val="Normal"/>
                    <w:keepLines w:val="on"/>
                  </w:pPr>
                  <w:r>
                    <w:t>$206,461</w:t>
                  </w:r>
                </w:p>
              </w:tc>
              <w:tc>
                <w:tcPr>
                  <w:tcW w:type="auto" w:w="0"/>
                  <w:shd w:val="clear" w:color="auto" w:fill="F0F0F0"/>
                </w:tcPr>
                <w:p>
                  <w:pPr>
                    <w:pStyle w:val="Normal"/>
                    <w:keepLines w:val="on"/>
                  </w:pPr>
                  <w:r>
                    <w:t>8,91%</w:t>
                  </w:r>
                </w:p>
              </w:tc>
              <w:tc>
                <w:tcPr>
                  <w:tcW w:type="auto" w:w="0"/>
                  <w:shd w:val="clear" w:color="auto" w:fill="F0F0F0"/>
                </w:tcPr>
                <w:p>
                  <w:pPr>
                    <w:pStyle w:val="Normal"/>
                    <w:keepLines w:val="on"/>
                  </w:pPr>
                  <w:r>
                    <w:t>2,1597</w:t>
                  </w:r>
                </w:p>
              </w:tc>
              <w:tc>
                <w:tcPr>
                  <w:tcW w:type="auto" w:w="0"/>
                  <w:shd w:val="clear" w:color="auto" w:fill="F0F0F0"/>
                </w:tcPr>
                <w:p>
                  <w:pPr>
                    <w:pStyle w:val="Normal"/>
                    <w:keepLines w:val="on"/>
                  </w:pPr>
                  <w:r>
                    <w:t>$95.596,60</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$352,649</w:t>
                  </w:r>
                </w:p>
              </w:tc>
              <w:tc>
                <w:tcPr>
                  <w:tcW w:type="auto" w:w="0"/>
                  <w:shd w:val="clear" w:color="auto" w:fill="F0F0F0"/>
                </w:tcPr>
                <w:p>
                  <w:pPr>
                    <w:pStyle w:val="Normal"/>
                    <w:keepLines w:val="on"/>
                  </w:pPr>
                  <w:r>
                    <w:t>5,90%</w:t>
                  </w:r>
                </w:p>
              </w:tc>
              <w:tc>
                <w:tcPr>
                  <w:tcW w:type="auto" w:w="0"/>
                  <w:shd w:val="clear" w:color="auto" w:fill="F0F0F0"/>
                </w:tcPr>
                <w:p>
                  <w:pPr>
                    <w:pStyle w:val="Normal"/>
                    <w:keepLines w:val="on"/>
                  </w:pPr>
                  <w:r>
                    <w:t>34,00%</w:t>
                  </w:r>
                </w:p>
              </w:tc>
              <w:tc>
                <w:tcPr>
                  <w:tcW w:type="auto" w:w="0"/>
                  <w:shd w:val="clear" w:color="auto" w:fill="F0F0F0"/>
                </w:tcPr>
                <w:p>
                  <w:pPr>
                    <w:pStyle w:val="Normal"/>
                    <w:keepLines w:val="on"/>
                  </w:pPr>
                  <w:r>
                    <w:t>$232,748</w:t>
                  </w:r>
                </w:p>
              </w:tc>
              <w:tc>
                <w:tcPr>
                  <w:tcW w:type="auto" w:w="0"/>
                  <w:shd w:val="clear" w:color="auto" w:fill="F0F0F0"/>
                </w:tcPr>
                <w:p>
                  <w:pPr>
                    <w:pStyle w:val="Normal"/>
                    <w:keepLines w:val="on"/>
                  </w:pPr>
                  <w:r>
                    <w:t>8,36%</w:t>
                  </w:r>
                </w:p>
              </w:tc>
              <w:tc>
                <w:tcPr>
                  <w:tcW w:type="auto" w:w="0"/>
                  <w:shd w:val="clear" w:color="auto" w:fill="F0F0F0"/>
                </w:tcPr>
                <w:p>
                  <w:pPr>
                    <w:pStyle w:val="Normal"/>
                    <w:keepLines w:val="on"/>
                  </w:pPr>
                  <w:r>
                    <w:t>2,3402</w:t>
                  </w:r>
                </w:p>
              </w:tc>
              <w:tc>
                <w:tcPr>
                  <w:tcW w:type="auto" w:w="0"/>
                  <w:shd w:val="clear" w:color="auto" w:fill="F0F0F0"/>
                </w:tcPr>
                <w:p>
                  <w:pPr>
                    <w:pStyle w:val="Normal"/>
                    <w:keepLines w:val="on"/>
                  </w:pPr>
                  <w:r>
                    <w:t>$99.454,60</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$363,228</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30,00%</w:t>
                  </w:r>
                </w:p>
              </w:tc>
              <w:tc>
                <w:tcPr>
                  <w:tcW w:type="auto" w:w="0"/>
                  <w:shd w:val="clear" w:color="auto" w:fill="F0F0F0"/>
                </w:tcPr>
                <w:p>
                  <w:pPr>
                    <w:pStyle w:val="Normal"/>
                    <w:keepLines w:val="on"/>
                  </w:pPr>
                  <w:r>
                    <w:t>$254,260</w:t>
                  </w:r>
                </w:p>
              </w:tc>
              <w:tc>
                <w:tcPr>
                  <w:tcW w:type="auto" w:w="0"/>
                  <w:shd w:val="clear" w:color="auto" w:fill="F0F0F0"/>
                </w:tcPr>
                <w:p>
                  <w:pPr>
                    <w:pStyle w:val="Normal"/>
                    <w:keepLines w:val="on"/>
                  </w:pPr>
                  <w:r>
                    <w:t>7,80%</w:t>
                  </w:r>
                </w:p>
              </w:tc>
              <w:tc>
                <w:tcPr>
                  <w:tcW w:type="auto" w:w="0"/>
                  <w:shd w:val="clear" w:color="auto" w:fill="F0F0F0"/>
                </w:tcPr>
                <w:p>
                  <w:pPr>
                    <w:pStyle w:val="Normal"/>
                    <w:keepLines w:val="on"/>
                  </w:pPr>
                  <w:r>
                    <w:t>2,5228</w:t>
                  </w:r>
                </w:p>
              </w:tc>
              <w:tc>
                <w:tcPr>
                  <w:tcW w:type="auto" w:w="0"/>
                  <w:shd w:val="clear" w:color="auto" w:fill="F0F0F0"/>
                </w:tcPr>
                <w:p>
                  <w:pPr>
                    <w:pStyle w:val="Normal"/>
                    <w:keepLines w:val="on"/>
                  </w:pPr>
                  <w:r>
                    <w:t>$100.785,36</w:t>
                  </w:r>
                </w:p>
              </w:tc>
            </w:tr>
            <w:tr>
              <w:tc>
                <w:tcPr>
                  <w:tcW w:type="auto" w:w="0"/>
                  <w:shd w:val="clear" w:color="auto" w:fill="F0F0F0"/>
                </w:tcPr>
                <w:p>
                  <w:pPr>
                    <w:pStyle w:val="Normal"/>
                    <w:keepLines w:val="on"/>
                  </w:pPr>
                  <w:r>
                    <w:t>Tổng</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$789.123,02</w:t>
                  </w:r>
                </w:p>
              </w:tc>
            </w:tr>
          </w:tbl>
          <w:p/>
        </w:tc>
      </w:tr>
    </w:tbl>
    <w:p>
      <w:pPr>
        <w:pStyle w:val="Para 04"/>
        <w:keepLines w:val="on"/>
      </w:pPr>
      <w:r>
        <w:t>Tổng giá trị hiện tại của các dòng tiền trong giai đoạn tăng trưởng là 789,123 triệu đô la. Giá trị cuối kỳ (terminal value) được ước tính dựa trên dòng tiền trong năm cuối kỳ và chi phí vốn (cost of capital) là 7,80%.</w:t>
      </w:r>
    </w:p>
    <w:p>
      <w:bookmarkStart w:id="6522" w:name="Terminalvalue_EBIT101___taxrate1"/>
      <w:pPr>
        <w:keepNext/>
        <w:pStyle w:val="Para 07"/>
        <w:keepLines w:val="on"/>
      </w:pPr>
      <w:r>
        <w:t>Giátrịcuốikỳ=EBIT101−thuếsuất1+g1−TỷlệtáitụcChi phí vốn−Tỷlệtăngtrưởngổnđịnh=363,2281.031−.30.078−0.03=$5,455,994</w:t>
      </w:r>
      <w:bookmarkEnd w:id="6522"/>
    </w:p>
    <w:p>
      <w:pPr>
        <w:pStyle w:val="Para 04"/>
        <w:keepLines w:val="on"/>
      </w:pPr>
      <w:r>
        <w:t>Ước tính giá trị tài sản hoạt động của Lululemon theo phương pháp chiết khấu dòng tiền (discounted cash flow) được trình bày ở đây:</w:t>
      </w:r>
    </w:p>
    <w:p>
      <w:bookmarkStart w:id="6523" w:name="Valueofoperatingassets_PVofFCFFd"/>
      <w:pPr>
        <w:keepNext/>
        <w:pStyle w:val="Para 07"/>
        <w:keepLines w:val="on"/>
      </w:pPr>
      <w:r>
        <w:t>Giátrịtàisảnhoạtđộng=PVcủaFCFFtronggiaiđoạntăngtrưởngcao+GiátrịcuốikỳWACCtíchlũy10=$789,123+$5,455,9942.5228=$2,951,809</w:t>
      </w:r>
      <w:bookmarkEnd w:id="6523"/>
    </w:p>
    <w:p>
      <w:pPr>
        <w:pStyle w:val="Para 04"/>
        <w:keepLines w:val="on"/>
      </w:pPr>
      <w:r>
        <w:t>Trong bảng sau, chúng ta ước tính EVA cho Lululemon mỗi năm trong 10 năm tới, cùng với giá trị hiện tại của EVA. Để thực hiện các ước tính này, chúng ta bắt đầu với vốn đầu tư hiện tại vào công ty là 353.394 (tính theo nghìn đô la), sau đó cộng thêm phần tái đầu tư mỗi năm để có được vốn đầu tư vào đầu năm tiếp theo, trong Bảng 32.4:</w:t>
      </w:r>
    </w:p>
    <w:p>
      <w:pPr>
        <w:pStyle w:val="Para 25"/>
        <w:keepLines w:val="on"/>
      </w:pPr>
      <w:r>
        <w:t>BẢNG 32.4</w:t>
      </w:r>
    </w:p>
    <w:p>
      <w:pPr>
        <w:keepNext/>
        <w:pStyle w:val="Para 24"/>
        <w:keepLines w:val="on"/>
      </w:pPr>
      <w:r>
        <w:t>EVA và Giá trị hiện tại—Lululemon</w:t>
      </w:r>
    </w:p>
    <w:tbl>
      <w:tblPr>
        <w:tblW w:type="auto" w:w="0"/>
      </w:tblPr>
      <w:tr>
        <w:tc>
          <w:tcPr>
            <w:tcW w:type="auto" w:w="0"/>
          </w:tcPr>
          <w:tbl>
            <w:tblPr>
              <w:tblW w:type="pct" w:w="5000"/>
            </w:tblPr>
            <w:tr>
              <w:tc>
                <w:tcPr>
                  <w:tcW w:type="auto" w:w="0"/>
                  <w:shd w:val="clear" w:color="auto" w:fill="F0F0F0"/>
                  <w:vAlign w:val="bottom"/>
                </w:tcPr>
                <w:p>
                  <w:pPr>
                    <w:pStyle w:val="Para 05"/>
                    <w:keepLines w:val="on"/>
                  </w:pPr>
                  <w:r>
                    <w:t>Năm</w:t>
                  </w:r>
                </w:p>
              </w:tc>
              <w:tc>
                <w:tcPr>
                  <w:tcW w:type="auto" w:w="0"/>
                  <w:shd w:val="clear" w:color="auto" w:fill="F0F0F0"/>
                  <w:vAlign w:val="bottom"/>
                </w:tcPr>
                <w:p>
                  <w:pPr>
                    <w:pStyle w:val="Para 05"/>
                    <w:keepLines w:val="on"/>
                  </w:pPr>
                  <w:r>
                    <w:t>Vốn đầu tư đầu kỳ</w:t>
                  </w:r>
                </w:p>
              </w:tc>
              <w:tc>
                <w:tcPr>
                  <w:tcW w:type="auto" w:w="0"/>
                  <w:shd w:val="clear" w:color="auto" w:fill="F0F0F0"/>
                  <w:vAlign w:val="bottom"/>
                </w:tcPr>
                <w:p>
                  <w:pPr>
                    <w:pStyle w:val="Para 05"/>
                    <w:keepLines w:val="on"/>
                  </w:pPr>
                  <w:r>
                    <w:t>Tái đầu tư</w:t>
                  </w:r>
                </w:p>
              </w:tc>
              <w:tc>
                <w:tcPr>
                  <w:tcW w:type="auto" w:w="0"/>
                  <w:shd w:val="clear" w:color="auto" w:fill="F0F0F0"/>
                  <w:vAlign w:val="bottom"/>
                </w:tcPr>
                <w:p>
                  <w:pPr>
                    <w:pStyle w:val="Para 05"/>
                    <w:keepLines w:val="on"/>
                  </w:pPr>
                  <w:r>
                    <w:t>Tỷ suất sinh lời trên vốn</w:t>
                  </w:r>
                </w:p>
              </w:tc>
              <w:tc>
                <w:tcPr>
                  <w:tcW w:type="auto" w:w="0"/>
                  <w:shd w:val="clear" w:color="auto" w:fill="F0F0F0"/>
                  <w:vAlign w:val="bottom"/>
                </w:tcPr>
                <w:p>
                  <w:pPr>
                    <w:pStyle w:val="Para 05"/>
                    <w:keepLines w:val="on"/>
                  </w:pPr>
                  <w:r>
                    <w:t>Chi phí vốn</w:t>
                  </w:r>
                </w:p>
              </w:tc>
              <w:tc>
                <w:tcPr>
                  <w:tcW w:type="auto" w:w="0"/>
                  <w:shd w:val="clear" w:color="auto" w:fill="F0F0F0"/>
                  <w:vAlign w:val="bottom"/>
                </w:tcPr>
                <w:p>
                  <w:pPr>
                    <w:pStyle w:val="Para 05"/>
                    <w:keepLines w:val="on"/>
                  </w:pPr>
                  <w:r>
                    <w:t>EVA</w:t>
                  </w:r>
                </w:p>
              </w:tc>
              <w:tc>
                <w:tcPr>
                  <w:tcW w:type="auto" w:w="0"/>
                  <w:shd w:val="clear" w:color="auto" w:fill="F0F0F0"/>
                  <w:vAlign w:val="bottom"/>
                </w:tcPr>
                <w:p>
                  <w:pPr>
                    <w:pStyle w:val="Para 05"/>
                    <w:keepLines w:val="on"/>
                  </w:pPr>
                  <w:r>
                    <w:t>WACC tích lũy</w:t>
                  </w:r>
                </w:p>
              </w:tc>
              <w:tc>
                <w:tcPr>
                  <w:tcW w:type="auto" w:w="0"/>
                  <w:shd w:val="clear" w:color="auto" w:fill="F0F0F0"/>
                  <w:vAlign w:val="bottom"/>
                </w:tcPr>
                <w:p>
                  <w:pPr>
                    <w:pStyle w:val="Para 05"/>
                    <w:keepLines w:val="on"/>
                  </w:pPr>
                  <w:r>
                    <w:t>PV</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$358,394</w:t>
                  </w:r>
                </w:p>
              </w:tc>
              <w:tc>
                <w:tcPr>
                  <w:tcW w:type="auto" w:w="0"/>
                  <w:shd w:val="clear" w:color="auto" w:fill="F0F0F0"/>
                </w:tcPr>
                <w:p>
                  <w:pPr>
                    <w:pStyle w:val="Normal"/>
                    <w:keepLines w:val="on"/>
                  </w:pPr>
                  <w:r>
                    <w:t>$62,719</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$87,806</w:t>
                  </w:r>
                </w:p>
              </w:tc>
              <w:tc>
                <w:tcPr>
                  <w:tcW w:type="auto" w:w="0"/>
                  <w:shd w:val="clear" w:color="auto" w:fill="F0F0F0"/>
                </w:tcPr>
                <w:p>
                  <w:pPr>
                    <w:pStyle w:val="Normal"/>
                    <w:keepLines w:val="on"/>
                  </w:pPr>
                  <w:r>
                    <w:t>1.1050</w:t>
                  </w:r>
                </w:p>
              </w:tc>
              <w:tc>
                <w:tcPr>
                  <w:tcW w:type="auto" w:w="0"/>
                  <w:shd w:val="clear" w:color="auto" w:fill="F0F0F0"/>
                </w:tcPr>
                <w:p>
                  <w:pPr>
                    <w:pStyle w:val="Normal"/>
                    <w:keepLines w:val="on"/>
                  </w:pPr>
                  <w:r>
                    <w:t>$79,463</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$421,113</w:t>
                  </w:r>
                </w:p>
              </w:tc>
              <w:tc>
                <w:tcPr>
                  <w:tcW w:type="auto" w:w="0"/>
                  <w:shd w:val="clear" w:color="auto" w:fill="F0F0F0"/>
                </w:tcPr>
                <w:p>
                  <w:pPr>
                    <w:pStyle w:val="Normal"/>
                    <w:keepLines w:val="on"/>
                  </w:pPr>
                  <w:r>
                    <w:t>$73,695</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$103.173</w:t>
                  </w:r>
                </w:p>
              </w:tc>
              <w:tc>
                <w:tcPr>
                  <w:tcW w:type="auto" w:w="0"/>
                  <w:shd w:val="clear" w:color="auto" w:fill="F0F0F0"/>
                </w:tcPr>
                <w:p>
                  <w:pPr>
                    <w:pStyle w:val="Normal"/>
                    <w:keepLines w:val="on"/>
                  </w:pPr>
                  <w:r>
                    <w:t>1,2210</w:t>
                  </w:r>
                </w:p>
              </w:tc>
              <w:tc>
                <w:tcPr>
                  <w:tcW w:type="auto" w:w="0"/>
                  <w:shd w:val="clear" w:color="auto" w:fill="F0F0F0"/>
                </w:tcPr>
                <w:p>
                  <w:pPr>
                    <w:pStyle w:val="Normal"/>
                    <w:keepLines w:val="on"/>
                  </w:pPr>
                  <w:r>
                    <w:t>$84.497</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$494.807</w:t>
                  </w:r>
                </w:p>
              </w:tc>
              <w:tc>
                <w:tcPr>
                  <w:tcW w:type="auto" w:w="0"/>
                  <w:shd w:val="clear" w:color="auto" w:fill="F0F0F0"/>
                </w:tcPr>
                <w:p>
                  <w:pPr>
                    <w:pStyle w:val="Normal"/>
                    <w:keepLines w:val="on"/>
                  </w:pPr>
                  <w:r>
                    <w:t>$86.591</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$121.228</w:t>
                  </w:r>
                </w:p>
              </w:tc>
              <w:tc>
                <w:tcPr>
                  <w:tcW w:type="auto" w:w="0"/>
                  <w:shd w:val="clear" w:color="auto" w:fill="F0F0F0"/>
                </w:tcPr>
                <w:p>
                  <w:pPr>
                    <w:pStyle w:val="Normal"/>
                    <w:keepLines w:val="on"/>
                  </w:pPr>
                  <w:r>
                    <w:t>1,3492</w:t>
                  </w:r>
                </w:p>
              </w:tc>
              <w:tc>
                <w:tcPr>
                  <w:tcW w:type="auto" w:w="0"/>
                  <w:shd w:val="clear" w:color="auto" w:fill="F0F0F0"/>
                </w:tcPr>
                <w:p>
                  <w:pPr>
                    <w:pStyle w:val="Normal"/>
                    <w:keepLines w:val="on"/>
                  </w:pPr>
                  <w:r>
                    <w:t>$89.849</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$581.399</w:t>
                  </w:r>
                </w:p>
              </w:tc>
              <w:tc>
                <w:tcPr>
                  <w:tcW w:type="auto" w:w="0"/>
                  <w:shd w:val="clear" w:color="auto" w:fill="F0F0F0"/>
                </w:tcPr>
                <w:p>
                  <w:pPr>
                    <w:pStyle w:val="Normal"/>
                    <w:keepLines w:val="on"/>
                  </w:pPr>
                  <w:r>
                    <w:t>$101.745</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$142.443</w:t>
                  </w:r>
                </w:p>
              </w:tc>
              <w:tc>
                <w:tcPr>
                  <w:tcW w:type="auto" w:w="0"/>
                  <w:shd w:val="clear" w:color="auto" w:fill="F0F0F0"/>
                </w:tcPr>
                <w:p>
                  <w:pPr>
                    <w:pStyle w:val="Normal"/>
                    <w:keepLines w:val="on"/>
                  </w:pPr>
                  <w:r>
                    <w:t>1,4909</w:t>
                  </w:r>
                </w:p>
              </w:tc>
              <w:tc>
                <w:tcPr>
                  <w:tcW w:type="auto" w:w="0"/>
                  <w:shd w:val="clear" w:color="auto" w:fill="F0F0F0"/>
                </w:tcPr>
                <w:p>
                  <w:pPr>
                    <w:pStyle w:val="Normal"/>
                    <w:keepLines w:val="on"/>
                  </w:pPr>
                  <w:r>
                    <w:t>$95.541</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$683.144</w:t>
                  </w:r>
                </w:p>
              </w:tc>
              <w:tc>
                <w:tcPr>
                  <w:tcW w:type="auto" w:w="0"/>
                  <w:shd w:val="clear" w:color="auto" w:fill="F0F0F0"/>
                </w:tcPr>
                <w:p>
                  <w:pPr>
                    <w:pStyle w:val="Normal"/>
                    <w:keepLines w:val="on"/>
                  </w:pPr>
                  <w:r>
                    <w:t>$119.550</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$167.370</w:t>
                  </w:r>
                </w:p>
              </w:tc>
              <w:tc>
                <w:tcPr>
                  <w:tcW w:type="auto" w:w="0"/>
                  <w:shd w:val="clear" w:color="auto" w:fill="F0F0F0"/>
                </w:tcPr>
                <w:p>
                  <w:pPr>
                    <w:pStyle w:val="Normal"/>
                    <w:keepLines w:val="on"/>
                  </w:pPr>
                  <w:r>
                    <w:t>1,6474</w:t>
                  </w:r>
                </w:p>
              </w:tc>
              <w:tc>
                <w:tcPr>
                  <w:tcW w:type="auto" w:w="0"/>
                  <w:shd w:val="clear" w:color="auto" w:fill="F0F0F0"/>
                </w:tcPr>
                <w:p>
                  <w:pPr>
                    <w:pStyle w:val="Normal"/>
                    <w:keepLines w:val="on"/>
                  </w:pPr>
                  <w:r>
                    <w:t>$101.594</w:t>
                  </w:r>
                </w:p>
              </w:tc>
            </w:tr>
            <w:tr>
              <w:tc>
                <w:tcPr>
                  <w:tcW w:type="auto" w:w="0"/>
                  <w:shd w:val="clear" w:color="auto" w:fill="F0F0F0"/>
                </w:tcPr>
                <w:p>
                  <w:pPr>
                    <w:pStyle w:val="Normal"/>
                    <w:keepLines w:val="on"/>
                  </w:pPr>
                  <w:r>
                    <w:t>6</w:t>
                  </w:r>
                </w:p>
              </w:tc>
              <w:tc>
                <w:tcPr>
                  <w:tcW w:type="auto" w:w="0"/>
                  <w:shd w:val="clear" w:color="auto" w:fill="F0F0F0"/>
                </w:tcPr>
                <w:p>
                  <w:pPr>
                    <w:pStyle w:val="Normal"/>
                    <w:keepLines w:val="on"/>
                  </w:pPr>
                  <w:r>
                    <w:t>$802.694</w:t>
                  </w:r>
                </w:p>
              </w:tc>
              <w:tc>
                <w:tcPr>
                  <w:tcW w:type="auto" w:w="0"/>
                  <w:shd w:val="clear" w:color="auto" w:fill="F0F0F0"/>
                </w:tcPr>
                <w:p>
                  <w:pPr>
                    <w:pStyle w:val="Normal"/>
                    <w:keepLines w:val="on"/>
                  </w:pPr>
                  <w:r>
                    <w:t>$126.044</w:t>
                  </w:r>
                </w:p>
              </w:tc>
              <w:tc>
                <w:tcPr>
                  <w:tcW w:type="auto" w:w="0"/>
                  <w:shd w:val="clear" w:color="auto" w:fill="F0F0F0"/>
                </w:tcPr>
                <w:p>
                  <w:pPr>
                    <w:pStyle w:val="Normal"/>
                    <w:keepLines w:val="on"/>
                  </w:pPr>
                  <w:r>
                    <w:t>34,14%</w:t>
                  </w:r>
                </w:p>
              </w:tc>
              <w:tc>
                <w:tcPr>
                  <w:tcW w:type="auto" w:w="0"/>
                  <w:shd w:val="clear" w:color="auto" w:fill="F0F0F0"/>
                </w:tcPr>
                <w:p>
                  <w:pPr>
                    <w:pStyle w:val="Normal"/>
                    <w:keepLines w:val="on"/>
                  </w:pPr>
                  <w:r>
                    <w:t>9,98%</w:t>
                  </w:r>
                </w:p>
              </w:tc>
              <w:tc>
                <w:tcPr>
                  <w:tcW w:type="auto" w:w="0"/>
                  <w:shd w:val="clear" w:color="auto" w:fill="F0F0F0"/>
                </w:tcPr>
                <w:p>
                  <w:pPr>
                    <w:pStyle w:val="Normal"/>
                    <w:keepLines w:val="on"/>
                  </w:pPr>
                  <w:r>
                    <w:t>$193.906</w:t>
                  </w:r>
                </w:p>
              </w:tc>
              <w:tc>
                <w:tcPr>
                  <w:tcW w:type="auto" w:w="0"/>
                  <w:shd w:val="clear" w:color="auto" w:fill="F0F0F0"/>
                </w:tcPr>
                <w:p>
                  <w:pPr>
                    <w:pStyle w:val="Normal"/>
                    <w:keepLines w:val="on"/>
                  </w:pPr>
                  <w:r>
                    <w:t>1,8118</w:t>
                  </w:r>
                </w:p>
              </w:tc>
              <w:tc>
                <w:tcPr>
                  <w:tcW w:type="auto" w:w="0"/>
                  <w:shd w:val="clear" w:color="auto" w:fill="F0F0F0"/>
                </w:tcPr>
                <w:p>
                  <w:pPr>
                    <w:pStyle w:val="Normal"/>
                    <w:keepLines w:val="on"/>
                  </w:pPr>
                  <w:r>
                    <w:t>$107.021</w:t>
                  </w:r>
                </w:p>
              </w:tc>
            </w:tr>
            <w:tr>
              <w:tc>
                <w:tcPr>
                  <w:tcW w:type="auto" w:w="0"/>
                  <w:shd w:val="clear" w:color="auto" w:fill="F0F0F0"/>
                </w:tcPr>
                <w:p>
                  <w:pPr>
                    <w:pStyle w:val="Normal"/>
                    <w:keepLines w:val="on"/>
                  </w:pPr>
                  <w:r>
                    <w:t>7</w:t>
                  </w:r>
                </w:p>
              </w:tc>
              <w:tc>
                <w:tcPr>
                  <w:tcW w:type="auto" w:w="0"/>
                  <w:shd w:val="clear" w:color="auto" w:fill="F0F0F0"/>
                </w:tcPr>
                <w:p>
                  <w:pPr>
                    <w:pStyle w:val="Normal"/>
                    <w:keepLines w:val="on"/>
                  </w:pPr>
                  <w:r>
                    <w:t>$928.738</w:t>
                  </w:r>
                </w:p>
              </w:tc>
              <w:tc>
                <w:tcPr>
                  <w:tcW w:type="auto" w:w="0"/>
                  <w:shd w:val="clear" w:color="auto" w:fill="F0F0F0"/>
                </w:tcPr>
                <w:p>
                  <w:pPr>
                    <w:pStyle w:val="Normal"/>
                    <w:keepLines w:val="on"/>
                  </w:pPr>
                  <w:r>
                    <w:t>$128.549</w:t>
                  </w:r>
                </w:p>
              </w:tc>
              <w:tc>
                <w:tcPr>
                  <w:tcW w:type="auto" w:w="0"/>
                  <w:shd w:val="clear" w:color="auto" w:fill="F0F0F0"/>
                </w:tcPr>
                <w:p>
                  <w:pPr>
                    <w:pStyle w:val="Normal"/>
                    <w:keepLines w:val="on"/>
                  </w:pPr>
                  <w:r>
                    <w:t>32,96%</w:t>
                  </w:r>
                </w:p>
              </w:tc>
              <w:tc>
                <w:tcPr>
                  <w:tcW w:type="auto" w:w="0"/>
                  <w:shd w:val="clear" w:color="auto" w:fill="F0F0F0"/>
                </w:tcPr>
                <w:p>
                  <w:pPr>
                    <w:pStyle w:val="Normal"/>
                    <w:keepLines w:val="on"/>
                  </w:pPr>
                  <w:r>
                    <w:t>9,45%</w:t>
                  </w:r>
                </w:p>
              </w:tc>
              <w:tc>
                <w:tcPr>
                  <w:tcW w:type="auto" w:w="0"/>
                  <w:shd w:val="clear" w:color="auto" w:fill="F0F0F0"/>
                </w:tcPr>
                <w:p>
                  <w:pPr>
                    <w:pStyle w:val="Normal"/>
                    <w:keepLines w:val="on"/>
                  </w:pPr>
                  <w:r>
                    <w:t>$218.313</w:t>
                  </w:r>
                </w:p>
              </w:tc>
              <w:tc>
                <w:tcPr>
                  <w:tcW w:type="auto" w:w="0"/>
                  <w:shd w:val="clear" w:color="auto" w:fill="F0F0F0"/>
                </w:tcPr>
                <w:p>
                  <w:pPr>
                    <w:pStyle w:val="Normal"/>
                    <w:keepLines w:val="on"/>
                  </w:pPr>
                  <w:r>
                    <w:t>1,9830</w:t>
                  </w:r>
                </w:p>
              </w:tc>
              <w:tc>
                <w:tcPr>
                  <w:tcW w:type="auto" w:w="0"/>
                  <w:shd w:val="clear" w:color="auto" w:fill="F0F0F0"/>
                </w:tcPr>
                <w:p>
                  <w:pPr>
                    <w:pStyle w:val="Normal"/>
                    <w:keepLines w:val="on"/>
                  </w:pPr>
                  <w:r>
                    <w:t>$110.090</w:t>
                  </w:r>
                </w:p>
              </w:tc>
            </w:tr>
            <w:tr>
              <w:tc>
                <w:tcPr>
                  <w:tcW w:type="auto" w:w="0"/>
                  <w:shd w:val="clear" w:color="auto" w:fill="F0F0F0"/>
                </w:tcPr>
                <w:p>
                  <w:pPr>
                    <w:pStyle w:val="Normal"/>
                    <w:keepLines w:val="on"/>
                  </w:pPr>
                  <w:r>
                    <w:t>8</w:t>
                  </w:r>
                </w:p>
              </w:tc>
              <w:tc>
                <w:tcPr>
                  <w:tcW w:type="auto" w:w="0"/>
                  <w:shd w:val="clear" w:color="auto" w:fill="F0F0F0"/>
                </w:tcPr>
                <w:p>
                  <w:pPr>
                    <w:pStyle w:val="Normal"/>
                    <w:keepLines w:val="on"/>
                  </w:pPr>
                  <w:r>
                    <w:t>$1.057.286</w:t>
                  </w:r>
                </w:p>
              </w:tc>
              <w:tc>
                <w:tcPr>
                  <w:tcW w:type="auto" w:w="0"/>
                  <w:shd w:val="clear" w:color="auto" w:fill="F0F0F0"/>
                </w:tcPr>
                <w:p>
                  <w:pPr>
                    <w:pStyle w:val="Normal"/>
                    <w:keepLines w:val="on"/>
                  </w:pPr>
                  <w:r>
                    <w:t>$126.541</w:t>
                  </w:r>
                </w:p>
              </w:tc>
              <w:tc>
                <w:tcPr>
                  <w:tcW w:type="auto" w:w="0"/>
                  <w:shd w:val="clear" w:color="auto" w:fill="F0F0F0"/>
                </w:tcPr>
                <w:p>
                  <w:pPr>
                    <w:pStyle w:val="Normal"/>
                    <w:keepLines w:val="on"/>
                  </w:pPr>
                  <w:r>
                    <w:t>31,50%</w:t>
                  </w:r>
                </w:p>
              </w:tc>
              <w:tc>
                <w:tcPr>
                  <w:tcW w:type="auto" w:w="0"/>
                  <w:shd w:val="clear" w:color="auto" w:fill="F0F0F0"/>
                </w:tcPr>
                <w:p>
                  <w:pPr>
                    <w:pStyle w:val="Normal"/>
                    <w:keepLines w:val="on"/>
                  </w:pPr>
                  <w:r>
                    <w:t>8,91%</w:t>
                  </w:r>
                </w:p>
              </w:tc>
              <w:tc>
                <w:tcPr>
                  <w:tcW w:type="auto" w:w="0"/>
                  <w:shd w:val="clear" w:color="auto" w:fill="F0F0F0"/>
                </w:tcPr>
                <w:p>
                  <w:pPr>
                    <w:pStyle w:val="Normal"/>
                    <w:keepLines w:val="on"/>
                  </w:pPr>
                  <w:r>
                    <w:t>238.810 đô la</w:t>
                  </w:r>
                </w:p>
              </w:tc>
              <w:tc>
                <w:tcPr>
                  <w:tcW w:type="auto" w:w="0"/>
                  <w:shd w:val="clear" w:color="auto" w:fill="F0F0F0"/>
                </w:tcPr>
                <w:p>
                  <w:pPr>
                    <w:pStyle w:val="Normal"/>
                    <w:keepLines w:val="on"/>
                  </w:pPr>
                  <w:r>
                    <w:t>2,1597</w:t>
                  </w:r>
                </w:p>
              </w:tc>
              <w:tc>
                <w:tcPr>
                  <w:tcW w:type="auto" w:w="0"/>
                  <w:shd w:val="clear" w:color="auto" w:fill="F0F0F0"/>
                </w:tcPr>
                <w:p>
                  <w:pPr>
                    <w:pStyle w:val="Normal"/>
                    <w:keepLines w:val="on"/>
                  </w:pPr>
                  <w:r>
                    <w:t>110.575 đô la</w:t>
                  </w:r>
                </w:p>
              </w:tc>
            </w:tr>
            <w:tr>
              <w:tc>
                <w:tcPr>
                  <w:tcW w:type="auto" w:w="0"/>
                  <w:shd w:val="clear" w:color="auto" w:fill="F0F0F0"/>
                </w:tcPr>
                <w:p>
                  <w:pPr>
                    <w:pStyle w:val="Normal"/>
                    <w:keepLines w:val="on"/>
                  </w:pPr>
                  <w:r>
                    <w:t>9</w:t>
                  </w:r>
                </w:p>
              </w:tc>
              <w:tc>
                <w:tcPr>
                  <w:tcW w:type="auto" w:w="0"/>
                  <w:shd w:val="clear" w:color="auto" w:fill="F0F0F0"/>
                </w:tcPr>
                <w:p>
                  <w:pPr>
                    <w:pStyle w:val="Normal"/>
                    <w:keepLines w:val="on"/>
                  </w:pPr>
                  <w:r>
                    <w:t>1.183.827 đô la</w:t>
                  </w:r>
                </w:p>
              </w:tc>
              <w:tc>
                <w:tcPr>
                  <w:tcW w:type="auto" w:w="0"/>
                  <w:shd w:val="clear" w:color="auto" w:fill="F0F0F0"/>
                </w:tcPr>
                <w:p>
                  <w:pPr>
                    <w:pStyle w:val="Normal"/>
                    <w:keepLines w:val="on"/>
                  </w:pPr>
                  <w:r>
                    <w:t>119.901 đô la</w:t>
                  </w:r>
                </w:p>
              </w:tc>
              <w:tc>
                <w:tcPr>
                  <w:tcW w:type="auto" w:w="0"/>
                  <w:shd w:val="clear" w:color="auto" w:fill="F0F0F0"/>
                </w:tcPr>
                <w:p>
                  <w:pPr>
                    <w:pStyle w:val="Normal"/>
                    <w:keepLines w:val="on"/>
                  </w:pPr>
                  <w:r>
                    <w:t>29,79%</w:t>
                  </w:r>
                </w:p>
              </w:tc>
              <w:tc>
                <w:tcPr>
                  <w:tcW w:type="auto" w:w="0"/>
                  <w:shd w:val="clear" w:color="auto" w:fill="F0F0F0"/>
                </w:tcPr>
                <w:p>
                  <w:pPr>
                    <w:pStyle w:val="Normal"/>
                    <w:keepLines w:val="on"/>
                  </w:pPr>
                  <w:r>
                    <w:t>8,36%</w:t>
                  </w:r>
                </w:p>
              </w:tc>
              <w:tc>
                <w:tcPr>
                  <w:tcW w:type="auto" w:w="0"/>
                  <w:shd w:val="clear" w:color="auto" w:fill="F0F0F0"/>
                </w:tcPr>
                <w:p>
                  <w:pPr>
                    <w:pStyle w:val="Normal"/>
                    <w:keepLines w:val="on"/>
                  </w:pPr>
                  <w:r>
                    <w:t>253.691 đô la</w:t>
                  </w:r>
                </w:p>
              </w:tc>
              <w:tc>
                <w:tcPr>
                  <w:tcW w:type="auto" w:w="0"/>
                  <w:shd w:val="clear" w:color="auto" w:fill="F0F0F0"/>
                </w:tcPr>
                <w:p>
                  <w:pPr>
                    <w:pStyle w:val="Normal"/>
                    <w:keepLines w:val="on"/>
                  </w:pPr>
                  <w:r>
                    <w:t>2,3402</w:t>
                  </w:r>
                </w:p>
              </w:tc>
              <w:tc>
                <w:tcPr>
                  <w:tcW w:type="auto" w:w="0"/>
                  <w:shd w:val="clear" w:color="auto" w:fill="F0F0F0"/>
                </w:tcPr>
                <w:p>
                  <w:pPr>
                    <w:pStyle w:val="Normal"/>
                    <w:keepLines w:val="on"/>
                  </w:pPr>
                  <w:r>
                    <w:t>108.403 đô la</w:t>
                  </w:r>
                </w:p>
              </w:tc>
            </w:tr>
            <w:tr>
              <w:tc>
                <w:tcPr>
                  <w:tcW w:type="auto" w:w="0"/>
                  <w:shd w:val="clear" w:color="auto" w:fill="F0F0F0"/>
                </w:tcPr>
                <w:p>
                  <w:pPr>
                    <w:pStyle w:val="Normal"/>
                    <w:keepLines w:val="on"/>
                  </w:pPr>
                  <w:r>
                    <w:t>10</w:t>
                  </w:r>
                </w:p>
              </w:tc>
              <w:tc>
                <w:tcPr>
                  <w:tcW w:type="auto" w:w="0"/>
                  <w:shd w:val="clear" w:color="auto" w:fill="F0F0F0"/>
                </w:tcPr>
                <w:p>
                  <w:pPr>
                    <w:pStyle w:val="Normal"/>
                    <w:keepLines w:val="on"/>
                  </w:pPr>
                  <w:r>
                    <w:t>1.303.728 đô la</w:t>
                  </w:r>
                </w:p>
              </w:tc>
              <w:tc>
                <w:tcPr>
                  <w:tcW w:type="auto" w:w="0"/>
                  <w:shd w:val="clear" w:color="auto" w:fill="F0F0F0"/>
                </w:tcPr>
                <w:p>
                  <w:pPr>
                    <w:pStyle w:val="Normal"/>
                    <w:keepLines w:val="on"/>
                  </w:pPr>
                  <w:r>
                    <w:t>108.969 đô la</w:t>
                  </w:r>
                </w:p>
              </w:tc>
              <w:tc>
                <w:tcPr>
                  <w:tcW w:type="auto" w:w="0"/>
                  <w:shd w:val="clear" w:color="auto" w:fill="F0F0F0"/>
                </w:tcPr>
                <w:p>
                  <w:pPr>
                    <w:pStyle w:val="Normal"/>
                    <w:keepLines w:val="on"/>
                  </w:pPr>
                  <w:r>
                    <w:t>27,86%</w:t>
                  </w:r>
                </w:p>
              </w:tc>
              <w:tc>
                <w:tcPr>
                  <w:tcW w:type="auto" w:w="0"/>
                  <w:shd w:val="clear" w:color="auto" w:fill="F0F0F0"/>
                </w:tcPr>
                <w:p>
                  <w:pPr>
                    <w:pStyle w:val="Normal"/>
                    <w:keepLines w:val="on"/>
                  </w:pPr>
                  <w:r>
                    <w:t>7,80%</w:t>
                  </w:r>
                </w:p>
              </w:tc>
              <w:tc>
                <w:tcPr>
                  <w:tcW w:type="auto" w:w="0"/>
                  <w:shd w:val="clear" w:color="auto" w:fill="F0F0F0"/>
                </w:tcPr>
                <w:p>
                  <w:pPr>
                    <w:pStyle w:val="Normal"/>
                    <w:keepLines w:val="on"/>
                  </w:pPr>
                  <w:r>
                    <w:t>261.538 đô la</w:t>
                  </w:r>
                </w:p>
              </w:tc>
              <w:tc>
                <w:tcPr>
                  <w:tcW w:type="auto" w:w="0"/>
                  <w:shd w:val="clear" w:color="auto" w:fill="F0F0F0"/>
                </w:tcPr>
                <w:p>
                  <w:pPr>
                    <w:pStyle w:val="Normal"/>
                    <w:keepLines w:val="on"/>
                  </w:pPr>
                  <w:r>
                    <w:t>2,5228</w:t>
                  </w:r>
                </w:p>
              </w:tc>
              <w:tc>
                <w:tcPr>
                  <w:tcW w:type="auto" w:w="0"/>
                  <w:shd w:val="clear" w:color="auto" w:fill="F0F0F0"/>
                </w:tcPr>
                <w:p>
                  <w:pPr>
                    <w:pStyle w:val="Normal"/>
                    <w:keepLines w:val="on"/>
                  </w:pPr>
                  <w:r>
                    <w:t>103.670 đô la</w:t>
                  </w:r>
                </w:p>
              </w:tc>
            </w:tr>
            <w:tr>
              <w:tc>
                <w:tcPr>
                  <w:tcW w:type="auto" w:w="0"/>
                  <w:shd w:val="clear" w:color="auto" w:fill="F0F0F0"/>
                </w:tcPr>
                <w:p>
                  <w:pPr>
                    <w:pStyle w:val="Normal"/>
                    <w:keepLines w:val="on"/>
                  </w:pPr>
                  <w:r>
                    <w:t>Tổng</w:t>
                  </w: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7 Block"/>
                    <w:keepLines w:val="on"/>
                  </w:pPr>
                </w:p>
              </w:tc>
              <w:tc>
                <w:tcPr>
                  <w:tcW w:type="auto" w:w="0"/>
                  <w:shd w:val="clear" w:color="auto" w:fill="F0F0F0"/>
                </w:tcPr>
                <w:p>
                  <w:pPr>
                    <w:pStyle w:val="Normal"/>
                    <w:keepLines w:val="on"/>
                  </w:pPr>
                  <w:r>
                    <w:t>990.704 đô la</w:t>
                  </w:r>
                </w:p>
              </w:tc>
            </w:tr>
          </w:tbl>
          <w:p/>
        </w:tc>
      </w:tr>
    </w:tbl>
    <w:p>
      <w:pPr>
        <w:pStyle w:val="Para 04"/>
        <w:keepLines w:val="on"/>
      </w:pPr>
      <w:r>
        <w:t>Tổng giá trị hiện tại của EVA trong giai đoạn tăng trưởng cao là 990.704 đô la (tính theo nghìn). Vào cuối năm thứ 10, công ty tiếp tục thu được lợi nhuận vượt trội (dù với tốc độ chậm hơn), với tỷ suất sinh lời trên vốn là 10% mãi mãi và chi phí vốn là 7,80%. Chúng ta tính giá trị hiện tại của EVA sau năm thứ 10 như sau:</w:t>
      </w:r>
    </w:p>
    <w:p>
      <w:bookmarkStart w:id="6525" w:name="PVofEVAafteryear10_EBIT101___tax"/>
      <w:pPr>
        <w:keepNext/>
        <w:pStyle w:val="Para 07"/>
        <w:keepLines w:val="on"/>
      </w:pPr>
      <w:r>
        <w:t>PV của EVA sau năm thứ 10 = EBIT10 × (1 − thuế suất) × (1 + g) − Vốn đầu tư10 × Chi phí vốn ổn định / (Chi phí vốn − Tốc độ tăng trưởng ổn định) = 363.228 × 1,03 − 3.741.253 × 0,078 / (0,078 − 0,03) = 1.714.741 đô la</w:t>
      </w:r>
      <w:bookmarkEnd w:id="6525"/>
    </w:p>
    <w:p>
      <w:pPr>
        <w:pStyle w:val="Para 04"/>
        <w:keepLines w:val="on"/>
      </w:pPr>
      <w:r>
        <w:t>Tổng EVA có thể được tính bằng cách cộng giá trị hiện tại của EVA giai đoạn cuối vào giá trị hiện tại của EVA trong 10 năm tới:</w:t>
      </w:r>
    </w:p>
    <w:p>
      <w:bookmarkStart w:id="6527" w:name="PVofEVA_PVofEVAduringhighgrowth"/>
      <w:pPr>
        <w:keepNext/>
        <w:pStyle w:val="Para 07"/>
        <w:keepLines w:val="on"/>
      </w:pPr>
      <w:r>
        <w:t>PV của EVA = PV của EVA trong giai đoạn tăng trưởng cao + Giá trị kết thúc của EVA
WACC lũy kế10 = $990,704 + $1,714,741 / 2.5228 = $1,670,405 (tính bằng nghìn)</w:t>
      </w:r>
      <w:bookmarkEnd w:id="6527"/>
    </w:p>
    <w:p>
      <w:pPr>
        <w:pStyle w:val="Para 04"/>
        <w:keepLines w:val="on"/>
      </w:pPr>
      <w:r>
        <w:t>Lưu ý rằng vốn đầu tư được sử dụng trong tính toán EVA kết thúc là vốn đầu tư ước tính dựa trên thu nhập hoạt động sau thuế kỳ vọng trong năm kết thúc và ROC giả định là 10%:</w:t>
      </w:r>
    </w:p>
    <w:p>
      <w:bookmarkStart w:id="6528" w:name="Imputedcapitalinvestedinyear10_E"/>
      <w:pPr>
        <w:keepNext/>
        <w:pStyle w:val="Para 07"/>
        <w:keepLines w:val="on"/>
      </w:pPr>
      <w:r>
        <w:t>Vốn đầu tư ước tính trong năm 10 = EBIT10 × (1 − t) × (1 + g) / ROIC ổn định = 363,228 × 1.03 / 0.10 = $3,741,253</w:t>
      </w:r>
      <w:bookmarkEnd w:id="6528"/>
    </w:p>
    <w:p>
      <w:pPr>
        <w:pStyle w:val="Para 04"/>
        <w:keepLines w:val="on"/>
      </w:pPr>
      <w:r>
        <w:t>Nếu chúng ta không thực hiện điều chỉnh này, vốn đầu tư vào đầu năm 11 sẽ chỉ là $1,412,696 (tính bằng nghìn):</w:t>
      </w:r>
    </w:p>
    <w:p>
      <w:bookmarkStart w:id="6529" w:name="DCFcapitalinvested_Capitalinvest"/>
      <w:pPr>
        <w:keepNext/>
        <w:pStyle w:val="Para 07"/>
        <w:keepLines w:val="on"/>
      </w:pPr>
      <w:r>
        <w:t>Vốn đầu tư theo DCF = Vốn đầu tư10 + Tái đầu tư10 = $1,303,728 + $108,969 = $1,412,696</w:t>
      </w:r>
      <w:bookmarkEnd w:id="6529"/>
    </w:p>
    <w:p>
      <w:pPr>
        <w:pStyle w:val="Para 04"/>
        <w:keepLines w:val="on"/>
      </w:pPr>
      <w:r>
        <w:t>Thành phần cuối cùng của giá trị nắm bắt giá trị hiện tại của sự thay đổi vốn đầu tư này:</w:t>
      </w:r>
    </w:p>
    <w:p>
      <w:bookmarkStart w:id="6530" w:name="Change_in_capital_invested_at_en"/>
      <w:pPr>
        <w:keepNext/>
        <w:pStyle w:val="Para 07"/>
        <w:keepLines w:val="on"/>
      </w:pPr>
      <w:r>
        <w:t>Thay đổi vốn đầu tư vào cuối năm 10 = Vốn đầu tư ước tính − Vốn đầu tư theo DCF = $3,741,253 − $1,412,696 = $2,328,557</w:t>
      </w:r>
      <w:bookmarkEnd w:id="6530"/>
    </w:p>
    <w:p>
      <w:bookmarkStart w:id="6531" w:name="PVofchangeincapitalinvested__2_3"/>
      <w:pPr>
        <w:keepNext/>
        <w:pStyle w:val="Para 07"/>
        <w:keepLines w:val="on"/>
      </w:pPr>
      <w:r>
        <w:t>PV của thay đổi vốn đầu tư = $2,328,557 / 2.5228 = $923,010</w:t>
      </w:r>
      <w:bookmarkEnd w:id="6531"/>
    </w:p>
    <w:p>
      <w:pPr>
        <w:pStyle w:val="Para 04"/>
        <w:keepLines w:val="on"/>
      </w:pPr>
      <w:r>
        <w:t>Tổng giá trị của công ty (tính bằng nghìn) sau đó có thể được tính như sau:</w:t>
      </w:r>
    </w:p>
    <w:tbl>
      <w:tblPr>
        <w:tblW w:type="auto" w:w="0"/>
      </w:tblPr>
      <w:tr>
        <w:tc>
          <w:tcPr>
            <w:tcW w:type="auto" w:w="0"/>
          </w:tcPr>
          <w:tbl>
            <w:tblPr>
              <w:tblW w:type="pct" w:w="5000"/>
            </w:tblPr>
            <w:tr>
              <w:tc>
                <w:tcPr>
                  <w:tcW w:type="auto" w:w="0"/>
                  <w:shd w:val="clear" w:color="auto" w:fill="F0F0F0"/>
                </w:tcPr>
                <w:p>
                  <w:pPr>
                    <w:pStyle w:val="Para 02"/>
                    <w:keepLines w:val="on"/>
                  </w:pPr>
                  <w:r>
                    <w:t>Vốn đầu tư vào tài sản hiện hữu</w:t>
                  </w:r>
                </w:p>
              </w:tc>
              <w:tc>
                <w:tcPr>
                  <w:tcW w:type="auto" w:w="0"/>
                  <w:shd w:val="clear" w:color="auto" w:fill="F0F0F0"/>
                </w:tcPr>
                <w:p>
                  <w:pPr>
                    <w:pStyle w:val="Para 02"/>
                    <w:keepLines w:val="on"/>
                  </w:pPr>
                  <w:r>
                    <w:t>$358,394</w:t>
                  </w:r>
                </w:p>
              </w:tc>
            </w:tr>
            <w:tr>
              <w:tc>
                <w:tcPr>
                  <w:tcW w:type="auto" w:w="0"/>
                  <w:shd w:val="clear" w:color="auto" w:fill="F0F0F0"/>
                </w:tcPr>
                <w:p>
                  <w:pPr>
                    <w:pStyle w:val="Para 02"/>
                    <w:keepLines w:val="on"/>
                  </w:pPr>
                  <w:r>
                    <w:t>PV của EVA từ tài sản hiện hữu</w:t>
                  </w:r>
                </w:p>
              </w:tc>
              <w:tc>
                <w:tcPr>
                  <w:tcW w:type="auto" w:w="0"/>
                  <w:shd w:val="clear" w:color="auto" w:fill="F0F0F0"/>
                </w:tcPr>
                <w:p>
                  <w:pPr>
                    <w:pStyle w:val="Para 02"/>
                    <w:keepLines w:val="on"/>
                  </w:pPr>
                  <w:r>
                    <w:t>$1,670,405</w:t>
                  </w:r>
                </w:p>
              </w:tc>
            </w:tr>
            <w:tr>
              <w:tc>
                <w:tcPr>
                  <w:tcW w:type="auto" w:w="0"/>
                  <w:shd w:val="clear" w:color="auto" w:fill="F0F0F0"/>
                </w:tcPr>
                <w:p>
                  <w:pPr>
                    <w:pStyle w:val="Para 02"/>
                    <w:keepLines w:val="on"/>
                  </w:pPr>
                  <w:r>
                    <w:t>PV của thay đổi vốn đầu tư</w:t>
                  </w:r>
                </w:p>
              </w:tc>
              <w:tc>
                <w:tcPr>
                  <w:tcW w:type="auto" w:w="0"/>
                  <w:shd w:val="clear" w:color="auto" w:fill="F0F0F0"/>
                </w:tcPr>
                <w:p>
                  <w:pPr>
                    <w:pStyle w:val="Para 02"/>
                    <w:keepLines w:val="on"/>
                  </w:pPr>
                  <w:r>
                    <w:t>$923,010</w:t>
                  </w:r>
                </w:p>
              </w:tc>
            </w:tr>
            <w:tr>
              <w:tc>
                <w:tcPr>
                  <w:tcW w:type="auto" w:w="0"/>
                  <w:shd w:val="clear" w:color="auto" w:fill="F0F0F0"/>
                </w:tcPr>
                <w:p>
                  <w:pPr>
                    <w:pStyle w:val="Para 02"/>
                    <w:keepLines w:val="on"/>
                  </w:pPr>
                  <w:r>
                    <w:t>Giá trị tài sản hoạt động</w:t>
                  </w:r>
                </w:p>
              </w:tc>
              <w:tc>
                <w:tcPr>
                  <w:tcW w:type="auto" w:w="0"/>
                  <w:shd w:val="clear" w:color="auto" w:fill="F0F0F0"/>
                </w:tcPr>
                <w:p>
                  <w:pPr>
                    <w:pStyle w:val="Para 02"/>
                    <w:keepLines w:val="on"/>
                  </w:pPr>
                  <w:r>
                    <w:t>$2,951,809</w:t>
                  </w:r>
                </w:p>
              </w:tc>
            </w:tr>
          </w:tbl>
          <w:p/>
        </w:tc>
      </w:tr>
    </w:tbl>
    <w:p>
      <w:pPr>
        <w:pStyle w:val="Para 04"/>
        <w:keepLines w:val="on"/>
      </w:pPr>
      <w:r>
        <w:t>Con số này giống hệt với giá trị từ mô hình chiết khấu dòng tiền. Nếu bạn thấy việc điều chỉnh vốn đầu tư trong năm 10 có vẻ khó xử, thì cũng nên nhận ra rằng đây là kết quả ngầm định của một mô hình lợi nhuận vượt trội (excess return model), nơi lợi nhuận vượt trội thay đổi đột ngột trong năm kết thúc.</w:t>
      </w:r>
    </w:p>
    <w:p>
      <w:pPr>
        <w:pStyle w:val="Para 11"/>
      </w:pPr>
      <w:r>
        <w:t xml:space="preserve"> </w:t>
      </w:r>
    </w:p>
    <w:p>
      <w:bookmarkStart w:id="6532" w:name="fcffeva_xls__This_spreadsheet_al"/>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65100" cy="139700"/>
            <wp:effectExtent l="0" r="0" t="0" b="0"/>
            <wp:wrapTopAndBottom/>
            <wp:docPr id="294" name="c03uf002.png" descr="c03uf002.png"/>
            <wp:cNvGraphicFramePr>
              <a:graphicFrameLocks noChangeAspect="1"/>
            </wp:cNvGraphicFramePr>
            <a:graphic>
              <a:graphicData uri="http://schemas.openxmlformats.org/drawingml/2006/picture">
                <pic:pic>
                  <pic:nvPicPr>
                    <pic:cNvPr id="0" name="c03uf002.png" descr="c03uf002.png"/>
                    <pic:cNvPicPr/>
                  </pic:nvPicPr>
                  <pic:blipFill>
                    <a:blip r:embed="rId12"/>
                    <a:stretch>
                      <a:fillRect/>
                    </a:stretch>
                  </pic:blipFill>
                  <pic:spPr>
                    <a:xfrm>
                      <a:off x="0" y="0"/>
                      <a:ext cx="165100" cy="139700"/>
                    </a:xfrm>
                    <a:prstGeom prst="rect">
                      <a:avLst/>
                    </a:prstGeom>
                  </pic:spPr>
                </pic:pic>
              </a:graphicData>
            </a:graphic>
          </wp:anchor>
        </w:drawing>
      </w:r>
      <w:bookmarkEnd w:id="6532"/>
    </w:p>
    <w:p>
      <w:pPr>
        <w:pStyle w:val="Para 31"/>
        <w:keepLines w:val="on"/>
      </w:pPr>
      <w:r>
        <w:t>fcffeva.xls: Bảng tính này cho phép bạn chuyển đổi định giá theo chiết khấu dòng tiền sang định giá theo EVA, và ngược lại.</w:t>
      </w:r>
    </w:p>
    <w:p>
      <w:bookmarkStart w:id="6533" w:name="EVA_and_Firm_Value__Potential_Co_1"/>
      <w:bookmarkStart w:id="6534" w:name="EVA_and_Firm_Value__Potential_Co"/>
      <w:pPr>
        <w:keepNext/>
        <w:pStyle w:val="Heading 3"/>
        <w:keepLines w:val="on"/>
      </w:pPr>
      <w:r>
        <w:t>EVA và Giá trị Công ty: Những Xung đột Tiềm ẩn</w:t>
      </w:r>
      <w:bookmarkEnd w:id="6533"/>
      <w:bookmarkEnd w:id="6534"/>
    </w:p>
    <w:p>
      <w:pPr>
        <w:pStyle w:val="Para 03"/>
      </w:pPr>
      <w:r>
        <w:t>Giả sử một công ty lấy giá trị kinh tế gia tăng (economic value added) làm thước đo giá trị của mình và quyết định đánh giá các nhà quản lý dựa trên khả năng tạo ra giá trị kinh tế gia tăng cao hơn kỳ vọng. Khả năng lạm dụng là gì? Liệu một nhà quản lý có thể tạo ra giá trị kinh tế gia tăng cao hơn kỳ vọng trong khi đồng thời hủy hoại giá trị công ty không? Nếu có, làm thế nào chúng ta có thể bảo vệ cổ đông trước những hành vi này?</w:t>
      </w:r>
    </w:p>
    <w:p>
      <w:pPr>
        <w:pStyle w:val="Para 03"/>
      </w:pPr>
      <w:r>
        <w:t>Để trả lời những câu hỏi này, hãy quay lại phương trình trước đó, nơi chúng ta phân tách giá trị công ty thành vốn đầu tư, giá trị hiện tại của giá trị kinh tế gia tăng từ tài sản hiện hữu, và giá trị hiện tại của giá trị kinh tế gia tăng từ tăng trưởng trong tương lai.</w:t>
      </w:r>
    </w:p>
    <w:p>
      <w:bookmarkStart w:id="6536" w:name="Firm_value_Capital_InvestedAsset_2"/>
      <w:pPr>
        <w:keepNext/>
        <w:pStyle w:val="Para 09"/>
        <w:keepLines w:val="on"/>
      </w:pPr>
      <w:r>
        <w:t>Giá trị công ty = Vốn đầu tư vào tài sản hiện hữu + ∑t=1 đến t=∞ EVAt, tài sản hiện hữu / (1+kc)t + ∑t=1 đến t=∞ EVAt, dự án tương lai / (1+kc)t</w:t>
      </w:r>
      <w:bookmarkEnd w:id="6536"/>
    </w:p>
    <w:p>
      <w:pPr>
        <w:pStyle w:val="Para 11"/>
      </w:pPr>
      <w:r>
        <w:t xml:space="preserve"> </w:t>
      </w:r>
    </w:p>
    <w:p>
      <w:bookmarkStart w:id="6537" w:name="EVA_Valuation_Versus_DCF_Valuati"/>
      <w:bookmarkStart w:id="6538" w:name="EVA_Valuation_Versus_DCF_Valuati_1"/>
      <w:pPr>
        <w:keepNext/>
        <w:pStyle w:val="Para 27"/>
        <w:keepLines w:val="on"/>
      </w:pPr>
      <w:r>
        <w:t>Định giá theo EVA so với Định giá theo DCF: Khi nào chúng sẽ khác nhau</w:t>
      </w:r>
      <w:bookmarkEnd w:id="6537"/>
      <w:bookmarkEnd w:id="6538"/>
    </w:p>
    <w:p>
      <w:pPr>
        <w:pStyle w:val="Para 16"/>
        <w:keepLines w:val="on"/>
      </w:pPr>
      <w:r>
        <w:t>Để có cùng giá trị từ định giá theo chiết khấu dòng tiền và định giá theo EVA, bạn phải đảm bảo rằng các điều kiện sau đây được thỏa mãn:</w:t>
      </w:r>
    </w:p>
    <w:p>
      <w:pPr>
        <w:numPr>
          <w:ilvl w:val="0"/>
          <w:numId w:val="389"/>
        </w:numPr>
        <w:pStyle w:val="Para 33"/>
        <w:keepLines w:val="on"/>
      </w:pPr>
      <w:r>
        <w:t>Thu nhập hoạt động sau thuế mà bạn dùng để ước tính dòng tiền tự do cho doanh nghiệp (free cash flows to the firm) phải bằng với thu nhập hoạt động sau thuế mà bạn dùng để tính giá trị kinh tế gia tăng (economic value added – EVA). Vì vậy, nếu bạn quyết định điều chỉnh thu nhập hoạt động cho thuê hoạt động (operating leases) và chi phí nghiên cứu phát triển (R&amp;D) khi định giá theo dòng tiền chiết khấu (discounted cash flow – DCF), thì bạn cũng phải điều chỉnh nó khi tính EVA.</w:t>
      </w:r>
    </w:p>
    <w:p>
      <w:pPr>
        <w:numPr>
          <w:ilvl w:val="0"/>
          <w:numId w:val="389"/>
        </w:numPr>
        <w:pStyle w:val="Para 33"/>
        <w:keepLines w:val="on"/>
      </w:pPr>
      <w:r>
        <w:t>Tốc độ tăng trưởng mà bạn dùng để ước tính thu nhập hoạt động sau thuế trong các giai đoạn tương lai nên được ước tính từ các yếu tố cơ bản (fundamentals) khi định giá theo dòng tiền chiết khấu. Nói cách khác, nó nên được đặt bằng:</w:t>
      </w:r>
    </w:p>
    <w:p>
      <w:bookmarkStart w:id="6539" w:name="Growthrate_ReinvestmentratexRetu"/>
      <w:pPr>
        <w:keepNext/>
        <w:pStyle w:val="Para 48"/>
        <w:keepLines w:val="on"/>
      </w:pPr>
      <w:r>
        <w:t>Tốc độ tăng trưởng = Tỷ lệ tái đầu tư × Lợi nhuận trên vốn</w:t>
      </w:r>
      <w:bookmarkEnd w:id="6539"/>
    </w:p>
    <w:p>
      <w:pPr>
        <w:numPr>
          <w:ilvl w:val="0"/>
          <w:numId w:val="389"/>
        </w:numPr>
        <w:pStyle w:val="Para 33"/>
        <w:keepLines w:val="on"/>
      </w:pPr>
      <w:r>
        <w:t>Nếu tăng trưởng là một yếu tố đầu vào ngoại sinh (exogenous input) trong mô hình DCF và mối quan hệ giữa tốc độ tăng trưởng, tái đầu tư và lợi nhuận trên vốn vừa nêu không đúng, thì bạn sẽ nhận được các giá trị khác nhau từ định giá DCF và định giá EVA.</w:t>
      </w:r>
    </w:p>
    <w:p>
      <w:pPr>
        <w:numPr>
          <w:ilvl w:val="0"/>
          <w:numId w:val="389"/>
        </w:numPr>
        <w:pStyle w:val="Para 33"/>
        <w:keepLines w:val="on"/>
      </w:pPr>
      <w:r>
        <w:t>Vốn đầu tư (capital invested) dùng để tính EVA trong các giai đoạn tương lai nên được ước tính bằng cách cộng khoản tái đầu tư trong mỗi giai đoạn vào vốn đầu tư ở đầu giai đoạn đó. EVA trong mỗi giai đoạn nên được tính như sau:</w:t>
      </w:r>
    </w:p>
    <w:p>
      <w:bookmarkStart w:id="6540" w:name="EVA1_After_tax_operating_income1"/>
      <w:pPr>
        <w:keepNext/>
        <w:pStyle w:val="Para 48"/>
        <w:keepLines w:val="on"/>
      </w:pPr>
      <w:r>
        <w:t>EVA1 = Thu nhập hoạt động sau thuế1 − Chi phí vốn × Vốn đầu tư1</w:t>
      </w:r>
      <w:bookmarkEnd w:id="6540"/>
    </w:p>
    <w:p>
      <w:pPr>
        <w:numPr>
          <w:ilvl w:val="0"/>
          <w:numId w:val="390"/>
        </w:numPr>
        <w:pStyle w:val="Para 33"/>
        <w:keepLines w:val="on"/>
      </w:pPr>
      <w:r>
        <w:t>Bạn phải đưa ra những giả định nhất quán về giá trị cuối kỳ (terminal value) trong cả định giá theo dòng tiền chiết khấu và định giá EVA. Trong trường hợp đặc biệt, khi lợi nhuận trên vốn của tất cả các khoản đầu tư — cả hiện hữu lẫn mới — bằng với chi phí vốn sau năm cuối kỳ của bạn, thì việc này rất đơn giản. Giá trị cuối kỳ sẽ bằng với vốn đầu tư của bạn ở đầu năm cuối kỳ. Trong trường hợp tổng quát hơn, bạn sẽ phải đảm bảo rằng vốn đầu tư ở đầu năm cuối kỳ nhất quán với giả định của bạn về lợi nhuận trên vốn vĩnh viễn. Nói cách khác, nếu thu nhập hoạt động sau thuế trong năm cuối kỳ của bạn là 1,2 tỷ đô la, và bạn giả định lợi nhuận trên vốn là 10 phần trăm vĩnh viễn, thì bạn sẽ phải đặt vốn đầu tư ở đầu năm cuối kỳ là 12 tỷ đô la.</w:t>
      </w:r>
    </w:p>
    <w:p>
      <w:bookmarkStart w:id="6542" w:name="The_Capital_Invested_Game"/>
      <w:bookmarkStart w:id="6543" w:name="The_Capital_Invested_Game__The_f"/>
      <w:pPr>
        <w:keepNext/>
        <w:pStyle w:val="Heading 4"/>
        <w:keepLines w:val="on"/>
      </w:pPr>
      <w:r>
        <w:t>Trò chơi Vốn Đầu Tư</w:t>
      </w:r>
      <w:bookmarkEnd w:id="6542"/>
      <w:bookmarkEnd w:id="6543"/>
    </w:p>
    <w:p>
      <w:pPr>
        <w:pStyle w:val="Para 03"/>
      </w:pPr>
      <w:r>
        <w:t>Hai số hạng đầu tiên trong phương trình trên — vốn đầu tư và giá trị hiện tại của giá trị kinh tế gia tăng từ các khoản đầu tư này — đều nhạy cảm với cách đo lường vốn đầu tư. Nếu vốn đầu tư bị giảm xuống, trong khi giữ thu nhập hoạt động không đổi, thì số hạng đầu tiên trong phương trình sẽ giảm, nhưng giá trị hiện tại của giá trị kinh tế gia tăng sẽ tăng lên tương ứng. Để minh họa, hãy xem xét doanh nghiệp được định giá trong Minh họa 32.1. Giả sử vốn đầu tư được ước tính là 50 triệu đô la thay vì 100 triệu đô la, và thu nhập hoạt động từ các khoản đầu tư này vẫn giữ ở mức 15 triệu đô la. Điều này sẽ làm tăng lợi nhuận trên vốn của tài sản hiện hữu lên 30 phần trăm. Các giả định về đầu tư trong tương lai vẫn không thay đổi. Giá trị doanh nghiệp khi đó có thể được viết như trong Bảng 32.5.</w:t>
      </w:r>
    </w:p>
    <w:p>
      <w:pPr>
        <w:pStyle w:val="Para 34"/>
        <w:keepLines w:val="on"/>
      </w:pPr>
      <w:r>
        <w:t>BẢNG 32.5</w:t>
      </w:r>
    </w:p>
    <w:p>
      <w:pPr>
        <w:keepNext/>
        <w:pStyle w:val="Para 35"/>
        <w:keepLines w:val="on"/>
      </w:pPr>
      <w:r>
        <w:t>Định giá doanh nghiệp theo EVA: EVA và Tài sản hiện hữu</w:t>
      </w:r>
    </w:p>
    <w:tbl>
      <w:tblPr>
        <w:tblW w:type="auto" w:w="0"/>
      </w:tblPr>
      <w:tr>
        <w:tc>
          <w:tcPr>
            <w:tcW w:type="auto" w:w="0"/>
          </w:tcPr>
          <w:tbl>
            <w:tblPr>
              <w:tblW w:type="pct" w:w="5000"/>
            </w:tblPr>
            <w:tr>
              <w:tc>
                <w:tcPr>
                  <w:tcW w:type="auto" w:w="0"/>
                  <w:shd w:val="clear" w:color="auto" w:fill="F0F0F0"/>
                </w:tcPr>
                <w:p>
                  <w:pPr>
                    <w:pStyle w:val="Para 02"/>
                    <w:keepLines w:val="on"/>
                  </w:pPr>
                  <w:r>
                    <w:t>Vốn đầu tư vào tài sản hiện hữu</w:t>
                  </w:r>
                </w:p>
              </w:tc>
              <w:tc>
                <w:tcPr>
                  <w:tcW w:type="auto" w:w="0"/>
                  <w:shd w:val="clear" w:color="auto" w:fill="F0F0F0"/>
                </w:tcPr>
                <w:p>
                  <w:pPr>
                    <w:pStyle w:val="Normal"/>
                    <w:keepLines w:val="on"/>
                  </w:pPr>
                  <w:r>
                    <w:t>$50,00</w:t>
                  </w:r>
                </w:p>
              </w:tc>
            </w:tr>
            <w:tr>
              <w:tc>
                <w:tcPr>
                  <w:tcW w:type="auto" w:w="0"/>
                  <w:shd w:val="clear" w:color="auto" w:fill="F0F0F0"/>
                </w:tcPr>
                <w:p>
                  <w:pPr>
                    <w:pStyle w:val="Para 02"/>
                    <w:keepLines w:val="on"/>
                  </w:pPr>
                  <w:r>
                    <w:t>+ EVA từ tài sản hiện hữu = (.30 − .10)(50)/.10</w:t>
                  </w:r>
                </w:p>
              </w:tc>
              <w:tc>
                <w:tcPr>
                  <w:tcW w:type="auto" w:w="0"/>
                  <w:shd w:val="clear" w:color="auto" w:fill="F0F0F0"/>
                </w:tcPr>
                <w:p>
                  <w:pPr>
                    <w:pStyle w:val="Normal"/>
                    <w:keepLines w:val="on"/>
                  </w:pPr>
                  <w:r>
                    <w:t>$100,00</w:t>
                  </w:r>
                </w:p>
              </w:tc>
            </w:tr>
            <w:tr>
              <w:tc>
                <w:tcPr>
                  <w:tcW w:type="auto" w:w="0"/>
                  <w:shd w:val="clear" w:color="auto" w:fill="F0F0F0"/>
                </w:tcPr>
                <w:p>
                  <w:pPr>
                    <w:pStyle w:val="Para 02"/>
                    <w:keepLines w:val="on"/>
                  </w:pPr>
                  <w:r>
                    <w:t>+ PV của EVA từ các khoản đầu tư mới trong năm 1 = [(.15 − .10)(10)/.10]</w:t>
                  </w:r>
                </w:p>
              </w:tc>
              <w:tc>
                <w:tcPr>
                  <w:tcW w:type="auto" w:w="0"/>
                  <w:shd w:val="clear" w:color="auto" w:fill="F0F0F0"/>
                </w:tcPr>
                <w:p>
                  <w:pPr>
                    <w:pStyle w:val="Normal"/>
                    <w:keepLines w:val="on"/>
                  </w:pPr>
                  <w:r>
                    <w:t>$5,00</w:t>
                  </w:r>
                </w:p>
              </w:tc>
            </w:tr>
            <w:tr>
              <w:tc>
                <w:tcPr>
                  <w:tcW w:type="auto" w:w="0"/>
                  <w:shd w:val="clear" w:color="auto" w:fill="F0F0F0"/>
                </w:tcPr>
                <w:p>
                  <w:pPr>
                    <w:pStyle w:val="Para 02"/>
                    <w:keepLines w:val="on"/>
                  </w:pPr>
                  <w:r>
                    <w:t>+ PV của EVA từ các khoản đầu tư mới trong năm 2 = [(.15 − .10)(10)/.10]/1,1</w:t>
                  </w:r>
                </w:p>
              </w:tc>
              <w:tc>
                <w:tcPr>
                  <w:tcW w:type="auto" w:w="0"/>
                  <w:shd w:val="clear" w:color="auto" w:fill="F0F0F0"/>
                </w:tcPr>
                <w:p>
                  <w:pPr>
                    <w:pStyle w:val="Normal"/>
                    <w:keepLines w:val="on"/>
                  </w:pPr>
                  <w:r>
                    <w:t>$4,55</w:t>
                  </w:r>
                </w:p>
              </w:tc>
            </w:tr>
            <w:tr>
              <w:tc>
                <w:tcPr>
                  <w:tcW w:type="auto" w:w="0"/>
                  <w:shd w:val="clear" w:color="auto" w:fill="F0F0F0"/>
                </w:tcPr>
                <w:p>
                  <w:pPr>
                    <w:pStyle w:val="Para 02"/>
                    <w:keepLines w:val="on"/>
                  </w:pPr>
                  <w:r>
                    <w:t>+ PV của EVA từ các khoản đầu tư mới trong năm 3 = [(.15 − .10)(10)/.10]/1,12</w:t>
                  </w:r>
                </w:p>
              </w:tc>
              <w:tc>
                <w:tcPr>
                  <w:tcW w:type="auto" w:w="0"/>
                  <w:shd w:val="clear" w:color="auto" w:fill="F0F0F0"/>
                </w:tcPr>
                <w:p>
                  <w:pPr>
                    <w:pStyle w:val="Normal"/>
                    <w:keepLines w:val="on"/>
                  </w:pPr>
                  <w:r>
                    <w:t>$4,13</w:t>
                  </w:r>
                </w:p>
              </w:tc>
            </w:tr>
            <w:tr>
              <w:tc>
                <w:tcPr>
                  <w:tcW w:type="auto" w:w="0"/>
                  <w:shd w:val="clear" w:color="auto" w:fill="F0F0F0"/>
                </w:tcPr>
                <w:p>
                  <w:pPr>
                    <w:pStyle w:val="Para 02"/>
                    <w:keepLines w:val="on"/>
                  </w:pPr>
                  <w:r>
                    <w:t>+ PV của EVA từ các khoản đầu tư mới trong năm 4 = [(.15 − .10)(10)/.10]/1,13</w:t>
                  </w:r>
                </w:p>
              </w:tc>
              <w:tc>
                <w:tcPr>
                  <w:tcW w:type="auto" w:w="0"/>
                  <w:shd w:val="clear" w:color="auto" w:fill="F0F0F0"/>
                </w:tcPr>
                <w:p>
                  <w:pPr>
                    <w:pStyle w:val="Normal"/>
                    <w:keepLines w:val="on"/>
                  </w:pPr>
                  <w:r>
                    <w:t>$3,76</w:t>
                  </w:r>
                </w:p>
              </w:tc>
            </w:tr>
            <w:tr>
              <w:tc>
                <w:tcPr>
                  <w:tcW w:type="auto" w:w="0"/>
                  <w:shd w:val="clear" w:color="auto" w:fill="F0F0F0"/>
                </w:tcPr>
                <w:p>
                  <w:pPr>
                    <w:pStyle w:val="Para 02"/>
                    <w:keepLines w:val="on"/>
                  </w:pPr>
                  <w:r>
                    <w:t>+ PV của EVA từ các khoản đầu tư mới trong năm 5 = [(.15 − .10)(10)/.10]/1,14</w:t>
                  </w:r>
                </w:p>
              </w:tc>
              <w:tc>
                <w:tcPr>
                  <w:tcW w:type="auto" w:w="0"/>
                  <w:shd w:val="clear" w:color="auto" w:fill="F0F0F0"/>
                </w:tcPr>
                <w:p>
                  <w:pPr>
                    <w:pStyle w:val="Normal"/>
                    <w:keepLines w:val="on"/>
                  </w:pPr>
                  <w:r>
                    <w:t>$3,42</w:t>
                  </w:r>
                </w:p>
              </w:tc>
            </w:tr>
            <w:tr>
              <w:tc>
                <w:tcPr>
                  <w:tcW w:type="auto" w:w="0"/>
                  <w:shd w:val="clear" w:color="auto" w:fill="F0F0F0"/>
                </w:tcPr>
                <w:p>
                  <w:pPr>
                    <w:pStyle w:val="Para 02"/>
                    <w:keepLines w:val="on"/>
                  </w:pPr>
                  <w:r>
                    <w:t>Giá trị doanh nghiệp</w:t>
                  </w:r>
                </w:p>
              </w:tc>
              <w:tc>
                <w:tcPr>
                  <w:tcW w:type="auto" w:w="0"/>
                  <w:shd w:val="clear" w:color="auto" w:fill="F0F0F0"/>
                </w:tcPr>
                <w:p>
                  <w:pPr>
                    <w:pStyle w:val="Normal"/>
                    <w:keepLines w:val="on"/>
                  </w:pPr>
                  <w:r>
                    <w:t>$170.85</w:t>
                  </w:r>
                </w:p>
              </w:tc>
            </w:tr>
          </w:tbl>
          <w:p/>
        </w:tc>
      </w:tr>
    </w:tbl>
    <w:p>
      <w:pPr>
        <w:pStyle w:val="Para 03"/>
      </w:pPr>
      <w:r>
        <w:t>Giá trị doanh nghiệp không đổi, nhưng phần lớn hơn trong đó được phân bổ lại cho cấu phần giá trị kinh tế gia tăng (economic value-added). Khi các nhà quản lý bị đánh giá dựa trên giá trị kinh tế gia tăng, sẽ có những động lực mạnh mẽ để giảm vốn đầu tư, ít nhất là theo cách đo lường dùng cho các tính toán EVA.</w:t>
      </w:r>
    </w:p>
    <w:p>
      <w:pPr>
        <w:pStyle w:val="Para 03"/>
      </w:pPr>
      <w:r>
        <w:t>Có một số hành động mà nhà quản lý có thể thực hiện để giảm vốn đầu tư mà thực sự tạo ra giá trị. Vậy nên, trong ví dụ này, nếu việc giảm vốn đầu tư đến từ việc đóng cửa một nhà máy không (và không được kỳ vọng sẽ) tạo ra bất kỳ thu nhập hoạt động nào, thì dòng tiền tạo ra từ việc thanh lý tài sản của nhà máy đó sẽ làm tăng giá trị, nhưng chỉ vì việc đóng cửa nhà máy giải phóng tiền mặt. Tuy nhiên, một số hành động chỉ mang tính hình thức thuần túy về tác động lên vốn đầu tư, và do đó, không tạo ra giá trị, thậm chí có thể phá hủy giá trị. Ví dụ, các doanh nghiệp có thể thực hiện các khoản chi phí tái cấu trúc một lần để giảm vốn, hoặc thuê tài sản thay vì mua chúng vì tác động lên vốn của việc thuê có thể nhỏ hơn.</w:t>
      </w:r>
    </w:p>
    <w:p>
      <w:pPr>
        <w:pStyle w:val="Para 03"/>
      </w:pPr>
      <w:r>
        <w:t>Để minh họa mức độ phá hoại tiềm tàng của những hành động này, giả sử rằng các nhà quản lý của doanh nghiệp trong Minh họa 32.1 có thể thay thế một nửa tài sản của họ bằng tài sản đi thuê. Giả sử thêm rằng vốn đầu tư ước tính vào những tài sản đi thuê này chỉ là $40 triệu, thấp hơn vốn đầu tư vào những tài sản bị thay thế là $50 triệu. Ngoài ra, giả sử rằng hành động này thực sự làm giảm thu nhập hoạt động điều chỉnh hằng năm từ những tài sản này từ $15 triệu xuống $14,8 triệu. Giá trị doanh nghiệp giờ đây có thể được viết trong Bảng 32.6. Lưu ý rằng giá trị doanh nghiệp giảm $2 triệu, nhưng giá trị kinh tế gia tăng lại tăng $8 triệu.</w:t>
      </w:r>
    </w:p>
    <w:p>
      <w:pPr>
        <w:pStyle w:val="Para 20"/>
      </w:pPr>
      <w:r>
        <w:rPr>
          <w:rStyle w:val="Text26"/>
        </w:rPr>
        <w:bookmarkStart w:id="6546" w:name="Page_1018"/>
        <w:t/>
        <w:bookmarkEnd w:id="6546"/>
      </w:r>
      <w:r>
        <w:t xml:space="preserve"> </w:t>
      </w:r>
    </w:p>
    <w:p>
      <w:pPr>
        <w:pStyle w:val="Para 34"/>
        <w:keepLines w:val="on"/>
      </w:pPr>
      <w:r>
        <w:t>BẢNG 32.6</w:t>
      </w:r>
    </w:p>
    <w:p>
      <w:pPr>
        <w:keepNext/>
        <w:pStyle w:val="Para 35"/>
        <w:keepLines w:val="on"/>
      </w:pPr>
      <w:r>
        <w:t>Giảm giá trị với EVA cao hơn</w:t>
      </w:r>
    </w:p>
    <w:tbl>
      <w:tblPr>
        <w:tblW w:type="auto" w:w="0"/>
      </w:tblPr>
      <w:tr>
        <w:tc>
          <w:tcPr>
            <w:tcW w:type="auto" w:w="0"/>
          </w:tcPr>
          <w:tbl>
            <w:tblPr>
              <w:tblW w:type="pct" w:w="5000"/>
            </w:tblPr>
            <w:tr>
              <w:tc>
                <w:tcPr>
                  <w:tcW w:type="auto" w:w="0"/>
                  <w:shd w:val="clear" w:color="auto" w:fill="F0F0F0"/>
                </w:tcPr>
                <w:p>
                  <w:pPr>
                    <w:pStyle w:val="Para 02"/>
                    <w:keepLines w:val="on"/>
                  </w:pPr>
                  <w:r>
                    <w:t>Vốn đầu tư vào tài sản hiện hữu</w:t>
                  </w:r>
                </w:p>
              </w:tc>
              <w:tc>
                <w:tcPr>
                  <w:tcW w:type="auto" w:w="0"/>
                  <w:shd w:val="clear" w:color="auto" w:fill="F0F0F0"/>
                </w:tcPr>
                <w:p>
                  <w:pPr>
                    <w:pStyle w:val="Normal"/>
                    <w:keepLines w:val="on"/>
                  </w:pPr>
                  <w:r>
                    <w:t>$90,00</w:t>
                  </w:r>
                </w:p>
              </w:tc>
            </w:tr>
            <w:tr>
              <w:tc>
                <w:tcPr>
                  <w:tcW w:type="auto" w:w="0"/>
                  <w:shd w:val="clear" w:color="auto" w:fill="F0F0F0"/>
                </w:tcPr>
                <w:p>
                  <w:pPr>
                    <w:pStyle w:val="Para 02"/>
                    <w:keepLines w:val="on"/>
                  </w:pPr>
                  <w:r>
                    <w:t>+ EVA từ tài sản hiện hữu = (.1644 − .10)(90)/.10</w:t>
                  </w:r>
                </w:p>
              </w:tc>
              <w:tc>
                <w:tcPr>
                  <w:tcW w:type="auto" w:w="0"/>
                  <w:shd w:val="clear" w:color="auto" w:fill="F0F0F0"/>
                </w:tcPr>
                <w:p>
                  <w:pPr>
                    <w:pStyle w:val="Normal"/>
                    <w:keepLines w:val="on"/>
                  </w:pPr>
                  <w:r>
                    <w:t>$58,00</w:t>
                  </w:r>
                </w:p>
              </w:tc>
            </w:tr>
            <w:tr>
              <w:tc>
                <w:tcPr>
                  <w:tcW w:type="auto" w:w="0"/>
                  <w:shd w:val="clear" w:color="auto" w:fill="F0F0F0"/>
                </w:tcPr>
                <w:p>
                  <w:pPr>
                    <w:pStyle w:val="Para 02"/>
                    <w:keepLines w:val="on"/>
                  </w:pPr>
                  <w:r>
                    <w:t>+ PV của EVA từ các khoản đầu tư mới trong năm 1 = [(.15 − .10)(10)/.10]</w:t>
                  </w:r>
                </w:p>
              </w:tc>
              <w:tc>
                <w:tcPr>
                  <w:tcW w:type="auto" w:w="0"/>
                  <w:shd w:val="clear" w:color="auto" w:fill="F0F0F0"/>
                </w:tcPr>
                <w:p>
                  <w:pPr>
                    <w:pStyle w:val="Normal"/>
                    <w:keepLines w:val="on"/>
                  </w:pPr>
                  <w:r>
                    <w:t>$5,00</w:t>
                  </w:r>
                </w:p>
              </w:tc>
            </w:tr>
            <w:tr>
              <w:tc>
                <w:tcPr>
                  <w:tcW w:type="auto" w:w="0"/>
                  <w:shd w:val="clear" w:color="auto" w:fill="F0F0F0"/>
                </w:tcPr>
                <w:p>
                  <w:pPr>
                    <w:pStyle w:val="Para 02"/>
                    <w:keepLines w:val="on"/>
                  </w:pPr>
                  <w:r>
                    <w:t>+ PV của EVA từ các khoản đầu tư mới trong năm 2 = [(.15 − .10)(10)/.10]/1.1</w:t>
                  </w:r>
                </w:p>
              </w:tc>
              <w:tc>
                <w:tcPr>
                  <w:tcW w:type="auto" w:w="0"/>
                  <w:shd w:val="clear" w:color="auto" w:fill="F0F0F0"/>
                </w:tcPr>
                <w:p>
                  <w:pPr>
                    <w:pStyle w:val="Normal"/>
                    <w:keepLines w:val="on"/>
                  </w:pPr>
                  <w:r>
                    <w:t>$4,55</w:t>
                  </w:r>
                </w:p>
              </w:tc>
            </w:tr>
            <w:tr>
              <w:tc>
                <w:tcPr>
                  <w:tcW w:type="auto" w:w="0"/>
                  <w:shd w:val="clear" w:color="auto" w:fill="F0F0F0"/>
                </w:tcPr>
                <w:p>
                  <w:pPr>
                    <w:pStyle w:val="Para 02"/>
                    <w:keepLines w:val="on"/>
                  </w:pPr>
                  <w:r>
                    <w:t>+ PV của EVA từ các khoản đầu tư mới trong năm 3 = [(.15 − .10)(10)/.10]/1.12</w:t>
                  </w:r>
                </w:p>
              </w:tc>
              <w:tc>
                <w:tcPr>
                  <w:tcW w:type="auto" w:w="0"/>
                  <w:shd w:val="clear" w:color="auto" w:fill="F0F0F0"/>
                </w:tcPr>
                <w:p>
                  <w:pPr>
                    <w:pStyle w:val="Normal"/>
                    <w:keepLines w:val="on"/>
                  </w:pPr>
                  <w:r>
                    <w:t>$4,13</w:t>
                  </w:r>
                </w:p>
              </w:tc>
            </w:tr>
            <w:tr>
              <w:tc>
                <w:tcPr>
                  <w:tcW w:type="auto" w:w="0"/>
                  <w:shd w:val="clear" w:color="auto" w:fill="F0F0F0"/>
                </w:tcPr>
                <w:p>
                  <w:pPr>
                    <w:pStyle w:val="Para 02"/>
                    <w:keepLines w:val="on"/>
                  </w:pPr>
                  <w:r>
                    <w:t>+ PV của EVA từ các khoản đầu tư mới trong năm 4 = [(.15 − .10)(10)/.10]/1.13</w:t>
                  </w:r>
                </w:p>
              </w:tc>
              <w:tc>
                <w:tcPr>
                  <w:tcW w:type="auto" w:w="0"/>
                  <w:shd w:val="clear" w:color="auto" w:fill="F0F0F0"/>
                </w:tcPr>
                <w:p>
                  <w:pPr>
                    <w:pStyle w:val="Normal"/>
                    <w:keepLines w:val="on"/>
                  </w:pPr>
                  <w:r>
                    <w:t>$3,76</w:t>
                  </w:r>
                </w:p>
              </w:tc>
            </w:tr>
            <w:tr>
              <w:tc>
                <w:tcPr>
                  <w:tcW w:type="auto" w:w="0"/>
                  <w:shd w:val="clear" w:color="auto" w:fill="F0F0F0"/>
                </w:tcPr>
                <w:p>
                  <w:pPr>
                    <w:pStyle w:val="Para 02"/>
                    <w:keepLines w:val="on"/>
                  </w:pPr>
                  <w:r>
                    <w:t>+ PV của EVA từ các khoản đầu tư mới trong năm 5 = [(.15 − .10)(10)/.10]/1.14</w:t>
                  </w:r>
                </w:p>
              </w:tc>
              <w:tc>
                <w:tcPr>
                  <w:tcW w:type="auto" w:w="0"/>
                  <w:shd w:val="clear" w:color="auto" w:fill="F0F0F0"/>
                </w:tcPr>
                <w:p>
                  <w:pPr>
                    <w:pStyle w:val="Normal"/>
                    <w:keepLines w:val="on"/>
                  </w:pPr>
                  <w:r>
                    <w:t>$3,42</w:t>
                  </w:r>
                </w:p>
              </w:tc>
            </w:tr>
            <w:tr>
              <w:tc>
                <w:tcPr>
                  <w:tcW w:type="auto" w:w="0"/>
                  <w:shd w:val="clear" w:color="auto" w:fill="F0F0F0"/>
                </w:tcPr>
                <w:p>
                  <w:pPr>
                    <w:pStyle w:val="Para 02"/>
                    <w:keepLines w:val="on"/>
                  </w:pPr>
                  <w:r>
                    <w:t>Giá trị doanh nghiệp</w:t>
                  </w:r>
                </w:p>
              </w:tc>
              <w:tc>
                <w:tcPr>
                  <w:tcW w:type="auto" w:w="0"/>
                  <w:shd w:val="clear" w:color="auto" w:fill="F0F0F0"/>
                </w:tcPr>
                <w:p>
                  <w:pPr>
                    <w:pStyle w:val="Normal"/>
                    <w:keepLines w:val="on"/>
                  </w:pPr>
                  <w:r>
                    <w:t>$168,85</w:t>
                  </w:r>
                </w:p>
              </w:tc>
            </w:tr>
          </w:tbl>
          <w:p/>
        </w:tc>
      </w:tr>
    </w:tbl>
    <w:p>
      <w:pPr>
        <w:pStyle w:val="Para 03"/>
      </w:pPr>
      <w:r>
        <w:t>Khi giá trị kinh tế gia tăng được ước tính cho các bộ phận, vốn đầu tư ở cấp bộ phận là hàm số của một loạt các quyết định phân bổ do doanh nghiệp đưa ra, với việc phân bổ dựa trên các tiêu chí được định trước (chẳng hạn như doanh thu hoặc số lượng nhân viên). Dù chúng ta mong muốn những quy tắc này khách quan và không thiên lệch, chúng thường mang tính chủ quan và phân bổ thừa vốn cho một số bộ phận và phân bổ thiếu cho những bộ phận khác. Nếu sự phân bổ sai này hoàn toàn ngẫu nhiên, chúng ta có thể chấp nhận nó như một sai số và dùng những thay đổi trong giá trị kinh tế gia tăng để đo lường thành công. Tuy nhiên, với sự cạnh tranh tự nhiên tồn tại giữa các bộ phận trong một doanh nghiệp để giành đồng vốn đầu tư cận biên, những sự phân bổ này cũng có khả năng phản ánh quyền lực của từng bộ phận trong việc gây ảnh hưởng đến quá trình này. Do đó, giá trị kinh tế gia tăng sẽ bị ước tính quá cao đối với những bộ phận được phân bổ thiếu vốn, và bị ước tính quá thấp đối với những bộ phận được phân bổ thừa vốn.</w:t>
      </w:r>
    </w:p>
    <w:p>
      <w:bookmarkStart w:id="6547" w:name="The_Future_Growth_Game"/>
      <w:bookmarkStart w:id="6548" w:name="The_Future_Growth_Game__The_valu"/>
      <w:pPr>
        <w:keepNext/>
        <w:pStyle w:val="Heading 4"/>
        <w:keepLines w:val="on"/>
      </w:pPr>
      <w:r>
        <w:t>Trò chơi Tăng trưởng Tương lai</w:t>
      </w:r>
      <w:bookmarkEnd w:id="6547"/>
      <w:bookmarkEnd w:id="6548"/>
    </w:p>
    <w:p>
      <w:pPr>
        <w:pStyle w:val="Para 03"/>
      </w:pPr>
      <w:r>
        <w:t>Giá trị của một doanh nghiệp là giá trị của những tài sản hiện có cộng với giá trị của những triển vọng tăng trưởng trong tương lai. Khi các nhà quản lý bị đánh giá dựa trên giá trị kinh tế gia tăng (economic value added) của năm hiện tại, hoặc dựa trên mức thay đổi qua từng năm, thì giá trị kinh tế gia tăng được đo lường chỉ là phần đến từ những tài sản đang vận hành. Vì vậy, các nhà quản lý có thể đánh đổi giá trị kinh tế gia tăng từ tăng trưởng tương lai để lấy giá trị kinh tế gia tăng cao hơn từ những tài sản đang vận hành.</w:t>
      </w:r>
    </w:p>
    <w:p>
      <w:pPr>
        <w:pStyle w:val="Para 03"/>
      </w:pPr>
      <w:r>
        <w:t>Một lần nữa, điểm này có thể được minh họa một cách đơn giản bằng doanh nghiệp trong Ví dụ 32.1. Doanh nghiệp này kiếm được tỷ suất sinh lợi trên vốn (return on capital) là 15 phần trăm trên cả tài sản đang vận hành lẫn các khoản đầu tư tương lai. Giả sử doanh nghiệp có thể thực hiện một số hành động để nâng tỷ suất sinh lợi trên vốn của tài sản đang vận hành lên 16 phần trăm, nhưng những hành động này lại làm giảm tỷ suất sinh lợi trên vốn của các khoản đầu tư tương lai xuống còn 12 phần trăm. Giá trị của doanh nghiệp này khi đó có thể được ước tính trong Bảng 32.7.</w:t>
      </w:r>
    </w:p>
    <w:p>
      <w:pPr>
        <w:pStyle w:val="Para 20"/>
      </w:pPr>
      <w:r>
        <w:rPr>
          <w:rStyle w:val="Text26"/>
        </w:rPr>
        <w:bookmarkStart w:id="6550" w:name="Page_1019"/>
        <w:t/>
        <w:bookmarkEnd w:id="6550"/>
      </w:r>
      <w:r>
        <w:t xml:space="preserve"> </w:t>
      </w:r>
    </w:p>
    <w:p>
      <w:pPr>
        <w:pStyle w:val="Para 34"/>
        <w:keepLines w:val="on"/>
      </w:pPr>
      <w:r>
        <w:t>BẢNG 32.7</w:t>
      </w:r>
    </w:p>
    <w:p>
      <w:pPr>
        <w:keepNext/>
        <w:pStyle w:val="Para 35"/>
        <w:keepLines w:val="on"/>
      </w:pPr>
      <w:r>
        <w:t>Đánh đổi tăng trưởng tương lai để lấy EVA cao hơn</w:t>
      </w:r>
    </w:p>
    <w:tbl>
      <w:tblPr>
        <w:tblW w:type="auto" w:w="0"/>
      </w:tblPr>
      <w:tr>
        <w:tc>
          <w:tcPr>
            <w:tcW w:type="auto" w:w="0"/>
          </w:tcPr>
          <w:tbl>
            <w:tblPr>
              <w:tblW w:type="pct" w:w="5000"/>
            </w:tblPr>
            <w:tr>
              <w:tc>
                <w:tcPr>
                  <w:tcW w:type="auto" w:w="0"/>
                  <w:shd w:val="clear" w:color="auto" w:fill="F0F0F0"/>
                </w:tcPr>
                <w:p>
                  <w:pPr>
                    <w:pStyle w:val="Para 02"/>
                    <w:keepLines w:val="on"/>
                  </w:pPr>
                  <w:r>
                    <w:t>Vốn đầu tư vào tài sản đang vận hành</w:t>
                  </w:r>
                </w:p>
              </w:tc>
              <w:tc>
                <w:tcPr>
                  <w:tcW w:type="auto" w:w="0"/>
                  <w:shd w:val="clear" w:color="auto" w:fill="F0F0F0"/>
                </w:tcPr>
                <w:p>
                  <w:pPr>
                    <w:pStyle w:val="Normal"/>
                    <w:keepLines w:val="on"/>
                  </w:pPr>
                  <w:r>
                    <w:t>$100,00</w:t>
                  </w:r>
                </w:p>
              </w:tc>
            </w:tr>
            <w:tr>
              <w:tc>
                <w:tcPr>
                  <w:tcW w:type="auto" w:w="0"/>
                  <w:shd w:val="clear" w:color="auto" w:fill="F0F0F0"/>
                </w:tcPr>
                <w:p>
                  <w:pPr>
                    <w:pStyle w:val="Para 02"/>
                    <w:keepLines w:val="on"/>
                  </w:pPr>
                  <w:r>
                    <w:t>+ EVA từ tài sản đang vận hành = (.16 − .10)(100)/.10</w:t>
                  </w:r>
                </w:p>
              </w:tc>
              <w:tc>
                <w:tcPr>
                  <w:tcW w:type="auto" w:w="0"/>
                  <w:shd w:val="clear" w:color="auto" w:fill="F0F0F0"/>
                </w:tcPr>
                <w:p>
                  <w:pPr>
                    <w:pStyle w:val="Normal"/>
                    <w:keepLines w:val="on"/>
                  </w:pPr>
                  <w:r>
                    <w:t>$60,00</w:t>
                  </w:r>
                </w:p>
              </w:tc>
            </w:tr>
            <w:tr>
              <w:tc>
                <w:tcPr>
                  <w:tcW w:type="auto" w:w="0"/>
                  <w:shd w:val="clear" w:color="auto" w:fill="F0F0F0"/>
                </w:tcPr>
                <w:p>
                  <w:pPr>
                    <w:pStyle w:val="Para 02"/>
                    <w:keepLines w:val="on"/>
                  </w:pPr>
                  <w:r>
                    <w:t>+ Giá trị hiện tại của EVA từ các khoản đầu tư mới trong năm 1 = [(.12 − .10)(10)/.10]</w:t>
                  </w:r>
                </w:p>
              </w:tc>
              <w:tc>
                <w:tcPr>
                  <w:tcW w:type="auto" w:w="0"/>
                  <w:shd w:val="clear" w:color="auto" w:fill="F0F0F0"/>
                </w:tcPr>
                <w:p>
                  <w:pPr>
                    <w:pStyle w:val="Normal"/>
                    <w:keepLines w:val="on"/>
                  </w:pPr>
                  <w:r>
                    <w:t>$2,00</w:t>
                  </w:r>
                </w:p>
              </w:tc>
            </w:tr>
            <w:tr>
              <w:tc>
                <w:tcPr>
                  <w:tcW w:type="auto" w:w="0"/>
                  <w:shd w:val="clear" w:color="auto" w:fill="F0F0F0"/>
                </w:tcPr>
                <w:p>
                  <w:pPr>
                    <w:pStyle w:val="Para 02"/>
                    <w:keepLines w:val="on"/>
                  </w:pPr>
                  <w:r>
                    <w:t>+ Giá trị hiện tại của EVA từ các khoản đầu tư mới trong năm 2 = [(.12 − .10)(10)/.10]/1,1</w:t>
                  </w:r>
                </w:p>
              </w:tc>
              <w:tc>
                <w:tcPr>
                  <w:tcW w:type="auto" w:w="0"/>
                  <w:shd w:val="clear" w:color="auto" w:fill="F0F0F0"/>
                </w:tcPr>
                <w:p>
                  <w:pPr>
                    <w:pStyle w:val="Normal"/>
                    <w:keepLines w:val="on"/>
                  </w:pPr>
                  <w:r>
                    <w:t>$1,82</w:t>
                  </w:r>
                </w:p>
              </w:tc>
            </w:tr>
            <w:tr>
              <w:tc>
                <w:tcPr>
                  <w:tcW w:type="auto" w:w="0"/>
                  <w:shd w:val="clear" w:color="auto" w:fill="F0F0F0"/>
                </w:tcPr>
                <w:p>
                  <w:pPr>
                    <w:pStyle w:val="Para 02"/>
                    <w:keepLines w:val="on"/>
                  </w:pPr>
                  <w:r>
                    <w:t>+ Giá trị hiện tại của EVA từ các khoản đầu tư mới trong năm 3 = [(.12 − .10)(10)/.10]/1,12</w:t>
                  </w:r>
                </w:p>
              </w:tc>
              <w:tc>
                <w:tcPr>
                  <w:tcW w:type="auto" w:w="0"/>
                  <w:shd w:val="clear" w:color="auto" w:fill="F0F0F0"/>
                </w:tcPr>
                <w:p>
                  <w:pPr>
                    <w:pStyle w:val="Normal"/>
                    <w:keepLines w:val="on"/>
                  </w:pPr>
                  <w:r>
                    <w:t>$1,65</w:t>
                  </w:r>
                </w:p>
              </w:tc>
            </w:tr>
            <w:tr>
              <w:tc>
                <w:tcPr>
                  <w:tcW w:type="auto" w:w="0"/>
                  <w:shd w:val="clear" w:color="auto" w:fill="F0F0F0"/>
                </w:tcPr>
                <w:p>
                  <w:pPr>
                    <w:pStyle w:val="Para 02"/>
                    <w:keepLines w:val="on"/>
                  </w:pPr>
                  <w:r>
                    <w:t>+ Giá trị hiện tại của EVA từ các khoản đầu tư mới trong năm 4 = [(.12 − .10)(10)/.10]/1,13</w:t>
                  </w:r>
                </w:p>
              </w:tc>
              <w:tc>
                <w:tcPr>
                  <w:tcW w:type="auto" w:w="0"/>
                  <w:shd w:val="clear" w:color="auto" w:fill="F0F0F0"/>
                </w:tcPr>
                <w:p>
                  <w:pPr>
                    <w:pStyle w:val="Normal"/>
                    <w:keepLines w:val="on"/>
                  </w:pPr>
                  <w:r>
                    <w:t>$1,50</w:t>
                  </w:r>
                </w:p>
              </w:tc>
            </w:tr>
            <w:tr>
              <w:tc>
                <w:tcPr>
                  <w:tcW w:type="auto" w:w="0"/>
                  <w:shd w:val="clear" w:color="auto" w:fill="F0F0F0"/>
                </w:tcPr>
                <w:p>
                  <w:pPr>
                    <w:pStyle w:val="Para 02"/>
                    <w:keepLines w:val="on"/>
                  </w:pPr>
                  <w:r>
                    <w:t>+ Giá trị hiện tại của EVA từ các khoản đầu tư mới trong năm 5 = [(.12 − .10)(10)/.10]/1,14</w:t>
                  </w:r>
                </w:p>
              </w:tc>
              <w:tc>
                <w:tcPr>
                  <w:tcW w:type="auto" w:w="0"/>
                  <w:shd w:val="clear" w:color="auto" w:fill="F0F0F0"/>
                </w:tcPr>
                <w:p>
                  <w:pPr>
                    <w:pStyle w:val="Normal"/>
                    <w:keepLines w:val="on"/>
                  </w:pPr>
                  <w:r>
                    <w:t>$1,37</w:t>
                  </w:r>
                </w:p>
              </w:tc>
            </w:tr>
            <w:tr>
              <w:tc>
                <w:tcPr>
                  <w:tcW w:type="auto" w:w="0"/>
                  <w:shd w:val="clear" w:color="auto" w:fill="F0F0F0"/>
                </w:tcPr>
                <w:p>
                  <w:pPr>
                    <w:pStyle w:val="Para 02"/>
                    <w:keepLines w:val="on"/>
                  </w:pPr>
                  <w:r>
                    <w:t>Giá trị của doanh nghiệp</w:t>
                  </w:r>
                </w:p>
              </w:tc>
              <w:tc>
                <w:tcPr>
                  <w:tcW w:type="auto" w:w="0"/>
                  <w:shd w:val="clear" w:color="auto" w:fill="F0F0F0"/>
                </w:tcPr>
                <w:p>
                  <w:pPr>
                    <w:pStyle w:val="Normal"/>
                    <w:keepLines w:val="on"/>
                  </w:pPr>
                  <w:r>
                    <w:t>$168,34</w:t>
                  </w:r>
                </w:p>
              </w:tc>
            </w:tr>
          </w:tbl>
          <w:p/>
        </w:tc>
      </w:tr>
    </w:tbl>
    <w:p>
      <w:pPr>
        <w:pStyle w:val="Para 03"/>
      </w:pPr>
      <w:r>
        <w:t>Lưu ý rằng giá trị của doanh nghiệp đã giảm đi, nhưng giá trị kinh tế gia tăng trong năm 1 giờ đây lại cao hơn so với trước. Giá trị kinh tế gia tăng của doanh nghiệp này trong từng năm của năm năm tiếp theo được vẽ đồ thị trong Hình 32.1 cho cả doanh nghiệp ban đầu lẫn doanh nghiệp này. Việc đánh đổi tăng trưởng, dù dẫn đến giá trị doanh nghiệp thấp hơn, lại mang về giá trị kinh tế gia tăng trong mỗi năm đầu tiên của ba năm đầu cao hơn mức mà nó sẽ có nếu không có sự đánh đổi này.</w:t>
      </w:r>
    </w:p>
    <w:p>
      <w:bookmarkStart w:id="6552" w:name="FIGURE_32_1_Annual_EVA__With_and"/>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24100" cy="1435100"/>
            <wp:effectExtent l="0" r="0" t="0" b="0"/>
            <wp:wrapTopAndBottom/>
            <wp:docPr id="295" name="c32f001.png" descr="Double bar graph plots the increase in annual E V A (original) and annual E V A (risk trade-off) over 5 years."/>
            <wp:cNvGraphicFramePr>
              <a:graphicFrameLocks noChangeAspect="1"/>
            </wp:cNvGraphicFramePr>
            <a:graphic>
              <a:graphicData uri="http://schemas.openxmlformats.org/drawingml/2006/picture">
                <pic:pic>
                  <pic:nvPicPr>
                    <pic:cNvPr id="0" name="c32f001.png" descr="Double bar graph plots the increase in annual E V A (original) and annual E V A (risk trade-off) over 5 years."/>
                    <pic:cNvPicPr/>
                  </pic:nvPicPr>
                  <pic:blipFill>
                    <a:blip r:embed="rId212"/>
                    <a:stretch>
                      <a:fillRect/>
                    </a:stretch>
                  </pic:blipFill>
                  <pic:spPr>
                    <a:xfrm>
                      <a:off x="0" y="0"/>
                      <a:ext cx="2324100" cy="1435100"/>
                    </a:xfrm>
                    <a:prstGeom prst="rect">
                      <a:avLst/>
                    </a:prstGeom>
                  </pic:spPr>
                </pic:pic>
              </a:graphicData>
            </a:graphic>
          </wp:anchor>
        </w:drawing>
      </w:r>
      <w:bookmarkEnd w:id="6552"/>
    </w:p>
    <w:p>
      <w:pPr>
        <w:keepNext/>
        <w:pStyle w:val="Para 22"/>
        <w:keepLines w:val="on"/>
      </w:pPr>
      <w:r>
        <w:t>HÌNH 32.1 EVA hằng năm: Có và không có đánh đổi tăng trưởng</w:t>
      </w:r>
    </w:p>
    <w:p>
      <w:pPr>
        <w:pStyle w:val="Para 03"/>
      </w:pPr>
      <w:r>
        <w:t>Các cơ chế trả thù lao dựa trên EVA đôi khi được thiết kế để trừng phạt những nhà quản lý đánh đổi tăng trưởng tương lai để lấy EVA hiện tại. Các nhà quản lý được trả thù lao một phần dựa trên giá trị kinh tế gia tăng của năm nay, nhưng một phần khác được giữ lại trong một quỹ thù lao (compensation bank) và chỉ được trao cho nhà quản lý sau một khoảng thời gian (chẳng hạn ba hoặc bốn năm). Những cách tiếp cận này có những hạn chế đáng kể. Thứ nhất, nhiệm kỳ hạn chế mà các nhà quản lý gắn bó với doanh nghiệp khiến cho biện pháp này cùng lắm chỉ có thể nhìn vào giá trị kinh tế gia tăng trong vòng ba hoặc bốn năm tới. Những chi phí thực sự của việc đánh đổi tăng trưởng khó có thể lộ ra cho đến tận sau này rất lâu. Thứ hai, những cách tiếp cận này thực ra được thiết kế để trừng phạt những nhà quản lý làm tăng giá trị kinh tế gia tăng trong giai đoạn hiện tại, đồng thời làm giảm giá trị kinh tế gia tăng trong các giai đoạn tương lai. Trong trường hợp tinh vi hơn, khi giá trị kinh tế gia tăng vẫn tiếp tục tăng nhưng với tốc độ thấp hơn mức mà nó lẽ ra đạt được, thì rất khó để nghĩ ra một hình phạt dành cho những nhà quản lý đánh đổi tăng trưởng tương lai. Chẳng hạn, trong ví dụ trước, giá trị kinh tế gia tăng khi có đánh đổi tăng trưởng vẫn tăng lên theo thời gian. Mức tăng có nhỏ hơn so với khi không có đánh đổi, nhưng dù sao thì con số đó cũng sẽ không bao giờ được quan sát thấy.</w:t>
      </w:r>
    </w:p>
    <w:p>
      <w:bookmarkStart w:id="6553" w:name="The_Risk_Shifting_Game"/>
      <w:bookmarkStart w:id="6554" w:name="The_Risk_Shifting_Game__The_valu"/>
      <w:pPr>
        <w:keepNext/>
        <w:pStyle w:val="Heading 4"/>
        <w:keepLines w:val="on"/>
      </w:pPr>
      <w:r>
        <w:t>Trò chơi chuyển dịch rủi ro</w:t>
      </w:r>
      <w:bookmarkEnd w:id="6553"/>
      <w:bookmarkEnd w:id="6554"/>
    </w:p>
    <w:p>
      <w:pPr>
        <w:pStyle w:val="Para 03"/>
      </w:pPr>
      <w:r>
        <w:t>Giá trị của một doanh nghiệp là tổng của vốn đầu tư cộng với giá trị hiện tại của giá trị kinh tế gia tăng. Do đó, số hạng sau là một hàm số không chỉ phụ thuộc vào giá trị kinh tế gia tăng tính bằng đô la mà còn phụ thuộc vào chi phí vốn (cost of capital). Một doanh nghiệp có thể đầu tư vào các dự án để gia tăng giá trị kinh tế gia tăng của mình nhưng vẫn có thể kết thúc với giá trị thấp hơn nếu những khoản đầu tư này làm tăng rủi ro hoạt động và chi phí vốn của doanh nghiệp.</w:t>
      </w:r>
    </w:p>
    <w:p>
      <w:pPr>
        <w:pStyle w:val="Para 03"/>
      </w:pPr>
      <w:r>
        <w:t>Vẫn dùng công ty trong Minh họa 32.1, giả sử công ty có thể tăng tỷ suất sinh lợi trên vốn (return on capital) của cả tài sản hiện hữu lẫn các khoản đầu tư tương lai từ 15 phần trăm lên 16,25 phần trăm, và từ 10 phần trăm lên 11 phần trăm sau năm thứ 5. Đồng thời, giả sử chi phí vốn (cost of capital) tăng lên 11 phần trăm. Giá trị kinh tế gia tăng (economic value added – EVA) mỗi năm trong năm năm tới được đối chiếu với giá trị kinh tế gia tăng ban đầu của từng năm trong Hình 32.2.</w:t>
      </w:r>
    </w:p>
    <w:p>
      <w:bookmarkStart w:id="6557" w:name="FIGURE_32_2_EVA__Higher_Risk_and"/>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76500" cy="1473200"/>
            <wp:effectExtent l="0" r="0" t="0" b="0"/>
            <wp:wrapTopAndBottom/>
            <wp:docPr id="296" name="c32f002.png" descr="Double bar graph depicts higher the risk higher the return for annual E V A (original) and annual E V A (risk trade-off) over 5 years."/>
            <wp:cNvGraphicFramePr>
              <a:graphicFrameLocks noChangeAspect="1"/>
            </wp:cNvGraphicFramePr>
            <a:graphic>
              <a:graphicData uri="http://schemas.openxmlformats.org/drawingml/2006/picture">
                <pic:pic>
                  <pic:nvPicPr>
                    <pic:cNvPr id="0" name="c32f002.png" descr="Double bar graph depicts higher the risk higher the return for annual E V A (original) and annual E V A (risk trade-off) over 5 years."/>
                    <pic:cNvPicPr/>
                  </pic:nvPicPr>
                  <pic:blipFill>
                    <a:blip r:embed="rId213"/>
                    <a:stretch>
                      <a:fillRect/>
                    </a:stretch>
                  </pic:blipFill>
                  <pic:spPr>
                    <a:xfrm>
                      <a:off x="0" y="0"/>
                      <a:ext cx="2476500" cy="1473200"/>
                    </a:xfrm>
                    <a:prstGeom prst="rect">
                      <a:avLst/>
                    </a:prstGeom>
                  </pic:spPr>
                </pic:pic>
              </a:graphicData>
            </a:graphic>
          </wp:anchor>
        </w:drawing>
      </w:r>
      <w:bookmarkEnd w:id="6557"/>
    </w:p>
    <w:p>
      <w:pPr>
        <w:keepNext/>
        <w:pStyle w:val="Para 22"/>
        <w:keepLines w:val="on"/>
      </w:pPr>
      <w:r>
        <w:t>HÌNH 32.2 EVA: Rủi ro và lợi nhuận cao hơn</w:t>
      </w:r>
    </w:p>
    <w:p>
      <w:pPr>
        <w:pStyle w:val="Para 03"/>
      </w:pPr>
      <w:r>
        <w:t>Dù giá trị kinh tế gia tăng mỗi năm cao hơn với chiến lược rủi ro cao, giá trị của công ty lại được thể hiện trong Bảng 32.8. Lưu ý rằng tác động của rủi ro lấn át phần lợi nhuận vượt trội tính bằng đô-la cao hơn, và giá trị của công ty giảm xuống.</w:t>
      </w:r>
    </w:p>
    <w:p>
      <w:pPr>
        <w:pStyle w:val="Para 34"/>
        <w:keepLines w:val="on"/>
      </w:pPr>
      <w:r>
        <w:t>BẢNG 32.8</w:t>
      </w:r>
    </w:p>
    <w:p>
      <w:pPr>
        <w:keepNext/>
        <w:pStyle w:val="Para 35"/>
        <w:keepLines w:val="on"/>
      </w:pPr>
      <w:r>
        <w:t>EVA với chiến lược rủi ro cao</w:t>
      </w:r>
    </w:p>
    <w:tbl>
      <w:tblPr>
        <w:tblW w:type="auto" w:w="0"/>
      </w:tblPr>
      <w:tr>
        <w:tc>
          <w:tcPr>
            <w:tcW w:type="auto" w:w="0"/>
          </w:tcPr>
          <w:tbl>
            <w:tblPr>
              <w:tblW w:type="pct" w:w="5000"/>
            </w:tblPr>
            <w:tr>
              <w:tc>
                <w:tcPr>
                  <w:tcW w:type="auto" w:w="0"/>
                  <w:shd w:val="clear" w:color="auto" w:fill="F0F0F0"/>
                </w:tcPr>
                <w:p>
                  <w:pPr>
                    <w:pStyle w:val="Para 02"/>
                    <w:keepLines w:val="on"/>
                  </w:pPr>
                  <w:r>
                    <w:t>Vốn đầu tư vào tài sản hiện hữu</w:t>
                  </w:r>
                </w:p>
              </w:tc>
              <w:tc>
                <w:tcPr>
                  <w:tcW w:type="auto" w:w="0"/>
                  <w:shd w:val="clear" w:color="auto" w:fill="F0F0F0"/>
                </w:tcPr>
                <w:p>
                  <w:pPr>
                    <w:pStyle w:val="Normal"/>
                    <w:keepLines w:val="on"/>
                  </w:pPr>
                  <w:r>
                    <w:t>$100,00</w:t>
                  </w:r>
                </w:p>
              </w:tc>
            </w:tr>
            <w:tr>
              <w:tc>
                <w:tcPr>
                  <w:tcW w:type="auto" w:w="0"/>
                  <w:shd w:val="clear" w:color="auto" w:fill="F0F0F0"/>
                </w:tcPr>
                <w:p>
                  <w:pPr>
                    <w:pStyle w:val="Para 02"/>
                    <w:keepLines w:val="on"/>
                  </w:pPr>
                  <w:r>
                    <w:t>+ EVA từ tài sản hiện hữu = (.1625 − .11) (100)/.11</w:t>
                  </w:r>
                </w:p>
              </w:tc>
              <w:tc>
                <w:tcPr>
                  <w:tcW w:type="auto" w:w="0"/>
                  <w:shd w:val="clear" w:color="auto" w:fill="F0F0F0"/>
                </w:tcPr>
                <w:p>
                  <w:pPr>
                    <w:pStyle w:val="Normal"/>
                    <w:keepLines w:val="on"/>
                  </w:pPr>
                  <w:r>
                    <w:t>$47,73</w:t>
                  </w:r>
                </w:p>
              </w:tc>
            </w:tr>
            <w:tr>
              <w:tc>
                <w:tcPr>
                  <w:tcW w:type="auto" w:w="0"/>
                  <w:shd w:val="clear" w:color="auto" w:fill="F0F0F0"/>
                </w:tcPr>
                <w:p>
                  <w:pPr>
                    <w:pStyle w:val="Para 02"/>
                    <w:keepLines w:val="on"/>
                  </w:pPr>
                  <w:r>
                    <w:t>+ PV của EVA từ các khoản đầu tư năm 1 = [(.1625 − .11)(10)/.11]</w:t>
                  </w:r>
                </w:p>
              </w:tc>
              <w:tc>
                <w:tcPr>
                  <w:tcW w:type="auto" w:w="0"/>
                  <w:shd w:val="clear" w:color="auto" w:fill="F0F0F0"/>
                </w:tcPr>
                <w:p>
                  <w:pPr>
                    <w:pStyle w:val="Normal"/>
                    <w:keepLines w:val="on"/>
                  </w:pPr>
                  <w:r>
                    <w:t>$4,77</w:t>
                  </w:r>
                </w:p>
              </w:tc>
            </w:tr>
            <w:tr>
              <w:tc>
                <w:tcPr>
                  <w:tcW w:type="auto" w:w="0"/>
                  <w:shd w:val="clear" w:color="auto" w:fill="F0F0F0"/>
                </w:tcPr>
                <w:p>
                  <w:pPr>
                    <w:pStyle w:val="Para 02"/>
                    <w:keepLines w:val="on"/>
                  </w:pPr>
                  <w:r>
                    <w:t>+ PV của EVA từ các khoản đầu tư năm 2 = [(.1625 − .10)(10)/.11]/1.11</w:t>
                  </w:r>
                </w:p>
              </w:tc>
              <w:tc>
                <w:tcPr>
                  <w:tcW w:type="auto" w:w="0"/>
                  <w:shd w:val="clear" w:color="auto" w:fill="F0F0F0"/>
                </w:tcPr>
                <w:p>
                  <w:pPr>
                    <w:pStyle w:val="Normal"/>
                    <w:keepLines w:val="on"/>
                  </w:pPr>
                  <w:r>
                    <w:t>$4,30</w:t>
                  </w:r>
                </w:p>
              </w:tc>
            </w:tr>
            <w:tr>
              <w:tc>
                <w:tcPr>
                  <w:tcW w:type="auto" w:w="0"/>
                  <w:shd w:val="clear" w:color="auto" w:fill="F0F0F0"/>
                </w:tcPr>
                <w:p>
                  <w:pPr>
                    <w:pStyle w:val="Para 02"/>
                    <w:keepLines w:val="on"/>
                  </w:pPr>
                  <w:r>
                    <w:t>+ PV của EVA từ các khoản đầu tư năm 3 = [(.1625 − .11)(10)/.11]/1.112</w:t>
                  </w:r>
                </w:p>
              </w:tc>
              <w:tc>
                <w:tcPr>
                  <w:tcW w:type="auto" w:w="0"/>
                  <w:shd w:val="clear" w:color="auto" w:fill="F0F0F0"/>
                </w:tcPr>
                <w:p>
                  <w:pPr>
                    <w:pStyle w:val="Normal"/>
                    <w:keepLines w:val="on"/>
                  </w:pPr>
                  <w:r>
                    <w:t>$3,87</w:t>
                  </w:r>
                </w:p>
              </w:tc>
            </w:tr>
            <w:tr>
              <w:tc>
                <w:tcPr>
                  <w:tcW w:type="auto" w:w="0"/>
                  <w:shd w:val="clear" w:color="auto" w:fill="F0F0F0"/>
                </w:tcPr>
                <w:p>
                  <w:pPr>
                    <w:pStyle w:val="Para 02"/>
                    <w:keepLines w:val="on"/>
                  </w:pPr>
                  <w:r>
                    <w:t>+ PV của EVA từ các khoản đầu tư năm 4 = [(.1625 − .11)(10)/.11]/1.113</w:t>
                  </w:r>
                </w:p>
              </w:tc>
              <w:tc>
                <w:tcPr>
                  <w:tcW w:type="auto" w:w="0"/>
                  <w:shd w:val="clear" w:color="auto" w:fill="F0F0F0"/>
                </w:tcPr>
                <w:p>
                  <w:pPr>
                    <w:pStyle w:val="Normal"/>
                    <w:keepLines w:val="on"/>
                  </w:pPr>
                  <w:r>
                    <w:t>$3,49</w:t>
                  </w:r>
                </w:p>
              </w:tc>
            </w:tr>
            <w:tr>
              <w:tc>
                <w:tcPr>
                  <w:tcW w:type="auto" w:w="0"/>
                  <w:shd w:val="clear" w:color="auto" w:fill="F0F0F0"/>
                </w:tcPr>
                <w:p>
                  <w:pPr>
                    <w:pStyle w:val="Para 02"/>
                    <w:keepLines w:val="on"/>
                  </w:pPr>
                  <w:r>
                    <w:t>+ PV của EVA từ các khoản đầu tư năm 5 = [(.1625 − .11)(10)/.11]/1.114</w:t>
                  </w:r>
                </w:p>
              </w:tc>
              <w:tc>
                <w:tcPr>
                  <w:tcW w:type="auto" w:w="0"/>
                  <w:shd w:val="clear" w:color="auto" w:fill="F0F0F0"/>
                </w:tcPr>
                <w:p>
                  <w:pPr>
                    <w:pStyle w:val="Normal"/>
                    <w:keepLines w:val="on"/>
                  </w:pPr>
                  <w:r>
                    <w:t>$3,14</w:t>
                  </w:r>
                </w:p>
              </w:tc>
            </w:tr>
            <w:tr>
              <w:tc>
                <w:tcPr>
                  <w:tcW w:type="auto" w:w="0"/>
                  <w:shd w:val="clear" w:color="auto" w:fill="F0F0F0"/>
                </w:tcPr>
                <w:p>
                  <w:pPr>
                    <w:pStyle w:val="Para 02"/>
                    <w:keepLines w:val="on"/>
                  </w:pPr>
                  <w:r>
                    <w:t>Giá trị của công ty</w:t>
                  </w:r>
                </w:p>
              </w:tc>
              <w:tc>
                <w:tcPr>
                  <w:tcW w:type="auto" w:w="0"/>
                  <w:shd w:val="clear" w:color="auto" w:fill="F0F0F0"/>
                </w:tcPr>
                <w:p>
                  <w:pPr>
                    <w:pStyle w:val="Normal"/>
                    <w:keepLines w:val="on"/>
                  </w:pPr>
                  <w:r>
                    <w:t>$167,31</w:t>
                  </w:r>
                </w:p>
              </w:tc>
            </w:tr>
          </w:tbl>
          <w:p/>
        </w:tc>
      </w:tr>
    </w:tbl>
    <w:p>
      <w:pPr>
        <w:pStyle w:val="Para 03"/>
      </w:pPr>
      <w:r>
        <w:t>Việc dịch chuyển rủi ro này có thể nguy hiểm với những công ty áp dụng giá trị kinh tế gia tăng chỉ dựa trên các giá trị EVA từng năm. Khi các nhà quản lý bị đánh giá dựa trên mức thay đổi giá trị kinh tế gia tăng từng năm, sẽ có xu hướng dịch chuyển sang các khoản đầu tư rủi ro hơn. Xu hướng này sẽ càng bị khuếch đại nếu chi phí vốn được đo lường không phản ánh được những thay đổi về rủi ro hoặc phản ánh chậm hơn.4</w:t>
      </w:r>
    </w:p>
    <w:p>
      <w:pPr>
        <w:pStyle w:val="Para 03"/>
      </w:pPr>
      <w:r>
        <w:t>Tóm lại, giá trị kinh tế gia tăng là một cách tiếp cận thiên về tài sản hiện hữu và xa rời tăng trưởng tương lai. Vì vậy, không có gì đáng ngạc nhiên khi giá trị kinh tế gia tăng được tính ở cấp phòng ban (divisional level) của một công ty, những phòng ban tăng trưởng cao nhất lại có giá trị kinh tế gia tăng thấp nhất, và trong một số trường hợp còn có giá trị kinh tế gia tăng âm. Một lần nữa, dù các nhà quản lý phòng ban này vẫn có thể bị đánh giá dựa trên mức thay đổi giá trị kinh tế gia tăng từ năm này sang năm khác, thì ở cấp công ty, sức cám dỗ muốn cắt giảm hoặc loại bỏ vốn đầu tư vào những phòng ban đó sẽ rất mạnh, vì điều đó sẽ khiến giá trị kinh tế gia tăng tổng thể của công ty trông đẹp hơn nhiều.</w:t>
      </w:r>
    </w:p>
    <w:p>
      <w:bookmarkStart w:id="6561" w:name="EVA_and_Market_Value__Will_incre"/>
      <w:bookmarkStart w:id="6562" w:name="EVA_and_Market_Value"/>
      <w:pPr>
        <w:keepNext/>
        <w:pStyle w:val="Heading 4"/>
        <w:keepLines w:val="on"/>
      </w:pPr>
      <w:r>
        <w:t>EVA và giá trị thị trường</w:t>
      </w:r>
      <w:bookmarkEnd w:id="6561"/>
      <w:bookmarkEnd w:id="6562"/>
    </w:p>
    <w:p>
      <w:pPr>
        <w:pStyle w:val="Para 03"/>
      </w:pPr>
      <w:r>
        <w:t>Liệu việc tăng giá trị kinh tế gia tăng có làm giá trị thị trường tăng lên không? Dù việc tăng giá trị kinh tế gia tăng nói chung sẽ dẫn đến việc tăng giá trị công ty, trừ khi vướng phải những trò chơi tăng trưởng và rủi ro đã mô tả ở trên, nó có thể làm tăng hoặc không làm tăng giá cổ phiếu. Điều này là vì giá trị thị trường đã hàm chứa sẵn những kỳ vọng về giá trị kinh tế gia tăng trong tương lai. Do đó, một công ty như Apple được định giá dựa trên giả định rằng nó sẽ kiếm được giá trị kinh tế gia tăng lớn và ngày càng tăng theo thời gian. Việc giá trị thị trường của một công ty tăng hay giảm khi công bố giá trị kinh tế gia tăng cao hơn sẽ phụ thuộc phần lớn vào mức thay đổi kỳ vọng của giá trị kinh tế gia tăng là bao nhiêu. Với những công ty trưởng thành, nơi thị trường có thể đã kỳ vọng không tăng hoặc thậm chí giảm giá trị kinh tế gia tăng, việc công bố mức tăng sẽ là tin tốt và khiến giá trị thị trường tăng lên. Với những công ty được cho là có cơ hội tăng trưởng tốt và được kỳ vọng sẽ báo cáo mức tăng giá trị kinh tế gia tăng, giá trị thị trường sẽ giảm nếu mức tăng giá trị kinh tế gia tăng được công bố không đạt kỳ vọng. Điều này hẳn không làm các nhà đầu tư ngạc nhiên, vì họ đã nhận ra hiện tượng này với thu nhập trên mỗi cổ phần (earnings per share) suốt nhiều thập kỷ qua; các công bố thu nhập của công ty được đánh giá dựa trên kỳ vọng, và chính mức bất ngờ về thu nhập (earnings surprise) mới là thứ dẫn dắt giá cả.</w:t>
      </w:r>
    </w:p>
    <w:p>
      <w:pPr>
        <w:pStyle w:val="Para 03"/>
      </w:pPr>
      <w:r>
        <w:t>Cuối cùng, khó có khả năng tồn tại mối tương quan lớn giữa những thay đổi thực tế trong giá trị kinh tế gia tăng (economic value added) ở các công ty tăng trưởng trẻ và những thay đổi trong giá trị thị trường. Giá trị thị trường dựa trên kỳ vọng về giá trị kinh tế gia tăng trong các giai đoạn tương lai, và nhà đầu tư kỳ vọng giá trị kinh tế gia tăng sẽ tăng đáng kể mỗi năm. Vì vậy, nếu giá trị kinh tế gia tăng có tăng nhưng tăng ít hơn kỳ vọng, bạn có thể thấy giá trị thị trường của nó sụt giảm ngay khi báo cáo được công bố.</w:t>
      </w:r>
    </w:p>
    <w:p>
      <w:pPr>
        <w:pStyle w:val="Para 03"/>
      </w:pPr>
      <w:r>
        <w:t>Do đó, chúng ta sẽ không kỳ vọng có bất kỳ mối tương quan nào giữa độ lớn của giá trị kinh tế gia tăng và lợi nhuận cổ phiếu, hay thậm chí giữa sự thay đổi trong giá trị kinh tế gia tăng và lợi nhuận cổ phiếu. Những cổ phiếu báo cáo mức tăng lớn nhất trong giá trị kinh tế gia tăng không nhất thiết phải mang lại lợi nhuận cao cho cổ đông của chúng.5 Những dự đoán này được xác nhận bởi một nghiên cứu do Richard Bernstein tại Merrill Lynch thực hiện, người đã xem xét mối quan hệ giữa EVA và lợi nhuận cổ phiếu, và kết luận rằng:</w:t>
      </w:r>
    </w:p>
    <w:p>
      <w:pPr>
        <w:numPr>
          <w:ilvl w:val="0"/>
          <w:numId w:val="391"/>
        </w:numPr>
        <w:pStyle w:val="Para 01"/>
      </w:pPr>
      <w:r>
        <w:t>Một danh mục gồm 50 công ty có mức tuyệt đối6 giá trị kinh tế gia tăng cao nhất đã đạt lợi nhuận hàng năm là 12,9% trong giai đoạn từ tháng 2 năm 1987 đến tháng 2 năm 1997, trong khi chỉ số S&amp;P đạt lợi nhuận 13,1% một năm trong cùng giai đoạn.</w:t>
      </w:r>
    </w:p>
    <w:p>
      <w:pPr>
        <w:numPr>
          <w:ilvl w:val="0"/>
          <w:numId w:val="391"/>
        </w:numPr>
        <w:pStyle w:val="Para 01"/>
      </w:pPr>
      <w:r>
        <w:t>Một danh mục gồm 50 công ty có tốc độ tăng trưởng7 giá trị kinh tế gia tăng cao nhất trong năm trước đó đã đạt lợi nhuận hàng năm là 12,8% trong cùng khoảng thời gian, một lần nữa lại kém hiệu quả hơn so với S&amp;P 500.</w:t>
      </w:r>
    </w:p>
    <w:p>
      <w:pPr>
        <w:pStyle w:val="Para 11"/>
      </w:pPr>
      <w:r>
        <w:t xml:space="preserve"> </w:t>
      </w:r>
    </w:p>
    <w:p>
      <w:bookmarkStart w:id="6567" w:name="EVA_for_High_Growth_Firms_The_fa"/>
      <w:bookmarkStart w:id="6568" w:name="EVA_for_High_Growth_Firms"/>
      <w:pPr>
        <w:keepNext/>
        <w:pStyle w:val="Para 27"/>
        <w:keepLines w:val="on"/>
      </w:pPr>
      <w:r>
        <w:t>EVA cho các công ty tăng trưởng cao</w:t>
      </w:r>
      <w:bookmarkEnd w:id="6567"/>
      <w:bookmarkEnd w:id="6568"/>
    </w:p>
    <w:p>
      <w:pPr>
        <w:pStyle w:val="Para 16"/>
        <w:keepLines w:val="on"/>
      </w:pPr>
      <w:r>
        <w:t>Việc giá trị của một công ty là một hàm số của vốn đầu tư vào tài sản hiện hữu, giá trị hiện tại của giá trị kinh tế gia tăng từ những tài sản đó, và giá trị kinh tế gia tăng từ các khoản đầu tư trong tương lai chỉ ra một số nguy hiểm khi sử dụng nó như một thước đo thành công hay thất bại đối với các công ty tăng trưởng cao và đặc biệt là các công ty công nghệ tăng trưởng cao. Cụ thể, có ba vấn đề:</w:t>
      </w:r>
    </w:p>
    <w:p>
      <w:pPr>
        <w:numPr>
          <w:ilvl w:val="0"/>
          <w:numId w:val="392"/>
        </w:numPr>
        <w:pStyle w:val="Para 33"/>
        <w:keepLines w:val="on"/>
      </w:pPr>
      <w:r>
        <w:t>Chúng ta đã lưu ý nhiều vấn đề liên quan đến cách các kế toán viên đo lường vốn đầu tư tại các công ty công nghệ. Với vai trò trung tâm của vốn đầu tư đối với giá trị kinh tế gia tăng, những vấn đề này có ảnh hưởng lớn hơn nhiều khi các công ty sử dụng EVA so với khi bạn sử dụng phương pháp định giá dòng tiền chiết khấu (discounted cash flow valuation).</w:t>
      </w:r>
    </w:p>
    <w:p>
      <w:pPr>
        <w:numPr>
          <w:ilvl w:val="0"/>
          <w:numId w:val="392"/>
        </w:numPr>
        <w:pStyle w:val="Para 33"/>
        <w:keepLines w:val="on"/>
      </w:pPr>
      <w:r>
        <w:t>Khi 80 đến 90 phần trăm giá trị của bạn đến từ tiềm năng tăng trưởng trong tương lai, rủi ro các nhà quản lý đánh đổi tăng trưởng tương lai để lấy EVA hiện tại sẽ bị khuếch đại. Việc giám sát những đánh đổi này tại các công ty trẻ cũng rất khó khăn.</w:t>
      </w:r>
    </w:p>
    <w:p>
      <w:pPr>
        <w:numPr>
          <w:ilvl w:val="0"/>
          <w:numId w:val="392"/>
        </w:numPr>
        <w:pStyle w:val="Para 33"/>
        <w:keepLines w:val="on"/>
      </w:pPr>
      <w:r>
        <w:t>Sự thay đổi liên tục mà các công ty này trải qua cũng khiến chúng trở thành những ứng viên tốt hơn nhiều cho việc dịch chuyển rủi ro (risk shifting). Trong trường hợp này, tác động tiêu cực (của tỷ lệ chiết khấu cao hơn) có thể bù đắp nhiều hơn cho tác động tích cực của giá trị kinh tế gia tăng cao hơn.</w:t>
      </w:r>
    </w:p>
    <w:p>
      <w:pPr>
        <w:pStyle w:val="Para 11"/>
      </w:pPr>
      <w:r>
        <w:t xml:space="preserve"> </w:t>
      </w:r>
    </w:p>
    <w:p>
      <w:bookmarkStart w:id="6569" w:name="EVA_xls__This_dataset_on_the_web_1"/>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297"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6569"/>
    </w:p>
    <w:p>
      <w:pPr>
        <w:pStyle w:val="Para 31"/>
        <w:keepLines w:val="on"/>
      </w:pPr>
      <w:r>
        <w:t>EVA.xls: Bộ dữ liệu này trên web tóm tắt giá trị kinh tế gia tăng theo nhóm ngành cho Hoa Kỳ</w:t>
      </w:r>
    </w:p>
    <w:p>
      <w:pPr>
        <w:pStyle w:val="Para 03"/>
        <w:keepLines w:val="on"/>
      </w:pPr>
      <w:r>
        <w:t>.</w:t>
      </w:r>
    </w:p>
    <w:p>
      <w:bookmarkStart w:id="6570" w:name="Equity_Economic_Value_Added"/>
      <w:bookmarkStart w:id="6571" w:name="Equity_Economic_Value_Added__Whe"/>
      <w:pPr>
        <w:keepNext/>
        <w:pStyle w:val="Heading 3"/>
        <w:keepLines w:val="on"/>
      </w:pPr>
      <w:r>
        <w:t>Giá trị kinh tế gia tăng cho vốn chủ sở hữu (Equity Economic Value Added)</w:t>
      </w:r>
      <w:bookmarkEnd w:id="6570"/>
      <w:bookmarkEnd w:id="6571"/>
    </w:p>
    <w:p>
      <w:pPr>
        <w:pStyle w:val="Para 03"/>
      </w:pPr>
      <w:r>
        <w:t>Trong khi EVA thường được tính bằng tổng vốn, nó có thể dễ dàng được điều chỉnh để trở thành một thước đo cho vốn chủ sở hữu:</w:t>
      </w:r>
    </w:p>
    <w:p>
      <w:bookmarkStart w:id="6572" w:name="EquityEVA_Returnonequity___Costo"/>
      <w:pPr>
        <w:keepNext/>
        <w:pStyle w:val="Para 09"/>
        <w:keepLines w:val="on"/>
      </w:pPr>
      <w:r>
        <w:t>EVAchovốnchủsởhữu=Lợinhuậntrênvốnchủsởhữu−ChiphívốnchủsởhữuVốnchủsởhữuđầutưvàodựánhoặccôngty=Thunhập ròng−Chiphívốnchủsởhữu×Vốnchủsởhữuđầutư</w:t>
      </w:r>
      <w:bookmarkEnd w:id="6572"/>
    </w:p>
    <w:p>
      <w:pPr>
        <w:pStyle w:val="Para 03"/>
      </w:pPr>
      <w:r>
        <w:t>Một lần nữa, một công ty đạt EVA vốn chủ sở hữu dương đang tạo ra giá trị cho cổ đông của mình, trong khi một công ty có EVA vốn chủ sở hữu âm đang phá hủy giá trị của cổ đông.</w:t>
      </w:r>
    </w:p>
    <w:p>
      <w:pPr>
        <w:pStyle w:val="Para 03"/>
      </w:pPr>
      <w:r>
        <w:t>Tại sao một công ty có thể sử dụng thước đo này thay vì thước đo truyền thống? Chương 21, khi xem xét các công ty dịch vụ tài chính, đã lưu ý rằng việc xác định nợ (và do đó, vốn) có thể khiến bạn gặp phải các vấn đề đo lường, vì phần lớn công ty có thể được phân loại là nợ. Do đó, người ta lập luận rằng các công ty dịch vụ tài chính nên được định giá bằng các mô hình định giá vốn chủ sở hữu và các bội số. Mở rộng lập luận đó sang giá trị kinh tế gia tăng cho thấy EVA vốn chủ sở hữu là một thước đo hiệu quả tốt hơn nhiều cho các công ty dịch vụ tài chính so với thước đo EVA truyền thống.</w:t>
      </w:r>
    </w:p>
    <w:p>
      <w:pPr>
        <w:pStyle w:val="Para 03"/>
      </w:pPr>
      <w:r>
        <w:t>Cần phải nói thêm rằng phần lớn hoặc tất cả các vấn đề được nêu ra trong bối cảnh thước đo EVA truyền thống cũng ảnh hưởng đến thước đo EVA vốn chủ sở hữu. Các ngân hàng và công ty bảo hiểm có thể chơi các trò chơi về vốn đầu tư, tăng trưởng và rủi ro để tăng EVA vốn chủ sở hữu giống như các công ty khác có thể làm với EVA truyền thống.</w:t>
      </w:r>
    </w:p>
    <w:p>
      <w:bookmarkStart w:id="6574" w:name="Cash_Flow_Return_on_Investment_1"/>
      <w:bookmarkStart w:id="6575" w:name="Cash_Flow_Return_on_Investment"/>
      <w:pPr>
        <w:keepNext/>
        <w:pStyle w:val="Heading 2"/>
        <w:keepLines w:val="on"/>
      </w:pPr>
      <w:r>
        <w:t>Tỷ suất sinh lời trên vốn đầu tư bằng dòng tiền (Cash Flow Return on Investment)</w:t>
      </w:r>
      <w:bookmarkEnd w:id="6574"/>
      <w:bookmarkEnd w:id="6575"/>
    </w:p>
    <w:p>
      <w:pPr>
        <w:pStyle w:val="Para 03"/>
      </w:pPr>
      <w:r>
        <w:t>Tỷ suất sinh lời trên vốn đầu tư bằng dòng tiền (CFROI) của một công ty là tỷ suất hoàn vốn nội bộ (internal rate of return) trên các khoản đầu tư hiện hữu, dựa trên dòng tiền thực (khác với danh nghĩa). Nói chung, nó nên được so sánh với chi phí vốn thực để đưa ra đánh giá về chất lượng của các khoản đầu tư này.</w:t>
      </w:r>
    </w:p>
    <w:p>
      <w:bookmarkStart w:id="6576" w:name="Calculating_CFROI__The_cash_flow"/>
      <w:bookmarkStart w:id="6577" w:name="Calculating_CFROI"/>
      <w:pPr>
        <w:keepNext/>
        <w:pStyle w:val="Heading 3"/>
        <w:keepLines w:val="on"/>
      </w:pPr>
      <w:r>
        <w:t>Tính toán CFROI</w:t>
      </w:r>
      <w:bookmarkEnd w:id="6576"/>
      <w:bookmarkEnd w:id="6577"/>
    </w:p>
    <w:p>
      <w:pPr>
        <w:pStyle w:val="Para 03"/>
      </w:pPr>
      <w:r>
        <w:t>Tỷ suất sinh lời trên vốn đầu tư bằng dòng tiền của một công ty được tính bằng bốn đầu vào. Đầu tiên là tổng vốn đầu tư (gross investment - GI) mà công ty có trong các tài sản hiện hữu, thu được bằng cách cộng lại khấu hao lũy kế và các điều chỉnh lạm phát vào giá trị sổ sách. Đầu vào thứ hai là tổng dòng tiền (gross cash flow - GCF) kiếm được trong năm hiện tại trên tài sản đó, thường được định nghĩa là tổng thu nhập hoạt động sau thuế của một công ty và các khoản chi phí phi tiền mặt trừ vào thu nhập, chẳng hạn như khấu hao và phân bổ. Đầu vào thứ ba là tuổi thọ kỳ vọng của tài sản (n) hiện hữu tại thời điểm đầu tư ban đầu, thay đổi tùy theo từng ngành nhưng phản ánh tuổi thọ sinh lời của các khoản đầu tư đang xét. Giá trị thanh lý kỳ vọng (salvage value - SV) của tài sản vào cuối tuổi thọ này, tính bằng đô la hiện tại, là đầu vào cuối cùng. Giá trị này thường được giả định là phần của khoản đầu tư ban đầu, chẳng hạn như đất đai và nhà xưởng, không bị khấu hao, được điều chỉnh theo giá trị đô la hiện tại. CFROI là tỷ suất hoàn vốn nội bộ của các dòng tiền này (tức là tỷ lệ chiết khấu làm cho giá trị hiện tại ròng của tổng dòng tiền và giá trị thanh lý bằng với tổng vốn đầu tư), và do đó nó có thể được xem như một tỷ suất hoàn vốn nội bộ tổng hợp tính theo giá trị đô la hiện tại.</w:t>
      </w:r>
    </w:p>
    <w:p>
      <w:bookmarkStart w:id="6578" w:name="UF1_2"/>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00300" cy="533400"/>
            <wp:effectExtent l="0" r="0" t="0" b="0"/>
            <wp:wrapTopAndBottom/>
            <wp:docPr id="298" name="c32unf001.png" descr="Diagram illustrates how C F R O I gives an insight about a company’s performance based on company’s cash flows, salvage value, gross income."/>
            <wp:cNvGraphicFramePr>
              <a:graphicFrameLocks noChangeAspect="1"/>
            </wp:cNvGraphicFramePr>
            <a:graphic>
              <a:graphicData uri="http://schemas.openxmlformats.org/drawingml/2006/picture">
                <pic:pic>
                  <pic:nvPicPr>
                    <pic:cNvPr id="0" name="c32unf001.png" descr="Diagram illustrates how C F R O I gives an insight about a company’s performance based on company’s cash flows, salvage value, gross income."/>
                    <pic:cNvPicPr/>
                  </pic:nvPicPr>
                  <pic:blipFill>
                    <a:blip r:embed="rId214"/>
                    <a:stretch>
                      <a:fillRect/>
                    </a:stretch>
                  </pic:blipFill>
                  <pic:spPr>
                    <a:xfrm>
                      <a:off x="0" y="0"/>
                      <a:ext cx="2400300" cy="533400"/>
                    </a:xfrm>
                    <a:prstGeom prst="rect">
                      <a:avLst/>
                    </a:prstGeom>
                  </pic:spPr>
                </pic:pic>
              </a:graphicData>
            </a:graphic>
          </wp:anchor>
        </w:drawing>
      </w:r>
      <w:bookmarkEnd w:id="6578"/>
    </w:p>
    <w:p>
      <w:pPr>
        <w:pStyle w:val="Para 03"/>
      </w:pPr>
      <w:r>
        <w:t>trong đó n là tuổi thọ của tài sản tại thời điểm mua ban đầu.</w:t>
      </w:r>
    </w:p>
    <w:p>
      <w:pPr>
        <w:pStyle w:val="Para 03"/>
      </w:pPr>
      <w:r>
        <w:t>Một công thức thay thế của CFROI cho phép trích lập một niên kim để trang trải chi phí thay thế kỳ vọng của tài sản vào cuối vòng đời dự án. Niên kim này được gọi là khấu hao kinh tế (economic depreciation), và được tính như sau:</w:t>
      </w:r>
    </w:p>
    <w:p>
      <w:bookmarkStart w:id="6580" w:name="Economicdepreciation_Replacement"/>
      <w:pPr>
        <w:keepNext/>
        <w:pStyle w:val="Para 09"/>
        <w:keepLines w:val="on"/>
      </w:pPr>
      <w:r>
        <w:t>Khấuhaokinh tế=Chiphíthaythếtínhbằngđôlahiệntạikc 1+kcn−1</w:t>
      </w:r>
      <w:bookmarkEnd w:id="6580"/>
    </w:p>
    <w:p>
      <w:pPr>
        <w:pStyle w:val="Para 03"/>
      </w:pPr>
      <w:r>
        <w:t>trong đó n là tuổi thọ kỳ vọng của tài sản, kc là chi phí vốn, và chi phí thay thế kỳ vọng của tài sản được định nghĩa theo giá trị đô la hiện tại là chênh lệch giữa tổng vốn đầu tư và giá trị thanh lý. CFROI cho một công ty hoặc một bộ phận sau đó có thể được viết như sau:</w:t>
      </w:r>
    </w:p>
    <w:p>
      <w:bookmarkStart w:id="6581" w:name="CFROI_Grosscashflow___Economicde"/>
      <w:pPr>
        <w:keepNext/>
        <w:pStyle w:val="Para 09"/>
        <w:keepLines w:val="on"/>
      </w:pPr>
      <w:r>
        <w:t>CFROI=Lợi nhuận gộp−Khấu hao kinh tếĐầu tư gộp</w:t>
      </w:r>
      <w:bookmarkEnd w:id="6581"/>
    </w:p>
    <w:p>
      <w:pPr>
        <w:pStyle w:val="Para 03"/>
      </w:pPr>
      <w:r>
        <w:t>Ví dụ, giả sử bạn có tài sản hiện hữu với vốn đầu tư gộp là 2.431 triệu đô la, dòng tiền gộp là 390 triệu đô la, giá trị thanh lý kỳ vọng (tính theo giá trị đô la hiện tại) là 607,8 triệu đô la, và vòng đời 10 năm.</w:t>
      </w:r>
    </w:p>
    <w:p>
      <w:bookmarkStart w:id="6582" w:name="UF2_2"/>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49500" cy="520700"/>
            <wp:effectExtent l="0" r="0" t="0" b="0"/>
            <wp:wrapTopAndBottom/>
            <wp:docPr id="299" name="c32unf002.png" descr="Diagram illustrates how C F R O I gives insight about company’s performance based on I R R for company’s cash flow with initial investment."/>
            <wp:cNvGraphicFramePr>
              <a:graphicFrameLocks noChangeAspect="1"/>
            </wp:cNvGraphicFramePr>
            <a:graphic>
              <a:graphicData uri="http://schemas.openxmlformats.org/drawingml/2006/picture">
                <pic:pic>
                  <pic:nvPicPr>
                    <pic:cNvPr id="0" name="c32unf002.png" descr="Diagram illustrates how C F R O I gives insight about company’s performance based on I R R for company’s cash flow with initial investment."/>
                    <pic:cNvPicPr/>
                  </pic:nvPicPr>
                  <pic:blipFill>
                    <a:blip r:embed="rId215"/>
                    <a:stretch>
                      <a:fillRect/>
                    </a:stretch>
                  </pic:blipFill>
                  <pic:spPr>
                    <a:xfrm>
                      <a:off x="0" y="0"/>
                      <a:ext cx="2349500" cy="520700"/>
                    </a:xfrm>
                    <a:prstGeom prst="rect">
                      <a:avLst/>
                    </a:prstGeom>
                  </pic:spPr>
                </pic:pic>
              </a:graphicData>
            </a:graphic>
          </wp:anchor>
        </w:drawing>
      </w:r>
      <w:bookmarkEnd w:id="6582"/>
    </w:p>
    <w:p>
      <w:pPr>
        <w:pStyle w:val="Para 03"/>
      </w:pPr>
      <w:r>
        <w:t>Thước đo CFROI theo cách thông thường là 11,71 phần trăm, và chi phí vốn thực là 8 phần trăm. Ước tính theo cách tiếp cận thay thế được tính như sau:</w:t>
      </w:r>
    </w:p>
    <w:p>
      <w:bookmarkStart w:id="6583" w:name="Economic_depreciation_2_431_mill"/>
      <w:pPr>
        <w:keepNext/>
        <w:pStyle w:val="Para 09"/>
        <w:keepLines w:val="on"/>
      </w:pPr>
      <w:r>
        <w:t>Khấu hao kinh tế=2.431 triệu-607,8 triệu.081.0810-1=$125,86 triệuCFROI=390,00-125,862431,00=10,87%</w:t>
      </w:r>
      <w:bookmarkEnd w:id="6583"/>
    </w:p>
    <w:p>
      <w:pPr>
        <w:pStyle w:val="Para 03"/>
      </w:pPr>
      <w:r>
        <w:t>Sự khác biệt trong giả định về tỷ lệ tái đầu tư giải thích cho sự khác biệt trong CFROI ước tính bằng hai phương pháp. Trong cách tiếp cận thứ nhất, các dòng tiền trung gian được tái đầu tư ở tỷ suất hoàn vốn nội bộ, trong khi ở cách thứ hai, ít nhất phần dòng tiền được dành riêng cho việc thay thế tài sản được tái đầu tư ở chi phí vốn. Thực tế, nếu chúng ta ước tính khấu hao kinh tế bằng tỷ suất hoàn vốn nội bộ là 11,71 phần trăm, thì hai cách tiếp cận sẽ cho kết quả giống hệt nhau.8</w:t>
      </w:r>
    </w:p>
    <w:p>
      <w:pPr>
        <w:pStyle w:val="Para 20"/>
      </w:pPr>
      <w:r>
        <w:rPr>
          <w:rStyle w:val="Text26"/>
        </w:rPr>
        <w:bookmarkStart w:id="6585" w:name="Page_1025"/>
        <w:t/>
        <w:bookmarkEnd w:id="6585"/>
      </w:r>
      <w:r>
        <w:t xml:space="preserve"> </w:t>
      </w:r>
    </w:p>
    <w:p>
      <w:bookmarkStart w:id="6586" w:name="Cash_Flow_Return_on_Investment_2"/>
      <w:bookmarkStart w:id="6587" w:name="Cash_Flow_Return_on_Investment_3"/>
      <w:pPr>
        <w:keepNext/>
        <w:pStyle w:val="Heading 3"/>
        <w:keepLines w:val="on"/>
      </w:pPr>
      <w:r>
        <w:t>Tỷ suất Hoàn vốn trên Vốn Đầu tư, Tỷ suất Hoàn vốn Nội bộ, và Giá trị Dòng tiền Chiết khấu</w:t>
      </w:r>
      <w:bookmarkEnd w:id="6586"/>
      <w:bookmarkEnd w:id="6587"/>
    </w:p>
    <w:p>
      <w:pPr>
        <w:pStyle w:val="Para 03"/>
      </w:pPr>
      <w:r>
        <w:t>Nếu giá trị hiện tại ròng (net present value) là nguồn gốc cho cách tiếp cận giá trị kinh tế gia tăng (economic value-added) nhằm nâng cao giá trị, thì tỷ suất hoàn vốn nội bộ (internal rate of return) là nền tảng cho cách tiếp cận CFROI. Trong phân tích đầu tư, tỷ suất hoàn vốn nội bộ của một dự án được tính bằng vốn đầu tư ban đầu của dự án và tất cả dòng tiền trong suốt vòng đời dự án:</w:t>
      </w:r>
    </w:p>
    <w:p>
      <w:bookmarkStart w:id="6588" w:name="UF3_2"/>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35200" cy="368300"/>
            <wp:effectExtent l="0" r="0" t="0" b="0"/>
            <wp:wrapTopAndBottom/>
            <wp:docPr id="300" name="c32unf003.png" descr="Diagram illustrates the computation of I R R using initial investment, after-tax cash flow, and salvage value."/>
            <wp:cNvGraphicFramePr>
              <a:graphicFrameLocks noChangeAspect="1"/>
            </wp:cNvGraphicFramePr>
            <a:graphic>
              <a:graphicData uri="http://schemas.openxmlformats.org/drawingml/2006/picture">
                <pic:pic>
                  <pic:nvPicPr>
                    <pic:cNvPr id="0" name="c32unf003.png" descr="Diagram illustrates the computation of I R R using initial investment, after-tax cash flow, and salvage value."/>
                    <pic:cNvPicPr/>
                  </pic:nvPicPr>
                  <pic:blipFill>
                    <a:blip r:embed="rId216"/>
                    <a:stretch>
                      <a:fillRect/>
                    </a:stretch>
                  </pic:blipFill>
                  <pic:spPr>
                    <a:xfrm>
                      <a:off x="0" y="0"/>
                      <a:ext cx="2235200" cy="368300"/>
                    </a:xfrm>
                    <a:prstGeom prst="rect">
                      <a:avLst/>
                    </a:prstGeom>
                  </pic:spPr>
                </pic:pic>
              </a:graphicData>
            </a:graphic>
          </wp:anchor>
        </w:drawing>
      </w:r>
      <w:bookmarkEnd w:id="6588"/>
    </w:p>
    <w:p>
      <w:pPr>
        <w:pStyle w:val="Para 03"/>
      </w:pPr>
      <w:r>
        <w:t>trong đó ATCF là dòng tiền sau thuế của dự án, và SV là giá trị thanh lý kỳ vọng của tài sản dự án. Phân tích này có thể được thực hiện hoàn toàn theo danh nghĩa, trong trường hợp đó tỷ suất hoàn vốn nội bộ là IRR danh nghĩa và được so sánh với chi phí vốn danh nghĩa, hoặc theo thực tế, trong trường hợp đó nó là IRR thực và được so sánh với chi phí vốn thực.</w:t>
      </w:r>
    </w:p>
    <w:p>
      <w:pPr>
        <w:pStyle w:val="Para 03"/>
      </w:pPr>
      <w:r>
        <w:t>Thoạt nhìn, CFROI có vẻ làm điều tương tự. Nó sử dụng vốn đầu tư gộp vào dự án (tính theo đô la hiện tại) như tương đương với vốn đầu tư ban đầu, giả định rằng dòng tiền gộp tính theo đô la hiện tại được duy trì trong suốt vòng đời dự án và tính toán tỷ suất hoàn vốn nội bộ thực. Tuy nhiên, có một số khác biệt đáng kể.</w:t>
      </w:r>
    </w:p>
    <w:p>
      <w:pPr>
        <w:pStyle w:val="Para 03"/>
      </w:pPr>
      <w:r>
        <w:t>Tỷ suất hoàn vốn nội bộ không yêu cầu dòng tiền sau thuế phải không đổi trong suốt vòng đời dự án, ngay cả khi tính theo thực tế. Cách tiếp cận CFROI giả định rằng dòng tiền thực trên tài sản không thay đổi theo thời gian. Đây có thể là giả định hợp lý cho các khoản đầu tư trong lĩnh vực trưởng thành nhưng sẽ đánh giá thấp lợi nhuận dự án nếu có tăng trưởng thực. Trong những trường hợp này, cách tiếp cận CFROI phải được điều chỉnh để cho phép tăng trưởng.</w:t>
      </w:r>
    </w:p>
    <w:p>
      <w:pPr>
        <w:pStyle w:val="Para 03"/>
      </w:pPr>
      <w:r>
        <w:t>Sự khác biệt thứ hai là tỷ suất hoàn vốn nội bộ của một dự án hoặc tài sản dựa trên dòng tiền tương lai gia tăng. Nó không xem xét các dòng tiền đã xảy ra, vì những dòng tiền này được coi là "đã chìm" (sunk). Ngược lại, CFROI cố gắng tái cấu trúc một dự án hoặc tài sản, sử dụng cả dòng tiền đã xảy ra và dòng tiền chưa xảy ra. Để minh họa, hãy xem xét dự án được mô tả trong phần trước. Tại thời điểm đầu tư ban đầu, giả sử các thông số đầu vào về vốn đầu tư ban đầu, dòng tiền sau thuế và giá trị thanh lý không thay đổi, cả tỷ suất hoàn vốn nội bộ và CFROI của dự án này đều sẽ là 11,71 phần trăm. Tuy nhiên, CFROI đang được tính ba năm sau khi dự án bắt đầu và vẫn ở mức 11,71 phần trăm vì không có thông số đầu vào ban đầu nào thay đổi. IRR của dự án này sẽ thay đổi. Nó sẽ dựa trên giá trị thị trường hiện tại của tài sản, dòng tiền kỳ vọng trong vòng đời còn lại của tài sản, và vòng đời bảy năm. Do đó, nếu giá trị thị trường của tài sản đã tăng lên 2,5 tỷ đô la, tỷ suất hoàn vốn nội bộ của dự án này sẽ được tính chỉ là 6,80 phần trăm.</w:t>
      </w:r>
    </w:p>
    <w:p>
      <w:bookmarkStart w:id="6589" w:name="UF4_1"/>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247900" cy="330200"/>
            <wp:effectExtent l="0" r="0" t="0" b="0"/>
            <wp:wrapTopAndBottom/>
            <wp:docPr id="301" name="c32unf004.png" descr="Diagram illustrates computation of I R R using current market value of asset, cash flows over remaining life of asset, life of 7 years."/>
            <wp:cNvGraphicFramePr>
              <a:graphicFrameLocks noChangeAspect="1"/>
            </wp:cNvGraphicFramePr>
            <a:graphic>
              <a:graphicData uri="http://schemas.openxmlformats.org/drawingml/2006/picture">
                <pic:pic>
                  <pic:nvPicPr>
                    <pic:cNvPr id="0" name="c32unf004.png" descr="Diagram illustrates computation of I R R using current market value of asset, cash flows over remaining life of asset, life of 7 years."/>
                    <pic:cNvPicPr/>
                  </pic:nvPicPr>
                  <pic:blipFill>
                    <a:blip r:embed="rId217"/>
                    <a:stretch>
                      <a:fillRect/>
                    </a:stretch>
                  </pic:blipFill>
                  <pic:spPr>
                    <a:xfrm>
                      <a:off x="0" y="0"/>
                      <a:ext cx="2247900" cy="330200"/>
                    </a:xfrm>
                    <a:prstGeom prst="rect">
                      <a:avLst/>
                    </a:prstGeom>
                  </pic:spPr>
                </pic:pic>
              </a:graphicData>
            </a:graphic>
          </wp:anchor>
        </w:drawing>
      </w:r>
      <w:bookmarkEnd w:id="6589"/>
    </w:p>
    <w:p>
      <w:pPr>
        <w:pStyle w:val="Para 03"/>
      </w:pPr>
      <w:r>
        <w:t>Với chi phí vốn thực là 8 phần trăm, điều này có nghĩa là CFROI lớn hơn chi phí vốn, trong khi tỷ suất hoàn vốn nội bộ lại thấp hơn. Tại sao có sự khác biệt giữa hai thước đo này, và hàm ý là gì? Lý do cho sự khác biệt là IRR hoàn toàn dựa trên dòng tiền tương lai kỳ vọng, trong khi CFROI thì không. CFROI vượt chi phí vốn được xem là dấu hiệu cho thấy một công ty đang triển khai tài sản của mình tốt. Nếu IRR thấp hơn chi phí vốn, cách diễn giải đó là sai, vì chủ sở hữu công ty sẽ có lợi hơn nếu bán tài sản và nhận giá trị thị trường của nó thay vì tiếp tục vận hành.</w:t>
      </w:r>
    </w:p>
    <w:p>
      <w:pPr>
        <w:pStyle w:val="Para 03"/>
      </w:pPr>
      <w:r>
        <w:t>Để liên kết tỷ suất hoàn vốn trên vốn đầu tư với giá trị công ty, hãy bắt đầu với một mô hình dòng tiền chiết khấu đơn giản cho một công ty trong giai đoạn tăng trưởng ổn định:</w:t>
      </w:r>
    </w:p>
    <w:p>
      <w:bookmarkStart w:id="6591" w:name="Firmvalue_ExpectedFCFFnextyearkc"/>
      <w:pPr>
        <w:keepNext/>
        <w:pStyle w:val="Para 09"/>
        <w:keepLines w:val="on"/>
      </w:pPr>
      <w:r>
        <w:t>Giátrịcôngty=FCFFkỳvọngnămtớikc−Tỷlệtăngtrưởngổnđịnh</w:t>
      </w:r>
      <w:bookmarkEnd w:id="6591"/>
    </w:p>
    <w:p>
      <w:pPr>
        <w:pStyle w:val="Para 03"/>
      </w:pPr>
      <w:r>
        <w:t>trong đó FCFF là dòng tiền tự do kỳ vọng của công ty, kc là chi phí vốn, và gn là tỷ lệ tăng trưởng ổn định. Lưu ý rằng điều này có thể được viết lại, một cách gần đúng, theo CFROI như sau:</w:t>
      </w:r>
    </w:p>
    <w:p>
      <w:bookmarkStart w:id="6592" w:name="Firmvalue_CFROIxGI___DA1___t___C"/>
      <w:pPr>
        <w:keepNext/>
        <w:pStyle w:val="Para 09"/>
        <w:keepLines w:val="on"/>
      </w:pPr>
      <w:r>
        <w:t>Giátrịcôngty=CFROI×GI−DA1−t−CX−DA−ΔVốnluânchuyểnkc−Tỷlệtăngtrưởngổnđịnh</w:t>
      </w:r>
      <w:bookmarkEnd w:id="6592"/>
    </w:p>
    <w:p>
      <w:pPr>
        <w:pStyle w:val="Para 03"/>
      </w:pPr>
      <w:r>
        <w:t>trong đó CFROI là tỷ suất hoàn vốn trên vốn đầu tư, GI là vốn đầu tư gộp, DA là khấu hao và phân bổ, CX là chi tiêu vốn và ΔWC là thay đổi vốn luân chuyển. Để minh họa, hãy xem xét một công ty có CFROI là 30%, vốn đầu tư gộp là 100 triệu đô la, chi tiêu vốn là 15 triệu đô la, khấu hao là 10 triệu đô la, và không có yêu cầu vốn luân chuyển. Nếu chúng ta giả định chi phí vốn là 10 phần trăm, thuế suất 40 phần trăm, và tỷ lệ tăng trưởng ổn định 5 phần trăm, nó sẽ được định giá như sau:</w:t>
      </w:r>
    </w:p>
    <w:p>
      <w:bookmarkStart w:id="6593" w:name="Firmvalue__30x100___101____4___1"/>
      <w:pPr>
        <w:keepNext/>
        <w:pStyle w:val="Para 09"/>
        <w:keepLines w:val="on"/>
      </w:pPr>
      <w:r>
        <w:t>Giátrịcôngty=.30×100−101−.4−15−10−0.10−.05=$140triệu</w:t>
      </w:r>
      <w:bookmarkEnd w:id="6593"/>
    </w:p>
    <w:p>
      <w:pPr>
        <w:pStyle w:val="Para 03"/>
      </w:pPr>
      <w:r>
        <w:t>Tuy nhiên, điều quan trọng hơn cơ chế tính toán là thực tế rằng giá trị công ty, dù là một hàm của CFROI, cũng là một hàm của các biến số khác trong phương trình—vốn đầu tư gộp, thuế suất, tỷ lệ tăng trưởng, chi phí vốn, và nhu cầu tái đầu tư của công ty.</w:t>
      </w:r>
    </w:p>
    <w:p>
      <w:pPr>
        <w:pStyle w:val="Para 03"/>
      </w:pPr>
      <w:r>
        <w:t>Một lần nữa, những người sử dụng CFROI thành thạo nhận ra rằng giá trị đến từ CFROI không chỉ trên tài sản hiện hữu mà còn từ các khoản đầu tư trong tương lai. Thực tế, Holt Associates, một trong những người ủng hộ hàng đầu của CFROI, cho phép một yếu tố suy giảm (fade factor) trong CFROI, trong đó CFROI hiện tại suy giảm dần về chi phí vốn thực theo thời gian. Yếu tố suy giảm được ước tính theo thực nghiệm bằng cách xem xét các công ty trong các nhóm CFROI khác nhau và theo dõi chúng theo thời gian. Do đó, một công ty có CFROI hiện tại là 20 phần trăm, và chi phí vốn thực là 8 phần trăm sẽ được dự báo có CFROI thấp hơn theo thời gian. Giá trị của công ty, trong định dạng phức tạp hơn này, sau đó có thể được viết dưới dạng tổng của những điều sau:</w:t>
      </w:r>
    </w:p>
    <w:p>
      <w:pPr>
        <w:numPr>
          <w:ilvl w:val="0"/>
          <w:numId w:val="393"/>
        </w:numPr>
        <w:pStyle w:val="Para 01"/>
      </w:pPr>
      <w:r>
        <w:t>Giá trị hiện tại của dòng tiền từ tài sản hiện hữu trong vòng đời còn lại của chúng, có thể được viết là:</w:t>
      </w:r>
    </w:p>
    <w:p>
      <w:bookmarkStart w:id="6594" w:name="___t_1t_nCFROIaipxGIaip1_kct"/>
      <w:pPr>
        <w:keepNext/>
        <w:pStyle w:val="Para 09"/>
        <w:keepLines w:val="on"/>
      </w:pPr>
      <w:r>
        <w:t>∑t=1t=nCFROIaip×GIaip1+kct</w:t>
      </w:r>
      <w:bookmarkEnd w:id="6594"/>
    </w:p>
    <w:p>
      <w:pPr>
        <w:pStyle w:val="Para 01"/>
      </w:pPr>
      <w:r>
        <w:t>trong đó CFROIaip là CFROI trên tài sản hiện hữu, GIaip là vốn đầu tư gộp vào tài sản hiện hữu, và kc là chi phí vốn thực.</w:t>
      </w:r>
    </w:p>
    <w:p>
      <w:pPr>
        <w:numPr>
          <w:ilvl w:val="0"/>
          <w:numId w:val="393"/>
        </w:numPr>
        <w:pStyle w:val="Para 01"/>
      </w:pPr>
      <w:r>
        <w:t>Giá trị hiện tại của dòng tiền vượt trội từ các khoản đầu tư trong tương lai, có thể được viết theo thực tế là</w:t>
      </w:r>
    </w:p>
    <w:p>
      <w:bookmarkStart w:id="6596" w:name="___t_1t____CFROIt_NIxDGIt_1_kc_t"/>
      <w:pPr>
        <w:keepNext/>
        <w:pStyle w:val="Para 09"/>
        <w:keepLines w:val="on"/>
      </w:pPr>
      <w:r>
        <w:t>∑t=1t=∞CFROIt,NI×ΔGIt(1+kc)t−ΔGIt</w:t>
      </w:r>
      <w:bookmarkEnd w:id="6596"/>
    </w:p>
    <w:p>
      <w:pPr>
        <w:pStyle w:val="Para 01"/>
      </w:pPr>
      <w:r>
        <w:t>trong đó CFROIt,NI là CFROI trên các khoản đầu tư mới được thực hiện trong năm t, và ΔGIt là khoản đầu tư mới được thực hiện trong năm t. Lưu ý rằng nếu CFROIt,NI = kc, giá trị hiện tại này sẽ bằng không.</w:t>
      </w:r>
    </w:p>
    <w:p>
      <w:pPr>
        <w:pStyle w:val="Para 03"/>
      </w:pPr>
      <w:r>
        <w:t>Như vậy, giá trị của một công ty sẽ phụ thuộc vào CFROI mà nó kiếm được trên tài sản hiện hữu, cùng với cả mức độ đột ngột lẫn tốc độ mà CFROI này suy giảm dần về phía chi phí vốn. Do đó, một công ty có thể gia tăng giá trị của mình bằng cách thực hiện một trong hai điều sau:</w:t>
      </w:r>
    </w:p>
    <w:p>
      <w:pPr>
        <w:numPr>
          <w:ilvl w:val="0"/>
          <w:numId w:val="394"/>
        </w:numPr>
        <w:pStyle w:val="Para 01"/>
      </w:pPr>
      <w:r>
        <w:t>Tăng CFROI từ tài sản hiện hữu với một mức tổng đầu tư cho trước.</w:t>
      </w:r>
    </w:p>
    <w:p>
      <w:pPr>
        <w:numPr>
          <w:ilvl w:val="0"/>
          <w:numId w:val="394"/>
        </w:numPr>
        <w:pStyle w:val="Para 01"/>
      </w:pPr>
      <w:r>
        <w:t>Giảm tốc độ suy giảm của CFROI về phía chi phí vốn thực.</w:t>
      </w:r>
    </w:p>
    <w:p>
      <w:pPr>
        <w:pStyle w:val="Para 03"/>
      </w:pPr>
      <w:r>
        <w:t>Lưu ý rằng điều này không khác gì so với phân tích trước đó của chúng ta về giá trị công ty theo phương pháp chiết khấu dòng tiền (discounted cash flow) trong Chương 31, xét về các dòng tiền từ những khoản đầu tư hiện có (tăng CFROI hiện tại), độ dài của giai đoạn tăng trưởng cao (giảm tốc độ suy giảm), và tốc độ tăng trưởng trong giai đoạn tăng trưởng (giữ cho lợi nhuận vượt trội không rơi quá dốc).</w:t>
      </w:r>
    </w:p>
    <w:p>
      <w:pPr>
        <w:pStyle w:val="Para 11"/>
      </w:pPr>
      <w:r>
        <w:t xml:space="preserve"> </w:t>
      </w:r>
    </w:p>
    <w:p>
      <w:bookmarkStart w:id="6597" w:name="cfroi_xls__This_spreadsheet_allo"/>
      <w:pPr>
        <w:pStyle w:val="Para 30"/>
        <w:keepLines w:val="on"/>
      </w:pPr>
      <w:r>
        <w:drawing>
          <wp:anchor distL="0" distR="0" distT="0" distB="0" simplePos="0" relativeHeight="1" behindDoc="0" locked="0" layoutInCell="1" allowOverlap="1">
            <wp:simplePos x="0" y="0"/>
            <wp:positionH relativeFrom="margin">
              <wp:align>center</wp:align>
            </wp:positionH>
            <wp:positionV relativeFrom="line">
              <wp:align>top</wp:align>
            </wp:positionV>
            <wp:extent cx="152400" cy="152400"/>
            <wp:effectExtent l="0" r="0" t="0" b="0"/>
            <wp:wrapTopAndBottom/>
            <wp:docPr id="302" name="c03uf001.png" descr="c03uf001.png"/>
            <wp:cNvGraphicFramePr>
              <a:graphicFrameLocks noChangeAspect="1"/>
            </wp:cNvGraphicFramePr>
            <a:graphic>
              <a:graphicData uri="http://schemas.openxmlformats.org/drawingml/2006/picture">
                <pic:pic>
                  <pic:nvPicPr>
                    <pic:cNvPr id="0" name="c03uf001.png" descr="c03uf001.png"/>
                    <pic:cNvPicPr/>
                  </pic:nvPicPr>
                  <pic:blipFill>
                    <a:blip r:embed="rId11"/>
                    <a:stretch>
                      <a:fillRect/>
                    </a:stretch>
                  </pic:blipFill>
                  <pic:spPr>
                    <a:xfrm>
                      <a:off x="0" y="0"/>
                      <a:ext cx="152400" cy="152400"/>
                    </a:xfrm>
                    <a:prstGeom prst="rect">
                      <a:avLst/>
                    </a:prstGeom>
                  </pic:spPr>
                </pic:pic>
              </a:graphicData>
            </a:graphic>
          </wp:anchor>
        </w:drawing>
      </w:r>
      <w:bookmarkEnd w:id="6597"/>
    </w:p>
    <w:p>
      <w:pPr>
        <w:pStyle w:val="Para 31"/>
        <w:keepLines w:val="on"/>
      </w:pPr>
      <w:r>
        <w:t>cfroi.xls: Bảng tính này cho phép bạn ước tính tỷ suất sinh lời trên dòng tiền đầu tư (cash flow return on investment) cho một công ty hoặc một dự án.</w:t>
      </w:r>
    </w:p>
    <w:p>
      <w:bookmarkStart w:id="6598" w:name="CFROI_and_Firm_Value__Potential_1"/>
      <w:bookmarkStart w:id="6599" w:name="CFROI_and_Firm_Value__Potential"/>
      <w:pPr>
        <w:keepNext/>
        <w:pStyle w:val="Heading 3"/>
        <w:keepLines w:val="on"/>
      </w:pPr>
      <w:r>
        <w:t>CFROI và Giá trị Công ty: Những Xung đột Tiềm ẩn</w:t>
      </w:r>
      <w:bookmarkEnd w:id="6598"/>
      <w:bookmarkEnd w:id="6599"/>
    </w:p>
    <w:p>
      <w:pPr>
        <w:pStyle w:val="Para 03"/>
      </w:pPr>
      <w:r>
        <w:t>Mối quan hệ giữa CFROI và giá trị công ty ít trực quan hơn so với mối quan hệ giữa EVA và giá trị công ty, một phần vì nó là một tỷ suất sinh lời phần trăm. Bất chấp điểm yếu cơ bản này, các nhà quản lý có thể thực hiện những hành động làm tăng CFROI trong khi lại làm giảm giá trị công ty.</w:t>
      </w:r>
    </w:p>
    <w:p>
      <w:pPr>
        <w:numPr>
          <w:ilvl w:val="0"/>
          <w:numId w:val="395"/>
        </w:numPr>
        <w:pStyle w:val="Para 01"/>
      </w:pPr>
      <w:r>
        <w:t>Giảm tổng đầu tư. Nếu tổng đầu tư vào tài sản hiện hữu bị giảm xuống, CFROI có thể tăng lên. Vì chính tích số của CFROI và tổng đầu tư mới quyết định giá trị, nên một công ty hoàn toàn có thể tăng CFROI mà cuối cùng lại có giá trị thấp hơn.</w:t>
      </w:r>
    </w:p>
    <w:p>
      <w:pPr>
        <w:numPr>
          <w:ilvl w:val="0"/>
          <w:numId w:val="395"/>
        </w:numPr>
        <w:pStyle w:val="Para 01"/>
      </w:pPr>
      <w:r>
        <w:t>Hy sinh tăng trưởng tương lai. CFROI, thậm chí còn hơn cả EVA, tập trung vào tài sản hiện hữu và không nhìn đến tăng trưởng tương lai. Trong chừng mực mà các nhà quản lý tăng CFROI bằng cách đánh đổi tăng trưởng tương lai, giá trị có thể giảm đi trong khi CFROI lại tăng lên.</w:t>
      </w:r>
    </w:p>
    <w:p>
      <w:pPr>
        <w:numPr>
          <w:ilvl w:val="0"/>
          <w:numId w:val="395"/>
        </w:numPr>
        <w:pStyle w:val="Para 01"/>
      </w:pPr>
      <w:r>
        <w:t>Đánh đổi rủi ro. Mặc dù CFROI được so sánh với chi phí vốn thực để đưa ra phán đoán liệu một công ty đang tạo ra hay đang hủy hoại giá trị, nó chỉ đại diện cho một sự điều chỉnh rủi ro mang tính bộ phận. Giá trị của một công ty vẫn là giá trị hiện tại của các dòng tiền kỳ vọng trong tương lai. Do đó, một công ty có thể gia tăng khoảng chênh giữa CFROI và chi phí vốn nhưng vẫn có thể mất giá trị nếu hiệu ứng giá trị hiện tại của việc có chi phí vốn cao hơn lấn át mức CFROI cao hơn.</w:t>
      </w:r>
    </w:p>
    <w:p>
      <w:pPr>
        <w:pStyle w:val="Para 03"/>
      </w:pPr>
      <w:r>
        <w:t>Nói chung, do đó, việc CFROI tăng lên tự nó không chỉ ra rằng giá trị công ty đã tăng, vì nó có thể đã đạt được bằng cái giá của tăng trưởng thấp hơn và/hoặc rủi ro cao hơn.</w:t>
      </w:r>
    </w:p>
    <w:p>
      <w:pPr>
        <w:pStyle w:val="Para 11"/>
      </w:pPr>
      <w:r>
        <w:t xml:space="preserve"> </w:t>
      </w:r>
    </w:p>
    <w:p>
      <w:bookmarkStart w:id="6601" w:name="CFROI_Innovations__The_Fade_Fact"/>
      <w:bookmarkStart w:id="6602" w:name="CFROI_Innovations__The_Fade_Fact_1"/>
      <w:pPr>
        <w:keepNext/>
        <w:pStyle w:val="Para 27"/>
        <w:keepLines w:val="on"/>
      </w:pPr>
      <w:r>
        <w:t>Những Đổi mới trong CFROI: Hệ số Suy giảm và Chi phí Vốn Ngụ ý</w:t>
      </w:r>
      <w:bookmarkEnd w:id="6601"/>
      <w:bookmarkEnd w:id="6602"/>
    </w:p>
    <w:p>
      <w:pPr>
        <w:pStyle w:val="Para 16"/>
        <w:keepLines w:val="on"/>
      </w:pPr>
      <w:r>
        <w:t>Đóng góp lớn nhất của những người thực hành sử dụng CFROI chính là công trình họ đã làm về cách thức tỷ suất sinh lời trên vốn suy giảm dần theo thời gian về phía chi phí vốn. Madden (1998) lập luận rằng hiện tượng này không chỉ phổ biến rộng khắp, mà còn ít nhất có thể dự đoán được một phần. Ông trình bày bằng chứng do Holt Associates, một người ủng hộ hàng đầu của CFROI, thực hiện, trong đó họ sắp xếp 1.000 công ty lớn nhất theo CFROI từ cao xuống thấp và theo dõi chúng theo thời gian để tìm ra sự hội tụ về một mức trung bình. Cần lưu ý rằng cuốn sách này đã sử dụng các hệ số suy giảm (fade factors), dù không gọi chúng bằng cái tên đó, trong các chương về định giá chiết khấu dòng tiền. Sự suy giảm về một tỷ suất sinh lời trên vốn thấp hơn xảy ra hoặc đột ngột trong năm kết thúc (terminal year), hoặc dần dần qua một giai đoạn chuyển tiếp.</w:t>
      </w:r>
    </w:p>
    <w:p>
      <w:pPr>
        <w:pStyle w:val="Para 16"/>
        <w:keepLines w:val="on"/>
      </w:pPr>
      <w:r>
        <w:t>Để tính chi phí vốn, những người thực hành CFROI nhìn vào thị trường thay vì dùng các mô hình rủi ro và lợi nhuận mà chúng ta đã sử dụng để tính giá trị DCF. Sử dụng giá trị thị trường hiện tại của cổ phiếu và các ước tính của họ về dòng tiền tổng hợp kỳ vọng, họ tính toán tỷ suất hoàn vốn nội bộ (internal rates of return) và dùng nó làm chi phí vốn trong phân tích. Chương 7 đã sử dụng một cách tiếp cận rất tương tự để ước tính phần bù rủi ro ngụ ý (implied risk premium), dù phần bù này được dùng như một đầu vào cho các mô hình rủi ro và lợi nhuận truyền thống.</w:t>
      </w:r>
    </w:p>
    <w:p>
      <w:bookmarkStart w:id="6603" w:name="CFROI_and_Market_Value__There_is"/>
      <w:bookmarkStart w:id="6604" w:name="CFROI_and_Market_Value"/>
      <w:pPr>
        <w:keepNext/>
        <w:pStyle w:val="Heading 3"/>
        <w:keepLines w:val="on"/>
      </w:pPr>
      <w:r>
        <w:t>CFROI và Giá trị Thị trường</w:t>
      </w:r>
      <w:bookmarkEnd w:id="6603"/>
      <w:bookmarkEnd w:id="6604"/>
    </w:p>
    <w:p>
      <w:pPr>
        <w:pStyle w:val="Para 03"/>
      </w:pPr>
      <w:r>
        <w:t>Có một mối quan hệ giữa CFROI và giá trị thị trường. Các công ty có CFROI cao thường có giá trị thị trường cao. Điều này không có gì đáng ngạc nhiên, vì nó phản ánh điều chúng ta đã lưu ý trước đó về giá trị kinh tế gia tăng (economic value added). Tuy nhiên, chính những thay đổi trong giá trị thị trường mới tạo ra lợi nhuận, chứ không phải bản thân giá trị thị trường. Khi nói đến những thay đổi của giá trị thị trường, mối quan hệ giữa CFROI và thay đổi giá trị có xu hướng yếu hơn nhiều. Vì giá trị thị trường phản ánh các kỳ vọng, nên không có lý do gì để tin rằng các công ty có CFROI cao sẽ kiếm được lợi nhuận vượt trội.</w:t>
      </w:r>
    </w:p>
    <w:p>
      <w:pPr>
        <w:pStyle w:val="Para 03"/>
      </w:pPr>
      <w:r>
        <w:t>Mối quan hệ giữa những thay đổi trong CFROI và lợi nhuận vượt trội thì thú vị hơn. Trong chừng mực mà bất kỳ sự gia tăng nào của CFROI được xem là một bất ngờ tích cực, các công ty có mức tăng CFROI lớn nhất sẽ kiếm được lợi nhuận vượt trội. Tuy nhiên, trên thực tế, mức thay đổi thực tế của CFROI phải được đo lường so với kỳ vọng; nếu CFROI tăng nhưng ít hơn kỳ vọng, giá trị thị trường sẽ giảm; nếu CFROI giảm nhưng ít hơn kỳ vọng, giá trị thị trường sẽ tăng.</w:t>
      </w:r>
    </w:p>
    <w:p>
      <w:bookmarkStart w:id="6605" w:name="A_Postscript_on_Value_Enhancemen_1"/>
      <w:bookmarkStart w:id="6606" w:name="A_Postscript_on_Value_Enhancemen"/>
      <w:pPr>
        <w:keepNext/>
        <w:pStyle w:val="Heading 2"/>
        <w:keepLines w:val="on"/>
      </w:pPr>
      <w:r>
        <w:t>Lời Bạt về Gia tăng Giá trị</w:t>
      </w:r>
      <w:bookmarkEnd w:id="6605"/>
      <w:bookmarkEnd w:id="6606"/>
    </w:p>
    <w:p>
      <w:pPr>
        <w:pStyle w:val="Para 03"/>
      </w:pPr>
      <w:r>
        <w:t>Giá trị của một công ty có ba thành phần. Thứ nhất là khả năng tạo ra dòng tiền từ tài sản hiện hữu, với dòng tiền cao hơn chuyển thành giá trị cao hơn. Thứ hai là sự sẵn lòng tái đầu tư để tạo ra tăng trưởng tương lai, cùng chất lượng của những khoản tái đầu tư này. Các yếu tố khác giữ nguyên, những công ty tái đầu tư tốt và kiếm được lợi nhuận vượt trội đáng kể trên những khoản đầu tư này sẽ có giá trị cao hơn. Thành phần cuối cùng của giá trị là chi phí vốn, với chi phí vốn cao hơn dẫn đến giá trị công ty thấp hơn. Vậy để tạo ra giá trị, một công ty phải:</w:t>
      </w:r>
    </w:p>
    <w:p>
      <w:pPr>
        <w:numPr>
          <w:ilvl w:val="0"/>
          <w:numId w:val="396"/>
        </w:numPr>
        <w:pStyle w:val="Para 01"/>
      </w:pPr>
      <w:r>
        <w:t>Tạo ra dòng tiền cao hơn từ tài sản hiện hữu, mà không ảnh hưởng đến triển vọng tăng trưởng hay hồ sơ rủi ro của mình.</w:t>
      </w:r>
    </w:p>
    <w:p>
      <w:pPr>
        <w:numPr>
          <w:ilvl w:val="0"/>
          <w:numId w:val="396"/>
        </w:numPr>
        <w:pStyle w:val="Para 01"/>
      </w:pPr>
      <w:r>
        <w:t>Tái đầu tư nhiều hơn và với lợi nhuận vượt trội cao hơn, mà không làm tăng mức độ rủi ro của tài sản.</w:t>
      </w:r>
    </w:p>
    <w:p>
      <w:pPr>
        <w:numPr>
          <w:ilvl w:val="0"/>
          <w:numId w:val="396"/>
        </w:numPr>
        <w:pStyle w:val="Para 01"/>
      </w:pPr>
      <w:r>
        <w:t>Giảm chi phí tài trợ cho tài sản hiện hữu hoặc tăng trưởng tương lai, mà không làm giảm tỷ suất sinh lời thu được trên những khoản đầu tư này.</w:t>
      </w:r>
    </w:p>
    <w:p>
      <w:pPr>
        <w:pStyle w:val="Para 03"/>
      </w:pPr>
      <w:r>
        <w:t>Tất cả các biện pháp gia tăng giá trị đều là những biến thể của những chủ đề đơn giản này. Dù những cách tiếp cận này đo lường lợi nhuận vượt trội bằng đô-la, như giá trị kinh tế gia tăng, hay bằng tỷ lệ phần trăm như CFROI, chúng đều có được người theo đuổi vì chúng có vẻ đơn giản hơn và ít chủ quan hơn so với định giá chiết khấu dòng tiền. Sự đơn giản này phải trả một cái giá, vì những cách tiếp cận này đưa ra những giả định tinh tế về các thành phần khác của giá trị mà thường không hiển hiện hoặc không được nhiều người sử dụng nhận ra. Những cách tiếp cận nhấn mạnh vào giá trị kinh tế gia tăng và thưởng cho các nhà quản lý vì đã gia tăng nó thường giả định rằng những gia tăng trong giá trị kinh tế gia tăng không đạt được bằng cái giá của tăng trưởng tương lai hay bằng việc tăng rủi ro. Những người thực hành đánh giá hiệu suất dựa trên tỷ suất sinh lời trên dòng tiền đầu tư cũng đưa ra những giả định tương tự.</w:t>
      </w:r>
    </w:p>
    <w:p>
      <w:pPr>
        <w:pStyle w:val="Para 03"/>
      </w:pPr>
      <w:r>
        <w:t>Vậy có điều gì đó đáng giá trong những biện pháp gia tăng giá trị mới này không? Chắc chắn là có, nhưng chỉ trong bối cảnh rộng lớn hơn của việc định giá. Một trong những đầu vào chúng ta cần cho các mô hình định giá truyền thống là tỷ suất sinh lời trên vốn (để có được tăng trưởng kỳ vọng). Việc thực hiện những điều chỉnh đối với thu nhập hoạt động (operating income) mà những người sử dụng giá trị kinh tế gia tăng đề xuất, và bổ sung nó bằng một tỷ suất sinh lời trên dòng tiền, với CFROI, có thể giúp chúng ta đưa ra một ước tính tốt hơn về con số này. Việc tính giá trị kết thúc (terminal value) trong các mô hình định giá truyền thống, nơi những thay đổi nhỏ trong giả định có thể dẫn đến những thay đổi lớn trong giá trị, trở nên dễ xử lý hơn nhiều nếu chúng ta nghĩ theo hướng lợi nhuận vượt trội trên các khoản đầu tư thay vì chỉ nghĩ đến tăng trưởng và tỷ lệ chiết khấu. Cuối cùng, bằng chứng thực nghiệm mà những người thực hành sử dụng CFROI đã thu thập về các hệ số suy giảm có thể vô cùng quý giá trong các mô hình định giá truyền thống, nơi mà đôi khi người thực hành mắc sai lầm khi giả định rằng tỷ suất sinh lời hiện tại sẽ tiếp diễn mãi mãi.</w:t>
      </w:r>
    </w:p>
    <w:p>
      <w:bookmarkStart w:id="6608" w:name="Conclusion_31"/>
      <w:bookmarkStart w:id="6609" w:name="Conclusion__This_chapter_conside_1"/>
      <w:pPr>
        <w:keepNext/>
        <w:pStyle w:val="Heading 2"/>
        <w:keepLines w:val="on"/>
      </w:pPr>
      <w:r>
        <w:t>Kết luận</w:t>
      </w:r>
      <w:bookmarkEnd w:id="6608"/>
      <w:bookmarkEnd w:id="6609"/>
    </w:p>
    <w:p>
      <w:pPr>
        <w:pStyle w:val="Para 03"/>
      </w:pPr>
      <w:r>
        <w:t>Chương này xem xét hai thước đo gia tăng giá trị được sử dụng rộng rãi. Giá trị kinh tế gia tăng (economic value-added) đo lường mức lợi nhuận vượt trội bằng đô-la trên tài sản hiện có. Tỷ suất sinh lời trên dòng tiền đầu tư (cash flow return on investment) là tỷ suất hoàn vốn nội bộ (internal rate of return) trên tài sản hiện có, dựa trên khoản đầu tư ban đầu vào những tài sản này và các dòng tiền kỳ vọng trong tương lai. Mặc dù cả hai cách tiếp cận đều có thể dẫn đến những kết luận nhất quán với phương pháp định giá dòng tiền chiết khấu truyền thống, nhưng sự đơn giản của chúng lại đi kèm một cái giá. Các nhà quản lý có thể lợi dụng những hạn chế trong đo lường của cả hai cách tiếp cận để làm cho công ty của họ trông đẹp hơn với bất kỳ cách nào trong khi vẫn làm giảm giá trị công ty. Cụ thể, họ có thể đánh đổi ít tăng trưởng hơn trong tương lai để lấy giá trị kinh tế gia tăng cao hơn trong hiện tại và chuyển sang những khoản đầu tư rủi ro hơn.</w:t>
      </w:r>
    </w:p>
    <w:p>
      <w:pPr>
        <w:pStyle w:val="Para 03"/>
      </w:pPr>
      <w:r>
        <w:t>Khi xem xét các cách tiếp cận khác nhau để gia tăng giá trị, chúng ta nên cân nhắc một vài sự thật. Thứ nhất, không có cơ chế gia tăng giá trị nào có thể tạo ra giá trị trừ khi bản thân các nhà quản lý cam kết lấy việc tối đa hóa giá trị làm mục tiêu chính của mình. Nếu nhà quản lý đặt những mục tiêu khác lên trước, thì không cơ chế gia tăng giá trị nào có thể phát huy tác dụng. Ngược lại, nếu nhà quản lý thực sự quan tâm đến việc tối đa hóa giá trị, họ có thể khiến gần như bất kỳ cơ chế nào cũng hoạt động có lợi cho mình. Thứ hai, mặc dù việc gắn bất kỳ thước đo gia tăng giá trị nào mà chúng ta đã chọn với thù lao của ban quản lý là hợp lý, nhưng vẫn có một mặt trái. Theo thời gian, các nhà quản lý sẽ có xu hướng tập trung sự chú ý vào việc làm cho bản thân trông đẹp hơn trên thước đo đó, ngay cả khi điều đó chỉ có thể đạt được bằng cách làm giảm giá trị công ty. Cuối cùng, không có viên đạn thần kỳ nào tạo ra giá trị. Tạo ra giá trị là công việc khó khăn trong các thị trường cạnh tranh và gần như luôn liên quan đến sự đánh đổi giữa chi phí và lợi ích. Mọi người đều có vai trò trong việc tạo ra giá trị, và đó chắc chắn không phải là lãnh địa riêng của các nhà phân tích tài chính. Trên thực tế, giá trị được tạo ra bởi các kỹ sư tài chính nhỏ hơn và ít quan trọng hơn so với giá trị được tạo ra bởi các quyết định chiến lược, tiếp thị, sản xuất hoặc nhân sự tốt.</w:t>
      </w:r>
    </w:p>
    <w:p>
      <w:bookmarkStart w:id="6611" w:name="Questions_and_Short_Problems__In_24"/>
      <w:bookmarkStart w:id="6612" w:name="Questions_and_Short_Problems_30"/>
      <w:pPr>
        <w:keepNext/>
        <w:pStyle w:val="Heading 2"/>
        <w:keepLines w:val="on"/>
      </w:pPr>
      <w:r>
        <w:t>Câu hỏi và Bài tập ngắn</w:t>
      </w:r>
      <w:bookmarkEnd w:id="6611"/>
      <w:bookmarkEnd w:id="6612"/>
    </w:p>
    <w:p>
      <w:pPr>
        <w:pStyle w:val="Para 44"/>
      </w:pPr>
      <w:r>
        <w:t>Trong các bài tập sau đây, hãy sử dụng mức bù rủi ro vốn cổ phần (equity risk premium) là 5,5 phần trăm nếu không có quy định nào khác.</w:t>
      </w:r>
    </w:p>
    <w:p>
      <w:pPr>
        <w:numPr>
          <w:ilvl w:val="0"/>
          <w:numId w:val="397"/>
        </w:numPr>
        <w:pStyle w:val="Para 01"/>
      </w:pPr>
      <w:r>
        <w:t>Everlast Batteries Inc. đã thuê bạn làm cố vấn. Công ty có thu nhập hoạt động sau thuế năm 1998 là 180 triệu đô-la và thu nhập ròng là 100 triệu đô-la, và công ty đã trả cổ tức 50 triệu đô-la. Giá trị sổ sách của vốn cổ phần vào cuối năm 1998 là 1,25 tỷ đô-la, và giá trị sổ sách của nợ là 350 triệu đô-la. Công ty đã huy động 50 triệu đô-la nợ mới trong năm 1998. Giá trị thị trường của vốn cổ phần vào cuối năm 1998 gấp đôi giá trị sổ sách của vốn cổ phần, và giá trị thị trường của nợ bằng giá trị sổ sách của nợ. Công ty có chi phí vốn cổ phần là 12% và chi phí nợ sau thuế là 5%.</w:t>
      </w:r>
    </w:p>
    <w:p>
      <w:pPr>
        <w:numPr>
          <w:ilvl w:val="1"/>
          <w:numId w:val="397"/>
        </w:numPr>
        <w:pStyle w:val="Para 01"/>
      </w:pPr>
      <w:r>
        <w:t>Ước tính tỷ suất sinh lời trên vốn (return on capital) mà Everlast Batteries đạt được.</w:t>
      </w:r>
    </w:p>
    <w:p>
      <w:pPr>
        <w:numPr>
          <w:ilvl w:val="1"/>
          <w:numId w:val="397"/>
        </w:numPr>
        <w:pStyle w:val="Para 01"/>
      </w:pPr>
      <w:r>
        <w:t>Ước tính chi phí vốn (cost of capital) mà Everlast Batteries đạt được.</w:t>
      </w:r>
    </w:p>
    <w:p>
      <w:pPr>
        <w:numPr>
          <w:ilvl w:val="1"/>
          <w:numId w:val="397"/>
        </w:numPr>
        <w:pStyle w:val="Para 01"/>
      </w:pPr>
      <w:r>
        <w:t>Ước tính giá trị kinh tế gia tăng của Everlast Batteries.</w:t>
      </w:r>
    </w:p>
    <w:p>
      <w:pPr>
        <w:numPr>
          <w:ilvl w:val="0"/>
          <w:numId w:val="397"/>
        </w:numPr>
        <w:pStyle w:val="Para 01"/>
      </w:pPr>
      <w:r>
        <w:t>Giả sử, trong bài tập trước, rằng Everlast Batteries đang ở giai đoạn tăng trưởng ổn định, và công ty kỳ vọng giá trị kinh tế gia tăng của mình sẽ tăng trưởng 5% mỗi năm mãi mãi.</w:t>
      </w:r>
    </w:p>
    <w:p>
      <w:pPr>
        <w:numPr>
          <w:ilvl w:val="1"/>
          <w:numId w:val="397"/>
        </w:numPr>
        <w:pStyle w:val="Para 01"/>
      </w:pPr>
      <w:r>
        <w:t>Ước tính giá trị của công ty.</w:t>
      </w:r>
    </w:p>
    <w:p>
      <w:pPr>
        <w:numPr>
          <w:ilvl w:val="1"/>
          <w:numId w:val="397"/>
        </w:numPr>
        <w:pStyle w:val="Para 01"/>
      </w:pPr>
      <w:r>
        <w:t>Bao nhiêu phần trong giá trị này đến từ lợi nhuận vượt trội?</w:t>
      </w:r>
    </w:p>
    <w:p>
      <w:pPr>
        <w:numPr>
          <w:ilvl w:val="1"/>
          <w:numId w:val="397"/>
        </w:numPr>
        <w:pStyle w:val="Para 01"/>
      </w:pPr>
      <w:r>
        <w:t>Giá trị thị trường gia tăng (market value added - MVA) của công ty này là bao nhiêu?</w:t>
      </w:r>
    </w:p>
    <w:p>
      <w:pPr>
        <w:pStyle w:val="Para 03"/>
      </w:pPr>
      <w:r>
        <w:t>Câu trả lời của bạn cho (a), (b) và (c) sẽ thay đổi như thế nào nếu bạn được cho biết rằng sẽ không có giá trị kinh tế gia tăng nào sau năm thứ 5?</w:t>
      </w:r>
    </w:p>
    <w:p>
      <w:pPr>
        <w:numPr>
          <w:ilvl w:val="0"/>
          <w:numId w:val="397"/>
        </w:numPr>
        <w:pStyle w:val="Para 01"/>
      </w:pPr>
      <w:r>
        <w:t>Stereo City là một nhà bán lẻ dàn âm thanh và tivi. Công ty có thu nhập hoạt động là 150 triệu đô-la, sau khi trừ chi phí thuê hoạt động (operating lease expenses) là 50 triệu đô-la. Công ty có các cam kết thuê hoạt động cho năm năm tới và xa hơn:</w:t>
      </w:r>
    </w:p>
    <w:tbl>
      <w:tblPr>
        <w:tblW w:type="auto" w:w="0"/>
      </w:tblPr>
      <w:tr>
        <w:tc>
          <w:tcPr>
            <w:tcW w:type="auto" w:w="0"/>
          </w:tcPr>
          <w:tbl>
            <w:tblPr>
              <w:tblW w:type="pct" w:w="5000"/>
            </w:tblPr>
            <w:tr>
              <w:tc>
                <w:tcPr>
                  <w:tcW w:type="auto" w:w="0"/>
                  <w:shd w:val="clear" w:color="auto" w:fill="F0F0F0"/>
                </w:tcPr>
                <w:p>
                  <w:pPr>
                    <w:pStyle w:val="Para 41"/>
                    <w:keepLines w:val="on"/>
                  </w:pPr>
                  <w:r>
                    <w:t>Năm</w:t>
                  </w:r>
                </w:p>
              </w:tc>
              <w:tc>
                <w:tcPr>
                  <w:tcW w:type="auto" w:w="0"/>
                  <w:shd w:val="clear" w:color="auto" w:fill="F0F0F0"/>
                </w:tcPr>
                <w:p>
                  <w:pPr>
                    <w:pStyle w:val="Para 41"/>
                    <w:keepLines w:val="on"/>
                  </w:pPr>
                  <w:r>
                    <w:t>Cam kết thuê hoạt động</w:t>
                  </w:r>
                </w:p>
              </w:tc>
            </w:tr>
            <w:tr>
              <w:tc>
                <w:tcPr>
                  <w:tcW w:type="auto" w:w="0"/>
                  <w:shd w:val="clear" w:color="auto" w:fill="F0F0F0"/>
                </w:tcPr>
                <w:p>
                  <w:pPr>
                    <w:pStyle w:val="Normal"/>
                    <w:keepLines w:val="on"/>
                  </w:pPr>
                  <w:r>
                    <w:t>1</w:t>
                  </w:r>
                </w:p>
              </w:tc>
              <w:tc>
                <w:tcPr>
                  <w:tcW w:type="auto" w:w="0"/>
                  <w:shd w:val="clear" w:color="auto" w:fill="F0F0F0"/>
                </w:tcPr>
                <w:p>
                  <w:pPr>
                    <w:pStyle w:val="Normal"/>
                    <w:keepLines w:val="on"/>
                  </w:pPr>
                  <w:r>
                    <w:t>55</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60</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60</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55</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50</w:t>
                  </w:r>
                </w:p>
              </w:tc>
            </w:tr>
            <w:tr>
              <w:tc>
                <w:tcPr>
                  <w:tcW w:type="auto" w:w="0"/>
                  <w:shd w:val="clear" w:color="auto" w:fill="F0F0F0"/>
                </w:tcPr>
                <w:p>
                  <w:pPr>
                    <w:pStyle w:val="Normal"/>
                    <w:keepLines w:val="on"/>
                  </w:pPr>
                  <w:r>
                    <w:t>Năm 6–15</w:t>
                  </w:r>
                </w:p>
              </w:tc>
              <w:tc>
                <w:tcPr>
                  <w:tcW w:type="auto" w:w="0"/>
                  <w:shd w:val="clear" w:color="auto" w:fill="F0F0F0"/>
                </w:tcPr>
                <w:p>
                  <w:pPr>
                    <w:pStyle w:val="Normal"/>
                    <w:keepLines w:val="on"/>
                  </w:pPr>
                  <w:r>
                    <w:t>40 mỗi năm</w:t>
                  </w:r>
                </w:p>
              </w:tc>
            </w:tr>
          </w:tbl>
          <w:p/>
        </w:tc>
      </w:tr>
    </w:tbl>
    <w:p>
      <w:pPr>
        <w:pStyle w:val="Para 03"/>
      </w:pPr>
      <w:r>
        <w:t>Giá trị sổ sách của vốn chủ sở hữu là 1 tỷ đô la, và công ty không có nợ vay nào. Công ty có chi phí vốn chủ sở hữu là 11% và chi phí đi vay trước thuế là 6%. Thuế suất là 40%.</w:t>
      </w:r>
    </w:p>
    <w:p>
      <w:pPr>
        <w:numPr>
          <w:ilvl w:val="1"/>
          <w:numId w:val="397"/>
        </w:numPr>
        <w:pStyle w:val="Para 01"/>
      </w:pPr>
      <w:r>
        <w:t>Ước tính vốn đầu tư vào công ty, trước và sau khi điều chỉnh cho thuê hoạt động.</w:t>
      </w:r>
    </w:p>
    <w:p>
      <w:pPr>
        <w:numPr>
          <w:ilvl w:val="1"/>
          <w:numId w:val="397"/>
        </w:numPr>
        <w:pStyle w:val="Para 01"/>
      </w:pPr>
      <w:r>
        <w:t>Ước tính lợi nhuận trên vốn, trước và sau khi điều chỉnh cho thuê hoạt động.</w:t>
      </w:r>
    </w:p>
    <w:p>
      <w:pPr>
        <w:numPr>
          <w:ilvl w:val="1"/>
          <w:numId w:val="397"/>
        </w:numPr>
        <w:pStyle w:val="Para 01"/>
      </w:pPr>
      <w:r>
        <w:t>Ước tính giá trị kinh tế gia tăng, trước và sau khi điều chỉnh cho thuê hoạt động. (Giá trị thị trường của vốn chủ sở hữu là 2 tỷ đô la.)</w:t>
      </w:r>
    </w:p>
    <w:p>
      <w:pPr>
        <w:numPr>
          <w:ilvl w:val="0"/>
          <w:numId w:val="397"/>
        </w:numPr>
        <w:pStyle w:val="Para 01"/>
      </w:pPr>
      <w:r>
        <w:t>Sevilla Chemicals kiếm được 1 tỷ đô la thu nhập hoạt động sau thuế trên vốn đầu tư 5 tỷ đô la trong năm ngoái. Chi phí vốn chủ sở hữu của công ty là 12%, tỷ lệ nợ trên vốn là 25%, và chi phí nợ sau thuế là 4,5%.</w:t>
      </w:r>
    </w:p>
    <w:p>
      <w:pPr>
        <w:numPr>
          <w:ilvl w:val="1"/>
          <w:numId w:val="397"/>
        </w:numPr>
        <w:pStyle w:val="Para 01"/>
      </w:pPr>
      <w:r>
        <w:t>Ước tính giá trị kinh tế gia tăng của Sevilla Chemicals trong năm ngoái.</w:t>
      </w:r>
    </w:p>
    <w:p>
      <w:pPr>
        <w:numPr>
          <w:ilvl w:val="1"/>
          <w:numId w:val="397"/>
        </w:numPr>
        <w:pStyle w:val="Para 01"/>
      </w:pPr>
      <w:r>
        <w:t>Giả sử bây giờ toàn bộ ngành hóa chất kiếm được 40 tỷ đô la sau thuế trên vốn đầu tư 180 tỷ đô la, và chi phí vốn của ngành là 10%. Ước tính giá trị kinh tế gia tăng của toàn ngành.</w:t>
      </w:r>
    </w:p>
    <w:p>
      <w:pPr>
        <w:numPr>
          <w:ilvl w:val="1"/>
          <w:numId w:val="397"/>
        </w:numPr>
        <w:pStyle w:val="Para 01"/>
      </w:pPr>
      <w:r>
        <w:t>Dựa trên giá trị kinh tế gia tăng, Sevilla đã làm ăn như thế nào so với ngành?</w:t>
      </w:r>
    </w:p>
    <w:p>
      <w:pPr>
        <w:numPr>
          <w:ilvl w:val="0"/>
          <w:numId w:val="397"/>
        </w:numPr>
        <w:pStyle w:val="Para 01"/>
      </w:pPr>
      <w:r>
        <w:t>Jeeves Software là một công ty phần mềm nhỏ đang tăng trưởng cao. Công ty được tài trợ hoàn toàn bằng vốn chủ sở hữu. Trong năm hiện tại, công ty kiếm được 20 triệu đô la thu nhập hoạt động sau thuế trên vốn đầu tư 60 triệu đô la. Chi phí vốn chủ sở hữu của công ty là 15%.</w:t>
      </w:r>
    </w:p>
    <w:p>
      <w:pPr>
        <w:numPr>
          <w:ilvl w:val="1"/>
          <w:numId w:val="397"/>
        </w:numPr>
        <w:pStyle w:val="Para 01"/>
      </w:pPr>
      <w:r>
        <w:t>Giả sử công ty sẽ có thể tăng trưởng giá trị kinh tế gia tăng 15% mỗi năm trong năm năm tới, và sẽ không có lợi nhuận vượt trội sau năm thứ 5. Ước tính giá trị của công ty. Bao nhiêu phần trong giá trị này đến từ EVA, và bao nhiêu từ vốn đầu tư?</w:t>
      </w:r>
    </w:p>
    <w:p>
      <w:pPr>
        <w:numPr>
          <w:ilvl w:val="1"/>
          <w:numId w:val="397"/>
        </w:numPr>
        <w:pStyle w:val="Para 01"/>
      </w:pPr>
      <w:r>
        <w:t>Bây giờ, giả sử công ty có thể giảm vốn đầu tư trong năm nay đi 20 triệu đô la bằng cách bán tài sản và thuê lại chúng. Giả sử thu nhập hoạt động và chi phí vốn không thay đổi do việc bán và thuê lại, hãy ước tính giá trị của công ty lúc này. Bao nhiêu phần trong giá trị công ty lúc này đến từ EVA, và bao nhiêu từ vốn đầu tư?</w:t>
      </w:r>
    </w:p>
    <w:p>
      <w:pPr>
        <w:numPr>
          <w:ilvl w:val="0"/>
          <w:numId w:val="397"/>
        </w:numPr>
        <w:pStyle w:val="Para 01"/>
      </w:pPr>
      <w:r>
        <w:t>Healthy Foods là một công ty sản xuất súp đóng hộp không chất bảo quản. Công ty có tài sản với giá trị sổ sách là 100 triệu đô la. Tài sản đã được 5 năm tuổi và đã khấu hao 50 triệu đô la trong khoảng thời gian đó. Ngoài ra, tỷ lệ lạm phát trong năm năm đó trung bình là 2% mỗi năm. Tài sản hiện đang kiếm được 15 triệu đô la thu nhập hoạt động sau thuế. Chúng còn thời gian sử dụng là 10 năm, và khấu hao mỗi năm dự kiến là 5 triệu đô la. Vào cuối 10 năm này, tài sản sẽ có giá trị thanh lý dự kiến, tính theo đô la hiện tại, là 50 triệu đô la.</w:t>
      </w:r>
    </w:p>
    <w:p>
      <w:pPr>
        <w:numPr>
          <w:ilvl w:val="1"/>
          <w:numId w:val="397"/>
        </w:numPr>
        <w:pStyle w:val="Para 01"/>
      </w:pPr>
      <w:r>
        <w:t>Ước tính CFROI của Healthy Foods, sử dụng phương pháp CFROI thông thường.</w:t>
      </w:r>
    </w:p>
    <w:p>
      <w:pPr>
        <w:numPr>
          <w:ilvl w:val="1"/>
          <w:numId w:val="397"/>
        </w:numPr>
        <w:pStyle w:val="Para 01"/>
      </w:pPr>
      <w:r>
        <w:t>Ước tính CFROI của Healthy Foods, sử dụng phương pháp khấu hao kinh tế.</w:t>
      </w:r>
    </w:p>
    <w:p>
      <w:pPr>
        <w:numPr>
          <w:ilvl w:val="1"/>
          <w:numId w:val="397"/>
        </w:numPr>
        <w:pStyle w:val="Para 01"/>
      </w:pPr>
      <w:r>
        <w:t>Nếu Healthy Foods có chi phí vốn theo danh nghĩa là 10% và tỷ lệ lạm phát dự kiến là 2%, hãy đánh giá xem các khoản đầu tư hiện có của Healthy Foods đang tạo ra giá trị hay phá hủy giá trị.</w:t>
      </w:r>
    </w:p>
    <w:p>
      <w:bookmarkStart w:id="6615" w:name="Notes_31"/>
      <w:bookmarkStart w:id="6616" w:name="Notes__1_As_an_illustration__com"/>
      <w:pPr>
        <w:keepNext/>
        <w:pStyle w:val="Heading 2"/>
        <w:keepLines w:val="on"/>
      </w:pPr>
      <w:r>
        <w:t>Ghi chú</w:t>
      </w:r>
      <w:bookmarkEnd w:id="6615"/>
      <w:bookmarkEnd w:id="6616"/>
    </w:p>
    <w:p>
      <w:pPr>
        <w:pStyle w:val="Para 08"/>
      </w:pPr>
      <w:r>
        <w:t>1 Ví dụ, tính lợi nhuận trên vốn tại NVidia hoặc Microsoft vào năm 2024, sử dụng giá trị thị trường của công ty thay vì giá trị sổ sách, sẽ cho ra lợi nhuận trên vốn thấp. Sẽ là sai lầm nếu xem đây là dấu hiệu của những khoản đầu tư kém cỏi từ phía các nhà quản lý công ty.</w:t>
      </w:r>
    </w:p>
    <w:p>
      <w:pPr>
        <w:pStyle w:val="Para 08"/>
      </w:pPr>
      <w:r>
        <w:t>2 Tuy nhiên, điều này chỉ đúng nếu giá trị hiện tại kỳ vọng của các dòng tiền từ khấu hao được giả định bằng giá trị hiện tại của giá trị thanh lý của vốn đầu tư vào dự án. Bạn có thể tìm thấy chứng minh cho sự bằng nhau này trong bài báo của tôi về nâng cao giá trị trên tạp chí Contemporary Finance Digest năm 1999.</w:t>
      </w:r>
    </w:p>
    <w:p>
      <w:pPr>
        <w:pStyle w:val="Para 08"/>
      </w:pPr>
      <w:r>
        <w:t>3 Lưu ý rằng giả định này hoàn toàn chỉ để thuận tiện, vì nó giúp tính giá trị hiện tại ròng dễ dàng hơn. Điều này cũng cho phép chúng ta giả định rằng khấu hao được bù đắp bằng các khoản chi tiêu duy trì vốn.</w:t>
      </w:r>
    </w:p>
    <w:p>
      <w:pPr>
        <w:pStyle w:val="Para 08"/>
      </w:pPr>
      <w:r>
        <w:t>4 Trên thực tế, các ước tính beta dựa trên lợi nhuận lịch sử sẽ trễ hơn so với những thay đổi về rủi ro. Ví dụ, với giai đoạn ước tính lợi nhuận năm năm, độ trễ có thể lên tới ba năm, và hiệu ứng đầy đủ sẽ không xuất hiện cho đến năm năm sau khi thay đổi.</w:t>
      </w:r>
    </w:p>
    <w:p>
      <w:pPr>
        <w:pStyle w:val="Para 08"/>
      </w:pPr>
      <w:r>
        <w:t>5 Một nghiên cứu năm 1997 của Kramer và Pushner phát hiện rằng sự khác biệt về lợi nhuận hoạt động ròng sau thuế (NOPAT) giải thích sự khác biệt về giá trị thị trường tốt hơn so với sự khác biệt về EVA. Tuy nhiên, O'Byrne (1996) phát hiện rằng những thay đổi về EVA giải thích hơn 55 phần trăm những thay đổi về giá trị thị trường trong các giai đoạn năm năm.</w:t>
      </w:r>
    </w:p>
    <w:p>
      <w:pPr>
        <w:pStyle w:val="Para 08"/>
      </w:pPr>
      <w:r>
        <w:t>6 Xem Quantitative Viewpoint, Merrill Lynch, ngày 19 tháng 12 năm 1997.</w:t>
      </w:r>
    </w:p>
    <w:p>
      <w:pPr>
        <w:pStyle w:val="Para 08"/>
      </w:pPr>
      <w:r>
        <w:t>7 Xem Quantitative Viewpoint, Merrill Lynch, ngày 3 tháng 2 năm 1998.</w:t>
      </w:r>
    </w:p>
    <w:p>
      <w:pPr>
        <w:pStyle w:val="Para 08"/>
      </w:pPr>
      <w:r>
        <w:t>8 Với tỷ lệ 11,71 phần trăm, khấu hao kinh tế tính ra là 105,37 triệu đô la, và CFROI là 11,71 phần trăm.</w:t>
      </w:r>
    </w:p>
    <w:p>
      <w:bookmarkStart w:id="6625" w:name="Chapter_33Probabilistic_Approach_1"/>
      <w:bookmarkStart w:id="6626" w:name="Chapter_33Probabilistic_Approach"/>
      <w:bookmarkStart w:id="6627" w:name="Top_of_c033_xhtml"/>
      <w:pPr>
        <w:keepNext/>
        <w:pStyle w:val="Heading 1"/>
        <w:pageBreakBefore w:val="on"/>
        <w:keepLines w:val="on"/>
      </w:pPr>
      <w:r>
        <w:t>CHƯƠNG 33</w:t>
      </w:r>
      <w:r>
        <w:br/>
      </w:r>
      <w:r>
        <w:t>Các phương pháp tiếp cận xác suất trong định giá: Phân tích kịch bản, Cây quyết định và Mô phỏng</w:t>
      </w:r>
      <w:bookmarkEnd w:id="6625"/>
      <w:bookmarkEnd w:id="6626"/>
      <w:bookmarkEnd w:id="6627"/>
    </w:p>
    <w:p>
      <w:pPr>
        <w:pStyle w:val="Para 03"/>
      </w:pPr>
      <w:r>
        <w:t>Xuyên suốt phần lớn cuốn sách này, chúng ta đã tập trung vào các phương pháp định giá dựa trên dòng tiền chiết khấu và định giá tương đối. Dù rất phổ biến, các phương pháp này có chung một đặc điểm. Mức độ rủi ro của một tài sản được gói gọn trong một con số duy nhất—tỷ lệ chiết khấu cao hơn, dòng tiền thấp hơn, hoặc mức chiết khấu so với giá trị—và việc tính toán gần như buộc chúng ta phải đưa ra những giả định (thường không thực tế) về bản chất của rủi ro.</w:t>
      </w:r>
    </w:p>
    <w:p>
      <w:pPr>
        <w:pStyle w:val="Para 03"/>
      </w:pPr>
      <w:r>
        <w:t>Trong chương này, chúng ta xem xét một cách khác, và có khả năng cung cấp nhiều thông tin hơn, để đánh giá giá trị của một khoản đầu tư. Thay vì tính một giá trị kỳ vọng cho tài sản nhằm cố gắng nắm bắt tất cả các kết quả có thể xảy ra trong một con số, chúng ta có thể cung cấp thông tin về giá trị của tài sản sẽ là bao nhiêu dưới mỗi kết quả, hoặc ít nhất là một tập hợp con các kết quả. Chúng ta sẽ bắt đầu phần này bằng cách xem xét phiên bản đơn giản nhất, đó là phân tích giá trị của một tài sản dưới ba tình huống—tình huống tốt nhất, tình huống khả dĩ nhất và tình huống xấu nhất—rồi mở rộng thảo luận để xem xét phân tích tình huống một cách tổng quát hơn. Tiếp theo, chúng ta xem xét việc sử dụng cây quyết định như một cách tiếp cận hoàn chỉnh hơn để xử lý rủi ro theo trình tự. Chúng ta sẽ kết thúc chương bằng việc đánh giá mô phỏng Monte Carlo, cách tiếp cận hoàn chỉnh nhất để đánh giá rủi ro trên toàn bộ phổ.</w:t>
      </w:r>
    </w:p>
    <w:p>
      <w:bookmarkStart w:id="6629" w:name="Scenario_Analysis"/>
      <w:bookmarkStart w:id="6630" w:name="Scenario_Analysis__The_expected"/>
      <w:pPr>
        <w:keepNext/>
        <w:pStyle w:val="Heading 2"/>
        <w:keepLines w:val="on"/>
      </w:pPr>
      <w:r>
        <w:t>Phân tích tình huống</w:t>
      </w:r>
      <w:bookmarkEnd w:id="6629"/>
      <w:bookmarkEnd w:id="6630"/>
    </w:p>
    <w:p>
      <w:pPr>
        <w:pStyle w:val="Para 03"/>
      </w:pPr>
      <w:r>
        <w:t>Dòng tiền kỳ vọng mà chúng ta dùng để định giá các tài sản rủi ro có thể được ước tính theo một trong hai cách. Chúng có thể đại diện cho bình quân gia quyền theo xác suất của dòng tiền dưới tất cả các tình huống có thể xảy ra, hoặc chúng có thể là dòng tiền dưới tình huống khả dĩ nhất. Dù cách thứ nhất chính xác hơn, nó hiếm khi được sử dụng, đơn giản vì nó đòi hỏi phải thu thập nhiều thông tin hơn hẳn. Trong cả hai trường hợp, đều có những tình huống khác mà dòng tiền sẽ khác với kỳ vọng: cao hơn kỳ vọng ở một số tình huống, và thấp hơn kỳ vọng ở những tình huống khác. Trong phân tích tình huống, chúng ta ước tính dòng tiền kỳ vọng và giá trị tài sản dưới nhiều tình huống khác nhau, với mục đích nắm bắt tốt hơn tác động của rủi ro lên giá trị. Trong phần này, trước tiên chúng ta xem xét một phiên bản cực đoan của phân tích tình huống, trong đó chúng ta xem xét giá trị trong tình huống tốt nhất và tình huống xấu nhất, rồi sau đó là một phiên bản tổng quát hơn của phân tích tình huống.</w:t>
      </w:r>
    </w:p>
    <w:p>
      <w:pPr>
        <w:pStyle w:val="Para 20"/>
      </w:pPr>
      <w:r>
        <w:rPr>
          <w:rStyle w:val="Text26"/>
        </w:rPr>
        <w:bookmarkStart w:id="6631" w:name="Page_1034"/>
        <w:t/>
        <w:bookmarkEnd w:id="6631"/>
      </w:r>
      <w:r>
        <w:t xml:space="preserve"> </w:t>
      </w:r>
    </w:p>
    <w:p>
      <w:bookmarkStart w:id="6632" w:name="Best_Case_Worst_Case__With_risky"/>
      <w:bookmarkStart w:id="6633" w:name="Best_Case_Worst_Case"/>
      <w:pPr>
        <w:keepNext/>
        <w:pStyle w:val="Heading 3"/>
        <w:keepLines w:val="on"/>
      </w:pPr>
      <w:r>
        <w:t>Tình huống tốt nhất/Tình huống xấu nhất</w:t>
      </w:r>
      <w:bookmarkEnd w:id="6632"/>
      <w:bookmarkEnd w:id="6633"/>
    </w:p>
    <w:p>
      <w:pPr>
        <w:pStyle w:val="Para 03"/>
      </w:pPr>
      <w:r>
        <w:t>Với các tài sản rủi ro, dòng tiền thực tế có thể rất khác so với kỳ vọng. Ở các giới hạn, chúng ta có thể ước tính dòng tiền nếu mọi thứ diễn ra hoàn hảo—tình huống tốt nhất—và nếu mọi thứ đều không như ý—tình huống xấu nhất. Trên thực tế, có hai cách để cấu trúc phân tích này. Cách thứ nhất, mỗi yếu tố đầu vào của giá trị tài sản được đặt ở kết quả tốt nhất (hoặc xấu nhất) có thể có, và dòng tiền được ước tính với những giá trị đó. Như vậy, khi định giá một công ty, bạn có thể đặt tốc độ tăng trưởng doanh thu và biên lợi nhuận hoạt động ở mức cao nhất có thể, đồng thời đặt tỷ lệ chiết khấu ở mức thấp nhất và tính ra giá trị như tình huống tốt nhất. Vấn đề với cách này là nó có thể không khả thi; suy cho cùng, để đạt được tăng trưởng doanh thu cao, công ty có thể phải giảm giá và chấp nhận biên lợi nhuận thấp hơn. Cách thứ hai, tình huống tốt nhất có thể được định nghĩa dựa trên những gì khả thi, đồng thời cho phép xét đến mối quan hệ giữa các yếu tố đầu vào. Như vậy, thay vì giả định rằng cả tăng trưởng doanh thu và biên lợi nhuận đều đạt mức tối đa, chúng ta chọn tổ hợp tăng trưởng và biên lợi nhuận khả thi và mang lại giá trị tối đa. Dù cách này thực tế hơn, nó đòi hỏi nhiều công sức hơn để áp dụng vào thực tiễn.</w:t>
      </w:r>
    </w:p>
    <w:p>
      <w:pPr>
        <w:pStyle w:val="Para 03"/>
      </w:pPr>
      <w:r>
        <w:t>Phân tích tình huống tốt nhất/xấu nhất hữu ích đến mức nào? Có hai cách mà kết quả từ phân tích này có thể hữu ích cho những người ra quyết định. Thứ nhất, chênh lệch giữa giá trị tình huống tốt nhất và tình huống xấu nhất có thể được dùng như một thước đo rủi ro của một tài sản; khoảng biến thiên giá trị (được điều chỉnh theo quy mô) sẽ lớn hơn đối với những khoản đầu tư rủi ro hơn. Thứ hai, những nhà đầu tư lo ngại về tác động lan tỏa tiềm tàng lên danh mục của họ khi một khoản đầu tư trở nên tồi tệ có thể đánh giá được các tác động bằng cách nhìn vào kết quả xấu nhất của khoản đầu tư đó.</w:t>
      </w:r>
    </w:p>
    <w:p>
      <w:pPr>
        <w:pStyle w:val="Para 03"/>
      </w:pPr>
      <w:r>
        <w:t>Tuy nhiên, nhìn chung, các phân tích tình huống tốt nhất/xấu nhất không mang lại nhiều thông tin. Suy cho cùng, chẳng có gì đáng ngạc nhiên khi biết rằng một tài sản sẽ đáng giá rất nhiều trong tình huống tốt nhất, và không đáng bao nhiêu trong tình huống xấu nhất. Như vậy, một chuyên viên phân tích nghiên cứu cổ phiếu sử dụng cách này để định giá một cổ phiếu đang có giá 50 đô la có thể đưa ra giá trị 80 đô la cho tình huống tốt nhất, và 10 đô la cho tình huống xấu nhất; với khoảng biến thiên rộng như vậy, sẽ rất khó để đưa ra phán đoán liệu cổ phiếu đó có phải là một khoản đầu tư tốt hay không.</w:t>
      </w:r>
    </w:p>
    <w:p>
      <w:bookmarkStart w:id="6634" w:name="Multiple_Scenario_Analysis"/>
      <w:bookmarkStart w:id="6635" w:name="Multiple_Scenario_Analysis__Scen"/>
      <w:pPr>
        <w:keepNext/>
        <w:pStyle w:val="Heading 3"/>
        <w:keepLines w:val="on"/>
      </w:pPr>
      <w:r>
        <w:t>Phân tích đa tình huống</w:t>
      </w:r>
      <w:bookmarkEnd w:id="6634"/>
      <w:bookmarkEnd w:id="6635"/>
    </w:p>
    <w:p>
      <w:pPr>
        <w:pStyle w:val="Para 03"/>
      </w:pPr>
      <w:r>
        <w:t>Phân tích tình huống không nhất thiết chỉ giới hạn ở tình huống tốt nhất và xấu nhất. Ở dạng tổng quát nhất, giá trị của một tài sản rủi ro có thể được tính dưới nhiều tình huống khác nhau, thay đổi các giả định về cả các biến số vĩ mô lẫn các biến số đặc thù của tài sản.</w:t>
      </w:r>
    </w:p>
    <w:p>
      <w:bookmarkStart w:id="6636" w:name="Steps_in_Scenario_Analysis__Whil"/>
      <w:bookmarkStart w:id="6637" w:name="Steps_in_Scenario_Analysis"/>
      <w:pPr>
        <w:keepNext/>
        <w:pStyle w:val="Heading 4"/>
        <w:keepLines w:val="on"/>
      </w:pPr>
      <w:r>
        <w:t>Các bước trong phân tích tình huống</w:t>
      </w:r>
      <w:bookmarkEnd w:id="6636"/>
      <w:bookmarkEnd w:id="6637"/>
    </w:p>
    <w:p>
      <w:pPr>
        <w:pStyle w:val="Para 03"/>
      </w:pPr>
      <w:r>
        <w:t>Dù khái niệm phân tích độ nhạy rất đơn giản, nó có bốn thành phần then chốt:</w:t>
      </w:r>
    </w:p>
    <w:p>
      <w:pPr>
        <w:numPr>
          <w:ilvl w:val="0"/>
          <w:numId w:val="398"/>
        </w:numPr>
        <w:pStyle w:val="Para 01"/>
      </w:pPr>
      <w:r>
        <w:t>Thành phần thứ nhất là việc xác định các tình huống sẽ được xây dựng xoay quanh những yếu tố nào. Những yếu tố này có thể trải từ tình trạng nền kinh tế đối với một công ty ô tô đang cân nhắc xây dựng nhà máy mới, đến phản ứng của các đối thủ cạnh tranh đối với một công ty sản phẩm tiêu dùng đang tung ra sản phẩm mới, cho đến hành vi của các cơ quan quản lý đối với một công ty được quản lý đang cân nhắc một sản phẩm hoặc dịch vụ mới. Nhìn chung, bạn nên tập trung vào hai hoặc ba yếu tố then chốt nhất sẽ quyết định giá trị của tài sản và xây dựng các tình huống xoay quanh những yếu tố này.</w:t>
      </w:r>
    </w:p>
    <w:p>
      <w:pPr>
        <w:numPr>
          <w:ilvl w:val="0"/>
          <w:numId w:val="398"/>
        </w:numPr>
        <w:pStyle w:val="Para 01"/>
      </w:pPr>
      <w:r>
        <w:t>Thành phần thứ hai xác định số lượng tình huống cần phân tích cho mỗi yếu tố. Dù nhiều tình huống có thể thực tế hơn so với ít tình huống, việc thu thập thông tin và phân biệt giữa các tình huống về mặt dòng tiền của tài sản sẽ trở nên khó khăn hơn. Như vậy, việc ước tính dòng tiền dưới mỗi tình huống sẽ dễ dàng hơn nếu bạn đưa ra năm tình huống, chẳng hạn, so với việc đưa ra 15 tình huống. Câu hỏi nên xem xét bao nhiêu tình huống sẽ phụ thuộc vào mức độ khác biệt giữa các tình huống, và mức độ bạn có thể dự báo dòng tiền dưới mỗi tình huống tốt đến đâu.</w:t>
      </w:r>
    </w:p>
    <w:p>
      <w:pPr>
        <w:numPr>
          <w:ilvl w:val="0"/>
          <w:numId w:val="398"/>
        </w:numPr>
        <w:pStyle w:val="Para 01"/>
      </w:pPr>
      <w:r>
        <w:t>Thành phần thứ ba là việc ước tính dòng tiền của tài sản, tỷ lệ chiết khấu và giá trị dưới mỗi tình huống. Chính để giúp việc ước tính ở bước này dễ dàng hơn mà bạn chỉ tập trung vào hai hoặc ba yếu tố then chốt và xây dựng tương đối ít tình huống cho mỗi yếu tố.</w:t>
      </w:r>
    </w:p>
    <w:p>
      <w:pPr>
        <w:numPr>
          <w:ilvl w:val="0"/>
          <w:numId w:val="398"/>
        </w:numPr>
        <w:pStyle w:val="Para 01"/>
      </w:pPr>
      <w:r>
        <w:t>Thành phần cuối cùng là việc gán xác suất cho mỗi tình huống. Với một số tình huống liên quan đến các yếu tố vĩ mô, như tỷ giá hối đoái, lãi suất và tăng trưởng kinh tế tổng thể, bạn có thể dựa vào chuyên môn của các dịch vụ dự báo những biến số này. Với những tình huống khác, liên quan đến ngành hoặc đối thủ cạnh tranh, bạn phải dựa vào hiểu biết của mình về ngành đó. Tuy nhiên, lưu ý rằng điều này chỉ hợp lý nếu các tình huống bao quát toàn bộ phổ các khả năng. Nếu các tình huống chỉ đại diện cho một tập hợp con các kết quả có thể xảy ra của một khoản đầu tư, thì các xác suất sẽ không cộng lại thành 1.</w:t>
      </w:r>
    </w:p>
    <w:p>
      <w:pPr>
        <w:pStyle w:val="Para 03"/>
      </w:pPr>
      <w:r>
        <w:t>Kết quả đầu ra của một phân tích tình huống có thể được trình bày dưới dạng giá trị dưới mỗi tình huống và dưới dạng giá trị kỳ vọng qua các tình huống (nếu các xác suất có thể được ước tính ở bước thứ tư). Nếu các tình huống không đầy đủ, giá trị kỳ vọng không thể được tính toán.</w:t>
      </w:r>
    </w:p>
    <w:p>
      <w:pPr>
        <w:pStyle w:val="Para 03"/>
      </w:pPr>
      <w:r>
        <w:t>Quan điểm định lượng này về phân tích tình huống sẽ bị các nhà chiến lược phản bác, những người theo truyền thống coi phân tích tình huống là một bài tập định tính mà lợi ích chính là mở rộng tư duy của những người ra quyết định. Như một nhà chiến lược đã nói, phân tích tình huống là việc tạo ra những "câu chuyện tương lai hợp lý" hơn là những kết quả có khả năng xảy ra; nói cách khác, có những lợi ích khi xem xét những tình huống có xác suất xảy ra rất thấp. Lợi ích của bài tập này là nó buộc bạn phải xem xét những quan điểm về những gì có thể diễn ra khác với quan điểm cơ sở.</w:t>
      </w:r>
    </w:p>
    <w:p>
      <w:bookmarkStart w:id="6639" w:name="Use_in_Valuation_and_Decision_Ma"/>
      <w:bookmarkStart w:id="6640" w:name="Use_in_Valuation_and_Decision_Ma_1"/>
      <w:pPr>
        <w:keepNext/>
        <w:pStyle w:val="Heading 4"/>
        <w:keepLines w:val="on"/>
      </w:pPr>
      <w:r>
        <w:t>Ứng dụng trong định giá và ra quyết định</w:t>
      </w:r>
      <w:bookmarkEnd w:id="6639"/>
      <w:bookmarkEnd w:id="6640"/>
    </w:p>
    <w:p>
      <w:pPr>
        <w:pStyle w:val="Para 03"/>
      </w:pPr>
      <w:r>
        <w:t>Phân tích tình huống hữu ích đến mức nào trong việc đánh giá giá trị và ra quyết định? Câu trả lời, cũng như với mọi công cụ, phụ thuộc vào cách nó được sử dụng. Thông tin giá trị nhất từ một phân tích tình huống là khoảng biến thiên giá trị qua các tình huống khác nhau, mang lại một bức tranh nhanh về mức độ rủi ro của tài sản; những tài sản rủi ro hơn sẽ có giá trị biến thiên nhiều hơn qua các tình huống, còn những tài sản an toàn hơn sẽ thể hiện sự ổn định rõ hơn. Ngoài ra, phân tích tình huống có thể hữu ích trong việc xác định những yếu tố đầu vào của một phân tích có ảnh hưởng lớn nhất đến giá trị. Còn một lợi ích khác của việc thực hiện phân tích tình huống: trong chừng mực giá trị thấp hơn nhiều dưới một số tình huống so với những tình huống khác, các nhà đầu tư có thể tìm cách phòng ngừa rủi ro để chống lại việc những tình huống đó xảy ra.</w:t>
      </w:r>
    </w:p>
    <w:p>
      <w:pPr>
        <w:pStyle w:val="Para 03"/>
      </w:pPr>
      <w:r>
        <w:t>Nếu không vì gì khác, thì quá trình suy nghĩ thấu đáo qua các tình huống là một bài tập hữu ích để xem xét cách các đối thủ cạnh tranh sẽ phản ứng dưới những môi trường vĩ mô khác nhau và những gì có thể làm để giảm thiểu tác động của rủi ro giảm giá và tối đa hóa tác động của tiềm năng tăng giá lên giá trị của một tài sản rủi ro.</w:t>
      </w:r>
    </w:p>
    <w:p>
      <w:bookmarkStart w:id="6641" w:name="Issues__Multiple_scenario_analys"/>
      <w:bookmarkStart w:id="6642" w:name="Issues"/>
      <w:pPr>
        <w:keepNext/>
        <w:pStyle w:val="Heading 4"/>
        <w:keepLines w:val="on"/>
      </w:pPr>
      <w:r>
        <w:t>Vấn đề</w:t>
      </w:r>
      <w:bookmarkEnd w:id="6641"/>
      <w:bookmarkEnd w:id="6642"/>
    </w:p>
    <w:p>
      <w:pPr>
        <w:pStyle w:val="Para 03"/>
      </w:pPr>
      <w:r>
        <w:t>Phân tích đa kịch bản cung cấp nhiều thông tin hơn so với phân tích trường hợp tốt nhất/xấu nhất bằng cách đưa ra giá trị tài sản trong từng kịch bản đã chỉ định. Tuy nhiên, nó cũng có những vấn đề riêng:</w:t>
      </w:r>
    </w:p>
    <w:p>
      <w:pPr>
        <w:numPr>
          <w:ilvl w:val="0"/>
          <w:numId w:val="399"/>
        </w:numPr>
        <w:pStyle w:val="Para 01"/>
      </w:pPr>
      <w:r>
        <w:t>Rác vào, rác ra. Chìa khóa để làm phân tích kịch bản tốt là việc thiết lập các kịch bản và ước tính dòng tiền trong từng kịch bản. Các kịch bản được phác thảo không chỉ phải thực tế mà còn phải cố gắng bao quát toàn bộ phổ khả năng. Sau khi các kịch bản đã được vạch ra, dòng tiền và giá trị phải được ước tính trong từng kịch bản; sự đánh đổi này phải được cân nhắc khi quyết định nên chạy bao nhiêu kịch bản.</w:t>
      </w:r>
    </w:p>
    <w:p>
      <w:pPr>
        <w:numPr>
          <w:ilvl w:val="0"/>
          <w:numId w:val="399"/>
        </w:numPr>
        <w:pStyle w:val="Para 01"/>
      </w:pPr>
      <w:r>
        <w:t>Rủi ro liên tục. Phân tích kịch bản phù hợp nhất để xử lý rủi ro dưới dạng các kết quả rời rạc. Khi các kết quả có thể nhận bất kỳ giá trị nào trong một số lượng rất lớn các giá trị tiềm năng hoặc khi rủi ro là liên tục, việc thiết lập các kịch bản trở nên khó khăn hơn.</w:t>
      </w:r>
    </w:p>
    <w:p>
      <w:pPr>
        <w:numPr>
          <w:ilvl w:val="0"/>
          <w:numId w:val="399"/>
        </w:numPr>
        <w:pStyle w:val="Para 01"/>
      </w:pPr>
      <w:r>
        <w:t>Tính trùng lặp rủi ro. Giống như phân tích trường hợp tốt nhất/xấu nhất, có nguy cơ rằng những người ra quyết định sẽ tính trùng rủi ro khi họ thực hiện phân tích kịch bản. Do đó, một nhà phân tích có thể quyết định từ chối khoản đầu tư, mặc dù nó có vẻ bị định giá thấp, bởi vì nó có vẻ bị định giá cao đáng kể trong ít nhất một kịch bản. Vì giá trị kỳ vọng đã được điều chỉnh theo rủi ro, điều này sẽ đại diện cho việc tính trùng một rủi ro có khả năng giống nhau hoặc rủi ro lẽ ra không nên là một yếu tố trong quyết định ngay từ đầu (bởi vì nó có thể đa dạng hóa được).</w:t>
      </w:r>
    </w:p>
    <w:p>
      <w:pPr>
        <w:pStyle w:val="Para 11"/>
      </w:pPr>
      <w:r>
        <w:t xml:space="preserve"> </w:t>
      </w:r>
    </w:p>
    <w:p>
      <w:bookmarkStart w:id="6644" w:name="ILLUSTRATION_33_1__Valuing_a_Com"/>
      <w:bookmarkStart w:id="6645" w:name="ILLUSTRATION_33_1__Valuing_a_Com_1"/>
      <w:pPr>
        <w:keepNext/>
        <w:pStyle w:val="Para 19"/>
        <w:keepLines w:val="on"/>
      </w:pPr>
      <w:r>
        <w:t>MINH HỌA 33.1: Định giá một công ty đối mặt với nguy cơ bị quốc hữu hóa</w:t>
      </w:r>
      <w:bookmarkEnd w:id="6644"/>
      <w:bookmarkEnd w:id="6645"/>
    </w:p>
    <w:p>
      <w:pPr>
        <w:pStyle w:val="Para 04"/>
        <w:keepLines w:val="on"/>
      </w:pPr>
      <w:r>
        <w:t>Mặc dù mối đe dọa quốc hữu hóa toàn cầu đã giảm bớt trong vài thập kỷ qua, vẫn còn những nơi trên thế giới mà các nhà đầu tư vẫn cảnh giác rằng các công ty có thể bị sung công hoặc quốc hữu hóa bởi chính phủ. Các nhà phân tích cố gắng đưa rủi ro quốc hữu hóa vào dòng tiền kỳ vọng hoặc tỷ lệ chiết khấu sẽ nhanh chóng nhận ra rằng rất khó để làm điều đó. Đặc biệt, tỷ lệ chiết khấu là những công cụ thô sơ, không dễ dàng phù hợp để xem xét các rủi ro rời rạc (như quốc hữu hóa, kiệt quệ tài chính, hoặc thay đổi quy định).</w:t>
      </w:r>
    </w:p>
    <w:p>
      <w:pPr>
        <w:pStyle w:val="Para 04"/>
        <w:keepLines w:val="on"/>
      </w:pPr>
      <w:r>
        <w:t>Như một giải pháp thay thế, hãy xem xét một phân tích kịch bản rất đơn giản, trong đó bạn định giá công ty theo hai kịch bản: như một thực thể đang hoạt động (going concern) nơi chủ sở hữu doanh nghiệp giữ dòng tiền, và dưới kịch bản quốc hữu hóa, nơi số tiền thu được cho chủ sở hữu không tương xứng với giá trị hợp lý. Giá trị kỳ vọng của công ty sẽ là bình quân gia quyền của hai ước tính.</w:t>
      </w:r>
    </w:p>
    <w:p>
      <w:pPr>
        <w:pStyle w:val="Para 04"/>
        <w:keepLines w:val="on"/>
      </w:pPr>
      <w:r>
        <w:t>Để thoát khỏi sự trừu tượng, giả sử bạn đang định giá một công ty Venezuela dự kiến tạo ra 10 triệu đô la thu nhập hoạt động sau thuế vào năm tới và tăng trưởng 3% mỗi năm, tính theo đô la Mỹ, đến vô hạn. Cũng giả sử rằng công ty này tạo ra lợi nhuận trên vốn (ROC) 20% (giá trị sổ sách của vốn đầu tư là 50 triệu đô la) và đối mặt với chi phí vốn 12%, trong đó bao gồm một thành phần rủi ro quốc gia cho rủi ro kinh tế vĩ mô (nhưng không phải rủi ro quốc hữu hóa). Để định giá công ty như một thực thể đang hoạt động, chúng ta sử dụng dòng tiền kỳ vọng và chi phí vốn để đi đến giá trị 94,44 triệu đô la cho tài sản hoạt động của công ty:</w:t>
      </w:r>
    </w:p>
    <w:p>
      <w:bookmarkStart w:id="6646" w:name="Reinvestment_rate_g_ROC_3__20__1"/>
      <w:pPr>
        <w:keepNext/>
        <w:pStyle w:val="Para 07"/>
        <w:keepLines w:val="on"/>
      </w:pPr>
      <w:r>
        <w:t>Tỷ lệ tái đầu tư = g/ROC = 3%/20% = 15%</w:t>
      </w:r>
      <w:bookmarkEnd w:id="6646"/>
    </w:p>
    <w:p>
      <w:bookmarkStart w:id="6647" w:name="Value_of_operating_assetsGoing_c"/>
      <w:pPr>
        <w:keepNext/>
        <w:pStyle w:val="Para 07"/>
        <w:keepLines w:val="on"/>
      </w:pPr>
      <w:r>
        <w:t>Giá trị tài sản hoạt động (đang hoạt động) = EBIT1-t1-gROICCost of capital-g = $101-.15.12-.03 = $94,44 triệu</w:t>
      </w:r>
      <w:bookmarkEnd w:id="6647"/>
    </w:p>
    <w:p>
      <w:pPr>
        <w:pStyle w:val="Para 04"/>
        <w:keepLines w:val="on"/>
      </w:pPr>
      <w:r>
        <w:t>Bây giờ giả sử bạn tin rằng có khả năng công ty sẽ bị quốc hữu hóa, và chính phủ sẽ chỉ trả giá trị sổ sách của tài sản hoạt động cho chủ sở hữu của các công ty bị quốc hữu hóa. Số tiền thu được từ quốc hữu hóa có thể được ước tính như sau:</w:t>
      </w:r>
    </w:p>
    <w:p>
      <w:bookmarkStart w:id="6648" w:name="ValueofoperatingassetsNationaliz"/>
      <w:pPr>
        <w:keepNext/>
        <w:pStyle w:val="Para 07"/>
        <w:keepLines w:val="on"/>
      </w:pPr>
      <w:r>
        <w:t>Giá trị tài sản hoạt động (quốc hữu hóa) = Giá trị sổ sách = $50 triệu</w:t>
      </w:r>
      <w:bookmarkEnd w:id="6648"/>
    </w:p>
    <w:p>
      <w:pPr>
        <w:pStyle w:val="Para 04"/>
        <w:keepLines w:val="on"/>
      </w:pPr>
      <w:r>
        <w:t>Đưa vào xác suất quốc hữu hóa (25%) cho phép chúng ta ước tính giá trị kỳ vọng cho tài sản hoạt động:</w:t>
      </w:r>
    </w:p>
    <w:p>
      <w:bookmarkStart w:id="6650" w:name="Expectedvalue_Valueofoperatingas"/>
      <w:pPr>
        <w:keepNext/>
        <w:pStyle w:val="Para 07"/>
        <w:keepLines w:val="on"/>
      </w:pPr>
      <w:r>
        <w:t>Giá trị kỳ vọng = Giá trị tài sản hoạt động (đang hoạt động) × 1−Xác suất quốc hữu hóa + Giá trị tài sản hoạt động (quốc hữu hóa) × Xác suất quốc hữu hóa = $94,44.75 + $50.25 = $83,33 triệu</w:t>
      </w:r>
      <w:bookmarkEnd w:id="6650"/>
    </w:p>
    <w:p>
      <w:pPr>
        <w:pStyle w:val="Para 04"/>
        <w:keepLines w:val="on"/>
      </w:pPr>
      <w:r>
        <w:t>Lưu ý rằng giá trị kỳ vọng sẽ giảm khi khả năng quốc hữu hóa tăng, và số tiền thu được từ quốc hữu hóa giảm.</w:t>
      </w:r>
    </w:p>
    <w:p>
      <w:pPr>
        <w:pStyle w:val="Para 11"/>
      </w:pPr>
      <w:r>
        <w:t xml:space="preserve"> </w:t>
      </w:r>
    </w:p>
    <w:p>
      <w:bookmarkStart w:id="6651" w:name="ILLUSTRATION_33_2__Valuing_a_Reg"/>
      <w:bookmarkStart w:id="6652" w:name="ILLUSTRATION_33_2__Valuing_a_Reg_1"/>
      <w:pPr>
        <w:keepNext/>
        <w:pStyle w:val="Para 19"/>
        <w:keepLines w:val="on"/>
      </w:pPr>
      <w:r>
        <w:t>MINH HỌA 33.2: Định giá một công ty bị quản lý chặt chẽ với rủi ro quy định thay đổi</w:t>
      </w:r>
      <w:bookmarkEnd w:id="6651"/>
      <w:bookmarkEnd w:id="6652"/>
    </w:p>
    <w:p>
      <w:pPr>
        <w:pStyle w:val="Para 04"/>
        <w:keepLines w:val="on"/>
      </w:pPr>
      <w:r>
        <w:t>Phân tích kịch bản trở nên phức tạp hơn và có khả năng hữu ích hơn khi số lượng kịch bản tăng lên và sự bất định gia tăng. Để minh họa, giả sử bạn đang định giá Wells Fargo, một trong những ngân hàng thương mại lớn nhất ở Hoa Kỳ, vào đầu năm 2009. Cuộc khủng hoảng ngân hàng năm 2008 không chỉ tàn phá khả năng sinh lời của các ngân hàng mà còn làm tăng khả năng rằng các cơ quan quản lý sẽ thắt chặt các quy tắc về vốn quy định, yêu cầu các ngân hàng trích lập nhiều vốn hơn để trang trải các khoản lỗ tiềm năng từ hoạt động của họ.</w:t>
      </w:r>
    </w:p>
    <w:p>
      <w:pPr>
        <w:pStyle w:val="Para 04"/>
        <w:keepLines w:val="on"/>
      </w:pPr>
      <w:r>
        <w:t>Để thấy tác động của cuộc khủng hoảng, Bảng 33.1 sau đây liệt kê các biến số tài chính chính của Wells Fargo từ năm 2001 đến 2008:</w:t>
      </w:r>
    </w:p>
    <w:p>
      <w:pPr>
        <w:pStyle w:val="Para 25"/>
        <w:keepLines w:val="on"/>
      </w:pPr>
      <w:r>
        <w:t>Bảng 33.1</w:t>
      </w:r>
    </w:p>
    <w:p>
      <w:pPr>
        <w:keepNext/>
        <w:pStyle w:val="Para 24"/>
        <w:keepLines w:val="on"/>
      </w:pPr>
      <w:r>
        <w:t>Các biến số tài chính chính—2001–2008</w:t>
      </w:r>
    </w:p>
    <w:tbl>
      <w:tblPr>
        <w:tblW w:type="auto" w:w="0"/>
      </w:tblPr>
      <w:tr>
        <w:tc>
          <w:tcPr>
            <w:tcW w:type="auto" w:w="0"/>
          </w:tcPr>
          <w:tbl>
            <w:tblPr>
              <w:tblW w:type="auto" w:w="0"/>
            </w:tblPr>
            <w:tr>
              <w:tc>
                <w:tcPr>
                  <w:tcW w:type="auto" w:w="0"/>
                  <w:shd w:val="clear" w:color="auto" w:fill="F0F0F0"/>
                </w:tcPr>
                <w:p>
                  <w:pPr>
                    <w:pStyle w:val="Para 32"/>
                    <w:keepLines w:val="on"/>
                  </w:pPr>
                  <w:r>
                    <w:t>Năm</w:t>
                  </w:r>
                </w:p>
              </w:tc>
              <w:tc>
                <w:tcPr>
                  <w:tcW w:type="auto" w:w="0"/>
                  <w:shd w:val="clear" w:color="auto" w:fill="F0F0F0"/>
                </w:tcPr>
                <w:p>
                  <w:pPr>
                    <w:pStyle w:val="Para 05"/>
                    <w:keepLines w:val="on"/>
                  </w:pPr>
                  <w:r>
                    <w:t>2008</w:t>
                  </w:r>
                </w:p>
              </w:tc>
              <w:tc>
                <w:tcPr>
                  <w:tcW w:type="auto" w:w="0"/>
                  <w:shd w:val="clear" w:color="auto" w:fill="F0F0F0"/>
                </w:tcPr>
                <w:p>
                  <w:pPr>
                    <w:pStyle w:val="Para 05"/>
                    <w:keepLines w:val="on"/>
                  </w:pPr>
                  <w:r>
                    <w:t>2007</w:t>
                  </w:r>
                </w:p>
              </w:tc>
              <w:tc>
                <w:tcPr>
                  <w:tcW w:type="auto" w:w="0"/>
                  <w:shd w:val="clear" w:color="auto" w:fill="F0F0F0"/>
                </w:tcPr>
                <w:p>
                  <w:pPr>
                    <w:pStyle w:val="Para 05"/>
                    <w:keepLines w:val="on"/>
                  </w:pPr>
                  <w:r>
                    <w:t>2006</w:t>
                  </w:r>
                </w:p>
              </w:tc>
              <w:tc>
                <w:tcPr>
                  <w:tcW w:type="auto" w:w="0"/>
                  <w:shd w:val="clear" w:color="auto" w:fill="F0F0F0"/>
                </w:tcPr>
                <w:p>
                  <w:pPr>
                    <w:pStyle w:val="Para 05"/>
                    <w:keepLines w:val="on"/>
                  </w:pPr>
                  <w:r>
                    <w:t>2005</w:t>
                  </w:r>
                </w:p>
              </w:tc>
              <w:tc>
                <w:tcPr>
                  <w:tcW w:type="auto" w:w="0"/>
                  <w:shd w:val="clear" w:color="auto" w:fill="F0F0F0"/>
                </w:tcPr>
                <w:p>
                  <w:pPr>
                    <w:pStyle w:val="Para 05"/>
                    <w:keepLines w:val="on"/>
                  </w:pPr>
                  <w:r>
                    <w:t>2004</w:t>
                  </w:r>
                </w:p>
              </w:tc>
              <w:tc>
                <w:tcPr>
                  <w:tcW w:type="auto" w:w="0"/>
                  <w:shd w:val="clear" w:color="auto" w:fill="F0F0F0"/>
                </w:tcPr>
                <w:p>
                  <w:pPr>
                    <w:pStyle w:val="Para 05"/>
                    <w:keepLines w:val="on"/>
                  </w:pPr>
                  <w:r>
                    <w:t>2003</w:t>
                  </w:r>
                </w:p>
              </w:tc>
              <w:tc>
                <w:tcPr>
                  <w:tcW w:type="auto" w:w="0"/>
                  <w:shd w:val="clear" w:color="auto" w:fill="F0F0F0"/>
                </w:tcPr>
                <w:p>
                  <w:pPr>
                    <w:pStyle w:val="Para 05"/>
                    <w:keepLines w:val="on"/>
                  </w:pPr>
                  <w:r>
                    <w:t>2002</w:t>
                  </w:r>
                </w:p>
              </w:tc>
              <w:tc>
                <w:tcPr>
                  <w:tcW w:type="auto" w:w="0"/>
                  <w:shd w:val="clear" w:color="auto" w:fill="F0F0F0"/>
                </w:tcPr>
                <w:p>
                  <w:pPr>
                    <w:pStyle w:val="Para 05"/>
                    <w:keepLines w:val="on"/>
                  </w:pPr>
                  <w:r>
                    <w:t>2001</w:t>
                  </w:r>
                </w:p>
              </w:tc>
              <w:tc>
                <w:tcPr>
                  <w:tcW w:type="auto" w:w="0"/>
                  <w:shd w:val="clear" w:color="auto" w:fill="F0F0F0"/>
                </w:tcPr>
                <w:p>
                  <w:pPr>
                    <w:pStyle w:val="Para 05"/>
                    <w:keepLines w:val="on"/>
                  </w:pPr>
                  <w:r>
                    <w:t>Trung bình: 01–07</w:t>
                  </w:r>
                </w:p>
              </w:tc>
            </w:tr>
            <w:tr>
              <w:tc>
                <w:tcPr>
                  <w:tcW w:type="auto" w:w="0"/>
                  <w:shd w:val="clear" w:color="auto" w:fill="F0F0F0"/>
                </w:tcPr>
                <w:p>
                  <w:pPr>
                    <w:pStyle w:val="Para 02"/>
                    <w:keepLines w:val="on"/>
                  </w:pPr>
                  <w:r>
                    <w:t>Cổ tức</w:t>
                  </w:r>
                </w:p>
              </w:tc>
              <w:tc>
                <w:tcPr>
                  <w:tcW w:type="auto" w:w="0"/>
                  <w:shd w:val="clear" w:color="auto" w:fill="F0F0F0"/>
                </w:tcPr>
                <w:p>
                  <w:pPr>
                    <w:pStyle w:val="Normal"/>
                    <w:keepLines w:val="on"/>
                  </w:pPr>
                  <w:r>
                    <w:t>$5,751</w:t>
                  </w:r>
                </w:p>
              </w:tc>
              <w:tc>
                <w:tcPr>
                  <w:tcW w:type="auto" w:w="0"/>
                  <w:shd w:val="clear" w:color="auto" w:fill="F0F0F0"/>
                </w:tcPr>
                <w:p>
                  <w:pPr>
                    <w:pStyle w:val="Normal"/>
                    <w:keepLines w:val="on"/>
                  </w:pPr>
                  <w:r>
                    <w:t>$3,955</w:t>
                  </w:r>
                </w:p>
              </w:tc>
              <w:tc>
                <w:tcPr>
                  <w:tcW w:type="auto" w:w="0"/>
                  <w:shd w:val="clear" w:color="auto" w:fill="F0F0F0"/>
                </w:tcPr>
                <w:p>
                  <w:pPr>
                    <w:pStyle w:val="Normal"/>
                    <w:keepLines w:val="on"/>
                  </w:pPr>
                  <w:r>
                    <w:t>$3,641</w:t>
                  </w:r>
                </w:p>
              </w:tc>
              <w:tc>
                <w:tcPr>
                  <w:tcW w:type="auto" w:w="0"/>
                  <w:shd w:val="clear" w:color="auto" w:fill="F0F0F0"/>
                </w:tcPr>
                <w:p>
                  <w:pPr>
                    <w:pStyle w:val="Normal"/>
                    <w:keepLines w:val="on"/>
                  </w:pPr>
                  <w:r>
                    <w:t>$3,375</w:t>
                  </w:r>
                </w:p>
              </w:tc>
              <w:tc>
                <w:tcPr>
                  <w:tcW w:type="auto" w:w="0"/>
                  <w:shd w:val="clear" w:color="auto" w:fill="F0F0F0"/>
                </w:tcPr>
                <w:p>
                  <w:pPr>
                    <w:pStyle w:val="Normal"/>
                    <w:keepLines w:val="on"/>
                  </w:pPr>
                  <w:r>
                    <w:t>$3,150</w:t>
                  </w:r>
                </w:p>
              </w:tc>
              <w:tc>
                <w:tcPr>
                  <w:tcW w:type="auto" w:w="0"/>
                  <w:shd w:val="clear" w:color="auto" w:fill="F0F0F0"/>
                </w:tcPr>
                <w:p>
                  <w:pPr>
                    <w:pStyle w:val="Normal"/>
                    <w:keepLines w:val="on"/>
                  </w:pPr>
                  <w:r>
                    <w:t>$2,527</w:t>
                  </w:r>
                </w:p>
              </w:tc>
              <w:tc>
                <w:tcPr>
                  <w:tcW w:type="auto" w:w="0"/>
                  <w:shd w:val="clear" w:color="auto" w:fill="F0F0F0"/>
                </w:tcPr>
                <w:p>
                  <w:pPr>
                    <w:pStyle w:val="Normal"/>
                    <w:keepLines w:val="on"/>
                  </w:pPr>
                  <w:r>
                    <w:t>$1,873</w:t>
                  </w:r>
                </w:p>
              </w:tc>
              <w:tc>
                <w:tcPr>
                  <w:tcW w:type="auto" w:w="0"/>
                  <w:shd w:val="clear" w:color="auto" w:fill="F0F0F0"/>
                </w:tcPr>
                <w:p>
                  <w:pPr>
                    <w:pStyle w:val="Normal"/>
                    <w:keepLines w:val="on"/>
                  </w:pPr>
                  <w:r>
                    <w:t>$1,710</w:t>
                  </w:r>
                </w:p>
              </w:tc>
              <w:tc>
                <w:tcPr>
                  <w:tcW w:type="auto" w:w="0"/>
                  <w:shd w:val="clear" w:color="auto" w:fill="F0F0F0"/>
                </w:tcPr>
                <w:p>
                  <w:pPr>
                    <w:pStyle w:val="3 Block"/>
                    <w:keepLines w:val="on"/>
                  </w:pPr>
                </w:p>
              </w:tc>
            </w:tr>
            <w:tr>
              <w:tc>
                <w:tcPr>
                  <w:tcW w:type="auto" w:w="0"/>
                  <w:shd w:val="clear" w:color="auto" w:fill="F0F0F0"/>
                </w:tcPr>
                <w:p>
                  <w:pPr>
                    <w:pStyle w:val="Para 02"/>
                    <w:keepLines w:val="on"/>
                  </w:pPr>
                  <w:r>
                    <w:t>Thu nhập ròng</w:t>
                  </w:r>
                </w:p>
              </w:tc>
              <w:tc>
                <w:tcPr>
                  <w:tcW w:type="auto" w:w="0"/>
                  <w:shd w:val="clear" w:color="auto" w:fill="F0F0F0"/>
                </w:tcPr>
                <w:p>
                  <w:pPr>
                    <w:pStyle w:val="Normal"/>
                    <w:keepLines w:val="on"/>
                  </w:pPr>
                  <w:r>
                    <w:t>$2,842</w:t>
                  </w:r>
                </w:p>
              </w:tc>
              <w:tc>
                <w:tcPr>
                  <w:tcW w:type="auto" w:w="0"/>
                  <w:shd w:val="clear" w:color="auto" w:fill="F0F0F0"/>
                </w:tcPr>
                <w:p>
                  <w:pPr>
                    <w:pStyle w:val="Normal"/>
                    <w:keepLines w:val="on"/>
                  </w:pPr>
                  <w:r>
                    <w:t>$8,057</w:t>
                  </w:r>
                </w:p>
              </w:tc>
              <w:tc>
                <w:tcPr>
                  <w:tcW w:type="auto" w:w="0"/>
                  <w:shd w:val="clear" w:color="auto" w:fill="F0F0F0"/>
                </w:tcPr>
                <w:p>
                  <w:pPr>
                    <w:pStyle w:val="Normal"/>
                    <w:keepLines w:val="on"/>
                  </w:pPr>
                  <w:r>
                    <w:t>$8,482</w:t>
                  </w:r>
                </w:p>
              </w:tc>
              <w:tc>
                <w:tcPr>
                  <w:tcW w:type="auto" w:w="0"/>
                  <w:shd w:val="clear" w:color="auto" w:fill="F0F0F0"/>
                </w:tcPr>
                <w:p>
                  <w:pPr>
                    <w:pStyle w:val="Normal"/>
                    <w:keepLines w:val="on"/>
                  </w:pPr>
                  <w:r>
                    <w:t>$7,671</w:t>
                  </w:r>
                </w:p>
              </w:tc>
              <w:tc>
                <w:tcPr>
                  <w:tcW w:type="auto" w:w="0"/>
                  <w:shd w:val="clear" w:color="auto" w:fill="F0F0F0"/>
                </w:tcPr>
                <w:p>
                  <w:pPr>
                    <w:pStyle w:val="Normal"/>
                    <w:keepLines w:val="on"/>
                  </w:pPr>
                  <w:r>
                    <w:t>$7,014</w:t>
                  </w:r>
                </w:p>
              </w:tc>
              <w:tc>
                <w:tcPr>
                  <w:tcW w:type="auto" w:w="0"/>
                  <w:shd w:val="clear" w:color="auto" w:fill="F0F0F0"/>
                </w:tcPr>
                <w:p>
                  <w:pPr>
                    <w:pStyle w:val="Normal"/>
                    <w:keepLines w:val="on"/>
                  </w:pPr>
                  <w:r>
                    <w:t>$6,202</w:t>
                  </w:r>
                </w:p>
              </w:tc>
              <w:tc>
                <w:tcPr>
                  <w:tcW w:type="auto" w:w="0"/>
                  <w:shd w:val="clear" w:color="auto" w:fill="F0F0F0"/>
                </w:tcPr>
                <w:p>
                  <w:pPr>
                    <w:pStyle w:val="Normal"/>
                    <w:keepLines w:val="on"/>
                  </w:pPr>
                  <w:r>
                    <w:t>$5,434</w:t>
                  </w:r>
                </w:p>
              </w:tc>
              <w:tc>
                <w:tcPr>
                  <w:tcW w:type="auto" w:w="0"/>
                  <w:shd w:val="clear" w:color="auto" w:fill="F0F0F0"/>
                </w:tcPr>
                <w:p>
                  <w:pPr>
                    <w:pStyle w:val="Normal"/>
                    <w:keepLines w:val="on"/>
                  </w:pPr>
                  <w:r>
                    <w:t>$3,423</w:t>
                  </w:r>
                </w:p>
              </w:tc>
              <w:tc>
                <w:tcPr>
                  <w:tcW w:type="auto" w:w="0"/>
                  <w:shd w:val="clear" w:color="auto" w:fill="F0F0F0"/>
                </w:tcPr>
                <w:p>
                  <w:pPr>
                    <w:pStyle w:val="3 Block"/>
                    <w:keepLines w:val="on"/>
                  </w:pPr>
                </w:p>
              </w:tc>
            </w:tr>
            <w:tr>
              <w:tc>
                <w:tcPr>
                  <w:tcW w:type="auto" w:w="0"/>
                  <w:shd w:val="clear" w:color="auto" w:fill="F0F0F0"/>
                </w:tcPr>
                <w:p>
                  <w:pPr>
                    <w:pStyle w:val="Para 02"/>
                    <w:keepLines w:val="on"/>
                  </w:pPr>
                  <w:r>
                    <w:t>Vốn chủ sở hữu (Book Equity)</w:t>
                  </w:r>
                </w:p>
              </w:tc>
              <w:tc>
                <w:tcPr>
                  <w:tcW w:type="auto" w:w="0"/>
                  <w:shd w:val="clear" w:color="auto" w:fill="F0F0F0"/>
                </w:tcPr>
                <w:p>
                  <w:pPr>
                    <w:pStyle w:val="Normal"/>
                    <w:keepLines w:val="on"/>
                  </w:pPr>
                  <w:r>
                    <w:t>47.628 đô la</w:t>
                  </w:r>
                </w:p>
              </w:tc>
              <w:tc>
                <w:tcPr>
                  <w:tcW w:type="auto" w:w="0"/>
                  <w:shd w:val="clear" w:color="auto" w:fill="F0F0F0"/>
                </w:tcPr>
                <w:p>
                  <w:pPr>
                    <w:pStyle w:val="Normal"/>
                    <w:keepLines w:val="on"/>
                  </w:pPr>
                  <w:r>
                    <w:t>45.876 đô la</w:t>
                  </w:r>
                </w:p>
              </w:tc>
              <w:tc>
                <w:tcPr>
                  <w:tcW w:type="auto" w:w="0"/>
                  <w:shd w:val="clear" w:color="auto" w:fill="F0F0F0"/>
                </w:tcPr>
                <w:p>
                  <w:pPr>
                    <w:pStyle w:val="Normal"/>
                    <w:keepLines w:val="on"/>
                  </w:pPr>
                  <w:r>
                    <w:t>40.660 đô la</w:t>
                  </w:r>
                </w:p>
              </w:tc>
              <w:tc>
                <w:tcPr>
                  <w:tcW w:type="auto" w:w="0"/>
                  <w:shd w:val="clear" w:color="auto" w:fill="F0F0F0"/>
                </w:tcPr>
                <w:p>
                  <w:pPr>
                    <w:pStyle w:val="Normal"/>
                    <w:keepLines w:val="on"/>
                  </w:pPr>
                  <w:r>
                    <w:t>37.866 đô la</w:t>
                  </w:r>
                </w:p>
              </w:tc>
              <w:tc>
                <w:tcPr>
                  <w:tcW w:type="auto" w:w="0"/>
                  <w:shd w:val="clear" w:color="auto" w:fill="F0F0F0"/>
                </w:tcPr>
                <w:p>
                  <w:pPr>
                    <w:pStyle w:val="Normal"/>
                    <w:keepLines w:val="on"/>
                  </w:pPr>
                  <w:r>
                    <w:t>34.469 đô la</w:t>
                  </w:r>
                </w:p>
              </w:tc>
              <w:tc>
                <w:tcPr>
                  <w:tcW w:type="auto" w:w="0"/>
                  <w:shd w:val="clear" w:color="auto" w:fill="F0F0F0"/>
                </w:tcPr>
                <w:p>
                  <w:pPr>
                    <w:pStyle w:val="Normal"/>
                    <w:keepLines w:val="on"/>
                  </w:pPr>
                  <w:r>
                    <w:t>30.319 đô la</w:t>
                  </w:r>
                </w:p>
              </w:tc>
              <w:tc>
                <w:tcPr>
                  <w:tcW w:type="auto" w:w="0"/>
                  <w:shd w:val="clear" w:color="auto" w:fill="F0F0F0"/>
                </w:tcPr>
                <w:p>
                  <w:pPr>
                    <w:pStyle w:val="Normal"/>
                    <w:keepLines w:val="on"/>
                  </w:pPr>
                  <w:r>
                    <w:t>27.214 đô la</w:t>
                  </w:r>
                </w:p>
              </w:tc>
              <w:tc>
                <w:tcPr>
                  <w:tcW w:type="auto" w:w="0"/>
                  <w:shd w:val="clear" w:color="auto" w:fill="F0F0F0"/>
                </w:tcPr>
                <w:p>
                  <w:pPr>
                    <w:pStyle w:val="Normal"/>
                    <w:keepLines w:val="on"/>
                  </w:pPr>
                  <w:r>
                    <w:t>26.488 đô la</w:t>
                  </w:r>
                </w:p>
              </w:tc>
              <w:tc>
                <w:tcPr>
                  <w:tcW w:type="auto" w:w="0"/>
                  <w:shd w:val="clear" w:color="auto" w:fill="F0F0F0"/>
                </w:tcPr>
                <w:p>
                  <w:pPr>
                    <w:pStyle w:val="3 Block"/>
                    <w:keepLines w:val="on"/>
                  </w:pPr>
                </w:p>
              </w:tc>
            </w:tr>
            <w:tr>
              <w:tc>
                <w:tcPr>
                  <w:tcW w:type="auto" w:w="0"/>
                  <w:shd w:val="clear" w:color="auto" w:fill="F0F0F0"/>
                </w:tcPr>
                <w:p>
                  <w:pPr>
                    <w:pStyle w:val="5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c>
                <w:tcPr>
                  <w:tcW w:type="auto" w:w="0"/>
                  <w:shd w:val="clear" w:color="auto" w:fill="F0F0F0"/>
                </w:tcPr>
                <w:p>
                  <w:pPr>
                    <w:pStyle w:val="3 Block"/>
                    <w:keepLines w:val="on"/>
                  </w:pPr>
                </w:p>
              </w:tc>
            </w:tr>
            <w:tr>
              <w:tc>
                <w:tcPr>
                  <w:tcW w:type="auto" w:w="0"/>
                  <w:shd w:val="clear" w:color="auto" w:fill="F0F0F0"/>
                </w:tcPr>
                <w:p>
                  <w:pPr>
                    <w:pStyle w:val="Para 02"/>
                    <w:keepLines w:val="on"/>
                  </w:pPr>
                  <w:r>
                    <w:t>Tốc độ tăng trưởng</w:t>
                  </w:r>
                </w:p>
              </w:tc>
              <w:tc>
                <w:tcPr>
                  <w:tcW w:type="auto" w:w="0"/>
                  <w:shd w:val="clear" w:color="auto" w:fill="F0F0F0"/>
                </w:tcPr>
                <w:p>
                  <w:pPr>
                    <w:pStyle w:val="Normal"/>
                    <w:keepLines w:val="on"/>
                  </w:pPr>
                  <w:r>
                    <w:t>–64,73%</w:t>
                  </w:r>
                </w:p>
              </w:tc>
              <w:tc>
                <w:tcPr>
                  <w:tcW w:type="auto" w:w="0"/>
                  <w:shd w:val="clear" w:color="auto" w:fill="F0F0F0"/>
                </w:tcPr>
                <w:p>
                  <w:pPr>
                    <w:pStyle w:val="Normal"/>
                    <w:keepLines w:val="on"/>
                  </w:pPr>
                  <w:r>
                    <w:t>–5,01%</w:t>
                  </w:r>
                </w:p>
              </w:tc>
              <w:tc>
                <w:tcPr>
                  <w:tcW w:type="auto" w:w="0"/>
                  <w:shd w:val="clear" w:color="auto" w:fill="F0F0F0"/>
                </w:tcPr>
                <w:p>
                  <w:pPr>
                    <w:pStyle w:val="Normal"/>
                    <w:keepLines w:val="on"/>
                  </w:pPr>
                  <w:r>
                    <w:t>10,57%</w:t>
                  </w:r>
                </w:p>
              </w:tc>
              <w:tc>
                <w:tcPr>
                  <w:tcW w:type="auto" w:w="0"/>
                  <w:shd w:val="clear" w:color="auto" w:fill="F0F0F0"/>
                </w:tcPr>
                <w:p>
                  <w:pPr>
                    <w:pStyle w:val="Normal"/>
                    <w:keepLines w:val="on"/>
                  </w:pPr>
                  <w:r>
                    <w:t>9,37%</w:t>
                  </w:r>
                </w:p>
              </w:tc>
              <w:tc>
                <w:tcPr>
                  <w:tcW w:type="auto" w:w="0"/>
                  <w:shd w:val="clear" w:color="auto" w:fill="F0F0F0"/>
                </w:tcPr>
                <w:p>
                  <w:pPr>
                    <w:pStyle w:val="Normal"/>
                    <w:keepLines w:val="on"/>
                  </w:pPr>
                  <w:r>
                    <w:t>13,09%</w:t>
                  </w:r>
                </w:p>
              </w:tc>
              <w:tc>
                <w:tcPr>
                  <w:tcW w:type="auto" w:w="0"/>
                  <w:shd w:val="clear" w:color="auto" w:fill="F0F0F0"/>
                </w:tcPr>
                <w:p>
                  <w:pPr>
                    <w:pStyle w:val="Normal"/>
                    <w:keepLines w:val="on"/>
                  </w:pPr>
                  <w:r>
                    <w:t>14,13%</w:t>
                  </w:r>
                </w:p>
              </w:tc>
              <w:tc>
                <w:tcPr>
                  <w:tcW w:type="auto" w:w="0"/>
                  <w:shd w:val="clear" w:color="auto" w:fill="F0F0F0"/>
                </w:tcPr>
                <w:p>
                  <w:pPr>
                    <w:pStyle w:val="Normal"/>
                    <w:keepLines w:val="on"/>
                  </w:pPr>
                  <w:r>
                    <w:t>58,75%</w:t>
                  </w:r>
                </w:p>
              </w:tc>
              <w:tc>
                <w:tcPr>
                  <w:tcW w:type="auto" w:w="0"/>
                  <w:shd w:val="clear" w:color="auto" w:fill="F0F0F0"/>
                </w:tcPr>
                <w:p>
                  <w:pPr>
                    <w:pStyle w:val="Normal"/>
                    <w:keepLines w:val="on"/>
                  </w:pPr>
                  <w:r>
                    <w:t>–14,98%</w:t>
                  </w:r>
                </w:p>
              </w:tc>
              <w:tc>
                <w:tcPr>
                  <w:tcW w:type="auto" w:w="0"/>
                  <w:shd w:val="clear" w:color="auto" w:fill="F0F0F0"/>
                </w:tcPr>
                <w:p>
                  <w:pPr>
                    <w:pStyle w:val="Normal"/>
                    <w:keepLines w:val="on"/>
                  </w:pPr>
                  <w:r>
                    <w:t>12,28%</w:t>
                  </w:r>
                </w:p>
              </w:tc>
            </w:tr>
            <w:tr>
              <w:tc>
                <w:tcPr>
                  <w:tcW w:type="auto" w:w="0"/>
                  <w:shd w:val="clear" w:color="auto" w:fill="F0F0F0"/>
                </w:tcPr>
                <w:p>
                  <w:pPr>
                    <w:pStyle w:val="Para 02"/>
                    <w:keepLines w:val="on"/>
                  </w:pPr>
                  <w:r>
                    <w:t>Tỷ lệ chi trả cổ tức</w:t>
                  </w:r>
                </w:p>
              </w:tc>
              <w:tc>
                <w:tcPr>
                  <w:tcW w:type="auto" w:w="0"/>
                  <w:shd w:val="clear" w:color="auto" w:fill="F0F0F0"/>
                </w:tcPr>
                <w:p>
                  <w:pPr>
                    <w:pStyle w:val="Normal"/>
                    <w:keepLines w:val="on"/>
                  </w:pPr>
                  <w:r>
                    <w:t>202,36%</w:t>
                  </w:r>
                </w:p>
              </w:tc>
              <w:tc>
                <w:tcPr>
                  <w:tcW w:type="auto" w:w="0"/>
                  <w:shd w:val="clear" w:color="auto" w:fill="F0F0F0"/>
                </w:tcPr>
                <w:p>
                  <w:pPr>
                    <w:pStyle w:val="Normal"/>
                    <w:keepLines w:val="on"/>
                  </w:pPr>
                  <w:r>
                    <w:t>49,09%</w:t>
                  </w:r>
                </w:p>
              </w:tc>
              <w:tc>
                <w:tcPr>
                  <w:tcW w:type="auto" w:w="0"/>
                  <w:shd w:val="clear" w:color="auto" w:fill="F0F0F0"/>
                </w:tcPr>
                <w:p>
                  <w:pPr>
                    <w:pStyle w:val="Normal"/>
                    <w:keepLines w:val="on"/>
                  </w:pPr>
                  <w:r>
                    <w:t>42,93%</w:t>
                  </w:r>
                </w:p>
              </w:tc>
              <w:tc>
                <w:tcPr>
                  <w:tcW w:type="auto" w:w="0"/>
                  <w:shd w:val="clear" w:color="auto" w:fill="F0F0F0"/>
                </w:tcPr>
                <w:p>
                  <w:pPr>
                    <w:pStyle w:val="Normal"/>
                    <w:keepLines w:val="on"/>
                  </w:pPr>
                  <w:r>
                    <w:t>44,00%</w:t>
                  </w:r>
                </w:p>
              </w:tc>
              <w:tc>
                <w:tcPr>
                  <w:tcW w:type="auto" w:w="0"/>
                  <w:shd w:val="clear" w:color="auto" w:fill="F0F0F0"/>
                </w:tcPr>
                <w:p>
                  <w:pPr>
                    <w:pStyle w:val="Normal"/>
                    <w:keepLines w:val="on"/>
                  </w:pPr>
                  <w:r>
                    <w:t>44,91%</w:t>
                  </w:r>
                </w:p>
              </w:tc>
              <w:tc>
                <w:tcPr>
                  <w:tcW w:type="auto" w:w="0"/>
                  <w:shd w:val="clear" w:color="auto" w:fill="F0F0F0"/>
                </w:tcPr>
                <w:p>
                  <w:pPr>
                    <w:pStyle w:val="Normal"/>
                    <w:keepLines w:val="on"/>
                  </w:pPr>
                  <w:r>
                    <w:t>40,74%</w:t>
                  </w:r>
                </w:p>
              </w:tc>
              <w:tc>
                <w:tcPr>
                  <w:tcW w:type="auto" w:w="0"/>
                  <w:shd w:val="clear" w:color="auto" w:fill="F0F0F0"/>
                </w:tcPr>
                <w:p>
                  <w:pPr>
                    <w:pStyle w:val="Normal"/>
                    <w:keepLines w:val="on"/>
                  </w:pPr>
                  <w:r>
                    <w:t>34,47%</w:t>
                  </w:r>
                </w:p>
              </w:tc>
              <w:tc>
                <w:tcPr>
                  <w:tcW w:type="auto" w:w="0"/>
                  <w:shd w:val="clear" w:color="auto" w:fill="F0F0F0"/>
                </w:tcPr>
                <w:p>
                  <w:pPr>
                    <w:pStyle w:val="Normal"/>
                    <w:keepLines w:val="on"/>
                  </w:pPr>
                  <w:r>
                    <w:t>49,96%</w:t>
                  </w:r>
                </w:p>
              </w:tc>
              <w:tc>
                <w:tcPr>
                  <w:tcW w:type="auto" w:w="0"/>
                  <w:shd w:val="clear" w:color="auto" w:fill="F0F0F0"/>
                </w:tcPr>
                <w:p>
                  <w:pPr>
                    <w:pStyle w:val="Normal"/>
                    <w:keepLines w:val="on"/>
                  </w:pPr>
                  <w:r>
                    <w:t>43,73%</w:t>
                  </w:r>
                </w:p>
              </w:tc>
            </w:tr>
            <w:tr>
              <w:tc>
                <w:tcPr>
                  <w:tcW w:type="auto" w:w="0"/>
                  <w:shd w:val="clear" w:color="auto" w:fill="F0F0F0"/>
                </w:tcPr>
                <w:p>
                  <w:pPr>
                    <w:pStyle w:val="Para 02"/>
                    <w:keepLines w:val="on"/>
                  </w:pPr>
                  <w:r>
                    <w:t>ROE</w:t>
                  </w:r>
                </w:p>
              </w:tc>
              <w:tc>
                <w:tcPr>
                  <w:tcW w:type="auto" w:w="0"/>
                  <w:shd w:val="clear" w:color="auto" w:fill="F0F0F0"/>
                </w:tcPr>
                <w:p>
                  <w:pPr>
                    <w:pStyle w:val="Normal"/>
                    <w:keepLines w:val="on"/>
                  </w:pPr>
                  <w:r>
                    <w:t>5,97%</w:t>
                  </w:r>
                </w:p>
              </w:tc>
              <w:tc>
                <w:tcPr>
                  <w:tcW w:type="auto" w:w="0"/>
                  <w:shd w:val="clear" w:color="auto" w:fill="F0F0F0"/>
                </w:tcPr>
                <w:p>
                  <w:pPr>
                    <w:pStyle w:val="Normal"/>
                    <w:keepLines w:val="on"/>
                  </w:pPr>
                  <w:r>
                    <w:t>17,56%</w:t>
                  </w:r>
                </w:p>
              </w:tc>
              <w:tc>
                <w:tcPr>
                  <w:tcW w:type="auto" w:w="0"/>
                  <w:shd w:val="clear" w:color="auto" w:fill="F0F0F0"/>
                </w:tcPr>
                <w:p>
                  <w:pPr>
                    <w:pStyle w:val="Normal"/>
                    <w:keepLines w:val="on"/>
                  </w:pPr>
                  <w:r>
                    <w:t>20,86%</w:t>
                  </w:r>
                </w:p>
              </w:tc>
              <w:tc>
                <w:tcPr>
                  <w:tcW w:type="auto" w:w="0"/>
                  <w:shd w:val="clear" w:color="auto" w:fill="F0F0F0"/>
                </w:tcPr>
                <w:p>
                  <w:pPr>
                    <w:pStyle w:val="Normal"/>
                    <w:keepLines w:val="on"/>
                  </w:pPr>
                  <w:r>
                    <w:t>20,26%</w:t>
                  </w:r>
                </w:p>
              </w:tc>
              <w:tc>
                <w:tcPr>
                  <w:tcW w:type="auto" w:w="0"/>
                  <w:shd w:val="clear" w:color="auto" w:fill="F0F0F0"/>
                </w:tcPr>
                <w:p>
                  <w:pPr>
                    <w:pStyle w:val="Normal"/>
                    <w:keepLines w:val="on"/>
                  </w:pPr>
                  <w:r>
                    <w:t>20,35%</w:t>
                  </w:r>
                </w:p>
              </w:tc>
              <w:tc>
                <w:tcPr>
                  <w:tcW w:type="auto" w:w="0"/>
                  <w:shd w:val="clear" w:color="auto" w:fill="F0F0F0"/>
                </w:tcPr>
                <w:p>
                  <w:pPr>
                    <w:pStyle w:val="Normal"/>
                    <w:keepLines w:val="on"/>
                  </w:pPr>
                  <w:r>
                    <w:t>20,46%</w:t>
                  </w:r>
                </w:p>
              </w:tc>
              <w:tc>
                <w:tcPr>
                  <w:tcW w:type="auto" w:w="0"/>
                  <w:shd w:val="clear" w:color="auto" w:fill="F0F0F0"/>
                </w:tcPr>
                <w:p>
                  <w:pPr>
                    <w:pStyle w:val="Normal"/>
                    <w:keepLines w:val="on"/>
                  </w:pPr>
                  <w:r>
                    <w:t>19,97%</w:t>
                  </w:r>
                </w:p>
              </w:tc>
              <w:tc>
                <w:tcPr>
                  <w:tcW w:type="auto" w:w="0"/>
                  <w:shd w:val="clear" w:color="auto" w:fill="F0F0F0"/>
                </w:tcPr>
                <w:p>
                  <w:pPr>
                    <w:pStyle w:val="Normal"/>
                    <w:keepLines w:val="on"/>
                  </w:pPr>
                  <w:r>
                    <w:t>12,92%</w:t>
                  </w:r>
                </w:p>
              </w:tc>
              <w:tc>
                <w:tcPr>
                  <w:tcW w:type="auto" w:w="0"/>
                  <w:shd w:val="clear" w:color="auto" w:fill="F0F0F0"/>
                </w:tcPr>
                <w:p>
                  <w:pPr>
                    <w:pStyle w:val="Normal"/>
                    <w:keepLines w:val="on"/>
                  </w:pPr>
                  <w:r>
                    <w:t>18,91%</w:t>
                  </w:r>
                </w:p>
              </w:tc>
            </w:tr>
          </w:tbl>
          <w:p/>
        </w:tc>
      </w:tr>
    </w:tbl>
    <w:p>
      <w:pPr>
        <w:pStyle w:val="Para 04"/>
        <w:keepLines w:val="on"/>
      </w:pPr>
      <w:r>
        <w:t>Lưu ý rằng dù cổ tức tăng trong năm 2008, thu nhập ròng và tỷ suất sinh lời trên vốn chủ sở hữu (ROE) lại giảm mạnh. Đầu năm 2009, đây là một số câu hỏi then chốt mà một nhà phân tích sẽ phải đối mặt khi định giá Wells Fargo:</w:t>
      </w:r>
    </w:p>
    <w:p>
      <w:pPr>
        <w:numPr>
          <w:ilvl w:val="0"/>
          <w:numId w:val="400"/>
        </w:numPr>
        <w:pStyle w:val="Para 18"/>
        <w:keepLines w:val="on"/>
      </w:pPr>
      <w:r>
        <w:t>Bạn nên dùng giá trị nào làm giá trị năm cơ sở cho thu nhập, cổ tức và tỷ suất sinh lời đầu tư? Nói cách khác, liệu bạn có thể giả định rằng năm 2008 chỉ là một dị thường và quay về các giá trị chuẩn hóa phản ánh mức trung bình từ năm 2001 đến 2007 không?</w:t>
      </w:r>
    </w:p>
    <w:p>
      <w:pPr>
        <w:numPr>
          <w:ilvl w:val="0"/>
          <w:numId w:val="400"/>
        </w:numPr>
        <w:pStyle w:val="Para 18"/>
        <w:keepLines w:val="on"/>
      </w:pPr>
      <w:r>
        <w:t>Trong lịch sử, các ngân hàng có beta gần bằng 1, điều này sẽ cho Wells Fargo chi phí vốn chủ sở hữu khoảng 9% vào tháng 2 năm 2009 (lãi suất trái phiếu chính phủ = 3%; phần bù rủi ro vốn chủ sở hữu (ERP) = 6%). Vì cuộc khủng hoảng đã làm sáng tỏ những rủi ro tiềm ẩn trong các ngân hàng, liệu bạn có tiếp tục dùng beta này trong định giá không?</w:t>
      </w:r>
    </w:p>
    <w:p>
      <w:pPr>
        <w:pStyle w:val="Para 04"/>
        <w:keepLines w:val="on"/>
      </w:pPr>
      <w:r>
        <w:t>Thay vì cố gắng đưa ra một giá trị tổng hợp cho Wells Fargo qua tất cả các kịch bản có thể, chúng tôi xây dựng ba kịch bản:</w:t>
      </w:r>
    </w:p>
    <w:p>
      <w:pPr>
        <w:numPr>
          <w:ilvl w:val="0"/>
          <w:numId w:val="401"/>
        </w:numPr>
        <w:pStyle w:val="Para 18"/>
        <w:keepLines w:val="on"/>
      </w:pPr>
      <w:r>
        <w:t>Hồi phục nhanh về trạng thái bình thường (xác suất 10%). Đây là kịch bản lạc quan nhất, trong đó chúng tôi giả định rằng cuộc khủng hoảng sẽ qua nhanh, các tỷ lệ vốn theo quy định sẽ không thay đổi, và tỷ suất sinh lời trên vốn chủ sở hữu cùng beta sẽ nhanh chóng trở về mức trước khủng hoảng (beta = 1, ROE = 18,91%).</w:t>
      </w:r>
    </w:p>
    <w:p>
      <w:pPr>
        <w:numPr>
          <w:ilvl w:val="0"/>
          <w:numId w:val="401"/>
        </w:numPr>
        <w:pStyle w:val="Para 18"/>
        <w:keepLines w:val="on"/>
      </w:pPr>
      <w:r>
        <w:t>Hồi phục chậm về trạng thái bình thường (xác suất 60%). Đây là kịch bản bi quan hơn (và thực tế hơn), trong đó cuộc khủng hoảng lắng xuống từ từ nhưng kèm theo yêu cầu vốn theo quy định cao hơn (điều này sẽ hạ tỷ suất sinh lời trên vốn chủ sở hữu xuống 15%) và mức biến động cao hơn đối với các ngân hàng (điều này sẽ đẩy chi phí vốn chủ sở hữu lên 10%).</w:t>
      </w:r>
    </w:p>
    <w:p>
      <w:pPr>
        <w:numPr>
          <w:ilvl w:val="0"/>
          <w:numId w:val="401"/>
        </w:numPr>
        <w:pStyle w:val="Para 18"/>
        <w:keepLines w:val="on"/>
      </w:pPr>
      <w:r>
        <w:t>Trật tự thế giới mới (xác suất 30%). Đây là kịch bản bi quan nhất, khi cuộc khủng hoảng kéo dài và các thay đổi về vốn theo quy định trở nên khắc nghiệt, với tỷ suất sinh lời trên vốn chủ sở hữu giảm xuống 12% và chi phí vốn chủ sở hữu tăng lên 11%.</w:t>
      </w:r>
    </w:p>
    <w:p>
      <w:pPr>
        <w:pStyle w:val="Para 04"/>
        <w:keepLines w:val="on"/>
      </w:pPr>
      <w:r>
        <w:t>Dùng tỷ suất sinh lời trên vốn chủ sở hữu và chi phí vốn chủ sở hữu làm đòn bẩy trong mô hình chiết khấu cổ tức (dividend discount model), chúng tôi có thể suy ra giá trị vốn chủ sở hữu:</w:t>
      </w:r>
    </w:p>
    <w:p>
      <w:bookmarkStart w:id="6655" w:name="Valueofequity_Expecteddividendsn"/>
      <w:pPr>
        <w:keepNext/>
        <w:pStyle w:val="Para 07"/>
        <w:keepLines w:val="on"/>
      </w:pPr>
      <w:r>
        <w:t>Valueofequity=ExpecteddividendsnextyearCostofequity−Growthrate=BookEquityBase×ROE×1−gROECost of equity−Growth rate</w:t>
      </w:r>
      <w:bookmarkEnd w:id="6655"/>
    </w:p>
    <w:p>
      <w:pPr>
        <w:pStyle w:val="Para 04"/>
        <w:keepLines w:val="on"/>
      </w:pPr>
      <w:r>
        <w:t>Giả định rằng Wells Fargo đang ở giai đoạn tăng trưởng ổn định, tăng 3% mỗi năm, chúng ta có thể ước tính giá trị vốn chủ sở hữu như một hàm số của ROE kỳ vọng và chi phí vốn chủ sở hữu. Bảng sau đây tóm tắt các ước tính cho tổng giá trị vốn chủ sở hữu (dùng 47.628 triệu đô la làm vốn chủ sở hữu sổ sách cơ sở) của Wells Fargo trong cả ba kịch bản:</w:t>
      </w:r>
    </w:p>
    <w:tbl>
      <w:tblPr>
        <w:tblW w:type="auto" w:w="0"/>
      </w:tblPr>
      <w:tr>
        <w:tc>
          <w:tcPr>
            <w:tcW w:type="auto" w:w="0"/>
          </w:tcPr>
          <w:tbl>
            <w:tblPr>
              <w:tblW w:type="auto" w:w="0"/>
            </w:tblPr>
            <w:tr>
              <w:tc>
                <w:tcPr>
                  <w:tcW w:type="auto" w:w="0"/>
                  <w:shd w:val="clear" w:color="auto" w:fill="F0F0F0"/>
                </w:tcPr>
                <w:p>
                  <w:pPr>
                    <w:pStyle w:val="Para 32"/>
                    <w:keepLines w:val="on"/>
                  </w:pPr>
                  <w:r>
                    <w:t>Kịch bản</w:t>
                  </w:r>
                </w:p>
              </w:tc>
              <w:tc>
                <w:tcPr>
                  <w:tcW w:type="auto" w:w="0"/>
                  <w:shd w:val="clear" w:color="auto" w:fill="F0F0F0"/>
                </w:tcPr>
                <w:p>
                  <w:pPr>
                    <w:pStyle w:val="Para 05"/>
                    <w:keepLines w:val="on"/>
                  </w:pPr>
                  <w:r>
                    <w:t>Xác suất</w:t>
                  </w:r>
                </w:p>
              </w:tc>
              <w:tc>
                <w:tcPr>
                  <w:tcW w:type="auto" w:w="0"/>
                  <w:shd w:val="clear" w:color="auto" w:fill="F0F0F0"/>
                </w:tcPr>
                <w:p>
                  <w:pPr>
                    <w:pStyle w:val="Para 05"/>
                    <w:keepLines w:val="on"/>
                  </w:pPr>
                  <w:r>
                    <w:t>Thu nhập ròng</w:t>
                  </w:r>
                </w:p>
              </w:tc>
              <w:tc>
                <w:tcPr>
                  <w:tcW w:type="auto" w:w="0"/>
                  <w:shd w:val="clear" w:color="auto" w:fill="F0F0F0"/>
                </w:tcPr>
                <w:p>
                  <w:pPr>
                    <w:pStyle w:val="Para 05"/>
                    <w:keepLines w:val="on"/>
                  </w:pPr>
                  <w:r>
                    <w:t>ROE</w:t>
                  </w:r>
                </w:p>
              </w:tc>
              <w:tc>
                <w:tcPr>
                  <w:tcW w:type="auto" w:w="0"/>
                  <w:shd w:val="clear" w:color="auto" w:fill="F0F0F0"/>
                </w:tcPr>
                <w:p>
                  <w:pPr>
                    <w:pStyle w:val="Para 05"/>
                    <w:keepLines w:val="on"/>
                  </w:pPr>
                  <w:r>
                    <w:t>Chi phí vốn chủ sở hữu</w:t>
                  </w:r>
                </w:p>
              </w:tc>
              <w:tc>
                <w:tcPr>
                  <w:tcW w:type="auto" w:w="0"/>
                  <w:shd w:val="clear" w:color="auto" w:fill="F0F0F0"/>
                </w:tcPr>
                <w:p>
                  <w:pPr>
                    <w:pStyle w:val="Para 05"/>
                    <w:keepLines w:val="on"/>
                  </w:pPr>
                  <w:r>
                    <w:t>Giá trị vốn chủ sở hữu</w:t>
                  </w:r>
                </w:p>
              </w:tc>
            </w:tr>
            <w:tr>
              <w:tc>
                <w:tcPr>
                  <w:tcW w:type="auto" w:w="0"/>
                  <w:shd w:val="clear" w:color="auto" w:fill="F0F0F0"/>
                </w:tcPr>
                <w:p>
                  <w:pPr>
                    <w:pStyle w:val="Para 02"/>
                    <w:keepLines w:val="on"/>
                  </w:pPr>
                  <w:r>
                    <w:t>Hồi phục nhanh trở lại bình thường</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$9.006,45</w:t>
                  </w:r>
                </w:p>
              </w:tc>
              <w:tc>
                <w:tcPr>
                  <w:tcW w:type="auto" w:w="0"/>
                  <w:shd w:val="clear" w:color="auto" w:fill="F0F0F0"/>
                </w:tcPr>
                <w:p>
                  <w:pPr>
                    <w:pStyle w:val="Normal"/>
                    <w:keepLines w:val="on"/>
                  </w:pPr>
                  <w:r>
                    <w:t>18,91%</w:t>
                  </w:r>
                </w:p>
              </w:tc>
              <w:tc>
                <w:tcPr>
                  <w:tcW w:type="auto" w:w="0"/>
                  <w:shd w:val="clear" w:color="auto" w:fill="F0F0F0"/>
                </w:tcPr>
                <w:p>
                  <w:pPr>
                    <w:pStyle w:val="Normal"/>
                    <w:keepLines w:val="on"/>
                  </w:pPr>
                  <w:r>
                    <w:t>9%</w:t>
                  </w:r>
                </w:p>
              </w:tc>
              <w:tc>
                <w:tcPr>
                  <w:tcW w:type="auto" w:w="0"/>
                  <w:shd w:val="clear" w:color="auto" w:fill="F0F0F0"/>
                </w:tcPr>
                <w:p>
                  <w:pPr>
                    <w:pStyle w:val="Normal"/>
                    <w:keepLines w:val="on"/>
                  </w:pPr>
                  <w:r>
                    <w:t>$126.294</w:t>
                  </w:r>
                </w:p>
              </w:tc>
            </w:tr>
            <w:tr>
              <w:tc>
                <w:tcPr>
                  <w:tcW w:type="auto" w:w="0"/>
                  <w:shd w:val="clear" w:color="auto" w:fill="F0F0F0"/>
                </w:tcPr>
                <w:p>
                  <w:pPr>
                    <w:pStyle w:val="Para 02"/>
                    <w:keepLines w:val="on"/>
                  </w:pPr>
                  <w:r>
                    <w:t>Hồi phục chậm trở lại bình thường</w:t>
                  </w:r>
                </w:p>
              </w:tc>
              <w:tc>
                <w:tcPr>
                  <w:tcW w:type="auto" w:w="0"/>
                  <w:shd w:val="clear" w:color="auto" w:fill="F0F0F0"/>
                </w:tcPr>
                <w:p>
                  <w:pPr>
                    <w:pStyle w:val="Normal"/>
                    <w:keepLines w:val="on"/>
                  </w:pPr>
                  <w:r>
                    <w:t>60%</w:t>
                  </w:r>
                </w:p>
              </w:tc>
              <w:tc>
                <w:tcPr>
                  <w:tcW w:type="auto" w:w="0"/>
                  <w:shd w:val="clear" w:color="auto" w:fill="F0F0F0"/>
                </w:tcPr>
                <w:p>
                  <w:pPr>
                    <w:pStyle w:val="Normal"/>
                    <w:keepLines w:val="on"/>
                  </w:pPr>
                  <w:r>
                    <w:t>$7.144,20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$81.648</w:t>
                  </w:r>
                </w:p>
              </w:tc>
            </w:tr>
            <w:tr>
              <w:tc>
                <w:tcPr>
                  <w:tcW w:type="auto" w:w="0"/>
                  <w:shd w:val="clear" w:color="auto" w:fill="F0F0F0"/>
                </w:tcPr>
                <w:p>
                  <w:pPr>
                    <w:pStyle w:val="Para 02"/>
                    <w:keepLines w:val="on"/>
                  </w:pPr>
                  <w:r>
                    <w:t>Trật tự thế giới mới</w:t>
                  </w:r>
                </w:p>
              </w:tc>
              <w:tc>
                <w:tcPr>
                  <w:tcW w:type="auto" w:w="0"/>
                  <w:shd w:val="clear" w:color="auto" w:fill="F0F0F0"/>
                </w:tcPr>
                <w:p>
                  <w:pPr>
                    <w:pStyle w:val="Normal"/>
                    <w:keepLines w:val="on"/>
                  </w:pPr>
                  <w:r>
                    <w:t>30%</w:t>
                  </w:r>
                </w:p>
              </w:tc>
              <w:tc>
                <w:tcPr>
                  <w:tcW w:type="auto" w:w="0"/>
                  <w:shd w:val="clear" w:color="auto" w:fill="F0F0F0"/>
                </w:tcPr>
                <w:p>
                  <w:pPr>
                    <w:pStyle w:val="Normal"/>
                    <w:keepLines w:val="on"/>
                  </w:pPr>
                  <w:r>
                    <w:t>$5.715,36</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11%</w:t>
                  </w:r>
                </w:p>
              </w:tc>
              <w:tc>
                <w:tcPr>
                  <w:tcW w:type="auto" w:w="0"/>
                  <w:shd w:val="clear" w:color="auto" w:fill="F0F0F0"/>
                </w:tcPr>
                <w:p>
                  <w:pPr>
                    <w:pStyle w:val="Normal"/>
                    <w:keepLines w:val="on"/>
                  </w:pPr>
                  <w:r>
                    <w:t>$53.582</w:t>
                  </w:r>
                </w:p>
              </w:tc>
            </w:tr>
            <w:tr>
              <w:tc>
                <w:tcPr>
                  <w:tcW w:type="auto" w:w="0"/>
                  <w:shd w:val="clear" w:color="auto" w:fill="F0F0F0"/>
                  <w:hMerge w:val="restart"/>
                </w:tcPr>
                <w:p>
                  <w:pPr>
                    <w:pStyle w:val="Para 02"/>
                    <w:keepLines w:val="on"/>
                  </w:pPr>
                  <w:r>
                    <w:t>Giá trị kỳ vọng = 0,10 ($126.294) + 0,60 ($81.648) + 0,30 ($53.582) =</w:t>
                  </w:r>
                </w:p>
              </w:tc>
              <w:tc>
                <w:tcPr>
                  <w:hMerge w:val="continue"/>
                </w:tcPr>
                <w:p/>
              </w:tc>
              <w:tc>
                <w:tcPr>
                  <w:hMerge w:val="continue"/>
                </w:tcPr>
                <w:p/>
              </w:tc>
              <w:tc>
                <w:tcPr>
                  <w:hMerge w:val="continue"/>
                </w:tcPr>
                <w:p/>
              </w:tc>
              <w:tc>
                <w:tcPr>
                  <w:hMerge w:val="continue"/>
                </w:tcPr>
                <w:p/>
              </w:tc>
              <w:tc>
                <w:tcPr>
                  <w:tcW w:type="auto" w:w="0"/>
                  <w:shd w:val="clear" w:color="auto" w:fill="F0F0F0"/>
                </w:tcPr>
                <w:p>
                  <w:pPr>
                    <w:pStyle w:val="Normal"/>
                    <w:keepLines w:val="on"/>
                  </w:pPr>
                  <w:r>
                    <w:t>$77.693</w:t>
                  </w:r>
                </w:p>
              </w:tc>
            </w:tr>
          </w:tbl>
          <w:p/>
        </w:tc>
      </w:tr>
    </w:tbl>
    <w:p>
      <w:pPr>
        <w:pStyle w:val="Para 04"/>
        <w:keepLines w:val="on"/>
      </w:pPr>
      <w:r>
        <w:t>Với mức vốn hóa thị trường 66,643 tỷ đô la vào đầu năm 2009, Wells Fargo có vẻ đang bị định giá thấp, nhưng việc định giá này rất nhạy cảm với xác suất gắn với ba kịch bản.</w:t>
      </w:r>
    </w:p>
    <w:p>
      <w:bookmarkStart w:id="6656" w:name="Decision_Trees__In_some_cases__r"/>
      <w:bookmarkStart w:id="6657" w:name="Decision_Trees"/>
      <w:pPr>
        <w:keepNext/>
        <w:pStyle w:val="Heading 2"/>
        <w:keepLines w:val="on"/>
      </w:pPr>
      <w:r>
        <w:t>Cây quyết định</w:t>
      </w:r>
      <w:bookmarkEnd w:id="6656"/>
      <w:bookmarkEnd w:id="6657"/>
    </w:p>
    <w:p>
      <w:pPr>
        <w:pStyle w:val="Para 03"/>
      </w:pPr>
      <w:r>
        <w:t>Trong một số trường hợp, rủi ro không chỉ rời rạc mà còn mang tính tuần tự. Nói cách khác, để tài sản có giá trị, nó phải vượt qua một loạt các bài kiểm tra, và thất bại ở bất kỳ điểm nào cũng có thể đồng nghĩa với việc mất toàn bộ giá trị. Đây chính là trường hợp của một loại thuốc dược phẩm đang được thử nghiệm cho mục đích thương mại. Quy trình phê duyệt ba giai đoạn của Cục Quản lý Thực phẩm và Dược phẩm (FDA) vạch ra những rào cản mà loại thuốc này phải vượt qua để được bán ra thị trường, và thất bại ở bất kỳ giai đoạn nào trong ba giai đoạn đó cũng đánh dấu chấm hết cho cơ hội của loại thuốc. Khi định giá một công ty dược phẩm lớn với danh mục nhiều loại thuốc, rủi ro một loại thuốc không vượt qua được quy trình sẽ được san đều trên toàn bộ danh mục thuốc đang trong giai đoạn phát triển, nhờ đó chúng ta có thể sử dụng các mô hình dòng tiền chiết khấu thông thường. Ngược lại, nếu bạn định giá một công ty công nghệ sinh học nhỏ chỉ có một loại thuốc duy nhất đang trong quá trình phê duyệt, thì giá trị hoàn toàn phụ thuộc vào quy trình rủi ro tuần tự này. Cây quyết định cho phép chúng ta không chỉ xem xét rủi ro theo từng giai đoạn mà còn vạch ra phản ứng đúng đắn cho các kết quả ở mỗi giai đoạn.</w:t>
      </w:r>
    </w:p>
    <w:p>
      <w:bookmarkStart w:id="6659" w:name="Steps_in_Decision_Tree_Analysis_1"/>
      <w:bookmarkStart w:id="6660" w:name="Steps_in_Decision_Tree_Analysis"/>
      <w:pPr>
        <w:keepNext/>
        <w:pStyle w:val="Heading 3"/>
        <w:keepLines w:val="on"/>
      </w:pPr>
      <w:r>
        <w:t>Các bước trong phân tích cây quyết định</w:t>
      </w:r>
      <w:bookmarkEnd w:id="6659"/>
      <w:bookmarkEnd w:id="6660"/>
    </w:p>
    <w:p>
      <w:pPr>
        <w:pStyle w:val="Para 03"/>
      </w:pPr>
      <w:r>
        <w:t>Bước đầu tiên để hiểu về cây quyết định là phân biệt giữa nút gốc, nút quyết định, nút sự kiện và nút kết thúc.</w:t>
      </w:r>
    </w:p>
    <w:p>
      <w:pPr>
        <w:numPr>
          <w:ilvl w:val="0"/>
          <w:numId w:val="402"/>
        </w:numPr>
        <w:pStyle w:val="Para 01"/>
      </w:pPr>
      <w:r>
        <w:t>Nút gốc đại diện cho điểm khởi đầu của cây quyết định, nơi người ra quyết định có thể đối mặt với một lựa chọn quyết định hoặc một kết quả không chắc chắn. Mục tiêu của bài tập này là đánh giá xem một khoản đầu tư rủi ro đáng giá bao nhiêu tại nút này.</w:t>
      </w:r>
    </w:p>
    <w:p>
      <w:pPr>
        <w:numPr>
          <w:ilvl w:val="0"/>
          <w:numId w:val="402"/>
        </w:numPr>
        <w:pStyle w:val="Para 01"/>
      </w:pPr>
      <w:r>
        <w:t>Nút sự kiện đại diện cho các kết quả có thể xảy ra trong một canh bạc rủi ro; việc một loại thuốc có vượt qua giai đoạn đầu tiên của quy trình phê duyệt FDA hay không là một ví dụ điển hình. Chúng ta phải xác định các kết quả có thể xảy ra và xác suất xảy ra của chúng, dựa trên thông tin hiện có.</w:t>
      </w:r>
    </w:p>
    <w:p>
      <w:pPr>
        <w:numPr>
          <w:ilvl w:val="0"/>
          <w:numId w:val="402"/>
        </w:numPr>
        <w:pStyle w:val="Para 01"/>
      </w:pPr>
      <w:r>
        <w:t>Nút quyết định đại diện cho những lựa chọn mà người ra quyết định có thể thực hiện—chẳng hạn như mở rộng từ thị trường thử nghiệm ra thị trường toàn quốc sau khi đã biết kết quả của thị trường thử nghiệm.</w:t>
      </w:r>
    </w:p>
    <w:p>
      <w:pPr>
        <w:numPr>
          <w:ilvl w:val="0"/>
          <w:numId w:val="402"/>
        </w:numPr>
        <w:pStyle w:val="Para 01"/>
      </w:pPr>
      <w:r>
        <w:t>Nút kết thúc thường đại diện cho các kết quả cuối cùng của những kết quả rủi ro trước đó và những quyết định được đưa ra để phản ứng lại.</w:t>
      </w:r>
    </w:p>
    <w:p>
      <w:pPr>
        <w:pStyle w:val="Para 03"/>
      </w:pPr>
      <w:r>
        <w:t>Hãy xem xét một ví dụ rất đơn giản. Bạn được đưa ra một lựa chọn: hoặc nhận một số tiền chắc chắn ($20), hoặc tham gia một canh bạc mà bạn có thể thắng $50 với xác suất 50 phần trăm, hoặc $10 với xác suất 50 phần trăm. Cây quyết định cho canh bạc được đưa ra này được thể hiện trong Hình 33.1.</w:t>
      </w:r>
    </w:p>
    <w:p>
      <w:bookmarkStart w:id="6662" w:name="Figure_33_1_Simple_Decision_Tree"/>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346200" cy="1549400"/>
            <wp:effectExtent l="0" r="0" t="0" b="0"/>
            <wp:wrapTopAndBottom/>
            <wp:docPr id="303" name="c33f001.png" descr="Tree diagram for an offered gamble depicts a decision to accept a fixed amount or gamble. On gambling one can win big or win small."/>
            <wp:cNvGraphicFramePr>
              <a:graphicFrameLocks noChangeAspect="1"/>
            </wp:cNvGraphicFramePr>
            <a:graphic>
              <a:graphicData uri="http://schemas.openxmlformats.org/drawingml/2006/picture">
                <pic:pic>
                  <pic:nvPicPr>
                    <pic:cNvPr id="0" name="c33f001.png" descr="Tree diagram for an offered gamble depicts a decision to accept a fixed amount or gamble. On gambling one can win big or win small."/>
                    <pic:cNvPicPr/>
                  </pic:nvPicPr>
                  <pic:blipFill>
                    <a:blip r:embed="rId218"/>
                    <a:stretch>
                      <a:fillRect/>
                    </a:stretch>
                  </pic:blipFill>
                  <pic:spPr>
                    <a:xfrm>
                      <a:off x="0" y="0"/>
                      <a:ext cx="1346200" cy="1549400"/>
                    </a:xfrm>
                    <a:prstGeom prst="rect">
                      <a:avLst/>
                    </a:prstGeom>
                  </pic:spPr>
                </pic:pic>
              </a:graphicData>
            </a:graphic>
          </wp:anchor>
        </w:drawing>
      </w:r>
      <w:bookmarkEnd w:id="6662"/>
    </w:p>
    <w:p>
      <w:pPr>
        <w:keepNext/>
        <w:pStyle w:val="Para 22"/>
        <w:keepLines w:val="on"/>
      </w:pPr>
      <w:r>
        <w:t>Hình 33.1 Cây quyết định đơn giản</w:t>
      </w:r>
    </w:p>
    <w:p>
      <w:pPr>
        <w:pStyle w:val="Para 03"/>
      </w:pPr>
      <w:r>
        <w:t>Hãy chú ý đến các yếu tố then chốt trong cây quyết định. Thứ nhất, chỉ có các nút sự kiện mới đại diện cho những kết quả không chắc chắn và có xác suất gắn kèm. Thứ hai, nút quyết định đại diện cho một lựa chọn. Trên cơ sở giá trị kỳ vọng thuần túy, canh bạc này tốt hơn (với giá trị kỳ vọng là $30) so với số tiền đảm bảo $20; dấu gạch chéo đôi trên nhánh sau cho thấy nhánh đó sẽ không được chọn. Dù ví dụ này có thể còn đơn giản, nó vẫn chứa đựng các yếu tố để xây dựng một cây quyết định.</w:t>
      </w:r>
    </w:p>
    <w:p>
      <w:pPr>
        <w:pStyle w:val="Para 03"/>
      </w:pPr>
      <w:r>
        <w:t>Bước 1: Chia phân tích thành các giai đoạn rủi ro. Chìa khóa để xây dựng một cây quyết định là phác thảo các giai đoạn rủi ro mà bạn sẽ gặp phải trong tương lai. Trong một số trường hợp, chẳng hạn như quy trình phê duyệt của FDA, điều này sẽ dễ thực hiện vì chỉ có hai kết quả—thuốc được phê duyệt để chuyển sang giai đoạn tiếp theo, hoặc không. Trong những trường hợp khác, việc này sẽ khó hơn. Ví dụ, một thị trường thử nghiệm cho một sản phẩm tiêu dùng mới có thể mang lại hàng trăm kết quả tiềm năng; ở đây, bạn sẽ phải tạo ra các hạng mục rời rạc cho sự thành công của thị trường thử nghiệm.</w:t>
      </w:r>
    </w:p>
    <w:p>
      <w:pPr>
        <w:pStyle w:val="Para 03"/>
      </w:pPr>
      <w:r>
        <w:t>Bước 2: Ước lượng xác suất của các kết quả trong mỗi giai đoạn. Sau khi các giai đoạn rủi ro đã được phác thảo và các kết quả ở mỗi giai đoạn đã được xác định, cần phải tính toán xác suất của các kết quả. Ngoài yêu cầu hiển nhiên là tổng xác suất của các kết quả phải bằng một, bạn cũng sẽ phải xem xét liệu xác suất của các kết quả ở một giai đoạn có thể bị ảnh hưởng bởi các kết quả ở những giai đoạn trước đó hay không. Ví dụ, xác suất giới thiệu sản phẩm thành công trên toàn quốc thay đổi như thế nào khi kết quả thị trường thử nghiệm chỉ ở mức trung bình?</w:t>
      </w:r>
    </w:p>
    <w:p>
      <w:pPr>
        <w:pStyle w:val="Para 03"/>
      </w:pPr>
      <w:r>
        <w:t>Bước 3: Xác định các điểm quyết định. Nằm trong cây quyết định sẽ là các điểm quyết định, nơi bạn sẽ xác định được hướng hành động tốt nhất của mình, dựa trên việc quan sát các kết quả ở những giai đoạn trước đó và kỳ vọng về những gì sẽ xảy ra trong tương lai. Với ví dụ về thị trường thử nghiệm chẳng hạn, bạn sẽ xác định được, vào cuối giai đoạn thử nghiệm thị trường, liệu bạn muốn tiến hành thử nghiệm thị trường lần thứ hai, từ bỏ sản phẩm, hay chuyển thẳng sang giới thiệu sản phẩm trên toàn quốc.</w:t>
      </w:r>
    </w:p>
    <w:p>
      <w:pPr>
        <w:pStyle w:val="Para 03"/>
      </w:pPr>
      <w:r>
        <w:t>Bước 4: Tính toán dòng tiền/giá trị tại các nút kết thúc. Bước tiếp theo trong quy trình cây quyết định là ước lượng dòng tiền cuối cùng và các kết quả giá trị sẽ ra sao tại mỗi nút kết thúc. Trong một số trường hợp, chẳng hạn như từ bỏ một sản phẩm thử nghiệm thị trường, việc này sẽ dễ thực hiện và sẽ đại diện cho số tiền đã chi cho việc thử nghiệm thị trường sản phẩm đó. Trong những trường hợp khác, chẳng hạn như ra mắt toàn quốc cùng một sản phẩm, việc này sẽ khó hơn vì bạn sẽ phải ước lượng dòng tiền kỳ vọng trong suốt vòng đời của sản phẩm và chiết khấu những dòng tiền này để đi đến giá trị.</w:t>
      </w:r>
    </w:p>
    <w:p>
      <w:pPr>
        <w:pStyle w:val="Para 03"/>
      </w:pPr>
      <w:r>
        <w:t>Bước 5: Gộp ngược cây quyết định. Bước cuối cùng trong phân tích cây quyết định được gọi là "gộp ngược cây quyết định", trong đó các giá trị kỳ vọng được tính toán bằng cách làm việc ngược trở lại qua cây. Nếu nút là nút cơ hội, giá trị kỳ vọng được tính bằng bình quân gia quyền theo xác suất của tất cả các kết quả có thể xảy ra. Nếu là nút quyết định, giá trị kỳ vọng được tính cho từng nhánh, và giá trị cao nhất được chọn (như là quyết định tối ưu). Quá trình này đạt đến đỉnh điểm là giá trị kỳ vọng của tài sản hoặc khoản đầu tư ở thời điểm hiện tại.1</w:t>
      </w:r>
    </w:p>
    <w:p>
      <w:pPr>
        <w:pStyle w:val="Para 03"/>
      </w:pPr>
      <w:r>
        <w:t>Có hai kết quả đầu ra then chốt xuất hiện từ một cây quyết định. Thứ nhất là giá trị kỳ vọng hiện tại khi đi qua toàn bộ cây quyết định. Giá trị kỳ vọng này sẽ bao hàm cả tiềm năng tăng lẫn rủi ro giảm từ rủi ro, cùng những hành động mà bạn sẽ thực hiện trên đường đi để phản ứng lại rủi ro đó. Thực chất, điều này tương tự với giá trị đã điều chỉnh theo rủi ro mà chúng ta đã bàn ở chương trước. Thứ hai là khoảng giá trị tại các nút kết thúc, vốn sẽ bao quát được rủi ro tiềm tàng trong khoản đầu tư.</w:t>
      </w:r>
    </w:p>
    <w:p>
      <w:pPr>
        <w:pStyle w:val="Para 11"/>
      </w:pPr>
      <w:r>
        <w:t xml:space="preserve"> </w:t>
      </w:r>
    </w:p>
    <w:p>
      <w:bookmarkStart w:id="6666" w:name="ILLUSTRATION_33_3__Decision_Tree"/>
      <w:bookmarkStart w:id="6667" w:name="ILLUSTRATION_33_3__Decision_Tree_1"/>
      <w:pPr>
        <w:keepNext/>
        <w:pStyle w:val="Para 19"/>
        <w:keepLines w:val="on"/>
      </w:pPr>
      <w:r>
        <w:t>MINH HỌA 33.3: Định giá bằng cây quyết định—Định giá một công ty dược phẩm non trẻ</w:t>
      </w:r>
      <w:bookmarkEnd w:id="6666"/>
      <w:bookmarkEnd w:id="6667"/>
    </w:p>
    <w:p>
      <w:pPr>
        <w:pStyle w:val="Para 04"/>
        <w:keepLines w:val="on"/>
      </w:pPr>
      <w:r>
        <w:t>Để minh họa các bước liên quan đến việc xây dựng một cây quyết định, hãy định giá một công ty công nghệ sinh học nhỏ, chỉ có một sản phẩm duy nhất: một loại thuốc dược phẩm để điều trị bệnh tiểu đường type 1, đã qua thử nghiệm tiền lâm sàng và sắp bước vào giai đoạn 1 của quy trình phê duyệt FDA.2 Giả sử bạn được cung cấp thông tin bổ sung về từng giai đoạn trong ba giai đoạn:</w:t>
      </w:r>
    </w:p>
    <w:p>
      <w:pPr>
        <w:numPr>
          <w:ilvl w:val="0"/>
          <w:numId w:val="403"/>
        </w:numPr>
        <w:pStyle w:val="Para 18"/>
        <w:keepLines w:val="on"/>
      </w:pPr>
      <w:r>
        <w:t>Giai đoạn 1 dự kiến tốn $50 triệu và sẽ huy động 100 tình nguyện viên để xác định tính an toàn và liều lượng; dự kiến kéo dài một năm. Có 70% khả năng loại thuốc này sẽ hoàn thành thành công giai đoạn đầu tiên.</w:t>
      </w:r>
    </w:p>
    <w:p>
      <w:pPr>
        <w:numPr>
          <w:ilvl w:val="0"/>
          <w:numId w:val="403"/>
        </w:numPr>
        <w:pStyle w:val="Para 18"/>
        <w:keepLines w:val="on"/>
      </w:pPr>
      <w:r>
        <w:t>Ở giai đoạn 2, loại thuốc sẽ được thử nghiệm trên 250 tình nguyện viên để đánh giá hiệu quả điều trị bệnh tiểu đường trong khoảng thời gian hai năm. Giai đoạn này sẽ tốn $100 triệu, và loại thuốc sẽ phải cho thấy tác động có ý nghĩa thống kê đối với bệnh thì mới được chuyển sang giai đoạn tiếp theo. Có 30% khả năng loại thuốc sẽ chứng minh được hiệu quả trong điều trị bệnh tiểu đường type 1, nhưng có 10% khả năng nó sẽ thành công trong việc điều trị cả bệnh tiểu đường type 1 lẫn type 2, và 10% khả năng nó chỉ thành công trong việc điều trị bệnh tiểu đường type 2.</w:t>
      </w:r>
    </w:p>
    <w:p>
      <w:pPr>
        <w:numPr>
          <w:ilvl w:val="0"/>
          <w:numId w:val="403"/>
        </w:numPr>
        <w:pStyle w:val="Para 18"/>
        <w:keepLines w:val="on"/>
      </w:pPr>
      <w:r>
        <w:t>Ở giai đoạn 3, việc thử nghiệm sẽ mở rộng lên 4.000 tình nguyện viên để xác định những hậu quả lâu dài của việc dùng thuốc. Nếu loại thuốc chỉ được thử nghiệm trên bệnh nhân tiểu đường type 1 hoặc type 2, giai đoạn này sẽ kéo dài bốn năm và tốn $250 triệu; có 80% khả năng thành công. Nếu nó được thử nghiệm trên cả hai type, giai đoạn này sẽ kéo dài bốn năm và tốn $300 triệu; có 75% khả năng thành công.</w:t>
      </w:r>
    </w:p>
    <w:p>
      <w:pPr>
        <w:pStyle w:val="Para 04"/>
        <w:keepLines w:val="on"/>
      </w:pPr>
      <w:r>
        <w:t>Nếu loại thuốc vượt qua cả ba giai đoạn, chi phí phát triển thuốc và dòng tiền hàng năm được cung cấp như sau:</w:t>
      </w:r>
    </w:p>
    <w:tbl>
      <w:tblPr>
        <w:tblW w:type="auto" w:w="0"/>
      </w:tblPr>
      <w:tr>
        <w:tc>
          <w:tcPr>
            <w:tcW w:type="auto" w:w="0"/>
          </w:tcPr>
          <w:tbl>
            <w:tblPr>
              <w:tblW w:type="auto" w:w="0"/>
            </w:tblPr>
            <w:tr>
              <w:tc>
                <w:tcPr>
                  <w:tcW w:type="auto" w:w="0"/>
                  <w:shd w:val="clear" w:color="auto" w:fill="F0F0F0"/>
                </w:tcPr>
                <w:p>
                  <w:pPr>
                    <w:pStyle w:val="Para 32"/>
                    <w:keepLines w:val="on"/>
                  </w:pPr>
                  <w:r>
                    <w:t>Điều trị bệnh</w:t>
                  </w:r>
                </w:p>
              </w:tc>
              <w:tc>
                <w:tcPr>
                  <w:tcW w:type="auto" w:w="0"/>
                  <w:shd w:val="clear" w:color="auto" w:fill="F0F0F0"/>
                </w:tcPr>
                <w:p>
                  <w:pPr>
                    <w:pStyle w:val="Para 05"/>
                    <w:keepLines w:val="on"/>
                  </w:pPr>
                  <w:r>
                    <w:t>Chi phí phát triển</w:t>
                  </w:r>
                </w:p>
              </w:tc>
              <w:tc>
                <w:tcPr>
                  <w:tcW w:type="auto" w:w="0"/>
                  <w:shd w:val="clear" w:color="auto" w:fill="F0F0F0"/>
                </w:tcPr>
                <w:p>
                  <w:pPr>
                    <w:pStyle w:val="Para 05"/>
                    <w:keepLines w:val="on"/>
                  </w:pPr>
                  <w:r>
                    <w:t>Dòng tiền hằng năm</w:t>
                  </w:r>
                </w:p>
              </w:tc>
            </w:tr>
            <w:tr>
              <w:tc>
                <w:tcPr>
                  <w:tcW w:type="auto" w:w="0"/>
                  <w:shd w:val="clear" w:color="auto" w:fill="F0F0F0"/>
                </w:tcPr>
                <w:p>
                  <w:pPr>
                    <w:pStyle w:val="Para 02"/>
                    <w:keepLines w:val="on"/>
                  </w:pPr>
                  <w:r>
                    <w:t>Chỉ đái tháo đường type 1</w:t>
                  </w:r>
                </w:p>
              </w:tc>
              <w:tc>
                <w:tcPr>
                  <w:tcW w:type="auto" w:w="0"/>
                  <w:shd w:val="clear" w:color="auto" w:fill="F0F0F0"/>
                </w:tcPr>
                <w:p>
                  <w:pPr>
                    <w:pStyle w:val="Normal"/>
                    <w:keepLines w:val="on"/>
                  </w:pPr>
                  <w:r>
                    <w:t>500 triệu đô la</w:t>
                  </w:r>
                </w:p>
              </w:tc>
              <w:tc>
                <w:tcPr>
                  <w:tcW w:type="auto" w:w="0"/>
                  <w:shd w:val="clear" w:color="auto" w:fill="F0F0F0"/>
                </w:tcPr>
                <w:p>
                  <w:pPr>
                    <w:pStyle w:val="Normal"/>
                    <w:keepLines w:val="on"/>
                  </w:pPr>
                  <w:r>
                    <w:t>300 triệu đô la trong 15 năm</w:t>
                  </w:r>
                </w:p>
              </w:tc>
            </w:tr>
            <w:tr>
              <w:tc>
                <w:tcPr>
                  <w:tcW w:type="auto" w:w="0"/>
                  <w:shd w:val="clear" w:color="auto" w:fill="F0F0F0"/>
                </w:tcPr>
                <w:p>
                  <w:pPr>
                    <w:pStyle w:val="Para 02"/>
                    <w:keepLines w:val="on"/>
                  </w:pPr>
                  <w:r>
                    <w:t>Chỉ đái tháo đường type 2</w:t>
                  </w:r>
                </w:p>
              </w:tc>
              <w:tc>
                <w:tcPr>
                  <w:tcW w:type="auto" w:w="0"/>
                  <w:shd w:val="clear" w:color="auto" w:fill="F0F0F0"/>
                </w:tcPr>
                <w:p>
                  <w:pPr>
                    <w:pStyle w:val="Normal"/>
                    <w:keepLines w:val="on"/>
                  </w:pPr>
                  <w:r>
                    <w:t>500 triệu đô la</w:t>
                  </w:r>
                </w:p>
              </w:tc>
              <w:tc>
                <w:tcPr>
                  <w:tcW w:type="auto" w:w="0"/>
                  <w:shd w:val="clear" w:color="auto" w:fill="F0F0F0"/>
                </w:tcPr>
                <w:p>
                  <w:pPr>
                    <w:pStyle w:val="Normal"/>
                    <w:keepLines w:val="on"/>
                  </w:pPr>
                  <w:r>
                    <w:t>125 triệu đô la trong 15 năm</w:t>
                  </w:r>
                </w:p>
              </w:tc>
            </w:tr>
            <w:tr>
              <w:tc>
                <w:tcPr>
                  <w:tcW w:type="auto" w:w="0"/>
                  <w:shd w:val="clear" w:color="auto" w:fill="F0F0F0"/>
                </w:tcPr>
                <w:p>
                  <w:pPr>
                    <w:pStyle w:val="Para 02"/>
                    <w:keepLines w:val="on"/>
                  </w:pPr>
                  <w:r>
                    <w:t>Đái tháo đường type 1 và 2</w:t>
                  </w:r>
                </w:p>
              </w:tc>
              <w:tc>
                <w:tcPr>
                  <w:tcW w:type="auto" w:w="0"/>
                  <w:shd w:val="clear" w:color="auto" w:fill="F0F0F0"/>
                </w:tcPr>
                <w:p>
                  <w:pPr>
                    <w:pStyle w:val="Normal"/>
                    <w:keepLines w:val="on"/>
                  </w:pPr>
                  <w:r>
                    <w:t>600 triệu đô la</w:t>
                  </w:r>
                </w:p>
              </w:tc>
              <w:tc>
                <w:tcPr>
                  <w:tcW w:type="auto" w:w="0"/>
                  <w:shd w:val="clear" w:color="auto" w:fill="F0F0F0"/>
                </w:tcPr>
                <w:p>
                  <w:pPr>
                    <w:pStyle w:val="Normal"/>
                    <w:keepLines w:val="on"/>
                  </w:pPr>
                  <w:r>
                    <w:t>400 triệu đô la trong 15 năm</w:t>
                  </w:r>
                </w:p>
              </w:tc>
            </w:tr>
          </w:tbl>
          <w:p/>
        </w:tc>
      </w:tr>
    </w:tbl>
    <w:p>
      <w:pPr>
        <w:pStyle w:val="Para 04"/>
        <w:keepLines w:val="on"/>
      </w:pPr>
      <w:r>
        <w:t>Giả sử chi phí vốn (cost of capital) của công ty là 10%.</w:t>
      </w:r>
    </w:p>
    <w:p>
      <w:pPr>
        <w:pStyle w:val="Para 04"/>
        <w:keepLines w:val="on"/>
      </w:pPr>
      <w:r>
        <w:t>Giờ chúng ta đã có đủ thông tin để vẽ cây quyết định (decision tree) cho loại thuốc này. Trước tiên, chúng ta sẽ vẽ cây trong Hình 33.2, ghi rõ các giai đoạn, dòng tiền ở mỗi giai đoạn và các xác suất.</w:t>
      </w:r>
    </w:p>
    <w:p>
      <w:bookmarkStart w:id="6670" w:name="Figure_33_2_Decision_Tree_for_Dr"/>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689100"/>
            <wp:effectExtent l="0" r="0" t="0" b="0"/>
            <wp:wrapTopAndBottom/>
            <wp:docPr id="304" name="c33f002.png" descr="Tree diagram depicts the success or failure for development of type 1 and 2 drugs from year 1 through year 22."/>
            <wp:cNvGraphicFramePr>
              <a:graphicFrameLocks noChangeAspect="1"/>
            </wp:cNvGraphicFramePr>
            <a:graphic>
              <a:graphicData uri="http://schemas.openxmlformats.org/drawingml/2006/picture">
                <pic:pic>
                  <pic:nvPicPr>
                    <pic:cNvPr id="0" name="c33f002.png" descr="Tree diagram depicts the success or failure for development of type 1 and 2 drugs from year 1 through year 22."/>
                    <pic:cNvPicPr/>
                  </pic:nvPicPr>
                  <pic:blipFill>
                    <a:blip r:embed="rId219"/>
                    <a:stretch>
                      <a:fillRect/>
                    </a:stretch>
                  </pic:blipFill>
                  <pic:spPr>
                    <a:xfrm>
                      <a:off x="0" y="0"/>
                      <a:ext cx="2438400" cy="1689100"/>
                    </a:xfrm>
                    <a:prstGeom prst="rect">
                      <a:avLst/>
                    </a:prstGeom>
                  </pic:spPr>
                </pic:pic>
              </a:graphicData>
            </a:graphic>
          </wp:anchor>
        </w:drawing>
      </w:r>
      <w:bookmarkEnd w:id="6670"/>
    </w:p>
    <w:p>
      <w:pPr>
        <w:keepNext/>
        <w:pStyle w:val="Para 38"/>
        <w:keepLines w:val="on"/>
      </w:pPr>
      <w:r>
        <w:t>Hình 33.2 Cây quyết định cho việc phát triển thuốc</w:t>
      </w:r>
    </w:p>
    <w:p>
      <w:pPr>
        <w:pStyle w:val="Para 04"/>
        <w:keepLines w:val="on"/>
      </w:pPr>
      <w:r>
        <w:t>Cây quyết định thể hiện xác suất thành công ở mỗi giai đoạn và dòng tiền bổ sung hay dòng tiền biên (marginal cash flow) gắn với từng bước. Vì phải mất thời gian để đi qua các giai đoạn, nên có hiệu ứng giá trị thời gian (time value effect) cần được đưa vào dòng tiền kỳ vọng của mỗi nhánh. Chúng ta đưa hiệu ứng giá trị thời gian vào và tính giá trị hiện tại lũy kế (tại thời điểm hiện tại) của dòng tiền từ mỗi nhánh, dùng chi phí vốn 10% làm tỷ lệ chiết khấu, trong Hình 33.3.</w:t>
      </w:r>
    </w:p>
    <w:p>
      <w:pPr>
        <w:pStyle w:val="Para 40"/>
        <w:keepLines w:val="on"/>
      </w:pPr>
      <w:r>
        <w:rPr>
          <w:rStyle w:val="Text26"/>
        </w:rPr>
        <w:bookmarkStart w:id="6672" w:name="Page_1042"/>
        <w:t/>
        <w:bookmarkEnd w:id="6672"/>
      </w:r>
      <w:r>
        <w:t xml:space="preserve"> </w:t>
      </w:r>
    </w:p>
    <w:p>
      <w:bookmarkStart w:id="6673" w:name="Figure_33_3_Present_Value_of_Cas"/>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74900" cy="1397000"/>
            <wp:effectExtent l="0" r="0" t="0" b="0"/>
            <wp:wrapTopAndBottom/>
            <wp:docPr id="305" name="c33f003.png" descr="Tree diagram depicts success or failure for development of type 1 and 2 drugs with calculations of present value of cash flows at end nodes."/>
            <wp:cNvGraphicFramePr>
              <a:graphicFrameLocks noChangeAspect="1"/>
            </wp:cNvGraphicFramePr>
            <a:graphic>
              <a:graphicData uri="http://schemas.openxmlformats.org/drawingml/2006/picture">
                <pic:pic>
                  <pic:nvPicPr>
                    <pic:cNvPr id="0" name="c33f003.png" descr="Tree diagram depicts success or failure for development of type 1 and 2 drugs with calculations of present value of cash flows at end nodes."/>
                    <pic:cNvPicPr/>
                  </pic:nvPicPr>
                  <pic:blipFill>
                    <a:blip r:embed="rId220"/>
                    <a:stretch>
                      <a:fillRect/>
                    </a:stretch>
                  </pic:blipFill>
                  <pic:spPr>
                    <a:xfrm>
                      <a:off x="0" y="0"/>
                      <a:ext cx="2374900" cy="1397000"/>
                    </a:xfrm>
                    <a:prstGeom prst="rect">
                      <a:avLst/>
                    </a:prstGeom>
                  </pic:spPr>
                </pic:pic>
              </a:graphicData>
            </a:graphic>
          </wp:anchor>
        </w:drawing>
      </w:r>
      <w:bookmarkEnd w:id="6673"/>
    </w:p>
    <w:p>
      <w:pPr>
        <w:keepNext/>
        <w:pStyle w:val="Para 38"/>
        <w:keepLines w:val="on"/>
      </w:pPr>
      <w:r>
        <w:t>Hình 33.3 Giá trị hiện tại của dòng tiền tại các nút cuối: Cây phát triển thuốc</w:t>
      </w:r>
    </w:p>
    <w:p>
      <w:pPr>
        <w:pStyle w:val="Para 04"/>
        <w:keepLines w:val="on"/>
      </w:pPr>
      <w:r>
        <w:t>Lưu ý rằng giá trị hiện tại của dòng tiền từ việc phát triển sau giai đoạn thứ ba bị chiết khấu lùi thêm bảy năm nữa (để phản ánh thời gian cần để đi qua ba giai đoạn). Ở bước cuối cùng của quá trình, chúng ta tính các giá trị kỳ vọng bằng cách tính ngược từ cuối cây trở về và ước lượng hành động tối ưu ở mỗi giai đoạn quyết định trong Hình 33.4.</w:t>
      </w:r>
    </w:p>
    <w:p>
      <w:bookmarkStart w:id="6676" w:name="Figure_33_4_Drug_Decision_Tree_F"/>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1854200"/>
            <wp:effectExtent l="0" r="0" t="0" b="0"/>
            <wp:wrapTopAndBottom/>
            <wp:docPr id="306" name="c33f004.png" descr="Tree diagram depicts the success or failure for development of type 1 and 2 drugs folded back."/>
            <wp:cNvGraphicFramePr>
              <a:graphicFrameLocks noChangeAspect="1"/>
            </wp:cNvGraphicFramePr>
            <a:graphic>
              <a:graphicData uri="http://schemas.openxmlformats.org/drawingml/2006/picture">
                <pic:pic>
                  <pic:nvPicPr>
                    <pic:cNvPr id="0" name="c33f004.png" descr="Tree diagram depicts the success or failure for development of type 1 and 2 drugs folded back."/>
                    <pic:cNvPicPr/>
                  </pic:nvPicPr>
                  <pic:blipFill>
                    <a:blip r:embed="rId221"/>
                    <a:stretch>
                      <a:fillRect/>
                    </a:stretch>
                  </pic:blipFill>
                  <pic:spPr>
                    <a:xfrm>
                      <a:off x="0" y="0"/>
                      <a:ext cx="2425700" cy="1854200"/>
                    </a:xfrm>
                    <a:prstGeom prst="rect">
                      <a:avLst/>
                    </a:prstGeom>
                  </pic:spPr>
                </pic:pic>
              </a:graphicData>
            </a:graphic>
          </wp:anchor>
        </w:drawing>
      </w:r>
      <w:bookmarkEnd w:id="6676"/>
    </w:p>
    <w:p>
      <w:pPr>
        <w:keepNext/>
        <w:pStyle w:val="Para 38"/>
        <w:keepLines w:val="on"/>
      </w:pPr>
      <w:r>
        <w:t>Hình 33.4 Cây quyết định thuốc được gấp ngược trở về</w:t>
      </w:r>
    </w:p>
    <w:p>
      <w:pPr>
        <w:pStyle w:val="Para 04"/>
        <w:keepLines w:val="on"/>
      </w:pPr>
      <w:r>
        <w:t>Giá trị kỳ vọng của loại thuốc này ở thời điểm hiện tại, với sự bất định về khả năng thành công của nó, là 50,36 triệu đô la. Vì đây là sản phẩm duy nhất của công ty công nghệ sinh học này, nên đó cũng chính là giá trị của công ty, giả sử công ty không có khả năng phát triển sản phẩm mới. Giá trị này phản ánh tất cả các khả năng có thể diễn ra theo thời gian, và cho thấy những lựa chọn ở mỗi nhánh quyết định là không tối ưu, và do đó nên bị loại bỏ. Cây quyết định cũng cung cấp một loạt các kết quả, từ kết quả xấu nhất là thất bại ở giai đoạn 3 của thuốc khi dùng để điều trị cả đái tháo đường type 1 lẫn type 2 (−366,30 triệu đô la tính theo giá trị hiện tại), cho đến kết quả tốt nhất là được phê duyệt và phát triển thuốc để điều trị cả hai type đái tháo đường (887,05 triệu đô la tính theo giá trị hiện tại).</w:t>
      </w:r>
    </w:p>
    <w:p>
      <w:pPr>
        <w:pStyle w:val="Para 04"/>
        <w:keepLines w:val="on"/>
      </w:pPr>
      <w:r>
        <w:t>Có một điểm trong tập nhánh cuối cùng có thể khiến bạn thấy khó hiểu. Lưu ý rằng giá trị hiện tại của việc phát triển thuốc chỉ để điều trị đái tháo đường type 2 là âm (−97,43 triệu đô la). Vậy tại sao công ty vẫn phát triển loại thuốc này? Bởi vì phương án thay thế là từ bỏ thuốc ở giai đoạn muộn của quá trình lại có giá trị hiện tại ròng (net present value) còn âm hơn nữa (−328,74 triệu đô la). Một cách khác để thấy điều này là nhìn vào hiệu ứng biên của việc phát triển thuốc chỉ để điều trị đái tháo đường type 2. Một khi công ty đã bỏ ra nguồn lực để đưa mình qua cả ba giai đoạn thử nghiệm, chi phí thử nghiệm trở thành chi phí chìm (sunk cost), và không còn là yếu tố trong quyết định nữa.3 Dòng tiền biên từ việc phát triển thuốc sau giai đoạn 3 mang lại giá trị hiện tại ròng dương là 451 triệu đô la (tính theo dòng tiền năm thứ 7):</w:t>
      </w:r>
    </w:p>
    <w:p>
      <w:bookmarkStart w:id="6679" w:name="Present_value_of_developing_drug"/>
      <w:pPr>
        <w:keepNext/>
        <w:pStyle w:val="Para 07"/>
        <w:keepLines w:val="on"/>
      </w:pPr>
      <w:r>
        <w:t>Giá trị hiện tại của việc phát triển thuốc để điều trị đái tháo đường Type 2 ở năm thứ 7=–500+125(PV của niên kim,10%,15 năm)=451 triệu đô la</w:t>
      </w:r>
      <w:bookmarkEnd w:id="6679"/>
    </w:p>
    <w:p>
      <w:pPr>
        <w:pStyle w:val="Para 04"/>
        <w:keepLines w:val="on"/>
      </w:pPr>
      <w:r>
        <w:t>Việc gấp ngược cây quyết định trở về cho phép bạn thấy giá trị của loại thuốc/công ty ở mỗi giai đoạn trong quá trình là bao nhiêu.</w:t>
      </w:r>
    </w:p>
    <w:p>
      <w:bookmarkStart w:id="6680" w:name="Use_in_Decision_Making"/>
      <w:bookmarkStart w:id="6681" w:name="Use_in_Decision_Making__There_ar"/>
      <w:pPr>
        <w:keepNext/>
        <w:pStyle w:val="Heading 3"/>
        <w:keepLines w:val="on"/>
      </w:pPr>
      <w:r>
        <w:t>Ứng dụng trong việc ra quyết định</w:t>
      </w:r>
      <w:bookmarkEnd w:id="6680"/>
      <w:bookmarkEnd w:id="6681"/>
    </w:p>
    <w:p>
      <w:pPr>
        <w:pStyle w:val="Para 03"/>
      </w:pPr>
      <w:r>
        <w:t>Có nhiều lợi ích đến từ việc sử dụng cây quyết định, và thật đáng ngạc nhiên là chúng không được dùng thường xuyên hơn trong phân tích.</w:t>
      </w:r>
    </w:p>
    <w:p>
      <w:pPr>
        <w:numPr>
          <w:ilvl w:val="0"/>
          <w:numId w:val="404"/>
        </w:numPr>
        <w:pStyle w:val="Para 01"/>
      </w:pPr>
      <w:r>
        <w:t>Phản ứng linh hoạt với rủi ro. Bằng cách gắn kết hành động và lựa chọn với kết quả của các sự kiện bất định, cây quyết định khuyến khích bạn cân nhắc xem mình nên hành động thế nào trong những hoàn cảnh khác nhau. Nhờ đó, bạn sẽ sẵn sàng cho bất kỳ kết quả nào có thể xảy ra thay vì bị bất ngờ vì nó. Chẳng hạn, trong ví dụ ở phần trước, bạn sẽ sẵn sàng với một kế hoạch hành động, bất kể kết quả của giai đoạn 3 là gì.</w:t>
      </w:r>
    </w:p>
    <w:p>
      <w:pPr>
        <w:numPr>
          <w:ilvl w:val="0"/>
          <w:numId w:val="404"/>
        </w:numPr>
        <w:pStyle w:val="Para 01"/>
      </w:pPr>
      <w:r>
        <w:t>Giá trị của thông tin. Cây quyết định mang lại một góc nhìn hữu ích về giá trị của thông tin trong việc ra quyết định. Dù điều này không quá rõ ràng trong ví dụ phát triển thuốc, nhưng có thể thấy rõ khi bạn cân nhắc có nên thử nghiệm thị trường (test market) một sản phẩm trước khi phát triển nó về mặt thương mại hay không. Bằng cách thử nghiệm thị trường một sản phẩm, bạn thu được nhiều thông tin hơn về khả năng thành công cuối cùng. Bạn có thể đo lường giá trị kỳ vọng của thông tin được cải thiện này trong một cây quyết định và so sánh nó với chi phí thử nghiệm thị trường.</w:t>
      </w:r>
    </w:p>
    <w:p>
      <w:pPr>
        <w:numPr>
          <w:ilvl w:val="0"/>
          <w:numId w:val="404"/>
        </w:numPr>
        <w:pStyle w:val="Para 01"/>
      </w:pPr>
      <w:r>
        <w:t>Quản trị rủi ro. Vì cây quyết định (decision tree) cho ta bức tranh về cách dòng tiền diễn biến theo thời gian, chúng rất hữu ích trong việc quyết định nên phòng ngừa những rủi ro nào và lợi ích của việc làm đó. Hãy xét một cây quyết định về một tài sản mà kịch bản xấu nhất sẽ xảy ra nếu đồng đô-la yếu đi so với đồng euro. Vì bạn có thể phòng ngừa rủi ro này, chi phí phòng ngừa rủi ro có thể được so sánh với khoản tổn thất dòng tiền trong kịch bản xấu nhất.</w:t>
      </w:r>
    </w:p>
    <w:p>
      <w:pPr>
        <w:pStyle w:val="Para 03"/>
      </w:pPr>
      <w:r>
        <w:t>Tóm lại, cây quyết định mang đến một cách tiếp cận linh hoạt và mạnh mẽ để xử lý rủi ro xảy ra theo từng giai đoạn, với các quyết định ở mỗi giai đoạn phụ thuộc vào kết quả của giai đoạn trước. Ngoài việc cung cấp cho bạn các thước đo về mức độ phơi nhiễm rủi ro, chúng còn buộc bạn phải suy nghĩ thấu đáo về cách mình sẽ phản ứng với cả những kết quả bất lợi lẫn tích cực có thể xảy ra ở mỗi giai đoạn.</w:t>
      </w:r>
    </w:p>
    <w:p>
      <w:pPr>
        <w:pStyle w:val="Para 20"/>
      </w:pPr>
      <w:r>
        <w:rPr>
          <w:rStyle w:val="Text26"/>
        </w:rPr>
        <w:bookmarkStart w:id="6682" w:name="Page_1045"/>
        <w:t/>
        <w:bookmarkEnd w:id="6682"/>
      </w:r>
      <w:r>
        <w:t xml:space="preserve"> </w:t>
      </w:r>
    </w:p>
    <w:p>
      <w:bookmarkStart w:id="6683" w:name="Issues__There_are_some_types_of"/>
      <w:bookmarkStart w:id="6684" w:name="Issues_1"/>
      <w:pPr>
        <w:keepNext/>
        <w:pStyle w:val="Heading 3"/>
        <w:keepLines w:val="on"/>
      </w:pPr>
      <w:r>
        <w:t>Các vấn đề</w:t>
      </w:r>
      <w:bookmarkEnd w:id="6683"/>
      <w:bookmarkEnd w:id="6684"/>
    </w:p>
    <w:p>
      <w:pPr>
        <w:pStyle w:val="Para 03"/>
      </w:pPr>
      <w:r>
        <w:t>Có một số loại rủi ro mà cây quyết định có thể xử lý được, và một số loại thì không. Đặc biệt, cây quyết định phù hợp nhất với rủi ro mang tính tuần tự (sequential); quy trình FDA nơi việc phê duyệt diễn ra theo từng giai đoạn là một ví dụ điển hình. Những rủi ro ảnh hưởng đến một tài sản cùng lúc thì không thể mô hình hóa dễ dàng bằng cây quyết định.4</w:t>
      </w:r>
    </w:p>
    <w:p>
      <w:pPr>
        <w:pStyle w:val="Para 03"/>
      </w:pPr>
      <w:r>
        <w:t>Giống như phân tích kịch bản (scenario analysis), cây quyết định thường nhìn rủi ro dưới dạng các kết quả rời rạc. Một lần nữa, đây không phải là vấn đề với quy trình phê duyệt của FDA khi chỉ có hai kết quả—thành công hoặc thất bại. Với hầu hết các rủi ro khác, phạm vi kết quả rộng hơn nhiều, và bạn phải tạo ra các nhóm rời rạc cho các kết quả để giữ trong khuôn khổ cây quyết định. Ví dụ, khi xem xét một cuộc thử nghiệm thị trường, bạn có thể kết luận rằng bán được hơn 100.000 đơn vị trong thị trường thử nghiệm được coi là thành công lớn, từ 60.000 đến 100.000 đơn vị là kết quả trung bình, và dưới 60.000 là thất bại.</w:t>
      </w:r>
    </w:p>
    <w:p>
      <w:pPr>
        <w:pStyle w:val="Para 03"/>
      </w:pPr>
      <w:r>
        <w:t>Giả sử rủi ro là tuần tự và có thể phân loại vào các nhóm rời rạc, bạn vẫn phải đối mặt với những câu hỏi ước lượng mà có thể không có câu trả lời dễ dàng. Cụ thể, bạn phải ước lượng dòng tiền trong mỗi kết quả và xác suất tương ứng. Với ví dụ phát triển thuốc, bạn phải ước lượng chi phí và xác suất thành công của mỗi giai đoạn. Lợi thế bạn có khi thực hiện những ước lượng này là bạn có thể dựa vào dữ liệu thực nghiệm về tần suất các loại thuốc bước vào mỗi giai đoạn tiến được đến giai đoạn tiếp theo, cùng chi phí lịch sử liên quan đến việc thử nghiệm thuốc. Ở mức độ có thể có sự khác biệt lớn giữa các loại thuốc giai đoạn 1 về khả năng thành công—một số có thể khó thành công hơn những loại khác—thì vẫn có thể có những sai sót len lỏi vào cây quyết định.</w:t>
      </w:r>
    </w:p>
    <w:p>
      <w:pPr>
        <w:pStyle w:val="Para 03"/>
      </w:pPr>
      <w:r>
        <w:t>Giá trị kỳ vọng của một cây quyết định phụ thuộc rất nhiều vào giả định rằng bạn sẽ giữ được tính kỷ luật tại các điểm quyết định trong cây. Nói cách khác, nếu quyết định tối ưu là từ bỏ khi thị trường thử nghiệm thất bại và giá trị kỳ vọng được tính dựa trên giả định này, thì tính toàn vẹn của quy trình và giá trị kỳ vọng sẽ nhanh chóng sụp đổ nếu bạn quyết định bỏ qua thất bại của thử nghiệm thị trường và cứ tiến hành tung sản phẩm ra toàn thị trường.</w:t>
      </w:r>
    </w:p>
    <w:p>
      <w:bookmarkStart w:id="6686" w:name="Risk_Adjusted_Value_and_Decision_1"/>
      <w:bookmarkStart w:id="6687" w:name="Risk_Adjusted_Value_and_Decision"/>
      <w:pPr>
        <w:keepNext/>
        <w:pStyle w:val="Heading 3"/>
        <w:keepLines w:val="on"/>
      </w:pPr>
      <w:r>
        <w:t>Giá trị điều chỉnh theo rủi ro và cây quyết định</w:t>
      </w:r>
      <w:bookmarkEnd w:id="6686"/>
      <w:bookmarkEnd w:id="6687"/>
    </w:p>
    <w:p>
      <w:pPr>
        <w:pStyle w:val="Para 03"/>
      </w:pPr>
      <w:r>
        <w:t>Liệu cây quyết định là một phương án thay thế hay một phần bổ sung cho định giá dòng tiền chiết khấu (discounted cash flow valuation)? Đây là một câu hỏi thú vị vì có một số nhà phân tích tin rằng cây quyết định, nhờ tính đến khả năng xảy ra cả kết quả tốt lẫn xấu, vốn đã được điều chỉnh theo rủi ro rồi. Thực tế, họ còn đưa ra tuyên bố rằng tỷ lệ chiết khấu đúng để ước tính giá trị hiện tại trong cây quyết định chính là lãi suất phi rủi ro (risk-free rate); dùng tỷ lệ chiết khấu đã điều chỉnh theo rủi ro, theo lập luận của họ, sẽ là tính trùng rủi ro hai lần. Trừ một vài trường hợp ngoại lệ, lập luận của họ là sai.</w:t>
      </w:r>
    </w:p>
    <w:p>
      <w:pPr>
        <w:numPr>
          <w:ilvl w:val="0"/>
          <w:numId w:val="405"/>
        </w:numPr>
        <w:pStyle w:val="Para 01"/>
      </w:pPr>
      <w:r>
        <w:t>Giá trị kỳ vọng không được điều chỉnh theo rủi ro. Hãy xét cây quyết định, nơi bạn ước lượng dòng tiền kỳ vọng bằng cách xem xét các kết quả có thể xảy ra và xác suất xảy ra của chúng. Giá trị kỳ vọng có trọng số theo xác suất mà bạn thu được không được điều chỉnh theo rủi ro. Lý do duy nhất có thể đưa ra để dùng lãi suất phi rủi ro là rủi ro gắn trong các kết quả không chắc chắn mang tính đặc thù của tài sản và sẽ được đa dạng hóa đi, trong trường hợp đó tỷ lệ chiết khấu đã điều chỉnh theo rủi ro sẽ chính là lãi suất phi rủi ro. Ví dụ trong trường hợp phát triển thuốc của FDA, đây có thể được đưa ra như lý do giải thích tại sao bạn dùng lãi suất phi rủi ro để chiết khấu dòng tiền trong bảy năm đầu, khi rủi ro duy nhất bạn đối mặt là rủi ro phê duyệt thuốc. Tuy nhiên, sau năm thứ 7, rủi ro có khả năng chứa yếu tố thị trường, và tỷ lệ đã điều chỉnh theo rủi ro sẽ cao hơn lãi suất phi rủi ro.</w:t>
      </w:r>
    </w:p>
    <w:p>
      <w:pPr>
        <w:numPr>
          <w:ilvl w:val="0"/>
          <w:numId w:val="405"/>
        </w:numPr>
        <w:pStyle w:val="Para 01"/>
      </w:pPr>
      <w:r>
        <w:t>Tính trùng rủi ro hai lần. Bạn phải cẩn thận để chắc chắn không tính trùng rủi ro hai lần trong cây quyết định bằng cách dùng các tỷ lệ chiết khấu đã điều chỉnh theo rủi ro được đặt cao để phản ánh khả năng thất bại ở các giai đoạn trước. Một ví dụ phổ biến của hiện tượng này là định giá vốn đầu tư mạo hiểm (venture capital pricing). Ở Chương 23, chúng ta đã lưu ý rằng các nhà đầu tư mạo hiểm thường định giá các công ty khởi nghiệp non trẻ bằng cách ước tính giá trị thoái vốn (exit value), dựa trên thu nhập dự phóng và một bội số của thu nhập đó trong tương lai, rồi chiết khấu giá trị thoái vốn theo một tỷ suất sinh lợi mục tiêu. Dùng cách tiếp cận này, chẳng hạn, giá trị hiện tại của một công ty hiện đang lỗ nhưng dự kiến kiếm được 10 triệu đô-la trong 5 năm (khi bội số thu nhập mà nó sẽ được đưa ra công chúng được ước tính là 40) có thể được tính như sau (nếu tỷ suất mục tiêu là 35 phần trăm):</w:t>
      </w:r>
    </w:p>
    <w:p>
      <w:bookmarkStart w:id="6689" w:name="Valueofthefirmin5years_Earningsi"/>
      <w:pPr>
        <w:keepNext/>
        <w:pStyle w:val="Para 09"/>
        <w:keepLines w:val="on"/>
      </w:pPr>
      <w:r>
        <w:t>Valueofthefirmin5years=Earningsinyear5×PE=10×40=$400millionValueoffirmtoday=$400/1.355=$89.20million</w:t>
      </w:r>
      <w:bookmarkEnd w:id="6689"/>
    </w:p>
    <w:p>
      <w:pPr>
        <w:pStyle w:val="Para 03"/>
      </w:pPr>
      <w:r>
        <w:t>Tuy nhiên, lưu ý rằng tỷ suất mục tiêu được đặt ở mức cao (35 phần trăm) vì xác suất công ty non trẻ này không tồn tại được. Thực tế, bạn có thể diễn đạt điều này như một cây quyết định đơn giản trong Hình 33.5.</w:t>
      </w:r>
    </w:p>
    <w:p>
      <w:bookmarkStart w:id="6691" w:name="Figure_33_5_Decision_Tree_for_S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282700" cy="977900"/>
            <wp:effectExtent l="0" r="0" t="0" b="0"/>
            <wp:wrapTopAndBottom/>
            <wp:docPr id="307" name="c33f005.png" descr="Tree diagram depicts the success or failure of a start-up firm that goes public or is worth nothing."/>
            <wp:cNvGraphicFramePr>
              <a:graphicFrameLocks noChangeAspect="1"/>
            </wp:cNvGraphicFramePr>
            <a:graphic>
              <a:graphicData uri="http://schemas.openxmlformats.org/drawingml/2006/picture">
                <pic:pic>
                  <pic:nvPicPr>
                    <pic:cNvPr id="0" name="c33f005.png" descr="Tree diagram depicts the success or failure of a start-up firm that goes public or is worth nothing."/>
                    <pic:cNvPicPr/>
                  </pic:nvPicPr>
                  <pic:blipFill>
                    <a:blip r:embed="rId222"/>
                    <a:stretch>
                      <a:fillRect/>
                    </a:stretch>
                  </pic:blipFill>
                  <pic:spPr>
                    <a:xfrm>
                      <a:off x="0" y="0"/>
                      <a:ext cx="1282700" cy="977900"/>
                    </a:xfrm>
                    <a:prstGeom prst="rect">
                      <a:avLst/>
                    </a:prstGeom>
                  </pic:spPr>
                </pic:pic>
              </a:graphicData>
            </a:graphic>
          </wp:anchor>
        </w:drawing>
      </w:r>
      <w:bookmarkEnd w:id="6691"/>
    </w:p>
    <w:p>
      <w:pPr>
        <w:keepNext/>
        <w:pStyle w:val="Para 22"/>
        <w:keepLines w:val="on"/>
      </w:pPr>
      <w:r>
        <w:t>Hình 33.5 Cây quyết định cho công ty khởi nghiệp</w:t>
      </w:r>
    </w:p>
    <w:p>
      <w:pPr>
        <w:pStyle w:val="Para 03"/>
      </w:pPr>
      <w:r>
        <w:t>Giả sử r là tỷ lệ chiết khấu đúng, dựa trên rủi ro kinh doanh mà nhà đầu tư mạo hiểm đối mặt với thương vụ này. Quay lại ví dụ số, giả sử tỷ lệ chiết khấu này lẽ ra là 15 phần trăm cho thương vụ này. Bạn có thể giải ra xác suất thất bại ngầm ẩn, được nhúng trong ước tính giá trị 89,20 triệu đô-la của nhà đầu tư mạo hiểm:</w:t>
      </w:r>
    </w:p>
    <w:p>
      <w:bookmarkStart w:id="6692" w:name="Estimatedvalue__89_20__4001_155"/>
      <w:pPr>
        <w:keepNext/>
        <w:pStyle w:val="Para 09"/>
        <w:keepLines w:val="on"/>
      </w:pPr>
      <w:r>
        <w:t>Estimatedvalue=$89.20=$4001.155 p</w:t>
      </w:r>
      <w:bookmarkEnd w:id="6692"/>
    </w:p>
    <w:p>
      <w:pPr>
        <w:pStyle w:val="Para 03"/>
      </w:pPr>
      <w:r>
        <w:t>Giải ra p, xác suất thành công là 44,85 phần trăm. Với ước lượng xác suất này trong cây quyết định, bạn sẽ đi đến cùng giá trị như nhà đầu tư mạo hiểm, giả sử bạn dùng đúng tỷ lệ chiết khấu. Dùng tỷ suất mục tiêu 35 phần trăm làm tỷ lệ chiết khấu trong một cây quyết định sẽ dẫn đến giá trị thấp hơn một cách thảm hại, vì rủi ro đã bị tính hai lần. Dùng cùng lập luận đó, bạn có thể thấy tại sao dùng một tỷ lệ chiết khấu cao khi đánh giá giá trị một loại thuốc công nghệ sinh học trong cây quyết định sẽ định giá thấp loại thuốc đó, đặc biệt nếu tỷ lệ chiết khấu đã phản ánh xác suất loại thuốc đó không đi được đến sản xuất thương mại. Nếu rủi ro của quy trình phê duyệt mang tính đặc thù của thuốc và do đó có thể đa dạng hóa được, điều này gợi ý rằng tỷ lệ chiết khấu nên ở mức vừa phải trong phân tích cây quyết định, ngay cả với những sản phẩm có khả năng rất cao không vượt qua được các giai đoạn đầu trong quy trình.</w:t>
      </w:r>
    </w:p>
    <w:p>
      <w:pPr>
        <w:pStyle w:val="Para 03"/>
      </w:pPr>
      <w:r>
        <w:t>Nếu tỷ lệ chiết khấu đúng để dùng trong cây quyết định nên phản ánh rủi ro kinh doanh nhìn về phía trước, thì không chỉ có thể mà còn có khả năng rằng tỷ lệ chiết khấu sẽ khác nhau ở những điểm khác nhau trong cây. Ví dụ, thành công phi thường ở giai đoạn thử nghiệm thị trường có thể tạo ra dòng tiền dễ dự đoán hơn so với kết quả thử nghiệm thị trường trung bình; điều này sẽ khiến bạn dùng tỷ lệ chiết khấu thấp hơn để định giá trường hợp đầu, và tỷ lệ chiết khấu cao hơn để định giá trường hợp sau. Trong ví dụ phát triển thuốc, có thể rằng dòng tiền kỳ vọng, nếu loại thuốc hiệu quả với cả hai loại tiểu đường, sẽ ổn định hơn so với khi nó chỉ là phương pháp điều trị cho một loại. Theo đó, tỷ lệ chiết khấu 8 phần trăm có thể là đúng cho tập dòng tiền đầu tiên, trong khi tỷ lệ chiết khấu 12 phần trăm có thể phù hợp hơn cho tập thứ hai.</w:t>
      </w:r>
    </w:p>
    <w:p>
      <w:pPr>
        <w:pStyle w:val="Para 03"/>
      </w:pPr>
      <w:r>
        <w:t>Nhìn lại phần thảo luận, cây quyết định không phải là phương án thay thế cho định giá đã điều chỉnh theo rủi ro. Thay vào đó, chúng có thể được xem như một cách khác để điều chỉnh cho rủi ro rời rạc mà có thể khó đưa vào dòng tiền kỳ vọng hoặc vào các tỷ lệ chiết khấu đã điều chỉnh theo rủi ro.</w:t>
      </w:r>
    </w:p>
    <w:p>
      <w:bookmarkStart w:id="6694" w:name="Simulations__If_scenario_analysi"/>
      <w:bookmarkStart w:id="6695" w:name="Simulations"/>
      <w:pPr>
        <w:keepNext/>
        <w:pStyle w:val="Heading 2"/>
        <w:keepLines w:val="on"/>
      </w:pPr>
      <w:r>
        <w:t>Mô phỏng</w:t>
      </w:r>
      <w:bookmarkEnd w:id="6694"/>
      <w:bookmarkEnd w:id="6695"/>
    </w:p>
    <w:p>
      <w:pPr>
        <w:pStyle w:val="Para 03"/>
      </w:pPr>
      <w:r>
        <w:t>Nếu phân tích kịch bản và cây quyết định là những kỹ thuật giúp chúng ta đánh giá tác động của rủi ro rời rạc, thì mô phỏng (simulation) mang đến một cách để xem xét hậu quả của rủi ro liên tục. Ở mức độ mà hầu hết các rủi ro chúng ta đối mặt trong thế giới thực có thể tạo ra hàng trăm kết quả có thể xảy ra, một mô phỏng sẽ cho chúng ta bức tranh đầy đủ hơn về rủi ro trong một tài sản hay khoản đầu tư.</w:t>
      </w:r>
    </w:p>
    <w:p>
      <w:bookmarkStart w:id="6696" w:name="Steps_in_Simulation__Unlike_scen"/>
      <w:bookmarkStart w:id="6697" w:name="Steps_in_Simulation"/>
      <w:pPr>
        <w:keepNext/>
        <w:pStyle w:val="Heading 3"/>
        <w:keepLines w:val="on"/>
      </w:pPr>
      <w:r>
        <w:t>Các bước trong mô phỏng</w:t>
      </w:r>
      <w:bookmarkEnd w:id="6696"/>
      <w:bookmarkEnd w:id="6697"/>
    </w:p>
    <w:p>
      <w:pPr>
        <w:pStyle w:val="Para 03"/>
      </w:pPr>
      <w:r>
        <w:t>Khác với phân tích kịch bản, nơi chúng ta xem xét các giá trị dưới những kịch bản rời rạc, mô phỏng cho phép linh hoạt hơn trong cách chúng ta xử lý sự không chắc chắn. Ở dạng cổ điển, các phân phối giá trị được ước lượng cho từng tham số trong định giá (tăng trưởng, thị phần, biên lợi nhuận hoạt động, beta, v.v.). Trong mỗi lần mô phỏng, chúng ta rút ra một kết quả từ mỗi phân phối để tạo ra một tập dòng tiền và giá trị duy nhất. Qua một số lượng lớn các lần mô phỏng, chúng ta có thể rút ra một phân phối cho giá trị khoản đầu tư, hay một tài sản, phản ánh sự không chắc chắn cơ bản mà chúng ta đối mặt khi ước lượng các đầu vào của việc định giá. Các bước liên quan đến việc chạy một mô phỏng như sau:</w:t>
      </w:r>
    </w:p>
    <w:p>
      <w:pPr>
        <w:numPr>
          <w:ilvl w:val="0"/>
          <w:numId w:val="406"/>
        </w:numPr>
        <w:pStyle w:val="Para 01"/>
      </w:pPr>
      <w:r>
        <w:t>Xác định các biến xác suất: Trong bất kỳ phân tích nào, có thể có hàng chục đầu vào, một số có thể dự đoán được và một số thì không. Khác với phân tích kịch bản và cây quyết định, nơi số lượng biến được thay đổi và các kết quả tiềm năng phải ít, không có ràng buộc nào về việc có bao nhiêu biến được phép thay đổi trong một mô phỏng. Ít nhất về mặt lý thuyết, chúng ta có thể định nghĩa phân phối xác suất cho từng đầu vào trong một lần định giá. Tuy nhiên, thực tế là việc này sẽ tốn thời gian và có thể không mang lại nhiều lợi ích, đặc biệt với những đầu vào chỉ có tác động biên đến giá trị. Do đó, hợp lý là tập trung chú ý vào một vài biến có tác động đáng kể đến giá trị.</w:t>
      </w:r>
    </w:p>
    <w:p>
      <w:pPr>
        <w:numPr>
          <w:ilvl w:val="0"/>
          <w:numId w:val="406"/>
        </w:numPr>
        <w:pStyle w:val="Para 01"/>
      </w:pPr>
      <w:r>
        <w:t>Định nghĩa phân phối xác suất cho các biến này: Đây là bước then chốt và khó nhất trong phân tích. Nói chung, có ba cách để bạn định nghĩa phân phối xác suất:</w:t>
      </w:r>
    </w:p>
    <w:p>
      <w:pPr>
        <w:numPr>
          <w:ilvl w:val="1"/>
          <w:numId w:val="406"/>
        </w:numPr>
        <w:pStyle w:val="Para 01"/>
      </w:pPr>
      <w:r>
        <w:t>Dữ liệu lịch sử: Với những biến số có lịch sử lâu dài và dữ liệu đáng tin cậy trong suốt quãng thời gian đó, ta có thể dùng dữ liệu lịch sử để xây dựng các phân phối. Ví dụ, giả sử bạn đang cố xây dựng một phân phối cho những thay đổi kỳ vọng của lãi suất trái phiếu kho bạc dài hạn (để dùng làm đầu vào trong phân tích đầu tư). Bạn có thể dùng biểu đồ tần suất ở Hình 33.6, dựa trên mức thay đổi hằng năm của lãi suất trái phiếu kho bạc mỗi năm từ 1928 đến 2023, làm phân phối cho những thay đổi trong tương lai. Ẩn chứa trong cách tiếp cận này là giả định rằng không có sự dịch chuyển cấu trúc nào trên thị trường khiến dữ liệu lịch sử trở nên không đáng tin cậy.</w:t>
      </w:r>
    </w:p>
    <w:p>
      <w:bookmarkStart w:id="6700" w:name="Figure_33_6_One_Year_Change_in_U"/>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765300"/>
            <wp:effectExtent l="0" r="0" t="0" b="0"/>
            <wp:wrapTopAndBottom/>
            <wp:docPr id="308" name="c33f006.png" descr="Bar graph depicts the annual changes in T. Bond rate in percent over 16 years."/>
            <wp:cNvGraphicFramePr>
              <a:graphicFrameLocks noChangeAspect="1"/>
            </wp:cNvGraphicFramePr>
            <a:graphic>
              <a:graphicData uri="http://schemas.openxmlformats.org/drawingml/2006/picture">
                <pic:pic>
                  <pic:nvPicPr>
                    <pic:cNvPr id="0" name="c33f006.png" descr="Bar graph depicts the annual changes in T. Bond rate in percent over 16 years."/>
                    <pic:cNvPicPr/>
                  </pic:nvPicPr>
                  <pic:blipFill>
                    <a:blip r:embed="rId223"/>
                    <a:stretch>
                      <a:fillRect/>
                    </a:stretch>
                  </pic:blipFill>
                  <pic:spPr>
                    <a:xfrm>
                      <a:off x="0" y="0"/>
                      <a:ext cx="2438400" cy="1765300"/>
                    </a:xfrm>
                    <a:prstGeom prst="rect">
                      <a:avLst/>
                    </a:prstGeom>
                  </pic:spPr>
                </pic:pic>
              </a:graphicData>
            </a:graphic>
          </wp:anchor>
        </w:drawing>
      </w:r>
      <w:bookmarkEnd w:id="6700"/>
    </w:p>
    <w:p>
      <w:pPr>
        <w:keepNext/>
        <w:pStyle w:val="Para 22"/>
        <w:keepLines w:val="on"/>
      </w:pPr>
      <w:r>
        <w:t>Hình 33.6 Mức thay đổi một năm của lãi suất trái phiếu kho bạc kỳ hạn 10 năm của Mỹ</w:t>
      </w:r>
    </w:p>
    <w:p>
      <w:pPr>
        <w:pStyle w:val="4 Block"/>
      </w:pPr>
    </w:p>
    <w:p>
      <w:pPr>
        <w:numPr>
          <w:ilvl w:val="1"/>
          <w:numId w:val="406"/>
        </w:numPr>
        <w:pStyle w:val="Para 01"/>
      </w:pPr>
      <w:r>
        <w:t>Dữ liệu chéo: Trong một số trường hợp, bạn có thể thay thế bằng dữ liệu về sự khác biệt của một biến số cụ thể giữa các khoản đầu tư hiện hữu tương tự với khoản đầu tư đang được phân tích. Giả sử bạn đang định giá một công ty may mặc và lo ngại về mức biến động của biên lợi nhuận hoạt động. Hình 33.7 cung cấp một phân phối biên lợi nhuận hoạt động trước thuế của các công ty may mặc trong năm 2023.</w:t>
      </w:r>
    </w:p>
    <w:p>
      <w:bookmarkStart w:id="6703" w:name="Figure_33_7_Pre_Tax_Operating_M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765300"/>
            <wp:effectExtent l="0" r="0" t="0" b="0"/>
            <wp:wrapTopAndBottom/>
            <wp:docPr id="309" name="c33f007.png" descr="Bar graph depicts the changes in operating income or sales in percent for 80 firms."/>
            <wp:cNvGraphicFramePr>
              <a:graphicFrameLocks noChangeAspect="1"/>
            </wp:cNvGraphicFramePr>
            <a:graphic>
              <a:graphicData uri="http://schemas.openxmlformats.org/drawingml/2006/picture">
                <pic:pic>
                  <pic:nvPicPr>
                    <pic:cNvPr id="0" name="c33f007.png" descr="Bar graph depicts the changes in operating income or sales in percent for 80 firms."/>
                    <pic:cNvPicPr/>
                  </pic:nvPicPr>
                  <pic:blipFill>
                    <a:blip r:embed="rId224"/>
                    <a:stretch>
                      <a:fillRect/>
                    </a:stretch>
                  </pic:blipFill>
                  <pic:spPr>
                    <a:xfrm>
                      <a:off x="0" y="0"/>
                      <a:ext cx="2438400" cy="1765300"/>
                    </a:xfrm>
                    <a:prstGeom prst="rect">
                      <a:avLst/>
                    </a:prstGeom>
                  </pic:spPr>
                </pic:pic>
              </a:graphicData>
            </a:graphic>
          </wp:anchor>
        </w:drawing>
      </w:r>
      <w:bookmarkEnd w:id="6703"/>
    </w:p>
    <w:p>
      <w:pPr>
        <w:keepNext/>
        <w:pStyle w:val="Para 22"/>
        <w:keepLines w:val="on"/>
      </w:pPr>
      <w:r>
        <w:t>Hình 33.7 Biên lợi nhuận hoạt động trước thuế: Các công ty may mặc/giày dép toàn cầu vào tháng 1 năm 2024</w:t>
      </w:r>
    </w:p>
    <w:p>
      <w:pPr>
        <w:pStyle w:val="Para 03"/>
      </w:pPr>
      <w:r>
        <w:t>Trong một mô phỏng, bạn có thể dùng trực tiếp phân phối này hoặc tìm một phân phối thống kê chuẩn hóa có đặc điểm gần giống. Tuy nhiên, lưu ý rằng nếu bạn dùng phân phối này, thực chất bạn đang giả định rằng phân phối nền tảng của biên lợi nhuận là giống nhau giữa các công ty phần mềm.</w:t>
      </w:r>
    </w:p>
    <w:p>
      <w:pPr>
        <w:numPr>
          <w:ilvl w:val="1"/>
          <w:numId w:val="406"/>
        </w:numPr>
        <w:pStyle w:val="Para 01"/>
      </w:pPr>
      <w:r>
        <w:t>Phân phối thống kê và các tham số: Với hầu hết các biến số bạn đang cố dự báo, dữ liệu lịch sử và dữ liệu chéo sẽ không đủ hoặc không đáng tin cậy. Trong những trường hợp này, bạn phải chọn một phân phối thống kê nắm bắt tốt nhất mức biến động của đầu vào và ước lượng các tham số cho phân phối đó. Vậy nên, bạn có thể kết luận rằng biên lợi nhuận hoạt động của các công ty phần mềm sẽ phân phối đều, với mức tối thiểu là 0 phần trăm và mức tối đa là 35 phần trăm, và tăng trưởng doanh thu phân phối chuẩn với giá trị kỳ vọng là 15 phần trăm và độ lệch chuẩn là 10 phần trăm. Nhiều gói mô phỏng hiện có cho máy tính cá nhân cung cấp một loạt phong phú các phân phối, nhưng việc chọn đúng phân phối và các tham số cho phân phối đó vẫn còn khó khăn vì hai lý do.</w:t>
      </w:r>
    </w:p>
    <w:p>
      <w:pPr>
        <w:pStyle w:val="Para 03"/>
      </w:pPr>
      <w:r>
        <w:t>Thứ nhất là rất ít đầu vào mà ta thấy trong thực tế đáp ứng được những yêu cầu khắt khe mà các phân phối thống kê đòi hỏi; chẳng hạn, tăng trưởng doanh thu thực sự không thể phân phối chuẩn được vì giá trị thấp nhất mà nó có thể nhận là −100 phần trăm. Do đó, bạn phải chấp nhận những phân phối thống kê đủ gần với phân phối thực để những sai số phát sinh không gây tác hại nghiêm trọng cho kết luận của bạn. Thứ hai là các tham số vẫn cần được ước lượng sau khi đã chọn phân phối. Để làm điều này, bạn có thể dựa vào dữ liệu lịch sử hoặc dữ liệu chéo; với đầu vào tăng trưởng doanh thu, bạn có thể xem xét tăng trưởng doanh thu trong những năm trước hoặc sự khác biệt về tốc độ tăng trưởng doanh thu giữa các công ty cùng nhóm so sánh. Những lưu ý về việc dịch chuyển cấu trúc khiến dữ liệu lịch sử trở nên không đáng tin cậy và về việc các công ty cùng nhóm so sánh không thực sự tương đồng vẫn tiếp tục đúng.</w:t>
      </w:r>
    </w:p>
    <w:p>
      <w:pPr>
        <w:pStyle w:val="Para 03"/>
      </w:pPr>
      <w:r>
        <w:t>Tóm lại, các phân phối xác suất sẽ rời rạc với một số đầu vào và liên tục với những đầu vào khác, và dựa trên dữ liệu lịch sử với một số đầu vào và dựa trên các phân phối thống kê với những đầu vào khác.</w:t>
      </w:r>
    </w:p>
    <w:p>
      <w:pPr>
        <w:numPr>
          <w:ilvl w:val="0"/>
          <w:numId w:val="406"/>
        </w:numPr>
        <w:pStyle w:val="Para 01"/>
      </w:pPr>
      <w:r>
        <w:t>Kiểm tra tương quan giữa các biến số: Dù rất muốn lao ngay vào chạy mô phỏng sau khi đã xác định xong các phân phối, điều quan trọng là bạn phải kiểm tra tương quan giữa các biến số. Ví dụ, giả sử bạn đang xây dựng phân phối xác suất cho cả lãi suất lẫn lạm phát. Dù cả hai đầu vào đều có thể mang tính quyết định trong việc xác định giá trị, chúng có khả năng tương quan với nhau; lạm phát cao thường đi kèm với lãi suất cao. Khi có tương quan mạnh, dù dương hay âm, giữa các đầu vào, bạn có hai lựa chọn. Một là tạo ra một đầu vào tổng hợp nắm bắt các biến số có tương quan đó. Với lãi suất và lạm phát, lãi suất thực (chênh lệch giữa lãi suất danh nghĩa và lạm phát) có thể là biến số được mô phỏng. Hai là đưa tương quan vào mô phỏng một cách tường minh; cách này đòi hỏi những gói mô phỏng tinh vi hơn và thêm nhiều chi tiết vào quá trình ước lượng.</w:t>
      </w:r>
    </w:p>
    <w:p>
      <w:pPr>
        <w:numPr>
          <w:ilvl w:val="0"/>
          <w:numId w:val="406"/>
        </w:numPr>
        <w:pStyle w:val="Para 01"/>
      </w:pPr>
      <w:r>
        <w:t>Chạy mô phỏng: Với lần mô phỏng đầu tiên, bạn rút ra một kết quả từ mỗi phân phối và tính giá trị dựa trên những kết quả đó. Quá trình này có thể được lặp lại bao nhiêu lần tùy thích, dù đóng góp biên của mỗi lần mô phỏng giảm dần khi số lần mô phỏng tăng lên. Số lần mô phỏng bạn chạy nên được quyết định bởi những yếu tố sau:</w:t>
      </w:r>
    </w:p>
    <w:p>
      <w:pPr>
        <w:numPr>
          <w:ilvl w:val="1"/>
          <w:numId w:val="406"/>
        </w:numPr>
        <w:pStyle w:val="Para 01"/>
      </w:pPr>
      <w:r>
        <w:t>Số lượng đầu vào mang tính xác suất: Số lượng đầu vào được gắn các phân phối xác suất càng lớn thì số lần mô phỏng cần thiết càng nhiều.</w:t>
      </w:r>
    </w:p>
    <w:p>
      <w:pPr>
        <w:numPr>
          <w:ilvl w:val="1"/>
          <w:numId w:val="406"/>
        </w:numPr>
        <w:pStyle w:val="Para 01"/>
      </w:pPr>
      <w:r>
        <w:t>Đặc điểm của các phân phối xác suất: Mức độ đa dạng của các phân phối trong một phân tích càng lớn thì số lần mô phỏng cần thiết càng nhiều. Vì vậy, số lần mô phỏng cần thiết sẽ ít hơn trong một mô phỏng mà tất cả các đầu vào đều phân phối chuẩn so với một mô phỏng mà một số đầu vào phân phối chuẩn, một số dựa trên các phân phối dữ liệu lịch sử, và một số là rời rạc.</w:t>
      </w:r>
    </w:p>
    <w:p>
      <w:pPr>
        <w:numPr>
          <w:ilvl w:val="1"/>
          <w:numId w:val="406"/>
        </w:numPr>
        <w:pStyle w:val="Para 01"/>
      </w:pPr>
      <w:r>
        <w:t>Phạm vi kết quả: Phạm vi kết quả tiềm năng của mỗi đầu vào càng lớn thì số lần mô phỏng càng nhiều.</w:t>
      </w:r>
    </w:p>
    <w:p>
      <w:pPr>
        <w:pStyle w:val="Para 03"/>
      </w:pPr>
      <w:r>
        <w:t>Hầu hết các gói mô phỏng cho phép người dùng chạy hàng nghìn lần mô phỏng, với rất ít hoặc không tốn thêm chi phí khi tăng con số đó. Trước thực tế đó, thà chọn quá nhiều lần mô phỏng còn hơn quá ít.</w:t>
      </w:r>
    </w:p>
    <w:p>
      <w:pPr>
        <w:pStyle w:val="Para 03"/>
      </w:pPr>
      <w:r>
        <w:t>Nhìn chung có hai trở ngại đối với việc mô phỏng tốt. Thứ nhất là về thông tin: việc ước lượng phân phối giá trị cho mỗi đầu vào của một phép định giá là khó làm. Nói cách khác, ước lượng tốc độ tăng trưởng kỳ vọng 8 phần trăm doanh thu trong năm năm tới dễ hơn nhiều so với việc xác định phân phối của các tốc độ tăng trưởng kỳ vọng—loại phân phối, các tham số của phân phối đó—cho doanh thu. Thứ hai là về tính toán; cho đến khi máy tính cá nhân ra đời, mô phỏng thường quá tốn thời gian và nguồn lực đối với nhà phân tích thông thường. Cả hai ràng buộc này đã dịu bớt trong những năm gần đây và mô phỏng đã trở nên khả thi hơn.</w:t>
      </w:r>
    </w:p>
    <w:p>
      <w:pPr>
        <w:pStyle w:val="Para 20"/>
      </w:pPr>
      <w:r>
        <w:rPr>
          <w:rStyle w:val="Text26"/>
        </w:rPr>
        <w:bookmarkStart w:id="6705" w:name="Page_1051"/>
        <w:t/>
        <w:bookmarkEnd w:id="6705"/>
      </w:r>
      <w:r>
        <w:t xml:space="preserve"> </w:t>
      </w:r>
    </w:p>
    <w:p>
      <w:pPr>
        <w:pStyle w:val="Para 11"/>
      </w:pPr>
      <w:r>
        <w:t xml:space="preserve"> </w:t>
      </w:r>
    </w:p>
    <w:p>
      <w:bookmarkStart w:id="6706" w:name="ILLUSTRATION_33_4__Valuing_Exxon"/>
      <w:bookmarkStart w:id="6707" w:name="ILLUSTRATION_33_4__Valuing_Exxon_1"/>
      <w:pPr>
        <w:keepNext/>
        <w:pStyle w:val="Para 19"/>
        <w:keepLines w:val="on"/>
      </w:pPr>
      <w:r>
        <w:t>MINH HỌA 33.4: Định giá Exxon Mobil—Mô phỏng Monte Carlo</w:t>
      </w:r>
      <w:bookmarkEnd w:id="6706"/>
      <w:bookmarkEnd w:id="6707"/>
    </w:p>
    <w:p>
      <w:pPr>
        <w:pStyle w:val="Para 04"/>
        <w:keepLines w:val="on"/>
      </w:pPr>
      <w:r>
        <w:t>Trong Chương 22, chúng ta đã định giá Exxon Mobil, công ty dầu khí tích hợp, vào năm 2009. Trong Hình 33.8, chúng ta tái hiện đồ thị thu nhập hoạt động của Exxon như một hàm số của giá dầu trung bình mỗi năm từ 1985 đến 2008.</w:t>
      </w:r>
    </w:p>
    <w:p>
      <w:bookmarkStart w:id="6709" w:name="Figure_33_8_Operating_Income_ver"/>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1943100"/>
            <wp:effectExtent l="0" r="0" t="0" b="0"/>
            <wp:wrapTopAndBottom/>
            <wp:docPr id="310" name="c33f008.png" descr="Line and bar graph plots the increase in operating income and average oil price per barrel for Exxon Mobil from 1985 to 2008."/>
            <wp:cNvGraphicFramePr>
              <a:graphicFrameLocks noChangeAspect="1"/>
            </wp:cNvGraphicFramePr>
            <a:graphic>
              <a:graphicData uri="http://schemas.openxmlformats.org/drawingml/2006/picture">
                <pic:pic>
                  <pic:nvPicPr>
                    <pic:cNvPr id="0" name="c33f008.png" descr="Line and bar graph plots the increase in operating income and average oil price per barrel for Exxon Mobil from 1985 to 2008."/>
                    <pic:cNvPicPr/>
                  </pic:nvPicPr>
                  <pic:blipFill>
                    <a:blip r:embed="rId225"/>
                    <a:stretch>
                      <a:fillRect/>
                    </a:stretch>
                  </pic:blipFill>
                  <pic:spPr>
                    <a:xfrm>
                      <a:off x="0" y="0"/>
                      <a:ext cx="2425700" cy="1943100"/>
                    </a:xfrm>
                    <a:prstGeom prst="rect">
                      <a:avLst/>
                    </a:prstGeom>
                  </pic:spPr>
                </pic:pic>
              </a:graphicData>
            </a:graphic>
          </wp:anchor>
        </w:drawing>
      </w:r>
      <w:bookmarkEnd w:id="6709"/>
    </w:p>
    <w:p>
      <w:pPr>
        <w:keepNext/>
        <w:pStyle w:val="Para 38"/>
        <w:keepLines w:val="on"/>
      </w:pPr>
      <w:r>
        <w:t>Hình 33.8 Thu nhập hoạt động so với giá dầu của Exxon Mobil: 1985–2008</w:t>
      </w:r>
    </w:p>
    <w:p>
      <w:pPr>
        <w:pStyle w:val="Para 04"/>
        <w:keepLines w:val="on"/>
      </w:pPr>
      <w:r>
        <w:t>Cũng trong Chương 22, chúng ta đã hồi quy thu nhập hoạt động của Exxon Mobil theo giá dầu mỗi thùng để đi đến kết quả sau:</w:t>
      </w:r>
    </w:p>
    <w:p>
      <w:bookmarkStart w:id="6710" w:name="Operatingincome__6_395_911_32Ave"/>
      <w:pPr>
        <w:keepNext/>
        <w:pStyle w:val="Para 07"/>
        <w:keepLines w:val="on"/>
      </w:pPr>
      <w:r>
        <w:t>Thunhaphoatdong=–6,395+911.32GiadautrungbinhmoithungR2=90.2%2.950 14.59</w:t>
      </w:r>
      <w:bookmarkEnd w:id="6710"/>
    </w:p>
    <w:p>
      <w:pPr>
        <w:pStyle w:val="Para 04"/>
        <w:keepLines w:val="on"/>
      </w:pPr>
      <w:r>
        <w:t>Thu nhập hoạt động của Exxon Mobil tăng khoảng 9,11 tỷ đô la cho mỗi 10 đô la tăng lên của giá mỗi thùng dầu, và 90% mức biến động trong lợi nhuận của Exxon theo thời gian đến từ những biến động của giá dầu.5</w:t>
      </w:r>
    </w:p>
    <w:p>
      <w:pPr>
        <w:pStyle w:val="Para 04"/>
        <w:keepLines w:val="on"/>
      </w:pPr>
      <w:r>
        <w:t>Trong Chương 22, chúng ta đã đưa ra những giả định sau để ước lượng giá trị vốn chủ sở hữu cho Exxon vào tháng 3 năm 2009:</w:t>
      </w:r>
    </w:p>
    <w:p>
      <w:pPr>
        <w:numPr>
          <w:ilvl w:val="0"/>
          <w:numId w:val="407"/>
        </w:numPr>
        <w:pStyle w:val="Para 18"/>
        <w:keepLines w:val="on"/>
      </w:pPr>
      <w:r>
        <w:t>Chúng ta ước lượng beta từ dưới lên là 0,90 cho Exxon Mobil, rồi dùng lãi suất trái phiếu kho bạc 2,5% và phần bù rủi ro vốn chủ sở hữu 6,5% để ước lượng chi phí vốn chủ sở hữu.</w:t>
      </w:r>
    </w:p>
    <w:p>
      <w:bookmarkStart w:id="6713" w:name="Costofequity_2_5__0_906_5__8_35"/>
      <w:pPr>
        <w:keepNext/>
        <w:pStyle w:val="Para 07"/>
        <w:keepLines w:val="on"/>
      </w:pPr>
      <w:r>
        <w:t>Chiphivonchusohuu=2.5%+0.906.5%=8.35%</w:t>
      </w:r>
      <w:bookmarkEnd w:id="6713"/>
    </w:p>
    <w:p>
      <w:pPr>
        <w:numPr>
          <w:ilvl w:val="0"/>
          <w:numId w:val="408"/>
        </w:numPr>
        <w:pStyle w:val="Para 18"/>
        <w:keepLines w:val="on"/>
      </w:pPr>
      <w:r>
        <w:t>Exxon có 9,4 tỷ đô la nợ chưa thanh toán và vốn hóa thị trường 320,4 tỷ đô la (4941,63 triệu cổ phiếu, giao dịch ở mức 64,83 đô la/cổ phiếu), dẫn đến tỷ lệ nợ là 2,85%. Là một công ty được xếp hạng AAA, chi phí nợ của nó được kỳ vọng là 3,75%, phản ánh mức chênh lệch vỡ nợ 1,25% so với lãi suất phi rủi ro. Dùng thuế suất biên 38% (thay vì thuế suất thực tế) và tỷ lệ nợ trên vốn của Exxon là 2,85%, chúng ta ước lượng chi phí vốn của công ty là 8,18%:</w:t>
      </w:r>
    </w:p>
    <w:p>
      <w:bookmarkStart w:id="6714" w:name="Costofcapital_8_35__9715_3_75_1"/>
      <w:pPr>
        <w:keepNext/>
        <w:pStyle w:val="Para 07"/>
        <w:keepLines w:val="on"/>
      </w:pPr>
      <w:r>
        <w:t>Chi phí vốn = 8,35% × 0,9715 + 3,75% × (1 – 0,38) × 0,0285 = 8,18%</w:t>
      </w:r>
      <w:bookmarkEnd w:id="6714"/>
    </w:p>
    <w:p>
      <w:pPr>
        <w:numPr>
          <w:ilvl w:val="0"/>
          <w:numId w:val="409"/>
        </w:numPr>
        <w:pStyle w:val="Para 18"/>
        <w:keepLines w:val="on"/>
      </w:pPr>
      <w:r>
        <w:t>Exxon Mobil đang ở giai đoạn tăng trưởng ổn định với thu nhập hoạt động tăng 2% mỗi năm mãi mãi. Các khoản đầu tư mới được kỳ vọng sẽ tạo ra tỷ suất sinh lời trên vốn phản ánh thu nhập hoạt động đã chuẩn hóa và vốn đầu tư hiện tại; tỷ suất sinh lời trên vốn này được dùng để tính tỷ lệ tái đầu tư.</w:t>
      </w:r>
    </w:p>
    <w:p>
      <w:pPr>
        <w:pStyle w:val="Para 04"/>
        <w:keepLines w:val="on"/>
      </w:pPr>
      <w:r>
        <w:t>Trong khi Exxon báo cáo thu nhập hoạt động hơn 60 tỷ USD vào năm 2008, giá dầu đã giảm xuống còn 45 USD vào tháng 3 năm 2009, và chúng tôi ước tính thu nhập hoạt động đã chuẩn hóa của công ty là 34.614 triệu USD:</w:t>
      </w:r>
    </w:p>
    <w:p>
      <w:bookmarkStart w:id="6715" w:name="Normalizedoperatingincome__6_395"/>
      <w:pPr>
        <w:keepNext/>
        <w:pStyle w:val="Para 07"/>
        <w:keepLines w:val="on"/>
      </w:pPr>
      <w:r>
        <w:t>Thu nhập hoạt động đã chuẩn hóa = –6.395 + 911,32 × 45 USD = 34.614 USD</w:t>
      </w:r>
      <w:bookmarkEnd w:id="6715"/>
    </w:p>
    <w:p>
      <w:pPr>
        <w:pStyle w:val="Para 04"/>
        <w:keepLines w:val="on"/>
      </w:pPr>
      <w:r>
        <w:t>Thu nhập hoạt động này chuyển thành tỷ suất sinh lời trên vốn khoảng 21% và tỷ lệ tái đầu tư là 9,52%, dựa trên tốc độ tăng trưởng 2%.6</w:t>
      </w:r>
    </w:p>
    <w:p>
      <w:bookmarkStart w:id="6717" w:name="Reinvestmentrate_g_ROC_2_21__9_5"/>
      <w:pPr>
        <w:keepNext/>
        <w:pStyle w:val="Para 07"/>
        <w:keepLines w:val="on"/>
      </w:pPr>
      <w:r>
        <w:t>Tỷ lệ tái đầu tư = g/ROC = 2/21% = 9,52%</w:t>
      </w:r>
      <w:bookmarkEnd w:id="6717"/>
    </w:p>
    <w:p>
      <w:bookmarkStart w:id="6718" w:name="Valueofoperatingassets_Operating"/>
      <w:pPr>
        <w:keepNext/>
        <w:pStyle w:val="Para 07"/>
        <w:keepLines w:val="on"/>
      </w:pPr>
      <w:r>
        <w:t>Giá trị tài sản hoạt động = Thu nhập hoạt động × (1+g) × (1−t) × (1−g/ROIC) / (Chi phí vốn − g) = 34.614 × 1,02 × (1−0,38) × (1−2%/21%) / (0,0818−0,02) = 320.472 triệu USD</w:t>
      </w:r>
      <w:bookmarkEnd w:id="6718"/>
    </w:p>
    <w:p>
      <w:pPr>
        <w:pStyle w:val="Para 04"/>
        <w:keepLines w:val="on"/>
      </w:pPr>
      <w:r>
        <w:t>Cộng thêm số dư tiền mặt hiện tại (32.007 triệu USD), trừ đi nợ (9.400 triệu USD), rồi chia cho số lượng cổ phiếu (4.941,63 triệu) sẽ ra giá trị trên mỗi cổ phiếu.</w:t>
      </w:r>
    </w:p>
    <w:p>
      <w:bookmarkStart w:id="6719" w:name="Valuepershare_Valueofoperatingas"/>
      <w:pPr>
        <w:keepNext/>
        <w:pStyle w:val="Para 07"/>
        <w:keepLines w:val="on"/>
      </w:pPr>
      <w:r>
        <w:t>Giá trị mỗi cổ phiếu = (Giá trị tài sản hoạt động + Tiền mặt − Nợ) / Số lượng cổ phiếu = (320.472 + 32.007 − 9.400) / 4.941,63 = 69,43 USD/cổ phiếu</w:t>
      </w:r>
      <w:bookmarkEnd w:id="6719"/>
    </w:p>
    <w:p>
      <w:pPr>
        <w:pStyle w:val="Para 04"/>
        <w:keepLines w:val="on"/>
      </w:pPr>
      <w:r>
        <w:t>Với mức giá cổ phiếu phổ biến là 64,83 USD, cổ phiếu có vẻ hơi bị định giá thấp. Tuy nhiên, điều đó phản ánh giả định rằng giá dầu hiện tại (45 USD/thùng) chính là mức giá đã chuẩn hóa.</w:t>
      </w:r>
    </w:p>
    <w:p>
      <w:pPr>
        <w:pStyle w:val="Para 04"/>
        <w:keepLines w:val="on"/>
      </w:pPr>
      <w:r>
        <w:t>Vì giá trị mỗi cổ phiếu phụ thuộc rất nhiều vào giá dầu, sẽ hợp lý hơn nếu cho phép giá dầu thay đổi, rồi định giá công ty như một hàm số của mức giá này, và các mô phỏng có thể giúp làm rõ các con số:</w:t>
      </w:r>
    </w:p>
    <w:p>
      <w:bookmarkStart w:id="6721" w:name="Step_1__Determine_the_probabilit"/>
      <w:pPr>
        <w:pStyle w:val="Para 04"/>
        <w:keepLines w:val="on"/>
      </w:pPr>
      <w:r>
        <w:t>Bước 1: Xác định phân phối xác suất cho giá dầu: Chúng tôi đã sử dụng dữ liệu lịch sử về giá dầu, đã điều chỉnh theo lạm phát, để vừa xác định phân phối vừa ước tính các tham số của nó. Hình 33.9 tóm tắt phân phối này.</w:t>
      </w:r>
      <w:bookmarkEnd w:id="6721"/>
    </w:p>
    <w:p>
      <w:bookmarkStart w:id="6723" w:name="Figure_33_9_Oil_Price_Distributi"/>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524000" cy="673100"/>
            <wp:effectExtent l="0" r="0" t="0" b="0"/>
            <wp:wrapTopAndBottom/>
            <wp:docPr id="311" name="c33f009.png" descr="Graph plots a curve to summarize the probability distribution of oil prices varying from $20.00 to $140.00."/>
            <wp:cNvGraphicFramePr>
              <a:graphicFrameLocks noChangeAspect="1"/>
            </wp:cNvGraphicFramePr>
            <a:graphic>
              <a:graphicData uri="http://schemas.openxmlformats.org/drawingml/2006/picture">
                <pic:pic>
                  <pic:nvPicPr>
                    <pic:cNvPr id="0" name="c33f009.png" descr="Graph plots a curve to summarize the probability distribution of oil prices varying from $20.00 to $140.00."/>
                    <pic:cNvPicPr/>
                  </pic:nvPicPr>
                  <pic:blipFill>
                    <a:blip r:embed="rId226"/>
                    <a:stretch>
                      <a:fillRect/>
                    </a:stretch>
                  </pic:blipFill>
                  <pic:spPr>
                    <a:xfrm>
                      <a:off x="0" y="0"/>
                      <a:ext cx="1524000" cy="673100"/>
                    </a:xfrm>
                    <a:prstGeom prst="rect">
                      <a:avLst/>
                    </a:prstGeom>
                  </pic:spPr>
                </pic:pic>
              </a:graphicData>
            </a:graphic>
          </wp:anchor>
        </w:drawing>
      </w:r>
      <w:bookmarkEnd w:id="6723"/>
    </w:p>
    <w:p>
      <w:pPr>
        <w:keepNext/>
        <w:pStyle w:val="Para 38"/>
        <w:keepLines w:val="on"/>
      </w:pPr>
      <w:r>
        <w:t>Hình 33.9 Phân phối giá dầu — Dữ liệu lịch sử</w:t>
      </w:r>
    </w:p>
    <w:p>
      <w:bookmarkStart w:id="6724" w:name="Note_that_oil_prices_can_vary_fr"/>
      <w:pPr>
        <w:pStyle w:val="Para 04"/>
        <w:keepLines w:val="on"/>
      </w:pPr>
      <w:r>
        <w:t>Lưu ý rằng giá dầu có thể dao động từ khoảng 8 USD/thùng ở mức tối thiểu đến hơn 120 USD/thùng. Trong khi chúng tôi đã dùng mức giá hiện tại là 45 USD làm giá trị trung bình của phân phối, chúng tôi cũng có thể đưa quan điểm về dầu vào phân phối bằng cách chọn một giá trị trung bình cao hơn hoặc thấp hơn.7</w:t>
      </w:r>
      <w:bookmarkEnd w:id="6724"/>
    </w:p>
    <w:p>
      <w:bookmarkStart w:id="6726" w:name="Step_2__Link_the_operating_resul"/>
      <w:pPr>
        <w:pStyle w:val="Para 04"/>
        <w:keepLines w:val="on"/>
      </w:pPr>
      <w:r>
        <w:t>Bước 2: Liên kết kết quả hoạt động với giá hàng hóa: Để liên kết thu nhập hoạt động với giá hàng hóa, chúng tôi đã sử dụng kết quả hồi quy từ phần trước trong ví dụ minh họa:</w:t>
      </w:r>
      <w:bookmarkEnd w:id="6726"/>
    </w:p>
    <w:p>
      <w:bookmarkStart w:id="6727" w:name="Operatingincome__6_395_911_32Ave_1"/>
      <w:pPr>
        <w:keepNext/>
        <w:pStyle w:val="Para 07"/>
        <w:keepLines w:val="on"/>
      </w:pPr>
      <w:r>
        <w:t>Thu nhập hoạt động = –6.395 + 911,32 × Giá dầu trung bình (R² = 90,2%) (2,950) (14,59)</w:t>
      </w:r>
      <w:bookmarkEnd w:id="6727"/>
    </w:p>
    <w:p>
      <w:pPr>
        <w:pStyle w:val="Para 04"/>
        <w:keepLines w:val="on"/>
      </w:pPr>
      <w:r>
        <w:t>Như chúng tôi đã lưu ý ở phần trước, phương pháp hồi quy hoạt động tốt với Exxon nhưng có thể không hiệu quả với những công ty hàng hóa nhỏ hơn, biến động mạnh hơn.</w:t>
      </w:r>
    </w:p>
    <w:p>
      <w:bookmarkStart w:id="6728" w:name="Step_3__Estimate_the_value_as_a"/>
      <w:pPr>
        <w:pStyle w:val="Para 04"/>
        <w:keepLines w:val="on"/>
      </w:pPr>
      <w:r>
        <w:t>Bước 3: Ước tính giá trị như một hàm số của kết quả hoạt động. Khi thu nhập hoạt động thay đổi, có hai mức mà giá trị của công ty bị ảnh hưởng. Thứ nhất là thu nhập hoạt động thấp hơn, trong khi các yếu tố khác không đổi, sẽ làm giảm dòng tiền tự do và giảm giá trị. Thứ hai là tỷ suất sinh lời trên vốn được tính lại, giữ nguyên vốn đầu tư cố định, khi thu nhập hoạt động thay đổi. Khi thu nhập hoạt động giảm, tỷ suất sinh lời trên vốn giảm, và công ty sẽ phải tái đầu tư nhiều hơn để duy trì tốc độ tăng trưởng ổn định 2 phần trăm. Trong khi chúng tôi cũng có thể cho phép chi phí vốn và tốc độ tăng trưởng thay đổi, chúng tôi cảm thấy thoải mái với cả hai con số này và đã giữ chúng cố định.</w:t>
      </w:r>
      <w:bookmarkEnd w:id="6728"/>
    </w:p>
    <w:p>
      <w:bookmarkStart w:id="6729" w:name="Step_4__Develop_a_distribution_f"/>
      <w:pPr>
        <w:pStyle w:val="Para 04"/>
        <w:keepLines w:val="on"/>
      </w:pPr>
      <w:r>
        <w:t>Bước 4: Xây dựng phân phối cho giá trị: Chúng tôi đã chạy 10.000 mô phỏng, cho phép giá dầu thay đổi và định giá công ty cũng như giá trị vốn chủ sở hữu trên mỗi cổ phiếu trong mỗi mô phỏng. Kết quả được tóm tắt trong Hình 33.10.</w:t>
      </w:r>
      <w:bookmarkEnd w:id="6729"/>
    </w:p>
    <w:p>
      <w:pPr>
        <w:pStyle w:val="Para 40"/>
        <w:keepLines w:val="on"/>
      </w:pPr>
      <w:r>
        <w:rPr>
          <w:rStyle w:val="Text26"/>
        </w:rPr>
        <w:bookmarkStart w:id="6731" w:name="Page_1054"/>
        <w:t/>
        <w:bookmarkEnd w:id="6731"/>
      </w:r>
      <w:r>
        <w:t xml:space="preserve"> </w:t>
      </w:r>
    </w:p>
    <w:p>
      <w:bookmarkStart w:id="6732" w:name="Figure_33_10_Exxon_Mobil__Oil_Pr"/>
      <w:pPr>
        <w:pStyle w:val="Para 3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38400" cy="1549400"/>
            <wp:effectExtent l="0" r="0" t="0" b="0"/>
            <wp:wrapTopAndBottom/>
            <wp:docPr id="312" name="c33f010.png" descr="Bar graph depicts statistical data of certainty, trials, and depicts along with the frequency view of oil price per share for Exxon Mobil."/>
            <wp:cNvGraphicFramePr>
              <a:graphicFrameLocks noChangeAspect="1"/>
            </wp:cNvGraphicFramePr>
            <a:graphic>
              <a:graphicData uri="http://schemas.openxmlformats.org/drawingml/2006/picture">
                <pic:pic>
                  <pic:nvPicPr>
                    <pic:cNvPr id="0" name="c33f010.png" descr="Bar graph depicts statistical data of certainty, trials, and depicts along with the frequency view of oil price per share for Exxon Mobil."/>
                    <pic:cNvPicPr/>
                  </pic:nvPicPr>
                  <pic:blipFill>
                    <a:blip r:embed="rId227"/>
                    <a:stretch>
                      <a:fillRect/>
                    </a:stretch>
                  </pic:blipFill>
                  <pic:spPr>
                    <a:xfrm>
                      <a:off x="0" y="0"/>
                      <a:ext cx="2438400" cy="1549400"/>
                    </a:xfrm>
                    <a:prstGeom prst="rect">
                      <a:avLst/>
                    </a:prstGeom>
                  </pic:spPr>
                </pic:pic>
              </a:graphicData>
            </a:graphic>
          </wp:anchor>
        </w:drawing>
      </w:r>
      <w:bookmarkEnd w:id="6732"/>
    </w:p>
    <w:p>
      <w:pPr>
        <w:keepNext/>
        <w:pStyle w:val="Para 38"/>
        <w:keepLines w:val="on"/>
      </w:pPr>
      <w:r>
        <w:t>Hình 33.10 Exxon Mobil — Mô phỏng giá dầu</w:t>
      </w:r>
    </w:p>
    <w:p>
      <w:pPr>
        <w:pStyle w:val="Para 04"/>
        <w:keepLines w:val="on"/>
      </w:pPr>
      <w:r>
        <w:t>Giá trị trung bình mỗi cổ phiếu qua các mô phỏng là 69,59 USD, với giá trị tối thiểu là 2,25 USD và giá trị tối đa là 324,42 USD; tuy nhiên, có hơn 50% khả năng giá trị mỗi cổ phiếu sẽ thấp hơn 64,83 USD (giá cổ phiếu hiện tại). Nói cách khác, phương pháp này không chỉ cho ra giá trị mỗi cổ phiếu của công ty mà còn cho ra khả năng công ty thực sự bị định giá thấp (dưới 50%). Thông tin đó có thể đưa vào quá trình ra quyết định đầu tư.</w:t>
      </w:r>
    </w:p>
    <w:p>
      <w:bookmarkStart w:id="6733" w:name="Use_in_Decision_Making__A_well_d"/>
      <w:bookmarkStart w:id="6734" w:name="Use_in_Decision_Making_1"/>
      <w:pPr>
        <w:keepNext/>
        <w:pStyle w:val="Heading 3"/>
        <w:keepLines w:val="on"/>
      </w:pPr>
      <w:r>
        <w:t>Ứng dụng trong việc ra quyết định</w:t>
      </w:r>
      <w:bookmarkEnd w:id="6733"/>
      <w:bookmarkEnd w:id="6734"/>
    </w:p>
    <w:p>
      <w:pPr>
        <w:pStyle w:val="Para 03"/>
      </w:pPr>
      <w:r>
        <w:t>Một mô phỏng được thực hiện tốt sẽ cung cấp cho chúng ta nhiều hơn là chỉ một giá trị kỳ vọng cho một tài sản hay khoản đầu tư:</w:t>
      </w:r>
    </w:p>
    <w:p>
      <w:pPr>
        <w:numPr>
          <w:ilvl w:val="0"/>
          <w:numId w:val="410"/>
        </w:numPr>
        <w:pStyle w:val="Para 01"/>
      </w:pPr>
      <w:r>
        <w:t>Ước tính đầu vào tốt hơn. Trong một mô phỏng lý tưởng, các nhà phân tích sẽ xem xét cả dữ liệu lịch sử lẫn dữ liệu chéo cho từng biến đầu vào trước khi đưa ra phán đoán về phân phối nào nên dùng và các tham số của phân phối đó. Trong quá trình này, họ có thể tránh được sự cẩu thả gắn liền với việc sử dụng các ước tính điểm; rất nhiều định giá dòng tiền chiết khấu dựa trên các tốc độ tăng trưởng kỳ vọng thu được từ các nhà quản lý hoặc nhà phân tích, thường không có cơ sở thực tế nào.</w:t>
      </w:r>
    </w:p>
    <w:p>
      <w:pPr>
        <w:numPr>
          <w:ilvl w:val="0"/>
          <w:numId w:val="410"/>
        </w:numPr>
        <w:pStyle w:val="Para 01"/>
      </w:pPr>
      <w:r>
        <w:t>Nó cho ra một phân phối cho giá trị kỳ vọng thay vì một ước tính điểm. Hãy xem xét việc định giá Exxon Mobil mà chúng tôi đã hoàn thành trong ví dụ minh họa trước. Ngoài việc báo cáo giá trị kỳ vọng là 69,59 USD/cổ phiếu, chúng tôi cũng ước tính độ lệch chuẩn của giá trị đó và bảng phân chia giá trị theo phân vị. Phân phối này củng cố một điểm hiển nhiên nhưng quan trọng rằng các mô hình định giá cho ra những ước tính giá trị cho các tài sản rủi ro vốn không chính xác, và giải thích tại sao những nhà phân tích khác nhau định giá cùng một tài sản lại có thể đưa ra những ước tính giá trị khác nhau.</w:t>
      </w:r>
    </w:p>
    <w:p>
      <w:pPr>
        <w:pStyle w:val="Para 03"/>
      </w:pPr>
      <w:r>
        <w:t>Lưu ý rằng có hai khẳng định về mô phỏng mà chúng tôi không muốn đưa ra. Thứ nhất là mô phỏng đưa ra ước tính giá trị kỳ vọng tốt hơn so với các mô hình giá trị điều chỉnh theo rủi ro thông thường. Trên thực tế, giá trị kỳ vọng từ mô phỏng thường khá gần với giá trị kỳ vọng mà chúng ta sẽ có được khi dùng giá trị kỳ vọng cho từng biến đầu vào (thay vì dùng toàn bộ phân phối). Thứ hai là mô phỏng, nhờ cung cấp ước tính về giá trị kỳ vọng và phân phối của giá trị đó, dẫn đến các quyết định tốt hơn. Điều này không phải lúc nào cũng đúng, vì lợi ích mà người ra quyết định có được khi có bức tranh đầy đủ hơn về sự bất định trong giá trị của một tài sản rủi ro có thể bị lấn át bởi việc sử dụng sai thước đo rủi ro đó. Như chúng ta sẽ bàn ở phần sau của chương này, việc rủi ro bị tính trùng trong mô phỏng, và việc các quyết định dựa trên sai loại rủi ro, là chuyện vô cùng phổ biến.</w:t>
      </w:r>
    </w:p>
    <w:p>
      <w:pPr>
        <w:pStyle w:val="Para 11"/>
      </w:pPr>
      <w:r>
        <w:t xml:space="preserve"> </w:t>
      </w:r>
    </w:p>
    <w:p>
      <w:bookmarkStart w:id="6736" w:name="Margin_of_Safety_and_Simulation_1"/>
      <w:bookmarkStart w:id="6737" w:name="Margin_of_Safety_and_Simulation"/>
      <w:pPr>
        <w:keepNext/>
        <w:pStyle w:val="Para 27"/>
        <w:keepLines w:val="on"/>
      </w:pPr>
      <w:r>
        <w:t>Biên an toàn và mô phỏng</w:t>
      </w:r>
      <w:bookmarkEnd w:id="6736"/>
      <w:bookmarkEnd w:id="6737"/>
    </w:p>
    <w:p>
      <w:pPr>
        <w:pStyle w:val="Para 16"/>
        <w:keepLines w:val="on"/>
      </w:pPr>
      <w:r>
        <w:t>Biên an toàn (margin of safety – MOS) là một thước đo được các nhà đầu tư giá trị sử dụng rộng rãi để kiểm soát rủi ro trong đầu tư. Nó hoạt động như sau. Một nhà đầu tư giá trị thận trọng sẽ yêu cầu cổ phiếu phải được định giá thấp hơn giá trị X phần trăm (10, 15 hoặc 20 phần trăm) trước khi anh ta hoặc cô ta mua nó; biên an toàn chính là X phần trăm đó. Tuy trực quan, biên an toàn không phải là một thay thế cho các thước đo rủi ro truyền thống, vì bạn cần ước tính giá trị của cổ phiếu trước, rồi mới có thể dùng biên an toàn. Tuy nhiên, nó là một cách để bạn đưa sự bất định và mức độ ngại rủi ro của mình vào quá trình ra quyết định, với biên an toàn tăng lên khi cả hai đều tăng. Trên thực tế, dù vậy, biên an toàn thường được đặt một cách tùy ý và có thể dao động rất rộng giữa các nhà đầu tư và các khoản đầu tư.</w:t>
      </w:r>
    </w:p>
    <w:p>
      <w:pPr>
        <w:pStyle w:val="Para 16"/>
        <w:keepLines w:val="on"/>
      </w:pPr>
      <w:r>
        <w:t>Một mô phỏng được thực hiện tốt có thể được dùng để đặt ra các biên an toàn, vì nó cung cấp thông tin về sai số ước tính trong giá trị. Ví dụ, giả sử biên an toàn của bạn là 20 phần trăm và bạn đang xem xét Exxon Mobil vào đầu năm 2009. Trong mô phỏng Exxon Mobil, chẳng hạn, với giá trị kỳ vọng là 69,59 đô la một cổ phiếu, việc thêm yêu cầu này sẽ đòi hỏi cổ phiếu phải đang giao dịch dưới 45 đô la một cổ phiếu (cách giá trị kỳ vọng 69,59 đô la một khoảng 20% hay 2.000 kết quả), thì nó mới là cổ phiếu mà bạn sẽ mua. Rõ ràng, việc tăng (giảm) biên an toàn sẽ cho bạn một ngưỡng giá thấp hơn (hoặc cao hơn). Hơn nữa, biên an toàn sẽ lớn hơn đối với những công ty mà bạn bất định hơn về tương lai so với những công ty mà bạn cảm thấy tự tin hơn vào các biến đầu vào của mình.</w:t>
      </w:r>
    </w:p>
    <w:p>
      <w:bookmarkStart w:id="6738" w:name="Simulations_with_Constraints"/>
      <w:bookmarkStart w:id="6739" w:name="Simulations_with_Constraints__Th"/>
      <w:pPr>
        <w:keepNext/>
        <w:pStyle w:val="Heading 3"/>
        <w:keepLines w:val="on"/>
      </w:pPr>
      <w:r>
        <w:t>Mô phỏng với các ràng buộc</w:t>
      </w:r>
      <w:bookmarkEnd w:id="6738"/>
      <w:bookmarkEnd w:id="6739"/>
    </w:p>
    <w:p>
      <w:pPr>
        <w:pStyle w:val="Para 03"/>
      </w:pPr>
      <w:r>
        <w:t>Có một công dụng thứ hai của mô phỏng, đó là khi bạn có một ràng buộc mà nếu bị vi phạm sẽ tạo ra những chi phí rất lớn cho công ty và thậm chí có thể khiến công ty diệt vong. Bạn có thể xem xét khả năng ràng buộc đó bị vi phạm, dựa trên các đặc điểm hiện tại của công ty, và những hệ quả đối với giá trị. Trong phần này, chúng ta sẽ xem xét một số ràng buộc như vậy.</w:t>
      </w:r>
    </w:p>
    <w:p>
      <w:bookmarkStart w:id="6740" w:name="Book_Value_Constraints__The_book"/>
      <w:bookmarkStart w:id="6741" w:name="Book_Value_Constraints"/>
      <w:pPr>
        <w:keepNext/>
        <w:pStyle w:val="Heading 4"/>
        <w:keepLines w:val="on"/>
      </w:pPr>
      <w:r>
        <w:t>Các ràng buộc về giá trị sổ sách</w:t>
      </w:r>
      <w:bookmarkEnd w:id="6740"/>
      <w:bookmarkEnd w:id="6741"/>
    </w:p>
    <w:p>
      <w:pPr>
        <w:pStyle w:val="Para 03"/>
      </w:pPr>
      <w:r>
        <w:t>Giá trị sổ sách của vốn chủ sở hữu là một khái niệm kế toán và tự nó chẳng nói lên nhiều điều. Những công ty như Google và Apple giao dịch ở mức giá trị thị trường gấp nhiều lần giá trị sổ sách của chúng. Ở thái cực ngược lại, có những công ty giao dịch thấp hơn nhiều so với giá trị sổ sách. Trên thực tế, có hàng trăm công ty ở Hoa Kỳ, một số có giá trị thị trường đáng kể, có giá trị sổ sách vốn chủ sở hữu âm. Có hai loại hạn chế về giá trị sổ sách của vốn chủ sở hữu có thể ảnh hưởng đến giá trị.</w:t>
      </w:r>
    </w:p>
    <w:p>
      <w:pPr>
        <w:pStyle w:val="Para 20"/>
      </w:pPr>
      <w:r>
        <w:rPr>
          <w:rStyle w:val="Text26"/>
        </w:rPr>
        <w:bookmarkStart w:id="6742" w:name="Page_1056"/>
        <w:t/>
        <w:bookmarkEnd w:id="6742"/>
      </w:r>
      <w:r>
        <w:t xml:space="preserve"> </w:t>
      </w:r>
    </w:p>
    <w:p>
      <w:pPr>
        <w:numPr>
          <w:ilvl w:val="0"/>
          <w:numId w:val="411"/>
        </w:numPr>
        <w:pStyle w:val="Para 01"/>
      </w:pPr>
      <w:r>
        <w:t>Các hạn chế về vốn theo quy định. Các công ty dịch vụ tài chính, như ngân hàng và công ty bảo hiểm, được yêu cầu duy trì vốn chủ sở hữu sổ sách như một tỷ lệ trên các khoản cho vay hoặc tài sản khác ở mức bằng hoặc cao hơn một tỷ lệ sàn do cơ quan quản lý quy định. Những công ty vi phạm các ràng buộc vốn này có thể bị cơ quan quản lý tiếp quản và sẽ phải ngừng hoạt động. Không có gì ngạc nhiên khi các công ty dịch vụ tài chính không chỉ theo dõi sát sao giá trị sổ sách vốn chủ sở hữu của mình (và các tỷ lệ liên quan) mà còn ý thức được khả năng rằng rủi ro trong các khoản đầu tư hay vị thế của họ có thể biểu hiện thành sự sụt giảm vốn chủ sở hữu sổ sách. Trên thực tế, giá trị chịu rủi ro (value at risk – VAR), một công cụ đo lường rủi ro được nhiều công ty dịch vụ tài chính sử dụng, thể hiện những nỗ lực nhằm hiểu rõ các rủi ro tiềm ẩn trong khoản đầu tư của họ và sẵn sàng cho khả năng xảy ra một kết cục thảm khốc, dù xác suất xảy ra có thể rất nhỏ. Bằng cách mô phỏng giá trị các khoản đầu tư của mình dưới nhiều kịch bản khác nhau, nhà đầu tư có thể xác định không chỉ khả năng một ngân hàng rơi xuống dưới các tỷ lệ theo quy định mà còn cả những hệ quả về định giá, có thể từ mất toàn bộ giá trị vốn chủ sở hữu, trong trường hợp xấu nhất, đến bị pha loãng do phát hành vốn chủ sở hữu mới, trong trường hợp tốt nhất.</w:t>
      </w:r>
    </w:p>
    <w:p>
      <w:pPr>
        <w:numPr>
          <w:ilvl w:val="0"/>
          <w:numId w:val="411"/>
        </w:numPr>
        <w:pStyle w:val="Para 01"/>
      </w:pPr>
      <w:r>
        <w:t>Giá trị sổ sách vốn chủ sở hữu âm. Như đã lưu ý, có hàng trăm công ty ở Hoa Kỳ có giá trị sổ sách vốn chủ sở hữu âm mà vẫn tồn tại qua chuyện đó và có giá trị thị trường vốn chủ sở hữu cao. Có một số quốc gia nơi giá trị sổ sách vốn chủ sở hữu âm có thể tạo ra chi phí đáng kể cho công ty và nhà đầu tư của nó. Ví dụ, các công ty có giá trị sổ sách vốn chủ sở hữu âm ở một số nơi tại châu Âu được yêu cầu phải huy động vốn chủ sở hữu mới để đưa giá trị sổ sách của họ lên trên mức không. Ở một số quốc gia tại châu Á, các công ty có giá trị sổ sách vốn chủ sở hữu âm bị cấm trả cổ tức. Ngay cả ở Hoa Kỳ, các bên cho vay đối với công ty có thể có những điều khoản hợp đồng cho vay cho phép họ nắm quyền kiểm soát ít nhất một phần công ty nếu giá trị sổ sách vốn chủ sở hữu của nó chuyển sang âm. Cũng như với các hạn chế vốn theo quy định, nhà đầu tư có thể dùng mô phỏng để đánh giá xác suất giá trị sổ sách vốn chủ sở hữu âm và nắm bắt những hệ quả đối với giá trị.</w:t>
      </w:r>
    </w:p>
    <w:p>
      <w:bookmarkStart w:id="6743" w:name="Debt_Constraints"/>
      <w:bookmarkStart w:id="6744" w:name="Debt_Constraints__In_discounted"/>
      <w:pPr>
        <w:keepNext/>
        <w:pStyle w:val="Heading 4"/>
        <w:keepLines w:val="on"/>
      </w:pPr>
      <w:r>
        <w:t>Các ràng buộc về nợ</w:t>
      </w:r>
      <w:bookmarkEnd w:id="6743"/>
      <w:bookmarkEnd w:id="6744"/>
    </w:p>
    <w:p>
      <w:pPr>
        <w:pStyle w:val="Para 03"/>
      </w:pPr>
      <w:r>
        <w:t>Trong định giá dòng tiền chiết khấu, giá trị của doanh nghiệp được tính như một thực thể hoạt động liên tục, bằng cách chiết khấu dòng tiền kỳ vọng theo một tỷ lệ chiết khấu đã điều chỉnh theo rủi ro. Trừ đi nợ từ ước tính này sẽ cho ra giá trị vốn chủ sở hữu. Khả năng và những chi phí tiềm tàng của việc không thể thanh toán các khoản nợ chỉ được xem xét một cách ngoại vi trong tỷ lệ chiết khấu. Trên thực tế, chi phí của việc không thực hiện được các nghĩa vụ theo hợp đồng có thể rất lớn. Thực tế, những chi phí này thường được phân loại là chi phí phá sản gián tiếp, và có thể bao gồm mất khách hàng, tín dụng nhà cung cấp bị siết chặt hơn, và tỷ lệ nhân viên nghỉ việc cao hơn. Nhận thức rằng một công ty đang gặp khó khăn có thể dẫn đến khó khăn thêm. Bằng cách cho phép nhà đầu tư so sánh giá trị của một doanh nghiệp với các nghĩa vụ chưa thanh toán của nó trong mọi kịch bản có thể (chứ không chỉ kịch bản khả dĩ nhất), mô phỏng cho phép họ không chỉ định lượng được khả năng lâm vào tình trạng khốn đốn mà còn đưa chi phí phá sản gián tiếp vào định giá. Thực chất, bạn có thể mô hình hóa một cách tường minh tác động của tình trạng khốn đốn lên dòng tiền kỳ vọng và tỷ lệ chiết khấu.</w:t>
      </w:r>
    </w:p>
    <w:p>
      <w:bookmarkStart w:id="6745" w:name="Issues_2"/>
      <w:bookmarkStart w:id="6746" w:name="Issues__The_use_of_simulations_i"/>
      <w:pPr>
        <w:keepNext/>
        <w:pStyle w:val="Heading 4"/>
        <w:keepLines w:val="on"/>
      </w:pPr>
      <w:r>
        <w:t>Các vấn đề</w:t>
      </w:r>
      <w:bookmarkEnd w:id="6745"/>
      <w:bookmarkEnd w:id="6746"/>
    </w:p>
    <w:p>
      <w:pPr>
        <w:pStyle w:val="Para 03"/>
      </w:pPr>
      <w:r>
        <w:t>Việc sử dụng mô phỏng trong phân tích đầu tư lần đầu được đề xuất trong một bài báo của David Hertz trên Harvard Business Review.8 Ông lập luận rằng việc dùng các phân phối xác suất cho các biến đầu vào, thay vì các ước tính tốt nhất đơn lẻ, sẽ cho ra kết quả giàu thông tin hơn. Trong ví dụ mà ông đưa ra trong bài báo, ông dùng mô phỏng để so sánh phân phối lợi suất của hai khoản đầu tư; khoản đầu tư có lợi suất kỳ vọng cao hơn cũng có khả năng lỗ tiền cao hơn (điều này được xem là một chỉ báo về mức độ rủi ro của nó). Sau đó, có một số nhà phân tích đã nhảy lên con tàu mô phỏng, với kết quả trái chiều. Trong những năm gần đây, đã có sự hồi sinh quan tâm đến mô phỏng như một công cụ đánh giá rủi ro, đặc biệt trong bối cảnh các công cụ phái sinh. Tuy nhiên, có một số vấn đề then chốt mà chúng ta phải xử lý khi dùng mô phỏng trong đánh giá rủi ro:</w:t>
      </w:r>
    </w:p>
    <w:p>
      <w:pPr>
        <w:numPr>
          <w:ilvl w:val="0"/>
          <w:numId w:val="412"/>
        </w:numPr>
        <w:pStyle w:val="Para 01"/>
      </w:pPr>
      <w:r>
        <w:t>Rác vào, rác ra. Để mô phỏng có giá trị, các phân phối được chọn cho các biến đầu vào nên dựa trên phân tích và dữ liệu, chứ không phải phỏng đoán. Đáng lưu ý rằng mô phỏng cho ra kết quả trông rất đẹp, ngay cả khi các biến đầu vào là ngẫu nhiên. Do đó, những người ra quyết định không cảnh giác có thể đang nhận được những bức tranh vô nghĩa về rủi ro trong một khoản đầu tư. Cũng đáng lưu ý rằng mô phỏng đòi hỏi không chỉ kiến thức sơ sài về các phân phối thống kê và đặc điểm của chúng; những nhà phân tích không biết sự khác biệt giữa phân phối chuẩn và phân phối đều thì không nên làm mô phỏng.</w:t>
      </w:r>
    </w:p>
    <w:p>
      <w:pPr>
        <w:numPr>
          <w:ilvl w:val="0"/>
          <w:numId w:val="412"/>
        </w:numPr>
        <w:pStyle w:val="Para 01"/>
      </w:pPr>
      <w:r>
        <w:t>Dữ liệu thực có thể không khớp với các phân phối. Vấn đề với thế giới thực là dữ liệu hiếm khi khớp với những yêu cầu nghiêm ngặt của các phân phối thống kê. Việc dùng một phân phối xác suất ít giống với phân phối thực sự đằng sau một biến đầu vào sẽ cho ra những kết quả gây nhầm lẫn.</w:t>
      </w:r>
    </w:p>
    <w:p>
      <w:pPr>
        <w:numPr>
          <w:ilvl w:val="0"/>
          <w:numId w:val="412"/>
        </w:numPr>
        <w:pStyle w:val="Para 01"/>
      </w:pPr>
      <w:r>
        <w:t>Các phân phối không dừng. Ngay cả khi dữ liệu khớp với một phân phối thống kê hoặc khi có sẵn các phân phối dữ liệu lịch sử, những dịch chuyển trong cấu trúc thị trường cũng có thể dẫn đến dịch chuyển trong phân phối. Trong một số trường hợp, điều này có thể thay đổi dạng của phân phối, và trong những trường hợp khác, nó có thể thay đổi các tham số của phân phối. Do đó, giá trị trung bình và phương sai ước tính từ dữ liệu lịch sử cho một biến đầu vào có phân phối chuẩn có thể thay đổi cho kỳ tiếp theo. Điều mà chúng ta thực sự muốn dùng trong mô phỏng, nhưng hiếm khi đánh giá được, là các phân phối xác suất hướng tới tương lai.</w:t>
      </w:r>
    </w:p>
    <w:p>
      <w:pPr>
        <w:numPr>
          <w:ilvl w:val="0"/>
          <w:numId w:val="412"/>
        </w:numPr>
        <w:pStyle w:val="Para 01"/>
      </w:pPr>
      <w:r>
        <w:t>Tương quan thay đổi giữa các biến đầu vào. Ở phần trước của chương này, chúng ta đã lưu ý rằng tương quan giữa các biến đầu vào có thể được mô hình hóa vào mô phỏng. Tuy nhiên, điều này chỉ hiệu quả nếu các tương quan vẫn ổn định và có thể dự đoán được. Trong chừng mực mà tương quan giữa các biến đầu vào thay đổi theo thời gian, việc mô hình hóa chúng trở nên khó khăn hơn nhiều.</w:t>
      </w:r>
    </w:p>
    <w:p>
      <w:bookmarkStart w:id="6749" w:name="Risk_Adjusted_Value_and_Simulati"/>
      <w:bookmarkStart w:id="6750" w:name="Risk_Adjusted_Value_and_Simulati_1"/>
      <w:pPr>
        <w:keepNext/>
        <w:pStyle w:val="Heading 3"/>
        <w:keepLines w:val="on"/>
      </w:pPr>
      <w:r>
        <w:t>Giá trị điều chỉnh theo rủi ro và mô phỏng</w:t>
      </w:r>
      <w:bookmarkEnd w:id="6749"/>
      <w:bookmarkEnd w:id="6750"/>
    </w:p>
    <w:p>
      <w:pPr>
        <w:pStyle w:val="Para 03"/>
      </w:pPr>
      <w:r>
        <w:t>Trong phần thảo luận về cây quyết định, chúng tôi đã đề cập đến quan niệm sai lầm phổ biến rằng cây quyết định đã được điều chỉnh theo rủi ro vì chúng xem xét khả năng xảy ra các sự kiện bất lợi. Quan niệm sai lầm tương tự cũng phổ biến trong mô phỏng, khi người ta lập luận rằng dòng tiền từ mô phỏng bằng cách nào đó đã được điều chỉnh theo rủi ro nhờ việc sử dụng các phân phối xác suất, và rằng nên dùng lãi suất phi rủi ro để chiết khấu những dòng tiền này. Với một ngoại lệ, lập luận này không hợp lý. Nhìn xuyên qua các mô phỏng, những dòng tiền mà chúng ta có được là dòng tiền kỳ vọng và không được điều chỉnh theo rủi ro. Do đó, chúng ta nên chiết khấu những dòng tiền này theo một tỷ lệ đã điều chỉnh theo rủi ro.</w:t>
      </w:r>
    </w:p>
    <w:p>
      <w:pPr>
        <w:pStyle w:val="Para 03"/>
      </w:pPr>
      <w:r>
        <w:t>Ngoại lệ xảy ra khi bạn dùng độ lệch chuẩn của các giá trị từ một mô phỏng làm thước đo rủi ro của khoản đầu tư hay tài sản và ra quyết định dựa trên đó. Trong trường hợp này, việc dùng một tỷ lệ chiết khấu đã điều chỉnh theo rủi ro sẽ dẫn đến việc tính trùng rủi ro. Hãy xem xét một ví dụ đơn giản. Giả sử bạn đang cố chọn giữa hai tài sản, cả hai đều đã được bạn định giá bằng mô phỏng và tỷ lệ chiết khấu đã điều chỉnh theo rủi ro. Bảng sau đây tóm tắt những phát hiện của bạn.</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17"/>
                    <w:keepLines w:val="on"/>
                  </w:pPr>
                  <w:r>
                    <w:t>Điều chỉnh theo rủi ro:</w:t>
                  </w:r>
                </w:p>
              </w:tc>
              <w:tc>
                <w:tcPr>
                  <w:tcW w:type="auto" w:w="0"/>
                  <w:shd w:val="clear" w:color="auto" w:fill="F0F0F0"/>
                </w:tcPr>
                <w:p>
                  <w:pPr>
                    <w:pStyle w:val="Para 17"/>
                    <w:keepLines w:val="on"/>
                  </w:pPr>
                  <w:r>
                    <w:t>Mô phỏng:</w:t>
                  </w:r>
                </w:p>
              </w:tc>
              <w:tc>
                <w:tcPr>
                  <w:tcW w:type="auto" w:w="0"/>
                  <w:shd w:val="clear" w:color="auto" w:fill="F0F0F0"/>
                </w:tcPr>
                <w:p>
                  <w:pPr>
                    <w:pStyle w:val="Para 17"/>
                    <w:keepLines w:val="on"/>
                  </w:pPr>
                  <w:r>
                    <w:t>Mô phỏng:</w:t>
                  </w:r>
                </w:p>
              </w:tc>
            </w:tr>
            <w:tr>
              <w:tc>
                <w:tcPr>
                  <w:tcW w:type="auto" w:w="0"/>
                  <w:shd w:val="clear" w:color="auto" w:fill="F0F0F0"/>
                </w:tcPr>
                <w:p>
                  <w:pPr>
                    <w:pStyle w:val="Para 17"/>
                    <w:keepLines w:val="on"/>
                  </w:pPr>
                  <w:r>
                    <w:t>Tài sản</w:t>
                  </w:r>
                </w:p>
              </w:tc>
              <w:tc>
                <w:tcPr>
                  <w:tcW w:type="auto" w:w="0"/>
                  <w:shd w:val="clear" w:color="auto" w:fill="F0F0F0"/>
                </w:tcPr>
                <w:p>
                  <w:pPr>
                    <w:pStyle w:val="Para 17"/>
                    <w:keepLines w:val="on"/>
                  </w:pPr>
                  <w:r>
                    <w:t>Tỷ lệ chiết khấu</w:t>
                  </w:r>
                </w:p>
              </w:tc>
              <w:tc>
                <w:tcPr>
                  <w:tcW w:type="auto" w:w="0"/>
                  <w:shd w:val="clear" w:color="auto" w:fill="F0F0F0"/>
                </w:tcPr>
                <w:p>
                  <w:pPr>
                    <w:pStyle w:val="Para 17"/>
                    <w:keepLines w:val="on"/>
                  </w:pPr>
                  <w:r>
                    <w:t>Giá trị kỳ vọng</w:t>
                  </w:r>
                </w:p>
              </w:tc>
              <w:tc>
                <w:tcPr>
                  <w:tcW w:type="auto" w:w="0"/>
                  <w:shd w:val="clear" w:color="auto" w:fill="F0F0F0"/>
                </w:tcPr>
                <w:p>
                  <w:pPr>
                    <w:pStyle w:val="Para 17"/>
                    <w:keepLines w:val="on"/>
                  </w:pPr>
                  <w:r>
                    <w:t>Độ lệch chuẩn</w:t>
                  </w:r>
                </w:p>
              </w:tc>
            </w:tr>
            <w:tr>
              <w:tc>
                <w:tcPr>
                  <w:tcW w:type="auto" w:w="0"/>
                  <w:shd w:val="clear" w:color="auto" w:fill="F0F0F0"/>
                </w:tcPr>
                <w:p>
                  <w:pPr>
                    <w:pStyle w:val="Para 02"/>
                    <w:keepLines w:val="on"/>
                  </w:pPr>
                  <w:r>
                    <w:t>A</w:t>
                  </w:r>
                </w:p>
              </w:tc>
              <w:tc>
                <w:tcPr>
                  <w:tcW w:type="auto" w:w="0"/>
                  <w:shd w:val="clear" w:color="auto" w:fill="F0F0F0"/>
                </w:tcPr>
                <w:p>
                  <w:pPr>
                    <w:pStyle w:val="Normal"/>
                    <w:keepLines w:val="on"/>
                  </w:pPr>
                  <w:r>
                    <w:t>12%</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15%</w:t>
                  </w:r>
                </w:p>
              </w:tc>
            </w:tr>
            <w:tr>
              <w:tc>
                <w:tcPr>
                  <w:tcW w:type="auto" w:w="0"/>
                  <w:shd w:val="clear" w:color="auto" w:fill="F0F0F0"/>
                </w:tcPr>
                <w:p>
                  <w:pPr>
                    <w:pStyle w:val="Para 02"/>
                    <w:keepLines w:val="on"/>
                  </w:pPr>
                  <w:r>
                    <w:t>B</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21%</w:t>
                  </w:r>
                </w:p>
              </w:tc>
            </w:tr>
          </w:tbl>
          <w:p/>
        </w:tc>
      </w:tr>
    </w:tbl>
    <w:p>
      <w:pPr>
        <w:pStyle w:val="Para 03"/>
      </w:pPr>
      <w:r>
        <w:t>Lưu ý rằng bạn xem tài sản B là rủi ro hơn và đã dùng tỷ lệ chiết khấu cao hơn để tính giá trị. Nếu giờ bạn tiếp tục loại bỏ tài sản B vì độ lệch chuẩn cao hơn qua các giá trị mô phỏng, bạn sẽ đang phạt nó hai lần. Bạn có thể làm lại các mô phỏng bằng cách dùng lãi suất phi rủi ro làm tỷ lệ chiết khấu cho cả hai tài sản, nhưng cần đưa ra một lưu ý cảnh báo. Nếu sau đó chúng ta dựa vào độ lệch chuẩn trong các giá trị mô phỏng để chọn giữa hai tài sản này, chúng ta đang giả định rằng mọi rủi ro đều quan trọng trong việc lựa chọn đầu tư, thay vì chỉ rủi ro không thể đa dạng hóa được. Nói cách khác, chúng ta có thể sẽ loại bỏ một tài sản vì nó có độ lệch chuẩn cao trong các giá trị mô phỏng, dù việc thêm tài sản đó vào một danh mục đầu tư có thể chỉ làm tăng thêm rất ít rủi ro (vì phần lớn rủi ro của nó có thể được đa dạng hóa).</w:t>
      </w:r>
    </w:p>
    <w:p>
      <w:pPr>
        <w:pStyle w:val="Para 03"/>
      </w:pPr>
      <w:r>
        <w:t>Điều này không có nghĩa là mô phỏng không hữu ích cho chúng ta trong việc hiểu rủi ro. Nhìn vào phương sai của các giá trị mô phỏng quanh giá trị kỳ vọng sẽ nhắc nhở trực quan rằng chúng ta đang ước tính giá trị trong một môi trường bất định. Cũng có thể hình dung rằng chúng ta có thể dùng nó như một công cụ ra quyết định trong quản lý danh mục đầu tư khi chọn giữa hai cổ phiếu đều bị định giá thấp nhưng có phân phối giá trị khác nhau. Cổ phiếu có phân phối giá trị ít biến động hơn có thể được xem là khoản đầu tư tốt hơn so với cổ phiếu khác có phân phối giá trị biến động hơn.</w:t>
      </w:r>
    </w:p>
    <w:p>
      <w:bookmarkStart w:id="6752" w:name="An_Overall_Assessment_of_Probabi_1"/>
      <w:bookmarkStart w:id="6753" w:name="An_Overall_Assessment_of_Probabi"/>
      <w:pPr>
        <w:keepNext/>
        <w:pStyle w:val="Heading 2"/>
        <w:keepLines w:val="on"/>
      </w:pPr>
      <w:r>
        <w:t>Đánh giá tổng thể về các phương pháp đánh giá rủi ro theo xác suất</w:t>
      </w:r>
      <w:bookmarkEnd w:id="6752"/>
      <w:bookmarkEnd w:id="6753"/>
    </w:p>
    <w:p>
      <w:pPr>
        <w:pStyle w:val="Para 03"/>
      </w:pPr>
      <w:r>
        <w:t>Giờ chúng ta đã xem xét phân tích tình huống, cây quyết định và mô phỏng, chúng ta có thể cân nhắc không chỉ khi nào mỗi phương pháp phù hợp mà còn cách các phương pháp này bổ sung hoặc thay thế cho các phương pháp giá trị điều chỉnh theo rủi ro.</w:t>
      </w:r>
    </w:p>
    <w:p>
      <w:bookmarkStart w:id="6754" w:name="Comparing_the_Approaches__Assumi"/>
      <w:bookmarkStart w:id="6755" w:name="Comparing_the_Approaches"/>
      <w:pPr>
        <w:keepNext/>
        <w:pStyle w:val="Heading 3"/>
        <w:keepLines w:val="on"/>
      </w:pPr>
      <w:r>
        <w:t>So sánh các phương pháp</w:t>
      </w:r>
      <w:bookmarkEnd w:id="6754"/>
      <w:bookmarkEnd w:id="6755"/>
    </w:p>
    <w:p>
      <w:pPr>
        <w:pStyle w:val="Para 03"/>
      </w:pPr>
      <w:r>
        <w:t>Giả sử bạn quyết định dùng phương pháp xác suất để đánh giá rủi ro và có thể chọn giữa phân tích tình huống, cây quyết định và mô phỏng, bạn nên chọn phương pháp nào? Câu trả lời sẽ phụ thuộc vào cách bạn dự định dùng kết quả đầu ra và loại rủi ro bạn đang đối mặt:</w:t>
      </w:r>
    </w:p>
    <w:p>
      <w:pPr>
        <w:numPr>
          <w:ilvl w:val="0"/>
          <w:numId w:val="413"/>
        </w:numPr>
        <w:pStyle w:val="Para 01"/>
      </w:pPr>
      <w:r>
        <w:t>Phân tích rủi ro chọn lọc so với toàn diện. Trong phân tích tình huống tốt nhất/xấu nhất, chúng ta chỉ xem xét ba tình huống (tốt nhất, khả năng cao nhất và xấu nhất) và bỏ qua mọi tình huống khác. Ngay cả khi xem xét nhiều tình huống, chúng ta vẫn không có đánh giá đầy đủ về tất cả các kết quả có thể xảy ra từ các khoản đầu tư hay tài sản rủi ro. Với cây quyết định và mô phỏng, chúng ta cố gắng xem xét tất cả các kết quả có thể xảy ra. Trong cây quyết định, chúng ta cố gắng làm điều này bằng cách chuyển rủi ro liên tục thành một tập hợp các kết quả có thể quản lý được. Với mô phỏng, chúng ta có thể dùng các phân phối để nắm bắt tất cả các kết quả có thể xảy ra. Nói theo xác suất, tổng xác suất của các tình huống mà chúng ta xem xét trong phân tích tình huống có thể nhỏ hơn 1, trong khi tổng xác suất của các kết quả trong cây quyết định và mô phỏng phải bằng 1. Do đó, chúng ta có thể tính giá trị kỳ vọng qua các kết quả trong hai phương pháp sau, dùng xác suất làm trọng số, và các giá trị kỳ vọng này có thể so sánh được với các giá trị điều chỉnh theo rủi ro đơn lẻ mà chúng ta đã nói đến ở chương trước.</w:t>
      </w:r>
    </w:p>
    <w:p>
      <w:pPr>
        <w:numPr>
          <w:ilvl w:val="0"/>
          <w:numId w:val="413"/>
        </w:numPr>
        <w:pStyle w:val="Para 01"/>
      </w:pPr>
      <w:r>
        <w:t>Rủi ro rời rạc so với liên tục. Như đã nêu trước đó, phân tích tình huống và cây quyết định thường được xây dựng quanh các kết quả rời rạc trong các sự kiện rủi ro, trong khi mô phỏng phù hợp hơn với rủi ro liên tục. Chỉ tập trung vào phân tích tình huống và cây quyết định, phương pháp sau phù hợp hơn với rủi ro tuần tự, vì rủi ro được xem xét theo từng giai đoạn, trong khi phương pháp trước dễ dùng hơn khi các rủi ro xảy ra đồng thời.</w:t>
      </w:r>
    </w:p>
    <w:p>
      <w:pPr>
        <w:numPr>
          <w:ilvl w:val="0"/>
          <w:numId w:val="413"/>
        </w:numPr>
        <w:pStyle w:val="Para 01"/>
      </w:pPr>
      <w:r>
        <w:t>Tương quan giữa các rủi ro. Nếu các rủi ro khác nhau mà một khoản đầu tư phải chịu có tương quan với nhau, mô phỏng cho phép mô hình hóa rõ ràng các tương quan này (giả sử bạn có thể ước tính và dự báo chúng). Trong phân tích tình huống, chúng ta có thể xử lý tương quan một cách chủ quan bằng cách tạo ra các tình huống cho phép chúng; tình huống lãi suất cao (thấp) cũng sẽ bao gồm tăng trưởng kinh tế chậm hơn (cao hơn). Các rủi ro tương quan rất khó mô hình hóa trong cây quyết định.</w:t>
      </w:r>
    </w:p>
    <w:p>
      <w:pPr>
        <w:pStyle w:val="Para 03"/>
      </w:pPr>
      <w:r>
        <w:t>Bảng 33.2 tóm tắt mối quan hệ giữa loại rủi ro và phương pháp xác suất được sử dụng.</w:t>
      </w:r>
    </w:p>
    <w:p>
      <w:pPr>
        <w:pStyle w:val="Para 34"/>
        <w:keepLines w:val="on"/>
      </w:pPr>
      <w:r>
        <w:t>Bảng 33.2</w:t>
      </w:r>
    </w:p>
    <w:p>
      <w:pPr>
        <w:keepNext/>
        <w:pStyle w:val="Para 35"/>
        <w:keepLines w:val="on"/>
      </w:pPr>
      <w:r>
        <w:t>Loại rủi ro và các phương pháp xác suất</w:t>
      </w:r>
    </w:p>
    <w:tbl>
      <w:tblPr>
        <w:tblW w:type="auto" w:w="0"/>
      </w:tblPr>
      <w:tr>
        <w:tc>
          <w:tcPr>
            <w:tcW w:type="auto" w:w="0"/>
          </w:tcPr>
          <w:tbl>
            <w:tblPr>
              <w:tblW w:type="auto" w:w="0"/>
            </w:tblPr>
            <w:tr>
              <w:tc>
                <w:tcPr>
                  <w:tcW w:type="auto" w:w="0"/>
                  <w:shd w:val="clear" w:color="auto" w:fill="F0F0F0"/>
                </w:tcPr>
                <w:p>
                  <w:pPr>
                    <w:pStyle w:val="Para 29"/>
                    <w:keepLines w:val="on"/>
                  </w:pPr>
                  <w:r>
                    <w:t>Rời rạc/Liên tục</w:t>
                  </w:r>
                </w:p>
              </w:tc>
              <w:tc>
                <w:tcPr>
                  <w:tcW w:type="auto" w:w="0"/>
                  <w:shd w:val="clear" w:color="auto" w:fill="F0F0F0"/>
                </w:tcPr>
                <w:p>
                  <w:pPr>
                    <w:pStyle w:val="Para 29"/>
                    <w:keepLines w:val="on"/>
                  </w:pPr>
                  <w:r>
                    <w:t>Tương quan/Độc lập</w:t>
                  </w:r>
                </w:p>
              </w:tc>
              <w:tc>
                <w:tcPr>
                  <w:tcW w:type="auto" w:w="0"/>
                  <w:shd w:val="clear" w:color="auto" w:fill="F0F0F0"/>
                </w:tcPr>
                <w:p>
                  <w:pPr>
                    <w:pStyle w:val="Para 29"/>
                    <w:keepLines w:val="on"/>
                  </w:pPr>
                  <w:r>
                    <w:t>Rủi ro tuần tự/đồng thời</w:t>
                  </w:r>
                </w:p>
              </w:tc>
              <w:tc>
                <w:tcPr>
                  <w:tcW w:type="auto" w:w="0"/>
                  <w:shd w:val="clear" w:color="auto" w:fill="F0F0F0"/>
                </w:tcPr>
                <w:p>
                  <w:pPr>
                    <w:pStyle w:val="Para 29"/>
                    <w:keepLines w:val="on"/>
                  </w:pPr>
                  <w:r>
                    <w:t>Cách tiếp cận</w:t>
                  </w:r>
                </w:p>
              </w:tc>
            </w:tr>
            <w:tr>
              <w:tc>
                <w:tcPr>
                  <w:tcW w:type="auto" w:w="0"/>
                  <w:shd w:val="clear" w:color="auto" w:fill="F0F0F0"/>
                </w:tcPr>
                <w:p>
                  <w:pPr>
                    <w:pStyle w:val="Para 02"/>
                    <w:keepLines w:val="on"/>
                  </w:pPr>
                  <w:r>
                    <w:t>Rời rạc</w:t>
                  </w:r>
                </w:p>
              </w:tc>
              <w:tc>
                <w:tcPr>
                  <w:tcW w:type="auto" w:w="0"/>
                  <w:shd w:val="clear" w:color="auto" w:fill="F0F0F0"/>
                </w:tcPr>
                <w:p>
                  <w:pPr>
                    <w:pStyle w:val="Para 02"/>
                    <w:keepLines w:val="on"/>
                  </w:pPr>
                  <w:r>
                    <w:t>Độc lập</w:t>
                  </w:r>
                </w:p>
              </w:tc>
              <w:tc>
                <w:tcPr>
                  <w:tcW w:type="auto" w:w="0"/>
                  <w:shd w:val="clear" w:color="auto" w:fill="F0F0F0"/>
                </w:tcPr>
                <w:p>
                  <w:pPr>
                    <w:pStyle w:val="Para 02"/>
                    <w:keepLines w:val="on"/>
                  </w:pPr>
                  <w:r>
                    <w:t>Tuần tự</w:t>
                  </w:r>
                </w:p>
              </w:tc>
              <w:tc>
                <w:tcPr>
                  <w:tcW w:type="auto" w:w="0"/>
                  <w:shd w:val="clear" w:color="auto" w:fill="F0F0F0"/>
                </w:tcPr>
                <w:p>
                  <w:pPr>
                    <w:pStyle w:val="Para 02"/>
                    <w:keepLines w:val="on"/>
                  </w:pPr>
                  <w:r>
                    <w:t>Cây quyết định</w:t>
                  </w:r>
                </w:p>
              </w:tc>
            </w:tr>
            <w:tr>
              <w:tc>
                <w:tcPr>
                  <w:tcW w:type="auto" w:w="0"/>
                  <w:shd w:val="clear" w:color="auto" w:fill="F0F0F0"/>
                </w:tcPr>
                <w:p>
                  <w:pPr>
                    <w:pStyle w:val="Para 02"/>
                    <w:keepLines w:val="on"/>
                  </w:pPr>
                  <w:r>
                    <w:t>Rời rạc</w:t>
                  </w:r>
                </w:p>
              </w:tc>
              <w:tc>
                <w:tcPr>
                  <w:tcW w:type="auto" w:w="0"/>
                  <w:shd w:val="clear" w:color="auto" w:fill="F0F0F0"/>
                </w:tcPr>
                <w:p>
                  <w:pPr>
                    <w:pStyle w:val="Para 02"/>
                    <w:keepLines w:val="on"/>
                  </w:pPr>
                  <w:r>
                    <w:t>Tương quan</w:t>
                  </w:r>
                </w:p>
              </w:tc>
              <w:tc>
                <w:tcPr>
                  <w:tcW w:type="auto" w:w="0"/>
                  <w:shd w:val="clear" w:color="auto" w:fill="F0F0F0"/>
                </w:tcPr>
                <w:p>
                  <w:pPr>
                    <w:pStyle w:val="Para 02"/>
                    <w:keepLines w:val="on"/>
                  </w:pPr>
                  <w:r>
                    <w:t>Đồng thời</w:t>
                  </w:r>
                </w:p>
              </w:tc>
              <w:tc>
                <w:tcPr>
                  <w:tcW w:type="auto" w:w="0"/>
                  <w:shd w:val="clear" w:color="auto" w:fill="F0F0F0"/>
                </w:tcPr>
                <w:p>
                  <w:pPr>
                    <w:pStyle w:val="Para 02"/>
                    <w:keepLines w:val="on"/>
                  </w:pPr>
                  <w:r>
                    <w:t>Phân tích tình huống</w:t>
                  </w:r>
                </w:p>
              </w:tc>
            </w:tr>
            <w:tr>
              <w:tc>
                <w:tcPr>
                  <w:tcW w:type="auto" w:w="0"/>
                  <w:shd w:val="clear" w:color="auto" w:fill="F0F0F0"/>
                </w:tcPr>
                <w:p>
                  <w:pPr>
                    <w:pStyle w:val="Para 02"/>
                    <w:keepLines w:val="on"/>
                  </w:pPr>
                  <w:r>
                    <w:t>Liên tục</w:t>
                  </w:r>
                </w:p>
              </w:tc>
              <w:tc>
                <w:tcPr>
                  <w:tcW w:type="auto" w:w="0"/>
                  <w:shd w:val="clear" w:color="auto" w:fill="F0F0F0"/>
                </w:tcPr>
                <w:p>
                  <w:pPr>
                    <w:pStyle w:val="Para 02"/>
                    <w:keepLines w:val="on"/>
                  </w:pPr>
                  <w:r>
                    <w:t>Hoặc</w:t>
                  </w:r>
                </w:p>
              </w:tc>
              <w:tc>
                <w:tcPr>
                  <w:tcW w:type="auto" w:w="0"/>
                  <w:shd w:val="clear" w:color="auto" w:fill="F0F0F0"/>
                </w:tcPr>
                <w:p>
                  <w:pPr>
                    <w:pStyle w:val="Para 02"/>
                    <w:keepLines w:val="on"/>
                  </w:pPr>
                  <w:r>
                    <w:t>Hoặc</w:t>
                  </w:r>
                </w:p>
              </w:tc>
              <w:tc>
                <w:tcPr>
                  <w:tcW w:type="auto" w:w="0"/>
                  <w:shd w:val="clear" w:color="auto" w:fill="F0F0F0"/>
                </w:tcPr>
                <w:p>
                  <w:pPr>
                    <w:pStyle w:val="Para 02"/>
                    <w:keepLines w:val="on"/>
                  </w:pPr>
                  <w:r>
                    <w:t>Mô phỏng</w:t>
                  </w:r>
                </w:p>
              </w:tc>
            </w:tr>
          </w:tbl>
          <w:p/>
        </w:tc>
      </w:tr>
    </w:tbl>
    <w:p>
      <w:pPr>
        <w:pStyle w:val="Para 03"/>
      </w:pPr>
      <w:r>
        <w:t>Cuối cùng, chất lượng thông tin sẽ là một yếu tố ảnh hưởng đến việc bạn chọn cách tiếp cận nào. Vì mô phỏng phụ thuộc rất nhiều vào khả năng đánh giá các phân phối xác suất và các tham số, nên chúng phát huy hiệu quả nhất trong những trường hợp có sẵn lượng lớn dữ liệu lịch sử và dữ liệu chéo để thực hiện các đánh giá này. Với cây quyết định, bạn cần ước lượng xác suất của các kết quả tại mỗi nút cơ hội (chance node), khiến chúng phù hợp nhất với những rủi ro có thể đánh giá được, dù là dùng dữ liệu quá khứ hay đặc điểm tổng thể. Do đó, không có gì ngạc nhiên khi đối mặt với những rủi ro mới và khó lường, các nhà phân tích vẫn quay về với phân tích tình huống, bất chấp cách xử lý rủi ro có phần cẩu thả và chủ quan của nó.</w:t>
      </w:r>
    </w:p>
    <w:p>
      <w:bookmarkStart w:id="6758" w:name="Complement_or_Replacement_for_Ri_1"/>
      <w:bookmarkStart w:id="6759" w:name="Complement_or_Replacement_for_Ri"/>
      <w:pPr>
        <w:keepNext/>
        <w:pStyle w:val="Heading 3"/>
        <w:keepLines w:val="on"/>
      </w:pPr>
      <w:r>
        <w:t>Bổ trợ hay Thay thế cho Giá trị đã điều chỉnh theo rủi ro</w:t>
      </w:r>
      <w:bookmarkEnd w:id="6758"/>
      <w:bookmarkEnd w:id="6759"/>
    </w:p>
    <w:p>
      <w:pPr>
        <w:pStyle w:val="Para 03"/>
      </w:pPr>
      <w:r>
        <w:t>Như chúng ta đã lưu ý khi bàn về cả cây quyết định lẫn mô phỏng, những cách tiếp cận này có thể được dùng để bổ trợ hoặc thay thế cho giá trị đã điều chỉnh theo rủi ro. Ngược lại, phân tích tình huống sẽ luôn là công cụ bổ trợ cho giá trị đã điều chỉnh theo rủi ro, vì nó không xem xét toàn bộ phổ các kết quả có thể xảy ra.</w:t>
      </w:r>
    </w:p>
    <w:p>
      <w:pPr>
        <w:pStyle w:val="Para 03"/>
      </w:pPr>
      <w:r>
        <w:t>Khi bất kỳ cách tiếp cận nào trong số này được dùng để bổ trợ cho giá trị đã điều chỉnh theo rủi ro, những lưu ý mà chúng tôi đã đưa ra trước đó trong chương này vẫn còn giá trị và cần được nhắc lại. Tất cả những cách tiếp cận này đều sử dụng dòng tiền kỳ vọng thay vì dòng tiền đã điều chỉnh theo rủi ro, và tỷ lệ chiết khấu được dùng phải là tỷ lệ chiết khấu đã điều chỉnh theo rủi ro; không thể dùng lãi suất phi rủi ro để chiết khấu dòng tiền kỳ vọng. Tuy nhiên, trong cả ba cách tiếp cận, chúng ta vẫn giữ được sự linh hoạt để thay đổi tỷ lệ chiết khấu đã điều chỉnh theo rủi ro cho các kết quả khác nhau. Vì tất cả những cách tiếp cận này cũng sẽ cung cấp một khoảng giá trị ước tính và một thước đo mức độ biến thiên (dưới dạng giá trị tại các nút cuối trong cây quyết định hoặc độ lệch chuẩn của giá trị trong mô phỏng), điều quan trọng là chúng ta không được tính trùng rủi ro hai lần. Nói cách khác, thật bất công một cách rõ ràng đối với các khoản đầu tư rủi ro khi chiết khấu dòng tiền của chúng về theo tỷ lệ đã điều chỉnh theo rủi ro (trong mô phỏng và cây quyết định) rồi sau đó lại từ chối chúng vì mức độ biến thiên của giá trị quá cao.</w:t>
      </w:r>
    </w:p>
    <w:p>
      <w:pPr>
        <w:pStyle w:val="Para 03"/>
      </w:pPr>
      <w:r>
        <w:t>Cả mô phỏng lẫn cây quyết định đều có thể được dùng như những phương án thay thế cho định giá đã điều chỉnh theo rủi ro, nhưng quá trình này có những ràng buộc. Thứ nhất, dòng tiền sẽ được chiết khấu về theo lãi suất phi rủi ro để tính ra giá trị. Thứ hai, giờ đây chúng ta dùng thước đo mức độ biến thiên của giá trị thu được từ cả hai cách tiếp cận này như một thước đo rủi ro của khoản đầu tư. Khi so sánh hai tài sản có cùng giá trị kỳ vọng (thu được với lãi suất phi rủi ro làm tỷ lệ chiết khấu) từ một mô phỏng, chúng ta sẽ chọn tài sản có mức độ biến thiên thấp hơn trong các giá trị mô phỏng làm khoản đầu tư tốt hơn. Nếu làm vậy, chúng ta đang giả định rằng tất cả những rủi ro được đưa vào mô phỏng đều có liên quan đến quyết định đầu tư. Thực chất, chúng ta đang bỏ qua ranh giới giữa những rủi ro có thể đã được đa dạng hóa trong một danh mục và rủi ro đặc thù của tài sản — nền tảng mà phần lớn tài chính hiện đại được xây dựng trên đó. Đối với những nhà đầu tư đang cân nhắc dồn toàn bộ tài sản của mình vào một tài sản duy nhất, điều này có lẽ là hợp lý. Nhưng với một nhà quản lý danh mục đang so sánh hai cổ phiếu rủi ro mà họ cân nhắc thêm vào một danh mục đã được đa dạng hóa, cách làm này có thể cho ra kết quả sai lệch; cổ phiếu bị loại bỏ với phương sai cao hơn trong các giá trị mô phỏng có thể không tương quan với các khoản đầu tư khác trong danh mục, và do đó, có rủi ro biên rất nhỏ.</w:t>
      </w:r>
    </w:p>
    <w:p>
      <w:pPr>
        <w:pStyle w:val="Para 03"/>
      </w:pPr>
      <w:r>
        <w:t>Việc sử dụng các cách tiếp cận xác suất đã trở nên phổ biến hơn nhờ sự bùng nổ về khả năng tiếp cận dữ liệu và sức mạnh tính toán. Ngày nay, không hiếm khi thấy một phân tích lập ngân sách vốn với 20–30 tình huống, hoặc một mô phỏng Monte Carlo gắn kèm với việc định giá cổ phần.</w:t>
      </w:r>
    </w:p>
    <w:p>
      <w:bookmarkStart w:id="6761" w:name="Conclusion_32"/>
      <w:bookmarkStart w:id="6762" w:name="Conclusion__Estimating_the_risk"/>
      <w:pPr>
        <w:keepNext/>
        <w:pStyle w:val="Heading 2"/>
        <w:keepLines w:val="on"/>
      </w:pPr>
      <w:r>
        <w:t>Kết luận</w:t>
      </w:r>
      <w:bookmarkEnd w:id="6761"/>
      <w:bookmarkEnd w:id="6762"/>
    </w:p>
    <w:p>
      <w:pPr>
        <w:pStyle w:val="Para 03"/>
      </w:pPr>
      <w:r>
        <w:t>Ước lượng giá trị đã điều chỉnh theo rủi ro cho một tài sản hay khoản đầu tư rủi ro có vẻ như là một việc làm vô ích. Suy cho cùng, giá trị là một hàm số của những giả định mà chúng ta đưa ra về cách rủi ro sẽ diễn ra trong tương lai. Với các cách tiếp cận định giá theo xác suất, chúng ta không chỉ ước lượng một giá trị kỳ vọng mà còn nắm được khoảng các kết quả có thể xảy ra cho giá trị, trải qua cả những tình huống tốt lẫn xấu.</w:t>
      </w:r>
    </w:p>
    <w:p>
      <w:pPr>
        <w:numPr>
          <w:ilvl w:val="0"/>
          <w:numId w:val="414"/>
        </w:numPr>
        <w:pStyle w:val="Para 01"/>
      </w:pPr>
      <w:r>
        <w:t>Ở dạng cực đoan nhất của phân tích tình huống, bạn xem xét giá trị trong tình huống tốt nhất và xấu nhất rồi đối chiếu chúng với giá trị kỳ vọng. Ở dạng tổng quát hơn, bạn ước lượng giá trị theo một số ít tình huống có khả năng xảy ra, từ lạc quan đến bi quan.</w:t>
      </w:r>
    </w:p>
    <w:p>
      <w:pPr>
        <w:numPr>
          <w:ilvl w:val="0"/>
          <w:numId w:val="414"/>
        </w:numPr>
        <w:pStyle w:val="Para 01"/>
      </w:pPr>
      <w:r>
        <w:t>Cây quyết định được thiết kế cho những rủi ro tuần tự và rời rạc, khi rủi ro của một khoản đầu tư được xem xét theo từng giai đoạn, và rủi ro trong mỗi giai đoạn được thể hiện qua các kết quả có thể xảy ra cùng xác suất chúng xảy ra. Cây quyết định cung cấp một đánh giá đầy đủ về rủi ro và có thể được dùng để xác định các phương án hành động tối ưu ở mỗi giai đoạn cũng như giá trị kỳ vọng của một tài sản ở thời điểm hiện tại.</w:t>
      </w:r>
    </w:p>
    <w:p>
      <w:pPr>
        <w:numPr>
          <w:ilvl w:val="0"/>
          <w:numId w:val="414"/>
        </w:numPr>
        <w:pStyle w:val="Para 01"/>
      </w:pPr>
      <w:r>
        <w:t>Mô phỏng cung cấp những đánh giá đầy đủ nhất về rủi ro vì chúng dựa trên các phân phối xác suất cho từng thông số đầu vào (chứ không chỉ các kết quả rời rạc). Kết quả đầu ra của một mô phỏng có dạng một giá trị kỳ vọng qua các lần mô phỏng và một phân phối cho các giá trị mô phỏng.</w:t>
      </w:r>
    </w:p>
    <w:p>
      <w:pPr>
        <w:pStyle w:val="Para 03"/>
      </w:pPr>
      <w:r>
        <w:t>Với cả ba cách tiếp cận, mấu chốt là tránh tính trùng rủi ro (bằng cách dùng tỷ lệ chiết khấu đã điều chỉnh theo rủi ro và coi mức biến động của giá trị ước tính như một thước đo rủi ro) hoặc đưa ra quyết định dựa trên sai loại rủi ro.</w:t>
      </w:r>
    </w:p>
    <w:p>
      <w:bookmarkStart w:id="6764" w:name="Questions_and_Short_Problems__In_25"/>
      <w:bookmarkStart w:id="6765" w:name="Questions_and_Short_Problems_31"/>
      <w:pPr>
        <w:keepNext/>
        <w:pStyle w:val="Heading 2"/>
        <w:keepLines w:val="on"/>
      </w:pPr>
      <w:r>
        <w:t>Câu hỏi và Bài tập ngắn</w:t>
      </w:r>
      <w:bookmarkEnd w:id="6764"/>
      <w:bookmarkEnd w:id="6765"/>
    </w:p>
    <w:p>
      <w:pPr>
        <w:pStyle w:val="Para 44"/>
      </w:pPr>
      <w:r>
        <w:t>Trong các bài tập sau, hãy dùng mức bù rủi ro vốn cổ phần (equity risk premium) là 5,5 phần trăm nếu không có quy định nào khác.</w:t>
      </w:r>
    </w:p>
    <w:p>
      <w:pPr>
        <w:numPr>
          <w:ilvl w:val="0"/>
          <w:numId w:val="415"/>
        </w:numPr>
        <w:pStyle w:val="Para 01"/>
      </w:pPr>
      <w:r>
        <w:t>Bạn đã ước tính giá trị mỗi cổ phần của Littlefield Inc., một công ty vận tải, theo ba kịch bản: 5 đô-la/cổ phần trong kịch bản xấu nhất, 30 đô-la/cổ phần trong kịch bản tốt nhất, và 18 đô-la/cổ phần trong kịch bản khả dĩ nhất. Nếu cổ phiếu đang giao dịch ở mức 15 đô-la, bạn có mua cổ phiếu này không? Vì sao có hoặc vì sao không?</w:t>
      </w:r>
    </w:p>
    <w:p>
      <w:pPr>
        <w:numPr>
          <w:ilvl w:val="0"/>
          <w:numId w:val="415"/>
        </w:numPr>
        <w:pStyle w:val="Para 01"/>
      </w:pPr>
      <w:r>
        <w:t>Bạn đang phân tích Delta Enterprises, một công ty niêm yết nhỏ với 50 triệu đô-la nợ chưa trả, và 25 triệu cổ phần, đang giao dịch ở mức 10 đô-la/cổ phần. Công ty tạo ra 40 triệu đô-la dòng tiền sau thuế trong năm ngoái, và bạn ước tính rằng dòng tiền này sẽ tăng trưởng 2% mỗi năm mãi mãi, và chi phí vốn (cost of capital) của công ty là 12%.</w:t>
      </w:r>
    </w:p>
    <w:p>
      <w:pPr>
        <w:numPr>
          <w:ilvl w:val="1"/>
          <w:numId w:val="415"/>
        </w:numPr>
        <w:pStyle w:val="Para 01"/>
      </w:pPr>
      <w:r>
        <w:t>Hãy ước tính giá trị mỗi cổ phần của công ty, giả sử công ty không có số dư tiền mặt.</w:t>
      </w:r>
    </w:p>
    <w:p>
      <w:pPr>
        <w:numPr>
          <w:ilvl w:val="1"/>
          <w:numId w:val="415"/>
        </w:numPr>
        <w:pStyle w:val="Para 01"/>
      </w:pPr>
      <w:r>
        <w:t>Bây giờ giả sử bạn phát hiện ra rằng một phần đáng kể doanh thu của công ty đến từ một khách hàng duy nhất, và có 20 phần trăm khả năng hợp đồng này sẽ bị mất vào năm tới. Giả sử rằng việc mất hợp đồng sẽ khiến dòng tiền sau thuế giảm 50%, hãy ước tính giá trị mỗi cổ phần hôm nay. (Bạn có thể giả định rằng tốc độ tăng trưởng và chi phí vốn sẽ không bị ảnh hưởng).</w:t>
      </w:r>
    </w:p>
    <w:p>
      <w:pPr>
        <w:numPr>
          <w:ilvl w:val="0"/>
          <w:numId w:val="415"/>
        </w:numPr>
        <w:pStyle w:val="Para 01"/>
      </w:pPr>
      <w:r>
        <w:t>Bạn đang định giá Signet Bank trong giai đoạn có nhiều bất định đáng kể về các quy định pháp lý trong tương lai. Signet Bank tạo ra 100 triệu đô-la thu nhập ròng trong năm ngoái trên giá trị sổ sách của vốn cổ phần là 1 tỷ đô-la, và chi trả 70 triệu đô-la cổ tức. Dù bạn kỳ vọng Signet sẽ là một công ty tăng trưởng ổn định, bạn hình dung các kịch bản pháp lý sau đây cho tương lai:</w:t>
      </w:r>
    </w:p>
    <w:p>
      <w:pPr>
        <w:numPr>
          <w:ilvl w:val="1"/>
          <w:numId w:val="415"/>
        </w:numPr>
        <w:pStyle w:val="Para 01"/>
      </w:pPr>
      <w:r>
        <w:t>Nguyên trạng—không có thay đổi trong các quy định pháp lý (xác suất 40%): Signet sẽ tiếp tục tạo ra tỷ suất sinh lợi trên vốn cổ phần (return on equity) hiện tại mãi mãi và duy trì tỷ lệ chi trả cổ tức hiện có.</w:t>
      </w:r>
    </w:p>
    <w:p>
      <w:pPr>
        <w:numPr>
          <w:ilvl w:val="1"/>
          <w:numId w:val="415"/>
        </w:numPr>
        <w:pStyle w:val="Para 01"/>
      </w:pPr>
      <w:r>
        <w:t>Nới lỏng quy định—tỷ lệ vốn pháp lý thấp hơn (xác suất 25 phần trăm): Signet sẽ có thể tạo ra tỷ suất sinh lợi trên vốn cổ phần là 12 phần trăm trên các khoản đầu tư trong tương lai, trong khi duy trì tốc độ tăng trưởng ổn định của mình (ở mức nguyên trạng).</w:t>
      </w:r>
    </w:p>
    <w:p>
      <w:pPr>
        <w:numPr>
          <w:ilvl w:val="1"/>
          <w:numId w:val="415"/>
        </w:numPr>
        <w:pStyle w:val="Para 01"/>
      </w:pPr>
      <w:r>
        <w:t>Thắt chặt quy định—tỷ lệ vốn pháp lý cao hơn (xác suất 35 phần trăm): Signet sẽ chứng kiến tỷ suất sinh lợi trên vốn cổ phần giảm xuống 9%, trong khi duy trì tốc độ tăng trưởng ổn định của mình (ở mức nguyên trạng).</w:t>
      </w:r>
    </w:p>
    <w:p>
      <w:pPr>
        <w:numPr>
          <w:ilvl w:val="2"/>
          <w:numId w:val="415"/>
        </w:numPr>
        <w:pStyle w:val="Para 01"/>
      </w:pPr>
      <w:r>
        <w:t>Hãy ước tính giá trị vốn cổ phần của Signet Bank theo từng kịch bản. (Bạn có thể giữ nguyên thu nhập ròng hiện tại trong tất cả các kịch bản.)</w:t>
      </w:r>
    </w:p>
    <w:p>
      <w:pPr>
        <w:numPr>
          <w:ilvl w:val="2"/>
          <w:numId w:val="415"/>
        </w:numPr>
        <w:pStyle w:val="Para 01"/>
      </w:pPr>
      <w:r>
        <w:t>Với xác suất xảy ra của từng kịch bản, hãy ước tính giá trị vốn cổ phần của Signet Bank hôm nay.</w:t>
      </w:r>
    </w:p>
    <w:p>
      <w:pPr>
        <w:numPr>
          <w:ilvl w:val="0"/>
          <w:numId w:val="415"/>
        </w:numPr>
        <w:pStyle w:val="Para 01"/>
      </w:pPr>
      <w:r>
        <w:t>Sigma Energy là một công ty năng lượng thay thế chuyên sản xuất tấm pin năng lượng mặt trời. Công ty được kỳ vọng sẽ tạo ra 50 triệu đô-la thu nhập hoạt động sau thuế trong năm tới, nhưng triển vọng tăng trưởng tương lai của nó phụ thuộc vào mức giá dầu và khả năng tiếp cận nguồn tài chính chính phủ với chi phí thấp (và được trợ cấp). Bạn đã phác thảo các kịch bản sau đây (với những hệ quả đối với tăng trưởng (g), tỷ suất sinh lợi trên vốn đầu tư [ROC] và chi phí vốn [r]):</w:t>
      </w:r>
    </w:p>
    <w:tbl>
      <w:tblPr>
        <w:tblW w:type="auto" w:w="0"/>
      </w:tblPr>
      <w:tr>
        <w:tc>
          <w:tcPr>
            <w:tcW w:type="auto" w:w="0"/>
          </w:tcPr>
          <w:tbl>
            <w:tblPr>
              <w:tblW w:type="auto" w:w="0"/>
            </w:tblPr>
            <w:tr>
              <w:tc>
                <w:tcPr>
                  <w:tcW w:type="auto" w:w="0"/>
                  <w:shd w:val="clear" w:color="auto" w:fill="F0F0F0"/>
                </w:tcPr>
                <w:p>
                  <w:pPr>
                    <w:pStyle w:val="Para 29"/>
                    <w:keepLines w:val="on"/>
                  </w:pPr>
                  <w:r>
                    <w:t/>
                  </w:r>
                </w:p>
              </w:tc>
              <w:tc>
                <w:tcPr>
                  <w:tcW w:type="auto" w:w="0"/>
                  <w:shd w:val="clear" w:color="auto" w:fill="F0F0F0"/>
                </w:tcPr>
                <w:p>
                  <w:pPr>
                    <w:pStyle w:val="Para 29"/>
                    <w:keepLines w:val="on"/>
                  </w:pPr>
                  <w:r>
                    <w:t>Trợ cấp chính phủ tiếp tục</w:t>
                  </w:r>
                </w:p>
              </w:tc>
              <w:tc>
                <w:tcPr>
                  <w:tcW w:type="auto" w:w="0"/>
                  <w:shd w:val="clear" w:color="auto" w:fill="F0F0F0"/>
                </w:tcPr>
                <w:p>
                  <w:pPr>
                    <w:pStyle w:val="Para 29"/>
                    <w:keepLines w:val="on"/>
                  </w:pPr>
                  <w:r>
                    <w:t>Trợ cấp chính phủ kết thúc</w:t>
                  </w:r>
                </w:p>
              </w:tc>
            </w:tr>
            <w:tr>
              <w:tc>
                <w:tcPr>
                  <w:tcW w:type="auto" w:w="0"/>
                  <w:shd w:val="clear" w:color="auto" w:fill="F0F0F0"/>
                </w:tcPr>
                <w:p>
                  <w:pPr>
                    <w:pStyle w:val="Para 02"/>
                    <w:keepLines w:val="on"/>
                  </w:pPr>
                  <w:r>
                    <w:t>Giá dầu &gt; 100 đô-la/thùng</w:t>
                  </w:r>
                </w:p>
              </w:tc>
              <w:tc>
                <w:tcPr>
                  <w:tcW w:type="auto" w:w="0"/>
                  <w:shd w:val="clear" w:color="auto" w:fill="F0F0F0"/>
                </w:tcPr>
                <w:p>
                  <w:pPr>
                    <w:pStyle w:val="Para 02"/>
                    <w:keepLines w:val="on"/>
                  </w:pPr>
                  <w:r>
                    <w:t>g = 4%, ROC = 12%,</w:t>
                  </w:r>
                </w:p>
              </w:tc>
              <w:tc>
                <w:tcPr>
                  <w:tcW w:type="auto" w:w="0"/>
                  <w:shd w:val="clear" w:color="auto" w:fill="F0F0F0"/>
                </w:tcPr>
                <w:p>
                  <w:pPr>
                    <w:pStyle w:val="Para 02"/>
                    <w:keepLines w:val="on"/>
                  </w:pPr>
                  <w:r>
                    <w:t>g = 4%, ROC = 12%,</w:t>
                  </w:r>
                </w:p>
              </w:tc>
            </w:tr>
            <w:tr>
              <w:tc>
                <w:tcPr>
                  <w:tcW w:type="auto" w:w="0"/>
                  <w:shd w:val="clear" w:color="auto" w:fill="F0F0F0"/>
                </w:tcPr>
                <w:p>
                  <w:pPr>
                    <w:pStyle w:val="Para 02"/>
                    <w:keepLines w:val="on"/>
                  </w:pPr>
                  <w:r>
                    <w:t>(xác suất 30%)</w:t>
                  </w:r>
                </w:p>
              </w:tc>
              <w:tc>
                <w:tcPr>
                  <w:tcW w:type="auto" w:w="0"/>
                  <w:shd w:val="clear" w:color="auto" w:fill="F0F0F0"/>
                </w:tcPr>
                <w:p>
                  <w:pPr>
                    <w:pStyle w:val="Para 02"/>
                    <w:keepLines w:val="on"/>
                  </w:pPr>
                  <w:r>
                    <w:t>r = 8%</w:t>
                  </w:r>
                </w:p>
              </w:tc>
              <w:tc>
                <w:tcPr>
                  <w:tcW w:type="auto" w:w="0"/>
                  <w:shd w:val="clear" w:color="auto" w:fill="F0F0F0"/>
                </w:tcPr>
                <w:p>
                  <w:pPr>
                    <w:pStyle w:val="Para 02"/>
                    <w:keepLines w:val="on"/>
                  </w:pPr>
                  <w:r>
                    <w:t>r = 10%</w:t>
                  </w:r>
                </w:p>
              </w:tc>
            </w:tr>
            <w:tr>
              <w:tc>
                <w:tcPr>
                  <w:tcW w:type="auto" w:w="0"/>
                  <w:shd w:val="clear" w:color="auto" w:fill="F0F0F0"/>
                </w:tcPr>
                <w:p>
                  <w:pPr>
                    <w:pStyle w:val="Para 02"/>
                    <w:keepLines w:val="on"/>
                  </w:pPr>
                  <w:r>
                    <w:t>Giá dầu trong khoảng 60</w:t>
                  </w:r>
                </w:p>
              </w:tc>
              <w:tc>
                <w:tcPr>
                  <w:tcW w:type="auto" w:w="0"/>
                  <w:shd w:val="clear" w:color="auto" w:fill="F0F0F0"/>
                </w:tcPr>
                <w:p>
                  <w:pPr>
                    <w:pStyle w:val="Para 02"/>
                    <w:keepLines w:val="on"/>
                  </w:pPr>
                  <w:r>
                    <w:t>g = 3%, ROC = 10%,</w:t>
                  </w:r>
                </w:p>
              </w:tc>
              <w:tc>
                <w:tcPr>
                  <w:tcW w:type="auto" w:w="0"/>
                  <w:shd w:val="clear" w:color="auto" w:fill="F0F0F0"/>
                </w:tcPr>
                <w:p>
                  <w:pPr>
                    <w:pStyle w:val="Para 02"/>
                    <w:keepLines w:val="on"/>
                  </w:pPr>
                  <w:r>
                    <w:t>g = 3%, ROC = 10%,</w:t>
                  </w:r>
                </w:p>
              </w:tc>
            </w:tr>
            <w:tr>
              <w:tc>
                <w:tcPr>
                  <w:tcW w:type="auto" w:w="0"/>
                  <w:shd w:val="clear" w:color="auto" w:fill="F0F0F0"/>
                </w:tcPr>
                <w:p>
                  <w:pPr>
                    <w:pStyle w:val="Para 02"/>
                    <w:keepLines w:val="on"/>
                  </w:pPr>
                  <w:r>
                    <w:t>và 100 đô la/thùng</w:t>
                  </w:r>
                </w:p>
              </w:tc>
              <w:tc>
                <w:tcPr>
                  <w:tcW w:type="auto" w:w="0"/>
                  <w:shd w:val="clear" w:color="auto" w:fill="F0F0F0"/>
                </w:tcPr>
                <w:p>
                  <w:pPr>
                    <w:pStyle w:val="Para 02"/>
                    <w:keepLines w:val="on"/>
                  </w:pPr>
                  <w:r>
                    <w:t>r = 8%</w:t>
                  </w:r>
                </w:p>
              </w:tc>
              <w:tc>
                <w:tcPr>
                  <w:tcW w:type="auto" w:w="0"/>
                  <w:shd w:val="clear" w:color="auto" w:fill="F0F0F0"/>
                </w:tcPr>
                <w:p>
                  <w:pPr>
                    <w:pStyle w:val="Para 02"/>
                    <w:keepLines w:val="on"/>
                  </w:pPr>
                  <w:r>
                    <w:t>r = 10%</w:t>
                  </w:r>
                </w:p>
              </w:tc>
            </w:tr>
            <w:tr>
              <w:tc>
                <w:tcPr>
                  <w:tcW w:type="auto" w:w="0"/>
                  <w:shd w:val="clear" w:color="auto" w:fill="F0F0F0"/>
                </w:tcPr>
                <w:p>
                  <w:pPr>
                    <w:pStyle w:val="Para 02"/>
                    <w:keepLines w:val="on"/>
                  </w:pPr>
                  <w:r>
                    <w:t>(xác suất 50%)</w:t>
                  </w:r>
                </w:p>
              </w:tc>
              <w:tc>
                <w:tcPr>
                  <w:tcW w:type="auto" w:w="0"/>
                  <w:shd w:val="clear" w:color="auto" w:fill="F0F0F0"/>
                </w:tcPr>
                <w:p>
                  <w:pPr>
                    <w:pStyle w:val="5 Block"/>
                    <w:keepLines w:val="on"/>
                  </w:pPr>
                </w:p>
              </w:tc>
              <w:tc>
                <w:tcPr>
                  <w:tcW w:type="auto" w:w="0"/>
                  <w:shd w:val="clear" w:color="auto" w:fill="F0F0F0"/>
                </w:tcPr>
                <w:p>
                  <w:pPr>
                    <w:pStyle w:val="5 Block"/>
                    <w:keepLines w:val="on"/>
                  </w:pPr>
                </w:p>
              </w:tc>
            </w:tr>
            <w:tr>
              <w:tc>
                <w:tcPr>
                  <w:tcW w:type="auto" w:w="0"/>
                  <w:shd w:val="clear" w:color="auto" w:fill="F0F0F0"/>
                </w:tcPr>
                <w:p>
                  <w:pPr>
                    <w:pStyle w:val="Para 02"/>
                    <w:keepLines w:val="on"/>
                  </w:pPr>
                  <w:r>
                    <w:t>Giá dầu &lt; 60 đô la/thùng</w:t>
                  </w:r>
                </w:p>
              </w:tc>
              <w:tc>
                <w:tcPr>
                  <w:tcW w:type="auto" w:w="0"/>
                  <w:shd w:val="clear" w:color="auto" w:fill="F0F0F0"/>
                </w:tcPr>
                <w:p>
                  <w:pPr>
                    <w:pStyle w:val="Para 02"/>
                    <w:keepLines w:val="on"/>
                  </w:pPr>
                  <w:r>
                    <w:t>g = 2%, ROC = 8%,</w:t>
                  </w:r>
                </w:p>
              </w:tc>
              <w:tc>
                <w:tcPr>
                  <w:tcW w:type="auto" w:w="0"/>
                  <w:shd w:val="clear" w:color="auto" w:fill="F0F0F0"/>
                </w:tcPr>
                <w:p>
                  <w:pPr>
                    <w:pStyle w:val="Para 02"/>
                    <w:keepLines w:val="on"/>
                  </w:pPr>
                  <w:r>
                    <w:t>g = 2%, ROC = 8%,</w:t>
                  </w:r>
                </w:p>
              </w:tc>
            </w:tr>
            <w:tr>
              <w:tc>
                <w:tcPr>
                  <w:tcW w:type="auto" w:w="0"/>
                  <w:shd w:val="clear" w:color="auto" w:fill="F0F0F0"/>
                </w:tcPr>
                <w:p>
                  <w:pPr>
                    <w:pStyle w:val="Para 02"/>
                    <w:keepLines w:val="on"/>
                  </w:pPr>
                  <w:r>
                    <w:t>(xác suất 20%)</w:t>
                  </w:r>
                </w:p>
              </w:tc>
              <w:tc>
                <w:tcPr>
                  <w:tcW w:type="auto" w:w="0"/>
                  <w:shd w:val="clear" w:color="auto" w:fill="F0F0F0"/>
                </w:tcPr>
                <w:p>
                  <w:pPr>
                    <w:pStyle w:val="Para 02"/>
                    <w:keepLines w:val="on"/>
                  </w:pPr>
                  <w:r>
                    <w:t>r = 8%</w:t>
                  </w:r>
                </w:p>
              </w:tc>
              <w:tc>
                <w:tcPr>
                  <w:tcW w:type="auto" w:w="0"/>
                  <w:shd w:val="clear" w:color="auto" w:fill="F0F0F0"/>
                </w:tcPr>
                <w:p>
                  <w:pPr>
                    <w:pStyle w:val="Para 02"/>
                    <w:keepLines w:val="on"/>
                  </w:pPr>
                  <w:r>
                    <w:t>r = 10%</w:t>
                  </w:r>
                </w:p>
              </w:tc>
            </w:tr>
          </w:tbl>
          <w:p/>
        </w:tc>
      </w:tr>
    </w:tbl>
    <w:p>
      <w:pPr>
        <w:numPr>
          <w:ilvl w:val="1"/>
          <w:numId w:val="415"/>
        </w:numPr>
        <w:pStyle w:val="Para 01"/>
      </w:pPr>
      <w:r>
        <w:t>Ước tính giá trị của công ty trong từng kịch bản. (Bạn có thể giữ nguyên thu nhập hoạt động sau thuế cho năm tới ở mức 50 triệu đô la trong tất cả các kịch bản.)</w:t>
      </w:r>
    </w:p>
    <w:p>
      <w:pPr>
        <w:numPr>
          <w:ilvl w:val="1"/>
          <w:numId w:val="415"/>
        </w:numPr>
        <w:pStyle w:val="Para 01"/>
      </w:pPr>
      <w:r>
        <w:t>Nếu xác suất chính phủ sẽ chấm dứt trợ cấp là 40%, hãy ước tính giá trị của công ty qua các kịch bản.</w:t>
      </w:r>
    </w:p>
    <w:p>
      <w:pPr>
        <w:numPr>
          <w:ilvl w:val="0"/>
          <w:numId w:val="415"/>
        </w:numPr>
        <w:pStyle w:val="Para 01"/>
      </w:pPr>
      <w:r>
        <w:t>Chavez Enterprises là một công ty nhỏ của Venezuela. Công ty đang có lãi và dự kiến sẽ tạo ra 120 triệu bolivar thu nhập hoạt động sau thuế vào năm tới trên vốn đầu tư (giá trị sổ sách) là 600 triệu bolivar. Bạn đã ước tính chi phí vốn của công ty là 12% và kỳ vọng nó sẽ tăng trưởng 4 phần trăm mỗi năm mãi mãi.</w:t>
      </w:r>
    </w:p>
    <w:p>
      <w:pPr>
        <w:numPr>
          <w:ilvl w:val="1"/>
          <w:numId w:val="415"/>
        </w:numPr>
        <w:pStyle w:val="Para 01"/>
      </w:pPr>
      <w:r>
        <w:t>Ước tính giá trị của công ty ngày hôm nay.</w:t>
      </w:r>
    </w:p>
    <w:p>
      <w:pPr>
        <w:numPr>
          <w:ilvl w:val="1"/>
          <w:numId w:val="415"/>
        </w:numPr>
        <w:pStyle w:val="Para 01"/>
      </w:pPr>
      <w:r>
        <w:t>Bây giờ giả sử bạn lo ngại rằng công ty có thể bị quốc hữu hóa. Nếu quốc hữu hóa xảy ra, bạn sẽ được trả theo giá trị sổ sách của tài sản. Giả sử xác suất quốc hữu hóa là 30%, hãy ước tính giá trị của công ty ngày hôm nay.</w:t>
      </w:r>
    </w:p>
    <w:p>
      <w:pPr>
        <w:numPr>
          <w:ilvl w:val="0"/>
          <w:numId w:val="415"/>
        </w:numPr>
        <w:pStyle w:val="Para 01"/>
      </w:pPr>
      <w:r>
        <w:t>Loral Drugs là một công ty công nghệ sinh học đang nghiên cứu một loại thuốc mới để điều trị chứng mất ngủ. Loại thuốc này đang trong quá trình phê duyệt của FDA, và dự kiến sẽ tạo ra 150 triệu đô la dòng tiền sau thuế mỗi năm trong 15 năm, một khi được phê duyệt. Còn hai rào cản nữa mà loại thuốc phải vượt qua trước khi được phê duyệt:</w:t>
      </w:r>
    </w:p>
    <w:p>
      <w:pPr>
        <w:numPr>
          <w:ilvl w:val="1"/>
          <w:numId w:val="415"/>
        </w:numPr>
        <w:pStyle w:val="Para 01"/>
      </w:pPr>
      <w:r>
        <w:t>Một thử nghiệm mẫu nhỏ trên động vật thí nghiệm sẽ mất một năm để hoàn thành và dự kiến tốn 100 triệu đô la (chi ngay hôm nay); có 80 phần trăm khả năng nó sẽ thành công.</w:t>
      </w:r>
    </w:p>
    <w:p>
      <w:pPr>
        <w:numPr>
          <w:ilvl w:val="1"/>
          <w:numId w:val="415"/>
        </w:numPr>
        <w:pStyle w:val="Para 01"/>
      </w:pPr>
      <w:r>
        <w:t>Nếu thử nghiệm trên động vật thí nghiệm thành công, nó sẽ được tiếp nối bằng một nghiên cứu trên người thử nghiệm sẽ mất thêm hai năm để hoàn thành và tốn 250 triệu đô la (chi vào cuối năm 1); có 60 phần trăm khả năng nghiên cứu này sẽ cho kết quả thuận lợi.</w:t>
      </w:r>
    </w:p>
    <w:p>
      <w:pPr>
        <w:pStyle w:val="Para 03"/>
      </w:pPr>
      <w:r>
        <w:t>Chi phí vốn cho các công ty công nghệ sinh học là 10%.</w:t>
      </w:r>
    </w:p>
    <w:p>
      <w:pPr>
        <w:numPr>
          <w:ilvl w:val="2"/>
          <w:numId w:val="415"/>
        </w:numPr>
        <w:pStyle w:val="Para 01"/>
      </w:pPr>
      <w:r>
        <w:t>Phác thảo cây quyết định cho loại thuốc điều trị mất ngủ.</w:t>
      </w:r>
    </w:p>
    <w:p>
      <w:pPr>
        <w:numPr>
          <w:ilvl w:val="2"/>
          <w:numId w:val="415"/>
        </w:numPr>
        <w:pStyle w:val="Para 01"/>
      </w:pPr>
      <w:r>
        <w:t>Ước tính giá trị kỳ vọng của loại thuốc đối với công ty ngày hôm nay.</w:t>
      </w:r>
    </w:p>
    <w:p>
      <w:pPr>
        <w:numPr>
          <w:ilvl w:val="0"/>
          <w:numId w:val="415"/>
        </w:numPr>
        <w:pStyle w:val="Para 01"/>
      </w:pPr>
      <w:r>
        <w:t>Bạn là một nhà đầu tư mạo hiểm quan tâm đến việc đầu tư 50 triệu đô la vào Friends Online, một công ty truyền thông xã hội. Doanh nghiệp sẽ mất ba năm để đi vào hoạt động (trong giai đoạn đó nó sẽ không tạo ra dòng tiền dương nào), và một khi đi vào hoạt động, nó sẽ tạo ra 27 triệu đô la dòng tiền sau thuế, tăng trưởng 3% mãi mãi. Chi phí vốn cho các công ty truyền thông xã hội đã thành danh là 12%, nhưng có 60 phần trăm khả năng doanh nghiệp sẽ không tồn tại (trong trường hợp đó, nó sẽ không có tài sản nào có giá trị để thanh lý).</w:t>
      </w:r>
    </w:p>
    <w:p>
      <w:pPr>
        <w:numPr>
          <w:ilvl w:val="1"/>
          <w:numId w:val="415"/>
        </w:numPr>
        <w:pStyle w:val="Para 01"/>
      </w:pPr>
      <w:r>
        <w:t>Ước tính giá trị của Friends Online, một khi nó đi vào hoạt động.</w:t>
      </w:r>
    </w:p>
    <w:p>
      <w:pPr>
        <w:numPr>
          <w:ilvl w:val="1"/>
          <w:numId w:val="415"/>
        </w:numPr>
        <w:pStyle w:val="Para 01"/>
      </w:pPr>
      <w:r>
        <w:t>Với khả năng thất bại như vậy, hãy ước tính tỷ lệ vốn chủ sở hữu trong Friends Online mà bạn sẽ yêu cầu ngày hôm nay để đổi lấy khoản đầu tư 50 triệu đô la của bạn. (Bạn có thể giả định rằng Friends Online không có nợ hoặc tiền mặt.)</w:t>
      </w:r>
    </w:p>
    <w:p>
      <w:pPr>
        <w:numPr>
          <w:ilvl w:val="1"/>
          <w:numId w:val="415"/>
        </w:numPr>
        <w:pStyle w:val="Para 01"/>
      </w:pPr>
      <w:r>
        <w:t>Ước tính mức lợi nhuận mục tiêu mà bạn sẽ yêu cầu trong ba năm tới, với rủi ro thất bại được đưa vào mức lợi nhuận đó.</w:t>
      </w:r>
    </w:p>
    <w:p>
      <w:pPr>
        <w:pStyle w:val="Para 44"/>
      </w:pPr>
      <w:r>
        <w:t>Để giải hai bài toán tiếp theo, bạn sẽ cần dùng một chương trình mô phỏng như Crystal Ball hoặc @Risk.</w:t>
      </w:r>
    </w:p>
    <w:p>
      <w:pPr>
        <w:numPr>
          <w:ilvl w:val="0"/>
          <w:numId w:val="415"/>
        </w:numPr>
        <w:pStyle w:val="Para 01"/>
      </w:pPr>
      <w:r>
        <w:t>Bạn đang định giá Stedman Inc., một công ty hóa chất đang trong giai đoạn tăng trưởng ổn định (tăng 3% mỗi năm), dự kiến sẽ tạo ra 100 triệu đô la lợi nhuận hoạt động sau thuế trong năm tới. Bạn đã ước tính những điều sau:</w:t>
      </w:r>
    </w:p>
    <w:p>
      <w:pPr>
        <w:numPr>
          <w:ilvl w:val="1"/>
          <w:numId w:val="415"/>
        </w:numPr>
        <w:pStyle w:val="Para 01"/>
      </w:pPr>
      <w:r>
        <w:t>Tỷ suất sinh lợi trên vốn đầu tư vào các khoản đầu tư mới tuân theo phân phối chuẩn, với giá trị kỳ vọng là 15%, độ lệch chuẩn là 3%.</w:t>
      </w:r>
    </w:p>
    <w:p>
      <w:pPr>
        <w:numPr>
          <w:ilvl w:val="1"/>
          <w:numId w:val="415"/>
        </w:numPr>
        <w:pStyle w:val="Para 01"/>
      </w:pPr>
      <w:r>
        <w:t>Chi phí vốn của công ty là 10%, phân phối đều, với giá trị nhỏ nhất là 8% và giá trị lớn nhất là 12%.</w:t>
      </w:r>
    </w:p>
    <w:p>
      <w:pPr>
        <w:pStyle w:val="Para 03"/>
      </w:pPr>
      <w:r>
        <w:t>Công ty có 500 triệu đô la nợ chưa thanh toán và số dư tiền mặt là 200 triệu đô la. Hãy xây dựng một phân phối các giá trị mô phỏng cho Stedman Inc.</w:t>
      </w:r>
    </w:p>
    <w:p>
      <w:pPr>
        <w:numPr>
          <w:ilvl w:val="0"/>
          <w:numId w:val="415"/>
        </w:numPr>
        <w:pStyle w:val="Para 01"/>
      </w:pPr>
      <w:r>
        <w:t>Simon Gold là một công ty khai thác vàng đã trưởng thành, sở hữu các mỏ vàng dự kiến sẽ sản xuất 100.000 ounce vàng mỗi năm trong 25 năm tới; vào cuối giai đoạn đó, các mỏ sẽ cạn kiệt và không còn giá trị gì. Công ty có chi phí cố định là 100 triệu đô la, dự kiến sẽ không thay đổi trong 25 năm tới và không có chi phí biến đổi. Chi phí vốn của các công ty khai thác vàng là 8%.</w:t>
      </w:r>
    </w:p>
    <w:p>
      <w:pPr>
        <w:numPr>
          <w:ilvl w:val="1"/>
          <w:numId w:val="415"/>
        </w:numPr>
        <w:pStyle w:val="Para 01"/>
      </w:pPr>
      <w:r>
        <w:t>Nếu giá vàng hiện tại là 1.500 đô la một ounce và dự kiến sẽ không thay đổi trong 25 năm tới, hãy ước tính giá trị của Simon Gold.</w:t>
      </w:r>
    </w:p>
    <w:p>
      <w:pPr>
        <w:numPr>
          <w:ilvl w:val="1"/>
          <w:numId w:val="415"/>
        </w:numPr>
        <w:pStyle w:val="Para 01"/>
      </w:pPr>
      <w:r>
        <w:t>Bây giờ giả sử bạn tin rằng giá vàng sẽ tuân theo phân phối chuẩn với giá trị kỳ vọng là 1.500 đô la một ounce và độ lệch chuẩn là 200 đô la một ounce. Hãy xây dựng một phân phối các giá trị mô phỏng cho Simon Gold.</w:t>
      </w:r>
    </w:p>
    <w:p>
      <w:pPr>
        <w:numPr>
          <w:ilvl w:val="0"/>
          <w:numId w:val="415"/>
        </w:numPr>
        <w:pStyle w:val="Para 01"/>
      </w:pPr>
      <w:r>
        <w:t>Bạn là một nhà quản lý danh mục đầu tư và có các chuyên viên phân tích đã sử dụng mô phỏng Monte Carlo để tìm ra 10 công ty bị định giá thấp, được liệt kê ở đây:</w:t>
      </w:r>
    </w:p>
    <w:tbl>
      <w:tblPr>
        <w:tblW w:type="auto" w:w="0"/>
      </w:tblPr>
      <w:tr>
        <w:tc>
          <w:tcPr>
            <w:tcW w:type="auto" w:w="0"/>
          </w:tcPr>
          <w:tbl>
            <w:tblPr>
              <w:tblW w:type="auto" w:w="0"/>
            </w:tblPr>
            <w:tr>
              <w:tc>
                <w:tcPr>
                  <w:tcW w:type="auto" w:w="0"/>
                  <w:shd w:val="clear" w:color="auto" w:fill="F0F0F0"/>
                  <w:vAlign w:val="bottom"/>
                </w:tcPr>
                <w:p>
                  <w:pPr>
                    <w:pStyle w:val="Para 61"/>
                    <w:keepLines w:val="on"/>
                  </w:pPr>
                  <w:r>
                    <w:t>Công ty</w:t>
                  </w:r>
                </w:p>
              </w:tc>
              <w:tc>
                <w:tcPr>
                  <w:tcW w:type="auto" w:w="0"/>
                  <w:shd w:val="clear" w:color="auto" w:fill="F0F0F0"/>
                  <w:vAlign w:val="bottom"/>
                </w:tcPr>
                <w:p>
                  <w:pPr>
                    <w:pStyle w:val="Para 45"/>
                    <w:keepLines w:val="on"/>
                  </w:pPr>
                  <w:r>
                    <w:t>Giá</w:t>
                  </w:r>
                </w:p>
              </w:tc>
              <w:tc>
                <w:tcPr>
                  <w:tcW w:type="auto" w:w="0"/>
                  <w:shd w:val="clear" w:color="auto" w:fill="F0F0F0"/>
                </w:tcPr>
                <w:p>
                  <w:pPr>
                    <w:pStyle w:val="Para 17"/>
                    <w:keepLines w:val="on"/>
                  </w:pPr>
                  <w:r>
                    <w:t>Độ lệch kỳ vọng</w:t>
                  </w:r>
                </w:p>
              </w:tc>
              <w:tc>
                <w:tcPr>
                  <w:tcW w:type="auto" w:w="0"/>
                  <w:shd w:val="clear" w:color="auto" w:fill="F0F0F0"/>
                </w:tcPr>
                <w:p>
                  <w:pPr>
                    <w:pStyle w:val="Para 17"/>
                    <w:keepLines w:val="on"/>
                  </w:pPr>
                  <w:r>
                    <w:t>Độ lệch chuẩn bị định giá thấp</w:t>
                  </w:r>
                </w:p>
              </w:tc>
              <w:tc>
                <w:tcPr>
                  <w:tcW w:type="auto" w:w="0"/>
                  <w:shd w:val="clear" w:color="auto" w:fill="F0F0F0"/>
                  <w:vAlign w:val="bottom"/>
                </w:tcPr>
                <w:p>
                  <w:pPr>
                    <w:pStyle w:val="Para 45"/>
                    <w:keepLines w:val="on"/>
                  </w:pPr>
                  <w:r>
                    <w:t>% thời gian Giá trị</w:t>
                  </w:r>
                </w:p>
              </w:tc>
              <w:tc>
                <w:tcPr>
                  <w:tcW w:type="auto" w:w="0"/>
                  <w:shd w:val="clear" w:color="auto" w:fill="F0F0F0"/>
                </w:tcPr>
                <w:p>
                  <w:pPr>
                    <w:pStyle w:val="Para 17"/>
                    <w:keepLines w:val="on"/>
                  </w:pPr>
                  <w:r>
                    <w:t>Giá trị thấp nhất</w:t>
                  </w:r>
                </w:p>
              </w:tc>
              <w:tc>
                <w:tcPr>
                  <w:tcW w:type="auto" w:w="0"/>
                  <w:shd w:val="clear" w:color="auto" w:fill="F0F0F0"/>
                </w:tcPr>
                <w:p>
                  <w:pPr>
                    <w:pStyle w:val="Para 17"/>
                    <w:keepLines w:val="on"/>
                  </w:pPr>
                  <w:r>
                    <w:t>Giá trị cao nhất</w:t>
                  </w:r>
                </w:p>
              </w:tc>
            </w:tr>
            <w:tr>
              <w:tc>
                <w:tcPr>
                  <w:tcW w:type="auto" w:w="0"/>
                  <w:shd w:val="clear" w:color="auto" w:fill="F0F0F0"/>
                </w:tcPr>
                <w:p>
                  <w:pPr>
                    <w:pStyle w:val="Para 02"/>
                    <w:keepLines w:val="on"/>
                  </w:pPr>
                  <w:r>
                    <w:t>A</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80%</w:t>
                  </w:r>
                </w:p>
              </w:tc>
              <w:tc>
                <w:tcPr>
                  <w:tcW w:type="auto" w:w="0"/>
                  <w:shd w:val="clear" w:color="auto" w:fill="F0F0F0"/>
                </w:tcPr>
                <w:p>
                  <w:pPr>
                    <w:pStyle w:val="Normal"/>
                    <w:keepLines w:val="on"/>
                  </w:pPr>
                  <w:r>
                    <w:t>$7,00</w:t>
                  </w:r>
                </w:p>
              </w:tc>
              <w:tc>
                <w:tcPr>
                  <w:tcW w:type="auto" w:w="0"/>
                  <w:shd w:val="clear" w:color="auto" w:fill="F0F0F0"/>
                </w:tcPr>
                <w:p>
                  <w:pPr>
                    <w:pStyle w:val="Normal"/>
                    <w:keepLines w:val="on"/>
                  </w:pPr>
                  <w:r>
                    <w:t>$13,00</w:t>
                  </w:r>
                </w:p>
              </w:tc>
            </w:tr>
            <w:tr>
              <w:tc>
                <w:tcPr>
                  <w:tcW w:type="auto" w:w="0"/>
                  <w:shd w:val="clear" w:color="auto" w:fill="F0F0F0"/>
                </w:tcPr>
                <w:p>
                  <w:pPr>
                    <w:pStyle w:val="Para 02"/>
                    <w:keepLines w:val="on"/>
                  </w:pPr>
                  <w:r>
                    <w:t>B</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$13.50</w:t>
                  </w:r>
                </w:p>
              </w:tc>
              <w:tc>
                <w:tcPr>
                  <w:tcW w:type="auto" w:w="0"/>
                  <w:shd w:val="clear" w:color="auto" w:fill="F0F0F0"/>
                </w:tcPr>
                <w:p>
                  <w:pPr>
                    <w:pStyle w:val="Normal"/>
                    <w:keepLines w:val="on"/>
                  </w:pPr>
                  <w:r>
                    <w:t>$0.50</w:t>
                  </w:r>
                </w:p>
              </w:tc>
              <w:tc>
                <w:tcPr>
                  <w:tcW w:type="auto" w:w="0"/>
                  <w:shd w:val="clear" w:color="auto" w:fill="F0F0F0"/>
                </w:tcPr>
                <w:p>
                  <w:pPr>
                    <w:pStyle w:val="Normal"/>
                    <w:keepLines w:val="on"/>
                  </w:pPr>
                  <w:r>
                    <w:t>75%</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$16.00</w:t>
                  </w:r>
                </w:p>
              </w:tc>
            </w:tr>
            <w:tr>
              <w:tc>
                <w:tcPr>
                  <w:tcW w:type="auto" w:w="0"/>
                  <w:shd w:val="clear" w:color="auto" w:fill="F0F0F0"/>
                </w:tcPr>
                <w:p>
                  <w:pPr>
                    <w:pStyle w:val="Para 02"/>
                    <w:keepLines w:val="on"/>
                  </w:pPr>
                  <w:r>
                    <w:t>C</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$20.00</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50%</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$50.00</w:t>
                  </w:r>
                </w:p>
              </w:tc>
            </w:tr>
            <w:tr>
              <w:tc>
                <w:tcPr>
                  <w:tcW w:type="auto" w:w="0"/>
                  <w:shd w:val="clear" w:color="auto" w:fill="F0F0F0"/>
                </w:tcPr>
                <w:p>
                  <w:pPr>
                    <w:pStyle w:val="Para 02"/>
                    <w:keepLines w:val="on"/>
                  </w:pPr>
                  <w:r>
                    <w:t>D</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$0.20</w:t>
                  </w:r>
                </w:p>
              </w:tc>
              <w:tc>
                <w:tcPr>
                  <w:tcW w:type="auto" w:w="0"/>
                  <w:shd w:val="clear" w:color="auto" w:fill="F0F0F0"/>
                </w:tcPr>
                <w:p>
                  <w:pPr>
                    <w:pStyle w:val="Normal"/>
                    <w:keepLines w:val="on"/>
                  </w:pPr>
                  <w:r>
                    <w:t>85%</w:t>
                  </w:r>
                </w:p>
              </w:tc>
              <w:tc>
                <w:tcPr>
                  <w:tcW w:type="auto" w:w="0"/>
                  <w:shd w:val="clear" w:color="auto" w:fill="F0F0F0"/>
                </w:tcPr>
                <w:p>
                  <w:pPr>
                    <w:pStyle w:val="Normal"/>
                    <w:keepLines w:val="on"/>
                  </w:pPr>
                  <w:r>
                    <w:t>$8.50</w:t>
                  </w:r>
                </w:p>
              </w:tc>
              <w:tc>
                <w:tcPr>
                  <w:tcW w:type="auto" w:w="0"/>
                  <w:shd w:val="clear" w:color="auto" w:fill="F0F0F0"/>
                </w:tcPr>
                <w:p>
                  <w:pPr>
                    <w:pStyle w:val="Normal"/>
                    <w:keepLines w:val="on"/>
                  </w:pPr>
                  <w:r>
                    <w:t>$13.00</w:t>
                  </w:r>
                </w:p>
              </w:tc>
            </w:tr>
            <w:tr>
              <w:tc>
                <w:tcPr>
                  <w:tcW w:type="auto" w:w="0"/>
                  <w:shd w:val="clear" w:color="auto" w:fill="F0F0F0"/>
                </w:tcPr>
                <w:p>
                  <w:pPr>
                    <w:pStyle w:val="Para 02"/>
                    <w:keepLines w:val="on"/>
                  </w:pPr>
                  <w:r>
                    <w:t>E</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$80.00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80%</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$150.00</w:t>
                  </w:r>
                </w:p>
              </w:tc>
            </w:tr>
            <w:tr>
              <w:tc>
                <w:tcPr>
                  <w:tcW w:type="auto" w:w="0"/>
                  <w:shd w:val="clear" w:color="auto" w:fill="F0F0F0"/>
                </w:tcPr>
                <w:p>
                  <w:pPr>
                    <w:pStyle w:val="Para 02"/>
                    <w:keepLines w:val="on"/>
                  </w:pPr>
                  <w:r>
                    <w:t>F</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88%</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$28.00</w:t>
                  </w:r>
                </w:p>
              </w:tc>
            </w:tr>
            <w:tr>
              <w:tc>
                <w:tcPr>
                  <w:tcW w:type="auto" w:w="0"/>
                  <w:shd w:val="clear" w:color="auto" w:fill="F0F0F0"/>
                </w:tcPr>
                <w:p>
                  <w:pPr>
                    <w:pStyle w:val="Para 02"/>
                    <w:keepLines w:val="on"/>
                  </w:pPr>
                  <w:r>
                    <w:t>G</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$0.50</w:t>
                  </w:r>
                </w:p>
              </w:tc>
              <w:tc>
                <w:tcPr>
                  <w:tcW w:type="auto" w:w="0"/>
                  <w:shd w:val="clear" w:color="auto" w:fill="F0F0F0"/>
                </w:tcPr>
                <w:p>
                  <w:pPr>
                    <w:pStyle w:val="Normal"/>
                    <w:keepLines w:val="on"/>
                  </w:pPr>
                  <w:r>
                    <w:t>70%</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$6.00</w:t>
                  </w:r>
                </w:p>
              </w:tc>
            </w:tr>
            <w:tr>
              <w:tc>
                <w:tcPr>
                  <w:tcW w:type="auto" w:w="0"/>
                  <w:shd w:val="clear" w:color="auto" w:fill="F0F0F0"/>
                </w:tcPr>
                <w:p>
                  <w:pPr>
                    <w:pStyle w:val="Para 02"/>
                    <w:keepLines w:val="on"/>
                  </w:pPr>
                  <w:r>
                    <w:t>H</w:t>
                  </w:r>
                </w:p>
              </w:tc>
              <w:tc>
                <w:tcPr>
                  <w:tcW w:type="auto" w:w="0"/>
                  <w:shd w:val="clear" w:color="auto" w:fill="F0F0F0"/>
                </w:tcPr>
                <w:p>
                  <w:pPr>
                    <w:pStyle w:val="Normal"/>
                    <w:keepLines w:val="on"/>
                  </w:pPr>
                  <w:r>
                    <w:t>$150.00</w:t>
                  </w:r>
                </w:p>
              </w:tc>
              <w:tc>
                <w:tcPr>
                  <w:tcW w:type="auto" w:w="0"/>
                  <w:shd w:val="clear" w:color="auto" w:fill="F0F0F0"/>
                </w:tcPr>
                <w:p>
                  <w:pPr>
                    <w:pStyle w:val="Normal"/>
                    <w:keepLines w:val="on"/>
                  </w:pPr>
                  <w:r>
                    <w:t>$200.00</w:t>
                  </w:r>
                </w:p>
              </w:tc>
              <w:tc>
                <w:tcPr>
                  <w:tcW w:type="auto" w:w="0"/>
                  <w:shd w:val="clear" w:color="auto" w:fill="F0F0F0"/>
                </w:tcPr>
                <w:p>
                  <w:pPr>
                    <w:pStyle w:val="Normal"/>
                    <w:keepLines w:val="on"/>
                  </w:pPr>
                  <w:r>
                    <w:t>$30.00</w:t>
                  </w:r>
                </w:p>
              </w:tc>
              <w:tc>
                <w:tcPr>
                  <w:tcW w:type="auto" w:w="0"/>
                  <w:shd w:val="clear" w:color="auto" w:fill="F0F0F0"/>
                </w:tcPr>
                <w:p>
                  <w:pPr>
                    <w:pStyle w:val="Normal"/>
                    <w:keepLines w:val="on"/>
                  </w:pPr>
                  <w:r>
                    <w:t>60%</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$500.00</w:t>
                  </w:r>
                </w:p>
              </w:tc>
            </w:tr>
            <w:tr>
              <w:tc>
                <w:tcPr>
                  <w:tcW w:type="auto" w:w="0"/>
                  <w:shd w:val="clear" w:color="auto" w:fill="F0F0F0"/>
                </w:tcPr>
                <w:p>
                  <w:pPr>
                    <w:pStyle w:val="Para 02"/>
                    <w:keepLines w:val="on"/>
                  </w:pPr>
                  <w:r>
                    <w:t>I</w:t>
                  </w:r>
                </w:p>
              </w:tc>
              <w:tc>
                <w:tcPr>
                  <w:tcW w:type="auto" w:w="0"/>
                  <w:shd w:val="clear" w:color="auto" w:fill="F0F0F0"/>
                </w:tcPr>
                <w:p>
                  <w:pPr>
                    <w:pStyle w:val="Normal"/>
                    <w:keepLines w:val="on"/>
                  </w:pPr>
                  <w:r>
                    <w:t>$35.00</w:t>
                  </w:r>
                </w:p>
              </w:tc>
              <w:tc>
                <w:tcPr>
                  <w:tcW w:type="auto" w:w="0"/>
                  <w:shd w:val="clear" w:color="auto" w:fill="F0F0F0"/>
                </w:tcPr>
                <w:p>
                  <w:pPr>
                    <w:pStyle w:val="Normal"/>
                    <w:keepLines w:val="on"/>
                  </w:pPr>
                  <w:r>
                    <w:t>$70.00</w:t>
                  </w:r>
                </w:p>
              </w:tc>
              <w:tc>
                <w:tcPr>
                  <w:tcW w:type="auto" w:w="0"/>
                  <w:shd w:val="clear" w:color="auto" w:fill="F0F0F0"/>
                </w:tcPr>
                <w:p>
                  <w:pPr>
                    <w:pStyle w:val="Normal"/>
                    <w:keepLines w:val="on"/>
                  </w:pPr>
                  <w:r>
                    <w:t>$20.00</w:t>
                  </w:r>
                </w:p>
              </w:tc>
              <w:tc>
                <w:tcPr>
                  <w:tcW w:type="auto" w:w="0"/>
                  <w:shd w:val="clear" w:color="auto" w:fill="F0F0F0"/>
                </w:tcPr>
                <w:p>
                  <w:pPr>
                    <w:pStyle w:val="Normal"/>
                    <w:keepLines w:val="on"/>
                  </w:pPr>
                  <w:r>
                    <w:t>65%</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$200.00</w:t>
                  </w:r>
                </w:p>
              </w:tc>
            </w:tr>
            <w:tr>
              <w:tc>
                <w:tcPr>
                  <w:tcW w:type="auto" w:w="0"/>
                  <w:shd w:val="clear" w:color="auto" w:fill="F0F0F0"/>
                </w:tcPr>
                <w:p>
                  <w:pPr>
                    <w:pStyle w:val="Para 02"/>
                    <w:keepLines w:val="on"/>
                  </w:pPr>
                  <w:r>
                    <w:t>J</w:t>
                  </w:r>
                </w:p>
              </w:tc>
              <w:tc>
                <w:tcPr>
                  <w:tcW w:type="auto" w:w="0"/>
                  <w:shd w:val="clear" w:color="auto" w:fill="F0F0F0"/>
                </w:tcPr>
                <w:p>
                  <w:pPr>
                    <w:pStyle w:val="Normal"/>
                    <w:keepLines w:val="on"/>
                  </w:pPr>
                  <w:r>
                    <w:t>$80.00</w:t>
                  </w:r>
                </w:p>
              </w:tc>
              <w:tc>
                <w:tcPr>
                  <w:tcW w:type="auto" w:w="0"/>
                  <w:shd w:val="clear" w:color="auto" w:fill="F0F0F0"/>
                </w:tcPr>
                <w:p>
                  <w:pPr>
                    <w:pStyle w:val="Normal"/>
                    <w:keepLines w:val="on"/>
                  </w:pPr>
                  <w:r>
                    <w:t>$100.00</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90%</w:t>
                  </w:r>
                </w:p>
              </w:tc>
              <w:tc>
                <w:tcPr>
                  <w:tcW w:type="auto" w:w="0"/>
                  <w:shd w:val="clear" w:color="auto" w:fill="F0F0F0"/>
                </w:tcPr>
                <w:p>
                  <w:pPr>
                    <w:pStyle w:val="Normal"/>
                    <w:keepLines w:val="on"/>
                  </w:pPr>
                  <w:r>
                    <w:t>$70.00</w:t>
                  </w:r>
                </w:p>
              </w:tc>
              <w:tc>
                <w:tcPr>
                  <w:tcW w:type="auto" w:w="0"/>
                  <w:shd w:val="clear" w:color="auto" w:fill="F0F0F0"/>
                </w:tcPr>
                <w:p>
                  <w:pPr>
                    <w:pStyle w:val="Normal"/>
                    <w:keepLines w:val="on"/>
                  </w:pPr>
                  <w:r>
                    <w:t>$115.00</w:t>
                  </w:r>
                </w:p>
              </w:tc>
            </w:tr>
          </w:tbl>
          <w:p/>
        </w:tc>
      </w:tr>
    </w:tbl>
    <w:p>
      <w:pPr>
        <w:numPr>
          <w:ilvl w:val="1"/>
          <w:numId w:val="415"/>
        </w:numPr>
        <w:pStyle w:val="Para 01"/>
      </w:pPr>
      <w:r>
        <w:t>Nếu chỉ dựa thuần túy trên cơ sở giá trị kỳ vọng, hãy xếp hạng các công ty này (từ khoản đầu tư tốt nhất đến tệ nhất).</w:t>
      </w:r>
    </w:p>
    <w:p>
      <w:pPr>
        <w:numPr>
          <w:ilvl w:val="1"/>
          <w:numId w:val="415"/>
        </w:numPr>
        <w:pStyle w:val="Para 01"/>
      </w:pPr>
      <w:r>
        <w:t>Nếu bạn muốn đưa sự bất định trong các ước tính vào việc xếp hạng của mình, thì thứ hạng sẽ thay đổi như thế nào?</w:t>
      </w:r>
    </w:p>
    <w:p>
      <w:pPr>
        <w:numPr>
          <w:ilvl w:val="1"/>
          <w:numId w:val="415"/>
        </w:numPr>
        <w:pStyle w:val="Para 01"/>
      </w:pPr>
      <w:r>
        <w:t>Nếu bạn lo lắng về rủi ro giảm giá (vì bạn đang sử dụng đòn bẩy cao), bạn sẽ đưa rủi ro đó vào thứ hạng của mình như thế nào?</w:t>
      </w:r>
    </w:p>
    <w:p>
      <w:pPr>
        <w:numPr>
          <w:ilvl w:val="1"/>
          <w:numId w:val="415"/>
        </w:numPr>
        <w:pStyle w:val="Para 01"/>
      </w:pPr>
      <w:r>
        <w:t>Trong những điều kiện nào thì bạn có thể đưa giá trị cao nhất vào quá trình xếp hạng của mình?</w:t>
      </w:r>
    </w:p>
    <w:p>
      <w:bookmarkStart w:id="6769" w:name="Notes_32"/>
      <w:bookmarkStart w:id="6770" w:name="Notes__1_There_is_a_significant"/>
      <w:pPr>
        <w:keepNext/>
        <w:pStyle w:val="Heading 2"/>
        <w:keepLines w:val="on"/>
      </w:pPr>
      <w:r>
        <w:t>Ghi chú</w:t>
      </w:r>
      <w:bookmarkEnd w:id="6769"/>
      <w:bookmarkEnd w:id="6770"/>
    </w:p>
    <w:p>
      <w:pPr>
        <w:pStyle w:val="Para 08"/>
      </w:pPr>
      <w:r>
        <w:t>1 Có một khối lượng lớn tài liệu nghiên cứu các giả định cần phải đúng để quá trình gấp ngược này tạo ra các giá trị nhất quán. Cụ thể, nếu một cây quyết định được dùng để mô tả các rủi ro xảy ra đồng thời, thì các rủi ro đó phải độc lập với nhau. Xem Sarin và Wakker (1994).</w:t>
      </w:r>
    </w:p>
    <w:p>
      <w:pPr>
        <w:pStyle w:val="Para 08"/>
      </w:pPr>
      <w:r>
        <w:t>2 Ở bệnh tiểu đường type 1, tuyến tụy không sản xuất insulin. Bệnh nhân bao gồm cả trẻ nhỏ và bệnh này không liên quan đến chế độ ăn uống hay vận động; họ phải được tiêm insulin để sống sót. Ở bệnh tiểu đường type 2, tuyến tụy sản xuất không đủ insulin. Bệnh này biểu hiện ở người lớn tuổi, và đôi khi có thể được kiểm soát bằng cách thay đổi lối sống và chế độ ăn uống.</w:t>
      </w:r>
    </w:p>
    <w:p>
      <w:pPr>
        <w:pStyle w:val="Para 08"/>
      </w:pPr>
      <w:r>
        <w:t>3 Sẽ chính xác hơn nếu chỉ coi chi phí của hai giai đoạn đầu là chi phí chìm (sunk cost), vì đến cuối giai đoạn 2 thì công ty đã biết rằng loại thuốc này chỉ hiệu quả đối với bệnh tiểu đường type 2. Ngay cả khi chúng ta chỉ coi chi phí của hai giai đoạn đầu là chi phí chìm, thì trên cơ sở giá trị kỳ vọng, việc tiếp tục sang giai đoạn 3 vẫn là hợp lý.</w:t>
      </w:r>
    </w:p>
    <w:p>
      <w:pPr>
        <w:pStyle w:val="Para 08"/>
      </w:pPr>
      <w:r>
        <w:t>4 Nếu bạn chọn mô hình hóa những rủi ro như vậy trong một cây quyết định, thì chúng phải độc lập với nhau. Nói cách khác, thứ tự sắp xếp không được ảnh hưởng đến kết quả.</w:t>
      </w:r>
    </w:p>
    <w:p>
      <w:pPr>
        <w:pStyle w:val="Para 08"/>
      </w:pPr>
      <w:r>
        <w:t>5 Mối quan hệ này rất mạnh ở Exxon vì đây đã là một công ty lớn và ổn định trong nhiều thập kỷ. Có khả năng mối quan hệ giữa lợi nhuận và giá dầu sẽ yếu hơn ở các công ty dầu nhỏ hơn, đang trong quá trình phát triển.</w:t>
      </w:r>
    </w:p>
    <w:p>
      <w:pPr>
        <w:pStyle w:val="Para 08"/>
      </w:pPr>
      <w:r>
        <w:t>6 Để tính lợi nhuận trên vốn (return on capital), chúng tôi đã cộng giá trị sổ sách của vốn chủ sở hữu ($126,044 triệu), giá trị sổ sách của nợ ($9,566 triệu), và trừ đi tiền mặt ($33,981 triệu) từ cuối năm 2007, để đi đến giá trị vốn đầu tư là $101,629 triệu. Lợi nhuận trên vốn được tính như sau:</w:t>
      </w:r>
    </w:p>
    <w:p>
      <w:bookmarkStart w:id="6777" w:name="Return_on_invested_capital_34_61"/>
      <w:pPr>
        <w:keepNext/>
        <w:pStyle w:val="Para 53"/>
        <w:keepLines w:val="on"/>
      </w:pPr>
      <w:r>
        <w:t>Lợi nhuận trên vốn đầu tư=34,614 (1-.38)101.629=21.1%</w:t>
      </w:r>
      <w:bookmarkEnd w:id="6777"/>
    </w:p>
    <w:p>
      <w:pPr>
        <w:pStyle w:val="Para 08"/>
      </w:pPr>
      <w:r>
        <w:t>7 Chúng tôi đã sử dụng dữ liệu lịch sử 30 năm về giá dầu, đã điều chỉnh theo lạm phát, để tạo ra một phân phối thực nghiệm. Sau đó, chúng tôi chọn phân phối thống kê có vẻ khớp nhất (phân phối loga chuẩn - lognormal) và chọn các giá trị tham số cho ra các con số gần nhất với dữ liệu lịch sử.</w:t>
      </w:r>
    </w:p>
    <w:p>
      <w:pPr>
        <w:pStyle w:val="Para 08"/>
      </w:pPr>
      <w:r>
        <w:t>8 Hertz (1964) có một bài báo kinh điển về việc sử dụng các phương pháp xác suất trong việc ra quyết định.</w:t>
      </w:r>
    </w:p>
    <w:p>
      <w:bookmarkStart w:id="6780" w:name="Top_of_c034_xhtml"/>
      <w:bookmarkStart w:id="6781" w:name="Chapter_34Overview_and_Conclusio"/>
      <w:bookmarkStart w:id="6782" w:name="Chapter_34Overview_and_Conclusio_1"/>
      <w:pPr>
        <w:keepNext/>
        <w:pStyle w:val="Heading 1"/>
        <w:pageBreakBefore w:val="on"/>
        <w:keepLines w:val="on"/>
      </w:pPr>
      <w:r>
        <w:t>CHƯƠNG 34</w:t>
      </w:r>
      <w:r>
        <w:br/>
      </w:r>
      <w:r>
        <w:t>Tổng quan và Kết luận</w:t>
      </w:r>
      <w:bookmarkEnd w:id="6780"/>
      <w:bookmarkEnd w:id="6781"/>
      <w:bookmarkEnd w:id="6782"/>
    </w:p>
    <w:p>
      <w:pPr>
        <w:pStyle w:val="Para 03"/>
      </w:pPr>
      <w:r>
        <w:t>Vấn đề trong định giá không phải là thiếu mô hình để định giá một tài sản, mà là có quá nhiều mô hình. Chọn đúng mô hình để sử dụng trong định giá cũng quan trọng không kém việc hiểu cách dùng mô hình đó để đi đến một giá trị hợp lý. Chương này cố gắng cung cấp một cái nhìn tổng quan về các mô hình định giá và định giá theo giá thị trường (pricing) được giới thiệu trong cuốn sách này, cùng một khung khái quát có thể dùng để chọn đúng mô hình cho bất kỳ nhiệm vụ nào.</w:t>
      </w:r>
    </w:p>
    <w:p>
      <w:bookmarkStart w:id="6784" w:name="Choices_in_Valuation_Models"/>
      <w:bookmarkStart w:id="6785" w:name="Choices_in_Valuation_Models__In"/>
      <w:pPr>
        <w:keepNext/>
        <w:pStyle w:val="Heading 2"/>
        <w:keepLines w:val="on"/>
      </w:pPr>
      <w:r>
        <w:t>Các lựa chọn trong mô hình định giá</w:t>
      </w:r>
      <w:bookmarkEnd w:id="6784"/>
      <w:bookmarkEnd w:id="6785"/>
    </w:p>
    <w:p>
      <w:pPr>
        <w:pStyle w:val="Para 03"/>
      </w:pPr>
      <w:r>
        <w:t>Theo cách khái quát nhất có thể, doanh nghiệp hoặc tài sản có thể được định giá theo một trong bốn cách: phương pháp định giá dựa trên tài sản (asset-based valuation), trong đó bạn ước tính giá trị hiện tại của những tài sản mà doanh nghiệp sở hữu; phương pháp định giá nội tại (intrinsic valuation), chiết khấu dòng tiền để đi đến giá trị vốn chủ sở hữu hoặc giá trị doanh nghiệp; phương pháp định giá theo giá thị trường (pricing), dựa trên cách các tài sản tương đương được định giá để quyết định nên trả bao nhiêu cho một tài sản; và phương pháp định giá quyền chọn (option pricing), sử dụng định giá quyền đòi có điều kiện (contingent claim valuation). Trong mỗi phương pháp này lại có thêm nhiều lựa chọn giúp xác định giá trị cuối cùng.</w:t>
      </w:r>
    </w:p>
    <w:p>
      <w:pPr>
        <w:pStyle w:val="Para 03"/>
      </w:pPr>
      <w:r>
        <w:t>Có ít nhất hai cách để bạn định giá một doanh nghiệp bằng kỹ thuật định giá dựa trên tài sản. Một là giá trị thanh lý (liquidation value), khi bạn xem xét thị trường sẽ sẵn lòng trả bao nhiêu cho các tài sản nếu chúng được thanh lý ngay hôm nay. Hai là chi phí thay thế (replacement cost), khi bạn đánh giá sẽ tốn bao nhiêu để tái tạo hoặc thay thế những tài sản mà doanh nghiệp đang có trong tay hôm nay.</w:t>
      </w:r>
    </w:p>
    <w:p>
      <w:pPr>
        <w:pStyle w:val="Para 03"/>
      </w:pPr>
      <w:r>
        <w:t>Trong bối cảnh định giá theo dòng tiền chiết khấu (discounted cash flow), dòng tiền thuộc về vốn chủ sở hữu có thể được chiết khấu theo chi phí vốn chủ sở hữu (cost of equity) để đi đến giá trị vốn chủ sở hữu, hoặc dòng tiền thuộc về doanh nghiệp có thể được chiết khấu theo chi phí vốn (cost of capital) để đi đến giá trị doanh nghiệp. Bản thân dòng tiền thuộc về vốn chủ sở hữu có thể được định nghĩa theo nghĩa chặt chẽ nhất là cổ tức, hoặc theo nghĩa rộng hơn là dòng tiền tự do thuộc về vốn chủ sở hữu (free cash flows to equity). Những mô hình này còn có thể được phân loại tiếp dựa trên các giả định về tăng trưởng thành mô hình tăng trưởng ổn định, hai giai đoạn, ba giai đoạn và n giai đoạn. Cuối cùng, cách đo lường thu nhập và dòng tiền có thể được điều chỉnh để phù hợp với những đặc điểm riêng của doanh nghiệp/tài sản—thu nhập hiện tại cho những doanh nghiệp/tài sản có thu nhập bình thường, hoặc thu nhập chuẩn hóa (normalized earnings) cho những doanh nghiệp/tài sản mà thu nhập hiện tại có thể bị bóp méo bởi các yếu tố tạm thời hoặc ảnh hưởng chu kỳ.</w:t>
      </w:r>
    </w:p>
    <w:p>
      <w:pPr>
        <w:pStyle w:val="Para 03"/>
      </w:pPr>
      <w:r>
        <w:t>Trong bối cảnh các bội số (multiples), bạn có thể dùng giá trị vốn chủ sở hữu hoặc giá trị doanh nghiệp làm thước đo giá trị và liên hệ nó với một loạt biến số đặc thù của doanh nghiệp—thu nhập, giá trị sổ sách và doanh thu. Bản thân các bội số có thể được ước tính bằng cách dùng những doanh nghiệp tương đương trong cùng ngành hoặc từ các hồi quy cắt ngang (cross-sectional regressions) sử dụng tập hợp rộng hơn. Với những tài sản khác, chẳng hạn bất động sản, giá cũng có thể được biểu diễn như một hàm của tổng thu nhập hoặc trên mỗi foot vuông diện tích. Ở đây, các tài sản tương đương sẽ là những bất động sản khác trong cùng khu vực có đặc điểm tương tự.</w:t>
      </w:r>
    </w:p>
    <w:p>
      <w:pPr>
        <w:pStyle w:val="Para 03"/>
      </w:pPr>
      <w:r>
        <w:t>Các mô hình quyền đòi có điều kiện cũng có thể được dùng trong nhiều tình huống khác nhau. Khi bạn xem xét quyền chọn mà một doanh nghiệp có được để trì hoãn việc ra quyết định đầu tư, bạn có thể định giá một bằng sáng chế hoặc một mỏ tài nguyên thiên nhiên chưa khai thác như một quyền chọn. Quyền chọn mở rộng có thể khiến những doanh nghiệp non trẻ với thị trường tiềm năng lớn được giao dịch ở mức cao hơn giá trị dòng tiền chiết khấu của chúng. Cuối cùng, nhà đầu tư vốn chủ sở hữu có thể thu được giá trị từ quyền chọn thanh lý những doanh nghiệp gặp khó khăn với khoản nợ lớn. (Xem Hình 34.1.)</w:t>
      </w:r>
    </w:p>
    <w:p>
      <w:bookmarkStart w:id="6788" w:name="Figure_34_1_The_Choices_in_Valu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1358900"/>
            <wp:effectExtent l="0" r="0" t="0" b="0"/>
            <wp:wrapTopAndBottom/>
            <wp:docPr id="313" name="c34f001.png" descr="Flow diagram of valuation models including asset-based, discounted cash-flow, relative, and contingent claim, estimate the value of company."/>
            <wp:cNvGraphicFramePr>
              <a:graphicFrameLocks noChangeAspect="1"/>
            </wp:cNvGraphicFramePr>
            <a:graphic>
              <a:graphicData uri="http://schemas.openxmlformats.org/drawingml/2006/picture">
                <pic:pic>
                  <pic:nvPicPr>
                    <pic:cNvPr id="0" name="c34f001.png" descr="Flow diagram of valuation models including asset-based, discounted cash-flow, relative, and contingent claim, estimate the value of company."/>
                    <pic:cNvPicPr/>
                  </pic:nvPicPr>
                  <pic:blipFill>
                    <a:blip r:embed="rId228"/>
                    <a:stretch>
                      <a:fillRect/>
                    </a:stretch>
                  </pic:blipFill>
                  <pic:spPr>
                    <a:xfrm>
                      <a:off x="0" y="0"/>
                      <a:ext cx="2425700" cy="1358900"/>
                    </a:xfrm>
                    <a:prstGeom prst="rect">
                      <a:avLst/>
                    </a:prstGeom>
                  </pic:spPr>
                </pic:pic>
              </a:graphicData>
            </a:graphic>
          </wp:anchor>
        </w:drawing>
      </w:r>
      <w:bookmarkEnd w:id="6788"/>
    </w:p>
    <w:p>
      <w:pPr>
        <w:keepNext/>
        <w:pStyle w:val="Para 22"/>
        <w:keepLines w:val="on"/>
      </w:pPr>
      <w:r>
        <w:t>Hình 34.1 Các lựa chọn trong mô hình định giá</w:t>
      </w:r>
    </w:p>
    <w:p>
      <w:bookmarkStart w:id="6789" w:name="Which_Approach_Should_You_Use"/>
      <w:bookmarkStart w:id="6790" w:name="Which_Approach_Should_You_Use_1"/>
      <w:pPr>
        <w:keepNext/>
        <w:pStyle w:val="Heading 2"/>
        <w:keepLines w:val="on"/>
      </w:pPr>
      <w:r>
        <w:t>Bạn nên dùng phương pháp nào?</w:t>
      </w:r>
      <w:bookmarkEnd w:id="6789"/>
      <w:bookmarkEnd w:id="6790"/>
    </w:p>
    <w:p>
      <w:pPr>
        <w:pStyle w:val="Para 03"/>
      </w:pPr>
      <w:r>
        <w:t>Các giá trị bạn thu được từ bốn phương pháp có thể rất khác nhau, và việc quyết định dùng phương pháp nào có thể là một bước then chốt. Tuy nhiên, phán đoán này sẽ phụ thuộc vào nhiều yếu tố, trong đó một số liên quan đến doanh nghiệp đang được định giá nhưng nhiều yếu tố lại liên quan đến chính bạn với tư cách là nhà phân tích.</w:t>
      </w:r>
    </w:p>
    <w:p>
      <w:bookmarkStart w:id="6791" w:name="Asset_or_Business_Characteristic_1"/>
      <w:bookmarkStart w:id="6792" w:name="Asset_or_Business_Characteristic"/>
      <w:pPr>
        <w:keepNext/>
        <w:pStyle w:val="Heading 3"/>
        <w:keepLines w:val="on"/>
      </w:pPr>
      <w:r>
        <w:t>Đặc điểm tài sản hoặc doanh nghiệp</w:t>
      </w:r>
      <w:bookmarkEnd w:id="6791"/>
      <w:bookmarkEnd w:id="6792"/>
    </w:p>
    <w:p>
      <w:pPr>
        <w:pStyle w:val="Para 03"/>
      </w:pPr>
      <w:r>
        <w:t>Phương pháp bạn dùng để định giá một doanh nghiệp sẽ phụ thuộc vào mức độ dễ mua bán của tài sản, liệu doanh nghiệp có tạo ra dòng tiền hay không, và mức độ độc nhất của nó về mặt hoạt động.</w:t>
      </w:r>
    </w:p>
    <w:p>
      <w:bookmarkStart w:id="6793" w:name="Marketability_of_Assets"/>
      <w:bookmarkStart w:id="6794" w:name="Marketability_of_Assets__Liquida"/>
      <w:pPr>
        <w:keepNext/>
        <w:pStyle w:val="Heading 4"/>
        <w:keepLines w:val="on"/>
      </w:pPr>
      <w:r>
        <w:t>Khả năng mua bán của tài sản</w:t>
      </w:r>
      <w:bookmarkEnd w:id="6793"/>
      <w:bookmarkEnd w:id="6794"/>
    </w:p>
    <w:p>
      <w:pPr>
        <w:pStyle w:val="Para 03"/>
      </w:pPr>
      <w:r>
        <w:t>Định giá thanh lý và định giá chi phí thay thế là dễ thực hiện nhất đối với những doanh nghiệp có tài sản tách rời được và dễ mua bán. (Xem Hình 34.2.) Chẳng hạn, bạn có thể ước tính giá trị thanh lý cho một công ty bất động sản vì các bất động sản của nó có thể được bán riêng lẻ, và bạn có thể ước tính giá trị của từng bất động sản một cách dễ dàng. Điều tương tự cũng đúng với một quỹ tương hỗ đóng (closed-end mutual fund). Ở thái cực ngược lại, hãy xem xét một sản phẩm tiêu dùng có thương hiệu như Proctor and Gamble. Tài sản của nó không chỉ là vô hình mà còn khó tách rời. Chẳng hạn, bạn không thể dễ dàng tách mảng kinh doanh dao cạo khỏi mảng kem cạo râu, và giá trị thương hiệu vốn nằm trong cả hai mảng kinh doanh.</w:t>
      </w:r>
    </w:p>
    <w:p>
      <w:pPr>
        <w:pStyle w:val="Para 20"/>
      </w:pPr>
      <w:r>
        <w:rPr>
          <w:rStyle w:val="Text26"/>
        </w:rPr>
        <w:bookmarkStart w:id="6796" w:name="Page_1067"/>
        <w:t/>
        <w:bookmarkEnd w:id="6796"/>
      </w:r>
      <w:r>
        <w:t xml:space="preserve"> </w:t>
      </w:r>
    </w:p>
    <w:p>
      <w:bookmarkStart w:id="6797" w:name="Figure_34_2_Asset_Marketability"/>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93900" cy="355600"/>
            <wp:effectExtent l="0" r="0" t="0" b="0"/>
            <wp:wrapTopAndBottom/>
            <wp:docPr id="314" name="c34f002.png" descr="Timeline depicts valuation methods for businesses with separable, marketable assets and growth businesses with linked, nonmarketable assets."/>
            <wp:cNvGraphicFramePr>
              <a:graphicFrameLocks noChangeAspect="1"/>
            </wp:cNvGraphicFramePr>
            <a:graphic>
              <a:graphicData uri="http://schemas.openxmlformats.org/drawingml/2006/picture">
                <pic:pic>
                  <pic:nvPicPr>
                    <pic:cNvPr id="0" name="c34f002.png" descr="Timeline depicts valuation methods for businesses with separable, marketable assets and growth businesses with linked, nonmarketable assets."/>
                    <pic:cNvPicPr/>
                  </pic:nvPicPr>
                  <pic:blipFill>
                    <a:blip r:embed="rId229"/>
                    <a:stretch>
                      <a:fillRect/>
                    </a:stretch>
                  </pic:blipFill>
                  <pic:spPr>
                    <a:xfrm>
                      <a:off x="0" y="0"/>
                      <a:ext cx="1993900" cy="355600"/>
                    </a:xfrm>
                    <a:prstGeom prst="rect">
                      <a:avLst/>
                    </a:prstGeom>
                  </pic:spPr>
                </pic:pic>
              </a:graphicData>
            </a:graphic>
          </wp:anchor>
        </w:drawing>
      </w:r>
      <w:bookmarkEnd w:id="6797"/>
    </w:p>
    <w:p>
      <w:pPr>
        <w:keepNext/>
        <w:pStyle w:val="Para 22"/>
        <w:keepLines w:val="on"/>
      </w:pPr>
      <w:r>
        <w:t>Hình 34.2 Khả năng mua bán của tài sản và các phương pháp định giá</w:t>
      </w:r>
    </w:p>
    <w:p>
      <w:pPr>
        <w:pStyle w:val="Para 03"/>
      </w:pPr>
      <w:r>
        <w:t>Bạn cũng có thể dùng chính phân tích này để thấy vì sao giá trị thanh lý hoặc chi phí thay thế của một doanh nghiệp tăng trưởng cao có thể chẳng mấy giống với giá trị thực. Khác với tài sản đang hiện hữu, tài sản tăng trưởng không thể được nhận diện hay bán đi một cách dễ dàng.</w:t>
      </w:r>
    </w:p>
    <w:p>
      <w:bookmarkStart w:id="6798" w:name="Cash_Flow_Generating_Capacity"/>
      <w:bookmarkStart w:id="6799" w:name="Cash_Flow_Generating_Capacity__Y"/>
      <w:pPr>
        <w:keepNext/>
        <w:pStyle w:val="Heading 4"/>
        <w:keepLines w:val="on"/>
      </w:pPr>
      <w:r>
        <w:t>Khả năng tạo ra dòng tiền</w:t>
      </w:r>
      <w:bookmarkEnd w:id="6798"/>
      <w:bookmarkEnd w:id="6799"/>
    </w:p>
    <w:p>
      <w:pPr>
        <w:pStyle w:val="Para 03"/>
      </w:pPr>
      <w:r>
        <w:t>Bạn có thể phân loại tài sản thành ba nhóm dựa trên khả năng tạo ra dòng tiền của chúng: tài sản đang tạo ra dòng tiền hoặc được kỳ vọng sẽ làm vậy trong tương lai gần, tài sản hiện chưa tạo ra dòng tiền nhưng có thể làm vậy trong tương lai nếu xảy ra một biến cố nào đó, và tài sản sẽ không bao giờ tạo ra dòng tiền. (Xem Hình 34.3.)</w:t>
      </w:r>
    </w:p>
    <w:p>
      <w:bookmarkStart w:id="6801" w:name="Figure_34_3_Cash_Flows_and_Valua"/>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55800" cy="431800"/>
            <wp:effectExtent l="0" r="0" t="0" b="0"/>
            <wp:wrapTopAndBottom/>
            <wp:docPr id="315" name="c34f003.png" descr="Timeline on valuation methods for cash flows currently or expected in future, if contingency occurs, assets will never generate cash flows."/>
            <wp:cNvGraphicFramePr>
              <a:graphicFrameLocks noChangeAspect="1"/>
            </wp:cNvGraphicFramePr>
            <a:graphic>
              <a:graphicData uri="http://schemas.openxmlformats.org/drawingml/2006/picture">
                <pic:pic>
                  <pic:nvPicPr>
                    <pic:cNvPr id="0" name="c34f003.png" descr="Timeline on valuation methods for cash flows currently or expected in future, if contingency occurs, assets will never generate cash flows."/>
                    <pic:cNvPicPr/>
                  </pic:nvPicPr>
                  <pic:blipFill>
                    <a:blip r:embed="rId230"/>
                    <a:stretch>
                      <a:fillRect/>
                    </a:stretch>
                  </pic:blipFill>
                  <pic:spPr>
                    <a:xfrm>
                      <a:off x="0" y="0"/>
                      <a:ext cx="1955800" cy="431800"/>
                    </a:xfrm>
                    <a:prstGeom prst="rect">
                      <a:avLst/>
                    </a:prstGeom>
                  </pic:spPr>
                </pic:pic>
              </a:graphicData>
            </a:graphic>
          </wp:anchor>
        </w:drawing>
      </w:r>
      <w:bookmarkEnd w:id="6801"/>
    </w:p>
    <w:p>
      <w:pPr>
        <w:keepNext/>
        <w:pStyle w:val="Para 22"/>
        <w:keepLines w:val="on"/>
      </w:pPr>
      <w:r>
        <w:t>Hình 34.3 Dòng tiền và các phương pháp định giá</w:t>
      </w:r>
    </w:p>
    <w:p>
      <w:pPr>
        <w:numPr>
          <w:ilvl w:val="0"/>
          <w:numId w:val="416"/>
        </w:numPr>
        <w:pStyle w:val="Para 01"/>
      </w:pPr>
      <w:r>
        <w:t>Nhóm thứ nhất bao gồm hầu hết các công ty đại chúng, và những doanh nghiệp này có thể được định giá bằng mô hình dòng tiền chiết khấu. Lưu ý rằng không có sự phân biệt giữa dòng tiền âm và dòng tiền dương, và những công ty khởi nghiệp non trẻ tạo ra dòng tiền âm vẫn có thể được định giá bằng mô hình dòng tiền chiết khấu.</w:t>
      </w:r>
    </w:p>
    <w:p>
      <w:pPr>
        <w:numPr>
          <w:ilvl w:val="0"/>
          <w:numId w:val="416"/>
        </w:numPr>
        <w:pStyle w:val="Para 01"/>
      </w:pPr>
      <w:r>
        <w:t>Nhóm thứ hai bao gồm những tài sản như bằng sáng chế dược phẩm, công nghệ đầy hứa hẹn (nhưng chưa khả thi), mỏ dầu hoặc mỏ khoáng sản chưa khai thác, và đất chưa phát triển. Những tài sản này có thể không tạo ra dòng tiền hiện tại và có thể tạo ra dòng tiền lớn trong tương lai nhưng chỉ trong những điều kiện nhất định—nếu FDA phê duyệt bằng sáng chế dược phẩm, nếu công nghệ trở nên khả thi về mặt thương mại, nếu giá dầu và giá trị bất động sản thương mại tăng lên. Dù bạn có thể ước tính giá trị kỳ vọng bằng mô hình dòng tiền chiết khấu thông qua việc gán xác suất cho những biến cố này, bạn sẽ đánh giá thấp giá trị của tài sản nếu làm vậy. Bạn nên định giá những tài sản này bằng mô hình định giá quyền chọn.</w:t>
      </w:r>
    </w:p>
    <w:p>
      <w:pPr>
        <w:numPr>
          <w:ilvl w:val="0"/>
          <w:numId w:val="416"/>
        </w:numPr>
        <w:pStyle w:val="Para 01"/>
      </w:pPr>
      <w:r>
        <w:t>Những tài sản không bao giờ được kỳ vọng sẽ tạo ra dòng tiền bao gồm căn nhà bạn đang ở, một bộ sưu tập thẻ bóng chày, hay tác phẩm nghệ thuật đẹp. Những tài sản này chỉ có thể được định giá bằng mô hình định giá theo giá thị trường hoặc định giá tương đối (relative valuation).</w:t>
      </w:r>
    </w:p>
    <w:p>
      <w:bookmarkStart w:id="6802" w:name="Uniqueness__or_Presence_of_Compa"/>
      <w:bookmarkStart w:id="6803" w:name="Uniqueness__or_Presence_of_Compa_1"/>
      <w:pPr>
        <w:keepNext/>
        <w:pStyle w:val="Heading 4"/>
        <w:keepLines w:val="on"/>
      </w:pPr>
      <w:r>
        <w:t>Tính độc nhất (hay sự hiện diện của các tài sản tương đương)</w:t>
      </w:r>
      <w:bookmarkEnd w:id="6802"/>
      <w:bookmarkEnd w:id="6803"/>
    </w:p>
    <w:p>
      <w:pPr>
        <w:pStyle w:val="Para 03"/>
      </w:pPr>
      <w:r>
        <w:t>Trong một thị trường nơi hàng nghìn cổ phiếu được giao dịch và hàng chục nghìn tài sản được mua bán mỗi ngày, có thể khó hình dung một tài sản hay doanh nghiệp độc nhất đến mức bạn không thể tìm được tài sản tương đương. Tuy nhiên, trên một dải liên tục, một số tài sản và doanh nghiệp là một phần của một nhóm lớn các tài sản tương tự, với rất ít hoặc không có khác biệt giữa các tài sản. (Xem Hình 34.4.) Những tài sản này sinh ra là để định giá theo giá thị trường, vì việc tập hợp các tài sản (doanh nghiệp) tương đương và kiểm soát sự khác biệt là đơn giản. Bạn càng đi xa khỏi hình mẫu lý tưởng này, việc định giá theo giá thị trường càng kém đáng tin cậy. Với những doanh nghiệp thực sự độc nhất, định giá theo dòng tiền chiết khấu sẽ đưa ra ước tính giá trị tốt hơn nhiều.</w:t>
      </w:r>
    </w:p>
    <w:p>
      <w:bookmarkStart w:id="6806" w:name="Figure_34_4_Uniqueness_of_Asset"/>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55800" cy="431800"/>
            <wp:effectExtent l="0" r="0" t="0" b="0"/>
            <wp:wrapTopAndBottom/>
            <wp:docPr id="316" name="c34f004.png" descr="Timeline depicts valuation methods for unique asset or business, and large number of similar assets that are priced."/>
            <wp:cNvGraphicFramePr>
              <a:graphicFrameLocks noChangeAspect="1"/>
            </wp:cNvGraphicFramePr>
            <a:graphic>
              <a:graphicData uri="http://schemas.openxmlformats.org/drawingml/2006/picture">
                <pic:pic>
                  <pic:nvPicPr>
                    <pic:cNvPr id="0" name="c34f004.png" descr="Timeline depicts valuation methods for unique asset or business, and large number of similar assets that are priced."/>
                    <pic:cNvPicPr/>
                  </pic:nvPicPr>
                  <pic:blipFill>
                    <a:blip r:embed="rId231"/>
                    <a:stretch>
                      <a:fillRect/>
                    </a:stretch>
                  </pic:blipFill>
                  <pic:spPr>
                    <a:xfrm>
                      <a:off x="0" y="0"/>
                      <a:ext cx="1955800" cy="431800"/>
                    </a:xfrm>
                    <a:prstGeom prst="rect">
                      <a:avLst/>
                    </a:prstGeom>
                  </pic:spPr>
                </pic:pic>
              </a:graphicData>
            </a:graphic>
          </wp:anchor>
        </w:drawing>
      </w:r>
      <w:bookmarkEnd w:id="6806"/>
    </w:p>
    <w:p>
      <w:pPr>
        <w:keepNext/>
        <w:pStyle w:val="Para 22"/>
        <w:keepLines w:val="on"/>
      </w:pPr>
      <w:r>
        <w:t>HÌNH 34.4 Tính độc nhất của tài sản và các phương pháp định giá</w:t>
      </w:r>
    </w:p>
    <w:p>
      <w:bookmarkStart w:id="6807" w:name="Analyst_Characteristics_and_Beli"/>
      <w:bookmarkStart w:id="6808" w:name="Analyst_Characteristics_and_Beli_1"/>
      <w:pPr>
        <w:keepNext/>
        <w:pStyle w:val="Heading 3"/>
        <w:keepLines w:val="on"/>
      </w:pPr>
      <w:r>
        <w:t>Đặc điểm và quan điểm của nhà phân tích</w:t>
      </w:r>
      <w:bookmarkEnd w:id="6807"/>
      <w:bookmarkEnd w:id="6808"/>
    </w:p>
    <w:p>
      <w:pPr>
        <w:pStyle w:val="Para 03"/>
      </w:pPr>
      <w:r>
        <w:t>Phương pháp định giá mà bạn chọn sẽ phụ thuộc vào khung thời gian của bạn, lý do bạn thực hiện định giá ngay từ đầu, và quan điểm của bạn về thị trường — liệu chúng có hiệu quả hay không, và nếu không hiệu quả thì sự kém hiệu quả đó mang hình thức nào.</w:t>
      </w:r>
    </w:p>
    <w:p>
      <w:bookmarkStart w:id="6809" w:name="Time_Horizon__At_one_extreme__in"/>
      <w:bookmarkStart w:id="6810" w:name="Time_Horizon"/>
      <w:pPr>
        <w:keepNext/>
        <w:pStyle w:val="Heading 4"/>
        <w:keepLines w:val="on"/>
      </w:pPr>
      <w:r>
        <w:t>Khung thời gian</w:t>
      </w:r>
      <w:bookmarkEnd w:id="6809"/>
      <w:bookmarkEnd w:id="6810"/>
    </w:p>
    <w:p>
      <w:pPr>
        <w:pStyle w:val="Para 03"/>
      </w:pPr>
      <w:r>
        <w:t>Ở một thái cực, trong định giá dòng tiền chiết khấu (discounted cash flow valuation), bạn coi doanh nghiệp là một thực thể đang hoạt động (going concern) có thể tồn tại đến vô hạn. Ở thái cực ngược lại, với định giá thanh lý (liquidation valuation), bạn ước tính giá trị dựa trên giả định rằng doanh nghiệp sẽ ngừng hoạt động ngay hôm nay. Với định giá theo giá thị trường (pricing) và định giá quyền chọn (contingent claim valuation), bạn giữ vị trí trung gian giữa hai thái cực đó. (Xem HÌNH 34.5.) Không có gì ngạc nhiên khi bạn nên dùng định giá dòng tiền chiết khấu nếu bạn có khung thời gian dài, và dùng định giá theo giá thị trường nếu bạn có khung thời gian ngắn hơn. Điều này có thể giải thích tại sao định giá dòng tiền chiết khấu phổ biến hơn khi định giá một doanh nghiệp để mua lại, còn định giá theo giá thị trường lại phổ biến hơn trong nghiên cứu cổ phiếu và quản lý danh mục đầu tư.</w:t>
      </w:r>
    </w:p>
    <w:p>
      <w:bookmarkStart w:id="6812" w:name="Figure_34_5_Investor_Time_Horizo"/>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32000" cy="254000"/>
            <wp:effectExtent l="0" r="0" t="0" b="0"/>
            <wp:wrapTopAndBottom/>
            <wp:docPr id="317" name="c34f005.png" descr="Timeline on valuation method of investor from short to long time including liquidation, relative, option pricing, discounted cash flow."/>
            <wp:cNvGraphicFramePr>
              <a:graphicFrameLocks noChangeAspect="1"/>
            </wp:cNvGraphicFramePr>
            <a:graphic>
              <a:graphicData uri="http://schemas.openxmlformats.org/drawingml/2006/picture">
                <pic:pic>
                  <pic:nvPicPr>
                    <pic:cNvPr id="0" name="c34f005.png" descr="Timeline on valuation method of investor from short to long time including liquidation, relative, option pricing, discounted cash flow."/>
                    <pic:cNvPicPr/>
                  </pic:nvPicPr>
                  <pic:blipFill>
                    <a:blip r:embed="rId232"/>
                    <a:stretch>
                      <a:fillRect/>
                    </a:stretch>
                  </pic:blipFill>
                  <pic:spPr>
                    <a:xfrm>
                      <a:off x="0" y="0"/>
                      <a:ext cx="2032000" cy="254000"/>
                    </a:xfrm>
                    <a:prstGeom prst="rect">
                      <a:avLst/>
                    </a:prstGeom>
                  </pic:spPr>
                </pic:pic>
              </a:graphicData>
            </a:graphic>
          </wp:anchor>
        </w:drawing>
      </w:r>
      <w:bookmarkEnd w:id="6812"/>
    </w:p>
    <w:p>
      <w:pPr>
        <w:keepNext/>
        <w:pStyle w:val="Para 22"/>
        <w:keepLines w:val="on"/>
      </w:pPr>
      <w:r>
        <w:t>HÌNH 34.5 Khung thời gian của nhà đầu tư và các phương pháp định giá</w:t>
      </w:r>
    </w:p>
    <w:p>
      <w:bookmarkStart w:id="6813" w:name="Reason_for_Doing_the_Valuation_1"/>
      <w:bookmarkStart w:id="6814" w:name="Reason_for_Doing_the_Valuation"/>
      <w:pPr>
        <w:keepNext/>
        <w:pStyle w:val="Heading 4"/>
        <w:keepLines w:val="on"/>
      </w:pPr>
      <w:r>
        <w:t>Lý do thực hiện định giá</w:t>
      </w:r>
      <w:bookmarkEnd w:id="6813"/>
      <w:bookmarkEnd w:id="6814"/>
    </w:p>
    <w:p>
      <w:pPr>
        <w:pStyle w:val="Para 03"/>
      </w:pPr>
      <w:r>
        <w:t>Các nhà phân tích định giá doanh nghiệp vì nhiều lý do, và phương pháp định giá được sử dụng sẽ thay đổi tùy theo lý do đó. (Xem HÌNH 34.6.) Nếu bạn là một nhà phân tích nghiên cứu cổ phiếu theo dõi các công ty thép, mô tả công việc của bạn rất đơn giản. Bạn được yêu cầu tìm ra những công ty bị định giá thấp nhất và cao nhất trong ngành, chứ không đưa ra quan điểm về việc toàn ngành nói chung đang bị định giá thấp hay cao. Bạn có thể thấy tại sao các bội số (multiples) lại là vũ khí được lựa chọn khi định giá doanh nghiệp. Hiệu ứng này có thể còn bị khuếch đại nếu cách bạn được đánh giá và thưởng dựa trên cơ sở tương đối (tức là các khuyến nghị của bạn được so sánh với khuyến nghị của các nhà phân tích công ty thép khác). Nhưng nếu bạn là một nhà đầu tư cá nhân để dành tiền cho việc nghỉ hưu, hoặc một doanh nhân tư nhân định giá một doanh nghiệp để mua, bạn có thể muốn ước tính giá trị nội tại (intrinsic value). Do đó, định giá dòng tiền chiết khấu có khả năng phù hợp hơn với nhu cầu của bạn.</w:t>
      </w:r>
    </w:p>
    <w:p>
      <w:bookmarkStart w:id="6816" w:name="Figure_34_6_Market_Neutrality_an"/>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49500" cy="406400"/>
            <wp:effectExtent l="0" r="0" t="0" b="0"/>
            <wp:wrapTopAndBottom/>
            <wp:docPr id="318" name="c34f006.png" descr="Timeline depicts valuation methods for market neutral judged on relative basis, and can take view on market judged on absolute basis."/>
            <wp:cNvGraphicFramePr>
              <a:graphicFrameLocks noChangeAspect="1"/>
            </wp:cNvGraphicFramePr>
            <a:graphic>
              <a:graphicData uri="http://schemas.openxmlformats.org/drawingml/2006/picture">
                <pic:pic>
                  <pic:nvPicPr>
                    <pic:cNvPr id="0" name="c34f006.png" descr="Timeline depicts valuation methods for market neutral judged on relative basis, and can take view on market judged on absolute basis."/>
                    <pic:cNvPicPr/>
                  </pic:nvPicPr>
                  <pic:blipFill>
                    <a:blip r:embed="rId233"/>
                    <a:stretch>
                      <a:fillRect/>
                    </a:stretch>
                  </pic:blipFill>
                  <pic:spPr>
                    <a:xfrm>
                      <a:off x="0" y="0"/>
                      <a:ext cx="2349500" cy="406400"/>
                    </a:xfrm>
                    <a:prstGeom prst="rect">
                      <a:avLst/>
                    </a:prstGeom>
                  </pic:spPr>
                </pic:pic>
              </a:graphicData>
            </a:graphic>
          </wp:anchor>
        </w:drawing>
      </w:r>
      <w:bookmarkEnd w:id="6816"/>
    </w:p>
    <w:p>
      <w:pPr>
        <w:keepNext/>
        <w:pStyle w:val="Para 22"/>
        <w:keepLines w:val="on"/>
      </w:pPr>
      <w:r>
        <w:t>HÌNH 34.6 Tính trung lập với thị trường và các phương pháp định giá</w:t>
      </w:r>
    </w:p>
    <w:p>
      <w:bookmarkStart w:id="6817" w:name="Beliefs_about_Markets"/>
      <w:bookmarkStart w:id="6818" w:name="Beliefs_about_Markets__Embedded"/>
      <w:pPr>
        <w:keepNext/>
        <w:pStyle w:val="Heading 4"/>
        <w:keepLines w:val="on"/>
      </w:pPr>
      <w:r>
        <w:t>Quan điểm về thị trường</w:t>
      </w:r>
      <w:bookmarkEnd w:id="6817"/>
      <w:bookmarkEnd w:id="6818"/>
    </w:p>
    <w:p>
      <w:pPr>
        <w:pStyle w:val="Para 03"/>
      </w:pPr>
      <w:r>
        <w:t>Ẩn chứa trong mỗi phương pháp là những giả định về thị trường và cách chúng vận hành hay thất bại. (Xem HÌNH 34.7.) Với định giá dòng tiền chiết khấu, bạn đang giả định rằng giá thị trường lệch khỏi giá trị nội tại, nhưng chúng sẽ tự điều chỉnh trong dài hạn. Với định giá theo giá thị trường, bạn đang giả định rằng nhìn chung thị trường là đúng, và mặc dù từng doanh nghiệp riêng lẻ trong một ngành hay một thị trường có thể bị định giá sai, nhưng cả ngành hay toàn bộ thị trường thì được định giá hợp lý. Với các mô hình định giá dựa trên tài sản (asset-based valuation models), bạn đang giả định rằng thị trường của các tài sản thực và tài sản tài chính có thể lệch nhau và bạn có thể tận dụng những khác biệt đó. Cuối cùng, với các mô hình định giá quyền chọn (option pricing models), bạn đang giả định rằng thị trường không đánh giá hiệu quả lắm giá trị của tính linh hoạt mà doanh nghiệp có, và do đó các mô hình định giá quyền chọn sẽ mang lại cho bạn lợi thế. Tuy nhiên, trong mỗi trường hợp này, bạn đều đang giả định rằng cuối cùng thị trường sẽ nhận ra sai lầm của mình và sửa chữa chúng.</w:t>
      </w:r>
    </w:p>
    <w:p>
      <w:bookmarkStart w:id="6821" w:name="Figure_34_7_Views_on_Market_and"/>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349500" cy="457200"/>
            <wp:effectExtent l="0" r="0" t="0" b="0"/>
            <wp:wrapTopAndBottom/>
            <wp:docPr id="319" name="c34f007.png" descr="Timeline depicts valuation methods for market that make mistakes on assets, asset markets that diverge, markets that correct their mistakes."/>
            <wp:cNvGraphicFramePr>
              <a:graphicFrameLocks noChangeAspect="1"/>
            </wp:cNvGraphicFramePr>
            <a:graphic>
              <a:graphicData uri="http://schemas.openxmlformats.org/drawingml/2006/picture">
                <pic:pic>
                  <pic:nvPicPr>
                    <pic:cNvPr id="0" name="c34f007.png" descr="Timeline depicts valuation methods for market that make mistakes on assets, asset markets that diverge, markets that correct their mistakes."/>
                    <pic:cNvPicPr/>
                  </pic:nvPicPr>
                  <pic:blipFill>
                    <a:blip r:embed="rId234"/>
                    <a:stretch>
                      <a:fillRect/>
                    </a:stretch>
                  </pic:blipFill>
                  <pic:spPr>
                    <a:xfrm>
                      <a:off x="0" y="0"/>
                      <a:ext cx="2349500" cy="457200"/>
                    </a:xfrm>
                    <a:prstGeom prst="rect">
                      <a:avLst/>
                    </a:prstGeom>
                  </pic:spPr>
                </pic:pic>
              </a:graphicData>
            </a:graphic>
          </wp:anchor>
        </w:drawing>
      </w:r>
      <w:bookmarkEnd w:id="6821"/>
    </w:p>
    <w:p>
      <w:pPr>
        <w:keepNext/>
        <w:pStyle w:val="Para 22"/>
        <w:keepLines w:val="on"/>
      </w:pPr>
      <w:r>
        <w:t>HÌNH 34.7 Quan điểm về thị trường và các phương pháp định giá</w:t>
      </w:r>
    </w:p>
    <w:p>
      <w:bookmarkStart w:id="6822" w:name="Choosing_the_Right_Intrinsic_Val"/>
      <w:bookmarkStart w:id="6823" w:name="Choosing_the_Right_Intrinsic_Val_1"/>
      <w:pPr>
        <w:keepNext/>
        <w:pStyle w:val="Heading 2"/>
        <w:keepLines w:val="on"/>
      </w:pPr>
      <w:r>
        <w:t>Chọn đúng mô hình định giá nội tại</w:t>
      </w:r>
      <w:bookmarkEnd w:id="6822"/>
      <w:bookmarkEnd w:id="6823"/>
    </w:p>
    <w:p>
      <w:pPr>
        <w:pStyle w:val="Para 03"/>
      </w:pPr>
      <w:r>
        <w:t>Mô hình được sử dụng trong định giá nên được điều chỉnh để phù hợp với các đặc điểm của tài sản đang được định giá. Sự thật đáng buồn là thời gian và nguồn lực bị lãng phí để cố gắng làm cho tài sản khớp với một mô hình định giá đã được định sẵn, hoặc vì nó được coi là mô hình tốt nhất, hoặc vì không có đủ sự suy nghĩ thấu đáo trong quá trình chọn mô hình. Không có một mô hình nào là tốt nhất. Mô hình phù hợp để dùng trong một bối cảnh cụ thể sẽ phụ thuộc vào một số đặc điểm của tài sản hay doanh nghiệp đang được định giá.</w:t>
      </w:r>
    </w:p>
    <w:p>
      <w:pPr>
        <w:pStyle w:val="Para 11"/>
      </w:pPr>
      <w:r>
        <w:t xml:space="preserve"> </w:t>
      </w:r>
    </w:p>
    <w:p>
      <w:bookmarkStart w:id="6824" w:name="Bridging_the_Philosophical_Divid_1"/>
      <w:bookmarkStart w:id="6825" w:name="Bridging_the_Philosophical_Divid"/>
      <w:pPr>
        <w:keepNext/>
        <w:pStyle w:val="Para 27"/>
        <w:keepLines w:val="on"/>
      </w:pPr>
      <w:r>
        <w:t>Bắc cầu qua khoảng cách triết lý</w:t>
      </w:r>
      <w:bookmarkEnd w:id="6824"/>
      <w:bookmarkEnd w:id="6825"/>
    </w:p>
    <w:p>
      <w:pPr>
        <w:pStyle w:val="Para 16"/>
        <w:keepLines w:val="on"/>
      </w:pPr>
      <w:r>
        <w:t>Về mặt triết lý, có một khoảng cách lớn giữa định giá dòng tiền chiết khấu và định giá theo giá thị trường. Trong định giá dòng tiền chiết khấu, chúng ta có góc nhìn dài hạn, đánh giá chi tiết các yếu tố cơ bản (fundamentals) của doanh nghiệp, và cố gắng ước tính giá trị nội tại của doanh nghiệp. Trong định giá theo giá thị trường, chúng ta giả định rằng nhìn chung thị trường là đúng và ước tính mức định giá của một doanh nghiệp bằng cách xem xét các doanh nghiệp tương tự được định giá như thế nào. Cả hai cách tiếp cận đều có ích, và sẽ rất hữu ích nếu chúng ta có thể mượn những đặc điểm tốt nhất của định giá theo giá thị trường khi thực hiện định giá dòng tiền chiết khấu, hoặc ngược lại.</w:t>
      </w:r>
    </w:p>
    <w:p>
      <w:pPr>
        <w:pStyle w:val="Para 16"/>
        <w:keepLines w:val="on"/>
      </w:pPr>
      <w:r>
        <w:t>Giả sử bản năng của bạn dẫn bạn đến định giá dòng tiền chiết khấu, nhưng với tư cách là một nhà phân tích, bạn được kỳ vọng phải trung lập với thị trường. Bạn có thể giữ tính trung lập với thị trường trong khuôn khổ dòng tiền chiết khấu nếu bạn sử dụng phần bù rủi ro hàm ý (implied risk premium) của thị trường (được mô tả trong Chương 7) để ước tính chi phí vốn cổ phần cho việc định giá. Bạn cũng có thể đưa vào thông tin về biên lợi nhuận và beta của các doanh nghiệp tương đương khi ước tính các yếu tố cơ bản cho doanh nghiệp của bạn. Ước tính giá trị nội tại của bạn khi đó sẽ trung lập với thị trường và bao gồm thông tin về các doanh nghiệp tương đương.</w:t>
      </w:r>
    </w:p>
    <w:p>
      <w:pPr>
        <w:pStyle w:val="Para 16"/>
        <w:keepLines w:val="on"/>
      </w:pPr>
      <w:r>
        <w:t>Hoặc giả sử bạn thích định giá theo giá thị trường hơn. Phân tích của bạn có thể mang tính chặt chẽ của định giá dòng tiền chiết khấu nếu bạn có thể đưa các chi tiết về yếu tố cơ bản vào việc so sánh của mình. Các chương về định giá theo giá thị trường đã cố gắng làm điều này bằng cách lưu ý mối liên hệ giữa các bội số và các yếu tố cơ bản, và cũng bằng cách xem xét cách kiểm soát tốt nhất những khác biệt này trong phân tích.</w:t>
      </w:r>
    </w:p>
    <w:p>
      <w:bookmarkStart w:id="6827" w:name="Choosing_a_Cash_Flow_to_Discount_1"/>
      <w:bookmarkStart w:id="6828" w:name="Choosing_a_Cash_Flow_to_Discount"/>
      <w:pPr>
        <w:keepNext/>
        <w:pStyle w:val="Heading 3"/>
        <w:keepLines w:val="on"/>
      </w:pPr>
      <w:r>
        <w:t>Chọn dòng tiền để chiết khấu</w:t>
      </w:r>
      <w:bookmarkEnd w:id="6827"/>
      <w:bookmarkEnd w:id="6828"/>
    </w:p>
    <w:p>
      <w:pPr>
        <w:pStyle w:val="Para 03"/>
      </w:pPr>
      <w:r>
        <w:t>Với các giả định nhất quán về tăng trưởng và đòn bẩy (leverage), bạn sẽ nhận được cùng một giá trị vốn cổ phần khi dùng cách tiếp cận doanh nghiệp (nơi bạn định giá doanh nghiệp rồi trừ đi nợ chưa thanh toán) và cách tiếp cận vốn cổ phần (nơi bạn định giá vốn cổ phần trực tiếp). Nếu đúng như vậy, bạn có thể thắc mắc tại sao lại chọn cách tiếp cận này thay vì cách kia. Câu trả lời hoàn toàn mang tính thực dụng. Đối với những doanh nghiệp có đòn bẩy ổn định (tức là họ có tỷ lệ nợ không được kỳ vọng sẽ thay đổi trong suốt thời kỳ định giá), hầu như không có gì để chọn giữa các mô hình về mặt các đầu vào cần thiết cho việc định giá. Bạn dùng một tỷ lệ nợ để ước tính dòng tiền tự do cho vốn cổ phần trong mô hình định giá vốn cổ phần, và để ước tính chi phí vốn trong mô hình định giá doanh nghiệp. Trong những tình huống này, bạn nên gắn bó với mô hình mà bạn cảm thấy thoải mái hơn về mặt trực giác.</w:t>
      </w:r>
    </w:p>
    <w:p>
      <w:pPr>
        <w:pStyle w:val="Para 03"/>
      </w:pPr>
      <w:r>
        <w:t>Đối với những doanh nghiệp có đòn bẩy không ổn định (tức là họ có quá nhiều hoặc quá ít nợ và muốn tiến tới tỷ lệ nợ tối ưu hoặc mục tiêu trong suốt thời kỳ định giá), cách tiếp cận định giá doanh nghiệp dễ sử dụng hơn nhiều, vì nó không đòi hỏi dự phóng dòng tiền từ các khoản thanh toán lãi và gốc, và ít nhạy cảm hơn nhiều với sai sót trong việc ước tính những thay đổi về đòn bẩy. Việc tính chi phí vốn đòi hỏi một ước tính về tỷ lệ nợ, nhưng bản thân chi phí vốn không thay đổi nhiều do đòn bẩy thay đổi như dòng tiền cho vốn cổ phần. Nếu bạn thích làm việc với các giả định về nợ tính bằng đô la hơn là tỷ lệ nợ, bạn có thể chuyển sang cách tiếp cận giá trị hiện tại điều chỉnh (adjusted present value approach).</w:t>
      </w:r>
    </w:p>
    <w:p>
      <w:pPr>
        <w:pStyle w:val="Para 03"/>
      </w:pPr>
      <w:r>
        <w:t>Khi định giá vốn cổ phần, bạn có thể chiết khấu cổ tức hoặc dòng tiền tự do cho vốn cổ phần. Bạn nên cân nhắc sử dụng mô hình chiết khấu cổ tức (dividend discount model) trong những tình huống sau:</w:t>
      </w:r>
    </w:p>
    <w:p>
      <w:pPr>
        <w:numPr>
          <w:ilvl w:val="0"/>
          <w:numId w:val="417"/>
        </w:numPr>
        <w:pStyle w:val="Para 01"/>
      </w:pPr>
      <w:r>
        <w:t>Bạn không thể ước tính dòng tiền với bất kỳ mức độ chính xác nào, hoặc vì bạn có thông tin không đầy đủ hoặc mâu thuẫn về các khoản thanh toán nợ và tái đầu tư, hoặc vì bạn gặp khó khăn trong việc xác định cái gì cấu thành nên nợ. Đây là lý do để sử dụng mô hình chiết khấu cổ tức cho việc định giá các công ty dịch vụ tài chính trong Chương 21.</w:t>
      </w:r>
    </w:p>
    <w:p>
      <w:pPr>
        <w:numPr>
          <w:ilvl w:val="0"/>
          <w:numId w:val="417"/>
        </w:numPr>
        <w:pStyle w:val="Para 01"/>
      </w:pPr>
      <w:r>
        <w:t>Có những hạn chế đáng kể đối với việc mua lại cổ phiếu quỹ và các hình thức hoàn trả tiền mặt khác, và bạn có ít hoặc không có quyền kiểm soát đối với việc ban lãnh đạo doanh nghiệp làm gì với số tiền mặt đó. Trong trường hợp này, dòng tiền duy nhất mà bạn có thể kỳ vọng nhận được từ khoản đầu tư vốn cổ phần của mình là cổ tức mà ban lãnh đạo chọn chi trả.</w:t>
      </w:r>
    </w:p>
    <w:p>
      <w:pPr>
        <w:pStyle w:val="Para 03"/>
      </w:pPr>
      <w:r>
        <w:t>Trong tất cả các trường hợp khác, bạn sẽ nhận được những ước tính thực tế hơn nhiều về giá trị của doanh nghiệp khi sử dụng dòng tiền tự do cho vốn cổ phần, con số này có thể lớn hơn hoặc nhỏ hơn cổ tức.</w:t>
      </w:r>
    </w:p>
    <w:p>
      <w:pPr>
        <w:pStyle w:val="Para 20"/>
      </w:pPr>
      <w:r>
        <w:rPr>
          <w:rStyle w:val="Text26"/>
        </w:rPr>
        <w:bookmarkStart w:id="6829" w:name="Page_1071"/>
        <w:t/>
        <w:bookmarkEnd w:id="6829"/>
      </w:r>
      <w:r>
        <w:t xml:space="preserve"> </w:t>
      </w:r>
    </w:p>
    <w:p>
      <w:bookmarkStart w:id="6830" w:name="Excess_Return_or_Total_Cash_Flow_1"/>
      <w:bookmarkStart w:id="6831" w:name="Excess_Return_or_Total_Cash_Flow"/>
      <w:pPr>
        <w:keepNext/>
        <w:pStyle w:val="Heading 3"/>
        <w:keepLines w:val="on"/>
      </w:pPr>
      <w:r>
        <w:t>Lợi nhuận vượt trội hay Tổng dòng tiền</w:t>
      </w:r>
      <w:bookmarkEnd w:id="6830"/>
      <w:bookmarkEnd w:id="6831"/>
    </w:p>
    <w:p>
      <w:pPr>
        <w:pStyle w:val="Para 03"/>
      </w:pPr>
      <w:r>
        <w:t>Trong Chương 32, chúng ta đã xem xét các mô hình lợi nhuận vượt trội (excess return models), trong đó thay vì định giá một doanh nghiệp dựa trên tổng dòng tiền, bạn chia dòng tiền thành hai phần: dòng tiền trang trải chi phí vốn và lợi nhuận vượt trội (dòng tiền kiếm được cao hơn hoặc thấp hơn chi phí vốn), rồi định giá từng dòng riêng biệt. Dù chúng ta cũng đã lưu ý rằng cả hai cách tiếp cận đều phải cho ra cùng một giá trị doanh nghiệp nếu các giả định nhất quán, nhưng mô hình lợi nhuận vượt trội phụ thuộc vào khả năng ước tính lợi nhuận mà doanh nghiệp tạo ra trên vốn đầu tư (return on invested capital – ROIC) hoặc trên vốn chủ sở hữu (return on equity – ROE).</w:t>
      </w:r>
    </w:p>
    <w:p>
      <w:pPr>
        <w:pStyle w:val="Para 03"/>
      </w:pPr>
      <w:r>
        <w:t>Không cần nhắc lại những lập luận đã trình bày trong cuốn sách này, việc đo lường lợi nhuận kế toán đòi hỏi chúng ta phải ước tính được vốn đã đầu tư vào các tài sản/dự án hiện hữu và thu nhập phản ánh đúng khả năng sinh lời của những tài sản đó. Những điều kiện này dễ được đáp ứng nhất ở các doanh nghiệp trưởng thành với dòng thu nhập ổn định, và nơi các quyết định kế toán (về chi phí tái cấu trúc, xóa sổ tài sản) và quyết định tài chính (về mua lại cổ phiếu) không làm lệch giá trị sổ sách. Điều đó thực chất thu hẹp phạm vi áp dụng của mô hình lợi nhuận vượt trội.</w:t>
      </w:r>
    </w:p>
    <w:p>
      <w:bookmarkStart w:id="6832" w:name="Should_You_Use_Current_or_Normal"/>
      <w:bookmarkStart w:id="6833" w:name="Should_You_Use_Current_or_Normal_1"/>
      <w:pPr>
        <w:keepNext/>
        <w:pStyle w:val="Heading 3"/>
        <w:keepLines w:val="on"/>
      </w:pPr>
      <w:r>
        <w:t>Nên dùng Thu nhập Hiện tại hay Thu nhập Chuẩn hóa?</w:t>
      </w:r>
      <w:bookmarkEnd w:id="6832"/>
      <w:bookmarkEnd w:id="6833"/>
    </w:p>
    <w:p>
      <w:pPr>
        <w:pStyle w:val="Para 03"/>
      </w:pPr>
      <w:r>
        <w:t>Hầu hết các định giá đều bắt đầu từ báo cáo tài chính hiện tại của doanh nghiệp và dùng thu nhập được báo cáo trong đó làm cơ sở cho các dự phóng. Tuy nhiên, có một số doanh nghiệp mà bạn không thể làm như vậy, hoặc vì thu nhập của họ âm, hoặc vì thu nhập này cao hoặc thấp bất thường (thu nhập của một doanh nghiệp được coi là bất thường nếu nó không khớp với lịch sử thu nhập của chính doanh nghiệp đó).</w:t>
      </w:r>
    </w:p>
    <w:p>
      <w:pPr>
        <w:pStyle w:val="Para 03"/>
      </w:pPr>
      <w:r>
        <w:t>Khi thu nhập âm hoặc bất thường, đôi khi bạn có thể thay thế thu nhập hiện tại bằng một giá trị chuẩn hóa (normalized value), được ước tính bằng cách xem xét lịch sử của công ty hoặc mức trung bình ngành, rồi định giá doanh nghiệp dựa trên thu nhập chuẩn hóa này. Đây là con đường dễ đi nhất nếu nguyên nhân khiến thu nhập âm hoặc bất thường chỉ là tạm thời hoặc nhất thời, như trong các trường hợp sau:</w:t>
      </w:r>
    </w:p>
    <w:p>
      <w:pPr>
        <w:numPr>
          <w:ilvl w:val="0"/>
          <w:numId w:val="418"/>
        </w:numPr>
        <w:pStyle w:val="Para 01"/>
      </w:pPr>
      <w:r>
        <w:t>Một doanh nghiệp mang tính chu kỳ (cyclical firm) thường báo cáo thu nhập ảm đạm trong giai đoạn suy thoái kinh tế và thu nhập cao trong giai đoạn bùng nổ kinh tế. Cả hai đều có thể không phản ánh đúng tiềm năng thu nhập thực sự của doanh nghiệp.</w:t>
      </w:r>
    </w:p>
    <w:p>
      <w:pPr>
        <w:numPr>
          <w:ilvl w:val="0"/>
          <w:numId w:val="418"/>
        </w:numPr>
        <w:pStyle w:val="Para 01"/>
      </w:pPr>
      <w:r>
        <w:t>Một doanh nghiệp có thể báo cáo thu nhập thấp bất thường trong giai đoạn phải gánh một khoản chi phí đột xuất.</w:t>
      </w:r>
    </w:p>
    <w:p>
      <w:pPr>
        <w:numPr>
          <w:ilvl w:val="0"/>
          <w:numId w:val="418"/>
        </w:numPr>
        <w:pStyle w:val="Para 01"/>
      </w:pPr>
      <w:r>
        <w:t>Một doanh nghiệp đang trong quá trình tái cấu trúc có thể báo cáo thu nhập thấp trong giai đoạn tái cấu trúc, khi những thay đổi nhằm cải thiện hiệu quả hoạt động đang được triển khai.</w:t>
      </w:r>
    </w:p>
    <w:p>
      <w:pPr>
        <w:pStyle w:val="Para 03"/>
      </w:pPr>
      <w:r>
        <w:t>Giả định ở đây là thu nhập sẽ nhanh chóng trở lại mức bình thường và sẽ chẳng mất mát gì đáng kể khi giả định rằng điều này xảy ra ngay lập tức.</w:t>
      </w:r>
    </w:p>
    <w:p>
      <w:pPr>
        <w:pStyle w:val="Para 03"/>
      </w:pPr>
      <w:r>
        <w:t>Tuy nhiên, với một số doanh nghiệp, thu nhập âm hoặc thấp có thể phản ánh những yếu tố khó có khả năng biến mất nhanh chóng. Có ít nhất ba nhóm doanh nghiệp mà thu nhập âm có khả năng là hiện tượng dài hạn và thậm chí có thể đe dọa sự tồn vong của doanh nghiệp:</w:t>
      </w:r>
    </w:p>
    <w:p>
      <w:pPr>
        <w:numPr>
          <w:ilvl w:val="0"/>
          <w:numId w:val="419"/>
        </w:numPr>
        <w:pStyle w:val="Para 01"/>
      </w:pPr>
      <w:r>
        <w:t>Các doanh nghiệp có vấn đề hoạt động, chiến lược hoặc tài chính dài hạn có thể trải qua những giai đoạn thu nhập âm hoặc thấp kéo dài. Nếu bạn thay thế thu nhập hiện tại bằng thu nhập chuẩn hóa và định giá những doanh nghiệp này, bạn sẽ định giá quá cao.</w:t>
      </w:r>
    </w:p>
    <w:p>
      <w:pPr>
        <w:numPr>
          <w:ilvl w:val="1"/>
          <w:numId w:val="419"/>
        </w:numPr>
        <w:pStyle w:val="Para 01"/>
      </w:pPr>
      <w:r>
        <w:t>Nếu một doanh nghiệp dường như đang đứng trước nguy cơ vỡ nợ cận kề, những mô hình duy nhất có khả năng đưa ra thước đo giá trị có ý nghĩa là mô hình định giá quyền chọn (option pricing model) (nếu đòn bẩy tài chính cao) hoặc một mô hình dựa trên giá trị thanh lý (liquidation value).</w:t>
      </w:r>
    </w:p>
    <w:p>
      <w:pPr>
        <w:numPr>
          <w:ilvl w:val="1"/>
          <w:numId w:val="419"/>
        </w:numPr>
        <w:pStyle w:val="Para 01"/>
      </w:pPr>
      <w:r>
        <w:t>Nếu doanh nghiệp đang gặp khó khăn nhưng khó có khả năng phá sản, bạn sẽ phải chăm sóc nó hồi phục về sức khỏe tài chính. Trên thực tế, bạn sẽ phải điều chỉnh biên lợi nhuận hoạt động (operating margin) theo thời gian lên mức lành mạnh hơn và định giá doanh nghiệp dựa trên dòng tiền kỳ vọng của nó.</w:t>
      </w:r>
    </w:p>
    <w:p>
      <w:pPr>
        <w:numPr>
          <w:ilvl w:val="0"/>
          <w:numId w:val="419"/>
        </w:numPr>
        <w:pStyle w:val="Para 01"/>
      </w:pPr>
      <w:r>
        <w:t>Một doanh nghiệp hạ tầng có thể báo cáo thu nhập âm trong những giai đoạn tăng trưởng ban đầu, không phải vì nó không lành mạnh, mà vì những khoản đầu tư nó đã thực hiện cần thời gian mới sinh lời. Dòng tiền cho doanh nghiệp và cho vốn chủ sở hữu cũng thường âm, vì nhu cầu chi tiêu vốn (capital expenditure) của loại doanh nghiệp này có xu hướng lớn một cách không cân xứng so với khấu hao. Để những doanh nghiệp này có giá trị, chi tiêu vốn phải giảm xuống sau khi các khoản đầu tư hạ tầng đã được thực hiện, và biên lợi nhuận hoạt động phải được cải thiện. Kết quả ròng sẽ là dòng tiền dương trong những năm tương lai và một giá trị cho doanh nghiệp ở thời điểm hiện tại.</w:t>
      </w:r>
    </w:p>
    <w:p>
      <w:pPr>
        <w:numPr>
          <w:ilvl w:val="0"/>
          <w:numId w:val="419"/>
        </w:numPr>
        <w:pStyle w:val="Para 01"/>
      </w:pPr>
      <w:r>
        <w:t>Các công ty khởi nghiệp non trẻ thường báo cáo thu nhập âm sớm trong vòng đời của mình, khi họ tập trung biến những ý tưởng thú vị thành sản phẩm thương mại. Để định giá những công ty như vậy, bạn phải giả định sự kết hợp giữa tăng trưởng doanh thu cao và biên lợi nhuận hoạt động được cải thiện dần theo thời gian.</w:t>
      </w:r>
    </w:p>
    <w:p>
      <w:bookmarkStart w:id="6835" w:name="Growth_Patterns"/>
      <w:bookmarkStart w:id="6836" w:name="Growth_Patterns__In_general__whe"/>
      <w:pPr>
        <w:keepNext/>
        <w:pStyle w:val="Heading 3"/>
        <w:keepLines w:val="on"/>
      </w:pPr>
      <w:r>
        <w:t>Các Mô hình Tăng trưởng</w:t>
      </w:r>
      <w:bookmarkEnd w:id="6835"/>
      <w:bookmarkEnd w:id="6836"/>
    </w:p>
    <w:p>
      <w:pPr>
        <w:pStyle w:val="Para 03"/>
      </w:pPr>
      <w:r>
        <w:t>Nói chung, khi định giá một doanh nghiệp, bạn có thể giả định rằng doanh nghiệp của bạn đã ở giai đoạn tăng trưởng ổn định, hoặc giả định một giai đoạn tăng trưởng cao không đổi rồi hạ tốc độ tăng trưởng xuống mức ổn định (tăng trưởng hai giai đoạn), hoặc cho phép một giai đoạn chuyển tiếp để đạt tới tăng trưởng ổn định (mô hình ba giai đoạn hoặc n giai đoạn). Có một số yếu tố bạn nên cân nhắc khi đưa ra phán đoán này.</w:t>
      </w:r>
    </w:p>
    <w:p>
      <w:bookmarkStart w:id="6837" w:name="Growth_Momentum"/>
      <w:bookmarkStart w:id="6838" w:name="Growth_Momentum__The_choice_of_g"/>
      <w:pPr>
        <w:keepNext/>
        <w:pStyle w:val="Heading 4"/>
        <w:keepLines w:val="on"/>
      </w:pPr>
      <w:r>
        <w:t>Đà Tăng trưởng</w:t>
      </w:r>
      <w:bookmarkEnd w:id="6837"/>
      <w:bookmarkEnd w:id="6838"/>
    </w:p>
    <w:p>
      <w:pPr>
        <w:pStyle w:val="Para 03"/>
      </w:pPr>
      <w:r>
        <w:t>Việc chọn mô hình tăng trưởng sẽ chịu ảnh hưởng của mức tăng trưởng hiện tại trong thu nhập và doanh thu. Bạn có thể phân loại doanh nghiệp, dựa trên tăng trưởng trong các giai đoạn gần đây, thành ba nhóm:</w:t>
      </w:r>
    </w:p>
    <w:p>
      <w:pPr>
        <w:numPr>
          <w:ilvl w:val="0"/>
          <w:numId w:val="420"/>
        </w:numPr>
        <w:pStyle w:val="Para 01"/>
      </w:pPr>
      <w:r>
        <w:t>Doanh nghiệp tăng trưởng ổn định báo cáo thu nhập và doanh thu tăng ở mức bằng hoặc thấp hơn tốc độ tăng trưởng danh nghĩa của nền kinh tế mà họ hoạt động. Lưu ý rằng tốc độ tăng trưởng này thậm chí có thể âm.</w:t>
      </w:r>
    </w:p>
    <w:p>
      <w:pPr>
        <w:numPr>
          <w:ilvl w:val="0"/>
          <w:numId w:val="420"/>
        </w:numPr>
        <w:pStyle w:val="Para 01"/>
      </w:pPr>
      <w:r>
        <w:t>Doanh nghiệp tăng trưởng vừa phải báo cáo thu nhập và doanh thu tăng ở mức cao hơn một chút so với tốc độ tăng trưởng danh nghĩa của nền kinh tế; theo nguyên tắc chung, hãy coi bất kỳ tốc độ tăng trưởng nào nằm trong khoảng 8–10 phần trăm so với tốc độ tăng trưởng của nền kinh tế là tốc độ tăng trưởng vừa phải.</w:t>
      </w:r>
    </w:p>
    <w:p>
      <w:pPr>
        <w:numPr>
          <w:ilvl w:val="0"/>
          <w:numId w:val="420"/>
        </w:numPr>
        <w:pStyle w:val="Para 01"/>
      </w:pPr>
      <w:r>
        <w:t>Doanh nghiệp tăng trưởng cao báo cáo doanh thu tăng ở mức cao hơn nhiều so với tốc độ tăng trưởng danh nghĩa của nền kinh tế, dù biên lợi nhuận của họ vẫn có thể âm.</w:t>
      </w:r>
    </w:p>
    <w:p>
      <w:pPr>
        <w:pStyle w:val="Para 03"/>
      </w:pPr>
      <w:r>
        <w:t>Với các doanh nghiệp tăng trưởng ở mức ổn định, các mô hình trạng thái dừng (steady state models) giả định tăng trưởng không đổi sẽ đưa ra ước tính giá trị tốt. Với các doanh nghiệp tăng trưởng ở mức vừa phải, mô hình dòng tiền chiết khấu hai giai đoạn (two-stage discounted cash flow model) sẽ cung cấp đủ độ linh hoạt để nắm bắt những thay đổi trong các đặc điểm nền tảng của doanh nghiệp, trong khi mô hình ba giai đoạn hoặc n giai đoạn có thể cần thiết để nắm bắt những giai đoạn chuyển tiếp dài hơn tới tăng trưởng ổn định vốn là đặc trưng của các doanh nghiệp có tốc độ tăng trưởng cao.</w:t>
      </w:r>
    </w:p>
    <w:p>
      <w:bookmarkStart w:id="6839" w:name="Source_of_Growth__Barriers_to_En"/>
      <w:bookmarkStart w:id="6840" w:name="Source_of_Growth__Barriers_to_En_1"/>
      <w:pPr>
        <w:keepNext/>
        <w:pStyle w:val="Heading 4"/>
        <w:keepLines w:val="on"/>
      </w:pPr>
      <w:r>
        <w:t>Nguồn Tăng trưởng (Rào cản Gia nhập)</w:t>
      </w:r>
      <w:bookmarkEnd w:id="6839"/>
      <w:bookmarkEnd w:id="6840"/>
    </w:p>
    <w:p>
      <w:pPr>
        <w:pStyle w:val="Para 03"/>
      </w:pPr>
      <w:r>
        <w:t>Mức tăng trưởng kỳ vọng cao hơn của một công ty có thể đến từ lợi thế cạnh tranh chung được tích lũy theo thời gian như tên thương hiệu, chi phí sản xuất giảm (nhờ lợi thế kinh tế theo quy mô), hoặc từ những lợi thế cụ thể là kết quả của rào cản pháp lý đối với việc gia nhập thị trường — giấy phép hoặc bằng sáng chế sản phẩm. Loại lợi thế đầu tiên có khả năng bị bào mòn dần theo thời gian khi các đối thủ mới tham gia thị trường, trong khi loại sau có nhiều khả năng biến mất đột ngột khi rào cản pháp lý gia nhập bị dỡ bỏ. Tốc độ tăng trưởng kỳ vọng của một công ty có nguồn tăng trưởng cụ thể thường sẽ tuân theo quá trình hai giai đoạn, trong đó tăng trưởng cao trong một khoảng thời gian nhất định (ví dụ, thời hạn của bằng sáng chế) và sau đó giảm đột ngột xuống mức ổn định. Tốc độ tăng trưởng kỳ vọng của một công ty có nguồn tăng trưởng chung thường sẽ giảm dần theo thời gian khi các đối thủ mới xuất hiện. Tốc độ mà lợi thế cạnh tranh này được kỳ vọng sẽ mất đi phụ thuộc vào một số yếu tố, bao gồm:</w:t>
      </w:r>
    </w:p>
    <w:p>
      <w:pPr>
        <w:numPr>
          <w:ilvl w:val="0"/>
          <w:numId w:val="421"/>
        </w:numPr>
        <w:pStyle w:val="Para 01"/>
      </w:pPr>
      <w:r>
        <w:t>Bản chất của lợi thế cạnh tranh. Một số lợi thế cạnh tranh, chẳng hạn như tên thương hiệu trong các sản phẩm tiêu dùng, dường như khó bị vượt qua hơn và do đó có khả năng tạo ra tăng trưởng trong thời gian dài hơn. Những lợi thế cạnh tranh khác, chẳng hạn như lợi thế người đi đầu, dường như bị bào mòn nhanh hơn nhiều.</w:t>
      </w:r>
    </w:p>
    <w:p>
      <w:pPr>
        <w:numPr>
          <w:ilvl w:val="0"/>
          <w:numId w:val="421"/>
        </w:numPr>
        <w:pStyle w:val="Para 01"/>
      </w:pPr>
      <w:r>
        <w:t>Năng lực của ban lãnh đạo công ty. Ban lãnh đạo có năng lực hơn sẽ có thể làm chậm, dù không thể ngăn chặn, sự mất đi lợi thế cạnh tranh theo thời gian bằng cách tạo ra các chiến lược tìm kiếm thị trường mới để khai thác lợi thế cạnh tranh hiện có của công ty, và nỗ lực tìm ra những nguồn lợi thế cạnh tranh mới.</w:t>
      </w:r>
    </w:p>
    <w:p>
      <w:pPr>
        <w:numPr>
          <w:ilvl w:val="0"/>
          <w:numId w:val="421"/>
        </w:numPr>
        <w:pStyle w:val="Para 01"/>
      </w:pPr>
      <w:r>
        <w:t>Mức độ dễ dàng gia nhập vào ngành kinh doanh của công ty. Rào cản gia nhập ngành càng lớn đối với việc tham gia vào hoạt động kinh doanh của công ty, do yêu cầu về vốn hoặc yếu tố công nghệ, thì sự mất đi lợi thế cạnh tranh sẽ càng chậm.</w:t>
      </w:r>
    </w:p>
    <w:p>
      <w:pPr>
        <w:pStyle w:val="Para 03"/>
      </w:pPr>
      <w:r>
        <w:t>Những yếu tố này được tóm tắt và trình bày trong Hình 34.8, với mô hình dòng tiền chiết khấu (discounted cash flow) phù hợp được chỉ ra cho từng tổ hợp của các yếu tố.</w:t>
      </w:r>
    </w:p>
    <w:p>
      <w:bookmarkStart w:id="6843" w:name="Figure_34_8_Discounted_Cash_Flow"/>
      <w:pPr>
        <w:pStyle w:val="Para 23"/>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425700" cy="1447800"/>
            <wp:effectExtent l="0" r="0" t="0" b="0"/>
            <wp:wrapTopAndBottom/>
            <wp:docPr id="320" name="c34f008.png" descr="Flow diagram combines factors of cash flow estimation, positive and normal current earnings, firm’s growth in discounted cash flow model."/>
            <wp:cNvGraphicFramePr>
              <a:graphicFrameLocks noChangeAspect="1"/>
            </wp:cNvGraphicFramePr>
            <a:graphic>
              <a:graphicData uri="http://schemas.openxmlformats.org/drawingml/2006/picture">
                <pic:pic>
                  <pic:nvPicPr>
                    <pic:cNvPr id="0" name="c34f008.png" descr="Flow diagram combines factors of cash flow estimation, positive and normal current earnings, firm’s growth in discounted cash flow model."/>
                    <pic:cNvPicPr/>
                  </pic:nvPicPr>
                  <pic:blipFill>
                    <a:blip r:embed="rId235"/>
                    <a:stretch>
                      <a:fillRect/>
                    </a:stretch>
                  </pic:blipFill>
                  <pic:spPr>
                    <a:xfrm>
                      <a:off x="0" y="0"/>
                      <a:ext cx="2425700" cy="1447800"/>
                    </a:xfrm>
                    <a:prstGeom prst="rect">
                      <a:avLst/>
                    </a:prstGeom>
                  </pic:spPr>
                </pic:pic>
              </a:graphicData>
            </a:graphic>
          </wp:anchor>
        </w:drawing>
      </w:r>
      <w:bookmarkEnd w:id="6843"/>
    </w:p>
    <w:p>
      <w:pPr>
        <w:keepNext/>
        <w:pStyle w:val="Para 22"/>
        <w:keepLines w:val="on"/>
      </w:pPr>
      <w:r>
        <w:t>Hình 34.8 Các mô hình dòng tiền chiết khấu</w:t>
      </w:r>
    </w:p>
    <w:p>
      <w:pPr>
        <w:pStyle w:val="Para 20"/>
      </w:pPr>
      <w:r>
        <w:rPr>
          <w:rStyle w:val="Text26"/>
        </w:rPr>
        <w:bookmarkStart w:id="6844" w:name="Page_1074"/>
        <w:t/>
        <w:bookmarkEnd w:id="6844"/>
      </w:r>
      <w:r>
        <w:t xml:space="preserve"> </w:t>
      </w:r>
    </w:p>
    <w:p>
      <w:bookmarkStart w:id="6845" w:name="Choosing_the_Right_Pricing_Model"/>
      <w:bookmarkStart w:id="6846" w:name="Choosing_the_Right_Pricing_Model_1"/>
      <w:pPr>
        <w:keepNext/>
        <w:pStyle w:val="Heading 2"/>
        <w:keepLines w:val="on"/>
      </w:pPr>
      <w:r>
        <w:t>Chọn mô hình định giá phù hợp</w:t>
      </w:r>
      <w:bookmarkEnd w:id="6845"/>
      <w:bookmarkEnd w:id="6846"/>
    </w:p>
    <w:p>
      <w:pPr>
        <w:pStyle w:val="Para 03"/>
      </w:pPr>
      <w:r>
        <w:t>Nhiều nhà phân tích chọn định giá tài sản bằng cách sử dụng các mô hình định giá theo bội số. Khi đưa ra lựa chọn này, hai câu hỏi cơ bản cần được trả lời: Bội số nào sẽ được sử dụng trong định giá? Bội số này sẽ được xác định bằng cách sử dụng ngành hay toàn bộ thị trường?</w:t>
      </w:r>
    </w:p>
    <w:p>
      <w:bookmarkStart w:id="6847" w:name="Which_Multiple_Should_I_Use___Th"/>
      <w:bookmarkStart w:id="6848" w:name="Which_Multiple_Should_I_Use"/>
      <w:pPr>
        <w:keepNext/>
        <w:pStyle w:val="Heading 3"/>
        <w:keepLines w:val="on"/>
      </w:pPr>
      <w:r>
        <w:t>Tôi nên sử dụng bội số nào?</w:t>
      </w:r>
      <w:bookmarkEnd w:id="6847"/>
      <w:bookmarkEnd w:id="6848"/>
    </w:p>
    <w:p>
      <w:pPr>
        <w:pStyle w:val="Para 03"/>
      </w:pPr>
      <w:r>
        <w:t>Các chương về bội số đã trình bày nhiều loại bội số khác nhau. Một số dựa trên thu nhập, một số dựa trên giá trị sổ sách, và một số dựa trên doanh thu. Đối với một số bội số, giá trị hiện tại được sử dụng, và đối với những bội số khác, giá trị dự phóng hoặc dự báo được sử dụng. Vì các giá trị bạn thu được có thể khác nhau khi sử dụng các bội số khác nhau, việc quyết định sử dụng bội số nào có thể tạo ra sự khác biệt lớn đối với ước tính giá trị của bạn. Có ba cách để bạn trả lời câu hỏi này: Một là chấp nhận quan điểm hoài nghi rằng bạn nên sử dụng bội số phản ánh định kiến của mình; hai là định giá công ty của bạn bằng nhiều bội số khác nhau và cố gắng sử dụng tất cả các giá trị bạn thu được; và ba là chọn bội số tốt nhất và dựa vào đó để định giá.</w:t>
      </w:r>
    </w:p>
    <w:p>
      <w:pPr>
        <w:pStyle w:val="Para 11"/>
      </w:pPr>
      <w:r>
        <w:t xml:space="preserve"> </w:t>
      </w:r>
    </w:p>
    <w:p>
      <w:bookmarkStart w:id="6849" w:name="Status_Quo_Versus_Optimal_Manage"/>
      <w:bookmarkStart w:id="6850" w:name="Status_Quo_Versus_Optimal_Manage_1"/>
      <w:pPr>
        <w:keepNext/>
        <w:pStyle w:val="Para 27"/>
        <w:keepLines w:val="on"/>
      </w:pPr>
      <w:r>
        <w:t>Hiện trạng so với quản lý tối ưu</w:t>
      </w:r>
      <w:bookmarkEnd w:id="6849"/>
      <w:bookmarkEnd w:id="6850"/>
    </w:p>
    <w:p>
      <w:pPr>
        <w:pStyle w:val="Para 16"/>
        <w:keepLines w:val="on"/>
      </w:pPr>
      <w:r>
        <w:t>Các chương về định giá thương vụ mua lại và công ty gặp khó khăn đã lưu ý rằng giá trị của một công ty có thể cao hơn đáng kể nếu bạn giả định rằng nó được điều hành một cách tối ưu so với khi nó được điều hành bởi ban lãnh đạo hiện tại. Một câu hỏi mà bạn thường gặp trong định giá là liệu bạn nên định giá công ty với ban lãnh đạo hiện tại hay với ban lãnh đạo tối ưu. Câu trả lời rất đơn giản trong một số trường hợp và phức tạp trong những trường hợp khác:</w:t>
      </w:r>
    </w:p>
    <w:p>
      <w:pPr>
        <w:numPr>
          <w:ilvl w:val="0"/>
          <w:numId w:val="422"/>
        </w:numPr>
        <w:pStyle w:val="Para 33"/>
        <w:keepLines w:val="on"/>
      </w:pPr>
      <w:r>
        <w:t>Nếu bạn quan tâm đến việc mua lại công ty và có ý định thay đổi ban lãnh đạo, bạn nên định giá công ty với các chính sách quản lý tối ưu được áp dụng. Việc bạn có trả số tiền đó trong thương vụ mua lại hay không sẽ phụ thuộc vào quyền thương lượng của bạn và thời gian bạn nghĩ mình cần để thay đổi cách điều hành công ty.</w:t>
      </w:r>
    </w:p>
    <w:p>
      <w:pPr>
        <w:numPr>
          <w:ilvl w:val="0"/>
          <w:numId w:val="422"/>
        </w:numPr>
        <w:pStyle w:val="Para 33"/>
        <w:keepLines w:val="on"/>
      </w:pPr>
      <w:r>
        <w:t>Nếu bạn là một nhà đầu tư nhỏ đang xem xét mua cổ phiếu của công ty, bạn không thể tự mình thay đổi ban lãnh đạo hiện tại, nhưng bạn vẫn có thể trả một khoản phụ trội nếu bạn tin rằng có khả năng thay đổi. Nếu có những cơ chế quản trị doanh nghiệp mạnh mẽ — các thương vụ thâu tóm thù địch diễn ra phổ biến và những nhà quản lý kém cỏi bị thay thế nhanh chóng — bạn có thể giả định rằng giá trị sẽ nhanh chóng hội tụ về giá trị tối ưu. Tuy nhiên, nếu việc loại bỏ ban lãnh đạo hiện tại là khó khăn, bạn nên định giá công ty dựa trên sự tiếp tục quản lý của họ đối với công ty.</w:t>
      </w:r>
    </w:p>
    <w:p>
      <w:pPr>
        <w:numPr>
          <w:ilvl w:val="0"/>
          <w:numId w:val="422"/>
        </w:numPr>
        <w:pStyle w:val="Para 33"/>
        <w:keepLines w:val="on"/>
      </w:pPr>
      <w:r>
        <w:t>Nếu bạn là một nhà đầu tư tổ chức, bạn nằm giữa hai thái cực này. Mặc dù bạn có thể không có ý định tiếp quản công ty và thay đổi cách điều hành nó, bạn có thể đóng một vai trò trong việc khiến sự thay đổi này xảy ra.</w:t>
      </w:r>
    </w:p>
    <w:p>
      <w:bookmarkStart w:id="6851" w:name="The_Cynical_View__You_can_always"/>
      <w:bookmarkStart w:id="6852" w:name="The_Cynical_View"/>
      <w:pPr>
        <w:keepNext/>
        <w:pStyle w:val="Heading 4"/>
        <w:keepLines w:val="on"/>
      </w:pPr>
      <w:r>
        <w:t>Quan điểm hoài nghi</w:t>
      </w:r>
      <w:bookmarkEnd w:id="6851"/>
      <w:bookmarkEnd w:id="6852"/>
    </w:p>
    <w:p>
      <w:pPr>
        <w:pStyle w:val="Para 03"/>
      </w:pPr>
      <w:r>
        <w:t>Bạn luôn có thể sử dụng bội số phù hợp nhất với câu chuyện của mình. Do đó, nếu bạn đang cố gắng bán một công ty, bạn sẽ sử dụng bội số mang lại giá trị cao nhất cho công ty của bạn. Nếu bạn đang mua chính công ty đó, bạn sẽ chọn bội số mang lại giá trị thấp nhất. Mặc dù điều này rõ ràng vượt qua ranh giới từ phân tích sang thao túng, đây là một thực tế phổ biến hơn bạn có thể nhận ra. Ngay cả khi bạn không bao giờ có ý định sử dụng thực tế này, bạn nên xem xét các cách để bảo vệ mình khỏi bị trở thành nạn nhân của nó. Thứ nhất, bạn phải nhận ra rằng việc nhượng quyền chọn bội số và các công ty so sánh cho một nhà phân tích tương đương với việc để người đó viết ra luật chơi. Bạn nên đóng một vai trò tích cực trong việc quyết định bội số nào nên được sử dụng để định giá một công ty và những công ty nào sẽ được xem là công ty so sánh. Thứ hai, khi được trình bày một giá trị dựa trên một bội số, bạn nên luôn kiểm tra xem giá trị sẽ là bao nhiêu nếu một bội số thay thế được sử dụng.</w:t>
      </w:r>
    </w:p>
    <w:p>
      <w:bookmarkStart w:id="6854" w:name="The_Bludgeon_View"/>
      <w:bookmarkStart w:id="6855" w:name="The_Bludgeon_View__You_can_alway"/>
      <w:pPr>
        <w:keepNext/>
        <w:pStyle w:val="Heading 4"/>
        <w:keepLines w:val="on"/>
      </w:pPr>
      <w:r>
        <w:t>Quan điểm dùng nhiều bội số</w:t>
      </w:r>
      <w:bookmarkEnd w:id="6854"/>
      <w:bookmarkEnd w:id="6855"/>
    </w:p>
    <w:p>
      <w:pPr>
        <w:pStyle w:val="Para 03"/>
      </w:pPr>
      <w:r>
        <w:t>Bạn luôn có thể định giá một công ty bằng cách sử dụng hàng chục bội số trở lên, và sau đó sử dụng tất cả các giá trị, dù chúng có thể khác nhau, trong khuyến nghị cuối cùng của bạn. Có ba cách để bạn trình bày ước tính giá trị cuối cùng. Cách thứ nhất là dưới dạng một khoảng giá trị, với giá trị thấp nhất bạn thu được từ một bội số là đầu dưới của khoảng, và giá trị cao nhất là giới hạn trên. Vấn đề với cách tiếp cận này là khoảng thường quá lớn đến mức trở nên vô dụng cho bất kỳ loại quyết định nào. Cách tiếp cận thứ hai là lấy trung bình đơn giản của các giá trị thu được từ các bội số khác nhau. Mặc dù cách tiếp cận này có ưu điểm là đơn giản, nó cho trọng số bằng nhau đối với các giá trị từ mỗi bội số mặc dù một số bội số có thể mang lại câu trả lời chính xác hơn những bội số khác. Cách tiếp cận thứ ba là trung bình có trọng số, với trọng số trên mỗi giá trị phản ánh độ chính xác của ước tính. Trọng số này có thể là chủ quan hoặc là một thước đo thống kê — ví dụ, bạn có thể sử dụng sai số chuẩn của một dự đoán từ một hồi quy.</w:t>
      </w:r>
    </w:p>
    <w:p>
      <w:bookmarkStart w:id="6856" w:name="The_Best_Multiple__While_we_real"/>
      <w:bookmarkStart w:id="6857" w:name="The_Best_Multiple"/>
      <w:pPr>
        <w:keepNext/>
        <w:pStyle w:val="Heading 4"/>
        <w:keepLines w:val="on"/>
      </w:pPr>
      <w:r>
        <w:t>Bội số tốt nhất</w:t>
      </w:r>
      <w:bookmarkEnd w:id="6856"/>
      <w:bookmarkEnd w:id="6857"/>
    </w:p>
    <w:p>
      <w:pPr>
        <w:pStyle w:val="Para 03"/>
      </w:pPr>
      <w:r>
        <w:t>Mặc dù chúng tôi nhận ra rằng bạn có thể miễn cưỡng vứt bỏ bất kỳ thông tin nào, các ước tính giá trị tốt nhất thường thu được bằng cách sử dụng một bội số phù hợp nhất với công ty của bạn. Có ba cách để bạn tìm ra bội số này:</w:t>
      </w:r>
    </w:p>
    <w:p>
      <w:pPr>
        <w:numPr>
          <w:ilvl w:val="0"/>
          <w:numId w:val="423"/>
        </w:numPr>
        <w:pStyle w:val="Para 01"/>
      </w:pPr>
      <w:r>
        <w:t>Cách tiếp cận dựa trên các yếu tố cơ bản. Bạn nên xem xét sử dụng biến có tương quan cao nhất với giá trị của công ty bạn. Ví dụ, thu nhập hiện tại và giá trị có tương quan cao hơn nhiều ở các công ty sản phẩm tiêu dùng so với các công ty công nghệ non trẻ. Sử dụng tỷ lệ giá trên thu nhập (price-earnings ratio) hợp lý hơn đối với loại công ty đầu tiên so với loại công ty sau.</w:t>
      </w:r>
    </w:p>
    <w:p>
      <w:pPr>
        <w:numPr>
          <w:ilvl w:val="0"/>
          <w:numId w:val="423"/>
        </w:numPr>
        <w:pStyle w:val="Para 01"/>
      </w:pPr>
      <w:r>
        <w:t>Cách tiếp cận thống kê. Bạn có thể chạy hồi quy từng bội số theo các yếu tố cơ bản mà chúng ta đã xác định là ảnh hưởng đến giá trị của bội số trong các chương trước, và sử dụng R-squared của hồi quy như một thước đo mức độ hiệu quả của bội số đó trong ngành. Bội số có R-squared cao nhất là bội số mà bạn có thể giải thích tốt nhất bằng các yếu tố cơ bản và nên là bội số bạn sử dụng để định giá các công ty trong ngành đó.</w:t>
      </w:r>
    </w:p>
    <w:p>
      <w:pPr>
        <w:numPr>
          <w:ilvl w:val="0"/>
          <w:numId w:val="423"/>
        </w:numPr>
        <w:pStyle w:val="Para 01"/>
      </w:pPr>
      <w:r>
        <w:t>Cách tiếp cận bội số thông thường. Theo thời gian, bạn thường thấy một bội số cụ thể trở thành bội số được sử dụng rộng rãi nhất cho một ngành cụ thể. Ví dụ, tỷ lệ giá trên giá trị sổ sách (price-to-book ratio) là bội số được sử dụng nhiều nhất để phân tích các công ty dịch vụ tài chính.</w:t>
      </w:r>
    </w:p>
    <w:p>
      <w:pPr>
        <w:pStyle w:val="Para 03"/>
      </w:pPr>
      <w:r>
        <w:t>Bảng 34.1 tóm tắt các bội số được sử dụng rộng rãi nhất theo ngành. Trong một thế giới lý tưởng, bạn sẽ thấy cả ba cách tiếp cận hội tụ — yếu tố cơ bản giải thích giá trị tốt nhất cũng nên có R-squared cao nhất và là bội số thông thường được sử dụng trong ngành. Trên thực tế, khi bội số được sử dụng theo thông lệ không phản ánh các yếu tố cơ bản, điều có thể xảy ra nếu ngành đang trong quá trình chuyển đổi hoặc phát triển, bạn sẽ nhận được những ước tính giá trị gây nhầm lẫn.</w:t>
      </w:r>
    </w:p>
    <w:p>
      <w:pPr>
        <w:pStyle w:val="Para 20"/>
      </w:pPr>
      <w:r>
        <w:rPr>
          <w:rStyle w:val="Text26"/>
        </w:rPr>
        <w:bookmarkStart w:id="6859" w:name="Page_1076"/>
        <w:t/>
        <w:bookmarkEnd w:id="6859"/>
      </w:r>
      <w:r>
        <w:t xml:space="preserve"> </w:t>
      </w:r>
    </w:p>
    <w:p>
      <w:pPr>
        <w:pStyle w:val="Para 34"/>
        <w:keepLines w:val="on"/>
      </w:pPr>
      <w:r>
        <w:t>BẢNG 34.1</w:t>
      </w:r>
    </w:p>
    <w:p>
      <w:pPr>
        <w:keepNext/>
        <w:pStyle w:val="Para 35"/>
        <w:keepLines w:val="on"/>
      </w:pPr>
      <w:r>
        <w:t>Các bội số được sử dụng phổ biến nhất theo từng ngành</w:t>
      </w:r>
    </w:p>
    <w:tbl>
      <w:tblPr>
        <w:tblW w:type="auto" w:w="0"/>
      </w:tblPr>
      <w:tr>
        <w:tc>
          <w:tcPr>
            <w:tcW w:type="auto" w:w="0"/>
          </w:tcPr>
          <w:tbl>
            <w:tblPr>
              <w:tblW w:type="auto" w:w="0"/>
            </w:tblPr>
            <w:tr>
              <w:tc>
                <w:tcPr>
                  <w:tcW w:type="auto" w:w="0"/>
                  <w:shd w:val="clear" w:color="auto" w:fill="F0F0F0"/>
                </w:tcPr>
                <w:p>
                  <w:pPr>
                    <w:pStyle w:val="Para 29"/>
                    <w:keepLines w:val="on"/>
                  </w:pPr>
                  <w:r>
                    <w:t>Ngành</w:t>
                  </w:r>
                </w:p>
              </w:tc>
              <w:tc>
                <w:tcPr>
                  <w:tcW w:type="auto" w:w="0"/>
                  <w:shd w:val="clear" w:color="auto" w:fill="F0F0F0"/>
                </w:tcPr>
                <w:p>
                  <w:pPr>
                    <w:pStyle w:val="Para 29"/>
                    <w:keepLines w:val="on"/>
                  </w:pPr>
                  <w:r>
                    <w:t>Bội số được sử dụng</w:t>
                  </w:r>
                </w:p>
              </w:tc>
              <w:tc>
                <w:tcPr>
                  <w:tcW w:type="auto" w:w="0"/>
                  <w:shd w:val="clear" w:color="auto" w:fill="F0F0F0"/>
                </w:tcPr>
                <w:p>
                  <w:pPr>
                    <w:pStyle w:val="Para 29"/>
                    <w:keepLines w:val="on"/>
                  </w:pPr>
                  <w:r>
                    <w:t>Lý do/Nhận xét</w:t>
                  </w:r>
                </w:p>
              </w:tc>
            </w:tr>
            <w:tr>
              <w:tc>
                <w:tcPr>
                  <w:tcW w:type="auto" w:w="0"/>
                  <w:shd w:val="clear" w:color="auto" w:fill="F0F0F0"/>
                </w:tcPr>
                <w:p>
                  <w:pPr>
                    <w:pStyle w:val="Para 02"/>
                    <w:keepLines w:val="on"/>
                  </w:pPr>
                  <w:r>
                    <w:t>Sản xuất mang tính chu kỳ Công nghệ cao, tăng trưởng cao</w:t>
                  </w:r>
                </w:p>
              </w:tc>
              <w:tc>
                <w:tcPr>
                  <w:tcW w:type="auto" w:w="0"/>
                  <w:shd w:val="clear" w:color="auto" w:fill="F0F0F0"/>
                </w:tcPr>
                <w:p>
                  <w:pPr>
                    <w:pStyle w:val="Para 02"/>
                    <w:keepLines w:val="on"/>
                  </w:pPr>
                  <w:r>
                    <w:t>PE, PE tương đối PEG</w:t>
                  </w:r>
                </w:p>
              </w:tc>
              <w:tc>
                <w:tcPr>
                  <w:tcW w:type="auto" w:w="0"/>
                  <w:shd w:val="clear" w:color="auto" w:fill="F0F0F0"/>
                </w:tcPr>
                <w:p>
                  <w:pPr>
                    <w:pStyle w:val="Para 02"/>
                    <w:keepLines w:val="on"/>
                  </w:pPr>
                  <w:r>
                    <w:t>Thường dùng với lợi nhuận đã chuẩn hóa. Sự khác biệt lớn về tăng trưởng giữa các công ty khiến việc so sánh tỷ lệ PE trở nên khó khăn.</w:t>
                  </w:r>
                </w:p>
              </w:tc>
            </w:tr>
            <w:tr>
              <w:tc>
                <w:tcPr>
                  <w:tcW w:type="auto" w:w="0"/>
                  <w:shd w:val="clear" w:color="auto" w:fill="F0F0F0"/>
                </w:tcPr>
                <w:p>
                  <w:pPr>
                    <w:pStyle w:val="Para 02"/>
                    <w:keepLines w:val="on"/>
                  </w:pPr>
                  <w:r>
                    <w:t>Tăng trưởng cao/lợi nhuận âm Cơ sở hạ tầng</w:t>
                  </w:r>
                </w:p>
              </w:tc>
              <w:tc>
                <w:tcPr>
                  <w:tcW w:type="auto" w:w="0"/>
                  <w:shd w:val="clear" w:color="auto" w:fill="F0F0F0"/>
                </w:tcPr>
                <w:p>
                  <w:pPr>
                    <w:pStyle w:val="Para 02"/>
                    <w:keepLines w:val="on"/>
                  </w:pPr>
                  <w:r>
                    <w:t>EV/Sales, EV/EBITDA</w:t>
                  </w:r>
                </w:p>
              </w:tc>
              <w:tc>
                <w:tcPr>
                  <w:tcW w:type="auto" w:w="0"/>
                  <w:shd w:val="clear" w:color="auto" w:fill="F0F0F0"/>
                </w:tcPr>
                <w:p>
                  <w:pPr>
                    <w:pStyle w:val="Para 02"/>
                    <w:keepLines w:val="on"/>
                  </w:pPr>
                  <w:r>
                    <w:t>Giả định biên lợi nhuận trong tương lai sẽ dương. Các công ty trong ngành thường lỗ trong những năm đầu, và lợi nhuận báo cáo có thể thay đổi tùy theo phương pháp khấu hao.</w:t>
                  </w:r>
                </w:p>
              </w:tc>
            </w:tr>
            <w:tr>
              <w:tc>
                <w:tcPr>
                  <w:tcW w:type="auto" w:w="0"/>
                  <w:shd w:val="clear" w:color="auto" w:fill="F0F0F0"/>
                </w:tcPr>
                <w:p>
                  <w:pPr>
                    <w:pStyle w:val="Para 02"/>
                    <w:keepLines w:val="on"/>
                  </w:pPr>
                  <w:r>
                    <w:t>REIT</w:t>
                  </w:r>
                </w:p>
              </w:tc>
              <w:tc>
                <w:tcPr>
                  <w:tcW w:type="auto" w:w="0"/>
                  <w:shd w:val="clear" w:color="auto" w:fill="F0F0F0"/>
                </w:tcPr>
                <w:p>
                  <w:pPr>
                    <w:pStyle w:val="Para 02"/>
                    <w:keepLines w:val="on"/>
                  </w:pPr>
                  <w:r>
                    <w:t>P/CF</w:t>
                  </w:r>
                </w:p>
              </w:tc>
              <w:tc>
                <w:tcPr>
                  <w:tcW w:type="auto" w:w="0"/>
                  <w:shd w:val="clear" w:color="auto" w:fill="F0F0F0"/>
                </w:tcPr>
                <w:p>
                  <w:pPr>
                    <w:pStyle w:val="Para 02"/>
                    <w:keepLines w:val="on"/>
                  </w:pPr>
                  <w:r>
                    <w:t>Các hạn chế về chính sách đầu tư và chi phí khấu hao lớn khiến dòng tiền phản ánh tốt hơn so với lợi nhuận vốn chủ sở hữu.</w:t>
                  </w:r>
                </w:p>
              </w:tc>
            </w:tr>
            <w:tr>
              <w:tc>
                <w:tcPr>
                  <w:tcW w:type="auto" w:w="0"/>
                  <w:shd w:val="clear" w:color="auto" w:fill="F0F0F0"/>
                </w:tcPr>
                <w:p>
                  <w:pPr>
                    <w:pStyle w:val="Para 02"/>
                    <w:keepLines w:val="on"/>
                  </w:pPr>
                  <w:r>
                    <w:t>Dịch vụ tài chính Bán lẻ</w:t>
                  </w:r>
                </w:p>
              </w:tc>
              <w:tc>
                <w:tcPr>
                  <w:tcW w:type="auto" w:w="0"/>
                  <w:shd w:val="clear" w:color="auto" w:fill="F0F0F0"/>
                </w:tcPr>
                <w:p>
                  <w:pPr>
                    <w:pStyle w:val="Para 02"/>
                    <w:keepLines w:val="on"/>
                  </w:pPr>
                  <w:r>
                    <w:t>PBV PS VS</w:t>
                  </w:r>
                </w:p>
              </w:tc>
              <w:tc>
                <w:tcPr>
                  <w:tcW w:type="auto" w:w="0"/>
                  <w:shd w:val="clear" w:color="auto" w:fill="F0F0F0"/>
                </w:tcPr>
                <w:p>
                  <w:pPr>
                    <w:pStyle w:val="Para 02"/>
                    <w:keepLines w:val="on"/>
                  </w:pPr>
                  <w:r>
                    <w:t>Giá trị sổ sách thường được đánh giá theo thị trường. Nếu đòn bẩy tài chính tương tự nhau giữa các công ty. Nếu đòn bẩy tài chính khác nhau.</w:t>
                  </w:r>
                </w:p>
              </w:tc>
            </w:tr>
          </w:tbl>
          <w:p/>
        </w:tc>
      </w:tr>
    </w:tbl>
    <w:p>
      <w:bookmarkStart w:id="6860" w:name="Market_or_Sector_Pricing"/>
      <w:bookmarkStart w:id="6861" w:name="Market_or_Sector_Pricing__In_mos"/>
      <w:pPr>
        <w:keepNext/>
        <w:pStyle w:val="Heading 3"/>
        <w:keepLines w:val="on"/>
      </w:pPr>
      <w:r>
        <w:t>Định giá theo thị trường hoặc theo ngành</w:t>
      </w:r>
      <w:bookmarkEnd w:id="6860"/>
      <w:bookmarkEnd w:id="6861"/>
    </w:p>
    <w:p>
      <w:pPr>
        <w:pStyle w:val="Para 03"/>
      </w:pPr>
      <w:r>
        <w:t>Trong hầu hết các phương pháp định giá tương đối, bạn định giá một công ty so với các công ty khác trong cùng ngành mà công ty đó hoạt động, và cố gắng trả lời một câu hỏi đơn giản: Dựa trên cách các công ty khác trong ngành (lĩnh vực) được thị trường định giá, công ty này đang bị định giá thấp hay cao? Trong cách tiếp cận này, bạn có thể xác định các công ty so sánh theo nghĩa hẹp, tức là những công ty không chỉ hoạt động trong cùng ngành mà còn tương đồng với công ty của bạn về quy mô hoặc thị trường phục vụ, hoặc theo nghĩa rộng, khi đó bạn sẽ có nhiều công ty so sánh hơn hẳn. Nếu bạn đang cố kiểm soát sự khác biệt giữa các công ty một cách chủ quan, bạn nên giữ nhóm hẹp hơn. Nhưng nếu bạn dự định kiểm soát sự khác biệt bằng thống kê — ví dụ bằng hồi quy — thì bạn nên dùng định nghĩa rộng hơn.</w:t>
      </w:r>
    </w:p>
    <w:p>
      <w:pPr>
        <w:pStyle w:val="Para 03"/>
      </w:pPr>
      <w:r>
        <w:t>Các chương về định giá tương đối đã trình bày một cách tiếp cận thay thế cho định giá tương đối, trong đó các công ty được định giá so với toàn bộ thị trường. Khi làm điều này, bạn không chỉ sử dụng một tập hợp câu hỏi lớn hơn nhiều mà còn đang đặt ra một câu hỏi khác: Dựa trên cách các công ty khác trên thị trường được định giá, công ty này đang bị định giá thấp hay cao? Một công ty có thể bị định giá thấp so với ngành của nó nhưng lại bị định giá cao so với thị trường nếu toàn bộ ngành đó bị định giá sai.</w:t>
      </w:r>
    </w:p>
    <w:p>
      <w:pPr>
        <w:pStyle w:val="Para 03"/>
      </w:pPr>
      <w:r>
        <w:t>Cách tiếp cận bạn dùng cho định giá tương đối sẽ lại phụ thuộc vào nhiệm vụ của bạn được xác định là gì. Nếu bạn muốn tập trung hẹp vào ngành của mình và đưa ra phán đoán về việc cổ phiếu nào đang bị định giá thấp hay cao, bạn nên giữ cách định giá tương đối theo ngành. Nếu bạn có nhiều không gian linh hoạt hơn và đang cố tìm các cổ phiếu bị định giá thấp hoặc cao trên toàn thị trường, bạn nên xem xét cách tiếp cận thứ hai — có thể là bổ sung cho cách thứ nhất.</w:t>
      </w:r>
    </w:p>
    <w:p>
      <w:bookmarkStart w:id="6862" w:name="When_Should_You_Use_the_Option_P"/>
      <w:bookmarkStart w:id="6863" w:name="When_Should_You_Use_the_Option_P_1"/>
      <w:pPr>
        <w:keepNext/>
        <w:pStyle w:val="Heading 2"/>
        <w:keepLines w:val="on"/>
      </w:pPr>
      <w:r>
        <w:t>Khi nào bạn nên sử dụng các mô hình định giá quyền chọn?</w:t>
      </w:r>
      <w:bookmarkEnd w:id="6862"/>
      <w:bookmarkEnd w:id="6863"/>
    </w:p>
    <w:p>
      <w:pPr>
        <w:pStyle w:val="Para 03"/>
      </w:pPr>
      <w:r>
        <w:t>Các chương về áp dụng mô hình định giá quyền chọn vào định giá đã trình bày một số tình huống mà định giá quyền chọn có thể mang lại giá trị gia tăng so với phương pháp định giá dòng tiền chiết khấu truyền thống. Bạn nên ghi nhớ những nguyên tắc chung sau đây khi sử dụng các mô hình định giá quyền chọn:</w:t>
      </w:r>
    </w:p>
    <w:p>
      <w:pPr>
        <w:numPr>
          <w:ilvl w:val="0"/>
          <w:numId w:val="424"/>
        </w:numPr>
        <w:pStyle w:val="Para 01"/>
      </w:pPr>
      <w:r>
        <w:t>Sử dụng quyền chọn thực một cách tiết chế. Hãy giới hạn việc sử dụng quyền chọn vào những nơi chúng tạo ra khác biệt lớn nhất trong định giá. Nói chung, quyền chọn sẽ ảnh hưởng đến giá trị nhiều nhất ở các công ty nhỏ hơn, những công ty có phần lớn giá trị đến từ các tài sản giống như quyền chọn. Vì vậy, định giá bằng sáng chế như quyền chọn để ước tính giá trị công ty hợp lý hơn đối với một công ty công nghệ sinh học nhỏ so với một gã khổng lồ dược phẩm như Merck. Dù Merck có thể sở hữu hàng chục bằng sáng chế, phần lớn giá trị của nó đến từ danh mục các loại thuốc đã phát triển và dòng tiền mà chúng tạo ra.</w:t>
      </w:r>
    </w:p>
    <w:p>
      <w:pPr>
        <w:numPr>
          <w:ilvl w:val="0"/>
          <w:numId w:val="424"/>
        </w:numPr>
        <w:pStyle w:val="Para 01"/>
      </w:pPr>
      <w:r>
        <w:t>Cơ hội không phải lúc nào cũng là quyền chọn. Bạn nên cẩn thận đừng nhầm lẫn cơ hội với quyền chọn. Các nhà phân tích thường thấy một công ty có tiềm năng tăng trưởng và cho rằng ắt hẳn phải có những quyền chọn giá trị ẩn chứa trong công ty đó. Để cơ hội trở thành quyền chọn có giá trị, bạn cần một mức độ độc quyền nào đó cho công ty đang xét; điều này có thể đến từ các hạn chế pháp lý đối với cạnh tranh hoặc một lợi thế cạnh tranh đáng kể.</w:t>
      </w:r>
    </w:p>
    <w:p>
      <w:pPr>
        <w:numPr>
          <w:ilvl w:val="0"/>
          <w:numId w:val="424"/>
        </w:numPr>
        <w:pStyle w:val="Para 01"/>
      </w:pPr>
      <w:r>
        <w:t>Đừng tính trùng quyền chọn. Rất thường xuyên, các nhà phân tích đưa tác động của quyền chọn vào các yếu tố cơ bản và vào giá trị công ty, rồi sau đó lại cộng thêm phần bù (premium) để phản ánh chính những quyền chọn đó. Lấy ví dụ về trữ lượng dầu chưa khai thác của một công ty dầu khí. Dù việc định giá trữ lượng này như những quyền chọn là hợp lý, bạn không nên cộng giá trị đó vào định giá dòng tiền chiết khấu (discounted cash flow) của công ty nếu tốc độ tăng trưởng kỳ vọng trong định giá của bạn đã được đặt cao hơn vì trữ lượng chưa khai thác của công ty.</w:t>
      </w:r>
    </w:p>
    <w:p>
      <w:pPr>
        <w:pStyle w:val="Para 11"/>
      </w:pPr>
      <w:r>
        <w:t xml:space="preserve"> </w:t>
      </w:r>
    </w:p>
    <w:p>
      <w:bookmarkStart w:id="6865" w:name="Can_a_Firm_be_Undervalued_and_Ov"/>
      <w:bookmarkStart w:id="6866" w:name="Can_a_Firm_be_Undervalued_and_Ov_1"/>
      <w:pPr>
        <w:keepNext/>
        <w:pStyle w:val="Para 27"/>
        <w:keepLines w:val="on"/>
      </w:pPr>
      <w:r>
        <w:t>Liệu một công ty có thể vừa bị định giá thấp vừa bị định giá quá cao cùng một lúc?</w:t>
      </w:r>
      <w:bookmarkEnd w:id="6865"/>
      <w:bookmarkEnd w:id="6866"/>
    </w:p>
    <w:p>
      <w:pPr>
        <w:pStyle w:val="Para 16"/>
        <w:keepLines w:val="on"/>
      </w:pPr>
      <w:r>
        <w:t>Nếu bạn định giá một công ty bằng cả mô hình dòng tiền chiết khấu lẫn mô hình định giá so sánh (pricing model), rất có thể bạn sẽ nhận được hai kết quả khác nhau: Công ty có thể bị định giá thấp khi dùng mô hình định giá tương đối nhưng lại bị định giá quá cao khi dùng mô hình dòng tiền chiết khấu. Vậy ta nên hiểu gì về những khác biệt này, và tại sao chúng lại xảy ra? Nếu một công ty bị định giá quá cao khi dùng mô hình dòng tiền chiết khấu và bị định giá thấp khi dùng định giá tương đối, điều đó thường cho thấy cả ngành đang bị định giá quá cao so với các yếu tố cơ bản của nó. Ví dụ, vào tháng 3 năm 2000, chúng tôi định giá Amazon ở mức 30 đô-la một cổ phiếu bằng mô hình dòng tiền chiết khấu, trong khi nó đang giao dịch ở mức 70 đô-la một cổ phiếu, rõ ràng là bị định giá quá cao. Đồng thời, khi so sánh Amazon với các công ty dot-com khác lại cho thấy nó bị định giá thấp so với những công ty này.</w:t>
      </w:r>
    </w:p>
    <w:p>
      <w:pPr>
        <w:pStyle w:val="Para 16"/>
        <w:keepLines w:val="on"/>
      </w:pPr>
      <w:r>
        <w:t>Nếu một công ty bị định giá thấp khi dùng mô hình dòng tiền chiết khấu và bị định giá quá cao khi dùng định giá tương đối, điều đó cho thấy cả ngành đang bị định giá thấp. Đến tháng 3 năm 2001, giá cổ phiếu Amazon đã giảm xuống còn 15 đô-la, nhưng giá trị của tất cả cổ phiếu Internet đã giảm gần 90 phần trăm. Vào tháng 3 năm 2001, định giá theo dòng tiền chiết khấu cho thấy Amazon bị định giá thấp, nhưng định giá tương đối lại cho thấy nó giờ đây bị định giá quá cao so với cả ngành.</w:t>
      </w:r>
    </w:p>
    <w:p>
      <w:pPr>
        <w:pStyle w:val="Para 16"/>
        <w:keepLines w:val="on"/>
      </w:pPr>
      <w:r>
        <w:t>Với tư cách là nhà đầu tư, bạn có thể dùng cả dòng tiền chiết khấu lẫn định giá tương đối để quyết định nên trả bao nhiêu cho một công ty. Tối ưu nhất, bạn sẽ muốn mua những công ty vừa bị định giá thấp vừa có giá thấp. Bằng cách đó, bạn hưởng lợi từ các đợt điều chỉnh của thị trường cả theo thời gian (đó là cách bạn kiếm tiền từ định giá dòng tiền chiết khấu) lẫn giữa các công ty với nhau.</w:t>
      </w:r>
    </w:p>
    <w:p>
      <w:pPr>
        <w:pStyle w:val="Para 20"/>
      </w:pPr>
      <w:r>
        <w:rPr>
          <w:rStyle w:val="Text26"/>
        </w:rPr>
        <w:bookmarkStart w:id="6867" w:name="Page_1078"/>
        <w:t/>
        <w:bookmarkEnd w:id="6867"/>
      </w:r>
      <w:r>
        <w:t xml:space="preserve"> </w:t>
      </w:r>
    </w:p>
    <w:p>
      <w:bookmarkStart w:id="6868" w:name="Conclusion__The_analyst_faced_wi"/>
      <w:bookmarkStart w:id="6869" w:name="Conclusion_33"/>
      <w:pPr>
        <w:keepNext/>
        <w:pStyle w:val="Heading 2"/>
        <w:keepLines w:val="on"/>
      </w:pPr>
      <w:r>
        <w:t>Kết luận</w:t>
      </w:r>
      <w:bookmarkEnd w:id="6868"/>
      <w:bookmarkEnd w:id="6869"/>
    </w:p>
    <w:p>
      <w:pPr>
        <w:pStyle w:val="Para 03"/>
      </w:pPr>
      <w:r>
        <w:t>Nhà phân tích đối mặt với nhiệm vụ định giá một công ty/tài sản hoặc vốn chủ sở hữu của nó phải lựa chọn giữa ba cách tiếp cận khác nhau—định giá dòng tiền chiết khấu, định giá tương đối, và mô hình định giá quyền chọn—và trong mỗi cách tiếp cận, lại phải chọn giữa các mô hình khác nhau. Sự lựa chọn này phần lớn sẽ được dẫn dắt bởi các đặc điểm của công ty/tài sản đang được định giá—mức thu nhập, tiềm năng tăng trưởng, các nguồn tăng trưởng thu nhập, tính ổn định của đòn bẩy, và chính sách cổ tức của nó. Việc khớp mô hình định giá với tài sản hoặc công ty đang được định giá là một phần quan trọng của định giá, cũng quan trọng như việc hiểu các mô hình và có được các đầu vào đúng.</w:t>
      </w:r>
    </w:p>
    <w:p>
      <w:pPr>
        <w:pStyle w:val="Para 03"/>
      </w:pPr>
      <w:r>
        <w:t>Một khi bạn quyết định đi theo cách tiếp cận này hay cách tiếp cận khác, bạn còn có thêm những lựa chọn khác—nên dùng định giá vốn chủ sở hữu hay định giá công ty trong bối cảnh định giá dòng tiền chiết khấu, nên dùng bội số (multiple) nào để định giá công ty hoặc vốn chủ sở hữu, và loại quyền chọn nào được ẩn chứa trong một công ty.</w:t>
      </w:r>
    </w:p>
    <w:p>
      <w:bookmarkStart w:id="6870" w:name="Top_of_b01_xhtml"/>
      <w:bookmarkStart w:id="6871" w:name="References"/>
      <w:bookmarkStart w:id="6872" w:name="References____Aboody__D_____Lev"/>
      <w:pPr>
        <w:keepNext/>
        <w:pStyle w:val="Heading 1"/>
        <w:pageBreakBefore w:val="on"/>
        <w:keepLines w:val="on"/>
      </w:pPr>
      <w:r>
        <w:t>Tài liệu tham khảo</w:t>
      </w:r>
      <w:bookmarkEnd w:id="6870"/>
      <w:bookmarkEnd w:id="6871"/>
      <w:bookmarkEnd w:id="6872"/>
    </w:p>
    <w:p>
      <w:bookmarkStart w:id="6874" w:name="Aboody__D_____Lev__B___1998___Th"/>
      <w:pPr>
        <w:pStyle w:val="Para 08"/>
      </w:pPr>
      <w:r>
        <w:t>Aboody, D., &amp; Lev, B. (1998). The value relevance of intangibles: The case of software capitalization. Journal of Accounting Research, 36, 161–191.</w:t>
      </w:r>
      <w:bookmarkEnd w:id="6874"/>
    </w:p>
    <w:p>
      <w:bookmarkStart w:id="6875" w:name="Alexander__S__S___1964___Price_m"/>
      <w:pPr>
        <w:pStyle w:val="Para 08"/>
      </w:pPr>
      <w:r>
        <w:t>Alexander, S. S. (1964). Price movements in speculative markets: Trends or random walks? In: The Random Character of Stock Market Prices (ed. P. Cootner), 338–372. Cambridge, MA: MIT Press.</w:t>
      </w:r>
      <w:bookmarkEnd w:id="6875"/>
    </w:p>
    <w:p>
      <w:bookmarkStart w:id="6876" w:name="Altman__E__I___1968___Financial"/>
      <w:pPr>
        <w:pStyle w:val="Para 08"/>
      </w:pPr>
      <w:r>
        <w:t>Altman, E. I. (1968). Financial ratios, discriminant analysis and the prediction of corporate bankruptcy. Journal of Finance, 23, 589–609.</w:t>
      </w:r>
      <w:bookmarkEnd w:id="6876"/>
    </w:p>
    <w:p>
      <w:bookmarkStart w:id="6877" w:name="Altman__E__I_____Kishore__V___20"/>
      <w:pPr>
        <w:pStyle w:val="Para 08"/>
      </w:pPr>
      <w:r>
        <w:t>Altman, E. I., &amp; Kishore, V. (2000). The default experience of U.S. bonds, [Working paper]. New York University.</w:t>
      </w:r>
      <w:bookmarkEnd w:id="6877"/>
    </w:p>
    <w:p>
      <w:bookmarkStart w:id="6878" w:name="Amram__M_____Kulantilaka__N___19"/>
      <w:pPr>
        <w:pStyle w:val="Para 08"/>
      </w:pPr>
      <w:r>
        <w:t>Amram, M., &amp; Kulantilaka, N. (1998). Real Options: Managing Strategic Investments in an Uncertain World. New York: Oxford University Press.</w:t>
      </w:r>
      <w:bookmarkEnd w:id="6878"/>
    </w:p>
    <w:p>
      <w:bookmarkStart w:id="6879" w:name="Arbel__A_____Strebel__P__J___198"/>
      <w:pPr>
        <w:pStyle w:val="Para 08"/>
      </w:pPr>
      <w:r>
        <w:t>Arbel, A., &amp; Strebel, P. J. (1983). Pay attention to neglected stocks. Journal of Porfolio Management, 9, 37–42.</w:t>
      </w:r>
      <w:bookmarkEnd w:id="6879"/>
    </w:p>
    <w:p>
      <w:bookmarkStart w:id="6880" w:name="Arnott__R__D___1985___The_use_an"/>
      <w:pPr>
        <w:pStyle w:val="Para 08"/>
      </w:pPr>
      <w:r>
        <w:t>Arnott, R. D. (1985). The use and misuse of consensus earnings. Journal of Portfolio Management, 11, 18–27.</w:t>
      </w:r>
      <w:bookmarkEnd w:id="6880"/>
    </w:p>
    <w:p>
      <w:bookmarkStart w:id="6881" w:name="Avellaneda__M_____Lawrence__P"/>
      <w:pPr>
        <w:pStyle w:val="Para 08"/>
      </w:pPr>
      <w:r>
        <w:t>Avellaneda, M., &amp; Lawrence, P. (2000). Quantitative Modeling of Derivative Securities, New York: Chapman &amp; Hall.</w:t>
      </w:r>
      <w:bookmarkEnd w:id="6881"/>
    </w:p>
    <w:p>
      <w:bookmarkStart w:id="6882" w:name="Ball__C__A_____Torous__W__N___19"/>
      <w:pPr>
        <w:pStyle w:val="Para 08"/>
      </w:pPr>
      <w:r>
        <w:t>Ball, C. A., &amp; Torous, W. N. (1983). A simplified jump process for common stock returns. Journal of Financial and Quantitative Analysis, 18, 53–65.</w:t>
      </w:r>
      <w:bookmarkEnd w:id="6882"/>
    </w:p>
    <w:p>
      <w:bookmarkStart w:id="6883" w:name="Banz__R___1981___The_relationshi"/>
      <w:pPr>
        <w:pStyle w:val="Para 08"/>
      </w:pPr>
      <w:r>
        <w:t>Banz, R. (1981). The relationship between return and market value of common stocks. Journal of Financial Economics, 9, 3–18.</w:t>
      </w:r>
      <w:bookmarkEnd w:id="6883"/>
    </w:p>
    <w:p>
      <w:bookmarkStart w:id="6884" w:name="Barclay__M__J___Smith__C__W"/>
      <w:pPr>
        <w:pStyle w:val="Para 08"/>
      </w:pPr>
      <w:r>
        <w:t>Barclay, M. J., Smith, C. W., &amp; Watts R. L. (1995). The determinants of corporate leverage and dividend policies. Journal of Applied Corporate Finance, 7(4), 4–19.</w:t>
      </w:r>
      <w:bookmarkEnd w:id="6884"/>
    </w:p>
    <w:p>
      <w:bookmarkStart w:id="6885" w:name="Basu__S___1977___The_investment"/>
      <w:pPr>
        <w:pStyle w:val="Para 08"/>
      </w:pPr>
      <w:r>
        <w:t>Basu, S. (1977). The investment performance of common stocks in relation to their price-earnings: A test of the efficient market hypothesis. Journal of Finance, 32, 663–682.</w:t>
      </w:r>
      <w:bookmarkEnd w:id="6885"/>
    </w:p>
    <w:p>
      <w:bookmarkStart w:id="6886" w:name="Basu__S___1983___The_relationshi"/>
      <w:pPr>
        <w:pStyle w:val="Para 08"/>
      </w:pPr>
      <w:r>
        <w:t>Basu, S. (1983). The relationship between earnings yield, market value and return for NYSE common stocks: Further evidence. Journal of Financial Economics, 12, 129–156.</w:t>
      </w:r>
      <w:bookmarkEnd w:id="6886"/>
    </w:p>
    <w:p>
      <w:bookmarkStart w:id="6887" w:name="Bathke__A__W___Jr_____Lorek__K"/>
      <w:pPr>
        <w:pStyle w:val="Para 08"/>
      </w:pPr>
      <w:r>
        <w:t>Bathke, A. W., Jr., &amp; Lorek, K. S. (1984). The relationship between time-series models and the security market’s expectation of quarterly earnings. Accounting Review, 59, 163–176.</w:t>
      </w:r>
      <w:bookmarkEnd w:id="6887"/>
    </w:p>
    <w:p>
      <w:bookmarkStart w:id="6888" w:name="Beaver__W__H___Kettler__P_____Sc"/>
      <w:pPr>
        <w:pStyle w:val="Para 08"/>
      </w:pPr>
      <w:r>
        <w:t>Beaver, W. H., Kettler, P., &amp; Scholes, M. (1970). The association between market determined and accounting determined risk measures. Accounting Review, 45(4), 654–682.</w:t>
      </w:r>
      <w:bookmarkEnd w:id="6888"/>
    </w:p>
    <w:p>
      <w:bookmarkStart w:id="6889" w:name="Beckers__S___1981___A_note_on_es"/>
      <w:pPr>
        <w:pStyle w:val="Para 08"/>
      </w:pPr>
      <w:r>
        <w:t>Beckers, S. (1981). A note on estimating the parameters of the diffusion–jump process model of stock returns. Journal of Financial and Quantitative Analysis, 16, 127–140.</w:t>
      </w:r>
      <w:bookmarkEnd w:id="6889"/>
    </w:p>
    <w:p>
      <w:bookmarkStart w:id="6890" w:name="Bernstein__L__A_____Siegel__J__G"/>
      <w:pPr>
        <w:pStyle w:val="Para 08"/>
      </w:pPr>
      <w:r>
        <w:t>Bernstein, L. A., &amp; Siegel, J. G. (1979). Khái niệm về chất lượng lợi nhuận. Financial Analysts Journal, 35, 72–75.</w:t>
      </w:r>
      <w:bookmarkEnd w:id="6890"/>
    </w:p>
    <w:p>
      <w:bookmarkStart w:id="6891" w:name="Bernstein__P___1992___Capital_Id"/>
      <w:pPr>
        <w:pStyle w:val="Para 08"/>
      </w:pPr>
      <w:r>
        <w:t>Bernstein, P. (1992). Capital Ideas. New York: Free Press.</w:t>
      </w:r>
      <w:bookmarkEnd w:id="6891"/>
    </w:p>
    <w:p>
      <w:bookmarkStart w:id="6892" w:name="Bernstein__P___1996___Against_th"/>
      <w:pPr>
        <w:pStyle w:val="Para 08"/>
      </w:pPr>
      <w:r>
        <w:t>Bernstein, P. (1996). Against the Gods. New York: John Wiley &amp; Sons.</w:t>
      </w:r>
      <w:bookmarkEnd w:id="6892"/>
    </w:p>
    <w:p>
      <w:bookmarkStart w:id="6893" w:name="Bernstein__R___1995___Style_Inve"/>
      <w:pPr>
        <w:pStyle w:val="Para 08"/>
      </w:pPr>
      <w:r>
        <w:t>Bernstein, R. (1995). Style Investing. New York: John Wiley &amp; Sons.</w:t>
      </w:r>
      <w:bookmarkEnd w:id="6893"/>
    </w:p>
    <w:p>
      <w:bookmarkStart w:id="6894" w:name="Bernstein__R___1997a__December_1"/>
      <w:pPr>
        <w:pStyle w:val="Para 08"/>
      </w:pPr>
      <w:r>
        <w:t>Bernstein, R. (1997a, 19 tháng 12). EVA và lợi nhuận thị trường. Quantitative Viewpoint, Merrill Lynch.</w:t>
      </w:r>
      <w:bookmarkEnd w:id="6894"/>
    </w:p>
    <w:p>
      <w:bookmarkStart w:id="6895" w:name="Bernstein__R___1997b__February_3"/>
      <w:pPr>
        <w:pStyle w:val="Para 08"/>
      </w:pPr>
      <w:r>
        <w:t>Bernstein, R. (1997b, 3 tháng 2). EVA và lợi nhuận thị trường. Quantitative Viewpoint, Merrill Lynch.</w:t>
      </w:r>
      <w:bookmarkEnd w:id="6895"/>
    </w:p>
    <w:p>
      <w:bookmarkStart w:id="6896" w:name="Bethke__W__M_____Boyd__S__E___19"/>
      <w:pPr>
        <w:pStyle w:val="Para 08"/>
      </w:pPr>
      <w:r>
        <w:t>Bethke, W. M., &amp; Boyd, S. E. (1983). Liệu các mô hình chiết khấu cổ tức có nên nghiêng về lợi suất? Journal of Portfolio Management, 9, 23–27.</w:t>
      </w:r>
      <w:bookmarkEnd w:id="6896"/>
    </w:p>
    <w:p>
      <w:bookmarkStart w:id="6897" w:name="Bhide__A___1989___The_causes_and"/>
      <w:pPr>
        <w:pStyle w:val="Para 08"/>
      </w:pPr>
      <w:r>
        <w:t>Bhide, A. (1989). Nguyên nhân và hệ quả của các thương vụ thâu tóm thù địch. Journal of Applied Corporate Finance, 2, 36–59.</w:t>
      </w:r>
      <w:bookmarkEnd w:id="6897"/>
    </w:p>
    <w:p>
      <w:bookmarkStart w:id="6899" w:name="Bhide__A___1993___Reversing_corp"/>
      <w:pPr>
        <w:pStyle w:val="Para 08"/>
      </w:pPr>
      <w:r>
        <w:t>Bhide, A. (1993). Đảo ngược đa dạng hóa doanh nghiệp. Trong: The New Corporate Finance–Where Theory Meets Practice (biên tập: D. H. Chew Jr.). New York: McGraw-Hill.</w:t>
      </w:r>
      <w:bookmarkEnd w:id="6899"/>
    </w:p>
    <w:p>
      <w:bookmarkStart w:id="6900" w:name="Black__F_____Scholes__M___1972"/>
      <w:pPr>
        <w:pStyle w:val="Para 08"/>
      </w:pPr>
      <w:r>
        <w:t>Black, F., &amp; Scholes, M. (1972). Định giá hợp đồng quyền chọn và một kiểm định tính hiệu quả của thị trường. Journal of Finance, 27, 399–417.</w:t>
      </w:r>
      <w:bookmarkEnd w:id="6900"/>
    </w:p>
    <w:p>
      <w:bookmarkStart w:id="6901" w:name="Blume__M___1979___Betas_and_thei"/>
      <w:pPr>
        <w:pStyle w:val="Para 08"/>
      </w:pPr>
      <w:r>
        <w:t>Blume, M. (1979). Hệ số beta và xu hướng hồi quy của chúng: Một số bằng chứng bổ sung. Journal of Finance, 34(1), 265–267.</w:t>
      </w:r>
      <w:bookmarkEnd w:id="6901"/>
    </w:p>
    <w:p>
      <w:bookmarkStart w:id="6902" w:name="Booth__L___1999___Estimating_the"/>
      <w:pPr>
        <w:pStyle w:val="Para 08"/>
      </w:pPr>
      <w:r>
        <w:t>Booth, L. (1999). Ước lượng phần bù rủi ro vốn cổ phần và chi phí vốn cổ phần: Cách nhìn mới về dữ liệu cũ. Journal of Applied Corporate Finance, 12(1), 100–112.</w:t>
      </w:r>
      <w:bookmarkEnd w:id="6902"/>
    </w:p>
    <w:p>
      <w:bookmarkStart w:id="6903" w:name="Box__G_____Jenkins__G___1976___T"/>
      <w:pPr>
        <w:pStyle w:val="Para 08"/>
      </w:pPr>
      <w:r>
        <w:t>Box, G., &amp; Jenkins, G. (1976). Time Series Analysis: Forecasting and Control. Oakland, CA: Holden-Day.</w:t>
      </w:r>
      <w:bookmarkEnd w:id="6903"/>
    </w:p>
    <w:p>
      <w:bookmarkStart w:id="6904" w:name="Bradley__M___Desai__A_____Kim__E"/>
      <w:pPr>
        <w:pStyle w:val="Para 08"/>
      </w:pPr>
      <w:r>
        <w:t>Bradley, M., Desai, A., &amp; Kim, E. H. (1983). Lý do đằng sau các đề nghị mua lại giữa các công ty. Journal of Financial Economics, 11, 183–206.</w:t>
      </w:r>
      <w:bookmarkEnd w:id="6904"/>
    </w:p>
    <w:p>
      <w:bookmarkStart w:id="6905" w:name="Bradley__M___Desai__A_____Kim__E_1"/>
      <w:pPr>
        <w:pStyle w:val="Para 08"/>
      </w:pPr>
      <w:r>
        <w:t>Bradley, M., Desai, A., &amp; Kim, E. H. (1988). Lợi ích cộng hưởng từ các thương vụ mua lại doanh nghiệp và cách phân chia chúng giữa cổ đông của công ty mục tiêu và công ty thâu tóm. Journal of Financial Economics, 21, 3–40.</w:t>
      </w:r>
      <w:bookmarkEnd w:id="6905"/>
    </w:p>
    <w:p>
      <w:bookmarkStart w:id="6906" w:name="Brennan__M__J___1970___Taxes__ma"/>
      <w:pPr>
        <w:pStyle w:val="Para 08"/>
      </w:pPr>
      <w:r>
        <w:t>Brennan, M. J. (1970). Thuế, định giá thị trường và chính sách tài chính doanh nghiệp. National Tax Journal, 23, 417–427.</w:t>
      </w:r>
      <w:bookmarkEnd w:id="6906"/>
    </w:p>
    <w:p>
      <w:bookmarkStart w:id="6907" w:name="Brennan__M__J_____Schwartz__E__S"/>
      <w:pPr>
        <w:pStyle w:val="Para 08"/>
      </w:pPr>
      <w:r>
        <w:t>Brennan, M. J., &amp; Schwartz, E. S. (1985). Đánh giá các khoản đầu tư tài nguyên thiên nhiên. Journal of Business, 58, 135–158.</w:t>
      </w:r>
      <w:bookmarkEnd w:id="6907"/>
    </w:p>
    <w:p>
      <w:bookmarkStart w:id="6908" w:name="Brickley__J___Smith__C_____Zimme"/>
      <w:pPr>
        <w:pStyle w:val="Para 08"/>
      </w:pPr>
      <w:r>
        <w:t>Brickley, J., Smith, C., &amp; Zimmerman, J. (1995). Kinh tế học của kiến trúc tổ chức. Journal of Applied Corporate Finance, 8, 19–31.</w:t>
      </w:r>
      <w:bookmarkEnd w:id="6908"/>
    </w:p>
    <w:p>
      <w:bookmarkStart w:id="6909" w:name="Brickley__J___Smith__C_____Zimme_1"/>
      <w:pPr>
        <w:pStyle w:val="Para 08"/>
      </w:pPr>
      <w:r>
        <w:t>Brickley, J., Smith, C., &amp; Zimmerman, J. (1995). Định giá chuyển nhượng và kiểm soát các giao dịch nội bộ trong doanh nghiệp. Journal of Applied Corporate Finance, 8(2), 60–67.</w:t>
      </w:r>
      <w:bookmarkEnd w:id="6909"/>
    </w:p>
    <w:p>
      <w:bookmarkStart w:id="6910" w:name="Brown__L__D_____Rozeff__M__S___1"/>
      <w:pPr>
        <w:pStyle w:val="Para 08"/>
      </w:pPr>
      <w:r>
        <w:t>Brown, L. D., &amp; Rozeff, M. S. (1979). Các mô hình chuỗi thời gian đơn biến của thu nhập kế toán trên mỗi cổ phần theo quý: Một mô hình đề xuất. Journal of Accounting Research, 17, 178–189.</w:t>
      </w:r>
      <w:bookmarkEnd w:id="6910"/>
    </w:p>
    <w:p>
      <w:bookmarkStart w:id="6911" w:name="Brown__L__D_____Rozeff__M__S___1_1"/>
      <w:pPr>
        <w:pStyle w:val="Para 08"/>
      </w:pPr>
      <w:r>
        <w:t>Brown, L. D., &amp; Rozeff, M. S. (1980). Các nhà phân tích có thể dự báo chính xác! Journal of Portfolio Management, 6, 31–34.</w:t>
      </w:r>
      <w:bookmarkEnd w:id="6911"/>
    </w:p>
    <w:p>
      <w:bookmarkStart w:id="6912" w:name="Brown__S__J_____Warner__J__B___1"/>
      <w:pPr>
        <w:pStyle w:val="Para 08"/>
      </w:pPr>
      <w:r>
        <w:t>Brown, S. J., &amp; Warner, J. B. (1980). Đo lường hiệu suất giá chứng khoán. Journal of Financial Economics, 8(3), 205–258.</w:t>
      </w:r>
      <w:bookmarkEnd w:id="6912"/>
    </w:p>
    <w:p>
      <w:bookmarkStart w:id="6913" w:name="Brown__S__J_____Warner__J__B___1_1"/>
      <w:pPr>
        <w:pStyle w:val="Para 08"/>
      </w:pPr>
      <w:r>
        <w:t>Brown, S. J., &amp; Warner, J. B. (1985). Sử dụng lợi suất cổ phiếu hàng ngày: Trường hợp của các nghiên cứu sự kiện. Journal of Financial Economics, 14(1), 3–31.</w:t>
      </w:r>
      <w:bookmarkEnd w:id="6913"/>
    </w:p>
    <w:p>
      <w:bookmarkStart w:id="6914" w:name="Bruner__R__F___2005___Deals_from"/>
      <w:pPr>
        <w:pStyle w:val="Para 56"/>
      </w:pPr>
      <w:r>
        <w:t>Bruner, R. F. (2005). Deals from Hell: M&amp;A Lessons that Rise above the Ashes. Hoboken, NJ: John Wiley.</w:t>
      </w:r>
      <w:bookmarkEnd w:id="6914"/>
    </w:p>
    <w:p>
      <w:bookmarkStart w:id="6915" w:name="Bruner__R__F___Eades__K__M___Har"/>
      <w:pPr>
        <w:pStyle w:val="Para 08"/>
      </w:pPr>
      <w:r>
        <w:t>Bruner, R. F., Eades, K. M., Harris, R. S., và cộng sự (1998). Thực tiễn tốt nhất trong ước lượng chi phí vốn: Khảo sát và tổng hợp. Financial Practice and Education, 8, 13–28.</w:t>
      </w:r>
      <w:bookmarkEnd w:id="6915"/>
    </w:p>
    <w:p>
      <w:bookmarkStart w:id="6916" w:name="Bruner__R__F___Eades__K__M___Har_1"/>
      <w:pPr>
        <w:pStyle w:val="Para 08"/>
      </w:pPr>
      <w:r>
        <w:t>Bruner, R. F., Eades, K. M., Harris, R. S., và cộng sự (1998). Best practices in estimating the cost of capital: Survey and synthesis. Financial Practice and Education, 8, 14–28.</w:t>
      </w:r>
      <w:bookmarkEnd w:id="6916"/>
    </w:p>
    <w:p>
      <w:bookmarkStart w:id="6917" w:name="Buffett__W__E_____Cunningham__L"/>
      <w:pPr>
        <w:pStyle w:val="Para 08"/>
      </w:pPr>
      <w:r>
        <w:t>Buffett, W. E., &amp; Cunningham, L. A. (2001). The Essays of Warren Buffett: Lessons of Corporate America. Minneapolis, MN: Cunningham Group.</w:t>
      </w:r>
      <w:bookmarkEnd w:id="6917"/>
    </w:p>
    <w:p>
      <w:bookmarkStart w:id="6918" w:name="Capaul__C___Rowley__I_____Sharpe"/>
      <w:pPr>
        <w:pStyle w:val="Para 08"/>
      </w:pPr>
      <w:r>
        <w:t>Capaul, C., Rowley, I., &amp; Sharpe, W. F. (1993). International value and growth stock returns. Financial Analysts Journal, 49, 27–36.</w:t>
      </w:r>
      <w:bookmarkEnd w:id="6918"/>
    </w:p>
    <w:p>
      <w:bookmarkStart w:id="6919" w:name="Carhart__M__M___1997___On_the_pe"/>
      <w:pPr>
        <w:pStyle w:val="Para 08"/>
      </w:pPr>
      <w:r>
        <w:t>Carhart, M. M. (1997). On the persistence of mutual fund performance. Journal of Finance, 52, 57–82.</w:t>
      </w:r>
      <w:bookmarkEnd w:id="6919"/>
    </w:p>
    <w:p>
      <w:bookmarkStart w:id="6920" w:name="Carpenter__J___1998___The_exerci"/>
      <w:pPr>
        <w:pStyle w:val="Para 08"/>
      </w:pPr>
      <w:r>
        <w:t>Carpenter, J. (1998). The exercise and valuation of executive stock options. Journal of Financial Economics, 48, 127–158.</w:t>
      </w:r>
      <w:bookmarkEnd w:id="6920"/>
    </w:p>
    <w:p>
      <w:bookmarkStart w:id="6921" w:name="Chambers__A__E_____Penman__S__H"/>
      <w:pPr>
        <w:pStyle w:val="Para 08"/>
      </w:pPr>
      <w:r>
        <w:t>Chambers, A. E., &amp; Penman, S. H. (1984). Timeliness of reporting and the stock price reaction to earnings announcements. Journal of Accounting Research, 22, 21–47.</w:t>
      </w:r>
      <w:bookmarkEnd w:id="6921"/>
    </w:p>
    <w:p>
      <w:bookmarkStart w:id="6922" w:name="Chan__K__C___Karolyi__G__A_____S"/>
      <w:pPr>
        <w:pStyle w:val="Para 08"/>
      </w:pPr>
      <w:r>
        <w:t>Chan, K. C., Karolyi, G. A., &amp; Stulz, R. M. (1992). Global financial markets and the risk premium on U.S. equity. Journal of Financial Economics, 32, 132–167.</w:t>
      </w:r>
      <w:bookmarkEnd w:id="6922"/>
    </w:p>
    <w:p>
      <w:bookmarkStart w:id="6923" w:name="Chan__L__K___Hamao__Y_____Lakoni"/>
      <w:pPr>
        <w:pStyle w:val="Para 08"/>
      </w:pPr>
      <w:r>
        <w:t>Chan, L. K., Hamao, Y., &amp; Lakonishok, J. (1991). Fundamentals and stock returns in Japan. Journal of Finance, 46, 1739–1789.</w:t>
      </w:r>
      <w:bookmarkEnd w:id="6923"/>
    </w:p>
    <w:p>
      <w:bookmarkStart w:id="6925" w:name="Chan__S__H___Martin__J_____Kensi"/>
      <w:pPr>
        <w:pStyle w:val="Para 08"/>
      </w:pPr>
      <w:r>
        <w:t>Chan, S. H., Martin, J., &amp; Kensinger, J. (1990). Corporate research and development expenditures and share value. Journal of Financial Economics, 26, 255–276.</w:t>
      </w:r>
      <w:bookmarkEnd w:id="6925"/>
    </w:p>
    <w:p>
      <w:bookmarkStart w:id="6926" w:name="Chen__N___Roll__R_____Ross__S__A"/>
      <w:pPr>
        <w:pStyle w:val="Para 08"/>
      </w:pPr>
      <w:r>
        <w:t>Chen, N., Roll, R., &amp; Ross, S. A. (1986). Economic forces and the stock market. Journal of Business, 59, 383–404.</w:t>
      </w:r>
      <w:bookmarkEnd w:id="6926"/>
    </w:p>
    <w:p>
      <w:bookmarkStart w:id="6927" w:name="Choi__F__D__S_____Levich__R__M"/>
      <w:pPr>
        <w:pStyle w:val="Para 08"/>
      </w:pPr>
      <w:r>
        <w:t>Choi, F. D. S., &amp; Levich, R. M. (1990). The Capital Market Effects of International Accounting Diversity. New York: Dow Jones–Irwin.</w:t>
      </w:r>
      <w:bookmarkEnd w:id="6927"/>
    </w:p>
    <w:p>
      <w:bookmarkStart w:id="6928" w:name="Clemons__E__K___Barnett__S_____L"/>
      <w:pPr>
        <w:pStyle w:val="Para 08"/>
      </w:pPr>
      <w:r>
        <w:t>Clemons, E. K., Barnett, S., &amp; Lanier, J. (2005, September 22). Fortune favors the forward-thinking. Financial Times Special Reports/Mastering Risk.</w:t>
      </w:r>
      <w:bookmarkEnd w:id="6928"/>
    </w:p>
    <w:p>
      <w:bookmarkStart w:id="6929" w:name="Collins__W_____Hopwood__W___1980"/>
      <w:pPr>
        <w:pStyle w:val="Para 08"/>
      </w:pPr>
      <w:r>
        <w:t>Collins, W., &amp; Hopwood, W. (1980). A multivariate analysis of annual earnings forecasts generated from quarterly forecasts of financial analysts and univariate time series models. Journal of Accounting Research, 20, 390–406.</w:t>
      </w:r>
      <w:bookmarkEnd w:id="6929"/>
    </w:p>
    <w:p>
      <w:bookmarkStart w:id="6930" w:name="Conrad__J___1989___The_price_eff"/>
      <w:pPr>
        <w:pStyle w:val="Para 08"/>
      </w:pPr>
      <w:r>
        <w:t>Conrad, J. (1989). The price effect of option introduction. Journal of Finance, 44, 487–498.</w:t>
      </w:r>
      <w:bookmarkEnd w:id="6930"/>
    </w:p>
    <w:p>
      <w:bookmarkStart w:id="6931" w:name="Cootner__P__H___1961___Common_el"/>
      <w:pPr>
        <w:pStyle w:val="Para 08"/>
      </w:pPr>
      <w:r>
        <w:t>Cootner, P. H. (1961). Common elements in futures markets for commodities and bonds. American Economic Review, 51(2), 173–183.</w:t>
      </w:r>
      <w:bookmarkEnd w:id="6931"/>
    </w:p>
    <w:p>
      <w:bookmarkStart w:id="6932" w:name="Cootner__P__H___1962___Stock_pri"/>
      <w:pPr>
        <w:pStyle w:val="Para 08"/>
      </w:pPr>
      <w:r>
        <w:t>Cootner, P. H. (1962). Stock prices: Random versus systematic changes. Industrial Management Review, 3, 24–45.</w:t>
      </w:r>
      <w:bookmarkEnd w:id="6932"/>
    </w:p>
    <w:p>
      <w:bookmarkStart w:id="6933" w:name="Copeland__T__E_____Antikarov__V"/>
      <w:pPr>
        <w:pStyle w:val="Para 08"/>
      </w:pPr>
      <w:r>
        <w:t>Copeland, T. E., &amp; Antikarov, V. (2001). Real Options: A Practitioners Guide. New York: Texere.</w:t>
      </w:r>
      <w:bookmarkEnd w:id="6933"/>
    </w:p>
    <w:p>
      <w:bookmarkStart w:id="6934" w:name="Copeland__T__E___Koller__T_____M"/>
      <w:pPr>
        <w:pStyle w:val="Para 08"/>
      </w:pPr>
      <w:r>
        <w:t>Copeland, T. E., Koller, T., &amp; Murrin, J. (1999). Valuation: Measuring and Managing the Value of Companies. New York: John Wiley &amp; Sons.</w:t>
      </w:r>
      <w:bookmarkEnd w:id="6934"/>
    </w:p>
    <w:p>
      <w:bookmarkStart w:id="6935" w:name="Cottle__S___Murray__R_____Bloch"/>
      <w:pPr>
        <w:pStyle w:val="Para 08"/>
      </w:pPr>
      <w:r>
        <w:t>Cottle, S., Murray, R., &amp; Bloch, F. (1988). Security Analysis. New York: McGraw-Hill.</w:t>
      </w:r>
      <w:bookmarkEnd w:id="6935"/>
    </w:p>
    <w:p>
      <w:bookmarkStart w:id="6936" w:name="Cox__J__C_____Ross__S__A___1976"/>
      <w:pPr>
        <w:pStyle w:val="Para 08"/>
      </w:pPr>
      <w:r>
        <w:t>Cox, J. C., &amp; Ross, S. A. (1976). The valuation of options for alternative stochastic processes. Journal of Financial Economics, 3, 145–166.</w:t>
      </w:r>
      <w:bookmarkEnd w:id="6936"/>
    </w:p>
    <w:p>
      <w:bookmarkStart w:id="6937" w:name="Cox__J__C_____Rubinstein__M___19"/>
      <w:pPr>
        <w:pStyle w:val="Para 08"/>
      </w:pPr>
      <w:r>
        <w:t>Cox, J. C., &amp; Rubinstein, M. (1985). Options Markets. Upper Saddle River, NJ: Prentice Hall.</w:t>
      </w:r>
      <w:bookmarkEnd w:id="6937"/>
    </w:p>
    <w:p>
      <w:bookmarkStart w:id="6938" w:name="Cox__J__C___Ross_S__A_____Rubins"/>
      <w:pPr>
        <w:pStyle w:val="Para 08"/>
      </w:pPr>
      <w:r>
        <w:t>Cox, J. C., Ross S. A., &amp; Rubinstein, M. (1979). Option pricing: A simplified approach. Journal of Financial Economics, 7, 229–264.</w:t>
      </w:r>
      <w:bookmarkEnd w:id="6938"/>
    </w:p>
    <w:p>
      <w:bookmarkStart w:id="6939" w:name="Cragg__J__G_____Malkiel__B__G"/>
      <w:pPr>
        <w:pStyle w:val="Para 08"/>
      </w:pPr>
      <w:r>
        <w:t>Cragg, J. G., &amp; Malkiel, B. G. (1968). The consensus and accuracy of predictions of the growth of corporate earnings. Journal of Finance, 23, 67–84.</w:t>
      </w:r>
      <w:bookmarkEnd w:id="6939"/>
    </w:p>
    <w:p>
      <w:bookmarkStart w:id="6940" w:name="Crichfield__T___Dyckman__T_____L"/>
      <w:pPr>
        <w:pStyle w:val="Para 08"/>
      </w:pPr>
      <w:r>
        <w:t>Crichfield, T., Dyckman, T., &amp; Lakonishok J. (1978). An evaluation of security analysts forecasts. Accounting Review, 53, 651–668.</w:t>
      </w:r>
      <w:bookmarkEnd w:id="6940"/>
    </w:p>
    <w:p>
      <w:bookmarkStart w:id="6941" w:name="Cuny__C__C_____Jorion__P___1995"/>
      <w:pPr>
        <w:pStyle w:val="Para 08"/>
      </w:pPr>
      <w:r>
        <w:t>Cuny, C. C., &amp; Jorion, P. (1995). Valuing executive stock options with endogenous departure. Journal of Accounting and Economics, 20, 193–205.</w:t>
      </w:r>
      <w:bookmarkEnd w:id="6941"/>
    </w:p>
    <w:p>
      <w:bookmarkStart w:id="6942" w:name="Damodaran__A___1989___The_weeken"/>
      <w:pPr>
        <w:pStyle w:val="Para 08"/>
      </w:pPr>
      <w:r>
        <w:t>Damodaran, A. (1989). Hiệu ứng cuối tuần trong các công bố thông tin: một nghiên cứu về các thông báo thu nhập và cổ tức. Review of Financial Studies, 2, 607–623.</w:t>
      </w:r>
      <w:bookmarkEnd w:id="6942"/>
    </w:p>
    <w:p>
      <w:bookmarkStart w:id="6943" w:name="Damodaran__A___1994___Damodaran"/>
      <w:pPr>
        <w:pStyle w:val="Para 08"/>
      </w:pPr>
      <w:r>
        <w:t>Damodaran, A. (1994). Damodaran bàn về Định giá. New York: John Wiley &amp; Sons.</w:t>
      </w:r>
      <w:bookmarkEnd w:id="6943"/>
    </w:p>
    <w:p>
      <w:bookmarkStart w:id="6944" w:name="Damodaran__A___1999___Dealing_wi"/>
      <w:pPr>
        <w:pStyle w:val="Para 56"/>
      </w:pPr>
      <w:r>
        <w:t>Damodaran, A. (1999). Xử lý tiền mặt, chứng khoán có thể bán được và các khoản sở hữu chéo. www.stern.nyu.edu/&amp;adamodar/New_Home_Page/papers.html.</w:t>
      </w:r>
      <w:bookmarkEnd w:id="6944"/>
    </w:p>
    <w:p>
      <w:bookmarkStart w:id="6945" w:name="Damodaran__A___1999___Estimating"/>
      <w:pPr>
        <w:pStyle w:val="Para 58"/>
      </w:pPr>
      <w:r>
        <w:t>Damodaran, A. (1999). Ước tính phần bù rủi ro vốn cổ phần. www.stern.nyu.edu/&amp;adamodar/New_Home_Page/papers.html.</w:t>
      </w:r>
      <w:bookmarkEnd w:id="6945"/>
    </w:p>
    <w:p>
      <w:bookmarkStart w:id="6946" w:name="Damodaran__A___1999___The_treatm"/>
      <w:pPr>
        <w:pStyle w:val="Para 58"/>
      </w:pPr>
      <w:r>
        <w:t>Damodaran, A. (1999). Cách xử lý hợp đồng thuê hoạt động. www.stern.nyu.edu/&amp;adamodar/New_Home_Page/papers.html.</w:t>
      </w:r>
      <w:bookmarkEnd w:id="6946"/>
    </w:p>
    <w:p>
      <w:bookmarkStart w:id="6947" w:name="Damodaran__A___1999___The_treatm_1"/>
      <w:pPr>
        <w:pStyle w:val="Para 58"/>
      </w:pPr>
      <w:r>
        <w:t>Damodaran, A. (1999). Cách xử lý chi phí R&amp;D. www.stern.nyu.edu/&amp;adamodar/New_Home_Page/papers.html.</w:t>
      </w:r>
      <w:bookmarkEnd w:id="6947"/>
    </w:p>
    <w:p>
      <w:bookmarkStart w:id="6948" w:name="Damodaran__A___1999___Value_enha"/>
      <w:pPr>
        <w:pStyle w:val="Para 08"/>
      </w:pPr>
      <w:r>
        <w:t>Damodaran, A. (1999). Nâng cao giá trị: Trở về tương lai. Contemporary Finance Digest, 3, 2–47.</w:t>
      </w:r>
      <w:bookmarkEnd w:id="6948"/>
    </w:p>
    <w:p>
      <w:bookmarkStart w:id="6949" w:name="Damodaran__A___2001___Choosing_t"/>
      <w:pPr>
        <w:pStyle w:val="Para 58"/>
      </w:pPr>
      <w:r>
        <w:t>Damodaran, A. (2001). Chọn mô hình định giá phù hợp. www.stern.nyu.edu/adamodar/New Home Page/papers.html.</w:t>
      </w:r>
      <w:bookmarkEnd w:id="6949"/>
    </w:p>
    <w:p>
      <w:bookmarkStart w:id="6950" w:name="Damodaran__A___2001___Corporate"/>
      <w:pPr>
        <w:pStyle w:val="Para 08"/>
      </w:pPr>
      <w:r>
        <w:t>Damodaran, A. (2001). Tài chính doanh nghiệp: Lý thuyết và Thực hành, Ấn bản thứ hai. New York: John Wiley &amp; Sons.</w:t>
      </w:r>
      <w:bookmarkEnd w:id="6950"/>
    </w:p>
    <w:p>
      <w:bookmarkStart w:id="6951" w:name="Damodaran__A___2001___Dealing_wi"/>
      <w:pPr>
        <w:pStyle w:val="Para 58"/>
      </w:pPr>
      <w:r>
        <w:t>Damodaran, A. (2001). Xử lý thu nhập âm. www.stern.nyu.edu/&amp;adamodar/New_Home_Page/papers.html.</w:t>
      </w:r>
      <w:bookmarkEnd w:id="6951"/>
    </w:p>
    <w:p>
      <w:bookmarkStart w:id="6952" w:name="Damodaran__A___2001___It_s_all_r"/>
      <w:pPr>
        <w:pStyle w:val="Para 56"/>
      </w:pPr>
      <w:r>
        <w:t>Damodaran, A. (2001). Tất cả đều tương đối: Những nguyên tắc đầu tiên của định giá tương đối. www.stern.nyu.edu/&amp;adamodar/New_Home_Page/papers.html.</w:t>
      </w:r>
      <w:bookmarkEnd w:id="6952"/>
    </w:p>
    <w:p>
      <w:bookmarkStart w:id="6954" w:name="Damodaran__A___2001___The_Dark_S"/>
      <w:pPr>
        <w:pStyle w:val="Para 08"/>
      </w:pPr>
      <w:r>
        <w:t>Damodaran, A. (2001). Mặt tối của Định giá. Upper Saddle River, NJ: Prentice Hall.</w:t>
      </w:r>
      <w:bookmarkEnd w:id="6954"/>
    </w:p>
    <w:p>
      <w:bookmarkStart w:id="6955" w:name="Damodaran__A___2017___Narrative"/>
      <w:pPr>
        <w:pStyle w:val="Para 08"/>
      </w:pPr>
      <w:r>
        <w:t>Damodaran, A. (2017). Tường thuật và Con số. Hoboken, NJ: John Wiley &amp; Sons</w:t>
      </w:r>
      <w:bookmarkEnd w:id="6955"/>
    </w:p>
    <w:p>
      <w:bookmarkStart w:id="6956" w:name="Dann__L__Y_____DeAngelo__H___198"/>
      <w:pPr>
        <w:pStyle w:val="Para 08"/>
      </w:pPr>
      <w:r>
        <w:t>Dann, L. Y., &amp; DeAngelo, H. (1983). Các thỏa thuận đình chỉ, mua lại cổ phần thương lượng riêng tư, và thị trường kiểm soát doanh nghiệp. Journal of Financial Economics, 11, 275–300.</w:t>
      </w:r>
      <w:bookmarkEnd w:id="6956"/>
    </w:p>
    <w:p>
      <w:bookmarkStart w:id="6957" w:name="Dann__L__Y_____DeAngelo__H___198_1"/>
      <w:pPr>
        <w:pStyle w:val="Para 08"/>
      </w:pPr>
      <w:r>
        <w:t>Dann, L. Y., &amp; DeAngelo, H. (1988). Chính sách tài chính doanh nghiệp và kiểm soát doanh nghiệp: Một nghiên cứu về các điều chỉnh phòng thủ trong cơ cấu tài sản và quyền sở hữu. Journal of Financial Economics, 20, 87–128.</w:t>
      </w:r>
      <w:bookmarkEnd w:id="6957"/>
    </w:p>
    <w:p>
      <w:bookmarkStart w:id="6958" w:name="Davis__D_____Lee__K___1997___A_p"/>
      <w:pPr>
        <w:pStyle w:val="Para 08"/>
      </w:pPr>
      <w:r>
        <w:t>Davis, D., &amp; Lee, K. (1997). Một cách tiếp cận thực tiễn đối với cơ cấu vốn cho các ngân hàng. Journal of Applied Corporate Finance, 10(1), 33–43.</w:t>
      </w:r>
      <w:bookmarkEnd w:id="6958"/>
    </w:p>
    <w:p>
      <w:bookmarkStart w:id="6959" w:name="DeAngelo__H_____Rice__E__M___198"/>
      <w:pPr>
        <w:pStyle w:val="Para 08"/>
      </w:pPr>
      <w:r>
        <w:t>DeAngelo, H., &amp; Rice, E. M. (1983). Các sửa đổi điều lệ chống thâu tóm và tài sản của cổ đông. Journal of Financial Economics, 11, 329–360.</w:t>
      </w:r>
      <w:bookmarkEnd w:id="6959"/>
    </w:p>
    <w:p>
      <w:bookmarkStart w:id="6960" w:name="DeAngelo__H___DeAngelo__L_____Ri"/>
      <w:pPr>
        <w:pStyle w:val="Para 08"/>
      </w:pPr>
      <w:r>
        <w:t>DeAngelo, H., DeAngelo, L., &amp; Rice, E. M. (1984). Chuyển sang tư nhân: Những tác động của việc thay đổi cơ cấu sở hữu doanh nghiệp. Midland Corporate Finance Journal, 2, 35–43.</w:t>
      </w:r>
      <w:bookmarkEnd w:id="6960"/>
    </w:p>
    <w:p>
      <w:bookmarkStart w:id="6961" w:name="DeBondt__W__F__M_____Thaler__R"/>
      <w:pPr>
        <w:pStyle w:val="Para 08"/>
      </w:pPr>
      <w:r>
        <w:t>DeBondt, W. F. M., &amp; Thaler, R. (1985). Liệu thị trường chứng khoán có phản ứng thái quá? Journal of Finance, 40, 793–805.</w:t>
      </w:r>
      <w:bookmarkEnd w:id="6961"/>
    </w:p>
    <w:p>
      <w:bookmarkStart w:id="6962" w:name="DeBondt__W__F__M_____Thaler__R_1"/>
      <w:pPr>
        <w:pStyle w:val="Para 08"/>
      </w:pPr>
      <w:r>
        <w:t>DeBondt, W. F. M., &amp; Thaler, R. (1987). Thêm bằng chứng về phản ứng thái quá của nhà đầu tư và tính thời vụ của thị trường chứng khoán. Journal of Finance, 42, 557–581.</w:t>
      </w:r>
      <w:bookmarkEnd w:id="6962"/>
    </w:p>
    <w:p>
      <w:bookmarkStart w:id="6963" w:name="Deng__Z_____Lev__B___1998___The"/>
      <w:pPr>
        <w:pStyle w:val="Para 08"/>
      </w:pPr>
      <w:r>
        <w:t>Deng, Z., &amp; Lev, B. (1998). Định giá R&amp;D được mua lại. [Bài nghiên cứu]. Đại học New York.</w:t>
      </w:r>
      <w:bookmarkEnd w:id="6963"/>
    </w:p>
    <w:p>
      <w:bookmarkStart w:id="6964" w:name="Denis__D__J_____Denis__D__K___19"/>
      <w:pPr>
        <w:pStyle w:val="Para 08"/>
      </w:pPr>
      <w:r>
        <w:t>Denis, D. J., &amp; Denis, D. K. (1993). Tái cấu trúc đòn bẩy trong việc kiềm chế đầu tư quá mức của doanh nghiệp. Journal of Applied Corporate Finance, 6(1) 60–71.</w:t>
      </w:r>
      <w:bookmarkEnd w:id="6964"/>
    </w:p>
    <w:p>
      <w:bookmarkStart w:id="6965" w:name="Dimson__E___1979___Risk_measurem"/>
      <w:pPr>
        <w:pStyle w:val="Para 08"/>
      </w:pPr>
      <w:r>
        <w:t>Dimson, E. (1979). Đo lường rủi ro khi cổ phiếu bị giao dịch không thường xuyên. Journal of Financial Economics, 7(2), 197–226.</w:t>
      </w:r>
      <w:bookmarkEnd w:id="6965"/>
    </w:p>
    <w:p>
      <w:bookmarkStart w:id="6966" w:name="Dimson__E_____Marsh__P__R___1984"/>
      <w:pPr>
        <w:pStyle w:val="Para 08"/>
      </w:pPr>
      <w:r>
        <w:t>Dimson, E., &amp; Marsh, P. R. (1984). Một phân tích về các dự báo chưa công bố của nhà môi giới và nhà phân tích về lợi nhuận cổ phiếu Vương quốc Anh. Journal of Finance, 39, 1257–1292.</w:t>
      </w:r>
      <w:bookmarkEnd w:id="6966"/>
    </w:p>
    <w:p>
      <w:bookmarkStart w:id="6967" w:name="Dimson__E_____Marsh__P__R___1986"/>
      <w:pPr>
        <w:pStyle w:val="Para 08"/>
      </w:pPr>
      <w:r>
        <w:t>Dimson, E., &amp; Marsh, P. R. (1986). Nghiên cứu sự kiện và hiệu ứng quy mô: Trường hợp các khuyến nghị báo chí của Vương quốc Anh. Journal of Financial Economics, 17, 113–142.</w:t>
      </w:r>
      <w:bookmarkEnd w:id="6967"/>
    </w:p>
    <w:p>
      <w:bookmarkStart w:id="6968" w:name="Dimson__E_____Marsh__P__R___2001"/>
      <w:pPr>
        <w:pStyle w:val="Para 08"/>
      </w:pPr>
      <w:r>
        <w:t>Dimson, E., &amp; Marsh, P. R. (2001). Định luật Murphy và các bất thường thị trường. Journal of Portfolio Management, 25, 53–69.</w:t>
      </w:r>
      <w:bookmarkEnd w:id="6968"/>
    </w:p>
    <w:p>
      <w:bookmarkStart w:id="6969" w:name="Dimson__E___Marsh__P_____Staunto"/>
      <w:pPr>
        <w:pStyle w:val="Para 08"/>
      </w:pPr>
      <w:r>
        <w:t>Dimson, E., Marsh, P., &amp; Staunton, M. (2010). Niên giám Lợi nhuận Đầu tư Toàn cầu của Credit Suisse 2010. Viện Nghiên cứu Credit Suisse.</w:t>
      </w:r>
      <w:bookmarkEnd w:id="6969"/>
    </w:p>
    <w:p>
      <w:bookmarkStart w:id="6970" w:name="Dubofsky__P_____Varadarajan__P"/>
      <w:pPr>
        <w:pStyle w:val="Para 08"/>
      </w:pPr>
      <w:r>
        <w:t>Dubofsky, P., &amp; Varadarajan, P. R. (1987). Đa dạng hóa và các thước đo hiệu quả hoạt động: Bằng chứng thực nghiệm bổ sung. Academy of Management Journal, 30, 597–608.</w:t>
      </w:r>
      <w:bookmarkEnd w:id="6970"/>
    </w:p>
    <w:p>
      <w:bookmarkStart w:id="6971" w:name="Ehrbar__A___1998___EVA__The_Real"/>
      <w:pPr>
        <w:pStyle w:val="Para 08"/>
      </w:pPr>
      <w:r>
        <w:t>Ehrbar, A. (1998). EVA: Chìa khóa Thực sự để Tạo ra của cải. New York: John Wiley &amp; Sons.</w:t>
      </w:r>
      <w:bookmarkEnd w:id="6971"/>
    </w:p>
    <w:p>
      <w:bookmarkStart w:id="6972" w:name="Elton__E___Gruber__M__J_____Mei"/>
      <w:pPr>
        <w:pStyle w:val="Para 08"/>
      </w:pPr>
      <w:r>
        <w:t>Elton, E., Gruber, M. J., &amp; Mei, J. (1994). Chi phí vốn sử dụng lý thuyết định giá chênh lệch: Một nghiên cứu tình huống về chín công ty tiện ích ở New York. Financial Markets, Institutions and Instruments, 3, 46–73.</w:t>
      </w:r>
      <w:bookmarkEnd w:id="6972"/>
    </w:p>
    <w:p>
      <w:bookmarkStart w:id="6973" w:name="Elton__E__J_____Gruber__M__J___1"/>
      <w:pPr>
        <w:pStyle w:val="Para 08"/>
      </w:pPr>
      <w:r>
        <w:t>Elton, E. J., &amp; Gruber, M. J. (1995). Lý thuyết danh mục đầu tư hiện đại và quản lý đầu tư. New York: John Wiley &amp; Sons.</w:t>
      </w:r>
      <w:bookmarkEnd w:id="6973"/>
    </w:p>
    <w:p>
      <w:bookmarkStart w:id="6974" w:name="Estep__T___1985___A_new_method_f"/>
      <w:pPr>
        <w:pStyle w:val="Para 08"/>
      </w:pPr>
      <w:r>
        <w:t>Estep, T. (1985). Một phương pháp mới để định giá cổ phiếu phổ thông. Financial Analysts Journal, 41, 26, 27, 30–33.</w:t>
      </w:r>
      <w:bookmarkEnd w:id="6974"/>
    </w:p>
    <w:p>
      <w:bookmarkStart w:id="6975" w:name="Estep__T___1987___Security_analy"/>
      <w:pPr>
        <w:pStyle w:val="Para 08"/>
      </w:pPr>
      <w:r>
        <w:t>Estep, T. (1987). Phân tích chứng khoán và lựa chọn cổ phiếu: Biến thông tin tài chính thành dự báo lợi nhuận. Financial Analysts Journal, 43, 34–43.</w:t>
      </w:r>
      <w:bookmarkEnd w:id="6975"/>
    </w:p>
    <w:p>
      <w:bookmarkStart w:id="6976" w:name="Fama__E__F___1965___The_behavior"/>
      <w:pPr>
        <w:pStyle w:val="Para 08"/>
      </w:pPr>
      <w:r>
        <w:t>Fama, E. F. (1965). Hành vi của giá cổ phiếu trên thị trường chứng khoán. Journal of Business, 38, 34–105.</w:t>
      </w:r>
      <w:bookmarkEnd w:id="6976"/>
    </w:p>
    <w:p>
      <w:bookmarkStart w:id="6977" w:name="Fama__E__F___1970___Efficient_ca"/>
      <w:pPr>
        <w:pStyle w:val="Para 08"/>
      </w:pPr>
      <w:r>
        <w:t>Fama, E. F. (1970). Thị trường vốn hiệu quả: Tổng quan về lý thuyết và nghiên cứu thực nghiệm. Journal of Finance, 25, 383–417.</w:t>
      </w:r>
      <w:bookmarkEnd w:id="6977"/>
    </w:p>
    <w:p>
      <w:bookmarkStart w:id="6978" w:name="Fama__E__F_____Blume__M___1966"/>
      <w:pPr>
        <w:pStyle w:val="Para 08"/>
      </w:pPr>
      <w:r>
        <w:t>Fama, E. F., &amp; Blume, M. (1966). Các quy tắc lọc và lợi nhuận giao dịch trên thị trường chứng khoán. Journal of Business, 39, 226–241.</w:t>
      </w:r>
      <w:bookmarkEnd w:id="6978"/>
    </w:p>
    <w:p>
      <w:bookmarkStart w:id="6979" w:name="Fama__E__F_____French__K__R___19"/>
      <w:pPr>
        <w:pStyle w:val="Para 08"/>
      </w:pPr>
      <w:r>
        <w:t>Fama, E. F., &amp; French, K. R. (1988). Các thành phần vĩnh viễn và tạm thời của giá cổ phiếu. Journal of Political Economy, 96, 246–273.</w:t>
      </w:r>
      <w:bookmarkEnd w:id="6979"/>
    </w:p>
    <w:p>
      <w:bookmarkStart w:id="6980" w:name="Fama__E__F_____French__K__R___19_1"/>
      <w:pPr>
        <w:pStyle w:val="Para 08"/>
      </w:pPr>
      <w:r>
        <w:t>Fama, E. F., &amp; French, K. R. (1992). Mặt cắt ngang của lợi nhuận kỳ vọng. Journal of Finance, 47, 427–466.</w:t>
      </w:r>
      <w:bookmarkEnd w:id="6980"/>
    </w:p>
    <w:p>
      <w:bookmarkStart w:id="6981" w:name="Fama__E__F_____French__K__R___20"/>
      <w:pPr>
        <w:pStyle w:val="Para 08"/>
      </w:pPr>
      <w:r>
        <w:t>Fama, E. F., &amp; French, K. R. (2010). May mắn và Kỹ năng trong mặt cắt ngang lợi nhuận của quỹ tương hỗ. The Journal of Finance, 65, 1915–1947.</w:t>
      </w:r>
      <w:bookmarkEnd w:id="6981"/>
    </w:p>
    <w:p>
      <w:bookmarkStart w:id="6983" w:name="Fama__E__F_____Schwert__G__W___1"/>
      <w:pPr>
        <w:pStyle w:val="Para 08"/>
      </w:pPr>
      <w:r>
        <w:t>Fama, E. F., &amp; Schwert, G. W. (1977). Lợi nhuận tài sản và lạm phát. Journal of Financial Economics, 5, 115–146.</w:t>
      </w:r>
      <w:bookmarkEnd w:id="6983"/>
    </w:p>
    <w:p>
      <w:bookmarkStart w:id="6984" w:name="Fang__H_____Lai__T__Y___1997___C"/>
      <w:pPr>
        <w:pStyle w:val="Para 08"/>
      </w:pPr>
      <w:r>
        <w:t>Fang, H., &amp; Lai, T.-Y. (1997). Đồng độ nhọn và định giá tài sản vốn. Financial Review, 32, 293–307.</w:t>
      </w:r>
      <w:bookmarkEnd w:id="6984"/>
    </w:p>
    <w:p>
      <w:bookmarkStart w:id="6985" w:name="Foster__G___1977___Quarterly_acc"/>
      <w:pPr>
        <w:pStyle w:val="Para 08"/>
      </w:pPr>
      <w:r>
        <w:t>Foster, G. (1977). Dữ liệu kế toán hàng quý: Các đặc tính chuỗi thời gian và kết quả về khả năng dự báo. Accounting Review, 52, 1–31.</w:t>
      </w:r>
      <w:bookmarkEnd w:id="6985"/>
    </w:p>
    <w:p>
      <w:bookmarkStart w:id="6986" w:name="Fried__D_____Givoly__D___1982"/>
      <w:pPr>
        <w:pStyle w:val="Para 08"/>
      </w:pPr>
      <w:r>
        <w:t>Fried, D., &amp; Givoly, D. (1982). Dự báo thu nhập của các nhà phân tích tài chính: Một đại diện tốt hơn cho kỳ vọng thu nhập. Journal of Accounting and Economics, 4, 85–107.</w:t>
      </w:r>
      <w:bookmarkEnd w:id="6986"/>
    </w:p>
    <w:p>
      <w:bookmarkStart w:id="6987" w:name="Fruhan__W__E___1979___Financial"/>
      <w:pPr>
        <w:pStyle w:val="Para 56"/>
      </w:pPr>
      <w:r>
        <w:t>Fruhan, W. E. (1979). Chiến lược tài chính: Các nghiên cứu về việc tạo ra, chuyển giao và phá hủy giá trị cổ đông. Homewood, IL: Irwin.</w:t>
      </w:r>
      <w:bookmarkEnd w:id="6987"/>
    </w:p>
    <w:p>
      <w:bookmarkStart w:id="6988" w:name="Fruhan__W__E___Kester__W__C___Ma"/>
      <w:pPr>
        <w:pStyle w:val="Para 08"/>
      </w:pPr>
      <w:r>
        <w:t>Fruhan, W. E., Kester, W. C., Mason, S. P., et al. (1992). Congoleum: Các bài toán tình huống trong tài chính. Homestead, IL: Irwin.</w:t>
      </w:r>
      <w:bookmarkEnd w:id="6988"/>
    </w:p>
    <w:p>
      <w:bookmarkStart w:id="6989" w:name="Fuller__R__J_____Hsia__C___1984"/>
      <w:pPr>
        <w:pStyle w:val="Para 08"/>
      </w:pPr>
      <w:r>
        <w:t>Fuller, R. J., &amp; Hsia, C. (1984). Một mô hình định giá cổ phiếu phổ thông đơn giản hóa. Financial Analysts Journal, 40, 49–56.</w:t>
      </w:r>
      <w:bookmarkEnd w:id="6989"/>
    </w:p>
    <w:p>
      <w:bookmarkStart w:id="6990" w:name="Fuller__R__J___Huberts__L__C"/>
      <w:pPr>
        <w:pStyle w:val="Para 08"/>
      </w:pPr>
      <w:r>
        <w:t>Fuller, R. J., Huberts, L. C., &amp; Levinson M. (1992). Đâu phải tăng trưởng lộn xộn! Journal of Portfolio Management, 18, 38–46.</w:t>
      </w:r>
      <w:bookmarkEnd w:id="6990"/>
    </w:p>
    <w:p>
      <w:bookmarkStart w:id="6991" w:name="Gabaix__X___Gopikrishnan__P___Pl"/>
      <w:pPr>
        <w:pStyle w:val="Para 08"/>
      </w:pPr>
      <w:r>
        <w:t>Gabaix, X., Gopikrishnan, P., Plerou, V. et al. (2003). Một lý thuyết về phân phối luật lũy thừa trong biến động thị trường tài chính. Nature, 423, 267–270.</w:t>
      </w:r>
      <w:bookmarkEnd w:id="6991"/>
    </w:p>
    <w:p>
      <w:bookmarkStart w:id="6992" w:name="Gaughan__P__A___1999___Mergers"/>
      <w:pPr>
        <w:pStyle w:val="Para 08"/>
      </w:pPr>
      <w:r>
        <w:t>Gaughan, P. A. (1999). Sáp nhập, mua lại và tái cấu trúc doanh nghiệp. New York: John Wiley &amp; Sons.</w:t>
      </w:r>
      <w:bookmarkEnd w:id="6992"/>
    </w:p>
    <w:p>
      <w:bookmarkStart w:id="6993" w:name="Geske__R___1979___The_valuation"/>
      <w:pPr>
        <w:pStyle w:val="Para 08"/>
      </w:pPr>
      <w:r>
        <w:t>Geske, R. (1979). Định giá các quyền chọn phức hợp. Journal of Finance, 7, 63–82.</w:t>
      </w:r>
      <w:bookmarkEnd w:id="6993"/>
    </w:p>
    <w:p>
      <w:bookmarkStart w:id="6994" w:name="Gibbons__M__R_____Hess__P___1981"/>
      <w:pPr>
        <w:pStyle w:val="Para 08"/>
      </w:pPr>
      <w:r>
        <w:t>Gibbons, M. R., &amp; Hess, P. (1981). Ảnh hưởng của ngày trong tuần và lợi suất tài sản. Journal of Business, 54, 579–596.</w:t>
      </w:r>
      <w:bookmarkEnd w:id="6994"/>
    </w:p>
    <w:p>
      <w:bookmarkStart w:id="6995" w:name="Givoly__D_____Lakonishok__J___19"/>
      <w:pPr>
        <w:pStyle w:val="Para 08"/>
      </w:pPr>
      <w:r>
        <w:t>Givoly, D., &amp; Lakonishok, J. (1984). Chất lượng dự báo thu nhập của các chuyên gia phân tích. Financial Analysts Journal, 40, 40–47.</w:t>
      </w:r>
      <w:bookmarkEnd w:id="6995"/>
    </w:p>
    <w:p>
      <w:bookmarkStart w:id="6996" w:name="Godfrey__S_____Espinosa__R___199"/>
      <w:pPr>
        <w:pStyle w:val="Para 08"/>
      </w:pPr>
      <w:r>
        <w:t>Godfrey, S., &amp; Espinosa, R. (1996). Một cách tiếp cận thực tiễn để tính chi phí vốn cổ phần cho các khoản đầu tư vào thị trường mới nổi. Journal of Applied Corporate Finance, 9(3), 80–81.</w:t>
      </w:r>
      <w:bookmarkEnd w:id="6996"/>
    </w:p>
    <w:p>
      <w:bookmarkStart w:id="6997" w:name="Goodman__D__A_____Peavy_III__J"/>
      <w:pPr>
        <w:pStyle w:val="Para 08"/>
      </w:pPr>
      <w:r>
        <w:t>Goodman, D. A., &amp; Peavy III, J. W. (1983). Tỷ lệ giá trên thu nhập tương đối theo ngành như những chỉ báo về lợi suất đầu tư. Financial Analysts Journal, 39, 60–66.</w:t>
      </w:r>
      <w:bookmarkEnd w:id="6997"/>
    </w:p>
    <w:p>
      <w:bookmarkStart w:id="6998" w:name="Gordon__M___1962___The_Investmen"/>
      <w:pPr>
        <w:pStyle w:val="Para 56"/>
      </w:pPr>
      <w:r>
        <w:t>Gordon, M. (1962). Đầu tư, Tài trợ và Định giá Doanh nghiệp. Homewood, IL: Irwin.</w:t>
      </w:r>
      <w:bookmarkEnd w:id="6998"/>
    </w:p>
    <w:p>
      <w:bookmarkStart w:id="6999" w:name="Graham__B___2006___The_Intellige"/>
      <w:pPr>
        <w:pStyle w:val="Para 56"/>
      </w:pPr>
      <w:r>
        <w:t>Graham, B. (2006). Nhà đầu tư thông minh: Cuốn sách kinh điển về đầu tư giá trị. HarperBusiness.</w:t>
      </w:r>
      <w:bookmarkEnd w:id="6999"/>
    </w:p>
    <w:p>
      <w:bookmarkStart w:id="7000" w:name="Graham__B___Dodd__D__L_____Cottl"/>
      <w:pPr>
        <w:pStyle w:val="Para 08"/>
      </w:pPr>
      <w:r>
        <w:t>Graham, B., Dodd, D. L., &amp; Cottle, S. (1962). Phân tích Chứng khoán, Ấn bản thứ tư. New York: McGraw-Hill.</w:t>
      </w:r>
      <w:bookmarkEnd w:id="7000"/>
    </w:p>
    <w:p>
      <w:bookmarkStart w:id="7001" w:name="Graham__J___1996___Debt_and_the"/>
      <w:pPr>
        <w:pStyle w:val="Para 08"/>
      </w:pPr>
      <w:r>
        <w:t>Graham, J. (1996). Nợ và thuế suất biên. Journal of Financial Economics, 41, 41–73.</w:t>
      </w:r>
      <w:bookmarkEnd w:id="7001"/>
    </w:p>
    <w:p>
      <w:bookmarkStart w:id="7002" w:name="Graham__J__R___1996___Proxies_fo"/>
      <w:pPr>
        <w:pStyle w:val="Para 08"/>
      </w:pPr>
      <w:r>
        <w:t>Graham, J. R. (1996). Các biến đại diện cho thuế suất biên của doanh nghiệp. Journal of Financial Economics, 42(2), 187–221.</w:t>
      </w:r>
      <w:bookmarkEnd w:id="7002"/>
    </w:p>
    <w:p>
      <w:bookmarkStart w:id="7003" w:name="Graham__J__R___2000___How_big_ar"/>
      <w:pPr>
        <w:pStyle w:val="Para 08"/>
      </w:pPr>
      <w:r>
        <w:t>Graham, J. R. (2000). Lợi ích thuế từ nợ lớn đến mức nào? Journal of Finance, 55(5), 1901–1941.</w:t>
      </w:r>
      <w:bookmarkEnd w:id="7003"/>
    </w:p>
    <w:p>
      <w:bookmarkStart w:id="7004" w:name="Grant__R__M___1998___Contemporar"/>
      <w:pPr>
        <w:pStyle w:val="Para 08"/>
      </w:pPr>
      <w:r>
        <w:t>Grant, R. M. (1998). Phân tích Chiến lược Đương đại. Malden, MA: Blackwell.</w:t>
      </w:r>
      <w:bookmarkEnd w:id="7004"/>
    </w:p>
    <w:p>
      <w:bookmarkStart w:id="7005" w:name="Griffin__P__A___1977___The_time"/>
      <w:pPr>
        <w:pStyle w:val="Para 08"/>
      </w:pPr>
      <w:r>
        <w:t>Griffin, P. A. (1977). Hành vi chuỗi thời gian của thu nhập theo quý. Journal of Accounting Research, 15, (Mùa xuân), 71–83.</w:t>
      </w:r>
      <w:bookmarkEnd w:id="7005"/>
    </w:p>
    <w:p>
      <w:bookmarkStart w:id="7006" w:name="Gultekin__M__N_____Gultekin__B"/>
      <w:pPr>
        <w:pStyle w:val="Para 08"/>
      </w:pPr>
      <w:r>
        <w:t>Gultekin, M. N., &amp; Gultekin, B. N. (1983). Tính thời vụ của thị trường chứng khoán: Bằng chứng quốc tế. Journal of Financial Economics, 12, 469–481.</w:t>
      </w:r>
      <w:bookmarkEnd w:id="7006"/>
    </w:p>
    <w:p>
      <w:bookmarkStart w:id="7007" w:name="Hamada__R__S___1972___The_effect"/>
      <w:pPr>
        <w:pStyle w:val="Para 08"/>
      </w:pPr>
      <w:r>
        <w:t>Hamada, R. S. (1972). Ảnh hưởng của cấu trúc vốn doanh nghiệp lên rủi ro hệ thống của cổ phiếu phổ thông. Journal of Finance, 27, 435–452.</w:t>
      </w:r>
      <w:bookmarkEnd w:id="7007"/>
    </w:p>
    <w:p>
      <w:bookmarkStart w:id="7008" w:name="Haugen__R___1997___Modern_Invest"/>
      <w:pPr>
        <w:pStyle w:val="Para 08"/>
      </w:pPr>
      <w:r>
        <w:t>Haugen, R. (1997). Lý thuyết Đầu tư Hiện đại. Upper Saddle River, NJ: Prentice Hall.</w:t>
      </w:r>
      <w:bookmarkEnd w:id="7008"/>
    </w:p>
    <w:p>
      <w:bookmarkStart w:id="7009" w:name="Haugen__R__A___1990___Modern_Inv"/>
      <w:pPr>
        <w:pStyle w:val="Para 08"/>
      </w:pPr>
      <w:r>
        <w:t>Haugen, R. A. (1990). Lý thuyết Đầu tư Hiện đại. Englewood Cliffs, NJ: Prentice Hall.</w:t>
      </w:r>
      <w:bookmarkEnd w:id="7009"/>
    </w:p>
    <w:p>
      <w:bookmarkStart w:id="7010" w:name="Haugen__R__A_____Lakonishok__J"/>
      <w:pPr>
        <w:pStyle w:val="Para 08"/>
      </w:pPr>
      <w:r>
        <w:t>Haugen, R. A., &amp; Lakonishok, J. (1988). Hiệu ứng Tháng Một Đáng kinh ngạc. Homewood, IL: Dow Jones–Irwin.</w:t>
      </w:r>
      <w:bookmarkEnd w:id="7010"/>
    </w:p>
    <w:p>
      <w:bookmarkStart w:id="7011" w:name="Hawkins__E__H___Chamberlin__S__C"/>
      <w:pPr>
        <w:pStyle w:val="Para 08"/>
      </w:pPr>
      <w:r>
        <w:t>Hawkins, E. H., Chamberlin, S. C., &amp; Daniel W. E. (1984). Kỳ vọng thu nhập và giá chứng khoán. Financial Analysts Journal, 40, 24–27, 30–38, 74.</w:t>
      </w:r>
      <w:bookmarkEnd w:id="7011"/>
    </w:p>
    <w:p>
      <w:bookmarkStart w:id="7013" w:name="Healy__P__M___Palepu__K__G_____R"/>
      <w:pPr>
        <w:pStyle w:val="Para 08"/>
      </w:pPr>
      <w:r>
        <w:t>Healy, P. M., Palepu, K. G., &amp; Ruback, R. S. (1992). Hiệu quả hoạt động doanh nghiệp có cải thiện sau các thương vụ sáp nhập không? Journal of Financial Economics, 31, 135–176.</w:t>
      </w:r>
      <w:bookmarkEnd w:id="7013"/>
    </w:p>
    <w:p>
      <w:bookmarkStart w:id="7014" w:name="Hertz__D___1964___Risk_analysis"/>
      <w:pPr>
        <w:pStyle w:val="Para 08"/>
      </w:pPr>
      <w:r>
        <w:t>Hertz, D. (1964). Phân tích rủi ro trong đầu tư vốn. Harvard Business Review.</w:t>
      </w:r>
      <w:bookmarkEnd w:id="7014"/>
    </w:p>
    <w:p>
      <w:bookmarkStart w:id="7015" w:name="Hong__H___Kaplan__R__S_____Mande"/>
      <w:pPr>
        <w:pStyle w:val="Para 08"/>
      </w:pPr>
      <w:r>
        <w:t>Hong, H., Kaplan, R. S., &amp; Mandelkar, G. (1978). Hợp nhất vs. mua lại: Ảnh hưởng của kế toán sáp nhập lên giá cổ phiếu. Accounting Review, 53(1), 31–47.</w:t>
      </w:r>
      <w:bookmarkEnd w:id="7015"/>
    </w:p>
    <w:p>
      <w:bookmarkStart w:id="7016" w:name="Hooke__J__C___2001___Security_An"/>
      <w:pPr>
        <w:pStyle w:val="Para 08"/>
      </w:pPr>
      <w:r>
        <w:t>Hooke, J. C. (2001). Phân tích Chứng khoán trên Phố Wall. New York: John Wiley &amp; Sons.</w:t>
      </w:r>
      <w:bookmarkEnd w:id="7016"/>
    </w:p>
    <w:p>
      <w:bookmarkStart w:id="7017" w:name="Hull__J__C___1995___Introduction"/>
      <w:pPr>
        <w:pStyle w:val="Para 08"/>
      </w:pPr>
      <w:r>
        <w:t>Hull, J. C. (1995). Giới thiệu về Thị trường Hợp đồng Tương lai và Quyền chọn. Upper Saddle River, NJ: Prentice Hall.</w:t>
      </w:r>
      <w:bookmarkEnd w:id="7017"/>
    </w:p>
    <w:p>
      <w:bookmarkStart w:id="7018" w:name="Hull__J__C___1999___Options__Fut"/>
      <w:pPr>
        <w:pStyle w:val="Para 08"/>
      </w:pPr>
      <w:r>
        <w:t>Hull, J. C. (1999). Quyền chọn, Hợp đồng Tương lai và các Công cụ Phái sinh khác. Upper Saddle River, NJ: Prentice Hall.</w:t>
      </w:r>
      <w:bookmarkEnd w:id="7018"/>
    </w:p>
    <w:p>
      <w:bookmarkStart w:id="7019" w:name="Ibbotson__R__G_____Brinson__G__P"/>
      <w:pPr>
        <w:pStyle w:val="Para 08"/>
      </w:pPr>
      <w:r>
        <w:t>Ibbotson, R. G., &amp; Brinson, G. P. (1993). Đầu tư Toàn cầu. New York: McGraw-Hill.</w:t>
      </w:r>
      <w:bookmarkEnd w:id="7019"/>
    </w:p>
    <w:p>
      <w:bookmarkStart w:id="7020" w:name="Ibbotson__R__G_____Brinson__G__P_1"/>
      <w:pPr>
        <w:pStyle w:val="Para 08"/>
      </w:pPr>
      <w:r>
        <w:t>Ibbotson, R. G., &amp; Brinson, G. P. (1996). Đầu tư toàn cầu. New York: McGraw-Hill.</w:t>
      </w:r>
      <w:bookmarkEnd w:id="7020"/>
    </w:p>
    <w:p>
      <w:bookmarkStart w:id="7021" w:name="Indro__D__C_____Lee__W__Y___1997"/>
      <w:pPr>
        <w:pStyle w:val="Para 08"/>
      </w:pPr>
      <w:r>
        <w:t>Indro, D. C., &amp; Lee, W. Y. (1997). Những sai lệch trong trung bình số học và trung bình hình học khi ước tính lợi nhuận kỳ vọng dài hạn và phần bù rủi ro. Quản trị Tài chính, 26, 81–90.</w:t>
      </w:r>
      <w:bookmarkEnd w:id="7021"/>
    </w:p>
    <w:p>
      <w:bookmarkStart w:id="7022" w:name="Inselbag__I_____Kaufold__H___199"/>
      <w:pPr>
        <w:pStyle w:val="Para 08"/>
      </w:pPr>
      <w:r>
        <w:t>Inselbag, I., &amp; Kaufold, H. (1997). Hai phương pháp DCF và định giá doanh nghiệp theo các chiến lược tài trợ khác nhau. Tạp chí Tài chính Doanh nghiệp Ứng dụng, 10(1), 115–122.</w:t>
      </w:r>
      <w:bookmarkEnd w:id="7022"/>
    </w:p>
    <w:p>
      <w:bookmarkStart w:id="7023" w:name="Itami__H___1987___Mobilizing_Inv"/>
      <w:pPr>
        <w:pStyle w:val="Para 08"/>
      </w:pPr>
      <w:r>
        <w:t>Itami, H. (1987). Huy động các tài sản vô hình. Cambridge, MA: Nhà xuất bản Đại học Harvard.</w:t>
      </w:r>
      <w:bookmarkEnd w:id="7023"/>
    </w:p>
    <w:p>
      <w:bookmarkStart w:id="7024" w:name="Jacobs__B__I_____Levy__K__N___19"/>
      <w:pPr>
        <w:pStyle w:val="Para 08"/>
      </w:pPr>
      <w:r>
        <w:t>Jacobs, B. I., &amp; Levy, K. N. (1988). Gỡ rối những bất thường trong lợi nhuận cổ phiếu: Những hiểu biết mới và cơ hội đầu tư. Tạp chí Nhà phân tích Tài chính, 44, 18–44.</w:t>
      </w:r>
      <w:bookmarkEnd w:id="7024"/>
    </w:p>
    <w:p>
      <w:bookmarkStart w:id="7025" w:name="Jacobs__B__I_____Levy__K__N___19_1"/>
      <w:pPr>
        <w:pStyle w:val="Para 08"/>
      </w:pPr>
      <w:r>
        <w:t>Jacobs, B. I., &amp; Levy, K. N. (1988). Về giá trị của “giá trị”. Tạp chí Nhà phân tích Tài chính, 44, 47–62.</w:t>
      </w:r>
      <w:bookmarkEnd w:id="7025"/>
    </w:p>
    <w:p>
      <w:bookmarkStart w:id="7026" w:name="Jacobs__B__I_____Levy__K__N___19_2"/>
      <w:pPr>
        <w:pStyle w:val="Para 08"/>
      </w:pPr>
      <w:r>
        <w:t>Jacobs, B. I., &amp; Levy, K. N. (1988a). Gỡ rối những bất thường trong lợi nhuận cổ phiếu: Những hiểu biết mới và cơ hội đầu tư. Tạp chí Nhà phân tích Tài chính, 44, 18–44.</w:t>
      </w:r>
      <w:bookmarkEnd w:id="7026"/>
    </w:p>
    <w:p>
      <w:bookmarkStart w:id="7027" w:name="Jacobs__B__I_____Levy__K__N___19_3"/>
      <w:pPr>
        <w:pStyle w:val="Para 08"/>
      </w:pPr>
      <w:r>
        <w:t>Jacobs, B. I., &amp; Levy, K. N. (1988b). Về giá trị của “giá trị”. Tạp chí Nhà phân tích Tài chính, 44, 47–62.</w:t>
      </w:r>
      <w:bookmarkEnd w:id="7027"/>
    </w:p>
    <w:p>
      <w:bookmarkStart w:id="7028" w:name="Jaffe__J___1974___Special_inform"/>
      <w:pPr>
        <w:pStyle w:val="Para 08"/>
      </w:pPr>
      <w:r>
        <w:t>Jaffe, J. (1974). Thông tin đặc biệt và giao dịch nội gián. Tạp chí Kinh doanh, 47, 410–428.</w:t>
      </w:r>
      <w:bookmarkEnd w:id="7028"/>
    </w:p>
    <w:p>
      <w:bookmarkStart w:id="7029" w:name="Jarrell__G__A___Brickley__J__A"/>
      <w:pPr>
        <w:pStyle w:val="Para 08"/>
      </w:pPr>
      <w:r>
        <w:t>Jarrell, G. A., Brickley, J. A., &amp; Netter, J. M. (1988). Thị trường kiểm soát doanh nghiệp: Bằng chứng thực nghiệm từ năm 1980. Tạp chí Triển vọng Kinh tế, 2, 49–68.</w:t>
      </w:r>
      <w:bookmarkEnd w:id="7029"/>
    </w:p>
    <w:p>
      <w:bookmarkStart w:id="7030" w:name="Jarrow__R__A_____Rosenfeld__E__R"/>
      <w:pPr>
        <w:pStyle w:val="Para 08"/>
      </w:pPr>
      <w:r>
        <w:t>Jarrow, R. A., &amp; Rosenfeld, E. R. (1984). Rủi ro nhảy và mô hình định giá tài sản vốn liên thời gian. Tạp chí Kinh doanh, 57, 337–351.</w:t>
      </w:r>
      <w:bookmarkEnd w:id="7030"/>
    </w:p>
    <w:p>
      <w:bookmarkStart w:id="7031" w:name="Jegadeesh__N_____Titman__S___199"/>
      <w:pPr>
        <w:pStyle w:val="Para 08"/>
      </w:pPr>
      <w:r>
        <w:t>Jegadeesh, N., &amp; Titman, S. (1993). Lợi nhuận từ việc mua cổ phiếu thắng và bán cổ phiếu thua: Hàm ý cho hiệu quả thị trường chứng khoán. Tạp chí Tài chính, 48(1), 65–91.</w:t>
      </w:r>
      <w:bookmarkEnd w:id="7031"/>
    </w:p>
    <w:p>
      <w:bookmarkStart w:id="7032" w:name="Jegadeesh__N_____Titman__S___200"/>
      <w:pPr>
        <w:pStyle w:val="Para 08"/>
      </w:pPr>
      <w:r>
        <w:t>Jegadeesh, N., &amp; Titman, S. (2001). Khả năng sinh lời của các chiến lược động lượng: Đánh giá các giải thích thay thế. Tạp chí Tài chính, 56(2): 699–720.</w:t>
      </w:r>
      <w:bookmarkEnd w:id="7032"/>
    </w:p>
    <w:p>
      <w:bookmarkStart w:id="7033" w:name="Jennergren__L__P___1975___Filter"/>
      <w:pPr>
        <w:pStyle w:val="Para 08"/>
      </w:pPr>
      <w:r>
        <w:t>Jennergren, L. P. (1975). Kiểm định bộ lọc đối với giá cổ phiếu Thụy Điển. Trong: Thị trường Vốn Quốc tế (biên tập E. J. Elton &amp; M. J. Gruber), 55–67. New York: North-Holland.</w:t>
      </w:r>
      <w:bookmarkEnd w:id="7033"/>
    </w:p>
    <w:p>
      <w:bookmarkStart w:id="7034" w:name="Jennergren__L__P_____Korsvold__P"/>
      <w:pPr>
        <w:pStyle w:val="Para 08"/>
      </w:pPr>
      <w:r>
        <w:t>Jennergren, L. P., &amp; Korsvold, P. E. (1974). Hình thành giá trên thị trường chứng khoán Na Uy và Thụy Điển–Một số kiểm định bước ngẫu nhiên. Tạp chí Kinh tế Thụy Điển, 76, 171–185.</w:t>
      </w:r>
      <w:bookmarkEnd w:id="7034"/>
    </w:p>
    <w:p>
      <w:bookmarkStart w:id="7035" w:name="Jensen__M___1968___The_performan"/>
      <w:pPr>
        <w:pStyle w:val="Para 08"/>
      </w:pPr>
      <w:r>
        <w:t>Jensen, M. (1968). Hiệu quả hoạt động của các quỹ tương hỗ trong giai đoạn 1945–64. Tạp chí Tài chính, 2, 389–416.</w:t>
      </w:r>
      <w:bookmarkEnd w:id="7035"/>
    </w:p>
    <w:p>
      <w:bookmarkStart w:id="7036" w:name="Jensen__M_____Bennington__G__A"/>
      <w:pPr>
        <w:pStyle w:val="Para 08"/>
      </w:pPr>
      <w:r>
        <w:t>Jensen, M., &amp; Bennington, G. A. (1970). Bước ngẫu nhiên và các lý thuyết kỹ thuật, một số bằng chứng bổ sung. Tạp chí Tài chính, 25, 469–482.</w:t>
      </w:r>
      <w:bookmarkEnd w:id="7036"/>
    </w:p>
    <w:p>
      <w:bookmarkStart w:id="7037" w:name="Jensen__M__C___1969___Risk__the"/>
      <w:pPr>
        <w:pStyle w:val="Para 08"/>
      </w:pPr>
      <w:r>
        <w:t>Jensen, M. C. (1969). Rủi ro, định giá tài sản vốn và đánh giá danh mục đầu tư. Tạp chí Kinh doanh, 42, 167–247.</w:t>
      </w:r>
      <w:bookmarkEnd w:id="7037"/>
    </w:p>
    <w:p>
      <w:bookmarkStart w:id="7038" w:name="Jensen__M__C___1986___Agency_cos"/>
      <w:pPr>
        <w:pStyle w:val="Para 08"/>
      </w:pPr>
      <w:r>
        <w:t>Jensen, M. C. (1986). Chi phí đại diện của dòng tiền tự do, tài chính doanh nghiệp và thâu tóm. Tạp chí Kinh tế Hoa Kỳ, 76, 323–329.</w:t>
      </w:r>
      <w:bookmarkEnd w:id="7038"/>
    </w:p>
    <w:p>
      <w:bookmarkStart w:id="7039" w:name="Jensen__M__C___1986___Agency_cos_1"/>
      <w:pPr>
        <w:pStyle w:val="Para 08"/>
      </w:pPr>
      <w:r>
        <w:t>Jensen, M. C. (1986). Chi phí đại diện của dòng tiền tự do, tài chính doanh nghiệp và thâu tóm. Tạp chí Kinh tế Hoa Kỳ, 76, 323–329.</w:t>
      </w:r>
      <w:bookmarkEnd w:id="7039"/>
    </w:p>
    <w:p>
      <w:bookmarkStart w:id="7040" w:name="Jensen__M__C_____Ruback__R__S"/>
      <w:pPr>
        <w:pStyle w:val="Para 08"/>
      </w:pPr>
      <w:r>
        <w:t>Jensen, M. C., &amp; Ruback, R. S. (1983). Thị trường kiểm soát doanh nghiệp. Tạp chí Kinh tế Tài chính, 11, 5–50.</w:t>
      </w:r>
      <w:bookmarkEnd w:id="7040"/>
    </w:p>
    <w:p>
      <w:bookmarkStart w:id="7041" w:name="Kaplan__R__S_____Roll__R___1972"/>
      <w:pPr>
        <w:pStyle w:val="Para 08"/>
      </w:pPr>
      <w:r>
        <w:t>Kaplan, R. S., &amp; Roll, R. (1972). Đánh giá của nhà đầu tư đối với thông tin kế toán: Một số bằng chứng thực nghiệm. Tạp chí Kinh doanh, 45, 225–257.</w:t>
      </w:r>
      <w:bookmarkEnd w:id="7041"/>
    </w:p>
    <w:p>
      <w:bookmarkStart w:id="7042" w:name="Kaplan__S_____Weisbach__M__S___1"/>
      <w:pPr>
        <w:pStyle w:val="Para 08"/>
      </w:pPr>
      <w:r>
        <w:t>Kaplan, S., &amp; Weisbach, M. S. (1992). Sự thành công của các thương vụ mua lại: Bằng chứng từ việc thoái vốn. Tạp chí Tài chính, 47, 107–138.</w:t>
      </w:r>
      <w:bookmarkEnd w:id="7042"/>
    </w:p>
    <w:p>
      <w:bookmarkStart w:id="7044" w:name="Kaplan__S__N___1989___Campeau_s"/>
      <w:pPr>
        <w:pStyle w:val="Para 08"/>
      </w:pPr>
      <w:r>
        <w:t>Kaplan, S. N. (1989). Campeau mua lại federated: Phá hủy giá trị hay gia tăng giá trị? Tạp chí Kinh tế Tài chính, 25, 191–212.</w:t>
      </w:r>
      <w:bookmarkEnd w:id="7044"/>
    </w:p>
    <w:p>
      <w:bookmarkStart w:id="7045" w:name="Karpoff__J__M_____Malatesta__P"/>
      <w:pPr>
        <w:pStyle w:val="Para 08"/>
      </w:pPr>
      <w:r>
        <w:t>Karpoff, J. M., &amp; Malatesta, P. H. (1990). Tác động tài sản của luật thâu tóm cấp bang thế hệ thứ hai. Tạp chí Kinh tế Tài chính, 25, 291–322.</w:t>
      </w:r>
      <w:bookmarkEnd w:id="7045"/>
    </w:p>
    <w:p>
      <w:bookmarkStart w:id="7046" w:name="Keim__D___1983___Size_related_an"/>
      <w:pPr>
        <w:pStyle w:val="Para 08"/>
      </w:pPr>
      <w:r>
        <w:t>Keim, D. (1983). Các bất thường liên quan đến quy mô và tính thời vụ của lợi nhuận cổ phiếu: Thêm bằng chứng thực nghiệm. Journal of Financial Economics, 12, 13–32.</w:t>
      </w:r>
      <w:bookmarkEnd w:id="7046"/>
    </w:p>
    <w:p>
      <w:bookmarkStart w:id="7047" w:name="Kim__S__H___Crick__T_____Kim__S"/>
      <w:pPr>
        <w:pStyle w:val="Para 08"/>
      </w:pPr>
      <w:r>
        <w:t>Kim, S. H., Crick, T., &amp; Kim, S. H. (1986). Các giám đốc điều hành có thực hành những gì giới học thuật rao giảng không? Management Accounting, 68, 49–52.</w:t>
      </w:r>
      <w:bookmarkEnd w:id="7047"/>
    </w:p>
    <w:p>
      <w:bookmarkStart w:id="7048" w:name="Kisor__Jr__M_____Whitbeck__V__S"/>
      <w:pPr>
        <w:pStyle w:val="Para 08"/>
      </w:pPr>
      <w:r>
        <w:t>Kisor, Jr, M., &amp; Whitbeck, V. S. (1963). Một công cụ mới trong việc ra quyết định đầu tư. Financial Analysts Journal, 19, 55–62.</w:t>
      </w:r>
      <w:bookmarkEnd w:id="7048"/>
    </w:p>
    <w:p>
      <w:bookmarkStart w:id="7049" w:name="Knaup__A__E___2005___Survival_an"/>
      <w:pPr>
        <w:pStyle w:val="Para 08"/>
      </w:pPr>
      <w:r>
        <w:t>Knaup, A. E. (2005). Sự tồn tại và tuổi thọ trong dữ liệu động thái việc làm doanh nghiệp. Monthly Labor Review, 128(59): 50–56.</w:t>
      </w:r>
      <w:bookmarkEnd w:id="7049"/>
    </w:p>
    <w:p>
      <w:bookmarkStart w:id="7050" w:name="Knaup__A__E_____Piazza__M__C___2"/>
      <w:pPr>
        <w:pStyle w:val="Para 08"/>
      </w:pPr>
      <w:r>
        <w:t>Knaup, A. E., &amp; Piazza, M. C. (2007, tháng 9). Dữ liệu động thái việc làm doanh nghiệp: Sự tồn tại và tuổi thọ. Monthly Labor Review, 130, 3–10.</w:t>
      </w:r>
      <w:bookmarkEnd w:id="7050"/>
    </w:p>
    <w:p>
      <w:bookmarkStart w:id="7051" w:name="KPMG___1999___Unlocking_Sharehol"/>
      <w:pPr>
        <w:pStyle w:val="Para 08"/>
      </w:pPr>
      <w:r>
        <w:t>KPMG. (1999). Mở khóa giá trị cổ đông: Những chìa khóa dẫn đến thành công. New York: KPMG Global Research Report.</w:t>
      </w:r>
      <w:bookmarkEnd w:id="7051"/>
    </w:p>
    <w:p>
      <w:bookmarkStart w:id="7052" w:name="Krallinger__J__C___1997___Merger"/>
      <w:pPr>
        <w:pStyle w:val="Para 08"/>
      </w:pPr>
      <w:r>
        <w:t>Krallinger, J. C. (1997). Sáp nhập và mua lại: Quản lý giao dịch. New York: eMcGraw-Hill.</w:t>
      </w:r>
      <w:bookmarkEnd w:id="7052"/>
    </w:p>
    <w:p>
      <w:bookmarkStart w:id="7053" w:name="Kramer__J__R_____Pushner__G___19"/>
      <w:pPr>
        <w:pStyle w:val="Para 08"/>
      </w:pPr>
      <w:r>
        <w:t>Kramer, J. R., &amp; Pushner, G. (1997). Một phân tích thực nghiệm về giá trị kinh tế gia tăng như một đại diện cho giá trị thị trường gia tăng. Financial Practice and Education, 7, 41–49.</w:t>
      </w:r>
      <w:bookmarkEnd w:id="7053"/>
    </w:p>
    <w:p>
      <w:bookmarkStart w:id="7054" w:name="Kraus__A_____Litzenberger__R__H"/>
      <w:pPr>
        <w:pStyle w:val="Para 08"/>
      </w:pPr>
      <w:r>
        <w:t>Kraus, A., &amp; Litzenberger, R. H. (1976). Ưu thích độ lệch và định giá tài sản rủi ro. Journal of Finance, 31, 1085–1100.</w:t>
      </w:r>
      <w:bookmarkEnd w:id="7054"/>
    </w:p>
    <w:p>
      <w:bookmarkStart w:id="7055" w:name="Lang__L__H__P___Stulz__R__M"/>
      <w:pPr>
        <w:pStyle w:val="Para 08"/>
      </w:pPr>
      <w:r>
        <w:t>Lang, L. H. P., Stulz, R. M., &amp; Walkling, R. A. (1991). Một kiểm định giả thuyết dòng tiền tự do: Trường hợp lợi nhuận của bên mua. Journal of Financial Economics, 29, 315–335.</w:t>
      </w:r>
      <w:bookmarkEnd w:id="7055"/>
    </w:p>
    <w:p>
      <w:bookmarkStart w:id="7056" w:name="Lease__R__C___McConnell__J__J"/>
      <w:pPr>
        <w:pStyle w:val="Para 08"/>
      </w:pPr>
      <w:r>
        <w:t>Lease, R. C., McConnell, J. J., &amp; Mikkelson, W. H. (1983). Giá trị thị trường của quyền kiểm soát trong các công ty đại chúng. Journal of Financial Economics, 11, 439–471.</w:t>
      </w:r>
      <w:bookmarkEnd w:id="7056"/>
    </w:p>
    <w:p>
      <w:bookmarkStart w:id="7057" w:name="Leibowitz__M__L_____Kogelman__S"/>
      <w:pPr>
        <w:pStyle w:val="Para 08"/>
      </w:pPr>
      <w:r>
        <w:t>Leibowitz, M. L., &amp; Kogelman, S. (1992). Giá trị nhượng quyền và quá trình tăng trưởng. Financial Analysts Journal, 48, 53–62.</w:t>
      </w:r>
      <w:bookmarkEnd w:id="7057"/>
    </w:p>
    <w:p>
      <w:bookmarkStart w:id="7058" w:name="Levin__R__C___Klevorick__A__K"/>
      <w:pPr>
        <w:pStyle w:val="Para 08"/>
      </w:pPr>
      <w:r>
        <w:t>Levin, R. C., Klevorick, A. K., Nelson, R. R. và cộng sự (1987). Chiếm đoạt lợi nhuận từ nghiên cứu và phát triển công nghiệp. Brookings Paper on Economic Activity.</w:t>
      </w:r>
      <w:bookmarkEnd w:id="7058"/>
    </w:p>
    <w:p>
      <w:bookmarkStart w:id="7059" w:name="Levy__H_____Lerman__Z___1985___T"/>
      <w:pPr>
        <w:pStyle w:val="Para 08"/>
      </w:pPr>
      <w:r>
        <w:t>Levy, H., &amp; Lerman, Z. (1985). Kiểm định các bộ lọc tỷ lệ P/E bằng ưu thế ngẫu nhiên. Journal of Portfolio Management, 11, 31–40.</w:t>
      </w:r>
      <w:bookmarkEnd w:id="7059"/>
    </w:p>
    <w:p>
      <w:bookmarkStart w:id="7060" w:name="Lewellen__W__G___1971___A_pure_f"/>
      <w:pPr>
        <w:pStyle w:val="Para 08"/>
      </w:pPr>
      <w:r>
        <w:t>Lewellen, W. G. (1971). Một lý do tài chính thuần túy cho việc sáp nhập tập đoàn. Journal of Finance, 26, 521–537.</w:t>
      </w:r>
      <w:bookmarkEnd w:id="7060"/>
    </w:p>
    <w:p>
      <w:bookmarkStart w:id="7061" w:name="Lindenberg__E_____Ross__M__P___1"/>
      <w:pPr>
        <w:pStyle w:val="Para 08"/>
      </w:pPr>
      <w:r>
        <w:t>Lindenberg, E., &amp; Ross, M. P. (1999). Mua hay gộp: điều đó có quan trọng không? Journal of Applied Corporate Finance, 12, 32–47.</w:t>
      </w:r>
      <w:bookmarkEnd w:id="7061"/>
    </w:p>
    <w:p>
      <w:bookmarkStart w:id="7062" w:name="Linn__S_____McConnell__J__J___19"/>
      <w:pPr>
        <w:pStyle w:val="Para 08"/>
      </w:pPr>
      <w:r>
        <w:t>Linn, S., &amp; McConnell, J. J. (1983). Một điều tra thực nghiệm về tác động của các sửa đổi chống thâu tóm đối với giá cổ phiếu phổ thông. Journal of Financial Economics, 11, 361–399.</w:t>
      </w:r>
      <w:bookmarkEnd w:id="7062"/>
    </w:p>
    <w:p>
      <w:bookmarkStart w:id="7063" w:name="Lintner__J___1965___The_valuatio"/>
      <w:pPr>
        <w:pStyle w:val="Para 08"/>
      </w:pPr>
      <w:r>
        <w:t>Lintner, J. (1965). Định giá tài sản rủi ro và việc lựa chọn các khoản đầu tư rủi ro trong danh mục cổ phiếu và ngân sách vốn. Review of Economics and Statistics, 47, 13–37.</w:t>
      </w:r>
      <w:bookmarkEnd w:id="7063"/>
    </w:p>
    <w:p>
      <w:bookmarkStart w:id="7064" w:name="Little__I__M__D___1960___Higgled"/>
      <w:pPr>
        <w:pStyle w:val="Para 08"/>
      </w:pPr>
      <w:r>
        <w:t>Little, I. M. D. (1960). Tăng trưởng lộn xộn. Oxford: Institute of Statistics.</w:t>
      </w:r>
      <w:bookmarkEnd w:id="7064"/>
    </w:p>
    <w:p>
      <w:bookmarkStart w:id="7065" w:name="Litzenberger__R__H_____Ramaswamy"/>
      <w:pPr>
        <w:pStyle w:val="Para 08"/>
      </w:pPr>
      <w:r>
        <w:t>Litzenberger, R. H., &amp; Ramaswamy, K. (1979). Ảnh hưởng của thuế cá nhân và cổ tức lên giá tài sản vốn: Lý thuyết và bằng chứng thực nghiệm. Journal of Financial Economics, 7, 163–196.</w:t>
      </w:r>
      <w:bookmarkEnd w:id="7065"/>
    </w:p>
    <w:p>
      <w:bookmarkStart w:id="7066" w:name="Longstaff__F__A___1995___How_muc"/>
      <w:pPr>
        <w:pStyle w:val="Para 08"/>
      </w:pPr>
      <w:r>
        <w:t>Longstaff, F. A. (1995). Tính thanh khoản có thể ảnh hưởng đến giá trị chứng khoán bao nhiêu? Journal of Finance, 50, 1767–1774.</w:t>
      </w:r>
      <w:bookmarkEnd w:id="7066"/>
    </w:p>
    <w:p>
      <w:bookmarkStart w:id="7067" w:name="Mackie_Mason__J___1990___Do_taxe"/>
      <w:pPr>
        <w:pStyle w:val="Para 08"/>
      </w:pPr>
      <w:r>
        <w:t>Mackie-Mason, J. (1990). Thuế có ảnh hưởng đến các quyết định tài trợ của doanh nghiệp không? Journal of Finance, 45, 1471–1494.</w:t>
      </w:r>
      <w:bookmarkEnd w:id="7067"/>
    </w:p>
    <w:p>
      <w:bookmarkStart w:id="7068" w:name="Madden__B__L___1998___CFROI_Cash"/>
      <w:pPr>
        <w:pStyle w:val="Para 56"/>
      </w:pPr>
      <w:r>
        <w:t>Madden, B. L. (1998). Định giá CFROI – Tỷ suất sinh lời trên dòng tiền đầu tư: Một phương pháp tiếp cận toàn hệ thống để định giá một doanh nghiệp. Woburn, MA: Butterworth-Heinemann.</w:t>
      </w:r>
      <w:bookmarkEnd w:id="7068"/>
    </w:p>
    <w:p>
      <w:bookmarkStart w:id="7069" w:name="Maher__J__M___1976___Discounts_f"/>
      <w:pPr>
        <w:pStyle w:val="Para 08"/>
      </w:pPr>
      <w:r>
        <w:t>Maher, J. M. (1976). Chiết khấu do thiếu tính thanh khoản đối với các lợi ích kinh doanh nắm giữ kín. Tax Magazine, 1, 562–571.</w:t>
      </w:r>
      <w:bookmarkEnd w:id="7069"/>
    </w:p>
    <w:p>
      <w:bookmarkStart w:id="7071" w:name="Malmendier__U___Moretti__E_____P"/>
      <w:pPr>
        <w:pStyle w:val="Para 08"/>
      </w:pPr>
      <w:r>
        <w:t>Malmendier, U., Moretti, E., &amp; Peters, F. S. (2018). Thắng bằng cách thua: Bằng chứng về những tác động dài hạn của việc sáp nhập. The Review of Financial Studies, 31, 3212–3264.</w:t>
      </w:r>
      <w:bookmarkEnd w:id="7071"/>
    </w:p>
    <w:p>
      <w:bookmarkStart w:id="7072" w:name="Mandelbrot__B___1961___The_varia"/>
      <w:pPr>
        <w:pStyle w:val="Para 08"/>
      </w:pPr>
      <w:r>
        <w:t>Mandelbrot, B. (1961). Sự biến động của một số mức giá đầu cơ nhất định. Journal of Business, 34, 394–419.</w:t>
      </w:r>
      <w:bookmarkEnd w:id="7072"/>
    </w:p>
    <w:p>
      <w:bookmarkStart w:id="7073" w:name="Mandelbrot__B_____Hudson__R__L"/>
      <w:pPr>
        <w:pStyle w:val="Para 56"/>
      </w:pPr>
      <w:r>
        <w:t>Mandelbrot, B., &amp; Hudson, R. L. (2004). Sự (phi) hành xử của thị trường: Góc nhìn fractal về rủi ro, sụp đổ và phần thưởng. New York: Basic Books.</w:t>
      </w:r>
      <w:bookmarkEnd w:id="7073"/>
    </w:p>
    <w:p>
      <w:bookmarkStart w:id="7074" w:name="Markowitz__H__M___1991___Foundat"/>
      <w:pPr>
        <w:pStyle w:val="Para 08"/>
      </w:pPr>
      <w:r>
        <w:t>Markowitz, H. M. (1991). Nền tảng của lý thuyết danh mục đầu tư. Journal of Finance, 46(2), 469–478.</w:t>
      </w:r>
      <w:bookmarkEnd w:id="7074"/>
    </w:p>
    <w:p>
      <w:bookmarkStart w:id="7075" w:name="Mauboussin__M___1998___Get_real"/>
      <w:pPr>
        <w:pStyle w:val="Para 08"/>
      </w:pPr>
      <w:r>
        <w:t>Mauboussin, M. (1998). Hãy thực tế. Boston: Credit Suisse First Boston.</w:t>
      </w:r>
      <w:bookmarkEnd w:id="7075"/>
    </w:p>
    <w:p>
      <w:bookmarkStart w:id="7076" w:name="Mauboussin__M_____Johnson__P___1"/>
      <w:pPr>
        <w:pStyle w:val="Para 08"/>
      </w:pPr>
      <w:r>
        <w:t>Mauboussin, M., &amp; Johnson, P. (1997). Giai đoạn lợi thế cạnh tranh: Động lực giá trị bị bỏ quên. Financial Management, 26(2), 67–74.</w:t>
      </w:r>
      <w:bookmarkEnd w:id="7076"/>
    </w:p>
    <w:p>
      <w:bookmarkStart w:id="7077" w:name="McConnell__J__J_____Muscarella"/>
      <w:pPr>
        <w:pStyle w:val="Para 08"/>
      </w:pPr>
      <w:r>
        <w:t>McConnell, J. J., &amp; Muscarella, C. J. (1985). Các quyết định chi tiêu vốn của doanh nghiệp và giá trị thị trường của công ty. Journal of Financial Economics, 14, 399–422.</w:t>
      </w:r>
      <w:bookmarkEnd w:id="7077"/>
    </w:p>
    <w:p>
      <w:bookmarkStart w:id="7078" w:name="Mei__J_____Moses__M___2001___Art"/>
      <w:pPr>
        <w:pStyle w:val="Para 56"/>
      </w:pPr>
      <w:r>
        <w:t>Mei, J., &amp; Moses, M. (2001). Nghệ thuật như một khoản đầu tư và sự kém hiệu quả của các kiệt tác: bằng chứng từ 1875–2000. [Bài nghiên cứu]. Đại học New York.</w:t>
      </w:r>
      <w:bookmarkEnd w:id="7078"/>
    </w:p>
    <w:p>
      <w:bookmarkStart w:id="7079" w:name="Merton__R__C___1973___The_theory"/>
      <w:pPr>
        <w:pStyle w:val="Para 08"/>
      </w:pPr>
      <w:r>
        <w:t>Merton, R. C. (1973). Lý thuyết định giá quyền chọn hợp lý. Bell Journal of Economics, 4(1), 141–183.</w:t>
      </w:r>
      <w:bookmarkEnd w:id="7079"/>
    </w:p>
    <w:p>
      <w:bookmarkStart w:id="7080" w:name="Merton__R__C___1976___Option_pri"/>
      <w:pPr>
        <w:pStyle w:val="Para 08"/>
      </w:pPr>
      <w:r>
        <w:t>Merton, R. C. (1976). Định giá quyền chọn khi lợi suất của cổ phiếu cơ sở không liên tục. Journal of Financial Economics, 3, 125–144.</w:t>
      </w:r>
      <w:bookmarkEnd w:id="7080"/>
    </w:p>
    <w:p>
      <w:bookmarkStart w:id="7081" w:name="Michaely__R_____Womack__K__L___1"/>
      <w:pPr>
        <w:pStyle w:val="Para 08"/>
      </w:pPr>
      <w:r>
        <w:t>Michaely, R., &amp; Womack, K. L. (1999). Xung đột lợi ích và độ tin cậy của các khuyến nghị từ chuyên viên phân tích thuộc tổ chức bảo lãnh phát hành. Review of Financial Studies, 12, 653–686.</w:t>
      </w:r>
      <w:bookmarkEnd w:id="7081"/>
    </w:p>
    <w:p>
      <w:bookmarkStart w:id="7082" w:name="Michel__A_____Shaked__I___1984"/>
      <w:pPr>
        <w:pStyle w:val="Para 08"/>
      </w:pPr>
      <w:r>
        <w:t>Michel, A., &amp; Shaked, I. (1984). Đa dạng hóa kinh doanh có ảnh hưởng đến hiệu quả hoạt động không? Financial Management, 13, 5–14.</w:t>
      </w:r>
      <w:bookmarkEnd w:id="7082"/>
    </w:p>
    <w:p>
      <w:bookmarkStart w:id="7083" w:name="Miller__M___1977___Debt_and_taxe"/>
      <w:pPr>
        <w:pStyle w:val="Para 08"/>
      </w:pPr>
      <w:r>
        <w:t>Miller, M. (1977). Nợ và thuế. Journal of Finance, 32, 261–275.</w:t>
      </w:r>
      <w:bookmarkEnd w:id="7083"/>
    </w:p>
    <w:p>
      <w:bookmarkStart w:id="7084" w:name="Mitchell__M__L_____Lehn__K___199"/>
      <w:pPr>
        <w:pStyle w:val="Para 08"/>
      </w:pPr>
      <w:r>
        <w:t>Mitchell, M. L., &amp; Lehn, K. (1990). Những kẻ đấu giá tồi có trở thành mục tiêu tốt không? Journal of Applied Corporate Finance, 3, 60–69.</w:t>
      </w:r>
      <w:bookmarkEnd w:id="7084"/>
    </w:p>
    <w:p>
      <w:bookmarkStart w:id="7085" w:name="Modigliani__F_____Miller__M___19"/>
      <w:pPr>
        <w:pStyle w:val="Para 08"/>
      </w:pPr>
      <w:r>
        <w:t>Modigliani, F., &amp; Miller, M. (1958). Chi phí vốn, tài chính doanh nghiệp và lý thuyết đầu tư. American Economic Review, 48, 261–297.</w:t>
      </w:r>
      <w:bookmarkEnd w:id="7085"/>
    </w:p>
    <w:p>
      <w:bookmarkStart w:id="7086" w:name="Moeller__S__B___Schlingemann__F"/>
      <w:pPr>
        <w:pStyle w:val="Para 08"/>
      </w:pPr>
      <w:r>
        <w:t>Moeller, S. B., Schlingemann, F. P., và Stulz, R. M. (2004). Quy mô công ty và lợi ích từ các thương vụ mua bán sáp nhập. Journal of Financial Economics, 73, 201–228.</w:t>
      </w:r>
      <w:bookmarkEnd w:id="7086"/>
    </w:p>
    <w:p>
      <w:bookmarkStart w:id="7087" w:name="Moroney__R__E___1973___Most_cour"/>
      <w:pPr>
        <w:pStyle w:val="Para 08"/>
      </w:pPr>
      <w:r>
        <w:t>Moroney, R. E. (1973). Hầu hết các tòa án đánh giá quá cao cổ phiếu của công ty sở hữu khép kín. Tax Magazine, 1, 144–155.</w:t>
      </w:r>
      <w:bookmarkEnd w:id="7087"/>
    </w:p>
    <w:p>
      <w:bookmarkStart w:id="7088" w:name="Myers__S__C___1976___Determinant"/>
      <w:pPr>
        <w:pStyle w:val="Para 08"/>
      </w:pPr>
      <w:r>
        <w:t>Myers, S. C. (1976). Các yếu tố quyết định việc vay nợ của doanh nghiệp. Journal of Financial Economics, 5, 147–175.</w:t>
      </w:r>
      <w:bookmarkEnd w:id="7088"/>
    </w:p>
    <w:p>
      <w:bookmarkStart w:id="7089" w:name="Myers__S__C_____Majluf__N__S___1"/>
      <w:pPr>
        <w:pStyle w:val="Para 08"/>
      </w:pPr>
      <w:r>
        <w:t>Myers, S. C., &amp; Majluf, N. S. (1984). Các quyết định tài trợ và đầu tư của doanh nghiệp khi doanh nghiệp có thông tin mà nhà đầu tư không có. Journal of Financial Economics, 13, 187–221.</w:t>
      </w:r>
      <w:bookmarkEnd w:id="7089"/>
    </w:p>
    <w:p>
      <w:bookmarkStart w:id="7090" w:name="Nail__L__A___Megginson__W__L"/>
      <w:pPr>
        <w:pStyle w:val="Para 08"/>
      </w:pPr>
      <w:r>
        <w:t>Nail, L. A., Megginson, W. L., &amp; Maquieira, C. (1998). Tạo ra của cải so với tái phân phối của cải trong các thương vụ sáp nhập thuần đổi cổ phiếu lấy cổ phiếu. Journal of Financial Economics, 48, 3–33.</w:t>
      </w:r>
      <w:bookmarkEnd w:id="7090"/>
    </w:p>
    <w:p>
      <w:bookmarkStart w:id="7091" w:name="Nichols__D__C_____Wahlen__J__M"/>
      <w:pPr>
        <w:pStyle w:val="Para 08"/>
      </w:pPr>
      <w:r>
        <w:t>Nichols, D. C., &amp; Wahlen, J. M. (2004). Các con số lợi nhuận liên quan thế nào đến lợi suất cổ phiếu? Tổng quan về nghiên cứu kế toán kinh điển với các con số cập nhật. Accounting Horizons, 18, 263–286.</w:t>
      </w:r>
      <w:bookmarkEnd w:id="7091"/>
    </w:p>
    <w:p>
      <w:bookmarkStart w:id="7092" w:name="Niederhoffer__V_____Osborne__M"/>
      <w:pPr>
        <w:pStyle w:val="Para 08"/>
      </w:pPr>
      <w:r>
        <w:t>Niederhoffer, V., &amp; Osborne, M. F. M. (1966). Tạo lập thị trường và đảo chiều trên sàn chứng khoán. Journal of the American Statistical Association, 61, 891–916.</w:t>
      </w:r>
      <w:bookmarkEnd w:id="7092"/>
    </w:p>
    <w:p>
      <w:bookmarkStart w:id="7093" w:name="O_Brien__P___1988___Analysts__fo"/>
      <w:pPr>
        <w:pStyle w:val="Para 08"/>
      </w:pPr>
      <w:r>
        <w:t>O’Brien, P. (1988). Dự báo của chuyên viên phân tích như là kỳ vọng lợi nhuận. Journal of Accounting and Economics, 10, 53–83.</w:t>
      </w:r>
      <w:bookmarkEnd w:id="7093"/>
    </w:p>
    <w:p>
      <w:bookmarkStart w:id="7094" w:name="O_Byrne__S__F___1996___EVA_and_m"/>
      <w:pPr>
        <w:pStyle w:val="Para 08"/>
      </w:pPr>
      <w:r>
        <w:t>O’Byrne, S. F. (1996). EVA và giá trị thị trường. Journal of Applied Corporate Finance, 9(1), 116–125.</w:t>
      </w:r>
      <w:bookmarkEnd w:id="7094"/>
    </w:p>
    <w:p>
      <w:bookmarkStart w:id="7095" w:name="O_Byrne__S__F_____Young__S__D"/>
      <w:pPr>
        <w:pStyle w:val="Para 08"/>
      </w:pPr>
      <w:r>
        <w:t>O’Byrne, S. F., &amp; Young, S. D. (2000). EVA và Quản trị dựa trên giá trị. New York: McGraw-Hill.</w:t>
      </w:r>
      <w:bookmarkEnd w:id="7095"/>
    </w:p>
    <w:p>
      <w:bookmarkStart w:id="7096" w:name="Opler__T___Saron__M_____Titman"/>
      <w:pPr>
        <w:pStyle w:val="Para 08"/>
      </w:pPr>
      <w:r>
        <w:t>Opler, T., Saron, M., &amp; Titman, S. (1997). Thiết kế cấu trúc vốn để tạo ra giá trị cho cổ đông. Journal of Applied Corporate Finance, 10, 21–32.</w:t>
      </w:r>
      <w:bookmarkEnd w:id="7096"/>
    </w:p>
    <w:p>
      <w:bookmarkStart w:id="7097" w:name="Palepu__K__G___1986___Predicting"/>
      <w:pPr>
        <w:pStyle w:val="Para 08"/>
      </w:pPr>
      <w:r>
        <w:t>Palepu, K. G. (1986). Dự đoán mục tiêu thâu tóm: Một phân tích phương pháp luận và thực nghiệm. Journal of Accounting and Economics, 8(1), 3–35.</w:t>
      </w:r>
      <w:bookmarkEnd w:id="7097"/>
    </w:p>
    <w:p>
      <w:bookmarkStart w:id="7098" w:name="Palepu__K__G___1990___Consequenc"/>
      <w:pPr>
        <w:pStyle w:val="Para 08"/>
      </w:pPr>
      <w:r>
        <w:t>Palepu, K. G. (1990). Hệ quả của các thương vụ mua lại bằng vốn vay (leveraged buyouts). Journal of Financial Economics, 26, 247–262.</w:t>
      </w:r>
      <w:bookmarkEnd w:id="7098"/>
    </w:p>
    <w:p>
      <w:bookmarkStart w:id="7100" w:name="Parrino__J__D_____Harris__R__S"/>
      <w:pPr>
        <w:pStyle w:val="Para 08"/>
      </w:pPr>
      <w:r>
        <w:t>Parrino, J. D., &amp; Harris, R. S. Thâu tóm, thay thế ban điều hành và hiệu quả hoạt động sau thâu tóm: Một số bằng chứng từ thập niên 1980. Journal of Applied Corporate Finance, 11, 88–97.</w:t>
      </w:r>
      <w:bookmarkEnd w:id="7100"/>
    </w:p>
    <w:p>
      <w:bookmarkStart w:id="7101" w:name="Peters__D__J___1991___Valuing_a"/>
      <w:pPr>
        <w:pStyle w:val="Para 08"/>
      </w:pPr>
      <w:r>
        <w:t>Peters, D. J. (1991). Định giá một cổ phiếu tăng trưởng. Journal of Portfolio Management, 17, 49–51.</w:t>
      </w:r>
      <w:bookmarkEnd w:id="7101"/>
    </w:p>
    <w:p>
      <w:bookmarkStart w:id="7102" w:name="Peters__E__E___1991___Chaos_and"/>
      <w:pPr>
        <w:pStyle w:val="Para 08"/>
      </w:pPr>
      <w:r>
        <w:t>Peters, E. E. (1991). Hỗn loạn và Trật tự trong Thị trường Vốn (Chaos and Order in the Capital Markets). New York: John Wiley &amp; Sons.</w:t>
      </w:r>
      <w:bookmarkEnd w:id="7102"/>
    </w:p>
    <w:p>
      <w:bookmarkStart w:id="7103" w:name="Pettit__J___1999___Corporate_cap"/>
      <w:pPr>
        <w:pStyle w:val="Para 08"/>
      </w:pPr>
      <w:r>
        <w:t>Pettit, J. (1999). Chi phí vốn của doanh nghiệp: cẩm nang cho người hành nghề. Journal of Applied Corporate Finance, 12(1), 113–120.</w:t>
      </w:r>
      <w:bookmarkEnd w:id="7103"/>
    </w:p>
    <w:p>
      <w:bookmarkStart w:id="7104" w:name="Pinegar__J__M_____Wilbricht__L"/>
      <w:pPr>
        <w:pStyle w:val="Para 08"/>
      </w:pPr>
      <w:r>
        <w:t>Pinegar, J. M., &amp; Wilbricht, L. (1989). Các nhà quản lý nghĩ gì về lý thuyết cấu trúc vốn: Một khảo sát. Financial Management, 18(4), 82–91.</w:t>
      </w:r>
      <w:bookmarkEnd w:id="7104"/>
    </w:p>
    <w:p>
      <w:bookmarkStart w:id="7105" w:name="Porter__M__E___1980___Competitiv"/>
      <w:pPr>
        <w:pStyle w:val="Para 56"/>
      </w:pPr>
      <w:r>
        <w:t>Porter, M. E. (1980). Chiến lược Cạnh tranh: Các kỹ thuật Phân tích Ngành và Đối thủ Cạnh tranh (Competitive Strategy: Techniques for Analyzing Industries and Competitors). New York: Free Press.</w:t>
      </w:r>
      <w:bookmarkEnd w:id="7105"/>
    </w:p>
    <w:p>
      <w:bookmarkStart w:id="7106" w:name="Pradhuman__S___2000___Small_Cap"/>
      <w:pPr>
        <w:pStyle w:val="Para 08"/>
      </w:pPr>
      <w:r>
        <w:t>Pradhuman, S. (2000). Động lực Vốn hóa Nhỏ (Small Cap Dynamics). Princeton, NJ: Bloomberg Press.</w:t>
      </w:r>
      <w:bookmarkEnd w:id="7106"/>
    </w:p>
    <w:p>
      <w:bookmarkStart w:id="7107" w:name="Praetz__P__D___1972___The_distri"/>
      <w:pPr>
        <w:pStyle w:val="Para 08"/>
      </w:pPr>
      <w:r>
        <w:t>Praetz, P. D. (1972). Phân phối của những thay đổi giá cổ phiếu. Journal of Business, 45(1), 49–55.</w:t>
      </w:r>
      <w:bookmarkEnd w:id="7107"/>
    </w:p>
    <w:p>
      <w:bookmarkStart w:id="7108" w:name="Pratt__S___Reilly__R__F_____Schw"/>
      <w:pPr>
        <w:pStyle w:val="Para 08"/>
      </w:pPr>
      <w:r>
        <w:t>Pratt, S., Reilly, R. F., &amp; Schweihs, R. P. (2000). Định giá một Doanh nghiệp: Phân tích và Thẩm định các Công ty Sở hữu Khép kín (Valuing a Business: The Analysis and Appraisal of Closely Held Companies). New York: McGraw-Hill.</w:t>
      </w:r>
      <w:bookmarkEnd w:id="7108"/>
    </w:p>
    <w:p>
      <w:bookmarkStart w:id="7109" w:name="Press__S__J___1967___A_compound"/>
      <w:pPr>
        <w:pStyle w:val="Para 08"/>
      </w:pPr>
      <w:r>
        <w:t>Press, S. J. (1967). Một mô hình sự kiện kép cho giá chứng khoán. Journal of Business, 40(3), 317–335.</w:t>
      </w:r>
      <w:bookmarkEnd w:id="7109"/>
    </w:p>
    <w:p>
      <w:bookmarkStart w:id="7110" w:name="Randall__D_____Ertel__C___2005"/>
      <w:pPr>
        <w:pStyle w:val="Para 08"/>
      </w:pPr>
      <w:r>
        <w:t>Randall, D., &amp; Ertel, C. (2005, 15 tháng 9). Vượt ra ngoài viễn cảnh chính thức. Financial Times Special Reports/Mastering Risk.</w:t>
      </w:r>
      <w:bookmarkEnd w:id="7110"/>
    </w:p>
    <w:p>
      <w:bookmarkStart w:id="7111" w:name="Rappaport__A___1998___Creating_S"/>
      <w:pPr>
        <w:pStyle w:val="Para 08"/>
      </w:pPr>
      <w:r>
        <w:t>Rappaport, A. (1998). Tạo dựng Giá trị Cổ đông (Creating Shareholder Value). New York: Free Press.</w:t>
      </w:r>
      <w:bookmarkEnd w:id="7111"/>
    </w:p>
    <w:p>
      <w:bookmarkStart w:id="7112" w:name="Reinganum__M__R___1983___The_ano"/>
      <w:pPr>
        <w:pStyle w:val="Para 08"/>
      </w:pPr>
      <w:r>
        <w:t>Reinganum, M. R. (1983). Hành vi bất thường của thị trường chứng khoán đối với các công ty nhỏ vào tháng Một: Các kiểm định thực nghiệm về hiệu ứng bù lỗ thuế. Journal of Financial Economics, 12, 89–104.</w:t>
      </w:r>
      <w:bookmarkEnd w:id="7112"/>
    </w:p>
    <w:p>
      <w:bookmarkStart w:id="7113" w:name="Rendleman__R__J___Jones__C__P"/>
      <w:pPr>
        <w:pStyle w:val="Para 08"/>
      </w:pPr>
      <w:r>
        <w:t>Rendleman, R. J., Jones, C. P., &amp; Latané, H. A. (1982). Các bất thường thực nghiệm dựa trên thu nhập bất ngờ và tầm quan trọng của việc điều chỉnh rủi ro. Journal of Financial Economics, 10, 269–287.</w:t>
      </w:r>
      <w:bookmarkEnd w:id="7113"/>
    </w:p>
    <w:p>
      <w:bookmarkStart w:id="7114" w:name="Richards__R__M_____Martin__J__D"/>
      <w:pPr>
        <w:pStyle w:val="Para 08"/>
      </w:pPr>
      <w:r>
        <w:t>Richards, R. M., &amp; Martin, J. D. (1979). Điều chỉnh dự báo thu nhập: Phản ứng đến mức nào? Journal of Portfolio Management, 5, 47–52.</w:t>
      </w:r>
      <w:bookmarkEnd w:id="7114"/>
    </w:p>
    <w:p>
      <w:bookmarkStart w:id="7115" w:name="Ritter__J_____Chopra__N___1989"/>
      <w:pPr>
        <w:pStyle w:val="Para 08"/>
      </w:pPr>
      <w:r>
        <w:t>Ritter, J., &amp; Chopra, N. (1989). Tái cân bằng danh mục và hiệu ứng chuyển giao năm. Journal of Finance, 44, 149–166.</w:t>
      </w:r>
      <w:bookmarkEnd w:id="7115"/>
    </w:p>
    <w:p>
      <w:bookmarkStart w:id="7116" w:name="Roll__R___1983___Vas_ist_das__Jo"/>
      <w:pPr>
        <w:pStyle w:val="Para 08"/>
      </w:pPr>
      <w:r>
        <w:t>Roll, R. (1983). Vas ist das? Journal of Portfolio Management, 9, 18–28.</w:t>
      </w:r>
      <w:bookmarkEnd w:id="7116"/>
    </w:p>
    <w:p>
      <w:bookmarkStart w:id="7117" w:name="Roll__R___1984___A_simple_implic"/>
      <w:pPr>
        <w:pStyle w:val="Para 08"/>
      </w:pPr>
      <w:r>
        <w:t>Roll, R. (1984). Một thước đo ẩn đơn giản về chênh lệch giá mua–giá bán trong một thị trường hiệu quả. Journal of Finance, 39, 1127–1139.</w:t>
      </w:r>
      <w:bookmarkEnd w:id="7117"/>
    </w:p>
    <w:p>
      <w:bookmarkStart w:id="7118" w:name="Roll__R___1986___The_hubris_hypo"/>
      <w:pPr>
        <w:pStyle w:val="Para 08"/>
      </w:pPr>
      <w:r>
        <w:t>Roll, R. (1986). Giả thuyết ngạo mạn về các thương vụ thâu tóm doanh nghiệp. Journal of Business, 59, 197–216.</w:t>
      </w:r>
      <w:bookmarkEnd w:id="7118"/>
    </w:p>
    <w:p>
      <w:bookmarkStart w:id="7119" w:name="Rosenberg__B_____Guy__J___1976"/>
      <w:pPr>
        <w:pStyle w:val="Para 08"/>
      </w:pPr>
      <w:r>
        <w:t>Rosenberg, B., &amp; Guy, J. (1976). Beta và các yếu tố cơ bản của đầu tư; Beta và các yếu tố cơ bản của đầu tư–II. Financial Analysts Journal, 32(3), 60–72; 32(4), 62–70.</w:t>
      </w:r>
      <w:bookmarkEnd w:id="7119"/>
    </w:p>
    <w:p>
      <w:bookmarkStart w:id="7120" w:name="Rosenberg__B_____Guy__J___1995"/>
      <w:pPr>
        <w:pStyle w:val="Para 08"/>
      </w:pPr>
      <w:r>
        <w:t>Rosenberg, B., &amp; Guy, J. (1995). Dự đoán beta từ các yếu tố cơ bản của đầu tư. Financial Analysts Journal, 51(1), 101–112.</w:t>
      </w:r>
      <w:bookmarkEnd w:id="7120"/>
    </w:p>
    <w:p>
      <w:bookmarkStart w:id="7121" w:name="Rosenberg__B_____Marathe__V___19"/>
      <w:pPr>
        <w:pStyle w:val="Para 08"/>
      </w:pPr>
      <w:r>
        <w:t>Rosenberg, B., &amp; Marathe, V. (1979). Các kiểm định giả thuyết định giá tài sản vốn. Research in Finance, 1, 115–124.</w:t>
      </w:r>
      <w:bookmarkEnd w:id="7121"/>
    </w:p>
    <w:p>
      <w:bookmarkStart w:id="7122" w:name="Rosenberg__B___Reid__K_____Lanst"/>
      <w:pPr>
        <w:pStyle w:val="Para 08"/>
      </w:pPr>
      <w:r>
        <w:t>Rosenberg, B., Reid, K., &amp; Lanstein, R. (1985). Bằng chứng thuyết phục về sự kém hiệu quả của thị trường. Journal of Portfolio Management, 11, 9–17.</w:t>
      </w:r>
      <w:bookmarkEnd w:id="7122"/>
    </w:p>
    <w:p>
      <w:bookmarkStart w:id="7123" w:name="Ross__S__A___1976___The_arbitrag"/>
      <w:pPr>
        <w:pStyle w:val="Para 08"/>
      </w:pPr>
      <w:r>
        <w:t>Ross, S. A. (1976). Lý thuyết arbitrage về định giá tài sản vốn. Journal of Economic Theory, 13(3), 341–360.</w:t>
      </w:r>
      <w:bookmarkEnd w:id="7123"/>
    </w:p>
    <w:p>
      <w:bookmarkStart w:id="7124" w:name="Sarin__R_____Wakker__P___1994"/>
      <w:pPr>
        <w:pStyle w:val="Para 08"/>
      </w:pPr>
      <w:r>
        <w:t>Sarin, R., &amp; Wakker, P. (1994). Gấp ngược trong phân tích cây quyết định. Management Science, 40, 625–628.</w:t>
      </w:r>
      <w:bookmarkEnd w:id="7124"/>
    </w:p>
    <w:p>
      <w:bookmarkStart w:id="7125" w:name="Schipper__K_____Smith__A___1983"/>
      <w:pPr>
        <w:pStyle w:val="Para 08"/>
      </w:pPr>
      <w:r>
        <w:t>Schipper, K., &amp; Smith, A. (1983). Ảnh hưởng của việc tái ký kết hợp đồng đến tài sản của cổ đông: Trường hợp các thương vụ tách công ty tự nguyện. Journal of Financial Economics, 12, 437–468.</w:t>
      </w:r>
      <w:bookmarkEnd w:id="7125"/>
    </w:p>
    <w:p>
      <w:bookmarkStart w:id="7126" w:name="Schipper__K_____Smith__A___1986"/>
      <w:pPr>
        <w:pStyle w:val="Para 08"/>
      </w:pPr>
      <w:r>
        <w:t>Schipper, K., &amp; Smith, A. (1986). So sánh giữa việc tách riêng cổ phần và phát hành cổ phần bổ sung: Ảnh hưởng đến giá cổ phiếu và tái cấu trúc doanh nghiệp. Journal of Financial Economics, 15, 153–186.</w:t>
      </w:r>
      <w:bookmarkEnd w:id="7126"/>
    </w:p>
    <w:p>
      <w:bookmarkStart w:id="7127" w:name="Scholes__M_____Williams__J__T"/>
      <w:pPr>
        <w:pStyle w:val="Para 08"/>
      </w:pPr>
      <w:r>
        <w:t>Scholes, M., &amp; Williams, J. T. (1977). Ước lượng beta từ dữ liệu không đồng bộ. Journal of Financial Economics, 5(3), 309–327.</w:t>
      </w:r>
      <w:bookmarkEnd w:id="7127"/>
    </w:p>
    <w:p>
      <w:bookmarkStart w:id="7128" w:name="Senchack_Jr__A__J_____Martin__J"/>
      <w:pPr>
        <w:pStyle w:val="Para 08"/>
      </w:pPr>
      <w:r>
        <w:t>Senchack Jr, A. J., &amp; Martin, J. D. (1987). Hiệu quả tương đối của các chiến lược đầu tư PSR và PER. Financial Analysts Journal, 43, 46–56.</w:t>
      </w:r>
      <w:bookmarkEnd w:id="7128"/>
    </w:p>
    <w:p>
      <w:bookmarkStart w:id="7130" w:name="Seyhun__H__N___1986___Insiders"/>
      <w:pPr>
        <w:pStyle w:val="Para 08"/>
      </w:pPr>
      <w:r>
        <w:t>Seyhun, H. N. (1986). Lợi nhuận của người nội bộ, chi phí giao dịch và hiệu quả thị trường. Journal of Financial Economics, 16, 189–212.</w:t>
      </w:r>
      <w:bookmarkEnd w:id="7130"/>
    </w:p>
    <w:p>
      <w:bookmarkStart w:id="7131" w:name="Seyhun__H__N___1998___Investment"/>
      <w:pPr>
        <w:pStyle w:val="Para 08"/>
      </w:pPr>
      <w:r>
        <w:t>Seyhun, H. N. (1998). Trí tuệ đầu tư từ giao dịch nội bộ. Cambridge, MA: MIT Press.</w:t>
      </w:r>
      <w:bookmarkEnd w:id="7131"/>
    </w:p>
    <w:p>
      <w:bookmarkStart w:id="7132" w:name="Shapiro__A___1985___Corporate_st"/>
      <w:pPr>
        <w:pStyle w:val="Para 08"/>
      </w:pPr>
      <w:r>
        <w:t>Shapiro, A. (1985). Chiến lược doanh nghiệp và quyết định lập ngân sách vốn. Midland Corporate Finance Journal, 3, 22–36.</w:t>
      </w:r>
      <w:bookmarkEnd w:id="7132"/>
    </w:p>
    <w:p>
      <w:bookmarkStart w:id="7133" w:name="Shapiro__A___1989___Modern_Corpo"/>
      <w:pPr>
        <w:pStyle w:val="Para 08"/>
      </w:pPr>
      <w:r>
        <w:t>Shapiro, A. (1989). Tài chính doanh nghiệp hiện đại. New York: Macmillan.</w:t>
      </w:r>
      <w:bookmarkEnd w:id="7133"/>
    </w:p>
    <w:p>
      <w:bookmarkStart w:id="7134" w:name="Sharpe__W__F___1964___Capital_as"/>
      <w:pPr>
        <w:pStyle w:val="Para 08"/>
      </w:pPr>
      <w:r>
        <w:t>Sharpe, W. F. (1964). Giá tài sản vốn: Một lý thuyết về trạng thái cân bằng thị trường trong điều kiện rủi ro. Journal of Finance, 19, 425–442.</w:t>
      </w:r>
      <w:bookmarkEnd w:id="7134"/>
    </w:p>
    <w:p>
      <w:bookmarkStart w:id="7135" w:name="Shiller__R___1999___Irrational_E"/>
      <w:pPr>
        <w:pStyle w:val="Para 08"/>
      </w:pPr>
      <w:r>
        <w:t>Shiller, R. (1999). Sự hưng phấn phi lý trí. Princeton, NJ: Princeton University Press.</w:t>
      </w:r>
      <w:bookmarkEnd w:id="7135"/>
    </w:p>
    <w:p>
      <w:bookmarkStart w:id="7136" w:name="Siegel__D___Smith__J_____Paddock"/>
      <w:pPr>
        <w:pStyle w:val="Para 08"/>
      </w:pPr>
      <w:r>
        <w:t>Siegel, D., Smith, J., &amp; Paddock J. (1993). Định giá tài sản dầu khí ngoài khơi bằng mô hình định giá quyền chọn. Trong: Tài chính doanh nghiệp mới, (biên tập D. H. Chew Jr.). New York: McGraw-Hill.</w:t>
      </w:r>
      <w:bookmarkEnd w:id="7136"/>
    </w:p>
    <w:p>
      <w:bookmarkStart w:id="7137" w:name="Siegel__J___2007___Stocks_for_th"/>
      <w:pPr>
        <w:pStyle w:val="Para 56"/>
      </w:pPr>
      <w:r>
        <w:t>Siegel, J. (2007). Cổ phiếu cho chặng đường rất dài: Hướng dẫn toàn diện về các chiến lược đầu tư. New York: McGraw-Hill.</w:t>
      </w:r>
      <w:bookmarkEnd w:id="7137"/>
    </w:p>
    <w:p>
      <w:bookmarkStart w:id="7138" w:name="Silber__W__L___1991___Discounts"/>
      <w:pPr>
        <w:pStyle w:val="Para 08"/>
      </w:pPr>
      <w:r>
        <w:t>Silber, W. L. (1991). Chiết khấu đối với cổ phiếu hạn chế chuyển nhượng: Tác động của tính kém thanh khoản đến giá cổ phiếu. Financial Analysts Journal, 47, 60–64.</w:t>
      </w:r>
      <w:bookmarkEnd w:id="7138"/>
    </w:p>
    <w:p>
      <w:bookmarkStart w:id="7139" w:name="Sirower__M__L___1996___The_Syner"/>
      <w:pPr>
        <w:pStyle w:val="Para 08"/>
      </w:pPr>
      <w:r>
        <w:t>Sirower, M. L. (1996). Cái bẫy cộng hưởng. New York: Simon &amp; Schuster.</w:t>
      </w:r>
      <w:bookmarkEnd w:id="7139"/>
    </w:p>
    <w:p>
      <w:bookmarkStart w:id="7140" w:name="Smith__A__J___1990___Corporate_o"/>
      <w:pPr>
        <w:pStyle w:val="Para 08"/>
      </w:pPr>
      <w:r>
        <w:t>Smith, A. J. (1990). Cơ cấu sở hữu doanh nghiệp và hiệu quả hoạt động: Trường hợp mua lại bởi ban quản lý. Journal of Financial Economics, 27, 143–164.</w:t>
      </w:r>
      <w:bookmarkEnd w:id="7140"/>
    </w:p>
    <w:p>
      <w:bookmarkStart w:id="7141" w:name="Smith__C__W___1986___Investment"/>
      <w:pPr>
        <w:pStyle w:val="Para 08"/>
      </w:pPr>
      <w:r>
        <w:t>Smith, C. W. (1986). Ngân hàng đầu tư và quá trình huy động vốn. Journal of Financial Economics, 15, 3–29.</w:t>
      </w:r>
      <w:bookmarkEnd w:id="7141"/>
    </w:p>
    <w:p>
      <w:bookmarkStart w:id="7142" w:name="Sorensen__E__H_____Williamson__D"/>
      <w:pPr>
        <w:pStyle w:val="Para 08"/>
      </w:pPr>
      <w:r>
        <w:t>Sorensen, E. H., &amp; Williamson, D. A. (1985). Một số bằng chứng về giá trị của mô hình chiết khấu cổ tức. Financial Analysts Journal, 41, 60–69.</w:t>
      </w:r>
      <w:bookmarkEnd w:id="7142"/>
    </w:p>
    <w:p>
      <w:bookmarkStart w:id="7143" w:name="Stapleton__R__C___1985___A_note"/>
      <w:pPr>
        <w:pStyle w:val="Para 08"/>
      </w:pPr>
      <w:r>
        <w:t>Stapleton, R. C. (1985). Ghi chú về rủi ro vỡ nợ, đòn bẩy và định lý MM. Journal of Financial Economics, 2, 377–381.</w:t>
      </w:r>
      <w:bookmarkEnd w:id="7143"/>
    </w:p>
    <w:p>
      <w:bookmarkStart w:id="7144" w:name="Stewart__G__B___1991___The_Quest"/>
      <w:pPr>
        <w:pStyle w:val="Para 08"/>
      </w:pPr>
      <w:r>
        <w:t>Stewart, G. B. (1991). Cuộc tìm kiếm giá trị. New York: HarperBusiness.</w:t>
      </w:r>
      <w:bookmarkEnd w:id="7144"/>
    </w:p>
    <w:p>
      <w:bookmarkStart w:id="7145" w:name="Stickney__C__P___1993___Financia"/>
      <w:pPr>
        <w:pStyle w:val="Para 08"/>
      </w:pPr>
      <w:r>
        <w:t>Stickney, C. P. (1993). Phân tích báo cáo tài chính. Fort Worth, TX: Dryden Press.</w:t>
      </w:r>
      <w:bookmarkEnd w:id="7145"/>
    </w:p>
    <w:p>
      <w:bookmarkStart w:id="7146" w:name="Stocks__bonds__bills_and_inflati"/>
      <w:pPr>
        <w:pStyle w:val="Para 08"/>
      </w:pPr>
      <w:r>
        <w:t>Cổ phiếu, trái phiếu, tín phiếu và lạm phát (1999). Chicago: Ibbotson Associates.</w:t>
      </w:r>
      <w:bookmarkEnd w:id="7146"/>
    </w:p>
    <w:p>
      <w:bookmarkStart w:id="7147" w:name="Stulz__R___1996___Does_the_cost"/>
      <w:pPr>
        <w:pStyle w:val="Para 08"/>
      </w:pPr>
      <w:r>
        <w:t>Stulz, R. (1996). Chi phí vốn có khác nhau giữa các quốc gia không? Góc nhìn từ lý thuyết đại diện. European Financial Management, 2, 11–22.</w:t>
      </w:r>
      <w:bookmarkEnd w:id="7147"/>
    </w:p>
    <w:p>
      <w:bookmarkStart w:id="7148" w:name="Stulz__R___1996___Rethinking_ris"/>
      <w:pPr>
        <w:pStyle w:val="Para 08"/>
      </w:pPr>
      <w:r>
        <w:t>Stulz, R. (1996). Suy nghĩ lại về quản trị rủi ro. Journal of Applied Corporate Finance, 9(3), 8–24.</w:t>
      </w:r>
      <w:bookmarkEnd w:id="7148"/>
    </w:p>
    <w:p>
      <w:bookmarkStart w:id="7149" w:name="Stulz__R__M___1999___Globalizati"/>
      <w:pPr>
        <w:pStyle w:val="Para 08"/>
      </w:pPr>
      <w:r>
        <w:t>Stulz, R. M. (1999). Toàn cầu hóa, tài chính doanh nghiệp và chi phí vốn. Journal of Applied Corporate Finance, 12(1), 8–25.</w:t>
      </w:r>
      <w:bookmarkEnd w:id="7149"/>
    </w:p>
    <w:p>
      <w:bookmarkStart w:id="7150" w:name="Sunder__S___1973___Relationship"/>
      <w:pPr>
        <w:pStyle w:val="Para 08"/>
      </w:pPr>
      <w:r>
        <w:t>Sunder, S. (1973). Mối quan hệ giữa các thay đổi kế toán và giá cổ phiếu: các vấn đề đo lường và một số bằng chứng thực nghiệm. Trong: Nghiên cứu thực nghiệm trong kế toán: Các nghiên cứu chọn lọc, 1–45. Toronto: Lexington.</w:t>
      </w:r>
      <w:bookmarkEnd w:id="7150"/>
    </w:p>
    <w:p>
      <w:bookmarkStart w:id="7151" w:name="Sunder__S___1975___Stock_price_a"/>
      <w:pPr>
        <w:pStyle w:val="Para 08"/>
      </w:pPr>
      <w:r>
        <w:t>Sunder, S. (1975). Giá cổ phiếu và rủi ro liên quan đến các thay đổi kế toán trong việc định giá hàng tồn kho. Accounting Review, 50, 305–315.</w:t>
      </w:r>
      <w:bookmarkEnd w:id="7151"/>
    </w:p>
    <w:p>
      <w:bookmarkStart w:id="7152" w:name="Titman__S___1984___The_effect_of"/>
      <w:pPr>
        <w:pStyle w:val="Para 08"/>
      </w:pPr>
      <w:r>
        <w:t>Titman, S. (1984). Ảnh hưởng của cấu trúc vốn đến quyết định thanh lý của doanh nghiệp. Journal of Financial Economics, 13, 137–151.</w:t>
      </w:r>
      <w:bookmarkEnd w:id="7152"/>
    </w:p>
    <w:p>
      <w:bookmarkStart w:id="7153" w:name="Vander_Weide__J__H_____Carleton"/>
      <w:pPr>
        <w:pStyle w:val="Para 08"/>
      </w:pPr>
      <w:r>
        <w:t>Vander Weide, J. H., &amp; Carleton, W. T. (1988). Kỳ vọng tăng trưởng của nhà đầu tư: Các nhà phân tích so với lịch sử. Journal of Portfolio Management, 14, 78–83.</w:t>
      </w:r>
      <w:bookmarkEnd w:id="7153"/>
    </w:p>
    <w:p>
      <w:bookmarkStart w:id="7154" w:name="Varadarajan__P__R_____Ramanujam"/>
      <w:pPr>
        <w:pStyle w:val="Para 08"/>
      </w:pPr>
      <w:r>
        <w:t>Varadarajan, P. R., &amp; Ramanujam, V. (1987). Đa dạng hóa và hiệu quả hoạt động: Một sự xem xét lại bằng cách sử dụng khái niệm hóa hai chiều mới về sự đa dạng trong các doanh nghiệp. Academy of Management Journal, 30, 369–380.</w:t>
      </w:r>
      <w:bookmarkEnd w:id="7154"/>
    </w:p>
    <w:p>
      <w:bookmarkStart w:id="7155" w:name="Warner__J__N___1977___Bankruptcy"/>
      <w:pPr>
        <w:pStyle w:val="Para 08"/>
      </w:pPr>
      <w:r>
        <w:t>Warner, J. N. (1977). Chi phí phá sản: Một số bằng chứng. Journal of Finance, 32, 337–347.</w:t>
      </w:r>
      <w:bookmarkEnd w:id="7155"/>
    </w:p>
    <w:p>
      <w:bookmarkStart w:id="7156" w:name="Watts__R___1975___The_time_serie"/>
      <w:pPr>
        <w:pStyle w:val="Para 08"/>
      </w:pPr>
      <w:r>
        <w:t>Watts, R. (1975). Hành vi chuỗi thời gian của lợi nhuận hàng quý. [Bài nghiên cứu]. Đại học Newcastle.</w:t>
      </w:r>
      <w:bookmarkEnd w:id="7156"/>
    </w:p>
    <w:p>
      <w:bookmarkStart w:id="7157" w:name="Weston__J__F_____Copeland__T__E"/>
      <w:pPr>
        <w:pStyle w:val="Para 08"/>
      </w:pPr>
      <w:r>
        <w:t>Weston, J. F., &amp; Copeland, T. E. (1992). Tài chính quản trị, Ấn bản thứ chín. Orlando, FL: Harcourt Brace Jovanovich.</w:t>
      </w:r>
      <w:bookmarkEnd w:id="7157"/>
    </w:p>
    <w:p>
      <w:bookmarkStart w:id="7158" w:name="Weston__J__F___Chung__K__S_____S"/>
      <w:pPr>
        <w:pStyle w:val="Para 08"/>
      </w:pPr>
      <w:r>
        <w:t>Weston, J. F., Chung, K. S., &amp; Siu, J. A. (1998). Mua lại, Tái cấu trúc và Quản trị doanh nghiệp. New York: Simon &amp; Schuster.</w:t>
      </w:r>
      <w:bookmarkEnd w:id="7158"/>
    </w:p>
    <w:p>
      <w:bookmarkStart w:id="7160" w:name="White__G__I___Sondhi__A_____Frie"/>
      <w:pPr>
        <w:pStyle w:val="Para 08"/>
      </w:pPr>
      <w:r>
        <w:t>White, G. I., Sondhi, A., &amp; Fried, D. (1997). Phân tích và Sử dụng các Báo cáo Tài chính. New York: John Wiley &amp; Sons.</w:t>
      </w:r>
      <w:bookmarkEnd w:id="7160"/>
    </w:p>
    <w:p>
      <w:bookmarkStart w:id="7161" w:name="Wilcox__J__W___1984___The_P_B_RO"/>
      <w:pPr>
        <w:pStyle w:val="Para 08"/>
      </w:pPr>
      <w:r>
        <w:t>Wilcox, J. W. (1984). Mô hình định giá P/B-ROE. Financial Analysts Journal, 40, 58–66.</w:t>
      </w:r>
      <w:bookmarkEnd w:id="7161"/>
    </w:p>
    <w:p>
      <w:bookmarkStart w:id="7162" w:name="Williams__J__R___1998___GAAP_Gui"/>
      <w:pPr>
        <w:pStyle w:val="Para 08"/>
      </w:pPr>
      <w:r>
        <w:t>Williams, J. R. (1998). Hướng dẫn GAAP. New York: Harcourt Brace.</w:t>
      </w:r>
      <w:bookmarkEnd w:id="7162"/>
    </w:p>
    <w:p>
      <w:bookmarkStart w:id="7163" w:name="Womack__K___1996___Do_brokerage"/>
      <w:pPr>
        <w:pStyle w:val="Para 08"/>
      </w:pPr>
      <w:r>
        <w:t>Womack, K. (1996). Các khuyến nghị của nhà phân tích môi giới có giá trị đầu tư không? Journal of Finance, 51, 137–167.</w:t>
      </w:r>
      <w:bookmarkEnd w:id="7163"/>
    </w:p>
    <w:p>
      <w:bookmarkStart w:id="7164" w:name="Woodruff__C__S_____Senchack_Jr"/>
      <w:pPr>
        <w:pStyle w:val="Para 08"/>
      </w:pPr>
      <w:r>
        <w:t>Woodruff, C. S., &amp; Senchack Jr, A. J. (1988). Điều chỉnh giá-khối lượng trong ngày của các cổ phiếu NYSE trước lợi nhuận bất ngờ. Journal of Finance, 43(2), 467–491.</w:t>
      </w:r>
      <w:bookmarkEnd w:id="7164"/>
    </w:p>
    <w:p>
      <w:bookmarkStart w:id="7165" w:name="Woolridge__R___1993___Competitiv"/>
      <w:pPr>
        <w:pStyle w:val="Para 08"/>
      </w:pPr>
      <w:r>
        <w:t>Woolridge, R. (1993). Suy giảm cạnh tranh và tái cấu trúc doanh nghiệp. Trong: Tài chính Doanh nghiệp Mới, (chủ biên D. H. Chew Jr.), New York: McGraw-Hill.</w:t>
      </w:r>
      <w:bookmarkEnd w:id="7165"/>
    </w:p>
    <w:p>
      <w:bookmarkStart w:id="7167" w:name="Top_of_b02_xhtml"/>
      <w:bookmarkStart w:id="7168" w:name="Index____A___Abandonment_option"/>
      <w:bookmarkStart w:id="7169" w:name="Index"/>
      <w:pPr>
        <w:keepNext/>
        <w:pStyle w:val="Heading 1"/>
        <w:pageBreakBefore w:val="on"/>
        <w:keepLines w:val="on"/>
      </w:pPr>
      <w:r>
        <w:t>Mục lục</w:t>
      </w:r>
      <w:bookmarkEnd w:id="7167"/>
      <w:bookmarkEnd w:id="7168"/>
      <w:bookmarkEnd w:id="7169"/>
    </w:p>
    <w:p>
      <w:bookmarkStart w:id="7171" w:name="A"/>
      <w:bookmarkStart w:id="7172" w:name="A___Abandonment_option__explanat"/>
      <w:pPr>
        <w:keepNext/>
        <w:pStyle w:val="Para 50"/>
        <w:keepLines w:val="on"/>
      </w:pPr>
      <w:r>
        <w:t>A</w:t>
      </w:r>
      <w:bookmarkEnd w:id="7171"/>
      <w:bookmarkEnd w:id="7172"/>
    </w:p>
    <w:p>
      <w:bookmarkStart w:id="7173" w:name="Abandonment_option__explanation"/>
      <w:pPr>
        <w:pStyle w:val="Para 01"/>
        <w:keepLines w:val="on"/>
      </w:pPr>
      <w:r>
        <w:t>Quyền chọn từ bỏ</w:t>
      </w:r>
      <w:bookmarkEnd w:id="7173"/>
    </w:p>
    <w:p>
      <w:bookmarkStart w:id="7174" w:name="explanation_of__953"/>
      <w:pPr>
        <w:pStyle w:val="Para 01"/>
        <w:keepLines w:val="on"/>
      </w:pPr>
      <w:r>
        <w:t>giải thích về, 953</w:t>
      </w:r>
      <w:bookmarkEnd w:id="7174"/>
    </w:p>
    <w:p>
      <w:bookmarkStart w:id="7175" w:name="extensions_and_implications_of"/>
      <w:pPr>
        <w:pStyle w:val="Para 01"/>
        <w:keepLines w:val="on"/>
      </w:pPr>
      <w:r>
        <w:t>các mở rộng và hàm ý của, 955–956</w:t>
      </w:r>
      <w:bookmarkEnd w:id="7175"/>
    </w:p>
    <w:p>
      <w:bookmarkStart w:id="7176" w:name="payoff_on__953_955"/>
      <w:pPr>
        <w:pStyle w:val="Para 01"/>
        <w:keepLines w:val="on"/>
      </w:pPr>
      <w:r>
        <w:t>khoản chi trả của, 953–955</w:t>
      </w:r>
      <w:bookmarkEnd w:id="7176"/>
    </w:p>
    <w:p>
      <w:bookmarkStart w:id="7177" w:name="problems_in_valuing__955"/>
      <w:pPr>
        <w:pStyle w:val="Para 01"/>
        <w:keepLines w:val="on"/>
      </w:pPr>
      <w:r>
        <w:t>các vấn đề trong việc định giá, 955</w:t>
      </w:r>
      <w:bookmarkEnd w:id="7177"/>
    </w:p>
    <w:p>
      <w:bookmarkStart w:id="7178" w:name="Abnormally_low_earnings__696_697"/>
      <w:pPr>
        <w:pStyle w:val="Para 01"/>
        <w:keepLines w:val="on"/>
      </w:pPr>
      <w:r>
        <w:t>Lợi nhuận thấp bất thường, 696–697</w:t>
      </w:r>
      <w:bookmarkEnd w:id="7178"/>
    </w:p>
    <w:p>
      <w:bookmarkStart w:id="7179" w:name="Accounting__accrual__44__45_chan"/>
      <w:pPr>
        <w:pStyle w:val="Para 01"/>
        <w:keepLines w:val="on"/>
      </w:pPr>
      <w:r>
        <w:t>Kế toán</w:t>
      </w:r>
      <w:bookmarkEnd w:id="7179"/>
    </w:p>
    <w:p>
      <w:bookmarkStart w:id="7180" w:name="accrual__44__45"/>
      <w:pPr>
        <w:pStyle w:val="Para 01"/>
        <w:keepLines w:val="on"/>
      </w:pPr>
      <w:r>
        <w:t>Dồn tích, 44, 45</w:t>
      </w:r>
      <w:bookmarkEnd w:id="7180"/>
    </w:p>
    <w:p>
      <w:bookmarkStart w:id="7181" w:name="changes_in__46__978"/>
      <w:pPr>
        <w:pStyle w:val="Para 01"/>
        <w:keepLines w:val="on"/>
      </w:pPr>
      <w:r>
        <w:t>những thay đổi trong, 46, 978</w:t>
      </w:r>
      <w:bookmarkEnd w:id="7181"/>
    </w:p>
    <w:p>
      <w:bookmarkStart w:id="7182" w:name="as_consideration_in_acquisitions"/>
      <w:pPr>
        <w:pStyle w:val="Para 01"/>
        <w:keepLines w:val="on"/>
      </w:pPr>
      <w:r>
        <w:t>như khoản đền bù trong các thương vụ mua lại, 823–825</w:t>
      </w:r>
      <w:bookmarkEnd w:id="7182"/>
    </w:p>
    <w:p>
      <w:bookmarkStart w:id="7183" w:name="Accounting_betas__explanation_of"/>
      <w:pPr>
        <w:pStyle w:val="Para 01"/>
        <w:keepLines w:val="on"/>
      </w:pPr>
      <w:r>
        <w:t>Beta kế toán</w:t>
      </w:r>
      <w:bookmarkEnd w:id="7183"/>
    </w:p>
    <w:p>
      <w:bookmarkStart w:id="7184" w:name="explanation_of__214_215"/>
      <w:pPr>
        <w:pStyle w:val="Para 01"/>
        <w:keepLines w:val="on"/>
      </w:pPr>
      <w:r>
        <w:t>giải thích về, 214–215</w:t>
      </w:r>
      <w:bookmarkEnd w:id="7184"/>
    </w:p>
    <w:p>
      <w:bookmarkStart w:id="7185" w:name="market_and_bottom_up_betas_vs"/>
      <w:pPr>
        <w:pStyle w:val="Para 01"/>
        <w:keepLines w:val="on"/>
      </w:pPr>
      <w:r>
        <w:t>beta thị trường và beta từ dưới lên so với, 215–216</w:t>
      </w:r>
      <w:bookmarkEnd w:id="7185"/>
    </w:p>
    <w:p>
      <w:bookmarkStart w:id="7186" w:name="in_private_firms__759_760"/>
      <w:pPr>
        <w:pStyle w:val="Para 01"/>
        <w:keepLines w:val="on"/>
      </w:pPr>
      <w:r>
        <w:t>trong các công ty tư nhân, 759–760</w:t>
      </w:r>
      <w:bookmarkEnd w:id="7186"/>
    </w:p>
    <w:p>
      <w:bookmarkStart w:id="7187" w:name="Accounting_book_value__See_Book"/>
      <w:pPr>
        <w:pStyle w:val="Para 01"/>
        <w:keepLines w:val="on"/>
      </w:pPr>
      <w:r>
        <w:t>Giá trị sổ sách kế toán. Xem Giá trị sổ sách</w:t>
      </w:r>
      <w:bookmarkEnd w:id="7187"/>
    </w:p>
    <w:p>
      <w:bookmarkStart w:id="7188" w:name="Accounting_data__financial_infor"/>
      <w:pPr>
        <w:pStyle w:val="Para 01"/>
        <w:keepLines w:val="on"/>
      </w:pPr>
      <w:r>
        <w:t>Dữ liệu kế toán, thông tin tài chính và, 241–243</w:t>
      </w:r>
      <w:bookmarkEnd w:id="7188"/>
    </w:p>
    <w:p>
      <w:bookmarkStart w:id="7189" w:name="Accounting_principles__asset_mea"/>
      <w:pPr>
        <w:pStyle w:val="Para 01"/>
        <w:keepLines w:val="on"/>
      </w:pPr>
      <w:r>
        <w:t>Các nguyên tắc kế toán</w:t>
      </w:r>
      <w:bookmarkEnd w:id="7189"/>
    </w:p>
    <w:p>
      <w:bookmarkStart w:id="7190" w:name="asset_measurement_and__31_32"/>
      <w:pPr>
        <w:pStyle w:val="Para 01"/>
        <w:keepLines w:val="on"/>
      </w:pPr>
      <w:r>
        <w:t>đo lường tài sản và, 31–32</w:t>
      </w:r>
      <w:bookmarkEnd w:id="7190"/>
    </w:p>
    <w:p>
      <w:bookmarkStart w:id="7191" w:name="earnings__profitability__and__44"/>
      <w:pPr>
        <w:pStyle w:val="Para 01"/>
        <w:keepLines w:val="on"/>
      </w:pPr>
      <w:r>
        <w:t>thu nhập, khả năng sinh lời và, 44</w:t>
      </w:r>
      <w:bookmarkEnd w:id="7191"/>
    </w:p>
    <w:p>
      <w:bookmarkStart w:id="7192" w:name="liability__equity__and__38_39"/>
      <w:pPr>
        <w:pStyle w:val="Para 01"/>
        <w:keepLines w:val="on"/>
      </w:pPr>
      <w:r>
        <w:t>nợ phải trả, vốn chủ sở hữu và, 38–39</w:t>
      </w:r>
      <w:bookmarkEnd w:id="7192"/>
    </w:p>
    <w:p>
      <w:bookmarkStart w:id="7193" w:name="risk_measurement_and__50_51"/>
      <w:pPr>
        <w:pStyle w:val="Para 01"/>
        <w:keepLines w:val="on"/>
      </w:pPr>
      <w:r>
        <w:t>đo lường rủi ro và, 50–51</w:t>
      </w:r>
      <w:bookmarkEnd w:id="7193"/>
    </w:p>
    <w:p>
      <w:bookmarkStart w:id="7194" w:name="Accounting_ratios__risk_measures"/>
      <w:pPr>
        <w:pStyle w:val="Para 01"/>
        <w:keepLines w:val="on"/>
      </w:pPr>
      <w:r>
        <w:t>Các tỷ số kế toán, thước đo rủi ro dựa trên, 79</w:t>
      </w:r>
      <w:bookmarkEnd w:id="7194"/>
    </w:p>
    <w:p>
      <w:bookmarkStart w:id="7195" w:name="Accounting_standards__difference"/>
      <w:pPr>
        <w:pStyle w:val="Para 01"/>
        <w:keepLines w:val="on"/>
      </w:pPr>
      <w:r>
        <w:t>Các chuẩn mực kế toán, sự khác biệt trong, 56–57</w:t>
      </w:r>
      <w:bookmarkEnd w:id="7195"/>
    </w:p>
    <w:p>
      <w:bookmarkStart w:id="7196" w:name="Accounting_statements__29_31"/>
      <w:pPr>
        <w:pStyle w:val="Para 01"/>
        <w:keepLines w:val="on"/>
      </w:pPr>
      <w:r>
        <w:t>Các báo cáo kế toán, 29–31</w:t>
      </w:r>
      <w:bookmarkEnd w:id="7196"/>
    </w:p>
    <w:p>
      <w:bookmarkStart w:id="7197" w:name="Accounts_payable__39"/>
      <w:pPr>
        <w:pStyle w:val="Para 01"/>
        <w:keepLines w:val="on"/>
      </w:pPr>
      <w:r>
        <w:t>Các khoản phải trả người bán, 39</w:t>
      </w:r>
      <w:bookmarkEnd w:id="7197"/>
    </w:p>
    <w:p>
      <w:bookmarkStart w:id="7198" w:name="Accounts_payable_turnover__52"/>
      <w:pPr>
        <w:pStyle w:val="Para 01"/>
        <w:keepLines w:val="on"/>
      </w:pPr>
      <w:r>
        <w:t>Vòng quay các khoản phải trả người bán, 52</w:t>
      </w:r>
      <w:bookmarkEnd w:id="7198"/>
    </w:p>
    <w:p>
      <w:bookmarkStart w:id="7199" w:name="Accounts_receivable__33"/>
      <w:pPr>
        <w:pStyle w:val="Para 01"/>
        <w:keepLines w:val="on"/>
      </w:pPr>
      <w:r>
        <w:t>Các khoản phải thu khách hàng, 33</w:t>
      </w:r>
      <w:bookmarkEnd w:id="7199"/>
    </w:p>
    <w:p>
      <w:bookmarkStart w:id="7200" w:name="Accounts_receivable_turnover__52"/>
      <w:pPr>
        <w:pStyle w:val="Para 01"/>
        <w:keepLines w:val="on"/>
      </w:pPr>
      <w:r>
        <w:t>Vòng quay các khoản phải thu khách hàng, 52</w:t>
      </w:r>
      <w:bookmarkEnd w:id="7200"/>
    </w:p>
    <w:p>
      <w:bookmarkStart w:id="7201" w:name="Accrual_accounting__44__45"/>
      <w:pPr>
        <w:pStyle w:val="Para 01"/>
        <w:keepLines w:val="on"/>
      </w:pPr>
      <w:r>
        <w:t>Kế toán dồn tích, 44, 45</w:t>
      </w:r>
      <w:bookmarkEnd w:id="7201"/>
    </w:p>
    <w:p>
      <w:bookmarkStart w:id="7202" w:name="Acid_test_ratios__52"/>
      <w:pPr>
        <w:pStyle w:val="Para 01"/>
        <w:keepLines w:val="on"/>
      </w:pPr>
      <w:r>
        <w:t>Các tỷ số thanh toán nhanh, 52</w:t>
      </w:r>
      <w:bookmarkEnd w:id="7202"/>
    </w:p>
    <w:p>
      <w:bookmarkStart w:id="7203" w:name="Acquisition_premium__796"/>
      <w:pPr>
        <w:pStyle w:val="Para 01"/>
        <w:keepLines w:val="on"/>
      </w:pPr>
      <w:r>
        <w:t>Phần bù thương vụ mua lại, 796</w:t>
      </w:r>
      <w:bookmarkEnd w:id="7203"/>
    </w:p>
    <w:p>
      <w:bookmarkStart w:id="7204" w:name="Acquisition_price__deciding_on"/>
      <w:pPr>
        <w:pStyle w:val="Para 01"/>
        <w:keepLines w:val="on"/>
      </w:pPr>
      <w:r>
        <w:t>Giá mua lại</w:t>
      </w:r>
      <w:bookmarkEnd w:id="7204"/>
    </w:p>
    <w:p>
      <w:bookmarkStart w:id="7205" w:name="deciding_on__820_821"/>
      <w:pPr>
        <w:pStyle w:val="Para 01"/>
        <w:keepLines w:val="on"/>
      </w:pPr>
      <w:r>
        <w:t>quyết định về, 820–821</w:t>
      </w:r>
      <w:bookmarkEnd w:id="7205"/>
    </w:p>
    <w:p>
      <w:bookmarkStart w:id="7206" w:name="research_on_value_and__796_797"/>
      <w:pPr>
        <w:pStyle w:val="Para 01"/>
        <w:keepLines w:val="on"/>
      </w:pPr>
      <w:r>
        <w:t>nghiên cứu về giá trị và, 796–797</w:t>
      </w:r>
      <w:bookmarkEnd w:id="7206"/>
    </w:p>
    <w:p>
      <w:bookmarkStart w:id="7207" w:name="for_sole_bidders__825"/>
      <w:pPr>
        <w:pStyle w:val="Para 01"/>
        <w:keepLines w:val="on"/>
      </w:pPr>
      <w:r>
        <w:t>đối với người đấu giá duy nhất, 825</w:t>
      </w:r>
      <w:bookmarkEnd w:id="7207"/>
    </w:p>
    <w:p>
      <w:bookmarkStart w:id="7208" w:name="Acquisitions__See_also_Takeovers"/>
      <w:pPr>
        <w:pStyle w:val="Para 01"/>
        <w:keepLines w:val="on"/>
      </w:pPr>
      <w:r>
        <w:t>Thương vụ mua lại (Acquisitions). Xem thêm các thương vụ thâu tóm (Takeovers)</w:t>
      </w:r>
      <w:bookmarkEnd w:id="7208"/>
    </w:p>
    <w:p>
      <w:bookmarkStart w:id="7209" w:name="adjusting_book_equity_for__583"/>
      <w:pPr>
        <w:pStyle w:val="Para 01"/>
        <w:keepLines w:val="on"/>
      </w:pPr>
      <w:r>
        <w:t>điều chỉnh vốn chủ sở hữu trên sổ sách cho, 583</w:t>
      </w:r>
      <w:bookmarkEnd w:id="7209"/>
    </w:p>
    <w:p>
      <w:bookmarkStart w:id="7210" w:name="adjusting_earnings_for__260"/>
      <w:pPr>
        <w:pStyle w:val="Para 01"/>
        <w:keepLines w:val="on"/>
      </w:pPr>
      <w:r>
        <w:t>điều chỉnh lợi nhuận cho, 260</w:t>
      </w:r>
      <w:bookmarkEnd w:id="7210"/>
    </w:p>
    <w:p>
      <w:bookmarkStart w:id="7211" w:name="analysis_of__9_10"/>
      <w:pPr>
        <w:pStyle w:val="Para 01"/>
        <w:keepLines w:val="on"/>
      </w:pPr>
      <w:r>
        <w:t>phân tích về, 9–10</w:t>
      </w:r>
      <w:bookmarkEnd w:id="7211"/>
    </w:p>
    <w:p>
      <w:bookmarkStart w:id="7212" w:name="APV_approach_to_valuation_after"/>
      <w:pPr>
        <w:pStyle w:val="Para 01"/>
        <w:keepLines w:val="on"/>
      </w:pPr>
      <w:r>
        <w:t>cách tiếp cận APV để định giá sau, 455–456</w:t>
      </w:r>
      <w:bookmarkEnd w:id="7212"/>
    </w:p>
    <w:p>
      <w:bookmarkStart w:id="7213" w:name="capital_expenses_and__282_283"/>
      <w:pPr>
        <w:pStyle w:val="Para 01"/>
        <w:keepLines w:val="on"/>
      </w:pPr>
      <w:r>
        <w:t>chi phí vốn và, 282–283</w:t>
      </w:r>
      <w:bookmarkEnd w:id="7213"/>
    </w:p>
    <w:p>
      <w:bookmarkStart w:id="7214" w:name="choosing_target_firm_and_valuing"/>
      <w:pPr>
        <w:pStyle w:val="Para 01"/>
        <w:keepLines w:val="on"/>
      </w:pPr>
      <w:r>
        <w:t>chọn công ty mục tiêu và định giá quyền kiểm soát/hiệu ứng cộng hưởng trong, 805–818</w:t>
      </w:r>
      <w:bookmarkEnd w:id="7214"/>
    </w:p>
    <w:p>
      <w:bookmarkStart w:id="7215" w:name="classification_of__795_796"/>
      <w:pPr>
        <w:pStyle w:val="Para 01"/>
        <w:keepLines w:val="on"/>
      </w:pPr>
      <w:r>
        <w:t>phân loại, 795–796</w:t>
      </w:r>
      <w:bookmarkEnd w:id="7215"/>
    </w:p>
    <w:p>
      <w:bookmarkStart w:id="7216" w:name="cost_of_ignoring__284"/>
      <w:pPr>
        <w:pStyle w:val="Para 01"/>
        <w:keepLines w:val="on"/>
      </w:pPr>
      <w:r>
        <w:t>chi phí của việc bỏ qua, 284</w:t>
      </w:r>
      <w:bookmarkEnd w:id="7216"/>
    </w:p>
    <w:p>
      <w:bookmarkStart w:id="7217" w:name="developing_strategy_for__799_805"/>
      <w:pPr>
        <w:pStyle w:val="Para 01"/>
        <w:keepLines w:val="on"/>
      </w:pPr>
      <w:r>
        <w:t>phát triển chiến lược cho, 799–805</w:t>
      </w:r>
      <w:bookmarkEnd w:id="7217"/>
    </w:p>
    <w:p>
      <w:bookmarkStart w:id="7218" w:name="explansion_options_with__940"/>
      <w:pPr>
        <w:pStyle w:val="Para 01"/>
        <w:keepLines w:val="on"/>
      </w:pPr>
      <w:r>
        <w:t>các quyền chọn mở rộng với, 940</w:t>
      </w:r>
      <w:bookmarkEnd w:id="7218"/>
    </w:p>
    <w:p>
      <w:bookmarkStart w:id="7219" w:name="firms_involved_in__20"/>
      <w:pPr>
        <w:pStyle w:val="Para 01"/>
        <w:keepLines w:val="on"/>
      </w:pPr>
      <w:r>
        <w:t>các công ty tham gia vào, 20</w:t>
      </w:r>
      <w:bookmarkEnd w:id="7219"/>
    </w:p>
    <w:p>
      <w:bookmarkStart w:id="7220" w:name="friendly_vs__hostile__796"/>
      <w:pPr>
        <w:pStyle w:val="Para 01"/>
        <w:keepLines w:val="on"/>
      </w:pPr>
      <w:r>
        <w:t>thân thiện so với thù địch, 796</w:t>
      </w:r>
      <w:bookmarkEnd w:id="7220"/>
    </w:p>
    <w:p>
      <w:bookmarkStart w:id="7221" w:name="improving_outcome_of__825_828"/>
      <w:pPr>
        <w:pStyle w:val="Para 01"/>
        <w:keepLines w:val="on"/>
      </w:pPr>
      <w:r>
        <w:t>cải thiện kết quả của, 825–828</w:t>
      </w:r>
      <w:bookmarkEnd w:id="7221"/>
    </w:p>
    <w:p>
      <w:bookmarkStart w:id="7222" w:name="process_of__796_797"/>
      <w:pPr>
        <w:pStyle w:val="Para 01"/>
        <w:keepLines w:val="on"/>
      </w:pPr>
      <w:r>
        <w:t>quy trình của, 796–797</w:t>
      </w:r>
      <w:bookmarkEnd w:id="7222"/>
    </w:p>
    <w:p>
      <w:bookmarkStart w:id="7223" w:name="steps_in__799_818"/>
      <w:pPr>
        <w:pStyle w:val="Para 01"/>
        <w:keepLines w:val="on"/>
      </w:pPr>
      <w:r>
        <w:t>các bước trong, 799–818</w:t>
      </w:r>
      <w:bookmarkEnd w:id="7223"/>
    </w:p>
    <w:p>
      <w:bookmarkStart w:id="7224" w:name="story_changes_due_to__383"/>
      <w:pPr>
        <w:pStyle w:val="Para 01"/>
        <w:keepLines w:val="on"/>
      </w:pPr>
      <w:r>
        <w:t>câu chuyện thay đổi do, 383</w:t>
      </w:r>
      <w:bookmarkEnd w:id="7224"/>
    </w:p>
    <w:p>
      <w:bookmarkStart w:id="7225" w:name="structuring__820_824"/>
      <w:pPr>
        <w:pStyle w:val="Para 01"/>
        <w:keepLines w:val="on"/>
      </w:pPr>
      <w:r>
        <w:t>cấu trúc hóa, 820–824</w:t>
      </w:r>
      <w:bookmarkEnd w:id="7225"/>
    </w:p>
    <w:p>
      <w:bookmarkStart w:id="7226" w:name="as_value_neutral_action__978"/>
      <w:pPr>
        <w:pStyle w:val="Para 01"/>
        <w:keepLines w:val="on"/>
      </w:pPr>
      <w:r>
        <w:t>như một hành động trung tính về giá trị, 978</w:t>
      </w:r>
      <w:bookmarkEnd w:id="7226"/>
    </w:p>
    <w:p>
      <w:bookmarkStart w:id="7227" w:name="Action__story_as_driver_of__366"/>
      <w:pPr>
        <w:pStyle w:val="Para 01"/>
        <w:keepLines w:val="on"/>
      </w:pPr>
      <w:r>
        <w:t>Hành động, câu chuyện như động lực thúc đẩy, 366</w:t>
      </w:r>
      <w:bookmarkEnd w:id="7227"/>
    </w:p>
    <w:p>
      <w:bookmarkStart w:id="7228" w:name="Activision_Blizzard__213_214"/>
      <w:pPr>
        <w:pStyle w:val="Para 01"/>
        <w:keepLines w:val="on"/>
      </w:pPr>
      <w:r>
        <w:t>Activision Blizzard, 213–214</w:t>
      </w:r>
      <w:bookmarkEnd w:id="7228"/>
    </w:p>
    <w:p>
      <w:bookmarkStart w:id="7229" w:name="Adjusted_present_value__APV__app"/>
      <w:pPr>
        <w:pStyle w:val="Para 01"/>
        <w:keepLines w:val="on"/>
      </w:pPr>
      <w:r>
        <w:t>Cách tiếp cận giá trị hiện tại điều chỉnh (APV)</w:t>
      </w:r>
      <w:bookmarkEnd w:id="7229"/>
    </w:p>
    <w:p>
      <w:bookmarkStart w:id="7230" w:name="benefits_and_limitations_of__457"/>
      <w:pPr>
        <w:pStyle w:val="Para 01"/>
        <w:keepLines w:val="on"/>
      </w:pPr>
      <w:r>
        <w:t>lợi ích và hạn chế của, 457</w:t>
      </w:r>
      <w:bookmarkEnd w:id="7230"/>
    </w:p>
    <w:p>
      <w:bookmarkStart w:id="7231" w:name="cost_of_capital_approach_vs___17"/>
      <w:pPr>
        <w:pStyle w:val="Para 01"/>
        <w:keepLines w:val="on"/>
      </w:pPr>
      <w:r>
        <w:t>so với phương pháp chi phí vốn (cost of capital approach), 17–18, 457–458</w:t>
      </w:r>
      <w:bookmarkEnd w:id="7231"/>
    </w:p>
    <w:p>
      <w:bookmarkStart w:id="7232" w:name="firm_valuation_with__440_453"/>
      <w:pPr>
        <w:pStyle w:val="Para 01"/>
        <w:keepLines w:val="on"/>
      </w:pPr>
      <w:r>
        <w:t>định giá doanh nghiệp bằng phương pháp này, 440–453</w:t>
      </w:r>
      <w:bookmarkEnd w:id="7232"/>
    </w:p>
    <w:p>
      <w:bookmarkStart w:id="7233" w:name="illustrations__455_456"/>
      <w:pPr>
        <w:pStyle w:val="Para 01"/>
        <w:keepLines w:val="on"/>
      </w:pPr>
      <w:r>
        <w:t>các ví dụ minh họa, 455–456</w:t>
      </w:r>
      <w:bookmarkEnd w:id="7233"/>
    </w:p>
    <w:p>
      <w:bookmarkStart w:id="7234" w:name="mechanics_of__453_456"/>
      <w:pPr>
        <w:pStyle w:val="Para 01"/>
        <w:keepLines w:val="on"/>
      </w:pPr>
      <w:r>
        <w:t>cơ chế vận hành của, 453–456</w:t>
      </w:r>
      <w:bookmarkEnd w:id="7234"/>
    </w:p>
    <w:p>
      <w:bookmarkStart w:id="7235" w:name="without_bankruptcy_costs__458"/>
      <w:pPr>
        <w:pStyle w:val="Para 01"/>
        <w:keepLines w:val="on"/>
      </w:pPr>
      <w:r>
        <w:t>không tính đến chi phí phá sản, 458</w:t>
      </w:r>
      <w:bookmarkEnd w:id="7235"/>
    </w:p>
    <w:p>
      <w:bookmarkStart w:id="7236" w:name="Adjustments__for_acquisitions__2"/>
      <w:pPr>
        <w:pStyle w:val="Para 01"/>
        <w:keepLines w:val="on"/>
      </w:pPr>
      <w:r>
        <w:t>Các điều chỉnh</w:t>
      </w:r>
      <w:bookmarkEnd w:id="7236"/>
    </w:p>
    <w:p>
      <w:bookmarkStart w:id="7237" w:name="for_acquisitions__260__583"/>
      <w:pPr>
        <w:pStyle w:val="Para 01"/>
        <w:keepLines w:val="on"/>
      </w:pPr>
      <w:r>
        <w:t>cho hoạt động mua bán sáp nhập (acquisitions), 260, 583</w:t>
      </w:r>
      <w:bookmarkEnd w:id="7237"/>
    </w:p>
    <w:p>
      <w:bookmarkStart w:id="7238" w:name="distress_adjusted_DCF__722_726"/>
      <w:pPr>
        <w:pStyle w:val="Para 01"/>
        <w:keepLines w:val="on"/>
      </w:pPr>
      <w:r>
        <w:t>DCF điều chỉnh theo tình trạng kiệt quệ tài chính (distress-adjusted DCF), 722–726</w:t>
      </w:r>
      <w:bookmarkEnd w:id="7238"/>
    </w:p>
    <w:p>
      <w:bookmarkStart w:id="7239" w:name="earnings__243_256"/>
      <w:pPr>
        <w:pStyle w:val="Para 01"/>
        <w:keepLines w:val="on"/>
      </w:pPr>
      <w:r>
        <w:t>thu nhập (earnings), 243–256</w:t>
      </w:r>
      <w:bookmarkEnd w:id="7239"/>
    </w:p>
    <w:p>
      <w:bookmarkStart w:id="7240" w:name="operating_income__253_254"/>
      <w:pPr>
        <w:pStyle w:val="Para 01"/>
        <w:keepLines w:val="on"/>
      </w:pPr>
      <w:r>
        <w:t>thu nhập hoạt động (operating income), 253–254</w:t>
      </w:r>
      <w:bookmarkEnd w:id="7240"/>
    </w:p>
    <w:p>
      <w:bookmarkStart w:id="7241" w:name="post_valuation__465_466"/>
      <w:pPr>
        <w:pStyle w:val="Para 01"/>
        <w:keepLines w:val="on"/>
      </w:pPr>
      <w:r>
        <w:t>sau định giá, 465–466</w:t>
      </w:r>
      <w:bookmarkEnd w:id="7241"/>
    </w:p>
    <w:p>
      <w:bookmarkStart w:id="7242" w:name="price_to_book_ratio__583"/>
      <w:pPr>
        <w:pStyle w:val="Para 01"/>
        <w:keepLines w:val="on"/>
      </w:pPr>
      <w:r>
        <w:t>tỷ lệ giá trên giá trị sổ sách (price-to-book ratio), 583</w:t>
      </w:r>
      <w:bookmarkEnd w:id="7242"/>
    </w:p>
    <w:p>
      <w:bookmarkStart w:id="7243" w:name="subjective__527"/>
      <w:pPr>
        <w:pStyle w:val="Para 01"/>
        <w:keepLines w:val="on"/>
      </w:pPr>
      <w:r>
        <w:t>mang tính chủ quan, 527</w:t>
      </w:r>
      <w:bookmarkEnd w:id="7243"/>
    </w:p>
    <w:p>
      <w:bookmarkStart w:id="7244" w:name="for_survival__358_359"/>
      <w:pPr>
        <w:pStyle w:val="Para 01"/>
        <w:keepLines w:val="on"/>
      </w:pPr>
      <w:r>
        <w:t>để tồn tại, 358–359</w:t>
      </w:r>
      <w:bookmarkEnd w:id="7244"/>
    </w:p>
    <w:p>
      <w:bookmarkStart w:id="7245" w:name="Adris_Grupa__511"/>
      <w:pPr>
        <w:pStyle w:val="Para 01"/>
        <w:keepLines w:val="on"/>
      </w:pPr>
      <w:r>
        <w:t>Adris Grupa, 511</w:t>
      </w:r>
      <w:bookmarkEnd w:id="7245"/>
    </w:p>
    <w:p>
      <w:bookmarkStart w:id="7246" w:name="Advertising__646"/>
      <w:pPr>
        <w:pStyle w:val="Para 01"/>
        <w:keepLines w:val="on"/>
      </w:pPr>
      <w:r>
        <w:t>Quảng cáo, 646</w:t>
      </w:r>
      <w:bookmarkEnd w:id="7246"/>
    </w:p>
    <w:p>
      <w:bookmarkStart w:id="7247" w:name="Advertising_expense__250"/>
      <w:pPr>
        <w:pStyle w:val="Para 01"/>
        <w:keepLines w:val="on"/>
      </w:pPr>
      <w:r>
        <w:t>Chi phí quảng cáo, 250</w:t>
      </w:r>
      <w:bookmarkEnd w:id="7247"/>
    </w:p>
    <w:p>
      <w:bookmarkStart w:id="7248" w:name="After_tax_cash_flow__ATCF___1025"/>
      <w:pPr>
        <w:pStyle w:val="Para 01"/>
        <w:keepLines w:val="on"/>
      </w:pPr>
      <w:r>
        <w:t>Dòng tiền sau thuế (After-tax cash flow – ATCF), 1025</w:t>
      </w:r>
      <w:bookmarkEnd w:id="7248"/>
    </w:p>
    <w:p>
      <w:bookmarkStart w:id="7249" w:name="Aggregated_valuation__choosing"/>
      <w:pPr>
        <w:pStyle w:val="Para 01"/>
        <w:keepLines w:val="on"/>
      </w:pPr>
      <w:r>
        <w:t>Định giá tổng hợp (Aggregated valuation)</w:t>
      </w:r>
      <w:bookmarkEnd w:id="7249"/>
    </w:p>
    <w:p>
      <w:bookmarkStart w:id="7250" w:name="choosing__459_460"/>
      <w:pPr>
        <w:pStyle w:val="Para 01"/>
        <w:keepLines w:val="on"/>
      </w:pPr>
      <w:r>
        <w:t>lựa chọn, 459–460</w:t>
      </w:r>
      <w:bookmarkEnd w:id="7250"/>
    </w:p>
    <w:p>
      <w:bookmarkStart w:id="7251" w:name="currency_choice_for__460"/>
      <w:pPr>
        <w:pStyle w:val="Para 01"/>
        <w:keepLines w:val="on"/>
      </w:pPr>
      <w:r>
        <w:t>lựa chọn đơn vị tiền tệ cho, 460</w:t>
      </w:r>
      <w:bookmarkEnd w:id="7251"/>
    </w:p>
    <w:p>
      <w:bookmarkStart w:id="7252" w:name="disaggregated_vs___458_459"/>
      <w:pPr>
        <w:pStyle w:val="Para 01"/>
        <w:keepLines w:val="on"/>
      </w:pPr>
      <w:r>
        <w:t>so với định giá tách rời (disaggregated), 458–459</w:t>
      </w:r>
      <w:bookmarkEnd w:id="7252"/>
    </w:p>
    <w:p>
      <w:bookmarkStart w:id="7253" w:name="expected_cash_flows_for__463"/>
      <w:pPr>
        <w:pStyle w:val="Para 01"/>
        <w:keepLines w:val="on"/>
      </w:pPr>
      <w:r>
        <w:t>dòng tiền kỳ vọng cho, 463</w:t>
      </w:r>
      <w:bookmarkEnd w:id="7253"/>
    </w:p>
    <w:p>
      <w:bookmarkStart w:id="7254" w:name="risk_parameters_for__461_462"/>
      <w:pPr>
        <w:pStyle w:val="Para 01"/>
        <w:keepLines w:val="on"/>
      </w:pPr>
      <w:r>
        <w:t>các tham số rủi ro cho, 461–462</w:t>
      </w:r>
      <w:bookmarkEnd w:id="7254"/>
    </w:p>
    <w:p>
      <w:bookmarkStart w:id="7255" w:name="Aggregate_undeveloped_reserves"/>
      <w:pPr>
        <w:pStyle w:val="Para 01"/>
        <w:keepLines w:val="on"/>
      </w:pPr>
      <w:r>
        <w:t>Tổng trữ lượng chưa phát triển, 928</w:t>
      </w:r>
      <w:bookmarkEnd w:id="7255"/>
    </w:p>
    <w:p>
      <w:bookmarkStart w:id="7256" w:name="Airbnb__326_327__329_330__334_33"/>
      <w:pPr>
        <w:pStyle w:val="Para 01"/>
        <w:keepLines w:val="on"/>
      </w:pPr>
      <w:r>
        <w:t>Airbnb, 326–327, 329–330, 334–336, 739–746, 748–751</w:t>
      </w:r>
      <w:bookmarkEnd w:id="7256"/>
    </w:p>
    <w:p>
      <w:bookmarkStart w:id="7257" w:name="Airbus__954_955"/>
      <w:pPr>
        <w:pStyle w:val="Para 01"/>
        <w:keepLines w:val="on"/>
      </w:pPr>
      <w:r>
        <w:t>Airbus, 954–955</w:t>
      </w:r>
      <w:bookmarkEnd w:id="7257"/>
    </w:p>
    <w:p>
      <w:bookmarkStart w:id="7258" w:name="Alloy_Mills__353_354"/>
      <w:pPr>
        <w:pStyle w:val="Para 01"/>
        <w:keepLines w:val="on"/>
      </w:pPr>
      <w:r>
        <w:t>Alloy Mills, 353–354</w:t>
      </w:r>
      <w:bookmarkEnd w:id="7258"/>
    </w:p>
    <w:p>
      <w:bookmarkStart w:id="7259" w:name="Altria__374"/>
      <w:pPr>
        <w:pStyle w:val="Para 01"/>
        <w:keepLines w:val="on"/>
      </w:pPr>
      <w:r>
        <w:t>Altria, 374</w:t>
      </w:r>
      <w:bookmarkEnd w:id="7259"/>
    </w:p>
    <w:p>
      <w:bookmarkStart w:id="7260" w:name="Amazon__297_299__370__647__949"/>
      <w:pPr>
        <w:pStyle w:val="Para 01"/>
        <w:keepLines w:val="on"/>
      </w:pPr>
      <w:r>
        <w:t>Amazon, 297–299, 370, 647, 949, 992</w:t>
      </w:r>
      <w:bookmarkEnd w:id="7260"/>
    </w:p>
    <w:p>
      <w:bookmarkStart w:id="7261" w:name="Ambev__937_938__943__944"/>
      <w:pPr>
        <w:pStyle w:val="Para 01"/>
        <w:keepLines w:val="on"/>
      </w:pPr>
      <w:r>
        <w:t>Ambev, 937–938, 943, 944</w:t>
      </w:r>
      <w:bookmarkEnd w:id="7261"/>
    </w:p>
    <w:p>
      <w:bookmarkStart w:id="7262" w:name="American_options__93_94"/>
      <w:pPr>
        <w:pStyle w:val="Para 01"/>
        <w:keepLines w:val="on"/>
      </w:pPr>
      <w:r>
        <w:t>Quyền chọn kiểu Mỹ (American options), 93–94</w:t>
      </w:r>
      <w:bookmarkEnd w:id="7262"/>
    </w:p>
    <w:p>
      <w:bookmarkStart w:id="7264" w:name="Amgen__246_248__276_277__282__44"/>
      <w:pPr>
        <w:pStyle w:val="Para 01"/>
        <w:keepLines w:val="on"/>
      </w:pPr>
      <w:r>
        <w:t>Amgen, 246–248, 276–277, 282, 448–450</w:t>
      </w:r>
      <w:bookmarkEnd w:id="7264"/>
    </w:p>
    <w:p>
      <w:bookmarkStart w:id="7265" w:name="Amortization__573__668"/>
      <w:pPr>
        <w:pStyle w:val="Para 01"/>
        <w:keepLines w:val="on"/>
      </w:pPr>
      <w:r>
        <w:t>Khấu hao tài sản vô hình (Amortization), 573, 668</w:t>
      </w:r>
      <w:bookmarkEnd w:id="7265"/>
    </w:p>
    <w:p>
      <w:bookmarkStart w:id="7266" w:name="Amylin_Pharmaceuticals__568"/>
      <w:pPr>
        <w:pStyle w:val="Para 01"/>
        <w:keepLines w:val="on"/>
      </w:pPr>
      <w:r>
        <w:t>Amylin Pharmaceuticals, 568</w:t>
      </w:r>
      <w:bookmarkEnd w:id="7266"/>
    </w:p>
    <w:p>
      <w:bookmarkStart w:id="7267" w:name="Analyst_forecasts__firms_followe"/>
      <w:pPr>
        <w:pStyle w:val="Para 01"/>
        <w:keepLines w:val="on"/>
      </w:pPr>
      <w:r>
        <w:t>Dự báo của chuyên gia phân tích</w:t>
      </w:r>
      <w:bookmarkEnd w:id="7267"/>
    </w:p>
    <w:p>
      <w:bookmarkStart w:id="7268" w:name="firms_followed_for__307_308"/>
      <w:pPr>
        <w:pStyle w:val="Para 01"/>
        <w:keepLines w:val="on"/>
      </w:pPr>
      <w:r>
        <w:t>các công ty được theo dõi để, 307–308</w:t>
      </w:r>
      <w:bookmarkEnd w:id="7268"/>
    </w:p>
    <w:p>
      <w:bookmarkStart w:id="7269" w:name="future_growth_estimation_from__3"/>
      <w:pPr>
        <w:pStyle w:val="Para 01"/>
        <w:keepLines w:val="on"/>
      </w:pPr>
      <w:r>
        <w:t>ước tính tăng trưởng tương lai từ, 310</w:t>
      </w:r>
      <w:bookmarkEnd w:id="7269"/>
    </w:p>
    <w:p>
      <w:bookmarkStart w:id="7270" w:name="information_in__308"/>
      <w:pPr>
        <w:pStyle w:val="Para 01"/>
        <w:keepLines w:val="on"/>
      </w:pPr>
      <w:r>
        <w:t>thông tin trong, 308</w:t>
      </w:r>
      <w:bookmarkEnd w:id="7270"/>
    </w:p>
    <w:p>
      <w:bookmarkStart w:id="7271" w:name="quality_of__309_310"/>
      <w:pPr>
        <w:pStyle w:val="Para 01"/>
        <w:keepLines w:val="on"/>
      </w:pPr>
      <w:r>
        <w:t>chất lượng của, 309–310</w:t>
      </w:r>
      <w:bookmarkEnd w:id="7271"/>
    </w:p>
    <w:p>
      <w:bookmarkStart w:id="7272" w:name="from_valuation_inputs__377_379"/>
      <w:pPr>
        <w:pStyle w:val="Para 01"/>
        <w:keepLines w:val="on"/>
      </w:pPr>
      <w:r>
        <w:t>từ các yếu tố đầu vào định giá, 377–379</w:t>
      </w:r>
      <w:bookmarkEnd w:id="7272"/>
    </w:p>
    <w:p>
      <w:bookmarkStart w:id="7273" w:name="Analysts__See_also_Financial_ana"/>
      <w:pPr>
        <w:pStyle w:val="Para 10"/>
        <w:keepLines w:val="on"/>
      </w:pPr>
      <w:r>
        <w:t>Chuyên gia phân tích. Xem thêm Phân tích tài chính</w:t>
      </w:r>
      <w:bookmarkEnd w:id="7273"/>
    </w:p>
    <w:p>
      <w:bookmarkStart w:id="7274" w:name="characteristics_and_beliefs_of"/>
      <w:pPr>
        <w:pStyle w:val="Para 01"/>
        <w:keepLines w:val="on"/>
      </w:pPr>
      <w:r>
        <w:t>đặc điểm và niềm tin của, 1068–1069</w:t>
      </w:r>
      <w:bookmarkEnd w:id="7274"/>
    </w:p>
    <w:p>
      <w:bookmarkStart w:id="7275" w:name="outsourcing_growth_estimates_to"/>
      <w:pPr>
        <w:pStyle w:val="Para 01"/>
        <w:keepLines w:val="on"/>
      </w:pPr>
      <w:r>
        <w:t>thuê ngoài ước tính tăng trưởng cho, 307–310</w:t>
      </w:r>
      <w:bookmarkEnd w:id="7275"/>
    </w:p>
    <w:p>
      <w:bookmarkStart w:id="7276" w:name="performance_of__147_148"/>
      <w:pPr>
        <w:pStyle w:val="Para 01"/>
        <w:keepLines w:val="on"/>
      </w:pPr>
      <w:r>
        <w:t>hiệu quả hoạt động của, 147–148</w:t>
      </w:r>
      <w:bookmarkEnd w:id="7276"/>
    </w:p>
    <w:p>
      <w:bookmarkStart w:id="7277" w:name="Analytical_tests__521_525"/>
      <w:pPr>
        <w:pStyle w:val="Para 01"/>
        <w:keepLines w:val="on"/>
      </w:pPr>
      <w:r>
        <w:t>Các bài kiểm tra phân tích, 521–525</w:t>
      </w:r>
      <w:bookmarkEnd w:id="7277"/>
    </w:p>
    <w:p>
      <w:bookmarkStart w:id="7278" w:name="Angelos_Stores__985_986"/>
      <w:pPr>
        <w:pStyle w:val="Para 01"/>
        <w:keepLines w:val="on"/>
      </w:pPr>
      <w:r>
        <w:t>Angelos Stores, 985–986</w:t>
      </w:r>
      <w:bookmarkEnd w:id="7278"/>
    </w:p>
    <w:p>
      <w:bookmarkStart w:id="7279" w:name="Announcements__earnings__133_136"/>
      <w:pPr>
        <w:pStyle w:val="Para 01"/>
        <w:keepLines w:val="on"/>
      </w:pPr>
      <w:r>
        <w:t>Các thông báo</w:t>
      </w:r>
      <w:bookmarkEnd w:id="7279"/>
    </w:p>
    <w:p>
      <w:bookmarkStart w:id="7280" w:name="earnings__133_136"/>
      <w:pPr>
        <w:pStyle w:val="Para 01"/>
        <w:keepLines w:val="on"/>
      </w:pPr>
      <w:r>
        <w:t>thu nhập, 133–136</w:t>
      </w:r>
      <w:bookmarkEnd w:id="7280"/>
    </w:p>
    <w:p>
      <w:bookmarkStart w:id="7281" w:name="investment__136_137"/>
      <w:pPr>
        <w:pStyle w:val="Para 01"/>
        <w:keepLines w:val="on"/>
      </w:pPr>
      <w:r>
        <w:t>đầu tư, 136–137</w:t>
      </w:r>
      <w:bookmarkEnd w:id="7281"/>
    </w:p>
    <w:p>
      <w:bookmarkStart w:id="7282" w:name="project__136_137"/>
      <w:pPr>
        <w:pStyle w:val="Para 01"/>
        <w:keepLines w:val="on"/>
      </w:pPr>
      <w:r>
        <w:t>dự án, 136–137</w:t>
      </w:r>
      <w:bookmarkEnd w:id="7282"/>
    </w:p>
    <w:p>
      <w:bookmarkStart w:id="7283" w:name="Anomalies__137__See_also_Market"/>
      <w:pPr>
        <w:pStyle w:val="Para 10"/>
        <w:keepLines w:val="on"/>
      </w:pPr>
      <w:r>
        <w:t>Bất thường, 137. Xem thêm Bất thường thị trường</w:t>
      </w:r>
      <w:bookmarkEnd w:id="7283"/>
    </w:p>
    <w:p>
      <w:bookmarkStart w:id="7284" w:name="AOL__258"/>
      <w:pPr>
        <w:pStyle w:val="Para 01"/>
        <w:keepLines w:val="on"/>
      </w:pPr>
      <w:r>
        <w:t>AOL, 258</w:t>
      </w:r>
      <w:bookmarkEnd w:id="7284"/>
    </w:p>
    <w:p>
      <w:bookmarkStart w:id="7285" w:name="APM__arbitrage_pricing_model___7"/>
      <w:pPr>
        <w:pStyle w:val="Para 01"/>
        <w:keepLines w:val="on"/>
      </w:pPr>
      <w:r>
        <w:t>APM (mô hình định giá chênh lệch), 71–73</w:t>
      </w:r>
      <w:bookmarkEnd w:id="7285"/>
    </w:p>
    <w:p>
      <w:bookmarkStart w:id="7286" w:name="Apple_Computer__244__384__991"/>
      <w:pPr>
        <w:pStyle w:val="Para 01"/>
        <w:keepLines w:val="on"/>
      </w:pPr>
      <w:r>
        <w:t>Apple Computer, 244, 384, 991</w:t>
      </w:r>
      <w:bookmarkEnd w:id="7286"/>
    </w:p>
    <w:p>
      <w:bookmarkStart w:id="7287" w:name="Application_tests__comparable_fi"/>
      <w:pPr>
        <w:pStyle w:val="Para 01"/>
        <w:keepLines w:val="on"/>
      </w:pPr>
      <w:r>
        <w:t>Kiểm định ứng dụng</w:t>
      </w:r>
      <w:bookmarkEnd w:id="7287"/>
    </w:p>
    <w:p>
      <w:bookmarkStart w:id="7288" w:name="comparable_firms_and__525_526"/>
      <w:pPr>
        <w:pStyle w:val="Para 01"/>
        <w:keepLines w:val="on"/>
      </w:pPr>
      <w:r>
        <w:t>các công ty tương đồng và, 525–526</w:t>
      </w:r>
      <w:bookmarkEnd w:id="7288"/>
    </w:p>
    <w:p>
      <w:bookmarkStart w:id="7289" w:name="controlling_for_differences_acro"/>
      <w:pPr>
        <w:pStyle w:val="Para 01"/>
        <w:keepLines w:val="on"/>
      </w:pPr>
      <w:r>
        <w:t>kiểm soát sự khác biệt giữa các công ty trong, 526–530</w:t>
      </w:r>
      <w:bookmarkEnd w:id="7289"/>
    </w:p>
    <w:p>
      <w:bookmarkStart w:id="7290" w:name="explanation_of__525"/>
      <w:pPr>
        <w:pStyle w:val="Para 01"/>
        <w:keepLines w:val="on"/>
      </w:pPr>
      <w:r>
        <w:t>giải thích về, 525</w:t>
      </w:r>
      <w:bookmarkEnd w:id="7290"/>
    </w:p>
    <w:p>
      <w:bookmarkStart w:id="7291" w:name="for_multiples__525_530"/>
      <w:pPr>
        <w:pStyle w:val="Para 01"/>
        <w:keepLines w:val="on"/>
      </w:pPr>
      <w:r>
        <w:t>đối với các bội số, 525–530</w:t>
      </w:r>
      <w:bookmarkEnd w:id="7291"/>
    </w:p>
    <w:p>
      <w:bookmarkStart w:id="7292" w:name="sampling_choices_and__526"/>
      <w:pPr>
        <w:pStyle w:val="Para 01"/>
        <w:keepLines w:val="on"/>
      </w:pPr>
      <w:r>
        <w:t>lựa chọn mẫu và, 526</w:t>
      </w:r>
      <w:bookmarkEnd w:id="7292"/>
    </w:p>
    <w:p>
      <w:bookmarkStart w:id="7293" w:name="Aracruz_Celulose__300_301"/>
      <w:pPr>
        <w:pStyle w:val="Para 01"/>
        <w:keepLines w:val="on"/>
      </w:pPr>
      <w:r>
        <w:t>Aracruz Celulose, 300–301</w:t>
      </w:r>
      <w:bookmarkEnd w:id="7293"/>
    </w:p>
    <w:p>
      <w:bookmarkStart w:id="7294" w:name="Arbitrage__option_pricing_models"/>
      <w:pPr>
        <w:pStyle w:val="Para 01"/>
        <w:keepLines w:val="on"/>
      </w:pPr>
      <w:r>
        <w:t>Chênh lệch giá</w:t>
      </w:r>
      <w:bookmarkEnd w:id="7294"/>
    </w:p>
    <w:p>
      <w:bookmarkStart w:id="7295" w:name="option_pricing_models_and__915_9"/>
      <w:pPr>
        <w:pStyle w:val="Para 01"/>
        <w:keepLines w:val="on"/>
      </w:pPr>
      <w:r>
        <w:t>mô hình định giá quyền chọn và, 915–916</w:t>
      </w:r>
      <w:bookmarkEnd w:id="7295"/>
    </w:p>
    <w:p>
      <w:bookmarkStart w:id="7296" w:name="tax__liquidity__and_time_horizon"/>
      <w:pPr>
        <w:pStyle w:val="Para 01"/>
        <w:keepLines w:val="on"/>
      </w:pPr>
      <w:r>
        <w:t>chênh lệch giá, tính thanh khoản và khung thời gian, 151</w:t>
      </w:r>
      <w:bookmarkEnd w:id="7296"/>
    </w:p>
    <w:p>
      <w:bookmarkStart w:id="7297" w:name="Arbitrage_pricing_model__APM___7"/>
      <w:pPr>
        <w:pStyle w:val="Para 01"/>
        <w:keepLines w:val="on"/>
      </w:pPr>
      <w:r>
        <w:t>Mô hình định giá chênh lệch (APM), 71–73</w:t>
      </w:r>
      <w:bookmarkEnd w:id="7297"/>
    </w:p>
    <w:p>
      <w:bookmarkStart w:id="7298" w:name="ARIMA__autoregressive_integrated"/>
      <w:pPr>
        <w:pStyle w:val="Para 01"/>
        <w:keepLines w:val="on"/>
      </w:pPr>
      <w:r>
        <w:t>Các mô hình ARIMA (trung bình trượt tích hợp tự hồi quy), 301–302</w:t>
      </w:r>
      <w:bookmarkEnd w:id="7298"/>
    </w:p>
    <w:p>
      <w:bookmarkStart w:id="7299" w:name="Arithmetic_average__166__296_297"/>
      <w:pPr>
        <w:pStyle w:val="Para 01"/>
        <w:keepLines w:val="on"/>
      </w:pPr>
      <w:r>
        <w:t>Trung bình cộng, 166, 296–297</w:t>
      </w:r>
      <w:bookmarkEnd w:id="7299"/>
    </w:p>
    <w:p>
      <w:bookmarkStart w:id="7300" w:name="Arms_length_transactions__790"/>
      <w:pPr>
        <w:pStyle w:val="Para 01"/>
        <w:keepLines w:val="on"/>
      </w:pPr>
      <w:r>
        <w:t>Giao dịch độc lập (arms-length), 790</w:t>
      </w:r>
      <w:bookmarkEnd w:id="7300"/>
    </w:p>
    <w:p>
      <w:bookmarkStart w:id="7301" w:name="Artwork__883_884"/>
      <w:pPr>
        <w:pStyle w:val="Para 01"/>
        <w:keepLines w:val="on"/>
      </w:pPr>
      <w:r>
        <w:t>Tác phẩm nghệ thuật, 883–884</w:t>
      </w:r>
      <w:bookmarkEnd w:id="7301"/>
    </w:p>
    <w:p>
      <w:bookmarkStart w:id="7302" w:name="Asset_based_valuation__24_25__67"/>
      <w:pPr>
        <w:pStyle w:val="Para 01"/>
        <w:keepLines w:val="on"/>
      </w:pPr>
      <w:r>
        <w:t>Định giá dựa trên tài sản, 24–25, 675–676</w:t>
      </w:r>
      <w:bookmarkEnd w:id="7302"/>
    </w:p>
    <w:p>
      <w:bookmarkStart w:id="7303" w:name="Asset_classes__co_movement_of_re"/>
      <w:pPr>
        <w:pStyle w:val="Para 01"/>
        <w:keepLines w:val="on"/>
      </w:pPr>
      <w:r>
        <w:t>Các lớp tài sản</w:t>
      </w:r>
      <w:bookmarkEnd w:id="7303"/>
    </w:p>
    <w:p>
      <w:bookmarkStart w:id="7304" w:name="co_movement_of_real_estate_with"/>
      <w:pPr>
        <w:pStyle w:val="Para 01"/>
        <w:keepLines w:val="on"/>
      </w:pPr>
      <w:r>
        <w:t>sự đồng biến động của bất động sản với các lớp tài sản khác, 840–842</w:t>
      </w:r>
      <w:bookmarkEnd w:id="7304"/>
    </w:p>
    <w:p>
      <w:bookmarkStart w:id="7305" w:name="overvalued__684"/>
      <w:pPr>
        <w:pStyle w:val="Para 01"/>
        <w:keepLines w:val="on"/>
      </w:pPr>
      <w:r>
        <w:t>được định giá quá cao, 684</w:t>
      </w:r>
      <w:bookmarkEnd w:id="7305"/>
    </w:p>
    <w:p>
      <w:bookmarkStart w:id="7306" w:name="prices_and_risk_factors_for_indi"/>
      <w:pPr>
        <w:pStyle w:val="Para 01"/>
        <w:keepLines w:val="on"/>
      </w:pPr>
      <w:r>
        <w:t>giá cả và các yếu tố rủi ro đối với từng loại, 844–845</w:t>
      </w:r>
      <w:bookmarkEnd w:id="7306"/>
    </w:p>
    <w:p>
      <w:bookmarkStart w:id="7307" w:name="value_of_real_estate_relative_to"/>
      <w:pPr>
        <w:pStyle w:val="Para 01"/>
        <w:keepLines w:val="on"/>
      </w:pPr>
      <w:r>
        <w:t>giá trị bất động sản so với các loại khác, 838–839</w:t>
      </w:r>
      <w:bookmarkEnd w:id="7307"/>
    </w:p>
    <w:p>
      <w:bookmarkStart w:id="7308" w:name="Asset_managment_companies__689_6"/>
      <w:pPr>
        <w:pStyle w:val="Para 01"/>
        <w:keepLines w:val="on"/>
      </w:pPr>
      <w:r>
        <w:t>Các công ty quản lý tài sản, 689–690</w:t>
      </w:r>
      <w:bookmarkEnd w:id="7308"/>
    </w:p>
    <w:p>
      <w:bookmarkStart w:id="7309" w:name="Asset_measurement__accounting_pr"/>
      <w:pPr>
        <w:pStyle w:val="Para 01"/>
        <w:keepLines w:val="on"/>
      </w:pPr>
      <w:r>
        <w:t>Đo lường tài sản</w:t>
      </w:r>
      <w:bookmarkEnd w:id="7309"/>
    </w:p>
    <w:p>
      <w:bookmarkStart w:id="7310" w:name="accounting_principles_underlying"/>
      <w:pPr>
        <w:pStyle w:val="Para 01"/>
        <w:keepLines w:val="on"/>
      </w:pPr>
      <w:r>
        <w:t>các nguyên tắc kế toán nền tảng, 31–32</w:t>
      </w:r>
      <w:bookmarkEnd w:id="7310"/>
    </w:p>
    <w:p>
      <w:bookmarkStart w:id="7311" w:name="of_current_assets__33_34"/>
      <w:pPr>
        <w:pStyle w:val="Para 01"/>
        <w:keepLines w:val="on"/>
      </w:pPr>
      <w:r>
        <w:t>của tài sản ngắn hạn, 33–34</w:t>
      </w:r>
      <w:bookmarkEnd w:id="7311"/>
    </w:p>
    <w:p>
      <w:bookmarkStart w:id="7312" w:name="for_financial_investments_and_ma"/>
      <w:pPr>
        <w:pStyle w:val="Para 01"/>
        <w:keepLines w:val="on"/>
      </w:pPr>
      <w:r>
        <w:t>đối với các khoản đầu tư tài chính và chứng khoán thị trường, 34–36</w:t>
      </w:r>
      <w:bookmarkEnd w:id="7312"/>
    </w:p>
    <w:p>
      <w:bookmarkStart w:id="7313" w:name="of_fixed_assets__32_33"/>
      <w:pPr>
        <w:pStyle w:val="Para 01"/>
        <w:keepLines w:val="on"/>
      </w:pPr>
      <w:r>
        <w:t>của tài sản cố định, 32–33</w:t>
      </w:r>
      <w:bookmarkEnd w:id="7313"/>
    </w:p>
    <w:p>
      <w:bookmarkStart w:id="7314" w:name="of_intangible_assets__36_38"/>
      <w:pPr>
        <w:pStyle w:val="Para 01"/>
        <w:keepLines w:val="on"/>
      </w:pPr>
      <w:r>
        <w:t>của tài sản vô hình, 36–38</w:t>
      </w:r>
      <w:bookmarkEnd w:id="7314"/>
    </w:p>
    <w:p>
      <w:bookmarkStart w:id="7315" w:name="Assets__See_also_specific_types"/>
      <w:pPr>
        <w:pStyle w:val="Para 60"/>
        <w:keepLines w:val="on"/>
      </w:pPr>
      <w:r>
        <w:t>Tài sản. Xem thêm các loại tài sản cụ thể</w:t>
      </w:r>
      <w:bookmarkEnd w:id="7315"/>
    </w:p>
    <w:p>
      <w:bookmarkStart w:id="7316" w:name="double_counting_of__499"/>
      <w:pPr>
        <w:pStyle w:val="Para 01"/>
        <w:keepLines w:val="on"/>
      </w:pPr>
      <w:r>
        <w:t>tính trùng lặp của, 499</w:t>
      </w:r>
      <w:bookmarkEnd w:id="7316"/>
    </w:p>
    <w:p>
      <w:bookmarkStart w:id="7317" w:name="financial__26__837_838"/>
      <w:pPr>
        <w:pStyle w:val="Para 01"/>
        <w:keepLines w:val="on"/>
      </w:pPr>
      <w:r>
        <w:t>tài sản tài chính, 26, 837–838</w:t>
      </w:r>
      <w:bookmarkEnd w:id="7317"/>
    </w:p>
    <w:p>
      <w:bookmarkStart w:id="7318" w:name="marketability_of__1066_1067"/>
      <w:pPr>
        <w:pStyle w:val="Para 01"/>
        <w:keepLines w:val="on"/>
      </w:pPr>
      <w:r>
        <w:t>tính thanh khoản của, 1066–1067</w:t>
      </w:r>
      <w:bookmarkEnd w:id="7318"/>
    </w:p>
    <w:p>
      <w:bookmarkStart w:id="7319" w:name="option_valuation_for__931_932"/>
      <w:pPr>
        <w:pStyle w:val="Para 01"/>
        <w:keepLines w:val="on"/>
      </w:pPr>
      <w:r>
        <w:t>định giá quyền chọn đối với, 931–932</w:t>
      </w:r>
      <w:bookmarkEnd w:id="7319"/>
    </w:p>
    <w:p>
      <w:bookmarkStart w:id="7320" w:name="real__26__837_838"/>
      <w:pPr>
        <w:pStyle w:val="Para 01"/>
        <w:keepLines w:val="on"/>
      </w:pPr>
      <w:r>
        <w:t>tài sản thực, 26, 837–838</w:t>
      </w:r>
      <w:bookmarkEnd w:id="7320"/>
    </w:p>
    <w:p>
      <w:bookmarkStart w:id="7321" w:name="revaluation_of__823_824"/>
      <w:pPr>
        <w:pStyle w:val="Para 01"/>
        <w:keepLines w:val="on"/>
      </w:pPr>
      <w:r>
        <w:t>đánh giá lại giá trị của, 823–824</w:t>
      </w:r>
      <w:bookmarkEnd w:id="7321"/>
    </w:p>
    <w:p>
      <w:bookmarkStart w:id="7322" w:name="value_of__31_38"/>
      <w:pPr>
        <w:pStyle w:val="Para 01"/>
        <w:keepLines w:val="on"/>
      </w:pPr>
      <w:r>
        <w:t>giá trị của, 31–38</w:t>
      </w:r>
      <w:bookmarkEnd w:id="7322"/>
    </w:p>
    <w:p>
      <w:bookmarkStart w:id="7323" w:name="value_of_firm_and__967_968"/>
      <w:pPr>
        <w:pStyle w:val="Para 01"/>
        <w:keepLines w:val="on"/>
      </w:pPr>
      <w:r>
        <w:t>giá trị của doanh nghiệp và, 967–968</w:t>
      </w:r>
      <w:bookmarkEnd w:id="7323"/>
    </w:p>
    <w:p>
      <w:bookmarkStart w:id="7324" w:name="variance_in_value_of__926__929"/>
      <w:pPr>
        <w:pStyle w:val="Para 01"/>
        <w:keepLines w:val="on"/>
      </w:pPr>
      <w:r>
        <w:t>phương sai trong giá trị của, 926, 929</w:t>
      </w:r>
      <w:bookmarkEnd w:id="7324"/>
    </w:p>
    <w:p>
      <w:bookmarkStart w:id="7325" w:name="Asymmetric_distributions__76"/>
      <w:pPr>
        <w:pStyle w:val="Para 01"/>
        <w:keepLines w:val="on"/>
      </w:pPr>
      <w:r>
        <w:t>Phân phối bất đối xứng, 76</w:t>
      </w:r>
      <w:bookmarkEnd w:id="7325"/>
    </w:p>
    <w:p>
      <w:bookmarkStart w:id="7326" w:name="ATCF__after_tax_cash_flow___1025"/>
      <w:pPr>
        <w:pStyle w:val="Para 01"/>
        <w:keepLines w:val="on"/>
      </w:pPr>
      <w:r>
        <w:t>ATCF (dòng tiền sau thuế), 1025</w:t>
      </w:r>
      <w:bookmarkEnd w:id="7326"/>
    </w:p>
    <w:p>
      <w:bookmarkStart w:id="7327" w:name="AT_T__108__717__797"/>
      <w:pPr>
        <w:pStyle w:val="Para 01"/>
        <w:keepLines w:val="on"/>
      </w:pPr>
      <w:r>
        <w:t>AT&amp;T, 108, 717, 797</w:t>
      </w:r>
      <w:bookmarkEnd w:id="7327"/>
    </w:p>
    <w:p>
      <w:bookmarkStart w:id="7328" w:name="Augmented_dividend_discount_mode"/>
      <w:pPr>
        <w:pStyle w:val="Para 01"/>
        <w:keepLines w:val="on"/>
      </w:pPr>
      <w:r>
        <w:t>Mô hình chiết khấu cổ tức mở rộng, 404–408</w:t>
      </w:r>
      <w:bookmarkEnd w:id="7328"/>
    </w:p>
    <w:p>
      <w:bookmarkStart w:id="7329" w:name="Augmented_risk_models__845_847"/>
      <w:pPr>
        <w:pStyle w:val="Para 01"/>
        <w:keepLines w:val="on"/>
      </w:pPr>
      <w:r>
        <w:t>Các mô hình rủi ro mở rộng, 845–847</w:t>
      </w:r>
      <w:bookmarkEnd w:id="7329"/>
    </w:p>
    <w:p>
      <w:bookmarkStart w:id="7330" w:name="Autoregressive_integrated_moving"/>
      <w:pPr>
        <w:pStyle w:val="Para 01"/>
        <w:keepLines w:val="on"/>
      </w:pPr>
      <w:r>
        <w:t>Các mô hình tự hồi quy tích hợp trung bình trượt (ARIMA), 301–302</w:t>
      </w:r>
      <w:bookmarkEnd w:id="7330"/>
    </w:p>
    <w:p>
      <w:bookmarkStart w:id="7331" w:name="Available_reserves__926"/>
      <w:pPr>
        <w:pStyle w:val="Para 01"/>
        <w:keepLines w:val="on"/>
      </w:pPr>
      <w:r>
        <w:t>Dự trữ khả dụng, 926</w:t>
      </w:r>
      <w:bookmarkEnd w:id="7331"/>
    </w:p>
    <w:p>
      <w:bookmarkStart w:id="7332" w:name="Avatek_Corporation__106_107"/>
      <w:pPr>
        <w:pStyle w:val="Para 01"/>
        <w:keepLines w:val="on"/>
      </w:pPr>
      <w:r>
        <w:t>Avatek Corporation, 106–107</w:t>
      </w:r>
      <w:bookmarkEnd w:id="7332"/>
    </w:p>
    <w:p>
      <w:bookmarkStart w:id="7333" w:name="Average_absolute_earnings__265"/>
      <w:pPr>
        <w:pStyle w:val="Para 01"/>
        <w:keepLines w:val="on"/>
      </w:pPr>
      <w:r>
        <w:t>Thu nhập tuyệt đối bình quân, 265</w:t>
      </w:r>
      <w:bookmarkEnd w:id="7333"/>
    </w:p>
    <w:p>
      <w:bookmarkStart w:id="7334" w:name="Average_return_on_capital__322"/>
      <w:pPr>
        <w:pStyle w:val="Para 01"/>
        <w:keepLines w:val="on"/>
      </w:pPr>
      <w:r>
        <w:t>Tỷ suất sinh lời trên vốn bình quân, 322</w:t>
      </w:r>
      <w:bookmarkEnd w:id="7334"/>
    </w:p>
    <w:p>
      <w:bookmarkStart w:id="7335" w:name="Averages__outliers_in_computatio"/>
      <w:pPr>
        <w:pStyle w:val="Para 01"/>
        <w:keepLines w:val="on"/>
      </w:pPr>
      <w:r>
        <w:t>Giá trị bình quân, các điểm dị biệt khi tính toán, 521</w:t>
      </w:r>
      <w:bookmarkEnd w:id="7335"/>
    </w:p>
    <w:p>
      <w:bookmarkStart w:id="7336" w:name="Average_scaled_earnings__265"/>
      <w:pPr>
        <w:pStyle w:val="Para 01"/>
        <w:keepLines w:val="on"/>
      </w:pPr>
      <w:r>
        <w:t>Thu nhập điều chỉnh theo quy mô bình quân, 265</w:t>
      </w:r>
      <w:bookmarkEnd w:id="7336"/>
    </w:p>
    <w:p>
      <w:bookmarkStart w:id="7337" w:name="Averaging__in_beta_calculation"/>
      <w:pPr>
        <w:pStyle w:val="Para 01"/>
        <w:keepLines w:val="on"/>
      </w:pPr>
      <w:r>
        <w:t>Lấy bình quân, trong tính toán beta, 207</w:t>
      </w:r>
      <w:bookmarkEnd w:id="7337"/>
    </w:p>
    <w:p>
      <w:bookmarkStart w:id="7338" w:name="Avonex__920_921"/>
      <w:pPr>
        <w:pStyle w:val="Para 01"/>
        <w:keepLines w:val="on"/>
      </w:pPr>
      <w:r>
        <w:t>Avonex, 920–921</w:t>
      </w:r>
      <w:bookmarkEnd w:id="7338"/>
    </w:p>
    <w:p>
      <w:bookmarkStart w:id="7339" w:name="B"/>
      <w:bookmarkStart w:id="7340" w:name="B___Balance_sheets__explanation"/>
      <w:pPr>
        <w:keepNext/>
        <w:pStyle w:val="Para 50"/>
        <w:keepLines w:val="on"/>
      </w:pPr>
      <w:r>
        <w:t>B</w:t>
      </w:r>
      <w:bookmarkEnd w:id="7339"/>
      <w:bookmarkEnd w:id="7340"/>
    </w:p>
    <w:p>
      <w:bookmarkStart w:id="7341" w:name="Balance_sheets__explanation_of"/>
      <w:pPr>
        <w:pStyle w:val="Para 01"/>
        <w:keepLines w:val="on"/>
      </w:pPr>
      <w:r>
        <w:t>Bảng cân đối kế toán</w:t>
      </w:r>
      <w:bookmarkEnd w:id="7341"/>
    </w:p>
    <w:p>
      <w:bookmarkStart w:id="7342" w:name="explanation_of__29__30"/>
      <w:pPr>
        <w:pStyle w:val="Para 01"/>
        <w:keepLines w:val="on"/>
      </w:pPr>
      <w:r>
        <w:t>giải thích về, 29, 30</w:t>
      </w:r>
      <w:bookmarkEnd w:id="7342"/>
    </w:p>
    <w:p>
      <w:bookmarkStart w:id="7343" w:name="financial__241_242"/>
      <w:pPr>
        <w:pStyle w:val="Para 01"/>
        <w:keepLines w:val="on"/>
      </w:pPr>
      <w:r>
        <w:t>tài chính, 241–242</w:t>
      </w:r>
      <w:bookmarkEnd w:id="7343"/>
    </w:p>
    <w:p>
      <w:bookmarkStart w:id="7344" w:name="Banking_regulators__681_682"/>
      <w:pPr>
        <w:pStyle w:val="Para 01"/>
        <w:keepLines w:val="on"/>
      </w:pPr>
      <w:r>
        <w:t>Cơ quan quản lý ngân hàng, 681–682</w:t>
      </w:r>
      <w:bookmarkEnd w:id="7344"/>
    </w:p>
    <w:p>
      <w:bookmarkStart w:id="7345" w:name="Bankruptcy__costs_of__454_455__4"/>
      <w:pPr>
        <w:pStyle w:val="Para 01"/>
        <w:keepLines w:val="on"/>
      </w:pPr>
      <w:r>
        <w:t>Phá sản</w:t>
      </w:r>
      <w:bookmarkEnd w:id="7345"/>
    </w:p>
    <w:p>
      <w:bookmarkStart w:id="7346" w:name="costs_of__454_455__458"/>
      <w:pPr>
        <w:pStyle w:val="Para 01"/>
        <w:keepLines w:val="on"/>
      </w:pPr>
      <w:r>
        <w:t>chi phí phá sản, 454–455, 458</w:t>
      </w:r>
      <w:bookmarkEnd w:id="7346"/>
    </w:p>
    <w:p>
      <w:bookmarkStart w:id="7347" w:name="overlevered_firms__probability_o"/>
      <w:pPr>
        <w:pStyle w:val="Para 01"/>
        <w:keepLines w:val="on"/>
      </w:pPr>
      <w:r>
        <w:t>xác suất phá sản của các công ty vay nợ quá mức, 719–726</w:t>
      </w:r>
      <w:bookmarkEnd w:id="7347"/>
    </w:p>
    <w:p>
      <w:bookmarkStart w:id="7348" w:name="Banks__business_banking_model__6"/>
      <w:pPr>
        <w:pStyle w:val="Para 01"/>
        <w:keepLines w:val="on"/>
      </w:pPr>
      <w:r>
        <w:t>Ngân hàng</w:t>
      </w:r>
      <w:bookmarkEnd w:id="7348"/>
    </w:p>
    <w:p>
      <w:bookmarkStart w:id="7349" w:name="business_banking_model__680_681"/>
      <w:pPr>
        <w:pStyle w:val="Para 01"/>
        <w:keepLines w:val="on"/>
      </w:pPr>
      <w:r>
        <w:t>mô hình ngân hàng doanh nghiệp, 680–681</w:t>
      </w:r>
      <w:bookmarkEnd w:id="7349"/>
    </w:p>
    <w:p>
      <w:bookmarkStart w:id="7350" w:name="deposit_insurance_and_value_of"/>
      <w:pPr>
        <w:pStyle w:val="Para 01"/>
        <w:keepLines w:val="on"/>
      </w:pPr>
      <w:r>
        <w:t>bảo hiểm tiền gửi và giá trị của nó, 688</w:t>
      </w:r>
      <w:bookmarkEnd w:id="7350"/>
    </w:p>
    <w:p>
      <w:bookmarkStart w:id="7351" w:name="good_vs__bad__682_684"/>
      <w:pPr>
        <w:pStyle w:val="Para 01"/>
        <w:keepLines w:val="on"/>
      </w:pPr>
      <w:r>
        <w:t>ngân hàng tốt so với ngân hàng xấu, 682–684</w:t>
      </w:r>
      <w:bookmarkEnd w:id="7351"/>
    </w:p>
    <w:p>
      <w:bookmarkStart w:id="7352" w:name="macroeconomic_stressors_for__684"/>
      <w:pPr>
        <w:pStyle w:val="Para 01"/>
        <w:keepLines w:val="on"/>
      </w:pPr>
      <w:r>
        <w:t>các yếu tố gây căng thẳng kinh tế vĩ mô đối với ngân hàng, 684–688</w:t>
      </w:r>
      <w:bookmarkEnd w:id="7352"/>
    </w:p>
    <w:p>
      <w:bookmarkStart w:id="7353" w:name="Barrier_options__110"/>
      <w:pPr>
        <w:pStyle w:val="Para 01"/>
        <w:keepLines w:val="on"/>
      </w:pPr>
      <w:r>
        <w:t>Quyền chọn rào cản, 110</w:t>
      </w:r>
      <w:bookmarkEnd w:id="7353"/>
    </w:p>
    <w:p>
      <w:bookmarkStart w:id="7354" w:name="Barriers_to_entry__growth_patter"/>
      <w:pPr>
        <w:pStyle w:val="Para 01"/>
        <w:keepLines w:val="on"/>
      </w:pPr>
      <w:r>
        <w:t>Rào cản gia nhập thị trường</w:t>
      </w:r>
      <w:bookmarkEnd w:id="7354"/>
    </w:p>
    <w:p>
      <w:bookmarkStart w:id="7355" w:name="growth_patterns_and__1072_1073"/>
      <w:pPr>
        <w:pStyle w:val="Para 01"/>
        <w:keepLines w:val="on"/>
      </w:pPr>
      <w:r>
        <w:t>các mô hình tăng trưởng và, 1072–1073</w:t>
      </w:r>
      <w:bookmarkEnd w:id="7355"/>
    </w:p>
    <w:p>
      <w:bookmarkStart w:id="7356" w:name="in_multistage_projects__942"/>
      <w:pPr>
        <w:pStyle w:val="Para 01"/>
        <w:keepLines w:val="on"/>
      </w:pPr>
      <w:r>
        <w:t>trong các dự án nhiều giai đoạn, 942</w:t>
      </w:r>
      <w:bookmarkEnd w:id="7356"/>
    </w:p>
    <w:p>
      <w:bookmarkStart w:id="7357" w:name="for_young_or_start_up_firms__753"/>
      <w:pPr>
        <w:pStyle w:val="Para 01"/>
        <w:keepLines w:val="on"/>
      </w:pPr>
      <w:r>
        <w:t>Đối với các công ty non trẻ hoặc mới khởi nghiệp, 753</w:t>
      </w:r>
      <w:bookmarkEnd w:id="7357"/>
    </w:p>
    <w:p>
      <w:bookmarkStart w:id="7358" w:name="Behavioral_finance__131_132"/>
      <w:pPr>
        <w:pStyle w:val="Para 01"/>
        <w:keepLines w:val="on"/>
      </w:pPr>
      <w:r>
        <w:t>Tài chính hành vi (Behavioral finance), 131–132</w:t>
      </w:r>
      <w:bookmarkEnd w:id="7358"/>
    </w:p>
    <w:p>
      <w:bookmarkStart w:id="7359" w:name="Below_market_rates__cash_investe"/>
      <w:pPr>
        <w:pStyle w:val="Para 01"/>
        <w:keepLines w:val="on"/>
      </w:pPr>
      <w:r>
        <w:t>Lãi suất dưới mức thị trường (Below-market rates), tiền đầu tư ở mức, 484–485</w:t>
      </w:r>
      <w:bookmarkEnd w:id="7359"/>
    </w:p>
    <w:p>
      <w:bookmarkStart w:id="7360" w:name="Berkshire_Hathaway__487_488"/>
      <w:pPr>
        <w:pStyle w:val="Para 01"/>
        <w:keepLines w:val="on"/>
      </w:pPr>
      <w:r>
        <w:t>Berkshire Hathaway, 487–488</w:t>
      </w:r>
      <w:bookmarkEnd w:id="7360"/>
    </w:p>
    <w:p>
      <w:bookmarkStart w:id="7361" w:name="Best_case_analysis__1034"/>
      <w:pPr>
        <w:pStyle w:val="Para 01"/>
        <w:keepLines w:val="on"/>
      </w:pPr>
      <w:r>
        <w:t>Phân tích trường hợp tốt nhất (Best-case analysis), 1034</w:t>
      </w:r>
      <w:bookmarkEnd w:id="7361"/>
    </w:p>
    <w:p>
      <w:bookmarkStart w:id="7362" w:name="Betas__79_80__accounting__214_21"/>
      <w:pPr>
        <w:pStyle w:val="Para 01"/>
        <w:keepLines w:val="on"/>
      </w:pPr>
      <w:r>
        <w:t>Hệ số beta (Betas), 79–80</w:t>
      </w:r>
      <w:bookmarkEnd w:id="7362"/>
    </w:p>
    <w:p>
      <w:bookmarkStart w:id="7363" w:name="accounting__214_216__759_760"/>
      <w:pPr>
        <w:pStyle w:val="Para 01"/>
        <w:keepLines w:val="on"/>
      </w:pPr>
      <w:r>
        <w:t>beta kế toán (accounting), 214–216, 759–760</w:t>
      </w:r>
      <w:bookmarkEnd w:id="7363"/>
    </w:p>
    <w:p>
      <w:bookmarkStart w:id="7364" w:name="for_aggregated_valuation__461"/>
      <w:pPr>
        <w:pStyle w:val="Para 01"/>
        <w:keepLines w:val="on"/>
      </w:pPr>
      <w:r>
        <w:t>dùng cho định giá tổng hợp (aggregated valuation), 461</w:t>
      </w:r>
      <w:bookmarkEnd w:id="7364"/>
    </w:p>
    <w:p>
      <w:bookmarkStart w:id="7365" w:name="arbitrage_pricing_model_and__72"/>
      <w:pPr>
        <w:pStyle w:val="Para 01"/>
        <w:keepLines w:val="on"/>
      </w:pPr>
      <w:r>
        <w:t>mô hình định giá chênh lệch (arbitrage pricing model) và, 72</w:t>
      </w:r>
      <w:bookmarkEnd w:id="7365"/>
    </w:p>
    <w:p>
      <w:bookmarkStart w:id="7366" w:name="bottom_up__205_216__761_763"/>
      <w:pPr>
        <w:pStyle w:val="Para 01"/>
        <w:keepLines w:val="on"/>
      </w:pPr>
      <w:r>
        <w:t>beta từ dưới lên (bottom-up), 205–216, 761–763</w:t>
      </w:r>
      <w:bookmarkEnd w:id="7366"/>
    </w:p>
    <w:p>
      <w:bookmarkStart w:id="7367" w:name="business__207"/>
      <w:pPr>
        <w:pStyle w:val="Para 01"/>
        <w:keepLines w:val="on"/>
      </w:pPr>
      <w:r>
        <w:t>beta kinh doanh (business), 207</w:t>
      </w:r>
      <w:bookmarkEnd w:id="7367"/>
    </w:p>
    <w:p>
      <w:bookmarkStart w:id="7368" w:name="cash_and__207_208"/>
      <w:pPr>
        <w:pStyle w:val="Para 01"/>
        <w:keepLines w:val="on"/>
      </w:pPr>
      <w:r>
        <w:t>tiền mặt và, 207–208</w:t>
      </w:r>
      <w:bookmarkEnd w:id="7368"/>
    </w:p>
    <w:p>
      <w:bookmarkStart w:id="7369" w:name="cost_of_equity_and__218_221"/>
      <w:pPr>
        <w:pStyle w:val="Para 01"/>
        <w:keepLines w:val="on"/>
      </w:pPr>
      <w:r>
        <w:t>chi phí vốn cổ phần (cost of equity) và, 218–221</w:t>
      </w:r>
      <w:bookmarkEnd w:id="7369"/>
    </w:p>
    <w:p>
      <w:bookmarkStart w:id="7370" w:name="for_disaggregated_valuation__462"/>
      <w:pPr>
        <w:pStyle w:val="Para 01"/>
        <w:keepLines w:val="on"/>
      </w:pPr>
      <w:r>
        <w:t>dùng cho định giá phân tách (disaggregated valuation), 462</w:t>
      </w:r>
      <w:bookmarkEnd w:id="7370"/>
    </w:p>
    <w:p>
      <w:bookmarkStart w:id="7371" w:name="estimation_of__190_216__759_762"/>
      <w:pPr>
        <w:pStyle w:val="Para 01"/>
        <w:keepLines w:val="on"/>
      </w:pPr>
      <w:r>
        <w:t>ước lượng, 190–216, 759–762</w:t>
      </w:r>
      <w:bookmarkEnd w:id="7371"/>
    </w:p>
    <w:p>
      <w:bookmarkStart w:id="7372" w:name="fundamental__201_214__760_761"/>
      <w:pPr>
        <w:pStyle w:val="Para 01"/>
        <w:keepLines w:val="on"/>
      </w:pPr>
      <w:r>
        <w:t>beta cơ bản (fundamental), 201–214, 760–761</w:t>
      </w:r>
      <w:bookmarkEnd w:id="7372"/>
    </w:p>
    <w:p>
      <w:bookmarkStart w:id="7373" w:name="historical_market__190_200__213"/>
      <w:pPr>
        <w:pStyle w:val="Para 01"/>
        <w:keepLines w:val="on"/>
      </w:pPr>
      <w:r>
        <w:t>beta thị trường lịch sử (historical market), 190–200, 213, 215–216</w:t>
      </w:r>
      <w:bookmarkEnd w:id="7373"/>
    </w:p>
    <w:p>
      <w:bookmarkStart w:id="7374" w:name="market__759_762"/>
      <w:pPr>
        <w:pStyle w:val="Para 01"/>
        <w:keepLines w:val="on"/>
      </w:pPr>
      <w:r>
        <w:t>beta thị trường (market), 759–762</w:t>
      </w:r>
      <w:bookmarkEnd w:id="7374"/>
    </w:p>
    <w:p>
      <w:bookmarkStart w:id="7376" w:name="price_earnings_ratio_and__541_54"/>
      <w:pPr>
        <w:pStyle w:val="Para 01"/>
        <w:keepLines w:val="on"/>
      </w:pPr>
      <w:r>
        <w:t>tỷ số giá trên thu nhập (price-earnings ratio) và, 541–543</w:t>
      </w:r>
      <w:bookmarkEnd w:id="7376"/>
    </w:p>
    <w:p>
      <w:bookmarkStart w:id="7377" w:name="in_private_firms__759_763"/>
      <w:pPr>
        <w:pStyle w:val="Para 01"/>
        <w:keepLines w:val="on"/>
      </w:pPr>
      <w:r>
        <w:t>trong các công ty tư nhân (private firms), 759–763</w:t>
      </w:r>
      <w:bookmarkEnd w:id="7377"/>
    </w:p>
    <w:p>
      <w:bookmarkStart w:id="7378" w:name="regression__190_193__195_201"/>
      <w:pPr>
        <w:pStyle w:val="Para 01"/>
        <w:keepLines w:val="on"/>
      </w:pPr>
      <w:r>
        <w:t>beta hồi quy (regression), 190–193, 195–201</w:t>
      </w:r>
      <w:bookmarkEnd w:id="7378"/>
    </w:p>
    <w:p>
      <w:bookmarkStart w:id="7379" w:name="selecting__for_estimation__215_2"/>
      <w:pPr>
        <w:pStyle w:val="Para 01"/>
        <w:keepLines w:val="on"/>
      </w:pPr>
      <w:r>
        <w:t>lựa chọn, để ước lượng, 215–216</w:t>
      </w:r>
      <w:bookmarkEnd w:id="7379"/>
    </w:p>
    <w:p>
      <w:bookmarkStart w:id="7380" w:name="service__194_195"/>
      <w:pPr>
        <w:pStyle w:val="Para 01"/>
        <w:keepLines w:val="on"/>
      </w:pPr>
      <w:r>
        <w:t>beta dịch vụ (service), 194–195</w:t>
      </w:r>
      <w:bookmarkEnd w:id="7380"/>
    </w:p>
    <w:p>
      <w:bookmarkStart w:id="7381" w:name="size__growth_and__202"/>
      <w:pPr>
        <w:pStyle w:val="Para 01"/>
        <w:keepLines w:val="on"/>
      </w:pPr>
      <w:r>
        <w:t>quy mô, tăng trưởng và, 202</w:t>
      </w:r>
      <w:bookmarkEnd w:id="7381"/>
    </w:p>
    <w:p>
      <w:bookmarkStart w:id="7382" w:name="unlevered__205__208"/>
      <w:pPr>
        <w:pStyle w:val="Para 01"/>
        <w:keepLines w:val="on"/>
      </w:pPr>
      <w:r>
        <w:t>beta chưa vay nợ (unlevered), 205, 208</w:t>
      </w:r>
      <w:bookmarkEnd w:id="7382"/>
    </w:p>
    <w:p>
      <w:bookmarkStart w:id="7383" w:name="Bias__3_4__in_equity_research__4"/>
      <w:pPr>
        <w:pStyle w:val="Para 01"/>
        <w:keepLines w:val="on"/>
      </w:pPr>
      <w:r>
        <w:t>Thiên kiến (Bias), 3–4</w:t>
      </w:r>
      <w:bookmarkEnd w:id="7383"/>
    </w:p>
    <w:p>
      <w:bookmarkStart w:id="7384" w:name="in_equity_research__4"/>
      <w:pPr>
        <w:pStyle w:val="Para 01"/>
        <w:keepLines w:val="on"/>
      </w:pPr>
      <w:r>
        <w:t>trong nghiên cứu cổ phiếu (equity research), 4</w:t>
      </w:r>
      <w:bookmarkEnd w:id="7384"/>
    </w:p>
    <w:p>
      <w:bookmarkStart w:id="7385" w:name="in_multiple_estimation__521"/>
      <w:pPr>
        <w:pStyle w:val="Para 01"/>
        <w:keepLines w:val="on"/>
      </w:pPr>
      <w:r>
        <w:t>trong ước lượng bội số (multiple estimation), 521</w:t>
      </w:r>
      <w:bookmarkEnd w:id="7385"/>
    </w:p>
    <w:p>
      <w:bookmarkStart w:id="7386" w:name="in_samples__123_124"/>
      <w:pPr>
        <w:pStyle w:val="Para 01"/>
        <w:keepLines w:val="on"/>
      </w:pPr>
      <w:r>
        <w:t>trong mẫu (samples), 123–124</w:t>
      </w:r>
      <w:bookmarkEnd w:id="7386"/>
    </w:p>
    <w:p>
      <w:bookmarkStart w:id="7387" w:name="in_takeover_valuation__818_820"/>
      <w:pPr>
        <w:pStyle w:val="Para 01"/>
        <w:keepLines w:val="on"/>
      </w:pPr>
      <w:r>
        <w:t>trong định giá thương vụ mua lại (takeover valuation), 818–820</w:t>
      </w:r>
      <w:bookmarkEnd w:id="7387"/>
    </w:p>
    <w:p>
      <w:bookmarkStart w:id="7388" w:name="Bid_ask_spread_approach__778_779"/>
      <w:pPr>
        <w:pStyle w:val="Para 01"/>
        <w:keepLines w:val="on"/>
      </w:pPr>
      <w:r>
        <w:t>Phương pháp chênh lệch giá mua-bán (Bid-ask spread approach), 778–779</w:t>
      </w:r>
      <w:bookmarkEnd w:id="7388"/>
    </w:p>
    <w:p>
      <w:bookmarkStart w:id="7389" w:name="Bidding_wars__in_acquisitions__8"/>
      <w:pPr>
        <w:pStyle w:val="Para 01"/>
        <w:keepLines w:val="on"/>
      </w:pPr>
      <w:r>
        <w:t>Cuộc chiến đấu giá (Bidding wars), trong các thương vụ mua lại (acquisitions), 825</w:t>
      </w:r>
      <w:bookmarkEnd w:id="7389"/>
    </w:p>
    <w:p>
      <w:bookmarkStart w:id="7390" w:name="Binomial_option_pricing_model__e"/>
      <w:pPr>
        <w:pStyle w:val="Para 01"/>
        <w:keepLines w:val="on"/>
      </w:pPr>
      <w:r>
        <w:t>Mô hình định giá quyền chọn nhị thức (Binomial option pricing model)</w:t>
      </w:r>
      <w:bookmarkEnd w:id="7390"/>
    </w:p>
    <w:p>
      <w:bookmarkStart w:id="7391" w:name="early_exercise_and__104_105"/>
      <w:pPr>
        <w:pStyle w:val="Para 01"/>
        <w:keepLines w:val="on"/>
      </w:pPr>
      <w:r>
        <w:t>thực hiện quyền sớm (early exercise) và, 104–105</w:t>
      </w:r>
      <w:bookmarkEnd w:id="7391"/>
    </w:p>
    <w:p>
      <w:bookmarkStart w:id="7392" w:name="explanation_of__94_97"/>
      <w:pPr>
        <w:pStyle w:val="Para 01"/>
        <w:keepLines w:val="on"/>
      </w:pPr>
      <w:r>
        <w:t>giải thích về, 94–97</w:t>
      </w:r>
      <w:bookmarkEnd w:id="7392"/>
    </w:p>
    <w:p>
      <w:bookmarkStart w:id="7393" w:name="project_delay_option_and__918__9"/>
      <w:pPr>
        <w:pStyle w:val="Para 01"/>
        <w:keepLines w:val="on"/>
      </w:pPr>
      <w:r>
        <w:t>quyền chọn trì hoãn dự án (project delay option) và, 918, 919</w:t>
      </w:r>
      <w:bookmarkEnd w:id="7393"/>
    </w:p>
    <w:p>
      <w:bookmarkStart w:id="7394" w:name="Binomial_tree__105_106"/>
      <w:pPr>
        <w:pStyle w:val="Para 01"/>
        <w:keepLines w:val="on"/>
      </w:pPr>
      <w:r>
        <w:t>Cây nhị thức (Binomial tree), 105–106</w:t>
      </w:r>
      <w:bookmarkEnd w:id="7394"/>
    </w:p>
    <w:p>
      <w:bookmarkStart w:id="7395" w:name="Biogen__923_924"/>
      <w:pPr>
        <w:pStyle w:val="Para 01"/>
        <w:keepLines w:val="on"/>
      </w:pPr>
      <w:r>
        <w:t>Biogen, 923–924</w:t>
      </w:r>
      <w:bookmarkEnd w:id="7395"/>
    </w:p>
    <w:p>
      <w:bookmarkStart w:id="7396" w:name="Bitcoin__as_collectible__895_896"/>
      <w:pPr>
        <w:pStyle w:val="Para 01"/>
        <w:keepLines w:val="on"/>
      </w:pPr>
      <w:r>
        <w:t>Bitcoin</w:t>
      </w:r>
      <w:bookmarkEnd w:id="7396"/>
    </w:p>
    <w:p>
      <w:bookmarkStart w:id="7397" w:name="as_collectible__895_896"/>
      <w:pPr>
        <w:pStyle w:val="Para 01"/>
        <w:keepLines w:val="on"/>
      </w:pPr>
      <w:r>
        <w:t>như một vật sưu tầm (collectible), 895–896</w:t>
      </w:r>
      <w:bookmarkEnd w:id="7397"/>
    </w:p>
    <w:p>
      <w:bookmarkStart w:id="7398" w:name="as_digital_currency__892_895"/>
      <w:pPr>
        <w:pStyle w:val="Para 01"/>
        <w:keepLines w:val="on"/>
      </w:pPr>
      <w:r>
        <w:t>như một loại tiền kỹ thuật số (digital currency), 892–895</w:t>
      </w:r>
      <w:bookmarkEnd w:id="7398"/>
    </w:p>
    <w:p>
      <w:bookmarkStart w:id="7399" w:name="pathways_for_valuing__892_893"/>
      <w:pPr>
        <w:pStyle w:val="Para 01"/>
        <w:keepLines w:val="on"/>
      </w:pPr>
      <w:r>
        <w:t>các con đường để định giá, 892–893</w:t>
      </w:r>
      <w:bookmarkEnd w:id="7399"/>
    </w:p>
    <w:p>
      <w:bookmarkStart w:id="7400" w:name="reality_checks_on_investments_in"/>
      <w:pPr>
        <w:pStyle w:val="Para 01"/>
        <w:keepLines w:val="on"/>
      </w:pPr>
      <w:r>
        <w:t>kiểm tra thực tế (reality checks) về các khoản đầu tư vào nó, 896</w:t>
      </w:r>
      <w:bookmarkEnd w:id="7400"/>
    </w:p>
    <w:p>
      <w:bookmarkStart w:id="7401" w:name="Black_Scholes_model__converting"/>
      <w:pPr>
        <w:pStyle w:val="Para 01"/>
        <w:keepLines w:val="on"/>
      </w:pPr>
      <w:r>
        <w:t>Mô hình Black–Scholes</w:t>
      </w:r>
      <w:bookmarkEnd w:id="7401"/>
    </w:p>
    <w:p>
      <w:bookmarkStart w:id="7402" w:name="converting_continuous_variance_i"/>
      <w:pPr>
        <w:pStyle w:val="Para 01"/>
        <w:keepLines w:val="on"/>
      </w:pPr>
      <w:r>
        <w:t>chuyển đổi phương sai liên tục (continuous variance) trong, 105–106</w:t>
      </w:r>
      <w:bookmarkEnd w:id="7402"/>
    </w:p>
    <w:p>
      <w:bookmarkStart w:id="7403" w:name="dividends_and__100_102"/>
      <w:pPr>
        <w:pStyle w:val="Para 01"/>
        <w:keepLines w:val="on"/>
      </w:pPr>
      <w:r>
        <w:t>cổ tức (dividends) và, 100–102</w:t>
      </w:r>
      <w:bookmarkEnd w:id="7403"/>
    </w:p>
    <w:p>
      <w:bookmarkStart w:id="7404" w:name="early_exercise_and__102_105"/>
      <w:pPr>
        <w:pStyle w:val="Para 01"/>
        <w:keepLines w:val="on"/>
      </w:pPr>
      <w:r>
        <w:t>thực hiện quyền sớm (early exercise) và, 102–105</w:t>
      </w:r>
      <w:bookmarkEnd w:id="7404"/>
    </w:p>
    <w:p>
      <w:bookmarkStart w:id="7405" w:name="estimating_inputs_to__99"/>
      <w:pPr>
        <w:pStyle w:val="Para 01"/>
        <w:keepLines w:val="on"/>
      </w:pPr>
      <w:r>
        <w:t>ước lượng các đầu vào (inputs) cho, 99</w:t>
      </w:r>
      <w:bookmarkEnd w:id="7405"/>
    </w:p>
    <w:p>
      <w:bookmarkStart w:id="7406" w:name="explanation__98_99"/>
      <w:pPr>
        <w:pStyle w:val="Para 01"/>
        <w:keepLines w:val="on"/>
      </w:pPr>
      <w:r>
        <w:t>giải thích, 98–99</w:t>
      </w:r>
      <w:bookmarkEnd w:id="7406"/>
    </w:p>
    <w:p>
      <w:bookmarkStart w:id="7407" w:name="implied_volatility_and__100"/>
      <w:pPr>
        <w:pStyle w:val="Para 01"/>
        <w:keepLines w:val="on"/>
      </w:pPr>
      <w:r>
        <w:t>độ biến động ngụ ý (implied volatility) và, 100</w:t>
      </w:r>
      <w:bookmarkEnd w:id="7407"/>
    </w:p>
    <w:p>
      <w:bookmarkStart w:id="7408" w:name="limitations_of__100_108"/>
      <w:pPr>
        <w:pStyle w:val="Para 01"/>
        <w:keepLines w:val="on"/>
      </w:pPr>
      <w:r>
        <w:t>hạn chế của, 100–108</w:t>
      </w:r>
      <w:bookmarkEnd w:id="7408"/>
    </w:p>
    <w:p>
      <w:bookmarkStart w:id="7409" w:name="project_delay_option_and__918"/>
      <w:pPr>
        <w:pStyle w:val="Para 01"/>
        <w:keepLines w:val="on"/>
      </w:pPr>
      <w:r>
        <w:t>quyền chọn trì hoãn dự án và, 918</w:t>
      </w:r>
      <w:bookmarkEnd w:id="7409"/>
    </w:p>
    <w:p>
      <w:bookmarkStart w:id="7410" w:name="for_put_option_valuation__107_10"/>
      <w:pPr>
        <w:pStyle w:val="Para 01"/>
        <w:keepLines w:val="on"/>
      </w:pPr>
      <w:r>
        <w:t>để định giá quyền chọn bán, 107–108</w:t>
      </w:r>
      <w:bookmarkEnd w:id="7410"/>
    </w:p>
    <w:p>
      <w:bookmarkStart w:id="7411" w:name="value_of_call_option_in__98_100"/>
      <w:pPr>
        <w:pStyle w:val="Para 01"/>
        <w:keepLines w:val="on"/>
      </w:pPr>
      <w:r>
        <w:t>giá trị quyền chọn mua trong, 98–100</w:t>
      </w:r>
      <w:bookmarkEnd w:id="7411"/>
    </w:p>
    <w:p>
      <w:bookmarkStart w:id="7412" w:name="Blockbuster__1000_1001"/>
      <w:pPr>
        <w:pStyle w:val="Para 01"/>
        <w:keepLines w:val="on"/>
      </w:pPr>
      <w:r>
        <w:t>Blockbuster, 1000–1001</w:t>
      </w:r>
      <w:bookmarkEnd w:id="7412"/>
    </w:p>
    <w:p>
      <w:bookmarkStart w:id="7413" w:name="Bloomberg__194_195"/>
      <w:pPr>
        <w:pStyle w:val="Para 01"/>
        <w:keepLines w:val="on"/>
      </w:pPr>
      <w:r>
        <w:t>Bloomberg, 194–195</w:t>
      </w:r>
      <w:bookmarkEnd w:id="7413"/>
    </w:p>
    <w:p>
      <w:bookmarkStart w:id="7414" w:name="Boeing_Company__215__979_980__98"/>
      <w:pPr>
        <w:pStyle w:val="Para 01"/>
        <w:keepLines w:val="on"/>
      </w:pPr>
      <w:r>
        <w:t>Boeing Company, 215, 979–980, 988</w:t>
      </w:r>
      <w:bookmarkEnd w:id="7414"/>
    </w:p>
    <w:p>
      <w:bookmarkStart w:id="7415" w:name="Bondholders__973"/>
      <w:pPr>
        <w:pStyle w:val="Para 01"/>
        <w:keepLines w:val="on"/>
      </w:pPr>
      <w:r>
        <w:t>Trái chủ, 973</w:t>
      </w:r>
      <w:bookmarkEnd w:id="7415"/>
    </w:p>
    <w:p>
      <w:bookmarkStart w:id="7416" w:name="Bond_ratings__default_risk_and"/>
      <w:pPr>
        <w:pStyle w:val="Para 01"/>
        <w:keepLines w:val="on"/>
      </w:pPr>
      <w:r>
        <w:t>Xếp hạng trái phiếu</w:t>
      </w:r>
      <w:bookmarkEnd w:id="7416"/>
    </w:p>
    <w:p>
      <w:bookmarkStart w:id="7417" w:name="default_risk_and__82_84"/>
      <w:pPr>
        <w:pStyle w:val="Para 01"/>
        <w:keepLines w:val="on"/>
      </w:pPr>
      <w:r>
        <w:t>rủi ro vỡ nợ và, 82–84</w:t>
      </w:r>
      <w:bookmarkEnd w:id="7417"/>
    </w:p>
    <w:p>
      <w:bookmarkStart w:id="7418" w:name="and_probability_of_distress__360"/>
      <w:pPr>
        <w:pStyle w:val="Para 01"/>
        <w:keepLines w:val="on"/>
      </w:pPr>
      <w:r>
        <w:t>và xác suất lâm vào tình trạng kiệt quệ tài chính, 360</w:t>
      </w:r>
      <w:bookmarkEnd w:id="7418"/>
    </w:p>
    <w:p>
      <w:bookmarkStart w:id="7419" w:name="Bonds__convertible__226_227_coun"/>
      <w:pPr>
        <w:pStyle w:val="Para 01"/>
        <w:keepLines w:val="on"/>
      </w:pPr>
      <w:r>
        <w:t>Trái phiếu</w:t>
      </w:r>
      <w:bookmarkEnd w:id="7419"/>
    </w:p>
    <w:p>
      <w:bookmarkStart w:id="7420" w:name="convertible__226_227"/>
      <w:pPr>
        <w:pStyle w:val="Para 01"/>
        <w:keepLines w:val="on"/>
      </w:pPr>
      <w:r>
        <w:t>chuyển đổi, 226–227</w:t>
      </w:r>
      <w:bookmarkEnd w:id="7420"/>
    </w:p>
    <w:p>
      <w:bookmarkStart w:id="7421" w:name="country_bond_approach__216_217"/>
      <w:pPr>
        <w:pStyle w:val="Para 01"/>
        <w:keepLines w:val="on"/>
      </w:pPr>
      <w:r>
        <w:t>phương pháp trái phiếu quốc gia, 216–217</w:t>
      </w:r>
      <w:bookmarkEnd w:id="7421"/>
    </w:p>
    <w:p>
      <w:bookmarkStart w:id="7422" w:name="default_spreads_on__182_185"/>
      <w:pPr>
        <w:pStyle w:val="Para 01"/>
        <w:keepLines w:val="on"/>
      </w:pPr>
      <w:r>
        <w:t>mức chênh lệch vỡ nợ trên, 182–185</w:t>
      </w:r>
      <w:bookmarkEnd w:id="7422"/>
    </w:p>
    <w:p>
      <w:bookmarkStart w:id="7423" w:name="local_currency_government__160_1"/>
      <w:pPr>
        <w:pStyle w:val="Para 01"/>
        <w:keepLines w:val="on"/>
      </w:pPr>
      <w:r>
        <w:t>trái phiếu chính phủ bằng nội tệ, 160–161</w:t>
      </w:r>
      <w:bookmarkEnd w:id="7423"/>
    </w:p>
    <w:p>
      <w:bookmarkStart w:id="7424" w:name="long_term__39_40"/>
      <w:pPr>
        <w:pStyle w:val="Para 01"/>
        <w:keepLines w:val="on"/>
      </w:pPr>
      <w:r>
        <w:t>dài hạn, 39–40</w:t>
      </w:r>
      <w:bookmarkEnd w:id="7424"/>
    </w:p>
    <w:p>
      <w:bookmarkStart w:id="7425" w:name="maturity_of__183__184"/>
      <w:pPr>
        <w:pStyle w:val="Para 01"/>
        <w:keepLines w:val="on"/>
      </w:pPr>
      <w:r>
        <w:t>kỳ đáo hạn của, 183, 184</w:t>
      </w:r>
      <w:bookmarkEnd w:id="7425"/>
    </w:p>
    <w:p>
      <w:bookmarkStart w:id="7426" w:name="US_Treasury__345_346"/>
      <w:pPr>
        <w:pStyle w:val="Para 01"/>
        <w:keepLines w:val="on"/>
      </w:pPr>
      <w:r>
        <w:t>trái phiếu Kho bạc Mỹ, 345–346</w:t>
      </w:r>
      <w:bookmarkEnd w:id="7426"/>
    </w:p>
    <w:p>
      <w:bookmarkStart w:id="7427" w:name="Book_to_market_ratio__140_141"/>
      <w:pPr>
        <w:pStyle w:val="Para 01"/>
        <w:keepLines w:val="on"/>
      </w:pPr>
      <w:r>
        <w:t>Tỷ lệ giá trị sổ sách trên giá trị thị trường, 140–141</w:t>
      </w:r>
      <w:bookmarkEnd w:id="7427"/>
    </w:p>
    <w:p>
      <w:bookmarkStart w:id="7428" w:name="Book_value__32__of_acquisition"/>
      <w:pPr>
        <w:pStyle w:val="Para 01"/>
        <w:keepLines w:val="on"/>
      </w:pPr>
      <w:r>
        <w:t>Giá trị sổ sách, 32</w:t>
      </w:r>
      <w:bookmarkEnd w:id="7428"/>
    </w:p>
    <w:p>
      <w:bookmarkStart w:id="7429" w:name="of_acquisition__797"/>
      <w:pPr>
        <w:pStyle w:val="Para 01"/>
        <w:keepLines w:val="on"/>
      </w:pPr>
      <w:r>
        <w:t>của thương vụ mua lại, 797</w:t>
      </w:r>
      <w:bookmarkEnd w:id="7429"/>
    </w:p>
    <w:p>
      <w:bookmarkStart w:id="7430" w:name="disadvantages_of_using__581_582"/>
      <w:pPr>
        <w:pStyle w:val="Para 01"/>
        <w:keepLines w:val="on"/>
      </w:pPr>
      <w:r>
        <w:t>nhược điểm của việc sử dụng, 581–582</w:t>
      </w:r>
      <w:bookmarkEnd w:id="7430"/>
    </w:p>
    <w:p>
      <w:bookmarkStart w:id="7431" w:name="of_equity__42__583__682__1055_10"/>
      <w:pPr>
        <w:pStyle w:val="Para 01"/>
        <w:keepLines w:val="on"/>
      </w:pPr>
      <w:r>
        <w:t>của vốn chủ sở hữu, 42, 583, 682, 1055–1056</w:t>
      </w:r>
      <w:bookmarkEnd w:id="7431"/>
    </w:p>
    <w:p>
      <w:bookmarkStart w:id="7432" w:name="reasons_for_use_of__581"/>
      <w:pPr>
        <w:pStyle w:val="Para 01"/>
        <w:keepLines w:val="on"/>
      </w:pPr>
      <w:r>
        <w:t>lý do để sử dụng, 581</w:t>
      </w:r>
      <w:bookmarkEnd w:id="7432"/>
    </w:p>
    <w:p>
      <w:bookmarkStart w:id="7433" w:name="return_on_capital_and__318_319"/>
      <w:pPr>
        <w:pStyle w:val="Para 01"/>
        <w:keepLines w:val="on"/>
      </w:pPr>
      <w:r>
        <w:t>lợi nhuận trên vốn và, 318–319</w:t>
      </w:r>
      <w:bookmarkEnd w:id="7433"/>
    </w:p>
    <w:p>
      <w:bookmarkStart w:id="7434" w:name="simulations_and__1055_1056"/>
      <w:pPr>
        <w:pStyle w:val="Para 01"/>
        <w:keepLines w:val="on"/>
      </w:pPr>
      <w:r>
        <w:t>mô phỏng và, 1055–1056</w:t>
      </w:r>
      <w:bookmarkEnd w:id="7434"/>
    </w:p>
    <w:p>
      <w:bookmarkStart w:id="7435" w:name="Book_value_debt_ratios__229_231"/>
      <w:pPr>
        <w:pStyle w:val="Para 01"/>
        <w:keepLines w:val="on"/>
      </w:pPr>
      <w:r>
        <w:t>Tỷ lệ nợ theo giá trị sổ sách, 229–231</w:t>
      </w:r>
      <w:bookmarkEnd w:id="7435"/>
    </w:p>
    <w:p>
      <w:bookmarkStart w:id="7436" w:name="Book_value_multiples__517__price"/>
      <w:pPr>
        <w:pStyle w:val="Para 01"/>
        <w:keepLines w:val="on"/>
      </w:pPr>
      <w:r>
        <w:t>Bội số giá trị sổ sách, 517</w:t>
      </w:r>
      <w:bookmarkEnd w:id="7436"/>
    </w:p>
    <w:p>
      <w:bookmarkStart w:id="7437" w:name="price_to_book_equity__581_603"/>
      <w:pPr>
        <w:pStyle w:val="Para 01"/>
        <w:keepLines w:val="on"/>
      </w:pPr>
      <w:r>
        <w:t>giá trên giá trị sổ sách của vốn chủ sở hữu, 581–603</w:t>
      </w:r>
      <w:bookmarkEnd w:id="7437"/>
    </w:p>
    <w:p>
      <w:bookmarkStart w:id="7438" w:name="Tobin_s_Q__608_610"/>
      <w:pPr>
        <w:pStyle w:val="Para 01"/>
        <w:keepLines w:val="on"/>
      </w:pPr>
      <w:r>
        <w:t>Tobin's Q, 608–610</w:t>
      </w:r>
      <w:bookmarkEnd w:id="7438"/>
    </w:p>
    <w:p>
      <w:bookmarkStart w:id="7439" w:name="value_to_book_ratios__603_608"/>
      <w:pPr>
        <w:pStyle w:val="Para 01"/>
        <w:keepLines w:val="on"/>
      </w:pPr>
      <w:r>
        <w:t>tỷ lệ giá trị trên giá trị sổ sách, 603–608</w:t>
      </w:r>
      <w:bookmarkEnd w:id="7439"/>
    </w:p>
    <w:p>
      <w:bookmarkStart w:id="7440" w:name="Borrowing__default_risk_and_hist"/>
      <w:pPr>
        <w:pStyle w:val="Para 01"/>
        <w:keepLines w:val="on"/>
      </w:pPr>
      <w:r>
        <w:t>Vay nợ</w:t>
      </w:r>
      <w:bookmarkEnd w:id="7440"/>
    </w:p>
    <w:p>
      <w:bookmarkStart w:id="7441" w:name="default_risk_and_history_of__222"/>
      <w:pPr>
        <w:pStyle w:val="Para 01"/>
        <w:keepLines w:val="on"/>
      </w:pPr>
      <w:r>
        <w:t>rủi ro vỡ nợ và lịch sử của nó, 222</w:t>
      </w:r>
      <w:bookmarkEnd w:id="7441"/>
    </w:p>
    <w:p>
      <w:bookmarkStart w:id="7442" w:name="long_term__39"/>
      <w:pPr>
        <w:pStyle w:val="Para 01"/>
        <w:keepLines w:val="on"/>
      </w:pPr>
      <w:r>
        <w:t>dài hạn, 39</w:t>
      </w:r>
      <w:bookmarkEnd w:id="7442"/>
    </w:p>
    <w:p>
      <w:bookmarkStart w:id="7443" w:name="short_term__39"/>
      <w:pPr>
        <w:pStyle w:val="Para 01"/>
        <w:keepLines w:val="on"/>
      </w:pPr>
      <w:r>
        <w:t>ngắn hạn, 39</w:t>
      </w:r>
      <w:bookmarkEnd w:id="7443"/>
    </w:p>
    <w:p>
      <w:bookmarkStart w:id="7444" w:name="tax_benefits_of__454"/>
      <w:pPr>
        <w:pStyle w:val="Para 01"/>
        <w:keepLines w:val="on"/>
      </w:pPr>
      <w:r>
        <w:t>lợi ích thuế của việc vay nợ, 454</w:t>
      </w:r>
      <w:bookmarkEnd w:id="7444"/>
    </w:p>
    <w:p>
      <w:bookmarkStart w:id="7445" w:name="Bottom_up_betas__after_major_res"/>
      <w:pPr>
        <w:pStyle w:val="Para 01"/>
        <w:keepLines w:val="on"/>
      </w:pPr>
      <w:r>
        <w:t>Beta từ dưới lên (bottom-up)</w:t>
      </w:r>
      <w:bookmarkEnd w:id="7445"/>
    </w:p>
    <w:p>
      <w:bookmarkStart w:id="7446" w:name="after_major_restructuring__213_2"/>
      <w:pPr>
        <w:pStyle w:val="Para 01"/>
        <w:keepLines w:val="on"/>
      </w:pPr>
      <w:r>
        <w:t>sau tái cấu trúc lớn, 213–214</w:t>
      </w:r>
      <w:bookmarkEnd w:id="7446"/>
    </w:p>
    <w:p>
      <w:bookmarkStart w:id="7447" w:name="case_for__205_206"/>
      <w:pPr>
        <w:pStyle w:val="Para 01"/>
        <w:keepLines w:val="on"/>
      </w:pPr>
      <w:r>
        <w:t>lý do nên dùng, 205–206</w:t>
      </w:r>
      <w:bookmarkEnd w:id="7447"/>
    </w:p>
    <w:p>
      <w:bookmarkStart w:id="7448" w:name="cash_and__207_208_1"/>
      <w:pPr>
        <w:pStyle w:val="Para 01"/>
        <w:keepLines w:val="on"/>
      </w:pPr>
      <w:r>
        <w:t>tiền mặt và, 207–208</w:t>
      </w:r>
      <w:bookmarkEnd w:id="7448"/>
    </w:p>
    <w:p>
      <w:bookmarkStart w:id="7449" w:name="computational_details_for__206_2"/>
      <w:pPr>
        <w:pStyle w:val="Para 01"/>
        <w:keepLines w:val="on"/>
      </w:pPr>
      <w:r>
        <w:t>chi tiết tính toán cho, 206–207</w:t>
      </w:r>
      <w:bookmarkEnd w:id="7449"/>
    </w:p>
    <w:p>
      <w:bookmarkStart w:id="7450" w:name="estimation_of__208_212__761_762"/>
      <w:pPr>
        <w:pStyle w:val="Para 01"/>
        <w:keepLines w:val="on"/>
      </w:pPr>
      <w:r>
        <w:t>ước lượng, 208–212, 761–762</w:t>
      </w:r>
      <w:bookmarkEnd w:id="7450"/>
    </w:p>
    <w:p>
      <w:bookmarkStart w:id="7451" w:name="market_and_accounting_betas_vs"/>
      <w:pPr>
        <w:pStyle w:val="Para 01"/>
        <w:keepLines w:val="on"/>
      </w:pPr>
      <w:r>
        <w:t>beta thị trường và beta kế toán so với, 215–216</w:t>
      </w:r>
      <w:bookmarkEnd w:id="7451"/>
    </w:p>
    <w:p>
      <w:bookmarkStart w:id="7452" w:name="in_private_firms__761_763"/>
      <w:pPr>
        <w:pStyle w:val="Para 01"/>
        <w:keepLines w:val="on"/>
      </w:pPr>
      <w:r>
        <w:t>trong các công ty tư nhân, 761–763</w:t>
      </w:r>
      <w:bookmarkEnd w:id="7452"/>
    </w:p>
    <w:p>
      <w:bookmarkStart w:id="7453" w:name="Box_Jenkins_models__301_302"/>
      <w:pPr>
        <w:pStyle w:val="Para 01"/>
        <w:keepLines w:val="on"/>
      </w:pPr>
      <w:r>
        <w:t>Mô hình Box–Jenkins, 301–302</w:t>
      </w:r>
      <w:bookmarkEnd w:id="7453"/>
    </w:p>
    <w:p>
      <w:bookmarkStart w:id="7454" w:name="Brand_name__in_acquisitions__940"/>
      <w:pPr>
        <w:pStyle w:val="Para 01"/>
        <w:keepLines w:val="on"/>
      </w:pPr>
      <w:r>
        <w:t>Tên thương hiệu</w:t>
      </w:r>
      <w:bookmarkEnd w:id="7454"/>
    </w:p>
    <w:p>
      <w:bookmarkStart w:id="7455" w:name="in_acquisitions__940"/>
      <w:pPr>
        <w:pStyle w:val="Para 01"/>
        <w:keepLines w:val="on"/>
      </w:pPr>
      <w:r>
        <w:t>trong các thương vụ mua bán sáp nhập, 940</w:t>
      </w:r>
      <w:bookmarkEnd w:id="7455"/>
    </w:p>
    <w:p>
      <w:bookmarkStart w:id="7456" w:name="as_intangible_asset__36"/>
      <w:pPr>
        <w:pStyle w:val="Para 01"/>
        <w:keepLines w:val="on"/>
      </w:pPr>
      <w:r>
        <w:t>như một tài sản vô hình, 36</w:t>
      </w:r>
      <w:bookmarkEnd w:id="7456"/>
    </w:p>
    <w:p>
      <w:bookmarkStart w:id="7457" w:name="value_enhancement_and__991"/>
      <w:pPr>
        <w:pStyle w:val="Para 01"/>
        <w:keepLines w:val="on"/>
      </w:pPr>
      <w:r>
        <w:t>gia tăng giá trị và, 991</w:t>
      </w:r>
      <w:bookmarkEnd w:id="7457"/>
    </w:p>
    <w:p>
      <w:bookmarkStart w:id="7458" w:name="value_of__625_632__869"/>
      <w:pPr>
        <w:pStyle w:val="Para 01"/>
        <w:keepLines w:val="on"/>
      </w:pPr>
      <w:r>
        <w:t>giá trị của, 625–632, 869</w:t>
      </w:r>
      <w:bookmarkEnd w:id="7458"/>
    </w:p>
    <w:p>
      <w:bookmarkStart w:id="7459" w:name="Brokerage_firms__690_691"/>
      <w:pPr>
        <w:pStyle w:val="Para 01"/>
        <w:keepLines w:val="on"/>
      </w:pPr>
      <w:r>
        <w:t>Các công ty môi giới chứng khoán, 690–691</w:t>
      </w:r>
      <w:bookmarkEnd w:id="7459"/>
    </w:p>
    <w:p>
      <w:bookmarkStart w:id="7460" w:name="Building_size__pricing_estimates"/>
      <w:pPr>
        <w:pStyle w:val="Para 01"/>
        <w:keepLines w:val="on"/>
      </w:pPr>
      <w:r>
        <w:t>Quy mô tòa nhà, ước tính định giá dựa trên, 860</w:t>
      </w:r>
      <w:bookmarkEnd w:id="7460"/>
    </w:p>
    <w:p>
      <w:bookmarkStart w:id="7461" w:name="Build_up_approach__161__764"/>
      <w:pPr>
        <w:pStyle w:val="Para 01"/>
        <w:keepLines w:val="on"/>
      </w:pPr>
      <w:r>
        <w:t>Phương pháp cộng dồn (build-up approach), 161, 764</w:t>
      </w:r>
      <w:bookmarkEnd w:id="7461"/>
    </w:p>
    <w:p>
      <w:bookmarkStart w:id="7462" w:name="Bureau_of_Labor_Statistics__359"/>
      <w:pPr>
        <w:pStyle w:val="Para 01"/>
        <w:keepLines w:val="on"/>
      </w:pPr>
      <w:r>
        <w:t>Cục Thống kê Lao động (Bureau of Labor Statistics), 359–360</w:t>
      </w:r>
      <w:bookmarkEnd w:id="7462"/>
    </w:p>
    <w:p>
      <w:bookmarkStart w:id="7463" w:name="Business_banking_model__680_681"/>
      <w:pPr>
        <w:pStyle w:val="Para 01"/>
        <w:keepLines w:val="on"/>
      </w:pPr>
      <w:r>
        <w:t>Mô hình ngân hàng doanh nghiệp, 680–681</w:t>
      </w:r>
      <w:bookmarkEnd w:id="7463"/>
    </w:p>
    <w:p>
      <w:bookmarkStart w:id="7464" w:name="Business_beta__207"/>
      <w:pPr>
        <w:pStyle w:val="Para 01"/>
        <w:keepLines w:val="on"/>
      </w:pPr>
      <w:r>
        <w:t>Beta kinh doanh (business beta), 207</w:t>
      </w:r>
      <w:bookmarkEnd w:id="7464"/>
    </w:p>
    <w:p>
      <w:bookmarkStart w:id="7465" w:name="Business_expenses__768"/>
      <w:pPr>
        <w:pStyle w:val="Para 01"/>
        <w:keepLines w:val="on"/>
      </w:pPr>
      <w:r>
        <w:t>Chi phí kinh doanh, 768</w:t>
      </w:r>
      <w:bookmarkEnd w:id="7465"/>
    </w:p>
    <w:p>
      <w:bookmarkStart w:id="7466" w:name="Business_models__328"/>
      <w:pPr>
        <w:pStyle w:val="Para 01"/>
        <w:keepLines w:val="on"/>
      </w:pPr>
      <w:r>
        <w:t>Mô hình kinh doanh, 328</w:t>
      </w:r>
      <w:bookmarkEnd w:id="7466"/>
    </w:p>
    <w:p>
      <w:bookmarkStart w:id="7467" w:name="Business_stories__breaks_in__382"/>
      <w:pPr>
        <w:pStyle w:val="Para 01"/>
        <w:keepLines w:val="on"/>
      </w:pPr>
      <w:r>
        <w:t>Câu chuyện kinh doanh</w:t>
      </w:r>
      <w:bookmarkEnd w:id="7467"/>
    </w:p>
    <w:p>
      <w:bookmarkStart w:id="7468" w:name="breaks_in__382_383"/>
      <w:pPr>
        <w:pStyle w:val="Para 01"/>
        <w:keepLines w:val="on"/>
      </w:pPr>
      <w:r>
        <w:t>những điểm đứt gãy trong, 382–383</w:t>
      </w:r>
      <w:bookmarkEnd w:id="7468"/>
    </w:p>
    <w:p>
      <w:bookmarkStart w:id="7469" w:name="changes_in__383_384"/>
      <w:pPr>
        <w:pStyle w:val="Para 01"/>
        <w:keepLines w:val="on"/>
      </w:pPr>
      <w:r>
        <w:t>những thay đổi trong, 383–384</w:t>
      </w:r>
      <w:bookmarkEnd w:id="7469"/>
    </w:p>
    <w:p>
      <w:bookmarkStart w:id="7470" w:name="classic_core__370_371"/>
      <w:pPr>
        <w:pStyle w:val="Para 01"/>
        <w:keepLines w:val="on"/>
      </w:pPr>
      <w:r>
        <w:t>cốt lõi kinh điển, 370–371</w:t>
      </w:r>
      <w:bookmarkEnd w:id="7470"/>
    </w:p>
    <w:p>
      <w:bookmarkStart w:id="7471" w:name="connecting__to_valuation_inputs"/>
      <w:pPr>
        <w:pStyle w:val="Para 01"/>
        <w:keepLines w:val="on"/>
      </w:pPr>
      <w:r>
        <w:t>kết nối, với các đầu vào định giá, 374–377</w:t>
      </w:r>
      <w:bookmarkEnd w:id="7471"/>
    </w:p>
    <w:p>
      <w:bookmarkStart w:id="7472" w:name="dysfunctional__368"/>
      <w:pPr>
        <w:pStyle w:val="Para 01"/>
        <w:keepLines w:val="on"/>
      </w:pPr>
      <w:r>
        <w:t>rối loạn chức năng, 368</w:t>
      </w:r>
      <w:bookmarkEnd w:id="7472"/>
    </w:p>
    <w:p>
      <w:bookmarkStart w:id="7473" w:name="shifts_in__384"/>
      <w:pPr>
        <w:pStyle w:val="Para 01"/>
        <w:keepLines w:val="on"/>
      </w:pPr>
      <w:r>
        <w:t>những dịch chuyển trong, 384</w:t>
      </w:r>
      <w:bookmarkEnd w:id="7473"/>
    </w:p>
    <w:p>
      <w:bookmarkStart w:id="7474" w:name="in_story_based_valuation__369_37"/>
      <w:pPr>
        <w:pStyle w:val="Para 01"/>
        <w:keepLines w:val="on"/>
      </w:pPr>
      <w:r>
        <w:t>trong định giá dựa trên câu chuyện, 369–373</w:t>
      </w:r>
      <w:bookmarkEnd w:id="7474"/>
    </w:p>
    <w:p>
      <w:bookmarkStart w:id="7475" w:name="valuation_as_bridge_between_data"/>
      <w:pPr>
        <w:pStyle w:val="Para 01"/>
        <w:keepLines w:val="on"/>
      </w:pPr>
      <w:r>
        <w:t>định giá như cầu nối giữa dữ liệu và, 363–364</w:t>
      </w:r>
      <w:bookmarkEnd w:id="7475"/>
    </w:p>
    <w:p>
      <w:bookmarkStart w:id="7476" w:name="Business_trusts__863_864"/>
      <w:pPr>
        <w:pStyle w:val="Para 01"/>
        <w:keepLines w:val="on"/>
      </w:pPr>
      <w:r>
        <w:t>Tín thác kinh doanh (business trusts), 863–864</w:t>
      </w:r>
      <w:bookmarkEnd w:id="7476"/>
    </w:p>
    <w:p>
      <w:bookmarkStart w:id="7477" w:name="Business_type__beta_and__201"/>
      <w:pPr>
        <w:pStyle w:val="Para 01"/>
        <w:keepLines w:val="on"/>
      </w:pPr>
      <w:r>
        <w:t>Loại hình kinh doanh, beta và, 201</w:t>
      </w:r>
      <w:bookmarkEnd w:id="7477"/>
    </w:p>
    <w:p>
      <w:bookmarkStart w:id="7478" w:name="Buybacks__See_Stock_buybacks"/>
      <w:pPr>
        <w:pStyle w:val="Para 10"/>
        <w:keepLines w:val="on"/>
      </w:pPr>
      <w:r>
        <w:t>Mua lại cổ phiếu. Xem Mua lại cổ phiếu</w:t>
      </w:r>
      <w:bookmarkEnd w:id="7478"/>
    </w:p>
    <w:p>
      <w:bookmarkStart w:id="7479" w:name="Buyouts__leveraged__796__829_832"/>
      <w:pPr>
        <w:pStyle w:val="Para 01"/>
        <w:keepLines w:val="on"/>
      </w:pPr>
      <w:r>
        <w:t>Thương vụ mua lại (buyouts)</w:t>
      </w:r>
      <w:bookmarkEnd w:id="7479"/>
    </w:p>
    <w:p>
      <w:bookmarkStart w:id="7480" w:name="leveraged__796__829_832"/>
      <w:pPr>
        <w:pStyle w:val="Para 01"/>
        <w:keepLines w:val="on"/>
      </w:pPr>
      <w:r>
        <w:t>mua lại bằng đòn bẩy (leveraged), 796, 829–832</w:t>
      </w:r>
      <w:bookmarkEnd w:id="7480"/>
    </w:p>
    <w:p>
      <w:bookmarkStart w:id="7481" w:name="management__796__828_829"/>
      <w:pPr>
        <w:pStyle w:val="Para 01"/>
        <w:keepLines w:val="on"/>
      </w:pPr>
      <w:r>
        <w:t>mua lại bởi ban quản lý (management), 796, 828–829</w:t>
      </w:r>
      <w:bookmarkEnd w:id="7481"/>
    </w:p>
    <w:p>
      <w:bookmarkStart w:id="7482" w:name="valuation_of__828_829"/>
      <w:pPr>
        <w:pStyle w:val="Para 01"/>
        <w:keepLines w:val="on"/>
      </w:pPr>
      <w:r>
        <w:t>định giá các thương vụ này, 828–829</w:t>
      </w:r>
      <w:bookmarkEnd w:id="7482"/>
    </w:p>
    <w:p>
      <w:bookmarkStart w:id="7483" w:name="BYD__280_281"/>
      <w:pPr>
        <w:pStyle w:val="Para 01"/>
        <w:keepLines w:val="on"/>
      </w:pPr>
      <w:r>
        <w:t>BYD, 280–281</w:t>
      </w:r>
      <w:bookmarkEnd w:id="7483"/>
    </w:p>
    <w:p>
      <w:bookmarkStart w:id="7484" w:name="C"/>
      <w:bookmarkStart w:id="7485" w:name="C___Call_options__Black_Scholes"/>
      <w:pPr>
        <w:keepNext/>
        <w:pStyle w:val="Para 50"/>
        <w:keepLines w:val="on"/>
      </w:pPr>
      <w:r>
        <w:t>C</w:t>
      </w:r>
      <w:bookmarkEnd w:id="7484"/>
      <w:bookmarkEnd w:id="7485"/>
    </w:p>
    <w:p>
      <w:bookmarkStart w:id="7486" w:name="Call_options__Black_Scholes_mode"/>
      <w:pPr>
        <w:pStyle w:val="Para 01"/>
        <w:keepLines w:val="on"/>
      </w:pPr>
      <w:r>
        <w:t>Quyền chọn mua</w:t>
      </w:r>
      <w:bookmarkEnd w:id="7486"/>
    </w:p>
    <w:p>
      <w:bookmarkStart w:id="7487" w:name="Black_Scholes_model_and__98_100"/>
      <w:pPr>
        <w:pStyle w:val="Para 01"/>
        <w:keepLines w:val="on"/>
      </w:pPr>
      <w:r>
        <w:t>Mô hình Black–Scholes và, 98–100</w:t>
      </w:r>
      <w:bookmarkEnd w:id="7487"/>
    </w:p>
    <w:p>
      <w:bookmarkStart w:id="7488" w:name="capped__109"/>
      <w:pPr>
        <w:pStyle w:val="Para 01"/>
        <w:keepLines w:val="on"/>
      </w:pPr>
      <w:r>
        <w:t>giới hạn trần, 109</w:t>
      </w:r>
      <w:bookmarkEnd w:id="7488"/>
    </w:p>
    <w:p>
      <w:bookmarkStart w:id="7489" w:name="equity_as__974_975"/>
      <w:pPr>
        <w:pStyle w:val="Para 01"/>
        <w:keepLines w:val="on"/>
      </w:pPr>
      <w:r>
        <w:t>vốn cổ phần như, 974–975</w:t>
      </w:r>
      <w:bookmarkEnd w:id="7489"/>
    </w:p>
    <w:p>
      <w:bookmarkStart w:id="7491" w:name="explanation_of__91_92"/>
      <w:pPr>
        <w:pStyle w:val="Para 01"/>
        <w:keepLines w:val="on"/>
      </w:pPr>
      <w:r>
        <w:t>giải thích về, 91–92</w:t>
      </w:r>
      <w:bookmarkEnd w:id="7491"/>
    </w:p>
    <w:p>
      <w:bookmarkStart w:id="7492" w:name="patents_as__919_922"/>
      <w:pPr>
        <w:pStyle w:val="Para 01"/>
        <w:keepLines w:val="on"/>
      </w:pPr>
      <w:r>
        <w:t>bằng sáng chế như, 919–922</w:t>
      </w:r>
      <w:bookmarkEnd w:id="7492"/>
    </w:p>
    <w:p>
      <w:bookmarkStart w:id="7493" w:name="payoff_diagram_for__91__92"/>
      <w:pPr>
        <w:pStyle w:val="Para 01"/>
        <w:keepLines w:val="on"/>
      </w:pPr>
      <w:r>
        <w:t>biểu đồ lợi nhuận cho, 91, 92</w:t>
      </w:r>
      <w:bookmarkEnd w:id="7493"/>
    </w:p>
    <w:p>
      <w:bookmarkStart w:id="7494" w:name="Capital__See_also_Cost_of_capita"/>
      <w:pPr>
        <w:pStyle w:val="Para 60"/>
        <w:keepLines w:val="on"/>
      </w:pPr>
      <w:r>
        <w:t>Vốn. Xem thêm Chi phí vốn; Vốn lưu động; các loại vốn cụ thể</w:t>
      </w:r>
      <w:bookmarkEnd w:id="7494"/>
    </w:p>
    <w:p>
      <w:bookmarkStart w:id="7495" w:name="access_to__383"/>
      <w:pPr>
        <w:pStyle w:val="Para 01"/>
        <w:keepLines w:val="on"/>
      </w:pPr>
      <w:r>
        <w:t>khả năng tiếp cận, 383</w:t>
      </w:r>
      <w:bookmarkEnd w:id="7495"/>
    </w:p>
    <w:p>
      <w:bookmarkStart w:id="7496" w:name="debt_as_source_of__658"/>
      <w:pPr>
        <w:pStyle w:val="Para 01"/>
        <w:keepLines w:val="on"/>
      </w:pPr>
      <w:r>
        <w:t>nợ như một nguồn, 658</w:t>
      </w:r>
      <w:bookmarkEnd w:id="7496"/>
    </w:p>
    <w:p>
      <w:bookmarkStart w:id="7497" w:name="Capital_asset_pricing_model__CAP"/>
      <w:pPr>
        <w:pStyle w:val="Para 01"/>
        <w:keepLines w:val="on"/>
      </w:pPr>
      <w:r>
        <w:t>Mô hình định giá tài sản vốn (CAPM)</w:t>
      </w:r>
      <w:bookmarkEnd w:id="7497"/>
    </w:p>
    <w:p>
      <w:bookmarkStart w:id="7498" w:name="explanation_of__67_71"/>
      <w:pPr>
        <w:pStyle w:val="Para 01"/>
        <w:keepLines w:val="on"/>
      </w:pPr>
      <w:r>
        <w:t>giải thích về, 67–71</w:t>
      </w:r>
      <w:bookmarkEnd w:id="7498"/>
    </w:p>
    <w:p>
      <w:bookmarkStart w:id="7499" w:name="investor_portfolios_in__69"/>
      <w:pPr>
        <w:pStyle w:val="Para 01"/>
        <w:keepLines w:val="on"/>
      </w:pPr>
      <w:r>
        <w:t>danh mục đầu tư của nhà đầu tư trong, 69</w:t>
      </w:r>
      <w:bookmarkEnd w:id="7499"/>
    </w:p>
    <w:p>
      <w:bookmarkStart w:id="7500" w:name="risk_premium_and__157"/>
      <w:pPr>
        <w:pStyle w:val="Para 01"/>
        <w:keepLines w:val="on"/>
      </w:pPr>
      <w:r>
        <w:t>phần bù rủi ro và, 157</w:t>
      </w:r>
      <w:bookmarkEnd w:id="7500"/>
    </w:p>
    <w:p>
      <w:bookmarkStart w:id="7501" w:name="Capital_expenses__See_also_Net_c"/>
      <w:pPr>
        <w:pStyle w:val="Para 10"/>
        <w:keepLines w:val="on"/>
      </w:pPr>
      <w:r>
        <w:t>Chi phí vốn. Xem thêm Chi tiêu vốn ròng</w:t>
      </w:r>
      <w:bookmarkEnd w:id="7501"/>
    </w:p>
    <w:p>
      <w:bookmarkStart w:id="7502" w:name="depreciation__growth_rate__and"/>
      <w:pPr>
        <w:pStyle w:val="Para 01"/>
        <w:keepLines w:val="on"/>
      </w:pPr>
      <w:r>
        <w:t>khấu hao, tốc độ tăng trưởng, và, 418</w:t>
      </w:r>
      <w:bookmarkEnd w:id="7502"/>
    </w:p>
    <w:p>
      <w:bookmarkStart w:id="7503" w:name="explanation_of__44__45__244"/>
      <w:pPr>
        <w:pStyle w:val="Para 01"/>
        <w:keepLines w:val="on"/>
      </w:pPr>
      <w:r>
        <w:t>giải thích về, 44, 45, 244</w:t>
      </w:r>
      <w:bookmarkEnd w:id="7503"/>
    </w:p>
    <w:p>
      <w:bookmarkStart w:id="7504" w:name="misclassification_of__245_256"/>
      <w:pPr>
        <w:pStyle w:val="Para 01"/>
        <w:keepLines w:val="on"/>
      </w:pPr>
      <w:r>
        <w:t>phân loại sai, 245–256</w:t>
      </w:r>
      <w:bookmarkEnd w:id="7504"/>
    </w:p>
    <w:p>
      <w:bookmarkStart w:id="7505" w:name="Capital_fade__1028"/>
      <w:pPr>
        <w:pStyle w:val="Para 01"/>
        <w:keepLines w:val="on"/>
      </w:pPr>
      <w:r>
        <w:t>Sự phai mờ vốn, 1028</w:t>
      </w:r>
      <w:bookmarkEnd w:id="7505"/>
    </w:p>
    <w:p>
      <w:bookmarkStart w:id="7506" w:name="Capital_intensity__332"/>
      <w:pPr>
        <w:pStyle w:val="Para 01"/>
        <w:keepLines w:val="on"/>
      </w:pPr>
      <w:r>
        <w:t>Cường độ vốn, 332</w:t>
      </w:r>
      <w:bookmarkEnd w:id="7506"/>
    </w:p>
    <w:p>
      <w:bookmarkStart w:id="7507" w:name="Capital_investments__1017_1018"/>
      <w:pPr>
        <w:pStyle w:val="Para 01"/>
        <w:keepLines w:val="on"/>
      </w:pPr>
      <w:r>
        <w:t>Đầu tư vốn, 1017–1018</w:t>
      </w:r>
      <w:bookmarkEnd w:id="7507"/>
    </w:p>
    <w:p>
      <w:bookmarkStart w:id="7508" w:name="Capitalization__of_expenses_for"/>
      <w:pPr>
        <w:pStyle w:val="Para 01"/>
        <w:keepLines w:val="on"/>
      </w:pPr>
      <w:r>
        <w:t>Vốn hóa</w:t>
      </w:r>
      <w:bookmarkEnd w:id="7508"/>
    </w:p>
    <w:p>
      <w:bookmarkStart w:id="7509" w:name="of_expenses_for_contractual_comm"/>
      <w:pPr>
        <w:pStyle w:val="Para 01"/>
        <w:keepLines w:val="on"/>
      </w:pPr>
      <w:r>
        <w:t>của các khoản chi phí cho cam kết hợp đồng, 254–255</w:t>
      </w:r>
      <w:bookmarkEnd w:id="7509"/>
    </w:p>
    <w:p>
      <w:bookmarkStart w:id="7510" w:name="of_financing_expenses__252_256"/>
      <w:pPr>
        <w:pStyle w:val="Para 01"/>
        <w:keepLines w:val="on"/>
      </w:pPr>
      <w:r>
        <w:t>chi phí tài trợ, 252–256</w:t>
      </w:r>
      <w:bookmarkEnd w:id="7510"/>
    </w:p>
    <w:p>
      <w:bookmarkStart w:id="7511" w:name="of_operating_expenses__248_252"/>
      <w:pPr>
        <w:pStyle w:val="Para 01"/>
        <w:keepLines w:val="on"/>
      </w:pPr>
      <w:r>
        <w:t>chi phí hoạt động, 248–252, 258</w:t>
      </w:r>
      <w:bookmarkEnd w:id="7511"/>
    </w:p>
    <w:p>
      <w:bookmarkStart w:id="7512" w:name="of_operating_leases__228_229"/>
      <w:pPr>
        <w:pStyle w:val="Para 01"/>
        <w:keepLines w:val="on"/>
      </w:pPr>
      <w:r>
        <w:t>thuê hoạt động, 228–229</w:t>
      </w:r>
      <w:bookmarkEnd w:id="7512"/>
    </w:p>
    <w:p>
      <w:bookmarkStart w:id="7513" w:name="of_R_D_expenses__245_248"/>
      <w:pPr>
        <w:pStyle w:val="Para 01"/>
        <w:keepLines w:val="on"/>
      </w:pPr>
      <w:r>
        <w:t>chi phí R&amp;D, 245–248</w:t>
      </w:r>
      <w:bookmarkEnd w:id="7513"/>
    </w:p>
    <w:p>
      <w:bookmarkStart w:id="7514" w:name="Capital_leases__40_41"/>
      <w:pPr>
        <w:pStyle w:val="Para 01"/>
        <w:keepLines w:val="on"/>
      </w:pPr>
      <w:r>
        <w:t>Thuê tài chính, 40–41</w:t>
      </w:r>
      <w:bookmarkEnd w:id="7514"/>
    </w:p>
    <w:p>
      <w:bookmarkStart w:id="7515" w:name="Capped_call__109"/>
      <w:pPr>
        <w:pStyle w:val="Para 01"/>
        <w:keepLines w:val="on"/>
      </w:pPr>
      <w:r>
        <w:t>Capped call, 109</w:t>
      </w:r>
      <w:bookmarkEnd w:id="7515"/>
    </w:p>
    <w:p>
      <w:bookmarkStart w:id="7516" w:name="Cash__for_acquisitions__821_822"/>
      <w:pPr>
        <w:pStyle w:val="Para 01"/>
        <w:keepLines w:val="on"/>
      </w:pPr>
      <w:r>
        <w:t>Tiền mặt</w:t>
      </w:r>
      <w:bookmarkEnd w:id="7516"/>
    </w:p>
    <w:p>
      <w:bookmarkStart w:id="7517" w:name="for_acquisitions__821_822"/>
      <w:pPr>
        <w:pStyle w:val="Para 01"/>
        <w:keepLines w:val="on"/>
      </w:pPr>
      <w:r>
        <w:t>cho các thương vụ mua lại, 821–822</w:t>
      </w:r>
      <w:bookmarkEnd w:id="7517"/>
    </w:p>
    <w:p>
      <w:bookmarkStart w:id="7518" w:name="betas_and__207_208"/>
      <w:pPr>
        <w:pStyle w:val="Para 01"/>
        <w:keepLines w:val="on"/>
      </w:pPr>
      <w:r>
        <w:t>beta và, 207–208</w:t>
      </w:r>
      <w:bookmarkEnd w:id="7518"/>
    </w:p>
    <w:p>
      <w:bookmarkStart w:id="7519" w:name="consolidated_valuation_and__482"/>
      <w:pPr>
        <w:pStyle w:val="Para 01"/>
        <w:keepLines w:val="on"/>
      </w:pPr>
      <w:r>
        <w:t>định giá hợp nhất và, 482–484</w:t>
      </w:r>
      <w:bookmarkEnd w:id="7519"/>
    </w:p>
    <w:p>
      <w:bookmarkStart w:id="7520" w:name="as_current_assets__33"/>
      <w:pPr>
        <w:pStyle w:val="Para 01"/>
        <w:keepLines w:val="on"/>
      </w:pPr>
      <w:r>
        <w:t>là tài sản ngắn hạn, 33</w:t>
      </w:r>
      <w:bookmarkEnd w:id="7520"/>
    </w:p>
    <w:p>
      <w:bookmarkStart w:id="7521" w:name="discounting__484_486"/>
      <w:pPr>
        <w:pStyle w:val="Para 01"/>
        <w:keepLines w:val="on"/>
      </w:pPr>
      <w:r>
        <w:t>chiết khấu, 484–486</w:t>
      </w:r>
      <w:bookmarkEnd w:id="7521"/>
    </w:p>
    <w:p>
      <w:bookmarkStart w:id="7522" w:name="in_foreign_markets__485_486"/>
      <w:pPr>
        <w:pStyle w:val="Para 01"/>
        <w:keepLines w:val="on"/>
      </w:pPr>
      <w:r>
        <w:t>trên thị trường nước ngoài, 485–486</w:t>
      </w:r>
      <w:bookmarkEnd w:id="7522"/>
    </w:p>
    <w:p>
      <w:bookmarkStart w:id="7523" w:name="invested_at_below_market_rates"/>
      <w:pPr>
        <w:pStyle w:val="Para 01"/>
        <w:keepLines w:val="on"/>
      </w:pPr>
      <w:r>
        <w:t>đầu tư với lãi suất dưới thị trường, 484–485</w:t>
      </w:r>
      <w:bookmarkEnd w:id="7523"/>
    </w:p>
    <w:p>
      <w:bookmarkStart w:id="7524" w:name="operating_cash_requirements__481"/>
      <w:pPr>
        <w:pStyle w:val="Para 01"/>
        <w:keepLines w:val="on"/>
      </w:pPr>
      <w:r>
        <w:t>nhu cầu tiền mặt cho hoạt động, 481–482</w:t>
      </w:r>
      <w:bookmarkEnd w:id="7524"/>
    </w:p>
    <w:p>
      <w:bookmarkStart w:id="7525" w:name="separate_valuation_and__482_484"/>
      <w:pPr>
        <w:pStyle w:val="Para 01"/>
        <w:keepLines w:val="on"/>
      </w:pPr>
      <w:r>
        <w:t>định giá riêng và, 482–484</w:t>
      </w:r>
      <w:bookmarkEnd w:id="7525"/>
    </w:p>
    <w:p>
      <w:bookmarkStart w:id="7526" w:name="and_value_per_share__464"/>
      <w:pPr>
        <w:pStyle w:val="Para 01"/>
        <w:keepLines w:val="on"/>
      </w:pPr>
      <w:r>
        <w:t>và giá trị trên mỗi cổ phần, 464</w:t>
      </w:r>
      <w:bookmarkEnd w:id="7526"/>
    </w:p>
    <w:p>
      <w:bookmarkStart w:id="7527" w:name="Cash_burn_ratio__357_358"/>
      <w:pPr>
        <w:pStyle w:val="Para 01"/>
        <w:keepLines w:val="on"/>
      </w:pPr>
      <w:r>
        <w:t>Tỷ lệ đốt tiền mặt, 357–358</w:t>
      </w:r>
      <w:bookmarkEnd w:id="7527"/>
    </w:p>
    <w:p>
      <w:bookmarkStart w:id="7528" w:name="Cash_fixed_charge_ratio__53"/>
      <w:pPr>
        <w:pStyle w:val="Para 01"/>
        <w:keepLines w:val="on"/>
      </w:pPr>
      <w:r>
        <w:t>Tỷ lệ chi phí cố định bằng tiền mặt, 53</w:t>
      </w:r>
      <w:bookmarkEnd w:id="7528"/>
    </w:p>
    <w:p>
      <w:bookmarkStart w:id="7529" w:name="Cash_flow_producing_assets__clas"/>
      <w:pPr>
        <w:pStyle w:val="Para 01"/>
        <w:keepLines w:val="on"/>
      </w:pPr>
      <w:r>
        <w:t>Tài sản tạo ra dòng tiền</w:t>
      </w:r>
      <w:bookmarkEnd w:id="7529"/>
    </w:p>
    <w:p>
      <w:bookmarkStart w:id="7530" w:name="classifying__867_868"/>
      <w:pPr>
        <w:pStyle w:val="Para 01"/>
        <w:keepLines w:val="on"/>
      </w:pPr>
      <w:r>
        <w:t>phân loại, 867–868</w:t>
      </w:r>
      <w:bookmarkEnd w:id="7530"/>
    </w:p>
    <w:p>
      <w:bookmarkStart w:id="7531" w:name="franchise_valuation__869_877"/>
      <w:pPr>
        <w:pStyle w:val="Para 01"/>
        <w:keepLines w:val="on"/>
      </w:pPr>
      <w:r>
        <w:t>định giá nhượng quyền thương mại, 869–877</w:t>
      </w:r>
      <w:bookmarkEnd w:id="7531"/>
    </w:p>
    <w:p>
      <w:bookmarkStart w:id="7532" w:name="trademark__copyright_and_license"/>
      <w:pPr>
        <w:pStyle w:val="Para 01"/>
        <w:keepLines w:val="on"/>
      </w:pPr>
      <w:r>
        <w:t>định giá nhãn hiệu, bản quyền và giấy phép, 881–882</w:t>
      </w:r>
      <w:bookmarkEnd w:id="7532"/>
    </w:p>
    <w:p>
      <w:bookmarkStart w:id="7533" w:name="valuing_businesses_with_personal"/>
      <w:pPr>
        <w:pStyle w:val="Para 01"/>
        <w:keepLines w:val="on"/>
      </w:pPr>
      <w:r>
        <w:t>định giá doanh nghiệp có yếu tố cá nhân, 877–881</w:t>
      </w:r>
      <w:bookmarkEnd w:id="7533"/>
    </w:p>
    <w:p>
      <w:bookmarkStart w:id="7534" w:name="Cash_flow_return_on_investment"/>
      <w:pPr>
        <w:pStyle w:val="Para 01"/>
        <w:keepLines w:val="on"/>
      </w:pPr>
      <w:r>
        <w:t>Tỷ suất sinh lời trên vốn đầu tư dòng tiền (CFROI)</w:t>
      </w:r>
      <w:bookmarkEnd w:id="7534"/>
    </w:p>
    <w:p>
      <w:bookmarkStart w:id="7535" w:name="calculation_of__1023_1024"/>
      <w:pPr>
        <w:pStyle w:val="Para 01"/>
        <w:keepLines w:val="on"/>
      </w:pPr>
      <w:r>
        <w:t>cách tính, 1023–1024</w:t>
      </w:r>
      <w:bookmarkEnd w:id="7535"/>
    </w:p>
    <w:p>
      <w:bookmarkStart w:id="7536" w:name="capital_fade_and_implied_cost_of"/>
      <w:pPr>
        <w:pStyle w:val="Para 01"/>
        <w:keepLines w:val="on"/>
      </w:pPr>
      <w:r>
        <w:t>sự hao mòn vốn và chi phí vốn ngầm định, 1028</w:t>
      </w:r>
      <w:bookmarkEnd w:id="7536"/>
    </w:p>
    <w:p>
      <w:bookmarkStart w:id="7537" w:name="discounted_cash_flow_and__1025_1"/>
      <w:pPr>
        <w:pStyle w:val="Para 01"/>
        <w:keepLines w:val="on"/>
      </w:pPr>
      <w:r>
        <w:t>dòng tiền chiết khấu và, 1025–1027</w:t>
      </w:r>
      <w:bookmarkEnd w:id="7537"/>
    </w:p>
    <w:p>
      <w:bookmarkStart w:id="7538" w:name="explanation_of__1007__1023"/>
      <w:pPr>
        <w:pStyle w:val="Para 01"/>
        <w:keepLines w:val="on"/>
      </w:pPr>
      <w:r>
        <w:t>giải thích về, 1007, 1023</w:t>
      </w:r>
      <w:bookmarkEnd w:id="7538"/>
    </w:p>
    <w:p>
      <w:bookmarkStart w:id="7539" w:name="firm_value_and__1027_1028"/>
      <w:pPr>
        <w:pStyle w:val="Para 01"/>
        <w:keepLines w:val="on"/>
      </w:pPr>
      <w:r>
        <w:t>giá trị doanh nghiệp và, 1027–1028</w:t>
      </w:r>
      <w:bookmarkEnd w:id="7539"/>
    </w:p>
    <w:p>
      <w:bookmarkStart w:id="7540" w:name="internal_rate_of_return_and__102"/>
      <w:pPr>
        <w:pStyle w:val="Para 01"/>
        <w:keepLines w:val="on"/>
      </w:pPr>
      <w:r>
        <w:t>tỷ suất hoàn vốn nội bộ và, 1025–1027</w:t>
      </w:r>
      <w:bookmarkEnd w:id="7540"/>
    </w:p>
    <w:p>
      <w:bookmarkStart w:id="7541" w:name="market_value_and__1028"/>
      <w:pPr>
        <w:pStyle w:val="Para 01"/>
        <w:keepLines w:val="on"/>
      </w:pPr>
      <w:r>
        <w:t>giá trị thị trường và, 1028</w:t>
      </w:r>
      <w:bookmarkEnd w:id="7541"/>
    </w:p>
    <w:p>
      <w:bookmarkStart w:id="7542" w:name="Cash_flows__after_tax__1025_for"/>
      <w:pPr>
        <w:pStyle w:val="Para 01"/>
        <w:keepLines w:val="on"/>
      </w:pPr>
      <w:r>
        <w:t>Dòng tiền</w:t>
      </w:r>
      <w:bookmarkEnd w:id="7542"/>
    </w:p>
    <w:p>
      <w:bookmarkStart w:id="7543" w:name="after_tax__1025"/>
      <w:pPr>
        <w:pStyle w:val="Para 01"/>
        <w:keepLines w:val="on"/>
      </w:pPr>
      <w:r>
        <w:t>sau thuế, 1025</w:t>
      </w:r>
      <w:bookmarkEnd w:id="7543"/>
    </w:p>
    <w:p>
      <w:bookmarkStart w:id="7544" w:name="for_aggregated_valuation__463"/>
      <w:pPr>
        <w:pStyle w:val="Para 01"/>
        <w:keepLines w:val="on"/>
      </w:pPr>
      <w:r>
        <w:t>cho định giá tổng hợp, 463</w:t>
      </w:r>
      <w:bookmarkEnd w:id="7544"/>
    </w:p>
    <w:p>
      <w:bookmarkStart w:id="7545" w:name="capacity_to_generate__1067"/>
      <w:pPr>
        <w:pStyle w:val="Para 01"/>
        <w:keepLines w:val="on"/>
      </w:pPr>
      <w:r>
        <w:t>khả năng tạo ra, 1067</w:t>
      </w:r>
      <w:bookmarkEnd w:id="7545"/>
    </w:p>
    <w:p>
      <w:bookmarkStart w:id="7546" w:name="in_decision_trees__1040"/>
      <w:pPr>
        <w:pStyle w:val="Para 01"/>
        <w:keepLines w:val="on"/>
      </w:pPr>
      <w:r>
        <w:t>trong cây quyết định, 1040</w:t>
      </w:r>
      <w:bookmarkEnd w:id="7546"/>
    </w:p>
    <w:p>
      <w:bookmarkStart w:id="7547" w:name="for_disaggregated_valuation__463"/>
      <w:pPr>
        <w:pStyle w:val="Para 01"/>
        <w:keepLines w:val="on"/>
      </w:pPr>
      <w:r>
        <w:t>cho định giá phân tách, 463</w:t>
      </w:r>
      <w:bookmarkEnd w:id="7547"/>
    </w:p>
    <w:p>
      <w:bookmarkStart w:id="7548" w:name="and_discount_rates__16_17"/>
      <w:pPr>
        <w:pStyle w:val="Para 01"/>
        <w:keepLines w:val="on"/>
      </w:pPr>
      <w:r>
        <w:t>và tỷ lệ chiết khấu, 16–17</w:t>
      </w:r>
      <w:bookmarkEnd w:id="7548"/>
    </w:p>
    <w:p>
      <w:bookmarkStart w:id="7549" w:name="earnings_vs___671_672"/>
      <w:pPr>
        <w:pStyle w:val="Para 01"/>
        <w:keepLines w:val="on"/>
      </w:pPr>
      <w:r>
        <w:t>thu nhập so với, 671–672</w:t>
      </w:r>
      <w:bookmarkEnd w:id="7549"/>
    </w:p>
    <w:p>
      <w:bookmarkStart w:id="7550" w:name="estimation_of__660__851_852"/>
      <w:pPr>
        <w:pStyle w:val="Para 01"/>
        <w:keepLines w:val="on"/>
      </w:pPr>
      <w:r>
        <w:t>ước tính, 660, 851–852</w:t>
      </w:r>
      <w:bookmarkEnd w:id="7550"/>
    </w:p>
    <w:p>
      <w:bookmarkStart w:id="7551" w:name="excess_vs__total__18"/>
      <w:pPr>
        <w:pStyle w:val="Para 01"/>
        <w:keepLines w:val="on"/>
      </w:pPr>
      <w:r>
        <w:t>vượt trội so với tổng, 18</w:t>
      </w:r>
      <w:bookmarkEnd w:id="7551"/>
    </w:p>
    <w:p>
      <w:bookmarkStart w:id="7552" w:name="and_illiquidity_discount__775"/>
      <w:pPr>
        <w:pStyle w:val="Para 01"/>
        <w:keepLines w:val="on"/>
      </w:pPr>
      <w:r>
        <w:t>và chiết khấu kém thanh khoản, 775</w:t>
      </w:r>
      <w:bookmarkEnd w:id="7552"/>
    </w:p>
    <w:p>
      <w:bookmarkStart w:id="7553" w:name="increasing_existing_investments"/>
      <w:pPr>
        <w:pStyle w:val="Para 01"/>
        <w:keepLines w:val="on"/>
      </w:pPr>
      <w:r>
        <w:t>tăng các khoản đầu tư hiện có, 978–986</w:t>
      </w:r>
      <w:bookmarkEnd w:id="7553"/>
    </w:p>
    <w:p>
      <w:bookmarkStart w:id="7554" w:name="for_infrastructure_firms__710_71"/>
      <w:pPr>
        <w:pStyle w:val="Para 01"/>
        <w:keepLines w:val="on"/>
      </w:pPr>
      <w:r>
        <w:t>cho các doanh nghiệp hạ tầng, 710–711</w:t>
      </w:r>
      <w:bookmarkEnd w:id="7554"/>
    </w:p>
    <w:p>
      <w:bookmarkStart w:id="7555" w:name="for_intrinsic_valuation_model__1"/>
      <w:pPr>
        <w:pStyle w:val="Para 01"/>
        <w:keepLines w:val="on"/>
      </w:pPr>
      <w:r>
        <w:t>cho mô hình định giá nội tại, 1070</w:t>
      </w:r>
      <w:bookmarkEnd w:id="7555"/>
    </w:p>
    <w:p>
      <w:bookmarkStart w:id="7556" w:name="investment__710_711"/>
      <w:pPr>
        <w:pStyle w:val="Para 01"/>
        <w:keepLines w:val="on"/>
      </w:pPr>
      <w:r>
        <w:t>đầu tư, 710–711</w:t>
      </w:r>
      <w:bookmarkEnd w:id="7556"/>
    </w:p>
    <w:p>
      <w:bookmarkStart w:id="7557" w:name="operating__53_54__711"/>
      <w:pPr>
        <w:pStyle w:val="Para 01"/>
        <w:keepLines w:val="on"/>
      </w:pPr>
      <w:r>
        <w:t>hoạt động, 53–54, 711</w:t>
      </w:r>
      <w:bookmarkEnd w:id="7557"/>
    </w:p>
    <w:p>
      <w:bookmarkStart w:id="7558" w:name="over_life_cycle__381"/>
      <w:pPr>
        <w:pStyle w:val="Para 01"/>
        <w:keepLines w:val="on"/>
      </w:pPr>
      <w:r>
        <w:t>qua vòng đời, 381</w:t>
      </w:r>
      <w:bookmarkEnd w:id="7558"/>
    </w:p>
    <w:p>
      <w:bookmarkStart w:id="7559" w:name="present_value_of__912_913"/>
      <w:pPr>
        <w:pStyle w:val="Para 01"/>
        <w:keepLines w:val="on"/>
      </w:pPr>
      <w:r>
        <w:t>giá trị hiện tại của, 912–913</w:t>
      </w:r>
      <w:bookmarkEnd w:id="7559"/>
    </w:p>
    <w:p>
      <w:bookmarkStart w:id="7560" w:name="pricing_investments_with_no__883"/>
      <w:pPr>
        <w:pStyle w:val="Para 01"/>
        <w:keepLines w:val="on"/>
      </w:pPr>
      <w:r>
        <w:t>định giá các khoản đầu tư không có, 883</w:t>
      </w:r>
      <w:bookmarkEnd w:id="7560"/>
    </w:p>
    <w:p>
      <w:bookmarkStart w:id="7561" w:name="in_private_firms__767_770"/>
      <w:pPr>
        <w:pStyle w:val="Para 01"/>
        <w:keepLines w:val="on"/>
      </w:pPr>
      <w:r>
        <w:t>trong các công ty tư nhân, 767–770</w:t>
      </w:r>
      <w:bookmarkEnd w:id="7561"/>
    </w:p>
    <w:p>
      <w:bookmarkStart w:id="7562" w:name="for_real_estate_valuation__851_8"/>
      <w:pPr>
        <w:pStyle w:val="Para 01"/>
        <w:keepLines w:val="on"/>
      </w:pPr>
      <w:r>
        <w:t>cho định giá bất động sản, 851–852</w:t>
      </w:r>
      <w:bookmarkEnd w:id="7562"/>
    </w:p>
    <w:p>
      <w:bookmarkStart w:id="7563" w:name="risk_free_rates_and__158_159"/>
      <w:pPr>
        <w:pStyle w:val="Para 01"/>
        <w:keepLines w:val="on"/>
      </w:pPr>
      <w:r>
        <w:t>lãi suất phi rủi ro và, 158–159</w:t>
      </w:r>
      <w:bookmarkEnd w:id="7563"/>
    </w:p>
    <w:p>
      <w:bookmarkStart w:id="7564" w:name="in_takeover_valuation_and__819_8"/>
      <w:pPr>
        <w:pStyle w:val="Para 01"/>
        <w:keepLines w:val="on"/>
      </w:pPr>
      <w:r>
        <w:t>trong định giá thâu tóm và, 819–820</w:t>
      </w:r>
      <w:bookmarkEnd w:id="7564"/>
    </w:p>
    <w:p>
      <w:bookmarkStart w:id="7565" w:name="test_of__19"/>
      <w:pPr>
        <w:pStyle w:val="Para 01"/>
        <w:keepLines w:val="on"/>
      </w:pPr>
      <w:r>
        <w:t>kiểm định, 19</w:t>
      </w:r>
      <w:bookmarkEnd w:id="7565"/>
    </w:p>
    <w:p>
      <w:bookmarkStart w:id="7566" w:name="user__647_648"/>
      <w:pPr>
        <w:pStyle w:val="Para 01"/>
        <w:keepLines w:val="on"/>
      </w:pPr>
      <w:r>
        <w:t>người dùng, 647–648</w:t>
      </w:r>
      <w:bookmarkEnd w:id="7566"/>
    </w:p>
    <w:p>
      <w:bookmarkStart w:id="7567" w:name="Cash_flow_statements__30__31"/>
      <w:pPr>
        <w:pStyle w:val="Para 01"/>
        <w:keepLines w:val="on"/>
      </w:pPr>
      <w:r>
        <w:t>Báo cáo lưu chuyển tiền tệ, 30, 31</w:t>
      </w:r>
      <w:bookmarkEnd w:id="7567"/>
    </w:p>
    <w:p>
      <w:bookmarkStart w:id="7568" w:name="Cash_flow_to_equity__explanation"/>
      <w:pPr>
        <w:pStyle w:val="Para 01"/>
        <w:keepLines w:val="on"/>
      </w:pPr>
      <w:r>
        <w:t>Dòng tiền về vốn chủ sở hữu</w:t>
      </w:r>
      <w:bookmarkEnd w:id="7568"/>
    </w:p>
    <w:p>
      <w:bookmarkStart w:id="7569" w:name="explanation__668"/>
      <w:pPr>
        <w:pStyle w:val="Para 01"/>
        <w:keepLines w:val="on"/>
      </w:pPr>
      <w:r>
        <w:t>giải thích, 668</w:t>
      </w:r>
      <w:bookmarkEnd w:id="7569"/>
    </w:p>
    <w:p>
      <w:bookmarkStart w:id="7570" w:name="investments_in_regulatory_capita"/>
      <w:pPr>
        <w:pStyle w:val="Para 01"/>
        <w:keepLines w:val="on"/>
      </w:pPr>
      <w:r>
        <w:t>các khoản đầu tư vào vốn pháp định trong, 669–670</w:t>
      </w:r>
      <w:bookmarkEnd w:id="7570"/>
    </w:p>
    <w:p>
      <w:bookmarkStart w:id="7571" w:name="training_and_employee_developmen"/>
      <w:pPr>
        <w:pStyle w:val="Para 01"/>
        <w:keepLines w:val="on"/>
      </w:pPr>
      <w:r>
        <w:t>chi phí đào tạo và phát triển nhân viên trong, 668–669</w:t>
      </w:r>
      <w:bookmarkEnd w:id="7571"/>
    </w:p>
    <w:p>
      <w:bookmarkStart w:id="7572" w:name="Cash_flow_to_equity_model_of_val"/>
      <w:pPr>
        <w:pStyle w:val="Para 01"/>
        <w:keepLines w:val="on"/>
      </w:pPr>
      <w:r>
        <w:t>Mô hình định giá dòng tiền về vốn chủ sở hữu, 668–672</w:t>
      </w:r>
      <w:bookmarkEnd w:id="7572"/>
    </w:p>
    <w:p>
      <w:bookmarkStart w:id="7573" w:name="Cash_slack__801__814_815"/>
      <w:pPr>
        <w:pStyle w:val="Para 01"/>
        <w:keepLines w:val="on"/>
      </w:pPr>
      <w:r>
        <w:t>Tiền nhàn rỗi, 801, 814–815</w:t>
      </w:r>
      <w:bookmarkEnd w:id="7573"/>
    </w:p>
    <w:p>
      <w:bookmarkStart w:id="7574" w:name="Castillo_Cable__573_575"/>
      <w:pPr>
        <w:pStyle w:val="Para 01"/>
        <w:keepLines w:val="on"/>
      </w:pPr>
      <w:r>
        <w:t>Castillo Cable, 573–575</w:t>
      </w:r>
      <w:bookmarkEnd w:id="7574"/>
    </w:p>
    <w:p>
      <w:bookmarkStart w:id="7575" w:name="Causation__correlation_vs___124"/>
      <w:pPr>
        <w:pStyle w:val="Para 01"/>
        <w:keepLines w:val="on"/>
      </w:pPr>
      <w:r>
        <w:t>Quan hệ nhân quả, tương quan so với, 124</w:t>
      </w:r>
      <w:bookmarkEnd w:id="7575"/>
    </w:p>
    <w:p>
      <w:bookmarkStart w:id="7576" w:name="CDS__credit_default_swap__market"/>
      <w:pPr>
        <w:pStyle w:val="Para 01"/>
        <w:keepLines w:val="on"/>
      </w:pPr>
      <w:r>
        <w:t>Thị trường CDS (hoán đổi rủi ro tín dụng), 160–161</w:t>
      </w:r>
      <w:bookmarkEnd w:id="7576"/>
    </w:p>
    <w:p>
      <w:bookmarkStart w:id="7577" w:name="Chartists__8"/>
      <w:pPr>
        <w:pStyle w:val="Para 01"/>
        <w:keepLines w:val="on"/>
      </w:pPr>
      <w:r>
        <w:t>Các nhà phân tích kỹ thuật, 8</w:t>
      </w:r>
      <w:bookmarkEnd w:id="7577"/>
    </w:p>
    <w:p>
      <w:bookmarkStart w:id="7578" w:name="Chez_Pierre__762__763__770_772"/>
      <w:pPr>
        <w:pStyle w:val="Para 01"/>
        <w:keepLines w:val="on"/>
      </w:pPr>
      <w:r>
        <w:t>Chez Pierre, 762, 763, 770–772, 780, 782</w:t>
      </w:r>
      <w:bookmarkEnd w:id="7578"/>
    </w:p>
    <w:p>
      <w:bookmarkStart w:id="7579" w:name="Cisco_Systems__108__283_284__305"/>
      <w:pPr>
        <w:pStyle w:val="Para 01"/>
        <w:keepLines w:val="on"/>
      </w:pPr>
      <w:r>
        <w:t>Cisco Systems, 108, 283–284, 305–306, 503, 505–506, 828</w:t>
      </w:r>
      <w:bookmarkEnd w:id="7579"/>
    </w:p>
    <w:p>
      <w:bookmarkStart w:id="7580" w:name="Closed_end_funds__491"/>
      <w:pPr>
        <w:pStyle w:val="Para 01"/>
        <w:keepLines w:val="on"/>
      </w:pPr>
      <w:r>
        <w:t>Quỹ đóng, 491</w:t>
      </w:r>
      <w:bookmarkEnd w:id="7580"/>
    </w:p>
    <w:p>
      <w:bookmarkStart w:id="7581" w:name="Closure__See_Terminal_value"/>
      <w:pPr>
        <w:pStyle w:val="Para 10"/>
        <w:keepLines w:val="on"/>
      </w:pPr>
      <w:r>
        <w:t>Kết thúc. Xem Giá trị cuối kỳ</w:t>
      </w:r>
      <w:bookmarkEnd w:id="7581"/>
    </w:p>
    <w:p>
      <w:bookmarkStart w:id="7582" w:name="Closure_in_valuation__341_357__7"/>
      <w:pPr>
        <w:pStyle w:val="Para 01"/>
        <w:keepLines w:val="on"/>
      </w:pPr>
      <w:r>
        <w:t>Kết thúc trong định giá, 341–357, 772–773</w:t>
      </w:r>
      <w:bookmarkEnd w:id="7582"/>
    </w:p>
    <w:p>
      <w:bookmarkStart w:id="7583" w:name="Coca_Cola__250__314__374__406__6"/>
      <w:pPr>
        <w:pStyle w:val="Para 01"/>
        <w:keepLines w:val="on"/>
      </w:pPr>
      <w:r>
        <w:t>Coca-Cola, 250, 314, 374, 406, 620–621, 628–632, 991</w:t>
      </w:r>
      <w:bookmarkEnd w:id="7583"/>
    </w:p>
    <w:p>
      <w:bookmarkStart w:id="7584" w:name="Collectibles__868__artwork__883"/>
      <w:pPr>
        <w:pStyle w:val="Para 01"/>
        <w:keepLines w:val="on"/>
      </w:pPr>
      <w:r>
        <w:t>Đồ sưu tầm, 868</w:t>
      </w:r>
      <w:bookmarkEnd w:id="7584"/>
    </w:p>
    <w:p>
      <w:bookmarkStart w:id="7585" w:name="artwork__883_884"/>
      <w:pPr>
        <w:pStyle w:val="Para 01"/>
        <w:keepLines w:val="on"/>
      </w:pPr>
      <w:r>
        <w:t>Tác phẩm nghệ thuật, 883–884</w:t>
      </w:r>
      <w:bookmarkEnd w:id="7585"/>
    </w:p>
    <w:p>
      <w:bookmarkStart w:id="7586" w:name="Bitcoin__892_896"/>
      <w:pPr>
        <w:pStyle w:val="Para 01"/>
        <w:keepLines w:val="on"/>
      </w:pPr>
      <w:r>
        <w:t>Bitcoin, 892–896</w:t>
      </w:r>
      <w:bookmarkEnd w:id="7586"/>
    </w:p>
    <w:p>
      <w:bookmarkStart w:id="7587" w:name="digital__896_897"/>
      <w:pPr>
        <w:pStyle w:val="Para 01"/>
        <w:keepLines w:val="on"/>
      </w:pPr>
      <w:r>
        <w:t>kỹ thuật số, 896–897</w:t>
      </w:r>
      <w:bookmarkEnd w:id="7587"/>
    </w:p>
    <w:p>
      <w:bookmarkStart w:id="7588" w:name="gold__885_892"/>
      <w:pPr>
        <w:pStyle w:val="Para 01"/>
        <w:keepLines w:val="on"/>
      </w:pPr>
      <w:r>
        <w:t>vàng, 885–892</w:t>
      </w:r>
      <w:bookmarkEnd w:id="7588"/>
    </w:p>
    <w:p>
      <w:bookmarkStart w:id="7589" w:name="pricing_investments_with_no_cash"/>
      <w:pPr>
        <w:pStyle w:val="Para 01"/>
        <w:keepLines w:val="on"/>
      </w:pPr>
      <w:r>
        <w:t>định giá các khoản đầu tư không có dòng tiền, 883</w:t>
      </w:r>
      <w:bookmarkEnd w:id="7589"/>
    </w:p>
    <w:p>
      <w:bookmarkStart w:id="7590" w:name="Commodity__868"/>
      <w:pPr>
        <w:pStyle w:val="Para 01"/>
        <w:keepLines w:val="on"/>
      </w:pPr>
      <w:r>
        <w:t>Hàng hóa, 868</w:t>
      </w:r>
      <w:bookmarkEnd w:id="7590"/>
    </w:p>
    <w:p>
      <w:bookmarkStart w:id="7591" w:name="Commodity_firms__706_710"/>
      <w:pPr>
        <w:pStyle w:val="Para 01"/>
        <w:keepLines w:val="on"/>
      </w:pPr>
      <w:r>
        <w:t>Các công ty hàng hóa, 706–710</w:t>
      </w:r>
      <w:bookmarkEnd w:id="7591"/>
    </w:p>
    <w:p>
      <w:bookmarkStart w:id="7592" w:name="Compahnia_Vale_Dio_Roce__CVRD"/>
      <w:pPr>
        <w:pStyle w:val="Para 01"/>
        <w:keepLines w:val="on"/>
      </w:pPr>
      <w:r>
        <w:t>Compahnia Vale Dio Roce (CVRD), 718–719</w:t>
      </w:r>
      <w:bookmarkEnd w:id="7592"/>
    </w:p>
    <w:p>
      <w:bookmarkStart w:id="7593" w:name="Companion_variables__525__623_62"/>
      <w:pPr>
        <w:pStyle w:val="Para 01"/>
        <w:keepLines w:val="on"/>
      </w:pPr>
      <w:r>
        <w:t>Biến đồng hành, 525, 623–624</w:t>
      </w:r>
      <w:bookmarkEnd w:id="7593"/>
    </w:p>
    <w:p>
      <w:bookmarkStart w:id="7594" w:name="Compaq__795_796"/>
      <w:pPr>
        <w:pStyle w:val="Para 01"/>
        <w:keepLines w:val="on"/>
      </w:pPr>
      <w:r>
        <w:t>Compaq, 795–796</w:t>
      </w:r>
      <w:bookmarkEnd w:id="7594"/>
    </w:p>
    <w:p>
      <w:bookmarkStart w:id="7595" w:name="Comparable_assets__explanation_o"/>
      <w:pPr>
        <w:pStyle w:val="Para 01"/>
        <w:keepLines w:val="on"/>
      </w:pPr>
      <w:r>
        <w:t>Tài sản so sánh</w:t>
      </w:r>
      <w:bookmarkEnd w:id="7595"/>
    </w:p>
    <w:p>
      <w:bookmarkStart w:id="7597" w:name="explanation_of__860"/>
      <w:pPr>
        <w:pStyle w:val="Para 01"/>
        <w:keepLines w:val="on"/>
      </w:pPr>
      <w:r>
        <w:t>giải thích về, 860</w:t>
      </w:r>
      <w:bookmarkEnd w:id="7597"/>
    </w:p>
    <w:p>
      <w:bookmarkStart w:id="7598" w:name="presence_of__1067_1068"/>
      <w:pPr>
        <w:pStyle w:val="Para 01"/>
        <w:keepLines w:val="on"/>
      </w:pPr>
      <w:r>
        <w:t>sự hiện diện của, 1067–1068</w:t>
      </w:r>
      <w:bookmarkEnd w:id="7598"/>
    </w:p>
    <w:p>
      <w:bookmarkStart w:id="7599" w:name="real_estate_valuation_based_on"/>
      <w:pPr>
        <w:pStyle w:val="Para 01"/>
        <w:keepLines w:val="on"/>
      </w:pPr>
      <w:r>
        <w:t>định giá bất động sản dựa trên, 860–862</w:t>
      </w:r>
      <w:bookmarkEnd w:id="7599"/>
    </w:p>
    <w:p>
      <w:bookmarkStart w:id="7600" w:name="for_real_estate_vs__stocks__861"/>
      <w:pPr>
        <w:pStyle w:val="Para 01"/>
        <w:keepLines w:val="on"/>
      </w:pPr>
      <w:r>
        <w:t>cho bất động sản so với cổ phiếu, 861–862</w:t>
      </w:r>
      <w:bookmarkEnd w:id="7600"/>
    </w:p>
    <w:p>
      <w:bookmarkStart w:id="7601" w:name="Comparable_firms__for_botttom_up"/>
      <w:pPr>
        <w:pStyle w:val="Para 01"/>
        <w:keepLines w:val="on"/>
      </w:pPr>
      <w:r>
        <w:t>Các công ty so sánh</w:t>
      </w:r>
      <w:bookmarkEnd w:id="7601"/>
    </w:p>
    <w:p>
      <w:bookmarkStart w:id="7602" w:name="for_botttom_up_betas__206"/>
      <w:pPr>
        <w:pStyle w:val="Para 01"/>
        <w:keepLines w:val="on"/>
      </w:pPr>
      <w:r>
        <w:t>cho beta từ dưới lên, 206</w:t>
      </w:r>
      <w:bookmarkEnd w:id="7602"/>
    </w:p>
    <w:p>
      <w:bookmarkStart w:id="7603" w:name="presence_of__1067_1068_1"/>
      <w:pPr>
        <w:pStyle w:val="Para 01"/>
        <w:keepLines w:val="on"/>
      </w:pPr>
      <w:r>
        <w:t>sự hiện diện của, 1067–1068</w:t>
      </w:r>
      <w:bookmarkEnd w:id="7603"/>
    </w:p>
    <w:p>
      <w:bookmarkStart w:id="7604" w:name="in_pricing_relative_valuation__2"/>
      <w:pPr>
        <w:pStyle w:val="Para 01"/>
        <w:keepLines w:val="on"/>
      </w:pPr>
      <w:r>
        <w:t>trong định giá/định giá tương đối, 21, 22–24</w:t>
      </w:r>
      <w:bookmarkEnd w:id="7604"/>
    </w:p>
    <w:p>
      <w:bookmarkStart w:id="7605" w:name="in_relative_valuation__525_526"/>
      <w:pPr>
        <w:pStyle w:val="Para 01"/>
        <w:keepLines w:val="on"/>
      </w:pPr>
      <w:r>
        <w:t>trong định giá tương đối, 525–526</w:t>
      </w:r>
      <w:bookmarkEnd w:id="7605"/>
    </w:p>
    <w:p>
      <w:bookmarkStart w:id="7606" w:name="revenue_multiples_of__635_641"/>
      <w:pPr>
        <w:pStyle w:val="Para 01"/>
        <w:keepLines w:val="on"/>
      </w:pPr>
      <w:r>
        <w:t>bội số doanh thu của, 635–641</w:t>
      </w:r>
      <w:bookmarkEnd w:id="7606"/>
    </w:p>
    <w:p>
      <w:bookmarkStart w:id="7607" w:name="in_takeover_valuation__819"/>
      <w:pPr>
        <w:pStyle w:val="Para 01"/>
        <w:keepLines w:val="on"/>
      </w:pPr>
      <w:r>
        <w:t>trong định giá thâu tóm, 819</w:t>
      </w:r>
      <w:bookmarkEnd w:id="7607"/>
    </w:p>
    <w:p>
      <w:bookmarkStart w:id="7608" w:name="Compensation__after_acquisitions"/>
      <w:pPr>
        <w:pStyle w:val="Para 01"/>
        <w:keepLines w:val="on"/>
      </w:pPr>
      <w:r>
        <w:t>Thù lao, sau khi mua lại, 804</w:t>
      </w:r>
      <w:bookmarkEnd w:id="7608"/>
    </w:p>
    <w:p>
      <w:bookmarkStart w:id="7609" w:name="Competition__in_acquisitions__82"/>
      <w:pPr>
        <w:pStyle w:val="Para 01"/>
        <w:keepLines w:val="on"/>
      </w:pPr>
      <w:r>
        <w:t>Cạnh tranh</w:t>
      </w:r>
      <w:bookmarkEnd w:id="7609"/>
    </w:p>
    <w:p>
      <w:bookmarkStart w:id="7610" w:name="in_acquisitions__821"/>
      <w:pPr>
        <w:pStyle w:val="Para 01"/>
        <w:keepLines w:val="on"/>
      </w:pPr>
      <w:r>
        <w:t>trong các thương vụ mua lại, 821</w:t>
      </w:r>
      <w:bookmarkEnd w:id="7610"/>
    </w:p>
    <w:p>
      <w:bookmarkStart w:id="7611" w:name="in_business_story__370"/>
      <w:pPr>
        <w:pStyle w:val="Para 01"/>
        <w:keepLines w:val="on"/>
      </w:pPr>
      <w:r>
        <w:t>trong câu chuyện kinh doanh, 370</w:t>
      </w:r>
      <w:bookmarkEnd w:id="7611"/>
    </w:p>
    <w:p>
      <w:bookmarkStart w:id="7612" w:name="five_forces_of__591"/>
      <w:pPr>
        <w:pStyle w:val="Para 01"/>
        <w:keepLines w:val="on"/>
      </w:pPr>
      <w:r>
        <w:t>năm áp lực của, 591</w:t>
      </w:r>
      <w:bookmarkEnd w:id="7612"/>
    </w:p>
    <w:p>
      <w:bookmarkStart w:id="7613" w:name="and_option_values__922"/>
      <w:pPr>
        <w:pStyle w:val="Para 01"/>
        <w:keepLines w:val="on"/>
      </w:pPr>
      <w:r>
        <w:t>và giá trị quyền chọn, 922</w:t>
      </w:r>
      <w:bookmarkEnd w:id="7613"/>
    </w:p>
    <w:p>
      <w:bookmarkStart w:id="7614" w:name="pricing_strategy__market_share"/>
      <w:pPr>
        <w:pStyle w:val="Para 01"/>
        <w:keepLines w:val="on"/>
      </w:pPr>
      <w:r>
        <w:t>chiến lược định giá, thị phần, và, 627</w:t>
      </w:r>
      <w:bookmarkEnd w:id="7614"/>
    </w:p>
    <w:p>
      <w:bookmarkStart w:id="7615" w:name="Competitive_advantage__duration"/>
      <w:pPr>
        <w:pStyle w:val="Para 01"/>
        <w:keepLines w:val="on"/>
      </w:pPr>
      <w:r>
        <w:t>Lợi thế cạnh tranh</w:t>
      </w:r>
      <w:bookmarkEnd w:id="7615"/>
    </w:p>
    <w:p>
      <w:bookmarkStart w:id="7616" w:name="duration_of__994"/>
      <w:pPr>
        <w:pStyle w:val="Para 01"/>
        <w:keepLines w:val="on"/>
      </w:pPr>
      <w:r>
        <w:t>thời gian của, 994</w:t>
      </w:r>
      <w:bookmarkEnd w:id="7616"/>
    </w:p>
    <w:p>
      <w:bookmarkStart w:id="7617" w:name="expansion_option_and__943_944"/>
      <w:pPr>
        <w:pStyle w:val="Para 01"/>
        <w:keepLines w:val="on"/>
      </w:pPr>
      <w:r>
        <w:t>quyền chọn mở rộng và, 943–944</w:t>
      </w:r>
      <w:bookmarkEnd w:id="7617"/>
    </w:p>
    <w:p>
      <w:bookmarkStart w:id="7618" w:name="growth_patterns_and__1073"/>
      <w:pPr>
        <w:pStyle w:val="Para 01"/>
        <w:keepLines w:val="on"/>
      </w:pPr>
      <w:r>
        <w:t>các mô hình tăng trưởng và, 1073</w:t>
      </w:r>
      <w:bookmarkEnd w:id="7618"/>
    </w:p>
    <w:p>
      <w:bookmarkStart w:id="7619" w:name="growth_rate_and__347"/>
      <w:pPr>
        <w:pStyle w:val="Para 01"/>
        <w:keepLines w:val="on"/>
      </w:pPr>
      <w:r>
        <w:t>tốc độ tăng trưởng và, 347</w:t>
      </w:r>
      <w:bookmarkEnd w:id="7619"/>
    </w:p>
    <w:p>
      <w:bookmarkStart w:id="7620" w:name="Competitive_advantage_period__CA"/>
      <w:pPr>
        <w:pStyle w:val="Para 01"/>
        <w:keepLines w:val="on"/>
      </w:pPr>
      <w:r>
        <w:t>Giai đoạn lợi thế cạnh tranh (Competitive advantage period - CAP), 348</w:t>
      </w:r>
      <w:bookmarkEnd w:id="7620"/>
    </w:p>
    <w:p>
      <w:bookmarkStart w:id="7621" w:name="Competitors__information_from__3"/>
      <w:pPr>
        <w:pStyle w:val="Para 01"/>
        <w:keepLines w:val="on"/>
      </w:pPr>
      <w:r>
        <w:t>Đối thủ cạnh tranh, thông tin từ, 308</w:t>
      </w:r>
      <w:bookmarkEnd w:id="7621"/>
    </w:p>
    <w:p>
      <w:bookmarkStart w:id="7622" w:name="Complexity__post_valuation_adjus"/>
      <w:pPr>
        <w:pStyle w:val="Para 01"/>
        <w:keepLines w:val="on"/>
      </w:pPr>
      <w:r>
        <w:t>Độ phức tạp</w:t>
      </w:r>
      <w:bookmarkEnd w:id="7622"/>
    </w:p>
    <w:p>
      <w:bookmarkStart w:id="7623" w:name="post_valuation_adjustments_for"/>
      <w:pPr>
        <w:pStyle w:val="Para 01"/>
        <w:keepLines w:val="on"/>
      </w:pPr>
      <w:r>
        <w:t>các điều chỉnh sau định giá cho, 465</w:t>
      </w:r>
      <w:bookmarkEnd w:id="7623"/>
    </w:p>
    <w:p>
      <w:bookmarkStart w:id="7624" w:name="and_valuation__5_6"/>
      <w:pPr>
        <w:pStyle w:val="Para 01"/>
        <w:keepLines w:val="on"/>
      </w:pPr>
      <w:r>
        <w:t>và định giá, 5–6</w:t>
      </w:r>
      <w:bookmarkEnd w:id="7624"/>
    </w:p>
    <w:p>
      <w:bookmarkStart w:id="7625" w:name="Compound_options__110__942_943"/>
      <w:pPr>
        <w:pStyle w:val="Para 01"/>
        <w:keepLines w:val="on"/>
      </w:pPr>
      <w:r>
        <w:t>Quyền chọn kép (Compound options), 110, 942–943</w:t>
      </w:r>
      <w:bookmarkEnd w:id="7625"/>
    </w:p>
    <w:p>
      <w:bookmarkStart w:id="7626" w:name="Conglomerate_discounts__465_466"/>
      <w:pPr>
        <w:pStyle w:val="Para 01"/>
        <w:keepLines w:val="on"/>
      </w:pPr>
      <w:r>
        <w:t>Chiết khấu tập đoàn đa ngành (Conglomerate discounts), 465–466</w:t>
      </w:r>
      <w:bookmarkEnd w:id="7626"/>
    </w:p>
    <w:p>
      <w:bookmarkStart w:id="7627" w:name="Conglomerate_mergers__974"/>
      <w:pPr>
        <w:pStyle w:val="Para 01"/>
        <w:keepLines w:val="on"/>
      </w:pPr>
      <w:r>
        <w:t>Sáp nhập tập đoàn đa ngành (Conglomerate mergers), 974</w:t>
      </w:r>
      <w:bookmarkEnd w:id="7627"/>
    </w:p>
    <w:p>
      <w:bookmarkStart w:id="7628" w:name="Congoleum__Inc___815_816__830_83"/>
      <w:pPr>
        <w:pStyle w:val="Para 01"/>
        <w:keepLines w:val="on"/>
      </w:pPr>
      <w:r>
        <w:t>Congoleum, Inc., 815–816, 830–832</w:t>
      </w:r>
      <w:bookmarkEnd w:id="7628"/>
    </w:p>
    <w:p>
      <w:bookmarkStart w:id="7629" w:name="Connection__364_365"/>
      <w:pPr>
        <w:pStyle w:val="Para 01"/>
        <w:keepLines w:val="on"/>
      </w:pPr>
      <w:r>
        <w:t>Kết nối, 364–365</w:t>
      </w:r>
      <w:bookmarkEnd w:id="7629"/>
    </w:p>
    <w:p>
      <w:bookmarkStart w:id="7630" w:name="Consistency__of_multiples__519"/>
      <w:pPr>
        <w:pStyle w:val="Para 01"/>
        <w:keepLines w:val="on"/>
      </w:pPr>
      <w:r>
        <w:t>Tính nhất quán, của các bội số, 519</w:t>
      </w:r>
      <w:bookmarkEnd w:id="7630"/>
    </w:p>
    <w:p>
      <w:bookmarkStart w:id="7631" w:name="Consistency_principle__158_159"/>
      <w:pPr>
        <w:pStyle w:val="Para 01"/>
        <w:keepLines w:val="on"/>
      </w:pPr>
      <w:r>
        <w:t>Nguyên tắc nhất quán, 158–159</w:t>
      </w:r>
      <w:bookmarkEnd w:id="7631"/>
    </w:p>
    <w:p>
      <w:bookmarkStart w:id="7632" w:name="Consolidated_Edison__Con_Ed___31"/>
      <w:pPr>
        <w:pStyle w:val="Para 01"/>
        <w:keepLines w:val="on"/>
      </w:pPr>
      <w:r>
        <w:t>Consolidated Edison (Con Ed), 312–313, 315, 317, 348, 391–393</w:t>
      </w:r>
      <w:bookmarkEnd w:id="7632"/>
    </w:p>
    <w:p>
      <w:bookmarkStart w:id="7633" w:name="Consolidated_valuation__of_nonop"/>
      <w:pPr>
        <w:pStyle w:val="Para 01"/>
        <w:keepLines w:val="on"/>
      </w:pPr>
      <w:r>
        <w:t>Định giá hợp nhất</w:t>
      </w:r>
      <w:bookmarkEnd w:id="7633"/>
    </w:p>
    <w:p>
      <w:bookmarkStart w:id="7634" w:name="of_nonoperating_cash_holdings__4"/>
      <w:pPr>
        <w:pStyle w:val="Para 01"/>
        <w:keepLines w:val="on"/>
      </w:pPr>
      <w:r>
        <w:t>của các khoản tiền mặt không hoạt động kinh doanh, 482–484</w:t>
      </w:r>
      <w:bookmarkEnd w:id="7634"/>
    </w:p>
    <w:p>
      <w:bookmarkStart w:id="7635" w:name="of_reinvestment__290_291"/>
      <w:pPr>
        <w:pStyle w:val="Para 01"/>
        <w:keepLines w:val="on"/>
      </w:pPr>
      <w:r>
        <w:t>của việc tái đầu tư, 290–291</w:t>
      </w:r>
      <w:bookmarkEnd w:id="7635"/>
    </w:p>
    <w:p>
      <w:bookmarkStart w:id="7636" w:name="Consolidation__795_796"/>
      <w:pPr>
        <w:pStyle w:val="Para 01"/>
        <w:keepLines w:val="on"/>
      </w:pPr>
      <w:r>
        <w:t>Hợp nhất, 795–796</w:t>
      </w:r>
      <w:bookmarkEnd w:id="7636"/>
    </w:p>
    <w:p>
      <w:bookmarkStart w:id="7637" w:name="Continental_Airlines__805"/>
      <w:pPr>
        <w:pStyle w:val="Para 01"/>
        <w:keepLines w:val="on"/>
      </w:pPr>
      <w:r>
        <w:t>Continental Airlines, 805</w:t>
      </w:r>
      <w:bookmarkEnd w:id="7637"/>
    </w:p>
    <w:p>
      <w:bookmarkStart w:id="7638" w:name="Contingent_claim_valuation__25_2"/>
      <w:pPr>
        <w:pStyle w:val="Para 01"/>
        <w:keepLines w:val="on"/>
      </w:pPr>
      <w:r>
        <w:t>Định giá quyền phát sinh (contingent claim valuation), 25–26</w:t>
      </w:r>
      <w:bookmarkEnd w:id="7638"/>
    </w:p>
    <w:p>
      <w:bookmarkStart w:id="7639" w:name="Continuous_risk__1036__1059"/>
      <w:pPr>
        <w:pStyle w:val="Para 01"/>
        <w:keepLines w:val="on"/>
      </w:pPr>
      <w:r>
        <w:t>Rủi ro liên tục (continuous risk), 1036, 1059</w:t>
      </w:r>
      <w:bookmarkEnd w:id="7639"/>
    </w:p>
    <w:p>
      <w:bookmarkStart w:id="7640" w:name="Contracts__capitalization_of_com"/>
      <w:pPr>
        <w:pStyle w:val="Para 01"/>
        <w:keepLines w:val="on"/>
      </w:pPr>
      <w:r>
        <w:t>Hợp đồng (contracts)</w:t>
      </w:r>
      <w:bookmarkEnd w:id="7640"/>
    </w:p>
    <w:p>
      <w:bookmarkStart w:id="7641" w:name="capitalization_of_commitments_in"/>
      <w:pPr>
        <w:pStyle w:val="Para 01"/>
        <w:keepLines w:val="on"/>
      </w:pPr>
      <w:r>
        <w:t>vốn hóa các cam kết trong đó, 254–255</w:t>
      </w:r>
      <w:bookmarkEnd w:id="7641"/>
    </w:p>
    <w:p>
      <w:bookmarkStart w:id="7642" w:name="escape_clauses_in__952"/>
      <w:pPr>
        <w:pStyle w:val="Para 01"/>
        <w:keepLines w:val="on"/>
      </w:pPr>
      <w:r>
        <w:t>điều khoản thoát hiểm trong đó, 952</w:t>
      </w:r>
      <w:bookmarkEnd w:id="7642"/>
    </w:p>
    <w:p>
      <w:bookmarkStart w:id="7643" w:name="Control__in_private_firms__784_7"/>
      <w:pPr>
        <w:pStyle w:val="Para 01"/>
        <w:keepLines w:val="on"/>
      </w:pPr>
      <w:r>
        <w:t>Quyền kiểm soát (control)</w:t>
      </w:r>
      <w:bookmarkEnd w:id="7643"/>
    </w:p>
    <w:p>
      <w:bookmarkStart w:id="7644" w:name="in_private_firms__784_786"/>
      <w:pPr>
        <w:pStyle w:val="Para 01"/>
        <w:keepLines w:val="on"/>
      </w:pPr>
      <w:r>
        <w:t>trong các công ty tư nhân, 784–786</w:t>
      </w:r>
      <w:bookmarkEnd w:id="7644"/>
    </w:p>
    <w:p>
      <w:bookmarkStart w:id="7645" w:name="value_of_corporate__802_804__808"/>
      <w:pPr>
        <w:pStyle w:val="Para 01"/>
        <w:keepLines w:val="on"/>
      </w:pPr>
      <w:r>
        <w:t>giá trị của quyền kiểm soát doanh nghiệp, 802–804, 808–809</w:t>
      </w:r>
      <w:bookmarkEnd w:id="7645"/>
    </w:p>
    <w:p>
      <w:bookmarkStart w:id="7646" w:name="Controlled_comparisons__of_PEG_r"/>
      <w:pPr>
        <w:pStyle w:val="Para 01"/>
        <w:keepLines w:val="on"/>
      </w:pPr>
      <w:r>
        <w:t>So sánh có kiểm soát (controlled comparisons), của tỷ lệ PEG, 562–563</w:t>
      </w:r>
      <w:bookmarkEnd w:id="7646"/>
    </w:p>
    <w:p>
      <w:bookmarkStart w:id="7647" w:name="Conversions__505"/>
      <w:pPr>
        <w:pStyle w:val="Para 01"/>
        <w:keepLines w:val="on"/>
      </w:pPr>
      <w:r>
        <w:t>Chuyển đổi (conversions), 505</w:t>
      </w:r>
      <w:bookmarkEnd w:id="7647"/>
    </w:p>
    <w:p>
      <w:bookmarkStart w:id="7648" w:name="Convertible_bonds__226_227"/>
      <w:pPr>
        <w:pStyle w:val="Para 01"/>
        <w:keepLines w:val="on"/>
      </w:pPr>
      <w:r>
        <w:t>Trái phiếu chuyển đổi (convertible bonds), 226–227</w:t>
      </w:r>
      <w:bookmarkEnd w:id="7648"/>
    </w:p>
    <w:p>
      <w:bookmarkStart w:id="7649" w:name="Copyright_valuation__881_882__93"/>
      <w:pPr>
        <w:pStyle w:val="Para 01"/>
        <w:keepLines w:val="on"/>
      </w:pPr>
      <w:r>
        <w:t>Định giá bản quyền (copyright valuation), 881–882, 931–932</w:t>
      </w:r>
      <w:bookmarkEnd w:id="7649"/>
    </w:p>
    <w:p>
      <w:bookmarkStart w:id="7650" w:name="Corporate_control__802_804__808"/>
      <w:pPr>
        <w:pStyle w:val="Para 01"/>
        <w:keepLines w:val="on"/>
      </w:pPr>
      <w:r>
        <w:t>Quyền kiểm soát doanh nghiệp (corporate control), 802–804, 808–809</w:t>
      </w:r>
      <w:bookmarkEnd w:id="7650"/>
    </w:p>
    <w:p>
      <w:bookmarkStart w:id="7651" w:name="Corporate_cost_drag__650_651"/>
      <w:pPr>
        <w:pStyle w:val="Para 01"/>
        <w:keepLines w:val="on"/>
      </w:pPr>
      <w:r>
        <w:t>Gánh nặng chi phí doanh nghiệp (corporate cost drag), 650–651</w:t>
      </w:r>
      <w:bookmarkEnd w:id="7651"/>
    </w:p>
    <w:p>
      <w:bookmarkStart w:id="7652" w:name="Corporate_finance__10"/>
      <w:pPr>
        <w:pStyle w:val="Para 01"/>
        <w:keepLines w:val="on"/>
      </w:pPr>
      <w:r>
        <w:t>Tài chính doanh nghiệp (corporate finance), 10</w:t>
      </w:r>
      <w:bookmarkEnd w:id="7652"/>
    </w:p>
    <w:p>
      <w:bookmarkStart w:id="7653" w:name="Corporate_logos__978"/>
      <w:pPr>
        <w:pStyle w:val="Para 01"/>
        <w:keepLines w:val="on"/>
      </w:pPr>
      <w:r>
        <w:t>Logo doanh nghiệp (corporate logos), 978</w:t>
      </w:r>
      <w:bookmarkEnd w:id="7653"/>
    </w:p>
    <w:p>
      <w:bookmarkStart w:id="7654" w:name="Corporate_names__978"/>
      <w:pPr>
        <w:pStyle w:val="Para 01"/>
        <w:keepLines w:val="on"/>
      </w:pPr>
      <w:r>
        <w:t>Tên doanh nghiệp (corporate names), 978</w:t>
      </w:r>
      <w:bookmarkEnd w:id="7654"/>
    </w:p>
    <w:p>
      <w:bookmarkStart w:id="7655" w:name="Correlation__across_simulation_v"/>
      <w:pPr>
        <w:pStyle w:val="Para 01"/>
        <w:keepLines w:val="on"/>
      </w:pPr>
      <w:r>
        <w:t>Tương quan (correlation)</w:t>
      </w:r>
      <w:bookmarkEnd w:id="7655"/>
    </w:p>
    <w:p>
      <w:bookmarkStart w:id="7656" w:name="across_simulation_variables__105"/>
      <w:pPr>
        <w:pStyle w:val="Para 01"/>
        <w:keepLines w:val="on"/>
      </w:pPr>
      <w:r>
        <w:t>giữa các biến mô phỏng, 1050</w:t>
      </w:r>
      <w:bookmarkEnd w:id="7656"/>
    </w:p>
    <w:p>
      <w:bookmarkStart w:id="7657" w:name="causation_vs___124"/>
      <w:pPr>
        <w:pStyle w:val="Para 01"/>
        <w:keepLines w:val="on"/>
      </w:pPr>
      <w:r>
        <w:t>nhân quả so với tương quan, 124</w:t>
      </w:r>
      <w:bookmarkEnd w:id="7657"/>
    </w:p>
    <w:p>
      <w:bookmarkStart w:id="7658" w:name="serial__125_126"/>
      <w:pPr>
        <w:pStyle w:val="Para 01"/>
        <w:keepLines w:val="on"/>
      </w:pPr>
      <w:r>
        <w:t>tương quan chuỗi (serial), 125–126</w:t>
      </w:r>
      <w:bookmarkEnd w:id="7658"/>
    </w:p>
    <w:p>
      <w:bookmarkStart w:id="7659" w:name="Cost_advantage__993"/>
      <w:pPr>
        <w:pStyle w:val="Para 01"/>
        <w:keepLines w:val="on"/>
      </w:pPr>
      <w:r>
        <w:t>Lợi thế chi phí (cost advantage), 993</w:t>
      </w:r>
      <w:bookmarkEnd w:id="7659"/>
    </w:p>
    <w:p>
      <w:bookmarkStart w:id="7660" w:name="Costco__642"/>
      <w:pPr>
        <w:pStyle w:val="Para 01"/>
        <w:keepLines w:val="on"/>
      </w:pPr>
      <w:r>
        <w:t>Costco, 642</w:t>
      </w:r>
      <w:bookmarkEnd w:id="7660"/>
    </w:p>
    <w:p>
      <w:bookmarkStart w:id="7661" w:name="Cost_cutting__982_983"/>
      <w:pPr>
        <w:pStyle w:val="Para 01"/>
        <w:keepLines w:val="on"/>
      </w:pPr>
      <w:r>
        <w:t>Cắt giảm chi phí, 982–983</w:t>
      </w:r>
      <w:bookmarkEnd w:id="7661"/>
    </w:p>
    <w:p>
      <w:bookmarkStart w:id="7662" w:name="Cost_of_capital__adjusted_presen"/>
      <w:pPr>
        <w:pStyle w:val="Para 01"/>
        <w:keepLines w:val="on"/>
      </w:pPr>
      <w:r>
        <w:t>Chi phí vốn</w:t>
      </w:r>
      <w:bookmarkEnd w:id="7662"/>
    </w:p>
    <w:p>
      <w:bookmarkStart w:id="7663" w:name="adjusted_present_value_approach"/>
      <w:pPr>
        <w:pStyle w:val="Para 01"/>
        <w:keepLines w:val="on"/>
      </w:pPr>
      <w:r>
        <w:t>phương pháp giá trị hiện tại điều chỉnh (adjusted present value) so với, 17–18, 457–458</w:t>
      </w:r>
      <w:bookmarkEnd w:id="7663"/>
    </w:p>
    <w:p>
      <w:bookmarkStart w:id="7664" w:name="best_practices_for_estimating__2"/>
      <w:pPr>
        <w:pStyle w:val="Para 01"/>
        <w:keepLines w:val="on"/>
      </w:pPr>
      <w:r>
        <w:t>các thực hành tốt nhất để ước tính, 233–234</w:t>
      </w:r>
      <w:bookmarkEnd w:id="7664"/>
    </w:p>
    <w:p>
      <w:bookmarkStart w:id="7665" w:name="cost_of_equity_and__221_233__470"/>
      <w:pPr>
        <w:pStyle w:val="Para 01"/>
        <w:keepLines w:val="on"/>
      </w:pPr>
      <w:r>
        <w:t>chi phí vốn chủ sở hữu và, 221–233, 470, 472–473</w:t>
      </w:r>
      <w:bookmarkEnd w:id="7665"/>
    </w:p>
    <w:p>
      <w:bookmarkStart w:id="7666" w:name="equity_value_and__451_453"/>
      <w:pPr>
        <w:pStyle w:val="Para 01"/>
        <w:keepLines w:val="on"/>
      </w:pPr>
      <w:r>
        <w:t>giá trị vốn chủ sở hữu và, 451–453</w:t>
      </w:r>
      <w:bookmarkEnd w:id="7666"/>
    </w:p>
    <w:p>
      <w:bookmarkStart w:id="7667" w:name="estimation_of__232_233"/>
      <w:pPr>
        <w:pStyle w:val="Para 01"/>
        <w:keepLines w:val="on"/>
      </w:pPr>
      <w:r>
        <w:t>ước tính, 232–233</w:t>
      </w:r>
      <w:bookmarkEnd w:id="7667"/>
    </w:p>
    <w:p>
      <w:bookmarkStart w:id="7668" w:name="EV_EBITDA_and__573"/>
      <w:pPr>
        <w:pStyle w:val="Para 01"/>
        <w:keepLines w:val="on"/>
      </w:pPr>
      <w:r>
        <w:t>EV/EBITDA và, 573</w:t>
      </w:r>
      <w:bookmarkEnd w:id="7668"/>
    </w:p>
    <w:p>
      <w:bookmarkStart w:id="7669" w:name="explanation__189"/>
      <w:pPr>
        <w:pStyle w:val="Para 01"/>
        <w:keepLines w:val="on"/>
      </w:pPr>
      <w:r>
        <w:t>giải thích, 189</w:t>
      </w:r>
      <w:bookmarkEnd w:id="7669"/>
    </w:p>
    <w:p>
      <w:bookmarkStart w:id="7670" w:name="firm_valuation_based_on__440_453"/>
      <w:pPr>
        <w:pStyle w:val="Para 01"/>
        <w:keepLines w:val="on"/>
      </w:pPr>
      <w:r>
        <w:t>định giá doanh nghiệp dựa trên, 440–453</w:t>
      </w:r>
      <w:bookmarkEnd w:id="7670"/>
    </w:p>
    <w:p>
      <w:bookmarkStart w:id="7671" w:name="general_version_of_FCFF_model_an"/>
      <w:pPr>
        <w:pStyle w:val="Para 01"/>
        <w:keepLines w:val="on"/>
      </w:pPr>
      <w:r>
        <w:t>phiên bản tổng quát của mô hình FCFF và, 442–451</w:t>
      </w:r>
      <w:bookmarkEnd w:id="7671"/>
    </w:p>
    <w:p>
      <w:bookmarkStart w:id="7672" w:name="illustration_of__472_476"/>
      <w:pPr>
        <w:pStyle w:val="Para 01"/>
        <w:keepLines w:val="on"/>
      </w:pPr>
      <w:r>
        <w:t>minh họa về, 472–476</w:t>
      </w:r>
      <w:bookmarkEnd w:id="7672"/>
    </w:p>
    <w:p>
      <w:bookmarkStart w:id="7673" w:name="implied__1028"/>
      <w:pPr>
        <w:pStyle w:val="Para 01"/>
        <w:keepLines w:val="on"/>
      </w:pPr>
      <w:r>
        <w:t>hàm ý, 1028</w:t>
      </w:r>
      <w:bookmarkEnd w:id="7673"/>
    </w:p>
    <w:p>
      <w:bookmarkStart w:id="7674" w:name="for_infrastructure_firms__711_71"/>
      <w:pPr>
        <w:pStyle w:val="Para 01"/>
        <w:keepLines w:val="on"/>
      </w:pPr>
      <w:r>
        <w:t>đối với các doanh nghiệp hạ tầng, 711–712</w:t>
      </w:r>
      <w:bookmarkEnd w:id="7674"/>
    </w:p>
    <w:p>
      <w:bookmarkStart w:id="7675" w:name="leverage_and__468_476"/>
      <w:pPr>
        <w:pStyle w:val="Para 01"/>
        <w:keepLines w:val="on"/>
      </w:pPr>
      <w:r>
        <w:t>đòn bẩy và, 468–476</w:t>
      </w:r>
      <w:bookmarkEnd w:id="7675"/>
    </w:p>
    <w:p>
      <w:bookmarkStart w:id="7676" w:name="market_value_weights_and__443_44"/>
      <w:pPr>
        <w:pStyle w:val="Para 01"/>
        <w:keepLines w:val="on"/>
      </w:pPr>
      <w:r>
        <w:t>trọng số giá trị thị trường và, 443–444</w:t>
      </w:r>
      <w:bookmarkEnd w:id="7676"/>
    </w:p>
    <w:p>
      <w:bookmarkStart w:id="7677" w:name="in_private_firms__765_767"/>
      <w:pPr>
        <w:pStyle w:val="Para 01"/>
        <w:keepLines w:val="on"/>
      </w:pPr>
      <w:r>
        <w:t>ở các doanh nghiệp tư nhân, 765–767</w:t>
      </w:r>
      <w:bookmarkEnd w:id="7677"/>
    </w:p>
    <w:p>
      <w:bookmarkStart w:id="7678" w:name="for_real_estate_valuation_and__8"/>
      <w:pPr>
        <w:pStyle w:val="Para 01"/>
        <w:keepLines w:val="on"/>
      </w:pPr>
      <w:r>
        <w:t>đối với định giá bất động sản và, 850–851</w:t>
      </w:r>
      <w:bookmarkEnd w:id="7678"/>
    </w:p>
    <w:p>
      <w:bookmarkStart w:id="7679" w:name="stable_growth_firm_and__440_442"/>
      <w:pPr>
        <w:pStyle w:val="Para 01"/>
        <w:keepLines w:val="on"/>
      </w:pPr>
      <w:r>
        <w:t>doanh nghiệp tăng trưởng ổn định và, 440–442</w:t>
      </w:r>
      <w:bookmarkEnd w:id="7679"/>
    </w:p>
    <w:p>
      <w:bookmarkStart w:id="7680" w:name="in_takeover_valuation__819_1"/>
      <w:pPr>
        <w:pStyle w:val="Para 01"/>
        <w:keepLines w:val="on"/>
      </w:pPr>
      <w:r>
        <w:t>trong định giá thâu tóm, 819</w:t>
      </w:r>
      <w:bookmarkEnd w:id="7680"/>
    </w:p>
    <w:p>
      <w:bookmarkStart w:id="7681" w:name="for_young_or_start_up_firms__745"/>
      <w:pPr>
        <w:pStyle w:val="Para 01"/>
        <w:keepLines w:val="on"/>
      </w:pPr>
      <w:r>
        <w:t>đối với các doanh nghiệp non trẻ hoặc mới khởi nghiệp, 745–746</w:t>
      </w:r>
      <w:bookmarkEnd w:id="7681"/>
    </w:p>
    <w:p>
      <w:bookmarkStart w:id="7682" w:name="Cost_of_debt__for_aggregated_val"/>
      <w:pPr>
        <w:pStyle w:val="Para 01"/>
        <w:keepLines w:val="on"/>
      </w:pPr>
      <w:r>
        <w:t>Chi phí nợ</w:t>
      </w:r>
      <w:bookmarkEnd w:id="7682"/>
    </w:p>
    <w:p>
      <w:bookmarkStart w:id="7683" w:name="for_aggregated_valuation__462"/>
      <w:pPr>
        <w:pStyle w:val="Para 01"/>
        <w:keepLines w:val="on"/>
      </w:pPr>
      <w:r>
        <w:t>đối với định giá tổng hợp, 462</w:t>
      </w:r>
      <w:bookmarkEnd w:id="7683"/>
    </w:p>
    <w:p>
      <w:bookmarkStart w:id="7684" w:name="calculation_of__221_226"/>
      <w:pPr>
        <w:pStyle w:val="Para 01"/>
        <w:keepLines w:val="on"/>
      </w:pPr>
      <w:r>
        <w:t>cách tính, 221–226</w:t>
      </w:r>
      <w:bookmarkEnd w:id="7684"/>
    </w:p>
    <w:p>
      <w:bookmarkStart w:id="7685" w:name="for_disaggregated_valuation__463_1"/>
      <w:pPr>
        <w:pStyle w:val="Para 01"/>
        <w:keepLines w:val="on"/>
      </w:pPr>
      <w:r>
        <w:t>đối với định giá phân tách, 463</w:t>
      </w:r>
      <w:bookmarkEnd w:id="7685"/>
    </w:p>
    <w:p>
      <w:bookmarkStart w:id="7686" w:name="for_emerging_market_firm__225_22"/>
      <w:pPr>
        <w:pStyle w:val="Para 01"/>
        <w:keepLines w:val="on"/>
      </w:pPr>
      <w:r>
        <w:t>chi phí vốn cổ phần cho công ty thị trường mới nổi, 225–226</w:t>
      </w:r>
      <w:bookmarkEnd w:id="7686"/>
    </w:p>
    <w:p>
      <w:bookmarkStart w:id="7687" w:name="estimation_illustrations__224_22"/>
      <w:pPr>
        <w:pStyle w:val="Para 01"/>
        <w:keepLines w:val="on"/>
      </w:pPr>
      <w:r>
        <w:t>các ví dụ minh họa ước tính, 224–226</w:t>
      </w:r>
      <w:bookmarkEnd w:id="7687"/>
    </w:p>
    <w:p>
      <w:bookmarkStart w:id="7688" w:name="estimation_of__471__473_476"/>
      <w:pPr>
        <w:pStyle w:val="Para 01"/>
        <w:keepLines w:val="on"/>
      </w:pPr>
      <w:r>
        <w:t>ước tính chi phí vốn cổ phần, 471, 473–476</w:t>
      </w:r>
      <w:bookmarkEnd w:id="7688"/>
    </w:p>
    <w:p>
      <w:bookmarkStart w:id="7689" w:name="in_infrastructure_firms__711_712"/>
      <w:pPr>
        <w:pStyle w:val="Para 01"/>
        <w:keepLines w:val="on"/>
      </w:pPr>
      <w:r>
        <w:t>trong các công ty hạ tầng, 711–712</w:t>
      </w:r>
      <w:bookmarkEnd w:id="7689"/>
    </w:p>
    <w:p>
      <w:bookmarkStart w:id="7690" w:name="in_private_firms__765_767_1"/>
      <w:pPr>
        <w:pStyle w:val="Para 01"/>
        <w:keepLines w:val="on"/>
      </w:pPr>
      <w:r>
        <w:t>trong các công ty tư nhân, 765–767</w:t>
      </w:r>
      <w:bookmarkEnd w:id="7690"/>
    </w:p>
    <w:p>
      <w:bookmarkStart w:id="7691" w:name="at_stable_growth_firms__350"/>
      <w:pPr>
        <w:pStyle w:val="Para 01"/>
        <w:keepLines w:val="on"/>
      </w:pPr>
      <w:r>
        <w:t>tại các công ty tăng trưởng ổn định, 350</w:t>
      </w:r>
      <w:bookmarkEnd w:id="7691"/>
    </w:p>
    <w:p>
      <w:bookmarkStart w:id="7692" w:name="Cost_of_delay__for_natural_resou"/>
      <w:pPr>
        <w:pStyle w:val="Para 01"/>
        <w:keepLines w:val="on"/>
      </w:pPr>
      <w:r>
        <w:t>Chi phí trì hoãn</w:t>
      </w:r>
      <w:bookmarkEnd w:id="7692"/>
    </w:p>
    <w:p>
      <w:bookmarkStart w:id="7693" w:name="for_natural_resource_option__926"/>
      <w:pPr>
        <w:pStyle w:val="Para 01"/>
        <w:keepLines w:val="on"/>
      </w:pPr>
      <w:r>
        <w:t>đối với quyền chọn tài nguyên thiên nhiên, 926, 929</w:t>
      </w:r>
      <w:bookmarkEnd w:id="7693"/>
    </w:p>
    <w:p>
      <w:bookmarkStart w:id="7694" w:name="for_project_delay_option__913_91"/>
      <w:pPr>
        <w:pStyle w:val="Para 01"/>
        <w:keepLines w:val="on"/>
      </w:pPr>
      <w:r>
        <w:t>đối với quyền chọn trì hoãn dự án, 913–914</w:t>
      </w:r>
      <w:bookmarkEnd w:id="7694"/>
    </w:p>
    <w:p>
      <w:bookmarkStart w:id="7695" w:name="Cost_of_development__926"/>
      <w:pPr>
        <w:pStyle w:val="Para 01"/>
        <w:keepLines w:val="on"/>
      </w:pPr>
      <w:r>
        <w:t>Chi phí phát triển, 926</w:t>
      </w:r>
      <w:bookmarkEnd w:id="7695"/>
    </w:p>
    <w:p>
      <w:bookmarkStart w:id="7696" w:name="Cost_of_equity__beta_estimation"/>
      <w:pPr>
        <w:pStyle w:val="Para 01"/>
        <w:keepLines w:val="on"/>
      </w:pPr>
      <w:r>
        <w:t>Chi phí vốn cổ phần</w:t>
      </w:r>
      <w:bookmarkEnd w:id="7696"/>
    </w:p>
    <w:p>
      <w:bookmarkStart w:id="7697" w:name="beta_estimation_and__190_216"/>
      <w:pPr>
        <w:pStyle w:val="Para 01"/>
        <w:keepLines w:val="on"/>
      </w:pPr>
      <w:r>
        <w:t>ước tính beta và, 190–216</w:t>
      </w:r>
      <w:bookmarkEnd w:id="7697"/>
    </w:p>
    <w:p>
      <w:bookmarkStart w:id="7698" w:name="betas_and__218_221"/>
      <w:pPr>
        <w:pStyle w:val="Para 01"/>
        <w:keepLines w:val="on"/>
      </w:pPr>
      <w:r>
        <w:t>beta và, 218–221</w:t>
      </w:r>
      <w:bookmarkEnd w:id="7698"/>
    </w:p>
    <w:p>
      <w:bookmarkStart w:id="7699" w:name="cost_of_capital_and__221_233__47"/>
      <w:pPr>
        <w:pStyle w:val="Para 01"/>
        <w:keepLines w:val="on"/>
      </w:pPr>
      <w:r>
        <w:t>chi phí vốn và, 221–233, 470, 472–473</w:t>
      </w:r>
      <w:bookmarkEnd w:id="7699"/>
    </w:p>
    <w:p>
      <w:bookmarkStart w:id="7700" w:name="estimation_of__218_220"/>
      <w:pPr>
        <w:pStyle w:val="Para 01"/>
        <w:keepLines w:val="on"/>
      </w:pPr>
      <w:r>
        <w:t>ước tính, 218–220</w:t>
      </w:r>
      <w:bookmarkEnd w:id="7700"/>
    </w:p>
    <w:p>
      <w:bookmarkStart w:id="7701" w:name="expected_return_and__218_220"/>
      <w:pPr>
        <w:pStyle w:val="Para 01"/>
        <w:keepLines w:val="on"/>
      </w:pPr>
      <w:r>
        <w:t>lợi nhuận kỳ vọng và, 218–220</w:t>
      </w:r>
      <w:bookmarkEnd w:id="7701"/>
    </w:p>
    <w:p>
      <w:bookmarkStart w:id="7702" w:name="explanation_of__189"/>
      <w:pPr>
        <w:pStyle w:val="Para 01"/>
        <w:keepLines w:val="on"/>
      </w:pPr>
      <w:r>
        <w:t>giải thích, 189</w:t>
      </w:r>
      <w:bookmarkEnd w:id="7702"/>
    </w:p>
    <w:p>
      <w:bookmarkStart w:id="7703" w:name="in_financial_service_firms__661"/>
      <w:pPr>
        <w:pStyle w:val="Para 01"/>
        <w:keepLines w:val="on"/>
      </w:pPr>
      <w:r>
        <w:t>trong các công ty dịch vụ tài chính, 661–662</w:t>
      </w:r>
      <w:bookmarkEnd w:id="7703"/>
    </w:p>
    <w:p>
      <w:bookmarkStart w:id="7704" w:name="in_infrastructure_firms__712"/>
      <w:pPr>
        <w:pStyle w:val="Para 01"/>
        <w:keepLines w:val="on"/>
      </w:pPr>
      <w:r>
        <w:t>trong các công ty hạ tầng, 712</w:t>
      </w:r>
      <w:bookmarkEnd w:id="7704"/>
    </w:p>
    <w:p>
      <w:bookmarkStart w:id="7705" w:name="in_private_firms__758_767"/>
      <w:pPr>
        <w:pStyle w:val="Para 01"/>
        <w:keepLines w:val="on"/>
      </w:pPr>
      <w:r>
        <w:t>trong các công ty tư nhân, 758–767</w:t>
      </w:r>
      <w:bookmarkEnd w:id="7705"/>
    </w:p>
    <w:p>
      <w:bookmarkStart w:id="7706" w:name="for_real_estate_valuation__843_8"/>
      <w:pPr>
        <w:pStyle w:val="Para 01"/>
        <w:keepLines w:val="on"/>
      </w:pPr>
      <w:r>
        <w:t>đối với định giá bất động sản, 843–845, 850–851</w:t>
      </w:r>
      <w:bookmarkEnd w:id="7706"/>
    </w:p>
    <w:p>
      <w:bookmarkStart w:id="7707" w:name="smal_firm_premium_and__220_221_i"/>
      <w:pPr>
        <w:pStyle w:val="6 Block"/>
        <w:keepLines w:val="on"/>
      </w:pPr>
      <w:bookmarkEnd w:id="7707"/>
    </w:p>
    <w:p>
      <w:bookmarkStart w:id="7708" w:name="smal_firm_premium_and__220_221"/>
      <w:pPr>
        <w:pStyle w:val="Para 01"/>
        <w:keepLines w:val="on"/>
      </w:pPr>
      <w:r>
        <w:t>phần bù công ty nhỏ và, 220–221</w:t>
      </w:r>
      <w:bookmarkEnd w:id="7708"/>
    </w:p>
    <w:p>
      <w:bookmarkStart w:id="7710" w:name="in_takeover_valuation__819_2"/>
      <w:pPr>
        <w:pStyle w:val="Para 01"/>
        <w:keepLines w:val="on"/>
      </w:pPr>
      <w:r>
        <w:t>trong định giá thâu tóm, 819</w:t>
      </w:r>
      <w:bookmarkEnd w:id="7710"/>
    </w:p>
    <w:p>
      <w:bookmarkStart w:id="7711" w:name="Cost_structure__264"/>
      <w:pPr>
        <w:pStyle w:val="Para 01"/>
        <w:keepLines w:val="on"/>
      </w:pPr>
      <w:r>
        <w:t>Cơ cấu chi phí, 264</w:t>
      </w:r>
      <w:bookmarkEnd w:id="7711"/>
    </w:p>
    <w:p>
      <w:bookmarkStart w:id="7712" w:name="Cost_synergies__827"/>
      <w:pPr>
        <w:pStyle w:val="Para 01"/>
        <w:keepLines w:val="on"/>
      </w:pPr>
      <w:r>
        <w:t>Hiệu ứng cộng hưởng chi phí, 827</w:t>
      </w:r>
      <w:bookmarkEnd w:id="7712"/>
    </w:p>
    <w:p>
      <w:bookmarkStart w:id="7713" w:name="Country_risk__216_217__264"/>
      <w:pPr>
        <w:pStyle w:val="Para 01"/>
        <w:keepLines w:val="on"/>
      </w:pPr>
      <w:r>
        <w:t>Rủi ro quốc gia, 216–217, 264</w:t>
      </w:r>
      <w:bookmarkEnd w:id="7713"/>
    </w:p>
    <w:p>
      <w:bookmarkStart w:id="7714" w:name="Country_risk_premium__approaches"/>
      <w:pPr>
        <w:pStyle w:val="Para 01"/>
        <w:keepLines w:val="on"/>
      </w:pPr>
      <w:r>
        <w:t>Phần bù rủi ro quốc gia</w:t>
      </w:r>
      <w:bookmarkEnd w:id="7714"/>
    </w:p>
    <w:p>
      <w:bookmarkStart w:id="7715" w:name="approaches_to__175"/>
      <w:pPr>
        <w:pStyle w:val="Para 01"/>
        <w:keepLines w:val="on"/>
      </w:pPr>
      <w:r>
        <w:t>các cách tiếp cận, 175</w:t>
      </w:r>
      <w:bookmarkEnd w:id="7715"/>
    </w:p>
    <w:p>
      <w:bookmarkStart w:id="7716" w:name="estimating_asset_exposure_to__17"/>
      <w:pPr>
        <w:pStyle w:val="Para 01"/>
        <w:keepLines w:val="on"/>
      </w:pPr>
      <w:r>
        <w:t>ước tính mức độ phơi nhiễm tài sản với, 175–177</w:t>
      </w:r>
      <w:bookmarkEnd w:id="7716"/>
    </w:p>
    <w:p>
      <w:bookmarkStart w:id="7717" w:name="function_of__169_170"/>
      <w:pPr>
        <w:pStyle w:val="Para 01"/>
        <w:keepLines w:val="on"/>
      </w:pPr>
      <w:r>
        <w:t>hàm của, 169–170</w:t>
      </w:r>
      <w:bookmarkEnd w:id="7717"/>
    </w:p>
    <w:p>
      <w:bookmarkStart w:id="7718" w:name="measurement_of__170_177"/>
      <w:pPr>
        <w:pStyle w:val="Para 01"/>
        <w:keepLines w:val="on"/>
      </w:pPr>
      <w:r>
        <w:t>đo lường, 170–177</w:t>
      </w:r>
      <w:bookmarkEnd w:id="7718"/>
    </w:p>
    <w:p>
      <w:bookmarkStart w:id="7719" w:name="Covariances__70"/>
      <w:pPr>
        <w:pStyle w:val="Para 01"/>
        <w:keepLines w:val="on"/>
      </w:pPr>
      <w:r>
        <w:t>Hiệp phương sai, 70</w:t>
      </w:r>
      <w:bookmarkEnd w:id="7719"/>
    </w:p>
    <w:p>
      <w:bookmarkStart w:id="7720" w:name="CPI_index__889_890"/>
      <w:pPr>
        <w:pStyle w:val="Para 01"/>
        <w:keepLines w:val="on"/>
      </w:pPr>
      <w:r>
        <w:t>Chỉ số CPI, 889–890</w:t>
      </w:r>
      <w:bookmarkEnd w:id="7720"/>
    </w:p>
    <w:p>
      <w:bookmarkStart w:id="7721" w:name="Credit_default_swap__CDS__market"/>
      <w:pPr>
        <w:pStyle w:val="Para 01"/>
        <w:keepLines w:val="on"/>
      </w:pPr>
      <w:r>
        <w:t>Thị trường hoán đổi rủi ro tín dụng (CDS), 160–161</w:t>
      </w:r>
      <w:bookmarkEnd w:id="7721"/>
    </w:p>
    <w:p>
      <w:bookmarkStart w:id="7722" w:name="Crisis_effect__banking_regulator"/>
      <w:pPr>
        <w:pStyle w:val="Para 01"/>
        <w:keepLines w:val="on"/>
      </w:pPr>
      <w:r>
        <w:t>Hiệu ứng khủng hoảng</w:t>
      </w:r>
      <w:bookmarkEnd w:id="7722"/>
    </w:p>
    <w:p>
      <w:bookmarkStart w:id="7723" w:name="banking_regulators_and__681_682"/>
      <w:pPr>
        <w:pStyle w:val="Para 01"/>
        <w:keepLines w:val="on"/>
      </w:pPr>
      <w:r>
        <w:t>cơ quan quản lý ngân hàng và, 681–682</w:t>
      </w:r>
      <w:bookmarkEnd w:id="7723"/>
    </w:p>
    <w:p>
      <w:bookmarkStart w:id="7724" w:name="business_banking_model_and__680"/>
      <w:pPr>
        <w:pStyle w:val="Para 01"/>
        <w:keepLines w:val="on"/>
      </w:pPr>
      <w:r>
        <w:t>mô hình ngân hàng thương mại và, 680–681</w:t>
      </w:r>
      <w:bookmarkEnd w:id="7724"/>
    </w:p>
    <w:p>
      <w:bookmarkStart w:id="7725" w:name="for_good_vs__bad_banks__682_684"/>
      <w:pPr>
        <w:pStyle w:val="Para 01"/>
        <w:keepLines w:val="on"/>
      </w:pPr>
      <w:r>
        <w:t>đối với ngân hàng tốt so với ngân hàng xấu, 682–684</w:t>
      </w:r>
      <w:bookmarkEnd w:id="7725"/>
    </w:p>
    <w:p>
      <w:bookmarkStart w:id="7726" w:name="macro_stressors_in__684_688"/>
      <w:pPr>
        <w:pStyle w:val="Para 01"/>
        <w:keepLines w:val="on"/>
      </w:pPr>
      <w:r>
        <w:t>các yếu tố gây căng thẳng vĩ mô trong, 684–688</w:t>
      </w:r>
      <w:bookmarkEnd w:id="7726"/>
    </w:p>
    <w:p>
      <w:bookmarkStart w:id="7727" w:name="Cross_holdings__EV_EBITDA_with"/>
      <w:pPr>
        <w:pStyle w:val="Para 01"/>
        <w:keepLines w:val="on"/>
      </w:pPr>
      <w:r>
        <w:t>Sở hữu chéo</w:t>
      </w:r>
      <w:bookmarkEnd w:id="7727"/>
    </w:p>
    <w:p>
      <w:bookmarkStart w:id="7728" w:name="EV_EBITDA_with__570_571"/>
      <w:pPr>
        <w:pStyle w:val="Para 01"/>
        <w:keepLines w:val="on"/>
      </w:pPr>
      <w:r>
        <w:t>EV/EBITDA với, 570–571</w:t>
      </w:r>
      <w:bookmarkEnd w:id="7728"/>
    </w:p>
    <w:p>
      <w:bookmarkStart w:id="7729" w:name="income_from__261_262"/>
      <w:pPr>
        <w:pStyle w:val="Para 01"/>
        <w:keepLines w:val="on"/>
      </w:pPr>
      <w:r>
        <w:t>thu nhập từ, 261–262</w:t>
      </w:r>
      <w:bookmarkEnd w:id="7729"/>
    </w:p>
    <w:p>
      <w:bookmarkStart w:id="7730" w:name="valuation_of__493__496_498"/>
      <w:pPr>
        <w:pStyle w:val="Para 01"/>
        <w:keepLines w:val="on"/>
      </w:pPr>
      <w:r>
        <w:t>định giá, 493, 496–498</w:t>
      </w:r>
      <w:bookmarkEnd w:id="7730"/>
    </w:p>
    <w:p>
      <w:bookmarkStart w:id="7731" w:name="and_value_per_share__464_1"/>
      <w:pPr>
        <w:pStyle w:val="Para 01"/>
        <w:keepLines w:val="on"/>
      </w:pPr>
      <w:r>
        <w:t>và giá trị trên mỗi cổ phần, 464</w:t>
      </w:r>
      <w:bookmarkEnd w:id="7731"/>
    </w:p>
    <w:p>
      <w:bookmarkStart w:id="7732" w:name="Cross_sectional_comparisons__23"/>
      <w:pPr>
        <w:pStyle w:val="Para 01"/>
        <w:keepLines w:val="on"/>
      </w:pPr>
      <w:r>
        <w:t>So sánh theo mặt cắt ngang, 23</w:t>
      </w:r>
      <w:bookmarkEnd w:id="7732"/>
    </w:p>
    <w:p>
      <w:bookmarkStart w:id="7733" w:name="Cross_sectional_data__distributi"/>
      <w:pPr>
        <w:pStyle w:val="Para 01"/>
        <w:keepLines w:val="on"/>
      </w:pPr>
      <w:r>
        <w:t>Dữ liệu theo mặt cắt ngang, phân phối cho, 1049</w:t>
      </w:r>
      <w:bookmarkEnd w:id="7733"/>
    </w:p>
    <w:p>
      <w:bookmarkStart w:id="7734" w:name="Currency__868__for_aggregated_va"/>
      <w:pPr>
        <w:pStyle w:val="Para 01"/>
        <w:keepLines w:val="on"/>
      </w:pPr>
      <w:r>
        <w:t>Tiền tệ, 868</w:t>
      </w:r>
      <w:bookmarkEnd w:id="7734"/>
    </w:p>
    <w:p>
      <w:bookmarkStart w:id="7735" w:name="for_aggregated_valuation__460"/>
      <w:pPr>
        <w:pStyle w:val="Para 01"/>
        <w:keepLines w:val="on"/>
      </w:pPr>
      <w:r>
        <w:t>cho định giá tổng hợp, 460</w:t>
      </w:r>
      <w:bookmarkEnd w:id="7735"/>
    </w:p>
    <w:p>
      <w:bookmarkStart w:id="7736" w:name="digital__892_895"/>
      <w:pPr>
        <w:pStyle w:val="Para 01"/>
        <w:keepLines w:val="on"/>
      </w:pPr>
      <w:r>
        <w:t>kỹ thuật số, 892–895</w:t>
      </w:r>
      <w:bookmarkEnd w:id="7736"/>
    </w:p>
    <w:p>
      <w:bookmarkStart w:id="7737" w:name="for_disaggregated_valuation__461"/>
      <w:pPr>
        <w:pStyle w:val="Para 01"/>
        <w:keepLines w:val="on"/>
      </w:pPr>
      <w:r>
        <w:t>cho định giá phân tách, 461</w:t>
      </w:r>
      <w:bookmarkEnd w:id="7737"/>
    </w:p>
    <w:p>
      <w:bookmarkStart w:id="7738" w:name="local_currency_government_bonds"/>
      <w:pPr>
        <w:pStyle w:val="Para 01"/>
        <w:keepLines w:val="on"/>
      </w:pPr>
      <w:r>
        <w:t>trái phiếu chính phủ bằng nội tệ, 160–161</w:t>
      </w:r>
      <w:bookmarkEnd w:id="7738"/>
    </w:p>
    <w:p>
      <w:bookmarkStart w:id="7739" w:name="Current_assets__33_34__37_38"/>
      <w:pPr>
        <w:pStyle w:val="Para 01"/>
        <w:keepLines w:val="on"/>
      </w:pPr>
      <w:r>
        <w:t>Tài sản ngắn hạn, 33–34, 37–38</w:t>
      </w:r>
      <w:bookmarkEnd w:id="7739"/>
    </w:p>
    <w:p>
      <w:bookmarkStart w:id="7740" w:name="Current_liabilities__39"/>
      <w:pPr>
        <w:pStyle w:val="Para 01"/>
        <w:keepLines w:val="on"/>
      </w:pPr>
      <w:r>
        <w:t>Nợ ngắn hạn, 39</w:t>
      </w:r>
      <w:bookmarkEnd w:id="7740"/>
    </w:p>
    <w:p>
      <w:bookmarkStart w:id="7741" w:name="Current_ratios__51_52"/>
      <w:pPr>
        <w:pStyle w:val="Para 01"/>
        <w:keepLines w:val="on"/>
      </w:pPr>
      <w:r>
        <w:t>Hệ số thanh toán ngắn hạn, 51–52</w:t>
      </w:r>
      <w:bookmarkEnd w:id="7741"/>
    </w:p>
    <w:p>
      <w:bookmarkStart w:id="7742" w:name="Customer_acquisition_costs__249"/>
      <w:pPr>
        <w:pStyle w:val="Para 01"/>
        <w:keepLines w:val="on"/>
      </w:pPr>
      <w:r>
        <w:t>Chi phí thu hút khách hàng, 249–250</w:t>
      </w:r>
      <w:bookmarkEnd w:id="7742"/>
    </w:p>
    <w:p>
      <w:bookmarkStart w:id="7743" w:name="Customer_incentives__955_956"/>
      <w:pPr>
        <w:pStyle w:val="Para 01"/>
        <w:keepLines w:val="on"/>
      </w:pPr>
      <w:r>
        <w:t>Ưu đãi khách hàng, 955–956</w:t>
      </w:r>
      <w:bookmarkEnd w:id="7743"/>
    </w:p>
    <w:p>
      <w:bookmarkStart w:id="7744" w:name="CVRD__Compahnia_Vale_Dio_Roce"/>
      <w:pPr>
        <w:pStyle w:val="Para 01"/>
        <w:keepLines w:val="on"/>
      </w:pPr>
      <w:r>
        <w:t>CVRD (Compahnia Vale Dio Roce), 718–719</w:t>
      </w:r>
      <w:bookmarkEnd w:id="7744"/>
    </w:p>
    <w:p>
      <w:bookmarkStart w:id="7745" w:name="Cyber_Health_Consulting__250_251"/>
      <w:pPr>
        <w:pStyle w:val="Para 01"/>
        <w:keepLines w:val="on"/>
      </w:pPr>
      <w:r>
        <w:t>Cyber Health Consulting, 250–251</w:t>
      </w:r>
      <w:bookmarkEnd w:id="7745"/>
    </w:p>
    <w:p>
      <w:bookmarkStart w:id="7746" w:name="Cyclical_firms__DCF_valuation_fo"/>
      <w:pPr>
        <w:pStyle w:val="Para 01"/>
        <w:keepLines w:val="on"/>
      </w:pPr>
      <w:r>
        <w:t>Các công ty có tính chu kỳ</w:t>
      </w:r>
      <w:bookmarkEnd w:id="7746"/>
    </w:p>
    <w:p>
      <w:bookmarkStart w:id="7747" w:name="DCF_valuation_for__19_20"/>
      <w:pPr>
        <w:pStyle w:val="Para 01"/>
        <w:keepLines w:val="on"/>
      </w:pPr>
      <w:r>
        <w:t>Định giá DCF cho các công ty này, 19–20</w:t>
      </w:r>
      <w:bookmarkEnd w:id="7747"/>
    </w:p>
    <w:p>
      <w:bookmarkStart w:id="7748" w:name="macroeconomic_views_of__707"/>
      <w:pPr>
        <w:pStyle w:val="Para 01"/>
        <w:keepLines w:val="on"/>
      </w:pPr>
      <w:r>
        <w:t>Quan điểm kinh tế vĩ mô về chúng, 707</w:t>
      </w:r>
      <w:bookmarkEnd w:id="7748"/>
    </w:p>
    <w:p>
      <w:bookmarkStart w:id="7749" w:name="valuation_of__702_706"/>
      <w:pPr>
        <w:pStyle w:val="Para 01"/>
        <w:keepLines w:val="on"/>
      </w:pPr>
      <w:r>
        <w:t>Định giá chúng, 702–706</w:t>
      </w:r>
      <w:bookmarkEnd w:id="7749"/>
    </w:p>
    <w:p>
      <w:bookmarkStart w:id="7750" w:name="D___Daewoo__870_Daimler_Benz__70"/>
      <w:bookmarkStart w:id="7751" w:name="D"/>
      <w:pPr>
        <w:keepNext/>
        <w:pStyle w:val="Para 50"/>
        <w:keepLines w:val="on"/>
      </w:pPr>
      <w:r>
        <w:t>D</w:t>
      </w:r>
      <w:bookmarkEnd w:id="7750"/>
      <w:bookmarkEnd w:id="7751"/>
    </w:p>
    <w:p>
      <w:bookmarkStart w:id="7752" w:name="Daewoo__870"/>
      <w:pPr>
        <w:pStyle w:val="Para 01"/>
        <w:keepLines w:val="on"/>
      </w:pPr>
      <w:r>
        <w:t>Daewoo, 870</w:t>
      </w:r>
      <w:bookmarkEnd w:id="7752"/>
    </w:p>
    <w:p>
      <w:bookmarkStart w:id="7753" w:name="Daimler_Benz__700_701"/>
      <w:pPr>
        <w:pStyle w:val="Para 01"/>
        <w:keepLines w:val="on"/>
      </w:pPr>
      <w:r>
        <w:t>Daimler-Benz, 700–701</w:t>
      </w:r>
      <w:bookmarkEnd w:id="7753"/>
    </w:p>
    <w:p>
      <w:bookmarkStart w:id="7754" w:name="Dalton_Motors__813_814__816_817"/>
      <w:pPr>
        <w:pStyle w:val="Para 01"/>
        <w:keepLines w:val="on"/>
      </w:pPr>
      <w:r>
        <w:t>Dalton Motors, 813–814, 816–817</w:t>
      </w:r>
      <w:bookmarkEnd w:id="7754"/>
    </w:p>
    <w:p>
      <w:bookmarkStart w:id="7755" w:name="Dana_Corporation__702_703"/>
      <w:pPr>
        <w:pStyle w:val="Para 01"/>
        <w:keepLines w:val="on"/>
      </w:pPr>
      <w:r>
        <w:t>Dana Corporation, 702–703</w:t>
      </w:r>
      <w:bookmarkEnd w:id="7755"/>
    </w:p>
    <w:p>
      <w:bookmarkStart w:id="7756" w:name="Data__financial_information_and"/>
      <w:pPr>
        <w:pStyle w:val="Para 01"/>
        <w:keepLines w:val="on"/>
      </w:pPr>
      <w:r>
        <w:t>Dữ liệu</w:t>
      </w:r>
      <w:bookmarkEnd w:id="7756"/>
    </w:p>
    <w:p>
      <w:bookmarkStart w:id="7757" w:name="financial_information_and__241_2"/>
      <w:pPr>
        <w:pStyle w:val="Para 01"/>
        <w:keepLines w:val="on"/>
      </w:pPr>
      <w:r>
        <w:t>Thông tin tài chính và, 241–243</w:t>
      </w:r>
      <w:bookmarkEnd w:id="7757"/>
    </w:p>
    <w:p>
      <w:bookmarkStart w:id="7758" w:name="optionality_in__949"/>
      <w:pPr>
        <w:pStyle w:val="Para 01"/>
        <w:keepLines w:val="on"/>
      </w:pPr>
      <w:r>
        <w:t>Tính tùy chọn trong, 949</w:t>
      </w:r>
      <w:bookmarkEnd w:id="7758"/>
    </w:p>
    <w:p>
      <w:bookmarkStart w:id="7759" w:name="valuation__business_story__and"/>
      <w:pPr>
        <w:pStyle w:val="Para 01"/>
        <w:keepLines w:val="on"/>
      </w:pPr>
      <w:r>
        <w:t>Định giá, câu chuyện kinh doanh, và, 363–364</w:t>
      </w:r>
      <w:bookmarkEnd w:id="7759"/>
    </w:p>
    <w:p>
      <w:bookmarkStart w:id="7760" w:name="Data_mining__78"/>
      <w:pPr>
        <w:pStyle w:val="Para 01"/>
        <w:keepLines w:val="on"/>
      </w:pPr>
      <w:r>
        <w:t>Khai phá dữ liệu, 78</w:t>
      </w:r>
      <w:bookmarkEnd w:id="7760"/>
    </w:p>
    <w:p>
      <w:bookmarkStart w:id="7761" w:name="Days_of_inventory__52"/>
      <w:pPr>
        <w:pStyle w:val="Para 01"/>
        <w:keepLines w:val="on"/>
      </w:pPr>
      <w:r>
        <w:t>Số ngày tồn kho, 52</w:t>
      </w:r>
      <w:bookmarkEnd w:id="7761"/>
    </w:p>
    <w:p>
      <w:bookmarkStart w:id="7762" w:name="Days_of_payables__52"/>
      <w:pPr>
        <w:pStyle w:val="Para 01"/>
        <w:keepLines w:val="on"/>
      </w:pPr>
      <w:r>
        <w:t>Số ngày phải trả, 52</w:t>
      </w:r>
      <w:bookmarkEnd w:id="7762"/>
    </w:p>
    <w:p>
      <w:bookmarkStart w:id="7763" w:name="Days_of_receivables__52"/>
      <w:pPr>
        <w:pStyle w:val="Para 01"/>
        <w:keepLines w:val="on"/>
      </w:pPr>
      <w:r>
        <w:t>Số ngày phải thu, 52</w:t>
      </w:r>
      <w:bookmarkEnd w:id="7763"/>
    </w:p>
    <w:p>
      <w:bookmarkStart w:id="7764" w:name="DCF__See_Discounted_cash_flow__D"/>
      <w:pPr>
        <w:pStyle w:val="Para 10"/>
        <w:keepLines w:val="on"/>
      </w:pPr>
      <w:r>
        <w:t>DCF. Xem Định giá dòng tiền chiết khấu (DCF)</w:t>
      </w:r>
      <w:bookmarkEnd w:id="7764"/>
    </w:p>
    <w:p>
      <w:bookmarkStart w:id="7765" w:name="Debt__See_also_Cost_of_debt__cal"/>
      <w:pPr>
        <w:pStyle w:val="Para 10"/>
        <w:keepLines w:val="on"/>
      </w:pPr>
      <w:r>
        <w:t>Nợ. Xem thêm Chi phí nợ</w:t>
      </w:r>
      <w:bookmarkEnd w:id="7765"/>
    </w:p>
    <w:p>
      <w:bookmarkStart w:id="7766" w:name="calculating_weight_of__227_231"/>
      <w:pPr>
        <w:pStyle w:val="Para 01"/>
        <w:keepLines w:val="on"/>
      </w:pPr>
      <w:r>
        <w:t>tính trọng số của, 227–231</w:t>
      </w:r>
      <w:bookmarkEnd w:id="7766"/>
    </w:p>
    <w:p>
      <w:bookmarkStart w:id="7767" w:name="capitalizing_operating_leases_an"/>
      <w:pPr>
        <w:pStyle w:val="Para 01"/>
        <w:keepLines w:val="on"/>
      </w:pPr>
      <w:r>
        <w:t>vốn hóa thuê hoạt động và, 228–229</w:t>
      </w:r>
      <w:bookmarkEnd w:id="7767"/>
    </w:p>
    <w:p>
      <w:bookmarkStart w:id="7768" w:name="converting_operating_leases_to"/>
      <w:pPr>
        <w:pStyle w:val="Para 01"/>
        <w:keepLines w:val="on"/>
      </w:pPr>
      <w:r>
        <w:t>chuyển đổi thuê hoạt động thành, 252–256</w:t>
      </w:r>
      <w:bookmarkEnd w:id="7768"/>
    </w:p>
    <w:p>
      <w:bookmarkStart w:id="7769" w:name="estimating_market_value_of__230"/>
      <w:pPr>
        <w:pStyle w:val="Para 01"/>
        <w:keepLines w:val="on"/>
      </w:pPr>
      <w:r>
        <w:t>ước tính giá trị thị trường của, 230</w:t>
      </w:r>
      <w:bookmarkEnd w:id="7769"/>
    </w:p>
    <w:p>
      <w:bookmarkStart w:id="7770" w:name="explanation_of__227_228"/>
      <w:pPr>
        <w:pStyle w:val="Para 01"/>
        <w:keepLines w:val="on"/>
      </w:pPr>
      <w:r>
        <w:t>giải thích về, 227–228</w:t>
      </w:r>
      <w:bookmarkEnd w:id="7770"/>
    </w:p>
    <w:p>
      <w:bookmarkStart w:id="7771" w:name="face_value_of__969"/>
      <w:pPr>
        <w:pStyle w:val="Para 01"/>
        <w:keepLines w:val="on"/>
      </w:pPr>
      <w:r>
        <w:t>mệnh giá của, 969</w:t>
      </w:r>
      <w:bookmarkEnd w:id="7771"/>
    </w:p>
    <w:p>
      <w:bookmarkStart w:id="7772" w:name="for_financial_service_firms__658"/>
      <w:pPr>
        <w:pStyle w:val="Para 01"/>
        <w:keepLines w:val="on"/>
      </w:pPr>
      <w:r>
        <w:t>đối với các công ty dịch vụ tài chính, 658</w:t>
      </w:r>
      <w:bookmarkEnd w:id="7772"/>
    </w:p>
    <w:p>
      <w:bookmarkStart w:id="7773" w:name="financing_acquisitions_with__821"/>
      <w:pPr>
        <w:pStyle w:val="Para 01"/>
        <w:keepLines w:val="on"/>
      </w:pPr>
      <w:r>
        <w:t>tài trợ thương vụ mua lại bằng, 821</w:t>
      </w:r>
      <w:bookmarkEnd w:id="7773"/>
    </w:p>
    <w:p>
      <w:bookmarkStart w:id="7774" w:name="gross__231__450_451"/>
      <w:pPr>
        <w:pStyle w:val="Para 01"/>
        <w:keepLines w:val="on"/>
      </w:pPr>
      <w:r>
        <w:t>gộp, 231, 450–451</w:t>
      </w:r>
      <w:bookmarkEnd w:id="7774"/>
    </w:p>
    <w:p>
      <w:bookmarkStart w:id="7775" w:name="long_term__39_40_1"/>
      <w:pPr>
        <w:pStyle w:val="Para 01"/>
        <w:keepLines w:val="on"/>
      </w:pPr>
      <w:r>
        <w:t>dài hạn, 39–40</w:t>
      </w:r>
      <w:bookmarkEnd w:id="7775"/>
    </w:p>
    <w:p>
      <w:bookmarkStart w:id="7776" w:name="maturity_of__968"/>
      <w:pPr>
        <w:pStyle w:val="Para 01"/>
        <w:keepLines w:val="on"/>
      </w:pPr>
      <w:r>
        <w:t>kỳ đáo hạn của, 968</w:t>
      </w:r>
      <w:bookmarkEnd w:id="7776"/>
    </w:p>
    <w:p>
      <w:bookmarkStart w:id="7777" w:name="net__231__450_451"/>
      <w:pPr>
        <w:pStyle w:val="Para 01"/>
        <w:keepLines w:val="on"/>
      </w:pPr>
      <w:r>
        <w:t>ròng, 231, 450–451</w:t>
      </w:r>
      <w:bookmarkEnd w:id="7777"/>
    </w:p>
    <w:p>
      <w:bookmarkStart w:id="7778" w:name="simulations_and__1056"/>
      <w:pPr>
        <w:pStyle w:val="Para 01"/>
        <w:keepLines w:val="on"/>
      </w:pPr>
      <w:r>
        <w:t>mô phỏng và, 1056</w:t>
      </w:r>
      <w:bookmarkEnd w:id="7778"/>
    </w:p>
    <w:p>
      <w:bookmarkStart w:id="7779" w:name="and_value_per_share__464_2"/>
      <w:pPr>
        <w:pStyle w:val="Para 01"/>
        <w:keepLines w:val="on"/>
      </w:pPr>
      <w:r>
        <w:t>và giá trị trên mỗi cổ phần, 464</w:t>
      </w:r>
      <w:bookmarkEnd w:id="7779"/>
    </w:p>
    <w:p>
      <w:bookmarkStart w:id="7780" w:name="Debt_capacity__801__816_817"/>
      <w:pPr>
        <w:pStyle w:val="Para 01"/>
        <w:keepLines w:val="on"/>
      </w:pPr>
      <w:r>
        <w:t>Khả năng vay nợ, 801, 816–817</w:t>
      </w:r>
      <w:bookmarkEnd w:id="7780"/>
    </w:p>
    <w:p>
      <w:bookmarkStart w:id="7781" w:name="Debt_ratios__for_aggregated_valu"/>
      <w:pPr>
        <w:pStyle w:val="Para 01"/>
        <w:keepLines w:val="on"/>
      </w:pPr>
      <w:r>
        <w:t>Các tỷ số nợ</w:t>
      </w:r>
      <w:bookmarkEnd w:id="7781"/>
    </w:p>
    <w:p>
      <w:bookmarkStart w:id="7782" w:name="for_aggregated_valuation__462_1"/>
      <w:pPr>
        <w:pStyle w:val="Para 01"/>
        <w:keepLines w:val="on"/>
      </w:pPr>
      <w:r>
        <w:t>cho định giá tổng hợp, 462</w:t>
      </w:r>
      <w:bookmarkEnd w:id="7782"/>
    </w:p>
    <w:p>
      <w:bookmarkStart w:id="7783" w:name="book_value_vs__market_value__229"/>
      <w:pPr>
        <w:pStyle w:val="Para 01"/>
        <w:keepLines w:val="on"/>
      </w:pPr>
      <w:r>
        <w:t>giá trị sổ sách so với giá trị thị trường, 229–231</w:t>
      </w:r>
      <w:bookmarkEnd w:id="7783"/>
    </w:p>
    <w:p>
      <w:bookmarkStart w:id="7784" w:name="for_disaggregated_valuation__463_2"/>
      <w:pPr>
        <w:pStyle w:val="Para 01"/>
        <w:keepLines w:val="on"/>
      </w:pPr>
      <w:r>
        <w:t>cho định giá phân tách, 463</w:t>
      </w:r>
      <w:bookmarkEnd w:id="7784"/>
    </w:p>
    <w:p>
      <w:bookmarkStart w:id="7785" w:name="explanation_of__55_56"/>
      <w:pPr>
        <w:pStyle w:val="Para 01"/>
        <w:keepLines w:val="on"/>
      </w:pPr>
      <w:r>
        <w:t>giải thích về, 55–56</w:t>
      </w:r>
      <w:bookmarkEnd w:id="7785"/>
    </w:p>
    <w:p>
      <w:bookmarkStart w:id="7786" w:name="for_infrastructure_firms__711_71_1"/>
      <w:pPr>
        <w:pStyle w:val="Para 01"/>
        <w:keepLines w:val="on"/>
      </w:pPr>
      <w:r>
        <w:t>đối với các công ty hạ tầng, 711–712</w:t>
      </w:r>
      <w:bookmarkEnd w:id="7786"/>
    </w:p>
    <w:p>
      <w:bookmarkStart w:id="7787" w:name="for_overlevered_firms__720_721"/>
      <w:pPr>
        <w:pStyle w:val="Para 01"/>
        <w:keepLines w:val="on"/>
      </w:pPr>
      <w:r>
        <w:t>đối với các công ty vay nợ quá mức, 720–721</w:t>
      </w:r>
      <w:bookmarkEnd w:id="7787"/>
    </w:p>
    <w:p>
      <w:bookmarkStart w:id="7788" w:name="for_private_firms__766"/>
      <w:pPr>
        <w:pStyle w:val="Para 01"/>
        <w:keepLines w:val="on"/>
      </w:pPr>
      <w:r>
        <w:t>đối với các công ty tư nhân, 766</w:t>
      </w:r>
      <w:bookmarkEnd w:id="7788"/>
    </w:p>
    <w:p>
      <w:bookmarkStart w:id="7789" w:name="at_stable_growth_firms__350_1"/>
      <w:pPr>
        <w:pStyle w:val="Para 01"/>
        <w:keepLines w:val="on"/>
      </w:pPr>
      <w:r>
        <w:t>tại các công ty tăng trưởng ổn định, 350</w:t>
      </w:r>
      <w:bookmarkEnd w:id="7789"/>
    </w:p>
    <w:p>
      <w:bookmarkStart w:id="7790" w:name="Debt_to_capital_ratio__55"/>
      <w:pPr>
        <w:pStyle w:val="Para 01"/>
        <w:keepLines w:val="on"/>
      </w:pPr>
      <w:r>
        <w:t>Tỷ lệ nợ trên vốn, 55</w:t>
      </w:r>
      <w:bookmarkEnd w:id="7790"/>
    </w:p>
    <w:p>
      <w:bookmarkStart w:id="7791" w:name="Debt_to_equity_ratio__55"/>
      <w:pPr>
        <w:pStyle w:val="Para 01"/>
        <w:keepLines w:val="on"/>
      </w:pPr>
      <w:r>
        <w:t>Tỷ lệ nợ trên vốn chủ sở hữu, 55</w:t>
      </w:r>
      <w:bookmarkEnd w:id="7791"/>
    </w:p>
    <w:p>
      <w:bookmarkStart w:id="7792" w:name="Decision_making__decision_tree_a"/>
      <w:pPr>
        <w:pStyle w:val="Para 01"/>
        <w:keepLines w:val="on"/>
      </w:pPr>
      <w:r>
        <w:t>Ra quyết định</w:t>
      </w:r>
      <w:bookmarkEnd w:id="7792"/>
    </w:p>
    <w:p>
      <w:bookmarkStart w:id="7793" w:name="decision_tree_analysis_for__1044"/>
      <w:pPr>
        <w:pStyle w:val="Para 01"/>
        <w:keepLines w:val="on"/>
      </w:pPr>
      <w:r>
        <w:t>phân tích cây quyết định cho việc này, 1044</w:t>
      </w:r>
      <w:bookmarkEnd w:id="7793"/>
    </w:p>
    <w:p>
      <w:bookmarkStart w:id="7794" w:name="scenario_analysis_for__1035"/>
      <w:pPr>
        <w:pStyle w:val="Para 01"/>
        <w:keepLines w:val="on"/>
      </w:pPr>
      <w:r>
        <w:t>phân tích tình huống cho việc này, 1035</w:t>
      </w:r>
      <w:bookmarkEnd w:id="7794"/>
    </w:p>
    <w:p>
      <w:bookmarkStart w:id="7795" w:name="simulations_for__1054_1055"/>
      <w:pPr>
        <w:pStyle w:val="Para 01"/>
        <w:keepLines w:val="on"/>
      </w:pPr>
      <w:r>
        <w:t>mô phỏng cho việc này, 1054–1055</w:t>
      </w:r>
      <w:bookmarkEnd w:id="7795"/>
    </w:p>
    <w:p>
      <w:bookmarkStart w:id="7796" w:name="Decision_points__1040"/>
      <w:pPr>
        <w:pStyle w:val="Para 01"/>
        <w:keepLines w:val="on"/>
      </w:pPr>
      <w:r>
        <w:t>Các điểm quyết định, 1040</w:t>
      </w:r>
      <w:bookmarkEnd w:id="7796"/>
    </w:p>
    <w:p>
      <w:bookmarkStart w:id="7797" w:name="Decision_tree_analysis__assessme"/>
      <w:pPr>
        <w:pStyle w:val="Para 01"/>
        <w:keepLines w:val="on"/>
      </w:pPr>
      <w:r>
        <w:t>Phân tích cây quyết định</w:t>
      </w:r>
      <w:bookmarkEnd w:id="7797"/>
    </w:p>
    <w:p>
      <w:bookmarkStart w:id="7798" w:name="assessment_of__1058_1060"/>
      <w:pPr>
        <w:pStyle w:val="Para 01"/>
        <w:keepLines w:val="on"/>
      </w:pPr>
      <w:r>
        <w:t>đánh giá về nó, 1058–1060</w:t>
      </w:r>
      <w:bookmarkEnd w:id="7798"/>
    </w:p>
    <w:p>
      <w:bookmarkStart w:id="7799" w:name="in_decision_making__1044"/>
      <w:pPr>
        <w:pStyle w:val="Para 01"/>
        <w:keepLines w:val="on"/>
      </w:pPr>
      <w:r>
        <w:t>trong việc ra quyết định, 1044</w:t>
      </w:r>
      <w:bookmarkEnd w:id="7799"/>
    </w:p>
    <w:p>
      <w:bookmarkStart w:id="7800" w:name="explanation_of__1038_1039"/>
      <w:pPr>
        <w:pStyle w:val="Para 01"/>
        <w:keepLines w:val="on"/>
      </w:pPr>
      <w:r>
        <w:t>giải thích về nó, 1038–1039</w:t>
      </w:r>
      <w:bookmarkEnd w:id="7800"/>
    </w:p>
    <w:p>
      <w:bookmarkStart w:id="7801" w:name="illustration_of__1041_1044"/>
      <w:pPr>
        <w:pStyle w:val="Para 01"/>
        <w:keepLines w:val="on"/>
      </w:pPr>
      <w:r>
        <w:t>minh họa về nó, 1041–1044</w:t>
      </w:r>
      <w:bookmarkEnd w:id="7801"/>
    </w:p>
    <w:p>
      <w:bookmarkStart w:id="7802" w:name="issues_in__1045"/>
      <w:pPr>
        <w:pStyle w:val="Para 01"/>
        <w:keepLines w:val="on"/>
      </w:pPr>
      <w:r>
        <w:t>các vấn đề trong đó, 1045</w:t>
      </w:r>
      <w:bookmarkEnd w:id="7802"/>
    </w:p>
    <w:p>
      <w:bookmarkStart w:id="7803" w:name="risk_adjusted_value_and__1045_10"/>
      <w:pPr>
        <w:pStyle w:val="Para 01"/>
        <w:keepLines w:val="on"/>
      </w:pPr>
      <w:r>
        <w:t>giá trị điều chỉnh theo rủi ro và nó, 1045–1047</w:t>
      </w:r>
      <w:bookmarkEnd w:id="7803"/>
    </w:p>
    <w:p>
      <w:bookmarkStart w:id="7804" w:name="steps_in__1039_1041"/>
      <w:pPr>
        <w:pStyle w:val="Para 01"/>
        <w:keepLines w:val="on"/>
      </w:pPr>
      <w:r>
        <w:t>các bước thực hiện, 1039–1041</w:t>
      </w:r>
      <w:bookmarkEnd w:id="7804"/>
    </w:p>
    <w:p>
      <w:bookmarkStart w:id="7805" w:name="Decline_phase__in_life_cycle__73"/>
      <w:pPr>
        <w:pStyle w:val="Para 01"/>
        <w:keepLines w:val="on"/>
      </w:pPr>
      <w:r>
        <w:t>Giai đoạn suy thoái, trong vòng đời, 736</w:t>
      </w:r>
      <w:bookmarkEnd w:id="7805"/>
    </w:p>
    <w:p>
      <w:bookmarkStart w:id="7806" w:name="Deep_in_the_money_puts__102"/>
      <w:pPr>
        <w:pStyle w:val="Para 01"/>
        <w:keepLines w:val="on"/>
      </w:pPr>
      <w:r>
        <w:t>Quyền chọn bán lãi sâu (deep in-the-money puts), 102</w:t>
      </w:r>
      <w:bookmarkEnd w:id="7806"/>
    </w:p>
    <w:p>
      <w:bookmarkStart w:id="7807" w:name="Default_free_entities__158__160"/>
      <w:pPr>
        <w:pStyle w:val="Para 01"/>
        <w:keepLines w:val="on"/>
      </w:pPr>
      <w:r>
        <w:t>Các thực thể không có rủi ro vỡ nợ, 158, 160–162</w:t>
      </w:r>
      <w:bookmarkEnd w:id="7807"/>
    </w:p>
    <w:p>
      <w:bookmarkStart w:id="7808" w:name="Default_probability__965_966"/>
      <w:pPr>
        <w:pStyle w:val="Para 01"/>
        <w:keepLines w:val="on"/>
      </w:pPr>
      <w:r>
        <w:t>Xác suất vỡ nợ, 965–966</w:t>
      </w:r>
      <w:bookmarkEnd w:id="7808"/>
    </w:p>
    <w:p>
      <w:bookmarkStart w:id="7809" w:name="Default_risk__157_158__cost_of_d"/>
      <w:pPr>
        <w:pStyle w:val="Para 01"/>
        <w:keepLines w:val="on"/>
      </w:pPr>
      <w:r>
        <w:t>Rủi ro vỡ nợ, 157–158</w:t>
      </w:r>
      <w:bookmarkEnd w:id="7809"/>
    </w:p>
    <w:p>
      <w:bookmarkStart w:id="7810" w:name="cost_of_debt_and__221"/>
      <w:pPr>
        <w:pStyle w:val="Para 01"/>
        <w:keepLines w:val="on"/>
      </w:pPr>
      <w:r>
        <w:t>chi phí nợ và nó, 221</w:t>
      </w:r>
      <w:bookmarkEnd w:id="7810"/>
    </w:p>
    <w:p>
      <w:bookmarkStart w:id="7811" w:name="country_risk_premium_and__171_17"/>
      <w:pPr>
        <w:pStyle w:val="Para 01"/>
        <w:keepLines w:val="on"/>
      </w:pPr>
      <w:r>
        <w:t>phần bù rủi ro quốc gia và nó, 171–175</w:t>
      </w:r>
      <w:bookmarkEnd w:id="7811"/>
    </w:p>
    <w:p>
      <w:bookmarkStart w:id="7812" w:name="estimation_of__222_224"/>
      <w:pPr>
        <w:pStyle w:val="Para 01"/>
        <w:keepLines w:val="on"/>
      </w:pPr>
      <w:r>
        <w:t>ước tính về nó, 222–224</w:t>
      </w:r>
      <w:bookmarkEnd w:id="7812"/>
    </w:p>
    <w:p>
      <w:bookmarkStart w:id="7813" w:name="explanation_of__50"/>
      <w:pPr>
        <w:pStyle w:val="Para 01"/>
        <w:keepLines w:val="on"/>
      </w:pPr>
      <w:r>
        <w:t>giải thích về nó, 50</w:t>
      </w:r>
      <w:bookmarkEnd w:id="7813"/>
    </w:p>
    <w:p>
      <w:bookmarkStart w:id="7814" w:name="financial_ratios_for__53_56"/>
      <w:pPr>
        <w:pStyle w:val="Para 01"/>
        <w:keepLines w:val="on"/>
      </w:pPr>
      <w:r>
        <w:t>các tỷ số tài chính đối với, 53–56</w:t>
      </w:r>
      <w:bookmarkEnd w:id="7814"/>
    </w:p>
    <w:p>
      <w:bookmarkStart w:id="7815" w:name="models_of__81_84"/>
      <w:pPr>
        <w:pStyle w:val="Para 01"/>
        <w:keepLines w:val="on"/>
      </w:pPr>
      <w:r>
        <w:t>các mô hình về, 81–84</w:t>
      </w:r>
      <w:bookmarkEnd w:id="7815"/>
    </w:p>
    <w:p>
      <w:bookmarkStart w:id="7816" w:name="and_optimal_leverage__477"/>
      <w:pPr>
        <w:pStyle w:val="Para 01"/>
        <w:keepLines w:val="on"/>
      </w:pPr>
      <w:r>
        <w:t>và đòn bẩy tối ưu, 477</w:t>
      </w:r>
      <w:bookmarkEnd w:id="7816"/>
    </w:p>
    <w:p>
      <w:bookmarkStart w:id="7817" w:name="at_stable_growth_firms__350_2"/>
      <w:pPr>
        <w:pStyle w:val="Para 01"/>
        <w:keepLines w:val="on"/>
      </w:pPr>
      <w:r>
        <w:t>tại các công ty tăng trưởng ổn định, 350</w:t>
      </w:r>
      <w:bookmarkEnd w:id="7817"/>
    </w:p>
    <w:p>
      <w:bookmarkStart w:id="7818" w:name="Default_spreads__on_bonds__182_1"/>
      <w:pPr>
        <w:pStyle w:val="Para 01"/>
        <w:keepLines w:val="on"/>
      </w:pPr>
      <w:r>
        <w:t>Chênh lệch lãi suất vỡ nợ (Default spreads)</w:t>
      </w:r>
      <w:bookmarkEnd w:id="7818"/>
    </w:p>
    <w:p>
      <w:bookmarkStart w:id="7819" w:name="on_bonds__182_185"/>
      <w:pPr>
        <w:pStyle w:val="Para 01"/>
        <w:keepLines w:val="on"/>
      </w:pPr>
      <w:r>
        <w:t>đối với trái phiếu, 182–185</w:t>
      </w:r>
      <w:bookmarkEnd w:id="7819"/>
    </w:p>
    <w:p>
      <w:bookmarkStart w:id="7820" w:name="cost_of_debt_and__221_1"/>
      <w:pPr>
        <w:pStyle w:val="Para 01"/>
        <w:keepLines w:val="on"/>
      </w:pPr>
      <w:r>
        <w:t>chi phí nợ và, 221</w:t>
      </w:r>
      <w:bookmarkEnd w:id="7820"/>
    </w:p>
    <w:p>
      <w:bookmarkStart w:id="7821" w:name="estimation_of__222_224_1"/>
      <w:pPr>
        <w:pStyle w:val="Para 01"/>
        <w:keepLines w:val="on"/>
      </w:pPr>
      <w:r>
        <w:t>ước tính về, 222–224</w:t>
      </w:r>
      <w:bookmarkEnd w:id="7821"/>
    </w:p>
    <w:p>
      <w:bookmarkStart w:id="7822" w:name="option_pricing_model_and__965_96"/>
      <w:pPr>
        <w:pStyle w:val="Para 01"/>
        <w:keepLines w:val="on"/>
      </w:pPr>
      <w:r>
        <w:t>mô hình định giá quyền chọn và, 965–966</w:t>
      </w:r>
      <w:bookmarkEnd w:id="7822"/>
    </w:p>
    <w:p>
      <w:bookmarkStart w:id="7823" w:name="Defensive_synergies__800"/>
      <w:pPr>
        <w:pStyle w:val="Para 01"/>
        <w:keepLines w:val="on"/>
      </w:pPr>
      <w:r>
        <w:t>Hiệu ứng cộng hưởng phòng thủ (Defensive synergies), 800</w:t>
      </w:r>
      <w:bookmarkEnd w:id="7823"/>
    </w:p>
    <w:p>
      <w:bookmarkStart w:id="7825" w:name="Deferred_taxes__41_42__278__500"/>
      <w:pPr>
        <w:pStyle w:val="Para 01"/>
        <w:keepLines w:val="on"/>
      </w:pPr>
      <w:r>
        <w:t>Thuế hoãn lại (Deferred taxes), 41–42, 278, 500</w:t>
      </w:r>
      <w:bookmarkEnd w:id="7825"/>
    </w:p>
    <w:p>
      <w:bookmarkStart w:id="7826" w:name="Defined_benefit_plans__41"/>
      <w:pPr>
        <w:pStyle w:val="Para 01"/>
        <w:keepLines w:val="on"/>
      </w:pPr>
      <w:r>
        <w:t>Kế hoạch phúc lợi xác định (Defined benefit plans), 41
&lt;&lt;&lt;||&lt;&gt;&gt;&gt;
Kế hoạch đóng góp xác định (Defined contribution plans), 41</w:t>
      </w:r>
      <w:bookmarkEnd w:id="7826"/>
    </w:p>
    <w:p>
      <w:bookmarkStart w:id="7827" w:name="Defined_contribution_plans__41"/>
      <w:pPr>
        <w:pStyle w:val="Para 01"/>
        <w:keepLines w:val="on"/>
      </w:pPr>
      <w:r>
        <w:t>Các kiểm định định nghĩa (Definitional tests), 518–520</w:t>
      </w:r>
      <w:bookmarkEnd w:id="7827"/>
    </w:p>
    <w:p>
      <w:bookmarkStart w:id="7828" w:name="Definitional_tests__518_520"/>
      <w:pPr>
        <w:pStyle w:val="Para 01"/>
        <w:keepLines w:val="on"/>
      </w:pPr>
      <w:r>
        <w:t>Sự trì hoãn, chi phí của, 913–914, 926, 929</w:t>
      </w:r>
      <w:bookmarkEnd w:id="7828"/>
    </w:p>
    <w:p>
      <w:bookmarkStart w:id="7829" w:name="Delay__cost_of__913_914__926__92"/>
      <w:pPr>
        <w:pStyle w:val="Para 01"/>
        <w:keepLines w:val="on"/>
      </w:pPr>
      <w:r>
        <w:t>Quyền chọn trì hoãn (Delay option). Xem Quyền chọn trì hoãn dự án (Project delay option)</w:t>
      </w:r>
      <w:bookmarkEnd w:id="7829"/>
    </w:p>
    <w:p>
      <w:bookmarkStart w:id="7830" w:name="Delay_option__See_Project_delay"/>
      <w:pPr>
        <w:pStyle w:val="Para 10"/>
        <w:keepLines w:val="on"/>
      </w:pPr>
      <w:r>
        <w:t>Bảo hiểm tiền gửi (Deposit insurance), 688</w:t>
      </w:r>
      <w:bookmarkEnd w:id="7830"/>
    </w:p>
    <w:p>
      <w:bookmarkStart w:id="7831" w:name="Deposit_insurance__688"/>
      <w:pPr>
        <w:pStyle w:val="Para 01"/>
        <w:keepLines w:val="on"/>
      </w:pPr>
      <w:r>
        <w:t>Tiền gửi, tại ngân hàng tốt so với ngân hàng xấu, 682</w:t>
      </w:r>
      <w:bookmarkEnd w:id="7831"/>
    </w:p>
    <w:p>
      <w:bookmarkStart w:id="7832" w:name="Deposits__at_good_vs__bad_banks"/>
      <w:pPr>
        <w:pStyle w:val="Para 01"/>
        <w:keepLines w:val="on"/>
      </w:pPr>
      <w:r>
        <w:t>Khấu hao (Depreciation)</w:t>
      </w:r>
      <w:bookmarkEnd w:id="7832"/>
    </w:p>
    <w:p>
      <w:bookmarkStart w:id="7833" w:name="Depreciation__capital_expenditur"/>
      <w:pPr>
        <w:pStyle w:val="Para 01"/>
        <w:keepLines w:val="on"/>
      </w:pPr>
      <w:r>
        <w:t>chi tiêu vốn, tốc độ tăng trưởng, và, 418</w:t>
      </w:r>
      <w:bookmarkEnd w:id="7833"/>
    </w:p>
    <w:p>
      <w:bookmarkStart w:id="7834" w:name="capital_expenditure__growth_rate"/>
      <w:pPr>
        <w:pStyle w:val="Para 01"/>
        <w:keepLines w:val="on"/>
      </w:pPr>
      <w:r>
        <w:t>EV/EBITDA và, 573</w:t>
      </w:r>
      <w:bookmarkEnd w:id="7834"/>
    </w:p>
    <w:p>
      <w:bookmarkStart w:id="7835" w:name="EV_EBITDA_and__573_1"/>
      <w:pPr>
        <w:pStyle w:val="Para 01"/>
        <w:keepLines w:val="on"/>
      </w:pPr>
      <w:r>
        <w:t>những thay đổi trung tính về giá trị trong, 978</w:t>
      </w:r>
      <w:bookmarkEnd w:id="7835"/>
    </w:p>
    <w:p>
      <w:bookmarkStart w:id="7836" w:name="value_neutral_changes_in__978"/>
      <w:pPr>
        <w:pStyle w:val="Para 01"/>
        <w:keepLines w:val="on"/>
      </w:pPr>
      <w:r>
        <w:t>Các công cụ phái sinh (Derivatives), lãi suất phi rủi ro và, 161</w:t>
      </w:r>
      <w:bookmarkEnd w:id="7836"/>
    </w:p>
    <w:p>
      <w:bookmarkStart w:id="7837" w:name="Derivatives__risk_free_rates_and"/>
      <w:pPr>
        <w:pStyle w:val="Para 01"/>
        <w:keepLines w:val="on"/>
      </w:pPr>
      <w:r>
        <w:t>Các kiểm định mô tả (Descriptional tests), 520–521</w:t>
      </w:r>
      <w:bookmarkEnd w:id="7837"/>
    </w:p>
    <w:p>
      <w:bookmarkStart w:id="7838" w:name="Descriptional_tests__520_521"/>
      <w:pPr>
        <w:pStyle w:val="Para 01"/>
        <w:keepLines w:val="on"/>
      </w:pPr>
      <w:r>
        <w:t>Deutsche Bank, 670–671</w:t>
      </w:r>
      <w:bookmarkEnd w:id="7838"/>
    </w:p>
    <w:p>
      <w:bookmarkStart w:id="7839" w:name="Deutsche_Bank__670_671"/>
      <w:pPr>
        <w:pStyle w:val="Para 01"/>
        <w:keepLines w:val="on"/>
      </w:pPr>
      <w:bookmarkEnd w:id="7839"/>
    </w:p>
    <w:p>
      <w:bookmarkStart w:id="7840" w:name="Digital_collectibles__896_897"/>
      <w:pPr>
        <w:pStyle w:val="Para 01"/>
        <w:keepLines w:val="on"/>
      </w:pPr>
      <w:r>
        <w:t>Tài sản sưu tầm kỹ thuật số (digital collectibles), 896–897</w:t>
      </w:r>
      <w:bookmarkEnd w:id="7840"/>
    </w:p>
    <w:p>
      <w:bookmarkStart w:id="7841" w:name="Digital_currency__892_895"/>
      <w:pPr>
        <w:pStyle w:val="Para 01"/>
        <w:keepLines w:val="on"/>
      </w:pPr>
      <w:r>
        <w:t>Tiền kỹ thuật số (digital currency), 892–895</w:t>
      </w:r>
      <w:bookmarkEnd w:id="7841"/>
    </w:p>
    <w:p>
      <w:bookmarkStart w:id="7842" w:name="Digital_Equipment_Corporation__7"/>
      <w:pPr>
        <w:pStyle w:val="Para 01"/>
        <w:keepLines w:val="on"/>
      </w:pPr>
      <w:r>
        <w:t>Digital Equipment Corporation, 795–796</w:t>
      </w:r>
      <w:bookmarkEnd w:id="7842"/>
    </w:p>
    <w:p>
      <w:bookmarkStart w:id="7843" w:name="Dilution__expected__503_with_neg"/>
      <w:pPr>
        <w:pStyle w:val="Para 01"/>
        <w:keepLines w:val="on"/>
      </w:pPr>
      <w:r>
        <w:t>Pha loãng (dilution)</w:t>
      </w:r>
      <w:bookmarkEnd w:id="7843"/>
    </w:p>
    <w:p>
      <w:bookmarkStart w:id="7844" w:name="expected__503"/>
      <w:pPr>
        <w:pStyle w:val="Para 01"/>
        <w:keepLines w:val="on"/>
      </w:pPr>
      <w:r>
        <w:t>mức kỳ vọng, 503</w:t>
      </w:r>
      <w:bookmarkEnd w:id="7844"/>
    </w:p>
    <w:p>
      <w:bookmarkStart w:id="7845" w:name="with_negative_FCFE__428"/>
      <w:pPr>
        <w:pStyle w:val="Para 01"/>
        <w:keepLines w:val="on"/>
      </w:pPr>
      <w:r>
        <w:t>với FCFE âm, 428</w:t>
      </w:r>
      <w:bookmarkEnd w:id="7845"/>
    </w:p>
    <w:p>
      <w:bookmarkStart w:id="7846" w:name="Direct_comparisons__of_PEG_ratio"/>
      <w:pPr>
        <w:pStyle w:val="Para 01"/>
        <w:keepLines w:val="on"/>
      </w:pPr>
      <w:r>
        <w:t>So sánh trực tiếp, của tỷ lệ PEG, 561–562</w:t>
      </w:r>
      <w:bookmarkEnd w:id="7846"/>
    </w:p>
    <w:p>
      <w:bookmarkStart w:id="7847" w:name="Disaggregated_valuation__aggrega"/>
      <w:pPr>
        <w:pStyle w:val="Para 01"/>
        <w:keepLines w:val="on"/>
      </w:pPr>
      <w:r>
        <w:t>Định giá phân tách (disaggregated valuation)</w:t>
      </w:r>
      <w:bookmarkEnd w:id="7847"/>
    </w:p>
    <w:p>
      <w:bookmarkStart w:id="7848" w:name="aggregated_vs___458_459"/>
      <w:pPr>
        <w:pStyle w:val="Para 01"/>
        <w:keepLines w:val="on"/>
      </w:pPr>
      <w:r>
        <w:t>so với tổng hợp, 458–459</w:t>
      </w:r>
      <w:bookmarkEnd w:id="7848"/>
    </w:p>
    <w:p>
      <w:bookmarkStart w:id="7849" w:name="choosing__459_460_1"/>
      <w:pPr>
        <w:pStyle w:val="Para 01"/>
        <w:keepLines w:val="on"/>
      </w:pPr>
      <w:r>
        <w:t>lựa chọn phương pháp, 459–460</w:t>
      </w:r>
      <w:bookmarkEnd w:id="7849"/>
    </w:p>
    <w:p>
      <w:bookmarkStart w:id="7850" w:name="currency_choice_for__461"/>
      <w:pPr>
        <w:pStyle w:val="Para 01"/>
        <w:keepLines w:val="on"/>
      </w:pPr>
      <w:r>
        <w:t>lựa chọn đơn vị tiền tệ cho, 461</w:t>
      </w:r>
      <w:bookmarkEnd w:id="7850"/>
    </w:p>
    <w:p>
      <w:bookmarkStart w:id="7851" w:name="expected_cash_flows_for__463_1"/>
      <w:pPr>
        <w:pStyle w:val="Para 01"/>
        <w:keepLines w:val="on"/>
      </w:pPr>
      <w:r>
        <w:t>dòng tiền kỳ vọng cho, 463</w:t>
      </w:r>
      <w:bookmarkEnd w:id="7851"/>
    </w:p>
    <w:p>
      <w:bookmarkStart w:id="7852" w:name="illustration__466_468"/>
      <w:pPr>
        <w:pStyle w:val="Para 01"/>
        <w:keepLines w:val="on"/>
      </w:pPr>
      <w:r>
        <w:t>ví dụ minh họa, 466–468</w:t>
      </w:r>
      <w:bookmarkEnd w:id="7852"/>
    </w:p>
    <w:p>
      <w:bookmarkStart w:id="7853" w:name="post_valuation_adjustments__465"/>
      <w:pPr>
        <w:pStyle w:val="Para 01"/>
        <w:keepLines w:val="on"/>
      </w:pPr>
      <w:r>
        <w:t>điều chỉnh sau định giá, 465–466</w:t>
      </w:r>
      <w:bookmarkEnd w:id="7853"/>
    </w:p>
    <w:p>
      <w:bookmarkStart w:id="7854" w:name="risk_parameters_for__462_463"/>
      <w:pPr>
        <w:pStyle w:val="Para 01"/>
        <w:keepLines w:val="on"/>
      </w:pPr>
      <w:r>
        <w:t>các tham số rủi ro cho, 462–463</w:t>
      </w:r>
      <w:bookmarkEnd w:id="7854"/>
    </w:p>
    <w:p>
      <w:bookmarkStart w:id="7855" w:name="value_per_share_for__464"/>
      <w:pPr>
        <w:pStyle w:val="Para 01"/>
        <w:keepLines w:val="on"/>
      </w:pPr>
      <w:r>
        <w:t>giá trị trên mỗi cổ phần cho, 464</w:t>
      </w:r>
      <w:bookmarkEnd w:id="7855"/>
    </w:p>
    <w:p>
      <w:bookmarkStart w:id="7856" w:name="Discontinued_operations__46"/>
      <w:pPr>
        <w:pStyle w:val="Para 01"/>
        <w:keepLines w:val="on"/>
      </w:pPr>
      <w:r>
        <w:t>Hoạt động đã ngừng (discontinued operations), 46</w:t>
      </w:r>
      <w:bookmarkEnd w:id="7856"/>
    </w:p>
    <w:p>
      <w:bookmarkStart w:id="7857" w:name="Discounted_cash_flow__DCF__valua"/>
      <w:pPr>
        <w:pStyle w:val="Para 01"/>
        <w:keepLines w:val="on"/>
      </w:pPr>
      <w:r>
        <w:t>Định giá dòng tiền chiết khấu (discounted cash flow – DCF)</w:t>
      </w:r>
      <w:bookmarkEnd w:id="7857"/>
    </w:p>
    <w:p>
      <w:bookmarkStart w:id="7858" w:name="applicability_and_limitations_of"/>
      <w:pPr>
        <w:pStyle w:val="Para 01"/>
        <w:keepLines w:val="on"/>
      </w:pPr>
      <w:r>
        <w:t>khả năng áp dụng và hạn chế của, 19–21</w:t>
      </w:r>
      <w:bookmarkEnd w:id="7858"/>
    </w:p>
    <w:p>
      <w:bookmarkStart w:id="7859" w:name="basis_for__14"/>
      <w:pPr>
        <w:pStyle w:val="Para 01"/>
        <w:keepLines w:val="on"/>
      </w:pPr>
      <w:r>
        <w:t>cơ sở cho, 14</w:t>
      </w:r>
      <w:bookmarkEnd w:id="7859"/>
    </w:p>
    <w:p>
      <w:bookmarkStart w:id="7860" w:name="cash_flow_return_on_investment_a"/>
      <w:pPr>
        <w:pStyle w:val="Para 01"/>
        <w:keepLines w:val="on"/>
      </w:pPr>
      <w:r>
        <w:t>tỷ suất sinh lời trên vốn đầu tư bằng dòng tiền và, 1025–1027</w:t>
      </w:r>
      <w:bookmarkEnd w:id="7860"/>
    </w:p>
    <w:p>
      <w:bookmarkStart w:id="7861" w:name="categorizing__14_18"/>
      <w:pPr>
        <w:pStyle w:val="Para 01"/>
        <w:keepLines w:val="on"/>
      </w:pPr>
      <w:r>
        <w:t>phân loại, 14–18</w:t>
      </w:r>
      <w:bookmarkEnd w:id="7861"/>
    </w:p>
    <w:p>
      <w:bookmarkStart w:id="7862" w:name="distress_adjusted__722_726"/>
      <w:pPr>
        <w:pStyle w:val="Para 01"/>
        <w:keepLines w:val="on"/>
      </w:pPr>
      <w:r>
        <w:t>điều chỉnh theo tình trạng kiệt quệ, 722–726</w:t>
      </w:r>
      <w:bookmarkEnd w:id="7862"/>
    </w:p>
    <w:p>
      <w:bookmarkStart w:id="7863" w:name="dividend_discount_models_and__66"/>
      <w:pPr>
        <w:pStyle w:val="Para 01"/>
        <w:keepLines w:val="on"/>
      </w:pPr>
      <w:r>
        <w:t>mô hình chiết khấu cổ tức và, 660–668</w:t>
      </w:r>
      <w:bookmarkEnd w:id="7863"/>
    </w:p>
    <w:p>
      <w:bookmarkStart w:id="7864" w:name="economic_value_added_and__1010_1"/>
      <w:pPr>
        <w:pStyle w:val="Para 01"/>
        <w:keepLines w:val="on"/>
      </w:pPr>
      <w:r>
        <w:t>giá trị kinh tế gia tăng và, 1010–1017</w:t>
      </w:r>
      <w:bookmarkEnd w:id="7864"/>
    </w:p>
    <w:p>
      <w:bookmarkStart w:id="7865" w:name="expansion_option_and__945"/>
      <w:pPr>
        <w:pStyle w:val="Para 01"/>
        <w:keepLines w:val="on"/>
      </w:pPr>
      <w:r>
        <w:t>quyền chọn mở rộng và, 945</w:t>
      </w:r>
      <w:bookmarkEnd w:id="7865"/>
    </w:p>
    <w:p>
      <w:bookmarkStart w:id="7866" w:name="explanation_of__660"/>
      <w:pPr>
        <w:pStyle w:val="Para 01"/>
        <w:keepLines w:val="on"/>
      </w:pPr>
      <w:r>
        <w:t>giải thích về, 660</w:t>
      </w:r>
      <w:bookmarkEnd w:id="7866"/>
    </w:p>
    <w:p>
      <w:bookmarkStart w:id="7867" w:name="for_financial_service_firms__660"/>
      <w:pPr>
        <w:pStyle w:val="Para 01"/>
        <w:keepLines w:val="on"/>
      </w:pPr>
      <w:r>
        <w:t>đối với các công ty dịch vụ tài chính, 660–675</w:t>
      </w:r>
      <w:bookmarkEnd w:id="7867"/>
    </w:p>
    <w:p>
      <w:bookmarkStart w:id="7868" w:name="limitations_of__859"/>
      <w:pPr>
        <w:pStyle w:val="Para 01"/>
        <w:keepLines w:val="on"/>
      </w:pPr>
      <w:r>
        <w:t>những hạn chế của, 859</w:t>
      </w:r>
      <w:bookmarkEnd w:id="7868"/>
    </w:p>
    <w:p>
      <w:bookmarkStart w:id="7869" w:name="philosophical_divide_between_pri"/>
      <w:pPr>
        <w:pStyle w:val="Para 01"/>
        <w:keepLines w:val="on"/>
      </w:pPr>
      <w:r>
        <w:t>sự chia rẽ về mặt triết lý giữa mô hình định giá và, 1069–1070</w:t>
      </w:r>
      <w:bookmarkEnd w:id="7869"/>
    </w:p>
    <w:p>
      <w:bookmarkStart w:id="7870" w:name="price_earnings_ratios_and__537_5"/>
      <w:pPr>
        <w:pStyle w:val="Para 01"/>
        <w:keepLines w:val="on"/>
      </w:pPr>
      <w:r>
        <w:t>tỷ lệ giá trên thu nhập và, 537–540</w:t>
      </w:r>
      <w:bookmarkEnd w:id="7870"/>
    </w:p>
    <w:p>
      <w:bookmarkStart w:id="7871" w:name="for_real_estate_valuation__854_8"/>
      <w:pPr>
        <w:pStyle w:val="Para 01"/>
        <w:keepLines w:val="on"/>
      </w:pPr>
      <w:r>
        <w:t>đối với định giá bất động sản, 854–859</w:t>
      </w:r>
      <w:bookmarkEnd w:id="7871"/>
    </w:p>
    <w:p>
      <w:bookmarkStart w:id="7872" w:name="relative_valuation_and__530"/>
      <w:pPr>
        <w:pStyle w:val="Para 01"/>
        <w:keepLines w:val="on"/>
      </w:pPr>
      <w:r>
        <w:t>định giá tương đối và, 530</w:t>
      </w:r>
      <w:bookmarkEnd w:id="7872"/>
    </w:p>
    <w:p>
      <w:bookmarkStart w:id="7873" w:name="underpinnings_of__14"/>
      <w:pPr>
        <w:pStyle w:val="Para 01"/>
        <w:keepLines w:val="on"/>
      </w:pPr>
      <w:r>
        <w:t>nền tảng của, 14</w:t>
      </w:r>
      <w:bookmarkEnd w:id="7873"/>
    </w:p>
    <w:p>
      <w:bookmarkStart w:id="7874" w:name="Discount_rates__augmented_risk_m"/>
      <w:pPr>
        <w:pStyle w:val="Para 01"/>
        <w:keepLines w:val="on"/>
      </w:pPr>
      <w:r>
        <w:t>Tỷ lệ chiết khấu</w:t>
      </w:r>
      <w:bookmarkEnd w:id="7874"/>
    </w:p>
    <w:p>
      <w:bookmarkStart w:id="7875" w:name="augmented_risk_models_for__845_8"/>
      <w:pPr>
        <w:pStyle w:val="Para 01"/>
        <w:keepLines w:val="on"/>
      </w:pPr>
      <w:r>
        <w:t>các mô hình rủi ro gia tăng cho, 845–847</w:t>
      </w:r>
      <w:bookmarkEnd w:id="7875"/>
    </w:p>
    <w:p>
      <w:bookmarkStart w:id="7876" w:name="and_cash_flows__16_17"/>
      <w:pPr>
        <w:pStyle w:val="Para 01"/>
        <w:keepLines w:val="on"/>
      </w:pPr>
      <w:r>
        <w:t>và dòng tiền, 16–17</w:t>
      </w:r>
      <w:bookmarkEnd w:id="7876"/>
    </w:p>
    <w:p>
      <w:bookmarkStart w:id="7877" w:name="conventional_asset_pricing_appro"/>
      <w:pPr>
        <w:pStyle w:val="Para 01"/>
        <w:keepLines w:val="on"/>
      </w:pPr>
      <w:r>
        <w:t>cách tiếp cận định giá tài sản thông thường đối với, 844–845</w:t>
      </w:r>
      <w:bookmarkEnd w:id="7877"/>
    </w:p>
    <w:p>
      <w:bookmarkStart w:id="7878" w:name="decision_trees_and__1047"/>
      <w:pPr>
        <w:pStyle w:val="Para 01"/>
        <w:keepLines w:val="on"/>
      </w:pPr>
      <w:r>
        <w:t>cây quyết định và, 1047</w:t>
      </w:r>
      <w:bookmarkEnd w:id="7878"/>
    </w:p>
    <w:p>
      <w:bookmarkStart w:id="7879" w:name="estimation_of__843_850"/>
      <w:pPr>
        <w:pStyle w:val="Para 01"/>
        <w:keepLines w:val="on"/>
      </w:pPr>
      <w:r>
        <w:t>ước lượng, 843–850</w:t>
      </w:r>
      <w:bookmarkEnd w:id="7879"/>
    </w:p>
    <w:p>
      <w:bookmarkStart w:id="7880" w:name="for_private_firms__758_767"/>
      <w:pPr>
        <w:pStyle w:val="Para 01"/>
        <w:keepLines w:val="on"/>
      </w:pPr>
      <w:r>
        <w:t>đối với các công ty tư nhân, 758–767</w:t>
      </w:r>
      <w:bookmarkEnd w:id="7880"/>
    </w:p>
    <w:p>
      <w:bookmarkStart w:id="7881" w:name="in_real_estate_valuation__843_85"/>
      <w:pPr>
        <w:pStyle w:val="Para 01"/>
        <w:keepLines w:val="on"/>
      </w:pPr>
      <w:r>
        <w:t>trong định giá bất động sản, 843–850</w:t>
      </w:r>
      <w:bookmarkEnd w:id="7881"/>
    </w:p>
    <w:p>
      <w:bookmarkStart w:id="7882" w:name="risk_adjusted__1060"/>
      <w:pPr>
        <w:pStyle w:val="Para 01"/>
        <w:keepLines w:val="on"/>
      </w:pPr>
      <w:r>
        <w:t>điều chỉnh theo rủi ro, 1060</w:t>
      </w:r>
      <w:bookmarkEnd w:id="7882"/>
    </w:p>
    <w:p>
      <w:bookmarkStart w:id="7883" w:name="survey_approach_to__847_849"/>
      <w:pPr>
        <w:pStyle w:val="Para 01"/>
        <w:keepLines w:val="on"/>
      </w:pPr>
      <w:r>
        <w:t>cách tiếp cận khảo sát đối với, 847–849</w:t>
      </w:r>
      <w:bookmarkEnd w:id="7883"/>
    </w:p>
    <w:p>
      <w:bookmarkStart w:id="7884" w:name="in_takeover_valuations__819_820"/>
      <w:pPr>
        <w:pStyle w:val="Para 01"/>
        <w:keepLines w:val="on"/>
      </w:pPr>
      <w:r>
        <w:t>trong định giá thâu tóm, 819–820</w:t>
      </w:r>
      <w:bookmarkEnd w:id="7884"/>
    </w:p>
    <w:p>
      <w:bookmarkStart w:id="7885" w:name="for_young_or_start_up_firms__744"/>
      <w:pPr>
        <w:pStyle w:val="Para 01"/>
        <w:keepLines w:val="on"/>
      </w:pPr>
      <w:r>
        <w:t>đối với các công ty non trẻ hoặc mới khởi nghiệp, 744–746</w:t>
      </w:r>
      <w:bookmarkEnd w:id="7885"/>
    </w:p>
    <w:p>
      <w:bookmarkStart w:id="7886" w:name="Discounts__conglomerate__465_466"/>
      <w:pPr>
        <w:pStyle w:val="Para 01"/>
        <w:keepLines w:val="on"/>
      </w:pPr>
      <w:r>
        <w:t>Chiết khấu</w:t>
      </w:r>
      <w:bookmarkEnd w:id="7886"/>
    </w:p>
    <w:p>
      <w:bookmarkStart w:id="7887" w:name="conglomerate__465_466"/>
      <w:pPr>
        <w:pStyle w:val="Para 01"/>
        <w:keepLines w:val="on"/>
      </w:pPr>
      <w:r>
        <w:t>tập đoàn đa ngành, 465–466</w:t>
      </w:r>
      <w:bookmarkEnd w:id="7887"/>
    </w:p>
    <w:p>
      <w:bookmarkStart w:id="7888" w:name="for_float__750_751"/>
      <w:pPr>
        <w:pStyle w:val="Para 01"/>
        <w:keepLines w:val="on"/>
      </w:pPr>
      <w:r>
        <w:t>đối với lượng cổ phiếu tự do chuyển nhượng (float), 750–751</w:t>
      </w:r>
      <w:bookmarkEnd w:id="7888"/>
    </w:p>
    <w:p>
      <w:bookmarkStart w:id="7889" w:name="illiquidity__775_781"/>
      <w:pPr>
        <w:pStyle w:val="Para 01"/>
        <w:keepLines w:val="on"/>
      </w:pPr>
      <w:r>
        <w:t>tính kém thanh khoản, 775–781</w:t>
      </w:r>
      <w:bookmarkEnd w:id="7889"/>
    </w:p>
    <w:p>
      <w:bookmarkStart w:id="7890" w:name="on_marketable_securities__490_49"/>
      <w:pPr>
        <w:pStyle w:val="Para 01"/>
        <w:keepLines w:val="on"/>
      </w:pPr>
      <w:r>
        <w:t>trên chứng khoán thị trường, 490–491</w:t>
      </w:r>
      <w:bookmarkEnd w:id="7890"/>
    </w:p>
    <w:p>
      <w:bookmarkStart w:id="7891" w:name="Discrete_risk__1059"/>
      <w:pPr>
        <w:pStyle w:val="Para 01"/>
        <w:keepLines w:val="on"/>
      </w:pPr>
      <w:r>
        <w:t>Rủi ro rời rạc, 1059</w:t>
      </w:r>
      <w:bookmarkEnd w:id="7891"/>
    </w:p>
    <w:p>
      <w:bookmarkStart w:id="7892" w:name="Discretionary_products_and_servi"/>
      <w:pPr>
        <w:pStyle w:val="Para 01"/>
        <w:keepLines w:val="on"/>
      </w:pPr>
      <w:r>
        <w:t>Sản phẩm và dịch vụ tùy ý, 264</w:t>
      </w:r>
      <w:bookmarkEnd w:id="7892"/>
    </w:p>
    <w:p>
      <w:bookmarkStart w:id="7893" w:name="Disney__316__472_477"/>
      <w:pPr>
        <w:pStyle w:val="Para 01"/>
        <w:keepLines w:val="on"/>
      </w:pPr>
      <w:r>
        <w:t>Disney, 316, 472–477</w:t>
      </w:r>
      <w:bookmarkEnd w:id="7893"/>
    </w:p>
    <w:p>
      <w:bookmarkStart w:id="7894" w:name="Distress__probability_of__359_36"/>
      <w:pPr>
        <w:pStyle w:val="Para 01"/>
        <w:keepLines w:val="on"/>
      </w:pPr>
      <w:r>
        <w:t>Kiệt quệ, xác suất, 359–360</w:t>
      </w:r>
      <w:bookmarkEnd w:id="7894"/>
    </w:p>
    <w:p>
      <w:bookmarkStart w:id="7895" w:name="Distress_adjusted_discounted_cas"/>
      <w:pPr>
        <w:pStyle w:val="Para 01"/>
        <w:keepLines w:val="on"/>
      </w:pPr>
      <w:r>
        <w:t>Định giá dòng tiền chiết khấu điều chỉnh theo kiệt quệ, 722–726</w:t>
      </w:r>
      <w:bookmarkEnd w:id="7895"/>
    </w:p>
    <w:p>
      <w:bookmarkStart w:id="7896" w:name="Distressed_firms__consequences_o"/>
      <w:pPr>
        <w:pStyle w:val="Para 01"/>
        <w:keepLines w:val="on"/>
      </w:pPr>
      <w:r>
        <w:t>Các công ty kiệt quệ</w:t>
      </w:r>
      <w:bookmarkEnd w:id="7896"/>
    </w:p>
    <w:p>
      <w:bookmarkStart w:id="7897" w:name="consequences_of_option_pricing_f"/>
      <w:pPr>
        <w:pStyle w:val="Para 01"/>
        <w:keepLines w:val="on"/>
      </w:pPr>
      <w:r>
        <w:t>hệ quả của định giá quyền chọn đối với chúng, 972–975</w:t>
      </w:r>
      <w:bookmarkEnd w:id="7897"/>
    </w:p>
    <w:p>
      <w:bookmarkStart w:id="7898" w:name="equity_in__959_961"/>
      <w:pPr>
        <w:pStyle w:val="Para 01"/>
        <w:keepLines w:val="on"/>
      </w:pPr>
      <w:r>
        <w:t>vốn chủ sở hữu trong đó, 959–961</w:t>
      </w:r>
      <w:bookmarkEnd w:id="7898"/>
    </w:p>
    <w:p>
      <w:bookmarkStart w:id="7899" w:name="estimating_value_of_equity_as_op"/>
      <w:pPr>
        <w:pStyle w:val="Para 01"/>
        <w:keepLines w:val="on"/>
      </w:pPr>
      <w:r>
        <w:t>ước tính giá trị vốn chủ sở hữu như một quyền chọn trong đó, 966–972</w:t>
      </w:r>
      <w:bookmarkEnd w:id="7899"/>
    </w:p>
    <w:p>
      <w:bookmarkStart w:id="7900" w:name="life_cycle_perspective_on_option"/>
      <w:pPr>
        <w:pStyle w:val="Para 01"/>
        <w:keepLines w:val="on"/>
      </w:pPr>
      <w:r>
        <w:t>góc nhìn vòng đời về tính quyền chọn và, 961–963</w:t>
      </w:r>
      <w:bookmarkEnd w:id="7900"/>
    </w:p>
    <w:p>
      <w:bookmarkStart w:id="7901" w:name="viewing_equity_as_option_in__963"/>
      <w:pPr>
        <w:pStyle w:val="Para 01"/>
        <w:keepLines w:val="on"/>
      </w:pPr>
      <w:r>
        <w:t>xem vốn chủ sở hữu như một quyền chọn trong đó, 963–966</w:t>
      </w:r>
      <w:bookmarkEnd w:id="7901"/>
    </w:p>
    <w:p>
      <w:bookmarkStart w:id="7902" w:name="Distributional_characteristics"/>
      <w:pPr>
        <w:pStyle w:val="Para 01"/>
        <w:keepLines w:val="on"/>
      </w:pPr>
      <w:r>
        <w:t>Đặc điểm phân phối, của các bội số, 520–521</w:t>
      </w:r>
      <w:bookmarkEnd w:id="7902"/>
    </w:p>
    <w:p>
      <w:bookmarkStart w:id="7903" w:name="Diversifiable_risk__65_67"/>
      <w:pPr>
        <w:pStyle w:val="Para 01"/>
        <w:keepLines w:val="on"/>
      </w:pPr>
      <w:r>
        <w:t>Rủi ro có thể đa dạng hóa, 65–67</w:t>
      </w:r>
      <w:bookmarkEnd w:id="7903"/>
    </w:p>
    <w:p>
      <w:bookmarkStart w:id="7904" w:name="Diversification__acquisition_for"/>
      <w:pPr>
        <w:pStyle w:val="Para 01"/>
        <w:keepLines w:val="on"/>
      </w:pPr>
      <w:r>
        <w:t>Đa dạng hóa</w:t>
      </w:r>
      <w:bookmarkEnd w:id="7904"/>
    </w:p>
    <w:p>
      <w:bookmarkStart w:id="7905" w:name="acquisition_for__800__813_814"/>
      <w:pPr>
        <w:pStyle w:val="Para 01"/>
        <w:keepLines w:val="on"/>
      </w:pPr>
      <w:r>
        <w:t>mua lại để, 800, 813–814</w:t>
      </w:r>
      <w:bookmarkEnd w:id="7905"/>
    </w:p>
    <w:p>
      <w:bookmarkStart w:id="7906" w:name="arbitrage_pricing_model_and__72_1"/>
      <w:pPr>
        <w:pStyle w:val="Para 01"/>
        <w:keepLines w:val="on"/>
      </w:pPr>
      <w:r>
        <w:t>mô hình định giá chênh lệch giá và, 72</w:t>
      </w:r>
      <w:bookmarkEnd w:id="7906"/>
    </w:p>
    <w:p>
      <w:bookmarkStart w:id="7907" w:name="for_investors_in_private_firms"/>
      <w:pPr>
        <w:pStyle w:val="Para 01"/>
        <w:keepLines w:val="on"/>
      </w:pPr>
      <w:r>
        <w:t>cho nhà đầu tư vào các công ty tư nhân, 792</w:t>
      </w:r>
      <w:bookmarkEnd w:id="7907"/>
    </w:p>
    <w:p>
      <w:bookmarkStart w:id="7908" w:name="for_investors_in_young_or_start"/>
      <w:pPr>
        <w:pStyle w:val="Para 01"/>
        <w:keepLines w:val="on"/>
      </w:pPr>
      <w:r>
        <w:t>cho nhà đầu tư vào các công ty non trẻ hoặc khởi nghiệp, 752–753</w:t>
      </w:r>
      <w:bookmarkEnd w:id="7908"/>
    </w:p>
    <w:p>
      <w:bookmarkStart w:id="7909" w:name="for_private_equity_investors__73"/>
      <w:pPr>
        <w:pStyle w:val="Para 01"/>
        <w:keepLines w:val="on"/>
      </w:pPr>
      <w:r>
        <w:t>cho nhà đầu tư vốn cổ phần tư nhân, 738</w:t>
      </w:r>
      <w:bookmarkEnd w:id="7909"/>
    </w:p>
    <w:p>
      <w:bookmarkStart w:id="7910" w:name="in_real_estate__844__846__849_85"/>
      <w:pPr>
        <w:pStyle w:val="Para 01"/>
        <w:keepLines w:val="on"/>
      </w:pPr>
      <w:r>
        <w:t>trong bất động sản, 844, 846, 849–850</w:t>
      </w:r>
      <w:bookmarkEnd w:id="7910"/>
    </w:p>
    <w:p>
      <w:bookmarkStart w:id="7911" w:name="risk_and__68"/>
      <w:pPr>
        <w:pStyle w:val="Para 01"/>
        <w:keepLines w:val="on"/>
      </w:pPr>
      <w:r>
        <w:t>rủi ro và, 68</w:t>
      </w:r>
      <w:bookmarkEnd w:id="7911"/>
    </w:p>
    <w:p>
      <w:bookmarkStart w:id="7912" w:name="Divestitures__260__979_981"/>
      <w:pPr>
        <w:pStyle w:val="Para 01"/>
        <w:keepLines w:val="on"/>
      </w:pPr>
      <w:r>
        <w:t>Thoái vốn, 260, 979–981</w:t>
      </w:r>
      <w:bookmarkEnd w:id="7912"/>
    </w:p>
    <w:p>
      <w:bookmarkStart w:id="7913" w:name="Dividend_discount_model__DDM___a"/>
      <w:pPr>
        <w:pStyle w:val="Para 01"/>
        <w:keepLines w:val="on"/>
      </w:pPr>
      <w:r>
        <w:t>Mô hình chiết khấu cổ tức (DDM)</w:t>
      </w:r>
      <w:bookmarkEnd w:id="7913"/>
    </w:p>
    <w:p>
      <w:bookmarkStart w:id="7914" w:name="augmented__404_408"/>
      <w:pPr>
        <w:pStyle w:val="Para 01"/>
        <w:keepLines w:val="on"/>
      </w:pPr>
      <w:r>
        <w:t>mở rộng, 404–408</w:t>
      </w:r>
      <w:bookmarkEnd w:id="7914"/>
    </w:p>
    <w:p>
      <w:bookmarkStart w:id="7915" w:name="basic__661"/>
      <w:pPr>
        <w:pStyle w:val="Para 01"/>
        <w:keepLines w:val="on"/>
      </w:pPr>
      <w:r>
        <w:t>cơ bản, 661</w:t>
      </w:r>
      <w:bookmarkEnd w:id="7915"/>
    </w:p>
    <w:p>
      <w:bookmarkStart w:id="7916" w:name="cost_of_equity_in__661_662"/>
      <w:pPr>
        <w:pStyle w:val="Para 01"/>
        <w:keepLines w:val="on"/>
      </w:pPr>
      <w:r>
        <w:t>chi phí vốn chủ sở hữu (cost of equity) trong mô hình này, 661–662</w:t>
      </w:r>
      <w:bookmarkEnd w:id="7916"/>
    </w:p>
    <w:p>
      <w:bookmarkStart w:id="7917" w:name="expected_growth_and__663"/>
      <w:pPr>
        <w:pStyle w:val="Para 01"/>
        <w:keepLines w:val="on"/>
      </w:pPr>
      <w:r>
        <w:t>tăng trưởng kỳ vọng và, 663</w:t>
      </w:r>
      <w:bookmarkEnd w:id="7917"/>
    </w:p>
    <w:p>
      <w:bookmarkStart w:id="7918" w:name="FCFE_model_vs___428_430"/>
      <w:pPr>
        <w:pStyle w:val="Para 01"/>
        <w:keepLines w:val="on"/>
      </w:pPr>
      <w:r>
        <w:t>mô hình FCFE so với, 428–430</w:t>
      </w:r>
      <w:bookmarkEnd w:id="7918"/>
    </w:p>
    <w:p>
      <w:bookmarkStart w:id="7919" w:name="for_financial_service_firms__660_1"/>
      <w:pPr>
        <w:pStyle w:val="Para 01"/>
        <w:keepLines w:val="on"/>
      </w:pPr>
      <w:r>
        <w:t>đối với các công ty dịch vụ tài chính, 660–668</w:t>
      </w:r>
      <w:bookmarkEnd w:id="7919"/>
    </w:p>
    <w:p>
      <w:bookmarkStart w:id="7920" w:name="Gordon_growth_model__389_393"/>
      <w:pPr>
        <w:pStyle w:val="Para 01"/>
        <w:keepLines w:val="on"/>
      </w:pPr>
      <w:r>
        <w:t>mô hình tăng trưởng Gordon, 389–393</w:t>
      </w:r>
      <w:bookmarkEnd w:id="7920"/>
    </w:p>
    <w:p>
      <w:bookmarkStart w:id="7921" w:name="high_growth__665_667"/>
      <w:pPr>
        <w:pStyle w:val="Para 01"/>
        <w:keepLines w:val="on"/>
      </w:pPr>
      <w:r>
        <w:t>tăng trưởng cao, 665–667</w:t>
      </w:r>
      <w:bookmarkEnd w:id="7921"/>
    </w:p>
    <w:p>
      <w:bookmarkStart w:id="7922" w:name="H_model_for_valuing_growth__399"/>
      <w:pPr>
        <w:pStyle w:val="Para 01"/>
        <w:keepLines w:val="on"/>
      </w:pPr>
      <w:r>
        <w:t>mô hình H để định giá tăng trưởng, 399–400</w:t>
      </w:r>
      <w:bookmarkEnd w:id="7922"/>
    </w:p>
    <w:p>
      <w:bookmarkStart w:id="7923" w:name="and_implied_growth_rate__392_393"/>
      <w:pPr>
        <w:pStyle w:val="Para 01"/>
        <w:keepLines w:val="on"/>
      </w:pPr>
      <w:r>
        <w:t>và tốc độ tăng trưởng ngụ ý, 392–393</w:t>
      </w:r>
      <w:bookmarkEnd w:id="7923"/>
    </w:p>
    <w:p>
      <w:bookmarkStart w:id="7924" w:name="inputs_to__661_664"/>
      <w:pPr>
        <w:pStyle w:val="Para 01"/>
        <w:keepLines w:val="on"/>
      </w:pPr>
      <w:r>
        <w:t>các đầu vào của mô hình, 661–664</w:t>
      </w:r>
      <w:bookmarkEnd w:id="7924"/>
    </w:p>
    <w:p>
      <w:bookmarkStart w:id="7925" w:name="for_non_dividend_paying_financia"/>
      <w:pPr>
        <w:pStyle w:val="Para 01"/>
        <w:keepLines w:val="on"/>
      </w:pPr>
      <w:r>
        <w:t>đối với các công ty dịch vụ tài chính không trả cổ tức, 667–668</w:t>
      </w:r>
      <w:bookmarkEnd w:id="7925"/>
    </w:p>
    <w:p>
      <w:bookmarkStart w:id="7926" w:name="payout_ratios_in__662"/>
      <w:pPr>
        <w:pStyle w:val="Para 01"/>
        <w:keepLines w:val="on"/>
      </w:pPr>
      <w:r>
        <w:t>tỷ lệ chi trả (payout ratios) trong mô hình này, 662</w:t>
      </w:r>
      <w:bookmarkEnd w:id="7926"/>
    </w:p>
    <w:p>
      <w:bookmarkStart w:id="7927" w:name="price_to_book_ratio_and__585_586"/>
      <w:pPr>
        <w:pStyle w:val="Para 01"/>
        <w:keepLines w:val="on"/>
      </w:pPr>
      <w:r>
        <w:t>tỷ lệ giá trên giá trị sổ sách (price-to-book ratio) và, 585–586</w:t>
      </w:r>
      <w:bookmarkEnd w:id="7927"/>
    </w:p>
    <w:p>
      <w:bookmarkStart w:id="7928" w:name="price_to_sales_ratio_from__616_6"/>
      <w:pPr>
        <w:pStyle w:val="Para 01"/>
        <w:keepLines w:val="on"/>
      </w:pPr>
      <w:r>
        <w:t>tỷ lệ giá trên doanh thu (price-to-sales ratio) từ mô hình này, 616–618</w:t>
      </w:r>
      <w:bookmarkEnd w:id="7928"/>
    </w:p>
    <w:p>
      <w:bookmarkStart w:id="7929" w:name="stable_growth__663_665"/>
      <w:pPr>
        <w:pStyle w:val="Para 01"/>
        <w:keepLines w:val="on"/>
      </w:pPr>
      <w:r>
        <w:t>tăng trưởng ổn định, 663–665</w:t>
      </w:r>
      <w:bookmarkEnd w:id="7929"/>
    </w:p>
    <w:p>
      <w:bookmarkStart w:id="7930" w:name="three_stage__400_404"/>
      <w:pPr>
        <w:pStyle w:val="Para 01"/>
        <w:keepLines w:val="on"/>
      </w:pPr>
      <w:r>
        <w:t>ba giai đoạn, 400–404</w:t>
      </w:r>
      <w:bookmarkEnd w:id="7930"/>
    </w:p>
    <w:p>
      <w:bookmarkStart w:id="7931" w:name="two_stage__393_399"/>
      <w:pPr>
        <w:pStyle w:val="Para 01"/>
        <w:keepLines w:val="on"/>
      </w:pPr>
      <w:r>
        <w:t>hai giai đoạn, 393–399</w:t>
      </w:r>
      <w:bookmarkEnd w:id="7931"/>
    </w:p>
    <w:p>
      <w:bookmarkStart w:id="7932" w:name="versions_of__388_389"/>
      <w:pPr>
        <w:pStyle w:val="Para 01"/>
        <w:keepLines w:val="on"/>
      </w:pPr>
      <w:r>
        <w:t>các phiên bản của mô hình, 388–389</w:t>
      </w:r>
      <w:bookmarkEnd w:id="7932"/>
    </w:p>
    <w:p>
      <w:bookmarkStart w:id="7933" w:name="Dividends__Black_Scholes_model_a"/>
      <w:pPr>
        <w:pStyle w:val="Para 01"/>
        <w:keepLines w:val="on"/>
      </w:pPr>
      <w:r>
        <w:t>Cổ tức</w:t>
      </w:r>
      <w:bookmarkEnd w:id="7933"/>
    </w:p>
    <w:p>
      <w:bookmarkStart w:id="7934" w:name="Black_Scholes_model_and__100_102"/>
      <w:pPr>
        <w:pStyle w:val="Para 01"/>
        <w:keepLines w:val="on"/>
      </w:pPr>
      <w:r>
        <w:t>mô hình Black–Scholes và, 100–102</w:t>
      </w:r>
      <w:bookmarkEnd w:id="7934"/>
    </w:p>
    <w:p>
      <w:bookmarkStart w:id="7935" w:name="financial_service_firms_that_do"/>
      <w:pPr>
        <w:pStyle w:val="Para 01"/>
        <w:keepLines w:val="on"/>
      </w:pPr>
      <w:r>
        <w:t>các công ty dịch vụ tài chính không trả cổ tức, 667–668</w:t>
      </w:r>
      <w:bookmarkEnd w:id="7935"/>
    </w:p>
    <w:p>
      <w:bookmarkStart w:id="7936" w:name="free_cash_flow_to_equity_vs___41"/>
      <w:pPr>
        <w:pStyle w:val="Para 01"/>
        <w:keepLines w:val="on"/>
      </w:pPr>
      <w:r>
        <w:t>dòng tiền tự do cho vốn chủ sở hữu (free cash flow to equity) so với cổ tức, 411</w:t>
      </w:r>
      <w:bookmarkEnd w:id="7936"/>
    </w:p>
    <w:p>
      <w:bookmarkStart w:id="7937" w:name="preferred__409_410"/>
      <w:pPr>
        <w:pStyle w:val="Para 01"/>
        <w:keepLines w:val="on"/>
      </w:pPr>
      <w:r>
        <w:t>cổ tức ưu đãi, 409–410</w:t>
      </w:r>
      <w:bookmarkEnd w:id="7937"/>
    </w:p>
    <w:p>
      <w:bookmarkStart w:id="7939" w:name="for_real_estate_businesses__864"/>
      <w:pPr>
        <w:pStyle w:val="Para 01"/>
        <w:keepLines w:val="on"/>
      </w:pPr>
      <w:r>
        <w:t>đối với các doanh nghiệp bất động sản, 864</w:t>
      </w:r>
      <w:bookmarkEnd w:id="7939"/>
    </w:p>
    <w:p>
      <w:bookmarkStart w:id="7940" w:name="on_underlying_asset__93"/>
      <w:pPr>
        <w:pStyle w:val="Para 01"/>
        <w:keepLines w:val="on"/>
      </w:pPr>
      <w:r>
        <w:t>đối với tài sản cơ sở, 93</w:t>
      </w:r>
      <w:bookmarkEnd w:id="7940"/>
    </w:p>
    <w:p>
      <w:bookmarkStart w:id="7941" w:name="value_neutral_actions_related_to"/>
      <w:pPr>
        <w:pStyle w:val="Para 01"/>
        <w:keepLines w:val="on"/>
      </w:pPr>
      <w:r>
        <w:t>Các hành động trung lập về giá trị liên quan đến, 977</w:t>
      </w:r>
      <w:bookmarkEnd w:id="7941"/>
    </w:p>
    <w:p>
      <w:bookmarkStart w:id="7942" w:name="Dividend_yield__for_natural_reso"/>
      <w:pPr>
        <w:pStyle w:val="Para 01"/>
        <w:keepLines w:val="on"/>
      </w:pPr>
      <w:r>
        <w:t>Tỷ suất cổ tức (dividend yield), đối với tài nguyên thiên nhiên, 929</w:t>
      </w:r>
      <w:bookmarkEnd w:id="7942"/>
    </w:p>
    <w:p>
      <w:bookmarkStart w:id="7943" w:name="Double_counting_assets__499"/>
      <w:pPr>
        <w:pStyle w:val="Para 01"/>
        <w:keepLines w:val="on"/>
      </w:pPr>
      <w:r>
        <w:t>Tính trùng tài sản, 499</w:t>
      </w:r>
      <w:bookmarkEnd w:id="7943"/>
    </w:p>
    <w:p>
      <w:bookmarkStart w:id="7944" w:name="Double_counting_options__1077"/>
      <w:pPr>
        <w:pStyle w:val="Para 01"/>
        <w:keepLines w:val="on"/>
      </w:pPr>
      <w:r>
        <w:t>Tính trùng quyền chọn, 1077</w:t>
      </w:r>
      <w:bookmarkEnd w:id="7944"/>
    </w:p>
    <w:p>
      <w:bookmarkStart w:id="7945" w:name="Double_counting_risk__174__1036"/>
      <w:pPr>
        <w:pStyle w:val="Para 01"/>
        <w:keepLines w:val="on"/>
      </w:pPr>
      <w:r>
        <w:t>Tính trùng rủi ro, 174, 1036, 1046</w:t>
      </w:r>
      <w:bookmarkEnd w:id="7945"/>
    </w:p>
    <w:p>
      <w:bookmarkStart w:id="7946" w:name="Dynamic_response_to_risk__1044"/>
      <w:pPr>
        <w:pStyle w:val="Para 01"/>
        <w:keepLines w:val="on"/>
      </w:pPr>
      <w:r>
        <w:t>Phản ứng động đối với rủi ro, 1044</w:t>
      </w:r>
      <w:bookmarkEnd w:id="7946"/>
    </w:p>
    <w:p>
      <w:bookmarkStart w:id="7947" w:name="E"/>
      <w:bookmarkStart w:id="7948" w:name="E___Early_exercise__options__102"/>
      <w:pPr>
        <w:keepNext/>
        <w:pStyle w:val="Para 50"/>
        <w:keepLines w:val="on"/>
      </w:pPr>
      <w:r>
        <w:t>E</w:t>
      </w:r>
      <w:bookmarkEnd w:id="7947"/>
      <w:bookmarkEnd w:id="7948"/>
    </w:p>
    <w:p>
      <w:bookmarkStart w:id="7949" w:name="Early_exercise__options__102_105"/>
      <w:pPr>
        <w:pStyle w:val="Para 01"/>
        <w:keepLines w:val="on"/>
      </w:pPr>
      <w:r>
        <w:t>Thực hiện sớm (early exercise), quyền chọn, 102–105</w:t>
      </w:r>
      <w:bookmarkEnd w:id="7949"/>
    </w:p>
    <w:p>
      <w:bookmarkStart w:id="7950" w:name="Earnings__See_also_Negative_earn"/>
      <w:pPr>
        <w:pStyle w:val="Para 10"/>
        <w:keepLines w:val="on"/>
      </w:pPr>
      <w:r>
        <w:t>Thu nhập. Xem thêm Thu nhập âm</w:t>
      </w:r>
      <w:bookmarkEnd w:id="7950"/>
    </w:p>
    <w:p>
      <w:bookmarkStart w:id="7951" w:name="abnormally_low__696_697"/>
      <w:pPr>
        <w:pStyle w:val="Para 01"/>
        <w:keepLines w:val="on"/>
      </w:pPr>
      <w:r>
        <w:t>thấp bất thường, 696–697</w:t>
      </w:r>
      <w:bookmarkEnd w:id="7951"/>
    </w:p>
    <w:p>
      <w:bookmarkStart w:id="7952" w:name="accounting_data__financial_infor"/>
      <w:pPr>
        <w:pStyle w:val="Para 01"/>
        <w:keepLines w:val="on"/>
      </w:pPr>
      <w:r>
        <w:t>dữ liệu kế toán, thông tin tài chính, và, 241–243</w:t>
      </w:r>
      <w:bookmarkEnd w:id="7952"/>
    </w:p>
    <w:p>
      <w:bookmarkStart w:id="7953" w:name="accounting_principles_and__44"/>
      <w:pPr>
        <w:pStyle w:val="Para 01"/>
        <w:keepLines w:val="on"/>
      </w:pPr>
      <w:r>
        <w:t>các nguyên tắc kế toán và, 44</w:t>
      </w:r>
      <w:bookmarkEnd w:id="7953"/>
    </w:p>
    <w:p>
      <w:bookmarkStart w:id="7954" w:name="adjustment_of__243_256"/>
      <w:pPr>
        <w:pStyle w:val="Para 01"/>
        <w:keepLines w:val="on"/>
      </w:pPr>
      <w:r>
        <w:t>điều chỉnh, 243–256</w:t>
      </w:r>
      <w:bookmarkEnd w:id="7954"/>
    </w:p>
    <w:p>
      <w:bookmarkStart w:id="7955" w:name="announcements_of__133_136"/>
      <w:pPr>
        <w:pStyle w:val="Para 01"/>
        <w:keepLines w:val="on"/>
      </w:pPr>
      <w:r>
        <w:t>các thông báo về, 133–136</w:t>
      </w:r>
      <w:bookmarkEnd w:id="7955"/>
    </w:p>
    <w:p>
      <w:bookmarkStart w:id="7956" w:name="average_absolute__265"/>
      <w:pPr>
        <w:pStyle w:val="Para 01"/>
        <w:keepLines w:val="on"/>
      </w:pPr>
      <w:r>
        <w:t>giá trị tuyệt đối trung bình, 265</w:t>
      </w:r>
      <w:bookmarkEnd w:id="7956"/>
    </w:p>
    <w:p>
      <w:bookmarkStart w:id="7957" w:name="average_scaled__265"/>
      <w:pPr>
        <w:pStyle w:val="Para 01"/>
        <w:keepLines w:val="on"/>
      </w:pPr>
      <w:r>
        <w:t>giá trị điều chỉnh theo quy mô trung bình, 265</w:t>
      </w:r>
      <w:bookmarkEnd w:id="7957"/>
    </w:p>
    <w:p>
      <w:bookmarkStart w:id="7958" w:name="cash_flows_vs___671_672"/>
      <w:pPr>
        <w:pStyle w:val="Para 01"/>
        <w:keepLines w:val="on"/>
      </w:pPr>
      <w:r>
        <w:t>dòng tiền so với, 671–672</w:t>
      </w:r>
      <w:bookmarkEnd w:id="7958"/>
    </w:p>
    <w:p>
      <w:bookmarkStart w:id="7959" w:name="correcting_misclassification_of"/>
      <w:pPr>
        <w:pStyle w:val="Para 01"/>
        <w:keepLines w:val="on"/>
      </w:pPr>
      <w:r>
        <w:t>sửa chữa việc phân loại sai, 242–252</w:t>
      </w:r>
      <w:bookmarkEnd w:id="7959"/>
    </w:p>
    <w:p>
      <w:bookmarkStart w:id="7960" w:name="current__1071_1072"/>
      <w:pPr>
        <w:pStyle w:val="Para 01"/>
        <w:keepLines w:val="on"/>
      </w:pPr>
      <w:r>
        <w:t>hiện tại, 1071–1072</w:t>
      </w:r>
      <w:bookmarkEnd w:id="7960"/>
    </w:p>
    <w:p>
      <w:bookmarkStart w:id="7961" w:name="growth_in_equity__311_317"/>
      <w:pPr>
        <w:pStyle w:val="Para 01"/>
        <w:keepLines w:val="on"/>
      </w:pPr>
      <w:r>
        <w:t>tăng trưởng vốn chủ sở hữu, 311–317</w:t>
      </w:r>
      <w:bookmarkEnd w:id="7961"/>
    </w:p>
    <w:p>
      <w:bookmarkStart w:id="7962" w:name="importance_of_updating__242_244"/>
      <w:pPr>
        <w:pStyle w:val="Para 01"/>
        <w:keepLines w:val="on"/>
      </w:pPr>
      <w:r>
        <w:t>tầm quan trọng của việc cập nhật, 242–244</w:t>
      </w:r>
      <w:bookmarkEnd w:id="7962"/>
    </w:p>
    <w:p>
      <w:bookmarkStart w:id="7963" w:name="industry_average__265"/>
      <w:pPr>
        <w:pStyle w:val="Para 01"/>
        <w:keepLines w:val="on"/>
      </w:pPr>
      <w:r>
        <w:t>trung bình ngành, 265</w:t>
      </w:r>
      <w:bookmarkEnd w:id="7963"/>
    </w:p>
    <w:p>
      <w:bookmarkStart w:id="7964" w:name="life_cycle__727_728"/>
      <w:pPr>
        <w:pStyle w:val="Para 01"/>
        <w:keepLines w:val="on"/>
      </w:pPr>
      <w:r>
        <w:t>vòng đời, 727–728</w:t>
      </w:r>
      <w:bookmarkEnd w:id="7964"/>
    </w:p>
    <w:p>
      <w:bookmarkStart w:id="7965" w:name="managed__256_259"/>
      <w:pPr>
        <w:pStyle w:val="Para 01"/>
        <w:keepLines w:val="on"/>
      </w:pPr>
      <w:r>
        <w:t>được quản lý, 256–259</w:t>
      </w:r>
      <w:bookmarkEnd w:id="7965"/>
    </w:p>
    <w:p>
      <w:bookmarkStart w:id="7966" w:name="measuring__44_46"/>
      <w:pPr>
        <w:pStyle w:val="Para 01"/>
        <w:keepLines w:val="on"/>
      </w:pPr>
      <w:r>
        <w:t>đo lường, 44–46</w:t>
      </w:r>
      <w:bookmarkEnd w:id="7966"/>
    </w:p>
    <w:p>
      <w:bookmarkStart w:id="7967" w:name="quality_of_forecasts_of__309_310"/>
      <w:pPr>
        <w:pStyle w:val="Para 01"/>
        <w:keepLines w:val="on"/>
      </w:pPr>
      <w:r>
        <w:t>chất lượng của các dự báo, 309–310</w:t>
      </w:r>
      <w:bookmarkEnd w:id="7967"/>
    </w:p>
    <w:p>
      <w:bookmarkStart w:id="7968" w:name="time_variations_in__264_265"/>
      <w:pPr>
        <w:pStyle w:val="Para 01"/>
        <w:keepLines w:val="on"/>
      </w:pPr>
      <w:r>
        <w:t>biến động theo thời gian của, 264–265</w:t>
      </w:r>
      <w:bookmarkEnd w:id="7968"/>
    </w:p>
    <w:p>
      <w:bookmarkStart w:id="7969" w:name="volatility_of__264_265__534"/>
      <w:pPr>
        <w:pStyle w:val="Para 01"/>
        <w:keepLines w:val="on"/>
      </w:pPr>
      <w:r>
        <w:t>độ biến động của, 264–265, 534</w:t>
      </w:r>
      <w:bookmarkEnd w:id="7969"/>
    </w:p>
    <w:p>
      <w:bookmarkStart w:id="7970" w:name="whispered__256_257"/>
      <w:pPr>
        <w:pStyle w:val="Para 01"/>
        <w:keepLines w:val="on"/>
      </w:pPr>
      <w:r>
        <w:t>được đồn thổi, 256–257</w:t>
      </w:r>
      <w:bookmarkEnd w:id="7970"/>
    </w:p>
    <w:p>
      <w:bookmarkStart w:id="7971" w:name="Earnings_before_interest__taxes"/>
      <w:pPr>
        <w:pStyle w:val="Para 01"/>
        <w:keepLines w:val="on"/>
      </w:pPr>
      <w:r>
        <w:t>Lợi nhuận trước lãi vay, thuế, khấu hao và phân bổ (EBITDA)</w:t>
      </w:r>
      <w:bookmarkEnd w:id="7971"/>
    </w:p>
    <w:p>
      <w:bookmarkStart w:id="7972" w:name="enterprise_value_to__569_577"/>
      <w:pPr>
        <w:pStyle w:val="Para 01"/>
        <w:keepLines w:val="on"/>
      </w:pPr>
      <w:r>
        <w:t>giá trị doanh nghiệp trên, 569–577</w:t>
      </w:r>
      <w:bookmarkEnd w:id="7972"/>
    </w:p>
    <w:p>
      <w:bookmarkStart w:id="7973" w:name="FCFF_model_and__438__439"/>
      <w:pPr>
        <w:pStyle w:val="Para 01"/>
        <w:keepLines w:val="on"/>
      </w:pPr>
      <w:r>
        <w:t>mô hình FCFF và, 438, 439</w:t>
      </w:r>
      <w:bookmarkEnd w:id="7973"/>
    </w:p>
    <w:p>
      <w:bookmarkStart w:id="7974" w:name="growth_in__298_299"/>
      <w:pPr>
        <w:pStyle w:val="Para 01"/>
        <w:keepLines w:val="on"/>
      </w:pPr>
      <w:r>
        <w:t>tăng trưởng của, 298–299</w:t>
      </w:r>
      <w:bookmarkEnd w:id="7974"/>
    </w:p>
    <w:p>
      <w:bookmarkStart w:id="7975" w:name="Earnings_before_interest_and_tax"/>
      <w:pPr>
        <w:pStyle w:val="Para 01"/>
        <w:keepLines w:val="on"/>
      </w:pPr>
      <w:r>
        <w:t>Lợi nhuận trước lãi vay và thuế (EBIT), 438, 439</w:t>
      </w:r>
      <w:bookmarkEnd w:id="7975"/>
    </w:p>
    <w:p>
      <w:bookmarkStart w:id="7976" w:name="Earnings_momentum__78"/>
      <w:pPr>
        <w:pStyle w:val="Para 01"/>
        <w:keepLines w:val="on"/>
      </w:pPr>
      <w:r>
        <w:t>Đà tăng trưởng lợi nhuận, 78</w:t>
      </w:r>
      <w:bookmarkEnd w:id="7976"/>
    </w:p>
    <w:p>
      <w:bookmarkStart w:id="7977" w:name="Earnings_multiples__enterprise_v"/>
      <w:pPr>
        <w:pStyle w:val="Para 01"/>
        <w:keepLines w:val="on"/>
      </w:pPr>
      <w:r>
        <w:t>Các bội số lợi nhuận</w:t>
      </w:r>
      <w:bookmarkEnd w:id="7977"/>
    </w:p>
    <w:p>
      <w:bookmarkStart w:id="7978" w:name="enterprise_value_to_EBITDA_multi"/>
      <w:pPr>
        <w:pStyle w:val="Para 01"/>
        <w:keepLines w:val="on"/>
      </w:pPr>
      <w:r>
        <w:t>bội số giá trị doanh nghiệp trên EBITDA, 569–577</w:t>
      </w:r>
      <w:bookmarkEnd w:id="7978"/>
    </w:p>
    <w:p>
      <w:bookmarkStart w:id="7979" w:name="explanation_of__516_517__533"/>
      <w:pPr>
        <w:pStyle w:val="Para 01"/>
        <w:keepLines w:val="on"/>
      </w:pPr>
      <w:r>
        <w:t>giải thích về, 516–517, 533</w:t>
      </w:r>
      <w:bookmarkEnd w:id="7979"/>
    </w:p>
    <w:p>
      <w:bookmarkStart w:id="7980" w:name="PEG_ratio__555_565"/>
      <w:pPr>
        <w:pStyle w:val="Para 01"/>
        <w:keepLines w:val="on"/>
      </w:pPr>
      <w:r>
        <w:t>tỷ lệ PEG, 555–565</w:t>
      </w:r>
      <w:bookmarkEnd w:id="7980"/>
    </w:p>
    <w:p>
      <w:bookmarkStart w:id="7981" w:name="PE_ratio__533_555"/>
      <w:pPr>
        <w:pStyle w:val="Para 01"/>
        <w:keepLines w:val="on"/>
      </w:pPr>
      <w:r>
        <w:t>tỷ lệ PE, 533–555</w:t>
      </w:r>
      <w:bookmarkEnd w:id="7981"/>
    </w:p>
    <w:p>
      <w:bookmarkStart w:id="7982" w:name="price_to_earnings_before_R_D_exp"/>
      <w:pPr>
        <w:pStyle w:val="Para 01"/>
        <w:keepLines w:val="on"/>
      </w:pPr>
      <w:r>
        <w:t>giá trên lợi nhuận trước chi phí R&amp;D, 567–568</w:t>
      </w:r>
      <w:bookmarkEnd w:id="7982"/>
    </w:p>
    <w:p>
      <w:bookmarkStart w:id="7983" w:name="price_to_future_earnings__566_56"/>
      <w:pPr>
        <w:pStyle w:val="Para 01"/>
        <w:keepLines w:val="on"/>
      </w:pPr>
      <w:r>
        <w:t>giá trên lợi nhuận tương lai, 566–567</w:t>
      </w:r>
      <w:bookmarkEnd w:id="7983"/>
    </w:p>
    <w:p>
      <w:bookmarkStart w:id="7984" w:name="relative_PE_ratios__565_567"/>
      <w:pPr>
        <w:pStyle w:val="Para 01"/>
        <w:keepLines w:val="on"/>
      </w:pPr>
      <w:r>
        <w:t>các tỷ lệ PE tương đối, 565–567</w:t>
      </w:r>
      <w:bookmarkEnd w:id="7984"/>
    </w:p>
    <w:p>
      <w:bookmarkStart w:id="7985" w:name="Earnings_per_share__EPS___growth"/>
      <w:pPr>
        <w:pStyle w:val="Para 01"/>
        <w:keepLines w:val="on"/>
      </w:pPr>
      <w:r>
        <w:t>Thu nhập trên mỗi cổ phần (EPS)</w:t>
      </w:r>
      <w:bookmarkEnd w:id="7985"/>
    </w:p>
    <w:p>
      <w:bookmarkStart w:id="7986" w:name="growth_in__312_313"/>
      <w:pPr>
        <w:pStyle w:val="Para 01"/>
        <w:keepLines w:val="on"/>
      </w:pPr>
      <w:r>
        <w:t>tăng trưởng của, 312–313</w:t>
      </w:r>
      <w:bookmarkEnd w:id="7986"/>
    </w:p>
    <w:p>
      <w:bookmarkStart w:id="7987" w:name="time_series_models_to_predict__3"/>
      <w:pPr>
        <w:pStyle w:val="Para 01"/>
        <w:keepLines w:val="on"/>
      </w:pPr>
      <w:r>
        <w:t>các mô hình chuỗi thời gian để dự đoán, 301–303</w:t>
      </w:r>
      <w:bookmarkEnd w:id="7987"/>
    </w:p>
    <w:p>
      <w:bookmarkStart w:id="7988" w:name="Earnings_power__for_asset_managm"/>
      <w:pPr>
        <w:pStyle w:val="Para 01"/>
        <w:keepLines w:val="on"/>
      </w:pPr>
      <w:r>
        <w:t>Sức mạnh lợi nhuận</w:t>
      </w:r>
      <w:bookmarkEnd w:id="7988"/>
    </w:p>
    <w:p>
      <w:bookmarkStart w:id="7989" w:name="for_asset_managment_companies__6"/>
      <w:pPr>
        <w:pStyle w:val="Para 01"/>
        <w:keepLines w:val="on"/>
      </w:pPr>
      <w:r>
        <w:t>đối với các công ty quản lý tài sản, 689</w:t>
      </w:r>
      <w:bookmarkEnd w:id="7989"/>
    </w:p>
    <w:p>
      <w:bookmarkStart w:id="7990" w:name="for_brokerage_firms__690_691"/>
      <w:pPr>
        <w:pStyle w:val="Para 01"/>
        <w:keepLines w:val="on"/>
      </w:pPr>
      <w:r>
        <w:t>đối với các công ty môi giới chứng khoán, 690–691</w:t>
      </w:r>
      <w:bookmarkEnd w:id="7990"/>
    </w:p>
    <w:p>
      <w:bookmarkStart w:id="7991" w:name="measuring__256_266"/>
      <w:pPr>
        <w:pStyle w:val="Para 01"/>
        <w:keepLines w:val="on"/>
      </w:pPr>
      <w:r>
        <w:t>đo lường, 256–266</w:t>
      </w:r>
      <w:bookmarkEnd w:id="7991"/>
    </w:p>
    <w:p>
      <w:bookmarkStart w:id="7992" w:name="for_transaction_payment_processo"/>
      <w:pPr>
        <w:pStyle w:val="Para 01"/>
        <w:keepLines w:val="on"/>
      </w:pPr>
      <w:r>
        <w:t>đối với các đơn vị xử lý giao dịch/thanh toán, 690</w:t>
      </w:r>
      <w:bookmarkEnd w:id="7992"/>
    </w:p>
    <w:p>
      <w:bookmarkStart w:id="7993" w:name="Earnings_reports__story_changes"/>
      <w:pPr>
        <w:pStyle w:val="Para 01"/>
        <w:keepLines w:val="on"/>
      </w:pPr>
      <w:r>
        <w:t>Báo cáo thu nhập</w:t>
      </w:r>
      <w:bookmarkEnd w:id="7993"/>
    </w:p>
    <w:p>
      <w:bookmarkStart w:id="7994" w:name="story_changes_due_to__383_1"/>
      <w:pPr>
        <w:pStyle w:val="Para 01"/>
        <w:keepLines w:val="on"/>
      </w:pPr>
      <w:r>
        <w:t>câu chuyện thay đổi do, 383</w:t>
      </w:r>
      <w:bookmarkEnd w:id="7994"/>
    </w:p>
    <w:p>
      <w:bookmarkStart w:id="7995" w:name="warning_signs_in__265_266"/>
      <w:pPr>
        <w:pStyle w:val="Para 01"/>
        <w:keepLines w:val="on"/>
      </w:pPr>
      <w:r>
        <w:t>các dấu hiệu cảnh báo trong, 265–266</w:t>
      </w:r>
      <w:bookmarkEnd w:id="7995"/>
    </w:p>
    <w:p>
      <w:bookmarkStart w:id="7996" w:name="for_young_or_start_up_firms__752"/>
      <w:pPr>
        <w:pStyle w:val="Para 01"/>
        <w:keepLines w:val="on"/>
      </w:pPr>
      <w:r>
        <w:t>đối với các công ty non trẻ hoặc mới khởi nghiệp, 752</w:t>
      </w:r>
      <w:bookmarkEnd w:id="7996"/>
    </w:p>
    <w:p>
      <w:bookmarkStart w:id="7997" w:name="EBIT__earnings_before_interest_a"/>
      <w:pPr>
        <w:pStyle w:val="Para 01"/>
        <w:keepLines w:val="on"/>
      </w:pPr>
      <w:r>
        <w:t>EBIT (lợi nhuận trước lãi vay và thuế), 438, 439</w:t>
      </w:r>
      <w:bookmarkEnd w:id="7997"/>
    </w:p>
    <w:p>
      <w:bookmarkStart w:id="7998" w:name="Economic_depreciation__annuity"/>
      <w:pPr>
        <w:pStyle w:val="Para 01"/>
        <w:keepLines w:val="on"/>
      </w:pPr>
      <w:r>
        <w:t>Khấu hao kinh tế (niên kim), 1024</w:t>
      </w:r>
      <w:bookmarkEnd w:id="7998"/>
    </w:p>
    <w:p>
      <w:bookmarkStart w:id="7999" w:name="Economic_value_added__EVA___calc"/>
      <w:pPr>
        <w:pStyle w:val="Para 01"/>
        <w:keepLines w:val="on"/>
      </w:pPr>
      <w:r>
        <w:t>Giá trị kinh tế gia tăng (EVA)</w:t>
      </w:r>
      <w:bookmarkEnd w:id="7999"/>
    </w:p>
    <w:p>
      <w:bookmarkStart w:id="8000" w:name="calculation_of__1008_1009"/>
      <w:pPr>
        <w:pStyle w:val="Para 01"/>
        <w:keepLines w:val="on"/>
      </w:pPr>
      <w:r>
        <w:t>cách tính, 1008–1009</w:t>
      </w:r>
      <w:bookmarkEnd w:id="8000"/>
    </w:p>
    <w:p>
      <w:bookmarkStart w:id="8001" w:name="discounted_cash_flow_and__1010_1"/>
      <w:pPr>
        <w:pStyle w:val="Para 01"/>
        <w:keepLines w:val="on"/>
      </w:pPr>
      <w:r>
        <w:t>dòng tiền chiết khấu và, 1010–1017</w:t>
      </w:r>
      <w:bookmarkEnd w:id="8001"/>
    </w:p>
    <w:p>
      <w:bookmarkStart w:id="8002" w:name="equity__1022_1023"/>
      <w:pPr>
        <w:pStyle w:val="Para 01"/>
        <w:keepLines w:val="on"/>
      </w:pPr>
      <w:r>
        <w:t>vốn chủ sở hữu, 1022–1023</w:t>
      </w:r>
      <w:bookmarkEnd w:id="8002"/>
    </w:p>
    <w:p>
      <w:bookmarkStart w:id="8003" w:name="explanation_of__1007__1008"/>
      <w:pPr>
        <w:pStyle w:val="Para 01"/>
        <w:keepLines w:val="on"/>
      </w:pPr>
      <w:r>
        <w:t>giải thích về, 1007, 1008</w:t>
      </w:r>
      <w:bookmarkEnd w:id="8003"/>
    </w:p>
    <w:p>
      <w:bookmarkStart w:id="8004" w:name="firm_value_and__1015_1022"/>
      <w:pPr>
        <w:pStyle w:val="Para 01"/>
        <w:keepLines w:val="on"/>
      </w:pPr>
      <w:r>
        <w:t>giá trị doanh nghiệp và, 1015–1022</w:t>
      </w:r>
      <w:bookmarkEnd w:id="8004"/>
    </w:p>
    <w:p>
      <w:bookmarkStart w:id="8005" w:name="for_high_growth_firms__1022"/>
      <w:pPr>
        <w:pStyle w:val="Para 01"/>
        <w:keepLines w:val="on"/>
      </w:pPr>
      <w:r>
        <w:t>đối với các công ty tăng trưởng cao, 1022</w:t>
      </w:r>
      <w:bookmarkEnd w:id="8005"/>
    </w:p>
    <w:p>
      <w:bookmarkStart w:id="8006" w:name="market_value_and__1021_1022"/>
      <w:pPr>
        <w:pStyle w:val="Para 01"/>
        <w:keepLines w:val="on"/>
      </w:pPr>
      <w:r>
        <w:t>giá trị thị trường và, 1021–1022</w:t>
      </w:r>
      <w:bookmarkEnd w:id="8006"/>
    </w:p>
    <w:p>
      <w:bookmarkStart w:id="8007" w:name="net_present_value_and__1009_1010"/>
      <w:pPr>
        <w:pStyle w:val="Para 01"/>
        <w:keepLines w:val="on"/>
      </w:pPr>
      <w:r>
        <w:t>giá trị hiện tại ròng và, 1009–1010</w:t>
      </w:r>
      <w:bookmarkEnd w:id="8007"/>
    </w:p>
    <w:p>
      <w:bookmarkStart w:id="8008" w:name="Economies_of_scale__in_acquistio"/>
      <w:pPr>
        <w:pStyle w:val="Para 01"/>
        <w:keepLines w:val="on"/>
      </w:pPr>
      <w:r>
        <w:t>Lợi thế kinh tế theo quy mô</w:t>
      </w:r>
      <w:bookmarkEnd w:id="8008"/>
    </w:p>
    <w:p>
      <w:bookmarkStart w:id="8009" w:name="in_acquistions__800"/>
      <w:pPr>
        <w:pStyle w:val="Para 01"/>
        <w:keepLines w:val="on"/>
      </w:pPr>
      <w:r>
        <w:t>trong các thương vụ mua lại, 800</w:t>
      </w:r>
      <w:bookmarkEnd w:id="8009"/>
    </w:p>
    <w:p>
      <w:bookmarkStart w:id="8010" w:name="in_franchises__878"/>
      <w:pPr>
        <w:pStyle w:val="Para 01"/>
        <w:keepLines w:val="on"/>
      </w:pPr>
      <w:r>
        <w:t>trong nhượng quyền thương mại, 878</w:t>
      </w:r>
      <w:bookmarkEnd w:id="8010"/>
    </w:p>
    <w:p>
      <w:bookmarkStart w:id="8011" w:name="top_down_growth_and__328"/>
      <w:pPr>
        <w:pStyle w:val="Para 01"/>
        <w:keepLines w:val="on"/>
      </w:pPr>
      <w:r>
        <w:t>tăng trưởng từ trên xuống và, 328</w:t>
      </w:r>
      <w:bookmarkEnd w:id="8011"/>
    </w:p>
    <w:p>
      <w:bookmarkStart w:id="8012" w:name="Effective_tax_rate__marginal_vs"/>
      <w:pPr>
        <w:pStyle w:val="Para 01"/>
        <w:keepLines w:val="on"/>
      </w:pPr>
      <w:r>
        <w:t>Thuế suất thực tế</w:t>
      </w:r>
      <w:bookmarkEnd w:id="8012"/>
    </w:p>
    <w:p>
      <w:bookmarkStart w:id="8013" w:name="marginal_vs___269_271"/>
      <w:pPr>
        <w:pStyle w:val="Para 01"/>
        <w:keepLines w:val="on"/>
      </w:pPr>
      <w:r>
        <w:t>so với thuế suất biên, 269–271</w:t>
      </w:r>
      <w:bookmarkEnd w:id="8013"/>
    </w:p>
    <w:p>
      <w:bookmarkStart w:id="8014" w:name="value_and__272_274"/>
      <w:pPr>
        <w:pStyle w:val="Para 01"/>
        <w:keepLines w:val="on"/>
      </w:pPr>
      <w:r>
        <w:t>giá trị và, 272–274</w:t>
      </w:r>
      <w:bookmarkEnd w:id="8014"/>
    </w:p>
    <w:p>
      <w:bookmarkStart w:id="8015" w:name="Efficient_franchisees__878"/>
      <w:pPr>
        <w:pStyle w:val="Para 01"/>
        <w:keepLines w:val="on"/>
      </w:pPr>
      <w:r>
        <w:t>Các bên nhận nhượng quyền hiệu quả, 878</w:t>
      </w:r>
      <w:bookmarkEnd w:id="8015"/>
    </w:p>
    <w:p>
      <w:bookmarkStart w:id="8016" w:name="Efficient_markets__9__114__See_a"/>
      <w:pPr>
        <w:pStyle w:val="Para 01"/>
        <w:keepLines w:val="on"/>
      </w:pPr>
      <w:r>
        <w:t>Thị trường hiệu quả, 9, 114. Xem thêm Hiệu quả thị trường</w:t>
      </w:r>
      <w:bookmarkEnd w:id="8016"/>
    </w:p>
    <w:p>
      <w:bookmarkStart w:id="8017" w:name="Eli_Lilly__349__352__355__356"/>
      <w:pPr>
        <w:pStyle w:val="Para 01"/>
        <w:keepLines w:val="on"/>
      </w:pPr>
      <w:r>
        <w:t>Eli Lilly, 349, 352, 355, 356</w:t>
      </w:r>
      <w:bookmarkEnd w:id="8017"/>
    </w:p>
    <w:p>
      <w:bookmarkStart w:id="8018" w:name="Embraer__219_220__225_226__232_2"/>
      <w:pPr>
        <w:pStyle w:val="Para 01"/>
        <w:keepLines w:val="on"/>
      </w:pPr>
      <w:r>
        <w:t>Embraer, 219–220, 225–226, 232–233</w:t>
      </w:r>
      <w:bookmarkEnd w:id="8018"/>
    </w:p>
    <w:p>
      <w:bookmarkStart w:id="8019" w:name="Emerging_markets__beta_estimatio"/>
      <w:pPr>
        <w:pStyle w:val="Para 01"/>
        <w:keepLines w:val="on"/>
      </w:pPr>
      <w:r>
        <w:t>Các thị trường mới nổi</w:t>
      </w:r>
      <w:bookmarkEnd w:id="8019"/>
    </w:p>
    <w:p>
      <w:bookmarkStart w:id="8020" w:name="beta_estimation_for_companies_in"/>
      <w:pPr>
        <w:pStyle w:val="Para 01"/>
        <w:keepLines w:val="on"/>
      </w:pPr>
      <w:r>
        <w:t>ước lượng beta cho các công ty ở đó, 196–199, 212</w:t>
      </w:r>
      <w:bookmarkEnd w:id="8020"/>
    </w:p>
    <w:p>
      <w:bookmarkStart w:id="8021" w:name="cost_of_debt_for_firms_in__225_2"/>
      <w:pPr>
        <w:pStyle w:val="Para 01"/>
        <w:keepLines w:val="on"/>
      </w:pPr>
      <w:r>
        <w:t>chi phí nợ cho các doanh nghiệp ở đó, 225–226</w:t>
      </w:r>
      <w:bookmarkEnd w:id="8021"/>
    </w:p>
    <w:p>
      <w:bookmarkStart w:id="8022" w:name="PE_ratios_across__548"/>
      <w:pPr>
        <w:pStyle w:val="Para 01"/>
        <w:keepLines w:val="on"/>
      </w:pPr>
      <w:r>
        <w:t>tỷ lệ PE trên khắp các thị trường, 548</w:t>
      </w:r>
      <w:bookmarkEnd w:id="8022"/>
    </w:p>
    <w:p>
      <w:bookmarkStart w:id="8023" w:name="Emotions__stories_and__366_367"/>
      <w:pPr>
        <w:pStyle w:val="Para 01"/>
        <w:keepLines w:val="on"/>
      </w:pPr>
      <w:r>
        <w:t>Cảm xúc, câu chuyện và, 366–367</w:t>
      </w:r>
      <w:bookmarkEnd w:id="8023"/>
    </w:p>
    <w:p>
      <w:bookmarkStart w:id="8024" w:name="Empire_building__804"/>
      <w:pPr>
        <w:pStyle w:val="Para 01"/>
        <w:keepLines w:val="on"/>
      </w:pPr>
      <w:r>
        <w:t>Xây dựng đế chế, 804</w:t>
      </w:r>
      <w:bookmarkEnd w:id="8024"/>
    </w:p>
    <w:p>
      <w:bookmarkStart w:id="8025" w:name="Empirical_probability_of_distres"/>
      <w:pPr>
        <w:pStyle w:val="Para 01"/>
        <w:keepLines w:val="on"/>
      </w:pPr>
      <w:r>
        <w:t>Xác suất kiệt quệ theo thực nghiệm, 359</w:t>
      </w:r>
      <w:bookmarkEnd w:id="8025"/>
    </w:p>
    <w:p>
      <w:bookmarkStart w:id="8026" w:name="Employee_benefits__as_long_term"/>
      <w:pPr>
        <w:pStyle w:val="Para 01"/>
        <w:keepLines w:val="on"/>
      </w:pPr>
      <w:r>
        <w:t>Phúc lợi nhân viên, như một khoản nợ dài hạn, 41</w:t>
      </w:r>
      <w:bookmarkEnd w:id="8026"/>
    </w:p>
    <w:p>
      <w:bookmarkStart w:id="8027" w:name="Employee_development_expenses__6"/>
      <w:pPr>
        <w:pStyle w:val="Para 01"/>
        <w:keepLines w:val="on"/>
      </w:pPr>
      <w:r>
        <w:t>Chi phí phát triển nhân viên, 668–669</w:t>
      </w:r>
      <w:bookmarkEnd w:id="8027"/>
    </w:p>
    <w:p>
      <w:bookmarkStart w:id="8028" w:name="Employee_options__501_507__chara"/>
      <w:pPr>
        <w:pStyle w:val="Para 01"/>
        <w:keepLines w:val="on"/>
      </w:pPr>
      <w:r>
        <w:t>Quyền chọn cho nhân viên, 501–507</w:t>
      </w:r>
      <w:bookmarkEnd w:id="8028"/>
    </w:p>
    <w:p>
      <w:bookmarkStart w:id="8029" w:name="characteristics_of_option_grants"/>
      <w:pPr>
        <w:pStyle w:val="Para 01"/>
        <w:keepLines w:val="on"/>
      </w:pPr>
      <w:r>
        <w:t>đặc điểm của các đợt cấp quyền chọn, 501–502</w:t>
      </w:r>
      <w:bookmarkEnd w:id="8029"/>
    </w:p>
    <w:p>
      <w:bookmarkStart w:id="8030" w:name="existing_options__502_506"/>
      <w:pPr>
        <w:pStyle w:val="Para 01"/>
        <w:keepLines w:val="on"/>
      </w:pPr>
      <w:r>
        <w:t>các quyền chọn hiện có, 502–506</w:t>
      </w:r>
      <w:bookmarkEnd w:id="8030"/>
    </w:p>
    <w:p>
      <w:bookmarkStart w:id="8031" w:name="future_option_grants__506_507"/>
      <w:pPr>
        <w:pStyle w:val="Para 01"/>
        <w:keepLines w:val="on"/>
      </w:pPr>
      <w:r>
        <w:t>các đợt cấp quyền chọn trong tương lai, 506–507</w:t>
      </w:r>
      <w:bookmarkEnd w:id="8031"/>
    </w:p>
    <w:p>
      <w:bookmarkStart w:id="8032" w:name="Enka_Insaat__197_199__211_212"/>
      <w:pPr>
        <w:pStyle w:val="Para 01"/>
        <w:keepLines w:val="on"/>
      </w:pPr>
      <w:r>
        <w:t>Enka Insaat, 197–199, 211–212</w:t>
      </w:r>
      <w:bookmarkEnd w:id="8032"/>
    </w:p>
    <w:p>
      <w:bookmarkStart w:id="8033" w:name="Enterprise_value_multiples__524"/>
      <w:pPr>
        <w:pStyle w:val="Para 01"/>
        <w:keepLines w:val="on"/>
      </w:pPr>
      <w:r>
        <w:t>Bội số giá trị doanh nghiệp, 524</w:t>
      </w:r>
      <w:bookmarkEnd w:id="8033"/>
    </w:p>
    <w:p>
      <w:bookmarkStart w:id="8034" w:name="Enterprise_value_to_EBITDA_multi"/>
      <w:pPr>
        <w:pStyle w:val="Para 01"/>
        <w:keepLines w:val="on"/>
      </w:pPr>
      <w:r>
        <w:t>Bội số giá trị doanh nghiệp trên EBITDA (EV/EBITDA)</w:t>
      </w:r>
      <w:bookmarkEnd w:id="8034"/>
    </w:p>
    <w:p>
      <w:bookmarkStart w:id="8035" w:name="analysis_of_determinants_of__572"/>
      <w:pPr>
        <w:pStyle w:val="Para 01"/>
        <w:keepLines w:val="on"/>
      </w:pPr>
      <w:r>
        <w:t>phân tích các yếu tố quyết định của nó, 572–575</w:t>
      </w:r>
      <w:bookmarkEnd w:id="8035"/>
    </w:p>
    <w:p>
      <w:bookmarkStart w:id="8036" w:name="application_of__575_577"/>
      <w:pPr>
        <w:pStyle w:val="Para 01"/>
        <w:keepLines w:val="on"/>
      </w:pPr>
      <w:r>
        <w:t>ứng dụng của nó, 575–577</w:t>
      </w:r>
      <w:bookmarkEnd w:id="8036"/>
    </w:p>
    <w:p>
      <w:bookmarkStart w:id="8037" w:name="with_cross_holdings__570_571"/>
      <w:pPr>
        <w:pStyle w:val="Para 01"/>
        <w:keepLines w:val="on"/>
      </w:pPr>
      <w:r>
        <w:t>với các khoản sở hữu chéo, 570–571</w:t>
      </w:r>
      <w:bookmarkEnd w:id="8037"/>
    </w:p>
    <w:p>
      <w:bookmarkStart w:id="8038" w:name="explanation_of__569_570"/>
      <w:pPr>
        <w:pStyle w:val="Para 01"/>
        <w:keepLines w:val="on"/>
      </w:pPr>
      <w:r>
        <w:t>giải thích về nó, 569–570</w:t>
      </w:r>
      <w:bookmarkEnd w:id="8038"/>
    </w:p>
    <w:p>
      <w:bookmarkStart w:id="8039" w:name="illustration_of__571_572"/>
      <w:pPr>
        <w:pStyle w:val="Para 01"/>
        <w:keepLines w:val="on"/>
      </w:pPr>
      <w:r>
        <w:t>minh họa về nó, 571–572</w:t>
      </w:r>
      <w:bookmarkEnd w:id="8039"/>
    </w:p>
    <w:p>
      <w:bookmarkStart w:id="8040" w:name="Enterprise_value_to_invested_cap"/>
      <w:pPr>
        <w:pStyle w:val="Para 01"/>
        <w:keepLines w:val="on"/>
      </w:pPr>
      <w:r>
        <w:t>Giá trị doanh nghiệp trên vốn đầu tư (EV/IC), 604–606</w:t>
      </w:r>
      <w:bookmarkEnd w:id="8040"/>
    </w:p>
    <w:p>
      <w:bookmarkStart w:id="8041" w:name="Enterprise_value_to_sales__EVS"/>
      <w:pPr>
        <w:pStyle w:val="Para 01"/>
        <w:keepLines w:val="on"/>
      </w:pPr>
      <w:r>
        <w:t>Tỷ lệ giá trị doanh nghiệp trên doanh thu (EVS)</w:t>
      </w:r>
      <w:bookmarkEnd w:id="8041"/>
    </w:p>
    <w:p>
      <w:bookmarkStart w:id="8042" w:name="analyisis_of__618_621"/>
      <w:pPr>
        <w:pStyle w:val="Para 01"/>
        <w:keepLines w:val="on"/>
      </w:pPr>
      <w:r>
        <w:t>phân tích về, 618–621</w:t>
      </w:r>
      <w:bookmarkEnd w:id="8042"/>
    </w:p>
    <w:p>
      <w:bookmarkStart w:id="8043" w:name="explanation__614"/>
      <w:pPr>
        <w:pStyle w:val="Para 01"/>
        <w:keepLines w:val="on"/>
      </w:pPr>
      <w:r>
        <w:t>giải thích, 614</w:t>
      </w:r>
      <w:bookmarkEnd w:id="8043"/>
    </w:p>
    <w:p>
      <w:bookmarkStart w:id="8044" w:name="for_high_growth_firm__619_620"/>
      <w:pPr>
        <w:pStyle w:val="Para 01"/>
        <w:keepLines w:val="on"/>
      </w:pPr>
      <w:r>
        <w:t>đối với công ty tăng trưởng cao, 619–620</w:t>
      </w:r>
      <w:bookmarkEnd w:id="8044"/>
    </w:p>
    <w:p>
      <w:bookmarkStart w:id="8045" w:name="market_regression_for__641_642"/>
      <w:pPr>
        <w:pStyle w:val="Para 01"/>
        <w:keepLines w:val="on"/>
      </w:pPr>
      <w:r>
        <w:t>hồi quy thị trường cho, 641–642</w:t>
      </w:r>
      <w:bookmarkEnd w:id="8045"/>
    </w:p>
    <w:p>
      <w:bookmarkStart w:id="8046" w:name="valuing_brand_name_with__627_628"/>
      <w:pPr>
        <w:pStyle w:val="Para 01"/>
        <w:keepLines w:val="on"/>
      </w:pPr>
      <w:r>
        <w:t>định giá tên thương hiệu bằng, 627–628</w:t>
      </w:r>
      <w:bookmarkEnd w:id="8046"/>
    </w:p>
    <w:p>
      <w:bookmarkStart w:id="8047" w:name="Equity__See_also_Cost_of_equity"/>
      <w:pPr>
        <w:pStyle w:val="Para 10"/>
        <w:keepLines w:val="on"/>
      </w:pPr>
      <w:r>
        <w:t>Vốn chủ sở hữu (Equity). Xem thêm Chi phí vốn chủ sở hữu (Cost of equity); Tỷ suất sinh lời trên vốn chủ sở hữu (Return on equity – ROE)</w:t>
      </w:r>
      <w:bookmarkEnd w:id="8047"/>
    </w:p>
    <w:p>
      <w:bookmarkStart w:id="8048" w:name="book_value_of__42__583__682__105"/>
      <w:pPr>
        <w:pStyle w:val="Para 01"/>
        <w:keepLines w:val="on"/>
      </w:pPr>
      <w:r>
        <w:t>giá trị sổ sách của, 42, 583, 682, 1055–1056</w:t>
      </w:r>
      <w:bookmarkEnd w:id="8048"/>
    </w:p>
    <w:p>
      <w:bookmarkStart w:id="8049" w:name="calculating_weight_of__227_231_1"/>
      <w:pPr>
        <w:pStyle w:val="Para 01"/>
        <w:keepLines w:val="on"/>
      </w:pPr>
      <w:r>
        <w:t>tính toán tỷ trọng của, 227–231</w:t>
      </w:r>
      <w:bookmarkEnd w:id="8049"/>
    </w:p>
    <w:p>
      <w:bookmarkStart w:id="8050" w:name="as_call_option__974_975"/>
      <w:pPr>
        <w:pStyle w:val="Para 01"/>
        <w:keepLines w:val="on"/>
      </w:pPr>
      <w:r>
        <w:t>như một quyền chọn mua (call option), 974–975</w:t>
      </w:r>
      <w:bookmarkEnd w:id="8050"/>
    </w:p>
    <w:p>
      <w:bookmarkStart w:id="8052" w:name="cash_flows_from__in_private_firm"/>
      <w:pPr>
        <w:pStyle w:val="Para 01"/>
        <w:keepLines w:val="on"/>
      </w:pPr>
      <w:r>
        <w:t>dòng tiền từ, trong các công ty tư nhân, 768</w:t>
      </w:r>
      <w:bookmarkEnd w:id="8052"/>
    </w:p>
    <w:p>
      <w:bookmarkStart w:id="8053" w:name="estimating_market_value_of__230_1"/>
      <w:pPr>
        <w:pStyle w:val="Para 01"/>
        <w:keepLines w:val="on"/>
      </w:pPr>
      <w:r>
        <w:t>ước tính giá trị thị trường của, 230</w:t>
      </w:r>
      <w:bookmarkEnd w:id="8053"/>
    </w:p>
    <w:p>
      <w:bookmarkStart w:id="8054" w:name="financing_acquisitions_with__821_1"/>
      <w:pPr>
        <w:pStyle w:val="Para 01"/>
        <w:keepLines w:val="on"/>
      </w:pPr>
      <w:r>
        <w:t>tài trợ cho các thương vụ mua bán và sáp nhập bằng, 821–822</w:t>
      </w:r>
      <w:bookmarkEnd w:id="8054"/>
    </w:p>
    <w:p>
      <w:bookmarkStart w:id="8055" w:name="in_highly_levered_distressed_fir"/>
      <w:pPr>
        <w:pStyle w:val="Para 01"/>
        <w:keepLines w:val="on"/>
      </w:pPr>
      <w:r>
        <w:t>trong các công ty kiệt quệ có đòn bẩy cao, 959–961</w:t>
      </w:r>
      <w:bookmarkEnd w:id="8055"/>
    </w:p>
    <w:p>
      <w:bookmarkStart w:id="8056" w:name="measuring_value_of__42_44"/>
      <w:pPr>
        <w:pStyle w:val="Para 01"/>
        <w:keepLines w:val="on"/>
      </w:pPr>
      <w:r>
        <w:t>đo lường giá trị của, 42–44</w:t>
      </w:r>
      <w:bookmarkEnd w:id="8056"/>
    </w:p>
    <w:p>
      <w:bookmarkStart w:id="8057" w:name="nonstandardized__790"/>
      <w:pPr>
        <w:pStyle w:val="Para 01"/>
        <w:keepLines w:val="on"/>
      </w:pPr>
      <w:r>
        <w:t>không được chuẩn hóa, 790</w:t>
      </w:r>
      <w:bookmarkEnd w:id="8057"/>
    </w:p>
    <w:p>
      <w:bookmarkStart w:id="8058" w:name="as_option_in_distressed_firms__9"/>
      <w:pPr>
        <w:pStyle w:val="Para 01"/>
        <w:keepLines w:val="on"/>
      </w:pPr>
      <w:r>
        <w:t>như một quyền chọn trong các công ty kiệt quệ, 963–975</w:t>
      </w:r>
      <w:bookmarkEnd w:id="8058"/>
    </w:p>
    <w:p>
      <w:bookmarkStart w:id="8059" w:name="value_of__660__749_750"/>
      <w:pPr>
        <w:pStyle w:val="Para 01"/>
        <w:keepLines w:val="on"/>
      </w:pPr>
      <w:r>
        <w:t>giá trị của, 660, 749–750</w:t>
      </w:r>
      <w:bookmarkEnd w:id="8059"/>
    </w:p>
    <w:p>
      <w:bookmarkStart w:id="8060" w:name="Equity_economic_value_added__102"/>
      <w:pPr>
        <w:pStyle w:val="Para 01"/>
        <w:keepLines w:val="on"/>
      </w:pPr>
      <w:r>
        <w:t>Giá trị kinh tế gia tăng của vốn chủ sở hữu (Equity economic value added), 1022–1023</w:t>
      </w:r>
      <w:bookmarkEnd w:id="8060"/>
    </w:p>
    <w:p>
      <w:bookmarkStart w:id="8061" w:name="Equity_funds__149_150"/>
      <w:pPr>
        <w:pStyle w:val="Para 01"/>
        <w:keepLines w:val="on"/>
      </w:pPr>
      <w:r>
        <w:t>Quỹ cổ phần (Equity funds), 149–150</w:t>
      </w:r>
      <w:bookmarkEnd w:id="8061"/>
    </w:p>
    <w:p>
      <w:bookmarkStart w:id="8062" w:name="Equity_research__4"/>
      <w:pPr>
        <w:pStyle w:val="Para 01"/>
        <w:keepLines w:val="on"/>
      </w:pPr>
      <w:r>
        <w:t>Nghiên cứu cổ phần (Equity research), 4</w:t>
      </w:r>
      <w:bookmarkEnd w:id="8062"/>
    </w:p>
    <w:p>
      <w:bookmarkStart w:id="8063" w:name="Equity_risk__alternative_models"/>
      <w:pPr>
        <w:pStyle w:val="Para 01"/>
        <w:keepLines w:val="on"/>
      </w:pPr>
      <w:r>
        <w:t>Rủi ro vốn chủ sở hữu (Equity risk)</w:t>
      </w:r>
      <w:bookmarkEnd w:id="8063"/>
    </w:p>
    <w:p>
      <w:bookmarkStart w:id="8064" w:name="alternative_models_for__74_80"/>
      <w:pPr>
        <w:pStyle w:val="Para 01"/>
        <w:keepLines w:val="on"/>
      </w:pPr>
      <w:r>
        <w:t>các mô hình thay thế cho, 74–80</w:t>
      </w:r>
      <w:bookmarkEnd w:id="8064"/>
    </w:p>
    <w:p>
      <w:bookmarkStart w:id="8065" w:name="comparative_analysis_of_models_f"/>
      <w:pPr>
        <w:pStyle w:val="Para 01"/>
        <w:keepLines w:val="on"/>
      </w:pPr>
      <w:r>
        <w:t>phân tích so sánh các mô hình cho, 80–81</w:t>
      </w:r>
      <w:bookmarkEnd w:id="8065"/>
    </w:p>
    <w:p>
      <w:bookmarkStart w:id="8066" w:name="defining__62_65"/>
      <w:pPr>
        <w:pStyle w:val="Para 01"/>
        <w:keepLines w:val="on"/>
      </w:pPr>
      <w:r>
        <w:t>định nghĩa, 62–65</w:t>
      </w:r>
      <w:bookmarkEnd w:id="8066"/>
    </w:p>
    <w:p>
      <w:bookmarkStart w:id="8067" w:name="expected_return_and__62_74"/>
      <w:pPr>
        <w:pStyle w:val="Para 01"/>
        <w:keepLines w:val="on"/>
      </w:pPr>
      <w:r>
        <w:t>tỷ suất sinh lời kỳ vọng và, 62–74</w:t>
      </w:r>
      <w:bookmarkEnd w:id="8067"/>
    </w:p>
    <w:p>
      <w:bookmarkStart w:id="8068" w:name="at_stable_growth_firms__349"/>
      <w:pPr>
        <w:pStyle w:val="Para 01"/>
        <w:keepLines w:val="on"/>
      </w:pPr>
      <w:r>
        <w:t>tại các công ty tăng trưởng ổn định, 349</w:t>
      </w:r>
      <w:bookmarkEnd w:id="8068"/>
    </w:p>
    <w:p>
      <w:bookmarkStart w:id="8069" w:name="Equity_risk_premium__competing_m"/>
      <w:pPr>
        <w:pStyle w:val="Para 01"/>
        <w:keepLines w:val="on"/>
      </w:pPr>
      <w:r>
        <w:t>Phần bù rủi ro vốn cổ phần (Equity risk premium)</w:t>
      </w:r>
      <w:bookmarkEnd w:id="8069"/>
    </w:p>
    <w:p>
      <w:bookmarkStart w:id="8070" w:name="competing_models_of__162_163"/>
      <w:pPr>
        <w:pStyle w:val="Para 01"/>
        <w:keepLines w:val="on"/>
      </w:pPr>
      <w:r>
        <w:t>các mô hình cạnh tranh về, 162–163</w:t>
      </w:r>
      <w:bookmarkEnd w:id="8070"/>
    </w:p>
    <w:p>
      <w:bookmarkStart w:id="8071" w:name="country__169_177"/>
      <w:pPr>
        <w:pStyle w:val="Para 01"/>
        <w:keepLines w:val="on"/>
      </w:pPr>
      <w:r>
        <w:t>theo quốc gia, 169–177</w:t>
      </w:r>
      <w:bookmarkEnd w:id="8071"/>
    </w:p>
    <w:p>
      <w:bookmarkStart w:id="8072" w:name="determinants_of__164"/>
      <w:pPr>
        <w:pStyle w:val="Para 01"/>
        <w:keepLines w:val="on"/>
      </w:pPr>
      <w:r>
        <w:t>các yếu tố quyết định của, 164</w:t>
      </w:r>
      <w:bookmarkEnd w:id="8072"/>
    </w:p>
    <w:p>
      <w:bookmarkStart w:id="8073" w:name="explanation_of__162"/>
      <w:pPr>
        <w:pStyle w:val="Para 01"/>
        <w:keepLines w:val="on"/>
      </w:pPr>
      <w:r>
        <w:t>giải thích về, 162</w:t>
      </w:r>
      <w:bookmarkEnd w:id="8073"/>
    </w:p>
    <w:p>
      <w:bookmarkStart w:id="8074" w:name="historical__164_177__181_182"/>
      <w:pPr>
        <w:pStyle w:val="Para 01"/>
        <w:keepLines w:val="on"/>
      </w:pPr>
      <w:r>
        <w:t>theo lịch sử, 164–177, 181–182</w:t>
      </w:r>
      <w:bookmarkEnd w:id="8074"/>
    </w:p>
    <w:p>
      <w:bookmarkStart w:id="8075" w:name="implied__177_182"/>
      <w:pPr>
        <w:pStyle w:val="Para 01"/>
        <w:keepLines w:val="on"/>
      </w:pPr>
      <w:r>
        <w:t>hàm ý, 177–182</w:t>
      </w:r>
      <w:bookmarkEnd w:id="8075"/>
    </w:p>
    <w:p>
      <w:bookmarkStart w:id="8076" w:name="Equity_valuation__dividend_disco"/>
      <w:pPr>
        <w:pStyle w:val="Para 01"/>
        <w:keepLines w:val="on"/>
      </w:pPr>
      <w:r>
        <w:t>Định giá vốn cổ phần (Equity valuation)</w:t>
      </w:r>
      <w:bookmarkEnd w:id="8076"/>
    </w:p>
    <w:p>
      <w:bookmarkStart w:id="8077" w:name="dividend_discount_model__388_408"/>
      <w:pPr>
        <w:pStyle w:val="Para 01"/>
        <w:keepLines w:val="on"/>
      </w:pPr>
      <w:r>
        <w:t>mô hình chiết khấu cổ tức, 388–408, 428–430</w:t>
      </w:r>
      <w:bookmarkEnd w:id="8077"/>
    </w:p>
    <w:p>
      <w:bookmarkStart w:id="8078" w:name="explanation__387_388"/>
      <w:pPr>
        <w:pStyle w:val="Para 01"/>
        <w:keepLines w:val="on"/>
      </w:pPr>
      <w:r>
        <w:t>giải thích, 387–388</w:t>
      </w:r>
      <w:bookmarkEnd w:id="8078"/>
    </w:p>
    <w:p>
      <w:bookmarkStart w:id="8079" w:name="FCFE_models__408_430"/>
      <w:pPr>
        <w:pStyle w:val="Para 01"/>
        <w:keepLines w:val="on"/>
      </w:pPr>
      <w:r>
        <w:t>các mô hình FCFE, 408–430</w:t>
      </w:r>
      <w:bookmarkEnd w:id="8079"/>
    </w:p>
    <w:p>
      <w:bookmarkStart w:id="8080" w:name="firm_valuation_vs___14_15__451_4"/>
      <w:pPr>
        <w:pStyle w:val="Para 01"/>
        <w:keepLines w:val="on"/>
      </w:pPr>
      <w:r>
        <w:t>định giá doanh nghiệp so với, 14–15, 451–453</w:t>
      </w:r>
      <w:bookmarkEnd w:id="8080"/>
    </w:p>
    <w:p>
      <w:bookmarkStart w:id="8081" w:name="instrinsic_value_models__388_430"/>
      <w:pPr>
        <w:pStyle w:val="Para 01"/>
        <w:keepLines w:val="on"/>
      </w:pPr>
      <w:r>
        <w:t>các mô hình giá trị nội tại, 388–430</w:t>
      </w:r>
      <w:bookmarkEnd w:id="8081"/>
    </w:p>
    <w:p>
      <w:bookmarkStart w:id="8082" w:name="leverage_and__416_417"/>
      <w:pPr>
        <w:pStyle w:val="Para 01"/>
        <w:keepLines w:val="on"/>
      </w:pPr>
      <w:r>
        <w:t>đòn bẩy và, 416–417</w:t>
      </w:r>
      <w:bookmarkEnd w:id="8082"/>
    </w:p>
    <w:p>
      <w:bookmarkStart w:id="8083" w:name="reinvestment_assumptions__termin"/>
      <w:pPr>
        <w:pStyle w:val="Para 01"/>
        <w:keepLines w:val="on"/>
      </w:pPr>
      <w:r>
        <w:t>các giả định tái đầu tư, giá trị cuối kỳ, và, 422</w:t>
      </w:r>
      <w:bookmarkEnd w:id="8083"/>
    </w:p>
    <w:p>
      <w:bookmarkStart w:id="8084" w:name="Equity_value__firm_value_and__50"/>
      <w:pPr>
        <w:pStyle w:val="Para 01"/>
        <w:keepLines w:val="on"/>
      </w:pPr>
      <w:r>
        <w:t>Giá trị vốn cổ phần (Equity value)</w:t>
      </w:r>
      <w:bookmarkEnd w:id="8084"/>
    </w:p>
    <w:p>
      <w:bookmarkStart w:id="8085" w:name="firm_value_and__500_501__660__96"/>
      <w:pPr>
        <w:pStyle w:val="Para 01"/>
        <w:keepLines w:val="on"/>
      </w:pPr>
      <w:r>
        <w:t>giá trị doanh nghiệp và, 500–501, 660, 963–964</w:t>
      </w:r>
      <w:bookmarkEnd w:id="8085"/>
    </w:p>
    <w:p>
      <w:bookmarkStart w:id="8086" w:name="in_firm_vs__equity_valuation__45"/>
      <w:pPr>
        <w:pStyle w:val="Para 01"/>
        <w:keepLines w:val="on"/>
      </w:pPr>
      <w:r>
        <w:t>trong định giá doanh nghiệp so với định giá vốn cổ phần, 451–453</w:t>
      </w:r>
      <w:bookmarkEnd w:id="8086"/>
    </w:p>
    <w:p>
      <w:bookmarkStart w:id="8087" w:name="negative__721_722"/>
      <w:pPr>
        <w:pStyle w:val="Para 01"/>
        <w:keepLines w:val="on"/>
      </w:pPr>
      <w:r>
        <w:t>âm, 721–722</w:t>
      </w:r>
      <w:bookmarkEnd w:id="8087"/>
    </w:p>
    <w:p>
      <w:bookmarkStart w:id="8088" w:name="risk_and__964_965"/>
      <w:pPr>
        <w:pStyle w:val="Para 01"/>
        <w:keepLines w:val="on"/>
      </w:pPr>
      <w:r>
        <w:t>rủi ro và, 964–965</w:t>
      </w:r>
      <w:bookmarkEnd w:id="8088"/>
    </w:p>
    <w:p>
      <w:bookmarkStart w:id="8089" w:name="volatility_and__964_965"/>
      <w:pPr>
        <w:pStyle w:val="Para 01"/>
        <w:keepLines w:val="on"/>
      </w:pPr>
      <w:r>
        <w:t>biến động và, 964–965</w:t>
      </w:r>
      <w:bookmarkEnd w:id="8089"/>
    </w:p>
    <w:p>
      <w:bookmarkStart w:id="8090" w:name="Equity_value_per_share__for_disa"/>
      <w:pPr>
        <w:pStyle w:val="Para 01"/>
        <w:keepLines w:val="on"/>
      </w:pPr>
      <w:r>
        <w:t>Giá trị vốn cổ phần trên mỗi cổ phiếu (Equity value per share)</w:t>
      </w:r>
      <w:bookmarkEnd w:id="8090"/>
    </w:p>
    <w:p>
      <w:bookmarkStart w:id="8091" w:name="for_disaggregated_valuation__464"/>
      <w:pPr>
        <w:pStyle w:val="Para 01"/>
        <w:keepLines w:val="on"/>
      </w:pPr>
      <w:r>
        <w:t>cho định giá phân tách, 464</w:t>
      </w:r>
      <w:bookmarkEnd w:id="8091"/>
    </w:p>
    <w:p>
      <w:bookmarkStart w:id="8092" w:name="firm_value_and__500_501"/>
      <w:pPr>
        <w:pStyle w:val="Para 01"/>
        <w:keepLines w:val="on"/>
      </w:pPr>
      <w:r>
        <w:t>giá trị doanh nghiệp và, 500–501</w:t>
      </w:r>
      <w:bookmarkEnd w:id="8092"/>
    </w:p>
    <w:p>
      <w:bookmarkStart w:id="8093" w:name="fully_diluted_shares_for_estimat"/>
      <w:pPr>
        <w:pStyle w:val="Para 01"/>
        <w:keepLines w:val="on"/>
      </w:pPr>
      <w:r>
        <w:t>số cổ phiếu pha loãng hoàn toàn để ước tính, 502–503</w:t>
      </w:r>
      <w:bookmarkEnd w:id="8093"/>
    </w:p>
    <w:p>
      <w:bookmarkStart w:id="8094" w:name="with_negative_FCFE__428_1"/>
      <w:pPr>
        <w:pStyle w:val="Para 01"/>
        <w:keepLines w:val="on"/>
      </w:pPr>
      <w:r>
        <w:t>với FCFE âm, 428</w:t>
      </w:r>
      <w:bookmarkEnd w:id="8094"/>
    </w:p>
    <w:p>
      <w:bookmarkStart w:id="8095" w:name="nonoperating_assets_and__481_499"/>
      <w:pPr>
        <w:pStyle w:val="Para 01"/>
        <w:keepLines w:val="on"/>
      </w:pPr>
      <w:r>
        <w:t>tài sản phi hoạt động và, 481–499</w:t>
      </w:r>
      <w:bookmarkEnd w:id="8095"/>
    </w:p>
    <w:p>
      <w:bookmarkStart w:id="8096" w:name="stock_based_compensation_and__50"/>
      <w:pPr>
        <w:pStyle w:val="Para 01"/>
        <w:keepLines w:val="on"/>
      </w:pPr>
      <w:r>
        <w:t>thù lao dựa trên cổ phiếu và, 501–509</w:t>
      </w:r>
      <w:bookmarkEnd w:id="8096"/>
    </w:p>
    <w:p>
      <w:bookmarkStart w:id="8097" w:name="voting_rights_and__510_511"/>
      <w:pPr>
        <w:pStyle w:val="Para 01"/>
        <w:keepLines w:val="on"/>
      </w:pPr>
      <w:r>
        <w:t>quyền biểu quyết và, 510–511</w:t>
      </w:r>
      <w:bookmarkEnd w:id="8097"/>
    </w:p>
    <w:p>
      <w:bookmarkStart w:id="8098" w:name="Escape_clauses__in_contracts__95"/>
      <w:pPr>
        <w:pStyle w:val="Para 01"/>
        <w:keepLines w:val="on"/>
      </w:pPr>
      <w:r>
        <w:t>Điều khoản thoát hiểm (escape clauses), trong hợp đồng, 955</w:t>
      </w:r>
      <w:bookmarkEnd w:id="8098"/>
    </w:p>
    <w:p>
      <w:bookmarkStart w:id="8099" w:name="Estimated_value__32"/>
      <w:pPr>
        <w:pStyle w:val="Para 01"/>
        <w:keepLines w:val="on"/>
      </w:pPr>
      <w:r>
        <w:t>Giá trị ước tính, 32</w:t>
      </w:r>
      <w:bookmarkEnd w:id="8099"/>
    </w:p>
    <w:p>
      <w:bookmarkStart w:id="8100" w:name="Estimation_noise__751_753"/>
      <w:pPr>
        <w:pStyle w:val="Para 01"/>
        <w:keepLines w:val="on"/>
      </w:pPr>
      <w:r>
        <w:t>Nhiễu ước tính, 751–753</w:t>
      </w:r>
      <w:bookmarkEnd w:id="8100"/>
    </w:p>
    <w:p>
      <w:bookmarkStart w:id="8101" w:name="Estimation_period__beta__195"/>
      <w:pPr>
        <w:pStyle w:val="Para 01"/>
        <w:keepLines w:val="on"/>
      </w:pPr>
      <w:r>
        <w:t>Giai đoạn ước tính, beta, 195</w:t>
      </w:r>
      <w:bookmarkEnd w:id="8101"/>
    </w:p>
    <w:p>
      <w:bookmarkStart w:id="8102" w:name="European_options__93_94"/>
      <w:pPr>
        <w:pStyle w:val="Para 01"/>
        <w:keepLines w:val="on"/>
      </w:pPr>
      <w:r>
        <w:t>Quyền chọn kiểu châu Âu (European options), 93–94</w:t>
      </w:r>
      <w:bookmarkEnd w:id="8102"/>
    </w:p>
    <w:p>
      <w:bookmarkStart w:id="8103" w:name="Eurotunnel__969_971"/>
      <w:pPr>
        <w:pStyle w:val="Para 01"/>
        <w:keepLines w:val="on"/>
      </w:pPr>
      <w:r>
        <w:t>Eurotunnel, 969–971</w:t>
      </w:r>
      <w:bookmarkEnd w:id="8103"/>
    </w:p>
    <w:p>
      <w:bookmarkStart w:id="8104" w:name="Event_studies__118_121"/>
      <w:pPr>
        <w:pStyle w:val="Para 01"/>
        <w:keepLines w:val="on"/>
      </w:pPr>
      <w:r>
        <w:t>Nghiên cứu sự kiện (event studies), 118–121</w:t>
      </w:r>
      <w:bookmarkEnd w:id="8104"/>
    </w:p>
    <w:p>
      <w:bookmarkStart w:id="8105" w:name="Excess_capacity__333"/>
      <w:pPr>
        <w:pStyle w:val="Para 01"/>
        <w:keepLines w:val="on"/>
      </w:pPr>
      <w:r>
        <w:t>Công suất dư thừa, 333</w:t>
      </w:r>
      <w:bookmarkEnd w:id="8105"/>
    </w:p>
    <w:p>
      <w:bookmarkStart w:id="8106" w:name="Excess_cash_flow__total_vs___18"/>
      <w:pPr>
        <w:pStyle w:val="Para 01"/>
        <w:keepLines w:val="on"/>
      </w:pPr>
      <w:r>
        <w:t>Dòng tiền vượt trội, so với tổng, 18</w:t>
      </w:r>
      <w:bookmarkEnd w:id="8106"/>
    </w:p>
    <w:p>
      <w:bookmarkStart w:id="8107" w:name="Excess_returns__brand_name_and"/>
      <w:pPr>
        <w:pStyle w:val="Para 01"/>
        <w:keepLines w:val="on"/>
      </w:pPr>
      <w:r>
        <w:t>Lợi nhuận vượt trội (excess returns)</w:t>
      </w:r>
      <w:bookmarkEnd w:id="8107"/>
    </w:p>
    <w:p>
      <w:bookmarkStart w:id="8108" w:name="brand_name_and__631_632"/>
      <w:pPr>
        <w:pStyle w:val="Para 01"/>
        <w:keepLines w:val="on"/>
      </w:pPr>
      <w:r>
        <w:t>thương hiệu và, 631–632</w:t>
      </w:r>
      <w:bookmarkEnd w:id="8108"/>
    </w:p>
    <w:p>
      <w:bookmarkStart w:id="8109" w:name="in_event_studies__119_120"/>
      <w:pPr>
        <w:pStyle w:val="Para 01"/>
        <w:keepLines w:val="on"/>
      </w:pPr>
      <w:r>
        <w:t>trong nghiên cứu sự kiện, 119–120</w:t>
      </w:r>
      <w:bookmarkEnd w:id="8109"/>
    </w:p>
    <w:p>
      <w:bookmarkStart w:id="8110" w:name="franchise_value_and__869_870"/>
      <w:pPr>
        <w:pStyle w:val="Para 01"/>
        <w:keepLines w:val="on"/>
      </w:pPr>
      <w:r>
        <w:t>giá trị nhượng quyền (franchise value) và, 869–870</w:t>
      </w:r>
      <w:bookmarkEnd w:id="8110"/>
    </w:p>
    <w:p>
      <w:bookmarkStart w:id="8111" w:name="for_intrinsic_valuation_model__1_1"/>
      <w:pPr>
        <w:pStyle w:val="Para 01"/>
        <w:keepLines w:val="on"/>
      </w:pPr>
      <w:r>
        <w:t>cho mô hình định giá nội tại, 1071</w:t>
      </w:r>
      <w:bookmarkEnd w:id="8111"/>
    </w:p>
    <w:p>
      <w:bookmarkStart w:id="8112" w:name="price_to_book_ratio_and__602"/>
      <w:pPr>
        <w:pStyle w:val="Para 01"/>
        <w:keepLines w:val="on"/>
      </w:pPr>
      <w:r>
        <w:t>tỷ lệ giá trên giá trị sổ sách (price-to-book ratio) và, 602</w:t>
      </w:r>
      <w:bookmarkEnd w:id="8112"/>
    </w:p>
    <w:p>
      <w:bookmarkStart w:id="8113" w:name="stable_growth_rate_and__347__353"/>
      <w:pPr>
        <w:pStyle w:val="Para 01"/>
        <w:keepLines w:val="on"/>
      </w:pPr>
      <w:r>
        <w:t>tốc độ tăng trưởng ổn định và, 347, 353–354</w:t>
      </w:r>
      <w:bookmarkEnd w:id="8113"/>
    </w:p>
    <w:p>
      <w:bookmarkStart w:id="8114" w:name="value_to_book_ratio_and__607"/>
      <w:pPr>
        <w:pStyle w:val="Para 01"/>
        <w:keepLines w:val="on"/>
      </w:pPr>
      <w:r>
        <w:t>tỷ lệ giá trị trên giá trị sổ sách (value-to-book ratio) và, 607</w:t>
      </w:r>
      <w:bookmarkEnd w:id="8114"/>
    </w:p>
    <w:p>
      <w:bookmarkStart w:id="8115" w:name="Excess_returns_model_of_valuatio"/>
      <w:pPr>
        <w:pStyle w:val="Para 01"/>
        <w:keepLines w:val="on"/>
      </w:pPr>
      <w:r>
        <w:t>Mô hình định giá dựa trên lợi nhuận vượt trội (excess returns model of valuation)</w:t>
      </w:r>
      <w:bookmarkEnd w:id="8115"/>
    </w:p>
    <w:p>
      <w:bookmarkStart w:id="8116" w:name="basic_model__672"/>
      <w:pPr>
        <w:pStyle w:val="Para 01"/>
        <w:keepLines w:val="on"/>
      </w:pPr>
      <w:r>
        <w:t>mô hình cơ bản, 672</w:t>
      </w:r>
      <w:bookmarkEnd w:id="8116"/>
    </w:p>
    <w:p>
      <w:bookmarkStart w:id="8117" w:name="for_financial_service_firms__672"/>
      <w:pPr>
        <w:pStyle w:val="Para 01"/>
        <w:keepLines w:val="on"/>
      </w:pPr>
      <w:r>
        <w:t>cho các công ty dịch vụ tài chính, 672–674</w:t>
      </w:r>
      <w:bookmarkEnd w:id="8117"/>
    </w:p>
    <w:p>
      <w:bookmarkStart w:id="8118" w:name="inputs_to__672_673"/>
      <w:pPr>
        <w:pStyle w:val="Para 01"/>
        <w:keepLines w:val="on"/>
      </w:pPr>
      <w:r>
        <w:t>đầu vào cho, 672–673</w:t>
      </w:r>
      <w:bookmarkEnd w:id="8118"/>
    </w:p>
    <w:p>
      <w:bookmarkStart w:id="8119" w:name="Exchange_ratio__822_823"/>
      <w:pPr>
        <w:pStyle w:val="Para 01"/>
        <w:keepLines w:val="on"/>
      </w:pPr>
      <w:r>
        <w:t>Tỷ lệ trao đổi, 822–823</w:t>
      </w:r>
      <w:bookmarkEnd w:id="8119"/>
    </w:p>
    <w:p>
      <w:bookmarkStart w:id="8120" w:name="Exclusivity__in_franchises__869"/>
      <w:pPr>
        <w:pStyle w:val="Para 01"/>
        <w:keepLines w:val="on"/>
      </w:pPr>
      <w:r>
        <w:t>Tính độc quyền, trong nhượng quyền thương mại, 869</w:t>
      </w:r>
      <w:bookmarkEnd w:id="8120"/>
    </w:p>
    <w:p>
      <w:bookmarkStart w:id="8121" w:name="Ex_dividend_date__102"/>
      <w:pPr>
        <w:pStyle w:val="Para 01"/>
        <w:keepLines w:val="on"/>
      </w:pPr>
      <w:r>
        <w:t>Ngày giao dịch không hưởng cổ tức, 102</w:t>
      </w:r>
      <w:bookmarkEnd w:id="8121"/>
    </w:p>
    <w:p>
      <w:bookmarkStart w:id="8122" w:name="Exercise_price__on_natural_resou"/>
      <w:pPr>
        <w:pStyle w:val="Para 01"/>
        <w:keepLines w:val="on"/>
      </w:pPr>
      <w:r>
        <w:t>Giá thực hiện</w:t>
      </w:r>
      <w:bookmarkEnd w:id="8122"/>
    </w:p>
    <w:p>
      <w:bookmarkStart w:id="8123" w:name="on_natural_resource_option__926"/>
      <w:pPr>
        <w:pStyle w:val="Para 01"/>
        <w:keepLines w:val="on"/>
      </w:pPr>
      <w:r>
        <w:t>đối với quyền chọn tài nguyên thiên nhiên, 926, 929</w:t>
      </w:r>
      <w:bookmarkEnd w:id="8123"/>
    </w:p>
    <w:p>
      <w:bookmarkStart w:id="8124" w:name="on_project_delay_option__913"/>
      <w:pPr>
        <w:pStyle w:val="Para 01"/>
        <w:keepLines w:val="on"/>
      </w:pPr>
      <w:r>
        <w:t>đối với quyền chọn trì hoãn dự án, 913</w:t>
      </w:r>
      <w:bookmarkEnd w:id="8124"/>
    </w:p>
    <w:p>
      <w:bookmarkStart w:id="8125" w:name="Existing_subscribers__valuing__6"/>
      <w:pPr>
        <w:pStyle w:val="Para 01"/>
        <w:keepLines w:val="on"/>
      </w:pPr>
      <w:r>
        <w:t>Người đăng ký hiện hữu, định giá, 650</w:t>
      </w:r>
      <w:bookmarkEnd w:id="8125"/>
    </w:p>
    <w:p>
      <w:bookmarkStart w:id="8126" w:name="Expansion_options__applications"/>
      <w:pPr>
        <w:pStyle w:val="Para 01"/>
        <w:keepLines w:val="on"/>
      </w:pPr>
      <w:r>
        <w:t>Quyền chọn mở rộng</w:t>
      </w:r>
      <w:bookmarkEnd w:id="8126"/>
    </w:p>
    <w:p>
      <w:bookmarkStart w:id="8127" w:name="applications_for__942_945"/>
      <w:pPr>
        <w:pStyle w:val="Para 01"/>
        <w:keepLines w:val="on"/>
      </w:pPr>
      <w:r>
        <w:t>các ứng dụng cho, 942–945</w:t>
      </w:r>
      <w:bookmarkEnd w:id="8127"/>
    </w:p>
    <w:p>
      <w:bookmarkStart w:id="8128" w:name="explanation_of__935"/>
      <w:pPr>
        <w:pStyle w:val="Para 01"/>
        <w:keepLines w:val="on"/>
      </w:pPr>
      <w:r>
        <w:t>giải thích về, 935</w:t>
      </w:r>
      <w:bookmarkEnd w:id="8128"/>
    </w:p>
    <w:p>
      <w:bookmarkStart w:id="8129" w:name="extensions_and_implications_of_1"/>
      <w:pPr>
        <w:pStyle w:val="Para 01"/>
        <w:keepLines w:val="on"/>
      </w:pPr>
      <w:r>
        <w:t>các phần mở rộng và hàm ý của, 940–942</w:t>
      </w:r>
      <w:bookmarkEnd w:id="8129"/>
    </w:p>
    <w:p>
      <w:bookmarkStart w:id="8130" w:name="Monte_Carlo_simulations_for_vari"/>
      <w:pPr>
        <w:pStyle w:val="Para 01"/>
        <w:keepLines w:val="on"/>
      </w:pPr>
      <w:r>
        <w:t>Mô phỏng Monte Carlo cho ước lượng phương sai và, 939</w:t>
      </w:r>
      <w:bookmarkEnd w:id="8130"/>
    </w:p>
    <w:p>
      <w:bookmarkStart w:id="8131" w:name="payoff_on__935_936"/>
      <w:pPr>
        <w:pStyle w:val="Para 01"/>
        <w:keepLines w:val="on"/>
      </w:pPr>
      <w:r>
        <w:t>khoản chi trả của, 935–936</w:t>
      </w:r>
      <w:bookmarkEnd w:id="8131"/>
    </w:p>
    <w:p>
      <w:bookmarkStart w:id="8132" w:name="problems_in_valuing__940"/>
      <w:pPr>
        <w:pStyle w:val="Para 01"/>
        <w:keepLines w:val="on"/>
      </w:pPr>
      <w:r>
        <w:t>các vấn đề trong định giá, 940</w:t>
      </w:r>
      <w:bookmarkEnd w:id="8132"/>
    </w:p>
    <w:p>
      <w:bookmarkStart w:id="8133" w:name="quantitative_estimation_for__943"/>
      <w:pPr>
        <w:pStyle w:val="Para 01"/>
        <w:keepLines w:val="on"/>
      </w:pPr>
      <w:r>
        <w:t>ước lượng định lượng cho, 943</w:t>
      </w:r>
      <w:bookmarkEnd w:id="8133"/>
    </w:p>
    <w:p>
      <w:bookmarkStart w:id="8134" w:name="tests_for__943_945"/>
      <w:pPr>
        <w:pStyle w:val="Para 01"/>
        <w:keepLines w:val="on"/>
      </w:pPr>
      <w:r>
        <w:t>các kiểm định cho, 943–945</w:t>
      </w:r>
      <w:bookmarkEnd w:id="8134"/>
    </w:p>
    <w:p>
      <w:bookmarkStart w:id="8135" w:name="valuation_inputs_for__936_938"/>
      <w:pPr>
        <w:pStyle w:val="Para 01"/>
        <w:keepLines w:val="on"/>
      </w:pPr>
      <w:r>
        <w:t>các đầu vào định giá cho, 936–938</w:t>
      </w:r>
      <w:bookmarkEnd w:id="8135"/>
    </w:p>
    <w:p>
      <w:bookmarkStart w:id="8136" w:name="valuing_firms_with__945_947"/>
      <w:pPr>
        <w:pStyle w:val="Para 01"/>
        <w:keepLines w:val="on"/>
      </w:pPr>
      <w:r>
        <w:t>định giá các công ty có, 945–947</w:t>
      </w:r>
      <w:bookmarkEnd w:id="8136"/>
    </w:p>
    <w:p>
      <w:bookmarkStart w:id="8137" w:name="Expectations__for_young_or_start"/>
      <w:pPr>
        <w:pStyle w:val="Para 01"/>
        <w:keepLines w:val="on"/>
      </w:pPr>
      <w:r>
        <w:t>Kỳ vọng, đối với các công ty non trẻ hoặc mới khởi nghiệp, 753–755</w:t>
      </w:r>
      <w:bookmarkEnd w:id="8137"/>
    </w:p>
    <w:p>
      <w:bookmarkStart w:id="8138" w:name="Expected_cash_flows__for_aggrega"/>
      <w:pPr>
        <w:pStyle w:val="Para 01"/>
        <w:keepLines w:val="on"/>
      </w:pPr>
      <w:r>
        <w:t>Dòng tiền kỳ vọng</w:t>
      </w:r>
      <w:bookmarkEnd w:id="8138"/>
    </w:p>
    <w:p>
      <w:bookmarkStart w:id="8139" w:name="for_aggregated_valuation__463_1"/>
      <w:pPr>
        <w:pStyle w:val="Para 01"/>
        <w:keepLines w:val="on"/>
      </w:pPr>
      <w:r>
        <w:t>cho định giá tổng hợp, 463</w:t>
      </w:r>
      <w:bookmarkEnd w:id="8139"/>
    </w:p>
    <w:p>
      <w:bookmarkStart w:id="8140" w:name="for_disaggregated_valuation__463_3"/>
      <w:pPr>
        <w:pStyle w:val="Para 01"/>
        <w:keepLines w:val="on"/>
      </w:pPr>
      <w:r>
        <w:t>cho định giá phân tách, 463</w:t>
      </w:r>
      <w:bookmarkEnd w:id="8140"/>
    </w:p>
    <w:p>
      <w:bookmarkStart w:id="8141" w:name="Expected_extraordinary_growth__p"/>
      <w:pPr>
        <w:pStyle w:val="Para 01"/>
        <w:keepLines w:val="on"/>
      </w:pPr>
      <w:r>
        <w:t>Tăng trưởng phi thường kỳ vọng, tỷ số giá trên thu nhập và, 540–541</w:t>
      </w:r>
      <w:bookmarkEnd w:id="8141"/>
    </w:p>
    <w:p>
      <w:bookmarkStart w:id="8142" w:name="Expected_growth__See_also_Growth"/>
      <w:pPr>
        <w:pStyle w:val="Para 01"/>
        <w:keepLines w:val="on"/>
      </w:pPr>
      <w:r>
        <w:t>Tăng trưởng kỳ vọng. Xem thêm Tăng trưởng/tốc độ tăng trưởng</w:t>
      </w:r>
      <w:bookmarkEnd w:id="8142"/>
    </w:p>
    <w:p>
      <w:bookmarkStart w:id="8143" w:name="in_cyclical_firms__702"/>
      <w:pPr>
        <w:pStyle w:val="Para 01"/>
        <w:keepLines w:val="on"/>
      </w:pPr>
      <w:r>
        <w:t>các công ty có tính chu kỳ, 702</w:t>
      </w:r>
      <w:bookmarkEnd w:id="8143"/>
    </w:p>
    <w:p>
      <w:bookmarkStart w:id="8144" w:name="EV_EBITDA_and__573_2"/>
      <w:pPr>
        <w:pStyle w:val="Para 01"/>
        <w:keepLines w:val="on"/>
      </w:pPr>
      <w:r>
        <w:t>EV/EBITDA và, 573</w:t>
      </w:r>
      <w:bookmarkEnd w:id="8144"/>
    </w:p>
    <w:p>
      <w:bookmarkStart w:id="8145" w:name="for_financial_service_firms__663"/>
      <w:pPr>
        <w:pStyle w:val="Para 01"/>
        <w:keepLines w:val="on"/>
      </w:pPr>
      <w:r>
        <w:t>đối với các công ty dịch vụ tài chính, 663</w:t>
      </w:r>
      <w:bookmarkEnd w:id="8145"/>
    </w:p>
    <w:p>
      <w:bookmarkStart w:id="8146" w:name="in_operating_income__317_323"/>
      <w:pPr>
        <w:pStyle w:val="Para 01"/>
        <w:keepLines w:val="on"/>
      </w:pPr>
      <w:r>
        <w:t>trong thu nhập hoạt động, 317–323</w:t>
      </w:r>
      <w:bookmarkEnd w:id="8146"/>
    </w:p>
    <w:p>
      <w:bookmarkStart w:id="8147" w:name="price_to_sales_ratio_and__617"/>
      <w:pPr>
        <w:pStyle w:val="Para 01"/>
        <w:keepLines w:val="on"/>
      </w:pPr>
      <w:r>
        <w:t>tỷ số giá trên doanh thu và, 617</w:t>
      </w:r>
      <w:bookmarkEnd w:id="8147"/>
    </w:p>
    <w:p>
      <w:bookmarkStart w:id="8148" w:name="in_private_firms__771_773"/>
      <w:pPr>
        <w:pStyle w:val="Para 01"/>
        <w:keepLines w:val="on"/>
      </w:pPr>
      <w:r>
        <w:t>trong các công ty tư nhân, 771–773</w:t>
      </w:r>
      <w:bookmarkEnd w:id="8148"/>
    </w:p>
    <w:p>
      <w:bookmarkStart w:id="8149" w:name="in_real_estate_valuation__852"/>
      <w:pPr>
        <w:pStyle w:val="Para 01"/>
        <w:keepLines w:val="on"/>
      </w:pPr>
      <w:r>
        <w:t>trong định giá bất động sản, 852</w:t>
      </w:r>
      <w:bookmarkEnd w:id="8149"/>
    </w:p>
    <w:p>
      <w:bookmarkStart w:id="8150" w:name="value_enhancement_by_increasing"/>
      <w:pPr>
        <w:pStyle w:val="Para 01"/>
        <w:keepLines w:val="on"/>
      </w:pPr>
      <w:r>
        <w:t>gia tăng giá trị bằng cách tăng, 986–990</w:t>
      </w:r>
      <w:bookmarkEnd w:id="8150"/>
    </w:p>
    <w:p>
      <w:bookmarkStart w:id="8151" w:name="Expected_liquidation_value__342"/>
      <w:pPr>
        <w:pStyle w:val="Para 01"/>
        <w:keepLines w:val="on"/>
      </w:pPr>
      <w:r>
        <w:t>Giá trị thanh lý kỳ vọng, 342</w:t>
      </w:r>
      <w:bookmarkEnd w:id="8151"/>
    </w:p>
    <w:p>
      <w:bookmarkStart w:id="8152" w:name="Expected_returns__arbitrage_pric"/>
      <w:pPr>
        <w:pStyle w:val="Para 01"/>
        <w:keepLines w:val="on"/>
      </w:pPr>
      <w:r>
        <w:t>Lợi nhuận kỳ vọng</w:t>
      </w:r>
      <w:bookmarkEnd w:id="8152"/>
    </w:p>
    <w:p>
      <w:bookmarkStart w:id="8153" w:name="arbitrage_pricing_model_and__72_2"/>
      <w:pPr>
        <w:pStyle w:val="Para 01"/>
        <w:keepLines w:val="on"/>
      </w:pPr>
      <w:r>
        <w:t>mô hình định giá chênh lệch giá và, 72–73</w:t>
      </w:r>
      <w:bookmarkEnd w:id="8153"/>
    </w:p>
    <w:p>
      <w:bookmarkStart w:id="8154" w:name="beta_and__190"/>
      <w:pPr>
        <w:pStyle w:val="Para 01"/>
        <w:keepLines w:val="on"/>
      </w:pPr>
      <w:r>
        <w:t>beta và, 190</w:t>
      </w:r>
      <w:bookmarkEnd w:id="8154"/>
    </w:p>
    <w:p>
      <w:bookmarkStart w:id="8155" w:name="equity_risk_and__62_74"/>
      <w:pPr>
        <w:pStyle w:val="Para 01"/>
        <w:keepLines w:val="on"/>
      </w:pPr>
      <w:r>
        <w:t>rủi ro vốn cổ phần và, 62–74</w:t>
      </w:r>
      <w:bookmarkEnd w:id="8155"/>
    </w:p>
    <w:p>
      <w:bookmarkStart w:id="8156" w:name="equity_risk_premium_and__163"/>
      <w:pPr>
        <w:pStyle w:val="Para 01"/>
        <w:keepLines w:val="on"/>
      </w:pPr>
      <w:r>
        <w:t>phần bù rủi ro vốn cổ phần và, 163</w:t>
      </w:r>
      <w:bookmarkEnd w:id="8156"/>
    </w:p>
    <w:p>
      <w:bookmarkStart w:id="8157" w:name="risk_and__70_71"/>
      <w:pPr>
        <w:pStyle w:val="Para 01"/>
        <w:keepLines w:val="on"/>
      </w:pPr>
      <w:r>
        <w:t>rủi ro và, 70–71</w:t>
      </w:r>
      <w:bookmarkEnd w:id="8157"/>
    </w:p>
    <w:p>
      <w:bookmarkStart w:id="8158" w:name="Expected_value__distribution_vs"/>
      <w:pPr>
        <w:pStyle w:val="Para 01"/>
        <w:keepLines w:val="on"/>
      </w:pPr>
      <w:r>
        <w:t>Giá trị kỳ vọng</w:t>
      </w:r>
      <w:bookmarkEnd w:id="8158"/>
    </w:p>
    <w:p>
      <w:bookmarkStart w:id="8159" w:name="distribution_vs__point_estimate"/>
      <w:pPr>
        <w:pStyle w:val="Para 01"/>
        <w:keepLines w:val="on"/>
      </w:pPr>
      <w:r>
        <w:t>phân phối so với ước lượng điểm cho, 1054</w:t>
      </w:r>
      <w:bookmarkEnd w:id="8159"/>
    </w:p>
    <w:p>
      <w:bookmarkStart w:id="8160" w:name="of_real_options__908_909"/>
      <w:pPr>
        <w:pStyle w:val="Para 01"/>
        <w:keepLines w:val="on"/>
      </w:pPr>
      <w:r>
        <w:t>của các quyền chọn thực, 908–909</w:t>
      </w:r>
      <w:bookmarkEnd w:id="8160"/>
    </w:p>
    <w:p>
      <w:bookmarkStart w:id="8161" w:name="risk_adjusted_value_and__1045_10_1"/>
      <w:pPr>
        <w:pStyle w:val="Para 01"/>
        <w:keepLines w:val="on"/>
      </w:pPr>
      <w:r>
        <w:t>giá trị điều chỉnh theo rủi ro và, 1045–1046</w:t>
      </w:r>
      <w:bookmarkEnd w:id="8161"/>
    </w:p>
    <w:p>
      <w:bookmarkStart w:id="8162" w:name="Expense_stops__851"/>
      <w:pPr>
        <w:pStyle w:val="Para 01"/>
        <w:keepLines w:val="on"/>
      </w:pPr>
      <w:r>
        <w:t>Điểm dừng chi phí, 851</w:t>
      </w:r>
      <w:bookmarkEnd w:id="8162"/>
    </w:p>
    <w:p>
      <w:bookmarkStart w:id="8163" w:name="Expiration__patent__925"/>
      <w:pPr>
        <w:pStyle w:val="Para 01"/>
        <w:keepLines w:val="on"/>
      </w:pPr>
      <w:r>
        <w:t>Hết hạn, bằng sáng chế, 925</w:t>
      </w:r>
      <w:bookmarkEnd w:id="8163"/>
    </w:p>
    <w:p>
      <w:bookmarkStart w:id="8164" w:name="External_constraints__operating"/>
      <w:pPr>
        <w:pStyle w:val="Para 01"/>
        <w:keepLines w:val="on"/>
      </w:pPr>
      <w:r>
        <w:t>Các ràng buộc bên ngoài, vấn đề hoạt động do, 717</w:t>
      </w:r>
      <w:bookmarkEnd w:id="8164"/>
    </w:p>
    <w:p>
      <w:bookmarkStart w:id="8165" w:name="Extraordinary_growth__398"/>
      <w:pPr>
        <w:pStyle w:val="Para 01"/>
        <w:keepLines w:val="on"/>
      </w:pPr>
      <w:r>
        <w:t>Tăng trưởng phi thường, 398</w:t>
      </w:r>
      <w:bookmarkEnd w:id="8165"/>
    </w:p>
    <w:p>
      <w:bookmarkStart w:id="8167" w:name="Extraordinary_items__45_46__259"/>
      <w:pPr>
        <w:pStyle w:val="Para 01"/>
        <w:keepLines w:val="on"/>
      </w:pPr>
      <w:r>
        <w:t>Các khoản mục bất thường, 45–46, 259–260</w:t>
      </w:r>
      <w:bookmarkEnd w:id="8167"/>
    </w:p>
    <w:p>
      <w:bookmarkStart w:id="8168" w:name="Exxon_Mobil__707_710__1051_1055"/>
      <w:pPr>
        <w:pStyle w:val="Para 01"/>
        <w:keepLines w:val="on"/>
      </w:pPr>
      <w:r>
        <w:t>Exxon Mobil, 707–710, 1051–1055</w:t>
      </w:r>
      <w:bookmarkEnd w:id="8168"/>
    </w:p>
    <w:p>
      <w:bookmarkStart w:id="8169" w:name="F___Facebook__369__652_Face_valu"/>
      <w:bookmarkStart w:id="8170" w:name="F"/>
      <w:pPr>
        <w:keepNext/>
        <w:pStyle w:val="Para 50"/>
        <w:keepLines w:val="on"/>
      </w:pPr>
      <w:r>
        <w:t>F</w:t>
      </w:r>
      <w:bookmarkEnd w:id="8169"/>
      <w:bookmarkEnd w:id="8170"/>
    </w:p>
    <w:p>
      <w:bookmarkStart w:id="8171" w:name="Facebook__369__652"/>
      <w:pPr>
        <w:pStyle w:val="Para 01"/>
        <w:keepLines w:val="on"/>
      </w:pPr>
      <w:r>
        <w:t>Facebook, 369, 652</w:t>
      </w:r>
      <w:bookmarkEnd w:id="8171"/>
    </w:p>
    <w:p>
      <w:bookmarkStart w:id="8172" w:name="Face_value_of_debt__969"/>
      <w:pPr>
        <w:pStyle w:val="Para 01"/>
        <w:keepLines w:val="on"/>
      </w:pPr>
      <w:r>
        <w:t>Mệnh giá của nợ, 969</w:t>
      </w:r>
      <w:bookmarkEnd w:id="8172"/>
    </w:p>
    <w:p>
      <w:bookmarkStart w:id="8173" w:name="Failure_risk__358__375"/>
      <w:pPr>
        <w:pStyle w:val="Para 01"/>
        <w:keepLines w:val="on"/>
      </w:pPr>
      <w:r>
        <w:t>Rủi ro thất bại, 358, 375</w:t>
      </w:r>
      <w:bookmarkEnd w:id="8173"/>
    </w:p>
    <w:p>
      <w:bookmarkStart w:id="8174" w:name="Fairy_tale__business_story_as__3"/>
      <w:pPr>
        <w:pStyle w:val="Para 01"/>
        <w:keepLines w:val="on"/>
      </w:pPr>
      <w:r>
        <w:t>Câu chuyện cổ tích, câu chuyện kinh doanh như là, 368</w:t>
      </w:r>
      <w:bookmarkEnd w:id="8174"/>
    </w:p>
    <w:p>
      <w:bookmarkStart w:id="8175" w:name="FCFE__See_Free_cash_flow_to_equi"/>
      <w:pPr>
        <w:pStyle w:val="Para 10"/>
        <w:keepLines w:val="on"/>
      </w:pPr>
      <w:r>
        <w:t>FCFE. Xem Dòng tiền tự do cho vốn chủ sở hữu (FCFE); Các mô hình định giá dòng tiền tự do cho vốn chủ sở hữu (FCFE)</w:t>
      </w:r>
      <w:bookmarkEnd w:id="8175"/>
    </w:p>
    <w:p>
      <w:bookmarkStart w:id="8176" w:name="FCFF__See_Free_cash_flow_to_firm"/>
      <w:pPr>
        <w:pStyle w:val="Para 10"/>
        <w:keepLines w:val="on"/>
      </w:pPr>
      <w:r>
        <w:t>FCFF. Xem Dòng tiền tự do cho doanh nghiệp (FCFF)</w:t>
      </w:r>
      <w:bookmarkEnd w:id="8176"/>
    </w:p>
    <w:p>
      <w:bookmarkStart w:id="8177" w:name="Feedback_loop__in_story_based_va"/>
      <w:pPr>
        <w:pStyle w:val="Para 01"/>
        <w:keepLines w:val="on"/>
      </w:pPr>
      <w:r>
        <w:t>Vòng phản hồi, trong định giá dựa trên câu chuyện, 379–380</w:t>
      </w:r>
      <w:bookmarkEnd w:id="8177"/>
    </w:p>
    <w:p>
      <w:bookmarkStart w:id="8178" w:name="FIFO__first_in__first_out___33_3"/>
      <w:pPr>
        <w:pStyle w:val="Para 01"/>
        <w:keepLines w:val="on"/>
      </w:pPr>
      <w:r>
        <w:t>FIFO (nhập trước, xuất trước), 33–34</w:t>
      </w:r>
      <w:bookmarkEnd w:id="8178"/>
    </w:p>
    <w:p>
      <w:bookmarkStart w:id="8179" w:name="Filter_rules__126_128"/>
      <w:pPr>
        <w:pStyle w:val="Para 01"/>
        <w:keepLines w:val="on"/>
      </w:pPr>
      <w:r>
        <w:t>Quy tắc lọc, 126–128</w:t>
      </w:r>
      <w:bookmarkEnd w:id="8179"/>
    </w:p>
    <w:p>
      <w:bookmarkStart w:id="8180" w:name="Financial_analysis__See_Analysts"/>
      <w:pPr>
        <w:pStyle w:val="Para 01"/>
        <w:keepLines w:val="on"/>
      </w:pPr>
      <w:r>
        <w:t>Phân tích tài chính. Xem Các nhà phân tích</w:t>
      </w:r>
      <w:bookmarkEnd w:id="8180"/>
    </w:p>
    <w:p>
      <w:bookmarkStart w:id="8181" w:name="Financial_assets__26__837_838"/>
      <w:pPr>
        <w:pStyle w:val="Para 01"/>
        <w:keepLines w:val="on"/>
      </w:pPr>
      <w:r>
        <w:t>Tài sản tài chính, 26, 837–838</w:t>
      </w:r>
      <w:bookmarkEnd w:id="8181"/>
    </w:p>
    <w:p>
      <w:bookmarkStart w:id="8182" w:name="Financial_crises__gold_prices_in"/>
      <w:pPr>
        <w:pStyle w:val="Para 01"/>
        <w:keepLines w:val="on"/>
      </w:pPr>
      <w:r>
        <w:t>Khủng hoảng tài chính, giá vàng trong, 887</w:t>
      </w:r>
      <w:bookmarkEnd w:id="8182"/>
    </w:p>
    <w:p>
      <w:bookmarkStart w:id="8183" w:name="Financial_expenses__244"/>
      <w:pPr>
        <w:pStyle w:val="Para 01"/>
        <w:keepLines w:val="on"/>
      </w:pPr>
      <w:r>
        <w:t>Chi phí tài chính, 244</w:t>
      </w:r>
      <w:bookmarkEnd w:id="8183"/>
    </w:p>
    <w:p>
      <w:bookmarkStart w:id="8184" w:name="Financial_flexibility__950_953"/>
      <w:pPr>
        <w:pStyle w:val="Para 01"/>
        <w:keepLines w:val="on"/>
      </w:pPr>
      <w:r>
        <w:t>Tính linh hoạt tài chính, 950–953</w:t>
      </w:r>
      <w:bookmarkEnd w:id="8184"/>
    </w:p>
    <w:p>
      <w:bookmarkStart w:id="8185" w:name="Financial_history__in_business_s"/>
      <w:pPr>
        <w:pStyle w:val="Para 01"/>
        <w:keepLines w:val="on"/>
      </w:pPr>
      <w:r>
        <w:t>Lịch sử tài chính, trong câu chuyện kinh doanh, 369</w:t>
      </w:r>
      <w:bookmarkEnd w:id="8185"/>
    </w:p>
    <w:p>
      <w:bookmarkStart w:id="8186" w:name="Financial_information__accountin"/>
      <w:pPr>
        <w:pStyle w:val="Para 01"/>
        <w:keepLines w:val="on"/>
      </w:pPr>
      <w:r>
        <w:t>Thông tin tài chính, dữ liệu kế toán và, 241–243</w:t>
      </w:r>
      <w:bookmarkEnd w:id="8186"/>
    </w:p>
    <w:p>
      <w:bookmarkStart w:id="8187" w:name="Financial_leverage__See_also_Lev"/>
      <w:pPr>
        <w:pStyle w:val="Para 01"/>
        <w:keepLines w:val="on"/>
      </w:pPr>
      <w:r>
        <w:t>Đòn bẩy tài chính. Xem thêm Đòn bẩy</w:t>
      </w:r>
      <w:bookmarkEnd w:id="8187"/>
    </w:p>
    <w:p>
      <w:bookmarkStart w:id="8188" w:name="betas_and__202_204"/>
      <w:pPr>
        <w:pStyle w:val="Para 01"/>
        <w:keepLines w:val="on"/>
      </w:pPr>
      <w:r>
        <w:t>beta và, 202–204</w:t>
      </w:r>
      <w:bookmarkEnd w:id="8188"/>
    </w:p>
    <w:p>
      <w:bookmarkStart w:id="8189" w:name="valuation_issues_related_to__719"/>
      <w:pPr>
        <w:pStyle w:val="Para 01"/>
        <w:keepLines w:val="on"/>
      </w:pPr>
      <w:r>
        <w:t>các vấn đề định giá liên quan đến, 719–727</w:t>
      </w:r>
      <w:bookmarkEnd w:id="8189"/>
    </w:p>
    <w:p>
      <w:bookmarkStart w:id="8190" w:name="Financial_problems__firms_with"/>
      <w:pPr>
        <w:pStyle w:val="Para 01"/>
        <w:keepLines w:val="on"/>
      </w:pPr>
      <w:r>
        <w:t>Vấn đề tài chính, các công ty gặp phải, 1071</w:t>
      </w:r>
      <w:bookmarkEnd w:id="8190"/>
    </w:p>
    <w:p>
      <w:bookmarkStart w:id="8191" w:name="Financial_ratios__long_term_solv"/>
      <w:pPr>
        <w:pStyle w:val="Para 01"/>
        <w:keepLines w:val="on"/>
      </w:pPr>
      <w:r>
        <w:t>Các tỷ số tài chính</w:t>
      </w:r>
      <w:bookmarkEnd w:id="8191"/>
    </w:p>
    <w:p>
      <w:bookmarkStart w:id="8192" w:name="long_term_solvency_and_default_r"/>
      <w:pPr>
        <w:pStyle w:val="Para 01"/>
        <w:keepLines w:val="on"/>
      </w:pPr>
      <w:r>
        <w:t>khả năng thanh toán dài hạn và rủi ro vỡ nợ, 53–56</w:t>
      </w:r>
      <w:bookmarkEnd w:id="8192"/>
    </w:p>
    <w:p>
      <w:bookmarkStart w:id="8193" w:name="short_term_liquidity_risk__51_52"/>
      <w:pPr>
        <w:pStyle w:val="Para 01"/>
        <w:keepLines w:val="on"/>
      </w:pPr>
      <w:r>
        <w:t>rủi ro thanh khoản ngắn hạn, 51–52</w:t>
      </w:r>
      <w:bookmarkEnd w:id="8193"/>
    </w:p>
    <w:p>
      <w:bookmarkStart w:id="8194" w:name="and_S_P_ratings__84"/>
      <w:pPr>
        <w:pStyle w:val="Para 01"/>
        <w:keepLines w:val="on"/>
      </w:pPr>
      <w:r>
        <w:t>và xếp hạng S&amp;P, 84</w:t>
      </w:r>
      <w:bookmarkEnd w:id="8194"/>
    </w:p>
    <w:p>
      <w:bookmarkStart w:id="8195" w:name="turnover_ratios__52_53"/>
      <w:pPr>
        <w:pStyle w:val="Para 01"/>
        <w:keepLines w:val="on"/>
      </w:pPr>
      <w:r>
        <w:t>các tỷ số vòng quay (turnover ratios), 52–53</w:t>
      </w:r>
      <w:bookmarkEnd w:id="8195"/>
    </w:p>
    <w:p>
      <w:bookmarkStart w:id="8196" w:name="Financial_service_firms__asset_m"/>
      <w:pPr>
        <w:pStyle w:val="Para 01"/>
        <w:keepLines w:val="on"/>
      </w:pPr>
      <w:r>
        <w:t>Các công ty dịch vụ tài chính</w:t>
      </w:r>
      <w:bookmarkEnd w:id="8196"/>
    </w:p>
    <w:p>
      <w:bookmarkStart w:id="8197" w:name="asset_managment_companies__689_6"/>
      <w:pPr>
        <w:pStyle w:val="Para 01"/>
        <w:keepLines w:val="on"/>
      </w:pPr>
      <w:r>
        <w:t>các công ty quản lý tài sản (asset management companies), 689–690</w:t>
      </w:r>
      <w:bookmarkEnd w:id="8197"/>
    </w:p>
    <w:p>
      <w:bookmarkStart w:id="8198" w:name="brokerage_firms__690_691"/>
      <w:pPr>
        <w:pStyle w:val="Para 01"/>
        <w:keepLines w:val="on"/>
      </w:pPr>
      <w:r>
        <w:t>các công ty môi giới chứng khoán (brokerage firms), 690–691</w:t>
      </w:r>
      <w:bookmarkEnd w:id="8198"/>
    </w:p>
    <w:p>
      <w:bookmarkStart w:id="8199" w:name="categories_of__657_658"/>
      <w:pPr>
        <w:pStyle w:val="Para 01"/>
        <w:keepLines w:val="on"/>
      </w:pPr>
      <w:r>
        <w:t>các nhóm phân loại của chúng, 657–658</w:t>
      </w:r>
      <w:bookmarkEnd w:id="8199"/>
    </w:p>
    <w:p>
      <w:bookmarkStart w:id="8200" w:name="crisis_effect_for__680_688"/>
      <w:pPr>
        <w:pStyle w:val="Para 01"/>
        <w:keepLines w:val="on"/>
      </w:pPr>
      <w:r>
        <w:t>tác động của khủng hoảng đối với chúng, 680–688</w:t>
      </w:r>
      <w:bookmarkEnd w:id="8200"/>
    </w:p>
    <w:p>
      <w:bookmarkStart w:id="8201" w:name="debt_for__658"/>
      <w:pPr>
        <w:pStyle w:val="Para 01"/>
        <w:keepLines w:val="on"/>
      </w:pPr>
      <w:r>
        <w:t>nợ của chúng, 658</w:t>
      </w:r>
      <w:bookmarkEnd w:id="8201"/>
    </w:p>
    <w:p>
      <w:bookmarkStart w:id="8202" w:name="discounted_cash_flow_valuation_o"/>
      <w:pPr>
        <w:pStyle w:val="Para 01"/>
        <w:keepLines w:val="on"/>
      </w:pPr>
      <w:r>
        <w:t>định giá theo dòng tiền chiết khấu (discounted cash flow valuation) của chúng, 660–675</w:t>
      </w:r>
      <w:bookmarkEnd w:id="8202"/>
    </w:p>
    <w:p>
      <w:bookmarkStart w:id="8203" w:name="framework_for_valuation_of__659"/>
      <w:pPr>
        <w:pStyle w:val="Para 01"/>
        <w:keepLines w:val="on"/>
      </w:pPr>
      <w:r>
        <w:t>khung định giá của chúng, 659–660</w:t>
      </w:r>
      <w:bookmarkEnd w:id="8203"/>
    </w:p>
    <w:p>
      <w:bookmarkStart w:id="8204" w:name="non_bank__688_691"/>
      <w:pPr>
        <w:pStyle w:val="Para 01"/>
        <w:keepLines w:val="on"/>
      </w:pPr>
      <w:r>
        <w:t>các công ty phi ngân hàng (non-bank), 688–691</w:t>
      </w:r>
      <w:bookmarkEnd w:id="8204"/>
    </w:p>
    <w:p>
      <w:bookmarkStart w:id="8205" w:name="non_dividend_paying__667_668"/>
      <w:pPr>
        <w:pStyle w:val="Para 01"/>
        <w:keepLines w:val="on"/>
      </w:pPr>
      <w:r>
        <w:t>các công ty không trả cổ tức (non-dividend-paying), 667–668</w:t>
      </w:r>
      <w:bookmarkEnd w:id="8205"/>
    </w:p>
    <w:p>
      <w:bookmarkStart w:id="8206" w:name="regulatory_overlay_of__658_659"/>
      <w:pPr>
        <w:pStyle w:val="Para 01"/>
        <w:keepLines w:val="on"/>
      </w:pPr>
      <w:r>
        <w:t>lớp phủ quy định (regulatory overlay) của chúng, 658–659</w:t>
      </w:r>
      <w:bookmarkEnd w:id="8206"/>
    </w:p>
    <w:p>
      <w:bookmarkStart w:id="8207" w:name="reinvestment_at__659"/>
      <w:pPr>
        <w:pStyle w:val="Para 01"/>
        <w:keepLines w:val="on"/>
      </w:pPr>
      <w:r>
        <w:t>tái đầu tư (reinvestment) tại chúng, 659</w:t>
      </w:r>
      <w:bookmarkEnd w:id="8207"/>
    </w:p>
    <w:p>
      <w:bookmarkStart w:id="8208" w:name="relative_valuation_of__675_680"/>
      <w:pPr>
        <w:pStyle w:val="Para 01"/>
        <w:keepLines w:val="on"/>
      </w:pPr>
      <w:r>
        <w:t>định giá tương đối (relative valuation) của chúng, 675–680</w:t>
      </w:r>
      <w:bookmarkEnd w:id="8208"/>
    </w:p>
    <w:p>
      <w:bookmarkStart w:id="8209" w:name="transaction_and_payment_processo"/>
      <w:pPr>
        <w:pStyle w:val="Para 01"/>
        <w:keepLines w:val="on"/>
      </w:pPr>
      <w:r>
        <w:t>các đơn vị xử lý giao dịch và thanh toán (transaction and payment processors), 690</w:t>
      </w:r>
      <w:bookmarkEnd w:id="8209"/>
    </w:p>
    <w:p>
      <w:bookmarkStart w:id="8210" w:name="Financial_statements__accounting"/>
      <w:pPr>
        <w:pStyle w:val="Para 01"/>
        <w:keepLines w:val="on"/>
      </w:pPr>
      <w:r>
        <w:t>Báo cáo tài chính</w:t>
      </w:r>
      <w:bookmarkEnd w:id="8210"/>
    </w:p>
    <w:p>
      <w:bookmarkStart w:id="8211" w:name="accounting_standard_differences"/>
      <w:pPr>
        <w:pStyle w:val="Para 01"/>
        <w:keepLines w:val="on"/>
      </w:pPr>
      <w:r>
        <w:t>sự khác biệt về chuẩn mực kế toán và chúng, 56–57</w:t>
      </w:r>
      <w:bookmarkEnd w:id="8211"/>
    </w:p>
    <w:p>
      <w:bookmarkStart w:id="8212" w:name="asset_measurement_and_valuation"/>
      <w:pPr>
        <w:pStyle w:val="Para 01"/>
        <w:keepLines w:val="on"/>
      </w:pPr>
      <w:r>
        <w:t>đo lường và định giá tài sản và chúng, 31–38</w:t>
      </w:r>
      <w:bookmarkEnd w:id="8212"/>
    </w:p>
    <w:p>
      <w:bookmarkStart w:id="8213" w:name="basic_accounting_statements__29"/>
      <w:pPr>
        <w:pStyle w:val="Para 01"/>
        <w:keepLines w:val="on"/>
      </w:pPr>
      <w:r>
        <w:t>các báo cáo kế toán cơ bản, 29–31</w:t>
      </w:r>
      <w:bookmarkEnd w:id="8213"/>
    </w:p>
    <w:p>
      <w:bookmarkStart w:id="8214" w:name="disclosures_in__51"/>
      <w:pPr>
        <w:pStyle w:val="Para 01"/>
        <w:keepLines w:val="on"/>
      </w:pPr>
      <w:r>
        <w:t>các thuyết minh (disclosures) trong đó, 51</w:t>
      </w:r>
      <w:bookmarkEnd w:id="8214"/>
    </w:p>
    <w:p>
      <w:bookmarkStart w:id="8215" w:name="earnings_and_profitability_measu"/>
      <w:pPr>
        <w:pStyle w:val="Para 01"/>
        <w:keepLines w:val="on"/>
      </w:pPr>
      <w:r>
        <w:t>đo lường lợi nhuận và khả năng sinh lời, 44–50</w:t>
      </w:r>
      <w:bookmarkEnd w:id="8215"/>
    </w:p>
    <w:p>
      <w:bookmarkStart w:id="8216" w:name="financing_mix_measurement_and__3"/>
      <w:pPr>
        <w:pStyle w:val="Para 01"/>
        <w:keepLines w:val="on"/>
      </w:pPr>
      <w:r>
        <w:t>đo lường cơ cấu tài trợ (financing mix) và chúng, 38–44</w:t>
      </w:r>
      <w:bookmarkEnd w:id="8216"/>
    </w:p>
    <w:p>
      <w:bookmarkStart w:id="8217" w:name="risk_measurement_and__50_56"/>
      <w:pPr>
        <w:pStyle w:val="Para 01"/>
        <w:keepLines w:val="on"/>
      </w:pPr>
      <w:r>
        <w:t>đo lường rủi ro và chúng, 50–56</w:t>
      </w:r>
      <w:bookmarkEnd w:id="8217"/>
    </w:p>
    <w:p>
      <w:bookmarkStart w:id="8218" w:name="Financial_synergy__cash_slack__8"/>
      <w:pPr>
        <w:pStyle w:val="Para 01"/>
        <w:keepLines w:val="on"/>
      </w:pPr>
      <w:r>
        <w:t>Hiệp lực tài chính (Financial synergy)</w:t>
      </w:r>
      <w:bookmarkEnd w:id="8218"/>
    </w:p>
    <w:p>
      <w:bookmarkStart w:id="8219" w:name="cash_slack__814_815"/>
      <w:pPr>
        <w:pStyle w:val="Para 01"/>
        <w:keepLines w:val="on"/>
      </w:pPr>
      <w:r>
        <w:t>tiền nhàn rỗi (cash slack), 814–815</w:t>
      </w:r>
      <w:bookmarkEnd w:id="8219"/>
    </w:p>
    <w:p>
      <w:bookmarkStart w:id="8220" w:name="debt_capacity_and__816_817"/>
      <w:pPr>
        <w:pStyle w:val="Para 01"/>
        <w:keepLines w:val="on"/>
      </w:pPr>
      <w:r>
        <w:t>khả năng vay nợ và, 816–817</w:t>
      </w:r>
      <w:bookmarkEnd w:id="8220"/>
    </w:p>
    <w:p>
      <w:bookmarkStart w:id="8221" w:name="diversification__813_814"/>
      <w:pPr>
        <w:pStyle w:val="Para 01"/>
        <w:keepLines w:val="on"/>
      </w:pPr>
      <w:r>
        <w:t>đa dạng hóa, 813–814</w:t>
      </w:r>
      <w:bookmarkEnd w:id="8221"/>
    </w:p>
    <w:p>
      <w:bookmarkStart w:id="8222" w:name="sources_of__801"/>
      <w:pPr>
        <w:pStyle w:val="Para 01"/>
        <w:keepLines w:val="on"/>
      </w:pPr>
      <w:r>
        <w:t>các nguồn của, 801</w:t>
      </w:r>
      <w:bookmarkEnd w:id="8222"/>
    </w:p>
    <w:p>
      <w:bookmarkStart w:id="8223" w:name="tax_benefits__815_816"/>
      <w:pPr>
        <w:pStyle w:val="Para 01"/>
        <w:keepLines w:val="on"/>
      </w:pPr>
      <w:r>
        <w:t>lợi ích thuế, 815–816</w:t>
      </w:r>
      <w:bookmarkEnd w:id="8223"/>
    </w:p>
    <w:p>
      <w:bookmarkStart w:id="8224" w:name="valuing__813_817"/>
      <w:pPr>
        <w:pStyle w:val="Para 01"/>
        <w:keepLines w:val="on"/>
      </w:pPr>
      <w:r>
        <w:t>định giá, 813–817</w:t>
      </w:r>
      <w:bookmarkEnd w:id="8224"/>
    </w:p>
    <w:p>
      <w:bookmarkStart w:id="8225" w:name="Financing__changing_type_of__996"/>
      <w:pPr>
        <w:pStyle w:val="Para 01"/>
        <w:keepLines w:val="on"/>
      </w:pPr>
      <w:r>
        <w:t>Tài trợ vốn (Financing), thay đổi loại hình, 996</w:t>
      </w:r>
      <w:bookmarkEnd w:id="8225"/>
    </w:p>
    <w:p>
      <w:bookmarkStart w:id="8226" w:name="Financing_costs__value_enhanceme"/>
      <w:pPr>
        <w:pStyle w:val="Para 01"/>
        <w:keepLines w:val="on"/>
      </w:pPr>
      <w:r>
        <w:t>Chi phí tài trợ vốn (Financing costs), gia tăng giá trị bằng cách cắt giảm, 995–996</w:t>
      </w:r>
      <w:bookmarkEnd w:id="8226"/>
    </w:p>
    <w:p>
      <w:bookmarkStart w:id="8227" w:name="Financing_expenses__earnings_adj"/>
      <w:pPr>
        <w:pStyle w:val="Para 01"/>
        <w:keepLines w:val="on"/>
      </w:pPr>
      <w:r>
        <w:t>Chi phí tài trợ vốn (Financing expenses)</w:t>
      </w:r>
      <w:bookmarkEnd w:id="8227"/>
    </w:p>
    <w:p>
      <w:bookmarkStart w:id="8228" w:name="earnings_adjustments_for__252_25"/>
      <w:pPr>
        <w:pStyle w:val="Para 01"/>
        <w:keepLines w:val="on"/>
      </w:pPr>
      <w:r>
        <w:t>điều chỉnh thu nhập cho, 252–256</w:t>
      </w:r>
      <w:bookmarkEnd w:id="8228"/>
    </w:p>
    <w:p>
      <w:bookmarkStart w:id="8229" w:name="explanation_of__44"/>
      <w:pPr>
        <w:pStyle w:val="Para 01"/>
        <w:keepLines w:val="on"/>
      </w:pPr>
      <w:r>
        <w:t>giải thích về, 44</w:t>
      </w:r>
      <w:bookmarkEnd w:id="8229"/>
    </w:p>
    <w:p>
      <w:bookmarkStart w:id="8230" w:name="Financing_mix__38_44__995"/>
      <w:pPr>
        <w:pStyle w:val="Para 01"/>
        <w:keepLines w:val="on"/>
      </w:pPr>
      <w:r>
        <w:t>Cơ cấu tài trợ vốn (Financing mix), 38–44, 995</w:t>
      </w:r>
      <w:bookmarkEnd w:id="8230"/>
    </w:p>
    <w:p>
      <w:bookmarkStart w:id="8231" w:name="Firms__See_also_Target_firms__sp"/>
      <w:pPr>
        <w:pStyle w:val="Para 60"/>
        <w:keepLines w:val="on"/>
      </w:pPr>
      <w:r>
        <w:t>Các doanh nghiệp (Firms). Xem thêm Doanh nghiệp mục tiêu (Target firms); các loại doanh nghiệp cụ thể</w:t>
      </w:r>
      <w:bookmarkEnd w:id="8231"/>
    </w:p>
    <w:p>
      <w:bookmarkStart w:id="8232" w:name="comparable__525_526__635_641__81"/>
      <w:pPr>
        <w:pStyle w:val="Para 01"/>
        <w:keepLines w:val="on"/>
      </w:pPr>
      <w:r>
        <w:t>có thể so sánh được, 525–526, 635–641, 819</w:t>
      </w:r>
      <w:bookmarkEnd w:id="8232"/>
    </w:p>
    <w:p>
      <w:bookmarkStart w:id="8233" w:name="growth_and_size_of__305_306__347"/>
      <w:pPr>
        <w:pStyle w:val="Para 01"/>
        <w:keepLines w:val="on"/>
      </w:pPr>
      <w:r>
        <w:t>tăng trưởng và quy mô của, 305–306, 347</w:t>
      </w:r>
      <w:bookmarkEnd w:id="8233"/>
    </w:p>
    <w:p>
      <w:bookmarkStart w:id="8234" w:name="market_anomalies_related_to_char"/>
      <w:pPr>
        <w:pStyle w:val="Para 01"/>
        <w:keepLines w:val="on"/>
      </w:pPr>
      <w:r>
        <w:t>các bất thường thị trường liên quan đến đặc điểm của, 137–141</w:t>
      </w:r>
      <w:bookmarkEnd w:id="8234"/>
    </w:p>
    <w:p>
      <w:bookmarkStart w:id="8235" w:name="with_negative_earnings__989"/>
      <w:pPr>
        <w:pStyle w:val="Para 01"/>
        <w:keepLines w:val="on"/>
      </w:pPr>
      <w:r>
        <w:t>có thu nhập âm, 989</w:t>
      </w:r>
      <w:bookmarkEnd w:id="8235"/>
    </w:p>
    <w:p>
      <w:bookmarkStart w:id="8236" w:name="overvalued__1077"/>
      <w:pPr>
        <w:pStyle w:val="Para 01"/>
        <w:keepLines w:val="on"/>
      </w:pPr>
      <w:r>
        <w:t>bị định giá quá cao, 1077</w:t>
      </w:r>
      <w:bookmarkEnd w:id="8236"/>
    </w:p>
    <w:p>
      <w:bookmarkStart w:id="8237" w:name="with_patents__922_924"/>
      <w:pPr>
        <w:pStyle w:val="Para 01"/>
        <w:keepLines w:val="on"/>
      </w:pPr>
      <w:r>
        <w:t>có bằng sáng chế, 922–924</w:t>
      </w:r>
      <w:bookmarkEnd w:id="8237"/>
    </w:p>
    <w:p>
      <w:bookmarkStart w:id="8238" w:name="survival_of__357_360"/>
      <w:pPr>
        <w:pStyle w:val="Para 01"/>
        <w:keepLines w:val="on"/>
      </w:pPr>
      <w:r>
        <w:t>sự tồn tại của, 357–360</w:t>
      </w:r>
      <w:bookmarkEnd w:id="8238"/>
    </w:p>
    <w:p>
      <w:bookmarkStart w:id="8239" w:name="tax_books_and_reporting_books_of"/>
      <w:pPr>
        <w:pStyle w:val="Para 01"/>
        <w:keepLines w:val="on"/>
      </w:pPr>
      <w:r>
        <w:t>sổ sách thuế và sổ sách báo cáo của, 277–278</w:t>
      </w:r>
      <w:bookmarkEnd w:id="8239"/>
    </w:p>
    <w:p>
      <w:bookmarkStart w:id="8240" w:name="terminal_value_of__341_342"/>
      <w:pPr>
        <w:pStyle w:val="Para 01"/>
        <w:keepLines w:val="on"/>
      </w:pPr>
      <w:r>
        <w:t>giá trị cuối kỳ (terminal value) của, 341–342</w:t>
      </w:r>
      <w:bookmarkEnd w:id="8240"/>
    </w:p>
    <w:p>
      <w:bookmarkStart w:id="8241" w:name="undervalued__799__1077"/>
      <w:pPr>
        <w:pStyle w:val="Para 01"/>
        <w:keepLines w:val="on"/>
      </w:pPr>
      <w:r>
        <w:t>bị định giá thấp, 799, 1077</w:t>
      </w:r>
      <w:bookmarkEnd w:id="8241"/>
    </w:p>
    <w:p>
      <w:bookmarkStart w:id="8242" w:name="value_of_assets_of__967_968"/>
      <w:pPr>
        <w:pStyle w:val="Para 01"/>
        <w:keepLines w:val="on"/>
      </w:pPr>
      <w:r>
        <w:t>giá trị tài sản của, 967–968</w:t>
      </w:r>
      <w:bookmarkEnd w:id="8242"/>
    </w:p>
    <w:p>
      <w:bookmarkStart w:id="8243" w:name="Firm_size__and_illiquidity_disco"/>
      <w:pPr>
        <w:pStyle w:val="Para 01"/>
        <w:keepLines w:val="on"/>
      </w:pPr>
      <w:r>
        <w:t>Quy mô doanh nghiệp (Firm size)</w:t>
      </w:r>
      <w:bookmarkEnd w:id="8243"/>
    </w:p>
    <w:p>
      <w:bookmarkStart w:id="8244" w:name="and_illiquidity_discount__775_1"/>
      <w:pPr>
        <w:pStyle w:val="Para 01"/>
        <w:keepLines w:val="on"/>
      </w:pPr>
      <w:r>
        <w:t>và chiết khấu kém thanh khoản (illiquidity discount), 775</w:t>
      </w:r>
      <w:bookmarkEnd w:id="8244"/>
    </w:p>
    <w:p>
      <w:bookmarkStart w:id="8245" w:name="operating_problems_and__717"/>
      <w:pPr>
        <w:pStyle w:val="Para 01"/>
        <w:keepLines w:val="on"/>
      </w:pPr>
      <w:r>
        <w:t>vấn đề vận hành và, 717</w:t>
      </w:r>
      <w:bookmarkEnd w:id="8245"/>
    </w:p>
    <w:p>
      <w:bookmarkStart w:id="8246" w:name="Firm_specific_information__308"/>
      <w:pPr>
        <w:pStyle w:val="Para 01"/>
        <w:keepLines w:val="on"/>
      </w:pPr>
      <w:r>
        <w:t>Thông tin đặc thù của doanh nghiệp, 308, 310</w:t>
      </w:r>
      <w:bookmarkEnd w:id="8246"/>
    </w:p>
    <w:p>
      <w:bookmarkStart w:id="8247" w:name="Firm_specific_problems__700_701"/>
      <w:pPr>
        <w:pStyle w:val="Para 01"/>
        <w:keepLines w:val="on"/>
      </w:pPr>
      <w:r>
        <w:t>Vấn đề đặc thù của doanh nghiệp, 700–701</w:t>
      </w:r>
      <w:bookmarkEnd w:id="8247"/>
    </w:p>
    <w:p>
      <w:bookmarkStart w:id="8248" w:name="Firm_specific_risk__66_67"/>
      <w:pPr>
        <w:pStyle w:val="Para 01"/>
        <w:keepLines w:val="on"/>
      </w:pPr>
      <w:r>
        <w:t>Rủi ro đặc thù của doanh nghiệp, 66–67</w:t>
      </w:r>
      <w:bookmarkEnd w:id="8248"/>
    </w:p>
    <w:p>
      <w:bookmarkStart w:id="8249" w:name="Firm_valuation__adjusted_present"/>
      <w:pPr>
        <w:pStyle w:val="Para 01"/>
        <w:keepLines w:val="on"/>
      </w:pPr>
      <w:r>
        <w:t>Định giá doanh nghiệp</w:t>
      </w:r>
      <w:bookmarkEnd w:id="8249"/>
    </w:p>
    <w:p>
      <w:bookmarkStart w:id="8250" w:name="adjusted_present_value_approach_1"/>
      <w:pPr>
        <w:pStyle w:val="Para 01"/>
        <w:keepLines w:val="on"/>
      </w:pPr>
      <w:r>
        <w:t>phương pháp giá trị hiện tại điều chỉnh đối với định giá doanh nghiệp, 453–458</w:t>
      </w:r>
      <w:bookmarkEnd w:id="8250"/>
    </w:p>
    <w:p>
      <w:bookmarkStart w:id="8251" w:name="cost_of_capital_approach_to__440"/>
      <w:pPr>
        <w:pStyle w:val="Para 01"/>
        <w:keepLines w:val="on"/>
      </w:pPr>
      <w:r>
        <w:t>phương pháp chi phí vốn đối với định giá doanh nghiệp, 440–453</w:t>
      </w:r>
      <w:bookmarkEnd w:id="8251"/>
    </w:p>
    <w:p>
      <w:bookmarkStart w:id="8252" w:name="effect_of_leverage_and__468_477"/>
      <w:pPr>
        <w:pStyle w:val="Para 01"/>
        <w:keepLines w:val="on"/>
      </w:pPr>
      <w:r>
        <w:t>ảnh hưởng của đòn bẩy tài chính và định giá doanh nghiệp, 468–477</w:t>
      </w:r>
      <w:bookmarkEnd w:id="8252"/>
    </w:p>
    <w:p>
      <w:bookmarkStart w:id="8253" w:name="equity_valuation_vs___14_15"/>
      <w:pPr>
        <w:pStyle w:val="Para 01"/>
        <w:keepLines w:val="on"/>
      </w:pPr>
      <w:r>
        <w:t>định giá vốn chủ sở hữu so với định giá doanh nghiệp, 14–15</w:t>
      </w:r>
      <w:bookmarkEnd w:id="8253"/>
    </w:p>
    <w:p>
      <w:bookmarkStart w:id="8254" w:name="firm_value_in_equity_valuation_v"/>
      <w:pPr>
        <w:pStyle w:val="Para 01"/>
        <w:keepLines w:val="on"/>
      </w:pPr>
      <w:r>
        <w:t>giá trị doanh nghiệp trong định giá vốn chủ sở hữu so với định giá doanh nghiệp, 451–453</w:t>
      </w:r>
      <w:bookmarkEnd w:id="8254"/>
    </w:p>
    <w:p>
      <w:bookmarkStart w:id="8255" w:name="free_cash_flow_to_firm_and__437"/>
      <w:pPr>
        <w:pStyle w:val="Para 01"/>
        <w:keepLines w:val="on"/>
      </w:pPr>
      <w:r>
        <w:t>dòng tiền tự do của doanh nghiệp và định giá doanh nghiệp, 437–439</w:t>
      </w:r>
      <w:bookmarkEnd w:id="8255"/>
    </w:p>
    <w:p>
      <w:bookmarkStart w:id="8256" w:name="sum_of_the_parts_approach__458_4"/>
      <w:pPr>
        <w:pStyle w:val="Para 01"/>
        <w:keepLines w:val="on"/>
      </w:pPr>
      <w:r>
        <w:t>phương pháp tổng các phần, 458–468</w:t>
      </w:r>
      <w:bookmarkEnd w:id="8256"/>
    </w:p>
    <w:p>
      <w:bookmarkStart w:id="8257" w:name="Firm_value__cash_flow_return_on"/>
      <w:pPr>
        <w:pStyle w:val="Para 01"/>
        <w:keepLines w:val="on"/>
      </w:pPr>
      <w:r>
        <w:t>Giá trị doanh nghiệp</w:t>
      </w:r>
      <w:bookmarkEnd w:id="8257"/>
    </w:p>
    <w:p>
      <w:bookmarkStart w:id="8258" w:name="cash_flow_return_on_investment_a_1"/>
      <w:pPr>
        <w:pStyle w:val="Para 01"/>
        <w:keepLines w:val="on"/>
      </w:pPr>
      <w:r>
        <w:t>tỷ suất sinh lời trên vốn đầu tư dựa trên dòng tiền và giá trị doanh nghiệp, 1027–1028</w:t>
      </w:r>
      <w:bookmarkEnd w:id="8258"/>
    </w:p>
    <w:p>
      <w:bookmarkStart w:id="8259" w:name="economic_value_added_and__1015_1"/>
      <w:pPr>
        <w:pStyle w:val="Para 01"/>
        <w:keepLines w:val="on"/>
      </w:pPr>
      <w:r>
        <w:t>giá trị kinh tế gia tăng và giá trị doanh nghiệp, 1015–1022</w:t>
      </w:r>
      <w:bookmarkEnd w:id="8259"/>
    </w:p>
    <w:p>
      <w:bookmarkStart w:id="8260" w:name="equity_value_and__500_501__660"/>
      <w:pPr>
        <w:pStyle w:val="Para 01"/>
        <w:keepLines w:val="on"/>
      </w:pPr>
      <w:r>
        <w:t>giá trị vốn chủ sở hữu và giá trị doanh nghiệp, 500–501, 660, 963–964</w:t>
      </w:r>
      <w:bookmarkEnd w:id="8260"/>
    </w:p>
    <w:p>
      <w:bookmarkStart w:id="8261" w:name="variance_in__968"/>
      <w:pPr>
        <w:pStyle w:val="Para 01"/>
        <w:keepLines w:val="on"/>
      </w:pPr>
      <w:r>
        <w:t>phương sai trong giá trị doanh nghiệp, 968</w:t>
      </w:r>
      <w:bookmarkEnd w:id="8261"/>
    </w:p>
    <w:p>
      <w:bookmarkStart w:id="8262" w:name="for_young_or_start_up_companies"/>
      <w:pPr>
        <w:pStyle w:val="Para 01"/>
        <w:keepLines w:val="on"/>
      </w:pPr>
      <w:r>
        <w:t>đối với các công ty non trẻ hoặc công ty khởi nghiệp, 746–749</w:t>
      </w:r>
      <w:bookmarkEnd w:id="8262"/>
    </w:p>
    <w:p>
      <w:bookmarkStart w:id="8263" w:name="First_in__first_out__FIFO___33_3"/>
      <w:pPr>
        <w:pStyle w:val="Para 01"/>
        <w:keepLines w:val="on"/>
      </w:pPr>
      <w:r>
        <w:t>Nhập trước, xuất trước (FIFO), 33–34</w:t>
      </w:r>
      <w:bookmarkEnd w:id="8263"/>
    </w:p>
    <w:p>
      <w:bookmarkStart w:id="8264" w:name="Five_forces_of_competition__591"/>
      <w:pPr>
        <w:pStyle w:val="Para 01"/>
        <w:keepLines w:val="on"/>
      </w:pPr>
      <w:r>
        <w:t>Năm thế lực cạnh tranh, 591</w:t>
      </w:r>
      <w:bookmarkEnd w:id="8264"/>
    </w:p>
    <w:p>
      <w:bookmarkStart w:id="8265" w:name="Fixed_assets__32_33"/>
      <w:pPr>
        <w:pStyle w:val="Para 01"/>
        <w:keepLines w:val="on"/>
      </w:pPr>
      <w:r>
        <w:t>Tài sản cố định, 32–33</w:t>
      </w:r>
      <w:bookmarkEnd w:id="8265"/>
    </w:p>
    <w:p>
      <w:bookmarkStart w:id="8266" w:name="Fixed_charges_coverage_ratio__53"/>
      <w:pPr>
        <w:pStyle w:val="Para 01"/>
        <w:keepLines w:val="on"/>
      </w:pPr>
      <w:r>
        <w:t>Tỷ số khả năng chi trả chi phí cố định, 53</w:t>
      </w:r>
      <w:bookmarkEnd w:id="8266"/>
    </w:p>
    <w:p>
      <w:bookmarkStart w:id="8267" w:name="Fixed_costs__in_multistage_proje"/>
      <w:pPr>
        <w:pStyle w:val="Para 01"/>
        <w:keepLines w:val="on"/>
      </w:pPr>
      <w:r>
        <w:t>Chi phí cố định, trong các dự án nhiều giai đoạn, 942</w:t>
      </w:r>
      <w:bookmarkEnd w:id="8267"/>
    </w:p>
    <w:p>
      <w:bookmarkStart w:id="8268" w:name="Fixed_fees__711"/>
      <w:pPr>
        <w:pStyle w:val="Para 01"/>
        <w:keepLines w:val="on"/>
      </w:pPr>
      <w:r>
        <w:t>Phí cố định, 711</w:t>
      </w:r>
      <w:bookmarkEnd w:id="8268"/>
    </w:p>
    <w:p>
      <w:bookmarkStart w:id="8269" w:name="Float__750_751"/>
      <w:pPr>
        <w:pStyle w:val="Para 01"/>
        <w:keepLines w:val="on"/>
      </w:pPr>
      <w:r>
        <w:t>Tiền đang chuyển (float), 750–751</w:t>
      </w:r>
      <w:bookmarkEnd w:id="8269"/>
    </w:p>
    <w:p>
      <w:bookmarkStart w:id="8270" w:name="Folding_back_decision_trees__104"/>
      <w:pPr>
        <w:pStyle w:val="Para 01"/>
        <w:keepLines w:val="on"/>
      </w:pPr>
      <w:r>
        <w:t>Chiết khấu ngược cây quyết định, 1040</w:t>
      </w:r>
      <w:bookmarkEnd w:id="8270"/>
    </w:p>
    <w:p>
      <w:bookmarkStart w:id="8271" w:name="Ford_Motor_Company__226"/>
      <w:pPr>
        <w:pStyle w:val="Para 01"/>
        <w:keepLines w:val="on"/>
      </w:pPr>
      <w:r>
        <w:t>Ford Motor Company, 226</w:t>
      </w:r>
      <w:bookmarkEnd w:id="8271"/>
    </w:p>
    <w:p>
      <w:bookmarkStart w:id="8272" w:name="Foreign_markets__cash_held_in__4"/>
      <w:pPr>
        <w:pStyle w:val="Para 01"/>
        <w:keepLines w:val="on"/>
      </w:pPr>
      <w:r>
        <w:t>Thị trường nước ngoài, tiền mặt nắm giữ ở, 485–486</w:t>
      </w:r>
      <w:bookmarkEnd w:id="8272"/>
    </w:p>
    <w:p>
      <w:bookmarkStart w:id="8273" w:name="Forward_price_earnings__PE__rati"/>
      <w:pPr>
        <w:pStyle w:val="Para 01"/>
        <w:keepLines w:val="on"/>
      </w:pPr>
      <w:r>
        <w:t>Tỷ số giá trên thu nhập (PE) kỳ hạn, 537, 538, 566–568</w:t>
      </w:r>
      <w:bookmarkEnd w:id="8273"/>
    </w:p>
    <w:p>
      <w:bookmarkStart w:id="8274" w:name="Forward_rate__161"/>
      <w:pPr>
        <w:pStyle w:val="Para 01"/>
        <w:keepLines w:val="on"/>
      </w:pPr>
      <w:r>
        <w:t>Tỷ giá kỳ hạn, 161</w:t>
      </w:r>
      <w:bookmarkEnd w:id="8274"/>
    </w:p>
    <w:p>
      <w:bookmarkStart w:id="8275" w:name="Franchise_buyers__8"/>
      <w:pPr>
        <w:pStyle w:val="Para 01"/>
        <w:keepLines w:val="on"/>
      </w:pPr>
      <w:r>
        <w:t>Người mua nhượng quyền, 8</w:t>
      </w:r>
      <w:bookmarkEnd w:id="8275"/>
    </w:p>
    <w:p>
      <w:bookmarkStart w:id="8276" w:name="Franchise_valuations__and_excess"/>
      <w:pPr>
        <w:pStyle w:val="Para 01"/>
        <w:keepLines w:val="on"/>
      </w:pPr>
      <w:r>
        <w:t>Định giá nhượng quyền</w:t>
      </w:r>
      <w:bookmarkEnd w:id="8276"/>
    </w:p>
    <w:p>
      <w:bookmarkStart w:id="8278" w:name="and_excess_returns__869_870"/>
      <w:pPr>
        <w:pStyle w:val="Para 01"/>
        <w:keepLines w:val="on"/>
      </w:pPr>
      <w:r>
        <w:t>và lợi nhuận vượt trội, 869–870</w:t>
      </w:r>
      <w:bookmarkEnd w:id="8278"/>
    </w:p>
    <w:p>
      <w:bookmarkStart w:id="8279" w:name="franchisees__impact_on__878"/>
      <w:pPr>
        <w:pStyle w:val="Para 01"/>
        <w:keepLines w:val="on"/>
      </w:pPr>
      <w:r>
        <w:t>tác động của bên nhận nhượng quyền lên, 878</w:t>
      </w:r>
      <w:bookmarkEnd w:id="8279"/>
    </w:p>
    <w:p>
      <w:bookmarkStart w:id="8280" w:name="illustrations__870_877"/>
      <w:pPr>
        <w:pStyle w:val="Para 01"/>
        <w:keepLines w:val="on"/>
      </w:pPr>
      <w:r>
        <w:t>các ví dụ minh họa, 870–877</w:t>
      </w:r>
      <w:bookmarkEnd w:id="8280"/>
    </w:p>
    <w:p>
      <w:bookmarkStart w:id="8281" w:name="special_issues_in__870"/>
      <w:pPr>
        <w:pStyle w:val="Para 01"/>
        <w:keepLines w:val="on"/>
      </w:pPr>
      <w:r>
        <w:t>các vấn đề đặc thù trong, 870</w:t>
      </w:r>
      <w:bookmarkEnd w:id="8281"/>
    </w:p>
    <w:p>
      <w:bookmarkStart w:id="8282" w:name="Fraud__383"/>
      <w:pPr>
        <w:pStyle w:val="Para 01"/>
        <w:keepLines w:val="on"/>
      </w:pPr>
      <w:r>
        <w:t>Gian lận, 383</w:t>
      </w:r>
      <w:bookmarkEnd w:id="8282"/>
    </w:p>
    <w:p>
      <w:bookmarkStart w:id="8283" w:name="Free_cash_flow_to_equity__FCFE"/>
      <w:pPr>
        <w:pStyle w:val="Para 01"/>
        <w:keepLines w:val="on"/>
      </w:pPr>
      <w:r>
        <w:t>Dòng tiền tự do cho vốn chủ sở hữu (FCFE)</w:t>
      </w:r>
      <w:bookmarkEnd w:id="8283"/>
    </w:p>
    <w:p>
      <w:bookmarkStart w:id="8284" w:name="dividends_vs___411"/>
      <w:pPr>
        <w:pStyle w:val="Para 01"/>
        <w:keepLines w:val="on"/>
      </w:pPr>
      <w:r>
        <w:t>cổ tức so với, 411</w:t>
      </w:r>
      <w:bookmarkEnd w:id="8284"/>
    </w:p>
    <w:p>
      <w:bookmarkStart w:id="8285" w:name="estimating__408_411"/>
      <w:pPr>
        <w:pStyle w:val="Para 01"/>
        <w:keepLines w:val="on"/>
      </w:pPr>
      <w:r>
        <w:t>ước tính, 408–411</w:t>
      </w:r>
      <w:bookmarkEnd w:id="8285"/>
    </w:p>
    <w:p>
      <w:bookmarkStart w:id="8286" w:name="FCFF_vs___438__439"/>
      <w:pPr>
        <w:pStyle w:val="Para 01"/>
        <w:keepLines w:val="on"/>
      </w:pPr>
      <w:r>
        <w:t>FCFF so với, 438, 439</w:t>
      </w:r>
      <w:bookmarkEnd w:id="8286"/>
    </w:p>
    <w:p>
      <w:bookmarkStart w:id="8287" w:name="growth_in__439"/>
      <w:pPr>
        <w:pStyle w:val="Para 01"/>
        <w:keepLines w:val="on"/>
      </w:pPr>
      <w:r>
        <w:t>tăng trưởng trong, 439</w:t>
      </w:r>
      <w:bookmarkEnd w:id="8287"/>
    </w:p>
    <w:p>
      <w:bookmarkStart w:id="8288" w:name="leverage__equity_value__and__416"/>
      <w:pPr>
        <w:pStyle w:val="Para 01"/>
        <w:keepLines w:val="on"/>
      </w:pPr>
      <w:r>
        <w:t>đòn bẩy, giá trị vốn chủ sở hữu, và, 416–417</w:t>
      </w:r>
      <w:bookmarkEnd w:id="8288"/>
    </w:p>
    <w:p>
      <w:bookmarkStart w:id="8289" w:name="negative__427_428"/>
      <w:pPr>
        <w:pStyle w:val="Para 01"/>
        <w:keepLines w:val="on"/>
      </w:pPr>
      <w:r>
        <w:t>âm, 427–428</w:t>
      </w:r>
      <w:bookmarkEnd w:id="8289"/>
    </w:p>
    <w:p>
      <w:bookmarkStart w:id="8290" w:name="payouts_to_stockholders_and__412"/>
      <w:pPr>
        <w:pStyle w:val="Para 01"/>
        <w:keepLines w:val="on"/>
      </w:pPr>
      <w:r>
        <w:t>chi trả cho cổ đông và, 412–413</w:t>
      </w:r>
      <w:bookmarkEnd w:id="8290"/>
    </w:p>
    <w:p>
      <w:bookmarkStart w:id="8291" w:name="Free_cash_flow_to_equity__FCFE_1"/>
      <w:pPr>
        <w:pStyle w:val="Para 01"/>
        <w:keepLines w:val="on"/>
      </w:pPr>
      <w:r>
        <w:t>Các mô hình dòng tiền tự do cho vốn chủ sở hữu (FCFE)</w:t>
      </w:r>
      <w:bookmarkEnd w:id="8291"/>
    </w:p>
    <w:p>
      <w:bookmarkStart w:id="8292" w:name="dividend_discount_model_vs___428"/>
      <w:pPr>
        <w:pStyle w:val="Para 01"/>
        <w:keepLines w:val="on"/>
      </w:pPr>
      <w:r>
        <w:t>mô hình chiết khấu cổ tức so với, 428–430</w:t>
      </w:r>
      <w:bookmarkEnd w:id="8292"/>
    </w:p>
    <w:p>
      <w:bookmarkStart w:id="8293" w:name="estimating_growth_with__414"/>
      <w:pPr>
        <w:pStyle w:val="Para 01"/>
        <w:keepLines w:val="on"/>
      </w:pPr>
      <w:r>
        <w:t>ước tính tăng trưởng với, 414</w:t>
      </w:r>
      <w:bookmarkEnd w:id="8293"/>
    </w:p>
    <w:p>
      <w:bookmarkStart w:id="8294" w:name="for_financial_service_firms__670"/>
      <w:pPr>
        <w:pStyle w:val="Para 01"/>
        <w:keepLines w:val="on"/>
      </w:pPr>
      <w:r>
        <w:t>cho các công ty dịch vụ tài chính, 670–671</w:t>
      </w:r>
      <w:bookmarkEnd w:id="8294"/>
    </w:p>
    <w:p>
      <w:bookmarkStart w:id="8295" w:name="generalized__423_427"/>
      <w:pPr>
        <w:pStyle w:val="Para 01"/>
        <w:keepLines w:val="on"/>
      </w:pPr>
      <w:r>
        <w:t>tổng quát hóa, 423–427</w:t>
      </w:r>
      <w:bookmarkEnd w:id="8295"/>
    </w:p>
    <w:p>
      <w:bookmarkStart w:id="8296" w:name="stable_growth__414_416"/>
      <w:pPr>
        <w:pStyle w:val="Para 01"/>
        <w:keepLines w:val="on"/>
      </w:pPr>
      <w:r>
        <w:t>tăng trưởng ổn định, 414–416</w:t>
      </w:r>
      <w:bookmarkEnd w:id="8296"/>
    </w:p>
    <w:p>
      <w:bookmarkStart w:id="8297" w:name="two_stage__417_422"/>
      <w:pPr>
        <w:pStyle w:val="Para 01"/>
        <w:keepLines w:val="on"/>
      </w:pPr>
      <w:r>
        <w:t>hai giai đoạn, 417–422</w:t>
      </w:r>
      <w:bookmarkEnd w:id="8297"/>
    </w:p>
    <w:p>
      <w:bookmarkStart w:id="8298" w:name="underlying_principle__413_414"/>
      <w:pPr>
        <w:pStyle w:val="Para 01"/>
        <w:keepLines w:val="on"/>
      </w:pPr>
      <w:r>
        <w:t>nguyên lý cơ bản, 413–414</w:t>
      </w:r>
      <w:bookmarkEnd w:id="8298"/>
    </w:p>
    <w:p>
      <w:bookmarkStart w:id="8299" w:name="Free_cash_flow_to_firm__FCFF___e"/>
      <w:pPr>
        <w:pStyle w:val="Para 01"/>
        <w:keepLines w:val="on"/>
      </w:pPr>
      <w:r>
        <w:t>Dòng tiền tự do cho doanh nghiệp (FCFF)</w:t>
      </w:r>
      <w:bookmarkEnd w:id="8299"/>
    </w:p>
    <w:p>
      <w:bookmarkStart w:id="8300" w:name="explanation_of__437_438"/>
      <w:pPr>
        <w:pStyle w:val="Para 01"/>
        <w:keepLines w:val="on"/>
      </w:pPr>
      <w:r>
        <w:t>giải thích về, 437–438</w:t>
      </w:r>
      <w:bookmarkEnd w:id="8300"/>
    </w:p>
    <w:p>
      <w:bookmarkStart w:id="8301" w:name="FCFE_vs___438__439"/>
      <w:pPr>
        <w:pStyle w:val="Para 01"/>
        <w:keepLines w:val="on"/>
      </w:pPr>
      <w:r>
        <w:t>so với FCFE, 438, 439</w:t>
      </w:r>
      <w:bookmarkEnd w:id="8301"/>
    </w:p>
    <w:p>
      <w:bookmarkStart w:id="8302" w:name="growth_in__439_1"/>
      <w:pPr>
        <w:pStyle w:val="Para 01"/>
        <w:keepLines w:val="on"/>
      </w:pPr>
      <w:r>
        <w:t>tăng trưởng trong, 439</w:t>
      </w:r>
      <w:bookmarkEnd w:id="8302"/>
    </w:p>
    <w:p>
      <w:bookmarkStart w:id="8303" w:name="other_cash_flow_measures_and__43"/>
      <w:pPr>
        <w:pStyle w:val="Para 01"/>
        <w:keepLines w:val="on"/>
      </w:pPr>
      <w:r>
        <w:t>các thước đo dòng tiền khác và, 438–439</w:t>
      </w:r>
      <w:bookmarkEnd w:id="8303"/>
    </w:p>
    <w:p>
      <w:bookmarkStart w:id="8304" w:name="Free_cash_flow_to_firm__FCFF__mo"/>
      <w:pPr>
        <w:pStyle w:val="Para 01"/>
        <w:keepLines w:val="on"/>
      </w:pPr>
      <w:r>
        <w:t>Mô hình dòng tiền tự do cho doanh nghiệp (FCFF)</w:t>
      </w:r>
      <w:bookmarkEnd w:id="8304"/>
    </w:p>
    <w:p>
      <w:bookmarkStart w:id="8305" w:name="explanation_of__442_443"/>
      <w:pPr>
        <w:pStyle w:val="Para 01"/>
        <w:keepLines w:val="on"/>
      </w:pPr>
      <w:r>
        <w:t>giải thích về, 442–443</w:t>
      </w:r>
      <w:bookmarkEnd w:id="8305"/>
    </w:p>
    <w:p>
      <w:bookmarkStart w:id="8306" w:name="firms_best_suited_for__444"/>
      <w:pPr>
        <w:pStyle w:val="Para 01"/>
        <w:keepLines w:val="on"/>
      </w:pPr>
      <w:r>
        <w:t>doanh nghiệp phù hợp nhất cho, 444</w:t>
      </w:r>
      <w:bookmarkEnd w:id="8306"/>
    </w:p>
    <w:p>
      <w:bookmarkStart w:id="8307" w:name="illustrations_of__445_450"/>
      <w:pPr>
        <w:pStyle w:val="Para 01"/>
        <w:keepLines w:val="on"/>
      </w:pPr>
      <w:r>
        <w:t>các ví dụ minh họa về, 445–450</w:t>
      </w:r>
      <w:bookmarkEnd w:id="8307"/>
    </w:p>
    <w:p>
      <w:bookmarkStart w:id="8308" w:name="problems_related_to__444_445"/>
      <w:pPr>
        <w:pStyle w:val="Para 01"/>
        <w:keepLines w:val="on"/>
      </w:pPr>
      <w:r>
        <w:t>các vấn đề liên quan đến, 444–445</w:t>
      </w:r>
      <w:bookmarkEnd w:id="8308"/>
    </w:p>
    <w:p>
      <w:bookmarkStart w:id="8309" w:name="Friendly_acquisition__796"/>
      <w:pPr>
        <w:pStyle w:val="Para 01"/>
        <w:keepLines w:val="on"/>
      </w:pPr>
      <w:r>
        <w:t>Thương vụ mua lại thân thiện, 796</w:t>
      </w:r>
      <w:bookmarkEnd w:id="8309"/>
    </w:p>
    <w:p>
      <w:bookmarkStart w:id="8310" w:name="Friendly_takeovers__802_803"/>
      <w:pPr>
        <w:pStyle w:val="Para 01"/>
        <w:keepLines w:val="on"/>
      </w:pPr>
      <w:r>
        <w:t>Tiếp quản thân thiện, 802–803</w:t>
      </w:r>
      <w:bookmarkEnd w:id="8310"/>
    </w:p>
    <w:p>
      <w:bookmarkStart w:id="8311" w:name="Fully_diluted_shares__502_503"/>
      <w:pPr>
        <w:pStyle w:val="Para 01"/>
        <w:keepLines w:val="on"/>
      </w:pPr>
      <w:r>
        <w:t>Cổ phiếu pha loãng hoàn toàn, 502–503</w:t>
      </w:r>
      <w:bookmarkEnd w:id="8311"/>
    </w:p>
    <w:p>
      <w:bookmarkStart w:id="8312" w:name="Fundamental_analysis__7"/>
      <w:pPr>
        <w:pStyle w:val="Para 01"/>
        <w:keepLines w:val="on"/>
      </w:pPr>
      <w:r>
        <w:t>Phân tích cơ bản, 7</w:t>
      </w:r>
      <w:bookmarkEnd w:id="8312"/>
    </w:p>
    <w:p>
      <w:bookmarkStart w:id="8313" w:name="Fundamental_betas__after_major_r"/>
      <w:pPr>
        <w:pStyle w:val="Para 01"/>
        <w:keepLines w:val="on"/>
      </w:pPr>
      <w:r>
        <w:t>Beta cơ bản</w:t>
      </w:r>
      <w:bookmarkEnd w:id="8313"/>
    </w:p>
    <w:p>
      <w:bookmarkStart w:id="8314" w:name="after_major_restructuring__213_2_1"/>
      <w:pPr>
        <w:pStyle w:val="Para 01"/>
        <w:keepLines w:val="on"/>
      </w:pPr>
      <w:r>
        <w:t>sau tái cấu trúc lớn, 213–214</w:t>
      </w:r>
      <w:bookmarkEnd w:id="8314"/>
    </w:p>
    <w:p>
      <w:bookmarkStart w:id="8315" w:name="bottom_up_betas__205_212"/>
      <w:pPr>
        <w:pStyle w:val="Para 01"/>
        <w:keepLines w:val="on"/>
      </w:pPr>
      <w:r>
        <w:t>beta từ dưới lên, 205–212</w:t>
      </w:r>
      <w:bookmarkEnd w:id="8315"/>
    </w:p>
    <w:p>
      <w:bookmarkStart w:id="8316" w:name="determinants_of__201_203"/>
      <w:pPr>
        <w:pStyle w:val="Para 01"/>
        <w:keepLines w:val="on"/>
      </w:pPr>
      <w:r>
        <w:t>các yếu tố quyết định của, 201–203</w:t>
      </w:r>
      <w:bookmarkEnd w:id="8316"/>
    </w:p>
    <w:p>
      <w:bookmarkStart w:id="8317" w:name="effects_of_leverage_on__203_204"/>
      <w:pPr>
        <w:pStyle w:val="Para 01"/>
        <w:keepLines w:val="on"/>
      </w:pPr>
      <w:r>
        <w:t>ảnh hưởng của đòn bẩy lên, 203–204</w:t>
      </w:r>
      <w:bookmarkEnd w:id="8317"/>
    </w:p>
    <w:p>
      <w:bookmarkStart w:id="8318" w:name="in_private_firms__760_761"/>
      <w:pPr>
        <w:pStyle w:val="Para 01"/>
        <w:keepLines w:val="on"/>
      </w:pPr>
      <w:r>
        <w:t>trong các doanh nghiệp tư nhân, 760–761</w:t>
      </w:r>
      <w:bookmarkEnd w:id="8318"/>
    </w:p>
    <w:p>
      <w:bookmarkStart w:id="8319" w:name="in_small_emerging_markets__212"/>
      <w:pPr>
        <w:pStyle w:val="Para 01"/>
        <w:keepLines w:val="on"/>
      </w:pPr>
      <w:r>
        <w:t>trong thị trường nhỏ/mới nổi, 212</w:t>
      </w:r>
      <w:bookmarkEnd w:id="8319"/>
    </w:p>
    <w:p>
      <w:bookmarkStart w:id="8320" w:name="Fundamentals__for_financial_serv"/>
      <w:pPr>
        <w:pStyle w:val="Para 01"/>
        <w:keepLines w:val="on"/>
      </w:pPr>
      <w:r>
        <w:t>Các yếu tố cơ bản</w:t>
      </w:r>
      <w:bookmarkEnd w:id="8320"/>
    </w:p>
    <w:p>
      <w:bookmarkStart w:id="8321" w:name="for_financial_service_firms__663_1"/>
      <w:pPr>
        <w:pStyle w:val="Para 01"/>
        <w:keepLines w:val="on"/>
      </w:pPr>
      <w:r>
        <w:t>các công ty dịch vụ tài chính, 663</w:t>
      </w:r>
      <w:bookmarkEnd w:id="8321"/>
    </w:p>
    <w:p>
      <w:bookmarkStart w:id="8322" w:name="multiple_selection_and__1075"/>
      <w:pPr>
        <w:pStyle w:val="Para 01"/>
        <w:keepLines w:val="on"/>
      </w:pPr>
      <w:r>
        <w:t>lựa chọn nhiều và, 1075</w:t>
      </w:r>
      <w:bookmarkEnd w:id="8322"/>
    </w:p>
    <w:p>
      <w:bookmarkStart w:id="8323" w:name="multiples_relationship_to__524_5"/>
      <w:pPr>
        <w:pStyle w:val="Para 01"/>
        <w:keepLines w:val="on"/>
      </w:pPr>
      <w:r>
        <w:t>mối quan hệ của bội số với, 524–525</w:t>
      </w:r>
      <w:bookmarkEnd w:id="8323"/>
    </w:p>
    <w:p>
      <w:bookmarkStart w:id="8324" w:name="PEG_ratios_and__560_561"/>
      <w:pPr>
        <w:pStyle w:val="Para 01"/>
        <w:keepLines w:val="on"/>
      </w:pPr>
      <w:r>
        <w:t>tỷ lệ PEG và, 560–561</w:t>
      </w:r>
      <w:bookmarkEnd w:id="8324"/>
    </w:p>
    <w:p>
      <w:bookmarkStart w:id="8325" w:name="PE_ratios_in_markets_with_differ"/>
      <w:pPr>
        <w:pStyle w:val="Para 01"/>
        <w:keepLines w:val="on"/>
      </w:pPr>
      <w:r>
        <w:t>tỷ lệ PE trên các thị trường có khác nhau, 546</w:t>
      </w:r>
      <w:bookmarkEnd w:id="8325"/>
    </w:p>
    <w:p>
      <w:bookmarkStart w:id="8326" w:name="in_pricing_relative_valuation__2_1"/>
      <w:pPr>
        <w:pStyle w:val="Para 01"/>
        <w:keepLines w:val="on"/>
      </w:pPr>
      <w:r>
        <w:t>trong định giá/định giá tương đối, 21, 22</w:t>
      </w:r>
      <w:bookmarkEnd w:id="8326"/>
    </w:p>
    <w:p>
      <w:bookmarkStart w:id="8327" w:name="trophy_asset_prices_and__898_901"/>
      <w:pPr>
        <w:pStyle w:val="Para 01"/>
        <w:keepLines w:val="on"/>
      </w:pPr>
      <w:r>
        <w:t>giá tài sản danh giá (trophy asset) và, 898–901</w:t>
      </w:r>
      <w:bookmarkEnd w:id="8327"/>
    </w:p>
    <w:p>
      <w:bookmarkStart w:id="8328" w:name="Future_claims__501"/>
      <w:pPr>
        <w:pStyle w:val="Para 01"/>
        <w:keepLines w:val="on"/>
      </w:pPr>
      <w:r>
        <w:t>Các khiếu nại trong tương lai, 501</w:t>
      </w:r>
      <w:bookmarkEnd w:id="8328"/>
    </w:p>
    <w:p>
      <w:bookmarkStart w:id="8329" w:name="Future_growth__1018_1019"/>
      <w:pPr>
        <w:pStyle w:val="Para 01"/>
        <w:keepLines w:val="on"/>
      </w:pPr>
      <w:r>
        <w:t>Tăng trưởng trong tương lai, 1018–1019</w:t>
      </w:r>
      <w:bookmarkEnd w:id="8329"/>
    </w:p>
    <w:p>
      <w:bookmarkStart w:id="8330" w:name="Future_investments__poor__485"/>
      <w:pPr>
        <w:pStyle w:val="Para 01"/>
        <w:keepLines w:val="on"/>
      </w:pPr>
      <w:r>
        <w:t>Các khoản đầu tư trong tương lai, kém cỏi, 485</w:t>
      </w:r>
      <w:bookmarkEnd w:id="8330"/>
    </w:p>
    <w:p>
      <w:bookmarkStart w:id="8331" w:name="Future_restricted_stock__expecte"/>
      <w:pPr>
        <w:pStyle w:val="Para 01"/>
        <w:keepLines w:val="on"/>
      </w:pPr>
      <w:r>
        <w:t>Cổ phiếu hạn chế trong tương lai, kỳ vọng, 508</w:t>
      </w:r>
      <w:bookmarkEnd w:id="8331"/>
    </w:p>
    <w:p>
      <w:bookmarkStart w:id="8332" w:name="Future_years__revenue_multiples"/>
      <w:pPr>
        <w:pStyle w:val="Para 01"/>
        <w:keepLines w:val="on"/>
      </w:pPr>
      <w:r>
        <w:t>Các năm trong tương lai, bội số doanh thu của, 643–644</w:t>
      </w:r>
      <w:bookmarkEnd w:id="8332"/>
    </w:p>
    <w:p>
      <w:bookmarkStart w:id="8333" w:name="G___GAAP__generally_accepted_acc"/>
      <w:bookmarkStart w:id="8334" w:name="G"/>
      <w:pPr>
        <w:keepNext/>
        <w:pStyle w:val="Para 50"/>
        <w:keepLines w:val="on"/>
      </w:pPr>
      <w:r>
        <w:t>G</w:t>
      </w:r>
      <w:bookmarkEnd w:id="8333"/>
      <w:bookmarkEnd w:id="8334"/>
    </w:p>
    <w:p>
      <w:bookmarkStart w:id="8335" w:name="GAAP__generally_accepted_account"/>
      <w:pPr>
        <w:pStyle w:val="Para 01"/>
        <w:keepLines w:val="on"/>
      </w:pPr>
      <w:r>
        <w:t>GAAP (các nguyên tắc kế toán được chấp nhận chung), 57</w:t>
      </w:r>
      <w:bookmarkEnd w:id="8335"/>
    </w:p>
    <w:p>
      <w:bookmarkStart w:id="8336" w:name="Gains__with_accounting_changes"/>
      <w:pPr>
        <w:pStyle w:val="Para 01"/>
        <w:keepLines w:val="on"/>
      </w:pPr>
      <w:r>
        <w:t>Lợi nhuận, với các thay đổi kế toán, 46</w:t>
      </w:r>
      <w:bookmarkEnd w:id="8336"/>
    </w:p>
    <w:p>
      <w:bookmarkStart w:id="8337" w:name="The_Gap__253_254__287_288"/>
      <w:pPr>
        <w:pStyle w:val="Para 01"/>
        <w:keepLines w:val="on"/>
      </w:pPr>
      <w:r>
        <w:t>The Gap, 253–254, 287–288</w:t>
      </w:r>
      <w:bookmarkEnd w:id="8337"/>
    </w:p>
    <w:p>
      <w:bookmarkStart w:id="8338" w:name="Garbage_in__garbage_out__1035_10"/>
      <w:pPr>
        <w:pStyle w:val="Para 01"/>
        <w:keepLines w:val="on"/>
      </w:pPr>
      <w:r>
        <w:t>Rác vào, rác ra, 1035–1036, 1057</w:t>
      </w:r>
      <w:bookmarkEnd w:id="8338"/>
    </w:p>
    <w:p>
      <w:bookmarkStart w:id="8339" w:name="General_Electric__GE___466_468"/>
      <w:pPr>
        <w:pStyle w:val="Para 01"/>
        <w:keepLines w:val="on"/>
      </w:pPr>
      <w:r>
        <w:t>General Electric (GE), 466–468</w:t>
      </w:r>
      <w:bookmarkEnd w:id="8339"/>
    </w:p>
    <w:p>
      <w:bookmarkStart w:id="8340" w:name="Generalized_FCFE_models__423_427"/>
      <w:pPr>
        <w:pStyle w:val="Para 01"/>
        <w:keepLines w:val="on"/>
      </w:pPr>
      <w:r>
        <w:t>Các mô hình FCFE tổng quát hóa, 423–427</w:t>
      </w:r>
      <w:bookmarkEnd w:id="8340"/>
    </w:p>
    <w:p>
      <w:bookmarkStart w:id="8341" w:name="Generally_accepted_accounting_pr"/>
      <w:pPr>
        <w:pStyle w:val="Para 01"/>
        <w:keepLines w:val="on"/>
      </w:pPr>
      <w:r>
        <w:t>Các nguyên tắc kế toán được chấp nhận chung (GAAP), 57</w:t>
      </w:r>
      <w:bookmarkEnd w:id="8341"/>
    </w:p>
    <w:p>
      <w:bookmarkStart w:id="8342" w:name="Geometric_average__166__296_297"/>
      <w:pPr>
        <w:pStyle w:val="Para 01"/>
        <w:keepLines w:val="on"/>
      </w:pPr>
      <w:r>
        <w:t>Trung bình hình học, 166, 296–297</w:t>
      </w:r>
      <w:bookmarkEnd w:id="8342"/>
    </w:p>
    <w:p>
      <w:bookmarkStart w:id="8343" w:name="Gianni_Cosmetics__974"/>
      <w:pPr>
        <w:pStyle w:val="Para 01"/>
        <w:keepLines w:val="on"/>
      </w:pPr>
      <w:r>
        <w:t>Gianni Cosmetics, 974</w:t>
      </w:r>
      <w:bookmarkEnd w:id="8343"/>
    </w:p>
    <w:p>
      <w:bookmarkStart w:id="8344" w:name="Going_concern_assumption__696_69"/>
      <w:pPr>
        <w:pStyle w:val="Para 01"/>
        <w:keepLines w:val="on"/>
      </w:pPr>
      <w:r>
        <w:t>Giả định hoạt động liên tục, 696–697</w:t>
      </w:r>
      <w:bookmarkEnd w:id="8344"/>
    </w:p>
    <w:p>
      <w:bookmarkStart w:id="8345" w:name="Gold__intrinsic_value_of__885_88"/>
      <w:pPr>
        <w:pStyle w:val="Para 01"/>
        <w:keepLines w:val="on"/>
      </w:pPr>
      <w:r>
        <w:t>Vàng</w:t>
      </w:r>
      <w:bookmarkEnd w:id="8345"/>
    </w:p>
    <w:p>
      <w:bookmarkStart w:id="8346" w:name="intrinsic_value_of__885_886"/>
      <w:pPr>
        <w:pStyle w:val="Para 01"/>
        <w:keepLines w:val="on"/>
      </w:pPr>
      <w:r>
        <w:t>giá trị nội tại của, 885–886</w:t>
      </w:r>
      <w:bookmarkEnd w:id="8346"/>
    </w:p>
    <w:p>
      <w:bookmarkStart w:id="8347" w:name="price_drivers__886_889"/>
      <w:pPr>
        <w:pStyle w:val="Para 01"/>
        <w:keepLines w:val="on"/>
      </w:pPr>
      <w:r>
        <w:t>động lực giá, 886–889</w:t>
      </w:r>
      <w:bookmarkEnd w:id="8347"/>
    </w:p>
    <w:p>
      <w:bookmarkStart w:id="8348" w:name="pricing__889_892"/>
      <w:pPr>
        <w:pStyle w:val="Para 01"/>
        <w:keepLines w:val="on"/>
      </w:pPr>
      <w:r>
        <w:t>định giá, 889–892</w:t>
      </w:r>
      <w:bookmarkEnd w:id="8348"/>
    </w:p>
    <w:p>
      <w:bookmarkStart w:id="8349" w:name="valuation_of_Bitcoin_like__892"/>
      <w:pPr>
        <w:pStyle w:val="Para 01"/>
        <w:keepLines w:val="on"/>
      </w:pPr>
      <w:r>
        <w:t>định giá Bitcoin như, 892</w:t>
      </w:r>
      <w:bookmarkEnd w:id="8349"/>
    </w:p>
    <w:p>
      <w:bookmarkStart w:id="8350" w:name="Golden_shares__718"/>
      <w:pPr>
        <w:pStyle w:val="Para 01"/>
        <w:keepLines w:val="on"/>
      </w:pPr>
      <w:r>
        <w:t>Cổ phiếu vàng, 718</w:t>
      </w:r>
      <w:bookmarkEnd w:id="8350"/>
    </w:p>
    <w:p>
      <w:bookmarkStart w:id="8351" w:name="Goldman_Sachs__673_674"/>
      <w:pPr>
        <w:pStyle w:val="Para 01"/>
        <w:keepLines w:val="on"/>
      </w:pPr>
      <w:r>
        <w:t>Goldman Sachs, 673–674</w:t>
      </w:r>
      <w:bookmarkEnd w:id="8351"/>
    </w:p>
    <w:p>
      <w:bookmarkStart w:id="8352" w:name="Goodwill__36_37__824"/>
      <w:pPr>
        <w:pStyle w:val="Para 01"/>
        <w:keepLines w:val="on"/>
      </w:pPr>
      <w:r>
        <w:t>Lợi thế thương mại, 36–37, 824</w:t>
      </w:r>
      <w:bookmarkEnd w:id="8352"/>
    </w:p>
    <w:p>
      <w:bookmarkStart w:id="8353" w:name="Google__371"/>
      <w:pPr>
        <w:pStyle w:val="Para 01"/>
        <w:keepLines w:val="on"/>
      </w:pPr>
      <w:r>
        <w:t>Google, 371</w:t>
      </w:r>
      <w:bookmarkEnd w:id="8353"/>
    </w:p>
    <w:p>
      <w:bookmarkStart w:id="8354" w:name="Gordon_growth_model__389_393_1"/>
      <w:pPr>
        <w:pStyle w:val="Para 01"/>
        <w:keepLines w:val="on"/>
      </w:pPr>
      <w:r>
        <w:t>mô hình tăng trưởng Gordon, 389–393</w:t>
      </w:r>
      <w:bookmarkEnd w:id="8354"/>
    </w:p>
    <w:p>
      <w:bookmarkStart w:id="8355" w:name="Government_bonds__local_currency"/>
      <w:pPr>
        <w:pStyle w:val="Para 01"/>
        <w:keepLines w:val="on"/>
      </w:pPr>
      <w:r>
        <w:t>Trái phiếu chính phủ, nội tệ, 160–161</w:t>
      </w:r>
      <w:bookmarkEnd w:id="8355"/>
    </w:p>
    <w:p>
      <w:bookmarkStart w:id="8356" w:name="Gross_debt__231__450_451"/>
      <w:pPr>
        <w:pStyle w:val="Para 01"/>
        <w:keepLines w:val="on"/>
      </w:pPr>
      <w:r>
        <w:t>Nợ gộp, 231, 450–451</w:t>
      </w:r>
      <w:bookmarkEnd w:id="8356"/>
    </w:p>
    <w:p>
      <w:bookmarkStart w:id="8357" w:name="Gross_investment__CFROI_and__102"/>
      <w:pPr>
        <w:pStyle w:val="Para 01"/>
        <w:keepLines w:val="on"/>
      </w:pPr>
      <w:r>
        <w:t>Đầu tư gộp, CFROI và, 1027</w:t>
      </w:r>
      <w:bookmarkEnd w:id="8357"/>
    </w:p>
    <w:p>
      <w:bookmarkStart w:id="8358" w:name="Growth_and_growth_rate__acquisit"/>
      <w:pPr>
        <w:pStyle w:val="Para 01"/>
        <w:keepLines w:val="on"/>
      </w:pPr>
      <w:r>
        <w:t>Tăng trưởng và tốc độ tăng trưởng</w:t>
      </w:r>
      <w:bookmarkEnd w:id="8358"/>
    </w:p>
    <w:p>
      <w:bookmarkStart w:id="8359" w:name="acquisitions_to_increase__817"/>
      <w:pPr>
        <w:pStyle w:val="Para 01"/>
        <w:keepLines w:val="on"/>
      </w:pPr>
      <w:r>
        <w:t>thâu tóm để gia tăng, 817</w:t>
      </w:r>
      <w:bookmarkEnd w:id="8359"/>
    </w:p>
    <w:p>
      <w:bookmarkStart w:id="8360" w:name="analyst_estimates_of__307_310"/>
      <w:pPr>
        <w:pStyle w:val="Para 01"/>
        <w:keepLines w:val="on"/>
      </w:pPr>
      <w:r>
        <w:t>ước tính của chuyên gia phân tích về, 307–310</w:t>
      </w:r>
      <w:bookmarkEnd w:id="8360"/>
    </w:p>
    <w:p>
      <w:bookmarkStart w:id="8361" w:name="in_business_story__369_370"/>
      <w:pPr>
        <w:pStyle w:val="Para 01"/>
        <w:keepLines w:val="on"/>
      </w:pPr>
      <w:r>
        <w:t>trong câu chuyện kinh doanh, 369–370</w:t>
      </w:r>
      <w:bookmarkEnd w:id="8361"/>
    </w:p>
    <w:p>
      <w:bookmarkStart w:id="8362" w:name="capital_expenditure__depreciatio"/>
      <w:pPr>
        <w:pStyle w:val="Para 01"/>
        <w:keepLines w:val="on"/>
      </w:pPr>
      <w:r>
        <w:t>chi tiêu vốn, khấu hao, và, 418</w:t>
      </w:r>
      <w:bookmarkEnd w:id="8362"/>
    </w:p>
    <w:p>
      <w:bookmarkStart w:id="8363" w:name="CFROI_and_future__1027"/>
      <w:pPr>
        <w:pStyle w:val="Para 01"/>
        <w:keepLines w:val="on"/>
      </w:pPr>
      <w:r>
        <w:t>CFROI và tương lai, 1027</w:t>
      </w:r>
      <w:bookmarkEnd w:id="8363"/>
    </w:p>
    <w:p>
      <w:bookmarkStart w:id="8364" w:name="classic_two_stage_DDM_for_valuin"/>
      <w:pPr>
        <w:pStyle w:val="Para 01"/>
        <w:keepLines w:val="on"/>
      </w:pPr>
      <w:r>
        <w:t>DDM hai giai đoạn cổ điển để định giá, 397–399</w:t>
      </w:r>
      <w:bookmarkEnd w:id="8364"/>
    </w:p>
    <w:p>
      <w:bookmarkStart w:id="8365" w:name="as_driver_of_value__374_375"/>
      <w:pPr>
        <w:pStyle w:val="Para 01"/>
        <w:keepLines w:val="on"/>
      </w:pPr>
      <w:r>
        <w:t>như động lực của giá trị, 374–375</w:t>
      </w:r>
      <w:bookmarkEnd w:id="8365"/>
    </w:p>
    <w:p>
      <w:bookmarkStart w:id="8366" w:name="economic_value_added_and_future"/>
      <w:pPr>
        <w:pStyle w:val="Para 01"/>
        <w:keepLines w:val="on"/>
      </w:pPr>
      <w:r>
        <w:t>giá trị kinh tế gia tăng và tương lai, 1018–1019</w:t>
      </w:r>
      <w:bookmarkEnd w:id="8366"/>
    </w:p>
    <w:p>
      <w:bookmarkStart w:id="8367" w:name="estimating__in_FCFE__414"/>
      <w:pPr>
        <w:pStyle w:val="Para 01"/>
        <w:keepLines w:val="on"/>
      </w:pPr>
      <w:r>
        <w:t>ước tính, trong FCFE, 414</w:t>
      </w:r>
      <w:bookmarkEnd w:id="8367"/>
    </w:p>
    <w:p>
      <w:bookmarkStart w:id="8368" w:name="estimation_of_future__310__771_7"/>
      <w:pPr>
        <w:pStyle w:val="Para 01"/>
        <w:keepLines w:val="on"/>
      </w:pPr>
      <w:r>
        <w:t>ước tính tương lai, 310, 771–772</w:t>
      </w:r>
      <w:bookmarkEnd w:id="8368"/>
    </w:p>
    <w:p>
      <w:bookmarkStart w:id="8369" w:name="EV_EBITDA_and__573_3"/>
      <w:pPr>
        <w:pStyle w:val="Para 01"/>
        <w:keepLines w:val="on"/>
      </w:pPr>
      <w:r>
        <w:t>EV/EBITDA và, 573</w:t>
      </w:r>
      <w:bookmarkEnd w:id="8369"/>
    </w:p>
    <w:p>
      <w:bookmarkStart w:id="8370" w:name="in_FCFE_vs__FCFF__439"/>
      <w:pPr>
        <w:pStyle w:val="Para 01"/>
        <w:keepLines w:val="on"/>
      </w:pPr>
      <w:r>
        <w:t>trong FCFE so với FCFF, 439</w:t>
      </w:r>
      <w:bookmarkEnd w:id="8370"/>
    </w:p>
    <w:p>
      <w:bookmarkStart w:id="8371" w:name="for_financial_service_firms__663_2"/>
      <w:pPr>
        <w:pStyle w:val="Para 01"/>
        <w:keepLines w:val="on"/>
      </w:pPr>
      <w:r>
        <w:t>đối với các công ty dịch vụ tài chính, 663–664</w:t>
      </w:r>
      <w:bookmarkEnd w:id="8371"/>
    </w:p>
    <w:p>
      <w:bookmarkStart w:id="8372" w:name="fundamental_determinants_of__311"/>
      <w:pPr>
        <w:pStyle w:val="Para 01"/>
        <w:keepLines w:val="on"/>
      </w:pPr>
      <w:r>
        <w:t>các yếu tố quyết định cơ bản của, 311–323</w:t>
      </w:r>
      <w:bookmarkEnd w:id="8372"/>
    </w:p>
    <w:p>
      <w:bookmarkStart w:id="8373" w:name="in_growth_periods__357"/>
      <w:pPr>
        <w:pStyle w:val="Para 01"/>
        <w:keepLines w:val="on"/>
      </w:pPr>
      <w:r>
        <w:t>trong các giai đoạn tăng trưởng, 357</w:t>
      </w:r>
      <w:bookmarkEnd w:id="8373"/>
    </w:p>
    <w:p>
      <w:bookmarkStart w:id="8374" w:name="historical__296_307"/>
      <w:pPr>
        <w:pStyle w:val="Para 01"/>
        <w:keepLines w:val="on"/>
      </w:pPr>
      <w:r>
        <w:t>mang tính lịch sử, 296–307</w:t>
      </w:r>
      <w:bookmarkEnd w:id="8374"/>
    </w:p>
    <w:p>
      <w:bookmarkStart w:id="8375" w:name="H_model_for_valuing__399_400"/>
      <w:pPr>
        <w:pStyle w:val="Para 01"/>
        <w:keepLines w:val="on"/>
      </w:pPr>
      <w:r>
        <w:t>mô hình H để định giá, 399–400</w:t>
      </w:r>
      <w:bookmarkEnd w:id="8375"/>
    </w:p>
    <w:p>
      <w:bookmarkStart w:id="8376" w:name="implied__392_393"/>
      <w:pPr>
        <w:pStyle w:val="Para 01"/>
        <w:keepLines w:val="on"/>
      </w:pPr>
      <w:r>
        <w:t>hàm ý, 392–393</w:t>
      </w:r>
      <w:bookmarkEnd w:id="8376"/>
    </w:p>
    <w:p>
      <w:bookmarkStart w:id="8377" w:name="importance_of__295_296"/>
      <w:pPr>
        <w:pStyle w:val="Para 01"/>
        <w:keepLines w:val="on"/>
      </w:pPr>
      <w:r>
        <w:t>tầm quan trọng của, 295–296</w:t>
      </w:r>
      <w:bookmarkEnd w:id="8377"/>
    </w:p>
    <w:p>
      <w:bookmarkStart w:id="8378" w:name="management_estimates_of__311"/>
      <w:pPr>
        <w:pStyle w:val="Para 01"/>
        <w:keepLines w:val="on"/>
      </w:pPr>
      <w:r>
        <w:t>ước tính của ban quản lý về, 311</w:t>
      </w:r>
      <w:bookmarkEnd w:id="8378"/>
    </w:p>
    <w:p>
      <w:bookmarkStart w:id="8379" w:name="methods_of_estimating__295"/>
      <w:pPr>
        <w:pStyle w:val="Para 01"/>
        <w:keepLines w:val="on"/>
      </w:pPr>
      <w:r>
        <w:t>các phương pháp ước tính, 295</w:t>
      </w:r>
      <w:bookmarkEnd w:id="8379"/>
    </w:p>
    <w:p>
      <w:bookmarkStart w:id="8380" w:name="negative_earnings_and__696"/>
      <w:pPr>
        <w:pStyle w:val="Para 01"/>
        <w:keepLines w:val="on"/>
      </w:pPr>
      <w:r>
        <w:t>thu nhập âm và, 696</w:t>
      </w:r>
      <w:bookmarkEnd w:id="8380"/>
    </w:p>
    <w:p>
      <w:bookmarkStart w:id="8381" w:name="options_vs__opportunites_for__10"/>
      <w:pPr>
        <w:pStyle w:val="Para 01"/>
        <w:keepLines w:val="on"/>
      </w:pPr>
      <w:r>
        <w:t>quyền chọn so với cơ hội cho, 1077</w:t>
      </w:r>
      <w:bookmarkEnd w:id="8381"/>
    </w:p>
    <w:p>
      <w:bookmarkStart w:id="8382" w:name="outsourcing__307_311"/>
      <w:pPr>
        <w:pStyle w:val="Para 01"/>
        <w:keepLines w:val="on"/>
      </w:pPr>
      <w:r>
        <w:t>thuê ngoài, 307–311</w:t>
      </w:r>
      <w:bookmarkEnd w:id="8382"/>
    </w:p>
    <w:p>
      <w:bookmarkStart w:id="8383" w:name="PE_ratio_to__555_565"/>
      <w:pPr>
        <w:pStyle w:val="Para 01"/>
        <w:keepLines w:val="on"/>
      </w:pPr>
      <w:r>
        <w:t>tỷ lệ PE so với, 555–565</w:t>
      </w:r>
      <w:bookmarkEnd w:id="8383"/>
    </w:p>
    <w:p>
      <w:bookmarkStart w:id="8384" w:name="persistence_of__772"/>
      <w:pPr>
        <w:pStyle w:val="Para 01"/>
        <w:keepLines w:val="on"/>
      </w:pPr>
      <w:r>
        <w:t>tính bền vững của, 772</w:t>
      </w:r>
      <w:bookmarkEnd w:id="8384"/>
    </w:p>
    <w:p>
      <w:bookmarkStart w:id="8385" w:name="in_per_user_cash_flow__647__648"/>
      <w:pPr>
        <w:pStyle w:val="Para 01"/>
        <w:keepLines w:val="on"/>
      </w:pPr>
      <w:r>
        <w:t>trong dòng tiền trên mỗi người dùng, 647, 648</w:t>
      </w:r>
      <w:bookmarkEnd w:id="8385"/>
    </w:p>
    <w:p>
      <w:bookmarkStart w:id="8386" w:name="price_book_value_ratio_and__588"/>
      <w:pPr>
        <w:pStyle w:val="Para 01"/>
        <w:keepLines w:val="on"/>
      </w:pPr>
      <w:r>
        <w:t>tỷ lệ giá trên giá trị sổ sách và, 588</w:t>
      </w:r>
      <w:bookmarkEnd w:id="8386"/>
    </w:p>
    <w:p>
      <w:bookmarkStart w:id="8387" w:name="price_earnings_ratios_and__538"/>
      <w:pPr>
        <w:pStyle w:val="Para 01"/>
        <w:keepLines w:val="on"/>
      </w:pPr>
      <w:r>
        <w:t>tỷ lệ giá trên thu nhập và, 538</w:t>
      </w:r>
      <w:bookmarkEnd w:id="8387"/>
    </w:p>
    <w:p>
      <w:bookmarkStart w:id="8388" w:name="price_to_sales_ratio_and__617_1"/>
      <w:pPr>
        <w:pStyle w:val="Para 01"/>
        <w:keepLines w:val="on"/>
      </w:pPr>
      <w:r>
        <w:t>tỷ lệ giá trên doanh thu và, 617</w:t>
      </w:r>
      <w:bookmarkEnd w:id="8388"/>
    </w:p>
    <w:p>
      <w:bookmarkStart w:id="8389" w:name="in_private_firms__771_773_1"/>
      <w:pPr>
        <w:pStyle w:val="Para 01"/>
        <w:keepLines w:val="on"/>
      </w:pPr>
      <w:r>
        <w:t>trong các công ty tư nhân, 771–773</w:t>
      </w:r>
      <w:bookmarkEnd w:id="8389"/>
    </w:p>
    <w:p>
      <w:bookmarkStart w:id="8390" w:name="qualitative_aspects_of__336_337"/>
      <w:pPr>
        <w:pStyle w:val="Para 01"/>
        <w:keepLines w:val="on"/>
      </w:pPr>
      <w:r>
        <w:t>các khía cạnh định tính của, 336–337</w:t>
      </w:r>
      <w:bookmarkEnd w:id="8390"/>
    </w:p>
    <w:p>
      <w:bookmarkStart w:id="8391" w:name="reinvestment_to_generate__741_74"/>
      <w:pPr>
        <w:pStyle w:val="Para 01"/>
        <w:keepLines w:val="on"/>
      </w:pPr>
      <w:r>
        <w:t>tái đầu tư để tạo ra, 741–744</w:t>
      </w:r>
      <w:bookmarkEnd w:id="8391"/>
    </w:p>
    <w:p>
      <w:bookmarkStart w:id="8393" w:name="relative_PE_ratios_and__567"/>
      <w:pPr>
        <w:pStyle w:val="Para 01"/>
        <w:keepLines w:val="on"/>
      </w:pPr>
      <w:r>
        <w:t>tỷ lệ PE tương đối và, 567</w:t>
      </w:r>
      <w:bookmarkEnd w:id="8393"/>
    </w:p>
    <w:p>
      <w:bookmarkStart w:id="8394" w:name="sources_of__1072_1073"/>
      <w:pPr>
        <w:pStyle w:val="Para 01"/>
        <w:keepLines w:val="on"/>
      </w:pPr>
      <w:r>
        <w:t>các nguồn của, 1072–1073</w:t>
      </w:r>
      <w:bookmarkEnd w:id="8394"/>
    </w:p>
    <w:p>
      <w:bookmarkStart w:id="8395" w:name="top_down__324_336"/>
      <w:pPr>
        <w:pStyle w:val="Para 01"/>
        <w:keepLines w:val="on"/>
      </w:pPr>
      <w:r>
        <w:t>từ trên xuống, 324–336</w:t>
      </w:r>
      <w:bookmarkEnd w:id="8395"/>
    </w:p>
    <w:p>
      <w:bookmarkStart w:id="8396" w:name="value_of_less__990"/>
      <w:pPr>
        <w:pStyle w:val="Para 01"/>
        <w:keepLines w:val="on"/>
      </w:pPr>
      <w:r>
        <w:t>giá trị của việc ít hơn, 990</w:t>
      </w:r>
      <w:bookmarkEnd w:id="8396"/>
    </w:p>
    <w:p>
      <w:bookmarkStart w:id="8397" w:name="Growth_firms__202"/>
      <w:pPr>
        <w:pStyle w:val="Para 01"/>
        <w:keepLines w:val="on"/>
      </w:pPr>
      <w:r>
        <w:t>Các công ty tăng trưởng, 202</w:t>
      </w:r>
      <w:bookmarkEnd w:id="8397"/>
    </w:p>
    <w:p>
      <w:bookmarkStart w:id="8398" w:name="Growth_growth_rate__See_Expected"/>
      <w:pPr>
        <w:pStyle w:val="Para 10"/>
        <w:keepLines w:val="on"/>
      </w:pPr>
      <w:r>
        <w:t>Tăng trưởng/tốc độ tăng trưởng. Xem Tăng trưởng kỳ vọng; Tăng trưởng ổn định; Các công ty tăng trưởng ổn định</w:t>
      </w:r>
      <w:bookmarkEnd w:id="8398"/>
    </w:p>
    <w:p>
      <w:bookmarkStart w:id="8399" w:name="Growth_momentum__1072"/>
      <w:pPr>
        <w:pStyle w:val="Para 01"/>
        <w:keepLines w:val="on"/>
      </w:pPr>
      <w:r>
        <w:t>Đà tăng trưởng, 1072</w:t>
      </w:r>
      <w:bookmarkEnd w:id="8399"/>
    </w:p>
    <w:p>
      <w:bookmarkStart w:id="8400" w:name="Growth_synergies__827"/>
      <w:pPr>
        <w:pStyle w:val="Para 01"/>
        <w:keepLines w:val="on"/>
      </w:pPr>
      <w:r>
        <w:t>Hiệp lực tăng trưởng, 827</w:t>
      </w:r>
      <w:bookmarkEnd w:id="8400"/>
    </w:p>
    <w:p>
      <w:bookmarkStart w:id="8401" w:name="Guarana__937_938__944"/>
      <w:pPr>
        <w:pStyle w:val="Para 01"/>
        <w:keepLines w:val="on"/>
      </w:pPr>
      <w:r>
        <w:t>Guarana, 937–938, 944</w:t>
      </w:r>
      <w:bookmarkEnd w:id="8401"/>
    </w:p>
    <w:p>
      <w:bookmarkStart w:id="8402" w:name="Gulf_Oil__929_930"/>
      <w:pPr>
        <w:pStyle w:val="Para 01"/>
        <w:keepLines w:val="on"/>
      </w:pPr>
      <w:r>
        <w:t>Gulf Oil, 929–930</w:t>
      </w:r>
      <w:bookmarkEnd w:id="8402"/>
    </w:p>
    <w:p>
      <w:bookmarkStart w:id="8403" w:name="Gulf___Western__804"/>
      <w:pPr>
        <w:pStyle w:val="Para 01"/>
        <w:keepLines w:val="on"/>
      </w:pPr>
      <w:r>
        <w:t>Gulf &amp; Western, 804</w:t>
      </w:r>
      <w:bookmarkEnd w:id="8403"/>
    </w:p>
    <w:p>
      <w:bookmarkStart w:id="8404" w:name="H"/>
      <w:bookmarkStart w:id="8405" w:name="H___Health_care_benefits__41__50"/>
      <w:pPr>
        <w:keepNext/>
        <w:pStyle w:val="Para 50"/>
        <w:keepLines w:val="on"/>
      </w:pPr>
      <w:r>
        <w:t>H</w:t>
      </w:r>
      <w:bookmarkEnd w:id="8404"/>
      <w:bookmarkEnd w:id="8405"/>
    </w:p>
    <w:p>
      <w:bookmarkStart w:id="8406" w:name="Health_care_benefits__41__500"/>
      <w:pPr>
        <w:pStyle w:val="Para 01"/>
        <w:keepLines w:val="on"/>
      </w:pPr>
      <w:r>
        <w:t>Phúc lợi chăm sóc sức khỏe, 41, 500</w:t>
      </w:r>
      <w:bookmarkEnd w:id="8406"/>
    </w:p>
    <w:p>
      <w:bookmarkStart w:id="8407" w:name="Helsinki_Stock_Exchange__HEX___1"/>
      <w:pPr>
        <w:pStyle w:val="Para 01"/>
        <w:keepLines w:val="on"/>
      </w:pPr>
      <w:r>
        <w:t>Sở giao dịch chứng khoán Helsinki (HEX), 196–197</w:t>
      </w:r>
      <w:bookmarkEnd w:id="8407"/>
    </w:p>
    <w:p>
      <w:bookmarkStart w:id="8408" w:name="Higgledy_piggledy_growth__303_30"/>
      <w:pPr>
        <w:pStyle w:val="Para 01"/>
        <w:keepLines w:val="on"/>
      </w:pPr>
      <w:r>
        <w:t>Tăng trưởng lộn xộn, 303–304</w:t>
      </w:r>
      <w:bookmarkEnd w:id="8408"/>
    </w:p>
    <w:p>
      <w:bookmarkStart w:id="8409" w:name="High_growth_firms__economic_valu"/>
      <w:pPr>
        <w:pStyle w:val="Para 01"/>
        <w:keepLines w:val="on"/>
      </w:pPr>
      <w:r>
        <w:t>Các công ty tăng trưởng cao</w:t>
      </w:r>
      <w:bookmarkEnd w:id="8409"/>
    </w:p>
    <w:p>
      <w:bookmarkStart w:id="8410" w:name="economic_value_added_for__1022"/>
      <w:pPr>
        <w:pStyle w:val="Para 01"/>
        <w:keepLines w:val="on"/>
      </w:pPr>
      <w:r>
        <w:t>giá trị kinh tế gia tăng cho, 1022</w:t>
      </w:r>
      <w:bookmarkEnd w:id="8410"/>
    </w:p>
    <w:p>
      <w:bookmarkStart w:id="8411" w:name="enterprise_value_to_sales_ratio"/>
      <w:pPr>
        <w:pStyle w:val="Para 01"/>
        <w:keepLines w:val="on"/>
      </w:pPr>
      <w:r>
        <w:t>tỷ lệ giá trị doanh nghiệp trên doanh thu cho, 619–621</w:t>
      </w:r>
      <w:bookmarkEnd w:id="8411"/>
    </w:p>
    <w:p>
      <w:bookmarkStart w:id="8412" w:name="financial_service_firms_as__665"/>
      <w:pPr>
        <w:pStyle w:val="Para 01"/>
        <w:keepLines w:val="on"/>
      </w:pPr>
      <w:r>
        <w:t>các công ty dịch vụ tài chính với tư cách là, 665–667</w:t>
      </w:r>
      <w:bookmarkEnd w:id="8412"/>
    </w:p>
    <w:p>
      <w:bookmarkStart w:id="8413" w:name="historical_growth_at__306_307"/>
      <w:pPr>
        <w:pStyle w:val="Para 01"/>
        <w:keepLines w:val="on"/>
      </w:pPr>
      <w:r>
        <w:t>tăng trưởng lịch sử tại, 306–307</w:t>
      </w:r>
      <w:bookmarkEnd w:id="8413"/>
    </w:p>
    <w:p>
      <w:bookmarkStart w:id="8414" w:name="price_earnings_ratio_for__537_53"/>
      <w:pPr>
        <w:pStyle w:val="Para 01"/>
        <w:keepLines w:val="on"/>
      </w:pPr>
      <w:r>
        <w:t>tỷ lệ giá trên thu nhập cho, 537–539</w:t>
      </w:r>
      <w:bookmarkEnd w:id="8414"/>
    </w:p>
    <w:p>
      <w:bookmarkStart w:id="8415" w:name="price_to_book_ratio_for__587_589"/>
      <w:pPr>
        <w:pStyle w:val="Para 01"/>
        <w:keepLines w:val="on"/>
      </w:pPr>
      <w:r>
        <w:t>tỷ lệ giá trên giá trị sổ sách cho, 587–589</w:t>
      </w:r>
      <w:bookmarkEnd w:id="8415"/>
    </w:p>
    <w:p>
      <w:bookmarkStart w:id="8416" w:name="price_to_sales_ratio_for__617_61"/>
      <w:pPr>
        <w:pStyle w:val="Para 01"/>
        <w:keepLines w:val="on"/>
      </w:pPr>
      <w:r>
        <w:t>tỷ lệ giá trên doanh thu cho, 617–619</w:t>
      </w:r>
      <w:bookmarkEnd w:id="8416"/>
    </w:p>
    <w:p>
      <w:bookmarkStart w:id="8417" w:name="High_growth_period__growth_rates"/>
      <w:pPr>
        <w:pStyle w:val="Para 01"/>
        <w:keepLines w:val="on"/>
      </w:pPr>
      <w:r>
        <w:t>Giai đoạn tăng trưởng cao</w:t>
      </w:r>
      <w:bookmarkEnd w:id="8417"/>
    </w:p>
    <w:p>
      <w:bookmarkStart w:id="8418" w:name="growth_rates_in__357"/>
      <w:pPr>
        <w:pStyle w:val="Para 01"/>
        <w:keepLines w:val="on"/>
      </w:pPr>
      <w:r>
        <w:t>tốc độ tăng trưởng trong, 357</w:t>
      </w:r>
      <w:bookmarkEnd w:id="8418"/>
    </w:p>
    <w:p>
      <w:bookmarkStart w:id="8419" w:name="length_of__347_349"/>
      <w:pPr>
        <w:pStyle w:val="Para 01"/>
        <w:keepLines w:val="on"/>
      </w:pPr>
      <w:r>
        <w:t>độ dài của, 347–349</w:t>
      </w:r>
      <w:bookmarkEnd w:id="8419"/>
    </w:p>
    <w:p>
      <w:bookmarkStart w:id="8420" w:name="value_enhancement_by_lengthening"/>
      <w:pPr>
        <w:pStyle w:val="Para 01"/>
        <w:keepLines w:val="on"/>
      </w:pPr>
      <w:r>
        <w:t>gia tăng giá trị bằng cách kéo dài, 990–994</w:t>
      </w:r>
      <w:bookmarkEnd w:id="8420"/>
    </w:p>
    <w:p>
      <w:bookmarkStart w:id="8421" w:name="High_growth_phase__in_life_cycle"/>
      <w:pPr>
        <w:pStyle w:val="Para 01"/>
        <w:keepLines w:val="on"/>
      </w:pPr>
      <w:r>
        <w:t>Pha tăng trưởng cao, trong vòng đời, 736</w:t>
      </w:r>
      <w:bookmarkEnd w:id="8421"/>
    </w:p>
    <w:p>
      <w:bookmarkStart w:id="8422" w:name="Highly_levered_distressed_firms"/>
      <w:pPr>
        <w:pStyle w:val="Para 01"/>
        <w:keepLines w:val="on"/>
      </w:pPr>
      <w:r>
        <w:t>Các công ty kiệt quệ có đòn bẩy cao, vốn cổ phần trong, 959–961</w:t>
      </w:r>
      <w:bookmarkEnd w:id="8422"/>
    </w:p>
    <w:p>
      <w:bookmarkStart w:id="8423" w:name="Historical_costs__39"/>
      <w:pPr>
        <w:pStyle w:val="Para 01"/>
        <w:keepLines w:val="on"/>
      </w:pPr>
      <w:r>
        <w:t>Chi phí lịch sử, 39</w:t>
      </w:r>
      <w:bookmarkEnd w:id="8423"/>
    </w:p>
    <w:p>
      <w:bookmarkStart w:id="8424" w:name="Historical_data__probability_dis"/>
      <w:pPr>
        <w:pStyle w:val="Para 01"/>
        <w:keepLines w:val="on"/>
      </w:pPr>
      <w:r>
        <w:t>Dữ liệu lịch sử, phân phối xác suất cho, 1048</w:t>
      </w:r>
      <w:bookmarkEnd w:id="8424"/>
    </w:p>
    <w:p>
      <w:bookmarkStart w:id="8425" w:name="Historical_growth__estimation_of"/>
      <w:pPr>
        <w:pStyle w:val="Para 01"/>
        <w:keepLines w:val="on"/>
      </w:pPr>
      <w:r>
        <w:t>Tăng trưởng lịch sử</w:t>
      </w:r>
      <w:bookmarkEnd w:id="8425"/>
    </w:p>
    <w:p>
      <w:bookmarkStart w:id="8426" w:name="estimation_of__296_303"/>
      <w:pPr>
        <w:pStyle w:val="Para 01"/>
        <w:keepLines w:val="on"/>
      </w:pPr>
      <w:r>
        <w:t>ước tính về, 296–303</w:t>
      </w:r>
      <w:bookmarkEnd w:id="8426"/>
    </w:p>
    <w:p>
      <w:bookmarkStart w:id="8427" w:name="for_financial_service_firms__663_3"/>
      <w:pPr>
        <w:pStyle w:val="Para 01"/>
        <w:keepLines w:val="on"/>
      </w:pPr>
      <w:r>
        <w:t>cho các công ty dịch vụ tài chính, 663</w:t>
      </w:r>
      <w:bookmarkEnd w:id="8427"/>
    </w:p>
    <w:p>
      <w:bookmarkStart w:id="8428" w:name="at_high_growth_and_young_firms"/>
      <w:pPr>
        <w:pStyle w:val="Para 01"/>
        <w:keepLines w:val="on"/>
      </w:pPr>
      <w:r>
        <w:t>tại các công ty tăng trưởng cao và non trẻ, 306–307</w:t>
      </w:r>
      <w:bookmarkEnd w:id="8428"/>
    </w:p>
    <w:p>
      <w:bookmarkStart w:id="8429" w:name="usefulness_of__303_306"/>
      <w:pPr>
        <w:pStyle w:val="Para 01"/>
        <w:keepLines w:val="on"/>
      </w:pPr>
      <w:r>
        <w:t>tính hữu ích của, 303–306</w:t>
      </w:r>
      <w:bookmarkEnd w:id="8429"/>
    </w:p>
    <w:p>
      <w:bookmarkStart w:id="8430" w:name="Historical_market_beta__after_ma"/>
      <w:pPr>
        <w:pStyle w:val="Para 01"/>
        <w:keepLines w:val="on"/>
      </w:pPr>
      <w:r>
        <w:t>Beta thị trường lịch sử</w:t>
      </w:r>
      <w:bookmarkEnd w:id="8430"/>
    </w:p>
    <w:p>
      <w:bookmarkStart w:id="8431" w:name="after_major_restructuring__213"/>
      <w:pPr>
        <w:pStyle w:val="Para 01"/>
        <w:keepLines w:val="on"/>
      </w:pPr>
      <w:r>
        <w:t>sau tái cấu trúc lớn, 213</w:t>
      </w:r>
      <w:bookmarkEnd w:id="8431"/>
    </w:p>
    <w:p>
      <w:bookmarkStart w:id="8432" w:name="bottom_up_and_accounting_betas_v"/>
      <w:pPr>
        <w:pStyle w:val="Para 01"/>
        <w:keepLines w:val="on"/>
      </w:pPr>
      <w:r>
        <w:t>beta từ dưới lên và beta kế toán so với, 215–216</w:t>
      </w:r>
      <w:bookmarkEnd w:id="8432"/>
    </w:p>
    <w:p>
      <w:bookmarkStart w:id="8433" w:name="estimation_choices_for__195_196"/>
      <w:pPr>
        <w:pStyle w:val="Para 01"/>
        <w:keepLines w:val="on"/>
      </w:pPr>
      <w:r>
        <w:t>các lựa chọn ước tính cho, 195–196</w:t>
      </w:r>
      <w:bookmarkEnd w:id="8433"/>
    </w:p>
    <w:p>
      <w:bookmarkStart w:id="8434" w:name="limitations_of_regression__200"/>
      <w:pPr>
        <w:pStyle w:val="Para 01"/>
        <w:keepLines w:val="on"/>
      </w:pPr>
      <w:r>
        <w:t>hạn chế của hồi quy, 200</w:t>
      </w:r>
      <w:bookmarkEnd w:id="8434"/>
    </w:p>
    <w:p>
      <w:bookmarkStart w:id="8435" w:name="for_private_firms__199_200"/>
      <w:pPr>
        <w:pStyle w:val="Para 01"/>
        <w:keepLines w:val="on"/>
      </w:pPr>
      <w:r>
        <w:t>cho các công ty tư nhân, 199–200</w:t>
      </w:r>
      <w:bookmarkEnd w:id="8435"/>
    </w:p>
    <w:p>
      <w:bookmarkStart w:id="8436" w:name="regression_estimates__190_193"/>
      <w:pPr>
        <w:pStyle w:val="Para 01"/>
        <w:keepLines w:val="on"/>
      </w:pPr>
      <w:r>
        <w:t>ước tính hồi quy, 190–193</w:t>
      </w:r>
      <w:bookmarkEnd w:id="8436"/>
    </w:p>
    <w:p>
      <w:bookmarkStart w:id="8437" w:name="service_betas_as__194_195"/>
      <w:pPr>
        <w:pStyle w:val="Para 01"/>
        <w:keepLines w:val="on"/>
      </w:pPr>
      <w:r>
        <w:t>beta dịch vụ như là, 194–195</w:t>
      </w:r>
      <w:bookmarkEnd w:id="8437"/>
    </w:p>
    <w:p>
      <w:bookmarkStart w:id="8438" w:name="for_smaller_or_emerging_markets"/>
      <w:pPr>
        <w:pStyle w:val="Para 01"/>
        <w:keepLines w:val="on"/>
      </w:pPr>
      <w:r>
        <w:t>cho các thị trường nhỏ hơn hoặc mới nổi, 196–199</w:t>
      </w:r>
      <w:bookmarkEnd w:id="8438"/>
    </w:p>
    <w:p>
      <w:bookmarkStart w:id="8439" w:name="Historical_returns__on_real_esta"/>
      <w:pPr>
        <w:pStyle w:val="Para 01"/>
        <w:keepLines w:val="on"/>
      </w:pPr>
      <w:r>
        <w:t>Lợi nhuận lịch sử, đối với bất động sản, 839–840</w:t>
      </w:r>
      <w:bookmarkEnd w:id="8439"/>
    </w:p>
    <w:p>
      <w:bookmarkStart w:id="8440" w:name="Historical_risk_premiums__caveat"/>
      <w:pPr>
        <w:pStyle w:val="Para 01"/>
        <w:keepLines w:val="on"/>
      </w:pPr>
      <w:r>
        <w:t>Phần bù rủi ro lịch sử</w:t>
      </w:r>
      <w:bookmarkEnd w:id="8440"/>
    </w:p>
    <w:p>
      <w:bookmarkStart w:id="8441" w:name="caveats_of_using__168_169"/>
      <w:pPr>
        <w:pStyle w:val="Para 01"/>
        <w:keepLines w:val="on"/>
      </w:pPr>
      <w:r>
        <w:t>những lưu ý khi sử dụng, 168–169</w:t>
      </w:r>
      <w:bookmarkEnd w:id="8441"/>
    </w:p>
    <w:p>
      <w:bookmarkStart w:id="8442" w:name="divergence_in__164_167"/>
      <w:pPr>
        <w:pStyle w:val="Para 01"/>
        <w:keepLines w:val="on"/>
      </w:pPr>
      <w:r>
        <w:t>sự khác biệt trong, 164–167</w:t>
      </w:r>
      <w:bookmarkEnd w:id="8442"/>
    </w:p>
    <w:p>
      <w:bookmarkStart w:id="8443" w:name="implied_equity_premiums_vs___181"/>
      <w:pPr>
        <w:pStyle w:val="Para 01"/>
        <w:keepLines w:val="on"/>
      </w:pPr>
      <w:r>
        <w:t>phần bù vốn cổ phần ngụ ý so với, 181–182</w:t>
      </w:r>
      <w:bookmarkEnd w:id="8443"/>
    </w:p>
    <w:p>
      <w:bookmarkStart w:id="8444" w:name="modified__169_177"/>
      <w:pPr>
        <w:pStyle w:val="Para 01"/>
        <w:keepLines w:val="on"/>
      </w:pPr>
      <w:r>
        <w:t>đã điều chỉnh, 169–177</w:t>
      </w:r>
      <w:bookmarkEnd w:id="8444"/>
    </w:p>
    <w:p>
      <w:bookmarkStart w:id="8445" w:name="for_non_U_S__markets__167_168"/>
      <w:pPr>
        <w:pStyle w:val="Para 01"/>
        <w:keepLines w:val="on"/>
      </w:pPr>
      <w:r>
        <w:t>cho các thị trường ngoài Hoa Kỳ, 167–168</w:t>
      </w:r>
      <w:bookmarkEnd w:id="8445"/>
    </w:p>
    <w:p>
      <w:bookmarkStart w:id="8446" w:name="for_U_S__market__167"/>
      <w:pPr>
        <w:pStyle w:val="Para 01"/>
        <w:keepLines w:val="on"/>
      </w:pPr>
      <w:r>
        <w:t>cho thị trường Hoa Kỳ, 167</w:t>
      </w:r>
      <w:bookmarkEnd w:id="8446"/>
    </w:p>
    <w:p>
      <w:bookmarkStart w:id="8447" w:name="H_model_for_valuing_growth__399_1"/>
      <w:pPr>
        <w:pStyle w:val="Para 01"/>
        <w:keepLines w:val="on"/>
      </w:pPr>
      <w:r>
        <w:t>Mô hình H để định giá tăng trưởng, 399–400</w:t>
      </w:r>
      <w:bookmarkEnd w:id="8447"/>
    </w:p>
    <w:p>
      <w:bookmarkStart w:id="8448" w:name="Holt_Associates__1028"/>
      <w:pPr>
        <w:pStyle w:val="Para 01"/>
        <w:keepLines w:val="on"/>
      </w:pPr>
      <w:r>
        <w:t>Holt Associates, 1028</w:t>
      </w:r>
      <w:bookmarkEnd w:id="8448"/>
    </w:p>
    <w:p>
      <w:bookmarkStart w:id="8449" w:name="Home_Depot__37_38__43_44__46__48"/>
      <w:pPr>
        <w:pStyle w:val="Para 01"/>
        <w:keepLines w:val="on"/>
      </w:pPr>
      <w:r>
        <w:t>Home Depot, 37–38, 43–44, 46, 48, 50, 54, 56, 950–951, 953, 988</w:t>
      </w:r>
      <w:bookmarkEnd w:id="8449"/>
    </w:p>
    <w:p>
      <w:bookmarkStart w:id="8450" w:name="Hostile_acquisition__796"/>
      <w:pPr>
        <w:pStyle w:val="Para 01"/>
        <w:keepLines w:val="on"/>
      </w:pPr>
      <w:r>
        <w:t>Thâu tóm thù địch, 796</w:t>
      </w:r>
      <w:bookmarkEnd w:id="8450"/>
    </w:p>
    <w:p>
      <w:bookmarkStart w:id="8451" w:name="Hostile_takeovers__802_804"/>
      <w:pPr>
        <w:pStyle w:val="Para 01"/>
        <w:keepLines w:val="on"/>
      </w:pPr>
      <w:r>
        <w:t>Tiếp quản thù địch, 802–804</w:t>
      </w:r>
      <w:bookmarkEnd w:id="8451"/>
    </w:p>
    <w:p>
      <w:bookmarkStart w:id="8452" w:name="Hot_hands_phenomenon__151"/>
      <w:pPr>
        <w:pStyle w:val="Para 01"/>
        <w:keepLines w:val="on"/>
      </w:pPr>
      <w:r>
        <w:t>Hiện tượng bàn tay nóng, 151</w:t>
      </w:r>
      <w:bookmarkEnd w:id="8452"/>
    </w:p>
    <w:p>
      <w:bookmarkStart w:id="8453" w:name="HSBC__664_665"/>
      <w:pPr>
        <w:pStyle w:val="Para 01"/>
        <w:keepLines w:val="on"/>
      </w:pPr>
      <w:r>
        <w:t>HSBC, 664–665</w:t>
      </w:r>
      <w:bookmarkEnd w:id="8453"/>
    </w:p>
    <w:p>
      <w:bookmarkStart w:id="8454" w:name="Human_capital__value_of__669"/>
      <w:pPr>
        <w:pStyle w:val="Para 01"/>
        <w:keepLines w:val="on"/>
      </w:pPr>
      <w:r>
        <w:t>Vốn nhân lực, giá trị của, 669</w:t>
      </w:r>
      <w:bookmarkEnd w:id="8454"/>
    </w:p>
    <w:p>
      <w:bookmarkStart w:id="8455" w:name="Hybrid_securities__226_227"/>
      <w:pPr>
        <w:pStyle w:val="Para 01"/>
        <w:keepLines w:val="on"/>
      </w:pPr>
      <w:r>
        <w:t>Chứng khoán lai, 226–227</w:t>
      </w:r>
      <w:bookmarkEnd w:id="8455"/>
    </w:p>
    <w:p>
      <w:bookmarkStart w:id="8456" w:name="Hyundai_Corporation__720_721"/>
      <w:pPr>
        <w:pStyle w:val="Para 01"/>
        <w:keepLines w:val="on"/>
      </w:pPr>
      <w:r>
        <w:t>Hyundai Corporation, 720–721</w:t>
      </w:r>
      <w:bookmarkEnd w:id="8456"/>
    </w:p>
    <w:p>
      <w:bookmarkStart w:id="8457" w:name="Hyundai_Heavy__496_497"/>
      <w:pPr>
        <w:pStyle w:val="Para 01"/>
        <w:keepLines w:val="on"/>
      </w:pPr>
      <w:r>
        <w:t>Hyundai Heavy, 496–497</w:t>
      </w:r>
      <w:bookmarkEnd w:id="8457"/>
    </w:p>
    <w:p>
      <w:bookmarkStart w:id="8458" w:name="I"/>
      <w:bookmarkStart w:id="8459" w:name="I___I_B_E_S__Institutions_Broker"/>
      <w:pPr>
        <w:keepNext/>
        <w:pStyle w:val="Para 50"/>
        <w:keepLines w:val="on"/>
      </w:pPr>
      <w:r>
        <w:t>I</w:t>
      </w:r>
      <w:bookmarkEnd w:id="8458"/>
      <w:bookmarkEnd w:id="8459"/>
    </w:p>
    <w:p>
      <w:bookmarkStart w:id="8460" w:name="I_B_E_S__Institutions_Brokers_Es"/>
      <w:pPr>
        <w:pStyle w:val="Para 01"/>
        <w:keepLines w:val="on"/>
      </w:pPr>
      <w:r>
        <w:t>I/B/E/S (Hệ thống Ước tính của Các Tổ chức Môi giới), 309</w:t>
      </w:r>
      <w:bookmarkEnd w:id="8460"/>
    </w:p>
    <w:p>
      <w:bookmarkStart w:id="8461" w:name="IBM__600_601__716"/>
      <w:pPr>
        <w:pStyle w:val="Para 01"/>
        <w:keepLines w:val="on"/>
      </w:pPr>
      <w:r>
        <w:t>IBM, 600–601, 716</w:t>
      </w:r>
      <w:bookmarkEnd w:id="8461"/>
    </w:p>
    <w:p>
      <w:bookmarkStart w:id="8462" w:name="IFRS__International_Financial_Re"/>
      <w:pPr>
        <w:pStyle w:val="Para 01"/>
        <w:keepLines w:val="on"/>
      </w:pPr>
      <w:r>
        <w:t>IFRS (Chuẩn mực Báo cáo Tài chính Quốc tế), 57</w:t>
      </w:r>
      <w:bookmarkEnd w:id="8462"/>
    </w:p>
    <w:p>
      <w:bookmarkStart w:id="8463" w:name="Illiquidity_discounts__determina"/>
      <w:pPr>
        <w:pStyle w:val="Para 01"/>
        <w:keepLines w:val="on"/>
      </w:pPr>
      <w:r>
        <w:t>Chiết khấu do kém thanh khoản</w:t>
      </w:r>
      <w:bookmarkEnd w:id="8463"/>
    </w:p>
    <w:p>
      <w:bookmarkStart w:id="8464" w:name="determinants_of__775"/>
      <w:pPr>
        <w:pStyle w:val="Para 01"/>
        <w:keepLines w:val="on"/>
      </w:pPr>
      <w:r>
        <w:t>các yếu tố quyết định, 775</w:t>
      </w:r>
      <w:bookmarkEnd w:id="8464"/>
    </w:p>
    <w:p>
      <w:bookmarkStart w:id="8465" w:name="estimation_of__777_781"/>
      <w:pPr>
        <w:pStyle w:val="Para 01"/>
        <w:keepLines w:val="on"/>
      </w:pPr>
      <w:r>
        <w:t>ước tính, 777–781</w:t>
      </w:r>
      <w:bookmarkEnd w:id="8465"/>
    </w:p>
    <w:p>
      <w:bookmarkStart w:id="8466" w:name="explanation_of__775"/>
      <w:pPr>
        <w:pStyle w:val="Para 01"/>
        <w:keepLines w:val="on"/>
      </w:pPr>
      <w:r>
        <w:t>giải thích, 775</w:t>
      </w:r>
      <w:bookmarkEnd w:id="8466"/>
    </w:p>
    <w:p>
      <w:bookmarkStart w:id="8467" w:name="for_private_firms__775_781"/>
      <w:pPr>
        <w:pStyle w:val="Para 01"/>
        <w:keepLines w:val="on"/>
      </w:pPr>
      <w:r>
        <w:t>đối với doanh nghiệp tư nhân, 775–781</w:t>
      </w:r>
      <w:bookmarkEnd w:id="8467"/>
    </w:p>
    <w:p>
      <w:bookmarkStart w:id="8468" w:name="studies_of__775_777"/>
      <w:pPr>
        <w:pStyle w:val="Para 01"/>
        <w:keepLines w:val="on"/>
      </w:pPr>
      <w:r>
        <w:t>các nghiên cứu về, 775–777</w:t>
      </w:r>
      <w:bookmarkEnd w:id="8468"/>
    </w:p>
    <w:p>
      <w:bookmarkStart w:id="8469" w:name="Implied_cost_of_capital__1028"/>
      <w:pPr>
        <w:pStyle w:val="Para 01"/>
        <w:keepLines w:val="on"/>
      </w:pPr>
      <w:r>
        <w:t>Chi phí vốn ngầm định, 1028</w:t>
      </w:r>
      <w:bookmarkEnd w:id="8469"/>
    </w:p>
    <w:p>
      <w:bookmarkStart w:id="8470" w:name="Implied_equity_premium__explanat"/>
      <w:pPr>
        <w:pStyle w:val="Para 01"/>
        <w:keepLines w:val="on"/>
      </w:pPr>
      <w:r>
        <w:t>Phần bù rủi ro vốn cổ phần ngầm định</w:t>
      </w:r>
      <w:bookmarkEnd w:id="8470"/>
    </w:p>
    <w:p>
      <w:bookmarkStart w:id="8471" w:name="explanation_of__177_181"/>
      <w:pPr>
        <w:pStyle w:val="Para 01"/>
        <w:keepLines w:val="on"/>
      </w:pPr>
      <w:r>
        <w:t>giải thích, 177–181</w:t>
      </w:r>
      <w:bookmarkEnd w:id="8471"/>
    </w:p>
    <w:p>
      <w:bookmarkStart w:id="8472" w:name="historical_vs___181_182"/>
      <w:pPr>
        <w:pStyle w:val="Para 01"/>
        <w:keepLines w:val="on"/>
      </w:pPr>
      <w:r>
        <w:t>so với lịch sử, 181–182</w:t>
      </w:r>
      <w:bookmarkEnd w:id="8472"/>
    </w:p>
    <w:p>
      <w:bookmarkStart w:id="8473" w:name="Implied_growth_rate__392_393"/>
      <w:pPr>
        <w:pStyle w:val="Para 01"/>
        <w:keepLines w:val="on"/>
      </w:pPr>
      <w:r>
        <w:t>Tốc độ tăng trưởng ngầm định, 392–393</w:t>
      </w:r>
      <w:bookmarkEnd w:id="8473"/>
    </w:p>
    <w:p>
      <w:bookmarkStart w:id="8474" w:name="Implied_private_costs_of_equity"/>
      <w:pPr>
        <w:pStyle w:val="Para 01"/>
        <w:keepLines w:val="on"/>
      </w:pPr>
      <w:r>
        <w:t>Chi phí vốn cổ phần tư nhân ngầm định, 765</w:t>
      </w:r>
      <w:bookmarkEnd w:id="8474"/>
    </w:p>
    <w:p>
      <w:bookmarkStart w:id="8475" w:name="Inbev__811_812__822_823"/>
      <w:pPr>
        <w:pStyle w:val="Para 01"/>
        <w:keepLines w:val="on"/>
      </w:pPr>
      <w:r>
        <w:t>Inbev, 811–812, 822–823</w:t>
      </w:r>
      <w:bookmarkEnd w:id="8475"/>
    </w:p>
    <w:p>
      <w:bookmarkStart w:id="8476" w:name="Incentives__customer__955_956"/>
      <w:pPr>
        <w:pStyle w:val="Para 01"/>
        <w:keepLines w:val="on"/>
      </w:pPr>
      <w:r>
        <w:t>Ưu đãi khách hàng, 955–956</w:t>
      </w:r>
      <w:bookmarkEnd w:id="8476"/>
    </w:p>
    <w:p>
      <w:bookmarkStart w:id="8477" w:name="Income__from_cross_holdings__261"/>
      <w:pPr>
        <w:pStyle w:val="Para 01"/>
        <w:keepLines w:val="on"/>
      </w:pPr>
      <w:r>
        <w:t>Thu nhập</w:t>
      </w:r>
      <w:bookmarkEnd w:id="8477"/>
    </w:p>
    <w:p>
      <w:bookmarkStart w:id="8478" w:name="from_cross_holdings__261_262"/>
      <w:pPr>
        <w:pStyle w:val="Para 01"/>
        <w:keepLines w:val="on"/>
      </w:pPr>
      <w:r>
        <w:t>từ các khoản nắm giữ chéo, 261–262</w:t>
      </w:r>
      <w:bookmarkEnd w:id="8478"/>
    </w:p>
    <w:p>
      <w:bookmarkStart w:id="8479" w:name="one_time__259__262_263"/>
      <w:pPr>
        <w:pStyle w:val="Para 01"/>
        <w:keepLines w:val="on"/>
      </w:pPr>
      <w:r>
        <w:t>một lần, 259, 262–263</w:t>
      </w:r>
      <w:bookmarkEnd w:id="8479"/>
    </w:p>
    <w:p>
      <w:bookmarkStart w:id="8480" w:name="for_real_estate_businesses__863"/>
      <w:pPr>
        <w:pStyle w:val="Para 01"/>
        <w:keepLines w:val="on"/>
      </w:pPr>
      <w:r>
        <w:t>đối với các doanh nghiệp bất động sản, 863</w:t>
      </w:r>
      <w:bookmarkEnd w:id="8480"/>
    </w:p>
    <w:p>
      <w:bookmarkStart w:id="8481" w:name="standardized_pricing_estimates_b"/>
      <w:pPr>
        <w:pStyle w:val="Para 01"/>
        <w:keepLines w:val="on"/>
      </w:pPr>
      <w:r>
        <w:t>ước tính giá chuẩn hóa dựa trên, 860</w:t>
      </w:r>
      <w:bookmarkEnd w:id="8481"/>
    </w:p>
    <w:p>
      <w:bookmarkStart w:id="8482" w:name="volatile__259"/>
      <w:pPr>
        <w:pStyle w:val="Para 01"/>
        <w:keepLines w:val="on"/>
      </w:pPr>
      <w:r>
        <w:t>biến động mạnh, 259</w:t>
      </w:r>
      <w:bookmarkEnd w:id="8482"/>
    </w:p>
    <w:p>
      <w:bookmarkStart w:id="8483" w:name="volatile_expenses_and__259"/>
      <w:pPr>
        <w:pStyle w:val="Para 01"/>
        <w:keepLines w:val="on"/>
      </w:pPr>
      <w:r>
        <w:t>chi phí biến động mạnh và, 259</w:t>
      </w:r>
      <w:bookmarkEnd w:id="8483"/>
    </w:p>
    <w:p>
      <w:bookmarkStart w:id="8484" w:name="Income_statement__30"/>
      <w:pPr>
        <w:pStyle w:val="Para 01"/>
        <w:keepLines w:val="on"/>
      </w:pPr>
      <w:r>
        <w:t>Báo cáo kết quả kinh doanh, 30</w:t>
      </w:r>
      <w:bookmarkEnd w:id="8484"/>
    </w:p>
    <w:p>
      <w:bookmarkStart w:id="8485" w:name="Index_domination__196_197"/>
      <w:pPr>
        <w:pStyle w:val="Para 01"/>
        <w:keepLines w:val="on"/>
      </w:pPr>
      <w:r>
        <w:t>Sự thống trị chỉ số, 196–197</w:t>
      </w:r>
      <w:bookmarkEnd w:id="8485"/>
    </w:p>
    <w:p>
      <w:bookmarkStart w:id="8486" w:name="Industry_average_earnings__265"/>
      <w:pPr>
        <w:pStyle w:val="Para 01"/>
        <w:keepLines w:val="on"/>
      </w:pPr>
      <w:r>
        <w:t>Thu nhập bình quân ngành, 265</w:t>
      </w:r>
      <w:bookmarkEnd w:id="8486"/>
    </w:p>
    <w:p>
      <w:bookmarkStart w:id="8487" w:name="Inflation__and_gold_prices__886"/>
      <w:pPr>
        <w:pStyle w:val="Para 01"/>
        <w:keepLines w:val="on"/>
      </w:pPr>
      <w:r>
        <w:t>Lạm phát</w:t>
      </w:r>
      <w:bookmarkEnd w:id="8487"/>
    </w:p>
    <w:p>
      <w:bookmarkStart w:id="8488" w:name="and_gold_prices__886_887__889_89"/>
      <w:pPr>
        <w:pStyle w:val="Para 01"/>
        <w:keepLines w:val="on"/>
      </w:pPr>
      <w:r>
        <w:t>và giá vàng, 886–887, 889–890</w:t>
      </w:r>
      <w:bookmarkEnd w:id="8488"/>
    </w:p>
    <w:p>
      <w:bookmarkStart w:id="8489" w:name="as_macro_stressor__684"/>
      <w:pPr>
        <w:pStyle w:val="Para 01"/>
        <w:keepLines w:val="on"/>
      </w:pPr>
      <w:r>
        <w:t>như một yếu tố gây căng thẳng vĩ mô, 684</w:t>
      </w:r>
      <w:bookmarkEnd w:id="8489"/>
    </w:p>
    <w:p>
      <w:bookmarkStart w:id="8490" w:name="and_real_vs__financial_assets__8"/>
      <w:pPr>
        <w:pStyle w:val="Para 01"/>
        <w:keepLines w:val="on"/>
      </w:pPr>
      <w:r>
        <w:t>và tài sản thực so với tài sản tài chính, 838</w:t>
      </w:r>
      <w:bookmarkEnd w:id="8490"/>
    </w:p>
    <w:p>
      <w:bookmarkStart w:id="8491" w:name="Information__about_young_or_star"/>
      <w:pPr>
        <w:pStyle w:val="Para 01"/>
        <w:keepLines w:val="on"/>
      </w:pPr>
      <w:r>
        <w:t>Thông tin</w:t>
      </w:r>
      <w:bookmarkEnd w:id="8491"/>
    </w:p>
    <w:p>
      <w:bookmarkStart w:id="8492" w:name="about_young_or_start_up_firms__7"/>
      <w:pPr>
        <w:pStyle w:val="Para 01"/>
        <w:keepLines w:val="on"/>
      </w:pPr>
      <w:r>
        <w:t>về các công ty non trẻ hoặc mới khởi nghiệp, 753–754</w:t>
      </w:r>
      <w:bookmarkEnd w:id="8492"/>
    </w:p>
    <w:p>
      <w:bookmarkStart w:id="8493" w:name="availability_of__459_460"/>
      <w:pPr>
        <w:pStyle w:val="Para 01"/>
        <w:keepLines w:val="on"/>
      </w:pPr>
      <w:r>
        <w:t>tính sẵn có của, 459–460</w:t>
      </w:r>
      <w:bookmarkEnd w:id="8493"/>
    </w:p>
    <w:p>
      <w:bookmarkStart w:id="8494" w:name="constraints_for_young_or_start_u"/>
      <w:pPr>
        <w:pStyle w:val="Para 01"/>
        <w:keepLines w:val="on"/>
      </w:pPr>
      <w:r>
        <w:t>các hạn chế liên quan đến thông tin đối với các công ty non trẻ hoặc mới khởi nghiệp, 733–738</w:t>
      </w:r>
      <w:bookmarkEnd w:id="8494"/>
    </w:p>
    <w:p>
      <w:bookmarkStart w:id="8495" w:name="decision_trees_and_value_of__104"/>
      <w:pPr>
        <w:pStyle w:val="Para 01"/>
        <w:keepLines w:val="on"/>
      </w:pPr>
      <w:r>
        <w:t>cây quyết định và giá trị của thông tin, 1044</w:t>
      </w:r>
      <w:bookmarkEnd w:id="8495"/>
    </w:p>
    <w:p>
      <w:bookmarkStart w:id="8496" w:name="for_valuing_firms__738"/>
      <w:pPr>
        <w:pStyle w:val="Para 01"/>
        <w:keepLines w:val="on"/>
      </w:pPr>
      <w:r>
        <w:t>để định giá doanh nghiệp, 738</w:t>
      </w:r>
      <w:bookmarkEnd w:id="8496"/>
    </w:p>
    <w:p>
      <w:bookmarkStart w:id="8497" w:name="Informational_events__market_rea"/>
      <w:pPr>
        <w:pStyle w:val="Para 01"/>
        <w:keepLines w:val="on"/>
      </w:pPr>
      <w:r>
        <w:t>Các sự kiện thông tin, phản ứng của thị trường đối với, 133–137</w:t>
      </w:r>
      <w:bookmarkEnd w:id="8497"/>
    </w:p>
    <w:p>
      <w:bookmarkStart w:id="8498" w:name="Information_costs__with_real_est"/>
      <w:pPr>
        <w:pStyle w:val="Para 01"/>
        <w:keepLines w:val="on"/>
      </w:pPr>
      <w:r>
        <w:t>Chi phí thông tin, với bất động sản, 847</w:t>
      </w:r>
      <w:bookmarkEnd w:id="8498"/>
    </w:p>
    <w:p>
      <w:bookmarkStart w:id="8499" w:name="Information_timing__125"/>
      <w:pPr>
        <w:pStyle w:val="Para 01"/>
        <w:keepLines w:val="on"/>
      </w:pPr>
      <w:r>
        <w:t>Thời điểm thông tin, 125</w:t>
      </w:r>
      <w:bookmarkEnd w:id="8499"/>
    </w:p>
    <w:p>
      <w:bookmarkStart w:id="8500" w:name="Information_traders__9"/>
      <w:pPr>
        <w:pStyle w:val="Para 01"/>
        <w:keepLines w:val="on"/>
      </w:pPr>
      <w:r>
        <w:t>Nhà giao dịch thông tin, 9</w:t>
      </w:r>
      <w:bookmarkEnd w:id="8500"/>
    </w:p>
    <w:p>
      <w:bookmarkStart w:id="8501" w:name="InfoSoft__759_762__770_773__782"/>
      <w:pPr>
        <w:pStyle w:val="Para 01"/>
        <w:keepLines w:val="on"/>
      </w:pPr>
      <w:r>
        <w:t>InfoSoft, 759–762, 770–773, 782–784, 786</w:t>
      </w:r>
      <w:bookmarkEnd w:id="8501"/>
    </w:p>
    <w:p>
      <w:bookmarkStart w:id="8503" w:name="Infrastructure_costs__in_multist"/>
      <w:pPr>
        <w:pStyle w:val="Para 01"/>
        <w:keepLines w:val="on"/>
      </w:pPr>
      <w:r>
        <w:t>Chi phí hạ tầng, trong các dự án nhiều giai đoạn, 942</w:t>
      </w:r>
      <w:bookmarkEnd w:id="8503"/>
    </w:p>
    <w:p>
      <w:bookmarkStart w:id="8504" w:name="Infrastructure_firms__negative_e"/>
      <w:pPr>
        <w:pStyle w:val="Para 01"/>
        <w:keepLines w:val="on"/>
      </w:pPr>
      <w:r>
        <w:t>Các công ty hạ tầng</w:t>
      </w:r>
      <w:bookmarkEnd w:id="8504"/>
    </w:p>
    <w:p>
      <w:bookmarkStart w:id="8505" w:name="negative_earnings_for__697_698"/>
      <w:pPr>
        <w:pStyle w:val="Para 01"/>
        <w:keepLines w:val="on"/>
      </w:pPr>
      <w:r>
        <w:t>lợi nhuận âm đối với, 697–698</w:t>
      </w:r>
      <w:bookmarkEnd w:id="8505"/>
    </w:p>
    <w:p>
      <w:bookmarkStart w:id="8506" w:name="normalized_earnings_for__1072"/>
      <w:pPr>
        <w:pStyle w:val="Para 01"/>
        <w:keepLines w:val="on"/>
      </w:pPr>
      <w:r>
        <w:t>lợi nhuận chuẩn hóa đối với, 1072</w:t>
      </w:r>
      <w:bookmarkEnd w:id="8506"/>
    </w:p>
    <w:p>
      <w:bookmarkStart w:id="8507" w:name="temporary_problems_for__710_715"/>
      <w:pPr>
        <w:pStyle w:val="Para 01"/>
        <w:keepLines w:val="on"/>
      </w:pPr>
      <w:r>
        <w:t>vấn đề tạm thời đối với, 710–715</w:t>
      </w:r>
      <w:bookmarkEnd w:id="8507"/>
    </w:p>
    <w:p>
      <w:bookmarkStart w:id="8508" w:name="Infrequent_items__45"/>
      <w:pPr>
        <w:pStyle w:val="Para 01"/>
        <w:keepLines w:val="on"/>
      </w:pPr>
      <w:r>
        <w:t>Các khoản mục không thường xuyên, 45</w:t>
      </w:r>
      <w:bookmarkEnd w:id="8508"/>
    </w:p>
    <w:p>
      <w:bookmarkStart w:id="8509" w:name="Initial_public_offering__illiqui"/>
      <w:pPr>
        <w:pStyle w:val="Para 01"/>
        <w:keepLines w:val="on"/>
      </w:pPr>
      <w:r>
        <w:t>Phát hành cổ phiếu lần đầu ra công chúng</w:t>
      </w:r>
      <w:bookmarkEnd w:id="8509"/>
    </w:p>
    <w:p>
      <w:bookmarkStart w:id="8510" w:name="illiquidity_discount_and__777_77"/>
      <w:pPr>
        <w:pStyle w:val="Para 01"/>
        <w:keepLines w:val="on"/>
      </w:pPr>
      <w:r>
        <w:t>chiết khấu kém thanh khoản và, 777–778</w:t>
      </w:r>
      <w:bookmarkEnd w:id="8510"/>
    </w:p>
    <w:p>
      <w:bookmarkStart w:id="8511" w:name="illiquidity_discount_and_likelih"/>
      <w:pPr>
        <w:pStyle w:val="Para 01"/>
        <w:keepLines w:val="on"/>
      </w:pPr>
      <w:r>
        <w:t>chiết khấu kém thanh khoản và khả năng xảy ra, 775</w:t>
      </w:r>
      <w:bookmarkEnd w:id="8511"/>
    </w:p>
    <w:p>
      <w:bookmarkStart w:id="8512" w:name="valuation_of_firm_for__782_784"/>
      <w:pPr>
        <w:pStyle w:val="Para 01"/>
        <w:keepLines w:val="on"/>
      </w:pPr>
      <w:r>
        <w:t>định giá công ty cho, 782–784</w:t>
      </w:r>
      <w:bookmarkEnd w:id="8512"/>
    </w:p>
    <w:p>
      <w:bookmarkStart w:id="8513" w:name="Insider_trading__146_147"/>
      <w:pPr>
        <w:pStyle w:val="Para 01"/>
        <w:keepLines w:val="on"/>
      </w:pPr>
      <w:r>
        <w:t>Giao dịch nội gián, 146–147</w:t>
      </w:r>
      <w:bookmarkEnd w:id="8513"/>
    </w:p>
    <w:p>
      <w:bookmarkStart w:id="8514" w:name="Institutional_investors__308"/>
      <w:pPr>
        <w:pStyle w:val="Para 01"/>
        <w:keepLines w:val="on"/>
      </w:pPr>
      <w:r>
        <w:t>Nhà đầu tư tổ chức, 308</w:t>
      </w:r>
      <w:bookmarkEnd w:id="8514"/>
    </w:p>
    <w:p>
      <w:bookmarkStart w:id="8515" w:name="Institutions_Brokers_Estimate_Sy"/>
      <w:pPr>
        <w:pStyle w:val="Para 01"/>
        <w:keepLines w:val="on"/>
      </w:pPr>
      <w:r>
        <w:t>Hệ thống Ước tính của Các Nhà Môi giới Tổ chức (I/B/E/S), 309</w:t>
      </w:r>
      <w:bookmarkEnd w:id="8515"/>
    </w:p>
    <w:p>
      <w:bookmarkStart w:id="8516" w:name="Insurance__gold_as__891_892"/>
      <w:pPr>
        <w:pStyle w:val="Para 01"/>
        <w:keepLines w:val="on"/>
      </w:pPr>
      <w:r>
        <w:t>Bảo hiểm, vàng như một dạng, 891–892</w:t>
      </w:r>
      <w:bookmarkEnd w:id="8516"/>
    </w:p>
    <w:p>
      <w:bookmarkStart w:id="8517" w:name="Intangible_assets__36_38"/>
      <w:pPr>
        <w:pStyle w:val="Para 01"/>
        <w:keepLines w:val="on"/>
      </w:pPr>
      <w:r>
        <w:t>Tài sản vô hình, 36–38</w:t>
      </w:r>
      <w:bookmarkEnd w:id="8517"/>
    </w:p>
    <w:p>
      <w:bookmarkStart w:id="8518" w:name="Intel__315"/>
      <w:pPr>
        <w:pStyle w:val="Para 01"/>
        <w:keepLines w:val="on"/>
      </w:pPr>
      <w:r>
        <w:t>Intel, 315</w:t>
      </w:r>
      <w:bookmarkEnd w:id="8518"/>
    </w:p>
    <w:p>
      <w:bookmarkStart w:id="8519" w:name="Interest_coverage_ratios__53_54"/>
      <w:pPr>
        <w:pStyle w:val="Para 01"/>
        <w:keepLines w:val="on"/>
      </w:pPr>
      <w:r>
        <w:t>Các tỷ số khả năng chi trả lãi vay, 53–54, 222–223</w:t>
      </w:r>
      <w:bookmarkEnd w:id="8519"/>
    </w:p>
    <w:p>
      <w:bookmarkStart w:id="8520" w:name="Interest_rates__as_bank_stressor"/>
      <w:pPr>
        <w:pStyle w:val="Para 01"/>
        <w:keepLines w:val="on"/>
      </w:pPr>
      <w:r>
        <w:t>Lãi suất</w:t>
      </w:r>
      <w:bookmarkEnd w:id="8520"/>
    </w:p>
    <w:p>
      <w:bookmarkStart w:id="8521" w:name="as_bank_stressor__684"/>
      <w:pPr>
        <w:pStyle w:val="Para 01"/>
        <w:keepLines w:val="on"/>
      </w:pPr>
      <w:r>
        <w:t>như yếu tố gây áp lực cho ngân hàng, 684</w:t>
      </w:r>
      <w:bookmarkEnd w:id="8521"/>
    </w:p>
    <w:p>
      <w:bookmarkStart w:id="8522" w:name="bond_ratings_and__84"/>
      <w:pPr>
        <w:pStyle w:val="Para 01"/>
        <w:keepLines w:val="on"/>
      </w:pPr>
      <w:r>
        <w:t>xếp hạng trái phiếu và, 84</w:t>
      </w:r>
      <w:bookmarkEnd w:id="8522"/>
    </w:p>
    <w:p>
      <w:bookmarkStart w:id="8523" w:name="and_gold_prices__887_888"/>
      <w:pPr>
        <w:pStyle w:val="Para 01"/>
        <w:keepLines w:val="on"/>
      </w:pPr>
      <w:r>
        <w:t>và giá vàng, 887–888</w:t>
      </w:r>
      <w:bookmarkEnd w:id="8523"/>
    </w:p>
    <w:p>
      <w:bookmarkStart w:id="8524" w:name="riskless__93"/>
      <w:pPr>
        <w:pStyle w:val="Para 01"/>
        <w:keepLines w:val="on"/>
      </w:pPr>
      <w:r>
        <w:t>phi rủi ro, 93</w:t>
      </w:r>
      <w:bookmarkEnd w:id="8524"/>
    </w:p>
    <w:p>
      <w:bookmarkStart w:id="8525" w:name="Internal_rate_of_return__IRR___1"/>
      <w:pPr>
        <w:pStyle w:val="Para 01"/>
        <w:keepLines w:val="on"/>
      </w:pPr>
      <w:r>
        <w:t>Tỷ suất hoàn vốn nội bộ (IRR), 1025–1027</w:t>
      </w:r>
      <w:bookmarkEnd w:id="8525"/>
    </w:p>
    <w:p>
      <w:bookmarkStart w:id="8526" w:name="International_Financial_Reportin"/>
      <w:pPr>
        <w:pStyle w:val="Para 01"/>
        <w:keepLines w:val="on"/>
      </w:pPr>
      <w:r>
        <w:t>Chuẩn mực Báo cáo Tài chính Quốc tế (IFRS), 57</w:t>
      </w:r>
      <w:bookmarkEnd w:id="8526"/>
    </w:p>
    <w:p>
      <w:bookmarkStart w:id="8527" w:name="Intrinsic_valuation__choices_in"/>
      <w:pPr>
        <w:pStyle w:val="Para 01"/>
        <w:keepLines w:val="on"/>
      </w:pPr>
      <w:r>
        <w:t>Định giá nội tại</w:t>
      </w:r>
      <w:bookmarkEnd w:id="8527"/>
    </w:p>
    <w:p>
      <w:bookmarkStart w:id="8528" w:name="choices_in_use_of__1069_1073"/>
      <w:pPr>
        <w:pStyle w:val="Para 01"/>
        <w:keepLines w:val="on"/>
      </w:pPr>
      <w:r>
        <w:t>các lựa chọn khi sử dụng, 1069–1073</w:t>
      </w:r>
      <w:bookmarkEnd w:id="8528"/>
    </w:p>
    <w:p>
      <w:bookmarkStart w:id="8529" w:name="cost_of_equity_and_cost_of_capit"/>
      <w:pPr>
        <w:pStyle w:val="Para 01"/>
        <w:keepLines w:val="on"/>
      </w:pPr>
      <w:r>
        <w:t>chi phí vốn cổ phần và chi phí vốn trong đó, 850–851</w:t>
      </w:r>
      <w:bookmarkEnd w:id="8529"/>
    </w:p>
    <w:p>
      <w:bookmarkStart w:id="8530" w:name="estimating_cash_flows_for__851_8"/>
      <w:pPr>
        <w:pStyle w:val="Para 01"/>
        <w:keepLines w:val="on"/>
      </w:pPr>
      <w:r>
        <w:t>ước tính dòng tiền cho việc này, 851–852</w:t>
      </w:r>
      <w:bookmarkEnd w:id="8530"/>
    </w:p>
    <w:p>
      <w:bookmarkStart w:id="8531" w:name="estimating_discount_rates_for__8"/>
      <w:pPr>
        <w:pStyle w:val="Para 01"/>
        <w:keepLines w:val="on"/>
      </w:pPr>
      <w:r>
        <w:t>ước tính tỷ lệ chiết khấu cho việc này, 843–850</w:t>
      </w:r>
      <w:bookmarkEnd w:id="8531"/>
    </w:p>
    <w:p>
      <w:bookmarkStart w:id="8532" w:name="expected_growth_in__852"/>
      <w:pPr>
        <w:pStyle w:val="Para 01"/>
        <w:keepLines w:val="on"/>
      </w:pPr>
      <w:r>
        <w:t>tăng trưởng kỳ vọng trong đó, 852</w:t>
      </w:r>
      <w:bookmarkEnd w:id="8532"/>
    </w:p>
    <w:p>
      <w:bookmarkStart w:id="8533" w:name="of_gold__885_886"/>
      <w:pPr>
        <w:pStyle w:val="Para 01"/>
        <w:keepLines w:val="on"/>
      </w:pPr>
      <w:r>
        <w:t>của vàng, 885–886</w:t>
      </w:r>
      <w:bookmarkEnd w:id="8533"/>
    </w:p>
    <w:p>
      <w:bookmarkStart w:id="8534" w:name="limitations_of__859_1"/>
      <w:pPr>
        <w:pStyle w:val="Para 01"/>
        <w:keepLines w:val="on"/>
      </w:pPr>
      <w:r>
        <w:t>những hạn chế của nó, 859</w:t>
      </w:r>
      <w:bookmarkEnd w:id="8534"/>
    </w:p>
    <w:p>
      <w:bookmarkStart w:id="8535" w:name="for_real_estate__843_859"/>
      <w:pPr>
        <w:pStyle w:val="Para 01"/>
        <w:keepLines w:val="on"/>
      </w:pPr>
      <w:r>
        <w:t>cho bất động sản, 843–859</w:t>
      </w:r>
      <w:bookmarkEnd w:id="8535"/>
    </w:p>
    <w:p>
      <w:bookmarkStart w:id="8536" w:name="terminal_value_for__852_853"/>
      <w:pPr>
        <w:pStyle w:val="Para 01"/>
        <w:keepLines w:val="on"/>
      </w:pPr>
      <w:r>
        <w:t>giá trị cuối kỳ cho việc này, 852–853</w:t>
      </w:r>
      <w:bookmarkEnd w:id="8536"/>
    </w:p>
    <w:p>
      <w:bookmarkStart w:id="8537" w:name="Inventory__approaches_to_valuing"/>
      <w:pPr>
        <w:pStyle w:val="Para 01"/>
        <w:keepLines w:val="on"/>
      </w:pPr>
      <w:r>
        <w:t>Hàng tồn kho, các phương pháp định giá, 33–34</w:t>
      </w:r>
      <w:bookmarkEnd w:id="8537"/>
    </w:p>
    <w:p>
      <w:bookmarkStart w:id="8538" w:name="Inventory_turnover__52"/>
      <w:pPr>
        <w:pStyle w:val="Para 01"/>
        <w:keepLines w:val="on"/>
      </w:pPr>
      <w:r>
        <w:t>Vòng quay hàng tồn kho, 52</w:t>
      </w:r>
      <w:bookmarkEnd w:id="8538"/>
    </w:p>
    <w:p>
      <w:bookmarkStart w:id="8539" w:name="Inventory_valuation__value_neutr"/>
      <w:pPr>
        <w:pStyle w:val="Para 01"/>
        <w:keepLines w:val="on"/>
      </w:pPr>
      <w:r>
        <w:t>Định giá hàng tồn kho, những thay đổi trung tính về giá trị, 978</w:t>
      </w:r>
      <w:bookmarkEnd w:id="8539"/>
    </w:p>
    <w:p>
      <w:bookmarkStart w:id="8540" w:name="Invested_capital__consolidated_r"/>
      <w:pPr>
        <w:pStyle w:val="Para 01"/>
        <w:keepLines w:val="on"/>
      </w:pPr>
      <w:r>
        <w:t>Vốn đầu tư</w:t>
      </w:r>
      <w:bookmarkEnd w:id="8540"/>
    </w:p>
    <w:p>
      <w:bookmarkStart w:id="8541" w:name="consolidated_reinvestment_and__2"/>
      <w:pPr>
        <w:pStyle w:val="Para 01"/>
        <w:keepLines w:val="on"/>
      </w:pPr>
      <w:r>
        <w:t>tái đầu tư hợp nhất và, 291</w:t>
      </w:r>
      <w:bookmarkEnd w:id="8541"/>
    </w:p>
    <w:p>
      <w:bookmarkStart w:id="8542" w:name="enterprise_value_to_invested_cap"/>
      <w:pPr>
        <w:pStyle w:val="Para 01"/>
        <w:keepLines w:val="on"/>
      </w:pPr>
      <w:r>
        <w:t>giá trị doanh nghiệp trên vốn đầu tư, 604–606</w:t>
      </w:r>
      <w:bookmarkEnd w:id="8542"/>
    </w:p>
    <w:p>
      <w:bookmarkStart w:id="8543" w:name="return_on__47_48__606_607"/>
      <w:pPr>
        <w:pStyle w:val="Para 01"/>
        <w:keepLines w:val="on"/>
      </w:pPr>
      <w:r>
        <w:t>lợi nhuận trên, 47–48, 606–607</w:t>
      </w:r>
      <w:bookmarkEnd w:id="8543"/>
    </w:p>
    <w:p>
      <w:bookmarkStart w:id="8544" w:name="Investment_analysis__revenue_mul"/>
      <w:pPr>
        <w:pStyle w:val="Para 01"/>
        <w:keepLines w:val="on"/>
      </w:pPr>
      <w:r>
        <w:t>Phân tích đầu tư, bội số doanh thu trong đó, 632–644</w:t>
      </w:r>
      <w:bookmarkEnd w:id="8544"/>
    </w:p>
    <w:p>
      <w:bookmarkStart w:id="8545" w:name="Investment_announcements__136_13"/>
      <w:pPr>
        <w:pStyle w:val="Para 01"/>
        <w:keepLines w:val="on"/>
      </w:pPr>
      <w:r>
        <w:t>Các thông báo đầu tư, 136–137</w:t>
      </w:r>
      <w:bookmarkEnd w:id="8545"/>
    </w:p>
    <w:p>
      <w:bookmarkStart w:id="8546" w:name="Investment_cash_flows__infrastru"/>
      <w:pPr>
        <w:pStyle w:val="Para 01"/>
        <w:keepLines w:val="on"/>
      </w:pPr>
      <w:r>
        <w:t>Dòng tiền đầu tư, công ty hạ tầng, 710–711</w:t>
      </w:r>
      <w:bookmarkEnd w:id="8546"/>
    </w:p>
    <w:p>
      <w:bookmarkStart w:id="8547" w:name="Investment_efficiency__as_value"/>
      <w:pPr>
        <w:pStyle w:val="Para 01"/>
        <w:keepLines w:val="on"/>
      </w:pPr>
      <w:r>
        <w:t>Hiệu quả đầu tư, như một động lực giá trị, 375</w:t>
      </w:r>
      <w:bookmarkEnd w:id="8547"/>
    </w:p>
    <w:p>
      <w:bookmarkStart w:id="8548" w:name="Investments__classification_of"/>
      <w:pPr>
        <w:pStyle w:val="Para 01"/>
        <w:keepLines w:val="on"/>
      </w:pPr>
      <w:r>
        <w:t>Các khoản đầu tư</w:t>
      </w:r>
      <w:bookmarkEnd w:id="8548"/>
    </w:p>
    <w:p>
      <w:bookmarkStart w:id="8549" w:name="classification_of__867_868"/>
      <w:pPr>
        <w:pStyle w:val="Para 01"/>
        <w:keepLines w:val="on"/>
      </w:pPr>
      <w:r>
        <w:t>phân loại, 867–868</w:t>
      </w:r>
      <w:bookmarkEnd w:id="8549"/>
    </w:p>
    <w:p>
      <w:bookmarkStart w:id="8550" w:name="income_from__259__261"/>
      <w:pPr>
        <w:pStyle w:val="Para 01"/>
        <w:keepLines w:val="on"/>
      </w:pPr>
      <w:r>
        <w:t>thu nhập từ, 259, 261</w:t>
      </w:r>
      <w:bookmarkEnd w:id="8550"/>
    </w:p>
    <w:p>
      <w:bookmarkStart w:id="8551" w:name="majority_active__35_36__492_493"/>
      <w:pPr>
        <w:pStyle w:val="Para 01"/>
        <w:keepLines w:val="on"/>
      </w:pPr>
      <w:r>
        <w:t>đa số đang hoạt động, 35–36, 492–493</w:t>
      </w:r>
      <w:bookmarkEnd w:id="8551"/>
    </w:p>
    <w:p>
      <w:bookmarkStart w:id="8552" w:name="minority_active__35__492"/>
      <w:pPr>
        <w:pStyle w:val="Para 01"/>
        <w:keepLines w:val="on"/>
      </w:pPr>
      <w:r>
        <w:t>thiểu số đang hoạt động, 35, 492</w:t>
      </w:r>
      <w:bookmarkEnd w:id="8552"/>
    </w:p>
    <w:p>
      <w:bookmarkStart w:id="8553" w:name="minority_passive__34_35__491_492"/>
      <w:pPr>
        <w:pStyle w:val="Para 01"/>
        <w:keepLines w:val="on"/>
      </w:pPr>
      <w:r>
        <w:t>thiểu số thụ động, 34–35, 491–492</w:t>
      </w:r>
      <w:bookmarkEnd w:id="8553"/>
    </w:p>
    <w:p>
      <w:bookmarkStart w:id="8554" w:name="payout_to_stockholders_and_futur"/>
      <w:pPr>
        <w:pStyle w:val="Para 01"/>
        <w:keepLines w:val="on"/>
      </w:pPr>
      <w:r>
        <w:t>chi trả cho cổ đông và tương lai, 413</w:t>
      </w:r>
      <w:bookmarkEnd w:id="8554"/>
    </w:p>
    <w:p>
      <w:bookmarkStart w:id="8555" w:name="for_real_estate_businesses__864_1"/>
      <w:pPr>
        <w:pStyle w:val="Para 01"/>
        <w:keepLines w:val="on"/>
      </w:pPr>
      <w:r>
        <w:t>đối với doanh nghiệp bất động sản, 864</w:t>
      </w:r>
      <w:bookmarkEnd w:id="8555"/>
    </w:p>
    <w:p>
      <w:bookmarkStart w:id="8556" w:name="in_regulatory_capital__669_670"/>
      <w:pPr>
        <w:pStyle w:val="Para 01"/>
        <w:keepLines w:val="on"/>
      </w:pPr>
      <w:r>
        <w:t>trong vốn pháp định, 669–670</w:t>
      </w:r>
      <w:bookmarkEnd w:id="8556"/>
    </w:p>
    <w:p>
      <w:bookmarkStart w:id="8557" w:name="in_young_or_start_up_firms__752"/>
      <w:pPr>
        <w:pStyle w:val="Para 01"/>
        <w:keepLines w:val="on"/>
      </w:pPr>
      <w:r>
        <w:t>ở các công ty non trẻ hoặc mới khởi nghiệp, 752–754</w:t>
      </w:r>
      <w:bookmarkEnd w:id="8557"/>
    </w:p>
    <w:p>
      <w:bookmarkStart w:id="8558" w:name="Investment_screens__for_distress"/>
      <w:pPr>
        <w:pStyle w:val="Para 01"/>
        <w:keepLines w:val="on"/>
      </w:pPr>
      <w:r>
        <w:t>Bộ lọc đầu tư</w:t>
      </w:r>
      <w:bookmarkEnd w:id="8558"/>
    </w:p>
    <w:p>
      <w:bookmarkStart w:id="8559" w:name="for_distressed_equities__962_963"/>
      <w:pPr>
        <w:pStyle w:val="Para 01"/>
        <w:keepLines w:val="on"/>
      </w:pPr>
      <w:r>
        <w:t>đối với cổ phiếu gặp khó khăn, 962–963</w:t>
      </w:r>
      <w:bookmarkEnd w:id="8559"/>
    </w:p>
    <w:p>
      <w:bookmarkStart w:id="8560" w:name="price_to_book_ratio__602_603"/>
      <w:pPr>
        <w:pStyle w:val="Para 01"/>
        <w:keepLines w:val="on"/>
      </w:pPr>
      <w:r>
        <w:t>tỷ lệ giá trên giá trị sổ sách, 602–603</w:t>
      </w:r>
      <w:bookmarkEnd w:id="8560"/>
    </w:p>
    <w:p>
      <w:bookmarkStart w:id="8561" w:name="Investment_strategies__price_to"/>
      <w:pPr>
        <w:pStyle w:val="Para 01"/>
        <w:keepLines w:val="on"/>
      </w:pPr>
      <w:r>
        <w:t>Chiến lược đầu tư</w:t>
      </w:r>
      <w:bookmarkEnd w:id="8561"/>
    </w:p>
    <w:p>
      <w:bookmarkStart w:id="8562" w:name="price_to_book_ratio_in__602_603"/>
      <w:pPr>
        <w:pStyle w:val="Para 01"/>
        <w:keepLines w:val="on"/>
      </w:pPr>
      <w:r>
        <w:t>tỷ lệ giá trên giá trị sổ sách trong đó, 602–603</w:t>
      </w:r>
      <w:bookmarkEnd w:id="8562"/>
    </w:p>
    <w:p>
      <w:bookmarkStart w:id="8563" w:name="testing__123_125"/>
      <w:pPr>
        <w:pStyle w:val="Para 01"/>
        <w:keepLines w:val="on"/>
      </w:pPr>
      <w:r>
        <w:t>kiểm định, 123–125</w:t>
      </w:r>
      <w:bookmarkEnd w:id="8563"/>
    </w:p>
    <w:p>
      <w:bookmarkStart w:id="8564" w:name="transparency_of__117"/>
      <w:pPr>
        <w:pStyle w:val="Para 01"/>
        <w:keepLines w:val="on"/>
      </w:pPr>
      <w:r>
        <w:t>tính minh bạch của, 117</w:t>
      </w:r>
      <w:bookmarkEnd w:id="8564"/>
    </w:p>
    <w:p>
      <w:bookmarkStart w:id="8565" w:name="IRR__internal_rate_of_return___1"/>
      <w:pPr>
        <w:pStyle w:val="Para 01"/>
        <w:keepLines w:val="on"/>
      </w:pPr>
      <w:r>
        <w:t>IRR (tỷ suất hoàn vốn nội bộ), 1025–1027</w:t>
      </w:r>
      <w:bookmarkEnd w:id="8565"/>
    </w:p>
    <w:p>
      <w:bookmarkStart w:id="8566" w:name="ITT__804"/>
      <w:pPr>
        <w:pStyle w:val="Para 01"/>
        <w:keepLines w:val="on"/>
      </w:pPr>
      <w:r>
        <w:t>ITT, 804</w:t>
      </w:r>
      <w:bookmarkEnd w:id="8566"/>
    </w:p>
    <w:p>
      <w:bookmarkStart w:id="8567" w:name="J___J__Crew__455_456_January_eff"/>
      <w:bookmarkStart w:id="8568" w:name="J"/>
      <w:pPr>
        <w:keepNext/>
        <w:pStyle w:val="Para 50"/>
        <w:keepLines w:val="on"/>
      </w:pPr>
      <w:r>
        <w:t>J</w:t>
      </w:r>
      <w:bookmarkEnd w:id="8567"/>
      <w:bookmarkEnd w:id="8568"/>
    </w:p>
    <w:p>
      <w:bookmarkStart w:id="8569" w:name="J__Crew__455_456"/>
      <w:pPr>
        <w:pStyle w:val="Para 01"/>
        <w:keepLines w:val="on"/>
      </w:pPr>
      <w:r>
        <w:t>J. Crew, 455–456</w:t>
      </w:r>
      <w:bookmarkEnd w:id="8569"/>
    </w:p>
    <w:p>
      <w:bookmarkStart w:id="8570" w:name="January_effect__141_144"/>
      <w:pPr>
        <w:pStyle w:val="Para 01"/>
        <w:keepLines w:val="on"/>
      </w:pPr>
      <w:r>
        <w:t>hiệu ứng tháng Một, 141–144</w:t>
      </w:r>
      <w:bookmarkEnd w:id="8570"/>
    </w:p>
    <w:p>
      <w:bookmarkStart w:id="8571" w:name="Jenapharm__586"/>
      <w:pPr>
        <w:pStyle w:val="Para 01"/>
        <w:keepLines w:val="on"/>
      </w:pPr>
      <w:r>
        <w:t>Jenapharm, 586</w:t>
      </w:r>
      <w:bookmarkEnd w:id="8571"/>
    </w:p>
    <w:p>
      <w:bookmarkStart w:id="8572" w:name="Jensen_s_alpha__191"/>
      <w:pPr>
        <w:pStyle w:val="Para 01"/>
        <w:keepLines w:val="on"/>
      </w:pPr>
      <w:r>
        <w:t>alpha của Jensen, 191</w:t>
      </w:r>
      <w:bookmarkEnd w:id="8572"/>
    </w:p>
    <w:p>
      <w:bookmarkStart w:id="8573" w:name="Jet_India__971_972"/>
      <w:pPr>
        <w:pStyle w:val="Para 01"/>
        <w:keepLines w:val="on"/>
      </w:pPr>
      <w:r>
        <w:t>Jet India, 971–972</w:t>
      </w:r>
      <w:bookmarkEnd w:id="8573"/>
    </w:p>
    <w:p>
      <w:bookmarkStart w:id="8574" w:name="John_Wiley___Sons__882"/>
      <w:pPr>
        <w:pStyle w:val="Para 01"/>
        <w:keepLines w:val="on"/>
      </w:pPr>
      <w:r>
        <w:t>John Wiley &amp; Sons, 882</w:t>
      </w:r>
      <w:bookmarkEnd w:id="8574"/>
    </w:p>
    <w:p>
      <w:bookmarkStart w:id="8575" w:name="JP_Morgan_Chase__351_352__354_35"/>
      <w:pPr>
        <w:pStyle w:val="Para 01"/>
        <w:keepLines w:val="on"/>
      </w:pPr>
      <w:r>
        <w:t>JP Morgan Chase, 351–352, 354–356, 402–404, 678</w:t>
      </w:r>
      <w:bookmarkEnd w:id="8575"/>
    </w:p>
    <w:p>
      <w:bookmarkStart w:id="8576" w:name="Jump_process_models__76_77__108"/>
      <w:pPr>
        <w:pStyle w:val="Para 01"/>
        <w:keepLines w:val="on"/>
      </w:pPr>
      <w:r>
        <w:t>Mô hình quá trình nhảy, 76–77, 108–109</w:t>
      </w:r>
      <w:bookmarkEnd w:id="8576"/>
    </w:p>
    <w:p>
      <w:bookmarkStart w:id="8577" w:name="K___Key_person_effect__382__773"/>
      <w:bookmarkStart w:id="8578" w:name="K"/>
      <w:pPr>
        <w:keepNext/>
        <w:pStyle w:val="Para 50"/>
        <w:keepLines w:val="on"/>
      </w:pPr>
      <w:r>
        <w:t>K</w:t>
      </w:r>
      <w:bookmarkEnd w:id="8577"/>
      <w:bookmarkEnd w:id="8578"/>
    </w:p>
    <w:p>
      <w:bookmarkStart w:id="8579" w:name="Key_person_effect__382__773_774"/>
      <w:pPr>
        <w:pStyle w:val="Para 01"/>
        <w:keepLines w:val="on"/>
      </w:pPr>
      <w:r>
        <w:t>Hiệu ứng người then chốt (key person effect), 382, 773–774</w:t>
      </w:r>
      <w:bookmarkEnd w:id="8579"/>
    </w:p>
    <w:p>
      <w:bookmarkStart w:id="8580" w:name="Kurtosis__64__65"/>
      <w:pPr>
        <w:pStyle w:val="Para 01"/>
        <w:keepLines w:val="on"/>
      </w:pPr>
      <w:r>
        <w:t>Độ nhọn (kurtosis), 64, 65</w:t>
      </w:r>
      <w:bookmarkEnd w:id="8580"/>
    </w:p>
    <w:p>
      <w:bookmarkStart w:id="8581" w:name="L___Lambda__216_217_Last_in__fir"/>
      <w:bookmarkStart w:id="8582" w:name="L"/>
      <w:pPr>
        <w:keepNext/>
        <w:pStyle w:val="Para 50"/>
        <w:keepLines w:val="on"/>
      </w:pPr>
      <w:r>
        <w:t>L</w:t>
      </w:r>
      <w:bookmarkEnd w:id="8581"/>
      <w:bookmarkEnd w:id="8582"/>
    </w:p>
    <w:p>
      <w:bookmarkStart w:id="8583" w:name="Lambda__216_217"/>
      <w:pPr>
        <w:pStyle w:val="Para 01"/>
        <w:keepLines w:val="on"/>
      </w:pPr>
      <w:r>
        <w:t>Lambda, 216–217</w:t>
      </w:r>
      <w:bookmarkEnd w:id="8583"/>
    </w:p>
    <w:p>
      <w:bookmarkStart w:id="8584" w:name="Last_in__first_out__LIFO___34"/>
      <w:pPr>
        <w:pStyle w:val="Para 01"/>
        <w:keepLines w:val="on"/>
      </w:pPr>
      <w:r>
        <w:t>Nhập sau, xuất trước (Last in, first out – LIFO), 34</w:t>
      </w:r>
      <w:bookmarkEnd w:id="8584"/>
    </w:p>
    <w:p>
      <w:bookmarkStart w:id="8585" w:name="LatinWorks__494_496__570_571"/>
      <w:pPr>
        <w:pStyle w:val="Para 01"/>
        <w:keepLines w:val="on"/>
      </w:pPr>
      <w:r>
        <w:t>LatinWorks, 494–496, 570–571</w:t>
      </w:r>
      <w:bookmarkEnd w:id="8585"/>
    </w:p>
    <w:p>
      <w:bookmarkStart w:id="8586" w:name="Lead_times__994"/>
      <w:pPr>
        <w:pStyle w:val="Para 01"/>
        <w:keepLines w:val="on"/>
      </w:pPr>
      <w:r>
        <w:t>Thời gian chờ (lead times), 994</w:t>
      </w:r>
      <w:bookmarkEnd w:id="8586"/>
    </w:p>
    <w:p>
      <w:bookmarkStart w:id="8587" w:name="Lear_Aircraft__954_955"/>
      <w:pPr>
        <w:pStyle w:val="Para 01"/>
        <w:keepLines w:val="on"/>
      </w:pPr>
      <w:r>
        <w:t>Lear Aircraft, 954–955</w:t>
      </w:r>
      <w:bookmarkEnd w:id="8587"/>
    </w:p>
    <w:p>
      <w:bookmarkStart w:id="8588" w:name="Leases__capital__40_41_as_long_t"/>
      <w:pPr>
        <w:pStyle w:val="Para 01"/>
        <w:keepLines w:val="on"/>
      </w:pPr>
      <w:r>
        <w:t>Thuê tài sản (leases)</w:t>
      </w:r>
      <w:bookmarkEnd w:id="8588"/>
    </w:p>
    <w:p>
      <w:bookmarkStart w:id="8589" w:name="capital__40_41"/>
      <w:pPr>
        <w:pStyle w:val="Para 01"/>
        <w:keepLines w:val="on"/>
      </w:pPr>
      <w:r>
        <w:t>thuê vốn (capital lease), 40–41</w:t>
      </w:r>
      <w:bookmarkEnd w:id="8589"/>
    </w:p>
    <w:p>
      <w:bookmarkStart w:id="8590" w:name="as_long_term_liabilities__40_41"/>
      <w:pPr>
        <w:pStyle w:val="Para 01"/>
        <w:keepLines w:val="on"/>
      </w:pPr>
      <w:r>
        <w:t>như là nợ dài hạn, 40–41</w:t>
      </w:r>
      <w:bookmarkEnd w:id="8590"/>
    </w:p>
    <w:p>
      <w:bookmarkStart w:id="8591" w:name="Legal_issues__legal_changes_with"/>
      <w:pPr>
        <w:pStyle w:val="Para 01"/>
        <w:keepLines w:val="on"/>
      </w:pPr>
      <w:r>
        <w:t>Các vấn đề pháp lý (legal issues)</w:t>
      </w:r>
      <w:bookmarkEnd w:id="8591"/>
    </w:p>
    <w:p>
      <w:bookmarkStart w:id="8592" w:name="legal_changes_with_real_estate"/>
      <w:pPr>
        <w:pStyle w:val="Para 01"/>
        <w:keepLines w:val="on"/>
      </w:pPr>
      <w:r>
        <w:t>thay đổi pháp lý liên quan đến bất động sản, 847</w:t>
      </w:r>
      <w:bookmarkEnd w:id="8592"/>
    </w:p>
    <w:p>
      <w:bookmarkStart w:id="8593" w:name="nonequity_claims_for_expected_la"/>
      <w:pPr>
        <w:pStyle w:val="Para 01"/>
        <w:keepLines w:val="on"/>
      </w:pPr>
      <w:r>
        <w:t>các khiếu nại phi vốn chủ sở hữu (nonequity claims) cho các vụ kiện dự kiến, 500</w:t>
      </w:r>
      <w:bookmarkEnd w:id="8593"/>
    </w:p>
    <w:p>
      <w:bookmarkStart w:id="8594" w:name="story_breaks_due_to__382"/>
      <w:pPr>
        <w:pStyle w:val="Para 01"/>
        <w:keepLines w:val="on"/>
      </w:pPr>
      <w:r>
        <w:t>câu chuyện bị phá vỡ do những vấn đề này, 382</w:t>
      </w:r>
      <w:bookmarkEnd w:id="8594"/>
    </w:p>
    <w:p>
      <w:bookmarkStart w:id="8595" w:name="value_enhancement_and_legal_prot"/>
      <w:pPr>
        <w:pStyle w:val="Para 01"/>
        <w:keepLines w:val="on"/>
      </w:pPr>
      <w:r>
        <w:t>gia tăng giá trị và bảo vệ pháp lý, 991</w:t>
      </w:r>
      <w:bookmarkEnd w:id="8595"/>
    </w:p>
    <w:p>
      <w:bookmarkStart w:id="8596" w:name="Leverage__in_equity_valuation__4"/>
      <w:pPr>
        <w:pStyle w:val="Para 01"/>
        <w:keepLines w:val="on"/>
      </w:pPr>
      <w:r>
        <w:t>Đòn bẩy (leverage)</w:t>
      </w:r>
      <w:bookmarkEnd w:id="8596"/>
    </w:p>
    <w:p>
      <w:bookmarkStart w:id="8597" w:name="in_equity_valuation__416_417"/>
      <w:pPr>
        <w:pStyle w:val="Para 01"/>
        <w:keepLines w:val="on"/>
      </w:pPr>
      <w:r>
        <w:t>trong định giá vốn chủ sở hữu (equity valuation), 416–417</w:t>
      </w:r>
      <w:bookmarkEnd w:id="8597"/>
    </w:p>
    <w:p>
      <w:bookmarkStart w:id="8598" w:name="financial__202_204__719_727"/>
      <w:pPr>
        <w:pStyle w:val="Para 01"/>
        <w:keepLines w:val="on"/>
      </w:pPr>
      <w:r>
        <w:t>đòn bẩy tài chính (financial leverage), 202–204, 719–727</w:t>
      </w:r>
      <w:bookmarkEnd w:id="8598"/>
    </w:p>
    <w:p>
      <w:bookmarkStart w:id="8599" w:name="operating__201_202__745__995"/>
      <w:pPr>
        <w:pStyle w:val="Para 01"/>
        <w:keepLines w:val="on"/>
      </w:pPr>
      <w:r>
        <w:t>đòn bẩy hoạt động (operating leverage), 201–202, 745, 995</w:t>
      </w:r>
      <w:bookmarkEnd w:id="8599"/>
    </w:p>
    <w:p>
      <w:bookmarkStart w:id="8600" w:name="optimal__468_469__477"/>
      <w:pPr>
        <w:pStyle w:val="Para 01"/>
        <w:keepLines w:val="on"/>
      </w:pPr>
      <w:r>
        <w:t>đòn bẩy tối ưu (optimal leverage), 468–469, 477</w:t>
      </w:r>
      <w:bookmarkEnd w:id="8600"/>
    </w:p>
    <w:p>
      <w:bookmarkStart w:id="8601" w:name="Leveraged_buyouts__796__828_832"/>
      <w:pPr>
        <w:pStyle w:val="Para 01"/>
        <w:keepLines w:val="on"/>
      </w:pPr>
      <w:r>
        <w:t>Mua lại bằng vốn vay (leveraged buyouts), 796, 828–832</w:t>
      </w:r>
      <w:bookmarkEnd w:id="8601"/>
    </w:p>
    <w:p>
      <w:bookmarkStart w:id="8602" w:name="Leveraged_firms__firm_value_and"/>
      <w:pPr>
        <w:pStyle w:val="Para 01"/>
        <w:keepLines w:val="on"/>
      </w:pPr>
      <w:r>
        <w:t>Các công ty sử dụng đòn bẩy (leveraged firms)</w:t>
      </w:r>
      <w:bookmarkEnd w:id="8602"/>
    </w:p>
    <w:p>
      <w:bookmarkStart w:id="8603" w:name="firm_value_and__468_477"/>
      <w:pPr>
        <w:pStyle w:val="Para 01"/>
        <w:keepLines w:val="on"/>
      </w:pPr>
      <w:r>
        <w:t>giá trị công ty và đòn bẩy, 468–477</w:t>
      </w:r>
      <w:bookmarkEnd w:id="8603"/>
    </w:p>
    <w:p>
      <w:bookmarkStart w:id="8604" w:name="valuation_of__719_727"/>
      <w:pPr>
        <w:pStyle w:val="Para 01"/>
        <w:keepLines w:val="on"/>
      </w:pPr>
      <w:r>
        <w:t>định giá, 719–727</w:t>
      </w:r>
      <w:bookmarkEnd w:id="8604"/>
    </w:p>
    <w:p>
      <w:bookmarkStart w:id="8605" w:name="Levi_Strauss__348_350__355__356"/>
      <w:pPr>
        <w:pStyle w:val="Para 01"/>
        <w:keepLines w:val="on"/>
      </w:pPr>
      <w:r>
        <w:t>Levi Strauss, 348–350, 355, 356, 410–411</w:t>
      </w:r>
      <w:bookmarkEnd w:id="8605"/>
    </w:p>
    <w:p>
      <w:bookmarkStart w:id="8606" w:name="Liabilities__accounting_principl"/>
      <w:pPr>
        <w:pStyle w:val="Para 01"/>
        <w:keepLines w:val="on"/>
      </w:pPr>
      <w:r>
        <w:t>Nợ phải trả</w:t>
      </w:r>
      <w:bookmarkEnd w:id="8606"/>
    </w:p>
    <w:p>
      <w:bookmarkStart w:id="8607" w:name="accounting_principles_and__38_39"/>
      <w:pPr>
        <w:pStyle w:val="Para 01"/>
        <w:keepLines w:val="on"/>
      </w:pPr>
      <w:r>
        <w:t>các nguyên tắc kế toán và, 38–39</w:t>
      </w:r>
      <w:bookmarkEnd w:id="8607"/>
    </w:p>
    <w:p>
      <w:bookmarkStart w:id="8608" w:name="current__39"/>
      <w:pPr>
        <w:pStyle w:val="Para 01"/>
        <w:keepLines w:val="on"/>
      </w:pPr>
      <w:r>
        <w:t>ngắn hạn, 39</w:t>
      </w:r>
      <w:bookmarkEnd w:id="8608"/>
    </w:p>
    <w:p>
      <w:bookmarkStart w:id="8609" w:name="deferred__278__500"/>
      <w:pPr>
        <w:pStyle w:val="Para 01"/>
        <w:keepLines w:val="on"/>
      </w:pPr>
      <w:r>
        <w:t>hoãn lại, 278, 500</w:t>
      </w:r>
      <w:bookmarkEnd w:id="8609"/>
    </w:p>
    <w:p>
      <w:bookmarkStart w:id="8610" w:name="expected__500"/>
      <w:pPr>
        <w:pStyle w:val="Para 01"/>
        <w:keepLines w:val="on"/>
      </w:pPr>
      <w:r>
        <w:t>dự kiến, 500</w:t>
      </w:r>
      <w:bookmarkEnd w:id="8610"/>
    </w:p>
    <w:p>
      <w:bookmarkStart w:id="8611" w:name="limited__960"/>
      <w:pPr>
        <w:pStyle w:val="Para 01"/>
        <w:keepLines w:val="on"/>
      </w:pPr>
      <w:r>
        <w:t>hữu hạn, 960</w:t>
      </w:r>
      <w:bookmarkEnd w:id="8611"/>
    </w:p>
    <w:p>
      <w:bookmarkStart w:id="8612" w:name="long_term__40_42"/>
      <w:pPr>
        <w:pStyle w:val="Para 01"/>
        <w:keepLines w:val="on"/>
      </w:pPr>
      <w:r>
        <w:t>dài hạn, 40–42</w:t>
      </w:r>
      <w:bookmarkEnd w:id="8612"/>
    </w:p>
    <w:p>
      <w:bookmarkStart w:id="8613" w:name="measuring_value_of__39_44"/>
      <w:pPr>
        <w:pStyle w:val="Para 01"/>
        <w:keepLines w:val="on"/>
      </w:pPr>
      <w:r>
        <w:t>đo lường giá trị của, 39–44</w:t>
      </w:r>
      <w:bookmarkEnd w:id="8613"/>
    </w:p>
    <w:p>
      <w:bookmarkStart w:id="8614" w:name="short_term__39_1"/>
      <w:pPr>
        <w:pStyle w:val="Para 01"/>
        <w:keepLines w:val="on"/>
      </w:pPr>
      <w:r>
        <w:t>ngắn hạn, 39</w:t>
      </w:r>
      <w:bookmarkEnd w:id="8614"/>
    </w:p>
    <w:p>
      <w:bookmarkStart w:id="8615" w:name="Licenses__firms_with_unutilized"/>
      <w:pPr>
        <w:pStyle w:val="Para 01"/>
        <w:keepLines w:val="on"/>
      </w:pPr>
      <w:r>
        <w:t>Giấy phép</w:t>
      </w:r>
      <w:bookmarkEnd w:id="8615"/>
    </w:p>
    <w:p>
      <w:bookmarkStart w:id="8617" w:name="firms_with_unutilized__20"/>
      <w:pPr>
        <w:pStyle w:val="Para 01"/>
        <w:keepLines w:val="on"/>
      </w:pPr>
      <w:r>
        <w:t>các công ty có giấy phép chưa sử dụng, 20</w:t>
      </w:r>
      <w:bookmarkEnd w:id="8617"/>
    </w:p>
    <w:p>
      <w:bookmarkStart w:id="8618" w:name="option_pricing_model_for__931_93"/>
      <w:pPr>
        <w:pStyle w:val="Para 01"/>
        <w:keepLines w:val="on"/>
      </w:pPr>
      <w:r>
        <w:t>mô hình định giá quyền chọn cho, 931–932</w:t>
      </w:r>
      <w:bookmarkEnd w:id="8618"/>
    </w:p>
    <w:p>
      <w:bookmarkStart w:id="8619" w:name="valuation_of__881_882"/>
      <w:pPr>
        <w:pStyle w:val="Para 01"/>
        <w:keepLines w:val="on"/>
      </w:pPr>
      <w:r>
        <w:t>định giá, 881–882</w:t>
      </w:r>
      <w:bookmarkEnd w:id="8619"/>
    </w:p>
    <w:p>
      <w:bookmarkStart w:id="8620" w:name="value_enhancement_and__991_1"/>
      <w:pPr>
        <w:pStyle w:val="Para 01"/>
        <w:keepLines w:val="on"/>
      </w:pPr>
      <w:r>
        <w:t>gia tăng giá trị và, 991</w:t>
      </w:r>
      <w:bookmarkEnd w:id="8620"/>
    </w:p>
    <w:p>
      <w:bookmarkStart w:id="8621" w:name="Life_cycle__earnings_over__727_7"/>
      <w:pPr>
        <w:pStyle w:val="Para 01"/>
        <w:keepLines w:val="on"/>
      </w:pPr>
      <w:r>
        <w:t>Vòng đời</w:t>
      </w:r>
      <w:bookmarkEnd w:id="8621"/>
    </w:p>
    <w:p>
      <w:bookmarkStart w:id="8622" w:name="earnings_over__727_728"/>
      <w:pPr>
        <w:pStyle w:val="Para 01"/>
        <w:keepLines w:val="on"/>
      </w:pPr>
      <w:r>
        <w:t>lợi nhuận qua các giai đoạn, 727–728</w:t>
      </w:r>
      <w:bookmarkEnd w:id="8622"/>
    </w:p>
    <w:p>
      <w:bookmarkStart w:id="8623" w:name="earnings_volatility_over__264"/>
      <w:pPr>
        <w:pStyle w:val="Para 01"/>
        <w:keepLines w:val="on"/>
      </w:pPr>
      <w:r>
        <w:t>biến động lợi nhuận qua các giai đoạn, 264</w:t>
      </w:r>
      <w:bookmarkEnd w:id="8623"/>
    </w:p>
    <w:p>
      <w:bookmarkStart w:id="8624" w:name="firm_survival_and__357_358"/>
      <w:pPr>
        <w:pStyle w:val="Para 01"/>
        <w:keepLines w:val="on"/>
      </w:pPr>
      <w:r>
        <w:t>sự tồn tại của công ty và, 357–358</w:t>
      </w:r>
      <w:bookmarkEnd w:id="8624"/>
    </w:p>
    <w:p>
      <w:bookmarkStart w:id="8625" w:name="optionality_and__961_963"/>
      <w:pPr>
        <w:pStyle w:val="Para 01"/>
        <w:keepLines w:val="on"/>
      </w:pPr>
      <w:r>
        <w:t>tính tùy chọn và, 961–963</w:t>
      </w:r>
      <w:bookmarkEnd w:id="8625"/>
    </w:p>
    <w:p>
      <w:bookmarkStart w:id="8626" w:name="private_firms_and__792"/>
      <w:pPr>
        <w:pStyle w:val="Para 01"/>
        <w:keepLines w:val="on"/>
      </w:pPr>
      <w:r>
        <w:t>các công ty tư nhân và, 792</w:t>
      </w:r>
      <w:bookmarkEnd w:id="8626"/>
    </w:p>
    <w:p>
      <w:bookmarkStart w:id="8627" w:name="reinvestment_across__333__334"/>
      <w:pPr>
        <w:pStyle w:val="Para 01"/>
        <w:keepLines w:val="on"/>
      </w:pPr>
      <w:r>
        <w:t>tái đầu tư qua các giai đoạn, 333, 334</w:t>
      </w:r>
      <w:bookmarkEnd w:id="8627"/>
    </w:p>
    <w:p>
      <w:bookmarkStart w:id="8628" w:name="story_based_valuation_across__38"/>
      <w:pPr>
        <w:pStyle w:val="Para 01"/>
        <w:keepLines w:val="on"/>
      </w:pPr>
      <w:r>
        <w:t>định giá dựa trên câu chuyện qua các giai đoạn, 380–382</w:t>
      </w:r>
      <w:bookmarkEnd w:id="8628"/>
    </w:p>
    <w:p>
      <w:bookmarkStart w:id="8629" w:name="young_or_start_up_firm_valuation"/>
      <w:pPr>
        <w:pStyle w:val="Para 01"/>
        <w:keepLines w:val="on"/>
      </w:pPr>
      <w:r>
        <w:t>định giá công ty non trẻ hoặc công ty khởi nghiệp và, 734–736</w:t>
      </w:r>
      <w:bookmarkEnd w:id="8629"/>
    </w:p>
    <w:p>
      <w:bookmarkStart w:id="8630" w:name="LIFO__last_in__first_out___34"/>
      <w:pPr>
        <w:pStyle w:val="Para 01"/>
        <w:keepLines w:val="on"/>
      </w:pPr>
      <w:r>
        <w:t>LIFO (nhập sau, xuất trước), 34</w:t>
      </w:r>
      <w:bookmarkEnd w:id="8630"/>
    </w:p>
    <w:p>
      <w:bookmarkStart w:id="8631" w:name="Limited_liability__960"/>
      <w:pPr>
        <w:pStyle w:val="Para 01"/>
        <w:keepLines w:val="on"/>
      </w:pPr>
      <w:r>
        <w:t>Trách nhiệm hữu hạn, 960</w:t>
      </w:r>
      <w:bookmarkEnd w:id="8631"/>
    </w:p>
    <w:p>
      <w:bookmarkStart w:id="8632" w:name="Linear_regression_models__298_29"/>
      <w:pPr>
        <w:pStyle w:val="Para 01"/>
        <w:keepLines w:val="on"/>
      </w:pPr>
      <w:r>
        <w:t>Mô hình hồi quy tuyến tính, 298–299</w:t>
      </w:r>
      <w:bookmarkEnd w:id="8632"/>
    </w:p>
    <w:p>
      <w:bookmarkStart w:id="8633" w:name="Linkedin__646_647__652"/>
      <w:pPr>
        <w:pStyle w:val="Para 01"/>
        <w:keepLines w:val="on"/>
      </w:pPr>
      <w:r>
        <w:t>Linkedin, 646–647, 652</w:t>
      </w:r>
      <w:bookmarkEnd w:id="8633"/>
    </w:p>
    <w:p>
      <w:bookmarkStart w:id="8634" w:name="Liquidation__as_value_enhancemen"/>
      <w:pPr>
        <w:pStyle w:val="Para 01"/>
        <w:keepLines w:val="on"/>
      </w:pPr>
      <w:r>
        <w:t>Thanh lý, như một chiến lược gia tăng giá trị, 979–980</w:t>
      </w:r>
      <w:bookmarkEnd w:id="8634"/>
    </w:p>
    <w:p>
      <w:bookmarkStart w:id="8635" w:name="Liquidation_value__342__722"/>
      <w:pPr>
        <w:pStyle w:val="Para 01"/>
        <w:keepLines w:val="on"/>
      </w:pPr>
      <w:r>
        <w:t>Giá trị thanh lý, 342, 722</w:t>
      </w:r>
      <w:bookmarkEnd w:id="8635"/>
    </w:p>
    <w:p>
      <w:bookmarkStart w:id="8636" w:name="Liquidity__and_illiquidity_disco"/>
      <w:pPr>
        <w:pStyle w:val="Para 01"/>
        <w:keepLines w:val="on"/>
      </w:pPr>
      <w:r>
        <w:t>Tính thanh khoản</w:t>
      </w:r>
      <w:bookmarkEnd w:id="8636"/>
    </w:p>
    <w:p>
      <w:bookmarkStart w:id="8637" w:name="and_illiquidity_discount__775_2"/>
      <w:pPr>
        <w:pStyle w:val="Para 01"/>
        <w:keepLines w:val="on"/>
      </w:pPr>
      <w:r>
        <w:t>và chiết khấu do kém thanh khoản, 775</w:t>
      </w:r>
      <w:bookmarkEnd w:id="8637"/>
    </w:p>
    <w:p>
      <w:bookmarkStart w:id="8638" w:name="in_private_firms__792"/>
      <w:pPr>
        <w:pStyle w:val="Para 01"/>
        <w:keepLines w:val="on"/>
      </w:pPr>
      <w:r>
        <w:t>trong các công ty tư nhân, 792</w:t>
      </w:r>
      <w:bookmarkEnd w:id="8638"/>
    </w:p>
    <w:p>
      <w:bookmarkStart w:id="8639" w:name="proxy_models_and__78"/>
      <w:pPr>
        <w:pStyle w:val="Para 01"/>
        <w:keepLines w:val="on"/>
      </w:pPr>
      <w:r>
        <w:t>mô hình đại diện và, 78</w:t>
      </w:r>
      <w:bookmarkEnd w:id="8639"/>
    </w:p>
    <w:p>
      <w:bookmarkStart w:id="8640" w:name="real_estate__846_847"/>
      <w:pPr>
        <w:pStyle w:val="Para 01"/>
        <w:keepLines w:val="on"/>
      </w:pPr>
      <w:r>
        <w:t>bất động sản, 846–847</w:t>
      </w:r>
      <w:bookmarkEnd w:id="8640"/>
    </w:p>
    <w:p>
      <w:bookmarkStart w:id="8641" w:name="Loans__See_also_Borrowing__Long"/>
      <w:pPr>
        <w:pStyle w:val="Para 10"/>
        <w:keepLines w:val="on"/>
      </w:pPr>
      <w:r>
        <w:t>Các khoản vay. Xem thêm Vay nợ; Nợ dài hạn</w:t>
      </w:r>
      <w:bookmarkEnd w:id="8641"/>
    </w:p>
    <w:p>
      <w:bookmarkStart w:id="8642" w:name="at_good_vs__bad_banks__682_683"/>
      <w:pPr>
        <w:pStyle w:val="Para 01"/>
        <w:keepLines w:val="on"/>
      </w:pPr>
      <w:r>
        <w:t>tại ngân hàng tốt so với ngân hàng xấu, 682–683</w:t>
      </w:r>
      <w:bookmarkEnd w:id="8642"/>
    </w:p>
    <w:p>
      <w:bookmarkStart w:id="8643" w:name="long_term__39_40_2"/>
      <w:pPr>
        <w:pStyle w:val="Para 01"/>
        <w:keepLines w:val="on"/>
      </w:pPr>
      <w:r>
        <w:t>dài hạn, 39–40</w:t>
      </w:r>
      <w:bookmarkEnd w:id="8643"/>
    </w:p>
    <w:p>
      <w:bookmarkStart w:id="8644" w:name="Local_currrency_government_bonds"/>
      <w:pPr>
        <w:pStyle w:val="Para 01"/>
        <w:keepLines w:val="on"/>
      </w:pPr>
      <w:r>
        <w:t>Trái phiếu chính phủ bằng nội tệ, 160–161</w:t>
      </w:r>
      <w:bookmarkEnd w:id="8644"/>
    </w:p>
    <w:p>
      <w:bookmarkStart w:id="8645" w:name="Log_linear_regression_models__29"/>
      <w:pPr>
        <w:pStyle w:val="Para 01"/>
        <w:keepLines w:val="on"/>
      </w:pPr>
      <w:r>
        <w:t>Mô hình hồi quy log-tuyến tính, 298–299</w:t>
      </w:r>
      <w:bookmarkEnd w:id="8645"/>
    </w:p>
    <w:p>
      <w:bookmarkStart w:id="8646" w:name="Long_term_bonds__39_40"/>
      <w:pPr>
        <w:pStyle w:val="Para 01"/>
        <w:keepLines w:val="on"/>
      </w:pPr>
      <w:r>
        <w:t>Trái phiếu dài hạn, 39–40</w:t>
      </w:r>
      <w:bookmarkEnd w:id="8646"/>
    </w:p>
    <w:p>
      <w:bookmarkStart w:id="8647" w:name="Long_term_borrowing__short_term"/>
      <w:pPr>
        <w:pStyle w:val="Para 01"/>
        <w:keepLines w:val="on"/>
      </w:pPr>
      <w:r>
        <w:t>Vay nợ dài hạn, phần ngắn hạn của, 39</w:t>
      </w:r>
      <w:bookmarkEnd w:id="8647"/>
    </w:p>
    <w:p>
      <w:bookmarkStart w:id="8648" w:name="Long_term_debt__39_40"/>
      <w:pPr>
        <w:pStyle w:val="Para 01"/>
        <w:keepLines w:val="on"/>
      </w:pPr>
      <w:r>
        <w:t>Nợ dài hạn, 39–40</w:t>
      </w:r>
      <w:bookmarkEnd w:id="8648"/>
    </w:p>
    <w:p>
      <w:bookmarkStart w:id="8649" w:name="Long_term_debt_to_capital_ratio"/>
      <w:pPr>
        <w:pStyle w:val="Para 01"/>
        <w:keepLines w:val="on"/>
      </w:pPr>
      <w:r>
        <w:t>Tỷ lệ nợ dài hạn trên vốn, 55</w:t>
      </w:r>
      <w:bookmarkEnd w:id="8649"/>
    </w:p>
    <w:p>
      <w:bookmarkStart w:id="8650" w:name="Long_term_debt_to_equity_ratio"/>
      <w:pPr>
        <w:pStyle w:val="Para 01"/>
        <w:keepLines w:val="on"/>
      </w:pPr>
      <w:r>
        <w:t>Tỷ lệ nợ dài hạn trên vốn chủ sở hữu, 55</w:t>
      </w:r>
      <w:bookmarkEnd w:id="8650"/>
    </w:p>
    <w:p>
      <w:bookmarkStart w:id="8651" w:name="Long_term_liabilities__40_42"/>
      <w:pPr>
        <w:pStyle w:val="Para 01"/>
        <w:keepLines w:val="on"/>
      </w:pPr>
      <w:r>
        <w:t>Nợ phải trả dài hạn, 40–42</w:t>
      </w:r>
      <w:bookmarkEnd w:id="8651"/>
    </w:p>
    <w:p>
      <w:bookmarkStart w:id="8652" w:name="Long_term_loans__39_40"/>
      <w:pPr>
        <w:pStyle w:val="Para 01"/>
        <w:keepLines w:val="on"/>
      </w:pPr>
      <w:r>
        <w:t>Các khoản vay dài hạn, 39–40</w:t>
      </w:r>
      <w:bookmarkEnd w:id="8652"/>
    </w:p>
    <w:p>
      <w:bookmarkStart w:id="8653" w:name="Long_term_options__101__102"/>
      <w:pPr>
        <w:pStyle w:val="Para 01"/>
        <w:keepLines w:val="on"/>
      </w:pPr>
      <w:r>
        <w:t>Quyền chọn dài hạn, 101, 102</w:t>
      </w:r>
      <w:bookmarkEnd w:id="8653"/>
    </w:p>
    <w:p>
      <w:bookmarkStart w:id="8654" w:name="Long_term_price_movement__128_13"/>
      <w:pPr>
        <w:pStyle w:val="Para 01"/>
        <w:keepLines w:val="on"/>
      </w:pPr>
      <w:r>
        <w:t>Biến động giá dài hạn, 128–130</w:t>
      </w:r>
      <w:bookmarkEnd w:id="8654"/>
    </w:p>
    <w:p>
      <w:bookmarkStart w:id="8655" w:name="Long_term_problems__due_to_finan"/>
      <w:pPr>
        <w:pStyle w:val="Para 01"/>
        <w:keepLines w:val="on"/>
      </w:pPr>
      <w:r>
        <w:t>Vấn đề dài hạn</w:t>
      </w:r>
      <w:bookmarkEnd w:id="8655"/>
    </w:p>
    <w:p>
      <w:bookmarkStart w:id="8656" w:name="due_to_financial_leverage__719_7"/>
      <w:pPr>
        <w:pStyle w:val="Para 01"/>
        <w:keepLines w:val="on"/>
      </w:pPr>
      <w:r>
        <w:t>do đòn bẩy tài chính (financial leverage), 719–727</w:t>
      </w:r>
      <w:bookmarkEnd w:id="8656"/>
    </w:p>
    <w:p>
      <w:bookmarkStart w:id="8657" w:name="life_cycle_earnings_and__727_728"/>
      <w:pPr>
        <w:pStyle w:val="Para 01"/>
        <w:keepLines w:val="on"/>
      </w:pPr>
      <w:r>
        <w:t>thu nhập theo vòng đời và, 727–728</w:t>
      </w:r>
      <w:bookmarkEnd w:id="8657"/>
    </w:p>
    <w:p>
      <w:bookmarkStart w:id="8658" w:name="negative_earnings_due_to__699"/>
      <w:pPr>
        <w:pStyle w:val="Para 01"/>
        <w:keepLines w:val="on"/>
      </w:pPr>
      <w:r>
        <w:t>thu nhập âm do nguyên nhân này, 699</w:t>
      </w:r>
      <w:bookmarkEnd w:id="8658"/>
    </w:p>
    <w:p>
      <w:bookmarkStart w:id="8659" w:name="normalized_earnings_for_firms_wi"/>
      <w:pPr>
        <w:pStyle w:val="Para 01"/>
        <w:keepLines w:val="on"/>
      </w:pPr>
      <w:r>
        <w:t>thu nhập chuẩn hóa (normalized earnings) cho các công ty có, 1071</w:t>
      </w:r>
      <w:bookmarkEnd w:id="8659"/>
    </w:p>
    <w:p>
      <w:bookmarkStart w:id="8660" w:name="operating__716_719"/>
      <w:pPr>
        <w:pStyle w:val="Para 01"/>
        <w:keepLines w:val="on"/>
      </w:pPr>
      <w:r>
        <w:t>hoạt động, 716–719</w:t>
      </w:r>
      <w:bookmarkEnd w:id="8660"/>
    </w:p>
    <w:p>
      <w:bookmarkStart w:id="8661" w:name="strategic__716_717"/>
      <w:pPr>
        <w:pStyle w:val="Para 01"/>
        <w:keepLines w:val="on"/>
      </w:pPr>
      <w:r>
        <w:t>chiến lược, 716–717</w:t>
      </w:r>
      <w:bookmarkEnd w:id="8661"/>
    </w:p>
    <w:p>
      <w:bookmarkStart w:id="8662" w:name="temporary_vs___699"/>
      <w:pPr>
        <w:pStyle w:val="Para 01"/>
        <w:keepLines w:val="on"/>
      </w:pPr>
      <w:r>
        <w:t>tạm thời so với, 699</w:t>
      </w:r>
      <w:bookmarkEnd w:id="8662"/>
    </w:p>
    <w:p>
      <w:bookmarkStart w:id="8663" w:name="valuation_of_firms_with__715_728"/>
      <w:pPr>
        <w:pStyle w:val="Para 01"/>
        <w:keepLines w:val="on"/>
      </w:pPr>
      <w:r>
        <w:t>định giá các công ty có, 715–728</w:t>
      </w:r>
      <w:bookmarkEnd w:id="8663"/>
    </w:p>
    <w:p>
      <w:bookmarkStart w:id="8664" w:name="Long_term_solvency__53_56"/>
      <w:pPr>
        <w:pStyle w:val="Para 01"/>
        <w:keepLines w:val="on"/>
      </w:pPr>
      <w:r>
        <w:t>Khả năng thanh toán dài hạn, 53–56</w:t>
      </w:r>
      <w:bookmarkEnd w:id="8664"/>
    </w:p>
    <w:p>
      <w:bookmarkStart w:id="8665" w:name="Los_Angeles_Clippers__903_904"/>
      <w:pPr>
        <w:pStyle w:val="Para 01"/>
        <w:keepLines w:val="on"/>
      </w:pPr>
      <w:r>
        <w:t>Los Angeles Clippers, 903–904</w:t>
      </w:r>
      <w:bookmarkEnd w:id="8665"/>
    </w:p>
    <w:p>
      <w:bookmarkStart w:id="8666" w:name="Losses__with_accounting_changes"/>
      <w:pPr>
        <w:pStyle w:val="Para 01"/>
        <w:keepLines w:val="on"/>
      </w:pPr>
      <w:r>
        <w:t>Thua lỗ</w:t>
      </w:r>
      <w:bookmarkEnd w:id="8666"/>
    </w:p>
    <w:p>
      <w:bookmarkStart w:id="8667" w:name="with_accounting_changes__46"/>
      <w:pPr>
        <w:pStyle w:val="Para 01"/>
        <w:keepLines w:val="on"/>
      </w:pPr>
      <w:r>
        <w:t>với các thay đổi kế toán, 46</w:t>
      </w:r>
      <w:bookmarkEnd w:id="8667"/>
    </w:p>
    <w:p>
      <w:bookmarkStart w:id="8668" w:name="net_operating__274_275"/>
      <w:pPr>
        <w:pStyle w:val="Para 01"/>
        <w:keepLines w:val="on"/>
      </w:pPr>
      <w:r>
        <w:t>lỗ hoạt động ròng, 274–275</w:t>
      </w:r>
      <w:bookmarkEnd w:id="8668"/>
    </w:p>
    <w:p>
      <w:bookmarkStart w:id="8669" w:name="Lube___Auto__813_814__816_817__9"/>
      <w:pPr>
        <w:pStyle w:val="Para 01"/>
        <w:keepLines w:val="on"/>
      </w:pPr>
      <w:r>
        <w:t>Lube &amp; Auto, 813–814, 816–817, 974</w:t>
      </w:r>
      <w:bookmarkEnd w:id="8669"/>
    </w:p>
    <w:p>
      <w:bookmarkStart w:id="8670" w:name="Luck__of_money_managers__151"/>
      <w:pPr>
        <w:pStyle w:val="Para 01"/>
        <w:keepLines w:val="on"/>
      </w:pPr>
      <w:r>
        <w:t>May mắn, của các nhà quản lý tiền, 151</w:t>
      </w:r>
      <w:bookmarkEnd w:id="8670"/>
    </w:p>
    <w:p>
      <w:bookmarkStart w:id="8671" w:name="Lululemon__1013_1015"/>
      <w:pPr>
        <w:pStyle w:val="Para 01"/>
        <w:keepLines w:val="on"/>
      </w:pPr>
      <w:r>
        <w:t>Lululemon, 1013–1015</w:t>
      </w:r>
      <w:bookmarkEnd w:id="8671"/>
    </w:p>
    <w:p>
      <w:bookmarkStart w:id="8672" w:name="Lumpy_capital_expenditures__279"/>
      <w:pPr>
        <w:pStyle w:val="Para 01"/>
        <w:keepLines w:val="on"/>
      </w:pPr>
      <w:r>
        <w:t>Chi tiêu vốn không đều (lumpy capital expenditures), 279–281</w:t>
      </w:r>
      <w:bookmarkEnd w:id="8672"/>
    </w:p>
    <w:p>
      <w:bookmarkStart w:id="8673" w:name="Lutece__879_881"/>
      <w:pPr>
        <w:pStyle w:val="Para 01"/>
        <w:keepLines w:val="on"/>
      </w:pPr>
      <w:r>
        <w:t>Lutèce, 879–881</w:t>
      </w:r>
      <w:bookmarkEnd w:id="8673"/>
    </w:p>
    <w:p>
      <w:bookmarkStart w:id="8674" w:name="M___Macroeconomic_factors__as_ba"/>
      <w:bookmarkStart w:id="8675" w:name="M"/>
      <w:pPr>
        <w:keepNext/>
        <w:pStyle w:val="Para 50"/>
        <w:keepLines w:val="on"/>
      </w:pPr>
      <w:r>
        <w:t>M</w:t>
      </w:r>
      <w:bookmarkEnd w:id="8674"/>
      <w:bookmarkEnd w:id="8675"/>
    </w:p>
    <w:p>
      <w:bookmarkStart w:id="8676" w:name="Macroeconomic_factors__as_bank_s"/>
      <w:pPr>
        <w:pStyle w:val="Para 01"/>
        <w:keepLines w:val="on"/>
      </w:pPr>
      <w:r>
        <w:t>Các yếu tố kinh tế vĩ mô (macroeconomic factors)</w:t>
      </w:r>
      <w:bookmarkEnd w:id="8676"/>
    </w:p>
    <w:p>
      <w:bookmarkStart w:id="8677" w:name="as_bank_stressors__684_688"/>
      <w:pPr>
        <w:pStyle w:val="Para 01"/>
        <w:keepLines w:val="on"/>
      </w:pPr>
      <w:r>
        <w:t>như các tác nhân gây căng thẳng cho ngân hàng, 684–688</w:t>
      </w:r>
      <w:bookmarkEnd w:id="8677"/>
    </w:p>
    <w:p>
      <w:bookmarkStart w:id="8678" w:name="in_business_story__370_1"/>
      <w:pPr>
        <w:pStyle w:val="Para 01"/>
        <w:keepLines w:val="on"/>
      </w:pPr>
      <w:r>
        <w:t>trong câu chuyện kinh doanh, 370</w:t>
      </w:r>
      <w:bookmarkEnd w:id="8678"/>
    </w:p>
    <w:p>
      <w:bookmarkStart w:id="8679" w:name="for_cyclical_firms__707"/>
      <w:pPr>
        <w:pStyle w:val="Para 01"/>
        <w:keepLines w:val="on"/>
      </w:pPr>
      <w:r>
        <w:t>đối với các công ty mang tính chu kỳ, 707</w:t>
      </w:r>
      <w:bookmarkEnd w:id="8679"/>
    </w:p>
    <w:p>
      <w:bookmarkStart w:id="8680" w:name="earnings_volatility_and__264"/>
      <w:pPr>
        <w:pStyle w:val="Para 01"/>
        <w:keepLines w:val="on"/>
      </w:pPr>
      <w:r>
        <w:t>biến động thu nhập và, 264</w:t>
      </w:r>
      <w:bookmarkEnd w:id="8680"/>
    </w:p>
    <w:p>
      <w:bookmarkStart w:id="8681" w:name="forecast_information_on__308"/>
      <w:pPr>
        <w:pStyle w:val="Para 01"/>
        <w:keepLines w:val="on"/>
      </w:pPr>
      <w:r>
        <w:t>thông tin dự báo, 308</w:t>
      </w:r>
      <w:bookmarkEnd w:id="8681"/>
    </w:p>
    <w:p>
      <w:bookmarkStart w:id="8682" w:name="Majority_active_investments__35"/>
      <w:pPr>
        <w:pStyle w:val="Para 01"/>
        <w:keepLines w:val="on"/>
      </w:pPr>
      <w:r>
        <w:t>Các khoản đầu tư chủ động nắm quyền kiểm soát, 35–36, 492–493</w:t>
      </w:r>
      <w:bookmarkEnd w:id="8682"/>
    </w:p>
    <w:p>
      <w:bookmarkStart w:id="8683" w:name="Malfeasance__383"/>
      <w:pPr>
        <w:pStyle w:val="Para 01"/>
        <w:keepLines w:val="on"/>
      </w:pPr>
      <w:r>
        <w:t>Hành vi sai trái, 383</w:t>
      </w:r>
      <w:bookmarkEnd w:id="8683"/>
    </w:p>
    <w:p>
      <w:bookmarkStart w:id="8684" w:name="Managed_earnings__256_259"/>
      <w:pPr>
        <w:pStyle w:val="Para 01"/>
        <w:keepLines w:val="on"/>
      </w:pPr>
      <w:r>
        <w:t>Lợi nhuận được quản lý (managed earnings), 256–259</w:t>
      </w:r>
      <w:bookmarkEnd w:id="8684"/>
    </w:p>
    <w:p>
      <w:bookmarkStart w:id="8685" w:name="Management__acquisitions_to_chan"/>
      <w:pPr>
        <w:pStyle w:val="Para 01"/>
        <w:keepLines w:val="on"/>
      </w:pPr>
      <w:r>
        <w:t>Ban điều hành</w:t>
      </w:r>
      <w:bookmarkEnd w:id="8685"/>
    </w:p>
    <w:p>
      <w:bookmarkStart w:id="8686" w:name="acquisitions_to_change__383__802"/>
      <w:pPr>
        <w:pStyle w:val="Para 01"/>
        <w:keepLines w:val="on"/>
      </w:pPr>
      <w:r>
        <w:t>các thương vụ mua lại nhằm thay đổi, 383, 802–804</w:t>
      </w:r>
      <w:bookmarkEnd w:id="8686"/>
    </w:p>
    <w:p>
      <w:bookmarkStart w:id="8687" w:name="distrust_of__485"/>
      <w:pPr>
        <w:pStyle w:val="Para 01"/>
        <w:keepLines w:val="on"/>
      </w:pPr>
      <w:r>
        <w:t>sự ngờ vực đối với, 485</w:t>
      </w:r>
      <w:bookmarkEnd w:id="8687"/>
    </w:p>
    <w:p>
      <w:bookmarkStart w:id="8688" w:name="ego_of__804_805"/>
      <w:pPr>
        <w:pStyle w:val="Para 01"/>
        <w:keepLines w:val="on"/>
      </w:pPr>
      <w:r>
        <w:t>cái tôi của, 804–805</w:t>
      </w:r>
      <w:bookmarkEnd w:id="8688"/>
    </w:p>
    <w:p>
      <w:bookmarkStart w:id="8689" w:name="growth_patterns_and_competence_o"/>
      <w:pPr>
        <w:pStyle w:val="Para 01"/>
        <w:keepLines w:val="on"/>
      </w:pPr>
      <w:r>
        <w:t>mô hình tăng trưởng và năng lực của, 1073</w:t>
      </w:r>
      <w:bookmarkEnd w:id="8689"/>
    </w:p>
    <w:p>
      <w:bookmarkStart w:id="8690" w:name="as_intangible_asset__36_1"/>
      <w:pPr>
        <w:pStyle w:val="Para 01"/>
        <w:keepLines w:val="on"/>
      </w:pPr>
      <w:r>
        <w:t>như một tài sản vô hình, 36</w:t>
      </w:r>
      <w:bookmarkEnd w:id="8690"/>
    </w:p>
    <w:p>
      <w:bookmarkStart w:id="8691" w:name="operating_problems_and_quality_o"/>
      <w:pPr>
        <w:pStyle w:val="Para 01"/>
        <w:keepLines w:val="on"/>
      </w:pPr>
      <w:r>
        <w:t>các vấn đề vận hành và chất lượng của, 717</w:t>
      </w:r>
      <w:bookmarkEnd w:id="8691"/>
    </w:p>
    <w:p>
      <w:bookmarkStart w:id="8692" w:name="self_interest_of__804_805"/>
      <w:pPr>
        <w:pStyle w:val="Para 01"/>
        <w:keepLines w:val="on"/>
      </w:pPr>
      <w:r>
        <w:t>tư lợi của, 804–805</w:t>
      </w:r>
      <w:bookmarkEnd w:id="8692"/>
    </w:p>
    <w:p>
      <w:bookmarkStart w:id="8693" w:name="status_quo_vs__optimal__1074"/>
      <w:pPr>
        <w:pStyle w:val="Para 01"/>
        <w:keepLines w:val="on"/>
      </w:pPr>
      <w:r>
        <w:t>giữ nguyên hiện trạng so với tối ưu, 1074</w:t>
      </w:r>
      <w:bookmarkEnd w:id="8693"/>
    </w:p>
    <w:p>
      <w:bookmarkStart w:id="8694" w:name="for_young_or_start_up_firms__753_1"/>
      <w:pPr>
        <w:pStyle w:val="Para 01"/>
        <w:keepLines w:val="on"/>
      </w:pPr>
      <w:r>
        <w:t>đối với các công ty non trẻ hoặc mới khởi nghiệp, 753–755</w:t>
      </w:r>
      <w:bookmarkEnd w:id="8694"/>
    </w:p>
    <w:p>
      <w:bookmarkStart w:id="8695" w:name="Management_buyouts__796__828_829"/>
      <w:pPr>
        <w:pStyle w:val="Para 01"/>
        <w:keepLines w:val="on"/>
      </w:pPr>
      <w:r>
        <w:t>Mua lại bởi ban điều hành (management buyouts), 796, 828–829</w:t>
      </w:r>
      <w:bookmarkEnd w:id="8695"/>
    </w:p>
    <w:p>
      <w:bookmarkStart w:id="8696" w:name="Management_forecasts__311__784"/>
      <w:pPr>
        <w:pStyle w:val="Para 01"/>
        <w:keepLines w:val="on"/>
      </w:pPr>
      <w:r>
        <w:t>Dự báo của ban điều hành, 311, 784</w:t>
      </w:r>
      <w:bookmarkEnd w:id="8696"/>
    </w:p>
    <w:p>
      <w:bookmarkStart w:id="8697" w:name="Management_options__534"/>
      <w:pPr>
        <w:pStyle w:val="Para 01"/>
        <w:keepLines w:val="on"/>
      </w:pPr>
      <w:r>
        <w:t>Quyền chọn của ban điều hành, 534</w:t>
      </w:r>
      <w:bookmarkEnd w:id="8697"/>
    </w:p>
    <w:p>
      <w:bookmarkStart w:id="8698" w:name="Managerial_self_interest__413"/>
      <w:pPr>
        <w:pStyle w:val="Para 01"/>
        <w:keepLines w:val="on"/>
      </w:pPr>
      <w:r>
        <w:t>Tư lợi của người quản lý, 413</w:t>
      </w:r>
      <w:bookmarkEnd w:id="8698"/>
    </w:p>
    <w:p>
      <w:bookmarkStart w:id="8699" w:name="Marginal_returns__on_capital__32"/>
      <w:pPr>
        <w:pStyle w:val="Para 01"/>
        <w:keepLines w:val="on"/>
      </w:pPr>
      <w:r>
        <w:t>Lợi nhuận biên</w:t>
      </w:r>
      <w:bookmarkEnd w:id="8699"/>
    </w:p>
    <w:p>
      <w:bookmarkStart w:id="8700" w:name="on_capital__322"/>
      <w:pPr>
        <w:pStyle w:val="Para 01"/>
        <w:keepLines w:val="on"/>
      </w:pPr>
      <w:r>
        <w:t>trên vốn, 322</w:t>
      </w:r>
      <w:bookmarkEnd w:id="8700"/>
    </w:p>
    <w:p>
      <w:bookmarkStart w:id="8701" w:name="on_equity__315_316"/>
      <w:pPr>
        <w:pStyle w:val="Para 01"/>
        <w:keepLines w:val="on"/>
      </w:pPr>
      <w:r>
        <w:t>trên vốn chủ sở hữu, 315–316</w:t>
      </w:r>
      <w:bookmarkEnd w:id="8701"/>
    </w:p>
    <w:p>
      <w:bookmarkStart w:id="8702" w:name="Marginal_tax_rate__effective_vs"/>
      <w:pPr>
        <w:pStyle w:val="Para 01"/>
        <w:keepLines w:val="on"/>
      </w:pPr>
      <w:r>
        <w:t>Thuế suất biên</w:t>
      </w:r>
      <w:bookmarkEnd w:id="8702"/>
    </w:p>
    <w:p>
      <w:bookmarkStart w:id="8703" w:name="effective_vs___269_271"/>
      <w:pPr>
        <w:pStyle w:val="Para 01"/>
        <w:keepLines w:val="on"/>
      </w:pPr>
      <w:r>
        <w:t>thuế suất thực tế so với, 269–271</w:t>
      </w:r>
      <w:bookmarkEnd w:id="8703"/>
    </w:p>
    <w:p>
      <w:bookmarkStart w:id="8704" w:name="for_multinationals__271"/>
      <w:pPr>
        <w:pStyle w:val="Para 01"/>
        <w:keepLines w:val="on"/>
      </w:pPr>
      <w:r>
        <w:t>đối với các công ty đa quốc gia, 271</w:t>
      </w:r>
      <w:bookmarkEnd w:id="8704"/>
    </w:p>
    <w:p>
      <w:bookmarkStart w:id="8705" w:name="value_and__272_274_1"/>
      <w:pPr>
        <w:pStyle w:val="Para 01"/>
        <w:keepLines w:val="on"/>
      </w:pPr>
      <w:r>
        <w:t>giá trị và, 272–274</w:t>
      </w:r>
      <w:bookmarkEnd w:id="8705"/>
    </w:p>
    <w:p>
      <w:bookmarkStart w:id="8706" w:name="Margin_of_safety__MOS___1055"/>
      <w:pPr>
        <w:pStyle w:val="Para 01"/>
        <w:keepLines w:val="on"/>
      </w:pPr>
      <w:r>
        <w:t>Biên an toàn (Margin of Safety - MOS), 1055</w:t>
      </w:r>
      <w:bookmarkEnd w:id="8706"/>
    </w:p>
    <w:p>
      <w:bookmarkStart w:id="8707" w:name="Margins__operating__327_331__740"/>
      <w:pPr>
        <w:pStyle w:val="Para 01"/>
        <w:keepLines w:val="on"/>
      </w:pPr>
      <w:r>
        <w:t>Biên lợi nhuận</w:t>
      </w:r>
      <w:bookmarkEnd w:id="8707"/>
    </w:p>
    <w:p>
      <w:bookmarkStart w:id="8708" w:name="operating__327_331__740_741__981"/>
      <w:pPr>
        <w:pStyle w:val="Para 01"/>
        <w:keepLines w:val="on"/>
      </w:pPr>
      <w:r>
        <w:t>hoạt động, 327–331, 740–741, 981–982</w:t>
      </w:r>
      <w:bookmarkEnd w:id="8708"/>
    </w:p>
    <w:p>
      <w:bookmarkStart w:id="8709" w:name="profit__621_623"/>
      <w:pPr>
        <w:pStyle w:val="Para 01"/>
        <w:keepLines w:val="on"/>
      </w:pPr>
      <w:r>
        <w:t>lợi nhuận, 621–623</w:t>
      </w:r>
      <w:bookmarkEnd w:id="8709"/>
    </w:p>
    <w:p>
      <w:bookmarkStart w:id="8710" w:name="revenue_multiples_and__632_635"/>
      <w:pPr>
        <w:pStyle w:val="Para 01"/>
        <w:keepLines w:val="on"/>
      </w:pPr>
      <w:r>
        <w:t>bội số doanh thu và, 632–635, 638–641</w:t>
      </w:r>
      <w:bookmarkEnd w:id="8710"/>
    </w:p>
    <w:p>
      <w:bookmarkStart w:id="8711" w:name="for_young_or_start_up_firms__752_1"/>
      <w:pPr>
        <w:pStyle w:val="Para 01"/>
        <w:keepLines w:val="on"/>
      </w:pPr>
      <w:r>
        <w:t>đối với công ty non trẻ hoặc mới khởi nghiệp, 752</w:t>
      </w:r>
      <w:bookmarkEnd w:id="8711"/>
    </w:p>
    <w:p>
      <w:bookmarkStart w:id="8712" w:name="Marketability__of_assets__1066_1"/>
      <w:pPr>
        <w:pStyle w:val="Para 01"/>
        <w:keepLines w:val="on"/>
      </w:pPr>
      <w:r>
        <w:t>Tính thanh khoản, của tài sản, 1066–1067</w:t>
      </w:r>
      <w:bookmarkEnd w:id="8712"/>
    </w:p>
    <w:p>
      <w:bookmarkStart w:id="8713" w:name="Marketable_securities__accountin"/>
      <w:pPr>
        <w:pStyle w:val="Para 01"/>
        <w:keepLines w:val="on"/>
      </w:pPr>
      <w:r>
        <w:t>Chứng khoán có thể bán được</w:t>
      </w:r>
      <w:bookmarkEnd w:id="8713"/>
    </w:p>
    <w:p>
      <w:bookmarkStart w:id="8714" w:name="accounting_for__488_490"/>
      <w:pPr>
        <w:pStyle w:val="Para 01"/>
        <w:keepLines w:val="on"/>
      </w:pPr>
      <w:r>
        <w:t>hạch toán, 488–490</w:t>
      </w:r>
      <w:bookmarkEnd w:id="8714"/>
    </w:p>
    <w:p>
      <w:bookmarkStart w:id="8715" w:name="asset_value_of__34_36"/>
      <w:pPr>
        <w:pStyle w:val="Para 01"/>
        <w:keepLines w:val="on"/>
      </w:pPr>
      <w:r>
        <w:t>giá trị tài sản của, 34–36</w:t>
      </w:r>
      <w:bookmarkEnd w:id="8715"/>
    </w:p>
    <w:p>
      <w:bookmarkStart w:id="8716" w:name="in_consolidated_valuation__482_4"/>
      <w:pPr>
        <w:pStyle w:val="Para 01"/>
        <w:keepLines w:val="on"/>
      </w:pPr>
      <w:r>
        <w:t>trong định giá hợp nhất, 482–484</w:t>
      </w:r>
      <w:bookmarkEnd w:id="8716"/>
    </w:p>
    <w:p>
      <w:bookmarkStart w:id="8717" w:name="premiums_or_discounts_on__490_49"/>
      <w:pPr>
        <w:pStyle w:val="Para 01"/>
        <w:keepLines w:val="on"/>
      </w:pPr>
      <w:r>
        <w:t>phần bù hoặc chiết khấu trên, 490–491</w:t>
      </w:r>
      <w:bookmarkEnd w:id="8717"/>
    </w:p>
    <w:p>
      <w:bookmarkStart w:id="8718" w:name="in_separate_valuation__482_484"/>
      <w:pPr>
        <w:pStyle w:val="Para 01"/>
        <w:keepLines w:val="on"/>
      </w:pPr>
      <w:r>
        <w:t>trong định giá riêng biệt, 482–484</w:t>
      </w:r>
      <w:bookmarkEnd w:id="8718"/>
    </w:p>
    <w:p>
      <w:bookmarkStart w:id="8719" w:name="Market_anomalies__firm_character"/>
      <w:pPr>
        <w:pStyle w:val="Para 01"/>
        <w:keepLines w:val="on"/>
      </w:pPr>
      <w:r>
        <w:t>Bất thường thị trường</w:t>
      </w:r>
      <w:bookmarkEnd w:id="8719"/>
    </w:p>
    <w:p>
      <w:bookmarkStart w:id="8720" w:name="firm_characteristics_and__137_14"/>
      <w:pPr>
        <w:pStyle w:val="Para 01"/>
        <w:keepLines w:val="on"/>
      </w:pPr>
      <w:r>
        <w:t>đặc điểm công ty và, 137–141</w:t>
      </w:r>
      <w:bookmarkEnd w:id="8720"/>
    </w:p>
    <w:p>
      <w:bookmarkStart w:id="8721" w:name="January_effect__141_144_1"/>
      <w:pPr>
        <w:pStyle w:val="Para 01"/>
        <w:keepLines w:val="on"/>
      </w:pPr>
      <w:r>
        <w:t>hiệu ứng tháng Một, 141–144</w:t>
      </w:r>
      <w:bookmarkEnd w:id="8721"/>
    </w:p>
    <w:p>
      <w:bookmarkStart w:id="8722" w:name="price_earnings_ratios_and__138_1"/>
      <w:pPr>
        <w:pStyle w:val="Para 01"/>
        <w:keepLines w:val="on"/>
      </w:pPr>
      <w:r>
        <w:t>tỷ lệ giá trên thu nhập và, 138–140</w:t>
      </w:r>
      <w:bookmarkEnd w:id="8722"/>
    </w:p>
    <w:p>
      <w:bookmarkStart w:id="8723" w:name="price_to_book_ratios_and__140_14"/>
      <w:pPr>
        <w:pStyle w:val="Para 01"/>
        <w:keepLines w:val="on"/>
      </w:pPr>
      <w:r>
        <w:t>tỷ lệ giá trên giá trị sổ sách và, 140–141</w:t>
      </w:r>
      <w:bookmarkEnd w:id="8723"/>
    </w:p>
    <w:p>
      <w:bookmarkStart w:id="8724" w:name="small_firm_effect_and__137_138"/>
      <w:pPr>
        <w:pStyle w:val="Para 01"/>
        <w:keepLines w:val="on"/>
      </w:pPr>
      <w:r>
        <w:t>hiệu ứng công ty nhỏ và, 137–138</w:t>
      </w:r>
      <w:bookmarkEnd w:id="8724"/>
    </w:p>
    <w:p>
      <w:bookmarkStart w:id="8725" w:name="temporal__141_146"/>
      <w:pPr>
        <w:pStyle w:val="Para 01"/>
        <w:keepLines w:val="on"/>
      </w:pPr>
      <w:r>
        <w:t>theo thời gian, 141–146</w:t>
      </w:r>
      <w:bookmarkEnd w:id="8725"/>
    </w:p>
    <w:p>
      <w:bookmarkStart w:id="8726" w:name="weekend_effect__144_146"/>
      <w:pPr>
        <w:pStyle w:val="Para 01"/>
        <w:keepLines w:val="on"/>
      </w:pPr>
      <w:r>
        <w:t>hiệu ứng cuối tuần, 144–146</w:t>
      </w:r>
      <w:bookmarkEnd w:id="8726"/>
    </w:p>
    <w:p>
      <w:bookmarkStart w:id="8727" w:name="Market_betas__759_762"/>
      <w:pPr>
        <w:pStyle w:val="Para 01"/>
        <w:keepLines w:val="on"/>
      </w:pPr>
      <w:r>
        <w:t>Beta thị trường, 759–762</w:t>
      </w:r>
      <w:bookmarkEnd w:id="8727"/>
    </w:p>
    <w:p>
      <w:bookmarkStart w:id="8728" w:name="Market_capitalization__307"/>
      <w:pPr>
        <w:pStyle w:val="Para 01"/>
        <w:keepLines w:val="on"/>
      </w:pPr>
      <w:r>
        <w:t>Vốn hóa thị trường, 307</w:t>
      </w:r>
      <w:bookmarkEnd w:id="8728"/>
    </w:p>
    <w:p>
      <w:bookmarkStart w:id="8729" w:name="Market_driven_problems__702_710"/>
      <w:pPr>
        <w:pStyle w:val="Para 01"/>
        <w:keepLines w:val="on"/>
      </w:pPr>
      <w:r>
        <w:t>Vấn đề do thị trường chi phối, 702–710</w:t>
      </w:r>
      <w:bookmarkEnd w:id="8729"/>
    </w:p>
    <w:p>
      <w:bookmarkStart w:id="8730" w:name="Market_efficiency__evidence_of"/>
      <w:pPr>
        <w:pStyle w:val="Para 01"/>
        <w:keepLines w:val="on"/>
      </w:pPr>
      <w:r>
        <w:t>Hiệu quả thị trường</w:t>
      </w:r>
      <w:bookmarkEnd w:id="8730"/>
    </w:p>
    <w:p>
      <w:bookmarkStart w:id="8731" w:name="evidence_of__125"/>
      <w:pPr>
        <w:pStyle w:val="Para 01"/>
        <w:keepLines w:val="on"/>
      </w:pPr>
      <w:r>
        <w:t>Bằng chứng về, 125</w:t>
      </w:r>
      <w:bookmarkEnd w:id="8731"/>
    </w:p>
    <w:p>
      <w:bookmarkStart w:id="8732" w:name="explanation_of__114"/>
      <w:pPr>
        <w:pStyle w:val="Para 01"/>
        <w:keepLines w:val="on"/>
      </w:pPr>
      <w:r>
        <w:t>giải thích về, 114</w:t>
      </w:r>
      <w:bookmarkEnd w:id="8732"/>
    </w:p>
    <w:p>
      <w:bookmarkStart w:id="8733" w:name="implications_of__114_115"/>
      <w:pPr>
        <w:pStyle w:val="Para 01"/>
        <w:keepLines w:val="on"/>
      </w:pPr>
      <w:r>
        <w:t>hàm ý của, 114–115</w:t>
      </w:r>
      <w:bookmarkEnd w:id="8733"/>
    </w:p>
    <w:p>
      <w:bookmarkStart w:id="8735" w:name="investment_professionals__perfor"/>
      <w:pPr>
        <w:pStyle w:val="Para 01"/>
        <w:keepLines w:val="on"/>
      </w:pPr>
      <w:r>
        <w:t>hiệu suất của các chuyên gia đầu tư và, 146–152</w:t>
      </w:r>
      <w:bookmarkEnd w:id="8735"/>
    </w:p>
    <w:p>
      <w:bookmarkStart w:id="8736" w:name="and_investment_valuation__113"/>
      <w:pPr>
        <w:pStyle w:val="Para 01"/>
        <w:keepLines w:val="on"/>
      </w:pPr>
      <w:r>
        <w:t>và định giá đầu tư, 113</w:t>
      </w:r>
      <w:bookmarkEnd w:id="8736"/>
    </w:p>
    <w:p>
      <w:bookmarkStart w:id="8737" w:name="market_anomalies_and__137_146"/>
      <w:pPr>
        <w:pStyle w:val="Para 01"/>
        <w:keepLines w:val="on"/>
      </w:pPr>
      <w:r>
        <w:t>các bất thường thị trường và, 137–146</w:t>
      </w:r>
      <w:bookmarkEnd w:id="8737"/>
    </w:p>
    <w:p>
      <w:bookmarkStart w:id="8738" w:name="market_reaction_to_information_e"/>
      <w:pPr>
        <w:pStyle w:val="Para 01"/>
        <w:keepLines w:val="on"/>
      </w:pPr>
      <w:r>
        <w:t>phản ứng thị trường trước các sự kiện thông tin và, 133–137</w:t>
      </w:r>
      <w:bookmarkEnd w:id="8738"/>
    </w:p>
    <w:p>
      <w:bookmarkStart w:id="8739" w:name="necessary_conditions_for__116"/>
      <w:pPr>
        <w:pStyle w:val="Para 01"/>
        <w:keepLines w:val="on"/>
      </w:pPr>
      <w:r>
        <w:t>các điều kiện cần thiết cho, 116</w:t>
      </w:r>
      <w:bookmarkEnd w:id="8739"/>
    </w:p>
    <w:p>
      <w:bookmarkStart w:id="8740" w:name="pitfalls_in_testing__123_125"/>
      <w:pPr>
        <w:pStyle w:val="Para 01"/>
        <w:keepLines w:val="on"/>
      </w:pPr>
      <w:r>
        <w:t>những cạm bẫy khi kiểm định, 123–125</w:t>
      </w:r>
      <w:bookmarkEnd w:id="8740"/>
    </w:p>
    <w:p>
      <w:bookmarkStart w:id="8741" w:name="propositions_about__116_117"/>
      <w:pPr>
        <w:pStyle w:val="Para 01"/>
        <w:keepLines w:val="on"/>
      </w:pPr>
      <w:r>
        <w:t>các mệnh đề về, 116–117</w:t>
      </w:r>
      <w:bookmarkEnd w:id="8741"/>
    </w:p>
    <w:p>
      <w:bookmarkStart w:id="8742" w:name="tests_for__118_125"/>
      <w:pPr>
        <w:pStyle w:val="Para 01"/>
        <w:keepLines w:val="on"/>
      </w:pPr>
      <w:r>
        <w:t>các kiểm định cho, 118–125</w:t>
      </w:r>
      <w:bookmarkEnd w:id="8742"/>
    </w:p>
    <w:p>
      <w:bookmarkStart w:id="8743" w:name="time_series_properties_of_price"/>
      <w:pPr>
        <w:pStyle w:val="Para 01"/>
        <w:keepLines w:val="on"/>
      </w:pPr>
      <w:r>
        <w:t>các thuộc tính chuỗi thời gian của thay đổi giá và, 125–132</w:t>
      </w:r>
      <w:bookmarkEnd w:id="8743"/>
    </w:p>
    <w:p>
      <w:bookmarkStart w:id="8744" w:name="valuation_and__6_7"/>
      <w:pPr>
        <w:pStyle w:val="Para 01"/>
        <w:keepLines w:val="on"/>
      </w:pPr>
      <w:r>
        <w:t>định giá và, 6–7</w:t>
      </w:r>
      <w:bookmarkEnd w:id="8744"/>
    </w:p>
    <w:p>
      <w:bookmarkStart w:id="8745" w:name="Market_entry__940"/>
      <w:pPr>
        <w:pStyle w:val="Para 01"/>
        <w:keepLines w:val="on"/>
      </w:pPr>
      <w:r>
        <w:t>Gia nhập thị trường, 940</w:t>
      </w:r>
      <w:bookmarkEnd w:id="8745"/>
    </w:p>
    <w:p>
      <w:bookmarkStart w:id="8746" w:name="Market_history__in_business_stor"/>
      <w:pPr>
        <w:pStyle w:val="Para 01"/>
        <w:keepLines w:val="on"/>
      </w:pPr>
      <w:r>
        <w:t>Lịch sử thị trường, trong câu chuyện kinh doanh, 369–370</w:t>
      </w:r>
      <w:bookmarkEnd w:id="8746"/>
    </w:p>
    <w:p>
      <w:bookmarkStart w:id="8747" w:name="Market_index__195"/>
      <w:pPr>
        <w:pStyle w:val="Para 01"/>
        <w:keepLines w:val="on"/>
      </w:pPr>
      <w:r>
        <w:t>Chỉ số thị trường, 195</w:t>
      </w:r>
      <w:bookmarkEnd w:id="8747"/>
    </w:p>
    <w:p>
      <w:bookmarkStart w:id="8748" w:name="Marketing_strategies__624_626"/>
      <w:pPr>
        <w:pStyle w:val="Para 01"/>
        <w:keepLines w:val="on"/>
      </w:pPr>
      <w:r>
        <w:t>Các chiến lược tiếp thị, 624–626</w:t>
      </w:r>
      <w:bookmarkEnd w:id="8748"/>
    </w:p>
    <w:p>
      <w:bookmarkStart w:id="8749" w:name="Market_performance__failure_to_c"/>
      <w:pPr>
        <w:pStyle w:val="Para 01"/>
        <w:keepLines w:val="on"/>
      </w:pPr>
      <w:r>
        <w:t>Hiệu suất thị trường, việc không kiểm soát được, 124</w:t>
      </w:r>
      <w:bookmarkEnd w:id="8749"/>
    </w:p>
    <w:p>
      <w:bookmarkStart w:id="8750" w:name="Market_portfolio__real_estate__8"/>
      <w:pPr>
        <w:pStyle w:val="Para 01"/>
        <w:keepLines w:val="on"/>
      </w:pPr>
      <w:r>
        <w:t>Danh mục thị trường, bất động sản, 845</w:t>
      </w:r>
      <w:bookmarkEnd w:id="8750"/>
    </w:p>
    <w:p>
      <w:bookmarkStart w:id="8751" w:name="Market_price_and_pricing__820__1"/>
      <w:pPr>
        <w:pStyle w:val="Para 01"/>
        <w:keepLines w:val="on"/>
      </w:pPr>
      <w:r>
        <w:t>Giá thị trường và việc định giá, 820, 1076</w:t>
      </w:r>
      <w:bookmarkEnd w:id="8751"/>
    </w:p>
    <w:p>
      <w:bookmarkStart w:id="8752" w:name="Market_regressions__explanation"/>
      <w:pPr>
        <w:pStyle w:val="Para 01"/>
        <w:keepLines w:val="on"/>
      </w:pPr>
      <w:r>
        <w:t>Các hồi quy thị trường</w:t>
      </w:r>
      <w:bookmarkEnd w:id="8752"/>
    </w:p>
    <w:p>
      <w:bookmarkStart w:id="8753" w:name="explanation_of__529_530"/>
      <w:pPr>
        <w:pStyle w:val="Para 01"/>
        <w:keepLines w:val="on"/>
      </w:pPr>
      <w:r>
        <w:t>giải thích về, 529–530</w:t>
      </w:r>
      <w:bookmarkEnd w:id="8753"/>
    </w:p>
    <w:p>
      <w:bookmarkStart w:id="8754" w:name="past_studies__551_552"/>
      <w:pPr>
        <w:pStyle w:val="Para 01"/>
        <w:keepLines w:val="on"/>
      </w:pPr>
      <w:r>
        <w:t>các nghiên cứu trước đây, 551–552</w:t>
      </w:r>
      <w:bookmarkEnd w:id="8754"/>
    </w:p>
    <w:p>
      <w:bookmarkStart w:id="8755" w:name="for_revenue_multiples__641_642"/>
      <w:pPr>
        <w:pStyle w:val="Para 01"/>
        <w:keepLines w:val="on"/>
      </w:pPr>
      <w:r>
        <w:t>cho các bội số doanh thu, 641–642</w:t>
      </w:r>
      <w:bookmarkEnd w:id="8755"/>
    </w:p>
    <w:p>
      <w:bookmarkStart w:id="8756" w:name="updating__552_553__555"/>
      <w:pPr>
        <w:pStyle w:val="Para 01"/>
        <w:keepLines w:val="on"/>
      </w:pPr>
      <w:r>
        <w:t>cập nhật, 552–553, 555</w:t>
      </w:r>
      <w:bookmarkEnd w:id="8756"/>
    </w:p>
    <w:p>
      <w:bookmarkStart w:id="8757" w:name="Market_risk__arbitrage_pricing_m"/>
      <w:pPr>
        <w:pStyle w:val="Para 01"/>
        <w:keepLines w:val="on"/>
      </w:pPr>
      <w:r>
        <w:t>Rủi ro thị trường</w:t>
      </w:r>
      <w:bookmarkEnd w:id="8757"/>
    </w:p>
    <w:p>
      <w:bookmarkStart w:id="8758" w:name="arbitrage_pricing_model_and__71"/>
      <w:pPr>
        <w:pStyle w:val="Para 01"/>
        <w:keepLines w:val="on"/>
      </w:pPr>
      <w:r>
        <w:t>mô hình định giá chênh lệch giá và, 71–72</w:t>
      </w:r>
      <w:bookmarkEnd w:id="8758"/>
    </w:p>
    <w:p>
      <w:bookmarkStart w:id="8759" w:name="of_individual_asset__in_CAPM__69"/>
      <w:pPr>
        <w:pStyle w:val="Para 01"/>
        <w:keepLines w:val="on"/>
      </w:pPr>
      <w:r>
        <w:t>của từng tài sản riêng lẻ, trong CAPM, 69</w:t>
      </w:r>
      <w:bookmarkEnd w:id="8759"/>
    </w:p>
    <w:p>
      <w:bookmarkStart w:id="8760" w:name="mean_variance_models_measuring"/>
      <w:pPr>
        <w:pStyle w:val="Para 01"/>
        <w:keepLines w:val="on"/>
      </w:pPr>
      <w:r>
        <w:t>các mô hình trung bình-phương sai đo lường, 67</w:t>
      </w:r>
      <w:bookmarkEnd w:id="8760"/>
    </w:p>
    <w:p>
      <w:bookmarkStart w:id="8761" w:name="Market_s___analyst_beliefs_about"/>
      <w:pPr>
        <w:pStyle w:val="Para 01"/>
        <w:keepLines w:val="on"/>
      </w:pPr>
      <w:r>
        <w:t>Thị trường</w:t>
      </w:r>
      <w:bookmarkEnd w:id="8761"/>
    </w:p>
    <w:p>
      <w:bookmarkStart w:id="8762" w:name="analyst_beliefs_about__1068"/>
      <w:pPr>
        <w:pStyle w:val="Para 01"/>
        <w:keepLines w:val="on"/>
      </w:pPr>
      <w:r>
        <w:t>niềm tin của nhà phân tích về, 1068</w:t>
      </w:r>
      <w:bookmarkEnd w:id="8762"/>
    </w:p>
    <w:p>
      <w:bookmarkStart w:id="8763" w:name="distribution_of_PE_ratios_across"/>
      <w:pPr>
        <w:pStyle w:val="Para 01"/>
        <w:keepLines w:val="on"/>
      </w:pPr>
      <w:r>
        <w:t>phân phối tỷ lệ PE trên các, 534–536</w:t>
      </w:r>
      <w:bookmarkEnd w:id="8763"/>
    </w:p>
    <w:p>
      <w:bookmarkStart w:id="8764" w:name="efficient__9__114"/>
      <w:pPr>
        <w:pStyle w:val="Para 01"/>
        <w:keepLines w:val="on"/>
      </w:pPr>
      <w:r>
        <w:t>hiệu quả, 9, 114</w:t>
      </w:r>
      <w:bookmarkEnd w:id="8764"/>
    </w:p>
    <w:p>
      <w:bookmarkStart w:id="8765" w:name="growth_of__800"/>
      <w:pPr>
        <w:pStyle w:val="Para 01"/>
        <w:keepLines w:val="on"/>
      </w:pPr>
      <w:r>
        <w:t>tăng trưởng của, 800</w:t>
      </w:r>
      <w:bookmarkEnd w:id="8765"/>
    </w:p>
    <w:p>
      <w:bookmarkStart w:id="8766" w:name="PE_ratios_across_countries___546"/>
      <w:pPr>
        <w:pStyle w:val="Para 01"/>
        <w:keepLines w:val="on"/>
      </w:pPr>
      <w:r>
        <w:t>tỷ lệ PE giữa các quốc gia, 546–547</w:t>
      </w:r>
      <w:bookmarkEnd w:id="8766"/>
    </w:p>
    <w:p>
      <w:bookmarkStart w:id="8767" w:name="PE_ratios_across_firms_in__551_5"/>
      <w:pPr>
        <w:pStyle w:val="Para 01"/>
        <w:keepLines w:val="on"/>
      </w:pPr>
      <w:r>
        <w:t>tỷ lệ PE giữa các công ty trong, 551–555</w:t>
      </w:r>
      <w:bookmarkEnd w:id="8767"/>
    </w:p>
    <w:p>
      <w:bookmarkStart w:id="8768" w:name="PE_ratios_across_time_for__543_5"/>
      <w:pPr>
        <w:pStyle w:val="Para 01"/>
        <w:keepLines w:val="on"/>
      </w:pPr>
      <w:r>
        <w:t>tỷ lệ PE qua thời gian đối với, 543–545</w:t>
      </w:r>
      <w:bookmarkEnd w:id="8768"/>
    </w:p>
    <w:p>
      <w:bookmarkStart w:id="8769" w:name="price_to_book_ratio_across__597"/>
      <w:pPr>
        <w:pStyle w:val="Para 01"/>
        <w:keepLines w:val="on"/>
      </w:pPr>
      <w:r>
        <w:t>tỷ lệ giá trên giá trị sổ sách trên các, 597–599</w:t>
      </w:r>
      <w:bookmarkEnd w:id="8769"/>
    </w:p>
    <w:p>
      <w:bookmarkStart w:id="8770" w:name="price_to_book_ratio_for__592"/>
      <w:pPr>
        <w:pStyle w:val="Para 01"/>
        <w:keepLines w:val="on"/>
      </w:pPr>
      <w:r>
        <w:t>tỷ lệ giá trên giá trị sổ sách đối với, 592</w:t>
      </w:r>
      <w:bookmarkEnd w:id="8770"/>
    </w:p>
    <w:p>
      <w:bookmarkStart w:id="8771" w:name="risk_premium_and__181_182"/>
      <w:pPr>
        <w:pStyle w:val="Para 01"/>
        <w:keepLines w:val="on"/>
      </w:pPr>
      <w:r>
        <w:t>phần bù rủi ro và, 181–182</w:t>
      </w:r>
      <w:bookmarkEnd w:id="8771"/>
    </w:p>
    <w:p>
      <w:bookmarkStart w:id="8772" w:name="size_of__330_331"/>
      <w:pPr>
        <w:pStyle w:val="Para 01"/>
        <w:keepLines w:val="on"/>
      </w:pPr>
      <w:r>
        <w:t>quy mô của, 330–331</w:t>
      </w:r>
      <w:bookmarkEnd w:id="8772"/>
    </w:p>
    <w:p>
      <w:bookmarkStart w:id="8773" w:name="Market_share__325_327__330_331"/>
      <w:pPr>
        <w:pStyle w:val="Para 01"/>
        <w:keepLines w:val="on"/>
      </w:pPr>
      <w:r>
        <w:t>Thị phần, 325–327, 330–331, 627</w:t>
      </w:r>
      <w:bookmarkEnd w:id="8773"/>
    </w:p>
    <w:p>
      <w:bookmarkStart w:id="8774" w:name="Market_timers__9"/>
      <w:pPr>
        <w:pStyle w:val="Para 01"/>
        <w:keepLines w:val="on"/>
      </w:pPr>
      <w:r>
        <w:t>Nhà định thời điểm thị trường, 9</w:t>
      </w:r>
      <w:bookmarkEnd w:id="8774"/>
    </w:p>
    <w:p>
      <w:bookmarkStart w:id="8775" w:name="Market_value__32__with_augmented"/>
      <w:pPr>
        <w:pStyle w:val="Para 01"/>
        <w:keepLines w:val="on"/>
      </w:pPr>
      <w:r>
        <w:t>Giá trị thị trường, 32</w:t>
      </w:r>
      <w:bookmarkEnd w:id="8775"/>
    </w:p>
    <w:p>
      <w:bookmarkStart w:id="8776" w:name="with_augmented_dividend_discount"/>
      <w:pPr>
        <w:pStyle w:val="Para 01"/>
        <w:keepLines w:val="on"/>
      </w:pPr>
      <w:r>
        <w:t>với mô hình chiết khấu cổ tức mở rộng, 406–408</w:t>
      </w:r>
      <w:bookmarkEnd w:id="8776"/>
    </w:p>
    <w:p>
      <w:bookmarkStart w:id="8777" w:name="cash_flow_return_on_investment_a_2"/>
      <w:pPr>
        <w:pStyle w:val="Para 01"/>
        <w:keepLines w:val="on"/>
      </w:pPr>
      <w:r>
        <w:t>tỷ suất sinh lời trên vốn đầu tư bằng dòng tiền và, 1028</w:t>
      </w:r>
      <w:bookmarkEnd w:id="8777"/>
    </w:p>
    <w:p>
      <w:bookmarkStart w:id="8778" w:name="economic_value_added_and__1021_1"/>
      <w:pPr>
        <w:pStyle w:val="Para 01"/>
        <w:keepLines w:val="on"/>
      </w:pPr>
      <w:r>
        <w:t>giá trị kinh tế gia tăng và, 1021–1022</w:t>
      </w:r>
      <w:bookmarkEnd w:id="8778"/>
    </w:p>
    <w:p>
      <w:bookmarkStart w:id="8779" w:name="of_equity_and_debt__230"/>
      <w:pPr>
        <w:pStyle w:val="Para 01"/>
        <w:keepLines w:val="on"/>
      </w:pPr>
      <w:r>
        <w:t>của vốn chủ sở hữu và nợ, 230</w:t>
      </w:r>
      <w:bookmarkEnd w:id="8779"/>
    </w:p>
    <w:p>
      <w:bookmarkStart w:id="8780" w:name="weights_of__443_444"/>
      <w:pPr>
        <w:pStyle w:val="Para 01"/>
        <w:keepLines w:val="on"/>
      </w:pPr>
      <w:r>
        <w:t>trọng số của, 443–444</w:t>
      </w:r>
      <w:bookmarkEnd w:id="8780"/>
    </w:p>
    <w:p>
      <w:bookmarkStart w:id="8781" w:name="Market_value_debt_ratio__229_231"/>
      <w:pPr>
        <w:pStyle w:val="Para 01"/>
        <w:keepLines w:val="on"/>
      </w:pPr>
      <w:r>
        <w:t>Tỷ lệ nợ theo giá trị thị trường, 229–231</w:t>
      </w:r>
      <w:bookmarkEnd w:id="8781"/>
    </w:p>
    <w:p>
      <w:bookmarkStart w:id="8782" w:name="Market_value_debt_to_capital_rat"/>
      <w:pPr>
        <w:pStyle w:val="Para 01"/>
        <w:keepLines w:val="on"/>
      </w:pPr>
      <w:r>
        <w:t>Tỷ lệ nợ trên vốn theo giá thị trường, 55</w:t>
      </w:r>
      <w:bookmarkEnd w:id="8782"/>
    </w:p>
    <w:p>
      <w:bookmarkStart w:id="8783" w:name="Market_value_debt_to_equity_rati"/>
      <w:pPr>
        <w:pStyle w:val="Para 01"/>
        <w:keepLines w:val="on"/>
      </w:pPr>
      <w:r>
        <w:t>Tỷ lệ nợ trên vốn chủ sở hữu theo giá thị trường, 55</w:t>
      </w:r>
      <w:bookmarkEnd w:id="8783"/>
    </w:p>
    <w:p>
      <w:bookmarkStart w:id="8784" w:name="Marks_and_Spencer__286__981_982"/>
      <w:pPr>
        <w:pStyle w:val="Para 01"/>
        <w:keepLines w:val="on"/>
      </w:pPr>
      <w:r>
        <w:t>Marks and Spencer, 286, 981–982</w:t>
      </w:r>
      <w:bookmarkEnd w:id="8784"/>
    </w:p>
    <w:p>
      <w:bookmarkStart w:id="8785" w:name="Master_limited_partnerships__MLP"/>
      <w:pPr>
        <w:pStyle w:val="Para 01"/>
        <w:keepLines w:val="on"/>
      </w:pPr>
      <w:r>
        <w:t>Hợp danh hữu hạn niêm yết (MLPs), 863–864</w:t>
      </w:r>
      <w:bookmarkEnd w:id="8785"/>
    </w:p>
    <w:p>
      <w:bookmarkStart w:id="8786" w:name="Matrix_approach__price_to_book_r"/>
      <w:pPr>
        <w:pStyle w:val="Para 01"/>
        <w:keepLines w:val="on"/>
      </w:pPr>
      <w:r>
        <w:t>Phương pháp ma trận</w:t>
      </w:r>
      <w:bookmarkEnd w:id="8786"/>
    </w:p>
    <w:p>
      <w:bookmarkStart w:id="8787" w:name="price_to_book_ratio__593_594"/>
      <w:pPr>
        <w:pStyle w:val="Para 01"/>
        <w:keepLines w:val="on"/>
      </w:pPr>
      <w:r>
        <w:t>tỷ lệ giá trên giá trị sổ sách, 593–594</w:t>
      </w:r>
      <w:bookmarkEnd w:id="8787"/>
    </w:p>
    <w:p>
      <w:bookmarkStart w:id="8788" w:name="revenue_multiples__633_635"/>
      <w:pPr>
        <w:pStyle w:val="Para 01"/>
        <w:keepLines w:val="on"/>
      </w:pPr>
      <w:r>
        <w:t>bội số doanh thu, 633–635</w:t>
      </w:r>
      <w:bookmarkEnd w:id="8788"/>
    </w:p>
    <w:p>
      <w:bookmarkStart w:id="8789" w:name="value_to_book_ratio__607"/>
      <w:pPr>
        <w:pStyle w:val="Para 01"/>
        <w:keepLines w:val="on"/>
      </w:pPr>
      <w:r>
        <w:t>tỷ lệ giá trị trên giá trị sổ sách, 607</w:t>
      </w:r>
      <w:bookmarkEnd w:id="8789"/>
    </w:p>
    <w:p>
      <w:bookmarkStart w:id="8790" w:name="Mature_growth_phase__in_life_cyc"/>
      <w:pPr>
        <w:pStyle w:val="Para 01"/>
        <w:keepLines w:val="on"/>
      </w:pPr>
      <w:r>
        <w:t>Giai đoạn tăng trưởng chín muồi, trong vòng đời, 736</w:t>
      </w:r>
      <w:bookmarkEnd w:id="8790"/>
    </w:p>
    <w:p>
      <w:bookmarkStart w:id="8791" w:name="Mature_stable_phase__in_life_cyc"/>
      <w:pPr>
        <w:pStyle w:val="Para 01"/>
        <w:keepLines w:val="on"/>
      </w:pPr>
      <w:r>
        <w:t>Giai đoạn ổn định chín muồi, trong vòng đời, 736</w:t>
      </w:r>
      <w:bookmarkEnd w:id="8791"/>
    </w:p>
    <w:p>
      <w:bookmarkStart w:id="8792" w:name="Maturity__bond__183__184_debt__9"/>
      <w:pPr>
        <w:pStyle w:val="Para 01"/>
        <w:keepLines w:val="on"/>
      </w:pPr>
      <w:r>
        <w:t>Ngày đáo hạn</w:t>
      </w:r>
      <w:bookmarkEnd w:id="8792"/>
    </w:p>
    <w:p>
      <w:bookmarkStart w:id="8793" w:name="bond__183__184"/>
      <w:pPr>
        <w:pStyle w:val="Para 01"/>
        <w:keepLines w:val="on"/>
      </w:pPr>
      <w:r>
        <w:t>trái phiếu, 183, 184</w:t>
      </w:r>
      <w:bookmarkEnd w:id="8793"/>
    </w:p>
    <w:p>
      <w:bookmarkStart w:id="8794" w:name="debt__968"/>
      <w:pPr>
        <w:pStyle w:val="Para 01"/>
        <w:keepLines w:val="on"/>
      </w:pPr>
      <w:r>
        <w:t>nợ, 968</w:t>
      </w:r>
      <w:bookmarkEnd w:id="8794"/>
    </w:p>
    <w:p>
      <w:bookmarkStart w:id="8795" w:name="McDonalds__870"/>
      <w:pPr>
        <w:pStyle w:val="Para 01"/>
        <w:keepLines w:val="on"/>
      </w:pPr>
      <w:r>
        <w:t>McDonalds, 870</w:t>
      </w:r>
      <w:bookmarkEnd w:id="8795"/>
    </w:p>
    <w:p>
      <w:bookmarkStart w:id="8796" w:name="Memory__365_367"/>
      <w:pPr>
        <w:pStyle w:val="Para 01"/>
        <w:keepLines w:val="on"/>
      </w:pPr>
      <w:r>
        <w:t>Bộ nhớ, 365–367</w:t>
      </w:r>
      <w:bookmarkEnd w:id="8796"/>
    </w:p>
    <w:p>
      <w:bookmarkStart w:id="8797" w:name="Mergers__796__974"/>
      <w:pPr>
        <w:pStyle w:val="Para 01"/>
        <w:keepLines w:val="on"/>
      </w:pPr>
      <w:r>
        <w:t>Sáp nhập, 796, 974</w:t>
      </w:r>
      <w:bookmarkEnd w:id="8797"/>
    </w:p>
    <w:p>
      <w:bookmarkStart w:id="8798" w:name="Meta__948_949"/>
      <w:pPr>
        <w:pStyle w:val="Para 01"/>
        <w:keepLines w:val="on"/>
      </w:pPr>
      <w:r>
        <w:t>Meta, 948–949</w:t>
      </w:r>
      <w:bookmarkEnd w:id="8798"/>
    </w:p>
    <w:p>
      <w:bookmarkStart w:id="8799" w:name="MGM_Resorts__227__724_726"/>
      <w:pPr>
        <w:pStyle w:val="Para 01"/>
        <w:keepLines w:val="on"/>
      </w:pPr>
      <w:r>
        <w:t>MGM Resorts, 227, 724–726</w:t>
      </w:r>
      <w:bookmarkEnd w:id="8799"/>
    </w:p>
    <w:p>
      <w:bookmarkStart w:id="8800" w:name="Microsoft__192_194__203_204__210"/>
      <w:pPr>
        <w:pStyle w:val="Para 01"/>
        <w:keepLines w:val="on"/>
      </w:pPr>
      <w:r>
        <w:t>Microsoft, 192–194, 203–204, 210–211, 213–214, 218–219, 224–225, 228–232, 256, 257, 488–490, 652, 992, 993</w:t>
      </w:r>
      <w:bookmarkEnd w:id="8800"/>
    </w:p>
    <w:p>
      <w:bookmarkStart w:id="8801" w:name="MicroStrategy__258"/>
      <w:pPr>
        <w:pStyle w:val="Para 01"/>
        <w:keepLines w:val="on"/>
      </w:pPr>
      <w:r>
        <w:t>MicroStrategy, 258</w:t>
      </w:r>
      <w:bookmarkEnd w:id="8801"/>
    </w:p>
    <w:p>
      <w:bookmarkStart w:id="8802" w:name="Miller_Modigliani_theorem__996"/>
      <w:pPr>
        <w:pStyle w:val="Para 01"/>
        <w:keepLines w:val="on"/>
      </w:pPr>
      <w:r>
        <w:t>Định lý Miller–Modigliani, 996</w:t>
      </w:r>
      <w:bookmarkEnd w:id="8802"/>
    </w:p>
    <w:p>
      <w:bookmarkStart w:id="8803" w:name="Minority_active_investments__35"/>
      <w:pPr>
        <w:pStyle w:val="Para 01"/>
        <w:keepLines w:val="on"/>
      </w:pPr>
      <w:r>
        <w:t>Đầu tư thiểu số chủ động, 35, 492</w:t>
      </w:r>
      <w:bookmarkEnd w:id="8803"/>
    </w:p>
    <w:p>
      <w:bookmarkStart w:id="8804" w:name="Minority_passive_investments__34"/>
      <w:pPr>
        <w:pStyle w:val="Para 01"/>
        <w:keepLines w:val="on"/>
      </w:pPr>
      <w:r>
        <w:t>Đầu tư thiểu số thụ động, 34–35, 491–492</w:t>
      </w:r>
      <w:bookmarkEnd w:id="8804"/>
    </w:p>
    <w:p>
      <w:bookmarkStart w:id="8805" w:name="MLPs__See_Master_limited_partner"/>
      <w:pPr>
        <w:pStyle w:val="Para 10"/>
        <w:keepLines w:val="on"/>
      </w:pPr>
      <w:r>
        <w:t>MLPs. Xem Hợp danh hữu hạn niêm yết (MLPs)</w:t>
      </w:r>
      <w:bookmarkEnd w:id="8805"/>
    </w:p>
    <w:p>
      <w:bookmarkStart w:id="8806" w:name="MLPs__master_limited_partnership"/>
      <w:pPr>
        <w:pStyle w:val="Para 01"/>
        <w:keepLines w:val="on"/>
      </w:pPr>
      <w:r>
        <w:t>MLPs (hợp danh hữu hạn niêm yết), 863–864</w:t>
      </w:r>
      <w:bookmarkEnd w:id="8806"/>
    </w:p>
    <w:p>
      <w:bookmarkStart w:id="8807" w:name="Modified_multiples__527"/>
      <w:pPr>
        <w:pStyle w:val="Para 01"/>
        <w:keepLines w:val="on"/>
      </w:pPr>
      <w:r>
        <w:t>Các bội số điều chỉnh, 527</w:t>
      </w:r>
      <w:bookmarkEnd w:id="8807"/>
    </w:p>
    <w:p>
      <w:bookmarkStart w:id="8808" w:name="Money_losing_firms__commodity_an"/>
      <w:pPr>
        <w:pStyle w:val="Para 01"/>
        <w:keepLines w:val="on"/>
      </w:pPr>
      <w:r>
        <w:t>Các công ty thua lỗ</w:t>
      </w:r>
      <w:bookmarkEnd w:id="8808"/>
    </w:p>
    <w:p>
      <w:bookmarkStart w:id="8809" w:name="commodity_and_natural_resource_f"/>
      <w:pPr>
        <w:pStyle w:val="Para 01"/>
        <w:keepLines w:val="on"/>
      </w:pPr>
      <w:r>
        <w:t>các công ty hàng hóa và tài nguyên thiên nhiên, 706–710</w:t>
      </w:r>
      <w:bookmarkEnd w:id="8809"/>
    </w:p>
    <w:p>
      <w:bookmarkStart w:id="8810" w:name="DCF_valuation_for__19"/>
      <w:pPr>
        <w:pStyle w:val="Para 01"/>
        <w:keepLines w:val="on"/>
      </w:pPr>
      <w:r>
        <w:t>định giá DCF cho các công ty này, 19</w:t>
      </w:r>
      <w:bookmarkEnd w:id="8810"/>
    </w:p>
    <w:p>
      <w:bookmarkStart w:id="8811" w:name="financial_leverage_for__719_727"/>
      <w:pPr>
        <w:pStyle w:val="Para 01"/>
        <w:keepLines w:val="on"/>
      </w:pPr>
      <w:r>
        <w:t>đòn bẩy tài chính cho các công ty này, 719–727</w:t>
      </w:r>
      <w:bookmarkEnd w:id="8811"/>
    </w:p>
    <w:p>
      <w:bookmarkStart w:id="8812" w:name="with_firm_specific_problems__700"/>
      <w:pPr>
        <w:pStyle w:val="Para 01"/>
        <w:keepLines w:val="on"/>
      </w:pPr>
      <w:r>
        <w:t>với các vấn đề đặc thù của công ty, 700–701</w:t>
      </w:r>
      <w:bookmarkEnd w:id="8812"/>
    </w:p>
    <w:p>
      <w:bookmarkStart w:id="8813" w:name="increasing_expected_growth_at__9"/>
      <w:pPr>
        <w:pStyle w:val="Para 01"/>
        <w:keepLines w:val="on"/>
      </w:pPr>
      <w:r>
        <w:t>tăng trưởng kỳ vọng gia tăng ở các công ty này, 989</w:t>
      </w:r>
      <w:bookmarkEnd w:id="8813"/>
    </w:p>
    <w:p>
      <w:bookmarkStart w:id="8814" w:name="with_infrastructure_investments"/>
      <w:pPr>
        <w:pStyle w:val="Para 01"/>
        <w:keepLines w:val="on"/>
      </w:pPr>
      <w:r>
        <w:t>với các khoản đầu tư hạ tầng, 710–715</w:t>
      </w:r>
      <w:bookmarkEnd w:id="8814"/>
    </w:p>
    <w:p>
      <w:bookmarkStart w:id="8815" w:name="life_cycle_earnings_for__727_728"/>
      <w:pPr>
        <w:pStyle w:val="Para 01"/>
        <w:keepLines w:val="on"/>
      </w:pPr>
      <w:r>
        <w:t>thu nhập theo vòng đời cho các công ty này, 727–728</w:t>
      </w:r>
      <w:bookmarkEnd w:id="8815"/>
    </w:p>
    <w:p>
      <w:bookmarkStart w:id="8816" w:name="with_long_term_problems__715_728"/>
      <w:pPr>
        <w:pStyle w:val="Para 01"/>
        <w:keepLines w:val="on"/>
      </w:pPr>
      <w:r>
        <w:t>với các vấn đề dài hạn, 715–728</w:t>
      </w:r>
      <w:bookmarkEnd w:id="8816"/>
    </w:p>
    <w:p>
      <w:bookmarkStart w:id="8817" w:name="negative_earnings_at__695_699"/>
      <w:pPr>
        <w:pStyle w:val="Para 01"/>
        <w:keepLines w:val="on"/>
      </w:pPr>
      <w:r>
        <w:t>thu nhập âm ở các công ty này, 695–699</w:t>
      </w:r>
      <w:bookmarkEnd w:id="8817"/>
    </w:p>
    <w:p>
      <w:bookmarkStart w:id="8818" w:name="with_operating_problems__716_719"/>
      <w:pPr>
        <w:pStyle w:val="Para 01"/>
        <w:keepLines w:val="on"/>
      </w:pPr>
      <w:r>
        <w:t>với các vấn đề vận hành, 716–719</w:t>
      </w:r>
      <w:bookmarkEnd w:id="8818"/>
    </w:p>
    <w:p>
      <w:bookmarkStart w:id="8819" w:name="with_sector_wide_or_market_drive"/>
      <w:pPr>
        <w:pStyle w:val="Para 01"/>
        <w:keepLines w:val="on"/>
      </w:pPr>
      <w:r>
        <w:t>với các vấn đề toàn ngành hoặc do thị trường chi phối, 702–710</w:t>
      </w:r>
      <w:bookmarkEnd w:id="8819"/>
    </w:p>
    <w:p>
      <w:bookmarkStart w:id="8820" w:name="with_strategic_problems__716_717"/>
      <w:pPr>
        <w:pStyle w:val="Para 01"/>
        <w:keepLines w:val="on"/>
      </w:pPr>
      <w:r>
        <w:t>với các vấn đề chiến lược, 716–717</w:t>
      </w:r>
      <w:bookmarkEnd w:id="8820"/>
    </w:p>
    <w:p>
      <w:bookmarkStart w:id="8821" w:name="with_temporary_problems__700_715"/>
      <w:pPr>
        <w:pStyle w:val="Para 01"/>
        <w:keepLines w:val="on"/>
      </w:pPr>
      <w:r>
        <w:t>với các vấn đề tạm thời, 700–715</w:t>
      </w:r>
      <w:bookmarkEnd w:id="8821"/>
    </w:p>
    <w:p>
      <w:bookmarkStart w:id="8822" w:name="valuation_of__700_728"/>
      <w:pPr>
        <w:pStyle w:val="Para 01"/>
        <w:keepLines w:val="on"/>
      </w:pPr>
      <w:r>
        <w:t>định giá các công ty này, 700–728</w:t>
      </w:r>
      <w:bookmarkEnd w:id="8822"/>
    </w:p>
    <w:p>
      <w:bookmarkStart w:id="8823" w:name="Money_managers__148_151"/>
      <w:pPr>
        <w:pStyle w:val="Para 01"/>
        <w:keepLines w:val="on"/>
      </w:pPr>
      <w:r>
        <w:t>Các nhà quản lý quỹ, 148–151</w:t>
      </w:r>
      <w:bookmarkEnd w:id="8823"/>
    </w:p>
    <w:p>
      <w:bookmarkStart w:id="8824" w:name="Monopolies__franchises_as__870_G"/>
      <w:pPr>
        <w:pStyle w:val="Para 01"/>
        <w:keepLines w:val="on"/>
      </w:pPr>
      <w:r>
        <w:t>Độc quyền</w:t>
      </w:r>
      <w:bookmarkEnd w:id="8824"/>
    </w:p>
    <w:p>
      <w:bookmarkStart w:id="8825" w:name="franchises_as__870"/>
      <w:pPr>
        <w:pStyle w:val="Para 01"/>
        <w:keepLines w:val="on"/>
      </w:pPr>
      <w:r>
        <w:t>nhượng quyền thương mại như là độc quyền, 870</w:t>
      </w:r>
      <w:bookmarkEnd w:id="8825"/>
    </w:p>
    <w:p>
      <w:bookmarkStart w:id="8826" w:name="Gordon_growth_model_for__391_392"/>
      <w:pPr>
        <w:pStyle w:val="Para 01"/>
        <w:keepLines w:val="on"/>
      </w:pPr>
      <w:r>
        <w:t>mô hình tăng trưởng Gordon cho độc quyền, 391–392</w:t>
      </w:r>
      <w:bookmarkEnd w:id="8826"/>
    </w:p>
    <w:p>
      <w:bookmarkStart w:id="8827" w:name="Monte_Carlo_simulations__939__10"/>
      <w:pPr>
        <w:pStyle w:val="Para 01"/>
        <w:keepLines w:val="on"/>
      </w:pPr>
      <w:r>
        <w:t>Mô phỏng Monte Carlo, 939, 1051–1054</w:t>
      </w:r>
      <w:bookmarkEnd w:id="8827"/>
    </w:p>
    <w:p>
      <w:bookmarkStart w:id="8828" w:name="Moody_s_Investor_Services__82"/>
      <w:pPr>
        <w:pStyle w:val="Para 01"/>
        <w:keepLines w:val="on"/>
      </w:pPr>
      <w:r>
        <w:t>Moody’s Investor Services, 82</w:t>
      </w:r>
      <w:bookmarkEnd w:id="8828"/>
    </w:p>
    <w:p>
      <w:bookmarkStart w:id="8829" w:name="MOS__margin_of_safety___1055"/>
      <w:pPr>
        <w:pStyle w:val="Para 01"/>
        <w:keepLines w:val="on"/>
      </w:pPr>
      <w:r>
        <w:t>MOS (biên an toàn), 1055</w:t>
      </w:r>
      <w:bookmarkEnd w:id="8829"/>
    </w:p>
    <w:p>
      <w:bookmarkStart w:id="8830" w:name="Motorola__323"/>
      <w:pPr>
        <w:pStyle w:val="Para 01"/>
        <w:keepLines w:val="on"/>
      </w:pPr>
      <w:r>
        <w:t>Motorola, 323</w:t>
      </w:r>
      <w:bookmarkEnd w:id="8830"/>
    </w:p>
    <w:p>
      <w:bookmarkStart w:id="8831" w:name="MoviePass__949"/>
      <w:pPr>
        <w:pStyle w:val="Para 01"/>
        <w:keepLines w:val="on"/>
      </w:pPr>
      <w:r>
        <w:t>MoviePass, 949</w:t>
      </w:r>
      <w:bookmarkEnd w:id="8831"/>
    </w:p>
    <w:p>
      <w:bookmarkStart w:id="8832" w:name="Multifactor_models__73_74"/>
      <w:pPr>
        <w:pStyle w:val="Para 01"/>
        <w:keepLines w:val="on"/>
      </w:pPr>
      <w:r>
        <w:t>Mô hình đa nhân tố, 73–74</w:t>
      </w:r>
      <w:bookmarkEnd w:id="8832"/>
    </w:p>
    <w:p>
      <w:bookmarkStart w:id="8833" w:name="Multinational_firms__271"/>
      <w:pPr>
        <w:pStyle w:val="Para 01"/>
        <w:keepLines w:val="on"/>
      </w:pPr>
      <w:r>
        <w:t>Các công ty đa quốc gia, 271</w:t>
      </w:r>
      <w:bookmarkEnd w:id="8833"/>
    </w:p>
    <w:p>
      <w:bookmarkStart w:id="8834" w:name="Multiples__See_also_specific_mul"/>
      <w:pPr>
        <w:pStyle w:val="Para 60"/>
        <w:keepLines w:val="on"/>
      </w:pPr>
      <w:r>
        <w:t>Bội số. Xem thêm các bội số cụ thể</w:t>
      </w:r>
      <w:bookmarkEnd w:id="8834"/>
    </w:p>
    <w:p>
      <w:bookmarkStart w:id="8835" w:name="analytical_tests_for__521_525"/>
      <w:pPr>
        <w:pStyle w:val="Para 01"/>
        <w:keepLines w:val="on"/>
      </w:pPr>
      <w:r>
        <w:t>các kiểm định phân tích cho, 521–525</w:t>
      </w:r>
      <w:bookmarkEnd w:id="8835"/>
    </w:p>
    <w:p>
      <w:bookmarkStart w:id="8836" w:name="applicability_and_limitations_of_1"/>
      <w:pPr>
        <w:pStyle w:val="Para 01"/>
        <w:keepLines w:val="on"/>
      </w:pPr>
      <w:r>
        <w:t>khả năng áp dụng và hạn chế của, 23–24</w:t>
      </w:r>
      <w:bookmarkEnd w:id="8836"/>
    </w:p>
    <w:p>
      <w:bookmarkStart w:id="8837" w:name="application_tests_for__525_530"/>
      <w:pPr>
        <w:pStyle w:val="Para 01"/>
        <w:keepLines w:val="on"/>
      </w:pPr>
      <w:r>
        <w:t>các kiểm định ứng dụng cho, 525–530</w:t>
      </w:r>
      <w:bookmarkEnd w:id="8837"/>
    </w:p>
    <w:p>
      <w:bookmarkStart w:id="8838" w:name="book_value__517__581_610"/>
      <w:pPr>
        <w:pStyle w:val="Para 01"/>
        <w:keepLines w:val="on"/>
      </w:pPr>
      <w:r>
        <w:t>giá trị sổ sách, 517, 581–610</w:t>
      </w:r>
      <w:bookmarkEnd w:id="8838"/>
    </w:p>
    <w:p>
      <w:bookmarkStart w:id="8839" w:name="companion_variables_and__623_624"/>
      <w:pPr>
        <w:pStyle w:val="Para 01"/>
        <w:keepLines w:val="on"/>
      </w:pPr>
      <w:r>
        <w:t>biến số đồng hành và, 623–624</w:t>
      </w:r>
      <w:bookmarkEnd w:id="8839"/>
    </w:p>
    <w:p>
      <w:bookmarkStart w:id="8840" w:name="conventional_approach_to_selecti"/>
      <w:pPr>
        <w:pStyle w:val="Para 01"/>
        <w:keepLines w:val="on"/>
      </w:pPr>
      <w:r>
        <w:t>cách tiếp cận thông thường để lựa chọn, 1075</w:t>
      </w:r>
      <w:bookmarkEnd w:id="8840"/>
    </w:p>
    <w:p>
      <w:bookmarkStart w:id="8841" w:name="definitional_tests_for__518_520"/>
      <w:pPr>
        <w:pStyle w:val="Para 01"/>
        <w:keepLines w:val="on"/>
      </w:pPr>
      <w:r>
        <w:t>các kiểm định định nghĩa cho, 518–520</w:t>
      </w:r>
      <w:bookmarkEnd w:id="8841"/>
    </w:p>
    <w:p>
      <w:bookmarkStart w:id="8842" w:name="descriptional_tests_for__520_521"/>
      <w:pPr>
        <w:pStyle w:val="Para 01"/>
        <w:keepLines w:val="on"/>
      </w:pPr>
      <w:r>
        <w:t>các kiểm định mô tả cho, 520–521</w:t>
      </w:r>
      <w:bookmarkEnd w:id="8842"/>
    </w:p>
    <w:p>
      <w:bookmarkStart w:id="8843" w:name="earnings__516_517__533_578"/>
      <w:pPr>
        <w:pStyle w:val="Para 01"/>
        <w:keepLines w:val="on"/>
      </w:pPr>
      <w:r>
        <w:t>thu nhập, 516–517, 533–578</w:t>
      </w:r>
      <w:bookmarkEnd w:id="8843"/>
    </w:p>
    <w:p>
      <w:bookmarkStart w:id="8844" w:name="enterprise_value__524"/>
      <w:pPr>
        <w:pStyle w:val="Para 01"/>
        <w:keepLines w:val="on"/>
      </w:pPr>
      <w:r>
        <w:t>giá trị doanh nghiệp, 524</w:t>
      </w:r>
      <w:bookmarkEnd w:id="8844"/>
    </w:p>
    <w:p>
      <w:bookmarkStart w:id="8845" w:name="estimating_terminal_value_with"/>
      <w:pPr>
        <w:pStyle w:val="Para 01"/>
        <w:keepLines w:val="on"/>
      </w:pPr>
      <w:r>
        <w:t>ước tính giá trị cuối kỳ bằng, 343</w:t>
      </w:r>
      <w:bookmarkEnd w:id="8845"/>
    </w:p>
    <w:p>
      <w:bookmarkStart w:id="8846" w:name="modified__527"/>
      <w:pPr>
        <w:pStyle w:val="Para 01"/>
        <w:keepLines w:val="on"/>
      </w:pPr>
      <w:r>
        <w:t>đã điều chỉnh, 527</w:t>
      </w:r>
      <w:bookmarkEnd w:id="8846"/>
    </w:p>
    <w:p>
      <w:bookmarkStart w:id="8848" w:name="normalized_earnings_and__716"/>
      <w:pPr>
        <w:pStyle w:val="Para 01"/>
        <w:keepLines w:val="on"/>
      </w:pPr>
      <w:r>
        <w:t>thu nhập chuẩn hóa và, 716</w:t>
      </w:r>
      <w:bookmarkEnd w:id="8848"/>
    </w:p>
    <w:p>
      <w:bookmarkStart w:id="8849" w:name="private_transaction__789_790"/>
      <w:pPr>
        <w:pStyle w:val="Para 01"/>
        <w:keepLines w:val="on"/>
      </w:pPr>
      <w:r>
        <w:t>giao dịch tư nhân, 789–790</w:t>
      </w:r>
      <w:bookmarkEnd w:id="8849"/>
    </w:p>
    <w:p>
      <w:bookmarkStart w:id="8850" w:name="public__791_792"/>
      <w:pPr>
        <w:pStyle w:val="Para 01"/>
        <w:keepLines w:val="on"/>
      </w:pPr>
      <w:r>
        <w:t>công khai, 791–792</w:t>
      </w:r>
      <w:bookmarkEnd w:id="8850"/>
    </w:p>
    <w:p>
      <w:bookmarkStart w:id="8851" w:name="in_relative_valuation__21__516_5"/>
      <w:pPr>
        <w:pStyle w:val="Para 01"/>
        <w:keepLines w:val="on"/>
      </w:pPr>
      <w:r>
        <w:t>trong định giá tương đối, 21, 516–530</w:t>
      </w:r>
      <w:bookmarkEnd w:id="8851"/>
    </w:p>
    <w:p>
      <w:bookmarkStart w:id="8852" w:name="replacement_value__517"/>
      <w:pPr>
        <w:pStyle w:val="Para 01"/>
        <w:keepLines w:val="on"/>
      </w:pPr>
      <w:r>
        <w:t>giá trị thay thế, 517</w:t>
      </w:r>
      <w:bookmarkEnd w:id="8852"/>
    </w:p>
    <w:p>
      <w:bookmarkStart w:id="8853" w:name="revenue__517__613_644"/>
      <w:pPr>
        <w:pStyle w:val="Para 01"/>
        <w:keepLines w:val="on"/>
      </w:pPr>
      <w:r>
        <w:t>doanh thu, 517, 613–644</w:t>
      </w:r>
      <w:bookmarkEnd w:id="8853"/>
    </w:p>
    <w:p>
      <w:bookmarkStart w:id="8854" w:name="sector_specific__517_518__644_65"/>
      <w:pPr>
        <w:pStyle w:val="Para 01"/>
        <w:keepLines w:val="on"/>
      </w:pPr>
      <w:r>
        <w:t>đặc thù theo ngành, 517–518, 644–653</w:t>
      </w:r>
      <w:bookmarkEnd w:id="8854"/>
    </w:p>
    <w:p>
      <w:bookmarkStart w:id="8855" w:name="selection_factors_for__1074_1076"/>
      <w:pPr>
        <w:pStyle w:val="Para 01"/>
        <w:keepLines w:val="on"/>
      </w:pPr>
      <w:r>
        <w:t>các yếu tố lựa chọn cho, 1074–1076</w:t>
      </w:r>
      <w:bookmarkEnd w:id="8855"/>
    </w:p>
    <w:p>
      <w:bookmarkStart w:id="8856" w:name="steps_for_use_of__518_530"/>
      <w:pPr>
        <w:pStyle w:val="Para 01"/>
        <w:keepLines w:val="on"/>
      </w:pPr>
      <w:r>
        <w:t>các bước sử dụng, 518–530</w:t>
      </w:r>
      <w:bookmarkEnd w:id="8856"/>
    </w:p>
    <w:p>
      <w:bookmarkStart w:id="8857" w:name="in_takeover_valuation__817__819"/>
      <w:pPr>
        <w:pStyle w:val="Para 01"/>
        <w:keepLines w:val="on"/>
      </w:pPr>
      <w:r>
        <w:t>trong định giá thâu tóm, 817, 819</w:t>
      </w:r>
      <w:bookmarkEnd w:id="8857"/>
    </w:p>
    <w:p>
      <w:bookmarkStart w:id="8858" w:name="value__577"/>
      <w:pPr>
        <w:pStyle w:val="Para 01"/>
        <w:keepLines w:val="on"/>
      </w:pPr>
      <w:r>
        <w:t>giá trị, 577</w:t>
      </w:r>
      <w:bookmarkEnd w:id="8858"/>
    </w:p>
    <w:p>
      <w:bookmarkStart w:id="8859" w:name="to_value_financial_service_firms"/>
      <w:pPr>
        <w:pStyle w:val="Para 01"/>
        <w:keepLines w:val="on"/>
      </w:pPr>
      <w:r>
        <w:t>định giá các công ty dịch vụ tài chính, 675–680</w:t>
      </w:r>
      <w:bookmarkEnd w:id="8859"/>
    </w:p>
    <w:p>
      <w:bookmarkStart w:id="8860" w:name="Multiple_scenario_analysis__1034"/>
      <w:pPr>
        <w:pStyle w:val="Para 01"/>
        <w:keepLines w:val="on"/>
      </w:pPr>
      <w:r>
        <w:t>Phân tích đa kịch bản (Multiple-scenario analysis), 1034–1036</w:t>
      </w:r>
      <w:bookmarkEnd w:id="8860"/>
    </w:p>
    <w:p>
      <w:bookmarkStart w:id="8861" w:name="Multistage_projects_and_investme"/>
      <w:pPr>
        <w:pStyle w:val="Para 01"/>
        <w:keepLines w:val="on"/>
      </w:pPr>
      <w:r>
        <w:t>Các dự án và khoản đầu tư nhiều giai đoạn, 941–942</w:t>
      </w:r>
      <w:bookmarkEnd w:id="8861"/>
    </w:p>
    <w:p>
      <w:bookmarkStart w:id="8862" w:name="Mutual_fund_manager_peformance"/>
      <w:pPr>
        <w:pStyle w:val="Para 01"/>
        <w:keepLines w:val="on"/>
      </w:pPr>
      <w:r>
        <w:t>Hiệu suất của người quản lý quỹ tương hỗ, 148, 149</w:t>
      </w:r>
      <w:bookmarkEnd w:id="8862"/>
    </w:p>
    <w:p>
      <w:bookmarkStart w:id="8863" w:name="N"/>
      <w:bookmarkStart w:id="8864" w:name="N___National_Basketball_Associat"/>
      <w:pPr>
        <w:keepNext/>
        <w:pStyle w:val="Para 50"/>
        <w:keepLines w:val="on"/>
      </w:pPr>
      <w:r>
        <w:t>N</w:t>
      </w:r>
      <w:bookmarkEnd w:id="8863"/>
      <w:bookmarkEnd w:id="8864"/>
    </w:p>
    <w:p>
      <w:bookmarkStart w:id="8865" w:name="National_Basketball_Association"/>
      <w:pPr>
        <w:pStyle w:val="Para 01"/>
        <w:keepLines w:val="on"/>
      </w:pPr>
      <w:r>
        <w:t>Hiệp hội Bóng rổ Quốc gia (NBA), 902–903</w:t>
      </w:r>
      <w:bookmarkEnd w:id="8865"/>
    </w:p>
    <w:p>
      <w:bookmarkStart w:id="8866" w:name="National_Council_of_Real_Estate"/>
      <w:pPr>
        <w:pStyle w:val="Para 01"/>
        <w:keepLines w:val="on"/>
      </w:pPr>
      <w:r>
        <w:t>Hội đồng Quốc gia về các Tổ chức Đầu tư Bất động sản Ủy thác (NCREIF), 839, 840</w:t>
      </w:r>
      <w:bookmarkEnd w:id="8866"/>
    </w:p>
    <w:p>
      <w:bookmarkStart w:id="8867" w:name="National_Football_League__NFL"/>
      <w:pPr>
        <w:pStyle w:val="Para 01"/>
        <w:keepLines w:val="on"/>
      </w:pPr>
      <w:r>
        <w:t>Liên đoàn Bóng bầu dục Quốc gia (NFL), 899–901</w:t>
      </w:r>
      <w:bookmarkEnd w:id="8867"/>
    </w:p>
    <w:p>
      <w:bookmarkStart w:id="8868" w:name="Nationalization__threat_of__1036"/>
      <w:pPr>
        <w:pStyle w:val="Para 01"/>
        <w:keepLines w:val="on"/>
      </w:pPr>
      <w:r>
        <w:t>Quốc hữu hóa, nguy cơ bị, 1036–1037</w:t>
      </w:r>
      <w:bookmarkEnd w:id="8868"/>
    </w:p>
    <w:p>
      <w:bookmarkStart w:id="8869" w:name="Natural_disaster__383"/>
      <w:pPr>
        <w:pStyle w:val="Para 01"/>
        <w:keepLines w:val="on"/>
      </w:pPr>
      <w:r>
        <w:t>Thiên tai, 383</w:t>
      </w:r>
      <w:bookmarkEnd w:id="8869"/>
    </w:p>
    <w:p>
      <w:bookmarkStart w:id="8870" w:name="Natural_resource_firms__706_707"/>
      <w:pPr>
        <w:pStyle w:val="Para 01"/>
        <w:keepLines w:val="on"/>
      </w:pPr>
      <w:r>
        <w:t>Các công ty tài nguyên thiên nhiên, 706–707, 928–931</w:t>
      </w:r>
      <w:bookmarkEnd w:id="8870"/>
    </w:p>
    <w:p>
      <w:bookmarkStart w:id="8871" w:name="Natural_resource_options__price"/>
      <w:pPr>
        <w:pStyle w:val="Para 01"/>
        <w:keepLines w:val="on"/>
      </w:pPr>
      <w:r>
        <w:t>Quyền chọn tài nguyên thiên nhiên</w:t>
      </w:r>
      <w:bookmarkEnd w:id="8871"/>
    </w:p>
    <w:p>
      <w:bookmarkStart w:id="8872" w:name="price_volatility_and__931"/>
      <w:pPr>
        <w:pStyle w:val="Para 01"/>
        <w:keepLines w:val="on"/>
      </w:pPr>
      <w:r>
        <w:t>biến động giá và, 931</w:t>
      </w:r>
      <w:bookmarkEnd w:id="8872"/>
    </w:p>
    <w:p>
      <w:bookmarkStart w:id="8873" w:name="uncertainty_and__928"/>
      <w:pPr>
        <w:pStyle w:val="Para 01"/>
        <w:keepLines w:val="on"/>
      </w:pPr>
      <w:r>
        <w:t>sự không chắc chắn và, 928</w:t>
      </w:r>
      <w:bookmarkEnd w:id="8873"/>
    </w:p>
    <w:p>
      <w:bookmarkStart w:id="8874" w:name="undeveloped_reserves_as__925"/>
      <w:pPr>
        <w:pStyle w:val="Para 01"/>
        <w:keepLines w:val="on"/>
      </w:pPr>
      <w:r>
        <w:t>trữ lượng chưa khai thác như là, 925</w:t>
      </w:r>
      <w:bookmarkEnd w:id="8874"/>
    </w:p>
    <w:p>
      <w:bookmarkStart w:id="8875" w:name="valuation_inputs__926_927"/>
      <w:pPr>
        <w:pStyle w:val="Para 01"/>
        <w:keepLines w:val="on"/>
      </w:pPr>
      <w:r>
        <w:t>các đầu vào định giá, 926–927</w:t>
      </w:r>
      <w:bookmarkEnd w:id="8875"/>
    </w:p>
    <w:p>
      <w:bookmarkStart w:id="8876" w:name="NBA__National_Basketball_Associa"/>
      <w:pPr>
        <w:pStyle w:val="Para 01"/>
        <w:keepLines w:val="on"/>
      </w:pPr>
      <w:r>
        <w:t>NBA (Hiệp hội Bóng rổ Quốc gia), 902–903</w:t>
      </w:r>
      <w:bookmarkEnd w:id="8876"/>
    </w:p>
    <w:p>
      <w:bookmarkStart w:id="8877" w:name="NCR__258n__797"/>
      <w:pPr>
        <w:pStyle w:val="Para 01"/>
        <w:keepLines w:val="on"/>
      </w:pPr>
      <w:r>
        <w:t>NCR, 258n, 797</w:t>
      </w:r>
      <w:bookmarkEnd w:id="8877"/>
    </w:p>
    <w:p>
      <w:bookmarkStart w:id="8878" w:name="NCREIF__National_Council_of_Real"/>
      <w:pPr>
        <w:pStyle w:val="Para 01"/>
        <w:keepLines w:val="on"/>
      </w:pPr>
      <w:r>
        <w:t>NCREIF (Hội đồng Quốc gia về các Tổ chức Đầu tư Bất động sản Ủy thác), 839, 840</w:t>
      </w:r>
      <w:bookmarkEnd w:id="8878"/>
    </w:p>
    <w:p>
      <w:bookmarkStart w:id="8879" w:name="Near_cash_investments__481_486"/>
      <w:pPr>
        <w:pStyle w:val="Para 01"/>
        <w:keepLines w:val="on"/>
      </w:pPr>
      <w:r>
        <w:t>Các khoản đầu tư gần như tiền mặt, 481–486</w:t>
      </w:r>
      <w:bookmarkEnd w:id="8879"/>
    </w:p>
    <w:p>
      <w:bookmarkStart w:id="8880" w:name="Negative_book_value_for_equity"/>
      <w:pPr>
        <w:pStyle w:val="Para 01"/>
        <w:keepLines w:val="on"/>
      </w:pPr>
      <w:r>
        <w:t>Giá trị sổ sách âm của vốn chủ sở hữu, 1056</w:t>
      </w:r>
      <w:bookmarkEnd w:id="8880"/>
    </w:p>
    <w:p>
      <w:bookmarkStart w:id="8881" w:name="Negative_earnings__causes_of__69"/>
      <w:pPr>
        <w:pStyle w:val="Para 01"/>
        <w:keepLines w:val="on"/>
      </w:pPr>
      <w:r>
        <w:t>Thu nhập âm</w:t>
      </w:r>
      <w:bookmarkEnd w:id="8881"/>
    </w:p>
    <w:p>
      <w:bookmarkStart w:id="8882" w:name="causes_of__697_699"/>
      <w:pPr>
        <w:pStyle w:val="Para 01"/>
        <w:keepLines w:val="on"/>
      </w:pPr>
      <w:r>
        <w:t>nguyên nhân của, 697–699</w:t>
      </w:r>
      <w:bookmarkEnd w:id="8882"/>
    </w:p>
    <w:p>
      <w:bookmarkStart w:id="8883" w:name="consequences_of__696_697"/>
      <w:pPr>
        <w:pStyle w:val="Para 01"/>
        <w:keepLines w:val="on"/>
      </w:pPr>
      <w:r>
        <w:t>hậu quả của, 696–697</w:t>
      </w:r>
      <w:bookmarkEnd w:id="8883"/>
    </w:p>
    <w:p>
      <w:bookmarkStart w:id="8884" w:name="historical_growth_and__300_301"/>
      <w:pPr>
        <w:pStyle w:val="Para 01"/>
        <w:keepLines w:val="on"/>
      </w:pPr>
      <w:r>
        <w:t>Tăng trưởng lịch sử và, 300–301</w:t>
      </w:r>
      <w:bookmarkEnd w:id="8884"/>
    </w:p>
    <w:p>
      <w:bookmarkStart w:id="8885" w:name="value_enhancement_in_firms_with"/>
      <w:pPr>
        <w:pStyle w:val="Para 01"/>
        <w:keepLines w:val="on"/>
      </w:pPr>
      <w:r>
        <w:t>gia tăng giá trị ở các công ty có, 989</w:t>
      </w:r>
      <w:bookmarkEnd w:id="8885"/>
    </w:p>
    <w:p>
      <w:bookmarkStart w:id="8886" w:name="Negative_FCFE__427_428"/>
      <w:pPr>
        <w:pStyle w:val="Para 01"/>
        <w:keepLines w:val="on"/>
      </w:pPr>
      <w:r>
        <w:t>FCFE âm, 427–428</w:t>
      </w:r>
      <w:bookmarkEnd w:id="8886"/>
    </w:p>
    <w:p>
      <w:bookmarkStart w:id="8887" w:name="Negative_working_capital__288_28"/>
      <w:pPr>
        <w:pStyle w:val="Para 01"/>
        <w:keepLines w:val="on"/>
      </w:pPr>
      <w:r>
        <w:t>Vốn lưu động âm, 288–289</w:t>
      </w:r>
      <w:bookmarkEnd w:id="8887"/>
    </w:p>
    <w:p>
      <w:bookmarkStart w:id="8888" w:name="Nestle__314__419_422__589"/>
      <w:pPr>
        <w:pStyle w:val="Para 01"/>
        <w:keepLines w:val="on"/>
      </w:pPr>
      <w:r>
        <w:t>Nestlé, 314, 419–422, 589</w:t>
      </w:r>
      <w:bookmarkEnd w:id="8888"/>
    </w:p>
    <w:p>
      <w:bookmarkStart w:id="8889" w:name="Net_capital_expenditures__acquis"/>
      <w:pPr>
        <w:pStyle w:val="Para 01"/>
        <w:keepLines w:val="on"/>
      </w:pPr>
      <w:r>
        <w:t>Chi tiêu vốn ròng</w:t>
      </w:r>
      <w:bookmarkEnd w:id="8889"/>
    </w:p>
    <w:p>
      <w:bookmarkStart w:id="8890" w:name="acquisitions_and__282_283"/>
      <w:pPr>
        <w:pStyle w:val="Para 01"/>
        <w:keepLines w:val="on"/>
      </w:pPr>
      <w:r>
        <w:t>mua lại và, 282–283</w:t>
      </w:r>
      <w:bookmarkEnd w:id="8890"/>
    </w:p>
    <w:p>
      <w:bookmarkStart w:id="8891" w:name="estimation_of__279_284"/>
      <w:pPr>
        <w:pStyle w:val="Para 01"/>
        <w:keepLines w:val="on"/>
      </w:pPr>
      <w:r>
        <w:t>ước tính, 279–284</w:t>
      </w:r>
      <w:bookmarkEnd w:id="8891"/>
    </w:p>
    <w:p>
      <w:bookmarkStart w:id="8892" w:name="smoothing__279_281"/>
      <w:pPr>
        <w:pStyle w:val="Para 01"/>
        <w:keepLines w:val="on"/>
      </w:pPr>
      <w:r>
        <w:t>làm mượt, 279–281</w:t>
      </w:r>
      <w:bookmarkEnd w:id="8892"/>
    </w:p>
    <w:p>
      <w:bookmarkStart w:id="8893" w:name="treated_as_operating_expenses__2"/>
      <w:pPr>
        <w:pStyle w:val="Para 01"/>
        <w:keepLines w:val="on"/>
      </w:pPr>
      <w:r>
        <w:t>được xem như chi phí hoạt động, 281–282</w:t>
      </w:r>
      <w:bookmarkEnd w:id="8893"/>
    </w:p>
    <w:p>
      <w:bookmarkStart w:id="8894" w:name="value_enhancement_and__984"/>
      <w:pPr>
        <w:pStyle w:val="Para 01"/>
        <w:keepLines w:val="on"/>
      </w:pPr>
      <w:r>
        <w:t>gia tăng giá trị và, 984</w:t>
      </w:r>
      <w:bookmarkEnd w:id="8894"/>
    </w:p>
    <w:p>
      <w:bookmarkStart w:id="8895" w:name="Net_debt__231__450_451"/>
      <w:pPr>
        <w:pStyle w:val="Para 01"/>
        <w:keepLines w:val="on"/>
      </w:pPr>
      <w:r>
        <w:t>Nợ ròng, 231, 450–451</w:t>
      </w:r>
      <w:bookmarkEnd w:id="8895"/>
    </w:p>
    <w:p>
      <w:bookmarkStart w:id="8896" w:name="Netflix__648_652__949"/>
      <w:pPr>
        <w:pStyle w:val="Para 01"/>
        <w:keepLines w:val="on"/>
      </w:pPr>
      <w:r>
        <w:t>Netflix, 648–652, 949</w:t>
      </w:r>
      <w:bookmarkEnd w:id="8896"/>
    </w:p>
    <w:p>
      <w:bookmarkStart w:id="8897" w:name="Net_income__growth_in__313_314_i"/>
      <w:pPr>
        <w:pStyle w:val="Para 01"/>
        <w:keepLines w:val="on"/>
      </w:pPr>
      <w:r>
        <w:t>Thu nhập ròng</w:t>
      </w:r>
      <w:bookmarkEnd w:id="8897"/>
    </w:p>
    <w:p>
      <w:bookmarkStart w:id="8898" w:name="growth_in__313_314"/>
      <w:pPr>
        <w:pStyle w:val="Para 01"/>
        <w:keepLines w:val="on"/>
      </w:pPr>
      <w:r>
        <w:t>tăng trưởng của, 313–314</w:t>
      </w:r>
      <w:bookmarkEnd w:id="8898"/>
    </w:p>
    <w:p>
      <w:bookmarkStart w:id="8899" w:name="in_private_firms__770_771"/>
      <w:pPr>
        <w:pStyle w:val="Para 01"/>
        <w:keepLines w:val="on"/>
      </w:pPr>
      <w:r>
        <w:t>ở các công ty tư nhân, 770–771</w:t>
      </w:r>
      <w:bookmarkEnd w:id="8899"/>
    </w:p>
    <w:p>
      <w:bookmarkStart w:id="8900" w:name="training_employee_development_ex"/>
      <w:pPr>
        <w:pStyle w:val="Para 01"/>
        <w:keepLines w:val="on"/>
      </w:pPr>
      <w:r>
        <w:t>chi phí đào tạo/phát triển nhân viên và, 668</w:t>
      </w:r>
      <w:bookmarkEnd w:id="8900"/>
    </w:p>
    <w:p>
      <w:bookmarkStart w:id="8901" w:name="Net_operating_losses__NOLs___274"/>
      <w:pPr>
        <w:pStyle w:val="Para 01"/>
        <w:keepLines w:val="on"/>
      </w:pPr>
      <w:r>
        <w:t>Lỗ hoạt động ròng (NOLs), 274–275</w:t>
      </w:r>
      <w:bookmarkEnd w:id="8901"/>
    </w:p>
    <w:p>
      <w:bookmarkStart w:id="8902" w:name="Net_present_value__NPV___economi"/>
      <w:pPr>
        <w:pStyle w:val="Para 01"/>
        <w:keepLines w:val="on"/>
      </w:pPr>
      <w:r>
        <w:t>Giá trị hiện tại ròng (NPV)</w:t>
      </w:r>
      <w:bookmarkEnd w:id="8902"/>
    </w:p>
    <w:p>
      <w:bookmarkStart w:id="8903" w:name="economic_value_added_and__1009_1"/>
      <w:pPr>
        <w:pStyle w:val="Para 01"/>
        <w:keepLines w:val="on"/>
      </w:pPr>
      <w:r>
        <w:t>giá trị kinh tế gia tăng và, 1009–1010</w:t>
      </w:r>
      <w:bookmarkEnd w:id="8903"/>
    </w:p>
    <w:p>
      <w:bookmarkStart w:id="8904" w:name="patent_value_vs___921"/>
      <w:pPr>
        <w:pStyle w:val="Para 01"/>
        <w:keepLines w:val="on"/>
      </w:pPr>
      <w:r>
        <w:t>giá trị bằng sáng chế so với, 921</w:t>
      </w:r>
      <w:bookmarkEnd w:id="8904"/>
    </w:p>
    <w:p>
      <w:bookmarkStart w:id="8905" w:name="real_option_valuations_and__956"/>
      <w:pPr>
        <w:pStyle w:val="Para 01"/>
        <w:keepLines w:val="on"/>
      </w:pPr>
      <w:r>
        <w:t>định giá quyền chọn thực và, 956</w:t>
      </w:r>
      <w:bookmarkEnd w:id="8905"/>
    </w:p>
    <w:p>
      <w:bookmarkStart w:id="8906" w:name="Net_profit_margin__617"/>
      <w:pPr>
        <w:pStyle w:val="Para 01"/>
        <w:keepLines w:val="on"/>
      </w:pPr>
      <w:r>
        <w:t>Biên lợi nhuận ròng, 617</w:t>
      </w:r>
      <w:bookmarkEnd w:id="8906"/>
    </w:p>
    <w:p>
      <w:bookmarkStart w:id="8907" w:name="Networking_benefits__992"/>
      <w:pPr>
        <w:pStyle w:val="Para 01"/>
        <w:keepLines w:val="on"/>
      </w:pPr>
      <w:r>
        <w:t>Lợi ích từ mạng lưới quan hệ, 992</w:t>
      </w:r>
      <w:bookmarkEnd w:id="8907"/>
    </w:p>
    <w:p>
      <w:bookmarkStart w:id="8908" w:name="New_subscribers__valuing__650__6"/>
      <w:pPr>
        <w:pStyle w:val="Para 01"/>
        <w:keepLines w:val="on"/>
      </w:pPr>
      <w:r>
        <w:t>Người đăng ký mới, định giá, 650, 651</w:t>
      </w:r>
      <w:bookmarkEnd w:id="8908"/>
    </w:p>
    <w:p>
      <w:bookmarkStart w:id="8909" w:name="New_York_City_Cab_Medallion__870"/>
      <w:pPr>
        <w:pStyle w:val="Para 01"/>
        <w:keepLines w:val="on"/>
      </w:pPr>
      <w:r>
        <w:t>New York City Cab Medallion, 870–875</w:t>
      </w:r>
      <w:bookmarkEnd w:id="8909"/>
    </w:p>
    <w:p>
      <w:bookmarkStart w:id="8910" w:name="NFL__National_Football_League"/>
      <w:pPr>
        <w:pStyle w:val="Para 01"/>
        <w:keepLines w:val="on"/>
      </w:pPr>
      <w:r>
        <w:t>NFL (National Football League), 899–901</w:t>
      </w:r>
      <w:bookmarkEnd w:id="8910"/>
    </w:p>
    <w:p>
      <w:bookmarkStart w:id="8911" w:name="NFTs__non_fungible_tokens___896"/>
      <w:pPr>
        <w:pStyle w:val="Para 01"/>
        <w:keepLines w:val="on"/>
      </w:pPr>
      <w:r>
        <w:t>NFT (token không thể thay thế), 896–897</w:t>
      </w:r>
      <w:bookmarkEnd w:id="8911"/>
    </w:p>
    <w:p>
      <w:bookmarkStart w:id="8912" w:name="Nike__598_599"/>
      <w:pPr>
        <w:pStyle w:val="Para 01"/>
        <w:keepLines w:val="on"/>
      </w:pPr>
      <w:r>
        <w:t>Nike, 598–599</w:t>
      </w:r>
      <w:bookmarkEnd w:id="8912"/>
    </w:p>
    <w:p>
      <w:bookmarkStart w:id="8913" w:name="Nokia__196_197"/>
      <w:pPr>
        <w:pStyle w:val="Para 01"/>
        <w:keepLines w:val="on"/>
      </w:pPr>
      <w:r>
        <w:t>Nokia, 196–197</w:t>
      </w:r>
      <w:bookmarkEnd w:id="8913"/>
    </w:p>
    <w:p>
      <w:bookmarkStart w:id="8914" w:name="NOLs__net_operating_losses___274"/>
      <w:pPr>
        <w:pStyle w:val="Para 01"/>
        <w:keepLines w:val="on"/>
      </w:pPr>
      <w:r>
        <w:t>NOL (lỗ hoạt động thuần), 274–275</w:t>
      </w:r>
      <w:bookmarkEnd w:id="8914"/>
    </w:p>
    <w:p>
      <w:bookmarkStart w:id="8915" w:name="Nominal_risk_free_rates__159_160"/>
      <w:pPr>
        <w:pStyle w:val="Para 01"/>
        <w:keepLines w:val="on"/>
      </w:pPr>
      <w:r>
        <w:t>Lãi suất phi rủi ro danh nghĩa, 159–160</w:t>
      </w:r>
      <w:bookmarkEnd w:id="8915"/>
    </w:p>
    <w:p>
      <w:bookmarkStart w:id="8916" w:name="Non_cash_flow_producing_assets"/>
      <w:pPr>
        <w:pStyle w:val="Para 01"/>
        <w:keepLines w:val="on"/>
      </w:pPr>
      <w:r>
        <w:t>Tài sản không tạo ra dòng tiền, 883</w:t>
      </w:r>
      <w:bookmarkEnd w:id="8916"/>
    </w:p>
    <w:p>
      <w:bookmarkStart w:id="8917" w:name="Non_cash_price_to_book_ratio__60"/>
      <w:pPr>
        <w:pStyle w:val="Para 01"/>
        <w:keepLines w:val="on"/>
      </w:pPr>
      <w:r>
        <w:t>Tỷ lệ giá trên giá trị sổ sách phi tiền mặt, 601</w:t>
      </w:r>
      <w:bookmarkEnd w:id="8917"/>
    </w:p>
    <w:p>
      <w:bookmarkStart w:id="8918" w:name="Noncash_return_on_equity__49"/>
      <w:pPr>
        <w:pStyle w:val="Para 01"/>
        <w:keepLines w:val="on"/>
      </w:pPr>
      <w:r>
        <w:t>Lợi nhuận trên vốn chủ sở hữu phi tiền mặt, 49</w:t>
      </w:r>
      <w:bookmarkEnd w:id="8918"/>
    </w:p>
    <w:p>
      <w:bookmarkStart w:id="8919" w:name="Noncash_working_capital__expecte"/>
      <w:pPr>
        <w:pStyle w:val="Para 01"/>
        <w:keepLines w:val="on"/>
      </w:pPr>
      <w:r>
        <w:t>Vốn lưu động phi tiền mặt</w:t>
      </w:r>
      <w:bookmarkEnd w:id="8919"/>
    </w:p>
    <w:p>
      <w:bookmarkStart w:id="8920" w:name="expected_changes_in__287_288"/>
      <w:pPr>
        <w:pStyle w:val="Para 01"/>
        <w:keepLines w:val="on"/>
      </w:pPr>
      <w:r>
        <w:t>những thay đổi dự kiến, 287–288</w:t>
      </w:r>
      <w:bookmarkEnd w:id="8920"/>
    </w:p>
    <w:p>
      <w:bookmarkStart w:id="8921" w:name="value_enhancement_and__984_986"/>
      <w:pPr>
        <w:pStyle w:val="Para 01"/>
        <w:keepLines w:val="on"/>
      </w:pPr>
      <w:r>
        <w:t>gia tăng giá trị và, 984–986</w:t>
      </w:r>
      <w:bookmarkEnd w:id="8921"/>
    </w:p>
    <w:p>
      <w:bookmarkStart w:id="8922" w:name="working_capital_vs___286"/>
      <w:pPr>
        <w:pStyle w:val="Para 01"/>
        <w:keepLines w:val="on"/>
      </w:pPr>
      <w:r>
        <w:t>vốn lưu động so với, 286</w:t>
      </w:r>
      <w:bookmarkEnd w:id="8922"/>
    </w:p>
    <w:p>
      <w:bookmarkStart w:id="8923" w:name="Non_diversifiable_risk__65_67__6"/>
      <w:pPr>
        <w:pStyle w:val="Para 01"/>
        <w:keepLines w:val="on"/>
      </w:pPr>
      <w:r>
        <w:t>Rủi ro không thể đa dạng hóa, 65–67, 69–70</w:t>
      </w:r>
      <w:bookmarkEnd w:id="8923"/>
    </w:p>
    <w:p>
      <w:bookmarkStart w:id="8924" w:name="Nondiversification__in_private_f"/>
      <w:pPr>
        <w:pStyle w:val="Para 01"/>
        <w:keepLines w:val="on"/>
      </w:pPr>
      <w:r>
        <w:t>Không đa dạng hóa, trong các công ty tư nhân, 762–763</w:t>
      </w:r>
      <w:bookmarkEnd w:id="8924"/>
    </w:p>
    <w:p>
      <w:bookmarkStart w:id="8925" w:name="Non_fungible_tokens__NFTs___896"/>
      <w:pPr>
        <w:pStyle w:val="Para 01"/>
        <w:keepLines w:val="on"/>
      </w:pPr>
      <w:r>
        <w:t>Token không thể thay thế (NFT), 896–897</w:t>
      </w:r>
      <w:bookmarkEnd w:id="8925"/>
    </w:p>
    <w:p>
      <w:bookmarkStart w:id="8926" w:name="Nonoperating_assets__cash_and_ne"/>
      <w:pPr>
        <w:pStyle w:val="Para 01"/>
        <w:keepLines w:val="on"/>
      </w:pPr>
      <w:r>
        <w:t>Tài sản phi hoạt động</w:t>
      </w:r>
      <w:bookmarkEnd w:id="8926"/>
    </w:p>
    <w:p>
      <w:bookmarkStart w:id="8927" w:name="cash_and_near_cash_investments"/>
      <w:pPr>
        <w:pStyle w:val="Para 01"/>
        <w:keepLines w:val="on"/>
      </w:pPr>
      <w:r>
        <w:t>tiền mặt và các khoản đầu tư gần như tiền mặt, 481–486</w:t>
      </w:r>
      <w:bookmarkEnd w:id="8927"/>
    </w:p>
    <w:p>
      <w:bookmarkStart w:id="8928" w:name="explanation_of__481"/>
      <w:pPr>
        <w:pStyle w:val="Para 01"/>
        <w:keepLines w:val="on"/>
      </w:pPr>
      <w:r>
        <w:t>giải thích về, 481</w:t>
      </w:r>
      <w:bookmarkEnd w:id="8928"/>
    </w:p>
    <w:p>
      <w:bookmarkStart w:id="8929" w:name="holdings_in_other_firms_and__491"/>
      <w:pPr>
        <w:pStyle w:val="Para 01"/>
        <w:keepLines w:val="on"/>
      </w:pPr>
      <w:r>
        <w:t>các khoản nắm giữ tại các công ty khác và, 491–498</w:t>
      </w:r>
      <w:bookmarkEnd w:id="8929"/>
    </w:p>
    <w:p>
      <w:bookmarkStart w:id="8930" w:name="pension_fund_assets_and__499"/>
      <w:pPr>
        <w:pStyle w:val="Para 01"/>
        <w:keepLines w:val="on"/>
      </w:pPr>
      <w:r>
        <w:t>tài sản quỹ hưu trí và, 499</w:t>
      </w:r>
      <w:bookmarkEnd w:id="8930"/>
    </w:p>
    <w:p>
      <w:bookmarkStart w:id="8931" w:name="risky_security_investments__486"/>
      <w:pPr>
        <w:pStyle w:val="Para 01"/>
        <w:keepLines w:val="on"/>
      </w:pPr>
      <w:r>
        <w:t>đầu tư chứng khoán rủi ro, 486–491</w:t>
      </w:r>
      <w:bookmarkEnd w:id="8931"/>
    </w:p>
    <w:p>
      <w:bookmarkStart w:id="8932" w:name="unutilized_assets_and__498_499"/>
      <w:pPr>
        <w:pStyle w:val="Para 01"/>
        <w:keepLines w:val="on"/>
      </w:pPr>
      <w:r>
        <w:t>tài sản chưa sử dụng và, 498–499</w:t>
      </w:r>
      <w:bookmarkEnd w:id="8932"/>
    </w:p>
    <w:p>
      <w:bookmarkStart w:id="8933" w:name="of_young_state_up_firms__747_748"/>
      <w:pPr>
        <w:pStyle w:val="Para 01"/>
        <w:keepLines w:val="on"/>
      </w:pPr>
      <w:r>
        <w:t>của các công ty non trẻ/khởi nghiệp, 747–748</w:t>
      </w:r>
      <w:bookmarkEnd w:id="8933"/>
    </w:p>
    <w:p>
      <w:bookmarkStart w:id="8934" w:name="Non_price_based_models__79_80"/>
      <w:pPr>
        <w:pStyle w:val="Para 01"/>
        <w:keepLines w:val="on"/>
      </w:pPr>
      <w:r>
        <w:t>Mô hình phi giá, 79–80</w:t>
      </w:r>
      <w:bookmarkEnd w:id="8934"/>
    </w:p>
    <w:p>
      <w:bookmarkStart w:id="8935" w:name="Nonrecurring_expenses__45_46"/>
      <w:pPr>
        <w:pStyle w:val="Para 01"/>
        <w:keepLines w:val="on"/>
      </w:pPr>
      <w:r>
        <w:t>Chi phí không thường xuyên, 45–46</w:t>
      </w:r>
      <w:bookmarkEnd w:id="8935"/>
    </w:p>
    <w:p>
      <w:bookmarkStart w:id="8936" w:name="Nonstationary_distributions__105"/>
      <w:pPr>
        <w:pStyle w:val="Para 01"/>
        <w:keepLines w:val="on"/>
      </w:pPr>
      <w:r>
        <w:t>Phân phối phi dừng, 1057</w:t>
      </w:r>
      <w:bookmarkEnd w:id="8936"/>
    </w:p>
    <w:p>
      <w:bookmarkStart w:id="8937" w:name="Nonvoting_shares__510_511__785_7"/>
      <w:pPr>
        <w:pStyle w:val="Para 01"/>
        <w:keepLines w:val="on"/>
      </w:pPr>
      <w:r>
        <w:t>Cổ phiếu không có quyền biểu quyết, 510–511, 785–786</w:t>
      </w:r>
      <w:bookmarkEnd w:id="8937"/>
    </w:p>
    <w:p>
      <w:bookmarkStart w:id="8938" w:name="Normal_distribution__cumulative"/>
      <w:pPr>
        <w:pStyle w:val="Para 01"/>
        <w:keepLines w:val="on"/>
      </w:pPr>
      <w:r>
        <w:t>Phân phối chuẩn, lũy tích, 98</w:t>
      </w:r>
      <w:bookmarkEnd w:id="8938"/>
    </w:p>
    <w:p>
      <w:bookmarkStart w:id="8939" w:name="Normalized_earnings__243__1071_1"/>
      <w:pPr>
        <w:pStyle w:val="Para 01"/>
        <w:keepLines w:val="on"/>
      </w:pPr>
      <w:r>
        <w:t>Thu nhập chuẩn hóa, 243, 1071–1072</w:t>
      </w:r>
      <w:bookmarkEnd w:id="8939"/>
    </w:p>
    <w:p>
      <w:bookmarkStart w:id="8940" w:name="for_cyclical_firms__703_704"/>
      <w:pPr>
        <w:pStyle w:val="Para 01"/>
        <w:keepLines w:val="on"/>
      </w:pPr>
      <w:r>
        <w:t>cho các công ty chu kỳ, 703–704</w:t>
      </w:r>
      <w:bookmarkEnd w:id="8940"/>
    </w:p>
    <w:p>
      <w:bookmarkStart w:id="8941" w:name="for_firms_with_firm_specific_pro"/>
      <w:pPr>
        <w:pStyle w:val="Para 01"/>
        <w:keepLines w:val="on"/>
      </w:pPr>
      <w:r>
        <w:t>cho các công ty có vấn đề đặc thù riêng, 700–701</w:t>
      </w:r>
      <w:bookmarkEnd w:id="8941"/>
    </w:p>
    <w:p>
      <w:bookmarkStart w:id="8942" w:name="multiples_and__716"/>
      <w:pPr>
        <w:pStyle w:val="Para 01"/>
        <w:keepLines w:val="on"/>
      </w:pPr>
      <w:r>
        <w:t>bội số và, 716</w:t>
      </w:r>
      <w:bookmarkEnd w:id="8942"/>
    </w:p>
    <w:p>
      <w:bookmarkStart w:id="8943" w:name="for_PE_ratios__555"/>
      <w:pPr>
        <w:pStyle w:val="Para 01"/>
        <w:keepLines w:val="on"/>
      </w:pPr>
      <w:r>
        <w:t>cho tỷ số PE, 555</w:t>
      </w:r>
      <w:bookmarkEnd w:id="8943"/>
    </w:p>
    <w:p>
      <w:bookmarkStart w:id="8944" w:name="Nvidia__518__519"/>
      <w:pPr>
        <w:pStyle w:val="Para 01"/>
        <w:keepLines w:val="on"/>
      </w:pPr>
      <w:r>
        <w:t>Nvidia, 518, 519</w:t>
      </w:r>
      <w:bookmarkEnd w:id="8944"/>
    </w:p>
    <w:p>
      <w:bookmarkStart w:id="8945" w:name="O___Office_buildings__DCF_valuat"/>
      <w:bookmarkStart w:id="8946" w:name="O"/>
      <w:pPr>
        <w:keepNext/>
        <w:pStyle w:val="Para 50"/>
        <w:keepLines w:val="on"/>
      </w:pPr>
      <w:r>
        <w:t>O</w:t>
      </w:r>
      <w:bookmarkEnd w:id="8945"/>
      <w:bookmarkEnd w:id="8946"/>
    </w:p>
    <w:p>
      <w:bookmarkStart w:id="8947" w:name="Office_buildings__DCF_valuation"/>
      <w:pPr>
        <w:pStyle w:val="Para 01"/>
        <w:keepLines w:val="on"/>
      </w:pPr>
      <w:r>
        <w:t>Tòa nhà văn phòng</w:t>
      </w:r>
      <w:bookmarkEnd w:id="8947"/>
    </w:p>
    <w:p>
      <w:bookmarkStart w:id="8948" w:name="DCF_valuation_of__854_857"/>
      <w:pPr>
        <w:pStyle w:val="Para 01"/>
        <w:keepLines w:val="on"/>
      </w:pPr>
      <w:r>
        <w:t>Định giá DCF đối với, 854–857</w:t>
      </w:r>
      <w:bookmarkEnd w:id="8948"/>
    </w:p>
    <w:p>
      <w:bookmarkStart w:id="8949" w:name="equity_stake_in__857_858"/>
      <w:pPr>
        <w:pStyle w:val="Para 01"/>
        <w:keepLines w:val="on"/>
      </w:pPr>
      <w:r>
        <w:t>phần vốn cổ phần trong, 857–858</w:t>
      </w:r>
      <w:bookmarkEnd w:id="8949"/>
    </w:p>
    <w:p>
      <w:bookmarkStart w:id="8950" w:name="Oil_reserve__927"/>
      <w:pPr>
        <w:pStyle w:val="Para 01"/>
        <w:keepLines w:val="on"/>
      </w:pPr>
      <w:r>
        <w:t>Dự trữ dầu, 927</w:t>
      </w:r>
      <w:bookmarkEnd w:id="8950"/>
    </w:p>
    <w:p>
      <w:bookmarkStart w:id="8951" w:name="One_time_expenses_or_income__259"/>
      <w:pPr>
        <w:pStyle w:val="Para 01"/>
        <w:keepLines w:val="on"/>
      </w:pPr>
      <w:r>
        <w:t>Chi phí hoặc thu nhập một lần, 259, 262–263</w:t>
      </w:r>
      <w:bookmarkEnd w:id="8951"/>
    </w:p>
    <w:p>
      <w:bookmarkStart w:id="8952" w:name="Operating_cash_balance__481_482"/>
      <w:pPr>
        <w:pStyle w:val="Para 01"/>
        <w:keepLines w:val="on"/>
      </w:pPr>
      <w:r>
        <w:t>Số dư tiền mặt hoạt động, 481–482</w:t>
      </w:r>
      <w:bookmarkEnd w:id="8952"/>
    </w:p>
    <w:p>
      <w:bookmarkStart w:id="8953" w:name="Operating_cash_flows__53_54__711"/>
      <w:pPr>
        <w:pStyle w:val="Para 01"/>
        <w:keepLines w:val="on"/>
      </w:pPr>
      <w:r>
        <w:t>Dòng tiền hoạt động, 53–54, 711</w:t>
      </w:r>
      <w:bookmarkEnd w:id="8953"/>
    </w:p>
    <w:p>
      <w:bookmarkStart w:id="8954" w:name="Operating_efficiency__980_982"/>
      <w:pPr>
        <w:pStyle w:val="Para 01"/>
        <w:keepLines w:val="on"/>
      </w:pPr>
      <w:r>
        <w:t>Hiệu quả hoạt động, 980–982</w:t>
      </w:r>
      <w:bookmarkEnd w:id="8954"/>
    </w:p>
    <w:p>
      <w:bookmarkStart w:id="8955" w:name="Operating_expenses__capital_expe"/>
      <w:pPr>
        <w:pStyle w:val="Para 01"/>
        <w:keepLines w:val="on"/>
      </w:pPr>
      <w:r>
        <w:t>Chi phí hoạt động</w:t>
      </w:r>
      <w:bookmarkEnd w:id="8955"/>
    </w:p>
    <w:p>
      <w:bookmarkStart w:id="8956" w:name="capital_expenses_treated_as__281"/>
      <w:pPr>
        <w:pStyle w:val="Para 01"/>
        <w:keepLines w:val="on"/>
      </w:pPr>
      <w:r>
        <w:t>chi phí vốn được xử lý như, 281–282</w:t>
      </w:r>
      <w:bookmarkEnd w:id="8956"/>
    </w:p>
    <w:p>
      <w:bookmarkStart w:id="8957" w:name="capitalizing__248_252__258"/>
      <w:pPr>
        <w:pStyle w:val="Para 01"/>
        <w:keepLines w:val="on"/>
      </w:pPr>
      <w:r>
        <w:t>vốn hóa, 248–252, 258</w:t>
      </w:r>
      <w:bookmarkEnd w:id="8957"/>
    </w:p>
    <w:p>
      <w:bookmarkStart w:id="8958" w:name="explanation_of__44__45__244_1"/>
      <w:pPr>
        <w:pStyle w:val="Para 01"/>
        <w:keepLines w:val="on"/>
      </w:pPr>
      <w:r>
        <w:t>giải thích về, 44, 45, 244</w:t>
      </w:r>
      <w:bookmarkEnd w:id="8958"/>
    </w:p>
    <w:p>
      <w:bookmarkStart w:id="8959" w:name="misclassification_of__245_252"/>
      <w:pPr>
        <w:pStyle w:val="Para 01"/>
        <w:keepLines w:val="on"/>
      </w:pPr>
      <w:r>
        <w:t>phân loại sai, 245–252</w:t>
      </w:r>
      <w:bookmarkEnd w:id="8959"/>
    </w:p>
    <w:p>
      <w:bookmarkStart w:id="8960" w:name="Operating_income__adjustments_to"/>
      <w:pPr>
        <w:pStyle w:val="Para 01"/>
        <w:keepLines w:val="on"/>
      </w:pPr>
      <w:r>
        <w:t>Thu nhập hoạt động</w:t>
      </w:r>
      <w:bookmarkEnd w:id="8960"/>
    </w:p>
    <w:p>
      <w:bookmarkStart w:id="8962" w:name="adjustments_to__253_254"/>
      <w:pPr>
        <w:pStyle w:val="Para 01"/>
        <w:keepLines w:val="on"/>
      </w:pPr>
      <w:r>
        <w:t>điều chỉnh đối với, 253–254</w:t>
      </w:r>
      <w:bookmarkEnd w:id="8962"/>
    </w:p>
    <w:p>
      <w:bookmarkStart w:id="8963" w:name="growth_in__317_323"/>
      <w:pPr>
        <w:pStyle w:val="Para 01"/>
        <w:keepLines w:val="on"/>
      </w:pPr>
      <w:r>
        <w:t>tăng trưởng trong, 317–323</w:t>
      </w:r>
      <w:bookmarkEnd w:id="8963"/>
    </w:p>
    <w:p>
      <w:bookmarkStart w:id="8964" w:name="optimal_leverage_and__477"/>
      <w:pPr>
        <w:pStyle w:val="Para 01"/>
        <w:keepLines w:val="on"/>
      </w:pPr>
      <w:r>
        <w:t>đòn bẩy tối ưu và, 477</w:t>
      </w:r>
      <w:bookmarkEnd w:id="8964"/>
    </w:p>
    <w:p>
      <w:bookmarkStart w:id="8965" w:name="in_private_firms__770_771_1"/>
      <w:pPr>
        <w:pStyle w:val="Para 01"/>
        <w:keepLines w:val="on"/>
      </w:pPr>
      <w:r>
        <w:t>trong các công ty tư nhân, 770–771</w:t>
      </w:r>
      <w:bookmarkEnd w:id="8965"/>
    </w:p>
    <w:p>
      <w:bookmarkStart w:id="8966" w:name="Operating_leases__adjusting_oper"/>
      <w:pPr>
        <w:pStyle w:val="Para 01"/>
        <w:keepLines w:val="on"/>
      </w:pPr>
      <w:r>
        <w:t>Thuê hoạt động</w:t>
      </w:r>
      <w:bookmarkEnd w:id="8966"/>
    </w:p>
    <w:p>
      <w:bookmarkStart w:id="8967" w:name="adjusting_operating_income_for"/>
      <w:pPr>
        <w:pStyle w:val="Para 01"/>
        <w:keepLines w:val="on"/>
      </w:pPr>
      <w:r>
        <w:t>điều chỉnh thu nhập hoạt động cho, 253–254</w:t>
      </w:r>
      <w:bookmarkEnd w:id="8967"/>
    </w:p>
    <w:p>
      <w:bookmarkStart w:id="8968" w:name="debt_conversion_for__228_229__25"/>
      <w:pPr>
        <w:pStyle w:val="Para 01"/>
        <w:keepLines w:val="on"/>
      </w:pPr>
      <w:r>
        <w:t>chuyển đổi thành nợ cho, 228–229, 252–256</w:t>
      </w:r>
      <w:bookmarkEnd w:id="8968"/>
    </w:p>
    <w:p>
      <w:bookmarkStart w:id="8969" w:name="explanation_of__40"/>
      <w:pPr>
        <w:pStyle w:val="Para 01"/>
        <w:keepLines w:val="on"/>
      </w:pPr>
      <w:r>
        <w:t>giải thích về, 40</w:t>
      </w:r>
      <w:bookmarkEnd w:id="8969"/>
    </w:p>
    <w:p>
      <w:bookmarkStart w:id="8970" w:name="FCFF_application_and__445_447"/>
      <w:pPr>
        <w:pStyle w:val="Para 01"/>
        <w:keepLines w:val="on"/>
      </w:pPr>
      <w:r>
        <w:t>ứng dụng FCFF và, 445–447</w:t>
      </w:r>
      <w:bookmarkEnd w:id="8970"/>
    </w:p>
    <w:p>
      <w:bookmarkStart w:id="8971" w:name="Operating_leverage__beta_determi"/>
      <w:pPr>
        <w:pStyle w:val="Para 01"/>
        <w:keepLines w:val="on"/>
      </w:pPr>
      <w:r>
        <w:t>Đòn bẩy hoạt động</w:t>
      </w:r>
      <w:bookmarkEnd w:id="8971"/>
    </w:p>
    <w:p>
      <w:bookmarkStart w:id="8972" w:name="beta_determination_and__201_202"/>
      <w:pPr>
        <w:pStyle w:val="Para 01"/>
        <w:keepLines w:val="on"/>
      </w:pPr>
      <w:r>
        <w:t>xác định beta và, 201–202</w:t>
      </w:r>
      <w:bookmarkEnd w:id="8972"/>
    </w:p>
    <w:p>
      <w:bookmarkStart w:id="8973" w:name="reduction_of__995"/>
      <w:pPr>
        <w:pStyle w:val="Para 01"/>
        <w:keepLines w:val="on"/>
      </w:pPr>
      <w:r>
        <w:t>giảm thiểu, 995</w:t>
      </w:r>
      <w:bookmarkEnd w:id="8973"/>
    </w:p>
    <w:p>
      <w:bookmarkStart w:id="8974" w:name="risk_and__745"/>
      <w:pPr>
        <w:pStyle w:val="Para 01"/>
        <w:keepLines w:val="on"/>
      </w:pPr>
      <w:r>
        <w:t>rủi ro và, 745</w:t>
      </w:r>
      <w:bookmarkEnd w:id="8974"/>
    </w:p>
    <w:p>
      <w:bookmarkStart w:id="8975" w:name="Operating_margin__comparison_of"/>
      <w:pPr>
        <w:pStyle w:val="Para 01"/>
        <w:keepLines w:val="on"/>
      </w:pPr>
      <w:r>
        <w:t>Biên lợi nhuận hoạt động</w:t>
      </w:r>
      <w:bookmarkEnd w:id="8975"/>
    </w:p>
    <w:p>
      <w:bookmarkStart w:id="8976" w:name="comparison_of__981_982"/>
      <w:pPr>
        <w:pStyle w:val="Para 01"/>
        <w:keepLines w:val="on"/>
      </w:pPr>
      <w:r>
        <w:t>so sánh, 981–982</w:t>
      </w:r>
      <w:bookmarkEnd w:id="8976"/>
    </w:p>
    <w:p>
      <w:bookmarkStart w:id="8977" w:name="top_down_growth_and__327_331"/>
      <w:pPr>
        <w:pStyle w:val="Para 01"/>
        <w:keepLines w:val="on"/>
      </w:pPr>
      <w:r>
        <w:t>tăng trưởng từ trên xuống và, 327–331</w:t>
      </w:r>
      <w:bookmarkEnd w:id="8977"/>
    </w:p>
    <w:p>
      <w:bookmarkStart w:id="8978" w:name="for_young_or_start_up_companies_1"/>
      <w:pPr>
        <w:pStyle w:val="Para 01"/>
        <w:keepLines w:val="on"/>
      </w:pPr>
      <w:r>
        <w:t>cho các công ty non trẻ hoặc mới khởi nghiệp, 740–741</w:t>
      </w:r>
      <w:bookmarkEnd w:id="8978"/>
    </w:p>
    <w:p>
      <w:bookmarkStart w:id="8979" w:name="Operating_metrics__growth_persis"/>
      <w:pPr>
        <w:pStyle w:val="Para 01"/>
        <w:keepLines w:val="on"/>
      </w:pPr>
      <w:r>
        <w:t>Các chỉ số hoạt động, sự bền bỉ tăng trưởng trong, 304</w:t>
      </w:r>
      <w:bookmarkEnd w:id="8979"/>
    </w:p>
    <w:p>
      <w:bookmarkStart w:id="8980" w:name="Operating_problems__716_719__107"/>
      <w:pPr>
        <w:pStyle w:val="Para 01"/>
        <w:keepLines w:val="on"/>
      </w:pPr>
      <w:r>
        <w:t>Các vấn đề hoạt động, 716–719, 1071</w:t>
      </w:r>
      <w:bookmarkEnd w:id="8980"/>
    </w:p>
    <w:p>
      <w:bookmarkStart w:id="8981" w:name="Operating_risk__375__995"/>
      <w:pPr>
        <w:pStyle w:val="Para 01"/>
        <w:keepLines w:val="on"/>
      </w:pPr>
      <w:r>
        <w:t>Rủi ro hoạt động, 375, 995</w:t>
      </w:r>
      <w:bookmarkEnd w:id="8981"/>
    </w:p>
    <w:p>
      <w:bookmarkStart w:id="8982" w:name="Operating_synergy__improving_odd"/>
      <w:pPr>
        <w:pStyle w:val="Para 01"/>
        <w:keepLines w:val="on"/>
      </w:pPr>
      <w:r>
        <w:t>Hiệp lực hoạt động</w:t>
      </w:r>
      <w:bookmarkEnd w:id="8982"/>
    </w:p>
    <w:p>
      <w:bookmarkStart w:id="8983" w:name="improving_odds_of_realizing__827"/>
      <w:pPr>
        <w:pStyle w:val="Para 01"/>
        <w:keepLines w:val="on"/>
      </w:pPr>
      <w:r>
        <w:t>cải thiện khả năng đạt được, 827</w:t>
      </w:r>
      <w:bookmarkEnd w:id="8983"/>
    </w:p>
    <w:p>
      <w:bookmarkStart w:id="8984" w:name="sources_of__800"/>
      <w:pPr>
        <w:pStyle w:val="Para 01"/>
        <w:keepLines w:val="on"/>
      </w:pPr>
      <w:r>
        <w:t>các nguồn, 800</w:t>
      </w:r>
      <w:bookmarkEnd w:id="8984"/>
    </w:p>
    <w:p>
      <w:bookmarkStart w:id="8985" w:name="valuing__809_812"/>
      <w:pPr>
        <w:pStyle w:val="Para 01"/>
        <w:keepLines w:val="on"/>
      </w:pPr>
      <w:r>
        <w:t>định giá, 809–812</w:t>
      </w:r>
      <w:bookmarkEnd w:id="8985"/>
    </w:p>
    <w:p>
      <w:bookmarkStart w:id="8986" w:name="Optimal_leverage__468_469__477"/>
      <w:pPr>
        <w:pStyle w:val="Para 01"/>
        <w:keepLines w:val="on"/>
      </w:pPr>
      <w:r>
        <w:t>Đòn bẩy tối ưu (optimal leverage), 468–469, 477</w:t>
      </w:r>
      <w:bookmarkEnd w:id="8986"/>
    </w:p>
    <w:p>
      <w:bookmarkStart w:id="8987" w:name="Optimal_management__1074"/>
      <w:pPr>
        <w:pStyle w:val="Para 01"/>
        <w:keepLines w:val="on"/>
      </w:pPr>
      <w:r>
        <w:t>Quản trị tối ưu (optimal management), 1074</w:t>
      </w:r>
      <w:bookmarkEnd w:id="8987"/>
    </w:p>
    <w:p>
      <w:bookmarkStart w:id="8988" w:name="Optionality__in_data__949_detect"/>
      <w:pPr>
        <w:pStyle w:val="Para 01"/>
        <w:keepLines w:val="on"/>
      </w:pPr>
      <w:r>
        <w:t>Tính tùy chọn (optionality)</w:t>
      </w:r>
      <w:bookmarkEnd w:id="8988"/>
    </w:p>
    <w:p>
      <w:bookmarkStart w:id="8989" w:name="in_data__949"/>
      <w:pPr>
        <w:pStyle w:val="Para 01"/>
        <w:keepLines w:val="on"/>
      </w:pPr>
      <w:r>
        <w:t>trong dữ liệu, 949</w:t>
      </w:r>
      <w:bookmarkEnd w:id="8989"/>
    </w:p>
    <w:p>
      <w:bookmarkStart w:id="8990" w:name="detecting__909"/>
      <w:pPr>
        <w:pStyle w:val="Para 01"/>
        <w:keepLines w:val="on"/>
      </w:pPr>
      <w:r>
        <w:t>phát hiện, 909</w:t>
      </w:r>
      <w:bookmarkEnd w:id="8990"/>
    </w:p>
    <w:p>
      <w:bookmarkStart w:id="8991" w:name="life_cycle_perspective_on__961_9"/>
      <w:pPr>
        <w:pStyle w:val="Para 01"/>
        <w:keepLines w:val="on"/>
      </w:pPr>
      <w:r>
        <w:t>góc nhìn vòng đời về, 961–963</w:t>
      </w:r>
      <w:bookmarkEnd w:id="8991"/>
    </w:p>
    <w:p>
      <w:bookmarkStart w:id="8992" w:name="in_users__947_949"/>
      <w:pPr>
        <w:pStyle w:val="Para 01"/>
        <w:keepLines w:val="on"/>
      </w:pPr>
      <w:r>
        <w:t>ở người dùng, 947–949</w:t>
      </w:r>
      <w:bookmarkEnd w:id="8992"/>
    </w:p>
    <w:p>
      <w:bookmarkStart w:id="8993" w:name="value_of__909_910"/>
      <w:pPr>
        <w:pStyle w:val="Para 01"/>
        <w:keepLines w:val="on"/>
      </w:pPr>
      <w:r>
        <w:t>giá trị của, 909–910</w:t>
      </w:r>
      <w:bookmarkEnd w:id="8993"/>
    </w:p>
    <w:p>
      <w:bookmarkStart w:id="8994" w:name="Option_grants__characteristics_o"/>
      <w:pPr>
        <w:pStyle w:val="Para 01"/>
        <w:keepLines w:val="on"/>
      </w:pPr>
      <w:r>
        <w:t>Cấp quyền chọn (option grants)</w:t>
      </w:r>
      <w:bookmarkEnd w:id="8994"/>
    </w:p>
    <w:p>
      <w:bookmarkStart w:id="8995" w:name="characteristics_of__502"/>
      <w:pPr>
        <w:pStyle w:val="Para 01"/>
        <w:keepLines w:val="on"/>
      </w:pPr>
      <w:r>
        <w:t>đặc điểm của, 502</w:t>
      </w:r>
      <w:bookmarkEnd w:id="8995"/>
    </w:p>
    <w:p>
      <w:bookmarkStart w:id="8996" w:name="future__506_507"/>
      <w:pPr>
        <w:pStyle w:val="Para 01"/>
        <w:keepLines w:val="on"/>
      </w:pPr>
      <w:r>
        <w:t>tương lai, 506–507</w:t>
      </w:r>
      <w:bookmarkEnd w:id="8996"/>
    </w:p>
    <w:p>
      <w:bookmarkStart w:id="8997" w:name="Option_pricing__504__applicabili"/>
      <w:pPr>
        <w:pStyle w:val="Para 01"/>
        <w:keepLines w:val="on"/>
      </w:pPr>
      <w:r>
        <w:t>Định giá quyền chọn (option pricing), 504</w:t>
      </w:r>
      <w:bookmarkEnd w:id="8997"/>
    </w:p>
    <w:p>
      <w:bookmarkStart w:id="8998" w:name="applicability_of__26_27__1076_10"/>
      <w:pPr>
        <w:pStyle w:val="Para 01"/>
        <w:keepLines w:val="on"/>
      </w:pPr>
      <w:r>
        <w:t>khả năng áp dụng của, 26–27, 1076–1077</w:t>
      </w:r>
      <w:bookmarkEnd w:id="8998"/>
    </w:p>
    <w:p>
      <w:bookmarkStart w:id="8999" w:name="arbitrage_possibilities_and__915"/>
      <w:pPr>
        <w:pStyle w:val="Para 01"/>
        <w:keepLines w:val="on"/>
      </w:pPr>
      <w:r>
        <w:t>cơ hội kinh doanh chênh lệch giá (arbitrage) và, 915–916</w:t>
      </w:r>
      <w:bookmarkEnd w:id="8999"/>
    </w:p>
    <w:p>
      <w:bookmarkStart w:id="9000" w:name="background_of__94"/>
      <w:pPr>
        <w:pStyle w:val="Para 01"/>
        <w:keepLines w:val="on"/>
      </w:pPr>
      <w:r>
        <w:t>bối cảnh của, 94</w:t>
      </w:r>
      <w:bookmarkEnd w:id="9000"/>
    </w:p>
    <w:p>
      <w:bookmarkStart w:id="9001" w:name="binomial__94_97__918__919"/>
      <w:pPr>
        <w:pStyle w:val="Para 01"/>
        <w:keepLines w:val="on"/>
      </w:pPr>
      <w:r>
        <w:t>nhị thức (binomial), 94–97, 918, 919</w:t>
      </w:r>
      <w:bookmarkEnd w:id="9001"/>
    </w:p>
    <w:p>
      <w:bookmarkStart w:id="9002" w:name="Black_Scholes__98_108__918"/>
      <w:pPr>
        <w:pStyle w:val="Para 01"/>
        <w:keepLines w:val="on"/>
      </w:pPr>
      <w:r>
        <w:t>Black–Scholes, 98–108, 918</w:t>
      </w:r>
      <w:bookmarkEnd w:id="9002"/>
    </w:p>
    <w:p>
      <w:bookmarkStart w:id="9003" w:name="call_and_put__91_94"/>
      <w:pPr>
        <w:pStyle w:val="Para 01"/>
        <w:keepLines w:val="on"/>
      </w:pPr>
      <w:r>
        <w:t>quyền chọn mua và quyền chọn bán (call and put), 91–94</w:t>
      </w:r>
      <w:bookmarkEnd w:id="9003"/>
    </w:p>
    <w:p>
      <w:bookmarkStart w:id="9004" w:name="capped_and_barrier__109_110"/>
      <w:pPr>
        <w:pStyle w:val="Para 01"/>
        <w:keepLines w:val="on"/>
      </w:pPr>
      <w:r>
        <w:t>có giới hạn trần và có rào cản (capped and barrier), 109–110</w:t>
      </w:r>
      <w:bookmarkEnd w:id="9004"/>
    </w:p>
    <w:p>
      <w:bookmarkStart w:id="9005" w:name="categorizing__26"/>
      <w:pPr>
        <w:pStyle w:val="Para 01"/>
        <w:keepLines w:val="on"/>
      </w:pPr>
      <w:r>
        <w:t>phân loại, 26</w:t>
      </w:r>
      <w:bookmarkEnd w:id="9005"/>
    </w:p>
    <w:p>
      <w:bookmarkStart w:id="9006" w:name="compound__110"/>
      <w:pPr>
        <w:pStyle w:val="Para 01"/>
        <w:keepLines w:val="on"/>
      </w:pPr>
      <w:r>
        <w:t>ghép (compound), 110</w:t>
      </w:r>
      <w:bookmarkEnd w:id="9006"/>
    </w:p>
    <w:p>
      <w:bookmarkStart w:id="9007" w:name="for_equity_in_distressed_firms"/>
      <w:pPr>
        <w:pStyle w:val="Para 01"/>
        <w:keepLines w:val="on"/>
      </w:pPr>
      <w:r>
        <w:t>cho vốn chủ sở hữu trong các công ty gặp khó khăn, 963–975</w:t>
      </w:r>
      <w:bookmarkEnd w:id="9007"/>
    </w:p>
    <w:p>
      <w:bookmarkStart w:id="9008" w:name="estimating_value_of_equity_in__9"/>
      <w:pPr>
        <w:pStyle w:val="Para 01"/>
        <w:keepLines w:val="on"/>
      </w:pPr>
      <w:r>
        <w:t>ước tính giá trị vốn chủ sở hữu trong, 966–972</w:t>
      </w:r>
      <w:bookmarkEnd w:id="9008"/>
    </w:p>
    <w:p>
      <w:bookmarkStart w:id="9009" w:name="for_illiquidity_discount__779_78"/>
      <w:pPr>
        <w:pStyle w:val="Para 01"/>
        <w:keepLines w:val="on"/>
      </w:pPr>
      <w:r>
        <w:t>cho chiết khấu kém thanh khoản (illiquidity discount), 779–780</w:t>
      </w:r>
      <w:bookmarkEnd w:id="9009"/>
    </w:p>
    <w:p>
      <w:bookmarkStart w:id="9010" w:name="jump_process__108_109"/>
      <w:pPr>
        <w:pStyle w:val="Para 01"/>
        <w:keepLines w:val="on"/>
      </w:pPr>
      <w:r>
        <w:t>quy trình nhảy (jump process), 108–109</w:t>
      </w:r>
      <w:bookmarkEnd w:id="9010"/>
    </w:p>
    <w:p>
      <w:bookmarkStart w:id="9011" w:name="limitations_of__26_27"/>
      <w:pPr>
        <w:pStyle w:val="Para 01"/>
        <w:keepLines w:val="on"/>
      </w:pPr>
      <w:r>
        <w:t>hạn chế của, 26–27</w:t>
      </w:r>
      <w:bookmarkEnd w:id="9011"/>
    </w:p>
    <w:p>
      <w:bookmarkStart w:id="9012" w:name="for_project_delay_option__917_91"/>
      <w:pPr>
        <w:pStyle w:val="Para 01"/>
        <w:keepLines w:val="on"/>
      </w:pPr>
      <w:r>
        <w:t>đối với quyền chọn trì hoãn dự án, 917–918</w:t>
      </w:r>
      <w:bookmarkEnd w:id="9012"/>
    </w:p>
    <w:p>
      <w:bookmarkStart w:id="9013" w:name="rainbow__110"/>
      <w:pPr>
        <w:pStyle w:val="Para 01"/>
        <w:keepLines w:val="on"/>
      </w:pPr>
      <w:r>
        <w:t>rainbow, 110</w:t>
      </w:r>
      <w:bookmarkEnd w:id="9013"/>
    </w:p>
    <w:p>
      <w:bookmarkStart w:id="9014" w:name="for_real_options__910"/>
      <w:pPr>
        <w:pStyle w:val="Para 01"/>
        <w:keepLines w:val="on"/>
      </w:pPr>
      <w:r>
        <w:t>đối với quyền chọn thực, 910</w:t>
      </w:r>
      <w:bookmarkEnd w:id="9014"/>
    </w:p>
    <w:p>
      <w:bookmarkStart w:id="9015" w:name="vulture_investing_and__972"/>
      <w:pPr>
        <w:pStyle w:val="Para 01"/>
        <w:keepLines w:val="on"/>
      </w:pPr>
      <w:r>
        <w:t>đầu tư kiểu kền kền và, 972</w:t>
      </w:r>
      <w:bookmarkEnd w:id="9015"/>
    </w:p>
    <w:p>
      <w:bookmarkStart w:id="9016" w:name="Options__See_also_Call_options"/>
      <w:pPr>
        <w:pStyle w:val="Para 10"/>
        <w:keepLines w:val="on"/>
      </w:pPr>
      <w:r>
        <w:t>Quyền chọn. Xem thêm Quyền chọn mua; Quyền chọn trì hoãn dự án; Quyền chọn bán</w:t>
      </w:r>
      <w:bookmarkEnd w:id="9016"/>
    </w:p>
    <w:p>
      <w:bookmarkStart w:id="9017" w:name="abandonment__953_956"/>
      <w:pPr>
        <w:pStyle w:val="Para 01"/>
        <w:keepLines w:val="on"/>
      </w:pPr>
      <w:r>
        <w:t>quyền chọn từ bỏ, 953–956</w:t>
      </w:r>
      <w:bookmarkEnd w:id="9017"/>
    </w:p>
    <w:p>
      <w:bookmarkStart w:id="9018" w:name="American_vs__European__93_94"/>
      <w:pPr>
        <w:pStyle w:val="Para 01"/>
        <w:keepLines w:val="on"/>
      </w:pPr>
      <w:r>
        <w:t>kiểu Mỹ so với kiểu châu Âu, 93–94</w:t>
      </w:r>
      <w:bookmarkEnd w:id="9018"/>
    </w:p>
    <w:p>
      <w:bookmarkStart w:id="9019" w:name="competitive_pressures_and_values"/>
      <w:pPr>
        <w:pStyle w:val="Para 01"/>
        <w:keepLines w:val="on"/>
      </w:pPr>
      <w:r>
        <w:t>áp lực cạnh tranh và giá trị của quyền chọn, 922</w:t>
      </w:r>
      <w:bookmarkEnd w:id="9019"/>
    </w:p>
    <w:p>
      <w:bookmarkStart w:id="9020" w:name="compound__110__942_943"/>
      <w:pPr>
        <w:pStyle w:val="Para 01"/>
        <w:keepLines w:val="on"/>
      </w:pPr>
      <w:r>
        <w:t>quyền chọn kép (compound), 110, 942–943</w:t>
      </w:r>
      <w:bookmarkEnd w:id="9020"/>
    </w:p>
    <w:p>
      <w:bookmarkStart w:id="9021" w:name="determination_of_value_of__92_93"/>
      <w:pPr>
        <w:pStyle w:val="Para 01"/>
        <w:keepLines w:val="on"/>
      </w:pPr>
      <w:r>
        <w:t>xác định giá trị của quyền chọn, 92–93, 97</w:t>
      </w:r>
      <w:bookmarkEnd w:id="9021"/>
    </w:p>
    <w:p>
      <w:bookmarkStart w:id="9022" w:name="double_counting__1077"/>
      <w:pPr>
        <w:pStyle w:val="Para 01"/>
        <w:keepLines w:val="on"/>
      </w:pPr>
      <w:r>
        <w:t>đếm trùng (double counting), 1077</w:t>
      </w:r>
      <w:bookmarkEnd w:id="9022"/>
    </w:p>
    <w:p>
      <w:bookmarkStart w:id="9023" w:name="effects_of_listing__120_121"/>
      <w:pPr>
        <w:pStyle w:val="Para 01"/>
        <w:keepLines w:val="on"/>
      </w:pPr>
      <w:r>
        <w:t>ảnh hưởng của việc niêm yết, 120–121</w:t>
      </w:r>
      <w:bookmarkEnd w:id="9023"/>
    </w:p>
    <w:p>
      <w:bookmarkStart w:id="9024" w:name="employee__501_507"/>
      <w:pPr>
        <w:pStyle w:val="Para 01"/>
        <w:keepLines w:val="on"/>
      </w:pPr>
      <w:r>
        <w:t>quyền chọn cho nhân viên, 501–507</w:t>
      </w:r>
      <w:bookmarkEnd w:id="9024"/>
    </w:p>
    <w:p>
      <w:bookmarkStart w:id="9025" w:name="expansion__935_947"/>
      <w:pPr>
        <w:pStyle w:val="Para 01"/>
        <w:keepLines w:val="on"/>
      </w:pPr>
      <w:r>
        <w:t>quyền chọn mở rộng, 935–947</w:t>
      </w:r>
      <w:bookmarkEnd w:id="9025"/>
    </w:p>
    <w:p>
      <w:bookmarkStart w:id="9026" w:name="explanation_of__91"/>
      <w:pPr>
        <w:pStyle w:val="Para 01"/>
        <w:keepLines w:val="on"/>
      </w:pPr>
      <w:r>
        <w:t>giải thích về quyền chọn, 91</w:t>
      </w:r>
      <w:bookmarkEnd w:id="9026"/>
    </w:p>
    <w:p>
      <w:bookmarkStart w:id="9027" w:name="future_grants__506_507"/>
      <w:pPr>
        <w:pStyle w:val="Para 01"/>
        <w:keepLines w:val="on"/>
      </w:pPr>
      <w:r>
        <w:t>các đợt cấp quyền trong tương lai, 506–507</w:t>
      </w:r>
      <w:bookmarkEnd w:id="9027"/>
    </w:p>
    <w:p>
      <w:bookmarkStart w:id="9028" w:name="growth_opportunities_vs___1077"/>
      <w:pPr>
        <w:pStyle w:val="Para 01"/>
        <w:keepLines w:val="on"/>
      </w:pPr>
      <w:r>
        <w:t>cơ hội tăng trưởng so với quyền chọn, 1077</w:t>
      </w:r>
      <w:bookmarkEnd w:id="9028"/>
    </w:p>
    <w:p>
      <w:bookmarkStart w:id="9029" w:name="management__534"/>
      <w:pPr>
        <w:pStyle w:val="Para 01"/>
        <w:keepLines w:val="on"/>
      </w:pPr>
      <w:r>
        <w:t>quyền chọn quản lý, 534</w:t>
      </w:r>
      <w:bookmarkEnd w:id="9029"/>
    </w:p>
    <w:p>
      <w:bookmarkStart w:id="9030" w:name="natural_resource__925_931"/>
      <w:pPr>
        <w:pStyle w:val="Para 01"/>
        <w:keepLines w:val="on"/>
      </w:pPr>
      <w:r>
        <w:t>quyền chọn tài nguyên thiên nhiên, 925–931</w:t>
      </w:r>
      <w:bookmarkEnd w:id="9030"/>
    </w:p>
    <w:p>
      <w:bookmarkStart w:id="9031" w:name="overhang__503"/>
      <w:pPr>
        <w:pStyle w:val="Para 01"/>
        <w:keepLines w:val="on"/>
      </w:pPr>
      <w:r>
        <w:t>lượng quyền chọn tồn đọng (overhang), 503</w:t>
      </w:r>
      <w:bookmarkEnd w:id="9031"/>
    </w:p>
    <w:p>
      <w:bookmarkStart w:id="9032" w:name="patents_as__918_925"/>
      <w:pPr>
        <w:pStyle w:val="Para 01"/>
        <w:keepLines w:val="on"/>
      </w:pPr>
      <w:r>
        <w:t>bằng sáng chế như quyền chọn, 918–925</w:t>
      </w:r>
      <w:bookmarkEnd w:id="9032"/>
    </w:p>
    <w:p>
      <w:bookmarkStart w:id="9033" w:name="payoffs_on__25_26"/>
      <w:pPr>
        <w:pStyle w:val="Para 01"/>
        <w:keepLines w:val="on"/>
      </w:pPr>
      <w:r>
        <w:t>khoản chi trả của quyền chọn, 25–26</w:t>
      </w:r>
      <w:bookmarkEnd w:id="9033"/>
    </w:p>
    <w:p>
      <w:bookmarkStart w:id="9034" w:name="project_delay__910_918"/>
      <w:pPr>
        <w:pStyle w:val="Para 01"/>
        <w:keepLines w:val="on"/>
      </w:pPr>
      <w:r>
        <w:t>quyền chọn trì hoãn dự án, 910–918</w:t>
      </w:r>
      <w:bookmarkEnd w:id="9034"/>
    </w:p>
    <w:p>
      <w:bookmarkStart w:id="9035" w:name="rainbow__110__928"/>
      <w:pPr>
        <w:pStyle w:val="Para 01"/>
        <w:keepLines w:val="on"/>
      </w:pPr>
      <w:r>
        <w:t>rainbow, 110, 928</w:t>
      </w:r>
      <w:bookmarkEnd w:id="9035"/>
    </w:p>
    <w:p>
      <w:bookmarkStart w:id="9036" w:name="real__907_910__956"/>
      <w:pPr>
        <w:pStyle w:val="Para 01"/>
        <w:keepLines w:val="on"/>
      </w:pPr>
      <w:r>
        <w:t>thực tế, 907–910, 956</w:t>
      </w:r>
      <w:bookmarkEnd w:id="9036"/>
    </w:p>
    <w:p>
      <w:bookmarkStart w:id="9037" w:name="sequential__942_943"/>
      <w:pPr>
        <w:pStyle w:val="Para 01"/>
        <w:keepLines w:val="on"/>
      </w:pPr>
      <w:r>
        <w:t>tuần tự, 942–943</w:t>
      </w:r>
      <w:bookmarkEnd w:id="9037"/>
    </w:p>
    <w:p>
      <w:bookmarkStart w:id="9038" w:name="sparing_use_of__1077"/>
      <w:pPr>
        <w:pStyle w:val="Para 01"/>
        <w:keepLines w:val="on"/>
      </w:pPr>
      <w:r>
        <w:t>sử dụng tiết kiệm, 1077</w:t>
      </w:r>
      <w:bookmarkEnd w:id="9038"/>
    </w:p>
    <w:p>
      <w:bookmarkStart w:id="9039" w:name="undeveloped_reserves_as__925_928"/>
      <w:pPr>
        <w:pStyle w:val="Para 01"/>
        <w:keepLines w:val="on"/>
      </w:pPr>
      <w:r>
        <w:t>trữ lượng chưa phát triển như là, 925–928</w:t>
      </w:r>
      <w:bookmarkEnd w:id="9039"/>
    </w:p>
    <w:p>
      <w:bookmarkStart w:id="9040" w:name="valuation_of_assets_as__931_932"/>
      <w:pPr>
        <w:pStyle w:val="Para 01"/>
        <w:keepLines w:val="on"/>
      </w:pPr>
      <w:r>
        <w:t>định giá tài sản như là, 931–932</w:t>
      </w:r>
      <w:bookmarkEnd w:id="9040"/>
    </w:p>
    <w:p>
      <w:bookmarkStart w:id="9041" w:name="Option_to_abandon__See_Abandonme"/>
      <w:pPr>
        <w:pStyle w:val="Para 01"/>
        <w:keepLines w:val="on"/>
      </w:pPr>
      <w:r>
        <w:t>Quyền chọn từ bỏ. Xem Quyền chọn từ bỏ (Abandonment option)</w:t>
      </w:r>
      <w:bookmarkEnd w:id="9041"/>
    </w:p>
    <w:p>
      <w:bookmarkStart w:id="9042" w:name="Option_to_expand__See_Expansion"/>
      <w:pPr>
        <w:pStyle w:val="Para 01"/>
        <w:keepLines w:val="on"/>
      </w:pPr>
      <w:r>
        <w:t>Quyền chọn mở rộng. Xem Quyền chọn mở rộng (Expansion options)</w:t>
      </w:r>
      <w:bookmarkEnd w:id="9042"/>
    </w:p>
    <w:p>
      <w:bookmarkStart w:id="9043" w:name="Organizational_structure__real_e"/>
      <w:pPr>
        <w:pStyle w:val="Para 01"/>
        <w:keepLines w:val="on"/>
      </w:pPr>
      <w:r>
        <w:t>Cơ cấu tổ chức, doanh nghiệp bất động sản, 863–864</w:t>
      </w:r>
      <w:bookmarkEnd w:id="9043"/>
    </w:p>
    <w:p>
      <w:bookmarkStart w:id="9044" w:name="Outliers__521"/>
      <w:pPr>
        <w:pStyle w:val="Para 01"/>
        <w:keepLines w:val="on"/>
      </w:pPr>
      <w:r>
        <w:t>Giá trị ngoại lai (Outliers), 521</w:t>
      </w:r>
      <w:bookmarkEnd w:id="9044"/>
    </w:p>
    <w:p>
      <w:bookmarkStart w:id="9045" w:name="Outsourcing_growth_estimates__30"/>
      <w:pPr>
        <w:pStyle w:val="Para 01"/>
        <w:keepLines w:val="on"/>
      </w:pPr>
      <w:r>
        <w:t>Ước tính tăng trưởng từ thuê ngoài (outsourcing), 307–311</w:t>
      </w:r>
      <w:bookmarkEnd w:id="9045"/>
    </w:p>
    <w:p>
      <w:bookmarkStart w:id="9046" w:name="Overvalued_asset_classes__684"/>
      <w:pPr>
        <w:pStyle w:val="Para 01"/>
        <w:keepLines w:val="on"/>
      </w:pPr>
      <w:r>
        <w:t>Các nhóm tài sản bị định giá quá cao, 684</w:t>
      </w:r>
      <w:bookmarkEnd w:id="9046"/>
    </w:p>
    <w:p>
      <w:bookmarkStart w:id="9047" w:name="Overvalued_firms__1077"/>
      <w:pPr>
        <w:pStyle w:val="Para 01"/>
        <w:keepLines w:val="on"/>
      </w:pPr>
      <w:r>
        <w:t>Các doanh nghiệp bị định giá quá cao, 1077</w:t>
      </w:r>
      <w:bookmarkEnd w:id="9047"/>
    </w:p>
    <w:p>
      <w:bookmarkStart w:id="9048" w:name="P___Past_restricted_stock__507_5"/>
      <w:bookmarkStart w:id="9049" w:name="P"/>
      <w:pPr>
        <w:keepNext/>
        <w:pStyle w:val="Para 50"/>
        <w:keepLines w:val="on"/>
      </w:pPr>
      <w:r>
        <w:t>P</w:t>
      </w:r>
      <w:bookmarkEnd w:id="9048"/>
      <w:bookmarkEnd w:id="9049"/>
    </w:p>
    <w:p>
      <w:bookmarkStart w:id="9050" w:name="Past_restricted_stock__507_508"/>
      <w:pPr>
        <w:pStyle w:val="Para 01"/>
        <w:keepLines w:val="on"/>
      </w:pPr>
      <w:r>
        <w:t>Cổ phiếu hạn chế trong quá khứ, 507–508</w:t>
      </w:r>
      <w:bookmarkEnd w:id="9050"/>
    </w:p>
    <w:p>
      <w:bookmarkStart w:id="9051" w:name="Patents__20__as_call_options__91"/>
      <w:pPr>
        <w:pStyle w:val="Para 01"/>
        <w:keepLines w:val="on"/>
      </w:pPr>
      <w:r>
        <w:t>Bằng sáng chế, 20</w:t>
      </w:r>
      <w:bookmarkEnd w:id="9051"/>
    </w:p>
    <w:p>
      <w:bookmarkStart w:id="9052" w:name="as_call_options__919_922"/>
      <w:pPr>
        <w:pStyle w:val="Para 01"/>
        <w:keepLines w:val="on"/>
      </w:pPr>
      <w:r>
        <w:t>như là quyền chọn mua (call options), 919–922</w:t>
      </w:r>
      <w:bookmarkEnd w:id="9052"/>
    </w:p>
    <w:p>
      <w:bookmarkStart w:id="9053" w:name="expiration_of__925"/>
      <w:pPr>
        <w:pStyle w:val="Para 01"/>
        <w:keepLines w:val="on"/>
      </w:pPr>
      <w:r>
        <w:t>hết hạn của, 925</w:t>
      </w:r>
      <w:bookmarkEnd w:id="9053"/>
    </w:p>
    <w:p>
      <w:bookmarkStart w:id="9054" w:name="value_enhancement_and__991_2"/>
      <w:pPr>
        <w:pStyle w:val="Para 01"/>
        <w:keepLines w:val="on"/>
      </w:pPr>
      <w:r>
        <w:t>gia tăng giá trị và, 991</w:t>
      </w:r>
      <w:bookmarkEnd w:id="9054"/>
    </w:p>
    <w:p>
      <w:bookmarkStart w:id="9055" w:name="valuing__36__918_925"/>
      <w:pPr>
        <w:pStyle w:val="Para 01"/>
        <w:keepLines w:val="on"/>
      </w:pPr>
      <w:r>
        <w:t>định giá, 36, 918–925</w:t>
      </w:r>
      <w:bookmarkEnd w:id="9055"/>
    </w:p>
    <w:p>
      <w:bookmarkStart w:id="9056" w:name="valuing_firms_with__727__922_924"/>
      <w:pPr>
        <w:pStyle w:val="Para 01"/>
        <w:keepLines w:val="on"/>
      </w:pPr>
      <w:r>
        <w:t>định giá doanh nghiệp có bằng sáng chế, 727, 922–924</w:t>
      </w:r>
      <w:bookmarkEnd w:id="9056"/>
    </w:p>
    <w:p>
      <w:bookmarkStart w:id="9057" w:name="Payment_processors__690"/>
      <w:pPr>
        <w:pStyle w:val="Para 01"/>
        <w:keepLines w:val="on"/>
      </w:pPr>
      <w:r>
        <w:t>Các đơn vị xử lý thanh toán (Payment processors), 690</w:t>
      </w:r>
      <w:bookmarkEnd w:id="9057"/>
    </w:p>
    <w:p>
      <w:bookmarkStart w:id="9058" w:name="Payoff_diagram__abandonment_opti"/>
      <w:pPr>
        <w:pStyle w:val="Para 01"/>
        <w:keepLines w:val="on"/>
      </w:pPr>
      <w:r>
        <w:t>Biểu đồ lợi nhuận (Payoff diagram)</w:t>
      </w:r>
      <w:bookmarkEnd w:id="9058"/>
    </w:p>
    <w:p>
      <w:bookmarkStart w:id="9059" w:name="abandonment_option__953_955"/>
      <w:pPr>
        <w:pStyle w:val="Para 01"/>
        <w:keepLines w:val="on"/>
      </w:pPr>
      <w:r>
        <w:t>quyền chọn từ bỏ, 953–955</w:t>
      </w:r>
      <w:bookmarkEnd w:id="9059"/>
    </w:p>
    <w:p>
      <w:bookmarkStart w:id="9060" w:name="equity_in_distressed_firms__959"/>
      <w:pPr>
        <w:pStyle w:val="Para 01"/>
        <w:keepLines w:val="on"/>
      </w:pPr>
      <w:r>
        <w:t>vốn chủ sở hữu trong các doanh nghiệp gặp khó khăn, 959–960</w:t>
      </w:r>
      <w:bookmarkEnd w:id="9060"/>
    </w:p>
    <w:p>
      <w:bookmarkStart w:id="9061" w:name="expansion_option__935_936"/>
      <w:pPr>
        <w:pStyle w:val="Para 01"/>
        <w:keepLines w:val="on"/>
      </w:pPr>
      <w:r>
        <w:t>quyền chọn mở rộng, 935–936</w:t>
      </w:r>
      <w:bookmarkEnd w:id="9061"/>
    </w:p>
    <w:p>
      <w:bookmarkStart w:id="9062" w:name="explanation_of__91__92"/>
      <w:pPr>
        <w:pStyle w:val="Para 01"/>
        <w:keepLines w:val="on"/>
      </w:pPr>
      <w:r>
        <w:t>giải thích về, 91, 92</w:t>
      </w:r>
      <w:bookmarkEnd w:id="9062"/>
    </w:p>
    <w:p>
      <w:bookmarkStart w:id="9063" w:name="option__909_910"/>
      <w:pPr>
        <w:pStyle w:val="Para 01"/>
        <w:keepLines w:val="on"/>
      </w:pPr>
      <w:r>
        <w:t>quyền chọn, 909–910</w:t>
      </w:r>
      <w:bookmarkEnd w:id="9063"/>
    </w:p>
    <w:p>
      <w:bookmarkStart w:id="9064" w:name="for_option_to_delay_projects__91"/>
      <w:pPr>
        <w:pStyle w:val="Para 01"/>
        <w:keepLines w:val="on"/>
      </w:pPr>
      <w:r>
        <w:t>đối với quyền chọn trì hoãn dự án, 911–912</w:t>
      </w:r>
      <w:bookmarkEnd w:id="9064"/>
    </w:p>
    <w:p>
      <w:bookmarkStart w:id="9065" w:name="undeveloped_resource__925_926"/>
      <w:pPr>
        <w:pStyle w:val="Para 01"/>
        <w:keepLines w:val="on"/>
      </w:pPr>
      <w:r>
        <w:t>tài nguyên chưa khai thác, 925–926</w:t>
      </w:r>
      <w:bookmarkEnd w:id="9065"/>
    </w:p>
    <w:p>
      <w:bookmarkStart w:id="9066" w:name="for_value_enhancement__997"/>
      <w:pPr>
        <w:pStyle w:val="Para 01"/>
        <w:keepLines w:val="on"/>
      </w:pPr>
      <w:r>
        <w:t>đối với việc gia tăng giá trị, 997</w:t>
      </w:r>
      <w:bookmarkEnd w:id="9066"/>
    </w:p>
    <w:p>
      <w:bookmarkStart w:id="9067" w:name="Payout_ratios__for_financial_ser"/>
      <w:pPr>
        <w:pStyle w:val="Para 01"/>
        <w:keepLines w:val="on"/>
      </w:pPr>
      <w:r>
        <w:t>Tỷ lệ chi trả cổ tức (Payout ratios)</w:t>
      </w:r>
      <w:bookmarkEnd w:id="9067"/>
    </w:p>
    <w:p>
      <w:bookmarkStart w:id="9068" w:name="for_financial_service_firms__662"/>
      <w:pPr>
        <w:pStyle w:val="Para 01"/>
        <w:keepLines w:val="on"/>
      </w:pPr>
      <w:r>
        <w:t>đối với các công ty dịch vụ tài chính, 662</w:t>
      </w:r>
      <w:bookmarkEnd w:id="9068"/>
    </w:p>
    <w:p>
      <w:bookmarkStart w:id="9069" w:name="price_book_value_ratio_and__587"/>
      <w:pPr>
        <w:pStyle w:val="Para 01"/>
        <w:keepLines w:val="on"/>
      </w:pPr>
      <w:r>
        <w:t>tỷ lệ giá trên giá trị sổ sách và, 587</w:t>
      </w:r>
      <w:bookmarkEnd w:id="9069"/>
    </w:p>
    <w:p>
      <w:bookmarkStart w:id="9070" w:name="price_earnings_ratios_and__538_1"/>
      <w:pPr>
        <w:pStyle w:val="Para 01"/>
        <w:keepLines w:val="on"/>
      </w:pPr>
      <w:r>
        <w:t>tỷ lệ giá trên thu nhập và, 538</w:t>
      </w:r>
      <w:bookmarkEnd w:id="9070"/>
    </w:p>
    <w:p>
      <w:bookmarkStart w:id="9071" w:name="price_to_sales_ratio_and__617_2"/>
      <w:pPr>
        <w:pStyle w:val="Para 01"/>
        <w:keepLines w:val="on"/>
      </w:pPr>
      <w:r>
        <w:t>tỷ lệ giá trên doanh thu và, 617</w:t>
      </w:r>
      <w:bookmarkEnd w:id="9071"/>
    </w:p>
    <w:p>
      <w:bookmarkStart w:id="9072" w:name="in_stable_growth_rate__389"/>
      <w:pPr>
        <w:pStyle w:val="Para 01"/>
        <w:keepLines w:val="on"/>
      </w:pPr>
      <w:r>
        <w:t>trong tốc độ tăng trưởng ổn định, 389</w:t>
      </w:r>
      <w:bookmarkEnd w:id="9072"/>
    </w:p>
    <w:p>
      <w:bookmarkStart w:id="9073" w:name="PBV_ratios__See_Price_book_value"/>
      <w:pPr>
        <w:pStyle w:val="Para 10"/>
        <w:keepLines w:val="on"/>
      </w:pPr>
      <w:r>
        <w:t>Tỷ lệ PBV. Xem Tỷ lệ giá trên giá trị sổ sách (Price-book value – PBV)</w:t>
      </w:r>
      <w:bookmarkEnd w:id="9073"/>
    </w:p>
    <w:p>
      <w:bookmarkStart w:id="9074" w:name="Peer_groups__application_test__5"/>
      <w:pPr>
        <w:pStyle w:val="Para 01"/>
        <w:keepLines w:val="on"/>
      </w:pPr>
      <w:r>
        <w:t>Nhóm so sánh (Peer groups), kiểm định ứng dụng, 526</w:t>
      </w:r>
      <w:bookmarkEnd w:id="9074"/>
    </w:p>
    <w:p>
      <w:bookmarkStart w:id="9075" w:name="PEG_ratio__PE_ratio_to_growth"/>
      <w:pPr>
        <w:pStyle w:val="Para 01"/>
        <w:keepLines w:val="on"/>
      </w:pPr>
      <w:r>
        <w:t>Tỷ lệ PEG (tỷ lệ PE trên tăng trưởng)</w:t>
      </w:r>
      <w:bookmarkEnd w:id="9075"/>
    </w:p>
    <w:p>
      <w:bookmarkStart w:id="9077" w:name="for_comparisons__561_565"/>
      <w:pPr>
        <w:pStyle w:val="Para 01"/>
        <w:keepLines w:val="on"/>
      </w:pPr>
      <w:r>
        <w:t>để so sánh, 561–565</w:t>
      </w:r>
      <w:bookmarkEnd w:id="9077"/>
    </w:p>
    <w:p>
      <w:bookmarkStart w:id="9078" w:name="cross_sectional_distribution_of"/>
      <w:pPr>
        <w:pStyle w:val="Para 01"/>
        <w:keepLines w:val="on"/>
      </w:pPr>
      <w:r>
        <w:t>phân phối cắt ngang của, 557–558</w:t>
      </w:r>
      <w:bookmarkEnd w:id="9078"/>
    </w:p>
    <w:p>
      <w:bookmarkStart w:id="9079" w:name="determinants_of__558_561"/>
      <w:pPr>
        <w:pStyle w:val="Para 01"/>
        <w:keepLines w:val="on"/>
      </w:pPr>
      <w:r>
        <w:t>các yếu tố quyết định của, 558–561</w:t>
      </w:r>
      <w:bookmarkEnd w:id="9079"/>
    </w:p>
    <w:p>
      <w:bookmarkStart w:id="9080" w:name="explanation_of__555_557"/>
      <w:pPr>
        <w:pStyle w:val="Para 01"/>
        <w:keepLines w:val="on"/>
      </w:pPr>
      <w:r>
        <w:t>giải thích về, 555–557</w:t>
      </w:r>
      <w:bookmarkEnd w:id="9080"/>
    </w:p>
    <w:p>
      <w:bookmarkStart w:id="9081" w:name="Pension_funds__41__499__500"/>
      <w:pPr>
        <w:pStyle w:val="Para 01"/>
        <w:keepLines w:val="on"/>
      </w:pPr>
      <w:r>
        <w:t>Quỹ hưu trí (Pension funds), 41, 499, 500</w:t>
      </w:r>
      <w:bookmarkEnd w:id="9081"/>
    </w:p>
    <w:p>
      <w:bookmarkStart w:id="9082" w:name="PE_ratios__See_Price_earnings__P"/>
      <w:pPr>
        <w:pStyle w:val="Para 10"/>
        <w:keepLines w:val="on"/>
      </w:pPr>
      <w:r>
        <w:t>Tỷ lệ PE. Xem Tỷ lệ giá trên thu nhập (Price-earnings – PE)</w:t>
      </w:r>
      <w:bookmarkEnd w:id="9082"/>
    </w:p>
    <w:p>
      <w:bookmarkStart w:id="9083" w:name="Per_share_value__of_young_or_sta"/>
      <w:pPr>
        <w:pStyle w:val="Para 01"/>
        <w:keepLines w:val="on"/>
      </w:pPr>
      <w:r>
        <w:t>Giá trị trên mỗi cổ phần, của các công ty non trẻ hoặc khởi nghiệp, 749–750</w:t>
      </w:r>
      <w:bookmarkEnd w:id="9083"/>
    </w:p>
    <w:p>
      <w:bookmarkStart w:id="9084" w:name="Personal_component__businesses_w"/>
      <w:pPr>
        <w:pStyle w:val="Para 01"/>
        <w:keepLines w:val="on"/>
      </w:pPr>
      <w:r>
        <w:t>Thành phần cá nhân, các doanh nghiệp có, 877–881</w:t>
      </w:r>
      <w:bookmarkEnd w:id="9084"/>
    </w:p>
    <w:p>
      <w:bookmarkStart w:id="9085" w:name="Personal_expenses__768"/>
      <w:pPr>
        <w:pStyle w:val="Para 01"/>
        <w:keepLines w:val="on"/>
      </w:pPr>
      <w:r>
        <w:t>Chi phí cá nhân, 768</w:t>
      </w:r>
      <w:bookmarkEnd w:id="9085"/>
    </w:p>
    <w:p>
      <w:bookmarkStart w:id="9086" w:name="Pittsburgh_Steelers__898__901"/>
      <w:pPr>
        <w:pStyle w:val="Para 01"/>
        <w:keepLines w:val="on"/>
      </w:pPr>
      <w:r>
        <w:t>Pittsburgh Steelers, 898, 901</w:t>
      </w:r>
      <w:bookmarkEnd w:id="9086"/>
    </w:p>
    <w:p>
      <w:bookmarkStart w:id="9087" w:name="Poorly_managed_firms__acquisitio"/>
      <w:pPr>
        <w:pStyle w:val="Para 01"/>
        <w:keepLines w:val="on"/>
      </w:pPr>
      <w:r>
        <w:t>Các công ty được quản lý kém, việc mua lại, 802–804</w:t>
      </w:r>
      <w:bookmarkEnd w:id="9087"/>
    </w:p>
    <w:p>
      <w:bookmarkStart w:id="9088" w:name="Portfolio_management__payoff_to"/>
      <w:pPr>
        <w:pStyle w:val="Para 01"/>
        <w:keepLines w:val="on"/>
      </w:pPr>
      <w:r>
        <w:t>Quản lý danh mục đầu tư</w:t>
      </w:r>
      <w:bookmarkEnd w:id="9088"/>
    </w:p>
    <w:p>
      <w:bookmarkStart w:id="9089" w:name="payoff_to_active__150"/>
      <w:pPr>
        <w:pStyle w:val="Para 01"/>
        <w:keepLines w:val="on"/>
      </w:pPr>
      <w:r>
        <w:t>lợi nhuận kỳ vọng từ hoạt động chủ động, 150</w:t>
      </w:r>
      <w:bookmarkEnd w:id="9089"/>
    </w:p>
    <w:p>
      <w:bookmarkStart w:id="9090" w:name="valuation_in__7_9"/>
      <w:pPr>
        <w:pStyle w:val="Para 01"/>
        <w:keepLines w:val="on"/>
      </w:pPr>
      <w:r>
        <w:t>định giá trong, 7–9</w:t>
      </w:r>
      <w:bookmarkEnd w:id="9090"/>
    </w:p>
    <w:p>
      <w:bookmarkStart w:id="9091" w:name="Portfolio_studies__121_123"/>
      <w:pPr>
        <w:pStyle w:val="Para 01"/>
        <w:keepLines w:val="on"/>
      </w:pPr>
      <w:r>
        <w:t>Các nghiên cứu về danh mục đầu tư, 121–123</w:t>
      </w:r>
      <w:bookmarkEnd w:id="9091"/>
    </w:p>
    <w:p>
      <w:bookmarkStart w:id="9092" w:name="Power_law_distribution__74_75"/>
      <w:pPr>
        <w:pStyle w:val="Para 01"/>
        <w:keepLines w:val="on"/>
      </w:pPr>
      <w:r>
        <w:t>Phân phối theo quy luật lũy thừa (power-law distribution), 74–75</w:t>
      </w:r>
      <w:bookmarkEnd w:id="9092"/>
    </w:p>
    <w:p>
      <w:bookmarkStart w:id="9093" w:name="Precious_metals__890_891"/>
      <w:pPr>
        <w:pStyle w:val="Para 01"/>
        <w:keepLines w:val="on"/>
      </w:pPr>
      <w:r>
        <w:t>Kim loại quý, 890–891</w:t>
      </w:r>
      <w:bookmarkEnd w:id="9093"/>
    </w:p>
    <w:p>
      <w:bookmarkStart w:id="9094" w:name="Preferred_dividends__409_410"/>
      <w:pPr>
        <w:pStyle w:val="Para 01"/>
        <w:keepLines w:val="on"/>
      </w:pPr>
      <w:r>
        <w:t>Cổ tức cổ phiếu ưu đãi, 409–410</w:t>
      </w:r>
      <w:bookmarkEnd w:id="9094"/>
    </w:p>
    <w:p>
      <w:bookmarkStart w:id="9095" w:name="Preferred_stock__cost_of__226_va"/>
      <w:pPr>
        <w:pStyle w:val="Para 01"/>
        <w:keepLines w:val="on"/>
      </w:pPr>
      <w:r>
        <w:t>Cổ phiếu ưu đãi</w:t>
      </w:r>
      <w:bookmarkEnd w:id="9095"/>
    </w:p>
    <w:p>
      <w:bookmarkStart w:id="9096" w:name="cost_of__226"/>
      <w:pPr>
        <w:pStyle w:val="Para 01"/>
        <w:keepLines w:val="on"/>
      </w:pPr>
      <w:r>
        <w:t>chi phí của, 226</w:t>
      </w:r>
      <w:bookmarkEnd w:id="9096"/>
    </w:p>
    <w:p>
      <w:bookmarkStart w:id="9097" w:name="value_of__42__43"/>
      <w:pPr>
        <w:pStyle w:val="Para 01"/>
        <w:keepLines w:val="on"/>
      </w:pPr>
      <w:r>
        <w:t>giá trị của, 42, 43</w:t>
      </w:r>
      <w:bookmarkEnd w:id="9097"/>
    </w:p>
    <w:p>
      <w:bookmarkStart w:id="9098" w:name="Premiums__on_marketable_securiti"/>
      <w:pPr>
        <w:pStyle w:val="Para 01"/>
        <w:keepLines w:val="on"/>
      </w:pPr>
      <w:r>
        <w:t>Phần bù (premium), đối với chứng khoán có thể bán được, 490–491</w:t>
      </w:r>
      <w:bookmarkEnd w:id="9098"/>
    </w:p>
    <w:p>
      <w:bookmarkStart w:id="9099" w:name="Present_value__of_cash_flows__91"/>
      <w:pPr>
        <w:pStyle w:val="Para 01"/>
        <w:keepLines w:val="on"/>
      </w:pPr>
      <w:r>
        <w:t>Giá trị hiện tại</w:t>
      </w:r>
      <w:bookmarkEnd w:id="9099"/>
    </w:p>
    <w:p>
      <w:bookmarkStart w:id="9100" w:name="of_cash_flows__912_913"/>
      <w:pPr>
        <w:pStyle w:val="Para 01"/>
        <w:keepLines w:val="on"/>
      </w:pPr>
      <w:r>
        <w:t>của dòng tiền, 912–913</w:t>
      </w:r>
      <w:bookmarkEnd w:id="9100"/>
    </w:p>
    <w:p>
      <w:bookmarkStart w:id="9101" w:name="and_discounted_cash_flow_valuati"/>
      <w:pPr>
        <w:pStyle w:val="Para 01"/>
        <w:keepLines w:val="on"/>
      </w:pPr>
      <w:r>
        <w:t>và định giá theo dòng tiền chiết khấu, 14</w:t>
      </w:r>
      <w:bookmarkEnd w:id="9101"/>
    </w:p>
    <w:p>
      <w:bookmarkStart w:id="9102" w:name="net__921__956__1009_1010"/>
      <w:pPr>
        <w:pStyle w:val="Para 01"/>
        <w:keepLines w:val="on"/>
      </w:pPr>
      <w:r>
        <w:t>giá trị hiện tại ròng, 921, 956, 1009–1010</w:t>
      </w:r>
      <w:bookmarkEnd w:id="9102"/>
    </w:p>
    <w:p>
      <w:bookmarkStart w:id="9103" w:name="Price_changes__time_series_prope"/>
      <w:pPr>
        <w:pStyle w:val="Para 01"/>
        <w:keepLines w:val="on"/>
      </w:pPr>
      <w:r>
        <w:t>Thay đổi giá, đặc tính chuỗi thời gian của, 125–132</w:t>
      </w:r>
      <w:bookmarkEnd w:id="9103"/>
    </w:p>
    <w:p>
      <w:bookmarkStart w:id="9104" w:name="Price_earnings__PE__ratios__See"/>
      <w:pPr>
        <w:pStyle w:val="Para 01"/>
        <w:keepLines w:val="on"/>
      </w:pPr>
      <w:r>
        <w:t>Tỷ lệ giá trên thu nhập (PE). Xem thêm tỷ lệ PEG (tỷ lệ PE trên tăng trưởng)</w:t>
      </w:r>
      <w:bookmarkEnd w:id="9104"/>
    </w:p>
    <w:p>
      <w:bookmarkStart w:id="9105" w:name="acquisitions_to_increase__817_1"/>
      <w:pPr>
        <w:pStyle w:val="Para 01"/>
        <w:keepLines w:val="on"/>
      </w:pPr>
      <w:r>
        <w:t>các thương vụ mua lại nhằm gia tăng, 817</w:t>
      </w:r>
      <w:bookmarkEnd w:id="9105"/>
    </w:p>
    <w:p>
      <w:bookmarkStart w:id="9106" w:name="across_countries__546_548"/>
      <w:pPr>
        <w:pStyle w:val="Para 01"/>
        <w:keepLines w:val="on"/>
      </w:pPr>
      <w:r>
        <w:t>giữa các quốc gia, 546–548</w:t>
      </w:r>
      <w:bookmarkEnd w:id="9106"/>
    </w:p>
    <w:p>
      <w:bookmarkStart w:id="9107" w:name="across_firms_in_market__551_555"/>
      <w:pPr>
        <w:pStyle w:val="Para 01"/>
        <w:keepLines w:val="on"/>
      </w:pPr>
      <w:r>
        <w:t>giữa các doanh nghiệp trên thị trường, 551–555</w:t>
      </w:r>
      <w:bookmarkEnd w:id="9107"/>
    </w:p>
    <w:p>
      <w:bookmarkStart w:id="9108" w:name="across_firms_in_sector__548_550"/>
      <w:pPr>
        <w:pStyle w:val="Para 01"/>
        <w:keepLines w:val="on"/>
      </w:pPr>
      <w:r>
        <w:t>giữa các doanh nghiệp trong cùng ngành, 548–550</w:t>
      </w:r>
      <w:bookmarkEnd w:id="9108"/>
    </w:p>
    <w:p>
      <w:bookmarkStart w:id="9109" w:name="for_comparisons__543_555"/>
      <w:pPr>
        <w:pStyle w:val="Para 01"/>
        <w:keepLines w:val="on"/>
      </w:pPr>
      <w:r>
        <w:t>để so sánh, 543–555</w:t>
      </w:r>
      <w:bookmarkEnd w:id="9109"/>
    </w:p>
    <w:p>
      <w:bookmarkStart w:id="9110" w:name="determinants_of__537_543"/>
      <w:pPr>
        <w:pStyle w:val="Para 01"/>
        <w:keepLines w:val="on"/>
      </w:pPr>
      <w:r>
        <w:t>các yếu tố quyết định, 537–543</w:t>
      </w:r>
      <w:bookmarkEnd w:id="9110"/>
    </w:p>
    <w:p>
      <w:bookmarkStart w:id="9111" w:name="discounted_cash_flow_perspective"/>
      <w:pPr>
        <w:pStyle w:val="Para 01"/>
        <w:keepLines w:val="on"/>
      </w:pPr>
      <w:r>
        <w:t>góc nhìn dòng tiền chiết khấu về, 537–540</w:t>
      </w:r>
      <w:bookmarkEnd w:id="9111"/>
    </w:p>
    <w:p>
      <w:bookmarkStart w:id="9112" w:name="expected_extraordinary_growth_an"/>
      <w:pPr>
        <w:pStyle w:val="Para 01"/>
        <w:keepLines w:val="on"/>
      </w:pPr>
      <w:r>
        <w:t>tăng trưởng phi thường kỳ vọng và, 540–541</w:t>
      </w:r>
      <w:bookmarkEnd w:id="9112"/>
    </w:p>
    <w:p>
      <w:bookmarkStart w:id="9113" w:name="explanation_of__521_523__533_534"/>
      <w:pPr>
        <w:pStyle w:val="Para 01"/>
        <w:keepLines w:val="on"/>
      </w:pPr>
      <w:r>
        <w:t>giải thích về, 521–523, 533–534</w:t>
      </w:r>
      <w:bookmarkEnd w:id="9113"/>
    </w:p>
    <w:p>
      <w:bookmarkStart w:id="9114" w:name="for_financial_service_firm_valua"/>
      <w:pPr>
        <w:pStyle w:val="Para 01"/>
        <w:keepLines w:val="on"/>
      </w:pPr>
      <w:r>
        <w:t>để định giá công ty dịch vụ tài chính, 675–678</w:t>
      </w:r>
      <w:bookmarkEnd w:id="9114"/>
    </w:p>
    <w:p>
      <w:bookmarkStart w:id="9115" w:name="forward_future__537__538__566_56"/>
      <w:pPr>
        <w:pStyle w:val="Para 01"/>
        <w:keepLines w:val="on"/>
      </w:pPr>
      <w:r>
        <w:t>kỳ hạn/tương lai, 537, 538, 566–568</w:t>
      </w:r>
      <w:bookmarkEnd w:id="9115"/>
    </w:p>
    <w:p>
      <w:bookmarkStart w:id="9116" w:name="for_high_growth_firms__537_539"/>
      <w:pPr>
        <w:pStyle w:val="Para 01"/>
        <w:keepLines w:val="on"/>
      </w:pPr>
      <w:r>
        <w:t>cho các công ty tăng trưởng cao, 537–539</w:t>
      </w:r>
      <w:bookmarkEnd w:id="9116"/>
    </w:p>
    <w:p>
      <w:bookmarkStart w:id="9117" w:name="for_market__across_time__543_545"/>
      <w:pPr>
        <w:pStyle w:val="Para 01"/>
        <w:keepLines w:val="on"/>
      </w:pPr>
      <w:r>
        <w:t>cho thị trường, qua thời gian, 543–545</w:t>
      </w:r>
      <w:bookmarkEnd w:id="9117"/>
    </w:p>
    <w:p>
      <w:bookmarkStart w:id="9118" w:name="market_distribution_of__534_536"/>
      <w:pPr>
        <w:pStyle w:val="Para 01"/>
        <w:keepLines w:val="on"/>
      </w:pPr>
      <w:r>
        <w:t>phân phối thị trường của, 534–536</w:t>
      </w:r>
      <w:bookmarkEnd w:id="9118"/>
    </w:p>
    <w:p>
      <w:bookmarkStart w:id="9119" w:name="portfolio_studies_and__122_123"/>
      <w:pPr>
        <w:pStyle w:val="Para 01"/>
        <w:keepLines w:val="on"/>
      </w:pPr>
      <w:r>
        <w:t>các nghiên cứu danh mục đầu tư và, 122–123</w:t>
      </w:r>
      <w:bookmarkEnd w:id="9119"/>
    </w:p>
    <w:p>
      <w:bookmarkStart w:id="9120" w:name="before_R_D_expenses__567_568"/>
      <w:pPr>
        <w:pStyle w:val="Para 01"/>
        <w:keepLines w:val="on"/>
      </w:pPr>
      <w:r>
        <w:t>trước chi phí R&amp;D, 567–568</w:t>
      </w:r>
      <w:bookmarkEnd w:id="9120"/>
    </w:p>
    <w:p>
      <w:bookmarkStart w:id="9121" w:name="relative__565_567"/>
      <w:pPr>
        <w:pStyle w:val="Para 01"/>
        <w:keepLines w:val="on"/>
      </w:pPr>
      <w:r>
        <w:t>tương đối, 565–567</w:t>
      </w:r>
      <w:bookmarkEnd w:id="9121"/>
    </w:p>
    <w:p>
      <w:bookmarkStart w:id="9122" w:name="in_relative_valuation__527_529"/>
      <w:pPr>
        <w:pStyle w:val="Para 01"/>
        <w:keepLines w:val="on"/>
      </w:pPr>
      <w:r>
        <w:t>trong định giá tương đối, 527–529</w:t>
      </w:r>
      <w:bookmarkEnd w:id="9122"/>
    </w:p>
    <w:p>
      <w:bookmarkStart w:id="9123" w:name="risk_and__541_543"/>
      <w:pPr>
        <w:pStyle w:val="Para 01"/>
        <w:keepLines w:val="on"/>
      </w:pPr>
      <w:r>
        <w:t>rủi ro và, 541–543</w:t>
      </w:r>
      <w:bookmarkEnd w:id="9123"/>
    </w:p>
    <w:p>
      <w:bookmarkStart w:id="9124" w:name="stocks_with_low__138_140"/>
      <w:pPr>
        <w:pStyle w:val="Para 01"/>
        <w:keepLines w:val="on"/>
      </w:pPr>
      <w:r>
        <w:t>cổ phiếu có thấp, 138–140</w:t>
      </w:r>
      <w:bookmarkEnd w:id="9124"/>
    </w:p>
    <w:p>
      <w:bookmarkStart w:id="9125" w:name="trailing__537__538__558_559"/>
      <w:pPr>
        <w:pStyle w:val="Para 01"/>
        <w:keepLines w:val="on"/>
      </w:pPr>
      <w:r>
        <w:t>theo sau, 537, 538, 558–559</w:t>
      </w:r>
      <w:bookmarkEnd w:id="9125"/>
    </w:p>
    <w:p>
      <w:bookmarkStart w:id="9126" w:name="Price_enhancement__1002"/>
      <w:pPr>
        <w:pStyle w:val="Para 01"/>
        <w:keepLines w:val="on"/>
      </w:pPr>
      <w:r>
        <w:t>Tăng cường giá, 1002</w:t>
      </w:r>
      <w:bookmarkEnd w:id="9126"/>
    </w:p>
    <w:p>
      <w:bookmarkStart w:id="9127" w:name="Price_momentum__78__129"/>
      <w:pPr>
        <w:pStyle w:val="Para 01"/>
        <w:keepLines w:val="on"/>
      </w:pPr>
      <w:r>
        <w:t>Đà giá, 78, 129</w:t>
      </w:r>
      <w:bookmarkEnd w:id="9127"/>
    </w:p>
    <w:p>
      <w:bookmarkStart w:id="9128" w:name="Price_movement__long_term__128_1"/>
      <w:pPr>
        <w:pStyle w:val="Para 01"/>
        <w:keepLines w:val="on"/>
      </w:pPr>
      <w:r>
        <w:t>Biến động giá</w:t>
      </w:r>
      <w:bookmarkEnd w:id="9128"/>
    </w:p>
    <w:p>
      <w:bookmarkStart w:id="9129" w:name="long_term__128_130"/>
      <w:pPr>
        <w:pStyle w:val="Para 01"/>
        <w:keepLines w:val="on"/>
      </w:pPr>
      <w:r>
        <w:t>dài hạn, 128–130</w:t>
      </w:r>
      <w:bookmarkEnd w:id="9129"/>
    </w:p>
    <w:p>
      <w:bookmarkStart w:id="9130" w:name="short_term__125_128"/>
      <w:pPr>
        <w:pStyle w:val="Para 01"/>
        <w:keepLines w:val="on"/>
      </w:pPr>
      <w:r>
        <w:t>ngắn hạn, 125–128</w:t>
      </w:r>
      <w:bookmarkEnd w:id="9130"/>
    </w:p>
    <w:p>
      <w:bookmarkStart w:id="9131" w:name="Price_reversal__129_130"/>
      <w:pPr>
        <w:pStyle w:val="Para 01"/>
        <w:keepLines w:val="on"/>
      </w:pPr>
      <w:r>
        <w:t>Đảo chiều giá, 129–130</w:t>
      </w:r>
      <w:bookmarkEnd w:id="9131"/>
    </w:p>
    <w:p>
      <w:bookmarkStart w:id="9132" w:name="Prices__gold__886_890_individual"/>
      <w:pPr>
        <w:pStyle w:val="Para 01"/>
        <w:keepLines w:val="on"/>
      </w:pPr>
      <w:r>
        <w:t>Giá</w:t>
      </w:r>
      <w:bookmarkEnd w:id="9132"/>
    </w:p>
    <w:p>
      <w:bookmarkStart w:id="9133" w:name="gold__886_890"/>
      <w:pPr>
        <w:pStyle w:val="Para 01"/>
        <w:keepLines w:val="on"/>
      </w:pPr>
      <w:r>
        <w:t>vàng, 886–890</w:t>
      </w:r>
      <w:bookmarkEnd w:id="9133"/>
    </w:p>
    <w:p>
      <w:bookmarkStart w:id="9134" w:name="individual_asset_class__844_845"/>
      <w:pPr>
        <w:pStyle w:val="Para 01"/>
        <w:keepLines w:val="on"/>
      </w:pPr>
      <w:r>
        <w:t>từng loại tài sản riêng lẻ, 844–845</w:t>
      </w:r>
      <w:bookmarkEnd w:id="9134"/>
    </w:p>
    <w:p>
      <w:bookmarkStart w:id="9135" w:name="stock__120_121__505"/>
      <w:pPr>
        <w:pStyle w:val="Para 01"/>
        <w:keepLines w:val="on"/>
      </w:pPr>
      <w:r>
        <w:t>cổ phiếu, 120–121, 505</w:t>
      </w:r>
      <w:bookmarkEnd w:id="9135"/>
    </w:p>
    <w:p>
      <w:bookmarkStart w:id="9136" w:name="trophy_asset__898_901"/>
      <w:pPr>
        <w:pStyle w:val="Para 01"/>
        <w:keepLines w:val="on"/>
      </w:pPr>
      <w:r>
        <w:t>tài sản danh giá, 898–901</w:t>
      </w:r>
      <w:bookmarkEnd w:id="9136"/>
    </w:p>
    <w:p>
      <w:bookmarkStart w:id="9137" w:name="Price_to_book_ratio__140_141__51"/>
      <w:pPr>
        <w:pStyle w:val="Para 01"/>
        <w:keepLines w:val="on"/>
      </w:pPr>
      <w:r>
        <w:t>Tỷ lệ giá trên giá trị sổ sách, 140–141, 517</w:t>
      </w:r>
      <w:bookmarkEnd w:id="9137"/>
    </w:p>
    <w:p>
      <w:bookmarkStart w:id="9138" w:name="across_firms_in_sector__592_597"/>
      <w:pPr>
        <w:pStyle w:val="Para 01"/>
        <w:keepLines w:val="on"/>
      </w:pPr>
      <w:r>
        <w:t>trên các công ty trong ngành, 592–597</w:t>
      </w:r>
      <w:bookmarkEnd w:id="9138"/>
    </w:p>
    <w:p>
      <w:bookmarkStart w:id="9139" w:name="adjusting__for_buybacks_and_acqu"/>
      <w:pPr>
        <w:pStyle w:val="Para 01"/>
        <w:keepLines w:val="on"/>
      </w:pPr>
      <w:r>
        <w:t>điều chỉnh, cho việc mua lại cổ phiếu và thâu tóm, 583</w:t>
      </w:r>
      <w:bookmarkEnd w:id="9139"/>
    </w:p>
    <w:p>
      <w:bookmarkStart w:id="9140" w:name="analysis_of__584_586"/>
      <w:pPr>
        <w:pStyle w:val="Para 01"/>
        <w:keepLines w:val="on"/>
      </w:pPr>
      <w:r>
        <w:t>phân tích về, 584–586</w:t>
      </w:r>
      <w:bookmarkEnd w:id="9140"/>
    </w:p>
    <w:p>
      <w:bookmarkStart w:id="9141" w:name="applications_of__592_601"/>
      <w:pPr>
        <w:pStyle w:val="Para 01"/>
        <w:keepLines w:val="on"/>
      </w:pPr>
      <w:r>
        <w:t>các ứng dụng của, 592–601</w:t>
      </w:r>
      <w:bookmarkEnd w:id="9141"/>
    </w:p>
    <w:p>
      <w:bookmarkStart w:id="9142" w:name="disadvantages_of__581_582"/>
      <w:pPr>
        <w:pStyle w:val="Para 01"/>
        <w:keepLines w:val="on"/>
      </w:pPr>
      <w:r>
        <w:t>những hạn chế của, 581–582</w:t>
      </w:r>
      <w:bookmarkEnd w:id="9142"/>
    </w:p>
    <w:p>
      <w:bookmarkStart w:id="9143" w:name="estimating__524"/>
      <w:pPr>
        <w:pStyle w:val="Para 01"/>
        <w:keepLines w:val="on"/>
      </w:pPr>
      <w:r>
        <w:t>ước tính, 524</w:t>
      </w:r>
      <w:bookmarkEnd w:id="9143"/>
    </w:p>
    <w:p>
      <w:bookmarkStart w:id="9144" w:name="explanation_of__582_583"/>
      <w:pPr>
        <w:pStyle w:val="Para 01"/>
        <w:keepLines w:val="on"/>
      </w:pPr>
      <w:r>
        <w:t>giải thích về, 582–583</w:t>
      </w:r>
      <w:bookmarkEnd w:id="9144"/>
    </w:p>
    <w:p>
      <w:bookmarkStart w:id="9145" w:name="for_financial_service_firm_valua_1"/>
      <w:pPr>
        <w:pStyle w:val="Para 01"/>
        <w:keepLines w:val="on"/>
      </w:pPr>
      <w:r>
        <w:t>để định giá công ty dịch vụ tài chính, 678–680</w:t>
      </w:r>
      <w:bookmarkEnd w:id="9145"/>
    </w:p>
    <w:p>
      <w:bookmarkStart w:id="9146" w:name="for_firm_across_time__599_601"/>
      <w:pPr>
        <w:pStyle w:val="Para 01"/>
        <w:keepLines w:val="on"/>
      </w:pPr>
      <w:r>
        <w:t>cho công ty qua thời gian, 599–601</w:t>
      </w:r>
      <w:bookmarkEnd w:id="9146"/>
    </w:p>
    <w:p>
      <w:bookmarkStart w:id="9147" w:name="for_firms_across_market__597_599"/>
      <w:pPr>
        <w:pStyle w:val="Para 01"/>
        <w:keepLines w:val="on"/>
      </w:pPr>
      <w:r>
        <w:t>cho các công ty trên thị trường, 597–599</w:t>
      </w:r>
      <w:bookmarkEnd w:id="9147"/>
    </w:p>
    <w:p>
      <w:bookmarkStart w:id="9148" w:name="for_high_growth_firms__587_589"/>
      <w:pPr>
        <w:pStyle w:val="Para 01"/>
        <w:keepLines w:val="on"/>
      </w:pPr>
      <w:r>
        <w:t>cho các công ty tăng trưởng cao, 587–589</w:t>
      </w:r>
      <w:bookmarkEnd w:id="9148"/>
    </w:p>
    <w:p>
      <w:bookmarkStart w:id="9149" w:name="investment_strategies_using__602"/>
      <w:pPr>
        <w:pStyle w:val="Para 01"/>
        <w:keepLines w:val="on"/>
      </w:pPr>
      <w:r>
        <w:t>chiến lược đầu tư sử dụng, 602–603</w:t>
      </w:r>
      <w:bookmarkEnd w:id="9149"/>
    </w:p>
    <w:p>
      <w:bookmarkStart w:id="9150" w:name="for_market__592"/>
      <w:pPr>
        <w:pStyle w:val="Para 01"/>
        <w:keepLines w:val="on"/>
      </w:pPr>
      <w:r>
        <w:t>cho thị trường, 592</w:t>
      </w:r>
      <w:bookmarkEnd w:id="9150"/>
    </w:p>
    <w:p>
      <w:bookmarkStart w:id="9151" w:name="matrix_approach_to__593_594"/>
      <w:pPr>
        <w:pStyle w:val="Para 01"/>
        <w:keepLines w:val="on"/>
      </w:pPr>
      <w:r>
        <w:t>phương pháp ma trận cho, 593–594</w:t>
      </w:r>
      <w:bookmarkEnd w:id="9151"/>
    </w:p>
    <w:p>
      <w:bookmarkStart w:id="9152" w:name="reasons_for_use_of__581_1"/>
      <w:pPr>
        <w:pStyle w:val="Para 01"/>
        <w:keepLines w:val="on"/>
      </w:pPr>
      <w:r>
        <w:t>lý do sử dụng, 581</w:t>
      </w:r>
      <w:bookmarkEnd w:id="9152"/>
    </w:p>
    <w:p>
      <w:bookmarkStart w:id="9153" w:name="regression_approach_to__594_597"/>
      <w:pPr>
        <w:pStyle w:val="Para 01"/>
        <w:keepLines w:val="on"/>
      </w:pPr>
      <w:r>
        <w:t>phương pháp hồi quy cho, 594–597</w:t>
      </w:r>
      <w:bookmarkEnd w:id="9153"/>
    </w:p>
    <w:p>
      <w:bookmarkStart w:id="9154" w:name="return_on_equity_and__589_591"/>
      <w:pPr>
        <w:pStyle w:val="Para 01"/>
        <w:keepLines w:val="on"/>
      </w:pPr>
      <w:r>
        <w:t>tỷ suất sinh lời trên vốn chủ sở hữu và, 589–591</w:t>
      </w:r>
      <w:bookmarkEnd w:id="9154"/>
    </w:p>
    <w:p>
      <w:bookmarkStart w:id="9155" w:name="tangible_and_non_cash__601"/>
      <w:pPr>
        <w:pStyle w:val="Para 01"/>
        <w:keepLines w:val="on"/>
      </w:pPr>
      <w:r>
        <w:t>hữu hình và phi tiền mặt, 601</w:t>
      </w:r>
      <w:bookmarkEnd w:id="9155"/>
    </w:p>
    <w:p>
      <w:bookmarkStart w:id="9156" w:name="Price_to_sales__PS__ratios__517"/>
      <w:pPr>
        <w:pStyle w:val="Para 01"/>
        <w:keepLines w:val="on"/>
      </w:pPr>
      <w:r>
        <w:t>Tỷ lệ giá trên doanh thu (PS), 517</w:t>
      </w:r>
      <w:bookmarkEnd w:id="9156"/>
    </w:p>
    <w:p>
      <w:bookmarkStart w:id="9157" w:name="analysis_of__616_619"/>
      <w:pPr>
        <w:pStyle w:val="Para 01"/>
        <w:keepLines w:val="on"/>
      </w:pPr>
      <w:r>
        <w:t>phân tích về, 616–619</w:t>
      </w:r>
      <w:bookmarkEnd w:id="9157"/>
    </w:p>
    <w:p>
      <w:bookmarkStart w:id="9158" w:name="explanation__614_1"/>
      <w:pPr>
        <w:pStyle w:val="Para 01"/>
        <w:keepLines w:val="on"/>
      </w:pPr>
      <w:r>
        <w:t>giải thích, 614</w:t>
      </w:r>
      <w:bookmarkEnd w:id="9158"/>
    </w:p>
    <w:p>
      <w:bookmarkStart w:id="9159" w:name="for_high_growth_firm__617_619"/>
      <w:pPr>
        <w:pStyle w:val="Para 01"/>
        <w:keepLines w:val="on"/>
      </w:pPr>
      <w:r>
        <w:t>cho công ty tăng trưởng cao, 617–619</w:t>
      </w:r>
      <w:bookmarkEnd w:id="9159"/>
    </w:p>
    <w:p>
      <w:bookmarkStart w:id="9160" w:name="market_regression_for__641"/>
      <w:pPr>
        <w:pStyle w:val="Para 01"/>
        <w:keepLines w:val="on"/>
      </w:pPr>
      <w:r>
        <w:t>hồi quy thị trường cho, 641</w:t>
      </w:r>
      <w:bookmarkEnd w:id="9160"/>
    </w:p>
    <w:p>
      <w:bookmarkStart w:id="9161" w:name="and_net_margins__638_641"/>
      <w:pPr>
        <w:pStyle w:val="Para 01"/>
        <w:keepLines w:val="on"/>
      </w:pPr>
      <w:r>
        <w:t>và biên lợi nhuận ròng, 638–641</w:t>
      </w:r>
      <w:bookmarkEnd w:id="9161"/>
    </w:p>
    <w:p>
      <w:bookmarkStart w:id="9162" w:name="profit_margin_and__622_623"/>
      <w:pPr>
        <w:pStyle w:val="Para 01"/>
        <w:keepLines w:val="on"/>
      </w:pPr>
      <w:r>
        <w:t>biên lợi nhuận và, 622–623</w:t>
      </w:r>
      <w:bookmarkEnd w:id="9162"/>
    </w:p>
    <w:p>
      <w:bookmarkStart w:id="9163" w:name="Price_to_tangible_book_value__60"/>
      <w:pPr>
        <w:pStyle w:val="Para 01"/>
        <w:keepLines w:val="on"/>
      </w:pPr>
      <w:r>
        <w:t>Giá trên giá trị sổ sách hữu hình, 601</w:t>
      </w:r>
      <w:bookmarkEnd w:id="9163"/>
    </w:p>
    <w:p>
      <w:bookmarkStart w:id="9164" w:name="Price_volatility__for_natural_re"/>
      <w:pPr>
        <w:pStyle w:val="Para 01"/>
        <w:keepLines w:val="on"/>
      </w:pPr>
      <w:r>
        <w:t>Biến động giá, đối với các công ty tài nguyên thiên nhiên, 931</w:t>
      </w:r>
      <w:bookmarkEnd w:id="9164"/>
    </w:p>
    <w:p>
      <w:bookmarkStart w:id="9165" w:name="Pricing__gold__889_892_real_esta"/>
      <w:pPr>
        <w:pStyle w:val="Para 01"/>
        <w:keepLines w:val="on"/>
      </w:pPr>
      <w:r>
        <w:t>Định giá</w:t>
      </w:r>
      <w:bookmarkEnd w:id="9165"/>
    </w:p>
    <w:p>
      <w:bookmarkStart w:id="9166" w:name="gold__889_892"/>
      <w:pPr>
        <w:pStyle w:val="Para 01"/>
        <w:keepLines w:val="on"/>
      </w:pPr>
      <w:r>
        <w:t>vàng, 889–892</w:t>
      </w:r>
      <w:bookmarkEnd w:id="9166"/>
    </w:p>
    <w:p>
      <w:bookmarkStart w:id="9167" w:name="real_estate__860_861"/>
      <w:pPr>
        <w:pStyle w:val="Para 01"/>
        <w:keepLines w:val="on"/>
      </w:pPr>
      <w:r>
        <w:t>bất động sản, 860–861</w:t>
      </w:r>
      <w:bookmarkEnd w:id="9167"/>
    </w:p>
    <w:p>
      <w:bookmarkStart w:id="9168" w:name="strategy_for__624_627"/>
      <w:pPr>
        <w:pStyle w:val="Para 01"/>
        <w:keepLines w:val="on"/>
      </w:pPr>
      <w:r>
        <w:t>chiến lược định giá, 624–627</w:t>
      </w:r>
      <w:bookmarkEnd w:id="9168"/>
    </w:p>
    <w:p>
      <w:bookmarkStart w:id="9169" w:name="in_takeovers__797_799"/>
      <w:pPr>
        <w:pStyle w:val="Para 01"/>
        <w:keepLines w:val="on"/>
      </w:pPr>
      <w:r>
        <w:t>trong các thương vụ thâu tóm, 797–799</w:t>
      </w:r>
      <w:bookmarkEnd w:id="9169"/>
    </w:p>
    <w:p>
      <w:bookmarkStart w:id="9170" w:name="valuation_vs___2"/>
      <w:pPr>
        <w:pStyle w:val="Para 01"/>
        <w:keepLines w:val="on"/>
      </w:pPr>
      <w:r>
        <w:t>định giá so với định giá, 2</w:t>
      </w:r>
      <w:bookmarkEnd w:id="9170"/>
    </w:p>
    <w:p>
      <w:bookmarkStart w:id="9171" w:name="Pricing_error__79"/>
      <w:pPr>
        <w:pStyle w:val="Para 01"/>
        <w:keepLines w:val="on"/>
      </w:pPr>
      <w:r>
        <w:t>Sai số định giá, 79</w:t>
      </w:r>
      <w:bookmarkEnd w:id="9171"/>
    </w:p>
    <w:p>
      <w:bookmarkStart w:id="9172" w:name="Pricing_power__628_631__800"/>
      <w:pPr>
        <w:pStyle w:val="Para 01"/>
        <w:keepLines w:val="on"/>
      </w:pPr>
      <w:r>
        <w:t>Sức mạnh định giá, 628–631, 800</w:t>
      </w:r>
      <w:bookmarkEnd w:id="9172"/>
    </w:p>
    <w:p>
      <w:bookmarkStart w:id="9173" w:name="Private_equity__738__786_789"/>
      <w:pPr>
        <w:pStyle w:val="Para 01"/>
        <w:keepLines w:val="on"/>
      </w:pPr>
      <w:r>
        <w:t>Vốn cổ phần tư nhân, 738, 786–789</w:t>
      </w:r>
      <w:bookmarkEnd w:id="9173"/>
    </w:p>
    <w:p>
      <w:bookmarkStart w:id="9174" w:name="Private_firms__acquisition_of__8"/>
      <w:pPr>
        <w:pStyle w:val="Para 01"/>
        <w:keepLines w:val="on"/>
      </w:pPr>
      <w:r>
        <w:t>Các công ty tư nhân</w:t>
      </w:r>
      <w:bookmarkEnd w:id="9174"/>
    </w:p>
    <w:p>
      <w:bookmarkStart w:id="9175" w:name="acquisition_of__826_827"/>
      <w:pPr>
        <w:pStyle w:val="Para 01"/>
        <w:keepLines w:val="on"/>
      </w:pPr>
      <w:r>
        <w:t>thâu tóm, 826–827</w:t>
      </w:r>
      <w:bookmarkEnd w:id="9175"/>
    </w:p>
    <w:p>
      <w:bookmarkStart w:id="9176" w:name="cash_flows_for__767_771"/>
      <w:pPr>
        <w:pStyle w:val="Para 01"/>
        <w:keepLines w:val="on"/>
      </w:pPr>
      <w:r>
        <w:t>dòng tiền đối với, 767–771</w:t>
      </w:r>
      <w:bookmarkEnd w:id="9176"/>
    </w:p>
    <w:p>
      <w:bookmarkStart w:id="9177" w:name="characteristics_of__757_758"/>
      <w:pPr>
        <w:pStyle w:val="Para 01"/>
        <w:keepLines w:val="on"/>
      </w:pPr>
      <w:r>
        <w:t>đặc điểm của, 757–758</w:t>
      </w:r>
      <w:bookmarkEnd w:id="9177"/>
    </w:p>
    <w:p>
      <w:bookmarkStart w:id="9178" w:name="control_in__784_786"/>
      <w:pPr>
        <w:pStyle w:val="Para 01"/>
        <w:keepLines w:val="on"/>
      </w:pPr>
      <w:r>
        <w:t>quyền kiểm soát trong, 784–786</w:t>
      </w:r>
      <w:bookmarkEnd w:id="9178"/>
    </w:p>
    <w:p>
      <w:bookmarkStart w:id="9179" w:name="DCF_valuation_for__21"/>
      <w:pPr>
        <w:pStyle w:val="Para 01"/>
        <w:keepLines w:val="on"/>
      </w:pPr>
      <w:r>
        <w:t>định giá DCF đối với, 21</w:t>
      </w:r>
      <w:bookmarkEnd w:id="9179"/>
    </w:p>
    <w:p>
      <w:bookmarkStart w:id="9180" w:name="discount_rates_for__758_767"/>
      <w:pPr>
        <w:pStyle w:val="Para 01"/>
        <w:keepLines w:val="on"/>
      </w:pPr>
      <w:r>
        <w:t>tỷ lệ chiết khấu đối với, 758–767</w:t>
      </w:r>
      <w:bookmarkEnd w:id="9180"/>
    </w:p>
    <w:p>
      <w:bookmarkStart w:id="9181" w:name="growth_for__771_773"/>
      <w:pPr>
        <w:pStyle w:val="Para 01"/>
        <w:keepLines w:val="on"/>
      </w:pPr>
      <w:r>
        <w:t>tăng trưởng đối với, 771–773</w:t>
      </w:r>
      <w:bookmarkEnd w:id="9181"/>
    </w:p>
    <w:p>
      <w:bookmarkStart w:id="9182" w:name="historical_beta_for__199_200"/>
      <w:pPr>
        <w:pStyle w:val="Para 01"/>
        <w:keepLines w:val="on"/>
      </w:pPr>
      <w:r>
        <w:t>beta lịch sử đối với, 199–200</w:t>
      </w:r>
      <w:bookmarkEnd w:id="9182"/>
    </w:p>
    <w:p>
      <w:bookmarkStart w:id="9183" w:name="illiquidity_discounts_for__775_7"/>
      <w:pPr>
        <w:pStyle w:val="Para 01"/>
        <w:keepLines w:val="on"/>
      </w:pPr>
      <w:r>
        <w:t>chiết khấu do tính thanh khoản kém đối với, 775–781</w:t>
      </w:r>
      <w:bookmarkEnd w:id="9183"/>
    </w:p>
    <w:p>
      <w:bookmarkStart w:id="9184" w:name="_key_person__effect_on_value_of"/>
      <w:pPr>
        <w:pStyle w:val="Para 01"/>
        <w:keepLines w:val="on"/>
      </w:pPr>
      <w:r>
        <w:t>hiệu ứng “nhân vật chủ chốt” đối với giá trị của, 773–774</w:t>
      </w:r>
      <w:bookmarkEnd w:id="9184"/>
    </w:p>
    <w:p>
      <w:bookmarkStart w:id="9185" w:name="pricing_for__789_792"/>
      <w:pPr>
        <w:pStyle w:val="Para 01"/>
        <w:keepLines w:val="on"/>
      </w:pPr>
      <w:r>
        <w:t>định giá đối với, 789–792</w:t>
      </w:r>
      <w:bookmarkEnd w:id="9185"/>
    </w:p>
    <w:p>
      <w:bookmarkStart w:id="9186" w:name="valuation_inputs_for__758_781"/>
      <w:pPr>
        <w:pStyle w:val="Para 01"/>
        <w:keepLines w:val="on"/>
      </w:pPr>
      <w:r>
        <w:t>các đầu vào định giá đối với, 758–781</w:t>
      </w:r>
      <w:bookmarkEnd w:id="9186"/>
    </w:p>
    <w:p>
      <w:bookmarkStart w:id="9187" w:name="valuation_motives_and_value_esti"/>
      <w:pPr>
        <w:pStyle w:val="Para 01"/>
        <w:keepLines w:val="on"/>
      </w:pPr>
      <w:r>
        <w:t>động cơ định giá và ước tính giá trị đối với, 781–786</w:t>
      </w:r>
      <w:bookmarkEnd w:id="9187"/>
    </w:p>
    <w:p>
      <w:bookmarkStart w:id="9188" w:name="valuing_holdings_in__493_494"/>
      <w:pPr>
        <w:pStyle w:val="Para 01"/>
        <w:keepLines w:val="on"/>
      </w:pPr>
      <w:r>
        <w:t>định giá các khoản nắm giữ trong, 493–494</w:t>
      </w:r>
      <w:bookmarkEnd w:id="9188"/>
    </w:p>
    <w:p>
      <w:bookmarkStart w:id="9189" w:name="venture_capital_and_private_equi"/>
      <w:pPr>
        <w:pStyle w:val="Para 01"/>
        <w:keepLines w:val="on"/>
      </w:pPr>
      <w:r>
        <w:t>các khoản đầu tư vốn mạo hiểm và vốn cổ phần tư nhân trong, 786–789</w:t>
      </w:r>
      <w:bookmarkEnd w:id="9189"/>
    </w:p>
    <w:p>
      <w:bookmarkStart w:id="9191" w:name="Private_information__308"/>
      <w:pPr>
        <w:pStyle w:val="Para 01"/>
        <w:keepLines w:val="on"/>
      </w:pPr>
      <w:r>
        <w:t>Thông tin riêng tư, 308</w:t>
      </w:r>
      <w:bookmarkEnd w:id="9191"/>
    </w:p>
    <w:p>
      <w:bookmarkStart w:id="9192" w:name="Private_sales__782"/>
      <w:pPr>
        <w:pStyle w:val="Para 01"/>
        <w:keepLines w:val="on"/>
      </w:pPr>
      <w:r>
        <w:t>Giao dịch bán riêng tư, 782</w:t>
      </w:r>
      <w:bookmarkEnd w:id="9192"/>
    </w:p>
    <w:p>
      <w:bookmarkStart w:id="9193" w:name="Private_transaction_multiples__7"/>
      <w:pPr>
        <w:pStyle w:val="Para 01"/>
        <w:keepLines w:val="on"/>
      </w:pPr>
      <w:r>
        <w:t>Bội số giao dịch riêng tư, 789–790</w:t>
      </w:r>
      <w:bookmarkEnd w:id="9193"/>
    </w:p>
    <w:p>
      <w:bookmarkStart w:id="9194" w:name="Privatized_firms__718_719"/>
      <w:pPr>
        <w:pStyle w:val="Para 01"/>
        <w:keepLines w:val="on"/>
      </w:pPr>
      <w:r>
        <w:t>Các công ty đã tư nhân hóa, 718–719</w:t>
      </w:r>
      <w:bookmarkEnd w:id="9194"/>
    </w:p>
    <w:p>
      <w:bookmarkStart w:id="9195" w:name="Probabilistic_valuation_approach"/>
      <w:pPr>
        <w:pStyle w:val="Para 01"/>
        <w:keepLines w:val="on"/>
      </w:pPr>
      <w:r>
        <w:t>Các phương pháp định giá theo xác suất</w:t>
      </w:r>
      <w:bookmarkEnd w:id="9195"/>
    </w:p>
    <w:p>
      <w:bookmarkStart w:id="9196" w:name="comparison_of__1058_1059"/>
      <w:pPr>
        <w:pStyle w:val="Para 01"/>
        <w:keepLines w:val="on"/>
      </w:pPr>
      <w:r>
        <w:t>so sánh giữa các phương pháp, 1058–1059</w:t>
      </w:r>
      <w:bookmarkEnd w:id="9196"/>
    </w:p>
    <w:p>
      <w:bookmarkStart w:id="9197" w:name="as_complement_or_replacement_for"/>
      <w:pPr>
        <w:pStyle w:val="Para 01"/>
        <w:keepLines w:val="on"/>
      </w:pPr>
      <w:r>
        <w:t>như là sự bổ sung hoặc thay thế cho giá trị điều chỉnh theo rủi ro, 1059–1060</w:t>
      </w:r>
      <w:bookmarkEnd w:id="9197"/>
    </w:p>
    <w:p>
      <w:bookmarkStart w:id="9198" w:name="decision_trees__1038_1047"/>
      <w:pPr>
        <w:pStyle w:val="Para 01"/>
        <w:keepLines w:val="on"/>
      </w:pPr>
      <w:r>
        <w:t>cây quyết định, 1038–1047</w:t>
      </w:r>
      <w:bookmarkEnd w:id="9198"/>
    </w:p>
    <w:p>
      <w:bookmarkStart w:id="9199" w:name="overview_of__1033"/>
      <w:pPr>
        <w:pStyle w:val="Para 01"/>
        <w:keepLines w:val="on"/>
      </w:pPr>
      <w:r>
        <w:t>tổng quan về, 1033</w:t>
      </w:r>
      <w:bookmarkEnd w:id="9199"/>
    </w:p>
    <w:p>
      <w:bookmarkStart w:id="9200" w:name="scenario_analysis__1033_1038"/>
      <w:pPr>
        <w:pStyle w:val="Para 01"/>
        <w:keepLines w:val="on"/>
      </w:pPr>
      <w:r>
        <w:t>phân tích tình huống, 1033–1038</w:t>
      </w:r>
      <w:bookmarkEnd w:id="9200"/>
    </w:p>
    <w:p>
      <w:bookmarkStart w:id="9201" w:name="simulations__1047_1058"/>
      <w:pPr>
        <w:pStyle w:val="Para 01"/>
        <w:keepLines w:val="on"/>
      </w:pPr>
      <w:r>
        <w:t>mô phỏng, 1047–1058</w:t>
      </w:r>
      <w:bookmarkEnd w:id="9201"/>
    </w:p>
    <w:p>
      <w:bookmarkStart w:id="9202" w:name="Probabilistic_variables__for_sim"/>
      <w:pPr>
        <w:pStyle w:val="Para 01"/>
        <w:keepLines w:val="on"/>
      </w:pPr>
      <w:r>
        <w:t>Các biến xác suất, dùng cho mô phỏng, 1047–1048</w:t>
      </w:r>
      <w:bookmarkEnd w:id="9202"/>
    </w:p>
    <w:p>
      <w:bookmarkStart w:id="9203" w:name="Probabilities__in_decision_trees"/>
      <w:pPr>
        <w:pStyle w:val="Para 01"/>
        <w:keepLines w:val="on"/>
      </w:pPr>
      <w:r>
        <w:t>Xác suất, trong cây quyết định, 1040</w:t>
      </w:r>
      <w:bookmarkEnd w:id="9203"/>
    </w:p>
    <w:p>
      <w:bookmarkStart w:id="9204" w:name="Probability_distributions__for_s"/>
      <w:pPr>
        <w:pStyle w:val="Para 01"/>
        <w:keepLines w:val="on"/>
      </w:pPr>
      <w:r>
        <w:t>Phân phối xác suất, cho các biến mô phỏng, 1048–1050</w:t>
      </w:r>
      <w:bookmarkEnd w:id="9204"/>
    </w:p>
    <w:p>
      <w:bookmarkStart w:id="9205" w:name="Procter___Gamble__315__396_398"/>
      <w:pPr>
        <w:pStyle w:val="Para 01"/>
        <w:keepLines w:val="on"/>
      </w:pPr>
      <w:r>
        <w:t>Procter &amp; Gamble, 315, 396–398, 539–540, 555</w:t>
      </w:r>
      <w:bookmarkEnd w:id="9205"/>
    </w:p>
    <w:p>
      <w:bookmarkStart w:id="9206" w:name="Profitability__accounting_princi"/>
      <w:pPr>
        <w:pStyle w:val="Para 01"/>
        <w:keepLines w:val="on"/>
      </w:pPr>
      <w:r>
        <w:t>Khả năng sinh lời</w:t>
      </w:r>
      <w:bookmarkEnd w:id="9206"/>
    </w:p>
    <w:p>
      <w:bookmarkStart w:id="9207" w:name="accounting_principles_and__44_1"/>
      <w:pPr>
        <w:pStyle w:val="Para 01"/>
        <w:keepLines w:val="on"/>
      </w:pPr>
      <w:r>
        <w:t>các nguyên tắc kế toán và, 44</w:t>
      </w:r>
      <w:bookmarkEnd w:id="9207"/>
    </w:p>
    <w:p>
      <w:bookmarkStart w:id="9208" w:name="as_driver_of_value__375"/>
      <w:pPr>
        <w:pStyle w:val="Para 01"/>
        <w:keepLines w:val="on"/>
      </w:pPr>
      <w:r>
        <w:t>như là động lực của giá trị, 375</w:t>
      </w:r>
      <w:bookmarkEnd w:id="9208"/>
    </w:p>
    <w:p>
      <w:bookmarkStart w:id="9209" w:name="measuring__46_50"/>
      <w:pPr>
        <w:pStyle w:val="Para 01"/>
        <w:keepLines w:val="on"/>
      </w:pPr>
      <w:r>
        <w:t>đo lường, 46–50</w:t>
      </w:r>
      <w:bookmarkEnd w:id="9209"/>
    </w:p>
    <w:p>
      <w:bookmarkStart w:id="9210" w:name="Profitable_firms__expected_growt"/>
      <w:pPr>
        <w:pStyle w:val="Para 01"/>
        <w:keepLines w:val="on"/>
      </w:pPr>
      <w:r>
        <w:t>Các công ty có lợi nhuận, tăng trưởng kỳ vọng tại, 986–989</w:t>
      </w:r>
      <w:bookmarkEnd w:id="9210"/>
    </w:p>
    <w:p>
      <w:bookmarkStart w:id="9211" w:name="Profit_margins__revenue_multiple"/>
      <w:pPr>
        <w:pStyle w:val="Para 01"/>
        <w:keepLines w:val="on"/>
      </w:pPr>
      <w:r>
        <w:t>Biên lợi nhuận, bội số doanh thu và, 621–623</w:t>
      </w:r>
      <w:bookmarkEnd w:id="9211"/>
    </w:p>
    <w:p>
      <w:bookmarkStart w:id="9212" w:name="Project_delay_option__explanatio"/>
      <w:pPr>
        <w:pStyle w:val="Para 01"/>
        <w:keepLines w:val="on"/>
      </w:pPr>
      <w:r>
        <w:t>Quyền chọn trì hoãn dự án</w:t>
      </w:r>
      <w:bookmarkEnd w:id="9212"/>
    </w:p>
    <w:p>
      <w:bookmarkStart w:id="9213" w:name="explanation_of__910_911"/>
      <w:pPr>
        <w:pStyle w:val="Para 01"/>
        <w:keepLines w:val="on"/>
      </w:pPr>
      <w:r>
        <w:t>giải thích về, 910–911</w:t>
      </w:r>
      <w:bookmarkEnd w:id="9213"/>
    </w:p>
    <w:p>
      <w:bookmarkStart w:id="9214" w:name="implications_and_extensions_of"/>
      <w:pPr>
        <w:pStyle w:val="Para 01"/>
        <w:keepLines w:val="on"/>
      </w:pPr>
      <w:r>
        <w:t>những hàm ý và mở rộng của, 916–917</w:t>
      </w:r>
      <w:bookmarkEnd w:id="9214"/>
    </w:p>
    <w:p>
      <w:bookmarkStart w:id="9215" w:name="option_pricing_models_and__917_9"/>
      <w:pPr>
        <w:pStyle w:val="Para 01"/>
        <w:keepLines w:val="on"/>
      </w:pPr>
      <w:r>
        <w:t>các mô hình định giá quyền chọn và, 917–918</w:t>
      </w:r>
      <w:bookmarkEnd w:id="9215"/>
    </w:p>
    <w:p>
      <w:bookmarkStart w:id="9216" w:name="payoff_on__911_912"/>
      <w:pPr>
        <w:pStyle w:val="Para 01"/>
        <w:keepLines w:val="on"/>
      </w:pPr>
      <w:r>
        <w:t>khoản chi trả khi, 911–912</w:t>
      </w:r>
      <w:bookmarkEnd w:id="9216"/>
    </w:p>
    <w:p>
      <w:bookmarkStart w:id="9217" w:name="problems_in_valuing__916"/>
      <w:pPr>
        <w:pStyle w:val="Para 01"/>
        <w:keepLines w:val="on"/>
      </w:pPr>
      <w:r>
        <w:t>những vấn đề trong việc định giá, 916</w:t>
      </w:r>
      <w:bookmarkEnd w:id="9217"/>
    </w:p>
    <w:p>
      <w:bookmarkStart w:id="9218" w:name="valuation_inputs__912_916"/>
      <w:pPr>
        <w:pStyle w:val="Para 01"/>
        <w:keepLines w:val="on"/>
      </w:pPr>
      <w:r>
        <w:t>các đầu vào định giá, 912–916</w:t>
      </w:r>
      <w:bookmarkEnd w:id="9218"/>
    </w:p>
    <w:p>
      <w:bookmarkStart w:id="9219" w:name="Project_returns__at_stable_growt"/>
      <w:pPr>
        <w:pStyle w:val="Para 01"/>
        <w:keepLines w:val="on"/>
      </w:pPr>
      <w:r>
        <w:t>Lợi nhuận dự án, tại các công ty tăng trưởng ổn định, 350</w:t>
      </w:r>
      <w:bookmarkEnd w:id="9219"/>
    </w:p>
    <w:p>
      <w:bookmarkStart w:id="9220" w:name="Projects__announcements_regardin"/>
      <w:pPr>
        <w:pStyle w:val="Para 01"/>
        <w:keepLines w:val="on"/>
      </w:pPr>
      <w:r>
        <w:t>Các dự án</w:t>
      </w:r>
      <w:bookmarkEnd w:id="9220"/>
    </w:p>
    <w:p>
      <w:bookmarkStart w:id="9221" w:name="announcements_regarding__136_137"/>
      <w:pPr>
        <w:pStyle w:val="Para 01"/>
        <w:keepLines w:val="on"/>
      </w:pPr>
      <w:r>
        <w:t>những thông báo liên quan đến, 136–137</w:t>
      </w:r>
      <w:bookmarkEnd w:id="9221"/>
    </w:p>
    <w:p>
      <w:bookmarkStart w:id="9222" w:name="investing_in_risky__973"/>
      <w:pPr>
        <w:pStyle w:val="Para 01"/>
        <w:keepLines w:val="on"/>
      </w:pPr>
      <w:r>
        <w:t>đầu tư vào những dự án rủi ro, 973</w:t>
      </w:r>
      <w:bookmarkEnd w:id="9222"/>
    </w:p>
    <w:p>
      <w:bookmarkStart w:id="9223" w:name="multistage__941_942"/>
      <w:pPr>
        <w:pStyle w:val="Para 01"/>
        <w:keepLines w:val="on"/>
      </w:pPr>
      <w:r>
        <w:t>nhiều giai đoạn, 941–942</w:t>
      </w:r>
      <w:bookmarkEnd w:id="9223"/>
    </w:p>
    <w:p>
      <w:bookmarkStart w:id="9224" w:name="Proxy_models__77_79"/>
      <w:pPr>
        <w:pStyle w:val="Para 01"/>
        <w:keepLines w:val="on"/>
      </w:pPr>
      <w:r>
        <w:t>Các mô hình đại diện (Proxy models), 77–79</w:t>
      </w:r>
      <w:bookmarkEnd w:id="9224"/>
    </w:p>
    <w:p>
      <w:bookmarkStart w:id="9225" w:name="Pseudo_American_option_valuation"/>
      <w:pPr>
        <w:pStyle w:val="Para 01"/>
        <w:keepLines w:val="on"/>
      </w:pPr>
      <w:r>
        <w:t>Định giá quyền chọn kiểu Mỹ giả (Pseudo-American option valuation), 103–104</w:t>
      </w:r>
      <w:bookmarkEnd w:id="9225"/>
    </w:p>
    <w:p>
      <w:bookmarkStart w:id="9226" w:name="Public_information__308"/>
      <w:pPr>
        <w:pStyle w:val="Para 01"/>
        <w:keepLines w:val="on"/>
      </w:pPr>
      <w:r>
        <w:t>Thông tin công khai, 308</w:t>
      </w:r>
      <w:bookmarkEnd w:id="9226"/>
    </w:p>
    <w:p>
      <w:bookmarkStart w:id="9227" w:name="Publicly_traded_firms__acquisiti"/>
      <w:pPr>
        <w:pStyle w:val="Para 01"/>
        <w:keepLines w:val="on"/>
      </w:pPr>
      <w:r>
        <w:t>Các công ty niêm yết đại chúng</w:t>
      </w:r>
      <w:bookmarkEnd w:id="9227"/>
    </w:p>
    <w:p>
      <w:bookmarkStart w:id="9228" w:name="acquisition_of__826_827_1"/>
      <w:pPr>
        <w:pStyle w:val="Para 01"/>
        <w:keepLines w:val="on"/>
      </w:pPr>
      <w:r>
        <w:t>việc mua lại, 826–827</w:t>
      </w:r>
      <w:bookmarkEnd w:id="9228"/>
    </w:p>
    <w:p>
      <w:bookmarkStart w:id="9229" w:name="private_firms_vs___757_758"/>
      <w:pPr>
        <w:pStyle w:val="Para 01"/>
        <w:keepLines w:val="on"/>
      </w:pPr>
      <w:r>
        <w:t>các công ty tư nhân so với, 757–758</w:t>
      </w:r>
      <w:bookmarkEnd w:id="9229"/>
    </w:p>
    <w:p>
      <w:bookmarkStart w:id="9230" w:name="Public_multiples__791_792"/>
      <w:pPr>
        <w:pStyle w:val="Para 01"/>
        <w:keepLines w:val="on"/>
      </w:pPr>
      <w:r>
        <w:t>Bội số công khai (Public multiples), 791–792</w:t>
      </w:r>
      <w:bookmarkEnd w:id="9230"/>
    </w:p>
    <w:p>
      <w:bookmarkStart w:id="9231" w:name="Put_options__Black_Scholes_model"/>
      <w:pPr>
        <w:pStyle w:val="Para 01"/>
        <w:keepLines w:val="on"/>
      </w:pPr>
      <w:r>
        <w:t>Quyền chọn bán (Put options)</w:t>
      </w:r>
      <w:bookmarkEnd w:id="9231"/>
    </w:p>
    <w:p>
      <w:bookmarkStart w:id="9232" w:name="Black_Scholes_model_for_valuing"/>
      <w:pPr>
        <w:pStyle w:val="Para 01"/>
        <w:keepLines w:val="on"/>
      </w:pPr>
      <w:r>
        <w:t>mô hình Black–Scholes để định giá, 107–108</w:t>
      </w:r>
      <w:bookmarkEnd w:id="9232"/>
    </w:p>
    <w:p>
      <w:bookmarkStart w:id="9233" w:name="explanation_of__91_92_1"/>
      <w:pPr>
        <w:pStyle w:val="Para 01"/>
        <w:keepLines w:val="on"/>
      </w:pPr>
      <w:r>
        <w:t>giải thích về, 91–92</w:t>
      </w:r>
      <w:bookmarkEnd w:id="9233"/>
    </w:p>
    <w:p>
      <w:bookmarkStart w:id="9234" w:name="payoff_diagram_for__92"/>
      <w:pPr>
        <w:pStyle w:val="Para 01"/>
        <w:keepLines w:val="on"/>
      </w:pPr>
      <w:r>
        <w:t>biểu đồ khoản chi trả cho, 92</w:t>
      </w:r>
      <w:bookmarkEnd w:id="9234"/>
    </w:p>
    <w:p>
      <w:bookmarkStart w:id="9235" w:name="Q___Quaker_Oats__991_Quantitativ"/>
      <w:bookmarkStart w:id="9236" w:name="Q"/>
      <w:pPr>
        <w:keepNext/>
        <w:pStyle w:val="Para 50"/>
        <w:keepLines w:val="on"/>
      </w:pPr>
      <w:r>
        <w:t>Q</w:t>
      </w:r>
      <w:bookmarkEnd w:id="9235"/>
      <w:bookmarkEnd w:id="9236"/>
    </w:p>
    <w:p>
      <w:bookmarkStart w:id="9237" w:name="Quaker_Oats__991"/>
      <w:pPr>
        <w:pStyle w:val="Para 01"/>
        <w:keepLines w:val="on"/>
      </w:pPr>
      <w:r>
        <w:t>Quaker Oats, 991</w:t>
      </w:r>
      <w:bookmarkEnd w:id="9237"/>
    </w:p>
    <w:p>
      <w:bookmarkStart w:id="9238" w:name="Quantitative_estimation__for_exp"/>
      <w:pPr>
        <w:pStyle w:val="Para 01"/>
        <w:keepLines w:val="on"/>
      </w:pPr>
      <w:r>
        <w:t>Ước lượng định lượng, cho các quyền chọn mở rộng, 943</w:t>
      </w:r>
      <w:bookmarkEnd w:id="9238"/>
    </w:p>
    <w:p>
      <w:bookmarkStart w:id="9239" w:name="Quarterly_Census_of_Employment_a"/>
      <w:pPr>
        <w:pStyle w:val="Para 01"/>
        <w:keepLines w:val="on"/>
      </w:pPr>
      <w:r>
        <w:t>Điều tra dân số hàng quý về việc làm và tiền lương (Quarterly Census of Employment and Wages – QCEW), 746–747</w:t>
      </w:r>
      <w:bookmarkEnd w:id="9239"/>
    </w:p>
    <w:p>
      <w:bookmarkStart w:id="9240" w:name="Quick_ratios__52"/>
      <w:pPr>
        <w:pStyle w:val="Para 01"/>
        <w:keepLines w:val="on"/>
      </w:pPr>
      <w:r>
        <w:t>Tỷ số thanh toán nhanh, 52</w:t>
      </w:r>
      <w:bookmarkEnd w:id="9240"/>
    </w:p>
    <w:p>
      <w:bookmarkStart w:id="9241" w:name="R"/>
      <w:bookmarkStart w:id="9242" w:name="R___Rainbow_options__110__928_Ra"/>
      <w:pPr>
        <w:keepNext/>
        <w:pStyle w:val="Para 50"/>
        <w:keepLines w:val="on"/>
      </w:pPr>
      <w:r>
        <w:t>R</w:t>
      </w:r>
      <w:bookmarkEnd w:id="9241"/>
      <w:bookmarkEnd w:id="9242"/>
    </w:p>
    <w:p>
      <w:bookmarkStart w:id="9243" w:name="Rainbow_options__110__928"/>
      <w:pPr>
        <w:pStyle w:val="Para 01"/>
        <w:keepLines w:val="on"/>
      </w:pPr>
      <w:r>
        <w:t>Quyền chọn cầu vồng (rainbow options), 110, 928</w:t>
      </w:r>
      <w:bookmarkEnd w:id="9243"/>
    </w:p>
    <w:p>
      <w:bookmarkStart w:id="9244" w:name="Rate_of_return__internal__1025_1"/>
      <w:pPr>
        <w:pStyle w:val="Para 01"/>
        <w:keepLines w:val="on"/>
      </w:pPr>
      <w:r>
        <w:t>Tỷ suất sinh lợi, nội bộ, 1025–1027</w:t>
      </w:r>
      <w:bookmarkEnd w:id="9244"/>
    </w:p>
    <w:p>
      <w:bookmarkStart w:id="9245" w:name="Rationality_studies__131"/>
      <w:pPr>
        <w:pStyle w:val="Para 01"/>
        <w:keepLines w:val="on"/>
      </w:pPr>
      <w:r>
        <w:t>Các nghiên cứu về tính hợp lý, 131</w:t>
      </w:r>
      <w:bookmarkEnd w:id="9245"/>
    </w:p>
    <w:p>
      <w:bookmarkStart w:id="9246" w:name="Raw_material__debt_as__658"/>
      <w:pPr>
        <w:pStyle w:val="Para 01"/>
        <w:keepLines w:val="on"/>
      </w:pPr>
      <w:r>
        <w:t>Nguyên vật liệu, nợ như là, 658</w:t>
      </w:r>
      <w:bookmarkEnd w:id="9246"/>
    </w:p>
    <w:p>
      <w:bookmarkStart w:id="9247" w:name="Real_assets__26__837_838"/>
      <w:pPr>
        <w:pStyle w:val="Para 01"/>
        <w:keepLines w:val="on"/>
      </w:pPr>
      <w:r>
        <w:t>Tài sản thực, 26, 837–838</w:t>
      </w:r>
      <w:bookmarkEnd w:id="9247"/>
    </w:p>
    <w:p>
      <w:bookmarkStart w:id="9248" w:name="Real_estate__co_movement_of_othe"/>
      <w:pPr>
        <w:pStyle w:val="Para 01"/>
        <w:keepLines w:val="on"/>
      </w:pPr>
      <w:r>
        <w:t>Bất động sản</w:t>
      </w:r>
      <w:bookmarkEnd w:id="9248"/>
    </w:p>
    <w:p>
      <w:bookmarkStart w:id="9249" w:name="co_movement_of_other_asset_class"/>
      <w:pPr>
        <w:pStyle w:val="Para 01"/>
        <w:keepLines w:val="on"/>
      </w:pPr>
      <w:r>
        <w:t>đồng biến động với các loại tài sản khác, 840–842</w:t>
      </w:r>
      <w:bookmarkEnd w:id="9249"/>
    </w:p>
    <w:p>
      <w:bookmarkStart w:id="9250" w:name="comparable_relative_valuation_of"/>
      <w:pPr>
        <w:pStyle w:val="Para 01"/>
        <w:keepLines w:val="on"/>
      </w:pPr>
      <w:r>
        <w:t>định giá so sánh/tương đối bất động sản, 860–862</w:t>
      </w:r>
      <w:bookmarkEnd w:id="9250"/>
    </w:p>
    <w:p>
      <w:bookmarkStart w:id="9251" w:name="comparing_valuations_of__859"/>
      <w:pPr>
        <w:pStyle w:val="Para 01"/>
        <w:keepLines w:val="on"/>
      </w:pPr>
      <w:r>
        <w:t>so sánh định giá bất động sản, 859</w:t>
      </w:r>
      <w:bookmarkEnd w:id="9251"/>
    </w:p>
    <w:p>
      <w:bookmarkStart w:id="9252" w:name="historical_returns_on__839_840"/>
      <w:pPr>
        <w:pStyle w:val="Para 01"/>
        <w:keepLines w:val="on"/>
      </w:pPr>
      <w:r>
        <w:t>tỷ suất sinh lợi lịch sử của bất động sản, 839–840</w:t>
      </w:r>
      <w:bookmarkEnd w:id="9252"/>
    </w:p>
    <w:p>
      <w:bookmarkStart w:id="9253" w:name="intrinsic_valuation_of__843_859"/>
      <w:pPr>
        <w:pStyle w:val="Para 01"/>
        <w:keepLines w:val="on"/>
      </w:pPr>
      <w:r>
        <w:t>định giá nội tại bất động sản, 843–859</w:t>
      </w:r>
      <w:bookmarkEnd w:id="9253"/>
    </w:p>
    <w:p>
      <w:bookmarkStart w:id="9254" w:name="real_vs__financial_assets_and__8"/>
      <w:pPr>
        <w:pStyle w:val="Para 01"/>
        <w:keepLines w:val="on"/>
      </w:pPr>
      <w:r>
        <w:t>tài sản thực so với tài sản tài chính và bất động sản, 837–838</w:t>
      </w:r>
      <w:bookmarkEnd w:id="9254"/>
    </w:p>
    <w:p>
      <w:bookmarkStart w:id="9255" w:name="value_of__relative_to_other_asse"/>
      <w:pPr>
        <w:pStyle w:val="Para 01"/>
        <w:keepLines w:val="on"/>
      </w:pPr>
      <w:r>
        <w:t>giá trị của bất động sản so với các loại tài sản khác, 838–839</w:t>
      </w:r>
      <w:bookmarkEnd w:id="9255"/>
    </w:p>
    <w:p>
      <w:bookmarkStart w:id="9256" w:name="Real_estate_businesses__839__862"/>
      <w:pPr>
        <w:pStyle w:val="Para 01"/>
        <w:keepLines w:val="on"/>
      </w:pPr>
      <w:r>
        <w:t>Các doanh nghiệp bất động sản, 839, 862–864</w:t>
      </w:r>
      <w:bookmarkEnd w:id="9256"/>
    </w:p>
    <w:p>
      <w:bookmarkStart w:id="9257" w:name="Real_estate_construction__863"/>
      <w:pPr>
        <w:pStyle w:val="Para 01"/>
        <w:keepLines w:val="on"/>
      </w:pPr>
      <w:r>
        <w:t>Xây dựng bất động sản, 863</w:t>
      </w:r>
      <w:bookmarkEnd w:id="9257"/>
    </w:p>
    <w:p>
      <w:bookmarkStart w:id="9258" w:name="Real_estate_corporations__863_86"/>
      <w:pPr>
        <w:pStyle w:val="Para 01"/>
        <w:keepLines w:val="on"/>
      </w:pPr>
      <w:r>
        <w:t>Các công ty bất động sản, 863–864</w:t>
      </w:r>
      <w:bookmarkEnd w:id="9258"/>
    </w:p>
    <w:p>
      <w:bookmarkStart w:id="9259" w:name="Real_estate_development__863"/>
      <w:pPr>
        <w:pStyle w:val="Para 01"/>
        <w:keepLines w:val="on"/>
      </w:pPr>
      <w:r>
        <w:t>Phát triển bất động sản, 863</w:t>
      </w:r>
      <w:bookmarkEnd w:id="9259"/>
    </w:p>
    <w:p>
      <w:bookmarkStart w:id="9260" w:name="Real_estate_investment__863"/>
      <w:pPr>
        <w:pStyle w:val="Para 01"/>
        <w:keepLines w:val="on"/>
      </w:pPr>
      <w:r>
        <w:t>Đầu tư bất động sản, 863</w:t>
      </w:r>
      <w:bookmarkEnd w:id="9260"/>
    </w:p>
    <w:p>
      <w:bookmarkStart w:id="9261" w:name="Real_estate_investment_trusts__R"/>
      <w:pPr>
        <w:pStyle w:val="Para 01"/>
        <w:keepLines w:val="on"/>
      </w:pPr>
      <w:r>
        <w:t>Quỹ tín thác đầu tư bất động sản (REITs), 839, 840, 863–864</w:t>
      </w:r>
      <w:bookmarkEnd w:id="9261"/>
    </w:p>
    <w:p>
      <w:bookmarkStart w:id="9262" w:name="Real_interest_rates__gold_prices"/>
      <w:pPr>
        <w:pStyle w:val="Para 01"/>
        <w:keepLines w:val="on"/>
      </w:pPr>
      <w:r>
        <w:t>Lãi suất thực, giá vàng và, 887–888</w:t>
      </w:r>
      <w:bookmarkEnd w:id="9262"/>
    </w:p>
    <w:p>
      <w:bookmarkStart w:id="9263" w:name="Real_options__across_corporate_l"/>
      <w:pPr>
        <w:pStyle w:val="Para 01"/>
        <w:keepLines w:val="on"/>
      </w:pPr>
      <w:r>
        <w:t>Quyền chọn thực</w:t>
      </w:r>
      <w:bookmarkEnd w:id="9263"/>
    </w:p>
    <w:p>
      <w:bookmarkStart w:id="9264" w:name="across_corporate_life_cycle__961"/>
      <w:pPr>
        <w:pStyle w:val="Para 01"/>
        <w:keepLines w:val="on"/>
      </w:pPr>
      <w:r>
        <w:t>xuyên suốt vòng đời doanh nghiệp, 961–962</w:t>
      </w:r>
      <w:bookmarkEnd w:id="9264"/>
    </w:p>
    <w:p>
      <w:bookmarkStart w:id="9265" w:name="allure_of__908_909"/>
      <w:pPr>
        <w:pStyle w:val="Para 01"/>
        <w:keepLines w:val="on"/>
      </w:pPr>
      <w:r>
        <w:t>sức hấp dẫn của quyền chọn thực, 908–909</w:t>
      </w:r>
      <w:bookmarkEnd w:id="9265"/>
    </w:p>
    <w:p>
      <w:bookmarkStart w:id="9266" w:name="detecting_optionality_for__909"/>
      <w:pPr>
        <w:pStyle w:val="Para 01"/>
        <w:keepLines w:val="on"/>
      </w:pPr>
      <w:r>
        <w:t>phát hiện quyền chọn (optionality) đối với, 909</w:t>
      </w:r>
      <w:bookmarkEnd w:id="9266"/>
    </w:p>
    <w:p>
      <w:bookmarkStart w:id="9267" w:name="explanation__907"/>
      <w:pPr>
        <w:pStyle w:val="Para 01"/>
        <w:keepLines w:val="on"/>
      </w:pPr>
      <w:r>
        <w:t>giải thích, 907</w:t>
      </w:r>
      <w:bookmarkEnd w:id="9267"/>
    </w:p>
    <w:p>
      <w:bookmarkStart w:id="9268" w:name="net_present_value_and__956"/>
      <w:pPr>
        <w:pStyle w:val="Para 01"/>
        <w:keepLines w:val="on"/>
      </w:pPr>
      <w:r>
        <w:t>giá trị hiện tại ròng (net present value) và, 956</w:t>
      </w:r>
      <w:bookmarkEnd w:id="9268"/>
    </w:p>
    <w:p>
      <w:bookmarkStart w:id="9269" w:name="option_pricing_model_for__910"/>
      <w:pPr>
        <w:pStyle w:val="Para 01"/>
        <w:keepLines w:val="on"/>
      </w:pPr>
      <w:r>
        <w:t>mô hình định giá quyền chọn (option pricing model) cho, 910</w:t>
      </w:r>
      <w:bookmarkEnd w:id="9269"/>
    </w:p>
    <w:p>
      <w:bookmarkStart w:id="9270" w:name="value_of_optionality_for__909_91"/>
      <w:pPr>
        <w:pStyle w:val="Para 01"/>
        <w:keepLines w:val="on"/>
      </w:pPr>
      <w:r>
        <w:t>giá trị của quyền chọn (optionality) đối với, 909–910</w:t>
      </w:r>
      <w:bookmarkEnd w:id="9270"/>
    </w:p>
    <w:p>
      <w:bookmarkStart w:id="9271" w:name="Real_risk_free_rates__159_160"/>
      <w:pPr>
        <w:pStyle w:val="Para 01"/>
        <w:keepLines w:val="on"/>
      </w:pPr>
      <w:r>
        <w:t>Lãi suất phi rủi ro thực (Real risk-free rates), 159–160</w:t>
      </w:r>
      <w:bookmarkEnd w:id="9271"/>
    </w:p>
    <w:p>
      <w:bookmarkStart w:id="9272" w:name="Recessions__684"/>
      <w:pPr>
        <w:pStyle w:val="Para 01"/>
        <w:keepLines w:val="on"/>
      </w:pPr>
      <w:r>
        <w:t>Suy thoái kinh tế (Recessions), 684</w:t>
      </w:r>
      <w:bookmarkEnd w:id="9272"/>
    </w:p>
    <w:p>
      <w:bookmarkStart w:id="9273" w:name="Recruitment_and_training_expense"/>
      <w:pPr>
        <w:pStyle w:val="Para 01"/>
        <w:keepLines w:val="on"/>
      </w:pPr>
      <w:r>
        <w:t>Chi phí tuyển dụng và đào tạo (Recruitment and training expenses), 250–251</w:t>
      </w:r>
      <w:bookmarkEnd w:id="9273"/>
    </w:p>
    <w:p>
      <w:bookmarkStart w:id="9274" w:name="Regression_approach__country_bon"/>
      <w:pPr>
        <w:pStyle w:val="Para 01"/>
        <w:keepLines w:val="on"/>
      </w:pPr>
      <w:r>
        <w:t>Phương pháp hồi quy (Regression approach)</w:t>
      </w:r>
      <w:bookmarkEnd w:id="9274"/>
    </w:p>
    <w:p>
      <w:bookmarkStart w:id="9275" w:name="country_bond_approach_vs___216_2"/>
      <w:pPr>
        <w:pStyle w:val="Para 01"/>
        <w:keepLines w:val="on"/>
      </w:pPr>
      <w:r>
        <w:t>phương pháp trái phiếu quốc gia (country bond approach) so với, 216–217</w:t>
      </w:r>
      <w:bookmarkEnd w:id="9275"/>
    </w:p>
    <w:p>
      <w:bookmarkStart w:id="9276" w:name="to_equity_risk_models__77_79"/>
      <w:pPr>
        <w:pStyle w:val="Para 01"/>
        <w:keepLines w:val="on"/>
      </w:pPr>
      <w:r>
        <w:t>đối với các mô hình rủi ro vốn cổ phần (equity risk models), 77–79</w:t>
      </w:r>
      <w:bookmarkEnd w:id="9276"/>
    </w:p>
    <w:p>
      <w:bookmarkStart w:id="9277" w:name="global_regressions__553"/>
      <w:pPr>
        <w:pStyle w:val="Para 01"/>
        <w:keepLines w:val="on"/>
      </w:pPr>
      <w:r>
        <w:t>hồi quy toàn cầu (global regressions), 553</w:t>
      </w:r>
      <w:bookmarkEnd w:id="9277"/>
    </w:p>
    <w:p>
      <w:bookmarkStart w:id="9278" w:name="limitations_of_using__554_555"/>
      <w:pPr>
        <w:pStyle w:val="Para 01"/>
        <w:keepLines w:val="on"/>
      </w:pPr>
      <w:r>
        <w:t>hạn chế của việc sử dụng, 554–555</w:t>
      </w:r>
      <w:bookmarkEnd w:id="9278"/>
    </w:p>
    <w:p>
      <w:bookmarkStart w:id="9279" w:name="linear_and_log_linear_model__298"/>
      <w:pPr>
        <w:pStyle w:val="Para 01"/>
        <w:keepLines w:val="on"/>
      </w:pPr>
      <w:r>
        <w:t>mô hình tuyến tính và log-tuyến tính (linear and log-linear model), 298–299</w:t>
      </w:r>
      <w:bookmarkEnd w:id="9279"/>
    </w:p>
    <w:p>
      <w:bookmarkStart w:id="9280" w:name="market_regressions__551_553__555"/>
      <w:pPr>
        <w:pStyle w:val="Para 01"/>
        <w:keepLines w:val="on"/>
      </w:pPr>
      <w:r>
        <w:t>hồi quy thị trường (market regressions), 551–553, 555, 641–642</w:t>
      </w:r>
      <w:bookmarkEnd w:id="9280"/>
    </w:p>
    <w:p>
      <w:bookmarkStart w:id="9281" w:name="multiples_and__528_530"/>
      <w:pPr>
        <w:pStyle w:val="Para 01"/>
        <w:keepLines w:val="on"/>
      </w:pPr>
      <w:r>
        <w:t>bội số (multiples) và, 528–530</w:t>
      </w:r>
      <w:bookmarkEnd w:id="9281"/>
    </w:p>
    <w:p>
      <w:bookmarkStart w:id="9282" w:name="price_to_book_ratio__594_597"/>
      <w:pPr>
        <w:pStyle w:val="Para 01"/>
        <w:keepLines w:val="on"/>
      </w:pPr>
      <w:r>
        <w:t>tỷ lệ giá trên giá trị sổ sách (price-to-book ratio), 594–597</w:t>
      </w:r>
      <w:bookmarkEnd w:id="9282"/>
    </w:p>
    <w:p>
      <w:bookmarkStart w:id="9283" w:name="to_real_estate_valuation__862"/>
      <w:pPr>
        <w:pStyle w:val="Para 01"/>
        <w:keepLines w:val="on"/>
      </w:pPr>
      <w:r>
        <w:t>đối với định giá bất động sản (real estate valuation), 862</w:t>
      </w:r>
      <w:bookmarkEnd w:id="9283"/>
    </w:p>
    <w:p>
      <w:bookmarkStart w:id="9284" w:name="to_revenue_multiples__635_642"/>
      <w:pPr>
        <w:pStyle w:val="Para 01"/>
        <w:keepLines w:val="on"/>
      </w:pPr>
      <w:r>
        <w:t>đối với bội số doanh thu (revenue multiples), 635–642</w:t>
      </w:r>
      <w:bookmarkEnd w:id="9284"/>
    </w:p>
    <w:p>
      <w:bookmarkStart w:id="9285" w:name="value_to_book_ratio__608"/>
      <w:pPr>
        <w:pStyle w:val="Para 01"/>
        <w:keepLines w:val="on"/>
      </w:pPr>
      <w:r>
        <w:t>tỷ lệ giá trị trên giá trị sổ sách (value-to-book ratio), 608</w:t>
      </w:r>
      <w:bookmarkEnd w:id="9285"/>
    </w:p>
    <w:p>
      <w:bookmarkStart w:id="9286" w:name="Regression_betas__estimation_cho"/>
      <w:pPr>
        <w:pStyle w:val="Para 01"/>
        <w:keepLines w:val="on"/>
      </w:pPr>
      <w:r>
        <w:t>Beta hồi quy (Regression betas)</w:t>
      </w:r>
      <w:bookmarkEnd w:id="9286"/>
    </w:p>
    <w:p>
      <w:bookmarkStart w:id="9287" w:name="estimation_choices_for__195_196_1"/>
      <w:pPr>
        <w:pStyle w:val="Para 01"/>
        <w:keepLines w:val="on"/>
      </w:pPr>
      <w:r>
        <w:t>các lựa chọn ước lượng cho, 195–196</w:t>
      </w:r>
      <w:bookmarkEnd w:id="9287"/>
    </w:p>
    <w:p>
      <w:bookmarkStart w:id="9288" w:name="function_of__190_193"/>
      <w:pPr>
        <w:pStyle w:val="Para 01"/>
        <w:keepLines w:val="on"/>
      </w:pPr>
      <w:r>
        <w:t>hàm của, 190–193</w:t>
      </w:r>
      <w:bookmarkEnd w:id="9288"/>
    </w:p>
    <w:p>
      <w:bookmarkStart w:id="9289" w:name="limitations_of__200_201"/>
      <w:pPr>
        <w:pStyle w:val="Para 01"/>
        <w:keepLines w:val="on"/>
      </w:pPr>
      <w:r>
        <w:t>hạn chế của, 200–201</w:t>
      </w:r>
      <w:bookmarkEnd w:id="9289"/>
    </w:p>
    <w:p>
      <w:bookmarkStart w:id="9290" w:name="for_private_firms__199_200_1"/>
      <w:pPr>
        <w:pStyle w:val="Para 01"/>
        <w:keepLines w:val="on"/>
      </w:pPr>
      <w:r>
        <w:t>đối với các công ty tư nhân (private firms), 199–200</w:t>
      </w:r>
      <w:bookmarkEnd w:id="9290"/>
    </w:p>
    <w:p>
      <w:bookmarkStart w:id="9291" w:name="in_small_emerging_markets__196_1"/>
      <w:pPr>
        <w:pStyle w:val="Para 01"/>
        <w:keepLines w:val="on"/>
      </w:pPr>
      <w:r>
        <w:t>ở các thị trường nhỏ/mới nổi, 196–199</w:t>
      </w:r>
      <w:bookmarkEnd w:id="9291"/>
    </w:p>
    <w:p>
      <w:bookmarkStart w:id="9292" w:name="Regular_intervals__expenses_inco"/>
      <w:pPr>
        <w:pStyle w:val="Para 01"/>
        <w:keepLines w:val="on"/>
      </w:pPr>
      <w:r>
        <w:t>Khoảng thời gian đều đặn, chi phí/thu nhập tại, 259</w:t>
      </w:r>
      <w:bookmarkEnd w:id="9292"/>
    </w:p>
    <w:p>
      <w:bookmarkStart w:id="9293" w:name="Regulated_monopolies__Gordon_gro"/>
      <w:pPr>
        <w:pStyle w:val="Para 01"/>
        <w:keepLines w:val="on"/>
      </w:pPr>
      <w:r>
        <w:t>Độc quyền được quản lý, mô hình tăng trưởng Gordon cho, 391–392</w:t>
      </w:r>
      <w:bookmarkEnd w:id="9293"/>
    </w:p>
    <w:p>
      <w:bookmarkStart w:id="9294" w:name="Regulation__of_financial_service"/>
      <w:pPr>
        <w:pStyle w:val="Para 01"/>
        <w:keepLines w:val="on"/>
      </w:pPr>
      <w:r>
        <w:t>Quy định, đối với các công ty dịch vụ tài chính, 658–659</w:t>
      </w:r>
      <w:bookmarkEnd w:id="9294"/>
    </w:p>
    <w:p>
      <w:bookmarkStart w:id="9295" w:name="Regulators__banking__681_682"/>
      <w:pPr>
        <w:pStyle w:val="Para 01"/>
        <w:keepLines w:val="on"/>
      </w:pPr>
      <w:r>
        <w:t>Cơ quan quản lý, ngân hàng, 681–682</w:t>
      </w:r>
      <w:bookmarkEnd w:id="9295"/>
    </w:p>
    <w:p>
      <w:bookmarkStart w:id="9296" w:name="Regulatory_action__382"/>
      <w:pPr>
        <w:pStyle w:val="Para 01"/>
        <w:keepLines w:val="on"/>
      </w:pPr>
      <w:r>
        <w:t>Hành động quản lý, 382</w:t>
      </w:r>
      <w:bookmarkEnd w:id="9296"/>
    </w:p>
    <w:p>
      <w:bookmarkStart w:id="9297" w:name="Regulatory_capital__at_good_vs"/>
      <w:pPr>
        <w:pStyle w:val="Para 01"/>
        <w:keepLines w:val="on"/>
      </w:pPr>
      <w:r>
        <w:t>Vốn quản lý</w:t>
      </w:r>
      <w:bookmarkEnd w:id="9297"/>
    </w:p>
    <w:p>
      <w:bookmarkStart w:id="9299" w:name="at_good_vs__bad_banks__682"/>
      <w:pPr>
        <w:pStyle w:val="Para 01"/>
        <w:keepLines w:val="on"/>
      </w:pPr>
      <w:r>
        <w:t>tại ngân hàng tốt so với ngân hàng xấu, 682</w:t>
      </w:r>
      <w:bookmarkEnd w:id="9299"/>
    </w:p>
    <w:p>
      <w:bookmarkStart w:id="9300" w:name="investments_in__669_670"/>
      <w:pPr>
        <w:pStyle w:val="Para 01"/>
        <w:keepLines w:val="on"/>
      </w:pPr>
      <w:r>
        <w:t>đầu tư vào, 669–670</w:t>
      </w:r>
      <w:bookmarkEnd w:id="9300"/>
    </w:p>
    <w:p>
      <w:bookmarkStart w:id="9301" w:name="restrictions_on__1056"/>
      <w:pPr>
        <w:pStyle w:val="Para 01"/>
        <w:keepLines w:val="on"/>
      </w:pPr>
      <w:r>
        <w:t>hạn chế đối với, 1056</w:t>
      </w:r>
      <w:bookmarkEnd w:id="9301"/>
    </w:p>
    <w:p>
      <w:bookmarkStart w:id="9302" w:name="Regulatory_risk__1037_1038"/>
      <w:pPr>
        <w:pStyle w:val="Para 01"/>
        <w:keepLines w:val="on"/>
      </w:pPr>
      <w:r>
        <w:t>Rủi ro quản lý, 1037–1038</w:t>
      </w:r>
      <w:bookmarkEnd w:id="9302"/>
    </w:p>
    <w:p>
      <w:bookmarkStart w:id="9303" w:name="Reimbursability__expense__851"/>
      <w:pPr>
        <w:pStyle w:val="Para 01"/>
        <w:keepLines w:val="on"/>
      </w:pPr>
      <w:r>
        <w:t>Khả năng hoàn trả, chi phí, 851</w:t>
      </w:r>
      <w:bookmarkEnd w:id="9303"/>
    </w:p>
    <w:p>
      <w:bookmarkStart w:id="9304" w:name="Reinvestment_and_reinvestment_ra"/>
      <w:pPr>
        <w:pStyle w:val="Para 01"/>
        <w:keepLines w:val="on"/>
      </w:pPr>
      <w:r>
        <w:t>Tái đầu tư và tỷ lệ tái đầu tư, 290</w:t>
      </w:r>
      <w:bookmarkEnd w:id="9304"/>
    </w:p>
    <w:p>
      <w:bookmarkStart w:id="9305" w:name="for_asset_managment_companies__6_1"/>
      <w:pPr>
        <w:pStyle w:val="Para 01"/>
        <w:keepLines w:val="on"/>
      </w:pPr>
      <w:r>
        <w:t>cho các công ty quản lý tài sản, 689</w:t>
      </w:r>
      <w:bookmarkEnd w:id="9305"/>
    </w:p>
    <w:p>
      <w:bookmarkStart w:id="9306" w:name="for_brokerage_firms__691"/>
      <w:pPr>
        <w:pStyle w:val="Para 01"/>
        <w:keepLines w:val="on"/>
      </w:pPr>
      <w:r>
        <w:t>cho các công ty môi giới, 691</w:t>
      </w:r>
      <w:bookmarkEnd w:id="9306"/>
    </w:p>
    <w:p>
      <w:bookmarkStart w:id="9307" w:name="consolidated_value_for__290_291"/>
      <w:pPr>
        <w:pStyle w:val="Para 01"/>
        <w:keepLines w:val="on"/>
      </w:pPr>
      <w:r>
        <w:t>giá trị hợp nhất cho, 290–291</w:t>
      </w:r>
      <w:bookmarkEnd w:id="9307"/>
    </w:p>
    <w:p>
      <w:bookmarkStart w:id="9308" w:name="equity_value__terminal_value__an"/>
      <w:pPr>
        <w:pStyle w:val="Para 01"/>
        <w:keepLines w:val="on"/>
      </w:pPr>
      <w:r>
        <w:t>giá trị vốn chủ sở hữu, giá trị cuối kỳ, và, 422</w:t>
      </w:r>
      <w:bookmarkEnd w:id="9308"/>
    </w:p>
    <w:p>
      <w:bookmarkStart w:id="9309" w:name="EV_EBITDA_and__573_4"/>
      <w:pPr>
        <w:pStyle w:val="Para 01"/>
        <w:keepLines w:val="on"/>
      </w:pPr>
      <w:r>
        <w:t>EV/EBITDA và, 573</w:t>
      </w:r>
      <w:bookmarkEnd w:id="9309"/>
    </w:p>
    <w:p>
      <w:bookmarkStart w:id="9310" w:name="for_financial_service_firms__659"/>
      <w:pPr>
        <w:pStyle w:val="Para 01"/>
        <w:keepLines w:val="on"/>
      </w:pPr>
      <w:r>
        <w:t>cho các công ty dịch vụ tài chính, 659</w:t>
      </w:r>
      <w:bookmarkEnd w:id="9310"/>
    </w:p>
    <w:p>
      <w:bookmarkStart w:id="9311" w:name="generalized_FCFE_model_and__423"/>
      <w:pPr>
        <w:pStyle w:val="Para 01"/>
        <w:keepLines w:val="on"/>
      </w:pPr>
      <w:r>
        <w:t>mô hình FCFE tổng quát và, 423</w:t>
      </w:r>
      <w:bookmarkEnd w:id="9311"/>
    </w:p>
    <w:p>
      <w:bookmarkStart w:id="9312" w:name="for_growth__331_335__741_744"/>
      <w:pPr>
        <w:pStyle w:val="Para 01"/>
        <w:keepLines w:val="on"/>
      </w:pPr>
      <w:r>
        <w:t>cho tăng trưởng, 331–335, 741–744</w:t>
      </w:r>
      <w:bookmarkEnd w:id="9312"/>
    </w:p>
    <w:p>
      <w:bookmarkStart w:id="9313" w:name="measurement_of__318__320"/>
      <w:pPr>
        <w:pStyle w:val="Para 01"/>
        <w:keepLines w:val="on"/>
      </w:pPr>
      <w:r>
        <w:t>đo lường, 318, 320</w:t>
      </w:r>
      <w:bookmarkEnd w:id="9313"/>
    </w:p>
    <w:p>
      <w:bookmarkStart w:id="9314" w:name="negative__321_322"/>
      <w:pPr>
        <w:pStyle w:val="Para 01"/>
        <w:keepLines w:val="on"/>
      </w:pPr>
      <w:r>
        <w:t>âm, 321–322</w:t>
      </w:r>
      <w:bookmarkEnd w:id="9314"/>
    </w:p>
    <w:p>
      <w:bookmarkStart w:id="9315" w:name="net_capital_expenditures_and__27"/>
      <w:pPr>
        <w:pStyle w:val="Para 01"/>
        <w:keepLines w:val="on"/>
      </w:pPr>
      <w:r>
        <w:t>chi tiêu vốn ròng và, 279–285</w:t>
      </w:r>
      <w:bookmarkEnd w:id="9315"/>
    </w:p>
    <w:p>
      <w:bookmarkStart w:id="9316" w:name="at_stable_growth_firms__351_353"/>
      <w:pPr>
        <w:pStyle w:val="Para 01"/>
        <w:keepLines w:val="on"/>
      </w:pPr>
      <w:r>
        <w:t>tại các công ty tăng trưởng ổn định, 351–353, 440</w:t>
      </w:r>
      <w:bookmarkEnd w:id="9316"/>
    </w:p>
    <w:p>
      <w:bookmarkStart w:id="9317" w:name="trade_off_on__987_988"/>
      <w:pPr>
        <w:pStyle w:val="Para 01"/>
        <w:keepLines w:val="on"/>
      </w:pPr>
      <w:r>
        <w:t>đánh đổi, 987–988</w:t>
      </w:r>
      <w:bookmarkEnd w:id="9317"/>
    </w:p>
    <w:p>
      <w:bookmarkStart w:id="9318" w:name="for_transaction_payment_processo_1"/>
      <w:pPr>
        <w:pStyle w:val="Para 01"/>
        <w:keepLines w:val="on"/>
      </w:pPr>
      <w:r>
        <w:t>đối với các đơn vị xử lý giao dịch/thanh toán, 690</w:t>
      </w:r>
      <w:bookmarkEnd w:id="9318"/>
    </w:p>
    <w:p>
      <w:bookmarkStart w:id="9319" w:name="working_capital_and__285_290"/>
      <w:pPr>
        <w:pStyle w:val="Para 01"/>
        <w:keepLines w:val="on"/>
      </w:pPr>
      <w:r>
        <w:t>vốn lưu động và, 285–290</w:t>
      </w:r>
      <w:bookmarkEnd w:id="9319"/>
    </w:p>
    <w:p>
      <w:bookmarkStart w:id="9320" w:name="for_young_or_start_up_firms__741"/>
      <w:pPr>
        <w:pStyle w:val="Para 01"/>
        <w:keepLines w:val="on"/>
      </w:pPr>
      <w:r>
        <w:t>đối với các công ty non trẻ hoặc mới khởi nghiệp, 741–744</w:t>
      </w:r>
      <w:bookmarkEnd w:id="9320"/>
    </w:p>
    <w:p>
      <w:bookmarkStart w:id="9321" w:name="Reinvestment_risk__158"/>
      <w:pPr>
        <w:pStyle w:val="Para 01"/>
        <w:keepLines w:val="on"/>
      </w:pPr>
      <w:r>
        <w:t>Rủi ro tái đầu tư (Reinvestment risk), 158</w:t>
      </w:r>
      <w:bookmarkEnd w:id="9321"/>
    </w:p>
    <w:p>
      <w:bookmarkStart w:id="9322" w:name="REITs__See_Real_estate_investmen"/>
      <w:pPr>
        <w:pStyle w:val="Para 10"/>
        <w:keepLines w:val="on"/>
      </w:pPr>
      <w:r>
        <w:t>REITs. Xem Quỹ tín thác đầu tư bất động sản (Real estate investment trusts – REITs)</w:t>
      </w:r>
      <w:bookmarkEnd w:id="9322"/>
    </w:p>
    <w:p>
      <w:bookmarkStart w:id="9323" w:name="Relative_PE_ratios__565_567"/>
      <w:pPr>
        <w:pStyle w:val="Para 01"/>
        <w:keepLines w:val="on"/>
      </w:pPr>
      <w:r>
        <w:t>Tỷ số PE tương đối (Relative PE ratios), 565–567</w:t>
      </w:r>
      <w:bookmarkEnd w:id="9323"/>
    </w:p>
    <w:p>
      <w:bookmarkStart w:id="9324" w:name="Relative_valuation__basis_for__2"/>
      <w:pPr>
        <w:pStyle w:val="Para 01"/>
        <w:keepLines w:val="on"/>
      </w:pPr>
      <w:r>
        <w:t>Định giá tương đối (Relative valuation)</w:t>
      </w:r>
      <w:bookmarkEnd w:id="9324"/>
    </w:p>
    <w:p>
      <w:bookmarkStart w:id="9325" w:name="basis_for__21"/>
      <w:pPr>
        <w:pStyle w:val="Para 01"/>
        <w:keepLines w:val="on"/>
      </w:pPr>
      <w:r>
        <w:t>cơ sở cho, 21</w:t>
      </w:r>
      <w:bookmarkEnd w:id="9325"/>
    </w:p>
    <w:p>
      <w:bookmarkStart w:id="9326" w:name="categoizing_models_for__22_23"/>
      <w:pPr>
        <w:pStyle w:val="Para 01"/>
        <w:keepLines w:val="on"/>
      </w:pPr>
      <w:r>
        <w:t>phân loại các mô hình cho, 22–23</w:t>
      </w:r>
      <w:bookmarkEnd w:id="9326"/>
    </w:p>
    <w:p>
      <w:bookmarkStart w:id="9327" w:name="choices_related_to_use_of__1074"/>
      <w:pPr>
        <w:pStyle w:val="Para 01"/>
        <w:keepLines w:val="on"/>
      </w:pPr>
      <w:r>
        <w:t>các lựa chọn liên quan đến việc sử dụng, 1074–1076</w:t>
      </w:r>
      <w:bookmarkEnd w:id="9327"/>
    </w:p>
    <w:p>
      <w:bookmarkStart w:id="9328" w:name="discounted_cash_flow_valuation_a"/>
      <w:pPr>
        <w:pStyle w:val="Para 01"/>
        <w:keepLines w:val="on"/>
      </w:pPr>
      <w:r>
        <w:t>định giá dòng tiền chiết khấu và, 530</w:t>
      </w:r>
      <w:bookmarkEnd w:id="9328"/>
    </w:p>
    <w:p>
      <w:bookmarkStart w:id="9329" w:name="for_financial_service_firms__675"/>
      <w:pPr>
        <w:pStyle w:val="Para 01"/>
        <w:keepLines w:val="on"/>
      </w:pPr>
      <w:r>
        <w:t>đối với các công ty dịch vụ tài chính, 675–680</w:t>
      </w:r>
      <w:bookmarkEnd w:id="9329"/>
    </w:p>
    <w:p>
      <w:bookmarkStart w:id="9330" w:name="philosophical_divide_between_DCF"/>
      <w:pPr>
        <w:pStyle w:val="Para 01"/>
        <w:keepLines w:val="on"/>
      </w:pPr>
      <w:r>
        <w:t>khoảng cách triết lý giữa mô hình DCF và, 1069–1070</w:t>
      </w:r>
      <w:bookmarkEnd w:id="9330"/>
    </w:p>
    <w:p>
      <w:bookmarkStart w:id="9331" w:name="pitfalls_with__516"/>
      <w:pPr>
        <w:pStyle w:val="Para 01"/>
        <w:keepLines w:val="on"/>
      </w:pPr>
      <w:r>
        <w:t>những cạm bẫy với, 516</w:t>
      </w:r>
      <w:bookmarkEnd w:id="9331"/>
    </w:p>
    <w:p>
      <w:bookmarkStart w:id="9332" w:name="popularity_of__515_516"/>
      <w:pPr>
        <w:pStyle w:val="Para 01"/>
        <w:keepLines w:val="on"/>
      </w:pPr>
      <w:r>
        <w:t>sự phổ biến của, 515–516</w:t>
      </w:r>
      <w:bookmarkEnd w:id="9332"/>
    </w:p>
    <w:p>
      <w:bookmarkStart w:id="9333" w:name="for_private_firms__789_792"/>
      <w:pPr>
        <w:pStyle w:val="Para 01"/>
        <w:keepLines w:val="on"/>
      </w:pPr>
      <w:r>
        <w:t>đối với các công ty tư nhân, 789–792</w:t>
      </w:r>
      <w:bookmarkEnd w:id="9333"/>
    </w:p>
    <w:p>
      <w:bookmarkStart w:id="9334" w:name="for_real_estate__860_862"/>
      <w:pPr>
        <w:pStyle w:val="Para 01"/>
        <w:keepLines w:val="on"/>
      </w:pPr>
      <w:r>
        <w:t>đối với bất động sản, 860–862</w:t>
      </w:r>
      <w:bookmarkEnd w:id="9334"/>
    </w:p>
    <w:p>
      <w:bookmarkStart w:id="9335" w:name="underpinnings_of__21_22"/>
      <w:pPr>
        <w:pStyle w:val="Para 01"/>
        <w:keepLines w:val="on"/>
      </w:pPr>
      <w:r>
        <w:t>nền tảng của, 21–22</w:t>
      </w:r>
      <w:bookmarkEnd w:id="9335"/>
    </w:p>
    <w:p>
      <w:bookmarkStart w:id="9336" w:name="Replacement_value_multiples__517"/>
      <w:pPr>
        <w:pStyle w:val="Para 01"/>
        <w:keepLines w:val="on"/>
      </w:pPr>
      <w:r>
        <w:t>Bội số giá trị thay thế (Replacement value multiples), 517</w:t>
      </w:r>
      <w:bookmarkEnd w:id="9336"/>
    </w:p>
    <w:p>
      <w:bookmarkStart w:id="9337" w:name="Replicating_portfolio__95"/>
      <w:pPr>
        <w:pStyle w:val="Para 01"/>
        <w:keepLines w:val="on"/>
      </w:pPr>
      <w:r>
        <w:t>Danh mục tái tạo (Replicating portfolio), 95</w:t>
      </w:r>
      <w:bookmarkEnd w:id="9337"/>
    </w:p>
    <w:p>
      <w:bookmarkStart w:id="9338" w:name="Reporting_books__277_278"/>
      <w:pPr>
        <w:pStyle w:val="Para 01"/>
        <w:keepLines w:val="on"/>
      </w:pPr>
      <w:r>
        <w:t>Sổ sách báo cáo (Reporting books), 277–278</w:t>
      </w:r>
      <w:bookmarkEnd w:id="9338"/>
    </w:p>
    <w:p>
      <w:bookmarkStart w:id="9339" w:name="Required_financing_period__53"/>
      <w:pPr>
        <w:pStyle w:val="Para 01"/>
        <w:keepLines w:val="on"/>
      </w:pPr>
      <w:r>
        <w:t>Thời gian tài trợ cần thiết (Required financing period), 53</w:t>
      </w:r>
      <w:bookmarkEnd w:id="9339"/>
    </w:p>
    <w:p>
      <w:bookmarkStart w:id="9340" w:name="Research_and_development__R_D__e"/>
      <w:pPr>
        <w:pStyle w:val="Para 01"/>
        <w:keepLines w:val="on"/>
      </w:pPr>
      <w:r>
        <w:t>Chi phí nghiên cứu và phát triển (R&amp;D)</w:t>
      </w:r>
      <w:bookmarkEnd w:id="9340"/>
    </w:p>
    <w:p>
      <w:bookmarkStart w:id="9341" w:name="capitalizing__245_248__281_282"/>
      <w:pPr>
        <w:pStyle w:val="Para 01"/>
        <w:keepLines w:val="on"/>
      </w:pPr>
      <w:r>
        <w:t>vốn hóa, 245–248, 281–282, 448–450</w:t>
      </w:r>
      <w:bookmarkEnd w:id="9341"/>
    </w:p>
    <w:p>
      <w:bookmarkStart w:id="9342" w:name="explansion_options_and__941"/>
      <w:pPr>
        <w:pStyle w:val="Para 01"/>
        <w:keepLines w:val="on"/>
      </w:pPr>
      <w:r>
        <w:t>lựa chọn mở rộng và, 941</w:t>
      </w:r>
      <w:bookmarkEnd w:id="9342"/>
    </w:p>
    <w:p>
      <w:bookmarkStart w:id="9343" w:name="price_to_earnings_ratio_and__567"/>
      <w:pPr>
        <w:pStyle w:val="Para 01"/>
        <w:keepLines w:val="on"/>
      </w:pPr>
      <w:r>
        <w:t>tỷ lệ giá trên thu nhập và, 567–568</w:t>
      </w:r>
      <w:bookmarkEnd w:id="9343"/>
    </w:p>
    <w:p>
      <w:bookmarkStart w:id="9344" w:name="tax_benefits_of__275_277"/>
      <w:pPr>
        <w:pStyle w:val="Para 01"/>
        <w:keepLines w:val="on"/>
      </w:pPr>
      <w:r>
        <w:t>lợi ích thuế của, 275–277</w:t>
      </w:r>
      <w:bookmarkEnd w:id="9344"/>
    </w:p>
    <w:p>
      <w:bookmarkStart w:id="9345" w:name="Reserves__258"/>
      <w:pPr>
        <w:pStyle w:val="Para 01"/>
        <w:keepLines w:val="on"/>
      </w:pPr>
      <w:r>
        <w:t>Dự trữ, 258</w:t>
      </w:r>
      <w:bookmarkEnd w:id="9345"/>
    </w:p>
    <w:p>
      <w:bookmarkStart w:id="9346" w:name="Restricted_stock__507_509__534"/>
      <w:pPr>
        <w:pStyle w:val="Para 01"/>
        <w:keepLines w:val="on"/>
      </w:pPr>
      <w:r>
        <w:t>Cổ phiếu hạn chế, 507–509, 534, 777–778</w:t>
      </w:r>
      <w:bookmarkEnd w:id="9346"/>
    </w:p>
    <w:p>
      <w:bookmarkStart w:id="9347" w:name="Restructuring__acquisitions_and"/>
      <w:pPr>
        <w:pStyle w:val="Para 01"/>
        <w:keepLines w:val="on"/>
      </w:pPr>
      <w:r>
        <w:t>Tái cấu trúc</w:t>
      </w:r>
      <w:bookmarkEnd w:id="9347"/>
    </w:p>
    <w:p>
      <w:bookmarkStart w:id="9348" w:name="acquisitions_and__824"/>
      <w:pPr>
        <w:pStyle w:val="Para 01"/>
        <w:keepLines w:val="on"/>
      </w:pPr>
      <w:r>
        <w:t>mua lại và, 824</w:t>
      </w:r>
      <w:bookmarkEnd w:id="9348"/>
    </w:p>
    <w:p>
      <w:bookmarkStart w:id="9349" w:name="beta_calculation_following__213"/>
      <w:pPr>
        <w:pStyle w:val="Para 01"/>
        <w:keepLines w:val="on"/>
      </w:pPr>
      <w:r>
        <w:t>tính toán beta sau, 213–214</w:t>
      </w:r>
      <w:bookmarkEnd w:id="9349"/>
    </w:p>
    <w:p>
      <w:bookmarkStart w:id="9350" w:name="firms_in_process_of__20"/>
      <w:pPr>
        <w:pStyle w:val="Para 01"/>
        <w:keepLines w:val="on"/>
      </w:pPr>
      <w:r>
        <w:t>các công ty đang trong quá trình, 20</w:t>
      </w:r>
      <w:bookmarkEnd w:id="9350"/>
    </w:p>
    <w:p>
      <w:bookmarkStart w:id="9351" w:name="post_valuation_adjustments_for_1"/>
      <w:pPr>
        <w:pStyle w:val="Para 01"/>
        <w:keepLines w:val="on"/>
      </w:pPr>
      <w:r>
        <w:t>điều chỉnh sau định giá cho, 466</w:t>
      </w:r>
      <w:bookmarkEnd w:id="9351"/>
    </w:p>
    <w:p>
      <w:bookmarkStart w:id="9352" w:name="Retention_ratio__351_353"/>
      <w:pPr>
        <w:pStyle w:val="Para 01"/>
        <w:keepLines w:val="on"/>
      </w:pPr>
      <w:r>
        <w:t>Tỷ lệ giữ lại, 351–353</w:t>
      </w:r>
      <w:bookmarkEnd w:id="9352"/>
    </w:p>
    <w:p>
      <w:bookmarkStart w:id="9353" w:name="Return_distributions__alternativ"/>
      <w:pPr>
        <w:pStyle w:val="Para 01"/>
        <w:keepLines w:val="on"/>
      </w:pPr>
      <w:r>
        <w:t>Phân phối lợi nhuận, thay thế, 74–77</w:t>
      </w:r>
      <w:bookmarkEnd w:id="9353"/>
    </w:p>
    <w:p>
      <w:bookmarkStart w:id="9354" w:name="Return_interval__beta_estimation"/>
      <w:pPr>
        <w:pStyle w:val="Para 01"/>
        <w:keepLines w:val="on"/>
      </w:pPr>
      <w:r>
        <w:t>Khoảng thời gian lợi nhuận, ước lượng beta, 195</w:t>
      </w:r>
      <w:bookmarkEnd w:id="9354"/>
    </w:p>
    <w:p>
      <w:bookmarkStart w:id="9355" w:name="Return_on_assets__ROA___47__606"/>
      <w:pPr>
        <w:pStyle w:val="Para 01"/>
        <w:keepLines w:val="on"/>
      </w:pPr>
      <w:r>
        <w:t>Lợi nhuận trên tài sản (ROA), 47, 606–607</w:t>
      </w:r>
      <w:bookmarkEnd w:id="9355"/>
    </w:p>
    <w:p>
      <w:bookmarkStart w:id="9356" w:name="Return_on_capital__ROC___account"/>
      <w:pPr>
        <w:pStyle w:val="Para 01"/>
        <w:keepLines w:val="on"/>
      </w:pPr>
      <w:r>
        <w:t>Lợi nhuận trên vốn (ROC)</w:t>
      </w:r>
      <w:bookmarkEnd w:id="9356"/>
    </w:p>
    <w:p>
      <w:bookmarkStart w:id="9357" w:name="accounting_for__606_607"/>
      <w:pPr>
        <w:pStyle w:val="Para 01"/>
        <w:keepLines w:val="on"/>
      </w:pPr>
      <w:r>
        <w:t>hạch toán cho, 606–607</w:t>
      </w:r>
      <w:bookmarkEnd w:id="9357"/>
    </w:p>
    <w:p>
      <w:bookmarkStart w:id="9358" w:name="explanation_of__47_48"/>
      <w:pPr>
        <w:pStyle w:val="Para 01"/>
        <w:keepLines w:val="on"/>
      </w:pPr>
      <w:r>
        <w:t>giải thích về, 47–48</w:t>
      </w:r>
      <w:bookmarkEnd w:id="9358"/>
    </w:p>
    <w:p>
      <w:bookmarkStart w:id="9359" w:name="marginal_and_average__322"/>
      <w:pPr>
        <w:pStyle w:val="Para 01"/>
        <w:keepLines w:val="on"/>
      </w:pPr>
      <w:r>
        <w:t>biên và trung bình, 322</w:t>
      </w:r>
      <w:bookmarkEnd w:id="9359"/>
    </w:p>
    <w:p>
      <w:bookmarkStart w:id="9360" w:name="positive_and_changing__322_323"/>
      <w:pPr>
        <w:pStyle w:val="Para 01"/>
        <w:keepLines w:val="on"/>
      </w:pPr>
      <w:r>
        <w:t>dương và thay đổi, 322–323</w:t>
      </w:r>
      <w:bookmarkEnd w:id="9360"/>
    </w:p>
    <w:p>
      <w:bookmarkStart w:id="9361" w:name="reinvestment_rates_and__988"/>
      <w:pPr>
        <w:pStyle w:val="Para 01"/>
        <w:keepLines w:val="on"/>
      </w:pPr>
      <w:r>
        <w:t>tỷ lệ tái đầu tư và, 988</w:t>
      </w:r>
      <w:bookmarkEnd w:id="9361"/>
    </w:p>
    <w:p>
      <w:bookmarkStart w:id="9362" w:name="stable__318_322"/>
      <w:pPr>
        <w:pStyle w:val="Para 01"/>
        <w:keepLines w:val="on"/>
      </w:pPr>
      <w:r>
        <w:t>ổn định, 318–322</w:t>
      </w:r>
      <w:bookmarkEnd w:id="9362"/>
    </w:p>
    <w:p>
      <w:bookmarkStart w:id="9363" w:name="Return_on_equity__ROE___accounti"/>
      <w:pPr>
        <w:pStyle w:val="Para 01"/>
        <w:keepLines w:val="on"/>
      </w:pPr>
      <w:r>
        <w:t>Lợi nhuận trên vốn chủ sở hữu (ROE)</w:t>
      </w:r>
      <w:bookmarkEnd w:id="9363"/>
    </w:p>
    <w:p>
      <w:bookmarkStart w:id="9364" w:name="accounting_for__606_607_1"/>
      <w:pPr>
        <w:pStyle w:val="Para 01"/>
        <w:keepLines w:val="on"/>
      </w:pPr>
      <w:r>
        <w:t>hạch toán cho, 606–607</w:t>
      </w:r>
      <w:bookmarkEnd w:id="9364"/>
    </w:p>
    <w:p>
      <w:bookmarkStart w:id="9365" w:name="current_vs__expected__599"/>
      <w:pPr>
        <w:pStyle w:val="Para 01"/>
        <w:keepLines w:val="on"/>
      </w:pPr>
      <w:r>
        <w:t>hiện tại so với kỳ vọng, 599</w:t>
      </w:r>
      <w:bookmarkEnd w:id="9365"/>
    </w:p>
    <w:p>
      <w:bookmarkStart w:id="9366" w:name="determinants_of__314_315__591_59"/>
      <w:pPr>
        <w:pStyle w:val="Para 01"/>
        <w:keepLines w:val="on"/>
      </w:pPr>
      <w:r>
        <w:t>các yếu tố quyết định của, 314–315, 591–592</w:t>
      </w:r>
      <w:bookmarkEnd w:id="9366"/>
    </w:p>
    <w:p>
      <w:bookmarkStart w:id="9367" w:name="effect_of_changing__316_317"/>
      <w:pPr>
        <w:pStyle w:val="Para 01"/>
        <w:keepLines w:val="on"/>
      </w:pPr>
      <w:r>
        <w:t>ảnh hưởng của việc thay đổi, 316–317</w:t>
      </w:r>
      <w:bookmarkEnd w:id="9367"/>
    </w:p>
    <w:p>
      <w:bookmarkStart w:id="9368" w:name="explanation_of__49_50"/>
      <w:pPr>
        <w:pStyle w:val="Para 01"/>
        <w:keepLines w:val="on"/>
      </w:pPr>
      <w:r>
        <w:t>giải thích về, 49–50</w:t>
      </w:r>
      <w:bookmarkEnd w:id="9368"/>
    </w:p>
    <w:p>
      <w:bookmarkStart w:id="9369" w:name="financial_service_firm_valuation"/>
      <w:pPr>
        <w:pStyle w:val="Para 01"/>
        <w:keepLines w:val="on"/>
      </w:pPr>
      <w:r>
        <w:t>định giá công ty dịch vụ tài chính và, 679–680</w:t>
      </w:r>
      <w:bookmarkEnd w:id="9369"/>
    </w:p>
    <w:p>
      <w:bookmarkStart w:id="9370" w:name="marginal__315_316"/>
      <w:pPr>
        <w:pStyle w:val="Para 01"/>
        <w:keepLines w:val="on"/>
      </w:pPr>
      <w:r>
        <w:t>biên tế (marginal), 315–316</w:t>
      </w:r>
      <w:bookmarkEnd w:id="9370"/>
    </w:p>
    <w:p>
      <w:bookmarkStart w:id="9371" w:name="noncash__49"/>
      <w:pPr>
        <w:pStyle w:val="Para 01"/>
        <w:keepLines w:val="on"/>
      </w:pPr>
      <w:r>
        <w:t>phi tiền mặt (noncash), 49</w:t>
      </w:r>
      <w:bookmarkEnd w:id="9371"/>
    </w:p>
    <w:p>
      <w:bookmarkStart w:id="9372" w:name="price_to_book_ratio_and__587__58"/>
      <w:pPr>
        <w:pStyle w:val="Para 01"/>
        <w:keepLines w:val="on"/>
      </w:pPr>
      <w:r>
        <w:t>tỷ lệ giá trên giá trị sổ sách (price-to-book ratio) và, 587, 589–591, 593–594, 599–600</w:t>
      </w:r>
      <w:bookmarkEnd w:id="9372"/>
    </w:p>
    <w:p>
      <w:bookmarkStart w:id="9373" w:name="Return_on_invested_capital__ROIC"/>
      <w:pPr>
        <w:pStyle w:val="Para 01"/>
        <w:keepLines w:val="on"/>
      </w:pPr>
      <w:r>
        <w:t>Lợi nhuận trên vốn đầu tư (Return on invested capital – ROIC), 47–48, 606–607</w:t>
      </w:r>
      <w:bookmarkEnd w:id="9373"/>
    </w:p>
    <w:p>
      <w:bookmarkStart w:id="9374" w:name="Revenue__accounting_principles_a"/>
      <w:pPr>
        <w:pStyle w:val="Para 01"/>
        <w:keepLines w:val="on"/>
      </w:pPr>
      <w:r>
        <w:t>Doanh thu (Revenue)</w:t>
      </w:r>
      <w:bookmarkEnd w:id="9374"/>
    </w:p>
    <w:p>
      <w:bookmarkStart w:id="9375" w:name="accounting_principles_and__45"/>
      <w:pPr>
        <w:pStyle w:val="Para 01"/>
        <w:keepLines w:val="on"/>
      </w:pPr>
      <w:r>
        <w:t>các nguyên tắc kế toán và, 45</w:t>
      </w:r>
      <w:bookmarkEnd w:id="9375"/>
    </w:p>
    <w:p>
      <w:bookmarkStart w:id="9376" w:name="growth_in__324_327__330_331__739"/>
      <w:pPr>
        <w:pStyle w:val="Para 01"/>
        <w:keepLines w:val="on"/>
      </w:pPr>
      <w:r>
        <w:t>tăng trưởng của, 324–327, 330–331, 739–740</w:t>
      </w:r>
      <w:bookmarkEnd w:id="9376"/>
    </w:p>
    <w:p>
      <w:bookmarkStart w:id="9377" w:name="recognizing__for_managed_earning"/>
      <w:pPr>
        <w:pStyle w:val="Para 01"/>
        <w:keepLines w:val="on"/>
      </w:pPr>
      <w:r>
        <w:t>ghi nhận, đối với lợi nhuận được quản lý (managed earnings), 257–258</w:t>
      </w:r>
      <w:bookmarkEnd w:id="9377"/>
    </w:p>
    <w:p>
      <w:bookmarkStart w:id="9378" w:name="Revenue_breakdown_approach__216"/>
      <w:pPr>
        <w:pStyle w:val="Para 01"/>
        <w:keepLines w:val="on"/>
      </w:pPr>
      <w:r>
        <w:t>Phương pháp phân tách doanh thu (Revenue breakdown approach), 216</w:t>
      </w:r>
      <w:bookmarkEnd w:id="9378"/>
    </w:p>
    <w:p>
      <w:bookmarkStart w:id="9379" w:name="Revenue_multiples__advantages_an"/>
      <w:pPr>
        <w:pStyle w:val="Para 01"/>
        <w:keepLines w:val="on"/>
      </w:pPr>
      <w:r>
        <w:t>Bội số doanh thu (Revenue multiples)</w:t>
      </w:r>
      <w:bookmarkEnd w:id="9379"/>
    </w:p>
    <w:p>
      <w:bookmarkStart w:id="9380" w:name="advantages_and_disadvantages_of"/>
      <w:pPr>
        <w:pStyle w:val="Para 01"/>
        <w:keepLines w:val="on"/>
      </w:pPr>
      <w:r>
        <w:t>ưu điểm và nhược điểm của, 613–614</w:t>
      </w:r>
      <w:bookmarkEnd w:id="9380"/>
    </w:p>
    <w:p>
      <w:bookmarkStart w:id="9381" w:name="analysis_of__616_632"/>
      <w:pPr>
        <w:pStyle w:val="Para 01"/>
        <w:keepLines w:val="on"/>
      </w:pPr>
      <w:r>
        <w:t>phân tích về, 616–632</w:t>
      </w:r>
      <w:bookmarkEnd w:id="9381"/>
    </w:p>
    <w:p>
      <w:bookmarkStart w:id="9382" w:name="cross_sectional_distribution_of_1"/>
      <w:pPr>
        <w:pStyle w:val="Para 01"/>
        <w:keepLines w:val="on"/>
      </w:pPr>
      <w:r>
        <w:t>phân phối cắt ngang của, 614–615</w:t>
      </w:r>
      <w:bookmarkEnd w:id="9382"/>
    </w:p>
    <w:p>
      <w:bookmarkStart w:id="9383" w:name="explanation_of__517__614"/>
      <w:pPr>
        <w:pStyle w:val="Para 01"/>
        <w:keepLines w:val="on"/>
      </w:pPr>
      <w:r>
        <w:t>giải thích về, 517, 614</w:t>
      </w:r>
      <w:bookmarkEnd w:id="9383"/>
    </w:p>
    <w:p>
      <w:bookmarkStart w:id="9384" w:name="of_future_years__643_644"/>
      <w:pPr>
        <w:pStyle w:val="Para 01"/>
        <w:keepLines w:val="on"/>
      </w:pPr>
      <w:r>
        <w:t>của các năm tương lai, 643–644</w:t>
      </w:r>
      <w:bookmarkEnd w:id="9384"/>
    </w:p>
    <w:p>
      <w:bookmarkStart w:id="9385" w:name="in_investment_analysis__632_644"/>
      <w:pPr>
        <w:pStyle w:val="Para 01"/>
        <w:keepLines w:val="on"/>
      </w:pPr>
      <w:r>
        <w:t>trong phân tích đầu tư, 632–644</w:t>
      </w:r>
      <w:bookmarkEnd w:id="9385"/>
    </w:p>
    <w:p>
      <w:bookmarkStart w:id="9386" w:name="profit_margins_and__621_623"/>
      <w:pPr>
        <w:pStyle w:val="Para 01"/>
        <w:keepLines w:val="on"/>
      </w:pPr>
      <w:r>
        <w:t>biên lợi nhuận và, 621–623</w:t>
      </w:r>
      <w:bookmarkEnd w:id="9386"/>
    </w:p>
    <w:p>
      <w:bookmarkStart w:id="9387" w:name="Rising_Asia_fund__491"/>
      <w:pPr>
        <w:pStyle w:val="Para 01"/>
        <w:keepLines w:val="on"/>
      </w:pPr>
      <w:r>
        <w:t>Quỹ Rising Asia, 491</w:t>
      </w:r>
      <w:bookmarkEnd w:id="9387"/>
    </w:p>
    <w:p>
      <w:bookmarkStart w:id="9388" w:name="Risk__for_aggregated_valuation"/>
      <w:pPr>
        <w:pStyle w:val="Para 01"/>
        <w:keepLines w:val="on"/>
      </w:pPr>
      <w:r>
        <w:t>Rủi ro (Risk)</w:t>
      </w:r>
      <w:bookmarkEnd w:id="9388"/>
    </w:p>
    <w:p>
      <w:bookmarkStart w:id="9389" w:name="for_aggregated_valuation__461_46"/>
      <w:pPr>
        <w:pStyle w:val="Para 01"/>
        <w:keepLines w:val="on"/>
      </w:pPr>
      <w:r>
        <w:t>đối với định giá tổng hợp (aggregated valuation), 461–462</w:t>
      </w:r>
      <w:bookmarkEnd w:id="9389"/>
    </w:p>
    <w:p>
      <w:bookmarkStart w:id="9390" w:name="alternative_models_for_equity__7"/>
      <w:pPr>
        <w:pStyle w:val="Para 01"/>
        <w:keepLines w:val="on"/>
      </w:pPr>
      <w:r>
        <w:t>các mô hình thay thế cho vốn cổ phần (equity), 74–80</w:t>
      </w:r>
      <w:bookmarkEnd w:id="9390"/>
    </w:p>
    <w:p>
      <w:bookmarkStart w:id="9391" w:name="for_asset_managment_companies__6_2"/>
      <w:pPr>
        <w:pStyle w:val="Para 01"/>
        <w:keepLines w:val="on"/>
      </w:pPr>
      <w:r>
        <w:t>đối với các công ty quản lý tài sản (asset management companies), 689</w:t>
      </w:r>
      <w:bookmarkEnd w:id="9391"/>
    </w:p>
    <w:p>
      <w:bookmarkStart w:id="9392" w:name="augmented_risk_models__845_847"/>
      <w:pPr>
        <w:pStyle w:val="Para 01"/>
        <w:keepLines w:val="on"/>
      </w:pPr>
      <w:r>
        <w:t>mô hình rủi ro mở rộng, 845–847</w:t>
      </w:r>
      <w:bookmarkEnd w:id="9392"/>
    </w:p>
    <w:p>
      <w:bookmarkStart w:id="9393" w:name="for_brokerage_firms__691_1"/>
      <w:pPr>
        <w:pStyle w:val="Para 01"/>
        <w:keepLines w:val="on"/>
      </w:pPr>
      <w:r>
        <w:t>đối với các công ty môi giới chứng khoán, 691</w:t>
      </w:r>
      <w:bookmarkEnd w:id="9393"/>
    </w:p>
    <w:p>
      <w:bookmarkStart w:id="9394" w:name="in_cash_flow__648"/>
      <w:pPr>
        <w:pStyle w:val="Para 01"/>
        <w:keepLines w:val="on"/>
      </w:pPr>
      <w:r>
        <w:t>trong dòng tiền, 648</w:t>
      </w:r>
      <w:bookmarkEnd w:id="9394"/>
    </w:p>
    <w:p>
      <w:bookmarkStart w:id="9395" w:name="CFROI_and__1027"/>
      <w:pPr>
        <w:pStyle w:val="Para 01"/>
        <w:keepLines w:val="on"/>
      </w:pPr>
      <w:r>
        <w:t>CFROI và, 1027</w:t>
      </w:r>
      <w:bookmarkEnd w:id="9395"/>
    </w:p>
    <w:p>
      <w:bookmarkStart w:id="9396" w:name="comparative_analysis_of_equity_r"/>
      <w:pPr>
        <w:pStyle w:val="Para 01"/>
        <w:keepLines w:val="on"/>
      </w:pPr>
      <w:r>
        <w:t>phân tích so sánh các mô hình rủi ro vốn cổ phần, 80–81</w:t>
      </w:r>
      <w:bookmarkEnd w:id="9396"/>
    </w:p>
    <w:p>
      <w:bookmarkStart w:id="9397" w:name="continuous__1036__1059"/>
      <w:pPr>
        <w:pStyle w:val="Para 01"/>
        <w:keepLines w:val="on"/>
      </w:pPr>
      <w:r>
        <w:t>liên tục, 1036, 1059</w:t>
      </w:r>
      <w:bookmarkEnd w:id="9397"/>
    </w:p>
    <w:p>
      <w:bookmarkStart w:id="9398" w:name="correlation_across__1059"/>
      <w:pPr>
        <w:pStyle w:val="Para 01"/>
        <w:keepLines w:val="on"/>
      </w:pPr>
      <w:r>
        <w:t>tương quan giữa các, 1059</w:t>
      </w:r>
      <w:bookmarkEnd w:id="9398"/>
    </w:p>
    <w:p>
      <w:bookmarkStart w:id="9399" w:name="default__81_84"/>
      <w:pPr>
        <w:pStyle w:val="Para 01"/>
        <w:keepLines w:val="on"/>
      </w:pPr>
      <w:r>
        <w:t>vỡ nợ, 81–84</w:t>
      </w:r>
      <w:bookmarkEnd w:id="9399"/>
    </w:p>
    <w:p>
      <w:bookmarkStart w:id="9400" w:name="defining__62_65_1"/>
      <w:pPr>
        <w:pStyle w:val="Para 01"/>
        <w:keepLines w:val="on"/>
      </w:pPr>
      <w:r>
        <w:t>định nghĩa, 62–65</w:t>
      </w:r>
      <w:bookmarkEnd w:id="9400"/>
    </w:p>
    <w:p>
      <w:bookmarkStart w:id="9401" w:name="for_disaggregated_valuation__462_1"/>
      <w:pPr>
        <w:pStyle w:val="Para 01"/>
        <w:keepLines w:val="on"/>
      </w:pPr>
      <w:r>
        <w:t>cho định giá phân tách, 462–463</w:t>
      </w:r>
      <w:bookmarkEnd w:id="9401"/>
    </w:p>
    <w:p>
      <w:bookmarkStart w:id="9402" w:name="discrete__1059"/>
      <w:pPr>
        <w:pStyle w:val="Para 01"/>
        <w:keepLines w:val="on"/>
      </w:pPr>
      <w:r>
        <w:t>rời rạc, 1059</w:t>
      </w:r>
      <w:bookmarkEnd w:id="9402"/>
    </w:p>
    <w:p>
      <w:bookmarkStart w:id="9403" w:name="diversifiable_and_nondiversifiab"/>
      <w:pPr>
        <w:pStyle w:val="Para 01"/>
        <w:keepLines w:val="on"/>
      </w:pPr>
      <w:r>
        <w:t>có thể đa dạng hóa và không thể đa dạng hóa, 65–67, 68</w:t>
      </w:r>
      <w:bookmarkEnd w:id="9403"/>
    </w:p>
    <w:p>
      <w:bookmarkStart w:id="9404" w:name="double_counting_of__174__1036__1"/>
      <w:pPr>
        <w:pStyle w:val="Para 01"/>
        <w:keepLines w:val="on"/>
      </w:pPr>
      <w:r>
        <w:t>tính trùng lặp của, 174, 1036, 1046</w:t>
      </w:r>
      <w:bookmarkEnd w:id="9404"/>
    </w:p>
    <w:p>
      <w:bookmarkStart w:id="9405" w:name="dynamic_response_to__1044"/>
      <w:pPr>
        <w:pStyle w:val="Para 01"/>
        <w:keepLines w:val="on"/>
      </w:pPr>
      <w:r>
        <w:t>phản ứng động đối với, 1044</w:t>
      </w:r>
      <w:bookmarkEnd w:id="9405"/>
    </w:p>
    <w:p>
      <w:bookmarkStart w:id="9406" w:name="economic_value_added_and_shiftin"/>
      <w:pPr>
        <w:pStyle w:val="Para 01"/>
        <w:keepLines w:val="on"/>
      </w:pPr>
      <w:r>
        <w:t>giá trị kinh tế gia tăng và sự dịch chuyển của, 1019–1021</w:t>
      </w:r>
      <w:bookmarkEnd w:id="9406"/>
    </w:p>
    <w:p>
      <w:bookmarkStart w:id="9407" w:name="and_equity_value__964_965"/>
      <w:pPr>
        <w:pStyle w:val="Para 01"/>
        <w:keepLines w:val="on"/>
      </w:pPr>
      <w:r>
        <w:t>và giá trị vốn cổ phần, 964–965</w:t>
      </w:r>
      <w:bookmarkEnd w:id="9407"/>
    </w:p>
    <w:p>
      <w:bookmarkStart w:id="9408" w:name="and_expectations__754"/>
      <w:pPr>
        <w:pStyle w:val="Para 01"/>
        <w:keepLines w:val="on"/>
      </w:pPr>
      <w:r>
        <w:t>và kỳ vọng, 754</w:t>
      </w:r>
      <w:bookmarkEnd w:id="9408"/>
    </w:p>
    <w:p>
      <w:bookmarkStart w:id="9409" w:name="expected_return_and_equity__62_7"/>
      <w:pPr>
        <w:pStyle w:val="Para 01"/>
        <w:keepLines w:val="on"/>
      </w:pPr>
      <w:r>
        <w:t>lợi nhuận kỳ vọng và vốn cổ phần, 62–74</w:t>
      </w:r>
      <w:bookmarkEnd w:id="9409"/>
    </w:p>
    <w:p>
      <w:bookmarkStart w:id="9410" w:name="explanation_of__61_62"/>
      <w:pPr>
        <w:pStyle w:val="Para 01"/>
        <w:keepLines w:val="on"/>
      </w:pPr>
      <w:r>
        <w:t>giải thích về, 61–62</w:t>
      </w:r>
      <w:bookmarkEnd w:id="9410"/>
    </w:p>
    <w:p>
      <w:bookmarkStart w:id="9412" w:name="failure_to_control_for__124"/>
      <w:pPr>
        <w:pStyle w:val="Para 01"/>
        <w:keepLines w:val="on"/>
      </w:pPr>
      <w:r>
        <w:t>không kiểm soát được, 124</w:t>
      </w:r>
      <w:bookmarkEnd w:id="9412"/>
    </w:p>
    <w:p>
      <w:bookmarkStart w:id="9413" w:name="firm_specific__66_67"/>
      <w:pPr>
        <w:pStyle w:val="Para 01"/>
        <w:keepLines w:val="on"/>
      </w:pPr>
      <w:r>
        <w:t>đặc thù của doanh nghiệp, 66–67</w:t>
      </w:r>
      <w:bookmarkEnd w:id="9413"/>
    </w:p>
    <w:p>
      <w:bookmarkStart w:id="9414" w:name="generalized_FCFE_model_and__423_1"/>
      <w:pPr>
        <w:pStyle w:val="Para 01"/>
        <w:keepLines w:val="on"/>
      </w:pPr>
      <w:r>
        <w:t>mô hình FCFE tổng quát và, 423–424</w:t>
      </w:r>
      <w:bookmarkEnd w:id="9414"/>
    </w:p>
    <w:p>
      <w:bookmarkStart w:id="9415" w:name="mean_variance_models_measuring_m"/>
      <w:pPr>
        <w:pStyle w:val="Para 01"/>
        <w:keepLines w:val="on"/>
      </w:pPr>
      <w:r>
        <w:t>các mô hình trung bình-phương sai đo lường rủi ro thị trường, 67–74</w:t>
      </w:r>
      <w:bookmarkEnd w:id="9415"/>
    </w:p>
    <w:p>
      <w:bookmarkStart w:id="9416" w:name="operating__375__995"/>
      <w:pPr>
        <w:pStyle w:val="Para 01"/>
        <w:keepLines w:val="on"/>
      </w:pPr>
      <w:r>
        <w:t>hoạt động, 375, 995</w:t>
      </w:r>
      <w:bookmarkEnd w:id="9416"/>
    </w:p>
    <w:p>
      <w:bookmarkStart w:id="9417" w:name="operating_leverage_and__745"/>
      <w:pPr>
        <w:pStyle w:val="Para 01"/>
        <w:keepLines w:val="on"/>
      </w:pPr>
      <w:r>
        <w:t>đòn bẩy hoạt động và, 745</w:t>
      </w:r>
      <w:bookmarkEnd w:id="9417"/>
    </w:p>
    <w:p>
      <w:bookmarkStart w:id="9418" w:name="price_book_value_ratio_and__588_1"/>
      <w:pPr>
        <w:pStyle w:val="Para 01"/>
        <w:keepLines w:val="on"/>
      </w:pPr>
      <w:r>
        <w:t>tỷ lệ giá trên giá trị sổ sách và, 588</w:t>
      </w:r>
      <w:bookmarkEnd w:id="9418"/>
    </w:p>
    <w:p>
      <w:bookmarkStart w:id="9419" w:name="price_earnings_ratios_and__538_2"/>
      <w:pPr>
        <w:pStyle w:val="Para 01"/>
        <w:keepLines w:val="on"/>
      </w:pPr>
      <w:r>
        <w:t>tỷ lệ giá trên thu nhập và, 538, 541–543</w:t>
      </w:r>
      <w:bookmarkEnd w:id="9419"/>
    </w:p>
    <w:p>
      <w:bookmarkStart w:id="9420" w:name="price_to_book_ratio_and__603"/>
      <w:pPr>
        <w:pStyle w:val="Para 01"/>
        <w:keepLines w:val="on"/>
      </w:pPr>
      <w:r>
        <w:t>tỷ lệ giá trên giá trị sổ sách và, 603</w:t>
      </w:r>
      <w:bookmarkEnd w:id="9420"/>
    </w:p>
    <w:p>
      <w:bookmarkStart w:id="9421" w:name="Price_to_sales_ratio_and__617"/>
      <w:pPr>
        <w:pStyle w:val="Para 01"/>
        <w:keepLines w:val="on"/>
      </w:pPr>
      <w:r>
        <w:t>tỷ lệ giá trên doanh thu và, 617</w:t>
      </w:r>
      <w:bookmarkEnd w:id="9421"/>
    </w:p>
    <w:p>
      <w:bookmarkStart w:id="9422" w:name="in_private_firms__764_765"/>
      <w:pPr>
        <w:pStyle w:val="Para 01"/>
        <w:keepLines w:val="on"/>
      </w:pPr>
      <w:r>
        <w:t>trong các công ty tư nhân, 764–765</w:t>
      </w:r>
      <w:bookmarkEnd w:id="9422"/>
    </w:p>
    <w:p>
      <w:bookmarkStart w:id="9423" w:name="with_real_estate__847"/>
      <w:pPr>
        <w:pStyle w:val="Para 01"/>
        <w:keepLines w:val="on"/>
      </w:pPr>
      <w:r>
        <w:t>với bất động sản, 847</w:t>
      </w:r>
      <w:bookmarkEnd w:id="9423"/>
    </w:p>
    <w:p>
      <w:bookmarkStart w:id="9424" w:name="regulatory__1037_1038"/>
      <w:pPr>
        <w:pStyle w:val="Para 01"/>
        <w:keepLines w:val="on"/>
      </w:pPr>
      <w:r>
        <w:t>theo quy định, 1037–1038</w:t>
      </w:r>
      <w:bookmarkEnd w:id="9424"/>
    </w:p>
    <w:p>
      <w:bookmarkStart w:id="9425" w:name="for_transaction_payment_processo_2"/>
      <w:pPr>
        <w:pStyle w:val="Para 01"/>
        <w:keepLines w:val="on"/>
      </w:pPr>
      <w:r>
        <w:t>cho các đơn vị xử lý giao dịch/thanh toán, 690</w:t>
      </w:r>
      <w:bookmarkEnd w:id="9425"/>
    </w:p>
    <w:p>
      <w:bookmarkStart w:id="9426" w:name="Risk_adjusted_value__decision_tr"/>
      <w:pPr>
        <w:pStyle w:val="Para 01"/>
        <w:keepLines w:val="on"/>
      </w:pPr>
      <w:r>
        <w:t>Giá trị điều chỉnh theo rủi ro</w:t>
      </w:r>
      <w:bookmarkEnd w:id="9426"/>
    </w:p>
    <w:p>
      <w:bookmarkStart w:id="9427" w:name="decision_trees_and__1045_1047"/>
      <w:pPr>
        <w:pStyle w:val="Para 01"/>
        <w:keepLines w:val="on"/>
      </w:pPr>
      <w:r>
        <w:t>cây quyết định và, 1045–1047</w:t>
      </w:r>
      <w:bookmarkEnd w:id="9427"/>
    </w:p>
    <w:p>
      <w:bookmarkStart w:id="9428" w:name="probabilistic_complements_or_rep"/>
      <w:pPr>
        <w:pStyle w:val="Para 01"/>
        <w:keepLines w:val="on"/>
      </w:pPr>
      <w:r>
        <w:t>các phần bổ sung hoặc thay thế mang tính xác suất cho, 1059–1060</w:t>
      </w:r>
      <w:bookmarkEnd w:id="9428"/>
    </w:p>
    <w:p>
      <w:bookmarkStart w:id="9429" w:name="simulations_and__1057_1058"/>
      <w:pPr>
        <w:pStyle w:val="Para 01"/>
        <w:keepLines w:val="on"/>
      </w:pPr>
      <w:r>
        <w:t>mô phỏng và, 1057–1058</w:t>
      </w:r>
      <w:bookmarkEnd w:id="9429"/>
    </w:p>
    <w:p>
      <w:bookmarkStart w:id="9430" w:name="Risk_analysis__1058_1059"/>
      <w:pPr>
        <w:pStyle w:val="Para 01"/>
        <w:keepLines w:val="on"/>
      </w:pPr>
      <w:r>
        <w:t>Phân tích rủi ro, 1058–1059</w:t>
      </w:r>
      <w:bookmarkEnd w:id="9430"/>
    </w:p>
    <w:p>
      <w:bookmarkStart w:id="9431" w:name="Risk_and_return_models__162_163"/>
      <w:pPr>
        <w:pStyle w:val="Para 01"/>
        <w:keepLines w:val="on"/>
      </w:pPr>
      <w:r>
        <w:t>Các mô hình rủi ro và lợi nhuận, 162–163</w:t>
      </w:r>
      <w:bookmarkEnd w:id="9431"/>
    </w:p>
    <w:p>
      <w:bookmarkStart w:id="9432" w:name="Risk_assessment__for_young_or_st"/>
      <w:pPr>
        <w:pStyle w:val="Para 01"/>
        <w:keepLines w:val="on"/>
      </w:pPr>
      <w:r>
        <w:t>Đánh giá rủi ro, đối với các công ty non trẻ hoặc mới khởi nghiệp, 744–745</w:t>
      </w:r>
      <w:bookmarkEnd w:id="9432"/>
    </w:p>
    <w:p>
      <w:bookmarkStart w:id="9433" w:name="Risk_free_rates__asset_requireme"/>
      <w:pPr>
        <w:pStyle w:val="Para 01"/>
        <w:keepLines w:val="on"/>
      </w:pPr>
      <w:r>
        <w:t>Lãi suất phi rủi ro</w:t>
      </w:r>
      <w:bookmarkEnd w:id="9433"/>
    </w:p>
    <w:p>
      <w:bookmarkStart w:id="9434" w:name="asset_requirements_and__157_158"/>
      <w:pPr>
        <w:pStyle w:val="Para 01"/>
        <w:keepLines w:val="on"/>
      </w:pPr>
      <w:r>
        <w:t>các yêu cầu về tài sản và, 157–158</w:t>
      </w:r>
      <w:bookmarkEnd w:id="9434"/>
    </w:p>
    <w:p>
      <w:bookmarkStart w:id="9435" w:name="cash_flows_and__158_159"/>
      <w:pPr>
        <w:pStyle w:val="Para 01"/>
        <w:keepLines w:val="on"/>
      </w:pPr>
      <w:r>
        <w:t>dòng tiền và, 158–159</w:t>
      </w:r>
      <w:bookmarkEnd w:id="9435"/>
    </w:p>
    <w:p>
      <w:bookmarkStart w:id="9436" w:name="conversion_of__161_162"/>
      <w:pPr>
        <w:pStyle w:val="Para 01"/>
        <w:keepLines w:val="on"/>
      </w:pPr>
      <w:r>
        <w:t>việc chuyển đổi, 161–162</w:t>
      </w:r>
      <w:bookmarkEnd w:id="9436"/>
    </w:p>
    <w:p>
      <w:bookmarkStart w:id="9437" w:name="cost_of_debt_and__221_2"/>
      <w:pPr>
        <w:pStyle w:val="Para 01"/>
        <w:keepLines w:val="on"/>
      </w:pPr>
      <w:r>
        <w:t>chi phí nợ và, 221</w:t>
      </w:r>
      <w:bookmarkEnd w:id="9437"/>
    </w:p>
    <w:p>
      <w:bookmarkStart w:id="9438" w:name="default_free_entities_and__158"/>
      <w:pPr>
        <w:pStyle w:val="Para 01"/>
        <w:keepLines w:val="on"/>
      </w:pPr>
      <w:r>
        <w:t>các thực thể không có rủi ro vỡ nợ và, 158</w:t>
      </w:r>
      <w:bookmarkEnd w:id="9438"/>
    </w:p>
    <w:p>
      <w:bookmarkStart w:id="9439" w:name="explanation_of__157"/>
      <w:pPr>
        <w:pStyle w:val="Para 01"/>
        <w:keepLines w:val="on"/>
      </w:pPr>
      <w:r>
        <w:t>giải thích về, 157</w:t>
      </w:r>
      <w:bookmarkEnd w:id="9439"/>
    </w:p>
    <w:p>
      <w:bookmarkStart w:id="9440" w:name="and_growth_in_perpetuity__344_34"/>
      <w:pPr>
        <w:pStyle w:val="Para 01"/>
        <w:keepLines w:val="on"/>
      </w:pPr>
      <w:r>
        <w:t>và tăng trưởng vĩnh viễn, 344–345</w:t>
      </w:r>
      <w:bookmarkEnd w:id="9440"/>
    </w:p>
    <w:p>
      <w:bookmarkStart w:id="9441" w:name="lack_of_default_free_entity_and"/>
      <w:pPr>
        <w:pStyle w:val="Para 01"/>
        <w:keepLines w:val="on"/>
      </w:pPr>
      <w:r>
        <w:t>thiếu thực thể không có rủi ro vỡ nợ và, 160–162</w:t>
      </w:r>
      <w:bookmarkEnd w:id="9441"/>
    </w:p>
    <w:p>
      <w:bookmarkStart w:id="9442" w:name="nominal__345"/>
      <w:pPr>
        <w:pStyle w:val="Para 01"/>
        <w:keepLines w:val="on"/>
      </w:pPr>
      <w:r>
        <w:t>danh nghĩa, 345</w:t>
      </w:r>
      <w:bookmarkEnd w:id="9442"/>
    </w:p>
    <w:p>
      <w:bookmarkStart w:id="9443" w:name="project_delay_option_and__913"/>
      <w:pPr>
        <w:pStyle w:val="Para 01"/>
        <w:keepLines w:val="on"/>
      </w:pPr>
      <w:r>
        <w:t>quyền chọn trì hoãn dự án (project delay option) và, 913</w:t>
      </w:r>
      <w:bookmarkEnd w:id="9443"/>
    </w:p>
    <w:p>
      <w:bookmarkStart w:id="9444" w:name="real_vs__nominal__159_160"/>
      <w:pPr>
        <w:pStyle w:val="Para 01"/>
        <w:keepLines w:val="on"/>
      </w:pPr>
      <w:r>
        <w:t>thực tế so với danh nghĩa (real vs. nominal), 159–160</w:t>
      </w:r>
      <w:bookmarkEnd w:id="9444"/>
    </w:p>
    <w:p>
      <w:bookmarkStart w:id="9445" w:name="Risk_free_security__166"/>
      <w:pPr>
        <w:pStyle w:val="Para 01"/>
        <w:keepLines w:val="on"/>
      </w:pPr>
      <w:r>
        <w:t>Chứng khoán phi rủi ro (Risk-free security), 166</w:t>
      </w:r>
      <w:bookmarkEnd w:id="9445"/>
    </w:p>
    <w:p>
      <w:bookmarkStart w:id="9446" w:name="Riskless_interest_rates__93"/>
      <w:pPr>
        <w:pStyle w:val="Para 01"/>
        <w:keepLines w:val="on"/>
      </w:pPr>
      <w:r>
        <w:t>Lãi suất phi rủi ro (Riskless interest rates), 93</w:t>
      </w:r>
      <w:bookmarkEnd w:id="9446"/>
    </w:p>
    <w:p>
      <w:bookmarkStart w:id="9447" w:name="Riskless_rates__See_Risk_free_ra"/>
      <w:pPr>
        <w:pStyle w:val="Para 01"/>
        <w:keepLines w:val="on"/>
      </w:pPr>
      <w:r>
        <w:t>Lãi suất phi rủi ro. Xem Lãi suất phi rủi ro (Risk-free rates)</w:t>
      </w:r>
      <w:bookmarkEnd w:id="9447"/>
    </w:p>
    <w:p>
      <w:bookmarkStart w:id="9448" w:name="Risk_management__1044"/>
      <w:pPr>
        <w:pStyle w:val="Para 01"/>
        <w:keepLines w:val="on"/>
      </w:pPr>
      <w:r>
        <w:t>Quản trị rủi ro (Risk management), 1044</w:t>
      </w:r>
      <w:bookmarkEnd w:id="9448"/>
    </w:p>
    <w:p>
      <w:bookmarkStart w:id="9449" w:name="Risk_measurement__accounting_pri"/>
      <w:pPr>
        <w:pStyle w:val="Para 01"/>
        <w:keepLines w:val="on"/>
      </w:pPr>
      <w:r>
        <w:t>Đo lường rủi ro (Risk measurement)</w:t>
      </w:r>
      <w:bookmarkEnd w:id="9449"/>
    </w:p>
    <w:p>
      <w:bookmarkStart w:id="9450" w:name="accounting_principles_underlying_1"/>
      <w:pPr>
        <w:pStyle w:val="Para 01"/>
        <w:keepLines w:val="on"/>
      </w:pPr>
      <w:r>
        <w:t>các nguyên tắc kế toán làm nền tảng, 50–51</w:t>
      </w:r>
      <w:bookmarkEnd w:id="9450"/>
    </w:p>
    <w:p>
      <w:bookmarkStart w:id="9451" w:name="financial_ratios_and__51_56"/>
      <w:pPr>
        <w:pStyle w:val="Para 01"/>
        <w:keepLines w:val="on"/>
      </w:pPr>
      <w:r>
        <w:t>các tỷ số tài chính (financial ratios) và, 51–56</w:t>
      </w:r>
      <w:bookmarkEnd w:id="9451"/>
    </w:p>
    <w:p>
      <w:bookmarkStart w:id="9452" w:name="financial_statement_disclosure_a"/>
      <w:pPr>
        <w:pStyle w:val="Para 01"/>
        <w:keepLines w:val="on"/>
      </w:pPr>
      <w:r>
        <w:t>việc công bố báo cáo tài chính (financial statement disclosure) và, 51</w:t>
      </w:r>
      <w:bookmarkEnd w:id="9452"/>
    </w:p>
    <w:p>
      <w:bookmarkStart w:id="9453" w:name="Risk_parameters__844_845"/>
      <w:pPr>
        <w:pStyle w:val="Para 01"/>
        <w:keepLines w:val="on"/>
      </w:pPr>
      <w:r>
        <w:t>Các thông số rủi ro (Risk parameters), 844–845</w:t>
      </w:r>
      <w:bookmarkEnd w:id="9453"/>
    </w:p>
    <w:p>
      <w:bookmarkStart w:id="9454" w:name="Risk_phases__1040"/>
      <w:pPr>
        <w:pStyle w:val="Para 01"/>
        <w:keepLines w:val="on"/>
      </w:pPr>
      <w:r>
        <w:t>Các giai đoạn rủi ro (Risk phases), 1040</w:t>
      </w:r>
      <w:bookmarkEnd w:id="9454"/>
    </w:p>
    <w:p>
      <w:bookmarkStart w:id="9455" w:name="Risk_premiums__See_also_Equity_r"/>
      <w:pPr>
        <w:pStyle w:val="Para 10"/>
        <w:keepLines w:val="on"/>
      </w:pPr>
      <w:r>
        <w:t>Phần bù rủi ro (Risk premiums). Xem thêm Phần bù rủi ro vốn cổ phần (Equity risk premium)</w:t>
      </w:r>
      <w:bookmarkEnd w:id="9455"/>
    </w:p>
    <w:p>
      <w:bookmarkStart w:id="9456" w:name="for_aggregated_valuation__461_46_1"/>
      <w:pPr>
        <w:pStyle w:val="Para 01"/>
        <w:keepLines w:val="on"/>
      </w:pPr>
      <w:r>
        <w:t>cho định giá tổng hợp (aggregated valuation), 461–462</w:t>
      </w:r>
      <w:bookmarkEnd w:id="9456"/>
    </w:p>
    <w:p>
      <w:bookmarkStart w:id="9457" w:name="for_disaggregated_valuation__462_2"/>
      <w:pPr>
        <w:pStyle w:val="Para 01"/>
        <w:keepLines w:val="on"/>
      </w:pPr>
      <w:r>
        <w:t>cho định giá phân tách (disaggregated valuation), 462–463</w:t>
      </w:r>
      <w:bookmarkEnd w:id="9457"/>
    </w:p>
    <w:p>
      <w:bookmarkStart w:id="9458" w:name="Risk_proxy__79"/>
      <w:pPr>
        <w:pStyle w:val="Para 01"/>
        <w:keepLines w:val="on"/>
      </w:pPr>
      <w:r>
        <w:t>Đại diện rủi ro (Risk proxy), 79</w:t>
      </w:r>
      <w:bookmarkEnd w:id="9458"/>
    </w:p>
    <w:p>
      <w:bookmarkStart w:id="9459" w:name="Risky_projects__investing_in__97"/>
      <w:pPr>
        <w:pStyle w:val="Para 01"/>
        <w:keepLines w:val="on"/>
      </w:pPr>
      <w:r>
        <w:t>Đầu tư vào các dự án rủi ro (Risky projects), 973</w:t>
      </w:r>
      <w:bookmarkEnd w:id="9459"/>
    </w:p>
    <w:p>
      <w:bookmarkStart w:id="9460" w:name="Risky_securities__accounting_for"/>
      <w:pPr>
        <w:pStyle w:val="Para 01"/>
        <w:keepLines w:val="on"/>
      </w:pPr>
      <w:r>
        <w:t>Chứng khoán rủi ro (Risky securities)</w:t>
      </w:r>
      <w:bookmarkEnd w:id="9460"/>
    </w:p>
    <w:p>
      <w:bookmarkStart w:id="9461" w:name="accounting_for_marketable_securi"/>
      <w:pPr>
        <w:pStyle w:val="Para 01"/>
        <w:keepLines w:val="on"/>
      </w:pPr>
      <w:r>
        <w:t>hạch toán chứng khoán thị trường (marketable securities), 488–490</w:t>
      </w:r>
      <w:bookmarkEnd w:id="9461"/>
    </w:p>
    <w:p>
      <w:bookmarkStart w:id="9462" w:name="business_investments_and__488"/>
      <w:pPr>
        <w:pStyle w:val="Para 01"/>
        <w:keepLines w:val="on"/>
      </w:pPr>
      <w:r>
        <w:t>đầu tư kinh doanh và, 488</w:t>
      </w:r>
      <w:bookmarkEnd w:id="9462"/>
    </w:p>
    <w:p>
      <w:bookmarkStart w:id="9463" w:name="reasons_for_holding__486_488"/>
      <w:pPr>
        <w:pStyle w:val="Para 01"/>
        <w:keepLines w:val="on"/>
      </w:pPr>
      <w:r>
        <w:t>lý do nắm giữ, 486–488</w:t>
      </w:r>
      <w:bookmarkEnd w:id="9463"/>
    </w:p>
    <w:p>
      <w:bookmarkStart w:id="9464" w:name="as_strategic_investments__488"/>
      <w:pPr>
        <w:pStyle w:val="Para 01"/>
        <w:keepLines w:val="on"/>
      </w:pPr>
      <w:r>
        <w:t>như các khoản đầu tư chiến lược (strategic investments), 488</w:t>
      </w:r>
      <w:bookmarkEnd w:id="9464"/>
    </w:p>
    <w:p>
      <w:bookmarkStart w:id="9465" w:name="ROA__See_Return_on_assets__ROA"/>
      <w:pPr>
        <w:pStyle w:val="Para 10"/>
        <w:keepLines w:val="on"/>
      </w:pPr>
      <w:r>
        <w:t>ROA. Xem Lợi nhuận trên tài sản (Return on assets – ROA)</w:t>
      </w:r>
      <w:bookmarkEnd w:id="9465"/>
    </w:p>
    <w:p>
      <w:bookmarkStart w:id="9466" w:name="Roadways_Inc___713_715"/>
      <w:pPr>
        <w:pStyle w:val="Para 01"/>
        <w:keepLines w:val="on"/>
      </w:pPr>
      <w:r>
        <w:t>Roadways Inc., 713–715</w:t>
      </w:r>
      <w:bookmarkEnd w:id="9466"/>
    </w:p>
    <w:p>
      <w:bookmarkStart w:id="9467" w:name="ROA__return_on_assets___47__606"/>
      <w:pPr>
        <w:pStyle w:val="Para 01"/>
        <w:keepLines w:val="on"/>
      </w:pPr>
      <w:r>
        <w:t>ROA (lợi nhuận trên tài sản), 47, 606–607</w:t>
      </w:r>
      <w:bookmarkEnd w:id="9467"/>
    </w:p>
    <w:p>
      <w:bookmarkStart w:id="9468" w:name="ROC__See_Return_on_capital__ROC"/>
      <w:pPr>
        <w:pStyle w:val="Para 10"/>
        <w:keepLines w:val="on"/>
      </w:pPr>
      <w:r>
        <w:t>ROC. Xem Tỷ suất sinh lợi trên vốn đầu tư (ROC)</w:t>
      </w:r>
      <w:bookmarkEnd w:id="9468"/>
    </w:p>
    <w:p>
      <w:bookmarkStart w:id="9469" w:name="ROE__See_Return_on_equity__ROE"/>
      <w:pPr>
        <w:pStyle w:val="Para 10"/>
        <w:keepLines w:val="on"/>
      </w:pPr>
      <w:r>
        <w:t>ROE. Xem Tỷ suất sinh lợi trên vốn chủ sở hữu (ROE)</w:t>
      </w:r>
      <w:bookmarkEnd w:id="9469"/>
    </w:p>
    <w:p>
      <w:bookmarkStart w:id="9470" w:name="ROIC__return_on_invested_capital"/>
      <w:pPr>
        <w:pStyle w:val="Para 01"/>
        <w:keepLines w:val="on"/>
      </w:pPr>
      <w:r>
        <w:t>ROIC (tỷ suất sinh lợi trên vốn đầu tư), 47–48, 606–607</w:t>
      </w:r>
      <w:bookmarkEnd w:id="9470"/>
    </w:p>
    <w:p>
      <w:bookmarkStart w:id="9471" w:name="R_squared__R2__of_regression__19"/>
      <w:pPr>
        <w:pStyle w:val="Para 01"/>
        <w:keepLines w:val="on"/>
      </w:pPr>
      <w:r>
        <w:t>R bình phương (R2) của hồi quy, 191</w:t>
      </w:r>
      <w:bookmarkEnd w:id="9471"/>
    </w:p>
    <w:p>
      <w:bookmarkStart w:id="9472" w:name="RTX__conglomerate___37_38__43_44"/>
      <w:pPr>
        <w:pStyle w:val="Para 01"/>
        <w:keepLines w:val="on"/>
      </w:pPr>
      <w:r>
        <w:t>RTX (tập đoàn đa ngành), 37–38, 43–44, 46, 48, 50, 54, 56</w:t>
      </w:r>
      <w:bookmarkEnd w:id="9472"/>
    </w:p>
    <w:p>
      <w:bookmarkStart w:id="9473" w:name="Runaway_business_story__368"/>
      <w:pPr>
        <w:pStyle w:val="Para 01"/>
        <w:keepLines w:val="on"/>
      </w:pPr>
      <w:r>
        <w:t>Câu chuyện doanh nghiệp bùng nổ, 368</w:t>
      </w:r>
      <w:bookmarkEnd w:id="9473"/>
    </w:p>
    <w:p>
      <w:bookmarkStart w:id="9474" w:name="Runs_test__128"/>
      <w:pPr>
        <w:pStyle w:val="Para 01"/>
        <w:keepLines w:val="on"/>
      </w:pPr>
      <w:r>
        <w:t>Kiểm định chuỗi (runs test), 128</w:t>
      </w:r>
      <w:bookmarkEnd w:id="9474"/>
    </w:p>
    <w:p>
      <w:bookmarkStart w:id="9475" w:name="S___SAB_Miller__806_809__811_812"/>
      <w:bookmarkStart w:id="9476" w:name="S"/>
      <w:pPr>
        <w:keepNext/>
        <w:pStyle w:val="Para 50"/>
        <w:keepLines w:val="on"/>
      </w:pPr>
      <w:r>
        <w:t>S</w:t>
      </w:r>
      <w:bookmarkEnd w:id="9475"/>
      <w:bookmarkEnd w:id="9476"/>
    </w:p>
    <w:p>
      <w:bookmarkStart w:id="9477" w:name="SAB_Miller__806_809__811_812__82"/>
      <w:pPr>
        <w:pStyle w:val="Para 01"/>
        <w:keepLines w:val="on"/>
      </w:pPr>
      <w:r>
        <w:t>SAB Miller, 806–809, 811–812, 822–823</w:t>
      </w:r>
      <w:bookmarkEnd w:id="9477"/>
    </w:p>
    <w:p>
      <w:bookmarkStart w:id="9478" w:name="Salaries__in_private_firms__768"/>
      <w:pPr>
        <w:pStyle w:val="Para 01"/>
        <w:keepLines w:val="on"/>
      </w:pPr>
      <w:r>
        <w:t>Tiền lương, trong các công ty tư nhân, 768</w:t>
      </w:r>
      <w:bookmarkEnd w:id="9478"/>
    </w:p>
    <w:p>
      <w:bookmarkStart w:id="9479" w:name="Sales_to_capital_ratio__331_332"/>
      <w:pPr>
        <w:pStyle w:val="Para 01"/>
        <w:keepLines w:val="on"/>
      </w:pPr>
      <w:r>
        <w:t>Tỷ lệ doanh thu trên vốn, 331–332</w:t>
      </w:r>
      <w:bookmarkEnd w:id="9479"/>
    </w:p>
    <w:p>
      <w:bookmarkStart w:id="9480" w:name="Sales_turnover__630_631"/>
      <w:pPr>
        <w:pStyle w:val="Para 01"/>
        <w:keepLines w:val="on"/>
      </w:pPr>
      <w:r>
        <w:t>Vòng quay doanh thu, 630–631</w:t>
      </w:r>
      <w:bookmarkEnd w:id="9480"/>
    </w:p>
    <w:p>
      <w:bookmarkStart w:id="9481" w:name="Samples__biased__123_124"/>
      <w:pPr>
        <w:pStyle w:val="Para 01"/>
        <w:keepLines w:val="on"/>
      </w:pPr>
      <w:r>
        <w:t>Mẫu, thiên lệch, 123–124</w:t>
      </w:r>
      <w:bookmarkEnd w:id="9481"/>
    </w:p>
    <w:p>
      <w:bookmarkStart w:id="9482" w:name="S_P_500__177_180__407_408__544_5"/>
      <w:pPr>
        <w:pStyle w:val="Para 01"/>
        <w:keepLines w:val="on"/>
      </w:pPr>
      <w:r>
        <w:t>S&amp;P 500, 177–180, 407–408, 544–545, 592, 593</w:t>
      </w:r>
      <w:bookmarkEnd w:id="9482"/>
    </w:p>
    <w:p>
      <w:bookmarkStart w:id="9483" w:name="Sanity_checks__growth__335_336"/>
      <w:pPr>
        <w:pStyle w:val="Para 01"/>
        <w:keepLines w:val="on"/>
      </w:pPr>
      <w:r>
        <w:t>Kiểm tra tính hợp lý, tăng trưởng, 335–336</w:t>
      </w:r>
      <w:bookmarkEnd w:id="9483"/>
    </w:p>
    <w:p>
      <w:bookmarkStart w:id="9484" w:name="SAP__998_999"/>
      <w:pPr>
        <w:pStyle w:val="Para 01"/>
        <w:keepLines w:val="on"/>
      </w:pPr>
      <w:r>
        <w:t>SAP, 998–999</w:t>
      </w:r>
      <w:bookmarkEnd w:id="9484"/>
    </w:p>
    <w:p>
      <w:bookmarkStart w:id="9485" w:name="Scaling_variables__790__791"/>
      <w:pPr>
        <w:pStyle w:val="Para 01"/>
        <w:keepLines w:val="on"/>
      </w:pPr>
      <w:r>
        <w:t>Biến số quy mô, 790, 791</w:t>
      </w:r>
      <w:bookmarkEnd w:id="9485"/>
    </w:p>
    <w:p>
      <w:bookmarkStart w:id="9486" w:name="Scenario_analysis__assessment_of"/>
      <w:pPr>
        <w:pStyle w:val="Para 01"/>
        <w:keepLines w:val="on"/>
      </w:pPr>
      <w:r>
        <w:t>Phân tích tình huống</w:t>
      </w:r>
      <w:bookmarkEnd w:id="9486"/>
    </w:p>
    <w:p>
      <w:bookmarkStart w:id="9487" w:name="assessment_of__1058_1060_1"/>
      <w:pPr>
        <w:pStyle w:val="Para 01"/>
        <w:keepLines w:val="on"/>
      </w:pPr>
      <w:r>
        <w:t>đánh giá về, 1058–1060</w:t>
      </w:r>
      <w:bookmarkEnd w:id="9487"/>
    </w:p>
    <w:p>
      <w:bookmarkStart w:id="9488" w:name="best_case_worst_case_and__1034"/>
      <w:pPr>
        <w:pStyle w:val="Para 01"/>
        <w:keepLines w:val="on"/>
      </w:pPr>
      <w:r>
        <w:t>trường hợp tốt nhất/xấu nhất và, 1034</w:t>
      </w:r>
      <w:bookmarkEnd w:id="9488"/>
    </w:p>
    <w:p>
      <w:bookmarkStart w:id="9489" w:name="explanation_of__1033"/>
      <w:pPr>
        <w:pStyle w:val="Para 01"/>
        <w:keepLines w:val="on"/>
      </w:pPr>
      <w:r>
        <w:t>giải thích về, 1033</w:t>
      </w:r>
      <w:bookmarkEnd w:id="9489"/>
    </w:p>
    <w:p>
      <w:bookmarkStart w:id="9490" w:name="illustrations_of__1036_1038"/>
      <w:pPr>
        <w:pStyle w:val="Para 01"/>
        <w:keepLines w:val="on"/>
      </w:pPr>
      <w:r>
        <w:t>minh họa về, 1036–1038</w:t>
      </w:r>
      <w:bookmarkEnd w:id="9490"/>
    </w:p>
    <w:p>
      <w:bookmarkStart w:id="9491" w:name="multiple__1034_1036"/>
      <w:pPr>
        <w:pStyle w:val="Para 01"/>
        <w:keepLines w:val="on"/>
      </w:pPr>
      <w:r>
        <w:t>nhiều tình huống, 1034–1036</w:t>
      </w:r>
      <w:bookmarkEnd w:id="9491"/>
    </w:p>
    <w:p>
      <w:bookmarkStart w:id="9492" w:name="Sector_pricing__1076"/>
      <w:pPr>
        <w:pStyle w:val="Para 01"/>
        <w:keepLines w:val="on"/>
      </w:pPr>
      <w:r>
        <w:t>Định giá theo ngành, 1076</w:t>
      </w:r>
      <w:bookmarkEnd w:id="9492"/>
    </w:p>
    <w:p>
      <w:bookmarkStart w:id="9493" w:name="Sector_regressions__528_529"/>
      <w:pPr>
        <w:pStyle w:val="Para 01"/>
        <w:keepLines w:val="on"/>
      </w:pPr>
      <w:r>
        <w:t>Hồi quy theo ngành, 528–529</w:t>
      </w:r>
      <w:bookmarkEnd w:id="9493"/>
    </w:p>
    <w:p>
      <w:bookmarkStart w:id="9494" w:name="Sectors__PE_ratios_across_firms"/>
      <w:pPr>
        <w:pStyle w:val="Para 01"/>
        <w:keepLines w:val="on"/>
      </w:pPr>
      <w:r>
        <w:t>Các ngành</w:t>
      </w:r>
      <w:bookmarkEnd w:id="9494"/>
    </w:p>
    <w:p>
      <w:bookmarkStart w:id="9495" w:name="PE_ratios_across_firms_in__548_5"/>
      <w:pPr>
        <w:pStyle w:val="Para 01"/>
        <w:keepLines w:val="on"/>
      </w:pPr>
      <w:r>
        <w:t>Tỷ lệ PE giữa các công ty trong ngành, 548–550</w:t>
      </w:r>
      <w:bookmarkEnd w:id="9495"/>
    </w:p>
    <w:p>
      <w:bookmarkStart w:id="9496" w:name="price_to_book_ratio_across__592"/>
      <w:pPr>
        <w:pStyle w:val="Para 01"/>
        <w:keepLines w:val="on"/>
      </w:pPr>
      <w:r>
        <w:t>Tỷ lệ giá trên giá trị sổ sách (price-to-book ratio) giữa các ngành, 592–597</w:t>
      </w:r>
      <w:bookmarkEnd w:id="9496"/>
    </w:p>
    <w:p>
      <w:bookmarkStart w:id="9497" w:name="Sector_specific_multiples__analy"/>
      <w:pPr>
        <w:pStyle w:val="Para 01"/>
        <w:keepLines w:val="on"/>
      </w:pPr>
      <w:r>
        <w:t>Bội số đặc thù theo ngành (sector-specific multiples)</w:t>
      </w:r>
      <w:bookmarkEnd w:id="9497"/>
    </w:p>
    <w:p>
      <w:bookmarkStart w:id="9498" w:name="analysis_using__652_653"/>
      <w:pPr>
        <w:pStyle w:val="Para 01"/>
        <w:keepLines w:val="on"/>
      </w:pPr>
      <w:r>
        <w:t>phân tích sử dụng, 652–653</w:t>
      </w:r>
      <w:bookmarkEnd w:id="9498"/>
    </w:p>
    <w:p>
      <w:bookmarkStart w:id="9499" w:name="explanation_of__517_518__645_646"/>
      <w:pPr>
        <w:pStyle w:val="Para 01"/>
        <w:keepLines w:val="on"/>
      </w:pPr>
      <w:r>
        <w:t>giải thích về, 517–518, 645–646</w:t>
      </w:r>
      <w:bookmarkEnd w:id="9499"/>
    </w:p>
    <w:p>
      <w:bookmarkStart w:id="9500" w:name="limitations_of__644_645"/>
      <w:pPr>
        <w:pStyle w:val="Para 01"/>
        <w:keepLines w:val="on"/>
      </w:pPr>
      <w:r>
        <w:t>hạn chế của, 644–645</w:t>
      </w:r>
      <w:bookmarkEnd w:id="9500"/>
    </w:p>
    <w:p>
      <w:bookmarkStart w:id="9501" w:name="reasons_for_using__644"/>
      <w:pPr>
        <w:pStyle w:val="Para 01"/>
        <w:keepLines w:val="on"/>
      </w:pPr>
      <w:r>
        <w:t>lý do sử dụng, 644</w:t>
      </w:r>
      <w:bookmarkEnd w:id="9501"/>
    </w:p>
    <w:p>
      <w:bookmarkStart w:id="9502" w:name="user_subscriber_value_determinan"/>
      <w:pPr>
        <w:pStyle w:val="Para 01"/>
        <w:keepLines w:val="on"/>
      </w:pPr>
      <w:r>
        <w:t>các yếu tố quyết định giá trị người dùng/thuê bao và, 646–652</w:t>
      </w:r>
      <w:bookmarkEnd w:id="9502"/>
    </w:p>
    <w:p>
      <w:bookmarkStart w:id="9503" w:name="Sector_wide_problems__702_710"/>
      <w:pPr>
        <w:pStyle w:val="Para 01"/>
        <w:keepLines w:val="on"/>
      </w:pPr>
      <w:r>
        <w:t>Vấn đề toàn ngành, 702–710</w:t>
      </w:r>
      <w:bookmarkEnd w:id="9503"/>
    </w:p>
    <w:p>
      <w:bookmarkStart w:id="9504" w:name="Secure_Mail__946_947"/>
      <w:pPr>
        <w:pStyle w:val="Para 01"/>
        <w:keepLines w:val="on"/>
      </w:pPr>
      <w:r>
        <w:t>Secure Mail, 946–947</w:t>
      </w:r>
      <w:bookmarkEnd w:id="9504"/>
    </w:p>
    <w:p>
      <w:bookmarkStart w:id="9505" w:name="Securities_and_Exchange_Commissi"/>
      <w:pPr>
        <w:pStyle w:val="Para 01"/>
        <w:keepLines w:val="on"/>
      </w:pPr>
      <w:r>
        <w:t>Ủy ban Chứng khoán và Giao dịch (Securities and Exchange Commission – SEC), 146</w:t>
      </w:r>
      <w:bookmarkEnd w:id="9505"/>
    </w:p>
    <w:p>
      <w:bookmarkStart w:id="9506" w:name="Segovia__570_571"/>
      <w:pPr>
        <w:pStyle w:val="Para 01"/>
        <w:keepLines w:val="on"/>
      </w:pPr>
      <w:r>
        <w:t>Segovia, 570–571</w:t>
      </w:r>
      <w:bookmarkEnd w:id="9506"/>
    </w:p>
    <w:p>
      <w:bookmarkStart w:id="9507" w:name="Segovia_Entertainment__494_496"/>
      <w:pPr>
        <w:pStyle w:val="Para 01"/>
        <w:keepLines w:val="on"/>
      </w:pPr>
      <w:r>
        <w:t>Segovia Entertainment, 494–496</w:t>
      </w:r>
      <w:bookmarkEnd w:id="9507"/>
    </w:p>
    <w:p>
      <w:bookmarkStart w:id="9508" w:name="Selling__general__and_administra"/>
      <w:pPr>
        <w:pStyle w:val="Para 01"/>
        <w:keepLines w:val="on"/>
      </w:pPr>
      <w:r>
        <w:t>Chi phí bán hàng, chi phí chung và chi phí quản lý (Selling, general, and administrative – SG&amp;A), 249</w:t>
      </w:r>
      <w:bookmarkEnd w:id="9508"/>
    </w:p>
    <w:p>
      <w:bookmarkStart w:id="9509" w:name="Semi_strong_form_efficiency__114"/>
      <w:pPr>
        <w:pStyle w:val="Para 01"/>
        <w:keepLines w:val="on"/>
      </w:pPr>
      <w:r>
        <w:t>Hiệu quả dạng bán mạnh (semi-strong form efficiency), 114</w:t>
      </w:r>
      <w:bookmarkEnd w:id="9509"/>
    </w:p>
    <w:p>
      <w:bookmarkStart w:id="9510" w:name="Separate_valuation__482_484"/>
      <w:pPr>
        <w:pStyle w:val="Para 01"/>
        <w:keepLines w:val="on"/>
      </w:pPr>
      <w:r>
        <w:t>Định giá riêng biệt, 482–484</w:t>
      </w:r>
      <w:bookmarkEnd w:id="9510"/>
    </w:p>
    <w:p>
      <w:bookmarkStart w:id="9511" w:name="Sequential_options__942_943"/>
      <w:pPr>
        <w:pStyle w:val="Para 01"/>
        <w:keepLines w:val="on"/>
      </w:pPr>
      <w:r>
        <w:t>Quyền chọn tuần tự (sequential options), 942–943</w:t>
      </w:r>
      <w:bookmarkEnd w:id="9511"/>
    </w:p>
    <w:p>
      <w:bookmarkStart w:id="9512" w:name="Serial_correlation__125_126"/>
      <w:pPr>
        <w:pStyle w:val="Para 01"/>
        <w:keepLines w:val="on"/>
      </w:pPr>
      <w:r>
        <w:t>Tương quan chuỗi (serial correlation), 125–126</w:t>
      </w:r>
      <w:bookmarkEnd w:id="9512"/>
    </w:p>
    <w:p>
      <w:bookmarkStart w:id="9513" w:name="Service_beta__194_195"/>
      <w:pPr>
        <w:pStyle w:val="Para 01"/>
        <w:keepLines w:val="on"/>
      </w:pPr>
      <w:r>
        <w:t>Beta dịch vụ (service beta), 194–195</w:t>
      </w:r>
      <w:bookmarkEnd w:id="9513"/>
    </w:p>
    <w:p>
      <w:bookmarkStart w:id="9514" w:name="Service_income__863"/>
      <w:pPr>
        <w:pStyle w:val="Para 01"/>
        <w:keepLines w:val="on"/>
      </w:pPr>
      <w:r>
        <w:t>Thu nhập từ dịch vụ, 863</w:t>
      </w:r>
      <w:bookmarkEnd w:id="9514"/>
    </w:p>
    <w:p>
      <w:bookmarkStart w:id="9515" w:name="Seville_Enterprises__494__495"/>
      <w:pPr>
        <w:pStyle w:val="Para 01"/>
        <w:keepLines w:val="on"/>
      </w:pPr>
      <w:r>
        <w:t>Seville Enterprises, 494, 495</w:t>
      </w:r>
      <w:bookmarkEnd w:id="9515"/>
    </w:p>
    <w:p>
      <w:bookmarkStart w:id="9516" w:name="Seville_Television__570_571"/>
      <w:pPr>
        <w:pStyle w:val="Para 01"/>
        <w:keepLines w:val="on"/>
      </w:pPr>
      <w:r>
        <w:t>Seville Television, 570–571</w:t>
      </w:r>
      <w:bookmarkEnd w:id="9516"/>
    </w:p>
    <w:p>
      <w:bookmarkStart w:id="9517" w:name="Short_term_borrowing__39"/>
      <w:pPr>
        <w:pStyle w:val="Para 01"/>
        <w:keepLines w:val="on"/>
      </w:pPr>
      <w:r>
        <w:t>Vay ngắn hạn, 39</w:t>
      </w:r>
      <w:bookmarkEnd w:id="9517"/>
    </w:p>
    <w:p>
      <w:bookmarkStart w:id="9518" w:name="Short_term_liabilities__39"/>
      <w:pPr>
        <w:pStyle w:val="Para 01"/>
        <w:keepLines w:val="on"/>
      </w:pPr>
      <w:r>
        <w:t>Nợ ngắn hạn, 39</w:t>
      </w:r>
      <w:bookmarkEnd w:id="9518"/>
    </w:p>
    <w:p>
      <w:bookmarkStart w:id="9519" w:name="Short_term_liquidity_risk__51_52"/>
      <w:pPr>
        <w:pStyle w:val="Para 01"/>
        <w:keepLines w:val="on"/>
      </w:pPr>
      <w:r>
        <w:t>Rủi ro thanh khoản ngắn hạn, 51–52</w:t>
      </w:r>
      <w:bookmarkEnd w:id="9519"/>
    </w:p>
    <w:p>
      <w:bookmarkStart w:id="9520" w:name="Short_term_options__101"/>
      <w:pPr>
        <w:pStyle w:val="Para 01"/>
        <w:keepLines w:val="on"/>
      </w:pPr>
      <w:r>
        <w:t>Quyền chọn ngắn hạn, 101</w:t>
      </w:r>
      <w:bookmarkEnd w:id="9520"/>
    </w:p>
    <w:p>
      <w:bookmarkStart w:id="9521" w:name="Short_term_price_movement__125_1"/>
      <w:pPr>
        <w:pStyle w:val="Para 01"/>
        <w:keepLines w:val="on"/>
      </w:pPr>
      <w:r>
        <w:t>Biến động giá ngắn hạn, 125–128</w:t>
      </w:r>
      <w:bookmarkEnd w:id="9521"/>
    </w:p>
    <w:p>
      <w:bookmarkStart w:id="9523" w:name="Signaling__with_payout_to_stockh"/>
      <w:pPr>
        <w:pStyle w:val="Para 01"/>
        <w:keepLines w:val="on"/>
      </w:pPr>
      <w:r>
        <w:t>Phát tín hiệu, thông qua chi trả cho cổ đông, 413</w:t>
      </w:r>
      <w:bookmarkEnd w:id="9523"/>
    </w:p>
    <w:p>
      <w:bookmarkStart w:id="9524" w:name="Silicon_Valley_Bank__684_688"/>
      <w:pPr>
        <w:pStyle w:val="Para 01"/>
        <w:keepLines w:val="on"/>
      </w:pPr>
      <w:r>
        <w:t>Silicon Valley Bank, 684–688</w:t>
      </w:r>
      <w:bookmarkEnd w:id="9524"/>
    </w:p>
    <w:p>
      <w:bookmarkStart w:id="9525" w:name="Simulations__assessment_of__1058"/>
      <w:pPr>
        <w:pStyle w:val="Para 01"/>
        <w:keepLines w:val="on"/>
      </w:pPr>
      <w:r>
        <w:t>Mô phỏng</w:t>
      </w:r>
      <w:bookmarkEnd w:id="9525"/>
    </w:p>
    <w:p>
      <w:bookmarkStart w:id="9526" w:name="assessment_of__1058_1060_2"/>
      <w:pPr>
        <w:pStyle w:val="Para 01"/>
        <w:keepLines w:val="on"/>
      </w:pPr>
      <w:r>
        <w:t>đánh giá về mô phỏng, 1058–1060</w:t>
      </w:r>
      <w:bookmarkEnd w:id="9526"/>
    </w:p>
    <w:p>
      <w:bookmarkStart w:id="9527" w:name="with_constraints__1055_1057"/>
      <w:pPr>
        <w:pStyle w:val="Para 01"/>
        <w:keepLines w:val="on"/>
      </w:pPr>
      <w:r>
        <w:t>với các ràng buộc, 1055–1057</w:t>
      </w:r>
      <w:bookmarkEnd w:id="9527"/>
    </w:p>
    <w:p>
      <w:bookmarkStart w:id="9528" w:name="for_decision_making__1054_1055"/>
      <w:pPr>
        <w:pStyle w:val="Para 01"/>
        <w:keepLines w:val="on"/>
      </w:pPr>
      <w:r>
        <w:t>để ra quyết định, 1054–1055</w:t>
      </w:r>
      <w:bookmarkEnd w:id="9528"/>
    </w:p>
    <w:p>
      <w:bookmarkStart w:id="9529" w:name="explanation_of__1047"/>
      <w:pPr>
        <w:pStyle w:val="Para 01"/>
        <w:keepLines w:val="on"/>
      </w:pPr>
      <w:r>
        <w:t>giải thích về mô phỏng, 1047</w:t>
      </w:r>
      <w:bookmarkEnd w:id="9529"/>
    </w:p>
    <w:p>
      <w:bookmarkStart w:id="9530" w:name="margin_of_safety_and__1055"/>
      <w:pPr>
        <w:pStyle w:val="Para 01"/>
        <w:keepLines w:val="on"/>
      </w:pPr>
      <w:r>
        <w:t>biên an toàn và mô phỏng, 1055</w:t>
      </w:r>
      <w:bookmarkEnd w:id="9530"/>
    </w:p>
    <w:p>
      <w:bookmarkStart w:id="9531" w:name="Monte_Carlo__1051_1054"/>
      <w:pPr>
        <w:pStyle w:val="Para 01"/>
        <w:keepLines w:val="on"/>
      </w:pPr>
      <w:r>
        <w:t>Monte Carlo, 1051–1054</w:t>
      </w:r>
      <w:bookmarkEnd w:id="9531"/>
    </w:p>
    <w:p>
      <w:bookmarkStart w:id="9532" w:name="risk_adjusted_value_and__1057_10"/>
      <w:pPr>
        <w:pStyle w:val="Para 01"/>
        <w:keepLines w:val="on"/>
      </w:pPr>
      <w:r>
        <w:t>giá trị điều chỉnh theo rủi ro và mô phỏng, 1057–1058</w:t>
      </w:r>
      <w:bookmarkEnd w:id="9532"/>
    </w:p>
    <w:p>
      <w:bookmarkStart w:id="9533" w:name="steps_in__1047_1050"/>
      <w:pPr>
        <w:pStyle w:val="Para 01"/>
        <w:keepLines w:val="on"/>
      </w:pPr>
      <w:r>
        <w:t>các bước thực hiện, 1047–1050</w:t>
      </w:r>
      <w:bookmarkEnd w:id="9533"/>
    </w:p>
    <w:p>
      <w:bookmarkStart w:id="9534" w:name="Skewness__63_65"/>
      <w:pPr>
        <w:pStyle w:val="Para 01"/>
        <w:keepLines w:val="on"/>
      </w:pPr>
      <w:r>
        <w:t>Độ lệch (Skewness), 63–65</w:t>
      </w:r>
      <w:bookmarkEnd w:id="9534"/>
    </w:p>
    <w:p>
      <w:bookmarkStart w:id="9535" w:name="Skype__652"/>
      <w:pPr>
        <w:pStyle w:val="Para 01"/>
        <w:keepLines w:val="on"/>
      </w:pPr>
      <w:r>
        <w:t>Skype, 652</w:t>
      </w:r>
      <w:bookmarkEnd w:id="9535"/>
    </w:p>
    <w:p>
      <w:bookmarkStart w:id="9536" w:name="Small_firm_effect__137_138"/>
      <w:pPr>
        <w:pStyle w:val="Para 01"/>
        <w:keepLines w:val="on"/>
      </w:pPr>
      <w:r>
        <w:t>Hiệu ứng công ty nhỏ, 137–138</w:t>
      </w:r>
      <w:bookmarkEnd w:id="9536"/>
    </w:p>
    <w:p>
      <w:bookmarkStart w:id="9537" w:name="Small_firm_premium__220_221"/>
      <w:pPr>
        <w:pStyle w:val="Para 01"/>
        <w:keepLines w:val="on"/>
      </w:pPr>
      <w:r>
        <w:t>Phần bù công ty nhỏ, 220–221</w:t>
      </w:r>
      <w:bookmarkEnd w:id="9537"/>
    </w:p>
    <w:p>
      <w:bookmarkStart w:id="9538" w:name="Small_firms__202"/>
      <w:pPr>
        <w:pStyle w:val="Para 01"/>
        <w:keepLines w:val="on"/>
      </w:pPr>
      <w:r>
        <w:t>Các công ty nhỏ, 202</w:t>
      </w:r>
      <w:bookmarkEnd w:id="9538"/>
    </w:p>
    <w:p>
      <w:bookmarkStart w:id="9539" w:name="Small_markets__196_199__212"/>
      <w:pPr>
        <w:pStyle w:val="Para 01"/>
        <w:keepLines w:val="on"/>
      </w:pPr>
      <w:r>
        <w:t>Các thị trường nhỏ, 196–199, 212</w:t>
      </w:r>
      <w:bookmarkEnd w:id="9539"/>
    </w:p>
    <w:p>
      <w:bookmarkStart w:id="9540" w:name="Snapchat__948_949"/>
      <w:pPr>
        <w:pStyle w:val="Para 01"/>
        <w:keepLines w:val="on"/>
      </w:pPr>
      <w:r>
        <w:t>Snapchat, 948–949</w:t>
      </w:r>
      <w:bookmarkEnd w:id="9540"/>
    </w:p>
    <w:p>
      <w:bookmarkStart w:id="9541" w:name="Sole_bidders__acqusition_price_f"/>
      <w:pPr>
        <w:pStyle w:val="Para 01"/>
        <w:keepLines w:val="on"/>
      </w:pPr>
      <w:r>
        <w:t>Nhà đấu giá duy nhất, giá mua lại cho, 825</w:t>
      </w:r>
      <w:bookmarkEnd w:id="9541"/>
    </w:p>
    <w:p>
      <w:bookmarkStart w:id="9542" w:name="Sony__314"/>
      <w:pPr>
        <w:pStyle w:val="Para 01"/>
        <w:keepLines w:val="on"/>
      </w:pPr>
      <w:r>
        <w:t>Sony, 314</w:t>
      </w:r>
      <w:bookmarkEnd w:id="9542"/>
    </w:p>
    <w:p>
      <w:bookmarkStart w:id="9543" w:name="Specialized_resources__of_target"/>
      <w:pPr>
        <w:pStyle w:val="Para 01"/>
        <w:keepLines w:val="on"/>
      </w:pPr>
      <w:r>
        <w:t>Nguồn lực chuyên biệt, của công ty mục tiêu, 820–821</w:t>
      </w:r>
      <w:bookmarkEnd w:id="9543"/>
    </w:p>
    <w:p>
      <w:bookmarkStart w:id="9544" w:name="Speculative_assets__892_893"/>
      <w:pPr>
        <w:pStyle w:val="Para 01"/>
        <w:keepLines w:val="on"/>
      </w:pPr>
      <w:r>
        <w:t>Tài sản đầu cơ, 892–893</w:t>
      </w:r>
      <w:bookmarkEnd w:id="9544"/>
    </w:p>
    <w:p>
      <w:bookmarkStart w:id="9545" w:name="Speculative_bubbles__131_132"/>
      <w:pPr>
        <w:pStyle w:val="Para 01"/>
        <w:keepLines w:val="on"/>
      </w:pPr>
      <w:r>
        <w:t>Các bong bóng đầu cơ, 131–132</w:t>
      </w:r>
      <w:bookmarkEnd w:id="9545"/>
    </w:p>
    <w:p>
      <w:bookmarkStart w:id="9546" w:name="Speculative_investments__851_852"/>
      <w:pPr>
        <w:pStyle w:val="Para 01"/>
        <w:keepLines w:val="on"/>
      </w:pPr>
      <w:r>
        <w:t>Các khoản đầu tư đầu cơ, 851–852</w:t>
      </w:r>
      <w:bookmarkEnd w:id="9546"/>
    </w:p>
    <w:p>
      <w:bookmarkStart w:id="9547" w:name="SPIVA__150"/>
      <w:pPr>
        <w:pStyle w:val="Para 01"/>
        <w:keepLines w:val="on"/>
      </w:pPr>
      <w:r>
        <w:t>SPIVA, 150</w:t>
      </w:r>
      <w:bookmarkEnd w:id="9547"/>
    </w:p>
    <w:p>
      <w:bookmarkStart w:id="9548" w:name="Sport_franchises__illustration_o"/>
      <w:pPr>
        <w:pStyle w:val="Para 01"/>
        <w:keepLines w:val="on"/>
      </w:pPr>
      <w:r>
        <w:t>Các đội thể thao chuyên nghiệp</w:t>
      </w:r>
      <w:bookmarkEnd w:id="9548"/>
    </w:p>
    <w:p>
      <w:bookmarkStart w:id="9549" w:name="illustration_of__903_904"/>
      <w:pPr>
        <w:pStyle w:val="Para 01"/>
        <w:keepLines w:val="on"/>
      </w:pPr>
      <w:r>
        <w:t>minh họa về, 903–904</w:t>
      </w:r>
      <w:bookmarkEnd w:id="9549"/>
    </w:p>
    <w:p>
      <w:bookmarkStart w:id="9550" w:name="owners_of__901_903"/>
      <w:pPr>
        <w:pStyle w:val="Para 01"/>
        <w:keepLines w:val="on"/>
      </w:pPr>
      <w:r>
        <w:t>chủ sở hữu của, 901–903</w:t>
      </w:r>
      <w:bookmarkEnd w:id="9550"/>
    </w:p>
    <w:p>
      <w:bookmarkStart w:id="9551" w:name="price_disconnect_from_fundamenta"/>
      <w:pPr>
        <w:pStyle w:val="Para 01"/>
        <w:keepLines w:val="on"/>
      </w:pPr>
      <w:r>
        <w:t>giá tách rời khỏi các yếu tố cơ bản đối với, 898–901</w:t>
      </w:r>
      <w:bookmarkEnd w:id="9551"/>
    </w:p>
    <w:p>
      <w:bookmarkStart w:id="9552" w:name="as_trophy_assets__898_904"/>
      <w:pPr>
        <w:pStyle w:val="Para 01"/>
        <w:keepLines w:val="on"/>
      </w:pPr>
      <w:r>
        <w:t>như những tài sản danh giá, 898–904</w:t>
      </w:r>
      <w:bookmarkEnd w:id="9552"/>
    </w:p>
    <w:p>
      <w:bookmarkStart w:id="9553" w:name="Stability__412_413"/>
      <w:pPr>
        <w:pStyle w:val="Para 01"/>
        <w:keepLines w:val="on"/>
      </w:pPr>
      <w:r>
        <w:t>Tính ổn định, 412–413</w:t>
      </w:r>
      <w:bookmarkEnd w:id="9553"/>
    </w:p>
    <w:p>
      <w:bookmarkStart w:id="9554" w:name="Stable_growth__assumptions_about"/>
      <w:pPr>
        <w:pStyle w:val="Para 01"/>
        <w:keepLines w:val="on"/>
      </w:pPr>
      <w:r>
        <w:t>Tăng trưởng ổn định</w:t>
      </w:r>
      <w:bookmarkEnd w:id="9554"/>
    </w:p>
    <w:p>
      <w:bookmarkStart w:id="9555" w:name="assumptions_about__347_355"/>
      <w:pPr>
        <w:pStyle w:val="Para 01"/>
        <w:keepLines w:val="on"/>
      </w:pPr>
      <w:r>
        <w:t>các giả định về, 347–355</w:t>
      </w:r>
      <w:bookmarkEnd w:id="9555"/>
    </w:p>
    <w:p>
      <w:bookmarkStart w:id="9556" w:name="constraints_on__343"/>
      <w:pPr>
        <w:pStyle w:val="Para 01"/>
        <w:keepLines w:val="on"/>
      </w:pPr>
      <w:r>
        <w:t>các ràng buộc đối với, 343</w:t>
      </w:r>
      <w:bookmarkEnd w:id="9556"/>
    </w:p>
    <w:p>
      <w:bookmarkStart w:id="9557" w:name="estimating_terminal_value_with_1"/>
      <w:pPr>
        <w:pStyle w:val="Para 01"/>
        <w:keepLines w:val="on"/>
      </w:pPr>
      <w:r>
        <w:t>ước tính giá trị cuối kỳ với, 343</w:t>
      </w:r>
      <w:bookmarkEnd w:id="9557"/>
    </w:p>
    <w:p>
      <w:bookmarkStart w:id="9558" w:name="FCFE_model_for__414_416"/>
      <w:pPr>
        <w:pStyle w:val="Para 01"/>
        <w:keepLines w:val="on"/>
      </w:pPr>
      <w:r>
        <w:t>mô hình FCFE cho, 414–416</w:t>
      </w:r>
      <w:bookmarkEnd w:id="9558"/>
    </w:p>
    <w:p>
      <w:bookmarkStart w:id="9559" w:name="inputs_to_valuation_with__354_35"/>
      <w:pPr>
        <w:pStyle w:val="Para 01"/>
        <w:keepLines w:val="on"/>
      </w:pPr>
      <w:r>
        <w:t>các đầu vào để định giá với, 354–355</w:t>
      </w:r>
      <w:bookmarkEnd w:id="9559"/>
    </w:p>
    <w:p>
      <w:bookmarkStart w:id="9560" w:name="negative_rate_of__346"/>
      <w:pPr>
        <w:pStyle w:val="Para 01"/>
        <w:keepLines w:val="on"/>
      </w:pPr>
      <w:r>
        <w:t>tốc độ tăng trưởng âm của, 346</w:t>
      </w:r>
      <w:bookmarkEnd w:id="9560"/>
    </w:p>
    <w:p>
      <w:bookmarkStart w:id="9561" w:name="in_perpetuity__344_346"/>
      <w:pPr>
        <w:pStyle w:val="Para 01"/>
        <w:keepLines w:val="on"/>
      </w:pPr>
      <w:r>
        <w:t>vĩnh viễn, 344–346</w:t>
      </w:r>
      <w:bookmarkEnd w:id="9561"/>
    </w:p>
    <w:p>
      <w:bookmarkStart w:id="9562" w:name="transition_to__356_357"/>
      <w:pPr>
        <w:pStyle w:val="Para 01"/>
        <w:keepLines w:val="on"/>
      </w:pPr>
      <w:r>
        <w:t>chuyển đổi sang, 356–357</w:t>
      </w:r>
      <w:bookmarkEnd w:id="9562"/>
    </w:p>
    <w:p>
      <w:bookmarkStart w:id="9563" w:name="value_of__398"/>
      <w:pPr>
        <w:pStyle w:val="Para 01"/>
        <w:keepLines w:val="on"/>
      </w:pPr>
      <w:r>
        <w:t>giá trị của, 398</w:t>
      </w:r>
      <w:bookmarkEnd w:id="9563"/>
    </w:p>
    <w:p>
      <w:bookmarkStart w:id="9564" w:name="Stable_growth_firms__characteris"/>
      <w:pPr>
        <w:pStyle w:val="Para 01"/>
        <w:keepLines w:val="on"/>
      </w:pPr>
      <w:r>
        <w:t>Các công ty tăng trưởng ổn định</w:t>
      </w:r>
      <w:bookmarkEnd w:id="9564"/>
    </w:p>
    <w:p>
      <w:bookmarkStart w:id="9565" w:name="characteristics_of__349_355"/>
      <w:pPr>
        <w:pStyle w:val="Para 01"/>
        <w:keepLines w:val="on"/>
      </w:pPr>
      <w:r>
        <w:t>các đặc điểm của, 349–355</w:t>
      </w:r>
      <w:bookmarkEnd w:id="9565"/>
    </w:p>
    <w:p>
      <w:bookmarkStart w:id="9566" w:name="cost_of_capital_approach_and__44"/>
      <w:pPr>
        <w:pStyle w:val="Para 01"/>
        <w:keepLines w:val="on"/>
      </w:pPr>
      <w:r>
        <w:t>cách tiếp cận chi phí vốn và, 440–442</w:t>
      </w:r>
      <w:bookmarkEnd w:id="9566"/>
    </w:p>
    <w:p>
      <w:bookmarkStart w:id="9567" w:name="enterprise_value_to_sales_ratio_1"/>
      <w:pPr>
        <w:pStyle w:val="Para 01"/>
        <w:keepLines w:val="on"/>
      </w:pPr>
      <w:r>
        <w:t>tỷ số giá trị doanh nghiệp trên doanh thu đối với, 619</w:t>
      </w:r>
      <w:bookmarkEnd w:id="9567"/>
    </w:p>
    <w:p>
      <w:bookmarkStart w:id="9568" w:name="financial_service_firms_as__663"/>
      <w:pPr>
        <w:pStyle w:val="Para 01"/>
        <w:keepLines w:val="on"/>
      </w:pPr>
      <w:r>
        <w:t>các công ty dịch vụ tài chính với tư cách là, 663–665</w:t>
      </w:r>
      <w:bookmarkEnd w:id="9568"/>
    </w:p>
    <w:p>
      <w:bookmarkStart w:id="9569" w:name="price_to_book_ratio_for__585_586"/>
      <w:pPr>
        <w:pStyle w:val="Para 01"/>
        <w:keepLines w:val="on"/>
      </w:pPr>
      <w:r>
        <w:t>tỷ số giá trên giá trị sổ sách đối với, 585–586</w:t>
      </w:r>
      <w:bookmarkEnd w:id="9569"/>
    </w:p>
    <w:p>
      <w:bookmarkStart w:id="9570" w:name="price_to_sales_ratio_for__616"/>
      <w:pPr>
        <w:pStyle w:val="Para 01"/>
        <w:keepLines w:val="on"/>
      </w:pPr>
      <w:r>
        <w:t>tỷ số giá trên doanh thu đối với, 616</w:t>
      </w:r>
      <w:bookmarkEnd w:id="9570"/>
    </w:p>
    <w:p>
      <w:bookmarkStart w:id="9571" w:name="Stable_growth_rate__consistency"/>
      <w:pPr>
        <w:pStyle w:val="Para 01"/>
        <w:keepLines w:val="on"/>
      </w:pPr>
      <w:r>
        <w:t>Tốc độ tăng trưởng ổn định</w:t>
      </w:r>
      <w:bookmarkEnd w:id="9571"/>
    </w:p>
    <w:p>
      <w:bookmarkStart w:id="9572" w:name="consistency_over_time_for__391"/>
      <w:pPr>
        <w:pStyle w:val="Para 01"/>
        <w:keepLines w:val="on"/>
      </w:pPr>
      <w:r>
        <w:t>tính nhất quán theo thời gian đối với, 391</w:t>
      </w:r>
      <w:bookmarkEnd w:id="9572"/>
    </w:p>
    <w:p>
      <w:bookmarkStart w:id="9573" w:name="Gordon_growth_model_for_firms_wi"/>
      <w:pPr>
        <w:pStyle w:val="Para 01"/>
        <w:keepLines w:val="on"/>
      </w:pPr>
      <w:r>
        <w:t>Mô hình tăng trưởng Gordon cho các doanh nghiệp có, 389–390</w:t>
      </w:r>
      <w:bookmarkEnd w:id="9573"/>
    </w:p>
    <w:p>
      <w:bookmarkStart w:id="9574" w:name="Standard_deviation__country_risk"/>
      <w:pPr>
        <w:pStyle w:val="Para 01"/>
        <w:keepLines w:val="on"/>
      </w:pPr>
      <w:r>
        <w:t>Độ lệch chuẩn, phần bù rủi ro quốc gia và, 173–175</w:t>
      </w:r>
      <w:bookmarkEnd w:id="9574"/>
    </w:p>
    <w:p>
      <w:bookmarkStart w:id="9575" w:name="Standard_error__of_beta_estimate"/>
      <w:pPr>
        <w:pStyle w:val="Para 01"/>
        <w:keepLines w:val="on"/>
      </w:pPr>
      <w:r>
        <w:t>Sai số chuẩn</w:t>
      </w:r>
      <w:bookmarkEnd w:id="9575"/>
    </w:p>
    <w:p>
      <w:bookmarkStart w:id="9576" w:name="of_beta_estimate__191__200"/>
      <w:pPr>
        <w:pStyle w:val="Para 01"/>
        <w:keepLines w:val="on"/>
      </w:pPr>
      <w:r>
        <w:t>của ước lượng beta, 191, 200</w:t>
      </w:r>
      <w:bookmarkEnd w:id="9576"/>
    </w:p>
    <w:p>
      <w:bookmarkStart w:id="9577" w:name="explanation_of__78_79"/>
      <w:pPr>
        <w:pStyle w:val="Para 01"/>
        <w:keepLines w:val="on"/>
      </w:pPr>
      <w:r>
        <w:t>giải thích về, 78–79</w:t>
      </w:r>
      <w:bookmarkEnd w:id="9577"/>
    </w:p>
    <w:p>
      <w:bookmarkStart w:id="9578" w:name="Standardized_pricing_estimates"/>
      <w:pPr>
        <w:pStyle w:val="Para 01"/>
        <w:keepLines w:val="on"/>
      </w:pPr>
      <w:r>
        <w:t>Ước lượng định giá được chuẩn hóa, 860–861</w:t>
      </w:r>
      <w:bookmarkEnd w:id="9578"/>
    </w:p>
    <w:p>
      <w:bookmarkStart w:id="9579" w:name="Standardized_values__516"/>
      <w:pPr>
        <w:pStyle w:val="Para 01"/>
        <w:keepLines w:val="on"/>
      </w:pPr>
      <w:r>
        <w:t>Giá trị được chuẩn hóa, 516</w:t>
      </w:r>
      <w:bookmarkEnd w:id="9579"/>
    </w:p>
    <w:p>
      <w:bookmarkStart w:id="9580" w:name="Standard___Poor_s__S_P___82__84"/>
      <w:pPr>
        <w:pStyle w:val="Para 01"/>
        <w:keepLines w:val="on"/>
      </w:pPr>
      <w:r>
        <w:t>Standard &amp; Poor's (S&amp;P), 82, 84</w:t>
      </w:r>
      <w:bookmarkEnd w:id="9580"/>
    </w:p>
    <w:p>
      <w:bookmarkStart w:id="9581" w:name="Start_up_firms__See_Young_or_sta"/>
      <w:pPr>
        <w:pStyle w:val="Para 10"/>
        <w:keepLines w:val="on"/>
      </w:pPr>
      <w:r>
        <w:t>Các doanh nghiệp khởi nghiệp. Xem Doanh nghiệp non trẻ hoặc khởi nghiệp</w:t>
      </w:r>
      <w:bookmarkEnd w:id="9581"/>
    </w:p>
    <w:p>
      <w:bookmarkStart w:id="9582" w:name="Start_up_phase__in_life_cycle__7"/>
      <w:pPr>
        <w:pStyle w:val="Para 01"/>
        <w:keepLines w:val="on"/>
      </w:pPr>
      <w:r>
        <w:t>Giai đoạn khởi nghiệp, trong vòng đời, 734–735</w:t>
      </w:r>
      <w:bookmarkEnd w:id="9582"/>
    </w:p>
    <w:p>
      <w:bookmarkStart w:id="9583" w:name="Star_Wars_movie_franchise__875_8"/>
      <w:pPr>
        <w:pStyle w:val="Para 01"/>
        <w:keepLines w:val="on"/>
      </w:pPr>
      <w:r>
        <w:t>Thương hiệu phim Star Wars, 875–877</w:t>
      </w:r>
      <w:bookmarkEnd w:id="9583"/>
    </w:p>
    <w:p>
      <w:bookmarkStart w:id="9584" w:name="State_Bank_of_India__665_667"/>
      <w:pPr>
        <w:pStyle w:val="Para 01"/>
        <w:keepLines w:val="on"/>
      </w:pPr>
      <w:r>
        <w:t>State Bank of India, 665–667</w:t>
      </w:r>
      <w:bookmarkEnd w:id="9584"/>
    </w:p>
    <w:p>
      <w:bookmarkStart w:id="9585" w:name="Statement_of_cash_flows__30__31"/>
      <w:pPr>
        <w:pStyle w:val="Para 01"/>
        <w:keepLines w:val="on"/>
      </w:pPr>
      <w:r>
        <w:t>Báo cáo lưu chuyển tiền tệ, 30, 31</w:t>
      </w:r>
      <w:bookmarkEnd w:id="9585"/>
    </w:p>
    <w:p>
      <w:bookmarkStart w:id="9586" w:name="Statistical_approach__to_multipl"/>
      <w:pPr>
        <w:pStyle w:val="Para 01"/>
        <w:keepLines w:val="on"/>
      </w:pPr>
      <w:r>
        <w:t>Phương pháp thống kê, để lựa chọn bội số, 1075</w:t>
      </w:r>
      <w:bookmarkEnd w:id="9586"/>
    </w:p>
    <w:p>
      <w:bookmarkStart w:id="9587" w:name="Statistical_distribution__1049_1"/>
      <w:pPr>
        <w:pStyle w:val="Para 01"/>
        <w:keepLines w:val="on"/>
      </w:pPr>
      <w:r>
        <w:t>Phân phối thống kê, 1049–1050</w:t>
      </w:r>
      <w:bookmarkEnd w:id="9587"/>
    </w:p>
    <w:p>
      <w:bookmarkStart w:id="9588" w:name="Statistical_probability_of_distr"/>
      <w:pPr>
        <w:pStyle w:val="Para 01"/>
        <w:keepLines w:val="on"/>
      </w:pPr>
      <w:r>
        <w:t>Xác suất thống kê của tình trạng kiệt quệ tài chính, 359</w:t>
      </w:r>
      <w:bookmarkEnd w:id="9588"/>
    </w:p>
    <w:p>
      <w:bookmarkStart w:id="9589" w:name="Status_quo_management__1074"/>
      <w:pPr>
        <w:pStyle w:val="Para 01"/>
        <w:keepLines w:val="on"/>
      </w:pPr>
      <w:r>
        <w:t>Ban điều hành giữ nguyên hiện trạng, 1074</w:t>
      </w:r>
      <w:bookmarkEnd w:id="9589"/>
    </w:p>
    <w:p>
      <w:bookmarkStart w:id="9590" w:name="Status_quo_valuation__806_808"/>
      <w:pPr>
        <w:pStyle w:val="Para 01"/>
        <w:keepLines w:val="on"/>
      </w:pPr>
      <w:r>
        <w:t>Định giá theo hiện trạng, 806–808</w:t>
      </w:r>
      <w:bookmarkEnd w:id="9590"/>
    </w:p>
    <w:p>
      <w:bookmarkStart w:id="9591" w:name="Stern_Stewart__1009"/>
      <w:pPr>
        <w:pStyle w:val="Para 01"/>
        <w:keepLines w:val="on"/>
      </w:pPr>
      <w:r>
        <w:t>Stern Stewart, 1009</w:t>
      </w:r>
      <w:bookmarkEnd w:id="9591"/>
    </w:p>
    <w:p>
      <w:bookmarkStart w:id="9592" w:name="Stock__comparables_for_real_esta"/>
      <w:pPr>
        <w:pStyle w:val="Para 01"/>
        <w:keepLines w:val="on"/>
      </w:pPr>
      <w:r>
        <w:t>Cổ phiếu</w:t>
      </w:r>
      <w:bookmarkEnd w:id="9592"/>
    </w:p>
    <w:p>
      <w:bookmarkStart w:id="9593" w:name="comparables_for_real_estate_vs"/>
      <w:pPr>
        <w:pStyle w:val="Para 01"/>
        <w:keepLines w:val="on"/>
      </w:pPr>
      <w:r>
        <w:t>các công ty so sánh đối với bất động sản so với, 861–862</w:t>
      </w:r>
      <w:bookmarkEnd w:id="9593"/>
    </w:p>
    <w:p>
      <w:bookmarkStart w:id="9594" w:name="as_payment_for_target_company__8"/>
      <w:pPr>
        <w:pStyle w:val="Para 01"/>
        <w:keepLines w:val="on"/>
      </w:pPr>
      <w:r>
        <w:t>như phương thức thanh toán cho công ty mục tiêu, 821–822</w:t>
      </w:r>
      <w:bookmarkEnd w:id="9594"/>
    </w:p>
    <w:p>
      <w:bookmarkStart w:id="9595" w:name="preferred__42__43"/>
      <w:pPr>
        <w:pStyle w:val="Para 01"/>
        <w:keepLines w:val="on"/>
      </w:pPr>
      <w:r>
        <w:t>ưu tiên, 42, 43</w:t>
      </w:r>
      <w:bookmarkEnd w:id="9595"/>
    </w:p>
    <w:p>
      <w:bookmarkStart w:id="9596" w:name="restricted__507_509__534__777_77"/>
      <w:pPr>
        <w:pStyle w:val="Para 01"/>
        <w:keepLines w:val="on"/>
      </w:pPr>
      <w:r>
        <w:t>bị hạn chế, 507–509, 534, 777–778</w:t>
      </w:r>
      <w:bookmarkEnd w:id="9596"/>
    </w:p>
    <w:p>
      <w:bookmarkStart w:id="9597" w:name="Stock_based_compensation__260_26"/>
      <w:pPr>
        <w:pStyle w:val="Para 01"/>
        <w:keepLines w:val="on"/>
      </w:pPr>
      <w:r>
        <w:t>Thù lao dựa trên cổ phiếu (Stock-based compensation), 260–261</w:t>
      </w:r>
      <w:bookmarkEnd w:id="9597"/>
    </w:p>
    <w:p>
      <w:bookmarkStart w:id="9598" w:name="adding_back__509"/>
      <w:pPr>
        <w:pStyle w:val="Para 01"/>
        <w:keepLines w:val="on"/>
      </w:pPr>
      <w:r>
        <w:t>cộng ngược trở lại, 509</w:t>
      </w:r>
      <w:bookmarkEnd w:id="9598"/>
    </w:p>
    <w:p>
      <w:bookmarkStart w:id="9599" w:name="employee_options__501_507"/>
      <w:pPr>
        <w:pStyle w:val="Para 01"/>
        <w:keepLines w:val="on"/>
      </w:pPr>
      <w:r>
        <w:t>quyền chọn cho nhân viên (employee options), 501–507</w:t>
      </w:r>
      <w:bookmarkEnd w:id="9599"/>
    </w:p>
    <w:p>
      <w:bookmarkStart w:id="9600" w:name="equity_value_per_share_and__501"/>
      <w:pPr>
        <w:pStyle w:val="Para 01"/>
        <w:keepLines w:val="on"/>
      </w:pPr>
      <w:r>
        <w:t>giá trị vốn chủ sở hữu trên mỗi cổ phần (equity value per share) và, 501–509</w:t>
      </w:r>
      <w:bookmarkEnd w:id="9600"/>
    </w:p>
    <w:p>
      <w:bookmarkStart w:id="9601" w:name="restricted_stock__507_509"/>
      <w:pPr>
        <w:pStyle w:val="Para 01"/>
        <w:keepLines w:val="on"/>
      </w:pPr>
      <w:r>
        <w:t>cổ phiếu hạn chế (restricted stock), 507–509</w:t>
      </w:r>
      <w:bookmarkEnd w:id="9601"/>
    </w:p>
    <w:p>
      <w:bookmarkStart w:id="9602" w:name="Stock_buybacks__adjusting_book_e"/>
      <w:pPr>
        <w:pStyle w:val="Para 01"/>
        <w:keepLines w:val="on"/>
      </w:pPr>
      <w:r>
        <w:t>Mua lại cổ phiếu (Stock buybacks)</w:t>
      </w:r>
      <w:bookmarkEnd w:id="9602"/>
    </w:p>
    <w:p>
      <w:bookmarkStart w:id="9603" w:name="adjusting_book_equity_for__583_1"/>
      <w:pPr>
        <w:pStyle w:val="Para 01"/>
        <w:keepLines w:val="on"/>
      </w:pPr>
      <w:r>
        <w:t>điều chỉnh vốn chủ sở hữu trên sổ sách cho, 583</w:t>
      </w:r>
      <w:bookmarkEnd w:id="9603"/>
    </w:p>
    <w:p>
      <w:bookmarkStart w:id="9604" w:name="in_augmented_dividend_discount_m"/>
      <w:pPr>
        <w:pStyle w:val="Para 01"/>
        <w:keepLines w:val="on"/>
      </w:pPr>
      <w:r>
        <w:t>trong mô hình chiết khấu cổ tức mở rộng (augmented dividend discount model), 404–406</w:t>
      </w:r>
      <w:bookmarkEnd w:id="9604"/>
    </w:p>
    <w:p>
      <w:bookmarkStart w:id="9605" w:name="Stockholders__conflict_between_b"/>
      <w:pPr>
        <w:pStyle w:val="Para 01"/>
        <w:keepLines w:val="on"/>
      </w:pPr>
      <w:r>
        <w:t>Cổ đông (Stockholders)</w:t>
      </w:r>
      <w:bookmarkEnd w:id="9605"/>
    </w:p>
    <w:p>
      <w:bookmarkStart w:id="9606" w:name="conflict_between_bondholders_and"/>
      <w:pPr>
        <w:pStyle w:val="Para 01"/>
        <w:keepLines w:val="on"/>
      </w:pPr>
      <w:r>
        <w:t>xung đột giữa trái chủ (bondholders) và, 973</w:t>
      </w:r>
      <w:bookmarkEnd w:id="9606"/>
    </w:p>
    <w:p>
      <w:bookmarkStart w:id="9607" w:name="payouts_to__412_413"/>
      <w:pPr>
        <w:pStyle w:val="Para 01"/>
        <w:keepLines w:val="on"/>
      </w:pPr>
      <w:r>
        <w:t>các khoản chi trả cho, 412–413</w:t>
      </w:r>
      <w:bookmarkEnd w:id="9607"/>
    </w:p>
    <w:p>
      <w:bookmarkStart w:id="9608" w:name="Stock_prices__effects_of_option"/>
      <w:pPr>
        <w:pStyle w:val="Para 01"/>
        <w:keepLines w:val="on"/>
      </w:pPr>
      <w:r>
        <w:t>Giá cổ phiếu (Stock prices)</w:t>
      </w:r>
      <w:bookmarkEnd w:id="9608"/>
    </w:p>
    <w:p>
      <w:bookmarkStart w:id="9609" w:name="effects_of_option_listing_on__12"/>
      <w:pPr>
        <w:pStyle w:val="Para 01"/>
        <w:keepLines w:val="on"/>
      </w:pPr>
      <w:r>
        <w:t>ảnh hưởng của việc niêm yết quyền chọn lên, 120–121</w:t>
      </w:r>
      <w:bookmarkEnd w:id="9609"/>
    </w:p>
    <w:p>
      <w:bookmarkStart w:id="9610" w:name="valuing_options_and__505"/>
      <w:pPr>
        <w:pStyle w:val="Para 01"/>
        <w:keepLines w:val="on"/>
      </w:pPr>
      <w:r>
        <w:t>định giá quyền chọn và, 505</w:t>
      </w:r>
      <w:bookmarkEnd w:id="9610"/>
    </w:p>
    <w:p>
      <w:bookmarkStart w:id="9611" w:name="at_young_or_start_up_firms__754"/>
      <w:pPr>
        <w:pStyle w:val="Para 01"/>
        <w:keepLines w:val="on"/>
      </w:pPr>
      <w:r>
        <w:t>tại các công ty non trẻ hoặc khởi nghiệp (start-up firms), 754</w:t>
      </w:r>
      <w:bookmarkEnd w:id="9611"/>
    </w:p>
    <w:p>
      <w:bookmarkStart w:id="9612" w:name="Stock_splits__977"/>
      <w:pPr>
        <w:pStyle w:val="Para 01"/>
        <w:keepLines w:val="on"/>
      </w:pPr>
      <w:r>
        <w:t>Chia tách cổ phiếu (Stock splits), 977</w:t>
      </w:r>
      <w:bookmarkEnd w:id="9612"/>
    </w:p>
    <w:p>
      <w:bookmarkStart w:id="9613" w:name="Stock_swap__821_822"/>
      <w:pPr>
        <w:pStyle w:val="Para 01"/>
        <w:keepLines w:val="on"/>
      </w:pPr>
      <w:r>
        <w:t>Hoán đổi cổ phiếu (Stock swap), 821–822</w:t>
      </w:r>
      <w:bookmarkEnd w:id="9613"/>
    </w:p>
    <w:p>
      <w:bookmarkStart w:id="9614" w:name="Story_based_valuation__across_li"/>
      <w:pPr>
        <w:pStyle w:val="Para 01"/>
        <w:keepLines w:val="on"/>
      </w:pPr>
      <w:r>
        <w:t>Định giá dựa trên câu chuyện (Story-based valuation)</w:t>
      </w:r>
      <w:bookmarkEnd w:id="9614"/>
    </w:p>
    <w:p>
      <w:bookmarkStart w:id="9615" w:name="across_life_cycle__380_382"/>
      <w:pPr>
        <w:pStyle w:val="Para 01"/>
        <w:keepLines w:val="on"/>
      </w:pPr>
      <w:r>
        <w:t>xuyên suốt vòng đời (life cycle), 380–382</w:t>
      </w:r>
      <w:bookmarkEnd w:id="9615"/>
    </w:p>
    <w:p>
      <w:bookmarkStart w:id="9616" w:name="business_story_in__369_373"/>
      <w:pPr>
        <w:pStyle w:val="Para 01"/>
        <w:keepLines w:val="on"/>
      </w:pPr>
      <w:r>
        <w:t>câu chuyện kinh doanh trong, 369–373</w:t>
      </w:r>
      <w:bookmarkEnd w:id="9616"/>
    </w:p>
    <w:p>
      <w:bookmarkStart w:id="9617" w:name="connecting_stories_to_valuation"/>
      <w:pPr>
        <w:pStyle w:val="Para 01"/>
        <w:keepLines w:val="on"/>
      </w:pPr>
      <w:r>
        <w:t>kết nối câu chuyện với các đầu vào định giá (valuation inputs), 374–379</w:t>
      </w:r>
      <w:bookmarkEnd w:id="9617"/>
    </w:p>
    <w:p>
      <w:bookmarkStart w:id="9618" w:name="feedback_loop_in__379_380"/>
      <w:pPr>
        <w:pStyle w:val="Para 01"/>
        <w:keepLines w:val="on"/>
      </w:pPr>
      <w:r>
        <w:t>vòng phản hồi (feedback loop) trong, 379–380</w:t>
      </w:r>
      <w:bookmarkEnd w:id="9618"/>
    </w:p>
    <w:p>
      <w:bookmarkStart w:id="9619" w:name="sequence_in__368_369"/>
      <w:pPr>
        <w:pStyle w:val="Para 01"/>
        <w:keepLines w:val="on"/>
      </w:pPr>
      <w:r>
        <w:t>trình tự trong, 368–369</w:t>
      </w:r>
      <w:bookmarkEnd w:id="9619"/>
    </w:p>
    <w:p>
      <w:bookmarkStart w:id="9620" w:name="story_breaks__resets_and_changes"/>
      <w:pPr>
        <w:pStyle w:val="Para 01"/>
        <w:keepLines w:val="on"/>
      </w:pPr>
      <w:r>
        <w:t>các bước ngoặt, sự đặt lại và thay đổi trong câu chuyện, 382–384</w:t>
      </w:r>
      <w:bookmarkEnd w:id="9620"/>
    </w:p>
    <w:p>
      <w:bookmarkStart w:id="9621" w:name="3P_test_in__373_374"/>
      <w:pPr>
        <w:pStyle w:val="Para 01"/>
        <w:keepLines w:val="on"/>
      </w:pPr>
      <w:r>
        <w:t>bài kiểm tra 3P trong, 373–374</w:t>
      </w:r>
      <w:bookmarkEnd w:id="9621"/>
    </w:p>
    <w:p>
      <w:bookmarkStart w:id="9622" w:name="Storytelling__action_and__366_fo"/>
      <w:pPr>
        <w:pStyle w:val="Para 01"/>
        <w:keepLines w:val="on"/>
      </w:pPr>
      <w:r>
        <w:t>Kể chuyện</w:t>
      </w:r>
      <w:bookmarkEnd w:id="9622"/>
    </w:p>
    <w:p>
      <w:bookmarkStart w:id="9623" w:name="action_and__366"/>
      <w:pPr>
        <w:pStyle w:val="Para 01"/>
        <w:keepLines w:val="on"/>
      </w:pPr>
      <w:r>
        <w:t>hành động và, 366</w:t>
      </w:r>
      <w:bookmarkEnd w:id="9623"/>
    </w:p>
    <w:p>
      <w:bookmarkStart w:id="9624" w:name="for_connection__364_365"/>
      <w:pPr>
        <w:pStyle w:val="Para 01"/>
        <w:keepLines w:val="on"/>
      </w:pPr>
      <w:r>
        <w:t>để tạo kết nối, 364–365</w:t>
      </w:r>
      <w:bookmarkEnd w:id="9624"/>
    </w:p>
    <w:p>
      <w:bookmarkStart w:id="9625" w:name="dangers_with__366_368"/>
      <w:pPr>
        <w:pStyle w:val="Para 01"/>
        <w:keepLines w:val="on"/>
      </w:pPr>
      <w:r>
        <w:t>những nguy hiểm đi kèm, 366–368</w:t>
      </w:r>
      <w:bookmarkEnd w:id="9625"/>
    </w:p>
    <w:p>
      <w:bookmarkStart w:id="9626" w:name="emotions_and__366_367"/>
      <w:pPr>
        <w:pStyle w:val="Para 01"/>
        <w:keepLines w:val="on"/>
      </w:pPr>
      <w:r>
        <w:t>cảm xúc và, 366–367</w:t>
      </w:r>
      <w:bookmarkEnd w:id="9626"/>
    </w:p>
    <w:p>
      <w:bookmarkStart w:id="9627" w:name="importance_of__364_366"/>
      <w:pPr>
        <w:pStyle w:val="Para 01"/>
        <w:keepLines w:val="on"/>
      </w:pPr>
      <w:r>
        <w:t>tầm quan trọng của, 364–366</w:t>
      </w:r>
      <w:bookmarkEnd w:id="9627"/>
    </w:p>
    <w:p>
      <w:bookmarkStart w:id="9628" w:name="memory_and__365_367"/>
      <w:pPr>
        <w:pStyle w:val="Para 01"/>
        <w:keepLines w:val="on"/>
      </w:pPr>
      <w:r>
        <w:t>ký ức và, 365–367</w:t>
      </w:r>
      <w:bookmarkEnd w:id="9628"/>
    </w:p>
    <w:p>
      <w:bookmarkStart w:id="9629" w:name="Strategic_problems__716_717__107"/>
      <w:pPr>
        <w:pStyle w:val="Para 01"/>
        <w:keepLines w:val="on"/>
      </w:pPr>
      <w:r>
        <w:t>Các vấn đề chiến lược, 716–717, 1071</w:t>
      </w:r>
      <w:bookmarkEnd w:id="9629"/>
    </w:p>
    <w:p>
      <w:bookmarkStart w:id="9630" w:name="Strict_categorization__of_financ"/>
      <w:pPr>
        <w:pStyle w:val="Para 01"/>
        <w:keepLines w:val="on"/>
      </w:pPr>
      <w:r>
        <w:t>Phân loại nghiêm ngặt, về tài trợ, 38</w:t>
      </w:r>
      <w:bookmarkEnd w:id="9630"/>
    </w:p>
    <w:p>
      <w:bookmarkStart w:id="9631" w:name="Strike_price__options__93"/>
      <w:pPr>
        <w:pStyle w:val="Para 01"/>
        <w:keepLines w:val="on"/>
      </w:pPr>
      <w:r>
        <w:t>Giá thực hiện, quyền chọn, 93</w:t>
      </w:r>
      <w:bookmarkEnd w:id="9631"/>
    </w:p>
    <w:p>
      <w:bookmarkStart w:id="9632" w:name="Strong_form_efficiency__114"/>
      <w:pPr>
        <w:pStyle w:val="Para 01"/>
        <w:keepLines w:val="on"/>
      </w:pPr>
      <w:r>
        <w:t>Hiệu quả dạng mạnh, 114</w:t>
      </w:r>
      <w:bookmarkEnd w:id="9632"/>
    </w:p>
    <w:p>
      <w:bookmarkStart w:id="9633" w:name="Strunks_Inc___469_470"/>
      <w:pPr>
        <w:pStyle w:val="Para 01"/>
        <w:keepLines w:val="on"/>
      </w:pPr>
      <w:r>
        <w:t>Strunks Inc., 469–470</w:t>
      </w:r>
      <w:bookmarkEnd w:id="9633"/>
    </w:p>
    <w:p>
      <w:bookmarkStart w:id="9634" w:name="Subjective_adjustments__in_relat"/>
      <w:pPr>
        <w:pStyle w:val="Para 01"/>
        <w:keepLines w:val="on"/>
      </w:pPr>
      <w:r>
        <w:t>Điều chỉnh chủ quan, trong định giá tương đối, 527</w:t>
      </w:r>
      <w:bookmarkEnd w:id="9634"/>
    </w:p>
    <w:p>
      <w:bookmarkStart w:id="9635" w:name="Subscriber_value__646_652"/>
      <w:pPr>
        <w:pStyle w:val="Para 01"/>
        <w:keepLines w:val="on"/>
      </w:pPr>
      <w:r>
        <w:t>Giá trị thuê bao, 646–652</w:t>
      </w:r>
      <w:bookmarkEnd w:id="9635"/>
    </w:p>
    <w:p>
      <w:bookmarkStart w:id="9637" w:name="Subscription_fees__646"/>
      <w:pPr>
        <w:pStyle w:val="Para 01"/>
        <w:keepLines w:val="on"/>
      </w:pPr>
      <w:r>
        <w:t>Phí thuê bao, 646</w:t>
      </w:r>
      <w:bookmarkEnd w:id="9637"/>
    </w:p>
    <w:p>
      <w:bookmarkStart w:id="9638" w:name="Sum_of_the_parts_approach__458_4"/>
      <w:pPr>
        <w:pStyle w:val="Para 01"/>
        <w:keepLines w:val="on"/>
      </w:pPr>
      <w:r>
        <w:t>Phương pháp tổng các phần, 458–468</w:t>
      </w:r>
      <w:bookmarkEnd w:id="9638"/>
    </w:p>
    <w:p>
      <w:bookmarkStart w:id="9639" w:name="aggregation_vs__disaggregation_a"/>
      <w:pPr>
        <w:pStyle w:val="Para 01"/>
        <w:keepLines w:val="on"/>
      </w:pPr>
      <w:r>
        <w:t>tổng hợp so với phân tách và, 458–459</w:t>
      </w:r>
      <w:bookmarkEnd w:id="9639"/>
    </w:p>
    <w:p>
      <w:bookmarkStart w:id="9640" w:name="disaggregated_valuation_steps__4"/>
      <w:pPr>
        <w:pStyle w:val="Para 01"/>
        <w:keepLines w:val="on"/>
      </w:pPr>
      <w:r>
        <w:t>các bước định giá phân tách, 459–466</w:t>
      </w:r>
      <w:bookmarkEnd w:id="9640"/>
    </w:p>
    <w:p>
      <w:bookmarkStart w:id="9641" w:name="example__466_468"/>
      <w:pPr>
        <w:pStyle w:val="Para 01"/>
        <w:keepLines w:val="on"/>
      </w:pPr>
      <w:r>
        <w:t>ví dụ, 466–468</w:t>
      </w:r>
      <w:bookmarkEnd w:id="9641"/>
    </w:p>
    <w:p>
      <w:bookmarkStart w:id="9642" w:name="Survey_approach__to_estimating_d"/>
      <w:pPr>
        <w:pStyle w:val="Para 01"/>
        <w:keepLines w:val="on"/>
      </w:pPr>
      <w:r>
        <w:t>Phương pháp khảo sát, để ước tính tỷ lệ chiết khấu, 847–849</w:t>
      </w:r>
      <w:bookmarkEnd w:id="9642"/>
    </w:p>
    <w:p>
      <w:bookmarkStart w:id="9643" w:name="Survival__of_firms__357_360_of_p"/>
      <w:pPr>
        <w:pStyle w:val="Para 01"/>
        <w:keepLines w:val="on"/>
      </w:pPr>
      <w:r>
        <w:t>Sự tồn tại</w:t>
      </w:r>
      <w:bookmarkEnd w:id="9643"/>
    </w:p>
    <w:p>
      <w:bookmarkStart w:id="9644" w:name="of_firms__357_360"/>
      <w:pPr>
        <w:pStyle w:val="Para 01"/>
        <w:keepLines w:val="on"/>
      </w:pPr>
      <w:r>
        <w:t>của các công ty, 357–360</w:t>
      </w:r>
      <w:bookmarkEnd w:id="9644"/>
    </w:p>
    <w:p>
      <w:bookmarkStart w:id="9645" w:name="of_private_firms__792"/>
      <w:pPr>
        <w:pStyle w:val="Para 01"/>
        <w:keepLines w:val="on"/>
      </w:pPr>
      <w:r>
        <w:t>của các công ty tư nhân, 792</w:t>
      </w:r>
      <w:bookmarkEnd w:id="9645"/>
    </w:p>
    <w:p>
      <w:bookmarkStart w:id="9646" w:name="of_young_or_start_up_firms__746"/>
      <w:pPr>
        <w:pStyle w:val="Para 01"/>
        <w:keepLines w:val="on"/>
      </w:pPr>
      <w:r>
        <w:t>của các công ty non trẻ hoặc khởi nghiệp, 746–747, 752</w:t>
      </w:r>
      <w:bookmarkEnd w:id="9646"/>
    </w:p>
    <w:p>
      <w:bookmarkStart w:id="9647" w:name="Survival_bias__124"/>
      <w:pPr>
        <w:pStyle w:val="Para 01"/>
        <w:keepLines w:val="on"/>
      </w:pPr>
      <w:r>
        <w:t>Thiên lệch sống sót (Survival bias), 124</w:t>
      </w:r>
      <w:bookmarkEnd w:id="9647"/>
    </w:p>
    <w:p>
      <w:bookmarkStart w:id="9648" w:name="Survivor_markets__169"/>
      <w:pPr>
        <w:pStyle w:val="Para 01"/>
        <w:keepLines w:val="on"/>
      </w:pPr>
      <w:r>
        <w:t>Thị trường kẻ sống sót (Survivor markets), 169</w:t>
      </w:r>
      <w:bookmarkEnd w:id="9648"/>
    </w:p>
    <w:p>
      <w:bookmarkStart w:id="9649" w:name="Switching_costs__992_993"/>
      <w:pPr>
        <w:pStyle w:val="Para 01"/>
        <w:keepLines w:val="on"/>
      </w:pPr>
      <w:r>
        <w:t>Chi phí chuyển đổi (Switching costs), 992–993</w:t>
      </w:r>
      <w:bookmarkEnd w:id="9649"/>
    </w:p>
    <w:p>
      <w:bookmarkStart w:id="9650" w:name="Synergy__existence_of__817_818_f"/>
      <w:pPr>
        <w:pStyle w:val="Para 01"/>
        <w:keepLines w:val="on"/>
      </w:pPr>
      <w:r>
        <w:t>Hiệu ứng cộng hưởng (Synergy)</w:t>
      </w:r>
      <w:bookmarkEnd w:id="9650"/>
    </w:p>
    <w:p>
      <w:bookmarkStart w:id="9651" w:name="existence_of__817_818"/>
      <w:pPr>
        <w:pStyle w:val="Para 01"/>
        <w:keepLines w:val="on"/>
      </w:pPr>
      <w:r>
        <w:t>sự tồn tại của, 817–818</w:t>
      </w:r>
      <w:bookmarkEnd w:id="9651"/>
    </w:p>
    <w:p>
      <w:bookmarkStart w:id="9652" w:name="financial__801__813_817"/>
      <w:pPr>
        <w:pStyle w:val="Para 01"/>
        <w:keepLines w:val="on"/>
      </w:pPr>
      <w:r>
        <w:t>tài chính, 801, 813–817</w:t>
      </w:r>
      <w:bookmarkEnd w:id="9652"/>
    </w:p>
    <w:p>
      <w:bookmarkStart w:id="9653" w:name="operating__800__809_812__827"/>
      <w:pPr>
        <w:pStyle w:val="Para 01"/>
        <w:keepLines w:val="on"/>
      </w:pPr>
      <w:r>
        <w:t>hoạt động, 800, 809–812, 827</w:t>
      </w:r>
      <w:bookmarkEnd w:id="9653"/>
    </w:p>
    <w:p>
      <w:bookmarkStart w:id="9654" w:name="research_on__801_802"/>
      <w:pPr>
        <w:pStyle w:val="Para 01"/>
        <w:keepLines w:val="on"/>
      </w:pPr>
      <w:r>
        <w:t>nghiên cứu về, 801–802</w:t>
      </w:r>
      <w:bookmarkEnd w:id="9654"/>
    </w:p>
    <w:p>
      <w:bookmarkStart w:id="9655" w:name="Synthetic_rating__222_224"/>
      <w:pPr>
        <w:pStyle w:val="Para 01"/>
        <w:keepLines w:val="on"/>
      </w:pPr>
      <w:r>
        <w:t>Xếp hạng tổng hợp (Synthetic rating), 222–224</w:t>
      </w:r>
      <w:bookmarkEnd w:id="9655"/>
    </w:p>
    <w:p>
      <w:bookmarkStart w:id="9656" w:name="T___Takeovers__See_also_Acquisit"/>
      <w:bookmarkStart w:id="9657" w:name="T"/>
      <w:pPr>
        <w:keepNext/>
        <w:pStyle w:val="Para 50"/>
        <w:keepLines w:val="on"/>
      </w:pPr>
      <w:r>
        <w:t>T</w:t>
      </w:r>
      <w:bookmarkEnd w:id="9656"/>
      <w:bookmarkEnd w:id="9657"/>
    </w:p>
    <w:p>
      <w:bookmarkStart w:id="9658" w:name="Takeovers__See_also_Acquisitions"/>
      <w:pPr>
        <w:pStyle w:val="Para 01"/>
        <w:keepLines w:val="on"/>
      </w:pPr>
      <w:r>
        <w:t>Thâu tóm (Takeovers). Xem thêm Mua bán và sáp nhập (Acquisitions)</w:t>
      </w:r>
      <w:bookmarkEnd w:id="9658"/>
    </w:p>
    <w:p>
      <w:bookmarkStart w:id="9659" w:name="biases_and_common_errors_in_valu"/>
      <w:pPr>
        <w:pStyle w:val="Para 01"/>
        <w:keepLines w:val="on"/>
      </w:pPr>
      <w:r>
        <w:t>các thiên lệch và lỗi thường gặp khi định giá, 818–820</w:t>
      </w:r>
      <w:bookmarkEnd w:id="9659"/>
    </w:p>
    <w:p>
      <w:bookmarkStart w:id="9660" w:name="friendly__802_803"/>
      <w:pPr>
        <w:pStyle w:val="Para 01"/>
        <w:keepLines w:val="on"/>
      </w:pPr>
      <w:r>
        <w:t>thân thiện, 802–803</w:t>
      </w:r>
      <w:bookmarkEnd w:id="9660"/>
    </w:p>
    <w:p>
      <w:bookmarkStart w:id="9661" w:name="hostile__802_804"/>
      <w:pPr>
        <w:pStyle w:val="Para 01"/>
        <w:keepLines w:val="on"/>
      </w:pPr>
      <w:r>
        <w:t>thù địch, 802–804</w:t>
      </w:r>
      <w:bookmarkEnd w:id="9661"/>
    </w:p>
    <w:p>
      <w:bookmarkStart w:id="9662" w:name="of_poorly_managed_firms__802_804"/>
      <w:pPr>
        <w:pStyle w:val="Para 01"/>
        <w:keepLines w:val="on"/>
      </w:pPr>
      <w:r>
        <w:t>đối với các công ty được quản lý kém, 802–804</w:t>
      </w:r>
      <w:bookmarkEnd w:id="9662"/>
    </w:p>
    <w:p>
      <w:bookmarkStart w:id="9663" w:name="research_on_pricing_value_effect"/>
      <w:pPr>
        <w:pStyle w:val="Para 01"/>
        <w:keepLines w:val="on"/>
      </w:pPr>
      <w:r>
        <w:t>nghiên cứu về tác động định giá/giá trị trong, 797–799</w:t>
      </w:r>
      <w:bookmarkEnd w:id="9663"/>
    </w:p>
    <w:p>
      <w:bookmarkStart w:id="9664" w:name="Target__445_447"/>
      <w:pPr>
        <w:pStyle w:val="Para 01"/>
        <w:keepLines w:val="on"/>
      </w:pPr>
      <w:r>
        <w:t>Mục tiêu (Target), 445–447</w:t>
      </w:r>
      <w:bookmarkEnd w:id="9664"/>
    </w:p>
    <w:p>
      <w:bookmarkStart w:id="9665" w:name="Target_firms__See_also_Acquisiti"/>
      <w:pPr>
        <w:pStyle w:val="Para 10"/>
        <w:keepLines w:val="on"/>
      </w:pPr>
      <w:r>
        <w:t>Các công ty mục tiêu (Target firms). Xem thêm Mua bán và sáp nhập (Acquisitions); Thâu tóm (Takeovers)</w:t>
      </w:r>
      <w:bookmarkEnd w:id="9665"/>
    </w:p>
    <w:p>
      <w:bookmarkStart w:id="9666" w:name="acquisition_price_for__820_821"/>
      <w:pPr>
        <w:pStyle w:val="Para 01"/>
        <w:keepLines w:val="on"/>
      </w:pPr>
      <w:r>
        <w:t>giá mua cho, 820–821</w:t>
      </w:r>
      <w:bookmarkEnd w:id="9666"/>
    </w:p>
    <w:p>
      <w:bookmarkStart w:id="9667" w:name="payment_for__821_823"/>
      <w:pPr>
        <w:pStyle w:val="Para 01"/>
        <w:keepLines w:val="on"/>
      </w:pPr>
      <w:r>
        <w:t>thanh toán cho, 821–823</w:t>
      </w:r>
      <w:bookmarkEnd w:id="9667"/>
    </w:p>
    <w:p>
      <w:bookmarkStart w:id="9668" w:name="public_vs__private__826_827"/>
      <w:pPr>
        <w:pStyle w:val="Para 01"/>
        <w:keepLines w:val="on"/>
      </w:pPr>
      <w:r>
        <w:t>công khai so với tư nhân, 826–827</w:t>
      </w:r>
      <w:bookmarkEnd w:id="9668"/>
    </w:p>
    <w:p>
      <w:bookmarkStart w:id="9669" w:name="selection_of__805_806"/>
      <w:pPr>
        <w:pStyle w:val="Para 01"/>
        <w:keepLines w:val="on"/>
      </w:pPr>
      <w:r>
        <w:t>lựa chọn, 805–806</w:t>
      </w:r>
      <w:bookmarkEnd w:id="9669"/>
    </w:p>
    <w:p>
      <w:bookmarkStart w:id="9670" w:name="size_of__825_826"/>
      <w:pPr>
        <w:pStyle w:val="Para 01"/>
        <w:keepLines w:val="on"/>
      </w:pPr>
      <w:r>
        <w:t>quy mô của, 825–826</w:t>
      </w:r>
      <w:bookmarkEnd w:id="9670"/>
    </w:p>
    <w:p>
      <w:bookmarkStart w:id="9671" w:name="subsidizing__820"/>
      <w:pPr>
        <w:pStyle w:val="Para 01"/>
        <w:keepLines w:val="on"/>
      </w:pPr>
      <w:r>
        <w:t>trợ cấp cho, 820</w:t>
      </w:r>
      <w:bookmarkEnd w:id="9671"/>
    </w:p>
    <w:p>
      <w:bookmarkStart w:id="9672" w:name="valuation_of__806_809"/>
      <w:pPr>
        <w:pStyle w:val="Para 01"/>
        <w:keepLines w:val="on"/>
      </w:pPr>
      <w:r>
        <w:t>định giá, 806–809</w:t>
      </w:r>
      <w:bookmarkEnd w:id="9672"/>
    </w:p>
    <w:p>
      <w:bookmarkStart w:id="9673" w:name="Tata_Motors__320_321__496_498"/>
      <w:pPr>
        <w:pStyle w:val="Para 01"/>
        <w:keepLines w:val="on"/>
      </w:pPr>
      <w:r>
        <w:t>Tata Motors, 320–321, 496–498</w:t>
      </w:r>
      <w:bookmarkEnd w:id="9673"/>
    </w:p>
    <w:p>
      <w:bookmarkStart w:id="9674" w:name="Tax_books__277_278"/>
      <w:pPr>
        <w:pStyle w:val="Para 01"/>
        <w:keepLines w:val="on"/>
      </w:pPr>
      <w:r>
        <w:t>Sổ sách thuế, 277–278</w:t>
      </w:r>
      <w:bookmarkEnd w:id="9674"/>
    </w:p>
    <w:p>
      <w:bookmarkStart w:id="9675" w:name="Taxes_and_taxation__acquisitions"/>
      <w:pPr>
        <w:pStyle w:val="Para 01"/>
        <w:keepLines w:val="on"/>
      </w:pPr>
      <w:r>
        <w:t>Thuế và việc đánh thuế</w:t>
      </w:r>
      <w:bookmarkEnd w:id="9675"/>
    </w:p>
    <w:p>
      <w:bookmarkStart w:id="9676" w:name="acquisitions_and__801__815_816"/>
      <w:pPr>
        <w:pStyle w:val="Para 01"/>
        <w:keepLines w:val="on"/>
      </w:pPr>
      <w:r>
        <w:t>mua lại và sáp nhập (acquisitions) và, 801, 815–816, 822</w:t>
      </w:r>
      <w:bookmarkEnd w:id="9676"/>
    </w:p>
    <w:p>
      <w:bookmarkStart w:id="9677" w:name="borrowing_and__454"/>
      <w:pPr>
        <w:pStyle w:val="Para 01"/>
        <w:keepLines w:val="on"/>
      </w:pPr>
      <w:r>
        <w:t>đi vay và, 454</w:t>
      </w:r>
      <w:bookmarkEnd w:id="9677"/>
    </w:p>
    <w:p>
      <w:bookmarkStart w:id="9678" w:name="cost_of_debt_and__221_3"/>
      <w:pPr>
        <w:pStyle w:val="Para 01"/>
        <w:keepLines w:val="on"/>
      </w:pPr>
      <w:r>
        <w:t>chi phí nợ (cost of debt) và, 221</w:t>
      </w:r>
      <w:bookmarkEnd w:id="9678"/>
    </w:p>
    <w:p>
      <w:bookmarkStart w:id="9679" w:name="deferred__41_42"/>
      <w:pPr>
        <w:pStyle w:val="Para 01"/>
        <w:keepLines w:val="on"/>
      </w:pPr>
      <w:r>
        <w:t>thuế hoãn lại (deferred), 41–42</w:t>
      </w:r>
      <w:bookmarkEnd w:id="9679"/>
    </w:p>
    <w:p>
      <w:bookmarkStart w:id="9680" w:name="deferred_liabilities__278__500"/>
      <w:pPr>
        <w:pStyle w:val="Para 01"/>
        <w:keepLines w:val="on"/>
      </w:pPr>
      <w:r>
        <w:t>nợ phải trả hoãn lại (deferred liabilities), 278, 500</w:t>
      </w:r>
      <w:bookmarkEnd w:id="9680"/>
    </w:p>
    <w:p>
      <w:bookmarkStart w:id="9681" w:name="effective_vs__marginal_tax_rate"/>
      <w:pPr>
        <w:pStyle w:val="Para 01"/>
        <w:keepLines w:val="on"/>
      </w:pPr>
      <w:r>
        <w:t>thuế suất thực tế so với thuế suất biên (effective vs. marginal tax rate) và, 269–271</w:t>
      </w:r>
      <w:bookmarkEnd w:id="9681"/>
    </w:p>
    <w:p>
      <w:bookmarkStart w:id="9682" w:name="for_infrastructure_firms__712"/>
      <w:pPr>
        <w:pStyle w:val="Para 01"/>
        <w:keepLines w:val="on"/>
      </w:pPr>
      <w:r>
        <w:t>đối với các công ty hạ tầng (infrastructure firms), 712</w:t>
      </w:r>
      <w:bookmarkEnd w:id="9682"/>
    </w:p>
    <w:p>
      <w:bookmarkStart w:id="9683" w:name="negative_earnings_and__696_1"/>
      <w:pPr>
        <w:pStyle w:val="Para 01"/>
        <w:keepLines w:val="on"/>
      </w:pPr>
      <w:r>
        <w:t>lợi nhuận âm (negative earnings) và, 696</w:t>
      </w:r>
      <w:bookmarkEnd w:id="9683"/>
    </w:p>
    <w:p>
      <w:bookmarkStart w:id="9684" w:name="net_operating_losses_and__274_27"/>
      <w:pPr>
        <w:pStyle w:val="Para 01"/>
        <w:keepLines w:val="on"/>
      </w:pPr>
      <w:r>
        <w:t>lỗ hoạt động ròng (net operating losses) và, 274–275</w:t>
      </w:r>
      <w:bookmarkEnd w:id="9684"/>
    </w:p>
    <w:p>
      <w:bookmarkStart w:id="9685" w:name="payout_to_stockholders_and__413"/>
      <w:pPr>
        <w:pStyle w:val="Para 01"/>
        <w:keepLines w:val="on"/>
      </w:pPr>
      <w:r>
        <w:t>chi trả cho cổ đông (payout to stockholders) và, 413</w:t>
      </w:r>
      <w:bookmarkEnd w:id="9685"/>
    </w:p>
    <w:p>
      <w:bookmarkStart w:id="9686" w:name="for_private_firms__768_769"/>
      <w:pPr>
        <w:pStyle w:val="Para 01"/>
        <w:keepLines w:val="on"/>
      </w:pPr>
      <w:r>
        <w:t>đối với các công ty tư nhân (private firms), 768–769</w:t>
      </w:r>
      <w:bookmarkEnd w:id="9686"/>
    </w:p>
    <w:p>
      <w:bookmarkStart w:id="9687" w:name="R_D_expensing_and__275_277"/>
      <w:pPr>
        <w:pStyle w:val="Para 01"/>
        <w:keepLines w:val="on"/>
      </w:pPr>
      <w:r>
        <w:t>việc ghi nhận chi phí R&amp;D (R&amp;D expensing) và, 275–277</w:t>
      </w:r>
      <w:bookmarkEnd w:id="9687"/>
    </w:p>
    <w:p>
      <w:bookmarkStart w:id="9688" w:name="for_real_estate_businesses__863_1"/>
      <w:pPr>
        <w:pStyle w:val="Para 01"/>
        <w:keepLines w:val="on"/>
      </w:pPr>
      <w:r>
        <w:t>đối với các doanh nghiệp bất động sản (real estate businesses), 863–864</w:t>
      </w:r>
      <w:bookmarkEnd w:id="9688"/>
    </w:p>
    <w:p>
      <w:bookmarkStart w:id="9689" w:name="tax_books_and_reporting_books_an"/>
      <w:pPr>
        <w:pStyle w:val="Para 01"/>
        <w:keepLines w:val="on"/>
      </w:pPr>
      <w:r>
        <w:t>sổ sách thuế và sổ sách báo cáo (tax books and reporting books) và, 277–278</w:t>
      </w:r>
      <w:bookmarkEnd w:id="9689"/>
    </w:p>
    <w:p>
      <w:bookmarkStart w:id="9690" w:name="tax_subsidies_and__278_279"/>
      <w:pPr>
        <w:pStyle w:val="Para 01"/>
        <w:keepLines w:val="on"/>
      </w:pPr>
      <w:r>
        <w:t>trợ cấp thuế (tax subsidies) và, 278–279</w:t>
      </w:r>
      <w:bookmarkEnd w:id="9690"/>
    </w:p>
    <w:p>
      <w:bookmarkStart w:id="9691" w:name="top_down_growth_and__327_331_1"/>
      <w:pPr>
        <w:pStyle w:val="Para 01"/>
        <w:keepLines w:val="on"/>
      </w:pPr>
      <w:r>
        <w:t>tăng trưởng từ trên xuống (top-down growth) và, 327–331</w:t>
      </w:r>
      <w:bookmarkEnd w:id="9691"/>
    </w:p>
    <w:p>
      <w:bookmarkStart w:id="9692" w:name="value_enhancement_strategies_and"/>
      <w:pPr>
        <w:pStyle w:val="Para 01"/>
        <w:keepLines w:val="on"/>
      </w:pPr>
      <w:r>
        <w:t>các chiến lược gia tăng giá trị (value enhancement strategies) và, 983–984</w:t>
      </w:r>
      <w:bookmarkEnd w:id="9692"/>
    </w:p>
    <w:p>
      <w:bookmarkStart w:id="9693" w:name="Tax_rate__effective__269_271_est"/>
      <w:pPr>
        <w:pStyle w:val="Para 01"/>
        <w:keepLines w:val="on"/>
      </w:pPr>
      <w:r>
        <w:t>Thuế suất</w:t>
      </w:r>
      <w:bookmarkEnd w:id="9693"/>
    </w:p>
    <w:p>
      <w:bookmarkStart w:id="9694" w:name="effective__269_271"/>
      <w:pPr>
        <w:pStyle w:val="Para 01"/>
        <w:keepLines w:val="on"/>
      </w:pPr>
      <w:r>
        <w:t>thực tế (effective), 269–271</w:t>
      </w:r>
      <w:bookmarkEnd w:id="9694"/>
    </w:p>
    <w:p>
      <w:bookmarkStart w:id="9695" w:name="estimation_of__224"/>
      <w:pPr>
        <w:pStyle w:val="Para 01"/>
        <w:keepLines w:val="on"/>
      </w:pPr>
      <w:r>
        <w:t>ước tính, 224</w:t>
      </w:r>
      <w:bookmarkEnd w:id="9695"/>
    </w:p>
    <w:p>
      <w:bookmarkStart w:id="9696" w:name="EV_EBITDA_and__573_5"/>
      <w:pPr>
        <w:pStyle w:val="Para 01"/>
        <w:keepLines w:val="on"/>
      </w:pPr>
      <w:r>
        <w:t>EV/EBITDA và, 573</w:t>
      </w:r>
      <w:bookmarkEnd w:id="9696"/>
    </w:p>
    <w:p>
      <w:bookmarkStart w:id="9697" w:name="marginal__269_274"/>
      <w:pPr>
        <w:pStyle w:val="Para 01"/>
        <w:keepLines w:val="on"/>
      </w:pPr>
      <w:r>
        <w:t>biên, 269–274</w:t>
      </w:r>
      <w:bookmarkEnd w:id="9697"/>
    </w:p>
    <w:p>
      <w:bookmarkStart w:id="9698" w:name="value_and__272_274_2"/>
      <w:pPr>
        <w:pStyle w:val="Para 01"/>
        <w:keepLines w:val="on"/>
      </w:pPr>
      <w:r>
        <w:t>giá trị và, 272–274</w:t>
      </w:r>
      <w:bookmarkEnd w:id="9698"/>
    </w:p>
    <w:p>
      <w:bookmarkStart w:id="9699" w:name="Tax_subsidies__278_279"/>
      <w:pPr>
        <w:pStyle w:val="Para 01"/>
        <w:keepLines w:val="on"/>
      </w:pPr>
      <w:r>
        <w:t>Trợ cấp thuế, 278–279</w:t>
      </w:r>
      <w:bookmarkEnd w:id="9699"/>
    </w:p>
    <w:p>
      <w:bookmarkStart w:id="9700" w:name="Technological_expertise__940"/>
      <w:pPr>
        <w:pStyle w:val="Para 01"/>
        <w:keepLines w:val="on"/>
      </w:pPr>
      <w:r>
        <w:t>Chuyên môn công nghệ, 940</w:t>
      </w:r>
      <w:bookmarkEnd w:id="9700"/>
    </w:p>
    <w:p>
      <w:bookmarkStart w:id="9701" w:name="Telesp__441_442__983_984"/>
      <w:pPr>
        <w:pStyle w:val="Para 01"/>
        <w:keepLines w:val="on"/>
      </w:pPr>
      <w:r>
        <w:t>Telesp, 441–442, 983–984</w:t>
      </w:r>
      <w:bookmarkEnd w:id="9701"/>
    </w:p>
    <w:p>
      <w:bookmarkStart w:id="9702" w:name="Templeton__John__117"/>
      <w:pPr>
        <w:pStyle w:val="Para 01"/>
        <w:keepLines w:val="on"/>
      </w:pPr>
      <w:r>
        <w:t>Templeton, John, 117</w:t>
      </w:r>
      <w:bookmarkEnd w:id="9702"/>
    </w:p>
    <w:p>
      <w:bookmarkStart w:id="9703" w:name="Temporal_market_anomalies__141_1"/>
      <w:pPr>
        <w:pStyle w:val="Para 01"/>
        <w:keepLines w:val="on"/>
      </w:pPr>
      <w:r>
        <w:t>Các bất thường thị trường theo thời gian, 141–146</w:t>
      </w:r>
      <w:bookmarkEnd w:id="9703"/>
    </w:p>
    <w:p>
      <w:bookmarkStart w:id="9704" w:name="Temporary_problems__for_commodit"/>
      <w:pPr>
        <w:pStyle w:val="Para 01"/>
        <w:keepLines w:val="on"/>
      </w:pPr>
      <w:r>
        <w:t>Vấn đề tạm thời</w:t>
      </w:r>
      <w:bookmarkEnd w:id="9704"/>
    </w:p>
    <w:p>
      <w:bookmarkStart w:id="9705" w:name="for_commodity_natural_resource_f"/>
      <w:pPr>
        <w:pStyle w:val="Para 01"/>
        <w:keepLines w:val="on"/>
      </w:pPr>
      <w:r>
        <w:t>đối với các công ty hàng hóa/tài nguyên thiên nhiên, 706–710</w:t>
      </w:r>
      <w:bookmarkEnd w:id="9705"/>
    </w:p>
    <w:p>
      <w:bookmarkStart w:id="9706" w:name="firm_specific__700_701"/>
      <w:pPr>
        <w:pStyle w:val="Para 01"/>
        <w:keepLines w:val="on"/>
      </w:pPr>
      <w:r>
        <w:t>đặc thù của từng công ty, 700–701</w:t>
      </w:r>
      <w:bookmarkEnd w:id="9706"/>
    </w:p>
    <w:p>
      <w:bookmarkStart w:id="9707" w:name="for_infrastructure_firms__710_71_1"/>
      <w:pPr>
        <w:pStyle w:val="Para 01"/>
        <w:keepLines w:val="on"/>
      </w:pPr>
      <w:r>
        <w:t>đối với các công ty hạ tầng, 710–715</w:t>
      </w:r>
      <w:bookmarkEnd w:id="9707"/>
    </w:p>
    <w:p>
      <w:bookmarkStart w:id="9708" w:name="long_term_vs___697"/>
      <w:pPr>
        <w:pStyle w:val="Para 01"/>
        <w:keepLines w:val="on"/>
      </w:pPr>
      <w:r>
        <w:t>dài hạn so với, 697</w:t>
      </w:r>
      <w:bookmarkEnd w:id="9708"/>
    </w:p>
    <w:p>
      <w:bookmarkStart w:id="9709" w:name="negative_earnings_due_to__697"/>
      <w:pPr>
        <w:pStyle w:val="Para 01"/>
        <w:keepLines w:val="on"/>
      </w:pPr>
      <w:r>
        <w:t>thu nhập âm do, 697</w:t>
      </w:r>
      <w:bookmarkEnd w:id="9709"/>
    </w:p>
    <w:p>
      <w:bookmarkStart w:id="9710" w:name="sector_wide_or_market_driven__70"/>
      <w:pPr>
        <w:pStyle w:val="Para 01"/>
        <w:keepLines w:val="on"/>
      </w:pPr>
      <w:r>
        <w:t>toàn ngành hoặc do thị trường chi phối, 702–710</w:t>
      </w:r>
      <w:bookmarkEnd w:id="9710"/>
    </w:p>
    <w:p>
      <w:bookmarkStart w:id="9711" w:name="valuation_of_firms_with__700_715"/>
      <w:pPr>
        <w:pStyle w:val="Para 01"/>
        <w:keepLines w:val="on"/>
      </w:pPr>
      <w:r>
        <w:t>định giá các công ty gặp phải, 700–715</w:t>
      </w:r>
      <w:bookmarkEnd w:id="9711"/>
    </w:p>
    <w:p>
      <w:bookmarkStart w:id="9712" w:name="Tender_offers__796"/>
      <w:pPr>
        <w:pStyle w:val="Para 01"/>
        <w:keepLines w:val="on"/>
      </w:pPr>
      <w:r>
        <w:t>Chào mua công khai, 796</w:t>
      </w:r>
      <w:bookmarkEnd w:id="9712"/>
    </w:p>
    <w:p>
      <w:bookmarkStart w:id="9713" w:name="Terminal_value__computation_of"/>
      <w:pPr>
        <w:pStyle w:val="Para 01"/>
        <w:keepLines w:val="on"/>
      </w:pPr>
      <w:r>
        <w:t>Giá trị cuối kỳ</w:t>
      </w:r>
      <w:bookmarkEnd w:id="9713"/>
    </w:p>
    <w:p>
      <w:bookmarkStart w:id="9714" w:name="computation_of__341_342"/>
      <w:pPr>
        <w:pStyle w:val="Para 01"/>
        <w:keepLines w:val="on"/>
      </w:pPr>
      <w:r>
        <w:t>cách tính, 341–342</w:t>
      </w:r>
      <w:bookmarkEnd w:id="9714"/>
    </w:p>
    <w:p>
      <w:bookmarkStart w:id="9715" w:name="firm_survival_and__357_360"/>
      <w:pPr>
        <w:pStyle w:val="Para 01"/>
        <w:keepLines w:val="on"/>
      </w:pPr>
      <w:r>
        <w:t>sự tồn tại của công ty và, 357–360</w:t>
      </w:r>
      <w:bookmarkEnd w:id="9715"/>
    </w:p>
    <w:p>
      <w:bookmarkStart w:id="9716" w:name="for_infrastructure_firms__712_71"/>
      <w:pPr>
        <w:pStyle w:val="Para 01"/>
        <w:keepLines w:val="on"/>
      </w:pPr>
      <w:r>
        <w:t>đối với các công ty hạ tầng, 712–713</w:t>
      </w:r>
      <w:bookmarkEnd w:id="9716"/>
    </w:p>
    <w:p>
      <w:bookmarkStart w:id="9717" w:name="liquidation_value_and__342"/>
      <w:pPr>
        <w:pStyle w:val="Para 01"/>
        <w:keepLines w:val="on"/>
      </w:pPr>
      <w:r>
        <w:t>giá trị thanh lý và, 342</w:t>
      </w:r>
      <w:bookmarkEnd w:id="9717"/>
    </w:p>
    <w:p>
      <w:bookmarkStart w:id="9718" w:name="multiple_approach_to__343"/>
      <w:pPr>
        <w:pStyle w:val="Para 01"/>
        <w:keepLines w:val="on"/>
      </w:pPr>
      <w:r>
        <w:t>phương pháp bội số đối với, 343</w:t>
      </w:r>
      <w:bookmarkEnd w:id="9718"/>
    </w:p>
    <w:p>
      <w:bookmarkStart w:id="9719" w:name="myths_about__360_361"/>
      <w:pPr>
        <w:pStyle w:val="Para 01"/>
        <w:keepLines w:val="on"/>
      </w:pPr>
      <w:r>
        <w:t>những quan niệm sai lầm về, 360–361</w:t>
      </w:r>
      <w:bookmarkEnd w:id="9719"/>
    </w:p>
    <w:p>
      <w:bookmarkStart w:id="9720" w:name="over_life_cycle__381_1"/>
      <w:pPr>
        <w:pStyle w:val="Para 01"/>
        <w:keepLines w:val="on"/>
      </w:pPr>
      <w:r>
        <w:t>qua vòng đời, 381</w:t>
      </w:r>
      <w:bookmarkEnd w:id="9720"/>
    </w:p>
    <w:p>
      <w:bookmarkStart w:id="9721" w:name="in_real_estate_valuation__852_85"/>
      <w:pPr>
        <w:pStyle w:val="Para 01"/>
        <w:keepLines w:val="on"/>
      </w:pPr>
      <w:r>
        <w:t>trong định giá bất động sản, 852–853</w:t>
      </w:r>
      <w:bookmarkEnd w:id="9721"/>
    </w:p>
    <w:p>
      <w:bookmarkStart w:id="9722" w:name="reinvestment_assumptions__equity"/>
      <w:pPr>
        <w:pStyle w:val="Para 01"/>
        <w:keepLines w:val="on"/>
      </w:pPr>
      <w:r>
        <w:t>giả định tái đầu tư, giá trị vốn chủ sở hữu và, 422</w:t>
      </w:r>
      <w:bookmarkEnd w:id="9722"/>
    </w:p>
    <w:p>
      <w:bookmarkStart w:id="9723" w:name="stable_growth_model_and__343_357"/>
      <w:pPr>
        <w:pStyle w:val="Para 01"/>
        <w:keepLines w:val="on"/>
      </w:pPr>
      <w:r>
        <w:t>mô hình tăng trưởng ổn định và, 343–357</w:t>
      </w:r>
      <w:bookmarkEnd w:id="9723"/>
    </w:p>
    <w:p>
      <w:bookmarkStart w:id="9724" w:name="for_two_stage_dividend_discount"/>
      <w:pPr>
        <w:pStyle w:val="Para 01"/>
        <w:keepLines w:val="on"/>
      </w:pPr>
      <w:r>
        <w:t>cho mô hình chiết khấu cổ tức hai giai đoạn, 394–395</w:t>
      </w:r>
      <w:bookmarkEnd w:id="9724"/>
    </w:p>
    <w:p>
      <w:bookmarkStart w:id="9725" w:name="from_two_stage_FCFE_model__417"/>
      <w:pPr>
        <w:pStyle w:val="Para 01"/>
        <w:keepLines w:val="on"/>
      </w:pPr>
      <w:r>
        <w:t>từ mô hình FCFE hai giai đoạn, 417</w:t>
      </w:r>
      <w:bookmarkEnd w:id="9725"/>
    </w:p>
    <w:p>
      <w:bookmarkStart w:id="9726" w:name="Terminal_values__for_private_fir"/>
      <w:pPr>
        <w:pStyle w:val="Para 01"/>
        <w:keepLines w:val="on"/>
      </w:pPr>
      <w:r>
        <w:t>Giá trị cuối kỳ (Terminal values), cho doanh nghiệp tư nhân, 772–773</w:t>
      </w:r>
      <w:bookmarkEnd w:id="9726"/>
    </w:p>
    <w:p>
      <w:bookmarkStart w:id="9727" w:name="Tesco__642"/>
      <w:pPr>
        <w:pStyle w:val="Para 01"/>
        <w:keepLines w:val="on"/>
      </w:pPr>
      <w:r>
        <w:t>Tesco, 642</w:t>
      </w:r>
      <w:bookmarkEnd w:id="9727"/>
    </w:p>
    <w:p>
      <w:bookmarkStart w:id="9728" w:name="Tesla__508_509"/>
      <w:pPr>
        <w:pStyle w:val="Para 01"/>
        <w:keepLines w:val="on"/>
      </w:pPr>
      <w:r>
        <w:t>Tesla, 508–509</w:t>
      </w:r>
      <w:bookmarkEnd w:id="9728"/>
    </w:p>
    <w:p>
      <w:bookmarkStart w:id="9729" w:name="Tesla_Motors__275__300_301__643"/>
      <w:pPr>
        <w:pStyle w:val="Para 01"/>
        <w:keepLines w:val="on"/>
      </w:pPr>
      <w:r>
        <w:t>Tesla Motors, 275, 300–301, 643–644</w:t>
      </w:r>
      <w:bookmarkEnd w:id="9729"/>
    </w:p>
    <w:p>
      <w:bookmarkStart w:id="9730" w:name="Test_market_expenses__941"/>
      <w:pPr>
        <w:pStyle w:val="Para 01"/>
        <w:keepLines w:val="on"/>
      </w:pPr>
      <w:r>
        <w:t>Chi phí thử nghiệm thị trường, 941</w:t>
      </w:r>
      <w:bookmarkEnd w:id="9730"/>
    </w:p>
    <w:p>
      <w:bookmarkStart w:id="9731" w:name="3P_test__373_374"/>
      <w:pPr>
        <w:pStyle w:val="Para 01"/>
        <w:keepLines w:val="on"/>
      </w:pPr>
      <w:r>
        <w:t>Bài kiểm tra 3P, 373–374</w:t>
      </w:r>
      <w:bookmarkEnd w:id="9731"/>
    </w:p>
    <w:p>
      <w:bookmarkStart w:id="9732" w:name="Three_stage__generalized__divide"/>
      <w:pPr>
        <w:pStyle w:val="Para 01"/>
        <w:keepLines w:val="on"/>
      </w:pPr>
      <w:r>
        <w:t>Mô hình chiết khấu cổ tức ba giai đoạn (tổng quát hóa), 400–404</w:t>
      </w:r>
      <w:bookmarkEnd w:id="9732"/>
    </w:p>
    <w:p>
      <w:bookmarkStart w:id="9733" w:name="Time_horizon__1068"/>
      <w:pPr>
        <w:pStyle w:val="Para 01"/>
        <w:keepLines w:val="on"/>
      </w:pPr>
      <w:r>
        <w:t>Khoảng thời gian (Time horizon), 1068</w:t>
      </w:r>
      <w:bookmarkEnd w:id="9733"/>
    </w:p>
    <w:p>
      <w:bookmarkStart w:id="9734" w:name="Time_period__165_166__168_169"/>
      <w:pPr>
        <w:pStyle w:val="Para 01"/>
        <w:keepLines w:val="on"/>
      </w:pPr>
      <w:r>
        <w:t>Khoảng thời gian (Time period), 165–166, 168–169</w:t>
      </w:r>
      <w:bookmarkEnd w:id="9734"/>
    </w:p>
    <w:p>
      <w:bookmarkStart w:id="9735" w:name="Time_series_comparisons__23"/>
      <w:pPr>
        <w:pStyle w:val="Para 01"/>
        <w:keepLines w:val="on"/>
      </w:pPr>
      <w:r>
        <w:t>So sánh chuỗi thời gian, 23</w:t>
      </w:r>
      <w:bookmarkEnd w:id="9735"/>
    </w:p>
    <w:p>
      <w:bookmarkStart w:id="9736" w:name="Time_series_models__301_303"/>
      <w:pPr>
        <w:pStyle w:val="Para 01"/>
        <w:keepLines w:val="on"/>
      </w:pPr>
      <w:r>
        <w:t>Mô hình chuỗi thời gian, 301–303</w:t>
      </w:r>
      <w:bookmarkEnd w:id="9736"/>
    </w:p>
    <w:p>
      <w:bookmarkStart w:id="9737" w:name="Time_series_properties_of_price"/>
      <w:pPr>
        <w:pStyle w:val="Para 01"/>
        <w:keepLines w:val="on"/>
      </w:pPr>
      <w:r>
        <w:t>Đặc tính chuỗi thời gian của biến động giá</w:t>
      </w:r>
      <w:bookmarkEnd w:id="9737"/>
    </w:p>
    <w:p>
      <w:bookmarkStart w:id="9738" w:name="explanation_of__125"/>
      <w:pPr>
        <w:pStyle w:val="Para 01"/>
        <w:keepLines w:val="on"/>
      </w:pPr>
      <w:r>
        <w:t>giải thích về, 125</w:t>
      </w:r>
      <w:bookmarkEnd w:id="9738"/>
    </w:p>
    <w:p>
      <w:bookmarkStart w:id="9739" w:name="long_term_price_movement_and__12"/>
      <w:pPr>
        <w:pStyle w:val="Para 01"/>
        <w:keepLines w:val="on"/>
      </w:pPr>
      <w:r>
        <w:t>biến động giá dài hạn và, 128–130</w:t>
      </w:r>
      <w:bookmarkEnd w:id="9739"/>
    </w:p>
    <w:p>
      <w:bookmarkStart w:id="9740" w:name="short_term_price_movement_and__1"/>
      <w:pPr>
        <w:pStyle w:val="Para 01"/>
        <w:keepLines w:val="on"/>
      </w:pPr>
      <w:r>
        <w:t>biến động giá ngắn hạn và, 125–128</w:t>
      </w:r>
      <w:bookmarkEnd w:id="9740"/>
    </w:p>
    <w:p>
      <w:bookmarkStart w:id="9741" w:name="speculative_bubbles__crashes_and"/>
      <w:pPr>
        <w:pStyle w:val="Para 01"/>
        <w:keepLines w:val="on"/>
      </w:pPr>
      <w:r>
        <w:t>bong bóng đầu cơ, sụp đổ và hoảng loạn và, 131–132</w:t>
      </w:r>
      <w:bookmarkEnd w:id="9741"/>
    </w:p>
    <w:p>
      <w:bookmarkStart w:id="9742" w:name="Time_to_expiration__93__926"/>
      <w:pPr>
        <w:pStyle w:val="Para 01"/>
        <w:keepLines w:val="on"/>
      </w:pPr>
      <w:r>
        <w:t>Thời gian đến khi hết hạn (Time to expiration), 93, 926</w:t>
      </w:r>
      <w:bookmarkEnd w:id="9742"/>
    </w:p>
    <w:p>
      <w:bookmarkStart w:id="9743" w:name="Titan_Cement_Company__323"/>
      <w:pPr>
        <w:pStyle w:val="Para 01"/>
        <w:keepLines w:val="on"/>
      </w:pPr>
      <w:r>
        <w:t>Titan Cement Company, 323</w:t>
      </w:r>
      <w:bookmarkEnd w:id="9743"/>
    </w:p>
    <w:p>
      <w:bookmarkStart w:id="9744" w:name="Tobin_s_Q__608_610_1"/>
      <w:pPr>
        <w:pStyle w:val="Para 01"/>
        <w:keepLines w:val="on"/>
      </w:pPr>
      <w:r>
        <w:t>Tobin's Q, 608–610</w:t>
      </w:r>
      <w:bookmarkEnd w:id="9744"/>
    </w:p>
    <w:p>
      <w:bookmarkStart w:id="9745" w:name="Top_down_growth__operating_margi"/>
      <w:pPr>
        <w:pStyle w:val="Para 01"/>
        <w:keepLines w:val="on"/>
      </w:pPr>
      <w:r>
        <w:t>Tăng trưởng từ trên xuống (Top-down growth)</w:t>
      </w:r>
      <w:bookmarkEnd w:id="9745"/>
    </w:p>
    <w:p>
      <w:bookmarkStart w:id="9746" w:name="operating_margins_and_taxes_in"/>
      <w:pPr>
        <w:pStyle w:val="Para 01"/>
        <w:keepLines w:val="on"/>
      </w:pPr>
      <w:r>
        <w:t>biên lợi nhuận hoạt động và thuế trong đó, 327–331</w:t>
      </w:r>
      <w:bookmarkEnd w:id="9746"/>
    </w:p>
    <w:p>
      <w:bookmarkStart w:id="9748" w:name="reinvestment_for__331_335"/>
      <w:pPr>
        <w:pStyle w:val="Para 01"/>
        <w:keepLines w:val="on"/>
      </w:pPr>
      <w:r>
        <w:t>tái đầu tư cho, 331–335</w:t>
      </w:r>
      <w:bookmarkEnd w:id="9748"/>
    </w:p>
    <w:p>
      <w:bookmarkStart w:id="9749" w:name="in_revenue__324_327"/>
      <w:pPr>
        <w:pStyle w:val="Para 01"/>
        <w:keepLines w:val="on"/>
      </w:pPr>
      <w:r>
        <w:t>trong doanh thu, 324–327</w:t>
      </w:r>
      <w:bookmarkEnd w:id="9749"/>
    </w:p>
    <w:p>
      <w:bookmarkStart w:id="9750" w:name="sanity_checks_for__335_336"/>
      <w:pPr>
        <w:pStyle w:val="Para 01"/>
        <w:keepLines w:val="on"/>
      </w:pPr>
      <w:r>
        <w:t>kiểm tra tính hợp lý cho, 335–336</w:t>
      </w:r>
      <w:bookmarkEnd w:id="9750"/>
    </w:p>
    <w:p>
      <w:bookmarkStart w:id="9751" w:name="Total_cash_flow__excess_vs___18"/>
      <w:pPr>
        <w:pStyle w:val="Para 01"/>
        <w:keepLines w:val="on"/>
      </w:pPr>
      <w:r>
        <w:t>Tổng dòng tiền</w:t>
      </w:r>
      <w:bookmarkEnd w:id="9751"/>
    </w:p>
    <w:p>
      <w:bookmarkStart w:id="9752" w:name="excess_vs___18"/>
      <w:pPr>
        <w:pStyle w:val="Para 01"/>
        <w:keepLines w:val="on"/>
      </w:pPr>
      <w:r>
        <w:t>so với phần vượt trội, 18</w:t>
      </w:r>
      <w:bookmarkEnd w:id="9752"/>
    </w:p>
    <w:p>
      <w:bookmarkStart w:id="9753" w:name="for_intrinsic_valuation_model__1_2"/>
      <w:pPr>
        <w:pStyle w:val="Para 01"/>
        <w:keepLines w:val="on"/>
      </w:pPr>
      <w:r>
        <w:t>cho mô hình định giá nội tại, 1071</w:t>
      </w:r>
      <w:bookmarkEnd w:id="9753"/>
    </w:p>
    <w:p>
      <w:bookmarkStart w:id="9754" w:name="Total_market__324_327"/>
      <w:pPr>
        <w:pStyle w:val="Para 01"/>
        <w:keepLines w:val="on"/>
      </w:pPr>
      <w:r>
        <w:t>Tổng thị trường, 324–327</w:t>
      </w:r>
      <w:bookmarkEnd w:id="9754"/>
    </w:p>
    <w:p>
      <w:bookmarkStart w:id="9755" w:name="Toyota_Motor_Corporation__704_70"/>
      <w:pPr>
        <w:pStyle w:val="Para 01"/>
        <w:keepLines w:val="on"/>
      </w:pPr>
      <w:r>
        <w:t>Toyota Motor Corporation, 704–706</w:t>
      </w:r>
      <w:bookmarkEnd w:id="9755"/>
    </w:p>
    <w:p>
      <w:bookmarkStart w:id="9756" w:name="Trade_execution__124_125"/>
      <w:pPr>
        <w:pStyle w:val="Para 01"/>
        <w:keepLines w:val="on"/>
      </w:pPr>
      <w:r>
        <w:t>Thực hiện giao dịch, 124–125</w:t>
      </w:r>
      <w:bookmarkEnd w:id="9756"/>
    </w:p>
    <w:p>
      <w:bookmarkStart w:id="9757" w:name="Trademarks__36__881_882"/>
      <w:pPr>
        <w:pStyle w:val="Para 01"/>
        <w:keepLines w:val="on"/>
      </w:pPr>
      <w:r>
        <w:t>Nhãn hiệu, 36, 881–882</w:t>
      </w:r>
      <w:bookmarkEnd w:id="9757"/>
    </w:p>
    <w:p>
      <w:bookmarkStart w:id="9758" w:name="Trading__cost_of__116_117_ease_o"/>
      <w:pPr>
        <w:pStyle w:val="Para 01"/>
        <w:keepLines w:val="on"/>
      </w:pPr>
      <w:r>
        <w:t>Giao dịch</w:t>
      </w:r>
      <w:bookmarkEnd w:id="9758"/>
    </w:p>
    <w:p>
      <w:bookmarkStart w:id="9759" w:name="cost_of__116_117"/>
      <w:pPr>
        <w:pStyle w:val="Para 01"/>
        <w:keepLines w:val="on"/>
      </w:pPr>
      <w:r>
        <w:t>chi phí giao dịch, 116–117</w:t>
      </w:r>
      <w:bookmarkEnd w:id="9759"/>
    </w:p>
    <w:p>
      <w:bookmarkStart w:id="9760" w:name="ease_of__116"/>
      <w:pPr>
        <w:pStyle w:val="Para 01"/>
        <w:keepLines w:val="on"/>
      </w:pPr>
      <w:r>
        <w:t>mức độ dễ dàng giao dịch, 116</w:t>
      </w:r>
      <w:bookmarkEnd w:id="9760"/>
    </w:p>
    <w:p>
      <w:bookmarkStart w:id="9761" w:name="Trading_volume__308"/>
      <w:pPr>
        <w:pStyle w:val="Para 01"/>
        <w:keepLines w:val="on"/>
      </w:pPr>
      <w:r>
        <w:t>Khối lượng giao dịch, 308</w:t>
      </w:r>
      <w:bookmarkEnd w:id="9761"/>
    </w:p>
    <w:p>
      <w:bookmarkStart w:id="9762" w:name="Trailing_price_earnings__PE__rat"/>
      <w:pPr>
        <w:pStyle w:val="Para 01"/>
        <w:keepLines w:val="on"/>
      </w:pPr>
      <w:r>
        <w:t>Tỷ số giá trên thu nhập (PE) theo dữ liệu quá khứ</w:t>
      </w:r>
      <w:bookmarkEnd w:id="9762"/>
    </w:p>
    <w:p>
      <w:bookmarkStart w:id="9763" w:name="discounted_cash_flow_model_on__5"/>
      <w:pPr>
        <w:pStyle w:val="Para 01"/>
        <w:keepLines w:val="on"/>
      </w:pPr>
      <w:r>
        <w:t>mô hình chiết khấu dòng tiền dựa trên đó, 537, 538</w:t>
      </w:r>
      <w:bookmarkEnd w:id="9763"/>
    </w:p>
    <w:p>
      <w:bookmarkStart w:id="9764" w:name="PEG_ratio_and__558_559"/>
      <w:pPr>
        <w:pStyle w:val="Para 01"/>
        <w:keepLines w:val="on"/>
      </w:pPr>
      <w:r>
        <w:t>Tỷ số PEG và, 558–559</w:t>
      </w:r>
      <w:bookmarkEnd w:id="9764"/>
    </w:p>
    <w:p>
      <w:bookmarkStart w:id="9765" w:name="Training_expenses__668_669"/>
      <w:pPr>
        <w:pStyle w:val="Para 01"/>
        <w:keepLines w:val="on"/>
      </w:pPr>
      <w:r>
        <w:t>Chi phí đào tạo, 668–669</w:t>
      </w:r>
      <w:bookmarkEnd w:id="9765"/>
    </w:p>
    <w:p>
      <w:bookmarkStart w:id="9766" w:name="Transaction_based_revenue_model"/>
      <w:pPr>
        <w:pStyle w:val="Para 01"/>
        <w:keepLines w:val="on"/>
      </w:pPr>
      <w:r>
        <w:t>Mô hình doanh thu dựa trên giao dịch, 646</w:t>
      </w:r>
      <w:bookmarkEnd w:id="9766"/>
    </w:p>
    <w:p>
      <w:bookmarkStart w:id="9767" w:name="Transaction_costs__124"/>
      <w:pPr>
        <w:pStyle w:val="Para 01"/>
        <w:keepLines w:val="on"/>
      </w:pPr>
      <w:r>
        <w:t>Chi phí giao dịch, 124</w:t>
      </w:r>
      <w:bookmarkEnd w:id="9767"/>
    </w:p>
    <w:p>
      <w:bookmarkStart w:id="9768" w:name="Transaction_processors__690"/>
      <w:pPr>
        <w:pStyle w:val="Para 01"/>
        <w:keepLines w:val="on"/>
      </w:pPr>
      <w:r>
        <w:t>Đơn vị xử lý giao dịch, 690</w:t>
      </w:r>
      <w:bookmarkEnd w:id="9768"/>
    </w:p>
    <w:p>
      <w:bookmarkStart w:id="9769" w:name="Transparency__498"/>
      <w:pPr>
        <w:pStyle w:val="Para 01"/>
        <w:keepLines w:val="on"/>
      </w:pPr>
      <w:r>
        <w:t>Tính minh bạch, 498</w:t>
      </w:r>
      <w:bookmarkEnd w:id="9769"/>
    </w:p>
    <w:p>
      <w:bookmarkStart w:id="9770" w:name="Treasury_bills__T_bills___62_63"/>
      <w:pPr>
        <w:pStyle w:val="Para 01"/>
        <w:keepLines w:val="on"/>
      </w:pPr>
      <w:r>
        <w:t>Tín phiếu kho bạc (T-bills), 62–63</w:t>
      </w:r>
      <w:bookmarkEnd w:id="9770"/>
    </w:p>
    <w:p>
      <w:bookmarkStart w:id="9771" w:name="Treasury_stock_approach__503"/>
      <w:pPr>
        <w:pStyle w:val="Para 01"/>
        <w:keepLines w:val="on"/>
      </w:pPr>
      <w:r>
        <w:t>Phương pháp cổ phiếu quỹ, 503</w:t>
      </w:r>
      <w:bookmarkEnd w:id="9771"/>
    </w:p>
    <w:p>
      <w:bookmarkStart w:id="9772" w:name="Trophy_assets__characteristics_o"/>
      <w:pPr>
        <w:pStyle w:val="Para 01"/>
        <w:keepLines w:val="on"/>
      </w:pPr>
      <w:r>
        <w:t>Tài sản cúp</w:t>
      </w:r>
      <w:bookmarkEnd w:id="9772"/>
    </w:p>
    <w:p>
      <w:bookmarkStart w:id="9773" w:name="characteristics_of__897_898"/>
      <w:pPr>
        <w:pStyle w:val="Para 01"/>
        <w:keepLines w:val="on"/>
      </w:pPr>
      <w:r>
        <w:t>đặc điểm của, 897–898</w:t>
      </w:r>
      <w:bookmarkEnd w:id="9773"/>
    </w:p>
    <w:p>
      <w:bookmarkStart w:id="9774" w:name="consequences__898"/>
      <w:pPr>
        <w:pStyle w:val="Para 01"/>
        <w:keepLines w:val="on"/>
      </w:pPr>
      <w:r>
        <w:t>hệ quả, 898</w:t>
      </w:r>
      <w:bookmarkEnd w:id="9774"/>
    </w:p>
    <w:p>
      <w:bookmarkStart w:id="9775" w:name="explanation__897_898"/>
      <w:pPr>
        <w:pStyle w:val="Para 01"/>
        <w:keepLines w:val="on"/>
      </w:pPr>
      <w:r>
        <w:t>giải thích, 897–898</w:t>
      </w:r>
      <w:bookmarkEnd w:id="9775"/>
    </w:p>
    <w:p>
      <w:bookmarkStart w:id="9776" w:name="sport_franchises_as__898_904"/>
      <w:pPr>
        <w:pStyle w:val="Para 01"/>
        <w:keepLines w:val="on"/>
      </w:pPr>
      <w:r>
        <w:t>các thương hiệu thể thao với tư cách là, 898–904</w:t>
      </w:r>
      <w:bookmarkEnd w:id="9776"/>
    </w:p>
    <w:p>
      <w:bookmarkStart w:id="9777" w:name="Tsingtao_Breweries__425_427"/>
      <w:pPr>
        <w:pStyle w:val="Para 01"/>
        <w:keepLines w:val="on"/>
      </w:pPr>
      <w:r>
        <w:t>Tsingtao Breweries, 425–427</w:t>
      </w:r>
      <w:bookmarkEnd w:id="9777"/>
    </w:p>
    <w:p>
      <w:bookmarkStart w:id="9778" w:name="Turnover_ratios__52_53"/>
      <w:pPr>
        <w:pStyle w:val="Para 01"/>
        <w:keepLines w:val="on"/>
      </w:pPr>
      <w:r>
        <w:t>Các tỷ số vòng quay (Turnover ratios), 52–53</w:t>
      </w:r>
      <w:bookmarkEnd w:id="9778"/>
    </w:p>
    <w:p>
      <w:bookmarkStart w:id="9779" w:name="Twitter__652"/>
      <w:pPr>
        <w:pStyle w:val="Para 01"/>
        <w:keepLines w:val="on"/>
      </w:pPr>
      <w:r>
        <w:t>Twitter, 652</w:t>
      </w:r>
      <w:bookmarkEnd w:id="9779"/>
    </w:p>
    <w:p>
      <w:bookmarkStart w:id="9780" w:name="Two_stage_dividend_discount_mode"/>
      <w:pPr>
        <w:pStyle w:val="Para 01"/>
        <w:keepLines w:val="on"/>
      </w:pPr>
      <w:r>
        <w:t>Mô hình chiết khấu cổ tức hai giai đoạn (Two-stage dividend discount models)</w:t>
      </w:r>
      <w:bookmarkEnd w:id="9780"/>
    </w:p>
    <w:p>
      <w:bookmarkStart w:id="9781" w:name="classic__394_399"/>
      <w:pPr>
        <w:pStyle w:val="Para 01"/>
        <w:keepLines w:val="on"/>
      </w:pPr>
      <w:r>
        <w:t>cổ điển, 394–399</w:t>
      </w:r>
      <w:bookmarkEnd w:id="9781"/>
    </w:p>
    <w:p>
      <w:bookmarkStart w:id="9782" w:name="estimating_PE_ratio_with__537_53"/>
      <w:pPr>
        <w:pStyle w:val="Para 01"/>
        <w:keepLines w:val="on"/>
      </w:pPr>
      <w:r>
        <w:t>ước tính tỷ số PE bằng mô hình này, 537–539</w:t>
      </w:r>
      <w:bookmarkEnd w:id="9782"/>
    </w:p>
    <w:p>
      <w:bookmarkStart w:id="9783" w:name="estimating_price_to_book_ratio_w"/>
      <w:pPr>
        <w:pStyle w:val="Para 01"/>
        <w:keepLines w:val="on"/>
      </w:pPr>
      <w:r>
        <w:t>ước tính tỷ số giá trên giá trị sổ sách bằng mô hình này, 587–589</w:t>
      </w:r>
      <w:bookmarkEnd w:id="9783"/>
    </w:p>
    <w:p>
      <w:bookmarkStart w:id="9784" w:name="estimating_value_of_growth_with"/>
      <w:pPr>
        <w:pStyle w:val="Para 01"/>
        <w:keepLines w:val="on"/>
      </w:pPr>
      <w:r>
        <w:t>ước tính giá trị của tăng trưởng bằng mô hình này, 397–399</w:t>
      </w:r>
      <w:bookmarkEnd w:id="9784"/>
    </w:p>
    <w:p>
      <w:bookmarkStart w:id="9785" w:name="H_model__399_400"/>
      <w:pPr>
        <w:pStyle w:val="Para 01"/>
        <w:keepLines w:val="on"/>
      </w:pPr>
      <w:r>
        <w:t>mô hình H, 399–400</w:t>
      </w:r>
      <w:bookmarkEnd w:id="9785"/>
    </w:p>
    <w:p>
      <w:bookmarkStart w:id="9786" w:name="limitations_of__395"/>
      <w:pPr>
        <w:pStyle w:val="Para 01"/>
        <w:keepLines w:val="on"/>
      </w:pPr>
      <w:r>
        <w:t>hạn chế của mô hình này, 395</w:t>
      </w:r>
      <w:bookmarkEnd w:id="9786"/>
    </w:p>
    <w:p>
      <w:bookmarkStart w:id="9787" w:name="price_to_sales_ratio_from__616_6_1"/>
      <w:pPr>
        <w:pStyle w:val="Para 01"/>
        <w:keepLines w:val="on"/>
      </w:pPr>
      <w:r>
        <w:t>tỷ số giá trên doanh thu từ mô hình này, 616–618</w:t>
      </w:r>
      <w:bookmarkEnd w:id="9787"/>
    </w:p>
    <w:p>
      <w:bookmarkStart w:id="9788" w:name="terminal_value_for__394_395"/>
      <w:pPr>
        <w:pStyle w:val="Para 01"/>
        <w:keepLines w:val="on"/>
      </w:pPr>
      <w:r>
        <w:t>giá trị cuối kỳ (terminal value) cho mô hình này, 394–395</w:t>
      </w:r>
      <w:bookmarkEnd w:id="9788"/>
    </w:p>
    <w:p>
      <w:bookmarkStart w:id="9789" w:name="uses_of__395_396"/>
      <w:pPr>
        <w:pStyle w:val="Para 01"/>
        <w:keepLines w:val="on"/>
      </w:pPr>
      <w:r>
        <w:t>các ứng dụng của mô hình này, 395–396</w:t>
      </w:r>
      <w:bookmarkEnd w:id="9789"/>
    </w:p>
    <w:p>
      <w:bookmarkStart w:id="9790" w:name="Two_stage_FCFE_model__417_422"/>
      <w:pPr>
        <w:pStyle w:val="Para 01"/>
        <w:keepLines w:val="on"/>
      </w:pPr>
      <w:r>
        <w:t>Mô hình FCFE hai giai đoạn, 417–422</w:t>
      </w:r>
      <w:bookmarkEnd w:id="9790"/>
    </w:p>
    <w:p>
      <w:bookmarkStart w:id="9791" w:name="U"/>
      <w:bookmarkStart w:id="9792" w:name="U___Uber__371_Uncertainty__4_5"/>
      <w:pPr>
        <w:keepNext/>
        <w:pStyle w:val="Para 50"/>
        <w:keepLines w:val="on"/>
      </w:pPr>
      <w:r>
        <w:t>U</w:t>
      </w:r>
      <w:bookmarkEnd w:id="9791"/>
      <w:bookmarkEnd w:id="9792"/>
    </w:p>
    <w:p>
      <w:bookmarkStart w:id="9793" w:name="Uber__371"/>
      <w:pPr>
        <w:pStyle w:val="Para 01"/>
        <w:keepLines w:val="on"/>
      </w:pPr>
      <w:r>
        <w:t>Uber, 371</w:t>
      </w:r>
      <w:bookmarkEnd w:id="9793"/>
    </w:p>
    <w:p>
      <w:bookmarkStart w:id="9794" w:name="Uncertainty__4_5__in_multistage"/>
      <w:pPr>
        <w:pStyle w:val="Para 01"/>
        <w:keepLines w:val="on"/>
      </w:pPr>
      <w:r>
        <w:t>Sự không chắc chắn (Uncertainty), 4–5</w:t>
      </w:r>
      <w:bookmarkEnd w:id="9794"/>
    </w:p>
    <w:p>
      <w:bookmarkStart w:id="9795" w:name="in_multistage_project__942"/>
      <w:pPr>
        <w:pStyle w:val="Para 01"/>
        <w:keepLines w:val="on"/>
      </w:pPr>
      <w:r>
        <w:t>trong dự án nhiều giai đoạn, 942</w:t>
      </w:r>
      <w:bookmarkEnd w:id="9795"/>
    </w:p>
    <w:p>
      <w:bookmarkStart w:id="9796" w:name="natural_resource_options_and__92"/>
      <w:pPr>
        <w:pStyle w:val="Para 01"/>
        <w:keepLines w:val="on"/>
      </w:pPr>
      <w:r>
        <w:t>các quyền chọn tài nguyên thiên nhiên và sự không chắc chắn, 928</w:t>
      </w:r>
      <w:bookmarkEnd w:id="9796"/>
    </w:p>
    <w:p>
      <w:bookmarkStart w:id="9797" w:name="for_young_or_start_up_firms__751"/>
      <w:pPr>
        <w:pStyle w:val="Para 01"/>
        <w:keepLines w:val="on"/>
      </w:pPr>
      <w:r>
        <w:t>đối với các công ty non trẻ hoặc mới khởi nghiệp, 751</w:t>
      </w:r>
      <w:bookmarkEnd w:id="9797"/>
    </w:p>
    <w:p>
      <w:bookmarkStart w:id="9798" w:name="Underlying_assets__exercise_and"/>
      <w:pPr>
        <w:pStyle w:val="Para 01"/>
        <w:keepLines w:val="on"/>
      </w:pPr>
      <w:r>
        <w:t>Tài sản cơ sở (Underlying assets)</w:t>
      </w:r>
      <w:bookmarkEnd w:id="9798"/>
    </w:p>
    <w:p>
      <w:bookmarkStart w:id="9799" w:name="exercise_and_value_of__105"/>
      <w:pPr>
        <w:pStyle w:val="Para 01"/>
        <w:keepLines w:val="on"/>
      </w:pPr>
      <w:r>
        <w:t>giá trị của quyền chọn thực và, 105</w:t>
      </w:r>
      <w:bookmarkEnd w:id="9799"/>
    </w:p>
    <w:p>
      <w:bookmarkStart w:id="9800" w:name="natural_resource_option_and__926"/>
      <w:pPr>
        <w:pStyle w:val="Para 01"/>
        <w:keepLines w:val="on"/>
      </w:pPr>
      <w:r>
        <w:t>quyền chọn tài nguyên thiên nhiên và, 926, 929</w:t>
      </w:r>
      <w:bookmarkEnd w:id="9800"/>
    </w:p>
    <w:p>
      <w:bookmarkStart w:id="9801" w:name="project_delay_option_and__912"/>
      <w:pPr>
        <w:pStyle w:val="Para 01"/>
        <w:keepLines w:val="on"/>
      </w:pPr>
      <w:r>
        <w:t>quyền chọn trì hoãn dự án và, 912</w:t>
      </w:r>
      <w:bookmarkEnd w:id="9801"/>
    </w:p>
    <w:p>
      <w:bookmarkStart w:id="9802" w:name="value_of__92_93"/>
      <w:pPr>
        <w:pStyle w:val="Para 01"/>
        <w:keepLines w:val="on"/>
      </w:pPr>
      <w:r>
        <w:t>giá trị của, 92–93</w:t>
      </w:r>
      <w:bookmarkEnd w:id="9802"/>
    </w:p>
    <w:p>
      <w:bookmarkStart w:id="9803" w:name="Undervalued_firms__799__1077"/>
      <w:pPr>
        <w:pStyle w:val="Para 01"/>
        <w:keepLines w:val="on"/>
      </w:pPr>
      <w:r>
        <w:t>Các công ty bị định giá thấp, 799, 1077</w:t>
      </w:r>
      <w:bookmarkEnd w:id="9803"/>
    </w:p>
    <w:p>
      <w:bookmarkStart w:id="9804" w:name="Undervalued_stocks__487_488"/>
      <w:pPr>
        <w:pStyle w:val="Para 01"/>
        <w:keepLines w:val="on"/>
      </w:pPr>
      <w:r>
        <w:t>Các cổ phiếu bị định giá thấp, 487–488</w:t>
      </w:r>
      <w:bookmarkEnd w:id="9804"/>
    </w:p>
    <w:p>
      <w:bookmarkStart w:id="9805" w:name="Undeveloped_land__853_854__931_9"/>
      <w:pPr>
        <w:pStyle w:val="Para 01"/>
        <w:keepLines w:val="on"/>
      </w:pPr>
      <w:r>
        <w:t>Đất chưa khai phá, 853–854, 931–932</w:t>
      </w:r>
      <w:bookmarkEnd w:id="9805"/>
    </w:p>
    <w:p>
      <w:bookmarkStart w:id="9806" w:name="Undeveloped_reserves__as_options"/>
      <w:pPr>
        <w:pStyle w:val="Para 01"/>
        <w:keepLines w:val="on"/>
      </w:pPr>
      <w:r>
        <w:t>Trữ lượng chưa khai thác</w:t>
      </w:r>
      <w:bookmarkEnd w:id="9806"/>
    </w:p>
    <w:p>
      <w:bookmarkStart w:id="9807" w:name="as_options__925_928"/>
      <w:pPr>
        <w:pStyle w:val="Para 01"/>
        <w:keepLines w:val="on"/>
      </w:pPr>
      <w:r>
        <w:t>như các quyền chọn, 925–928</w:t>
      </w:r>
      <w:bookmarkEnd w:id="9807"/>
    </w:p>
    <w:p>
      <w:bookmarkStart w:id="9808" w:name="valuing_firms_with__928_931"/>
      <w:pPr>
        <w:pStyle w:val="Para 01"/>
        <w:keepLines w:val="on"/>
      </w:pPr>
      <w:r>
        <w:t>định giá các công ty có trữ lượng chưa khai thác, 928–931</w:t>
      </w:r>
      <w:bookmarkEnd w:id="9808"/>
    </w:p>
    <w:p>
      <w:bookmarkStart w:id="9809" w:name="Uniformity__multiple__519_520"/>
      <w:pPr>
        <w:pStyle w:val="Para 01"/>
        <w:keepLines w:val="on"/>
      </w:pPr>
      <w:r>
        <w:t>Tính đồng nhất, nhiều, 519–520</w:t>
      </w:r>
      <w:bookmarkEnd w:id="9809"/>
    </w:p>
    <w:p>
      <w:bookmarkStart w:id="9810" w:name="Unit_economics__327_328"/>
      <w:pPr>
        <w:pStyle w:val="Para 01"/>
        <w:keepLines w:val="on"/>
      </w:pPr>
      <w:r>
        <w:t>Kinh tế đơn vị, 327–328</w:t>
      </w:r>
      <w:bookmarkEnd w:id="9810"/>
    </w:p>
    <w:p>
      <w:bookmarkStart w:id="9811" w:name="United_Airlines__805"/>
      <w:pPr>
        <w:pStyle w:val="Para 01"/>
        <w:keepLines w:val="on"/>
      </w:pPr>
      <w:r>
        <w:t>United Airlines, 805</w:t>
      </w:r>
      <w:bookmarkEnd w:id="9811"/>
    </w:p>
    <w:p>
      <w:bookmarkStart w:id="9812" w:name="Unlevered_betas__205__208"/>
      <w:pPr>
        <w:pStyle w:val="Para 01"/>
        <w:keepLines w:val="on"/>
      </w:pPr>
      <w:r>
        <w:t>Beta chưa đòn bẩy, 205, 208</w:t>
      </w:r>
      <w:bookmarkEnd w:id="9812"/>
    </w:p>
    <w:p>
      <w:bookmarkStart w:id="9813" w:name="Unlevered_firms__453_454"/>
      <w:pPr>
        <w:pStyle w:val="Para 01"/>
        <w:keepLines w:val="on"/>
      </w:pPr>
      <w:r>
        <w:t>Các công ty không có đòn bẩy, 453–454</w:t>
      </w:r>
      <w:bookmarkEnd w:id="9813"/>
    </w:p>
    <w:p>
      <w:bookmarkStart w:id="9814" w:name="Unusual_items__45"/>
      <w:pPr>
        <w:pStyle w:val="Para 01"/>
        <w:keepLines w:val="on"/>
      </w:pPr>
      <w:r>
        <w:t>Các khoản mục bất thường, 45</w:t>
      </w:r>
      <w:bookmarkEnd w:id="9814"/>
    </w:p>
    <w:p>
      <w:bookmarkStart w:id="9815" w:name="Unutilized_assets__20__498_499"/>
      <w:pPr>
        <w:pStyle w:val="Para 01"/>
        <w:keepLines w:val="on"/>
      </w:pPr>
      <w:r>
        <w:t>Tài sản chưa sử dụng, 20, 498–499</w:t>
      </w:r>
      <w:bookmarkEnd w:id="9815"/>
    </w:p>
    <w:p>
      <w:bookmarkStart w:id="9816" w:name="Usage_revenues__infrastructure"/>
      <w:pPr>
        <w:pStyle w:val="Para 01"/>
        <w:keepLines w:val="on"/>
      </w:pPr>
      <w:r>
        <w:t>Doanh thu từ sử dụng, cơ sở hạ tầng, 711</w:t>
      </w:r>
      <w:bookmarkEnd w:id="9816"/>
    </w:p>
    <w:p>
      <w:bookmarkStart w:id="9817" w:name="User_cash_flow__647_648"/>
      <w:pPr>
        <w:pStyle w:val="Para 01"/>
        <w:keepLines w:val="on"/>
      </w:pPr>
      <w:r>
        <w:t>Dòng tiền người dùng, 647–648</w:t>
      </w:r>
      <w:bookmarkEnd w:id="9817"/>
    </w:p>
    <w:p>
      <w:bookmarkStart w:id="9818" w:name="User_life__647"/>
      <w:pPr>
        <w:pStyle w:val="Para 01"/>
        <w:keepLines w:val="on"/>
      </w:pPr>
      <w:r>
        <w:t>Vòng đời người dùng, 647</w:t>
      </w:r>
      <w:bookmarkEnd w:id="9818"/>
    </w:p>
    <w:p>
      <w:bookmarkStart w:id="9819" w:name="User_renewal_rate__647"/>
      <w:pPr>
        <w:pStyle w:val="Para 01"/>
        <w:keepLines w:val="on"/>
      </w:pPr>
      <w:r>
        <w:t>Tỷ lệ gia hạn người dùng, 647</w:t>
      </w:r>
      <w:bookmarkEnd w:id="9819"/>
    </w:p>
    <w:p>
      <w:bookmarkStart w:id="9820" w:name="User_value__determinants_of__646"/>
      <w:pPr>
        <w:pStyle w:val="Para 01"/>
        <w:keepLines w:val="on"/>
      </w:pPr>
      <w:r>
        <w:t>Giá trị người dùng, các yếu tố quyết định, 646–652</w:t>
      </w:r>
      <w:bookmarkEnd w:id="9820"/>
    </w:p>
    <w:p>
      <w:bookmarkStart w:id="9821" w:name="US_Treasury_bond__345_346"/>
      <w:pPr>
        <w:pStyle w:val="Para 01"/>
        <w:keepLines w:val="on"/>
      </w:pPr>
      <w:r>
        <w:t>Trái phiếu kho bạc Mỹ, 345–346</w:t>
      </w:r>
      <w:bookmarkEnd w:id="9821"/>
    </w:p>
    <w:p>
      <w:bookmarkStart w:id="9822" w:name="V___Valuation__See_also_Firm_val"/>
      <w:bookmarkStart w:id="9823" w:name="V"/>
      <w:pPr>
        <w:keepNext/>
        <w:pStyle w:val="Para 50"/>
        <w:keepLines w:val="on"/>
      </w:pPr>
      <w:r>
        <w:t>V</w:t>
      </w:r>
      <w:bookmarkEnd w:id="9822"/>
      <w:bookmarkEnd w:id="9823"/>
    </w:p>
    <w:p>
      <w:bookmarkStart w:id="9824" w:name="Valuation__See_also_Firm_valuati"/>
      <w:pPr>
        <w:pStyle w:val="Para 60"/>
        <w:keepLines w:val="on"/>
      </w:pPr>
      <w:r>
        <w:t>Định giá. Xem thêm Định giá công ty; các loại định giá cụ thể</w:t>
      </w:r>
      <w:bookmarkEnd w:id="9824"/>
    </w:p>
    <w:p>
      <w:bookmarkStart w:id="9825" w:name="behavioral_finance_and__132"/>
      <w:pPr>
        <w:pStyle w:val="Para 01"/>
        <w:keepLines w:val="on"/>
      </w:pPr>
      <w:r>
        <w:t>định hướng tài chính hành vi (behavioral finance) và, 132</w:t>
      </w:r>
      <w:bookmarkEnd w:id="9825"/>
    </w:p>
    <w:p>
      <w:bookmarkStart w:id="9826" w:name="binomial_option__94_97"/>
      <w:pPr>
        <w:pStyle w:val="Para 01"/>
        <w:keepLines w:val="on"/>
      </w:pPr>
      <w:r>
        <w:t>quyền chọn nhị thức (binomial option), 94–97</w:t>
      </w:r>
      <w:bookmarkEnd w:id="9826"/>
    </w:p>
    <w:p>
      <w:bookmarkStart w:id="9827" w:name="as_bridge_between_story_and_data"/>
      <w:pPr>
        <w:pStyle w:val="Para 01"/>
        <w:keepLines w:val="on"/>
      </w:pPr>
      <w:r>
        <w:t>như cầu nối giữa câu chuyện và dữ liệu, 363–364</w:t>
      </w:r>
      <w:bookmarkEnd w:id="9827"/>
    </w:p>
    <w:p>
      <w:bookmarkStart w:id="9828" w:name="closure_in__341_357__772_773__Se"/>
      <w:pPr>
        <w:pStyle w:val="Para 01"/>
        <w:keepLines w:val="on"/>
      </w:pPr>
      <w:r>
        <w:t>sự khép lại trong, 341–357, 772–773 (Xem thêm Giá trị kết thúc – Terminal value)</w:t>
      </w:r>
      <w:bookmarkEnd w:id="9828"/>
    </w:p>
    <w:p>
      <w:bookmarkStart w:id="9829" w:name="connecting_business_story_to_inp"/>
      <w:pPr>
        <w:pStyle w:val="Para 01"/>
        <w:keepLines w:val="on"/>
      </w:pPr>
      <w:r>
        <w:t>kết nối câu chuyện kinh doanh với các thông số đầu vào cho, 374–377</w:t>
      </w:r>
      <w:bookmarkEnd w:id="9829"/>
    </w:p>
    <w:p>
      <w:bookmarkStart w:id="9830" w:name="consolidated__482_484"/>
      <w:pPr>
        <w:pStyle w:val="Para 01"/>
        <w:keepLines w:val="on"/>
      </w:pPr>
      <w:r>
        <w:t>hợp nhất, 482–484</w:t>
      </w:r>
      <w:bookmarkEnd w:id="9830"/>
    </w:p>
    <w:p>
      <w:bookmarkStart w:id="9831" w:name="contingent_claim__25_27"/>
      <w:pPr>
        <w:pStyle w:val="Para 01"/>
        <w:keepLines w:val="on"/>
      </w:pPr>
      <w:r>
        <w:t>yêu cầu ngẫu nhiên (contingent claim), 25–27</w:t>
      </w:r>
      <w:bookmarkEnd w:id="9831"/>
    </w:p>
    <w:p>
      <w:bookmarkStart w:id="9832" w:name="equity_vs__firm__14_15"/>
      <w:pPr>
        <w:pStyle w:val="Para 01"/>
        <w:keepLines w:val="on"/>
      </w:pPr>
      <w:r>
        <w:t>vốn chủ sở hữu so với doanh nghiệp, 14–15</w:t>
      </w:r>
      <w:bookmarkEnd w:id="9832"/>
    </w:p>
    <w:p>
      <w:bookmarkStart w:id="9833" w:name="ignoring_acquisitions_in__284"/>
      <w:pPr>
        <w:pStyle w:val="Para 01"/>
        <w:keepLines w:val="on"/>
      </w:pPr>
      <w:r>
        <w:t>bỏ qua các thương vụ mua lại trong, 284</w:t>
      </w:r>
      <w:bookmarkEnd w:id="9833"/>
    </w:p>
    <w:p>
      <w:bookmarkStart w:id="9834" w:name="intrinsic__13_21"/>
      <w:pPr>
        <w:pStyle w:val="Para 01"/>
        <w:keepLines w:val="on"/>
      </w:pPr>
      <w:r>
        <w:t>nội tại (intrinsic), 13–21</w:t>
      </w:r>
      <w:bookmarkEnd w:id="9834"/>
    </w:p>
    <w:p>
      <w:bookmarkStart w:id="9835" w:name="likelihood_of_failure_in__358"/>
      <w:pPr>
        <w:pStyle w:val="Para 01"/>
        <w:keepLines w:val="on"/>
      </w:pPr>
      <w:r>
        <w:t>khả năng thất bại trong, 358</w:t>
      </w:r>
      <w:bookmarkEnd w:id="9835"/>
    </w:p>
    <w:p>
      <w:bookmarkStart w:id="9836" w:name="limitations_of_time_series_model"/>
      <w:pPr>
        <w:pStyle w:val="Para 01"/>
        <w:keepLines w:val="on"/>
      </w:pPr>
      <w:r>
        <w:t>hạn chế của các mô hình chuỗi thời gian trong, 303</w:t>
      </w:r>
      <w:bookmarkEnd w:id="9836"/>
    </w:p>
    <w:p>
      <w:bookmarkStart w:id="9837" w:name="market_efficiency_and__6_7"/>
      <w:pPr>
        <w:pStyle w:val="Para 01"/>
        <w:keepLines w:val="on"/>
      </w:pPr>
      <w:r>
        <w:t>hiệu quả thị trường và, 6–7</w:t>
      </w:r>
      <w:bookmarkEnd w:id="9837"/>
    </w:p>
    <w:p>
      <w:bookmarkStart w:id="9838" w:name="motives_for_private_firm__781_78"/>
      <w:pPr>
        <w:pStyle w:val="Para 01"/>
        <w:keepLines w:val="on"/>
      </w:pPr>
      <w:r>
        <w:t>động cơ định giá doanh nghiệp tư nhân, 781–786</w:t>
      </w:r>
      <w:bookmarkEnd w:id="9838"/>
    </w:p>
    <w:p>
      <w:bookmarkStart w:id="9839" w:name="myths_about__2_6"/>
      <w:pPr>
        <w:pStyle w:val="Para 01"/>
        <w:keepLines w:val="on"/>
      </w:pPr>
      <w:r>
        <w:t>những lầm tưởng về, 2–6</w:t>
      </w:r>
      <w:bookmarkEnd w:id="9839"/>
    </w:p>
    <w:p>
      <w:bookmarkStart w:id="9840" w:name="philosophical_basis_for__1"/>
      <w:pPr>
        <w:pStyle w:val="Para 01"/>
        <w:keepLines w:val="on"/>
      </w:pPr>
      <w:r>
        <w:t>cơ sở triết học cho, 1</w:t>
      </w:r>
      <w:bookmarkEnd w:id="9840"/>
    </w:p>
    <w:p>
      <w:bookmarkStart w:id="9841" w:name="precash_and_postcash__788"/>
      <w:pPr>
        <w:pStyle w:val="Para 01"/>
        <w:keepLines w:val="on"/>
      </w:pPr>
      <w:r>
        <w:t>tiền trước và tiền sau (precash and postcash), 788</w:t>
      </w:r>
      <w:bookmarkEnd w:id="9841"/>
    </w:p>
    <w:p>
      <w:bookmarkStart w:id="9842" w:name="pricing_relative__21_25"/>
      <w:pPr>
        <w:pStyle w:val="Para 01"/>
        <w:keepLines w:val="on"/>
      </w:pPr>
      <w:r>
        <w:t>định giá/định giá tương đối (pricing/relative), 21–25</w:t>
      </w:r>
      <w:bookmarkEnd w:id="9842"/>
    </w:p>
    <w:p>
      <w:bookmarkStart w:id="9843" w:name="pricing_vs___2"/>
      <w:pPr>
        <w:pStyle w:val="Para 01"/>
        <w:keepLines w:val="on"/>
      </w:pPr>
      <w:r>
        <w:t>định giá so với, 2</w:t>
      </w:r>
      <w:bookmarkEnd w:id="9843"/>
    </w:p>
    <w:p>
      <w:bookmarkStart w:id="9844" w:name="reasons_for_conducting__1068"/>
      <w:pPr>
        <w:pStyle w:val="Para 01"/>
        <w:keepLines w:val="on"/>
      </w:pPr>
      <w:r>
        <w:t>lý do tiến hành, 1068</w:t>
      </w:r>
      <w:bookmarkEnd w:id="9844"/>
    </w:p>
    <w:p>
      <w:bookmarkStart w:id="9845" w:name="risk_premium_and_mission_for__18"/>
      <w:pPr>
        <w:pStyle w:val="Para 01"/>
        <w:keepLines w:val="on"/>
      </w:pPr>
      <w:r>
        <w:t>phần bù rủi ro và sứ mệnh cho, 182</w:t>
      </w:r>
      <w:bookmarkEnd w:id="9845"/>
    </w:p>
    <w:p>
      <w:bookmarkStart w:id="9846" w:name="role_of__7_10"/>
      <w:pPr>
        <w:pStyle w:val="Para 01"/>
        <w:keepLines w:val="on"/>
      </w:pPr>
      <w:r>
        <w:t>vai trò của, 7–10</w:t>
      </w:r>
      <w:bookmarkEnd w:id="9846"/>
    </w:p>
    <w:p>
      <w:bookmarkStart w:id="9847" w:name="scenario_analysis_for__1035_1"/>
      <w:pPr>
        <w:pStyle w:val="Para 01"/>
        <w:keepLines w:val="on"/>
      </w:pPr>
      <w:r>
        <w:t>phân tích tình huống cho, 1035</w:t>
      </w:r>
      <w:bookmarkEnd w:id="9847"/>
    </w:p>
    <w:p>
      <w:bookmarkStart w:id="9848" w:name="separate__482_484"/>
      <w:pPr>
        <w:pStyle w:val="Para 01"/>
        <w:keepLines w:val="on"/>
      </w:pPr>
      <w:r>
        <w:t>riêng biệt, 482–484</w:t>
      </w:r>
      <w:bookmarkEnd w:id="9848"/>
    </w:p>
    <w:p>
      <w:bookmarkStart w:id="9849" w:name="status_quo__806_808"/>
      <w:pPr>
        <w:pStyle w:val="Para 01"/>
        <w:keepLines w:val="on"/>
      </w:pPr>
      <w:r>
        <w:t>nguyên trạng (status quo), 806–808</w:t>
      </w:r>
      <w:bookmarkEnd w:id="9849"/>
    </w:p>
    <w:p>
      <w:bookmarkStart w:id="9850" w:name="value_and_forecasts_from_inputs"/>
      <w:pPr>
        <w:pStyle w:val="Para 01"/>
        <w:keepLines w:val="on"/>
      </w:pPr>
      <w:r>
        <w:t>giá trị và dự báo từ các yếu tố đầu vào cho, 377–379</w:t>
      </w:r>
      <w:bookmarkEnd w:id="9850"/>
    </w:p>
    <w:p>
      <w:bookmarkStart w:id="9851" w:name="by_venture_capitalists__736_738"/>
      <w:pPr>
        <w:pStyle w:val="Para 01"/>
        <w:keepLines w:val="on"/>
      </w:pPr>
      <w:r>
        <w:t>bởi các nhà đầu tư mạo hiểm (venture capitalists), 736–738</w:t>
      </w:r>
      <w:bookmarkEnd w:id="9851"/>
    </w:p>
    <w:p>
      <w:bookmarkStart w:id="9852" w:name="Valuation_inputs__dividend_disco"/>
      <w:pPr>
        <w:pStyle w:val="Para 01"/>
        <w:keepLines w:val="on"/>
      </w:pPr>
      <w:r>
        <w:t>Các yếu tố đầu vào của định giá (Valuation inputs)</w:t>
      </w:r>
      <w:bookmarkEnd w:id="9852"/>
    </w:p>
    <w:p>
      <w:bookmarkStart w:id="9853" w:name="dividend_discount_models__661_66"/>
      <w:pPr>
        <w:pStyle w:val="Para 01"/>
        <w:keepLines w:val="on"/>
      </w:pPr>
      <w:r>
        <w:t>mô hình chiết khấu cổ tức (dividend discount models), 661–664</w:t>
      </w:r>
      <w:bookmarkEnd w:id="9853"/>
    </w:p>
    <w:p>
      <w:bookmarkStart w:id="9854" w:name="for_equity_as_option__967_969"/>
      <w:pPr>
        <w:pStyle w:val="Para 01"/>
        <w:keepLines w:val="on"/>
      </w:pPr>
      <w:r>
        <w:t>cho vốn chủ sở hữu như một quyền chọn (equity as option), 967–969</w:t>
      </w:r>
      <w:bookmarkEnd w:id="9854"/>
    </w:p>
    <w:p>
      <w:bookmarkStart w:id="9855" w:name="excess_returns_model__672_673"/>
      <w:pPr>
        <w:pStyle w:val="Para 01"/>
        <w:keepLines w:val="on"/>
      </w:pPr>
      <w:r>
        <w:t>mô hình lợi nhuận vượt trội (excess returns model), 672–673</w:t>
      </w:r>
      <w:bookmarkEnd w:id="9855"/>
    </w:p>
    <w:p>
      <w:bookmarkStart w:id="9856" w:name="for_expansion_options__936_938"/>
      <w:pPr>
        <w:pStyle w:val="Para 01"/>
        <w:keepLines w:val="on"/>
      </w:pPr>
      <w:r>
        <w:t>cho các quyền chọn mở rộng (expansion options), 936–938, 946–947</w:t>
      </w:r>
      <w:bookmarkEnd w:id="9856"/>
    </w:p>
    <w:p>
      <w:bookmarkStart w:id="9857" w:name="for_financing_flexibility__950"/>
      <w:pPr>
        <w:pStyle w:val="Para 01"/>
        <w:keepLines w:val="on"/>
      </w:pPr>
      <w:r>
        <w:t>cho tính linh hoạt trong tài trợ vốn (financing flexibility), 950</w:t>
      </w:r>
      <w:bookmarkEnd w:id="9857"/>
    </w:p>
    <w:p>
      <w:bookmarkStart w:id="9858" w:name="for_natural_resource_option__926_1"/>
      <w:pPr>
        <w:pStyle w:val="Para 01"/>
        <w:keepLines w:val="on"/>
      </w:pPr>
      <w:r>
        <w:t>cho quyền chọn tài nguyên thiên nhiên (natural resource option), 926–927, 929</w:t>
      </w:r>
      <w:bookmarkEnd w:id="9858"/>
    </w:p>
    <w:p>
      <w:bookmarkStart w:id="9859" w:name="for_option_pricing_of_assets__93"/>
      <w:pPr>
        <w:pStyle w:val="Para 01"/>
        <w:keepLines w:val="on"/>
      </w:pPr>
      <w:r>
        <w:t>cho việc định giá quyền chọn đối với tài sản (option pricing of assets), 931–932</w:t>
      </w:r>
      <w:bookmarkEnd w:id="9859"/>
    </w:p>
    <w:p>
      <w:bookmarkStart w:id="9860" w:name="at_private_firms__758_781"/>
      <w:pPr>
        <w:pStyle w:val="Para 01"/>
        <w:keepLines w:val="on"/>
      </w:pPr>
      <w:r>
        <w:t>tại các công ty tư nhân (private firms), 758–781</w:t>
      </w:r>
      <w:bookmarkEnd w:id="9860"/>
    </w:p>
    <w:p>
      <w:bookmarkStart w:id="9861" w:name="for_project_delay_option__912_91"/>
      <w:pPr>
        <w:pStyle w:val="Para 01"/>
        <w:keepLines w:val="on"/>
      </w:pPr>
      <w:r>
        <w:t>cho quyền chọn trì hoãn dự án (project delay option), 912–915</w:t>
      </w:r>
      <w:bookmarkEnd w:id="9861"/>
    </w:p>
    <w:p>
      <w:bookmarkStart w:id="9863" w:name="Valuation_models__asset_based__2"/>
      <w:pPr>
        <w:pStyle w:val="Para 01"/>
        <w:keepLines w:val="on"/>
      </w:pPr>
      <w:r>
        <w:t>Các mô hình định giá (Valuation models)</w:t>
      </w:r>
      <w:bookmarkEnd w:id="9863"/>
    </w:p>
    <w:p>
      <w:bookmarkStart w:id="9864" w:name="asset_based__24_25"/>
      <w:pPr>
        <w:pStyle w:val="Para 01"/>
        <w:keepLines w:val="on"/>
      </w:pPr>
      <w:r>
        <w:t>dựa trên tài sản (asset-based), 24–25</w:t>
      </w:r>
      <w:bookmarkEnd w:id="9864"/>
    </w:p>
    <w:p>
      <w:bookmarkStart w:id="9865" w:name="choices_in__1065_1066"/>
      <w:pPr>
        <w:pStyle w:val="Para 01"/>
        <w:keepLines w:val="on"/>
      </w:pPr>
      <w:r>
        <w:t>các lựa chọn trong đó, 1065–1066</w:t>
      </w:r>
      <w:bookmarkEnd w:id="9865"/>
    </w:p>
    <w:p>
      <w:bookmarkStart w:id="9866" w:name="selecting__1066_1069"/>
      <w:pPr>
        <w:pStyle w:val="Para 01"/>
        <w:keepLines w:val="on"/>
      </w:pPr>
      <w:r>
        <w:t>lựa chọn mô hình, 1066–1069</w:t>
      </w:r>
      <w:bookmarkEnd w:id="9866"/>
    </w:p>
    <w:p>
      <w:bookmarkStart w:id="9867" w:name="Valuation_story__291"/>
      <w:pPr>
        <w:pStyle w:val="Para 01"/>
        <w:keepLines w:val="on"/>
      </w:pPr>
      <w:r>
        <w:t>Câu chuyện định giá (Valuation story), 291</w:t>
      </w:r>
      <w:bookmarkEnd w:id="9867"/>
    </w:p>
    <w:p>
      <w:bookmarkStart w:id="9868" w:name="Value__of_brand_name__625_632_ef"/>
      <w:pPr>
        <w:pStyle w:val="Para 01"/>
        <w:keepLines w:val="on"/>
      </w:pPr>
      <w:r>
        <w:t>Giá trị (Value)</w:t>
      </w:r>
      <w:bookmarkEnd w:id="9868"/>
    </w:p>
    <w:p>
      <w:bookmarkStart w:id="9869" w:name="of_brand_name__625_632"/>
      <w:pPr>
        <w:pStyle w:val="Para 01"/>
        <w:keepLines w:val="on"/>
      </w:pPr>
      <w:r>
        <w:t>của tên thương hiệu (brand name), 625–632</w:t>
      </w:r>
      <w:bookmarkEnd w:id="9869"/>
    </w:p>
    <w:p>
      <w:bookmarkStart w:id="9870" w:name="effects_of_tax_rate_on__272_274"/>
      <w:pPr>
        <w:pStyle w:val="Para 01"/>
        <w:keepLines w:val="on"/>
      </w:pPr>
      <w:r>
        <w:t>ảnh hưởng của thuế suất lên giá trị, 272–274</w:t>
      </w:r>
      <w:bookmarkEnd w:id="9870"/>
    </w:p>
    <w:p>
      <w:bookmarkStart w:id="9871" w:name="of_equity__660"/>
      <w:pPr>
        <w:pStyle w:val="Para 01"/>
        <w:keepLines w:val="on"/>
      </w:pPr>
      <w:r>
        <w:t>của vốn chủ sở hữu (equity), 660</w:t>
      </w:r>
      <w:bookmarkEnd w:id="9871"/>
    </w:p>
    <w:p>
      <w:bookmarkStart w:id="9872" w:name="of_firm__660__963_964"/>
      <w:pPr>
        <w:pStyle w:val="Para 01"/>
        <w:keepLines w:val="on"/>
      </w:pPr>
      <w:r>
        <w:t>của công ty (firm), 660, 963–964</w:t>
      </w:r>
      <w:bookmarkEnd w:id="9872"/>
    </w:p>
    <w:p>
      <w:bookmarkStart w:id="9873" w:name="marketing_strategy_and__624_626"/>
      <w:pPr>
        <w:pStyle w:val="Para 01"/>
        <w:keepLines w:val="on"/>
      </w:pPr>
      <w:r>
        <w:t>chiến lược tiếp thị (marketing strategy) và giá trị, 624–626</w:t>
      </w:r>
      <w:bookmarkEnd w:id="9873"/>
    </w:p>
    <w:p>
      <w:bookmarkStart w:id="9874" w:name="of_optionality__909_910"/>
      <w:pPr>
        <w:pStyle w:val="Para 01"/>
        <w:keepLines w:val="on"/>
      </w:pPr>
      <w:r>
        <w:t>giá trị của tính tùy chọn (optionality), 909–910</w:t>
      </w:r>
      <w:bookmarkEnd w:id="9874"/>
    </w:p>
    <w:p>
      <w:bookmarkStart w:id="9875" w:name="of_real_estate_relative_to_other"/>
      <w:pPr>
        <w:pStyle w:val="Para 01"/>
        <w:keepLines w:val="on"/>
      </w:pPr>
      <w:r>
        <w:t>giá trị của bất động sản (real estate) so với các loại tài sản khác, 838–839</w:t>
      </w:r>
      <w:bookmarkEnd w:id="9875"/>
    </w:p>
    <w:p>
      <w:bookmarkStart w:id="9876" w:name="risk_adjusted__1045_1047__1057_1"/>
      <w:pPr>
        <w:pStyle w:val="Para 01"/>
        <w:keepLines w:val="on"/>
      </w:pPr>
      <w:r>
        <w:t>điều chỉnh theo rủi ro, 1045–1047, 1057–1058</w:t>
      </w:r>
      <w:bookmarkEnd w:id="9876"/>
    </w:p>
    <w:p>
      <w:bookmarkStart w:id="9877" w:name="in_story_based_valuation__377_37"/>
      <w:pPr>
        <w:pStyle w:val="Para 01"/>
        <w:keepLines w:val="on"/>
      </w:pPr>
      <w:r>
        <w:t>trong định giá dựa trên câu chuyện, 377–379</w:t>
      </w:r>
      <w:bookmarkEnd w:id="9877"/>
    </w:p>
    <w:p>
      <w:bookmarkStart w:id="9878" w:name="in_takeovers__797_799_1"/>
      <w:pPr>
        <w:pStyle w:val="Para 01"/>
        <w:keepLines w:val="on"/>
      </w:pPr>
      <w:r>
        <w:t>trong các thương vụ mua lại, 797–799</w:t>
      </w:r>
      <w:bookmarkEnd w:id="9878"/>
    </w:p>
    <w:p>
      <w:bookmarkStart w:id="9879" w:name="Value_creating_actions__977_978"/>
      <w:pPr>
        <w:pStyle w:val="Para 01"/>
        <w:keepLines w:val="on"/>
      </w:pPr>
      <w:r>
        <w:t>Các hành động tạo giá trị, 977–978, 996–997</w:t>
      </w:r>
      <w:bookmarkEnd w:id="9879"/>
    </w:p>
    <w:p>
      <w:bookmarkStart w:id="9880" w:name="Value_drivers__for_young_or_star"/>
      <w:pPr>
        <w:pStyle w:val="Para 01"/>
        <w:keepLines w:val="on"/>
      </w:pPr>
      <w:r>
        <w:t>Các động lực giá trị, đối với doanh nghiệp non trẻ hoặc mới khởi nghiệp, 750–751, 754</w:t>
      </w:r>
      <w:bookmarkEnd w:id="9880"/>
    </w:p>
    <w:p>
      <w:bookmarkStart w:id="9881" w:name="Value_enhancement__buy_in_on__10"/>
      <w:pPr>
        <w:pStyle w:val="Para 01"/>
        <w:keepLines w:val="on"/>
      </w:pPr>
      <w:r>
        <w:t>Gia tăng giá trị</w:t>
      </w:r>
      <w:bookmarkEnd w:id="9881"/>
    </w:p>
    <w:p>
      <w:bookmarkStart w:id="9882" w:name="buy_in_on__1002"/>
      <w:pPr>
        <w:pStyle w:val="Para 01"/>
        <w:keepLines w:val="on"/>
      </w:pPr>
      <w:r>
        <w:t>sự đồng thuận về, 1002</w:t>
      </w:r>
      <w:bookmarkEnd w:id="9882"/>
    </w:p>
    <w:p>
      <w:bookmarkStart w:id="9883" w:name="cash_flow_return_on_investment_a_3"/>
      <w:pPr>
        <w:pStyle w:val="Para 01"/>
        <w:keepLines w:val="on"/>
      </w:pPr>
      <w:r>
        <w:t>phương pháp tỷ suất sinh lợi dòng tiền trên vốn đầu tư, 1023–1028</w:t>
      </w:r>
      <w:bookmarkEnd w:id="9883"/>
    </w:p>
    <w:p>
      <w:bookmarkStart w:id="9884" w:name="components_of__1028_1029"/>
      <w:pPr>
        <w:pStyle w:val="Para 01"/>
        <w:keepLines w:val="on"/>
      </w:pPr>
      <w:r>
        <w:t>các thành phần của, 1028–1029</w:t>
      </w:r>
      <w:bookmarkEnd w:id="9884"/>
    </w:p>
    <w:p>
      <w:bookmarkStart w:id="9885" w:name="considerations_in__1001_1002"/>
      <w:pPr>
        <w:pStyle w:val="Para 01"/>
        <w:keepLines w:val="on"/>
      </w:pPr>
      <w:r>
        <w:t>những điều cần cân nhắc trong, 1001–1002</w:t>
      </w:r>
      <w:bookmarkEnd w:id="9885"/>
    </w:p>
    <w:p>
      <w:bookmarkStart w:id="9886" w:name="economic_value_added_approach_to"/>
      <w:pPr>
        <w:pStyle w:val="Para 01"/>
        <w:keepLines w:val="on"/>
      </w:pPr>
      <w:r>
        <w:t>phương pháp giá trị kinh tế gia tăng, 1008–1023</w:t>
      </w:r>
      <w:bookmarkEnd w:id="9886"/>
    </w:p>
    <w:p>
      <w:bookmarkStart w:id="9887" w:name="firm_specific__1002"/>
      <w:pPr>
        <w:pStyle w:val="Para 01"/>
        <w:keepLines w:val="on"/>
      </w:pPr>
      <w:r>
        <w:t>đặc thù của doanh nghiệp, 1002</w:t>
      </w:r>
      <w:bookmarkEnd w:id="9887"/>
    </w:p>
    <w:p>
      <w:bookmarkStart w:id="9888" w:name="increasing_cash_flows_from_exist"/>
      <w:pPr>
        <w:pStyle w:val="Para 01"/>
        <w:keepLines w:val="on"/>
      </w:pPr>
      <w:r>
        <w:t>tăng dòng tiền từ các khoản đầu tư hiện hữu, 978–986</w:t>
      </w:r>
      <w:bookmarkEnd w:id="9888"/>
    </w:p>
    <w:p>
      <w:bookmarkStart w:id="9889" w:name="increasing_expected_growth__986"/>
      <w:pPr>
        <w:pStyle w:val="Para 01"/>
        <w:keepLines w:val="on"/>
      </w:pPr>
      <w:r>
        <w:t>tăng mức tăng trưởng kỳ vọng, 986–990</w:t>
      </w:r>
      <w:bookmarkEnd w:id="9889"/>
    </w:p>
    <w:p>
      <w:bookmarkStart w:id="9890" w:name="lenghtening_period_of_high_growt"/>
      <w:pPr>
        <w:pStyle w:val="Para 01"/>
        <w:keepLines w:val="on"/>
      </w:pPr>
      <w:r>
        <w:t>kéo dài giai đoạn tăng trưởng cao, 990–994</w:t>
      </w:r>
      <w:bookmarkEnd w:id="9890"/>
    </w:p>
    <w:p>
      <w:bookmarkStart w:id="9891" w:name="overview_of__978"/>
      <w:pPr>
        <w:pStyle w:val="Para 01"/>
        <w:keepLines w:val="on"/>
      </w:pPr>
      <w:r>
        <w:t>tổng quan về, 978</w:t>
      </w:r>
      <w:bookmarkEnd w:id="9891"/>
    </w:p>
    <w:p>
      <w:bookmarkStart w:id="9892" w:name="reducing_the_cost_of_financing"/>
      <w:pPr>
        <w:pStyle w:val="Para 01"/>
        <w:keepLines w:val="on"/>
      </w:pPr>
      <w:r>
        <w:t>giảm chi phí tài trợ vốn, 995–996</w:t>
      </w:r>
      <w:bookmarkEnd w:id="9892"/>
    </w:p>
    <w:p>
      <w:bookmarkStart w:id="9893" w:name="responsibility_for__1001_1002"/>
      <w:pPr>
        <w:pStyle w:val="Para 01"/>
        <w:keepLines w:val="on"/>
      </w:pPr>
      <w:r>
        <w:t>trách nhiệm đối với, 1001–1002</w:t>
      </w:r>
      <w:bookmarkEnd w:id="9893"/>
    </w:p>
    <w:p>
      <w:bookmarkStart w:id="9894" w:name="value_creating_vs__value_netural"/>
      <w:pPr>
        <w:pStyle w:val="Para 01"/>
        <w:keepLines w:val="on"/>
      </w:pPr>
      <w:r>
        <w:t>các hành động tạo giá trị so với các hành động trung tính về giá trị và, 977–978</w:t>
      </w:r>
      <w:bookmarkEnd w:id="9894"/>
    </w:p>
    <w:p>
      <w:bookmarkStart w:id="9895" w:name="Value_enhancement_chain__996_100"/>
      <w:pPr>
        <w:pStyle w:val="Para 01"/>
        <w:keepLines w:val="on"/>
      </w:pPr>
      <w:r>
        <w:t>Chuỗi gia tăng giá trị, 996–1001</w:t>
      </w:r>
      <w:bookmarkEnd w:id="9895"/>
    </w:p>
    <w:p>
      <w:bookmarkStart w:id="9896" w:name="Value_multiples__577"/>
      <w:pPr>
        <w:pStyle w:val="Para 01"/>
        <w:keepLines w:val="on"/>
      </w:pPr>
      <w:r>
        <w:t>Các bội số giá trị, 577</w:t>
      </w:r>
      <w:bookmarkEnd w:id="9896"/>
    </w:p>
    <w:p>
      <w:bookmarkStart w:id="9897" w:name="Value_neutral_actions__977_978"/>
      <w:pPr>
        <w:pStyle w:val="Para 01"/>
        <w:keepLines w:val="on"/>
      </w:pPr>
      <w:r>
        <w:t>Các hành động trung tính về giá trị, 977–978, 996–997</w:t>
      </w:r>
      <w:bookmarkEnd w:id="9897"/>
    </w:p>
    <w:p>
      <w:bookmarkStart w:id="9898" w:name="Value_to_book_ratios__analysis_o"/>
      <w:pPr>
        <w:pStyle w:val="Para 01"/>
        <w:keepLines w:val="on"/>
      </w:pPr>
      <w:r>
        <w:t>Tỷ lệ giá trị trên giá trị sổ sách</w:t>
      </w:r>
      <w:bookmarkEnd w:id="9898"/>
    </w:p>
    <w:p>
      <w:bookmarkStart w:id="9899" w:name="analysis_of__605_606"/>
      <w:pPr>
        <w:pStyle w:val="Para 01"/>
        <w:keepLines w:val="on"/>
      </w:pPr>
      <w:r>
        <w:t>phân tích về, 605–606</w:t>
      </w:r>
      <w:bookmarkEnd w:id="9899"/>
    </w:p>
    <w:p>
      <w:bookmarkStart w:id="9900" w:name="application_of__607_608"/>
      <w:pPr>
        <w:pStyle w:val="Para 01"/>
        <w:keepLines w:val="on"/>
      </w:pPr>
      <w:r>
        <w:t>ứng dụng của, 607–608</w:t>
      </w:r>
      <w:bookmarkEnd w:id="9900"/>
    </w:p>
    <w:p>
      <w:bookmarkStart w:id="9901" w:name="characteristics_of__604_605"/>
      <w:pPr>
        <w:pStyle w:val="Para 01"/>
        <w:keepLines w:val="on"/>
      </w:pPr>
      <w:r>
        <w:t>đặc điểm của, 604–605</w:t>
      </w:r>
      <w:bookmarkEnd w:id="9901"/>
    </w:p>
    <w:p>
      <w:bookmarkStart w:id="9902" w:name="explanation_of__603_604"/>
      <w:pPr>
        <w:pStyle w:val="Para 01"/>
        <w:keepLines w:val="on"/>
      </w:pPr>
      <w:r>
        <w:t>giải thích về, 603–604</w:t>
      </w:r>
      <w:bookmarkEnd w:id="9902"/>
    </w:p>
    <w:p>
      <w:bookmarkStart w:id="9903" w:name="Value_to_sales__VS__ratio__517"/>
      <w:pPr>
        <w:pStyle w:val="Para 01"/>
        <w:keepLines w:val="on"/>
      </w:pPr>
      <w:r>
        <w:t>Tỷ lệ Giá trị trên Doanh số (Value-to-sales – VS), 517</w:t>
      </w:r>
      <w:bookmarkEnd w:id="9903"/>
    </w:p>
    <w:p>
      <w:bookmarkStart w:id="9904" w:name="Vans_Shoes__208_210"/>
      <w:pPr>
        <w:pStyle w:val="Para 01"/>
        <w:keepLines w:val="on"/>
      </w:pPr>
      <w:r>
        <w:t>Vans Shoes, 208–210</w:t>
      </w:r>
      <w:bookmarkEnd w:id="9904"/>
    </w:p>
    <w:p>
      <w:bookmarkStart w:id="9905" w:name="Variables__companion__525__623_6"/>
      <w:pPr>
        <w:pStyle w:val="Para 01"/>
        <w:keepLines w:val="on"/>
      </w:pPr>
      <w:r>
        <w:t>Biến số, đi kèm, 525, 623–624</w:t>
      </w:r>
      <w:bookmarkEnd w:id="9905"/>
    </w:p>
    <w:p>
      <w:bookmarkStart w:id="9906" w:name="Variance__estimating__939"/>
      <w:pPr>
        <w:pStyle w:val="Para 01"/>
        <w:keepLines w:val="on"/>
      </w:pPr>
      <w:r>
        <w:t>Phương sai, ước tính, 939</w:t>
      </w:r>
      <w:bookmarkEnd w:id="9906"/>
    </w:p>
    <w:p>
      <w:bookmarkStart w:id="9907" w:name="Venture_capital__private_equity"/>
      <w:pPr>
        <w:pStyle w:val="Para 01"/>
        <w:keepLines w:val="on"/>
      </w:pPr>
      <w:r>
        <w:t>Vốn đầu tư mạo hiểm (Venture capital)</w:t>
      </w:r>
      <w:bookmarkEnd w:id="9907"/>
    </w:p>
    <w:p>
      <w:bookmarkStart w:id="9908" w:name="private_equity_vs___738"/>
      <w:pPr>
        <w:pStyle w:val="Para 01"/>
        <w:keepLines w:val="on"/>
      </w:pPr>
      <w:r>
        <w:t>so với vốn cổ phần tư nhân (private equity), 738</w:t>
      </w:r>
      <w:bookmarkEnd w:id="9908"/>
    </w:p>
    <w:p>
      <w:bookmarkStart w:id="9909" w:name="returns_on__764"/>
      <w:pPr>
        <w:pStyle w:val="Para 01"/>
        <w:keepLines w:val="on"/>
      </w:pPr>
      <w:r>
        <w:t>lợi nhuận từ, 764</w:t>
      </w:r>
      <w:bookmarkEnd w:id="9909"/>
    </w:p>
    <w:p>
      <w:bookmarkStart w:id="9910" w:name="stakes_in_private_firms_for__786"/>
      <w:pPr>
        <w:pStyle w:val="Para 01"/>
        <w:keepLines w:val="on"/>
      </w:pPr>
      <w:r>
        <w:t>cổ phần trong các công ty tư nhân cho, 786–788</w:t>
      </w:r>
      <w:bookmarkEnd w:id="9910"/>
    </w:p>
    <w:p>
      <w:bookmarkStart w:id="9911" w:name="valuation_for__736_738"/>
      <w:pPr>
        <w:pStyle w:val="Para 01"/>
        <w:keepLines w:val="on"/>
      </w:pPr>
      <w:r>
        <w:t>định giá cho, 736–738</w:t>
      </w:r>
      <w:bookmarkEnd w:id="9911"/>
    </w:p>
    <w:p>
      <w:bookmarkStart w:id="9912" w:name="Vesting__option__504_505"/>
      <w:pPr>
        <w:pStyle w:val="Para 01"/>
        <w:keepLines w:val="on"/>
      </w:pPr>
      <w:r>
        <w:t>Thời hạn trao quyền (Vesting), quyền chọn, 504–505</w:t>
      </w:r>
      <w:bookmarkEnd w:id="9912"/>
    </w:p>
    <w:p>
      <w:bookmarkStart w:id="9913" w:name="Vodafone__400__585_586"/>
      <w:pPr>
        <w:pStyle w:val="Para 01"/>
        <w:keepLines w:val="on"/>
      </w:pPr>
      <w:r>
        <w:t>Vodafone, 400, 585–586</w:t>
      </w:r>
      <w:bookmarkEnd w:id="9913"/>
    </w:p>
    <w:p>
      <w:bookmarkStart w:id="9914" w:name="Volatile_expenses_and_income__25"/>
      <w:pPr>
        <w:pStyle w:val="Para 01"/>
        <w:keepLines w:val="on"/>
      </w:pPr>
      <w:r>
        <w:t>Chi phí và thu nhập biến động, 259</w:t>
      </w:r>
      <w:bookmarkEnd w:id="9914"/>
    </w:p>
    <w:p>
      <w:bookmarkStart w:id="9915" w:name="Volatility__Black_Scholes_model"/>
      <w:pPr>
        <w:pStyle w:val="Para 01"/>
        <w:keepLines w:val="on"/>
      </w:pPr>
      <w:r>
        <w:t>Độ biến động (Volatility)</w:t>
      </w:r>
      <w:bookmarkEnd w:id="9915"/>
    </w:p>
    <w:p>
      <w:bookmarkStart w:id="9916" w:name="Black_Scholes_model_and__100"/>
      <w:pPr>
        <w:pStyle w:val="Para 01"/>
        <w:keepLines w:val="on"/>
      </w:pPr>
      <w:r>
        <w:t>Mô hình Black–Scholes và, 100</w:t>
      </w:r>
      <w:bookmarkEnd w:id="9916"/>
    </w:p>
    <w:p>
      <w:bookmarkStart w:id="9917" w:name="earnings__264_265__534"/>
      <w:pPr>
        <w:pStyle w:val="Para 01"/>
        <w:keepLines w:val="on"/>
      </w:pPr>
      <w:r>
        <w:t>biến động thu nhập, 264–265, 534</w:t>
      </w:r>
      <w:bookmarkEnd w:id="9917"/>
    </w:p>
    <w:p>
      <w:bookmarkStart w:id="9918" w:name="equity_value_and__964_965"/>
      <w:pPr>
        <w:pStyle w:val="Para 01"/>
        <w:keepLines w:val="on"/>
      </w:pPr>
      <w:r>
        <w:t>giá trị vốn cổ phần và, 964–965</w:t>
      </w:r>
      <w:bookmarkEnd w:id="9918"/>
    </w:p>
    <w:p>
      <w:bookmarkStart w:id="9919" w:name="Volkswagen__415_416"/>
      <w:pPr>
        <w:pStyle w:val="Para 01"/>
        <w:keepLines w:val="on"/>
      </w:pPr>
      <w:r>
        <w:t>Volkswagen, 415–416</w:t>
      </w:r>
      <w:bookmarkEnd w:id="9919"/>
    </w:p>
    <w:p>
      <w:bookmarkStart w:id="9920" w:name="Voting_rights__510_511"/>
      <w:pPr>
        <w:pStyle w:val="Para 01"/>
        <w:keepLines w:val="on"/>
      </w:pPr>
      <w:r>
        <w:t>Quyền biểu quyết, 510–511</w:t>
      </w:r>
      <w:bookmarkEnd w:id="9920"/>
    </w:p>
    <w:p>
      <w:bookmarkStart w:id="9921" w:name="Voting_shares__785_786"/>
      <w:pPr>
        <w:pStyle w:val="Para 01"/>
        <w:keepLines w:val="on"/>
      </w:pPr>
      <w:r>
        <w:t>Cổ phiếu có quyền biểu quyết, 785–786</w:t>
      </w:r>
      <w:bookmarkEnd w:id="9921"/>
    </w:p>
    <w:p>
      <w:bookmarkStart w:id="9922" w:name="Vulture_investing__972"/>
      <w:pPr>
        <w:pStyle w:val="Para 01"/>
        <w:keepLines w:val="on"/>
      </w:pPr>
      <w:r>
        <w:t>Đầu tư kiểu kền kền (Vulture investing), 972</w:t>
      </w:r>
      <w:bookmarkEnd w:id="9922"/>
    </w:p>
    <w:p>
      <w:bookmarkStart w:id="9923" w:name="W"/>
      <w:bookmarkStart w:id="9924" w:name="W___Warrants__505_Weak_form_effi"/>
      <w:pPr>
        <w:keepNext/>
        <w:pStyle w:val="Para 50"/>
        <w:keepLines w:val="on"/>
      </w:pPr>
      <w:r>
        <w:t>W</w:t>
      </w:r>
      <w:bookmarkEnd w:id="9923"/>
      <w:bookmarkEnd w:id="9924"/>
    </w:p>
    <w:p>
      <w:bookmarkStart w:id="9925" w:name="Warrants__505"/>
      <w:pPr>
        <w:pStyle w:val="Para 01"/>
        <w:keepLines w:val="on"/>
      </w:pPr>
      <w:r>
        <w:t>Chứng quyền (Warrants), 505</w:t>
      </w:r>
      <w:bookmarkEnd w:id="9925"/>
    </w:p>
    <w:p>
      <w:bookmarkStart w:id="9926" w:name="Weak_form_efficiency__114"/>
      <w:pPr>
        <w:pStyle w:val="Para 01"/>
        <w:keepLines w:val="on"/>
      </w:pPr>
      <w:r>
        <w:t>Hiệu quả dạng yếu (Weak form efficiency), 114</w:t>
      </w:r>
      <w:bookmarkEnd w:id="9926"/>
    </w:p>
    <w:p>
      <w:bookmarkStart w:id="9927" w:name="Weekend_effect__144_146"/>
      <w:pPr>
        <w:pStyle w:val="Para 01"/>
        <w:keepLines w:val="on"/>
      </w:pPr>
      <w:r>
        <w:t>Hiệu ứng cuối tuần, 144–146</w:t>
      </w:r>
      <w:bookmarkEnd w:id="9927"/>
    </w:p>
    <w:p>
      <w:bookmarkStart w:id="9928" w:name="Weighted_average__34"/>
      <w:pPr>
        <w:pStyle w:val="Para 01"/>
        <w:keepLines w:val="on"/>
      </w:pPr>
      <w:r>
        <w:t>Bình quân gia quyền, 34</w:t>
      </w:r>
      <w:bookmarkEnd w:id="9928"/>
    </w:p>
    <w:p>
      <w:bookmarkStart w:id="9929" w:name="Weighted_average_cost_of_capital"/>
      <w:pPr>
        <w:pStyle w:val="Para 01"/>
        <w:keepLines w:val="on"/>
      </w:pPr>
      <w:r>
        <w:t>Chi phí vốn bình quân gia quyền (WACC), 441</w:t>
      </w:r>
      <w:bookmarkEnd w:id="9929"/>
    </w:p>
    <w:p>
      <w:bookmarkStart w:id="9930" w:name="Wells_Fargo__1037_1038"/>
      <w:pPr>
        <w:pStyle w:val="Para 01"/>
        <w:keepLines w:val="on"/>
      </w:pPr>
      <w:r>
        <w:t>Wells Fargo, 1037–1038</w:t>
      </w:r>
      <w:bookmarkEnd w:id="9930"/>
    </w:p>
    <w:p>
      <w:bookmarkStart w:id="9931" w:name="Whispered_earnings__256_257"/>
      <w:pPr>
        <w:pStyle w:val="Para 01"/>
        <w:keepLines w:val="on"/>
      </w:pPr>
      <w:r>
        <w:t>Lợi nhuận phát ngôn (whispered earnings), 256–257</w:t>
      </w:r>
      <w:bookmarkEnd w:id="9931"/>
    </w:p>
    <w:p>
      <w:bookmarkStart w:id="9932" w:name="Whole_Foods_Markets__618_619__62"/>
      <w:pPr>
        <w:pStyle w:val="Para 01"/>
        <w:keepLines w:val="on"/>
      </w:pPr>
      <w:r>
        <w:t>Whole Foods Markets, 618–619, 626, 637–641</w:t>
      </w:r>
      <w:bookmarkEnd w:id="9932"/>
    </w:p>
    <w:p>
      <w:bookmarkStart w:id="9933" w:name="Working_capital__defining__285_2"/>
      <w:pPr>
        <w:pStyle w:val="Para 01"/>
        <w:keepLines w:val="on"/>
      </w:pPr>
      <w:r>
        <w:t>Vốn lưu động</w:t>
      </w:r>
      <w:bookmarkEnd w:id="9933"/>
    </w:p>
    <w:p>
      <w:bookmarkStart w:id="9934" w:name="defining__285_286"/>
      <w:pPr>
        <w:pStyle w:val="Para 01"/>
        <w:keepLines w:val="on"/>
      </w:pPr>
      <w:r>
        <w:t>định nghĩa, 285–286</w:t>
      </w:r>
      <w:bookmarkEnd w:id="9934"/>
    </w:p>
    <w:p>
      <w:bookmarkStart w:id="9935" w:name="expected_changes_in_noncash__287"/>
      <w:pPr>
        <w:pStyle w:val="Para 01"/>
        <w:keepLines w:val="on"/>
      </w:pPr>
      <w:r>
        <w:t>những thay đổi dự kiến ở các khoản phi tiền mặt, 287–288</w:t>
      </w:r>
      <w:bookmarkEnd w:id="9935"/>
    </w:p>
    <w:p>
      <w:bookmarkStart w:id="9936" w:name="negative__288_289"/>
      <w:pPr>
        <w:pStyle w:val="Para 01"/>
        <w:keepLines w:val="on"/>
      </w:pPr>
      <w:r>
        <w:t>âm, 288–289</w:t>
      </w:r>
      <w:bookmarkEnd w:id="9936"/>
    </w:p>
    <w:p>
      <w:bookmarkStart w:id="9937" w:name="noncash__286_288__984_986"/>
      <w:pPr>
        <w:pStyle w:val="Para 01"/>
        <w:keepLines w:val="on"/>
      </w:pPr>
      <w:r>
        <w:t>phi tiền mặt, 286–288, 984–986</w:t>
      </w:r>
      <w:bookmarkEnd w:id="9937"/>
    </w:p>
    <w:p>
      <w:bookmarkStart w:id="9938" w:name="Worst_case_analysis__1034"/>
      <w:pPr>
        <w:pStyle w:val="Para 01"/>
        <w:keepLines w:val="on"/>
      </w:pPr>
      <w:r>
        <w:t>Phân tích trường hợp xấu nhất, 1034</w:t>
      </w:r>
      <w:bookmarkEnd w:id="9938"/>
    </w:p>
    <w:p>
      <w:bookmarkStart w:id="9939" w:name="Worthless_equity__963_964"/>
      <w:pPr>
        <w:pStyle w:val="Para 01"/>
        <w:keepLines w:val="on"/>
      </w:pPr>
      <w:r>
        <w:t>Vốn chủ sở hữu vô giá trị, 963–964</w:t>
      </w:r>
      <w:bookmarkEnd w:id="9939"/>
    </w:p>
    <w:p>
      <w:bookmarkStart w:id="9940" w:name="Write_offs__258"/>
      <w:pPr>
        <w:pStyle w:val="Para 01"/>
        <w:keepLines w:val="on"/>
      </w:pPr>
      <w:r>
        <w:t>Xóa sổ, 258</w:t>
      </w:r>
      <w:bookmarkEnd w:id="9940"/>
    </w:p>
    <w:p>
      <w:bookmarkStart w:id="9941" w:name="X"/>
      <w:bookmarkStart w:id="9942" w:name="X___Xerox__262_263__716_717"/>
      <w:pPr>
        <w:keepNext/>
        <w:pStyle w:val="Para 50"/>
        <w:keepLines w:val="on"/>
      </w:pPr>
      <w:r>
        <w:t>X</w:t>
      </w:r>
      <w:bookmarkEnd w:id="9941"/>
      <w:bookmarkEnd w:id="9942"/>
    </w:p>
    <w:p>
      <w:bookmarkStart w:id="9943" w:name="Xerox__262_263__716_717"/>
      <w:pPr>
        <w:pStyle w:val="Para 01"/>
        <w:keepLines w:val="on"/>
      </w:pPr>
      <w:r>
        <w:t>Xerox, 262–263, 716–717</w:t>
      </w:r>
      <w:bookmarkEnd w:id="9943"/>
    </w:p>
    <w:p>
      <w:bookmarkStart w:id="9944" w:name="Y"/>
      <w:bookmarkStart w:id="9945" w:name="Y___Young_growth_phase__in_life"/>
      <w:pPr>
        <w:keepNext/>
        <w:pStyle w:val="Para 50"/>
        <w:keepLines w:val="on"/>
      </w:pPr>
      <w:r>
        <w:t>Y</w:t>
      </w:r>
      <w:bookmarkEnd w:id="9944"/>
      <w:bookmarkEnd w:id="9945"/>
    </w:p>
    <w:p>
      <w:bookmarkStart w:id="9946" w:name="Young_growth_phase__in_life_cycl"/>
      <w:pPr>
        <w:pStyle w:val="Para 01"/>
        <w:keepLines w:val="on"/>
      </w:pPr>
      <w:r>
        <w:t>Giai đoạn tăng trưởng non trẻ, trong vòng đời, 735</w:t>
      </w:r>
      <w:bookmarkEnd w:id="9946"/>
    </w:p>
    <w:p>
      <w:bookmarkStart w:id="9947" w:name="Young_or_start_up_firms__assessi"/>
      <w:pPr>
        <w:pStyle w:val="Para 01"/>
        <w:keepLines w:val="on"/>
      </w:pPr>
      <w:r>
        <w:t>Các công ty non trẻ hoặc mới khởi nghiệp</w:t>
      </w:r>
      <w:bookmarkEnd w:id="9947"/>
    </w:p>
    <w:p>
      <w:bookmarkStart w:id="9948" w:name="assessing_current_standing_of__7"/>
      <w:pPr>
        <w:pStyle w:val="Para 01"/>
        <w:keepLines w:val="on"/>
      </w:pPr>
      <w:r>
        <w:t>đánh giá tình trạng hiện tại của, 738</w:t>
      </w:r>
      <w:bookmarkEnd w:id="9948"/>
    </w:p>
    <w:p>
      <w:bookmarkStart w:id="9949" w:name="estimation_noise_for__751_753"/>
      <w:pPr>
        <w:pStyle w:val="Para 01"/>
        <w:keepLines w:val="on"/>
      </w:pPr>
      <w:r>
        <w:t>nhiễu ước lượng đối với, 751–753</w:t>
      </w:r>
      <w:bookmarkEnd w:id="9949"/>
    </w:p>
    <w:p>
      <w:bookmarkStart w:id="9950" w:name="expectations_for__753_755"/>
      <w:pPr>
        <w:pStyle w:val="Para 01"/>
        <w:keepLines w:val="on"/>
      </w:pPr>
      <w:r>
        <w:t>kỳ vọng đối với, 753–755</w:t>
      </w:r>
      <w:bookmarkEnd w:id="9950"/>
    </w:p>
    <w:p>
      <w:bookmarkStart w:id="9951" w:name="framework_for_analyzing__738_750"/>
      <w:pPr>
        <w:pStyle w:val="Para 01"/>
        <w:keepLines w:val="on"/>
      </w:pPr>
      <w:r>
        <w:t>khung phân tích đối với, 738–750</w:t>
      </w:r>
      <w:bookmarkEnd w:id="9951"/>
    </w:p>
    <w:p>
      <w:bookmarkStart w:id="9952" w:name="historical_growth_at__306_307_1"/>
      <w:pPr>
        <w:pStyle w:val="Para 01"/>
        <w:keepLines w:val="on"/>
      </w:pPr>
      <w:r>
        <w:t>tăng trưởng lịch sử tại, 306–307</w:t>
      </w:r>
      <w:bookmarkEnd w:id="9952"/>
    </w:p>
    <w:p>
      <w:bookmarkStart w:id="9953" w:name="information_constraints_for__733"/>
      <w:pPr>
        <w:pStyle w:val="Para 01"/>
        <w:keepLines w:val="on"/>
      </w:pPr>
      <w:r>
        <w:t>những hạn chế về thông tin đối với, 733–738</w:t>
      </w:r>
      <w:bookmarkEnd w:id="9953"/>
    </w:p>
    <w:p>
      <w:bookmarkStart w:id="9954" w:name="_key_person__effect_for__773"/>
      <w:pPr>
        <w:pStyle w:val="Para 01"/>
        <w:keepLines w:val="on"/>
      </w:pPr>
      <w:r>
        <w:t>Hiệu ứng “nhân vật chủ chốt” (key person) đối với, 773</w:t>
      </w:r>
      <w:bookmarkEnd w:id="9954"/>
    </w:p>
    <w:p>
      <w:bookmarkStart w:id="9955" w:name="life_cycle_perspective_on__734_7"/>
      <w:pPr>
        <w:pStyle w:val="Para 01"/>
        <w:keepLines w:val="on"/>
      </w:pPr>
      <w:r>
        <w:t>góc nhìn vòng đời (life-cycle perspective) về, 734–736</w:t>
      </w:r>
      <w:bookmarkEnd w:id="9955"/>
    </w:p>
    <w:p>
      <w:bookmarkStart w:id="9956" w:name="normalized_earnings_for__1072_1"/>
      <w:pPr>
        <w:pStyle w:val="Para 01"/>
        <w:keepLines w:val="on"/>
      </w:pPr>
      <w:r>
        <w:t>lợi nhuận chuẩn hóa (normalized earnings) cho, 1072</w:t>
      </w:r>
      <w:bookmarkEnd w:id="9956"/>
    </w:p>
    <w:p>
      <w:bookmarkStart w:id="9957" w:name="reinvestment_to_generate_growth"/>
      <w:pPr>
        <w:pStyle w:val="Para 01"/>
        <w:keepLines w:val="on"/>
      </w:pPr>
      <w:r>
        <w:t>tái đầu tư để tạo tăng trưởng cho, 741–744</w:t>
      </w:r>
      <w:bookmarkEnd w:id="9957"/>
    </w:p>
    <w:p>
      <w:bookmarkStart w:id="9958" w:name="revenue_growth_for__739_740"/>
      <w:pPr>
        <w:pStyle w:val="Para 01"/>
        <w:keepLines w:val="on"/>
      </w:pPr>
      <w:r>
        <w:t>tăng trưởng doanh thu cho, 739–740</w:t>
      </w:r>
      <w:bookmarkEnd w:id="9958"/>
    </w:p>
    <w:p>
      <w:bookmarkStart w:id="9959" w:name="risk_parameters_and_discount_rat"/>
      <w:pPr>
        <w:pStyle w:val="Para 01"/>
        <w:keepLines w:val="on"/>
      </w:pPr>
      <w:r>
        <w:t>các tham số rủi ro (risk parameters) và tỷ lệ chiết khấu (discount rates) cho, 744–746</w:t>
      </w:r>
      <w:bookmarkEnd w:id="9959"/>
    </w:p>
    <w:p>
      <w:bookmarkStart w:id="9960" w:name="sustainable_operating_margin_in"/>
      <w:pPr>
        <w:pStyle w:val="Para 01"/>
        <w:keepLines w:val="on"/>
      </w:pPr>
      <w:r>
        <w:t>biên lợi nhuận hoạt động bền vững (sustainable operating margin) trong tăng trưởng ổn định cho, 740–741</w:t>
      </w:r>
      <w:bookmarkEnd w:id="9960"/>
    </w:p>
    <w:p>
      <w:bookmarkStart w:id="9961" w:name="valuation_of__727_728"/>
      <w:pPr>
        <w:pStyle w:val="Para 01"/>
        <w:keepLines w:val="on"/>
      </w:pPr>
      <w:r>
        <w:t>định giá (valuation) của, 727–728</w:t>
      </w:r>
      <w:bookmarkEnd w:id="9961"/>
    </w:p>
    <w:p>
      <w:bookmarkStart w:id="9962" w:name="value_drivers_for__750_751"/>
      <w:pPr>
        <w:pStyle w:val="Para 01"/>
        <w:keepLines w:val="on"/>
      </w:pPr>
      <w:r>
        <w:t>các động lực giá trị (value drivers) cho, 750–751</w:t>
      </w:r>
      <w:bookmarkEnd w:id="9962"/>
    </w:p>
    <w:p>
      <w:bookmarkStart w:id="9963" w:name="value_of__746_749"/>
      <w:pPr>
        <w:pStyle w:val="Para 01"/>
        <w:keepLines w:val="on"/>
      </w:pPr>
      <w:r>
        <w:t>giá trị của, 746–749</w:t>
      </w:r>
      <w:bookmarkEnd w:id="9963"/>
    </w:p>
    <w:p>
      <w:bookmarkStart w:id="9964" w:name="value_of_equity_and_per_share_va"/>
      <w:pPr>
        <w:pStyle w:val="Para 01"/>
        <w:keepLines w:val="on"/>
      </w:pPr>
      <w:r>
        <w:t>giá trị vốn chủ sở hữu (value of equity) và giá trị trên mỗi cổ phần (per-share value) của, 749–750</w:t>
      </w:r>
      <w:bookmarkEnd w:id="9964"/>
    </w:p>
    <w:p>
      <w:bookmarkStart w:id="9965" w:name="venture_capital_at__736_738"/>
      <w:pPr>
        <w:pStyle w:val="Para 01"/>
        <w:keepLines w:val="on"/>
      </w:pPr>
      <w:r>
        <w:t>vốn đầu tư mạo hiểm (venture capital) tại, 736–738</w:t>
      </w:r>
      <w:bookmarkEnd w:id="9965"/>
    </w:p>
    <w:p>
      <w:bookmarkStart w:id="9966" w:name="Z"/>
      <w:bookmarkStart w:id="9967" w:name="Z___Zomato__372_373__374__376_38"/>
      <w:pPr>
        <w:keepNext/>
        <w:pStyle w:val="Para 50"/>
        <w:keepLines w:val="on"/>
      </w:pPr>
      <w:r>
        <w:t>Z</w:t>
      </w:r>
      <w:bookmarkEnd w:id="9966"/>
      <w:bookmarkEnd w:id="9967"/>
    </w:p>
    <w:p>
      <w:bookmarkStart w:id="9968" w:name="Zomato__372_373__374__376_380__3"/>
      <w:pPr>
        <w:pStyle w:val="Para 01"/>
        <w:keepLines w:val="on"/>
      </w:pPr>
      <w:r>
        <w:t>Zomato, 372–373, 374, 376–380, 383, 384</w:t>
      </w:r>
      <w:bookmarkEnd w:id="9968"/>
    </w:p>
    <w:p>
      <w:bookmarkStart w:id="9974" w:name="Top_of_eula_xhtml"/>
      <w:bookmarkStart w:id="9975" w:name="WILEY_END_USER_LICENSE_AGREEMENT"/>
      <w:pPr>
        <w:keepNext/>
        <w:pStyle w:val="Heading 1"/>
        <w:pageBreakBefore w:val="on"/>
        <w:keepLines w:val="on"/>
      </w:pPr>
      <w:r>
        <w:t>THỎA THUẬN GIẤY PHÉP NGƯỜI DÙNG CUỐI CỦA WILEY</w:t>
      </w:r>
      <w:bookmarkEnd w:id="9974"/>
      <w:bookmarkEnd w:id="9975"/>
    </w:p>
    <w:p>
      <w:bookmarkStart w:id="9978" w:name="Go_to_www_wiley_com_go_eula_to_a"/>
      <w:pPr>
        <w:pStyle w:val="Para 03"/>
      </w:pPr>
      <w:r>
        <w:t>Truy cập www.wiley.com/go/eula để xem EULA sách điện tử của Wiley.</w:t>
      </w:r>
      <w:bookmarkEnd w:id="9978"/>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Cambria"/>
  <w:font w:name="Candara"/>
</w:fonts>
</file>

<file path=word/numbering.xml><?xml version="1.0" encoding="utf-8"?>
<w:numbering xmlns:w="http://schemas.openxmlformats.org/wordprocessingml/2006/main">
  <w:abstractNum w:abstractNumId="0">
    <w:multiLevelType w:val="hybridMultilevel"/>
    <w:name w:val="List 1"/>
    <w:lvl w:ilvl="0">
      <w:start w:val="1"/>
      <w:numFmt w:val="bullet"/>
      <w:lvlText w:val=""/>
      <w:lvlJc w:val="left"/>
      <w:pPr>
        <w:ind w:hanging="360" w:left="1152"/>
      </w:pPr>
      <w:rPr>
        <w:rFonts w:ascii="Wingdings" w:hAnsi="Wingdings" w:hint="default"/>
      </w:rPr>
    </w:lvl>
  </w:abstractNum>
  <w:abstractNum w:abstractNumId="1">
    <w:multiLevelType w:val="hybridMultilevel"/>
    <w:name w:val="List 2"/>
    <w:lvl w:ilvl="0">
      <w:start w:val="1"/>
      <w:numFmt w:val="bullet"/>
      <w:lvlText w:val=""/>
      <w:lvlJc w:val="left"/>
      <w:pPr>
        <w:ind w:hanging="360" w:left="1152"/>
      </w:pPr>
      <w:rPr>
        <w:rFonts w:ascii="Wingdings" w:hAnsi="Wingdings" w:hint="default"/>
      </w:rPr>
    </w:lvl>
  </w:abstractNum>
  <w:abstractNum w:abstractNumId="2">
    <w:multiLevelType w:val="hybridMultilevel"/>
    <w:name w:val="List 3"/>
    <w:lvl w:ilvl="0">
      <w:start w:val="1"/>
      <w:numFmt w:val="decimal"/>
      <w:lvlText w:val="%1."/>
      <w:lvlJc w:val="left"/>
      <w:pPr>
        <w:ind w:hanging="360" w:left="1152"/>
      </w:pPr>
    </w:lvl>
  </w:abstractNum>
  <w:abstractNum w:abstractNumId="3">
    <w:multiLevelType w:val="hybridMultilevel"/>
    <w:name w:val="List 4"/>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4">
    <w:multiLevelType w:val="hybridMultilevel"/>
    <w:name w:val="List 5"/>
    <w:lvl w:ilvl="0">
      <w:start w:val="1"/>
      <w:numFmt w:val="bullet"/>
      <w:lvlText w:val=""/>
      <w:lvlJc w:val="left"/>
      <w:pPr>
        <w:ind w:hanging="360" w:left="1152"/>
      </w:pPr>
      <w:rPr>
        <w:rFonts w:ascii="Symbol" w:hAnsi="Symbol" w:hint="default"/>
      </w:rPr>
    </w:lvl>
  </w:abstractNum>
  <w:abstractNum w:abstractNumId="5">
    <w:multiLevelType w:val="hybridMultilevel"/>
    <w:name w:val="List 6"/>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6">
    <w:multiLevelType w:val="hybridMultilevel"/>
    <w:name w:val="List 7"/>
    <w:lvl w:ilvl="0">
      <w:start w:val="1"/>
      <w:numFmt w:val="decimal"/>
      <w:lvlText w:val="%1."/>
      <w:lvlJc w:val="left"/>
      <w:pPr>
        <w:ind w:hanging="360" w:left="1152"/>
      </w:pPr>
    </w:lvl>
  </w:abstractNum>
  <w:abstractNum w:abstractNumId="7">
    <w:multiLevelType w:val="hybridMultilevel"/>
    <w:name w:val="List 8"/>
    <w:lvl w:ilvl="0">
      <w:start w:val="1"/>
      <w:numFmt w:val="decimal"/>
      <w:lvlText w:val="%1."/>
      <w:lvlJc w:val="left"/>
      <w:pPr>
        <w:ind w:hanging="360" w:left="1152"/>
      </w:pPr>
    </w:lvl>
  </w:abstractNum>
  <w:abstractNum w:abstractNumId="8">
    <w:multiLevelType w:val="hybridMultilevel"/>
    <w:name w:val="List 9"/>
    <w:lvl w:ilvl="0">
      <w:start w:val="1"/>
      <w:numFmt w:val="decimal"/>
      <w:lvlText w:val="%1."/>
      <w:lvlJc w:val="left"/>
      <w:pPr>
        <w:ind w:hanging="360" w:left="1152"/>
      </w:pPr>
    </w:lvl>
  </w:abstractNum>
  <w:abstractNum w:abstractNumId="9">
    <w:multiLevelType w:val="hybridMultilevel"/>
    <w:name w:val="List 10"/>
    <w:lvl w:ilvl="0">
      <w:start w:val="1"/>
      <w:numFmt w:val="bullet"/>
      <w:lvlText w:val=""/>
      <w:lvlJc w:val="left"/>
      <w:pPr>
        <w:ind w:hanging="360" w:left="1152"/>
      </w:pPr>
      <w:rPr>
        <w:rFonts w:ascii="Wingdings" w:hAnsi="Wingdings" w:hint="default"/>
      </w:rPr>
    </w:lvl>
  </w:abstractNum>
  <w:abstractNum w:abstractNumId="10">
    <w:multiLevelType w:val="hybridMultilevel"/>
    <w:name w:val="List 11"/>
    <w:lvl w:ilvl="0">
      <w:start w:val="1"/>
      <w:numFmt w:val="decimal"/>
      <w:lvlText w:val="%1."/>
      <w:lvlJc w:val="left"/>
      <w:pPr>
        <w:ind w:hanging="360" w:left="1152"/>
      </w:pPr>
    </w:lvl>
  </w:abstractNum>
  <w:abstractNum w:abstractNumId="11">
    <w:multiLevelType w:val="hybridMultilevel"/>
    <w:name w:val="List 12"/>
    <w:lvl w:ilvl="0">
      <w:start w:val="1"/>
      <w:numFmt w:val="decimal"/>
      <w:lvlText w:val="%1."/>
      <w:lvlJc w:val="left"/>
      <w:pPr>
        <w:ind w:hanging="360" w:left="1152"/>
      </w:pPr>
    </w:lvl>
  </w:abstractNum>
  <w:abstractNum w:abstractNumId="12">
    <w:multiLevelType w:val="hybridMultilevel"/>
    <w:name w:val="List 13"/>
    <w:lvl w:ilvl="0">
      <w:start w:val="1"/>
      <w:numFmt w:val="bullet"/>
      <w:lvlText w:val=""/>
      <w:lvlJc w:val="left"/>
      <w:pPr>
        <w:ind w:hanging="360" w:left="1152"/>
      </w:pPr>
      <w:rPr>
        <w:rFonts w:ascii="Wingdings" w:hAnsi="Wingdings" w:hint="default"/>
      </w:rPr>
    </w:lvl>
  </w:abstractNum>
  <w:abstractNum w:abstractNumId="13">
    <w:multiLevelType w:val="hybridMultilevel"/>
    <w:name w:val="List 14"/>
    <w:lvl w:ilvl="0">
      <w:start w:val="1"/>
      <w:numFmt w:val="decimal"/>
      <w:lvlText w:val="%1."/>
      <w:lvlJc w:val="left"/>
      <w:pPr>
        <w:ind w:hanging="360" w:left="1152"/>
      </w:pPr>
    </w:lvl>
  </w:abstractNum>
  <w:abstractNum w:abstractNumId="14">
    <w:multiLevelType w:val="hybridMultilevel"/>
    <w:name w:val="List 15"/>
    <w:lvl w:ilvl="0">
      <w:start w:val="1"/>
      <w:numFmt w:val="bullet"/>
      <w:lvlText w:val=""/>
      <w:lvlJc w:val="left"/>
      <w:pPr>
        <w:ind w:hanging="360" w:left="1152"/>
      </w:pPr>
      <w:rPr>
        <w:rFonts w:ascii="Wingdings" w:hAnsi="Wingdings" w:hint="default"/>
      </w:rPr>
    </w:lvl>
  </w:abstractNum>
  <w:abstractNum w:abstractNumId="15">
    <w:multiLevelType w:val="hybridMultilevel"/>
    <w:name w:val="List 16"/>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6">
    <w:multiLevelType w:val="hybridMultilevel"/>
    <w:name w:val="List 17"/>
    <w:lvl w:ilvl="0">
      <w:start w:val="1"/>
      <w:numFmt w:val="bullet"/>
      <w:lvlText w:val=""/>
      <w:lvlJc w:val="left"/>
      <w:pPr>
        <w:ind w:hanging="360" w:left="1152"/>
      </w:pPr>
      <w:rPr>
        <w:rFonts w:ascii="Wingdings" w:hAnsi="Wingdings" w:hint="default"/>
      </w:rPr>
    </w:lvl>
  </w:abstractNum>
  <w:abstractNum w:abstractNumId="17">
    <w:multiLevelType w:val="hybridMultilevel"/>
    <w:name w:val="List 18"/>
    <w:lvl w:ilvl="0">
      <w:start w:val="1"/>
      <w:numFmt w:val="decimal"/>
      <w:lvlText w:val="%1."/>
      <w:lvlJc w:val="left"/>
      <w:pPr>
        <w:ind w:hanging="360" w:left="1152"/>
      </w:pPr>
    </w:lvl>
  </w:abstractNum>
  <w:abstractNum w:abstractNumId="18">
    <w:multiLevelType w:val="hybridMultilevel"/>
    <w:name w:val="List 19"/>
    <w:lvl w:ilvl="0">
      <w:start w:val="1"/>
      <w:numFmt w:val="bullet"/>
      <w:lvlText w:val=""/>
      <w:lvlJc w:val="left"/>
      <w:pPr>
        <w:ind w:hanging="360" w:left="1152"/>
      </w:pPr>
      <w:rPr>
        <w:rFonts w:ascii="Wingdings" w:hAnsi="Wingdings" w:hint="default"/>
      </w:rPr>
    </w:lvl>
  </w:abstractNum>
  <w:abstractNum w:abstractNumId="19">
    <w:multiLevelType w:val="hybridMultilevel"/>
    <w:name w:val="List 20"/>
    <w:lvl w:ilvl="0">
      <w:start w:val="1"/>
      <w:numFmt w:val="decimal"/>
      <w:lvlText w:val="%1."/>
      <w:lvlJc w:val="left"/>
      <w:pPr>
        <w:ind w:hanging="360" w:left="1152"/>
      </w:pPr>
    </w:lvl>
  </w:abstractNum>
  <w:abstractNum w:abstractNumId="20">
    <w:multiLevelType w:val="hybridMultilevel"/>
    <w:name w:val="List 21"/>
    <w:lvl w:ilvl="0">
      <w:start w:val="1"/>
      <w:numFmt w:val="lowerLetter"/>
      <w:lvlText w:val="%1."/>
      <w:lvlJc w:val="left"/>
      <w:pPr>
        <w:ind w:hanging="360" w:left="1152"/>
      </w:pPr>
    </w:lvl>
  </w:abstractNum>
  <w:abstractNum w:abstractNumId="21">
    <w:multiLevelType w:val="hybridMultilevel"/>
    <w:name w:val="List 22"/>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22">
    <w:multiLevelType w:val="hybridMultilevel"/>
    <w:name w:val="List 23"/>
    <w:lvl w:ilvl="0">
      <w:start w:val="1"/>
      <w:numFmt w:val="decimal"/>
      <w:lvlText w:val="%1."/>
      <w:lvlJc w:val="left"/>
      <w:pPr>
        <w:ind w:hanging="360" w:left="1152"/>
      </w:pPr>
    </w:lvl>
  </w:abstractNum>
  <w:abstractNum w:abstractNumId="23">
    <w:multiLevelType w:val="hybridMultilevel"/>
    <w:name w:val="List 24"/>
    <w:lvl w:ilvl="0">
      <w:start w:val="1"/>
      <w:numFmt w:val="bullet"/>
      <w:lvlText w:val=""/>
      <w:lvlJc w:val="left"/>
      <w:pPr>
        <w:ind w:hanging="360" w:left="1152"/>
      </w:pPr>
      <w:rPr>
        <w:rFonts w:ascii="Wingdings" w:hAnsi="Wingdings" w:hint="default"/>
      </w:rPr>
    </w:lvl>
  </w:abstractNum>
  <w:abstractNum w:abstractNumId="24">
    <w:multiLevelType w:val="hybridMultilevel"/>
    <w:name w:val="List 25"/>
    <w:lvl w:ilvl="0">
      <w:start w:val="1"/>
      <w:numFmt w:val="bullet"/>
      <w:lvlText w:val=""/>
      <w:lvlJc w:val="left"/>
      <w:pPr>
        <w:ind w:hanging="360" w:left="1152"/>
      </w:pPr>
      <w:rPr>
        <w:rFonts w:ascii="Wingdings" w:hAnsi="Wingdings" w:hint="default"/>
      </w:rPr>
    </w:lvl>
  </w:abstractNum>
  <w:abstractNum w:abstractNumId="25">
    <w:multiLevelType w:val="hybridMultilevel"/>
    <w:name w:val="List 26"/>
    <w:lvl w:ilvl="0">
      <w:start w:val="1"/>
      <w:numFmt w:val="decimal"/>
      <w:lvlText w:val="%1."/>
      <w:lvlJc w:val="left"/>
      <w:pPr>
        <w:ind w:hanging="360" w:left="1152"/>
      </w:pPr>
    </w:lvl>
  </w:abstractNum>
  <w:abstractNum w:abstractNumId="26">
    <w:multiLevelType w:val="hybridMultilevel"/>
    <w:name w:val="List 27"/>
    <w:lvl w:ilvl="0">
      <w:start w:val="2"/>
      <w:numFmt w:val="decimal"/>
      <w:lvlText w:val="%1."/>
      <w:lvlJc w:val="left"/>
      <w:pPr>
        <w:ind w:hanging="360" w:left="1152"/>
      </w:pPr>
    </w:lvl>
  </w:abstractNum>
  <w:abstractNum w:abstractNumId="27">
    <w:multiLevelType w:val="hybridMultilevel"/>
    <w:name w:val="List 28"/>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28">
    <w:multiLevelType w:val="hybridMultilevel"/>
    <w:name w:val="List 29"/>
    <w:lvl w:ilvl="0">
      <w:start w:val="1"/>
      <w:numFmt w:val="bullet"/>
      <w:lvlText w:val=""/>
      <w:lvlJc w:val="left"/>
      <w:pPr>
        <w:ind w:hanging="360" w:left="1152"/>
      </w:pPr>
      <w:rPr>
        <w:rFonts w:ascii="Wingdings" w:hAnsi="Wingdings" w:hint="default"/>
      </w:rPr>
    </w:lvl>
  </w:abstractNum>
  <w:abstractNum w:abstractNumId="29">
    <w:multiLevelType w:val="hybridMultilevel"/>
    <w:name w:val="List 30"/>
    <w:lvl w:ilvl="0">
      <w:start w:val="1"/>
      <w:numFmt w:val="bullet"/>
      <w:lvlText w:val=""/>
      <w:lvlJc w:val="left"/>
      <w:pPr>
        <w:ind w:hanging="360" w:left="1152"/>
      </w:pPr>
      <w:rPr>
        <w:rFonts w:ascii="Wingdings" w:hAnsi="Wingdings" w:hint="default"/>
      </w:rPr>
    </w:lvl>
  </w:abstractNum>
  <w:abstractNum w:abstractNumId="30">
    <w:multiLevelType w:val="hybridMultilevel"/>
    <w:name w:val="List 31"/>
    <w:lvl w:ilvl="0">
      <w:start w:val="1"/>
      <w:numFmt w:val="bullet"/>
      <w:lvlText w:val=""/>
      <w:lvlJc w:val="left"/>
      <w:pPr>
        <w:ind w:hanging="360" w:left="1152"/>
      </w:pPr>
      <w:rPr>
        <w:rFonts w:ascii="Wingdings" w:hAnsi="Wingdings" w:hint="default"/>
      </w:rPr>
    </w:lvl>
  </w:abstractNum>
  <w:abstractNum w:abstractNumId="31">
    <w:multiLevelType w:val="hybridMultilevel"/>
    <w:name w:val="List 32"/>
    <w:lvl w:ilvl="0">
      <w:start w:val="1"/>
      <w:numFmt w:val="bullet"/>
      <w:lvlText w:val=""/>
      <w:lvlJc w:val="left"/>
      <w:pPr>
        <w:ind w:hanging="360" w:left="1152"/>
      </w:pPr>
      <w:rPr>
        <w:rFonts w:ascii="Wingdings" w:hAnsi="Wingdings" w:hint="default"/>
      </w:rPr>
    </w:lvl>
    <w:lvl w:ilvl="1">
      <w:start w:val="1"/>
      <w:numFmt w:val="bullet"/>
      <w:lvlText w:val=""/>
      <w:lvlJc w:val="left"/>
      <w:pPr>
        <w:ind w:hanging="360" w:left="1512"/>
      </w:pPr>
      <w:rPr>
        <w:rFonts w:ascii="Wingdings" w:hAnsi="Wingdings" w:hint="default"/>
      </w:rPr>
    </w:lvl>
  </w:abstractNum>
  <w:abstractNum w:abstractNumId="32">
    <w:multiLevelType w:val="hybridMultilevel"/>
    <w:name w:val="List 33"/>
    <w:lvl w:ilvl="0">
      <w:start w:val="1"/>
      <w:numFmt w:val="bullet"/>
      <w:lvlText w:val=""/>
      <w:lvlJc w:val="left"/>
      <w:pPr>
        <w:ind w:hanging="360" w:left="1152"/>
      </w:pPr>
      <w:rPr>
        <w:rFonts w:ascii="Wingdings" w:hAnsi="Wingdings" w:hint="default"/>
      </w:rPr>
    </w:lvl>
  </w:abstractNum>
  <w:abstractNum w:abstractNumId="33">
    <w:multiLevelType w:val="hybridMultilevel"/>
    <w:name w:val="List 34"/>
    <w:lvl w:ilvl="0">
      <w:start w:val="1"/>
      <w:numFmt w:val="decimal"/>
      <w:lvlText w:val="%1."/>
      <w:lvlJc w:val="left"/>
      <w:pPr>
        <w:ind w:hanging="360" w:left="1152"/>
      </w:pPr>
    </w:lvl>
  </w:abstractNum>
  <w:abstractNum w:abstractNumId="34">
    <w:multiLevelType w:val="hybridMultilevel"/>
    <w:name w:val="List 35"/>
    <w:lvl w:ilvl="0">
      <w:start w:val="1"/>
      <w:numFmt w:val="decimal"/>
      <w:lvlText w:val="%1."/>
      <w:lvlJc w:val="left"/>
      <w:pPr>
        <w:ind w:hanging="360" w:left="1152"/>
      </w:pPr>
    </w:lvl>
  </w:abstractNum>
  <w:abstractNum w:abstractNumId="35">
    <w:multiLevelType w:val="hybridMultilevel"/>
    <w:name w:val="List 36"/>
    <w:lvl w:ilvl="0">
      <w:start w:val="1"/>
      <w:numFmt w:val="bullet"/>
      <w:lvlText w:val=""/>
      <w:lvlJc w:val="left"/>
      <w:pPr>
        <w:ind w:hanging="360" w:left="1152"/>
      </w:pPr>
      <w:rPr>
        <w:rFonts w:ascii="Wingdings" w:hAnsi="Wingdings" w:hint="default"/>
      </w:rPr>
    </w:lvl>
  </w:abstractNum>
  <w:abstractNum w:abstractNumId="36">
    <w:multiLevelType w:val="hybridMultilevel"/>
    <w:name w:val="List 37"/>
    <w:lvl w:ilvl="0">
      <w:start w:val="1"/>
      <w:numFmt w:val="decimal"/>
      <w:lvlText w:val="%1."/>
      <w:lvlJc w:val="left"/>
      <w:pPr>
        <w:ind w:hanging="360" w:left="1152"/>
      </w:pPr>
    </w:lvl>
  </w:abstractNum>
  <w:abstractNum w:abstractNumId="37">
    <w:multiLevelType w:val="hybridMultilevel"/>
    <w:name w:val="List 38"/>
    <w:lvl w:ilvl="0">
      <w:start w:val="1"/>
      <w:numFmt w:val="decimal"/>
      <w:lvlText w:val="%1."/>
      <w:lvlJc w:val="left"/>
      <w:pPr>
        <w:ind w:hanging="360" w:left="1152"/>
      </w:pPr>
    </w:lvl>
  </w:abstractNum>
  <w:abstractNum w:abstractNumId="38">
    <w:multiLevelType w:val="hybridMultilevel"/>
    <w:name w:val="List 39"/>
    <w:lvl w:ilvl="0">
      <w:start w:val="1"/>
      <w:numFmt w:val="bullet"/>
      <w:lvlText w:val=""/>
      <w:lvlJc w:val="left"/>
      <w:pPr>
        <w:ind w:hanging="360" w:left="1152"/>
      </w:pPr>
      <w:rPr>
        <w:rFonts w:ascii="Wingdings" w:hAnsi="Wingdings" w:hint="default"/>
      </w:rPr>
    </w:lvl>
  </w:abstractNum>
  <w:abstractNum w:abstractNumId="39">
    <w:multiLevelType w:val="hybridMultilevel"/>
    <w:name w:val="List 40"/>
    <w:lvl w:ilvl="0">
      <w:start w:val="1"/>
      <w:numFmt w:val="decimal"/>
      <w:lvlText w:val="%1."/>
      <w:lvlJc w:val="left"/>
      <w:pPr>
        <w:ind w:hanging="360" w:left="1152"/>
      </w:pPr>
    </w:lvl>
  </w:abstractNum>
  <w:abstractNum w:abstractNumId="40">
    <w:multiLevelType w:val="hybridMultilevel"/>
    <w:name w:val="List 41"/>
    <w:lvl w:ilvl="0">
      <w:start w:val="1"/>
      <w:numFmt w:val="bullet"/>
      <w:lvlText w:val=""/>
      <w:lvlJc w:val="left"/>
      <w:pPr>
        <w:ind w:hanging="360" w:left="1152"/>
      </w:pPr>
      <w:rPr>
        <w:rFonts w:ascii="Wingdings" w:hAnsi="Wingdings" w:hint="default"/>
      </w:rPr>
    </w:lvl>
  </w:abstractNum>
  <w:abstractNum w:abstractNumId="41">
    <w:multiLevelType w:val="hybridMultilevel"/>
    <w:name w:val="List 42"/>
    <w:lvl w:ilvl="0">
      <w:start w:val="1"/>
      <w:numFmt w:val="decimal"/>
      <w:lvlText w:val="%1."/>
      <w:lvlJc w:val="left"/>
      <w:pPr>
        <w:ind w:hanging="360" w:left="1152"/>
      </w:pPr>
    </w:lvl>
  </w:abstractNum>
  <w:abstractNum w:abstractNumId="42">
    <w:multiLevelType w:val="hybridMultilevel"/>
    <w:name w:val="List 43"/>
    <w:lvl w:ilvl="0">
      <w:start w:val="1"/>
      <w:numFmt w:val="bullet"/>
      <w:lvlText w:val=""/>
      <w:lvlJc w:val="left"/>
      <w:pPr>
        <w:ind w:hanging="360" w:left="1152"/>
      </w:pPr>
      <w:rPr>
        <w:rFonts w:ascii="Wingdings" w:hAnsi="Wingdings" w:hint="default"/>
      </w:rPr>
    </w:lvl>
  </w:abstractNum>
  <w:abstractNum w:abstractNumId="43">
    <w:multiLevelType w:val="hybridMultilevel"/>
    <w:name w:val="List 44"/>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44">
    <w:multiLevelType w:val="hybridMultilevel"/>
    <w:name w:val="List 45"/>
    <w:lvl w:ilvl="0">
      <w:start w:val="1"/>
      <w:numFmt w:val="decimal"/>
      <w:lvlText w:val="%1."/>
      <w:lvlJc w:val="left"/>
      <w:pPr>
        <w:ind w:hanging="360" w:left="1152"/>
      </w:pPr>
    </w:lvl>
  </w:abstractNum>
  <w:abstractNum w:abstractNumId="45">
    <w:multiLevelType w:val="hybridMultilevel"/>
    <w:name w:val="List 46"/>
    <w:lvl w:ilvl="0">
      <w:start w:val="1"/>
      <w:numFmt w:val="decimal"/>
      <w:lvlText w:val="%1."/>
      <w:lvlJc w:val="left"/>
      <w:pPr>
        <w:ind w:hanging="360" w:left="1152"/>
      </w:pPr>
    </w:lvl>
  </w:abstractNum>
  <w:abstractNum w:abstractNumId="46">
    <w:multiLevelType w:val="hybridMultilevel"/>
    <w:name w:val="List 47"/>
    <w:lvl w:ilvl="0">
      <w:start w:val="2"/>
      <w:numFmt w:val="decimal"/>
      <w:lvlText w:val="%1."/>
      <w:lvlJc w:val="left"/>
      <w:pPr>
        <w:ind w:hanging="360" w:left="1152"/>
      </w:pPr>
    </w:lvl>
  </w:abstractNum>
  <w:abstractNum w:abstractNumId="47">
    <w:multiLevelType w:val="hybridMultilevel"/>
    <w:name w:val="List 48"/>
    <w:lvl w:ilvl="0">
      <w:start w:val="1"/>
      <w:numFmt w:val="decimal"/>
      <w:lvlText w:val="%1."/>
      <w:lvlJc w:val="left"/>
      <w:pPr>
        <w:ind w:hanging="360" w:left="1152"/>
      </w:pPr>
    </w:lvl>
  </w:abstractNum>
  <w:abstractNum w:abstractNumId="48">
    <w:multiLevelType w:val="hybridMultilevel"/>
    <w:name w:val="List 49"/>
    <w:lvl w:ilvl="0">
      <w:start w:val="1"/>
      <w:numFmt w:val="decimal"/>
      <w:lvlText w:val="%1."/>
      <w:lvlJc w:val="left"/>
      <w:pPr>
        <w:ind w:hanging="360" w:left="1152"/>
      </w:pPr>
    </w:lvl>
  </w:abstractNum>
  <w:abstractNum w:abstractNumId="49">
    <w:multiLevelType w:val="hybridMultilevel"/>
    <w:name w:val="List 50"/>
    <w:lvl w:ilvl="0">
      <w:start w:val="3"/>
      <w:numFmt w:val="decimal"/>
      <w:lvlText w:val="%1."/>
      <w:lvlJc w:val="left"/>
      <w:pPr>
        <w:ind w:hanging="360" w:left="1152"/>
      </w:pPr>
    </w:lvl>
  </w:abstractNum>
  <w:abstractNum w:abstractNumId="50">
    <w:multiLevelType w:val="hybridMultilevel"/>
    <w:name w:val="List 51"/>
    <w:lvl w:ilvl="0">
      <w:start w:val="1"/>
      <w:numFmt w:val="bullet"/>
      <w:lvlText w:val=""/>
      <w:lvlJc w:val="left"/>
      <w:pPr>
        <w:ind w:hanging="360" w:left="1152"/>
      </w:pPr>
      <w:rPr>
        <w:rFonts w:ascii="Wingdings" w:hAnsi="Wingdings" w:hint="default"/>
      </w:rPr>
    </w:lvl>
  </w:abstractNum>
  <w:abstractNum w:abstractNumId="51">
    <w:multiLevelType w:val="hybridMultilevel"/>
    <w:name w:val="List 52"/>
    <w:lvl w:ilvl="0">
      <w:start w:val="1"/>
      <w:numFmt w:val="decimal"/>
      <w:lvlText w:val="%1."/>
      <w:lvlJc w:val="left"/>
      <w:pPr>
        <w:ind w:hanging="360" w:left="1152"/>
      </w:pPr>
    </w:lvl>
  </w:abstractNum>
  <w:abstractNum w:abstractNumId="52">
    <w:multiLevelType w:val="hybridMultilevel"/>
    <w:name w:val="List 53"/>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53">
    <w:multiLevelType w:val="hybridMultilevel"/>
    <w:name w:val="List 54"/>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54">
    <w:multiLevelType w:val="hybridMultilevel"/>
    <w:name w:val="List 55"/>
    <w:lvl w:ilvl="0">
      <w:start w:val="1"/>
      <w:numFmt w:val="bullet"/>
      <w:lvlText w:val=""/>
      <w:lvlJc w:val="left"/>
      <w:pPr>
        <w:ind w:hanging="360" w:left="1152"/>
      </w:pPr>
      <w:rPr>
        <w:rFonts w:ascii="Wingdings" w:hAnsi="Wingdings" w:hint="default"/>
      </w:rPr>
    </w:lvl>
  </w:abstractNum>
  <w:abstractNum w:abstractNumId="55">
    <w:multiLevelType w:val="hybridMultilevel"/>
    <w:name w:val="List 56"/>
    <w:lvl w:ilvl="0">
      <w:start w:val="1"/>
      <w:numFmt w:val="bullet"/>
      <w:lvlText w:val=""/>
      <w:lvlJc w:val="left"/>
      <w:pPr>
        <w:ind w:hanging="360" w:left="1152"/>
      </w:pPr>
      <w:rPr>
        <w:rFonts w:ascii="Wingdings" w:hAnsi="Wingdings" w:hint="default"/>
      </w:rPr>
    </w:lvl>
  </w:abstractNum>
  <w:abstractNum w:abstractNumId="56">
    <w:multiLevelType w:val="hybridMultilevel"/>
    <w:name w:val="List 57"/>
    <w:lvl w:ilvl="0">
      <w:start w:val="1"/>
      <w:numFmt w:val="bullet"/>
      <w:lvlText w:val=""/>
      <w:lvlJc w:val="left"/>
      <w:pPr>
        <w:ind w:hanging="360" w:left="1152"/>
      </w:pPr>
      <w:rPr>
        <w:rFonts w:ascii="Wingdings" w:hAnsi="Wingdings" w:hint="default"/>
      </w:rPr>
    </w:lvl>
  </w:abstractNum>
  <w:abstractNum w:abstractNumId="57">
    <w:multiLevelType w:val="hybridMultilevel"/>
    <w:name w:val="List 58"/>
    <w:lvl w:ilvl="0">
      <w:start w:val="1"/>
      <w:numFmt w:val="bullet"/>
      <w:lvlText w:val=""/>
      <w:lvlJc w:val="left"/>
      <w:pPr>
        <w:ind w:hanging="360" w:left="1152"/>
      </w:pPr>
      <w:rPr>
        <w:rFonts w:ascii="Wingdings" w:hAnsi="Wingdings" w:hint="default"/>
      </w:rPr>
    </w:lvl>
  </w:abstractNum>
  <w:abstractNum w:abstractNumId="58">
    <w:multiLevelType w:val="hybridMultilevel"/>
    <w:name w:val="List 59"/>
    <w:lvl w:ilvl="0">
      <w:start w:val="1"/>
      <w:numFmt w:val="bullet"/>
      <w:lvlText w:val=""/>
      <w:lvlJc w:val="left"/>
      <w:pPr>
        <w:ind w:hanging="360" w:left="1152"/>
      </w:pPr>
      <w:rPr>
        <w:rFonts w:ascii="Wingdings" w:hAnsi="Wingdings" w:hint="default"/>
      </w:rPr>
    </w:lvl>
  </w:abstractNum>
  <w:abstractNum w:abstractNumId="59">
    <w:multiLevelType w:val="hybridMultilevel"/>
    <w:name w:val="List 60"/>
    <w:lvl w:ilvl="0">
      <w:start w:val="1"/>
      <w:numFmt w:val="bullet"/>
      <w:lvlText w:val=""/>
      <w:lvlJc w:val="left"/>
      <w:pPr>
        <w:ind w:hanging="360" w:left="1152"/>
      </w:pPr>
      <w:rPr>
        <w:rFonts w:ascii="Wingdings" w:hAnsi="Wingdings" w:hint="default"/>
      </w:rPr>
    </w:lvl>
  </w:abstractNum>
  <w:abstractNum w:abstractNumId="60">
    <w:multiLevelType w:val="hybridMultilevel"/>
    <w:name w:val="List 61"/>
    <w:lvl w:ilvl="0">
      <w:start w:val="1"/>
      <w:numFmt w:val="decimal"/>
      <w:lvlText w:val="%1."/>
      <w:lvlJc w:val="left"/>
      <w:pPr>
        <w:ind w:hanging="360" w:left="1152"/>
      </w:pPr>
    </w:lvl>
  </w:abstractNum>
  <w:abstractNum w:abstractNumId="61">
    <w:multiLevelType w:val="hybridMultilevel"/>
    <w:name w:val="List 62"/>
    <w:lvl w:ilvl="0">
      <w:start w:val="1"/>
      <w:numFmt w:val="decimal"/>
      <w:lvlText w:val="%1."/>
      <w:lvlJc w:val="left"/>
      <w:pPr>
        <w:ind w:hanging="360" w:left="1152"/>
      </w:pPr>
    </w:lvl>
  </w:abstractNum>
  <w:abstractNum w:abstractNumId="62">
    <w:multiLevelType w:val="hybridMultilevel"/>
    <w:name w:val="List 63"/>
    <w:lvl w:ilvl="0">
      <w:start w:val="1"/>
      <w:numFmt w:val="bullet"/>
      <w:lvlText w:val=""/>
      <w:lvlJc w:val="left"/>
      <w:pPr>
        <w:ind w:hanging="360" w:left="1152"/>
      </w:pPr>
      <w:rPr>
        <w:rFonts w:ascii="Wingdings" w:hAnsi="Wingdings" w:hint="default"/>
      </w:rPr>
    </w:lvl>
  </w:abstractNum>
  <w:abstractNum w:abstractNumId="63">
    <w:multiLevelType w:val="hybridMultilevel"/>
    <w:name w:val="List 64"/>
    <w:lvl w:ilvl="0">
      <w:start w:val="1"/>
      <w:numFmt w:val="decimal"/>
      <w:lvlText w:val="%1."/>
      <w:lvlJc w:val="left"/>
      <w:pPr>
        <w:ind w:hanging="360" w:left="1152"/>
      </w:pPr>
    </w:lvl>
  </w:abstractNum>
  <w:abstractNum w:abstractNumId="64">
    <w:multiLevelType w:val="hybridMultilevel"/>
    <w:name w:val="List 65"/>
    <w:lvl w:ilvl="0">
      <w:start w:val="1"/>
      <w:numFmt w:val="bullet"/>
      <w:lvlText w:val=""/>
      <w:lvlJc w:val="left"/>
      <w:pPr>
        <w:ind w:hanging="360" w:left="1152"/>
      </w:pPr>
      <w:rPr>
        <w:rFonts w:ascii="Wingdings" w:hAnsi="Wingdings" w:hint="default"/>
      </w:rPr>
    </w:lvl>
  </w:abstractNum>
  <w:abstractNum w:abstractNumId="65">
    <w:multiLevelType w:val="hybridMultilevel"/>
    <w:name w:val="List 66"/>
    <w:lvl w:ilvl="0">
      <w:start w:val="1"/>
      <w:numFmt w:val="decimal"/>
      <w:lvlText w:val="%1."/>
      <w:lvlJc w:val="left"/>
      <w:pPr>
        <w:ind w:hanging="360" w:left="1152"/>
      </w:pPr>
    </w:lvl>
  </w:abstractNum>
  <w:abstractNum w:abstractNumId="66">
    <w:multiLevelType w:val="hybridMultilevel"/>
    <w:name w:val="List 67"/>
    <w:lvl w:ilvl="0">
      <w:start w:val="1"/>
      <w:numFmt w:val="decimal"/>
      <w:lvlText w:val="%1."/>
      <w:lvlJc w:val="left"/>
      <w:pPr>
        <w:ind w:hanging="360" w:left="1152"/>
      </w:pPr>
    </w:lvl>
  </w:abstractNum>
  <w:abstractNum w:abstractNumId="67">
    <w:multiLevelType w:val="hybridMultilevel"/>
    <w:name w:val="List 68"/>
    <w:lvl w:ilvl="0">
      <w:start w:val="1"/>
      <w:numFmt w:val="bullet"/>
      <w:lvlText w:val=""/>
      <w:lvlJc w:val="left"/>
      <w:pPr>
        <w:ind w:hanging="360" w:left="1152"/>
      </w:pPr>
      <w:rPr>
        <w:rFonts w:ascii="Wingdings" w:hAnsi="Wingdings" w:hint="default"/>
      </w:rPr>
    </w:lvl>
  </w:abstractNum>
  <w:abstractNum w:abstractNumId="68">
    <w:multiLevelType w:val="hybridMultilevel"/>
    <w:name w:val="List 69"/>
    <w:lvl w:ilvl="0">
      <w:start w:val="1"/>
      <w:numFmt w:val="bullet"/>
      <w:lvlText w:val=""/>
      <w:lvlJc w:val="left"/>
      <w:pPr>
        <w:ind w:hanging="360" w:left="1152"/>
      </w:pPr>
      <w:rPr>
        <w:rFonts w:ascii="Wingdings" w:hAnsi="Wingdings" w:hint="default"/>
      </w:rPr>
    </w:lvl>
  </w:abstractNum>
  <w:abstractNum w:abstractNumId="69">
    <w:multiLevelType w:val="hybridMultilevel"/>
    <w:name w:val="List 70"/>
    <w:lvl w:ilvl="0">
      <w:start w:val="1"/>
      <w:numFmt w:val="bullet"/>
      <w:lvlText w:val=""/>
      <w:lvlJc w:val="left"/>
      <w:pPr>
        <w:ind w:hanging="360" w:left="1152"/>
      </w:pPr>
      <w:rPr>
        <w:rFonts w:ascii="Wingdings" w:hAnsi="Wingdings" w:hint="default"/>
      </w:rPr>
    </w:lvl>
  </w:abstractNum>
  <w:abstractNum w:abstractNumId="70">
    <w:multiLevelType w:val="hybridMultilevel"/>
    <w:name w:val="List 71"/>
    <w:lvl w:ilvl="0">
      <w:start w:val="1"/>
      <w:numFmt w:val="decimal"/>
      <w:lvlText w:val="%1."/>
      <w:lvlJc w:val="left"/>
      <w:pPr>
        <w:ind w:hanging="360" w:left="1152"/>
      </w:pPr>
    </w:lvl>
    <w:lvl w:ilvl="1">
      <w:start w:val="1"/>
      <w:numFmt w:val="lowerLetter"/>
      <w:lvlText w:val="%2."/>
      <w:lvlJc w:val="left"/>
      <w:pPr>
        <w:ind w:hanging="360" w:left="1512"/>
      </w:pPr>
    </w:lvl>
    <w:lvl w:ilvl="2">
      <w:start w:val="1"/>
      <w:numFmt w:val="bullet"/>
      <w:lvlText w:val=""/>
      <w:lvlJc w:val="left"/>
      <w:pPr>
        <w:ind w:hanging="360" w:left="1872"/>
      </w:pPr>
      <w:rPr>
        <w:rFonts w:ascii="Wingdings" w:hAnsi="Wingdings" w:hint="default"/>
      </w:rPr>
    </w:lvl>
  </w:abstractNum>
  <w:abstractNum w:abstractNumId="71">
    <w:multiLevelType w:val="hybridMultilevel"/>
    <w:name w:val="List 72"/>
    <w:lvl w:ilvl="0">
      <w:start w:val="1"/>
      <w:numFmt w:val="decimal"/>
      <w:lvlText w:val="%1."/>
      <w:lvlJc w:val="left"/>
      <w:pPr>
        <w:ind w:hanging="360" w:left="1152"/>
      </w:pPr>
    </w:lvl>
  </w:abstractNum>
  <w:abstractNum w:abstractNumId="72">
    <w:multiLevelType w:val="hybridMultilevel"/>
    <w:name w:val="List 73"/>
    <w:lvl w:ilvl="0">
      <w:start w:val="1"/>
      <w:numFmt w:val="decimal"/>
      <w:lvlText w:val="%1."/>
      <w:lvlJc w:val="left"/>
      <w:pPr>
        <w:ind w:hanging="360" w:left="1152"/>
      </w:pPr>
    </w:lvl>
  </w:abstractNum>
  <w:abstractNum w:abstractNumId="73">
    <w:multiLevelType w:val="hybridMultilevel"/>
    <w:name w:val="List 74"/>
    <w:lvl w:ilvl="0">
      <w:start w:val="1"/>
      <w:numFmt w:val="bullet"/>
      <w:lvlText w:val=""/>
      <w:lvlJc w:val="left"/>
      <w:pPr>
        <w:ind w:hanging="360" w:left="1152"/>
      </w:pPr>
      <w:rPr>
        <w:rFonts w:ascii="Wingdings" w:hAnsi="Wingdings" w:hint="default"/>
      </w:rPr>
    </w:lvl>
  </w:abstractNum>
  <w:abstractNum w:abstractNumId="74">
    <w:multiLevelType w:val="hybridMultilevel"/>
    <w:name w:val="List 75"/>
    <w:lvl w:ilvl="0">
      <w:start w:val="1"/>
      <w:numFmt w:val="bullet"/>
      <w:lvlText w:val=""/>
      <w:lvlJc w:val="left"/>
      <w:pPr>
        <w:ind w:hanging="360" w:left="1152"/>
      </w:pPr>
      <w:rPr>
        <w:rFonts w:ascii="Wingdings" w:hAnsi="Wingdings" w:hint="default"/>
      </w:rPr>
    </w:lvl>
  </w:abstractNum>
  <w:abstractNum w:abstractNumId="75">
    <w:multiLevelType w:val="hybridMultilevel"/>
    <w:name w:val="List 76"/>
    <w:lvl w:ilvl="0">
      <w:start w:val="1"/>
      <w:numFmt w:val="decimal"/>
      <w:lvlText w:val="%1."/>
      <w:lvlJc w:val="left"/>
      <w:pPr>
        <w:ind w:hanging="360" w:left="1152"/>
      </w:pPr>
    </w:lvl>
  </w:abstractNum>
  <w:abstractNum w:abstractNumId="76">
    <w:multiLevelType w:val="hybridMultilevel"/>
    <w:name w:val="List 77"/>
    <w:lvl w:ilvl="0">
      <w:start w:val="1"/>
      <w:numFmt w:val="decimal"/>
      <w:lvlText w:val="%1."/>
      <w:lvlJc w:val="left"/>
      <w:pPr>
        <w:ind w:hanging="360" w:left="1152"/>
      </w:pPr>
    </w:lvl>
  </w:abstractNum>
  <w:abstractNum w:abstractNumId="77">
    <w:multiLevelType w:val="hybridMultilevel"/>
    <w:name w:val="List 78"/>
    <w:lvl w:ilvl="0">
      <w:start w:val="1"/>
      <w:numFmt w:val="bullet"/>
      <w:lvlText w:val=""/>
      <w:lvlJc w:val="left"/>
      <w:pPr>
        <w:ind w:hanging="360" w:left="1152"/>
      </w:pPr>
      <w:rPr>
        <w:rFonts w:ascii="Wingdings" w:hAnsi="Wingdings" w:hint="default"/>
      </w:rPr>
    </w:lvl>
  </w:abstractNum>
  <w:abstractNum w:abstractNumId="78">
    <w:multiLevelType w:val="hybridMultilevel"/>
    <w:name w:val="List 79"/>
    <w:lvl w:ilvl="0">
      <w:start w:val="1"/>
      <w:numFmt w:val="decimal"/>
      <w:lvlText w:val="%1."/>
      <w:lvlJc w:val="left"/>
      <w:pPr>
        <w:ind w:hanging="360" w:left="1152"/>
      </w:pPr>
    </w:lvl>
  </w:abstractNum>
  <w:abstractNum w:abstractNumId="79">
    <w:multiLevelType w:val="hybridMultilevel"/>
    <w:name w:val="List 80"/>
    <w:lvl w:ilvl="0">
      <w:start w:val="1"/>
      <w:numFmt w:val="decimal"/>
      <w:lvlText w:val="%1."/>
      <w:lvlJc w:val="left"/>
      <w:pPr>
        <w:ind w:hanging="360" w:left="1152"/>
      </w:pPr>
    </w:lvl>
  </w:abstractNum>
  <w:abstractNum w:abstractNumId="80">
    <w:multiLevelType w:val="hybridMultilevel"/>
    <w:name w:val="List 81"/>
    <w:lvl w:ilvl="0">
      <w:start w:val="1"/>
      <w:numFmt w:val="bullet"/>
      <w:lvlText w:val=""/>
      <w:lvlJc w:val="left"/>
      <w:pPr>
        <w:ind w:hanging="360" w:left="1152"/>
      </w:pPr>
      <w:rPr>
        <w:rFonts w:ascii="Symbol" w:hAnsi="Symbol" w:hint="default"/>
      </w:rPr>
    </w:lvl>
  </w:abstractNum>
  <w:abstractNum w:abstractNumId="81">
    <w:multiLevelType w:val="hybridMultilevel"/>
    <w:name w:val="List 82"/>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82">
    <w:multiLevelType w:val="hybridMultilevel"/>
    <w:name w:val="List 83"/>
    <w:lvl w:ilvl="0">
      <w:start w:val="1"/>
      <w:numFmt w:val="decimal"/>
      <w:lvlText w:val="%1."/>
      <w:lvlJc w:val="left"/>
      <w:pPr>
        <w:ind w:hanging="360" w:left="1152"/>
      </w:pPr>
    </w:lvl>
  </w:abstractNum>
  <w:abstractNum w:abstractNumId="83">
    <w:multiLevelType w:val="hybridMultilevel"/>
    <w:name w:val="List 84"/>
    <w:lvl w:ilvl="0">
      <w:start w:val="1"/>
      <w:numFmt w:val="decimal"/>
      <w:lvlText w:val="%1."/>
      <w:lvlJc w:val="left"/>
      <w:pPr>
        <w:ind w:hanging="360" w:left="1152"/>
      </w:pPr>
    </w:lvl>
  </w:abstractNum>
  <w:abstractNum w:abstractNumId="84">
    <w:multiLevelType w:val="hybridMultilevel"/>
    <w:name w:val="List 85"/>
    <w:lvl w:ilvl="0">
      <w:start w:val="1"/>
      <w:numFmt w:val="bullet"/>
      <w:lvlText w:val=""/>
      <w:lvlJc w:val="left"/>
      <w:pPr>
        <w:ind w:hanging="360" w:left="1152"/>
      </w:pPr>
      <w:rPr>
        <w:rFonts w:ascii="Wingdings" w:hAnsi="Wingdings" w:hint="default"/>
      </w:rPr>
    </w:lvl>
  </w:abstractNum>
  <w:abstractNum w:abstractNumId="85">
    <w:multiLevelType w:val="hybridMultilevel"/>
    <w:name w:val="List 86"/>
    <w:lvl w:ilvl="0">
      <w:start w:val="1"/>
      <w:numFmt w:val="bullet"/>
      <w:lvlText w:val=""/>
      <w:lvlJc w:val="left"/>
      <w:pPr>
        <w:ind w:hanging="360" w:left="1152"/>
      </w:pPr>
      <w:rPr>
        <w:rFonts w:ascii="Wingdings" w:hAnsi="Wingdings" w:hint="default"/>
      </w:rPr>
    </w:lvl>
  </w:abstractNum>
  <w:abstractNum w:abstractNumId="86">
    <w:multiLevelType w:val="hybridMultilevel"/>
    <w:name w:val="List 87"/>
    <w:lvl w:ilvl="0">
      <w:start w:val="1"/>
      <w:numFmt w:val="decimal"/>
      <w:lvlText w:val="%1."/>
      <w:lvlJc w:val="left"/>
      <w:pPr>
        <w:ind w:hanging="360" w:left="1152"/>
      </w:pPr>
    </w:lvl>
  </w:abstractNum>
  <w:abstractNum w:abstractNumId="87">
    <w:multiLevelType w:val="hybridMultilevel"/>
    <w:name w:val="List 88"/>
    <w:lvl w:ilvl="0">
      <w:start w:val="1"/>
      <w:numFmt w:val="bullet"/>
      <w:lvlText w:val=""/>
      <w:lvlJc w:val="left"/>
      <w:pPr>
        <w:ind w:hanging="360" w:left="1152"/>
      </w:pPr>
      <w:rPr>
        <w:rFonts w:ascii="Wingdings" w:hAnsi="Wingdings" w:hint="default"/>
      </w:rPr>
    </w:lvl>
  </w:abstractNum>
  <w:abstractNum w:abstractNumId="88">
    <w:multiLevelType w:val="hybridMultilevel"/>
    <w:name w:val="List 89"/>
    <w:lvl w:ilvl="0">
      <w:start w:val="1"/>
      <w:numFmt w:val="bullet"/>
      <w:lvlText w:val=""/>
      <w:lvlJc w:val="left"/>
      <w:pPr>
        <w:ind w:hanging="360" w:left="1152"/>
      </w:pPr>
      <w:rPr>
        <w:rFonts w:ascii="Wingdings" w:hAnsi="Wingdings" w:hint="default"/>
      </w:rPr>
    </w:lvl>
  </w:abstractNum>
  <w:abstractNum w:abstractNumId="89">
    <w:multiLevelType w:val="hybridMultilevel"/>
    <w:name w:val="List 90"/>
    <w:lvl w:ilvl="0">
      <w:start w:val="1"/>
      <w:numFmt w:val="bullet"/>
      <w:lvlText w:val=""/>
      <w:lvlJc w:val="left"/>
      <w:pPr>
        <w:ind w:hanging="360" w:left="1152"/>
      </w:pPr>
      <w:rPr>
        <w:rFonts w:ascii="Wingdings" w:hAnsi="Wingdings" w:hint="default"/>
      </w:rPr>
    </w:lvl>
  </w:abstractNum>
  <w:abstractNum w:abstractNumId="90">
    <w:multiLevelType w:val="hybridMultilevel"/>
    <w:name w:val="List 91"/>
    <w:lvl w:ilvl="0">
      <w:start w:val="1"/>
      <w:numFmt w:val="bullet"/>
      <w:lvlText w:val=""/>
      <w:lvlJc w:val="left"/>
      <w:pPr>
        <w:ind w:hanging="360" w:left="1152"/>
      </w:pPr>
      <w:rPr>
        <w:rFonts w:ascii="Wingdings" w:hAnsi="Wingdings" w:hint="default"/>
      </w:rPr>
    </w:lvl>
  </w:abstractNum>
  <w:abstractNum w:abstractNumId="91">
    <w:multiLevelType w:val="hybridMultilevel"/>
    <w:name w:val="List 92"/>
    <w:lvl w:ilvl="0">
      <w:start w:val="1"/>
      <w:numFmt w:val="decimal"/>
      <w:lvlText w:val="%1."/>
      <w:lvlJc w:val="left"/>
      <w:pPr>
        <w:ind w:hanging="360" w:left="1152"/>
      </w:pPr>
    </w:lvl>
  </w:abstractNum>
  <w:abstractNum w:abstractNumId="92">
    <w:multiLevelType w:val="hybridMultilevel"/>
    <w:name w:val="List 93"/>
    <w:lvl w:ilvl="0">
      <w:start w:val="1"/>
      <w:numFmt w:val="decimal"/>
      <w:lvlText w:val="%1."/>
      <w:lvlJc w:val="left"/>
      <w:pPr>
        <w:ind w:hanging="360" w:left="1152"/>
      </w:pPr>
    </w:lvl>
  </w:abstractNum>
  <w:abstractNum w:abstractNumId="93">
    <w:multiLevelType w:val="hybridMultilevel"/>
    <w:name w:val="List 94"/>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94">
    <w:multiLevelType w:val="hybridMultilevel"/>
    <w:name w:val="List 95"/>
    <w:lvl w:ilvl="0">
      <w:start w:val="1"/>
      <w:numFmt w:val="bullet"/>
      <w:lvlText w:val=""/>
      <w:lvlJc w:val="left"/>
      <w:pPr>
        <w:ind w:hanging="360" w:left="1152"/>
      </w:pPr>
      <w:rPr>
        <w:rFonts w:ascii="Symbol" w:hAnsi="Symbol" w:hint="default"/>
      </w:rPr>
    </w:lvl>
  </w:abstractNum>
  <w:abstractNum w:abstractNumId="95">
    <w:multiLevelType w:val="hybridMultilevel"/>
    <w:name w:val="List 96"/>
    <w:lvl w:ilvl="0">
      <w:start w:val="1"/>
      <w:numFmt w:val="bullet"/>
      <w:lvlText w:val=""/>
      <w:lvlJc w:val="left"/>
      <w:pPr>
        <w:ind w:hanging="360" w:left="1152"/>
      </w:pPr>
      <w:rPr>
        <w:rFonts w:ascii="Wingdings" w:hAnsi="Wingdings" w:hint="default"/>
      </w:rPr>
    </w:lvl>
  </w:abstractNum>
  <w:abstractNum w:abstractNumId="96">
    <w:multiLevelType w:val="hybridMultilevel"/>
    <w:name w:val="List 97"/>
    <w:lvl w:ilvl="0">
      <w:start w:val="1"/>
      <w:numFmt w:val="decimal"/>
      <w:lvlText w:val="%1."/>
      <w:lvlJc w:val="left"/>
      <w:pPr>
        <w:ind w:hanging="360" w:left="1152"/>
      </w:pPr>
    </w:lvl>
  </w:abstractNum>
  <w:abstractNum w:abstractNumId="97">
    <w:multiLevelType w:val="hybridMultilevel"/>
    <w:name w:val="List 98"/>
    <w:lvl w:ilvl="0">
      <w:start w:val="1"/>
      <w:numFmt w:val="decimal"/>
      <w:lvlText w:val="%1."/>
      <w:lvlJc w:val="left"/>
      <w:pPr>
        <w:ind w:hanging="360" w:left="1152"/>
      </w:pPr>
    </w:lvl>
  </w:abstractNum>
  <w:abstractNum w:abstractNumId="98">
    <w:multiLevelType w:val="hybridMultilevel"/>
    <w:name w:val="List 99"/>
    <w:lvl w:ilvl="0">
      <w:start w:val="1"/>
      <w:numFmt w:val="bullet"/>
      <w:lvlText w:val=""/>
      <w:lvlJc w:val="left"/>
      <w:pPr>
        <w:ind w:hanging="360" w:left="1152"/>
      </w:pPr>
      <w:rPr>
        <w:rFonts w:ascii="Wingdings" w:hAnsi="Wingdings" w:hint="default"/>
      </w:rPr>
    </w:lvl>
  </w:abstractNum>
  <w:abstractNum w:abstractNumId="99">
    <w:multiLevelType w:val="hybridMultilevel"/>
    <w:name w:val="List 100"/>
    <w:lvl w:ilvl="0">
      <w:start w:val="1"/>
      <w:numFmt w:val="bullet"/>
      <w:lvlText w:val=""/>
      <w:lvlJc w:val="left"/>
      <w:pPr>
        <w:ind w:hanging="360" w:left="1152"/>
      </w:pPr>
      <w:rPr>
        <w:rFonts w:ascii="Symbol" w:hAnsi="Symbol" w:hint="default"/>
      </w:rPr>
    </w:lvl>
  </w:abstractNum>
  <w:abstractNum w:abstractNumId="100">
    <w:multiLevelType w:val="hybridMultilevel"/>
    <w:name w:val="List 101"/>
    <w:lvl w:ilvl="0">
      <w:start w:val="1"/>
      <w:numFmt w:val="bullet"/>
      <w:lvlText w:val=""/>
      <w:lvlJc w:val="left"/>
      <w:pPr>
        <w:ind w:hanging="360" w:left="1152"/>
      </w:pPr>
      <w:rPr>
        <w:rFonts w:ascii="Wingdings" w:hAnsi="Wingdings" w:hint="default"/>
      </w:rPr>
    </w:lvl>
  </w:abstractNum>
  <w:abstractNum w:abstractNumId="101">
    <w:multiLevelType w:val="hybridMultilevel"/>
    <w:name w:val="List 102"/>
    <w:lvl w:ilvl="0">
      <w:start w:val="1"/>
      <w:numFmt w:val="lowerLetter"/>
      <w:lvlText w:val="%1."/>
      <w:lvlJc w:val="left"/>
      <w:pPr>
        <w:ind w:hanging="360" w:left="1152"/>
      </w:pPr>
    </w:lvl>
  </w:abstractNum>
  <w:abstractNum w:abstractNumId="102">
    <w:multiLevelType w:val="hybridMultilevel"/>
    <w:name w:val="List 103"/>
    <w:lvl w:ilvl="0">
      <w:start w:val="1"/>
      <w:numFmt w:val="bullet"/>
      <w:lvlText w:val=""/>
      <w:lvlJc w:val="left"/>
      <w:pPr>
        <w:ind w:hanging="360" w:left="1152"/>
      </w:pPr>
      <w:rPr>
        <w:rFonts w:ascii="Wingdings" w:hAnsi="Wingdings" w:hint="default"/>
      </w:rPr>
    </w:lvl>
  </w:abstractNum>
  <w:abstractNum w:abstractNumId="103">
    <w:multiLevelType w:val="hybridMultilevel"/>
    <w:name w:val="List 104"/>
    <w:lvl w:ilvl="0">
      <w:start w:val="1"/>
      <w:numFmt w:val="bullet"/>
      <w:lvlText w:val=""/>
      <w:lvlJc w:val="left"/>
      <w:pPr>
        <w:ind w:hanging="360" w:left="1152"/>
      </w:pPr>
      <w:rPr>
        <w:rFonts w:ascii="Wingdings" w:hAnsi="Wingdings" w:hint="default"/>
      </w:rPr>
    </w:lvl>
  </w:abstractNum>
  <w:abstractNum w:abstractNumId="104">
    <w:multiLevelType w:val="hybridMultilevel"/>
    <w:name w:val="List 105"/>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05">
    <w:multiLevelType w:val="hybridMultilevel"/>
    <w:name w:val="List 106"/>
    <w:lvl w:ilvl="0">
      <w:start w:val="1"/>
      <w:numFmt w:val="decimal"/>
      <w:lvlText w:val="%1."/>
      <w:lvlJc w:val="left"/>
      <w:pPr>
        <w:ind w:hanging="360" w:left="1152"/>
      </w:pPr>
    </w:lvl>
  </w:abstractNum>
  <w:abstractNum w:abstractNumId="106">
    <w:multiLevelType w:val="hybridMultilevel"/>
    <w:name w:val="List 107"/>
    <w:lvl w:ilvl="0">
      <w:start w:val="1"/>
      <w:numFmt w:val="decimal"/>
      <w:lvlText w:val="%1."/>
      <w:lvlJc w:val="left"/>
      <w:pPr>
        <w:ind w:hanging="360" w:left="1152"/>
      </w:pPr>
    </w:lvl>
  </w:abstractNum>
  <w:abstractNum w:abstractNumId="107">
    <w:multiLevelType w:val="hybridMultilevel"/>
    <w:name w:val="List 108"/>
    <w:lvl w:ilvl="0">
      <w:start w:val="1"/>
      <w:numFmt w:val="decimal"/>
      <w:lvlText w:val="%1."/>
      <w:lvlJc w:val="left"/>
      <w:pPr>
        <w:ind w:hanging="360" w:left="1152"/>
      </w:pPr>
    </w:lvl>
  </w:abstractNum>
  <w:abstractNum w:abstractNumId="108">
    <w:multiLevelType w:val="hybridMultilevel"/>
    <w:name w:val="List 109"/>
    <w:lvl w:ilvl="0">
      <w:start w:val="3"/>
      <w:numFmt w:val="decimal"/>
      <w:lvlText w:val="%1."/>
      <w:lvlJc w:val="left"/>
      <w:pPr>
        <w:ind w:hanging="360" w:left="1152"/>
      </w:pPr>
    </w:lvl>
  </w:abstractNum>
  <w:abstractNum w:abstractNumId="109">
    <w:multiLevelType w:val="hybridMultilevel"/>
    <w:name w:val="List 110"/>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10">
    <w:multiLevelType w:val="hybridMultilevel"/>
    <w:name w:val="List 111"/>
    <w:lvl w:ilvl="0">
      <w:start w:val="1"/>
      <w:numFmt w:val="bullet"/>
      <w:lvlText w:val=""/>
      <w:lvlJc w:val="left"/>
      <w:pPr>
        <w:ind w:hanging="360" w:left="1152"/>
      </w:pPr>
      <w:rPr>
        <w:rFonts w:ascii="Wingdings" w:hAnsi="Wingdings" w:hint="default"/>
      </w:rPr>
    </w:lvl>
  </w:abstractNum>
  <w:abstractNum w:abstractNumId="111">
    <w:multiLevelType w:val="hybridMultilevel"/>
    <w:name w:val="List 112"/>
    <w:lvl w:ilvl="0">
      <w:start w:val="1"/>
      <w:numFmt w:val="bullet"/>
      <w:lvlText w:val=""/>
      <w:lvlJc w:val="left"/>
      <w:pPr>
        <w:ind w:hanging="360" w:left="1152"/>
      </w:pPr>
      <w:rPr>
        <w:rFonts w:ascii="Wingdings" w:hAnsi="Wingdings" w:hint="default"/>
      </w:rPr>
    </w:lvl>
  </w:abstractNum>
  <w:abstractNum w:abstractNumId="112">
    <w:multiLevelType w:val="hybridMultilevel"/>
    <w:name w:val="List 113"/>
    <w:lvl w:ilvl="0">
      <w:start w:val="1"/>
      <w:numFmt w:val="bullet"/>
      <w:lvlText w:val=""/>
      <w:lvlJc w:val="left"/>
      <w:pPr>
        <w:ind w:hanging="360" w:left="1152"/>
      </w:pPr>
      <w:rPr>
        <w:rFonts w:ascii="Wingdings" w:hAnsi="Wingdings" w:hint="default"/>
      </w:rPr>
    </w:lvl>
  </w:abstractNum>
  <w:abstractNum w:abstractNumId="113">
    <w:multiLevelType w:val="hybridMultilevel"/>
    <w:name w:val="List 114"/>
    <w:lvl w:ilvl="0">
      <w:start w:val="1"/>
      <w:numFmt w:val="bullet"/>
      <w:lvlText w:val=""/>
      <w:lvlJc w:val="left"/>
      <w:pPr>
        <w:ind w:hanging="360" w:left="1152"/>
      </w:pPr>
      <w:rPr>
        <w:rFonts w:ascii="Wingdings" w:hAnsi="Wingdings" w:hint="default"/>
      </w:rPr>
    </w:lvl>
  </w:abstractNum>
  <w:abstractNum w:abstractNumId="114">
    <w:multiLevelType w:val="hybridMultilevel"/>
    <w:name w:val="List 115"/>
    <w:lvl w:ilvl="0">
      <w:start w:val="1"/>
      <w:numFmt w:val="bullet"/>
      <w:lvlText w:val=""/>
      <w:lvlJc w:val="left"/>
      <w:pPr>
        <w:ind w:hanging="360" w:left="1152"/>
      </w:pPr>
      <w:rPr>
        <w:rFonts w:ascii="Wingdings" w:hAnsi="Wingdings" w:hint="default"/>
      </w:rPr>
    </w:lvl>
  </w:abstractNum>
  <w:abstractNum w:abstractNumId="115">
    <w:multiLevelType w:val="hybridMultilevel"/>
    <w:name w:val="List 116"/>
    <w:lvl w:ilvl="0">
      <w:start w:val="1"/>
      <w:numFmt w:val="bullet"/>
      <w:lvlText w:val=""/>
      <w:lvlJc w:val="left"/>
      <w:pPr>
        <w:ind w:hanging="360" w:left="1152"/>
      </w:pPr>
      <w:rPr>
        <w:rFonts w:ascii="Wingdings" w:hAnsi="Wingdings" w:hint="default"/>
      </w:rPr>
    </w:lvl>
  </w:abstractNum>
  <w:abstractNum w:abstractNumId="116">
    <w:multiLevelType w:val="hybridMultilevel"/>
    <w:name w:val="List 117"/>
    <w:lvl w:ilvl="0">
      <w:start w:val="1"/>
      <w:numFmt w:val="bullet"/>
      <w:lvlText w:val=""/>
      <w:lvlJc w:val="left"/>
      <w:pPr>
        <w:ind w:hanging="360" w:left="1152"/>
      </w:pPr>
      <w:rPr>
        <w:rFonts w:ascii="Wingdings" w:hAnsi="Wingdings" w:hint="default"/>
      </w:rPr>
    </w:lvl>
  </w:abstractNum>
  <w:abstractNum w:abstractNumId="117">
    <w:multiLevelType w:val="hybridMultilevel"/>
    <w:name w:val="List 118"/>
    <w:lvl w:ilvl="0">
      <w:start w:val="1"/>
      <w:numFmt w:val="bullet"/>
      <w:lvlText w:val=""/>
      <w:lvlJc w:val="left"/>
      <w:pPr>
        <w:ind w:hanging="360" w:left="1152"/>
      </w:pPr>
      <w:rPr>
        <w:rFonts w:ascii="Wingdings" w:hAnsi="Wingdings" w:hint="default"/>
      </w:rPr>
    </w:lvl>
  </w:abstractNum>
  <w:abstractNum w:abstractNumId="118">
    <w:multiLevelType w:val="hybridMultilevel"/>
    <w:name w:val="List 119"/>
    <w:lvl w:ilvl="0">
      <w:start w:val="1"/>
      <w:numFmt w:val="bullet"/>
      <w:lvlText w:val=""/>
      <w:lvlJc w:val="left"/>
      <w:pPr>
        <w:ind w:hanging="360" w:left="1152"/>
      </w:pPr>
      <w:rPr>
        <w:rFonts w:ascii="Wingdings" w:hAnsi="Wingdings" w:hint="default"/>
      </w:rPr>
    </w:lvl>
  </w:abstractNum>
  <w:abstractNum w:abstractNumId="119">
    <w:multiLevelType w:val="hybridMultilevel"/>
    <w:name w:val="List 120"/>
    <w:lvl w:ilvl="0">
      <w:start w:val="1"/>
      <w:numFmt w:val="bullet"/>
      <w:lvlText w:val=""/>
      <w:lvlJc w:val="left"/>
      <w:pPr>
        <w:ind w:hanging="360" w:left="1152"/>
      </w:pPr>
      <w:rPr>
        <w:rFonts w:ascii="Wingdings" w:hAnsi="Wingdings" w:hint="default"/>
      </w:rPr>
    </w:lvl>
  </w:abstractNum>
  <w:abstractNum w:abstractNumId="120">
    <w:multiLevelType w:val="hybridMultilevel"/>
    <w:name w:val="List 121"/>
    <w:lvl w:ilvl="0">
      <w:start w:val="1"/>
      <w:numFmt w:val="lowerLetter"/>
      <w:lvlText w:val="%1."/>
      <w:lvlJc w:val="left"/>
      <w:pPr>
        <w:ind w:hanging="360" w:left="1152"/>
      </w:pPr>
    </w:lvl>
  </w:abstractNum>
  <w:abstractNum w:abstractNumId="121">
    <w:multiLevelType w:val="hybridMultilevel"/>
    <w:name w:val="List 122"/>
    <w:lvl w:ilvl="0">
      <w:start w:val="1"/>
      <w:numFmt w:val="bullet"/>
      <w:lvlText w:val=""/>
      <w:lvlJc w:val="left"/>
      <w:pPr>
        <w:ind w:hanging="360" w:left="1152"/>
      </w:pPr>
      <w:rPr>
        <w:rFonts w:ascii="Wingdings" w:hAnsi="Wingdings" w:hint="default"/>
      </w:rPr>
    </w:lvl>
  </w:abstractNum>
  <w:abstractNum w:abstractNumId="122">
    <w:multiLevelType w:val="hybridMultilevel"/>
    <w:name w:val="List 123"/>
    <w:lvl w:ilvl="0">
      <w:start w:val="1"/>
      <w:numFmt w:val="decimal"/>
      <w:lvlText w:val="%1."/>
      <w:lvlJc w:val="left"/>
      <w:pPr>
        <w:ind w:hanging="360" w:left="1152"/>
      </w:pPr>
    </w:lvl>
    <w:lvl w:ilvl="1">
      <w:start w:val="1"/>
      <w:numFmt w:val="lowerRoman"/>
      <w:lvlText w:val="%2."/>
      <w:lvlJc w:val="left"/>
      <w:pPr>
        <w:ind w:hanging="360" w:left="1512"/>
      </w:pPr>
    </w:lvl>
    <w:lvl w:ilvl="2">
      <w:start w:val="1"/>
      <w:numFmt w:val="lowerLetter"/>
      <w:lvlText w:val="%3."/>
      <w:lvlJc w:val="left"/>
      <w:pPr>
        <w:ind w:hanging="360" w:left="1872"/>
      </w:pPr>
    </w:lvl>
  </w:abstractNum>
  <w:abstractNum w:abstractNumId="123">
    <w:multiLevelType w:val="hybridMultilevel"/>
    <w:name w:val="List 124"/>
    <w:lvl w:ilvl="0">
      <w:start w:val="1"/>
      <w:numFmt w:val="bullet"/>
      <w:lvlText w:val=""/>
      <w:lvlJc w:val="left"/>
      <w:pPr>
        <w:ind w:hanging="360" w:left="1152"/>
      </w:pPr>
      <w:rPr>
        <w:rFonts w:ascii="Wingdings" w:hAnsi="Wingdings" w:hint="default"/>
      </w:rPr>
    </w:lvl>
  </w:abstractNum>
  <w:abstractNum w:abstractNumId="124">
    <w:multiLevelType w:val="hybridMultilevel"/>
    <w:name w:val="List 125"/>
    <w:lvl w:ilvl="0">
      <w:start w:val="1"/>
      <w:numFmt w:val="bullet"/>
      <w:lvlText w:val=""/>
      <w:lvlJc w:val="left"/>
      <w:pPr>
        <w:ind w:hanging="360" w:left="1152"/>
      </w:pPr>
      <w:rPr>
        <w:rFonts w:ascii="Wingdings" w:hAnsi="Wingdings" w:hint="default"/>
      </w:rPr>
    </w:lvl>
  </w:abstractNum>
  <w:abstractNum w:abstractNumId="125">
    <w:multiLevelType w:val="hybridMultilevel"/>
    <w:name w:val="List 126"/>
    <w:lvl w:ilvl="0">
      <w:start w:val="1"/>
      <w:numFmt w:val="bullet"/>
      <w:lvlText w:val=""/>
      <w:lvlJc w:val="left"/>
      <w:pPr>
        <w:ind w:hanging="360" w:left="1152"/>
      </w:pPr>
      <w:rPr>
        <w:rFonts w:ascii="Wingdings" w:hAnsi="Wingdings" w:hint="default"/>
      </w:rPr>
    </w:lvl>
  </w:abstractNum>
  <w:abstractNum w:abstractNumId="126">
    <w:multiLevelType w:val="hybridMultilevel"/>
    <w:name w:val="List 127"/>
    <w:lvl w:ilvl="0">
      <w:start w:val="1"/>
      <w:numFmt w:val="decimal"/>
      <w:lvlText w:val="%1."/>
      <w:lvlJc w:val="left"/>
      <w:pPr>
        <w:ind w:hanging="360" w:left="1152"/>
      </w:pPr>
    </w:lvl>
  </w:abstractNum>
  <w:abstractNum w:abstractNumId="127">
    <w:multiLevelType w:val="hybridMultilevel"/>
    <w:name w:val="List 128"/>
    <w:lvl w:ilvl="0">
      <w:start w:val="1"/>
      <w:numFmt w:val="bullet"/>
      <w:lvlText w:val=""/>
      <w:lvlJc w:val="left"/>
      <w:pPr>
        <w:ind w:hanging="360" w:left="1152"/>
      </w:pPr>
      <w:rPr>
        <w:rFonts w:ascii="Wingdings" w:hAnsi="Wingdings" w:hint="default"/>
      </w:rPr>
    </w:lvl>
  </w:abstractNum>
  <w:abstractNum w:abstractNumId="128">
    <w:multiLevelType w:val="hybridMultilevel"/>
    <w:name w:val="List 129"/>
    <w:lvl w:ilvl="0">
      <w:start w:val="1"/>
      <w:numFmt w:val="bullet"/>
      <w:lvlText w:val=""/>
      <w:lvlJc w:val="left"/>
      <w:pPr>
        <w:ind w:hanging="360" w:left="1152"/>
      </w:pPr>
      <w:rPr>
        <w:rFonts w:ascii="Wingdings" w:hAnsi="Wingdings" w:hint="default"/>
      </w:rPr>
    </w:lvl>
  </w:abstractNum>
  <w:abstractNum w:abstractNumId="129">
    <w:multiLevelType w:val="hybridMultilevel"/>
    <w:name w:val="List 130"/>
    <w:lvl w:ilvl="0">
      <w:start w:val="1"/>
      <w:numFmt w:val="bullet"/>
      <w:lvlText w:val=""/>
      <w:lvlJc w:val="left"/>
      <w:pPr>
        <w:ind w:hanging="360" w:left="1152"/>
      </w:pPr>
      <w:rPr>
        <w:rFonts w:ascii="Wingdings" w:hAnsi="Wingdings" w:hint="default"/>
      </w:rPr>
    </w:lvl>
  </w:abstractNum>
  <w:abstractNum w:abstractNumId="130">
    <w:multiLevelType w:val="hybridMultilevel"/>
    <w:name w:val="List 131"/>
    <w:lvl w:ilvl="0">
      <w:start w:val="1"/>
      <w:numFmt w:val="bullet"/>
      <w:lvlText w:val=""/>
      <w:lvlJc w:val="left"/>
      <w:pPr>
        <w:ind w:hanging="360" w:left="1152"/>
      </w:pPr>
      <w:rPr>
        <w:rFonts w:ascii="Wingdings" w:hAnsi="Wingdings" w:hint="default"/>
      </w:rPr>
    </w:lvl>
  </w:abstractNum>
  <w:abstractNum w:abstractNumId="131">
    <w:multiLevelType w:val="hybridMultilevel"/>
    <w:name w:val="List 132"/>
    <w:lvl w:ilvl="0">
      <w:start w:val="1"/>
      <w:numFmt w:val="bullet"/>
      <w:lvlText w:val=""/>
      <w:lvlJc w:val="left"/>
      <w:pPr>
        <w:ind w:hanging="360" w:left="1152"/>
      </w:pPr>
      <w:rPr>
        <w:rFonts w:ascii="Wingdings" w:hAnsi="Wingdings" w:hint="default"/>
      </w:rPr>
    </w:lvl>
  </w:abstractNum>
  <w:abstractNum w:abstractNumId="132">
    <w:multiLevelType w:val="hybridMultilevel"/>
    <w:name w:val="List 133"/>
    <w:lvl w:ilvl="0">
      <w:start w:val="1"/>
      <w:numFmt w:val="decimal"/>
      <w:lvlText w:val="%1."/>
      <w:lvlJc w:val="left"/>
      <w:pPr>
        <w:ind w:hanging="360" w:left="1152"/>
      </w:pPr>
    </w:lvl>
  </w:abstractNum>
  <w:abstractNum w:abstractNumId="133">
    <w:multiLevelType w:val="hybridMultilevel"/>
    <w:name w:val="List 134"/>
    <w:lvl w:ilvl="0">
      <w:start w:val="1"/>
      <w:numFmt w:val="decimal"/>
      <w:lvlText w:val="%1."/>
      <w:lvlJc w:val="left"/>
      <w:pPr>
        <w:ind w:hanging="360" w:left="1152"/>
      </w:pPr>
    </w:lvl>
  </w:abstractNum>
  <w:abstractNum w:abstractNumId="134">
    <w:multiLevelType w:val="hybridMultilevel"/>
    <w:name w:val="List 135"/>
    <w:lvl w:ilvl="0">
      <w:start w:val="1"/>
      <w:numFmt w:val="decimal"/>
      <w:lvlText w:val="%1."/>
      <w:lvlJc w:val="left"/>
      <w:pPr>
        <w:ind w:hanging="360" w:left="1152"/>
      </w:pPr>
    </w:lvl>
  </w:abstractNum>
  <w:abstractNum w:abstractNumId="135">
    <w:multiLevelType w:val="hybridMultilevel"/>
    <w:name w:val="List 136"/>
    <w:lvl w:ilvl="0">
      <w:start w:val="2"/>
      <w:numFmt w:val="decimal"/>
      <w:lvlText w:val="%1."/>
      <w:lvlJc w:val="left"/>
      <w:pPr>
        <w:ind w:hanging="360" w:left="1152"/>
      </w:pPr>
    </w:lvl>
  </w:abstractNum>
  <w:abstractNum w:abstractNumId="136">
    <w:multiLevelType w:val="hybridMultilevel"/>
    <w:name w:val="List 137"/>
    <w:lvl w:ilvl="0">
      <w:start w:val="1"/>
      <w:numFmt w:val="bullet"/>
      <w:lvlText w:val=""/>
      <w:lvlJc w:val="left"/>
      <w:pPr>
        <w:ind w:hanging="360" w:left="1152"/>
      </w:pPr>
      <w:rPr>
        <w:rFonts w:ascii="Wingdings" w:hAnsi="Wingdings" w:hint="default"/>
      </w:rPr>
    </w:lvl>
  </w:abstractNum>
  <w:abstractNum w:abstractNumId="137">
    <w:multiLevelType w:val="hybridMultilevel"/>
    <w:name w:val="List 138"/>
    <w:lvl w:ilvl="0">
      <w:start w:val="1"/>
      <w:numFmt w:val="bullet"/>
      <w:lvlText w:val=""/>
      <w:lvlJc w:val="left"/>
      <w:pPr>
        <w:ind w:hanging="360" w:left="1152"/>
      </w:pPr>
      <w:rPr>
        <w:rFonts w:ascii="Wingdings" w:hAnsi="Wingdings" w:hint="default"/>
      </w:rPr>
    </w:lvl>
  </w:abstractNum>
  <w:abstractNum w:abstractNumId="138">
    <w:multiLevelType w:val="hybridMultilevel"/>
    <w:name w:val="List 139"/>
    <w:lvl w:ilvl="0">
      <w:start w:val="1"/>
      <w:numFmt w:val="decimal"/>
      <w:lvlText w:val="%1."/>
      <w:lvlJc w:val="left"/>
      <w:pPr>
        <w:ind w:hanging="360" w:left="1152"/>
      </w:pPr>
    </w:lvl>
  </w:abstractNum>
  <w:abstractNum w:abstractNumId="139">
    <w:multiLevelType w:val="hybridMultilevel"/>
    <w:name w:val="List 140"/>
    <w:lvl w:ilvl="0">
      <w:start w:val="1"/>
      <w:numFmt w:val="decimal"/>
      <w:lvlText w:val="%1."/>
      <w:lvlJc w:val="left"/>
      <w:pPr>
        <w:ind w:hanging="360" w:left="1152"/>
      </w:pPr>
    </w:lvl>
    <w:lvl w:ilvl="1">
      <w:start w:val="1"/>
      <w:numFmt w:val="lowerLetter"/>
      <w:lvlText w:val="%2."/>
      <w:lvlJc w:val="left"/>
      <w:pPr>
        <w:ind w:hanging="360" w:left="1512"/>
      </w:pPr>
    </w:lvl>
    <w:lvl w:ilvl="2">
      <w:start w:val="1"/>
      <w:numFmt w:val="lowerLetter"/>
      <w:lvlText w:val="%3."/>
      <w:lvlJc w:val="left"/>
      <w:pPr>
        <w:ind w:hanging="360" w:left="1872"/>
      </w:pPr>
    </w:lvl>
  </w:abstractNum>
  <w:abstractNum w:abstractNumId="140">
    <w:multiLevelType w:val="hybridMultilevel"/>
    <w:name w:val="List 141"/>
    <w:lvl w:ilvl="0">
      <w:start w:val="1"/>
      <w:numFmt w:val="lowerLetter"/>
      <w:lvlText w:val="%1."/>
      <w:lvlJc w:val="left"/>
      <w:pPr>
        <w:ind w:hanging="360" w:left="1152"/>
      </w:pPr>
    </w:lvl>
  </w:abstractNum>
  <w:abstractNum w:abstractNumId="141">
    <w:multiLevelType w:val="hybridMultilevel"/>
    <w:name w:val="List 142"/>
    <w:lvl w:ilvl="0">
      <w:start w:val="1"/>
      <w:numFmt w:val="lowerLetter"/>
      <w:lvlText w:val="%1."/>
      <w:lvlJc w:val="left"/>
      <w:pPr>
        <w:ind w:hanging="360" w:left="1152"/>
      </w:pPr>
    </w:lvl>
  </w:abstractNum>
  <w:abstractNum w:abstractNumId="142">
    <w:multiLevelType w:val="hybridMultilevel"/>
    <w:name w:val="List 143"/>
    <w:lvl w:ilvl="0">
      <w:start w:val="1"/>
      <w:numFmt w:val="decimal"/>
      <w:lvlText w:val="%1."/>
      <w:lvlJc w:val="left"/>
      <w:pPr>
        <w:ind w:hanging="360" w:left="1152"/>
      </w:pPr>
    </w:lvl>
  </w:abstractNum>
  <w:abstractNum w:abstractNumId="143">
    <w:multiLevelType w:val="hybridMultilevel"/>
    <w:name w:val="List 144"/>
    <w:lvl w:ilvl="0">
      <w:start w:val="1"/>
      <w:numFmt w:val="bullet"/>
      <w:lvlText w:val=""/>
      <w:lvlJc w:val="left"/>
      <w:pPr>
        <w:ind w:hanging="360" w:left="1152"/>
      </w:pPr>
      <w:rPr>
        <w:rFonts w:ascii="Wingdings" w:hAnsi="Wingdings" w:hint="default"/>
      </w:rPr>
    </w:lvl>
  </w:abstractNum>
  <w:abstractNum w:abstractNumId="144">
    <w:multiLevelType w:val="hybridMultilevel"/>
    <w:name w:val="List 145"/>
    <w:lvl w:ilvl="0">
      <w:start w:val="1"/>
      <w:numFmt w:val="bullet"/>
      <w:lvlText w:val=""/>
      <w:lvlJc w:val="left"/>
      <w:pPr>
        <w:ind w:hanging="360" w:left="1152"/>
      </w:pPr>
      <w:rPr>
        <w:rFonts w:ascii="Wingdings" w:hAnsi="Wingdings" w:hint="default"/>
      </w:rPr>
    </w:lvl>
  </w:abstractNum>
  <w:abstractNum w:abstractNumId="145">
    <w:multiLevelType w:val="hybridMultilevel"/>
    <w:name w:val="List 146"/>
    <w:lvl w:ilvl="0">
      <w:start w:val="1"/>
      <w:numFmt w:val="bullet"/>
      <w:lvlText w:val=""/>
      <w:lvlJc w:val="left"/>
      <w:pPr>
        <w:ind w:hanging="360" w:left="1152"/>
      </w:pPr>
      <w:rPr>
        <w:rFonts w:ascii="Wingdings" w:hAnsi="Wingdings" w:hint="default"/>
      </w:rPr>
    </w:lvl>
  </w:abstractNum>
  <w:abstractNum w:abstractNumId="146">
    <w:multiLevelType w:val="hybridMultilevel"/>
    <w:name w:val="List 147"/>
    <w:lvl w:ilvl="0">
      <w:start w:val="1"/>
      <w:numFmt w:val="bullet"/>
      <w:lvlText w:val=""/>
      <w:lvlJc w:val="left"/>
      <w:pPr>
        <w:ind w:hanging="360" w:left="1152"/>
      </w:pPr>
      <w:rPr>
        <w:rFonts w:ascii="Wingdings" w:hAnsi="Wingdings" w:hint="default"/>
      </w:rPr>
    </w:lvl>
  </w:abstractNum>
  <w:abstractNum w:abstractNumId="147">
    <w:multiLevelType w:val="hybridMultilevel"/>
    <w:name w:val="List 148"/>
    <w:lvl w:ilvl="0">
      <w:start w:val="1"/>
      <w:numFmt w:val="bullet"/>
      <w:lvlText w:val=""/>
      <w:lvlJc w:val="left"/>
      <w:pPr>
        <w:ind w:hanging="360" w:left="1152"/>
      </w:pPr>
      <w:rPr>
        <w:rFonts w:ascii="Wingdings" w:hAnsi="Wingdings" w:hint="default"/>
      </w:rPr>
    </w:lvl>
    <w:lvl w:ilvl="1">
      <w:start w:val="1"/>
      <w:numFmt w:val="bullet"/>
      <w:lvlText w:val=""/>
      <w:lvlJc w:val="left"/>
      <w:pPr>
        <w:ind w:hanging="360" w:left="1512"/>
      </w:pPr>
      <w:rPr>
        <w:rFonts w:ascii="Wingdings" w:hAnsi="Wingdings" w:hint="default"/>
      </w:rPr>
    </w:lvl>
  </w:abstractNum>
  <w:abstractNum w:abstractNumId="148">
    <w:multiLevelType w:val="hybridMultilevel"/>
    <w:name w:val="List 149"/>
    <w:lvl w:ilvl="0">
      <w:start w:val="1"/>
      <w:numFmt w:val="bullet"/>
      <w:lvlText w:val=""/>
      <w:lvlJc w:val="left"/>
      <w:pPr>
        <w:ind w:hanging="360" w:left="1152"/>
      </w:pPr>
      <w:rPr>
        <w:rFonts w:ascii="Wingdings" w:hAnsi="Wingdings" w:hint="default"/>
      </w:rPr>
    </w:lvl>
  </w:abstractNum>
  <w:abstractNum w:abstractNumId="149">
    <w:multiLevelType w:val="hybridMultilevel"/>
    <w:name w:val="List 150"/>
    <w:lvl w:ilvl="0">
      <w:start w:val="1"/>
      <w:numFmt w:val="bullet"/>
      <w:lvlText w:val=""/>
      <w:lvlJc w:val="left"/>
      <w:pPr>
        <w:ind w:hanging="360" w:left="1152"/>
      </w:pPr>
      <w:rPr>
        <w:rFonts w:ascii="Wingdings" w:hAnsi="Wingdings" w:hint="default"/>
      </w:rPr>
    </w:lvl>
    <w:lvl w:ilvl="1">
      <w:start w:val="1"/>
      <w:numFmt w:val="bullet"/>
      <w:lvlText w:val=""/>
      <w:lvlJc w:val="left"/>
      <w:pPr>
        <w:ind w:hanging="360" w:left="1512"/>
      </w:pPr>
      <w:rPr>
        <w:rFonts w:ascii="Wingdings" w:hAnsi="Wingdings" w:hint="default"/>
      </w:rPr>
    </w:lvl>
  </w:abstractNum>
  <w:abstractNum w:abstractNumId="150">
    <w:multiLevelType w:val="hybridMultilevel"/>
    <w:name w:val="List 151"/>
    <w:lvl w:ilvl="0">
      <w:start w:val="1"/>
      <w:numFmt w:val="bullet"/>
      <w:lvlText w:val=""/>
      <w:lvlJc w:val="left"/>
      <w:pPr>
        <w:ind w:hanging="360" w:left="1152"/>
      </w:pPr>
      <w:rPr>
        <w:rFonts w:ascii="Wingdings" w:hAnsi="Wingdings" w:hint="default"/>
      </w:rPr>
    </w:lvl>
    <w:lvl w:ilvl="1">
      <w:start w:val="1"/>
      <w:numFmt w:val="bullet"/>
      <w:lvlText w:val=""/>
      <w:lvlJc w:val="left"/>
      <w:pPr>
        <w:ind w:hanging="360" w:left="1512"/>
      </w:pPr>
      <w:rPr>
        <w:rFonts w:ascii="Wingdings" w:hAnsi="Wingdings" w:hint="default"/>
      </w:rPr>
    </w:lvl>
  </w:abstractNum>
  <w:abstractNum w:abstractNumId="151">
    <w:multiLevelType w:val="hybridMultilevel"/>
    <w:name w:val="List 152"/>
    <w:lvl w:ilvl="0">
      <w:start w:val="1"/>
      <w:numFmt w:val="bullet"/>
      <w:lvlText w:val=""/>
      <w:lvlJc w:val="left"/>
      <w:pPr>
        <w:ind w:hanging="360" w:left="1152"/>
      </w:pPr>
      <w:rPr>
        <w:rFonts w:ascii="Wingdings" w:hAnsi="Wingdings" w:hint="default"/>
      </w:rPr>
    </w:lvl>
  </w:abstractNum>
  <w:abstractNum w:abstractNumId="152">
    <w:multiLevelType w:val="hybridMultilevel"/>
    <w:name w:val="List 153"/>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53">
    <w:multiLevelType w:val="hybridMultilevel"/>
    <w:name w:val="List 154"/>
    <w:lvl w:ilvl="0">
      <w:start w:val="1"/>
      <w:numFmt w:val="bullet"/>
      <w:lvlText w:val=""/>
      <w:lvlJc w:val="left"/>
      <w:pPr>
        <w:ind w:hanging="360" w:left="1152"/>
      </w:pPr>
      <w:rPr>
        <w:rFonts w:ascii="Wingdings" w:hAnsi="Wingdings" w:hint="default"/>
      </w:rPr>
    </w:lvl>
  </w:abstractNum>
  <w:abstractNum w:abstractNumId="154">
    <w:multiLevelType w:val="hybridMultilevel"/>
    <w:name w:val="List 155"/>
    <w:lvl w:ilvl="0">
      <w:start w:val="1"/>
      <w:numFmt w:val="decimal"/>
      <w:lvlText w:val="%1."/>
      <w:lvlJc w:val="left"/>
      <w:pPr>
        <w:ind w:hanging="360" w:left="1152"/>
      </w:pPr>
    </w:lvl>
  </w:abstractNum>
  <w:abstractNum w:abstractNumId="155">
    <w:multiLevelType w:val="hybridMultilevel"/>
    <w:name w:val="List 156"/>
    <w:lvl w:ilvl="0">
      <w:start w:val="1"/>
      <w:numFmt w:val="decimal"/>
      <w:lvlText w:val="%1."/>
      <w:lvlJc w:val="left"/>
      <w:pPr>
        <w:ind w:hanging="360" w:left="1152"/>
      </w:pPr>
    </w:lvl>
  </w:abstractNum>
  <w:abstractNum w:abstractNumId="156">
    <w:multiLevelType w:val="hybridMultilevel"/>
    <w:name w:val="List 157"/>
    <w:lvl w:ilvl="0">
      <w:start w:val="1"/>
      <w:numFmt w:val="bullet"/>
      <w:lvlText w:val=""/>
      <w:lvlJc w:val="left"/>
      <w:pPr>
        <w:ind w:hanging="360" w:left="1152"/>
      </w:pPr>
      <w:rPr>
        <w:rFonts w:ascii="Wingdings" w:hAnsi="Wingdings" w:hint="default"/>
      </w:rPr>
    </w:lvl>
  </w:abstractNum>
  <w:abstractNum w:abstractNumId="157">
    <w:multiLevelType w:val="hybridMultilevel"/>
    <w:name w:val="List 158"/>
    <w:lvl w:ilvl="0">
      <w:start w:val="1"/>
      <w:numFmt w:val="bullet"/>
      <w:lvlText w:val=""/>
      <w:lvlJc w:val="left"/>
      <w:pPr>
        <w:ind w:hanging="360" w:left="1152"/>
      </w:pPr>
      <w:rPr>
        <w:rFonts w:ascii="Wingdings" w:hAnsi="Wingdings" w:hint="default"/>
      </w:rPr>
    </w:lvl>
  </w:abstractNum>
  <w:abstractNum w:abstractNumId="158">
    <w:multiLevelType w:val="hybridMultilevel"/>
    <w:name w:val="List 159"/>
    <w:lvl w:ilvl="0">
      <w:start w:val="1"/>
      <w:numFmt w:val="bullet"/>
      <w:lvlText w:val=""/>
      <w:lvlJc w:val="left"/>
      <w:pPr>
        <w:ind w:hanging="360" w:left="1152"/>
      </w:pPr>
      <w:rPr>
        <w:rFonts w:ascii="Wingdings" w:hAnsi="Wingdings" w:hint="default"/>
      </w:rPr>
    </w:lvl>
  </w:abstractNum>
  <w:abstractNum w:abstractNumId="159">
    <w:multiLevelType w:val="hybridMultilevel"/>
    <w:name w:val="List 160"/>
    <w:lvl w:ilvl="0">
      <w:start w:val="1"/>
      <w:numFmt w:val="decimal"/>
      <w:lvlText w:val="%1."/>
      <w:lvlJc w:val="left"/>
      <w:pPr>
        <w:ind w:hanging="360" w:left="1152"/>
      </w:pPr>
    </w:lvl>
  </w:abstractNum>
  <w:abstractNum w:abstractNumId="160">
    <w:multiLevelType w:val="hybridMultilevel"/>
    <w:name w:val="List 161"/>
    <w:lvl w:ilvl="0">
      <w:start w:val="1"/>
      <w:numFmt w:val="decimal"/>
      <w:lvlText w:val="%1."/>
      <w:lvlJc w:val="left"/>
      <w:pPr>
        <w:ind w:hanging="360" w:left="1152"/>
      </w:pPr>
    </w:lvl>
  </w:abstractNum>
  <w:abstractNum w:abstractNumId="161">
    <w:multiLevelType w:val="hybridMultilevel"/>
    <w:name w:val="List 162"/>
    <w:lvl w:ilvl="0">
      <w:start w:val="1"/>
      <w:numFmt w:val="bullet"/>
      <w:lvlText w:val=""/>
      <w:lvlJc w:val="left"/>
      <w:pPr>
        <w:ind w:hanging="360" w:left="1152"/>
      </w:pPr>
      <w:rPr>
        <w:rFonts w:ascii="Wingdings" w:hAnsi="Wingdings" w:hint="default"/>
      </w:rPr>
    </w:lvl>
  </w:abstractNum>
  <w:abstractNum w:abstractNumId="162">
    <w:multiLevelType w:val="hybridMultilevel"/>
    <w:name w:val="List 163"/>
    <w:lvl w:ilvl="0">
      <w:start w:val="1"/>
      <w:numFmt w:val="bullet"/>
      <w:lvlText w:val=""/>
      <w:lvlJc w:val="left"/>
      <w:pPr>
        <w:ind w:hanging="360" w:left="1152"/>
      </w:pPr>
      <w:rPr>
        <w:rFonts w:ascii="Wingdings" w:hAnsi="Wingdings" w:hint="default"/>
      </w:rPr>
    </w:lvl>
  </w:abstractNum>
  <w:abstractNum w:abstractNumId="163">
    <w:multiLevelType w:val="hybridMultilevel"/>
    <w:name w:val="List 164"/>
    <w:lvl w:ilvl="0">
      <w:start w:val="1"/>
      <w:numFmt w:val="decimal"/>
      <w:lvlText w:val="%1."/>
      <w:lvlJc w:val="left"/>
      <w:pPr>
        <w:ind w:hanging="360" w:left="1152"/>
      </w:pPr>
    </w:lvl>
  </w:abstractNum>
  <w:abstractNum w:abstractNumId="164">
    <w:multiLevelType w:val="hybridMultilevel"/>
    <w:name w:val="List 165"/>
    <w:lvl w:ilvl="0">
      <w:start w:val="1"/>
      <w:numFmt w:val="bullet"/>
      <w:lvlText w:val=""/>
      <w:lvlJc w:val="left"/>
      <w:pPr>
        <w:ind w:hanging="360" w:left="1152"/>
      </w:pPr>
      <w:rPr>
        <w:rFonts w:ascii="Wingdings" w:hAnsi="Wingdings" w:hint="default"/>
      </w:rPr>
    </w:lvl>
  </w:abstractNum>
  <w:abstractNum w:abstractNumId="165">
    <w:multiLevelType w:val="hybridMultilevel"/>
    <w:name w:val="List 166"/>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66">
    <w:multiLevelType w:val="hybridMultilevel"/>
    <w:name w:val="List 167"/>
    <w:lvl w:ilvl="0">
      <w:start w:val="1"/>
      <w:numFmt w:val="bullet"/>
      <w:lvlText w:val=""/>
      <w:lvlJc w:val="left"/>
      <w:pPr>
        <w:ind w:hanging="360" w:left="1152"/>
      </w:pPr>
      <w:rPr>
        <w:rFonts w:ascii="Wingdings" w:hAnsi="Wingdings" w:hint="default"/>
      </w:rPr>
    </w:lvl>
  </w:abstractNum>
  <w:abstractNum w:abstractNumId="167">
    <w:multiLevelType w:val="hybridMultilevel"/>
    <w:name w:val="List 168"/>
    <w:lvl w:ilvl="0">
      <w:start w:val="1"/>
      <w:numFmt w:val="bullet"/>
      <w:lvlText w:val=""/>
      <w:lvlJc w:val="left"/>
      <w:pPr>
        <w:ind w:hanging="360" w:left="1152"/>
      </w:pPr>
      <w:rPr>
        <w:rFonts w:ascii="Wingdings" w:hAnsi="Wingdings" w:hint="default"/>
      </w:rPr>
    </w:lvl>
  </w:abstractNum>
  <w:abstractNum w:abstractNumId="168">
    <w:multiLevelType w:val="hybridMultilevel"/>
    <w:name w:val="List 169"/>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69">
    <w:multiLevelType w:val="hybridMultilevel"/>
    <w:name w:val="List 170"/>
    <w:lvl w:ilvl="0">
      <w:start w:val="1"/>
      <w:numFmt w:val="decimal"/>
      <w:lvlText w:val="%1."/>
      <w:lvlJc w:val="left"/>
      <w:pPr>
        <w:ind w:hanging="360" w:left="1152"/>
      </w:pPr>
    </w:lvl>
  </w:abstractNum>
  <w:abstractNum w:abstractNumId="170">
    <w:multiLevelType w:val="hybridMultilevel"/>
    <w:name w:val="List 171"/>
    <w:lvl w:ilvl="0">
      <w:start w:val="1"/>
      <w:numFmt w:val="bullet"/>
      <w:lvlText w:val=""/>
      <w:lvlJc w:val="left"/>
      <w:pPr>
        <w:ind w:hanging="360" w:left="1152"/>
      </w:pPr>
      <w:rPr>
        <w:rFonts w:ascii="Wingdings" w:hAnsi="Wingdings" w:hint="default"/>
      </w:rPr>
    </w:lvl>
  </w:abstractNum>
  <w:abstractNum w:abstractNumId="171">
    <w:multiLevelType w:val="hybridMultilevel"/>
    <w:name w:val="List 172"/>
    <w:lvl w:ilvl="0">
      <w:start w:val="1"/>
      <w:numFmt w:val="bullet"/>
      <w:lvlText w:val=""/>
      <w:lvlJc w:val="left"/>
      <w:pPr>
        <w:ind w:hanging="360" w:left="1152"/>
      </w:pPr>
      <w:rPr>
        <w:rFonts w:ascii="Wingdings" w:hAnsi="Wingdings" w:hint="default"/>
      </w:rPr>
    </w:lvl>
  </w:abstractNum>
  <w:abstractNum w:abstractNumId="172">
    <w:multiLevelType w:val="hybridMultilevel"/>
    <w:name w:val="List 173"/>
    <w:lvl w:ilvl="0">
      <w:start w:val="1"/>
      <w:numFmt w:val="bullet"/>
      <w:lvlText w:val=""/>
      <w:lvlJc w:val="left"/>
      <w:pPr>
        <w:ind w:hanging="360" w:left="1152"/>
      </w:pPr>
      <w:rPr>
        <w:rFonts w:ascii="Wingdings" w:hAnsi="Wingdings" w:hint="default"/>
      </w:rPr>
    </w:lvl>
  </w:abstractNum>
  <w:abstractNum w:abstractNumId="173">
    <w:multiLevelType w:val="hybridMultilevel"/>
    <w:name w:val="List 174"/>
    <w:lvl w:ilvl="0">
      <w:start w:val="1"/>
      <w:numFmt w:val="bullet"/>
      <w:lvlText w:val=""/>
      <w:lvlJc w:val="left"/>
      <w:pPr>
        <w:ind w:hanging="360" w:left="1152"/>
      </w:pPr>
      <w:rPr>
        <w:rFonts w:ascii="Wingdings" w:hAnsi="Wingdings" w:hint="default"/>
      </w:rPr>
    </w:lvl>
  </w:abstractNum>
  <w:abstractNum w:abstractNumId="174">
    <w:multiLevelType w:val="hybridMultilevel"/>
    <w:name w:val="List 175"/>
    <w:lvl w:ilvl="0">
      <w:start w:val="1"/>
      <w:numFmt w:val="bullet"/>
      <w:lvlText w:val=""/>
      <w:lvlJc w:val="left"/>
      <w:pPr>
        <w:ind w:hanging="360" w:left="1152"/>
      </w:pPr>
      <w:rPr>
        <w:rFonts w:ascii="Wingdings" w:hAnsi="Wingdings" w:hint="default"/>
      </w:rPr>
    </w:lvl>
  </w:abstractNum>
  <w:abstractNum w:abstractNumId="175">
    <w:multiLevelType w:val="hybridMultilevel"/>
    <w:name w:val="List 176"/>
    <w:lvl w:ilvl="0">
      <w:start w:val="1"/>
      <w:numFmt w:val="bullet"/>
      <w:lvlText w:val=""/>
      <w:lvlJc w:val="left"/>
      <w:pPr>
        <w:ind w:hanging="360" w:left="1152"/>
      </w:pPr>
      <w:rPr>
        <w:rFonts w:ascii="Wingdings" w:hAnsi="Wingdings" w:hint="default"/>
      </w:rPr>
    </w:lvl>
  </w:abstractNum>
  <w:abstractNum w:abstractNumId="176">
    <w:multiLevelType w:val="hybridMultilevel"/>
    <w:name w:val="List 177"/>
    <w:lvl w:ilvl="0">
      <w:start w:val="1"/>
      <w:numFmt w:val="decimal"/>
      <w:lvlText w:val="%1."/>
      <w:lvlJc w:val="left"/>
      <w:pPr>
        <w:ind w:hanging="360" w:left="1152"/>
      </w:pPr>
    </w:lvl>
  </w:abstractNum>
  <w:abstractNum w:abstractNumId="177">
    <w:multiLevelType w:val="hybridMultilevel"/>
    <w:name w:val="List 178"/>
    <w:lvl w:ilvl="0">
      <w:start w:val="1"/>
      <w:numFmt w:val="bullet"/>
      <w:lvlText w:val=""/>
      <w:lvlJc w:val="left"/>
      <w:pPr>
        <w:ind w:hanging="360" w:left="1152"/>
      </w:pPr>
      <w:rPr>
        <w:rFonts w:ascii="Wingdings" w:hAnsi="Wingdings" w:hint="default"/>
      </w:rPr>
    </w:lvl>
  </w:abstractNum>
  <w:abstractNum w:abstractNumId="178">
    <w:multiLevelType w:val="hybridMultilevel"/>
    <w:name w:val="List 179"/>
    <w:lvl w:ilvl="0">
      <w:start w:val="1"/>
      <w:numFmt w:val="decimal"/>
      <w:lvlText w:val="%1."/>
      <w:lvlJc w:val="left"/>
      <w:pPr>
        <w:ind w:hanging="360" w:left="1152"/>
      </w:pPr>
    </w:lvl>
  </w:abstractNum>
  <w:abstractNum w:abstractNumId="179">
    <w:multiLevelType w:val="hybridMultilevel"/>
    <w:name w:val="List 180"/>
    <w:lvl w:ilvl="0">
      <w:start w:val="1"/>
      <w:numFmt w:val="bullet"/>
      <w:lvlText w:val=""/>
      <w:lvlJc w:val="left"/>
      <w:pPr>
        <w:ind w:hanging="360" w:left="1152"/>
      </w:pPr>
      <w:rPr>
        <w:rFonts w:ascii="Wingdings" w:hAnsi="Wingdings" w:hint="default"/>
      </w:rPr>
    </w:lvl>
  </w:abstractNum>
  <w:abstractNum w:abstractNumId="180">
    <w:multiLevelType w:val="hybridMultilevel"/>
    <w:name w:val="List 181"/>
    <w:lvl w:ilvl="0">
      <w:start w:val="1"/>
      <w:numFmt w:val="decimal"/>
      <w:lvlText w:val="%1."/>
      <w:lvlJc w:val="left"/>
      <w:pPr>
        <w:ind w:hanging="360" w:left="1152"/>
      </w:pPr>
    </w:lvl>
    <w:lvl w:ilvl="1">
      <w:start w:val="1"/>
      <w:numFmt w:val="bullet"/>
      <w:lvlText w:val=""/>
      <w:lvlJc w:val="left"/>
      <w:pPr>
        <w:ind w:hanging="360" w:left="1512"/>
      </w:pPr>
      <w:rPr>
        <w:rFonts w:ascii="Wingdings" w:hAnsi="Wingdings" w:hint="default"/>
      </w:rPr>
    </w:lvl>
    <w:lvl w:ilvl="2">
      <w:start w:val="1"/>
      <w:numFmt w:val="lowerLetter"/>
      <w:lvlText w:val="%3."/>
      <w:lvlJc w:val="left"/>
      <w:pPr>
        <w:ind w:hanging="360" w:left="1872"/>
      </w:pPr>
    </w:lvl>
  </w:abstractNum>
  <w:abstractNum w:abstractNumId="181">
    <w:multiLevelType w:val="hybridMultilevel"/>
    <w:name w:val="List 182"/>
    <w:lvl w:ilvl="0">
      <w:start w:val="1"/>
      <w:numFmt w:val="bullet"/>
      <w:lvlText w:val=""/>
      <w:lvlJc w:val="left"/>
      <w:pPr>
        <w:ind w:hanging="360" w:left="1152"/>
      </w:pPr>
      <w:rPr>
        <w:rFonts w:ascii="Wingdings" w:hAnsi="Wingdings" w:hint="default"/>
      </w:rPr>
    </w:lvl>
  </w:abstractNum>
  <w:abstractNum w:abstractNumId="182">
    <w:multiLevelType w:val="hybridMultilevel"/>
    <w:name w:val="List 183"/>
    <w:lvl w:ilvl="0">
      <w:start w:val="1"/>
      <w:numFmt w:val="bullet"/>
      <w:lvlText w:val=""/>
      <w:lvlJc w:val="left"/>
      <w:pPr>
        <w:ind w:hanging="360" w:left="1152"/>
      </w:pPr>
      <w:rPr>
        <w:rFonts w:ascii="Wingdings" w:hAnsi="Wingdings" w:hint="default"/>
      </w:rPr>
    </w:lvl>
  </w:abstractNum>
  <w:abstractNum w:abstractNumId="183">
    <w:multiLevelType w:val="hybridMultilevel"/>
    <w:name w:val="List 184"/>
    <w:lvl w:ilvl="0">
      <w:start w:val="1"/>
      <w:numFmt w:val="decimal"/>
      <w:lvlText w:val="%1."/>
      <w:lvlJc w:val="left"/>
      <w:pPr>
        <w:ind w:hanging="360" w:left="1152"/>
      </w:pPr>
    </w:lvl>
  </w:abstractNum>
  <w:abstractNum w:abstractNumId="184">
    <w:multiLevelType w:val="hybridMultilevel"/>
    <w:name w:val="List 185"/>
    <w:lvl w:ilvl="0">
      <w:start w:val="1"/>
      <w:numFmt w:val="bullet"/>
      <w:lvlText w:val=""/>
      <w:lvlJc w:val="left"/>
      <w:pPr>
        <w:ind w:hanging="360" w:left="1152"/>
      </w:pPr>
      <w:rPr>
        <w:rFonts w:ascii="Symbol" w:hAnsi="Symbol" w:hint="default"/>
      </w:rPr>
    </w:lvl>
  </w:abstractNum>
  <w:abstractNum w:abstractNumId="185">
    <w:multiLevelType w:val="hybridMultilevel"/>
    <w:name w:val="List 186"/>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86">
    <w:multiLevelType w:val="hybridMultilevel"/>
    <w:name w:val="List 187"/>
    <w:lvl w:ilvl="0">
      <w:start w:val="1"/>
      <w:numFmt w:val="bullet"/>
      <w:lvlText w:val=""/>
      <w:lvlJc w:val="left"/>
      <w:pPr>
        <w:ind w:hanging="360" w:left="1152"/>
      </w:pPr>
      <w:rPr>
        <w:rFonts w:ascii="Wingdings" w:hAnsi="Wingdings" w:hint="default"/>
      </w:rPr>
    </w:lvl>
  </w:abstractNum>
  <w:abstractNum w:abstractNumId="187">
    <w:multiLevelType w:val="hybridMultilevel"/>
    <w:name w:val="List 188"/>
    <w:lvl w:ilvl="0">
      <w:start w:val="1"/>
      <w:numFmt w:val="decimal"/>
      <w:lvlText w:val="%1."/>
      <w:lvlJc w:val="left"/>
      <w:pPr>
        <w:ind w:hanging="360" w:left="1152"/>
      </w:pPr>
    </w:lvl>
  </w:abstractNum>
  <w:abstractNum w:abstractNumId="188">
    <w:multiLevelType w:val="hybridMultilevel"/>
    <w:name w:val="List 189"/>
    <w:lvl w:ilvl="0">
      <w:start w:val="1"/>
      <w:numFmt w:val="bullet"/>
      <w:lvlText w:val=""/>
      <w:lvlJc w:val="left"/>
      <w:pPr>
        <w:ind w:hanging="360" w:left="1152"/>
      </w:pPr>
      <w:rPr>
        <w:rFonts w:ascii="Wingdings" w:hAnsi="Wingdings" w:hint="default"/>
      </w:rPr>
    </w:lvl>
  </w:abstractNum>
  <w:abstractNum w:abstractNumId="189">
    <w:multiLevelType w:val="hybridMultilevel"/>
    <w:name w:val="List 190"/>
    <w:lvl w:ilvl="0">
      <w:start w:val="1"/>
      <w:numFmt w:val="bullet"/>
      <w:lvlText w:val=""/>
      <w:lvlJc w:val="left"/>
      <w:pPr>
        <w:ind w:hanging="360" w:left="1152"/>
      </w:pPr>
      <w:rPr>
        <w:rFonts w:ascii="Wingdings" w:hAnsi="Wingdings" w:hint="default"/>
      </w:rPr>
    </w:lvl>
  </w:abstractNum>
  <w:abstractNum w:abstractNumId="190">
    <w:multiLevelType w:val="hybridMultilevel"/>
    <w:name w:val="List 191"/>
    <w:lvl w:ilvl="0">
      <w:start w:val="1"/>
      <w:numFmt w:val="bullet"/>
      <w:lvlText w:val=""/>
      <w:lvlJc w:val="left"/>
      <w:pPr>
        <w:ind w:hanging="360" w:left="1152"/>
      </w:pPr>
      <w:rPr>
        <w:rFonts w:ascii="Wingdings" w:hAnsi="Wingdings" w:hint="default"/>
      </w:rPr>
    </w:lvl>
  </w:abstractNum>
  <w:abstractNum w:abstractNumId="191">
    <w:multiLevelType w:val="hybridMultilevel"/>
    <w:name w:val="List 192"/>
    <w:lvl w:ilvl="0">
      <w:start w:val="1"/>
      <w:numFmt w:val="bullet"/>
      <w:lvlText w:val=""/>
      <w:lvlJc w:val="left"/>
      <w:pPr>
        <w:ind w:hanging="360" w:left="1152"/>
      </w:pPr>
      <w:rPr>
        <w:rFonts w:ascii="Wingdings" w:hAnsi="Wingdings" w:hint="default"/>
      </w:rPr>
    </w:lvl>
  </w:abstractNum>
  <w:abstractNum w:abstractNumId="192">
    <w:multiLevelType w:val="hybridMultilevel"/>
    <w:name w:val="List 193"/>
    <w:lvl w:ilvl="0">
      <w:start w:val="1"/>
      <w:numFmt w:val="bullet"/>
      <w:lvlText w:val=""/>
      <w:lvlJc w:val="left"/>
      <w:pPr>
        <w:ind w:hanging="360" w:left="1152"/>
      </w:pPr>
      <w:rPr>
        <w:rFonts w:ascii="Wingdings" w:hAnsi="Wingdings" w:hint="default"/>
      </w:rPr>
    </w:lvl>
  </w:abstractNum>
  <w:abstractNum w:abstractNumId="193">
    <w:multiLevelType w:val="hybridMultilevel"/>
    <w:name w:val="List 194"/>
    <w:lvl w:ilvl="0">
      <w:start w:val="1"/>
      <w:numFmt w:val="bullet"/>
      <w:lvlText w:val=""/>
      <w:lvlJc w:val="left"/>
      <w:pPr>
        <w:ind w:hanging="360" w:left="1152"/>
      </w:pPr>
      <w:rPr>
        <w:rFonts w:ascii="Wingdings" w:hAnsi="Wingdings" w:hint="default"/>
      </w:rPr>
    </w:lvl>
  </w:abstractNum>
  <w:abstractNum w:abstractNumId="194">
    <w:multiLevelType w:val="hybridMultilevel"/>
    <w:name w:val="List 195"/>
    <w:lvl w:ilvl="0">
      <w:start w:val="1"/>
      <w:numFmt w:val="decimal"/>
      <w:lvlText w:val="%1."/>
      <w:lvlJc w:val="left"/>
      <w:pPr>
        <w:ind w:hanging="360" w:left="1152"/>
      </w:pPr>
    </w:lvl>
  </w:abstractNum>
  <w:abstractNum w:abstractNumId="195">
    <w:multiLevelType w:val="hybridMultilevel"/>
    <w:name w:val="List 196"/>
    <w:lvl w:ilvl="0">
      <w:start w:val="1"/>
      <w:numFmt w:val="bullet"/>
      <w:lvlText w:val=""/>
      <w:lvlJc w:val="left"/>
      <w:pPr>
        <w:ind w:hanging="360" w:left="1152"/>
      </w:pPr>
      <w:rPr>
        <w:rFonts w:ascii="Wingdings" w:hAnsi="Wingdings" w:hint="default"/>
      </w:rPr>
    </w:lvl>
  </w:abstractNum>
  <w:abstractNum w:abstractNumId="196">
    <w:multiLevelType w:val="hybridMultilevel"/>
    <w:name w:val="List 197"/>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97">
    <w:multiLevelType w:val="hybridMultilevel"/>
    <w:name w:val="List 198"/>
    <w:lvl w:ilvl="0">
      <w:start w:val="1"/>
      <w:numFmt w:val="decimal"/>
      <w:lvlText w:val="%1."/>
      <w:lvlJc w:val="left"/>
      <w:pPr>
        <w:ind w:hanging="360" w:left="1152"/>
      </w:pPr>
    </w:lvl>
  </w:abstractNum>
  <w:abstractNum w:abstractNumId="198">
    <w:multiLevelType w:val="hybridMultilevel"/>
    <w:name w:val="List 199"/>
    <w:lvl w:ilvl="0">
      <w:start w:val="1"/>
      <w:numFmt w:val="bullet"/>
      <w:lvlText w:val=""/>
      <w:lvlJc w:val="left"/>
      <w:pPr>
        <w:ind w:hanging="360" w:left="1152"/>
      </w:pPr>
      <w:rPr>
        <w:rFonts w:ascii="Wingdings" w:hAnsi="Wingdings" w:hint="default"/>
      </w:rPr>
    </w:lvl>
  </w:abstractNum>
  <w:abstractNum w:abstractNumId="199">
    <w:multiLevelType w:val="hybridMultilevel"/>
    <w:name w:val="List 200"/>
    <w:lvl w:ilvl="0">
      <w:start w:val="1"/>
      <w:numFmt w:val="decimal"/>
      <w:lvlText w:val="%1."/>
      <w:lvlJc w:val="left"/>
      <w:pPr>
        <w:ind w:hanging="360" w:left="1152"/>
      </w:pPr>
    </w:lvl>
  </w:abstractNum>
  <w:abstractNum w:abstractNumId="200">
    <w:multiLevelType w:val="hybridMultilevel"/>
    <w:name w:val="List 201"/>
    <w:lvl w:ilvl="0">
      <w:start w:val="1"/>
      <w:numFmt w:val="decimal"/>
      <w:lvlText w:val="%1."/>
      <w:lvlJc w:val="left"/>
      <w:pPr>
        <w:ind w:hanging="360" w:left="1152"/>
      </w:pPr>
    </w:lvl>
  </w:abstractNum>
  <w:abstractNum w:abstractNumId="201">
    <w:multiLevelType w:val="hybridMultilevel"/>
    <w:name w:val="List 202"/>
    <w:lvl w:ilvl="0">
      <w:start w:val="1"/>
      <w:numFmt w:val="decimal"/>
      <w:lvlText w:val="%1."/>
      <w:lvlJc w:val="left"/>
      <w:pPr>
        <w:ind w:hanging="360" w:left="1152"/>
      </w:pPr>
    </w:lvl>
  </w:abstractNum>
  <w:abstractNum w:abstractNumId="202">
    <w:multiLevelType w:val="hybridMultilevel"/>
    <w:name w:val="List 203"/>
    <w:lvl w:ilvl="0">
      <w:start w:val="1"/>
      <w:numFmt w:val="decimal"/>
      <w:lvlText w:val="%1."/>
      <w:lvlJc w:val="left"/>
      <w:pPr>
        <w:ind w:hanging="360" w:left="1152"/>
      </w:pPr>
    </w:lvl>
  </w:abstractNum>
  <w:abstractNum w:abstractNumId="203">
    <w:multiLevelType w:val="hybridMultilevel"/>
    <w:name w:val="List 204"/>
    <w:lvl w:ilvl="0">
      <w:start w:val="1"/>
      <w:numFmt w:val="decimal"/>
      <w:lvlText w:val="%1."/>
      <w:lvlJc w:val="left"/>
      <w:pPr>
        <w:ind w:hanging="360" w:left="1152"/>
      </w:pPr>
    </w:lvl>
  </w:abstractNum>
  <w:abstractNum w:abstractNumId="204">
    <w:multiLevelType w:val="hybridMultilevel"/>
    <w:name w:val="List 205"/>
    <w:lvl w:ilvl="0">
      <w:start w:val="1"/>
      <w:numFmt w:val="bullet"/>
      <w:lvlText w:val=""/>
      <w:lvlJc w:val="left"/>
      <w:pPr>
        <w:ind w:hanging="360" w:left="1152"/>
      </w:pPr>
      <w:rPr>
        <w:rFonts w:ascii="Wingdings" w:hAnsi="Wingdings" w:hint="default"/>
      </w:rPr>
    </w:lvl>
  </w:abstractNum>
  <w:abstractNum w:abstractNumId="205">
    <w:multiLevelType w:val="hybridMultilevel"/>
    <w:name w:val="List 206"/>
    <w:lvl w:ilvl="0">
      <w:start w:val="1"/>
      <w:numFmt w:val="bullet"/>
      <w:lvlText w:val=""/>
      <w:lvlJc w:val="left"/>
      <w:pPr>
        <w:ind w:hanging="360" w:left="1152"/>
      </w:pPr>
      <w:rPr>
        <w:rFonts w:ascii="Wingdings" w:hAnsi="Wingdings" w:hint="default"/>
      </w:rPr>
    </w:lvl>
  </w:abstractNum>
  <w:abstractNum w:abstractNumId="206">
    <w:multiLevelType w:val="hybridMultilevel"/>
    <w:name w:val="List 207"/>
    <w:lvl w:ilvl="0">
      <w:start w:val="1"/>
      <w:numFmt w:val="decimal"/>
      <w:lvlText w:val="%1."/>
      <w:lvlJc w:val="left"/>
      <w:pPr>
        <w:ind w:hanging="360" w:left="1152"/>
      </w:pPr>
    </w:lvl>
  </w:abstractNum>
  <w:abstractNum w:abstractNumId="207">
    <w:multiLevelType w:val="hybridMultilevel"/>
    <w:name w:val="List 208"/>
    <w:lvl w:ilvl="0">
      <w:start w:val="1"/>
      <w:numFmt w:val="lowerLetter"/>
      <w:lvlText w:val="%1."/>
      <w:lvlJc w:val="left"/>
      <w:pPr>
        <w:ind w:hanging="360" w:left="1152"/>
      </w:pPr>
    </w:lvl>
  </w:abstractNum>
  <w:abstractNum w:abstractNumId="208">
    <w:multiLevelType w:val="hybridMultilevel"/>
    <w:name w:val="List 209"/>
    <w:lvl w:ilvl="0">
      <w:start w:val="1"/>
      <w:numFmt w:val="lowerLetter"/>
      <w:lvlText w:val="%1."/>
      <w:lvlJc w:val="left"/>
      <w:pPr>
        <w:ind w:hanging="360" w:left="1152"/>
      </w:pPr>
    </w:lvl>
  </w:abstractNum>
  <w:abstractNum w:abstractNumId="209">
    <w:multiLevelType w:val="hybridMultilevel"/>
    <w:name w:val="List 210"/>
    <w:lvl w:ilvl="0">
      <w:start w:val="1"/>
      <w:numFmt w:val="lowerLetter"/>
      <w:lvlText w:val="%1."/>
      <w:lvlJc w:val="left"/>
      <w:pPr>
        <w:ind w:hanging="360" w:left="1152"/>
      </w:pPr>
    </w:lvl>
  </w:abstractNum>
  <w:abstractNum w:abstractNumId="210">
    <w:multiLevelType w:val="hybridMultilevel"/>
    <w:name w:val="List 211"/>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211">
    <w:multiLevelType w:val="hybridMultilevel"/>
    <w:name w:val="List 212"/>
    <w:lvl w:ilvl="0">
      <w:start w:val="1"/>
      <w:numFmt w:val="decimal"/>
      <w:lvlText w:val="%1."/>
      <w:lvlJc w:val="left"/>
      <w:pPr>
        <w:ind w:hanging="360" w:left="1152"/>
      </w:pPr>
    </w:lvl>
    <w:lvl w:ilvl="1">
      <w:start w:val="1"/>
      <w:numFmt w:val="bullet"/>
      <w:lvlText w:val=""/>
      <w:lvlJc w:val="left"/>
      <w:pPr>
        <w:ind w:hanging="360" w:left="1512"/>
      </w:pPr>
      <w:rPr>
        <w:rFonts w:ascii="Wingdings" w:hAnsi="Wingdings" w:hint="default"/>
      </w:rPr>
    </w:lvl>
  </w:abstractNum>
  <w:abstractNum w:abstractNumId="212">
    <w:multiLevelType w:val="hybridMultilevel"/>
    <w:name w:val="List 213"/>
    <w:lvl w:ilvl="0">
      <w:start w:val="1"/>
      <w:numFmt w:val="bullet"/>
      <w:lvlText w:val=""/>
      <w:lvlJc w:val="left"/>
      <w:pPr>
        <w:ind w:hanging="360" w:left="1152"/>
      </w:pPr>
      <w:rPr>
        <w:rFonts w:ascii="Wingdings" w:hAnsi="Wingdings" w:hint="default"/>
      </w:rPr>
    </w:lvl>
  </w:abstractNum>
  <w:abstractNum w:abstractNumId="213">
    <w:multiLevelType w:val="hybridMultilevel"/>
    <w:name w:val="List 214"/>
    <w:lvl w:ilvl="0">
      <w:start w:val="1"/>
      <w:numFmt w:val="bullet"/>
      <w:lvlText w:val=""/>
      <w:lvlJc w:val="left"/>
      <w:pPr>
        <w:ind w:hanging="360" w:left="1152"/>
      </w:pPr>
      <w:rPr>
        <w:rFonts w:ascii="Wingdings" w:hAnsi="Wingdings" w:hint="default"/>
      </w:rPr>
    </w:lvl>
  </w:abstractNum>
  <w:abstractNum w:abstractNumId="214">
    <w:multiLevelType w:val="hybridMultilevel"/>
    <w:name w:val="List 215"/>
    <w:lvl w:ilvl="0">
      <w:start w:val="1"/>
      <w:numFmt w:val="bullet"/>
      <w:lvlText w:val=""/>
      <w:lvlJc w:val="left"/>
      <w:pPr>
        <w:ind w:hanging="360" w:left="1152"/>
      </w:pPr>
      <w:rPr>
        <w:rFonts w:ascii="Symbol" w:hAnsi="Symbol" w:hint="default"/>
      </w:rPr>
    </w:lvl>
  </w:abstractNum>
  <w:abstractNum w:abstractNumId="215">
    <w:multiLevelType w:val="hybridMultilevel"/>
    <w:name w:val="List 216"/>
    <w:lvl w:ilvl="0">
      <w:start w:val="1"/>
      <w:numFmt w:val="bullet"/>
      <w:lvlText w:val=""/>
      <w:lvlJc w:val="left"/>
      <w:pPr>
        <w:ind w:hanging="360" w:left="1152"/>
      </w:pPr>
      <w:rPr>
        <w:rFonts w:ascii="Wingdings" w:hAnsi="Wingdings" w:hint="default"/>
      </w:rPr>
    </w:lvl>
  </w:abstractNum>
  <w:abstractNum w:abstractNumId="216">
    <w:multiLevelType w:val="hybridMultilevel"/>
    <w:name w:val="List 217"/>
    <w:lvl w:ilvl="0">
      <w:start w:val="1"/>
      <w:numFmt w:val="bullet"/>
      <w:lvlText w:val=""/>
      <w:lvlJc w:val="left"/>
      <w:pPr>
        <w:ind w:hanging="360" w:left="1152"/>
      </w:pPr>
      <w:rPr>
        <w:rFonts w:ascii="Wingdings" w:hAnsi="Wingdings" w:hint="default"/>
      </w:rPr>
    </w:lvl>
  </w:abstractNum>
  <w:abstractNum w:abstractNumId="217">
    <w:multiLevelType w:val="hybridMultilevel"/>
    <w:name w:val="List 218"/>
    <w:lvl w:ilvl="0">
      <w:start w:val="1"/>
      <w:numFmt w:val="bullet"/>
      <w:lvlText w:val=""/>
      <w:lvlJc w:val="left"/>
      <w:pPr>
        <w:ind w:hanging="360" w:left="1152"/>
      </w:pPr>
      <w:rPr>
        <w:rFonts w:ascii="Wingdings" w:hAnsi="Wingdings" w:hint="default"/>
      </w:rPr>
    </w:lvl>
  </w:abstractNum>
  <w:abstractNum w:abstractNumId="218">
    <w:multiLevelType w:val="hybridMultilevel"/>
    <w:name w:val="List 219"/>
    <w:lvl w:ilvl="0">
      <w:start w:val="1"/>
      <w:numFmt w:val="bullet"/>
      <w:lvlText w:val=""/>
      <w:lvlJc w:val="left"/>
      <w:pPr>
        <w:ind w:hanging="360" w:left="1152"/>
      </w:pPr>
      <w:rPr>
        <w:rFonts w:ascii="Wingdings" w:hAnsi="Wingdings" w:hint="default"/>
      </w:rPr>
    </w:lvl>
  </w:abstractNum>
  <w:abstractNum w:abstractNumId="219">
    <w:multiLevelType w:val="hybridMultilevel"/>
    <w:name w:val="List 220"/>
    <w:lvl w:ilvl="0">
      <w:start w:val="1"/>
      <w:numFmt w:val="bullet"/>
      <w:lvlText w:val=""/>
      <w:lvlJc w:val="left"/>
      <w:pPr>
        <w:ind w:hanging="360" w:left="1152"/>
      </w:pPr>
      <w:rPr>
        <w:rFonts w:ascii="Wingdings" w:hAnsi="Wingdings" w:hint="default"/>
      </w:rPr>
    </w:lvl>
  </w:abstractNum>
  <w:abstractNum w:abstractNumId="220">
    <w:multiLevelType w:val="hybridMultilevel"/>
    <w:name w:val="List 221"/>
    <w:lvl w:ilvl="0">
      <w:start w:val="1"/>
      <w:numFmt w:val="bullet"/>
      <w:lvlText w:val=""/>
      <w:lvlJc w:val="left"/>
      <w:pPr>
        <w:ind w:hanging="360" w:left="1152"/>
      </w:pPr>
      <w:rPr>
        <w:rFonts w:ascii="Wingdings" w:hAnsi="Wingdings" w:hint="default"/>
      </w:rPr>
    </w:lvl>
  </w:abstractNum>
  <w:abstractNum w:abstractNumId="221">
    <w:multiLevelType w:val="hybridMultilevel"/>
    <w:name w:val="List 222"/>
    <w:lvl w:ilvl="0">
      <w:start w:val="1"/>
      <w:numFmt w:val="decimal"/>
      <w:lvlText w:val="%1."/>
      <w:lvlJc w:val="left"/>
      <w:pPr>
        <w:ind w:hanging="360" w:left="1152"/>
      </w:pPr>
    </w:lvl>
  </w:abstractNum>
  <w:abstractNum w:abstractNumId="222">
    <w:multiLevelType w:val="hybridMultilevel"/>
    <w:name w:val="List 223"/>
    <w:lvl w:ilvl="0">
      <w:start w:val="1"/>
      <w:numFmt w:val="bullet"/>
      <w:lvlText w:val=""/>
      <w:lvlJc w:val="left"/>
      <w:pPr>
        <w:ind w:hanging="360" w:left="1152"/>
      </w:pPr>
      <w:rPr>
        <w:rFonts w:ascii="Wingdings" w:hAnsi="Wingdings" w:hint="default"/>
      </w:rPr>
    </w:lvl>
  </w:abstractNum>
  <w:abstractNum w:abstractNumId="223">
    <w:multiLevelType w:val="hybridMultilevel"/>
    <w:name w:val="List 224"/>
    <w:lvl w:ilvl="0">
      <w:start w:val="1"/>
      <w:numFmt w:val="bullet"/>
      <w:lvlText w:val=""/>
      <w:lvlJc w:val="left"/>
      <w:pPr>
        <w:ind w:hanging="360" w:left="1152"/>
      </w:pPr>
      <w:rPr>
        <w:rFonts w:ascii="Wingdings" w:hAnsi="Wingdings" w:hint="default"/>
      </w:rPr>
    </w:lvl>
  </w:abstractNum>
  <w:abstractNum w:abstractNumId="224">
    <w:multiLevelType w:val="hybridMultilevel"/>
    <w:name w:val="List 225"/>
    <w:lvl w:ilvl="0">
      <w:start w:val="1"/>
      <w:numFmt w:val="bullet"/>
      <w:lvlText w:val=""/>
      <w:lvlJc w:val="left"/>
      <w:pPr>
        <w:ind w:hanging="360" w:left="1152"/>
      </w:pPr>
      <w:rPr>
        <w:rFonts w:ascii="Wingdings" w:hAnsi="Wingdings" w:hint="default"/>
      </w:rPr>
    </w:lvl>
  </w:abstractNum>
  <w:abstractNum w:abstractNumId="225">
    <w:multiLevelType w:val="hybridMultilevel"/>
    <w:name w:val="List 226"/>
    <w:lvl w:ilvl="0">
      <w:start w:val="1"/>
      <w:numFmt w:val="decimal"/>
      <w:lvlText w:val="%1."/>
      <w:lvlJc w:val="left"/>
      <w:pPr>
        <w:ind w:hanging="360" w:left="1152"/>
      </w:pPr>
    </w:lvl>
  </w:abstractNum>
  <w:abstractNum w:abstractNumId="226">
    <w:multiLevelType w:val="hybridMultilevel"/>
    <w:name w:val="List 227"/>
    <w:lvl w:ilvl="0">
      <w:start w:val="1"/>
      <w:numFmt w:val="bullet"/>
      <w:lvlText w:val=""/>
      <w:lvlJc w:val="left"/>
      <w:pPr>
        <w:ind w:hanging="360" w:left="1152"/>
      </w:pPr>
      <w:rPr>
        <w:rFonts w:ascii="Wingdings" w:hAnsi="Wingdings" w:hint="default"/>
      </w:rPr>
    </w:lvl>
  </w:abstractNum>
  <w:abstractNum w:abstractNumId="227">
    <w:multiLevelType w:val="hybridMultilevel"/>
    <w:name w:val="List 228"/>
    <w:lvl w:ilvl="0">
      <w:start w:val="1"/>
      <w:numFmt w:val="bullet"/>
      <w:lvlText w:val=""/>
      <w:lvlJc w:val="left"/>
      <w:pPr>
        <w:ind w:hanging="360" w:left="1152"/>
      </w:pPr>
      <w:rPr>
        <w:rFonts w:ascii="Wingdings" w:hAnsi="Wingdings" w:hint="default"/>
      </w:rPr>
    </w:lvl>
  </w:abstractNum>
  <w:abstractNum w:abstractNumId="228">
    <w:multiLevelType w:val="hybridMultilevel"/>
    <w:name w:val="List 229"/>
    <w:lvl w:ilvl="0">
      <w:start w:val="1"/>
      <w:numFmt w:val="bullet"/>
      <w:lvlText w:val=""/>
      <w:lvlJc w:val="left"/>
      <w:pPr>
        <w:ind w:hanging="360" w:left="1152"/>
      </w:pPr>
      <w:rPr>
        <w:rFonts w:ascii="Wingdings" w:hAnsi="Wingdings" w:hint="default"/>
      </w:rPr>
    </w:lvl>
  </w:abstractNum>
  <w:abstractNum w:abstractNumId="229">
    <w:multiLevelType w:val="hybridMultilevel"/>
    <w:name w:val="List 230"/>
    <w:lvl w:ilvl="0">
      <w:start w:val="1"/>
      <w:numFmt w:val="bullet"/>
      <w:lvlText w:val=""/>
      <w:lvlJc w:val="left"/>
      <w:pPr>
        <w:ind w:hanging="360" w:left="1152"/>
      </w:pPr>
      <w:rPr>
        <w:rFonts w:ascii="Wingdings" w:hAnsi="Wingdings" w:hint="default"/>
      </w:rPr>
    </w:lvl>
  </w:abstractNum>
  <w:abstractNum w:abstractNumId="230">
    <w:multiLevelType w:val="hybridMultilevel"/>
    <w:name w:val="List 231"/>
    <w:lvl w:ilvl="0">
      <w:start w:val="1"/>
      <w:numFmt w:val="bullet"/>
      <w:lvlText w:val=""/>
      <w:lvlJc w:val="left"/>
      <w:pPr>
        <w:ind w:hanging="360" w:left="1152"/>
      </w:pPr>
      <w:rPr>
        <w:rFonts w:ascii="Wingdings" w:hAnsi="Wingdings" w:hint="default"/>
      </w:rPr>
    </w:lvl>
  </w:abstractNum>
  <w:abstractNum w:abstractNumId="231">
    <w:multiLevelType w:val="hybridMultilevel"/>
    <w:name w:val="List 232"/>
    <w:lvl w:ilvl="0">
      <w:start w:val="1"/>
      <w:numFmt w:val="bullet"/>
      <w:lvlText w:val=""/>
      <w:lvlJc w:val="left"/>
      <w:pPr>
        <w:ind w:hanging="360" w:left="1152"/>
      </w:pPr>
      <w:rPr>
        <w:rFonts w:ascii="Wingdings" w:hAnsi="Wingdings" w:hint="default"/>
      </w:rPr>
    </w:lvl>
  </w:abstractNum>
  <w:abstractNum w:abstractNumId="232">
    <w:multiLevelType w:val="hybridMultilevel"/>
    <w:name w:val="List 233"/>
    <w:lvl w:ilvl="0">
      <w:start w:val="1"/>
      <w:numFmt w:val="decimal"/>
      <w:lvlText w:val="%1."/>
      <w:lvlJc w:val="left"/>
      <w:pPr>
        <w:ind w:hanging="360" w:left="1152"/>
      </w:pPr>
    </w:lvl>
  </w:abstractNum>
  <w:abstractNum w:abstractNumId="233">
    <w:multiLevelType w:val="hybridMultilevel"/>
    <w:name w:val="List 234"/>
    <w:lvl w:ilvl="0">
      <w:start w:val="1"/>
      <w:numFmt w:val="decimal"/>
      <w:lvlText w:val="%1."/>
      <w:lvlJc w:val="left"/>
      <w:pPr>
        <w:ind w:hanging="360" w:left="1152"/>
      </w:pPr>
    </w:lvl>
  </w:abstractNum>
  <w:abstractNum w:abstractNumId="234">
    <w:multiLevelType w:val="hybridMultilevel"/>
    <w:name w:val="List 235"/>
    <w:lvl w:ilvl="0">
      <w:start w:val="2"/>
      <w:numFmt w:val="decimal"/>
      <w:lvlText w:val="%1."/>
      <w:lvlJc w:val="left"/>
      <w:pPr>
        <w:ind w:hanging="360" w:left="1152"/>
      </w:pPr>
    </w:lvl>
  </w:abstractNum>
  <w:abstractNum w:abstractNumId="235">
    <w:multiLevelType w:val="hybridMultilevel"/>
    <w:name w:val="List 236"/>
    <w:lvl w:ilvl="0">
      <w:start w:val="1"/>
      <w:numFmt w:val="decimal"/>
      <w:lvlText w:val="%1."/>
      <w:lvlJc w:val="left"/>
      <w:pPr>
        <w:ind w:hanging="360" w:left="1152"/>
      </w:pPr>
    </w:lvl>
  </w:abstractNum>
  <w:abstractNum w:abstractNumId="236">
    <w:multiLevelType w:val="hybridMultilevel"/>
    <w:name w:val="List 237"/>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237">
    <w:multiLevelType w:val="hybridMultilevel"/>
    <w:name w:val="List 238"/>
    <w:lvl w:ilvl="0">
      <w:start w:val="1"/>
      <w:numFmt w:val="bullet"/>
      <w:lvlText w:val=""/>
      <w:lvlJc w:val="left"/>
      <w:pPr>
        <w:ind w:hanging="360" w:left="1152"/>
      </w:pPr>
      <w:rPr>
        <w:rFonts w:ascii="Wingdings" w:hAnsi="Wingdings" w:hint="default"/>
      </w:rPr>
    </w:lvl>
  </w:abstractNum>
  <w:abstractNum w:abstractNumId="238">
    <w:multiLevelType w:val="hybridMultilevel"/>
    <w:name w:val="List 239"/>
    <w:lvl w:ilvl="0">
      <w:start w:val="1"/>
      <w:numFmt w:val="decimal"/>
      <w:lvlText w:val="%1."/>
      <w:lvlJc w:val="left"/>
      <w:pPr>
        <w:ind w:hanging="360" w:left="1152"/>
      </w:pPr>
    </w:lvl>
  </w:abstractNum>
  <w:abstractNum w:abstractNumId="239">
    <w:multiLevelType w:val="hybridMultilevel"/>
    <w:name w:val="List 240"/>
    <w:lvl w:ilvl="0">
      <w:start w:val="1"/>
      <w:numFmt w:val="decimal"/>
      <w:lvlText w:val="%1."/>
      <w:lvlJc w:val="left"/>
      <w:pPr>
        <w:ind w:hanging="360" w:left="1152"/>
      </w:pPr>
    </w:lvl>
    <w:lvl w:ilvl="1">
      <w:start w:val="1"/>
      <w:numFmt w:val="bullet"/>
      <w:lvlText w:val=""/>
      <w:lvlJc w:val="left"/>
      <w:pPr>
        <w:ind w:hanging="360" w:left="1512"/>
      </w:pPr>
      <w:rPr>
        <w:rFonts w:ascii="Wingdings" w:hAnsi="Wingdings" w:hint="default"/>
      </w:rPr>
    </w:lvl>
    <w:lvl w:ilvl="2">
      <w:start w:val="1"/>
      <w:numFmt w:val="lowerLetter"/>
      <w:lvlText w:val="%3."/>
      <w:lvlJc w:val="left"/>
      <w:pPr>
        <w:ind w:hanging="360" w:left="1872"/>
      </w:pPr>
    </w:lvl>
  </w:abstractNum>
  <w:abstractNum w:abstractNumId="240">
    <w:multiLevelType w:val="hybridMultilevel"/>
    <w:name w:val="List 241"/>
    <w:lvl w:ilvl="0">
      <w:start w:val="1"/>
      <w:numFmt w:val="bullet"/>
      <w:lvlText w:val=""/>
      <w:lvlJc w:val="left"/>
      <w:pPr>
        <w:ind w:hanging="360" w:left="1152"/>
      </w:pPr>
      <w:rPr>
        <w:rFonts w:ascii="Wingdings" w:hAnsi="Wingdings" w:hint="default"/>
      </w:rPr>
    </w:lvl>
  </w:abstractNum>
  <w:abstractNum w:abstractNumId="241">
    <w:multiLevelType w:val="hybridMultilevel"/>
    <w:name w:val="List 242"/>
    <w:lvl w:ilvl="0">
      <w:start w:val="1"/>
      <w:numFmt w:val="decimal"/>
      <w:lvlText w:val="%1."/>
      <w:lvlJc w:val="left"/>
      <w:pPr>
        <w:ind w:hanging="360" w:left="1152"/>
      </w:pPr>
    </w:lvl>
  </w:abstractNum>
  <w:abstractNum w:abstractNumId="242">
    <w:multiLevelType w:val="hybridMultilevel"/>
    <w:name w:val="List 243"/>
    <w:lvl w:ilvl="0">
      <w:start w:val="1"/>
      <w:numFmt w:val="bullet"/>
      <w:lvlText w:val=""/>
      <w:lvlJc w:val="left"/>
      <w:pPr>
        <w:ind w:hanging="360" w:left="1152"/>
      </w:pPr>
      <w:rPr>
        <w:rFonts w:ascii="Wingdings" w:hAnsi="Wingdings" w:hint="default"/>
      </w:rPr>
    </w:lvl>
  </w:abstractNum>
  <w:abstractNum w:abstractNumId="243">
    <w:multiLevelType w:val="hybridMultilevel"/>
    <w:name w:val="List 244"/>
    <w:lvl w:ilvl="0">
      <w:start w:val="1"/>
      <w:numFmt w:val="bullet"/>
      <w:lvlText w:val=""/>
      <w:lvlJc w:val="left"/>
      <w:pPr>
        <w:ind w:hanging="360" w:left="1152"/>
      </w:pPr>
      <w:rPr>
        <w:rFonts w:ascii="Wingdings" w:hAnsi="Wingdings" w:hint="default"/>
      </w:rPr>
    </w:lvl>
  </w:abstractNum>
  <w:abstractNum w:abstractNumId="244">
    <w:multiLevelType w:val="hybridMultilevel"/>
    <w:name w:val="List 245"/>
    <w:lvl w:ilvl="0">
      <w:start w:val="1"/>
      <w:numFmt w:val="decimal"/>
      <w:lvlText w:val="%1."/>
      <w:lvlJc w:val="left"/>
      <w:pPr>
        <w:ind w:hanging="360" w:left="1152"/>
      </w:pPr>
    </w:lvl>
  </w:abstractNum>
  <w:abstractNum w:abstractNumId="245">
    <w:multiLevelType w:val="hybridMultilevel"/>
    <w:name w:val="List 246"/>
    <w:lvl w:ilvl="0">
      <w:start w:val="1"/>
      <w:numFmt w:val="decimal"/>
      <w:lvlText w:val="%1."/>
      <w:lvlJc w:val="left"/>
      <w:pPr>
        <w:ind w:hanging="360" w:left="1152"/>
      </w:pPr>
    </w:lvl>
  </w:abstractNum>
  <w:abstractNum w:abstractNumId="246">
    <w:multiLevelType w:val="hybridMultilevel"/>
    <w:name w:val="List 247"/>
    <w:lvl w:ilvl="0">
      <w:start w:val="1"/>
      <w:numFmt w:val="decimal"/>
      <w:lvlText w:val="%1."/>
      <w:lvlJc w:val="left"/>
      <w:pPr>
        <w:ind w:hanging="360" w:left="1152"/>
      </w:pPr>
    </w:lvl>
  </w:abstractNum>
  <w:abstractNum w:abstractNumId="247">
    <w:multiLevelType w:val="hybridMultilevel"/>
    <w:name w:val="List 248"/>
    <w:lvl w:ilvl="0">
      <w:start w:val="2"/>
      <w:numFmt w:val="decimal"/>
      <w:lvlText w:val="%1."/>
      <w:lvlJc w:val="left"/>
      <w:pPr>
        <w:ind w:hanging="360" w:left="1152"/>
      </w:pPr>
    </w:lvl>
  </w:abstractNum>
  <w:abstractNum w:abstractNumId="248">
    <w:multiLevelType w:val="hybridMultilevel"/>
    <w:name w:val="List 249"/>
    <w:lvl w:ilvl="0">
      <w:start w:val="3"/>
      <w:numFmt w:val="decimal"/>
      <w:lvlText w:val="%1."/>
      <w:lvlJc w:val="left"/>
      <w:pPr>
        <w:ind w:hanging="360" w:left="1152"/>
      </w:pPr>
    </w:lvl>
  </w:abstractNum>
  <w:abstractNum w:abstractNumId="249">
    <w:multiLevelType w:val="hybridMultilevel"/>
    <w:name w:val="List 250"/>
    <w:lvl w:ilvl="0">
      <w:start w:val="1"/>
      <w:numFmt w:val="bullet"/>
      <w:lvlText w:val=""/>
      <w:lvlJc w:val="left"/>
      <w:pPr>
        <w:ind w:hanging="360" w:left="1152"/>
      </w:pPr>
      <w:rPr>
        <w:rFonts w:ascii="Wingdings" w:hAnsi="Wingdings" w:hint="default"/>
      </w:rPr>
    </w:lvl>
  </w:abstractNum>
  <w:abstractNum w:abstractNumId="250">
    <w:multiLevelType w:val="hybridMultilevel"/>
    <w:name w:val="List 251"/>
    <w:lvl w:ilvl="0">
      <w:start w:val="1"/>
      <w:numFmt w:val="bullet"/>
      <w:lvlText w:val=""/>
      <w:lvlJc w:val="left"/>
      <w:pPr>
        <w:ind w:hanging="360" w:left="1152"/>
      </w:pPr>
      <w:rPr>
        <w:rFonts w:ascii="Wingdings" w:hAnsi="Wingdings" w:hint="default"/>
      </w:rPr>
    </w:lvl>
  </w:abstractNum>
  <w:abstractNum w:abstractNumId="251">
    <w:multiLevelType w:val="hybridMultilevel"/>
    <w:name w:val="List 252"/>
    <w:lvl w:ilvl="0">
      <w:start w:val="1"/>
      <w:numFmt w:val="bullet"/>
      <w:lvlText w:val=""/>
      <w:lvlJc w:val="left"/>
      <w:pPr>
        <w:ind w:hanging="360" w:left="1152"/>
      </w:pPr>
      <w:rPr>
        <w:rFonts w:ascii="Wingdings" w:hAnsi="Wingdings" w:hint="default"/>
      </w:rPr>
    </w:lvl>
  </w:abstractNum>
  <w:abstractNum w:abstractNumId="252">
    <w:multiLevelType w:val="hybridMultilevel"/>
    <w:name w:val="List 253"/>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253">
    <w:multiLevelType w:val="hybridMultilevel"/>
    <w:name w:val="List 254"/>
    <w:lvl w:ilvl="0">
      <w:start w:val="1"/>
      <w:numFmt w:val="decimal"/>
      <w:lvlText w:val="%1."/>
      <w:lvlJc w:val="left"/>
      <w:pPr>
        <w:ind w:hanging="360" w:left="1152"/>
      </w:pPr>
    </w:lvl>
  </w:abstractNum>
  <w:abstractNum w:abstractNumId="254">
    <w:multiLevelType w:val="hybridMultilevel"/>
    <w:name w:val="List 255"/>
    <w:lvl w:ilvl="0">
      <w:start w:val="1"/>
      <w:numFmt w:val="bullet"/>
      <w:lvlText w:val=""/>
      <w:lvlJc w:val="left"/>
      <w:pPr>
        <w:ind w:hanging="360" w:left="1152"/>
      </w:pPr>
      <w:rPr>
        <w:rFonts w:ascii="Wingdings" w:hAnsi="Wingdings" w:hint="default"/>
      </w:rPr>
    </w:lvl>
  </w:abstractNum>
  <w:abstractNum w:abstractNumId="255">
    <w:multiLevelType w:val="hybridMultilevel"/>
    <w:name w:val="List 256"/>
    <w:lvl w:ilvl="0">
      <w:start w:val="1"/>
      <w:numFmt w:val="bullet"/>
      <w:lvlText w:val=""/>
      <w:lvlJc w:val="left"/>
      <w:pPr>
        <w:ind w:hanging="360" w:left="1152"/>
      </w:pPr>
      <w:rPr>
        <w:rFonts w:ascii="Wingdings" w:hAnsi="Wingdings" w:hint="default"/>
      </w:rPr>
    </w:lvl>
  </w:abstractNum>
  <w:abstractNum w:abstractNumId="256">
    <w:multiLevelType w:val="hybridMultilevel"/>
    <w:name w:val="List 257"/>
    <w:lvl w:ilvl="0">
      <w:start w:val="1"/>
      <w:numFmt w:val="decimal"/>
      <w:lvlText w:val="%1."/>
      <w:lvlJc w:val="left"/>
      <w:pPr>
        <w:ind w:hanging="360" w:left="1152"/>
      </w:pPr>
    </w:lvl>
  </w:abstractNum>
  <w:abstractNum w:abstractNumId="257">
    <w:multiLevelType w:val="hybridMultilevel"/>
    <w:name w:val="List 258"/>
    <w:lvl w:ilvl="0">
      <w:start w:val="3"/>
      <w:numFmt w:val="decimal"/>
      <w:lvlText w:val="%1."/>
      <w:lvlJc w:val="left"/>
      <w:pPr>
        <w:ind w:hanging="360" w:left="1152"/>
      </w:pPr>
    </w:lvl>
  </w:abstractNum>
  <w:abstractNum w:abstractNumId="258">
    <w:multiLevelType w:val="hybridMultilevel"/>
    <w:name w:val="List 259"/>
    <w:lvl w:ilvl="0">
      <w:start w:val="1"/>
      <w:numFmt w:val="bullet"/>
      <w:lvlText w:val=""/>
      <w:lvlJc w:val="left"/>
      <w:pPr>
        <w:ind w:hanging="360" w:left="1152"/>
      </w:pPr>
      <w:rPr>
        <w:rFonts w:ascii="Wingdings" w:hAnsi="Wingdings" w:hint="default"/>
      </w:rPr>
    </w:lvl>
  </w:abstractNum>
  <w:abstractNum w:abstractNumId="259">
    <w:multiLevelType w:val="hybridMultilevel"/>
    <w:name w:val="List 260"/>
    <w:lvl w:ilvl="0">
      <w:start w:val="1"/>
      <w:numFmt w:val="bullet"/>
      <w:lvlText w:val=""/>
      <w:lvlJc w:val="left"/>
      <w:pPr>
        <w:ind w:hanging="360" w:left="1152"/>
      </w:pPr>
      <w:rPr>
        <w:rFonts w:ascii="Wingdings" w:hAnsi="Wingdings" w:hint="default"/>
      </w:rPr>
    </w:lvl>
  </w:abstractNum>
  <w:abstractNum w:abstractNumId="260">
    <w:multiLevelType w:val="hybridMultilevel"/>
    <w:name w:val="List 261"/>
    <w:lvl w:ilvl="0">
      <w:start w:val="1"/>
      <w:numFmt w:val="decimal"/>
      <w:lvlText w:val="%1."/>
      <w:lvlJc w:val="left"/>
      <w:pPr>
        <w:ind w:hanging="360" w:left="1152"/>
      </w:pPr>
    </w:lvl>
  </w:abstractNum>
  <w:abstractNum w:abstractNumId="261">
    <w:multiLevelType w:val="hybridMultilevel"/>
    <w:name w:val="List 262"/>
    <w:lvl w:ilvl="0">
      <w:start w:val="1"/>
      <w:numFmt w:val="decimal"/>
      <w:lvlText w:val="%1."/>
      <w:lvlJc w:val="left"/>
      <w:pPr>
        <w:ind w:hanging="360" w:left="1152"/>
      </w:pPr>
    </w:lvl>
  </w:abstractNum>
  <w:abstractNum w:abstractNumId="262">
    <w:multiLevelType w:val="hybridMultilevel"/>
    <w:name w:val="List 263"/>
    <w:lvl w:ilvl="0">
      <w:start w:val="1"/>
      <w:numFmt w:val="decimal"/>
      <w:lvlText w:val="%1."/>
      <w:lvlJc w:val="left"/>
      <w:pPr>
        <w:ind w:hanging="360" w:left="1152"/>
      </w:pPr>
    </w:lvl>
  </w:abstractNum>
  <w:abstractNum w:abstractNumId="263">
    <w:multiLevelType w:val="hybridMultilevel"/>
    <w:name w:val="List 264"/>
    <w:lvl w:ilvl="0">
      <w:start w:val="1"/>
      <w:numFmt w:val="decimal"/>
      <w:lvlText w:val="%1."/>
      <w:lvlJc w:val="left"/>
      <w:pPr>
        <w:ind w:hanging="360" w:left="1152"/>
      </w:pPr>
    </w:lvl>
  </w:abstractNum>
  <w:abstractNum w:abstractNumId="264">
    <w:multiLevelType w:val="hybridMultilevel"/>
    <w:name w:val="List 265"/>
    <w:lvl w:ilvl="0">
      <w:start w:val="1"/>
      <w:numFmt w:val="decimal"/>
      <w:lvlText w:val="%1."/>
      <w:lvlJc w:val="left"/>
      <w:pPr>
        <w:ind w:hanging="360" w:left="1152"/>
      </w:pPr>
    </w:lvl>
  </w:abstractNum>
  <w:abstractNum w:abstractNumId="265">
    <w:multiLevelType w:val="hybridMultilevel"/>
    <w:name w:val="List 266"/>
    <w:lvl w:ilvl="0">
      <w:start w:val="1"/>
      <w:numFmt w:val="bullet"/>
      <w:lvlText w:val=""/>
      <w:lvlJc w:val="left"/>
      <w:pPr>
        <w:ind w:hanging="360" w:left="1152"/>
      </w:pPr>
      <w:rPr>
        <w:rFonts w:ascii="Wingdings" w:hAnsi="Wingdings" w:hint="default"/>
      </w:rPr>
    </w:lvl>
  </w:abstractNum>
  <w:abstractNum w:abstractNumId="266">
    <w:multiLevelType w:val="hybridMultilevel"/>
    <w:name w:val="List 267"/>
    <w:lvl w:ilvl="0">
      <w:start w:val="1"/>
      <w:numFmt w:val="bullet"/>
      <w:lvlText w:val=""/>
      <w:lvlJc w:val="left"/>
      <w:pPr>
        <w:ind w:hanging="360" w:left="1152"/>
      </w:pPr>
      <w:rPr>
        <w:rFonts w:ascii="Wingdings" w:hAnsi="Wingdings" w:hint="default"/>
      </w:rPr>
    </w:lvl>
  </w:abstractNum>
  <w:abstractNum w:abstractNumId="267">
    <w:multiLevelType w:val="hybridMultilevel"/>
    <w:name w:val="List 268"/>
    <w:lvl w:ilvl="0">
      <w:start w:val="1"/>
      <w:numFmt w:val="bullet"/>
      <w:lvlText w:val=""/>
      <w:lvlJc w:val="left"/>
      <w:pPr>
        <w:ind w:hanging="360" w:left="1152"/>
      </w:pPr>
      <w:rPr>
        <w:rFonts w:ascii="Wingdings" w:hAnsi="Wingdings" w:hint="default"/>
      </w:rPr>
    </w:lvl>
  </w:abstractNum>
  <w:abstractNum w:abstractNumId="268">
    <w:multiLevelType w:val="hybridMultilevel"/>
    <w:name w:val="List 269"/>
    <w:lvl w:ilvl="0">
      <w:start w:val="1"/>
      <w:numFmt w:val="decimal"/>
      <w:lvlText w:val="%1."/>
      <w:lvlJc w:val="left"/>
      <w:pPr>
        <w:ind w:hanging="360" w:left="1152"/>
      </w:pPr>
    </w:lvl>
  </w:abstractNum>
  <w:abstractNum w:abstractNumId="269">
    <w:multiLevelType w:val="hybridMultilevel"/>
    <w:name w:val="List 270"/>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270">
    <w:multiLevelType w:val="hybridMultilevel"/>
    <w:name w:val="List 271"/>
    <w:lvl w:ilvl="0">
      <w:start w:val="1"/>
      <w:numFmt w:val="decimal"/>
      <w:lvlText w:val="%1."/>
      <w:lvlJc w:val="left"/>
      <w:pPr>
        <w:ind w:hanging="360" w:left="1152"/>
      </w:pPr>
    </w:lvl>
  </w:abstractNum>
  <w:abstractNum w:abstractNumId="271">
    <w:multiLevelType w:val="hybridMultilevel"/>
    <w:name w:val="List 272"/>
    <w:lvl w:ilvl="0">
      <w:start w:val="1"/>
      <w:numFmt w:val="decimal"/>
      <w:lvlText w:val="%1."/>
      <w:lvlJc w:val="left"/>
      <w:pPr>
        <w:ind w:hanging="360" w:left="1152"/>
      </w:pPr>
    </w:lvl>
  </w:abstractNum>
  <w:abstractNum w:abstractNumId="272">
    <w:multiLevelType w:val="hybridMultilevel"/>
    <w:name w:val="List 273"/>
    <w:lvl w:ilvl="0">
      <w:start w:val="1"/>
      <w:numFmt w:val="bullet"/>
      <w:lvlText w:val=""/>
      <w:lvlJc w:val="left"/>
      <w:pPr>
        <w:ind w:hanging="360" w:left="1152"/>
      </w:pPr>
      <w:rPr>
        <w:rFonts w:ascii="Wingdings" w:hAnsi="Wingdings" w:hint="default"/>
      </w:rPr>
    </w:lvl>
  </w:abstractNum>
  <w:abstractNum w:abstractNumId="273">
    <w:multiLevelType w:val="hybridMultilevel"/>
    <w:name w:val="List 274"/>
    <w:lvl w:ilvl="0">
      <w:start w:val="1"/>
      <w:numFmt w:val="bullet"/>
      <w:lvlText w:val=""/>
      <w:lvlJc w:val="left"/>
      <w:pPr>
        <w:ind w:hanging="360" w:left="1152"/>
      </w:pPr>
      <w:rPr>
        <w:rFonts w:ascii="Wingdings" w:hAnsi="Wingdings" w:hint="default"/>
      </w:rPr>
    </w:lvl>
  </w:abstractNum>
  <w:abstractNum w:abstractNumId="274">
    <w:multiLevelType w:val="hybridMultilevel"/>
    <w:name w:val="List 275"/>
    <w:lvl w:ilvl="0">
      <w:start w:val="1"/>
      <w:numFmt w:val="bullet"/>
      <w:lvlText w:val=""/>
      <w:lvlJc w:val="left"/>
      <w:pPr>
        <w:ind w:hanging="360" w:left="1152"/>
      </w:pPr>
      <w:rPr>
        <w:rFonts w:ascii="Wingdings" w:hAnsi="Wingdings" w:hint="default"/>
      </w:rPr>
    </w:lvl>
  </w:abstractNum>
  <w:abstractNum w:abstractNumId="275">
    <w:multiLevelType w:val="hybridMultilevel"/>
    <w:name w:val="List 276"/>
    <w:lvl w:ilvl="0">
      <w:start w:val="1"/>
      <w:numFmt w:val="decimal"/>
      <w:lvlText w:val="%1."/>
      <w:lvlJc w:val="left"/>
      <w:pPr>
        <w:ind w:hanging="360" w:left="1152"/>
      </w:pPr>
    </w:lvl>
  </w:abstractNum>
  <w:abstractNum w:abstractNumId="276">
    <w:multiLevelType w:val="hybridMultilevel"/>
    <w:name w:val="List 277"/>
    <w:lvl w:ilvl="0">
      <w:start w:val="1"/>
      <w:numFmt w:val="bullet"/>
      <w:lvlText w:val=""/>
      <w:lvlJc w:val="left"/>
      <w:pPr>
        <w:ind w:hanging="360" w:left="1152"/>
      </w:pPr>
      <w:rPr>
        <w:rFonts w:ascii="Wingdings" w:hAnsi="Wingdings" w:hint="default"/>
      </w:rPr>
    </w:lvl>
  </w:abstractNum>
  <w:abstractNum w:abstractNumId="277">
    <w:multiLevelType w:val="hybridMultilevel"/>
    <w:name w:val="List 278"/>
    <w:lvl w:ilvl="0">
      <w:start w:val="1"/>
      <w:numFmt w:val="bullet"/>
      <w:lvlText w:val=""/>
      <w:lvlJc w:val="left"/>
      <w:pPr>
        <w:ind w:hanging="360" w:left="1152"/>
      </w:pPr>
      <w:rPr>
        <w:rFonts w:ascii="Wingdings" w:hAnsi="Wingdings" w:hint="default"/>
      </w:rPr>
    </w:lvl>
  </w:abstractNum>
  <w:abstractNum w:abstractNumId="278">
    <w:multiLevelType w:val="hybridMultilevel"/>
    <w:name w:val="List 279"/>
    <w:lvl w:ilvl="0">
      <w:start w:val="1"/>
      <w:numFmt w:val="decimal"/>
      <w:lvlText w:val="%1."/>
      <w:lvlJc w:val="left"/>
      <w:pPr>
        <w:ind w:hanging="360" w:left="1152"/>
      </w:pPr>
    </w:lvl>
  </w:abstractNum>
  <w:abstractNum w:abstractNumId="279">
    <w:multiLevelType w:val="hybridMultilevel"/>
    <w:name w:val="List 280"/>
    <w:lvl w:ilvl="0">
      <w:start w:val="1"/>
      <w:numFmt w:val="decimal"/>
      <w:lvlText w:val="%1."/>
      <w:lvlJc w:val="left"/>
      <w:pPr>
        <w:ind w:hanging="360" w:left="1152"/>
      </w:pPr>
    </w:lvl>
  </w:abstractNum>
  <w:abstractNum w:abstractNumId="280">
    <w:multiLevelType w:val="hybridMultilevel"/>
    <w:name w:val="List 281"/>
    <w:lvl w:ilvl="0">
      <w:start w:val="1"/>
      <w:numFmt w:val="bullet"/>
      <w:lvlText w:val=""/>
      <w:lvlJc w:val="left"/>
      <w:pPr>
        <w:ind w:hanging="360" w:left="1152"/>
      </w:pPr>
      <w:rPr>
        <w:rFonts w:ascii="Symbol" w:hAnsi="Symbol" w:hint="default"/>
      </w:rPr>
    </w:lvl>
  </w:abstractNum>
  <w:abstractNum w:abstractNumId="281">
    <w:multiLevelType w:val="hybridMultilevel"/>
    <w:name w:val="List 282"/>
    <w:lvl w:ilvl="0">
      <w:start w:val="1"/>
      <w:numFmt w:val="bullet"/>
      <w:lvlText w:val=""/>
      <w:lvlJc w:val="left"/>
      <w:pPr>
        <w:ind w:hanging="360" w:left="1152"/>
      </w:pPr>
      <w:rPr>
        <w:rFonts w:ascii="Symbol" w:hAnsi="Symbol" w:hint="default"/>
      </w:rPr>
    </w:lvl>
  </w:abstractNum>
  <w:abstractNum w:abstractNumId="282">
    <w:multiLevelType w:val="hybridMultilevel"/>
    <w:name w:val="List 283"/>
    <w:lvl w:ilvl="0">
      <w:start w:val="1"/>
      <w:numFmt w:val="decimal"/>
      <w:lvlText w:val="%1."/>
      <w:lvlJc w:val="left"/>
      <w:pPr>
        <w:ind w:hanging="360" w:left="1152"/>
      </w:pPr>
    </w:lvl>
  </w:abstractNum>
  <w:abstractNum w:abstractNumId="283">
    <w:multiLevelType w:val="hybridMultilevel"/>
    <w:name w:val="List 284"/>
    <w:lvl w:ilvl="0">
      <w:start w:val="1"/>
      <w:numFmt w:val="bullet"/>
      <w:lvlText w:val=""/>
      <w:lvlJc w:val="left"/>
      <w:pPr>
        <w:ind w:hanging="360" w:left="1152"/>
      </w:pPr>
      <w:rPr>
        <w:rFonts w:ascii="Wingdings" w:hAnsi="Wingdings" w:hint="default"/>
      </w:rPr>
    </w:lvl>
  </w:abstractNum>
  <w:abstractNum w:abstractNumId="284">
    <w:multiLevelType w:val="hybridMultilevel"/>
    <w:name w:val="List 285"/>
    <w:lvl w:ilvl="0">
      <w:start w:val="1"/>
      <w:numFmt w:val="bullet"/>
      <w:lvlText w:val=""/>
      <w:lvlJc w:val="left"/>
      <w:pPr>
        <w:ind w:hanging="360" w:left="1152"/>
      </w:pPr>
      <w:rPr>
        <w:rFonts w:ascii="Wingdings" w:hAnsi="Wingdings" w:hint="default"/>
      </w:rPr>
    </w:lvl>
  </w:abstractNum>
  <w:abstractNum w:abstractNumId="285">
    <w:multiLevelType w:val="hybridMultilevel"/>
    <w:name w:val="List 286"/>
    <w:lvl w:ilvl="0">
      <w:start w:val="1"/>
      <w:numFmt w:val="bullet"/>
      <w:lvlText w:val=""/>
      <w:lvlJc w:val="left"/>
      <w:pPr>
        <w:ind w:hanging="360" w:left="1152"/>
      </w:pPr>
      <w:rPr>
        <w:rFonts w:ascii="Symbol" w:hAnsi="Symbol" w:hint="default"/>
      </w:rPr>
    </w:lvl>
  </w:abstractNum>
  <w:abstractNum w:abstractNumId="286">
    <w:multiLevelType w:val="hybridMultilevel"/>
    <w:name w:val="List 287"/>
    <w:lvl w:ilvl="0">
      <w:start w:val="1"/>
      <w:numFmt w:val="bullet"/>
      <w:lvlText w:val=""/>
      <w:lvlJc w:val="left"/>
      <w:pPr>
        <w:ind w:hanging="360" w:left="1152"/>
      </w:pPr>
      <w:rPr>
        <w:rFonts w:ascii="Wingdings" w:hAnsi="Wingdings" w:hint="default"/>
      </w:rPr>
    </w:lvl>
  </w:abstractNum>
  <w:abstractNum w:abstractNumId="287">
    <w:multiLevelType w:val="hybridMultilevel"/>
    <w:name w:val="List 288"/>
    <w:lvl w:ilvl="0">
      <w:start w:val="1"/>
      <w:numFmt w:val="decimal"/>
      <w:lvlText w:val="%1."/>
      <w:lvlJc w:val="left"/>
      <w:pPr>
        <w:ind w:hanging="360" w:left="1152"/>
      </w:pPr>
    </w:lvl>
  </w:abstractNum>
  <w:abstractNum w:abstractNumId="288">
    <w:multiLevelType w:val="hybridMultilevel"/>
    <w:name w:val="List 289"/>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289">
    <w:multiLevelType w:val="hybridMultilevel"/>
    <w:name w:val="List 290"/>
    <w:lvl w:ilvl="0">
      <w:start w:val="1"/>
      <w:numFmt w:val="bullet"/>
      <w:lvlText w:val=""/>
      <w:lvlJc w:val="left"/>
      <w:pPr>
        <w:ind w:hanging="360" w:left="1152"/>
      </w:pPr>
      <w:rPr>
        <w:rFonts w:ascii="Wingdings" w:hAnsi="Wingdings" w:hint="default"/>
      </w:rPr>
    </w:lvl>
  </w:abstractNum>
  <w:abstractNum w:abstractNumId="290">
    <w:multiLevelType w:val="hybridMultilevel"/>
    <w:name w:val="List 291"/>
    <w:lvl w:ilvl="0">
      <w:start w:val="1"/>
      <w:numFmt w:val="bullet"/>
      <w:lvlText w:val=""/>
      <w:lvlJc w:val="left"/>
      <w:pPr>
        <w:ind w:hanging="360" w:left="1152"/>
      </w:pPr>
      <w:rPr>
        <w:rFonts w:ascii="Symbol" w:hAnsi="Symbol" w:hint="default"/>
      </w:rPr>
    </w:lvl>
  </w:abstractNum>
  <w:abstractNum w:abstractNumId="291">
    <w:multiLevelType w:val="hybridMultilevel"/>
    <w:name w:val="List 292"/>
    <w:lvl w:ilvl="0">
      <w:start w:val="1"/>
      <w:numFmt w:val="bullet"/>
      <w:lvlText w:val=""/>
      <w:lvlJc w:val="left"/>
      <w:pPr>
        <w:ind w:hanging="360" w:left="1152"/>
      </w:pPr>
      <w:rPr>
        <w:rFonts w:ascii="Wingdings" w:hAnsi="Wingdings" w:hint="default"/>
      </w:rPr>
    </w:lvl>
  </w:abstractNum>
  <w:abstractNum w:abstractNumId="292">
    <w:multiLevelType w:val="hybridMultilevel"/>
    <w:name w:val="List 293"/>
    <w:lvl w:ilvl="0">
      <w:start w:val="1"/>
      <w:numFmt w:val="bullet"/>
      <w:lvlText w:val=""/>
      <w:lvlJc w:val="left"/>
      <w:pPr>
        <w:ind w:hanging="360" w:left="1152"/>
      </w:pPr>
      <w:rPr>
        <w:rFonts w:ascii="Wingdings" w:hAnsi="Wingdings" w:hint="default"/>
      </w:rPr>
    </w:lvl>
  </w:abstractNum>
  <w:abstractNum w:abstractNumId="293">
    <w:multiLevelType w:val="hybridMultilevel"/>
    <w:name w:val="List 294"/>
    <w:lvl w:ilvl="0">
      <w:start w:val="1"/>
      <w:numFmt w:val="bullet"/>
      <w:lvlText w:val=""/>
      <w:lvlJc w:val="left"/>
      <w:pPr>
        <w:ind w:hanging="360" w:left="1152"/>
      </w:pPr>
      <w:rPr>
        <w:rFonts w:ascii="Wingdings" w:hAnsi="Wingdings" w:hint="default"/>
      </w:rPr>
    </w:lvl>
  </w:abstractNum>
  <w:abstractNum w:abstractNumId="294">
    <w:multiLevelType w:val="hybridMultilevel"/>
    <w:name w:val="List 295"/>
    <w:lvl w:ilvl="0">
      <w:start w:val="1"/>
      <w:numFmt w:val="bullet"/>
      <w:lvlText w:val=""/>
      <w:lvlJc w:val="left"/>
      <w:pPr>
        <w:ind w:hanging="360" w:left="1152"/>
      </w:pPr>
      <w:rPr>
        <w:rFonts w:ascii="Wingdings" w:hAnsi="Wingdings" w:hint="default"/>
      </w:rPr>
    </w:lvl>
  </w:abstractNum>
  <w:abstractNum w:abstractNumId="295">
    <w:multiLevelType w:val="hybridMultilevel"/>
    <w:name w:val="List 296"/>
    <w:lvl w:ilvl="0">
      <w:start w:val="1"/>
      <w:numFmt w:val="decimal"/>
      <w:lvlText w:val="%1."/>
      <w:lvlJc w:val="left"/>
      <w:pPr>
        <w:ind w:hanging="360" w:left="1152"/>
      </w:pPr>
    </w:lvl>
  </w:abstractNum>
  <w:abstractNum w:abstractNumId="296">
    <w:multiLevelType w:val="hybridMultilevel"/>
    <w:name w:val="List 297"/>
    <w:lvl w:ilvl="0">
      <w:start w:val="1"/>
      <w:numFmt w:val="bullet"/>
      <w:lvlText w:val=""/>
      <w:lvlJc w:val="left"/>
      <w:pPr>
        <w:ind w:hanging="360" w:left="1152"/>
      </w:pPr>
      <w:rPr>
        <w:rFonts w:ascii="Wingdings" w:hAnsi="Wingdings" w:hint="default"/>
      </w:rPr>
    </w:lvl>
  </w:abstractNum>
  <w:abstractNum w:abstractNumId="297">
    <w:multiLevelType w:val="hybridMultilevel"/>
    <w:name w:val="List 298"/>
    <w:lvl w:ilvl="0">
      <w:start w:val="1"/>
      <w:numFmt w:val="decimal"/>
      <w:lvlText w:val="%1."/>
      <w:lvlJc w:val="left"/>
      <w:pPr>
        <w:ind w:hanging="360" w:left="1152"/>
      </w:pPr>
    </w:lvl>
  </w:abstractNum>
  <w:abstractNum w:abstractNumId="298">
    <w:multiLevelType w:val="hybridMultilevel"/>
    <w:name w:val="List 299"/>
    <w:lvl w:ilvl="0">
      <w:start w:val="2"/>
      <w:numFmt w:val="decimal"/>
      <w:lvlText w:val="%1."/>
      <w:lvlJc w:val="left"/>
      <w:pPr>
        <w:ind w:hanging="360" w:left="1152"/>
      </w:pPr>
    </w:lvl>
  </w:abstractNum>
  <w:abstractNum w:abstractNumId="299">
    <w:multiLevelType w:val="hybridMultilevel"/>
    <w:name w:val="List 300"/>
    <w:lvl w:ilvl="0">
      <w:start w:val="1"/>
      <w:numFmt w:val="bullet"/>
      <w:lvlText w:val=""/>
      <w:lvlJc w:val="left"/>
      <w:pPr>
        <w:ind w:hanging="360" w:left="1152"/>
      </w:pPr>
      <w:rPr>
        <w:rFonts w:ascii="Wingdings" w:hAnsi="Wingdings" w:hint="default"/>
      </w:rPr>
    </w:lvl>
  </w:abstractNum>
  <w:abstractNum w:abstractNumId="300">
    <w:multiLevelType w:val="hybridMultilevel"/>
    <w:name w:val="List 301"/>
    <w:lvl w:ilvl="0">
      <w:start w:val="1"/>
      <w:numFmt w:val="bullet"/>
      <w:lvlText w:val=""/>
      <w:lvlJc w:val="left"/>
      <w:pPr>
        <w:ind w:hanging="360" w:left="1152"/>
      </w:pPr>
      <w:rPr>
        <w:rFonts w:ascii="Symbol" w:hAnsi="Symbol" w:hint="default"/>
      </w:rPr>
    </w:lvl>
  </w:abstractNum>
  <w:abstractNum w:abstractNumId="301">
    <w:multiLevelType w:val="hybridMultilevel"/>
    <w:name w:val="List 302"/>
    <w:lvl w:ilvl="0">
      <w:start w:val="1"/>
      <w:numFmt w:val="bullet"/>
      <w:lvlText w:val=""/>
      <w:lvlJc w:val="left"/>
      <w:pPr>
        <w:ind w:hanging="360" w:left="1152"/>
      </w:pPr>
      <w:rPr>
        <w:rFonts w:ascii="Wingdings" w:hAnsi="Wingdings" w:hint="default"/>
      </w:rPr>
    </w:lvl>
  </w:abstractNum>
  <w:abstractNum w:abstractNumId="302">
    <w:multiLevelType w:val="hybridMultilevel"/>
    <w:name w:val="List 303"/>
    <w:lvl w:ilvl="0">
      <w:start w:val="1"/>
      <w:numFmt w:val="bullet"/>
      <w:lvlText w:val=""/>
      <w:lvlJc w:val="left"/>
      <w:pPr>
        <w:ind w:hanging="360" w:left="1152"/>
      </w:pPr>
      <w:rPr>
        <w:rFonts w:ascii="Wingdings" w:hAnsi="Wingdings" w:hint="default"/>
      </w:rPr>
    </w:lvl>
  </w:abstractNum>
  <w:abstractNum w:abstractNumId="303">
    <w:multiLevelType w:val="hybridMultilevel"/>
    <w:name w:val="List 304"/>
    <w:lvl w:ilvl="0">
      <w:start w:val="1"/>
      <w:numFmt w:val="decimal"/>
      <w:lvlText w:val="%1."/>
      <w:lvlJc w:val="left"/>
      <w:pPr>
        <w:ind w:hanging="360" w:left="1152"/>
      </w:pPr>
    </w:lvl>
  </w:abstractNum>
  <w:abstractNum w:abstractNumId="304">
    <w:multiLevelType w:val="hybridMultilevel"/>
    <w:name w:val="List 305"/>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305">
    <w:multiLevelType w:val="hybridMultilevel"/>
    <w:name w:val="List 306"/>
    <w:lvl w:ilvl="0">
      <w:start w:val="1"/>
      <w:numFmt w:val="decimal"/>
      <w:lvlText w:val="%1."/>
      <w:lvlJc w:val="left"/>
      <w:pPr>
        <w:ind w:hanging="360" w:left="1152"/>
      </w:pPr>
    </w:lvl>
  </w:abstractNum>
  <w:abstractNum w:abstractNumId="306">
    <w:multiLevelType w:val="hybridMultilevel"/>
    <w:name w:val="List 307"/>
    <w:lvl w:ilvl="0">
      <w:start w:val="1"/>
      <w:numFmt w:val="decimal"/>
      <w:lvlText w:val="%1."/>
      <w:lvlJc w:val="left"/>
      <w:pPr>
        <w:ind w:hanging="360" w:left="1152"/>
      </w:pPr>
    </w:lvl>
  </w:abstractNum>
  <w:abstractNum w:abstractNumId="307">
    <w:multiLevelType w:val="hybridMultilevel"/>
    <w:name w:val="List 308"/>
    <w:lvl w:ilvl="0">
      <w:start w:val="1"/>
      <w:numFmt w:val="bullet"/>
      <w:lvlText w:val=""/>
      <w:lvlJc w:val="left"/>
      <w:pPr>
        <w:ind w:hanging="360" w:left="1152"/>
      </w:pPr>
      <w:rPr>
        <w:rFonts w:ascii="Wingdings" w:hAnsi="Wingdings" w:hint="default"/>
      </w:rPr>
    </w:lvl>
  </w:abstractNum>
  <w:abstractNum w:abstractNumId="308">
    <w:multiLevelType w:val="hybridMultilevel"/>
    <w:name w:val="List 309"/>
    <w:lvl w:ilvl="0">
      <w:start w:val="1"/>
      <w:numFmt w:val="bullet"/>
      <w:lvlText w:val=""/>
      <w:lvlJc w:val="left"/>
      <w:pPr>
        <w:ind w:hanging="360" w:left="1152"/>
      </w:pPr>
      <w:rPr>
        <w:rFonts w:ascii="Wingdings" w:hAnsi="Wingdings" w:hint="default"/>
      </w:rPr>
    </w:lvl>
  </w:abstractNum>
  <w:abstractNum w:abstractNumId="309">
    <w:multiLevelType w:val="hybridMultilevel"/>
    <w:name w:val="List 310"/>
    <w:lvl w:ilvl="0">
      <w:start w:val="1"/>
      <w:numFmt w:val="bullet"/>
      <w:lvlText w:val=""/>
      <w:lvlJc w:val="left"/>
      <w:pPr>
        <w:ind w:hanging="360" w:left="1152"/>
      </w:pPr>
      <w:rPr>
        <w:rFonts w:ascii="Wingdings" w:hAnsi="Wingdings" w:hint="default"/>
      </w:rPr>
    </w:lvl>
  </w:abstractNum>
  <w:abstractNum w:abstractNumId="310">
    <w:multiLevelType w:val="hybridMultilevel"/>
    <w:name w:val="List 311"/>
    <w:lvl w:ilvl="0">
      <w:start w:val="1"/>
      <w:numFmt w:val="bullet"/>
      <w:lvlText w:val=""/>
      <w:lvlJc w:val="left"/>
      <w:pPr>
        <w:ind w:hanging="360" w:left="1152"/>
      </w:pPr>
      <w:rPr>
        <w:rFonts w:ascii="Wingdings" w:hAnsi="Wingdings" w:hint="default"/>
      </w:rPr>
    </w:lvl>
  </w:abstractNum>
  <w:abstractNum w:abstractNumId="311">
    <w:multiLevelType w:val="hybridMultilevel"/>
    <w:name w:val="List 312"/>
    <w:lvl w:ilvl="0">
      <w:start w:val="1"/>
      <w:numFmt w:val="bullet"/>
      <w:lvlText w:val=""/>
      <w:lvlJc w:val="left"/>
      <w:pPr>
        <w:ind w:hanging="360" w:left="1152"/>
      </w:pPr>
      <w:rPr>
        <w:rFonts w:ascii="Wingdings" w:hAnsi="Wingdings" w:hint="default"/>
      </w:rPr>
    </w:lvl>
  </w:abstractNum>
  <w:abstractNum w:abstractNumId="312">
    <w:multiLevelType w:val="hybridMultilevel"/>
    <w:name w:val="List 313"/>
    <w:lvl w:ilvl="0">
      <w:start w:val="1"/>
      <w:numFmt w:val="bullet"/>
      <w:lvlText w:val=""/>
      <w:lvlJc w:val="left"/>
      <w:pPr>
        <w:ind w:hanging="360" w:left="1152"/>
      </w:pPr>
      <w:rPr>
        <w:rFonts w:ascii="Wingdings" w:hAnsi="Wingdings" w:hint="default"/>
      </w:rPr>
    </w:lvl>
  </w:abstractNum>
  <w:abstractNum w:abstractNumId="313">
    <w:multiLevelType w:val="hybridMultilevel"/>
    <w:name w:val="List 314"/>
    <w:lvl w:ilvl="0">
      <w:start w:val="1"/>
      <w:numFmt w:val="decimal"/>
      <w:lvlText w:val="%1."/>
      <w:lvlJc w:val="left"/>
      <w:pPr>
        <w:ind w:hanging="360" w:left="1152"/>
      </w:pPr>
    </w:lvl>
  </w:abstractNum>
  <w:abstractNum w:abstractNumId="314">
    <w:multiLevelType w:val="hybridMultilevel"/>
    <w:name w:val="List 315"/>
    <w:lvl w:ilvl="0">
      <w:start w:val="1"/>
      <w:numFmt w:val="bullet"/>
      <w:lvlText w:val=""/>
      <w:lvlJc w:val="left"/>
      <w:pPr>
        <w:ind w:hanging="360" w:left="1152"/>
      </w:pPr>
      <w:rPr>
        <w:rFonts w:ascii="Wingdings" w:hAnsi="Wingdings" w:hint="default"/>
      </w:rPr>
    </w:lvl>
  </w:abstractNum>
  <w:abstractNum w:abstractNumId="315">
    <w:multiLevelType w:val="hybridMultilevel"/>
    <w:name w:val="List 316"/>
    <w:lvl w:ilvl="0">
      <w:start w:val="1"/>
      <w:numFmt w:val="bullet"/>
      <w:lvlText w:val=""/>
      <w:lvlJc w:val="left"/>
      <w:pPr>
        <w:ind w:hanging="360" w:left="1152"/>
      </w:pPr>
      <w:rPr>
        <w:rFonts w:ascii="Symbol" w:hAnsi="Symbol" w:hint="default"/>
      </w:rPr>
    </w:lvl>
  </w:abstractNum>
  <w:abstractNum w:abstractNumId="316">
    <w:multiLevelType w:val="hybridMultilevel"/>
    <w:name w:val="List 317"/>
    <w:lvl w:ilvl="0">
      <w:start w:val="1"/>
      <w:numFmt w:val="bullet"/>
      <w:lvlText w:val=""/>
      <w:lvlJc w:val="left"/>
      <w:pPr>
        <w:ind w:hanging="360" w:left="1152"/>
      </w:pPr>
      <w:rPr>
        <w:rFonts w:ascii="Wingdings" w:hAnsi="Wingdings" w:hint="default"/>
      </w:rPr>
    </w:lvl>
  </w:abstractNum>
  <w:abstractNum w:abstractNumId="317">
    <w:multiLevelType w:val="hybridMultilevel"/>
    <w:name w:val="List 318"/>
    <w:lvl w:ilvl="0">
      <w:start w:val="1"/>
      <w:numFmt w:val="bullet"/>
      <w:lvlText w:val=""/>
      <w:lvlJc w:val="left"/>
      <w:pPr>
        <w:ind w:hanging="360" w:left="1152"/>
      </w:pPr>
      <w:rPr>
        <w:rFonts w:ascii="Wingdings" w:hAnsi="Wingdings" w:hint="default"/>
      </w:rPr>
    </w:lvl>
  </w:abstractNum>
  <w:abstractNum w:abstractNumId="318">
    <w:multiLevelType w:val="hybridMultilevel"/>
    <w:name w:val="List 319"/>
    <w:lvl w:ilvl="0">
      <w:start w:val="1"/>
      <w:numFmt w:val="bullet"/>
      <w:lvlText w:val=""/>
      <w:lvlJc w:val="left"/>
      <w:pPr>
        <w:ind w:hanging="360" w:left="1152"/>
      </w:pPr>
      <w:rPr>
        <w:rFonts w:ascii="Wingdings" w:hAnsi="Wingdings" w:hint="default"/>
      </w:rPr>
    </w:lvl>
  </w:abstractNum>
  <w:abstractNum w:abstractNumId="319">
    <w:multiLevelType w:val="hybridMultilevel"/>
    <w:name w:val="List 320"/>
    <w:lvl w:ilvl="0">
      <w:start w:val="1"/>
      <w:numFmt w:val="bullet"/>
      <w:lvlText w:val=""/>
      <w:lvlJc w:val="left"/>
      <w:pPr>
        <w:ind w:hanging="360" w:left="1152"/>
      </w:pPr>
      <w:rPr>
        <w:rFonts w:ascii="Wingdings" w:hAnsi="Wingdings" w:hint="default"/>
      </w:rPr>
    </w:lvl>
  </w:abstractNum>
  <w:abstractNum w:abstractNumId="320">
    <w:multiLevelType w:val="hybridMultilevel"/>
    <w:name w:val="List 321"/>
    <w:lvl w:ilvl="0">
      <w:start w:val="1"/>
      <w:numFmt w:val="bullet"/>
      <w:lvlText w:val=""/>
      <w:lvlJc w:val="left"/>
      <w:pPr>
        <w:ind w:hanging="360" w:left="1152"/>
      </w:pPr>
      <w:rPr>
        <w:rFonts w:ascii="Wingdings" w:hAnsi="Wingdings" w:hint="default"/>
      </w:rPr>
    </w:lvl>
  </w:abstractNum>
  <w:abstractNum w:abstractNumId="321">
    <w:multiLevelType w:val="hybridMultilevel"/>
    <w:name w:val="List 322"/>
    <w:lvl w:ilvl="0">
      <w:start w:val="1"/>
      <w:numFmt w:val="bullet"/>
      <w:lvlText w:val=""/>
      <w:lvlJc w:val="left"/>
      <w:pPr>
        <w:ind w:hanging="360" w:left="1152"/>
      </w:pPr>
      <w:rPr>
        <w:rFonts w:ascii="Wingdings" w:hAnsi="Wingdings" w:hint="default"/>
      </w:rPr>
    </w:lvl>
  </w:abstractNum>
  <w:abstractNum w:abstractNumId="322">
    <w:multiLevelType w:val="hybridMultilevel"/>
    <w:name w:val="List 323"/>
    <w:lvl w:ilvl="0">
      <w:start w:val="1"/>
      <w:numFmt w:val="decimal"/>
      <w:lvlText w:val="%1."/>
      <w:lvlJc w:val="left"/>
      <w:pPr>
        <w:ind w:hanging="360" w:left="1152"/>
      </w:pPr>
    </w:lvl>
  </w:abstractNum>
  <w:abstractNum w:abstractNumId="323">
    <w:multiLevelType w:val="hybridMultilevel"/>
    <w:name w:val="List 324"/>
    <w:lvl w:ilvl="0">
      <w:start w:val="1"/>
      <w:numFmt w:val="decimal"/>
      <w:lvlText w:val="%1."/>
      <w:lvlJc w:val="left"/>
      <w:pPr>
        <w:ind w:hanging="360" w:left="1152"/>
      </w:pPr>
    </w:lvl>
  </w:abstractNum>
  <w:abstractNum w:abstractNumId="324">
    <w:multiLevelType w:val="hybridMultilevel"/>
    <w:name w:val="List 325"/>
    <w:lvl w:ilvl="0">
      <w:start w:val="1"/>
      <w:numFmt w:val="decimal"/>
      <w:lvlText w:val="%1."/>
      <w:lvlJc w:val="left"/>
      <w:pPr>
        <w:ind w:hanging="360" w:left="1152"/>
      </w:pPr>
    </w:lvl>
  </w:abstractNum>
  <w:abstractNum w:abstractNumId="325">
    <w:multiLevelType w:val="hybridMultilevel"/>
    <w:name w:val="List 326"/>
    <w:lvl w:ilvl="0">
      <w:start w:val="1"/>
      <w:numFmt w:val="bullet"/>
      <w:lvlText w:val=""/>
      <w:lvlJc w:val="left"/>
      <w:pPr>
        <w:ind w:hanging="360" w:left="1152"/>
      </w:pPr>
      <w:rPr>
        <w:rFonts w:ascii="Wingdings" w:hAnsi="Wingdings" w:hint="default"/>
      </w:rPr>
    </w:lvl>
  </w:abstractNum>
  <w:abstractNum w:abstractNumId="326">
    <w:multiLevelType w:val="hybridMultilevel"/>
    <w:name w:val="List 327"/>
    <w:lvl w:ilvl="0">
      <w:start w:val="1"/>
      <w:numFmt w:val="decimal"/>
      <w:lvlText w:val="%1."/>
      <w:lvlJc w:val="left"/>
      <w:pPr>
        <w:ind w:hanging="360" w:left="1152"/>
      </w:pPr>
    </w:lvl>
  </w:abstractNum>
  <w:abstractNum w:abstractNumId="327">
    <w:multiLevelType w:val="hybridMultilevel"/>
    <w:name w:val="List 328"/>
    <w:lvl w:ilvl="0">
      <w:start w:val="1"/>
      <w:numFmt w:val="decimal"/>
      <w:lvlText w:val="%1."/>
      <w:lvlJc w:val="left"/>
      <w:pPr>
        <w:ind w:hanging="360" w:left="1152"/>
      </w:pPr>
    </w:lvl>
  </w:abstractNum>
  <w:abstractNum w:abstractNumId="328">
    <w:multiLevelType w:val="hybridMultilevel"/>
    <w:name w:val="List 329"/>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329">
    <w:multiLevelType w:val="hybridMultilevel"/>
    <w:name w:val="List 330"/>
    <w:lvl w:ilvl="0">
      <w:start w:val="1"/>
      <w:numFmt w:val="decimal"/>
      <w:lvlText w:val="%1."/>
      <w:lvlJc w:val="left"/>
      <w:pPr>
        <w:ind w:hanging="360" w:left="1152"/>
      </w:pPr>
    </w:lvl>
  </w:abstractNum>
  <w:abstractNum w:abstractNumId="330">
    <w:multiLevelType w:val="hybridMultilevel"/>
    <w:name w:val="List 331"/>
    <w:lvl w:ilvl="0">
      <w:start w:val="1"/>
      <w:numFmt w:val="decimal"/>
      <w:lvlText w:val="%1."/>
      <w:lvlJc w:val="left"/>
      <w:pPr>
        <w:ind w:hanging="360" w:left="1152"/>
      </w:pPr>
    </w:lvl>
  </w:abstractNum>
  <w:abstractNum w:abstractNumId="331">
    <w:multiLevelType w:val="hybridMultilevel"/>
    <w:name w:val="List 332"/>
    <w:lvl w:ilvl="0">
      <w:start w:val="3"/>
      <w:numFmt w:val="decimal"/>
      <w:lvlText w:val="%1."/>
      <w:lvlJc w:val="left"/>
      <w:pPr>
        <w:ind w:hanging="360" w:left="1152"/>
      </w:pPr>
    </w:lvl>
  </w:abstractNum>
  <w:abstractNum w:abstractNumId="332">
    <w:multiLevelType w:val="hybridMultilevel"/>
    <w:name w:val="List 333"/>
    <w:lvl w:ilvl="0">
      <w:start w:val="1"/>
      <w:numFmt w:val="bullet"/>
      <w:lvlText w:val=""/>
      <w:lvlJc w:val="left"/>
      <w:pPr>
        <w:ind w:hanging="360" w:left="1152"/>
      </w:pPr>
      <w:rPr>
        <w:rFonts w:ascii="Wingdings" w:hAnsi="Wingdings" w:hint="default"/>
      </w:rPr>
    </w:lvl>
  </w:abstractNum>
  <w:abstractNum w:abstractNumId="333">
    <w:multiLevelType w:val="hybridMultilevel"/>
    <w:name w:val="List 334"/>
    <w:lvl w:ilvl="0">
      <w:start w:val="1"/>
      <w:numFmt w:val="bullet"/>
      <w:lvlText w:val=""/>
      <w:lvlJc w:val="left"/>
      <w:pPr>
        <w:ind w:hanging="360" w:left="1152"/>
      </w:pPr>
      <w:rPr>
        <w:rFonts w:ascii="Wingdings" w:hAnsi="Wingdings" w:hint="default"/>
      </w:rPr>
    </w:lvl>
  </w:abstractNum>
  <w:abstractNum w:abstractNumId="334">
    <w:multiLevelType w:val="hybridMultilevel"/>
    <w:name w:val="List 335"/>
    <w:lvl w:ilvl="0">
      <w:start w:val="1"/>
      <w:numFmt w:val="decimal"/>
      <w:lvlText w:val="%1."/>
      <w:lvlJc w:val="left"/>
      <w:pPr>
        <w:ind w:hanging="360" w:left="1152"/>
      </w:pPr>
    </w:lvl>
  </w:abstractNum>
  <w:abstractNum w:abstractNumId="335">
    <w:multiLevelType w:val="hybridMultilevel"/>
    <w:name w:val="List 336"/>
    <w:lvl w:ilvl="0">
      <w:start w:val="1"/>
      <w:numFmt w:val="decimal"/>
      <w:lvlText w:val="%1."/>
      <w:lvlJc w:val="left"/>
      <w:pPr>
        <w:ind w:hanging="360" w:left="1152"/>
      </w:pPr>
    </w:lvl>
  </w:abstractNum>
  <w:abstractNum w:abstractNumId="336">
    <w:multiLevelType w:val="hybridMultilevel"/>
    <w:name w:val="List 337"/>
    <w:lvl w:ilvl="0">
      <w:start w:val="1"/>
      <w:numFmt w:val="bullet"/>
      <w:lvlText w:val=""/>
      <w:lvlJc w:val="left"/>
      <w:pPr>
        <w:ind w:hanging="360" w:left="1152"/>
      </w:pPr>
      <w:rPr>
        <w:rFonts w:ascii="Wingdings" w:hAnsi="Wingdings" w:hint="default"/>
      </w:rPr>
    </w:lvl>
  </w:abstractNum>
  <w:abstractNum w:abstractNumId="337">
    <w:multiLevelType w:val="hybridMultilevel"/>
    <w:name w:val="List 338"/>
    <w:lvl w:ilvl="0">
      <w:start w:val="1"/>
      <w:numFmt w:val="bullet"/>
      <w:lvlText w:val=""/>
      <w:lvlJc w:val="left"/>
      <w:pPr>
        <w:ind w:hanging="360" w:left="1152"/>
      </w:pPr>
      <w:rPr>
        <w:rFonts w:ascii="Symbol" w:hAnsi="Symbol" w:hint="default"/>
      </w:rPr>
    </w:lvl>
  </w:abstractNum>
  <w:abstractNum w:abstractNumId="338">
    <w:multiLevelType w:val="hybridMultilevel"/>
    <w:name w:val="List 339"/>
    <w:lvl w:ilvl="0">
      <w:start w:val="1"/>
      <w:numFmt w:val="bullet"/>
      <w:lvlText w:val=""/>
      <w:lvlJc w:val="left"/>
      <w:pPr>
        <w:ind w:hanging="360" w:left="1152"/>
      </w:pPr>
      <w:rPr>
        <w:rFonts w:ascii="Wingdings" w:hAnsi="Wingdings" w:hint="default"/>
      </w:rPr>
    </w:lvl>
  </w:abstractNum>
  <w:abstractNum w:abstractNumId="339">
    <w:multiLevelType w:val="hybridMultilevel"/>
    <w:name w:val="List 340"/>
    <w:lvl w:ilvl="0">
      <w:start w:val="1"/>
      <w:numFmt w:val="bullet"/>
      <w:lvlText w:val=""/>
      <w:lvlJc w:val="left"/>
      <w:pPr>
        <w:ind w:hanging="360" w:left="1152"/>
      </w:pPr>
      <w:rPr>
        <w:rFonts w:ascii="Wingdings" w:hAnsi="Wingdings" w:hint="default"/>
      </w:rPr>
    </w:lvl>
  </w:abstractNum>
  <w:abstractNum w:abstractNumId="340">
    <w:multiLevelType w:val="hybridMultilevel"/>
    <w:name w:val="List 341"/>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341">
    <w:multiLevelType w:val="hybridMultilevel"/>
    <w:name w:val="List 342"/>
    <w:lvl w:ilvl="0">
      <w:start w:val="1"/>
      <w:numFmt w:val="bullet"/>
      <w:lvlText w:val=""/>
      <w:lvlJc w:val="left"/>
      <w:pPr>
        <w:ind w:hanging="360" w:left="1152"/>
      </w:pPr>
      <w:rPr>
        <w:rFonts w:ascii="Wingdings" w:hAnsi="Wingdings" w:hint="default"/>
      </w:rPr>
    </w:lvl>
  </w:abstractNum>
  <w:abstractNum w:abstractNumId="342">
    <w:multiLevelType w:val="hybridMultilevel"/>
    <w:name w:val="List 343"/>
    <w:lvl w:ilvl="0">
      <w:start w:val="1"/>
      <w:numFmt w:val="decimal"/>
      <w:lvlText w:val="%1."/>
      <w:lvlJc w:val="left"/>
      <w:pPr>
        <w:ind w:hanging="360" w:left="1152"/>
      </w:pPr>
    </w:lvl>
  </w:abstractNum>
  <w:abstractNum w:abstractNumId="343">
    <w:multiLevelType w:val="hybridMultilevel"/>
    <w:name w:val="List 344"/>
    <w:lvl w:ilvl="0">
      <w:start w:val="1"/>
      <w:numFmt w:val="bullet"/>
      <w:lvlText w:val=""/>
      <w:lvlJc w:val="left"/>
      <w:pPr>
        <w:ind w:hanging="360" w:left="1152"/>
      </w:pPr>
      <w:rPr>
        <w:rFonts w:ascii="Wingdings" w:hAnsi="Wingdings" w:hint="default"/>
      </w:rPr>
    </w:lvl>
    <w:lvl w:ilvl="1">
      <w:start w:val="1"/>
      <w:numFmt w:val="bullet"/>
      <w:lvlText w:val=""/>
      <w:lvlJc w:val="left"/>
      <w:pPr>
        <w:ind w:hanging="360" w:left="1512"/>
      </w:pPr>
      <w:rPr>
        <w:rFonts w:ascii="Wingdings" w:hAnsi="Wingdings" w:hint="default"/>
      </w:rPr>
    </w:lvl>
  </w:abstractNum>
  <w:abstractNum w:abstractNumId="344">
    <w:multiLevelType w:val="hybridMultilevel"/>
    <w:name w:val="List 345"/>
    <w:lvl w:ilvl="0">
      <w:start w:val="1"/>
      <w:numFmt w:val="decimal"/>
      <w:lvlText w:val="%1."/>
      <w:lvlJc w:val="left"/>
      <w:pPr>
        <w:ind w:hanging="360" w:left="1152"/>
      </w:pPr>
    </w:lvl>
  </w:abstractNum>
  <w:abstractNum w:abstractNumId="345">
    <w:multiLevelType w:val="hybridMultilevel"/>
    <w:name w:val="List 346"/>
    <w:lvl w:ilvl="0">
      <w:start w:val="1"/>
      <w:numFmt w:val="lowerLetter"/>
      <w:lvlText w:val="%1."/>
      <w:lvlJc w:val="left"/>
      <w:pPr>
        <w:ind w:hanging="360" w:left="1152"/>
      </w:pPr>
    </w:lvl>
  </w:abstractNum>
  <w:abstractNum w:abstractNumId="346">
    <w:multiLevelType w:val="hybridMultilevel"/>
    <w:name w:val="List 347"/>
    <w:lvl w:ilvl="0">
      <w:start w:val="1"/>
      <w:numFmt w:val="bullet"/>
      <w:lvlText w:val=""/>
      <w:lvlJc w:val="left"/>
      <w:pPr>
        <w:ind w:hanging="360" w:left="1152"/>
      </w:pPr>
      <w:rPr>
        <w:rFonts w:ascii="Wingdings" w:hAnsi="Wingdings" w:hint="default"/>
      </w:rPr>
    </w:lvl>
  </w:abstractNum>
  <w:abstractNum w:abstractNumId="347">
    <w:multiLevelType w:val="hybridMultilevel"/>
    <w:name w:val="List 348"/>
    <w:lvl w:ilvl="0">
      <w:start w:val="1"/>
      <w:numFmt w:val="decimal"/>
      <w:lvlText w:val="%1."/>
      <w:lvlJc w:val="left"/>
      <w:pPr>
        <w:ind w:hanging="360" w:left="1152"/>
      </w:pPr>
    </w:lvl>
  </w:abstractNum>
  <w:abstractNum w:abstractNumId="348">
    <w:multiLevelType w:val="hybridMultilevel"/>
    <w:name w:val="List 349"/>
    <w:lvl w:ilvl="0">
      <w:start w:val="1"/>
      <w:numFmt w:val="bullet"/>
      <w:lvlText w:val=""/>
      <w:lvlJc w:val="left"/>
      <w:pPr>
        <w:ind w:hanging="360" w:left="1152"/>
      </w:pPr>
      <w:rPr>
        <w:rFonts w:ascii="Wingdings" w:hAnsi="Wingdings" w:hint="default"/>
      </w:rPr>
    </w:lvl>
  </w:abstractNum>
  <w:abstractNum w:abstractNumId="349">
    <w:multiLevelType w:val="hybridMultilevel"/>
    <w:name w:val="List 350"/>
    <w:lvl w:ilvl="0">
      <w:start w:val="1"/>
      <w:numFmt w:val="decimal"/>
      <w:lvlText w:val="%1."/>
      <w:lvlJc w:val="left"/>
      <w:pPr>
        <w:ind w:hanging="360" w:left="1152"/>
      </w:pPr>
    </w:lvl>
  </w:abstractNum>
  <w:abstractNum w:abstractNumId="350">
    <w:multiLevelType w:val="hybridMultilevel"/>
    <w:name w:val="List 351"/>
    <w:lvl w:ilvl="0">
      <w:start w:val="1"/>
      <w:numFmt w:val="bullet"/>
      <w:lvlText w:val=""/>
      <w:lvlJc w:val="left"/>
      <w:pPr>
        <w:ind w:hanging="360" w:left="1152"/>
      </w:pPr>
      <w:rPr>
        <w:rFonts w:ascii="Wingdings" w:hAnsi="Wingdings" w:hint="default"/>
      </w:rPr>
    </w:lvl>
  </w:abstractNum>
  <w:abstractNum w:abstractNumId="351">
    <w:multiLevelType w:val="hybridMultilevel"/>
    <w:name w:val="List 352"/>
    <w:lvl w:ilvl="0">
      <w:start w:val="1"/>
      <w:numFmt w:val="decimal"/>
      <w:lvlText w:val="%1."/>
      <w:lvlJc w:val="left"/>
      <w:pPr>
        <w:ind w:hanging="360" w:left="1152"/>
      </w:pPr>
    </w:lvl>
  </w:abstractNum>
  <w:abstractNum w:abstractNumId="352">
    <w:multiLevelType w:val="hybridMultilevel"/>
    <w:name w:val="List 353"/>
    <w:lvl w:ilvl="0">
      <w:start w:val="1"/>
      <w:numFmt w:val="bullet"/>
      <w:lvlText w:val=""/>
      <w:lvlJc w:val="left"/>
      <w:pPr>
        <w:ind w:hanging="360" w:left="1152"/>
      </w:pPr>
      <w:rPr>
        <w:rFonts w:ascii="Wingdings" w:hAnsi="Wingdings" w:hint="default"/>
      </w:rPr>
    </w:lvl>
  </w:abstractNum>
  <w:abstractNum w:abstractNumId="353">
    <w:multiLevelType w:val="hybridMultilevel"/>
    <w:name w:val="List 354"/>
    <w:lvl w:ilvl="0">
      <w:start w:val="1"/>
      <w:numFmt w:val="decimal"/>
      <w:lvlText w:val="%1."/>
      <w:lvlJc w:val="left"/>
      <w:pPr>
        <w:ind w:hanging="360" w:left="1152"/>
      </w:pPr>
    </w:lvl>
    <w:lvl w:ilvl="1">
      <w:start w:val="1"/>
      <w:numFmt w:val="lowerLetter"/>
      <w:lvlText w:val="%2."/>
      <w:lvlJc w:val="left"/>
      <w:pPr>
        <w:ind w:hanging="360" w:left="1512"/>
      </w:pPr>
    </w:lvl>
    <w:lvl w:ilvl="2">
      <w:start w:val="1"/>
      <w:numFmt w:val="lowerLetter"/>
      <w:lvlText w:val="%3."/>
      <w:lvlJc w:val="left"/>
      <w:pPr>
        <w:ind w:hanging="360" w:left="1872"/>
      </w:pPr>
    </w:lvl>
  </w:abstractNum>
  <w:abstractNum w:abstractNumId="354">
    <w:multiLevelType w:val="hybridMultilevel"/>
    <w:name w:val="List 355"/>
    <w:lvl w:ilvl="0">
      <w:start w:val="1"/>
      <w:numFmt w:val="decimal"/>
      <w:lvlText w:val="%1."/>
      <w:lvlJc w:val="left"/>
      <w:pPr>
        <w:ind w:hanging="360" w:left="1152"/>
      </w:pPr>
    </w:lvl>
  </w:abstractNum>
  <w:abstractNum w:abstractNumId="355">
    <w:multiLevelType w:val="hybridMultilevel"/>
    <w:name w:val="List 356"/>
    <w:lvl w:ilvl="0">
      <w:start w:val="1"/>
      <w:numFmt w:val="bullet"/>
      <w:lvlText w:val=""/>
      <w:lvlJc w:val="left"/>
      <w:pPr>
        <w:ind w:hanging="360" w:left="1152"/>
      </w:pPr>
      <w:rPr>
        <w:rFonts w:ascii="Wingdings" w:hAnsi="Wingdings" w:hint="default"/>
      </w:rPr>
    </w:lvl>
  </w:abstractNum>
  <w:abstractNum w:abstractNumId="356">
    <w:multiLevelType w:val="hybridMultilevel"/>
    <w:name w:val="List 357"/>
    <w:lvl w:ilvl="0">
      <w:start w:val="1"/>
      <w:numFmt w:val="bullet"/>
      <w:lvlText w:val=""/>
      <w:lvlJc w:val="left"/>
      <w:pPr>
        <w:ind w:hanging="360" w:left="1152"/>
      </w:pPr>
      <w:rPr>
        <w:rFonts w:ascii="Wingdings" w:hAnsi="Wingdings" w:hint="default"/>
      </w:rPr>
    </w:lvl>
  </w:abstractNum>
  <w:abstractNum w:abstractNumId="357">
    <w:multiLevelType w:val="hybridMultilevel"/>
    <w:name w:val="List 358"/>
    <w:lvl w:ilvl="0">
      <w:start w:val="1"/>
      <w:numFmt w:val="decimal"/>
      <w:lvlText w:val="%1."/>
      <w:lvlJc w:val="left"/>
      <w:pPr>
        <w:ind w:hanging="360" w:left="1152"/>
      </w:pPr>
    </w:lvl>
  </w:abstractNum>
  <w:abstractNum w:abstractNumId="358">
    <w:multiLevelType w:val="hybridMultilevel"/>
    <w:name w:val="List 359"/>
    <w:lvl w:ilvl="0">
      <w:start w:val="1"/>
      <w:numFmt w:val="bullet"/>
      <w:lvlText w:val=""/>
      <w:lvlJc w:val="left"/>
      <w:pPr>
        <w:ind w:hanging="360" w:left="1152"/>
      </w:pPr>
      <w:rPr>
        <w:rFonts w:ascii="Wingdings" w:hAnsi="Wingdings" w:hint="default"/>
      </w:rPr>
    </w:lvl>
  </w:abstractNum>
  <w:abstractNum w:abstractNumId="359">
    <w:multiLevelType w:val="hybridMultilevel"/>
    <w:name w:val="List 360"/>
    <w:lvl w:ilvl="0">
      <w:start w:val="1"/>
      <w:numFmt w:val="bullet"/>
      <w:lvlText w:val=""/>
      <w:lvlJc w:val="left"/>
      <w:pPr>
        <w:ind w:hanging="360" w:left="1152"/>
      </w:pPr>
      <w:rPr>
        <w:rFonts w:ascii="Wingdings" w:hAnsi="Wingdings" w:hint="default"/>
      </w:rPr>
    </w:lvl>
  </w:abstractNum>
  <w:abstractNum w:abstractNumId="360">
    <w:multiLevelType w:val="hybridMultilevel"/>
    <w:name w:val="List 361"/>
    <w:lvl w:ilvl="0">
      <w:start w:val="1"/>
      <w:numFmt w:val="bullet"/>
      <w:lvlText w:val=""/>
      <w:lvlJc w:val="left"/>
      <w:pPr>
        <w:ind w:hanging="360" w:left="1152"/>
      </w:pPr>
      <w:rPr>
        <w:rFonts w:ascii="Wingdings" w:hAnsi="Wingdings" w:hint="default"/>
      </w:rPr>
    </w:lvl>
  </w:abstractNum>
  <w:abstractNum w:abstractNumId="361">
    <w:multiLevelType w:val="hybridMultilevel"/>
    <w:name w:val="List 362"/>
    <w:lvl w:ilvl="0">
      <w:start w:val="1"/>
      <w:numFmt w:val="bullet"/>
      <w:lvlText w:val=""/>
      <w:lvlJc w:val="left"/>
      <w:pPr>
        <w:ind w:hanging="360" w:left="1152"/>
      </w:pPr>
      <w:rPr>
        <w:rFonts w:ascii="Symbol" w:hAnsi="Symbol" w:hint="default"/>
      </w:rPr>
    </w:lvl>
  </w:abstractNum>
  <w:abstractNum w:abstractNumId="362">
    <w:multiLevelType w:val="hybridMultilevel"/>
    <w:name w:val="List 363"/>
    <w:lvl w:ilvl="0">
      <w:start w:val="1"/>
      <w:numFmt w:val="decimal"/>
      <w:lvlText w:val="%1."/>
      <w:lvlJc w:val="left"/>
      <w:pPr>
        <w:ind w:hanging="360" w:left="1152"/>
      </w:pPr>
    </w:lvl>
    <w:lvl w:ilvl="1">
      <w:start w:val="1"/>
      <w:numFmt w:val="bullet"/>
      <w:lvlText w:val=""/>
      <w:lvlJc w:val="left"/>
      <w:pPr>
        <w:ind w:hanging="360" w:left="1512"/>
      </w:pPr>
      <w:rPr>
        <w:rFonts w:ascii="Wingdings" w:hAnsi="Wingdings" w:hint="default"/>
      </w:rPr>
    </w:lvl>
  </w:abstractNum>
  <w:abstractNum w:abstractNumId="363">
    <w:multiLevelType w:val="hybridMultilevel"/>
    <w:name w:val="List 364"/>
    <w:lvl w:ilvl="0">
      <w:start w:val="1"/>
      <w:numFmt w:val="bullet"/>
      <w:lvlText w:val=""/>
      <w:lvlJc w:val="left"/>
      <w:pPr>
        <w:ind w:hanging="360" w:left="1152"/>
      </w:pPr>
      <w:rPr>
        <w:rFonts w:ascii="Wingdings" w:hAnsi="Wingdings" w:hint="default"/>
      </w:rPr>
    </w:lvl>
  </w:abstractNum>
  <w:abstractNum w:abstractNumId="364">
    <w:multiLevelType w:val="hybridMultilevel"/>
    <w:name w:val="List 365"/>
    <w:lvl w:ilvl="0">
      <w:start w:val="1"/>
      <w:numFmt w:val="decimal"/>
      <w:lvlText w:val="%1."/>
      <w:lvlJc w:val="left"/>
      <w:pPr>
        <w:ind w:hanging="360" w:left="1152"/>
      </w:pPr>
    </w:lvl>
  </w:abstractNum>
  <w:abstractNum w:abstractNumId="365">
    <w:multiLevelType w:val="hybridMultilevel"/>
    <w:name w:val="List 366"/>
    <w:lvl w:ilvl="0">
      <w:start w:val="1"/>
      <w:numFmt w:val="decimal"/>
      <w:lvlText w:val="%1."/>
      <w:lvlJc w:val="left"/>
      <w:pPr>
        <w:ind w:hanging="360" w:left="1152"/>
      </w:pPr>
    </w:lvl>
  </w:abstractNum>
  <w:abstractNum w:abstractNumId="366">
    <w:multiLevelType w:val="hybridMultilevel"/>
    <w:name w:val="List 367"/>
    <w:lvl w:ilvl="0">
      <w:start w:val="1"/>
      <w:numFmt w:val="decimal"/>
      <w:lvlText w:val="%1."/>
      <w:lvlJc w:val="left"/>
      <w:pPr>
        <w:ind w:hanging="360" w:left="1152"/>
      </w:pPr>
    </w:lvl>
  </w:abstractNum>
  <w:abstractNum w:abstractNumId="367">
    <w:multiLevelType w:val="hybridMultilevel"/>
    <w:name w:val="List 368"/>
    <w:lvl w:ilvl="0">
      <w:start w:val="1"/>
      <w:numFmt w:val="bullet"/>
      <w:lvlText w:val=""/>
      <w:lvlJc w:val="left"/>
      <w:pPr>
        <w:ind w:hanging="360" w:left="1152"/>
      </w:pPr>
      <w:rPr>
        <w:rFonts w:ascii="Wingdings" w:hAnsi="Wingdings" w:hint="default"/>
      </w:rPr>
    </w:lvl>
  </w:abstractNum>
  <w:abstractNum w:abstractNumId="368">
    <w:multiLevelType w:val="hybridMultilevel"/>
    <w:name w:val="List 369"/>
    <w:lvl w:ilvl="0">
      <w:start w:val="1"/>
      <w:numFmt w:val="bullet"/>
      <w:lvlText w:val=""/>
      <w:lvlJc w:val="left"/>
      <w:pPr>
        <w:ind w:hanging="360" w:left="1152"/>
      </w:pPr>
      <w:rPr>
        <w:rFonts w:ascii="Wingdings" w:hAnsi="Wingdings" w:hint="default"/>
      </w:rPr>
    </w:lvl>
  </w:abstractNum>
  <w:abstractNum w:abstractNumId="369">
    <w:multiLevelType w:val="hybridMultilevel"/>
    <w:name w:val="List 370"/>
    <w:lvl w:ilvl="0">
      <w:start w:val="1"/>
      <w:numFmt w:val="decimal"/>
      <w:lvlText w:val="%1."/>
      <w:lvlJc w:val="left"/>
      <w:pPr>
        <w:ind w:hanging="360" w:left="1152"/>
      </w:pPr>
    </w:lvl>
  </w:abstractNum>
  <w:abstractNum w:abstractNumId="370">
    <w:multiLevelType w:val="hybridMultilevel"/>
    <w:name w:val="List 371"/>
    <w:lvl w:ilvl="0">
      <w:start w:val="1"/>
      <w:numFmt w:val="bullet"/>
      <w:lvlText w:val=""/>
      <w:lvlJc w:val="left"/>
      <w:pPr>
        <w:ind w:hanging="360" w:left="1152"/>
      </w:pPr>
      <w:rPr>
        <w:rFonts w:ascii="Symbol" w:hAnsi="Symbol" w:hint="default"/>
      </w:rPr>
    </w:lvl>
  </w:abstractNum>
  <w:abstractNum w:abstractNumId="371">
    <w:multiLevelType w:val="hybridMultilevel"/>
    <w:name w:val="List 372"/>
    <w:lvl w:ilvl="0">
      <w:start w:val="1"/>
      <w:numFmt w:val="bullet"/>
      <w:lvlText w:val=""/>
      <w:lvlJc w:val="left"/>
      <w:pPr>
        <w:ind w:hanging="360" w:left="1152"/>
      </w:pPr>
      <w:rPr>
        <w:rFonts w:ascii="Symbol" w:hAnsi="Symbol" w:hint="default"/>
      </w:rPr>
    </w:lvl>
  </w:abstractNum>
  <w:abstractNum w:abstractNumId="372">
    <w:multiLevelType w:val="hybridMultilevel"/>
    <w:name w:val="List 373"/>
    <w:lvl w:ilvl="0">
      <w:start w:val="1"/>
      <w:numFmt w:val="bullet"/>
      <w:lvlText w:val=""/>
      <w:lvlJc w:val="left"/>
      <w:pPr>
        <w:ind w:hanging="360" w:left="1152"/>
      </w:pPr>
      <w:rPr>
        <w:rFonts w:ascii="Symbol" w:hAnsi="Symbol" w:hint="default"/>
      </w:rPr>
    </w:lvl>
  </w:abstractNum>
  <w:abstractNum w:abstractNumId="373">
    <w:multiLevelType w:val="hybridMultilevel"/>
    <w:name w:val="List 374"/>
    <w:lvl w:ilvl="0">
      <w:start w:val="1"/>
      <w:numFmt w:val="bullet"/>
      <w:lvlText w:val=""/>
      <w:lvlJc w:val="left"/>
      <w:pPr>
        <w:ind w:hanging="360" w:left="1152"/>
      </w:pPr>
      <w:rPr>
        <w:rFonts w:ascii="Symbol" w:hAnsi="Symbol" w:hint="default"/>
      </w:rPr>
    </w:lvl>
  </w:abstractNum>
  <w:abstractNum w:abstractNumId="374">
    <w:multiLevelType w:val="hybridMultilevel"/>
    <w:name w:val="List 375"/>
    <w:lvl w:ilvl="0">
      <w:start w:val="1"/>
      <w:numFmt w:val="bullet"/>
      <w:lvlText w:val=""/>
      <w:lvlJc w:val="left"/>
      <w:pPr>
        <w:ind w:hanging="360" w:left="1152"/>
      </w:pPr>
      <w:rPr>
        <w:rFonts w:ascii="Symbol" w:hAnsi="Symbol" w:hint="default"/>
      </w:rPr>
    </w:lvl>
  </w:abstractNum>
  <w:abstractNum w:abstractNumId="375">
    <w:multiLevelType w:val="hybridMultilevel"/>
    <w:name w:val="List 376"/>
    <w:lvl w:ilvl="0">
      <w:start w:val="1"/>
      <w:numFmt w:val="bullet"/>
      <w:lvlText w:val=""/>
      <w:lvlJc w:val="left"/>
      <w:pPr>
        <w:ind w:hanging="360" w:left="1152"/>
      </w:pPr>
      <w:rPr>
        <w:rFonts w:ascii="Symbol" w:hAnsi="Symbol" w:hint="default"/>
      </w:rPr>
    </w:lvl>
  </w:abstractNum>
  <w:abstractNum w:abstractNumId="376">
    <w:multiLevelType w:val="hybridMultilevel"/>
    <w:name w:val="List 377"/>
    <w:lvl w:ilvl="0">
      <w:start w:val="1"/>
      <w:numFmt w:val="bullet"/>
      <w:lvlText w:val=""/>
      <w:lvlJc w:val="left"/>
      <w:pPr>
        <w:ind w:hanging="360" w:left="1152"/>
      </w:pPr>
      <w:rPr>
        <w:rFonts w:ascii="Symbol" w:hAnsi="Symbol" w:hint="default"/>
      </w:rPr>
    </w:lvl>
  </w:abstractNum>
  <w:abstractNum w:abstractNumId="377">
    <w:multiLevelType w:val="hybridMultilevel"/>
    <w:name w:val="List 378"/>
    <w:lvl w:ilvl="0">
      <w:start w:val="1"/>
      <w:numFmt w:val="bullet"/>
      <w:lvlText w:val=""/>
      <w:lvlJc w:val="left"/>
      <w:pPr>
        <w:ind w:hanging="360" w:left="1152"/>
      </w:pPr>
      <w:rPr>
        <w:rFonts w:ascii="Symbol" w:hAnsi="Symbol" w:hint="default"/>
      </w:rPr>
    </w:lvl>
  </w:abstractNum>
  <w:abstractNum w:abstractNumId="378">
    <w:multiLevelType w:val="hybridMultilevel"/>
    <w:name w:val="List 379"/>
    <w:lvl w:ilvl="0">
      <w:start w:val="1"/>
      <w:numFmt w:val="bullet"/>
      <w:lvlText w:val=""/>
      <w:lvlJc w:val="left"/>
      <w:pPr>
        <w:ind w:hanging="360" w:left="1152"/>
      </w:pPr>
      <w:rPr>
        <w:rFonts w:ascii="Symbol" w:hAnsi="Symbol" w:hint="default"/>
      </w:rPr>
    </w:lvl>
  </w:abstractNum>
  <w:abstractNum w:abstractNumId="379">
    <w:multiLevelType w:val="hybridMultilevel"/>
    <w:name w:val="List 380"/>
    <w:lvl w:ilvl="0">
      <w:start w:val="1"/>
      <w:numFmt w:val="bullet"/>
      <w:lvlText w:val=""/>
      <w:lvlJc w:val="left"/>
      <w:pPr>
        <w:ind w:hanging="360" w:left="1152"/>
      </w:pPr>
      <w:rPr>
        <w:rFonts w:ascii="Symbol" w:hAnsi="Symbol" w:hint="default"/>
      </w:rPr>
    </w:lvl>
  </w:abstractNum>
  <w:abstractNum w:abstractNumId="380">
    <w:multiLevelType w:val="hybridMultilevel"/>
    <w:name w:val="List 381"/>
    <w:lvl w:ilvl="0">
      <w:start w:val="1"/>
      <w:numFmt w:val="bullet"/>
      <w:lvlText w:val=""/>
      <w:lvlJc w:val="left"/>
      <w:pPr>
        <w:ind w:hanging="360" w:left="1152"/>
      </w:pPr>
      <w:rPr>
        <w:rFonts w:ascii="Symbol" w:hAnsi="Symbol" w:hint="default"/>
      </w:rPr>
    </w:lvl>
  </w:abstractNum>
  <w:abstractNum w:abstractNumId="381">
    <w:multiLevelType w:val="hybridMultilevel"/>
    <w:name w:val="List 382"/>
    <w:lvl w:ilvl="0">
      <w:start w:val="1"/>
      <w:numFmt w:val="bullet"/>
      <w:lvlText w:val=""/>
      <w:lvlJc w:val="left"/>
      <w:pPr>
        <w:ind w:hanging="360" w:left="1152"/>
      </w:pPr>
      <w:rPr>
        <w:rFonts w:ascii="Symbol" w:hAnsi="Symbol" w:hint="default"/>
      </w:rPr>
    </w:lvl>
  </w:abstractNum>
  <w:abstractNum w:abstractNumId="382">
    <w:multiLevelType w:val="hybridMultilevel"/>
    <w:name w:val="List 383"/>
    <w:lvl w:ilvl="0">
      <w:start w:val="1"/>
      <w:numFmt w:val="decimal"/>
      <w:lvlText w:val="%1."/>
      <w:lvlJc w:val="left"/>
      <w:pPr>
        <w:ind w:hanging="360" w:left="1152"/>
      </w:pPr>
    </w:lvl>
  </w:abstractNum>
  <w:abstractNum w:abstractNumId="383">
    <w:multiLevelType w:val="hybridMultilevel"/>
    <w:name w:val="List 384"/>
    <w:lvl w:ilvl="0">
      <w:start w:val="3"/>
      <w:numFmt w:val="decimal"/>
      <w:lvlText w:val="%1."/>
      <w:lvlJc w:val="left"/>
      <w:pPr>
        <w:ind w:hanging="360" w:left="1152"/>
      </w:pPr>
    </w:lvl>
  </w:abstractNum>
  <w:abstractNum w:abstractNumId="384">
    <w:multiLevelType w:val="hybridMultilevel"/>
    <w:name w:val="List 385"/>
    <w:lvl w:ilvl="0">
      <w:start w:val="1"/>
      <w:numFmt w:val="decimal"/>
      <w:lvlText w:val="%1."/>
      <w:lvlJc w:val="left"/>
      <w:pPr>
        <w:ind w:hanging="360" w:left="1152"/>
      </w:pPr>
    </w:lvl>
    <w:lvl w:ilvl="1">
      <w:start w:val="1"/>
      <w:numFmt w:val="bullet"/>
      <w:lvlText w:val=""/>
      <w:lvlJc w:val="left"/>
      <w:pPr>
        <w:ind w:hanging="360" w:left="1512"/>
      </w:pPr>
      <w:rPr>
        <w:rFonts w:ascii="Wingdings" w:hAnsi="Wingdings" w:hint="default"/>
      </w:rPr>
    </w:lvl>
    <w:lvl w:ilvl="2">
      <w:start w:val="1"/>
      <w:numFmt w:val="lowerLetter"/>
      <w:lvlText w:val="%3."/>
      <w:lvlJc w:val="left"/>
      <w:pPr>
        <w:ind w:hanging="360" w:left="1872"/>
      </w:pPr>
    </w:lvl>
  </w:abstractNum>
  <w:abstractNum w:abstractNumId="385">
    <w:multiLevelType w:val="hybridMultilevel"/>
    <w:name w:val="List 386"/>
    <w:lvl w:ilvl="0">
      <w:start w:val="1"/>
      <w:numFmt w:val="decimal"/>
      <w:lvlText w:val="%1."/>
      <w:lvlJc w:val="left"/>
      <w:pPr>
        <w:ind w:hanging="360" w:left="1152"/>
      </w:pPr>
    </w:lvl>
  </w:abstractNum>
  <w:abstractNum w:abstractNumId="386">
    <w:multiLevelType w:val="hybridMultilevel"/>
    <w:name w:val="List 387"/>
    <w:lvl w:ilvl="0">
      <w:start w:val="1"/>
      <w:numFmt w:val="bullet"/>
      <w:lvlText w:val=""/>
      <w:lvlJc w:val="left"/>
      <w:pPr>
        <w:ind w:hanging="360" w:left="1152"/>
      </w:pPr>
      <w:rPr>
        <w:rFonts w:ascii="Wingdings" w:hAnsi="Wingdings" w:hint="default"/>
      </w:rPr>
    </w:lvl>
  </w:abstractNum>
  <w:abstractNum w:abstractNumId="387">
    <w:multiLevelType w:val="hybridMultilevel"/>
    <w:name w:val="List 388"/>
    <w:lvl w:ilvl="0">
      <w:start w:val="1"/>
      <w:numFmt w:val="bullet"/>
      <w:lvlText w:val=""/>
      <w:lvlJc w:val="left"/>
      <w:pPr>
        <w:ind w:hanging="360" w:left="1152"/>
      </w:pPr>
      <w:rPr>
        <w:rFonts w:ascii="Wingdings" w:hAnsi="Wingdings" w:hint="default"/>
      </w:rPr>
    </w:lvl>
  </w:abstractNum>
  <w:abstractNum w:abstractNumId="388">
    <w:multiLevelType w:val="hybridMultilevel"/>
    <w:name w:val="List 389"/>
    <w:lvl w:ilvl="0">
      <w:start w:val="1"/>
      <w:numFmt w:val="bullet"/>
      <w:lvlText w:val=""/>
      <w:lvlJc w:val="left"/>
      <w:pPr>
        <w:ind w:hanging="360" w:left="1152"/>
      </w:pPr>
      <w:rPr>
        <w:rFonts w:ascii="Symbol" w:hAnsi="Symbol" w:hint="default"/>
      </w:rPr>
    </w:lvl>
  </w:abstractNum>
  <w:abstractNum w:abstractNumId="389">
    <w:multiLevelType w:val="hybridMultilevel"/>
    <w:name w:val="List 390"/>
    <w:lvl w:ilvl="0">
      <w:start w:val="1"/>
      <w:numFmt w:val="bullet"/>
      <w:lvlText w:val=""/>
      <w:lvlJc w:val="left"/>
      <w:pPr>
        <w:ind w:hanging="360" w:left="1152"/>
      </w:pPr>
      <w:rPr>
        <w:rFonts w:ascii="Symbol" w:hAnsi="Symbol" w:hint="default"/>
      </w:rPr>
    </w:lvl>
  </w:abstractNum>
  <w:abstractNum w:abstractNumId="390">
    <w:multiLevelType w:val="hybridMultilevel"/>
    <w:name w:val="List 391"/>
    <w:lvl w:ilvl="0">
      <w:start w:val="1"/>
      <w:numFmt w:val="bullet"/>
      <w:lvlText w:val=""/>
      <w:lvlJc w:val="left"/>
      <w:pPr>
        <w:ind w:hanging="360" w:left="1152"/>
      </w:pPr>
      <w:rPr>
        <w:rFonts w:ascii="Wingdings" w:hAnsi="Wingdings" w:hint="default"/>
      </w:rPr>
    </w:lvl>
  </w:abstractNum>
  <w:abstractNum w:abstractNumId="391">
    <w:multiLevelType w:val="hybridMultilevel"/>
    <w:name w:val="List 392"/>
    <w:lvl w:ilvl="0">
      <w:start w:val="1"/>
      <w:numFmt w:val="decimal"/>
      <w:lvlText w:val="%1."/>
      <w:lvlJc w:val="left"/>
      <w:pPr>
        <w:ind w:hanging="360" w:left="1152"/>
      </w:pPr>
    </w:lvl>
  </w:abstractNum>
  <w:abstractNum w:abstractNumId="392">
    <w:multiLevelType w:val="hybridMultilevel"/>
    <w:name w:val="List 393"/>
    <w:lvl w:ilvl="0">
      <w:start w:val="1"/>
      <w:numFmt w:val="bullet"/>
      <w:lvlText w:val=""/>
      <w:lvlJc w:val="left"/>
      <w:pPr>
        <w:ind w:hanging="360" w:left="1152"/>
      </w:pPr>
      <w:rPr>
        <w:rFonts w:ascii="Wingdings" w:hAnsi="Wingdings" w:hint="default"/>
      </w:rPr>
    </w:lvl>
  </w:abstractNum>
  <w:abstractNum w:abstractNumId="393">
    <w:multiLevelType w:val="hybridMultilevel"/>
    <w:name w:val="List 394"/>
    <w:lvl w:ilvl="0">
      <w:start w:val="1"/>
      <w:numFmt w:val="bullet"/>
      <w:lvlText w:val=""/>
      <w:lvlJc w:val="left"/>
      <w:pPr>
        <w:ind w:hanging="360" w:left="1152"/>
      </w:pPr>
      <w:rPr>
        <w:rFonts w:ascii="Wingdings" w:hAnsi="Wingdings" w:hint="default"/>
      </w:rPr>
    </w:lvl>
  </w:abstractNum>
  <w:abstractNum w:abstractNumId="394">
    <w:multiLevelType w:val="hybridMultilevel"/>
    <w:name w:val="List 395"/>
    <w:lvl w:ilvl="0">
      <w:start w:val="1"/>
      <w:numFmt w:val="bullet"/>
      <w:lvlText w:val=""/>
      <w:lvlJc w:val="left"/>
      <w:pPr>
        <w:ind w:hanging="360" w:left="1152"/>
      </w:pPr>
      <w:rPr>
        <w:rFonts w:ascii="Wingdings" w:hAnsi="Wingdings" w:hint="default"/>
      </w:rPr>
    </w:lvl>
  </w:abstractNum>
  <w:abstractNum w:abstractNumId="395">
    <w:multiLevelType w:val="hybridMultilevel"/>
    <w:name w:val="List 396"/>
    <w:lvl w:ilvl="0">
      <w:start w:val="1"/>
      <w:numFmt w:val="bullet"/>
      <w:lvlText w:val=""/>
      <w:lvlJc w:val="left"/>
      <w:pPr>
        <w:ind w:hanging="360" w:left="1152"/>
      </w:pPr>
      <w:rPr>
        <w:rFonts w:ascii="Wingdings" w:hAnsi="Wingdings" w:hint="default"/>
      </w:rPr>
    </w:lvl>
  </w:abstractNum>
  <w:abstractNum w:abstractNumId="396">
    <w:multiLevelType w:val="hybridMultilevel"/>
    <w:name w:val="List 397"/>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397">
    <w:multiLevelType w:val="hybridMultilevel"/>
    <w:name w:val="List 398"/>
    <w:lvl w:ilvl="0">
      <w:start w:val="1"/>
      <w:numFmt w:val="decimal"/>
      <w:lvlText w:val="%1."/>
      <w:lvlJc w:val="left"/>
      <w:pPr>
        <w:ind w:hanging="360" w:left="1152"/>
      </w:pPr>
    </w:lvl>
  </w:abstractNum>
  <w:abstractNum w:abstractNumId="398">
    <w:multiLevelType w:val="hybridMultilevel"/>
    <w:name w:val="List 399"/>
    <w:lvl w:ilvl="0">
      <w:start w:val="1"/>
      <w:numFmt w:val="bullet"/>
      <w:lvlText w:val=""/>
      <w:lvlJc w:val="left"/>
      <w:pPr>
        <w:ind w:hanging="360" w:left="1152"/>
      </w:pPr>
      <w:rPr>
        <w:rFonts w:ascii="Wingdings" w:hAnsi="Wingdings" w:hint="default"/>
      </w:rPr>
    </w:lvl>
  </w:abstractNum>
  <w:abstractNum w:abstractNumId="399">
    <w:multiLevelType w:val="hybridMultilevel"/>
    <w:name w:val="List 400"/>
    <w:lvl w:ilvl="0">
      <w:start w:val="1"/>
      <w:numFmt w:val="bullet"/>
      <w:lvlText w:val=""/>
      <w:lvlJc w:val="left"/>
      <w:pPr>
        <w:ind w:hanging="360" w:left="1152"/>
      </w:pPr>
      <w:rPr>
        <w:rFonts w:ascii="Wingdings" w:hAnsi="Wingdings" w:hint="default"/>
      </w:rPr>
    </w:lvl>
  </w:abstractNum>
  <w:abstractNum w:abstractNumId="400">
    <w:multiLevelType w:val="hybridMultilevel"/>
    <w:name w:val="List 401"/>
    <w:lvl w:ilvl="0">
      <w:start w:val="1"/>
      <w:numFmt w:val="decimal"/>
      <w:lvlText w:val="%1."/>
      <w:lvlJc w:val="left"/>
      <w:pPr>
        <w:ind w:hanging="360" w:left="1152"/>
      </w:pPr>
    </w:lvl>
  </w:abstractNum>
  <w:abstractNum w:abstractNumId="401">
    <w:multiLevelType w:val="hybridMultilevel"/>
    <w:name w:val="List 402"/>
    <w:lvl w:ilvl="0">
      <w:start w:val="1"/>
      <w:numFmt w:val="bullet"/>
      <w:lvlText w:val=""/>
      <w:lvlJc w:val="left"/>
      <w:pPr>
        <w:ind w:hanging="360" w:left="1152"/>
      </w:pPr>
      <w:rPr>
        <w:rFonts w:ascii="Wingdings" w:hAnsi="Wingdings" w:hint="default"/>
      </w:rPr>
    </w:lvl>
  </w:abstractNum>
  <w:abstractNum w:abstractNumId="402">
    <w:multiLevelType w:val="hybridMultilevel"/>
    <w:name w:val="List 403"/>
    <w:lvl w:ilvl="0">
      <w:start w:val="1"/>
      <w:numFmt w:val="decimal"/>
      <w:lvlText w:val="%1."/>
      <w:lvlJc w:val="left"/>
      <w:pPr>
        <w:ind w:hanging="360" w:left="1152"/>
      </w:pPr>
    </w:lvl>
  </w:abstractNum>
  <w:abstractNum w:abstractNumId="403">
    <w:multiLevelType w:val="hybridMultilevel"/>
    <w:name w:val="List 404"/>
    <w:lvl w:ilvl="0">
      <w:start w:val="1"/>
      <w:numFmt w:val="bullet"/>
      <w:lvlText w:val=""/>
      <w:lvlJc w:val="left"/>
      <w:pPr>
        <w:ind w:hanging="360" w:left="1152"/>
      </w:pPr>
      <w:rPr>
        <w:rFonts w:ascii="Wingdings" w:hAnsi="Wingdings" w:hint="default"/>
      </w:rPr>
    </w:lvl>
  </w:abstractNum>
  <w:abstractNum w:abstractNumId="404">
    <w:multiLevelType w:val="hybridMultilevel"/>
    <w:name w:val="List 405"/>
    <w:lvl w:ilvl="0">
      <w:start w:val="1"/>
      <w:numFmt w:val="bullet"/>
      <w:lvlText w:val=""/>
      <w:lvlJc w:val="left"/>
      <w:pPr>
        <w:ind w:hanging="360" w:left="1152"/>
      </w:pPr>
      <w:rPr>
        <w:rFonts w:ascii="Wingdings" w:hAnsi="Wingdings" w:hint="default"/>
      </w:rPr>
    </w:lvl>
  </w:abstractNum>
  <w:abstractNum w:abstractNumId="405">
    <w:multiLevelType w:val="hybridMultilevel"/>
    <w:name w:val="List 406"/>
    <w:lvl w:ilvl="0">
      <w:start w:val="1"/>
      <w:numFmt w:val="decimal"/>
      <w:lvlText w:val="%1."/>
      <w:lvlJc w:val="left"/>
      <w:pPr>
        <w:ind w:hanging="360" w:left="1152"/>
      </w:pPr>
    </w:lvl>
    <w:lvl w:ilvl="1">
      <w:start w:val="1"/>
      <w:numFmt w:val="bullet"/>
      <w:lvlText w:val=""/>
      <w:lvlJc w:val="left"/>
      <w:pPr>
        <w:ind w:hanging="360" w:left="1512"/>
      </w:pPr>
      <w:rPr>
        <w:rFonts w:ascii="Wingdings" w:hAnsi="Wingdings" w:hint="default"/>
      </w:rPr>
    </w:lvl>
  </w:abstractNum>
  <w:abstractNum w:abstractNumId="406">
    <w:multiLevelType w:val="hybridMultilevel"/>
    <w:name w:val="List 407"/>
    <w:lvl w:ilvl="0">
      <w:start w:val="1"/>
      <w:numFmt w:val="bullet"/>
      <w:lvlText w:val=""/>
      <w:lvlJc w:val="left"/>
      <w:pPr>
        <w:ind w:hanging="360" w:left="1152"/>
      </w:pPr>
      <w:rPr>
        <w:rFonts w:ascii="Wingdings" w:hAnsi="Wingdings" w:hint="default"/>
      </w:rPr>
    </w:lvl>
  </w:abstractNum>
  <w:abstractNum w:abstractNumId="407">
    <w:multiLevelType w:val="hybridMultilevel"/>
    <w:name w:val="List 408"/>
    <w:lvl w:ilvl="0">
      <w:start w:val="1"/>
      <w:numFmt w:val="bullet"/>
      <w:lvlText w:val=""/>
      <w:lvlJc w:val="left"/>
      <w:pPr>
        <w:ind w:hanging="360" w:left="1152"/>
      </w:pPr>
      <w:rPr>
        <w:rFonts w:ascii="Wingdings" w:hAnsi="Wingdings" w:hint="default"/>
      </w:rPr>
    </w:lvl>
  </w:abstractNum>
  <w:abstractNum w:abstractNumId="408">
    <w:multiLevelType w:val="hybridMultilevel"/>
    <w:name w:val="List 409"/>
    <w:lvl w:ilvl="0">
      <w:start w:val="1"/>
      <w:numFmt w:val="bullet"/>
      <w:lvlText w:val=""/>
      <w:lvlJc w:val="left"/>
      <w:pPr>
        <w:ind w:hanging="360" w:left="1152"/>
      </w:pPr>
      <w:rPr>
        <w:rFonts w:ascii="Wingdings" w:hAnsi="Wingdings" w:hint="default"/>
      </w:rPr>
    </w:lvl>
  </w:abstractNum>
  <w:abstractNum w:abstractNumId="409">
    <w:multiLevelType w:val="hybridMultilevel"/>
    <w:name w:val="List 410"/>
    <w:lvl w:ilvl="0">
      <w:start w:val="1"/>
      <w:numFmt w:val="bullet"/>
      <w:lvlText w:val=""/>
      <w:lvlJc w:val="left"/>
      <w:pPr>
        <w:ind w:hanging="360" w:left="1152"/>
      </w:pPr>
      <w:rPr>
        <w:rFonts w:ascii="Wingdings" w:hAnsi="Wingdings" w:hint="default"/>
      </w:rPr>
    </w:lvl>
  </w:abstractNum>
  <w:abstractNum w:abstractNumId="410">
    <w:multiLevelType w:val="hybridMultilevel"/>
    <w:name w:val="List 411"/>
    <w:lvl w:ilvl="0">
      <w:start w:val="1"/>
      <w:numFmt w:val="decimal"/>
      <w:lvlText w:val="%1."/>
      <w:lvlJc w:val="left"/>
      <w:pPr>
        <w:ind w:hanging="360" w:left="1152"/>
      </w:pPr>
    </w:lvl>
  </w:abstractNum>
  <w:abstractNum w:abstractNumId="411">
    <w:multiLevelType w:val="hybridMultilevel"/>
    <w:name w:val="List 412"/>
    <w:lvl w:ilvl="0">
      <w:start w:val="1"/>
      <w:numFmt w:val="bullet"/>
      <w:lvlText w:val=""/>
      <w:lvlJc w:val="left"/>
      <w:pPr>
        <w:ind w:hanging="360" w:left="1152"/>
      </w:pPr>
      <w:rPr>
        <w:rFonts w:ascii="Wingdings" w:hAnsi="Wingdings" w:hint="default"/>
      </w:rPr>
    </w:lvl>
  </w:abstractNum>
  <w:abstractNum w:abstractNumId="412">
    <w:multiLevelType w:val="hybridMultilevel"/>
    <w:name w:val="List 413"/>
    <w:lvl w:ilvl="0">
      <w:start w:val="1"/>
      <w:numFmt w:val="bullet"/>
      <w:lvlText w:val=""/>
      <w:lvlJc w:val="left"/>
      <w:pPr>
        <w:ind w:hanging="360" w:left="1152"/>
      </w:pPr>
      <w:rPr>
        <w:rFonts w:ascii="Wingdings" w:hAnsi="Wingdings" w:hint="default"/>
      </w:rPr>
    </w:lvl>
  </w:abstractNum>
  <w:abstractNum w:abstractNumId="413">
    <w:multiLevelType w:val="hybridMultilevel"/>
    <w:name w:val="List 414"/>
    <w:lvl w:ilvl="0">
      <w:start w:val="1"/>
      <w:numFmt w:val="bullet"/>
      <w:lvlText w:val=""/>
      <w:lvlJc w:val="left"/>
      <w:pPr>
        <w:ind w:hanging="360" w:left="1152"/>
      </w:pPr>
      <w:rPr>
        <w:rFonts w:ascii="Wingdings" w:hAnsi="Wingdings" w:hint="default"/>
      </w:rPr>
    </w:lvl>
  </w:abstractNum>
  <w:abstractNum w:abstractNumId="414">
    <w:multiLevelType w:val="hybridMultilevel"/>
    <w:name w:val="List 415"/>
    <w:lvl w:ilvl="0">
      <w:start w:val="1"/>
      <w:numFmt w:val="decimal"/>
      <w:lvlText w:val="%1."/>
      <w:lvlJc w:val="left"/>
      <w:pPr>
        <w:ind w:hanging="360" w:left="1152"/>
      </w:pPr>
    </w:lvl>
    <w:lvl w:ilvl="1">
      <w:start w:val="1"/>
      <w:numFmt w:val="lowerLetter"/>
      <w:lvlText w:val="%2."/>
      <w:lvlJc w:val="left"/>
      <w:pPr>
        <w:ind w:hanging="360" w:left="1512"/>
      </w:pPr>
    </w:lvl>
    <w:lvl w:ilvl="2">
      <w:start w:val="1"/>
      <w:numFmt w:val="lowerLetter"/>
      <w:lvlText w:val="%3."/>
      <w:lvlJc w:val="left"/>
      <w:pPr>
        <w:ind w:hanging="360" w:left="1872"/>
      </w:pPr>
    </w:lvl>
  </w:abstractNum>
  <w:abstractNum w:abstractNumId="415">
    <w:multiLevelType w:val="hybridMultilevel"/>
    <w:name w:val="List 416"/>
    <w:lvl w:ilvl="0">
      <w:start w:val="1"/>
      <w:numFmt w:val="decimal"/>
      <w:lvlText w:val="%1."/>
      <w:lvlJc w:val="left"/>
      <w:pPr>
        <w:ind w:hanging="360" w:left="1152"/>
      </w:pPr>
    </w:lvl>
  </w:abstractNum>
  <w:abstractNum w:abstractNumId="416">
    <w:multiLevelType w:val="hybridMultilevel"/>
    <w:name w:val="List 417"/>
    <w:lvl w:ilvl="0">
      <w:start w:val="1"/>
      <w:numFmt w:val="bullet"/>
      <w:lvlText w:val=""/>
      <w:lvlJc w:val="left"/>
      <w:pPr>
        <w:ind w:hanging="360" w:left="1152"/>
      </w:pPr>
      <w:rPr>
        <w:rFonts w:ascii="Wingdings" w:hAnsi="Wingdings" w:hint="default"/>
      </w:rPr>
    </w:lvl>
  </w:abstractNum>
  <w:abstractNum w:abstractNumId="417">
    <w:multiLevelType w:val="hybridMultilevel"/>
    <w:name w:val="List 418"/>
    <w:lvl w:ilvl="0">
      <w:start w:val="1"/>
      <w:numFmt w:val="bullet"/>
      <w:lvlText w:val=""/>
      <w:lvlJc w:val="left"/>
      <w:pPr>
        <w:ind w:hanging="360" w:left="1152"/>
      </w:pPr>
      <w:rPr>
        <w:rFonts w:ascii="Wingdings" w:hAnsi="Wingdings" w:hint="default"/>
      </w:rPr>
    </w:lvl>
  </w:abstractNum>
  <w:abstractNum w:abstractNumId="418">
    <w:multiLevelType w:val="hybridMultilevel"/>
    <w:name w:val="List 419"/>
    <w:lvl w:ilvl="0">
      <w:start w:val="1"/>
      <w:numFmt w:val="decimal"/>
      <w:lvlText w:val="%1."/>
      <w:lvlJc w:val="left"/>
      <w:pPr>
        <w:ind w:hanging="360" w:left="1152"/>
      </w:pPr>
    </w:lvl>
    <w:lvl w:ilvl="1">
      <w:start w:val="1"/>
      <w:numFmt w:val="bullet"/>
      <w:lvlText w:val=""/>
      <w:lvlJc w:val="left"/>
      <w:pPr>
        <w:ind w:hanging="360" w:left="1512"/>
      </w:pPr>
      <w:rPr>
        <w:rFonts w:ascii="Wingdings" w:hAnsi="Wingdings" w:hint="default"/>
      </w:rPr>
    </w:lvl>
  </w:abstractNum>
  <w:abstractNum w:abstractNumId="419">
    <w:multiLevelType w:val="hybridMultilevel"/>
    <w:name w:val="List 420"/>
    <w:lvl w:ilvl="0">
      <w:start w:val="1"/>
      <w:numFmt w:val="decimal"/>
      <w:lvlText w:val="%1."/>
      <w:lvlJc w:val="left"/>
      <w:pPr>
        <w:ind w:hanging="360" w:left="1152"/>
      </w:pPr>
    </w:lvl>
  </w:abstractNum>
  <w:abstractNum w:abstractNumId="420">
    <w:multiLevelType w:val="hybridMultilevel"/>
    <w:name w:val="List 421"/>
    <w:lvl w:ilvl="0">
      <w:start w:val="1"/>
      <w:numFmt w:val="bullet"/>
      <w:lvlText w:val=""/>
      <w:lvlJc w:val="left"/>
      <w:pPr>
        <w:ind w:hanging="360" w:left="1152"/>
      </w:pPr>
      <w:rPr>
        <w:rFonts w:ascii="Wingdings" w:hAnsi="Wingdings" w:hint="default"/>
      </w:rPr>
    </w:lvl>
  </w:abstractNum>
  <w:abstractNum w:abstractNumId="421">
    <w:multiLevelType w:val="hybridMultilevel"/>
    <w:name w:val="List 422"/>
    <w:lvl w:ilvl="0">
      <w:start w:val="1"/>
      <w:numFmt w:val="bullet"/>
      <w:lvlText w:val=""/>
      <w:lvlJc w:val="left"/>
      <w:pPr>
        <w:ind w:hanging="360" w:left="1152"/>
      </w:pPr>
      <w:rPr>
        <w:rFonts w:ascii="Symbol" w:hAnsi="Symbol" w:hint="default"/>
      </w:rPr>
    </w:lvl>
  </w:abstractNum>
  <w:abstractNum w:abstractNumId="422">
    <w:multiLevelType w:val="hybridMultilevel"/>
    <w:name w:val="List 423"/>
    <w:lvl w:ilvl="0">
      <w:start w:val="1"/>
      <w:numFmt w:val="decimal"/>
      <w:lvlText w:val="%1."/>
      <w:lvlJc w:val="left"/>
      <w:pPr>
        <w:ind w:hanging="360" w:left="1152"/>
      </w:pPr>
    </w:lvl>
  </w:abstractNum>
  <w:abstractNum w:abstractNumId="423">
    <w:multiLevelType w:val="hybridMultilevel"/>
    <w:name w:val="List 424"/>
    <w:lvl w:ilvl="0">
      <w:start w:val="1"/>
      <w:numFmt w:val="bullet"/>
      <w:lvlText w:val=""/>
      <w:lvlJc w:val="left"/>
      <w:pPr>
        <w:ind w:hanging="360" w:left="1152"/>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 w:numId="162">
    <w:abstractNumId w:val="161"/>
  </w:num>
  <w:num w:numId="163">
    <w:abstractNumId w:val="162"/>
  </w:num>
  <w:num w:numId="164">
    <w:abstractNumId w:val="163"/>
  </w:num>
  <w:num w:numId="165">
    <w:abstractNumId w:val="164"/>
  </w:num>
  <w:num w:numId="166">
    <w:abstractNumId w:val="165"/>
  </w:num>
  <w:num w:numId="167">
    <w:abstractNumId w:val="166"/>
  </w:num>
  <w:num w:numId="168">
    <w:abstractNumId w:val="167"/>
  </w:num>
  <w:num w:numId="169">
    <w:abstractNumId w:val="168"/>
  </w:num>
  <w:num w:numId="170">
    <w:abstractNumId w:val="169"/>
  </w:num>
  <w:num w:numId="171">
    <w:abstractNumId w:val="170"/>
  </w:num>
  <w:num w:numId="172">
    <w:abstractNumId w:val="171"/>
  </w:num>
  <w:num w:numId="173">
    <w:abstractNumId w:val="172"/>
  </w:num>
  <w:num w:numId="174">
    <w:abstractNumId w:val="173"/>
  </w:num>
  <w:num w:numId="175">
    <w:abstractNumId w:val="174"/>
  </w:num>
  <w:num w:numId="176">
    <w:abstractNumId w:val="175"/>
  </w:num>
  <w:num w:numId="177">
    <w:abstractNumId w:val="176"/>
  </w:num>
  <w:num w:numId="178">
    <w:abstractNumId w:val="177"/>
  </w:num>
  <w:num w:numId="179">
    <w:abstractNumId w:val="178"/>
  </w:num>
  <w:num w:numId="180">
    <w:abstractNumId w:val="179"/>
  </w:num>
  <w:num w:numId="181">
    <w:abstractNumId w:val="180"/>
  </w:num>
  <w:num w:numId="182">
    <w:abstractNumId w:val="181"/>
  </w:num>
  <w:num w:numId="183">
    <w:abstractNumId w:val="182"/>
  </w:num>
  <w:num w:numId="184">
    <w:abstractNumId w:val="183"/>
  </w:num>
  <w:num w:numId="185">
    <w:abstractNumId w:val="184"/>
  </w:num>
  <w:num w:numId="186">
    <w:abstractNumId w:val="185"/>
  </w:num>
  <w:num w:numId="187">
    <w:abstractNumId w:val="186"/>
  </w:num>
  <w:num w:numId="188">
    <w:abstractNumId w:val="187"/>
  </w:num>
  <w:num w:numId="189">
    <w:abstractNumId w:val="188"/>
  </w:num>
  <w:num w:numId="190">
    <w:abstractNumId w:val="189"/>
  </w:num>
  <w:num w:numId="191">
    <w:abstractNumId w:val="190"/>
  </w:num>
  <w:num w:numId="192">
    <w:abstractNumId w:val="191"/>
  </w:num>
  <w:num w:numId="193">
    <w:abstractNumId w:val="192"/>
  </w:num>
  <w:num w:numId="194">
    <w:abstractNumId w:val="193"/>
  </w:num>
  <w:num w:numId="195">
    <w:abstractNumId w:val="194"/>
  </w:num>
  <w:num w:numId="196">
    <w:abstractNumId w:val="195"/>
  </w:num>
  <w:num w:numId="197">
    <w:abstractNumId w:val="196"/>
  </w:num>
  <w:num w:numId="198">
    <w:abstractNumId w:val="197"/>
  </w:num>
  <w:num w:numId="199">
    <w:abstractNumId w:val="198"/>
  </w:num>
  <w:num w:numId="200">
    <w:abstractNumId w:val="199"/>
  </w:num>
  <w:num w:numId="201">
    <w:abstractNumId w:val="200"/>
  </w:num>
  <w:num w:numId="202">
    <w:abstractNumId w:val="201"/>
  </w:num>
  <w:num w:numId="203">
    <w:abstractNumId w:val="202"/>
  </w:num>
  <w:num w:numId="204">
    <w:abstractNumId w:val="203"/>
  </w:num>
  <w:num w:numId="205">
    <w:abstractNumId w:val="204"/>
  </w:num>
  <w:num w:numId="206">
    <w:abstractNumId w:val="205"/>
  </w:num>
  <w:num w:numId="207">
    <w:abstractNumId w:val="206"/>
  </w:num>
  <w:num w:numId="208">
    <w:abstractNumId w:val="207"/>
  </w:num>
  <w:num w:numId="209">
    <w:abstractNumId w:val="208"/>
  </w:num>
  <w:num w:numId="210">
    <w:abstractNumId w:val="209"/>
  </w:num>
  <w:num w:numId="211">
    <w:abstractNumId w:val="210"/>
  </w:num>
  <w:num w:numId="212">
    <w:abstractNumId w:val="211"/>
  </w:num>
  <w:num w:numId="213">
    <w:abstractNumId w:val="212"/>
  </w:num>
  <w:num w:numId="214">
    <w:abstractNumId w:val="213"/>
  </w:num>
  <w:num w:numId="215">
    <w:abstractNumId w:val="214"/>
  </w:num>
  <w:num w:numId="216">
    <w:abstractNumId w:val="215"/>
  </w:num>
  <w:num w:numId="217">
    <w:abstractNumId w:val="216"/>
  </w:num>
  <w:num w:numId="218">
    <w:abstractNumId w:val="217"/>
  </w:num>
  <w:num w:numId="219">
    <w:abstractNumId w:val="218"/>
  </w:num>
  <w:num w:numId="220">
    <w:abstractNumId w:val="219"/>
  </w:num>
  <w:num w:numId="221">
    <w:abstractNumId w:val="220"/>
  </w:num>
  <w:num w:numId="222">
    <w:abstractNumId w:val="221"/>
  </w:num>
  <w:num w:numId="223">
    <w:abstractNumId w:val="222"/>
  </w:num>
  <w:num w:numId="224">
    <w:abstractNumId w:val="223"/>
  </w:num>
  <w:num w:numId="225">
    <w:abstractNumId w:val="224"/>
  </w:num>
  <w:num w:numId="226">
    <w:abstractNumId w:val="225"/>
  </w:num>
  <w:num w:numId="227">
    <w:abstractNumId w:val="226"/>
  </w:num>
  <w:num w:numId="228">
    <w:abstractNumId w:val="227"/>
  </w:num>
  <w:num w:numId="229">
    <w:abstractNumId w:val="228"/>
  </w:num>
  <w:num w:numId="230">
    <w:abstractNumId w:val="229"/>
  </w:num>
  <w:num w:numId="231">
    <w:abstractNumId w:val="230"/>
  </w:num>
  <w:num w:numId="232">
    <w:abstractNumId w:val="231"/>
  </w:num>
  <w:num w:numId="233">
    <w:abstractNumId w:val="232"/>
  </w:num>
  <w:num w:numId="234">
    <w:abstractNumId w:val="233"/>
  </w:num>
  <w:num w:numId="235">
    <w:abstractNumId w:val="234"/>
  </w:num>
  <w:num w:numId="236">
    <w:abstractNumId w:val="235"/>
  </w:num>
  <w:num w:numId="237">
    <w:abstractNumId w:val="236"/>
  </w:num>
  <w:num w:numId="238">
    <w:abstractNumId w:val="237"/>
  </w:num>
  <w:num w:numId="239">
    <w:abstractNumId w:val="238"/>
  </w:num>
  <w:num w:numId="240">
    <w:abstractNumId w:val="239"/>
  </w:num>
  <w:num w:numId="241">
    <w:abstractNumId w:val="240"/>
  </w:num>
  <w:num w:numId="242">
    <w:abstractNumId w:val="241"/>
  </w:num>
  <w:num w:numId="243">
    <w:abstractNumId w:val="242"/>
  </w:num>
  <w:num w:numId="244">
    <w:abstractNumId w:val="243"/>
  </w:num>
  <w:num w:numId="245">
    <w:abstractNumId w:val="244"/>
  </w:num>
  <w:num w:numId="246">
    <w:abstractNumId w:val="245"/>
  </w:num>
  <w:num w:numId="247">
    <w:abstractNumId w:val="246"/>
  </w:num>
  <w:num w:numId="248">
    <w:abstractNumId w:val="247"/>
  </w:num>
  <w:num w:numId="249">
    <w:abstractNumId w:val="248"/>
  </w:num>
  <w:num w:numId="250">
    <w:abstractNumId w:val="249"/>
  </w:num>
  <w:num w:numId="251">
    <w:abstractNumId w:val="250"/>
  </w:num>
  <w:num w:numId="252">
    <w:abstractNumId w:val="251"/>
  </w:num>
  <w:num w:numId="253">
    <w:abstractNumId w:val="252"/>
  </w:num>
  <w:num w:numId="254">
    <w:abstractNumId w:val="253"/>
  </w:num>
  <w:num w:numId="255">
    <w:abstractNumId w:val="254"/>
  </w:num>
  <w:num w:numId="256">
    <w:abstractNumId w:val="255"/>
  </w:num>
  <w:num w:numId="257">
    <w:abstractNumId w:val="256"/>
  </w:num>
  <w:num w:numId="258">
    <w:abstractNumId w:val="257"/>
  </w:num>
  <w:num w:numId="259">
    <w:abstractNumId w:val="258"/>
  </w:num>
  <w:num w:numId="260">
    <w:abstractNumId w:val="259"/>
  </w:num>
  <w:num w:numId="261">
    <w:abstractNumId w:val="260"/>
  </w:num>
  <w:num w:numId="262">
    <w:abstractNumId w:val="261"/>
  </w:num>
  <w:num w:numId="263">
    <w:abstractNumId w:val="262"/>
  </w:num>
  <w:num w:numId="264">
    <w:abstractNumId w:val="263"/>
  </w:num>
  <w:num w:numId="265">
    <w:abstractNumId w:val="264"/>
  </w:num>
  <w:num w:numId="266">
    <w:abstractNumId w:val="265"/>
  </w:num>
  <w:num w:numId="267">
    <w:abstractNumId w:val="266"/>
  </w:num>
  <w:num w:numId="268">
    <w:abstractNumId w:val="267"/>
  </w:num>
  <w:num w:numId="269">
    <w:abstractNumId w:val="268"/>
  </w:num>
  <w:num w:numId="270">
    <w:abstractNumId w:val="269"/>
  </w:num>
  <w:num w:numId="271">
    <w:abstractNumId w:val="270"/>
  </w:num>
  <w:num w:numId="272">
    <w:abstractNumId w:val="271"/>
  </w:num>
  <w:num w:numId="273">
    <w:abstractNumId w:val="272"/>
  </w:num>
  <w:num w:numId="274">
    <w:abstractNumId w:val="273"/>
  </w:num>
  <w:num w:numId="275">
    <w:abstractNumId w:val="274"/>
  </w:num>
  <w:num w:numId="276">
    <w:abstractNumId w:val="275"/>
  </w:num>
  <w:num w:numId="277">
    <w:abstractNumId w:val="276"/>
  </w:num>
  <w:num w:numId="278">
    <w:abstractNumId w:val="277"/>
  </w:num>
  <w:num w:numId="279">
    <w:abstractNumId w:val="278"/>
  </w:num>
  <w:num w:numId="280">
    <w:abstractNumId w:val="279"/>
  </w:num>
  <w:num w:numId="281">
    <w:abstractNumId w:val="280"/>
  </w:num>
  <w:num w:numId="282">
    <w:abstractNumId w:val="281"/>
  </w:num>
  <w:num w:numId="283">
    <w:abstractNumId w:val="282"/>
  </w:num>
  <w:num w:numId="284">
    <w:abstractNumId w:val="283"/>
  </w:num>
  <w:num w:numId="285">
    <w:abstractNumId w:val="284"/>
  </w:num>
  <w:num w:numId="286">
    <w:abstractNumId w:val="285"/>
  </w:num>
  <w:num w:numId="287">
    <w:abstractNumId w:val="286"/>
  </w:num>
  <w:num w:numId="288">
    <w:abstractNumId w:val="287"/>
  </w:num>
  <w:num w:numId="289">
    <w:abstractNumId w:val="288"/>
  </w:num>
  <w:num w:numId="290">
    <w:abstractNumId w:val="289"/>
  </w:num>
  <w:num w:numId="291">
    <w:abstractNumId w:val="290"/>
  </w:num>
  <w:num w:numId="292">
    <w:abstractNumId w:val="291"/>
  </w:num>
  <w:num w:numId="293">
    <w:abstractNumId w:val="292"/>
  </w:num>
  <w:num w:numId="294">
    <w:abstractNumId w:val="293"/>
  </w:num>
  <w:num w:numId="295">
    <w:abstractNumId w:val="294"/>
  </w:num>
  <w:num w:numId="296">
    <w:abstractNumId w:val="295"/>
  </w:num>
  <w:num w:numId="297">
    <w:abstractNumId w:val="296"/>
  </w:num>
  <w:num w:numId="298">
    <w:abstractNumId w:val="297"/>
  </w:num>
  <w:num w:numId="299">
    <w:abstractNumId w:val="298"/>
  </w:num>
  <w:num w:numId="300">
    <w:abstractNumId w:val="299"/>
  </w:num>
  <w:num w:numId="301">
    <w:abstractNumId w:val="300"/>
  </w:num>
  <w:num w:numId="302">
    <w:abstractNumId w:val="301"/>
  </w:num>
  <w:num w:numId="303">
    <w:abstractNumId w:val="302"/>
  </w:num>
  <w:num w:numId="304">
    <w:abstractNumId w:val="303"/>
  </w:num>
  <w:num w:numId="305">
    <w:abstractNumId w:val="304"/>
  </w:num>
  <w:num w:numId="306">
    <w:abstractNumId w:val="305"/>
  </w:num>
  <w:num w:numId="307">
    <w:abstractNumId w:val="306"/>
  </w:num>
  <w:num w:numId="308">
    <w:abstractNumId w:val="307"/>
  </w:num>
  <w:num w:numId="309">
    <w:abstractNumId w:val="308"/>
  </w:num>
  <w:num w:numId="310">
    <w:abstractNumId w:val="309"/>
  </w:num>
  <w:num w:numId="311">
    <w:abstractNumId w:val="310"/>
  </w:num>
  <w:num w:numId="312">
    <w:abstractNumId w:val="311"/>
  </w:num>
  <w:num w:numId="313">
    <w:abstractNumId w:val="312"/>
  </w:num>
  <w:num w:numId="314">
    <w:abstractNumId w:val="313"/>
  </w:num>
  <w:num w:numId="315">
    <w:abstractNumId w:val="314"/>
  </w:num>
  <w:num w:numId="316">
    <w:abstractNumId w:val="315"/>
  </w:num>
  <w:num w:numId="317">
    <w:abstractNumId w:val="316"/>
  </w:num>
  <w:num w:numId="318">
    <w:abstractNumId w:val="317"/>
  </w:num>
  <w:num w:numId="319">
    <w:abstractNumId w:val="318"/>
  </w:num>
  <w:num w:numId="320">
    <w:abstractNumId w:val="319"/>
  </w:num>
  <w:num w:numId="321">
    <w:abstractNumId w:val="320"/>
  </w:num>
  <w:num w:numId="322">
    <w:abstractNumId w:val="321"/>
  </w:num>
  <w:num w:numId="323">
    <w:abstractNumId w:val="322"/>
  </w:num>
  <w:num w:numId="324">
    <w:abstractNumId w:val="323"/>
  </w:num>
  <w:num w:numId="325">
    <w:abstractNumId w:val="324"/>
  </w:num>
  <w:num w:numId="326">
    <w:abstractNumId w:val="325"/>
  </w:num>
  <w:num w:numId="327">
    <w:abstractNumId w:val="326"/>
  </w:num>
  <w:num w:numId="328">
    <w:abstractNumId w:val="327"/>
  </w:num>
  <w:num w:numId="329">
    <w:abstractNumId w:val="328"/>
  </w:num>
  <w:num w:numId="330">
    <w:abstractNumId w:val="329"/>
  </w:num>
  <w:num w:numId="331">
    <w:abstractNumId w:val="330"/>
  </w:num>
  <w:num w:numId="332">
    <w:abstractNumId w:val="331"/>
  </w:num>
  <w:num w:numId="333">
    <w:abstractNumId w:val="332"/>
  </w:num>
  <w:num w:numId="334">
    <w:abstractNumId w:val="333"/>
  </w:num>
  <w:num w:numId="335">
    <w:abstractNumId w:val="334"/>
  </w:num>
  <w:num w:numId="336">
    <w:abstractNumId w:val="335"/>
  </w:num>
  <w:num w:numId="337">
    <w:abstractNumId w:val="336"/>
  </w:num>
  <w:num w:numId="338">
    <w:abstractNumId w:val="337"/>
  </w:num>
  <w:num w:numId="339">
    <w:abstractNumId w:val="338"/>
  </w:num>
  <w:num w:numId="340">
    <w:abstractNumId w:val="339"/>
  </w:num>
  <w:num w:numId="341">
    <w:abstractNumId w:val="340"/>
  </w:num>
  <w:num w:numId="342">
    <w:abstractNumId w:val="341"/>
  </w:num>
  <w:num w:numId="343">
    <w:abstractNumId w:val="342"/>
  </w:num>
  <w:num w:numId="344">
    <w:abstractNumId w:val="343"/>
  </w:num>
  <w:num w:numId="345">
    <w:abstractNumId w:val="344"/>
  </w:num>
  <w:num w:numId="346">
    <w:abstractNumId w:val="345"/>
  </w:num>
  <w:num w:numId="347">
    <w:abstractNumId w:val="346"/>
  </w:num>
  <w:num w:numId="348">
    <w:abstractNumId w:val="347"/>
  </w:num>
  <w:num w:numId="349">
    <w:abstractNumId w:val="348"/>
  </w:num>
  <w:num w:numId="350">
    <w:abstractNumId w:val="349"/>
  </w:num>
  <w:num w:numId="351">
    <w:abstractNumId w:val="350"/>
  </w:num>
  <w:num w:numId="352">
    <w:abstractNumId w:val="351"/>
  </w:num>
  <w:num w:numId="353">
    <w:abstractNumId w:val="352"/>
  </w:num>
  <w:num w:numId="354">
    <w:abstractNumId w:val="353"/>
  </w:num>
  <w:num w:numId="355">
    <w:abstractNumId w:val="354"/>
  </w:num>
  <w:num w:numId="356">
    <w:abstractNumId w:val="355"/>
  </w:num>
  <w:num w:numId="357">
    <w:abstractNumId w:val="356"/>
  </w:num>
  <w:num w:numId="358">
    <w:abstractNumId w:val="357"/>
  </w:num>
  <w:num w:numId="359">
    <w:abstractNumId w:val="358"/>
  </w:num>
  <w:num w:numId="360">
    <w:abstractNumId w:val="359"/>
  </w:num>
  <w:num w:numId="361">
    <w:abstractNumId w:val="360"/>
  </w:num>
  <w:num w:numId="362">
    <w:abstractNumId w:val="361"/>
  </w:num>
  <w:num w:numId="363">
    <w:abstractNumId w:val="362"/>
  </w:num>
  <w:num w:numId="364">
    <w:abstractNumId w:val="363"/>
  </w:num>
  <w:num w:numId="365">
    <w:abstractNumId w:val="364"/>
  </w:num>
  <w:num w:numId="366">
    <w:abstractNumId w:val="365"/>
  </w:num>
  <w:num w:numId="367">
    <w:abstractNumId w:val="366"/>
  </w:num>
  <w:num w:numId="368">
    <w:abstractNumId w:val="367"/>
  </w:num>
  <w:num w:numId="369">
    <w:abstractNumId w:val="368"/>
  </w:num>
  <w:num w:numId="370">
    <w:abstractNumId w:val="369"/>
  </w:num>
  <w:num w:numId="371">
    <w:abstractNumId w:val="370"/>
  </w:num>
  <w:num w:numId="372">
    <w:abstractNumId w:val="371"/>
  </w:num>
  <w:num w:numId="373">
    <w:abstractNumId w:val="372"/>
  </w:num>
  <w:num w:numId="374">
    <w:abstractNumId w:val="373"/>
  </w:num>
  <w:num w:numId="375">
    <w:abstractNumId w:val="374"/>
  </w:num>
  <w:num w:numId="376">
    <w:abstractNumId w:val="375"/>
  </w:num>
  <w:num w:numId="377">
    <w:abstractNumId w:val="376"/>
  </w:num>
  <w:num w:numId="378">
    <w:abstractNumId w:val="377"/>
  </w:num>
  <w:num w:numId="379">
    <w:abstractNumId w:val="378"/>
  </w:num>
  <w:num w:numId="380">
    <w:abstractNumId w:val="379"/>
  </w:num>
  <w:num w:numId="381">
    <w:abstractNumId w:val="380"/>
  </w:num>
  <w:num w:numId="382">
    <w:abstractNumId w:val="381"/>
  </w:num>
  <w:num w:numId="383">
    <w:abstractNumId w:val="382"/>
  </w:num>
  <w:num w:numId="384">
    <w:abstractNumId w:val="383"/>
  </w:num>
  <w:num w:numId="385">
    <w:abstractNumId w:val="384"/>
  </w:num>
  <w:num w:numId="386">
    <w:abstractNumId w:val="385"/>
  </w:num>
  <w:num w:numId="387">
    <w:abstractNumId w:val="386"/>
  </w:num>
  <w:num w:numId="388">
    <w:abstractNumId w:val="387"/>
  </w:num>
  <w:num w:numId="389">
    <w:abstractNumId w:val="388"/>
  </w:num>
  <w:num w:numId="390">
    <w:abstractNumId w:val="389"/>
  </w:num>
  <w:num w:numId="391">
    <w:abstractNumId w:val="390"/>
  </w:num>
  <w:num w:numId="392">
    <w:abstractNumId w:val="391"/>
  </w:num>
  <w:num w:numId="393">
    <w:abstractNumId w:val="392"/>
  </w:num>
  <w:num w:numId="394">
    <w:abstractNumId w:val="393"/>
  </w:num>
  <w:num w:numId="395">
    <w:abstractNumId w:val="394"/>
  </w:num>
  <w:num w:numId="396">
    <w:abstractNumId w:val="395"/>
  </w:num>
  <w:num w:numId="397">
    <w:abstractNumId w:val="396"/>
  </w:num>
  <w:num w:numId="398">
    <w:abstractNumId w:val="397"/>
  </w:num>
  <w:num w:numId="399">
    <w:abstractNumId w:val="398"/>
  </w:num>
  <w:num w:numId="400">
    <w:abstractNumId w:val="399"/>
  </w:num>
  <w:num w:numId="401">
    <w:abstractNumId w:val="400"/>
  </w:num>
  <w:num w:numId="402">
    <w:abstractNumId w:val="401"/>
  </w:num>
  <w:num w:numId="403">
    <w:abstractNumId w:val="402"/>
  </w:num>
  <w:num w:numId="404">
    <w:abstractNumId w:val="403"/>
  </w:num>
  <w:num w:numId="405">
    <w:abstractNumId w:val="404"/>
  </w:num>
  <w:num w:numId="406">
    <w:abstractNumId w:val="405"/>
  </w:num>
  <w:num w:numId="407">
    <w:abstractNumId w:val="406"/>
  </w:num>
  <w:num w:numId="408">
    <w:abstractNumId w:val="407"/>
  </w:num>
  <w:num w:numId="409">
    <w:abstractNumId w:val="408"/>
  </w:num>
  <w:num w:numId="410">
    <w:abstractNumId w:val="409"/>
  </w:num>
  <w:num w:numId="411">
    <w:abstractNumId w:val="410"/>
  </w:num>
  <w:num w:numId="412">
    <w:abstractNumId w:val="411"/>
  </w:num>
  <w:num w:numId="413">
    <w:abstractNumId w:val="412"/>
  </w:num>
  <w:num w:numId="414">
    <w:abstractNumId w:val="413"/>
  </w:num>
  <w:num w:numId="415">
    <w:abstractNumId w:val="414"/>
  </w:num>
  <w:num w:numId="416">
    <w:abstractNumId w:val="415"/>
  </w:num>
  <w:num w:numId="417">
    <w:abstractNumId w:val="416"/>
  </w:num>
  <w:num w:numId="418">
    <w:abstractNumId w:val="417"/>
  </w:num>
  <w:num w:numId="419">
    <w:abstractNumId w:val="418"/>
  </w:num>
  <w:num w:numId="420">
    <w:abstractNumId w:val="419"/>
  </w:num>
  <w:num w:numId="421">
    <w:abstractNumId w:val="420"/>
  </w:num>
  <w:num w:numId="422">
    <w:abstractNumId w:val="421"/>
  </w:num>
  <w:num w:numId="423">
    <w:abstractNumId w:val="422"/>
  </w:num>
  <w:num w:numId="424">
    <w:abstractNumId w:val="423"/>
  </w:num>
</w:numbering>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line="384" w:lineRule="atLeast"/>
      <w:jc w:val="center"/>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superscript"/>
      <w:bdr w:space="0" w:sz="0" w:val="none" w:color="auto"/>
    </w:rPr>
  </w:style>
  <w:style w:styleId="Para 01" w:type="paragraph">
    <w:name w:val="Para 01"/>
    <w:qFormat/>
    <w:basedOn w:val="Normal"/>
    <w:pPr>
      <w:spacing w:beforeLines="50"/>
      <w:pBdr>
        <w:left w:val="none" w:sz="2" w:color="auto"/>
        <w:top w:val="none" w:sz="2" w:color="auto"/>
        <w:right w:val="none" w:sz="2" w:color="auto"/>
        <w:bottom w:val="none" w:sz="2" w:color="auto"/>
      </w:pBdr>
      <w:jc w:val="left"/>
    </w:pPr>
    <w:rPr>
      <w:vertAlign w:val="baseline"/>
    </w:rPr>
  </w:style>
  <w:style w:styleId="Para 02" w:type="paragraph">
    <w:name w:val="Para 02"/>
    <w:qFormat/>
    <w:basedOn w:val="Normal"/>
    <w:pPr>
      <w:jc w:val="left"/>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superscript"/>
      <w:bdr w:space="0" w:sz="0" w:val="none" w:color="auto"/>
    </w:rPr>
  </w:style>
  <w:style w:styleId="Para 03" w:type="paragraph">
    <w:name w:val="Para 03"/>
    <w:qFormat/>
    <w:basedOn w:val="Normal"/>
    <w:pPr>
      <w:spacing w:beforeLines="50" w:afterLines="50"/>
      <w:pBdr>
        <w:left w:val="none" w:sz="2" w:color="auto"/>
        <w:top w:val="none" w:sz="2" w:color="auto"/>
        <w:right w:val="none" w:sz="2" w:color="auto"/>
        <w:bottom w:val="none" w:sz="2" w:color="auto"/>
      </w:pBdr>
      <w:jc w:val="left"/>
    </w:pPr>
    <w:rPr>
      <w:vertAlign w:val="baseline"/>
    </w:rPr>
  </w:style>
  <w:style w:styleId="Para 04" w:type="paragraph">
    <w:name w:val="Para 04"/>
    <w:qFormat/>
    <w:basedOn w:val="Normal"/>
    <w:pPr>
      <w:spacing w:beforeLines="50" w:afterLines="50"/>
      <w:shd w:val="clear" w:color="auto" w:fill="FFFFFF"/>
      <w:pBdr>
        <w:left w:val="none" w:sz="2" w:color="auto"/>
        <w:top w:val="none" w:sz="2" w:color="auto"/>
        <w:right w:val="none" w:sz="2" w:color="auto"/>
        <w:bottom w:val="none" w:sz="2" w:color="auto"/>
      </w:pBdr>
      <w:jc w:val="left"/>
    </w:pPr>
    <w:rPr>
      <w:vertAlign w:val="baseline"/>
    </w:rPr>
  </w:style>
  <w:style w:styleId="Para 05" w:type="paragraph">
    <w:name w:val="Para 05"/>
    <w:qFormat/>
    <w:basedOn w:val="Normal"/>
    <w:pPr>
      <w:spacing w:line="384" w:lineRule="atLeast"/>
      <w:jc w:val="center"/>
    </w:pPr>
    <w:rPr>
      <w:b w:val="on"/>
      <w:bCs w:val="on"/>
      <w:i w:val="on"/>
      <w:iCs w:val="on"/>
      <w:color w:val="003B59"/>
      <w:vertAlign w:val="baseline"/>
    </w:rPr>
  </w:style>
  <w:style w:styleId="Para 06" w:type="paragraph">
    <w:name w:val="Para 06"/>
    <w:qFormat/>
    <w:basedOn w:val="Normal"/>
    <w:pPr>
      <w:jc w:val="right"/>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superscript"/>
      <w:bdr w:space="0" w:sz="0" w:val="none" w:color="auto"/>
    </w:rPr>
  </w:style>
  <w:style w:styleId="Para 07" w:type="paragraph">
    <w:name w:val="Para 07"/>
    <w:qFormat/>
    <w:basedOn w:val="Normal"/>
    <w:pPr>
      <w:spacing w:beforeLines="125"/>
      <w:shd w:val="clear" w:color="auto" w:fill="FFFFFF"/>
      <w:pBdr>
        <w:left w:val="none" w:sz="2" w:color="auto"/>
        <w:top w:val="none" w:sz="2" w:color="auto"/>
        <w:right w:val="none" w:sz="2" w:color="auto"/>
        <w:bottom w:val="none" w:sz="2" w:color="auto"/>
      </w:pBdr>
    </w:pPr>
    <w:rPr>
      <w:vertAlign w:val="baseline"/>
    </w:rPr>
  </w:style>
  <w:style w:styleId="Para 08" w:type="paragraph">
    <w:name w:val="Para 08"/>
    <w:qFormat/>
    <w:basedOn w:val="Normal"/>
    <w:pPr>
      <w:spacing w:beforeLines="75"/>
      <w:ind w:leftChars="125" w:hangingChars="125"/>
      <w:pBdr>
        <w:left w:val="none" w:sz="2" w:color="auto"/>
        <w:top w:val="none" w:sz="2" w:color="auto"/>
        <w:right w:val="none" w:sz="2" w:color="auto"/>
        <w:bottom w:val="none" w:sz="2" w:color="auto"/>
      </w:pBdr>
      <w:jc w:val="left"/>
    </w:pPr>
    <w:rPr>
      <w:vertAlign w:val="baseline"/>
    </w:rPr>
  </w:style>
  <w:style w:styleId="Para 09" w:type="paragraph">
    <w:name w:val="Para 09"/>
    <w:qFormat/>
    <w:basedOn w:val="Normal"/>
    <w:pPr>
      <w:spacing w:beforeLines="125"/>
      <w:pBdr>
        <w:left w:val="none" w:sz="2" w:color="auto"/>
        <w:top w:val="none" w:sz="2" w:color="auto"/>
        <w:right w:val="none" w:sz="2" w:color="auto"/>
        <w:bottom w:val="none" w:sz="2" w:color="auto"/>
      </w:pBdr>
    </w:pPr>
    <w:rPr>
      <w:vertAlign w:val="baseline"/>
    </w:rPr>
  </w:style>
  <w:style w:styleId="Para 10" w:type="paragraph">
    <w:name w:val="Para 10"/>
    <w:qFormat/>
    <w:basedOn w:val="Normal"/>
    <w:pPr>
      <w:spacing w:beforeLines="50"/>
      <w:pBdr>
        <w:left w:val="none" w:sz="2" w:color="auto"/>
        <w:top w:val="none" w:sz="2" w:color="auto"/>
        <w:right w:val="none" w:sz="2" w:color="auto"/>
        <w:bottom w:val="none" w:sz="2" w:color="auto"/>
      </w:pBdr>
      <w:jc w:val="left"/>
    </w:pPr>
    <w:rPr>
      <w:color w:val="0000FF"/>
      <w:u w:val="solid"/>
      <w:vertAlign w:val="baseline"/>
    </w:rPr>
  </w:style>
  <w:style w:styleId="Para 11" w:type="paragraph">
    <w:name w:val="Para 11"/>
    <w:qFormat/>
    <w:basedOn w:val="Normal"/>
    <w:pPr>
      <w:pBdr>
        <w:left w:val="none" w:sz="2" w:color="auto"/>
        <w:top w:val="none" w:sz="2" w:color="auto"/>
        <w:right w:val="none" w:sz="2" w:color="auto"/>
        <w:bottom w:val="none" w:sz="2" w:color="auto"/>
      </w:pBdr>
      <w:jc w:val="left"/>
    </w:pPr>
    <w:rPr>
      <w:vertAlign w:val="baseline"/>
    </w:rPr>
  </w:style>
  <w:style w:styleId="Heading 3" w:type="paragraph">
    <w:name w:val="Heading 3"/>
    <w:qFormat/>
    <w:basedOn w:val="Normal"/>
    <w:pPr>
      <w:spacing w:beforeLines="62" w:afterLines="50" w:line="431" w:lineRule="atLeast"/>
      <w:pBdr>
        <w:left w:val="none" w:sz="2" w:color="auto"/>
        <w:top w:val="none" w:sz="2" w:color="auto"/>
        <w:right w:val="none" w:sz="2" w:color="auto"/>
        <w:bottom w:val="none" w:sz="2" w:color="auto"/>
      </w:pBdr>
      <w:jc w:val="left"/>
      <w:outlineLvl w:val="3"/>
    </w:pPr>
    <w:rPr>
      <w:rFonts w:ascii="Candara" w:cs="Candara" w:eastAsia="Candara" w:hAnsi="Candara"/>
      <w:sz w:val="36"/>
      <w:szCs w:val="36"/>
      <w:b w:val="on"/>
      <w:bCs w:val="on"/>
      <w:color w:val="B95630"/>
      <w:vertAlign w:val="baseline"/>
    </w:rPr>
  </w:style>
  <w:style w:styleId="Heading 4" w:type="paragraph">
    <w:name w:val="Heading 4"/>
    <w:qFormat/>
    <w:basedOn w:val="Normal"/>
    <w:pPr>
      <w:spacing w:beforeLines="50" w:afterLines="50"/>
      <w:pBdr>
        <w:left w:val="none" w:sz="2" w:color="auto"/>
        <w:top w:val="none" w:sz="2" w:color="auto"/>
        <w:right w:val="none" w:sz="2" w:color="auto"/>
        <w:bottom w:val="none" w:sz="2" w:color="auto"/>
      </w:pBdr>
      <w:jc w:val="left"/>
      <w:outlineLvl w:val="4"/>
    </w:pPr>
    <w:rPr>
      <w:rFonts w:ascii="Candara" w:cs="Candara" w:eastAsia="Candara" w:hAnsi="Candara"/>
      <w:b w:val="on"/>
      <w:bCs w:val="on"/>
      <w:color w:val="19739C"/>
      <w:vertAlign w:val="baseline"/>
    </w:rPr>
  </w:style>
  <w:style w:styleId="Para 14" w:type="paragraph">
    <w:name w:val="Para 14"/>
    <w:qFormat/>
    <w:basedOn w:val="Normal"/>
    <w:pPr>
      <w:spacing w:beforeLines="31"/>
      <w:pBdr>
        <w:left w:val="none" w:sz="2" w:color="auto"/>
        <w:top w:val="none" w:sz="2" w:color="auto"/>
        <w:right w:val="none" w:sz="2" w:color="auto"/>
        <w:bottom w:val="none" w:sz="2" w:color="auto"/>
      </w:pBdr>
      <w:jc w:val="left"/>
    </w:pPr>
    <w:rPr>
      <w:color w:val="0000FF"/>
      <w:u w:val="solid"/>
      <w:vertAlign w:val="baseline"/>
    </w:rPr>
  </w:style>
  <w:style w:styleId="Heading 2" w:type="paragraph">
    <w:name w:val="Heading 2"/>
    <w:qFormat/>
    <w:basedOn w:val="Normal"/>
    <w:pPr>
      <w:spacing w:beforeLines="100" w:afterLines="50" w:line="480" w:lineRule="atLeast"/>
      <w:pBdr>
        <w:left w:val="none" w:sz="2" w:color="auto"/>
        <w:top w:val="none" w:sz="2" w:color="auto"/>
        <w:right w:val="none" w:sz="2" w:color="auto"/>
        <w:bottom w:val="none" w:sz="2" w:color="auto"/>
      </w:pBdr>
      <w:jc w:val="left"/>
      <w:outlineLvl w:val="2"/>
    </w:pPr>
    <w:rPr>
      <w:rFonts w:ascii="Candara" w:cs="Candara" w:eastAsia="Candara" w:hAnsi="Candara"/>
      <w:sz w:val="40"/>
      <w:szCs w:val="40"/>
      <w:b w:val="on"/>
      <w:bCs w:val="on"/>
      <w:color w:val="19739C"/>
      <w:caps w:val="on"/>
      <w:vertAlign w:val="baseline"/>
    </w:rPr>
  </w:style>
  <w:style w:styleId="Para 16" w:type="paragraph">
    <w:name w:val="Para 16"/>
    <w:qFormat/>
    <w:basedOn w:val="Normal"/>
    <w:pPr>
      <w:spacing w:beforeLines="50" w:afterLines="50"/>
      <w:shd w:val="clear" w:color="auto" w:fill="F3F3F4"/>
      <w:pBdr>
        <w:left w:val="none" w:sz="2" w:color="auto"/>
        <w:top w:val="none" w:sz="2" w:color="auto"/>
        <w:right w:val="none" w:sz="2" w:color="auto"/>
        <w:bottom w:val="none" w:sz="2" w:color="auto"/>
      </w:pBdr>
      <w:jc w:val="left"/>
    </w:pPr>
    <w:rPr>
      <w:vertAlign w:val="baseline"/>
    </w:rPr>
  </w:style>
  <w:style w:styleId="Para 17" w:type="paragraph">
    <w:name w:val="Para 17"/>
    <w:qFormat/>
    <w:basedOn w:val="Normal"/>
    <w:pPr>
      <w:spacing w:line="384" w:lineRule="atLeast"/>
      <w:jc w:val="center"/>
    </w:pPr>
    <w:rPr>
      <w:b w:val="on"/>
      <w:bCs w:val="on"/>
      <w:color w:val="003B59"/>
    </w:rPr>
  </w:style>
  <w:style w:styleId="Para 18" w:type="paragraph">
    <w:name w:val="Para 18"/>
    <w:qFormat/>
    <w:basedOn w:val="Normal"/>
    <w:pPr>
      <w:spacing w:beforeLines="50"/>
      <w:shd w:val="clear" w:color="auto" w:fill="FFFFFF"/>
      <w:pBdr>
        <w:left w:val="none" w:sz="2" w:color="auto"/>
        <w:top w:val="none" w:sz="2" w:color="auto"/>
        <w:right w:val="none" w:sz="2" w:color="auto"/>
        <w:bottom w:val="none" w:sz="2" w:color="auto"/>
      </w:pBdr>
      <w:jc w:val="left"/>
    </w:pPr>
    <w:rPr>
      <w:vertAlign w:val="baseline"/>
    </w:rPr>
  </w:style>
  <w:style w:styleId="Para 19" w:type="paragraph">
    <w:name w:val="Para 19"/>
    <w:qFormat/>
    <w:basedOn w:val="Normal"/>
    <w:pPr>
      <w:spacing w:beforeLines="62" w:afterLines="50" w:line="431" w:lineRule="atLeast"/>
      <w:shd w:val="clear" w:color="auto" w:fill="FFFFFF"/>
      <w:pBdr>
        <w:left w:val="none" w:sz="2" w:color="auto"/>
        <w:top w:val="none" w:sz="2" w:color="auto"/>
        <w:right w:val="none" w:sz="2" w:color="auto"/>
        <w:bottom w:val="none" w:sz="2" w:color="auto"/>
      </w:pBdr>
      <w:jc w:val="left"/>
    </w:pPr>
    <w:rPr>
      <w:rFonts w:ascii="Candara" w:cs="Candara" w:eastAsia="Candara" w:hAnsi="Candara"/>
      <w:sz w:val="36"/>
      <w:szCs w:val="36"/>
      <w:b w:val="on"/>
      <w:bCs w:val="on"/>
      <w:color w:val="017252"/>
      <w:vertAlign w:val="baseline"/>
    </w:rPr>
  </w:style>
  <w:style w:styleId="Para 20" w:type="paragraph">
    <w:name w:val="Para 20"/>
    <w:qFormat/>
    <w:basedOn w:val="Normal"/>
    <w:pPr>
      <w:spacing w:beforeLines="100" w:afterLines="100"/>
      <w:pBdr>
        <w:left w:val="none" w:sz="2" w:color="auto"/>
        <w:top w:val="none" w:sz="2" w:color="auto"/>
        <w:right w:val="none" w:sz="2" w:color="auto"/>
        <w:bottom w:val="none" w:sz="2" w:color="auto"/>
      </w:pBdr>
      <w:jc w:val="left"/>
    </w:pPr>
    <w:rPr>
      <w:vertAlign w:val="baseline"/>
    </w:rPr>
  </w:style>
  <w:style w:styleId="Para 21" w:type="paragraph">
    <w:name w:val="Para 21"/>
    <w:qFormat/>
    <w:basedOn w:val="Normal"/>
    <w:pPr>
      <w:spacing w:beforeLines="200" w:afterLines="100"/>
      <w:pBdr>
        <w:left w:val="none" w:sz="2" w:color="auto"/>
        <w:top w:val="none" w:sz="2" w:color="auto"/>
        <w:right w:val="none" w:sz="2" w:color="auto"/>
        <w:bottom w:val="none" w:sz="2" w:color="auto"/>
      </w:pBdr>
      <w:jc w:val="left"/>
    </w:pPr>
    <w:rPr>
      <w:rFonts w:ascii="Candara" w:cs="Candara" w:eastAsia="Candara" w:hAnsi="Candara"/>
      <w:b w:val="on"/>
      <w:bCs w:val="on"/>
      <w:color w:val="776D3D"/>
      <w:vertAlign w:val="baseline"/>
    </w:rPr>
  </w:style>
  <w:style w:styleId="Para 22" w:type="paragraph">
    <w:name w:val="Para 22"/>
    <w:qFormat/>
    <w:basedOn w:val="Normal"/>
    <w:pPr>
      <w:spacing w:beforeLines="50" w:afterLines="50"/>
      <w:pBdr>
        <w:left w:val="none" w:sz="2" w:color="auto"/>
        <w:top w:val="none" w:sz="2" w:color="auto"/>
        <w:right w:val="none" w:sz="2" w:color="auto"/>
        <w:bottom w:val="none" w:sz="2" w:color="auto"/>
      </w:pBdr>
      <w:jc w:val="both"/>
    </w:pPr>
    <w:rPr>
      <w:b w:val="on"/>
      <w:bCs w:val="on"/>
      <w:color w:val="231F20"/>
      <w:vertAlign w:val="baseline"/>
    </w:rPr>
  </w:style>
  <w:style w:styleId="Para 23" w:type="paragraph">
    <w:name w:val="Para 23"/>
    <w:qFormat/>
    <w:basedOn w:val="Normal"/>
    <w:pPr>
      <w:spacing w:beforeLines="50" w:afterLines="50"/>
      <w:pBdr>
        <w:left w:val="none" w:sz="2" w:color="auto"/>
        <w:top w:val="none" w:sz="2" w:color="auto"/>
        <w:right w:val="none" w:sz="2" w:color="auto"/>
        <w:bottom w:val="none" w:sz="2" w:color="auto"/>
      </w:pBdr>
    </w:pPr>
    <w:rPr>
      <w:vertAlign w:val="baseline"/>
    </w:rPr>
  </w:style>
  <w:style w:styleId="Para 24" w:type="paragraph">
    <w:name w:val="Para 24"/>
    <w:qFormat/>
    <w:basedOn w:val="Normal"/>
    <w:pPr>
      <w:spacing w:beforeLines="100" w:afterLines="0"/>
      <w:shd w:val="clear" w:color="auto" w:fill="007099"/>
      <w:pBdr>
        <w:left w:space="8" w:val="none" w:sz="2" w:color="auto"/>
        <w:top w:space="8" w:val="none" w:sz="2" w:color="auto"/>
        <w:right w:space="8" w:val="none" w:sz="2" w:color="auto"/>
        <w:bottom w:space="4" w:val="none" w:sz="2" w:color="auto"/>
      </w:pBdr>
      <w:jc w:val="left"/>
    </w:pPr>
    <w:rPr>
      <w:b w:val="on"/>
      <w:bCs w:val="on"/>
      <w:color w:val="FCFCFC"/>
      <w:vertAlign w:val="baseline"/>
    </w:rPr>
  </w:style>
  <w:style w:styleId="Para 25" w:type="paragraph">
    <w:name w:val="Para 25"/>
    <w:qFormat/>
    <w:basedOn w:val="Normal"/>
    <w:pPr>
      <w:spacing w:beforeLines="0" w:afterLines="50"/>
      <w:ind w:leftChars="0" w:rightChars="0"/>
      <w:shd w:val="clear" w:color="auto" w:fill="003B59"/>
      <w:pBdr>
        <w:left w:space="8" w:val="none" w:sz="2" w:color="auto"/>
        <w:top w:space="8" w:val="none" w:sz="2" w:color="auto"/>
        <w:right w:space="8" w:val="none" w:sz="2" w:color="auto"/>
        <w:bottom w:space="8" w:val="none" w:sz="2" w:color="auto"/>
      </w:pBdr>
      <w:jc w:val="left"/>
    </w:pPr>
    <w:rPr>
      <w:b w:val="on"/>
      <w:bCs w:val="on"/>
      <w:color w:val="0000FF"/>
      <w:u w:val="solid"/>
      <w:caps w:val="on"/>
      <w:vertAlign w:val="baseline"/>
    </w:rPr>
  </w:style>
  <w:style w:styleId="Para 26" w:type="paragraph">
    <w:name w:val="Para 26"/>
    <w:qFormat/>
    <w:basedOn w:val="Normal"/>
    <w:pPr>
      <w:jc w:val="right"/>
    </w:pPr>
    <w:rPr>
      <w:i w:val="on"/>
      <w:iCs w:val="on"/>
      <w:vertAlign w:val="baseline"/>
    </w:rPr>
  </w:style>
  <w:style w:styleId="Para 27" w:type="paragraph">
    <w:name w:val="Para 27"/>
    <w:qFormat/>
    <w:basedOn w:val="Normal"/>
    <w:pPr>
      <w:spacing w:beforeLines="50" w:afterLines="50"/>
      <w:shd w:val="clear" w:color="auto" w:fill="F3F3F4"/>
      <w:pBdr>
        <w:left w:val="none" w:sz="2" w:color="auto"/>
        <w:top w:val="none" w:sz="2" w:color="auto"/>
        <w:right w:val="none" w:sz="2" w:color="auto"/>
        <w:bottom w:val="none" w:sz="2" w:color="auto"/>
      </w:pBdr>
      <w:jc w:val="left"/>
    </w:pPr>
    <w:rPr>
      <w:rFonts w:ascii="Candara" w:cs="Candara" w:eastAsia="Candara" w:hAnsi="Candara"/>
      <w:b w:val="on"/>
      <w:bCs w:val="on"/>
      <w:color w:val="19739C"/>
      <w:caps w:val="on"/>
      <w:vertAlign w:val="baseline"/>
    </w:rPr>
  </w:style>
  <w:style w:styleId="Para 28" w:type="paragraph">
    <w:name w:val="Para 28"/>
    <w:qFormat/>
    <w:basedOn w:val="Normal"/>
    <w:pPr>
      <w:jc w:val="right"/>
    </w:pPr>
    <w:rPr>
      <w:b w:val="on"/>
      <w:bCs w:val="on"/>
      <w:vertAlign w:val="baseline"/>
    </w:rPr>
  </w:style>
  <w:style w:styleId="Para 29" w:type="paragraph">
    <w:name w:val="Para 29"/>
    <w:qFormat/>
    <w:basedOn w:val="Normal"/>
    <w:pPr>
      <w:jc w:val="left"/>
    </w:pPr>
    <w:rPr>
      <w:b w:val="on"/>
      <w:bCs w:val="on"/>
      <w:color w:val="003B59"/>
    </w:rPr>
  </w:style>
  <w:style w:styleId="Para 30" w:type="paragraph">
    <w:name w:val="Para 30"/>
    <w:qFormat/>
    <w:basedOn w:val="Normal"/>
    <w:pPr>
      <w:pBdr>
        <w:left w:val="none" w:sz="2" w:color="auto"/>
        <w:top w:val="none" w:sz="2" w:color="auto"/>
        <w:right w:val="none" w:sz="2" w:color="auto"/>
        <w:bottom w:val="none" w:sz="2" w:color="auto"/>
      </w:pBdr>
    </w:pPr>
    <w:rPr>
      <w:vertAlign w:val="baseline"/>
    </w:rPr>
  </w:style>
  <w:style w:styleId="Para 31" w:type="paragraph">
    <w:name w:val="Para 31"/>
    <w:qFormat/>
    <w:basedOn w:val="Normal"/>
    <w:pPr>
      <w:pBdr>
        <w:left w:val="none" w:sz="8" w:color="auto"/>
        <w:top w:val="none" w:sz="8" w:color="auto"/>
        <w:right w:val="none" w:sz="8" w:color="auto"/>
        <w:bottom w:val="none" w:sz="8" w:color="auto"/>
      </w:pBdr>
      <w:jc w:val="left"/>
    </w:pPr>
    <w:rPr>
      <w:b w:val="on"/>
      <w:bCs w:val="on"/>
      <w:vertAlign w:val="baseline"/>
    </w:rPr>
  </w:style>
  <w:style w:styleId="Para 32" w:type="paragraph">
    <w:name w:val="Para 32"/>
    <w:qFormat/>
    <w:basedOn w:val="Normal"/>
    <w:pPr>
      <w:jc w:val="left"/>
    </w:pPr>
    <w:rPr>
      <w:b w:val="on"/>
      <w:bCs w:val="on"/>
      <w:i w:val="on"/>
      <w:iCs w:val="on"/>
      <w:color w:val="003B59"/>
      <w:vertAlign w:val="baseline"/>
    </w:rPr>
  </w:style>
  <w:style w:styleId="Para 33" w:type="paragraph">
    <w:name w:val="Para 33"/>
    <w:qFormat/>
    <w:basedOn w:val="Normal"/>
    <w:pPr>
      <w:spacing w:beforeLines="50"/>
      <w:shd w:val="clear" w:color="auto" w:fill="F3F3F4"/>
      <w:pBdr>
        <w:left w:val="none" w:sz="2" w:color="auto"/>
        <w:top w:val="none" w:sz="2" w:color="auto"/>
        <w:right w:val="none" w:sz="2" w:color="auto"/>
        <w:bottom w:val="none" w:sz="2" w:color="auto"/>
      </w:pBdr>
      <w:jc w:val="left"/>
    </w:pPr>
    <w:rPr>
      <w:vertAlign w:val="baseline"/>
    </w:rPr>
  </w:style>
  <w:style w:styleId="Para 34" w:type="paragraph">
    <w:name w:val="Para 34"/>
    <w:qFormat/>
    <w:basedOn w:val="Normal"/>
    <w:pPr>
      <w:spacing w:beforeLines="0" w:afterLines="50"/>
      <w:ind w:leftChars="0" w:rightChars="0"/>
      <w:shd w:val="clear" w:color="auto" w:fill="003B59"/>
      <w:pBdr>
        <w:left w:space="8" w:val="none" w:sz="2" w:color="auto"/>
        <w:top w:space="8" w:val="none" w:sz="2" w:color="auto"/>
        <w:right w:space="8" w:val="none" w:sz="2" w:color="auto"/>
        <w:bottom w:space="8" w:val="none" w:sz="2" w:color="auto"/>
      </w:pBdr>
      <w:jc w:val="both"/>
    </w:pPr>
    <w:rPr>
      <w:b w:val="on"/>
      <w:bCs w:val="on"/>
      <w:color w:val="0000FF"/>
      <w:u w:val="solid"/>
      <w:caps w:val="on"/>
      <w:vertAlign w:val="baseline"/>
    </w:rPr>
  </w:style>
  <w:style w:styleId="Para 35" w:type="paragraph">
    <w:name w:val="Para 35"/>
    <w:qFormat/>
    <w:basedOn w:val="Normal"/>
    <w:pPr>
      <w:spacing w:beforeLines="100" w:afterLines="0"/>
      <w:shd w:val="clear" w:color="auto" w:fill="007099"/>
      <w:pBdr>
        <w:left w:space="8" w:val="none" w:sz="2" w:color="auto"/>
        <w:top w:space="8" w:val="none" w:sz="2" w:color="auto"/>
        <w:right w:space="8" w:val="none" w:sz="2" w:color="auto"/>
        <w:bottom w:space="4" w:val="none" w:sz="2" w:color="auto"/>
      </w:pBdr>
      <w:jc w:val="both"/>
    </w:pPr>
    <w:rPr>
      <w:b w:val="on"/>
      <w:bCs w:val="on"/>
      <w:color w:val="FCFCFC"/>
      <w:vertAlign w:val="baseline"/>
    </w:rPr>
  </w:style>
  <w:style w:styleId="Para 36" w:type="paragraph">
    <w:name w:val="Para 36"/>
    <w:qFormat/>
    <w:basedOn w:val="Normal"/>
    <w:pPr>
      <w:spacing w:beforeLines="50" w:afterLines="50"/>
      <w:shd w:val="clear" w:color="auto" w:fill="FFFFFF"/>
      <w:pBdr>
        <w:left w:val="none" w:sz="2" w:color="auto"/>
        <w:top w:val="none" w:sz="2" w:color="auto"/>
        <w:right w:val="none" w:sz="2" w:color="auto"/>
        <w:bottom w:val="none" w:sz="2" w:color="auto"/>
      </w:pBdr>
      <w:jc w:val="left"/>
    </w:pPr>
    <w:rPr>
      <w:rFonts w:ascii="Candara" w:cs="Candara" w:eastAsia="Candara" w:hAnsi="Candara"/>
      <w:b w:val="on"/>
      <w:bCs w:val="on"/>
      <w:color w:val="19739C"/>
      <w:vertAlign w:val="baseline"/>
    </w:rPr>
  </w:style>
  <w:style w:styleId="Para 37" w:type="paragraph">
    <w:name w:val="Para 37"/>
    <w:qFormat/>
    <w:basedOn w:val="Normal"/>
    <w:pPr>
      <w:spacing w:beforeLines="50" w:afterLines="50"/>
      <w:shd w:val="clear" w:color="auto" w:fill="FFFFFF"/>
      <w:pBdr>
        <w:left w:val="none" w:sz="2" w:color="auto"/>
        <w:top w:val="none" w:sz="2" w:color="auto"/>
        <w:right w:val="none" w:sz="2" w:color="auto"/>
        <w:bottom w:val="none" w:sz="2" w:color="auto"/>
      </w:pBdr>
    </w:pPr>
    <w:rPr>
      <w:vertAlign w:val="baseline"/>
    </w:rPr>
  </w:style>
  <w:style w:styleId="Para 38" w:type="paragraph">
    <w:name w:val="Para 38"/>
    <w:qFormat/>
    <w:basedOn w:val="Normal"/>
    <w:pPr>
      <w:spacing w:beforeLines="50" w:afterLines="50"/>
      <w:shd w:val="clear" w:color="auto" w:fill="FFFFFF"/>
      <w:pBdr>
        <w:left w:val="none" w:sz="2" w:color="auto"/>
        <w:top w:val="none" w:sz="2" w:color="auto"/>
        <w:right w:val="none" w:sz="2" w:color="auto"/>
        <w:bottom w:val="none" w:sz="2" w:color="auto"/>
      </w:pBdr>
      <w:jc w:val="left"/>
    </w:pPr>
    <w:rPr>
      <w:b w:val="on"/>
      <w:bCs w:val="on"/>
      <w:color w:val="231F20"/>
      <w:vertAlign w:val="baseline"/>
    </w:rPr>
  </w:style>
  <w:style w:styleId="Para 39" w:type="paragraph">
    <w:name w:val="Para 39"/>
    <w:qFormat/>
    <w:basedOn w:val="Normal"/>
    <w:pPr>
      <w:spacing w:beforeLines="100" w:afterLines="100"/>
      <w:pBdr>
        <w:left w:val="none" w:sz="2" w:color="auto"/>
        <w:top w:val="none" w:sz="2" w:color="auto"/>
        <w:right w:val="none" w:sz="2" w:color="auto"/>
        <w:bottom w:val="none" w:sz="2" w:color="auto"/>
      </w:pBdr>
      <w:jc w:val="left"/>
    </w:pPr>
    <w:rPr>
      <w:vertAlign w:val="baseline"/>
    </w:rPr>
  </w:style>
  <w:style w:styleId="Para 40" w:type="paragraph">
    <w:name w:val="Para 40"/>
    <w:qFormat/>
    <w:basedOn w:val="Normal"/>
    <w:pPr>
      <w:spacing w:beforeLines="50" w:afterLines="50"/>
      <w:shd w:val="clear" w:color="auto" w:fill="FFFFFF"/>
      <w:pBdr>
        <w:left w:space="22" w:val="single" w:sz="2" w:color="007A54"/>
        <w:top w:space="6" w:val="single" w:sz="2" w:color="007A54"/>
        <w:right w:space="22" w:val="single" w:sz="2" w:color="007A54"/>
        <w:bottom w:space="3" w:val="single" w:sz="2" w:color="007A54"/>
      </w:pBdr>
      <w:jc w:val="left"/>
    </w:pPr>
    <w:rPr>
      <w:vertAlign w:val="baseline"/>
    </w:rPr>
  </w:style>
  <w:style w:styleId="Para 41" w:type="paragraph">
    <w:name w:val="Para 41"/>
    <w:qFormat/>
    <w:basedOn w:val="Normal"/>
    <w:pPr>
      <w:spacing w:line="384" w:lineRule="atLeast"/>
      <w:jc w:val="center"/>
    </w:pPr>
    <w:rPr>
      <w:i w:val="on"/>
      <w:iCs w:val="on"/>
      <w:vertAlign w:val="baseline"/>
    </w:rPr>
  </w:style>
  <w:style w:styleId="Para 42" w:type="paragraph">
    <w:name w:val="Para 42"/>
    <w:qFormat/>
    <w:basedOn w:val="Normal"/>
    <w:pPr>
      <w:spacing w:beforeLines="200" w:afterLines="100"/>
      <w:pBdr>
        <w:left w:val="none" w:sz="2" w:color="auto"/>
        <w:top w:val="none" w:sz="2" w:color="auto"/>
        <w:right w:val="none" w:sz="2" w:color="auto"/>
        <w:bottom w:val="none" w:sz="2" w:color="auto"/>
      </w:pBdr>
      <w:jc w:val="left"/>
    </w:pPr>
    <w:rPr>
      <w:rFonts w:ascii="Candara" w:cs="Candara" w:eastAsia="Candara" w:hAnsi="Candara"/>
      <w:b w:val="on"/>
      <w:bCs w:val="on"/>
      <w:color w:val="547890"/>
      <w:vertAlign w:val="baseline"/>
    </w:rPr>
  </w:style>
  <w:style w:styleId="Heading 1" w:type="paragraph">
    <w:name w:val="Heading 1"/>
    <w:qFormat/>
    <w:basedOn w:val="Normal"/>
    <w:pPr>
      <w:spacing w:line="528" w:lineRule="atLeast"/>
      <w:pBdr>
        <w:left w:val="none" w:sz="2" w:color="auto"/>
        <w:top w:val="none" w:sz="2" w:color="auto"/>
        <w:right w:val="none" w:sz="2" w:color="auto"/>
        <w:bottom w:val="none" w:sz="2" w:color="auto"/>
      </w:pBdr>
      <w:jc w:val="left"/>
      <w:outlineLvl w:val="1"/>
    </w:pPr>
    <w:rPr>
      <w:rFonts w:ascii="Candara" w:cs="Candara" w:eastAsia="Candara" w:hAnsi="Candara"/>
      <w:sz w:val="44"/>
      <w:szCs w:val="44"/>
      <w:b w:val="on"/>
      <w:bCs w:val="on"/>
      <w:vertAlign w:val="baseline"/>
    </w:rPr>
  </w:style>
  <w:style w:styleId="Para 44" w:type="paragraph">
    <w:name w:val="Para 44"/>
    <w:qFormat/>
    <w:basedOn w:val="Normal"/>
    <w:pPr>
      <w:spacing w:beforeLines="50" w:afterLines="50"/>
      <w:pBdr>
        <w:left w:val="none" w:sz="2" w:color="auto"/>
        <w:top w:val="none" w:sz="2" w:color="auto"/>
        <w:right w:val="none" w:sz="2" w:color="auto"/>
        <w:bottom w:val="none" w:sz="2" w:color="auto"/>
      </w:pBdr>
      <w:jc w:val="left"/>
    </w:pPr>
    <w:rPr>
      <w:i w:val="on"/>
      <w:iCs w:val="on"/>
      <w:vertAlign w:val="baseline"/>
    </w:rPr>
  </w:style>
  <w:style w:styleId="Para 45" w:type="paragraph">
    <w:name w:val="Para 45"/>
    <w:qFormat/>
    <w:basedOn w:val="Normal"/>
    <w:pPr>
      <w:spacing w:line="384" w:lineRule="atLeast"/>
      <w:jc w:val="center"/>
    </w:pPr>
    <w:rPr>
      <w:b w:val="on"/>
      <w:bCs w:val="on"/>
      <w:color w:val="003B59"/>
      <w:vertAlign w:val="subscript"/>
    </w:rPr>
  </w:style>
  <w:style w:styleId="Para 46" w:type="paragraph">
    <w:name w:val="Para 46"/>
    <w:qFormat/>
    <w:basedOn w:val="Normal"/>
    <w:pPr>
      <w:jc w:val="left"/>
    </w:pPr>
    <w:rPr>
      <w:i w:val="on"/>
      <w:iCs w:val="on"/>
      <w:vertAlign w:val="baseline"/>
    </w:rPr>
  </w:style>
  <w:style w:styleId="Para 47" w:type="paragraph">
    <w:name w:val="Para 47"/>
    <w:qFormat/>
    <w:basedOn w:val="Normal"/>
    <w:pPr>
      <w:spacing w:line="384" w:lineRule="atLeast"/>
      <w:jc w:val="center"/>
    </w:pPr>
    <w:rPr>
      <w:b w:val="on"/>
      <w:bCs w:val="on"/>
      <w:vertAlign w:val="baseline"/>
    </w:rPr>
  </w:style>
  <w:style w:styleId="Para 48" w:type="paragraph">
    <w:name w:val="Para 48"/>
    <w:qFormat/>
    <w:basedOn w:val="Normal"/>
    <w:pPr>
      <w:spacing w:beforeLines="125"/>
      <w:shd w:val="clear" w:color="auto" w:fill="F3F3F4"/>
      <w:pBdr>
        <w:left w:val="none" w:sz="2" w:color="auto"/>
        <w:top w:val="none" w:sz="2" w:color="auto"/>
        <w:right w:val="none" w:sz="2" w:color="auto"/>
        <w:bottom w:val="none" w:sz="2" w:color="auto"/>
      </w:pBdr>
    </w:pPr>
    <w:rPr>
      <w:vertAlign w:val="baseline"/>
    </w:rPr>
  </w:style>
  <w:style w:styleId="Para 49" w:type="paragraph">
    <w:name w:val="Para 49"/>
    <w:qFormat/>
    <w:basedOn w:val="Normal"/>
    <w:pPr>
      <w:shd w:val="clear" w:color="auto" w:fill="FFFFFF"/>
      <w:pBdr>
        <w:left w:val="none" w:sz="2" w:color="auto"/>
        <w:top w:val="none" w:sz="2" w:color="auto"/>
        <w:right w:val="none" w:sz="2" w:color="auto"/>
        <w:bottom w:val="none" w:sz="2" w:color="auto"/>
      </w:pBdr>
      <w:jc w:val="left"/>
    </w:pPr>
    <w:rPr>
      <w:vertAlign w:val="baseline"/>
    </w:rPr>
  </w:style>
  <w:style w:styleId="Para 50" w:type="paragraph">
    <w:name w:val="Para 50"/>
    <w:qFormat/>
    <w:basedOn w:val="Normal"/>
    <w:pPr>
      <w:spacing w:beforeLines="100" w:afterLines="50" w:line="480" w:lineRule="atLeast"/>
      <w:pBdr>
        <w:left w:val="none" w:sz="2" w:color="auto"/>
        <w:top w:val="none" w:sz="2" w:color="auto"/>
        <w:right w:val="none" w:sz="2" w:color="auto"/>
        <w:bottom w:val="none" w:sz="2" w:color="auto"/>
      </w:pBdr>
      <w:jc w:val="left"/>
    </w:pPr>
    <w:rPr>
      <w:rFonts w:ascii="Candara" w:cs="Candara" w:eastAsia="Candara" w:hAnsi="Candara"/>
      <w:sz w:val="40"/>
      <w:szCs w:val="40"/>
      <w:b w:val="on"/>
      <w:bCs w:val="on"/>
      <w:color w:val="19739C"/>
      <w:vertAlign w:val="baseline"/>
    </w:rPr>
  </w:style>
  <w:style w:styleId="Para 51" w:type="paragraph">
    <w:name w:val="Para 51"/>
    <w:qFormat/>
    <w:basedOn w:val="Normal"/>
    <w:pPr>
      <w:jc w:val="left"/>
    </w:pPr>
    <w:rPr>
      <w:b w:val="on"/>
      <w:bCs w:val="on"/>
      <w:vertAlign w:val="baseline"/>
    </w:rPr>
  </w:style>
  <w:style w:styleId="Para 52" w:type="paragraph">
    <w:name w:val="Para 52"/>
    <w:qFormat/>
    <w:basedOn w:val="Normal"/>
    <w:pPr>
      <w:spacing w:beforeLines="100" w:afterLines="100"/>
      <w:shd w:val="clear" w:color="auto" w:fill="FFFFFF"/>
      <w:pBdr>
        <w:left w:val="none" w:sz="2" w:color="auto"/>
        <w:top w:val="none" w:sz="2" w:color="auto"/>
        <w:right w:val="none" w:sz="2" w:color="auto"/>
        <w:bottom w:val="none" w:sz="2" w:color="auto"/>
      </w:pBdr>
      <w:jc w:val="left"/>
    </w:pPr>
    <w:rPr>
      <w:vertAlign w:val="baseline"/>
    </w:rPr>
  </w:style>
  <w:style w:styleId="Para 53" w:type="paragraph">
    <w:name w:val="Para 53"/>
    <w:qFormat/>
    <w:basedOn w:val="Normal"/>
    <w:pPr>
      <w:spacing w:beforeLines="125"/>
      <w:ind w:hangingChars="125"/>
      <w:pBdr>
        <w:left w:val="none" w:sz="2" w:color="auto"/>
        <w:top w:val="none" w:sz="2" w:color="auto"/>
        <w:right w:val="none" w:sz="2" w:color="auto"/>
        <w:bottom w:val="none" w:sz="2" w:color="auto"/>
      </w:pBdr>
    </w:pPr>
    <w:rPr>
      <w:vertAlign w:val="baseline"/>
    </w:rPr>
  </w:style>
  <w:style w:styleId="Para 54" w:type="paragraph">
    <w:name w:val="Para 54"/>
    <w:qFormat/>
    <w:basedOn w:val="Normal"/>
    <w:pPr>
      <w:spacing w:beforeLines="50" w:afterLines="37" w:line="287" w:lineRule="atLeast"/>
      <w:pBdr>
        <w:left w:val="none" w:sz="2" w:color="auto"/>
        <w:top w:val="none" w:sz="2" w:color="auto"/>
        <w:right w:val="none" w:sz="2" w:color="auto"/>
        <w:bottom w:val="none" w:sz="2" w:color="auto"/>
      </w:pBdr>
      <w:jc w:val="left"/>
    </w:pPr>
    <w:rPr>
      <w:sz w:val="23"/>
      <w:szCs w:val="23"/>
      <w:vertAlign w:val="baseline"/>
    </w:rPr>
  </w:style>
  <w:style w:styleId="Para 55" w:type="paragraph">
    <w:name w:val="Para 55"/>
    <w:qFormat/>
    <w:basedOn w:val="Normal"/>
    <w:pPr>
      <w:spacing w:beforeLines="50" w:afterLines="18" w:line="336" w:lineRule="atLeast"/>
      <w:pBdr>
        <w:left w:val="none" w:sz="2" w:color="auto"/>
        <w:top w:val="none" w:sz="2" w:color="auto"/>
        <w:right w:val="none" w:sz="2" w:color="auto"/>
        <w:bottom w:val="none" w:sz="2" w:color="auto"/>
      </w:pBdr>
      <w:jc w:val="left"/>
    </w:pPr>
    <w:rPr>
      <w:sz w:val="28"/>
      <w:szCs w:val="28"/>
      <w:vertAlign w:val="baseline"/>
    </w:rPr>
  </w:style>
  <w:style w:styleId="Para 56" w:type="paragraph">
    <w:name w:val="Para 56"/>
    <w:qFormat/>
    <w:basedOn w:val="Normal"/>
    <w:pPr>
      <w:spacing w:beforeLines="75"/>
      <w:ind w:leftChars="125" w:hangingChars="125"/>
      <w:pBdr>
        <w:left w:val="none" w:sz="2" w:color="auto"/>
        <w:top w:val="none" w:sz="2" w:color="auto"/>
        <w:right w:val="none" w:sz="2" w:color="auto"/>
        <w:bottom w:val="none" w:sz="2" w:color="auto"/>
      </w:pBdr>
      <w:jc w:val="left"/>
    </w:pPr>
    <w:rPr>
      <w:i w:val="on"/>
      <w:iCs w:val="on"/>
      <w:vertAlign w:val="baseline"/>
    </w:rPr>
  </w:style>
  <w:style w:styleId="Para 57" w:type="paragraph">
    <w:name w:val="Para 57"/>
    <w:qFormat/>
    <w:basedOn w:val="Normal"/>
    <w:pPr>
      <w:jc w:val="left"/>
    </w:pPr>
    <w:rPr>
      <w:vertAlign w:val="baseline"/>
    </w:rPr>
  </w:style>
  <w:style w:styleId="Para 58" w:type="paragraph">
    <w:name w:val="Para 58"/>
    <w:qFormat/>
    <w:basedOn w:val="Normal"/>
    <w:pPr>
      <w:spacing w:beforeLines="75"/>
      <w:ind w:leftChars="125" w:hangingChars="125"/>
      <w:pBdr>
        <w:left w:val="none" w:sz="2" w:color="auto"/>
        <w:top w:val="none" w:sz="2" w:color="auto"/>
        <w:right w:val="none" w:sz="2" w:color="auto"/>
        <w:bottom w:val="none" w:sz="2" w:color="auto"/>
      </w:pBdr>
      <w:jc w:val="left"/>
    </w:pPr>
    <w:rPr>
      <w:color w:val="0000FF"/>
      <w:u w:val="solid"/>
      <w:vertAlign w:val="baseline"/>
    </w:rPr>
  </w:style>
  <w:style w:styleId="Para 59" w:type="paragraph">
    <w:name w:val="Para 59"/>
    <w:qFormat/>
    <w:basedOn w:val="Normal"/>
    <w:pPr>
      <w:spacing w:beforeLines="100" w:afterLines="100"/>
      <w:shd w:val="clear" w:color="auto" w:fill="FFFFFF"/>
      <w:pBdr>
        <w:left w:val="none" w:sz="2" w:color="auto"/>
        <w:top w:val="none" w:sz="2" w:color="auto"/>
        <w:right w:val="none" w:sz="2" w:color="auto"/>
        <w:bottom w:val="none" w:sz="2" w:color="auto"/>
      </w:pBdr>
      <w:jc w:val="left"/>
    </w:pPr>
    <w:rPr>
      <w:vertAlign w:val="baseline"/>
    </w:rPr>
  </w:style>
  <w:style w:styleId="Para 60" w:type="paragraph">
    <w:name w:val="Para 60"/>
    <w:qFormat/>
    <w:basedOn w:val="Normal"/>
    <w:pPr>
      <w:spacing w:beforeLines="50"/>
      <w:pBdr>
        <w:left w:val="none" w:sz="2" w:color="auto"/>
        <w:top w:val="none" w:sz="2" w:color="auto"/>
        <w:right w:val="none" w:sz="2" w:color="auto"/>
        <w:bottom w:val="none" w:sz="2" w:color="auto"/>
      </w:pBdr>
      <w:jc w:val="left"/>
    </w:pPr>
    <w:rPr>
      <w:i w:val="on"/>
      <w:iCs w:val="on"/>
      <w:vertAlign w:val="baseline"/>
    </w:rPr>
  </w:style>
  <w:style w:styleId="Para 61" w:type="paragraph">
    <w:name w:val="Para 61"/>
    <w:qFormat/>
    <w:basedOn w:val="Normal"/>
    <w:pPr>
      <w:jc w:val="left"/>
    </w:pPr>
    <w:rPr>
      <w:b w:val="on"/>
      <w:bCs w:val="on"/>
      <w:color w:val="003B59"/>
      <w:vertAlign w:val="subscript"/>
    </w:rPr>
  </w:style>
  <w:style w:styleId="Para 62" w:type="paragraph">
    <w:name w:val="Para 62"/>
    <w:qFormat/>
    <w:basedOn w:val="Normal"/>
    <w:pPr>
      <w:spacing w:beforeLines="50" w:afterLines="50"/>
      <w:shd w:val="clear" w:color="auto" w:fill="F3F3F4"/>
      <w:pBdr>
        <w:left w:val="none" w:sz="2" w:color="auto"/>
        <w:top w:val="none" w:sz="2" w:color="auto"/>
        <w:right w:val="none" w:sz="2" w:color="auto"/>
        <w:bottom w:val="none" w:sz="2" w:color="auto"/>
      </w:pBdr>
    </w:pPr>
    <w:rPr>
      <w:b w:val="on"/>
      <w:bCs w:val="on"/>
      <w:color w:val="231F20"/>
      <w:vertAlign w:val="baseline"/>
    </w:rPr>
  </w:style>
  <w:style w:styleId="Para 63" w:type="paragraph">
    <w:name w:val="Para 63"/>
    <w:qFormat/>
    <w:basedOn w:val="Normal"/>
    <w:pPr>
      <w:spacing w:line="384" w:lineRule="atLeast"/>
      <w:jc w:val="center"/>
    </w:pPr>
    <w:rPr>
      <w:vertAlign w:val="baseline"/>
    </w:rPr>
  </w:style>
  <w:style w:styleId="Para 64" w:type="paragraph">
    <w:name w:val="Para 64"/>
    <w:qFormat/>
    <w:basedOn w:val="Normal"/>
    <w:pPr>
      <w:spacing w:beforeLines="50" w:afterLines="50"/>
      <w:pBdr>
        <w:left w:val="none" w:sz="2" w:color="auto"/>
        <w:top w:val="none" w:sz="2" w:color="auto"/>
        <w:right w:val="none" w:sz="2" w:color="auto"/>
        <w:bottom w:val="none" w:sz="2" w:color="auto"/>
      </w:pBdr>
      <w:jc w:val="both"/>
    </w:pPr>
    <w:rPr>
      <w:b w:val="on"/>
      <w:bCs w:val="on"/>
      <w:i w:val="on"/>
      <w:iCs w:val="on"/>
      <w:color w:val="231F20"/>
      <w:vertAlign w:val="baseline"/>
    </w:rPr>
  </w:style>
  <w:style w:styleId="Para 65" w:type="paragraph">
    <w:name w:val="Para 65"/>
    <w:qFormat/>
    <w:basedOn w:val="Normal"/>
    <w:pPr>
      <w:spacing w:beforeLines="50" w:afterLines="50"/>
      <w:shd w:val="clear" w:color="auto" w:fill="F3F3F4"/>
      <w:pBdr>
        <w:left w:space="22" w:val="single" w:sz="2" w:color="19739C"/>
        <w:top w:space="6" w:val="single" w:sz="2" w:color="19739C"/>
        <w:right w:space="22" w:val="single" w:sz="2" w:color="19739C"/>
        <w:bottom w:space="3" w:val="single" w:sz="2" w:color="19739C"/>
      </w:pBdr>
      <w:jc w:val="left"/>
    </w:pPr>
    <w:rPr>
      <w:vertAlign w:val="baseline"/>
    </w:rPr>
  </w:style>
  <w:style w:styleId="Para 66" w:type="paragraph">
    <w:name w:val="Para 66"/>
    <w:qFormat/>
    <w:basedOn w:val="Normal"/>
    <w:pPr>
      <w:spacing w:beforeLines="50" w:afterLines="50"/>
      <w:shd w:val="clear" w:color="auto" w:fill="F3F3F4"/>
      <w:pBdr>
        <w:left w:val="none" w:sz="2" w:color="auto"/>
        <w:top w:val="none" w:sz="2" w:color="auto"/>
        <w:right w:val="none" w:sz="2" w:color="auto"/>
        <w:bottom w:val="none" w:sz="2" w:color="auto"/>
      </w:pBdr>
    </w:pPr>
    <w:rPr>
      <w:vertAlign w:val="baseline"/>
    </w:rPr>
  </w:style>
  <w:style w:styleId="Para 67" w:type="paragraph">
    <w:name w:val="Para 67"/>
    <w:qFormat/>
    <w:basedOn w:val="Normal"/>
    <w:pPr>
      <w:spacing w:beforeLines="50" w:afterLines="50"/>
      <w:pBdr>
        <w:left w:val="none" w:sz="2" w:color="auto"/>
        <w:top w:val="none" w:sz="2" w:color="auto"/>
        <w:right w:val="none" w:sz="2" w:color="auto"/>
        <w:bottom w:val="none" w:sz="2" w:color="auto"/>
      </w:pBdr>
      <w:jc w:val="left"/>
    </w:pPr>
    <w:rPr>
      <w:b w:val="on"/>
      <w:bCs w:val="on"/>
      <w:vertAlign w:val="baseline"/>
    </w:rPr>
  </w:style>
  <w:style w:styleId="Para 68" w:type="paragraph">
    <w:name w:val="Para 68"/>
    <w:qFormat/>
    <w:basedOn w:val="Normal"/>
    <w:pPr>
      <w:spacing w:line="384" w:lineRule="atLeast"/>
      <w:jc w:val="center"/>
    </w:pPr>
    <w:rPr>
      <w:b w:val="on"/>
      <w:bCs w:val="on"/>
      <w:color w:val="003B59"/>
      <w:vertAlign w:val="baseline"/>
    </w:rPr>
  </w:style>
  <w:style w:styleId="Para 69" w:type="paragraph">
    <w:name w:val="Para 69"/>
    <w:qFormat/>
    <w:basedOn w:val="Normal"/>
    <w:pPr>
      <w:spacing w:beforeLines="100" w:afterLines="50" w:line="480" w:lineRule="atLeast"/>
      <w:pBdr>
        <w:left w:val="none" w:sz="2" w:color="auto"/>
        <w:top w:val="none" w:sz="2" w:color="auto"/>
        <w:right w:val="none" w:sz="2" w:color="auto"/>
        <w:bottom w:val="none" w:sz="2" w:color="auto"/>
      </w:pBdr>
      <w:jc w:val="left"/>
    </w:pPr>
    <w:rPr>
      <w:rFonts w:ascii="Candara" w:cs="Candara" w:eastAsia="Candara" w:hAnsi="Candara"/>
      <w:sz w:val="40"/>
      <w:szCs w:val="40"/>
      <w:b w:val="on"/>
      <w:bCs w:val="on"/>
      <w:vertAlign w:val="baseline"/>
    </w:rPr>
  </w:style>
  <w:style w:styleId="Para 70" w:type="paragraph">
    <w:name w:val="Para 70"/>
    <w:qFormat/>
    <w:basedOn w:val="Normal"/>
    <w:pPr>
      <w:jc w:val="right"/>
    </w:pPr>
    <w:rPr>
      <w:b w:val="on"/>
      <w:bCs w:val="on"/>
      <w:i w:val="on"/>
      <w:iCs w:val="on"/>
      <w:color w:val="003B59"/>
      <w:vertAlign w:val="baseline"/>
    </w:rPr>
  </w:style>
  <w:style w:styleId="Para 71" w:type="paragraph">
    <w:name w:val="Para 71"/>
    <w:qFormat/>
    <w:basedOn w:val="Normal"/>
    <w:pPr>
      <w:spacing w:beforeLines="50" w:afterLines="18" w:line="336" w:lineRule="atLeast"/>
      <w:pBdr>
        <w:left w:val="none" w:sz="2" w:color="auto"/>
        <w:top w:val="none" w:sz="2" w:color="auto"/>
        <w:right w:val="none" w:sz="2" w:color="auto"/>
        <w:bottom w:val="none" w:sz="2" w:color="auto"/>
      </w:pBdr>
      <w:jc w:val="left"/>
    </w:pPr>
    <w:rPr>
      <w:sz w:val="28"/>
      <w:szCs w:val="28"/>
      <w:i w:val="on"/>
      <w:iCs w:val="on"/>
      <w:vertAlign w:val="baseline"/>
    </w:rPr>
  </w:style>
  <w:style w:styleId="Para 72" w:type="paragraph">
    <w:name w:val="Para 72"/>
    <w:qFormat/>
    <w:basedOn w:val="Normal"/>
    <w:pPr>
      <w:ind w:hangingChars="125"/>
      <w:pBdr>
        <w:left w:space="20" w:val="none" w:sz="2" w:color="auto"/>
        <w:top w:val="none" w:sz="2" w:color="auto"/>
        <w:right w:val="none" w:sz="2" w:color="auto"/>
        <w:bottom w:val="none" w:sz="2" w:color="auto"/>
      </w:pBdr>
      <w:jc w:val="left"/>
    </w:pPr>
    <w:rPr>
      <w:vertAlign w:val="baseline"/>
    </w:rPr>
  </w:style>
  <w:style w:styleId="Para 73" w:type="paragraph">
    <w:name w:val="Para 73"/>
    <w:qFormat/>
    <w:basedOn w:val="Normal"/>
    <w:pPr>
      <w:spacing w:beforeLines="125" w:line="528" w:lineRule="atLeast"/>
      <w:pBdr>
        <w:left w:val="none" w:sz="2" w:color="auto"/>
        <w:top w:val="none" w:sz="2" w:color="auto"/>
        <w:right w:val="none" w:sz="2" w:color="auto"/>
        <w:bottom w:val="none" w:sz="2" w:color="auto"/>
      </w:pBdr>
      <w:jc w:val="left"/>
    </w:pPr>
    <w:rPr>
      <w:rFonts w:ascii="Candara" w:cs="Candara" w:eastAsia="Candara" w:hAnsi="Candara"/>
      <w:sz w:val="44"/>
      <w:szCs w:val="44"/>
      <w:b w:val="on"/>
      <w:bCs w:val="on"/>
      <w:vertAlign w:val="baseline"/>
    </w:rPr>
  </w:style>
  <w:style w:styleId="Para 74" w:type="paragraph">
    <w:name w:val="Para 74"/>
    <w:qFormat/>
    <w:basedOn w:val="Normal"/>
    <w:pPr>
      <w:spacing w:beforeLines="225" w:afterLines="31" w:line="576" w:lineRule="atLeast"/>
      <w:pBdr>
        <w:left w:val="none" w:sz="2" w:color="auto"/>
        <w:top w:val="none" w:sz="2" w:color="auto"/>
        <w:right w:val="none" w:sz="2" w:color="auto"/>
        <w:bottom w:val="none" w:sz="2" w:color="auto"/>
      </w:pBdr>
      <w:jc w:val="left"/>
    </w:pPr>
    <w:rPr>
      <w:rFonts w:ascii="Candara" w:cs="Candara" w:eastAsia="Candara" w:hAnsi="Candara"/>
      <w:sz w:val="48"/>
      <w:szCs w:val="48"/>
      <w:b w:val="on"/>
      <w:bCs w:val="on"/>
      <w:vertAlign w:val="baseline"/>
    </w:rPr>
  </w:style>
  <w:style w:styleId="Para 75" w:type="paragraph">
    <w:name w:val="Para 75"/>
    <w:qFormat/>
    <w:basedOn w:val="Normal"/>
    <w:pPr>
      <w:spacing w:beforeLines="150" w:afterLines="31" w:line="528" w:lineRule="atLeast"/>
      <w:pBdr>
        <w:left w:val="none" w:sz="2" w:color="auto"/>
        <w:top w:val="none" w:sz="2" w:color="auto"/>
        <w:right w:val="none" w:sz="2" w:color="auto"/>
        <w:bottom w:val="none" w:sz="2" w:color="auto"/>
      </w:pBdr>
      <w:jc w:val="left"/>
    </w:pPr>
    <w:rPr>
      <w:rFonts w:ascii="Candara" w:cs="Candara" w:eastAsia="Candara" w:hAnsi="Candara"/>
      <w:sz w:val="44"/>
      <w:szCs w:val="44"/>
      <w:b w:val="on"/>
      <w:bCs w:val="on"/>
      <w:vertAlign w:val="baseline"/>
    </w:rPr>
  </w:style>
  <w:style w:styleId="Para 76" w:type="paragraph">
    <w:name w:val="Para 76"/>
    <w:qFormat/>
    <w:basedOn w:val="Normal"/>
    <w:pPr>
      <w:spacing w:beforeLines="125"/>
      <w:pBdr>
        <w:left w:val="none" w:sz="2" w:color="auto"/>
        <w:top w:val="none" w:sz="2" w:color="auto"/>
        <w:right w:val="none" w:sz="2" w:color="auto"/>
        <w:bottom w:val="none" w:sz="2" w:color="auto"/>
      </w:pBdr>
      <w:jc w:val="left"/>
    </w:pPr>
    <w:rPr>
      <w:b w:val="on"/>
      <w:bCs w:val="on"/>
      <w:vertAlign w:val="baseline"/>
    </w:rPr>
  </w:style>
  <w:style w:styleId="Para 77" w:type="paragraph">
    <w:name w:val="Para 77"/>
    <w:qFormat/>
    <w:basedOn w:val="Normal"/>
    <w:pPr>
      <w:spacing w:beforeLines="50" w:afterLines="50"/>
      <w:pBdr>
        <w:left w:val="none" w:sz="2" w:color="auto"/>
        <w:top w:val="none" w:sz="2" w:color="auto"/>
        <w:right w:val="none" w:sz="2" w:color="auto"/>
        <w:bottom w:val="none" w:sz="2" w:color="auto"/>
      </w:pBdr>
      <w:jc w:val="left"/>
    </w:pPr>
    <w:rPr>
      <w:color w:val="0000FF"/>
      <w:u w:val="solid"/>
      <w:vertAlign w:val="baseline"/>
    </w:rPr>
  </w:style>
  <w:style w:styleId="Para 78" w:type="paragraph">
    <w:name w:val="Para 78"/>
    <w:qFormat/>
    <w:basedOn w:val="Normal"/>
    <w:pPr>
      <w:spacing w:beforeLines="62" w:afterLines="62"/>
      <w:pBdr>
        <w:left w:val="none" w:sz="2" w:color="auto"/>
        <w:top w:val="none" w:sz="2" w:color="auto"/>
        <w:right w:val="none" w:sz="2" w:color="auto"/>
        <w:bottom w:val="none" w:sz="2" w:color="auto"/>
      </w:pBdr>
    </w:pPr>
    <w:rPr>
      <w:vertAlign w:val="baseline"/>
    </w:rPr>
  </w:style>
  <w:style w:styleId="Para 79" w:type="paragraph">
    <w:name w:val="Para 79"/>
    <w:qFormat/>
    <w:basedOn w:val="Normal"/>
    <w:pPr>
      <w:spacing w:beforeLines="50" w:afterLines="37" w:line="287" w:lineRule="atLeast"/>
      <w:pBdr>
        <w:left w:val="none" w:sz="2" w:color="auto"/>
        <w:top w:val="none" w:sz="2" w:color="auto"/>
        <w:right w:val="none" w:sz="2" w:color="auto"/>
        <w:bottom w:val="none" w:sz="2" w:color="auto"/>
      </w:pBdr>
      <w:jc w:val="left"/>
    </w:pPr>
    <w:rPr>
      <w:sz w:val="23"/>
      <w:szCs w:val="23"/>
      <w:b w:val="on"/>
      <w:bCs w:val="on"/>
      <w:i w:val="on"/>
      <w:iCs w:val="on"/>
      <w:vertAlign w:val="baseline"/>
    </w:rPr>
  </w:style>
  <w:style w:styleId="Para 80" w:type="paragraph">
    <w:name w:val="Para 80"/>
    <w:qFormat/>
    <w:basedOn w:val="Normal"/>
    <w:pPr>
      <w:spacing w:beforeLines="62" w:afterLines="50" w:line="431" w:lineRule="atLeast"/>
      <w:pBdr>
        <w:left w:val="none" w:sz="2" w:color="auto"/>
        <w:top w:val="none" w:sz="2" w:color="auto"/>
        <w:right w:val="none" w:sz="2" w:color="auto"/>
        <w:bottom w:val="none" w:sz="2" w:color="auto"/>
      </w:pBdr>
    </w:pPr>
    <w:rPr>
      <w:rFonts w:ascii="Candara" w:cs="Candara" w:eastAsia="Candara" w:hAnsi="Candara"/>
      <w:sz w:val="36"/>
      <w:szCs w:val="36"/>
      <w:b w:val="on"/>
      <w:bCs w:val="on"/>
      <w:color w:val="221E1F"/>
      <w:vertAlign w:val="baseline"/>
    </w:rPr>
  </w:style>
  <w:style w:styleId="Para 81" w:type="paragraph">
    <w:name w:val="Para 81"/>
    <w:qFormat/>
    <w:basedOn w:val="Normal"/>
    <w:pPr>
      <w:spacing w:beforeLines="50" w:afterLines="50"/>
      <w:pBdr>
        <w:left w:val="none" w:sz="2" w:color="auto"/>
        <w:top w:val="none" w:sz="2" w:color="auto"/>
        <w:right w:val="none" w:sz="2" w:color="auto"/>
        <w:bottom w:val="none" w:sz="2" w:color="auto"/>
      </w:pBdr>
    </w:pPr>
    <w:rPr>
      <w:u w:val="solid"/>
      <w:vertAlign w:val="baseline"/>
    </w:rPr>
  </w:style>
  <w:style w:styleId="Para 82" w:type="paragraph">
    <w:name w:val="Para 82"/>
    <w:qFormat/>
    <w:basedOn w:val="Normal"/>
    <w:pPr>
      <w:spacing w:line="384" w:lineRule="atLeast"/>
      <w:jc w:val="center"/>
    </w:pPr>
    <w:rPr>
      <w:b w:val="on"/>
      <w:bCs w:val="on"/>
      <w:i w:val="on"/>
      <w:iCs w:val="on"/>
      <w:color w:val="0000FF"/>
      <w:u w:val="solid"/>
      <w:vertAlign w:val="baseline"/>
    </w:rPr>
  </w:style>
  <w:style w:styleId="Para 83" w:type="paragraph">
    <w:name w:val="Para 83"/>
    <w:qFormat/>
    <w:basedOn w:val="Normal"/>
    <w:pPr>
      <w:spacing w:beforeLines="200" w:afterLines="100"/>
      <w:shd w:val="clear" w:color="auto" w:fill="FFFFFF"/>
      <w:pBdr>
        <w:left w:val="none" w:sz="2" w:color="auto"/>
        <w:top w:val="none" w:sz="2" w:color="auto"/>
        <w:right w:val="none" w:sz="2" w:color="auto"/>
        <w:bottom w:val="none" w:sz="2" w:color="auto"/>
      </w:pBdr>
      <w:jc w:val="left"/>
    </w:pPr>
    <w:rPr>
      <w:rFonts w:ascii="Candara" w:cs="Candara" w:eastAsia="Candara" w:hAnsi="Candara"/>
      <w:b w:val="on"/>
      <w:bCs w:val="on"/>
      <w:color w:val="776D3D"/>
      <w:vertAlign w:val="baseline"/>
    </w:rPr>
  </w:style>
  <w:style w:styleId="Para 84" w:type="paragraph">
    <w:name w:val="Para 84"/>
    <w:qFormat/>
    <w:basedOn w:val="Normal"/>
    <w:pPr>
      <w:spacing w:beforeLines="0" w:afterLines="50"/>
      <w:ind w:leftChars="0" w:rightChars="0"/>
      <w:shd w:val="clear" w:color="auto" w:fill="003B59"/>
      <w:pBdr>
        <w:left w:space="8" w:val="none" w:sz="2" w:color="auto"/>
        <w:top w:space="8" w:val="none" w:sz="2" w:color="auto"/>
        <w:right w:space="8" w:val="none" w:sz="2" w:color="auto"/>
        <w:bottom w:space="8" w:val="none" w:sz="2" w:color="auto"/>
      </w:pBdr>
    </w:pPr>
    <w:rPr>
      <w:b w:val="on"/>
      <w:bCs w:val="on"/>
      <w:color w:val="0000FF"/>
      <w:u w:val="solid"/>
      <w:caps w:val="on"/>
      <w:vertAlign w:val="baseline"/>
    </w:rPr>
  </w:style>
  <w:style w:styleId="Para 85" w:type="paragraph">
    <w:name w:val="Para 85"/>
    <w:qFormat/>
    <w:basedOn w:val="Normal"/>
    <w:pPr>
      <w:spacing w:beforeLines="100" w:afterLines="0"/>
      <w:shd w:val="clear" w:color="auto" w:fill="007099"/>
      <w:pBdr>
        <w:left w:space="8" w:val="none" w:sz="2" w:color="auto"/>
        <w:top w:space="8" w:val="none" w:sz="2" w:color="auto"/>
        <w:right w:space="8" w:val="none" w:sz="2" w:color="auto"/>
        <w:bottom w:space="4" w:val="none" w:sz="2" w:color="auto"/>
      </w:pBdr>
    </w:pPr>
    <w:rPr>
      <w:b w:val="on"/>
      <w:bCs w:val="on"/>
      <w:color w:val="FCFCFC"/>
      <w:vertAlign w:val="baseline"/>
    </w:rPr>
  </w:style>
  <w:style w:styleId="Para 86" w:type="paragraph">
    <w:name w:val="Para 86"/>
    <w:qFormat/>
    <w:basedOn w:val="Normal"/>
    <w:pPr>
      <w:spacing w:beforeLines="62" w:afterLines="50" w:line="431" w:lineRule="atLeast"/>
      <w:shd w:val="clear" w:color="auto" w:fill="FFFFFF"/>
      <w:pBdr>
        <w:left w:val="none" w:sz="2" w:color="auto"/>
        <w:top w:val="none" w:sz="2" w:color="auto"/>
        <w:right w:val="none" w:sz="2" w:color="auto"/>
        <w:bottom w:val="none" w:sz="2" w:color="auto"/>
      </w:pBdr>
      <w:jc w:val="left"/>
    </w:pPr>
    <w:rPr>
      <w:rFonts w:ascii="Candara" w:cs="Candara" w:eastAsia="Candara" w:hAnsi="Candara"/>
      <w:sz w:val="36"/>
      <w:szCs w:val="36"/>
      <w:b w:val="on"/>
      <w:bCs w:val="on"/>
      <w:color w:val="017252"/>
      <w:caps w:val="on"/>
      <w:vertAlign w:val="baseline"/>
    </w:rPr>
  </w:style>
  <w:style w:styleId="Para 87" w:type="paragraph">
    <w:name w:val="Para 87"/>
    <w:qFormat/>
    <w:basedOn w:val="Normal"/>
    <w:pPr>
      <w:spacing w:line="384" w:lineRule="atLeast"/>
      <w:jc w:val="center"/>
    </w:pPr>
    <w:rPr>
      <w:b w:val="on"/>
      <w:bCs w:val="on"/>
      <w:i w:val="on"/>
      <w:iCs w:val="on"/>
      <w:vertAlign w:val="baseline"/>
    </w:rPr>
  </w:style>
  <w:style w:styleId="Para 88" w:type="paragraph">
    <w:name w:val="Para 88"/>
    <w:qFormat/>
    <w:basedOn w:val="Normal"/>
    <w:pPr>
      <w:spacing w:beforeLines="68" w:afterLines="12"/>
      <w:pBdr>
        <w:left w:val="none" w:sz="2" w:color="auto"/>
        <w:top w:val="none" w:sz="2" w:color="auto"/>
        <w:right w:val="none" w:sz="2" w:color="auto"/>
        <w:bottom w:val="none" w:sz="2" w:color="auto"/>
      </w:pBdr>
      <w:jc w:val="both"/>
    </w:pPr>
    <w:rPr>
      <w:color w:val="343434"/>
      <w:vertAlign w:val="baseline"/>
    </w:rPr>
  </w:style>
  <w:style w:styleId="Para 89" w:type="paragraph">
    <w:name w:val="Para 89"/>
    <w:qFormat/>
    <w:basedOn w:val="Normal"/>
    <w:pPr>
      <w:spacing w:beforeLines="62" w:afterLines="62"/>
      <w:shd w:val="clear" w:color="auto" w:fill="FFFFFF"/>
      <w:pBdr>
        <w:left w:val="none" w:sz="2" w:color="auto"/>
        <w:top w:val="none" w:sz="2" w:color="auto"/>
        <w:right w:val="none" w:sz="2" w:color="auto"/>
        <w:bottom w:val="none" w:sz="2" w:color="auto"/>
      </w:pBdr>
    </w:pPr>
    <w:rPr>
      <w:vertAlign w:val="baseline"/>
    </w:rPr>
  </w:style>
  <w:style w:styleId="Text0" w:type="character">
    <w:name w:val="00 Text"/>
    <w:rPr>
      <w:i w:val="on"/>
      <w:iCs w:val="on"/>
    </w:rPr>
  </w:style>
  <w:style w:styleId="Text1" w:type="character">
    <w:name w:val="01 Text"/>
    <w:rPr>
      <w:color w:val="0000FF"/>
      <w:u w:color="auto" w:val="solid"/>
    </w:rPr>
  </w:style>
  <w:style w:styleId="Text2" w:type="character">
    <w:name w:val="02 Text"/>
    <w:rPr>
      <w:caps w:val="on"/>
    </w:rPr>
  </w:style>
  <w:style w:styleId="Text3" w:type="character">
    <w:name w:val="03 Text"/>
    <w:rPr>
      <w:color w:val="0000FF"/>
      <w:u w:color="auto" w:val="solid"/>
      <w:caps w:val="on"/>
    </w:rPr>
  </w:style>
  <w:style w:styleId="Text4" w:type="character">
    <w:name w:val="04 Text"/>
    <w:rPr>
      <w:color w:val="000000"/>
      <w:u w:val="none"/>
    </w:rPr>
  </w:style>
  <w:style w:styleId="Text5" w:type="character">
    <w:name w:val="05 Text"/>
    <w:rPr>
      <w:b w:val="on"/>
      <w:bCs w:val="on"/>
    </w:rPr>
  </w:style>
  <w:style w:styleId="Text6" w:type="character">
    <w:name w:val="06 Text"/>
    <w:rPr>
      <w:sz w:val="28"/>
      <w:szCs w:val="28"/>
      <w:vertAlign w:val="subscript"/>
    </w:rPr>
  </w:style>
  <w:style w:styleId="Text7" w:type="character">
    <w:name w:val="07 Text"/>
    <w:rPr>
      <w:sz w:val="28"/>
      <w:szCs w:val="28"/>
      <w:color w:val="0000FF"/>
      <w:u w:color="auto" w:val="solid"/>
      <w:vertAlign w:val="superscript"/>
    </w:rPr>
  </w:style>
  <w:style w:styleId="Text8" w:type="character">
    <w:name w:val="08 Text"/>
    <w:rPr>
      <w:i w:val="on"/>
      <w:iCs w:val="on"/>
      <w:color w:val="000000"/>
      <w:u w:val="none"/>
    </w:rPr>
  </w:style>
  <w:style w:styleId="Text9" w:type="character">
    <w:name w:val="09 Text"/>
    <w:rPr>
      <w:rFonts w:ascii="Cambria" w:cs="Cambria" w:eastAsia="Cambria" w:hAnsi="Cambria"/>
      <w:b w:val="on"/>
      <w:bCs w:val="on"/>
      <w:color w:val="000000"/>
    </w:rPr>
  </w:style>
  <w:style w:styleId="Text10" w:type="character">
    <w:name w:val="10 Text"/>
    <w:rPr>
      <w:b w:val="on"/>
      <w:bCs w:val="on"/>
      <w:vertAlign w:val="baseline"/>
    </w:rPr>
  </w:style>
  <w:style w:styleId="Text11" w:type="character">
    <w:name w:val="11 Text"/>
    <w:rPr>
      <w:i w:val="on"/>
      <w:iCs w:val="on"/>
      <w:color w:val="0000FF"/>
      <w:u w:color="auto" w:val="solid"/>
    </w:rPr>
  </w:style>
  <w:style w:styleId="Text12" w:type="character">
    <w:name w:val="12 Text"/>
    <w:rPr>
      <w:color w:val="0000FF"/>
      <w:u w:color="auto" w:val="solid"/>
      <w:vertAlign w:val="baseline"/>
    </w:rPr>
  </w:style>
  <w:style w:styleId="Text13" w:type="character">
    <w:name w:val="13 Text"/>
    <w:rPr>
      <w:sz w:val="28"/>
      <w:szCs w:val="28"/>
      <w:vertAlign w:val="superscript"/>
    </w:rPr>
  </w:style>
  <w:style w:styleId="Text14" w:type="character">
    <w:name w:val="14 Text"/>
    <w:rPr>
      <w:sz w:val="28"/>
      <w:szCs w:val="28"/>
    </w:rPr>
  </w:style>
  <w:style w:styleId="Text15" w:type="character">
    <w:name w:val="15 Text"/>
    <w:rPr>
      <w:i w:val="on"/>
      <w:iCs w:val="on"/>
      <w:vertAlign w:val="superscript"/>
    </w:rPr>
  </w:style>
  <w:style w:styleId="Text16" w:type="character">
    <w:name w:val="16 Text"/>
    <w:rPr>
      <w:color w:val="434343"/>
    </w:rPr>
  </w:style>
  <w:style w:styleId="Text17" w:type="character">
    <w:name w:val="17 Text"/>
    <w:rPr>
      <w:u w:val="none"/>
    </w:rPr>
  </w:style>
  <w:style w:styleId="Text18" w:type="character">
    <w:name w:val="18 Text"/>
    <w:rPr>
      <w:i w:val="on"/>
      <w:iCs w:val="on"/>
      <w:vertAlign w:val="subscript"/>
    </w:rPr>
  </w:style>
  <w:style w:styleId="Text19" w:type="character">
    <w:name w:val="19 Text"/>
    <w:rPr>
      <w:b w:val="on"/>
      <w:bCs w:val="on"/>
      <w:i w:val="on"/>
      <w:iCs w:val="on"/>
    </w:rPr>
  </w:style>
  <w:style w:styleId="Text20" w:type="character">
    <w:name w:val="20 Text"/>
    <w:rPr>
      <w:i w:val="on"/>
      <w:iCs w:val="on"/>
      <w:vertAlign w:val="baseline"/>
    </w:rPr>
  </w:style>
  <w:style w:styleId="Text21" w:type="character">
    <w:name w:val="21 Text"/>
    <w:rPr>
      <w:vertAlign w:val="baseline"/>
    </w:rPr>
  </w:style>
  <w:style w:styleId="Text22" w:type="character">
    <w:name w:val="22 Text"/>
    <w:rPr>
      <w:sz w:val="23"/>
      <w:szCs w:val="23"/>
      <w:vertAlign w:val="superscript"/>
    </w:rPr>
  </w:style>
  <w:style w:styleId="Text23" w:type="character">
    <w:name w:val="23 Text"/>
    <w:rPr>
      <w:sz w:val="28"/>
      <w:szCs w:val="28"/>
      <w:i w:val="on"/>
      <w:iCs w:val="on"/>
      <w:vertAlign w:val="superscript"/>
    </w:rPr>
  </w:style>
  <w:style w:styleId="Text24" w:type="character">
    <w:name w:val="24 Text"/>
    <w:rPr>
      <w:color w:val="FF0000"/>
    </w:rPr>
  </w:style>
  <w:style w:styleId="Text25" w:type="character">
    <w:name w:val="25 Text"/>
    <w:rPr>
      <w:sz w:val="28"/>
      <w:szCs w:val="28"/>
      <w:color w:val="0000FF"/>
      <w:u w:color="auto" w:val="solid"/>
    </w:rPr>
  </w:style>
  <w:style w:styleId="Text26" w:type="character">
    <w:name w:val="26 Text"/>
    <w:rPr>
      <w:sz w:val="24"/>
      <w:szCs w:val="24"/>
      <w:color w:val="B4B4B4"/>
    </w:rPr>
  </w:style>
  <w:style w:styleId="Text27" w:type="character">
    <w:name w:val="27 Text"/>
    <w:rPr>
      <w:sz w:val="31"/>
      <w:szCs w:val="31"/>
      <w:color w:val="B4B4B4"/>
    </w:rPr>
  </w:style>
  <w:style w:styleId="Text28" w:type="character">
    <w:name w:val="28 Text"/>
    <w:rPr>
      <w:color w:val="B4B4B4"/>
    </w:rPr>
  </w:style>
  <w:style w:styleId="Text29" w:type="character">
    <w:name w:val="29 Text"/>
    <w:rPr>
      <w:color w:val="0000FF"/>
      <w:caps w:val="on"/>
    </w:rPr>
  </w:style>
  <w:style w:styleId="Text30" w:type="character">
    <w:name w:val="30 Text"/>
    <w:rPr>
      <w:sz w:val="24"/>
      <w:szCs w:val="24"/>
      <w:color w:val="B4B4B4"/>
      <w:vertAlign w:val="baseline"/>
    </w:rPr>
  </w:style>
  <w:style w:styleId="Text31" w:type="character">
    <w:name w:val="31 Text"/>
    <w:rPr>
      <w:color w:val="0000FF"/>
    </w:rPr>
  </w:style>
  <w:style w:styleId="Text32" w:type="character">
    <w:name w:val="32 Text"/>
    <w:rPr>
      <w:sz w:val="31"/>
      <w:szCs w:val="31"/>
      <w:color w:val="B4B4B4"/>
      <w:caps w:val="on"/>
    </w:rPr>
  </w:style>
  <w:style w:styleId="Text33" w:type="character">
    <w:name w:val="33 Text"/>
    <w:rPr>
      <w:sz w:val="24"/>
      <w:szCs w:val="24"/>
      <w:i w:val="on"/>
      <w:iCs w:val="on"/>
      <w:color w:val="B4B4B4"/>
    </w:rPr>
  </w:style>
  <w:style w:styleId="0 Block" w:type="paragraph">
    <w:name w:val="0 Block"/>
    <w:pPr>
      <w:spacing w:beforeLines="62" w:afterLines="62" w:line="384" w:lineRule="atLeast"/>
      <w:shd w:val="clear" w:color="auto" w:fill="FFFFFF"/>
      <w:jc w:val="center"/>
    </w:pPr>
  </w:style>
  <w:style w:styleId="1 Block" w:type="paragraph">
    <w:name w:val="1 Block"/>
    <w:basedOn w:val="0 Block"/>
    <w:pPr>
      <w:spacing w:beforeLines="50" w:after="0"/>
      <w:jc w:val="left"/>
    </w:pPr>
  </w:style>
  <w:style w:styleId="2 Block" w:type="paragraph">
    <w:name w:val="2 Block"/>
    <w:basedOn w:val="0 Block"/>
    <w:pPr>
      <w:spacing w:before="0" w:after="0"/>
      <w:shd w:val="clear" w:color="auto" w:fill="auto"/>
      <w:jc w:val="left"/>
    </w:pPr>
  </w:style>
  <w:style w:styleId="3 Block" w:type="paragraph">
    <w:name w:val="3 Block"/>
    <w:basedOn w:val="0 Block"/>
    <w:pPr>
      <w:spacing w:before="0" w:after="0"/>
      <w:shd w:val="clear" w:color="auto" w:fill="auto"/>
      <w:pBdr>
        <w:left w:val="none" w:sz="0" w:color="auto"/>
        <w:top w:val="none" w:sz="0" w:color="auto"/>
        <w:right w:val="none" w:sz="0" w:color="auto"/>
        <w:bottom w:val="none" w:sz="0" w:color="auto"/>
      </w:pBdr>
      <w:jc w:val="right"/>
    </w:pPr>
  </w:style>
  <w:style w:styleId="4 Block" w:type="paragraph">
    <w:name w:val="4 Block"/>
    <w:basedOn w:val="0 Block"/>
    <w:pPr>
      <w:spacing w:beforeLines="50" w:afterLines="50"/>
      <w:shd w:val="clear" w:color="auto" w:fill="auto"/>
      <w:jc w:val="left"/>
    </w:pPr>
  </w:style>
  <w:style w:styleId="5 Block" w:type="paragraph">
    <w:name w:val="5 Block"/>
    <w:basedOn w:val="0 Block"/>
    <w:pPr>
      <w:spacing w:before="0" w:after="0"/>
      <w:shd w:val="clear" w:color="auto" w:fill="auto"/>
      <w:pBdr>
        <w:left w:val="none" w:sz="0" w:color="auto"/>
        <w:top w:val="none" w:sz="0" w:color="auto"/>
        <w:right w:val="none" w:sz="0" w:color="auto"/>
        <w:bottom w:val="none" w:sz="0" w:color="auto"/>
      </w:pBdr>
      <w:jc w:val="left"/>
    </w:pPr>
  </w:style>
  <w:style w:styleId="6 Block" w:type="paragraph">
    <w:name w:val="6 Block"/>
    <w:basedOn w:val="0 Block"/>
    <w:pPr>
      <w:spacing w:beforeLines="50" w:after="0"/>
      <w:shd w:val="clear" w:color="auto" w:fill="auto"/>
      <w:jc w:val="left"/>
    </w:pPr>
  </w:style>
  <w:style w:styleId="7 Block" w:type="paragraph">
    <w:name w:val="7 Block"/>
    <w:basedOn w:val="0 Block"/>
    <w:pPr>
      <w:spacing w:before="0" w:after="0"/>
      <w:shd w:val="clear" w:color="auto" w:fill="auto"/>
      <w:pBdr>
        <w:left w:val="none" w:sz="0" w:color="auto"/>
        <w:top w:val="none" w:sz="0" w:color="auto"/>
        <w:right w:val="none" w:sz="0" w:color="auto"/>
        <w:bottom w:val="none" w:sz="0" w:color="auto"/>
      </w:pBdr>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Wiley_Wordmark_black.png"/><Relationship Id="rId6" Type="http://schemas.openxmlformats.org/officeDocument/2006/relationships/image" Target="media/c01f001.png"/><Relationship Id="rId7" Type="http://schemas.openxmlformats.org/officeDocument/2006/relationships/image" Target="media/c01f002.png"/><Relationship Id="rId8" Type="http://schemas.openxmlformats.org/officeDocument/2006/relationships/image" Target="media/c02f001.png"/><Relationship Id="rId9" Type="http://schemas.openxmlformats.org/officeDocument/2006/relationships/image" Target="media/c02f002.png"/><Relationship Id="rId10" Type="http://schemas.openxmlformats.org/officeDocument/2006/relationships/image" Target="media/c03f001.png"/><Relationship Id="rId11" Type="http://schemas.openxmlformats.org/officeDocument/2006/relationships/image" Target="media/c03uf001.png"/><Relationship Id="rId12" Type="http://schemas.openxmlformats.org/officeDocument/2006/relationships/image" Target="media/c03uf002.png"/><Relationship Id="rId13" Type="http://schemas.openxmlformats.org/officeDocument/2006/relationships/image" Target="media/c04f001.png"/><Relationship Id="rId14" Type="http://schemas.openxmlformats.org/officeDocument/2006/relationships/image" Target="media/c04f002.png"/><Relationship Id="rId15" Type="http://schemas.openxmlformats.org/officeDocument/2006/relationships/image" Target="media/c04f003.png"/><Relationship Id="rId16" Type="http://schemas.openxmlformats.org/officeDocument/2006/relationships/image" Target="media/c04f004.png"/><Relationship Id="rId17" Type="http://schemas.openxmlformats.org/officeDocument/2006/relationships/image" Target="media/c04f005.png"/><Relationship Id="rId18" Type="http://schemas.openxmlformats.org/officeDocument/2006/relationships/image" Target="media/c05f001.png"/><Relationship Id="rId19" Type="http://schemas.openxmlformats.org/officeDocument/2006/relationships/image" Target="media/c05f002.png"/><Relationship Id="rId20" Type="http://schemas.openxmlformats.org/officeDocument/2006/relationships/image" Target="media/c05f003.png"/><Relationship Id="rId21" Type="http://schemas.openxmlformats.org/officeDocument/2006/relationships/image" Target="media/c05f004.png"/><Relationship Id="rId22" Type="http://schemas.openxmlformats.org/officeDocument/2006/relationships/image" Target="media/c05un001.png"/><Relationship Id="rId23" Type="http://schemas.openxmlformats.org/officeDocument/2006/relationships/image" Target="media/c05un002.png"/><Relationship Id="rId24" Type="http://schemas.openxmlformats.org/officeDocument/2006/relationships/image" Target="media/c05un003.png"/><Relationship Id="rId25" Type="http://schemas.openxmlformats.org/officeDocument/2006/relationships/image" Target="media/c05f005.png"/><Relationship Id="rId26" Type="http://schemas.openxmlformats.org/officeDocument/2006/relationships/image" Target="media/c05f006.png"/><Relationship Id="rId27" Type="http://schemas.openxmlformats.org/officeDocument/2006/relationships/image" Target="media/c05f007.png"/><Relationship Id="rId28" Type="http://schemas.openxmlformats.org/officeDocument/2006/relationships/image" Target="media/c06un001.png"/><Relationship Id="rId29" Type="http://schemas.openxmlformats.org/officeDocument/2006/relationships/image" Target="media/c06un002.png"/><Relationship Id="rId30" Type="http://schemas.openxmlformats.org/officeDocument/2006/relationships/image" Target="media/c06un003.png"/><Relationship Id="rId31" Type="http://schemas.openxmlformats.org/officeDocument/2006/relationships/image" Target="media/c06f001.png"/><Relationship Id="rId32" Type="http://schemas.openxmlformats.org/officeDocument/2006/relationships/image" Target="media/c06f002.png"/><Relationship Id="rId33" Type="http://schemas.openxmlformats.org/officeDocument/2006/relationships/image" Target="media/c06f003.png"/><Relationship Id="rId34" Type="http://schemas.openxmlformats.org/officeDocument/2006/relationships/image" Target="media/c06f004.png"/><Relationship Id="rId35" Type="http://schemas.openxmlformats.org/officeDocument/2006/relationships/image" Target="media/c06f005.png"/><Relationship Id="rId36" Type="http://schemas.openxmlformats.org/officeDocument/2006/relationships/image" Target="media/c06f006.png"/><Relationship Id="rId37" Type="http://schemas.openxmlformats.org/officeDocument/2006/relationships/image" Target="media/c06f007.png"/><Relationship Id="rId38" Type="http://schemas.openxmlformats.org/officeDocument/2006/relationships/image" Target="media/c06f008.png"/><Relationship Id="rId39" Type="http://schemas.openxmlformats.org/officeDocument/2006/relationships/image" Target="media/c06f009.png"/><Relationship Id="rId40" Type="http://schemas.openxmlformats.org/officeDocument/2006/relationships/image" Target="media/c06f010.png"/><Relationship Id="rId41" Type="http://schemas.openxmlformats.org/officeDocument/2006/relationships/image" Target="media/c06f011.png"/><Relationship Id="rId42" Type="http://schemas.openxmlformats.org/officeDocument/2006/relationships/image" Target="media/c06f012.png"/><Relationship Id="rId43" Type="http://schemas.openxmlformats.org/officeDocument/2006/relationships/image" Target="media/c06f013.png"/><Relationship Id="rId44" Type="http://schemas.openxmlformats.org/officeDocument/2006/relationships/image" Target="media/c06f014.png"/><Relationship Id="rId45" Type="http://schemas.openxmlformats.org/officeDocument/2006/relationships/image" Target="media/c06f015.png"/><Relationship Id="rId46" Type="http://schemas.openxmlformats.org/officeDocument/2006/relationships/image" Target="media/c06f016.png"/><Relationship Id="rId47" Type="http://schemas.openxmlformats.org/officeDocument/2006/relationships/image" Target="media/c06f017.png"/><Relationship Id="rId48" Type="http://schemas.openxmlformats.org/officeDocument/2006/relationships/image" Target="media/c06f018.png"/><Relationship Id="rId49" Type="http://schemas.openxmlformats.org/officeDocument/2006/relationships/image" Target="media/c06f019.png"/><Relationship Id="rId50" Type="http://schemas.openxmlformats.org/officeDocument/2006/relationships/image" Target="media/c06f020.png"/><Relationship Id="rId51" Type="http://schemas.openxmlformats.org/officeDocument/2006/relationships/image" Target="media/c06f021.png"/><Relationship Id="rId52" Type="http://schemas.openxmlformats.org/officeDocument/2006/relationships/image" Target="media/c06f022.png"/><Relationship Id="rId53" Type="http://schemas.openxmlformats.org/officeDocument/2006/relationships/image" Target="media/c06f023.png"/><Relationship Id="rId54" Type="http://schemas.openxmlformats.org/officeDocument/2006/relationships/image" Target="media/c06f024.png"/><Relationship Id="rId55" Type="http://schemas.openxmlformats.org/officeDocument/2006/relationships/image" Target="media/c06un004.png"/><Relationship Id="rId56" Type="http://schemas.openxmlformats.org/officeDocument/2006/relationships/image" Target="media/c07f001.png"/><Relationship Id="rId57" Type="http://schemas.openxmlformats.org/officeDocument/2006/relationships/image" Target="media/c07f002.png"/><Relationship Id="rId58" Type="http://schemas.openxmlformats.org/officeDocument/2006/relationships/image" Target="media/c07f003.png"/><Relationship Id="rId59" Type="http://schemas.openxmlformats.org/officeDocument/2006/relationships/image" Target="media/c07f004.png"/><Relationship Id="rId60" Type="http://schemas.openxmlformats.org/officeDocument/2006/relationships/image" Target="media/c07f005.png"/><Relationship Id="rId61" Type="http://schemas.openxmlformats.org/officeDocument/2006/relationships/image" Target="media/c07f006.png"/><Relationship Id="rId62" Type="http://schemas.openxmlformats.org/officeDocument/2006/relationships/image" Target="media/c08f001.png"/><Relationship Id="rId63" Type="http://schemas.openxmlformats.org/officeDocument/2006/relationships/image" Target="media/c08f002.jpeg"/><Relationship Id="rId64" Type="http://schemas.openxmlformats.org/officeDocument/2006/relationships/image" Target="media/c08f003.jpeg"/><Relationship Id="rId65" Type="http://schemas.openxmlformats.org/officeDocument/2006/relationships/image" Target="media/c08f004.jpeg"/><Relationship Id="rId66" Type="http://schemas.openxmlformats.org/officeDocument/2006/relationships/image" Target="media/c08f005.jpeg"/><Relationship Id="rId67" Type="http://schemas.openxmlformats.org/officeDocument/2006/relationships/image" Target="media/c08f006.jpeg"/><Relationship Id="rId68" Type="http://schemas.openxmlformats.org/officeDocument/2006/relationships/image" Target="media/c08f007.png"/><Relationship Id="rId69" Type="http://schemas.openxmlformats.org/officeDocument/2006/relationships/image" Target="media/c09f001.png"/><Relationship Id="rId70" Type="http://schemas.openxmlformats.org/officeDocument/2006/relationships/image" Target="media/c09f002.png"/><Relationship Id="rId71" Type="http://schemas.openxmlformats.org/officeDocument/2006/relationships/image" Target="media/c09f003.png"/><Relationship Id="rId72" Type="http://schemas.openxmlformats.org/officeDocument/2006/relationships/image" Target="media/c09f004.png"/><Relationship Id="rId73" Type="http://schemas.openxmlformats.org/officeDocument/2006/relationships/image" Target="media/c10f001.png"/><Relationship Id="rId74" Type="http://schemas.openxmlformats.org/officeDocument/2006/relationships/image" Target="media/c10f002.png"/><Relationship Id="rId75" Type="http://schemas.openxmlformats.org/officeDocument/2006/relationships/image" Target="media/c10f003.png"/><Relationship Id="rId76" Type="http://schemas.openxmlformats.org/officeDocument/2006/relationships/image" Target="media/c11f001a.png"/><Relationship Id="rId77" Type="http://schemas.openxmlformats.org/officeDocument/2006/relationships/image" Target="media/c11f001b.png"/><Relationship Id="rId78" Type="http://schemas.openxmlformats.org/officeDocument/2006/relationships/image" Target="media/c11f002.png"/><Relationship Id="rId79" Type="http://schemas.openxmlformats.org/officeDocument/2006/relationships/image" Target="media/c11f003.png"/><Relationship Id="rId80" Type="http://schemas.openxmlformats.org/officeDocument/2006/relationships/image" Target="media/c11f004.png"/><Relationship Id="rId81" Type="http://schemas.openxmlformats.org/officeDocument/2006/relationships/image" Target="media/c11f005.png"/><Relationship Id="rId82" Type="http://schemas.openxmlformats.org/officeDocument/2006/relationships/image" Target="media/c11f006.png"/><Relationship Id="rId83" Type="http://schemas.openxmlformats.org/officeDocument/2006/relationships/image" Target="media/c12f001.png"/><Relationship Id="rId84" Type="http://schemas.openxmlformats.org/officeDocument/2006/relationships/image" Target="media/c12f002.png"/><Relationship Id="rId85" Type="http://schemas.openxmlformats.org/officeDocument/2006/relationships/image" Target="media/c12f003.png"/><Relationship Id="rId86" Type="http://schemas.openxmlformats.org/officeDocument/2006/relationships/image" Target="media/c13f001.png"/><Relationship Id="rId87" Type="http://schemas.openxmlformats.org/officeDocument/2006/relationships/image" Target="media/c13f002.png"/><Relationship Id="rId88" Type="http://schemas.openxmlformats.org/officeDocument/2006/relationships/image" Target="media/c13f003.png"/><Relationship Id="rId89" Type="http://schemas.openxmlformats.org/officeDocument/2006/relationships/image" Target="media/c13f004.png"/><Relationship Id="rId90" Type="http://schemas.openxmlformats.org/officeDocument/2006/relationships/image" Target="media/c13f005.png"/><Relationship Id="rId91" Type="http://schemas.openxmlformats.org/officeDocument/2006/relationships/image" Target="media/c13f006.png"/><Relationship Id="rId92" Type="http://schemas.openxmlformats.org/officeDocument/2006/relationships/image" Target="media/c13f007.png"/><Relationship Id="rId93" Type="http://schemas.openxmlformats.org/officeDocument/2006/relationships/image" Target="media/c14f001a.png"/><Relationship Id="rId94" Type="http://schemas.openxmlformats.org/officeDocument/2006/relationships/image" Target="media/c14f001b.png"/><Relationship Id="rId95" Type="http://schemas.openxmlformats.org/officeDocument/2006/relationships/image" Target="media/c14f002.png"/><Relationship Id="rId96" Type="http://schemas.openxmlformats.org/officeDocument/2006/relationships/image" Target="media/c14f003.png"/><Relationship Id="rId97" Type="http://schemas.openxmlformats.org/officeDocument/2006/relationships/image" Target="media/c14f004.png"/><Relationship Id="rId98" Type="http://schemas.openxmlformats.org/officeDocument/2006/relationships/image" Target="media/c14f005.png"/><Relationship Id="rId99" Type="http://schemas.openxmlformats.org/officeDocument/2006/relationships/image" Target="media/c14f006.png"/><Relationship Id="rId100" Type="http://schemas.openxmlformats.org/officeDocument/2006/relationships/image" Target="media/c14f007.png"/><Relationship Id="rId101" Type="http://schemas.openxmlformats.org/officeDocument/2006/relationships/image" Target="media/c15f001.png"/><Relationship Id="rId102" Type="http://schemas.openxmlformats.org/officeDocument/2006/relationships/image" Target="media/c15f002.png"/><Relationship Id="rId103" Type="http://schemas.openxmlformats.org/officeDocument/2006/relationships/image" Target="media/c15f003.png"/><Relationship Id="rId104" Type="http://schemas.openxmlformats.org/officeDocument/2006/relationships/image" Target="media/c16f001.png"/><Relationship Id="rId105" Type="http://schemas.openxmlformats.org/officeDocument/2006/relationships/image" Target="media/c17f001.png"/><Relationship Id="rId106" Type="http://schemas.openxmlformats.org/officeDocument/2006/relationships/image" Target="media/c17f002.png"/><Relationship Id="rId107" Type="http://schemas.openxmlformats.org/officeDocument/2006/relationships/image" Target="media/c17f003.png"/><Relationship Id="rId108" Type="http://schemas.openxmlformats.org/officeDocument/2006/relationships/image" Target="media/c17f004.png"/><Relationship Id="rId109" Type="http://schemas.openxmlformats.org/officeDocument/2006/relationships/image" Target="media/c18f001.png"/><Relationship Id="rId110" Type="http://schemas.openxmlformats.org/officeDocument/2006/relationships/image" Target="media/c18f002.png"/><Relationship Id="rId111" Type="http://schemas.openxmlformats.org/officeDocument/2006/relationships/image" Target="media/c18f003.png"/><Relationship Id="rId112" Type="http://schemas.openxmlformats.org/officeDocument/2006/relationships/image" Target="media/c18f004.png"/><Relationship Id="rId113" Type="http://schemas.openxmlformats.org/officeDocument/2006/relationships/image" Target="media/c18f005.png"/><Relationship Id="rId114" Type="http://schemas.openxmlformats.org/officeDocument/2006/relationships/image" Target="media/c18f006.png"/><Relationship Id="rId115" Type="http://schemas.openxmlformats.org/officeDocument/2006/relationships/image" Target="media/c18f007.png"/><Relationship Id="rId116" Type="http://schemas.openxmlformats.org/officeDocument/2006/relationships/image" Target="media/c18f008.png"/><Relationship Id="rId117" Type="http://schemas.openxmlformats.org/officeDocument/2006/relationships/image" Target="media/c18f009.png"/><Relationship Id="rId118" Type="http://schemas.openxmlformats.org/officeDocument/2006/relationships/image" Target="media/c18f010.png"/><Relationship Id="rId119" Type="http://schemas.openxmlformats.org/officeDocument/2006/relationships/image" Target="media/c18f011.png"/><Relationship Id="rId120" Type="http://schemas.openxmlformats.org/officeDocument/2006/relationships/image" Target="media/c18f012.png"/><Relationship Id="rId121" Type="http://schemas.openxmlformats.org/officeDocument/2006/relationships/image" Target="media/c18f013.png"/><Relationship Id="rId122" Type="http://schemas.openxmlformats.org/officeDocument/2006/relationships/image" Target="media/c18f014.png"/><Relationship Id="rId123" Type="http://schemas.openxmlformats.org/officeDocument/2006/relationships/image" Target="media/c18f015.png"/><Relationship Id="rId124" Type="http://schemas.openxmlformats.org/officeDocument/2006/relationships/image" Target="media/c18f016.png"/><Relationship Id="rId125" Type="http://schemas.openxmlformats.org/officeDocument/2006/relationships/image" Target="media/c19f001.png"/><Relationship Id="rId126" Type="http://schemas.openxmlformats.org/officeDocument/2006/relationships/image" Target="media/c19f002.png"/><Relationship Id="rId127" Type="http://schemas.openxmlformats.org/officeDocument/2006/relationships/image" Target="media/c19f003.png"/><Relationship Id="rId128" Type="http://schemas.openxmlformats.org/officeDocument/2006/relationships/image" Target="media/c19f004.png"/><Relationship Id="rId129" Type="http://schemas.openxmlformats.org/officeDocument/2006/relationships/image" Target="media/c19f005.png"/><Relationship Id="rId130" Type="http://schemas.openxmlformats.org/officeDocument/2006/relationships/image" Target="media/c19f006.png"/><Relationship Id="rId131" Type="http://schemas.openxmlformats.org/officeDocument/2006/relationships/image" Target="media/c19f007.png"/><Relationship Id="rId132" Type="http://schemas.openxmlformats.org/officeDocument/2006/relationships/image" Target="media/c19f008.png"/><Relationship Id="rId133" Type="http://schemas.openxmlformats.org/officeDocument/2006/relationships/image" Target="media/c19f009.png"/><Relationship Id="rId134" Type="http://schemas.openxmlformats.org/officeDocument/2006/relationships/image" Target="media/c19f010.png"/><Relationship Id="rId135" Type="http://schemas.openxmlformats.org/officeDocument/2006/relationships/image" Target="media/c20f001.png"/><Relationship Id="rId136" Type="http://schemas.openxmlformats.org/officeDocument/2006/relationships/image" Target="media/c20f002.png"/><Relationship Id="rId137" Type="http://schemas.openxmlformats.org/officeDocument/2006/relationships/image" Target="media/c20f003.png"/><Relationship Id="rId138" Type="http://schemas.openxmlformats.org/officeDocument/2006/relationships/image" Target="media/c20f004.png"/><Relationship Id="rId139" Type="http://schemas.openxmlformats.org/officeDocument/2006/relationships/image" Target="media/c20f005.png"/><Relationship Id="rId140" Type="http://schemas.openxmlformats.org/officeDocument/2006/relationships/image" Target="media/c20f006.png"/><Relationship Id="rId141" Type="http://schemas.openxmlformats.org/officeDocument/2006/relationships/image" Target="media/c20f007.png"/><Relationship Id="rId142" Type="http://schemas.openxmlformats.org/officeDocument/2006/relationships/image" Target="media/c20f008.png"/><Relationship Id="rId143" Type="http://schemas.openxmlformats.org/officeDocument/2006/relationships/image" Target="media/c20f009.png"/><Relationship Id="rId144" Type="http://schemas.openxmlformats.org/officeDocument/2006/relationships/image" Target="media/c20f010.png"/><Relationship Id="rId145" Type="http://schemas.openxmlformats.org/officeDocument/2006/relationships/image" Target="media/c20f011.png"/><Relationship Id="rId146" Type="http://schemas.openxmlformats.org/officeDocument/2006/relationships/image" Target="media/c20f012.png"/><Relationship Id="rId147" Type="http://schemas.openxmlformats.org/officeDocument/2006/relationships/image" Target="media/c20f013.png"/><Relationship Id="rId148" Type="http://schemas.openxmlformats.org/officeDocument/2006/relationships/image" Target="media/c20f014.png"/><Relationship Id="rId149" Type="http://schemas.openxmlformats.org/officeDocument/2006/relationships/image" Target="media/c20f015.png"/><Relationship Id="rId150" Type="http://schemas.openxmlformats.org/officeDocument/2006/relationships/image" Target="media/c21f001.png"/><Relationship Id="rId151" Type="http://schemas.openxmlformats.org/officeDocument/2006/relationships/image" Target="media/c21f002.png"/><Relationship Id="rId152" Type="http://schemas.openxmlformats.org/officeDocument/2006/relationships/image" Target="media/c21f003.png"/><Relationship Id="rId153" Type="http://schemas.openxmlformats.org/officeDocument/2006/relationships/image" Target="media/c22f001.png"/><Relationship Id="rId154" Type="http://schemas.openxmlformats.org/officeDocument/2006/relationships/image" Target="media/c22f002.png"/><Relationship Id="rId155" Type="http://schemas.openxmlformats.org/officeDocument/2006/relationships/image" Target="media/c22f003.png"/><Relationship Id="rId156" Type="http://schemas.openxmlformats.org/officeDocument/2006/relationships/image" Target="media/c23f001.png"/><Relationship Id="rId157" Type="http://schemas.openxmlformats.org/officeDocument/2006/relationships/image" Target="media/c23f002.png"/><Relationship Id="rId158" Type="http://schemas.openxmlformats.org/officeDocument/2006/relationships/image" Target="media/c24f001.png"/><Relationship Id="rId159" Type="http://schemas.openxmlformats.org/officeDocument/2006/relationships/image" Target="media/c24f002.png"/><Relationship Id="rId160" Type="http://schemas.openxmlformats.org/officeDocument/2006/relationships/image" Target="media/c25f001.png"/><Relationship Id="rId161" Type="http://schemas.openxmlformats.org/officeDocument/2006/relationships/image" Target="media/c25f002.png"/><Relationship Id="rId162" Type="http://schemas.openxmlformats.org/officeDocument/2006/relationships/image" Target="media/c25f003.png"/><Relationship Id="rId163" Type="http://schemas.openxmlformats.org/officeDocument/2006/relationships/image" Target="media/c25f004.png"/><Relationship Id="rId164" Type="http://schemas.openxmlformats.org/officeDocument/2006/relationships/image" Target="media/c25f005.png"/><Relationship Id="rId165" Type="http://schemas.openxmlformats.org/officeDocument/2006/relationships/image" Target="media/c25f006.png"/><Relationship Id="rId166" Type="http://schemas.openxmlformats.org/officeDocument/2006/relationships/image" Target="media/c25f007.png"/><Relationship Id="rId167" Type="http://schemas.openxmlformats.org/officeDocument/2006/relationships/image" Target="media/c25f008.png"/><Relationship Id="rId168" Type="http://schemas.openxmlformats.org/officeDocument/2006/relationships/image" Target="media/c26f001.png"/><Relationship Id="rId169" Type="http://schemas.openxmlformats.org/officeDocument/2006/relationships/image" Target="media/c26f002.png"/><Relationship Id="rId170" Type="http://schemas.openxmlformats.org/officeDocument/2006/relationships/image" Target="media/c27f001.png"/><Relationship Id="rId171" Type="http://schemas.openxmlformats.org/officeDocument/2006/relationships/image" Target="media/c27f002.png"/><Relationship Id="rId172" Type="http://schemas.openxmlformats.org/officeDocument/2006/relationships/image" Target="media/c27f003.png"/><Relationship Id="rId173" Type="http://schemas.openxmlformats.org/officeDocument/2006/relationships/image" Target="media/c27f004.png"/><Relationship Id="rId174" Type="http://schemas.openxmlformats.org/officeDocument/2006/relationships/image" Target="media/c27f005.png"/><Relationship Id="rId175" Type="http://schemas.openxmlformats.org/officeDocument/2006/relationships/image" Target="media/c27f006.png"/><Relationship Id="rId176" Type="http://schemas.openxmlformats.org/officeDocument/2006/relationships/image" Target="media/c27f007.png"/><Relationship Id="rId177" Type="http://schemas.openxmlformats.org/officeDocument/2006/relationships/image" Target="media/c27f008.png"/><Relationship Id="rId178" Type="http://schemas.openxmlformats.org/officeDocument/2006/relationships/image" Target="media/c27f009.png"/><Relationship Id="rId179" Type="http://schemas.openxmlformats.org/officeDocument/2006/relationships/image" Target="media/c27f010.png"/><Relationship Id="rId180" Type="http://schemas.openxmlformats.org/officeDocument/2006/relationships/image" Target="media/c27f011.png"/><Relationship Id="rId181" Type="http://schemas.openxmlformats.org/officeDocument/2006/relationships/image" Target="media/c27f012.png"/><Relationship Id="rId182" Type="http://schemas.openxmlformats.org/officeDocument/2006/relationships/image" Target="media/c27f013.png"/><Relationship Id="rId183" Type="http://schemas.openxmlformats.org/officeDocument/2006/relationships/image" Target="media/c27f014.png"/><Relationship Id="rId184" Type="http://schemas.openxmlformats.org/officeDocument/2006/relationships/image" Target="media/c28f001.png"/><Relationship Id="rId185" Type="http://schemas.openxmlformats.org/officeDocument/2006/relationships/image" Target="media/c28f002.png"/><Relationship Id="rId186" Type="http://schemas.openxmlformats.org/officeDocument/2006/relationships/image" Target="media/c28f003.png"/><Relationship Id="rId187" Type="http://schemas.openxmlformats.org/officeDocument/2006/relationships/image" Target="media/c28f004.png"/><Relationship Id="rId188" Type="http://schemas.openxmlformats.org/officeDocument/2006/relationships/image" Target="media/c28f005.png"/><Relationship Id="rId189" Type="http://schemas.openxmlformats.org/officeDocument/2006/relationships/image" Target="media/c28f006.png"/><Relationship Id="rId190" Type="http://schemas.openxmlformats.org/officeDocument/2006/relationships/image" Target="media/c28f007.png"/><Relationship Id="rId191" Type="http://schemas.openxmlformats.org/officeDocument/2006/relationships/image" Target="media/c28f008.png"/><Relationship Id="rId192" Type="http://schemas.openxmlformats.org/officeDocument/2006/relationships/image" Target="media/c29f001.png"/><Relationship Id="rId193" Type="http://schemas.openxmlformats.org/officeDocument/2006/relationships/image" Target="media/c29f002.png"/><Relationship Id="rId194" Type="http://schemas.openxmlformats.org/officeDocument/2006/relationships/image" Target="media/c29f003.png"/><Relationship Id="rId195" Type="http://schemas.openxmlformats.org/officeDocument/2006/relationships/image" Target="media/c29f004.png"/><Relationship Id="rId196" Type="http://schemas.openxmlformats.org/officeDocument/2006/relationships/image" Target="media/c30f001.png"/><Relationship Id="rId197" Type="http://schemas.openxmlformats.org/officeDocument/2006/relationships/image" Target="media/c30f002.png"/><Relationship Id="rId198" Type="http://schemas.openxmlformats.org/officeDocument/2006/relationships/image" Target="media/c30f003.png"/><Relationship Id="rId199" Type="http://schemas.openxmlformats.org/officeDocument/2006/relationships/image" Target="media/c30f004.png"/><Relationship Id="rId200" Type="http://schemas.openxmlformats.org/officeDocument/2006/relationships/image" Target="media/c30f005.png"/><Relationship Id="rId201" Type="http://schemas.openxmlformats.org/officeDocument/2006/relationships/image" Target="media/c31f001.png"/><Relationship Id="rId202" Type="http://schemas.openxmlformats.org/officeDocument/2006/relationships/image" Target="media/c31f002.png"/><Relationship Id="rId203" Type="http://schemas.openxmlformats.org/officeDocument/2006/relationships/image" Target="media/c31f003.png"/><Relationship Id="rId204" Type="http://schemas.openxmlformats.org/officeDocument/2006/relationships/image" Target="media/c31f004.png"/><Relationship Id="rId205" Type="http://schemas.openxmlformats.org/officeDocument/2006/relationships/image" Target="media/c31f005.png"/><Relationship Id="rId206" Type="http://schemas.openxmlformats.org/officeDocument/2006/relationships/image" Target="media/c31f006.png"/><Relationship Id="rId207" Type="http://schemas.openxmlformats.org/officeDocument/2006/relationships/image" Target="media/c31f007.png"/><Relationship Id="rId208" Type="http://schemas.openxmlformats.org/officeDocument/2006/relationships/image" Target="media/c31f008.png"/><Relationship Id="rId209" Type="http://schemas.openxmlformats.org/officeDocument/2006/relationships/image" Target="media/c31f009.png"/><Relationship Id="rId210" Type="http://schemas.openxmlformats.org/officeDocument/2006/relationships/image" Target="media/c31f010.png"/><Relationship Id="rId211" Type="http://schemas.openxmlformats.org/officeDocument/2006/relationships/image" Target="media/c31f011.png"/><Relationship Id="rId212" Type="http://schemas.openxmlformats.org/officeDocument/2006/relationships/image" Target="media/c32f001.png"/><Relationship Id="rId213" Type="http://schemas.openxmlformats.org/officeDocument/2006/relationships/image" Target="media/c32f002.png"/><Relationship Id="rId214" Type="http://schemas.openxmlformats.org/officeDocument/2006/relationships/image" Target="media/c32unf001.png"/><Relationship Id="rId215" Type="http://schemas.openxmlformats.org/officeDocument/2006/relationships/image" Target="media/c32unf002.png"/><Relationship Id="rId216" Type="http://schemas.openxmlformats.org/officeDocument/2006/relationships/image" Target="media/c32unf003.png"/><Relationship Id="rId217" Type="http://schemas.openxmlformats.org/officeDocument/2006/relationships/image" Target="media/c32unf004.png"/><Relationship Id="rId218" Type="http://schemas.openxmlformats.org/officeDocument/2006/relationships/image" Target="media/c33f001.png"/><Relationship Id="rId219" Type="http://schemas.openxmlformats.org/officeDocument/2006/relationships/image" Target="media/c33f002.png"/><Relationship Id="rId220" Type="http://schemas.openxmlformats.org/officeDocument/2006/relationships/image" Target="media/c33f003.png"/><Relationship Id="rId221" Type="http://schemas.openxmlformats.org/officeDocument/2006/relationships/image" Target="media/c33f004.png"/><Relationship Id="rId222" Type="http://schemas.openxmlformats.org/officeDocument/2006/relationships/image" Target="media/c33f005.png"/><Relationship Id="rId223" Type="http://schemas.openxmlformats.org/officeDocument/2006/relationships/image" Target="media/c33f006.png"/><Relationship Id="rId224" Type="http://schemas.openxmlformats.org/officeDocument/2006/relationships/image" Target="media/c33f007.png"/><Relationship Id="rId225" Type="http://schemas.openxmlformats.org/officeDocument/2006/relationships/image" Target="media/c33f008.png"/><Relationship Id="rId226" Type="http://schemas.openxmlformats.org/officeDocument/2006/relationships/image" Target="media/c33f009.png"/><Relationship Id="rId227" Type="http://schemas.openxmlformats.org/officeDocument/2006/relationships/image" Target="media/c33f010.png"/><Relationship Id="rId228" Type="http://schemas.openxmlformats.org/officeDocument/2006/relationships/image" Target="media/c34f001.png"/><Relationship Id="rId229" Type="http://schemas.openxmlformats.org/officeDocument/2006/relationships/image" Target="media/c34f002.png"/><Relationship Id="rId230" Type="http://schemas.openxmlformats.org/officeDocument/2006/relationships/image" Target="media/c34f003.png"/><Relationship Id="rId231" Type="http://schemas.openxmlformats.org/officeDocument/2006/relationships/image" Target="media/c34f004.png"/><Relationship Id="rId232" Type="http://schemas.openxmlformats.org/officeDocument/2006/relationships/image" Target="media/c34f005.png"/><Relationship Id="rId233" Type="http://schemas.openxmlformats.org/officeDocument/2006/relationships/image" Target="media/c34f006.png"/><Relationship Id="rId234" Type="http://schemas.openxmlformats.org/officeDocument/2006/relationships/image" Target="media/c34f007.png"/><Relationship Id="rId235" Type="http://schemas.openxmlformats.org/officeDocument/2006/relationships/image" Target="media/c34f008.png"/><Relationship Id="rId236" Type="http://schemas.openxmlformats.org/officeDocument/2006/relationships/image" Target="media/cover.jpeg"/><Relationship Id="rId237" Type="http://schemas.openxmlformats.org/officeDocument/2006/relationships/hyperlink" Target="https://www.WileyFinance.com" TargetMode="External"/><Relationship Id="rId238" Type="http://schemas.openxmlformats.org/officeDocument/2006/relationships/hyperlink" Target="https://www.damodaran.com" TargetMode="External"/><Relationship Id="rId239" Type="http://schemas.openxmlformats.org/officeDocument/2006/relationships/hyperlink" Target="https://www.copyright.com" TargetMode="External"/><Relationship Id="rId240" Type="http://schemas.openxmlformats.org/officeDocument/2006/relationships/hyperlink" Target="http://www.wiley.com/go/permission" TargetMode="External"/><Relationship Id="rId241" Type="http://schemas.openxmlformats.org/officeDocument/2006/relationships/hyperlink" Target="https://www.wiley.com" TargetMode="External"/><Relationship Id="rId242" Type="http://schemas.openxmlformats.org/officeDocument/2006/relationships/hyperlink" Target="https://www.standardandpoors.com/ratings/criteria/index.htm" TargetMode="External"/><Relationship Id="rId243" Type="http://schemas.openxmlformats.org/officeDocument/2006/relationships/hyperlink" Target="https://www.ibbotson.com" TargetMode="External"/><Relationship Id="rId244" Type="http://schemas.openxmlformats.org/officeDocument/2006/relationships/hyperlink" Target="https://pages.stern.nyu.edu/~adamodar/pc/datasets/histretSP.xlsx" TargetMode="External"/><Relationship Id="rId245" Type="http://schemas.openxmlformats.org/officeDocument/2006/relationships/hyperlink" Target="https://www.standardandpoors.com" TargetMode="External"/><Relationship Id="rId246" Type="http://schemas.openxmlformats.org/officeDocument/2006/relationships/hyperlink" Target="https://Amazon.com" TargetMode="External"/><Relationship Id="rId247" Type="http://schemas.openxmlformats.org/officeDocument/2006/relationships/hyperlink" Target="https://Booking.com" TargetMode="External"/><Relationship Id="rId248" Type="http://schemas.openxmlformats.org/officeDocument/2006/relationships/hyperlink" Target="https://www.youtube.com/watch?v=RoEEDKwzNBw" TargetMode="External"/><Relationship Id="rId249" Type="http://schemas.openxmlformats.org/officeDocument/2006/relationships/hyperlink" Target="https://www.stern.nyu.edu/&amp;adamodar/New_Home_Page/papers.html" TargetMode="External"/><Relationship Id="rId250" Type="http://schemas.openxmlformats.org/officeDocument/2006/relationships/hyperlink" Target="http://www.stern.nyu.edu/adamodar/New_Home_Page/papers.html" TargetMode="External"/><Relationship Id="rId251" Type="http://schemas.openxmlformats.org/officeDocument/2006/relationships/hyperlink" Target="http://www.wiley.com/go/eula" TargetMode="External"/></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09.0013</AppVersion>
  <DocSecurity>0</DocSecurity>
  <HyperlinksChanged>false</HyperlinksChanged>
  <LinksUpToDate>true</LinksUpToDate>
  <ScaleCrop>false</ScaleCrop>
  <SharedDoc>false</SharedDoc>
  <Company>Wiley</Company>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2026-09-27T06:55:24Z</dcterms:created>
  <dcterms:modified xsi:type="dcterms:W3CDTF">2026-09-27T06:55:24Z</dcterms:modified>
  <dc:title>Investment Valuation, University Edition: Tools and Techniques for Determining the Value of Any Asset</dc:title>
  <dc:creator>Aswath Damodaran</dc:creator>
  <dc:description>&lt;p&gt;&lt;b&gt;Updated edition of the definitive guide to investment valuation tools and techniques&lt;/b&gt; &lt;p&gt;&lt;i&gt;Investment Valuation: Tools and Techniques for Determining the Value of Any Asset&lt;/i&gt; delves into valuation techniques for a variety of different asset classes, including real options, start-up firms, unconventional assets, distressed companies and private equity, real estate, and many more, and explains how to choose the right model for any given asset valuation scenario. The models are presented with real-world examples so as to capture some of the problems inherent in applying these models, with discussion of differences and common elements between the models to provide readers with a holistic understanding of the subject matter. &lt;p&gt;Written by a professor of finance who is widely regarded as one of the best educators and thinkers on the topic of investment valuation, this newly revised and updated Fourth Edition explores topics including: &lt;li&gt;Understanding financial statements,...</dc:description>
  <dc:language>en</dc:language>
</cp:coreProperties>
</file>